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charts/chart93.xml" ContentType="application/vnd.openxmlformats-officedocument.drawingml.chart+xml"/>
  <Override PartName="/word/charts/chart94.xml" ContentType="application/vnd.openxmlformats-officedocument.drawingml.chart+xml"/>
  <Override PartName="/word/charts/chart95.xml" ContentType="application/vnd.openxmlformats-officedocument.drawingml.chart+xml"/>
  <Override PartName="/word/charts/chart96.xml" ContentType="application/vnd.openxmlformats-officedocument.drawingml.chart+xml"/>
  <Override PartName="/word/charts/chart97.xml" ContentType="application/vnd.openxmlformats-officedocument.drawingml.chart+xml"/>
  <Override PartName="/word/charts/chart98.xml" ContentType="application/vnd.openxmlformats-officedocument.drawingml.chart+xml"/>
  <Override PartName="/word/charts/chart99.xml" ContentType="application/vnd.openxmlformats-officedocument.drawingml.chart+xml"/>
  <Override PartName="/word/charts/chart100.xml" ContentType="application/vnd.openxmlformats-officedocument.drawingml.chart+xml"/>
  <Override PartName="/word/header1.xml" ContentType="application/vnd.openxmlformats-officedocument.wordprocessingml.header+xml"/>
  <Override PartName="/word/charts/chart101.xml" ContentType="application/vnd.openxmlformats-officedocument.drawingml.chart+xml"/>
  <Override PartName="/word/charts/chart102.xml" ContentType="application/vnd.openxmlformats-officedocument.drawingml.chart+xml"/>
  <Override PartName="/word/charts/chart103.xml" ContentType="application/vnd.openxmlformats-officedocument.drawingml.chart+xml"/>
  <Override PartName="/word/footer4.xml" ContentType="application/vnd.openxmlformats-officedocument.wordprocessingml.footer+xml"/>
  <Override PartName="/word/charts/chart104.xml" ContentType="application/vnd.openxmlformats-officedocument.drawingml.chart+xml"/>
  <Override PartName="/word/charts/chart105.xml" ContentType="application/vnd.openxmlformats-officedocument.drawingml.chart+xml"/>
  <Override PartName="/word/charts/chart106.xml" ContentType="application/vnd.openxmlformats-officedocument.drawingml.chart+xml"/>
  <Override PartName="/word/charts/chart107.xml" ContentType="application/vnd.openxmlformats-officedocument.drawingml.chart+xml"/>
  <Override PartName="/word/charts/chart108.xml" ContentType="application/vnd.openxmlformats-officedocument.drawingml.chart+xml"/>
  <Override PartName="/word/charts/chart109.xml" ContentType="application/vnd.openxmlformats-officedocument.drawingml.chart+xml"/>
  <Override PartName="/word/charts/chart110.xml" ContentType="application/vnd.openxmlformats-officedocument.drawingml.chart+xml"/>
  <Override PartName="/word/charts/chart111.xml" ContentType="application/vnd.openxmlformats-officedocument.drawingml.chart+xml"/>
  <Override PartName="/word/charts/chart112.xml" ContentType="application/vnd.openxmlformats-officedocument.drawingml.chart+xml"/>
  <Override PartName="/word/charts/chart113.xml" ContentType="application/vnd.openxmlformats-officedocument.drawingml.chart+xml"/>
  <Override PartName="/word/footer5.xml" ContentType="application/vnd.openxmlformats-officedocument.wordprocessingml.footer+xml"/>
  <Override PartName="/word/charts/chart114.xml" ContentType="application/vnd.openxmlformats-officedocument.drawingml.chart+xml"/>
  <Override PartName="/word/charts/chart115.xml" ContentType="application/vnd.openxmlformats-officedocument.drawingml.chart+xml"/>
  <Override PartName="/word/charts/chart116.xml" ContentType="application/vnd.openxmlformats-officedocument.drawingml.chart+xml"/>
  <Override PartName="/word/charts/chart117.xml" ContentType="application/vnd.openxmlformats-officedocument.drawingml.chart+xml"/>
  <Override PartName="/word/footer6.xml" ContentType="application/vnd.openxmlformats-officedocument.wordprocessingml.footer+xml"/>
  <Override PartName="/word/charts/chart118.xml" ContentType="application/vnd.openxmlformats-officedocument.drawingml.chart+xml"/>
  <Override PartName="/word/charts/chart119.xml" ContentType="application/vnd.openxmlformats-officedocument.drawingml.chart+xml"/>
  <Override PartName="/word/charts/chart120.xml" ContentType="application/vnd.openxmlformats-officedocument.drawingml.chart+xml"/>
  <Override PartName="/word/charts/chart121.xml" ContentType="application/vnd.openxmlformats-officedocument.drawingml.chart+xml"/>
  <Override PartName="/word/charts/chart122.xml" ContentType="application/vnd.openxmlformats-officedocument.drawingml.chart+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B444D2" w14:textId="77777777" w:rsidR="00ED770B" w:rsidRPr="00F80677" w:rsidRDefault="00ED770B" w:rsidP="00E858EF">
      <w:pPr>
        <w:suppressAutoHyphens/>
        <w:jc w:val="center"/>
        <w:rPr>
          <w:lang w:val="it-IT"/>
        </w:rPr>
      </w:pPr>
      <w:bookmarkStart w:id="0" w:name="_Toc517640926"/>
      <w:bookmarkStart w:id="1" w:name="_GoBack"/>
      <w:bookmarkEnd w:id="1"/>
      <w:r w:rsidRPr="00F80677">
        <w:rPr>
          <w:noProof/>
          <w:lang w:val="it-IT"/>
        </w:rPr>
        <w:drawing>
          <wp:inline distT="0" distB="0" distL="0" distR="0" wp14:anchorId="196CCDAC" wp14:editId="7E1AFD5F">
            <wp:extent cx="4033520" cy="1470025"/>
            <wp:effectExtent l="0" t="0" r="5080" b="317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33520" cy="1470025"/>
                    </a:xfrm>
                    <a:prstGeom prst="rect">
                      <a:avLst/>
                    </a:prstGeom>
                    <a:noFill/>
                    <a:ln>
                      <a:noFill/>
                    </a:ln>
                  </pic:spPr>
                </pic:pic>
              </a:graphicData>
            </a:graphic>
          </wp:inline>
        </w:drawing>
      </w:r>
    </w:p>
    <w:p w14:paraId="26C0E277" w14:textId="77777777" w:rsidR="00ED770B" w:rsidRPr="00F80677" w:rsidRDefault="00ED770B" w:rsidP="00E858EF">
      <w:pPr>
        <w:suppressAutoHyphens/>
        <w:jc w:val="center"/>
        <w:rPr>
          <w:lang w:val="it-IT"/>
        </w:rPr>
      </w:pPr>
    </w:p>
    <w:p w14:paraId="50BCAF38" w14:textId="61F983B8" w:rsidR="00ED770B" w:rsidRDefault="00ED770B" w:rsidP="00E858EF">
      <w:pPr>
        <w:suppressAutoHyphens/>
        <w:jc w:val="center"/>
        <w:rPr>
          <w:lang w:val="it-IT"/>
        </w:rPr>
      </w:pPr>
    </w:p>
    <w:p w14:paraId="3C3F20D5" w14:textId="77777777" w:rsidR="00A16622" w:rsidRPr="00F80677" w:rsidRDefault="00A16622" w:rsidP="00E858EF">
      <w:pPr>
        <w:suppressAutoHyphens/>
        <w:jc w:val="center"/>
        <w:rPr>
          <w:lang w:val="it-IT"/>
        </w:rPr>
      </w:pPr>
    </w:p>
    <w:p w14:paraId="719AD5D3" w14:textId="1119AA68" w:rsidR="00ED770B" w:rsidRPr="00A16622" w:rsidRDefault="00ED770B" w:rsidP="00E858EF">
      <w:pPr>
        <w:suppressAutoHyphens/>
        <w:jc w:val="center"/>
        <w:rPr>
          <w:b/>
        </w:rPr>
      </w:pPr>
      <w:r w:rsidRPr="00A16622">
        <w:rPr>
          <w:b/>
          <w:sz w:val="32"/>
        </w:rPr>
        <w:t>A Contextual Study of L</w:t>
      </w:r>
      <w:r w:rsidR="00382E7B">
        <w:rPr>
          <w:b/>
          <w:sz w:val="32"/>
        </w:rPr>
        <w:t>ate Minoan</w:t>
      </w:r>
      <w:r w:rsidRPr="00A16622">
        <w:rPr>
          <w:b/>
          <w:sz w:val="32"/>
        </w:rPr>
        <w:t xml:space="preserve"> III Larnax Burials</w:t>
      </w:r>
    </w:p>
    <w:p w14:paraId="5C0A01BA" w14:textId="77777777" w:rsidR="00ED770B" w:rsidRPr="00F80677" w:rsidRDefault="00ED770B" w:rsidP="00E858EF">
      <w:pPr>
        <w:suppressAutoHyphens/>
        <w:jc w:val="center"/>
      </w:pPr>
    </w:p>
    <w:p w14:paraId="06F12300" w14:textId="77777777" w:rsidR="00ED770B" w:rsidRPr="00F80677" w:rsidRDefault="00ED770B" w:rsidP="00E858EF">
      <w:pPr>
        <w:suppressAutoHyphens/>
        <w:jc w:val="center"/>
      </w:pPr>
    </w:p>
    <w:p w14:paraId="6BD87616" w14:textId="77777777" w:rsidR="00ED770B" w:rsidRPr="00F80677" w:rsidRDefault="00ED770B" w:rsidP="00E858EF">
      <w:pPr>
        <w:suppressAutoHyphens/>
        <w:jc w:val="center"/>
      </w:pPr>
    </w:p>
    <w:p w14:paraId="6A3727F2" w14:textId="77777777" w:rsidR="00ED770B" w:rsidRPr="00F80677" w:rsidRDefault="00ED770B" w:rsidP="00E858EF">
      <w:pPr>
        <w:suppressAutoHyphens/>
        <w:jc w:val="center"/>
      </w:pPr>
    </w:p>
    <w:p w14:paraId="550AF2BA" w14:textId="77777777" w:rsidR="00ED770B" w:rsidRPr="00F80677" w:rsidRDefault="00ED770B" w:rsidP="00E858EF">
      <w:pPr>
        <w:suppressAutoHyphens/>
        <w:jc w:val="center"/>
      </w:pPr>
    </w:p>
    <w:p w14:paraId="200E9D58" w14:textId="7E7BE4E4" w:rsidR="00ED770B" w:rsidRPr="00A16622" w:rsidRDefault="00A16622" w:rsidP="00E858EF">
      <w:pPr>
        <w:suppressAutoHyphens/>
        <w:jc w:val="center"/>
        <w:rPr>
          <w:sz w:val="28"/>
        </w:rPr>
      </w:pPr>
      <w:r>
        <w:rPr>
          <w:sz w:val="28"/>
        </w:rPr>
        <w:t>b</w:t>
      </w:r>
      <w:r w:rsidR="00ED770B" w:rsidRPr="00A16622">
        <w:rPr>
          <w:sz w:val="28"/>
        </w:rPr>
        <w:t>y</w:t>
      </w:r>
    </w:p>
    <w:p w14:paraId="6406DE2B" w14:textId="77777777" w:rsidR="00ED770B" w:rsidRPr="00A16622" w:rsidRDefault="00ED770B" w:rsidP="00E858EF">
      <w:pPr>
        <w:suppressAutoHyphens/>
        <w:jc w:val="center"/>
        <w:rPr>
          <w:sz w:val="28"/>
        </w:rPr>
      </w:pPr>
    </w:p>
    <w:p w14:paraId="76861439" w14:textId="77777777" w:rsidR="00ED770B" w:rsidRPr="00A16622" w:rsidRDefault="00ED770B" w:rsidP="00E858EF">
      <w:pPr>
        <w:suppressAutoHyphens/>
        <w:jc w:val="center"/>
        <w:rPr>
          <w:sz w:val="28"/>
        </w:rPr>
      </w:pPr>
      <w:r w:rsidRPr="00A16622">
        <w:rPr>
          <w:sz w:val="28"/>
        </w:rPr>
        <w:t>Angela Marzia Catania</w:t>
      </w:r>
    </w:p>
    <w:p w14:paraId="10C2D189" w14:textId="77777777" w:rsidR="00ED770B" w:rsidRPr="00A16622" w:rsidRDefault="00ED770B" w:rsidP="00E858EF">
      <w:pPr>
        <w:suppressAutoHyphens/>
        <w:jc w:val="center"/>
        <w:rPr>
          <w:sz w:val="28"/>
        </w:rPr>
      </w:pPr>
    </w:p>
    <w:p w14:paraId="1CED2DF1" w14:textId="77777777" w:rsidR="00ED770B" w:rsidRPr="00A16622" w:rsidRDefault="00ED770B" w:rsidP="00E858EF">
      <w:pPr>
        <w:suppressAutoHyphens/>
        <w:jc w:val="center"/>
        <w:rPr>
          <w:sz w:val="28"/>
        </w:rPr>
      </w:pPr>
    </w:p>
    <w:p w14:paraId="520840BB" w14:textId="77777777" w:rsidR="00ED770B" w:rsidRPr="00F80677" w:rsidRDefault="00ED770B" w:rsidP="00E858EF">
      <w:pPr>
        <w:suppressAutoHyphens/>
        <w:jc w:val="center"/>
      </w:pPr>
    </w:p>
    <w:p w14:paraId="21A81908" w14:textId="77777777" w:rsidR="00ED770B" w:rsidRPr="00F80677" w:rsidRDefault="00ED770B" w:rsidP="00E858EF">
      <w:pPr>
        <w:suppressAutoHyphens/>
        <w:jc w:val="center"/>
      </w:pPr>
    </w:p>
    <w:p w14:paraId="48D50C3E" w14:textId="77777777" w:rsidR="00ED770B" w:rsidRPr="00F80677" w:rsidRDefault="00ED770B" w:rsidP="00E858EF">
      <w:pPr>
        <w:suppressAutoHyphens/>
        <w:jc w:val="center"/>
      </w:pPr>
    </w:p>
    <w:p w14:paraId="3043732D" w14:textId="77777777" w:rsidR="00ED770B" w:rsidRPr="00F80677" w:rsidRDefault="00ED770B" w:rsidP="00E858EF">
      <w:pPr>
        <w:suppressAutoHyphens/>
        <w:jc w:val="center"/>
      </w:pPr>
      <w:r w:rsidRPr="00F80677">
        <w:t>A thesis submitted in partial fulfilment of the requirements for the degree of</w:t>
      </w:r>
    </w:p>
    <w:p w14:paraId="26A65838" w14:textId="77777777" w:rsidR="00ED770B" w:rsidRPr="00F80677" w:rsidRDefault="00ED770B" w:rsidP="00E858EF">
      <w:pPr>
        <w:suppressAutoHyphens/>
        <w:jc w:val="center"/>
      </w:pPr>
      <w:r w:rsidRPr="00F80677">
        <w:t>Doctor of Philosophy</w:t>
      </w:r>
    </w:p>
    <w:p w14:paraId="56933223" w14:textId="77777777" w:rsidR="00ED770B" w:rsidRPr="00F80677" w:rsidRDefault="00ED770B" w:rsidP="00E858EF">
      <w:pPr>
        <w:suppressAutoHyphens/>
        <w:jc w:val="center"/>
      </w:pPr>
    </w:p>
    <w:p w14:paraId="6043FA7E" w14:textId="77777777" w:rsidR="00ED770B" w:rsidRPr="00F80677" w:rsidRDefault="00ED770B" w:rsidP="00E858EF">
      <w:pPr>
        <w:suppressAutoHyphens/>
        <w:jc w:val="center"/>
      </w:pPr>
    </w:p>
    <w:p w14:paraId="2AEDA66A" w14:textId="77777777" w:rsidR="00ED770B" w:rsidRPr="00F80677" w:rsidRDefault="00ED770B" w:rsidP="00E858EF">
      <w:pPr>
        <w:suppressAutoHyphens/>
        <w:jc w:val="center"/>
      </w:pPr>
      <w:r w:rsidRPr="00F80677">
        <w:t>The University of Sheffield</w:t>
      </w:r>
    </w:p>
    <w:p w14:paraId="7A1606E6" w14:textId="77777777" w:rsidR="00ED770B" w:rsidRPr="00F80677" w:rsidRDefault="00ED770B" w:rsidP="00E858EF">
      <w:pPr>
        <w:suppressAutoHyphens/>
        <w:jc w:val="center"/>
      </w:pPr>
      <w:r w:rsidRPr="00F80677">
        <w:t>Faculty of Arts and Humanities</w:t>
      </w:r>
    </w:p>
    <w:p w14:paraId="3A138FF4" w14:textId="77777777" w:rsidR="00ED770B" w:rsidRPr="00F80677" w:rsidRDefault="00ED770B" w:rsidP="00E858EF">
      <w:pPr>
        <w:suppressAutoHyphens/>
        <w:jc w:val="center"/>
      </w:pPr>
      <w:r w:rsidRPr="00F80677">
        <w:t>Department of Archaeology</w:t>
      </w:r>
    </w:p>
    <w:p w14:paraId="1B865AC9" w14:textId="79E8B65E" w:rsidR="00ED770B" w:rsidRPr="00F80677" w:rsidRDefault="0014091D" w:rsidP="00E858EF">
      <w:pPr>
        <w:suppressAutoHyphens/>
        <w:jc w:val="center"/>
        <w:rPr>
          <w:sz w:val="40"/>
          <w:szCs w:val="40"/>
        </w:rPr>
      </w:pPr>
      <w:r w:rsidRPr="0014091D">
        <w:t>July</w:t>
      </w:r>
      <w:r w:rsidR="00ED770B" w:rsidRPr="0014091D">
        <w:t xml:space="preserve"> 2018</w:t>
      </w:r>
    </w:p>
    <w:p w14:paraId="0C558E04" w14:textId="74AA042B" w:rsidR="00ED770B" w:rsidRDefault="00ED770B" w:rsidP="00E858EF">
      <w:pPr>
        <w:suppressAutoHyphens/>
      </w:pPr>
      <w:r>
        <w:br w:type="page"/>
      </w:r>
    </w:p>
    <w:p w14:paraId="396EEA19" w14:textId="6F179107" w:rsidR="00ED770B" w:rsidRDefault="00ED770B" w:rsidP="00E858EF">
      <w:pPr>
        <w:suppressAutoHyphens/>
      </w:pPr>
      <w:r>
        <w:lastRenderedPageBreak/>
        <w:br w:type="page"/>
      </w:r>
    </w:p>
    <w:p w14:paraId="01FE3FA5" w14:textId="77777777" w:rsidR="00ED770B" w:rsidRPr="00F138BF" w:rsidRDefault="00ED770B" w:rsidP="00E858EF">
      <w:pPr>
        <w:pStyle w:val="Titolo1"/>
        <w:keepNext w:val="0"/>
        <w:keepLines w:val="0"/>
        <w:numPr>
          <w:ilvl w:val="0"/>
          <w:numId w:val="0"/>
        </w:numPr>
        <w:suppressAutoHyphens/>
      </w:pPr>
      <w:bookmarkStart w:id="2" w:name="_Toc519894580"/>
      <w:r w:rsidRPr="00F138BF">
        <w:lastRenderedPageBreak/>
        <w:t>Abstract</w:t>
      </w:r>
      <w:bookmarkEnd w:id="2"/>
      <w:r w:rsidRPr="00F138BF">
        <w:t xml:space="preserve"> </w:t>
      </w:r>
    </w:p>
    <w:p w14:paraId="11DC4CC0" w14:textId="77777777" w:rsidR="00ED770B" w:rsidRPr="00966DDC" w:rsidRDefault="00ED770B" w:rsidP="00E858EF">
      <w:pPr>
        <w:suppressAutoHyphens/>
      </w:pPr>
      <w:r w:rsidRPr="00966DDC">
        <w:t>This thesis analyses the published evidence from larnax burials o</w:t>
      </w:r>
      <w:r>
        <w:t>f</w:t>
      </w:r>
      <w:r w:rsidRPr="00966DDC">
        <w:t xml:space="preserve"> Late Bronze Age Crete focusing on contextual elements that characterise their adoption through an examination of their regional distributional patterns.</w:t>
      </w:r>
    </w:p>
    <w:p w14:paraId="4B7910E2" w14:textId="22E8A57E" w:rsidR="00ED770B" w:rsidRPr="00966DDC" w:rsidRDefault="00ED770B" w:rsidP="00E858EF">
      <w:pPr>
        <w:suppressAutoHyphens/>
        <w:ind w:firstLine="567"/>
      </w:pPr>
      <w:r w:rsidRPr="00966DDC">
        <w:t>Larnakes are burial receptacles made of clay</w:t>
      </w:r>
      <w:r>
        <w:t xml:space="preserve"> and they were</w:t>
      </w:r>
      <w:r w:rsidRPr="00966DDC">
        <w:t xml:space="preserve"> used in Crete and mainland Greece </w:t>
      </w:r>
      <w:r>
        <w:t xml:space="preserve">from </w:t>
      </w:r>
      <w:r w:rsidRPr="00966DDC">
        <w:t>the 3</w:t>
      </w:r>
      <w:r w:rsidRPr="00966DDC">
        <w:rPr>
          <w:vertAlign w:val="superscript"/>
        </w:rPr>
        <w:t>rd</w:t>
      </w:r>
      <w:r w:rsidRPr="00966DDC">
        <w:t xml:space="preserve"> and </w:t>
      </w:r>
      <w:r>
        <w:t xml:space="preserve">throughout most of </w:t>
      </w:r>
      <w:r w:rsidRPr="00966DDC">
        <w:t>2</w:t>
      </w:r>
      <w:r w:rsidRPr="00966DDC">
        <w:rPr>
          <w:vertAlign w:val="superscript"/>
        </w:rPr>
        <w:t>nd</w:t>
      </w:r>
      <w:r w:rsidRPr="00966DDC">
        <w:t xml:space="preserve"> millennium B.C. This type of cl</w:t>
      </w:r>
      <w:r>
        <w:t>ay coffin</w:t>
      </w:r>
      <w:r w:rsidRPr="00966DDC">
        <w:t xml:space="preserve"> represent</w:t>
      </w:r>
      <w:r>
        <w:t>s</w:t>
      </w:r>
      <w:r w:rsidRPr="00966DDC">
        <w:t xml:space="preserve"> one of </w:t>
      </w:r>
      <w:r>
        <w:t>several interment types</w:t>
      </w:r>
      <w:r w:rsidRPr="00966DDC">
        <w:t xml:space="preserve"> adopted in Crete duri</w:t>
      </w:r>
      <w:r>
        <w:t xml:space="preserve">ng the </w:t>
      </w:r>
      <w:r w:rsidR="00440C8D">
        <w:t xml:space="preserve">Late Minoan </w:t>
      </w:r>
      <w:r>
        <w:t>III period. Studies of larnakes have focu</w:t>
      </w:r>
      <w:r w:rsidRPr="00966DDC">
        <w:t xml:space="preserve">sed mainly on their origin and iconography, </w:t>
      </w:r>
      <w:r>
        <w:t xml:space="preserve">whereas </w:t>
      </w:r>
      <w:r w:rsidRPr="00966DDC">
        <w:t>their distribution and function as burial container</w:t>
      </w:r>
      <w:r>
        <w:t>s</w:t>
      </w:r>
      <w:r w:rsidRPr="00966DDC">
        <w:t xml:space="preserve"> have never</w:t>
      </w:r>
      <w:r>
        <w:t xml:space="preserve"> adequately</w:t>
      </w:r>
      <w:r w:rsidRPr="00966DDC">
        <w:t xml:space="preserve"> </w:t>
      </w:r>
      <w:r>
        <w:t xml:space="preserve">been </w:t>
      </w:r>
      <w:r w:rsidRPr="00966DDC">
        <w:t>explored</w:t>
      </w:r>
      <w:r>
        <w:t xml:space="preserve"> and examined</w:t>
      </w:r>
      <w:r w:rsidRPr="00966DDC">
        <w:t>.</w:t>
      </w:r>
    </w:p>
    <w:p w14:paraId="7E89823E" w14:textId="77777777" w:rsidR="00ED770B" w:rsidRDefault="00ED770B" w:rsidP="00E858EF">
      <w:pPr>
        <w:suppressAutoHyphens/>
        <w:ind w:firstLine="567"/>
      </w:pPr>
      <w:r>
        <w:t xml:space="preserve">In this study, </w:t>
      </w:r>
      <w:r w:rsidRPr="00966DDC">
        <w:t>data from secure larnax burials</w:t>
      </w:r>
      <w:r>
        <w:t xml:space="preserve"> containing larnakes</w:t>
      </w:r>
      <w:r w:rsidRPr="00966DDC">
        <w:t xml:space="preserve"> (cemeteries, tombs, skeletal remains, g</w:t>
      </w:r>
      <w:r>
        <w:t>rave goods assemblages, larnakes themselves</w:t>
      </w:r>
      <w:r w:rsidRPr="00966DDC">
        <w:t xml:space="preserve">) </w:t>
      </w:r>
      <w:r>
        <w:t xml:space="preserve">are considered and this </w:t>
      </w:r>
      <w:r w:rsidRPr="00966DDC">
        <w:t xml:space="preserve">evidence </w:t>
      </w:r>
      <w:r>
        <w:t xml:space="preserve">is </w:t>
      </w:r>
      <w:r w:rsidRPr="00966DDC">
        <w:t>examined on the basis of regional distribution.</w:t>
      </w:r>
    </w:p>
    <w:p w14:paraId="7C56840C" w14:textId="77777777" w:rsidR="00ED770B" w:rsidRDefault="00ED770B" w:rsidP="00E858EF">
      <w:pPr>
        <w:suppressAutoHyphens/>
        <w:ind w:firstLine="567"/>
      </w:pPr>
      <w:r w:rsidRPr="00966DDC">
        <w:t xml:space="preserve">The purpose of the present </w:t>
      </w:r>
      <w:r>
        <w:t xml:space="preserve">thesis is to understand the degree to which the adoption of larnakes as burial receptacles represented “meaningful action” within the funerary landscape of LM III Crete. </w:t>
      </w:r>
    </w:p>
    <w:p w14:paraId="1E14C68F" w14:textId="77777777" w:rsidR="00ED770B" w:rsidRDefault="00ED770B" w:rsidP="00E858EF">
      <w:pPr>
        <w:suppressAutoHyphens/>
        <w:ind w:firstLine="567"/>
      </w:pPr>
      <w:r>
        <w:t xml:space="preserve">The examination of regional and chronological distribution of burials with larnakes allows us to observe where and when larnakes were adopted and to identify the general trends and variations that characterise their use in LM III tombs. </w:t>
      </w:r>
    </w:p>
    <w:p w14:paraId="1E121BB7" w14:textId="77777777" w:rsidR="00ED770B" w:rsidRDefault="00ED770B" w:rsidP="00E858EF">
      <w:pPr>
        <w:suppressAutoHyphens/>
        <w:ind w:firstLine="567"/>
      </w:pPr>
      <w:r>
        <w:t>The results show that, besides the idea of larnakes as common burial receptacles adopted in LM III burials, the panorama of the funerary arena of LM III Crete is more complex. The conclusion of the present study is that, even though larnax receptacles were generally widespread, the choice of a larnax as an interment method was one that was deliberately made by certain sectors of the Cretan elite and represented a medium used for status advertisement and to express distinctive identities adapted to the needs and customs of local Cretan communities.</w:t>
      </w:r>
    </w:p>
    <w:p w14:paraId="37BE0510" w14:textId="75CF40D9" w:rsidR="00ED770B" w:rsidRDefault="00ED770B" w:rsidP="00E858EF">
      <w:pPr>
        <w:suppressAutoHyphens/>
      </w:pPr>
      <w:r>
        <w:br w:type="page"/>
      </w:r>
    </w:p>
    <w:p w14:paraId="2AF7C064" w14:textId="33291A19" w:rsidR="00163E2C" w:rsidRDefault="00163E2C" w:rsidP="00E858EF">
      <w:pPr>
        <w:suppressAutoHyphens/>
        <w:spacing w:line="240" w:lineRule="auto"/>
        <w:contextualSpacing w:val="0"/>
        <w:jc w:val="left"/>
        <w:rPr>
          <w:color w:val="000000"/>
        </w:rPr>
      </w:pPr>
      <w:r>
        <w:rPr>
          <w:color w:val="000000"/>
        </w:rPr>
        <w:lastRenderedPageBreak/>
        <w:br w:type="page"/>
      </w:r>
    </w:p>
    <w:p w14:paraId="046F23EA" w14:textId="77777777" w:rsidR="00163E2C" w:rsidRPr="00C831BC" w:rsidRDefault="00163E2C" w:rsidP="00E858EF">
      <w:pPr>
        <w:pStyle w:val="Titolo1"/>
        <w:keepNext w:val="0"/>
        <w:keepLines w:val="0"/>
        <w:numPr>
          <w:ilvl w:val="0"/>
          <w:numId w:val="0"/>
        </w:numPr>
        <w:suppressAutoHyphens/>
      </w:pPr>
      <w:bookmarkStart w:id="3" w:name="_Toc519894581"/>
      <w:r w:rsidRPr="00C831BC">
        <w:lastRenderedPageBreak/>
        <w:t>Acknowledgements</w:t>
      </w:r>
      <w:bookmarkEnd w:id="3"/>
    </w:p>
    <w:p w14:paraId="36C1854D" w14:textId="77777777" w:rsidR="00163E2C" w:rsidRPr="00291EB6" w:rsidRDefault="00163E2C" w:rsidP="00E858EF">
      <w:pPr>
        <w:pStyle w:val="Default"/>
        <w:suppressAutoHyphens/>
        <w:spacing w:after="120" w:line="360" w:lineRule="auto"/>
        <w:jc w:val="both"/>
        <w:rPr>
          <w:lang w:val="en-GB"/>
        </w:rPr>
      </w:pPr>
      <w:r w:rsidRPr="00291EB6">
        <w:rPr>
          <w:lang w:val="en-GB"/>
        </w:rPr>
        <w:t xml:space="preserve">First and foremost, I would like to thank my supervisors Professor John Bennet and Dr Sue Sherratt for their guidance, advice, patience and encouragement over these years. They have helped me </w:t>
      </w:r>
      <w:r>
        <w:rPr>
          <w:lang w:val="en-GB"/>
        </w:rPr>
        <w:t xml:space="preserve">to </w:t>
      </w:r>
      <w:r w:rsidRPr="00291EB6">
        <w:rPr>
          <w:lang w:val="en-GB"/>
        </w:rPr>
        <w:t xml:space="preserve">grow intellectually in numerous ways and I cannot thank them enough for their patience and many suggestions. I am also deeply grateful to Professor Paul Halstead for his advice and support and to Katerina Baxevani for her constant advice and encouragement. </w:t>
      </w:r>
      <w:r>
        <w:rPr>
          <w:lang w:val="en-GB"/>
        </w:rPr>
        <w:t>S</w:t>
      </w:r>
      <w:r w:rsidRPr="00291EB6">
        <w:rPr>
          <w:lang w:val="en-GB"/>
        </w:rPr>
        <w:t xml:space="preserve">pecial thanks go to Debi. They have </w:t>
      </w:r>
      <w:r>
        <w:rPr>
          <w:lang w:val="en-GB"/>
        </w:rPr>
        <w:t xml:space="preserve">all </w:t>
      </w:r>
      <w:r w:rsidRPr="00291EB6">
        <w:rPr>
          <w:lang w:val="en-GB"/>
        </w:rPr>
        <w:t xml:space="preserve">transmitted </w:t>
      </w:r>
      <w:r>
        <w:rPr>
          <w:lang w:val="en-GB"/>
        </w:rPr>
        <w:t xml:space="preserve">to </w:t>
      </w:r>
      <w:r w:rsidRPr="00291EB6">
        <w:rPr>
          <w:lang w:val="en-GB"/>
        </w:rPr>
        <w:t>me the</w:t>
      </w:r>
      <w:r>
        <w:rPr>
          <w:lang w:val="en-GB"/>
        </w:rPr>
        <w:t>ir</w:t>
      </w:r>
      <w:r w:rsidRPr="00291EB6">
        <w:rPr>
          <w:lang w:val="en-GB"/>
        </w:rPr>
        <w:t xml:space="preserve"> love and passion for the Aegean and Aegean Archaeology.</w:t>
      </w:r>
    </w:p>
    <w:p w14:paraId="3923A4C7" w14:textId="77777777" w:rsidR="00163E2C" w:rsidRDefault="00163E2C" w:rsidP="00E858EF">
      <w:pPr>
        <w:pStyle w:val="Default"/>
        <w:suppressAutoHyphens/>
        <w:spacing w:after="120" w:line="360" w:lineRule="auto"/>
        <w:jc w:val="both"/>
        <w:rPr>
          <w:lang w:val="en-GB"/>
        </w:rPr>
      </w:pPr>
      <w:r w:rsidRPr="00291EB6">
        <w:rPr>
          <w:lang w:val="en-GB"/>
        </w:rPr>
        <w:t xml:space="preserve">I have been very lucky to be part of </w:t>
      </w:r>
      <w:r>
        <w:rPr>
          <w:lang w:val="en-GB"/>
        </w:rPr>
        <w:t xml:space="preserve">the </w:t>
      </w:r>
      <w:r w:rsidRPr="00291EB6">
        <w:rPr>
          <w:lang w:val="en-GB"/>
        </w:rPr>
        <w:t>Sheffield Department of Archaeology and my thanks go to all the members of staff. I would also</w:t>
      </w:r>
      <w:r>
        <w:rPr>
          <w:lang w:val="en-GB"/>
        </w:rPr>
        <w:t xml:space="preserve"> like</w:t>
      </w:r>
      <w:r w:rsidRPr="00291EB6">
        <w:rPr>
          <w:lang w:val="en-GB"/>
        </w:rPr>
        <w:t xml:space="preserve"> to thank all the members of staff and librarians of the British School at Athens</w:t>
      </w:r>
      <w:r>
        <w:rPr>
          <w:lang w:val="en-GB"/>
        </w:rPr>
        <w:t>, who</w:t>
      </w:r>
      <w:r w:rsidRPr="00291EB6">
        <w:rPr>
          <w:lang w:val="en-GB"/>
        </w:rPr>
        <w:t xml:space="preserve"> have provided help and exchange</w:t>
      </w:r>
      <w:r>
        <w:rPr>
          <w:lang w:val="en-GB"/>
        </w:rPr>
        <w:t>d</w:t>
      </w:r>
      <w:r w:rsidRPr="00291EB6">
        <w:rPr>
          <w:lang w:val="en-GB"/>
        </w:rPr>
        <w:t xml:space="preserve"> ideas with me in the course of this research</w:t>
      </w:r>
      <w:r>
        <w:rPr>
          <w:lang w:val="en-GB"/>
        </w:rPr>
        <w:t>.</w:t>
      </w:r>
    </w:p>
    <w:p w14:paraId="27753CE9" w14:textId="77777777" w:rsidR="00163E2C" w:rsidRPr="00291EB6" w:rsidRDefault="00163E2C" w:rsidP="00E858EF">
      <w:pPr>
        <w:pStyle w:val="Default"/>
        <w:suppressAutoHyphens/>
        <w:spacing w:after="120" w:line="360" w:lineRule="auto"/>
        <w:jc w:val="both"/>
        <w:rPr>
          <w:lang w:val="en-GB"/>
        </w:rPr>
      </w:pPr>
      <w:r w:rsidRPr="00291EB6">
        <w:rPr>
          <w:lang w:val="en-GB"/>
        </w:rPr>
        <w:t xml:space="preserve">For three years of my PhD I have received </w:t>
      </w:r>
      <w:r>
        <w:rPr>
          <w:lang w:val="en-GB"/>
        </w:rPr>
        <w:t xml:space="preserve">a </w:t>
      </w:r>
      <w:r w:rsidRPr="00291EB6">
        <w:rPr>
          <w:lang w:val="en-GB"/>
        </w:rPr>
        <w:t xml:space="preserve">bursary in honour of Keith and Nong Branigan and I have also received the Sherratt </w:t>
      </w:r>
      <w:r>
        <w:rPr>
          <w:lang w:val="en-GB"/>
        </w:rPr>
        <w:t>F</w:t>
      </w:r>
      <w:r w:rsidRPr="00291EB6">
        <w:rPr>
          <w:lang w:val="en-GB"/>
        </w:rPr>
        <w:t xml:space="preserve">und </w:t>
      </w:r>
      <w:r>
        <w:rPr>
          <w:lang w:val="en-GB"/>
        </w:rPr>
        <w:t>which</w:t>
      </w:r>
      <w:r w:rsidRPr="00291EB6">
        <w:rPr>
          <w:lang w:val="en-GB"/>
        </w:rPr>
        <w:t xml:space="preserve"> helped me to travel to Greece and Crete to complete the material study collection.</w:t>
      </w:r>
      <w:r>
        <w:rPr>
          <w:lang w:val="en-GB"/>
        </w:rPr>
        <w:t xml:space="preserve"> I am very grateful for this assistance.</w:t>
      </w:r>
    </w:p>
    <w:p w14:paraId="57AE8F95" w14:textId="77777777" w:rsidR="00163E2C" w:rsidRPr="00291EB6" w:rsidRDefault="00163E2C" w:rsidP="00E858EF">
      <w:pPr>
        <w:pStyle w:val="Default"/>
        <w:suppressAutoHyphens/>
        <w:spacing w:after="120" w:line="360" w:lineRule="auto"/>
        <w:jc w:val="both"/>
        <w:rPr>
          <w:lang w:val="en-GB"/>
        </w:rPr>
      </w:pPr>
      <w:r w:rsidRPr="00291EB6">
        <w:rPr>
          <w:lang w:val="en-GB"/>
        </w:rPr>
        <w:t xml:space="preserve">I would have not been able to complete this work </w:t>
      </w:r>
      <w:r>
        <w:rPr>
          <w:lang w:val="en-GB"/>
        </w:rPr>
        <w:t>without</w:t>
      </w:r>
      <w:r w:rsidRPr="00291EB6">
        <w:rPr>
          <w:lang w:val="en-GB"/>
        </w:rPr>
        <w:t xml:space="preserve"> the help of my “Sheffield family” (Giulia, Laura, Roberta, Manuela, Lucy, Becky, Bea, Vale, Margarita, Miguel, Giorgi, Mila, Christos, Flo, Jane &amp; John) and my “Athens family” (Vale, Chiara, Lorenzo, Barbara, Giovanni, Chiara, Anna, Maestro Panagiotis, </w:t>
      </w:r>
      <w:r>
        <w:rPr>
          <w:lang w:val="en-GB"/>
        </w:rPr>
        <w:t xml:space="preserve">the </w:t>
      </w:r>
      <w:r w:rsidRPr="00291EB6">
        <w:rPr>
          <w:lang w:val="en-GB"/>
        </w:rPr>
        <w:t>Bakirtzi family).</w:t>
      </w:r>
    </w:p>
    <w:p w14:paraId="5EC73845" w14:textId="77777777" w:rsidR="00163E2C" w:rsidRDefault="00163E2C" w:rsidP="00E858EF">
      <w:pPr>
        <w:pStyle w:val="Default"/>
        <w:suppressAutoHyphens/>
        <w:spacing w:after="120" w:line="360" w:lineRule="auto"/>
        <w:jc w:val="both"/>
        <w:rPr>
          <w:lang w:val="en-GB"/>
        </w:rPr>
      </w:pPr>
      <w:r w:rsidRPr="00291EB6">
        <w:rPr>
          <w:lang w:val="en-GB"/>
        </w:rPr>
        <w:t xml:space="preserve">My sincere thanks </w:t>
      </w:r>
      <w:r>
        <w:rPr>
          <w:lang w:val="en-GB"/>
        </w:rPr>
        <w:t>go</w:t>
      </w:r>
      <w:r w:rsidRPr="00291EB6">
        <w:rPr>
          <w:lang w:val="en-GB"/>
        </w:rPr>
        <w:t xml:space="preserve"> to Silvi and Chiara, for </w:t>
      </w:r>
      <w:r>
        <w:rPr>
          <w:lang w:val="en-GB"/>
        </w:rPr>
        <w:t>their</w:t>
      </w:r>
      <w:r w:rsidRPr="00291EB6">
        <w:rPr>
          <w:lang w:val="en-GB"/>
        </w:rPr>
        <w:t xml:space="preserve"> constant </w:t>
      </w:r>
      <w:r>
        <w:rPr>
          <w:lang w:val="en-GB"/>
        </w:rPr>
        <w:t>support and love and to my friends Mimi, Lelli, Agnes, Bianca and Aldo.</w:t>
      </w:r>
    </w:p>
    <w:p w14:paraId="1BC6938C" w14:textId="77777777" w:rsidR="00163E2C" w:rsidRDefault="00163E2C" w:rsidP="00E858EF">
      <w:pPr>
        <w:pStyle w:val="Default"/>
        <w:suppressAutoHyphens/>
        <w:spacing w:after="120" w:line="360" w:lineRule="auto"/>
        <w:jc w:val="both"/>
        <w:rPr>
          <w:lang w:val="en-GB"/>
        </w:rPr>
      </w:pPr>
      <w:r>
        <w:rPr>
          <w:lang w:val="en-GB"/>
        </w:rPr>
        <w:t xml:space="preserve">A special thankyou goes to Pina and Lino for their love, </w:t>
      </w:r>
      <w:r w:rsidRPr="00291EB6">
        <w:rPr>
          <w:lang w:val="en-GB"/>
        </w:rPr>
        <w:t>patience and encouragement</w:t>
      </w:r>
      <w:r>
        <w:rPr>
          <w:lang w:val="en-GB"/>
        </w:rPr>
        <w:t>.</w:t>
      </w:r>
    </w:p>
    <w:p w14:paraId="2C172B97" w14:textId="77777777" w:rsidR="00163E2C" w:rsidRDefault="00163E2C" w:rsidP="00E858EF">
      <w:pPr>
        <w:pStyle w:val="Default"/>
        <w:suppressAutoHyphens/>
        <w:spacing w:after="120" w:line="360" w:lineRule="auto"/>
        <w:jc w:val="both"/>
        <w:rPr>
          <w:lang w:val="en-GB"/>
        </w:rPr>
      </w:pPr>
      <w:r w:rsidRPr="00291EB6">
        <w:rPr>
          <w:lang w:val="en-GB"/>
        </w:rPr>
        <w:t>This PhD has been funded by my parents. They have always believed in me and</w:t>
      </w:r>
      <w:r>
        <w:rPr>
          <w:lang w:val="en-GB"/>
        </w:rPr>
        <w:t xml:space="preserve"> helped me</w:t>
      </w:r>
      <w:r w:rsidRPr="00291EB6">
        <w:rPr>
          <w:lang w:val="en-GB"/>
        </w:rPr>
        <w:t xml:space="preserve"> with all their love and strength. I am deeply grateful to them. </w:t>
      </w:r>
    </w:p>
    <w:p w14:paraId="0FF00F82" w14:textId="77777777" w:rsidR="00163E2C" w:rsidRDefault="00163E2C" w:rsidP="00E858EF">
      <w:pPr>
        <w:pStyle w:val="Default"/>
        <w:suppressAutoHyphens/>
        <w:spacing w:after="120" w:line="360" w:lineRule="auto"/>
        <w:jc w:val="both"/>
        <w:rPr>
          <w:lang w:val="en-GB"/>
        </w:rPr>
      </w:pPr>
      <w:r>
        <w:rPr>
          <w:lang w:val="en-GB"/>
        </w:rPr>
        <w:t>Finally I would like to thank Andrea. He has constantly helped and supported me, with all his patience and love. He is the person with whom I share my love for Greece and Crete.</w:t>
      </w:r>
    </w:p>
    <w:p w14:paraId="078FA4EE" w14:textId="77777777" w:rsidR="00163E2C" w:rsidRDefault="00163E2C" w:rsidP="00E858EF">
      <w:pPr>
        <w:pStyle w:val="Default"/>
        <w:suppressAutoHyphens/>
        <w:rPr>
          <w:sz w:val="40"/>
          <w:szCs w:val="40"/>
        </w:rPr>
      </w:pPr>
      <w:r>
        <w:rPr>
          <w:sz w:val="40"/>
          <w:szCs w:val="40"/>
        </w:rPr>
        <w:br w:type="page"/>
      </w:r>
    </w:p>
    <w:p w14:paraId="4ADAF172" w14:textId="2CB6E281" w:rsidR="00163E2C" w:rsidRDefault="00163E2C" w:rsidP="00E858EF">
      <w:pPr>
        <w:suppressAutoHyphens/>
        <w:spacing w:line="240" w:lineRule="auto"/>
        <w:contextualSpacing w:val="0"/>
        <w:jc w:val="left"/>
        <w:rPr>
          <w:color w:val="000000"/>
        </w:rPr>
      </w:pPr>
      <w:r>
        <w:rPr>
          <w:color w:val="000000"/>
        </w:rPr>
        <w:lastRenderedPageBreak/>
        <w:br w:type="page"/>
      </w:r>
    </w:p>
    <w:p w14:paraId="0FD4F887" w14:textId="77777777" w:rsidR="00ED770B" w:rsidRPr="00ED770B" w:rsidRDefault="00ED770B" w:rsidP="00E858EF">
      <w:pPr>
        <w:pStyle w:val="Titolo1"/>
        <w:keepNext w:val="0"/>
        <w:keepLines w:val="0"/>
        <w:numPr>
          <w:ilvl w:val="0"/>
          <w:numId w:val="0"/>
        </w:numPr>
        <w:suppressAutoHyphens/>
      </w:pPr>
      <w:bookmarkStart w:id="4" w:name="_Toc519894582"/>
      <w:r w:rsidRPr="00ED770B">
        <w:lastRenderedPageBreak/>
        <w:t>Table of Contents</w:t>
      </w:r>
      <w:bookmarkEnd w:id="4"/>
    </w:p>
    <w:p w14:paraId="0AB1D74A" w14:textId="6623AB98" w:rsidR="00163E2C" w:rsidRDefault="009536C0" w:rsidP="00422526">
      <w:pPr>
        <w:pStyle w:val="Sommario1"/>
        <w:rPr>
          <w:rFonts w:asciiTheme="minorHAnsi" w:hAnsiTheme="minorHAnsi" w:cstheme="minorBidi"/>
          <w:noProof/>
          <w:lang w:eastAsia="en-GB"/>
        </w:rPr>
      </w:pPr>
      <w:r>
        <w:fldChar w:fldCharType="begin"/>
      </w:r>
      <w:r>
        <w:instrText xml:space="preserve"> TOC \o "1-2" \h \z \t "Heading 3,3" </w:instrText>
      </w:r>
      <w:r>
        <w:fldChar w:fldCharType="separate"/>
      </w:r>
      <w:hyperlink w:anchor="_Toc519894580" w:history="1">
        <w:r w:rsidR="00163E2C" w:rsidRPr="00E8268C">
          <w:rPr>
            <w:rStyle w:val="Collegamentoipertestuale"/>
            <w:noProof/>
          </w:rPr>
          <w:t>Abstract</w:t>
        </w:r>
        <w:r w:rsidR="00163E2C">
          <w:rPr>
            <w:noProof/>
            <w:webHidden/>
          </w:rPr>
          <w:tab/>
        </w:r>
        <w:r w:rsidR="00163E2C">
          <w:rPr>
            <w:noProof/>
            <w:webHidden/>
          </w:rPr>
          <w:fldChar w:fldCharType="begin"/>
        </w:r>
        <w:r w:rsidR="00163E2C">
          <w:rPr>
            <w:noProof/>
            <w:webHidden/>
          </w:rPr>
          <w:instrText xml:space="preserve"> PAGEREF _Toc519894580 \h </w:instrText>
        </w:r>
        <w:r w:rsidR="00163E2C">
          <w:rPr>
            <w:noProof/>
            <w:webHidden/>
          </w:rPr>
        </w:r>
        <w:r w:rsidR="00163E2C">
          <w:rPr>
            <w:noProof/>
            <w:webHidden/>
          </w:rPr>
          <w:fldChar w:fldCharType="separate"/>
        </w:r>
        <w:r w:rsidR="00412C3C">
          <w:rPr>
            <w:noProof/>
            <w:webHidden/>
          </w:rPr>
          <w:t>3</w:t>
        </w:r>
        <w:r w:rsidR="00163E2C">
          <w:rPr>
            <w:noProof/>
            <w:webHidden/>
          </w:rPr>
          <w:fldChar w:fldCharType="end"/>
        </w:r>
      </w:hyperlink>
    </w:p>
    <w:p w14:paraId="639CF744" w14:textId="7DB880A3" w:rsidR="00163E2C" w:rsidRDefault="00874C0C" w:rsidP="00422526">
      <w:pPr>
        <w:pStyle w:val="Sommario1"/>
        <w:rPr>
          <w:rFonts w:asciiTheme="minorHAnsi" w:hAnsiTheme="minorHAnsi" w:cstheme="minorBidi"/>
          <w:noProof/>
          <w:lang w:eastAsia="en-GB"/>
        </w:rPr>
      </w:pPr>
      <w:hyperlink w:anchor="_Toc519894581" w:history="1">
        <w:r w:rsidR="00163E2C" w:rsidRPr="00E8268C">
          <w:rPr>
            <w:rStyle w:val="Collegamentoipertestuale"/>
            <w:noProof/>
          </w:rPr>
          <w:t>Acknowledgements</w:t>
        </w:r>
        <w:r w:rsidR="00163E2C">
          <w:rPr>
            <w:noProof/>
            <w:webHidden/>
          </w:rPr>
          <w:tab/>
        </w:r>
        <w:r w:rsidR="00163E2C">
          <w:rPr>
            <w:noProof/>
            <w:webHidden/>
          </w:rPr>
          <w:fldChar w:fldCharType="begin"/>
        </w:r>
        <w:r w:rsidR="00163E2C">
          <w:rPr>
            <w:noProof/>
            <w:webHidden/>
          </w:rPr>
          <w:instrText xml:space="preserve"> PAGEREF _Toc519894581 \h </w:instrText>
        </w:r>
        <w:r w:rsidR="00163E2C">
          <w:rPr>
            <w:noProof/>
            <w:webHidden/>
          </w:rPr>
        </w:r>
        <w:r w:rsidR="00163E2C">
          <w:rPr>
            <w:noProof/>
            <w:webHidden/>
          </w:rPr>
          <w:fldChar w:fldCharType="separate"/>
        </w:r>
        <w:r w:rsidR="00412C3C">
          <w:rPr>
            <w:noProof/>
            <w:webHidden/>
          </w:rPr>
          <w:t>5</w:t>
        </w:r>
        <w:r w:rsidR="00163E2C">
          <w:rPr>
            <w:noProof/>
            <w:webHidden/>
          </w:rPr>
          <w:fldChar w:fldCharType="end"/>
        </w:r>
      </w:hyperlink>
    </w:p>
    <w:p w14:paraId="17C6CD30" w14:textId="707F87CA" w:rsidR="00163E2C" w:rsidRDefault="00422526" w:rsidP="00E858EF">
      <w:pPr>
        <w:pStyle w:val="Sommario1"/>
        <w:tabs>
          <w:tab w:val="right" w:leader="dot" w:pos="8488"/>
        </w:tabs>
        <w:suppressAutoHyphens/>
        <w:rPr>
          <w:rFonts w:asciiTheme="minorHAnsi" w:hAnsiTheme="minorHAnsi" w:cstheme="minorBidi"/>
          <w:b w:val="0"/>
          <w:noProof/>
          <w:lang w:eastAsia="en-GB"/>
        </w:rPr>
      </w:pPr>
      <w:hyperlink w:anchor="_Toc519894582" w:history="1">
        <w:r w:rsidR="00163E2C" w:rsidRPr="00E8268C">
          <w:rPr>
            <w:rStyle w:val="Collegamentoipertestuale"/>
            <w:noProof/>
          </w:rPr>
          <w:t>Table of Contents</w:t>
        </w:r>
        <w:r w:rsidR="00163E2C">
          <w:rPr>
            <w:noProof/>
            <w:webHidden/>
          </w:rPr>
          <w:tab/>
        </w:r>
        <w:r w:rsidR="00163E2C">
          <w:rPr>
            <w:noProof/>
            <w:webHidden/>
          </w:rPr>
          <w:fldChar w:fldCharType="begin"/>
        </w:r>
        <w:r w:rsidR="00163E2C">
          <w:rPr>
            <w:noProof/>
            <w:webHidden/>
          </w:rPr>
          <w:instrText xml:space="preserve"> PAGEREF _Toc519894582 \h </w:instrText>
        </w:r>
        <w:r w:rsidR="00163E2C">
          <w:rPr>
            <w:noProof/>
            <w:webHidden/>
          </w:rPr>
        </w:r>
        <w:r w:rsidR="00163E2C">
          <w:rPr>
            <w:noProof/>
            <w:webHidden/>
          </w:rPr>
          <w:fldChar w:fldCharType="separate"/>
        </w:r>
        <w:r w:rsidR="00412C3C">
          <w:rPr>
            <w:noProof/>
            <w:webHidden/>
          </w:rPr>
          <w:t>7</w:t>
        </w:r>
        <w:r w:rsidR="00163E2C">
          <w:rPr>
            <w:noProof/>
            <w:webHidden/>
          </w:rPr>
          <w:fldChar w:fldCharType="end"/>
        </w:r>
      </w:hyperlink>
    </w:p>
    <w:p w14:paraId="40BA69FA" w14:textId="197B011A" w:rsidR="00163E2C" w:rsidRDefault="00422526" w:rsidP="00E858EF">
      <w:pPr>
        <w:pStyle w:val="Sommario1"/>
        <w:tabs>
          <w:tab w:val="right" w:leader="dot" w:pos="8488"/>
        </w:tabs>
        <w:suppressAutoHyphens/>
        <w:rPr>
          <w:rFonts w:asciiTheme="minorHAnsi" w:hAnsiTheme="minorHAnsi" w:cstheme="minorBidi"/>
          <w:b w:val="0"/>
          <w:noProof/>
          <w:lang w:eastAsia="en-GB"/>
        </w:rPr>
      </w:pPr>
      <w:hyperlink w:anchor="_Toc519894583" w:history="1">
        <w:r w:rsidR="00163E2C" w:rsidRPr="00E8268C">
          <w:rPr>
            <w:rStyle w:val="Collegamentoipertestuale"/>
            <w:noProof/>
          </w:rPr>
          <w:t>List of Figures</w:t>
        </w:r>
        <w:r w:rsidR="00163E2C">
          <w:rPr>
            <w:noProof/>
            <w:webHidden/>
          </w:rPr>
          <w:tab/>
        </w:r>
        <w:r w:rsidR="00163E2C">
          <w:rPr>
            <w:noProof/>
            <w:webHidden/>
          </w:rPr>
          <w:fldChar w:fldCharType="begin"/>
        </w:r>
        <w:r w:rsidR="00163E2C">
          <w:rPr>
            <w:noProof/>
            <w:webHidden/>
          </w:rPr>
          <w:instrText xml:space="preserve"> PAGEREF _Toc519894583 \h </w:instrText>
        </w:r>
        <w:r w:rsidR="00163E2C">
          <w:rPr>
            <w:noProof/>
            <w:webHidden/>
          </w:rPr>
        </w:r>
        <w:r w:rsidR="00163E2C">
          <w:rPr>
            <w:noProof/>
            <w:webHidden/>
          </w:rPr>
          <w:fldChar w:fldCharType="separate"/>
        </w:r>
        <w:r w:rsidR="00412C3C">
          <w:rPr>
            <w:noProof/>
            <w:webHidden/>
          </w:rPr>
          <w:t>13</w:t>
        </w:r>
        <w:r w:rsidR="00163E2C">
          <w:rPr>
            <w:noProof/>
            <w:webHidden/>
          </w:rPr>
          <w:fldChar w:fldCharType="end"/>
        </w:r>
      </w:hyperlink>
    </w:p>
    <w:p w14:paraId="4A8076DC" w14:textId="0E25E289" w:rsidR="00163E2C" w:rsidRDefault="00163E2C" w:rsidP="00E858EF">
      <w:pPr>
        <w:pStyle w:val="Sommario1"/>
        <w:tabs>
          <w:tab w:val="right" w:leader="dot" w:pos="8488"/>
        </w:tabs>
        <w:suppressAutoHyphens/>
        <w:rPr>
          <w:rFonts w:asciiTheme="minorHAnsi" w:hAnsiTheme="minorHAnsi" w:cstheme="minorBidi"/>
          <w:b w:val="0"/>
          <w:noProof/>
          <w:lang w:eastAsia="en-GB"/>
        </w:rPr>
      </w:pPr>
      <w:r w:rsidRPr="00422526">
        <w:t>List of Tables</w:t>
      </w:r>
      <w:r>
        <w:rPr>
          <w:noProof/>
          <w:webHidden/>
        </w:rPr>
        <w:tab/>
      </w:r>
      <w:r w:rsidR="00207D94">
        <w:rPr>
          <w:noProof/>
          <w:webHidden/>
        </w:rPr>
        <w:t>19</w:t>
      </w:r>
    </w:p>
    <w:p w14:paraId="3D5CA3FF" w14:textId="5E7060A2" w:rsidR="00163E2C" w:rsidRDefault="00163E2C" w:rsidP="00E858EF">
      <w:pPr>
        <w:pStyle w:val="Sommario1"/>
        <w:tabs>
          <w:tab w:val="right" w:leader="dot" w:pos="8488"/>
        </w:tabs>
        <w:suppressAutoHyphens/>
        <w:rPr>
          <w:rFonts w:asciiTheme="minorHAnsi" w:hAnsiTheme="minorHAnsi" w:cstheme="minorBidi"/>
          <w:b w:val="0"/>
          <w:noProof/>
          <w:lang w:eastAsia="en-GB"/>
        </w:rPr>
      </w:pPr>
      <w:r w:rsidRPr="00422526">
        <w:t>1</w:t>
      </w:r>
      <w:r>
        <w:rPr>
          <w:rFonts w:asciiTheme="minorHAnsi" w:hAnsiTheme="minorHAnsi" w:cstheme="minorBidi"/>
          <w:b w:val="0"/>
          <w:noProof/>
          <w:lang w:eastAsia="en-GB"/>
        </w:rPr>
        <w:tab/>
      </w:r>
      <w:r w:rsidRPr="00422526">
        <w:t>INTRODUCTION</w:t>
      </w:r>
      <w:r>
        <w:rPr>
          <w:noProof/>
          <w:webHidden/>
        </w:rPr>
        <w:tab/>
      </w:r>
      <w:r w:rsidR="005421B0">
        <w:rPr>
          <w:noProof/>
          <w:webHidden/>
        </w:rPr>
        <w:t>25</w:t>
      </w:r>
    </w:p>
    <w:p w14:paraId="260C51D1" w14:textId="18380FE7" w:rsidR="00163E2C" w:rsidRDefault="00163E2C" w:rsidP="00E858EF">
      <w:pPr>
        <w:pStyle w:val="Sommario2"/>
        <w:tabs>
          <w:tab w:val="right" w:leader="dot" w:pos="8488"/>
        </w:tabs>
        <w:suppressAutoHyphens/>
        <w:rPr>
          <w:rFonts w:asciiTheme="minorHAnsi" w:hAnsiTheme="minorHAnsi" w:cstheme="minorBidi"/>
          <w:noProof/>
          <w:lang w:eastAsia="en-GB"/>
        </w:rPr>
      </w:pPr>
      <w:r w:rsidRPr="00422526">
        <w:t>1.1</w:t>
      </w:r>
      <w:r>
        <w:rPr>
          <w:rFonts w:asciiTheme="minorHAnsi" w:hAnsiTheme="minorHAnsi" w:cstheme="minorBidi"/>
          <w:noProof/>
          <w:lang w:eastAsia="en-GB"/>
        </w:rPr>
        <w:tab/>
      </w:r>
      <w:r w:rsidRPr="00422526">
        <w:t>Why larnakes?</w:t>
      </w:r>
      <w:r>
        <w:rPr>
          <w:noProof/>
          <w:webHidden/>
        </w:rPr>
        <w:tab/>
      </w:r>
      <w:r w:rsidR="00292F90">
        <w:rPr>
          <w:noProof/>
          <w:webHidden/>
        </w:rPr>
        <w:t>26</w:t>
      </w:r>
    </w:p>
    <w:p w14:paraId="41AB9325" w14:textId="39C6DDB8"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587" w:history="1">
        <w:r w:rsidR="00163E2C" w:rsidRPr="00E8268C">
          <w:rPr>
            <w:rStyle w:val="Collegamentoipertestuale"/>
            <w:noProof/>
            <w14:scene3d>
              <w14:camera w14:prst="orthographicFront"/>
              <w14:lightRig w14:rig="threePt" w14:dir="t">
                <w14:rot w14:lat="0" w14:lon="0" w14:rev="0"/>
              </w14:lightRig>
            </w14:scene3d>
          </w:rPr>
          <w:t>1.2</w:t>
        </w:r>
        <w:r w:rsidR="00163E2C">
          <w:rPr>
            <w:rFonts w:asciiTheme="minorHAnsi" w:hAnsiTheme="minorHAnsi" w:cstheme="minorBidi"/>
            <w:noProof/>
            <w:lang w:eastAsia="en-GB"/>
          </w:rPr>
          <w:tab/>
        </w:r>
        <w:r w:rsidR="00163E2C" w:rsidRPr="00E8268C">
          <w:rPr>
            <w:rStyle w:val="Collegamentoipertestuale"/>
            <w:noProof/>
          </w:rPr>
          <w:t>Why a contextual analysis of LM III burials with larnakes?</w:t>
        </w:r>
        <w:r w:rsidR="00163E2C">
          <w:rPr>
            <w:noProof/>
            <w:webHidden/>
          </w:rPr>
          <w:tab/>
        </w:r>
        <w:r w:rsidR="00220DAC">
          <w:rPr>
            <w:noProof/>
            <w:webHidden/>
          </w:rPr>
          <w:t>28</w:t>
        </w:r>
      </w:hyperlink>
    </w:p>
    <w:p w14:paraId="6E38D292" w14:textId="1D34BCA7"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588" w:history="1">
        <w:r w:rsidR="00163E2C" w:rsidRPr="00E8268C">
          <w:rPr>
            <w:rStyle w:val="Collegamentoipertestuale"/>
            <w:noProof/>
            <w14:scene3d>
              <w14:camera w14:prst="orthographicFront"/>
              <w14:lightRig w14:rig="threePt" w14:dir="t">
                <w14:rot w14:lat="0" w14:lon="0" w14:rev="0"/>
              </w14:lightRig>
            </w14:scene3d>
          </w:rPr>
          <w:t>1.3</w:t>
        </w:r>
        <w:r w:rsidR="00163E2C">
          <w:rPr>
            <w:rFonts w:asciiTheme="minorHAnsi" w:hAnsiTheme="minorHAnsi" w:cstheme="minorBidi"/>
            <w:noProof/>
            <w:lang w:eastAsia="en-GB"/>
          </w:rPr>
          <w:tab/>
        </w:r>
        <w:r w:rsidR="00163E2C" w:rsidRPr="00E8268C">
          <w:rPr>
            <w:rStyle w:val="Collegamentoipertestuale"/>
            <w:noProof/>
          </w:rPr>
          <w:t>Why regional distribution?</w:t>
        </w:r>
        <w:r w:rsidR="00163E2C">
          <w:rPr>
            <w:noProof/>
            <w:webHidden/>
          </w:rPr>
          <w:tab/>
        </w:r>
        <w:r w:rsidR="00220DAC">
          <w:rPr>
            <w:noProof/>
            <w:webHidden/>
          </w:rPr>
          <w:t>30</w:t>
        </w:r>
      </w:hyperlink>
    </w:p>
    <w:p w14:paraId="14F32CF8" w14:textId="0B362039"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589" w:history="1">
        <w:r w:rsidR="00163E2C" w:rsidRPr="00E8268C">
          <w:rPr>
            <w:rStyle w:val="Collegamentoipertestuale"/>
            <w:noProof/>
            <w14:scene3d>
              <w14:camera w14:prst="orthographicFront"/>
              <w14:lightRig w14:rig="threePt" w14:dir="t">
                <w14:rot w14:lat="0" w14:lon="0" w14:rev="0"/>
              </w14:lightRig>
            </w14:scene3d>
          </w:rPr>
          <w:t>1.4</w:t>
        </w:r>
        <w:r w:rsidR="00163E2C">
          <w:rPr>
            <w:rFonts w:asciiTheme="minorHAnsi" w:hAnsiTheme="minorHAnsi" w:cstheme="minorBidi"/>
            <w:noProof/>
            <w:lang w:eastAsia="en-GB"/>
          </w:rPr>
          <w:tab/>
        </w:r>
        <w:r w:rsidR="00163E2C" w:rsidRPr="00E8268C">
          <w:rPr>
            <w:rStyle w:val="Collegamentoipertestuale"/>
            <w:noProof/>
          </w:rPr>
          <w:t>Recording and organising the archaeological data</w:t>
        </w:r>
        <w:r w:rsidR="00163E2C">
          <w:rPr>
            <w:noProof/>
            <w:webHidden/>
          </w:rPr>
          <w:tab/>
        </w:r>
        <w:r w:rsidR="00220DAC">
          <w:rPr>
            <w:noProof/>
            <w:webHidden/>
          </w:rPr>
          <w:t>32</w:t>
        </w:r>
      </w:hyperlink>
    </w:p>
    <w:p w14:paraId="5010D85F" w14:textId="367EDE1C"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590" w:history="1">
        <w:r w:rsidR="00163E2C" w:rsidRPr="00E8268C">
          <w:rPr>
            <w:rStyle w:val="Collegamentoipertestuale"/>
            <w:noProof/>
            <w14:scene3d>
              <w14:camera w14:prst="orthographicFront"/>
              <w14:lightRig w14:rig="threePt" w14:dir="t">
                <w14:rot w14:lat="0" w14:lon="0" w14:rev="0"/>
              </w14:lightRig>
            </w14:scene3d>
          </w:rPr>
          <w:t>1.5</w:t>
        </w:r>
        <w:r w:rsidR="00163E2C">
          <w:rPr>
            <w:rFonts w:asciiTheme="minorHAnsi" w:hAnsiTheme="minorHAnsi" w:cstheme="minorBidi"/>
            <w:noProof/>
            <w:lang w:eastAsia="en-GB"/>
          </w:rPr>
          <w:tab/>
        </w:r>
        <w:r w:rsidR="00163E2C" w:rsidRPr="00E8268C">
          <w:rPr>
            <w:rStyle w:val="Collegamentoipertestuale"/>
            <w:noProof/>
          </w:rPr>
          <w:t>Thesis outline</w:t>
        </w:r>
        <w:r w:rsidR="00163E2C">
          <w:rPr>
            <w:noProof/>
            <w:webHidden/>
          </w:rPr>
          <w:tab/>
        </w:r>
        <w:r w:rsidR="00220DAC">
          <w:rPr>
            <w:noProof/>
            <w:webHidden/>
          </w:rPr>
          <w:t>33</w:t>
        </w:r>
      </w:hyperlink>
    </w:p>
    <w:p w14:paraId="314989C8" w14:textId="3C1BA2E0" w:rsidR="00163E2C" w:rsidRDefault="003058D3" w:rsidP="00E858EF">
      <w:pPr>
        <w:pStyle w:val="Sommario1"/>
        <w:tabs>
          <w:tab w:val="right" w:leader="dot" w:pos="8488"/>
        </w:tabs>
        <w:suppressAutoHyphens/>
        <w:rPr>
          <w:rFonts w:asciiTheme="minorHAnsi" w:hAnsiTheme="minorHAnsi" w:cstheme="minorBidi"/>
          <w:b w:val="0"/>
          <w:noProof/>
          <w:lang w:eastAsia="en-GB"/>
        </w:rPr>
      </w:pPr>
      <w:hyperlink w:anchor="_Toc519894591" w:history="1">
        <w:r w:rsidR="00163E2C" w:rsidRPr="00E8268C">
          <w:rPr>
            <w:rStyle w:val="Collegamentoipertestuale"/>
            <w:noProof/>
          </w:rPr>
          <w:t>2</w:t>
        </w:r>
        <w:r w:rsidR="00163E2C">
          <w:rPr>
            <w:rFonts w:asciiTheme="minorHAnsi" w:hAnsiTheme="minorHAnsi" w:cstheme="minorBidi"/>
            <w:b w:val="0"/>
            <w:noProof/>
            <w:lang w:eastAsia="en-GB"/>
          </w:rPr>
          <w:tab/>
        </w:r>
        <w:r w:rsidR="00163E2C" w:rsidRPr="00E8268C">
          <w:rPr>
            <w:rStyle w:val="Collegamentoipertestuale"/>
            <w:noProof/>
          </w:rPr>
          <w:t>LARNAKES: HISTORY OF INTERPRETATION AND USE</w:t>
        </w:r>
        <w:r w:rsidR="00163E2C">
          <w:rPr>
            <w:noProof/>
            <w:webHidden/>
          </w:rPr>
          <w:tab/>
        </w:r>
        <w:r w:rsidR="00220DAC">
          <w:rPr>
            <w:noProof/>
            <w:webHidden/>
          </w:rPr>
          <w:t>37</w:t>
        </w:r>
      </w:hyperlink>
    </w:p>
    <w:p w14:paraId="6D378C41" w14:textId="0B4448E4"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592" w:history="1">
        <w:r w:rsidR="00163E2C" w:rsidRPr="00E8268C">
          <w:rPr>
            <w:rStyle w:val="Collegamentoipertestuale"/>
            <w:noProof/>
            <w14:scene3d>
              <w14:camera w14:prst="orthographicFront"/>
              <w14:lightRig w14:rig="threePt" w14:dir="t">
                <w14:rot w14:lat="0" w14:lon="0" w14:rev="0"/>
              </w14:lightRig>
            </w14:scene3d>
          </w:rPr>
          <w:t>2.1</w:t>
        </w:r>
        <w:r w:rsidR="00163E2C">
          <w:rPr>
            <w:rFonts w:asciiTheme="minorHAnsi" w:hAnsiTheme="minorHAnsi" w:cstheme="minorBidi"/>
            <w:noProof/>
            <w:lang w:eastAsia="en-GB"/>
          </w:rPr>
          <w:tab/>
        </w:r>
        <w:r w:rsidR="00163E2C" w:rsidRPr="00E8268C">
          <w:rPr>
            <w:rStyle w:val="Collegamentoipertestuale"/>
            <w:noProof/>
          </w:rPr>
          <w:t>An introduction</w:t>
        </w:r>
        <w:r w:rsidR="00163E2C">
          <w:rPr>
            <w:noProof/>
            <w:webHidden/>
          </w:rPr>
          <w:tab/>
        </w:r>
        <w:r w:rsidR="00220DAC">
          <w:rPr>
            <w:noProof/>
            <w:webHidden/>
          </w:rPr>
          <w:t>37</w:t>
        </w:r>
      </w:hyperlink>
    </w:p>
    <w:p w14:paraId="070C8836" w14:textId="55ACFA50"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593" w:history="1">
        <w:r w:rsidR="00163E2C" w:rsidRPr="00E8268C">
          <w:rPr>
            <w:rStyle w:val="Collegamentoipertestuale"/>
            <w:noProof/>
            <w14:scene3d>
              <w14:camera w14:prst="orthographicFront"/>
              <w14:lightRig w14:rig="threePt" w14:dir="t">
                <w14:rot w14:lat="0" w14:lon="0" w14:rev="0"/>
              </w14:lightRig>
            </w14:scene3d>
          </w:rPr>
          <w:t>2.2</w:t>
        </w:r>
        <w:r w:rsidR="00163E2C">
          <w:rPr>
            <w:rFonts w:asciiTheme="minorHAnsi" w:hAnsiTheme="minorHAnsi" w:cstheme="minorBidi"/>
            <w:noProof/>
            <w:lang w:eastAsia="en-GB"/>
          </w:rPr>
          <w:tab/>
        </w:r>
        <w:r w:rsidR="00163E2C" w:rsidRPr="00E8268C">
          <w:rPr>
            <w:rStyle w:val="Collegamentoipertestuale"/>
            <w:noProof/>
          </w:rPr>
          <w:t>From the first discoveries to today: how larnax finds influenced and shaped the research</w:t>
        </w:r>
        <w:r w:rsidR="00163E2C">
          <w:rPr>
            <w:noProof/>
            <w:webHidden/>
          </w:rPr>
          <w:tab/>
        </w:r>
        <w:r w:rsidR="00035A6A">
          <w:rPr>
            <w:noProof/>
            <w:webHidden/>
          </w:rPr>
          <w:t>37</w:t>
        </w:r>
      </w:hyperlink>
    </w:p>
    <w:p w14:paraId="06D236FE" w14:textId="680BC4B3"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594" w:history="1">
        <w:r w:rsidR="00163E2C" w:rsidRPr="00E8268C">
          <w:rPr>
            <w:rStyle w:val="Collegamentoipertestuale"/>
            <w:noProof/>
            <w14:scene3d>
              <w14:camera w14:prst="orthographicFront"/>
              <w14:lightRig w14:rig="threePt" w14:dir="t">
                <w14:rot w14:lat="0" w14:lon="0" w14:rev="0"/>
              </w14:lightRig>
            </w14:scene3d>
          </w:rPr>
          <w:t>2.3</w:t>
        </w:r>
        <w:r w:rsidR="00163E2C">
          <w:rPr>
            <w:rFonts w:asciiTheme="minorHAnsi" w:hAnsiTheme="minorHAnsi" w:cstheme="minorBidi"/>
            <w:noProof/>
            <w:lang w:eastAsia="en-GB"/>
          </w:rPr>
          <w:tab/>
        </w:r>
        <w:r w:rsidR="00163E2C" w:rsidRPr="00E8268C">
          <w:rPr>
            <w:rStyle w:val="Collegamentoipertestuale"/>
            <w:noProof/>
          </w:rPr>
          <w:t>Main issues and interpretation</w:t>
        </w:r>
        <w:r w:rsidR="00163E2C">
          <w:rPr>
            <w:noProof/>
            <w:webHidden/>
          </w:rPr>
          <w:tab/>
        </w:r>
        <w:r w:rsidR="00035A6A">
          <w:rPr>
            <w:noProof/>
            <w:webHidden/>
          </w:rPr>
          <w:t>44</w:t>
        </w:r>
      </w:hyperlink>
    </w:p>
    <w:p w14:paraId="49946AAA" w14:textId="2685E79D"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595" w:history="1">
        <w:r w:rsidR="00163E2C" w:rsidRPr="00E8268C">
          <w:rPr>
            <w:rStyle w:val="Collegamentoipertestuale"/>
            <w:noProof/>
          </w:rPr>
          <w:t>2.3.1</w:t>
        </w:r>
        <w:r w:rsidR="00163E2C">
          <w:rPr>
            <w:rFonts w:asciiTheme="minorHAnsi" w:hAnsiTheme="minorHAnsi" w:cstheme="minorBidi"/>
            <w:noProof/>
            <w:lang w:eastAsia="en-GB"/>
          </w:rPr>
          <w:tab/>
        </w:r>
        <w:r w:rsidR="00163E2C" w:rsidRPr="00E8268C">
          <w:rPr>
            <w:rStyle w:val="Collegamentoipertestuale"/>
            <w:noProof/>
          </w:rPr>
          <w:t>Studies about the origins</w:t>
        </w:r>
        <w:r w:rsidR="00163E2C">
          <w:rPr>
            <w:noProof/>
            <w:webHidden/>
          </w:rPr>
          <w:tab/>
        </w:r>
        <w:r w:rsidR="00F3209F">
          <w:rPr>
            <w:noProof/>
            <w:webHidden/>
          </w:rPr>
          <w:t>44</w:t>
        </w:r>
      </w:hyperlink>
    </w:p>
    <w:p w14:paraId="5DCCE508" w14:textId="4C593B56"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596" w:history="1">
        <w:r w:rsidR="00163E2C" w:rsidRPr="00E8268C">
          <w:rPr>
            <w:rStyle w:val="Collegamentoipertestuale"/>
            <w:noProof/>
          </w:rPr>
          <w:t>2.3.2</w:t>
        </w:r>
        <w:r w:rsidR="00163E2C">
          <w:rPr>
            <w:rFonts w:asciiTheme="minorHAnsi" w:hAnsiTheme="minorHAnsi" w:cstheme="minorBidi"/>
            <w:noProof/>
            <w:lang w:eastAsia="en-GB"/>
          </w:rPr>
          <w:tab/>
        </w:r>
        <w:r w:rsidR="00163E2C" w:rsidRPr="00E8268C">
          <w:rPr>
            <w:rStyle w:val="Collegamentoipertestuale"/>
            <w:noProof/>
          </w:rPr>
          <w:t>Iconographical studies: general studies and monographs</w:t>
        </w:r>
        <w:r w:rsidR="00163E2C">
          <w:rPr>
            <w:noProof/>
            <w:webHidden/>
          </w:rPr>
          <w:tab/>
        </w:r>
        <w:r w:rsidR="00163E2C">
          <w:rPr>
            <w:noProof/>
            <w:webHidden/>
          </w:rPr>
          <w:fldChar w:fldCharType="begin"/>
        </w:r>
        <w:r w:rsidR="00163E2C">
          <w:rPr>
            <w:noProof/>
            <w:webHidden/>
          </w:rPr>
          <w:instrText xml:space="preserve"> PAGEREF _Toc519894596 \h </w:instrText>
        </w:r>
        <w:r w:rsidR="00163E2C">
          <w:rPr>
            <w:noProof/>
            <w:webHidden/>
          </w:rPr>
        </w:r>
        <w:r w:rsidR="00163E2C">
          <w:rPr>
            <w:noProof/>
            <w:webHidden/>
          </w:rPr>
          <w:fldChar w:fldCharType="separate"/>
        </w:r>
        <w:r w:rsidR="00412C3C">
          <w:rPr>
            <w:noProof/>
            <w:webHidden/>
          </w:rPr>
          <w:t>4</w:t>
        </w:r>
        <w:r w:rsidR="00F3209F">
          <w:rPr>
            <w:noProof/>
            <w:webHidden/>
          </w:rPr>
          <w:t>7</w:t>
        </w:r>
        <w:r w:rsidR="00163E2C">
          <w:rPr>
            <w:noProof/>
            <w:webHidden/>
          </w:rPr>
          <w:fldChar w:fldCharType="end"/>
        </w:r>
      </w:hyperlink>
    </w:p>
    <w:p w14:paraId="187B459E" w14:textId="2068CD06"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597" w:history="1">
        <w:r w:rsidR="00163E2C" w:rsidRPr="00E8268C">
          <w:rPr>
            <w:rStyle w:val="Collegamentoipertestuale"/>
            <w:noProof/>
            <w14:scene3d>
              <w14:camera w14:prst="orthographicFront"/>
              <w14:lightRig w14:rig="threePt" w14:dir="t">
                <w14:rot w14:lat="0" w14:lon="0" w14:rev="0"/>
              </w14:lightRig>
            </w14:scene3d>
          </w:rPr>
          <w:t>2.4</w:t>
        </w:r>
        <w:r w:rsidR="00163E2C">
          <w:rPr>
            <w:rFonts w:asciiTheme="minorHAnsi" w:hAnsiTheme="minorHAnsi" w:cstheme="minorBidi"/>
            <w:noProof/>
            <w:lang w:eastAsia="en-GB"/>
          </w:rPr>
          <w:tab/>
        </w:r>
        <w:r w:rsidR="00163E2C" w:rsidRPr="00E8268C">
          <w:rPr>
            <w:rStyle w:val="Collegamentoipertestuale"/>
            <w:noProof/>
          </w:rPr>
          <w:t>General/regional studies on larnakes, LM III period general surveys</w:t>
        </w:r>
        <w:r w:rsidR="00163E2C">
          <w:rPr>
            <w:noProof/>
            <w:webHidden/>
          </w:rPr>
          <w:tab/>
        </w:r>
        <w:r w:rsidR="00163E2C">
          <w:rPr>
            <w:noProof/>
            <w:webHidden/>
          </w:rPr>
          <w:fldChar w:fldCharType="begin"/>
        </w:r>
        <w:r w:rsidR="00163E2C">
          <w:rPr>
            <w:noProof/>
            <w:webHidden/>
          </w:rPr>
          <w:instrText xml:space="preserve"> PAGEREF _Toc519894597 \h </w:instrText>
        </w:r>
        <w:r w:rsidR="00163E2C">
          <w:rPr>
            <w:noProof/>
            <w:webHidden/>
          </w:rPr>
        </w:r>
        <w:r w:rsidR="00163E2C">
          <w:rPr>
            <w:noProof/>
            <w:webHidden/>
          </w:rPr>
          <w:fldChar w:fldCharType="separate"/>
        </w:r>
        <w:r w:rsidR="00412C3C">
          <w:rPr>
            <w:noProof/>
            <w:webHidden/>
          </w:rPr>
          <w:t>5</w:t>
        </w:r>
        <w:r w:rsidR="00F3209F">
          <w:rPr>
            <w:noProof/>
            <w:webHidden/>
          </w:rPr>
          <w:t>0</w:t>
        </w:r>
        <w:r w:rsidR="00163E2C">
          <w:rPr>
            <w:noProof/>
            <w:webHidden/>
          </w:rPr>
          <w:fldChar w:fldCharType="end"/>
        </w:r>
      </w:hyperlink>
    </w:p>
    <w:p w14:paraId="4C2A6C7B" w14:textId="39883C08"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598" w:history="1">
        <w:r w:rsidR="00163E2C" w:rsidRPr="00E8268C">
          <w:rPr>
            <w:rStyle w:val="Collegamentoipertestuale"/>
            <w:noProof/>
            <w14:scene3d>
              <w14:camera w14:prst="orthographicFront"/>
              <w14:lightRig w14:rig="threePt" w14:dir="t">
                <w14:rot w14:lat="0" w14:lon="0" w14:rev="0"/>
              </w14:lightRig>
            </w14:scene3d>
          </w:rPr>
          <w:t>2.5</w:t>
        </w:r>
        <w:r w:rsidR="00163E2C">
          <w:rPr>
            <w:rFonts w:asciiTheme="minorHAnsi" w:hAnsiTheme="minorHAnsi" w:cstheme="minorBidi"/>
            <w:noProof/>
            <w:lang w:eastAsia="en-GB"/>
          </w:rPr>
          <w:tab/>
        </w:r>
        <w:r w:rsidR="00163E2C" w:rsidRPr="00E8268C">
          <w:rPr>
            <w:rStyle w:val="Collegamentoipertestuale"/>
            <w:noProof/>
          </w:rPr>
          <w:t>Burial contexts as the primary source of information</w:t>
        </w:r>
        <w:r w:rsidR="00163E2C">
          <w:rPr>
            <w:noProof/>
            <w:webHidden/>
          </w:rPr>
          <w:tab/>
        </w:r>
        <w:r w:rsidR="00163E2C">
          <w:rPr>
            <w:noProof/>
            <w:webHidden/>
          </w:rPr>
          <w:fldChar w:fldCharType="begin"/>
        </w:r>
        <w:r w:rsidR="00163E2C">
          <w:rPr>
            <w:noProof/>
            <w:webHidden/>
          </w:rPr>
          <w:instrText xml:space="preserve"> PAGEREF _Toc519894598 \h </w:instrText>
        </w:r>
        <w:r w:rsidR="00163E2C">
          <w:rPr>
            <w:noProof/>
            <w:webHidden/>
          </w:rPr>
        </w:r>
        <w:r w:rsidR="00163E2C">
          <w:rPr>
            <w:noProof/>
            <w:webHidden/>
          </w:rPr>
          <w:fldChar w:fldCharType="separate"/>
        </w:r>
        <w:r w:rsidR="00412C3C">
          <w:rPr>
            <w:noProof/>
            <w:webHidden/>
          </w:rPr>
          <w:t>5</w:t>
        </w:r>
        <w:r w:rsidR="00F3209F">
          <w:rPr>
            <w:noProof/>
            <w:webHidden/>
          </w:rPr>
          <w:t>1</w:t>
        </w:r>
        <w:r w:rsidR="00163E2C">
          <w:rPr>
            <w:noProof/>
            <w:webHidden/>
          </w:rPr>
          <w:fldChar w:fldCharType="end"/>
        </w:r>
      </w:hyperlink>
    </w:p>
    <w:p w14:paraId="1290795D" w14:textId="06358CC2"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599" w:history="1">
        <w:r w:rsidR="00163E2C" w:rsidRPr="00E8268C">
          <w:rPr>
            <w:rStyle w:val="Collegamentoipertestuale"/>
            <w:noProof/>
            <w14:scene3d>
              <w14:camera w14:prst="orthographicFront"/>
              <w14:lightRig w14:rig="threePt" w14:dir="t">
                <w14:rot w14:lat="0" w14:lon="0" w14:rev="0"/>
              </w14:lightRig>
            </w14:scene3d>
          </w:rPr>
          <w:t>2.6</w:t>
        </w:r>
        <w:r w:rsidR="00163E2C">
          <w:rPr>
            <w:rFonts w:asciiTheme="minorHAnsi" w:hAnsiTheme="minorHAnsi" w:cstheme="minorBidi"/>
            <w:noProof/>
            <w:lang w:eastAsia="en-GB"/>
          </w:rPr>
          <w:tab/>
        </w:r>
        <w:r w:rsidR="00163E2C" w:rsidRPr="00E8268C">
          <w:rPr>
            <w:rStyle w:val="Collegamentoipertestuale"/>
            <w:noProof/>
          </w:rPr>
          <w:t>The role of larnakes in funerary practice through the understanding of larnax agency</w:t>
        </w:r>
        <w:r w:rsidR="00163E2C">
          <w:rPr>
            <w:noProof/>
            <w:webHidden/>
          </w:rPr>
          <w:tab/>
        </w:r>
        <w:r w:rsidR="00163E2C">
          <w:rPr>
            <w:noProof/>
            <w:webHidden/>
          </w:rPr>
          <w:fldChar w:fldCharType="begin"/>
        </w:r>
        <w:r w:rsidR="00163E2C">
          <w:rPr>
            <w:noProof/>
            <w:webHidden/>
          </w:rPr>
          <w:instrText xml:space="preserve"> PAGEREF _Toc519894599 \h </w:instrText>
        </w:r>
        <w:r w:rsidR="00163E2C">
          <w:rPr>
            <w:noProof/>
            <w:webHidden/>
          </w:rPr>
        </w:r>
        <w:r w:rsidR="00163E2C">
          <w:rPr>
            <w:noProof/>
            <w:webHidden/>
          </w:rPr>
          <w:fldChar w:fldCharType="separate"/>
        </w:r>
        <w:r w:rsidR="00412C3C">
          <w:rPr>
            <w:noProof/>
            <w:webHidden/>
          </w:rPr>
          <w:t>5</w:t>
        </w:r>
        <w:r w:rsidR="00F3209F">
          <w:rPr>
            <w:noProof/>
            <w:webHidden/>
          </w:rPr>
          <w:t>2</w:t>
        </w:r>
        <w:r w:rsidR="00163E2C">
          <w:rPr>
            <w:noProof/>
            <w:webHidden/>
          </w:rPr>
          <w:fldChar w:fldCharType="end"/>
        </w:r>
      </w:hyperlink>
    </w:p>
    <w:p w14:paraId="4B8C8D9F" w14:textId="06EC375F" w:rsidR="00163E2C" w:rsidRDefault="003058D3" w:rsidP="00E858EF">
      <w:pPr>
        <w:pStyle w:val="Sommario1"/>
        <w:tabs>
          <w:tab w:val="right" w:leader="dot" w:pos="8488"/>
        </w:tabs>
        <w:suppressAutoHyphens/>
        <w:rPr>
          <w:rFonts w:asciiTheme="minorHAnsi" w:hAnsiTheme="minorHAnsi" w:cstheme="minorBidi"/>
          <w:b w:val="0"/>
          <w:noProof/>
          <w:lang w:eastAsia="en-GB"/>
        </w:rPr>
      </w:pPr>
      <w:hyperlink w:anchor="_Toc519894600" w:history="1">
        <w:r w:rsidR="00163E2C" w:rsidRPr="00E8268C">
          <w:rPr>
            <w:rStyle w:val="Collegamentoipertestuale"/>
            <w:noProof/>
          </w:rPr>
          <w:t>3</w:t>
        </w:r>
        <w:r w:rsidR="00163E2C">
          <w:rPr>
            <w:rFonts w:asciiTheme="minorHAnsi" w:hAnsiTheme="minorHAnsi" w:cstheme="minorBidi"/>
            <w:b w:val="0"/>
            <w:noProof/>
            <w:lang w:eastAsia="en-GB"/>
          </w:rPr>
          <w:tab/>
        </w:r>
        <w:r w:rsidR="00163E2C" w:rsidRPr="00E8268C">
          <w:rPr>
            <w:rStyle w:val="Collegamentoipertestuale"/>
            <w:noProof/>
          </w:rPr>
          <w:t>DISTRIBUTION OF BURIAL LOCATIONS WITH LARNAKES, ANALYSIS OF TOMB ARCHITECTURE AND BURIAL TYPOLOGIES ASSOCIATED WITH LARNAKES</w:t>
        </w:r>
        <w:r w:rsidR="00163E2C">
          <w:rPr>
            <w:noProof/>
            <w:webHidden/>
          </w:rPr>
          <w:tab/>
        </w:r>
        <w:r w:rsidR="00163E2C">
          <w:rPr>
            <w:noProof/>
            <w:webHidden/>
          </w:rPr>
          <w:fldChar w:fldCharType="begin"/>
        </w:r>
        <w:r w:rsidR="00163E2C">
          <w:rPr>
            <w:noProof/>
            <w:webHidden/>
          </w:rPr>
          <w:instrText xml:space="preserve"> PAGEREF _Toc519894600 \h </w:instrText>
        </w:r>
        <w:r w:rsidR="00163E2C">
          <w:rPr>
            <w:noProof/>
            <w:webHidden/>
          </w:rPr>
        </w:r>
        <w:r w:rsidR="00163E2C">
          <w:rPr>
            <w:noProof/>
            <w:webHidden/>
          </w:rPr>
          <w:fldChar w:fldCharType="separate"/>
        </w:r>
        <w:r w:rsidR="00412C3C">
          <w:rPr>
            <w:noProof/>
            <w:webHidden/>
          </w:rPr>
          <w:t>5</w:t>
        </w:r>
        <w:r w:rsidR="00F3209F">
          <w:rPr>
            <w:noProof/>
            <w:webHidden/>
          </w:rPr>
          <w:t>3</w:t>
        </w:r>
        <w:r w:rsidR="00163E2C">
          <w:rPr>
            <w:noProof/>
            <w:webHidden/>
          </w:rPr>
          <w:fldChar w:fldCharType="end"/>
        </w:r>
      </w:hyperlink>
    </w:p>
    <w:p w14:paraId="6A21E660" w14:textId="5059BFA7"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01" w:history="1">
        <w:r w:rsidR="00163E2C" w:rsidRPr="00E8268C">
          <w:rPr>
            <w:rStyle w:val="Collegamentoipertestuale"/>
            <w:noProof/>
            <w14:scene3d>
              <w14:camera w14:prst="orthographicFront"/>
              <w14:lightRig w14:rig="threePt" w14:dir="t">
                <w14:rot w14:lat="0" w14:lon="0" w14:rev="0"/>
              </w14:lightRig>
            </w14:scene3d>
          </w:rPr>
          <w:t>3.1</w:t>
        </w:r>
        <w:r w:rsidR="00163E2C">
          <w:rPr>
            <w:rFonts w:asciiTheme="minorHAnsi" w:hAnsiTheme="minorHAnsi" w:cstheme="minorBidi"/>
            <w:noProof/>
            <w:lang w:eastAsia="en-GB"/>
          </w:rPr>
          <w:tab/>
        </w:r>
        <w:r w:rsidR="00163E2C" w:rsidRPr="00E8268C">
          <w:rPr>
            <w:rStyle w:val="Collegamentoipertestuale"/>
            <w:noProof/>
          </w:rPr>
          <w:t>Methodology</w:t>
        </w:r>
        <w:r w:rsidR="00163E2C">
          <w:rPr>
            <w:noProof/>
            <w:webHidden/>
          </w:rPr>
          <w:tab/>
        </w:r>
        <w:r w:rsidR="00163E2C">
          <w:rPr>
            <w:noProof/>
            <w:webHidden/>
          </w:rPr>
          <w:fldChar w:fldCharType="begin"/>
        </w:r>
        <w:r w:rsidR="00163E2C">
          <w:rPr>
            <w:noProof/>
            <w:webHidden/>
          </w:rPr>
          <w:instrText xml:space="preserve"> PAGEREF _Toc519894601 \h </w:instrText>
        </w:r>
        <w:r w:rsidR="00163E2C">
          <w:rPr>
            <w:noProof/>
            <w:webHidden/>
          </w:rPr>
        </w:r>
        <w:r w:rsidR="00163E2C">
          <w:rPr>
            <w:noProof/>
            <w:webHidden/>
          </w:rPr>
          <w:fldChar w:fldCharType="separate"/>
        </w:r>
        <w:r w:rsidR="00412C3C">
          <w:rPr>
            <w:noProof/>
            <w:webHidden/>
          </w:rPr>
          <w:t>5</w:t>
        </w:r>
        <w:r w:rsidR="00F3209F">
          <w:rPr>
            <w:noProof/>
            <w:webHidden/>
          </w:rPr>
          <w:t>3</w:t>
        </w:r>
        <w:r w:rsidR="00163E2C">
          <w:rPr>
            <w:noProof/>
            <w:webHidden/>
          </w:rPr>
          <w:fldChar w:fldCharType="end"/>
        </w:r>
      </w:hyperlink>
    </w:p>
    <w:p w14:paraId="318FD402" w14:textId="6EED774B"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02" w:history="1">
        <w:r w:rsidR="00163E2C" w:rsidRPr="00E8268C">
          <w:rPr>
            <w:rStyle w:val="Collegamentoipertestuale"/>
            <w:noProof/>
            <w14:scene3d>
              <w14:camera w14:prst="orthographicFront"/>
              <w14:lightRig w14:rig="threePt" w14:dir="t">
                <w14:rot w14:lat="0" w14:lon="0" w14:rev="0"/>
              </w14:lightRig>
            </w14:scene3d>
          </w:rPr>
          <w:t>3.2</w:t>
        </w:r>
        <w:r w:rsidR="00163E2C">
          <w:rPr>
            <w:rFonts w:asciiTheme="minorHAnsi" w:hAnsiTheme="minorHAnsi" w:cstheme="minorBidi"/>
            <w:noProof/>
            <w:lang w:eastAsia="en-GB"/>
          </w:rPr>
          <w:tab/>
        </w:r>
        <w:r w:rsidR="00163E2C" w:rsidRPr="00E8268C">
          <w:rPr>
            <w:rStyle w:val="Collegamentoipertestuale"/>
            <w:noProof/>
          </w:rPr>
          <w:t>Terminology</w:t>
        </w:r>
        <w:r w:rsidR="00163E2C">
          <w:rPr>
            <w:noProof/>
            <w:webHidden/>
          </w:rPr>
          <w:tab/>
        </w:r>
        <w:r w:rsidR="00163E2C">
          <w:rPr>
            <w:noProof/>
            <w:webHidden/>
          </w:rPr>
          <w:fldChar w:fldCharType="begin"/>
        </w:r>
        <w:r w:rsidR="00163E2C">
          <w:rPr>
            <w:noProof/>
            <w:webHidden/>
          </w:rPr>
          <w:instrText xml:space="preserve"> PAGEREF _Toc519894602 \h </w:instrText>
        </w:r>
        <w:r w:rsidR="00163E2C">
          <w:rPr>
            <w:noProof/>
            <w:webHidden/>
          </w:rPr>
        </w:r>
        <w:r w:rsidR="00163E2C">
          <w:rPr>
            <w:noProof/>
            <w:webHidden/>
          </w:rPr>
          <w:fldChar w:fldCharType="separate"/>
        </w:r>
        <w:r w:rsidR="00412C3C">
          <w:rPr>
            <w:noProof/>
            <w:webHidden/>
          </w:rPr>
          <w:t>5</w:t>
        </w:r>
        <w:r w:rsidR="00F3209F">
          <w:rPr>
            <w:noProof/>
            <w:webHidden/>
          </w:rPr>
          <w:t>5</w:t>
        </w:r>
        <w:r w:rsidR="00163E2C">
          <w:rPr>
            <w:noProof/>
            <w:webHidden/>
          </w:rPr>
          <w:fldChar w:fldCharType="end"/>
        </w:r>
      </w:hyperlink>
    </w:p>
    <w:p w14:paraId="75C5101D" w14:textId="3EDD1ECD"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03" w:history="1">
        <w:r w:rsidR="00163E2C" w:rsidRPr="00E8268C">
          <w:rPr>
            <w:rStyle w:val="Collegamentoipertestuale"/>
            <w:noProof/>
            <w14:scene3d>
              <w14:camera w14:prst="orthographicFront"/>
              <w14:lightRig w14:rig="threePt" w14:dir="t">
                <w14:rot w14:lat="0" w14:lon="0" w14:rev="0"/>
              </w14:lightRig>
            </w14:scene3d>
          </w:rPr>
          <w:t>3.3</w:t>
        </w:r>
        <w:r w:rsidR="00163E2C">
          <w:rPr>
            <w:rFonts w:asciiTheme="minorHAnsi" w:hAnsiTheme="minorHAnsi" w:cstheme="minorBidi"/>
            <w:noProof/>
            <w:lang w:eastAsia="en-GB"/>
          </w:rPr>
          <w:tab/>
        </w:r>
        <w:r w:rsidR="00163E2C" w:rsidRPr="00E8268C">
          <w:rPr>
            <w:rStyle w:val="Collegamentoipertestuale"/>
            <w:noProof/>
          </w:rPr>
          <w:t>Data reliability problems</w:t>
        </w:r>
        <w:r w:rsidR="00163E2C">
          <w:rPr>
            <w:noProof/>
            <w:webHidden/>
          </w:rPr>
          <w:tab/>
        </w:r>
        <w:r w:rsidR="00163E2C">
          <w:rPr>
            <w:noProof/>
            <w:webHidden/>
          </w:rPr>
          <w:fldChar w:fldCharType="begin"/>
        </w:r>
        <w:r w:rsidR="00163E2C">
          <w:rPr>
            <w:noProof/>
            <w:webHidden/>
          </w:rPr>
          <w:instrText xml:space="preserve"> PAGEREF _Toc519894603 \h </w:instrText>
        </w:r>
        <w:r w:rsidR="00163E2C">
          <w:rPr>
            <w:noProof/>
            <w:webHidden/>
          </w:rPr>
        </w:r>
        <w:r w:rsidR="00163E2C">
          <w:rPr>
            <w:noProof/>
            <w:webHidden/>
          </w:rPr>
          <w:fldChar w:fldCharType="separate"/>
        </w:r>
        <w:r w:rsidR="00412C3C">
          <w:rPr>
            <w:noProof/>
            <w:webHidden/>
          </w:rPr>
          <w:t>5</w:t>
        </w:r>
        <w:r w:rsidR="00F3209F">
          <w:rPr>
            <w:noProof/>
            <w:webHidden/>
          </w:rPr>
          <w:t>8</w:t>
        </w:r>
        <w:r w:rsidR="00163E2C">
          <w:rPr>
            <w:noProof/>
            <w:webHidden/>
          </w:rPr>
          <w:fldChar w:fldCharType="end"/>
        </w:r>
      </w:hyperlink>
    </w:p>
    <w:p w14:paraId="24081C00" w14:textId="43F3685A"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04" w:history="1">
        <w:r w:rsidR="00163E2C" w:rsidRPr="00E8268C">
          <w:rPr>
            <w:rStyle w:val="Collegamentoipertestuale"/>
            <w:noProof/>
            <w14:scene3d>
              <w14:camera w14:prst="orthographicFront"/>
              <w14:lightRig w14:rig="threePt" w14:dir="t">
                <w14:rot w14:lat="0" w14:lon="0" w14:rev="0"/>
              </w14:lightRig>
            </w14:scene3d>
          </w:rPr>
          <w:t>3.4</w:t>
        </w:r>
        <w:r w:rsidR="00163E2C">
          <w:rPr>
            <w:rFonts w:asciiTheme="minorHAnsi" w:hAnsiTheme="minorHAnsi" w:cstheme="minorBidi"/>
            <w:noProof/>
            <w:lang w:eastAsia="en-GB"/>
          </w:rPr>
          <w:tab/>
        </w:r>
        <w:r w:rsidR="00163E2C" w:rsidRPr="00E8268C">
          <w:rPr>
            <w:rStyle w:val="Collegamentoipertestuale"/>
            <w:noProof/>
          </w:rPr>
          <w:t>Chronology</w:t>
        </w:r>
        <w:r w:rsidR="00163E2C">
          <w:rPr>
            <w:noProof/>
            <w:webHidden/>
          </w:rPr>
          <w:tab/>
        </w:r>
        <w:r w:rsidR="00F3209F">
          <w:rPr>
            <w:noProof/>
            <w:webHidden/>
          </w:rPr>
          <w:t>59</w:t>
        </w:r>
      </w:hyperlink>
    </w:p>
    <w:p w14:paraId="66270264" w14:textId="02EAF8FB"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05" w:history="1">
        <w:r w:rsidR="00163E2C" w:rsidRPr="00E8268C">
          <w:rPr>
            <w:rStyle w:val="Collegamentoipertestuale"/>
            <w:noProof/>
            <w14:scene3d>
              <w14:camera w14:prst="orthographicFront"/>
              <w14:lightRig w14:rig="threePt" w14:dir="t">
                <w14:rot w14:lat="0" w14:lon="0" w14:rev="0"/>
              </w14:lightRig>
            </w14:scene3d>
          </w:rPr>
          <w:t>3.5</w:t>
        </w:r>
        <w:r w:rsidR="00163E2C">
          <w:rPr>
            <w:rFonts w:asciiTheme="minorHAnsi" w:hAnsiTheme="minorHAnsi" w:cstheme="minorBidi"/>
            <w:noProof/>
            <w:lang w:eastAsia="en-GB"/>
          </w:rPr>
          <w:tab/>
        </w:r>
        <w:r w:rsidR="00163E2C" w:rsidRPr="00E8268C">
          <w:rPr>
            <w:rStyle w:val="Collegamentoipertestuale"/>
            <w:noProof/>
          </w:rPr>
          <w:t>Far-West area</w:t>
        </w:r>
        <w:r w:rsidR="00163E2C">
          <w:rPr>
            <w:noProof/>
            <w:webHidden/>
          </w:rPr>
          <w:tab/>
        </w:r>
        <w:r w:rsidR="00163E2C">
          <w:rPr>
            <w:noProof/>
            <w:webHidden/>
          </w:rPr>
          <w:fldChar w:fldCharType="begin"/>
        </w:r>
        <w:r w:rsidR="00163E2C">
          <w:rPr>
            <w:noProof/>
            <w:webHidden/>
          </w:rPr>
          <w:instrText xml:space="preserve"> PAGEREF _Toc519894605 \h </w:instrText>
        </w:r>
        <w:r w:rsidR="00163E2C">
          <w:rPr>
            <w:noProof/>
            <w:webHidden/>
          </w:rPr>
        </w:r>
        <w:r w:rsidR="00163E2C">
          <w:rPr>
            <w:noProof/>
            <w:webHidden/>
          </w:rPr>
          <w:fldChar w:fldCharType="separate"/>
        </w:r>
        <w:r w:rsidR="00412C3C">
          <w:rPr>
            <w:noProof/>
            <w:webHidden/>
          </w:rPr>
          <w:t>6</w:t>
        </w:r>
        <w:r w:rsidR="00DE6AF9">
          <w:rPr>
            <w:noProof/>
            <w:webHidden/>
          </w:rPr>
          <w:t>1</w:t>
        </w:r>
        <w:r w:rsidR="00163E2C">
          <w:rPr>
            <w:noProof/>
            <w:webHidden/>
          </w:rPr>
          <w:fldChar w:fldCharType="end"/>
        </w:r>
      </w:hyperlink>
    </w:p>
    <w:p w14:paraId="0193A0BB" w14:textId="3DAE866B"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06" w:history="1">
        <w:r w:rsidR="00163E2C" w:rsidRPr="00E8268C">
          <w:rPr>
            <w:rStyle w:val="Collegamentoipertestuale"/>
            <w:noProof/>
          </w:rPr>
          <w:t>3.5.1</w:t>
        </w:r>
        <w:r w:rsidR="00163E2C">
          <w:rPr>
            <w:rFonts w:asciiTheme="minorHAnsi" w:hAnsiTheme="minorHAnsi" w:cstheme="minorBidi"/>
            <w:noProof/>
            <w:lang w:eastAsia="en-GB"/>
          </w:rPr>
          <w:tab/>
        </w:r>
        <w:r w:rsidR="00163E2C" w:rsidRPr="00E8268C">
          <w:rPr>
            <w:rStyle w:val="Collegamentoipertestuale"/>
            <w:noProof/>
          </w:rPr>
          <w:t>Burial locations and cemeteries</w:t>
        </w:r>
        <w:r w:rsidR="00163E2C">
          <w:rPr>
            <w:noProof/>
            <w:webHidden/>
          </w:rPr>
          <w:tab/>
        </w:r>
        <w:r w:rsidR="00163E2C">
          <w:rPr>
            <w:noProof/>
            <w:webHidden/>
          </w:rPr>
          <w:fldChar w:fldCharType="begin"/>
        </w:r>
        <w:r w:rsidR="00163E2C">
          <w:rPr>
            <w:noProof/>
            <w:webHidden/>
          </w:rPr>
          <w:instrText xml:space="preserve"> PAGEREF _Toc519894606 \h </w:instrText>
        </w:r>
        <w:r w:rsidR="00163E2C">
          <w:rPr>
            <w:noProof/>
            <w:webHidden/>
          </w:rPr>
        </w:r>
        <w:r w:rsidR="00163E2C">
          <w:rPr>
            <w:noProof/>
            <w:webHidden/>
          </w:rPr>
          <w:fldChar w:fldCharType="separate"/>
        </w:r>
        <w:r w:rsidR="00412C3C">
          <w:rPr>
            <w:noProof/>
            <w:webHidden/>
          </w:rPr>
          <w:t>6</w:t>
        </w:r>
        <w:r w:rsidR="00DE6AF9">
          <w:rPr>
            <w:noProof/>
            <w:webHidden/>
          </w:rPr>
          <w:t>1</w:t>
        </w:r>
        <w:r w:rsidR="00163E2C">
          <w:rPr>
            <w:noProof/>
            <w:webHidden/>
          </w:rPr>
          <w:fldChar w:fldCharType="end"/>
        </w:r>
      </w:hyperlink>
    </w:p>
    <w:p w14:paraId="1789D6B7" w14:textId="7D190371"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07" w:history="1">
        <w:r w:rsidR="00163E2C" w:rsidRPr="00E8268C">
          <w:rPr>
            <w:rStyle w:val="Collegamentoipertestuale"/>
            <w:noProof/>
          </w:rPr>
          <w:t>3.5.2</w:t>
        </w:r>
        <w:r w:rsidR="00163E2C">
          <w:rPr>
            <w:rFonts w:asciiTheme="minorHAnsi" w:hAnsiTheme="minorHAnsi" w:cstheme="minorBidi"/>
            <w:noProof/>
            <w:lang w:eastAsia="en-GB"/>
          </w:rPr>
          <w:tab/>
        </w:r>
        <w:r w:rsidR="00163E2C" w:rsidRPr="00E8268C">
          <w:rPr>
            <w:rStyle w:val="Collegamentoipertestuale"/>
            <w:noProof/>
          </w:rPr>
          <w:t>Conclusion: Far-West area</w:t>
        </w:r>
        <w:r w:rsidR="00163E2C">
          <w:rPr>
            <w:noProof/>
            <w:webHidden/>
          </w:rPr>
          <w:tab/>
        </w:r>
        <w:r w:rsidR="00163E2C">
          <w:rPr>
            <w:noProof/>
            <w:webHidden/>
          </w:rPr>
          <w:fldChar w:fldCharType="begin"/>
        </w:r>
        <w:r w:rsidR="00163E2C">
          <w:rPr>
            <w:noProof/>
            <w:webHidden/>
          </w:rPr>
          <w:instrText xml:space="preserve"> PAGEREF _Toc519894607 \h </w:instrText>
        </w:r>
        <w:r w:rsidR="00163E2C">
          <w:rPr>
            <w:noProof/>
            <w:webHidden/>
          </w:rPr>
        </w:r>
        <w:r w:rsidR="00163E2C">
          <w:rPr>
            <w:noProof/>
            <w:webHidden/>
          </w:rPr>
          <w:fldChar w:fldCharType="separate"/>
        </w:r>
        <w:r w:rsidR="00412C3C">
          <w:rPr>
            <w:noProof/>
            <w:webHidden/>
          </w:rPr>
          <w:t>6</w:t>
        </w:r>
        <w:r w:rsidR="00DE6AF9">
          <w:rPr>
            <w:noProof/>
            <w:webHidden/>
          </w:rPr>
          <w:t>4</w:t>
        </w:r>
        <w:r w:rsidR="00163E2C">
          <w:rPr>
            <w:noProof/>
            <w:webHidden/>
          </w:rPr>
          <w:fldChar w:fldCharType="end"/>
        </w:r>
      </w:hyperlink>
    </w:p>
    <w:p w14:paraId="1DFEE77A" w14:textId="50F4D842"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08" w:history="1">
        <w:r w:rsidR="00163E2C" w:rsidRPr="00E8268C">
          <w:rPr>
            <w:rStyle w:val="Collegamentoipertestuale"/>
            <w:noProof/>
            <w14:scene3d>
              <w14:camera w14:prst="orthographicFront"/>
              <w14:lightRig w14:rig="threePt" w14:dir="t">
                <w14:rot w14:lat="0" w14:lon="0" w14:rev="0"/>
              </w14:lightRig>
            </w14:scene3d>
          </w:rPr>
          <w:t>3.6</w:t>
        </w:r>
        <w:r w:rsidR="00163E2C">
          <w:rPr>
            <w:rFonts w:asciiTheme="minorHAnsi" w:hAnsiTheme="minorHAnsi" w:cstheme="minorBidi"/>
            <w:noProof/>
            <w:lang w:eastAsia="en-GB"/>
          </w:rPr>
          <w:tab/>
        </w:r>
        <w:r w:rsidR="00163E2C" w:rsidRPr="00E8268C">
          <w:rPr>
            <w:rStyle w:val="Collegamentoipertestuale"/>
            <w:noProof/>
          </w:rPr>
          <w:t>Mid-West area</w:t>
        </w:r>
        <w:r w:rsidR="00163E2C">
          <w:rPr>
            <w:noProof/>
            <w:webHidden/>
          </w:rPr>
          <w:tab/>
        </w:r>
        <w:r w:rsidR="00163E2C">
          <w:rPr>
            <w:noProof/>
            <w:webHidden/>
          </w:rPr>
          <w:fldChar w:fldCharType="begin"/>
        </w:r>
        <w:r w:rsidR="00163E2C">
          <w:rPr>
            <w:noProof/>
            <w:webHidden/>
          </w:rPr>
          <w:instrText xml:space="preserve"> PAGEREF _Toc519894608 \h </w:instrText>
        </w:r>
        <w:r w:rsidR="00163E2C">
          <w:rPr>
            <w:noProof/>
            <w:webHidden/>
          </w:rPr>
        </w:r>
        <w:r w:rsidR="00163E2C">
          <w:rPr>
            <w:noProof/>
            <w:webHidden/>
          </w:rPr>
          <w:fldChar w:fldCharType="separate"/>
        </w:r>
        <w:r w:rsidR="00412C3C">
          <w:rPr>
            <w:noProof/>
            <w:webHidden/>
          </w:rPr>
          <w:t>6</w:t>
        </w:r>
        <w:r w:rsidR="00DE6AF9">
          <w:rPr>
            <w:noProof/>
            <w:webHidden/>
          </w:rPr>
          <w:t>4</w:t>
        </w:r>
        <w:r w:rsidR="00163E2C">
          <w:rPr>
            <w:noProof/>
            <w:webHidden/>
          </w:rPr>
          <w:fldChar w:fldCharType="end"/>
        </w:r>
      </w:hyperlink>
    </w:p>
    <w:p w14:paraId="5702ECC0" w14:textId="51266296"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09" w:history="1">
        <w:r w:rsidR="00163E2C" w:rsidRPr="00E8268C">
          <w:rPr>
            <w:rStyle w:val="Collegamentoipertestuale"/>
            <w:noProof/>
          </w:rPr>
          <w:t>3.6.1</w:t>
        </w:r>
        <w:r w:rsidR="00163E2C">
          <w:rPr>
            <w:rFonts w:asciiTheme="minorHAnsi" w:hAnsiTheme="minorHAnsi" w:cstheme="minorBidi"/>
            <w:noProof/>
            <w:lang w:eastAsia="en-GB"/>
          </w:rPr>
          <w:tab/>
        </w:r>
        <w:r w:rsidR="00163E2C" w:rsidRPr="00E8268C">
          <w:rPr>
            <w:rStyle w:val="Collegamentoipertestuale"/>
            <w:noProof/>
          </w:rPr>
          <w:t>Burial locations and cemeteries</w:t>
        </w:r>
        <w:r w:rsidR="00163E2C">
          <w:rPr>
            <w:noProof/>
            <w:webHidden/>
          </w:rPr>
          <w:tab/>
        </w:r>
        <w:r w:rsidR="00163E2C">
          <w:rPr>
            <w:noProof/>
            <w:webHidden/>
          </w:rPr>
          <w:fldChar w:fldCharType="begin"/>
        </w:r>
        <w:r w:rsidR="00163E2C">
          <w:rPr>
            <w:noProof/>
            <w:webHidden/>
          </w:rPr>
          <w:instrText xml:space="preserve"> PAGEREF _Toc519894609 \h </w:instrText>
        </w:r>
        <w:r w:rsidR="00163E2C">
          <w:rPr>
            <w:noProof/>
            <w:webHidden/>
          </w:rPr>
        </w:r>
        <w:r w:rsidR="00163E2C">
          <w:rPr>
            <w:noProof/>
            <w:webHidden/>
          </w:rPr>
          <w:fldChar w:fldCharType="separate"/>
        </w:r>
        <w:r w:rsidR="00412C3C">
          <w:rPr>
            <w:noProof/>
            <w:webHidden/>
          </w:rPr>
          <w:t>6</w:t>
        </w:r>
        <w:r w:rsidR="00DE6AF9">
          <w:rPr>
            <w:noProof/>
            <w:webHidden/>
          </w:rPr>
          <w:t>5</w:t>
        </w:r>
        <w:r w:rsidR="00163E2C">
          <w:rPr>
            <w:noProof/>
            <w:webHidden/>
          </w:rPr>
          <w:fldChar w:fldCharType="end"/>
        </w:r>
      </w:hyperlink>
    </w:p>
    <w:p w14:paraId="26417780" w14:textId="5F5FF602"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10" w:history="1">
        <w:r w:rsidR="00163E2C" w:rsidRPr="00E8268C">
          <w:rPr>
            <w:rStyle w:val="Collegamentoipertestuale"/>
            <w:noProof/>
          </w:rPr>
          <w:t>3.6.2</w:t>
        </w:r>
        <w:r w:rsidR="00163E2C">
          <w:rPr>
            <w:rFonts w:asciiTheme="minorHAnsi" w:hAnsiTheme="minorHAnsi" w:cstheme="minorBidi"/>
            <w:noProof/>
            <w:lang w:eastAsia="en-GB"/>
          </w:rPr>
          <w:tab/>
        </w:r>
        <w:r w:rsidR="00163E2C" w:rsidRPr="00E8268C">
          <w:rPr>
            <w:rStyle w:val="Collegamentoipertestuale"/>
            <w:noProof/>
          </w:rPr>
          <w:t>Tombs</w:t>
        </w:r>
        <w:r w:rsidR="00163E2C">
          <w:rPr>
            <w:noProof/>
            <w:webHidden/>
          </w:rPr>
          <w:tab/>
        </w:r>
        <w:r w:rsidR="00163E2C">
          <w:rPr>
            <w:noProof/>
            <w:webHidden/>
          </w:rPr>
          <w:fldChar w:fldCharType="begin"/>
        </w:r>
        <w:r w:rsidR="00163E2C">
          <w:rPr>
            <w:noProof/>
            <w:webHidden/>
          </w:rPr>
          <w:instrText xml:space="preserve"> PAGEREF _Toc519894610 \h </w:instrText>
        </w:r>
        <w:r w:rsidR="00163E2C">
          <w:rPr>
            <w:noProof/>
            <w:webHidden/>
          </w:rPr>
        </w:r>
        <w:r w:rsidR="00163E2C">
          <w:rPr>
            <w:noProof/>
            <w:webHidden/>
          </w:rPr>
          <w:fldChar w:fldCharType="separate"/>
        </w:r>
        <w:r w:rsidR="00412C3C">
          <w:rPr>
            <w:noProof/>
            <w:webHidden/>
          </w:rPr>
          <w:t>7</w:t>
        </w:r>
        <w:r w:rsidR="006D445C">
          <w:rPr>
            <w:noProof/>
            <w:webHidden/>
          </w:rPr>
          <w:t>2</w:t>
        </w:r>
        <w:r w:rsidR="00163E2C">
          <w:rPr>
            <w:noProof/>
            <w:webHidden/>
          </w:rPr>
          <w:fldChar w:fldCharType="end"/>
        </w:r>
      </w:hyperlink>
    </w:p>
    <w:p w14:paraId="38924151" w14:textId="2A54FFE3"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11" w:history="1">
        <w:r w:rsidR="00163E2C" w:rsidRPr="00E8268C">
          <w:rPr>
            <w:rStyle w:val="Collegamentoipertestuale"/>
            <w:noProof/>
          </w:rPr>
          <w:t>3.6.3</w:t>
        </w:r>
        <w:r w:rsidR="00163E2C">
          <w:rPr>
            <w:rFonts w:asciiTheme="minorHAnsi" w:hAnsiTheme="minorHAnsi" w:cstheme="minorBidi"/>
            <w:noProof/>
            <w:lang w:eastAsia="en-GB"/>
          </w:rPr>
          <w:tab/>
        </w:r>
        <w:r w:rsidR="00163E2C" w:rsidRPr="00E8268C">
          <w:rPr>
            <w:rStyle w:val="Collegamentoipertestuale"/>
            <w:noProof/>
          </w:rPr>
          <w:t>Clay larnakes in no</w:t>
        </w:r>
        <w:r>
          <w:rPr>
            <w:rStyle w:val="Collegamentoipertestuale"/>
            <w:noProof/>
          </w:rPr>
          <w:t>n</w:t>
        </w:r>
        <w:r w:rsidR="000C32EF">
          <w:rPr>
            <w:rStyle w:val="Collegamentoipertestuale"/>
            <w:noProof/>
          </w:rPr>
          <w:t>-</w:t>
        </w:r>
        <w:r w:rsidR="00163E2C" w:rsidRPr="00E8268C">
          <w:rPr>
            <w:rStyle w:val="Collegamentoipertestuale"/>
            <w:noProof/>
          </w:rPr>
          <w:t>burial contexts</w:t>
        </w:r>
        <w:r w:rsidR="00163E2C">
          <w:rPr>
            <w:noProof/>
            <w:webHidden/>
          </w:rPr>
          <w:tab/>
        </w:r>
        <w:r w:rsidR="00163E2C">
          <w:rPr>
            <w:noProof/>
            <w:webHidden/>
          </w:rPr>
          <w:fldChar w:fldCharType="begin"/>
        </w:r>
        <w:r w:rsidR="00163E2C">
          <w:rPr>
            <w:noProof/>
            <w:webHidden/>
          </w:rPr>
          <w:instrText xml:space="preserve"> PAGEREF _Toc519894611 \h </w:instrText>
        </w:r>
        <w:r w:rsidR="00163E2C">
          <w:rPr>
            <w:noProof/>
            <w:webHidden/>
          </w:rPr>
        </w:r>
        <w:r w:rsidR="00163E2C">
          <w:rPr>
            <w:noProof/>
            <w:webHidden/>
          </w:rPr>
          <w:fldChar w:fldCharType="separate"/>
        </w:r>
        <w:r w:rsidR="00412C3C">
          <w:rPr>
            <w:noProof/>
            <w:webHidden/>
          </w:rPr>
          <w:t>7</w:t>
        </w:r>
        <w:r w:rsidR="006D445C">
          <w:rPr>
            <w:noProof/>
            <w:webHidden/>
          </w:rPr>
          <w:t>7</w:t>
        </w:r>
        <w:r w:rsidR="00163E2C">
          <w:rPr>
            <w:noProof/>
            <w:webHidden/>
          </w:rPr>
          <w:fldChar w:fldCharType="end"/>
        </w:r>
      </w:hyperlink>
    </w:p>
    <w:p w14:paraId="5DE095C5" w14:textId="2E3A9D33"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12" w:history="1">
        <w:r w:rsidR="00163E2C" w:rsidRPr="00E8268C">
          <w:rPr>
            <w:rStyle w:val="Collegamentoipertestuale"/>
            <w:noProof/>
          </w:rPr>
          <w:t>3.6.4</w:t>
        </w:r>
        <w:r w:rsidR="00163E2C">
          <w:rPr>
            <w:rFonts w:asciiTheme="minorHAnsi" w:hAnsiTheme="minorHAnsi" w:cstheme="minorBidi"/>
            <w:noProof/>
            <w:lang w:eastAsia="en-GB"/>
          </w:rPr>
          <w:tab/>
        </w:r>
        <w:r w:rsidR="00163E2C" w:rsidRPr="00E8268C">
          <w:rPr>
            <w:rStyle w:val="Collegamentoipertestuale"/>
            <w:noProof/>
          </w:rPr>
          <w:t>Chronological remarks</w:t>
        </w:r>
        <w:r w:rsidR="00163E2C">
          <w:rPr>
            <w:noProof/>
            <w:webHidden/>
          </w:rPr>
          <w:tab/>
        </w:r>
        <w:r w:rsidR="00163E2C">
          <w:rPr>
            <w:noProof/>
            <w:webHidden/>
          </w:rPr>
          <w:fldChar w:fldCharType="begin"/>
        </w:r>
        <w:r w:rsidR="00163E2C">
          <w:rPr>
            <w:noProof/>
            <w:webHidden/>
          </w:rPr>
          <w:instrText xml:space="preserve"> PAGEREF _Toc519894612 \h </w:instrText>
        </w:r>
        <w:r w:rsidR="00163E2C">
          <w:rPr>
            <w:noProof/>
            <w:webHidden/>
          </w:rPr>
        </w:r>
        <w:r w:rsidR="00163E2C">
          <w:rPr>
            <w:noProof/>
            <w:webHidden/>
          </w:rPr>
          <w:fldChar w:fldCharType="separate"/>
        </w:r>
        <w:r w:rsidR="00412C3C">
          <w:rPr>
            <w:noProof/>
            <w:webHidden/>
          </w:rPr>
          <w:t>7</w:t>
        </w:r>
        <w:r w:rsidR="006D445C">
          <w:rPr>
            <w:noProof/>
            <w:webHidden/>
          </w:rPr>
          <w:t>7</w:t>
        </w:r>
        <w:r w:rsidR="00163E2C">
          <w:rPr>
            <w:noProof/>
            <w:webHidden/>
          </w:rPr>
          <w:fldChar w:fldCharType="end"/>
        </w:r>
      </w:hyperlink>
    </w:p>
    <w:p w14:paraId="0BDE7C23" w14:textId="2E3814F7"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13" w:history="1">
        <w:r w:rsidR="00163E2C" w:rsidRPr="00E8268C">
          <w:rPr>
            <w:rStyle w:val="Collegamentoipertestuale"/>
            <w:noProof/>
          </w:rPr>
          <w:t>3.6.5</w:t>
        </w:r>
        <w:r w:rsidR="00163E2C">
          <w:rPr>
            <w:rFonts w:asciiTheme="minorHAnsi" w:hAnsiTheme="minorHAnsi" w:cstheme="minorBidi"/>
            <w:noProof/>
            <w:lang w:eastAsia="en-GB"/>
          </w:rPr>
          <w:tab/>
        </w:r>
        <w:r w:rsidR="00163E2C" w:rsidRPr="00E8268C">
          <w:rPr>
            <w:rStyle w:val="Collegamentoipertestuale"/>
            <w:noProof/>
          </w:rPr>
          <w:t>Conclusions: Mid-West area</w:t>
        </w:r>
        <w:r w:rsidR="00163E2C">
          <w:rPr>
            <w:noProof/>
            <w:webHidden/>
          </w:rPr>
          <w:tab/>
        </w:r>
        <w:r w:rsidR="00163E2C">
          <w:rPr>
            <w:noProof/>
            <w:webHidden/>
          </w:rPr>
          <w:fldChar w:fldCharType="begin"/>
        </w:r>
        <w:r w:rsidR="00163E2C">
          <w:rPr>
            <w:noProof/>
            <w:webHidden/>
          </w:rPr>
          <w:instrText xml:space="preserve"> PAGEREF _Toc519894613 \h </w:instrText>
        </w:r>
        <w:r w:rsidR="00163E2C">
          <w:rPr>
            <w:noProof/>
            <w:webHidden/>
          </w:rPr>
        </w:r>
        <w:r w:rsidR="00163E2C">
          <w:rPr>
            <w:noProof/>
            <w:webHidden/>
          </w:rPr>
          <w:fldChar w:fldCharType="separate"/>
        </w:r>
        <w:r w:rsidR="00412C3C">
          <w:rPr>
            <w:noProof/>
            <w:webHidden/>
          </w:rPr>
          <w:t>7</w:t>
        </w:r>
        <w:r w:rsidR="006D445C">
          <w:rPr>
            <w:noProof/>
            <w:webHidden/>
          </w:rPr>
          <w:t>7</w:t>
        </w:r>
        <w:r w:rsidR="00163E2C">
          <w:rPr>
            <w:noProof/>
            <w:webHidden/>
          </w:rPr>
          <w:fldChar w:fldCharType="end"/>
        </w:r>
      </w:hyperlink>
    </w:p>
    <w:p w14:paraId="714D0ED2" w14:textId="3889088B"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14" w:history="1">
        <w:r w:rsidR="00163E2C" w:rsidRPr="00E8268C">
          <w:rPr>
            <w:rStyle w:val="Collegamentoipertestuale"/>
            <w:noProof/>
            <w14:scene3d>
              <w14:camera w14:prst="orthographicFront"/>
              <w14:lightRig w14:rig="threePt" w14:dir="t">
                <w14:rot w14:lat="0" w14:lon="0" w14:rev="0"/>
              </w14:lightRig>
            </w14:scene3d>
          </w:rPr>
          <w:t>3.7</w:t>
        </w:r>
        <w:r w:rsidR="00163E2C">
          <w:rPr>
            <w:rFonts w:asciiTheme="minorHAnsi" w:hAnsiTheme="minorHAnsi" w:cstheme="minorBidi"/>
            <w:noProof/>
            <w:lang w:eastAsia="en-GB"/>
          </w:rPr>
          <w:tab/>
        </w:r>
        <w:r w:rsidR="00163E2C" w:rsidRPr="00E8268C">
          <w:rPr>
            <w:rStyle w:val="Collegamentoipertestuale"/>
            <w:noProof/>
          </w:rPr>
          <w:t>Mesara area</w:t>
        </w:r>
        <w:r w:rsidR="00163E2C">
          <w:rPr>
            <w:noProof/>
            <w:webHidden/>
          </w:rPr>
          <w:tab/>
        </w:r>
        <w:r w:rsidR="006D445C">
          <w:rPr>
            <w:noProof/>
            <w:webHidden/>
          </w:rPr>
          <w:t>79</w:t>
        </w:r>
      </w:hyperlink>
    </w:p>
    <w:p w14:paraId="343E92C3" w14:textId="7D588B06"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15" w:history="1">
        <w:r w:rsidR="00163E2C" w:rsidRPr="00E8268C">
          <w:rPr>
            <w:rStyle w:val="Collegamentoipertestuale"/>
            <w:noProof/>
          </w:rPr>
          <w:t>3.7.1</w:t>
        </w:r>
        <w:r w:rsidR="00163E2C">
          <w:rPr>
            <w:rFonts w:asciiTheme="minorHAnsi" w:hAnsiTheme="minorHAnsi" w:cstheme="minorBidi"/>
            <w:noProof/>
            <w:lang w:eastAsia="en-GB"/>
          </w:rPr>
          <w:tab/>
        </w:r>
        <w:r w:rsidR="00163E2C" w:rsidRPr="00E8268C">
          <w:rPr>
            <w:rStyle w:val="Collegamentoipertestuale"/>
            <w:noProof/>
          </w:rPr>
          <w:t>Burial locations and cemeteries</w:t>
        </w:r>
        <w:r w:rsidR="00163E2C">
          <w:rPr>
            <w:noProof/>
            <w:webHidden/>
          </w:rPr>
          <w:tab/>
        </w:r>
        <w:r w:rsidR="00163E2C">
          <w:rPr>
            <w:noProof/>
            <w:webHidden/>
          </w:rPr>
          <w:fldChar w:fldCharType="begin"/>
        </w:r>
        <w:r w:rsidR="00163E2C">
          <w:rPr>
            <w:noProof/>
            <w:webHidden/>
          </w:rPr>
          <w:instrText xml:space="preserve"> PAGEREF _Toc519894615 \h </w:instrText>
        </w:r>
        <w:r w:rsidR="00163E2C">
          <w:rPr>
            <w:noProof/>
            <w:webHidden/>
          </w:rPr>
        </w:r>
        <w:r w:rsidR="00163E2C">
          <w:rPr>
            <w:noProof/>
            <w:webHidden/>
          </w:rPr>
          <w:fldChar w:fldCharType="separate"/>
        </w:r>
        <w:r w:rsidR="00412C3C">
          <w:rPr>
            <w:noProof/>
            <w:webHidden/>
          </w:rPr>
          <w:t>8</w:t>
        </w:r>
        <w:r w:rsidR="006D445C">
          <w:rPr>
            <w:noProof/>
            <w:webHidden/>
          </w:rPr>
          <w:t>0</w:t>
        </w:r>
        <w:r w:rsidR="00163E2C">
          <w:rPr>
            <w:noProof/>
            <w:webHidden/>
          </w:rPr>
          <w:fldChar w:fldCharType="end"/>
        </w:r>
      </w:hyperlink>
    </w:p>
    <w:p w14:paraId="5F912212" w14:textId="7A345797"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16" w:history="1">
        <w:r w:rsidR="00163E2C" w:rsidRPr="00E8268C">
          <w:rPr>
            <w:rStyle w:val="Collegamentoipertestuale"/>
            <w:noProof/>
          </w:rPr>
          <w:t>3.7.2</w:t>
        </w:r>
        <w:r w:rsidR="00163E2C">
          <w:rPr>
            <w:rFonts w:asciiTheme="minorHAnsi" w:hAnsiTheme="minorHAnsi" w:cstheme="minorBidi"/>
            <w:noProof/>
            <w:lang w:eastAsia="en-GB"/>
          </w:rPr>
          <w:tab/>
        </w:r>
        <w:r w:rsidR="00163E2C" w:rsidRPr="00E8268C">
          <w:rPr>
            <w:rStyle w:val="Collegamentoipertestuale"/>
            <w:noProof/>
          </w:rPr>
          <w:t>Tombs</w:t>
        </w:r>
        <w:r w:rsidR="00163E2C">
          <w:rPr>
            <w:noProof/>
            <w:webHidden/>
          </w:rPr>
          <w:tab/>
        </w:r>
        <w:r w:rsidR="00163E2C">
          <w:rPr>
            <w:noProof/>
            <w:webHidden/>
          </w:rPr>
          <w:fldChar w:fldCharType="begin"/>
        </w:r>
        <w:r w:rsidR="00163E2C">
          <w:rPr>
            <w:noProof/>
            <w:webHidden/>
          </w:rPr>
          <w:instrText xml:space="preserve"> PAGEREF _Toc519894616 \h </w:instrText>
        </w:r>
        <w:r w:rsidR="00163E2C">
          <w:rPr>
            <w:noProof/>
            <w:webHidden/>
          </w:rPr>
        </w:r>
        <w:r w:rsidR="00163E2C">
          <w:rPr>
            <w:noProof/>
            <w:webHidden/>
          </w:rPr>
          <w:fldChar w:fldCharType="separate"/>
        </w:r>
        <w:r w:rsidR="00412C3C">
          <w:rPr>
            <w:noProof/>
            <w:webHidden/>
          </w:rPr>
          <w:t>8</w:t>
        </w:r>
        <w:r w:rsidR="006D445C">
          <w:rPr>
            <w:noProof/>
            <w:webHidden/>
          </w:rPr>
          <w:t>5</w:t>
        </w:r>
        <w:r w:rsidR="00163E2C">
          <w:rPr>
            <w:noProof/>
            <w:webHidden/>
          </w:rPr>
          <w:fldChar w:fldCharType="end"/>
        </w:r>
      </w:hyperlink>
    </w:p>
    <w:p w14:paraId="5DD50792" w14:textId="6CBE2ED3" w:rsidR="00163E2C" w:rsidRDefault="00DB11B9" w:rsidP="00E858EF">
      <w:pPr>
        <w:pStyle w:val="Sommario3"/>
        <w:tabs>
          <w:tab w:val="left" w:pos="1276"/>
          <w:tab w:val="right" w:leader="dot" w:pos="8488"/>
        </w:tabs>
        <w:suppressAutoHyphens/>
        <w:rPr>
          <w:rFonts w:asciiTheme="minorHAnsi" w:hAnsiTheme="minorHAnsi" w:cstheme="minorBidi"/>
          <w:noProof/>
          <w:lang w:eastAsia="en-GB"/>
        </w:rPr>
      </w:pPr>
      <w:hyperlink w:anchor="_Toc519894617" w:history="1">
        <w:r w:rsidR="00163E2C" w:rsidRPr="00E8268C">
          <w:rPr>
            <w:rStyle w:val="Collegamentoipertestuale"/>
            <w:noProof/>
          </w:rPr>
          <w:t>3.7.3</w:t>
        </w:r>
        <w:r w:rsidR="00163E2C">
          <w:rPr>
            <w:rFonts w:asciiTheme="minorHAnsi" w:hAnsiTheme="minorHAnsi" w:cstheme="minorBidi"/>
            <w:noProof/>
            <w:lang w:eastAsia="en-GB"/>
          </w:rPr>
          <w:tab/>
        </w:r>
        <w:r w:rsidR="00163E2C" w:rsidRPr="00E8268C">
          <w:rPr>
            <w:rStyle w:val="Collegamentoipertestuale"/>
            <w:noProof/>
          </w:rPr>
          <w:t>Clay larnakes in non-burial context</w:t>
        </w:r>
        <w:r w:rsidR="00163E2C">
          <w:rPr>
            <w:noProof/>
            <w:webHidden/>
          </w:rPr>
          <w:tab/>
        </w:r>
        <w:r w:rsidR="00163E2C">
          <w:rPr>
            <w:noProof/>
            <w:webHidden/>
          </w:rPr>
          <w:fldChar w:fldCharType="begin"/>
        </w:r>
        <w:r w:rsidR="00163E2C">
          <w:rPr>
            <w:noProof/>
            <w:webHidden/>
          </w:rPr>
          <w:instrText xml:space="preserve"> PAGEREF _Toc519894617 \h </w:instrText>
        </w:r>
        <w:r w:rsidR="00163E2C">
          <w:rPr>
            <w:noProof/>
            <w:webHidden/>
          </w:rPr>
        </w:r>
        <w:r w:rsidR="00163E2C">
          <w:rPr>
            <w:noProof/>
            <w:webHidden/>
          </w:rPr>
          <w:fldChar w:fldCharType="separate"/>
        </w:r>
        <w:r w:rsidR="00412C3C">
          <w:rPr>
            <w:noProof/>
            <w:webHidden/>
          </w:rPr>
          <w:t>9</w:t>
        </w:r>
        <w:r w:rsidR="006D445C">
          <w:rPr>
            <w:noProof/>
            <w:webHidden/>
          </w:rPr>
          <w:t>0</w:t>
        </w:r>
        <w:r w:rsidR="00163E2C">
          <w:rPr>
            <w:noProof/>
            <w:webHidden/>
          </w:rPr>
          <w:fldChar w:fldCharType="end"/>
        </w:r>
      </w:hyperlink>
    </w:p>
    <w:p w14:paraId="50904F9E" w14:textId="32D7A17C"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18" w:history="1">
        <w:r w:rsidR="00163E2C" w:rsidRPr="00E8268C">
          <w:rPr>
            <w:rStyle w:val="Collegamentoipertestuale"/>
            <w:noProof/>
          </w:rPr>
          <w:t>3.7.4</w:t>
        </w:r>
        <w:r w:rsidR="00163E2C">
          <w:rPr>
            <w:rFonts w:asciiTheme="minorHAnsi" w:hAnsiTheme="minorHAnsi" w:cstheme="minorBidi"/>
            <w:noProof/>
            <w:lang w:eastAsia="en-GB"/>
          </w:rPr>
          <w:tab/>
        </w:r>
        <w:r w:rsidR="00163E2C" w:rsidRPr="00E8268C">
          <w:rPr>
            <w:rStyle w:val="Collegamentoipertestuale"/>
            <w:noProof/>
          </w:rPr>
          <w:t>Chronological remarks</w:t>
        </w:r>
        <w:r w:rsidR="00163E2C">
          <w:rPr>
            <w:noProof/>
            <w:webHidden/>
          </w:rPr>
          <w:tab/>
        </w:r>
        <w:r w:rsidR="00163E2C">
          <w:rPr>
            <w:noProof/>
            <w:webHidden/>
          </w:rPr>
          <w:fldChar w:fldCharType="begin"/>
        </w:r>
        <w:r w:rsidR="00163E2C">
          <w:rPr>
            <w:noProof/>
            <w:webHidden/>
          </w:rPr>
          <w:instrText xml:space="preserve"> PAGEREF _Toc519894618 \h </w:instrText>
        </w:r>
        <w:r w:rsidR="00163E2C">
          <w:rPr>
            <w:noProof/>
            <w:webHidden/>
          </w:rPr>
        </w:r>
        <w:r w:rsidR="00163E2C">
          <w:rPr>
            <w:noProof/>
            <w:webHidden/>
          </w:rPr>
          <w:fldChar w:fldCharType="separate"/>
        </w:r>
        <w:r w:rsidR="00412C3C">
          <w:rPr>
            <w:noProof/>
            <w:webHidden/>
          </w:rPr>
          <w:t>9</w:t>
        </w:r>
        <w:r w:rsidR="006D445C">
          <w:rPr>
            <w:noProof/>
            <w:webHidden/>
          </w:rPr>
          <w:t>1</w:t>
        </w:r>
        <w:r w:rsidR="00163E2C">
          <w:rPr>
            <w:noProof/>
            <w:webHidden/>
          </w:rPr>
          <w:fldChar w:fldCharType="end"/>
        </w:r>
      </w:hyperlink>
    </w:p>
    <w:p w14:paraId="4B4B4999" w14:textId="5AEA62B7"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19" w:history="1">
        <w:r w:rsidR="00163E2C" w:rsidRPr="00E8268C">
          <w:rPr>
            <w:rStyle w:val="Collegamentoipertestuale"/>
            <w:noProof/>
          </w:rPr>
          <w:t>3.7.5</w:t>
        </w:r>
        <w:r w:rsidR="00163E2C">
          <w:rPr>
            <w:rFonts w:asciiTheme="minorHAnsi" w:hAnsiTheme="minorHAnsi" w:cstheme="minorBidi"/>
            <w:noProof/>
            <w:lang w:eastAsia="en-GB"/>
          </w:rPr>
          <w:tab/>
        </w:r>
        <w:r w:rsidR="00163E2C" w:rsidRPr="00E8268C">
          <w:rPr>
            <w:rStyle w:val="Collegamentoipertestuale"/>
            <w:noProof/>
          </w:rPr>
          <w:t>Conclusions: Mesara area</w:t>
        </w:r>
        <w:r w:rsidR="00163E2C">
          <w:rPr>
            <w:noProof/>
            <w:webHidden/>
          </w:rPr>
          <w:tab/>
        </w:r>
        <w:r w:rsidR="00163E2C">
          <w:rPr>
            <w:noProof/>
            <w:webHidden/>
          </w:rPr>
          <w:fldChar w:fldCharType="begin"/>
        </w:r>
        <w:r w:rsidR="00163E2C">
          <w:rPr>
            <w:noProof/>
            <w:webHidden/>
          </w:rPr>
          <w:instrText xml:space="preserve"> PAGEREF _Toc519894619 \h </w:instrText>
        </w:r>
        <w:r w:rsidR="00163E2C">
          <w:rPr>
            <w:noProof/>
            <w:webHidden/>
          </w:rPr>
        </w:r>
        <w:r w:rsidR="00163E2C">
          <w:rPr>
            <w:noProof/>
            <w:webHidden/>
          </w:rPr>
          <w:fldChar w:fldCharType="separate"/>
        </w:r>
        <w:r w:rsidR="00412C3C">
          <w:rPr>
            <w:noProof/>
            <w:webHidden/>
          </w:rPr>
          <w:t>9</w:t>
        </w:r>
        <w:r w:rsidR="006D445C">
          <w:rPr>
            <w:noProof/>
            <w:webHidden/>
          </w:rPr>
          <w:t>2</w:t>
        </w:r>
        <w:r w:rsidR="00163E2C">
          <w:rPr>
            <w:noProof/>
            <w:webHidden/>
          </w:rPr>
          <w:fldChar w:fldCharType="end"/>
        </w:r>
      </w:hyperlink>
    </w:p>
    <w:p w14:paraId="22534D53" w14:textId="2D1E78EE" w:rsidR="00163E2C" w:rsidRDefault="00DB11B9" w:rsidP="00E858EF">
      <w:pPr>
        <w:pStyle w:val="Sommario2"/>
        <w:tabs>
          <w:tab w:val="right" w:leader="dot" w:pos="8488"/>
        </w:tabs>
        <w:suppressAutoHyphens/>
        <w:rPr>
          <w:rFonts w:asciiTheme="minorHAnsi" w:hAnsiTheme="minorHAnsi" w:cstheme="minorBidi"/>
          <w:noProof/>
          <w:lang w:eastAsia="en-GB"/>
        </w:rPr>
      </w:pPr>
      <w:hyperlink w:anchor="_Toc519894620" w:history="1">
        <w:r w:rsidR="00163E2C" w:rsidRPr="00E8268C">
          <w:rPr>
            <w:rStyle w:val="Collegamentoipertestuale"/>
            <w:noProof/>
            <w14:scene3d>
              <w14:camera w14:prst="orthographicFront"/>
              <w14:lightRig w14:rig="threePt" w14:dir="t">
                <w14:rot w14:lat="0" w14:lon="0" w14:rev="0"/>
              </w14:lightRig>
            </w14:scene3d>
          </w:rPr>
          <w:t>3.8</w:t>
        </w:r>
        <w:r w:rsidR="00163E2C">
          <w:rPr>
            <w:rFonts w:asciiTheme="minorHAnsi" w:hAnsiTheme="minorHAnsi" w:cstheme="minorBidi"/>
            <w:noProof/>
            <w:lang w:eastAsia="en-GB"/>
          </w:rPr>
          <w:tab/>
        </w:r>
        <w:r w:rsidR="00163E2C" w:rsidRPr="00E8268C">
          <w:rPr>
            <w:rStyle w:val="Collegamentoipertestuale"/>
            <w:noProof/>
          </w:rPr>
          <w:t>Knossos area</w:t>
        </w:r>
        <w:r w:rsidR="00163E2C">
          <w:rPr>
            <w:noProof/>
            <w:webHidden/>
          </w:rPr>
          <w:tab/>
        </w:r>
        <w:r w:rsidR="00163E2C">
          <w:rPr>
            <w:noProof/>
            <w:webHidden/>
          </w:rPr>
          <w:fldChar w:fldCharType="begin"/>
        </w:r>
        <w:r w:rsidR="00163E2C">
          <w:rPr>
            <w:noProof/>
            <w:webHidden/>
          </w:rPr>
          <w:instrText xml:space="preserve"> PAGEREF _Toc519894620 \h </w:instrText>
        </w:r>
        <w:r w:rsidR="00163E2C">
          <w:rPr>
            <w:noProof/>
            <w:webHidden/>
          </w:rPr>
        </w:r>
        <w:r w:rsidR="00163E2C">
          <w:rPr>
            <w:noProof/>
            <w:webHidden/>
          </w:rPr>
          <w:fldChar w:fldCharType="separate"/>
        </w:r>
        <w:r w:rsidR="00412C3C">
          <w:rPr>
            <w:noProof/>
            <w:webHidden/>
          </w:rPr>
          <w:t>9</w:t>
        </w:r>
        <w:r w:rsidR="006D445C">
          <w:rPr>
            <w:noProof/>
            <w:webHidden/>
          </w:rPr>
          <w:t>4</w:t>
        </w:r>
        <w:r w:rsidR="00163E2C">
          <w:rPr>
            <w:noProof/>
            <w:webHidden/>
          </w:rPr>
          <w:fldChar w:fldCharType="end"/>
        </w:r>
      </w:hyperlink>
    </w:p>
    <w:p w14:paraId="70CA1B5A" w14:textId="1DD56132"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21" w:history="1">
        <w:r w:rsidR="00163E2C" w:rsidRPr="00E8268C">
          <w:rPr>
            <w:rStyle w:val="Collegamentoipertestuale"/>
            <w:noProof/>
          </w:rPr>
          <w:t>3.8.1</w:t>
        </w:r>
        <w:r w:rsidR="00163E2C">
          <w:rPr>
            <w:rFonts w:asciiTheme="minorHAnsi" w:hAnsiTheme="minorHAnsi" w:cstheme="minorBidi"/>
            <w:noProof/>
            <w:lang w:eastAsia="en-GB"/>
          </w:rPr>
          <w:tab/>
        </w:r>
        <w:r w:rsidR="00163E2C" w:rsidRPr="00E8268C">
          <w:rPr>
            <w:rStyle w:val="Collegamentoipertestuale"/>
            <w:noProof/>
          </w:rPr>
          <w:t>Burial locations and cemeteries</w:t>
        </w:r>
        <w:r w:rsidR="00163E2C">
          <w:rPr>
            <w:noProof/>
            <w:webHidden/>
          </w:rPr>
          <w:tab/>
        </w:r>
        <w:r w:rsidR="00163E2C">
          <w:rPr>
            <w:noProof/>
            <w:webHidden/>
          </w:rPr>
          <w:fldChar w:fldCharType="begin"/>
        </w:r>
        <w:r w:rsidR="00163E2C">
          <w:rPr>
            <w:noProof/>
            <w:webHidden/>
          </w:rPr>
          <w:instrText xml:space="preserve"> PAGEREF _Toc519894621 \h </w:instrText>
        </w:r>
        <w:r w:rsidR="00163E2C">
          <w:rPr>
            <w:noProof/>
            <w:webHidden/>
          </w:rPr>
        </w:r>
        <w:r w:rsidR="00163E2C">
          <w:rPr>
            <w:noProof/>
            <w:webHidden/>
          </w:rPr>
          <w:fldChar w:fldCharType="separate"/>
        </w:r>
        <w:r w:rsidR="00412C3C">
          <w:rPr>
            <w:noProof/>
            <w:webHidden/>
          </w:rPr>
          <w:t>9</w:t>
        </w:r>
        <w:r w:rsidR="006D445C">
          <w:rPr>
            <w:noProof/>
            <w:webHidden/>
          </w:rPr>
          <w:t>5</w:t>
        </w:r>
        <w:r w:rsidR="00163E2C">
          <w:rPr>
            <w:noProof/>
            <w:webHidden/>
          </w:rPr>
          <w:fldChar w:fldCharType="end"/>
        </w:r>
      </w:hyperlink>
    </w:p>
    <w:p w14:paraId="1488405D" w14:textId="4B7C66EC" w:rsidR="00163E2C" w:rsidRDefault="00DB11B9" w:rsidP="00E858EF">
      <w:pPr>
        <w:pStyle w:val="Sommario3"/>
        <w:tabs>
          <w:tab w:val="left" w:pos="1276"/>
          <w:tab w:val="right" w:leader="dot" w:pos="8488"/>
        </w:tabs>
        <w:suppressAutoHyphens/>
        <w:rPr>
          <w:rFonts w:asciiTheme="minorHAnsi" w:hAnsiTheme="minorHAnsi" w:cstheme="minorBidi"/>
          <w:noProof/>
          <w:lang w:eastAsia="en-GB"/>
        </w:rPr>
      </w:pPr>
      <w:hyperlink w:anchor="_Toc519894622" w:history="1">
        <w:r w:rsidR="00163E2C" w:rsidRPr="00E8268C">
          <w:rPr>
            <w:rStyle w:val="Collegamentoipertestuale"/>
            <w:noProof/>
          </w:rPr>
          <w:t>3.8.2</w:t>
        </w:r>
        <w:r w:rsidR="00163E2C">
          <w:rPr>
            <w:rFonts w:asciiTheme="minorHAnsi" w:hAnsiTheme="minorHAnsi" w:cstheme="minorBidi"/>
            <w:noProof/>
            <w:lang w:eastAsia="en-GB"/>
          </w:rPr>
          <w:tab/>
        </w:r>
        <w:r w:rsidR="00163E2C" w:rsidRPr="00E8268C">
          <w:rPr>
            <w:rStyle w:val="Collegamentoipertestuale"/>
            <w:noProof/>
          </w:rPr>
          <w:t>Tombs</w:t>
        </w:r>
        <w:r w:rsidR="00163E2C">
          <w:rPr>
            <w:noProof/>
            <w:webHidden/>
          </w:rPr>
          <w:tab/>
        </w:r>
        <w:r w:rsidR="00163E2C">
          <w:rPr>
            <w:noProof/>
            <w:webHidden/>
          </w:rPr>
          <w:fldChar w:fldCharType="begin"/>
        </w:r>
        <w:r w:rsidR="00163E2C">
          <w:rPr>
            <w:noProof/>
            <w:webHidden/>
          </w:rPr>
          <w:instrText xml:space="preserve"> PAGEREF _Toc519894622 \h </w:instrText>
        </w:r>
        <w:r w:rsidR="00163E2C">
          <w:rPr>
            <w:noProof/>
            <w:webHidden/>
          </w:rPr>
        </w:r>
        <w:r w:rsidR="00163E2C">
          <w:rPr>
            <w:noProof/>
            <w:webHidden/>
          </w:rPr>
          <w:fldChar w:fldCharType="separate"/>
        </w:r>
        <w:r w:rsidR="00412C3C">
          <w:rPr>
            <w:noProof/>
            <w:webHidden/>
          </w:rPr>
          <w:t>10</w:t>
        </w:r>
        <w:r w:rsidR="006D445C">
          <w:rPr>
            <w:noProof/>
            <w:webHidden/>
          </w:rPr>
          <w:t>0</w:t>
        </w:r>
        <w:r w:rsidR="00163E2C">
          <w:rPr>
            <w:noProof/>
            <w:webHidden/>
          </w:rPr>
          <w:fldChar w:fldCharType="end"/>
        </w:r>
      </w:hyperlink>
    </w:p>
    <w:p w14:paraId="4A19DC38" w14:textId="2D0CBEEC" w:rsidR="00163E2C" w:rsidRDefault="00DB11B9" w:rsidP="00E858EF">
      <w:pPr>
        <w:pStyle w:val="Sommario3"/>
        <w:tabs>
          <w:tab w:val="left" w:pos="1276"/>
          <w:tab w:val="right" w:leader="dot" w:pos="8488"/>
        </w:tabs>
        <w:suppressAutoHyphens/>
        <w:rPr>
          <w:rFonts w:asciiTheme="minorHAnsi" w:hAnsiTheme="minorHAnsi" w:cstheme="minorBidi"/>
          <w:noProof/>
          <w:lang w:eastAsia="en-GB"/>
        </w:rPr>
      </w:pPr>
      <w:hyperlink w:anchor="_Toc519894623" w:history="1">
        <w:r w:rsidR="00163E2C" w:rsidRPr="00E8268C">
          <w:rPr>
            <w:rStyle w:val="Collegamentoipertestuale"/>
            <w:noProof/>
          </w:rPr>
          <w:t>3.8.3</w:t>
        </w:r>
        <w:r w:rsidR="00163E2C">
          <w:rPr>
            <w:rFonts w:asciiTheme="minorHAnsi" w:hAnsiTheme="minorHAnsi" w:cstheme="minorBidi"/>
            <w:noProof/>
            <w:lang w:eastAsia="en-GB"/>
          </w:rPr>
          <w:tab/>
        </w:r>
        <w:r w:rsidR="00163E2C" w:rsidRPr="00E8268C">
          <w:rPr>
            <w:rStyle w:val="Collegamentoipertestuale"/>
            <w:noProof/>
          </w:rPr>
          <w:t>Clay larnakes in non-burial contexts</w:t>
        </w:r>
        <w:r w:rsidR="00163E2C">
          <w:rPr>
            <w:noProof/>
            <w:webHidden/>
          </w:rPr>
          <w:tab/>
        </w:r>
        <w:r w:rsidR="00163E2C">
          <w:rPr>
            <w:noProof/>
            <w:webHidden/>
          </w:rPr>
          <w:fldChar w:fldCharType="begin"/>
        </w:r>
        <w:r w:rsidR="00163E2C">
          <w:rPr>
            <w:noProof/>
            <w:webHidden/>
          </w:rPr>
          <w:instrText xml:space="preserve"> PAGEREF _Toc519894623 \h </w:instrText>
        </w:r>
        <w:r w:rsidR="00163E2C">
          <w:rPr>
            <w:noProof/>
            <w:webHidden/>
          </w:rPr>
        </w:r>
        <w:r w:rsidR="00163E2C">
          <w:rPr>
            <w:noProof/>
            <w:webHidden/>
          </w:rPr>
          <w:fldChar w:fldCharType="separate"/>
        </w:r>
        <w:r w:rsidR="00412C3C">
          <w:rPr>
            <w:noProof/>
            <w:webHidden/>
          </w:rPr>
          <w:t>10</w:t>
        </w:r>
        <w:r w:rsidR="006D445C">
          <w:rPr>
            <w:noProof/>
            <w:webHidden/>
          </w:rPr>
          <w:t>5</w:t>
        </w:r>
        <w:r w:rsidR="00163E2C">
          <w:rPr>
            <w:noProof/>
            <w:webHidden/>
          </w:rPr>
          <w:fldChar w:fldCharType="end"/>
        </w:r>
      </w:hyperlink>
    </w:p>
    <w:p w14:paraId="5D221F2B" w14:textId="4C2B4F78" w:rsidR="00163E2C" w:rsidRDefault="00DB11B9" w:rsidP="00E858EF">
      <w:pPr>
        <w:pStyle w:val="Sommario3"/>
        <w:tabs>
          <w:tab w:val="left" w:pos="1276"/>
          <w:tab w:val="right" w:leader="dot" w:pos="8488"/>
        </w:tabs>
        <w:suppressAutoHyphens/>
        <w:rPr>
          <w:rFonts w:asciiTheme="minorHAnsi" w:hAnsiTheme="minorHAnsi" w:cstheme="minorBidi"/>
          <w:noProof/>
          <w:lang w:eastAsia="en-GB"/>
        </w:rPr>
      </w:pPr>
      <w:hyperlink w:anchor="_Toc519894624" w:history="1">
        <w:r w:rsidR="00163E2C" w:rsidRPr="00E8268C">
          <w:rPr>
            <w:rStyle w:val="Collegamentoipertestuale"/>
            <w:noProof/>
          </w:rPr>
          <w:t>3.8.4</w:t>
        </w:r>
        <w:r w:rsidR="00163E2C">
          <w:rPr>
            <w:rFonts w:asciiTheme="minorHAnsi" w:hAnsiTheme="minorHAnsi" w:cstheme="minorBidi"/>
            <w:noProof/>
            <w:lang w:eastAsia="en-GB"/>
          </w:rPr>
          <w:tab/>
        </w:r>
        <w:r w:rsidR="00163E2C" w:rsidRPr="00E8268C">
          <w:rPr>
            <w:rStyle w:val="Collegamentoipertestuale"/>
            <w:noProof/>
          </w:rPr>
          <w:t>Chronological remarks</w:t>
        </w:r>
        <w:r w:rsidR="00163E2C">
          <w:rPr>
            <w:noProof/>
            <w:webHidden/>
          </w:rPr>
          <w:tab/>
        </w:r>
        <w:r w:rsidR="00163E2C">
          <w:rPr>
            <w:noProof/>
            <w:webHidden/>
          </w:rPr>
          <w:fldChar w:fldCharType="begin"/>
        </w:r>
        <w:r w:rsidR="00163E2C">
          <w:rPr>
            <w:noProof/>
            <w:webHidden/>
          </w:rPr>
          <w:instrText xml:space="preserve"> PAGEREF _Toc519894624 \h </w:instrText>
        </w:r>
        <w:r w:rsidR="00163E2C">
          <w:rPr>
            <w:noProof/>
            <w:webHidden/>
          </w:rPr>
        </w:r>
        <w:r w:rsidR="00163E2C">
          <w:rPr>
            <w:noProof/>
            <w:webHidden/>
          </w:rPr>
          <w:fldChar w:fldCharType="separate"/>
        </w:r>
        <w:r w:rsidR="00412C3C">
          <w:rPr>
            <w:noProof/>
            <w:webHidden/>
          </w:rPr>
          <w:t>10</w:t>
        </w:r>
        <w:r w:rsidR="006D445C">
          <w:rPr>
            <w:noProof/>
            <w:webHidden/>
          </w:rPr>
          <w:t>5</w:t>
        </w:r>
        <w:r w:rsidR="00163E2C">
          <w:rPr>
            <w:noProof/>
            <w:webHidden/>
          </w:rPr>
          <w:fldChar w:fldCharType="end"/>
        </w:r>
      </w:hyperlink>
    </w:p>
    <w:p w14:paraId="011291C3" w14:textId="2D4B6ED7" w:rsidR="00163E2C" w:rsidRDefault="00DB11B9" w:rsidP="00E858EF">
      <w:pPr>
        <w:pStyle w:val="Sommario3"/>
        <w:tabs>
          <w:tab w:val="left" w:pos="1276"/>
          <w:tab w:val="right" w:leader="dot" w:pos="8488"/>
        </w:tabs>
        <w:suppressAutoHyphens/>
        <w:rPr>
          <w:rFonts w:asciiTheme="minorHAnsi" w:hAnsiTheme="minorHAnsi" w:cstheme="minorBidi"/>
          <w:noProof/>
          <w:lang w:eastAsia="en-GB"/>
        </w:rPr>
      </w:pPr>
      <w:hyperlink w:anchor="_Toc519894625" w:history="1">
        <w:r w:rsidR="00163E2C" w:rsidRPr="00E8268C">
          <w:rPr>
            <w:rStyle w:val="Collegamentoipertestuale"/>
            <w:noProof/>
          </w:rPr>
          <w:t>3.8.5</w:t>
        </w:r>
        <w:r w:rsidR="00163E2C">
          <w:rPr>
            <w:rFonts w:asciiTheme="minorHAnsi" w:hAnsiTheme="minorHAnsi" w:cstheme="minorBidi"/>
            <w:noProof/>
            <w:lang w:eastAsia="en-GB"/>
          </w:rPr>
          <w:tab/>
        </w:r>
        <w:r w:rsidR="00163E2C" w:rsidRPr="00E8268C">
          <w:rPr>
            <w:rStyle w:val="Collegamentoipertestuale"/>
            <w:noProof/>
          </w:rPr>
          <w:t>Conclusions: Knossos area</w:t>
        </w:r>
        <w:r w:rsidR="00163E2C">
          <w:rPr>
            <w:noProof/>
            <w:webHidden/>
          </w:rPr>
          <w:tab/>
        </w:r>
        <w:r w:rsidR="00163E2C">
          <w:rPr>
            <w:noProof/>
            <w:webHidden/>
          </w:rPr>
          <w:fldChar w:fldCharType="begin"/>
        </w:r>
        <w:r w:rsidR="00163E2C">
          <w:rPr>
            <w:noProof/>
            <w:webHidden/>
          </w:rPr>
          <w:instrText xml:space="preserve"> PAGEREF _Toc519894625 \h </w:instrText>
        </w:r>
        <w:r w:rsidR="00163E2C">
          <w:rPr>
            <w:noProof/>
            <w:webHidden/>
          </w:rPr>
        </w:r>
        <w:r w:rsidR="00163E2C">
          <w:rPr>
            <w:noProof/>
            <w:webHidden/>
          </w:rPr>
          <w:fldChar w:fldCharType="separate"/>
        </w:r>
        <w:r w:rsidR="00412C3C">
          <w:rPr>
            <w:noProof/>
            <w:webHidden/>
          </w:rPr>
          <w:t>10</w:t>
        </w:r>
        <w:r w:rsidR="006D445C">
          <w:rPr>
            <w:noProof/>
            <w:webHidden/>
          </w:rPr>
          <w:t>6</w:t>
        </w:r>
        <w:r w:rsidR="00163E2C">
          <w:rPr>
            <w:noProof/>
            <w:webHidden/>
          </w:rPr>
          <w:fldChar w:fldCharType="end"/>
        </w:r>
      </w:hyperlink>
    </w:p>
    <w:p w14:paraId="406E90D9" w14:textId="7A23B761" w:rsidR="00163E2C" w:rsidRDefault="00DB11B9" w:rsidP="00E858EF">
      <w:pPr>
        <w:pStyle w:val="Sommario2"/>
        <w:tabs>
          <w:tab w:val="right" w:leader="dot" w:pos="8488"/>
        </w:tabs>
        <w:suppressAutoHyphens/>
        <w:rPr>
          <w:rFonts w:asciiTheme="minorHAnsi" w:hAnsiTheme="minorHAnsi" w:cstheme="minorBidi"/>
          <w:noProof/>
          <w:lang w:eastAsia="en-GB"/>
        </w:rPr>
      </w:pPr>
      <w:hyperlink w:anchor="_Toc519894626" w:history="1">
        <w:r w:rsidR="00163E2C" w:rsidRPr="00E8268C">
          <w:rPr>
            <w:rStyle w:val="Collegamentoipertestuale"/>
            <w:noProof/>
            <w14:scene3d>
              <w14:camera w14:prst="orthographicFront"/>
              <w14:lightRig w14:rig="threePt" w14:dir="t">
                <w14:rot w14:lat="0" w14:lon="0" w14:rev="0"/>
              </w14:lightRig>
            </w14:scene3d>
          </w:rPr>
          <w:t>3.9</w:t>
        </w:r>
        <w:r w:rsidR="00163E2C">
          <w:rPr>
            <w:rFonts w:asciiTheme="minorHAnsi" w:hAnsiTheme="minorHAnsi" w:cstheme="minorBidi"/>
            <w:noProof/>
            <w:lang w:eastAsia="en-GB"/>
          </w:rPr>
          <w:tab/>
        </w:r>
        <w:r w:rsidR="00163E2C" w:rsidRPr="00E8268C">
          <w:rPr>
            <w:rStyle w:val="Collegamentoipertestuale"/>
            <w:noProof/>
          </w:rPr>
          <w:t>Central area</w:t>
        </w:r>
        <w:r w:rsidR="00163E2C">
          <w:rPr>
            <w:noProof/>
            <w:webHidden/>
          </w:rPr>
          <w:tab/>
        </w:r>
        <w:r w:rsidR="00163E2C">
          <w:rPr>
            <w:noProof/>
            <w:webHidden/>
          </w:rPr>
          <w:fldChar w:fldCharType="begin"/>
        </w:r>
        <w:r w:rsidR="00163E2C">
          <w:rPr>
            <w:noProof/>
            <w:webHidden/>
          </w:rPr>
          <w:instrText xml:space="preserve"> PAGEREF _Toc519894626 \h </w:instrText>
        </w:r>
        <w:r w:rsidR="00163E2C">
          <w:rPr>
            <w:noProof/>
            <w:webHidden/>
          </w:rPr>
        </w:r>
        <w:r w:rsidR="00163E2C">
          <w:rPr>
            <w:noProof/>
            <w:webHidden/>
          </w:rPr>
          <w:fldChar w:fldCharType="separate"/>
        </w:r>
        <w:r w:rsidR="00412C3C">
          <w:rPr>
            <w:noProof/>
            <w:webHidden/>
          </w:rPr>
          <w:t>10</w:t>
        </w:r>
        <w:r w:rsidR="006D445C">
          <w:rPr>
            <w:noProof/>
            <w:webHidden/>
          </w:rPr>
          <w:t>7</w:t>
        </w:r>
        <w:r w:rsidR="00163E2C">
          <w:rPr>
            <w:noProof/>
            <w:webHidden/>
          </w:rPr>
          <w:fldChar w:fldCharType="end"/>
        </w:r>
      </w:hyperlink>
    </w:p>
    <w:p w14:paraId="6CB7B8B6" w14:textId="53ED6863" w:rsidR="00163E2C" w:rsidRDefault="00DB11B9" w:rsidP="00E858EF">
      <w:pPr>
        <w:pStyle w:val="Sommario3"/>
        <w:tabs>
          <w:tab w:val="left" w:pos="1276"/>
          <w:tab w:val="right" w:leader="dot" w:pos="8488"/>
        </w:tabs>
        <w:suppressAutoHyphens/>
        <w:rPr>
          <w:rFonts w:asciiTheme="minorHAnsi" w:hAnsiTheme="minorHAnsi" w:cstheme="minorBidi"/>
          <w:noProof/>
          <w:lang w:eastAsia="en-GB"/>
        </w:rPr>
      </w:pPr>
      <w:hyperlink w:anchor="_Toc519894627" w:history="1">
        <w:r w:rsidR="00163E2C" w:rsidRPr="00E8268C">
          <w:rPr>
            <w:rStyle w:val="Collegamentoipertestuale"/>
            <w:noProof/>
          </w:rPr>
          <w:t>3.9.1</w:t>
        </w:r>
        <w:r w:rsidR="00163E2C">
          <w:rPr>
            <w:rFonts w:asciiTheme="minorHAnsi" w:hAnsiTheme="minorHAnsi" w:cstheme="minorBidi"/>
            <w:noProof/>
            <w:lang w:eastAsia="en-GB"/>
          </w:rPr>
          <w:tab/>
        </w:r>
        <w:r w:rsidR="00163E2C" w:rsidRPr="00E8268C">
          <w:rPr>
            <w:rStyle w:val="Collegamentoipertestuale"/>
            <w:noProof/>
          </w:rPr>
          <w:t>Burial locations and cemeteries</w:t>
        </w:r>
        <w:r w:rsidR="00163E2C">
          <w:rPr>
            <w:noProof/>
            <w:webHidden/>
          </w:rPr>
          <w:tab/>
        </w:r>
        <w:r w:rsidR="00163E2C">
          <w:rPr>
            <w:noProof/>
            <w:webHidden/>
          </w:rPr>
          <w:fldChar w:fldCharType="begin"/>
        </w:r>
        <w:r w:rsidR="00163E2C">
          <w:rPr>
            <w:noProof/>
            <w:webHidden/>
          </w:rPr>
          <w:instrText xml:space="preserve"> PAGEREF _Toc519894627 \h </w:instrText>
        </w:r>
        <w:r w:rsidR="00163E2C">
          <w:rPr>
            <w:noProof/>
            <w:webHidden/>
          </w:rPr>
        </w:r>
        <w:r w:rsidR="00163E2C">
          <w:rPr>
            <w:noProof/>
            <w:webHidden/>
          </w:rPr>
          <w:fldChar w:fldCharType="separate"/>
        </w:r>
        <w:r w:rsidR="00412C3C">
          <w:rPr>
            <w:noProof/>
            <w:webHidden/>
          </w:rPr>
          <w:t>10</w:t>
        </w:r>
        <w:r w:rsidR="006D445C">
          <w:rPr>
            <w:noProof/>
            <w:webHidden/>
          </w:rPr>
          <w:t>7</w:t>
        </w:r>
        <w:r w:rsidR="00163E2C">
          <w:rPr>
            <w:noProof/>
            <w:webHidden/>
          </w:rPr>
          <w:fldChar w:fldCharType="end"/>
        </w:r>
      </w:hyperlink>
    </w:p>
    <w:p w14:paraId="5F36084A" w14:textId="54F83946"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28" w:history="1">
        <w:r w:rsidR="00163E2C" w:rsidRPr="00E8268C">
          <w:rPr>
            <w:rStyle w:val="Collegamentoipertestuale"/>
            <w:noProof/>
          </w:rPr>
          <w:t>3.9.2</w:t>
        </w:r>
        <w:r w:rsidR="00163E2C">
          <w:rPr>
            <w:rFonts w:asciiTheme="minorHAnsi" w:hAnsiTheme="minorHAnsi" w:cstheme="minorBidi"/>
            <w:noProof/>
            <w:lang w:eastAsia="en-GB"/>
          </w:rPr>
          <w:tab/>
        </w:r>
        <w:r w:rsidR="00163E2C" w:rsidRPr="00E8268C">
          <w:rPr>
            <w:rStyle w:val="Collegamentoipertestuale"/>
            <w:noProof/>
          </w:rPr>
          <w:t>Tombs</w:t>
        </w:r>
        <w:r w:rsidR="00163E2C">
          <w:rPr>
            <w:noProof/>
            <w:webHidden/>
          </w:rPr>
          <w:tab/>
        </w:r>
        <w:r w:rsidR="00163E2C">
          <w:rPr>
            <w:noProof/>
            <w:webHidden/>
          </w:rPr>
          <w:fldChar w:fldCharType="begin"/>
        </w:r>
        <w:r w:rsidR="00163E2C">
          <w:rPr>
            <w:noProof/>
            <w:webHidden/>
          </w:rPr>
          <w:instrText xml:space="preserve"> PAGEREF _Toc519894628 \h </w:instrText>
        </w:r>
        <w:r w:rsidR="00163E2C">
          <w:rPr>
            <w:noProof/>
            <w:webHidden/>
          </w:rPr>
        </w:r>
        <w:r w:rsidR="00163E2C">
          <w:rPr>
            <w:noProof/>
            <w:webHidden/>
          </w:rPr>
          <w:fldChar w:fldCharType="separate"/>
        </w:r>
        <w:r w:rsidR="00412C3C">
          <w:rPr>
            <w:noProof/>
            <w:webHidden/>
          </w:rPr>
          <w:t>11</w:t>
        </w:r>
        <w:r w:rsidR="006D445C">
          <w:rPr>
            <w:noProof/>
            <w:webHidden/>
          </w:rPr>
          <w:t>5</w:t>
        </w:r>
        <w:r w:rsidR="00163E2C">
          <w:rPr>
            <w:noProof/>
            <w:webHidden/>
          </w:rPr>
          <w:fldChar w:fldCharType="end"/>
        </w:r>
      </w:hyperlink>
    </w:p>
    <w:p w14:paraId="36E8E78F" w14:textId="688CAF36"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29" w:history="1">
        <w:r w:rsidR="00163E2C" w:rsidRPr="00E8268C">
          <w:rPr>
            <w:rStyle w:val="Collegamentoipertestuale"/>
            <w:noProof/>
          </w:rPr>
          <w:t>3.9.3</w:t>
        </w:r>
        <w:r w:rsidR="00163E2C">
          <w:rPr>
            <w:rFonts w:asciiTheme="minorHAnsi" w:hAnsiTheme="minorHAnsi" w:cstheme="minorBidi"/>
            <w:noProof/>
            <w:lang w:eastAsia="en-GB"/>
          </w:rPr>
          <w:tab/>
        </w:r>
        <w:r w:rsidR="00163E2C" w:rsidRPr="00E8268C">
          <w:rPr>
            <w:rStyle w:val="Collegamentoipertestuale"/>
            <w:noProof/>
          </w:rPr>
          <w:t>Clay larnakes in non-burial context</w:t>
        </w:r>
        <w:r w:rsidR="00163E2C">
          <w:rPr>
            <w:noProof/>
            <w:webHidden/>
          </w:rPr>
          <w:tab/>
        </w:r>
        <w:r w:rsidR="00163E2C">
          <w:rPr>
            <w:noProof/>
            <w:webHidden/>
          </w:rPr>
          <w:fldChar w:fldCharType="begin"/>
        </w:r>
        <w:r w:rsidR="00163E2C">
          <w:rPr>
            <w:noProof/>
            <w:webHidden/>
          </w:rPr>
          <w:instrText xml:space="preserve"> PAGEREF _Toc519894629 \h </w:instrText>
        </w:r>
        <w:r w:rsidR="00163E2C">
          <w:rPr>
            <w:noProof/>
            <w:webHidden/>
          </w:rPr>
        </w:r>
        <w:r w:rsidR="00163E2C">
          <w:rPr>
            <w:noProof/>
            <w:webHidden/>
          </w:rPr>
          <w:fldChar w:fldCharType="separate"/>
        </w:r>
        <w:r w:rsidR="00412C3C">
          <w:rPr>
            <w:noProof/>
            <w:webHidden/>
          </w:rPr>
          <w:t>12</w:t>
        </w:r>
        <w:r w:rsidR="00227980">
          <w:rPr>
            <w:noProof/>
            <w:webHidden/>
          </w:rPr>
          <w:t>1</w:t>
        </w:r>
        <w:r w:rsidR="00163E2C">
          <w:rPr>
            <w:noProof/>
            <w:webHidden/>
          </w:rPr>
          <w:fldChar w:fldCharType="end"/>
        </w:r>
      </w:hyperlink>
    </w:p>
    <w:p w14:paraId="20082946" w14:textId="161F0087"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30" w:history="1">
        <w:r w:rsidR="00163E2C" w:rsidRPr="00E8268C">
          <w:rPr>
            <w:rStyle w:val="Collegamentoipertestuale"/>
            <w:noProof/>
          </w:rPr>
          <w:t>3.9.4</w:t>
        </w:r>
        <w:r w:rsidR="00163E2C">
          <w:rPr>
            <w:rFonts w:asciiTheme="minorHAnsi" w:hAnsiTheme="minorHAnsi" w:cstheme="minorBidi"/>
            <w:noProof/>
            <w:lang w:eastAsia="en-GB"/>
          </w:rPr>
          <w:tab/>
        </w:r>
        <w:r w:rsidR="00163E2C" w:rsidRPr="00E8268C">
          <w:rPr>
            <w:rStyle w:val="Collegamentoipertestuale"/>
            <w:noProof/>
          </w:rPr>
          <w:t>Chronological remarks</w:t>
        </w:r>
        <w:r w:rsidR="00163E2C">
          <w:rPr>
            <w:noProof/>
            <w:webHidden/>
          </w:rPr>
          <w:tab/>
        </w:r>
        <w:r w:rsidR="00163E2C">
          <w:rPr>
            <w:noProof/>
            <w:webHidden/>
          </w:rPr>
          <w:fldChar w:fldCharType="begin"/>
        </w:r>
        <w:r w:rsidR="00163E2C">
          <w:rPr>
            <w:noProof/>
            <w:webHidden/>
          </w:rPr>
          <w:instrText xml:space="preserve"> PAGEREF _Toc519894630 \h </w:instrText>
        </w:r>
        <w:r w:rsidR="00163E2C">
          <w:rPr>
            <w:noProof/>
            <w:webHidden/>
          </w:rPr>
        </w:r>
        <w:r w:rsidR="00163E2C">
          <w:rPr>
            <w:noProof/>
            <w:webHidden/>
          </w:rPr>
          <w:fldChar w:fldCharType="separate"/>
        </w:r>
        <w:r w:rsidR="00412C3C">
          <w:rPr>
            <w:noProof/>
            <w:webHidden/>
          </w:rPr>
          <w:t>12</w:t>
        </w:r>
        <w:r w:rsidR="00227980">
          <w:rPr>
            <w:noProof/>
            <w:webHidden/>
          </w:rPr>
          <w:t>1</w:t>
        </w:r>
        <w:r w:rsidR="00163E2C">
          <w:rPr>
            <w:noProof/>
            <w:webHidden/>
          </w:rPr>
          <w:fldChar w:fldCharType="end"/>
        </w:r>
      </w:hyperlink>
    </w:p>
    <w:p w14:paraId="7424317A" w14:textId="1B29B156"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31" w:history="1">
        <w:r w:rsidR="00163E2C" w:rsidRPr="00E8268C">
          <w:rPr>
            <w:rStyle w:val="Collegamentoipertestuale"/>
            <w:noProof/>
          </w:rPr>
          <w:t>3.9.5</w:t>
        </w:r>
        <w:r w:rsidR="00163E2C">
          <w:rPr>
            <w:rFonts w:asciiTheme="minorHAnsi" w:hAnsiTheme="minorHAnsi" w:cstheme="minorBidi"/>
            <w:noProof/>
            <w:lang w:eastAsia="en-GB"/>
          </w:rPr>
          <w:tab/>
        </w:r>
        <w:r w:rsidR="00163E2C" w:rsidRPr="00E8268C">
          <w:rPr>
            <w:rStyle w:val="Collegamentoipertestuale"/>
            <w:noProof/>
          </w:rPr>
          <w:t>Conclusions: Central area</w:t>
        </w:r>
        <w:r w:rsidR="00163E2C">
          <w:rPr>
            <w:noProof/>
            <w:webHidden/>
          </w:rPr>
          <w:tab/>
        </w:r>
        <w:r w:rsidR="00163E2C">
          <w:rPr>
            <w:noProof/>
            <w:webHidden/>
          </w:rPr>
          <w:fldChar w:fldCharType="begin"/>
        </w:r>
        <w:r w:rsidR="00163E2C">
          <w:rPr>
            <w:noProof/>
            <w:webHidden/>
          </w:rPr>
          <w:instrText xml:space="preserve"> PAGEREF _Toc519894631 \h </w:instrText>
        </w:r>
        <w:r w:rsidR="00163E2C">
          <w:rPr>
            <w:noProof/>
            <w:webHidden/>
          </w:rPr>
        </w:r>
        <w:r w:rsidR="00163E2C">
          <w:rPr>
            <w:noProof/>
            <w:webHidden/>
          </w:rPr>
          <w:fldChar w:fldCharType="separate"/>
        </w:r>
        <w:r w:rsidR="00412C3C">
          <w:rPr>
            <w:noProof/>
            <w:webHidden/>
          </w:rPr>
          <w:t>12</w:t>
        </w:r>
        <w:r w:rsidR="00227980">
          <w:rPr>
            <w:noProof/>
            <w:webHidden/>
          </w:rPr>
          <w:t>2</w:t>
        </w:r>
        <w:r w:rsidR="00163E2C">
          <w:rPr>
            <w:noProof/>
            <w:webHidden/>
          </w:rPr>
          <w:fldChar w:fldCharType="end"/>
        </w:r>
      </w:hyperlink>
    </w:p>
    <w:p w14:paraId="2B8B075D" w14:textId="6AD3137F"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32" w:history="1">
        <w:r w:rsidR="00163E2C" w:rsidRPr="00E8268C">
          <w:rPr>
            <w:rStyle w:val="Collegamentoipertestuale"/>
            <w:noProof/>
            <w14:scene3d>
              <w14:camera w14:prst="orthographicFront"/>
              <w14:lightRig w14:rig="threePt" w14:dir="t">
                <w14:rot w14:lat="0" w14:lon="0" w14:rev="0"/>
              </w14:lightRig>
            </w14:scene3d>
          </w:rPr>
          <w:t>3.10</w:t>
        </w:r>
        <w:r w:rsidR="00163E2C">
          <w:rPr>
            <w:rFonts w:asciiTheme="minorHAnsi" w:hAnsiTheme="minorHAnsi" w:cstheme="minorBidi"/>
            <w:noProof/>
            <w:lang w:eastAsia="en-GB"/>
          </w:rPr>
          <w:tab/>
        </w:r>
        <w:r w:rsidR="00163E2C" w:rsidRPr="00E8268C">
          <w:rPr>
            <w:rStyle w:val="Collegamentoipertestuale"/>
            <w:noProof/>
          </w:rPr>
          <w:t>Mid-East area</w:t>
        </w:r>
        <w:r w:rsidR="00163E2C">
          <w:rPr>
            <w:noProof/>
            <w:webHidden/>
          </w:rPr>
          <w:tab/>
        </w:r>
        <w:r w:rsidR="00163E2C">
          <w:rPr>
            <w:noProof/>
            <w:webHidden/>
          </w:rPr>
          <w:fldChar w:fldCharType="begin"/>
        </w:r>
        <w:r w:rsidR="00163E2C">
          <w:rPr>
            <w:noProof/>
            <w:webHidden/>
          </w:rPr>
          <w:instrText xml:space="preserve"> PAGEREF _Toc519894632 \h </w:instrText>
        </w:r>
        <w:r w:rsidR="00163E2C">
          <w:rPr>
            <w:noProof/>
            <w:webHidden/>
          </w:rPr>
        </w:r>
        <w:r w:rsidR="00163E2C">
          <w:rPr>
            <w:noProof/>
            <w:webHidden/>
          </w:rPr>
          <w:fldChar w:fldCharType="separate"/>
        </w:r>
        <w:r w:rsidR="00412C3C">
          <w:rPr>
            <w:noProof/>
            <w:webHidden/>
          </w:rPr>
          <w:t>12</w:t>
        </w:r>
        <w:r w:rsidR="00A467B1">
          <w:rPr>
            <w:noProof/>
            <w:webHidden/>
          </w:rPr>
          <w:t>4</w:t>
        </w:r>
        <w:r w:rsidR="00163E2C">
          <w:rPr>
            <w:noProof/>
            <w:webHidden/>
          </w:rPr>
          <w:fldChar w:fldCharType="end"/>
        </w:r>
      </w:hyperlink>
    </w:p>
    <w:p w14:paraId="0FA63FF2" w14:textId="14D0DAD8"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633" w:history="1">
        <w:r w:rsidR="00163E2C" w:rsidRPr="00E8268C">
          <w:rPr>
            <w:rStyle w:val="Collegamentoipertestuale"/>
            <w:noProof/>
          </w:rPr>
          <w:t>3.10.1</w:t>
        </w:r>
        <w:r w:rsidR="00163E2C">
          <w:rPr>
            <w:rFonts w:asciiTheme="minorHAnsi" w:hAnsiTheme="minorHAnsi" w:cstheme="minorBidi"/>
            <w:noProof/>
            <w:lang w:eastAsia="en-GB"/>
          </w:rPr>
          <w:tab/>
        </w:r>
        <w:r w:rsidR="00163E2C" w:rsidRPr="00E8268C">
          <w:rPr>
            <w:rStyle w:val="Collegamentoipertestuale"/>
            <w:noProof/>
          </w:rPr>
          <w:t>Burial locations and cemeteries</w:t>
        </w:r>
        <w:r w:rsidR="00163E2C">
          <w:rPr>
            <w:noProof/>
            <w:webHidden/>
          </w:rPr>
          <w:tab/>
        </w:r>
        <w:r w:rsidR="00163E2C">
          <w:rPr>
            <w:noProof/>
            <w:webHidden/>
          </w:rPr>
          <w:fldChar w:fldCharType="begin"/>
        </w:r>
        <w:r w:rsidR="00163E2C">
          <w:rPr>
            <w:noProof/>
            <w:webHidden/>
          </w:rPr>
          <w:instrText xml:space="preserve"> PAGEREF _Toc519894633 \h </w:instrText>
        </w:r>
        <w:r w:rsidR="00163E2C">
          <w:rPr>
            <w:noProof/>
            <w:webHidden/>
          </w:rPr>
        </w:r>
        <w:r w:rsidR="00163E2C">
          <w:rPr>
            <w:noProof/>
            <w:webHidden/>
          </w:rPr>
          <w:fldChar w:fldCharType="separate"/>
        </w:r>
        <w:r w:rsidR="00412C3C">
          <w:rPr>
            <w:noProof/>
            <w:webHidden/>
          </w:rPr>
          <w:t>12</w:t>
        </w:r>
        <w:r w:rsidR="00A467B1">
          <w:rPr>
            <w:noProof/>
            <w:webHidden/>
          </w:rPr>
          <w:t>4</w:t>
        </w:r>
        <w:r w:rsidR="00163E2C">
          <w:rPr>
            <w:noProof/>
            <w:webHidden/>
          </w:rPr>
          <w:fldChar w:fldCharType="end"/>
        </w:r>
      </w:hyperlink>
    </w:p>
    <w:p w14:paraId="77EFF37D" w14:textId="5AB88470"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634" w:history="1">
        <w:r w:rsidR="00163E2C" w:rsidRPr="00E8268C">
          <w:rPr>
            <w:rStyle w:val="Collegamentoipertestuale"/>
            <w:noProof/>
          </w:rPr>
          <w:t>3.10.2</w:t>
        </w:r>
        <w:r w:rsidR="00163E2C">
          <w:rPr>
            <w:rFonts w:asciiTheme="minorHAnsi" w:hAnsiTheme="minorHAnsi" w:cstheme="minorBidi"/>
            <w:noProof/>
            <w:lang w:eastAsia="en-GB"/>
          </w:rPr>
          <w:tab/>
        </w:r>
        <w:r w:rsidR="00163E2C" w:rsidRPr="00E8268C">
          <w:rPr>
            <w:rStyle w:val="Collegamentoipertestuale"/>
            <w:noProof/>
          </w:rPr>
          <w:t>Tombs</w:t>
        </w:r>
        <w:r w:rsidR="00163E2C">
          <w:rPr>
            <w:noProof/>
            <w:webHidden/>
          </w:rPr>
          <w:tab/>
        </w:r>
        <w:r w:rsidR="00163E2C">
          <w:rPr>
            <w:noProof/>
            <w:webHidden/>
          </w:rPr>
          <w:fldChar w:fldCharType="begin"/>
        </w:r>
        <w:r w:rsidR="00163E2C">
          <w:rPr>
            <w:noProof/>
            <w:webHidden/>
          </w:rPr>
          <w:instrText xml:space="preserve"> PAGEREF _Toc519894634 \h </w:instrText>
        </w:r>
        <w:r w:rsidR="00163E2C">
          <w:rPr>
            <w:noProof/>
            <w:webHidden/>
          </w:rPr>
        </w:r>
        <w:r w:rsidR="00163E2C">
          <w:rPr>
            <w:noProof/>
            <w:webHidden/>
          </w:rPr>
          <w:fldChar w:fldCharType="separate"/>
        </w:r>
        <w:r w:rsidR="00412C3C">
          <w:rPr>
            <w:noProof/>
            <w:webHidden/>
          </w:rPr>
          <w:t>1</w:t>
        </w:r>
        <w:r w:rsidR="00A467B1">
          <w:rPr>
            <w:noProof/>
            <w:webHidden/>
          </w:rPr>
          <w:t>29</w:t>
        </w:r>
        <w:r w:rsidR="00163E2C">
          <w:rPr>
            <w:noProof/>
            <w:webHidden/>
          </w:rPr>
          <w:fldChar w:fldCharType="end"/>
        </w:r>
      </w:hyperlink>
    </w:p>
    <w:p w14:paraId="4B5CF4AD" w14:textId="4C895C1A"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635" w:history="1">
        <w:r w:rsidR="00163E2C" w:rsidRPr="00E8268C">
          <w:rPr>
            <w:rStyle w:val="Collegamentoipertestuale"/>
            <w:noProof/>
          </w:rPr>
          <w:t>3.10.3</w:t>
        </w:r>
        <w:r w:rsidR="00163E2C">
          <w:rPr>
            <w:rFonts w:asciiTheme="minorHAnsi" w:hAnsiTheme="minorHAnsi" w:cstheme="minorBidi"/>
            <w:noProof/>
            <w:lang w:eastAsia="en-GB"/>
          </w:rPr>
          <w:tab/>
        </w:r>
        <w:r w:rsidR="00163E2C" w:rsidRPr="00E8268C">
          <w:rPr>
            <w:rStyle w:val="Collegamentoipertestuale"/>
            <w:noProof/>
          </w:rPr>
          <w:t>Clay larnakes in non-burial context</w:t>
        </w:r>
        <w:r w:rsidR="00163E2C">
          <w:rPr>
            <w:noProof/>
            <w:webHidden/>
          </w:rPr>
          <w:tab/>
        </w:r>
        <w:r w:rsidR="00163E2C">
          <w:rPr>
            <w:noProof/>
            <w:webHidden/>
          </w:rPr>
          <w:fldChar w:fldCharType="begin"/>
        </w:r>
        <w:r w:rsidR="00163E2C">
          <w:rPr>
            <w:noProof/>
            <w:webHidden/>
          </w:rPr>
          <w:instrText xml:space="preserve"> PAGEREF _Toc519894635 \h </w:instrText>
        </w:r>
        <w:r w:rsidR="00163E2C">
          <w:rPr>
            <w:noProof/>
            <w:webHidden/>
          </w:rPr>
        </w:r>
        <w:r w:rsidR="00163E2C">
          <w:rPr>
            <w:noProof/>
            <w:webHidden/>
          </w:rPr>
          <w:fldChar w:fldCharType="separate"/>
        </w:r>
        <w:r w:rsidR="00412C3C">
          <w:rPr>
            <w:noProof/>
            <w:webHidden/>
          </w:rPr>
          <w:t>13</w:t>
        </w:r>
        <w:r w:rsidR="00A467B1">
          <w:rPr>
            <w:noProof/>
            <w:webHidden/>
          </w:rPr>
          <w:t>3</w:t>
        </w:r>
        <w:r w:rsidR="00163E2C">
          <w:rPr>
            <w:noProof/>
            <w:webHidden/>
          </w:rPr>
          <w:fldChar w:fldCharType="end"/>
        </w:r>
      </w:hyperlink>
    </w:p>
    <w:p w14:paraId="48236AD6" w14:textId="1071EB06"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636" w:history="1">
        <w:r w:rsidR="00163E2C" w:rsidRPr="00E8268C">
          <w:rPr>
            <w:rStyle w:val="Collegamentoipertestuale"/>
            <w:noProof/>
          </w:rPr>
          <w:t>3.10.4</w:t>
        </w:r>
        <w:r w:rsidR="00163E2C">
          <w:rPr>
            <w:rFonts w:asciiTheme="minorHAnsi" w:hAnsiTheme="minorHAnsi" w:cstheme="minorBidi"/>
            <w:noProof/>
            <w:lang w:eastAsia="en-GB"/>
          </w:rPr>
          <w:tab/>
        </w:r>
        <w:r w:rsidR="00163E2C" w:rsidRPr="00E8268C">
          <w:rPr>
            <w:rStyle w:val="Collegamentoipertestuale"/>
            <w:noProof/>
          </w:rPr>
          <w:t>Chronological remarks</w:t>
        </w:r>
        <w:r w:rsidR="00163E2C">
          <w:rPr>
            <w:noProof/>
            <w:webHidden/>
          </w:rPr>
          <w:tab/>
        </w:r>
        <w:r w:rsidR="00163E2C">
          <w:rPr>
            <w:noProof/>
            <w:webHidden/>
          </w:rPr>
          <w:fldChar w:fldCharType="begin"/>
        </w:r>
        <w:r w:rsidR="00163E2C">
          <w:rPr>
            <w:noProof/>
            <w:webHidden/>
          </w:rPr>
          <w:instrText xml:space="preserve"> PAGEREF _Toc519894636 \h </w:instrText>
        </w:r>
        <w:r w:rsidR="00163E2C">
          <w:rPr>
            <w:noProof/>
            <w:webHidden/>
          </w:rPr>
        </w:r>
        <w:r w:rsidR="00163E2C">
          <w:rPr>
            <w:noProof/>
            <w:webHidden/>
          </w:rPr>
          <w:fldChar w:fldCharType="separate"/>
        </w:r>
        <w:r w:rsidR="00412C3C">
          <w:rPr>
            <w:noProof/>
            <w:webHidden/>
          </w:rPr>
          <w:t>13</w:t>
        </w:r>
        <w:r w:rsidR="00A467B1">
          <w:rPr>
            <w:noProof/>
            <w:webHidden/>
          </w:rPr>
          <w:t>3</w:t>
        </w:r>
        <w:r w:rsidR="00163E2C">
          <w:rPr>
            <w:noProof/>
            <w:webHidden/>
          </w:rPr>
          <w:fldChar w:fldCharType="end"/>
        </w:r>
      </w:hyperlink>
    </w:p>
    <w:p w14:paraId="11C6735B" w14:textId="4D9D4C9D"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637" w:history="1">
        <w:r w:rsidR="00163E2C" w:rsidRPr="00E8268C">
          <w:rPr>
            <w:rStyle w:val="Collegamentoipertestuale"/>
            <w:noProof/>
          </w:rPr>
          <w:t>3.10.5</w:t>
        </w:r>
        <w:r w:rsidR="00163E2C">
          <w:rPr>
            <w:rFonts w:asciiTheme="minorHAnsi" w:hAnsiTheme="minorHAnsi" w:cstheme="minorBidi"/>
            <w:noProof/>
            <w:lang w:eastAsia="en-GB"/>
          </w:rPr>
          <w:tab/>
        </w:r>
        <w:r w:rsidR="00163E2C" w:rsidRPr="00E8268C">
          <w:rPr>
            <w:rStyle w:val="Collegamentoipertestuale"/>
            <w:noProof/>
          </w:rPr>
          <w:t>Conclusions: Mid-East area</w:t>
        </w:r>
        <w:r w:rsidR="00163E2C">
          <w:rPr>
            <w:noProof/>
            <w:webHidden/>
          </w:rPr>
          <w:tab/>
        </w:r>
        <w:r w:rsidR="00163E2C">
          <w:rPr>
            <w:noProof/>
            <w:webHidden/>
          </w:rPr>
          <w:fldChar w:fldCharType="begin"/>
        </w:r>
        <w:r w:rsidR="00163E2C">
          <w:rPr>
            <w:noProof/>
            <w:webHidden/>
          </w:rPr>
          <w:instrText xml:space="preserve"> PAGEREF _Toc519894637 \h </w:instrText>
        </w:r>
        <w:r w:rsidR="00163E2C">
          <w:rPr>
            <w:noProof/>
            <w:webHidden/>
          </w:rPr>
        </w:r>
        <w:r w:rsidR="00163E2C">
          <w:rPr>
            <w:noProof/>
            <w:webHidden/>
          </w:rPr>
          <w:fldChar w:fldCharType="separate"/>
        </w:r>
        <w:r w:rsidR="00412C3C">
          <w:rPr>
            <w:noProof/>
            <w:webHidden/>
          </w:rPr>
          <w:t>13</w:t>
        </w:r>
        <w:r w:rsidR="00A467B1">
          <w:rPr>
            <w:noProof/>
            <w:webHidden/>
          </w:rPr>
          <w:t>4</w:t>
        </w:r>
        <w:r w:rsidR="00163E2C">
          <w:rPr>
            <w:noProof/>
            <w:webHidden/>
          </w:rPr>
          <w:fldChar w:fldCharType="end"/>
        </w:r>
      </w:hyperlink>
    </w:p>
    <w:p w14:paraId="054414D9" w14:textId="26C2C6B3"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38" w:history="1">
        <w:r w:rsidR="00163E2C" w:rsidRPr="00E8268C">
          <w:rPr>
            <w:rStyle w:val="Collegamentoipertestuale"/>
            <w:noProof/>
          </w:rPr>
          <w:t>3.11</w:t>
        </w:r>
        <w:r w:rsidR="00163E2C">
          <w:rPr>
            <w:rFonts w:asciiTheme="minorHAnsi" w:hAnsiTheme="minorHAnsi" w:cstheme="minorBidi"/>
            <w:noProof/>
            <w:lang w:eastAsia="en-GB"/>
          </w:rPr>
          <w:tab/>
        </w:r>
        <w:r w:rsidR="00163E2C" w:rsidRPr="00E8268C">
          <w:rPr>
            <w:rStyle w:val="Collegamentoipertestuale"/>
            <w:noProof/>
          </w:rPr>
          <w:t>Far-East area</w:t>
        </w:r>
        <w:r w:rsidR="00163E2C">
          <w:rPr>
            <w:noProof/>
            <w:webHidden/>
          </w:rPr>
          <w:tab/>
        </w:r>
        <w:r w:rsidR="00163E2C">
          <w:rPr>
            <w:noProof/>
            <w:webHidden/>
          </w:rPr>
          <w:fldChar w:fldCharType="begin"/>
        </w:r>
        <w:r w:rsidR="00163E2C">
          <w:rPr>
            <w:noProof/>
            <w:webHidden/>
          </w:rPr>
          <w:instrText xml:space="preserve"> PAGEREF _Toc519894638 \h </w:instrText>
        </w:r>
        <w:r w:rsidR="00163E2C">
          <w:rPr>
            <w:noProof/>
            <w:webHidden/>
          </w:rPr>
        </w:r>
        <w:r w:rsidR="00163E2C">
          <w:rPr>
            <w:noProof/>
            <w:webHidden/>
          </w:rPr>
          <w:fldChar w:fldCharType="separate"/>
        </w:r>
        <w:r w:rsidR="00412C3C">
          <w:rPr>
            <w:noProof/>
            <w:webHidden/>
          </w:rPr>
          <w:t>13</w:t>
        </w:r>
        <w:r w:rsidR="00A467B1">
          <w:rPr>
            <w:noProof/>
            <w:webHidden/>
          </w:rPr>
          <w:t>6</w:t>
        </w:r>
        <w:r w:rsidR="00163E2C">
          <w:rPr>
            <w:noProof/>
            <w:webHidden/>
          </w:rPr>
          <w:fldChar w:fldCharType="end"/>
        </w:r>
      </w:hyperlink>
    </w:p>
    <w:p w14:paraId="1FE07172" w14:textId="4E32EB3D"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639" w:history="1">
        <w:r w:rsidR="00163E2C" w:rsidRPr="00E8268C">
          <w:rPr>
            <w:rStyle w:val="Collegamentoipertestuale"/>
            <w:noProof/>
          </w:rPr>
          <w:t>3.11.1</w:t>
        </w:r>
        <w:r w:rsidR="00163E2C">
          <w:rPr>
            <w:rFonts w:asciiTheme="minorHAnsi" w:hAnsiTheme="minorHAnsi" w:cstheme="minorBidi"/>
            <w:noProof/>
            <w:lang w:eastAsia="en-GB"/>
          </w:rPr>
          <w:tab/>
        </w:r>
        <w:r w:rsidR="00163E2C" w:rsidRPr="00E8268C">
          <w:rPr>
            <w:rStyle w:val="Collegamentoipertestuale"/>
            <w:noProof/>
          </w:rPr>
          <w:t>Burial locations and cemeteries</w:t>
        </w:r>
        <w:r w:rsidR="00163E2C">
          <w:rPr>
            <w:noProof/>
            <w:webHidden/>
          </w:rPr>
          <w:tab/>
        </w:r>
        <w:r w:rsidR="00163E2C">
          <w:rPr>
            <w:noProof/>
            <w:webHidden/>
          </w:rPr>
          <w:fldChar w:fldCharType="begin"/>
        </w:r>
        <w:r w:rsidR="00163E2C">
          <w:rPr>
            <w:noProof/>
            <w:webHidden/>
          </w:rPr>
          <w:instrText xml:space="preserve"> PAGEREF _Toc519894639 \h </w:instrText>
        </w:r>
        <w:r w:rsidR="00163E2C">
          <w:rPr>
            <w:noProof/>
            <w:webHidden/>
          </w:rPr>
        </w:r>
        <w:r w:rsidR="00163E2C">
          <w:rPr>
            <w:noProof/>
            <w:webHidden/>
          </w:rPr>
          <w:fldChar w:fldCharType="separate"/>
        </w:r>
        <w:r w:rsidR="00412C3C">
          <w:rPr>
            <w:noProof/>
            <w:webHidden/>
          </w:rPr>
          <w:t>13</w:t>
        </w:r>
        <w:r w:rsidR="00A467B1">
          <w:rPr>
            <w:noProof/>
            <w:webHidden/>
          </w:rPr>
          <w:t>6</w:t>
        </w:r>
        <w:r w:rsidR="00163E2C">
          <w:rPr>
            <w:noProof/>
            <w:webHidden/>
          </w:rPr>
          <w:fldChar w:fldCharType="end"/>
        </w:r>
      </w:hyperlink>
    </w:p>
    <w:p w14:paraId="006CE721" w14:textId="082C1B31"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640" w:history="1">
        <w:r w:rsidR="00163E2C" w:rsidRPr="00E8268C">
          <w:rPr>
            <w:rStyle w:val="Collegamentoipertestuale"/>
            <w:noProof/>
          </w:rPr>
          <w:t>3.11.2</w:t>
        </w:r>
        <w:r w:rsidR="00163E2C">
          <w:rPr>
            <w:rFonts w:asciiTheme="minorHAnsi" w:hAnsiTheme="minorHAnsi" w:cstheme="minorBidi"/>
            <w:noProof/>
            <w:lang w:eastAsia="en-GB"/>
          </w:rPr>
          <w:tab/>
        </w:r>
        <w:r w:rsidR="00163E2C" w:rsidRPr="00E8268C">
          <w:rPr>
            <w:rStyle w:val="Collegamentoipertestuale"/>
            <w:noProof/>
          </w:rPr>
          <w:t>Tombs</w:t>
        </w:r>
        <w:r w:rsidR="00163E2C">
          <w:rPr>
            <w:noProof/>
            <w:webHidden/>
          </w:rPr>
          <w:tab/>
        </w:r>
        <w:r w:rsidR="00163E2C">
          <w:rPr>
            <w:noProof/>
            <w:webHidden/>
          </w:rPr>
          <w:fldChar w:fldCharType="begin"/>
        </w:r>
        <w:r w:rsidR="00163E2C">
          <w:rPr>
            <w:noProof/>
            <w:webHidden/>
          </w:rPr>
          <w:instrText xml:space="preserve"> PAGEREF _Toc519894640 \h </w:instrText>
        </w:r>
        <w:r w:rsidR="00163E2C">
          <w:rPr>
            <w:noProof/>
            <w:webHidden/>
          </w:rPr>
        </w:r>
        <w:r w:rsidR="00163E2C">
          <w:rPr>
            <w:noProof/>
            <w:webHidden/>
          </w:rPr>
          <w:fldChar w:fldCharType="separate"/>
        </w:r>
        <w:r w:rsidR="00412C3C">
          <w:rPr>
            <w:noProof/>
            <w:webHidden/>
          </w:rPr>
          <w:t>14</w:t>
        </w:r>
        <w:r w:rsidR="00A467B1">
          <w:rPr>
            <w:noProof/>
            <w:webHidden/>
          </w:rPr>
          <w:t>2</w:t>
        </w:r>
        <w:r w:rsidR="00163E2C">
          <w:rPr>
            <w:noProof/>
            <w:webHidden/>
          </w:rPr>
          <w:fldChar w:fldCharType="end"/>
        </w:r>
      </w:hyperlink>
    </w:p>
    <w:p w14:paraId="6CEB7FC1" w14:textId="0CF8CBCB"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641" w:history="1">
        <w:r w:rsidR="00163E2C" w:rsidRPr="00E8268C">
          <w:rPr>
            <w:rStyle w:val="Collegamentoipertestuale"/>
            <w:noProof/>
          </w:rPr>
          <w:t>3.11.3</w:t>
        </w:r>
        <w:r w:rsidR="00163E2C">
          <w:rPr>
            <w:rFonts w:asciiTheme="minorHAnsi" w:hAnsiTheme="minorHAnsi" w:cstheme="minorBidi"/>
            <w:noProof/>
            <w:lang w:eastAsia="en-GB"/>
          </w:rPr>
          <w:tab/>
        </w:r>
        <w:r w:rsidR="00163E2C" w:rsidRPr="00E8268C">
          <w:rPr>
            <w:rStyle w:val="Collegamentoipertestuale"/>
            <w:noProof/>
          </w:rPr>
          <w:t>Clay larnakes in non-burial context</w:t>
        </w:r>
        <w:r w:rsidR="00163E2C">
          <w:rPr>
            <w:noProof/>
            <w:webHidden/>
          </w:rPr>
          <w:tab/>
        </w:r>
        <w:r w:rsidR="00163E2C">
          <w:rPr>
            <w:noProof/>
            <w:webHidden/>
          </w:rPr>
          <w:fldChar w:fldCharType="begin"/>
        </w:r>
        <w:r w:rsidR="00163E2C">
          <w:rPr>
            <w:noProof/>
            <w:webHidden/>
          </w:rPr>
          <w:instrText xml:space="preserve"> PAGEREF _Toc519894641 \h </w:instrText>
        </w:r>
        <w:r w:rsidR="00163E2C">
          <w:rPr>
            <w:noProof/>
            <w:webHidden/>
          </w:rPr>
        </w:r>
        <w:r w:rsidR="00163E2C">
          <w:rPr>
            <w:noProof/>
            <w:webHidden/>
          </w:rPr>
          <w:fldChar w:fldCharType="separate"/>
        </w:r>
        <w:r w:rsidR="00412C3C">
          <w:rPr>
            <w:noProof/>
            <w:webHidden/>
          </w:rPr>
          <w:t>14</w:t>
        </w:r>
        <w:r w:rsidR="00A467B1">
          <w:rPr>
            <w:noProof/>
            <w:webHidden/>
          </w:rPr>
          <w:t>7</w:t>
        </w:r>
        <w:r w:rsidR="00163E2C">
          <w:rPr>
            <w:noProof/>
            <w:webHidden/>
          </w:rPr>
          <w:fldChar w:fldCharType="end"/>
        </w:r>
      </w:hyperlink>
    </w:p>
    <w:p w14:paraId="2190F3BF" w14:textId="32900261"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642" w:history="1">
        <w:r w:rsidR="00163E2C" w:rsidRPr="00E8268C">
          <w:rPr>
            <w:rStyle w:val="Collegamentoipertestuale"/>
            <w:noProof/>
          </w:rPr>
          <w:t>3.11.4</w:t>
        </w:r>
        <w:r w:rsidR="00163E2C">
          <w:rPr>
            <w:rFonts w:asciiTheme="minorHAnsi" w:hAnsiTheme="minorHAnsi" w:cstheme="minorBidi"/>
            <w:noProof/>
            <w:lang w:eastAsia="en-GB"/>
          </w:rPr>
          <w:tab/>
        </w:r>
        <w:r w:rsidR="00163E2C" w:rsidRPr="00E8268C">
          <w:rPr>
            <w:rStyle w:val="Collegamentoipertestuale"/>
            <w:noProof/>
          </w:rPr>
          <w:t>Chronological remarks</w:t>
        </w:r>
        <w:r w:rsidR="00163E2C">
          <w:rPr>
            <w:noProof/>
            <w:webHidden/>
          </w:rPr>
          <w:tab/>
        </w:r>
        <w:r w:rsidR="00163E2C">
          <w:rPr>
            <w:noProof/>
            <w:webHidden/>
          </w:rPr>
          <w:fldChar w:fldCharType="begin"/>
        </w:r>
        <w:r w:rsidR="00163E2C">
          <w:rPr>
            <w:noProof/>
            <w:webHidden/>
          </w:rPr>
          <w:instrText xml:space="preserve"> PAGEREF _Toc519894642 \h </w:instrText>
        </w:r>
        <w:r w:rsidR="00163E2C">
          <w:rPr>
            <w:noProof/>
            <w:webHidden/>
          </w:rPr>
        </w:r>
        <w:r w:rsidR="00163E2C">
          <w:rPr>
            <w:noProof/>
            <w:webHidden/>
          </w:rPr>
          <w:fldChar w:fldCharType="separate"/>
        </w:r>
        <w:r w:rsidR="00412C3C">
          <w:rPr>
            <w:noProof/>
            <w:webHidden/>
          </w:rPr>
          <w:t>14</w:t>
        </w:r>
        <w:r w:rsidR="00A467B1">
          <w:rPr>
            <w:noProof/>
            <w:webHidden/>
          </w:rPr>
          <w:t>7</w:t>
        </w:r>
        <w:r w:rsidR="00163E2C">
          <w:rPr>
            <w:noProof/>
            <w:webHidden/>
          </w:rPr>
          <w:fldChar w:fldCharType="end"/>
        </w:r>
      </w:hyperlink>
    </w:p>
    <w:p w14:paraId="50E3A34D" w14:textId="072F1AB8"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643" w:history="1">
        <w:r w:rsidR="00163E2C" w:rsidRPr="00E8268C">
          <w:rPr>
            <w:rStyle w:val="Collegamentoipertestuale"/>
            <w:noProof/>
          </w:rPr>
          <w:t>3.11.5</w:t>
        </w:r>
        <w:r w:rsidR="00163E2C">
          <w:rPr>
            <w:rFonts w:asciiTheme="minorHAnsi" w:hAnsiTheme="minorHAnsi" w:cstheme="minorBidi"/>
            <w:noProof/>
            <w:lang w:eastAsia="en-GB"/>
          </w:rPr>
          <w:tab/>
        </w:r>
        <w:r w:rsidR="00163E2C" w:rsidRPr="00E8268C">
          <w:rPr>
            <w:rStyle w:val="Collegamentoipertestuale"/>
            <w:noProof/>
          </w:rPr>
          <w:t>Conclusions: Far-East area</w:t>
        </w:r>
        <w:r w:rsidR="00163E2C">
          <w:rPr>
            <w:noProof/>
            <w:webHidden/>
          </w:rPr>
          <w:tab/>
        </w:r>
        <w:r w:rsidR="00163E2C">
          <w:rPr>
            <w:noProof/>
            <w:webHidden/>
          </w:rPr>
          <w:fldChar w:fldCharType="begin"/>
        </w:r>
        <w:r w:rsidR="00163E2C">
          <w:rPr>
            <w:noProof/>
            <w:webHidden/>
          </w:rPr>
          <w:instrText xml:space="preserve"> PAGEREF _Toc519894643 \h </w:instrText>
        </w:r>
        <w:r w:rsidR="00163E2C">
          <w:rPr>
            <w:noProof/>
            <w:webHidden/>
          </w:rPr>
        </w:r>
        <w:r w:rsidR="00163E2C">
          <w:rPr>
            <w:noProof/>
            <w:webHidden/>
          </w:rPr>
          <w:fldChar w:fldCharType="separate"/>
        </w:r>
        <w:r w:rsidR="00412C3C">
          <w:rPr>
            <w:noProof/>
            <w:webHidden/>
          </w:rPr>
          <w:t>14</w:t>
        </w:r>
        <w:r w:rsidR="00A467B1">
          <w:rPr>
            <w:noProof/>
            <w:webHidden/>
          </w:rPr>
          <w:t>7</w:t>
        </w:r>
        <w:r w:rsidR="00163E2C">
          <w:rPr>
            <w:noProof/>
            <w:webHidden/>
          </w:rPr>
          <w:fldChar w:fldCharType="end"/>
        </w:r>
      </w:hyperlink>
    </w:p>
    <w:p w14:paraId="47FCB4A9" w14:textId="412F8BC6"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44" w:history="1">
        <w:r w:rsidR="00163E2C" w:rsidRPr="00E8268C">
          <w:rPr>
            <w:rStyle w:val="Collegamentoipertestuale"/>
            <w:noProof/>
          </w:rPr>
          <w:t>3.12</w:t>
        </w:r>
        <w:r w:rsidR="00163E2C">
          <w:rPr>
            <w:rFonts w:asciiTheme="minorHAnsi" w:hAnsiTheme="minorHAnsi" w:cstheme="minorBidi"/>
            <w:noProof/>
            <w:lang w:eastAsia="en-GB"/>
          </w:rPr>
          <w:tab/>
        </w:r>
        <w:r w:rsidR="00163E2C" w:rsidRPr="00E8268C">
          <w:rPr>
            <w:rStyle w:val="Collegamentoipertestuale"/>
            <w:noProof/>
          </w:rPr>
          <w:t>Conclusions</w:t>
        </w:r>
        <w:r w:rsidR="00163E2C">
          <w:rPr>
            <w:noProof/>
            <w:webHidden/>
          </w:rPr>
          <w:tab/>
        </w:r>
        <w:r w:rsidR="00163E2C">
          <w:rPr>
            <w:noProof/>
            <w:webHidden/>
          </w:rPr>
          <w:fldChar w:fldCharType="begin"/>
        </w:r>
        <w:r w:rsidR="00163E2C">
          <w:rPr>
            <w:noProof/>
            <w:webHidden/>
          </w:rPr>
          <w:instrText xml:space="preserve"> PAGEREF _Toc519894644 \h </w:instrText>
        </w:r>
        <w:r w:rsidR="00163E2C">
          <w:rPr>
            <w:noProof/>
            <w:webHidden/>
          </w:rPr>
        </w:r>
        <w:r w:rsidR="00163E2C">
          <w:rPr>
            <w:noProof/>
            <w:webHidden/>
          </w:rPr>
          <w:fldChar w:fldCharType="separate"/>
        </w:r>
        <w:r w:rsidR="00412C3C">
          <w:rPr>
            <w:noProof/>
            <w:webHidden/>
          </w:rPr>
          <w:t>14</w:t>
        </w:r>
        <w:r w:rsidR="00A467B1">
          <w:rPr>
            <w:noProof/>
            <w:webHidden/>
          </w:rPr>
          <w:t>8</w:t>
        </w:r>
        <w:r w:rsidR="00163E2C">
          <w:rPr>
            <w:noProof/>
            <w:webHidden/>
          </w:rPr>
          <w:fldChar w:fldCharType="end"/>
        </w:r>
      </w:hyperlink>
    </w:p>
    <w:p w14:paraId="44ABA29E" w14:textId="475BFF15" w:rsidR="00163E2C" w:rsidRDefault="003058D3" w:rsidP="00E858EF">
      <w:pPr>
        <w:pStyle w:val="Sommario1"/>
        <w:tabs>
          <w:tab w:val="right" w:leader="dot" w:pos="8488"/>
        </w:tabs>
        <w:suppressAutoHyphens/>
        <w:rPr>
          <w:rFonts w:asciiTheme="minorHAnsi" w:hAnsiTheme="minorHAnsi" w:cstheme="minorBidi"/>
          <w:b w:val="0"/>
          <w:noProof/>
          <w:lang w:eastAsia="en-GB"/>
        </w:rPr>
      </w:pPr>
      <w:hyperlink w:anchor="_Toc519894645" w:history="1">
        <w:r w:rsidR="00163E2C" w:rsidRPr="00E8268C">
          <w:rPr>
            <w:rStyle w:val="Collegamentoipertestuale"/>
            <w:noProof/>
          </w:rPr>
          <w:t>4</w:t>
        </w:r>
        <w:r w:rsidR="00163E2C">
          <w:rPr>
            <w:rFonts w:asciiTheme="minorHAnsi" w:hAnsiTheme="minorHAnsi" w:cstheme="minorBidi"/>
            <w:b w:val="0"/>
            <w:noProof/>
            <w:lang w:eastAsia="en-GB"/>
          </w:rPr>
          <w:tab/>
        </w:r>
        <w:r w:rsidR="00163E2C" w:rsidRPr="00E8268C">
          <w:rPr>
            <w:rStyle w:val="Collegamentoipertestuale"/>
            <w:noProof/>
          </w:rPr>
          <w:t>LARNAKES: SKELETAL REMAINS, GRAVE GOODS ASSEMBLAGES</w:t>
        </w:r>
        <w:r w:rsidR="00163E2C">
          <w:rPr>
            <w:noProof/>
            <w:webHidden/>
          </w:rPr>
          <w:tab/>
        </w:r>
        <w:r w:rsidR="00163E2C">
          <w:rPr>
            <w:noProof/>
            <w:webHidden/>
          </w:rPr>
          <w:fldChar w:fldCharType="begin"/>
        </w:r>
        <w:r w:rsidR="00163E2C">
          <w:rPr>
            <w:noProof/>
            <w:webHidden/>
          </w:rPr>
          <w:instrText xml:space="preserve"> PAGEREF _Toc519894645 \h </w:instrText>
        </w:r>
        <w:r w:rsidR="00163E2C">
          <w:rPr>
            <w:noProof/>
            <w:webHidden/>
          </w:rPr>
        </w:r>
        <w:r w:rsidR="00163E2C">
          <w:rPr>
            <w:noProof/>
            <w:webHidden/>
          </w:rPr>
          <w:fldChar w:fldCharType="separate"/>
        </w:r>
        <w:r w:rsidR="00412C3C">
          <w:rPr>
            <w:noProof/>
            <w:webHidden/>
          </w:rPr>
          <w:t>15</w:t>
        </w:r>
        <w:r w:rsidR="00A467B1">
          <w:rPr>
            <w:noProof/>
            <w:webHidden/>
          </w:rPr>
          <w:t>3</w:t>
        </w:r>
        <w:r w:rsidR="00163E2C">
          <w:rPr>
            <w:noProof/>
            <w:webHidden/>
          </w:rPr>
          <w:fldChar w:fldCharType="end"/>
        </w:r>
      </w:hyperlink>
    </w:p>
    <w:p w14:paraId="078A5E78" w14:textId="02A5AE83"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46" w:history="1">
        <w:r w:rsidR="00163E2C" w:rsidRPr="00E8268C">
          <w:rPr>
            <w:rStyle w:val="Collegamentoipertestuale"/>
            <w:noProof/>
            <w14:scene3d>
              <w14:camera w14:prst="orthographicFront"/>
              <w14:lightRig w14:rig="threePt" w14:dir="t">
                <w14:rot w14:lat="0" w14:lon="0" w14:rev="0"/>
              </w14:lightRig>
            </w14:scene3d>
          </w:rPr>
          <w:t>4.1</w:t>
        </w:r>
        <w:r w:rsidR="00163E2C">
          <w:rPr>
            <w:rFonts w:asciiTheme="minorHAnsi" w:hAnsiTheme="minorHAnsi" w:cstheme="minorBidi"/>
            <w:noProof/>
            <w:lang w:eastAsia="en-GB"/>
          </w:rPr>
          <w:tab/>
        </w:r>
        <w:r w:rsidR="00163E2C" w:rsidRPr="00E8268C">
          <w:rPr>
            <w:rStyle w:val="Collegamentoipertestuale"/>
            <w:noProof/>
          </w:rPr>
          <w:t>Introduction</w:t>
        </w:r>
        <w:r w:rsidR="00163E2C">
          <w:rPr>
            <w:noProof/>
            <w:webHidden/>
          </w:rPr>
          <w:tab/>
        </w:r>
        <w:r w:rsidR="00163E2C">
          <w:rPr>
            <w:noProof/>
            <w:webHidden/>
          </w:rPr>
          <w:fldChar w:fldCharType="begin"/>
        </w:r>
        <w:r w:rsidR="00163E2C">
          <w:rPr>
            <w:noProof/>
            <w:webHidden/>
          </w:rPr>
          <w:instrText xml:space="preserve"> PAGEREF _Toc519894646 \h </w:instrText>
        </w:r>
        <w:r w:rsidR="00163E2C">
          <w:rPr>
            <w:noProof/>
            <w:webHidden/>
          </w:rPr>
        </w:r>
        <w:r w:rsidR="00163E2C">
          <w:rPr>
            <w:noProof/>
            <w:webHidden/>
          </w:rPr>
          <w:fldChar w:fldCharType="separate"/>
        </w:r>
        <w:r w:rsidR="00412C3C">
          <w:rPr>
            <w:noProof/>
            <w:webHidden/>
          </w:rPr>
          <w:t>15</w:t>
        </w:r>
        <w:r w:rsidR="00A467B1">
          <w:rPr>
            <w:noProof/>
            <w:webHidden/>
          </w:rPr>
          <w:t>3</w:t>
        </w:r>
        <w:r w:rsidR="00163E2C">
          <w:rPr>
            <w:noProof/>
            <w:webHidden/>
          </w:rPr>
          <w:fldChar w:fldCharType="end"/>
        </w:r>
      </w:hyperlink>
    </w:p>
    <w:p w14:paraId="6256D79E" w14:textId="79FD9C97"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47" w:history="1">
        <w:r w:rsidR="00163E2C" w:rsidRPr="00E8268C">
          <w:rPr>
            <w:rStyle w:val="Collegamentoipertestuale"/>
            <w:noProof/>
            <w14:scene3d>
              <w14:camera w14:prst="orthographicFront"/>
              <w14:lightRig w14:rig="threePt" w14:dir="t">
                <w14:rot w14:lat="0" w14:lon="0" w14:rev="0"/>
              </w14:lightRig>
            </w14:scene3d>
          </w:rPr>
          <w:t>4.2</w:t>
        </w:r>
        <w:r w:rsidR="00163E2C">
          <w:rPr>
            <w:rFonts w:asciiTheme="minorHAnsi" w:hAnsiTheme="minorHAnsi" w:cstheme="minorBidi"/>
            <w:noProof/>
            <w:lang w:eastAsia="en-GB"/>
          </w:rPr>
          <w:tab/>
        </w:r>
        <w:r w:rsidR="00163E2C" w:rsidRPr="00E8268C">
          <w:rPr>
            <w:rStyle w:val="Collegamentoipertestuale"/>
            <w:noProof/>
          </w:rPr>
          <w:t>Tombs with larnakes and skeletal remains</w:t>
        </w:r>
        <w:r w:rsidR="00163E2C">
          <w:rPr>
            <w:noProof/>
            <w:webHidden/>
          </w:rPr>
          <w:tab/>
        </w:r>
        <w:r w:rsidR="00163E2C">
          <w:rPr>
            <w:noProof/>
            <w:webHidden/>
          </w:rPr>
          <w:fldChar w:fldCharType="begin"/>
        </w:r>
        <w:r w:rsidR="00163E2C">
          <w:rPr>
            <w:noProof/>
            <w:webHidden/>
          </w:rPr>
          <w:instrText xml:space="preserve"> PAGEREF _Toc519894647 \h </w:instrText>
        </w:r>
        <w:r w:rsidR="00163E2C">
          <w:rPr>
            <w:noProof/>
            <w:webHidden/>
          </w:rPr>
        </w:r>
        <w:r w:rsidR="00163E2C">
          <w:rPr>
            <w:noProof/>
            <w:webHidden/>
          </w:rPr>
          <w:fldChar w:fldCharType="separate"/>
        </w:r>
        <w:r w:rsidR="00412C3C">
          <w:rPr>
            <w:noProof/>
            <w:webHidden/>
          </w:rPr>
          <w:t>15</w:t>
        </w:r>
        <w:r w:rsidR="00A467B1">
          <w:rPr>
            <w:noProof/>
            <w:webHidden/>
          </w:rPr>
          <w:t>4</w:t>
        </w:r>
        <w:r w:rsidR="00163E2C">
          <w:rPr>
            <w:noProof/>
            <w:webHidden/>
          </w:rPr>
          <w:fldChar w:fldCharType="end"/>
        </w:r>
      </w:hyperlink>
    </w:p>
    <w:p w14:paraId="389AA0D1" w14:textId="3976197E"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48" w:history="1">
        <w:r w:rsidR="00163E2C" w:rsidRPr="00E8268C">
          <w:rPr>
            <w:rStyle w:val="Collegamentoipertestuale"/>
            <w:noProof/>
          </w:rPr>
          <w:t>4.2.1</w:t>
        </w:r>
        <w:r w:rsidR="00163E2C">
          <w:rPr>
            <w:rFonts w:asciiTheme="minorHAnsi" w:hAnsiTheme="minorHAnsi" w:cstheme="minorBidi"/>
            <w:noProof/>
            <w:lang w:eastAsia="en-GB"/>
          </w:rPr>
          <w:tab/>
        </w:r>
        <w:r w:rsidR="00163E2C" w:rsidRPr="00E8268C">
          <w:rPr>
            <w:rStyle w:val="Collegamentoipertestuale"/>
            <w:noProof/>
          </w:rPr>
          <w:t>Data limi</w:t>
        </w:r>
        <w:r w:rsidR="004A1D6B">
          <w:rPr>
            <w:rStyle w:val="Collegamentoipertestuale"/>
            <w:noProof/>
          </w:rPr>
          <w:t>tations</w:t>
        </w:r>
        <w:r w:rsidR="00163E2C">
          <w:rPr>
            <w:noProof/>
            <w:webHidden/>
          </w:rPr>
          <w:tab/>
        </w:r>
        <w:r w:rsidR="00163E2C">
          <w:rPr>
            <w:noProof/>
            <w:webHidden/>
          </w:rPr>
          <w:fldChar w:fldCharType="begin"/>
        </w:r>
        <w:r w:rsidR="00163E2C">
          <w:rPr>
            <w:noProof/>
            <w:webHidden/>
          </w:rPr>
          <w:instrText xml:space="preserve"> PAGEREF _Toc519894648 \h </w:instrText>
        </w:r>
        <w:r w:rsidR="00163E2C">
          <w:rPr>
            <w:noProof/>
            <w:webHidden/>
          </w:rPr>
        </w:r>
        <w:r w:rsidR="00163E2C">
          <w:rPr>
            <w:noProof/>
            <w:webHidden/>
          </w:rPr>
          <w:fldChar w:fldCharType="separate"/>
        </w:r>
        <w:r w:rsidR="00412C3C">
          <w:rPr>
            <w:noProof/>
            <w:webHidden/>
          </w:rPr>
          <w:t>15</w:t>
        </w:r>
        <w:r w:rsidR="00A467B1">
          <w:rPr>
            <w:noProof/>
            <w:webHidden/>
          </w:rPr>
          <w:t>4</w:t>
        </w:r>
        <w:r w:rsidR="00163E2C">
          <w:rPr>
            <w:noProof/>
            <w:webHidden/>
          </w:rPr>
          <w:fldChar w:fldCharType="end"/>
        </w:r>
      </w:hyperlink>
    </w:p>
    <w:p w14:paraId="1F18324B" w14:textId="1CDBD3E8"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49" w:history="1">
        <w:r w:rsidR="00163E2C" w:rsidRPr="00E8268C">
          <w:rPr>
            <w:rStyle w:val="Collegamentoipertestuale"/>
            <w:noProof/>
          </w:rPr>
          <w:t>4.2.2</w:t>
        </w:r>
        <w:r w:rsidR="00163E2C">
          <w:rPr>
            <w:rFonts w:asciiTheme="minorHAnsi" w:hAnsiTheme="minorHAnsi" w:cstheme="minorBidi"/>
            <w:noProof/>
            <w:lang w:eastAsia="en-GB"/>
          </w:rPr>
          <w:tab/>
        </w:r>
        <w:r w:rsidR="00163E2C" w:rsidRPr="00E8268C">
          <w:rPr>
            <w:rStyle w:val="Collegamentoipertestuale"/>
            <w:noProof/>
          </w:rPr>
          <w:t>Methodology</w:t>
        </w:r>
        <w:r w:rsidR="00163E2C">
          <w:rPr>
            <w:noProof/>
            <w:webHidden/>
          </w:rPr>
          <w:tab/>
        </w:r>
        <w:r w:rsidR="00163E2C">
          <w:rPr>
            <w:noProof/>
            <w:webHidden/>
          </w:rPr>
          <w:fldChar w:fldCharType="begin"/>
        </w:r>
        <w:r w:rsidR="00163E2C">
          <w:rPr>
            <w:noProof/>
            <w:webHidden/>
          </w:rPr>
          <w:instrText xml:space="preserve"> PAGEREF _Toc519894649 \h </w:instrText>
        </w:r>
        <w:r w:rsidR="00163E2C">
          <w:rPr>
            <w:noProof/>
            <w:webHidden/>
          </w:rPr>
        </w:r>
        <w:r w:rsidR="00163E2C">
          <w:rPr>
            <w:noProof/>
            <w:webHidden/>
          </w:rPr>
          <w:fldChar w:fldCharType="separate"/>
        </w:r>
        <w:r w:rsidR="00412C3C">
          <w:rPr>
            <w:noProof/>
            <w:webHidden/>
          </w:rPr>
          <w:t>15</w:t>
        </w:r>
        <w:r w:rsidR="00A467B1">
          <w:rPr>
            <w:noProof/>
            <w:webHidden/>
          </w:rPr>
          <w:t>6</w:t>
        </w:r>
        <w:r w:rsidR="00163E2C">
          <w:rPr>
            <w:noProof/>
            <w:webHidden/>
          </w:rPr>
          <w:fldChar w:fldCharType="end"/>
        </w:r>
      </w:hyperlink>
    </w:p>
    <w:p w14:paraId="7E4E1BD8" w14:textId="66AE69F2"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50" w:history="1">
        <w:r w:rsidR="00163E2C" w:rsidRPr="00E8268C">
          <w:rPr>
            <w:rStyle w:val="Collegamentoipertestuale"/>
            <w:noProof/>
          </w:rPr>
          <w:t>4.2.3</w:t>
        </w:r>
        <w:r w:rsidR="00163E2C">
          <w:rPr>
            <w:rFonts w:asciiTheme="minorHAnsi" w:hAnsiTheme="minorHAnsi" w:cstheme="minorBidi"/>
            <w:noProof/>
            <w:lang w:eastAsia="en-GB"/>
          </w:rPr>
          <w:tab/>
        </w:r>
        <w:r w:rsidR="00163E2C" w:rsidRPr="00E8268C">
          <w:rPr>
            <w:rStyle w:val="Collegamentoipertestuale"/>
            <w:noProof/>
          </w:rPr>
          <w:t>Far-West area (skeletal remains)</w:t>
        </w:r>
        <w:r w:rsidR="00163E2C">
          <w:rPr>
            <w:noProof/>
            <w:webHidden/>
          </w:rPr>
          <w:tab/>
        </w:r>
        <w:r w:rsidR="00163E2C">
          <w:rPr>
            <w:noProof/>
            <w:webHidden/>
          </w:rPr>
          <w:fldChar w:fldCharType="begin"/>
        </w:r>
        <w:r w:rsidR="00163E2C">
          <w:rPr>
            <w:noProof/>
            <w:webHidden/>
          </w:rPr>
          <w:instrText xml:space="preserve"> PAGEREF _Toc519894650 \h </w:instrText>
        </w:r>
        <w:r w:rsidR="00163E2C">
          <w:rPr>
            <w:noProof/>
            <w:webHidden/>
          </w:rPr>
        </w:r>
        <w:r w:rsidR="00163E2C">
          <w:rPr>
            <w:noProof/>
            <w:webHidden/>
          </w:rPr>
          <w:fldChar w:fldCharType="separate"/>
        </w:r>
        <w:r w:rsidR="00412C3C">
          <w:rPr>
            <w:noProof/>
            <w:webHidden/>
          </w:rPr>
          <w:t>1</w:t>
        </w:r>
        <w:r w:rsidR="00A467B1">
          <w:rPr>
            <w:noProof/>
            <w:webHidden/>
          </w:rPr>
          <w:t>59</w:t>
        </w:r>
        <w:r w:rsidR="00163E2C">
          <w:rPr>
            <w:noProof/>
            <w:webHidden/>
          </w:rPr>
          <w:fldChar w:fldCharType="end"/>
        </w:r>
      </w:hyperlink>
    </w:p>
    <w:p w14:paraId="158F1AF1" w14:textId="0018140A"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51" w:history="1">
        <w:r w:rsidR="00163E2C" w:rsidRPr="00E8268C">
          <w:rPr>
            <w:rStyle w:val="Collegamentoipertestuale"/>
            <w:noProof/>
          </w:rPr>
          <w:t>4.2.4</w:t>
        </w:r>
        <w:r w:rsidR="00163E2C">
          <w:rPr>
            <w:rFonts w:asciiTheme="minorHAnsi" w:hAnsiTheme="minorHAnsi" w:cstheme="minorBidi"/>
            <w:noProof/>
            <w:lang w:eastAsia="en-GB"/>
          </w:rPr>
          <w:tab/>
        </w:r>
        <w:r w:rsidR="00163E2C" w:rsidRPr="00E8268C">
          <w:rPr>
            <w:rStyle w:val="Collegamentoipertestuale"/>
            <w:noProof/>
          </w:rPr>
          <w:t xml:space="preserve">Mid-West </w:t>
        </w:r>
        <w:r w:rsidR="007B628E">
          <w:rPr>
            <w:rStyle w:val="Collegamentoipertestuale"/>
            <w:noProof/>
          </w:rPr>
          <w:t xml:space="preserve">area </w:t>
        </w:r>
        <w:r w:rsidR="00163E2C" w:rsidRPr="00E8268C">
          <w:rPr>
            <w:rStyle w:val="Collegamentoipertestuale"/>
            <w:noProof/>
          </w:rPr>
          <w:t>(skeletal remains)</w:t>
        </w:r>
        <w:r w:rsidR="00163E2C">
          <w:rPr>
            <w:noProof/>
            <w:webHidden/>
          </w:rPr>
          <w:tab/>
        </w:r>
        <w:r w:rsidR="00163E2C">
          <w:rPr>
            <w:noProof/>
            <w:webHidden/>
          </w:rPr>
          <w:fldChar w:fldCharType="begin"/>
        </w:r>
        <w:r w:rsidR="00163E2C">
          <w:rPr>
            <w:noProof/>
            <w:webHidden/>
          </w:rPr>
          <w:instrText xml:space="preserve"> PAGEREF _Toc519894651 \h </w:instrText>
        </w:r>
        <w:r w:rsidR="00163E2C">
          <w:rPr>
            <w:noProof/>
            <w:webHidden/>
          </w:rPr>
        </w:r>
        <w:r w:rsidR="00163E2C">
          <w:rPr>
            <w:noProof/>
            <w:webHidden/>
          </w:rPr>
          <w:fldChar w:fldCharType="separate"/>
        </w:r>
        <w:r w:rsidR="00412C3C">
          <w:rPr>
            <w:noProof/>
            <w:webHidden/>
          </w:rPr>
          <w:t>16</w:t>
        </w:r>
        <w:r w:rsidR="004D2057">
          <w:rPr>
            <w:noProof/>
            <w:webHidden/>
          </w:rPr>
          <w:t>0</w:t>
        </w:r>
        <w:r w:rsidR="00163E2C">
          <w:rPr>
            <w:noProof/>
            <w:webHidden/>
          </w:rPr>
          <w:fldChar w:fldCharType="end"/>
        </w:r>
      </w:hyperlink>
    </w:p>
    <w:p w14:paraId="2E095190" w14:textId="4FBC6740"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52" w:history="1">
        <w:r w:rsidR="00163E2C" w:rsidRPr="00E8268C">
          <w:rPr>
            <w:rStyle w:val="Collegamentoipertestuale"/>
            <w:noProof/>
          </w:rPr>
          <w:t>4.2.5</w:t>
        </w:r>
        <w:r w:rsidR="00163E2C">
          <w:rPr>
            <w:rFonts w:asciiTheme="minorHAnsi" w:hAnsiTheme="minorHAnsi" w:cstheme="minorBidi"/>
            <w:noProof/>
            <w:lang w:eastAsia="en-GB"/>
          </w:rPr>
          <w:tab/>
        </w:r>
        <w:r w:rsidR="00163E2C" w:rsidRPr="00E8268C">
          <w:rPr>
            <w:rStyle w:val="Collegamentoipertestuale"/>
            <w:noProof/>
          </w:rPr>
          <w:t>Mesara</w:t>
        </w:r>
        <w:r w:rsidR="007B628E">
          <w:rPr>
            <w:rStyle w:val="Collegamentoipertestuale"/>
            <w:noProof/>
          </w:rPr>
          <w:t xml:space="preserve"> area</w:t>
        </w:r>
        <w:r w:rsidR="00D433EC">
          <w:rPr>
            <w:rStyle w:val="Collegamentoipertestuale"/>
            <w:noProof/>
          </w:rPr>
          <w:t xml:space="preserve"> (skeletal remains)</w:t>
        </w:r>
        <w:r w:rsidR="00163E2C">
          <w:rPr>
            <w:noProof/>
            <w:webHidden/>
          </w:rPr>
          <w:tab/>
        </w:r>
        <w:r w:rsidR="00163E2C">
          <w:rPr>
            <w:noProof/>
            <w:webHidden/>
          </w:rPr>
          <w:fldChar w:fldCharType="begin"/>
        </w:r>
        <w:r w:rsidR="00163E2C">
          <w:rPr>
            <w:noProof/>
            <w:webHidden/>
          </w:rPr>
          <w:instrText xml:space="preserve"> PAGEREF _Toc519894652 \h </w:instrText>
        </w:r>
        <w:r w:rsidR="00163E2C">
          <w:rPr>
            <w:noProof/>
            <w:webHidden/>
          </w:rPr>
        </w:r>
        <w:r w:rsidR="00163E2C">
          <w:rPr>
            <w:noProof/>
            <w:webHidden/>
          </w:rPr>
          <w:fldChar w:fldCharType="separate"/>
        </w:r>
        <w:r w:rsidR="00412C3C">
          <w:rPr>
            <w:noProof/>
            <w:webHidden/>
          </w:rPr>
          <w:t>16</w:t>
        </w:r>
        <w:r w:rsidR="004D2057">
          <w:rPr>
            <w:noProof/>
            <w:webHidden/>
          </w:rPr>
          <w:t>6</w:t>
        </w:r>
        <w:r w:rsidR="00163E2C">
          <w:rPr>
            <w:noProof/>
            <w:webHidden/>
          </w:rPr>
          <w:fldChar w:fldCharType="end"/>
        </w:r>
      </w:hyperlink>
    </w:p>
    <w:p w14:paraId="368ADC20" w14:textId="54D53A6E"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53" w:history="1">
        <w:r w:rsidR="00163E2C" w:rsidRPr="00E8268C">
          <w:rPr>
            <w:rStyle w:val="Collegamentoipertestuale"/>
            <w:noProof/>
          </w:rPr>
          <w:t>4.2.6</w:t>
        </w:r>
        <w:r w:rsidR="00163E2C">
          <w:rPr>
            <w:rFonts w:asciiTheme="minorHAnsi" w:hAnsiTheme="minorHAnsi" w:cstheme="minorBidi"/>
            <w:noProof/>
            <w:lang w:eastAsia="en-GB"/>
          </w:rPr>
          <w:tab/>
        </w:r>
        <w:r w:rsidR="00163E2C" w:rsidRPr="00E8268C">
          <w:rPr>
            <w:rStyle w:val="Collegamentoipertestuale"/>
            <w:noProof/>
          </w:rPr>
          <w:t xml:space="preserve">Knossos </w:t>
        </w:r>
        <w:r w:rsidR="007B628E">
          <w:rPr>
            <w:rStyle w:val="Collegamentoipertestuale"/>
            <w:noProof/>
          </w:rPr>
          <w:t xml:space="preserve">area </w:t>
        </w:r>
        <w:r w:rsidR="00163E2C" w:rsidRPr="00E8268C">
          <w:rPr>
            <w:rStyle w:val="Collegamentoipertestuale"/>
            <w:noProof/>
          </w:rPr>
          <w:t>(skeletal remains)</w:t>
        </w:r>
        <w:r w:rsidR="00163E2C">
          <w:rPr>
            <w:noProof/>
            <w:webHidden/>
          </w:rPr>
          <w:tab/>
        </w:r>
        <w:r w:rsidR="00163E2C">
          <w:rPr>
            <w:noProof/>
            <w:webHidden/>
          </w:rPr>
          <w:fldChar w:fldCharType="begin"/>
        </w:r>
        <w:r w:rsidR="00163E2C">
          <w:rPr>
            <w:noProof/>
            <w:webHidden/>
          </w:rPr>
          <w:instrText xml:space="preserve"> PAGEREF _Toc519894653 \h </w:instrText>
        </w:r>
        <w:r w:rsidR="00163E2C">
          <w:rPr>
            <w:noProof/>
            <w:webHidden/>
          </w:rPr>
        </w:r>
        <w:r w:rsidR="00163E2C">
          <w:rPr>
            <w:noProof/>
            <w:webHidden/>
          </w:rPr>
          <w:fldChar w:fldCharType="separate"/>
        </w:r>
        <w:r w:rsidR="00412C3C">
          <w:rPr>
            <w:noProof/>
            <w:webHidden/>
          </w:rPr>
          <w:t>17</w:t>
        </w:r>
        <w:r w:rsidR="004D2057">
          <w:rPr>
            <w:noProof/>
            <w:webHidden/>
          </w:rPr>
          <w:t>6</w:t>
        </w:r>
        <w:r w:rsidR="00163E2C">
          <w:rPr>
            <w:noProof/>
            <w:webHidden/>
          </w:rPr>
          <w:fldChar w:fldCharType="end"/>
        </w:r>
      </w:hyperlink>
    </w:p>
    <w:p w14:paraId="082B972A" w14:textId="132F69AD" w:rsidR="00163E2C" w:rsidRDefault="00874C0C" w:rsidP="00E858EF">
      <w:pPr>
        <w:pStyle w:val="Sommario3"/>
        <w:tabs>
          <w:tab w:val="left" w:pos="1276"/>
          <w:tab w:val="right" w:leader="dot" w:pos="8488"/>
        </w:tabs>
        <w:suppressAutoHyphens/>
        <w:rPr>
          <w:rFonts w:asciiTheme="minorHAnsi" w:hAnsiTheme="minorHAnsi" w:cstheme="minorBidi"/>
          <w:noProof/>
          <w:lang w:eastAsia="en-GB"/>
        </w:rPr>
      </w:pPr>
      <w:hyperlink w:anchor="_Toc519894654" w:history="1">
        <w:r w:rsidR="00163E2C" w:rsidRPr="00E8268C">
          <w:rPr>
            <w:rStyle w:val="Collegamentoipertestuale"/>
            <w:noProof/>
          </w:rPr>
          <w:t>4.2.7</w:t>
        </w:r>
        <w:r w:rsidR="00163E2C">
          <w:rPr>
            <w:rFonts w:asciiTheme="minorHAnsi" w:hAnsiTheme="minorHAnsi" w:cstheme="minorBidi"/>
            <w:noProof/>
            <w:lang w:eastAsia="en-GB"/>
          </w:rPr>
          <w:tab/>
        </w:r>
        <w:r w:rsidR="00163E2C" w:rsidRPr="00E8268C">
          <w:rPr>
            <w:rStyle w:val="Collegamentoipertestuale"/>
            <w:noProof/>
          </w:rPr>
          <w:t>Centr</w:t>
        </w:r>
        <w:r w:rsidR="007B628E">
          <w:rPr>
            <w:rStyle w:val="Collegamentoipertestuale"/>
            <w:noProof/>
          </w:rPr>
          <w:t>al area</w:t>
        </w:r>
        <w:r w:rsidR="00163E2C" w:rsidRPr="00E8268C">
          <w:rPr>
            <w:rStyle w:val="Collegamentoipertestuale"/>
            <w:noProof/>
          </w:rPr>
          <w:t xml:space="preserve"> (skeletal remains)</w:t>
        </w:r>
        <w:r w:rsidR="00163E2C">
          <w:rPr>
            <w:noProof/>
            <w:webHidden/>
          </w:rPr>
          <w:tab/>
        </w:r>
        <w:r w:rsidR="00163E2C">
          <w:rPr>
            <w:noProof/>
            <w:webHidden/>
          </w:rPr>
          <w:fldChar w:fldCharType="begin"/>
        </w:r>
        <w:r w:rsidR="00163E2C">
          <w:rPr>
            <w:noProof/>
            <w:webHidden/>
          </w:rPr>
          <w:instrText xml:space="preserve"> PAGEREF _Toc519894654 \h </w:instrText>
        </w:r>
        <w:r w:rsidR="00163E2C">
          <w:rPr>
            <w:noProof/>
            <w:webHidden/>
          </w:rPr>
        </w:r>
        <w:r w:rsidR="00163E2C">
          <w:rPr>
            <w:noProof/>
            <w:webHidden/>
          </w:rPr>
          <w:fldChar w:fldCharType="separate"/>
        </w:r>
        <w:r w:rsidR="00412C3C">
          <w:rPr>
            <w:noProof/>
            <w:webHidden/>
          </w:rPr>
          <w:t>18</w:t>
        </w:r>
        <w:r w:rsidR="004D2057">
          <w:rPr>
            <w:noProof/>
            <w:webHidden/>
          </w:rPr>
          <w:t>3</w:t>
        </w:r>
        <w:r w:rsidR="00163E2C">
          <w:rPr>
            <w:noProof/>
            <w:webHidden/>
          </w:rPr>
          <w:fldChar w:fldCharType="end"/>
        </w:r>
      </w:hyperlink>
    </w:p>
    <w:p w14:paraId="0B52CA14" w14:textId="1D82BD1A"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55" w:history="1">
        <w:r w:rsidR="00163E2C" w:rsidRPr="00E8268C">
          <w:rPr>
            <w:rStyle w:val="Collegamentoipertestuale"/>
            <w:noProof/>
          </w:rPr>
          <w:t>4.2.8</w:t>
        </w:r>
        <w:r w:rsidR="00163E2C">
          <w:rPr>
            <w:rFonts w:asciiTheme="minorHAnsi" w:hAnsiTheme="minorHAnsi" w:cstheme="minorBidi"/>
            <w:noProof/>
            <w:lang w:eastAsia="en-GB"/>
          </w:rPr>
          <w:tab/>
        </w:r>
        <w:r w:rsidR="00163E2C" w:rsidRPr="00E8268C">
          <w:rPr>
            <w:rStyle w:val="Collegamentoipertestuale"/>
            <w:noProof/>
          </w:rPr>
          <w:t xml:space="preserve">Mid-East </w:t>
        </w:r>
        <w:r w:rsidR="007B628E">
          <w:rPr>
            <w:rStyle w:val="Collegamentoipertestuale"/>
            <w:noProof/>
          </w:rPr>
          <w:t xml:space="preserve">area </w:t>
        </w:r>
        <w:r w:rsidR="00163E2C" w:rsidRPr="00E8268C">
          <w:rPr>
            <w:rStyle w:val="Collegamentoipertestuale"/>
            <w:noProof/>
          </w:rPr>
          <w:t>(skeletal remains)</w:t>
        </w:r>
        <w:r w:rsidR="00163E2C">
          <w:rPr>
            <w:noProof/>
            <w:webHidden/>
          </w:rPr>
          <w:tab/>
        </w:r>
        <w:r w:rsidR="00163E2C">
          <w:rPr>
            <w:noProof/>
            <w:webHidden/>
          </w:rPr>
          <w:fldChar w:fldCharType="begin"/>
        </w:r>
        <w:r w:rsidR="00163E2C">
          <w:rPr>
            <w:noProof/>
            <w:webHidden/>
          </w:rPr>
          <w:instrText xml:space="preserve"> PAGEREF _Toc519894655 \h </w:instrText>
        </w:r>
        <w:r w:rsidR="00163E2C">
          <w:rPr>
            <w:noProof/>
            <w:webHidden/>
          </w:rPr>
        </w:r>
        <w:r w:rsidR="00163E2C">
          <w:rPr>
            <w:noProof/>
            <w:webHidden/>
          </w:rPr>
          <w:fldChar w:fldCharType="separate"/>
        </w:r>
        <w:r w:rsidR="00412C3C">
          <w:rPr>
            <w:noProof/>
            <w:webHidden/>
          </w:rPr>
          <w:t>19</w:t>
        </w:r>
        <w:r w:rsidR="00C1010E">
          <w:rPr>
            <w:noProof/>
            <w:webHidden/>
          </w:rPr>
          <w:t>1</w:t>
        </w:r>
        <w:r w:rsidR="00163E2C">
          <w:rPr>
            <w:noProof/>
            <w:webHidden/>
          </w:rPr>
          <w:fldChar w:fldCharType="end"/>
        </w:r>
      </w:hyperlink>
    </w:p>
    <w:p w14:paraId="021F0E00" w14:textId="3B9D3FAC"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56" w:history="1">
        <w:r w:rsidR="00163E2C" w:rsidRPr="00E8268C">
          <w:rPr>
            <w:rStyle w:val="Collegamentoipertestuale"/>
            <w:noProof/>
          </w:rPr>
          <w:t>4.2.9</w:t>
        </w:r>
        <w:r w:rsidR="00163E2C">
          <w:rPr>
            <w:rFonts w:asciiTheme="minorHAnsi" w:hAnsiTheme="minorHAnsi" w:cstheme="minorBidi"/>
            <w:noProof/>
            <w:lang w:eastAsia="en-GB"/>
          </w:rPr>
          <w:tab/>
        </w:r>
        <w:r w:rsidR="00163E2C" w:rsidRPr="00E8268C">
          <w:rPr>
            <w:rStyle w:val="Collegamentoipertestuale"/>
            <w:noProof/>
          </w:rPr>
          <w:t xml:space="preserve">Far-East </w:t>
        </w:r>
        <w:r w:rsidR="007B628E">
          <w:rPr>
            <w:rStyle w:val="Collegamentoipertestuale"/>
            <w:noProof/>
          </w:rPr>
          <w:t xml:space="preserve">area </w:t>
        </w:r>
        <w:r w:rsidR="00163E2C" w:rsidRPr="00E8268C">
          <w:rPr>
            <w:rStyle w:val="Collegamentoipertestuale"/>
            <w:noProof/>
          </w:rPr>
          <w:t>(skeletal remains)</w:t>
        </w:r>
        <w:r w:rsidR="00163E2C">
          <w:rPr>
            <w:noProof/>
            <w:webHidden/>
          </w:rPr>
          <w:tab/>
        </w:r>
        <w:r w:rsidR="00C1010E">
          <w:rPr>
            <w:noProof/>
            <w:webHidden/>
          </w:rPr>
          <w:t>199</w:t>
        </w:r>
      </w:hyperlink>
    </w:p>
    <w:p w14:paraId="7C68DA55" w14:textId="1CCC2274"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657" w:history="1">
        <w:r w:rsidR="00163E2C" w:rsidRPr="00E8268C">
          <w:rPr>
            <w:rStyle w:val="Collegamentoipertestuale"/>
            <w:noProof/>
          </w:rPr>
          <w:t>4.2.10</w:t>
        </w:r>
        <w:r w:rsidR="00163E2C">
          <w:rPr>
            <w:rFonts w:asciiTheme="minorHAnsi" w:hAnsiTheme="minorHAnsi" w:cstheme="minorBidi"/>
            <w:noProof/>
            <w:lang w:eastAsia="en-GB"/>
          </w:rPr>
          <w:tab/>
        </w:r>
        <w:r w:rsidR="00163E2C" w:rsidRPr="00E8268C">
          <w:rPr>
            <w:rStyle w:val="Collegamentoipertestuale"/>
            <w:noProof/>
          </w:rPr>
          <w:t>Skeletal remains conclusions</w:t>
        </w:r>
        <w:r w:rsidR="00163E2C">
          <w:rPr>
            <w:noProof/>
            <w:webHidden/>
          </w:rPr>
          <w:tab/>
        </w:r>
        <w:r w:rsidR="00163E2C">
          <w:rPr>
            <w:noProof/>
            <w:webHidden/>
          </w:rPr>
          <w:fldChar w:fldCharType="begin"/>
        </w:r>
        <w:r w:rsidR="00163E2C">
          <w:rPr>
            <w:noProof/>
            <w:webHidden/>
          </w:rPr>
          <w:instrText xml:space="preserve"> PAGEREF _Toc519894657 \h </w:instrText>
        </w:r>
        <w:r w:rsidR="00163E2C">
          <w:rPr>
            <w:noProof/>
            <w:webHidden/>
          </w:rPr>
        </w:r>
        <w:r w:rsidR="00163E2C">
          <w:rPr>
            <w:noProof/>
            <w:webHidden/>
          </w:rPr>
          <w:fldChar w:fldCharType="separate"/>
        </w:r>
        <w:r w:rsidR="00412C3C">
          <w:rPr>
            <w:noProof/>
            <w:webHidden/>
          </w:rPr>
          <w:t>20</w:t>
        </w:r>
        <w:r w:rsidR="00C1010E">
          <w:rPr>
            <w:noProof/>
            <w:webHidden/>
          </w:rPr>
          <w:t>8</w:t>
        </w:r>
        <w:r w:rsidR="00163E2C">
          <w:rPr>
            <w:noProof/>
            <w:webHidden/>
          </w:rPr>
          <w:fldChar w:fldCharType="end"/>
        </w:r>
      </w:hyperlink>
    </w:p>
    <w:p w14:paraId="5D8CE1E5" w14:textId="1DE3D74D"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58" w:history="1">
        <w:r w:rsidR="00163E2C" w:rsidRPr="00E8268C">
          <w:rPr>
            <w:rStyle w:val="Collegamentoipertestuale"/>
            <w:noProof/>
            <w14:scene3d>
              <w14:camera w14:prst="orthographicFront"/>
              <w14:lightRig w14:rig="threePt" w14:dir="t">
                <w14:rot w14:lat="0" w14:lon="0" w14:rev="0"/>
              </w14:lightRig>
            </w14:scene3d>
          </w:rPr>
          <w:t>4.3</w:t>
        </w:r>
        <w:r w:rsidR="00163E2C">
          <w:rPr>
            <w:rFonts w:asciiTheme="minorHAnsi" w:hAnsiTheme="minorHAnsi" w:cstheme="minorBidi"/>
            <w:noProof/>
            <w:lang w:eastAsia="en-GB"/>
          </w:rPr>
          <w:tab/>
        </w:r>
        <w:r w:rsidR="00163E2C" w:rsidRPr="00E8268C">
          <w:rPr>
            <w:rStyle w:val="Collegamentoipertestuale"/>
            <w:noProof/>
          </w:rPr>
          <w:t>Grave goods assemblage analysis</w:t>
        </w:r>
        <w:r w:rsidR="00163E2C">
          <w:rPr>
            <w:noProof/>
            <w:webHidden/>
          </w:rPr>
          <w:tab/>
        </w:r>
        <w:r w:rsidR="00163E2C">
          <w:rPr>
            <w:noProof/>
            <w:webHidden/>
          </w:rPr>
          <w:fldChar w:fldCharType="begin"/>
        </w:r>
        <w:r w:rsidR="00163E2C">
          <w:rPr>
            <w:noProof/>
            <w:webHidden/>
          </w:rPr>
          <w:instrText xml:space="preserve"> PAGEREF _Toc519894658 \h </w:instrText>
        </w:r>
        <w:r w:rsidR="00163E2C">
          <w:rPr>
            <w:noProof/>
            <w:webHidden/>
          </w:rPr>
        </w:r>
        <w:r w:rsidR="00163E2C">
          <w:rPr>
            <w:noProof/>
            <w:webHidden/>
          </w:rPr>
          <w:fldChar w:fldCharType="separate"/>
        </w:r>
        <w:r w:rsidR="00412C3C">
          <w:rPr>
            <w:noProof/>
            <w:webHidden/>
          </w:rPr>
          <w:t>2</w:t>
        </w:r>
        <w:r w:rsidR="00C1010E">
          <w:rPr>
            <w:noProof/>
            <w:webHidden/>
          </w:rPr>
          <w:t>09</w:t>
        </w:r>
        <w:r w:rsidR="00163E2C">
          <w:rPr>
            <w:noProof/>
            <w:webHidden/>
          </w:rPr>
          <w:fldChar w:fldCharType="end"/>
        </w:r>
      </w:hyperlink>
    </w:p>
    <w:p w14:paraId="00C2F812" w14:textId="26EBB3A9"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59" w:history="1">
        <w:r w:rsidR="00163E2C" w:rsidRPr="00E8268C">
          <w:rPr>
            <w:rStyle w:val="Collegamentoipertestuale"/>
            <w:noProof/>
          </w:rPr>
          <w:t>4.3.1</w:t>
        </w:r>
        <w:r w:rsidR="00163E2C">
          <w:rPr>
            <w:rFonts w:asciiTheme="minorHAnsi" w:hAnsiTheme="minorHAnsi" w:cstheme="minorBidi"/>
            <w:noProof/>
            <w:lang w:eastAsia="en-GB"/>
          </w:rPr>
          <w:tab/>
        </w:r>
        <w:r w:rsidR="00163E2C" w:rsidRPr="00E8268C">
          <w:rPr>
            <w:rStyle w:val="Collegamentoipertestuale"/>
            <w:noProof/>
          </w:rPr>
          <w:t>Methodology</w:t>
        </w:r>
        <w:r w:rsidR="00163E2C">
          <w:rPr>
            <w:noProof/>
            <w:webHidden/>
          </w:rPr>
          <w:tab/>
        </w:r>
        <w:r w:rsidR="00163E2C">
          <w:rPr>
            <w:noProof/>
            <w:webHidden/>
          </w:rPr>
          <w:fldChar w:fldCharType="begin"/>
        </w:r>
        <w:r w:rsidR="00163E2C">
          <w:rPr>
            <w:noProof/>
            <w:webHidden/>
          </w:rPr>
          <w:instrText xml:space="preserve"> PAGEREF _Toc519894659 \h </w:instrText>
        </w:r>
        <w:r w:rsidR="00163E2C">
          <w:rPr>
            <w:noProof/>
            <w:webHidden/>
          </w:rPr>
        </w:r>
        <w:r w:rsidR="00163E2C">
          <w:rPr>
            <w:noProof/>
            <w:webHidden/>
          </w:rPr>
          <w:fldChar w:fldCharType="separate"/>
        </w:r>
        <w:r w:rsidR="00412C3C">
          <w:rPr>
            <w:noProof/>
            <w:webHidden/>
          </w:rPr>
          <w:t>2</w:t>
        </w:r>
        <w:r w:rsidR="00C1010E">
          <w:rPr>
            <w:noProof/>
            <w:webHidden/>
          </w:rPr>
          <w:t>09</w:t>
        </w:r>
        <w:r w:rsidR="00163E2C">
          <w:rPr>
            <w:noProof/>
            <w:webHidden/>
          </w:rPr>
          <w:fldChar w:fldCharType="end"/>
        </w:r>
      </w:hyperlink>
    </w:p>
    <w:p w14:paraId="52B370E7" w14:textId="476DAEA6"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60" w:history="1">
        <w:r w:rsidR="00163E2C" w:rsidRPr="00E8268C">
          <w:rPr>
            <w:rStyle w:val="Collegamentoipertestuale"/>
            <w:noProof/>
          </w:rPr>
          <w:t>4.3.2</w:t>
        </w:r>
        <w:r w:rsidR="00163E2C">
          <w:rPr>
            <w:rFonts w:asciiTheme="minorHAnsi" w:hAnsiTheme="minorHAnsi" w:cstheme="minorBidi"/>
            <w:noProof/>
            <w:lang w:eastAsia="en-GB"/>
          </w:rPr>
          <w:tab/>
        </w:r>
        <w:r w:rsidR="009E47D2">
          <w:rPr>
            <w:rStyle w:val="Collegamentoipertestuale"/>
            <w:noProof/>
          </w:rPr>
          <w:t>Data limitations</w:t>
        </w:r>
        <w:r w:rsidR="00163E2C">
          <w:rPr>
            <w:noProof/>
            <w:webHidden/>
          </w:rPr>
          <w:tab/>
        </w:r>
        <w:r w:rsidR="00163E2C">
          <w:rPr>
            <w:noProof/>
            <w:webHidden/>
          </w:rPr>
          <w:fldChar w:fldCharType="begin"/>
        </w:r>
        <w:r w:rsidR="00163E2C">
          <w:rPr>
            <w:noProof/>
            <w:webHidden/>
          </w:rPr>
          <w:instrText xml:space="preserve"> PAGEREF _Toc519894660 \h </w:instrText>
        </w:r>
        <w:r w:rsidR="00163E2C">
          <w:rPr>
            <w:noProof/>
            <w:webHidden/>
          </w:rPr>
        </w:r>
        <w:r w:rsidR="00163E2C">
          <w:rPr>
            <w:noProof/>
            <w:webHidden/>
          </w:rPr>
          <w:fldChar w:fldCharType="separate"/>
        </w:r>
        <w:r w:rsidR="00412C3C">
          <w:rPr>
            <w:noProof/>
            <w:webHidden/>
          </w:rPr>
          <w:t>21</w:t>
        </w:r>
        <w:r w:rsidR="00C1010E">
          <w:rPr>
            <w:noProof/>
            <w:webHidden/>
          </w:rPr>
          <w:t>3</w:t>
        </w:r>
        <w:r w:rsidR="00163E2C">
          <w:rPr>
            <w:noProof/>
            <w:webHidden/>
          </w:rPr>
          <w:fldChar w:fldCharType="end"/>
        </w:r>
      </w:hyperlink>
    </w:p>
    <w:p w14:paraId="48FF27C2" w14:textId="711C16F0"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61" w:history="1">
        <w:r w:rsidR="00163E2C" w:rsidRPr="00E8268C">
          <w:rPr>
            <w:rStyle w:val="Collegamentoipertestuale"/>
            <w:noProof/>
          </w:rPr>
          <w:t>4.3.3</w:t>
        </w:r>
        <w:r w:rsidR="00163E2C">
          <w:rPr>
            <w:rFonts w:asciiTheme="minorHAnsi" w:hAnsiTheme="minorHAnsi" w:cstheme="minorBidi"/>
            <w:noProof/>
            <w:lang w:eastAsia="en-GB"/>
          </w:rPr>
          <w:tab/>
        </w:r>
        <w:r w:rsidR="00163E2C" w:rsidRPr="00E8268C">
          <w:rPr>
            <w:rStyle w:val="Collegamentoipertestuale"/>
            <w:noProof/>
          </w:rPr>
          <w:t xml:space="preserve">Far-West </w:t>
        </w:r>
        <w:r w:rsidR="007B628E">
          <w:rPr>
            <w:rStyle w:val="Collegamentoipertestuale"/>
            <w:noProof/>
          </w:rPr>
          <w:t xml:space="preserve">area </w:t>
        </w:r>
        <w:r w:rsidR="00163E2C" w:rsidRPr="00E8268C">
          <w:rPr>
            <w:rStyle w:val="Collegamentoipertestuale"/>
            <w:noProof/>
          </w:rPr>
          <w:t>(grave goods)</w:t>
        </w:r>
        <w:r w:rsidR="00163E2C">
          <w:rPr>
            <w:noProof/>
            <w:webHidden/>
          </w:rPr>
          <w:tab/>
        </w:r>
        <w:r w:rsidR="00163E2C">
          <w:rPr>
            <w:noProof/>
            <w:webHidden/>
          </w:rPr>
          <w:fldChar w:fldCharType="begin"/>
        </w:r>
        <w:r w:rsidR="00163E2C">
          <w:rPr>
            <w:noProof/>
            <w:webHidden/>
          </w:rPr>
          <w:instrText xml:space="preserve"> PAGEREF _Toc519894661 \h </w:instrText>
        </w:r>
        <w:r w:rsidR="00163E2C">
          <w:rPr>
            <w:noProof/>
            <w:webHidden/>
          </w:rPr>
        </w:r>
        <w:r w:rsidR="00163E2C">
          <w:rPr>
            <w:noProof/>
            <w:webHidden/>
          </w:rPr>
          <w:fldChar w:fldCharType="separate"/>
        </w:r>
        <w:r w:rsidR="00412C3C">
          <w:rPr>
            <w:noProof/>
            <w:webHidden/>
          </w:rPr>
          <w:t>21</w:t>
        </w:r>
        <w:r w:rsidR="00DA3BF2">
          <w:rPr>
            <w:noProof/>
            <w:webHidden/>
          </w:rPr>
          <w:t>4</w:t>
        </w:r>
        <w:r w:rsidR="00163E2C">
          <w:rPr>
            <w:noProof/>
            <w:webHidden/>
          </w:rPr>
          <w:fldChar w:fldCharType="end"/>
        </w:r>
      </w:hyperlink>
    </w:p>
    <w:p w14:paraId="7FA51A9C" w14:textId="36BB04FD"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62" w:history="1">
        <w:r w:rsidR="00163E2C" w:rsidRPr="00E8268C">
          <w:rPr>
            <w:rStyle w:val="Collegamentoipertestuale"/>
            <w:noProof/>
          </w:rPr>
          <w:t>4.3.4</w:t>
        </w:r>
        <w:r w:rsidR="00163E2C">
          <w:rPr>
            <w:rFonts w:asciiTheme="minorHAnsi" w:hAnsiTheme="minorHAnsi" w:cstheme="minorBidi"/>
            <w:noProof/>
            <w:lang w:eastAsia="en-GB"/>
          </w:rPr>
          <w:tab/>
        </w:r>
        <w:r w:rsidR="00163E2C" w:rsidRPr="00E8268C">
          <w:rPr>
            <w:rStyle w:val="Collegamentoipertestuale"/>
            <w:noProof/>
          </w:rPr>
          <w:t xml:space="preserve">Mid-West </w:t>
        </w:r>
        <w:r w:rsidR="007B628E">
          <w:rPr>
            <w:rStyle w:val="Collegamentoipertestuale"/>
            <w:noProof/>
          </w:rPr>
          <w:t xml:space="preserve">area </w:t>
        </w:r>
        <w:r w:rsidR="00163E2C" w:rsidRPr="00E8268C">
          <w:rPr>
            <w:rStyle w:val="Collegamentoipertestuale"/>
            <w:noProof/>
          </w:rPr>
          <w:t>(grave goods)</w:t>
        </w:r>
        <w:r w:rsidR="00163E2C">
          <w:rPr>
            <w:noProof/>
            <w:webHidden/>
          </w:rPr>
          <w:tab/>
        </w:r>
        <w:r w:rsidR="00163E2C">
          <w:rPr>
            <w:noProof/>
            <w:webHidden/>
          </w:rPr>
          <w:fldChar w:fldCharType="begin"/>
        </w:r>
        <w:r w:rsidR="00163E2C">
          <w:rPr>
            <w:noProof/>
            <w:webHidden/>
          </w:rPr>
          <w:instrText xml:space="preserve"> PAGEREF _Toc519894662 \h </w:instrText>
        </w:r>
        <w:r w:rsidR="00163E2C">
          <w:rPr>
            <w:noProof/>
            <w:webHidden/>
          </w:rPr>
        </w:r>
        <w:r w:rsidR="00163E2C">
          <w:rPr>
            <w:noProof/>
            <w:webHidden/>
          </w:rPr>
          <w:fldChar w:fldCharType="separate"/>
        </w:r>
        <w:r w:rsidR="00412C3C">
          <w:rPr>
            <w:noProof/>
            <w:webHidden/>
          </w:rPr>
          <w:t>21</w:t>
        </w:r>
        <w:r w:rsidR="00DA3BF2">
          <w:rPr>
            <w:noProof/>
            <w:webHidden/>
          </w:rPr>
          <w:t>4</w:t>
        </w:r>
        <w:r w:rsidR="00163E2C">
          <w:rPr>
            <w:noProof/>
            <w:webHidden/>
          </w:rPr>
          <w:fldChar w:fldCharType="end"/>
        </w:r>
      </w:hyperlink>
    </w:p>
    <w:p w14:paraId="7BFACA67" w14:textId="0B230043"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63" w:history="1">
        <w:r w:rsidR="00163E2C" w:rsidRPr="00E8268C">
          <w:rPr>
            <w:rStyle w:val="Collegamentoipertestuale"/>
            <w:noProof/>
          </w:rPr>
          <w:t>4.3.5</w:t>
        </w:r>
        <w:r w:rsidR="00163E2C">
          <w:rPr>
            <w:rFonts w:asciiTheme="minorHAnsi" w:hAnsiTheme="minorHAnsi" w:cstheme="minorBidi"/>
            <w:noProof/>
            <w:lang w:eastAsia="en-GB"/>
          </w:rPr>
          <w:tab/>
        </w:r>
        <w:r w:rsidR="00163E2C" w:rsidRPr="00E8268C">
          <w:rPr>
            <w:rStyle w:val="Collegamentoipertestuale"/>
            <w:noProof/>
          </w:rPr>
          <w:t>Mesara</w:t>
        </w:r>
        <w:r w:rsidR="007B628E">
          <w:rPr>
            <w:rStyle w:val="Collegamentoipertestuale"/>
            <w:noProof/>
          </w:rPr>
          <w:t xml:space="preserve"> area</w:t>
        </w:r>
        <w:r w:rsidR="00000C52">
          <w:rPr>
            <w:rStyle w:val="Collegamentoipertestuale"/>
            <w:noProof/>
          </w:rPr>
          <w:t xml:space="preserve"> (grave goods)</w:t>
        </w:r>
        <w:r w:rsidR="00163E2C">
          <w:rPr>
            <w:noProof/>
            <w:webHidden/>
          </w:rPr>
          <w:tab/>
        </w:r>
        <w:r w:rsidR="00163E2C">
          <w:rPr>
            <w:noProof/>
            <w:webHidden/>
          </w:rPr>
          <w:fldChar w:fldCharType="begin"/>
        </w:r>
        <w:r w:rsidR="00163E2C">
          <w:rPr>
            <w:noProof/>
            <w:webHidden/>
          </w:rPr>
          <w:instrText xml:space="preserve"> PAGEREF _Toc519894663 \h </w:instrText>
        </w:r>
        <w:r w:rsidR="00163E2C">
          <w:rPr>
            <w:noProof/>
            <w:webHidden/>
          </w:rPr>
        </w:r>
        <w:r w:rsidR="00163E2C">
          <w:rPr>
            <w:noProof/>
            <w:webHidden/>
          </w:rPr>
          <w:fldChar w:fldCharType="separate"/>
        </w:r>
        <w:r w:rsidR="00412C3C">
          <w:rPr>
            <w:noProof/>
            <w:webHidden/>
          </w:rPr>
          <w:t>22</w:t>
        </w:r>
        <w:r w:rsidR="00DA3BF2">
          <w:rPr>
            <w:noProof/>
            <w:webHidden/>
          </w:rPr>
          <w:t>4</w:t>
        </w:r>
        <w:r w:rsidR="00163E2C">
          <w:rPr>
            <w:noProof/>
            <w:webHidden/>
          </w:rPr>
          <w:fldChar w:fldCharType="end"/>
        </w:r>
      </w:hyperlink>
    </w:p>
    <w:p w14:paraId="5F33DBCF" w14:textId="6ABDCCA7"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64" w:history="1">
        <w:r w:rsidR="00163E2C" w:rsidRPr="00E8268C">
          <w:rPr>
            <w:rStyle w:val="Collegamentoipertestuale"/>
            <w:noProof/>
          </w:rPr>
          <w:t>4.3.6</w:t>
        </w:r>
        <w:r w:rsidR="00163E2C">
          <w:rPr>
            <w:rFonts w:asciiTheme="minorHAnsi" w:hAnsiTheme="minorHAnsi" w:cstheme="minorBidi"/>
            <w:noProof/>
            <w:lang w:eastAsia="en-GB"/>
          </w:rPr>
          <w:tab/>
        </w:r>
        <w:r w:rsidR="00163E2C" w:rsidRPr="00E8268C">
          <w:rPr>
            <w:rStyle w:val="Collegamentoipertestuale"/>
            <w:noProof/>
          </w:rPr>
          <w:t>Knossos</w:t>
        </w:r>
        <w:r w:rsidR="007B628E">
          <w:rPr>
            <w:rStyle w:val="Collegamentoipertestuale"/>
            <w:noProof/>
          </w:rPr>
          <w:t xml:space="preserve"> area</w:t>
        </w:r>
        <w:r w:rsidR="00000C52">
          <w:rPr>
            <w:rStyle w:val="Collegamentoipertestuale"/>
            <w:noProof/>
          </w:rPr>
          <w:t xml:space="preserve"> (grave goods)</w:t>
        </w:r>
        <w:r w:rsidR="00163E2C">
          <w:rPr>
            <w:noProof/>
            <w:webHidden/>
          </w:rPr>
          <w:tab/>
        </w:r>
        <w:r w:rsidR="00163E2C">
          <w:rPr>
            <w:noProof/>
            <w:webHidden/>
          </w:rPr>
          <w:fldChar w:fldCharType="begin"/>
        </w:r>
        <w:r w:rsidR="00163E2C">
          <w:rPr>
            <w:noProof/>
            <w:webHidden/>
          </w:rPr>
          <w:instrText xml:space="preserve"> PAGEREF _Toc519894664 \h </w:instrText>
        </w:r>
        <w:r w:rsidR="00163E2C">
          <w:rPr>
            <w:noProof/>
            <w:webHidden/>
          </w:rPr>
        </w:r>
        <w:r w:rsidR="00163E2C">
          <w:rPr>
            <w:noProof/>
            <w:webHidden/>
          </w:rPr>
          <w:fldChar w:fldCharType="separate"/>
        </w:r>
        <w:r w:rsidR="00412C3C">
          <w:rPr>
            <w:noProof/>
            <w:webHidden/>
          </w:rPr>
          <w:t>23</w:t>
        </w:r>
        <w:r w:rsidR="00DA3BF2">
          <w:rPr>
            <w:noProof/>
            <w:webHidden/>
          </w:rPr>
          <w:t>1</w:t>
        </w:r>
        <w:r w:rsidR="00163E2C">
          <w:rPr>
            <w:noProof/>
            <w:webHidden/>
          </w:rPr>
          <w:fldChar w:fldCharType="end"/>
        </w:r>
      </w:hyperlink>
    </w:p>
    <w:p w14:paraId="638480EB" w14:textId="077B2979"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65" w:history="1">
        <w:r w:rsidR="00163E2C" w:rsidRPr="00E8268C">
          <w:rPr>
            <w:rStyle w:val="Collegamentoipertestuale"/>
            <w:noProof/>
          </w:rPr>
          <w:t>4.3.7</w:t>
        </w:r>
        <w:r w:rsidR="00163E2C">
          <w:rPr>
            <w:rFonts w:asciiTheme="minorHAnsi" w:hAnsiTheme="minorHAnsi" w:cstheme="minorBidi"/>
            <w:noProof/>
            <w:lang w:eastAsia="en-GB"/>
          </w:rPr>
          <w:tab/>
        </w:r>
        <w:r w:rsidR="00163E2C" w:rsidRPr="00E8268C">
          <w:rPr>
            <w:rStyle w:val="Collegamentoipertestuale"/>
            <w:noProof/>
          </w:rPr>
          <w:t>Centr</w:t>
        </w:r>
        <w:r w:rsidR="007B628E">
          <w:rPr>
            <w:rStyle w:val="Collegamentoipertestuale"/>
            <w:noProof/>
          </w:rPr>
          <w:t>al area</w:t>
        </w:r>
        <w:r w:rsidR="00000C52">
          <w:rPr>
            <w:rStyle w:val="Collegamentoipertestuale"/>
            <w:noProof/>
          </w:rPr>
          <w:t xml:space="preserve"> (grave goods)</w:t>
        </w:r>
        <w:r w:rsidR="00163E2C">
          <w:rPr>
            <w:noProof/>
            <w:webHidden/>
          </w:rPr>
          <w:tab/>
        </w:r>
        <w:r w:rsidR="00163E2C">
          <w:rPr>
            <w:noProof/>
            <w:webHidden/>
          </w:rPr>
          <w:fldChar w:fldCharType="begin"/>
        </w:r>
        <w:r w:rsidR="00163E2C">
          <w:rPr>
            <w:noProof/>
            <w:webHidden/>
          </w:rPr>
          <w:instrText xml:space="preserve"> PAGEREF _Toc519894665 \h </w:instrText>
        </w:r>
        <w:r w:rsidR="00163E2C">
          <w:rPr>
            <w:noProof/>
            <w:webHidden/>
          </w:rPr>
        </w:r>
        <w:r w:rsidR="00163E2C">
          <w:rPr>
            <w:noProof/>
            <w:webHidden/>
          </w:rPr>
          <w:fldChar w:fldCharType="separate"/>
        </w:r>
        <w:r w:rsidR="00412C3C">
          <w:rPr>
            <w:noProof/>
            <w:webHidden/>
          </w:rPr>
          <w:t>23</w:t>
        </w:r>
        <w:r w:rsidR="00DA3BF2">
          <w:rPr>
            <w:noProof/>
            <w:webHidden/>
          </w:rPr>
          <w:t>8</w:t>
        </w:r>
        <w:r w:rsidR="00163E2C">
          <w:rPr>
            <w:noProof/>
            <w:webHidden/>
          </w:rPr>
          <w:fldChar w:fldCharType="end"/>
        </w:r>
      </w:hyperlink>
    </w:p>
    <w:p w14:paraId="6D52A6B6" w14:textId="1AF2B963"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66" w:history="1">
        <w:r w:rsidR="00163E2C" w:rsidRPr="00E8268C">
          <w:rPr>
            <w:rStyle w:val="Collegamentoipertestuale"/>
            <w:noProof/>
          </w:rPr>
          <w:t>4.3.8</w:t>
        </w:r>
        <w:r w:rsidR="00163E2C">
          <w:rPr>
            <w:rFonts w:asciiTheme="minorHAnsi" w:hAnsiTheme="minorHAnsi" w:cstheme="minorBidi"/>
            <w:noProof/>
            <w:lang w:eastAsia="en-GB"/>
          </w:rPr>
          <w:tab/>
        </w:r>
        <w:r w:rsidR="00163E2C" w:rsidRPr="00E8268C">
          <w:rPr>
            <w:rStyle w:val="Collegamentoipertestuale"/>
            <w:noProof/>
          </w:rPr>
          <w:t xml:space="preserve">Mid-East </w:t>
        </w:r>
        <w:r w:rsidR="007B628E">
          <w:rPr>
            <w:rStyle w:val="Collegamentoipertestuale"/>
            <w:noProof/>
          </w:rPr>
          <w:t xml:space="preserve">area </w:t>
        </w:r>
        <w:r w:rsidR="00163E2C" w:rsidRPr="00E8268C">
          <w:rPr>
            <w:rStyle w:val="Collegamentoipertestuale"/>
            <w:noProof/>
          </w:rPr>
          <w:t>(grave goods)</w:t>
        </w:r>
        <w:r w:rsidR="00163E2C">
          <w:rPr>
            <w:noProof/>
            <w:webHidden/>
          </w:rPr>
          <w:tab/>
        </w:r>
        <w:r w:rsidR="00163E2C">
          <w:rPr>
            <w:noProof/>
            <w:webHidden/>
          </w:rPr>
          <w:fldChar w:fldCharType="begin"/>
        </w:r>
        <w:r w:rsidR="00163E2C">
          <w:rPr>
            <w:noProof/>
            <w:webHidden/>
          </w:rPr>
          <w:instrText xml:space="preserve"> PAGEREF _Toc519894666 \h </w:instrText>
        </w:r>
        <w:r w:rsidR="00163E2C">
          <w:rPr>
            <w:noProof/>
            <w:webHidden/>
          </w:rPr>
        </w:r>
        <w:r w:rsidR="00163E2C">
          <w:rPr>
            <w:noProof/>
            <w:webHidden/>
          </w:rPr>
          <w:fldChar w:fldCharType="separate"/>
        </w:r>
        <w:r w:rsidR="00412C3C">
          <w:rPr>
            <w:noProof/>
            <w:webHidden/>
          </w:rPr>
          <w:t>24</w:t>
        </w:r>
        <w:r w:rsidR="00DA3BF2">
          <w:rPr>
            <w:noProof/>
            <w:webHidden/>
          </w:rPr>
          <w:t>6</w:t>
        </w:r>
        <w:r w:rsidR="00163E2C">
          <w:rPr>
            <w:noProof/>
            <w:webHidden/>
          </w:rPr>
          <w:fldChar w:fldCharType="end"/>
        </w:r>
      </w:hyperlink>
    </w:p>
    <w:p w14:paraId="16D2912D" w14:textId="6E04168E"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67" w:history="1">
        <w:r w:rsidR="00163E2C" w:rsidRPr="00E8268C">
          <w:rPr>
            <w:rStyle w:val="Collegamentoipertestuale"/>
            <w:noProof/>
          </w:rPr>
          <w:t>4.3.9</w:t>
        </w:r>
        <w:r w:rsidR="00163E2C">
          <w:rPr>
            <w:rFonts w:asciiTheme="minorHAnsi" w:hAnsiTheme="minorHAnsi" w:cstheme="minorBidi"/>
            <w:noProof/>
            <w:lang w:eastAsia="en-GB"/>
          </w:rPr>
          <w:tab/>
        </w:r>
        <w:r w:rsidR="00163E2C" w:rsidRPr="00E8268C">
          <w:rPr>
            <w:rStyle w:val="Collegamentoipertestuale"/>
            <w:noProof/>
          </w:rPr>
          <w:t xml:space="preserve">Far-East </w:t>
        </w:r>
        <w:r w:rsidR="007B628E">
          <w:rPr>
            <w:rStyle w:val="Collegamentoipertestuale"/>
            <w:noProof/>
          </w:rPr>
          <w:t xml:space="preserve">area </w:t>
        </w:r>
        <w:r w:rsidR="00163E2C" w:rsidRPr="00E8268C">
          <w:rPr>
            <w:rStyle w:val="Collegamentoipertestuale"/>
            <w:noProof/>
          </w:rPr>
          <w:t>(grave goods)</w:t>
        </w:r>
        <w:r w:rsidR="00163E2C">
          <w:rPr>
            <w:noProof/>
            <w:webHidden/>
          </w:rPr>
          <w:tab/>
        </w:r>
        <w:r w:rsidR="00163E2C">
          <w:rPr>
            <w:noProof/>
            <w:webHidden/>
          </w:rPr>
          <w:fldChar w:fldCharType="begin"/>
        </w:r>
        <w:r w:rsidR="00163E2C">
          <w:rPr>
            <w:noProof/>
            <w:webHidden/>
          </w:rPr>
          <w:instrText xml:space="preserve"> PAGEREF _Toc519894667 \h </w:instrText>
        </w:r>
        <w:r w:rsidR="00163E2C">
          <w:rPr>
            <w:noProof/>
            <w:webHidden/>
          </w:rPr>
        </w:r>
        <w:r w:rsidR="00163E2C">
          <w:rPr>
            <w:noProof/>
            <w:webHidden/>
          </w:rPr>
          <w:fldChar w:fldCharType="separate"/>
        </w:r>
        <w:r w:rsidR="00412C3C">
          <w:rPr>
            <w:noProof/>
            <w:webHidden/>
          </w:rPr>
          <w:t>25</w:t>
        </w:r>
        <w:r w:rsidR="00DA3BF2">
          <w:rPr>
            <w:noProof/>
            <w:webHidden/>
          </w:rPr>
          <w:t>4</w:t>
        </w:r>
        <w:r w:rsidR="00163E2C">
          <w:rPr>
            <w:noProof/>
            <w:webHidden/>
          </w:rPr>
          <w:fldChar w:fldCharType="end"/>
        </w:r>
      </w:hyperlink>
    </w:p>
    <w:p w14:paraId="644F0BB8" w14:textId="00B2FE90" w:rsidR="00163E2C" w:rsidRDefault="003058D3" w:rsidP="008F7066">
      <w:pPr>
        <w:pStyle w:val="Sommario3"/>
        <w:tabs>
          <w:tab w:val="left" w:pos="1560"/>
          <w:tab w:val="right" w:leader="dot" w:pos="8488"/>
        </w:tabs>
        <w:suppressAutoHyphens/>
        <w:rPr>
          <w:noProof/>
          <w:lang w:eastAsia="en-GB"/>
        </w:rPr>
      </w:pPr>
      <w:hyperlink w:anchor="_Toc519894668" w:history="1">
        <w:r w:rsidR="00163E2C" w:rsidRPr="00E8268C">
          <w:rPr>
            <w:rStyle w:val="Collegamentoipertestuale"/>
            <w:noProof/>
          </w:rPr>
          <w:t>4.3.10</w:t>
        </w:r>
        <w:r w:rsidR="00163E2C">
          <w:rPr>
            <w:rFonts w:asciiTheme="minorHAnsi" w:hAnsiTheme="minorHAnsi" w:cstheme="minorBidi"/>
            <w:noProof/>
            <w:lang w:eastAsia="en-GB"/>
          </w:rPr>
          <w:tab/>
        </w:r>
        <w:r w:rsidR="00163E2C" w:rsidRPr="00E8268C">
          <w:rPr>
            <w:rStyle w:val="Collegamentoipertestuale"/>
            <w:noProof/>
          </w:rPr>
          <w:t>Conclusions, grave goods analysis</w:t>
        </w:r>
        <w:r w:rsidR="00163E2C">
          <w:rPr>
            <w:noProof/>
            <w:webHidden/>
          </w:rPr>
          <w:tab/>
        </w:r>
        <w:r w:rsidR="00163E2C">
          <w:rPr>
            <w:noProof/>
            <w:webHidden/>
          </w:rPr>
          <w:fldChar w:fldCharType="begin"/>
        </w:r>
        <w:r w:rsidR="00163E2C">
          <w:rPr>
            <w:noProof/>
            <w:webHidden/>
          </w:rPr>
          <w:instrText xml:space="preserve"> PAGEREF _Toc519894668 \h </w:instrText>
        </w:r>
        <w:r w:rsidR="00163E2C">
          <w:rPr>
            <w:noProof/>
            <w:webHidden/>
          </w:rPr>
        </w:r>
        <w:r w:rsidR="00163E2C">
          <w:rPr>
            <w:noProof/>
            <w:webHidden/>
          </w:rPr>
          <w:fldChar w:fldCharType="separate"/>
        </w:r>
        <w:r w:rsidR="00412C3C">
          <w:rPr>
            <w:noProof/>
            <w:webHidden/>
          </w:rPr>
          <w:t>26</w:t>
        </w:r>
        <w:r w:rsidR="00DA3BF2">
          <w:rPr>
            <w:noProof/>
            <w:webHidden/>
          </w:rPr>
          <w:t>2</w:t>
        </w:r>
        <w:r w:rsidR="00163E2C">
          <w:rPr>
            <w:noProof/>
            <w:webHidden/>
          </w:rPr>
          <w:fldChar w:fldCharType="end"/>
        </w:r>
      </w:hyperlink>
      <w:r w:rsidR="00163E2C">
        <w:rPr>
          <w:noProof/>
          <w:webHidden/>
        </w:rPr>
        <w:tab/>
      </w:r>
      <w:r w:rsidR="00163E2C">
        <w:rPr>
          <w:noProof/>
          <w:webHidden/>
        </w:rPr>
        <w:fldChar w:fldCharType="begin"/>
      </w:r>
      <w:r w:rsidR="00163E2C">
        <w:rPr>
          <w:noProof/>
          <w:webHidden/>
        </w:rPr>
        <w:instrText xml:space="preserve"> PAGEREF _Toc519894669 \h </w:instrText>
      </w:r>
      <w:r w:rsidR="00163E2C">
        <w:rPr>
          <w:noProof/>
          <w:webHidden/>
        </w:rPr>
      </w:r>
      <w:r w:rsidR="00163E2C">
        <w:rPr>
          <w:noProof/>
          <w:webHidden/>
        </w:rPr>
        <w:fldChar w:fldCharType="separate"/>
      </w:r>
      <w:r w:rsidR="00163E2C">
        <w:rPr>
          <w:noProof/>
          <w:webHidden/>
        </w:rPr>
        <w:fldChar w:fldCharType="end"/>
      </w:r>
    </w:p>
    <w:p w14:paraId="47817293" w14:textId="40A89686" w:rsidR="00163E2C" w:rsidRDefault="00163E2C" w:rsidP="00E858EF">
      <w:pPr>
        <w:pStyle w:val="Sommario1"/>
        <w:tabs>
          <w:tab w:val="right" w:leader="dot" w:pos="8488"/>
        </w:tabs>
        <w:suppressAutoHyphens/>
        <w:rPr>
          <w:rFonts w:asciiTheme="minorHAnsi" w:hAnsiTheme="minorHAnsi" w:cstheme="minorBidi"/>
          <w:b w:val="0"/>
          <w:noProof/>
          <w:lang w:eastAsia="en-GB"/>
        </w:rPr>
      </w:pPr>
      <w:r w:rsidRPr="00422526">
        <w:t>5</w:t>
      </w:r>
      <w:r>
        <w:rPr>
          <w:rFonts w:asciiTheme="minorHAnsi" w:hAnsiTheme="minorHAnsi" w:cstheme="minorBidi"/>
          <w:b w:val="0"/>
          <w:noProof/>
          <w:lang w:eastAsia="en-GB"/>
        </w:rPr>
        <w:tab/>
      </w:r>
      <w:r w:rsidRPr="00422526">
        <w:t>LARNAX MORPHOLOGY AND ICONOGRAPHY</w:t>
      </w:r>
      <w:r>
        <w:rPr>
          <w:noProof/>
          <w:webHidden/>
        </w:rPr>
        <w:tab/>
      </w:r>
      <w:r>
        <w:rPr>
          <w:noProof/>
          <w:webHidden/>
        </w:rPr>
        <w:fldChar w:fldCharType="begin"/>
      </w:r>
      <w:r>
        <w:rPr>
          <w:noProof/>
          <w:webHidden/>
        </w:rPr>
        <w:instrText xml:space="preserve"> PAGEREF _Toc519894670 \h </w:instrText>
      </w:r>
      <w:r>
        <w:rPr>
          <w:noProof/>
          <w:webHidden/>
        </w:rPr>
      </w:r>
      <w:r>
        <w:rPr>
          <w:noProof/>
          <w:webHidden/>
        </w:rPr>
        <w:fldChar w:fldCharType="separate"/>
      </w:r>
      <w:r w:rsidR="00412C3C">
        <w:rPr>
          <w:noProof/>
          <w:webHidden/>
        </w:rPr>
        <w:t>26</w:t>
      </w:r>
      <w:r w:rsidR="003D2142">
        <w:rPr>
          <w:noProof/>
          <w:webHidden/>
        </w:rPr>
        <w:t>6</w:t>
      </w:r>
      <w:r>
        <w:rPr>
          <w:noProof/>
          <w:webHidden/>
        </w:rPr>
        <w:fldChar w:fldCharType="end"/>
      </w:r>
    </w:p>
    <w:p w14:paraId="4C155E59" w14:textId="7C92D27D"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71" w:history="1">
        <w:r w:rsidR="00163E2C" w:rsidRPr="00E8268C">
          <w:rPr>
            <w:rStyle w:val="Collegamentoipertestuale"/>
            <w:noProof/>
            <w14:scene3d>
              <w14:camera w14:prst="orthographicFront"/>
              <w14:lightRig w14:rig="threePt" w14:dir="t">
                <w14:rot w14:lat="0" w14:lon="0" w14:rev="0"/>
              </w14:lightRig>
            </w14:scene3d>
          </w:rPr>
          <w:t>5.1</w:t>
        </w:r>
        <w:r w:rsidR="00163E2C">
          <w:rPr>
            <w:rFonts w:asciiTheme="minorHAnsi" w:hAnsiTheme="minorHAnsi" w:cstheme="minorBidi"/>
            <w:noProof/>
            <w:lang w:eastAsia="en-GB"/>
          </w:rPr>
          <w:tab/>
        </w:r>
        <w:r w:rsidR="00163E2C" w:rsidRPr="00E8268C">
          <w:rPr>
            <w:rStyle w:val="Collegamentoipertestuale"/>
            <w:noProof/>
          </w:rPr>
          <w:t>Methodology</w:t>
        </w:r>
        <w:r w:rsidR="00163E2C">
          <w:rPr>
            <w:noProof/>
            <w:webHidden/>
          </w:rPr>
          <w:tab/>
        </w:r>
        <w:r w:rsidR="00163E2C">
          <w:rPr>
            <w:noProof/>
            <w:webHidden/>
          </w:rPr>
          <w:fldChar w:fldCharType="begin"/>
        </w:r>
        <w:r w:rsidR="00163E2C">
          <w:rPr>
            <w:noProof/>
            <w:webHidden/>
          </w:rPr>
          <w:instrText xml:space="preserve"> PAGEREF _Toc519894671 \h </w:instrText>
        </w:r>
        <w:r w:rsidR="00163E2C">
          <w:rPr>
            <w:noProof/>
            <w:webHidden/>
          </w:rPr>
        </w:r>
        <w:r w:rsidR="00163E2C">
          <w:rPr>
            <w:noProof/>
            <w:webHidden/>
          </w:rPr>
          <w:fldChar w:fldCharType="separate"/>
        </w:r>
        <w:r w:rsidR="00412C3C">
          <w:rPr>
            <w:noProof/>
            <w:webHidden/>
          </w:rPr>
          <w:t>26</w:t>
        </w:r>
        <w:r w:rsidR="00163E2C">
          <w:rPr>
            <w:noProof/>
            <w:webHidden/>
          </w:rPr>
          <w:fldChar w:fldCharType="end"/>
        </w:r>
      </w:hyperlink>
      <w:r w:rsidR="003D2142">
        <w:rPr>
          <w:noProof/>
        </w:rPr>
        <w:t>6</w:t>
      </w:r>
    </w:p>
    <w:p w14:paraId="6AD15A37" w14:textId="2E39E7F2"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72" w:history="1">
        <w:r w:rsidR="00163E2C" w:rsidRPr="00E8268C">
          <w:rPr>
            <w:rStyle w:val="Collegamentoipertestuale"/>
            <w:noProof/>
            <w14:scene3d>
              <w14:camera w14:prst="orthographicFront"/>
              <w14:lightRig w14:rig="threePt" w14:dir="t">
                <w14:rot w14:lat="0" w14:lon="0" w14:rev="0"/>
              </w14:lightRig>
            </w14:scene3d>
          </w:rPr>
          <w:t>5.2</w:t>
        </w:r>
        <w:r w:rsidR="00163E2C">
          <w:rPr>
            <w:rFonts w:asciiTheme="minorHAnsi" w:hAnsiTheme="minorHAnsi" w:cstheme="minorBidi"/>
            <w:noProof/>
            <w:lang w:eastAsia="en-GB"/>
          </w:rPr>
          <w:tab/>
        </w:r>
        <w:r w:rsidR="009E47D2">
          <w:rPr>
            <w:rStyle w:val="Collegamentoipertestuale"/>
            <w:noProof/>
          </w:rPr>
          <w:t>Data limitations</w:t>
        </w:r>
        <w:r w:rsidR="00163E2C">
          <w:rPr>
            <w:noProof/>
            <w:webHidden/>
          </w:rPr>
          <w:tab/>
        </w:r>
        <w:r w:rsidR="00163E2C">
          <w:rPr>
            <w:noProof/>
            <w:webHidden/>
          </w:rPr>
          <w:fldChar w:fldCharType="begin"/>
        </w:r>
        <w:r w:rsidR="00163E2C">
          <w:rPr>
            <w:noProof/>
            <w:webHidden/>
          </w:rPr>
          <w:instrText xml:space="preserve"> PAGEREF _Toc519894672 \h </w:instrText>
        </w:r>
        <w:r w:rsidR="00163E2C">
          <w:rPr>
            <w:noProof/>
            <w:webHidden/>
          </w:rPr>
        </w:r>
        <w:r w:rsidR="00163E2C">
          <w:rPr>
            <w:noProof/>
            <w:webHidden/>
          </w:rPr>
          <w:fldChar w:fldCharType="separate"/>
        </w:r>
        <w:r w:rsidR="00412C3C">
          <w:rPr>
            <w:noProof/>
            <w:webHidden/>
          </w:rPr>
          <w:t>280</w:t>
        </w:r>
        <w:r w:rsidR="00163E2C">
          <w:rPr>
            <w:noProof/>
            <w:webHidden/>
          </w:rPr>
          <w:fldChar w:fldCharType="end"/>
        </w:r>
      </w:hyperlink>
    </w:p>
    <w:p w14:paraId="7C7EE0AB" w14:textId="7E84084D"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73" w:history="1">
        <w:r w:rsidR="00163E2C" w:rsidRPr="00E8268C">
          <w:rPr>
            <w:rStyle w:val="Collegamentoipertestuale"/>
            <w:noProof/>
            <w14:scene3d>
              <w14:camera w14:prst="orthographicFront"/>
              <w14:lightRig w14:rig="threePt" w14:dir="t">
                <w14:rot w14:lat="0" w14:lon="0" w14:rev="0"/>
              </w14:lightRig>
            </w14:scene3d>
          </w:rPr>
          <w:t>5.3</w:t>
        </w:r>
        <w:r w:rsidR="00163E2C">
          <w:rPr>
            <w:rFonts w:asciiTheme="minorHAnsi" w:hAnsiTheme="minorHAnsi" w:cstheme="minorBidi"/>
            <w:noProof/>
            <w:lang w:eastAsia="en-GB"/>
          </w:rPr>
          <w:tab/>
        </w:r>
        <w:r w:rsidR="00163E2C" w:rsidRPr="00E8268C">
          <w:rPr>
            <w:rStyle w:val="Collegamentoipertestuale"/>
            <w:noProof/>
          </w:rPr>
          <w:t>Terminology</w:t>
        </w:r>
        <w:r w:rsidR="00163E2C">
          <w:rPr>
            <w:noProof/>
            <w:webHidden/>
          </w:rPr>
          <w:tab/>
        </w:r>
        <w:r w:rsidR="00163E2C">
          <w:rPr>
            <w:noProof/>
            <w:webHidden/>
          </w:rPr>
          <w:fldChar w:fldCharType="begin"/>
        </w:r>
        <w:r w:rsidR="00163E2C">
          <w:rPr>
            <w:noProof/>
            <w:webHidden/>
          </w:rPr>
          <w:instrText xml:space="preserve"> PAGEREF _Toc519894673 \h </w:instrText>
        </w:r>
        <w:r w:rsidR="00163E2C">
          <w:rPr>
            <w:noProof/>
            <w:webHidden/>
          </w:rPr>
        </w:r>
        <w:r w:rsidR="00163E2C">
          <w:rPr>
            <w:noProof/>
            <w:webHidden/>
          </w:rPr>
          <w:fldChar w:fldCharType="separate"/>
        </w:r>
        <w:r w:rsidR="00412C3C">
          <w:rPr>
            <w:noProof/>
            <w:webHidden/>
          </w:rPr>
          <w:t>281</w:t>
        </w:r>
        <w:r w:rsidR="00163E2C">
          <w:rPr>
            <w:noProof/>
            <w:webHidden/>
          </w:rPr>
          <w:fldChar w:fldCharType="end"/>
        </w:r>
      </w:hyperlink>
    </w:p>
    <w:p w14:paraId="2A7E0785" w14:textId="2A3F6690"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674" w:history="1">
        <w:r w:rsidR="00163E2C" w:rsidRPr="00E8268C">
          <w:rPr>
            <w:rStyle w:val="Collegamentoipertestuale"/>
            <w:noProof/>
            <w14:scene3d>
              <w14:camera w14:prst="orthographicFront"/>
              <w14:lightRig w14:rig="threePt" w14:dir="t">
                <w14:rot w14:lat="0" w14:lon="0" w14:rev="0"/>
              </w14:lightRig>
            </w14:scene3d>
          </w:rPr>
          <w:t>5.4</w:t>
        </w:r>
        <w:r w:rsidR="00163E2C">
          <w:rPr>
            <w:rFonts w:asciiTheme="minorHAnsi" w:hAnsiTheme="minorHAnsi" w:cstheme="minorBidi"/>
            <w:noProof/>
            <w:lang w:eastAsia="en-GB"/>
          </w:rPr>
          <w:tab/>
        </w:r>
        <w:r w:rsidR="00163E2C" w:rsidRPr="00E8268C">
          <w:rPr>
            <w:rStyle w:val="Collegamentoipertestuale"/>
            <w:noProof/>
          </w:rPr>
          <w:t>Far-West</w:t>
        </w:r>
        <w:r w:rsidR="00263DD6">
          <w:rPr>
            <w:rStyle w:val="Collegamentoipertestuale"/>
            <w:noProof/>
          </w:rPr>
          <w:t xml:space="preserve"> area</w:t>
        </w:r>
        <w:r w:rsidR="00163E2C">
          <w:rPr>
            <w:noProof/>
            <w:webHidden/>
          </w:rPr>
          <w:tab/>
        </w:r>
        <w:r w:rsidR="00163E2C">
          <w:rPr>
            <w:noProof/>
            <w:webHidden/>
          </w:rPr>
          <w:fldChar w:fldCharType="begin"/>
        </w:r>
        <w:r w:rsidR="00163E2C">
          <w:rPr>
            <w:noProof/>
            <w:webHidden/>
          </w:rPr>
          <w:instrText xml:space="preserve"> PAGEREF _Toc519894674 \h </w:instrText>
        </w:r>
        <w:r w:rsidR="00163E2C">
          <w:rPr>
            <w:noProof/>
            <w:webHidden/>
          </w:rPr>
        </w:r>
        <w:r w:rsidR="00163E2C">
          <w:rPr>
            <w:noProof/>
            <w:webHidden/>
          </w:rPr>
          <w:fldChar w:fldCharType="separate"/>
        </w:r>
        <w:r w:rsidR="00412C3C">
          <w:rPr>
            <w:noProof/>
            <w:webHidden/>
          </w:rPr>
          <w:t>285</w:t>
        </w:r>
        <w:r w:rsidR="00163E2C">
          <w:rPr>
            <w:noProof/>
            <w:webHidden/>
          </w:rPr>
          <w:fldChar w:fldCharType="end"/>
        </w:r>
      </w:hyperlink>
    </w:p>
    <w:p w14:paraId="3FF3357C" w14:textId="5D4E6E10" w:rsidR="00163E2C" w:rsidRDefault="003058D3" w:rsidP="00E858EF">
      <w:pPr>
        <w:pStyle w:val="Sommario3"/>
        <w:tabs>
          <w:tab w:val="left" w:pos="1276"/>
          <w:tab w:val="right" w:leader="dot" w:pos="8488"/>
        </w:tabs>
        <w:suppressAutoHyphens/>
        <w:rPr>
          <w:rFonts w:asciiTheme="minorHAnsi" w:hAnsiTheme="minorHAnsi" w:cstheme="minorBidi"/>
          <w:noProof/>
          <w:lang w:eastAsia="en-GB"/>
        </w:rPr>
      </w:pPr>
      <w:hyperlink w:anchor="_Toc519894675" w:history="1">
        <w:r w:rsidR="00163E2C" w:rsidRPr="00E8268C">
          <w:rPr>
            <w:rStyle w:val="Collegamentoipertestuale"/>
            <w:noProof/>
          </w:rPr>
          <w:t>5.4.1</w:t>
        </w:r>
        <w:r w:rsidR="00163E2C">
          <w:rPr>
            <w:rFonts w:asciiTheme="minorHAnsi" w:hAnsiTheme="minorHAnsi" w:cstheme="minorBidi"/>
            <w:noProof/>
            <w:lang w:eastAsia="en-GB"/>
          </w:rPr>
          <w:tab/>
        </w:r>
        <w:r w:rsidR="00163E2C" w:rsidRPr="00E8268C">
          <w:rPr>
            <w:rStyle w:val="Collegamentoipertestuale"/>
            <w:noProof/>
          </w:rPr>
          <w:t xml:space="preserve">Far-West </w:t>
        </w:r>
        <w:r w:rsidR="00263DD6">
          <w:rPr>
            <w:rStyle w:val="Collegamentoipertestuale"/>
            <w:noProof/>
          </w:rPr>
          <w:t xml:space="preserve">area </w:t>
        </w:r>
        <w:r w:rsidR="00163E2C" w:rsidRPr="00E8268C">
          <w:rPr>
            <w:rStyle w:val="Collegamentoipertestuale"/>
            <w:noProof/>
          </w:rPr>
          <w:t>larnakes morphological analysis</w:t>
        </w:r>
        <w:r w:rsidR="00163E2C">
          <w:rPr>
            <w:noProof/>
            <w:webHidden/>
          </w:rPr>
          <w:tab/>
        </w:r>
        <w:r w:rsidR="00163E2C">
          <w:rPr>
            <w:noProof/>
            <w:webHidden/>
          </w:rPr>
          <w:fldChar w:fldCharType="begin"/>
        </w:r>
        <w:r w:rsidR="00163E2C">
          <w:rPr>
            <w:noProof/>
            <w:webHidden/>
          </w:rPr>
          <w:instrText xml:space="preserve"> PAGEREF _Toc519894675 \h </w:instrText>
        </w:r>
        <w:r w:rsidR="00163E2C">
          <w:rPr>
            <w:noProof/>
            <w:webHidden/>
          </w:rPr>
        </w:r>
        <w:r w:rsidR="00163E2C">
          <w:rPr>
            <w:noProof/>
            <w:webHidden/>
          </w:rPr>
          <w:fldChar w:fldCharType="separate"/>
        </w:r>
        <w:r w:rsidR="00412C3C">
          <w:rPr>
            <w:noProof/>
            <w:webHidden/>
          </w:rPr>
          <w:t>285</w:t>
        </w:r>
        <w:r w:rsidR="00163E2C">
          <w:rPr>
            <w:noProof/>
            <w:webHidden/>
          </w:rPr>
          <w:fldChar w:fldCharType="end"/>
        </w:r>
      </w:hyperlink>
    </w:p>
    <w:p w14:paraId="7057AA6A" w14:textId="24E14E28"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76" w:history="1">
        <w:r w:rsidR="00163E2C" w:rsidRPr="00E8268C">
          <w:rPr>
            <w:rStyle w:val="Collegamentoipertestuale"/>
            <w:noProof/>
          </w:rPr>
          <w:t>5.4.2</w:t>
        </w:r>
        <w:r w:rsidR="00163E2C">
          <w:rPr>
            <w:rFonts w:asciiTheme="minorHAnsi" w:hAnsiTheme="minorHAnsi" w:cstheme="minorBidi"/>
            <w:noProof/>
            <w:lang w:eastAsia="en-GB"/>
          </w:rPr>
          <w:tab/>
        </w:r>
        <w:r w:rsidR="00163E2C" w:rsidRPr="00E8268C">
          <w:rPr>
            <w:rStyle w:val="Collegamentoipertestuale"/>
            <w:noProof/>
          </w:rPr>
          <w:t>Analysis of iconography of decorated larnakes in the Far-</w:t>
        </w:r>
        <w:r w:rsidR="004C4697">
          <w:rPr>
            <w:rStyle w:val="Collegamentoipertestuale"/>
            <w:noProof/>
          </w:rPr>
          <w:t>West area</w:t>
        </w:r>
        <w:r w:rsidR="00163E2C">
          <w:rPr>
            <w:noProof/>
            <w:webHidden/>
          </w:rPr>
          <w:tab/>
        </w:r>
        <w:r w:rsidR="00163E2C">
          <w:rPr>
            <w:noProof/>
            <w:webHidden/>
          </w:rPr>
          <w:fldChar w:fldCharType="begin"/>
        </w:r>
        <w:r w:rsidR="00163E2C">
          <w:rPr>
            <w:noProof/>
            <w:webHidden/>
          </w:rPr>
          <w:instrText xml:space="preserve"> PAGEREF _Toc519894676 \h </w:instrText>
        </w:r>
        <w:r w:rsidR="00163E2C">
          <w:rPr>
            <w:noProof/>
            <w:webHidden/>
          </w:rPr>
        </w:r>
        <w:r w:rsidR="00163E2C">
          <w:rPr>
            <w:noProof/>
            <w:webHidden/>
          </w:rPr>
          <w:fldChar w:fldCharType="separate"/>
        </w:r>
        <w:r w:rsidR="00412C3C">
          <w:rPr>
            <w:noProof/>
            <w:webHidden/>
          </w:rPr>
          <w:t>286</w:t>
        </w:r>
        <w:r w:rsidR="00163E2C">
          <w:rPr>
            <w:noProof/>
            <w:webHidden/>
          </w:rPr>
          <w:fldChar w:fldCharType="end"/>
        </w:r>
      </w:hyperlink>
    </w:p>
    <w:p w14:paraId="6E319293" w14:textId="72800F0C"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77" w:history="1">
        <w:r w:rsidR="00163E2C" w:rsidRPr="00E8268C">
          <w:rPr>
            <w:rStyle w:val="Collegamentoipertestuale"/>
            <w:noProof/>
            <w14:scene3d>
              <w14:camera w14:prst="orthographicFront"/>
              <w14:lightRig w14:rig="threePt" w14:dir="t">
                <w14:rot w14:lat="0" w14:lon="0" w14:rev="0"/>
              </w14:lightRig>
            </w14:scene3d>
          </w:rPr>
          <w:t>5.</w:t>
        </w:r>
        <w:r w:rsidR="004C4697">
          <w:rPr>
            <w:rStyle w:val="Collegamentoipertestuale"/>
            <w:noProof/>
            <w14:scene3d>
              <w14:camera w14:prst="orthographicFront"/>
              <w14:lightRig w14:rig="threePt" w14:dir="t">
                <w14:rot w14:lat="0" w14:lon="0" w14:rev="0"/>
              </w14:lightRig>
            </w14:scene3d>
          </w:rPr>
          <w:t>4</w:t>
        </w:r>
        <w:r w:rsidR="00163E2C" w:rsidRPr="00E8268C">
          <w:rPr>
            <w:rStyle w:val="Collegamentoipertestuale"/>
            <w:noProof/>
            <w14:scene3d>
              <w14:camera w14:prst="orthographicFront"/>
              <w14:lightRig w14:rig="threePt" w14:dir="t">
                <w14:rot w14:lat="0" w14:lon="0" w14:rev="0"/>
              </w14:lightRig>
            </w14:scene3d>
          </w:rPr>
          <w:t>.</w:t>
        </w:r>
        <w:r w:rsidR="004C4697">
          <w:rPr>
            <w:rStyle w:val="Collegamentoipertestuale"/>
            <w:noProof/>
            <w14:scene3d>
              <w14:camera w14:prst="orthographicFront"/>
              <w14:lightRig w14:rig="threePt" w14:dir="t">
                <w14:rot w14:lat="0" w14:lon="0" w14:rev="0"/>
              </w14:lightRig>
            </w14:scene3d>
          </w:rPr>
          <w:t>3</w:t>
        </w:r>
        <w:r w:rsidR="00163E2C">
          <w:rPr>
            <w:rFonts w:asciiTheme="minorHAnsi" w:hAnsiTheme="minorHAnsi" w:cstheme="minorBidi"/>
            <w:noProof/>
            <w:lang w:eastAsia="en-GB"/>
          </w:rPr>
          <w:tab/>
        </w:r>
        <w:r w:rsidR="00163E2C" w:rsidRPr="00E8268C">
          <w:rPr>
            <w:rStyle w:val="Collegamentoipertestuale"/>
            <w:noProof/>
          </w:rPr>
          <w:t xml:space="preserve">Conclusions, Far-West </w:t>
        </w:r>
        <w:r w:rsidR="004C4697">
          <w:rPr>
            <w:rStyle w:val="Collegamentoipertestuale"/>
            <w:noProof/>
          </w:rPr>
          <w:t>area</w:t>
        </w:r>
        <w:r w:rsidR="00163E2C">
          <w:rPr>
            <w:noProof/>
            <w:webHidden/>
          </w:rPr>
          <w:tab/>
        </w:r>
        <w:r w:rsidR="00163E2C">
          <w:rPr>
            <w:noProof/>
            <w:webHidden/>
          </w:rPr>
          <w:fldChar w:fldCharType="begin"/>
        </w:r>
        <w:r w:rsidR="00163E2C">
          <w:rPr>
            <w:noProof/>
            <w:webHidden/>
          </w:rPr>
          <w:instrText xml:space="preserve"> PAGEREF _Toc519894677 \h </w:instrText>
        </w:r>
        <w:r w:rsidR="00163E2C">
          <w:rPr>
            <w:noProof/>
            <w:webHidden/>
          </w:rPr>
        </w:r>
        <w:r w:rsidR="00163E2C">
          <w:rPr>
            <w:noProof/>
            <w:webHidden/>
          </w:rPr>
          <w:fldChar w:fldCharType="separate"/>
        </w:r>
        <w:r w:rsidR="00412C3C">
          <w:rPr>
            <w:noProof/>
            <w:webHidden/>
          </w:rPr>
          <w:t>28</w:t>
        </w:r>
        <w:r w:rsidR="002B00AD">
          <w:rPr>
            <w:noProof/>
            <w:webHidden/>
          </w:rPr>
          <w:t>7</w:t>
        </w:r>
        <w:r w:rsidR="00163E2C">
          <w:rPr>
            <w:noProof/>
            <w:webHidden/>
          </w:rPr>
          <w:fldChar w:fldCharType="end"/>
        </w:r>
      </w:hyperlink>
    </w:p>
    <w:p w14:paraId="7ED10B28" w14:textId="439D322B" w:rsidR="00163E2C" w:rsidRDefault="002B00AD" w:rsidP="00E858EF">
      <w:pPr>
        <w:pStyle w:val="Sommario2"/>
        <w:tabs>
          <w:tab w:val="right" w:leader="dot" w:pos="8488"/>
        </w:tabs>
        <w:suppressAutoHyphens/>
        <w:rPr>
          <w:rFonts w:asciiTheme="minorHAnsi" w:hAnsiTheme="minorHAnsi" w:cstheme="minorBidi"/>
          <w:noProof/>
          <w:lang w:eastAsia="en-GB"/>
        </w:rPr>
      </w:pPr>
      <w:r>
        <w:rPr>
          <w:rFonts w:asciiTheme="minorHAnsi" w:hAnsiTheme="minorHAnsi" w:cstheme="minorBidi"/>
          <w:noProof/>
          <w:lang w:eastAsia="en-GB"/>
        </w:rPr>
        <w:t>8</w:t>
      </w:r>
      <w:r w:rsidR="00163E2C" w:rsidRPr="00422526">
        <w:t>5.</w:t>
      </w:r>
      <w:r w:rsidR="00940F6A" w:rsidRPr="00422526">
        <w:t>5</w:t>
      </w:r>
      <w:r w:rsidR="00163E2C">
        <w:rPr>
          <w:rFonts w:asciiTheme="minorHAnsi" w:hAnsiTheme="minorHAnsi" w:cstheme="minorBidi"/>
          <w:noProof/>
          <w:lang w:eastAsia="en-GB"/>
        </w:rPr>
        <w:tab/>
      </w:r>
      <w:r w:rsidR="00163E2C" w:rsidRPr="00422526">
        <w:t>Mid-West</w:t>
      </w:r>
      <w:r w:rsidR="00263DD6" w:rsidRPr="00422526">
        <w:t xml:space="preserve"> area</w:t>
      </w:r>
      <w:r w:rsidR="00163E2C">
        <w:rPr>
          <w:noProof/>
          <w:webHidden/>
        </w:rPr>
        <w:tab/>
      </w:r>
      <w:r w:rsidR="00163E2C">
        <w:rPr>
          <w:noProof/>
          <w:webHidden/>
        </w:rPr>
        <w:fldChar w:fldCharType="begin"/>
      </w:r>
      <w:r w:rsidR="00163E2C">
        <w:rPr>
          <w:noProof/>
          <w:webHidden/>
        </w:rPr>
        <w:instrText xml:space="preserve"> PAGEREF _Toc519894678 \h </w:instrText>
      </w:r>
      <w:r w:rsidR="00163E2C">
        <w:rPr>
          <w:noProof/>
          <w:webHidden/>
        </w:rPr>
      </w:r>
      <w:r w:rsidR="00163E2C">
        <w:rPr>
          <w:noProof/>
          <w:webHidden/>
        </w:rPr>
        <w:fldChar w:fldCharType="separate"/>
      </w:r>
      <w:r w:rsidR="00412C3C">
        <w:rPr>
          <w:noProof/>
          <w:webHidden/>
        </w:rPr>
        <w:t>28</w:t>
      </w:r>
      <w:r>
        <w:rPr>
          <w:noProof/>
          <w:webHidden/>
        </w:rPr>
        <w:t>8</w:t>
      </w:r>
      <w:r w:rsidR="00163E2C">
        <w:rPr>
          <w:noProof/>
          <w:webHidden/>
        </w:rPr>
        <w:fldChar w:fldCharType="end"/>
      </w:r>
    </w:p>
    <w:p w14:paraId="34A6042E" w14:textId="3E62BB04"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79"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5</w:t>
        </w:r>
        <w:r w:rsidR="00163E2C" w:rsidRPr="00E8268C">
          <w:rPr>
            <w:rStyle w:val="Collegamentoipertestuale"/>
            <w:noProof/>
            <w14:scene3d>
              <w14:camera w14:prst="orthographicFront"/>
              <w14:lightRig w14:rig="threePt" w14:dir="t">
                <w14:rot w14:lat="0" w14:lon="0" w14:rev="0"/>
              </w14:lightRig>
            </w14:scene3d>
          </w:rPr>
          <w:t>.1</w:t>
        </w:r>
        <w:r w:rsidR="00163E2C">
          <w:rPr>
            <w:rFonts w:asciiTheme="minorHAnsi" w:hAnsiTheme="minorHAnsi" w:cstheme="minorBidi"/>
            <w:noProof/>
            <w:lang w:eastAsia="en-GB"/>
          </w:rPr>
          <w:tab/>
        </w:r>
        <w:r w:rsidR="00163E2C" w:rsidRPr="00E8268C">
          <w:rPr>
            <w:rStyle w:val="Collegamentoipertestuale"/>
            <w:noProof/>
          </w:rPr>
          <w:t xml:space="preserve">Mid-West </w:t>
        </w:r>
        <w:r w:rsidR="00263DD6">
          <w:rPr>
            <w:rStyle w:val="Collegamentoipertestuale"/>
            <w:noProof/>
          </w:rPr>
          <w:t xml:space="preserve">area </w:t>
        </w:r>
        <w:r w:rsidR="00163E2C" w:rsidRPr="00E8268C">
          <w:rPr>
            <w:rStyle w:val="Collegamentoipertestuale"/>
            <w:noProof/>
          </w:rPr>
          <w:t>larnakes morphological analysis</w:t>
        </w:r>
        <w:r w:rsidR="00163E2C">
          <w:rPr>
            <w:noProof/>
            <w:webHidden/>
          </w:rPr>
          <w:tab/>
        </w:r>
        <w:r w:rsidR="00163E2C">
          <w:rPr>
            <w:noProof/>
            <w:webHidden/>
          </w:rPr>
          <w:fldChar w:fldCharType="begin"/>
        </w:r>
        <w:r w:rsidR="00163E2C">
          <w:rPr>
            <w:noProof/>
            <w:webHidden/>
          </w:rPr>
          <w:instrText xml:space="preserve"> PAGEREF _Toc519894679 \h </w:instrText>
        </w:r>
        <w:r w:rsidR="00163E2C">
          <w:rPr>
            <w:noProof/>
            <w:webHidden/>
          </w:rPr>
        </w:r>
        <w:r w:rsidR="00163E2C">
          <w:rPr>
            <w:noProof/>
            <w:webHidden/>
          </w:rPr>
          <w:fldChar w:fldCharType="separate"/>
        </w:r>
        <w:r w:rsidR="00412C3C">
          <w:rPr>
            <w:noProof/>
            <w:webHidden/>
          </w:rPr>
          <w:t>28</w:t>
        </w:r>
        <w:r w:rsidR="002B00AD">
          <w:rPr>
            <w:noProof/>
            <w:webHidden/>
          </w:rPr>
          <w:t>8</w:t>
        </w:r>
        <w:r w:rsidR="00163E2C">
          <w:rPr>
            <w:noProof/>
            <w:webHidden/>
          </w:rPr>
          <w:fldChar w:fldCharType="end"/>
        </w:r>
      </w:hyperlink>
    </w:p>
    <w:p w14:paraId="5FFB1BEC" w14:textId="6CAD680F"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80"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5</w:t>
        </w:r>
        <w:r w:rsidR="00163E2C" w:rsidRPr="00E8268C">
          <w:rPr>
            <w:rStyle w:val="Collegamentoipertestuale"/>
            <w:noProof/>
            <w14:scene3d>
              <w14:camera w14:prst="orthographicFront"/>
              <w14:lightRig w14:rig="threePt" w14:dir="t">
                <w14:rot w14:lat="0" w14:lon="0" w14:rev="0"/>
              </w14:lightRig>
            </w14:scene3d>
          </w:rPr>
          <w:t>.2</w:t>
        </w:r>
        <w:r w:rsidR="00163E2C">
          <w:rPr>
            <w:rFonts w:asciiTheme="minorHAnsi" w:hAnsiTheme="minorHAnsi" w:cstheme="minorBidi"/>
            <w:noProof/>
            <w:lang w:eastAsia="en-GB"/>
          </w:rPr>
          <w:tab/>
        </w:r>
        <w:r w:rsidR="00163E2C" w:rsidRPr="00E8268C">
          <w:rPr>
            <w:rStyle w:val="Collegamentoipertestuale"/>
            <w:noProof/>
          </w:rPr>
          <w:t>Does a standard larnax exist for the Mid-West area? What are its characteristics?</w:t>
        </w:r>
        <w:r w:rsidR="00163E2C">
          <w:rPr>
            <w:noProof/>
            <w:webHidden/>
          </w:rPr>
          <w:tab/>
        </w:r>
        <w:r w:rsidR="00163E2C">
          <w:rPr>
            <w:noProof/>
            <w:webHidden/>
          </w:rPr>
          <w:fldChar w:fldCharType="begin"/>
        </w:r>
        <w:r w:rsidR="00163E2C">
          <w:rPr>
            <w:noProof/>
            <w:webHidden/>
          </w:rPr>
          <w:instrText xml:space="preserve"> PAGEREF _Toc519894680 \h </w:instrText>
        </w:r>
        <w:r w:rsidR="00163E2C">
          <w:rPr>
            <w:noProof/>
            <w:webHidden/>
          </w:rPr>
        </w:r>
        <w:r w:rsidR="00163E2C">
          <w:rPr>
            <w:noProof/>
            <w:webHidden/>
          </w:rPr>
          <w:fldChar w:fldCharType="separate"/>
        </w:r>
        <w:r w:rsidR="00412C3C">
          <w:rPr>
            <w:noProof/>
            <w:webHidden/>
          </w:rPr>
          <w:t>28</w:t>
        </w:r>
        <w:r w:rsidR="002B00AD">
          <w:rPr>
            <w:noProof/>
            <w:webHidden/>
          </w:rPr>
          <w:t>8</w:t>
        </w:r>
        <w:r w:rsidR="00163E2C">
          <w:rPr>
            <w:noProof/>
            <w:webHidden/>
          </w:rPr>
          <w:fldChar w:fldCharType="end"/>
        </w:r>
      </w:hyperlink>
    </w:p>
    <w:p w14:paraId="3F6B03F4" w14:textId="537E0A6C"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81"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5</w:t>
        </w:r>
        <w:r w:rsidR="00163E2C" w:rsidRPr="00E8268C">
          <w:rPr>
            <w:rStyle w:val="Collegamentoipertestuale"/>
            <w:noProof/>
            <w14:scene3d>
              <w14:camera w14:prst="orthographicFront"/>
              <w14:lightRig w14:rig="threePt" w14:dir="t">
                <w14:rot w14:lat="0" w14:lon="0" w14:rev="0"/>
              </w14:lightRig>
            </w14:scene3d>
          </w:rPr>
          <w:t>.3</w:t>
        </w:r>
        <w:r w:rsidR="00163E2C">
          <w:rPr>
            <w:rFonts w:asciiTheme="minorHAnsi" w:hAnsiTheme="minorHAnsi" w:cstheme="minorBidi"/>
            <w:noProof/>
            <w:lang w:eastAsia="en-GB"/>
          </w:rPr>
          <w:tab/>
        </w:r>
        <w:r w:rsidR="00163E2C" w:rsidRPr="00E8268C">
          <w:rPr>
            <w:rStyle w:val="Collegamentoipertestuale"/>
            <w:noProof/>
          </w:rPr>
          <w:t>Analysis of the iconography of decorated larnakes in the Mid-West area</w:t>
        </w:r>
        <w:r w:rsidR="00163E2C">
          <w:rPr>
            <w:noProof/>
            <w:webHidden/>
          </w:rPr>
          <w:tab/>
        </w:r>
        <w:r w:rsidR="00163E2C">
          <w:rPr>
            <w:noProof/>
            <w:webHidden/>
          </w:rPr>
          <w:fldChar w:fldCharType="begin"/>
        </w:r>
        <w:r w:rsidR="00163E2C">
          <w:rPr>
            <w:noProof/>
            <w:webHidden/>
          </w:rPr>
          <w:instrText xml:space="preserve"> PAGEREF _Toc519894681 \h </w:instrText>
        </w:r>
        <w:r w:rsidR="00163E2C">
          <w:rPr>
            <w:noProof/>
            <w:webHidden/>
          </w:rPr>
        </w:r>
        <w:r w:rsidR="00163E2C">
          <w:rPr>
            <w:noProof/>
            <w:webHidden/>
          </w:rPr>
          <w:fldChar w:fldCharType="separate"/>
        </w:r>
        <w:r w:rsidR="00412C3C">
          <w:rPr>
            <w:noProof/>
            <w:webHidden/>
          </w:rPr>
          <w:t>29</w:t>
        </w:r>
        <w:r w:rsidR="002B00AD">
          <w:rPr>
            <w:noProof/>
            <w:webHidden/>
          </w:rPr>
          <w:t>0</w:t>
        </w:r>
        <w:r w:rsidR="00163E2C">
          <w:rPr>
            <w:noProof/>
            <w:webHidden/>
          </w:rPr>
          <w:fldChar w:fldCharType="end"/>
        </w:r>
      </w:hyperlink>
    </w:p>
    <w:p w14:paraId="07836B9B" w14:textId="2562BE8F"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82"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5</w:t>
        </w:r>
        <w:r w:rsidR="00163E2C" w:rsidRPr="00E8268C">
          <w:rPr>
            <w:rStyle w:val="Collegamentoipertestuale"/>
            <w:noProof/>
            <w14:scene3d>
              <w14:camera w14:prst="orthographicFront"/>
              <w14:lightRig w14:rig="threePt" w14:dir="t">
                <w14:rot w14:lat="0" w14:lon="0" w14:rev="0"/>
              </w14:lightRig>
            </w14:scene3d>
          </w:rPr>
          <w:t>.4</w:t>
        </w:r>
        <w:r w:rsidR="00163E2C">
          <w:rPr>
            <w:rFonts w:asciiTheme="minorHAnsi" w:hAnsiTheme="minorHAnsi" w:cstheme="minorBidi"/>
            <w:noProof/>
            <w:lang w:eastAsia="en-GB"/>
          </w:rPr>
          <w:tab/>
        </w:r>
        <w:r w:rsidR="00163E2C" w:rsidRPr="00E8268C">
          <w:rPr>
            <w:rStyle w:val="Collegamentoipertestuale"/>
            <w:noProof/>
          </w:rPr>
          <w:t>Conclusions, Mid-West</w:t>
        </w:r>
        <w:r w:rsidR="00B7412C">
          <w:rPr>
            <w:rStyle w:val="Collegamentoipertestuale"/>
            <w:noProof/>
          </w:rPr>
          <w:t xml:space="preserve"> area</w:t>
        </w:r>
        <w:r w:rsidR="00163E2C">
          <w:rPr>
            <w:noProof/>
            <w:webHidden/>
          </w:rPr>
          <w:tab/>
        </w:r>
        <w:r w:rsidR="00163E2C">
          <w:rPr>
            <w:noProof/>
            <w:webHidden/>
          </w:rPr>
          <w:fldChar w:fldCharType="begin"/>
        </w:r>
        <w:r w:rsidR="00163E2C">
          <w:rPr>
            <w:noProof/>
            <w:webHidden/>
          </w:rPr>
          <w:instrText xml:space="preserve"> PAGEREF _Toc519894682 \h </w:instrText>
        </w:r>
        <w:r w:rsidR="00163E2C">
          <w:rPr>
            <w:noProof/>
            <w:webHidden/>
          </w:rPr>
        </w:r>
        <w:r w:rsidR="00163E2C">
          <w:rPr>
            <w:noProof/>
            <w:webHidden/>
          </w:rPr>
          <w:fldChar w:fldCharType="separate"/>
        </w:r>
        <w:r w:rsidR="00412C3C">
          <w:rPr>
            <w:noProof/>
            <w:webHidden/>
          </w:rPr>
          <w:t>30</w:t>
        </w:r>
        <w:r w:rsidR="002B00AD">
          <w:rPr>
            <w:noProof/>
            <w:webHidden/>
          </w:rPr>
          <w:t>3</w:t>
        </w:r>
        <w:r w:rsidR="00163E2C">
          <w:rPr>
            <w:noProof/>
            <w:webHidden/>
          </w:rPr>
          <w:fldChar w:fldCharType="end"/>
        </w:r>
      </w:hyperlink>
    </w:p>
    <w:p w14:paraId="57C3C31E" w14:textId="583527F3" w:rsidR="00163E2C" w:rsidRDefault="00940F6A" w:rsidP="00E858EF">
      <w:pPr>
        <w:pStyle w:val="Sommario2"/>
        <w:tabs>
          <w:tab w:val="right" w:leader="dot" w:pos="8488"/>
        </w:tabs>
        <w:suppressAutoHyphens/>
        <w:rPr>
          <w:rFonts w:asciiTheme="minorHAnsi" w:hAnsiTheme="minorHAnsi" w:cstheme="minorBidi"/>
          <w:noProof/>
          <w:lang w:eastAsia="en-GB"/>
        </w:rPr>
      </w:pPr>
      <w:hyperlink w:anchor="_Toc519894683" w:history="1">
        <w:r w:rsidR="00163E2C" w:rsidRPr="00E8268C">
          <w:rPr>
            <w:rStyle w:val="Collegamentoipertestuale"/>
            <w:noProof/>
          </w:rPr>
          <w:t>5.</w:t>
        </w:r>
        <w:r>
          <w:rPr>
            <w:rStyle w:val="Collegamentoipertestuale"/>
            <w:noProof/>
          </w:rPr>
          <w:t>6</w:t>
        </w:r>
        <w:r w:rsidR="00163E2C">
          <w:rPr>
            <w:rFonts w:asciiTheme="minorHAnsi" w:hAnsiTheme="minorHAnsi" w:cstheme="minorBidi"/>
            <w:noProof/>
            <w:lang w:eastAsia="en-GB"/>
          </w:rPr>
          <w:tab/>
        </w:r>
        <w:r w:rsidR="00163E2C" w:rsidRPr="00E8268C">
          <w:rPr>
            <w:rStyle w:val="Collegamentoipertestuale"/>
            <w:noProof/>
          </w:rPr>
          <w:t>Mesara</w:t>
        </w:r>
        <w:r w:rsidR="00263DD6">
          <w:rPr>
            <w:rStyle w:val="Collegamentoipertestuale"/>
            <w:noProof/>
          </w:rPr>
          <w:t xml:space="preserve"> area</w:t>
        </w:r>
        <w:r w:rsidR="00163E2C">
          <w:rPr>
            <w:noProof/>
            <w:webHidden/>
          </w:rPr>
          <w:tab/>
        </w:r>
        <w:r w:rsidR="00163E2C">
          <w:rPr>
            <w:noProof/>
            <w:webHidden/>
          </w:rPr>
          <w:fldChar w:fldCharType="begin"/>
        </w:r>
        <w:r w:rsidR="00163E2C">
          <w:rPr>
            <w:noProof/>
            <w:webHidden/>
          </w:rPr>
          <w:instrText xml:space="preserve"> PAGEREF _Toc519894683 \h </w:instrText>
        </w:r>
        <w:r w:rsidR="00163E2C">
          <w:rPr>
            <w:noProof/>
            <w:webHidden/>
          </w:rPr>
        </w:r>
        <w:r w:rsidR="00163E2C">
          <w:rPr>
            <w:noProof/>
            <w:webHidden/>
          </w:rPr>
          <w:fldChar w:fldCharType="separate"/>
        </w:r>
        <w:r w:rsidR="00412C3C">
          <w:rPr>
            <w:noProof/>
            <w:webHidden/>
          </w:rPr>
          <w:t>30</w:t>
        </w:r>
        <w:r w:rsidR="00163E2C">
          <w:rPr>
            <w:noProof/>
            <w:webHidden/>
          </w:rPr>
          <w:fldChar w:fldCharType="end"/>
        </w:r>
      </w:hyperlink>
      <w:r w:rsidR="002B00AD">
        <w:rPr>
          <w:noProof/>
        </w:rPr>
        <w:t>5</w:t>
      </w:r>
    </w:p>
    <w:p w14:paraId="0C213D61" w14:textId="0A4A715E"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84"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6</w:t>
        </w:r>
        <w:r w:rsidR="00163E2C" w:rsidRPr="00E8268C">
          <w:rPr>
            <w:rStyle w:val="Collegamentoipertestuale"/>
            <w:noProof/>
            <w14:scene3d>
              <w14:camera w14:prst="orthographicFront"/>
              <w14:lightRig w14:rig="threePt" w14:dir="t">
                <w14:rot w14:lat="0" w14:lon="0" w14:rev="0"/>
              </w14:lightRig>
            </w14:scene3d>
          </w:rPr>
          <w:t>.1</w:t>
        </w:r>
        <w:r w:rsidR="00163E2C">
          <w:rPr>
            <w:rFonts w:asciiTheme="minorHAnsi" w:hAnsiTheme="minorHAnsi" w:cstheme="minorBidi"/>
            <w:noProof/>
            <w:lang w:eastAsia="en-GB"/>
          </w:rPr>
          <w:tab/>
        </w:r>
        <w:r w:rsidR="00163E2C" w:rsidRPr="00E8268C">
          <w:rPr>
            <w:rStyle w:val="Collegamentoipertestuale"/>
            <w:noProof/>
          </w:rPr>
          <w:t xml:space="preserve">Mesara </w:t>
        </w:r>
        <w:r w:rsidR="00263DD6">
          <w:rPr>
            <w:rStyle w:val="Collegamentoipertestuale"/>
            <w:noProof/>
          </w:rPr>
          <w:t xml:space="preserve">area </w:t>
        </w:r>
        <w:r w:rsidR="00163E2C" w:rsidRPr="00E8268C">
          <w:rPr>
            <w:rStyle w:val="Collegamentoipertestuale"/>
            <w:noProof/>
          </w:rPr>
          <w:t>larnakes morphological analysis</w:t>
        </w:r>
        <w:r w:rsidR="00163E2C">
          <w:rPr>
            <w:noProof/>
            <w:webHidden/>
          </w:rPr>
          <w:tab/>
        </w:r>
        <w:r w:rsidR="00163E2C">
          <w:rPr>
            <w:noProof/>
            <w:webHidden/>
          </w:rPr>
          <w:fldChar w:fldCharType="begin"/>
        </w:r>
        <w:r w:rsidR="00163E2C">
          <w:rPr>
            <w:noProof/>
            <w:webHidden/>
          </w:rPr>
          <w:instrText xml:space="preserve"> PAGEREF _Toc519894684 \h </w:instrText>
        </w:r>
        <w:r w:rsidR="00163E2C">
          <w:rPr>
            <w:noProof/>
            <w:webHidden/>
          </w:rPr>
        </w:r>
        <w:r w:rsidR="00163E2C">
          <w:rPr>
            <w:noProof/>
            <w:webHidden/>
          </w:rPr>
          <w:fldChar w:fldCharType="separate"/>
        </w:r>
        <w:r w:rsidR="00412C3C">
          <w:rPr>
            <w:noProof/>
            <w:webHidden/>
          </w:rPr>
          <w:t>30</w:t>
        </w:r>
        <w:r w:rsidR="002B00AD">
          <w:rPr>
            <w:noProof/>
            <w:webHidden/>
          </w:rPr>
          <w:t>5</w:t>
        </w:r>
        <w:r w:rsidR="00163E2C">
          <w:rPr>
            <w:noProof/>
            <w:webHidden/>
          </w:rPr>
          <w:fldChar w:fldCharType="end"/>
        </w:r>
      </w:hyperlink>
    </w:p>
    <w:p w14:paraId="723C5FCB" w14:textId="64EBDFB0"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85"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6</w:t>
        </w:r>
        <w:r w:rsidR="00163E2C" w:rsidRPr="00E8268C">
          <w:rPr>
            <w:rStyle w:val="Collegamentoipertestuale"/>
            <w:noProof/>
            <w14:scene3d>
              <w14:camera w14:prst="orthographicFront"/>
              <w14:lightRig w14:rig="threePt" w14:dir="t">
                <w14:rot w14:lat="0" w14:lon="0" w14:rev="0"/>
              </w14:lightRig>
            </w14:scene3d>
          </w:rPr>
          <w:t>.2</w:t>
        </w:r>
        <w:r w:rsidR="00163E2C">
          <w:rPr>
            <w:rFonts w:asciiTheme="minorHAnsi" w:hAnsiTheme="minorHAnsi" w:cstheme="minorBidi"/>
            <w:noProof/>
            <w:lang w:eastAsia="en-GB"/>
          </w:rPr>
          <w:tab/>
        </w:r>
        <w:r w:rsidR="00163E2C" w:rsidRPr="00E8268C">
          <w:rPr>
            <w:rStyle w:val="Collegamentoipertestuale"/>
            <w:noProof/>
          </w:rPr>
          <w:t>Does a standard larnax exist for the Mesara area? What are its characteristics?</w:t>
        </w:r>
        <w:r w:rsidR="00163E2C">
          <w:rPr>
            <w:noProof/>
            <w:webHidden/>
          </w:rPr>
          <w:tab/>
        </w:r>
        <w:r w:rsidR="00163E2C">
          <w:rPr>
            <w:noProof/>
            <w:webHidden/>
          </w:rPr>
          <w:fldChar w:fldCharType="begin"/>
        </w:r>
        <w:r w:rsidR="00163E2C">
          <w:rPr>
            <w:noProof/>
            <w:webHidden/>
          </w:rPr>
          <w:instrText xml:space="preserve"> PAGEREF _Toc519894685 \h </w:instrText>
        </w:r>
        <w:r w:rsidR="00163E2C">
          <w:rPr>
            <w:noProof/>
            <w:webHidden/>
          </w:rPr>
        </w:r>
        <w:r w:rsidR="00163E2C">
          <w:rPr>
            <w:noProof/>
            <w:webHidden/>
          </w:rPr>
          <w:fldChar w:fldCharType="separate"/>
        </w:r>
        <w:r w:rsidR="00412C3C">
          <w:rPr>
            <w:noProof/>
            <w:webHidden/>
          </w:rPr>
          <w:t>30</w:t>
        </w:r>
        <w:r w:rsidR="002B00AD">
          <w:rPr>
            <w:noProof/>
            <w:webHidden/>
          </w:rPr>
          <w:t>5</w:t>
        </w:r>
        <w:r w:rsidR="00163E2C">
          <w:rPr>
            <w:noProof/>
            <w:webHidden/>
          </w:rPr>
          <w:fldChar w:fldCharType="end"/>
        </w:r>
      </w:hyperlink>
    </w:p>
    <w:p w14:paraId="1133D95F" w14:textId="47F15A26"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86"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6</w:t>
        </w:r>
        <w:r w:rsidR="00163E2C" w:rsidRPr="00E8268C">
          <w:rPr>
            <w:rStyle w:val="Collegamentoipertestuale"/>
            <w:noProof/>
            <w14:scene3d>
              <w14:camera w14:prst="orthographicFront"/>
              <w14:lightRig w14:rig="threePt" w14:dir="t">
                <w14:rot w14:lat="0" w14:lon="0" w14:rev="0"/>
              </w14:lightRig>
            </w14:scene3d>
          </w:rPr>
          <w:t>.3</w:t>
        </w:r>
        <w:r w:rsidR="00163E2C">
          <w:rPr>
            <w:rFonts w:asciiTheme="minorHAnsi" w:hAnsiTheme="minorHAnsi" w:cstheme="minorBidi"/>
            <w:noProof/>
            <w:lang w:eastAsia="en-GB"/>
          </w:rPr>
          <w:tab/>
        </w:r>
        <w:r w:rsidR="00163E2C" w:rsidRPr="00E8268C">
          <w:rPr>
            <w:rStyle w:val="Collegamentoipertestuale"/>
            <w:noProof/>
          </w:rPr>
          <w:t>Analysis of the iconography of decorated larnakes in the Mesara area</w:t>
        </w:r>
        <w:r w:rsidR="00163E2C">
          <w:rPr>
            <w:noProof/>
            <w:webHidden/>
          </w:rPr>
          <w:tab/>
        </w:r>
        <w:r w:rsidR="00163E2C">
          <w:rPr>
            <w:noProof/>
            <w:webHidden/>
          </w:rPr>
          <w:fldChar w:fldCharType="begin"/>
        </w:r>
        <w:r w:rsidR="00163E2C">
          <w:rPr>
            <w:noProof/>
            <w:webHidden/>
          </w:rPr>
          <w:instrText xml:space="preserve"> PAGEREF _Toc519894686 \h </w:instrText>
        </w:r>
        <w:r w:rsidR="00163E2C">
          <w:rPr>
            <w:noProof/>
            <w:webHidden/>
          </w:rPr>
        </w:r>
        <w:r w:rsidR="00163E2C">
          <w:rPr>
            <w:noProof/>
            <w:webHidden/>
          </w:rPr>
          <w:fldChar w:fldCharType="separate"/>
        </w:r>
        <w:r w:rsidR="00412C3C">
          <w:rPr>
            <w:noProof/>
            <w:webHidden/>
          </w:rPr>
          <w:t>30</w:t>
        </w:r>
        <w:r w:rsidR="002B00AD">
          <w:rPr>
            <w:noProof/>
            <w:webHidden/>
          </w:rPr>
          <w:t>7</w:t>
        </w:r>
        <w:r w:rsidR="00163E2C">
          <w:rPr>
            <w:noProof/>
            <w:webHidden/>
          </w:rPr>
          <w:fldChar w:fldCharType="end"/>
        </w:r>
      </w:hyperlink>
    </w:p>
    <w:p w14:paraId="0D26D746" w14:textId="111C3D46"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87"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6</w:t>
        </w:r>
        <w:r w:rsidR="00163E2C" w:rsidRPr="00E8268C">
          <w:rPr>
            <w:rStyle w:val="Collegamentoipertestuale"/>
            <w:noProof/>
            <w14:scene3d>
              <w14:camera w14:prst="orthographicFront"/>
              <w14:lightRig w14:rig="threePt" w14:dir="t">
                <w14:rot w14:lat="0" w14:lon="0" w14:rev="0"/>
              </w14:lightRig>
            </w14:scene3d>
          </w:rPr>
          <w:t>.4</w:t>
        </w:r>
        <w:r w:rsidR="00163E2C">
          <w:rPr>
            <w:rFonts w:asciiTheme="minorHAnsi" w:hAnsiTheme="minorHAnsi" w:cstheme="minorBidi"/>
            <w:noProof/>
            <w:lang w:eastAsia="en-GB"/>
          </w:rPr>
          <w:tab/>
        </w:r>
        <w:r w:rsidR="00163E2C" w:rsidRPr="00E8268C">
          <w:rPr>
            <w:rStyle w:val="Collegamentoipertestuale"/>
            <w:noProof/>
          </w:rPr>
          <w:t>Conclusions, Mesara</w:t>
        </w:r>
        <w:r w:rsidR="00263DD6">
          <w:rPr>
            <w:rStyle w:val="Collegamentoipertestuale"/>
            <w:noProof/>
          </w:rPr>
          <w:t xml:space="preserve"> area</w:t>
        </w:r>
        <w:r w:rsidR="00163E2C">
          <w:rPr>
            <w:noProof/>
            <w:webHidden/>
          </w:rPr>
          <w:tab/>
        </w:r>
        <w:r w:rsidR="00163E2C">
          <w:rPr>
            <w:noProof/>
            <w:webHidden/>
          </w:rPr>
          <w:fldChar w:fldCharType="begin"/>
        </w:r>
        <w:r w:rsidR="00163E2C">
          <w:rPr>
            <w:noProof/>
            <w:webHidden/>
          </w:rPr>
          <w:instrText xml:space="preserve"> PAGEREF _Toc519894687 \h </w:instrText>
        </w:r>
        <w:r w:rsidR="00163E2C">
          <w:rPr>
            <w:noProof/>
            <w:webHidden/>
          </w:rPr>
        </w:r>
        <w:r w:rsidR="00163E2C">
          <w:rPr>
            <w:noProof/>
            <w:webHidden/>
          </w:rPr>
          <w:fldChar w:fldCharType="separate"/>
        </w:r>
        <w:r w:rsidR="00412C3C">
          <w:rPr>
            <w:noProof/>
            <w:webHidden/>
          </w:rPr>
          <w:t>31</w:t>
        </w:r>
        <w:r w:rsidR="002B00AD">
          <w:rPr>
            <w:noProof/>
            <w:webHidden/>
          </w:rPr>
          <w:t>6</w:t>
        </w:r>
        <w:r w:rsidR="00163E2C">
          <w:rPr>
            <w:noProof/>
            <w:webHidden/>
          </w:rPr>
          <w:fldChar w:fldCharType="end"/>
        </w:r>
      </w:hyperlink>
    </w:p>
    <w:p w14:paraId="261D5007" w14:textId="03675544" w:rsidR="00163E2C" w:rsidRDefault="00940F6A" w:rsidP="00E858EF">
      <w:pPr>
        <w:pStyle w:val="Sommario2"/>
        <w:tabs>
          <w:tab w:val="right" w:leader="dot" w:pos="8488"/>
        </w:tabs>
        <w:suppressAutoHyphens/>
        <w:rPr>
          <w:rFonts w:asciiTheme="minorHAnsi" w:hAnsiTheme="minorHAnsi" w:cstheme="minorBidi"/>
          <w:noProof/>
          <w:lang w:eastAsia="en-GB"/>
        </w:rPr>
      </w:pPr>
      <w:hyperlink w:anchor="_Toc519894688" w:history="1">
        <w:r w:rsidR="00163E2C" w:rsidRPr="00E8268C">
          <w:rPr>
            <w:rStyle w:val="Collegamentoipertestuale"/>
            <w:noProof/>
          </w:rPr>
          <w:t>5.</w:t>
        </w:r>
        <w:r>
          <w:rPr>
            <w:rStyle w:val="Collegamentoipertestuale"/>
            <w:noProof/>
          </w:rPr>
          <w:t>7</w:t>
        </w:r>
        <w:r w:rsidR="00163E2C">
          <w:rPr>
            <w:rFonts w:asciiTheme="minorHAnsi" w:hAnsiTheme="minorHAnsi" w:cstheme="minorBidi"/>
            <w:noProof/>
            <w:lang w:eastAsia="en-GB"/>
          </w:rPr>
          <w:tab/>
        </w:r>
        <w:r w:rsidR="00163E2C" w:rsidRPr="00E8268C">
          <w:rPr>
            <w:rStyle w:val="Collegamentoipertestuale"/>
            <w:noProof/>
          </w:rPr>
          <w:t>Knossos</w:t>
        </w:r>
        <w:r w:rsidR="00263DD6">
          <w:rPr>
            <w:rStyle w:val="Collegamentoipertestuale"/>
            <w:noProof/>
          </w:rPr>
          <w:t xml:space="preserve"> area</w:t>
        </w:r>
        <w:r w:rsidR="00163E2C">
          <w:rPr>
            <w:noProof/>
            <w:webHidden/>
          </w:rPr>
          <w:tab/>
        </w:r>
        <w:r w:rsidR="00163E2C">
          <w:rPr>
            <w:noProof/>
            <w:webHidden/>
          </w:rPr>
          <w:fldChar w:fldCharType="begin"/>
        </w:r>
        <w:r w:rsidR="00163E2C">
          <w:rPr>
            <w:noProof/>
            <w:webHidden/>
          </w:rPr>
          <w:instrText xml:space="preserve"> PAGEREF _Toc519894688 \h </w:instrText>
        </w:r>
        <w:r w:rsidR="00163E2C">
          <w:rPr>
            <w:noProof/>
            <w:webHidden/>
          </w:rPr>
        </w:r>
        <w:r w:rsidR="00163E2C">
          <w:rPr>
            <w:noProof/>
            <w:webHidden/>
          </w:rPr>
          <w:fldChar w:fldCharType="separate"/>
        </w:r>
        <w:r w:rsidR="00412C3C">
          <w:rPr>
            <w:noProof/>
            <w:webHidden/>
          </w:rPr>
          <w:t>31</w:t>
        </w:r>
        <w:r w:rsidR="002B00AD">
          <w:rPr>
            <w:noProof/>
            <w:webHidden/>
          </w:rPr>
          <w:t>7</w:t>
        </w:r>
        <w:r w:rsidR="00163E2C">
          <w:rPr>
            <w:noProof/>
            <w:webHidden/>
          </w:rPr>
          <w:fldChar w:fldCharType="end"/>
        </w:r>
      </w:hyperlink>
    </w:p>
    <w:p w14:paraId="4D93EDD7" w14:textId="2E3EB2F9"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89"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7</w:t>
        </w:r>
        <w:r w:rsidR="00163E2C" w:rsidRPr="00E8268C">
          <w:rPr>
            <w:rStyle w:val="Collegamentoipertestuale"/>
            <w:noProof/>
            <w14:scene3d>
              <w14:camera w14:prst="orthographicFront"/>
              <w14:lightRig w14:rig="threePt" w14:dir="t">
                <w14:rot w14:lat="0" w14:lon="0" w14:rev="0"/>
              </w14:lightRig>
            </w14:scene3d>
          </w:rPr>
          <w:t>.1</w:t>
        </w:r>
        <w:r w:rsidR="00163E2C">
          <w:rPr>
            <w:rFonts w:asciiTheme="minorHAnsi" w:hAnsiTheme="minorHAnsi" w:cstheme="minorBidi"/>
            <w:noProof/>
            <w:lang w:eastAsia="en-GB"/>
          </w:rPr>
          <w:tab/>
        </w:r>
        <w:r w:rsidR="00163E2C" w:rsidRPr="00E8268C">
          <w:rPr>
            <w:rStyle w:val="Collegamentoipertestuale"/>
            <w:noProof/>
          </w:rPr>
          <w:t xml:space="preserve">Knossos </w:t>
        </w:r>
        <w:r w:rsidR="00263DD6">
          <w:rPr>
            <w:rStyle w:val="Collegamentoipertestuale"/>
            <w:noProof/>
          </w:rPr>
          <w:t xml:space="preserve">area </w:t>
        </w:r>
        <w:r w:rsidR="00163E2C" w:rsidRPr="00E8268C">
          <w:rPr>
            <w:rStyle w:val="Collegamentoipertestuale"/>
            <w:noProof/>
          </w:rPr>
          <w:t>larnakes morphological analysis</w:t>
        </w:r>
        <w:r w:rsidR="00163E2C">
          <w:rPr>
            <w:noProof/>
            <w:webHidden/>
          </w:rPr>
          <w:tab/>
        </w:r>
        <w:r w:rsidR="00163E2C">
          <w:rPr>
            <w:noProof/>
            <w:webHidden/>
          </w:rPr>
          <w:fldChar w:fldCharType="begin"/>
        </w:r>
        <w:r w:rsidR="00163E2C">
          <w:rPr>
            <w:noProof/>
            <w:webHidden/>
          </w:rPr>
          <w:instrText xml:space="preserve"> PAGEREF _Toc519894689 \h </w:instrText>
        </w:r>
        <w:r w:rsidR="00163E2C">
          <w:rPr>
            <w:noProof/>
            <w:webHidden/>
          </w:rPr>
        </w:r>
        <w:r w:rsidR="00163E2C">
          <w:rPr>
            <w:noProof/>
            <w:webHidden/>
          </w:rPr>
          <w:fldChar w:fldCharType="separate"/>
        </w:r>
        <w:r w:rsidR="00412C3C">
          <w:rPr>
            <w:noProof/>
            <w:webHidden/>
          </w:rPr>
          <w:t>31</w:t>
        </w:r>
        <w:r w:rsidR="002B00AD">
          <w:rPr>
            <w:noProof/>
            <w:webHidden/>
          </w:rPr>
          <w:t>7</w:t>
        </w:r>
        <w:r w:rsidR="00163E2C">
          <w:rPr>
            <w:noProof/>
            <w:webHidden/>
          </w:rPr>
          <w:fldChar w:fldCharType="end"/>
        </w:r>
      </w:hyperlink>
    </w:p>
    <w:p w14:paraId="3F182E04" w14:textId="3664C6CF"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90"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7</w:t>
        </w:r>
        <w:r w:rsidR="00163E2C" w:rsidRPr="00E8268C">
          <w:rPr>
            <w:rStyle w:val="Collegamentoipertestuale"/>
            <w:noProof/>
            <w14:scene3d>
              <w14:camera w14:prst="orthographicFront"/>
              <w14:lightRig w14:rig="threePt" w14:dir="t">
                <w14:rot w14:lat="0" w14:lon="0" w14:rev="0"/>
              </w14:lightRig>
            </w14:scene3d>
          </w:rPr>
          <w:t>.2</w:t>
        </w:r>
        <w:r w:rsidR="00163E2C">
          <w:rPr>
            <w:rFonts w:asciiTheme="minorHAnsi" w:hAnsiTheme="minorHAnsi" w:cstheme="minorBidi"/>
            <w:noProof/>
            <w:lang w:eastAsia="en-GB"/>
          </w:rPr>
          <w:tab/>
        </w:r>
        <w:r w:rsidR="00163E2C" w:rsidRPr="00E8268C">
          <w:rPr>
            <w:rStyle w:val="Collegamentoipertestuale"/>
            <w:noProof/>
          </w:rPr>
          <w:t>Does a standard larnax exist for the Knossos area? What are its characteristics?</w:t>
        </w:r>
        <w:r w:rsidR="00163E2C">
          <w:rPr>
            <w:noProof/>
            <w:webHidden/>
          </w:rPr>
          <w:tab/>
        </w:r>
        <w:r w:rsidR="00ED3C63">
          <w:rPr>
            <w:noProof/>
            <w:webHidden/>
          </w:rPr>
          <w:t>318</w:t>
        </w:r>
      </w:hyperlink>
    </w:p>
    <w:p w14:paraId="1DAA3249" w14:textId="532BD08F"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91"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7</w:t>
        </w:r>
        <w:r w:rsidR="00163E2C" w:rsidRPr="00E8268C">
          <w:rPr>
            <w:rStyle w:val="Collegamentoipertestuale"/>
            <w:noProof/>
            <w14:scene3d>
              <w14:camera w14:prst="orthographicFront"/>
              <w14:lightRig w14:rig="threePt" w14:dir="t">
                <w14:rot w14:lat="0" w14:lon="0" w14:rev="0"/>
              </w14:lightRig>
            </w14:scene3d>
          </w:rPr>
          <w:t>.3</w:t>
        </w:r>
        <w:r w:rsidR="00163E2C">
          <w:rPr>
            <w:rFonts w:asciiTheme="minorHAnsi" w:hAnsiTheme="minorHAnsi" w:cstheme="minorBidi"/>
            <w:noProof/>
            <w:lang w:eastAsia="en-GB"/>
          </w:rPr>
          <w:tab/>
        </w:r>
        <w:r w:rsidR="00163E2C" w:rsidRPr="00E8268C">
          <w:rPr>
            <w:rStyle w:val="Collegamentoipertestuale"/>
            <w:noProof/>
          </w:rPr>
          <w:t>Analysis of the iconography of decorated larnakes in the Knossos area</w:t>
        </w:r>
        <w:r w:rsidR="00163E2C">
          <w:rPr>
            <w:noProof/>
            <w:webHidden/>
          </w:rPr>
          <w:tab/>
        </w:r>
        <w:r w:rsidR="00163E2C">
          <w:rPr>
            <w:noProof/>
            <w:webHidden/>
          </w:rPr>
          <w:fldChar w:fldCharType="begin"/>
        </w:r>
        <w:r w:rsidR="00163E2C">
          <w:rPr>
            <w:noProof/>
            <w:webHidden/>
          </w:rPr>
          <w:instrText xml:space="preserve"> PAGEREF _Toc519894691 \h </w:instrText>
        </w:r>
        <w:r w:rsidR="00163E2C">
          <w:rPr>
            <w:noProof/>
            <w:webHidden/>
          </w:rPr>
        </w:r>
        <w:r w:rsidR="00163E2C">
          <w:rPr>
            <w:noProof/>
            <w:webHidden/>
          </w:rPr>
          <w:fldChar w:fldCharType="separate"/>
        </w:r>
        <w:r w:rsidR="00412C3C">
          <w:rPr>
            <w:noProof/>
            <w:webHidden/>
          </w:rPr>
          <w:t>32</w:t>
        </w:r>
        <w:r w:rsidR="00ED3C63">
          <w:rPr>
            <w:noProof/>
            <w:webHidden/>
          </w:rPr>
          <w:t>0</w:t>
        </w:r>
        <w:r w:rsidR="00163E2C">
          <w:rPr>
            <w:noProof/>
            <w:webHidden/>
          </w:rPr>
          <w:fldChar w:fldCharType="end"/>
        </w:r>
      </w:hyperlink>
    </w:p>
    <w:p w14:paraId="2557E467" w14:textId="64FC5C96"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92"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7</w:t>
        </w:r>
        <w:r w:rsidR="00163E2C" w:rsidRPr="00E8268C">
          <w:rPr>
            <w:rStyle w:val="Collegamentoipertestuale"/>
            <w:noProof/>
            <w14:scene3d>
              <w14:camera w14:prst="orthographicFront"/>
              <w14:lightRig w14:rig="threePt" w14:dir="t">
                <w14:rot w14:lat="0" w14:lon="0" w14:rev="0"/>
              </w14:lightRig>
            </w14:scene3d>
          </w:rPr>
          <w:t>.4</w:t>
        </w:r>
        <w:r w:rsidR="00163E2C">
          <w:rPr>
            <w:rFonts w:asciiTheme="minorHAnsi" w:hAnsiTheme="minorHAnsi" w:cstheme="minorBidi"/>
            <w:noProof/>
            <w:lang w:eastAsia="en-GB"/>
          </w:rPr>
          <w:tab/>
        </w:r>
        <w:r w:rsidR="00163E2C" w:rsidRPr="00E8268C">
          <w:rPr>
            <w:rStyle w:val="Collegamentoipertestuale"/>
            <w:noProof/>
          </w:rPr>
          <w:t>Conclusions, Knossos</w:t>
        </w:r>
        <w:r w:rsidR="00263DD6">
          <w:rPr>
            <w:rStyle w:val="Collegamentoipertestuale"/>
            <w:noProof/>
          </w:rPr>
          <w:t xml:space="preserve"> area</w:t>
        </w:r>
        <w:r w:rsidR="00163E2C">
          <w:rPr>
            <w:noProof/>
            <w:webHidden/>
          </w:rPr>
          <w:tab/>
        </w:r>
        <w:r w:rsidR="00163E2C">
          <w:rPr>
            <w:noProof/>
            <w:webHidden/>
          </w:rPr>
          <w:fldChar w:fldCharType="begin"/>
        </w:r>
        <w:r w:rsidR="00163E2C">
          <w:rPr>
            <w:noProof/>
            <w:webHidden/>
          </w:rPr>
          <w:instrText xml:space="preserve"> PAGEREF _Toc519894692 \h </w:instrText>
        </w:r>
        <w:r w:rsidR="00163E2C">
          <w:rPr>
            <w:noProof/>
            <w:webHidden/>
          </w:rPr>
        </w:r>
        <w:r w:rsidR="00163E2C">
          <w:rPr>
            <w:noProof/>
            <w:webHidden/>
          </w:rPr>
          <w:fldChar w:fldCharType="separate"/>
        </w:r>
        <w:r w:rsidR="00412C3C">
          <w:rPr>
            <w:noProof/>
            <w:webHidden/>
          </w:rPr>
          <w:t>32</w:t>
        </w:r>
        <w:r w:rsidR="00ED3C63">
          <w:rPr>
            <w:noProof/>
            <w:webHidden/>
          </w:rPr>
          <w:t>6</w:t>
        </w:r>
        <w:r w:rsidR="00163E2C">
          <w:rPr>
            <w:noProof/>
            <w:webHidden/>
          </w:rPr>
          <w:fldChar w:fldCharType="end"/>
        </w:r>
      </w:hyperlink>
    </w:p>
    <w:p w14:paraId="37E1FAA4" w14:textId="4078C653" w:rsidR="00163E2C" w:rsidRDefault="00874C0C" w:rsidP="00E858EF">
      <w:pPr>
        <w:pStyle w:val="Sommario2"/>
        <w:tabs>
          <w:tab w:val="right" w:leader="dot" w:pos="8488"/>
        </w:tabs>
        <w:suppressAutoHyphens/>
        <w:rPr>
          <w:rFonts w:asciiTheme="minorHAnsi" w:hAnsiTheme="minorHAnsi" w:cstheme="minorBidi"/>
          <w:noProof/>
          <w:lang w:eastAsia="en-GB"/>
        </w:rPr>
      </w:pPr>
      <w:hyperlink w:anchor="_Toc519894693" w:history="1">
        <w:r w:rsidR="00163E2C" w:rsidRPr="00E8268C">
          <w:rPr>
            <w:rStyle w:val="Collegamentoipertestuale"/>
            <w:noProof/>
          </w:rPr>
          <w:t>5.</w:t>
        </w:r>
        <w:r w:rsidR="00940F6A">
          <w:rPr>
            <w:rStyle w:val="Collegamentoipertestuale"/>
            <w:noProof/>
          </w:rPr>
          <w:t>8</w:t>
        </w:r>
        <w:r w:rsidR="00163E2C">
          <w:rPr>
            <w:rFonts w:asciiTheme="minorHAnsi" w:hAnsiTheme="minorHAnsi" w:cstheme="minorBidi"/>
            <w:noProof/>
            <w:lang w:eastAsia="en-GB"/>
          </w:rPr>
          <w:tab/>
        </w:r>
        <w:r w:rsidR="00163E2C" w:rsidRPr="00E8268C">
          <w:rPr>
            <w:rStyle w:val="Collegamentoipertestuale"/>
            <w:noProof/>
          </w:rPr>
          <w:t>Centr</w:t>
        </w:r>
        <w:r w:rsidR="00263DD6">
          <w:rPr>
            <w:rStyle w:val="Collegamentoipertestuale"/>
            <w:noProof/>
          </w:rPr>
          <w:t>al area</w:t>
        </w:r>
        <w:r w:rsidR="00163E2C">
          <w:rPr>
            <w:noProof/>
            <w:webHidden/>
          </w:rPr>
          <w:tab/>
        </w:r>
        <w:r w:rsidR="00163E2C">
          <w:rPr>
            <w:noProof/>
            <w:webHidden/>
          </w:rPr>
          <w:fldChar w:fldCharType="begin"/>
        </w:r>
        <w:r w:rsidR="00163E2C">
          <w:rPr>
            <w:noProof/>
            <w:webHidden/>
          </w:rPr>
          <w:instrText xml:space="preserve"> PAGEREF _Toc519894693 \h </w:instrText>
        </w:r>
        <w:r w:rsidR="00163E2C">
          <w:rPr>
            <w:noProof/>
            <w:webHidden/>
          </w:rPr>
        </w:r>
        <w:r w:rsidR="00163E2C">
          <w:rPr>
            <w:noProof/>
            <w:webHidden/>
          </w:rPr>
          <w:fldChar w:fldCharType="separate"/>
        </w:r>
        <w:r w:rsidR="00412C3C">
          <w:rPr>
            <w:noProof/>
            <w:webHidden/>
          </w:rPr>
          <w:t>32</w:t>
        </w:r>
        <w:r w:rsidR="00ED3C63">
          <w:rPr>
            <w:noProof/>
            <w:webHidden/>
          </w:rPr>
          <w:t>8</w:t>
        </w:r>
        <w:r w:rsidR="00163E2C">
          <w:rPr>
            <w:noProof/>
            <w:webHidden/>
          </w:rPr>
          <w:fldChar w:fldCharType="end"/>
        </w:r>
      </w:hyperlink>
    </w:p>
    <w:p w14:paraId="73593A65" w14:textId="745D4434"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94"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8</w:t>
        </w:r>
        <w:r w:rsidR="00163E2C" w:rsidRPr="00E8268C">
          <w:rPr>
            <w:rStyle w:val="Collegamentoipertestuale"/>
            <w:noProof/>
            <w14:scene3d>
              <w14:camera w14:prst="orthographicFront"/>
              <w14:lightRig w14:rig="threePt" w14:dir="t">
                <w14:rot w14:lat="0" w14:lon="0" w14:rev="0"/>
              </w14:lightRig>
            </w14:scene3d>
          </w:rPr>
          <w:t>.1</w:t>
        </w:r>
        <w:r w:rsidR="00163E2C">
          <w:rPr>
            <w:rFonts w:asciiTheme="minorHAnsi" w:hAnsiTheme="minorHAnsi" w:cstheme="minorBidi"/>
            <w:noProof/>
            <w:lang w:eastAsia="en-GB"/>
          </w:rPr>
          <w:tab/>
        </w:r>
        <w:r w:rsidR="00163E2C" w:rsidRPr="00E8268C">
          <w:rPr>
            <w:rStyle w:val="Collegamentoipertestuale"/>
            <w:noProof/>
          </w:rPr>
          <w:t xml:space="preserve">Central </w:t>
        </w:r>
        <w:r w:rsidR="00263DD6">
          <w:rPr>
            <w:rStyle w:val="Collegamentoipertestuale"/>
            <w:noProof/>
          </w:rPr>
          <w:t xml:space="preserve">area </w:t>
        </w:r>
        <w:r w:rsidR="00163E2C" w:rsidRPr="00E8268C">
          <w:rPr>
            <w:rStyle w:val="Collegamentoipertestuale"/>
            <w:noProof/>
          </w:rPr>
          <w:t>larnakes morphological analysis</w:t>
        </w:r>
        <w:r w:rsidR="00163E2C">
          <w:rPr>
            <w:noProof/>
            <w:webHidden/>
          </w:rPr>
          <w:tab/>
        </w:r>
        <w:r w:rsidR="00163E2C">
          <w:rPr>
            <w:noProof/>
            <w:webHidden/>
          </w:rPr>
          <w:fldChar w:fldCharType="begin"/>
        </w:r>
        <w:r w:rsidR="00163E2C">
          <w:rPr>
            <w:noProof/>
            <w:webHidden/>
          </w:rPr>
          <w:instrText xml:space="preserve"> PAGEREF _Toc519894694 \h </w:instrText>
        </w:r>
        <w:r w:rsidR="00163E2C">
          <w:rPr>
            <w:noProof/>
            <w:webHidden/>
          </w:rPr>
        </w:r>
        <w:r w:rsidR="00163E2C">
          <w:rPr>
            <w:noProof/>
            <w:webHidden/>
          </w:rPr>
          <w:fldChar w:fldCharType="separate"/>
        </w:r>
        <w:r w:rsidR="00412C3C">
          <w:rPr>
            <w:noProof/>
            <w:webHidden/>
          </w:rPr>
          <w:t>32</w:t>
        </w:r>
        <w:r w:rsidR="00ED3C63">
          <w:rPr>
            <w:noProof/>
            <w:webHidden/>
          </w:rPr>
          <w:t>8</w:t>
        </w:r>
        <w:r w:rsidR="00163E2C">
          <w:rPr>
            <w:noProof/>
            <w:webHidden/>
          </w:rPr>
          <w:fldChar w:fldCharType="end"/>
        </w:r>
      </w:hyperlink>
    </w:p>
    <w:p w14:paraId="41222635" w14:textId="390E67DE"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95"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8.</w:t>
        </w:r>
        <w:r w:rsidR="00163E2C" w:rsidRPr="00E8268C">
          <w:rPr>
            <w:rStyle w:val="Collegamentoipertestuale"/>
            <w:noProof/>
            <w14:scene3d>
              <w14:camera w14:prst="orthographicFront"/>
              <w14:lightRig w14:rig="threePt" w14:dir="t">
                <w14:rot w14:lat="0" w14:lon="0" w14:rev="0"/>
              </w14:lightRig>
            </w14:scene3d>
          </w:rPr>
          <w:t>2</w:t>
        </w:r>
        <w:r w:rsidR="00163E2C">
          <w:rPr>
            <w:rFonts w:asciiTheme="minorHAnsi" w:hAnsiTheme="minorHAnsi" w:cstheme="minorBidi"/>
            <w:noProof/>
            <w:lang w:eastAsia="en-GB"/>
          </w:rPr>
          <w:tab/>
        </w:r>
        <w:r w:rsidR="00163E2C" w:rsidRPr="00E8268C">
          <w:rPr>
            <w:rStyle w:val="Collegamentoipertestuale"/>
            <w:noProof/>
          </w:rPr>
          <w:t>Does a standard larnax exist for the Central area? What are its characteristics?</w:t>
        </w:r>
        <w:r w:rsidR="00163E2C">
          <w:rPr>
            <w:noProof/>
            <w:webHidden/>
          </w:rPr>
          <w:tab/>
        </w:r>
        <w:r w:rsidR="00163E2C">
          <w:rPr>
            <w:noProof/>
            <w:webHidden/>
          </w:rPr>
          <w:fldChar w:fldCharType="begin"/>
        </w:r>
        <w:r w:rsidR="00163E2C">
          <w:rPr>
            <w:noProof/>
            <w:webHidden/>
          </w:rPr>
          <w:instrText xml:space="preserve"> PAGEREF _Toc519894695 \h </w:instrText>
        </w:r>
        <w:r w:rsidR="00163E2C">
          <w:rPr>
            <w:noProof/>
            <w:webHidden/>
          </w:rPr>
        </w:r>
        <w:r w:rsidR="00163E2C">
          <w:rPr>
            <w:noProof/>
            <w:webHidden/>
          </w:rPr>
          <w:fldChar w:fldCharType="separate"/>
        </w:r>
        <w:r w:rsidR="00412C3C">
          <w:rPr>
            <w:noProof/>
            <w:webHidden/>
          </w:rPr>
          <w:t>32</w:t>
        </w:r>
        <w:r w:rsidR="00ED3C63">
          <w:rPr>
            <w:noProof/>
            <w:webHidden/>
          </w:rPr>
          <w:t>8</w:t>
        </w:r>
        <w:r w:rsidR="00163E2C">
          <w:rPr>
            <w:noProof/>
            <w:webHidden/>
          </w:rPr>
          <w:fldChar w:fldCharType="end"/>
        </w:r>
      </w:hyperlink>
    </w:p>
    <w:p w14:paraId="5620A049" w14:textId="78B3758E"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96"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8</w:t>
        </w:r>
        <w:r w:rsidR="00163E2C" w:rsidRPr="00E8268C">
          <w:rPr>
            <w:rStyle w:val="Collegamentoipertestuale"/>
            <w:noProof/>
            <w14:scene3d>
              <w14:camera w14:prst="orthographicFront"/>
              <w14:lightRig w14:rig="threePt" w14:dir="t">
                <w14:rot w14:lat="0" w14:lon="0" w14:rev="0"/>
              </w14:lightRig>
            </w14:scene3d>
          </w:rPr>
          <w:t>.3</w:t>
        </w:r>
        <w:r w:rsidR="00163E2C">
          <w:rPr>
            <w:rFonts w:asciiTheme="minorHAnsi" w:hAnsiTheme="minorHAnsi" w:cstheme="minorBidi"/>
            <w:noProof/>
            <w:lang w:eastAsia="en-GB"/>
          </w:rPr>
          <w:tab/>
        </w:r>
        <w:r w:rsidR="00163E2C" w:rsidRPr="00E8268C">
          <w:rPr>
            <w:rStyle w:val="Collegamentoipertestuale"/>
            <w:noProof/>
          </w:rPr>
          <w:t>Analysis of the iconography of decorated larnakes in the Central area</w:t>
        </w:r>
        <w:r w:rsidR="00163E2C">
          <w:rPr>
            <w:noProof/>
            <w:webHidden/>
          </w:rPr>
          <w:tab/>
        </w:r>
        <w:r w:rsidR="00163E2C">
          <w:rPr>
            <w:noProof/>
            <w:webHidden/>
          </w:rPr>
          <w:fldChar w:fldCharType="begin"/>
        </w:r>
        <w:r w:rsidR="00163E2C">
          <w:rPr>
            <w:noProof/>
            <w:webHidden/>
          </w:rPr>
          <w:instrText xml:space="preserve"> PAGEREF _Toc519894696 \h </w:instrText>
        </w:r>
        <w:r w:rsidR="00163E2C">
          <w:rPr>
            <w:noProof/>
            <w:webHidden/>
          </w:rPr>
        </w:r>
        <w:r w:rsidR="00163E2C">
          <w:rPr>
            <w:noProof/>
            <w:webHidden/>
          </w:rPr>
          <w:fldChar w:fldCharType="separate"/>
        </w:r>
        <w:r w:rsidR="00412C3C">
          <w:rPr>
            <w:noProof/>
            <w:webHidden/>
          </w:rPr>
          <w:t>33</w:t>
        </w:r>
        <w:r w:rsidR="00ED3C63">
          <w:rPr>
            <w:noProof/>
            <w:webHidden/>
          </w:rPr>
          <w:t>0</w:t>
        </w:r>
        <w:r w:rsidR="00163E2C">
          <w:rPr>
            <w:noProof/>
            <w:webHidden/>
          </w:rPr>
          <w:fldChar w:fldCharType="end"/>
        </w:r>
      </w:hyperlink>
    </w:p>
    <w:p w14:paraId="3CB1F2FA" w14:textId="17B1B47C"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97"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8</w:t>
        </w:r>
        <w:r w:rsidR="00163E2C" w:rsidRPr="00E8268C">
          <w:rPr>
            <w:rStyle w:val="Collegamentoipertestuale"/>
            <w:noProof/>
            <w14:scene3d>
              <w14:camera w14:prst="orthographicFront"/>
              <w14:lightRig w14:rig="threePt" w14:dir="t">
                <w14:rot w14:lat="0" w14:lon="0" w14:rev="0"/>
              </w14:lightRig>
            </w14:scene3d>
          </w:rPr>
          <w:t>.4</w:t>
        </w:r>
        <w:r w:rsidR="00163E2C">
          <w:rPr>
            <w:rFonts w:asciiTheme="minorHAnsi" w:hAnsiTheme="minorHAnsi" w:cstheme="minorBidi"/>
            <w:noProof/>
            <w:lang w:eastAsia="en-GB"/>
          </w:rPr>
          <w:tab/>
        </w:r>
        <w:r w:rsidR="00163E2C" w:rsidRPr="00E8268C">
          <w:rPr>
            <w:rStyle w:val="Collegamentoipertestuale"/>
            <w:noProof/>
          </w:rPr>
          <w:t>Conclusions, Central area</w:t>
        </w:r>
        <w:r w:rsidR="00163E2C">
          <w:rPr>
            <w:noProof/>
            <w:webHidden/>
          </w:rPr>
          <w:tab/>
        </w:r>
        <w:r w:rsidR="00163E2C">
          <w:rPr>
            <w:noProof/>
            <w:webHidden/>
          </w:rPr>
          <w:fldChar w:fldCharType="begin"/>
        </w:r>
        <w:r w:rsidR="00163E2C">
          <w:rPr>
            <w:noProof/>
            <w:webHidden/>
          </w:rPr>
          <w:instrText xml:space="preserve"> PAGEREF _Toc519894697 \h </w:instrText>
        </w:r>
        <w:r w:rsidR="00163E2C">
          <w:rPr>
            <w:noProof/>
            <w:webHidden/>
          </w:rPr>
        </w:r>
        <w:r w:rsidR="00163E2C">
          <w:rPr>
            <w:noProof/>
            <w:webHidden/>
          </w:rPr>
          <w:fldChar w:fldCharType="separate"/>
        </w:r>
        <w:r w:rsidR="00412C3C">
          <w:rPr>
            <w:noProof/>
            <w:webHidden/>
          </w:rPr>
          <w:t>3</w:t>
        </w:r>
        <w:r w:rsidR="00ED3C63">
          <w:rPr>
            <w:noProof/>
            <w:webHidden/>
          </w:rPr>
          <w:t>39</w:t>
        </w:r>
        <w:r w:rsidR="00163E2C">
          <w:rPr>
            <w:noProof/>
            <w:webHidden/>
          </w:rPr>
          <w:fldChar w:fldCharType="end"/>
        </w:r>
      </w:hyperlink>
    </w:p>
    <w:p w14:paraId="11C32E39" w14:textId="1765C21B" w:rsidR="00163E2C" w:rsidRDefault="00940F6A" w:rsidP="00E858EF">
      <w:pPr>
        <w:pStyle w:val="Sommario2"/>
        <w:tabs>
          <w:tab w:val="right" w:leader="dot" w:pos="8488"/>
        </w:tabs>
        <w:suppressAutoHyphens/>
        <w:rPr>
          <w:rFonts w:asciiTheme="minorHAnsi" w:hAnsiTheme="minorHAnsi" w:cstheme="minorBidi"/>
          <w:noProof/>
          <w:lang w:eastAsia="en-GB"/>
        </w:rPr>
      </w:pPr>
      <w:hyperlink w:anchor="_Toc519894698" w:history="1">
        <w:r w:rsidR="00163E2C" w:rsidRPr="00E8268C">
          <w:rPr>
            <w:rStyle w:val="Collegamentoipertestuale"/>
            <w:noProof/>
          </w:rPr>
          <w:t>5.</w:t>
        </w:r>
        <w:r>
          <w:rPr>
            <w:rStyle w:val="Collegamentoipertestuale"/>
            <w:noProof/>
          </w:rPr>
          <w:t>9</w:t>
        </w:r>
        <w:r w:rsidR="00163E2C">
          <w:rPr>
            <w:rFonts w:asciiTheme="minorHAnsi" w:hAnsiTheme="minorHAnsi" w:cstheme="minorBidi"/>
            <w:noProof/>
            <w:lang w:eastAsia="en-GB"/>
          </w:rPr>
          <w:tab/>
        </w:r>
        <w:r w:rsidR="00163E2C" w:rsidRPr="00E8268C">
          <w:rPr>
            <w:rStyle w:val="Collegamentoipertestuale"/>
            <w:noProof/>
          </w:rPr>
          <w:t>Mid-East</w:t>
        </w:r>
        <w:r w:rsidR="00263DD6">
          <w:rPr>
            <w:rStyle w:val="Collegamentoipertestuale"/>
            <w:noProof/>
          </w:rPr>
          <w:t xml:space="preserve"> area</w:t>
        </w:r>
        <w:r w:rsidR="00163E2C">
          <w:rPr>
            <w:noProof/>
            <w:webHidden/>
          </w:rPr>
          <w:tab/>
        </w:r>
        <w:r w:rsidR="00163E2C">
          <w:rPr>
            <w:noProof/>
            <w:webHidden/>
          </w:rPr>
          <w:fldChar w:fldCharType="begin"/>
        </w:r>
        <w:r w:rsidR="00163E2C">
          <w:rPr>
            <w:noProof/>
            <w:webHidden/>
          </w:rPr>
          <w:instrText xml:space="preserve"> PAGEREF _Toc519894698 \h </w:instrText>
        </w:r>
        <w:r w:rsidR="00163E2C">
          <w:rPr>
            <w:noProof/>
            <w:webHidden/>
          </w:rPr>
        </w:r>
        <w:r w:rsidR="00163E2C">
          <w:rPr>
            <w:noProof/>
            <w:webHidden/>
          </w:rPr>
          <w:fldChar w:fldCharType="separate"/>
        </w:r>
        <w:r w:rsidR="00412C3C">
          <w:rPr>
            <w:noProof/>
            <w:webHidden/>
          </w:rPr>
          <w:t>34</w:t>
        </w:r>
        <w:r w:rsidR="00ED3C63">
          <w:rPr>
            <w:noProof/>
            <w:webHidden/>
          </w:rPr>
          <w:t>1</w:t>
        </w:r>
        <w:r w:rsidR="00163E2C">
          <w:rPr>
            <w:noProof/>
            <w:webHidden/>
          </w:rPr>
          <w:fldChar w:fldCharType="end"/>
        </w:r>
      </w:hyperlink>
    </w:p>
    <w:p w14:paraId="07D10C8A" w14:textId="35D43D1B"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699"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9</w:t>
        </w:r>
        <w:r w:rsidR="00163E2C" w:rsidRPr="00E8268C">
          <w:rPr>
            <w:rStyle w:val="Collegamentoipertestuale"/>
            <w:noProof/>
            <w14:scene3d>
              <w14:camera w14:prst="orthographicFront"/>
              <w14:lightRig w14:rig="threePt" w14:dir="t">
                <w14:rot w14:lat="0" w14:lon="0" w14:rev="0"/>
              </w14:lightRig>
            </w14:scene3d>
          </w:rPr>
          <w:t>.1</w:t>
        </w:r>
        <w:r w:rsidR="00163E2C">
          <w:rPr>
            <w:rFonts w:asciiTheme="minorHAnsi" w:hAnsiTheme="minorHAnsi" w:cstheme="minorBidi"/>
            <w:noProof/>
            <w:lang w:eastAsia="en-GB"/>
          </w:rPr>
          <w:tab/>
        </w:r>
        <w:r w:rsidR="00163E2C" w:rsidRPr="00E8268C">
          <w:rPr>
            <w:rStyle w:val="Collegamentoipertestuale"/>
            <w:noProof/>
          </w:rPr>
          <w:t xml:space="preserve">Mid-East </w:t>
        </w:r>
        <w:r w:rsidR="00263DD6">
          <w:rPr>
            <w:rStyle w:val="Collegamentoipertestuale"/>
            <w:noProof/>
          </w:rPr>
          <w:t xml:space="preserve">area </w:t>
        </w:r>
        <w:r w:rsidR="00163E2C" w:rsidRPr="00E8268C">
          <w:rPr>
            <w:rStyle w:val="Collegamentoipertestuale"/>
            <w:noProof/>
          </w:rPr>
          <w:t>larnakes morphological analysis</w:t>
        </w:r>
        <w:r w:rsidR="00163E2C">
          <w:rPr>
            <w:noProof/>
            <w:webHidden/>
          </w:rPr>
          <w:tab/>
        </w:r>
        <w:r w:rsidR="00163E2C">
          <w:rPr>
            <w:noProof/>
            <w:webHidden/>
          </w:rPr>
          <w:fldChar w:fldCharType="begin"/>
        </w:r>
        <w:r w:rsidR="00163E2C">
          <w:rPr>
            <w:noProof/>
            <w:webHidden/>
          </w:rPr>
          <w:instrText xml:space="preserve"> PAGEREF _Toc519894699 \h </w:instrText>
        </w:r>
        <w:r w:rsidR="00163E2C">
          <w:rPr>
            <w:noProof/>
            <w:webHidden/>
          </w:rPr>
        </w:r>
        <w:r w:rsidR="00163E2C">
          <w:rPr>
            <w:noProof/>
            <w:webHidden/>
          </w:rPr>
          <w:fldChar w:fldCharType="separate"/>
        </w:r>
        <w:r w:rsidR="00412C3C">
          <w:rPr>
            <w:noProof/>
            <w:webHidden/>
          </w:rPr>
          <w:t>34</w:t>
        </w:r>
        <w:r w:rsidR="00ED3C63">
          <w:rPr>
            <w:noProof/>
            <w:webHidden/>
          </w:rPr>
          <w:t>1</w:t>
        </w:r>
        <w:r w:rsidR="00163E2C">
          <w:rPr>
            <w:noProof/>
            <w:webHidden/>
          </w:rPr>
          <w:fldChar w:fldCharType="end"/>
        </w:r>
      </w:hyperlink>
    </w:p>
    <w:p w14:paraId="79DAB6B6" w14:textId="2A391099"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700"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9</w:t>
        </w:r>
        <w:r w:rsidR="00163E2C" w:rsidRPr="00E8268C">
          <w:rPr>
            <w:rStyle w:val="Collegamentoipertestuale"/>
            <w:noProof/>
            <w14:scene3d>
              <w14:camera w14:prst="orthographicFront"/>
              <w14:lightRig w14:rig="threePt" w14:dir="t">
                <w14:rot w14:lat="0" w14:lon="0" w14:rev="0"/>
              </w14:lightRig>
            </w14:scene3d>
          </w:rPr>
          <w:t>.2</w:t>
        </w:r>
        <w:r w:rsidR="00163E2C">
          <w:rPr>
            <w:rFonts w:asciiTheme="minorHAnsi" w:hAnsiTheme="minorHAnsi" w:cstheme="minorBidi"/>
            <w:noProof/>
            <w:lang w:eastAsia="en-GB"/>
          </w:rPr>
          <w:tab/>
        </w:r>
        <w:r w:rsidR="00163E2C" w:rsidRPr="00E8268C">
          <w:rPr>
            <w:rStyle w:val="Collegamentoipertestuale"/>
            <w:noProof/>
          </w:rPr>
          <w:t>Does a standard larnax exist for the Mid-East area? What are its characteristics?</w:t>
        </w:r>
        <w:r w:rsidR="00163E2C">
          <w:rPr>
            <w:noProof/>
            <w:webHidden/>
          </w:rPr>
          <w:tab/>
        </w:r>
        <w:r w:rsidR="00163E2C">
          <w:rPr>
            <w:noProof/>
            <w:webHidden/>
          </w:rPr>
          <w:fldChar w:fldCharType="begin"/>
        </w:r>
        <w:r w:rsidR="00163E2C">
          <w:rPr>
            <w:noProof/>
            <w:webHidden/>
          </w:rPr>
          <w:instrText xml:space="preserve"> PAGEREF _Toc519894700 \h </w:instrText>
        </w:r>
        <w:r w:rsidR="00163E2C">
          <w:rPr>
            <w:noProof/>
            <w:webHidden/>
          </w:rPr>
        </w:r>
        <w:r w:rsidR="00163E2C">
          <w:rPr>
            <w:noProof/>
            <w:webHidden/>
          </w:rPr>
          <w:fldChar w:fldCharType="separate"/>
        </w:r>
        <w:r w:rsidR="00412C3C">
          <w:rPr>
            <w:noProof/>
            <w:webHidden/>
          </w:rPr>
          <w:t>34</w:t>
        </w:r>
        <w:r w:rsidR="00ED3C63">
          <w:rPr>
            <w:noProof/>
            <w:webHidden/>
          </w:rPr>
          <w:t>2</w:t>
        </w:r>
        <w:r w:rsidR="00163E2C">
          <w:rPr>
            <w:noProof/>
            <w:webHidden/>
          </w:rPr>
          <w:fldChar w:fldCharType="end"/>
        </w:r>
      </w:hyperlink>
    </w:p>
    <w:p w14:paraId="56A0673E" w14:textId="6A3E849D"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701"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9</w:t>
        </w:r>
        <w:r w:rsidR="00163E2C" w:rsidRPr="00E8268C">
          <w:rPr>
            <w:rStyle w:val="Collegamentoipertestuale"/>
            <w:noProof/>
            <w14:scene3d>
              <w14:camera w14:prst="orthographicFront"/>
              <w14:lightRig w14:rig="threePt" w14:dir="t">
                <w14:rot w14:lat="0" w14:lon="0" w14:rev="0"/>
              </w14:lightRig>
            </w14:scene3d>
          </w:rPr>
          <w:t>.3</w:t>
        </w:r>
        <w:r w:rsidR="00163E2C">
          <w:rPr>
            <w:rFonts w:asciiTheme="minorHAnsi" w:hAnsiTheme="minorHAnsi" w:cstheme="minorBidi"/>
            <w:noProof/>
            <w:lang w:eastAsia="en-GB"/>
          </w:rPr>
          <w:tab/>
        </w:r>
        <w:r w:rsidR="00163E2C" w:rsidRPr="00E8268C">
          <w:rPr>
            <w:rStyle w:val="Collegamentoipertestuale"/>
            <w:noProof/>
          </w:rPr>
          <w:t>Analysis of the iconography of decorated larnakes in the Mid-East area</w:t>
        </w:r>
        <w:r w:rsidR="00163E2C">
          <w:rPr>
            <w:noProof/>
            <w:webHidden/>
          </w:rPr>
          <w:tab/>
        </w:r>
        <w:r w:rsidR="00163E2C">
          <w:rPr>
            <w:noProof/>
            <w:webHidden/>
          </w:rPr>
          <w:fldChar w:fldCharType="begin"/>
        </w:r>
        <w:r w:rsidR="00163E2C">
          <w:rPr>
            <w:noProof/>
            <w:webHidden/>
          </w:rPr>
          <w:instrText xml:space="preserve"> PAGEREF _Toc519894701 \h </w:instrText>
        </w:r>
        <w:r w:rsidR="00163E2C">
          <w:rPr>
            <w:noProof/>
            <w:webHidden/>
          </w:rPr>
        </w:r>
        <w:r w:rsidR="00163E2C">
          <w:rPr>
            <w:noProof/>
            <w:webHidden/>
          </w:rPr>
          <w:fldChar w:fldCharType="separate"/>
        </w:r>
        <w:r w:rsidR="00412C3C">
          <w:rPr>
            <w:noProof/>
            <w:webHidden/>
          </w:rPr>
          <w:t>34</w:t>
        </w:r>
        <w:r w:rsidR="00163E2C">
          <w:rPr>
            <w:noProof/>
            <w:webHidden/>
          </w:rPr>
          <w:fldChar w:fldCharType="end"/>
        </w:r>
      </w:hyperlink>
      <w:r w:rsidR="00370EAE">
        <w:rPr>
          <w:noProof/>
        </w:rPr>
        <w:t>3</w:t>
      </w:r>
    </w:p>
    <w:p w14:paraId="62A58A91" w14:textId="7B725C5D"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702"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9</w:t>
        </w:r>
        <w:r w:rsidR="00163E2C" w:rsidRPr="00E8268C">
          <w:rPr>
            <w:rStyle w:val="Collegamentoipertestuale"/>
            <w:noProof/>
            <w14:scene3d>
              <w14:camera w14:prst="orthographicFront"/>
              <w14:lightRig w14:rig="threePt" w14:dir="t">
                <w14:rot w14:lat="0" w14:lon="0" w14:rev="0"/>
              </w14:lightRig>
            </w14:scene3d>
          </w:rPr>
          <w:t>.4</w:t>
        </w:r>
        <w:r w:rsidR="00163E2C">
          <w:rPr>
            <w:rFonts w:asciiTheme="minorHAnsi" w:hAnsiTheme="minorHAnsi" w:cstheme="minorBidi"/>
            <w:noProof/>
            <w:lang w:eastAsia="en-GB"/>
          </w:rPr>
          <w:tab/>
        </w:r>
        <w:r w:rsidR="00163E2C" w:rsidRPr="00E8268C">
          <w:rPr>
            <w:rStyle w:val="Collegamentoipertestuale"/>
            <w:noProof/>
          </w:rPr>
          <w:t>Conclusions, Mid-Eas</w:t>
        </w:r>
        <w:r w:rsidR="00347D11">
          <w:rPr>
            <w:rStyle w:val="Collegamentoipertestuale"/>
            <w:noProof/>
          </w:rPr>
          <w:t>t</w:t>
        </w:r>
        <w:r w:rsidR="00B7412C">
          <w:rPr>
            <w:rStyle w:val="Collegamentoipertestuale"/>
            <w:noProof/>
          </w:rPr>
          <w:t xml:space="preserve"> area</w:t>
        </w:r>
        <w:r w:rsidR="00163E2C">
          <w:rPr>
            <w:noProof/>
            <w:webHidden/>
          </w:rPr>
          <w:tab/>
        </w:r>
        <w:r w:rsidR="00163E2C">
          <w:rPr>
            <w:noProof/>
            <w:webHidden/>
          </w:rPr>
          <w:fldChar w:fldCharType="begin"/>
        </w:r>
        <w:r w:rsidR="00163E2C">
          <w:rPr>
            <w:noProof/>
            <w:webHidden/>
          </w:rPr>
          <w:instrText xml:space="preserve"> PAGEREF _Toc519894702 \h </w:instrText>
        </w:r>
        <w:r w:rsidR="00163E2C">
          <w:rPr>
            <w:noProof/>
            <w:webHidden/>
          </w:rPr>
        </w:r>
        <w:r w:rsidR="00163E2C">
          <w:rPr>
            <w:noProof/>
            <w:webHidden/>
          </w:rPr>
          <w:fldChar w:fldCharType="separate"/>
        </w:r>
        <w:r w:rsidR="00412C3C">
          <w:rPr>
            <w:noProof/>
            <w:webHidden/>
          </w:rPr>
          <w:t>3</w:t>
        </w:r>
        <w:r w:rsidR="00370EAE">
          <w:rPr>
            <w:noProof/>
            <w:webHidden/>
          </w:rPr>
          <w:t>49</w:t>
        </w:r>
        <w:r w:rsidR="00163E2C">
          <w:rPr>
            <w:noProof/>
            <w:webHidden/>
          </w:rPr>
          <w:fldChar w:fldCharType="end"/>
        </w:r>
      </w:hyperlink>
    </w:p>
    <w:p w14:paraId="03C1BCBD" w14:textId="6D4E5A1D" w:rsidR="00163E2C" w:rsidRDefault="00940F6A" w:rsidP="00E858EF">
      <w:pPr>
        <w:pStyle w:val="Sommario2"/>
        <w:tabs>
          <w:tab w:val="right" w:leader="dot" w:pos="8488"/>
        </w:tabs>
        <w:suppressAutoHyphens/>
        <w:rPr>
          <w:rFonts w:asciiTheme="minorHAnsi" w:hAnsiTheme="minorHAnsi" w:cstheme="minorBidi"/>
          <w:noProof/>
          <w:lang w:eastAsia="en-GB"/>
        </w:rPr>
      </w:pPr>
      <w:hyperlink w:anchor="_Toc519894703" w:history="1">
        <w:r w:rsidR="00163E2C" w:rsidRPr="00E8268C">
          <w:rPr>
            <w:rStyle w:val="Collegamentoipertestuale"/>
            <w:noProof/>
          </w:rPr>
          <w:t>5.</w:t>
        </w:r>
        <w:r>
          <w:rPr>
            <w:rStyle w:val="Collegamentoipertestuale"/>
            <w:noProof/>
          </w:rPr>
          <w:t>10</w:t>
        </w:r>
        <w:r w:rsidR="00163E2C">
          <w:rPr>
            <w:rFonts w:asciiTheme="minorHAnsi" w:hAnsiTheme="minorHAnsi" w:cstheme="minorBidi"/>
            <w:noProof/>
            <w:lang w:eastAsia="en-GB"/>
          </w:rPr>
          <w:tab/>
        </w:r>
        <w:r w:rsidR="00163E2C" w:rsidRPr="00E8268C">
          <w:rPr>
            <w:rStyle w:val="Collegamentoipertestuale"/>
            <w:noProof/>
          </w:rPr>
          <w:t>Far-East</w:t>
        </w:r>
        <w:r w:rsidR="00263DD6">
          <w:rPr>
            <w:rStyle w:val="Collegamentoipertestuale"/>
            <w:noProof/>
          </w:rPr>
          <w:t xml:space="preserve"> area</w:t>
        </w:r>
        <w:r w:rsidR="00163E2C">
          <w:rPr>
            <w:noProof/>
            <w:webHidden/>
          </w:rPr>
          <w:tab/>
        </w:r>
        <w:r w:rsidR="00163E2C">
          <w:rPr>
            <w:noProof/>
            <w:webHidden/>
          </w:rPr>
          <w:fldChar w:fldCharType="begin"/>
        </w:r>
        <w:r w:rsidR="00163E2C">
          <w:rPr>
            <w:noProof/>
            <w:webHidden/>
          </w:rPr>
          <w:instrText xml:space="preserve"> PAGEREF _Toc519894703 \h </w:instrText>
        </w:r>
        <w:r w:rsidR="00163E2C">
          <w:rPr>
            <w:noProof/>
            <w:webHidden/>
          </w:rPr>
        </w:r>
        <w:r w:rsidR="00163E2C">
          <w:rPr>
            <w:noProof/>
            <w:webHidden/>
          </w:rPr>
          <w:fldChar w:fldCharType="separate"/>
        </w:r>
        <w:r w:rsidR="00412C3C">
          <w:rPr>
            <w:noProof/>
            <w:webHidden/>
          </w:rPr>
          <w:t>35</w:t>
        </w:r>
        <w:r w:rsidR="00370EAE">
          <w:rPr>
            <w:noProof/>
            <w:webHidden/>
          </w:rPr>
          <w:t>2</w:t>
        </w:r>
        <w:r w:rsidR="00163E2C">
          <w:rPr>
            <w:noProof/>
            <w:webHidden/>
          </w:rPr>
          <w:fldChar w:fldCharType="end"/>
        </w:r>
      </w:hyperlink>
    </w:p>
    <w:p w14:paraId="3A724CE4" w14:textId="71E3EDF6"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704"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10</w:t>
        </w:r>
        <w:r w:rsidR="00163E2C" w:rsidRPr="00E8268C">
          <w:rPr>
            <w:rStyle w:val="Collegamentoipertestuale"/>
            <w:noProof/>
            <w14:scene3d>
              <w14:camera w14:prst="orthographicFront"/>
              <w14:lightRig w14:rig="threePt" w14:dir="t">
                <w14:rot w14:lat="0" w14:lon="0" w14:rev="0"/>
              </w14:lightRig>
            </w14:scene3d>
          </w:rPr>
          <w:t>.1</w:t>
        </w:r>
        <w:r w:rsidR="00163E2C">
          <w:rPr>
            <w:rFonts w:asciiTheme="minorHAnsi" w:hAnsiTheme="minorHAnsi" w:cstheme="minorBidi"/>
            <w:noProof/>
            <w:lang w:eastAsia="en-GB"/>
          </w:rPr>
          <w:tab/>
        </w:r>
        <w:r w:rsidR="00163E2C" w:rsidRPr="00E8268C">
          <w:rPr>
            <w:rStyle w:val="Collegamentoipertestuale"/>
            <w:noProof/>
          </w:rPr>
          <w:t xml:space="preserve">Far-East </w:t>
        </w:r>
        <w:r w:rsidR="00263DD6">
          <w:rPr>
            <w:rStyle w:val="Collegamentoipertestuale"/>
            <w:noProof/>
          </w:rPr>
          <w:t xml:space="preserve">area </w:t>
        </w:r>
        <w:r w:rsidR="00163E2C" w:rsidRPr="00E8268C">
          <w:rPr>
            <w:rStyle w:val="Collegamentoipertestuale"/>
            <w:noProof/>
          </w:rPr>
          <w:t>larnakes morphological analysis</w:t>
        </w:r>
        <w:r w:rsidR="00163E2C">
          <w:rPr>
            <w:noProof/>
            <w:webHidden/>
          </w:rPr>
          <w:tab/>
        </w:r>
        <w:r w:rsidR="00163E2C">
          <w:rPr>
            <w:noProof/>
            <w:webHidden/>
          </w:rPr>
          <w:fldChar w:fldCharType="begin"/>
        </w:r>
        <w:r w:rsidR="00163E2C">
          <w:rPr>
            <w:noProof/>
            <w:webHidden/>
          </w:rPr>
          <w:instrText xml:space="preserve"> PAGEREF _Toc519894704 \h </w:instrText>
        </w:r>
        <w:r w:rsidR="00163E2C">
          <w:rPr>
            <w:noProof/>
            <w:webHidden/>
          </w:rPr>
        </w:r>
        <w:r w:rsidR="00163E2C">
          <w:rPr>
            <w:noProof/>
            <w:webHidden/>
          </w:rPr>
          <w:fldChar w:fldCharType="separate"/>
        </w:r>
        <w:r w:rsidR="00412C3C">
          <w:rPr>
            <w:noProof/>
            <w:webHidden/>
          </w:rPr>
          <w:t>35</w:t>
        </w:r>
        <w:r w:rsidR="00370EAE">
          <w:rPr>
            <w:noProof/>
            <w:webHidden/>
          </w:rPr>
          <w:t>2</w:t>
        </w:r>
        <w:r w:rsidR="00163E2C">
          <w:rPr>
            <w:noProof/>
            <w:webHidden/>
          </w:rPr>
          <w:fldChar w:fldCharType="end"/>
        </w:r>
      </w:hyperlink>
    </w:p>
    <w:p w14:paraId="4DFCA370" w14:textId="502CF811"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705"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10</w:t>
        </w:r>
        <w:r w:rsidR="00163E2C" w:rsidRPr="00E8268C">
          <w:rPr>
            <w:rStyle w:val="Collegamentoipertestuale"/>
            <w:noProof/>
            <w14:scene3d>
              <w14:camera w14:prst="orthographicFront"/>
              <w14:lightRig w14:rig="threePt" w14:dir="t">
                <w14:rot w14:lat="0" w14:lon="0" w14:rev="0"/>
              </w14:lightRig>
            </w14:scene3d>
          </w:rPr>
          <w:t>.2</w:t>
        </w:r>
        <w:r w:rsidR="00163E2C">
          <w:rPr>
            <w:rFonts w:asciiTheme="minorHAnsi" w:hAnsiTheme="minorHAnsi" w:cstheme="minorBidi"/>
            <w:noProof/>
            <w:lang w:eastAsia="en-GB"/>
          </w:rPr>
          <w:tab/>
        </w:r>
        <w:r w:rsidR="00163E2C" w:rsidRPr="00E8268C">
          <w:rPr>
            <w:rStyle w:val="Collegamentoipertestuale"/>
            <w:noProof/>
          </w:rPr>
          <w:t>Does a standard larnax exist for the Far-East area? What are its characteristics?</w:t>
        </w:r>
        <w:r w:rsidR="00163E2C">
          <w:rPr>
            <w:noProof/>
            <w:webHidden/>
          </w:rPr>
          <w:tab/>
        </w:r>
        <w:r w:rsidR="00163E2C">
          <w:rPr>
            <w:noProof/>
            <w:webHidden/>
          </w:rPr>
          <w:fldChar w:fldCharType="begin"/>
        </w:r>
        <w:r w:rsidR="00163E2C">
          <w:rPr>
            <w:noProof/>
            <w:webHidden/>
          </w:rPr>
          <w:instrText xml:space="preserve"> PAGEREF _Toc519894705 \h </w:instrText>
        </w:r>
        <w:r w:rsidR="00163E2C">
          <w:rPr>
            <w:noProof/>
            <w:webHidden/>
          </w:rPr>
        </w:r>
        <w:r w:rsidR="00163E2C">
          <w:rPr>
            <w:noProof/>
            <w:webHidden/>
          </w:rPr>
          <w:fldChar w:fldCharType="separate"/>
        </w:r>
        <w:r w:rsidR="00412C3C">
          <w:rPr>
            <w:noProof/>
            <w:webHidden/>
          </w:rPr>
          <w:t>35</w:t>
        </w:r>
        <w:r w:rsidR="00370EAE">
          <w:rPr>
            <w:noProof/>
            <w:webHidden/>
          </w:rPr>
          <w:t>3</w:t>
        </w:r>
        <w:r w:rsidR="00163E2C">
          <w:rPr>
            <w:noProof/>
            <w:webHidden/>
          </w:rPr>
          <w:fldChar w:fldCharType="end"/>
        </w:r>
      </w:hyperlink>
    </w:p>
    <w:p w14:paraId="7016ED01" w14:textId="68358E32"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706"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10</w:t>
        </w:r>
        <w:r w:rsidR="00163E2C" w:rsidRPr="00E8268C">
          <w:rPr>
            <w:rStyle w:val="Collegamentoipertestuale"/>
            <w:noProof/>
            <w14:scene3d>
              <w14:camera w14:prst="orthographicFront"/>
              <w14:lightRig w14:rig="threePt" w14:dir="t">
                <w14:rot w14:lat="0" w14:lon="0" w14:rev="0"/>
              </w14:lightRig>
            </w14:scene3d>
          </w:rPr>
          <w:t>.3</w:t>
        </w:r>
        <w:r w:rsidR="00163E2C">
          <w:rPr>
            <w:rFonts w:asciiTheme="minorHAnsi" w:hAnsiTheme="minorHAnsi" w:cstheme="minorBidi"/>
            <w:noProof/>
            <w:lang w:eastAsia="en-GB"/>
          </w:rPr>
          <w:tab/>
        </w:r>
        <w:r w:rsidR="00163E2C" w:rsidRPr="00E8268C">
          <w:rPr>
            <w:rStyle w:val="Collegamentoipertestuale"/>
            <w:noProof/>
          </w:rPr>
          <w:t>Analysis of the iconography of decorated larnakes in the Far-East area</w:t>
        </w:r>
        <w:r w:rsidR="00163E2C">
          <w:rPr>
            <w:noProof/>
            <w:webHidden/>
          </w:rPr>
          <w:tab/>
        </w:r>
        <w:r w:rsidR="00163E2C">
          <w:rPr>
            <w:noProof/>
            <w:webHidden/>
          </w:rPr>
          <w:fldChar w:fldCharType="begin"/>
        </w:r>
        <w:r w:rsidR="00163E2C">
          <w:rPr>
            <w:noProof/>
            <w:webHidden/>
          </w:rPr>
          <w:instrText xml:space="preserve"> PAGEREF _Toc519894706 \h </w:instrText>
        </w:r>
        <w:r w:rsidR="00163E2C">
          <w:rPr>
            <w:noProof/>
            <w:webHidden/>
          </w:rPr>
        </w:r>
        <w:r w:rsidR="00163E2C">
          <w:rPr>
            <w:noProof/>
            <w:webHidden/>
          </w:rPr>
          <w:fldChar w:fldCharType="separate"/>
        </w:r>
        <w:r w:rsidR="00412C3C">
          <w:rPr>
            <w:noProof/>
            <w:webHidden/>
          </w:rPr>
          <w:t>35</w:t>
        </w:r>
        <w:r w:rsidR="00370EAE">
          <w:rPr>
            <w:noProof/>
            <w:webHidden/>
          </w:rPr>
          <w:t>4</w:t>
        </w:r>
        <w:r w:rsidR="00163E2C">
          <w:rPr>
            <w:noProof/>
            <w:webHidden/>
          </w:rPr>
          <w:fldChar w:fldCharType="end"/>
        </w:r>
      </w:hyperlink>
    </w:p>
    <w:p w14:paraId="3A8F4017" w14:textId="4A42CA66" w:rsidR="00163E2C" w:rsidRDefault="00940F6A" w:rsidP="00E858EF">
      <w:pPr>
        <w:pStyle w:val="Sommario3"/>
        <w:tabs>
          <w:tab w:val="left" w:pos="1276"/>
          <w:tab w:val="right" w:leader="dot" w:pos="8488"/>
        </w:tabs>
        <w:suppressAutoHyphens/>
        <w:rPr>
          <w:rFonts w:asciiTheme="minorHAnsi" w:hAnsiTheme="minorHAnsi" w:cstheme="minorBidi"/>
          <w:noProof/>
          <w:lang w:eastAsia="en-GB"/>
        </w:rPr>
      </w:pPr>
      <w:hyperlink w:anchor="_Toc519894707" w:history="1">
        <w:r w:rsidR="00163E2C" w:rsidRPr="00E8268C">
          <w:rPr>
            <w:rStyle w:val="Collegamentoipertestuale"/>
            <w:noProof/>
            <w14:scene3d>
              <w14:camera w14:prst="orthographicFront"/>
              <w14:lightRig w14:rig="threePt" w14:dir="t">
                <w14:rot w14:lat="0" w14:lon="0" w14:rev="0"/>
              </w14:lightRig>
            </w14:scene3d>
          </w:rPr>
          <w:t>5.</w:t>
        </w:r>
        <w:r>
          <w:rPr>
            <w:rStyle w:val="Collegamentoipertestuale"/>
            <w:noProof/>
            <w14:scene3d>
              <w14:camera w14:prst="orthographicFront"/>
              <w14:lightRig w14:rig="threePt" w14:dir="t">
                <w14:rot w14:lat="0" w14:lon="0" w14:rev="0"/>
              </w14:lightRig>
            </w14:scene3d>
          </w:rPr>
          <w:t>10</w:t>
        </w:r>
        <w:r w:rsidR="00163E2C" w:rsidRPr="00E8268C">
          <w:rPr>
            <w:rStyle w:val="Collegamentoipertestuale"/>
            <w:noProof/>
            <w14:scene3d>
              <w14:camera w14:prst="orthographicFront"/>
              <w14:lightRig w14:rig="threePt" w14:dir="t">
                <w14:rot w14:lat="0" w14:lon="0" w14:rev="0"/>
              </w14:lightRig>
            </w14:scene3d>
          </w:rPr>
          <w:t>.4</w:t>
        </w:r>
        <w:r w:rsidR="00163E2C">
          <w:rPr>
            <w:rFonts w:asciiTheme="minorHAnsi" w:hAnsiTheme="minorHAnsi" w:cstheme="minorBidi"/>
            <w:noProof/>
            <w:lang w:eastAsia="en-GB"/>
          </w:rPr>
          <w:tab/>
        </w:r>
        <w:r w:rsidR="00163E2C" w:rsidRPr="00E8268C">
          <w:rPr>
            <w:rStyle w:val="Collegamentoipertestuale"/>
            <w:noProof/>
          </w:rPr>
          <w:t xml:space="preserve">Conclusions, Far-East </w:t>
        </w:r>
        <w:r w:rsidR="00A26920">
          <w:rPr>
            <w:rStyle w:val="Collegamentoipertestuale"/>
            <w:noProof/>
          </w:rPr>
          <w:t>area</w:t>
        </w:r>
        <w:r w:rsidR="00163E2C">
          <w:rPr>
            <w:noProof/>
            <w:webHidden/>
          </w:rPr>
          <w:tab/>
        </w:r>
        <w:r w:rsidR="00163E2C">
          <w:rPr>
            <w:noProof/>
            <w:webHidden/>
          </w:rPr>
          <w:fldChar w:fldCharType="begin"/>
        </w:r>
        <w:r w:rsidR="00163E2C">
          <w:rPr>
            <w:noProof/>
            <w:webHidden/>
          </w:rPr>
          <w:instrText xml:space="preserve"> PAGEREF _Toc519894707 \h </w:instrText>
        </w:r>
        <w:r w:rsidR="00163E2C">
          <w:rPr>
            <w:noProof/>
            <w:webHidden/>
          </w:rPr>
        </w:r>
        <w:r w:rsidR="00163E2C">
          <w:rPr>
            <w:noProof/>
            <w:webHidden/>
          </w:rPr>
          <w:fldChar w:fldCharType="separate"/>
        </w:r>
        <w:r w:rsidR="00412C3C">
          <w:rPr>
            <w:noProof/>
            <w:webHidden/>
          </w:rPr>
          <w:t>36</w:t>
        </w:r>
        <w:r w:rsidR="00370EAE">
          <w:rPr>
            <w:noProof/>
            <w:webHidden/>
          </w:rPr>
          <w:t>4</w:t>
        </w:r>
        <w:r w:rsidR="00163E2C">
          <w:rPr>
            <w:noProof/>
            <w:webHidden/>
          </w:rPr>
          <w:fldChar w:fldCharType="end"/>
        </w:r>
      </w:hyperlink>
    </w:p>
    <w:p w14:paraId="249A8E98" w14:textId="73E983AA" w:rsidR="00163E2C" w:rsidRDefault="00940F6A" w:rsidP="00E858EF">
      <w:pPr>
        <w:pStyle w:val="Sommario2"/>
        <w:tabs>
          <w:tab w:val="right" w:leader="dot" w:pos="8488"/>
        </w:tabs>
        <w:suppressAutoHyphens/>
        <w:rPr>
          <w:rFonts w:asciiTheme="minorHAnsi" w:hAnsiTheme="minorHAnsi" w:cstheme="minorBidi"/>
          <w:noProof/>
          <w:lang w:eastAsia="en-GB"/>
        </w:rPr>
      </w:pPr>
      <w:hyperlink w:anchor="_Toc519894708" w:history="1">
        <w:r w:rsidR="00163E2C" w:rsidRPr="00E8268C">
          <w:rPr>
            <w:rStyle w:val="Collegamentoipertestuale"/>
            <w:noProof/>
          </w:rPr>
          <w:t>5.</w:t>
        </w:r>
        <w:r>
          <w:rPr>
            <w:rStyle w:val="Collegamentoipertestuale"/>
            <w:noProof/>
          </w:rPr>
          <w:t>11</w:t>
        </w:r>
        <w:r w:rsidR="00163E2C">
          <w:rPr>
            <w:rFonts w:asciiTheme="minorHAnsi" w:hAnsiTheme="minorHAnsi" w:cstheme="minorBidi"/>
            <w:noProof/>
            <w:lang w:eastAsia="en-GB"/>
          </w:rPr>
          <w:tab/>
        </w:r>
        <w:r w:rsidR="00163E2C" w:rsidRPr="00E8268C">
          <w:rPr>
            <w:rStyle w:val="Collegamentoipertestuale"/>
            <w:noProof/>
          </w:rPr>
          <w:t>Regional trends and local variations in larnakes</w:t>
        </w:r>
        <w:r w:rsidR="00163E2C">
          <w:rPr>
            <w:noProof/>
            <w:webHidden/>
          </w:rPr>
          <w:tab/>
        </w:r>
        <w:r w:rsidR="00163E2C">
          <w:rPr>
            <w:noProof/>
            <w:webHidden/>
          </w:rPr>
          <w:fldChar w:fldCharType="begin"/>
        </w:r>
        <w:r w:rsidR="00163E2C">
          <w:rPr>
            <w:noProof/>
            <w:webHidden/>
          </w:rPr>
          <w:instrText xml:space="preserve"> PAGEREF _Toc519894708 \h </w:instrText>
        </w:r>
        <w:r w:rsidR="00163E2C">
          <w:rPr>
            <w:noProof/>
            <w:webHidden/>
          </w:rPr>
        </w:r>
        <w:r w:rsidR="00163E2C">
          <w:rPr>
            <w:noProof/>
            <w:webHidden/>
          </w:rPr>
          <w:fldChar w:fldCharType="separate"/>
        </w:r>
        <w:r w:rsidR="00412C3C">
          <w:rPr>
            <w:noProof/>
            <w:webHidden/>
          </w:rPr>
          <w:t>36</w:t>
        </w:r>
        <w:r w:rsidR="00370EAE">
          <w:rPr>
            <w:noProof/>
            <w:webHidden/>
          </w:rPr>
          <w:t>7</w:t>
        </w:r>
        <w:r w:rsidR="00163E2C">
          <w:rPr>
            <w:noProof/>
            <w:webHidden/>
          </w:rPr>
          <w:fldChar w:fldCharType="end"/>
        </w:r>
      </w:hyperlink>
    </w:p>
    <w:p w14:paraId="585D27B2" w14:textId="510897F2" w:rsidR="00163E2C" w:rsidRDefault="003058D3" w:rsidP="00E858EF">
      <w:pPr>
        <w:pStyle w:val="Sommario1"/>
        <w:tabs>
          <w:tab w:val="right" w:leader="dot" w:pos="8488"/>
        </w:tabs>
        <w:suppressAutoHyphens/>
        <w:rPr>
          <w:rFonts w:asciiTheme="minorHAnsi" w:hAnsiTheme="minorHAnsi" w:cstheme="minorBidi"/>
          <w:b w:val="0"/>
          <w:noProof/>
          <w:lang w:eastAsia="en-GB"/>
        </w:rPr>
      </w:pPr>
      <w:hyperlink w:anchor="_Toc519894709" w:history="1">
        <w:r w:rsidR="00163E2C" w:rsidRPr="00E8268C">
          <w:rPr>
            <w:rStyle w:val="Collegamentoipertestuale"/>
            <w:noProof/>
          </w:rPr>
          <w:t>6</w:t>
        </w:r>
        <w:r w:rsidR="00163E2C">
          <w:rPr>
            <w:rFonts w:asciiTheme="minorHAnsi" w:hAnsiTheme="minorHAnsi" w:cstheme="minorBidi"/>
            <w:b w:val="0"/>
            <w:noProof/>
            <w:lang w:eastAsia="en-GB"/>
          </w:rPr>
          <w:tab/>
        </w:r>
        <w:r w:rsidR="00163E2C" w:rsidRPr="00E8268C">
          <w:rPr>
            <w:rStyle w:val="Collegamentoipertestuale"/>
            <w:noProof/>
          </w:rPr>
          <w:t>DISCUSSION: USE OF TOMBS WITH LARNAKES</w:t>
        </w:r>
        <w:r w:rsidR="00163E2C">
          <w:rPr>
            <w:noProof/>
            <w:webHidden/>
          </w:rPr>
          <w:tab/>
        </w:r>
        <w:r w:rsidR="00163E2C">
          <w:rPr>
            <w:noProof/>
            <w:webHidden/>
          </w:rPr>
          <w:fldChar w:fldCharType="begin"/>
        </w:r>
        <w:r w:rsidR="00163E2C">
          <w:rPr>
            <w:noProof/>
            <w:webHidden/>
          </w:rPr>
          <w:instrText xml:space="preserve"> PAGEREF _Toc519894709 \h </w:instrText>
        </w:r>
        <w:r w:rsidR="00163E2C">
          <w:rPr>
            <w:noProof/>
            <w:webHidden/>
          </w:rPr>
        </w:r>
        <w:r w:rsidR="00163E2C">
          <w:rPr>
            <w:noProof/>
            <w:webHidden/>
          </w:rPr>
          <w:fldChar w:fldCharType="separate"/>
        </w:r>
        <w:r w:rsidR="00412C3C">
          <w:rPr>
            <w:noProof/>
            <w:webHidden/>
          </w:rPr>
          <w:t>37</w:t>
        </w:r>
        <w:r w:rsidR="00370EAE">
          <w:rPr>
            <w:noProof/>
            <w:webHidden/>
          </w:rPr>
          <w:t>6</w:t>
        </w:r>
        <w:r w:rsidR="00163E2C">
          <w:rPr>
            <w:noProof/>
            <w:webHidden/>
          </w:rPr>
          <w:fldChar w:fldCharType="end"/>
        </w:r>
      </w:hyperlink>
    </w:p>
    <w:p w14:paraId="08C8C6A3" w14:textId="655B035D"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710" w:history="1">
        <w:r w:rsidR="00163E2C" w:rsidRPr="00E8268C">
          <w:rPr>
            <w:rStyle w:val="Collegamentoipertestuale"/>
            <w:noProof/>
          </w:rPr>
          <w:t>6.1.</w:t>
        </w:r>
        <w:r w:rsidR="00163E2C">
          <w:rPr>
            <w:rFonts w:asciiTheme="minorHAnsi" w:hAnsiTheme="minorHAnsi" w:cstheme="minorBidi"/>
            <w:noProof/>
            <w:lang w:eastAsia="en-GB"/>
          </w:rPr>
          <w:tab/>
        </w:r>
        <w:r w:rsidR="00163E2C" w:rsidRPr="00E8268C">
          <w:rPr>
            <w:rStyle w:val="Collegamentoipertestuale"/>
            <w:noProof/>
          </w:rPr>
          <w:t>Introduction</w:t>
        </w:r>
        <w:r w:rsidR="00163E2C">
          <w:rPr>
            <w:noProof/>
            <w:webHidden/>
          </w:rPr>
          <w:tab/>
        </w:r>
        <w:r w:rsidR="00163E2C">
          <w:rPr>
            <w:noProof/>
            <w:webHidden/>
          </w:rPr>
          <w:fldChar w:fldCharType="begin"/>
        </w:r>
        <w:r w:rsidR="00163E2C">
          <w:rPr>
            <w:noProof/>
            <w:webHidden/>
          </w:rPr>
          <w:instrText xml:space="preserve"> PAGEREF _Toc519894710 \h </w:instrText>
        </w:r>
        <w:r w:rsidR="00163E2C">
          <w:rPr>
            <w:noProof/>
            <w:webHidden/>
          </w:rPr>
        </w:r>
        <w:r w:rsidR="00163E2C">
          <w:rPr>
            <w:noProof/>
            <w:webHidden/>
          </w:rPr>
          <w:fldChar w:fldCharType="separate"/>
        </w:r>
        <w:r w:rsidR="00412C3C">
          <w:rPr>
            <w:noProof/>
            <w:webHidden/>
          </w:rPr>
          <w:t>37</w:t>
        </w:r>
        <w:r w:rsidR="00370EAE">
          <w:rPr>
            <w:noProof/>
            <w:webHidden/>
          </w:rPr>
          <w:t>6</w:t>
        </w:r>
        <w:r w:rsidR="00163E2C">
          <w:rPr>
            <w:noProof/>
            <w:webHidden/>
          </w:rPr>
          <w:fldChar w:fldCharType="end"/>
        </w:r>
      </w:hyperlink>
    </w:p>
    <w:p w14:paraId="19790F11" w14:textId="71EBFA14"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711" w:history="1">
        <w:r w:rsidR="00163E2C" w:rsidRPr="00E8268C">
          <w:rPr>
            <w:rStyle w:val="Collegamentoipertestuale"/>
            <w:noProof/>
          </w:rPr>
          <w:t>6.2.</w:t>
        </w:r>
        <w:r w:rsidR="00163E2C">
          <w:rPr>
            <w:rFonts w:asciiTheme="minorHAnsi" w:hAnsiTheme="minorHAnsi" w:cstheme="minorBidi"/>
            <w:noProof/>
            <w:lang w:eastAsia="en-GB"/>
          </w:rPr>
          <w:tab/>
        </w:r>
        <w:r w:rsidR="00163E2C" w:rsidRPr="00E8268C">
          <w:rPr>
            <w:rStyle w:val="Collegamentoipertestuale"/>
            <w:noProof/>
          </w:rPr>
          <w:t>Far-West</w:t>
        </w:r>
        <w:r w:rsidR="00263DD6">
          <w:rPr>
            <w:rStyle w:val="Collegamentoipertestuale"/>
            <w:noProof/>
          </w:rPr>
          <w:t xml:space="preserve"> area</w:t>
        </w:r>
        <w:r w:rsidR="00163E2C">
          <w:rPr>
            <w:noProof/>
            <w:webHidden/>
          </w:rPr>
          <w:tab/>
        </w:r>
        <w:r w:rsidR="00163E2C">
          <w:rPr>
            <w:noProof/>
            <w:webHidden/>
          </w:rPr>
          <w:fldChar w:fldCharType="begin"/>
        </w:r>
        <w:r w:rsidR="00163E2C">
          <w:rPr>
            <w:noProof/>
            <w:webHidden/>
          </w:rPr>
          <w:instrText xml:space="preserve"> PAGEREF _Toc519894711 \h </w:instrText>
        </w:r>
        <w:r w:rsidR="00163E2C">
          <w:rPr>
            <w:noProof/>
            <w:webHidden/>
          </w:rPr>
        </w:r>
        <w:r w:rsidR="00163E2C">
          <w:rPr>
            <w:noProof/>
            <w:webHidden/>
          </w:rPr>
          <w:fldChar w:fldCharType="separate"/>
        </w:r>
        <w:r w:rsidR="00412C3C">
          <w:rPr>
            <w:noProof/>
            <w:webHidden/>
          </w:rPr>
          <w:t>37</w:t>
        </w:r>
        <w:r w:rsidR="00370EAE">
          <w:rPr>
            <w:noProof/>
            <w:webHidden/>
          </w:rPr>
          <w:t>7</w:t>
        </w:r>
        <w:r w:rsidR="00163E2C">
          <w:rPr>
            <w:noProof/>
            <w:webHidden/>
          </w:rPr>
          <w:fldChar w:fldCharType="end"/>
        </w:r>
      </w:hyperlink>
    </w:p>
    <w:p w14:paraId="5443CD53" w14:textId="7B746A72"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712" w:history="1">
        <w:r w:rsidR="00163E2C" w:rsidRPr="00E8268C">
          <w:rPr>
            <w:rStyle w:val="Collegamentoipertestuale"/>
            <w:noProof/>
          </w:rPr>
          <w:t>6.2.1.</w:t>
        </w:r>
        <w:r w:rsidR="00163E2C">
          <w:rPr>
            <w:rFonts w:asciiTheme="minorHAnsi" w:hAnsiTheme="minorHAnsi" w:cstheme="minorBidi"/>
            <w:noProof/>
            <w:lang w:eastAsia="en-GB"/>
          </w:rPr>
          <w:tab/>
        </w:r>
        <w:r w:rsidR="00163E2C" w:rsidRPr="00E8268C">
          <w:rPr>
            <w:rStyle w:val="Collegamentoipertestuale"/>
            <w:noProof/>
          </w:rPr>
          <w:t>Analysis</w:t>
        </w:r>
        <w:r w:rsidR="00163E2C">
          <w:rPr>
            <w:noProof/>
            <w:webHidden/>
          </w:rPr>
          <w:tab/>
        </w:r>
        <w:r w:rsidR="00163E2C">
          <w:rPr>
            <w:noProof/>
            <w:webHidden/>
          </w:rPr>
          <w:fldChar w:fldCharType="begin"/>
        </w:r>
        <w:r w:rsidR="00163E2C">
          <w:rPr>
            <w:noProof/>
            <w:webHidden/>
          </w:rPr>
          <w:instrText xml:space="preserve"> PAGEREF _Toc519894712 \h </w:instrText>
        </w:r>
        <w:r w:rsidR="00163E2C">
          <w:rPr>
            <w:noProof/>
            <w:webHidden/>
          </w:rPr>
        </w:r>
        <w:r w:rsidR="00163E2C">
          <w:rPr>
            <w:noProof/>
            <w:webHidden/>
          </w:rPr>
          <w:fldChar w:fldCharType="separate"/>
        </w:r>
        <w:r w:rsidR="00412C3C">
          <w:rPr>
            <w:noProof/>
            <w:webHidden/>
          </w:rPr>
          <w:t>37</w:t>
        </w:r>
        <w:r w:rsidR="00370EAE">
          <w:rPr>
            <w:noProof/>
            <w:webHidden/>
          </w:rPr>
          <w:t>7</w:t>
        </w:r>
        <w:r w:rsidR="00163E2C">
          <w:rPr>
            <w:noProof/>
            <w:webHidden/>
          </w:rPr>
          <w:fldChar w:fldCharType="end"/>
        </w:r>
      </w:hyperlink>
    </w:p>
    <w:p w14:paraId="4828D44D" w14:textId="6399F18E" w:rsidR="00163E2C" w:rsidRDefault="003058D3" w:rsidP="00E858EF">
      <w:pPr>
        <w:pStyle w:val="Sommario3"/>
        <w:tabs>
          <w:tab w:val="right" w:leader="dot" w:pos="8488"/>
        </w:tabs>
        <w:suppressAutoHyphens/>
        <w:rPr>
          <w:rFonts w:asciiTheme="minorHAnsi" w:hAnsiTheme="minorHAnsi" w:cstheme="minorBidi"/>
          <w:noProof/>
          <w:lang w:eastAsia="en-GB"/>
        </w:rPr>
      </w:pPr>
      <w:hyperlink w:anchor="_Toc519894713" w:history="1">
        <w:r w:rsidR="00163E2C" w:rsidRPr="00E8268C">
          <w:rPr>
            <w:rStyle w:val="Collegamentoipertestuale"/>
            <w:noProof/>
          </w:rPr>
          <w:t>6.2.2 Conclusions</w:t>
        </w:r>
        <w:r w:rsidR="00163E2C">
          <w:rPr>
            <w:noProof/>
            <w:webHidden/>
          </w:rPr>
          <w:tab/>
        </w:r>
        <w:r w:rsidR="00163E2C">
          <w:rPr>
            <w:noProof/>
            <w:webHidden/>
          </w:rPr>
          <w:fldChar w:fldCharType="begin"/>
        </w:r>
        <w:r w:rsidR="00163E2C">
          <w:rPr>
            <w:noProof/>
            <w:webHidden/>
          </w:rPr>
          <w:instrText xml:space="preserve"> PAGEREF _Toc519894713 \h </w:instrText>
        </w:r>
        <w:r w:rsidR="00163E2C">
          <w:rPr>
            <w:noProof/>
            <w:webHidden/>
          </w:rPr>
        </w:r>
        <w:r w:rsidR="00163E2C">
          <w:rPr>
            <w:noProof/>
            <w:webHidden/>
          </w:rPr>
          <w:fldChar w:fldCharType="separate"/>
        </w:r>
        <w:r w:rsidR="00412C3C">
          <w:rPr>
            <w:noProof/>
            <w:webHidden/>
          </w:rPr>
          <w:t>37</w:t>
        </w:r>
        <w:r w:rsidR="00163E2C">
          <w:rPr>
            <w:noProof/>
            <w:webHidden/>
          </w:rPr>
          <w:fldChar w:fldCharType="end"/>
        </w:r>
      </w:hyperlink>
      <w:r w:rsidR="00370EAE">
        <w:rPr>
          <w:noProof/>
        </w:rPr>
        <w:t>8</w:t>
      </w:r>
    </w:p>
    <w:p w14:paraId="61655E12" w14:textId="3217730E"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714" w:history="1">
        <w:r w:rsidR="00163E2C" w:rsidRPr="00E8268C">
          <w:rPr>
            <w:rStyle w:val="Collegamentoipertestuale"/>
            <w:noProof/>
          </w:rPr>
          <w:t>6.3.</w:t>
        </w:r>
        <w:r w:rsidR="00163E2C">
          <w:rPr>
            <w:rFonts w:asciiTheme="minorHAnsi" w:hAnsiTheme="minorHAnsi" w:cstheme="minorBidi"/>
            <w:noProof/>
            <w:lang w:eastAsia="en-GB"/>
          </w:rPr>
          <w:tab/>
        </w:r>
        <w:r w:rsidR="00163E2C" w:rsidRPr="00E8268C">
          <w:rPr>
            <w:rStyle w:val="Collegamentoipertestuale"/>
            <w:noProof/>
          </w:rPr>
          <w:t>Mid-West</w:t>
        </w:r>
        <w:r w:rsidR="00263DD6">
          <w:rPr>
            <w:rStyle w:val="Collegamentoipertestuale"/>
            <w:noProof/>
          </w:rPr>
          <w:t xml:space="preserve"> area</w:t>
        </w:r>
        <w:r w:rsidR="00163E2C">
          <w:rPr>
            <w:noProof/>
            <w:webHidden/>
          </w:rPr>
          <w:tab/>
        </w:r>
        <w:r w:rsidR="00163E2C">
          <w:rPr>
            <w:noProof/>
            <w:webHidden/>
          </w:rPr>
          <w:fldChar w:fldCharType="begin"/>
        </w:r>
        <w:r w:rsidR="00163E2C">
          <w:rPr>
            <w:noProof/>
            <w:webHidden/>
          </w:rPr>
          <w:instrText xml:space="preserve"> PAGEREF _Toc519894714 \h </w:instrText>
        </w:r>
        <w:r w:rsidR="00163E2C">
          <w:rPr>
            <w:noProof/>
            <w:webHidden/>
          </w:rPr>
        </w:r>
        <w:r w:rsidR="00163E2C">
          <w:rPr>
            <w:noProof/>
            <w:webHidden/>
          </w:rPr>
          <w:fldChar w:fldCharType="separate"/>
        </w:r>
        <w:r w:rsidR="00412C3C">
          <w:rPr>
            <w:noProof/>
            <w:webHidden/>
          </w:rPr>
          <w:t>3</w:t>
        </w:r>
        <w:r w:rsidR="00370EAE">
          <w:rPr>
            <w:noProof/>
            <w:webHidden/>
          </w:rPr>
          <w:t>79</w:t>
        </w:r>
        <w:r w:rsidR="00163E2C">
          <w:rPr>
            <w:noProof/>
            <w:webHidden/>
          </w:rPr>
          <w:fldChar w:fldCharType="end"/>
        </w:r>
      </w:hyperlink>
    </w:p>
    <w:p w14:paraId="08D6B90D" w14:textId="15FD8BC0"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715" w:history="1">
        <w:r w:rsidR="00163E2C" w:rsidRPr="00E8268C">
          <w:rPr>
            <w:rStyle w:val="Collegamentoipertestuale"/>
            <w:noProof/>
          </w:rPr>
          <w:t>6.3.1.</w:t>
        </w:r>
        <w:r w:rsidR="00163E2C">
          <w:rPr>
            <w:rFonts w:asciiTheme="minorHAnsi" w:hAnsiTheme="minorHAnsi" w:cstheme="minorBidi"/>
            <w:noProof/>
            <w:lang w:eastAsia="en-GB"/>
          </w:rPr>
          <w:tab/>
        </w:r>
        <w:r w:rsidR="00163E2C" w:rsidRPr="00E8268C">
          <w:rPr>
            <w:rStyle w:val="Collegamentoipertestuale"/>
            <w:noProof/>
          </w:rPr>
          <w:t>Analysis</w:t>
        </w:r>
        <w:r w:rsidR="00163E2C">
          <w:rPr>
            <w:noProof/>
            <w:webHidden/>
          </w:rPr>
          <w:tab/>
        </w:r>
        <w:r w:rsidR="00163E2C">
          <w:rPr>
            <w:noProof/>
            <w:webHidden/>
          </w:rPr>
          <w:fldChar w:fldCharType="begin"/>
        </w:r>
        <w:r w:rsidR="00163E2C">
          <w:rPr>
            <w:noProof/>
            <w:webHidden/>
          </w:rPr>
          <w:instrText xml:space="preserve"> PAGEREF _Toc519894715 \h </w:instrText>
        </w:r>
        <w:r w:rsidR="00163E2C">
          <w:rPr>
            <w:noProof/>
            <w:webHidden/>
          </w:rPr>
        </w:r>
        <w:r w:rsidR="00163E2C">
          <w:rPr>
            <w:noProof/>
            <w:webHidden/>
          </w:rPr>
          <w:fldChar w:fldCharType="separate"/>
        </w:r>
        <w:r w:rsidR="00412C3C">
          <w:rPr>
            <w:noProof/>
            <w:webHidden/>
          </w:rPr>
          <w:t>3</w:t>
        </w:r>
        <w:r w:rsidR="00370EAE">
          <w:rPr>
            <w:noProof/>
            <w:webHidden/>
          </w:rPr>
          <w:t>79</w:t>
        </w:r>
        <w:r w:rsidR="00163E2C">
          <w:rPr>
            <w:noProof/>
            <w:webHidden/>
          </w:rPr>
          <w:fldChar w:fldCharType="end"/>
        </w:r>
      </w:hyperlink>
    </w:p>
    <w:p w14:paraId="3085D967" w14:textId="4BFE2186"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716" w:history="1">
        <w:r w:rsidR="00163E2C" w:rsidRPr="00E8268C">
          <w:rPr>
            <w:rStyle w:val="Collegamentoipertestuale"/>
            <w:noProof/>
          </w:rPr>
          <w:t>6.3.2.</w:t>
        </w:r>
        <w:r w:rsidR="00163E2C">
          <w:rPr>
            <w:rFonts w:asciiTheme="minorHAnsi" w:hAnsiTheme="minorHAnsi" w:cstheme="minorBidi"/>
            <w:noProof/>
            <w:lang w:eastAsia="en-GB"/>
          </w:rPr>
          <w:tab/>
        </w:r>
        <w:r w:rsidR="00163E2C" w:rsidRPr="00E8268C">
          <w:rPr>
            <w:rStyle w:val="Collegamentoipertestuale"/>
            <w:noProof/>
          </w:rPr>
          <w:t>Conclusions</w:t>
        </w:r>
        <w:r w:rsidR="00163E2C">
          <w:rPr>
            <w:noProof/>
            <w:webHidden/>
          </w:rPr>
          <w:tab/>
        </w:r>
        <w:r w:rsidR="00163E2C">
          <w:rPr>
            <w:noProof/>
            <w:webHidden/>
          </w:rPr>
          <w:fldChar w:fldCharType="begin"/>
        </w:r>
        <w:r w:rsidR="00163E2C">
          <w:rPr>
            <w:noProof/>
            <w:webHidden/>
          </w:rPr>
          <w:instrText xml:space="preserve"> PAGEREF _Toc519894716 \h </w:instrText>
        </w:r>
        <w:r w:rsidR="00163E2C">
          <w:rPr>
            <w:noProof/>
            <w:webHidden/>
          </w:rPr>
        </w:r>
        <w:r w:rsidR="00163E2C">
          <w:rPr>
            <w:noProof/>
            <w:webHidden/>
          </w:rPr>
          <w:fldChar w:fldCharType="separate"/>
        </w:r>
        <w:r w:rsidR="00412C3C">
          <w:rPr>
            <w:noProof/>
            <w:webHidden/>
          </w:rPr>
          <w:t>3</w:t>
        </w:r>
        <w:r w:rsidR="00370EAE">
          <w:rPr>
            <w:noProof/>
            <w:webHidden/>
          </w:rPr>
          <w:t>84</w:t>
        </w:r>
        <w:r w:rsidR="00163E2C">
          <w:rPr>
            <w:noProof/>
            <w:webHidden/>
          </w:rPr>
          <w:fldChar w:fldCharType="end"/>
        </w:r>
      </w:hyperlink>
    </w:p>
    <w:p w14:paraId="19F2084E" w14:textId="418C7C46"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717" w:history="1">
        <w:r w:rsidR="00163E2C" w:rsidRPr="00E8268C">
          <w:rPr>
            <w:rStyle w:val="Collegamentoipertestuale"/>
            <w:noProof/>
          </w:rPr>
          <w:t>6.4.</w:t>
        </w:r>
        <w:r w:rsidR="00163E2C">
          <w:rPr>
            <w:rFonts w:asciiTheme="minorHAnsi" w:hAnsiTheme="minorHAnsi" w:cstheme="minorBidi"/>
            <w:noProof/>
            <w:lang w:eastAsia="en-GB"/>
          </w:rPr>
          <w:tab/>
        </w:r>
        <w:r w:rsidR="00163E2C" w:rsidRPr="00E8268C">
          <w:rPr>
            <w:rStyle w:val="Collegamentoipertestuale"/>
            <w:noProof/>
          </w:rPr>
          <w:t>Mesara</w:t>
        </w:r>
        <w:r w:rsidR="00263DD6">
          <w:rPr>
            <w:rStyle w:val="Collegamentoipertestuale"/>
            <w:noProof/>
          </w:rPr>
          <w:t xml:space="preserve"> area</w:t>
        </w:r>
        <w:r w:rsidR="00163E2C">
          <w:rPr>
            <w:noProof/>
            <w:webHidden/>
          </w:rPr>
          <w:tab/>
        </w:r>
        <w:r w:rsidR="00163E2C">
          <w:rPr>
            <w:noProof/>
            <w:webHidden/>
          </w:rPr>
          <w:fldChar w:fldCharType="begin"/>
        </w:r>
        <w:r w:rsidR="00163E2C">
          <w:rPr>
            <w:noProof/>
            <w:webHidden/>
          </w:rPr>
          <w:instrText xml:space="preserve"> PAGEREF _Toc519894717 \h </w:instrText>
        </w:r>
        <w:r w:rsidR="00163E2C">
          <w:rPr>
            <w:noProof/>
            <w:webHidden/>
          </w:rPr>
        </w:r>
        <w:r w:rsidR="00163E2C">
          <w:rPr>
            <w:noProof/>
            <w:webHidden/>
          </w:rPr>
          <w:fldChar w:fldCharType="separate"/>
        </w:r>
        <w:r w:rsidR="00412C3C">
          <w:rPr>
            <w:noProof/>
            <w:webHidden/>
          </w:rPr>
          <w:t>38</w:t>
        </w:r>
        <w:r w:rsidR="00370EAE">
          <w:rPr>
            <w:noProof/>
            <w:webHidden/>
          </w:rPr>
          <w:t>5</w:t>
        </w:r>
        <w:r w:rsidR="00163E2C">
          <w:rPr>
            <w:noProof/>
            <w:webHidden/>
          </w:rPr>
          <w:fldChar w:fldCharType="end"/>
        </w:r>
      </w:hyperlink>
    </w:p>
    <w:p w14:paraId="7535618A" w14:textId="1ACE3154"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718" w:history="1">
        <w:r w:rsidR="00163E2C" w:rsidRPr="00E8268C">
          <w:rPr>
            <w:rStyle w:val="Collegamentoipertestuale"/>
            <w:noProof/>
          </w:rPr>
          <w:t>6.4.1.</w:t>
        </w:r>
        <w:r w:rsidR="00163E2C">
          <w:rPr>
            <w:rFonts w:asciiTheme="minorHAnsi" w:hAnsiTheme="minorHAnsi" w:cstheme="minorBidi"/>
            <w:noProof/>
            <w:lang w:eastAsia="en-GB"/>
          </w:rPr>
          <w:tab/>
        </w:r>
        <w:r w:rsidR="00163E2C" w:rsidRPr="00E8268C">
          <w:rPr>
            <w:rStyle w:val="Collegamentoipertestuale"/>
            <w:noProof/>
          </w:rPr>
          <w:t>Analysis</w:t>
        </w:r>
        <w:r w:rsidR="00163E2C">
          <w:rPr>
            <w:noProof/>
            <w:webHidden/>
          </w:rPr>
          <w:tab/>
        </w:r>
        <w:r w:rsidR="00163E2C">
          <w:rPr>
            <w:noProof/>
            <w:webHidden/>
          </w:rPr>
          <w:fldChar w:fldCharType="begin"/>
        </w:r>
        <w:r w:rsidR="00163E2C">
          <w:rPr>
            <w:noProof/>
            <w:webHidden/>
          </w:rPr>
          <w:instrText xml:space="preserve"> PAGEREF _Toc519894718 \h </w:instrText>
        </w:r>
        <w:r w:rsidR="00163E2C">
          <w:rPr>
            <w:noProof/>
            <w:webHidden/>
          </w:rPr>
        </w:r>
        <w:r w:rsidR="00163E2C">
          <w:rPr>
            <w:noProof/>
            <w:webHidden/>
          </w:rPr>
          <w:fldChar w:fldCharType="separate"/>
        </w:r>
        <w:r w:rsidR="00412C3C">
          <w:rPr>
            <w:noProof/>
            <w:webHidden/>
          </w:rPr>
          <w:t>38</w:t>
        </w:r>
        <w:r w:rsidR="00370EAE">
          <w:rPr>
            <w:noProof/>
            <w:webHidden/>
          </w:rPr>
          <w:t>6</w:t>
        </w:r>
        <w:r w:rsidR="00163E2C">
          <w:rPr>
            <w:noProof/>
            <w:webHidden/>
          </w:rPr>
          <w:fldChar w:fldCharType="end"/>
        </w:r>
      </w:hyperlink>
    </w:p>
    <w:p w14:paraId="1BEBD6BB" w14:textId="0CB97860"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719" w:history="1">
        <w:r w:rsidR="00163E2C" w:rsidRPr="00E8268C">
          <w:rPr>
            <w:rStyle w:val="Collegamentoipertestuale"/>
            <w:noProof/>
          </w:rPr>
          <w:t>6.4.2.</w:t>
        </w:r>
        <w:r w:rsidR="00163E2C">
          <w:rPr>
            <w:rFonts w:asciiTheme="minorHAnsi" w:hAnsiTheme="minorHAnsi" w:cstheme="minorBidi"/>
            <w:noProof/>
            <w:lang w:eastAsia="en-GB"/>
          </w:rPr>
          <w:tab/>
        </w:r>
        <w:r w:rsidR="00163E2C" w:rsidRPr="00E8268C">
          <w:rPr>
            <w:rStyle w:val="Collegamentoipertestuale"/>
            <w:noProof/>
          </w:rPr>
          <w:t>Conclusions</w:t>
        </w:r>
        <w:r w:rsidR="00163E2C">
          <w:rPr>
            <w:noProof/>
            <w:webHidden/>
          </w:rPr>
          <w:tab/>
        </w:r>
        <w:r w:rsidR="00163E2C">
          <w:rPr>
            <w:noProof/>
            <w:webHidden/>
          </w:rPr>
          <w:fldChar w:fldCharType="begin"/>
        </w:r>
        <w:r w:rsidR="00163E2C">
          <w:rPr>
            <w:noProof/>
            <w:webHidden/>
          </w:rPr>
          <w:instrText xml:space="preserve"> PAGEREF _Toc519894719 \h </w:instrText>
        </w:r>
        <w:r w:rsidR="00163E2C">
          <w:rPr>
            <w:noProof/>
            <w:webHidden/>
          </w:rPr>
        </w:r>
        <w:r w:rsidR="00163E2C">
          <w:rPr>
            <w:noProof/>
            <w:webHidden/>
          </w:rPr>
          <w:fldChar w:fldCharType="separate"/>
        </w:r>
        <w:r w:rsidR="00412C3C">
          <w:rPr>
            <w:noProof/>
            <w:webHidden/>
          </w:rPr>
          <w:t>39</w:t>
        </w:r>
        <w:r w:rsidR="00370EAE">
          <w:rPr>
            <w:noProof/>
            <w:webHidden/>
          </w:rPr>
          <w:t>0</w:t>
        </w:r>
        <w:r w:rsidR="00163E2C">
          <w:rPr>
            <w:noProof/>
            <w:webHidden/>
          </w:rPr>
          <w:fldChar w:fldCharType="end"/>
        </w:r>
      </w:hyperlink>
    </w:p>
    <w:p w14:paraId="4199977B" w14:textId="6D18FC9B"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720" w:history="1">
        <w:r w:rsidR="00163E2C" w:rsidRPr="00E8268C">
          <w:rPr>
            <w:rStyle w:val="Collegamentoipertestuale"/>
            <w:noProof/>
          </w:rPr>
          <w:t>6.5.</w:t>
        </w:r>
        <w:r w:rsidR="00163E2C">
          <w:rPr>
            <w:rFonts w:asciiTheme="minorHAnsi" w:hAnsiTheme="minorHAnsi" w:cstheme="minorBidi"/>
            <w:noProof/>
            <w:lang w:eastAsia="en-GB"/>
          </w:rPr>
          <w:tab/>
        </w:r>
        <w:r w:rsidR="00163E2C" w:rsidRPr="00E8268C">
          <w:rPr>
            <w:rStyle w:val="Collegamentoipertestuale"/>
            <w:noProof/>
          </w:rPr>
          <w:t>Knossos</w:t>
        </w:r>
        <w:r w:rsidR="00263DD6">
          <w:rPr>
            <w:rStyle w:val="Collegamentoipertestuale"/>
            <w:noProof/>
          </w:rPr>
          <w:t xml:space="preserve"> area</w:t>
        </w:r>
        <w:r w:rsidR="00163E2C">
          <w:rPr>
            <w:noProof/>
            <w:webHidden/>
          </w:rPr>
          <w:tab/>
        </w:r>
        <w:r w:rsidR="00163E2C">
          <w:rPr>
            <w:noProof/>
            <w:webHidden/>
          </w:rPr>
          <w:fldChar w:fldCharType="begin"/>
        </w:r>
        <w:r w:rsidR="00163E2C">
          <w:rPr>
            <w:noProof/>
            <w:webHidden/>
          </w:rPr>
          <w:instrText xml:space="preserve"> PAGEREF _Toc519894720 \h </w:instrText>
        </w:r>
        <w:r w:rsidR="00163E2C">
          <w:rPr>
            <w:noProof/>
            <w:webHidden/>
          </w:rPr>
        </w:r>
        <w:r w:rsidR="00163E2C">
          <w:rPr>
            <w:noProof/>
            <w:webHidden/>
          </w:rPr>
          <w:fldChar w:fldCharType="separate"/>
        </w:r>
        <w:r w:rsidR="00412C3C">
          <w:rPr>
            <w:noProof/>
            <w:webHidden/>
          </w:rPr>
          <w:t>39</w:t>
        </w:r>
        <w:r w:rsidR="00370EAE">
          <w:rPr>
            <w:noProof/>
            <w:webHidden/>
          </w:rPr>
          <w:t>1</w:t>
        </w:r>
        <w:r w:rsidR="00163E2C">
          <w:rPr>
            <w:noProof/>
            <w:webHidden/>
          </w:rPr>
          <w:fldChar w:fldCharType="end"/>
        </w:r>
      </w:hyperlink>
    </w:p>
    <w:p w14:paraId="3C551177" w14:textId="73EEBF99"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721" w:history="1">
        <w:r w:rsidR="00163E2C" w:rsidRPr="00E8268C">
          <w:rPr>
            <w:rStyle w:val="Collegamentoipertestuale"/>
            <w:noProof/>
          </w:rPr>
          <w:t>6.5.1.</w:t>
        </w:r>
        <w:r w:rsidR="00163E2C">
          <w:rPr>
            <w:rFonts w:asciiTheme="minorHAnsi" w:hAnsiTheme="minorHAnsi" w:cstheme="minorBidi"/>
            <w:noProof/>
            <w:lang w:eastAsia="en-GB"/>
          </w:rPr>
          <w:tab/>
        </w:r>
        <w:r w:rsidR="00163E2C" w:rsidRPr="00E8268C">
          <w:rPr>
            <w:rStyle w:val="Collegamentoipertestuale"/>
            <w:noProof/>
          </w:rPr>
          <w:t>Analysis</w:t>
        </w:r>
        <w:r w:rsidR="00163E2C">
          <w:rPr>
            <w:noProof/>
            <w:webHidden/>
          </w:rPr>
          <w:tab/>
        </w:r>
        <w:r w:rsidR="00163E2C">
          <w:rPr>
            <w:noProof/>
            <w:webHidden/>
          </w:rPr>
          <w:fldChar w:fldCharType="begin"/>
        </w:r>
        <w:r w:rsidR="00163E2C">
          <w:rPr>
            <w:noProof/>
            <w:webHidden/>
          </w:rPr>
          <w:instrText xml:space="preserve"> PAGEREF _Toc519894721 \h </w:instrText>
        </w:r>
        <w:r w:rsidR="00163E2C">
          <w:rPr>
            <w:noProof/>
            <w:webHidden/>
          </w:rPr>
        </w:r>
        <w:r w:rsidR="00163E2C">
          <w:rPr>
            <w:noProof/>
            <w:webHidden/>
          </w:rPr>
          <w:fldChar w:fldCharType="separate"/>
        </w:r>
        <w:r w:rsidR="00412C3C">
          <w:rPr>
            <w:noProof/>
            <w:webHidden/>
          </w:rPr>
          <w:t>39</w:t>
        </w:r>
        <w:r w:rsidR="00370EAE">
          <w:rPr>
            <w:noProof/>
            <w:webHidden/>
          </w:rPr>
          <w:t>1</w:t>
        </w:r>
        <w:r w:rsidR="00163E2C">
          <w:rPr>
            <w:noProof/>
            <w:webHidden/>
          </w:rPr>
          <w:fldChar w:fldCharType="end"/>
        </w:r>
      </w:hyperlink>
    </w:p>
    <w:p w14:paraId="268BDC85" w14:textId="12E36E8D"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722" w:history="1">
        <w:r w:rsidR="00163E2C" w:rsidRPr="00E8268C">
          <w:rPr>
            <w:rStyle w:val="Collegamentoipertestuale"/>
            <w:noProof/>
          </w:rPr>
          <w:t>6.5.2.</w:t>
        </w:r>
        <w:r w:rsidR="00163E2C">
          <w:rPr>
            <w:rFonts w:asciiTheme="minorHAnsi" w:hAnsiTheme="minorHAnsi" w:cstheme="minorBidi"/>
            <w:noProof/>
            <w:lang w:eastAsia="en-GB"/>
          </w:rPr>
          <w:tab/>
        </w:r>
        <w:r w:rsidR="00163E2C" w:rsidRPr="00E8268C">
          <w:rPr>
            <w:rStyle w:val="Collegamentoipertestuale"/>
            <w:noProof/>
          </w:rPr>
          <w:t>Conclusions</w:t>
        </w:r>
        <w:r w:rsidR="00163E2C">
          <w:rPr>
            <w:noProof/>
            <w:webHidden/>
          </w:rPr>
          <w:tab/>
        </w:r>
        <w:r w:rsidR="00163E2C">
          <w:rPr>
            <w:noProof/>
            <w:webHidden/>
          </w:rPr>
          <w:fldChar w:fldCharType="begin"/>
        </w:r>
        <w:r w:rsidR="00163E2C">
          <w:rPr>
            <w:noProof/>
            <w:webHidden/>
          </w:rPr>
          <w:instrText xml:space="preserve"> PAGEREF _Toc519894722 \h </w:instrText>
        </w:r>
        <w:r w:rsidR="00163E2C">
          <w:rPr>
            <w:noProof/>
            <w:webHidden/>
          </w:rPr>
        </w:r>
        <w:r w:rsidR="00163E2C">
          <w:rPr>
            <w:noProof/>
            <w:webHidden/>
          </w:rPr>
          <w:fldChar w:fldCharType="separate"/>
        </w:r>
        <w:r w:rsidR="00412C3C">
          <w:rPr>
            <w:noProof/>
            <w:webHidden/>
          </w:rPr>
          <w:t>39</w:t>
        </w:r>
        <w:r w:rsidR="00370EAE">
          <w:rPr>
            <w:noProof/>
            <w:webHidden/>
          </w:rPr>
          <w:t>5</w:t>
        </w:r>
        <w:r w:rsidR="00163E2C">
          <w:rPr>
            <w:noProof/>
            <w:webHidden/>
          </w:rPr>
          <w:fldChar w:fldCharType="end"/>
        </w:r>
      </w:hyperlink>
    </w:p>
    <w:p w14:paraId="5E97AF6F" w14:textId="0622A161"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723" w:history="1">
        <w:r w:rsidR="00163E2C" w:rsidRPr="00E8268C">
          <w:rPr>
            <w:rStyle w:val="Collegamentoipertestuale"/>
            <w:noProof/>
          </w:rPr>
          <w:t>6.6.</w:t>
        </w:r>
        <w:r w:rsidR="00163E2C">
          <w:rPr>
            <w:rFonts w:asciiTheme="minorHAnsi" w:hAnsiTheme="minorHAnsi" w:cstheme="minorBidi"/>
            <w:noProof/>
            <w:lang w:eastAsia="en-GB"/>
          </w:rPr>
          <w:tab/>
        </w:r>
        <w:r w:rsidR="00163E2C" w:rsidRPr="00E8268C">
          <w:rPr>
            <w:rStyle w:val="Collegamentoipertestuale"/>
            <w:noProof/>
          </w:rPr>
          <w:t>Centr</w:t>
        </w:r>
        <w:r w:rsidR="00263DD6">
          <w:rPr>
            <w:rStyle w:val="Collegamentoipertestuale"/>
            <w:noProof/>
          </w:rPr>
          <w:t>al area</w:t>
        </w:r>
        <w:r w:rsidR="00163E2C">
          <w:rPr>
            <w:noProof/>
            <w:webHidden/>
          </w:rPr>
          <w:tab/>
        </w:r>
        <w:r w:rsidR="00163E2C">
          <w:rPr>
            <w:noProof/>
            <w:webHidden/>
          </w:rPr>
          <w:fldChar w:fldCharType="begin"/>
        </w:r>
        <w:r w:rsidR="00163E2C">
          <w:rPr>
            <w:noProof/>
            <w:webHidden/>
          </w:rPr>
          <w:instrText xml:space="preserve"> PAGEREF _Toc519894723 \h </w:instrText>
        </w:r>
        <w:r w:rsidR="00163E2C">
          <w:rPr>
            <w:noProof/>
            <w:webHidden/>
          </w:rPr>
        </w:r>
        <w:r w:rsidR="00163E2C">
          <w:rPr>
            <w:noProof/>
            <w:webHidden/>
          </w:rPr>
          <w:fldChar w:fldCharType="separate"/>
        </w:r>
        <w:r w:rsidR="00412C3C">
          <w:rPr>
            <w:noProof/>
            <w:webHidden/>
          </w:rPr>
          <w:t>39</w:t>
        </w:r>
        <w:r w:rsidR="00370EAE">
          <w:rPr>
            <w:noProof/>
            <w:webHidden/>
          </w:rPr>
          <w:t>6</w:t>
        </w:r>
        <w:r w:rsidR="00163E2C">
          <w:rPr>
            <w:noProof/>
            <w:webHidden/>
          </w:rPr>
          <w:fldChar w:fldCharType="end"/>
        </w:r>
      </w:hyperlink>
    </w:p>
    <w:p w14:paraId="7C321C59" w14:textId="7E30C81A"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724" w:history="1">
        <w:r w:rsidR="00163E2C" w:rsidRPr="00E8268C">
          <w:rPr>
            <w:rStyle w:val="Collegamentoipertestuale"/>
            <w:noProof/>
          </w:rPr>
          <w:t>6.6.1.</w:t>
        </w:r>
        <w:r w:rsidR="00163E2C">
          <w:rPr>
            <w:rFonts w:asciiTheme="minorHAnsi" w:hAnsiTheme="minorHAnsi" w:cstheme="minorBidi"/>
            <w:noProof/>
            <w:lang w:eastAsia="en-GB"/>
          </w:rPr>
          <w:tab/>
        </w:r>
        <w:r w:rsidR="00163E2C" w:rsidRPr="00E8268C">
          <w:rPr>
            <w:rStyle w:val="Collegamentoipertestuale"/>
            <w:noProof/>
          </w:rPr>
          <w:t>Analysis</w:t>
        </w:r>
        <w:r w:rsidR="00163E2C">
          <w:rPr>
            <w:noProof/>
            <w:webHidden/>
          </w:rPr>
          <w:tab/>
        </w:r>
        <w:r w:rsidR="00163E2C">
          <w:rPr>
            <w:noProof/>
            <w:webHidden/>
          </w:rPr>
          <w:fldChar w:fldCharType="begin"/>
        </w:r>
        <w:r w:rsidR="00163E2C">
          <w:rPr>
            <w:noProof/>
            <w:webHidden/>
          </w:rPr>
          <w:instrText xml:space="preserve"> PAGEREF _Toc519894724 \h </w:instrText>
        </w:r>
        <w:r w:rsidR="00163E2C">
          <w:rPr>
            <w:noProof/>
            <w:webHidden/>
          </w:rPr>
        </w:r>
        <w:r w:rsidR="00163E2C">
          <w:rPr>
            <w:noProof/>
            <w:webHidden/>
          </w:rPr>
          <w:fldChar w:fldCharType="separate"/>
        </w:r>
        <w:r w:rsidR="00412C3C">
          <w:rPr>
            <w:noProof/>
            <w:webHidden/>
          </w:rPr>
          <w:t>39</w:t>
        </w:r>
        <w:r w:rsidR="00370EAE">
          <w:rPr>
            <w:noProof/>
            <w:webHidden/>
          </w:rPr>
          <w:t>6</w:t>
        </w:r>
        <w:r w:rsidR="00163E2C">
          <w:rPr>
            <w:noProof/>
            <w:webHidden/>
          </w:rPr>
          <w:fldChar w:fldCharType="end"/>
        </w:r>
      </w:hyperlink>
    </w:p>
    <w:p w14:paraId="2976792C" w14:textId="3EBB1367"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725" w:history="1">
        <w:r w:rsidR="00163E2C" w:rsidRPr="00E8268C">
          <w:rPr>
            <w:rStyle w:val="Collegamentoipertestuale"/>
            <w:noProof/>
          </w:rPr>
          <w:t>6.6.2.</w:t>
        </w:r>
        <w:r w:rsidR="00163E2C">
          <w:rPr>
            <w:rFonts w:asciiTheme="minorHAnsi" w:hAnsiTheme="minorHAnsi" w:cstheme="minorBidi"/>
            <w:noProof/>
            <w:lang w:eastAsia="en-GB"/>
          </w:rPr>
          <w:tab/>
        </w:r>
        <w:r w:rsidR="00163E2C" w:rsidRPr="00E8268C">
          <w:rPr>
            <w:rStyle w:val="Collegamentoipertestuale"/>
            <w:noProof/>
          </w:rPr>
          <w:t>Conclusions</w:t>
        </w:r>
        <w:r w:rsidR="00163E2C">
          <w:rPr>
            <w:noProof/>
            <w:webHidden/>
          </w:rPr>
          <w:tab/>
        </w:r>
        <w:r w:rsidR="00163E2C">
          <w:rPr>
            <w:noProof/>
            <w:webHidden/>
          </w:rPr>
          <w:fldChar w:fldCharType="begin"/>
        </w:r>
        <w:r w:rsidR="00163E2C">
          <w:rPr>
            <w:noProof/>
            <w:webHidden/>
          </w:rPr>
          <w:instrText xml:space="preserve"> PAGEREF _Toc519894725 \h </w:instrText>
        </w:r>
        <w:r w:rsidR="00163E2C">
          <w:rPr>
            <w:noProof/>
            <w:webHidden/>
          </w:rPr>
        </w:r>
        <w:r w:rsidR="00163E2C">
          <w:rPr>
            <w:noProof/>
            <w:webHidden/>
          </w:rPr>
          <w:fldChar w:fldCharType="separate"/>
        </w:r>
        <w:r w:rsidR="00412C3C">
          <w:rPr>
            <w:noProof/>
            <w:webHidden/>
          </w:rPr>
          <w:t>40</w:t>
        </w:r>
        <w:r w:rsidR="00370EAE">
          <w:rPr>
            <w:noProof/>
            <w:webHidden/>
          </w:rPr>
          <w:t>0</w:t>
        </w:r>
        <w:r w:rsidR="00163E2C">
          <w:rPr>
            <w:noProof/>
            <w:webHidden/>
          </w:rPr>
          <w:fldChar w:fldCharType="end"/>
        </w:r>
      </w:hyperlink>
    </w:p>
    <w:p w14:paraId="411343C2" w14:textId="304D5A79"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726" w:history="1">
        <w:r w:rsidR="00163E2C" w:rsidRPr="00E8268C">
          <w:rPr>
            <w:rStyle w:val="Collegamentoipertestuale"/>
            <w:noProof/>
          </w:rPr>
          <w:t>6.7.</w:t>
        </w:r>
        <w:r w:rsidR="00163E2C">
          <w:rPr>
            <w:rFonts w:asciiTheme="minorHAnsi" w:hAnsiTheme="minorHAnsi" w:cstheme="minorBidi"/>
            <w:noProof/>
            <w:lang w:eastAsia="en-GB"/>
          </w:rPr>
          <w:tab/>
        </w:r>
        <w:r w:rsidR="00163E2C" w:rsidRPr="00E8268C">
          <w:rPr>
            <w:rStyle w:val="Collegamentoipertestuale"/>
            <w:noProof/>
          </w:rPr>
          <w:t>Mid-East</w:t>
        </w:r>
        <w:r w:rsidR="00263DD6">
          <w:rPr>
            <w:rStyle w:val="Collegamentoipertestuale"/>
            <w:noProof/>
          </w:rPr>
          <w:t xml:space="preserve"> area</w:t>
        </w:r>
        <w:r w:rsidR="00163E2C">
          <w:rPr>
            <w:noProof/>
            <w:webHidden/>
          </w:rPr>
          <w:tab/>
        </w:r>
        <w:r w:rsidR="00163E2C">
          <w:rPr>
            <w:noProof/>
            <w:webHidden/>
          </w:rPr>
          <w:fldChar w:fldCharType="begin"/>
        </w:r>
        <w:r w:rsidR="00163E2C">
          <w:rPr>
            <w:noProof/>
            <w:webHidden/>
          </w:rPr>
          <w:instrText xml:space="preserve"> PAGEREF _Toc519894726 \h </w:instrText>
        </w:r>
        <w:r w:rsidR="00163E2C">
          <w:rPr>
            <w:noProof/>
            <w:webHidden/>
          </w:rPr>
        </w:r>
        <w:r w:rsidR="00163E2C">
          <w:rPr>
            <w:noProof/>
            <w:webHidden/>
          </w:rPr>
          <w:fldChar w:fldCharType="separate"/>
        </w:r>
        <w:r w:rsidR="00412C3C">
          <w:rPr>
            <w:noProof/>
            <w:webHidden/>
          </w:rPr>
          <w:t>40</w:t>
        </w:r>
        <w:r w:rsidR="00163E2C">
          <w:rPr>
            <w:noProof/>
            <w:webHidden/>
          </w:rPr>
          <w:fldChar w:fldCharType="end"/>
        </w:r>
      </w:hyperlink>
      <w:r w:rsidR="007B7E8D">
        <w:rPr>
          <w:noProof/>
        </w:rPr>
        <w:t>2</w:t>
      </w:r>
    </w:p>
    <w:p w14:paraId="1B1B3ADA" w14:textId="38BD4C3F"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727" w:history="1">
        <w:r w:rsidR="00163E2C" w:rsidRPr="00E8268C">
          <w:rPr>
            <w:rStyle w:val="Collegamentoipertestuale"/>
            <w:noProof/>
          </w:rPr>
          <w:t>6.7.1.</w:t>
        </w:r>
        <w:r w:rsidR="00163E2C">
          <w:rPr>
            <w:rFonts w:asciiTheme="minorHAnsi" w:hAnsiTheme="minorHAnsi" w:cstheme="minorBidi"/>
            <w:noProof/>
            <w:lang w:eastAsia="en-GB"/>
          </w:rPr>
          <w:tab/>
        </w:r>
        <w:r w:rsidR="00163E2C" w:rsidRPr="00E8268C">
          <w:rPr>
            <w:rStyle w:val="Collegamentoipertestuale"/>
            <w:noProof/>
          </w:rPr>
          <w:t>Analysis</w:t>
        </w:r>
        <w:r w:rsidR="00163E2C">
          <w:rPr>
            <w:noProof/>
            <w:webHidden/>
          </w:rPr>
          <w:tab/>
        </w:r>
        <w:r w:rsidR="00163E2C">
          <w:rPr>
            <w:noProof/>
            <w:webHidden/>
          </w:rPr>
          <w:fldChar w:fldCharType="begin"/>
        </w:r>
        <w:r w:rsidR="00163E2C">
          <w:rPr>
            <w:noProof/>
            <w:webHidden/>
          </w:rPr>
          <w:instrText xml:space="preserve"> PAGEREF _Toc519894727 \h </w:instrText>
        </w:r>
        <w:r w:rsidR="00163E2C">
          <w:rPr>
            <w:noProof/>
            <w:webHidden/>
          </w:rPr>
        </w:r>
        <w:r w:rsidR="00163E2C">
          <w:rPr>
            <w:noProof/>
            <w:webHidden/>
          </w:rPr>
          <w:fldChar w:fldCharType="separate"/>
        </w:r>
        <w:r w:rsidR="00412C3C">
          <w:rPr>
            <w:noProof/>
            <w:webHidden/>
          </w:rPr>
          <w:t>40</w:t>
        </w:r>
        <w:r w:rsidR="007B7E8D">
          <w:rPr>
            <w:noProof/>
            <w:webHidden/>
          </w:rPr>
          <w:t>2</w:t>
        </w:r>
        <w:r w:rsidR="00163E2C">
          <w:rPr>
            <w:noProof/>
            <w:webHidden/>
          </w:rPr>
          <w:fldChar w:fldCharType="end"/>
        </w:r>
      </w:hyperlink>
    </w:p>
    <w:p w14:paraId="7EAD7AB5" w14:textId="3F99062B"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728" w:history="1">
        <w:r w:rsidR="00163E2C" w:rsidRPr="00E8268C">
          <w:rPr>
            <w:rStyle w:val="Collegamentoipertestuale"/>
            <w:noProof/>
          </w:rPr>
          <w:t>6.7.2.</w:t>
        </w:r>
        <w:r w:rsidR="00163E2C">
          <w:rPr>
            <w:rFonts w:asciiTheme="minorHAnsi" w:hAnsiTheme="minorHAnsi" w:cstheme="minorBidi"/>
            <w:noProof/>
            <w:lang w:eastAsia="en-GB"/>
          </w:rPr>
          <w:tab/>
        </w:r>
        <w:r w:rsidR="00163E2C" w:rsidRPr="00E8268C">
          <w:rPr>
            <w:rStyle w:val="Collegamentoipertestuale"/>
            <w:noProof/>
          </w:rPr>
          <w:t>Conclusions</w:t>
        </w:r>
        <w:r w:rsidR="00163E2C">
          <w:rPr>
            <w:noProof/>
            <w:webHidden/>
          </w:rPr>
          <w:tab/>
        </w:r>
        <w:r w:rsidR="00163E2C">
          <w:rPr>
            <w:noProof/>
            <w:webHidden/>
          </w:rPr>
          <w:fldChar w:fldCharType="begin"/>
        </w:r>
        <w:r w:rsidR="00163E2C">
          <w:rPr>
            <w:noProof/>
            <w:webHidden/>
          </w:rPr>
          <w:instrText xml:space="preserve"> PAGEREF _Toc519894728 \h </w:instrText>
        </w:r>
        <w:r w:rsidR="00163E2C">
          <w:rPr>
            <w:noProof/>
            <w:webHidden/>
          </w:rPr>
        </w:r>
        <w:r w:rsidR="00163E2C">
          <w:rPr>
            <w:noProof/>
            <w:webHidden/>
          </w:rPr>
          <w:fldChar w:fldCharType="separate"/>
        </w:r>
        <w:r w:rsidR="00412C3C">
          <w:rPr>
            <w:noProof/>
            <w:webHidden/>
          </w:rPr>
          <w:t>40</w:t>
        </w:r>
        <w:r w:rsidR="00163E2C">
          <w:rPr>
            <w:noProof/>
            <w:webHidden/>
          </w:rPr>
          <w:fldChar w:fldCharType="end"/>
        </w:r>
      </w:hyperlink>
      <w:r w:rsidR="007B7E8D">
        <w:rPr>
          <w:noProof/>
        </w:rPr>
        <w:t>4</w:t>
      </w:r>
    </w:p>
    <w:p w14:paraId="604976D3" w14:textId="32B0C034"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729" w:history="1">
        <w:r w:rsidR="00163E2C" w:rsidRPr="00E8268C">
          <w:rPr>
            <w:rStyle w:val="Collegamentoipertestuale"/>
            <w:noProof/>
          </w:rPr>
          <w:t>6.8.</w:t>
        </w:r>
        <w:r w:rsidR="00163E2C">
          <w:rPr>
            <w:rFonts w:asciiTheme="minorHAnsi" w:hAnsiTheme="minorHAnsi" w:cstheme="minorBidi"/>
            <w:noProof/>
            <w:lang w:eastAsia="en-GB"/>
          </w:rPr>
          <w:tab/>
        </w:r>
        <w:r w:rsidR="00163E2C" w:rsidRPr="00E8268C">
          <w:rPr>
            <w:rStyle w:val="Collegamentoipertestuale"/>
            <w:noProof/>
          </w:rPr>
          <w:t>Far-East</w:t>
        </w:r>
        <w:r w:rsidR="00263DD6">
          <w:rPr>
            <w:rStyle w:val="Collegamentoipertestuale"/>
            <w:noProof/>
          </w:rPr>
          <w:t xml:space="preserve"> area</w:t>
        </w:r>
        <w:r w:rsidR="00163E2C">
          <w:rPr>
            <w:noProof/>
            <w:webHidden/>
          </w:rPr>
          <w:tab/>
        </w:r>
        <w:r w:rsidR="00163E2C">
          <w:rPr>
            <w:noProof/>
            <w:webHidden/>
          </w:rPr>
          <w:fldChar w:fldCharType="begin"/>
        </w:r>
        <w:r w:rsidR="00163E2C">
          <w:rPr>
            <w:noProof/>
            <w:webHidden/>
          </w:rPr>
          <w:instrText xml:space="preserve"> PAGEREF _Toc519894729 \h </w:instrText>
        </w:r>
        <w:r w:rsidR="00163E2C">
          <w:rPr>
            <w:noProof/>
            <w:webHidden/>
          </w:rPr>
        </w:r>
        <w:r w:rsidR="00163E2C">
          <w:rPr>
            <w:noProof/>
            <w:webHidden/>
          </w:rPr>
          <w:fldChar w:fldCharType="separate"/>
        </w:r>
        <w:r w:rsidR="00412C3C">
          <w:rPr>
            <w:noProof/>
            <w:webHidden/>
          </w:rPr>
          <w:t>40</w:t>
        </w:r>
        <w:r w:rsidR="007B7E8D">
          <w:rPr>
            <w:noProof/>
            <w:webHidden/>
          </w:rPr>
          <w:t>6</w:t>
        </w:r>
        <w:r w:rsidR="00163E2C">
          <w:rPr>
            <w:noProof/>
            <w:webHidden/>
          </w:rPr>
          <w:fldChar w:fldCharType="end"/>
        </w:r>
      </w:hyperlink>
    </w:p>
    <w:p w14:paraId="7D606D44" w14:textId="084E5C3C"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730" w:history="1">
        <w:r w:rsidR="00163E2C" w:rsidRPr="00E8268C">
          <w:rPr>
            <w:rStyle w:val="Collegamentoipertestuale"/>
            <w:noProof/>
          </w:rPr>
          <w:t>6.8.1.</w:t>
        </w:r>
        <w:r w:rsidR="00163E2C">
          <w:rPr>
            <w:rFonts w:asciiTheme="minorHAnsi" w:hAnsiTheme="minorHAnsi" w:cstheme="minorBidi"/>
            <w:noProof/>
            <w:lang w:eastAsia="en-GB"/>
          </w:rPr>
          <w:tab/>
        </w:r>
        <w:r w:rsidR="00163E2C" w:rsidRPr="00E8268C">
          <w:rPr>
            <w:rStyle w:val="Collegamentoipertestuale"/>
            <w:noProof/>
          </w:rPr>
          <w:t>Analysis</w:t>
        </w:r>
        <w:r w:rsidR="00163E2C">
          <w:rPr>
            <w:noProof/>
            <w:webHidden/>
          </w:rPr>
          <w:tab/>
        </w:r>
        <w:r w:rsidR="00163E2C">
          <w:rPr>
            <w:noProof/>
            <w:webHidden/>
          </w:rPr>
          <w:fldChar w:fldCharType="begin"/>
        </w:r>
        <w:r w:rsidR="00163E2C">
          <w:rPr>
            <w:noProof/>
            <w:webHidden/>
          </w:rPr>
          <w:instrText xml:space="preserve"> PAGEREF _Toc519894730 \h </w:instrText>
        </w:r>
        <w:r w:rsidR="00163E2C">
          <w:rPr>
            <w:noProof/>
            <w:webHidden/>
          </w:rPr>
        </w:r>
        <w:r w:rsidR="00163E2C">
          <w:rPr>
            <w:noProof/>
            <w:webHidden/>
          </w:rPr>
          <w:fldChar w:fldCharType="separate"/>
        </w:r>
        <w:r w:rsidR="00412C3C">
          <w:rPr>
            <w:noProof/>
            <w:webHidden/>
          </w:rPr>
          <w:t>40</w:t>
        </w:r>
        <w:r w:rsidR="007B7E8D">
          <w:rPr>
            <w:noProof/>
            <w:webHidden/>
          </w:rPr>
          <w:t>6</w:t>
        </w:r>
        <w:r w:rsidR="00163E2C">
          <w:rPr>
            <w:noProof/>
            <w:webHidden/>
          </w:rPr>
          <w:fldChar w:fldCharType="end"/>
        </w:r>
      </w:hyperlink>
    </w:p>
    <w:p w14:paraId="774CCA21" w14:textId="41352BCF" w:rsidR="00163E2C" w:rsidRDefault="003058D3" w:rsidP="00E858EF">
      <w:pPr>
        <w:pStyle w:val="Sommario3"/>
        <w:tabs>
          <w:tab w:val="left" w:pos="1560"/>
          <w:tab w:val="right" w:leader="dot" w:pos="8488"/>
        </w:tabs>
        <w:suppressAutoHyphens/>
        <w:rPr>
          <w:rFonts w:asciiTheme="minorHAnsi" w:hAnsiTheme="minorHAnsi" w:cstheme="minorBidi"/>
          <w:noProof/>
          <w:lang w:eastAsia="en-GB"/>
        </w:rPr>
      </w:pPr>
      <w:hyperlink w:anchor="_Toc519894731" w:history="1">
        <w:r w:rsidR="00163E2C" w:rsidRPr="00E8268C">
          <w:rPr>
            <w:rStyle w:val="Collegamentoipertestuale"/>
            <w:noProof/>
          </w:rPr>
          <w:t>6.8.2.</w:t>
        </w:r>
        <w:r w:rsidR="00163E2C">
          <w:rPr>
            <w:rFonts w:asciiTheme="minorHAnsi" w:hAnsiTheme="minorHAnsi" w:cstheme="minorBidi"/>
            <w:noProof/>
            <w:lang w:eastAsia="en-GB"/>
          </w:rPr>
          <w:tab/>
        </w:r>
        <w:r w:rsidR="00163E2C" w:rsidRPr="00E8268C">
          <w:rPr>
            <w:rStyle w:val="Collegamentoipertestuale"/>
            <w:noProof/>
          </w:rPr>
          <w:t>Conclusions</w:t>
        </w:r>
        <w:r w:rsidR="00163E2C">
          <w:rPr>
            <w:noProof/>
            <w:webHidden/>
          </w:rPr>
          <w:tab/>
        </w:r>
        <w:r w:rsidR="00163E2C">
          <w:rPr>
            <w:noProof/>
            <w:webHidden/>
          </w:rPr>
          <w:fldChar w:fldCharType="begin"/>
        </w:r>
        <w:r w:rsidR="00163E2C">
          <w:rPr>
            <w:noProof/>
            <w:webHidden/>
          </w:rPr>
          <w:instrText xml:space="preserve"> PAGEREF _Toc519894731 \h </w:instrText>
        </w:r>
        <w:r w:rsidR="00163E2C">
          <w:rPr>
            <w:noProof/>
            <w:webHidden/>
          </w:rPr>
        </w:r>
        <w:r w:rsidR="00163E2C">
          <w:rPr>
            <w:noProof/>
            <w:webHidden/>
          </w:rPr>
          <w:fldChar w:fldCharType="separate"/>
        </w:r>
        <w:r w:rsidR="00412C3C">
          <w:rPr>
            <w:noProof/>
            <w:webHidden/>
          </w:rPr>
          <w:t>41</w:t>
        </w:r>
        <w:r w:rsidR="00163E2C">
          <w:rPr>
            <w:noProof/>
            <w:webHidden/>
          </w:rPr>
          <w:fldChar w:fldCharType="end"/>
        </w:r>
      </w:hyperlink>
      <w:r w:rsidR="007B7E8D">
        <w:rPr>
          <w:noProof/>
        </w:rPr>
        <w:t>0</w:t>
      </w:r>
    </w:p>
    <w:p w14:paraId="57F33AB7" w14:textId="05BB75A1" w:rsidR="00163E2C" w:rsidRDefault="00940F6A" w:rsidP="00E858EF">
      <w:pPr>
        <w:pStyle w:val="Sommario2"/>
        <w:tabs>
          <w:tab w:val="right" w:leader="dot" w:pos="8488"/>
        </w:tabs>
        <w:suppressAutoHyphens/>
        <w:rPr>
          <w:rFonts w:asciiTheme="minorHAnsi" w:hAnsiTheme="minorHAnsi" w:cstheme="minorBidi"/>
          <w:noProof/>
          <w:lang w:eastAsia="en-GB"/>
        </w:rPr>
      </w:pPr>
      <w:hyperlink w:anchor="_Toc519894732" w:history="1">
        <w:r w:rsidR="00163E2C" w:rsidRPr="00E8268C">
          <w:rPr>
            <w:rStyle w:val="Collegamentoipertestuale"/>
            <w:noProof/>
            <w14:scene3d>
              <w14:camera w14:prst="orthographicFront"/>
              <w14:lightRig w14:rig="threePt" w14:dir="t">
                <w14:rot w14:lat="0" w14:lon="0" w14:rev="0"/>
              </w14:lightRig>
            </w14:scene3d>
          </w:rPr>
          <w:t>6.</w:t>
        </w:r>
        <w:r w:rsidR="00B7412C">
          <w:rPr>
            <w:rStyle w:val="Collegamentoipertestuale"/>
            <w:noProof/>
            <w14:scene3d>
              <w14:camera w14:prst="orthographicFront"/>
              <w14:lightRig w14:rig="threePt" w14:dir="t">
                <w14:rot w14:lat="0" w14:lon="0" w14:rev="0"/>
              </w14:lightRig>
            </w14:scene3d>
          </w:rPr>
          <w:t>9</w:t>
        </w:r>
        <w:r w:rsidR="00163E2C">
          <w:rPr>
            <w:rFonts w:asciiTheme="minorHAnsi" w:hAnsiTheme="minorHAnsi" w:cstheme="minorBidi"/>
            <w:noProof/>
            <w:lang w:eastAsia="en-GB"/>
          </w:rPr>
          <w:tab/>
        </w:r>
        <w:r w:rsidR="00163E2C" w:rsidRPr="00E8268C">
          <w:rPr>
            <w:rStyle w:val="Collegamentoipertestuale"/>
            <w:noProof/>
          </w:rPr>
          <w:t>Chapter conclusions</w:t>
        </w:r>
        <w:r w:rsidR="00163E2C">
          <w:rPr>
            <w:noProof/>
            <w:webHidden/>
          </w:rPr>
          <w:tab/>
        </w:r>
        <w:r w:rsidR="00163E2C">
          <w:rPr>
            <w:noProof/>
            <w:webHidden/>
          </w:rPr>
          <w:fldChar w:fldCharType="begin"/>
        </w:r>
        <w:r w:rsidR="00163E2C">
          <w:rPr>
            <w:noProof/>
            <w:webHidden/>
          </w:rPr>
          <w:instrText xml:space="preserve"> PAGEREF _Toc519894732 \h </w:instrText>
        </w:r>
        <w:r w:rsidR="00163E2C">
          <w:rPr>
            <w:noProof/>
            <w:webHidden/>
          </w:rPr>
        </w:r>
        <w:r w:rsidR="00163E2C">
          <w:rPr>
            <w:noProof/>
            <w:webHidden/>
          </w:rPr>
          <w:fldChar w:fldCharType="separate"/>
        </w:r>
        <w:r w:rsidR="00412C3C">
          <w:rPr>
            <w:noProof/>
            <w:webHidden/>
          </w:rPr>
          <w:t>41</w:t>
        </w:r>
        <w:r w:rsidR="007B7E8D">
          <w:rPr>
            <w:noProof/>
            <w:webHidden/>
          </w:rPr>
          <w:t>1</w:t>
        </w:r>
        <w:r w:rsidR="00163E2C">
          <w:rPr>
            <w:noProof/>
            <w:webHidden/>
          </w:rPr>
          <w:fldChar w:fldCharType="end"/>
        </w:r>
      </w:hyperlink>
    </w:p>
    <w:p w14:paraId="29205985" w14:textId="1D1B946F" w:rsidR="00163E2C" w:rsidRDefault="003058D3" w:rsidP="00E858EF">
      <w:pPr>
        <w:pStyle w:val="Sommario1"/>
        <w:tabs>
          <w:tab w:val="right" w:leader="dot" w:pos="8488"/>
        </w:tabs>
        <w:suppressAutoHyphens/>
        <w:rPr>
          <w:rFonts w:asciiTheme="minorHAnsi" w:hAnsiTheme="minorHAnsi" w:cstheme="minorBidi"/>
          <w:b w:val="0"/>
          <w:noProof/>
          <w:lang w:eastAsia="en-GB"/>
        </w:rPr>
      </w:pPr>
      <w:hyperlink w:anchor="_Toc519894733" w:history="1">
        <w:r w:rsidR="00163E2C" w:rsidRPr="00E8268C">
          <w:rPr>
            <w:rStyle w:val="Collegamentoipertestuale"/>
            <w:noProof/>
          </w:rPr>
          <w:t>7</w:t>
        </w:r>
        <w:r w:rsidR="00163E2C">
          <w:rPr>
            <w:rFonts w:asciiTheme="minorHAnsi" w:hAnsiTheme="minorHAnsi" w:cstheme="minorBidi"/>
            <w:b w:val="0"/>
            <w:noProof/>
            <w:lang w:eastAsia="en-GB"/>
          </w:rPr>
          <w:tab/>
        </w:r>
        <w:r w:rsidR="00163E2C" w:rsidRPr="00E8268C">
          <w:rPr>
            <w:rStyle w:val="Collegamentoipertestuale"/>
            <w:noProof/>
          </w:rPr>
          <w:t>7. CONCLUSIONS</w:t>
        </w:r>
        <w:r w:rsidR="00163E2C">
          <w:rPr>
            <w:noProof/>
            <w:webHidden/>
          </w:rPr>
          <w:tab/>
        </w:r>
        <w:r w:rsidR="00163E2C">
          <w:rPr>
            <w:noProof/>
            <w:webHidden/>
          </w:rPr>
          <w:fldChar w:fldCharType="begin"/>
        </w:r>
        <w:r w:rsidR="00163E2C">
          <w:rPr>
            <w:noProof/>
            <w:webHidden/>
          </w:rPr>
          <w:instrText xml:space="preserve"> PAGEREF _Toc519894733 \h </w:instrText>
        </w:r>
        <w:r w:rsidR="00163E2C">
          <w:rPr>
            <w:noProof/>
            <w:webHidden/>
          </w:rPr>
        </w:r>
        <w:r w:rsidR="00163E2C">
          <w:rPr>
            <w:noProof/>
            <w:webHidden/>
          </w:rPr>
          <w:fldChar w:fldCharType="separate"/>
        </w:r>
        <w:r w:rsidR="00412C3C">
          <w:rPr>
            <w:noProof/>
            <w:webHidden/>
          </w:rPr>
          <w:t>41</w:t>
        </w:r>
        <w:r w:rsidR="007B7E8D">
          <w:rPr>
            <w:noProof/>
            <w:webHidden/>
          </w:rPr>
          <w:t>4</w:t>
        </w:r>
        <w:r w:rsidR="00163E2C">
          <w:rPr>
            <w:noProof/>
            <w:webHidden/>
          </w:rPr>
          <w:fldChar w:fldCharType="end"/>
        </w:r>
      </w:hyperlink>
    </w:p>
    <w:p w14:paraId="59171164" w14:textId="74E3620B"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734" w:history="1">
        <w:r w:rsidR="00163E2C" w:rsidRPr="00E8268C">
          <w:rPr>
            <w:rStyle w:val="Collegamentoipertestuale"/>
            <w:noProof/>
            <w14:scene3d>
              <w14:camera w14:prst="orthographicFront"/>
              <w14:lightRig w14:rig="threePt" w14:dir="t">
                <w14:rot w14:lat="0" w14:lon="0" w14:rev="0"/>
              </w14:lightRig>
            </w14:scene3d>
          </w:rPr>
          <w:t>7.1</w:t>
        </w:r>
        <w:r w:rsidR="00163E2C">
          <w:rPr>
            <w:rFonts w:asciiTheme="minorHAnsi" w:hAnsiTheme="minorHAnsi" w:cstheme="minorBidi"/>
            <w:noProof/>
            <w:lang w:eastAsia="en-GB"/>
          </w:rPr>
          <w:tab/>
        </w:r>
        <w:r w:rsidR="00163E2C" w:rsidRPr="00E8268C">
          <w:rPr>
            <w:rStyle w:val="Collegamentoipertestuale"/>
            <w:noProof/>
          </w:rPr>
          <w:t>7.1 Main results</w:t>
        </w:r>
        <w:r w:rsidR="00163E2C">
          <w:rPr>
            <w:noProof/>
            <w:webHidden/>
          </w:rPr>
          <w:tab/>
        </w:r>
        <w:r w:rsidR="00163E2C">
          <w:rPr>
            <w:noProof/>
            <w:webHidden/>
          </w:rPr>
          <w:fldChar w:fldCharType="begin"/>
        </w:r>
        <w:r w:rsidR="00163E2C">
          <w:rPr>
            <w:noProof/>
            <w:webHidden/>
          </w:rPr>
          <w:instrText xml:space="preserve"> PAGEREF _Toc519894734 \h </w:instrText>
        </w:r>
        <w:r w:rsidR="00163E2C">
          <w:rPr>
            <w:noProof/>
            <w:webHidden/>
          </w:rPr>
        </w:r>
        <w:r w:rsidR="00163E2C">
          <w:rPr>
            <w:noProof/>
            <w:webHidden/>
          </w:rPr>
          <w:fldChar w:fldCharType="separate"/>
        </w:r>
        <w:r w:rsidR="00412C3C">
          <w:rPr>
            <w:noProof/>
            <w:webHidden/>
          </w:rPr>
          <w:t>41</w:t>
        </w:r>
        <w:r w:rsidR="00163E2C">
          <w:rPr>
            <w:noProof/>
            <w:webHidden/>
          </w:rPr>
          <w:fldChar w:fldCharType="end"/>
        </w:r>
      </w:hyperlink>
      <w:r w:rsidR="007B7E8D">
        <w:rPr>
          <w:noProof/>
        </w:rPr>
        <w:t>4</w:t>
      </w:r>
    </w:p>
    <w:p w14:paraId="65030D81" w14:textId="5EE16260" w:rsidR="00163E2C" w:rsidRDefault="003058D3" w:rsidP="00E858EF">
      <w:pPr>
        <w:pStyle w:val="Sommario2"/>
        <w:tabs>
          <w:tab w:val="right" w:leader="dot" w:pos="8488"/>
        </w:tabs>
        <w:suppressAutoHyphens/>
        <w:rPr>
          <w:rFonts w:asciiTheme="minorHAnsi" w:hAnsiTheme="minorHAnsi" w:cstheme="minorBidi"/>
          <w:noProof/>
          <w:lang w:eastAsia="en-GB"/>
        </w:rPr>
      </w:pPr>
      <w:hyperlink w:anchor="_Toc519894735" w:history="1">
        <w:r w:rsidR="00163E2C" w:rsidRPr="00E8268C">
          <w:rPr>
            <w:rStyle w:val="Collegamentoipertestuale"/>
            <w:noProof/>
            <w14:scene3d>
              <w14:camera w14:prst="orthographicFront"/>
              <w14:lightRig w14:rig="threePt" w14:dir="t">
                <w14:rot w14:lat="0" w14:lon="0" w14:rev="0"/>
              </w14:lightRig>
            </w14:scene3d>
          </w:rPr>
          <w:t>7.2</w:t>
        </w:r>
        <w:r w:rsidR="00163E2C">
          <w:rPr>
            <w:rFonts w:asciiTheme="minorHAnsi" w:hAnsiTheme="minorHAnsi" w:cstheme="minorBidi"/>
            <w:noProof/>
            <w:lang w:eastAsia="en-GB"/>
          </w:rPr>
          <w:tab/>
        </w:r>
        <w:r w:rsidR="00163E2C" w:rsidRPr="00E8268C">
          <w:rPr>
            <w:rStyle w:val="Collegamentoipertestuale"/>
            <w:noProof/>
          </w:rPr>
          <w:t>7.2 Future research</w:t>
        </w:r>
        <w:r w:rsidR="00163E2C">
          <w:rPr>
            <w:noProof/>
            <w:webHidden/>
          </w:rPr>
          <w:tab/>
        </w:r>
        <w:r w:rsidR="00163E2C">
          <w:rPr>
            <w:noProof/>
            <w:webHidden/>
          </w:rPr>
          <w:fldChar w:fldCharType="begin"/>
        </w:r>
        <w:r w:rsidR="00163E2C">
          <w:rPr>
            <w:noProof/>
            <w:webHidden/>
          </w:rPr>
          <w:instrText xml:space="preserve"> PAGEREF _Toc519894735 \h </w:instrText>
        </w:r>
        <w:r w:rsidR="00163E2C">
          <w:rPr>
            <w:noProof/>
            <w:webHidden/>
          </w:rPr>
        </w:r>
        <w:r w:rsidR="00163E2C">
          <w:rPr>
            <w:noProof/>
            <w:webHidden/>
          </w:rPr>
          <w:fldChar w:fldCharType="separate"/>
        </w:r>
        <w:r w:rsidR="00412C3C">
          <w:rPr>
            <w:noProof/>
            <w:webHidden/>
          </w:rPr>
          <w:t>4</w:t>
        </w:r>
        <w:r w:rsidR="007B7E8D">
          <w:rPr>
            <w:noProof/>
            <w:webHidden/>
          </w:rPr>
          <w:t>19</w:t>
        </w:r>
        <w:r w:rsidR="00163E2C">
          <w:rPr>
            <w:noProof/>
            <w:webHidden/>
          </w:rPr>
          <w:fldChar w:fldCharType="end"/>
        </w:r>
      </w:hyperlink>
    </w:p>
    <w:p w14:paraId="412A0872" w14:textId="033C0586" w:rsidR="00163E2C" w:rsidRDefault="003058D3" w:rsidP="00E858EF">
      <w:pPr>
        <w:pStyle w:val="Sommario1"/>
        <w:tabs>
          <w:tab w:val="right" w:leader="dot" w:pos="8488"/>
        </w:tabs>
        <w:suppressAutoHyphens/>
        <w:rPr>
          <w:rFonts w:asciiTheme="minorHAnsi" w:hAnsiTheme="minorHAnsi" w:cstheme="minorBidi"/>
          <w:b w:val="0"/>
          <w:noProof/>
          <w:lang w:eastAsia="en-GB"/>
        </w:rPr>
      </w:pPr>
      <w:hyperlink w:anchor="_Toc519894736" w:history="1">
        <w:r w:rsidR="00163E2C" w:rsidRPr="00E8268C">
          <w:rPr>
            <w:rStyle w:val="Collegamentoipertestuale"/>
            <w:noProof/>
          </w:rPr>
          <w:t>Bibliography</w:t>
        </w:r>
        <w:r w:rsidR="00163E2C">
          <w:rPr>
            <w:noProof/>
            <w:webHidden/>
          </w:rPr>
          <w:tab/>
        </w:r>
        <w:r w:rsidR="00163E2C">
          <w:rPr>
            <w:noProof/>
            <w:webHidden/>
          </w:rPr>
          <w:fldChar w:fldCharType="begin"/>
        </w:r>
        <w:r w:rsidR="00163E2C">
          <w:rPr>
            <w:noProof/>
            <w:webHidden/>
          </w:rPr>
          <w:instrText xml:space="preserve"> PAGEREF _Toc519894736 \h </w:instrText>
        </w:r>
        <w:r w:rsidR="00163E2C">
          <w:rPr>
            <w:noProof/>
            <w:webHidden/>
          </w:rPr>
        </w:r>
        <w:r w:rsidR="00163E2C">
          <w:rPr>
            <w:noProof/>
            <w:webHidden/>
          </w:rPr>
          <w:fldChar w:fldCharType="separate"/>
        </w:r>
        <w:r w:rsidR="00412C3C">
          <w:rPr>
            <w:noProof/>
            <w:webHidden/>
          </w:rPr>
          <w:t>42</w:t>
        </w:r>
        <w:r w:rsidR="007B7E8D">
          <w:rPr>
            <w:noProof/>
            <w:webHidden/>
          </w:rPr>
          <w:t>2</w:t>
        </w:r>
        <w:r w:rsidR="00163E2C">
          <w:rPr>
            <w:noProof/>
            <w:webHidden/>
          </w:rPr>
          <w:fldChar w:fldCharType="end"/>
        </w:r>
      </w:hyperlink>
    </w:p>
    <w:p w14:paraId="0492DD8D" w14:textId="4FF18BAD" w:rsidR="00163E2C" w:rsidRDefault="00940F6A" w:rsidP="00E858EF">
      <w:pPr>
        <w:pStyle w:val="Sommario1"/>
        <w:tabs>
          <w:tab w:val="right" w:leader="dot" w:pos="8488"/>
        </w:tabs>
        <w:suppressAutoHyphens/>
        <w:rPr>
          <w:rFonts w:asciiTheme="minorHAnsi" w:hAnsiTheme="minorHAnsi" w:cstheme="minorBidi"/>
          <w:b w:val="0"/>
          <w:noProof/>
          <w:lang w:eastAsia="en-GB"/>
        </w:rPr>
      </w:pPr>
      <w:hyperlink w:anchor="_Toc519894737" w:history="1">
        <w:r w:rsidR="00163E2C" w:rsidRPr="00E8268C">
          <w:rPr>
            <w:rStyle w:val="Collegamentoipertestuale"/>
            <w:noProof/>
          </w:rPr>
          <w:t>Appendix</w:t>
        </w:r>
        <w:r w:rsidR="00163E2C">
          <w:rPr>
            <w:noProof/>
            <w:webHidden/>
          </w:rPr>
          <w:tab/>
        </w:r>
        <w:r w:rsidR="00163E2C">
          <w:rPr>
            <w:noProof/>
            <w:webHidden/>
          </w:rPr>
          <w:fldChar w:fldCharType="begin"/>
        </w:r>
        <w:r w:rsidR="00163E2C">
          <w:rPr>
            <w:noProof/>
            <w:webHidden/>
          </w:rPr>
          <w:instrText xml:space="preserve"> PAGEREF _Toc519894737 \h </w:instrText>
        </w:r>
        <w:r w:rsidR="00163E2C">
          <w:rPr>
            <w:noProof/>
            <w:webHidden/>
          </w:rPr>
        </w:r>
        <w:r w:rsidR="00163E2C">
          <w:rPr>
            <w:noProof/>
            <w:webHidden/>
          </w:rPr>
          <w:fldChar w:fldCharType="separate"/>
        </w:r>
        <w:r w:rsidR="00412C3C">
          <w:rPr>
            <w:noProof/>
            <w:webHidden/>
          </w:rPr>
          <w:t>4</w:t>
        </w:r>
        <w:r w:rsidR="00163E2C">
          <w:rPr>
            <w:noProof/>
            <w:webHidden/>
          </w:rPr>
          <w:fldChar w:fldCharType="end"/>
        </w:r>
      </w:hyperlink>
      <w:r w:rsidR="00E207CB">
        <w:rPr>
          <w:noProof/>
        </w:rPr>
        <w:t>59</w:t>
      </w:r>
    </w:p>
    <w:p w14:paraId="784F11FB" w14:textId="4BE77CF6" w:rsidR="00ED770B" w:rsidRDefault="009536C0" w:rsidP="00E858EF">
      <w:pPr>
        <w:suppressAutoHyphens/>
      </w:pPr>
      <w:r>
        <w:fldChar w:fldCharType="end"/>
      </w:r>
    </w:p>
    <w:p w14:paraId="0C71BA34" w14:textId="77777777" w:rsidR="00ED770B" w:rsidRDefault="00ED770B" w:rsidP="00E858EF">
      <w:pPr>
        <w:suppressAutoHyphens/>
      </w:pPr>
    </w:p>
    <w:p w14:paraId="020125A6" w14:textId="77777777" w:rsidR="00ED770B" w:rsidRDefault="00ED770B" w:rsidP="00E858EF">
      <w:pPr>
        <w:suppressAutoHyphens/>
      </w:pPr>
    </w:p>
    <w:p w14:paraId="010E1319" w14:textId="77777777" w:rsidR="00ED770B" w:rsidRDefault="00ED770B" w:rsidP="00E858EF">
      <w:pPr>
        <w:suppressAutoHyphens/>
      </w:pPr>
    </w:p>
    <w:p w14:paraId="13FF45A2" w14:textId="4C3E905F" w:rsidR="00163E2C" w:rsidRDefault="00163E2C" w:rsidP="00E858EF">
      <w:pPr>
        <w:suppressAutoHyphens/>
        <w:spacing w:line="240" w:lineRule="auto"/>
        <w:contextualSpacing w:val="0"/>
        <w:jc w:val="left"/>
      </w:pPr>
      <w:r>
        <w:br w:type="page"/>
      </w:r>
    </w:p>
    <w:p w14:paraId="17356F7F" w14:textId="77777777" w:rsidR="00ED770B" w:rsidRDefault="00ED770B" w:rsidP="00E858EF">
      <w:pPr>
        <w:suppressAutoHyphens/>
      </w:pPr>
    </w:p>
    <w:p w14:paraId="431F0E05" w14:textId="77777777" w:rsidR="00ED770B" w:rsidRDefault="00ED770B" w:rsidP="00E858EF">
      <w:pPr>
        <w:suppressAutoHyphens/>
      </w:pPr>
    </w:p>
    <w:p w14:paraId="1969A90C" w14:textId="77777777" w:rsidR="00ED770B" w:rsidRDefault="00ED770B" w:rsidP="00E858EF">
      <w:pPr>
        <w:suppressAutoHyphens/>
      </w:pPr>
    </w:p>
    <w:p w14:paraId="0586E524" w14:textId="77777777" w:rsidR="00ED770B" w:rsidRDefault="00ED770B" w:rsidP="00E858EF">
      <w:pPr>
        <w:suppressAutoHyphens/>
      </w:pPr>
      <w:r>
        <w:br w:type="page"/>
      </w:r>
    </w:p>
    <w:p w14:paraId="231136E6" w14:textId="77777777" w:rsidR="00ED770B" w:rsidRDefault="00ED770B" w:rsidP="00E858EF">
      <w:pPr>
        <w:pStyle w:val="Titolo1"/>
        <w:keepNext w:val="0"/>
        <w:keepLines w:val="0"/>
        <w:numPr>
          <w:ilvl w:val="0"/>
          <w:numId w:val="0"/>
        </w:numPr>
        <w:suppressAutoHyphens/>
      </w:pPr>
      <w:bookmarkStart w:id="5" w:name="_Toc519894583"/>
      <w:r>
        <w:lastRenderedPageBreak/>
        <w:t>List of Figures</w:t>
      </w:r>
      <w:bookmarkEnd w:id="5"/>
    </w:p>
    <w:p w14:paraId="2B17666F" w14:textId="38E989B0" w:rsidR="0014173B" w:rsidRDefault="004B6F6C">
      <w:pPr>
        <w:pStyle w:val="Indicedellefigure"/>
        <w:tabs>
          <w:tab w:val="right" w:leader="dot" w:pos="8488"/>
        </w:tabs>
        <w:rPr>
          <w:rFonts w:asciiTheme="minorHAnsi" w:hAnsiTheme="minorHAnsi" w:cstheme="minorBidi"/>
          <w:noProof/>
          <w:szCs w:val="22"/>
          <w:lang w:eastAsia="en-GB"/>
        </w:rPr>
      </w:pPr>
      <w:r>
        <w:fldChar w:fldCharType="begin"/>
      </w:r>
      <w:r>
        <w:instrText xml:space="preserve"> TOC \h \z \t "Caption" \c </w:instrText>
      </w:r>
      <w:r>
        <w:fldChar w:fldCharType="separate"/>
      </w:r>
      <w:hyperlink w:anchor="_Toc520212279" w:history="1">
        <w:r w:rsidR="0014173B" w:rsidRPr="00292D0C">
          <w:rPr>
            <w:rStyle w:val="Collegamentoipertestuale"/>
            <w:noProof/>
          </w:rPr>
          <w:t>Figure 1.1. Chronological distribution of coffin types (Source: Preston 2004b: Table 1)</w:t>
        </w:r>
        <w:r w:rsidR="0014173B">
          <w:rPr>
            <w:noProof/>
            <w:webHidden/>
          </w:rPr>
          <w:tab/>
        </w:r>
        <w:r w:rsidR="0014173B">
          <w:rPr>
            <w:noProof/>
            <w:webHidden/>
          </w:rPr>
          <w:fldChar w:fldCharType="begin"/>
        </w:r>
        <w:r w:rsidR="0014173B">
          <w:rPr>
            <w:noProof/>
            <w:webHidden/>
          </w:rPr>
          <w:instrText xml:space="preserve"> PAGEREF _Toc520212279 \h </w:instrText>
        </w:r>
        <w:r w:rsidR="0014173B">
          <w:rPr>
            <w:noProof/>
            <w:webHidden/>
          </w:rPr>
        </w:r>
        <w:r w:rsidR="0014173B">
          <w:rPr>
            <w:noProof/>
            <w:webHidden/>
          </w:rPr>
          <w:fldChar w:fldCharType="separate"/>
        </w:r>
        <w:r w:rsidR="00940F6A">
          <w:rPr>
            <w:noProof/>
            <w:webHidden/>
          </w:rPr>
          <w:t>29</w:t>
        </w:r>
        <w:r w:rsidR="0014173B">
          <w:rPr>
            <w:noProof/>
            <w:webHidden/>
          </w:rPr>
          <w:fldChar w:fldCharType="end"/>
        </w:r>
      </w:hyperlink>
    </w:p>
    <w:p w14:paraId="3BC18226" w14:textId="156248A5" w:rsidR="0014173B" w:rsidRDefault="00422526">
      <w:pPr>
        <w:pStyle w:val="Indicedellefigure"/>
        <w:tabs>
          <w:tab w:val="right" w:leader="dot" w:pos="8488"/>
        </w:tabs>
        <w:rPr>
          <w:rFonts w:asciiTheme="minorHAnsi" w:hAnsiTheme="minorHAnsi" w:cstheme="minorBidi"/>
          <w:noProof/>
          <w:szCs w:val="22"/>
          <w:lang w:eastAsia="en-GB"/>
        </w:rPr>
      </w:pPr>
      <w:hyperlink w:anchor="_Toc520212280" w:history="1">
        <w:r w:rsidR="0014173B" w:rsidRPr="00292D0C">
          <w:rPr>
            <w:rStyle w:val="Collegamentoipertestuale"/>
            <w:noProof/>
          </w:rPr>
          <w:t>Figure 1.2</w:t>
        </w:r>
        <w:r w:rsidR="00D15062">
          <w:rPr>
            <w:rStyle w:val="Collegamentoipertestuale"/>
            <w:noProof/>
          </w:rPr>
          <w:t>.</w:t>
        </w:r>
        <w:r w:rsidR="0014173B" w:rsidRPr="00292D0C">
          <w:rPr>
            <w:rStyle w:val="Collegamentoipertestuale"/>
            <w:noProof/>
          </w:rPr>
          <w:t xml:space="preserve"> Regional areas adopted and Kapodistrian eparchies division (before 2010) (Source: Author).</w:t>
        </w:r>
        <w:r w:rsidR="0014173B">
          <w:rPr>
            <w:noProof/>
            <w:webHidden/>
          </w:rPr>
          <w:tab/>
        </w:r>
        <w:r w:rsidR="0014173B">
          <w:rPr>
            <w:noProof/>
            <w:webHidden/>
          </w:rPr>
          <w:fldChar w:fldCharType="begin"/>
        </w:r>
        <w:r w:rsidR="0014173B">
          <w:rPr>
            <w:noProof/>
            <w:webHidden/>
          </w:rPr>
          <w:instrText xml:space="preserve"> PAGEREF _Toc520212280 \h </w:instrText>
        </w:r>
        <w:r w:rsidR="0014173B">
          <w:rPr>
            <w:noProof/>
            <w:webHidden/>
          </w:rPr>
        </w:r>
        <w:r w:rsidR="0014173B">
          <w:rPr>
            <w:noProof/>
            <w:webHidden/>
          </w:rPr>
          <w:fldChar w:fldCharType="separate"/>
        </w:r>
        <w:r w:rsidR="00940F6A">
          <w:rPr>
            <w:noProof/>
            <w:webHidden/>
          </w:rPr>
          <w:t>32</w:t>
        </w:r>
        <w:r w:rsidR="0014173B">
          <w:rPr>
            <w:noProof/>
            <w:webHidden/>
          </w:rPr>
          <w:fldChar w:fldCharType="end"/>
        </w:r>
      </w:hyperlink>
    </w:p>
    <w:p w14:paraId="09AAACC5" w14:textId="36D2845B" w:rsidR="0014173B" w:rsidRDefault="00422526">
      <w:pPr>
        <w:pStyle w:val="Indicedellefigure"/>
        <w:tabs>
          <w:tab w:val="right" w:leader="dot" w:pos="8488"/>
        </w:tabs>
        <w:rPr>
          <w:rFonts w:asciiTheme="minorHAnsi" w:hAnsiTheme="minorHAnsi" w:cstheme="minorBidi"/>
          <w:noProof/>
          <w:szCs w:val="22"/>
          <w:lang w:eastAsia="en-GB"/>
        </w:rPr>
      </w:pPr>
      <w:hyperlink w:anchor="_Toc520212281" w:history="1">
        <w:r w:rsidR="0014173B" w:rsidRPr="00292D0C">
          <w:rPr>
            <w:rStyle w:val="Collegamentoipertestuale"/>
            <w:noProof/>
          </w:rPr>
          <w:t>Figure 3-1. LM III burial locations in the Far-West area</w:t>
        </w:r>
        <w:r w:rsidR="0014173B">
          <w:rPr>
            <w:noProof/>
            <w:webHidden/>
          </w:rPr>
          <w:tab/>
        </w:r>
        <w:r w:rsidR="0014173B">
          <w:rPr>
            <w:noProof/>
            <w:webHidden/>
          </w:rPr>
          <w:fldChar w:fldCharType="begin"/>
        </w:r>
        <w:r w:rsidR="0014173B">
          <w:rPr>
            <w:noProof/>
            <w:webHidden/>
          </w:rPr>
          <w:instrText xml:space="preserve"> PAGEREF _Toc520212281 \h </w:instrText>
        </w:r>
        <w:r w:rsidR="0014173B">
          <w:rPr>
            <w:noProof/>
            <w:webHidden/>
          </w:rPr>
        </w:r>
        <w:r w:rsidR="0014173B">
          <w:rPr>
            <w:noProof/>
            <w:webHidden/>
          </w:rPr>
          <w:fldChar w:fldCharType="separate"/>
        </w:r>
        <w:r w:rsidR="00940F6A">
          <w:rPr>
            <w:noProof/>
            <w:webHidden/>
          </w:rPr>
          <w:t>63</w:t>
        </w:r>
        <w:r w:rsidR="0014173B">
          <w:rPr>
            <w:noProof/>
            <w:webHidden/>
          </w:rPr>
          <w:fldChar w:fldCharType="end"/>
        </w:r>
      </w:hyperlink>
    </w:p>
    <w:p w14:paraId="73B2C78C" w14:textId="1A15DA70" w:rsidR="0014173B" w:rsidRDefault="00422526">
      <w:pPr>
        <w:pStyle w:val="Indicedellefigure"/>
        <w:tabs>
          <w:tab w:val="right" w:leader="dot" w:pos="8488"/>
        </w:tabs>
        <w:rPr>
          <w:rFonts w:asciiTheme="minorHAnsi" w:hAnsiTheme="minorHAnsi" w:cstheme="minorBidi"/>
          <w:noProof/>
          <w:szCs w:val="22"/>
          <w:lang w:eastAsia="en-GB"/>
        </w:rPr>
      </w:pPr>
      <w:hyperlink w:anchor="_Toc520212282" w:history="1">
        <w:r w:rsidR="0014173B" w:rsidRPr="00292D0C">
          <w:rPr>
            <w:rStyle w:val="Collegamentoipertestuale"/>
            <w:noProof/>
          </w:rPr>
          <w:t>Figure 3-2. Distribution of LMIII burial locations</w:t>
        </w:r>
        <w:r w:rsidR="00F91085">
          <w:rPr>
            <w:rStyle w:val="Collegamentoipertestuale"/>
            <w:noProof/>
          </w:rPr>
          <w:t>,</w:t>
        </w:r>
        <w:r w:rsidR="0014173B" w:rsidRPr="00292D0C">
          <w:rPr>
            <w:rStyle w:val="Collegamentoipertestuale"/>
            <w:noProof/>
          </w:rPr>
          <w:t xml:space="preserve"> Far-West Area (Source: Author)</w:t>
        </w:r>
        <w:r w:rsidR="0014173B">
          <w:rPr>
            <w:noProof/>
            <w:webHidden/>
          </w:rPr>
          <w:tab/>
        </w:r>
        <w:r w:rsidR="0014173B">
          <w:rPr>
            <w:noProof/>
            <w:webHidden/>
          </w:rPr>
          <w:fldChar w:fldCharType="begin"/>
        </w:r>
        <w:r w:rsidR="0014173B">
          <w:rPr>
            <w:noProof/>
            <w:webHidden/>
          </w:rPr>
          <w:instrText xml:space="preserve"> PAGEREF _Toc520212282 \h </w:instrText>
        </w:r>
        <w:r w:rsidR="0014173B">
          <w:rPr>
            <w:noProof/>
            <w:webHidden/>
          </w:rPr>
        </w:r>
        <w:r w:rsidR="0014173B">
          <w:rPr>
            <w:noProof/>
            <w:webHidden/>
          </w:rPr>
          <w:fldChar w:fldCharType="separate"/>
        </w:r>
        <w:r w:rsidR="00940F6A">
          <w:rPr>
            <w:noProof/>
            <w:webHidden/>
          </w:rPr>
          <w:t>63</w:t>
        </w:r>
        <w:r w:rsidR="0014173B">
          <w:rPr>
            <w:noProof/>
            <w:webHidden/>
          </w:rPr>
          <w:fldChar w:fldCharType="end"/>
        </w:r>
      </w:hyperlink>
    </w:p>
    <w:p w14:paraId="2C9E38BA" w14:textId="6871563B" w:rsidR="0014173B" w:rsidRDefault="00422526">
      <w:pPr>
        <w:pStyle w:val="Indicedellefigure"/>
        <w:tabs>
          <w:tab w:val="right" w:leader="dot" w:pos="8488"/>
        </w:tabs>
        <w:rPr>
          <w:rFonts w:asciiTheme="minorHAnsi" w:hAnsiTheme="minorHAnsi" w:cstheme="minorBidi"/>
          <w:noProof/>
          <w:szCs w:val="22"/>
          <w:lang w:eastAsia="en-GB"/>
        </w:rPr>
      </w:pPr>
      <w:hyperlink w:anchor="_Toc520212283" w:history="1">
        <w:r w:rsidR="0014173B" w:rsidRPr="00EA038B">
          <w:rPr>
            <w:rStyle w:val="Collegamentoipertestuale"/>
            <w:noProof/>
          </w:rPr>
          <w:t>Figure 3-3. LM III burial locations in the Mid-West area</w:t>
        </w:r>
        <w:r w:rsidR="0014173B" w:rsidRPr="00EA038B">
          <w:rPr>
            <w:noProof/>
            <w:webHidden/>
          </w:rPr>
          <w:tab/>
        </w:r>
        <w:r w:rsidR="0014173B" w:rsidRPr="00EA038B">
          <w:rPr>
            <w:noProof/>
            <w:webHidden/>
          </w:rPr>
          <w:fldChar w:fldCharType="begin"/>
        </w:r>
        <w:r w:rsidR="0014173B" w:rsidRPr="00EA038B">
          <w:rPr>
            <w:noProof/>
            <w:webHidden/>
          </w:rPr>
          <w:instrText xml:space="preserve"> PAGEREF _Toc520212283 \h </w:instrText>
        </w:r>
        <w:r w:rsidR="0014173B" w:rsidRPr="00EA038B">
          <w:rPr>
            <w:noProof/>
            <w:webHidden/>
          </w:rPr>
        </w:r>
        <w:r w:rsidR="0014173B" w:rsidRPr="00EA038B">
          <w:rPr>
            <w:noProof/>
            <w:webHidden/>
          </w:rPr>
          <w:fldChar w:fldCharType="separate"/>
        </w:r>
        <w:r w:rsidR="00940F6A">
          <w:rPr>
            <w:noProof/>
            <w:webHidden/>
          </w:rPr>
          <w:t>65</w:t>
        </w:r>
        <w:r w:rsidR="0014173B" w:rsidRPr="00EA038B">
          <w:rPr>
            <w:noProof/>
            <w:webHidden/>
          </w:rPr>
          <w:fldChar w:fldCharType="end"/>
        </w:r>
      </w:hyperlink>
    </w:p>
    <w:p w14:paraId="4CF2FC94" w14:textId="02D8952C" w:rsidR="0014173B" w:rsidRDefault="00422526">
      <w:pPr>
        <w:pStyle w:val="Indicedellefigure"/>
        <w:tabs>
          <w:tab w:val="right" w:leader="dot" w:pos="8488"/>
        </w:tabs>
        <w:rPr>
          <w:rFonts w:asciiTheme="minorHAnsi" w:hAnsiTheme="minorHAnsi" w:cstheme="minorBidi"/>
          <w:noProof/>
          <w:szCs w:val="22"/>
          <w:lang w:eastAsia="en-GB"/>
        </w:rPr>
      </w:pPr>
      <w:hyperlink w:anchor="_Toc520212284" w:history="1">
        <w:r w:rsidR="0014173B" w:rsidRPr="00292D0C">
          <w:rPr>
            <w:rStyle w:val="Collegamentoipertestuale"/>
            <w:noProof/>
          </w:rPr>
          <w:t>Figure 3-4. Distribution of LMIII burial locations in the Mid-West area (Source: Author)</w:t>
        </w:r>
        <w:r w:rsidR="0014173B">
          <w:rPr>
            <w:noProof/>
            <w:webHidden/>
          </w:rPr>
          <w:tab/>
        </w:r>
        <w:r w:rsidR="0014173B">
          <w:rPr>
            <w:noProof/>
            <w:webHidden/>
          </w:rPr>
          <w:fldChar w:fldCharType="begin"/>
        </w:r>
        <w:r w:rsidR="0014173B">
          <w:rPr>
            <w:noProof/>
            <w:webHidden/>
          </w:rPr>
          <w:instrText xml:space="preserve"> PAGEREF _Toc520212284 \h </w:instrText>
        </w:r>
        <w:r w:rsidR="0014173B">
          <w:rPr>
            <w:noProof/>
            <w:webHidden/>
          </w:rPr>
        </w:r>
        <w:r w:rsidR="0014173B">
          <w:rPr>
            <w:noProof/>
            <w:webHidden/>
          </w:rPr>
          <w:fldChar w:fldCharType="separate"/>
        </w:r>
        <w:r w:rsidR="00940F6A">
          <w:rPr>
            <w:noProof/>
            <w:webHidden/>
          </w:rPr>
          <w:t>66</w:t>
        </w:r>
        <w:r w:rsidR="0014173B">
          <w:rPr>
            <w:noProof/>
            <w:webHidden/>
          </w:rPr>
          <w:fldChar w:fldCharType="end"/>
        </w:r>
      </w:hyperlink>
    </w:p>
    <w:p w14:paraId="20D09EC5" w14:textId="27487B04" w:rsidR="0014173B" w:rsidRDefault="00422526">
      <w:pPr>
        <w:pStyle w:val="Indicedellefigure"/>
        <w:tabs>
          <w:tab w:val="right" w:leader="dot" w:pos="8488"/>
        </w:tabs>
        <w:rPr>
          <w:rFonts w:asciiTheme="minorHAnsi" w:hAnsiTheme="minorHAnsi" w:cstheme="minorBidi"/>
          <w:noProof/>
          <w:szCs w:val="22"/>
          <w:lang w:eastAsia="en-GB"/>
        </w:rPr>
      </w:pPr>
      <w:hyperlink w:anchor="_Toc520212285" w:history="1">
        <w:r w:rsidR="0014173B" w:rsidRPr="00292D0C">
          <w:rPr>
            <w:rStyle w:val="Collegamentoipertestuale"/>
            <w:noProof/>
          </w:rPr>
          <w:t>Figure 3-5. Number of tombs by cemetery</w:t>
        </w:r>
        <w:r w:rsidR="00F91085">
          <w:rPr>
            <w:rStyle w:val="Collegamentoipertestuale"/>
            <w:noProof/>
          </w:rPr>
          <w:t>,</w:t>
        </w:r>
        <w:r w:rsidR="0014173B" w:rsidRPr="00292D0C">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_Toc520212285 \h </w:instrText>
        </w:r>
        <w:r w:rsidR="0014173B">
          <w:rPr>
            <w:noProof/>
            <w:webHidden/>
          </w:rPr>
        </w:r>
        <w:r w:rsidR="0014173B">
          <w:rPr>
            <w:noProof/>
            <w:webHidden/>
          </w:rPr>
          <w:fldChar w:fldCharType="separate"/>
        </w:r>
        <w:r w:rsidR="00940F6A">
          <w:rPr>
            <w:noProof/>
            <w:webHidden/>
          </w:rPr>
          <w:t>68</w:t>
        </w:r>
        <w:r w:rsidR="0014173B">
          <w:rPr>
            <w:noProof/>
            <w:webHidden/>
          </w:rPr>
          <w:fldChar w:fldCharType="end"/>
        </w:r>
      </w:hyperlink>
    </w:p>
    <w:p w14:paraId="7E67BFB5" w14:textId="7689A899" w:rsidR="0014173B" w:rsidRDefault="00422526">
      <w:pPr>
        <w:pStyle w:val="Indicedellefigure"/>
        <w:tabs>
          <w:tab w:val="right" w:leader="dot" w:pos="8488"/>
        </w:tabs>
        <w:rPr>
          <w:rFonts w:asciiTheme="minorHAnsi" w:hAnsiTheme="minorHAnsi" w:cstheme="minorBidi"/>
          <w:noProof/>
          <w:szCs w:val="22"/>
          <w:lang w:eastAsia="en-GB"/>
        </w:rPr>
      </w:pPr>
      <w:hyperlink w:anchor="_Toc520212286" w:history="1">
        <w:r w:rsidR="0014173B" w:rsidRPr="00292D0C">
          <w:rPr>
            <w:rStyle w:val="Collegamentoipertestuale"/>
            <w:noProof/>
          </w:rPr>
          <w:t>Figure 3-6. Larnax distribution by tomb Mid-West area</w:t>
        </w:r>
        <w:r w:rsidR="0014173B">
          <w:rPr>
            <w:noProof/>
            <w:webHidden/>
          </w:rPr>
          <w:tab/>
        </w:r>
        <w:r w:rsidR="0014173B">
          <w:rPr>
            <w:noProof/>
            <w:webHidden/>
          </w:rPr>
          <w:fldChar w:fldCharType="begin"/>
        </w:r>
        <w:r w:rsidR="0014173B">
          <w:rPr>
            <w:noProof/>
            <w:webHidden/>
          </w:rPr>
          <w:instrText xml:space="preserve"> PAGEREF _Toc520212286 \h </w:instrText>
        </w:r>
        <w:r w:rsidR="0014173B">
          <w:rPr>
            <w:noProof/>
            <w:webHidden/>
          </w:rPr>
        </w:r>
        <w:r w:rsidR="0014173B">
          <w:rPr>
            <w:noProof/>
            <w:webHidden/>
          </w:rPr>
          <w:fldChar w:fldCharType="separate"/>
        </w:r>
        <w:r w:rsidR="00940F6A">
          <w:rPr>
            <w:noProof/>
            <w:webHidden/>
          </w:rPr>
          <w:t>71</w:t>
        </w:r>
        <w:r w:rsidR="0014173B">
          <w:rPr>
            <w:noProof/>
            <w:webHidden/>
          </w:rPr>
          <w:fldChar w:fldCharType="end"/>
        </w:r>
      </w:hyperlink>
    </w:p>
    <w:p w14:paraId="6D328248" w14:textId="19E722B6" w:rsidR="0014173B" w:rsidRDefault="00422526">
      <w:pPr>
        <w:pStyle w:val="Indicedellefigure"/>
        <w:tabs>
          <w:tab w:val="right" w:leader="dot" w:pos="8488"/>
        </w:tabs>
        <w:rPr>
          <w:rFonts w:asciiTheme="minorHAnsi" w:hAnsiTheme="minorHAnsi" w:cstheme="minorBidi"/>
          <w:noProof/>
          <w:szCs w:val="22"/>
          <w:lang w:eastAsia="en-GB"/>
        </w:rPr>
      </w:pPr>
      <w:hyperlink w:anchor="_Toc520212287" w:history="1">
        <w:r w:rsidR="0014173B" w:rsidRPr="00292D0C">
          <w:rPr>
            <w:rStyle w:val="Collegamentoipertestuale"/>
            <w:noProof/>
          </w:rPr>
          <w:t>Figure 3-7. Tombs with larnax occurrence and tombs without larnakes Mid-West area</w:t>
        </w:r>
        <w:r w:rsidR="0014173B">
          <w:rPr>
            <w:noProof/>
            <w:webHidden/>
          </w:rPr>
          <w:tab/>
        </w:r>
        <w:r w:rsidR="0014173B">
          <w:rPr>
            <w:noProof/>
            <w:webHidden/>
          </w:rPr>
          <w:fldChar w:fldCharType="begin"/>
        </w:r>
        <w:r w:rsidR="0014173B">
          <w:rPr>
            <w:noProof/>
            <w:webHidden/>
          </w:rPr>
          <w:instrText xml:space="preserve"> PAGEREF _Toc520212287 \h </w:instrText>
        </w:r>
        <w:r w:rsidR="0014173B">
          <w:rPr>
            <w:noProof/>
            <w:webHidden/>
          </w:rPr>
        </w:r>
        <w:r w:rsidR="0014173B">
          <w:rPr>
            <w:noProof/>
            <w:webHidden/>
          </w:rPr>
          <w:fldChar w:fldCharType="separate"/>
        </w:r>
        <w:r w:rsidR="00940F6A">
          <w:rPr>
            <w:noProof/>
            <w:webHidden/>
          </w:rPr>
          <w:t>71</w:t>
        </w:r>
        <w:r w:rsidR="0014173B">
          <w:rPr>
            <w:noProof/>
            <w:webHidden/>
          </w:rPr>
          <w:fldChar w:fldCharType="end"/>
        </w:r>
      </w:hyperlink>
    </w:p>
    <w:p w14:paraId="45BCE3FD" w14:textId="4115D5AD" w:rsidR="0014173B" w:rsidRDefault="00422526">
      <w:pPr>
        <w:pStyle w:val="Indicedellefigure"/>
        <w:tabs>
          <w:tab w:val="right" w:leader="dot" w:pos="8488"/>
        </w:tabs>
        <w:rPr>
          <w:rFonts w:asciiTheme="minorHAnsi" w:hAnsiTheme="minorHAnsi" w:cstheme="minorBidi"/>
          <w:noProof/>
          <w:szCs w:val="22"/>
          <w:lang w:eastAsia="en-GB"/>
        </w:rPr>
      </w:pPr>
      <w:hyperlink w:anchor="_Toc520212288" w:history="1">
        <w:r w:rsidR="0014173B" w:rsidRPr="00292D0C">
          <w:rPr>
            <w:rStyle w:val="Collegamentoipertestuale"/>
            <w:noProof/>
          </w:rPr>
          <w:t>Figure 3-8. Larnax distribution per tomb in the Armenoi cemetery</w:t>
        </w:r>
        <w:r w:rsidR="0014173B">
          <w:rPr>
            <w:noProof/>
            <w:webHidden/>
          </w:rPr>
          <w:tab/>
        </w:r>
        <w:r w:rsidR="0014173B">
          <w:rPr>
            <w:noProof/>
            <w:webHidden/>
          </w:rPr>
          <w:fldChar w:fldCharType="begin"/>
        </w:r>
        <w:r w:rsidR="0014173B">
          <w:rPr>
            <w:noProof/>
            <w:webHidden/>
          </w:rPr>
          <w:instrText xml:space="preserve"> PAGEREF _Toc520212288 \h </w:instrText>
        </w:r>
        <w:r w:rsidR="0014173B">
          <w:rPr>
            <w:noProof/>
            <w:webHidden/>
          </w:rPr>
        </w:r>
        <w:r w:rsidR="0014173B">
          <w:rPr>
            <w:noProof/>
            <w:webHidden/>
          </w:rPr>
          <w:fldChar w:fldCharType="separate"/>
        </w:r>
        <w:r w:rsidR="00940F6A">
          <w:rPr>
            <w:noProof/>
            <w:webHidden/>
          </w:rPr>
          <w:t>71</w:t>
        </w:r>
        <w:r w:rsidR="0014173B">
          <w:rPr>
            <w:noProof/>
            <w:webHidden/>
          </w:rPr>
          <w:fldChar w:fldCharType="end"/>
        </w:r>
      </w:hyperlink>
    </w:p>
    <w:p w14:paraId="7A834709" w14:textId="5A295D96" w:rsidR="0014173B" w:rsidRDefault="00422526">
      <w:pPr>
        <w:pStyle w:val="Indicedellefigure"/>
        <w:tabs>
          <w:tab w:val="right" w:leader="dot" w:pos="8488"/>
        </w:tabs>
        <w:rPr>
          <w:rFonts w:asciiTheme="minorHAnsi" w:hAnsiTheme="minorHAnsi" w:cstheme="minorBidi"/>
          <w:noProof/>
          <w:szCs w:val="22"/>
          <w:lang w:eastAsia="en-GB"/>
        </w:rPr>
      </w:pPr>
      <w:hyperlink w:anchor="_Toc520212289" w:history="1">
        <w:r w:rsidR="0014173B" w:rsidRPr="00292D0C">
          <w:rPr>
            <w:rStyle w:val="Collegamentoipertestuale"/>
            <w:noProof/>
          </w:rPr>
          <w:t>Figure 3-9. Tomb types associated with larnax burials in Mid-West area.</w:t>
        </w:r>
        <w:r w:rsidR="0014173B">
          <w:rPr>
            <w:noProof/>
            <w:webHidden/>
          </w:rPr>
          <w:tab/>
        </w:r>
        <w:r w:rsidR="0014173B">
          <w:rPr>
            <w:noProof/>
            <w:webHidden/>
          </w:rPr>
          <w:fldChar w:fldCharType="begin"/>
        </w:r>
        <w:r w:rsidR="0014173B">
          <w:rPr>
            <w:noProof/>
            <w:webHidden/>
          </w:rPr>
          <w:instrText xml:space="preserve"> PAGEREF _Toc520212289 \h </w:instrText>
        </w:r>
        <w:r w:rsidR="0014173B">
          <w:rPr>
            <w:noProof/>
            <w:webHidden/>
          </w:rPr>
        </w:r>
        <w:r w:rsidR="0014173B">
          <w:rPr>
            <w:noProof/>
            <w:webHidden/>
          </w:rPr>
          <w:fldChar w:fldCharType="separate"/>
        </w:r>
        <w:r w:rsidR="00940F6A">
          <w:rPr>
            <w:noProof/>
            <w:webHidden/>
          </w:rPr>
          <w:t>72</w:t>
        </w:r>
        <w:r w:rsidR="0014173B">
          <w:rPr>
            <w:noProof/>
            <w:webHidden/>
          </w:rPr>
          <w:fldChar w:fldCharType="end"/>
        </w:r>
      </w:hyperlink>
    </w:p>
    <w:p w14:paraId="19491437" w14:textId="6EBD7E33" w:rsidR="0014173B" w:rsidRDefault="00422526">
      <w:pPr>
        <w:pStyle w:val="Indicedellefigure"/>
        <w:tabs>
          <w:tab w:val="right" w:leader="dot" w:pos="8488"/>
        </w:tabs>
        <w:rPr>
          <w:rFonts w:asciiTheme="minorHAnsi" w:hAnsiTheme="minorHAnsi" w:cstheme="minorBidi"/>
          <w:noProof/>
          <w:szCs w:val="22"/>
          <w:lang w:eastAsia="en-GB"/>
        </w:rPr>
      </w:pPr>
      <w:hyperlink w:anchor="_Toc520212290" w:history="1">
        <w:r w:rsidR="0014173B" w:rsidRPr="00292D0C">
          <w:rPr>
            <w:rStyle w:val="Collegamentoipertestuale"/>
            <w:noProof/>
          </w:rPr>
          <w:t>Figure 3-10. Interment types per tomb Mid-West area</w:t>
        </w:r>
        <w:r w:rsidR="0014173B">
          <w:rPr>
            <w:noProof/>
            <w:webHidden/>
          </w:rPr>
          <w:tab/>
        </w:r>
        <w:r w:rsidR="0014173B">
          <w:rPr>
            <w:noProof/>
            <w:webHidden/>
          </w:rPr>
          <w:fldChar w:fldCharType="begin"/>
        </w:r>
        <w:r w:rsidR="0014173B">
          <w:rPr>
            <w:noProof/>
            <w:webHidden/>
          </w:rPr>
          <w:instrText xml:space="preserve"> PAGEREF _Toc520212290 \h </w:instrText>
        </w:r>
        <w:r w:rsidR="0014173B">
          <w:rPr>
            <w:noProof/>
            <w:webHidden/>
          </w:rPr>
        </w:r>
        <w:r w:rsidR="0014173B">
          <w:rPr>
            <w:noProof/>
            <w:webHidden/>
          </w:rPr>
          <w:fldChar w:fldCharType="separate"/>
        </w:r>
        <w:r w:rsidR="00940F6A">
          <w:rPr>
            <w:noProof/>
            <w:webHidden/>
          </w:rPr>
          <w:t>76</w:t>
        </w:r>
        <w:r w:rsidR="0014173B">
          <w:rPr>
            <w:noProof/>
            <w:webHidden/>
          </w:rPr>
          <w:fldChar w:fldCharType="end"/>
        </w:r>
      </w:hyperlink>
    </w:p>
    <w:p w14:paraId="239943D8" w14:textId="5C725DD1" w:rsidR="0014173B" w:rsidRDefault="00422526">
      <w:pPr>
        <w:pStyle w:val="Indicedellefigure"/>
        <w:tabs>
          <w:tab w:val="right" w:leader="dot" w:pos="8488"/>
        </w:tabs>
        <w:rPr>
          <w:rFonts w:asciiTheme="minorHAnsi" w:hAnsiTheme="minorHAnsi" w:cstheme="minorBidi"/>
          <w:noProof/>
          <w:szCs w:val="22"/>
          <w:lang w:eastAsia="en-GB"/>
        </w:rPr>
      </w:pPr>
      <w:hyperlink w:anchor="_Toc520212291" w:history="1">
        <w:r w:rsidR="0014173B" w:rsidRPr="00292D0C">
          <w:rPr>
            <w:rStyle w:val="Collegamentoipertestuale"/>
            <w:noProof/>
          </w:rPr>
          <w:t>Figure 3-11. Chronological distribution of tombs with larnakes Mid-West area</w:t>
        </w:r>
        <w:r w:rsidR="0014173B">
          <w:rPr>
            <w:noProof/>
            <w:webHidden/>
          </w:rPr>
          <w:tab/>
        </w:r>
        <w:r w:rsidR="0014173B">
          <w:rPr>
            <w:noProof/>
            <w:webHidden/>
          </w:rPr>
          <w:fldChar w:fldCharType="begin"/>
        </w:r>
        <w:r w:rsidR="0014173B">
          <w:rPr>
            <w:noProof/>
            <w:webHidden/>
          </w:rPr>
          <w:instrText xml:space="preserve"> PAGEREF _Toc520212291 \h </w:instrText>
        </w:r>
        <w:r w:rsidR="0014173B">
          <w:rPr>
            <w:noProof/>
            <w:webHidden/>
          </w:rPr>
        </w:r>
        <w:r w:rsidR="0014173B">
          <w:rPr>
            <w:noProof/>
            <w:webHidden/>
          </w:rPr>
          <w:fldChar w:fldCharType="separate"/>
        </w:r>
        <w:r w:rsidR="00940F6A">
          <w:rPr>
            <w:noProof/>
            <w:webHidden/>
          </w:rPr>
          <w:t>77</w:t>
        </w:r>
        <w:r w:rsidR="0014173B">
          <w:rPr>
            <w:noProof/>
            <w:webHidden/>
          </w:rPr>
          <w:fldChar w:fldCharType="end"/>
        </w:r>
      </w:hyperlink>
    </w:p>
    <w:p w14:paraId="49CC8258" w14:textId="738CAC86" w:rsidR="0014173B" w:rsidRDefault="00422526">
      <w:pPr>
        <w:pStyle w:val="Indicedellefigure"/>
        <w:tabs>
          <w:tab w:val="right" w:leader="dot" w:pos="8488"/>
        </w:tabs>
        <w:rPr>
          <w:rFonts w:asciiTheme="minorHAnsi" w:hAnsiTheme="minorHAnsi" w:cstheme="minorBidi"/>
          <w:noProof/>
          <w:szCs w:val="22"/>
          <w:lang w:eastAsia="en-GB"/>
        </w:rPr>
      </w:pPr>
      <w:hyperlink w:anchor="_Toc520212292" w:history="1">
        <w:r w:rsidR="0014173B" w:rsidRPr="00EA038B">
          <w:rPr>
            <w:rStyle w:val="Collegamentoipertestuale"/>
            <w:noProof/>
          </w:rPr>
          <w:t>Figure 3-12. LM III burial locations in the Mesara area</w:t>
        </w:r>
        <w:r w:rsidR="0014173B" w:rsidRPr="00EA038B">
          <w:rPr>
            <w:noProof/>
            <w:webHidden/>
          </w:rPr>
          <w:tab/>
        </w:r>
        <w:r w:rsidR="0014173B" w:rsidRPr="00EA038B">
          <w:rPr>
            <w:noProof/>
            <w:webHidden/>
          </w:rPr>
          <w:fldChar w:fldCharType="begin"/>
        </w:r>
        <w:r w:rsidR="0014173B" w:rsidRPr="00EA038B">
          <w:rPr>
            <w:noProof/>
            <w:webHidden/>
          </w:rPr>
          <w:instrText xml:space="preserve"> PAGEREF _Toc520212292 \h </w:instrText>
        </w:r>
        <w:r w:rsidR="0014173B" w:rsidRPr="00EA038B">
          <w:rPr>
            <w:noProof/>
            <w:webHidden/>
          </w:rPr>
        </w:r>
        <w:r w:rsidR="0014173B" w:rsidRPr="00EA038B">
          <w:rPr>
            <w:noProof/>
            <w:webHidden/>
          </w:rPr>
          <w:fldChar w:fldCharType="separate"/>
        </w:r>
        <w:r w:rsidR="00940F6A">
          <w:rPr>
            <w:noProof/>
            <w:webHidden/>
          </w:rPr>
          <w:t>80</w:t>
        </w:r>
        <w:r w:rsidR="0014173B" w:rsidRPr="00EA038B">
          <w:rPr>
            <w:noProof/>
            <w:webHidden/>
          </w:rPr>
          <w:fldChar w:fldCharType="end"/>
        </w:r>
      </w:hyperlink>
    </w:p>
    <w:p w14:paraId="3E99D5D1" w14:textId="4491E2C4" w:rsidR="0014173B" w:rsidRDefault="00422526">
      <w:pPr>
        <w:pStyle w:val="Indicedellefigure"/>
        <w:tabs>
          <w:tab w:val="right" w:leader="dot" w:pos="8488"/>
        </w:tabs>
        <w:rPr>
          <w:rFonts w:asciiTheme="minorHAnsi" w:hAnsiTheme="minorHAnsi" w:cstheme="minorBidi"/>
          <w:noProof/>
          <w:szCs w:val="22"/>
          <w:lang w:eastAsia="en-GB"/>
        </w:rPr>
      </w:pPr>
      <w:hyperlink w:anchor="_Toc520212294" w:history="1">
        <w:r w:rsidR="0014173B" w:rsidRPr="00292D0C">
          <w:rPr>
            <w:rStyle w:val="Collegamentoipertestuale"/>
            <w:noProof/>
          </w:rPr>
          <w:t>Figure 3-13. Distribution of LMIII Burial locations in the Mesara area (Source: Author)</w:t>
        </w:r>
        <w:r w:rsidR="0014173B">
          <w:rPr>
            <w:noProof/>
            <w:webHidden/>
          </w:rPr>
          <w:tab/>
        </w:r>
        <w:r w:rsidR="0014173B">
          <w:rPr>
            <w:noProof/>
            <w:webHidden/>
          </w:rPr>
          <w:fldChar w:fldCharType="begin"/>
        </w:r>
        <w:r w:rsidR="0014173B">
          <w:rPr>
            <w:noProof/>
            <w:webHidden/>
          </w:rPr>
          <w:instrText xml:space="preserve"> PAGEREF _Toc520212294 \h </w:instrText>
        </w:r>
        <w:r w:rsidR="0014173B">
          <w:rPr>
            <w:noProof/>
            <w:webHidden/>
          </w:rPr>
        </w:r>
        <w:r w:rsidR="0014173B">
          <w:rPr>
            <w:noProof/>
            <w:webHidden/>
          </w:rPr>
          <w:fldChar w:fldCharType="separate"/>
        </w:r>
        <w:r w:rsidR="00940F6A">
          <w:rPr>
            <w:noProof/>
            <w:webHidden/>
          </w:rPr>
          <w:t>81</w:t>
        </w:r>
        <w:r w:rsidR="0014173B">
          <w:rPr>
            <w:noProof/>
            <w:webHidden/>
          </w:rPr>
          <w:fldChar w:fldCharType="end"/>
        </w:r>
      </w:hyperlink>
    </w:p>
    <w:p w14:paraId="2EAC8D11" w14:textId="22A40958" w:rsidR="0014173B" w:rsidRDefault="00422526">
      <w:pPr>
        <w:pStyle w:val="Indicedellefigure"/>
        <w:tabs>
          <w:tab w:val="right" w:leader="dot" w:pos="8488"/>
        </w:tabs>
        <w:rPr>
          <w:rFonts w:asciiTheme="minorHAnsi" w:hAnsiTheme="minorHAnsi" w:cstheme="minorBidi"/>
          <w:noProof/>
          <w:szCs w:val="22"/>
          <w:lang w:eastAsia="en-GB"/>
        </w:rPr>
      </w:pPr>
      <w:hyperlink w:anchor="_Toc520212295" w:history="1">
        <w:r w:rsidR="0014173B" w:rsidRPr="00292D0C">
          <w:rPr>
            <w:rStyle w:val="Collegamentoipertestuale"/>
            <w:noProof/>
          </w:rPr>
          <w:t>Figure 3-14. Number of tombs by cemetery</w:t>
        </w:r>
        <w:r w:rsidR="00F91085">
          <w:rPr>
            <w:rStyle w:val="Collegamentoipertestuale"/>
            <w:noProof/>
          </w:rPr>
          <w:t>,</w:t>
        </w:r>
        <w:r w:rsidR="0014173B" w:rsidRPr="00292D0C">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_Toc520212295 \h </w:instrText>
        </w:r>
        <w:r w:rsidR="0014173B">
          <w:rPr>
            <w:noProof/>
            <w:webHidden/>
          </w:rPr>
        </w:r>
        <w:r w:rsidR="0014173B">
          <w:rPr>
            <w:noProof/>
            <w:webHidden/>
          </w:rPr>
          <w:fldChar w:fldCharType="separate"/>
        </w:r>
        <w:r w:rsidR="00940F6A">
          <w:rPr>
            <w:noProof/>
            <w:webHidden/>
          </w:rPr>
          <w:t>83</w:t>
        </w:r>
        <w:r w:rsidR="0014173B">
          <w:rPr>
            <w:noProof/>
            <w:webHidden/>
          </w:rPr>
          <w:fldChar w:fldCharType="end"/>
        </w:r>
      </w:hyperlink>
    </w:p>
    <w:p w14:paraId="2CAC8C5C" w14:textId="787DA510" w:rsidR="0014173B" w:rsidRDefault="00422526">
      <w:pPr>
        <w:pStyle w:val="Indicedellefigure"/>
        <w:tabs>
          <w:tab w:val="right" w:leader="dot" w:pos="8488"/>
        </w:tabs>
        <w:rPr>
          <w:rFonts w:asciiTheme="minorHAnsi" w:hAnsiTheme="minorHAnsi" w:cstheme="minorBidi"/>
          <w:noProof/>
          <w:szCs w:val="22"/>
          <w:lang w:eastAsia="en-GB"/>
        </w:rPr>
      </w:pPr>
      <w:hyperlink w:anchor="_Toc520212296" w:history="1">
        <w:r w:rsidR="0014173B" w:rsidRPr="00292D0C">
          <w:rPr>
            <w:rStyle w:val="Collegamentoipertestuale"/>
            <w:noProof/>
          </w:rPr>
          <w:t>Figure 3-15. Tombs with larnax occurrence and tombs without larnakes Mesara area</w:t>
        </w:r>
        <w:r w:rsidR="0014173B">
          <w:rPr>
            <w:noProof/>
            <w:webHidden/>
          </w:rPr>
          <w:tab/>
        </w:r>
        <w:r w:rsidR="0014173B">
          <w:rPr>
            <w:noProof/>
            <w:webHidden/>
          </w:rPr>
          <w:fldChar w:fldCharType="begin"/>
        </w:r>
        <w:r w:rsidR="0014173B">
          <w:rPr>
            <w:noProof/>
            <w:webHidden/>
          </w:rPr>
          <w:instrText xml:space="preserve"> PAGEREF _Toc520212296 \h </w:instrText>
        </w:r>
        <w:r w:rsidR="0014173B">
          <w:rPr>
            <w:noProof/>
            <w:webHidden/>
          </w:rPr>
        </w:r>
        <w:r w:rsidR="0014173B">
          <w:rPr>
            <w:noProof/>
            <w:webHidden/>
          </w:rPr>
          <w:fldChar w:fldCharType="separate"/>
        </w:r>
        <w:r w:rsidR="00940F6A">
          <w:rPr>
            <w:noProof/>
            <w:webHidden/>
          </w:rPr>
          <w:t>85</w:t>
        </w:r>
        <w:r w:rsidR="0014173B">
          <w:rPr>
            <w:noProof/>
            <w:webHidden/>
          </w:rPr>
          <w:fldChar w:fldCharType="end"/>
        </w:r>
      </w:hyperlink>
    </w:p>
    <w:p w14:paraId="72916E53" w14:textId="093F0795" w:rsidR="0014173B" w:rsidRDefault="00DB11B9">
      <w:pPr>
        <w:pStyle w:val="Indicedellefigure"/>
        <w:tabs>
          <w:tab w:val="right" w:leader="dot" w:pos="8488"/>
        </w:tabs>
        <w:rPr>
          <w:rFonts w:asciiTheme="minorHAnsi" w:hAnsiTheme="minorHAnsi" w:cstheme="minorBidi"/>
          <w:noProof/>
          <w:szCs w:val="22"/>
          <w:lang w:eastAsia="en-GB"/>
        </w:rPr>
      </w:pPr>
      <w:hyperlink w:anchor="_Toc520212297" w:history="1">
        <w:r w:rsidR="0014173B" w:rsidRPr="00292D0C">
          <w:rPr>
            <w:rStyle w:val="Collegamentoipertestuale"/>
            <w:noProof/>
          </w:rPr>
          <w:t>Figure 3-16. Tomb types associated with larnax burials in the Mesara area.</w:t>
        </w:r>
        <w:r w:rsidR="0014173B">
          <w:rPr>
            <w:noProof/>
            <w:webHidden/>
          </w:rPr>
          <w:tab/>
        </w:r>
        <w:r w:rsidR="0014173B">
          <w:rPr>
            <w:noProof/>
            <w:webHidden/>
          </w:rPr>
          <w:fldChar w:fldCharType="begin"/>
        </w:r>
        <w:r w:rsidR="0014173B">
          <w:rPr>
            <w:noProof/>
            <w:webHidden/>
          </w:rPr>
          <w:instrText xml:space="preserve"> PAGEREF _Toc520212297 \h </w:instrText>
        </w:r>
        <w:r w:rsidR="0014173B">
          <w:rPr>
            <w:noProof/>
            <w:webHidden/>
          </w:rPr>
        </w:r>
        <w:r w:rsidR="0014173B">
          <w:rPr>
            <w:noProof/>
            <w:webHidden/>
          </w:rPr>
          <w:fldChar w:fldCharType="separate"/>
        </w:r>
        <w:r w:rsidR="00940F6A">
          <w:rPr>
            <w:noProof/>
            <w:webHidden/>
          </w:rPr>
          <w:t>85</w:t>
        </w:r>
        <w:r w:rsidR="0014173B">
          <w:rPr>
            <w:noProof/>
            <w:webHidden/>
          </w:rPr>
          <w:fldChar w:fldCharType="end"/>
        </w:r>
      </w:hyperlink>
    </w:p>
    <w:p w14:paraId="50425C3D" w14:textId="30A59DEB" w:rsidR="0014173B" w:rsidRDefault="00DB11B9">
      <w:pPr>
        <w:pStyle w:val="Indicedellefigure"/>
        <w:tabs>
          <w:tab w:val="right" w:leader="dot" w:pos="8488"/>
        </w:tabs>
        <w:rPr>
          <w:rFonts w:asciiTheme="minorHAnsi" w:hAnsiTheme="minorHAnsi" w:cstheme="minorBidi"/>
          <w:noProof/>
          <w:szCs w:val="22"/>
          <w:lang w:eastAsia="en-GB"/>
        </w:rPr>
      </w:pPr>
      <w:hyperlink w:anchor="_Toc520212298" w:history="1">
        <w:r w:rsidR="0014173B" w:rsidRPr="00292D0C">
          <w:rPr>
            <w:rStyle w:val="Collegamentoipertestuale"/>
            <w:noProof/>
          </w:rPr>
          <w:t>Figure 3-17. Interment types per tomb</w:t>
        </w:r>
        <w:r w:rsidR="00F91085">
          <w:rPr>
            <w:rStyle w:val="Collegamentoipertestuale"/>
            <w:noProof/>
          </w:rPr>
          <w:t>,</w:t>
        </w:r>
        <w:r w:rsidR="0014173B" w:rsidRPr="00292D0C">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_Toc520212298 \h </w:instrText>
        </w:r>
        <w:r w:rsidR="0014173B">
          <w:rPr>
            <w:noProof/>
            <w:webHidden/>
          </w:rPr>
        </w:r>
        <w:r w:rsidR="0014173B">
          <w:rPr>
            <w:noProof/>
            <w:webHidden/>
          </w:rPr>
          <w:fldChar w:fldCharType="separate"/>
        </w:r>
        <w:r w:rsidR="00940F6A">
          <w:rPr>
            <w:noProof/>
            <w:webHidden/>
          </w:rPr>
          <w:t>90</w:t>
        </w:r>
        <w:r w:rsidR="0014173B">
          <w:rPr>
            <w:noProof/>
            <w:webHidden/>
          </w:rPr>
          <w:fldChar w:fldCharType="end"/>
        </w:r>
      </w:hyperlink>
    </w:p>
    <w:p w14:paraId="1CD97431" w14:textId="3708468B" w:rsidR="0014173B" w:rsidRDefault="00DB11B9">
      <w:pPr>
        <w:pStyle w:val="Indicedellefigure"/>
        <w:tabs>
          <w:tab w:val="right" w:leader="dot" w:pos="8488"/>
        </w:tabs>
        <w:rPr>
          <w:rFonts w:asciiTheme="minorHAnsi" w:hAnsiTheme="minorHAnsi" w:cstheme="minorBidi"/>
          <w:noProof/>
          <w:szCs w:val="22"/>
          <w:lang w:eastAsia="en-GB"/>
        </w:rPr>
      </w:pPr>
      <w:hyperlink w:anchor="_Toc520212299" w:history="1">
        <w:r w:rsidR="0014173B" w:rsidRPr="00292D0C">
          <w:rPr>
            <w:rStyle w:val="Collegamentoipertestuale"/>
            <w:noProof/>
          </w:rPr>
          <w:t>Figure 3-18. Chronological distribution of tomb</w:t>
        </w:r>
        <w:r w:rsidR="00D15062">
          <w:rPr>
            <w:rStyle w:val="Collegamentoipertestuale"/>
            <w:noProof/>
          </w:rPr>
          <w:t>s</w:t>
        </w:r>
        <w:r w:rsidR="0014173B" w:rsidRPr="00292D0C">
          <w:rPr>
            <w:rStyle w:val="Collegamentoipertestuale"/>
            <w:noProof/>
          </w:rPr>
          <w:t xml:space="preserve"> </w:t>
        </w:r>
        <w:r w:rsidR="00F91085">
          <w:rPr>
            <w:rStyle w:val="Collegamentoipertestuale"/>
            <w:noProof/>
          </w:rPr>
          <w:t>with</w:t>
        </w:r>
        <w:r w:rsidR="0014173B" w:rsidRPr="00292D0C">
          <w:rPr>
            <w:rStyle w:val="Collegamentoipertestuale"/>
            <w:noProof/>
          </w:rPr>
          <w:t xml:space="preserve"> larnakes</w:t>
        </w:r>
        <w:r w:rsidR="00F91085">
          <w:rPr>
            <w:rStyle w:val="Collegamentoipertestuale"/>
            <w:noProof/>
          </w:rPr>
          <w:t>,</w:t>
        </w:r>
        <w:r w:rsidR="0014173B" w:rsidRPr="00292D0C">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_Toc520212299 \h </w:instrText>
        </w:r>
        <w:r w:rsidR="0014173B">
          <w:rPr>
            <w:noProof/>
            <w:webHidden/>
          </w:rPr>
        </w:r>
        <w:r w:rsidR="0014173B">
          <w:rPr>
            <w:noProof/>
            <w:webHidden/>
          </w:rPr>
          <w:fldChar w:fldCharType="separate"/>
        </w:r>
        <w:r w:rsidR="00940F6A">
          <w:rPr>
            <w:noProof/>
            <w:webHidden/>
          </w:rPr>
          <w:t>91</w:t>
        </w:r>
        <w:r w:rsidR="0014173B">
          <w:rPr>
            <w:noProof/>
            <w:webHidden/>
          </w:rPr>
          <w:fldChar w:fldCharType="end"/>
        </w:r>
      </w:hyperlink>
    </w:p>
    <w:p w14:paraId="5D4B4215" w14:textId="7D82AD03" w:rsidR="0014173B" w:rsidRDefault="00DB11B9">
      <w:pPr>
        <w:pStyle w:val="Indicedellefigure"/>
        <w:tabs>
          <w:tab w:val="right" w:leader="dot" w:pos="8488"/>
        </w:tabs>
        <w:rPr>
          <w:rFonts w:asciiTheme="minorHAnsi" w:hAnsiTheme="minorHAnsi" w:cstheme="minorBidi"/>
          <w:noProof/>
          <w:szCs w:val="22"/>
          <w:lang w:eastAsia="en-GB"/>
        </w:rPr>
      </w:pPr>
      <w:hyperlink w:anchor="_Toc520212300" w:history="1">
        <w:r w:rsidR="0014173B" w:rsidRPr="00EA038B">
          <w:rPr>
            <w:rStyle w:val="Collegamentoipertestuale"/>
            <w:noProof/>
          </w:rPr>
          <w:t>Figure 3-19. LM III burial locations in the Knossos area</w:t>
        </w:r>
        <w:r w:rsidR="0014173B" w:rsidRPr="00EA038B">
          <w:rPr>
            <w:noProof/>
            <w:webHidden/>
          </w:rPr>
          <w:tab/>
        </w:r>
        <w:r w:rsidR="0014173B" w:rsidRPr="00EA038B">
          <w:rPr>
            <w:noProof/>
            <w:webHidden/>
          </w:rPr>
          <w:fldChar w:fldCharType="begin"/>
        </w:r>
        <w:r w:rsidR="0014173B" w:rsidRPr="00EA038B">
          <w:rPr>
            <w:noProof/>
            <w:webHidden/>
          </w:rPr>
          <w:instrText xml:space="preserve"> PAGEREF _Toc520212300 \h </w:instrText>
        </w:r>
        <w:r w:rsidR="0014173B" w:rsidRPr="00EA038B">
          <w:rPr>
            <w:noProof/>
            <w:webHidden/>
          </w:rPr>
        </w:r>
        <w:r w:rsidR="0014173B" w:rsidRPr="00EA038B">
          <w:rPr>
            <w:noProof/>
            <w:webHidden/>
          </w:rPr>
          <w:fldChar w:fldCharType="separate"/>
        </w:r>
        <w:r w:rsidR="00940F6A">
          <w:rPr>
            <w:noProof/>
            <w:webHidden/>
          </w:rPr>
          <w:t>96</w:t>
        </w:r>
        <w:r w:rsidR="0014173B" w:rsidRPr="00EA038B">
          <w:rPr>
            <w:noProof/>
            <w:webHidden/>
          </w:rPr>
          <w:fldChar w:fldCharType="end"/>
        </w:r>
      </w:hyperlink>
    </w:p>
    <w:p w14:paraId="5FC6E92D" w14:textId="3F267F4C" w:rsidR="0014173B" w:rsidRDefault="00422526">
      <w:pPr>
        <w:pStyle w:val="Indicedellefigure"/>
        <w:tabs>
          <w:tab w:val="right" w:leader="dot" w:pos="8488"/>
        </w:tabs>
        <w:rPr>
          <w:rFonts w:asciiTheme="minorHAnsi" w:hAnsiTheme="minorHAnsi" w:cstheme="minorBidi"/>
          <w:noProof/>
          <w:szCs w:val="22"/>
          <w:lang w:eastAsia="en-GB"/>
        </w:rPr>
      </w:pPr>
      <w:hyperlink w:anchor="_Toc520212302" w:history="1">
        <w:r w:rsidR="0014173B" w:rsidRPr="00292D0C">
          <w:rPr>
            <w:rStyle w:val="Collegamentoipertestuale"/>
            <w:noProof/>
          </w:rPr>
          <w:t>Figure 3-20. Distribution of LMIII Burial locations in the Knossos area (Source: Author)</w:t>
        </w:r>
        <w:r w:rsidR="0014173B">
          <w:rPr>
            <w:noProof/>
            <w:webHidden/>
          </w:rPr>
          <w:tab/>
        </w:r>
        <w:r w:rsidR="0014173B">
          <w:rPr>
            <w:noProof/>
            <w:webHidden/>
          </w:rPr>
          <w:fldChar w:fldCharType="begin"/>
        </w:r>
        <w:r w:rsidR="0014173B">
          <w:rPr>
            <w:noProof/>
            <w:webHidden/>
          </w:rPr>
          <w:instrText xml:space="preserve"> PAGEREF _Toc520212302 \h </w:instrText>
        </w:r>
        <w:r w:rsidR="0014173B">
          <w:rPr>
            <w:noProof/>
            <w:webHidden/>
          </w:rPr>
        </w:r>
        <w:r w:rsidR="0014173B">
          <w:rPr>
            <w:noProof/>
            <w:webHidden/>
          </w:rPr>
          <w:fldChar w:fldCharType="separate"/>
        </w:r>
        <w:r w:rsidR="00940F6A">
          <w:rPr>
            <w:noProof/>
            <w:webHidden/>
          </w:rPr>
          <w:t>97</w:t>
        </w:r>
        <w:r w:rsidR="0014173B">
          <w:rPr>
            <w:noProof/>
            <w:webHidden/>
          </w:rPr>
          <w:fldChar w:fldCharType="end"/>
        </w:r>
      </w:hyperlink>
    </w:p>
    <w:p w14:paraId="6CEC42E1" w14:textId="2D463695" w:rsidR="0014173B" w:rsidRDefault="00DB11B9">
      <w:pPr>
        <w:pStyle w:val="Indicedellefigure"/>
        <w:tabs>
          <w:tab w:val="right" w:leader="dot" w:pos="8488"/>
        </w:tabs>
        <w:rPr>
          <w:rFonts w:asciiTheme="minorHAnsi" w:hAnsiTheme="minorHAnsi" w:cstheme="minorBidi"/>
          <w:noProof/>
          <w:szCs w:val="22"/>
          <w:lang w:eastAsia="en-GB"/>
        </w:rPr>
      </w:pPr>
      <w:hyperlink w:anchor="_Toc520212303" w:history="1">
        <w:r w:rsidR="0014173B" w:rsidRPr="00292D0C">
          <w:rPr>
            <w:rStyle w:val="Collegamentoipertestuale"/>
            <w:noProof/>
          </w:rPr>
          <w:t>Figure 3-21. Number of tombs by cemetery</w:t>
        </w:r>
        <w:r w:rsidR="00D15062">
          <w:rPr>
            <w:rStyle w:val="Collegamentoipertestuale"/>
            <w:noProof/>
          </w:rPr>
          <w:t>,</w:t>
        </w:r>
        <w:r w:rsidR="0014173B" w:rsidRPr="00292D0C">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_Toc520212303 \h </w:instrText>
        </w:r>
        <w:r w:rsidR="0014173B">
          <w:rPr>
            <w:noProof/>
            <w:webHidden/>
          </w:rPr>
        </w:r>
        <w:r w:rsidR="0014173B">
          <w:rPr>
            <w:noProof/>
            <w:webHidden/>
          </w:rPr>
          <w:fldChar w:fldCharType="separate"/>
        </w:r>
        <w:r w:rsidR="00940F6A">
          <w:rPr>
            <w:noProof/>
            <w:webHidden/>
          </w:rPr>
          <w:t>98</w:t>
        </w:r>
        <w:r w:rsidR="0014173B">
          <w:rPr>
            <w:noProof/>
            <w:webHidden/>
          </w:rPr>
          <w:fldChar w:fldCharType="end"/>
        </w:r>
      </w:hyperlink>
    </w:p>
    <w:p w14:paraId="3ECEA248" w14:textId="57530C8E" w:rsidR="0014173B" w:rsidRDefault="00DB11B9">
      <w:pPr>
        <w:pStyle w:val="Indicedellefigure"/>
        <w:tabs>
          <w:tab w:val="right" w:leader="dot" w:pos="8488"/>
        </w:tabs>
        <w:rPr>
          <w:rFonts w:asciiTheme="minorHAnsi" w:hAnsiTheme="minorHAnsi" w:cstheme="minorBidi"/>
          <w:noProof/>
          <w:szCs w:val="22"/>
          <w:lang w:eastAsia="en-GB"/>
        </w:rPr>
      </w:pPr>
      <w:hyperlink w:anchor="_Toc520212304" w:history="1">
        <w:r w:rsidR="0014173B" w:rsidRPr="00292D0C">
          <w:rPr>
            <w:rStyle w:val="Collegamentoipertestuale"/>
            <w:noProof/>
          </w:rPr>
          <w:t>Figure 3-22. Larnax distribution by tomb</w:t>
        </w:r>
        <w:r w:rsidR="00D15062">
          <w:rPr>
            <w:rStyle w:val="Collegamentoipertestuale"/>
            <w:noProof/>
          </w:rPr>
          <w:t>,</w:t>
        </w:r>
        <w:r w:rsidR="0014173B" w:rsidRPr="00292D0C">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_Toc520212304 \h </w:instrText>
        </w:r>
        <w:r w:rsidR="0014173B">
          <w:rPr>
            <w:noProof/>
            <w:webHidden/>
          </w:rPr>
        </w:r>
        <w:r w:rsidR="0014173B">
          <w:rPr>
            <w:noProof/>
            <w:webHidden/>
          </w:rPr>
          <w:fldChar w:fldCharType="separate"/>
        </w:r>
        <w:r w:rsidR="00940F6A">
          <w:rPr>
            <w:noProof/>
            <w:webHidden/>
          </w:rPr>
          <w:t>99</w:t>
        </w:r>
        <w:r w:rsidR="0014173B">
          <w:rPr>
            <w:noProof/>
            <w:webHidden/>
          </w:rPr>
          <w:fldChar w:fldCharType="end"/>
        </w:r>
      </w:hyperlink>
    </w:p>
    <w:p w14:paraId="18347768" w14:textId="0F4265FA" w:rsidR="0014173B" w:rsidRDefault="00422526">
      <w:pPr>
        <w:pStyle w:val="Indicedellefigure"/>
        <w:tabs>
          <w:tab w:val="right" w:leader="dot" w:pos="8488"/>
        </w:tabs>
        <w:rPr>
          <w:rFonts w:asciiTheme="minorHAnsi" w:hAnsiTheme="minorHAnsi" w:cstheme="minorBidi"/>
          <w:noProof/>
          <w:szCs w:val="22"/>
          <w:lang w:eastAsia="en-GB"/>
        </w:rPr>
      </w:pPr>
      <w:hyperlink w:anchor="_Toc520212305" w:history="1">
        <w:r w:rsidR="0014173B" w:rsidRPr="00292D0C">
          <w:rPr>
            <w:rStyle w:val="Collegamentoipertestuale"/>
            <w:noProof/>
          </w:rPr>
          <w:t>Figure 3-23. Tombs with larnax occurrence and tombs without larnakes</w:t>
        </w:r>
        <w:r w:rsidR="00D15062">
          <w:rPr>
            <w:rStyle w:val="Collegamentoipertestuale"/>
            <w:noProof/>
          </w:rPr>
          <w:t>,</w:t>
        </w:r>
        <w:r w:rsidR="0014173B" w:rsidRPr="00292D0C">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_Toc520212305 \h </w:instrText>
        </w:r>
        <w:r w:rsidR="0014173B">
          <w:rPr>
            <w:noProof/>
            <w:webHidden/>
          </w:rPr>
        </w:r>
        <w:r w:rsidR="0014173B">
          <w:rPr>
            <w:noProof/>
            <w:webHidden/>
          </w:rPr>
          <w:fldChar w:fldCharType="separate"/>
        </w:r>
        <w:r w:rsidR="00940F6A">
          <w:rPr>
            <w:noProof/>
            <w:webHidden/>
          </w:rPr>
          <w:t>100</w:t>
        </w:r>
        <w:r w:rsidR="0014173B">
          <w:rPr>
            <w:noProof/>
            <w:webHidden/>
          </w:rPr>
          <w:fldChar w:fldCharType="end"/>
        </w:r>
      </w:hyperlink>
    </w:p>
    <w:p w14:paraId="2FD57CB1" w14:textId="5D79393F" w:rsidR="0014173B" w:rsidRDefault="00DB11B9">
      <w:pPr>
        <w:pStyle w:val="Indicedellefigure"/>
        <w:tabs>
          <w:tab w:val="right" w:leader="dot" w:pos="8488"/>
        </w:tabs>
        <w:rPr>
          <w:rFonts w:asciiTheme="minorHAnsi" w:hAnsiTheme="minorHAnsi" w:cstheme="minorBidi"/>
          <w:noProof/>
          <w:szCs w:val="22"/>
          <w:lang w:eastAsia="en-GB"/>
        </w:rPr>
      </w:pPr>
      <w:hyperlink w:anchor="_Toc520212306" w:history="1">
        <w:r w:rsidR="0014173B" w:rsidRPr="00292D0C">
          <w:rPr>
            <w:rStyle w:val="Collegamentoipertestuale"/>
            <w:noProof/>
          </w:rPr>
          <w:t>Figure 3-24. Tomb types associated with larnax burials in the Knossos area</w:t>
        </w:r>
        <w:r w:rsidR="0014173B">
          <w:rPr>
            <w:noProof/>
            <w:webHidden/>
          </w:rPr>
          <w:tab/>
        </w:r>
        <w:r w:rsidR="0014173B">
          <w:rPr>
            <w:noProof/>
            <w:webHidden/>
          </w:rPr>
          <w:fldChar w:fldCharType="begin"/>
        </w:r>
        <w:r w:rsidR="0014173B">
          <w:rPr>
            <w:noProof/>
            <w:webHidden/>
          </w:rPr>
          <w:instrText xml:space="preserve"> PAGEREF _Toc520212306 \h </w:instrText>
        </w:r>
        <w:r w:rsidR="0014173B">
          <w:rPr>
            <w:noProof/>
            <w:webHidden/>
          </w:rPr>
        </w:r>
        <w:r w:rsidR="0014173B">
          <w:rPr>
            <w:noProof/>
            <w:webHidden/>
          </w:rPr>
          <w:fldChar w:fldCharType="separate"/>
        </w:r>
        <w:r w:rsidR="00940F6A">
          <w:rPr>
            <w:noProof/>
            <w:webHidden/>
          </w:rPr>
          <w:t>101</w:t>
        </w:r>
        <w:r w:rsidR="0014173B">
          <w:rPr>
            <w:noProof/>
            <w:webHidden/>
          </w:rPr>
          <w:fldChar w:fldCharType="end"/>
        </w:r>
      </w:hyperlink>
    </w:p>
    <w:p w14:paraId="2C1D56B6" w14:textId="0E9620FF" w:rsidR="0014173B" w:rsidRDefault="00422526">
      <w:pPr>
        <w:pStyle w:val="Indicedellefigure"/>
        <w:tabs>
          <w:tab w:val="right" w:leader="dot" w:pos="8488"/>
        </w:tabs>
        <w:rPr>
          <w:rFonts w:asciiTheme="minorHAnsi" w:hAnsiTheme="minorHAnsi" w:cstheme="minorBidi"/>
          <w:noProof/>
          <w:szCs w:val="22"/>
          <w:lang w:eastAsia="en-GB"/>
        </w:rPr>
      </w:pPr>
      <w:hyperlink w:anchor="_Toc520212307" w:history="1">
        <w:r w:rsidR="0014173B" w:rsidRPr="00292D0C">
          <w:rPr>
            <w:rStyle w:val="Collegamentoipertestuale"/>
            <w:noProof/>
          </w:rPr>
          <w:t>Figure 3-25. Interment types per tomb</w:t>
        </w:r>
        <w:r w:rsidR="00D15062">
          <w:rPr>
            <w:rStyle w:val="Collegamentoipertestuale"/>
            <w:noProof/>
          </w:rPr>
          <w:t>,</w:t>
        </w:r>
        <w:r w:rsidR="0014173B" w:rsidRPr="00292D0C">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_Toc520212307 \h </w:instrText>
        </w:r>
        <w:r w:rsidR="0014173B">
          <w:rPr>
            <w:noProof/>
            <w:webHidden/>
          </w:rPr>
        </w:r>
        <w:r w:rsidR="0014173B">
          <w:rPr>
            <w:noProof/>
            <w:webHidden/>
          </w:rPr>
          <w:fldChar w:fldCharType="separate"/>
        </w:r>
        <w:r w:rsidR="00940F6A">
          <w:rPr>
            <w:noProof/>
            <w:webHidden/>
          </w:rPr>
          <w:t>105</w:t>
        </w:r>
        <w:r w:rsidR="0014173B">
          <w:rPr>
            <w:noProof/>
            <w:webHidden/>
          </w:rPr>
          <w:fldChar w:fldCharType="end"/>
        </w:r>
      </w:hyperlink>
    </w:p>
    <w:p w14:paraId="7C9457BC" w14:textId="042F2424" w:rsidR="0014173B" w:rsidRDefault="00DB11B9">
      <w:pPr>
        <w:pStyle w:val="Indicedellefigure"/>
        <w:tabs>
          <w:tab w:val="right" w:leader="dot" w:pos="8488"/>
        </w:tabs>
        <w:rPr>
          <w:rFonts w:asciiTheme="minorHAnsi" w:hAnsiTheme="minorHAnsi" w:cstheme="minorBidi"/>
          <w:noProof/>
          <w:szCs w:val="22"/>
          <w:lang w:eastAsia="en-GB"/>
        </w:rPr>
      </w:pPr>
      <w:hyperlink w:anchor="_Toc520212308" w:history="1">
        <w:r w:rsidR="0014173B" w:rsidRPr="00292D0C">
          <w:rPr>
            <w:rStyle w:val="Collegamentoipertestuale"/>
            <w:noProof/>
          </w:rPr>
          <w:t>Figure 3-26. Chronological distribution of tomb</w:t>
        </w:r>
        <w:r w:rsidR="00D15062">
          <w:rPr>
            <w:rStyle w:val="Collegamentoipertestuale"/>
            <w:noProof/>
          </w:rPr>
          <w:t>s</w:t>
        </w:r>
        <w:r w:rsidR="0014173B" w:rsidRPr="00292D0C">
          <w:rPr>
            <w:rStyle w:val="Collegamentoipertestuale"/>
            <w:noProof/>
          </w:rPr>
          <w:t xml:space="preserve"> with larnakes</w:t>
        </w:r>
        <w:r w:rsidR="00D15062">
          <w:rPr>
            <w:rStyle w:val="Collegamentoipertestuale"/>
            <w:noProof/>
          </w:rPr>
          <w:t>,</w:t>
        </w:r>
        <w:r w:rsidR="0014173B" w:rsidRPr="00292D0C">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_Toc520212308 \h </w:instrText>
        </w:r>
        <w:r w:rsidR="0014173B">
          <w:rPr>
            <w:noProof/>
            <w:webHidden/>
          </w:rPr>
        </w:r>
        <w:r w:rsidR="0014173B">
          <w:rPr>
            <w:noProof/>
            <w:webHidden/>
          </w:rPr>
          <w:fldChar w:fldCharType="separate"/>
        </w:r>
        <w:r w:rsidR="00940F6A">
          <w:rPr>
            <w:noProof/>
            <w:webHidden/>
          </w:rPr>
          <w:t>106</w:t>
        </w:r>
        <w:r w:rsidR="0014173B">
          <w:rPr>
            <w:noProof/>
            <w:webHidden/>
          </w:rPr>
          <w:fldChar w:fldCharType="end"/>
        </w:r>
      </w:hyperlink>
    </w:p>
    <w:p w14:paraId="61F6BC68" w14:textId="6FE90726" w:rsidR="0014173B" w:rsidRDefault="00422526">
      <w:pPr>
        <w:pStyle w:val="Indicedellefigure"/>
        <w:tabs>
          <w:tab w:val="right" w:leader="dot" w:pos="8488"/>
        </w:tabs>
        <w:rPr>
          <w:rFonts w:asciiTheme="minorHAnsi" w:hAnsiTheme="minorHAnsi" w:cstheme="minorBidi"/>
          <w:noProof/>
          <w:szCs w:val="22"/>
          <w:lang w:eastAsia="en-GB"/>
        </w:rPr>
      </w:pPr>
      <w:hyperlink w:anchor="_Toc520212309" w:history="1">
        <w:r w:rsidR="0014173B" w:rsidRPr="00EA038B">
          <w:rPr>
            <w:rStyle w:val="Collegamentoipertestuale"/>
            <w:noProof/>
          </w:rPr>
          <w:t>Figure 3-27. LM III burial locations in the Central area</w:t>
        </w:r>
        <w:r w:rsidR="0014173B" w:rsidRPr="00EA038B">
          <w:rPr>
            <w:noProof/>
            <w:webHidden/>
          </w:rPr>
          <w:tab/>
        </w:r>
        <w:r w:rsidR="0014173B" w:rsidRPr="00EA038B">
          <w:rPr>
            <w:noProof/>
            <w:webHidden/>
          </w:rPr>
          <w:fldChar w:fldCharType="begin"/>
        </w:r>
        <w:r w:rsidR="0014173B" w:rsidRPr="00EA038B">
          <w:rPr>
            <w:noProof/>
            <w:webHidden/>
          </w:rPr>
          <w:instrText xml:space="preserve"> PAGEREF _Toc520212309 \h </w:instrText>
        </w:r>
        <w:r w:rsidR="0014173B" w:rsidRPr="00EA038B">
          <w:rPr>
            <w:noProof/>
            <w:webHidden/>
          </w:rPr>
        </w:r>
        <w:r w:rsidR="0014173B" w:rsidRPr="00EA038B">
          <w:rPr>
            <w:noProof/>
            <w:webHidden/>
          </w:rPr>
          <w:fldChar w:fldCharType="separate"/>
        </w:r>
        <w:r w:rsidR="00940F6A">
          <w:rPr>
            <w:noProof/>
            <w:webHidden/>
          </w:rPr>
          <w:t>108</w:t>
        </w:r>
        <w:r w:rsidR="0014173B" w:rsidRPr="00EA038B">
          <w:rPr>
            <w:noProof/>
            <w:webHidden/>
          </w:rPr>
          <w:fldChar w:fldCharType="end"/>
        </w:r>
      </w:hyperlink>
    </w:p>
    <w:p w14:paraId="51A6DE63" w14:textId="127D3987" w:rsidR="0014173B" w:rsidRDefault="00DB11B9">
      <w:pPr>
        <w:pStyle w:val="Indicedellefigure"/>
        <w:tabs>
          <w:tab w:val="right" w:leader="dot" w:pos="8488"/>
        </w:tabs>
        <w:rPr>
          <w:rFonts w:asciiTheme="minorHAnsi" w:hAnsiTheme="minorHAnsi" w:cstheme="minorBidi"/>
          <w:noProof/>
          <w:szCs w:val="22"/>
          <w:lang w:eastAsia="en-GB"/>
        </w:rPr>
      </w:pPr>
      <w:hyperlink w:anchor="_Toc520212310" w:history="1">
        <w:r w:rsidR="0014173B" w:rsidRPr="00292D0C">
          <w:rPr>
            <w:rStyle w:val="Collegamentoipertestuale"/>
            <w:noProof/>
          </w:rPr>
          <w:t>Figure 3-28. Distribution of LMIII burial locations in the Central area (Source: Author)</w:t>
        </w:r>
        <w:r w:rsidR="0014173B">
          <w:rPr>
            <w:noProof/>
            <w:webHidden/>
          </w:rPr>
          <w:tab/>
        </w:r>
        <w:r w:rsidR="0014173B">
          <w:rPr>
            <w:noProof/>
            <w:webHidden/>
          </w:rPr>
          <w:fldChar w:fldCharType="begin"/>
        </w:r>
        <w:r w:rsidR="0014173B">
          <w:rPr>
            <w:noProof/>
            <w:webHidden/>
          </w:rPr>
          <w:instrText xml:space="preserve"> PAGEREF _Toc520212310 \h </w:instrText>
        </w:r>
        <w:r w:rsidR="0014173B">
          <w:rPr>
            <w:noProof/>
            <w:webHidden/>
          </w:rPr>
        </w:r>
        <w:r w:rsidR="0014173B">
          <w:rPr>
            <w:noProof/>
            <w:webHidden/>
          </w:rPr>
          <w:fldChar w:fldCharType="separate"/>
        </w:r>
        <w:r w:rsidR="00940F6A">
          <w:rPr>
            <w:noProof/>
            <w:webHidden/>
          </w:rPr>
          <w:t>108</w:t>
        </w:r>
        <w:r w:rsidR="0014173B">
          <w:rPr>
            <w:noProof/>
            <w:webHidden/>
          </w:rPr>
          <w:fldChar w:fldCharType="end"/>
        </w:r>
      </w:hyperlink>
    </w:p>
    <w:p w14:paraId="09AE586E" w14:textId="374C4F5E" w:rsidR="0014173B" w:rsidRDefault="00DB11B9">
      <w:pPr>
        <w:pStyle w:val="Indicedellefigure"/>
        <w:tabs>
          <w:tab w:val="right" w:leader="dot" w:pos="8488"/>
        </w:tabs>
        <w:rPr>
          <w:rFonts w:asciiTheme="minorHAnsi" w:hAnsiTheme="minorHAnsi" w:cstheme="minorBidi"/>
          <w:noProof/>
          <w:szCs w:val="22"/>
          <w:lang w:eastAsia="en-GB"/>
        </w:rPr>
      </w:pPr>
      <w:hyperlink w:anchor="_Toc520212311" w:history="1">
        <w:r w:rsidR="0014173B" w:rsidRPr="00292D0C">
          <w:rPr>
            <w:rStyle w:val="Collegamentoipertestuale"/>
            <w:noProof/>
          </w:rPr>
          <w:t>Figure 3-29. Number of tombs by cemetery</w:t>
        </w:r>
        <w:r w:rsidR="00D15062">
          <w:rPr>
            <w:rStyle w:val="Collegamentoipertestuale"/>
            <w:noProof/>
          </w:rPr>
          <w:t>,</w:t>
        </w:r>
        <w:r w:rsidR="0014173B" w:rsidRPr="00292D0C">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_Toc520212311 \h </w:instrText>
        </w:r>
        <w:r w:rsidR="0014173B">
          <w:rPr>
            <w:noProof/>
            <w:webHidden/>
          </w:rPr>
        </w:r>
        <w:r w:rsidR="0014173B">
          <w:rPr>
            <w:noProof/>
            <w:webHidden/>
          </w:rPr>
          <w:fldChar w:fldCharType="separate"/>
        </w:r>
        <w:r w:rsidR="00940F6A">
          <w:rPr>
            <w:noProof/>
            <w:webHidden/>
          </w:rPr>
          <w:t>110</w:t>
        </w:r>
        <w:r w:rsidR="0014173B">
          <w:rPr>
            <w:noProof/>
            <w:webHidden/>
          </w:rPr>
          <w:fldChar w:fldCharType="end"/>
        </w:r>
      </w:hyperlink>
    </w:p>
    <w:p w14:paraId="00832CFC" w14:textId="6B846333" w:rsidR="0014173B" w:rsidRDefault="00422526">
      <w:pPr>
        <w:pStyle w:val="Indicedellefigure"/>
        <w:tabs>
          <w:tab w:val="right" w:leader="dot" w:pos="8488"/>
        </w:tabs>
        <w:rPr>
          <w:rFonts w:asciiTheme="minorHAnsi" w:hAnsiTheme="minorHAnsi" w:cstheme="minorBidi"/>
          <w:noProof/>
          <w:szCs w:val="22"/>
          <w:lang w:eastAsia="en-GB"/>
        </w:rPr>
      </w:pPr>
      <w:hyperlink w:anchor="_Toc520212312" w:history="1">
        <w:r w:rsidR="0014173B" w:rsidRPr="00292D0C">
          <w:rPr>
            <w:rStyle w:val="Collegamentoipertestuale"/>
            <w:noProof/>
          </w:rPr>
          <w:t>Figure 3-30. Larnax distribution by tomb</w:t>
        </w:r>
        <w:r w:rsidR="00D15062">
          <w:rPr>
            <w:rStyle w:val="Collegamentoipertestuale"/>
            <w:noProof/>
          </w:rPr>
          <w:t>,</w:t>
        </w:r>
        <w:r w:rsidR="0014173B" w:rsidRPr="00292D0C">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_Toc520212312 \h </w:instrText>
        </w:r>
        <w:r w:rsidR="0014173B">
          <w:rPr>
            <w:noProof/>
            <w:webHidden/>
          </w:rPr>
        </w:r>
        <w:r w:rsidR="0014173B">
          <w:rPr>
            <w:noProof/>
            <w:webHidden/>
          </w:rPr>
          <w:fldChar w:fldCharType="separate"/>
        </w:r>
        <w:r w:rsidR="00940F6A">
          <w:rPr>
            <w:noProof/>
            <w:webHidden/>
          </w:rPr>
          <w:t>115</w:t>
        </w:r>
        <w:r w:rsidR="0014173B">
          <w:rPr>
            <w:noProof/>
            <w:webHidden/>
          </w:rPr>
          <w:fldChar w:fldCharType="end"/>
        </w:r>
      </w:hyperlink>
    </w:p>
    <w:p w14:paraId="43617BCA" w14:textId="50DE8A62" w:rsidR="0014173B" w:rsidRDefault="00422526">
      <w:pPr>
        <w:pStyle w:val="Indicedellefigure"/>
        <w:tabs>
          <w:tab w:val="right" w:leader="dot" w:pos="8488"/>
        </w:tabs>
        <w:rPr>
          <w:rFonts w:asciiTheme="minorHAnsi" w:hAnsiTheme="minorHAnsi" w:cstheme="minorBidi"/>
          <w:noProof/>
          <w:szCs w:val="22"/>
          <w:lang w:eastAsia="en-GB"/>
        </w:rPr>
      </w:pPr>
      <w:hyperlink w:anchor="_Toc520212313" w:history="1">
        <w:r w:rsidR="0014173B" w:rsidRPr="00292D0C">
          <w:rPr>
            <w:rStyle w:val="Collegamentoipertestuale"/>
            <w:noProof/>
          </w:rPr>
          <w:t>Figure 3-31. Tombs with larnax occurrence and tombs without larnakes</w:t>
        </w:r>
        <w:r w:rsidR="00D15062">
          <w:rPr>
            <w:rStyle w:val="Collegamentoipertestuale"/>
            <w:noProof/>
          </w:rPr>
          <w:t>,</w:t>
        </w:r>
        <w:r w:rsidR="0014173B" w:rsidRPr="00292D0C">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_Toc520212313 \h </w:instrText>
        </w:r>
        <w:r w:rsidR="0014173B">
          <w:rPr>
            <w:noProof/>
            <w:webHidden/>
          </w:rPr>
        </w:r>
        <w:r w:rsidR="0014173B">
          <w:rPr>
            <w:noProof/>
            <w:webHidden/>
          </w:rPr>
          <w:fldChar w:fldCharType="separate"/>
        </w:r>
        <w:r w:rsidR="00940F6A">
          <w:rPr>
            <w:noProof/>
            <w:webHidden/>
          </w:rPr>
          <w:t>115</w:t>
        </w:r>
        <w:r w:rsidR="0014173B">
          <w:rPr>
            <w:noProof/>
            <w:webHidden/>
          </w:rPr>
          <w:fldChar w:fldCharType="end"/>
        </w:r>
      </w:hyperlink>
    </w:p>
    <w:p w14:paraId="0DD6CFBA" w14:textId="7AB83455" w:rsidR="0014173B" w:rsidRDefault="00422526">
      <w:pPr>
        <w:pStyle w:val="Indicedellefigure"/>
        <w:tabs>
          <w:tab w:val="right" w:leader="dot" w:pos="8488"/>
        </w:tabs>
        <w:rPr>
          <w:rFonts w:asciiTheme="minorHAnsi" w:hAnsiTheme="minorHAnsi" w:cstheme="minorBidi"/>
          <w:noProof/>
          <w:szCs w:val="22"/>
          <w:lang w:eastAsia="en-GB"/>
        </w:rPr>
      </w:pPr>
      <w:hyperlink w:anchor="_Toc520212314" w:history="1">
        <w:r w:rsidR="0014173B" w:rsidRPr="00292D0C">
          <w:rPr>
            <w:rStyle w:val="Collegamentoipertestuale"/>
            <w:noProof/>
          </w:rPr>
          <w:t>Figure 3-32. Tomb types associated with larnax burials in the Central area</w:t>
        </w:r>
        <w:r w:rsidR="0014173B">
          <w:rPr>
            <w:noProof/>
            <w:webHidden/>
          </w:rPr>
          <w:tab/>
        </w:r>
        <w:r w:rsidR="0014173B">
          <w:rPr>
            <w:noProof/>
            <w:webHidden/>
          </w:rPr>
          <w:fldChar w:fldCharType="begin"/>
        </w:r>
        <w:r w:rsidR="0014173B">
          <w:rPr>
            <w:noProof/>
            <w:webHidden/>
          </w:rPr>
          <w:instrText xml:space="preserve"> PAGEREF _Toc520212314 \h </w:instrText>
        </w:r>
        <w:r w:rsidR="0014173B">
          <w:rPr>
            <w:noProof/>
            <w:webHidden/>
          </w:rPr>
        </w:r>
        <w:r w:rsidR="0014173B">
          <w:rPr>
            <w:noProof/>
            <w:webHidden/>
          </w:rPr>
          <w:fldChar w:fldCharType="separate"/>
        </w:r>
        <w:r w:rsidR="00940F6A">
          <w:rPr>
            <w:noProof/>
            <w:webHidden/>
          </w:rPr>
          <w:t>116</w:t>
        </w:r>
        <w:r w:rsidR="0014173B">
          <w:rPr>
            <w:noProof/>
            <w:webHidden/>
          </w:rPr>
          <w:fldChar w:fldCharType="end"/>
        </w:r>
      </w:hyperlink>
    </w:p>
    <w:p w14:paraId="04EBBB43" w14:textId="046FB496" w:rsidR="0014173B" w:rsidRDefault="00422526">
      <w:pPr>
        <w:pStyle w:val="Indicedellefigure"/>
        <w:tabs>
          <w:tab w:val="right" w:leader="dot" w:pos="8488"/>
        </w:tabs>
        <w:rPr>
          <w:rFonts w:asciiTheme="minorHAnsi" w:hAnsiTheme="minorHAnsi" w:cstheme="minorBidi"/>
          <w:noProof/>
          <w:szCs w:val="22"/>
          <w:lang w:eastAsia="en-GB"/>
        </w:rPr>
      </w:pPr>
      <w:hyperlink w:anchor="_Toc520212315" w:history="1">
        <w:r w:rsidR="0014173B" w:rsidRPr="00292D0C">
          <w:rPr>
            <w:rStyle w:val="Collegamentoipertestuale"/>
            <w:noProof/>
          </w:rPr>
          <w:t>Figure 3-33. Interment types per tomb</w:t>
        </w:r>
        <w:r w:rsidR="00D15062">
          <w:rPr>
            <w:rStyle w:val="Collegamentoipertestuale"/>
            <w:noProof/>
          </w:rPr>
          <w:t>,</w:t>
        </w:r>
        <w:r w:rsidR="0014173B" w:rsidRPr="00292D0C">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_Toc520212315 \h </w:instrText>
        </w:r>
        <w:r w:rsidR="0014173B">
          <w:rPr>
            <w:noProof/>
            <w:webHidden/>
          </w:rPr>
        </w:r>
        <w:r w:rsidR="0014173B">
          <w:rPr>
            <w:noProof/>
            <w:webHidden/>
          </w:rPr>
          <w:fldChar w:fldCharType="separate"/>
        </w:r>
        <w:r w:rsidR="00940F6A">
          <w:rPr>
            <w:noProof/>
            <w:webHidden/>
          </w:rPr>
          <w:t>121</w:t>
        </w:r>
        <w:r w:rsidR="0014173B">
          <w:rPr>
            <w:noProof/>
            <w:webHidden/>
          </w:rPr>
          <w:fldChar w:fldCharType="end"/>
        </w:r>
      </w:hyperlink>
    </w:p>
    <w:p w14:paraId="627B9EA7" w14:textId="058DA444" w:rsidR="0014173B" w:rsidRDefault="00422526">
      <w:pPr>
        <w:pStyle w:val="Indicedellefigure"/>
        <w:tabs>
          <w:tab w:val="right" w:leader="dot" w:pos="8488"/>
        </w:tabs>
        <w:rPr>
          <w:rFonts w:asciiTheme="minorHAnsi" w:hAnsiTheme="minorHAnsi" w:cstheme="minorBidi"/>
          <w:noProof/>
          <w:szCs w:val="22"/>
          <w:lang w:eastAsia="en-GB"/>
        </w:rPr>
      </w:pPr>
      <w:hyperlink w:anchor="_Toc520212316" w:history="1">
        <w:r w:rsidR="0014173B" w:rsidRPr="00292D0C">
          <w:rPr>
            <w:rStyle w:val="Collegamentoipertestuale"/>
            <w:noProof/>
          </w:rPr>
          <w:t>Figure 3-34. Chronological distribution of tomb</w:t>
        </w:r>
        <w:r w:rsidR="00D15062">
          <w:rPr>
            <w:rStyle w:val="Collegamentoipertestuale"/>
            <w:noProof/>
          </w:rPr>
          <w:t>s</w:t>
        </w:r>
        <w:r w:rsidR="0014173B" w:rsidRPr="00292D0C">
          <w:rPr>
            <w:rStyle w:val="Collegamentoipertestuale"/>
            <w:noProof/>
          </w:rPr>
          <w:t xml:space="preserve"> with larnakes</w:t>
        </w:r>
        <w:r w:rsidR="00D15062">
          <w:rPr>
            <w:rStyle w:val="Collegamentoipertestuale"/>
            <w:noProof/>
          </w:rPr>
          <w:t>,</w:t>
        </w:r>
        <w:r w:rsidR="0014173B" w:rsidRPr="00292D0C">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_Toc520212316 \h </w:instrText>
        </w:r>
        <w:r w:rsidR="0014173B">
          <w:rPr>
            <w:noProof/>
            <w:webHidden/>
          </w:rPr>
        </w:r>
        <w:r w:rsidR="0014173B">
          <w:rPr>
            <w:noProof/>
            <w:webHidden/>
          </w:rPr>
          <w:fldChar w:fldCharType="separate"/>
        </w:r>
        <w:r w:rsidR="00940F6A">
          <w:rPr>
            <w:noProof/>
            <w:webHidden/>
          </w:rPr>
          <w:t>122</w:t>
        </w:r>
        <w:r w:rsidR="0014173B">
          <w:rPr>
            <w:noProof/>
            <w:webHidden/>
          </w:rPr>
          <w:fldChar w:fldCharType="end"/>
        </w:r>
      </w:hyperlink>
    </w:p>
    <w:p w14:paraId="3B82580A" w14:textId="5202CD4E" w:rsidR="0014173B" w:rsidRDefault="00422526">
      <w:pPr>
        <w:pStyle w:val="Indicedellefigure"/>
        <w:tabs>
          <w:tab w:val="right" w:leader="dot" w:pos="8488"/>
        </w:tabs>
        <w:rPr>
          <w:rFonts w:asciiTheme="minorHAnsi" w:hAnsiTheme="minorHAnsi" w:cstheme="minorBidi"/>
          <w:noProof/>
          <w:szCs w:val="22"/>
          <w:lang w:eastAsia="en-GB"/>
        </w:rPr>
      </w:pPr>
      <w:hyperlink w:anchor="_Toc520212317" w:history="1">
        <w:r w:rsidR="0014173B" w:rsidRPr="00EA038B">
          <w:rPr>
            <w:rStyle w:val="Collegamentoipertestuale"/>
            <w:noProof/>
          </w:rPr>
          <w:t>Figure 3-35. LM III burial locations in the Mid-East area</w:t>
        </w:r>
        <w:r w:rsidR="0014173B" w:rsidRPr="00EA038B">
          <w:rPr>
            <w:noProof/>
            <w:webHidden/>
          </w:rPr>
          <w:tab/>
        </w:r>
        <w:r w:rsidR="0014173B" w:rsidRPr="00EA038B">
          <w:rPr>
            <w:noProof/>
            <w:webHidden/>
          </w:rPr>
          <w:fldChar w:fldCharType="begin"/>
        </w:r>
        <w:r w:rsidR="0014173B" w:rsidRPr="00EA038B">
          <w:rPr>
            <w:noProof/>
            <w:webHidden/>
          </w:rPr>
          <w:instrText xml:space="preserve"> PAGEREF _Toc520212317 \h </w:instrText>
        </w:r>
        <w:r w:rsidR="0014173B" w:rsidRPr="00EA038B">
          <w:rPr>
            <w:noProof/>
            <w:webHidden/>
          </w:rPr>
        </w:r>
        <w:r w:rsidR="0014173B" w:rsidRPr="00EA038B">
          <w:rPr>
            <w:noProof/>
            <w:webHidden/>
          </w:rPr>
          <w:fldChar w:fldCharType="separate"/>
        </w:r>
        <w:r w:rsidR="00940F6A">
          <w:rPr>
            <w:noProof/>
            <w:webHidden/>
          </w:rPr>
          <w:t>124</w:t>
        </w:r>
        <w:r w:rsidR="0014173B" w:rsidRPr="00EA038B">
          <w:rPr>
            <w:noProof/>
            <w:webHidden/>
          </w:rPr>
          <w:fldChar w:fldCharType="end"/>
        </w:r>
      </w:hyperlink>
    </w:p>
    <w:p w14:paraId="12785CA4" w14:textId="01C332FA" w:rsidR="0014173B" w:rsidRDefault="00422526">
      <w:pPr>
        <w:pStyle w:val="Indicedellefigure"/>
        <w:tabs>
          <w:tab w:val="right" w:leader="dot" w:pos="8488"/>
        </w:tabs>
        <w:rPr>
          <w:rFonts w:asciiTheme="minorHAnsi" w:hAnsiTheme="minorHAnsi" w:cstheme="minorBidi"/>
          <w:noProof/>
          <w:szCs w:val="22"/>
          <w:lang w:eastAsia="en-GB"/>
        </w:rPr>
      </w:pPr>
      <w:hyperlink w:anchor="_Toc520212318" w:history="1">
        <w:r w:rsidR="0014173B" w:rsidRPr="00292D0C">
          <w:rPr>
            <w:rStyle w:val="Collegamentoipertestuale"/>
            <w:noProof/>
          </w:rPr>
          <w:t>Figure 3-36. Distribution of LMIII burial locations in the Mid-East area (Source: Author)</w:t>
        </w:r>
        <w:r w:rsidR="0014173B">
          <w:rPr>
            <w:noProof/>
            <w:webHidden/>
          </w:rPr>
          <w:tab/>
        </w:r>
        <w:r w:rsidR="0014173B">
          <w:rPr>
            <w:noProof/>
            <w:webHidden/>
          </w:rPr>
          <w:fldChar w:fldCharType="begin"/>
        </w:r>
        <w:r w:rsidR="0014173B">
          <w:rPr>
            <w:noProof/>
            <w:webHidden/>
          </w:rPr>
          <w:instrText xml:space="preserve"> PAGEREF _Toc520212318 \h </w:instrText>
        </w:r>
        <w:r w:rsidR="0014173B">
          <w:rPr>
            <w:noProof/>
            <w:webHidden/>
          </w:rPr>
        </w:r>
        <w:r w:rsidR="0014173B">
          <w:rPr>
            <w:noProof/>
            <w:webHidden/>
          </w:rPr>
          <w:fldChar w:fldCharType="separate"/>
        </w:r>
        <w:r w:rsidR="00940F6A">
          <w:rPr>
            <w:noProof/>
            <w:webHidden/>
          </w:rPr>
          <w:t>125</w:t>
        </w:r>
        <w:r w:rsidR="0014173B">
          <w:rPr>
            <w:noProof/>
            <w:webHidden/>
          </w:rPr>
          <w:fldChar w:fldCharType="end"/>
        </w:r>
      </w:hyperlink>
    </w:p>
    <w:p w14:paraId="2E86AD5C" w14:textId="56CD158B" w:rsidR="0014173B" w:rsidRDefault="00422526">
      <w:pPr>
        <w:pStyle w:val="Indicedellefigure"/>
        <w:tabs>
          <w:tab w:val="right" w:leader="dot" w:pos="8488"/>
        </w:tabs>
        <w:rPr>
          <w:rFonts w:asciiTheme="minorHAnsi" w:hAnsiTheme="minorHAnsi" w:cstheme="minorBidi"/>
          <w:noProof/>
          <w:szCs w:val="22"/>
          <w:lang w:eastAsia="en-GB"/>
        </w:rPr>
      </w:pPr>
      <w:hyperlink w:anchor="_Toc520212319" w:history="1">
        <w:r w:rsidR="0014173B" w:rsidRPr="00292D0C">
          <w:rPr>
            <w:rStyle w:val="Collegamentoipertestuale"/>
            <w:noProof/>
          </w:rPr>
          <w:t>Figure 3-37. Number of tombs by cemetery</w:t>
        </w:r>
        <w:r w:rsidR="00D15062">
          <w:rPr>
            <w:rStyle w:val="Collegamentoipertestuale"/>
            <w:noProof/>
          </w:rPr>
          <w:t>,</w:t>
        </w:r>
        <w:r w:rsidR="0014173B" w:rsidRPr="00292D0C">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_Toc520212319 \h </w:instrText>
        </w:r>
        <w:r w:rsidR="0014173B">
          <w:rPr>
            <w:noProof/>
            <w:webHidden/>
          </w:rPr>
        </w:r>
        <w:r w:rsidR="0014173B">
          <w:rPr>
            <w:noProof/>
            <w:webHidden/>
          </w:rPr>
          <w:fldChar w:fldCharType="separate"/>
        </w:r>
        <w:r w:rsidR="00940F6A">
          <w:rPr>
            <w:noProof/>
            <w:webHidden/>
          </w:rPr>
          <w:t>127</w:t>
        </w:r>
        <w:r w:rsidR="0014173B">
          <w:rPr>
            <w:noProof/>
            <w:webHidden/>
          </w:rPr>
          <w:fldChar w:fldCharType="end"/>
        </w:r>
      </w:hyperlink>
    </w:p>
    <w:p w14:paraId="7FB57B95" w14:textId="14C0601F" w:rsidR="0014173B" w:rsidRDefault="00422526">
      <w:pPr>
        <w:pStyle w:val="Indicedellefigure"/>
        <w:tabs>
          <w:tab w:val="right" w:leader="dot" w:pos="8488"/>
        </w:tabs>
        <w:rPr>
          <w:rFonts w:asciiTheme="minorHAnsi" w:hAnsiTheme="minorHAnsi" w:cstheme="minorBidi"/>
          <w:noProof/>
          <w:szCs w:val="22"/>
          <w:lang w:eastAsia="en-GB"/>
        </w:rPr>
      </w:pPr>
      <w:hyperlink w:anchor="_Toc520212320" w:history="1">
        <w:r w:rsidR="0014173B" w:rsidRPr="00292D0C">
          <w:rPr>
            <w:rStyle w:val="Collegamentoipertestuale"/>
            <w:noProof/>
          </w:rPr>
          <w:t>Figure 3-38. Larnax distribution by tomb</w:t>
        </w:r>
        <w:r w:rsidR="00D15062">
          <w:rPr>
            <w:rStyle w:val="Collegamentoipertestuale"/>
            <w:noProof/>
          </w:rPr>
          <w:t>,</w:t>
        </w:r>
        <w:r w:rsidR="0014173B" w:rsidRPr="00292D0C">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_Toc520212320 \h </w:instrText>
        </w:r>
        <w:r w:rsidR="0014173B">
          <w:rPr>
            <w:noProof/>
            <w:webHidden/>
          </w:rPr>
        </w:r>
        <w:r w:rsidR="0014173B">
          <w:rPr>
            <w:noProof/>
            <w:webHidden/>
          </w:rPr>
          <w:fldChar w:fldCharType="separate"/>
        </w:r>
        <w:r w:rsidR="00940F6A">
          <w:rPr>
            <w:noProof/>
            <w:webHidden/>
          </w:rPr>
          <w:t>128</w:t>
        </w:r>
        <w:r w:rsidR="0014173B">
          <w:rPr>
            <w:noProof/>
            <w:webHidden/>
          </w:rPr>
          <w:fldChar w:fldCharType="end"/>
        </w:r>
      </w:hyperlink>
    </w:p>
    <w:p w14:paraId="3C93DB8A" w14:textId="782BFCE7" w:rsidR="0014173B" w:rsidRDefault="00422526">
      <w:pPr>
        <w:pStyle w:val="Indicedellefigure"/>
        <w:tabs>
          <w:tab w:val="right" w:leader="dot" w:pos="8488"/>
        </w:tabs>
        <w:rPr>
          <w:rFonts w:asciiTheme="minorHAnsi" w:hAnsiTheme="minorHAnsi" w:cstheme="minorBidi"/>
          <w:noProof/>
          <w:szCs w:val="22"/>
          <w:lang w:eastAsia="en-GB"/>
        </w:rPr>
      </w:pPr>
      <w:hyperlink w:anchor="_Toc520212322" w:history="1">
        <w:r w:rsidR="0014173B" w:rsidRPr="00292D0C">
          <w:rPr>
            <w:rStyle w:val="Collegamentoipertestuale"/>
            <w:noProof/>
          </w:rPr>
          <w:t xml:space="preserve">Figure 3-39. Tombs with </w:t>
        </w:r>
        <w:r w:rsidR="00D15062">
          <w:rPr>
            <w:rStyle w:val="Collegamentoipertestuale"/>
            <w:noProof/>
          </w:rPr>
          <w:t xml:space="preserve">larnax </w:t>
        </w:r>
        <w:r w:rsidR="0014173B" w:rsidRPr="00292D0C">
          <w:rPr>
            <w:rStyle w:val="Collegamentoipertestuale"/>
            <w:noProof/>
          </w:rPr>
          <w:t>occurrence and tombs without larnakes</w:t>
        </w:r>
        <w:r w:rsidR="00D15062">
          <w:rPr>
            <w:rStyle w:val="Collegamentoipertestuale"/>
            <w:noProof/>
          </w:rPr>
          <w:t>,</w:t>
        </w:r>
        <w:r w:rsidR="0014173B" w:rsidRPr="00292D0C">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_Toc520212322 \h </w:instrText>
        </w:r>
        <w:r w:rsidR="0014173B">
          <w:rPr>
            <w:noProof/>
            <w:webHidden/>
          </w:rPr>
        </w:r>
        <w:r w:rsidR="0014173B">
          <w:rPr>
            <w:noProof/>
            <w:webHidden/>
          </w:rPr>
          <w:fldChar w:fldCharType="separate"/>
        </w:r>
        <w:r w:rsidR="00940F6A">
          <w:rPr>
            <w:noProof/>
            <w:webHidden/>
          </w:rPr>
          <w:t>129</w:t>
        </w:r>
        <w:r w:rsidR="0014173B">
          <w:rPr>
            <w:noProof/>
            <w:webHidden/>
          </w:rPr>
          <w:fldChar w:fldCharType="end"/>
        </w:r>
      </w:hyperlink>
    </w:p>
    <w:p w14:paraId="0F5A0F08" w14:textId="0C8E0D82" w:rsidR="0014173B" w:rsidRDefault="00422526">
      <w:pPr>
        <w:pStyle w:val="Indicedellefigure"/>
        <w:tabs>
          <w:tab w:val="right" w:leader="dot" w:pos="8488"/>
        </w:tabs>
        <w:rPr>
          <w:rFonts w:asciiTheme="minorHAnsi" w:hAnsiTheme="minorHAnsi" w:cstheme="minorBidi"/>
          <w:noProof/>
          <w:szCs w:val="22"/>
          <w:lang w:eastAsia="en-GB"/>
        </w:rPr>
      </w:pPr>
      <w:hyperlink w:anchor="_Toc520212323" w:history="1">
        <w:r w:rsidR="0014173B" w:rsidRPr="00292D0C">
          <w:rPr>
            <w:rStyle w:val="Collegamentoipertestuale"/>
            <w:noProof/>
          </w:rPr>
          <w:t>Figure 3-40. Tomb types associated with larnax burials in the Mid-East area</w:t>
        </w:r>
        <w:r w:rsidR="0014173B">
          <w:rPr>
            <w:noProof/>
            <w:webHidden/>
          </w:rPr>
          <w:tab/>
        </w:r>
        <w:r w:rsidR="0014173B">
          <w:rPr>
            <w:noProof/>
            <w:webHidden/>
          </w:rPr>
          <w:fldChar w:fldCharType="begin"/>
        </w:r>
        <w:r w:rsidR="0014173B">
          <w:rPr>
            <w:noProof/>
            <w:webHidden/>
          </w:rPr>
          <w:instrText xml:space="preserve"> PAGEREF _Toc520212323 \h </w:instrText>
        </w:r>
        <w:r w:rsidR="0014173B">
          <w:rPr>
            <w:noProof/>
            <w:webHidden/>
          </w:rPr>
        </w:r>
        <w:r w:rsidR="0014173B">
          <w:rPr>
            <w:noProof/>
            <w:webHidden/>
          </w:rPr>
          <w:fldChar w:fldCharType="separate"/>
        </w:r>
        <w:r w:rsidR="00940F6A">
          <w:rPr>
            <w:noProof/>
            <w:webHidden/>
          </w:rPr>
          <w:t>129</w:t>
        </w:r>
        <w:r w:rsidR="0014173B">
          <w:rPr>
            <w:noProof/>
            <w:webHidden/>
          </w:rPr>
          <w:fldChar w:fldCharType="end"/>
        </w:r>
      </w:hyperlink>
    </w:p>
    <w:p w14:paraId="0CFF6DD7" w14:textId="4A9225B3" w:rsidR="0014173B" w:rsidRDefault="00422526">
      <w:pPr>
        <w:pStyle w:val="Indicedellefigure"/>
        <w:tabs>
          <w:tab w:val="right" w:leader="dot" w:pos="8488"/>
        </w:tabs>
        <w:rPr>
          <w:rFonts w:asciiTheme="minorHAnsi" w:hAnsiTheme="minorHAnsi" w:cstheme="minorBidi"/>
          <w:noProof/>
          <w:szCs w:val="22"/>
          <w:lang w:eastAsia="en-GB"/>
        </w:rPr>
      </w:pPr>
      <w:hyperlink w:anchor="_Toc520212324" w:history="1">
        <w:r w:rsidR="0014173B" w:rsidRPr="00292D0C">
          <w:rPr>
            <w:rStyle w:val="Collegamentoipertestuale"/>
            <w:noProof/>
          </w:rPr>
          <w:t>Figure 3-41. Interment type per tomb</w:t>
        </w:r>
        <w:r w:rsidR="00D15062">
          <w:rPr>
            <w:rStyle w:val="Collegamentoipertestuale"/>
            <w:noProof/>
          </w:rPr>
          <w:t>,</w:t>
        </w:r>
        <w:r w:rsidR="0014173B" w:rsidRPr="00292D0C">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_Toc520212324 \h </w:instrText>
        </w:r>
        <w:r w:rsidR="0014173B">
          <w:rPr>
            <w:noProof/>
            <w:webHidden/>
          </w:rPr>
        </w:r>
        <w:r w:rsidR="0014173B">
          <w:rPr>
            <w:noProof/>
            <w:webHidden/>
          </w:rPr>
          <w:fldChar w:fldCharType="separate"/>
        </w:r>
        <w:r w:rsidR="00940F6A">
          <w:rPr>
            <w:noProof/>
            <w:webHidden/>
          </w:rPr>
          <w:t>133</w:t>
        </w:r>
        <w:r w:rsidR="0014173B">
          <w:rPr>
            <w:noProof/>
            <w:webHidden/>
          </w:rPr>
          <w:fldChar w:fldCharType="end"/>
        </w:r>
      </w:hyperlink>
    </w:p>
    <w:p w14:paraId="3E2592F8" w14:textId="63BD2090" w:rsidR="0014173B" w:rsidRDefault="00422526">
      <w:pPr>
        <w:pStyle w:val="Indicedellefigure"/>
        <w:tabs>
          <w:tab w:val="right" w:leader="dot" w:pos="8488"/>
        </w:tabs>
        <w:rPr>
          <w:rFonts w:asciiTheme="minorHAnsi" w:hAnsiTheme="minorHAnsi" w:cstheme="minorBidi"/>
          <w:noProof/>
          <w:szCs w:val="22"/>
          <w:lang w:eastAsia="en-GB"/>
        </w:rPr>
      </w:pPr>
      <w:hyperlink w:anchor="_Toc520212325" w:history="1">
        <w:r w:rsidR="0014173B" w:rsidRPr="00292D0C">
          <w:rPr>
            <w:rStyle w:val="Collegamentoipertestuale"/>
            <w:noProof/>
          </w:rPr>
          <w:t>Figure 3-42. Chronological distribution of tombs with larnakes</w:t>
        </w:r>
        <w:r w:rsidR="00D15062">
          <w:rPr>
            <w:rStyle w:val="Collegamentoipertestuale"/>
            <w:noProof/>
          </w:rPr>
          <w:t>,</w:t>
        </w:r>
        <w:r w:rsidR="0014173B" w:rsidRPr="00292D0C">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_Toc520212325 \h </w:instrText>
        </w:r>
        <w:r w:rsidR="0014173B">
          <w:rPr>
            <w:noProof/>
            <w:webHidden/>
          </w:rPr>
        </w:r>
        <w:r w:rsidR="0014173B">
          <w:rPr>
            <w:noProof/>
            <w:webHidden/>
          </w:rPr>
          <w:fldChar w:fldCharType="separate"/>
        </w:r>
        <w:r w:rsidR="00940F6A">
          <w:rPr>
            <w:noProof/>
            <w:webHidden/>
          </w:rPr>
          <w:t>134</w:t>
        </w:r>
        <w:r w:rsidR="0014173B">
          <w:rPr>
            <w:noProof/>
            <w:webHidden/>
          </w:rPr>
          <w:fldChar w:fldCharType="end"/>
        </w:r>
      </w:hyperlink>
    </w:p>
    <w:p w14:paraId="428400F8" w14:textId="17BF97B5" w:rsidR="0014173B" w:rsidRDefault="00422526">
      <w:pPr>
        <w:pStyle w:val="Indicedellefigure"/>
        <w:tabs>
          <w:tab w:val="right" w:leader="dot" w:pos="8488"/>
        </w:tabs>
        <w:rPr>
          <w:rFonts w:asciiTheme="minorHAnsi" w:hAnsiTheme="minorHAnsi" w:cstheme="minorBidi"/>
          <w:noProof/>
          <w:szCs w:val="22"/>
          <w:lang w:eastAsia="en-GB"/>
        </w:rPr>
      </w:pPr>
      <w:hyperlink w:anchor="_Toc520212326" w:history="1">
        <w:r w:rsidR="0014173B" w:rsidRPr="00EA038B">
          <w:rPr>
            <w:rStyle w:val="Collegamentoipertestuale"/>
            <w:noProof/>
          </w:rPr>
          <w:t>Figure 3-43. LM III burial locations in the Far-East area</w:t>
        </w:r>
        <w:r w:rsidR="0014173B" w:rsidRPr="00EA038B">
          <w:rPr>
            <w:noProof/>
            <w:webHidden/>
          </w:rPr>
          <w:tab/>
        </w:r>
        <w:r w:rsidR="0014173B" w:rsidRPr="00EA038B">
          <w:rPr>
            <w:noProof/>
            <w:webHidden/>
          </w:rPr>
          <w:fldChar w:fldCharType="begin"/>
        </w:r>
        <w:r w:rsidR="0014173B" w:rsidRPr="00EA038B">
          <w:rPr>
            <w:noProof/>
            <w:webHidden/>
          </w:rPr>
          <w:instrText xml:space="preserve"> PAGEREF _Toc520212326 \h </w:instrText>
        </w:r>
        <w:r w:rsidR="0014173B" w:rsidRPr="00EA038B">
          <w:rPr>
            <w:noProof/>
            <w:webHidden/>
          </w:rPr>
        </w:r>
        <w:r w:rsidR="0014173B" w:rsidRPr="00EA038B">
          <w:rPr>
            <w:noProof/>
            <w:webHidden/>
          </w:rPr>
          <w:fldChar w:fldCharType="separate"/>
        </w:r>
        <w:r w:rsidR="00940F6A">
          <w:rPr>
            <w:noProof/>
            <w:webHidden/>
          </w:rPr>
          <w:t>136</w:t>
        </w:r>
        <w:r w:rsidR="0014173B" w:rsidRPr="00EA038B">
          <w:rPr>
            <w:noProof/>
            <w:webHidden/>
          </w:rPr>
          <w:fldChar w:fldCharType="end"/>
        </w:r>
      </w:hyperlink>
    </w:p>
    <w:p w14:paraId="5D2611DE" w14:textId="256E4096" w:rsidR="0014173B" w:rsidRDefault="00422526">
      <w:pPr>
        <w:pStyle w:val="Indicedellefigure"/>
        <w:tabs>
          <w:tab w:val="right" w:leader="dot" w:pos="8488"/>
        </w:tabs>
        <w:rPr>
          <w:rFonts w:asciiTheme="minorHAnsi" w:hAnsiTheme="minorHAnsi" w:cstheme="minorBidi"/>
          <w:noProof/>
          <w:szCs w:val="22"/>
          <w:lang w:eastAsia="en-GB"/>
        </w:rPr>
      </w:pPr>
      <w:hyperlink w:anchor="_Toc520212327" w:history="1">
        <w:r w:rsidR="0014173B" w:rsidRPr="00292D0C">
          <w:rPr>
            <w:rStyle w:val="Collegamentoipertestuale"/>
            <w:noProof/>
          </w:rPr>
          <w:t>Figure 3-44. Distribution of LMIII burial locations in the Far-East area (Source: Author)</w:t>
        </w:r>
        <w:r w:rsidR="0014173B">
          <w:rPr>
            <w:noProof/>
            <w:webHidden/>
          </w:rPr>
          <w:tab/>
        </w:r>
        <w:r w:rsidR="0014173B">
          <w:rPr>
            <w:noProof/>
            <w:webHidden/>
          </w:rPr>
          <w:fldChar w:fldCharType="begin"/>
        </w:r>
        <w:r w:rsidR="0014173B">
          <w:rPr>
            <w:noProof/>
            <w:webHidden/>
          </w:rPr>
          <w:instrText xml:space="preserve"> PAGEREF _Toc520212327 \h </w:instrText>
        </w:r>
        <w:r w:rsidR="0014173B">
          <w:rPr>
            <w:noProof/>
            <w:webHidden/>
          </w:rPr>
        </w:r>
        <w:r w:rsidR="0014173B">
          <w:rPr>
            <w:noProof/>
            <w:webHidden/>
          </w:rPr>
          <w:fldChar w:fldCharType="separate"/>
        </w:r>
        <w:r w:rsidR="00940F6A">
          <w:rPr>
            <w:noProof/>
            <w:webHidden/>
          </w:rPr>
          <w:t>137</w:t>
        </w:r>
        <w:r w:rsidR="0014173B">
          <w:rPr>
            <w:noProof/>
            <w:webHidden/>
          </w:rPr>
          <w:fldChar w:fldCharType="end"/>
        </w:r>
      </w:hyperlink>
    </w:p>
    <w:p w14:paraId="18886172" w14:textId="04E9883D" w:rsidR="0014173B" w:rsidRDefault="00422526">
      <w:pPr>
        <w:pStyle w:val="Indicedellefigure"/>
        <w:tabs>
          <w:tab w:val="right" w:leader="dot" w:pos="8488"/>
        </w:tabs>
        <w:rPr>
          <w:rFonts w:asciiTheme="minorHAnsi" w:hAnsiTheme="minorHAnsi" w:cstheme="minorBidi"/>
          <w:noProof/>
          <w:szCs w:val="22"/>
          <w:lang w:eastAsia="en-GB"/>
        </w:rPr>
      </w:pPr>
      <w:hyperlink w:anchor="_Toc520212328" w:history="1">
        <w:r w:rsidR="0014173B" w:rsidRPr="00292D0C">
          <w:rPr>
            <w:rStyle w:val="Collegamentoipertestuale"/>
            <w:noProof/>
          </w:rPr>
          <w:t>Figure 3-45. Number of tombs by cemetery</w:t>
        </w:r>
        <w:r w:rsidR="009664E6">
          <w:rPr>
            <w:rStyle w:val="Collegamentoipertestuale"/>
            <w:noProof/>
          </w:rPr>
          <w:t>,</w:t>
        </w:r>
        <w:r w:rsidR="0014173B" w:rsidRPr="00292D0C">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_Toc520212328 \h </w:instrText>
        </w:r>
        <w:r w:rsidR="0014173B">
          <w:rPr>
            <w:noProof/>
            <w:webHidden/>
          </w:rPr>
        </w:r>
        <w:r w:rsidR="0014173B">
          <w:rPr>
            <w:noProof/>
            <w:webHidden/>
          </w:rPr>
          <w:fldChar w:fldCharType="separate"/>
        </w:r>
        <w:r w:rsidR="00940F6A">
          <w:rPr>
            <w:noProof/>
            <w:webHidden/>
          </w:rPr>
          <w:t>139</w:t>
        </w:r>
        <w:r w:rsidR="0014173B">
          <w:rPr>
            <w:noProof/>
            <w:webHidden/>
          </w:rPr>
          <w:fldChar w:fldCharType="end"/>
        </w:r>
      </w:hyperlink>
    </w:p>
    <w:p w14:paraId="430F0631" w14:textId="0E1C4C3A" w:rsidR="0014173B" w:rsidRDefault="00422526">
      <w:pPr>
        <w:pStyle w:val="Indicedellefigure"/>
        <w:tabs>
          <w:tab w:val="right" w:leader="dot" w:pos="8488"/>
        </w:tabs>
        <w:rPr>
          <w:rFonts w:asciiTheme="minorHAnsi" w:hAnsiTheme="minorHAnsi" w:cstheme="minorBidi"/>
          <w:noProof/>
          <w:szCs w:val="22"/>
          <w:lang w:eastAsia="en-GB"/>
        </w:rPr>
      </w:pPr>
      <w:hyperlink w:anchor="_Toc520212329" w:history="1">
        <w:r w:rsidR="0014173B" w:rsidRPr="00292D0C">
          <w:rPr>
            <w:rStyle w:val="Collegamentoipertestuale"/>
            <w:noProof/>
          </w:rPr>
          <w:t>Figure 3-46. Larnax distribution by tomb</w:t>
        </w:r>
        <w:r w:rsidR="009664E6">
          <w:rPr>
            <w:rStyle w:val="Collegamentoipertestuale"/>
            <w:noProof/>
          </w:rPr>
          <w:t>,</w:t>
        </w:r>
        <w:r w:rsidR="0014173B" w:rsidRPr="00292D0C">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_Toc520212329 \h </w:instrText>
        </w:r>
        <w:r w:rsidR="0014173B">
          <w:rPr>
            <w:noProof/>
            <w:webHidden/>
          </w:rPr>
        </w:r>
        <w:r w:rsidR="0014173B">
          <w:rPr>
            <w:noProof/>
            <w:webHidden/>
          </w:rPr>
          <w:fldChar w:fldCharType="separate"/>
        </w:r>
        <w:r w:rsidR="00940F6A">
          <w:rPr>
            <w:noProof/>
            <w:webHidden/>
          </w:rPr>
          <w:t>141</w:t>
        </w:r>
        <w:r w:rsidR="0014173B">
          <w:rPr>
            <w:noProof/>
            <w:webHidden/>
          </w:rPr>
          <w:fldChar w:fldCharType="end"/>
        </w:r>
      </w:hyperlink>
    </w:p>
    <w:p w14:paraId="326D4CFC" w14:textId="5AE2B3AE" w:rsidR="0014173B" w:rsidRDefault="00DB11B9">
      <w:pPr>
        <w:pStyle w:val="Indicedellefigure"/>
        <w:tabs>
          <w:tab w:val="right" w:leader="dot" w:pos="8488"/>
        </w:tabs>
        <w:rPr>
          <w:rFonts w:asciiTheme="minorHAnsi" w:hAnsiTheme="minorHAnsi" w:cstheme="minorBidi"/>
          <w:noProof/>
          <w:szCs w:val="22"/>
          <w:lang w:eastAsia="en-GB"/>
        </w:rPr>
      </w:pPr>
      <w:hyperlink w:anchor="_Toc520212330" w:history="1">
        <w:r w:rsidR="0014173B" w:rsidRPr="00292D0C">
          <w:rPr>
            <w:rStyle w:val="Collegamentoipertestuale"/>
            <w:noProof/>
          </w:rPr>
          <w:t>Figure 3-47. Tombs with larnax occurrence and tombs without larna</w:t>
        </w:r>
        <w:r w:rsidR="009664E6">
          <w:rPr>
            <w:rStyle w:val="Collegamentoipertestuale"/>
            <w:noProof/>
          </w:rPr>
          <w:t>kes,</w:t>
        </w:r>
        <w:r w:rsidR="0014173B" w:rsidRPr="00292D0C">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_Toc520212330 \h </w:instrText>
        </w:r>
        <w:r w:rsidR="0014173B">
          <w:rPr>
            <w:noProof/>
            <w:webHidden/>
          </w:rPr>
        </w:r>
        <w:r w:rsidR="0014173B">
          <w:rPr>
            <w:noProof/>
            <w:webHidden/>
          </w:rPr>
          <w:fldChar w:fldCharType="separate"/>
        </w:r>
        <w:r w:rsidR="00940F6A">
          <w:rPr>
            <w:noProof/>
            <w:webHidden/>
          </w:rPr>
          <w:t>141</w:t>
        </w:r>
        <w:r w:rsidR="0014173B">
          <w:rPr>
            <w:noProof/>
            <w:webHidden/>
          </w:rPr>
          <w:fldChar w:fldCharType="end"/>
        </w:r>
      </w:hyperlink>
    </w:p>
    <w:p w14:paraId="262F2874" w14:textId="77983971" w:rsidR="0014173B" w:rsidRDefault="00422526">
      <w:pPr>
        <w:pStyle w:val="Indicedellefigure"/>
        <w:tabs>
          <w:tab w:val="right" w:leader="dot" w:pos="8488"/>
        </w:tabs>
        <w:rPr>
          <w:rFonts w:asciiTheme="minorHAnsi" w:hAnsiTheme="minorHAnsi" w:cstheme="minorBidi"/>
          <w:noProof/>
          <w:szCs w:val="22"/>
          <w:lang w:eastAsia="en-GB"/>
        </w:rPr>
      </w:pPr>
      <w:hyperlink w:anchor="_Toc520212331" w:history="1">
        <w:r w:rsidR="0014173B" w:rsidRPr="00292D0C">
          <w:rPr>
            <w:rStyle w:val="Collegamentoipertestuale"/>
            <w:noProof/>
          </w:rPr>
          <w:t>Figure 3-48. Tomb types associated with larnax burials in the Far-East area</w:t>
        </w:r>
        <w:r w:rsidR="0014173B">
          <w:rPr>
            <w:noProof/>
            <w:webHidden/>
          </w:rPr>
          <w:tab/>
        </w:r>
        <w:r w:rsidR="0014173B">
          <w:rPr>
            <w:noProof/>
            <w:webHidden/>
          </w:rPr>
          <w:fldChar w:fldCharType="begin"/>
        </w:r>
        <w:r w:rsidR="0014173B">
          <w:rPr>
            <w:noProof/>
            <w:webHidden/>
          </w:rPr>
          <w:instrText xml:space="preserve"> PAGEREF _Toc520212331 \h </w:instrText>
        </w:r>
        <w:r w:rsidR="0014173B">
          <w:rPr>
            <w:noProof/>
            <w:webHidden/>
          </w:rPr>
        </w:r>
        <w:r w:rsidR="0014173B">
          <w:rPr>
            <w:noProof/>
            <w:webHidden/>
          </w:rPr>
          <w:fldChar w:fldCharType="separate"/>
        </w:r>
        <w:r w:rsidR="00940F6A">
          <w:rPr>
            <w:noProof/>
            <w:webHidden/>
          </w:rPr>
          <w:t>142</w:t>
        </w:r>
        <w:r w:rsidR="0014173B">
          <w:rPr>
            <w:noProof/>
            <w:webHidden/>
          </w:rPr>
          <w:fldChar w:fldCharType="end"/>
        </w:r>
      </w:hyperlink>
    </w:p>
    <w:p w14:paraId="7A2FB9DC" w14:textId="4CD0587C" w:rsidR="0014173B" w:rsidRDefault="00422526">
      <w:pPr>
        <w:pStyle w:val="Indicedellefigure"/>
        <w:tabs>
          <w:tab w:val="right" w:leader="dot" w:pos="8488"/>
        </w:tabs>
        <w:rPr>
          <w:rFonts w:asciiTheme="minorHAnsi" w:hAnsiTheme="minorHAnsi" w:cstheme="minorBidi"/>
          <w:noProof/>
          <w:szCs w:val="22"/>
          <w:lang w:eastAsia="en-GB"/>
        </w:rPr>
      </w:pPr>
      <w:hyperlink w:anchor="_Toc520212332" w:history="1">
        <w:r w:rsidR="0014173B" w:rsidRPr="00292D0C">
          <w:rPr>
            <w:rStyle w:val="Collegamentoipertestuale"/>
            <w:noProof/>
          </w:rPr>
          <w:t>Figure 3-49. Interment type per tomb</w:t>
        </w:r>
        <w:r w:rsidR="009664E6">
          <w:rPr>
            <w:rStyle w:val="Collegamentoipertestuale"/>
            <w:noProof/>
          </w:rPr>
          <w:t>,</w:t>
        </w:r>
        <w:r w:rsidR="0014173B" w:rsidRPr="00292D0C">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_Toc520212332 \h </w:instrText>
        </w:r>
        <w:r w:rsidR="0014173B">
          <w:rPr>
            <w:noProof/>
            <w:webHidden/>
          </w:rPr>
        </w:r>
        <w:r w:rsidR="0014173B">
          <w:rPr>
            <w:noProof/>
            <w:webHidden/>
          </w:rPr>
          <w:fldChar w:fldCharType="separate"/>
        </w:r>
        <w:r w:rsidR="00940F6A">
          <w:rPr>
            <w:noProof/>
            <w:webHidden/>
          </w:rPr>
          <w:t>146</w:t>
        </w:r>
        <w:r w:rsidR="0014173B">
          <w:rPr>
            <w:noProof/>
            <w:webHidden/>
          </w:rPr>
          <w:fldChar w:fldCharType="end"/>
        </w:r>
      </w:hyperlink>
    </w:p>
    <w:p w14:paraId="13FA3751" w14:textId="6FDF73EC" w:rsidR="0014173B" w:rsidRDefault="00422526">
      <w:pPr>
        <w:pStyle w:val="Indicedellefigure"/>
        <w:tabs>
          <w:tab w:val="right" w:leader="dot" w:pos="8488"/>
        </w:tabs>
        <w:rPr>
          <w:rFonts w:asciiTheme="minorHAnsi" w:hAnsiTheme="minorHAnsi" w:cstheme="minorBidi"/>
          <w:noProof/>
          <w:szCs w:val="22"/>
          <w:lang w:eastAsia="en-GB"/>
        </w:rPr>
      </w:pPr>
      <w:hyperlink w:anchor="_Toc520212333" w:history="1">
        <w:r w:rsidR="0014173B" w:rsidRPr="00292D0C">
          <w:rPr>
            <w:rStyle w:val="Collegamentoipertestuale"/>
            <w:noProof/>
          </w:rPr>
          <w:t>Figure 3-50. Chronological distribution of tombs with larnakes</w:t>
        </w:r>
        <w:r w:rsidR="009664E6">
          <w:rPr>
            <w:rStyle w:val="Collegamentoipertestuale"/>
            <w:noProof/>
          </w:rPr>
          <w:t>,</w:t>
        </w:r>
        <w:r w:rsidR="0014173B" w:rsidRPr="00292D0C">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_Toc520212333 \h </w:instrText>
        </w:r>
        <w:r w:rsidR="0014173B">
          <w:rPr>
            <w:noProof/>
            <w:webHidden/>
          </w:rPr>
        </w:r>
        <w:r w:rsidR="0014173B">
          <w:rPr>
            <w:noProof/>
            <w:webHidden/>
          </w:rPr>
          <w:fldChar w:fldCharType="separate"/>
        </w:r>
        <w:r w:rsidR="00940F6A">
          <w:rPr>
            <w:noProof/>
            <w:webHidden/>
          </w:rPr>
          <w:t>147</w:t>
        </w:r>
        <w:r w:rsidR="0014173B">
          <w:rPr>
            <w:noProof/>
            <w:webHidden/>
          </w:rPr>
          <w:fldChar w:fldCharType="end"/>
        </w:r>
      </w:hyperlink>
    </w:p>
    <w:p w14:paraId="0128E4CA" w14:textId="03DF65FE" w:rsidR="0014173B" w:rsidRDefault="00422526">
      <w:pPr>
        <w:pStyle w:val="Indicedellefigure"/>
        <w:tabs>
          <w:tab w:val="right" w:leader="dot" w:pos="8488"/>
        </w:tabs>
        <w:rPr>
          <w:rFonts w:asciiTheme="minorHAnsi" w:hAnsiTheme="minorHAnsi" w:cstheme="minorBidi"/>
          <w:noProof/>
          <w:szCs w:val="22"/>
          <w:lang w:eastAsia="en-GB"/>
        </w:rPr>
      </w:pPr>
      <w:hyperlink w:anchor="_Toc520212334" w:history="1">
        <w:r w:rsidR="0014173B" w:rsidRPr="00292D0C">
          <w:rPr>
            <w:rStyle w:val="Collegamentoipertestuale"/>
            <w:noProof/>
          </w:rPr>
          <w:t xml:space="preserve">Figure 3-51. General comparison of tombs without larnakes and tombs with larnakes by </w:t>
        </w:r>
        <w:r w:rsidR="009462D2">
          <w:rPr>
            <w:rStyle w:val="Collegamentoipertestuale"/>
            <w:noProof/>
          </w:rPr>
          <w:t>region</w:t>
        </w:r>
        <w:r w:rsidR="0014173B">
          <w:rPr>
            <w:noProof/>
            <w:webHidden/>
          </w:rPr>
          <w:tab/>
        </w:r>
        <w:r w:rsidR="0014173B">
          <w:rPr>
            <w:noProof/>
            <w:webHidden/>
          </w:rPr>
          <w:fldChar w:fldCharType="begin"/>
        </w:r>
        <w:r w:rsidR="0014173B">
          <w:rPr>
            <w:noProof/>
            <w:webHidden/>
          </w:rPr>
          <w:instrText xml:space="preserve"> PAGEREF _Toc520212334 \h </w:instrText>
        </w:r>
        <w:r w:rsidR="0014173B">
          <w:rPr>
            <w:noProof/>
            <w:webHidden/>
          </w:rPr>
        </w:r>
        <w:r w:rsidR="0014173B">
          <w:rPr>
            <w:noProof/>
            <w:webHidden/>
          </w:rPr>
          <w:fldChar w:fldCharType="separate"/>
        </w:r>
        <w:r w:rsidR="00940F6A">
          <w:rPr>
            <w:noProof/>
            <w:webHidden/>
          </w:rPr>
          <w:t>149</w:t>
        </w:r>
        <w:r w:rsidR="0014173B">
          <w:rPr>
            <w:noProof/>
            <w:webHidden/>
          </w:rPr>
          <w:fldChar w:fldCharType="end"/>
        </w:r>
      </w:hyperlink>
    </w:p>
    <w:p w14:paraId="18DDBC01" w14:textId="6AD8DD23" w:rsidR="0014173B" w:rsidRDefault="00422526">
      <w:pPr>
        <w:pStyle w:val="Indicedellefigure"/>
        <w:tabs>
          <w:tab w:val="right" w:leader="dot" w:pos="8488"/>
        </w:tabs>
        <w:rPr>
          <w:rFonts w:asciiTheme="minorHAnsi" w:hAnsiTheme="minorHAnsi" w:cstheme="minorBidi"/>
          <w:noProof/>
          <w:szCs w:val="22"/>
          <w:lang w:eastAsia="en-GB"/>
        </w:rPr>
      </w:pPr>
      <w:hyperlink w:anchor="_Toc520212335" w:history="1">
        <w:r w:rsidR="0014173B" w:rsidRPr="00292D0C">
          <w:rPr>
            <w:rStyle w:val="Collegamentoipertestuale"/>
            <w:noProof/>
          </w:rPr>
          <w:t>Figure 3-52. Tomb type distribution through Crete</w:t>
        </w:r>
        <w:r w:rsidR="0014173B">
          <w:rPr>
            <w:noProof/>
            <w:webHidden/>
          </w:rPr>
          <w:tab/>
        </w:r>
        <w:r w:rsidR="0014173B">
          <w:rPr>
            <w:noProof/>
            <w:webHidden/>
          </w:rPr>
          <w:fldChar w:fldCharType="begin"/>
        </w:r>
        <w:r w:rsidR="0014173B">
          <w:rPr>
            <w:noProof/>
            <w:webHidden/>
          </w:rPr>
          <w:instrText xml:space="preserve"> PAGEREF _Toc520212335 \h </w:instrText>
        </w:r>
        <w:r w:rsidR="0014173B">
          <w:rPr>
            <w:noProof/>
            <w:webHidden/>
          </w:rPr>
        </w:r>
        <w:r w:rsidR="0014173B">
          <w:rPr>
            <w:noProof/>
            <w:webHidden/>
          </w:rPr>
          <w:fldChar w:fldCharType="separate"/>
        </w:r>
        <w:r w:rsidR="00940F6A">
          <w:rPr>
            <w:noProof/>
            <w:webHidden/>
          </w:rPr>
          <w:t>150</w:t>
        </w:r>
        <w:r w:rsidR="0014173B">
          <w:rPr>
            <w:noProof/>
            <w:webHidden/>
          </w:rPr>
          <w:fldChar w:fldCharType="end"/>
        </w:r>
      </w:hyperlink>
    </w:p>
    <w:p w14:paraId="0D8222B2" w14:textId="2C2F265C" w:rsidR="0014173B" w:rsidRDefault="00422526">
      <w:pPr>
        <w:pStyle w:val="Indicedellefigure"/>
        <w:tabs>
          <w:tab w:val="right" w:leader="dot" w:pos="8488"/>
        </w:tabs>
        <w:rPr>
          <w:rFonts w:asciiTheme="minorHAnsi" w:hAnsiTheme="minorHAnsi" w:cstheme="minorBidi"/>
          <w:noProof/>
          <w:szCs w:val="22"/>
          <w:lang w:eastAsia="en-GB"/>
        </w:rPr>
      </w:pPr>
      <w:hyperlink w:anchor="_Toc520212336" w:history="1">
        <w:r w:rsidR="0014173B" w:rsidRPr="00292D0C">
          <w:rPr>
            <w:rStyle w:val="Collegamentoipertestuale"/>
            <w:noProof/>
          </w:rPr>
          <w:t>Figure 3-53</w:t>
        </w:r>
        <w:r w:rsidR="003D31DD">
          <w:rPr>
            <w:rStyle w:val="Collegamentoipertestuale"/>
            <w:noProof/>
          </w:rPr>
          <w:t>.</w:t>
        </w:r>
        <w:r w:rsidR="0014173B" w:rsidRPr="00292D0C">
          <w:rPr>
            <w:rStyle w:val="Collegamentoipertestuale"/>
            <w:noProof/>
          </w:rPr>
          <w:t xml:space="preserve"> Cemeteries that show occurrence of different types of tombs (Agia Triada; Archanes Phourni, Malia, Palaikastro).</w:t>
        </w:r>
        <w:r w:rsidR="0014173B">
          <w:rPr>
            <w:noProof/>
            <w:webHidden/>
          </w:rPr>
          <w:tab/>
        </w:r>
        <w:r w:rsidR="0014173B">
          <w:rPr>
            <w:noProof/>
            <w:webHidden/>
          </w:rPr>
          <w:fldChar w:fldCharType="begin"/>
        </w:r>
        <w:r w:rsidR="0014173B">
          <w:rPr>
            <w:noProof/>
            <w:webHidden/>
          </w:rPr>
          <w:instrText xml:space="preserve"> PAGEREF _Toc520212336 \h </w:instrText>
        </w:r>
        <w:r w:rsidR="0014173B">
          <w:rPr>
            <w:noProof/>
            <w:webHidden/>
          </w:rPr>
        </w:r>
        <w:r w:rsidR="0014173B">
          <w:rPr>
            <w:noProof/>
            <w:webHidden/>
          </w:rPr>
          <w:fldChar w:fldCharType="separate"/>
        </w:r>
        <w:r w:rsidR="00940F6A">
          <w:rPr>
            <w:noProof/>
            <w:webHidden/>
          </w:rPr>
          <w:t>150</w:t>
        </w:r>
        <w:r w:rsidR="0014173B">
          <w:rPr>
            <w:noProof/>
            <w:webHidden/>
          </w:rPr>
          <w:fldChar w:fldCharType="end"/>
        </w:r>
      </w:hyperlink>
    </w:p>
    <w:p w14:paraId="5479CBB6" w14:textId="58EE16A3" w:rsidR="0014173B" w:rsidRDefault="00422526">
      <w:pPr>
        <w:pStyle w:val="Indicedellefigure"/>
        <w:tabs>
          <w:tab w:val="right" w:leader="dot" w:pos="8488"/>
        </w:tabs>
        <w:rPr>
          <w:rFonts w:asciiTheme="minorHAnsi" w:hAnsiTheme="minorHAnsi" w:cstheme="minorBidi"/>
          <w:noProof/>
          <w:szCs w:val="22"/>
          <w:lang w:eastAsia="en-GB"/>
        </w:rPr>
      </w:pPr>
      <w:hyperlink w:anchor="_Toc520212337" w:history="1">
        <w:r w:rsidR="0014173B" w:rsidRPr="00292D0C">
          <w:rPr>
            <w:rStyle w:val="Collegamentoipertestuale"/>
            <w:noProof/>
          </w:rPr>
          <w:t xml:space="preserve">Figure 3-54. Space reserved to a larnax in a tomb and number of larnakes per tomb </w:t>
        </w:r>
        <w:r w:rsidR="00597723">
          <w:rPr>
            <w:rStyle w:val="Collegamentoipertestuale"/>
            <w:noProof/>
          </w:rPr>
          <w:t xml:space="preserve">by </w:t>
        </w:r>
        <w:r w:rsidR="0014173B" w:rsidRPr="00292D0C">
          <w:rPr>
            <w:rStyle w:val="Collegamentoipertestuale"/>
            <w:noProof/>
          </w:rPr>
          <w:t>region</w:t>
        </w:r>
        <w:r w:rsidR="00597723">
          <w:rPr>
            <w:rStyle w:val="Collegamentoipertestuale"/>
            <w:noProof/>
          </w:rPr>
          <w:t xml:space="preserve"> of Crete</w:t>
        </w:r>
        <w:r w:rsidR="0014173B" w:rsidRPr="00292D0C">
          <w:rPr>
            <w:rStyle w:val="Collegamentoipertestuale"/>
            <w:noProof/>
          </w:rPr>
          <w:t xml:space="preserve"> (Far-West excluded).</w:t>
        </w:r>
        <w:r w:rsidR="0014173B">
          <w:rPr>
            <w:noProof/>
            <w:webHidden/>
          </w:rPr>
          <w:tab/>
        </w:r>
        <w:r w:rsidR="0014173B">
          <w:rPr>
            <w:noProof/>
            <w:webHidden/>
          </w:rPr>
          <w:fldChar w:fldCharType="begin"/>
        </w:r>
        <w:r w:rsidR="0014173B">
          <w:rPr>
            <w:noProof/>
            <w:webHidden/>
          </w:rPr>
          <w:instrText xml:space="preserve"> PAGEREF _Toc520212337 \h </w:instrText>
        </w:r>
        <w:r w:rsidR="0014173B">
          <w:rPr>
            <w:noProof/>
            <w:webHidden/>
          </w:rPr>
        </w:r>
        <w:r w:rsidR="0014173B">
          <w:rPr>
            <w:noProof/>
            <w:webHidden/>
          </w:rPr>
          <w:fldChar w:fldCharType="separate"/>
        </w:r>
        <w:r w:rsidR="00940F6A">
          <w:rPr>
            <w:noProof/>
            <w:webHidden/>
          </w:rPr>
          <w:t>151</w:t>
        </w:r>
        <w:r w:rsidR="0014173B">
          <w:rPr>
            <w:noProof/>
            <w:webHidden/>
          </w:rPr>
          <w:fldChar w:fldCharType="end"/>
        </w:r>
      </w:hyperlink>
    </w:p>
    <w:p w14:paraId="5F88DA6C" w14:textId="46140D73" w:rsidR="0014173B" w:rsidRDefault="00874C0C">
      <w:pPr>
        <w:pStyle w:val="Indicedellefigure"/>
        <w:tabs>
          <w:tab w:val="right" w:leader="dot" w:pos="8488"/>
        </w:tabs>
        <w:rPr>
          <w:rFonts w:asciiTheme="minorHAnsi" w:hAnsiTheme="minorHAnsi" w:cstheme="minorBidi"/>
          <w:noProof/>
          <w:szCs w:val="22"/>
          <w:lang w:eastAsia="en-GB"/>
        </w:rPr>
      </w:pPr>
      <w:hyperlink w:anchor="_Toc520212338" w:history="1">
        <w:r w:rsidR="0014173B" w:rsidRPr="00292D0C">
          <w:rPr>
            <w:rStyle w:val="Collegamentoipertestuale"/>
            <w:noProof/>
          </w:rPr>
          <w:t>Figure 4-1</w:t>
        </w:r>
        <w:r w:rsidR="003D31DD">
          <w:rPr>
            <w:rStyle w:val="Collegamentoipertestuale"/>
            <w:noProof/>
          </w:rPr>
          <w:t>.</w:t>
        </w:r>
        <w:r w:rsidR="0014173B" w:rsidRPr="00292D0C">
          <w:rPr>
            <w:rStyle w:val="Collegamentoipertestuale"/>
            <w:noProof/>
          </w:rPr>
          <w:t xml:space="preserve"> Deposition methods present in tombs with larnakes</w:t>
        </w:r>
        <w:r w:rsidR="00597723">
          <w:rPr>
            <w:rStyle w:val="Collegamentoipertestuale"/>
            <w:noProof/>
          </w:rPr>
          <w:t>,</w:t>
        </w:r>
        <w:r w:rsidR="0014173B" w:rsidRPr="00292D0C">
          <w:rPr>
            <w:rStyle w:val="Collegamentoipertestuale"/>
            <w:noProof/>
          </w:rPr>
          <w:t xml:space="preserve"> Mid-West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_Toc520212338 \h </w:instrText>
        </w:r>
        <w:r w:rsidR="0014173B">
          <w:rPr>
            <w:noProof/>
            <w:webHidden/>
          </w:rPr>
        </w:r>
        <w:r w:rsidR="0014173B">
          <w:rPr>
            <w:noProof/>
            <w:webHidden/>
          </w:rPr>
          <w:fldChar w:fldCharType="separate"/>
        </w:r>
        <w:r w:rsidR="00940F6A">
          <w:rPr>
            <w:noProof/>
            <w:webHidden/>
          </w:rPr>
          <w:t>16</w:t>
        </w:r>
        <w:r w:rsidR="0014173B">
          <w:rPr>
            <w:noProof/>
            <w:webHidden/>
          </w:rPr>
          <w:fldChar w:fldCharType="end"/>
        </w:r>
      </w:hyperlink>
      <w:r w:rsidR="00E207CB">
        <w:rPr>
          <w:noProof/>
        </w:rPr>
        <w:t>3</w:t>
      </w:r>
    </w:p>
    <w:p w14:paraId="2030468A" w14:textId="0A54DC8E" w:rsidR="0014173B" w:rsidRDefault="00874C0C">
      <w:pPr>
        <w:pStyle w:val="Indicedellefigure"/>
        <w:tabs>
          <w:tab w:val="right" w:leader="dot" w:pos="8488"/>
        </w:tabs>
        <w:rPr>
          <w:rFonts w:asciiTheme="minorHAnsi" w:hAnsiTheme="minorHAnsi" w:cstheme="minorBidi"/>
          <w:noProof/>
          <w:szCs w:val="22"/>
          <w:lang w:eastAsia="en-GB"/>
        </w:rPr>
      </w:pPr>
      <w:hyperlink w:anchor="_Toc520212339" w:history="1">
        <w:r w:rsidR="0014173B" w:rsidRPr="00292D0C">
          <w:rPr>
            <w:rStyle w:val="Collegamentoipertestuale"/>
            <w:noProof/>
          </w:rPr>
          <w:t>Figure 4-2</w:t>
        </w:r>
        <w:r w:rsidR="003D31DD">
          <w:rPr>
            <w:rStyle w:val="Collegamentoipertestuale"/>
            <w:noProof/>
          </w:rPr>
          <w:t>.</w:t>
        </w:r>
        <w:r w:rsidR="0014173B" w:rsidRPr="00292D0C">
          <w:rPr>
            <w:rStyle w:val="Collegamentoipertestuale"/>
            <w:noProof/>
          </w:rPr>
          <w:t xml:space="preserve"> Percentage of tombs with information </w:t>
        </w:r>
        <w:r w:rsidR="009001FB">
          <w:rPr>
            <w:rStyle w:val="Collegamentoipertestuale"/>
            <w:noProof/>
          </w:rPr>
          <w:t>on</w:t>
        </w:r>
        <w:r w:rsidR="0014173B" w:rsidRPr="00292D0C">
          <w:rPr>
            <w:rStyle w:val="Collegamentoipertestuale"/>
            <w:noProof/>
          </w:rPr>
          <w:t xml:space="preserve"> gender and age</w:t>
        </w:r>
        <w:r w:rsidR="00597723">
          <w:rPr>
            <w:rStyle w:val="Collegamentoipertestuale"/>
            <w:noProof/>
          </w:rPr>
          <w:t>,</w:t>
        </w:r>
        <w:r w:rsidR="0014173B" w:rsidRPr="00292D0C">
          <w:rPr>
            <w:rStyle w:val="Collegamentoipertestuale"/>
            <w:noProof/>
          </w:rPr>
          <w:t xml:space="preserve"> Mid-West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_Toc520212339 \h </w:instrText>
        </w:r>
        <w:r w:rsidR="0014173B">
          <w:rPr>
            <w:noProof/>
            <w:webHidden/>
          </w:rPr>
        </w:r>
        <w:r w:rsidR="0014173B">
          <w:rPr>
            <w:noProof/>
            <w:webHidden/>
          </w:rPr>
          <w:fldChar w:fldCharType="separate"/>
        </w:r>
        <w:r w:rsidR="00940F6A">
          <w:rPr>
            <w:noProof/>
            <w:webHidden/>
          </w:rPr>
          <w:t>16</w:t>
        </w:r>
        <w:r w:rsidR="00E207CB">
          <w:rPr>
            <w:noProof/>
            <w:webHidden/>
          </w:rPr>
          <w:t>4</w:t>
        </w:r>
        <w:r w:rsidR="0014173B">
          <w:rPr>
            <w:noProof/>
            <w:webHidden/>
          </w:rPr>
          <w:fldChar w:fldCharType="end"/>
        </w:r>
      </w:hyperlink>
    </w:p>
    <w:p w14:paraId="770EE5C9" w14:textId="749DFD03" w:rsidR="0014173B" w:rsidRDefault="00940F6A">
      <w:pPr>
        <w:pStyle w:val="Indicedellefigure"/>
        <w:tabs>
          <w:tab w:val="right" w:leader="dot" w:pos="8488"/>
        </w:tabs>
        <w:rPr>
          <w:rFonts w:asciiTheme="minorHAnsi" w:hAnsiTheme="minorHAnsi" w:cstheme="minorBidi"/>
          <w:noProof/>
          <w:szCs w:val="22"/>
          <w:lang w:eastAsia="en-GB"/>
        </w:rPr>
      </w:pPr>
      <w:hyperlink w:anchor="_Toc520212340" w:history="1">
        <w:r w:rsidR="0014173B" w:rsidRPr="00292D0C">
          <w:rPr>
            <w:rStyle w:val="Collegamentoipertestuale"/>
            <w:noProof/>
          </w:rPr>
          <w:t>Figure 4-3</w:t>
        </w:r>
        <w:r w:rsidR="003D31DD">
          <w:rPr>
            <w:rStyle w:val="Collegamentoipertestuale"/>
            <w:noProof/>
          </w:rPr>
          <w:t>.</w:t>
        </w:r>
        <w:r w:rsidR="0014173B" w:rsidRPr="00292D0C">
          <w:rPr>
            <w:rStyle w:val="Collegamentoipertestuale"/>
            <w:noProof/>
          </w:rPr>
          <w:t xml:space="preserve"> Percentage of individuals with information </w:t>
        </w:r>
        <w:r w:rsidR="009001FB">
          <w:rPr>
            <w:rStyle w:val="Collegamentoipertestuale"/>
            <w:noProof/>
          </w:rPr>
          <w:t>on</w:t>
        </w:r>
        <w:r w:rsidR="0014173B" w:rsidRPr="00292D0C">
          <w:rPr>
            <w:rStyle w:val="Collegamentoipertestuale"/>
            <w:noProof/>
          </w:rPr>
          <w:t xml:space="preserve"> gender and age</w:t>
        </w:r>
        <w:r w:rsidR="00597723">
          <w:rPr>
            <w:rStyle w:val="Collegamentoipertestuale"/>
            <w:noProof/>
          </w:rPr>
          <w:t>,</w:t>
        </w:r>
        <w:r w:rsidR="0014173B" w:rsidRPr="00292D0C">
          <w:rPr>
            <w:rStyle w:val="Collegamentoipertestuale"/>
            <w:noProof/>
          </w:rPr>
          <w:t xml:space="preserve"> Mid-West </w:t>
        </w:r>
        <w:r w:rsidR="0084034A">
          <w:rPr>
            <w:rStyle w:val="Collegamentoipertestuale"/>
            <w:noProof/>
          </w:rPr>
          <w:t>area</w:t>
        </w:r>
        <w:r w:rsidR="0014173B">
          <w:rPr>
            <w:noProof/>
            <w:webHidden/>
          </w:rPr>
          <w:tab/>
        </w:r>
        <w:r w:rsidR="00A4231C">
          <w:rPr>
            <w:noProof/>
            <w:webHidden/>
          </w:rPr>
          <w:t xml:space="preserve">   </w:t>
        </w:r>
        <w:r w:rsidR="0014173B">
          <w:rPr>
            <w:noProof/>
            <w:webHidden/>
          </w:rPr>
          <w:fldChar w:fldCharType="begin"/>
        </w:r>
        <w:r w:rsidR="0014173B">
          <w:rPr>
            <w:noProof/>
            <w:webHidden/>
          </w:rPr>
          <w:instrText xml:space="preserve"> PAGEREF _Toc520212340 \h </w:instrText>
        </w:r>
        <w:r w:rsidR="0014173B">
          <w:rPr>
            <w:noProof/>
            <w:webHidden/>
          </w:rPr>
        </w:r>
        <w:r w:rsidR="0014173B">
          <w:rPr>
            <w:noProof/>
            <w:webHidden/>
          </w:rPr>
          <w:fldChar w:fldCharType="separate"/>
        </w:r>
        <w:r>
          <w:rPr>
            <w:noProof/>
            <w:webHidden/>
          </w:rPr>
          <w:t>16</w:t>
        </w:r>
        <w:r w:rsidR="00E207CB">
          <w:rPr>
            <w:noProof/>
            <w:webHidden/>
          </w:rPr>
          <w:t>5</w:t>
        </w:r>
        <w:r w:rsidR="0014173B">
          <w:rPr>
            <w:noProof/>
            <w:webHidden/>
          </w:rPr>
          <w:fldChar w:fldCharType="end"/>
        </w:r>
      </w:hyperlink>
    </w:p>
    <w:p w14:paraId="11923F11" w14:textId="6C005C97" w:rsidR="0014173B" w:rsidRDefault="00874C0C">
      <w:pPr>
        <w:pStyle w:val="Indicedellefigure"/>
        <w:tabs>
          <w:tab w:val="right" w:leader="dot" w:pos="8488"/>
        </w:tabs>
        <w:rPr>
          <w:rFonts w:asciiTheme="minorHAnsi" w:hAnsiTheme="minorHAnsi" w:cstheme="minorBidi"/>
          <w:noProof/>
          <w:szCs w:val="22"/>
          <w:lang w:eastAsia="en-GB"/>
        </w:rPr>
      </w:pPr>
      <w:hyperlink w:anchor="_Toc520212341" w:history="1">
        <w:r w:rsidR="0014173B" w:rsidRPr="00292D0C">
          <w:rPr>
            <w:rStyle w:val="Collegamentoipertestuale"/>
            <w:noProof/>
          </w:rPr>
          <w:t>Figure 4-4</w:t>
        </w:r>
        <w:r w:rsidR="003D31DD">
          <w:rPr>
            <w:rStyle w:val="Collegamentoipertestuale"/>
            <w:noProof/>
          </w:rPr>
          <w:t>.</w:t>
        </w:r>
        <w:r w:rsidR="0014173B" w:rsidRPr="00292D0C">
          <w:rPr>
            <w:rStyle w:val="Collegamentoipertestuale"/>
            <w:noProof/>
          </w:rPr>
          <w:t xml:space="preserve"> Number of skeletal remains with information </w:t>
        </w:r>
        <w:r w:rsidR="009001FB">
          <w:rPr>
            <w:rStyle w:val="Collegamentoipertestuale"/>
            <w:noProof/>
          </w:rPr>
          <w:t>on</w:t>
        </w:r>
        <w:r w:rsidR="0014173B" w:rsidRPr="00292D0C">
          <w:rPr>
            <w:rStyle w:val="Collegamentoipertestuale"/>
            <w:noProof/>
          </w:rPr>
          <w:t xml:space="preserve"> gender</w:t>
        </w:r>
        <w:r w:rsidR="00597723">
          <w:rPr>
            <w:rStyle w:val="Collegamentoipertestuale"/>
            <w:noProof/>
          </w:rPr>
          <w:t>,</w:t>
        </w:r>
        <w:r w:rsidR="0014173B" w:rsidRPr="00292D0C">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_Toc520212341 \h </w:instrText>
        </w:r>
        <w:r w:rsidR="0014173B">
          <w:rPr>
            <w:noProof/>
            <w:webHidden/>
          </w:rPr>
        </w:r>
        <w:r w:rsidR="0014173B">
          <w:rPr>
            <w:noProof/>
            <w:webHidden/>
          </w:rPr>
          <w:fldChar w:fldCharType="separate"/>
        </w:r>
        <w:r w:rsidR="00940F6A">
          <w:rPr>
            <w:noProof/>
            <w:webHidden/>
          </w:rPr>
          <w:t>16</w:t>
        </w:r>
        <w:r w:rsidR="0014173B">
          <w:rPr>
            <w:noProof/>
            <w:webHidden/>
          </w:rPr>
          <w:fldChar w:fldCharType="end"/>
        </w:r>
      </w:hyperlink>
      <w:r w:rsidR="007D4943">
        <w:rPr>
          <w:noProof/>
        </w:rPr>
        <w:t>5</w:t>
      </w:r>
    </w:p>
    <w:p w14:paraId="328A2A25" w14:textId="64ECFA79" w:rsidR="0014173B" w:rsidRDefault="00874C0C">
      <w:pPr>
        <w:pStyle w:val="Indicedellefigure"/>
        <w:tabs>
          <w:tab w:val="right" w:leader="dot" w:pos="8488"/>
        </w:tabs>
        <w:rPr>
          <w:rFonts w:asciiTheme="minorHAnsi" w:hAnsiTheme="minorHAnsi" w:cstheme="minorBidi"/>
          <w:noProof/>
          <w:szCs w:val="22"/>
          <w:lang w:eastAsia="en-GB"/>
        </w:rPr>
      </w:pPr>
      <w:hyperlink w:anchor="_Toc520212342" w:history="1">
        <w:r w:rsidR="0014173B" w:rsidRPr="00292D0C">
          <w:rPr>
            <w:rStyle w:val="Collegamentoipertestuale"/>
            <w:noProof/>
          </w:rPr>
          <w:t>Figure 4-5</w:t>
        </w:r>
        <w:r w:rsidR="003D31DD">
          <w:rPr>
            <w:rStyle w:val="Collegamentoipertestuale"/>
            <w:noProof/>
          </w:rPr>
          <w:t>.</w:t>
        </w:r>
        <w:r w:rsidR="0014173B" w:rsidRPr="00292D0C">
          <w:rPr>
            <w:rStyle w:val="Collegamentoipertestuale"/>
            <w:noProof/>
          </w:rPr>
          <w:t xml:space="preserve"> Number of skeletal remains with information </w:t>
        </w:r>
        <w:r w:rsidR="009001FB">
          <w:rPr>
            <w:rStyle w:val="Collegamentoipertestuale"/>
            <w:noProof/>
          </w:rPr>
          <w:t>on</w:t>
        </w:r>
        <w:r w:rsidR="0014173B" w:rsidRPr="00292D0C">
          <w:rPr>
            <w:rStyle w:val="Collegamentoipertestuale"/>
            <w:noProof/>
          </w:rPr>
          <w:t xml:space="preserve"> age</w:t>
        </w:r>
        <w:r w:rsidR="00597723">
          <w:rPr>
            <w:rStyle w:val="Collegamentoipertestuale"/>
            <w:noProof/>
          </w:rPr>
          <w:t>,</w:t>
        </w:r>
        <w:r w:rsidR="0014173B" w:rsidRPr="00292D0C">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_Toc520212342 \h </w:instrText>
        </w:r>
        <w:r w:rsidR="0014173B">
          <w:rPr>
            <w:noProof/>
            <w:webHidden/>
          </w:rPr>
        </w:r>
        <w:r w:rsidR="0014173B">
          <w:rPr>
            <w:noProof/>
            <w:webHidden/>
          </w:rPr>
          <w:fldChar w:fldCharType="separate"/>
        </w:r>
        <w:r w:rsidR="00940F6A">
          <w:rPr>
            <w:noProof/>
            <w:webHidden/>
          </w:rPr>
          <w:t>16</w:t>
        </w:r>
        <w:r w:rsidR="0014173B">
          <w:rPr>
            <w:noProof/>
            <w:webHidden/>
          </w:rPr>
          <w:fldChar w:fldCharType="end"/>
        </w:r>
      </w:hyperlink>
      <w:r w:rsidR="007D4943">
        <w:rPr>
          <w:noProof/>
        </w:rPr>
        <w:t>6</w:t>
      </w:r>
    </w:p>
    <w:p w14:paraId="797FA567" w14:textId="7251EA44" w:rsidR="0014173B" w:rsidRDefault="00874C0C">
      <w:pPr>
        <w:pStyle w:val="Indicedellefigure"/>
        <w:tabs>
          <w:tab w:val="right" w:leader="dot" w:pos="8488"/>
        </w:tabs>
        <w:rPr>
          <w:rFonts w:asciiTheme="minorHAnsi" w:hAnsiTheme="minorHAnsi" w:cstheme="minorBidi"/>
          <w:noProof/>
          <w:szCs w:val="22"/>
          <w:lang w:eastAsia="en-GB"/>
        </w:rPr>
      </w:pPr>
      <w:hyperlink w:anchor="_Toc520212343" w:history="1">
        <w:r w:rsidR="0014173B" w:rsidRPr="00292D0C">
          <w:rPr>
            <w:rStyle w:val="Collegamentoipertestuale"/>
            <w:noProof/>
          </w:rPr>
          <w:t>Figure 4-6</w:t>
        </w:r>
        <w:r w:rsidR="003D31DD">
          <w:rPr>
            <w:rStyle w:val="Collegamentoipertestuale"/>
            <w:noProof/>
          </w:rPr>
          <w:t>.</w:t>
        </w:r>
        <w:r w:rsidR="0014173B" w:rsidRPr="00292D0C">
          <w:rPr>
            <w:rStyle w:val="Collegamentoipertestuale"/>
            <w:noProof/>
          </w:rPr>
          <w:t xml:space="preserve"> Deposition methods associated in tomb with larnakes</w:t>
        </w:r>
        <w:r w:rsidR="00597723">
          <w:rPr>
            <w:rStyle w:val="Collegamentoipertestuale"/>
            <w:noProof/>
          </w:rPr>
          <w:t>,</w:t>
        </w:r>
        <w:r w:rsidR="0014173B" w:rsidRPr="00292D0C">
          <w:rPr>
            <w:rStyle w:val="Collegamentoipertestuale"/>
            <w:noProof/>
          </w:rPr>
          <w:t xml:space="preserve"> Mesara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_Toc520212343 \h </w:instrText>
        </w:r>
        <w:r w:rsidR="0014173B">
          <w:rPr>
            <w:noProof/>
            <w:webHidden/>
          </w:rPr>
        </w:r>
        <w:r w:rsidR="0014173B">
          <w:rPr>
            <w:noProof/>
            <w:webHidden/>
          </w:rPr>
          <w:fldChar w:fldCharType="separate"/>
        </w:r>
        <w:r w:rsidR="00940F6A">
          <w:rPr>
            <w:noProof/>
            <w:webHidden/>
          </w:rPr>
          <w:t>1</w:t>
        </w:r>
        <w:r w:rsidR="0014173B">
          <w:rPr>
            <w:noProof/>
            <w:webHidden/>
          </w:rPr>
          <w:fldChar w:fldCharType="end"/>
        </w:r>
      </w:hyperlink>
      <w:r w:rsidR="007D4943">
        <w:rPr>
          <w:noProof/>
        </w:rPr>
        <w:t>70</w:t>
      </w:r>
    </w:p>
    <w:p w14:paraId="30F96A10" w14:textId="4B952BA3" w:rsidR="0014173B" w:rsidRDefault="00874C0C">
      <w:pPr>
        <w:pStyle w:val="Indicedellefigure"/>
        <w:tabs>
          <w:tab w:val="right" w:leader="dot" w:pos="8488"/>
        </w:tabs>
        <w:rPr>
          <w:rFonts w:asciiTheme="minorHAnsi" w:hAnsiTheme="minorHAnsi" w:cstheme="minorBidi"/>
          <w:noProof/>
          <w:szCs w:val="22"/>
          <w:lang w:eastAsia="en-GB"/>
        </w:rPr>
      </w:pPr>
      <w:hyperlink w:anchor="_Toc520212344" w:history="1">
        <w:r w:rsidR="0014173B" w:rsidRPr="00292D0C">
          <w:rPr>
            <w:rStyle w:val="Collegamentoipertestuale"/>
            <w:noProof/>
          </w:rPr>
          <w:t>Figure 4-7</w:t>
        </w:r>
        <w:r w:rsidR="003D31DD">
          <w:rPr>
            <w:rStyle w:val="Collegamentoipertestuale"/>
            <w:noProof/>
          </w:rPr>
          <w:t>.</w:t>
        </w:r>
        <w:r w:rsidR="0014173B" w:rsidRPr="00292D0C">
          <w:rPr>
            <w:rStyle w:val="Collegamentoipertestuale"/>
            <w:noProof/>
          </w:rPr>
          <w:t xml:space="preserve"> Percentage of tombs with information </w:t>
        </w:r>
        <w:r w:rsidR="009001FB">
          <w:rPr>
            <w:rStyle w:val="Collegamentoipertestuale"/>
            <w:noProof/>
          </w:rPr>
          <w:t>on</w:t>
        </w:r>
        <w:r w:rsidR="0014173B" w:rsidRPr="00292D0C">
          <w:rPr>
            <w:rStyle w:val="Collegamentoipertestuale"/>
            <w:noProof/>
          </w:rPr>
          <w:t xml:space="preserve"> gender and age</w:t>
        </w:r>
        <w:r w:rsidR="00597723">
          <w:rPr>
            <w:rStyle w:val="Collegamentoipertestuale"/>
            <w:noProof/>
          </w:rPr>
          <w:t>,</w:t>
        </w:r>
        <w:r w:rsidR="0014173B" w:rsidRPr="00292D0C">
          <w:rPr>
            <w:rStyle w:val="Collegamentoipertestuale"/>
            <w:noProof/>
          </w:rPr>
          <w:t xml:space="preserve"> Mesara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_Toc520212344 \h </w:instrText>
        </w:r>
        <w:r w:rsidR="0014173B">
          <w:rPr>
            <w:noProof/>
            <w:webHidden/>
          </w:rPr>
        </w:r>
        <w:r w:rsidR="0014173B">
          <w:rPr>
            <w:noProof/>
            <w:webHidden/>
          </w:rPr>
          <w:fldChar w:fldCharType="separate"/>
        </w:r>
        <w:r w:rsidR="00940F6A">
          <w:rPr>
            <w:noProof/>
            <w:webHidden/>
          </w:rPr>
          <w:t>17</w:t>
        </w:r>
        <w:r w:rsidR="007D4943">
          <w:rPr>
            <w:noProof/>
            <w:webHidden/>
          </w:rPr>
          <w:t>1</w:t>
        </w:r>
        <w:r w:rsidR="0014173B">
          <w:rPr>
            <w:noProof/>
            <w:webHidden/>
          </w:rPr>
          <w:fldChar w:fldCharType="end"/>
        </w:r>
      </w:hyperlink>
    </w:p>
    <w:p w14:paraId="6B66B536" w14:textId="34B7ECA6" w:rsidR="0014173B" w:rsidRDefault="00874C0C">
      <w:pPr>
        <w:pStyle w:val="Indicedellefigure"/>
        <w:tabs>
          <w:tab w:val="right" w:leader="dot" w:pos="8488"/>
        </w:tabs>
        <w:rPr>
          <w:rFonts w:asciiTheme="minorHAnsi" w:hAnsiTheme="minorHAnsi" w:cstheme="minorBidi"/>
          <w:noProof/>
          <w:szCs w:val="22"/>
          <w:lang w:eastAsia="en-GB"/>
        </w:rPr>
      </w:pPr>
      <w:hyperlink w:anchor="_Toc520212345" w:history="1">
        <w:r w:rsidR="0014173B" w:rsidRPr="00292D0C">
          <w:rPr>
            <w:rStyle w:val="Collegamentoipertestuale"/>
            <w:noProof/>
          </w:rPr>
          <w:t>Figure 4-8</w:t>
        </w:r>
        <w:r w:rsidR="003D31DD">
          <w:rPr>
            <w:rStyle w:val="Collegamentoipertestuale"/>
            <w:noProof/>
          </w:rPr>
          <w:t>.</w:t>
        </w:r>
        <w:r w:rsidR="0014173B" w:rsidRPr="00292D0C">
          <w:rPr>
            <w:rStyle w:val="Collegamentoipertestuale"/>
            <w:noProof/>
          </w:rPr>
          <w:t xml:space="preserve"> Percentage of individuals with information </w:t>
        </w:r>
        <w:r w:rsidR="009001FB">
          <w:rPr>
            <w:rStyle w:val="Collegamentoipertestuale"/>
            <w:noProof/>
          </w:rPr>
          <w:t>on</w:t>
        </w:r>
        <w:r w:rsidR="0014173B" w:rsidRPr="00292D0C">
          <w:rPr>
            <w:rStyle w:val="Collegamentoipertestuale"/>
            <w:noProof/>
          </w:rPr>
          <w:t xml:space="preserve"> gender and age</w:t>
        </w:r>
        <w:r w:rsidR="00597723">
          <w:rPr>
            <w:rStyle w:val="Collegamentoipertestuale"/>
            <w:noProof/>
          </w:rPr>
          <w:t>,</w:t>
        </w:r>
        <w:r w:rsidR="0014173B" w:rsidRPr="00292D0C">
          <w:rPr>
            <w:rStyle w:val="Collegamentoipertestuale"/>
            <w:noProof/>
          </w:rPr>
          <w:t xml:space="preserve"> Mesara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_Toc520212345 \h </w:instrText>
        </w:r>
        <w:r w:rsidR="0014173B">
          <w:rPr>
            <w:noProof/>
            <w:webHidden/>
          </w:rPr>
        </w:r>
        <w:r w:rsidR="0014173B">
          <w:rPr>
            <w:noProof/>
            <w:webHidden/>
          </w:rPr>
          <w:fldChar w:fldCharType="separate"/>
        </w:r>
        <w:r w:rsidR="00940F6A">
          <w:rPr>
            <w:noProof/>
            <w:webHidden/>
          </w:rPr>
          <w:t>17</w:t>
        </w:r>
        <w:r w:rsidR="0014173B">
          <w:rPr>
            <w:noProof/>
            <w:webHidden/>
          </w:rPr>
          <w:fldChar w:fldCharType="end"/>
        </w:r>
      </w:hyperlink>
      <w:r w:rsidR="007D19E3">
        <w:rPr>
          <w:noProof/>
        </w:rPr>
        <w:t>1</w:t>
      </w:r>
    </w:p>
    <w:p w14:paraId="5E42CACE" w14:textId="0EFE6D61" w:rsidR="0014173B" w:rsidRDefault="00874C0C">
      <w:pPr>
        <w:pStyle w:val="Indicedellefigure"/>
        <w:tabs>
          <w:tab w:val="right" w:leader="dot" w:pos="8488"/>
        </w:tabs>
        <w:rPr>
          <w:rFonts w:asciiTheme="minorHAnsi" w:hAnsiTheme="minorHAnsi" w:cstheme="minorBidi"/>
          <w:noProof/>
          <w:szCs w:val="22"/>
          <w:lang w:eastAsia="en-GB"/>
        </w:rPr>
      </w:pPr>
      <w:hyperlink w:anchor="_Toc520212346" w:history="1">
        <w:r w:rsidR="0014173B" w:rsidRPr="00292D0C">
          <w:rPr>
            <w:rStyle w:val="Collegamentoipertestuale"/>
            <w:noProof/>
          </w:rPr>
          <w:t>Figure 4-9</w:t>
        </w:r>
        <w:r w:rsidR="003D31DD">
          <w:rPr>
            <w:rStyle w:val="Collegamentoipertestuale"/>
            <w:noProof/>
          </w:rPr>
          <w:t>.</w:t>
        </w:r>
        <w:r w:rsidR="0014173B" w:rsidRPr="00292D0C">
          <w:rPr>
            <w:rStyle w:val="Collegamentoipertestuale"/>
            <w:noProof/>
          </w:rPr>
          <w:t xml:space="preserve"> Number of skeletal remains information </w:t>
        </w:r>
        <w:r w:rsidR="009001FB">
          <w:rPr>
            <w:rStyle w:val="Collegamentoipertestuale"/>
            <w:noProof/>
          </w:rPr>
          <w:t>on</w:t>
        </w:r>
        <w:r w:rsidR="0014173B" w:rsidRPr="00292D0C">
          <w:rPr>
            <w:rStyle w:val="Collegamentoipertestuale"/>
            <w:noProof/>
          </w:rPr>
          <w:t xml:space="preserve"> gender</w:t>
        </w:r>
        <w:r w:rsidR="00597723">
          <w:rPr>
            <w:rStyle w:val="Collegamentoipertestuale"/>
            <w:noProof/>
          </w:rPr>
          <w:t xml:space="preserve">, </w:t>
        </w:r>
        <w:r w:rsidR="0014173B" w:rsidRPr="00292D0C">
          <w:rPr>
            <w:rStyle w:val="Collegamentoipertestuale"/>
            <w:noProof/>
          </w:rPr>
          <w:t>Mesara area</w:t>
        </w:r>
        <w:r w:rsidR="0014173B">
          <w:rPr>
            <w:noProof/>
            <w:webHidden/>
          </w:rPr>
          <w:tab/>
        </w:r>
        <w:r w:rsidR="0014173B">
          <w:rPr>
            <w:noProof/>
            <w:webHidden/>
          </w:rPr>
          <w:fldChar w:fldCharType="begin"/>
        </w:r>
        <w:r w:rsidR="0014173B">
          <w:rPr>
            <w:noProof/>
            <w:webHidden/>
          </w:rPr>
          <w:instrText xml:space="preserve"> PAGEREF _Toc520212346 \h </w:instrText>
        </w:r>
        <w:r w:rsidR="0014173B">
          <w:rPr>
            <w:noProof/>
            <w:webHidden/>
          </w:rPr>
        </w:r>
        <w:r w:rsidR="0014173B">
          <w:rPr>
            <w:noProof/>
            <w:webHidden/>
          </w:rPr>
          <w:fldChar w:fldCharType="separate"/>
        </w:r>
        <w:r w:rsidR="00940F6A">
          <w:rPr>
            <w:noProof/>
            <w:webHidden/>
          </w:rPr>
          <w:t>17</w:t>
        </w:r>
        <w:r w:rsidR="007D19E3">
          <w:rPr>
            <w:noProof/>
            <w:webHidden/>
          </w:rPr>
          <w:t>5</w:t>
        </w:r>
        <w:r w:rsidR="0014173B">
          <w:rPr>
            <w:noProof/>
            <w:webHidden/>
          </w:rPr>
          <w:fldChar w:fldCharType="end"/>
        </w:r>
      </w:hyperlink>
    </w:p>
    <w:p w14:paraId="436B3A25" w14:textId="51B6EA3E" w:rsidR="0014173B" w:rsidRDefault="00874C0C">
      <w:pPr>
        <w:pStyle w:val="Indicedellefigure"/>
        <w:tabs>
          <w:tab w:val="right" w:leader="dot" w:pos="8488"/>
        </w:tabs>
        <w:rPr>
          <w:rFonts w:asciiTheme="minorHAnsi" w:hAnsiTheme="minorHAnsi" w:cstheme="minorBidi"/>
          <w:noProof/>
          <w:szCs w:val="22"/>
          <w:lang w:eastAsia="en-GB"/>
        </w:rPr>
      </w:pPr>
      <w:hyperlink w:anchor="_Toc520212347" w:history="1">
        <w:r w:rsidR="0014173B" w:rsidRPr="00292D0C">
          <w:rPr>
            <w:rStyle w:val="Collegamentoipertestuale"/>
            <w:noProof/>
          </w:rPr>
          <w:t>Figure 4-10</w:t>
        </w:r>
        <w:r w:rsidR="003D31DD">
          <w:rPr>
            <w:rStyle w:val="Collegamentoipertestuale"/>
            <w:noProof/>
          </w:rPr>
          <w:t>.</w:t>
        </w:r>
        <w:r w:rsidR="0014173B" w:rsidRPr="00292D0C">
          <w:rPr>
            <w:rStyle w:val="Collegamentoipertestuale"/>
            <w:noProof/>
          </w:rPr>
          <w:t xml:space="preserve"> Number of skeletal remains information </w:t>
        </w:r>
        <w:r w:rsidR="009001FB">
          <w:rPr>
            <w:rStyle w:val="Collegamentoipertestuale"/>
            <w:noProof/>
          </w:rPr>
          <w:t>on</w:t>
        </w:r>
        <w:r w:rsidR="0014173B" w:rsidRPr="00292D0C">
          <w:rPr>
            <w:rStyle w:val="Collegamentoipertestuale"/>
            <w:noProof/>
          </w:rPr>
          <w:t xml:space="preserve"> age</w:t>
        </w:r>
        <w:r w:rsidR="0084034A">
          <w:rPr>
            <w:rStyle w:val="Collegamentoipertestuale"/>
            <w:noProof/>
          </w:rPr>
          <w:t>,</w:t>
        </w:r>
        <w:r w:rsidR="0014173B" w:rsidRPr="00292D0C">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_Toc520212347 \h </w:instrText>
        </w:r>
        <w:r w:rsidR="0014173B">
          <w:rPr>
            <w:noProof/>
            <w:webHidden/>
          </w:rPr>
        </w:r>
        <w:r w:rsidR="0014173B">
          <w:rPr>
            <w:noProof/>
            <w:webHidden/>
          </w:rPr>
          <w:fldChar w:fldCharType="separate"/>
        </w:r>
        <w:r w:rsidR="00940F6A">
          <w:rPr>
            <w:noProof/>
            <w:webHidden/>
          </w:rPr>
          <w:t>17</w:t>
        </w:r>
        <w:r w:rsidR="007D19E3">
          <w:rPr>
            <w:noProof/>
            <w:webHidden/>
          </w:rPr>
          <w:t>5</w:t>
        </w:r>
        <w:r w:rsidR="0014173B">
          <w:rPr>
            <w:noProof/>
            <w:webHidden/>
          </w:rPr>
          <w:fldChar w:fldCharType="end"/>
        </w:r>
      </w:hyperlink>
    </w:p>
    <w:p w14:paraId="03A27A35" w14:textId="71453BB7" w:rsidR="0014173B" w:rsidRDefault="00874C0C">
      <w:pPr>
        <w:pStyle w:val="Indicedellefigure"/>
        <w:tabs>
          <w:tab w:val="right" w:leader="dot" w:pos="8488"/>
        </w:tabs>
        <w:rPr>
          <w:rFonts w:asciiTheme="minorHAnsi" w:hAnsiTheme="minorHAnsi" w:cstheme="minorBidi"/>
          <w:noProof/>
          <w:szCs w:val="22"/>
          <w:lang w:eastAsia="en-GB"/>
        </w:rPr>
      </w:pPr>
      <w:hyperlink w:anchor="_Toc520212348" w:history="1">
        <w:r w:rsidR="0014173B" w:rsidRPr="00292D0C">
          <w:rPr>
            <w:rStyle w:val="Collegamentoipertestuale"/>
            <w:noProof/>
          </w:rPr>
          <w:t>Figure 4-11</w:t>
        </w:r>
        <w:r w:rsidR="003D31DD">
          <w:rPr>
            <w:rStyle w:val="Collegamentoipertestuale"/>
            <w:noProof/>
          </w:rPr>
          <w:t>.</w:t>
        </w:r>
        <w:r w:rsidR="0014173B" w:rsidRPr="00292D0C">
          <w:rPr>
            <w:rStyle w:val="Collegamentoipertestuale"/>
            <w:noProof/>
          </w:rPr>
          <w:t xml:space="preserve"> Deposition methods associated in tombs with larnakes</w:t>
        </w:r>
        <w:r w:rsidR="0084034A">
          <w:rPr>
            <w:rStyle w:val="Collegamentoipertestuale"/>
            <w:noProof/>
          </w:rPr>
          <w:t>,</w:t>
        </w:r>
        <w:r w:rsidR="0014173B" w:rsidRPr="00292D0C">
          <w:rPr>
            <w:rStyle w:val="Collegamentoipertestuale"/>
            <w:noProof/>
          </w:rPr>
          <w:t xml:space="preserve"> Knossos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_Toc520212348 \h </w:instrText>
        </w:r>
        <w:r w:rsidR="0014173B">
          <w:rPr>
            <w:noProof/>
            <w:webHidden/>
          </w:rPr>
        </w:r>
        <w:r w:rsidR="0014173B">
          <w:rPr>
            <w:noProof/>
            <w:webHidden/>
          </w:rPr>
          <w:fldChar w:fldCharType="separate"/>
        </w:r>
        <w:r w:rsidR="00940F6A">
          <w:rPr>
            <w:noProof/>
            <w:webHidden/>
          </w:rPr>
          <w:t>17</w:t>
        </w:r>
        <w:r w:rsidR="0014173B">
          <w:rPr>
            <w:noProof/>
            <w:webHidden/>
          </w:rPr>
          <w:fldChar w:fldCharType="end"/>
        </w:r>
      </w:hyperlink>
      <w:r w:rsidR="007D19E3">
        <w:rPr>
          <w:noProof/>
        </w:rPr>
        <w:t>9</w:t>
      </w:r>
    </w:p>
    <w:p w14:paraId="0B36F1CA" w14:textId="0810CA9A" w:rsidR="0014173B" w:rsidRDefault="00874C0C">
      <w:pPr>
        <w:pStyle w:val="Indicedellefigure"/>
        <w:tabs>
          <w:tab w:val="right" w:leader="dot" w:pos="8488"/>
        </w:tabs>
        <w:rPr>
          <w:rFonts w:asciiTheme="minorHAnsi" w:hAnsiTheme="minorHAnsi" w:cstheme="minorBidi"/>
          <w:noProof/>
          <w:szCs w:val="22"/>
          <w:lang w:eastAsia="en-GB"/>
        </w:rPr>
      </w:pPr>
      <w:hyperlink w:anchor="_Toc520212349" w:history="1">
        <w:r w:rsidR="0014173B" w:rsidRPr="00292D0C">
          <w:rPr>
            <w:rStyle w:val="Collegamentoipertestuale"/>
            <w:noProof/>
          </w:rPr>
          <w:t>Figure 4-12</w:t>
        </w:r>
        <w:r w:rsidR="003D31DD">
          <w:rPr>
            <w:rStyle w:val="Collegamentoipertestuale"/>
            <w:noProof/>
          </w:rPr>
          <w:t>.</w:t>
        </w:r>
        <w:r w:rsidR="0014173B" w:rsidRPr="00292D0C">
          <w:rPr>
            <w:rStyle w:val="Collegamentoipertestuale"/>
            <w:noProof/>
          </w:rPr>
          <w:t xml:space="preserve"> Percentage of tombs with information </w:t>
        </w:r>
        <w:r w:rsidR="009001FB">
          <w:rPr>
            <w:rStyle w:val="Collegamentoipertestuale"/>
            <w:noProof/>
          </w:rPr>
          <w:t>on</w:t>
        </w:r>
        <w:r w:rsidR="0014173B" w:rsidRPr="00292D0C">
          <w:rPr>
            <w:rStyle w:val="Collegamentoipertestuale"/>
            <w:noProof/>
          </w:rPr>
          <w:t xml:space="preserve"> gender and age</w:t>
        </w:r>
        <w:r w:rsidR="0084034A">
          <w:rPr>
            <w:rStyle w:val="Collegamentoipertestuale"/>
            <w:noProof/>
          </w:rPr>
          <w:t>,</w:t>
        </w:r>
        <w:r w:rsidR="0014173B" w:rsidRPr="00292D0C">
          <w:rPr>
            <w:rStyle w:val="Collegamentoipertestuale"/>
            <w:noProof/>
          </w:rPr>
          <w:t xml:space="preserve"> Knossos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_Toc520212349 \h </w:instrText>
        </w:r>
        <w:r w:rsidR="0014173B">
          <w:rPr>
            <w:noProof/>
            <w:webHidden/>
          </w:rPr>
        </w:r>
        <w:r w:rsidR="0014173B">
          <w:rPr>
            <w:noProof/>
            <w:webHidden/>
          </w:rPr>
          <w:fldChar w:fldCharType="separate"/>
        </w:r>
        <w:r w:rsidR="00940F6A">
          <w:rPr>
            <w:noProof/>
            <w:webHidden/>
          </w:rPr>
          <w:t>18</w:t>
        </w:r>
        <w:r w:rsidR="007D19E3">
          <w:rPr>
            <w:noProof/>
            <w:webHidden/>
          </w:rPr>
          <w:t>1</w:t>
        </w:r>
        <w:r w:rsidR="0014173B">
          <w:rPr>
            <w:noProof/>
            <w:webHidden/>
          </w:rPr>
          <w:fldChar w:fldCharType="end"/>
        </w:r>
      </w:hyperlink>
    </w:p>
    <w:p w14:paraId="55E67E24" w14:textId="073937D0" w:rsidR="0014173B" w:rsidRDefault="00874C0C">
      <w:pPr>
        <w:pStyle w:val="Indicedellefigure"/>
        <w:tabs>
          <w:tab w:val="right" w:leader="dot" w:pos="8488"/>
        </w:tabs>
        <w:rPr>
          <w:rFonts w:asciiTheme="minorHAnsi" w:hAnsiTheme="minorHAnsi" w:cstheme="minorBidi"/>
          <w:noProof/>
          <w:szCs w:val="22"/>
          <w:lang w:eastAsia="en-GB"/>
        </w:rPr>
      </w:pPr>
      <w:hyperlink w:anchor="_Toc520212350" w:history="1">
        <w:r w:rsidR="0014173B" w:rsidRPr="00292D0C">
          <w:rPr>
            <w:rStyle w:val="Collegamentoipertestuale"/>
            <w:noProof/>
          </w:rPr>
          <w:t>Figure 4-13</w:t>
        </w:r>
        <w:r w:rsidR="003D31DD">
          <w:rPr>
            <w:rStyle w:val="Collegamentoipertestuale"/>
            <w:noProof/>
          </w:rPr>
          <w:t>.</w:t>
        </w:r>
        <w:r w:rsidR="0014173B" w:rsidRPr="00292D0C">
          <w:rPr>
            <w:rStyle w:val="Collegamentoipertestuale"/>
            <w:noProof/>
          </w:rPr>
          <w:t xml:space="preserve"> Percentage of individuals with information </w:t>
        </w:r>
        <w:r w:rsidR="009001FB">
          <w:rPr>
            <w:rStyle w:val="Collegamentoipertestuale"/>
            <w:noProof/>
          </w:rPr>
          <w:t>on</w:t>
        </w:r>
        <w:r w:rsidR="0014173B" w:rsidRPr="00292D0C">
          <w:rPr>
            <w:rStyle w:val="Collegamentoipertestuale"/>
            <w:noProof/>
          </w:rPr>
          <w:t xml:space="preserve"> gender and age</w:t>
        </w:r>
        <w:r w:rsidR="0084034A">
          <w:rPr>
            <w:rStyle w:val="Collegamentoipertestuale"/>
            <w:noProof/>
          </w:rPr>
          <w:t>,</w:t>
        </w:r>
        <w:r w:rsidR="0014173B" w:rsidRPr="00292D0C">
          <w:rPr>
            <w:rStyle w:val="Collegamentoipertestuale"/>
            <w:noProof/>
          </w:rPr>
          <w:t xml:space="preserve"> Knossos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_Toc520212350 \h </w:instrText>
        </w:r>
        <w:r w:rsidR="0014173B">
          <w:rPr>
            <w:noProof/>
            <w:webHidden/>
          </w:rPr>
        </w:r>
        <w:r w:rsidR="0014173B">
          <w:rPr>
            <w:noProof/>
            <w:webHidden/>
          </w:rPr>
          <w:fldChar w:fldCharType="separate"/>
        </w:r>
        <w:r w:rsidR="00940F6A">
          <w:rPr>
            <w:noProof/>
            <w:webHidden/>
          </w:rPr>
          <w:t>18</w:t>
        </w:r>
        <w:r w:rsidR="007D19E3">
          <w:rPr>
            <w:noProof/>
            <w:webHidden/>
          </w:rPr>
          <w:t>1</w:t>
        </w:r>
        <w:r w:rsidR="0014173B">
          <w:rPr>
            <w:noProof/>
            <w:webHidden/>
          </w:rPr>
          <w:fldChar w:fldCharType="end"/>
        </w:r>
      </w:hyperlink>
    </w:p>
    <w:p w14:paraId="068207EB" w14:textId="391ECD14" w:rsidR="0014173B" w:rsidRDefault="00874C0C">
      <w:pPr>
        <w:pStyle w:val="Indicedellefigure"/>
        <w:tabs>
          <w:tab w:val="right" w:leader="dot" w:pos="8488"/>
        </w:tabs>
        <w:rPr>
          <w:rFonts w:asciiTheme="minorHAnsi" w:hAnsiTheme="minorHAnsi" w:cstheme="minorBidi"/>
          <w:noProof/>
          <w:szCs w:val="22"/>
          <w:lang w:eastAsia="en-GB"/>
        </w:rPr>
      </w:pPr>
      <w:hyperlink w:anchor="_Toc520212351" w:history="1">
        <w:r w:rsidR="0014173B" w:rsidRPr="00292D0C">
          <w:rPr>
            <w:rStyle w:val="Collegamentoipertestuale"/>
            <w:noProof/>
          </w:rPr>
          <w:t>Figure 4-14</w:t>
        </w:r>
        <w:r w:rsidR="003D31DD">
          <w:rPr>
            <w:rStyle w:val="Collegamentoipertestuale"/>
            <w:noProof/>
          </w:rPr>
          <w:t>.</w:t>
        </w:r>
        <w:r w:rsidR="0014173B" w:rsidRPr="00292D0C">
          <w:rPr>
            <w:rStyle w:val="Collegamentoipertestuale"/>
            <w:noProof/>
          </w:rPr>
          <w:t xml:space="preserve"> Number of skeletal remains with information </w:t>
        </w:r>
        <w:r w:rsidR="009001FB">
          <w:rPr>
            <w:rStyle w:val="Collegamentoipertestuale"/>
            <w:noProof/>
          </w:rPr>
          <w:t>on</w:t>
        </w:r>
        <w:r w:rsidR="0014173B" w:rsidRPr="00292D0C">
          <w:rPr>
            <w:rStyle w:val="Collegamentoipertestuale"/>
            <w:noProof/>
          </w:rPr>
          <w:t xml:space="preserve"> gender</w:t>
        </w:r>
        <w:r w:rsidR="0084034A">
          <w:rPr>
            <w:rStyle w:val="Collegamentoipertestuale"/>
            <w:noProof/>
          </w:rPr>
          <w:t>,</w:t>
        </w:r>
        <w:r w:rsidR="0014173B" w:rsidRPr="00292D0C">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_Toc520212351 \h </w:instrText>
        </w:r>
        <w:r w:rsidR="0014173B">
          <w:rPr>
            <w:noProof/>
            <w:webHidden/>
          </w:rPr>
        </w:r>
        <w:r w:rsidR="0014173B">
          <w:rPr>
            <w:noProof/>
            <w:webHidden/>
          </w:rPr>
          <w:fldChar w:fldCharType="separate"/>
        </w:r>
        <w:r w:rsidR="00940F6A">
          <w:rPr>
            <w:noProof/>
            <w:webHidden/>
          </w:rPr>
          <w:t>18</w:t>
        </w:r>
        <w:r w:rsidR="007D19E3">
          <w:rPr>
            <w:noProof/>
            <w:webHidden/>
          </w:rPr>
          <w:t>2</w:t>
        </w:r>
        <w:r w:rsidR="0014173B">
          <w:rPr>
            <w:noProof/>
            <w:webHidden/>
          </w:rPr>
          <w:fldChar w:fldCharType="end"/>
        </w:r>
      </w:hyperlink>
    </w:p>
    <w:p w14:paraId="457677DF" w14:textId="6DAE39AD" w:rsidR="0014173B" w:rsidRDefault="00874C0C">
      <w:pPr>
        <w:pStyle w:val="Indicedellefigure"/>
        <w:tabs>
          <w:tab w:val="right" w:leader="dot" w:pos="8488"/>
        </w:tabs>
        <w:rPr>
          <w:rFonts w:asciiTheme="minorHAnsi" w:hAnsiTheme="minorHAnsi" w:cstheme="minorBidi"/>
          <w:noProof/>
          <w:szCs w:val="22"/>
          <w:lang w:eastAsia="en-GB"/>
        </w:rPr>
      </w:pPr>
      <w:hyperlink w:anchor="_Toc520212352" w:history="1">
        <w:r w:rsidR="0014173B" w:rsidRPr="00292D0C">
          <w:rPr>
            <w:rStyle w:val="Collegamentoipertestuale"/>
            <w:noProof/>
          </w:rPr>
          <w:t>Figure 4-15</w:t>
        </w:r>
        <w:r w:rsidR="003D31DD">
          <w:rPr>
            <w:rStyle w:val="Collegamentoipertestuale"/>
            <w:noProof/>
          </w:rPr>
          <w:t>.</w:t>
        </w:r>
        <w:r w:rsidR="0014173B" w:rsidRPr="00292D0C">
          <w:rPr>
            <w:rStyle w:val="Collegamentoipertestuale"/>
            <w:noProof/>
          </w:rPr>
          <w:t xml:space="preserve"> Number of skeletal remains with information </w:t>
        </w:r>
        <w:r w:rsidR="009001FB">
          <w:rPr>
            <w:rStyle w:val="Collegamentoipertestuale"/>
            <w:noProof/>
          </w:rPr>
          <w:t>on</w:t>
        </w:r>
        <w:r w:rsidR="0014173B" w:rsidRPr="00292D0C">
          <w:rPr>
            <w:rStyle w:val="Collegamentoipertestuale"/>
            <w:noProof/>
          </w:rPr>
          <w:t xml:space="preserve"> age</w:t>
        </w:r>
        <w:r w:rsidR="0084034A">
          <w:rPr>
            <w:rStyle w:val="Collegamentoipertestuale"/>
            <w:noProof/>
          </w:rPr>
          <w:t>,</w:t>
        </w:r>
        <w:r w:rsidR="0014173B" w:rsidRPr="00292D0C">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_Toc520212352 \h </w:instrText>
        </w:r>
        <w:r w:rsidR="0014173B">
          <w:rPr>
            <w:noProof/>
            <w:webHidden/>
          </w:rPr>
        </w:r>
        <w:r w:rsidR="0014173B">
          <w:rPr>
            <w:noProof/>
            <w:webHidden/>
          </w:rPr>
          <w:fldChar w:fldCharType="separate"/>
        </w:r>
        <w:r w:rsidR="00940F6A">
          <w:rPr>
            <w:noProof/>
            <w:webHidden/>
          </w:rPr>
          <w:t>18</w:t>
        </w:r>
        <w:r w:rsidR="007D19E3">
          <w:rPr>
            <w:noProof/>
            <w:webHidden/>
          </w:rPr>
          <w:t>2</w:t>
        </w:r>
        <w:r w:rsidR="0014173B">
          <w:rPr>
            <w:noProof/>
            <w:webHidden/>
          </w:rPr>
          <w:fldChar w:fldCharType="end"/>
        </w:r>
      </w:hyperlink>
    </w:p>
    <w:p w14:paraId="6CE17402" w14:textId="4FE791A4" w:rsidR="0014173B" w:rsidRDefault="00874C0C">
      <w:pPr>
        <w:pStyle w:val="Indicedellefigure"/>
        <w:tabs>
          <w:tab w:val="right" w:leader="dot" w:pos="8488"/>
        </w:tabs>
        <w:rPr>
          <w:rFonts w:asciiTheme="minorHAnsi" w:hAnsiTheme="minorHAnsi" w:cstheme="minorBidi"/>
          <w:noProof/>
          <w:szCs w:val="22"/>
          <w:lang w:eastAsia="en-GB"/>
        </w:rPr>
      </w:pPr>
      <w:hyperlink w:anchor="_Toc520212353" w:history="1">
        <w:r w:rsidR="0014173B" w:rsidRPr="00292D0C">
          <w:rPr>
            <w:rStyle w:val="Collegamentoipertestuale"/>
            <w:noProof/>
          </w:rPr>
          <w:t>Figure 4-16</w:t>
        </w:r>
        <w:r w:rsidR="003D31DD">
          <w:rPr>
            <w:rStyle w:val="Collegamentoipertestuale"/>
            <w:noProof/>
          </w:rPr>
          <w:t>.</w:t>
        </w:r>
        <w:r w:rsidR="0014173B" w:rsidRPr="00292D0C">
          <w:rPr>
            <w:rStyle w:val="Collegamentoipertestuale"/>
            <w:noProof/>
          </w:rPr>
          <w:t xml:space="preserve"> Deposition methods associated in tombs with larnakes</w:t>
        </w:r>
        <w:r w:rsidR="0084034A">
          <w:rPr>
            <w:rStyle w:val="Collegamentoipertestuale"/>
            <w:noProof/>
          </w:rPr>
          <w:t>,</w:t>
        </w:r>
        <w:r w:rsidR="0014173B" w:rsidRPr="00292D0C">
          <w:rPr>
            <w:rStyle w:val="Collegamentoipertestuale"/>
            <w:noProof/>
          </w:rPr>
          <w:t xml:space="preserve"> Central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_Toc520212353 \h </w:instrText>
        </w:r>
        <w:r w:rsidR="0014173B">
          <w:rPr>
            <w:noProof/>
            <w:webHidden/>
          </w:rPr>
        </w:r>
        <w:r w:rsidR="0014173B">
          <w:rPr>
            <w:noProof/>
            <w:webHidden/>
          </w:rPr>
          <w:fldChar w:fldCharType="separate"/>
        </w:r>
        <w:r w:rsidR="00940F6A">
          <w:rPr>
            <w:noProof/>
            <w:webHidden/>
          </w:rPr>
          <w:t>18</w:t>
        </w:r>
        <w:r w:rsidR="007D19E3">
          <w:rPr>
            <w:noProof/>
            <w:webHidden/>
          </w:rPr>
          <w:t>7</w:t>
        </w:r>
        <w:r w:rsidR="0014173B">
          <w:rPr>
            <w:noProof/>
            <w:webHidden/>
          </w:rPr>
          <w:fldChar w:fldCharType="end"/>
        </w:r>
      </w:hyperlink>
    </w:p>
    <w:p w14:paraId="202C744E" w14:textId="01CB1AB9" w:rsidR="0014173B" w:rsidRDefault="00874C0C">
      <w:pPr>
        <w:pStyle w:val="Indicedellefigure"/>
        <w:tabs>
          <w:tab w:val="right" w:leader="dot" w:pos="8488"/>
        </w:tabs>
        <w:rPr>
          <w:rFonts w:asciiTheme="minorHAnsi" w:hAnsiTheme="minorHAnsi" w:cstheme="minorBidi"/>
          <w:noProof/>
          <w:szCs w:val="22"/>
          <w:lang w:eastAsia="en-GB"/>
        </w:rPr>
      </w:pPr>
      <w:hyperlink w:anchor="_Toc520212354" w:history="1">
        <w:r w:rsidR="0014173B" w:rsidRPr="00292D0C">
          <w:rPr>
            <w:rStyle w:val="Collegamentoipertestuale"/>
            <w:noProof/>
          </w:rPr>
          <w:t>Figure 4-17</w:t>
        </w:r>
        <w:r w:rsidR="003D31DD">
          <w:rPr>
            <w:rStyle w:val="Collegamentoipertestuale"/>
            <w:noProof/>
          </w:rPr>
          <w:t>.</w:t>
        </w:r>
        <w:r w:rsidR="0014173B" w:rsidRPr="00292D0C">
          <w:rPr>
            <w:rStyle w:val="Collegamentoipertestuale"/>
            <w:noProof/>
          </w:rPr>
          <w:t xml:space="preserve"> Percentage of tombs with information </w:t>
        </w:r>
        <w:r w:rsidR="009001FB">
          <w:rPr>
            <w:rStyle w:val="Collegamentoipertestuale"/>
            <w:noProof/>
          </w:rPr>
          <w:t>on</w:t>
        </w:r>
        <w:r w:rsidR="0014173B" w:rsidRPr="00292D0C">
          <w:rPr>
            <w:rStyle w:val="Collegamentoipertestuale"/>
            <w:noProof/>
          </w:rPr>
          <w:t xml:space="preserve"> gender and age</w:t>
        </w:r>
        <w:r w:rsidR="0084034A">
          <w:rPr>
            <w:rStyle w:val="Collegamentoipertestuale"/>
            <w:noProof/>
          </w:rPr>
          <w:t>,</w:t>
        </w:r>
        <w:r w:rsidR="0014173B" w:rsidRPr="00292D0C">
          <w:rPr>
            <w:rStyle w:val="Collegamentoipertestuale"/>
            <w:noProof/>
          </w:rPr>
          <w:t xml:space="preserve"> Central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_Toc520212354 \h </w:instrText>
        </w:r>
        <w:r w:rsidR="0014173B">
          <w:rPr>
            <w:noProof/>
            <w:webHidden/>
          </w:rPr>
        </w:r>
        <w:r w:rsidR="0014173B">
          <w:rPr>
            <w:noProof/>
            <w:webHidden/>
          </w:rPr>
          <w:fldChar w:fldCharType="separate"/>
        </w:r>
        <w:r w:rsidR="00940F6A">
          <w:rPr>
            <w:noProof/>
            <w:webHidden/>
          </w:rPr>
          <w:t>18</w:t>
        </w:r>
        <w:r w:rsidR="0014173B">
          <w:rPr>
            <w:noProof/>
            <w:webHidden/>
          </w:rPr>
          <w:fldChar w:fldCharType="end"/>
        </w:r>
      </w:hyperlink>
      <w:r w:rsidR="007D19E3">
        <w:rPr>
          <w:noProof/>
        </w:rPr>
        <w:t>9</w:t>
      </w:r>
    </w:p>
    <w:p w14:paraId="64768650" w14:textId="67CCCC06" w:rsidR="0014173B" w:rsidRDefault="00874C0C">
      <w:pPr>
        <w:pStyle w:val="Indicedellefigure"/>
        <w:tabs>
          <w:tab w:val="right" w:leader="dot" w:pos="8488"/>
        </w:tabs>
        <w:rPr>
          <w:rFonts w:asciiTheme="minorHAnsi" w:hAnsiTheme="minorHAnsi" w:cstheme="minorBidi"/>
          <w:noProof/>
          <w:szCs w:val="22"/>
          <w:lang w:eastAsia="en-GB"/>
        </w:rPr>
      </w:pPr>
      <w:hyperlink w:anchor="_Toc520212355" w:history="1">
        <w:r w:rsidR="0014173B" w:rsidRPr="00292D0C">
          <w:rPr>
            <w:rStyle w:val="Collegamentoipertestuale"/>
            <w:noProof/>
          </w:rPr>
          <w:t>Figure 4-18</w:t>
        </w:r>
        <w:r w:rsidR="003D31DD">
          <w:rPr>
            <w:rStyle w:val="Collegamentoipertestuale"/>
            <w:noProof/>
          </w:rPr>
          <w:t>.</w:t>
        </w:r>
        <w:r w:rsidR="0014173B" w:rsidRPr="00292D0C">
          <w:rPr>
            <w:rStyle w:val="Collegamentoipertestuale"/>
            <w:noProof/>
          </w:rPr>
          <w:t xml:space="preserve"> Percentage of individuals with information </w:t>
        </w:r>
        <w:r w:rsidR="009001FB">
          <w:rPr>
            <w:rStyle w:val="Collegamentoipertestuale"/>
            <w:noProof/>
          </w:rPr>
          <w:t>on</w:t>
        </w:r>
        <w:r w:rsidR="0014173B" w:rsidRPr="00292D0C">
          <w:rPr>
            <w:rStyle w:val="Collegamentoipertestuale"/>
            <w:noProof/>
          </w:rPr>
          <w:t xml:space="preserve"> gender and age</w:t>
        </w:r>
        <w:r w:rsidR="0084034A">
          <w:rPr>
            <w:rStyle w:val="Collegamentoipertestuale"/>
            <w:noProof/>
          </w:rPr>
          <w:t>,</w:t>
        </w:r>
        <w:r w:rsidR="0014173B" w:rsidRPr="00292D0C">
          <w:rPr>
            <w:rStyle w:val="Collegamentoipertestuale"/>
            <w:noProof/>
          </w:rPr>
          <w:t xml:space="preserve"> Central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_Toc520212355 \h </w:instrText>
        </w:r>
        <w:r w:rsidR="0014173B">
          <w:rPr>
            <w:noProof/>
            <w:webHidden/>
          </w:rPr>
        </w:r>
        <w:r w:rsidR="0014173B">
          <w:rPr>
            <w:noProof/>
            <w:webHidden/>
          </w:rPr>
          <w:fldChar w:fldCharType="separate"/>
        </w:r>
        <w:r w:rsidR="00940F6A">
          <w:rPr>
            <w:noProof/>
            <w:webHidden/>
          </w:rPr>
          <w:t>18</w:t>
        </w:r>
        <w:r w:rsidR="007D19E3">
          <w:rPr>
            <w:noProof/>
            <w:webHidden/>
          </w:rPr>
          <w:t>9</w:t>
        </w:r>
        <w:r w:rsidR="0014173B">
          <w:rPr>
            <w:noProof/>
            <w:webHidden/>
          </w:rPr>
          <w:fldChar w:fldCharType="end"/>
        </w:r>
      </w:hyperlink>
    </w:p>
    <w:p w14:paraId="320B8AD2" w14:textId="36BBF174" w:rsidR="0014173B" w:rsidRDefault="00874C0C">
      <w:pPr>
        <w:pStyle w:val="Indicedellefigure"/>
        <w:tabs>
          <w:tab w:val="right" w:leader="dot" w:pos="8488"/>
        </w:tabs>
        <w:rPr>
          <w:rFonts w:asciiTheme="minorHAnsi" w:hAnsiTheme="minorHAnsi" w:cstheme="minorBidi"/>
          <w:noProof/>
          <w:szCs w:val="22"/>
          <w:lang w:eastAsia="en-GB"/>
        </w:rPr>
      </w:pPr>
      <w:hyperlink w:anchor="_Toc520212356" w:history="1">
        <w:r w:rsidR="0014173B" w:rsidRPr="00292D0C">
          <w:rPr>
            <w:rStyle w:val="Collegamentoipertestuale"/>
            <w:noProof/>
          </w:rPr>
          <w:t>Figure 4-19</w:t>
        </w:r>
        <w:r w:rsidR="003D31DD">
          <w:rPr>
            <w:rStyle w:val="Collegamentoipertestuale"/>
            <w:noProof/>
          </w:rPr>
          <w:t>.</w:t>
        </w:r>
        <w:r w:rsidR="0014173B" w:rsidRPr="00292D0C">
          <w:rPr>
            <w:rStyle w:val="Collegamentoipertestuale"/>
            <w:noProof/>
          </w:rPr>
          <w:t xml:space="preserve"> Number of skeletal remains information </w:t>
        </w:r>
        <w:r w:rsidR="009001FB">
          <w:rPr>
            <w:rStyle w:val="Collegamentoipertestuale"/>
            <w:noProof/>
          </w:rPr>
          <w:t>on</w:t>
        </w:r>
        <w:r w:rsidR="0014173B" w:rsidRPr="00292D0C">
          <w:rPr>
            <w:rStyle w:val="Collegamentoipertestuale"/>
            <w:noProof/>
          </w:rPr>
          <w:t xml:space="preserve"> gender</w:t>
        </w:r>
        <w:r w:rsidR="0084034A">
          <w:rPr>
            <w:rStyle w:val="Collegamentoipertestuale"/>
            <w:noProof/>
          </w:rPr>
          <w:t>,</w:t>
        </w:r>
        <w:r w:rsidR="0014173B" w:rsidRPr="00292D0C">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_Toc520212356 \h </w:instrText>
        </w:r>
        <w:r w:rsidR="0014173B">
          <w:rPr>
            <w:noProof/>
            <w:webHidden/>
          </w:rPr>
        </w:r>
        <w:r w:rsidR="0014173B">
          <w:rPr>
            <w:noProof/>
            <w:webHidden/>
          </w:rPr>
          <w:fldChar w:fldCharType="separate"/>
        </w:r>
        <w:r w:rsidR="00940F6A">
          <w:rPr>
            <w:noProof/>
            <w:webHidden/>
          </w:rPr>
          <w:t>1</w:t>
        </w:r>
        <w:r w:rsidR="007D19E3">
          <w:rPr>
            <w:noProof/>
            <w:webHidden/>
          </w:rPr>
          <w:t>90</w:t>
        </w:r>
        <w:r w:rsidR="0014173B">
          <w:rPr>
            <w:noProof/>
            <w:webHidden/>
          </w:rPr>
          <w:fldChar w:fldCharType="end"/>
        </w:r>
      </w:hyperlink>
    </w:p>
    <w:p w14:paraId="7FD9795F" w14:textId="632AAF81" w:rsidR="0014173B" w:rsidRDefault="00874C0C">
      <w:pPr>
        <w:pStyle w:val="Indicedellefigure"/>
        <w:tabs>
          <w:tab w:val="right" w:leader="dot" w:pos="8488"/>
        </w:tabs>
        <w:rPr>
          <w:rFonts w:asciiTheme="minorHAnsi" w:hAnsiTheme="minorHAnsi" w:cstheme="minorBidi"/>
          <w:noProof/>
          <w:szCs w:val="22"/>
          <w:lang w:eastAsia="en-GB"/>
        </w:rPr>
      </w:pPr>
      <w:hyperlink w:anchor="_Toc520212357" w:history="1">
        <w:r w:rsidR="0014173B" w:rsidRPr="00292D0C">
          <w:rPr>
            <w:rStyle w:val="Collegamentoipertestuale"/>
            <w:noProof/>
          </w:rPr>
          <w:t>Figure 4-20</w:t>
        </w:r>
        <w:r w:rsidR="003D31DD">
          <w:rPr>
            <w:rStyle w:val="Collegamentoipertestuale"/>
            <w:noProof/>
          </w:rPr>
          <w:t>.</w:t>
        </w:r>
        <w:r w:rsidR="0014173B" w:rsidRPr="00292D0C">
          <w:rPr>
            <w:rStyle w:val="Collegamentoipertestuale"/>
            <w:noProof/>
          </w:rPr>
          <w:t xml:space="preserve"> Number of skeletal remains information </w:t>
        </w:r>
        <w:r w:rsidR="009001FB">
          <w:rPr>
            <w:rStyle w:val="Collegamentoipertestuale"/>
            <w:noProof/>
          </w:rPr>
          <w:t>on</w:t>
        </w:r>
        <w:r w:rsidR="0014173B" w:rsidRPr="00292D0C">
          <w:rPr>
            <w:rStyle w:val="Collegamentoipertestuale"/>
            <w:noProof/>
          </w:rPr>
          <w:t xml:space="preserve"> age</w:t>
        </w:r>
        <w:r w:rsidR="0084034A">
          <w:rPr>
            <w:rStyle w:val="Collegamentoipertestuale"/>
            <w:noProof/>
          </w:rPr>
          <w:t>,</w:t>
        </w:r>
        <w:r w:rsidR="0014173B" w:rsidRPr="00292D0C">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_Toc520212357 \h </w:instrText>
        </w:r>
        <w:r w:rsidR="0014173B">
          <w:rPr>
            <w:noProof/>
            <w:webHidden/>
          </w:rPr>
        </w:r>
        <w:r w:rsidR="0014173B">
          <w:rPr>
            <w:noProof/>
            <w:webHidden/>
          </w:rPr>
          <w:fldChar w:fldCharType="separate"/>
        </w:r>
        <w:r w:rsidR="00940F6A">
          <w:rPr>
            <w:noProof/>
            <w:webHidden/>
          </w:rPr>
          <w:t>1</w:t>
        </w:r>
        <w:r w:rsidR="0014173B">
          <w:rPr>
            <w:noProof/>
            <w:webHidden/>
          </w:rPr>
          <w:fldChar w:fldCharType="end"/>
        </w:r>
      </w:hyperlink>
      <w:r w:rsidR="007D19E3">
        <w:rPr>
          <w:noProof/>
        </w:rPr>
        <w:t>90</w:t>
      </w:r>
    </w:p>
    <w:p w14:paraId="55121E9B" w14:textId="779BC2D3" w:rsidR="0014173B" w:rsidRDefault="00874C0C">
      <w:pPr>
        <w:pStyle w:val="Indicedellefigure"/>
        <w:tabs>
          <w:tab w:val="right" w:leader="dot" w:pos="8488"/>
        </w:tabs>
        <w:rPr>
          <w:rFonts w:asciiTheme="minorHAnsi" w:hAnsiTheme="minorHAnsi" w:cstheme="minorBidi"/>
          <w:noProof/>
          <w:szCs w:val="22"/>
          <w:lang w:eastAsia="en-GB"/>
        </w:rPr>
      </w:pPr>
      <w:hyperlink w:anchor="_Toc520212358" w:history="1">
        <w:r w:rsidR="0014173B" w:rsidRPr="00292D0C">
          <w:rPr>
            <w:rStyle w:val="Collegamentoipertestuale"/>
            <w:noProof/>
          </w:rPr>
          <w:t>Figure 4-21</w:t>
        </w:r>
        <w:r w:rsidR="003D31DD">
          <w:rPr>
            <w:rStyle w:val="Collegamentoipertestuale"/>
            <w:noProof/>
          </w:rPr>
          <w:t>.</w:t>
        </w:r>
        <w:r w:rsidR="0014173B" w:rsidRPr="00292D0C">
          <w:rPr>
            <w:rStyle w:val="Collegamentoipertestuale"/>
            <w:noProof/>
          </w:rPr>
          <w:t xml:space="preserve"> Deposition methods associated in tomb with larnakes</w:t>
        </w:r>
        <w:r w:rsidR="0084034A">
          <w:rPr>
            <w:rStyle w:val="Collegamentoipertestuale"/>
            <w:noProof/>
          </w:rPr>
          <w:t>,</w:t>
        </w:r>
        <w:r w:rsidR="0014173B" w:rsidRPr="00292D0C">
          <w:rPr>
            <w:rStyle w:val="Collegamentoipertestuale"/>
            <w:noProof/>
          </w:rPr>
          <w:t xml:space="preserve"> Mid-East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_Toc520212358 \h </w:instrText>
        </w:r>
        <w:r w:rsidR="0014173B">
          <w:rPr>
            <w:noProof/>
            <w:webHidden/>
          </w:rPr>
        </w:r>
        <w:r w:rsidR="0014173B">
          <w:rPr>
            <w:noProof/>
            <w:webHidden/>
          </w:rPr>
          <w:fldChar w:fldCharType="separate"/>
        </w:r>
        <w:r w:rsidR="00940F6A">
          <w:rPr>
            <w:noProof/>
            <w:webHidden/>
          </w:rPr>
          <w:t>19</w:t>
        </w:r>
        <w:r w:rsidR="007D19E3">
          <w:rPr>
            <w:noProof/>
            <w:webHidden/>
          </w:rPr>
          <w:t>4</w:t>
        </w:r>
        <w:r w:rsidR="0014173B">
          <w:rPr>
            <w:noProof/>
            <w:webHidden/>
          </w:rPr>
          <w:fldChar w:fldCharType="end"/>
        </w:r>
      </w:hyperlink>
    </w:p>
    <w:p w14:paraId="332D0C22" w14:textId="2D8E0620" w:rsidR="0014173B" w:rsidRDefault="00874C0C">
      <w:pPr>
        <w:pStyle w:val="Indicedellefigure"/>
        <w:tabs>
          <w:tab w:val="right" w:leader="dot" w:pos="8488"/>
        </w:tabs>
        <w:rPr>
          <w:rFonts w:asciiTheme="minorHAnsi" w:hAnsiTheme="minorHAnsi" w:cstheme="minorBidi"/>
          <w:noProof/>
          <w:szCs w:val="22"/>
          <w:lang w:eastAsia="en-GB"/>
        </w:rPr>
      </w:pPr>
      <w:hyperlink w:anchor="_Toc520212359" w:history="1">
        <w:r w:rsidR="0014173B" w:rsidRPr="00292D0C">
          <w:rPr>
            <w:rStyle w:val="Collegamentoipertestuale"/>
            <w:noProof/>
          </w:rPr>
          <w:t>Figure 4-22</w:t>
        </w:r>
        <w:r w:rsidR="003D31DD">
          <w:rPr>
            <w:rStyle w:val="Collegamentoipertestuale"/>
            <w:noProof/>
          </w:rPr>
          <w:t>.</w:t>
        </w:r>
        <w:r w:rsidR="0014173B" w:rsidRPr="00292D0C">
          <w:rPr>
            <w:rStyle w:val="Collegamentoipertestuale"/>
            <w:noProof/>
          </w:rPr>
          <w:t xml:space="preserve"> Percentage of tombs with information </w:t>
        </w:r>
        <w:r w:rsidR="009001FB">
          <w:rPr>
            <w:rStyle w:val="Collegamentoipertestuale"/>
            <w:noProof/>
          </w:rPr>
          <w:t>on</w:t>
        </w:r>
        <w:r w:rsidR="0014173B" w:rsidRPr="00292D0C">
          <w:rPr>
            <w:rStyle w:val="Collegamentoipertestuale"/>
            <w:noProof/>
          </w:rPr>
          <w:t xml:space="preserve"> gender and age</w:t>
        </w:r>
        <w:r w:rsidR="0084034A">
          <w:rPr>
            <w:rStyle w:val="Collegamentoipertestuale"/>
            <w:noProof/>
          </w:rPr>
          <w:t>,</w:t>
        </w:r>
        <w:r w:rsidR="0014173B" w:rsidRPr="00292D0C">
          <w:rPr>
            <w:rStyle w:val="Collegamentoipertestuale"/>
            <w:noProof/>
          </w:rPr>
          <w:t xml:space="preserve"> Mid-East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_Toc520212359 \h </w:instrText>
        </w:r>
        <w:r w:rsidR="0014173B">
          <w:rPr>
            <w:noProof/>
            <w:webHidden/>
          </w:rPr>
        </w:r>
        <w:r w:rsidR="0014173B">
          <w:rPr>
            <w:noProof/>
            <w:webHidden/>
          </w:rPr>
          <w:fldChar w:fldCharType="separate"/>
        </w:r>
        <w:r w:rsidR="00940F6A">
          <w:rPr>
            <w:noProof/>
            <w:webHidden/>
          </w:rPr>
          <w:t>19</w:t>
        </w:r>
        <w:r w:rsidR="007D19E3">
          <w:rPr>
            <w:noProof/>
            <w:webHidden/>
          </w:rPr>
          <w:t>6</w:t>
        </w:r>
        <w:r w:rsidR="0014173B">
          <w:rPr>
            <w:noProof/>
            <w:webHidden/>
          </w:rPr>
          <w:fldChar w:fldCharType="end"/>
        </w:r>
      </w:hyperlink>
    </w:p>
    <w:p w14:paraId="62373670" w14:textId="3C8DBBA3" w:rsidR="0014173B" w:rsidRDefault="00874C0C">
      <w:pPr>
        <w:pStyle w:val="Indicedellefigure"/>
        <w:tabs>
          <w:tab w:val="right" w:leader="dot" w:pos="8488"/>
        </w:tabs>
        <w:rPr>
          <w:rFonts w:asciiTheme="minorHAnsi" w:hAnsiTheme="minorHAnsi" w:cstheme="minorBidi"/>
          <w:noProof/>
          <w:szCs w:val="22"/>
          <w:lang w:eastAsia="en-GB"/>
        </w:rPr>
      </w:pPr>
      <w:hyperlink w:anchor="_Toc520212360" w:history="1">
        <w:r w:rsidR="0014173B" w:rsidRPr="00292D0C">
          <w:rPr>
            <w:rStyle w:val="Collegamentoipertestuale"/>
            <w:noProof/>
          </w:rPr>
          <w:t>Figure 4- 23</w:t>
        </w:r>
        <w:r w:rsidR="003D31DD">
          <w:rPr>
            <w:rStyle w:val="Collegamentoipertestuale"/>
            <w:noProof/>
          </w:rPr>
          <w:t>.</w:t>
        </w:r>
        <w:r w:rsidR="0014173B" w:rsidRPr="00292D0C">
          <w:rPr>
            <w:rStyle w:val="Collegamentoipertestuale"/>
            <w:noProof/>
          </w:rPr>
          <w:t xml:space="preserve"> Percentage of individuals with information </w:t>
        </w:r>
        <w:r w:rsidR="009001FB">
          <w:rPr>
            <w:rStyle w:val="Collegamentoipertestuale"/>
            <w:noProof/>
          </w:rPr>
          <w:t>on</w:t>
        </w:r>
        <w:r w:rsidR="0014173B" w:rsidRPr="00292D0C">
          <w:rPr>
            <w:rStyle w:val="Collegamentoipertestuale"/>
            <w:noProof/>
          </w:rPr>
          <w:t xml:space="preserve"> gender and age</w:t>
        </w:r>
        <w:r w:rsidR="0084034A">
          <w:rPr>
            <w:rStyle w:val="Collegamentoipertestuale"/>
            <w:noProof/>
          </w:rPr>
          <w:t>,</w:t>
        </w:r>
        <w:r w:rsidR="0014173B" w:rsidRPr="00292D0C">
          <w:rPr>
            <w:rStyle w:val="Collegamentoipertestuale"/>
            <w:noProof/>
          </w:rPr>
          <w:t xml:space="preserve"> Mid-East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_Toc520212360 \h </w:instrText>
        </w:r>
        <w:r w:rsidR="0014173B">
          <w:rPr>
            <w:noProof/>
            <w:webHidden/>
          </w:rPr>
        </w:r>
        <w:r w:rsidR="0014173B">
          <w:rPr>
            <w:noProof/>
            <w:webHidden/>
          </w:rPr>
          <w:fldChar w:fldCharType="separate"/>
        </w:r>
        <w:r w:rsidR="00940F6A">
          <w:rPr>
            <w:noProof/>
            <w:webHidden/>
          </w:rPr>
          <w:t>19</w:t>
        </w:r>
        <w:r w:rsidR="007D19E3">
          <w:rPr>
            <w:noProof/>
            <w:webHidden/>
          </w:rPr>
          <w:t>6</w:t>
        </w:r>
        <w:r w:rsidR="0014173B">
          <w:rPr>
            <w:noProof/>
            <w:webHidden/>
          </w:rPr>
          <w:fldChar w:fldCharType="end"/>
        </w:r>
      </w:hyperlink>
    </w:p>
    <w:p w14:paraId="7B304877" w14:textId="24643708" w:rsidR="0014173B" w:rsidRDefault="00874C0C">
      <w:pPr>
        <w:pStyle w:val="Indicedellefigure"/>
        <w:tabs>
          <w:tab w:val="right" w:leader="dot" w:pos="8488"/>
        </w:tabs>
        <w:rPr>
          <w:rFonts w:asciiTheme="minorHAnsi" w:hAnsiTheme="minorHAnsi" w:cstheme="minorBidi"/>
          <w:noProof/>
          <w:szCs w:val="22"/>
          <w:lang w:eastAsia="en-GB"/>
        </w:rPr>
      </w:pPr>
      <w:hyperlink w:anchor="_Toc520212361" w:history="1">
        <w:r w:rsidR="0014173B" w:rsidRPr="00292D0C">
          <w:rPr>
            <w:rStyle w:val="Collegamentoipertestuale"/>
            <w:noProof/>
          </w:rPr>
          <w:t>Figure 4-24</w:t>
        </w:r>
        <w:r w:rsidR="003D31DD">
          <w:rPr>
            <w:rStyle w:val="Collegamentoipertestuale"/>
            <w:noProof/>
          </w:rPr>
          <w:t>.</w:t>
        </w:r>
        <w:r w:rsidR="0014173B" w:rsidRPr="00292D0C">
          <w:rPr>
            <w:rStyle w:val="Collegamentoipertestuale"/>
            <w:noProof/>
          </w:rPr>
          <w:t xml:space="preserve"> Number of skeletal remains with information </w:t>
        </w:r>
        <w:r w:rsidR="009001FB">
          <w:rPr>
            <w:rStyle w:val="Collegamentoipertestuale"/>
            <w:noProof/>
          </w:rPr>
          <w:t>on</w:t>
        </w:r>
        <w:r w:rsidR="0014173B" w:rsidRPr="00292D0C">
          <w:rPr>
            <w:rStyle w:val="Collegamentoipertestuale"/>
            <w:noProof/>
          </w:rPr>
          <w:t xml:space="preserve"> gender</w:t>
        </w:r>
        <w:r w:rsidR="0084034A">
          <w:rPr>
            <w:rStyle w:val="Collegamentoipertestuale"/>
            <w:noProof/>
          </w:rPr>
          <w:t>,</w:t>
        </w:r>
        <w:r w:rsidR="0014173B" w:rsidRPr="00292D0C">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_Toc520212361 \h </w:instrText>
        </w:r>
        <w:r w:rsidR="0014173B">
          <w:rPr>
            <w:noProof/>
            <w:webHidden/>
          </w:rPr>
        </w:r>
        <w:r w:rsidR="0014173B">
          <w:rPr>
            <w:noProof/>
            <w:webHidden/>
          </w:rPr>
          <w:fldChar w:fldCharType="separate"/>
        </w:r>
        <w:r w:rsidR="00940F6A">
          <w:rPr>
            <w:noProof/>
            <w:webHidden/>
          </w:rPr>
          <w:t>19</w:t>
        </w:r>
        <w:r w:rsidR="007D19E3">
          <w:rPr>
            <w:noProof/>
            <w:webHidden/>
          </w:rPr>
          <w:t>7</w:t>
        </w:r>
        <w:r w:rsidR="0014173B">
          <w:rPr>
            <w:noProof/>
            <w:webHidden/>
          </w:rPr>
          <w:fldChar w:fldCharType="end"/>
        </w:r>
      </w:hyperlink>
    </w:p>
    <w:p w14:paraId="0658FF03" w14:textId="339FE714" w:rsidR="0014173B" w:rsidRDefault="00874C0C">
      <w:pPr>
        <w:pStyle w:val="Indicedellefigure"/>
        <w:tabs>
          <w:tab w:val="right" w:leader="dot" w:pos="8488"/>
        </w:tabs>
        <w:rPr>
          <w:rFonts w:asciiTheme="minorHAnsi" w:hAnsiTheme="minorHAnsi" w:cstheme="minorBidi"/>
          <w:noProof/>
          <w:szCs w:val="22"/>
          <w:lang w:eastAsia="en-GB"/>
        </w:rPr>
      </w:pPr>
      <w:hyperlink w:anchor="_Toc520212362" w:history="1">
        <w:r w:rsidR="0014173B" w:rsidRPr="00292D0C">
          <w:rPr>
            <w:rStyle w:val="Collegamentoipertestuale"/>
            <w:noProof/>
          </w:rPr>
          <w:t>Figure 4-25</w:t>
        </w:r>
        <w:r w:rsidR="003D31DD">
          <w:rPr>
            <w:rStyle w:val="Collegamentoipertestuale"/>
            <w:noProof/>
          </w:rPr>
          <w:t>.</w:t>
        </w:r>
        <w:r w:rsidR="0014173B" w:rsidRPr="00292D0C">
          <w:rPr>
            <w:rStyle w:val="Collegamentoipertestuale"/>
            <w:noProof/>
          </w:rPr>
          <w:t xml:space="preserve"> Number of skeletal remains with information </w:t>
        </w:r>
        <w:r w:rsidR="009001FB">
          <w:rPr>
            <w:rStyle w:val="Collegamentoipertestuale"/>
            <w:noProof/>
          </w:rPr>
          <w:t>on</w:t>
        </w:r>
        <w:r w:rsidR="0014173B" w:rsidRPr="00292D0C">
          <w:rPr>
            <w:rStyle w:val="Collegamentoipertestuale"/>
            <w:noProof/>
          </w:rPr>
          <w:t xml:space="preserve"> age</w:t>
        </w:r>
        <w:r w:rsidR="0084034A">
          <w:rPr>
            <w:rStyle w:val="Collegamentoipertestuale"/>
            <w:noProof/>
          </w:rPr>
          <w:t>,</w:t>
        </w:r>
        <w:r w:rsidR="0014173B" w:rsidRPr="00292D0C">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_Toc520212362 \h </w:instrText>
        </w:r>
        <w:r w:rsidR="0014173B">
          <w:rPr>
            <w:noProof/>
            <w:webHidden/>
          </w:rPr>
        </w:r>
        <w:r w:rsidR="0014173B">
          <w:rPr>
            <w:noProof/>
            <w:webHidden/>
          </w:rPr>
          <w:fldChar w:fldCharType="separate"/>
        </w:r>
        <w:r w:rsidR="00940F6A">
          <w:rPr>
            <w:noProof/>
            <w:webHidden/>
          </w:rPr>
          <w:t>19</w:t>
        </w:r>
        <w:r w:rsidR="007D19E3">
          <w:rPr>
            <w:noProof/>
            <w:webHidden/>
          </w:rPr>
          <w:t>7</w:t>
        </w:r>
        <w:r w:rsidR="0014173B">
          <w:rPr>
            <w:noProof/>
            <w:webHidden/>
          </w:rPr>
          <w:fldChar w:fldCharType="end"/>
        </w:r>
      </w:hyperlink>
    </w:p>
    <w:p w14:paraId="1F3BBA48" w14:textId="1870B473" w:rsidR="0014173B" w:rsidRDefault="00874C0C">
      <w:pPr>
        <w:pStyle w:val="Indicedellefigure"/>
        <w:tabs>
          <w:tab w:val="right" w:leader="dot" w:pos="8488"/>
        </w:tabs>
        <w:rPr>
          <w:rFonts w:asciiTheme="minorHAnsi" w:hAnsiTheme="minorHAnsi" w:cstheme="minorBidi"/>
          <w:noProof/>
          <w:szCs w:val="22"/>
          <w:lang w:eastAsia="en-GB"/>
        </w:rPr>
      </w:pPr>
      <w:hyperlink w:anchor="_Toc520212363" w:history="1">
        <w:r w:rsidR="0014173B" w:rsidRPr="00292D0C">
          <w:rPr>
            <w:rStyle w:val="Collegamentoipertestuale"/>
            <w:noProof/>
          </w:rPr>
          <w:t>Figure 4-26</w:t>
        </w:r>
        <w:r w:rsidR="003D31DD">
          <w:rPr>
            <w:rStyle w:val="Collegamentoipertestuale"/>
            <w:noProof/>
          </w:rPr>
          <w:t>.</w:t>
        </w:r>
        <w:r w:rsidR="0014173B" w:rsidRPr="00292D0C">
          <w:rPr>
            <w:rStyle w:val="Collegamentoipertestuale"/>
            <w:noProof/>
          </w:rPr>
          <w:t xml:space="preserve"> Deposition methods associated in tombs with larnakes</w:t>
        </w:r>
        <w:r w:rsidR="0084034A">
          <w:rPr>
            <w:rStyle w:val="Collegamentoipertestuale"/>
            <w:noProof/>
          </w:rPr>
          <w:t>,</w:t>
        </w:r>
        <w:r w:rsidR="0014173B" w:rsidRPr="00292D0C">
          <w:rPr>
            <w:rStyle w:val="Collegamentoipertestuale"/>
            <w:noProof/>
          </w:rPr>
          <w:t xml:space="preserve"> Far-East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_Toc520212363 \h </w:instrText>
        </w:r>
        <w:r w:rsidR="0014173B">
          <w:rPr>
            <w:noProof/>
            <w:webHidden/>
          </w:rPr>
        </w:r>
        <w:r w:rsidR="0014173B">
          <w:rPr>
            <w:noProof/>
            <w:webHidden/>
          </w:rPr>
          <w:fldChar w:fldCharType="separate"/>
        </w:r>
        <w:r w:rsidR="00940F6A">
          <w:rPr>
            <w:noProof/>
            <w:webHidden/>
          </w:rPr>
          <w:t>20</w:t>
        </w:r>
        <w:r w:rsidR="007D19E3">
          <w:rPr>
            <w:noProof/>
            <w:webHidden/>
          </w:rPr>
          <w:t>2</w:t>
        </w:r>
        <w:r w:rsidR="0014173B">
          <w:rPr>
            <w:noProof/>
            <w:webHidden/>
          </w:rPr>
          <w:fldChar w:fldCharType="end"/>
        </w:r>
      </w:hyperlink>
    </w:p>
    <w:p w14:paraId="57A87B06" w14:textId="36C74C83" w:rsidR="0014173B" w:rsidRDefault="00874C0C">
      <w:pPr>
        <w:pStyle w:val="Indicedellefigure"/>
        <w:tabs>
          <w:tab w:val="right" w:leader="dot" w:pos="8488"/>
        </w:tabs>
        <w:rPr>
          <w:rFonts w:asciiTheme="minorHAnsi" w:hAnsiTheme="minorHAnsi" w:cstheme="minorBidi"/>
          <w:noProof/>
          <w:szCs w:val="22"/>
          <w:lang w:eastAsia="en-GB"/>
        </w:rPr>
      </w:pPr>
      <w:hyperlink w:anchor="_Toc520212365" w:history="1">
        <w:r w:rsidR="0014173B" w:rsidRPr="00292D0C">
          <w:rPr>
            <w:rStyle w:val="Collegamentoipertestuale"/>
            <w:noProof/>
          </w:rPr>
          <w:t>Figure 4-27</w:t>
        </w:r>
        <w:r w:rsidR="003D31DD">
          <w:rPr>
            <w:rStyle w:val="Collegamentoipertestuale"/>
            <w:noProof/>
          </w:rPr>
          <w:t>.</w:t>
        </w:r>
        <w:r w:rsidR="0014173B" w:rsidRPr="00292D0C">
          <w:rPr>
            <w:rStyle w:val="Collegamentoipertestuale"/>
            <w:noProof/>
          </w:rPr>
          <w:t xml:space="preserve"> Percentage of tombs with information </w:t>
        </w:r>
        <w:r w:rsidR="00CC581F">
          <w:rPr>
            <w:rStyle w:val="Collegamentoipertestuale"/>
            <w:noProof/>
          </w:rPr>
          <w:t>on</w:t>
        </w:r>
        <w:r w:rsidR="0014173B" w:rsidRPr="00292D0C">
          <w:rPr>
            <w:rStyle w:val="Collegamentoipertestuale"/>
            <w:noProof/>
          </w:rPr>
          <w:t xml:space="preserve"> gender and age</w:t>
        </w:r>
        <w:r w:rsidR="0084034A">
          <w:rPr>
            <w:rStyle w:val="Collegamentoipertestuale"/>
            <w:noProof/>
          </w:rPr>
          <w:t>,</w:t>
        </w:r>
        <w:r w:rsidR="0014173B" w:rsidRPr="00292D0C">
          <w:rPr>
            <w:rStyle w:val="Collegamentoipertestuale"/>
            <w:noProof/>
          </w:rPr>
          <w:t xml:space="preserve"> Far-East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_Toc520212365 \h </w:instrText>
        </w:r>
        <w:r w:rsidR="0014173B">
          <w:rPr>
            <w:noProof/>
            <w:webHidden/>
          </w:rPr>
        </w:r>
        <w:r w:rsidR="0014173B">
          <w:rPr>
            <w:noProof/>
            <w:webHidden/>
          </w:rPr>
          <w:fldChar w:fldCharType="separate"/>
        </w:r>
        <w:r w:rsidR="00940F6A">
          <w:rPr>
            <w:noProof/>
            <w:webHidden/>
          </w:rPr>
          <w:t>20</w:t>
        </w:r>
        <w:r w:rsidR="007D19E3">
          <w:rPr>
            <w:noProof/>
            <w:webHidden/>
          </w:rPr>
          <w:t>5</w:t>
        </w:r>
        <w:r w:rsidR="0014173B">
          <w:rPr>
            <w:noProof/>
            <w:webHidden/>
          </w:rPr>
          <w:fldChar w:fldCharType="end"/>
        </w:r>
      </w:hyperlink>
    </w:p>
    <w:p w14:paraId="75848A11" w14:textId="16CF01ED" w:rsidR="0014173B" w:rsidRDefault="00874C0C">
      <w:pPr>
        <w:pStyle w:val="Indicedellefigure"/>
        <w:tabs>
          <w:tab w:val="right" w:leader="dot" w:pos="8488"/>
        </w:tabs>
        <w:rPr>
          <w:rFonts w:asciiTheme="minorHAnsi" w:hAnsiTheme="minorHAnsi" w:cstheme="minorBidi"/>
          <w:noProof/>
          <w:szCs w:val="22"/>
          <w:lang w:eastAsia="en-GB"/>
        </w:rPr>
      </w:pPr>
      <w:hyperlink w:anchor="_Toc520212366" w:history="1">
        <w:r w:rsidR="0014173B" w:rsidRPr="00292D0C">
          <w:rPr>
            <w:rStyle w:val="Collegamentoipertestuale"/>
            <w:noProof/>
          </w:rPr>
          <w:t>Figure 4-28</w:t>
        </w:r>
        <w:r w:rsidR="003D31DD">
          <w:rPr>
            <w:rStyle w:val="Collegamentoipertestuale"/>
            <w:noProof/>
          </w:rPr>
          <w:t>.</w:t>
        </w:r>
        <w:r w:rsidR="0014173B" w:rsidRPr="00292D0C">
          <w:rPr>
            <w:rStyle w:val="Collegamentoipertestuale"/>
            <w:noProof/>
          </w:rPr>
          <w:t xml:space="preserve"> Percentage of individuals with information </w:t>
        </w:r>
        <w:r w:rsidR="00CC581F">
          <w:rPr>
            <w:rStyle w:val="Collegamentoipertestuale"/>
            <w:noProof/>
          </w:rPr>
          <w:t>on</w:t>
        </w:r>
        <w:r w:rsidR="0014173B" w:rsidRPr="00292D0C">
          <w:rPr>
            <w:rStyle w:val="Collegamentoipertestuale"/>
            <w:noProof/>
          </w:rPr>
          <w:t xml:space="preserve"> gender and age</w:t>
        </w:r>
        <w:r w:rsidR="0084034A">
          <w:rPr>
            <w:rStyle w:val="Collegamentoipertestuale"/>
            <w:noProof/>
          </w:rPr>
          <w:t>,</w:t>
        </w:r>
        <w:r w:rsidR="0014173B" w:rsidRPr="00292D0C">
          <w:rPr>
            <w:rStyle w:val="Collegamentoipertestuale"/>
            <w:noProof/>
          </w:rPr>
          <w:t xml:space="preserve"> Far-East </w:t>
        </w:r>
        <w:r w:rsidR="0084034A">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_Toc520212366 \h </w:instrText>
        </w:r>
        <w:r w:rsidR="0014173B">
          <w:rPr>
            <w:noProof/>
            <w:webHidden/>
          </w:rPr>
        </w:r>
        <w:r w:rsidR="0014173B">
          <w:rPr>
            <w:noProof/>
            <w:webHidden/>
          </w:rPr>
          <w:fldChar w:fldCharType="separate"/>
        </w:r>
        <w:r w:rsidR="00940F6A">
          <w:rPr>
            <w:noProof/>
            <w:webHidden/>
          </w:rPr>
          <w:t>20</w:t>
        </w:r>
        <w:r w:rsidR="007D19E3">
          <w:rPr>
            <w:noProof/>
            <w:webHidden/>
          </w:rPr>
          <w:t>5</w:t>
        </w:r>
        <w:r w:rsidR="0014173B">
          <w:rPr>
            <w:noProof/>
            <w:webHidden/>
          </w:rPr>
          <w:fldChar w:fldCharType="end"/>
        </w:r>
      </w:hyperlink>
    </w:p>
    <w:p w14:paraId="78B195CC" w14:textId="1E89ADC0" w:rsidR="0014173B" w:rsidRDefault="00874C0C">
      <w:pPr>
        <w:pStyle w:val="Indicedellefigure"/>
        <w:tabs>
          <w:tab w:val="right" w:leader="dot" w:pos="8488"/>
        </w:tabs>
        <w:rPr>
          <w:rFonts w:asciiTheme="minorHAnsi" w:hAnsiTheme="minorHAnsi" w:cstheme="minorBidi"/>
          <w:noProof/>
          <w:szCs w:val="22"/>
          <w:lang w:eastAsia="en-GB"/>
        </w:rPr>
      </w:pPr>
      <w:hyperlink w:anchor="_Toc520212367" w:history="1">
        <w:r w:rsidR="0014173B" w:rsidRPr="00292D0C">
          <w:rPr>
            <w:rStyle w:val="Collegamentoipertestuale"/>
            <w:noProof/>
          </w:rPr>
          <w:t>Figure 4-29</w:t>
        </w:r>
        <w:r w:rsidR="003D31DD">
          <w:rPr>
            <w:rStyle w:val="Collegamentoipertestuale"/>
            <w:noProof/>
          </w:rPr>
          <w:t>.</w:t>
        </w:r>
        <w:r w:rsidR="0014173B" w:rsidRPr="00292D0C">
          <w:rPr>
            <w:rStyle w:val="Collegamentoipertestuale"/>
            <w:noProof/>
          </w:rPr>
          <w:t xml:space="preserve"> Number of skeletal remains with information </w:t>
        </w:r>
        <w:r w:rsidR="00CC581F">
          <w:rPr>
            <w:rStyle w:val="Collegamentoipertestuale"/>
            <w:noProof/>
          </w:rPr>
          <w:t>on</w:t>
        </w:r>
        <w:r w:rsidR="0014173B" w:rsidRPr="00292D0C">
          <w:rPr>
            <w:rStyle w:val="Collegamentoipertestuale"/>
            <w:noProof/>
          </w:rPr>
          <w:t xml:space="preserve"> gender</w:t>
        </w:r>
        <w:r w:rsidR="0084034A">
          <w:rPr>
            <w:rStyle w:val="Collegamentoipertestuale"/>
            <w:noProof/>
          </w:rPr>
          <w:t>,</w:t>
        </w:r>
        <w:r w:rsidR="0014173B" w:rsidRPr="00292D0C">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_Toc520212367 \h </w:instrText>
        </w:r>
        <w:r w:rsidR="0014173B">
          <w:rPr>
            <w:noProof/>
            <w:webHidden/>
          </w:rPr>
        </w:r>
        <w:r w:rsidR="0014173B">
          <w:rPr>
            <w:noProof/>
            <w:webHidden/>
          </w:rPr>
          <w:fldChar w:fldCharType="separate"/>
        </w:r>
        <w:r w:rsidR="00940F6A">
          <w:rPr>
            <w:noProof/>
            <w:webHidden/>
          </w:rPr>
          <w:t>20</w:t>
        </w:r>
        <w:r w:rsidR="007D19E3">
          <w:rPr>
            <w:noProof/>
            <w:webHidden/>
          </w:rPr>
          <w:t>6</w:t>
        </w:r>
        <w:r w:rsidR="0014173B">
          <w:rPr>
            <w:noProof/>
            <w:webHidden/>
          </w:rPr>
          <w:fldChar w:fldCharType="end"/>
        </w:r>
      </w:hyperlink>
    </w:p>
    <w:p w14:paraId="4FCCBB67" w14:textId="22DB719F" w:rsidR="0014173B" w:rsidRDefault="00874C0C">
      <w:pPr>
        <w:pStyle w:val="Indicedellefigure"/>
        <w:tabs>
          <w:tab w:val="right" w:leader="dot" w:pos="8488"/>
        </w:tabs>
        <w:rPr>
          <w:rFonts w:asciiTheme="minorHAnsi" w:hAnsiTheme="minorHAnsi" w:cstheme="minorBidi"/>
          <w:noProof/>
          <w:szCs w:val="22"/>
          <w:lang w:eastAsia="en-GB"/>
        </w:rPr>
      </w:pPr>
      <w:hyperlink w:anchor="_Toc520212368" w:history="1">
        <w:r w:rsidR="0014173B" w:rsidRPr="00292D0C">
          <w:rPr>
            <w:rStyle w:val="Collegamentoipertestuale"/>
            <w:noProof/>
          </w:rPr>
          <w:t>Figure 4-30</w:t>
        </w:r>
        <w:r w:rsidR="003D31DD">
          <w:rPr>
            <w:rStyle w:val="Collegamentoipertestuale"/>
            <w:noProof/>
          </w:rPr>
          <w:t>.</w:t>
        </w:r>
        <w:r w:rsidR="0014173B" w:rsidRPr="00292D0C">
          <w:rPr>
            <w:rStyle w:val="Collegamentoipertestuale"/>
            <w:noProof/>
          </w:rPr>
          <w:t xml:space="preserve"> Number of skeletal remains with information </w:t>
        </w:r>
        <w:r w:rsidR="00CC581F">
          <w:rPr>
            <w:rStyle w:val="Collegamentoipertestuale"/>
            <w:noProof/>
          </w:rPr>
          <w:t>on</w:t>
        </w:r>
        <w:r w:rsidR="0014173B" w:rsidRPr="00292D0C">
          <w:rPr>
            <w:rStyle w:val="Collegamentoipertestuale"/>
            <w:noProof/>
          </w:rPr>
          <w:t xml:space="preserve"> age</w:t>
        </w:r>
        <w:r w:rsidR="0084034A">
          <w:rPr>
            <w:rStyle w:val="Collegamentoipertestuale"/>
            <w:noProof/>
          </w:rPr>
          <w:t>,</w:t>
        </w:r>
        <w:r w:rsidR="0014173B" w:rsidRPr="00292D0C">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_Toc520212368 \h </w:instrText>
        </w:r>
        <w:r w:rsidR="0014173B">
          <w:rPr>
            <w:noProof/>
            <w:webHidden/>
          </w:rPr>
        </w:r>
        <w:r w:rsidR="0014173B">
          <w:rPr>
            <w:noProof/>
            <w:webHidden/>
          </w:rPr>
          <w:fldChar w:fldCharType="separate"/>
        </w:r>
        <w:r w:rsidR="00940F6A">
          <w:rPr>
            <w:noProof/>
            <w:webHidden/>
          </w:rPr>
          <w:t>20</w:t>
        </w:r>
        <w:r w:rsidR="0014173B">
          <w:rPr>
            <w:noProof/>
            <w:webHidden/>
          </w:rPr>
          <w:fldChar w:fldCharType="end"/>
        </w:r>
      </w:hyperlink>
      <w:r w:rsidR="00F11B0E">
        <w:rPr>
          <w:noProof/>
        </w:rPr>
        <w:t>6</w:t>
      </w:r>
    </w:p>
    <w:p w14:paraId="7C3E47D7" w14:textId="57A2B68E" w:rsidR="0014173B" w:rsidRDefault="00874C0C">
      <w:pPr>
        <w:pStyle w:val="Indicedellefigure"/>
        <w:tabs>
          <w:tab w:val="right" w:leader="dot" w:pos="8488"/>
        </w:tabs>
        <w:rPr>
          <w:rFonts w:asciiTheme="minorHAnsi" w:hAnsiTheme="minorHAnsi" w:cstheme="minorBidi"/>
          <w:noProof/>
          <w:szCs w:val="22"/>
          <w:lang w:eastAsia="en-GB"/>
        </w:rPr>
      </w:pPr>
      <w:hyperlink w:anchor="_Toc520212369" w:history="1">
        <w:r w:rsidR="0014173B" w:rsidRPr="00292D0C">
          <w:rPr>
            <w:rStyle w:val="Collegamentoipertestuale"/>
            <w:noProof/>
          </w:rPr>
          <w:t>Figure 4-31</w:t>
        </w:r>
        <w:r w:rsidR="003D31DD">
          <w:rPr>
            <w:rStyle w:val="Collegamentoipertestuale"/>
            <w:noProof/>
          </w:rPr>
          <w:t>.</w:t>
        </w:r>
        <w:r w:rsidR="0014173B" w:rsidRPr="00292D0C">
          <w:rPr>
            <w:rStyle w:val="Collegamentoipertestuale"/>
            <w:noProof/>
          </w:rPr>
          <w:t xml:space="preserve"> Material types occurrence</w:t>
        </w:r>
        <w:r w:rsidR="0084034A">
          <w:rPr>
            <w:rStyle w:val="Collegamentoipertestuale"/>
            <w:noProof/>
          </w:rPr>
          <w:t>,</w:t>
        </w:r>
        <w:r w:rsidR="0014173B" w:rsidRPr="00292D0C">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_Toc520212369 \h </w:instrText>
        </w:r>
        <w:r w:rsidR="0014173B">
          <w:rPr>
            <w:noProof/>
            <w:webHidden/>
          </w:rPr>
        </w:r>
        <w:r w:rsidR="0014173B">
          <w:rPr>
            <w:noProof/>
            <w:webHidden/>
          </w:rPr>
          <w:fldChar w:fldCharType="separate"/>
        </w:r>
        <w:r w:rsidR="00940F6A">
          <w:rPr>
            <w:noProof/>
            <w:webHidden/>
          </w:rPr>
          <w:t>21</w:t>
        </w:r>
        <w:r w:rsidR="00F11B0E">
          <w:rPr>
            <w:noProof/>
            <w:webHidden/>
          </w:rPr>
          <w:t>6</w:t>
        </w:r>
        <w:r w:rsidR="0014173B">
          <w:rPr>
            <w:noProof/>
            <w:webHidden/>
          </w:rPr>
          <w:fldChar w:fldCharType="end"/>
        </w:r>
      </w:hyperlink>
    </w:p>
    <w:p w14:paraId="7C56F2BF" w14:textId="18423E9A" w:rsidR="0014173B" w:rsidRDefault="00874C0C">
      <w:pPr>
        <w:pStyle w:val="Indicedellefigure"/>
        <w:tabs>
          <w:tab w:val="right" w:leader="dot" w:pos="8488"/>
        </w:tabs>
        <w:rPr>
          <w:rFonts w:asciiTheme="minorHAnsi" w:hAnsiTheme="minorHAnsi" w:cstheme="minorBidi"/>
          <w:noProof/>
          <w:szCs w:val="22"/>
          <w:lang w:eastAsia="en-GB"/>
        </w:rPr>
      </w:pPr>
      <w:hyperlink w:anchor="_Toc520212370" w:history="1">
        <w:r w:rsidR="0014173B" w:rsidRPr="00292D0C">
          <w:rPr>
            <w:rStyle w:val="Collegamentoipertestuale"/>
            <w:noProof/>
          </w:rPr>
          <w:t>Figure 4-32</w:t>
        </w:r>
        <w:r w:rsidR="003D31DD">
          <w:rPr>
            <w:rStyle w:val="Collegamentoipertestuale"/>
            <w:noProof/>
          </w:rPr>
          <w:t>.</w:t>
        </w:r>
        <w:r w:rsidR="0014173B" w:rsidRPr="00292D0C">
          <w:rPr>
            <w:rStyle w:val="Collegamentoipertestuale"/>
            <w:noProof/>
          </w:rPr>
          <w:t xml:space="preserve"> Occurrence of non-ceramic item types</w:t>
        </w:r>
        <w:r w:rsidR="0084034A">
          <w:rPr>
            <w:rStyle w:val="Collegamentoipertestuale"/>
            <w:noProof/>
          </w:rPr>
          <w:t>,</w:t>
        </w:r>
        <w:r w:rsidR="0014173B" w:rsidRPr="00292D0C">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_Toc520212370 \h </w:instrText>
        </w:r>
        <w:r w:rsidR="0014173B">
          <w:rPr>
            <w:noProof/>
            <w:webHidden/>
          </w:rPr>
        </w:r>
        <w:r w:rsidR="0014173B">
          <w:rPr>
            <w:noProof/>
            <w:webHidden/>
          </w:rPr>
          <w:fldChar w:fldCharType="separate"/>
        </w:r>
        <w:r w:rsidR="00940F6A">
          <w:rPr>
            <w:noProof/>
            <w:webHidden/>
          </w:rPr>
          <w:t>2</w:t>
        </w:r>
        <w:r w:rsidR="0014173B">
          <w:rPr>
            <w:noProof/>
            <w:webHidden/>
          </w:rPr>
          <w:fldChar w:fldCharType="end"/>
        </w:r>
      </w:hyperlink>
      <w:r w:rsidR="000B1042">
        <w:rPr>
          <w:noProof/>
        </w:rPr>
        <w:t>19</w:t>
      </w:r>
    </w:p>
    <w:p w14:paraId="2EAB7C1A" w14:textId="40686BB1" w:rsidR="0014173B" w:rsidRDefault="00874C0C">
      <w:pPr>
        <w:pStyle w:val="Indicedellefigure"/>
        <w:tabs>
          <w:tab w:val="right" w:leader="dot" w:pos="8488"/>
        </w:tabs>
        <w:rPr>
          <w:rFonts w:asciiTheme="minorHAnsi" w:hAnsiTheme="minorHAnsi" w:cstheme="minorBidi"/>
          <w:noProof/>
          <w:szCs w:val="22"/>
          <w:lang w:eastAsia="en-GB"/>
        </w:rPr>
      </w:pPr>
      <w:hyperlink w:anchor="_Toc520212371" w:history="1">
        <w:r w:rsidR="0014173B" w:rsidRPr="00292D0C">
          <w:rPr>
            <w:rStyle w:val="Collegamentoipertestuale"/>
            <w:noProof/>
          </w:rPr>
          <w:t>Figure 4-33</w:t>
        </w:r>
        <w:r w:rsidR="003D31DD">
          <w:rPr>
            <w:rStyle w:val="Collegamentoipertestuale"/>
            <w:noProof/>
          </w:rPr>
          <w:t>.</w:t>
        </w:r>
        <w:r w:rsidR="0014173B" w:rsidRPr="00292D0C">
          <w:rPr>
            <w:rStyle w:val="Collegamentoipertestuale"/>
            <w:noProof/>
          </w:rPr>
          <w:t xml:space="preserve"> Pottery type occurrence</w:t>
        </w:r>
        <w:r w:rsidR="0084034A">
          <w:rPr>
            <w:rStyle w:val="Collegamentoipertestuale"/>
            <w:noProof/>
          </w:rPr>
          <w:t>,</w:t>
        </w:r>
        <w:r w:rsidR="0014173B" w:rsidRPr="00292D0C">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_Toc520212371 \h </w:instrText>
        </w:r>
        <w:r w:rsidR="0014173B">
          <w:rPr>
            <w:noProof/>
            <w:webHidden/>
          </w:rPr>
        </w:r>
        <w:r w:rsidR="0014173B">
          <w:rPr>
            <w:noProof/>
            <w:webHidden/>
          </w:rPr>
          <w:fldChar w:fldCharType="separate"/>
        </w:r>
        <w:r w:rsidR="00940F6A">
          <w:rPr>
            <w:noProof/>
            <w:webHidden/>
          </w:rPr>
          <w:t>22</w:t>
        </w:r>
        <w:r w:rsidR="00784E10">
          <w:rPr>
            <w:noProof/>
            <w:webHidden/>
          </w:rPr>
          <w:t>1</w:t>
        </w:r>
        <w:r w:rsidR="0014173B">
          <w:rPr>
            <w:noProof/>
            <w:webHidden/>
          </w:rPr>
          <w:fldChar w:fldCharType="end"/>
        </w:r>
      </w:hyperlink>
    </w:p>
    <w:p w14:paraId="03C4CEE3" w14:textId="00F845AA" w:rsidR="0014173B" w:rsidRDefault="00874C0C">
      <w:pPr>
        <w:pStyle w:val="Indicedellefigure"/>
        <w:tabs>
          <w:tab w:val="right" w:leader="dot" w:pos="8488"/>
        </w:tabs>
        <w:rPr>
          <w:rFonts w:asciiTheme="minorHAnsi" w:hAnsiTheme="minorHAnsi" w:cstheme="minorBidi"/>
          <w:noProof/>
          <w:szCs w:val="22"/>
          <w:lang w:eastAsia="en-GB"/>
        </w:rPr>
      </w:pPr>
      <w:hyperlink w:anchor="_Toc520212372" w:history="1">
        <w:r w:rsidR="0014173B" w:rsidRPr="00292D0C">
          <w:rPr>
            <w:rStyle w:val="Collegamentoipertestuale"/>
            <w:noProof/>
          </w:rPr>
          <w:t>Figure 4-34</w:t>
        </w:r>
        <w:r w:rsidR="003D31DD">
          <w:rPr>
            <w:rStyle w:val="Collegamentoipertestuale"/>
            <w:noProof/>
          </w:rPr>
          <w:t>.</w:t>
        </w:r>
        <w:r w:rsidR="0014173B" w:rsidRPr="00292D0C">
          <w:rPr>
            <w:rStyle w:val="Collegamentoipertestuale"/>
            <w:noProof/>
          </w:rPr>
          <w:t xml:space="preserve"> Grave goods assemblages composition according to pottery occurrence</w:t>
        </w:r>
        <w:r w:rsidR="0084034A">
          <w:rPr>
            <w:rStyle w:val="Collegamentoipertestuale"/>
            <w:noProof/>
          </w:rPr>
          <w:t>,</w:t>
        </w:r>
        <w:r w:rsidR="0014173B" w:rsidRPr="00292D0C">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_Toc520212372 \h </w:instrText>
        </w:r>
        <w:r w:rsidR="0014173B">
          <w:rPr>
            <w:noProof/>
            <w:webHidden/>
          </w:rPr>
        </w:r>
        <w:r w:rsidR="0014173B">
          <w:rPr>
            <w:noProof/>
            <w:webHidden/>
          </w:rPr>
          <w:fldChar w:fldCharType="separate"/>
        </w:r>
        <w:r w:rsidR="00940F6A">
          <w:rPr>
            <w:noProof/>
            <w:webHidden/>
          </w:rPr>
          <w:t>22</w:t>
        </w:r>
        <w:r w:rsidR="00784E10">
          <w:rPr>
            <w:noProof/>
            <w:webHidden/>
          </w:rPr>
          <w:t>2</w:t>
        </w:r>
        <w:r w:rsidR="0014173B">
          <w:rPr>
            <w:noProof/>
            <w:webHidden/>
          </w:rPr>
          <w:fldChar w:fldCharType="end"/>
        </w:r>
      </w:hyperlink>
    </w:p>
    <w:p w14:paraId="30417AFC" w14:textId="4F952E7F" w:rsidR="0014173B" w:rsidRDefault="00874C0C">
      <w:pPr>
        <w:pStyle w:val="Indicedellefigure"/>
        <w:tabs>
          <w:tab w:val="right" w:leader="dot" w:pos="8488"/>
        </w:tabs>
        <w:rPr>
          <w:rFonts w:asciiTheme="minorHAnsi" w:hAnsiTheme="minorHAnsi" w:cstheme="minorBidi"/>
          <w:noProof/>
          <w:szCs w:val="22"/>
          <w:lang w:eastAsia="en-GB"/>
        </w:rPr>
      </w:pPr>
      <w:hyperlink w:anchor="_Toc520212373" w:history="1">
        <w:r w:rsidR="0014173B" w:rsidRPr="00EA038B">
          <w:rPr>
            <w:rStyle w:val="Collegamentoipertestuale"/>
            <w:noProof/>
          </w:rPr>
          <w:t>Figure 4-35</w:t>
        </w:r>
        <w:r w:rsidR="003D31DD">
          <w:rPr>
            <w:rStyle w:val="Collegamentoipertestuale"/>
            <w:noProof/>
          </w:rPr>
          <w:t>.</w:t>
        </w:r>
        <w:r w:rsidR="0014173B" w:rsidRPr="00EA038B">
          <w:rPr>
            <w:rStyle w:val="Collegamentoipertestuale"/>
            <w:noProof/>
          </w:rPr>
          <w:t xml:space="preserve"> </w:t>
        </w:r>
        <w:r w:rsidR="00EA038B">
          <w:rPr>
            <w:rStyle w:val="Collegamentoipertestuale"/>
            <w:noProof/>
          </w:rPr>
          <w:t>Material types occurrence</w:t>
        </w:r>
        <w:r w:rsidR="0084034A">
          <w:rPr>
            <w:rStyle w:val="Collegamentoipertestuale"/>
            <w:noProof/>
          </w:rPr>
          <w:t>,</w:t>
        </w:r>
        <w:r w:rsidR="0014173B" w:rsidRPr="00EA038B">
          <w:rPr>
            <w:rStyle w:val="Collegamentoipertestuale"/>
            <w:noProof/>
          </w:rPr>
          <w:t xml:space="preserve"> Mesara area</w:t>
        </w:r>
        <w:r w:rsidR="0014173B" w:rsidRPr="00EA038B">
          <w:rPr>
            <w:noProof/>
            <w:webHidden/>
          </w:rPr>
          <w:tab/>
        </w:r>
        <w:r w:rsidR="0014173B" w:rsidRPr="00EA038B">
          <w:rPr>
            <w:noProof/>
            <w:webHidden/>
          </w:rPr>
          <w:fldChar w:fldCharType="begin"/>
        </w:r>
        <w:r w:rsidR="0014173B" w:rsidRPr="00EA038B">
          <w:rPr>
            <w:noProof/>
            <w:webHidden/>
          </w:rPr>
          <w:instrText xml:space="preserve"> PAGEREF _Toc520212373 \h </w:instrText>
        </w:r>
        <w:r w:rsidR="0014173B" w:rsidRPr="00EA038B">
          <w:rPr>
            <w:noProof/>
            <w:webHidden/>
          </w:rPr>
        </w:r>
        <w:r w:rsidR="0014173B" w:rsidRPr="00EA038B">
          <w:rPr>
            <w:noProof/>
            <w:webHidden/>
          </w:rPr>
          <w:fldChar w:fldCharType="separate"/>
        </w:r>
        <w:r w:rsidR="00940F6A">
          <w:rPr>
            <w:noProof/>
            <w:webHidden/>
          </w:rPr>
          <w:t>22</w:t>
        </w:r>
        <w:r w:rsidR="0014173B" w:rsidRPr="00EA038B">
          <w:rPr>
            <w:noProof/>
            <w:webHidden/>
          </w:rPr>
          <w:fldChar w:fldCharType="end"/>
        </w:r>
      </w:hyperlink>
      <w:r w:rsidR="000B1042">
        <w:rPr>
          <w:noProof/>
        </w:rPr>
        <w:t>4</w:t>
      </w:r>
    </w:p>
    <w:p w14:paraId="5B17E8F1" w14:textId="2925B0A1" w:rsidR="0014173B" w:rsidRDefault="00874C0C">
      <w:pPr>
        <w:pStyle w:val="Indicedellefigure"/>
        <w:tabs>
          <w:tab w:val="right" w:leader="dot" w:pos="8488"/>
        </w:tabs>
        <w:rPr>
          <w:rFonts w:asciiTheme="minorHAnsi" w:hAnsiTheme="minorHAnsi" w:cstheme="minorBidi"/>
          <w:noProof/>
          <w:szCs w:val="22"/>
          <w:lang w:eastAsia="en-GB"/>
        </w:rPr>
      </w:pPr>
      <w:hyperlink w:anchor="_Toc520212374" w:history="1">
        <w:r w:rsidR="0014173B" w:rsidRPr="00292D0C">
          <w:rPr>
            <w:rStyle w:val="Collegamentoipertestuale"/>
            <w:noProof/>
          </w:rPr>
          <w:t>Figure 4-36</w:t>
        </w:r>
        <w:r w:rsidR="003D31DD">
          <w:rPr>
            <w:rStyle w:val="Collegamentoipertestuale"/>
            <w:noProof/>
          </w:rPr>
          <w:t>.</w:t>
        </w:r>
        <w:r w:rsidR="0014173B" w:rsidRPr="00292D0C">
          <w:rPr>
            <w:rStyle w:val="Collegamentoipertestuale"/>
            <w:noProof/>
          </w:rPr>
          <w:t xml:space="preserve"> Occurrence of non-ceramic item types</w:t>
        </w:r>
        <w:r w:rsidR="0084034A">
          <w:rPr>
            <w:rStyle w:val="Collegamentoipertestuale"/>
            <w:noProof/>
          </w:rPr>
          <w:t>,</w:t>
        </w:r>
        <w:r w:rsidR="0014173B" w:rsidRPr="00292D0C">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_Toc520212374 \h </w:instrText>
        </w:r>
        <w:r w:rsidR="0014173B">
          <w:rPr>
            <w:noProof/>
            <w:webHidden/>
          </w:rPr>
        </w:r>
        <w:r w:rsidR="0014173B">
          <w:rPr>
            <w:noProof/>
            <w:webHidden/>
          </w:rPr>
          <w:fldChar w:fldCharType="separate"/>
        </w:r>
        <w:r w:rsidR="00940F6A">
          <w:rPr>
            <w:noProof/>
            <w:webHidden/>
          </w:rPr>
          <w:t>22</w:t>
        </w:r>
        <w:r w:rsidR="0014173B">
          <w:rPr>
            <w:noProof/>
            <w:webHidden/>
          </w:rPr>
          <w:fldChar w:fldCharType="end"/>
        </w:r>
      </w:hyperlink>
      <w:r w:rsidR="000B1042">
        <w:rPr>
          <w:noProof/>
        </w:rPr>
        <w:t>7</w:t>
      </w:r>
    </w:p>
    <w:p w14:paraId="3F5045C2" w14:textId="25F5E469" w:rsidR="0014173B" w:rsidRDefault="00874C0C">
      <w:pPr>
        <w:pStyle w:val="Indicedellefigure"/>
        <w:tabs>
          <w:tab w:val="right" w:leader="dot" w:pos="8488"/>
        </w:tabs>
        <w:rPr>
          <w:rFonts w:asciiTheme="minorHAnsi" w:hAnsiTheme="minorHAnsi" w:cstheme="minorBidi"/>
          <w:noProof/>
          <w:szCs w:val="22"/>
          <w:lang w:eastAsia="en-GB"/>
        </w:rPr>
      </w:pPr>
      <w:hyperlink w:anchor="_Toc520212375" w:history="1">
        <w:r w:rsidR="0014173B" w:rsidRPr="00292D0C">
          <w:rPr>
            <w:rStyle w:val="Collegamentoipertestuale"/>
            <w:noProof/>
          </w:rPr>
          <w:t>Figure 4-37</w:t>
        </w:r>
        <w:r w:rsidR="003D31DD">
          <w:rPr>
            <w:rStyle w:val="Collegamentoipertestuale"/>
            <w:noProof/>
          </w:rPr>
          <w:t>.</w:t>
        </w:r>
        <w:r w:rsidR="0014173B" w:rsidRPr="00292D0C">
          <w:rPr>
            <w:rStyle w:val="Collegamentoipertestuale"/>
            <w:noProof/>
          </w:rPr>
          <w:t xml:space="preserve"> Occurrence of pottery types</w:t>
        </w:r>
        <w:r w:rsidR="0084034A">
          <w:rPr>
            <w:rStyle w:val="Collegamentoipertestuale"/>
            <w:noProof/>
          </w:rPr>
          <w:t>,</w:t>
        </w:r>
        <w:r w:rsidR="0014173B" w:rsidRPr="00292D0C">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_Toc520212375 \h </w:instrText>
        </w:r>
        <w:r w:rsidR="0014173B">
          <w:rPr>
            <w:noProof/>
            <w:webHidden/>
          </w:rPr>
        </w:r>
        <w:r w:rsidR="0014173B">
          <w:rPr>
            <w:noProof/>
            <w:webHidden/>
          </w:rPr>
          <w:fldChar w:fldCharType="separate"/>
        </w:r>
        <w:r w:rsidR="00940F6A">
          <w:rPr>
            <w:noProof/>
            <w:webHidden/>
          </w:rPr>
          <w:t>22</w:t>
        </w:r>
        <w:r w:rsidR="000B1042">
          <w:rPr>
            <w:noProof/>
            <w:webHidden/>
          </w:rPr>
          <w:t>9</w:t>
        </w:r>
        <w:r w:rsidR="0014173B">
          <w:rPr>
            <w:noProof/>
            <w:webHidden/>
          </w:rPr>
          <w:fldChar w:fldCharType="end"/>
        </w:r>
      </w:hyperlink>
    </w:p>
    <w:p w14:paraId="05910603" w14:textId="65485467" w:rsidR="0014173B" w:rsidRDefault="00874C0C">
      <w:pPr>
        <w:pStyle w:val="Indicedellefigure"/>
        <w:tabs>
          <w:tab w:val="right" w:leader="dot" w:pos="8488"/>
        </w:tabs>
        <w:rPr>
          <w:rFonts w:asciiTheme="minorHAnsi" w:hAnsiTheme="minorHAnsi" w:cstheme="minorBidi"/>
          <w:noProof/>
          <w:szCs w:val="22"/>
          <w:lang w:eastAsia="en-GB"/>
        </w:rPr>
      </w:pPr>
      <w:hyperlink w:anchor="_Toc520212376" w:history="1">
        <w:r w:rsidR="0014173B" w:rsidRPr="00292D0C">
          <w:rPr>
            <w:rStyle w:val="Collegamentoipertestuale"/>
            <w:noProof/>
          </w:rPr>
          <w:t>Figure 4-38</w:t>
        </w:r>
        <w:r w:rsidR="003D31DD">
          <w:rPr>
            <w:rStyle w:val="Collegamentoipertestuale"/>
            <w:noProof/>
          </w:rPr>
          <w:t>.</w:t>
        </w:r>
        <w:r w:rsidR="0014173B" w:rsidRPr="00292D0C">
          <w:rPr>
            <w:rStyle w:val="Collegamentoipertestuale"/>
            <w:noProof/>
          </w:rPr>
          <w:t xml:space="preserve"> Composition of grave goods assemblages according to pottery occurrence</w:t>
        </w:r>
        <w:r w:rsidR="0084034A">
          <w:rPr>
            <w:rStyle w:val="Collegamentoipertestuale"/>
            <w:noProof/>
          </w:rPr>
          <w:t>,</w:t>
        </w:r>
        <w:r w:rsidR="0014173B" w:rsidRPr="00292D0C">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_Toc520212376 \h </w:instrText>
        </w:r>
        <w:r w:rsidR="0014173B">
          <w:rPr>
            <w:noProof/>
            <w:webHidden/>
          </w:rPr>
        </w:r>
        <w:r w:rsidR="0014173B">
          <w:rPr>
            <w:noProof/>
            <w:webHidden/>
          </w:rPr>
          <w:fldChar w:fldCharType="separate"/>
        </w:r>
        <w:r w:rsidR="00940F6A">
          <w:rPr>
            <w:noProof/>
            <w:webHidden/>
          </w:rPr>
          <w:t>2</w:t>
        </w:r>
        <w:r w:rsidR="0014173B">
          <w:rPr>
            <w:noProof/>
            <w:webHidden/>
          </w:rPr>
          <w:fldChar w:fldCharType="end"/>
        </w:r>
      </w:hyperlink>
      <w:r w:rsidR="000B1042">
        <w:rPr>
          <w:noProof/>
        </w:rPr>
        <w:t>30</w:t>
      </w:r>
    </w:p>
    <w:p w14:paraId="27A04F19" w14:textId="22DADF77" w:rsidR="0014173B" w:rsidRDefault="00874C0C">
      <w:pPr>
        <w:pStyle w:val="Indicedellefigure"/>
        <w:tabs>
          <w:tab w:val="right" w:leader="dot" w:pos="8488"/>
        </w:tabs>
        <w:rPr>
          <w:rFonts w:asciiTheme="minorHAnsi" w:hAnsiTheme="minorHAnsi" w:cstheme="minorBidi"/>
          <w:noProof/>
          <w:szCs w:val="22"/>
          <w:lang w:eastAsia="en-GB"/>
        </w:rPr>
      </w:pPr>
      <w:hyperlink w:anchor="_Toc520212377" w:history="1">
        <w:r w:rsidR="0014173B" w:rsidRPr="00EA038B">
          <w:rPr>
            <w:rStyle w:val="Collegamentoipertestuale"/>
            <w:noProof/>
          </w:rPr>
          <w:t>Figure 4-39</w:t>
        </w:r>
        <w:r w:rsidR="003D31DD">
          <w:rPr>
            <w:rStyle w:val="Collegamentoipertestuale"/>
            <w:noProof/>
          </w:rPr>
          <w:t>.</w:t>
        </w:r>
        <w:r w:rsidR="0014173B" w:rsidRPr="00EA038B">
          <w:rPr>
            <w:rStyle w:val="Collegamentoipertestuale"/>
            <w:noProof/>
          </w:rPr>
          <w:t xml:space="preserve"> Material types occurrence</w:t>
        </w:r>
        <w:r w:rsidR="0084034A">
          <w:rPr>
            <w:rStyle w:val="Collegamentoipertestuale"/>
            <w:noProof/>
          </w:rPr>
          <w:t>,</w:t>
        </w:r>
        <w:r w:rsidR="0014173B" w:rsidRPr="00EA038B">
          <w:rPr>
            <w:rStyle w:val="Collegamentoipertestuale"/>
            <w:noProof/>
          </w:rPr>
          <w:t xml:space="preserve"> Knoss</w:t>
        </w:r>
        <w:r w:rsidR="0014173B" w:rsidRPr="00292D0C">
          <w:rPr>
            <w:rStyle w:val="Collegamentoipertestuale"/>
            <w:noProof/>
          </w:rPr>
          <w:t>os area</w:t>
        </w:r>
        <w:r w:rsidR="0014173B">
          <w:rPr>
            <w:noProof/>
            <w:webHidden/>
          </w:rPr>
          <w:tab/>
        </w:r>
        <w:r w:rsidR="0014173B">
          <w:rPr>
            <w:noProof/>
            <w:webHidden/>
          </w:rPr>
          <w:fldChar w:fldCharType="begin"/>
        </w:r>
        <w:r w:rsidR="0014173B">
          <w:rPr>
            <w:noProof/>
            <w:webHidden/>
          </w:rPr>
          <w:instrText xml:space="preserve"> PAGEREF _Toc520212377 \h </w:instrText>
        </w:r>
        <w:r w:rsidR="0014173B">
          <w:rPr>
            <w:noProof/>
            <w:webHidden/>
          </w:rPr>
        </w:r>
        <w:r w:rsidR="0014173B">
          <w:rPr>
            <w:noProof/>
            <w:webHidden/>
          </w:rPr>
          <w:fldChar w:fldCharType="separate"/>
        </w:r>
        <w:r w:rsidR="00940F6A">
          <w:rPr>
            <w:noProof/>
            <w:webHidden/>
          </w:rPr>
          <w:t>23</w:t>
        </w:r>
        <w:r w:rsidR="000B1042">
          <w:rPr>
            <w:noProof/>
            <w:webHidden/>
          </w:rPr>
          <w:t>2</w:t>
        </w:r>
        <w:r w:rsidR="0014173B">
          <w:rPr>
            <w:noProof/>
            <w:webHidden/>
          </w:rPr>
          <w:fldChar w:fldCharType="end"/>
        </w:r>
      </w:hyperlink>
    </w:p>
    <w:p w14:paraId="4C0739CA" w14:textId="5BA4EF29" w:rsidR="0014173B" w:rsidRDefault="00874C0C">
      <w:pPr>
        <w:pStyle w:val="Indicedellefigure"/>
        <w:tabs>
          <w:tab w:val="right" w:leader="dot" w:pos="8488"/>
        </w:tabs>
        <w:rPr>
          <w:rFonts w:asciiTheme="minorHAnsi" w:hAnsiTheme="minorHAnsi" w:cstheme="minorBidi"/>
          <w:noProof/>
          <w:szCs w:val="22"/>
          <w:lang w:eastAsia="en-GB"/>
        </w:rPr>
      </w:pPr>
      <w:hyperlink w:anchor="_Toc520212378" w:history="1">
        <w:r w:rsidR="0014173B" w:rsidRPr="00292D0C">
          <w:rPr>
            <w:rStyle w:val="Collegamentoipertestuale"/>
            <w:noProof/>
          </w:rPr>
          <w:t>Figure 4-40</w:t>
        </w:r>
        <w:r w:rsidR="003D31DD">
          <w:rPr>
            <w:rStyle w:val="Collegamentoipertestuale"/>
            <w:noProof/>
          </w:rPr>
          <w:t>.</w:t>
        </w:r>
        <w:r w:rsidR="0014173B" w:rsidRPr="00292D0C">
          <w:rPr>
            <w:rStyle w:val="Collegamentoipertestuale"/>
            <w:noProof/>
          </w:rPr>
          <w:t xml:space="preserve"> </w:t>
        </w:r>
        <w:r w:rsidR="002D0BE0">
          <w:rPr>
            <w:rStyle w:val="Collegamentoipertestuale"/>
            <w:noProof/>
          </w:rPr>
          <w:t>Occurrence of n</w:t>
        </w:r>
        <w:r w:rsidR="0014173B" w:rsidRPr="00292D0C">
          <w:rPr>
            <w:rStyle w:val="Collegamentoipertestuale"/>
            <w:noProof/>
          </w:rPr>
          <w:t>on-ceramic item type</w:t>
        </w:r>
        <w:r w:rsidR="002D0BE0">
          <w:rPr>
            <w:rStyle w:val="Collegamentoipertestuale"/>
            <w:noProof/>
          </w:rPr>
          <w:t>s</w:t>
        </w:r>
        <w:r w:rsidR="0084034A">
          <w:rPr>
            <w:rStyle w:val="Collegamentoipertestuale"/>
            <w:noProof/>
          </w:rPr>
          <w:t>,</w:t>
        </w:r>
        <w:r w:rsidR="0014173B" w:rsidRPr="00292D0C">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_Toc520212378 \h </w:instrText>
        </w:r>
        <w:r w:rsidR="0014173B">
          <w:rPr>
            <w:noProof/>
            <w:webHidden/>
          </w:rPr>
        </w:r>
        <w:r w:rsidR="0014173B">
          <w:rPr>
            <w:noProof/>
            <w:webHidden/>
          </w:rPr>
          <w:fldChar w:fldCharType="separate"/>
        </w:r>
        <w:r w:rsidR="00940F6A">
          <w:rPr>
            <w:noProof/>
            <w:webHidden/>
          </w:rPr>
          <w:t>23</w:t>
        </w:r>
        <w:r w:rsidR="0014173B">
          <w:rPr>
            <w:noProof/>
            <w:webHidden/>
          </w:rPr>
          <w:fldChar w:fldCharType="end"/>
        </w:r>
      </w:hyperlink>
      <w:r w:rsidR="00C803A8">
        <w:rPr>
          <w:noProof/>
        </w:rPr>
        <w:t>4</w:t>
      </w:r>
    </w:p>
    <w:p w14:paraId="4C40CDB4" w14:textId="6177DE3F" w:rsidR="0014173B" w:rsidRDefault="00874C0C">
      <w:pPr>
        <w:pStyle w:val="Indicedellefigure"/>
        <w:tabs>
          <w:tab w:val="right" w:leader="dot" w:pos="8488"/>
        </w:tabs>
        <w:rPr>
          <w:rFonts w:asciiTheme="minorHAnsi" w:hAnsiTheme="minorHAnsi" w:cstheme="minorBidi"/>
          <w:noProof/>
          <w:szCs w:val="22"/>
          <w:lang w:eastAsia="en-GB"/>
        </w:rPr>
      </w:pPr>
      <w:hyperlink w:anchor="_Toc520212379" w:history="1">
        <w:r w:rsidR="0014173B" w:rsidRPr="00292D0C">
          <w:rPr>
            <w:rStyle w:val="Collegamentoipertestuale"/>
            <w:noProof/>
          </w:rPr>
          <w:t>Figure 4-41</w:t>
        </w:r>
        <w:r w:rsidR="003D31DD">
          <w:rPr>
            <w:rStyle w:val="Collegamentoipertestuale"/>
            <w:noProof/>
          </w:rPr>
          <w:t>.</w:t>
        </w:r>
        <w:r w:rsidR="0014173B" w:rsidRPr="00292D0C">
          <w:rPr>
            <w:rStyle w:val="Collegamentoipertestuale"/>
            <w:noProof/>
          </w:rPr>
          <w:t xml:space="preserve"> Pottery types occurrence</w:t>
        </w:r>
        <w:r w:rsidR="0084034A">
          <w:rPr>
            <w:rStyle w:val="Collegamentoipertestuale"/>
            <w:noProof/>
          </w:rPr>
          <w:t>,</w:t>
        </w:r>
        <w:r w:rsidR="0014173B" w:rsidRPr="00292D0C">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_Toc520212379 \h </w:instrText>
        </w:r>
        <w:r w:rsidR="0014173B">
          <w:rPr>
            <w:noProof/>
            <w:webHidden/>
          </w:rPr>
        </w:r>
        <w:r w:rsidR="0014173B">
          <w:rPr>
            <w:noProof/>
            <w:webHidden/>
          </w:rPr>
          <w:fldChar w:fldCharType="separate"/>
        </w:r>
        <w:r w:rsidR="00940F6A">
          <w:rPr>
            <w:noProof/>
            <w:webHidden/>
          </w:rPr>
          <w:t>23</w:t>
        </w:r>
        <w:r w:rsidR="0014173B">
          <w:rPr>
            <w:noProof/>
            <w:webHidden/>
          </w:rPr>
          <w:fldChar w:fldCharType="end"/>
        </w:r>
      </w:hyperlink>
      <w:r w:rsidR="00C803A8">
        <w:rPr>
          <w:noProof/>
        </w:rPr>
        <w:t>6</w:t>
      </w:r>
    </w:p>
    <w:p w14:paraId="6D204BA1" w14:textId="4E95F55F" w:rsidR="0014173B" w:rsidRDefault="00874C0C">
      <w:pPr>
        <w:pStyle w:val="Indicedellefigure"/>
        <w:tabs>
          <w:tab w:val="right" w:leader="dot" w:pos="8488"/>
        </w:tabs>
        <w:rPr>
          <w:rFonts w:asciiTheme="minorHAnsi" w:hAnsiTheme="minorHAnsi" w:cstheme="minorBidi"/>
          <w:noProof/>
          <w:szCs w:val="22"/>
          <w:lang w:eastAsia="en-GB"/>
        </w:rPr>
      </w:pPr>
      <w:hyperlink w:anchor="_Toc520212380" w:history="1">
        <w:r w:rsidR="0014173B" w:rsidRPr="00292D0C">
          <w:rPr>
            <w:rStyle w:val="Collegamentoipertestuale"/>
            <w:noProof/>
          </w:rPr>
          <w:t>Figure 4-42</w:t>
        </w:r>
        <w:r w:rsidR="003D31DD">
          <w:rPr>
            <w:rStyle w:val="Collegamentoipertestuale"/>
            <w:noProof/>
          </w:rPr>
          <w:t>.</w:t>
        </w:r>
        <w:r w:rsidR="0014173B" w:rsidRPr="00292D0C">
          <w:rPr>
            <w:rStyle w:val="Collegamentoipertestuale"/>
            <w:noProof/>
          </w:rPr>
          <w:t xml:space="preserve"> Composition of grave goods assemblages according to pottery occurrence</w:t>
        </w:r>
        <w:r w:rsidR="0084034A">
          <w:rPr>
            <w:rStyle w:val="Collegamentoipertestuale"/>
            <w:noProof/>
          </w:rPr>
          <w:t>,</w:t>
        </w:r>
        <w:r w:rsidR="0014173B" w:rsidRPr="00292D0C">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_Toc520212380 \h </w:instrText>
        </w:r>
        <w:r w:rsidR="0014173B">
          <w:rPr>
            <w:noProof/>
            <w:webHidden/>
          </w:rPr>
        </w:r>
        <w:r w:rsidR="0014173B">
          <w:rPr>
            <w:noProof/>
            <w:webHidden/>
          </w:rPr>
          <w:fldChar w:fldCharType="separate"/>
        </w:r>
        <w:r w:rsidR="00940F6A">
          <w:rPr>
            <w:noProof/>
            <w:webHidden/>
          </w:rPr>
          <w:t>23</w:t>
        </w:r>
        <w:r w:rsidR="00C803A8">
          <w:rPr>
            <w:noProof/>
            <w:webHidden/>
          </w:rPr>
          <w:t>7</w:t>
        </w:r>
        <w:r w:rsidR="0014173B">
          <w:rPr>
            <w:noProof/>
            <w:webHidden/>
          </w:rPr>
          <w:fldChar w:fldCharType="end"/>
        </w:r>
      </w:hyperlink>
    </w:p>
    <w:p w14:paraId="0B024625" w14:textId="2E1B8623" w:rsidR="0014173B" w:rsidRDefault="00874C0C">
      <w:pPr>
        <w:pStyle w:val="Indicedellefigure"/>
        <w:tabs>
          <w:tab w:val="right" w:leader="dot" w:pos="8488"/>
        </w:tabs>
        <w:rPr>
          <w:rFonts w:asciiTheme="minorHAnsi" w:hAnsiTheme="minorHAnsi" w:cstheme="minorBidi"/>
          <w:noProof/>
          <w:szCs w:val="22"/>
          <w:lang w:eastAsia="en-GB"/>
        </w:rPr>
      </w:pPr>
      <w:hyperlink w:anchor="_Toc520212381" w:history="1">
        <w:r w:rsidR="0014173B" w:rsidRPr="00292D0C">
          <w:rPr>
            <w:rStyle w:val="Collegamentoipertestuale"/>
            <w:noProof/>
          </w:rPr>
          <w:t>Figu</w:t>
        </w:r>
        <w:r w:rsidR="0014173B" w:rsidRPr="00EA038B">
          <w:rPr>
            <w:rStyle w:val="Collegamentoipertestuale"/>
            <w:noProof/>
          </w:rPr>
          <w:t>re 4-43</w:t>
        </w:r>
        <w:r w:rsidR="003D31DD">
          <w:rPr>
            <w:rStyle w:val="Collegamentoipertestuale"/>
            <w:noProof/>
          </w:rPr>
          <w:t>.</w:t>
        </w:r>
        <w:r w:rsidR="0014173B" w:rsidRPr="00EA038B">
          <w:rPr>
            <w:rStyle w:val="Collegamentoipertestuale"/>
            <w:noProof/>
          </w:rPr>
          <w:t xml:space="preserve"> </w:t>
        </w:r>
        <w:r w:rsidR="00EA038B" w:rsidRPr="00EA038B">
          <w:rPr>
            <w:rStyle w:val="Collegamentoipertestuale"/>
            <w:noProof/>
          </w:rPr>
          <w:t>M</w:t>
        </w:r>
        <w:r w:rsidR="0014173B" w:rsidRPr="00EA038B">
          <w:rPr>
            <w:rStyle w:val="Collegamentoipertestuale"/>
            <w:noProof/>
          </w:rPr>
          <w:t>aterial types</w:t>
        </w:r>
        <w:r w:rsidR="00EA038B" w:rsidRPr="00EA038B">
          <w:rPr>
            <w:rStyle w:val="Collegamentoipertestuale"/>
            <w:noProof/>
          </w:rPr>
          <w:t xml:space="preserve"> occurrence</w:t>
        </w:r>
        <w:r w:rsidR="002D0BE0">
          <w:rPr>
            <w:rStyle w:val="Collegamentoipertestuale"/>
            <w:noProof/>
          </w:rPr>
          <w:t>,</w:t>
        </w:r>
        <w:r w:rsidR="0014173B" w:rsidRPr="00EA038B">
          <w:rPr>
            <w:rStyle w:val="Collegamentoipertestuale"/>
            <w:noProof/>
          </w:rPr>
          <w:t xml:space="preserve"> Central area</w:t>
        </w:r>
        <w:r w:rsidR="0014173B" w:rsidRPr="00EA038B">
          <w:rPr>
            <w:noProof/>
            <w:webHidden/>
          </w:rPr>
          <w:tab/>
        </w:r>
        <w:r w:rsidR="0014173B" w:rsidRPr="00EA038B">
          <w:rPr>
            <w:noProof/>
            <w:webHidden/>
          </w:rPr>
          <w:fldChar w:fldCharType="begin"/>
        </w:r>
        <w:r w:rsidR="0014173B" w:rsidRPr="00EA038B">
          <w:rPr>
            <w:noProof/>
            <w:webHidden/>
          </w:rPr>
          <w:instrText xml:space="preserve"> PAGEREF _Toc520212381 \h </w:instrText>
        </w:r>
        <w:r w:rsidR="0014173B" w:rsidRPr="00EA038B">
          <w:rPr>
            <w:noProof/>
            <w:webHidden/>
          </w:rPr>
        </w:r>
        <w:r w:rsidR="0014173B" w:rsidRPr="00EA038B">
          <w:rPr>
            <w:noProof/>
            <w:webHidden/>
          </w:rPr>
          <w:fldChar w:fldCharType="separate"/>
        </w:r>
        <w:r w:rsidR="00940F6A">
          <w:rPr>
            <w:noProof/>
            <w:webHidden/>
          </w:rPr>
          <w:t>23</w:t>
        </w:r>
        <w:r w:rsidR="00C803A8">
          <w:rPr>
            <w:noProof/>
            <w:webHidden/>
          </w:rPr>
          <w:t>9</w:t>
        </w:r>
        <w:r w:rsidR="0014173B" w:rsidRPr="00EA038B">
          <w:rPr>
            <w:noProof/>
            <w:webHidden/>
          </w:rPr>
          <w:fldChar w:fldCharType="end"/>
        </w:r>
      </w:hyperlink>
    </w:p>
    <w:p w14:paraId="7149A738" w14:textId="1C249D7A" w:rsidR="0014173B" w:rsidRDefault="00874C0C">
      <w:pPr>
        <w:pStyle w:val="Indicedellefigure"/>
        <w:tabs>
          <w:tab w:val="right" w:leader="dot" w:pos="8488"/>
        </w:tabs>
        <w:rPr>
          <w:rFonts w:asciiTheme="minorHAnsi" w:hAnsiTheme="minorHAnsi" w:cstheme="minorBidi"/>
          <w:noProof/>
          <w:szCs w:val="22"/>
          <w:lang w:eastAsia="en-GB"/>
        </w:rPr>
      </w:pPr>
      <w:hyperlink w:anchor="_Toc520212382" w:history="1">
        <w:r w:rsidR="0014173B" w:rsidRPr="00292D0C">
          <w:rPr>
            <w:rStyle w:val="Collegamentoipertestuale"/>
            <w:noProof/>
          </w:rPr>
          <w:t>Figure 4-44</w:t>
        </w:r>
        <w:r w:rsidR="003D31DD">
          <w:rPr>
            <w:rStyle w:val="Collegamentoipertestuale"/>
            <w:noProof/>
          </w:rPr>
          <w:t>.</w:t>
        </w:r>
        <w:r w:rsidR="0014173B" w:rsidRPr="00292D0C">
          <w:rPr>
            <w:rStyle w:val="Collegamentoipertestuale"/>
            <w:noProof/>
          </w:rPr>
          <w:t xml:space="preserve"> </w:t>
        </w:r>
        <w:r w:rsidR="00C47A60">
          <w:rPr>
            <w:rStyle w:val="Collegamentoipertestuale"/>
            <w:noProof/>
          </w:rPr>
          <w:t>Occurrence of n</w:t>
        </w:r>
        <w:r w:rsidR="0014173B" w:rsidRPr="00292D0C">
          <w:rPr>
            <w:rStyle w:val="Collegamentoipertestuale"/>
            <w:noProof/>
          </w:rPr>
          <w:t>on-ceramic item types</w:t>
        </w:r>
        <w:r w:rsidR="000F1984">
          <w:rPr>
            <w:rStyle w:val="Collegamentoipertestuale"/>
            <w:noProof/>
          </w:rPr>
          <w:t>,</w:t>
        </w:r>
        <w:r w:rsidR="0014173B" w:rsidRPr="00292D0C">
          <w:rPr>
            <w:rStyle w:val="Collegamentoipertestuale"/>
            <w:noProof/>
          </w:rPr>
          <w:t xml:space="preserve"> Central area (beads excluded due to the very high occurrence).</w:t>
        </w:r>
        <w:r w:rsidR="0014173B">
          <w:rPr>
            <w:noProof/>
            <w:webHidden/>
          </w:rPr>
          <w:tab/>
        </w:r>
        <w:r w:rsidR="0014173B">
          <w:rPr>
            <w:noProof/>
            <w:webHidden/>
          </w:rPr>
          <w:fldChar w:fldCharType="begin"/>
        </w:r>
        <w:r w:rsidR="0014173B">
          <w:rPr>
            <w:noProof/>
            <w:webHidden/>
          </w:rPr>
          <w:instrText xml:space="preserve"> PAGEREF _Toc520212382 \h </w:instrText>
        </w:r>
        <w:r w:rsidR="0014173B">
          <w:rPr>
            <w:noProof/>
            <w:webHidden/>
          </w:rPr>
        </w:r>
        <w:r w:rsidR="0014173B">
          <w:rPr>
            <w:noProof/>
            <w:webHidden/>
          </w:rPr>
          <w:fldChar w:fldCharType="separate"/>
        </w:r>
        <w:r w:rsidR="00940F6A">
          <w:rPr>
            <w:noProof/>
            <w:webHidden/>
          </w:rPr>
          <w:t>24</w:t>
        </w:r>
        <w:r w:rsidR="00C803A8">
          <w:rPr>
            <w:noProof/>
            <w:webHidden/>
          </w:rPr>
          <w:t>2</w:t>
        </w:r>
        <w:r w:rsidR="0014173B">
          <w:rPr>
            <w:noProof/>
            <w:webHidden/>
          </w:rPr>
          <w:fldChar w:fldCharType="end"/>
        </w:r>
      </w:hyperlink>
    </w:p>
    <w:p w14:paraId="31A10EDF" w14:textId="43BA13DB" w:rsidR="0014173B" w:rsidRDefault="00874C0C">
      <w:pPr>
        <w:pStyle w:val="Indicedellefigure"/>
        <w:tabs>
          <w:tab w:val="right" w:leader="dot" w:pos="8488"/>
        </w:tabs>
        <w:rPr>
          <w:rFonts w:asciiTheme="minorHAnsi" w:hAnsiTheme="minorHAnsi" w:cstheme="minorBidi"/>
          <w:noProof/>
          <w:szCs w:val="22"/>
          <w:lang w:eastAsia="en-GB"/>
        </w:rPr>
      </w:pPr>
      <w:hyperlink w:anchor="_Toc520212383" w:history="1">
        <w:r w:rsidR="0014173B" w:rsidRPr="00292D0C">
          <w:rPr>
            <w:rStyle w:val="Collegamentoipertestuale"/>
            <w:noProof/>
          </w:rPr>
          <w:t>Figure 4-45</w:t>
        </w:r>
        <w:r w:rsidR="003D31DD">
          <w:rPr>
            <w:rStyle w:val="Collegamentoipertestuale"/>
            <w:noProof/>
          </w:rPr>
          <w:t>.</w:t>
        </w:r>
        <w:r w:rsidR="0014173B" w:rsidRPr="00292D0C">
          <w:rPr>
            <w:rStyle w:val="Collegamentoipertestuale"/>
            <w:noProof/>
          </w:rPr>
          <w:t xml:space="preserve"> Occurrence of pottery types</w:t>
        </w:r>
        <w:r w:rsidR="000F1984">
          <w:rPr>
            <w:rStyle w:val="Collegamentoipertestuale"/>
            <w:noProof/>
          </w:rPr>
          <w:t>,</w:t>
        </w:r>
        <w:r w:rsidR="0014173B" w:rsidRPr="00292D0C">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_Toc520212383 \h </w:instrText>
        </w:r>
        <w:r w:rsidR="0014173B">
          <w:rPr>
            <w:noProof/>
            <w:webHidden/>
          </w:rPr>
        </w:r>
        <w:r w:rsidR="0014173B">
          <w:rPr>
            <w:noProof/>
            <w:webHidden/>
          </w:rPr>
          <w:fldChar w:fldCharType="separate"/>
        </w:r>
        <w:r w:rsidR="00940F6A">
          <w:rPr>
            <w:noProof/>
            <w:webHidden/>
          </w:rPr>
          <w:t>24</w:t>
        </w:r>
        <w:r w:rsidR="0014173B">
          <w:rPr>
            <w:noProof/>
            <w:webHidden/>
          </w:rPr>
          <w:fldChar w:fldCharType="end"/>
        </w:r>
      </w:hyperlink>
      <w:r w:rsidR="00C803A8">
        <w:rPr>
          <w:noProof/>
        </w:rPr>
        <w:t>4</w:t>
      </w:r>
    </w:p>
    <w:p w14:paraId="0AC460D9" w14:textId="54989DC9" w:rsidR="0014173B" w:rsidRDefault="00874C0C">
      <w:pPr>
        <w:pStyle w:val="Indicedellefigure"/>
        <w:tabs>
          <w:tab w:val="right" w:leader="dot" w:pos="8488"/>
        </w:tabs>
        <w:rPr>
          <w:rFonts w:asciiTheme="minorHAnsi" w:hAnsiTheme="minorHAnsi" w:cstheme="minorBidi"/>
          <w:noProof/>
          <w:szCs w:val="22"/>
          <w:lang w:eastAsia="en-GB"/>
        </w:rPr>
      </w:pPr>
      <w:hyperlink w:anchor="_Toc520212384" w:history="1">
        <w:r w:rsidR="0014173B" w:rsidRPr="00292D0C">
          <w:rPr>
            <w:rStyle w:val="Collegamentoipertestuale"/>
            <w:noProof/>
          </w:rPr>
          <w:t>Figure 4-46</w:t>
        </w:r>
        <w:r w:rsidR="003D31DD">
          <w:rPr>
            <w:rStyle w:val="Collegamentoipertestuale"/>
            <w:noProof/>
          </w:rPr>
          <w:t>.</w:t>
        </w:r>
        <w:r w:rsidR="0014173B" w:rsidRPr="00292D0C">
          <w:rPr>
            <w:rStyle w:val="Collegamentoipertestuale"/>
            <w:noProof/>
          </w:rPr>
          <w:t xml:space="preserve"> Composition of grave goods assemblages according to pottery occurrence</w:t>
        </w:r>
        <w:r w:rsidR="000F1984">
          <w:rPr>
            <w:rStyle w:val="Collegamentoipertestuale"/>
            <w:noProof/>
          </w:rPr>
          <w:t>,</w:t>
        </w:r>
        <w:r w:rsidR="0014173B" w:rsidRPr="00292D0C">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_Toc520212384 \h </w:instrText>
        </w:r>
        <w:r w:rsidR="0014173B">
          <w:rPr>
            <w:noProof/>
            <w:webHidden/>
          </w:rPr>
        </w:r>
        <w:r w:rsidR="0014173B">
          <w:rPr>
            <w:noProof/>
            <w:webHidden/>
          </w:rPr>
          <w:fldChar w:fldCharType="separate"/>
        </w:r>
        <w:r w:rsidR="00940F6A">
          <w:rPr>
            <w:noProof/>
            <w:webHidden/>
          </w:rPr>
          <w:t>24</w:t>
        </w:r>
        <w:r w:rsidR="00C803A8">
          <w:rPr>
            <w:noProof/>
            <w:webHidden/>
          </w:rPr>
          <w:t>5</w:t>
        </w:r>
        <w:r w:rsidR="0014173B">
          <w:rPr>
            <w:noProof/>
            <w:webHidden/>
          </w:rPr>
          <w:fldChar w:fldCharType="end"/>
        </w:r>
      </w:hyperlink>
    </w:p>
    <w:p w14:paraId="2AC42486" w14:textId="7DEA1111" w:rsidR="0014173B" w:rsidRDefault="00874C0C">
      <w:pPr>
        <w:pStyle w:val="Indicedellefigure"/>
        <w:tabs>
          <w:tab w:val="right" w:leader="dot" w:pos="8488"/>
        </w:tabs>
        <w:rPr>
          <w:rFonts w:asciiTheme="minorHAnsi" w:hAnsiTheme="minorHAnsi" w:cstheme="minorBidi"/>
          <w:noProof/>
          <w:szCs w:val="22"/>
          <w:lang w:eastAsia="en-GB"/>
        </w:rPr>
      </w:pPr>
      <w:hyperlink w:anchor="_Toc520212385" w:history="1">
        <w:r w:rsidR="0014173B" w:rsidRPr="00292D0C">
          <w:rPr>
            <w:rStyle w:val="Collegamentoipertestuale"/>
            <w:noProof/>
          </w:rPr>
          <w:t>Figur</w:t>
        </w:r>
        <w:r w:rsidR="0014173B" w:rsidRPr="00EA038B">
          <w:rPr>
            <w:rStyle w:val="Collegamentoipertestuale"/>
            <w:noProof/>
          </w:rPr>
          <w:t>e 4-47</w:t>
        </w:r>
        <w:r w:rsidR="003D31DD">
          <w:rPr>
            <w:rStyle w:val="Collegamentoipertestuale"/>
            <w:noProof/>
          </w:rPr>
          <w:t>.</w:t>
        </w:r>
        <w:r w:rsidR="0014173B" w:rsidRPr="00EA038B">
          <w:rPr>
            <w:rStyle w:val="Collegamentoipertestuale"/>
            <w:noProof/>
          </w:rPr>
          <w:t xml:space="preserve"> </w:t>
        </w:r>
        <w:r w:rsidR="00EA038B">
          <w:rPr>
            <w:rStyle w:val="Collegamentoipertestuale"/>
            <w:noProof/>
          </w:rPr>
          <w:t>M</w:t>
        </w:r>
        <w:r w:rsidR="0014173B" w:rsidRPr="00EA038B">
          <w:rPr>
            <w:rStyle w:val="Collegamentoipertestuale"/>
            <w:noProof/>
          </w:rPr>
          <w:t>aterial types</w:t>
        </w:r>
        <w:r w:rsidR="00EA038B">
          <w:rPr>
            <w:rStyle w:val="Collegamentoipertestuale"/>
            <w:noProof/>
          </w:rPr>
          <w:t xml:space="preserve"> occurrence</w:t>
        </w:r>
        <w:r w:rsidR="000F1984">
          <w:rPr>
            <w:rStyle w:val="Collegamentoipertestuale"/>
            <w:noProof/>
          </w:rPr>
          <w:t>,</w:t>
        </w:r>
        <w:r w:rsidR="0014173B" w:rsidRPr="00EA038B">
          <w:rPr>
            <w:rStyle w:val="Collegamentoipertestuale"/>
            <w:noProof/>
          </w:rPr>
          <w:t xml:space="preserve"> Mid-East area</w:t>
        </w:r>
        <w:r w:rsidR="0014173B" w:rsidRPr="00EA038B">
          <w:rPr>
            <w:noProof/>
            <w:webHidden/>
          </w:rPr>
          <w:tab/>
        </w:r>
        <w:r w:rsidR="0014173B" w:rsidRPr="00EA038B">
          <w:rPr>
            <w:noProof/>
            <w:webHidden/>
          </w:rPr>
          <w:fldChar w:fldCharType="begin"/>
        </w:r>
        <w:r w:rsidR="0014173B" w:rsidRPr="00EA038B">
          <w:rPr>
            <w:noProof/>
            <w:webHidden/>
          </w:rPr>
          <w:instrText xml:space="preserve"> PAGEREF _Toc520212385 \h </w:instrText>
        </w:r>
        <w:r w:rsidR="0014173B" w:rsidRPr="00EA038B">
          <w:rPr>
            <w:noProof/>
            <w:webHidden/>
          </w:rPr>
        </w:r>
        <w:r w:rsidR="0014173B" w:rsidRPr="00EA038B">
          <w:rPr>
            <w:noProof/>
            <w:webHidden/>
          </w:rPr>
          <w:fldChar w:fldCharType="separate"/>
        </w:r>
        <w:r w:rsidR="00940F6A">
          <w:rPr>
            <w:noProof/>
            <w:webHidden/>
          </w:rPr>
          <w:t>24</w:t>
        </w:r>
        <w:r w:rsidR="00C803A8">
          <w:rPr>
            <w:noProof/>
            <w:webHidden/>
          </w:rPr>
          <w:t>7</w:t>
        </w:r>
        <w:r w:rsidR="0014173B" w:rsidRPr="00EA038B">
          <w:rPr>
            <w:noProof/>
            <w:webHidden/>
          </w:rPr>
          <w:fldChar w:fldCharType="end"/>
        </w:r>
      </w:hyperlink>
    </w:p>
    <w:p w14:paraId="41B9EB4B" w14:textId="130D9DEF" w:rsidR="0014173B" w:rsidRDefault="00874C0C">
      <w:pPr>
        <w:pStyle w:val="Indicedellefigure"/>
        <w:tabs>
          <w:tab w:val="right" w:leader="dot" w:pos="8488"/>
        </w:tabs>
        <w:rPr>
          <w:rFonts w:asciiTheme="minorHAnsi" w:hAnsiTheme="minorHAnsi" w:cstheme="minorBidi"/>
          <w:noProof/>
          <w:szCs w:val="22"/>
          <w:lang w:eastAsia="en-GB"/>
        </w:rPr>
      </w:pPr>
      <w:hyperlink w:anchor="_Toc520212386" w:history="1">
        <w:r w:rsidR="0014173B" w:rsidRPr="00292D0C">
          <w:rPr>
            <w:rStyle w:val="Collegamentoipertestuale"/>
            <w:noProof/>
          </w:rPr>
          <w:t>Figure 4-48</w:t>
        </w:r>
        <w:r w:rsidR="003D31DD">
          <w:rPr>
            <w:rStyle w:val="Collegamentoipertestuale"/>
            <w:noProof/>
          </w:rPr>
          <w:t>.</w:t>
        </w:r>
        <w:r w:rsidR="0014173B" w:rsidRPr="00292D0C">
          <w:rPr>
            <w:rStyle w:val="Collegamentoipertestuale"/>
            <w:noProof/>
          </w:rPr>
          <w:t xml:space="preserve"> </w:t>
        </w:r>
        <w:r w:rsidR="00C47A60">
          <w:rPr>
            <w:rStyle w:val="Collegamentoipertestuale"/>
            <w:noProof/>
          </w:rPr>
          <w:t>Occurrence of n</w:t>
        </w:r>
        <w:r w:rsidR="0014173B" w:rsidRPr="00292D0C">
          <w:rPr>
            <w:rStyle w:val="Collegamentoipertestuale"/>
            <w:noProof/>
          </w:rPr>
          <w:t>on-ceramic item types</w:t>
        </w:r>
        <w:r w:rsidR="000F1984">
          <w:rPr>
            <w:rStyle w:val="Collegamentoipertestuale"/>
            <w:noProof/>
          </w:rPr>
          <w:t>,</w:t>
        </w:r>
        <w:r w:rsidR="0014173B" w:rsidRPr="00292D0C">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_Toc520212386 \h </w:instrText>
        </w:r>
        <w:r w:rsidR="0014173B">
          <w:rPr>
            <w:noProof/>
            <w:webHidden/>
          </w:rPr>
        </w:r>
        <w:r w:rsidR="0014173B">
          <w:rPr>
            <w:noProof/>
            <w:webHidden/>
          </w:rPr>
          <w:fldChar w:fldCharType="separate"/>
        </w:r>
        <w:r w:rsidR="00940F6A">
          <w:rPr>
            <w:noProof/>
            <w:webHidden/>
          </w:rPr>
          <w:t>2</w:t>
        </w:r>
        <w:r w:rsidR="00C803A8">
          <w:rPr>
            <w:noProof/>
            <w:webHidden/>
          </w:rPr>
          <w:t>50</w:t>
        </w:r>
        <w:r w:rsidR="0014173B">
          <w:rPr>
            <w:noProof/>
            <w:webHidden/>
          </w:rPr>
          <w:fldChar w:fldCharType="end"/>
        </w:r>
      </w:hyperlink>
    </w:p>
    <w:p w14:paraId="14846215" w14:textId="0C70891C" w:rsidR="0014173B" w:rsidRDefault="00874C0C">
      <w:pPr>
        <w:pStyle w:val="Indicedellefigure"/>
        <w:tabs>
          <w:tab w:val="right" w:leader="dot" w:pos="8488"/>
        </w:tabs>
        <w:rPr>
          <w:rFonts w:asciiTheme="minorHAnsi" w:hAnsiTheme="minorHAnsi" w:cstheme="minorBidi"/>
          <w:noProof/>
          <w:szCs w:val="22"/>
          <w:lang w:eastAsia="en-GB"/>
        </w:rPr>
      </w:pPr>
      <w:hyperlink w:anchor="_Toc520212387" w:history="1">
        <w:r w:rsidR="0014173B" w:rsidRPr="00292D0C">
          <w:rPr>
            <w:rStyle w:val="Collegamentoipertestuale"/>
            <w:noProof/>
          </w:rPr>
          <w:t>Figure 4-49</w:t>
        </w:r>
        <w:r w:rsidR="003D31DD">
          <w:rPr>
            <w:rStyle w:val="Collegamentoipertestuale"/>
            <w:noProof/>
          </w:rPr>
          <w:t>.</w:t>
        </w:r>
        <w:r w:rsidR="0014173B" w:rsidRPr="00292D0C">
          <w:rPr>
            <w:rStyle w:val="Collegamentoipertestuale"/>
            <w:noProof/>
          </w:rPr>
          <w:t xml:space="preserve"> Pottery types occurrence</w:t>
        </w:r>
        <w:r w:rsidR="000F1984">
          <w:rPr>
            <w:rStyle w:val="Collegamentoipertestuale"/>
            <w:noProof/>
          </w:rPr>
          <w:t>,</w:t>
        </w:r>
        <w:r w:rsidR="0014173B" w:rsidRPr="00292D0C">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_Toc520212387 \h </w:instrText>
        </w:r>
        <w:r w:rsidR="0014173B">
          <w:rPr>
            <w:noProof/>
            <w:webHidden/>
          </w:rPr>
        </w:r>
        <w:r w:rsidR="0014173B">
          <w:rPr>
            <w:noProof/>
            <w:webHidden/>
          </w:rPr>
          <w:fldChar w:fldCharType="separate"/>
        </w:r>
        <w:r w:rsidR="00940F6A">
          <w:rPr>
            <w:noProof/>
            <w:webHidden/>
          </w:rPr>
          <w:t>25</w:t>
        </w:r>
        <w:r w:rsidR="00C803A8">
          <w:rPr>
            <w:noProof/>
            <w:webHidden/>
          </w:rPr>
          <w:t>2</w:t>
        </w:r>
        <w:r w:rsidR="0014173B">
          <w:rPr>
            <w:noProof/>
            <w:webHidden/>
          </w:rPr>
          <w:fldChar w:fldCharType="end"/>
        </w:r>
      </w:hyperlink>
    </w:p>
    <w:p w14:paraId="35B37E32" w14:textId="54489BE3" w:rsidR="0014173B" w:rsidRDefault="00874C0C">
      <w:pPr>
        <w:pStyle w:val="Indicedellefigure"/>
        <w:tabs>
          <w:tab w:val="right" w:leader="dot" w:pos="8488"/>
        </w:tabs>
        <w:rPr>
          <w:rFonts w:asciiTheme="minorHAnsi" w:hAnsiTheme="minorHAnsi" w:cstheme="minorBidi"/>
          <w:noProof/>
          <w:szCs w:val="22"/>
          <w:lang w:eastAsia="en-GB"/>
        </w:rPr>
      </w:pPr>
      <w:hyperlink w:anchor="_Toc520212388" w:history="1">
        <w:r w:rsidR="0014173B" w:rsidRPr="00292D0C">
          <w:rPr>
            <w:rStyle w:val="Collegamentoipertestuale"/>
            <w:noProof/>
          </w:rPr>
          <w:t>Figure 4-50</w:t>
        </w:r>
        <w:r w:rsidR="003D31DD">
          <w:rPr>
            <w:rStyle w:val="Collegamentoipertestuale"/>
            <w:noProof/>
          </w:rPr>
          <w:t>.</w:t>
        </w:r>
        <w:r w:rsidR="0014173B" w:rsidRPr="00292D0C">
          <w:rPr>
            <w:rStyle w:val="Collegamentoipertestuale"/>
            <w:noProof/>
          </w:rPr>
          <w:t xml:space="preserve"> Composition of grave goods assemblages according to pottery occurrence</w:t>
        </w:r>
        <w:r w:rsidR="000F1984">
          <w:rPr>
            <w:rStyle w:val="Collegamentoipertestuale"/>
            <w:noProof/>
          </w:rPr>
          <w:t>,</w:t>
        </w:r>
        <w:r w:rsidR="0014173B" w:rsidRPr="00292D0C">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_Toc520212388 \h </w:instrText>
        </w:r>
        <w:r w:rsidR="0014173B">
          <w:rPr>
            <w:noProof/>
            <w:webHidden/>
          </w:rPr>
        </w:r>
        <w:r w:rsidR="0014173B">
          <w:rPr>
            <w:noProof/>
            <w:webHidden/>
          </w:rPr>
          <w:fldChar w:fldCharType="separate"/>
        </w:r>
        <w:r w:rsidR="00940F6A">
          <w:rPr>
            <w:noProof/>
            <w:webHidden/>
          </w:rPr>
          <w:t>25</w:t>
        </w:r>
        <w:r w:rsidR="0014173B">
          <w:rPr>
            <w:noProof/>
            <w:webHidden/>
          </w:rPr>
          <w:fldChar w:fldCharType="end"/>
        </w:r>
      </w:hyperlink>
      <w:r w:rsidR="00C803A8">
        <w:rPr>
          <w:noProof/>
        </w:rPr>
        <w:t>3</w:t>
      </w:r>
    </w:p>
    <w:p w14:paraId="41FD1157" w14:textId="00912D75" w:rsidR="0014173B" w:rsidRDefault="00874C0C">
      <w:pPr>
        <w:pStyle w:val="Indicedellefigure"/>
        <w:tabs>
          <w:tab w:val="right" w:leader="dot" w:pos="8488"/>
        </w:tabs>
        <w:rPr>
          <w:rFonts w:asciiTheme="minorHAnsi" w:hAnsiTheme="minorHAnsi" w:cstheme="minorBidi"/>
          <w:noProof/>
          <w:szCs w:val="22"/>
          <w:lang w:eastAsia="en-GB"/>
        </w:rPr>
      </w:pPr>
      <w:hyperlink w:anchor="_Toc520212389" w:history="1">
        <w:r w:rsidR="0014173B" w:rsidRPr="00EA038B">
          <w:rPr>
            <w:rStyle w:val="Collegamentoipertestuale"/>
            <w:noProof/>
          </w:rPr>
          <w:t>Figure 4-51</w:t>
        </w:r>
        <w:r w:rsidR="003D31DD">
          <w:rPr>
            <w:rStyle w:val="Collegamentoipertestuale"/>
            <w:noProof/>
          </w:rPr>
          <w:t>.</w:t>
        </w:r>
        <w:r w:rsidR="0014173B" w:rsidRPr="00EA038B">
          <w:rPr>
            <w:rStyle w:val="Collegamentoipertestuale"/>
            <w:noProof/>
          </w:rPr>
          <w:t xml:space="preserve"> </w:t>
        </w:r>
        <w:r w:rsidR="00EA038B" w:rsidRPr="00EA038B">
          <w:rPr>
            <w:rStyle w:val="Collegamentoipertestuale"/>
            <w:noProof/>
          </w:rPr>
          <w:t>M</w:t>
        </w:r>
        <w:r w:rsidR="0014173B" w:rsidRPr="00EA038B">
          <w:rPr>
            <w:rStyle w:val="Collegamentoipertestuale"/>
            <w:noProof/>
          </w:rPr>
          <w:t>aterial types</w:t>
        </w:r>
        <w:r w:rsidR="00EA038B" w:rsidRPr="00EA038B">
          <w:rPr>
            <w:rStyle w:val="Collegamentoipertestuale"/>
            <w:noProof/>
          </w:rPr>
          <w:t xml:space="preserve"> occurrence</w:t>
        </w:r>
        <w:r w:rsidR="000F1984">
          <w:rPr>
            <w:rStyle w:val="Collegamentoipertestuale"/>
            <w:noProof/>
          </w:rPr>
          <w:t>,</w:t>
        </w:r>
        <w:r w:rsidR="0014173B" w:rsidRPr="00EA038B">
          <w:rPr>
            <w:rStyle w:val="Collegamentoipertestuale"/>
            <w:noProof/>
          </w:rPr>
          <w:t xml:space="preserve"> Far-East area</w:t>
        </w:r>
        <w:r w:rsidR="0014173B" w:rsidRPr="00EA038B">
          <w:rPr>
            <w:noProof/>
            <w:webHidden/>
          </w:rPr>
          <w:tab/>
        </w:r>
        <w:r w:rsidR="0014173B" w:rsidRPr="00EA038B">
          <w:rPr>
            <w:noProof/>
            <w:webHidden/>
          </w:rPr>
          <w:fldChar w:fldCharType="begin"/>
        </w:r>
        <w:r w:rsidR="0014173B" w:rsidRPr="00EA038B">
          <w:rPr>
            <w:noProof/>
            <w:webHidden/>
          </w:rPr>
          <w:instrText xml:space="preserve"> PAGEREF _Toc520212389 \h </w:instrText>
        </w:r>
        <w:r w:rsidR="0014173B" w:rsidRPr="00EA038B">
          <w:rPr>
            <w:noProof/>
            <w:webHidden/>
          </w:rPr>
        </w:r>
        <w:r w:rsidR="0014173B" w:rsidRPr="00EA038B">
          <w:rPr>
            <w:noProof/>
            <w:webHidden/>
          </w:rPr>
          <w:fldChar w:fldCharType="separate"/>
        </w:r>
        <w:r w:rsidR="00940F6A">
          <w:rPr>
            <w:noProof/>
            <w:webHidden/>
          </w:rPr>
          <w:t>25</w:t>
        </w:r>
        <w:r w:rsidR="00C803A8">
          <w:rPr>
            <w:noProof/>
            <w:webHidden/>
          </w:rPr>
          <w:t>5</w:t>
        </w:r>
        <w:r w:rsidR="0014173B" w:rsidRPr="00EA038B">
          <w:rPr>
            <w:noProof/>
            <w:webHidden/>
          </w:rPr>
          <w:fldChar w:fldCharType="end"/>
        </w:r>
      </w:hyperlink>
    </w:p>
    <w:p w14:paraId="248F13E5" w14:textId="4A4AB9FE" w:rsidR="0014173B" w:rsidRDefault="00874C0C">
      <w:pPr>
        <w:pStyle w:val="Indicedellefigure"/>
        <w:tabs>
          <w:tab w:val="right" w:leader="dot" w:pos="8488"/>
        </w:tabs>
        <w:rPr>
          <w:rFonts w:asciiTheme="minorHAnsi" w:hAnsiTheme="minorHAnsi" w:cstheme="minorBidi"/>
          <w:noProof/>
          <w:szCs w:val="22"/>
          <w:lang w:eastAsia="en-GB"/>
        </w:rPr>
      </w:pPr>
      <w:hyperlink w:anchor="_Toc520212390" w:history="1">
        <w:r w:rsidR="0014173B" w:rsidRPr="00292D0C">
          <w:rPr>
            <w:rStyle w:val="Collegamentoipertestuale"/>
            <w:noProof/>
          </w:rPr>
          <w:t>Figure 4-52</w:t>
        </w:r>
        <w:r w:rsidR="003D31DD">
          <w:rPr>
            <w:rStyle w:val="Collegamentoipertestuale"/>
            <w:noProof/>
          </w:rPr>
          <w:t>.</w:t>
        </w:r>
        <w:r w:rsidR="0014173B" w:rsidRPr="00292D0C">
          <w:rPr>
            <w:rStyle w:val="Collegamentoipertestuale"/>
            <w:noProof/>
          </w:rPr>
          <w:t xml:space="preserve"> </w:t>
        </w:r>
        <w:r w:rsidR="00DB1D65">
          <w:rPr>
            <w:rStyle w:val="Collegamentoipertestuale"/>
            <w:noProof/>
          </w:rPr>
          <w:t>Occurrence of n</w:t>
        </w:r>
        <w:r w:rsidR="0014173B" w:rsidRPr="00292D0C">
          <w:rPr>
            <w:rStyle w:val="Collegamentoipertestuale"/>
            <w:noProof/>
          </w:rPr>
          <w:t>on-ceramic item types</w:t>
        </w:r>
        <w:r w:rsidR="000F1984">
          <w:rPr>
            <w:rStyle w:val="Collegamentoipertestuale"/>
            <w:noProof/>
          </w:rPr>
          <w:t>,</w:t>
        </w:r>
        <w:r w:rsidR="0014173B" w:rsidRPr="00292D0C">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_Toc520212390 \h </w:instrText>
        </w:r>
        <w:r w:rsidR="0014173B">
          <w:rPr>
            <w:noProof/>
            <w:webHidden/>
          </w:rPr>
        </w:r>
        <w:r w:rsidR="0014173B">
          <w:rPr>
            <w:noProof/>
            <w:webHidden/>
          </w:rPr>
          <w:fldChar w:fldCharType="separate"/>
        </w:r>
        <w:r w:rsidR="00940F6A">
          <w:rPr>
            <w:noProof/>
            <w:webHidden/>
          </w:rPr>
          <w:t>25</w:t>
        </w:r>
        <w:r w:rsidR="00C803A8">
          <w:rPr>
            <w:noProof/>
            <w:webHidden/>
          </w:rPr>
          <w:t>8</w:t>
        </w:r>
        <w:r w:rsidR="0014173B">
          <w:rPr>
            <w:noProof/>
            <w:webHidden/>
          </w:rPr>
          <w:fldChar w:fldCharType="end"/>
        </w:r>
      </w:hyperlink>
    </w:p>
    <w:p w14:paraId="1FFAF124" w14:textId="2FCE2854" w:rsidR="0014173B" w:rsidRDefault="00874C0C">
      <w:pPr>
        <w:pStyle w:val="Indicedellefigure"/>
        <w:tabs>
          <w:tab w:val="right" w:leader="dot" w:pos="8488"/>
        </w:tabs>
        <w:rPr>
          <w:rFonts w:asciiTheme="minorHAnsi" w:hAnsiTheme="minorHAnsi" w:cstheme="minorBidi"/>
          <w:noProof/>
          <w:szCs w:val="22"/>
          <w:lang w:eastAsia="en-GB"/>
        </w:rPr>
      </w:pPr>
      <w:hyperlink w:anchor="_Toc520212391" w:history="1">
        <w:r w:rsidR="0014173B" w:rsidRPr="00292D0C">
          <w:rPr>
            <w:rStyle w:val="Collegamentoipertestuale"/>
            <w:noProof/>
          </w:rPr>
          <w:t>Figure 4-53</w:t>
        </w:r>
        <w:r w:rsidR="003D31DD">
          <w:rPr>
            <w:rStyle w:val="Collegamentoipertestuale"/>
            <w:noProof/>
          </w:rPr>
          <w:t>.</w:t>
        </w:r>
        <w:r w:rsidR="0014173B" w:rsidRPr="00292D0C">
          <w:rPr>
            <w:rStyle w:val="Collegamentoipertestuale"/>
            <w:noProof/>
          </w:rPr>
          <w:t xml:space="preserve"> Pottery types occurrence</w:t>
        </w:r>
        <w:r w:rsidR="000F1984">
          <w:rPr>
            <w:rStyle w:val="Collegamentoipertestuale"/>
            <w:noProof/>
          </w:rPr>
          <w:t>,</w:t>
        </w:r>
        <w:r w:rsidR="0014173B" w:rsidRPr="00292D0C">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_Toc520212391 \h </w:instrText>
        </w:r>
        <w:r w:rsidR="0014173B">
          <w:rPr>
            <w:noProof/>
            <w:webHidden/>
          </w:rPr>
        </w:r>
        <w:r w:rsidR="0014173B">
          <w:rPr>
            <w:noProof/>
            <w:webHidden/>
          </w:rPr>
          <w:fldChar w:fldCharType="separate"/>
        </w:r>
        <w:r w:rsidR="00940F6A">
          <w:rPr>
            <w:noProof/>
            <w:webHidden/>
          </w:rPr>
          <w:t>2</w:t>
        </w:r>
        <w:r w:rsidR="00C803A8">
          <w:rPr>
            <w:noProof/>
            <w:webHidden/>
          </w:rPr>
          <w:t>60</w:t>
        </w:r>
        <w:r w:rsidR="0014173B">
          <w:rPr>
            <w:noProof/>
            <w:webHidden/>
          </w:rPr>
          <w:fldChar w:fldCharType="end"/>
        </w:r>
      </w:hyperlink>
    </w:p>
    <w:p w14:paraId="7901A759" w14:textId="12EDFD4E" w:rsidR="0014173B" w:rsidRDefault="00874C0C">
      <w:pPr>
        <w:pStyle w:val="Indicedellefigure"/>
        <w:tabs>
          <w:tab w:val="right" w:leader="dot" w:pos="8488"/>
        </w:tabs>
        <w:rPr>
          <w:rFonts w:asciiTheme="minorHAnsi" w:hAnsiTheme="minorHAnsi" w:cstheme="minorBidi"/>
          <w:noProof/>
          <w:szCs w:val="22"/>
          <w:lang w:eastAsia="en-GB"/>
        </w:rPr>
      </w:pPr>
      <w:hyperlink w:anchor="_Toc520212392" w:history="1">
        <w:r w:rsidR="0014173B" w:rsidRPr="00292D0C">
          <w:rPr>
            <w:rStyle w:val="Collegamentoipertestuale"/>
            <w:noProof/>
          </w:rPr>
          <w:t>Figure 4-54</w:t>
        </w:r>
        <w:r w:rsidR="003D31DD">
          <w:rPr>
            <w:rStyle w:val="Collegamentoipertestuale"/>
            <w:noProof/>
          </w:rPr>
          <w:t>.</w:t>
        </w:r>
        <w:r w:rsidR="0014173B" w:rsidRPr="00292D0C">
          <w:rPr>
            <w:rStyle w:val="Collegamentoipertestuale"/>
            <w:noProof/>
          </w:rPr>
          <w:t xml:space="preserve"> Composition of grave goods assemblages according to pottery occurrence</w:t>
        </w:r>
        <w:r w:rsidR="000F1984">
          <w:rPr>
            <w:rStyle w:val="Collegamentoipertestuale"/>
            <w:noProof/>
          </w:rPr>
          <w:t>,</w:t>
        </w:r>
        <w:r w:rsidR="0014173B" w:rsidRPr="00292D0C">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_Toc520212392 \h </w:instrText>
        </w:r>
        <w:r w:rsidR="0014173B">
          <w:rPr>
            <w:noProof/>
            <w:webHidden/>
          </w:rPr>
        </w:r>
        <w:r w:rsidR="0014173B">
          <w:rPr>
            <w:noProof/>
            <w:webHidden/>
          </w:rPr>
          <w:fldChar w:fldCharType="separate"/>
        </w:r>
        <w:r w:rsidR="00940F6A">
          <w:rPr>
            <w:noProof/>
            <w:webHidden/>
          </w:rPr>
          <w:t>26</w:t>
        </w:r>
        <w:r w:rsidR="00C803A8">
          <w:rPr>
            <w:noProof/>
            <w:webHidden/>
          </w:rPr>
          <w:t>1</w:t>
        </w:r>
        <w:r w:rsidR="0014173B">
          <w:rPr>
            <w:noProof/>
            <w:webHidden/>
          </w:rPr>
          <w:fldChar w:fldCharType="end"/>
        </w:r>
      </w:hyperlink>
    </w:p>
    <w:p w14:paraId="4F7E0727" w14:textId="4F1B4432" w:rsidR="0014173B" w:rsidRDefault="00874C0C">
      <w:pPr>
        <w:pStyle w:val="Indicedellefigure"/>
        <w:tabs>
          <w:tab w:val="right" w:leader="dot" w:pos="8488"/>
        </w:tabs>
        <w:rPr>
          <w:rFonts w:asciiTheme="minorHAnsi" w:hAnsiTheme="minorHAnsi" w:cstheme="minorBidi"/>
          <w:noProof/>
          <w:szCs w:val="22"/>
          <w:lang w:eastAsia="en-GB"/>
        </w:rPr>
      </w:pPr>
      <w:hyperlink w:anchor="_Toc520212393" w:history="1">
        <w:r w:rsidR="0014173B" w:rsidRPr="00292D0C">
          <w:rPr>
            <w:rStyle w:val="Collegamentoipertestuale"/>
            <w:noProof/>
          </w:rPr>
          <w:t>Figure 4-55</w:t>
        </w:r>
        <w:r w:rsidR="003D31DD">
          <w:rPr>
            <w:rStyle w:val="Collegamentoipertestuale"/>
            <w:noProof/>
          </w:rPr>
          <w:t>.</w:t>
        </w:r>
        <w:r w:rsidR="0014173B" w:rsidRPr="00292D0C">
          <w:rPr>
            <w:rStyle w:val="Collegamentoipertestuale"/>
            <w:noProof/>
          </w:rPr>
          <w:t xml:space="preserve"> Material variety in tombs with larnakes</w:t>
        </w:r>
        <w:r w:rsidR="0014173B">
          <w:rPr>
            <w:noProof/>
            <w:webHidden/>
          </w:rPr>
          <w:tab/>
        </w:r>
        <w:r w:rsidR="0014173B">
          <w:rPr>
            <w:noProof/>
            <w:webHidden/>
          </w:rPr>
          <w:fldChar w:fldCharType="begin"/>
        </w:r>
        <w:r w:rsidR="0014173B">
          <w:rPr>
            <w:noProof/>
            <w:webHidden/>
          </w:rPr>
          <w:instrText xml:space="preserve"> PAGEREF _Toc520212393 \h </w:instrText>
        </w:r>
        <w:r w:rsidR="0014173B">
          <w:rPr>
            <w:noProof/>
            <w:webHidden/>
          </w:rPr>
        </w:r>
        <w:r w:rsidR="0014173B">
          <w:rPr>
            <w:noProof/>
            <w:webHidden/>
          </w:rPr>
          <w:fldChar w:fldCharType="separate"/>
        </w:r>
        <w:r w:rsidR="00940F6A">
          <w:rPr>
            <w:noProof/>
            <w:webHidden/>
          </w:rPr>
          <w:t>26</w:t>
        </w:r>
        <w:r w:rsidR="00C803A8">
          <w:rPr>
            <w:noProof/>
            <w:webHidden/>
          </w:rPr>
          <w:t>2</w:t>
        </w:r>
        <w:r w:rsidR="0014173B">
          <w:rPr>
            <w:noProof/>
            <w:webHidden/>
          </w:rPr>
          <w:fldChar w:fldCharType="end"/>
        </w:r>
      </w:hyperlink>
    </w:p>
    <w:p w14:paraId="30E54CE5" w14:textId="6414081B" w:rsidR="0014173B" w:rsidRDefault="00874C0C">
      <w:pPr>
        <w:pStyle w:val="Indicedellefigure"/>
        <w:tabs>
          <w:tab w:val="right" w:leader="dot" w:pos="8488"/>
        </w:tabs>
        <w:rPr>
          <w:rFonts w:asciiTheme="minorHAnsi" w:hAnsiTheme="minorHAnsi" w:cstheme="minorBidi"/>
          <w:noProof/>
          <w:szCs w:val="22"/>
          <w:lang w:eastAsia="en-GB"/>
        </w:rPr>
      </w:pPr>
      <w:hyperlink w:anchor="_Toc520212394" w:history="1">
        <w:r w:rsidR="0014173B" w:rsidRPr="00292D0C">
          <w:rPr>
            <w:rStyle w:val="Collegamentoipertestuale"/>
            <w:noProof/>
          </w:rPr>
          <w:t>Figure 5-1</w:t>
        </w:r>
        <w:r w:rsidR="003D31DD">
          <w:rPr>
            <w:rStyle w:val="Collegamentoipertestuale"/>
            <w:noProof/>
          </w:rPr>
          <w:t>.</w:t>
        </w:r>
        <w:r w:rsidR="0014173B" w:rsidRPr="00292D0C">
          <w:rPr>
            <w:rStyle w:val="Collegamentoipertestuale"/>
            <w:noProof/>
          </w:rPr>
          <w:t xml:space="preserve"> Motif FM 1, Man (after Furumark 1972: Fig. 26.1)</w:t>
        </w:r>
        <w:r w:rsidR="0014173B">
          <w:rPr>
            <w:noProof/>
            <w:webHidden/>
          </w:rPr>
          <w:tab/>
        </w:r>
        <w:r w:rsidR="0014173B">
          <w:rPr>
            <w:noProof/>
            <w:webHidden/>
          </w:rPr>
          <w:fldChar w:fldCharType="begin"/>
        </w:r>
        <w:r w:rsidR="0014173B">
          <w:rPr>
            <w:noProof/>
            <w:webHidden/>
          </w:rPr>
          <w:instrText xml:space="preserve"> PAGEREF _Toc520212394 \h </w:instrText>
        </w:r>
        <w:r w:rsidR="0014173B">
          <w:rPr>
            <w:noProof/>
            <w:webHidden/>
          </w:rPr>
        </w:r>
        <w:r w:rsidR="0014173B">
          <w:rPr>
            <w:noProof/>
            <w:webHidden/>
          </w:rPr>
          <w:fldChar w:fldCharType="separate"/>
        </w:r>
        <w:r w:rsidR="00940F6A">
          <w:rPr>
            <w:noProof/>
            <w:webHidden/>
          </w:rPr>
          <w:t>26</w:t>
        </w:r>
        <w:r w:rsidR="00C803A8">
          <w:rPr>
            <w:noProof/>
            <w:webHidden/>
          </w:rPr>
          <w:t>8</w:t>
        </w:r>
        <w:r w:rsidR="0014173B">
          <w:rPr>
            <w:noProof/>
            <w:webHidden/>
          </w:rPr>
          <w:fldChar w:fldCharType="end"/>
        </w:r>
      </w:hyperlink>
    </w:p>
    <w:p w14:paraId="67C3ABFB" w14:textId="6F87DAC2" w:rsidR="0014173B" w:rsidRDefault="00874C0C">
      <w:pPr>
        <w:pStyle w:val="Indicedellefigure"/>
        <w:tabs>
          <w:tab w:val="right" w:leader="dot" w:pos="8488"/>
        </w:tabs>
        <w:rPr>
          <w:rFonts w:asciiTheme="minorHAnsi" w:hAnsiTheme="minorHAnsi" w:cstheme="minorBidi"/>
          <w:noProof/>
          <w:szCs w:val="22"/>
          <w:lang w:eastAsia="en-GB"/>
        </w:rPr>
      </w:pPr>
      <w:hyperlink w:anchor="_Toc520212395" w:history="1">
        <w:r w:rsidR="0014173B" w:rsidRPr="00292D0C">
          <w:rPr>
            <w:rStyle w:val="Collegamentoipertestuale"/>
            <w:noProof/>
          </w:rPr>
          <w:t>Figure 5-2</w:t>
        </w:r>
        <w:r w:rsidR="003D31DD">
          <w:rPr>
            <w:rStyle w:val="Collegamentoipertestuale"/>
            <w:noProof/>
          </w:rPr>
          <w:t>.</w:t>
        </w:r>
        <w:r w:rsidR="0014173B" w:rsidRPr="00292D0C">
          <w:rPr>
            <w:rStyle w:val="Collegamentoipertestuale"/>
            <w:noProof/>
          </w:rPr>
          <w:t xml:space="preserve"> Motif FM 2, Horse (after Furumark 1972: Fig. 26.2)</w:t>
        </w:r>
        <w:r w:rsidR="0014173B">
          <w:rPr>
            <w:noProof/>
            <w:webHidden/>
          </w:rPr>
          <w:tab/>
        </w:r>
        <w:r w:rsidR="0014173B">
          <w:rPr>
            <w:noProof/>
            <w:webHidden/>
          </w:rPr>
          <w:fldChar w:fldCharType="begin"/>
        </w:r>
        <w:r w:rsidR="0014173B">
          <w:rPr>
            <w:noProof/>
            <w:webHidden/>
          </w:rPr>
          <w:instrText xml:space="preserve"> PAGEREF _Toc520212395 \h </w:instrText>
        </w:r>
        <w:r w:rsidR="0014173B">
          <w:rPr>
            <w:noProof/>
            <w:webHidden/>
          </w:rPr>
        </w:r>
        <w:r w:rsidR="0014173B">
          <w:rPr>
            <w:noProof/>
            <w:webHidden/>
          </w:rPr>
          <w:fldChar w:fldCharType="separate"/>
        </w:r>
        <w:r w:rsidR="00940F6A">
          <w:rPr>
            <w:noProof/>
            <w:webHidden/>
          </w:rPr>
          <w:t>26</w:t>
        </w:r>
        <w:r w:rsidR="0014173B">
          <w:rPr>
            <w:noProof/>
            <w:webHidden/>
          </w:rPr>
          <w:fldChar w:fldCharType="end"/>
        </w:r>
      </w:hyperlink>
      <w:r w:rsidR="00940A4B">
        <w:rPr>
          <w:noProof/>
        </w:rPr>
        <w:t>8</w:t>
      </w:r>
    </w:p>
    <w:p w14:paraId="58A99E43" w14:textId="49E03458" w:rsidR="0014173B" w:rsidRDefault="00874C0C">
      <w:pPr>
        <w:pStyle w:val="Indicedellefigure"/>
        <w:tabs>
          <w:tab w:val="right" w:leader="dot" w:pos="8488"/>
        </w:tabs>
        <w:rPr>
          <w:rFonts w:asciiTheme="minorHAnsi" w:hAnsiTheme="minorHAnsi" w:cstheme="minorBidi"/>
          <w:noProof/>
          <w:szCs w:val="22"/>
          <w:lang w:eastAsia="en-GB"/>
        </w:rPr>
      </w:pPr>
      <w:hyperlink w:anchor="_Toc520212396" w:history="1">
        <w:r w:rsidR="0014173B" w:rsidRPr="00292D0C">
          <w:rPr>
            <w:rStyle w:val="Collegamentoipertestuale"/>
            <w:noProof/>
          </w:rPr>
          <w:t>Figure 5-3</w:t>
        </w:r>
        <w:r w:rsidR="003D31DD">
          <w:rPr>
            <w:rStyle w:val="Collegamentoipertestuale"/>
            <w:noProof/>
          </w:rPr>
          <w:t>.</w:t>
        </w:r>
        <w:r w:rsidR="0014173B" w:rsidRPr="00292D0C">
          <w:rPr>
            <w:rStyle w:val="Collegamentoipertestuale"/>
            <w:noProof/>
          </w:rPr>
          <w:t xml:space="preserve"> Motif FM 3, Bull (after Furumark 1972: Fig. 27.3)</w:t>
        </w:r>
        <w:r w:rsidR="0014173B">
          <w:rPr>
            <w:noProof/>
            <w:webHidden/>
          </w:rPr>
          <w:tab/>
        </w:r>
        <w:r w:rsidR="0014173B">
          <w:rPr>
            <w:noProof/>
            <w:webHidden/>
          </w:rPr>
          <w:fldChar w:fldCharType="begin"/>
        </w:r>
        <w:r w:rsidR="0014173B">
          <w:rPr>
            <w:noProof/>
            <w:webHidden/>
          </w:rPr>
          <w:instrText xml:space="preserve"> PAGEREF _Toc520212396 \h </w:instrText>
        </w:r>
        <w:r w:rsidR="0014173B">
          <w:rPr>
            <w:noProof/>
            <w:webHidden/>
          </w:rPr>
        </w:r>
        <w:r w:rsidR="0014173B">
          <w:rPr>
            <w:noProof/>
            <w:webHidden/>
          </w:rPr>
          <w:fldChar w:fldCharType="separate"/>
        </w:r>
        <w:r w:rsidR="00940F6A">
          <w:rPr>
            <w:noProof/>
            <w:webHidden/>
          </w:rPr>
          <w:t>26</w:t>
        </w:r>
        <w:r w:rsidR="00940A4B">
          <w:rPr>
            <w:noProof/>
            <w:webHidden/>
          </w:rPr>
          <w:t>9</w:t>
        </w:r>
        <w:r w:rsidR="0014173B">
          <w:rPr>
            <w:noProof/>
            <w:webHidden/>
          </w:rPr>
          <w:fldChar w:fldCharType="end"/>
        </w:r>
      </w:hyperlink>
    </w:p>
    <w:p w14:paraId="7E29679F" w14:textId="3944F527" w:rsidR="0014173B" w:rsidRDefault="00874C0C">
      <w:pPr>
        <w:pStyle w:val="Indicedellefigure"/>
        <w:tabs>
          <w:tab w:val="right" w:leader="dot" w:pos="8488"/>
        </w:tabs>
        <w:rPr>
          <w:rFonts w:asciiTheme="minorHAnsi" w:hAnsiTheme="minorHAnsi" w:cstheme="minorBidi"/>
          <w:noProof/>
          <w:szCs w:val="22"/>
          <w:lang w:eastAsia="en-GB"/>
        </w:rPr>
      </w:pPr>
      <w:hyperlink w:anchor="_Toc520212397" w:history="1">
        <w:r w:rsidR="0014173B" w:rsidRPr="00292D0C">
          <w:rPr>
            <w:rStyle w:val="Collegamentoipertestuale"/>
            <w:noProof/>
          </w:rPr>
          <w:t>Figure 5-4</w:t>
        </w:r>
        <w:r w:rsidR="003D31DD">
          <w:rPr>
            <w:rStyle w:val="Collegamentoipertestuale"/>
            <w:noProof/>
          </w:rPr>
          <w:t>.</w:t>
        </w:r>
        <w:r w:rsidR="0014173B" w:rsidRPr="00292D0C">
          <w:rPr>
            <w:rStyle w:val="Collegamentoipertestuale"/>
            <w:noProof/>
          </w:rPr>
          <w:t xml:space="preserve"> Motif FM 4, Bucranium (after Furumark 1972: Fig. 28.4)</w:t>
        </w:r>
        <w:r w:rsidR="0014173B">
          <w:rPr>
            <w:noProof/>
            <w:webHidden/>
          </w:rPr>
          <w:tab/>
        </w:r>
        <w:r w:rsidR="0014173B">
          <w:rPr>
            <w:noProof/>
            <w:webHidden/>
          </w:rPr>
          <w:fldChar w:fldCharType="begin"/>
        </w:r>
        <w:r w:rsidR="0014173B">
          <w:rPr>
            <w:noProof/>
            <w:webHidden/>
          </w:rPr>
          <w:instrText xml:space="preserve"> PAGEREF _Toc520212397 \h </w:instrText>
        </w:r>
        <w:r w:rsidR="0014173B">
          <w:rPr>
            <w:noProof/>
            <w:webHidden/>
          </w:rPr>
        </w:r>
        <w:r w:rsidR="0014173B">
          <w:rPr>
            <w:noProof/>
            <w:webHidden/>
          </w:rPr>
          <w:fldChar w:fldCharType="separate"/>
        </w:r>
        <w:r w:rsidR="00940F6A">
          <w:rPr>
            <w:noProof/>
            <w:webHidden/>
          </w:rPr>
          <w:t>26</w:t>
        </w:r>
        <w:r w:rsidR="00940A4B">
          <w:rPr>
            <w:noProof/>
            <w:webHidden/>
          </w:rPr>
          <w:t>9</w:t>
        </w:r>
        <w:r w:rsidR="0014173B">
          <w:rPr>
            <w:noProof/>
            <w:webHidden/>
          </w:rPr>
          <w:fldChar w:fldCharType="end"/>
        </w:r>
      </w:hyperlink>
    </w:p>
    <w:p w14:paraId="15794590" w14:textId="257DA333" w:rsidR="0014173B" w:rsidRDefault="00874C0C">
      <w:pPr>
        <w:pStyle w:val="Indicedellefigure"/>
        <w:tabs>
          <w:tab w:val="right" w:leader="dot" w:pos="8488"/>
        </w:tabs>
        <w:rPr>
          <w:rFonts w:asciiTheme="minorHAnsi" w:hAnsiTheme="minorHAnsi" w:cstheme="minorBidi"/>
          <w:noProof/>
          <w:szCs w:val="22"/>
          <w:lang w:eastAsia="en-GB"/>
        </w:rPr>
      </w:pPr>
      <w:hyperlink w:anchor="_Toc520212398" w:history="1">
        <w:r w:rsidR="0014173B" w:rsidRPr="00292D0C">
          <w:rPr>
            <w:rStyle w:val="Collegamentoipertestuale"/>
            <w:noProof/>
          </w:rPr>
          <w:t>Figure 5-5</w:t>
        </w:r>
        <w:r w:rsidR="003D31DD">
          <w:rPr>
            <w:rStyle w:val="Collegamentoipertestuale"/>
            <w:noProof/>
          </w:rPr>
          <w:t>.</w:t>
        </w:r>
        <w:r w:rsidR="0014173B" w:rsidRPr="00292D0C">
          <w:rPr>
            <w:rStyle w:val="Collegamentoipertestuale"/>
            <w:noProof/>
          </w:rPr>
          <w:t xml:space="preserve"> Motif FM 5, Stag (after Furumark 1972: Fig. 28.5)</w:t>
        </w:r>
        <w:r w:rsidR="0014173B">
          <w:rPr>
            <w:noProof/>
            <w:webHidden/>
          </w:rPr>
          <w:tab/>
        </w:r>
        <w:r w:rsidR="0014173B">
          <w:rPr>
            <w:noProof/>
            <w:webHidden/>
          </w:rPr>
          <w:fldChar w:fldCharType="begin"/>
        </w:r>
        <w:r w:rsidR="0014173B">
          <w:rPr>
            <w:noProof/>
            <w:webHidden/>
          </w:rPr>
          <w:instrText xml:space="preserve"> PAGEREF _Toc520212398 \h </w:instrText>
        </w:r>
        <w:r w:rsidR="0014173B">
          <w:rPr>
            <w:noProof/>
            <w:webHidden/>
          </w:rPr>
        </w:r>
        <w:r w:rsidR="0014173B">
          <w:rPr>
            <w:noProof/>
            <w:webHidden/>
          </w:rPr>
          <w:fldChar w:fldCharType="separate"/>
        </w:r>
        <w:r w:rsidR="00940F6A">
          <w:rPr>
            <w:noProof/>
            <w:webHidden/>
          </w:rPr>
          <w:t>26</w:t>
        </w:r>
        <w:r w:rsidR="00940A4B">
          <w:rPr>
            <w:noProof/>
            <w:webHidden/>
          </w:rPr>
          <w:t>9</w:t>
        </w:r>
        <w:r w:rsidR="0014173B">
          <w:rPr>
            <w:noProof/>
            <w:webHidden/>
          </w:rPr>
          <w:fldChar w:fldCharType="end"/>
        </w:r>
      </w:hyperlink>
    </w:p>
    <w:p w14:paraId="686E5018" w14:textId="5FEAA0AF" w:rsidR="0014173B" w:rsidRDefault="00874C0C">
      <w:pPr>
        <w:pStyle w:val="Indicedellefigure"/>
        <w:tabs>
          <w:tab w:val="right" w:leader="dot" w:pos="8488"/>
        </w:tabs>
        <w:rPr>
          <w:rFonts w:asciiTheme="minorHAnsi" w:hAnsiTheme="minorHAnsi" w:cstheme="minorBidi"/>
          <w:noProof/>
          <w:szCs w:val="22"/>
          <w:lang w:eastAsia="en-GB"/>
        </w:rPr>
      </w:pPr>
      <w:hyperlink w:anchor="_Toc520212399" w:history="1">
        <w:r w:rsidR="0014173B" w:rsidRPr="00292D0C">
          <w:rPr>
            <w:rStyle w:val="Collegamentoipertestuale"/>
            <w:noProof/>
          </w:rPr>
          <w:t>Figure 5-6</w:t>
        </w:r>
        <w:r w:rsidR="003D31DD">
          <w:rPr>
            <w:rStyle w:val="Collegamentoipertestuale"/>
            <w:noProof/>
          </w:rPr>
          <w:t>.</w:t>
        </w:r>
        <w:r w:rsidR="0014173B" w:rsidRPr="00292D0C">
          <w:rPr>
            <w:rStyle w:val="Collegamentoipertestuale"/>
            <w:noProof/>
          </w:rPr>
          <w:t xml:space="preserve"> Motif FM 6, Goat (after Furumark 1972: Fig. 29.6)</w:t>
        </w:r>
        <w:r w:rsidR="0014173B">
          <w:rPr>
            <w:noProof/>
            <w:webHidden/>
          </w:rPr>
          <w:tab/>
        </w:r>
        <w:r w:rsidR="0014173B">
          <w:rPr>
            <w:noProof/>
            <w:webHidden/>
          </w:rPr>
          <w:fldChar w:fldCharType="begin"/>
        </w:r>
        <w:r w:rsidR="0014173B">
          <w:rPr>
            <w:noProof/>
            <w:webHidden/>
          </w:rPr>
          <w:instrText xml:space="preserve"> PAGEREF _Toc520212399 \h </w:instrText>
        </w:r>
        <w:r w:rsidR="0014173B">
          <w:rPr>
            <w:noProof/>
            <w:webHidden/>
          </w:rPr>
        </w:r>
        <w:r w:rsidR="0014173B">
          <w:rPr>
            <w:noProof/>
            <w:webHidden/>
          </w:rPr>
          <w:fldChar w:fldCharType="separate"/>
        </w:r>
        <w:r w:rsidR="00940F6A">
          <w:rPr>
            <w:noProof/>
            <w:webHidden/>
          </w:rPr>
          <w:t>26</w:t>
        </w:r>
        <w:r w:rsidR="00940A4B">
          <w:rPr>
            <w:noProof/>
            <w:webHidden/>
          </w:rPr>
          <w:t>9</w:t>
        </w:r>
        <w:r w:rsidR="0014173B">
          <w:rPr>
            <w:noProof/>
            <w:webHidden/>
          </w:rPr>
          <w:fldChar w:fldCharType="end"/>
        </w:r>
      </w:hyperlink>
    </w:p>
    <w:p w14:paraId="6B039E0E" w14:textId="47234C84" w:rsidR="0014173B" w:rsidRDefault="00874C0C">
      <w:pPr>
        <w:pStyle w:val="Indicedellefigure"/>
        <w:tabs>
          <w:tab w:val="right" w:leader="dot" w:pos="8488"/>
        </w:tabs>
        <w:rPr>
          <w:rFonts w:asciiTheme="minorHAnsi" w:hAnsiTheme="minorHAnsi" w:cstheme="minorBidi"/>
          <w:noProof/>
          <w:szCs w:val="22"/>
          <w:lang w:eastAsia="en-GB"/>
        </w:rPr>
      </w:pPr>
      <w:hyperlink w:anchor="_Toc520212400" w:history="1">
        <w:r w:rsidR="0014173B" w:rsidRPr="00292D0C">
          <w:rPr>
            <w:rStyle w:val="Collegamentoipertestuale"/>
            <w:noProof/>
          </w:rPr>
          <w:t>Figure 5-7</w:t>
        </w:r>
        <w:r w:rsidR="003D31DD">
          <w:rPr>
            <w:rStyle w:val="Collegamentoipertestuale"/>
            <w:noProof/>
          </w:rPr>
          <w:t>.</w:t>
        </w:r>
        <w:r w:rsidR="0014173B" w:rsidRPr="00292D0C">
          <w:rPr>
            <w:rStyle w:val="Collegamentoipertestuale"/>
            <w:noProof/>
          </w:rPr>
          <w:t xml:space="preserve"> Motif FM 7, Bird (after Furumark 1972: Fig. 29.7)</w:t>
        </w:r>
        <w:r w:rsidR="0014173B">
          <w:rPr>
            <w:noProof/>
            <w:webHidden/>
          </w:rPr>
          <w:tab/>
        </w:r>
        <w:r w:rsidR="0014173B">
          <w:rPr>
            <w:noProof/>
            <w:webHidden/>
          </w:rPr>
          <w:fldChar w:fldCharType="begin"/>
        </w:r>
        <w:r w:rsidR="0014173B">
          <w:rPr>
            <w:noProof/>
            <w:webHidden/>
          </w:rPr>
          <w:instrText xml:space="preserve"> PAGEREF _Toc520212400 \h </w:instrText>
        </w:r>
        <w:r w:rsidR="0014173B">
          <w:rPr>
            <w:noProof/>
            <w:webHidden/>
          </w:rPr>
        </w:r>
        <w:r w:rsidR="0014173B">
          <w:rPr>
            <w:noProof/>
            <w:webHidden/>
          </w:rPr>
          <w:fldChar w:fldCharType="separate"/>
        </w:r>
        <w:r w:rsidR="00940F6A">
          <w:rPr>
            <w:noProof/>
            <w:webHidden/>
          </w:rPr>
          <w:t>2</w:t>
        </w:r>
        <w:r w:rsidR="00940A4B">
          <w:rPr>
            <w:noProof/>
            <w:webHidden/>
          </w:rPr>
          <w:t>70</w:t>
        </w:r>
        <w:r w:rsidR="0014173B">
          <w:rPr>
            <w:noProof/>
            <w:webHidden/>
          </w:rPr>
          <w:fldChar w:fldCharType="end"/>
        </w:r>
      </w:hyperlink>
    </w:p>
    <w:p w14:paraId="04D36A2A" w14:textId="303B2FDB" w:rsidR="0014173B" w:rsidRDefault="00874C0C">
      <w:pPr>
        <w:pStyle w:val="Indicedellefigure"/>
        <w:tabs>
          <w:tab w:val="right" w:leader="dot" w:pos="8488"/>
        </w:tabs>
        <w:rPr>
          <w:rFonts w:asciiTheme="minorHAnsi" w:hAnsiTheme="minorHAnsi" w:cstheme="minorBidi"/>
          <w:noProof/>
          <w:szCs w:val="22"/>
          <w:lang w:eastAsia="en-GB"/>
        </w:rPr>
      </w:pPr>
      <w:hyperlink w:anchor="_Toc520212401" w:history="1">
        <w:r w:rsidR="0014173B" w:rsidRPr="00292D0C">
          <w:rPr>
            <w:rStyle w:val="Collegamentoipertestuale"/>
            <w:noProof/>
          </w:rPr>
          <w:t>Figure 5-8</w:t>
        </w:r>
        <w:r w:rsidR="003D31DD">
          <w:rPr>
            <w:rStyle w:val="Collegamentoipertestuale"/>
            <w:noProof/>
          </w:rPr>
          <w:t>.</w:t>
        </w:r>
        <w:r w:rsidR="0014173B" w:rsidRPr="00292D0C">
          <w:rPr>
            <w:rStyle w:val="Collegamentoipertestuale"/>
            <w:noProof/>
          </w:rPr>
          <w:t xml:space="preserve"> Motif FM 8, Various animals (after Furumark 1972: Fig. 31.8)</w:t>
        </w:r>
        <w:r w:rsidR="0014173B">
          <w:rPr>
            <w:noProof/>
            <w:webHidden/>
          </w:rPr>
          <w:tab/>
        </w:r>
        <w:r w:rsidR="0014173B">
          <w:rPr>
            <w:noProof/>
            <w:webHidden/>
          </w:rPr>
          <w:fldChar w:fldCharType="begin"/>
        </w:r>
        <w:r w:rsidR="0014173B">
          <w:rPr>
            <w:noProof/>
            <w:webHidden/>
          </w:rPr>
          <w:instrText xml:space="preserve"> PAGEREF _Toc520212401 \h </w:instrText>
        </w:r>
        <w:r w:rsidR="0014173B">
          <w:rPr>
            <w:noProof/>
            <w:webHidden/>
          </w:rPr>
        </w:r>
        <w:r w:rsidR="0014173B">
          <w:rPr>
            <w:noProof/>
            <w:webHidden/>
          </w:rPr>
          <w:fldChar w:fldCharType="separate"/>
        </w:r>
        <w:r w:rsidR="00940F6A">
          <w:rPr>
            <w:noProof/>
            <w:webHidden/>
          </w:rPr>
          <w:t>2</w:t>
        </w:r>
        <w:r w:rsidR="00940A4B">
          <w:rPr>
            <w:noProof/>
            <w:webHidden/>
          </w:rPr>
          <w:t>70</w:t>
        </w:r>
        <w:r w:rsidR="0014173B">
          <w:rPr>
            <w:noProof/>
            <w:webHidden/>
          </w:rPr>
          <w:fldChar w:fldCharType="end"/>
        </w:r>
      </w:hyperlink>
    </w:p>
    <w:p w14:paraId="3D9C701A" w14:textId="69A7BE78" w:rsidR="0014173B" w:rsidRDefault="00874C0C">
      <w:pPr>
        <w:pStyle w:val="Indicedellefigure"/>
        <w:tabs>
          <w:tab w:val="right" w:leader="dot" w:pos="8488"/>
        </w:tabs>
        <w:rPr>
          <w:rFonts w:asciiTheme="minorHAnsi" w:hAnsiTheme="minorHAnsi" w:cstheme="minorBidi"/>
          <w:noProof/>
          <w:szCs w:val="22"/>
          <w:lang w:eastAsia="en-GB"/>
        </w:rPr>
      </w:pPr>
      <w:hyperlink w:anchor="_Toc520212402" w:history="1">
        <w:r w:rsidR="0014173B" w:rsidRPr="00292D0C">
          <w:rPr>
            <w:rStyle w:val="Collegamentoipertestuale"/>
            <w:noProof/>
          </w:rPr>
          <w:t>Figure 5-9</w:t>
        </w:r>
        <w:r w:rsidR="003D31DD">
          <w:rPr>
            <w:rStyle w:val="Collegamentoipertestuale"/>
            <w:noProof/>
          </w:rPr>
          <w:t>.</w:t>
        </w:r>
        <w:r w:rsidR="0014173B" w:rsidRPr="00292D0C">
          <w:rPr>
            <w:rStyle w:val="Collegamentoipertestuale"/>
            <w:noProof/>
          </w:rPr>
          <w:t xml:space="preserve"> Motif FM 9, Lily (after Furumark 1972: Fig. 32.9)</w:t>
        </w:r>
        <w:r w:rsidR="0014173B">
          <w:rPr>
            <w:noProof/>
            <w:webHidden/>
          </w:rPr>
          <w:tab/>
        </w:r>
        <w:r w:rsidR="0014173B">
          <w:rPr>
            <w:noProof/>
            <w:webHidden/>
          </w:rPr>
          <w:fldChar w:fldCharType="begin"/>
        </w:r>
        <w:r w:rsidR="0014173B">
          <w:rPr>
            <w:noProof/>
            <w:webHidden/>
          </w:rPr>
          <w:instrText xml:space="preserve"> PAGEREF _Toc520212402 \h </w:instrText>
        </w:r>
        <w:r w:rsidR="0014173B">
          <w:rPr>
            <w:noProof/>
            <w:webHidden/>
          </w:rPr>
        </w:r>
        <w:r w:rsidR="0014173B">
          <w:rPr>
            <w:noProof/>
            <w:webHidden/>
          </w:rPr>
          <w:fldChar w:fldCharType="separate"/>
        </w:r>
        <w:r w:rsidR="00940F6A">
          <w:rPr>
            <w:noProof/>
            <w:webHidden/>
          </w:rPr>
          <w:t>2</w:t>
        </w:r>
        <w:r w:rsidR="00940A4B">
          <w:rPr>
            <w:noProof/>
            <w:webHidden/>
          </w:rPr>
          <w:t>70</w:t>
        </w:r>
        <w:r w:rsidR="0014173B">
          <w:rPr>
            <w:noProof/>
            <w:webHidden/>
          </w:rPr>
          <w:fldChar w:fldCharType="end"/>
        </w:r>
      </w:hyperlink>
    </w:p>
    <w:p w14:paraId="35855AAE" w14:textId="63430098" w:rsidR="0014173B" w:rsidRDefault="00874C0C">
      <w:pPr>
        <w:pStyle w:val="Indicedellefigure"/>
        <w:tabs>
          <w:tab w:val="right" w:leader="dot" w:pos="8488"/>
        </w:tabs>
        <w:rPr>
          <w:rFonts w:asciiTheme="minorHAnsi" w:hAnsiTheme="minorHAnsi" w:cstheme="minorBidi"/>
          <w:noProof/>
          <w:szCs w:val="22"/>
          <w:lang w:eastAsia="en-GB"/>
        </w:rPr>
      </w:pPr>
      <w:hyperlink w:anchor="_Toc520212403" w:history="1">
        <w:r w:rsidR="0014173B" w:rsidRPr="00292D0C">
          <w:rPr>
            <w:rStyle w:val="Collegamentoipertestuale"/>
            <w:noProof/>
          </w:rPr>
          <w:t>Figure 5-10</w:t>
        </w:r>
        <w:r w:rsidR="003D31DD">
          <w:rPr>
            <w:rStyle w:val="Collegamentoipertestuale"/>
            <w:noProof/>
          </w:rPr>
          <w:t>.</w:t>
        </w:r>
        <w:r w:rsidR="0014173B" w:rsidRPr="00292D0C">
          <w:rPr>
            <w:rStyle w:val="Collegamentoipertestuale"/>
            <w:noProof/>
          </w:rPr>
          <w:t xml:space="preserve"> Motif FM 11, Papyrus (after Furumark 1972: Fig. 34.11)</w:t>
        </w:r>
        <w:r w:rsidR="0014173B">
          <w:rPr>
            <w:noProof/>
            <w:webHidden/>
          </w:rPr>
          <w:tab/>
        </w:r>
        <w:r w:rsidR="0014173B">
          <w:rPr>
            <w:noProof/>
            <w:webHidden/>
          </w:rPr>
          <w:fldChar w:fldCharType="begin"/>
        </w:r>
        <w:r w:rsidR="0014173B">
          <w:rPr>
            <w:noProof/>
            <w:webHidden/>
          </w:rPr>
          <w:instrText xml:space="preserve"> PAGEREF _Toc520212403 \h </w:instrText>
        </w:r>
        <w:r w:rsidR="0014173B">
          <w:rPr>
            <w:noProof/>
            <w:webHidden/>
          </w:rPr>
        </w:r>
        <w:r w:rsidR="0014173B">
          <w:rPr>
            <w:noProof/>
            <w:webHidden/>
          </w:rPr>
          <w:fldChar w:fldCharType="separate"/>
        </w:r>
        <w:r w:rsidR="00940F6A">
          <w:rPr>
            <w:noProof/>
            <w:webHidden/>
          </w:rPr>
          <w:t>2</w:t>
        </w:r>
        <w:r w:rsidR="00940A4B">
          <w:rPr>
            <w:noProof/>
            <w:webHidden/>
          </w:rPr>
          <w:t>70</w:t>
        </w:r>
        <w:r w:rsidR="0014173B">
          <w:rPr>
            <w:noProof/>
            <w:webHidden/>
          </w:rPr>
          <w:fldChar w:fldCharType="end"/>
        </w:r>
      </w:hyperlink>
    </w:p>
    <w:p w14:paraId="57F498C1" w14:textId="1C7AC2DA" w:rsidR="0014173B" w:rsidRDefault="00874C0C">
      <w:pPr>
        <w:pStyle w:val="Indicedellefigure"/>
        <w:tabs>
          <w:tab w:val="right" w:leader="dot" w:pos="8488"/>
        </w:tabs>
        <w:rPr>
          <w:rFonts w:asciiTheme="minorHAnsi" w:hAnsiTheme="minorHAnsi" w:cstheme="minorBidi"/>
          <w:noProof/>
          <w:szCs w:val="22"/>
          <w:lang w:eastAsia="en-GB"/>
        </w:rPr>
      </w:pPr>
      <w:hyperlink w:anchor="_Toc520212404" w:history="1">
        <w:r w:rsidR="0014173B" w:rsidRPr="00292D0C">
          <w:rPr>
            <w:rStyle w:val="Collegamentoipertestuale"/>
            <w:noProof/>
          </w:rPr>
          <w:t>Figure 5-11</w:t>
        </w:r>
        <w:r w:rsidR="003D31DD">
          <w:rPr>
            <w:rStyle w:val="Collegamentoipertestuale"/>
            <w:noProof/>
          </w:rPr>
          <w:t>.</w:t>
        </w:r>
        <w:r w:rsidR="0014173B" w:rsidRPr="00292D0C">
          <w:rPr>
            <w:rStyle w:val="Collegamentoipertestuale"/>
            <w:noProof/>
          </w:rPr>
          <w:t xml:space="preserve"> Motif FM 12, Sacral ivy (after Furumark 1972: Fig. 35.12)</w:t>
        </w:r>
        <w:r w:rsidR="0014173B">
          <w:rPr>
            <w:noProof/>
            <w:webHidden/>
          </w:rPr>
          <w:tab/>
        </w:r>
        <w:r w:rsidR="0014173B">
          <w:rPr>
            <w:noProof/>
            <w:webHidden/>
          </w:rPr>
          <w:fldChar w:fldCharType="begin"/>
        </w:r>
        <w:r w:rsidR="0014173B">
          <w:rPr>
            <w:noProof/>
            <w:webHidden/>
          </w:rPr>
          <w:instrText xml:space="preserve"> PAGEREF _Toc520212404 \h </w:instrText>
        </w:r>
        <w:r w:rsidR="0014173B">
          <w:rPr>
            <w:noProof/>
            <w:webHidden/>
          </w:rPr>
        </w:r>
        <w:r w:rsidR="0014173B">
          <w:rPr>
            <w:noProof/>
            <w:webHidden/>
          </w:rPr>
          <w:fldChar w:fldCharType="separate"/>
        </w:r>
        <w:r w:rsidR="00940F6A">
          <w:rPr>
            <w:noProof/>
            <w:webHidden/>
          </w:rPr>
          <w:t>2</w:t>
        </w:r>
        <w:r w:rsidR="00940A4B">
          <w:rPr>
            <w:noProof/>
            <w:webHidden/>
          </w:rPr>
          <w:t>70</w:t>
        </w:r>
        <w:r w:rsidR="0014173B">
          <w:rPr>
            <w:noProof/>
            <w:webHidden/>
          </w:rPr>
          <w:fldChar w:fldCharType="end"/>
        </w:r>
      </w:hyperlink>
    </w:p>
    <w:p w14:paraId="5D951242" w14:textId="2C91F3CC" w:rsidR="0014173B" w:rsidRDefault="00874C0C">
      <w:pPr>
        <w:pStyle w:val="Indicedellefigure"/>
        <w:tabs>
          <w:tab w:val="right" w:leader="dot" w:pos="8488"/>
        </w:tabs>
        <w:rPr>
          <w:rFonts w:asciiTheme="minorHAnsi" w:hAnsiTheme="minorHAnsi" w:cstheme="minorBidi"/>
          <w:noProof/>
          <w:szCs w:val="22"/>
          <w:lang w:eastAsia="en-GB"/>
        </w:rPr>
      </w:pPr>
      <w:hyperlink w:anchor="_Toc520212405" w:history="1">
        <w:r w:rsidR="0014173B" w:rsidRPr="00292D0C">
          <w:rPr>
            <w:rStyle w:val="Collegamentoipertestuale"/>
            <w:noProof/>
          </w:rPr>
          <w:t>Figure 5-12</w:t>
        </w:r>
        <w:r w:rsidR="003D31DD">
          <w:rPr>
            <w:rStyle w:val="Collegamentoipertestuale"/>
            <w:noProof/>
          </w:rPr>
          <w:t>.</w:t>
        </w:r>
        <w:r w:rsidR="0014173B" w:rsidRPr="00292D0C">
          <w:rPr>
            <w:rStyle w:val="Collegamentoipertestuale"/>
            <w:noProof/>
          </w:rPr>
          <w:t xml:space="preserve"> Motif FM 13, Ogival canopy (after Furumark 1972: Fig. 37.13)</w:t>
        </w:r>
        <w:r w:rsidR="0014173B">
          <w:rPr>
            <w:noProof/>
            <w:webHidden/>
          </w:rPr>
          <w:tab/>
        </w:r>
        <w:r w:rsidR="0014173B">
          <w:rPr>
            <w:noProof/>
            <w:webHidden/>
          </w:rPr>
          <w:fldChar w:fldCharType="begin"/>
        </w:r>
        <w:r w:rsidR="0014173B">
          <w:rPr>
            <w:noProof/>
            <w:webHidden/>
          </w:rPr>
          <w:instrText xml:space="preserve"> PAGEREF _Toc520212405 \h </w:instrText>
        </w:r>
        <w:r w:rsidR="0014173B">
          <w:rPr>
            <w:noProof/>
            <w:webHidden/>
          </w:rPr>
        </w:r>
        <w:r w:rsidR="0014173B">
          <w:rPr>
            <w:noProof/>
            <w:webHidden/>
          </w:rPr>
          <w:fldChar w:fldCharType="separate"/>
        </w:r>
        <w:r w:rsidR="00940F6A">
          <w:rPr>
            <w:noProof/>
            <w:webHidden/>
          </w:rPr>
          <w:t>2</w:t>
        </w:r>
        <w:r w:rsidR="0014173B">
          <w:rPr>
            <w:noProof/>
            <w:webHidden/>
          </w:rPr>
          <w:fldChar w:fldCharType="end"/>
        </w:r>
      </w:hyperlink>
      <w:r w:rsidR="00940A4B">
        <w:rPr>
          <w:noProof/>
        </w:rPr>
        <w:t>71</w:t>
      </w:r>
    </w:p>
    <w:p w14:paraId="3AEA4844" w14:textId="7642A156" w:rsidR="0014173B" w:rsidRDefault="00874C0C">
      <w:pPr>
        <w:pStyle w:val="Indicedellefigure"/>
        <w:tabs>
          <w:tab w:val="right" w:leader="dot" w:pos="8488"/>
        </w:tabs>
        <w:rPr>
          <w:rFonts w:asciiTheme="minorHAnsi" w:hAnsiTheme="minorHAnsi" w:cstheme="minorBidi"/>
          <w:noProof/>
          <w:szCs w:val="22"/>
          <w:lang w:eastAsia="en-GB"/>
        </w:rPr>
      </w:pPr>
      <w:hyperlink w:anchor="_Toc520212406" w:history="1">
        <w:r w:rsidR="0014173B" w:rsidRPr="00292D0C">
          <w:rPr>
            <w:rStyle w:val="Collegamentoipertestuale"/>
            <w:noProof/>
          </w:rPr>
          <w:t>Figure 5-13</w:t>
        </w:r>
        <w:r w:rsidR="003D31DD">
          <w:rPr>
            <w:rStyle w:val="Collegamentoipertestuale"/>
            <w:noProof/>
          </w:rPr>
          <w:t>.</w:t>
        </w:r>
        <w:r w:rsidR="0014173B" w:rsidRPr="00292D0C">
          <w:rPr>
            <w:rStyle w:val="Collegamentoipertestuale"/>
            <w:noProof/>
          </w:rPr>
          <w:t xml:space="preserve"> Motif FM 14, Palm I (after Furumark 1972: Fig. 38.14)</w:t>
        </w:r>
        <w:r w:rsidR="0014173B">
          <w:rPr>
            <w:noProof/>
            <w:webHidden/>
          </w:rPr>
          <w:tab/>
        </w:r>
        <w:r w:rsidR="0014173B">
          <w:rPr>
            <w:noProof/>
            <w:webHidden/>
          </w:rPr>
          <w:fldChar w:fldCharType="begin"/>
        </w:r>
        <w:r w:rsidR="0014173B">
          <w:rPr>
            <w:noProof/>
            <w:webHidden/>
          </w:rPr>
          <w:instrText xml:space="preserve"> PAGEREF _Toc520212406 \h </w:instrText>
        </w:r>
        <w:r w:rsidR="0014173B">
          <w:rPr>
            <w:noProof/>
            <w:webHidden/>
          </w:rPr>
        </w:r>
        <w:r w:rsidR="0014173B">
          <w:rPr>
            <w:noProof/>
            <w:webHidden/>
          </w:rPr>
          <w:fldChar w:fldCharType="separate"/>
        </w:r>
        <w:r w:rsidR="00940F6A">
          <w:rPr>
            <w:noProof/>
            <w:webHidden/>
          </w:rPr>
          <w:t>27</w:t>
        </w:r>
        <w:r w:rsidR="00940A4B">
          <w:rPr>
            <w:noProof/>
            <w:webHidden/>
          </w:rPr>
          <w:t>1</w:t>
        </w:r>
        <w:r w:rsidR="0014173B">
          <w:rPr>
            <w:noProof/>
            <w:webHidden/>
          </w:rPr>
          <w:fldChar w:fldCharType="end"/>
        </w:r>
      </w:hyperlink>
    </w:p>
    <w:p w14:paraId="48E32DD2" w14:textId="75346456" w:rsidR="0014173B" w:rsidRDefault="00874C0C">
      <w:pPr>
        <w:pStyle w:val="Indicedellefigure"/>
        <w:tabs>
          <w:tab w:val="right" w:leader="dot" w:pos="8488"/>
        </w:tabs>
        <w:rPr>
          <w:rFonts w:asciiTheme="minorHAnsi" w:hAnsiTheme="minorHAnsi" w:cstheme="minorBidi"/>
          <w:noProof/>
          <w:szCs w:val="22"/>
          <w:lang w:eastAsia="en-GB"/>
        </w:rPr>
      </w:pPr>
      <w:hyperlink w:anchor="_Toc520212407" w:history="1">
        <w:r w:rsidR="0014173B" w:rsidRPr="00292D0C">
          <w:rPr>
            <w:rStyle w:val="Collegamentoipertestuale"/>
            <w:noProof/>
          </w:rPr>
          <w:t>Figure 5-14</w:t>
        </w:r>
        <w:r w:rsidR="003D31DD">
          <w:rPr>
            <w:rStyle w:val="Collegamentoipertestuale"/>
            <w:noProof/>
          </w:rPr>
          <w:t>.</w:t>
        </w:r>
        <w:r w:rsidR="0014173B" w:rsidRPr="00292D0C">
          <w:rPr>
            <w:rStyle w:val="Collegamentoipertestuale"/>
            <w:noProof/>
          </w:rPr>
          <w:t xml:space="preserve"> Motif FM 15, Palm II (after Furumark 1972: Fig. 39.15)</w:t>
        </w:r>
        <w:r w:rsidR="0014173B">
          <w:rPr>
            <w:noProof/>
            <w:webHidden/>
          </w:rPr>
          <w:tab/>
        </w:r>
        <w:r w:rsidR="0014173B">
          <w:rPr>
            <w:noProof/>
            <w:webHidden/>
          </w:rPr>
          <w:fldChar w:fldCharType="begin"/>
        </w:r>
        <w:r w:rsidR="0014173B">
          <w:rPr>
            <w:noProof/>
            <w:webHidden/>
          </w:rPr>
          <w:instrText xml:space="preserve"> PAGEREF _Toc520212407 \h </w:instrText>
        </w:r>
        <w:r w:rsidR="0014173B">
          <w:rPr>
            <w:noProof/>
            <w:webHidden/>
          </w:rPr>
        </w:r>
        <w:r w:rsidR="0014173B">
          <w:rPr>
            <w:noProof/>
            <w:webHidden/>
          </w:rPr>
          <w:fldChar w:fldCharType="separate"/>
        </w:r>
        <w:r w:rsidR="00940F6A">
          <w:rPr>
            <w:noProof/>
            <w:webHidden/>
          </w:rPr>
          <w:t>27</w:t>
        </w:r>
        <w:r w:rsidR="00940A4B">
          <w:rPr>
            <w:noProof/>
            <w:webHidden/>
          </w:rPr>
          <w:t>1</w:t>
        </w:r>
        <w:r w:rsidR="0014173B">
          <w:rPr>
            <w:noProof/>
            <w:webHidden/>
          </w:rPr>
          <w:fldChar w:fldCharType="end"/>
        </w:r>
      </w:hyperlink>
    </w:p>
    <w:p w14:paraId="4E61B851" w14:textId="75FA406F" w:rsidR="0014173B" w:rsidRDefault="00874C0C">
      <w:pPr>
        <w:pStyle w:val="Indicedellefigure"/>
        <w:tabs>
          <w:tab w:val="right" w:leader="dot" w:pos="8488"/>
        </w:tabs>
        <w:rPr>
          <w:rFonts w:asciiTheme="minorHAnsi" w:hAnsiTheme="minorHAnsi" w:cstheme="minorBidi"/>
          <w:noProof/>
          <w:szCs w:val="22"/>
          <w:lang w:eastAsia="en-GB"/>
        </w:rPr>
      </w:pPr>
      <w:hyperlink w:anchor="_Toc520212408" w:history="1">
        <w:r w:rsidR="0014173B" w:rsidRPr="00292D0C">
          <w:rPr>
            <w:rStyle w:val="Collegamentoipertestuale"/>
            <w:noProof/>
          </w:rPr>
          <w:t>Figure 5-15</w:t>
        </w:r>
        <w:r w:rsidR="003D31DD">
          <w:rPr>
            <w:rStyle w:val="Collegamentoipertestuale"/>
            <w:noProof/>
          </w:rPr>
          <w:t>.</w:t>
        </w:r>
        <w:r w:rsidR="0014173B" w:rsidRPr="00292D0C">
          <w:rPr>
            <w:rStyle w:val="Collegamentoipertestuale"/>
            <w:noProof/>
          </w:rPr>
          <w:t xml:space="preserve"> Motif FM 16, Grass or reed (after Furumark 1972: Fig. 40.16)</w:t>
        </w:r>
        <w:r w:rsidR="0014173B">
          <w:rPr>
            <w:noProof/>
            <w:webHidden/>
          </w:rPr>
          <w:tab/>
        </w:r>
        <w:r w:rsidR="0014173B">
          <w:rPr>
            <w:noProof/>
            <w:webHidden/>
          </w:rPr>
          <w:fldChar w:fldCharType="begin"/>
        </w:r>
        <w:r w:rsidR="0014173B">
          <w:rPr>
            <w:noProof/>
            <w:webHidden/>
          </w:rPr>
          <w:instrText xml:space="preserve"> PAGEREF _Toc520212408 \h </w:instrText>
        </w:r>
        <w:r w:rsidR="0014173B">
          <w:rPr>
            <w:noProof/>
            <w:webHidden/>
          </w:rPr>
        </w:r>
        <w:r w:rsidR="0014173B">
          <w:rPr>
            <w:noProof/>
            <w:webHidden/>
          </w:rPr>
          <w:fldChar w:fldCharType="separate"/>
        </w:r>
        <w:r w:rsidR="00940F6A">
          <w:rPr>
            <w:noProof/>
            <w:webHidden/>
          </w:rPr>
          <w:t>27</w:t>
        </w:r>
        <w:r w:rsidR="00940A4B">
          <w:rPr>
            <w:noProof/>
            <w:webHidden/>
          </w:rPr>
          <w:t>1</w:t>
        </w:r>
        <w:r w:rsidR="0014173B">
          <w:rPr>
            <w:noProof/>
            <w:webHidden/>
          </w:rPr>
          <w:fldChar w:fldCharType="end"/>
        </w:r>
      </w:hyperlink>
    </w:p>
    <w:p w14:paraId="15E8CBE7" w14:textId="1C86D2A5" w:rsidR="0014173B" w:rsidRDefault="00874C0C">
      <w:pPr>
        <w:pStyle w:val="Indicedellefigure"/>
        <w:tabs>
          <w:tab w:val="right" w:leader="dot" w:pos="8488"/>
        </w:tabs>
        <w:rPr>
          <w:rFonts w:asciiTheme="minorHAnsi" w:hAnsiTheme="minorHAnsi" w:cstheme="minorBidi"/>
          <w:noProof/>
          <w:szCs w:val="22"/>
          <w:lang w:eastAsia="en-GB"/>
        </w:rPr>
      </w:pPr>
      <w:hyperlink w:anchor="_Toc520212409" w:history="1">
        <w:r w:rsidR="0014173B" w:rsidRPr="00292D0C">
          <w:rPr>
            <w:rStyle w:val="Collegamentoipertestuale"/>
            <w:noProof/>
          </w:rPr>
          <w:t>Figure 5-16</w:t>
        </w:r>
        <w:r w:rsidR="003D31DD">
          <w:rPr>
            <w:rStyle w:val="Collegamentoipertestuale"/>
            <w:noProof/>
          </w:rPr>
          <w:t>.</w:t>
        </w:r>
        <w:r w:rsidR="0014173B" w:rsidRPr="00292D0C">
          <w:rPr>
            <w:rStyle w:val="Collegamentoipertestuale"/>
            <w:noProof/>
          </w:rPr>
          <w:t xml:space="preserve"> Motif FM 17, Rosette (after Furumark 1972: Fig. 40.17)</w:t>
        </w:r>
        <w:r w:rsidR="0014173B">
          <w:rPr>
            <w:noProof/>
            <w:webHidden/>
          </w:rPr>
          <w:tab/>
        </w:r>
        <w:r w:rsidR="0014173B">
          <w:rPr>
            <w:noProof/>
            <w:webHidden/>
          </w:rPr>
          <w:fldChar w:fldCharType="begin"/>
        </w:r>
        <w:r w:rsidR="0014173B">
          <w:rPr>
            <w:noProof/>
            <w:webHidden/>
          </w:rPr>
          <w:instrText xml:space="preserve"> PAGEREF _Toc520212409 \h </w:instrText>
        </w:r>
        <w:r w:rsidR="0014173B">
          <w:rPr>
            <w:noProof/>
            <w:webHidden/>
          </w:rPr>
        </w:r>
        <w:r w:rsidR="0014173B">
          <w:rPr>
            <w:noProof/>
            <w:webHidden/>
          </w:rPr>
          <w:fldChar w:fldCharType="separate"/>
        </w:r>
        <w:r w:rsidR="00940F6A">
          <w:rPr>
            <w:noProof/>
            <w:webHidden/>
          </w:rPr>
          <w:t>27</w:t>
        </w:r>
        <w:r w:rsidR="00940A4B">
          <w:rPr>
            <w:noProof/>
            <w:webHidden/>
          </w:rPr>
          <w:t>1</w:t>
        </w:r>
        <w:r w:rsidR="0014173B">
          <w:rPr>
            <w:noProof/>
            <w:webHidden/>
          </w:rPr>
          <w:fldChar w:fldCharType="end"/>
        </w:r>
      </w:hyperlink>
    </w:p>
    <w:p w14:paraId="1EE3138B" w14:textId="7B4BC234" w:rsidR="0014173B" w:rsidRDefault="00874C0C">
      <w:pPr>
        <w:pStyle w:val="Indicedellefigure"/>
        <w:tabs>
          <w:tab w:val="right" w:leader="dot" w:pos="8488"/>
        </w:tabs>
        <w:rPr>
          <w:rFonts w:asciiTheme="minorHAnsi" w:hAnsiTheme="minorHAnsi" w:cstheme="minorBidi"/>
          <w:noProof/>
          <w:szCs w:val="22"/>
          <w:lang w:eastAsia="en-GB"/>
        </w:rPr>
      </w:pPr>
      <w:hyperlink w:anchor="_Toc520212410" w:history="1">
        <w:r w:rsidR="0014173B" w:rsidRPr="00292D0C">
          <w:rPr>
            <w:rStyle w:val="Collegamentoipertestuale"/>
            <w:noProof/>
          </w:rPr>
          <w:t>Figure 5-17</w:t>
        </w:r>
        <w:r w:rsidR="003D31DD">
          <w:rPr>
            <w:rStyle w:val="Collegamentoipertestuale"/>
            <w:noProof/>
          </w:rPr>
          <w:t>.</w:t>
        </w:r>
        <w:r w:rsidR="0014173B" w:rsidRPr="00292D0C">
          <w:rPr>
            <w:rStyle w:val="Collegamentoipertestuale"/>
            <w:noProof/>
          </w:rPr>
          <w:t xml:space="preserve"> Motif FM 18, Myc. flower (after Furumark 1972: Fig. 42.18)</w:t>
        </w:r>
        <w:r w:rsidR="0014173B">
          <w:rPr>
            <w:noProof/>
            <w:webHidden/>
          </w:rPr>
          <w:tab/>
        </w:r>
        <w:r w:rsidR="0014173B">
          <w:rPr>
            <w:noProof/>
            <w:webHidden/>
          </w:rPr>
          <w:fldChar w:fldCharType="begin"/>
        </w:r>
        <w:r w:rsidR="0014173B">
          <w:rPr>
            <w:noProof/>
            <w:webHidden/>
          </w:rPr>
          <w:instrText xml:space="preserve"> PAGEREF _Toc520212410 \h </w:instrText>
        </w:r>
        <w:r w:rsidR="0014173B">
          <w:rPr>
            <w:noProof/>
            <w:webHidden/>
          </w:rPr>
        </w:r>
        <w:r w:rsidR="0014173B">
          <w:rPr>
            <w:noProof/>
            <w:webHidden/>
          </w:rPr>
          <w:fldChar w:fldCharType="separate"/>
        </w:r>
        <w:r w:rsidR="00940F6A">
          <w:rPr>
            <w:noProof/>
            <w:webHidden/>
          </w:rPr>
          <w:t>27</w:t>
        </w:r>
        <w:r w:rsidR="0014173B">
          <w:rPr>
            <w:noProof/>
            <w:webHidden/>
          </w:rPr>
          <w:fldChar w:fldCharType="end"/>
        </w:r>
      </w:hyperlink>
      <w:r w:rsidR="009E6A2C">
        <w:rPr>
          <w:noProof/>
        </w:rPr>
        <w:t>2</w:t>
      </w:r>
    </w:p>
    <w:p w14:paraId="08717EEF" w14:textId="246642EC" w:rsidR="0014173B" w:rsidRDefault="00874C0C">
      <w:pPr>
        <w:pStyle w:val="Indicedellefigure"/>
        <w:tabs>
          <w:tab w:val="right" w:leader="dot" w:pos="8488"/>
        </w:tabs>
        <w:rPr>
          <w:rFonts w:asciiTheme="minorHAnsi" w:hAnsiTheme="minorHAnsi" w:cstheme="minorBidi"/>
          <w:noProof/>
          <w:szCs w:val="22"/>
          <w:lang w:eastAsia="en-GB"/>
        </w:rPr>
      </w:pPr>
      <w:hyperlink w:anchor="_Toc520212411" w:history="1">
        <w:r w:rsidR="0014173B" w:rsidRPr="00292D0C">
          <w:rPr>
            <w:rStyle w:val="Collegamentoipertestuale"/>
            <w:noProof/>
          </w:rPr>
          <w:t>Figure 5-18</w:t>
        </w:r>
        <w:r w:rsidR="003D31DD">
          <w:rPr>
            <w:rStyle w:val="Collegamentoipertestuale"/>
            <w:noProof/>
          </w:rPr>
          <w:t>.</w:t>
        </w:r>
        <w:r w:rsidR="0014173B" w:rsidRPr="00292D0C">
          <w:rPr>
            <w:rStyle w:val="Collegamentoipertestuale"/>
            <w:noProof/>
          </w:rPr>
          <w:t xml:space="preserve"> Motif FM 19, Multiple stem and tongue pattern (after Furumark 1972: Fig. 47.19)</w:t>
        </w:r>
        <w:r w:rsidR="0014173B">
          <w:rPr>
            <w:noProof/>
            <w:webHidden/>
          </w:rPr>
          <w:tab/>
        </w:r>
        <w:r w:rsidR="0014173B">
          <w:rPr>
            <w:noProof/>
            <w:webHidden/>
          </w:rPr>
          <w:fldChar w:fldCharType="begin"/>
        </w:r>
        <w:r w:rsidR="0014173B">
          <w:rPr>
            <w:noProof/>
            <w:webHidden/>
          </w:rPr>
          <w:instrText xml:space="preserve"> PAGEREF _Toc520212411 \h </w:instrText>
        </w:r>
        <w:r w:rsidR="0014173B">
          <w:rPr>
            <w:noProof/>
            <w:webHidden/>
          </w:rPr>
        </w:r>
        <w:r w:rsidR="0014173B">
          <w:rPr>
            <w:noProof/>
            <w:webHidden/>
          </w:rPr>
          <w:fldChar w:fldCharType="separate"/>
        </w:r>
        <w:r w:rsidR="00940F6A">
          <w:rPr>
            <w:noProof/>
            <w:webHidden/>
          </w:rPr>
          <w:t>27</w:t>
        </w:r>
        <w:r w:rsidR="009E6A2C">
          <w:rPr>
            <w:noProof/>
            <w:webHidden/>
          </w:rPr>
          <w:t>2</w:t>
        </w:r>
        <w:r w:rsidR="0014173B">
          <w:rPr>
            <w:noProof/>
            <w:webHidden/>
          </w:rPr>
          <w:fldChar w:fldCharType="end"/>
        </w:r>
      </w:hyperlink>
    </w:p>
    <w:p w14:paraId="051F5C96" w14:textId="02221F4C" w:rsidR="0014173B" w:rsidRDefault="00874C0C">
      <w:pPr>
        <w:pStyle w:val="Indicedellefigure"/>
        <w:tabs>
          <w:tab w:val="right" w:leader="dot" w:pos="8488"/>
        </w:tabs>
        <w:rPr>
          <w:rFonts w:asciiTheme="minorHAnsi" w:hAnsiTheme="minorHAnsi" w:cstheme="minorBidi"/>
          <w:noProof/>
          <w:szCs w:val="22"/>
          <w:lang w:eastAsia="en-GB"/>
        </w:rPr>
      </w:pPr>
      <w:hyperlink w:anchor="_Toc520212412" w:history="1">
        <w:r w:rsidR="0014173B" w:rsidRPr="00292D0C">
          <w:rPr>
            <w:rStyle w:val="Collegamentoipertestuale"/>
            <w:noProof/>
          </w:rPr>
          <w:t>Figure 5-19</w:t>
        </w:r>
        <w:r w:rsidR="003D31DD">
          <w:rPr>
            <w:rStyle w:val="Collegamentoipertestuale"/>
            <w:noProof/>
          </w:rPr>
          <w:t>.</w:t>
        </w:r>
        <w:r w:rsidR="0014173B" w:rsidRPr="00292D0C">
          <w:rPr>
            <w:rStyle w:val="Collegamentoipertestuale"/>
            <w:noProof/>
          </w:rPr>
          <w:t xml:space="preserve"> Motif FM 20, Fish (after Furumark 1972: Fig. 48.20)</w:t>
        </w:r>
        <w:r w:rsidR="0014173B">
          <w:rPr>
            <w:noProof/>
            <w:webHidden/>
          </w:rPr>
          <w:tab/>
        </w:r>
        <w:r w:rsidR="0014173B">
          <w:rPr>
            <w:noProof/>
            <w:webHidden/>
          </w:rPr>
          <w:fldChar w:fldCharType="begin"/>
        </w:r>
        <w:r w:rsidR="0014173B">
          <w:rPr>
            <w:noProof/>
            <w:webHidden/>
          </w:rPr>
          <w:instrText xml:space="preserve"> PAGEREF _Toc520212412 \h </w:instrText>
        </w:r>
        <w:r w:rsidR="0014173B">
          <w:rPr>
            <w:noProof/>
            <w:webHidden/>
          </w:rPr>
        </w:r>
        <w:r w:rsidR="0014173B">
          <w:rPr>
            <w:noProof/>
            <w:webHidden/>
          </w:rPr>
          <w:fldChar w:fldCharType="separate"/>
        </w:r>
        <w:r w:rsidR="00940F6A">
          <w:rPr>
            <w:noProof/>
            <w:webHidden/>
          </w:rPr>
          <w:t>27</w:t>
        </w:r>
        <w:r w:rsidR="009E6A2C">
          <w:rPr>
            <w:noProof/>
            <w:webHidden/>
          </w:rPr>
          <w:t>2</w:t>
        </w:r>
        <w:r w:rsidR="0014173B">
          <w:rPr>
            <w:noProof/>
            <w:webHidden/>
          </w:rPr>
          <w:fldChar w:fldCharType="end"/>
        </w:r>
      </w:hyperlink>
    </w:p>
    <w:p w14:paraId="1F2F9E17" w14:textId="721745A1" w:rsidR="0014173B" w:rsidRDefault="00874C0C">
      <w:pPr>
        <w:pStyle w:val="Indicedellefigure"/>
        <w:tabs>
          <w:tab w:val="right" w:leader="dot" w:pos="8488"/>
        </w:tabs>
        <w:rPr>
          <w:rFonts w:asciiTheme="minorHAnsi" w:hAnsiTheme="minorHAnsi" w:cstheme="minorBidi"/>
          <w:noProof/>
          <w:szCs w:val="22"/>
          <w:lang w:eastAsia="en-GB"/>
        </w:rPr>
      </w:pPr>
      <w:hyperlink w:anchor="_Toc520212413" w:history="1">
        <w:r w:rsidR="0014173B" w:rsidRPr="00292D0C">
          <w:rPr>
            <w:rStyle w:val="Collegamentoipertestuale"/>
            <w:noProof/>
          </w:rPr>
          <w:t>Figure 5-20</w:t>
        </w:r>
        <w:r w:rsidR="003D31DD">
          <w:rPr>
            <w:rStyle w:val="Collegamentoipertestuale"/>
            <w:noProof/>
          </w:rPr>
          <w:t>.</w:t>
        </w:r>
        <w:r w:rsidR="0014173B" w:rsidRPr="00292D0C">
          <w:rPr>
            <w:rStyle w:val="Collegamentoipertestuale"/>
            <w:noProof/>
          </w:rPr>
          <w:t xml:space="preserve"> Motif FM 21, Cuttlefish (after Furumark 1972: Fig. 49.21)</w:t>
        </w:r>
        <w:r w:rsidR="0014173B">
          <w:rPr>
            <w:noProof/>
            <w:webHidden/>
          </w:rPr>
          <w:tab/>
        </w:r>
        <w:r w:rsidR="0014173B">
          <w:rPr>
            <w:noProof/>
            <w:webHidden/>
          </w:rPr>
          <w:fldChar w:fldCharType="begin"/>
        </w:r>
        <w:r w:rsidR="0014173B">
          <w:rPr>
            <w:noProof/>
            <w:webHidden/>
          </w:rPr>
          <w:instrText xml:space="preserve"> PAGEREF _Toc520212413 \h </w:instrText>
        </w:r>
        <w:r w:rsidR="0014173B">
          <w:rPr>
            <w:noProof/>
            <w:webHidden/>
          </w:rPr>
        </w:r>
        <w:r w:rsidR="0014173B">
          <w:rPr>
            <w:noProof/>
            <w:webHidden/>
          </w:rPr>
          <w:fldChar w:fldCharType="separate"/>
        </w:r>
        <w:r w:rsidR="00940F6A">
          <w:rPr>
            <w:noProof/>
            <w:webHidden/>
          </w:rPr>
          <w:t>27</w:t>
        </w:r>
        <w:r w:rsidR="009E6A2C">
          <w:rPr>
            <w:noProof/>
            <w:webHidden/>
          </w:rPr>
          <w:t>2</w:t>
        </w:r>
        <w:r w:rsidR="0014173B">
          <w:rPr>
            <w:noProof/>
            <w:webHidden/>
          </w:rPr>
          <w:fldChar w:fldCharType="end"/>
        </w:r>
      </w:hyperlink>
    </w:p>
    <w:p w14:paraId="00D0A9A8" w14:textId="01D712FA" w:rsidR="0014173B" w:rsidRDefault="00874C0C">
      <w:pPr>
        <w:pStyle w:val="Indicedellefigure"/>
        <w:tabs>
          <w:tab w:val="right" w:leader="dot" w:pos="8488"/>
        </w:tabs>
        <w:rPr>
          <w:rFonts w:asciiTheme="minorHAnsi" w:hAnsiTheme="minorHAnsi" w:cstheme="minorBidi"/>
          <w:noProof/>
          <w:szCs w:val="22"/>
          <w:lang w:eastAsia="en-GB"/>
        </w:rPr>
      </w:pPr>
      <w:hyperlink w:anchor="_Toc520212414" w:history="1">
        <w:r w:rsidR="0014173B" w:rsidRPr="00292D0C">
          <w:rPr>
            <w:rStyle w:val="Collegamentoipertestuale"/>
            <w:noProof/>
          </w:rPr>
          <w:t>Figure 5-21</w:t>
        </w:r>
        <w:r w:rsidR="003D31DD">
          <w:rPr>
            <w:rStyle w:val="Collegamentoipertestuale"/>
            <w:noProof/>
          </w:rPr>
          <w:t>.</w:t>
        </w:r>
        <w:r w:rsidR="0014173B" w:rsidRPr="00292D0C">
          <w:rPr>
            <w:rStyle w:val="Collegamentoipertestuale"/>
            <w:noProof/>
          </w:rPr>
          <w:t xml:space="preserve"> Motif FM 22, Argonaut (after Furumark 1972: Fig. 50.22)</w:t>
        </w:r>
        <w:r w:rsidR="0014173B">
          <w:rPr>
            <w:noProof/>
            <w:webHidden/>
          </w:rPr>
          <w:tab/>
        </w:r>
        <w:r w:rsidR="0014173B">
          <w:rPr>
            <w:noProof/>
            <w:webHidden/>
          </w:rPr>
          <w:fldChar w:fldCharType="begin"/>
        </w:r>
        <w:r w:rsidR="0014173B">
          <w:rPr>
            <w:noProof/>
            <w:webHidden/>
          </w:rPr>
          <w:instrText xml:space="preserve"> PAGEREF _Toc520212414 \h </w:instrText>
        </w:r>
        <w:r w:rsidR="0014173B">
          <w:rPr>
            <w:noProof/>
            <w:webHidden/>
          </w:rPr>
        </w:r>
        <w:r w:rsidR="0014173B">
          <w:rPr>
            <w:noProof/>
            <w:webHidden/>
          </w:rPr>
          <w:fldChar w:fldCharType="separate"/>
        </w:r>
        <w:r w:rsidR="00940F6A">
          <w:rPr>
            <w:noProof/>
            <w:webHidden/>
          </w:rPr>
          <w:t>27</w:t>
        </w:r>
        <w:r w:rsidR="009E6A2C">
          <w:rPr>
            <w:noProof/>
            <w:webHidden/>
          </w:rPr>
          <w:t>2</w:t>
        </w:r>
        <w:r w:rsidR="0014173B">
          <w:rPr>
            <w:noProof/>
            <w:webHidden/>
          </w:rPr>
          <w:fldChar w:fldCharType="end"/>
        </w:r>
      </w:hyperlink>
    </w:p>
    <w:p w14:paraId="60094894" w14:textId="32FFB100" w:rsidR="0014173B" w:rsidRDefault="00874C0C">
      <w:pPr>
        <w:pStyle w:val="Indicedellefigure"/>
        <w:tabs>
          <w:tab w:val="right" w:leader="dot" w:pos="8488"/>
        </w:tabs>
        <w:rPr>
          <w:rFonts w:asciiTheme="minorHAnsi" w:hAnsiTheme="minorHAnsi" w:cstheme="minorBidi"/>
          <w:noProof/>
          <w:szCs w:val="22"/>
          <w:lang w:eastAsia="en-GB"/>
        </w:rPr>
      </w:pPr>
      <w:hyperlink w:anchor="_Toc520212415" w:history="1">
        <w:r w:rsidR="0014173B" w:rsidRPr="00292D0C">
          <w:rPr>
            <w:rStyle w:val="Collegamentoipertestuale"/>
            <w:noProof/>
          </w:rPr>
          <w:t>Figure 5-22</w:t>
        </w:r>
        <w:r w:rsidR="003D31DD">
          <w:rPr>
            <w:rStyle w:val="Collegamentoipertestuale"/>
            <w:noProof/>
          </w:rPr>
          <w:t>.</w:t>
        </w:r>
        <w:r w:rsidR="0014173B" w:rsidRPr="00292D0C">
          <w:rPr>
            <w:rStyle w:val="Collegamentoipertestuale"/>
            <w:noProof/>
          </w:rPr>
          <w:t xml:space="preserve"> Motif FM 23, Whorl-shell (after Furumark 1972: Fig. 51.23)</w:t>
        </w:r>
        <w:r w:rsidR="0014173B">
          <w:rPr>
            <w:noProof/>
            <w:webHidden/>
          </w:rPr>
          <w:tab/>
        </w:r>
        <w:r w:rsidR="0014173B">
          <w:rPr>
            <w:noProof/>
            <w:webHidden/>
          </w:rPr>
          <w:fldChar w:fldCharType="begin"/>
        </w:r>
        <w:r w:rsidR="0014173B">
          <w:rPr>
            <w:noProof/>
            <w:webHidden/>
          </w:rPr>
          <w:instrText xml:space="preserve"> PAGEREF _Toc520212415 \h </w:instrText>
        </w:r>
        <w:r w:rsidR="0014173B">
          <w:rPr>
            <w:noProof/>
            <w:webHidden/>
          </w:rPr>
        </w:r>
        <w:r w:rsidR="0014173B">
          <w:rPr>
            <w:noProof/>
            <w:webHidden/>
          </w:rPr>
          <w:fldChar w:fldCharType="separate"/>
        </w:r>
        <w:r w:rsidR="00940F6A">
          <w:rPr>
            <w:noProof/>
            <w:webHidden/>
          </w:rPr>
          <w:t>27</w:t>
        </w:r>
        <w:r w:rsidR="0014173B">
          <w:rPr>
            <w:noProof/>
            <w:webHidden/>
          </w:rPr>
          <w:fldChar w:fldCharType="end"/>
        </w:r>
      </w:hyperlink>
      <w:r w:rsidR="009E6A2C">
        <w:rPr>
          <w:noProof/>
        </w:rPr>
        <w:t>3</w:t>
      </w:r>
    </w:p>
    <w:p w14:paraId="5F323898" w14:textId="16361EFA" w:rsidR="0014173B" w:rsidRDefault="00874C0C">
      <w:pPr>
        <w:pStyle w:val="Indicedellefigure"/>
        <w:tabs>
          <w:tab w:val="right" w:leader="dot" w:pos="8488"/>
        </w:tabs>
        <w:rPr>
          <w:rFonts w:asciiTheme="minorHAnsi" w:hAnsiTheme="minorHAnsi" w:cstheme="minorBidi"/>
          <w:noProof/>
          <w:szCs w:val="22"/>
          <w:lang w:eastAsia="en-GB"/>
        </w:rPr>
      </w:pPr>
      <w:hyperlink w:anchor="_Toc520212416" w:history="1">
        <w:r w:rsidR="0014173B" w:rsidRPr="00292D0C">
          <w:rPr>
            <w:rStyle w:val="Collegamentoipertestuale"/>
            <w:noProof/>
          </w:rPr>
          <w:t>Figure 5-23</w:t>
        </w:r>
        <w:r w:rsidR="003D31DD">
          <w:rPr>
            <w:rStyle w:val="Collegamentoipertestuale"/>
            <w:noProof/>
          </w:rPr>
          <w:t>.</w:t>
        </w:r>
        <w:r w:rsidR="0014173B" w:rsidRPr="00292D0C">
          <w:rPr>
            <w:rStyle w:val="Collegamentoipertestuale"/>
            <w:noProof/>
          </w:rPr>
          <w:t xml:space="preserve"> Motif FM 24, Linked whorl-shell pattern (after Furumark 1972: Fig. 51.24)</w:t>
        </w:r>
        <w:r w:rsidR="0014173B">
          <w:rPr>
            <w:noProof/>
            <w:webHidden/>
          </w:rPr>
          <w:tab/>
        </w:r>
        <w:r w:rsidR="0014173B">
          <w:rPr>
            <w:noProof/>
            <w:webHidden/>
          </w:rPr>
          <w:fldChar w:fldCharType="begin"/>
        </w:r>
        <w:r w:rsidR="0014173B">
          <w:rPr>
            <w:noProof/>
            <w:webHidden/>
          </w:rPr>
          <w:instrText xml:space="preserve"> PAGEREF _Toc520212416 \h </w:instrText>
        </w:r>
        <w:r w:rsidR="0014173B">
          <w:rPr>
            <w:noProof/>
            <w:webHidden/>
          </w:rPr>
        </w:r>
        <w:r w:rsidR="0014173B">
          <w:rPr>
            <w:noProof/>
            <w:webHidden/>
          </w:rPr>
          <w:fldChar w:fldCharType="separate"/>
        </w:r>
        <w:r w:rsidR="00940F6A">
          <w:rPr>
            <w:noProof/>
            <w:webHidden/>
          </w:rPr>
          <w:t>27</w:t>
        </w:r>
        <w:r w:rsidR="009E6A2C">
          <w:rPr>
            <w:noProof/>
            <w:webHidden/>
          </w:rPr>
          <w:t>3</w:t>
        </w:r>
        <w:r w:rsidR="0014173B">
          <w:rPr>
            <w:noProof/>
            <w:webHidden/>
          </w:rPr>
          <w:fldChar w:fldCharType="end"/>
        </w:r>
      </w:hyperlink>
    </w:p>
    <w:p w14:paraId="24B21AED" w14:textId="354F1C5C" w:rsidR="0014173B" w:rsidRDefault="00874C0C">
      <w:pPr>
        <w:pStyle w:val="Indicedellefigure"/>
        <w:tabs>
          <w:tab w:val="right" w:leader="dot" w:pos="8488"/>
        </w:tabs>
        <w:rPr>
          <w:rFonts w:asciiTheme="minorHAnsi" w:hAnsiTheme="minorHAnsi" w:cstheme="minorBidi"/>
          <w:noProof/>
          <w:szCs w:val="22"/>
          <w:lang w:eastAsia="en-GB"/>
        </w:rPr>
      </w:pPr>
      <w:hyperlink w:anchor="_Toc520212417" w:history="1">
        <w:r w:rsidR="0014173B" w:rsidRPr="00292D0C">
          <w:rPr>
            <w:rStyle w:val="Collegamentoipertestuale"/>
            <w:noProof/>
          </w:rPr>
          <w:t>Figure 5-24</w:t>
        </w:r>
        <w:r w:rsidR="003D31DD">
          <w:rPr>
            <w:rStyle w:val="Collegamentoipertestuale"/>
            <w:noProof/>
          </w:rPr>
          <w:t>.</w:t>
        </w:r>
        <w:r w:rsidR="0014173B" w:rsidRPr="00292D0C">
          <w:rPr>
            <w:rStyle w:val="Collegamentoipertestuale"/>
            <w:noProof/>
          </w:rPr>
          <w:t xml:space="preserve"> Motif FM 25, Bivalve shell (after Furumark 1972: Fig. 53.25)</w:t>
        </w:r>
        <w:r w:rsidR="0014173B">
          <w:rPr>
            <w:noProof/>
            <w:webHidden/>
          </w:rPr>
          <w:tab/>
        </w:r>
        <w:r w:rsidR="0014173B">
          <w:rPr>
            <w:noProof/>
            <w:webHidden/>
          </w:rPr>
          <w:fldChar w:fldCharType="begin"/>
        </w:r>
        <w:r w:rsidR="0014173B">
          <w:rPr>
            <w:noProof/>
            <w:webHidden/>
          </w:rPr>
          <w:instrText xml:space="preserve"> PAGEREF _Toc520212417 \h </w:instrText>
        </w:r>
        <w:r w:rsidR="0014173B">
          <w:rPr>
            <w:noProof/>
            <w:webHidden/>
          </w:rPr>
        </w:r>
        <w:r w:rsidR="0014173B">
          <w:rPr>
            <w:noProof/>
            <w:webHidden/>
          </w:rPr>
          <w:fldChar w:fldCharType="separate"/>
        </w:r>
        <w:r w:rsidR="00940F6A">
          <w:rPr>
            <w:noProof/>
            <w:webHidden/>
          </w:rPr>
          <w:t>27</w:t>
        </w:r>
        <w:r w:rsidR="009E6A2C">
          <w:rPr>
            <w:noProof/>
            <w:webHidden/>
          </w:rPr>
          <w:t>3</w:t>
        </w:r>
        <w:r w:rsidR="0014173B">
          <w:rPr>
            <w:noProof/>
            <w:webHidden/>
          </w:rPr>
          <w:fldChar w:fldCharType="end"/>
        </w:r>
      </w:hyperlink>
    </w:p>
    <w:p w14:paraId="5FBFCBAA" w14:textId="36FFD076" w:rsidR="0014173B" w:rsidRDefault="00874C0C">
      <w:pPr>
        <w:pStyle w:val="Indicedellefigure"/>
        <w:tabs>
          <w:tab w:val="right" w:leader="dot" w:pos="8488"/>
        </w:tabs>
        <w:rPr>
          <w:rFonts w:asciiTheme="minorHAnsi" w:hAnsiTheme="minorHAnsi" w:cstheme="minorBidi"/>
          <w:noProof/>
          <w:szCs w:val="22"/>
          <w:lang w:eastAsia="en-GB"/>
        </w:rPr>
      </w:pPr>
      <w:hyperlink w:anchor="_Toc520212418" w:history="1">
        <w:r w:rsidR="0014173B" w:rsidRPr="00292D0C">
          <w:rPr>
            <w:rStyle w:val="Collegamentoipertestuale"/>
            <w:noProof/>
          </w:rPr>
          <w:t>Figure 5-25</w:t>
        </w:r>
        <w:r w:rsidR="003D31DD">
          <w:rPr>
            <w:rStyle w:val="Collegamentoipertestuale"/>
            <w:noProof/>
          </w:rPr>
          <w:t>.</w:t>
        </w:r>
        <w:r w:rsidR="0014173B" w:rsidRPr="00292D0C">
          <w:rPr>
            <w:rStyle w:val="Collegamentoipertestuale"/>
            <w:noProof/>
          </w:rPr>
          <w:t xml:space="preserve"> Motif FM 26, Starfish (after Furumark 1972: Fig. 53.26)</w:t>
        </w:r>
        <w:r w:rsidR="0014173B">
          <w:rPr>
            <w:noProof/>
            <w:webHidden/>
          </w:rPr>
          <w:tab/>
        </w:r>
        <w:r w:rsidR="0014173B">
          <w:rPr>
            <w:noProof/>
            <w:webHidden/>
          </w:rPr>
          <w:fldChar w:fldCharType="begin"/>
        </w:r>
        <w:r w:rsidR="0014173B">
          <w:rPr>
            <w:noProof/>
            <w:webHidden/>
          </w:rPr>
          <w:instrText xml:space="preserve"> PAGEREF _Toc520212418 \h </w:instrText>
        </w:r>
        <w:r w:rsidR="0014173B">
          <w:rPr>
            <w:noProof/>
            <w:webHidden/>
          </w:rPr>
        </w:r>
        <w:r w:rsidR="0014173B">
          <w:rPr>
            <w:noProof/>
            <w:webHidden/>
          </w:rPr>
          <w:fldChar w:fldCharType="separate"/>
        </w:r>
        <w:r w:rsidR="00940F6A">
          <w:rPr>
            <w:noProof/>
            <w:webHidden/>
          </w:rPr>
          <w:t>27</w:t>
        </w:r>
        <w:r w:rsidR="009E6A2C">
          <w:rPr>
            <w:noProof/>
            <w:webHidden/>
          </w:rPr>
          <w:t>3</w:t>
        </w:r>
        <w:r w:rsidR="0014173B">
          <w:rPr>
            <w:noProof/>
            <w:webHidden/>
          </w:rPr>
          <w:fldChar w:fldCharType="end"/>
        </w:r>
      </w:hyperlink>
    </w:p>
    <w:p w14:paraId="5BF5233B" w14:textId="0EED0CF2" w:rsidR="0014173B" w:rsidRDefault="00874C0C">
      <w:pPr>
        <w:pStyle w:val="Indicedellefigure"/>
        <w:tabs>
          <w:tab w:val="right" w:leader="dot" w:pos="8488"/>
        </w:tabs>
        <w:rPr>
          <w:rFonts w:asciiTheme="minorHAnsi" w:hAnsiTheme="minorHAnsi" w:cstheme="minorBidi"/>
          <w:noProof/>
          <w:szCs w:val="22"/>
          <w:lang w:eastAsia="en-GB"/>
        </w:rPr>
      </w:pPr>
      <w:hyperlink w:anchor="_Toc520212419" w:history="1">
        <w:r w:rsidR="0014173B" w:rsidRPr="00292D0C">
          <w:rPr>
            <w:rStyle w:val="Collegamentoipertestuale"/>
            <w:noProof/>
          </w:rPr>
          <w:t>Figure 5-26</w:t>
        </w:r>
        <w:r w:rsidR="003D31DD">
          <w:rPr>
            <w:rStyle w:val="Collegamentoipertestuale"/>
            <w:noProof/>
          </w:rPr>
          <w:t>.</w:t>
        </w:r>
        <w:r w:rsidR="0014173B" w:rsidRPr="00292D0C">
          <w:rPr>
            <w:rStyle w:val="Collegamentoipertestuale"/>
            <w:noProof/>
          </w:rPr>
          <w:t xml:space="preserve"> Motif FM 27, Sea anemone (after Furumark 1972: Fig. 53.27)</w:t>
        </w:r>
        <w:r w:rsidR="0014173B">
          <w:rPr>
            <w:noProof/>
            <w:webHidden/>
          </w:rPr>
          <w:tab/>
        </w:r>
        <w:r w:rsidR="0014173B">
          <w:rPr>
            <w:noProof/>
            <w:webHidden/>
          </w:rPr>
          <w:fldChar w:fldCharType="begin"/>
        </w:r>
        <w:r w:rsidR="0014173B">
          <w:rPr>
            <w:noProof/>
            <w:webHidden/>
          </w:rPr>
          <w:instrText xml:space="preserve"> PAGEREF _Toc520212419 \h </w:instrText>
        </w:r>
        <w:r w:rsidR="0014173B">
          <w:rPr>
            <w:noProof/>
            <w:webHidden/>
          </w:rPr>
        </w:r>
        <w:r w:rsidR="0014173B">
          <w:rPr>
            <w:noProof/>
            <w:webHidden/>
          </w:rPr>
          <w:fldChar w:fldCharType="separate"/>
        </w:r>
        <w:r w:rsidR="00940F6A">
          <w:rPr>
            <w:noProof/>
            <w:webHidden/>
          </w:rPr>
          <w:t>27</w:t>
        </w:r>
        <w:r w:rsidR="009E6A2C">
          <w:rPr>
            <w:noProof/>
            <w:webHidden/>
          </w:rPr>
          <w:t>3</w:t>
        </w:r>
        <w:r w:rsidR="0014173B">
          <w:rPr>
            <w:noProof/>
            <w:webHidden/>
          </w:rPr>
          <w:fldChar w:fldCharType="end"/>
        </w:r>
      </w:hyperlink>
    </w:p>
    <w:p w14:paraId="66556C8B" w14:textId="37165DBB" w:rsidR="0014173B" w:rsidRDefault="00874C0C">
      <w:pPr>
        <w:pStyle w:val="Indicedellefigure"/>
        <w:tabs>
          <w:tab w:val="right" w:leader="dot" w:pos="8488"/>
        </w:tabs>
        <w:rPr>
          <w:rFonts w:asciiTheme="minorHAnsi" w:hAnsiTheme="minorHAnsi" w:cstheme="minorBidi"/>
          <w:noProof/>
          <w:szCs w:val="22"/>
          <w:lang w:eastAsia="en-GB"/>
        </w:rPr>
      </w:pPr>
      <w:hyperlink w:anchor="_Toc520212420" w:history="1">
        <w:r w:rsidR="0014173B" w:rsidRPr="00292D0C">
          <w:rPr>
            <w:rStyle w:val="Collegamentoipertestuale"/>
            <w:noProof/>
          </w:rPr>
          <w:t>Figure 5-27</w:t>
        </w:r>
        <w:r w:rsidR="003D31DD">
          <w:rPr>
            <w:rStyle w:val="Collegamentoipertestuale"/>
            <w:noProof/>
          </w:rPr>
          <w:t>.</w:t>
        </w:r>
        <w:r w:rsidR="0014173B" w:rsidRPr="00292D0C">
          <w:rPr>
            <w:rStyle w:val="Collegamentoipertestuale"/>
            <w:noProof/>
          </w:rPr>
          <w:t xml:space="preserve"> Motif FM 29, Trefoil rock-work (after Furumark 1972: Fig. 53.29)</w:t>
        </w:r>
        <w:r w:rsidR="0014173B">
          <w:rPr>
            <w:noProof/>
            <w:webHidden/>
          </w:rPr>
          <w:tab/>
        </w:r>
        <w:r w:rsidR="0014173B">
          <w:rPr>
            <w:noProof/>
            <w:webHidden/>
          </w:rPr>
          <w:fldChar w:fldCharType="begin"/>
        </w:r>
        <w:r w:rsidR="0014173B">
          <w:rPr>
            <w:noProof/>
            <w:webHidden/>
          </w:rPr>
          <w:instrText xml:space="preserve"> PAGEREF _Toc520212420 \h </w:instrText>
        </w:r>
        <w:r w:rsidR="0014173B">
          <w:rPr>
            <w:noProof/>
            <w:webHidden/>
          </w:rPr>
        </w:r>
        <w:r w:rsidR="0014173B">
          <w:rPr>
            <w:noProof/>
            <w:webHidden/>
          </w:rPr>
          <w:fldChar w:fldCharType="separate"/>
        </w:r>
        <w:r w:rsidR="00940F6A">
          <w:rPr>
            <w:noProof/>
            <w:webHidden/>
          </w:rPr>
          <w:t>27</w:t>
        </w:r>
        <w:r w:rsidR="009E6A2C">
          <w:rPr>
            <w:noProof/>
            <w:webHidden/>
          </w:rPr>
          <w:t>3</w:t>
        </w:r>
        <w:r w:rsidR="0014173B">
          <w:rPr>
            <w:noProof/>
            <w:webHidden/>
          </w:rPr>
          <w:fldChar w:fldCharType="end"/>
        </w:r>
      </w:hyperlink>
    </w:p>
    <w:p w14:paraId="7631EFBA" w14:textId="7016A326" w:rsidR="0014173B" w:rsidRDefault="00874C0C">
      <w:pPr>
        <w:pStyle w:val="Indicedellefigure"/>
        <w:tabs>
          <w:tab w:val="right" w:leader="dot" w:pos="8488"/>
        </w:tabs>
        <w:rPr>
          <w:rFonts w:asciiTheme="minorHAnsi" w:hAnsiTheme="minorHAnsi" w:cstheme="minorBidi"/>
          <w:noProof/>
          <w:szCs w:val="22"/>
          <w:lang w:eastAsia="en-GB"/>
        </w:rPr>
      </w:pPr>
      <w:hyperlink w:anchor="_Toc520212421" w:history="1">
        <w:r w:rsidR="0014173B" w:rsidRPr="00292D0C">
          <w:rPr>
            <w:rStyle w:val="Collegamentoipertestuale"/>
            <w:noProof/>
          </w:rPr>
          <w:t>Figure 5-28</w:t>
        </w:r>
        <w:r w:rsidR="003D31DD">
          <w:rPr>
            <w:rStyle w:val="Collegamentoipertestuale"/>
            <w:noProof/>
          </w:rPr>
          <w:t>.</w:t>
        </w:r>
        <w:r w:rsidR="0014173B" w:rsidRPr="00292D0C">
          <w:rPr>
            <w:rStyle w:val="Collegamentoipertestuale"/>
            <w:noProof/>
          </w:rPr>
          <w:t xml:space="preserve"> Motif FM 32, Rock-pattern I (after Furumark 1972: Fig. 54.32)</w:t>
        </w:r>
        <w:r w:rsidR="0014173B">
          <w:rPr>
            <w:noProof/>
            <w:webHidden/>
          </w:rPr>
          <w:tab/>
        </w:r>
        <w:r w:rsidR="0014173B">
          <w:rPr>
            <w:noProof/>
            <w:webHidden/>
          </w:rPr>
          <w:fldChar w:fldCharType="begin"/>
        </w:r>
        <w:r w:rsidR="0014173B">
          <w:rPr>
            <w:noProof/>
            <w:webHidden/>
          </w:rPr>
          <w:instrText xml:space="preserve"> PAGEREF _Toc520212421 \h </w:instrText>
        </w:r>
        <w:r w:rsidR="0014173B">
          <w:rPr>
            <w:noProof/>
            <w:webHidden/>
          </w:rPr>
        </w:r>
        <w:r w:rsidR="0014173B">
          <w:rPr>
            <w:noProof/>
            <w:webHidden/>
          </w:rPr>
          <w:fldChar w:fldCharType="separate"/>
        </w:r>
        <w:r w:rsidR="00940F6A">
          <w:rPr>
            <w:noProof/>
            <w:webHidden/>
          </w:rPr>
          <w:t>27</w:t>
        </w:r>
        <w:r w:rsidR="009E6A2C">
          <w:rPr>
            <w:noProof/>
            <w:webHidden/>
          </w:rPr>
          <w:t>3</w:t>
        </w:r>
        <w:r w:rsidR="0014173B">
          <w:rPr>
            <w:noProof/>
            <w:webHidden/>
          </w:rPr>
          <w:fldChar w:fldCharType="end"/>
        </w:r>
      </w:hyperlink>
    </w:p>
    <w:p w14:paraId="74C6AD9A" w14:textId="2F7DEF4D" w:rsidR="0014173B" w:rsidRDefault="00874C0C">
      <w:pPr>
        <w:pStyle w:val="Indicedellefigure"/>
        <w:tabs>
          <w:tab w:val="right" w:leader="dot" w:pos="8488"/>
        </w:tabs>
        <w:rPr>
          <w:rFonts w:asciiTheme="minorHAnsi" w:hAnsiTheme="minorHAnsi" w:cstheme="minorBidi"/>
          <w:noProof/>
          <w:szCs w:val="22"/>
          <w:lang w:eastAsia="en-GB"/>
        </w:rPr>
      </w:pPr>
      <w:hyperlink w:anchor="_Toc520212422" w:history="1">
        <w:r w:rsidR="0014173B" w:rsidRPr="00292D0C">
          <w:rPr>
            <w:rStyle w:val="Collegamentoipertestuale"/>
            <w:noProof/>
          </w:rPr>
          <w:t>Figure 5-29</w:t>
        </w:r>
        <w:r w:rsidR="003D31DD">
          <w:rPr>
            <w:rStyle w:val="Collegamentoipertestuale"/>
            <w:noProof/>
          </w:rPr>
          <w:t>.</w:t>
        </w:r>
        <w:r w:rsidR="0014173B" w:rsidRPr="00292D0C">
          <w:rPr>
            <w:rStyle w:val="Collegamentoipertestuale"/>
            <w:noProof/>
          </w:rPr>
          <w:t xml:space="preserve"> Motif FM 33, Rock-pattern II (after Furumark 1972: Fig. 55.33)</w:t>
        </w:r>
        <w:r w:rsidR="0014173B">
          <w:rPr>
            <w:noProof/>
            <w:webHidden/>
          </w:rPr>
          <w:tab/>
        </w:r>
        <w:r w:rsidR="0014173B">
          <w:rPr>
            <w:noProof/>
            <w:webHidden/>
          </w:rPr>
          <w:fldChar w:fldCharType="begin"/>
        </w:r>
        <w:r w:rsidR="0014173B">
          <w:rPr>
            <w:noProof/>
            <w:webHidden/>
          </w:rPr>
          <w:instrText xml:space="preserve"> PAGEREF _Toc520212422 \h </w:instrText>
        </w:r>
        <w:r w:rsidR="0014173B">
          <w:rPr>
            <w:noProof/>
            <w:webHidden/>
          </w:rPr>
        </w:r>
        <w:r w:rsidR="0014173B">
          <w:rPr>
            <w:noProof/>
            <w:webHidden/>
          </w:rPr>
          <w:fldChar w:fldCharType="separate"/>
        </w:r>
        <w:r w:rsidR="00940F6A">
          <w:rPr>
            <w:noProof/>
            <w:webHidden/>
          </w:rPr>
          <w:t>27</w:t>
        </w:r>
        <w:r w:rsidR="0014173B">
          <w:rPr>
            <w:noProof/>
            <w:webHidden/>
          </w:rPr>
          <w:fldChar w:fldCharType="end"/>
        </w:r>
      </w:hyperlink>
      <w:r w:rsidR="009E6A2C">
        <w:rPr>
          <w:noProof/>
        </w:rPr>
        <w:t>4</w:t>
      </w:r>
    </w:p>
    <w:p w14:paraId="04FED0AE" w14:textId="0D52389D" w:rsidR="0014173B" w:rsidRDefault="00874C0C">
      <w:pPr>
        <w:pStyle w:val="Indicedellefigure"/>
        <w:tabs>
          <w:tab w:val="right" w:leader="dot" w:pos="8488"/>
        </w:tabs>
        <w:rPr>
          <w:rFonts w:asciiTheme="minorHAnsi" w:hAnsiTheme="minorHAnsi" w:cstheme="minorBidi"/>
          <w:noProof/>
          <w:szCs w:val="22"/>
          <w:lang w:eastAsia="en-GB"/>
        </w:rPr>
      </w:pPr>
      <w:hyperlink w:anchor="_Toc520212423" w:history="1">
        <w:r w:rsidR="0014173B" w:rsidRPr="00292D0C">
          <w:rPr>
            <w:rStyle w:val="Collegamentoipertestuale"/>
            <w:noProof/>
          </w:rPr>
          <w:t>Figure 5-30</w:t>
        </w:r>
        <w:r w:rsidR="003D31DD">
          <w:rPr>
            <w:rStyle w:val="Collegamentoipertestuale"/>
            <w:noProof/>
          </w:rPr>
          <w:t>.</w:t>
        </w:r>
        <w:r w:rsidR="0014173B" w:rsidRPr="00292D0C">
          <w:rPr>
            <w:rStyle w:val="Collegamentoipertestuale"/>
            <w:noProof/>
          </w:rPr>
          <w:t xml:space="preserve"> Motif FM 35, Double axe (after Furumark 1972: Fig. 55.35)</w:t>
        </w:r>
        <w:r w:rsidR="0014173B">
          <w:rPr>
            <w:noProof/>
            <w:webHidden/>
          </w:rPr>
          <w:tab/>
        </w:r>
        <w:r w:rsidR="0014173B">
          <w:rPr>
            <w:noProof/>
            <w:webHidden/>
          </w:rPr>
          <w:fldChar w:fldCharType="begin"/>
        </w:r>
        <w:r w:rsidR="0014173B">
          <w:rPr>
            <w:noProof/>
            <w:webHidden/>
          </w:rPr>
          <w:instrText xml:space="preserve"> PAGEREF _Toc520212423 \h </w:instrText>
        </w:r>
        <w:r w:rsidR="0014173B">
          <w:rPr>
            <w:noProof/>
            <w:webHidden/>
          </w:rPr>
        </w:r>
        <w:r w:rsidR="0014173B">
          <w:rPr>
            <w:noProof/>
            <w:webHidden/>
          </w:rPr>
          <w:fldChar w:fldCharType="separate"/>
        </w:r>
        <w:r w:rsidR="00940F6A">
          <w:rPr>
            <w:noProof/>
            <w:webHidden/>
          </w:rPr>
          <w:t>27</w:t>
        </w:r>
        <w:r w:rsidR="009E6A2C">
          <w:rPr>
            <w:noProof/>
            <w:webHidden/>
          </w:rPr>
          <w:t>4</w:t>
        </w:r>
        <w:r w:rsidR="0014173B">
          <w:rPr>
            <w:noProof/>
            <w:webHidden/>
          </w:rPr>
          <w:fldChar w:fldCharType="end"/>
        </w:r>
      </w:hyperlink>
    </w:p>
    <w:p w14:paraId="3E984DB2" w14:textId="26529822" w:rsidR="0014173B" w:rsidRDefault="00874C0C">
      <w:pPr>
        <w:pStyle w:val="Indicedellefigure"/>
        <w:tabs>
          <w:tab w:val="right" w:leader="dot" w:pos="8488"/>
        </w:tabs>
        <w:rPr>
          <w:rFonts w:asciiTheme="minorHAnsi" w:hAnsiTheme="minorHAnsi" w:cstheme="minorBidi"/>
          <w:noProof/>
          <w:szCs w:val="22"/>
          <w:lang w:eastAsia="en-GB"/>
        </w:rPr>
      </w:pPr>
      <w:hyperlink w:anchor="_Toc520212424" w:history="1">
        <w:r w:rsidR="0014173B" w:rsidRPr="00292D0C">
          <w:rPr>
            <w:rStyle w:val="Collegamentoipertestuale"/>
            <w:noProof/>
          </w:rPr>
          <w:t>Figure 5-31</w:t>
        </w:r>
        <w:r w:rsidR="003D31DD">
          <w:rPr>
            <w:rStyle w:val="Collegamentoipertestuale"/>
            <w:noProof/>
          </w:rPr>
          <w:t>.</w:t>
        </w:r>
        <w:r w:rsidR="0014173B" w:rsidRPr="00292D0C">
          <w:rPr>
            <w:rStyle w:val="Collegamentoipertestuale"/>
            <w:noProof/>
          </w:rPr>
          <w:t xml:space="preserve"> Motif FM 36, Horns of consecration (after Furumark 1972: Fig. 56.36)</w:t>
        </w:r>
        <w:r w:rsidR="0014173B">
          <w:rPr>
            <w:noProof/>
            <w:webHidden/>
          </w:rPr>
          <w:tab/>
        </w:r>
        <w:r w:rsidR="0014173B">
          <w:rPr>
            <w:noProof/>
            <w:webHidden/>
          </w:rPr>
          <w:fldChar w:fldCharType="begin"/>
        </w:r>
        <w:r w:rsidR="0014173B">
          <w:rPr>
            <w:noProof/>
            <w:webHidden/>
          </w:rPr>
          <w:instrText xml:space="preserve"> PAGEREF _Toc520212424 \h </w:instrText>
        </w:r>
        <w:r w:rsidR="0014173B">
          <w:rPr>
            <w:noProof/>
            <w:webHidden/>
          </w:rPr>
        </w:r>
        <w:r w:rsidR="0014173B">
          <w:rPr>
            <w:noProof/>
            <w:webHidden/>
          </w:rPr>
          <w:fldChar w:fldCharType="separate"/>
        </w:r>
        <w:r w:rsidR="00940F6A">
          <w:rPr>
            <w:noProof/>
            <w:webHidden/>
          </w:rPr>
          <w:t>27</w:t>
        </w:r>
        <w:r w:rsidR="009E6A2C">
          <w:rPr>
            <w:noProof/>
            <w:webHidden/>
          </w:rPr>
          <w:t>4</w:t>
        </w:r>
        <w:r w:rsidR="0014173B">
          <w:rPr>
            <w:noProof/>
            <w:webHidden/>
          </w:rPr>
          <w:fldChar w:fldCharType="end"/>
        </w:r>
      </w:hyperlink>
    </w:p>
    <w:p w14:paraId="73E97F20" w14:textId="49A31390" w:rsidR="0014173B" w:rsidRDefault="00874C0C">
      <w:pPr>
        <w:pStyle w:val="Indicedellefigure"/>
        <w:tabs>
          <w:tab w:val="right" w:leader="dot" w:pos="8488"/>
        </w:tabs>
        <w:rPr>
          <w:rFonts w:asciiTheme="minorHAnsi" w:hAnsiTheme="minorHAnsi" w:cstheme="minorBidi"/>
          <w:noProof/>
          <w:szCs w:val="22"/>
          <w:lang w:eastAsia="en-GB"/>
        </w:rPr>
      </w:pPr>
      <w:hyperlink w:anchor="_Toc520212425" w:history="1">
        <w:r w:rsidR="0014173B" w:rsidRPr="00292D0C">
          <w:rPr>
            <w:rStyle w:val="Collegamentoipertestuale"/>
            <w:noProof/>
          </w:rPr>
          <w:t>Figure 5-32</w:t>
        </w:r>
        <w:r w:rsidR="003D31DD">
          <w:rPr>
            <w:rStyle w:val="Collegamentoipertestuale"/>
            <w:noProof/>
          </w:rPr>
          <w:t>.</w:t>
        </w:r>
        <w:r w:rsidR="0014173B" w:rsidRPr="00292D0C">
          <w:rPr>
            <w:rStyle w:val="Collegamentoipertestuale"/>
            <w:noProof/>
          </w:rPr>
          <w:t xml:space="preserve"> Motif FM 37, Shield (after Furumark 1972: Fig. 56.37)</w:t>
        </w:r>
        <w:r w:rsidR="0014173B">
          <w:rPr>
            <w:noProof/>
            <w:webHidden/>
          </w:rPr>
          <w:tab/>
        </w:r>
        <w:r w:rsidR="0014173B">
          <w:rPr>
            <w:noProof/>
            <w:webHidden/>
          </w:rPr>
          <w:fldChar w:fldCharType="begin"/>
        </w:r>
        <w:r w:rsidR="0014173B">
          <w:rPr>
            <w:noProof/>
            <w:webHidden/>
          </w:rPr>
          <w:instrText xml:space="preserve"> PAGEREF _Toc520212425 \h </w:instrText>
        </w:r>
        <w:r w:rsidR="0014173B">
          <w:rPr>
            <w:noProof/>
            <w:webHidden/>
          </w:rPr>
        </w:r>
        <w:r w:rsidR="0014173B">
          <w:rPr>
            <w:noProof/>
            <w:webHidden/>
          </w:rPr>
          <w:fldChar w:fldCharType="separate"/>
        </w:r>
        <w:r w:rsidR="00940F6A">
          <w:rPr>
            <w:noProof/>
            <w:webHidden/>
          </w:rPr>
          <w:t>27</w:t>
        </w:r>
        <w:r w:rsidR="009E6A2C">
          <w:rPr>
            <w:noProof/>
            <w:webHidden/>
          </w:rPr>
          <w:t>4</w:t>
        </w:r>
        <w:r w:rsidR="0014173B">
          <w:rPr>
            <w:noProof/>
            <w:webHidden/>
          </w:rPr>
          <w:fldChar w:fldCharType="end"/>
        </w:r>
      </w:hyperlink>
    </w:p>
    <w:p w14:paraId="5FBEEA2E" w14:textId="10325288" w:rsidR="0014173B" w:rsidRDefault="00874C0C">
      <w:pPr>
        <w:pStyle w:val="Indicedellefigure"/>
        <w:tabs>
          <w:tab w:val="right" w:leader="dot" w:pos="8488"/>
        </w:tabs>
        <w:rPr>
          <w:rFonts w:asciiTheme="minorHAnsi" w:hAnsiTheme="minorHAnsi" w:cstheme="minorBidi"/>
          <w:noProof/>
          <w:szCs w:val="22"/>
          <w:lang w:eastAsia="en-GB"/>
        </w:rPr>
      </w:pPr>
      <w:hyperlink w:anchor="_Toc520212426" w:history="1">
        <w:r w:rsidR="0014173B" w:rsidRPr="00292D0C">
          <w:rPr>
            <w:rStyle w:val="Collegamentoipertestuale"/>
            <w:noProof/>
          </w:rPr>
          <w:t>Figure 5-33</w:t>
        </w:r>
        <w:r w:rsidR="003D31DD">
          <w:rPr>
            <w:rStyle w:val="Collegamentoipertestuale"/>
            <w:noProof/>
          </w:rPr>
          <w:t>.</w:t>
        </w:r>
        <w:r w:rsidR="0014173B" w:rsidRPr="00292D0C">
          <w:rPr>
            <w:rStyle w:val="Collegamentoipertestuale"/>
            <w:noProof/>
          </w:rPr>
          <w:t xml:space="preserve"> Motif FM 39, Chariot (after Furumark 1972: Fig. 56.39)</w:t>
        </w:r>
        <w:r w:rsidR="0014173B">
          <w:rPr>
            <w:noProof/>
            <w:webHidden/>
          </w:rPr>
          <w:tab/>
        </w:r>
        <w:r w:rsidR="0014173B">
          <w:rPr>
            <w:noProof/>
            <w:webHidden/>
          </w:rPr>
          <w:fldChar w:fldCharType="begin"/>
        </w:r>
        <w:r w:rsidR="0014173B">
          <w:rPr>
            <w:noProof/>
            <w:webHidden/>
          </w:rPr>
          <w:instrText xml:space="preserve"> PAGEREF _Toc520212426 \h </w:instrText>
        </w:r>
        <w:r w:rsidR="0014173B">
          <w:rPr>
            <w:noProof/>
            <w:webHidden/>
          </w:rPr>
        </w:r>
        <w:r w:rsidR="0014173B">
          <w:rPr>
            <w:noProof/>
            <w:webHidden/>
          </w:rPr>
          <w:fldChar w:fldCharType="separate"/>
        </w:r>
        <w:r w:rsidR="00940F6A">
          <w:rPr>
            <w:noProof/>
            <w:webHidden/>
          </w:rPr>
          <w:t>27</w:t>
        </w:r>
        <w:r w:rsidR="009E6A2C">
          <w:rPr>
            <w:noProof/>
            <w:webHidden/>
          </w:rPr>
          <w:t>4</w:t>
        </w:r>
        <w:r w:rsidR="0014173B">
          <w:rPr>
            <w:noProof/>
            <w:webHidden/>
          </w:rPr>
          <w:fldChar w:fldCharType="end"/>
        </w:r>
      </w:hyperlink>
    </w:p>
    <w:p w14:paraId="3A2AD4C8" w14:textId="7594EF5D" w:rsidR="0014173B" w:rsidRDefault="00874C0C">
      <w:pPr>
        <w:pStyle w:val="Indicedellefigure"/>
        <w:tabs>
          <w:tab w:val="right" w:leader="dot" w:pos="8488"/>
        </w:tabs>
        <w:rPr>
          <w:rFonts w:asciiTheme="minorHAnsi" w:hAnsiTheme="minorHAnsi" w:cstheme="minorBidi"/>
          <w:noProof/>
          <w:szCs w:val="22"/>
          <w:lang w:eastAsia="en-GB"/>
        </w:rPr>
      </w:pPr>
      <w:hyperlink w:anchor="_Toc520212427" w:history="1">
        <w:r w:rsidR="0014173B" w:rsidRPr="00292D0C">
          <w:rPr>
            <w:rStyle w:val="Collegamentoipertestuale"/>
            <w:noProof/>
          </w:rPr>
          <w:t>Figure 5-34</w:t>
        </w:r>
        <w:r w:rsidR="003D31DD">
          <w:rPr>
            <w:rStyle w:val="Collegamentoipertestuale"/>
            <w:noProof/>
          </w:rPr>
          <w:t>.</w:t>
        </w:r>
        <w:r w:rsidR="0014173B" w:rsidRPr="00292D0C">
          <w:rPr>
            <w:rStyle w:val="Collegamentoipertestuale"/>
            <w:noProof/>
          </w:rPr>
          <w:t xml:space="preserve"> Motif FM 40, Ship (after Furumark 1972: Fig. 56.40</w:t>
        </w:r>
        <w:r w:rsidR="0014173B">
          <w:rPr>
            <w:noProof/>
            <w:webHidden/>
          </w:rPr>
          <w:tab/>
        </w:r>
        <w:r w:rsidR="0014173B">
          <w:rPr>
            <w:noProof/>
            <w:webHidden/>
          </w:rPr>
          <w:fldChar w:fldCharType="begin"/>
        </w:r>
        <w:r w:rsidR="0014173B">
          <w:rPr>
            <w:noProof/>
            <w:webHidden/>
          </w:rPr>
          <w:instrText xml:space="preserve"> PAGEREF _Toc520212427 \h </w:instrText>
        </w:r>
        <w:r w:rsidR="0014173B">
          <w:rPr>
            <w:noProof/>
            <w:webHidden/>
          </w:rPr>
        </w:r>
        <w:r w:rsidR="0014173B">
          <w:rPr>
            <w:noProof/>
            <w:webHidden/>
          </w:rPr>
          <w:fldChar w:fldCharType="separate"/>
        </w:r>
        <w:r w:rsidR="00940F6A">
          <w:rPr>
            <w:noProof/>
            <w:webHidden/>
          </w:rPr>
          <w:t>27</w:t>
        </w:r>
        <w:r w:rsidR="009E6A2C">
          <w:rPr>
            <w:noProof/>
            <w:webHidden/>
          </w:rPr>
          <w:t>4</w:t>
        </w:r>
        <w:r w:rsidR="0014173B">
          <w:rPr>
            <w:noProof/>
            <w:webHidden/>
          </w:rPr>
          <w:fldChar w:fldCharType="end"/>
        </w:r>
      </w:hyperlink>
    </w:p>
    <w:p w14:paraId="1831CFFB" w14:textId="6DAFB952" w:rsidR="0014173B" w:rsidRDefault="00874C0C">
      <w:pPr>
        <w:pStyle w:val="Indicedellefigure"/>
        <w:tabs>
          <w:tab w:val="right" w:leader="dot" w:pos="8488"/>
        </w:tabs>
        <w:rPr>
          <w:rFonts w:asciiTheme="minorHAnsi" w:hAnsiTheme="minorHAnsi" w:cstheme="minorBidi"/>
          <w:noProof/>
          <w:szCs w:val="22"/>
          <w:lang w:eastAsia="en-GB"/>
        </w:rPr>
      </w:pPr>
      <w:hyperlink w:anchor="_Toc520212428" w:history="1">
        <w:r w:rsidR="0014173B" w:rsidRPr="00292D0C">
          <w:rPr>
            <w:rStyle w:val="Collegamentoipertestuale"/>
            <w:noProof/>
          </w:rPr>
          <w:t>Figure 5-35</w:t>
        </w:r>
        <w:r w:rsidR="003D31DD">
          <w:rPr>
            <w:rStyle w:val="Collegamentoipertestuale"/>
            <w:noProof/>
          </w:rPr>
          <w:t>.</w:t>
        </w:r>
        <w:r w:rsidR="0014173B" w:rsidRPr="00292D0C">
          <w:rPr>
            <w:rStyle w:val="Collegamentoipertestuale"/>
            <w:noProof/>
          </w:rPr>
          <w:t xml:space="preserve"> Motif FM 41, Circles (after Furumark 1972: Fig. 57.41)</w:t>
        </w:r>
        <w:r w:rsidR="0014173B">
          <w:rPr>
            <w:noProof/>
            <w:webHidden/>
          </w:rPr>
          <w:tab/>
        </w:r>
        <w:r w:rsidR="0014173B">
          <w:rPr>
            <w:noProof/>
            <w:webHidden/>
          </w:rPr>
          <w:fldChar w:fldCharType="begin"/>
        </w:r>
        <w:r w:rsidR="0014173B">
          <w:rPr>
            <w:noProof/>
            <w:webHidden/>
          </w:rPr>
          <w:instrText xml:space="preserve"> PAGEREF _Toc520212428 \h </w:instrText>
        </w:r>
        <w:r w:rsidR="0014173B">
          <w:rPr>
            <w:noProof/>
            <w:webHidden/>
          </w:rPr>
        </w:r>
        <w:r w:rsidR="0014173B">
          <w:rPr>
            <w:noProof/>
            <w:webHidden/>
          </w:rPr>
          <w:fldChar w:fldCharType="separate"/>
        </w:r>
        <w:r w:rsidR="00940F6A">
          <w:rPr>
            <w:noProof/>
            <w:webHidden/>
          </w:rPr>
          <w:t>27</w:t>
        </w:r>
        <w:r w:rsidR="009E6A2C">
          <w:rPr>
            <w:noProof/>
            <w:webHidden/>
          </w:rPr>
          <w:t>5</w:t>
        </w:r>
        <w:r w:rsidR="0014173B">
          <w:rPr>
            <w:noProof/>
            <w:webHidden/>
          </w:rPr>
          <w:fldChar w:fldCharType="end"/>
        </w:r>
      </w:hyperlink>
    </w:p>
    <w:p w14:paraId="4A04830F" w14:textId="0965666B" w:rsidR="0014173B" w:rsidRDefault="00874C0C">
      <w:pPr>
        <w:pStyle w:val="Indicedellefigure"/>
        <w:tabs>
          <w:tab w:val="right" w:leader="dot" w:pos="8488"/>
        </w:tabs>
        <w:rPr>
          <w:rFonts w:asciiTheme="minorHAnsi" w:hAnsiTheme="minorHAnsi" w:cstheme="minorBidi"/>
          <w:noProof/>
          <w:szCs w:val="22"/>
          <w:lang w:eastAsia="en-GB"/>
        </w:rPr>
      </w:pPr>
      <w:hyperlink w:anchor="_Toc520212429" w:history="1">
        <w:r w:rsidR="0014173B" w:rsidRPr="00292D0C">
          <w:rPr>
            <w:rStyle w:val="Collegamentoipertestuale"/>
            <w:noProof/>
          </w:rPr>
          <w:t>Figure 5-36</w:t>
        </w:r>
        <w:r w:rsidR="003D31DD">
          <w:rPr>
            <w:rStyle w:val="Collegamentoipertestuale"/>
            <w:noProof/>
          </w:rPr>
          <w:t>.</w:t>
        </w:r>
        <w:r w:rsidR="0014173B" w:rsidRPr="00292D0C">
          <w:rPr>
            <w:rStyle w:val="Collegamentoipertestuale"/>
            <w:noProof/>
          </w:rPr>
          <w:t xml:space="preserve"> Motif FM 42, Joining semicircles (after Furumark 1972: Fig. 57.42)</w:t>
        </w:r>
        <w:r w:rsidR="0014173B">
          <w:rPr>
            <w:noProof/>
            <w:webHidden/>
          </w:rPr>
          <w:tab/>
        </w:r>
        <w:r w:rsidR="0014173B">
          <w:rPr>
            <w:noProof/>
            <w:webHidden/>
          </w:rPr>
          <w:fldChar w:fldCharType="begin"/>
        </w:r>
        <w:r w:rsidR="0014173B">
          <w:rPr>
            <w:noProof/>
            <w:webHidden/>
          </w:rPr>
          <w:instrText xml:space="preserve"> PAGEREF _Toc520212429 \h </w:instrText>
        </w:r>
        <w:r w:rsidR="0014173B">
          <w:rPr>
            <w:noProof/>
            <w:webHidden/>
          </w:rPr>
        </w:r>
        <w:r w:rsidR="0014173B">
          <w:rPr>
            <w:noProof/>
            <w:webHidden/>
          </w:rPr>
          <w:fldChar w:fldCharType="separate"/>
        </w:r>
        <w:r w:rsidR="00940F6A">
          <w:rPr>
            <w:noProof/>
            <w:webHidden/>
          </w:rPr>
          <w:t>27</w:t>
        </w:r>
        <w:r w:rsidR="009E6A2C">
          <w:rPr>
            <w:noProof/>
            <w:webHidden/>
          </w:rPr>
          <w:t>5</w:t>
        </w:r>
        <w:r w:rsidR="0014173B">
          <w:rPr>
            <w:noProof/>
            <w:webHidden/>
          </w:rPr>
          <w:fldChar w:fldCharType="end"/>
        </w:r>
      </w:hyperlink>
    </w:p>
    <w:p w14:paraId="2A24BD1A" w14:textId="1216D271" w:rsidR="0014173B" w:rsidRDefault="00874C0C">
      <w:pPr>
        <w:pStyle w:val="Indicedellefigure"/>
        <w:tabs>
          <w:tab w:val="right" w:leader="dot" w:pos="8488"/>
        </w:tabs>
        <w:rPr>
          <w:rFonts w:asciiTheme="minorHAnsi" w:hAnsiTheme="minorHAnsi" w:cstheme="minorBidi"/>
          <w:noProof/>
          <w:szCs w:val="22"/>
          <w:lang w:eastAsia="en-GB"/>
        </w:rPr>
      </w:pPr>
      <w:hyperlink w:anchor="_Toc520212430" w:history="1">
        <w:r w:rsidR="0014173B" w:rsidRPr="00292D0C">
          <w:rPr>
            <w:rStyle w:val="Collegamentoipertestuale"/>
            <w:noProof/>
          </w:rPr>
          <w:t>Figure 5-37</w:t>
        </w:r>
        <w:r w:rsidR="003D31DD">
          <w:rPr>
            <w:rStyle w:val="Collegamentoipertestuale"/>
            <w:noProof/>
          </w:rPr>
          <w:t>.</w:t>
        </w:r>
        <w:r w:rsidR="0014173B" w:rsidRPr="00292D0C">
          <w:rPr>
            <w:rStyle w:val="Collegamentoipertestuale"/>
            <w:noProof/>
          </w:rPr>
          <w:t xml:space="preserve"> Motif FM 43, Isolated semicircles (after Furumark 1972: Fig. 57.43)</w:t>
        </w:r>
        <w:r w:rsidR="0014173B">
          <w:rPr>
            <w:noProof/>
            <w:webHidden/>
          </w:rPr>
          <w:tab/>
        </w:r>
        <w:r w:rsidR="0014173B">
          <w:rPr>
            <w:noProof/>
            <w:webHidden/>
          </w:rPr>
          <w:fldChar w:fldCharType="begin"/>
        </w:r>
        <w:r w:rsidR="0014173B">
          <w:rPr>
            <w:noProof/>
            <w:webHidden/>
          </w:rPr>
          <w:instrText xml:space="preserve"> PAGEREF _Toc520212430 \h </w:instrText>
        </w:r>
        <w:r w:rsidR="0014173B">
          <w:rPr>
            <w:noProof/>
            <w:webHidden/>
          </w:rPr>
        </w:r>
        <w:r w:rsidR="0014173B">
          <w:rPr>
            <w:noProof/>
            <w:webHidden/>
          </w:rPr>
          <w:fldChar w:fldCharType="separate"/>
        </w:r>
        <w:r w:rsidR="00940F6A">
          <w:rPr>
            <w:noProof/>
            <w:webHidden/>
          </w:rPr>
          <w:t>27</w:t>
        </w:r>
        <w:r w:rsidR="009E6A2C">
          <w:rPr>
            <w:noProof/>
            <w:webHidden/>
          </w:rPr>
          <w:t>5</w:t>
        </w:r>
        <w:r w:rsidR="0014173B">
          <w:rPr>
            <w:noProof/>
            <w:webHidden/>
          </w:rPr>
          <w:fldChar w:fldCharType="end"/>
        </w:r>
      </w:hyperlink>
    </w:p>
    <w:p w14:paraId="5E776270" w14:textId="1093FC0A" w:rsidR="0014173B" w:rsidRDefault="00874C0C">
      <w:pPr>
        <w:pStyle w:val="Indicedellefigure"/>
        <w:tabs>
          <w:tab w:val="right" w:leader="dot" w:pos="8488"/>
        </w:tabs>
        <w:rPr>
          <w:rFonts w:asciiTheme="minorHAnsi" w:hAnsiTheme="minorHAnsi" w:cstheme="minorBidi"/>
          <w:noProof/>
          <w:szCs w:val="22"/>
          <w:lang w:eastAsia="en-GB"/>
        </w:rPr>
      </w:pPr>
      <w:hyperlink w:anchor="_Toc520212431" w:history="1">
        <w:r w:rsidR="0014173B" w:rsidRPr="00292D0C">
          <w:rPr>
            <w:rStyle w:val="Collegamentoipertestuale"/>
            <w:noProof/>
          </w:rPr>
          <w:t>Figure 5-38</w:t>
        </w:r>
        <w:r w:rsidR="003D31DD">
          <w:rPr>
            <w:rStyle w:val="Collegamentoipertestuale"/>
            <w:noProof/>
          </w:rPr>
          <w:t>.</w:t>
        </w:r>
        <w:r w:rsidR="0014173B" w:rsidRPr="00292D0C">
          <w:rPr>
            <w:rStyle w:val="Collegamentoipertestuale"/>
            <w:noProof/>
          </w:rPr>
          <w:t xml:space="preserve"> Motif FM 44, Concentric arcs (after Furumark 1972: Fig. 58.44)</w:t>
        </w:r>
        <w:r w:rsidR="0014173B">
          <w:rPr>
            <w:noProof/>
            <w:webHidden/>
          </w:rPr>
          <w:tab/>
        </w:r>
        <w:r w:rsidR="0014173B">
          <w:rPr>
            <w:noProof/>
            <w:webHidden/>
          </w:rPr>
          <w:fldChar w:fldCharType="begin"/>
        </w:r>
        <w:r w:rsidR="0014173B">
          <w:rPr>
            <w:noProof/>
            <w:webHidden/>
          </w:rPr>
          <w:instrText xml:space="preserve"> PAGEREF _Toc520212431 \h </w:instrText>
        </w:r>
        <w:r w:rsidR="0014173B">
          <w:rPr>
            <w:noProof/>
            <w:webHidden/>
          </w:rPr>
        </w:r>
        <w:r w:rsidR="0014173B">
          <w:rPr>
            <w:noProof/>
            <w:webHidden/>
          </w:rPr>
          <w:fldChar w:fldCharType="separate"/>
        </w:r>
        <w:r w:rsidR="00940F6A">
          <w:rPr>
            <w:noProof/>
            <w:webHidden/>
          </w:rPr>
          <w:t>27</w:t>
        </w:r>
        <w:r w:rsidR="009E6A2C">
          <w:rPr>
            <w:noProof/>
            <w:webHidden/>
          </w:rPr>
          <w:t>5</w:t>
        </w:r>
        <w:r w:rsidR="0014173B">
          <w:rPr>
            <w:noProof/>
            <w:webHidden/>
          </w:rPr>
          <w:fldChar w:fldCharType="end"/>
        </w:r>
      </w:hyperlink>
    </w:p>
    <w:p w14:paraId="25085448" w14:textId="1838CDF2" w:rsidR="0014173B" w:rsidRDefault="00874C0C">
      <w:pPr>
        <w:pStyle w:val="Indicedellefigure"/>
        <w:tabs>
          <w:tab w:val="right" w:leader="dot" w:pos="8488"/>
        </w:tabs>
        <w:rPr>
          <w:rFonts w:asciiTheme="minorHAnsi" w:hAnsiTheme="minorHAnsi" w:cstheme="minorBidi"/>
          <w:noProof/>
          <w:szCs w:val="22"/>
          <w:lang w:eastAsia="en-GB"/>
        </w:rPr>
      </w:pPr>
      <w:hyperlink w:anchor="_Toc520212432" w:history="1">
        <w:r w:rsidR="0014173B" w:rsidRPr="00292D0C">
          <w:rPr>
            <w:rStyle w:val="Collegamentoipertestuale"/>
            <w:noProof/>
          </w:rPr>
          <w:t>Figure 5-39</w:t>
        </w:r>
        <w:r w:rsidR="003D31DD">
          <w:rPr>
            <w:rStyle w:val="Collegamentoipertestuale"/>
            <w:noProof/>
          </w:rPr>
          <w:t>.</w:t>
        </w:r>
        <w:r w:rsidR="0014173B" w:rsidRPr="00292D0C">
          <w:rPr>
            <w:rStyle w:val="Collegamentoipertestuale"/>
            <w:noProof/>
          </w:rPr>
          <w:t xml:space="preserve"> Motif FM 46, Running spiral (after Furumark 1972: Fig. 59.46)</w:t>
        </w:r>
        <w:r w:rsidR="0014173B">
          <w:rPr>
            <w:noProof/>
            <w:webHidden/>
          </w:rPr>
          <w:tab/>
        </w:r>
        <w:r w:rsidR="0014173B">
          <w:rPr>
            <w:noProof/>
            <w:webHidden/>
          </w:rPr>
          <w:fldChar w:fldCharType="begin"/>
        </w:r>
        <w:r w:rsidR="0014173B">
          <w:rPr>
            <w:noProof/>
            <w:webHidden/>
          </w:rPr>
          <w:instrText xml:space="preserve"> PAGEREF _Toc520212432 \h </w:instrText>
        </w:r>
        <w:r w:rsidR="0014173B">
          <w:rPr>
            <w:noProof/>
            <w:webHidden/>
          </w:rPr>
        </w:r>
        <w:r w:rsidR="0014173B">
          <w:rPr>
            <w:noProof/>
            <w:webHidden/>
          </w:rPr>
          <w:fldChar w:fldCharType="separate"/>
        </w:r>
        <w:r w:rsidR="00940F6A">
          <w:rPr>
            <w:noProof/>
            <w:webHidden/>
          </w:rPr>
          <w:t>27</w:t>
        </w:r>
        <w:r w:rsidR="009E6A2C">
          <w:rPr>
            <w:noProof/>
            <w:webHidden/>
          </w:rPr>
          <w:t>5</w:t>
        </w:r>
        <w:r w:rsidR="0014173B">
          <w:rPr>
            <w:noProof/>
            <w:webHidden/>
          </w:rPr>
          <w:fldChar w:fldCharType="end"/>
        </w:r>
      </w:hyperlink>
    </w:p>
    <w:p w14:paraId="4B960FB8" w14:textId="56418D3C" w:rsidR="0014173B" w:rsidRDefault="00874C0C">
      <w:pPr>
        <w:pStyle w:val="Indicedellefigure"/>
        <w:tabs>
          <w:tab w:val="right" w:leader="dot" w:pos="8488"/>
        </w:tabs>
        <w:rPr>
          <w:rFonts w:asciiTheme="minorHAnsi" w:hAnsiTheme="minorHAnsi" w:cstheme="minorBidi"/>
          <w:noProof/>
          <w:szCs w:val="22"/>
          <w:lang w:eastAsia="en-GB"/>
        </w:rPr>
      </w:pPr>
      <w:hyperlink w:anchor="_Toc520212433" w:history="1">
        <w:r w:rsidR="0014173B" w:rsidRPr="00292D0C">
          <w:rPr>
            <w:rStyle w:val="Collegamentoipertestuale"/>
            <w:noProof/>
          </w:rPr>
          <w:t>Figure 5-40</w:t>
        </w:r>
        <w:r w:rsidR="003D31DD">
          <w:rPr>
            <w:rStyle w:val="Collegamentoipertestuale"/>
            <w:noProof/>
          </w:rPr>
          <w:t>.</w:t>
        </w:r>
        <w:r w:rsidR="0014173B" w:rsidRPr="00292D0C">
          <w:rPr>
            <w:rStyle w:val="Collegamentoipertestuale"/>
            <w:noProof/>
          </w:rPr>
          <w:t xml:space="preserve"> Motif FM 47, Double and triple spiral (after Furumark 1972: Fig. 60.47)</w:t>
        </w:r>
        <w:r w:rsidR="0014173B">
          <w:rPr>
            <w:noProof/>
            <w:webHidden/>
          </w:rPr>
          <w:tab/>
        </w:r>
        <w:r w:rsidR="0014173B">
          <w:rPr>
            <w:noProof/>
            <w:webHidden/>
          </w:rPr>
          <w:fldChar w:fldCharType="begin"/>
        </w:r>
        <w:r w:rsidR="0014173B">
          <w:rPr>
            <w:noProof/>
            <w:webHidden/>
          </w:rPr>
          <w:instrText xml:space="preserve"> PAGEREF _Toc520212433 \h </w:instrText>
        </w:r>
        <w:r w:rsidR="0014173B">
          <w:rPr>
            <w:noProof/>
            <w:webHidden/>
          </w:rPr>
        </w:r>
        <w:r w:rsidR="0014173B">
          <w:rPr>
            <w:noProof/>
            <w:webHidden/>
          </w:rPr>
          <w:fldChar w:fldCharType="separate"/>
        </w:r>
        <w:r w:rsidR="00940F6A">
          <w:rPr>
            <w:noProof/>
            <w:webHidden/>
          </w:rPr>
          <w:t>27</w:t>
        </w:r>
        <w:r w:rsidR="009E6A2C">
          <w:rPr>
            <w:noProof/>
            <w:webHidden/>
          </w:rPr>
          <w:t>5</w:t>
        </w:r>
        <w:r w:rsidR="0014173B">
          <w:rPr>
            <w:noProof/>
            <w:webHidden/>
          </w:rPr>
          <w:fldChar w:fldCharType="end"/>
        </w:r>
      </w:hyperlink>
    </w:p>
    <w:p w14:paraId="56E5DD36" w14:textId="2BD42C36" w:rsidR="0014173B" w:rsidRDefault="00874C0C">
      <w:pPr>
        <w:pStyle w:val="Indicedellefigure"/>
        <w:tabs>
          <w:tab w:val="right" w:leader="dot" w:pos="8488"/>
        </w:tabs>
        <w:rPr>
          <w:rFonts w:asciiTheme="minorHAnsi" w:hAnsiTheme="minorHAnsi" w:cstheme="minorBidi"/>
          <w:noProof/>
          <w:szCs w:val="22"/>
          <w:lang w:eastAsia="en-GB"/>
        </w:rPr>
      </w:pPr>
      <w:hyperlink w:anchor="_Toc520212434" w:history="1">
        <w:r w:rsidR="0014173B" w:rsidRPr="00292D0C">
          <w:rPr>
            <w:rStyle w:val="Collegamentoipertestuale"/>
            <w:noProof/>
          </w:rPr>
          <w:t>Figure 5-41</w:t>
        </w:r>
        <w:r w:rsidR="003D31DD">
          <w:rPr>
            <w:rStyle w:val="Collegamentoipertestuale"/>
            <w:noProof/>
          </w:rPr>
          <w:t>.</w:t>
        </w:r>
        <w:r w:rsidR="0014173B" w:rsidRPr="00292D0C">
          <w:rPr>
            <w:rStyle w:val="Collegamentoipertestuale"/>
            <w:noProof/>
          </w:rPr>
          <w:t xml:space="preserve"> Motif FM 48, Quirk (after Furumark 1972: Fig. 61.48)</w:t>
        </w:r>
        <w:r w:rsidR="0014173B">
          <w:rPr>
            <w:noProof/>
            <w:webHidden/>
          </w:rPr>
          <w:tab/>
        </w:r>
        <w:r w:rsidR="0014173B">
          <w:rPr>
            <w:noProof/>
            <w:webHidden/>
          </w:rPr>
          <w:fldChar w:fldCharType="begin"/>
        </w:r>
        <w:r w:rsidR="0014173B">
          <w:rPr>
            <w:noProof/>
            <w:webHidden/>
          </w:rPr>
          <w:instrText xml:space="preserve"> PAGEREF _Toc520212434 \h </w:instrText>
        </w:r>
        <w:r w:rsidR="0014173B">
          <w:rPr>
            <w:noProof/>
            <w:webHidden/>
          </w:rPr>
        </w:r>
        <w:r w:rsidR="0014173B">
          <w:rPr>
            <w:noProof/>
            <w:webHidden/>
          </w:rPr>
          <w:fldChar w:fldCharType="separate"/>
        </w:r>
        <w:r w:rsidR="00940F6A">
          <w:rPr>
            <w:noProof/>
            <w:webHidden/>
          </w:rPr>
          <w:t>27</w:t>
        </w:r>
        <w:r w:rsidR="009E6A2C">
          <w:rPr>
            <w:noProof/>
            <w:webHidden/>
          </w:rPr>
          <w:t>5</w:t>
        </w:r>
        <w:r w:rsidR="0014173B">
          <w:rPr>
            <w:noProof/>
            <w:webHidden/>
          </w:rPr>
          <w:fldChar w:fldCharType="end"/>
        </w:r>
      </w:hyperlink>
    </w:p>
    <w:p w14:paraId="4B643283" w14:textId="05B0DF4C" w:rsidR="0014173B" w:rsidRDefault="00874C0C">
      <w:pPr>
        <w:pStyle w:val="Indicedellefigure"/>
        <w:tabs>
          <w:tab w:val="right" w:leader="dot" w:pos="8488"/>
        </w:tabs>
        <w:rPr>
          <w:rFonts w:asciiTheme="minorHAnsi" w:hAnsiTheme="minorHAnsi" w:cstheme="minorBidi"/>
          <w:noProof/>
          <w:szCs w:val="22"/>
          <w:lang w:eastAsia="en-GB"/>
        </w:rPr>
      </w:pPr>
      <w:hyperlink w:anchor="_Toc520212435" w:history="1">
        <w:r w:rsidR="0014173B" w:rsidRPr="00292D0C">
          <w:rPr>
            <w:rStyle w:val="Collegamentoipertestuale"/>
            <w:noProof/>
          </w:rPr>
          <w:t>Figure 5-42</w:t>
        </w:r>
        <w:r w:rsidR="003D31DD">
          <w:rPr>
            <w:rStyle w:val="Collegamentoipertestuale"/>
            <w:noProof/>
          </w:rPr>
          <w:t>.</w:t>
        </w:r>
        <w:r w:rsidR="0014173B" w:rsidRPr="00292D0C">
          <w:rPr>
            <w:rStyle w:val="Collegamentoipertestuale"/>
            <w:noProof/>
          </w:rPr>
          <w:t xml:space="preserve"> Motif FM 49, Curved-stemmed spiral (after Furumark 1972: Fig. 62.49)</w:t>
        </w:r>
        <w:r w:rsidR="0014173B">
          <w:rPr>
            <w:noProof/>
            <w:webHidden/>
          </w:rPr>
          <w:tab/>
        </w:r>
        <w:r w:rsidR="0014173B">
          <w:rPr>
            <w:noProof/>
            <w:webHidden/>
          </w:rPr>
          <w:fldChar w:fldCharType="begin"/>
        </w:r>
        <w:r w:rsidR="0014173B">
          <w:rPr>
            <w:noProof/>
            <w:webHidden/>
          </w:rPr>
          <w:instrText xml:space="preserve"> PAGEREF _Toc520212435 \h </w:instrText>
        </w:r>
        <w:r w:rsidR="0014173B">
          <w:rPr>
            <w:noProof/>
            <w:webHidden/>
          </w:rPr>
        </w:r>
        <w:r w:rsidR="0014173B">
          <w:rPr>
            <w:noProof/>
            <w:webHidden/>
          </w:rPr>
          <w:fldChar w:fldCharType="separate"/>
        </w:r>
        <w:r w:rsidR="00940F6A">
          <w:rPr>
            <w:noProof/>
            <w:webHidden/>
          </w:rPr>
          <w:t>27</w:t>
        </w:r>
        <w:r w:rsidR="0014173B">
          <w:rPr>
            <w:noProof/>
            <w:webHidden/>
          </w:rPr>
          <w:fldChar w:fldCharType="end"/>
        </w:r>
      </w:hyperlink>
      <w:r w:rsidR="00FD6565">
        <w:rPr>
          <w:noProof/>
        </w:rPr>
        <w:t>6</w:t>
      </w:r>
    </w:p>
    <w:p w14:paraId="5DF2B9E2" w14:textId="6D732B9E" w:rsidR="0014173B" w:rsidRDefault="00874C0C">
      <w:pPr>
        <w:pStyle w:val="Indicedellefigure"/>
        <w:tabs>
          <w:tab w:val="right" w:leader="dot" w:pos="8488"/>
        </w:tabs>
        <w:rPr>
          <w:rFonts w:asciiTheme="minorHAnsi" w:hAnsiTheme="minorHAnsi" w:cstheme="minorBidi"/>
          <w:noProof/>
          <w:szCs w:val="22"/>
          <w:lang w:eastAsia="en-GB"/>
        </w:rPr>
      </w:pPr>
      <w:hyperlink w:anchor="_Toc520212436" w:history="1">
        <w:r w:rsidR="0014173B" w:rsidRPr="00292D0C">
          <w:rPr>
            <w:rStyle w:val="Collegamentoipertestuale"/>
            <w:noProof/>
          </w:rPr>
          <w:t>Figure 5-43</w:t>
        </w:r>
        <w:r w:rsidR="003D31DD">
          <w:rPr>
            <w:rStyle w:val="Collegamentoipertestuale"/>
            <w:noProof/>
          </w:rPr>
          <w:t>.</w:t>
        </w:r>
        <w:r w:rsidR="0014173B" w:rsidRPr="00292D0C">
          <w:rPr>
            <w:rStyle w:val="Collegamentoipertestuale"/>
            <w:noProof/>
          </w:rPr>
          <w:t xml:space="preserve"> Motif FM 50, Antithetic spiral pattern (after Furumark 1972: Fig. 62.50)</w:t>
        </w:r>
        <w:r w:rsidR="0014173B">
          <w:rPr>
            <w:noProof/>
            <w:webHidden/>
          </w:rPr>
          <w:tab/>
        </w:r>
        <w:r w:rsidR="0014173B">
          <w:rPr>
            <w:noProof/>
            <w:webHidden/>
          </w:rPr>
          <w:fldChar w:fldCharType="begin"/>
        </w:r>
        <w:r w:rsidR="0014173B">
          <w:rPr>
            <w:noProof/>
            <w:webHidden/>
          </w:rPr>
          <w:instrText xml:space="preserve"> PAGEREF _Toc520212436 \h </w:instrText>
        </w:r>
        <w:r w:rsidR="0014173B">
          <w:rPr>
            <w:noProof/>
            <w:webHidden/>
          </w:rPr>
        </w:r>
        <w:r w:rsidR="0014173B">
          <w:rPr>
            <w:noProof/>
            <w:webHidden/>
          </w:rPr>
          <w:fldChar w:fldCharType="separate"/>
        </w:r>
        <w:r w:rsidR="00940F6A">
          <w:rPr>
            <w:noProof/>
            <w:webHidden/>
          </w:rPr>
          <w:t>27</w:t>
        </w:r>
        <w:r w:rsidR="00FD6565">
          <w:rPr>
            <w:noProof/>
            <w:webHidden/>
          </w:rPr>
          <w:t>6</w:t>
        </w:r>
        <w:r w:rsidR="0014173B">
          <w:rPr>
            <w:noProof/>
            <w:webHidden/>
          </w:rPr>
          <w:fldChar w:fldCharType="end"/>
        </w:r>
      </w:hyperlink>
    </w:p>
    <w:p w14:paraId="43D1FB54" w14:textId="765D3166" w:rsidR="0014173B" w:rsidRDefault="00874C0C">
      <w:pPr>
        <w:pStyle w:val="Indicedellefigure"/>
        <w:tabs>
          <w:tab w:val="right" w:leader="dot" w:pos="8488"/>
        </w:tabs>
        <w:rPr>
          <w:rFonts w:asciiTheme="minorHAnsi" w:hAnsiTheme="minorHAnsi" w:cstheme="minorBidi"/>
          <w:noProof/>
          <w:szCs w:val="22"/>
          <w:lang w:eastAsia="en-GB"/>
        </w:rPr>
      </w:pPr>
      <w:hyperlink w:anchor="_Toc520212437" w:history="1">
        <w:r w:rsidR="0014173B" w:rsidRPr="00292D0C">
          <w:rPr>
            <w:rStyle w:val="Collegamentoipertestuale"/>
            <w:noProof/>
          </w:rPr>
          <w:t>Figure 5-44</w:t>
        </w:r>
        <w:r w:rsidR="003D31DD">
          <w:rPr>
            <w:rStyle w:val="Collegamentoipertestuale"/>
            <w:noProof/>
          </w:rPr>
          <w:t>.</w:t>
        </w:r>
        <w:r w:rsidR="0014173B" w:rsidRPr="00292D0C">
          <w:rPr>
            <w:rStyle w:val="Collegamentoipertestuale"/>
            <w:noProof/>
          </w:rPr>
          <w:t xml:space="preserve"> Motif FM 51, Stemmed spiral  (after Furumark 1972: Fig. 62.50)</w:t>
        </w:r>
        <w:r w:rsidR="0014173B">
          <w:rPr>
            <w:noProof/>
            <w:webHidden/>
          </w:rPr>
          <w:tab/>
        </w:r>
        <w:r w:rsidR="0014173B">
          <w:rPr>
            <w:noProof/>
            <w:webHidden/>
          </w:rPr>
          <w:fldChar w:fldCharType="begin"/>
        </w:r>
        <w:r w:rsidR="0014173B">
          <w:rPr>
            <w:noProof/>
            <w:webHidden/>
          </w:rPr>
          <w:instrText xml:space="preserve"> PAGEREF _Toc520212437 \h </w:instrText>
        </w:r>
        <w:r w:rsidR="0014173B">
          <w:rPr>
            <w:noProof/>
            <w:webHidden/>
          </w:rPr>
        </w:r>
        <w:r w:rsidR="0014173B">
          <w:rPr>
            <w:noProof/>
            <w:webHidden/>
          </w:rPr>
          <w:fldChar w:fldCharType="separate"/>
        </w:r>
        <w:r w:rsidR="00940F6A">
          <w:rPr>
            <w:noProof/>
            <w:webHidden/>
          </w:rPr>
          <w:t>27</w:t>
        </w:r>
        <w:r w:rsidR="00FD6565">
          <w:rPr>
            <w:noProof/>
            <w:webHidden/>
          </w:rPr>
          <w:t>6</w:t>
        </w:r>
        <w:r w:rsidR="0014173B">
          <w:rPr>
            <w:noProof/>
            <w:webHidden/>
          </w:rPr>
          <w:fldChar w:fldCharType="end"/>
        </w:r>
      </w:hyperlink>
    </w:p>
    <w:p w14:paraId="69A39264" w14:textId="703D108F" w:rsidR="0014173B" w:rsidRDefault="00874C0C">
      <w:pPr>
        <w:pStyle w:val="Indicedellefigure"/>
        <w:tabs>
          <w:tab w:val="right" w:leader="dot" w:pos="8488"/>
        </w:tabs>
        <w:rPr>
          <w:rFonts w:asciiTheme="minorHAnsi" w:hAnsiTheme="minorHAnsi" w:cstheme="minorBidi"/>
          <w:noProof/>
          <w:szCs w:val="22"/>
          <w:lang w:eastAsia="en-GB"/>
        </w:rPr>
      </w:pPr>
      <w:hyperlink w:anchor="_Toc520212438" w:history="1">
        <w:r w:rsidR="0014173B" w:rsidRPr="00292D0C">
          <w:rPr>
            <w:rStyle w:val="Collegamentoipertestuale"/>
            <w:noProof/>
          </w:rPr>
          <w:t>Figure 5-45</w:t>
        </w:r>
        <w:r w:rsidR="003D31DD">
          <w:rPr>
            <w:rStyle w:val="Collegamentoipertestuale"/>
            <w:noProof/>
          </w:rPr>
          <w:t>.</w:t>
        </w:r>
        <w:r w:rsidR="0014173B" w:rsidRPr="00292D0C">
          <w:rPr>
            <w:rStyle w:val="Collegamentoipertestuale"/>
            <w:noProof/>
          </w:rPr>
          <w:t xml:space="preserve"> Motif FM 52, Isolated spiral  (after Furumark 1972: Fig. 65.52)</w:t>
        </w:r>
        <w:r w:rsidR="0014173B">
          <w:rPr>
            <w:noProof/>
            <w:webHidden/>
          </w:rPr>
          <w:tab/>
        </w:r>
        <w:r w:rsidR="0014173B">
          <w:rPr>
            <w:noProof/>
            <w:webHidden/>
          </w:rPr>
          <w:fldChar w:fldCharType="begin"/>
        </w:r>
        <w:r w:rsidR="0014173B">
          <w:rPr>
            <w:noProof/>
            <w:webHidden/>
          </w:rPr>
          <w:instrText xml:space="preserve"> PAGEREF _Toc520212438 \h </w:instrText>
        </w:r>
        <w:r w:rsidR="0014173B">
          <w:rPr>
            <w:noProof/>
            <w:webHidden/>
          </w:rPr>
        </w:r>
        <w:r w:rsidR="0014173B">
          <w:rPr>
            <w:noProof/>
            <w:webHidden/>
          </w:rPr>
          <w:fldChar w:fldCharType="separate"/>
        </w:r>
        <w:r w:rsidR="00940F6A">
          <w:rPr>
            <w:noProof/>
            <w:webHidden/>
          </w:rPr>
          <w:t>27</w:t>
        </w:r>
        <w:r w:rsidR="00FD6565">
          <w:rPr>
            <w:noProof/>
            <w:webHidden/>
          </w:rPr>
          <w:t>6</w:t>
        </w:r>
        <w:r w:rsidR="0014173B">
          <w:rPr>
            <w:noProof/>
            <w:webHidden/>
          </w:rPr>
          <w:fldChar w:fldCharType="end"/>
        </w:r>
      </w:hyperlink>
    </w:p>
    <w:p w14:paraId="4333EE1B" w14:textId="71B13D8D" w:rsidR="0014173B" w:rsidRDefault="00874C0C">
      <w:pPr>
        <w:pStyle w:val="Indicedellefigure"/>
        <w:tabs>
          <w:tab w:val="right" w:leader="dot" w:pos="8488"/>
        </w:tabs>
        <w:rPr>
          <w:rFonts w:asciiTheme="minorHAnsi" w:hAnsiTheme="minorHAnsi" w:cstheme="minorBidi"/>
          <w:noProof/>
          <w:szCs w:val="22"/>
          <w:lang w:eastAsia="en-GB"/>
        </w:rPr>
      </w:pPr>
      <w:hyperlink w:anchor="_Toc520212439" w:history="1">
        <w:r w:rsidR="0014173B" w:rsidRPr="00292D0C">
          <w:rPr>
            <w:rStyle w:val="Collegamentoipertestuale"/>
            <w:noProof/>
          </w:rPr>
          <w:t>Figure 5-46</w:t>
        </w:r>
        <w:r w:rsidR="003D31DD">
          <w:rPr>
            <w:rStyle w:val="Collegamentoipertestuale"/>
            <w:noProof/>
          </w:rPr>
          <w:t>.</w:t>
        </w:r>
        <w:r w:rsidR="0014173B" w:rsidRPr="00292D0C">
          <w:rPr>
            <w:rStyle w:val="Collegamentoipertestuale"/>
            <w:noProof/>
          </w:rPr>
          <w:t xml:space="preserve"> Motif FM 53, Wavy lines (after Furumark 1972: Fig. 65.53)</w:t>
        </w:r>
        <w:r w:rsidR="0014173B">
          <w:rPr>
            <w:noProof/>
            <w:webHidden/>
          </w:rPr>
          <w:tab/>
        </w:r>
        <w:r w:rsidR="0014173B">
          <w:rPr>
            <w:noProof/>
            <w:webHidden/>
          </w:rPr>
          <w:fldChar w:fldCharType="begin"/>
        </w:r>
        <w:r w:rsidR="0014173B">
          <w:rPr>
            <w:noProof/>
            <w:webHidden/>
          </w:rPr>
          <w:instrText xml:space="preserve"> PAGEREF _Toc520212439 \h </w:instrText>
        </w:r>
        <w:r w:rsidR="0014173B">
          <w:rPr>
            <w:noProof/>
            <w:webHidden/>
          </w:rPr>
        </w:r>
        <w:r w:rsidR="0014173B">
          <w:rPr>
            <w:noProof/>
            <w:webHidden/>
          </w:rPr>
          <w:fldChar w:fldCharType="separate"/>
        </w:r>
        <w:r w:rsidR="00940F6A">
          <w:rPr>
            <w:noProof/>
            <w:webHidden/>
          </w:rPr>
          <w:t>27</w:t>
        </w:r>
        <w:r w:rsidR="00FD6565">
          <w:rPr>
            <w:noProof/>
            <w:webHidden/>
          </w:rPr>
          <w:t>6</w:t>
        </w:r>
        <w:r w:rsidR="0014173B">
          <w:rPr>
            <w:noProof/>
            <w:webHidden/>
          </w:rPr>
          <w:fldChar w:fldCharType="end"/>
        </w:r>
      </w:hyperlink>
    </w:p>
    <w:p w14:paraId="3A424B3D" w14:textId="379330F3" w:rsidR="0014173B" w:rsidRDefault="00874C0C">
      <w:pPr>
        <w:pStyle w:val="Indicedellefigure"/>
        <w:tabs>
          <w:tab w:val="right" w:leader="dot" w:pos="8488"/>
        </w:tabs>
        <w:rPr>
          <w:rFonts w:asciiTheme="minorHAnsi" w:hAnsiTheme="minorHAnsi" w:cstheme="minorBidi"/>
          <w:noProof/>
          <w:szCs w:val="22"/>
          <w:lang w:eastAsia="en-GB"/>
        </w:rPr>
      </w:pPr>
      <w:hyperlink w:anchor="_Toc520212440" w:history="1">
        <w:r w:rsidR="0014173B" w:rsidRPr="00292D0C">
          <w:rPr>
            <w:rStyle w:val="Collegamentoipertestuale"/>
            <w:noProof/>
          </w:rPr>
          <w:t>Figure 5-47</w:t>
        </w:r>
        <w:r w:rsidR="003D31DD">
          <w:rPr>
            <w:rStyle w:val="Collegamentoipertestuale"/>
            <w:noProof/>
          </w:rPr>
          <w:t>.</w:t>
        </w:r>
        <w:r w:rsidR="0014173B" w:rsidRPr="00292D0C">
          <w:rPr>
            <w:rStyle w:val="Collegamentoipertestuale"/>
            <w:noProof/>
          </w:rPr>
          <w:t xml:space="preserve"> Motif FM 65, Cross (after Furumark 1972: Fig. 65.54)</w:t>
        </w:r>
        <w:r w:rsidR="0014173B">
          <w:rPr>
            <w:noProof/>
            <w:webHidden/>
          </w:rPr>
          <w:tab/>
        </w:r>
        <w:r w:rsidR="0014173B">
          <w:rPr>
            <w:noProof/>
            <w:webHidden/>
          </w:rPr>
          <w:fldChar w:fldCharType="begin"/>
        </w:r>
        <w:r w:rsidR="0014173B">
          <w:rPr>
            <w:noProof/>
            <w:webHidden/>
          </w:rPr>
          <w:instrText xml:space="preserve"> PAGEREF _Toc520212440 \h </w:instrText>
        </w:r>
        <w:r w:rsidR="0014173B">
          <w:rPr>
            <w:noProof/>
            <w:webHidden/>
          </w:rPr>
        </w:r>
        <w:r w:rsidR="0014173B">
          <w:rPr>
            <w:noProof/>
            <w:webHidden/>
          </w:rPr>
          <w:fldChar w:fldCharType="separate"/>
        </w:r>
        <w:r w:rsidR="00940F6A">
          <w:rPr>
            <w:noProof/>
            <w:webHidden/>
          </w:rPr>
          <w:t>27</w:t>
        </w:r>
        <w:r w:rsidR="00FD6565">
          <w:rPr>
            <w:noProof/>
            <w:webHidden/>
          </w:rPr>
          <w:t>6</w:t>
        </w:r>
        <w:r w:rsidR="0014173B">
          <w:rPr>
            <w:noProof/>
            <w:webHidden/>
          </w:rPr>
          <w:fldChar w:fldCharType="end"/>
        </w:r>
      </w:hyperlink>
    </w:p>
    <w:p w14:paraId="1C4D3D4D" w14:textId="24C9B551" w:rsidR="0014173B" w:rsidRDefault="00874C0C">
      <w:pPr>
        <w:pStyle w:val="Indicedellefigure"/>
        <w:tabs>
          <w:tab w:val="right" w:leader="dot" w:pos="8488"/>
        </w:tabs>
        <w:rPr>
          <w:rFonts w:asciiTheme="minorHAnsi" w:hAnsiTheme="minorHAnsi" w:cstheme="minorBidi"/>
          <w:noProof/>
          <w:szCs w:val="22"/>
          <w:lang w:eastAsia="en-GB"/>
        </w:rPr>
      </w:pPr>
      <w:hyperlink w:anchor="_Toc520212441" w:history="1">
        <w:r w:rsidR="0014173B" w:rsidRPr="00292D0C">
          <w:rPr>
            <w:rStyle w:val="Collegamentoipertestuale"/>
            <w:noProof/>
          </w:rPr>
          <w:t>Figure 5-48</w:t>
        </w:r>
        <w:r w:rsidR="003D31DD">
          <w:rPr>
            <w:rStyle w:val="Collegamentoipertestuale"/>
            <w:noProof/>
          </w:rPr>
          <w:t>.</w:t>
        </w:r>
        <w:r w:rsidR="0014173B" w:rsidRPr="00292D0C">
          <w:rPr>
            <w:rStyle w:val="Collegamentoipertestuale"/>
            <w:noProof/>
          </w:rPr>
          <w:t xml:space="preserve"> Motif FM 55, Diagonal patterns (after Furumark 1972: Fig. 65.55)</w:t>
        </w:r>
        <w:r w:rsidR="0014173B">
          <w:rPr>
            <w:noProof/>
            <w:webHidden/>
          </w:rPr>
          <w:tab/>
        </w:r>
        <w:r w:rsidR="0014173B">
          <w:rPr>
            <w:noProof/>
            <w:webHidden/>
          </w:rPr>
          <w:fldChar w:fldCharType="begin"/>
        </w:r>
        <w:r w:rsidR="0014173B">
          <w:rPr>
            <w:noProof/>
            <w:webHidden/>
          </w:rPr>
          <w:instrText xml:space="preserve"> PAGEREF _Toc520212441 \h </w:instrText>
        </w:r>
        <w:r w:rsidR="0014173B">
          <w:rPr>
            <w:noProof/>
            <w:webHidden/>
          </w:rPr>
        </w:r>
        <w:r w:rsidR="0014173B">
          <w:rPr>
            <w:noProof/>
            <w:webHidden/>
          </w:rPr>
          <w:fldChar w:fldCharType="separate"/>
        </w:r>
        <w:r w:rsidR="00940F6A">
          <w:rPr>
            <w:noProof/>
            <w:webHidden/>
          </w:rPr>
          <w:t>27</w:t>
        </w:r>
        <w:r w:rsidR="00FD6565">
          <w:rPr>
            <w:noProof/>
            <w:webHidden/>
          </w:rPr>
          <w:t>6</w:t>
        </w:r>
        <w:r w:rsidR="0014173B">
          <w:rPr>
            <w:noProof/>
            <w:webHidden/>
          </w:rPr>
          <w:fldChar w:fldCharType="end"/>
        </w:r>
      </w:hyperlink>
    </w:p>
    <w:p w14:paraId="5A357A27" w14:textId="693DB280" w:rsidR="0014173B" w:rsidRDefault="00874C0C">
      <w:pPr>
        <w:pStyle w:val="Indicedellefigure"/>
        <w:tabs>
          <w:tab w:val="right" w:leader="dot" w:pos="8488"/>
        </w:tabs>
        <w:rPr>
          <w:rFonts w:asciiTheme="minorHAnsi" w:hAnsiTheme="minorHAnsi" w:cstheme="minorBidi"/>
          <w:noProof/>
          <w:szCs w:val="22"/>
          <w:lang w:eastAsia="en-GB"/>
        </w:rPr>
      </w:pPr>
      <w:hyperlink w:anchor="_Toc520212442" w:history="1">
        <w:r w:rsidR="0014173B" w:rsidRPr="00292D0C">
          <w:rPr>
            <w:rStyle w:val="Collegamentoipertestuale"/>
            <w:noProof/>
          </w:rPr>
          <w:t>Figure 5-49</w:t>
        </w:r>
        <w:r w:rsidR="003D31DD">
          <w:rPr>
            <w:rStyle w:val="Collegamentoipertestuale"/>
            <w:noProof/>
          </w:rPr>
          <w:t>.</w:t>
        </w:r>
        <w:r w:rsidR="0014173B" w:rsidRPr="00292D0C">
          <w:rPr>
            <w:rStyle w:val="Collegamentoipertestuale"/>
            <w:noProof/>
          </w:rPr>
          <w:t xml:space="preserve"> Motif FM 56, Chequers (after Furumark 1972: Fig. 67.56)</w:t>
        </w:r>
        <w:r w:rsidR="0014173B">
          <w:rPr>
            <w:noProof/>
            <w:webHidden/>
          </w:rPr>
          <w:tab/>
        </w:r>
        <w:r w:rsidR="0014173B">
          <w:rPr>
            <w:noProof/>
            <w:webHidden/>
          </w:rPr>
          <w:fldChar w:fldCharType="begin"/>
        </w:r>
        <w:r w:rsidR="0014173B">
          <w:rPr>
            <w:noProof/>
            <w:webHidden/>
          </w:rPr>
          <w:instrText xml:space="preserve"> PAGEREF _Toc520212442 \h </w:instrText>
        </w:r>
        <w:r w:rsidR="0014173B">
          <w:rPr>
            <w:noProof/>
            <w:webHidden/>
          </w:rPr>
        </w:r>
        <w:r w:rsidR="0014173B">
          <w:rPr>
            <w:noProof/>
            <w:webHidden/>
          </w:rPr>
          <w:fldChar w:fldCharType="separate"/>
        </w:r>
        <w:r w:rsidR="00940F6A">
          <w:rPr>
            <w:noProof/>
            <w:webHidden/>
          </w:rPr>
          <w:t>27</w:t>
        </w:r>
        <w:r w:rsidR="00FD6565">
          <w:rPr>
            <w:noProof/>
            <w:webHidden/>
          </w:rPr>
          <w:t>7</w:t>
        </w:r>
        <w:r w:rsidR="0014173B">
          <w:rPr>
            <w:noProof/>
            <w:webHidden/>
          </w:rPr>
          <w:fldChar w:fldCharType="end"/>
        </w:r>
      </w:hyperlink>
    </w:p>
    <w:p w14:paraId="509C1970" w14:textId="7EF5BCAD" w:rsidR="0014173B" w:rsidRDefault="00874C0C">
      <w:pPr>
        <w:pStyle w:val="Indicedellefigure"/>
        <w:tabs>
          <w:tab w:val="right" w:leader="dot" w:pos="8488"/>
        </w:tabs>
        <w:rPr>
          <w:rFonts w:asciiTheme="minorHAnsi" w:hAnsiTheme="minorHAnsi" w:cstheme="minorBidi"/>
          <w:noProof/>
          <w:szCs w:val="22"/>
          <w:lang w:eastAsia="en-GB"/>
        </w:rPr>
      </w:pPr>
      <w:hyperlink w:anchor="_Toc520212443" w:history="1">
        <w:r w:rsidR="0014173B" w:rsidRPr="00292D0C">
          <w:rPr>
            <w:rStyle w:val="Collegamentoipertestuale"/>
            <w:noProof/>
          </w:rPr>
          <w:t>Figure 5-50</w:t>
        </w:r>
        <w:r w:rsidR="003D31DD">
          <w:rPr>
            <w:rStyle w:val="Collegamentoipertestuale"/>
            <w:noProof/>
          </w:rPr>
          <w:t>.</w:t>
        </w:r>
        <w:r w:rsidR="0014173B" w:rsidRPr="00292D0C">
          <w:rPr>
            <w:rStyle w:val="Collegamentoipertestuale"/>
            <w:noProof/>
          </w:rPr>
          <w:t xml:space="preserve"> Motif FM 57, Diaper net  (after Furumark 1972: Fig. 67.57)</w:t>
        </w:r>
        <w:r w:rsidR="0014173B">
          <w:rPr>
            <w:noProof/>
            <w:webHidden/>
          </w:rPr>
          <w:tab/>
        </w:r>
        <w:r w:rsidR="0014173B">
          <w:rPr>
            <w:noProof/>
            <w:webHidden/>
          </w:rPr>
          <w:fldChar w:fldCharType="begin"/>
        </w:r>
        <w:r w:rsidR="0014173B">
          <w:rPr>
            <w:noProof/>
            <w:webHidden/>
          </w:rPr>
          <w:instrText xml:space="preserve"> PAGEREF _Toc520212443 \h </w:instrText>
        </w:r>
        <w:r w:rsidR="0014173B">
          <w:rPr>
            <w:noProof/>
            <w:webHidden/>
          </w:rPr>
        </w:r>
        <w:r w:rsidR="0014173B">
          <w:rPr>
            <w:noProof/>
            <w:webHidden/>
          </w:rPr>
          <w:fldChar w:fldCharType="separate"/>
        </w:r>
        <w:r w:rsidR="00940F6A">
          <w:rPr>
            <w:noProof/>
            <w:webHidden/>
          </w:rPr>
          <w:t>27</w:t>
        </w:r>
        <w:r w:rsidR="00FD6565">
          <w:rPr>
            <w:noProof/>
            <w:webHidden/>
          </w:rPr>
          <w:t>7</w:t>
        </w:r>
        <w:r w:rsidR="0014173B">
          <w:rPr>
            <w:noProof/>
            <w:webHidden/>
          </w:rPr>
          <w:fldChar w:fldCharType="end"/>
        </w:r>
      </w:hyperlink>
    </w:p>
    <w:p w14:paraId="0F88AD6A" w14:textId="3454336E" w:rsidR="0014173B" w:rsidRDefault="00874C0C">
      <w:pPr>
        <w:pStyle w:val="Indicedellefigure"/>
        <w:tabs>
          <w:tab w:val="right" w:leader="dot" w:pos="8488"/>
        </w:tabs>
        <w:rPr>
          <w:rFonts w:asciiTheme="minorHAnsi" w:hAnsiTheme="minorHAnsi" w:cstheme="minorBidi"/>
          <w:noProof/>
          <w:szCs w:val="22"/>
          <w:lang w:eastAsia="en-GB"/>
        </w:rPr>
      </w:pPr>
      <w:hyperlink w:anchor="_Toc520212444" w:history="1">
        <w:r w:rsidR="0014173B" w:rsidRPr="00292D0C">
          <w:rPr>
            <w:rStyle w:val="Collegamentoipertestuale"/>
            <w:noProof/>
          </w:rPr>
          <w:t>Figure 5-51</w:t>
        </w:r>
        <w:r w:rsidR="003D31DD">
          <w:rPr>
            <w:rStyle w:val="Collegamentoipertestuale"/>
            <w:noProof/>
          </w:rPr>
          <w:t>.</w:t>
        </w:r>
        <w:r w:rsidR="0014173B" w:rsidRPr="00292D0C">
          <w:rPr>
            <w:rStyle w:val="Collegamentoipertestuale"/>
            <w:noProof/>
          </w:rPr>
          <w:t xml:space="preserve"> Motif FM 58, Parallel chevrons  (after Furumark 1972: Fig. 67.58)</w:t>
        </w:r>
        <w:r w:rsidR="0014173B">
          <w:rPr>
            <w:noProof/>
            <w:webHidden/>
          </w:rPr>
          <w:tab/>
        </w:r>
        <w:r w:rsidR="0014173B">
          <w:rPr>
            <w:noProof/>
            <w:webHidden/>
          </w:rPr>
          <w:fldChar w:fldCharType="begin"/>
        </w:r>
        <w:r w:rsidR="0014173B">
          <w:rPr>
            <w:noProof/>
            <w:webHidden/>
          </w:rPr>
          <w:instrText xml:space="preserve"> PAGEREF _Toc520212444 \h </w:instrText>
        </w:r>
        <w:r w:rsidR="0014173B">
          <w:rPr>
            <w:noProof/>
            <w:webHidden/>
          </w:rPr>
        </w:r>
        <w:r w:rsidR="0014173B">
          <w:rPr>
            <w:noProof/>
            <w:webHidden/>
          </w:rPr>
          <w:fldChar w:fldCharType="separate"/>
        </w:r>
        <w:r w:rsidR="00940F6A">
          <w:rPr>
            <w:noProof/>
            <w:webHidden/>
          </w:rPr>
          <w:t>27</w:t>
        </w:r>
        <w:r w:rsidR="00FD6565">
          <w:rPr>
            <w:noProof/>
            <w:webHidden/>
          </w:rPr>
          <w:t>7</w:t>
        </w:r>
        <w:r w:rsidR="0014173B">
          <w:rPr>
            <w:noProof/>
            <w:webHidden/>
          </w:rPr>
          <w:fldChar w:fldCharType="end"/>
        </w:r>
      </w:hyperlink>
    </w:p>
    <w:p w14:paraId="0971792D" w14:textId="1D45E319" w:rsidR="0014173B" w:rsidRDefault="00874C0C">
      <w:pPr>
        <w:pStyle w:val="Indicedellefigure"/>
        <w:tabs>
          <w:tab w:val="right" w:leader="dot" w:pos="8488"/>
        </w:tabs>
        <w:rPr>
          <w:rFonts w:asciiTheme="minorHAnsi" w:hAnsiTheme="minorHAnsi" w:cstheme="minorBidi"/>
          <w:noProof/>
          <w:szCs w:val="22"/>
          <w:lang w:eastAsia="en-GB"/>
        </w:rPr>
      </w:pPr>
      <w:hyperlink w:anchor="_Toc520212445" w:history="1">
        <w:r w:rsidR="0014173B" w:rsidRPr="00292D0C">
          <w:rPr>
            <w:rStyle w:val="Collegamentoipertestuale"/>
            <w:noProof/>
          </w:rPr>
          <w:t>Figure 5-52</w:t>
        </w:r>
        <w:r w:rsidR="003D31DD">
          <w:rPr>
            <w:rStyle w:val="Collegamentoipertestuale"/>
            <w:noProof/>
          </w:rPr>
          <w:t>.</w:t>
        </w:r>
        <w:r w:rsidR="0014173B" w:rsidRPr="00292D0C">
          <w:rPr>
            <w:rStyle w:val="Collegamentoipertestuale"/>
            <w:noProof/>
          </w:rPr>
          <w:t xml:space="preserve"> Motif FM 61, Zig-zag  (after Furumark 1972: Fig. 67.61)</w:t>
        </w:r>
        <w:r w:rsidR="0014173B">
          <w:rPr>
            <w:noProof/>
            <w:webHidden/>
          </w:rPr>
          <w:tab/>
        </w:r>
        <w:r w:rsidR="0014173B">
          <w:rPr>
            <w:noProof/>
            <w:webHidden/>
          </w:rPr>
          <w:fldChar w:fldCharType="begin"/>
        </w:r>
        <w:r w:rsidR="0014173B">
          <w:rPr>
            <w:noProof/>
            <w:webHidden/>
          </w:rPr>
          <w:instrText xml:space="preserve"> PAGEREF _Toc520212445 \h </w:instrText>
        </w:r>
        <w:r w:rsidR="0014173B">
          <w:rPr>
            <w:noProof/>
            <w:webHidden/>
          </w:rPr>
        </w:r>
        <w:r w:rsidR="0014173B">
          <w:rPr>
            <w:noProof/>
            <w:webHidden/>
          </w:rPr>
          <w:fldChar w:fldCharType="separate"/>
        </w:r>
        <w:r w:rsidR="00940F6A">
          <w:rPr>
            <w:noProof/>
            <w:webHidden/>
          </w:rPr>
          <w:t>27</w:t>
        </w:r>
        <w:r w:rsidR="00FD6565">
          <w:rPr>
            <w:noProof/>
            <w:webHidden/>
          </w:rPr>
          <w:t>7</w:t>
        </w:r>
        <w:r w:rsidR="0014173B">
          <w:rPr>
            <w:noProof/>
            <w:webHidden/>
          </w:rPr>
          <w:fldChar w:fldCharType="end"/>
        </w:r>
      </w:hyperlink>
    </w:p>
    <w:p w14:paraId="614279A1" w14:textId="1D25EB49" w:rsidR="0014173B" w:rsidRDefault="00874C0C">
      <w:pPr>
        <w:pStyle w:val="Indicedellefigure"/>
        <w:tabs>
          <w:tab w:val="right" w:leader="dot" w:pos="8488"/>
        </w:tabs>
        <w:rPr>
          <w:rFonts w:asciiTheme="minorHAnsi" w:hAnsiTheme="minorHAnsi" w:cstheme="minorBidi"/>
          <w:noProof/>
          <w:szCs w:val="22"/>
          <w:lang w:eastAsia="en-GB"/>
        </w:rPr>
      </w:pPr>
      <w:hyperlink w:anchor="_Toc520212446" w:history="1">
        <w:r w:rsidR="0014173B" w:rsidRPr="00292D0C">
          <w:rPr>
            <w:rStyle w:val="Collegamentoipertestuale"/>
            <w:noProof/>
          </w:rPr>
          <w:t>Figure 5-53</w:t>
        </w:r>
        <w:r w:rsidR="003D31DD">
          <w:rPr>
            <w:rStyle w:val="Collegamentoipertestuale"/>
            <w:noProof/>
          </w:rPr>
          <w:t>.</w:t>
        </w:r>
        <w:r w:rsidR="0014173B" w:rsidRPr="00292D0C">
          <w:rPr>
            <w:rStyle w:val="Collegamentoipertestuale"/>
            <w:noProof/>
          </w:rPr>
          <w:t xml:space="preserve"> Motif FM 61, Triangle  (after Furumark 1972: Fig. 68.61a)</w:t>
        </w:r>
        <w:r w:rsidR="0014173B">
          <w:rPr>
            <w:noProof/>
            <w:webHidden/>
          </w:rPr>
          <w:tab/>
        </w:r>
        <w:r w:rsidR="0014173B">
          <w:rPr>
            <w:noProof/>
            <w:webHidden/>
          </w:rPr>
          <w:fldChar w:fldCharType="begin"/>
        </w:r>
        <w:r w:rsidR="0014173B">
          <w:rPr>
            <w:noProof/>
            <w:webHidden/>
          </w:rPr>
          <w:instrText xml:space="preserve"> PAGEREF _Toc520212446 \h </w:instrText>
        </w:r>
        <w:r w:rsidR="0014173B">
          <w:rPr>
            <w:noProof/>
            <w:webHidden/>
          </w:rPr>
        </w:r>
        <w:r w:rsidR="0014173B">
          <w:rPr>
            <w:noProof/>
            <w:webHidden/>
          </w:rPr>
          <w:fldChar w:fldCharType="separate"/>
        </w:r>
        <w:r w:rsidR="00940F6A">
          <w:rPr>
            <w:noProof/>
            <w:webHidden/>
          </w:rPr>
          <w:t>27</w:t>
        </w:r>
        <w:r w:rsidR="00FD6565">
          <w:rPr>
            <w:noProof/>
            <w:webHidden/>
          </w:rPr>
          <w:t>7</w:t>
        </w:r>
        <w:r w:rsidR="0014173B">
          <w:rPr>
            <w:noProof/>
            <w:webHidden/>
          </w:rPr>
          <w:fldChar w:fldCharType="end"/>
        </w:r>
      </w:hyperlink>
    </w:p>
    <w:p w14:paraId="4E40FDDD" w14:textId="52C001A5" w:rsidR="0014173B" w:rsidRDefault="00874C0C">
      <w:pPr>
        <w:pStyle w:val="Indicedellefigure"/>
        <w:tabs>
          <w:tab w:val="right" w:leader="dot" w:pos="8488"/>
        </w:tabs>
        <w:rPr>
          <w:rFonts w:asciiTheme="minorHAnsi" w:hAnsiTheme="minorHAnsi" w:cstheme="minorBidi"/>
          <w:noProof/>
          <w:szCs w:val="22"/>
          <w:lang w:eastAsia="en-GB"/>
        </w:rPr>
      </w:pPr>
      <w:hyperlink w:anchor="_Toc520212447" w:history="1">
        <w:r w:rsidR="0014173B" w:rsidRPr="00292D0C">
          <w:rPr>
            <w:rStyle w:val="Collegamentoipertestuale"/>
            <w:noProof/>
          </w:rPr>
          <w:t>Figure 5-54</w:t>
        </w:r>
        <w:r w:rsidR="003D31DD">
          <w:rPr>
            <w:rStyle w:val="Collegamentoipertestuale"/>
            <w:noProof/>
          </w:rPr>
          <w:t>.</w:t>
        </w:r>
        <w:r w:rsidR="0014173B" w:rsidRPr="00292D0C">
          <w:rPr>
            <w:rStyle w:val="Collegamentoipertestuale"/>
            <w:noProof/>
          </w:rPr>
          <w:t xml:space="preserve"> FM 62, Tricurved arch  (after Furumark 1972: Fig. 68.62)</w:t>
        </w:r>
        <w:r w:rsidR="0014173B">
          <w:rPr>
            <w:noProof/>
            <w:webHidden/>
          </w:rPr>
          <w:tab/>
        </w:r>
        <w:r w:rsidR="0014173B">
          <w:rPr>
            <w:noProof/>
            <w:webHidden/>
          </w:rPr>
          <w:fldChar w:fldCharType="begin"/>
        </w:r>
        <w:r w:rsidR="0014173B">
          <w:rPr>
            <w:noProof/>
            <w:webHidden/>
          </w:rPr>
          <w:instrText xml:space="preserve"> PAGEREF _Toc520212447 \h </w:instrText>
        </w:r>
        <w:r w:rsidR="0014173B">
          <w:rPr>
            <w:noProof/>
            <w:webHidden/>
          </w:rPr>
        </w:r>
        <w:r w:rsidR="0014173B">
          <w:rPr>
            <w:noProof/>
            <w:webHidden/>
          </w:rPr>
          <w:fldChar w:fldCharType="separate"/>
        </w:r>
        <w:r w:rsidR="00940F6A">
          <w:rPr>
            <w:noProof/>
            <w:webHidden/>
          </w:rPr>
          <w:t>27</w:t>
        </w:r>
        <w:r w:rsidR="00FD6565">
          <w:rPr>
            <w:noProof/>
            <w:webHidden/>
          </w:rPr>
          <w:t>7</w:t>
        </w:r>
        <w:r w:rsidR="0014173B">
          <w:rPr>
            <w:noProof/>
            <w:webHidden/>
          </w:rPr>
          <w:fldChar w:fldCharType="end"/>
        </w:r>
      </w:hyperlink>
    </w:p>
    <w:p w14:paraId="2E57E21A" w14:textId="2B0C04A3" w:rsidR="0014173B" w:rsidRDefault="00874C0C">
      <w:pPr>
        <w:pStyle w:val="Indicedellefigure"/>
        <w:tabs>
          <w:tab w:val="right" w:leader="dot" w:pos="8488"/>
        </w:tabs>
        <w:rPr>
          <w:rFonts w:asciiTheme="minorHAnsi" w:hAnsiTheme="minorHAnsi" w:cstheme="minorBidi"/>
          <w:noProof/>
          <w:szCs w:val="22"/>
          <w:lang w:eastAsia="en-GB"/>
        </w:rPr>
      </w:pPr>
      <w:hyperlink w:anchor="_Toc520212448" w:history="1">
        <w:r w:rsidR="0014173B" w:rsidRPr="00292D0C">
          <w:rPr>
            <w:rStyle w:val="Collegamentoipertestuale"/>
            <w:noProof/>
          </w:rPr>
          <w:t>Figure 5-55</w:t>
        </w:r>
        <w:r w:rsidR="003D31DD">
          <w:rPr>
            <w:rStyle w:val="Collegamentoipertestuale"/>
            <w:noProof/>
          </w:rPr>
          <w:t>.</w:t>
        </w:r>
        <w:r w:rsidR="0014173B" w:rsidRPr="00292D0C">
          <w:rPr>
            <w:rStyle w:val="Collegamentoipertestuale"/>
            <w:noProof/>
          </w:rPr>
          <w:t xml:space="preserve"> FM 63, Hatched loop (after Furumark 1972: Fig. 69.63)</w:t>
        </w:r>
        <w:r w:rsidR="0014173B">
          <w:rPr>
            <w:noProof/>
            <w:webHidden/>
          </w:rPr>
          <w:tab/>
        </w:r>
        <w:r w:rsidR="0014173B">
          <w:rPr>
            <w:noProof/>
            <w:webHidden/>
          </w:rPr>
          <w:fldChar w:fldCharType="begin"/>
        </w:r>
        <w:r w:rsidR="0014173B">
          <w:rPr>
            <w:noProof/>
            <w:webHidden/>
          </w:rPr>
          <w:instrText xml:space="preserve"> PAGEREF _Toc520212448 \h </w:instrText>
        </w:r>
        <w:r w:rsidR="0014173B">
          <w:rPr>
            <w:noProof/>
            <w:webHidden/>
          </w:rPr>
        </w:r>
        <w:r w:rsidR="0014173B">
          <w:rPr>
            <w:noProof/>
            <w:webHidden/>
          </w:rPr>
          <w:fldChar w:fldCharType="separate"/>
        </w:r>
        <w:r w:rsidR="00940F6A">
          <w:rPr>
            <w:noProof/>
            <w:webHidden/>
          </w:rPr>
          <w:t>27</w:t>
        </w:r>
        <w:r w:rsidR="0014173B">
          <w:rPr>
            <w:noProof/>
            <w:webHidden/>
          </w:rPr>
          <w:fldChar w:fldCharType="end"/>
        </w:r>
      </w:hyperlink>
      <w:r w:rsidR="00FD6565">
        <w:rPr>
          <w:noProof/>
        </w:rPr>
        <w:t>8</w:t>
      </w:r>
    </w:p>
    <w:p w14:paraId="7C89B89D" w14:textId="071AB80F" w:rsidR="0014173B" w:rsidRDefault="00874C0C">
      <w:pPr>
        <w:pStyle w:val="Indicedellefigure"/>
        <w:tabs>
          <w:tab w:val="right" w:leader="dot" w:pos="8488"/>
        </w:tabs>
        <w:rPr>
          <w:rFonts w:asciiTheme="minorHAnsi" w:hAnsiTheme="minorHAnsi" w:cstheme="minorBidi"/>
          <w:noProof/>
          <w:szCs w:val="22"/>
          <w:lang w:eastAsia="en-GB"/>
        </w:rPr>
      </w:pPr>
      <w:hyperlink w:anchor="_Toc520212449" w:history="1">
        <w:r w:rsidR="0014173B" w:rsidRPr="00292D0C">
          <w:rPr>
            <w:rStyle w:val="Collegamentoipertestuale"/>
            <w:noProof/>
          </w:rPr>
          <w:t>Figure 5-56</w:t>
        </w:r>
        <w:r w:rsidR="003D31DD">
          <w:rPr>
            <w:rStyle w:val="Collegamentoipertestuale"/>
            <w:noProof/>
          </w:rPr>
          <w:t>.</w:t>
        </w:r>
        <w:r w:rsidR="0014173B" w:rsidRPr="00292D0C">
          <w:rPr>
            <w:rStyle w:val="Collegamentoipertestuale"/>
            <w:noProof/>
          </w:rPr>
          <w:t xml:space="preserve"> FM 64, Foliate band  (after Furumark 1972: Fig. 69.64)</w:t>
        </w:r>
        <w:r w:rsidR="0014173B">
          <w:rPr>
            <w:noProof/>
            <w:webHidden/>
          </w:rPr>
          <w:tab/>
        </w:r>
        <w:r w:rsidR="0014173B">
          <w:rPr>
            <w:noProof/>
            <w:webHidden/>
          </w:rPr>
          <w:fldChar w:fldCharType="begin"/>
        </w:r>
        <w:r w:rsidR="0014173B">
          <w:rPr>
            <w:noProof/>
            <w:webHidden/>
          </w:rPr>
          <w:instrText xml:space="preserve"> PAGEREF _Toc520212449 \h </w:instrText>
        </w:r>
        <w:r w:rsidR="0014173B">
          <w:rPr>
            <w:noProof/>
            <w:webHidden/>
          </w:rPr>
        </w:r>
        <w:r w:rsidR="0014173B">
          <w:rPr>
            <w:noProof/>
            <w:webHidden/>
          </w:rPr>
          <w:fldChar w:fldCharType="separate"/>
        </w:r>
        <w:r w:rsidR="00940F6A">
          <w:rPr>
            <w:noProof/>
            <w:webHidden/>
          </w:rPr>
          <w:t>27</w:t>
        </w:r>
        <w:r w:rsidR="00FD6565">
          <w:rPr>
            <w:noProof/>
            <w:webHidden/>
          </w:rPr>
          <w:t>8</w:t>
        </w:r>
        <w:r w:rsidR="0014173B">
          <w:rPr>
            <w:noProof/>
            <w:webHidden/>
          </w:rPr>
          <w:fldChar w:fldCharType="end"/>
        </w:r>
      </w:hyperlink>
    </w:p>
    <w:p w14:paraId="4A7C4F94" w14:textId="2713DEEF" w:rsidR="0014173B" w:rsidRDefault="00874C0C">
      <w:pPr>
        <w:pStyle w:val="Indicedellefigure"/>
        <w:tabs>
          <w:tab w:val="right" w:leader="dot" w:pos="8488"/>
        </w:tabs>
        <w:rPr>
          <w:rFonts w:asciiTheme="minorHAnsi" w:hAnsiTheme="minorHAnsi" w:cstheme="minorBidi"/>
          <w:noProof/>
          <w:szCs w:val="22"/>
          <w:lang w:eastAsia="en-GB"/>
        </w:rPr>
      </w:pPr>
      <w:hyperlink w:anchor="_Toc520212450" w:history="1">
        <w:r w:rsidR="0014173B" w:rsidRPr="00292D0C">
          <w:rPr>
            <w:rStyle w:val="Collegamentoipertestuale"/>
            <w:noProof/>
          </w:rPr>
          <w:t>Figure 5-57</w:t>
        </w:r>
        <w:r w:rsidR="003D31DD">
          <w:rPr>
            <w:rStyle w:val="Collegamentoipertestuale"/>
            <w:noProof/>
          </w:rPr>
          <w:t>.</w:t>
        </w:r>
        <w:r w:rsidR="0014173B" w:rsidRPr="00292D0C">
          <w:rPr>
            <w:rStyle w:val="Collegamentoipertestuale"/>
            <w:noProof/>
          </w:rPr>
          <w:t xml:space="preserve"> FM 65, Wavy border (after Furumark 1972: Fig. 69.65)</w:t>
        </w:r>
        <w:r w:rsidR="0014173B">
          <w:rPr>
            <w:noProof/>
            <w:webHidden/>
          </w:rPr>
          <w:tab/>
        </w:r>
        <w:r w:rsidR="0014173B">
          <w:rPr>
            <w:noProof/>
            <w:webHidden/>
          </w:rPr>
          <w:fldChar w:fldCharType="begin"/>
        </w:r>
        <w:r w:rsidR="0014173B">
          <w:rPr>
            <w:noProof/>
            <w:webHidden/>
          </w:rPr>
          <w:instrText xml:space="preserve"> PAGEREF _Toc520212450 \h </w:instrText>
        </w:r>
        <w:r w:rsidR="0014173B">
          <w:rPr>
            <w:noProof/>
            <w:webHidden/>
          </w:rPr>
        </w:r>
        <w:r w:rsidR="0014173B">
          <w:rPr>
            <w:noProof/>
            <w:webHidden/>
          </w:rPr>
          <w:fldChar w:fldCharType="separate"/>
        </w:r>
        <w:r w:rsidR="00940F6A">
          <w:rPr>
            <w:noProof/>
            <w:webHidden/>
          </w:rPr>
          <w:t>27</w:t>
        </w:r>
        <w:r w:rsidR="00FD6565">
          <w:rPr>
            <w:noProof/>
            <w:webHidden/>
          </w:rPr>
          <w:t>8</w:t>
        </w:r>
        <w:r w:rsidR="0014173B">
          <w:rPr>
            <w:noProof/>
            <w:webHidden/>
          </w:rPr>
          <w:fldChar w:fldCharType="end"/>
        </w:r>
      </w:hyperlink>
    </w:p>
    <w:p w14:paraId="1E05B403" w14:textId="405C353D" w:rsidR="0014173B" w:rsidRDefault="00874C0C">
      <w:pPr>
        <w:pStyle w:val="Indicedellefigure"/>
        <w:tabs>
          <w:tab w:val="right" w:leader="dot" w:pos="8488"/>
        </w:tabs>
        <w:rPr>
          <w:rFonts w:asciiTheme="minorHAnsi" w:hAnsiTheme="minorHAnsi" w:cstheme="minorBidi"/>
          <w:noProof/>
          <w:szCs w:val="22"/>
          <w:lang w:eastAsia="en-GB"/>
        </w:rPr>
      </w:pPr>
      <w:hyperlink w:anchor="_Toc520212451" w:history="1">
        <w:r w:rsidR="0014173B" w:rsidRPr="00292D0C">
          <w:rPr>
            <w:rStyle w:val="Collegamentoipertestuale"/>
            <w:noProof/>
          </w:rPr>
          <w:t>Figure 5-58</w:t>
        </w:r>
        <w:r w:rsidR="003D31DD">
          <w:rPr>
            <w:rStyle w:val="Collegamentoipertestuale"/>
            <w:noProof/>
          </w:rPr>
          <w:t>.</w:t>
        </w:r>
        <w:r w:rsidR="0014173B" w:rsidRPr="00292D0C">
          <w:rPr>
            <w:rStyle w:val="Collegamentoipertestuale"/>
            <w:noProof/>
          </w:rPr>
          <w:t xml:space="preserve"> FM 66, Arcade pattern (after Furumark 1972: Fig. 70.66)</w:t>
        </w:r>
        <w:r w:rsidR="0014173B">
          <w:rPr>
            <w:noProof/>
            <w:webHidden/>
          </w:rPr>
          <w:tab/>
        </w:r>
        <w:r w:rsidR="0014173B">
          <w:rPr>
            <w:noProof/>
            <w:webHidden/>
          </w:rPr>
          <w:fldChar w:fldCharType="begin"/>
        </w:r>
        <w:r w:rsidR="0014173B">
          <w:rPr>
            <w:noProof/>
            <w:webHidden/>
          </w:rPr>
          <w:instrText xml:space="preserve"> PAGEREF _Toc520212451 \h </w:instrText>
        </w:r>
        <w:r w:rsidR="0014173B">
          <w:rPr>
            <w:noProof/>
            <w:webHidden/>
          </w:rPr>
        </w:r>
        <w:r w:rsidR="0014173B">
          <w:rPr>
            <w:noProof/>
            <w:webHidden/>
          </w:rPr>
          <w:fldChar w:fldCharType="separate"/>
        </w:r>
        <w:r w:rsidR="00940F6A">
          <w:rPr>
            <w:noProof/>
            <w:webHidden/>
          </w:rPr>
          <w:t>27</w:t>
        </w:r>
        <w:r w:rsidR="00FD6565">
          <w:rPr>
            <w:noProof/>
            <w:webHidden/>
          </w:rPr>
          <w:t>8</w:t>
        </w:r>
        <w:r w:rsidR="0014173B">
          <w:rPr>
            <w:noProof/>
            <w:webHidden/>
          </w:rPr>
          <w:fldChar w:fldCharType="end"/>
        </w:r>
      </w:hyperlink>
    </w:p>
    <w:p w14:paraId="5BD7A95C" w14:textId="2C734AC4" w:rsidR="0014173B" w:rsidRDefault="00874C0C">
      <w:pPr>
        <w:pStyle w:val="Indicedellefigure"/>
        <w:tabs>
          <w:tab w:val="right" w:leader="dot" w:pos="8488"/>
        </w:tabs>
        <w:rPr>
          <w:rFonts w:asciiTheme="minorHAnsi" w:hAnsiTheme="minorHAnsi" w:cstheme="minorBidi"/>
          <w:noProof/>
          <w:szCs w:val="22"/>
          <w:lang w:eastAsia="en-GB"/>
        </w:rPr>
      </w:pPr>
      <w:hyperlink w:anchor="_Toc520212452" w:history="1">
        <w:r w:rsidR="0014173B" w:rsidRPr="00292D0C">
          <w:rPr>
            <w:rStyle w:val="Collegamentoipertestuale"/>
            <w:noProof/>
          </w:rPr>
          <w:t>Figure 5-59</w:t>
        </w:r>
        <w:r w:rsidR="003D31DD">
          <w:rPr>
            <w:rStyle w:val="Collegamentoipertestuale"/>
            <w:noProof/>
          </w:rPr>
          <w:t>.</w:t>
        </w:r>
        <w:r w:rsidR="0014173B" w:rsidRPr="00292D0C">
          <w:rPr>
            <w:rStyle w:val="Collegamentoipertestuale"/>
            <w:noProof/>
          </w:rPr>
          <w:t xml:space="preserve"> FM 67, Curved stripes (after Furumark 1972: Fig. 70.67)</w:t>
        </w:r>
        <w:r w:rsidR="0014173B">
          <w:rPr>
            <w:noProof/>
            <w:webHidden/>
          </w:rPr>
          <w:tab/>
        </w:r>
        <w:r w:rsidR="0014173B">
          <w:rPr>
            <w:noProof/>
            <w:webHidden/>
          </w:rPr>
          <w:fldChar w:fldCharType="begin"/>
        </w:r>
        <w:r w:rsidR="0014173B">
          <w:rPr>
            <w:noProof/>
            <w:webHidden/>
          </w:rPr>
          <w:instrText xml:space="preserve"> PAGEREF _Toc520212452 \h </w:instrText>
        </w:r>
        <w:r w:rsidR="0014173B">
          <w:rPr>
            <w:noProof/>
            <w:webHidden/>
          </w:rPr>
        </w:r>
        <w:r w:rsidR="0014173B">
          <w:rPr>
            <w:noProof/>
            <w:webHidden/>
          </w:rPr>
          <w:fldChar w:fldCharType="separate"/>
        </w:r>
        <w:r w:rsidR="00940F6A">
          <w:rPr>
            <w:noProof/>
            <w:webHidden/>
          </w:rPr>
          <w:t>27</w:t>
        </w:r>
        <w:r w:rsidR="00FD6565">
          <w:rPr>
            <w:noProof/>
            <w:webHidden/>
          </w:rPr>
          <w:t>8</w:t>
        </w:r>
        <w:r w:rsidR="0014173B">
          <w:rPr>
            <w:noProof/>
            <w:webHidden/>
          </w:rPr>
          <w:fldChar w:fldCharType="end"/>
        </w:r>
      </w:hyperlink>
    </w:p>
    <w:p w14:paraId="7B891931" w14:textId="5E08005E" w:rsidR="0014173B" w:rsidRDefault="00874C0C">
      <w:pPr>
        <w:pStyle w:val="Indicedellefigure"/>
        <w:tabs>
          <w:tab w:val="right" w:leader="dot" w:pos="8488"/>
        </w:tabs>
        <w:rPr>
          <w:rFonts w:asciiTheme="minorHAnsi" w:hAnsiTheme="minorHAnsi" w:cstheme="minorBidi"/>
          <w:noProof/>
          <w:szCs w:val="22"/>
          <w:lang w:eastAsia="en-GB"/>
        </w:rPr>
      </w:pPr>
      <w:hyperlink w:anchor="_Toc520212453" w:history="1">
        <w:r w:rsidR="0014173B" w:rsidRPr="00292D0C">
          <w:rPr>
            <w:rStyle w:val="Collegamentoipertestuale"/>
            <w:noProof/>
          </w:rPr>
          <w:t>Figure 5-60</w:t>
        </w:r>
        <w:r w:rsidR="003D31DD">
          <w:rPr>
            <w:rStyle w:val="Collegamentoipertestuale"/>
            <w:noProof/>
          </w:rPr>
          <w:t>.</w:t>
        </w:r>
        <w:r w:rsidR="0014173B" w:rsidRPr="00292D0C">
          <w:rPr>
            <w:rStyle w:val="Collegamentoipertestuale"/>
            <w:noProof/>
          </w:rPr>
          <w:t xml:space="preserve"> FM 68, Wheel (after Furumark 1972: Fig. 70.68)</w:t>
        </w:r>
        <w:r w:rsidR="0014173B">
          <w:rPr>
            <w:noProof/>
            <w:webHidden/>
          </w:rPr>
          <w:tab/>
        </w:r>
        <w:r w:rsidR="0014173B">
          <w:rPr>
            <w:noProof/>
            <w:webHidden/>
          </w:rPr>
          <w:fldChar w:fldCharType="begin"/>
        </w:r>
        <w:r w:rsidR="0014173B">
          <w:rPr>
            <w:noProof/>
            <w:webHidden/>
          </w:rPr>
          <w:instrText xml:space="preserve"> PAGEREF _Toc520212453 \h </w:instrText>
        </w:r>
        <w:r w:rsidR="0014173B">
          <w:rPr>
            <w:noProof/>
            <w:webHidden/>
          </w:rPr>
        </w:r>
        <w:r w:rsidR="0014173B">
          <w:rPr>
            <w:noProof/>
            <w:webHidden/>
          </w:rPr>
          <w:fldChar w:fldCharType="separate"/>
        </w:r>
        <w:r w:rsidR="00940F6A">
          <w:rPr>
            <w:noProof/>
            <w:webHidden/>
          </w:rPr>
          <w:t>27</w:t>
        </w:r>
        <w:r w:rsidR="00FD6565">
          <w:rPr>
            <w:noProof/>
            <w:webHidden/>
          </w:rPr>
          <w:t>8</w:t>
        </w:r>
        <w:r w:rsidR="0014173B">
          <w:rPr>
            <w:noProof/>
            <w:webHidden/>
          </w:rPr>
          <w:fldChar w:fldCharType="end"/>
        </w:r>
      </w:hyperlink>
    </w:p>
    <w:p w14:paraId="559866C8" w14:textId="7402F4B5" w:rsidR="0014173B" w:rsidRDefault="00874C0C">
      <w:pPr>
        <w:pStyle w:val="Indicedellefigure"/>
        <w:tabs>
          <w:tab w:val="right" w:leader="dot" w:pos="8488"/>
        </w:tabs>
        <w:rPr>
          <w:rFonts w:asciiTheme="minorHAnsi" w:hAnsiTheme="minorHAnsi" w:cstheme="minorBidi"/>
          <w:noProof/>
          <w:szCs w:val="22"/>
          <w:lang w:eastAsia="en-GB"/>
        </w:rPr>
      </w:pPr>
      <w:hyperlink w:anchor="_Toc520212454" w:history="1">
        <w:r w:rsidR="0014173B" w:rsidRPr="00292D0C">
          <w:rPr>
            <w:rStyle w:val="Collegamentoipertestuale"/>
            <w:noProof/>
          </w:rPr>
          <w:t>Figure 5-61</w:t>
        </w:r>
        <w:r w:rsidR="003D31DD">
          <w:rPr>
            <w:rStyle w:val="Collegamentoipertestuale"/>
            <w:noProof/>
          </w:rPr>
          <w:t>.</w:t>
        </w:r>
        <w:r w:rsidR="0014173B" w:rsidRPr="00292D0C">
          <w:rPr>
            <w:rStyle w:val="Collegamentoipertestuale"/>
            <w:noProof/>
          </w:rPr>
          <w:t xml:space="preserve"> FM 69, Adder mark (after Furumark 1972: Fig. 70.69)</w:t>
        </w:r>
        <w:r w:rsidR="0014173B">
          <w:rPr>
            <w:noProof/>
            <w:webHidden/>
          </w:rPr>
          <w:tab/>
        </w:r>
        <w:r w:rsidR="0014173B">
          <w:rPr>
            <w:noProof/>
            <w:webHidden/>
          </w:rPr>
          <w:fldChar w:fldCharType="begin"/>
        </w:r>
        <w:r w:rsidR="0014173B">
          <w:rPr>
            <w:noProof/>
            <w:webHidden/>
          </w:rPr>
          <w:instrText xml:space="preserve"> PAGEREF _Toc520212454 \h </w:instrText>
        </w:r>
        <w:r w:rsidR="0014173B">
          <w:rPr>
            <w:noProof/>
            <w:webHidden/>
          </w:rPr>
        </w:r>
        <w:r w:rsidR="0014173B">
          <w:rPr>
            <w:noProof/>
            <w:webHidden/>
          </w:rPr>
          <w:fldChar w:fldCharType="separate"/>
        </w:r>
        <w:r w:rsidR="00940F6A">
          <w:rPr>
            <w:noProof/>
            <w:webHidden/>
          </w:rPr>
          <w:t>27</w:t>
        </w:r>
        <w:r w:rsidR="00FD6565">
          <w:rPr>
            <w:noProof/>
            <w:webHidden/>
          </w:rPr>
          <w:t>9</w:t>
        </w:r>
        <w:r w:rsidR="0014173B">
          <w:rPr>
            <w:noProof/>
            <w:webHidden/>
          </w:rPr>
          <w:fldChar w:fldCharType="end"/>
        </w:r>
      </w:hyperlink>
    </w:p>
    <w:p w14:paraId="52ABFBC5" w14:textId="3072A670" w:rsidR="0014173B" w:rsidRDefault="00874C0C">
      <w:pPr>
        <w:pStyle w:val="Indicedellefigure"/>
        <w:tabs>
          <w:tab w:val="right" w:leader="dot" w:pos="8488"/>
        </w:tabs>
        <w:rPr>
          <w:rFonts w:asciiTheme="minorHAnsi" w:hAnsiTheme="minorHAnsi" w:cstheme="minorBidi"/>
          <w:noProof/>
          <w:szCs w:val="22"/>
          <w:lang w:eastAsia="en-GB"/>
        </w:rPr>
      </w:pPr>
      <w:hyperlink w:anchor="_Toc520212455" w:history="1">
        <w:r w:rsidR="0014173B" w:rsidRPr="00292D0C">
          <w:rPr>
            <w:rStyle w:val="Collegamentoipertestuale"/>
            <w:noProof/>
          </w:rPr>
          <w:t>Figure 5-62</w:t>
        </w:r>
        <w:r w:rsidR="003D31DD">
          <w:rPr>
            <w:rStyle w:val="Collegamentoipertestuale"/>
            <w:noProof/>
          </w:rPr>
          <w:t>.</w:t>
        </w:r>
        <w:r w:rsidR="0014173B" w:rsidRPr="00292D0C">
          <w:rPr>
            <w:rStyle w:val="Collegamentoipertestuale"/>
            <w:noProof/>
          </w:rPr>
          <w:t xml:space="preserve"> FM 70, Scale pattern (after Furumark 1972: Fig. 70.70)</w:t>
        </w:r>
        <w:r w:rsidR="0014173B">
          <w:rPr>
            <w:noProof/>
            <w:webHidden/>
          </w:rPr>
          <w:tab/>
        </w:r>
        <w:r w:rsidR="0014173B">
          <w:rPr>
            <w:noProof/>
            <w:webHidden/>
          </w:rPr>
          <w:fldChar w:fldCharType="begin"/>
        </w:r>
        <w:r w:rsidR="0014173B">
          <w:rPr>
            <w:noProof/>
            <w:webHidden/>
          </w:rPr>
          <w:instrText xml:space="preserve"> PAGEREF _Toc520212455 \h </w:instrText>
        </w:r>
        <w:r w:rsidR="0014173B">
          <w:rPr>
            <w:noProof/>
            <w:webHidden/>
          </w:rPr>
        </w:r>
        <w:r w:rsidR="0014173B">
          <w:rPr>
            <w:noProof/>
            <w:webHidden/>
          </w:rPr>
          <w:fldChar w:fldCharType="separate"/>
        </w:r>
        <w:r w:rsidR="00940F6A">
          <w:rPr>
            <w:noProof/>
            <w:webHidden/>
          </w:rPr>
          <w:t>27</w:t>
        </w:r>
        <w:r w:rsidR="00FD6565">
          <w:rPr>
            <w:noProof/>
            <w:webHidden/>
          </w:rPr>
          <w:t>9</w:t>
        </w:r>
        <w:r w:rsidR="0014173B">
          <w:rPr>
            <w:noProof/>
            <w:webHidden/>
          </w:rPr>
          <w:fldChar w:fldCharType="end"/>
        </w:r>
      </w:hyperlink>
    </w:p>
    <w:p w14:paraId="2AE68ABC" w14:textId="3967D2B5" w:rsidR="0014173B" w:rsidRDefault="00874C0C">
      <w:pPr>
        <w:pStyle w:val="Indicedellefigure"/>
        <w:tabs>
          <w:tab w:val="right" w:leader="dot" w:pos="8488"/>
        </w:tabs>
        <w:rPr>
          <w:rFonts w:asciiTheme="minorHAnsi" w:hAnsiTheme="minorHAnsi" w:cstheme="minorBidi"/>
          <w:noProof/>
          <w:szCs w:val="22"/>
          <w:lang w:eastAsia="en-GB"/>
        </w:rPr>
      </w:pPr>
      <w:hyperlink w:anchor="_Toc520212456" w:history="1">
        <w:r w:rsidR="0014173B" w:rsidRPr="00292D0C">
          <w:rPr>
            <w:rStyle w:val="Collegamentoipertestuale"/>
            <w:noProof/>
          </w:rPr>
          <w:t>Figure 5-63</w:t>
        </w:r>
        <w:r w:rsidR="003D31DD">
          <w:rPr>
            <w:rStyle w:val="Collegamentoipertestuale"/>
            <w:noProof/>
          </w:rPr>
          <w:t>.</w:t>
        </w:r>
        <w:r w:rsidR="0014173B" w:rsidRPr="00292D0C">
          <w:rPr>
            <w:rStyle w:val="Collegamentoipertestuale"/>
            <w:noProof/>
          </w:rPr>
          <w:t xml:space="preserve"> FM 73, Lozenge (after Furumark 1972: Fig. 71.73)</w:t>
        </w:r>
        <w:r w:rsidR="0014173B">
          <w:rPr>
            <w:noProof/>
            <w:webHidden/>
          </w:rPr>
          <w:tab/>
        </w:r>
        <w:r w:rsidR="0014173B">
          <w:rPr>
            <w:noProof/>
            <w:webHidden/>
          </w:rPr>
          <w:fldChar w:fldCharType="begin"/>
        </w:r>
        <w:r w:rsidR="0014173B">
          <w:rPr>
            <w:noProof/>
            <w:webHidden/>
          </w:rPr>
          <w:instrText xml:space="preserve"> PAGEREF _Toc520212456 \h </w:instrText>
        </w:r>
        <w:r w:rsidR="0014173B">
          <w:rPr>
            <w:noProof/>
            <w:webHidden/>
          </w:rPr>
        </w:r>
        <w:r w:rsidR="0014173B">
          <w:rPr>
            <w:noProof/>
            <w:webHidden/>
          </w:rPr>
          <w:fldChar w:fldCharType="separate"/>
        </w:r>
        <w:r w:rsidR="00940F6A">
          <w:rPr>
            <w:noProof/>
            <w:webHidden/>
          </w:rPr>
          <w:t>27</w:t>
        </w:r>
        <w:r w:rsidR="00FD6565">
          <w:rPr>
            <w:noProof/>
            <w:webHidden/>
          </w:rPr>
          <w:t>9</w:t>
        </w:r>
        <w:r w:rsidR="0014173B">
          <w:rPr>
            <w:noProof/>
            <w:webHidden/>
          </w:rPr>
          <w:fldChar w:fldCharType="end"/>
        </w:r>
      </w:hyperlink>
    </w:p>
    <w:p w14:paraId="696523CA" w14:textId="5F0B302F" w:rsidR="0014173B" w:rsidRDefault="00874C0C">
      <w:pPr>
        <w:pStyle w:val="Indicedellefigure"/>
        <w:tabs>
          <w:tab w:val="right" w:leader="dot" w:pos="8488"/>
        </w:tabs>
        <w:rPr>
          <w:rFonts w:asciiTheme="minorHAnsi" w:hAnsiTheme="minorHAnsi" w:cstheme="minorBidi"/>
          <w:noProof/>
          <w:szCs w:val="22"/>
          <w:lang w:eastAsia="en-GB"/>
        </w:rPr>
      </w:pPr>
      <w:hyperlink w:anchor="_Toc520212457" w:history="1">
        <w:r w:rsidR="0014173B" w:rsidRPr="00292D0C">
          <w:rPr>
            <w:rStyle w:val="Collegamentoipertestuale"/>
            <w:noProof/>
          </w:rPr>
          <w:t>Figure 5-64</w:t>
        </w:r>
        <w:r w:rsidR="003D31DD">
          <w:rPr>
            <w:rStyle w:val="Collegamentoipertestuale"/>
            <w:noProof/>
          </w:rPr>
          <w:t>.</w:t>
        </w:r>
        <w:r w:rsidR="0014173B" w:rsidRPr="00292D0C">
          <w:rPr>
            <w:rStyle w:val="Collegamentoipertestuale"/>
            <w:noProof/>
          </w:rPr>
          <w:t xml:space="preserve"> FM 75, Panelled pattern (after Furumark 1972: Fig. 72.75)</w:t>
        </w:r>
        <w:r w:rsidR="0014173B">
          <w:rPr>
            <w:noProof/>
            <w:webHidden/>
          </w:rPr>
          <w:tab/>
        </w:r>
        <w:r w:rsidR="0014173B">
          <w:rPr>
            <w:noProof/>
            <w:webHidden/>
          </w:rPr>
          <w:fldChar w:fldCharType="begin"/>
        </w:r>
        <w:r w:rsidR="0014173B">
          <w:rPr>
            <w:noProof/>
            <w:webHidden/>
          </w:rPr>
          <w:instrText xml:space="preserve"> PAGEREF _Toc520212457 \h </w:instrText>
        </w:r>
        <w:r w:rsidR="0014173B">
          <w:rPr>
            <w:noProof/>
            <w:webHidden/>
          </w:rPr>
        </w:r>
        <w:r w:rsidR="0014173B">
          <w:rPr>
            <w:noProof/>
            <w:webHidden/>
          </w:rPr>
          <w:fldChar w:fldCharType="separate"/>
        </w:r>
        <w:r w:rsidR="00940F6A">
          <w:rPr>
            <w:noProof/>
            <w:webHidden/>
          </w:rPr>
          <w:t>27</w:t>
        </w:r>
        <w:r w:rsidR="0014173B">
          <w:rPr>
            <w:noProof/>
            <w:webHidden/>
          </w:rPr>
          <w:fldChar w:fldCharType="end"/>
        </w:r>
      </w:hyperlink>
      <w:r w:rsidR="00FD6565">
        <w:rPr>
          <w:noProof/>
        </w:rPr>
        <w:t>9</w:t>
      </w:r>
    </w:p>
    <w:p w14:paraId="681ADFE3" w14:textId="4B447163" w:rsidR="0014173B" w:rsidRDefault="00874C0C">
      <w:pPr>
        <w:pStyle w:val="Indicedellefigure"/>
        <w:tabs>
          <w:tab w:val="right" w:leader="dot" w:pos="8488"/>
        </w:tabs>
        <w:rPr>
          <w:rFonts w:asciiTheme="minorHAnsi" w:hAnsiTheme="minorHAnsi" w:cstheme="minorBidi"/>
          <w:noProof/>
          <w:szCs w:val="22"/>
          <w:lang w:eastAsia="en-GB"/>
        </w:rPr>
      </w:pPr>
      <w:hyperlink w:anchor="_Toc520212458" w:history="1">
        <w:r w:rsidR="0014173B" w:rsidRPr="00292D0C">
          <w:rPr>
            <w:rStyle w:val="Collegamentoipertestuale"/>
            <w:noProof/>
          </w:rPr>
          <w:t>Figure 5-65</w:t>
        </w:r>
        <w:r w:rsidR="003D31DD">
          <w:rPr>
            <w:rStyle w:val="Collegamentoipertestuale"/>
            <w:noProof/>
          </w:rPr>
          <w:t>.</w:t>
        </w:r>
        <w:r w:rsidR="0014173B" w:rsidRPr="00292D0C">
          <w:rPr>
            <w:rStyle w:val="Collegamentoipertestuale"/>
            <w:noProof/>
          </w:rPr>
          <w:t xml:space="preserve"> Chest-shaped larnax with four feet and gabled lid (after Preston 2004b: Fig. 3)</w:t>
        </w:r>
        <w:r w:rsidR="0014173B">
          <w:rPr>
            <w:noProof/>
            <w:webHidden/>
          </w:rPr>
          <w:tab/>
        </w:r>
        <w:r w:rsidR="0014173B">
          <w:rPr>
            <w:noProof/>
            <w:webHidden/>
          </w:rPr>
          <w:fldChar w:fldCharType="begin"/>
        </w:r>
        <w:r w:rsidR="0014173B">
          <w:rPr>
            <w:noProof/>
            <w:webHidden/>
          </w:rPr>
          <w:instrText xml:space="preserve"> PAGEREF _Toc520212458 \h </w:instrText>
        </w:r>
        <w:r w:rsidR="0014173B">
          <w:rPr>
            <w:noProof/>
            <w:webHidden/>
          </w:rPr>
        </w:r>
        <w:r w:rsidR="0014173B">
          <w:rPr>
            <w:noProof/>
            <w:webHidden/>
          </w:rPr>
          <w:fldChar w:fldCharType="separate"/>
        </w:r>
        <w:r w:rsidR="00940F6A">
          <w:rPr>
            <w:noProof/>
            <w:webHidden/>
          </w:rPr>
          <w:t>28</w:t>
        </w:r>
        <w:r w:rsidR="00FD6565">
          <w:rPr>
            <w:noProof/>
            <w:webHidden/>
          </w:rPr>
          <w:t>1</w:t>
        </w:r>
        <w:r w:rsidR="0014173B">
          <w:rPr>
            <w:noProof/>
            <w:webHidden/>
          </w:rPr>
          <w:fldChar w:fldCharType="end"/>
        </w:r>
      </w:hyperlink>
    </w:p>
    <w:p w14:paraId="6A0BE9B2" w14:textId="1BBEB58A" w:rsidR="0014173B" w:rsidRDefault="00874C0C">
      <w:pPr>
        <w:pStyle w:val="Indicedellefigure"/>
        <w:tabs>
          <w:tab w:val="right" w:leader="dot" w:pos="8488"/>
        </w:tabs>
        <w:rPr>
          <w:rFonts w:asciiTheme="minorHAnsi" w:hAnsiTheme="minorHAnsi" w:cstheme="minorBidi"/>
          <w:noProof/>
          <w:szCs w:val="22"/>
          <w:lang w:eastAsia="en-GB"/>
        </w:rPr>
      </w:pPr>
      <w:hyperlink w:anchor="_Toc520212459" w:history="1">
        <w:r w:rsidR="0014173B" w:rsidRPr="00292D0C">
          <w:rPr>
            <w:rStyle w:val="Collegamentoipertestuale"/>
            <w:noProof/>
          </w:rPr>
          <w:t>Figure 5-66</w:t>
        </w:r>
        <w:r w:rsidR="003D31DD">
          <w:rPr>
            <w:rStyle w:val="Collegamentoipertestuale"/>
            <w:noProof/>
          </w:rPr>
          <w:t>.</w:t>
        </w:r>
        <w:r w:rsidR="0014173B" w:rsidRPr="00292D0C">
          <w:rPr>
            <w:rStyle w:val="Collegamentoipertestuale"/>
            <w:noProof/>
          </w:rPr>
          <w:t xml:space="preserve"> Bathtub larnax (after Preston 2004b: Fig. 3)</w:t>
        </w:r>
        <w:r w:rsidR="0014173B">
          <w:rPr>
            <w:noProof/>
            <w:webHidden/>
          </w:rPr>
          <w:tab/>
        </w:r>
        <w:r w:rsidR="0014173B">
          <w:rPr>
            <w:noProof/>
            <w:webHidden/>
          </w:rPr>
          <w:fldChar w:fldCharType="begin"/>
        </w:r>
        <w:r w:rsidR="0014173B">
          <w:rPr>
            <w:noProof/>
            <w:webHidden/>
          </w:rPr>
          <w:instrText xml:space="preserve"> PAGEREF _Toc520212459 \h </w:instrText>
        </w:r>
        <w:r w:rsidR="0014173B">
          <w:rPr>
            <w:noProof/>
            <w:webHidden/>
          </w:rPr>
        </w:r>
        <w:r w:rsidR="0014173B">
          <w:rPr>
            <w:noProof/>
            <w:webHidden/>
          </w:rPr>
          <w:fldChar w:fldCharType="separate"/>
        </w:r>
        <w:r w:rsidR="00940F6A">
          <w:rPr>
            <w:noProof/>
            <w:webHidden/>
          </w:rPr>
          <w:t>28</w:t>
        </w:r>
        <w:r w:rsidR="0014173B">
          <w:rPr>
            <w:noProof/>
            <w:webHidden/>
          </w:rPr>
          <w:fldChar w:fldCharType="end"/>
        </w:r>
      </w:hyperlink>
      <w:r w:rsidR="00FD6565">
        <w:rPr>
          <w:noProof/>
        </w:rPr>
        <w:t>2</w:t>
      </w:r>
    </w:p>
    <w:p w14:paraId="66113085" w14:textId="7E47290D" w:rsidR="0014173B" w:rsidRDefault="00874C0C">
      <w:pPr>
        <w:pStyle w:val="Indicedellefigure"/>
        <w:tabs>
          <w:tab w:val="right" w:leader="dot" w:pos="8488"/>
        </w:tabs>
        <w:rPr>
          <w:rFonts w:asciiTheme="minorHAnsi" w:hAnsiTheme="minorHAnsi" w:cstheme="minorBidi"/>
          <w:noProof/>
          <w:szCs w:val="22"/>
          <w:lang w:eastAsia="en-GB"/>
        </w:rPr>
      </w:pPr>
      <w:hyperlink r:id="rId10" w:anchor="_Toc520212460" w:history="1">
        <w:r w:rsidR="0014173B" w:rsidRPr="00292D0C">
          <w:rPr>
            <w:rStyle w:val="Collegamentoipertestuale"/>
            <w:noProof/>
          </w:rPr>
          <w:t>Figure 5-67</w:t>
        </w:r>
        <w:r w:rsidR="003D31DD">
          <w:rPr>
            <w:rStyle w:val="Collegamentoipertestuale"/>
            <w:noProof/>
          </w:rPr>
          <w:t>.</w:t>
        </w:r>
        <w:r w:rsidR="0014173B" w:rsidRPr="00292D0C">
          <w:rPr>
            <w:rStyle w:val="Collegamentoipertestuale"/>
            <w:noProof/>
          </w:rPr>
          <w:t xml:space="preserve"> Furumark motifs occurrence in larnakes from Far-West area</w:t>
        </w:r>
        <w:r w:rsidR="0014173B">
          <w:rPr>
            <w:noProof/>
            <w:webHidden/>
          </w:rPr>
          <w:tab/>
        </w:r>
        <w:r w:rsidR="0014173B">
          <w:rPr>
            <w:noProof/>
            <w:webHidden/>
          </w:rPr>
          <w:fldChar w:fldCharType="begin"/>
        </w:r>
        <w:r w:rsidR="0014173B">
          <w:rPr>
            <w:noProof/>
            <w:webHidden/>
          </w:rPr>
          <w:instrText xml:space="preserve"> PAGEREF _Toc520212460 \h </w:instrText>
        </w:r>
        <w:r w:rsidR="0014173B">
          <w:rPr>
            <w:noProof/>
            <w:webHidden/>
          </w:rPr>
        </w:r>
        <w:r w:rsidR="0014173B">
          <w:rPr>
            <w:noProof/>
            <w:webHidden/>
          </w:rPr>
          <w:fldChar w:fldCharType="separate"/>
        </w:r>
        <w:r w:rsidR="00940F6A">
          <w:rPr>
            <w:noProof/>
            <w:webHidden/>
          </w:rPr>
          <w:t>28</w:t>
        </w:r>
        <w:r w:rsidR="00FD6565">
          <w:rPr>
            <w:noProof/>
            <w:webHidden/>
          </w:rPr>
          <w:t>6</w:t>
        </w:r>
        <w:r w:rsidR="0014173B">
          <w:rPr>
            <w:noProof/>
            <w:webHidden/>
          </w:rPr>
          <w:fldChar w:fldCharType="end"/>
        </w:r>
      </w:hyperlink>
    </w:p>
    <w:p w14:paraId="3C7F5CDF" w14:textId="0AFEC13A" w:rsidR="0014173B" w:rsidRDefault="00874C0C">
      <w:pPr>
        <w:pStyle w:val="Indicedellefigure"/>
        <w:tabs>
          <w:tab w:val="right" w:leader="dot" w:pos="8488"/>
        </w:tabs>
        <w:rPr>
          <w:rFonts w:asciiTheme="minorHAnsi" w:hAnsiTheme="minorHAnsi" w:cstheme="minorBidi"/>
          <w:noProof/>
          <w:szCs w:val="22"/>
          <w:lang w:eastAsia="en-GB"/>
        </w:rPr>
      </w:pPr>
      <w:hyperlink w:anchor="_Toc520212461" w:history="1">
        <w:r w:rsidR="0014173B" w:rsidRPr="00292D0C">
          <w:rPr>
            <w:rStyle w:val="Collegamentoipertestuale"/>
            <w:noProof/>
          </w:rPr>
          <w:t>Figure 5-68</w:t>
        </w:r>
        <w:r w:rsidR="003D31DD">
          <w:rPr>
            <w:rStyle w:val="Collegamentoipertestuale"/>
            <w:noProof/>
          </w:rPr>
          <w:t>.</w:t>
        </w:r>
        <w:r w:rsidR="0014173B" w:rsidRPr="00292D0C">
          <w:rPr>
            <w:rStyle w:val="Collegamentoipertestuale"/>
            <w:noProof/>
          </w:rPr>
          <w:t xml:space="preserve"> Mid-West </w:t>
        </w:r>
        <w:r w:rsidR="003B7063">
          <w:rPr>
            <w:rStyle w:val="Collegamentoipertestuale"/>
            <w:noProof/>
          </w:rPr>
          <w:t xml:space="preserve">area </w:t>
        </w:r>
        <w:r w:rsidR="0014173B" w:rsidRPr="00292D0C">
          <w:rPr>
            <w:rStyle w:val="Collegamentoipertestuale"/>
            <w:noProof/>
          </w:rPr>
          <w:t>larnax decoration.</w:t>
        </w:r>
        <w:r w:rsidR="0014173B">
          <w:rPr>
            <w:noProof/>
            <w:webHidden/>
          </w:rPr>
          <w:tab/>
        </w:r>
        <w:r w:rsidR="0014173B">
          <w:rPr>
            <w:noProof/>
            <w:webHidden/>
          </w:rPr>
          <w:fldChar w:fldCharType="begin"/>
        </w:r>
        <w:r w:rsidR="0014173B">
          <w:rPr>
            <w:noProof/>
            <w:webHidden/>
          </w:rPr>
          <w:instrText xml:space="preserve"> PAGEREF _Toc520212461 \h </w:instrText>
        </w:r>
        <w:r w:rsidR="0014173B">
          <w:rPr>
            <w:noProof/>
            <w:webHidden/>
          </w:rPr>
        </w:r>
        <w:r w:rsidR="0014173B">
          <w:rPr>
            <w:noProof/>
            <w:webHidden/>
          </w:rPr>
          <w:fldChar w:fldCharType="separate"/>
        </w:r>
        <w:r w:rsidR="00940F6A">
          <w:rPr>
            <w:noProof/>
            <w:webHidden/>
          </w:rPr>
          <w:t>2</w:t>
        </w:r>
        <w:r w:rsidR="0014173B">
          <w:rPr>
            <w:noProof/>
            <w:webHidden/>
          </w:rPr>
          <w:fldChar w:fldCharType="end"/>
        </w:r>
      </w:hyperlink>
      <w:r w:rsidR="00671E26">
        <w:rPr>
          <w:noProof/>
        </w:rPr>
        <w:t>90</w:t>
      </w:r>
    </w:p>
    <w:p w14:paraId="7D1AA8D4" w14:textId="6A4777F4" w:rsidR="0014173B" w:rsidRDefault="00874C0C">
      <w:pPr>
        <w:pStyle w:val="Indicedellefigure"/>
        <w:tabs>
          <w:tab w:val="right" w:leader="dot" w:pos="8488"/>
        </w:tabs>
        <w:rPr>
          <w:rFonts w:asciiTheme="minorHAnsi" w:hAnsiTheme="minorHAnsi" w:cstheme="minorBidi"/>
          <w:noProof/>
          <w:szCs w:val="22"/>
          <w:lang w:eastAsia="en-GB"/>
        </w:rPr>
      </w:pPr>
      <w:hyperlink w:anchor="_Toc520212462" w:history="1">
        <w:r w:rsidR="0014173B" w:rsidRPr="00292D0C">
          <w:rPr>
            <w:rStyle w:val="Collegamentoipertestuale"/>
            <w:noProof/>
          </w:rPr>
          <w:t>Figure 5-69</w:t>
        </w:r>
        <w:r w:rsidR="003D31DD">
          <w:rPr>
            <w:rStyle w:val="Collegamentoipertestuale"/>
            <w:noProof/>
          </w:rPr>
          <w:t>.</w:t>
        </w:r>
        <w:r w:rsidR="0014173B" w:rsidRPr="00292D0C">
          <w:rPr>
            <w:rStyle w:val="Collegamentoipertestuale"/>
            <w:noProof/>
          </w:rPr>
          <w:t xml:space="preserve"> Decoration occurrence in Mid-West larnakes</w:t>
        </w:r>
        <w:r w:rsidR="0014173B">
          <w:rPr>
            <w:noProof/>
            <w:webHidden/>
          </w:rPr>
          <w:tab/>
        </w:r>
        <w:r w:rsidR="0014173B">
          <w:rPr>
            <w:noProof/>
            <w:webHidden/>
          </w:rPr>
          <w:fldChar w:fldCharType="begin"/>
        </w:r>
        <w:r w:rsidR="0014173B">
          <w:rPr>
            <w:noProof/>
            <w:webHidden/>
          </w:rPr>
          <w:instrText xml:space="preserve"> PAGEREF _Toc520212462 \h </w:instrText>
        </w:r>
        <w:r w:rsidR="0014173B">
          <w:rPr>
            <w:noProof/>
            <w:webHidden/>
          </w:rPr>
        </w:r>
        <w:r w:rsidR="0014173B">
          <w:rPr>
            <w:noProof/>
            <w:webHidden/>
          </w:rPr>
          <w:fldChar w:fldCharType="separate"/>
        </w:r>
        <w:r w:rsidR="00940F6A">
          <w:rPr>
            <w:noProof/>
            <w:webHidden/>
          </w:rPr>
          <w:t>29</w:t>
        </w:r>
        <w:r w:rsidR="0014173B">
          <w:rPr>
            <w:noProof/>
            <w:webHidden/>
          </w:rPr>
          <w:fldChar w:fldCharType="end"/>
        </w:r>
      </w:hyperlink>
      <w:r w:rsidR="00671E26">
        <w:rPr>
          <w:noProof/>
        </w:rPr>
        <w:t>2</w:t>
      </w:r>
    </w:p>
    <w:p w14:paraId="02CBDAB6" w14:textId="52D1BA16" w:rsidR="0014173B" w:rsidRDefault="00874C0C">
      <w:pPr>
        <w:pStyle w:val="Indicedellefigure"/>
        <w:tabs>
          <w:tab w:val="right" w:leader="dot" w:pos="8488"/>
        </w:tabs>
        <w:rPr>
          <w:rFonts w:asciiTheme="minorHAnsi" w:hAnsiTheme="minorHAnsi" w:cstheme="minorBidi"/>
          <w:noProof/>
          <w:szCs w:val="22"/>
          <w:lang w:eastAsia="en-GB"/>
        </w:rPr>
      </w:pPr>
      <w:hyperlink w:anchor="_Toc520212463" w:history="1">
        <w:r w:rsidR="0014173B" w:rsidRPr="00292D0C">
          <w:rPr>
            <w:rStyle w:val="Collegamentoipertestuale"/>
            <w:noProof/>
          </w:rPr>
          <w:t>Figure 5-70</w:t>
        </w:r>
        <w:r w:rsidR="003D31DD">
          <w:rPr>
            <w:rStyle w:val="Collegamentoipertestuale"/>
            <w:noProof/>
          </w:rPr>
          <w:t>.</w:t>
        </w:r>
        <w:r w:rsidR="0014173B" w:rsidRPr="00292D0C">
          <w:rPr>
            <w:rStyle w:val="Collegamentoipertestuale"/>
            <w:noProof/>
          </w:rPr>
          <w:t xml:space="preserve"> Furumark motif occurrences on larnakes from the Mid-West area</w:t>
        </w:r>
        <w:r w:rsidR="0014173B">
          <w:rPr>
            <w:noProof/>
            <w:webHidden/>
          </w:rPr>
          <w:tab/>
        </w:r>
        <w:r w:rsidR="0014173B">
          <w:rPr>
            <w:noProof/>
            <w:webHidden/>
          </w:rPr>
          <w:fldChar w:fldCharType="begin"/>
        </w:r>
        <w:r w:rsidR="0014173B">
          <w:rPr>
            <w:noProof/>
            <w:webHidden/>
          </w:rPr>
          <w:instrText xml:space="preserve"> PAGEREF _Toc520212463 \h </w:instrText>
        </w:r>
        <w:r w:rsidR="0014173B">
          <w:rPr>
            <w:noProof/>
            <w:webHidden/>
          </w:rPr>
        </w:r>
        <w:r w:rsidR="0014173B">
          <w:rPr>
            <w:noProof/>
            <w:webHidden/>
          </w:rPr>
          <w:fldChar w:fldCharType="separate"/>
        </w:r>
        <w:r w:rsidR="00940F6A">
          <w:rPr>
            <w:noProof/>
            <w:webHidden/>
          </w:rPr>
          <w:t>29</w:t>
        </w:r>
        <w:r w:rsidR="00671E26">
          <w:rPr>
            <w:noProof/>
            <w:webHidden/>
          </w:rPr>
          <w:t>7</w:t>
        </w:r>
        <w:r w:rsidR="0014173B">
          <w:rPr>
            <w:noProof/>
            <w:webHidden/>
          </w:rPr>
          <w:fldChar w:fldCharType="end"/>
        </w:r>
      </w:hyperlink>
    </w:p>
    <w:p w14:paraId="619217CF" w14:textId="52DCADCA" w:rsidR="0014173B" w:rsidRDefault="00874C0C">
      <w:pPr>
        <w:pStyle w:val="Indicedellefigure"/>
        <w:tabs>
          <w:tab w:val="right" w:leader="dot" w:pos="8488"/>
        </w:tabs>
        <w:rPr>
          <w:rFonts w:asciiTheme="minorHAnsi" w:hAnsiTheme="minorHAnsi" w:cstheme="minorBidi"/>
          <w:noProof/>
          <w:szCs w:val="22"/>
          <w:lang w:eastAsia="en-GB"/>
        </w:rPr>
      </w:pPr>
      <w:hyperlink w:anchor="_Toc520212464" w:history="1">
        <w:r w:rsidR="0014173B" w:rsidRPr="00292D0C">
          <w:rPr>
            <w:rStyle w:val="Collegamentoipertestuale"/>
            <w:noProof/>
          </w:rPr>
          <w:t>Figure 5-71</w:t>
        </w:r>
        <w:r w:rsidR="003D31DD">
          <w:rPr>
            <w:rStyle w:val="Collegamentoipertestuale"/>
            <w:noProof/>
          </w:rPr>
          <w:t>.</w:t>
        </w:r>
        <w:r w:rsidR="0014173B" w:rsidRPr="00292D0C">
          <w:rPr>
            <w:rStyle w:val="Collegamentoipertestuale"/>
            <w:noProof/>
          </w:rPr>
          <w:t xml:space="preserve"> Mesara </w:t>
        </w:r>
        <w:r w:rsidR="003B7063">
          <w:rPr>
            <w:rStyle w:val="Collegamentoipertestuale"/>
            <w:noProof/>
          </w:rPr>
          <w:t xml:space="preserve">area </w:t>
        </w:r>
        <w:r w:rsidR="0014173B" w:rsidRPr="00292D0C">
          <w:rPr>
            <w:rStyle w:val="Collegamentoipertestuale"/>
            <w:noProof/>
          </w:rPr>
          <w:t>larnax decoration</w:t>
        </w:r>
        <w:r w:rsidR="0014173B">
          <w:rPr>
            <w:noProof/>
            <w:webHidden/>
          </w:rPr>
          <w:tab/>
        </w:r>
        <w:r w:rsidR="0014173B">
          <w:rPr>
            <w:noProof/>
            <w:webHidden/>
          </w:rPr>
          <w:fldChar w:fldCharType="begin"/>
        </w:r>
        <w:r w:rsidR="0014173B">
          <w:rPr>
            <w:noProof/>
            <w:webHidden/>
          </w:rPr>
          <w:instrText xml:space="preserve"> PAGEREF _Toc520212464 \h </w:instrText>
        </w:r>
        <w:r w:rsidR="0014173B">
          <w:rPr>
            <w:noProof/>
            <w:webHidden/>
          </w:rPr>
        </w:r>
        <w:r w:rsidR="0014173B">
          <w:rPr>
            <w:noProof/>
            <w:webHidden/>
          </w:rPr>
          <w:fldChar w:fldCharType="separate"/>
        </w:r>
        <w:r w:rsidR="00940F6A">
          <w:rPr>
            <w:noProof/>
            <w:webHidden/>
          </w:rPr>
          <w:t>30</w:t>
        </w:r>
        <w:r w:rsidR="00671E26">
          <w:rPr>
            <w:noProof/>
            <w:webHidden/>
          </w:rPr>
          <w:t>7</w:t>
        </w:r>
        <w:r w:rsidR="0014173B">
          <w:rPr>
            <w:noProof/>
            <w:webHidden/>
          </w:rPr>
          <w:fldChar w:fldCharType="end"/>
        </w:r>
      </w:hyperlink>
    </w:p>
    <w:p w14:paraId="2192E316" w14:textId="77040961" w:rsidR="0014173B" w:rsidRDefault="00874C0C">
      <w:pPr>
        <w:pStyle w:val="Indicedellefigure"/>
        <w:tabs>
          <w:tab w:val="right" w:leader="dot" w:pos="8488"/>
        </w:tabs>
        <w:rPr>
          <w:rFonts w:asciiTheme="minorHAnsi" w:hAnsiTheme="minorHAnsi" w:cstheme="minorBidi"/>
          <w:noProof/>
          <w:szCs w:val="22"/>
          <w:lang w:eastAsia="en-GB"/>
        </w:rPr>
      </w:pPr>
      <w:hyperlink w:anchor="_Toc520212466" w:history="1">
        <w:r w:rsidR="0014173B" w:rsidRPr="00292D0C">
          <w:rPr>
            <w:rStyle w:val="Collegamentoipertestuale"/>
            <w:noProof/>
          </w:rPr>
          <w:t>Figure 5-72</w:t>
        </w:r>
        <w:r w:rsidR="003D31DD">
          <w:rPr>
            <w:rStyle w:val="Collegamentoipertestuale"/>
            <w:noProof/>
          </w:rPr>
          <w:t>.</w:t>
        </w:r>
        <w:r w:rsidR="0014173B" w:rsidRPr="00292D0C">
          <w:rPr>
            <w:rStyle w:val="Collegamentoipertestuale"/>
            <w:noProof/>
          </w:rPr>
          <w:t xml:space="preserve"> Furumark motif occurrence on larnakes from the Mesara area</w:t>
        </w:r>
        <w:r w:rsidR="0014173B">
          <w:rPr>
            <w:noProof/>
            <w:webHidden/>
          </w:rPr>
          <w:tab/>
        </w:r>
        <w:r w:rsidR="0014173B">
          <w:rPr>
            <w:noProof/>
            <w:webHidden/>
          </w:rPr>
          <w:fldChar w:fldCharType="begin"/>
        </w:r>
        <w:r w:rsidR="0014173B">
          <w:rPr>
            <w:noProof/>
            <w:webHidden/>
          </w:rPr>
          <w:instrText xml:space="preserve"> PAGEREF _Toc520212466 \h </w:instrText>
        </w:r>
        <w:r w:rsidR="0014173B">
          <w:rPr>
            <w:noProof/>
            <w:webHidden/>
          </w:rPr>
        </w:r>
        <w:r w:rsidR="0014173B">
          <w:rPr>
            <w:noProof/>
            <w:webHidden/>
          </w:rPr>
          <w:fldChar w:fldCharType="separate"/>
        </w:r>
        <w:r w:rsidR="00940F6A">
          <w:rPr>
            <w:noProof/>
            <w:webHidden/>
          </w:rPr>
          <w:t>31</w:t>
        </w:r>
        <w:r w:rsidR="0014173B">
          <w:rPr>
            <w:noProof/>
            <w:webHidden/>
          </w:rPr>
          <w:fldChar w:fldCharType="end"/>
        </w:r>
      </w:hyperlink>
      <w:r w:rsidR="00671E26">
        <w:rPr>
          <w:noProof/>
        </w:rPr>
        <w:t>2</w:t>
      </w:r>
    </w:p>
    <w:p w14:paraId="1B1E9857" w14:textId="70E8B6C3" w:rsidR="0014173B" w:rsidRDefault="00874C0C">
      <w:pPr>
        <w:pStyle w:val="Indicedellefigure"/>
        <w:tabs>
          <w:tab w:val="right" w:leader="dot" w:pos="8488"/>
        </w:tabs>
        <w:rPr>
          <w:rFonts w:asciiTheme="minorHAnsi" w:hAnsiTheme="minorHAnsi" w:cstheme="minorBidi"/>
          <w:noProof/>
          <w:szCs w:val="22"/>
          <w:lang w:eastAsia="en-GB"/>
        </w:rPr>
      </w:pPr>
      <w:hyperlink w:anchor="_Toc520212467" w:history="1">
        <w:r w:rsidR="0014173B" w:rsidRPr="00292D0C">
          <w:rPr>
            <w:rStyle w:val="Collegamentoipertestuale"/>
            <w:noProof/>
          </w:rPr>
          <w:t>Figure 5-73</w:t>
        </w:r>
        <w:r w:rsidR="003D31DD">
          <w:rPr>
            <w:rStyle w:val="Collegamentoipertestuale"/>
            <w:noProof/>
          </w:rPr>
          <w:t>.</w:t>
        </w:r>
        <w:r w:rsidR="0014173B" w:rsidRPr="00292D0C">
          <w:rPr>
            <w:rStyle w:val="Collegamentoipertestuale"/>
            <w:noProof/>
          </w:rPr>
          <w:t xml:space="preserve"> Knossos </w:t>
        </w:r>
        <w:r w:rsidR="003B7063">
          <w:rPr>
            <w:rStyle w:val="Collegamentoipertestuale"/>
            <w:noProof/>
          </w:rPr>
          <w:t xml:space="preserve">area </w:t>
        </w:r>
        <w:r w:rsidR="0014173B" w:rsidRPr="00292D0C">
          <w:rPr>
            <w:rStyle w:val="Collegamentoipertestuale"/>
            <w:noProof/>
          </w:rPr>
          <w:t>larnax decoration</w:t>
        </w:r>
        <w:r w:rsidR="0014173B">
          <w:rPr>
            <w:noProof/>
            <w:webHidden/>
          </w:rPr>
          <w:tab/>
        </w:r>
        <w:r w:rsidR="0014173B">
          <w:rPr>
            <w:noProof/>
            <w:webHidden/>
          </w:rPr>
          <w:fldChar w:fldCharType="begin"/>
        </w:r>
        <w:r w:rsidR="0014173B">
          <w:rPr>
            <w:noProof/>
            <w:webHidden/>
          </w:rPr>
          <w:instrText xml:space="preserve"> PAGEREF _Toc520212467 \h </w:instrText>
        </w:r>
        <w:r w:rsidR="0014173B">
          <w:rPr>
            <w:noProof/>
            <w:webHidden/>
          </w:rPr>
        </w:r>
        <w:r w:rsidR="0014173B">
          <w:rPr>
            <w:noProof/>
            <w:webHidden/>
          </w:rPr>
          <w:fldChar w:fldCharType="separate"/>
        </w:r>
        <w:r w:rsidR="00940F6A">
          <w:rPr>
            <w:noProof/>
            <w:webHidden/>
          </w:rPr>
          <w:t>3</w:t>
        </w:r>
        <w:r w:rsidR="00671E26">
          <w:rPr>
            <w:noProof/>
            <w:webHidden/>
          </w:rPr>
          <w:t>20</w:t>
        </w:r>
        <w:r w:rsidR="0014173B">
          <w:rPr>
            <w:noProof/>
            <w:webHidden/>
          </w:rPr>
          <w:fldChar w:fldCharType="end"/>
        </w:r>
      </w:hyperlink>
    </w:p>
    <w:p w14:paraId="7FC6F0CF" w14:textId="2AB83FAB" w:rsidR="0014173B" w:rsidRDefault="00874C0C">
      <w:pPr>
        <w:pStyle w:val="Indicedellefigure"/>
        <w:tabs>
          <w:tab w:val="right" w:leader="dot" w:pos="8488"/>
        </w:tabs>
        <w:rPr>
          <w:rFonts w:asciiTheme="minorHAnsi" w:hAnsiTheme="minorHAnsi" w:cstheme="minorBidi"/>
          <w:noProof/>
          <w:szCs w:val="22"/>
          <w:lang w:eastAsia="en-GB"/>
        </w:rPr>
      </w:pPr>
      <w:hyperlink w:anchor="_Toc520212468" w:history="1">
        <w:r w:rsidR="0014173B" w:rsidRPr="00292D0C">
          <w:rPr>
            <w:rStyle w:val="Collegamentoipertestuale"/>
            <w:noProof/>
          </w:rPr>
          <w:t>Figure 5-74</w:t>
        </w:r>
        <w:r w:rsidR="003D31DD">
          <w:rPr>
            <w:rStyle w:val="Collegamentoipertestuale"/>
            <w:noProof/>
          </w:rPr>
          <w:t>.</w:t>
        </w:r>
        <w:r w:rsidR="0014173B" w:rsidRPr="00292D0C">
          <w:rPr>
            <w:rStyle w:val="Collegamentoipertestuale"/>
            <w:noProof/>
          </w:rPr>
          <w:t xml:space="preserve"> Furumark motif occurrences in larnakes from the Knossos area</w:t>
        </w:r>
        <w:r w:rsidR="0014173B">
          <w:rPr>
            <w:noProof/>
            <w:webHidden/>
          </w:rPr>
          <w:tab/>
        </w:r>
        <w:r w:rsidR="0014173B">
          <w:rPr>
            <w:noProof/>
            <w:webHidden/>
          </w:rPr>
          <w:fldChar w:fldCharType="begin"/>
        </w:r>
        <w:r w:rsidR="0014173B">
          <w:rPr>
            <w:noProof/>
            <w:webHidden/>
          </w:rPr>
          <w:instrText xml:space="preserve"> PAGEREF _Toc520212468 \h </w:instrText>
        </w:r>
        <w:r w:rsidR="0014173B">
          <w:rPr>
            <w:noProof/>
            <w:webHidden/>
          </w:rPr>
        </w:r>
        <w:r w:rsidR="0014173B">
          <w:rPr>
            <w:noProof/>
            <w:webHidden/>
          </w:rPr>
          <w:fldChar w:fldCharType="separate"/>
        </w:r>
        <w:r w:rsidR="00940F6A">
          <w:rPr>
            <w:noProof/>
            <w:webHidden/>
          </w:rPr>
          <w:t>32</w:t>
        </w:r>
        <w:r w:rsidR="0014173B">
          <w:rPr>
            <w:noProof/>
            <w:webHidden/>
          </w:rPr>
          <w:fldChar w:fldCharType="end"/>
        </w:r>
      </w:hyperlink>
      <w:r w:rsidR="009F300E">
        <w:rPr>
          <w:noProof/>
        </w:rPr>
        <w:t>3</w:t>
      </w:r>
    </w:p>
    <w:p w14:paraId="0E111FAD" w14:textId="796F3B17" w:rsidR="0014173B" w:rsidRDefault="00874C0C">
      <w:pPr>
        <w:pStyle w:val="Indicedellefigure"/>
        <w:tabs>
          <w:tab w:val="right" w:leader="dot" w:pos="8488"/>
        </w:tabs>
        <w:rPr>
          <w:rFonts w:asciiTheme="minorHAnsi" w:hAnsiTheme="minorHAnsi" w:cstheme="minorBidi"/>
          <w:noProof/>
          <w:szCs w:val="22"/>
          <w:lang w:eastAsia="en-GB"/>
        </w:rPr>
      </w:pPr>
      <w:hyperlink w:anchor="_Toc520212469" w:history="1">
        <w:r w:rsidR="0014173B" w:rsidRPr="00292D0C">
          <w:rPr>
            <w:rStyle w:val="Collegamentoipertestuale"/>
            <w:noProof/>
          </w:rPr>
          <w:t>Figure 5-75</w:t>
        </w:r>
        <w:r w:rsidR="003D31DD">
          <w:rPr>
            <w:rStyle w:val="Collegamentoipertestuale"/>
            <w:noProof/>
          </w:rPr>
          <w:t>.</w:t>
        </w:r>
        <w:r w:rsidR="0014173B" w:rsidRPr="00292D0C">
          <w:rPr>
            <w:rStyle w:val="Collegamentoipertestuale"/>
            <w:noProof/>
          </w:rPr>
          <w:t xml:space="preserve"> Central area larnax decoration</w:t>
        </w:r>
        <w:r w:rsidR="0014173B">
          <w:rPr>
            <w:noProof/>
            <w:webHidden/>
          </w:rPr>
          <w:tab/>
        </w:r>
        <w:r w:rsidR="0014173B">
          <w:rPr>
            <w:noProof/>
            <w:webHidden/>
          </w:rPr>
          <w:fldChar w:fldCharType="begin"/>
        </w:r>
        <w:r w:rsidR="0014173B">
          <w:rPr>
            <w:noProof/>
            <w:webHidden/>
          </w:rPr>
          <w:instrText xml:space="preserve"> PAGEREF _Toc520212469 \h </w:instrText>
        </w:r>
        <w:r w:rsidR="0014173B">
          <w:rPr>
            <w:noProof/>
            <w:webHidden/>
          </w:rPr>
        </w:r>
        <w:r w:rsidR="0014173B">
          <w:rPr>
            <w:noProof/>
            <w:webHidden/>
          </w:rPr>
          <w:fldChar w:fldCharType="separate"/>
        </w:r>
        <w:r w:rsidR="00940F6A">
          <w:rPr>
            <w:noProof/>
            <w:webHidden/>
          </w:rPr>
          <w:t>3</w:t>
        </w:r>
        <w:r w:rsidR="0014173B">
          <w:rPr>
            <w:noProof/>
            <w:webHidden/>
          </w:rPr>
          <w:fldChar w:fldCharType="end"/>
        </w:r>
      </w:hyperlink>
      <w:r w:rsidR="009F300E">
        <w:rPr>
          <w:noProof/>
        </w:rPr>
        <w:t>30</w:t>
      </w:r>
    </w:p>
    <w:p w14:paraId="41F8E7AB" w14:textId="3B3AD57F" w:rsidR="0014173B" w:rsidRDefault="00874C0C">
      <w:pPr>
        <w:pStyle w:val="Indicedellefigure"/>
        <w:tabs>
          <w:tab w:val="right" w:leader="dot" w:pos="8488"/>
        </w:tabs>
        <w:rPr>
          <w:rFonts w:asciiTheme="minorHAnsi" w:hAnsiTheme="minorHAnsi" w:cstheme="minorBidi"/>
          <w:noProof/>
          <w:szCs w:val="22"/>
          <w:lang w:eastAsia="en-GB"/>
        </w:rPr>
      </w:pPr>
      <w:hyperlink w:anchor="_Toc520212470" w:history="1">
        <w:r w:rsidR="0014173B" w:rsidRPr="00292D0C">
          <w:rPr>
            <w:rStyle w:val="Collegamentoipertestuale"/>
            <w:noProof/>
          </w:rPr>
          <w:t>Figure 5-76</w:t>
        </w:r>
        <w:r w:rsidR="003D31DD">
          <w:rPr>
            <w:rStyle w:val="Collegamentoipertestuale"/>
            <w:noProof/>
          </w:rPr>
          <w:t>.</w:t>
        </w:r>
        <w:r w:rsidR="0014173B" w:rsidRPr="00292D0C">
          <w:rPr>
            <w:rStyle w:val="Collegamentoipertestuale"/>
            <w:noProof/>
          </w:rPr>
          <w:t xml:space="preserve"> Shape distribution, Centre</w:t>
        </w:r>
        <w:r w:rsidR="0014173B">
          <w:rPr>
            <w:noProof/>
            <w:webHidden/>
          </w:rPr>
          <w:tab/>
        </w:r>
        <w:r w:rsidR="0014173B">
          <w:rPr>
            <w:noProof/>
            <w:webHidden/>
          </w:rPr>
          <w:fldChar w:fldCharType="begin"/>
        </w:r>
        <w:r w:rsidR="0014173B">
          <w:rPr>
            <w:noProof/>
            <w:webHidden/>
          </w:rPr>
          <w:instrText xml:space="preserve"> PAGEREF _Toc520212470 \h </w:instrText>
        </w:r>
        <w:r w:rsidR="0014173B">
          <w:rPr>
            <w:noProof/>
            <w:webHidden/>
          </w:rPr>
        </w:r>
        <w:r w:rsidR="0014173B">
          <w:rPr>
            <w:noProof/>
            <w:webHidden/>
          </w:rPr>
          <w:fldChar w:fldCharType="separate"/>
        </w:r>
        <w:r w:rsidR="00940F6A">
          <w:rPr>
            <w:noProof/>
            <w:webHidden/>
          </w:rPr>
          <w:t>33</w:t>
        </w:r>
        <w:r w:rsidR="009F300E">
          <w:rPr>
            <w:noProof/>
            <w:webHidden/>
          </w:rPr>
          <w:t>1</w:t>
        </w:r>
        <w:r w:rsidR="0014173B">
          <w:rPr>
            <w:noProof/>
            <w:webHidden/>
          </w:rPr>
          <w:fldChar w:fldCharType="end"/>
        </w:r>
      </w:hyperlink>
    </w:p>
    <w:p w14:paraId="17F44DB4" w14:textId="5B1D3197" w:rsidR="0014173B" w:rsidRDefault="00874C0C">
      <w:pPr>
        <w:pStyle w:val="Indicedellefigure"/>
        <w:tabs>
          <w:tab w:val="right" w:leader="dot" w:pos="8488"/>
        </w:tabs>
        <w:rPr>
          <w:rFonts w:asciiTheme="minorHAnsi" w:hAnsiTheme="minorHAnsi" w:cstheme="minorBidi"/>
          <w:noProof/>
          <w:szCs w:val="22"/>
          <w:lang w:eastAsia="en-GB"/>
        </w:rPr>
      </w:pPr>
      <w:hyperlink w:anchor="_Toc520212472" w:history="1">
        <w:r w:rsidR="0014173B" w:rsidRPr="00292D0C">
          <w:rPr>
            <w:rStyle w:val="Collegamentoipertestuale"/>
            <w:noProof/>
          </w:rPr>
          <w:t>Figure 5-77</w:t>
        </w:r>
        <w:r w:rsidR="003D31DD">
          <w:rPr>
            <w:rStyle w:val="Collegamentoipertestuale"/>
            <w:noProof/>
          </w:rPr>
          <w:t>.</w:t>
        </w:r>
        <w:r w:rsidR="0014173B" w:rsidRPr="00292D0C">
          <w:rPr>
            <w:rStyle w:val="Collegamentoipertestuale"/>
            <w:noProof/>
          </w:rPr>
          <w:t xml:space="preserve"> Furumark motifs occurrence in larnakes from the Central area</w:t>
        </w:r>
        <w:r w:rsidR="0014173B">
          <w:rPr>
            <w:noProof/>
            <w:webHidden/>
          </w:rPr>
          <w:tab/>
        </w:r>
        <w:r w:rsidR="0014173B">
          <w:rPr>
            <w:noProof/>
            <w:webHidden/>
          </w:rPr>
          <w:fldChar w:fldCharType="begin"/>
        </w:r>
        <w:r w:rsidR="0014173B">
          <w:rPr>
            <w:noProof/>
            <w:webHidden/>
          </w:rPr>
          <w:instrText xml:space="preserve"> PAGEREF _Toc520212472 \h </w:instrText>
        </w:r>
        <w:r w:rsidR="0014173B">
          <w:rPr>
            <w:noProof/>
            <w:webHidden/>
          </w:rPr>
        </w:r>
        <w:r w:rsidR="0014173B">
          <w:rPr>
            <w:noProof/>
            <w:webHidden/>
          </w:rPr>
          <w:fldChar w:fldCharType="separate"/>
        </w:r>
        <w:r w:rsidR="00940F6A">
          <w:rPr>
            <w:noProof/>
            <w:webHidden/>
          </w:rPr>
          <w:t>33</w:t>
        </w:r>
        <w:r w:rsidR="009F300E">
          <w:rPr>
            <w:noProof/>
            <w:webHidden/>
          </w:rPr>
          <w:t>4</w:t>
        </w:r>
        <w:r w:rsidR="0014173B">
          <w:rPr>
            <w:noProof/>
            <w:webHidden/>
          </w:rPr>
          <w:fldChar w:fldCharType="end"/>
        </w:r>
      </w:hyperlink>
    </w:p>
    <w:p w14:paraId="1255AFFC" w14:textId="0A046080" w:rsidR="0014173B" w:rsidRDefault="00874C0C">
      <w:pPr>
        <w:pStyle w:val="Indicedellefigure"/>
        <w:tabs>
          <w:tab w:val="right" w:leader="dot" w:pos="8488"/>
        </w:tabs>
        <w:rPr>
          <w:rFonts w:asciiTheme="minorHAnsi" w:hAnsiTheme="minorHAnsi" w:cstheme="minorBidi"/>
          <w:noProof/>
          <w:szCs w:val="22"/>
          <w:lang w:eastAsia="en-GB"/>
        </w:rPr>
      </w:pPr>
      <w:hyperlink w:anchor="_Toc520212473" w:history="1">
        <w:r w:rsidR="0014173B" w:rsidRPr="00292D0C">
          <w:rPr>
            <w:rStyle w:val="Collegamentoipertestuale"/>
            <w:noProof/>
          </w:rPr>
          <w:t>Figure 5-78</w:t>
        </w:r>
        <w:r w:rsidR="003D31DD">
          <w:rPr>
            <w:rStyle w:val="Collegamentoipertestuale"/>
            <w:noProof/>
          </w:rPr>
          <w:t>.</w:t>
        </w:r>
        <w:r w:rsidR="0014173B" w:rsidRPr="00292D0C">
          <w:rPr>
            <w:rStyle w:val="Collegamentoipertestuale"/>
            <w:noProof/>
          </w:rPr>
          <w:t xml:space="preserve"> Mid-East larnax decoration</w:t>
        </w:r>
        <w:r w:rsidR="0014173B">
          <w:rPr>
            <w:noProof/>
            <w:webHidden/>
          </w:rPr>
          <w:tab/>
        </w:r>
        <w:r w:rsidR="0014173B">
          <w:rPr>
            <w:noProof/>
            <w:webHidden/>
          </w:rPr>
          <w:fldChar w:fldCharType="begin"/>
        </w:r>
        <w:r w:rsidR="0014173B">
          <w:rPr>
            <w:noProof/>
            <w:webHidden/>
          </w:rPr>
          <w:instrText xml:space="preserve"> PAGEREF _Toc520212473 \h </w:instrText>
        </w:r>
        <w:r w:rsidR="0014173B">
          <w:rPr>
            <w:noProof/>
            <w:webHidden/>
          </w:rPr>
        </w:r>
        <w:r w:rsidR="0014173B">
          <w:rPr>
            <w:noProof/>
            <w:webHidden/>
          </w:rPr>
          <w:fldChar w:fldCharType="separate"/>
        </w:r>
        <w:r w:rsidR="00940F6A">
          <w:rPr>
            <w:noProof/>
            <w:webHidden/>
          </w:rPr>
          <w:t>34</w:t>
        </w:r>
        <w:r w:rsidR="009F300E">
          <w:rPr>
            <w:noProof/>
            <w:webHidden/>
          </w:rPr>
          <w:t>4</w:t>
        </w:r>
        <w:r w:rsidR="0014173B">
          <w:rPr>
            <w:noProof/>
            <w:webHidden/>
          </w:rPr>
          <w:fldChar w:fldCharType="end"/>
        </w:r>
      </w:hyperlink>
    </w:p>
    <w:p w14:paraId="7C4D15DC" w14:textId="64F6BE87" w:rsidR="0014173B" w:rsidRDefault="00874C0C">
      <w:pPr>
        <w:pStyle w:val="Indicedellefigure"/>
        <w:tabs>
          <w:tab w:val="right" w:leader="dot" w:pos="8488"/>
        </w:tabs>
        <w:rPr>
          <w:rFonts w:asciiTheme="minorHAnsi" w:hAnsiTheme="minorHAnsi" w:cstheme="minorBidi"/>
          <w:noProof/>
          <w:szCs w:val="22"/>
          <w:lang w:eastAsia="en-GB"/>
        </w:rPr>
      </w:pPr>
      <w:hyperlink w:anchor="_Toc520212474" w:history="1">
        <w:r w:rsidR="0014173B" w:rsidRPr="00292D0C">
          <w:rPr>
            <w:rStyle w:val="Collegamentoipertestuale"/>
            <w:noProof/>
          </w:rPr>
          <w:t>Figure 5-79</w:t>
        </w:r>
        <w:r w:rsidR="003D31DD">
          <w:rPr>
            <w:rStyle w:val="Collegamentoipertestuale"/>
            <w:noProof/>
          </w:rPr>
          <w:t>.</w:t>
        </w:r>
        <w:r w:rsidR="0014173B" w:rsidRPr="00292D0C">
          <w:rPr>
            <w:rStyle w:val="Collegamentoipertestuale"/>
            <w:noProof/>
          </w:rPr>
          <w:t xml:space="preserve"> Furumark motif occurrence on larnakes from the Mid East area</w:t>
        </w:r>
        <w:r w:rsidR="0014173B">
          <w:rPr>
            <w:noProof/>
            <w:webHidden/>
          </w:rPr>
          <w:tab/>
        </w:r>
        <w:r w:rsidR="0014173B">
          <w:rPr>
            <w:noProof/>
            <w:webHidden/>
          </w:rPr>
          <w:fldChar w:fldCharType="begin"/>
        </w:r>
        <w:r w:rsidR="0014173B">
          <w:rPr>
            <w:noProof/>
            <w:webHidden/>
          </w:rPr>
          <w:instrText xml:space="preserve"> PAGEREF _Toc520212474 \h </w:instrText>
        </w:r>
        <w:r w:rsidR="0014173B">
          <w:rPr>
            <w:noProof/>
            <w:webHidden/>
          </w:rPr>
        </w:r>
        <w:r w:rsidR="0014173B">
          <w:rPr>
            <w:noProof/>
            <w:webHidden/>
          </w:rPr>
          <w:fldChar w:fldCharType="separate"/>
        </w:r>
        <w:r w:rsidR="00940F6A">
          <w:rPr>
            <w:noProof/>
            <w:webHidden/>
          </w:rPr>
          <w:t>34</w:t>
        </w:r>
        <w:r w:rsidR="0014173B">
          <w:rPr>
            <w:noProof/>
            <w:webHidden/>
          </w:rPr>
          <w:fldChar w:fldCharType="end"/>
        </w:r>
      </w:hyperlink>
      <w:r w:rsidR="009F300E">
        <w:rPr>
          <w:noProof/>
        </w:rPr>
        <w:t>6</w:t>
      </w:r>
    </w:p>
    <w:p w14:paraId="76A7344E" w14:textId="68F82B70" w:rsidR="0014173B" w:rsidRDefault="00874C0C">
      <w:pPr>
        <w:pStyle w:val="Indicedellefigure"/>
        <w:tabs>
          <w:tab w:val="right" w:leader="dot" w:pos="8488"/>
        </w:tabs>
        <w:rPr>
          <w:rFonts w:asciiTheme="minorHAnsi" w:hAnsiTheme="minorHAnsi" w:cstheme="minorBidi"/>
          <w:noProof/>
          <w:szCs w:val="22"/>
          <w:lang w:eastAsia="en-GB"/>
        </w:rPr>
      </w:pPr>
      <w:hyperlink w:anchor="_Toc520212476" w:history="1">
        <w:r w:rsidR="0014173B" w:rsidRPr="00292D0C">
          <w:rPr>
            <w:rStyle w:val="Collegamentoipertestuale"/>
            <w:noProof/>
          </w:rPr>
          <w:t>Figure 5-80</w:t>
        </w:r>
        <w:r w:rsidR="003D31DD">
          <w:rPr>
            <w:rStyle w:val="Collegamentoipertestuale"/>
            <w:noProof/>
          </w:rPr>
          <w:t>.</w:t>
        </w:r>
        <w:r w:rsidR="0014173B" w:rsidRPr="00292D0C">
          <w:rPr>
            <w:rStyle w:val="Collegamentoipertestuale"/>
            <w:noProof/>
          </w:rPr>
          <w:t xml:space="preserve"> Typology distribution of decorated larnakes, Mid-East</w:t>
        </w:r>
        <w:r w:rsidR="0014173B">
          <w:rPr>
            <w:noProof/>
            <w:webHidden/>
          </w:rPr>
          <w:tab/>
        </w:r>
        <w:r w:rsidR="0014173B">
          <w:rPr>
            <w:noProof/>
            <w:webHidden/>
          </w:rPr>
          <w:fldChar w:fldCharType="begin"/>
        </w:r>
        <w:r w:rsidR="0014173B">
          <w:rPr>
            <w:noProof/>
            <w:webHidden/>
          </w:rPr>
          <w:instrText xml:space="preserve"> PAGEREF _Toc520212476 \h </w:instrText>
        </w:r>
        <w:r w:rsidR="0014173B">
          <w:rPr>
            <w:noProof/>
            <w:webHidden/>
          </w:rPr>
        </w:r>
        <w:r w:rsidR="0014173B">
          <w:rPr>
            <w:noProof/>
            <w:webHidden/>
          </w:rPr>
          <w:fldChar w:fldCharType="separate"/>
        </w:r>
        <w:r w:rsidR="00940F6A">
          <w:rPr>
            <w:noProof/>
            <w:webHidden/>
          </w:rPr>
          <w:t>35</w:t>
        </w:r>
        <w:r w:rsidR="009F300E">
          <w:rPr>
            <w:noProof/>
            <w:webHidden/>
          </w:rPr>
          <w:t>1</w:t>
        </w:r>
        <w:r w:rsidR="0014173B">
          <w:rPr>
            <w:noProof/>
            <w:webHidden/>
          </w:rPr>
          <w:fldChar w:fldCharType="end"/>
        </w:r>
      </w:hyperlink>
    </w:p>
    <w:p w14:paraId="078E9DC2" w14:textId="13A76532" w:rsidR="0014173B" w:rsidRDefault="00874C0C">
      <w:pPr>
        <w:pStyle w:val="Indicedellefigure"/>
        <w:tabs>
          <w:tab w:val="right" w:leader="dot" w:pos="8488"/>
        </w:tabs>
        <w:rPr>
          <w:rFonts w:asciiTheme="minorHAnsi" w:hAnsiTheme="minorHAnsi" w:cstheme="minorBidi"/>
          <w:noProof/>
          <w:szCs w:val="22"/>
          <w:lang w:eastAsia="en-GB"/>
        </w:rPr>
      </w:pPr>
      <w:hyperlink w:anchor="_Toc520212477" w:history="1">
        <w:r w:rsidR="0014173B" w:rsidRPr="00292D0C">
          <w:rPr>
            <w:rStyle w:val="Collegamentoipertestuale"/>
            <w:noProof/>
          </w:rPr>
          <w:t>Figure 5-81</w:t>
        </w:r>
        <w:r w:rsidR="003D31DD">
          <w:rPr>
            <w:rStyle w:val="Collegamentoipertestuale"/>
            <w:noProof/>
          </w:rPr>
          <w:t>.</w:t>
        </w:r>
        <w:r w:rsidR="0014173B" w:rsidRPr="00292D0C">
          <w:rPr>
            <w:rStyle w:val="Collegamentoipertestuale"/>
            <w:noProof/>
          </w:rPr>
          <w:t xml:space="preserve"> Typology distribution, decorated larnakes, Mid-East</w:t>
        </w:r>
        <w:r w:rsidR="0014173B">
          <w:rPr>
            <w:noProof/>
            <w:webHidden/>
          </w:rPr>
          <w:tab/>
        </w:r>
        <w:r w:rsidR="0014173B">
          <w:rPr>
            <w:noProof/>
            <w:webHidden/>
          </w:rPr>
          <w:fldChar w:fldCharType="begin"/>
        </w:r>
        <w:r w:rsidR="0014173B">
          <w:rPr>
            <w:noProof/>
            <w:webHidden/>
          </w:rPr>
          <w:instrText xml:space="preserve"> PAGEREF _Toc520212477 \h </w:instrText>
        </w:r>
        <w:r w:rsidR="0014173B">
          <w:rPr>
            <w:noProof/>
            <w:webHidden/>
          </w:rPr>
        </w:r>
        <w:r w:rsidR="0014173B">
          <w:rPr>
            <w:noProof/>
            <w:webHidden/>
          </w:rPr>
          <w:fldChar w:fldCharType="separate"/>
        </w:r>
        <w:r w:rsidR="00940F6A">
          <w:rPr>
            <w:noProof/>
            <w:webHidden/>
          </w:rPr>
          <w:t>35</w:t>
        </w:r>
        <w:r w:rsidR="009F300E">
          <w:rPr>
            <w:noProof/>
            <w:webHidden/>
          </w:rPr>
          <w:t>1</w:t>
        </w:r>
        <w:r w:rsidR="0014173B">
          <w:rPr>
            <w:noProof/>
            <w:webHidden/>
          </w:rPr>
          <w:fldChar w:fldCharType="end"/>
        </w:r>
      </w:hyperlink>
    </w:p>
    <w:p w14:paraId="0546D40D" w14:textId="17E1EC29" w:rsidR="0014173B" w:rsidRDefault="00874C0C">
      <w:pPr>
        <w:pStyle w:val="Indicedellefigure"/>
        <w:tabs>
          <w:tab w:val="right" w:leader="dot" w:pos="8488"/>
        </w:tabs>
        <w:rPr>
          <w:rFonts w:asciiTheme="minorHAnsi" w:hAnsiTheme="minorHAnsi" w:cstheme="minorBidi"/>
          <w:noProof/>
          <w:szCs w:val="22"/>
          <w:lang w:eastAsia="en-GB"/>
        </w:rPr>
      </w:pPr>
      <w:hyperlink w:anchor="_Toc520212478" w:history="1">
        <w:r w:rsidR="0014173B" w:rsidRPr="00292D0C">
          <w:rPr>
            <w:rStyle w:val="Collegamentoipertestuale"/>
            <w:noProof/>
          </w:rPr>
          <w:t>Figure 5-82</w:t>
        </w:r>
        <w:r w:rsidR="003D31DD">
          <w:rPr>
            <w:rStyle w:val="Collegamentoipertestuale"/>
            <w:noProof/>
          </w:rPr>
          <w:t>.</w:t>
        </w:r>
        <w:r w:rsidR="0014173B" w:rsidRPr="00292D0C">
          <w:rPr>
            <w:rStyle w:val="Collegamentoipertestuale"/>
            <w:noProof/>
          </w:rPr>
          <w:t xml:space="preserve"> Far-East </w:t>
        </w:r>
        <w:r w:rsidR="003B7063">
          <w:rPr>
            <w:rStyle w:val="Collegamentoipertestuale"/>
            <w:noProof/>
          </w:rPr>
          <w:t xml:space="preserve">area </w:t>
        </w:r>
        <w:r w:rsidR="0014173B" w:rsidRPr="00292D0C">
          <w:rPr>
            <w:rStyle w:val="Collegamentoipertestuale"/>
            <w:noProof/>
          </w:rPr>
          <w:t>larnax decoration</w:t>
        </w:r>
        <w:r w:rsidR="0014173B">
          <w:rPr>
            <w:noProof/>
            <w:webHidden/>
          </w:rPr>
          <w:tab/>
        </w:r>
        <w:r w:rsidR="0014173B">
          <w:rPr>
            <w:noProof/>
            <w:webHidden/>
          </w:rPr>
          <w:fldChar w:fldCharType="begin"/>
        </w:r>
        <w:r w:rsidR="0014173B">
          <w:rPr>
            <w:noProof/>
            <w:webHidden/>
          </w:rPr>
          <w:instrText xml:space="preserve"> PAGEREF _Toc520212478 \h </w:instrText>
        </w:r>
        <w:r w:rsidR="0014173B">
          <w:rPr>
            <w:noProof/>
            <w:webHidden/>
          </w:rPr>
        </w:r>
        <w:r w:rsidR="0014173B">
          <w:rPr>
            <w:noProof/>
            <w:webHidden/>
          </w:rPr>
          <w:fldChar w:fldCharType="separate"/>
        </w:r>
        <w:r w:rsidR="00940F6A">
          <w:rPr>
            <w:noProof/>
            <w:webHidden/>
          </w:rPr>
          <w:t>35</w:t>
        </w:r>
        <w:r w:rsidR="009F300E">
          <w:rPr>
            <w:noProof/>
            <w:webHidden/>
          </w:rPr>
          <w:t>4</w:t>
        </w:r>
        <w:r w:rsidR="0014173B">
          <w:rPr>
            <w:noProof/>
            <w:webHidden/>
          </w:rPr>
          <w:fldChar w:fldCharType="end"/>
        </w:r>
      </w:hyperlink>
    </w:p>
    <w:p w14:paraId="0941AF86" w14:textId="512D8ED3" w:rsidR="0014173B" w:rsidRDefault="00874C0C">
      <w:pPr>
        <w:pStyle w:val="Indicedellefigure"/>
        <w:tabs>
          <w:tab w:val="right" w:leader="dot" w:pos="8488"/>
        </w:tabs>
        <w:rPr>
          <w:rFonts w:asciiTheme="minorHAnsi" w:hAnsiTheme="minorHAnsi" w:cstheme="minorBidi"/>
          <w:noProof/>
          <w:szCs w:val="22"/>
          <w:lang w:eastAsia="en-GB"/>
        </w:rPr>
      </w:pPr>
      <w:hyperlink w:anchor="_Toc520212479" w:history="1">
        <w:r w:rsidR="0014173B" w:rsidRPr="00292D0C">
          <w:rPr>
            <w:rStyle w:val="Collegamentoipertestuale"/>
            <w:noProof/>
          </w:rPr>
          <w:t>Figure 5-83</w:t>
        </w:r>
        <w:r w:rsidR="003D31DD">
          <w:rPr>
            <w:rStyle w:val="Collegamentoipertestuale"/>
            <w:noProof/>
          </w:rPr>
          <w:t>.</w:t>
        </w:r>
        <w:r w:rsidR="0014173B" w:rsidRPr="00292D0C">
          <w:rPr>
            <w:rStyle w:val="Collegamentoipertestuale"/>
            <w:noProof/>
          </w:rPr>
          <w:t xml:space="preserve"> Shape distribution, Far-East</w:t>
        </w:r>
        <w:r w:rsidR="0014173B">
          <w:rPr>
            <w:noProof/>
            <w:webHidden/>
          </w:rPr>
          <w:tab/>
        </w:r>
        <w:r w:rsidR="0014173B">
          <w:rPr>
            <w:noProof/>
            <w:webHidden/>
          </w:rPr>
          <w:fldChar w:fldCharType="begin"/>
        </w:r>
        <w:r w:rsidR="0014173B">
          <w:rPr>
            <w:noProof/>
            <w:webHidden/>
          </w:rPr>
          <w:instrText xml:space="preserve"> PAGEREF _Toc520212479 \h </w:instrText>
        </w:r>
        <w:r w:rsidR="0014173B">
          <w:rPr>
            <w:noProof/>
            <w:webHidden/>
          </w:rPr>
        </w:r>
        <w:r w:rsidR="0014173B">
          <w:rPr>
            <w:noProof/>
            <w:webHidden/>
          </w:rPr>
          <w:fldChar w:fldCharType="separate"/>
        </w:r>
        <w:r w:rsidR="00940F6A">
          <w:rPr>
            <w:noProof/>
            <w:webHidden/>
          </w:rPr>
          <w:t>35</w:t>
        </w:r>
        <w:r w:rsidR="009F300E">
          <w:rPr>
            <w:noProof/>
            <w:webHidden/>
          </w:rPr>
          <w:t>5</w:t>
        </w:r>
        <w:r w:rsidR="0014173B">
          <w:rPr>
            <w:noProof/>
            <w:webHidden/>
          </w:rPr>
          <w:fldChar w:fldCharType="end"/>
        </w:r>
      </w:hyperlink>
    </w:p>
    <w:p w14:paraId="37F74F05" w14:textId="5BCD1BC1" w:rsidR="0014173B" w:rsidRDefault="00874C0C">
      <w:pPr>
        <w:pStyle w:val="Indicedellefigure"/>
        <w:tabs>
          <w:tab w:val="right" w:leader="dot" w:pos="8488"/>
        </w:tabs>
        <w:rPr>
          <w:rFonts w:asciiTheme="minorHAnsi" w:hAnsiTheme="minorHAnsi" w:cstheme="minorBidi"/>
          <w:noProof/>
          <w:szCs w:val="22"/>
          <w:lang w:eastAsia="en-GB"/>
        </w:rPr>
      </w:pPr>
      <w:hyperlink w:anchor="_Toc520212480" w:history="1">
        <w:r w:rsidR="0014173B" w:rsidRPr="00292D0C">
          <w:rPr>
            <w:rStyle w:val="Collegamentoipertestuale"/>
            <w:noProof/>
          </w:rPr>
          <w:t>Figure 5-84</w:t>
        </w:r>
        <w:r w:rsidR="003D31DD">
          <w:rPr>
            <w:rStyle w:val="Collegamentoipertestuale"/>
            <w:noProof/>
          </w:rPr>
          <w:t>.</w:t>
        </w:r>
        <w:r w:rsidR="0014173B" w:rsidRPr="00292D0C">
          <w:rPr>
            <w:rStyle w:val="Collegamentoipertestuale"/>
            <w:noProof/>
          </w:rPr>
          <w:t xml:space="preserve"> Furumark motif occurrence in larnakes from the Far-East area</w:t>
        </w:r>
        <w:r w:rsidR="0014173B">
          <w:rPr>
            <w:noProof/>
            <w:webHidden/>
          </w:rPr>
          <w:tab/>
        </w:r>
        <w:r w:rsidR="0014173B">
          <w:rPr>
            <w:noProof/>
            <w:webHidden/>
          </w:rPr>
          <w:fldChar w:fldCharType="begin"/>
        </w:r>
        <w:r w:rsidR="0014173B">
          <w:rPr>
            <w:noProof/>
            <w:webHidden/>
          </w:rPr>
          <w:instrText xml:space="preserve"> PAGEREF _Toc520212480 \h </w:instrText>
        </w:r>
        <w:r w:rsidR="0014173B">
          <w:rPr>
            <w:noProof/>
            <w:webHidden/>
          </w:rPr>
        </w:r>
        <w:r w:rsidR="0014173B">
          <w:rPr>
            <w:noProof/>
            <w:webHidden/>
          </w:rPr>
          <w:fldChar w:fldCharType="separate"/>
        </w:r>
        <w:r w:rsidR="00940F6A">
          <w:rPr>
            <w:noProof/>
            <w:webHidden/>
          </w:rPr>
          <w:t>3</w:t>
        </w:r>
        <w:r w:rsidR="009F300E">
          <w:rPr>
            <w:noProof/>
            <w:webHidden/>
          </w:rPr>
          <w:t>60</w:t>
        </w:r>
        <w:r w:rsidR="0014173B">
          <w:rPr>
            <w:noProof/>
            <w:webHidden/>
          </w:rPr>
          <w:fldChar w:fldCharType="end"/>
        </w:r>
      </w:hyperlink>
    </w:p>
    <w:p w14:paraId="259F3428" w14:textId="66AE928D" w:rsidR="0014173B" w:rsidRDefault="00874C0C">
      <w:pPr>
        <w:pStyle w:val="Indicedellefigure"/>
        <w:tabs>
          <w:tab w:val="right" w:leader="dot" w:pos="8488"/>
        </w:tabs>
        <w:rPr>
          <w:rFonts w:asciiTheme="minorHAnsi" w:hAnsiTheme="minorHAnsi" w:cstheme="minorBidi"/>
          <w:noProof/>
          <w:szCs w:val="22"/>
          <w:lang w:eastAsia="en-GB"/>
        </w:rPr>
      </w:pPr>
      <w:hyperlink w:anchor="_Toc520212481" w:history="1">
        <w:r w:rsidR="0014173B" w:rsidRPr="00292D0C">
          <w:rPr>
            <w:rStyle w:val="Collegamentoipertestuale"/>
            <w:noProof/>
          </w:rPr>
          <w:t>Figure 5-85</w:t>
        </w:r>
        <w:r w:rsidR="003D31DD">
          <w:rPr>
            <w:rStyle w:val="Collegamentoipertestuale"/>
            <w:noProof/>
          </w:rPr>
          <w:t>.</w:t>
        </w:r>
        <w:r w:rsidR="0014173B" w:rsidRPr="00292D0C">
          <w:rPr>
            <w:rStyle w:val="Collegamentoipertestuale"/>
            <w:noProof/>
          </w:rPr>
          <w:t xml:space="preserve"> Lanax types in LM III tombs</w:t>
        </w:r>
        <w:r w:rsidR="0014173B">
          <w:rPr>
            <w:noProof/>
            <w:webHidden/>
          </w:rPr>
          <w:tab/>
        </w:r>
        <w:r w:rsidR="0014173B">
          <w:rPr>
            <w:noProof/>
            <w:webHidden/>
          </w:rPr>
          <w:fldChar w:fldCharType="begin"/>
        </w:r>
        <w:r w:rsidR="0014173B">
          <w:rPr>
            <w:noProof/>
            <w:webHidden/>
          </w:rPr>
          <w:instrText xml:space="preserve"> PAGEREF _Toc520212481 \h </w:instrText>
        </w:r>
        <w:r w:rsidR="0014173B">
          <w:rPr>
            <w:noProof/>
            <w:webHidden/>
          </w:rPr>
        </w:r>
        <w:r w:rsidR="0014173B">
          <w:rPr>
            <w:noProof/>
            <w:webHidden/>
          </w:rPr>
          <w:fldChar w:fldCharType="separate"/>
        </w:r>
        <w:r w:rsidR="00940F6A">
          <w:rPr>
            <w:noProof/>
            <w:webHidden/>
          </w:rPr>
          <w:t>3</w:t>
        </w:r>
        <w:r w:rsidR="009F300E">
          <w:rPr>
            <w:noProof/>
            <w:webHidden/>
          </w:rPr>
          <w:t>64</w:t>
        </w:r>
        <w:r w:rsidR="0014173B">
          <w:rPr>
            <w:noProof/>
            <w:webHidden/>
          </w:rPr>
          <w:fldChar w:fldCharType="end"/>
        </w:r>
      </w:hyperlink>
    </w:p>
    <w:p w14:paraId="18E68289" w14:textId="52392A73" w:rsidR="0014173B" w:rsidRDefault="00874C0C">
      <w:pPr>
        <w:pStyle w:val="Indicedellefigure"/>
        <w:tabs>
          <w:tab w:val="right" w:leader="dot" w:pos="8488"/>
        </w:tabs>
        <w:rPr>
          <w:rFonts w:asciiTheme="minorHAnsi" w:hAnsiTheme="minorHAnsi" w:cstheme="minorBidi"/>
          <w:noProof/>
          <w:szCs w:val="22"/>
          <w:lang w:eastAsia="en-GB"/>
        </w:rPr>
      </w:pPr>
      <w:hyperlink w:anchor="_Toc520212483" w:history="1">
        <w:r w:rsidR="0014173B" w:rsidRPr="00292D0C">
          <w:rPr>
            <w:rStyle w:val="Collegamentoipertestuale"/>
            <w:noProof/>
          </w:rPr>
          <w:t>Figure 5-86</w:t>
        </w:r>
        <w:r w:rsidR="003D31DD">
          <w:rPr>
            <w:rStyle w:val="Collegamentoipertestuale"/>
            <w:noProof/>
          </w:rPr>
          <w:t>.</w:t>
        </w:r>
        <w:r w:rsidR="0014173B" w:rsidRPr="00292D0C">
          <w:rPr>
            <w:rStyle w:val="Collegamentoipertestuale"/>
            <w:noProof/>
          </w:rPr>
          <w:t xml:space="preserve"> Distribution larnakes types with decoration in the Far-East </w:t>
        </w:r>
        <w:r w:rsidR="00A26920">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_Toc520212483 \h </w:instrText>
        </w:r>
        <w:r w:rsidR="0014173B">
          <w:rPr>
            <w:noProof/>
            <w:webHidden/>
          </w:rPr>
        </w:r>
        <w:r w:rsidR="0014173B">
          <w:rPr>
            <w:noProof/>
            <w:webHidden/>
          </w:rPr>
          <w:fldChar w:fldCharType="separate"/>
        </w:r>
        <w:r w:rsidR="00940F6A">
          <w:rPr>
            <w:noProof/>
            <w:webHidden/>
          </w:rPr>
          <w:t>3</w:t>
        </w:r>
        <w:r w:rsidR="009F300E">
          <w:rPr>
            <w:noProof/>
            <w:webHidden/>
          </w:rPr>
          <w:t>65</w:t>
        </w:r>
        <w:r w:rsidR="0014173B">
          <w:rPr>
            <w:noProof/>
            <w:webHidden/>
          </w:rPr>
          <w:fldChar w:fldCharType="end"/>
        </w:r>
      </w:hyperlink>
    </w:p>
    <w:p w14:paraId="75B1D620" w14:textId="7C11CF21" w:rsidR="0014173B" w:rsidRDefault="00874C0C" w:rsidP="004B010D">
      <w:pPr>
        <w:pStyle w:val="Indicedellefigure"/>
        <w:tabs>
          <w:tab w:val="right" w:leader="dot" w:pos="8488"/>
        </w:tabs>
        <w:rPr>
          <w:rFonts w:asciiTheme="minorHAnsi" w:hAnsiTheme="minorHAnsi" w:cstheme="minorBidi"/>
          <w:noProof/>
          <w:szCs w:val="22"/>
          <w:lang w:eastAsia="en-GB"/>
        </w:rPr>
      </w:pPr>
      <w:hyperlink w:anchor="_Toc520212484" w:history="1">
        <w:r w:rsidR="0014173B" w:rsidRPr="00292D0C">
          <w:rPr>
            <w:rStyle w:val="Collegamentoipertestuale"/>
            <w:noProof/>
          </w:rPr>
          <w:t>Figure 5-87</w:t>
        </w:r>
        <w:r w:rsidR="003D31DD">
          <w:rPr>
            <w:rStyle w:val="Collegamentoipertestuale"/>
            <w:noProof/>
          </w:rPr>
          <w:t>.</w:t>
        </w:r>
        <w:r w:rsidR="0014173B" w:rsidRPr="00292D0C">
          <w:rPr>
            <w:rStyle w:val="Collegamentoipertestuale"/>
            <w:noProof/>
          </w:rPr>
          <w:t xml:space="preserve"> Distribution of larnax types in the Far-East </w:t>
        </w:r>
        <w:r w:rsidR="00A26920">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_Toc520212484 \h </w:instrText>
        </w:r>
        <w:r w:rsidR="0014173B">
          <w:rPr>
            <w:noProof/>
            <w:webHidden/>
          </w:rPr>
        </w:r>
        <w:r w:rsidR="0014173B">
          <w:rPr>
            <w:noProof/>
            <w:webHidden/>
          </w:rPr>
          <w:fldChar w:fldCharType="separate"/>
        </w:r>
        <w:r w:rsidR="00940F6A">
          <w:rPr>
            <w:noProof/>
            <w:webHidden/>
          </w:rPr>
          <w:t>36</w:t>
        </w:r>
        <w:r w:rsidR="00EB10BD">
          <w:rPr>
            <w:noProof/>
            <w:webHidden/>
          </w:rPr>
          <w:t>5</w:t>
        </w:r>
        <w:r w:rsidR="0014173B">
          <w:rPr>
            <w:noProof/>
            <w:webHidden/>
          </w:rPr>
          <w:fldChar w:fldCharType="end"/>
        </w:r>
      </w:hyperlink>
    </w:p>
    <w:p w14:paraId="42709225" w14:textId="524413E2" w:rsidR="0014173B" w:rsidRDefault="00874C0C">
      <w:pPr>
        <w:pStyle w:val="Indicedellefigure"/>
        <w:tabs>
          <w:tab w:val="right" w:leader="dot" w:pos="8488"/>
        </w:tabs>
        <w:rPr>
          <w:rFonts w:asciiTheme="minorHAnsi" w:hAnsiTheme="minorHAnsi" w:cstheme="minorBidi"/>
          <w:noProof/>
          <w:szCs w:val="22"/>
          <w:lang w:eastAsia="en-GB"/>
        </w:rPr>
      </w:pPr>
      <w:hyperlink w:anchor="_Toc520212487" w:history="1">
        <w:r w:rsidR="0014173B" w:rsidRPr="00292D0C">
          <w:rPr>
            <w:rStyle w:val="Collegamentoipertestuale"/>
            <w:noProof/>
          </w:rPr>
          <w:t>Figure 5-90</w:t>
        </w:r>
        <w:r w:rsidR="003D31DD">
          <w:rPr>
            <w:rStyle w:val="Collegamentoipertestuale"/>
            <w:noProof/>
          </w:rPr>
          <w:t>.</w:t>
        </w:r>
        <w:r w:rsidR="0014173B" w:rsidRPr="00292D0C">
          <w:rPr>
            <w:rStyle w:val="Collegamentoipertestuale"/>
            <w:noProof/>
          </w:rPr>
          <w:t xml:space="preserve"> Distribution of number of larnakes per cemetery</w:t>
        </w:r>
        <w:r w:rsidR="0014173B">
          <w:rPr>
            <w:noProof/>
            <w:webHidden/>
          </w:rPr>
          <w:tab/>
        </w:r>
        <w:r w:rsidR="0014173B">
          <w:rPr>
            <w:noProof/>
            <w:webHidden/>
          </w:rPr>
          <w:fldChar w:fldCharType="begin"/>
        </w:r>
        <w:r w:rsidR="0014173B">
          <w:rPr>
            <w:noProof/>
            <w:webHidden/>
          </w:rPr>
          <w:instrText xml:space="preserve"> PAGEREF _Toc520212487 \h </w:instrText>
        </w:r>
        <w:r w:rsidR="0014173B">
          <w:rPr>
            <w:noProof/>
            <w:webHidden/>
          </w:rPr>
        </w:r>
        <w:r w:rsidR="0014173B">
          <w:rPr>
            <w:noProof/>
            <w:webHidden/>
          </w:rPr>
          <w:fldChar w:fldCharType="separate"/>
        </w:r>
        <w:r w:rsidR="00940F6A">
          <w:rPr>
            <w:noProof/>
            <w:webHidden/>
          </w:rPr>
          <w:t>37</w:t>
        </w:r>
        <w:r w:rsidR="00EB10BD">
          <w:rPr>
            <w:noProof/>
            <w:webHidden/>
          </w:rPr>
          <w:t>2</w:t>
        </w:r>
        <w:r w:rsidR="0014173B">
          <w:rPr>
            <w:noProof/>
            <w:webHidden/>
          </w:rPr>
          <w:fldChar w:fldCharType="end"/>
        </w:r>
      </w:hyperlink>
    </w:p>
    <w:p w14:paraId="73A36D7B" w14:textId="18BB985A" w:rsidR="0014173B" w:rsidRDefault="00874C0C">
      <w:pPr>
        <w:pStyle w:val="Indicedellefigure"/>
        <w:tabs>
          <w:tab w:val="right" w:leader="dot" w:pos="8488"/>
        </w:tabs>
        <w:rPr>
          <w:rFonts w:asciiTheme="minorHAnsi" w:hAnsiTheme="minorHAnsi" w:cstheme="minorBidi"/>
          <w:noProof/>
          <w:szCs w:val="22"/>
          <w:lang w:eastAsia="en-GB"/>
        </w:rPr>
      </w:pPr>
      <w:hyperlink w:anchor="_Toc520212488" w:history="1">
        <w:r w:rsidR="0014173B" w:rsidRPr="00292D0C">
          <w:rPr>
            <w:rStyle w:val="Collegamentoipertestuale"/>
            <w:noProof/>
          </w:rPr>
          <w:t>Figure 5-91</w:t>
        </w:r>
        <w:r w:rsidR="003D31DD">
          <w:rPr>
            <w:rStyle w:val="Collegamentoipertestuale"/>
            <w:noProof/>
          </w:rPr>
          <w:t>.</w:t>
        </w:r>
        <w:r w:rsidR="00F3012F">
          <w:rPr>
            <w:rStyle w:val="Collegamentoipertestuale"/>
            <w:noProof/>
          </w:rPr>
          <w:t xml:space="preserve"> </w:t>
        </w:r>
        <w:r w:rsidR="0014173B" w:rsidRPr="00292D0C">
          <w:rPr>
            <w:rStyle w:val="Collegamentoipertestuale"/>
            <w:noProof/>
          </w:rPr>
          <w:t>Map: Number of larnakes per cemetery (geographical distribution)</w:t>
        </w:r>
        <w:r w:rsidR="0014173B">
          <w:rPr>
            <w:noProof/>
            <w:webHidden/>
          </w:rPr>
          <w:tab/>
        </w:r>
        <w:r w:rsidR="0014173B">
          <w:rPr>
            <w:noProof/>
            <w:webHidden/>
          </w:rPr>
          <w:fldChar w:fldCharType="begin"/>
        </w:r>
        <w:r w:rsidR="0014173B">
          <w:rPr>
            <w:noProof/>
            <w:webHidden/>
          </w:rPr>
          <w:instrText xml:space="preserve"> PAGEREF _Toc520212488 \h </w:instrText>
        </w:r>
        <w:r w:rsidR="0014173B">
          <w:rPr>
            <w:noProof/>
            <w:webHidden/>
          </w:rPr>
        </w:r>
        <w:r w:rsidR="0014173B">
          <w:rPr>
            <w:noProof/>
            <w:webHidden/>
          </w:rPr>
          <w:fldChar w:fldCharType="separate"/>
        </w:r>
        <w:r w:rsidR="00940F6A">
          <w:rPr>
            <w:noProof/>
            <w:webHidden/>
          </w:rPr>
          <w:t>37</w:t>
        </w:r>
        <w:r w:rsidR="00EB10BD">
          <w:rPr>
            <w:noProof/>
            <w:webHidden/>
          </w:rPr>
          <w:t>3</w:t>
        </w:r>
        <w:r w:rsidR="0014173B">
          <w:rPr>
            <w:noProof/>
            <w:webHidden/>
          </w:rPr>
          <w:fldChar w:fldCharType="end"/>
        </w:r>
      </w:hyperlink>
    </w:p>
    <w:p w14:paraId="37511FEB" w14:textId="6FD0609A" w:rsidR="0014173B" w:rsidRDefault="00874C0C" w:rsidP="0014173B">
      <w:pPr>
        <w:pStyle w:val="Indicedellefigure"/>
        <w:tabs>
          <w:tab w:val="right" w:leader="dot" w:pos="8488"/>
        </w:tabs>
        <w:rPr>
          <w:rStyle w:val="Collegamentoipertestuale"/>
          <w:noProof/>
        </w:rPr>
      </w:pPr>
      <w:hyperlink w:anchor="_Toc520212489" w:history="1">
        <w:r w:rsidR="0014173B" w:rsidRPr="00292D0C">
          <w:rPr>
            <w:rStyle w:val="Collegamentoipertestuale"/>
            <w:noProof/>
          </w:rPr>
          <w:t>Figure 5-92</w:t>
        </w:r>
        <w:r w:rsidR="003D31DD">
          <w:rPr>
            <w:rStyle w:val="Collegamentoipertestuale"/>
            <w:noProof/>
          </w:rPr>
          <w:t>.</w:t>
        </w:r>
        <w:r w:rsidR="0014173B" w:rsidRPr="00292D0C">
          <w:rPr>
            <w:rStyle w:val="Collegamentoipertestuale"/>
            <w:noProof/>
          </w:rPr>
          <w:t xml:space="preserve"> Map: Distribution of types of larnakes throughout Crete.</w:t>
        </w:r>
        <w:r w:rsidR="0014173B">
          <w:rPr>
            <w:noProof/>
            <w:webHidden/>
          </w:rPr>
          <w:tab/>
        </w:r>
        <w:r w:rsidR="0014173B">
          <w:rPr>
            <w:noProof/>
            <w:webHidden/>
          </w:rPr>
          <w:fldChar w:fldCharType="begin"/>
        </w:r>
        <w:r w:rsidR="0014173B">
          <w:rPr>
            <w:noProof/>
            <w:webHidden/>
          </w:rPr>
          <w:instrText xml:space="preserve"> PAGEREF _Toc520212489 \h </w:instrText>
        </w:r>
        <w:r w:rsidR="0014173B">
          <w:rPr>
            <w:noProof/>
            <w:webHidden/>
          </w:rPr>
        </w:r>
        <w:r w:rsidR="0014173B">
          <w:rPr>
            <w:noProof/>
            <w:webHidden/>
          </w:rPr>
          <w:fldChar w:fldCharType="separate"/>
        </w:r>
        <w:r w:rsidR="00940F6A">
          <w:rPr>
            <w:noProof/>
            <w:webHidden/>
          </w:rPr>
          <w:t>37</w:t>
        </w:r>
        <w:r w:rsidR="0014173B">
          <w:rPr>
            <w:noProof/>
            <w:webHidden/>
          </w:rPr>
          <w:fldChar w:fldCharType="end"/>
        </w:r>
      </w:hyperlink>
      <w:r w:rsidR="00251888">
        <w:rPr>
          <w:noProof/>
        </w:rPr>
        <w:t>4</w:t>
      </w:r>
      <w:r w:rsidR="0014173B">
        <w:rPr>
          <w:rStyle w:val="Collegamentoipertestuale"/>
          <w:noProof/>
        </w:rPr>
        <w:br w:type="page"/>
      </w:r>
    </w:p>
    <w:p w14:paraId="34EAAD8D" w14:textId="60C7DFF1" w:rsidR="00ED770B" w:rsidRDefault="004B6F6C" w:rsidP="0014173B">
      <w:pPr>
        <w:pStyle w:val="Titolo1"/>
        <w:numPr>
          <w:ilvl w:val="0"/>
          <w:numId w:val="0"/>
        </w:numPr>
      </w:pPr>
      <w:r>
        <w:lastRenderedPageBreak/>
        <w:fldChar w:fldCharType="end"/>
      </w:r>
      <w:bookmarkStart w:id="6" w:name="_Toc519894584"/>
      <w:r w:rsidR="00ED770B">
        <w:t>List of Tables</w:t>
      </w:r>
      <w:bookmarkEnd w:id="6"/>
    </w:p>
    <w:p w14:paraId="4D9168C7" w14:textId="55C75F5E" w:rsidR="0014173B" w:rsidRDefault="004B6F6C">
      <w:pPr>
        <w:pStyle w:val="Indicedellefigure"/>
        <w:tabs>
          <w:tab w:val="right" w:leader="dot" w:pos="8488"/>
        </w:tabs>
        <w:rPr>
          <w:rFonts w:asciiTheme="minorHAnsi" w:hAnsiTheme="minorHAnsi" w:cstheme="minorBidi"/>
          <w:noProof/>
          <w:szCs w:val="22"/>
          <w:lang w:eastAsia="en-GB"/>
        </w:rPr>
      </w:pPr>
      <w:r>
        <w:fldChar w:fldCharType="begin"/>
      </w:r>
      <w:r>
        <w:instrText xml:space="preserve"> TOC \h \z \t "Balloon Text,1" \c "Figure" </w:instrText>
      </w:r>
      <w:r>
        <w:fldChar w:fldCharType="separate"/>
      </w:r>
      <w:hyperlink w:anchor="_Toc520212490" w:history="1">
        <w:r w:rsidR="0014173B" w:rsidRPr="003E163E">
          <w:rPr>
            <w:rStyle w:val="Collegamentoipertestuale"/>
            <w:noProof/>
          </w:rPr>
          <w:t>Table 3-1. LM III burial locations</w:t>
        </w:r>
        <w:r w:rsidR="0075522A">
          <w:rPr>
            <w:rStyle w:val="Collegamentoipertestuale"/>
            <w:noProof/>
          </w:rPr>
          <w:t>,</w:t>
        </w:r>
        <w:r w:rsidR="0014173B" w:rsidRPr="003E163E">
          <w:rPr>
            <w:rStyle w:val="Collegamentoipertestuale"/>
            <w:noProof/>
          </w:rPr>
          <w:t xml:space="preserve"> Far-West area</w:t>
        </w:r>
        <w:r w:rsidR="0075522A">
          <w:rPr>
            <w:rStyle w:val="Collegamentoipertestuale"/>
            <w:noProof/>
          </w:rPr>
          <w:t>,</w:t>
        </w:r>
        <w:r w:rsidR="0014173B" w:rsidRPr="003E163E">
          <w:rPr>
            <w:rStyle w:val="Collegamentoipertestuale"/>
            <w:noProof/>
          </w:rPr>
          <w:t xml:space="preserve"> in detail</w:t>
        </w:r>
        <w:r w:rsidR="0014173B">
          <w:rPr>
            <w:noProof/>
            <w:webHidden/>
          </w:rPr>
          <w:tab/>
        </w:r>
        <w:r w:rsidR="0014173B">
          <w:rPr>
            <w:noProof/>
            <w:webHidden/>
          </w:rPr>
          <w:fldChar w:fldCharType="begin"/>
        </w:r>
        <w:r w:rsidR="0014173B">
          <w:rPr>
            <w:noProof/>
            <w:webHidden/>
          </w:rPr>
          <w:instrText xml:space="preserve"> PAGEREF _Toc520212490 \h </w:instrText>
        </w:r>
        <w:r w:rsidR="0014173B">
          <w:rPr>
            <w:noProof/>
            <w:webHidden/>
          </w:rPr>
        </w:r>
        <w:r w:rsidR="0014173B">
          <w:rPr>
            <w:noProof/>
            <w:webHidden/>
          </w:rPr>
          <w:fldChar w:fldCharType="separate"/>
        </w:r>
        <w:r w:rsidR="00940F6A">
          <w:rPr>
            <w:noProof/>
            <w:webHidden/>
          </w:rPr>
          <w:t>63</w:t>
        </w:r>
        <w:r w:rsidR="0014173B">
          <w:rPr>
            <w:noProof/>
            <w:webHidden/>
          </w:rPr>
          <w:fldChar w:fldCharType="end"/>
        </w:r>
      </w:hyperlink>
    </w:p>
    <w:p w14:paraId="5E6D76C1" w14:textId="5EA96B03" w:rsidR="0014173B" w:rsidRDefault="00874C0C">
      <w:pPr>
        <w:pStyle w:val="Indicedellefigure"/>
        <w:tabs>
          <w:tab w:val="right" w:leader="dot" w:pos="8488"/>
        </w:tabs>
        <w:rPr>
          <w:rFonts w:asciiTheme="minorHAnsi" w:hAnsiTheme="minorHAnsi" w:cstheme="minorBidi"/>
          <w:noProof/>
          <w:szCs w:val="22"/>
          <w:lang w:eastAsia="en-GB"/>
        </w:rPr>
      </w:pPr>
      <w:hyperlink w:anchor="_Toc520212491" w:history="1">
        <w:r w:rsidR="0014173B" w:rsidRPr="003E163E">
          <w:rPr>
            <w:rStyle w:val="Collegamentoipertestuale"/>
            <w:noProof/>
          </w:rPr>
          <w:t>Table 3-2. LM III burial locations</w:t>
        </w:r>
        <w:r w:rsidR="0075522A">
          <w:rPr>
            <w:rStyle w:val="Collegamentoipertestuale"/>
            <w:noProof/>
          </w:rPr>
          <w:t>,</w:t>
        </w:r>
        <w:r w:rsidR="0014173B" w:rsidRPr="003E163E">
          <w:rPr>
            <w:rStyle w:val="Collegamentoipertestuale"/>
            <w:noProof/>
          </w:rPr>
          <w:t xml:space="preserve"> Mid-West area</w:t>
        </w:r>
        <w:r w:rsidR="0075522A">
          <w:rPr>
            <w:rStyle w:val="Collegamentoipertestuale"/>
            <w:noProof/>
          </w:rPr>
          <w:t>,</w:t>
        </w:r>
        <w:r w:rsidR="0014173B" w:rsidRPr="003E163E">
          <w:rPr>
            <w:rStyle w:val="Collegamentoipertestuale"/>
            <w:noProof/>
          </w:rPr>
          <w:t xml:space="preserve"> in detail.</w:t>
        </w:r>
        <w:r w:rsidR="0014173B">
          <w:rPr>
            <w:noProof/>
            <w:webHidden/>
          </w:rPr>
          <w:tab/>
        </w:r>
        <w:r w:rsidR="0014173B">
          <w:rPr>
            <w:noProof/>
            <w:webHidden/>
          </w:rPr>
          <w:fldChar w:fldCharType="begin"/>
        </w:r>
        <w:r w:rsidR="0014173B">
          <w:rPr>
            <w:noProof/>
            <w:webHidden/>
          </w:rPr>
          <w:instrText xml:space="preserve"> PAGEREF _Toc520212491 \h </w:instrText>
        </w:r>
        <w:r w:rsidR="0014173B">
          <w:rPr>
            <w:noProof/>
            <w:webHidden/>
          </w:rPr>
        </w:r>
        <w:r w:rsidR="0014173B">
          <w:rPr>
            <w:noProof/>
            <w:webHidden/>
          </w:rPr>
          <w:fldChar w:fldCharType="separate"/>
        </w:r>
        <w:r w:rsidR="00940F6A">
          <w:rPr>
            <w:noProof/>
            <w:webHidden/>
          </w:rPr>
          <w:t>66</w:t>
        </w:r>
        <w:r w:rsidR="0014173B">
          <w:rPr>
            <w:noProof/>
            <w:webHidden/>
          </w:rPr>
          <w:fldChar w:fldCharType="end"/>
        </w:r>
      </w:hyperlink>
    </w:p>
    <w:p w14:paraId="2871B4F6" w14:textId="1CF4A4C1" w:rsidR="0014173B" w:rsidRDefault="00874C0C">
      <w:pPr>
        <w:pStyle w:val="Indicedellefigure"/>
        <w:tabs>
          <w:tab w:val="right" w:leader="dot" w:pos="8488"/>
        </w:tabs>
        <w:rPr>
          <w:rFonts w:asciiTheme="minorHAnsi" w:hAnsiTheme="minorHAnsi" w:cstheme="minorBidi"/>
          <w:noProof/>
          <w:szCs w:val="22"/>
          <w:lang w:eastAsia="en-GB"/>
        </w:rPr>
      </w:pPr>
      <w:hyperlink w:anchor="_Toc520212492" w:history="1">
        <w:r w:rsidR="0014173B" w:rsidRPr="003E163E">
          <w:rPr>
            <w:rStyle w:val="Collegamentoipertestuale"/>
            <w:noProof/>
          </w:rPr>
          <w:t>Table 3-3</w:t>
        </w:r>
        <w:r w:rsidR="003D31DD">
          <w:rPr>
            <w:rStyle w:val="Collegamentoipertestuale"/>
            <w:noProof/>
          </w:rPr>
          <w:t>.</w:t>
        </w:r>
        <w:r w:rsidR="0014173B" w:rsidRPr="003E163E">
          <w:rPr>
            <w:rStyle w:val="Collegamentoipertestuale"/>
            <w:noProof/>
          </w:rPr>
          <w:t xml:space="preserve"> Tomb types per cemetery</w:t>
        </w:r>
        <w:r w:rsidR="007A2730">
          <w:rPr>
            <w:rStyle w:val="Collegamentoipertestuale"/>
            <w:noProof/>
          </w:rPr>
          <w:t>,</w:t>
        </w:r>
        <w:r w:rsidR="0014173B" w:rsidRPr="003E163E">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_Toc520212492 \h </w:instrText>
        </w:r>
        <w:r w:rsidR="0014173B">
          <w:rPr>
            <w:noProof/>
            <w:webHidden/>
          </w:rPr>
        </w:r>
        <w:r w:rsidR="0014173B">
          <w:rPr>
            <w:noProof/>
            <w:webHidden/>
          </w:rPr>
          <w:fldChar w:fldCharType="separate"/>
        </w:r>
        <w:r w:rsidR="00940F6A">
          <w:rPr>
            <w:noProof/>
            <w:webHidden/>
          </w:rPr>
          <w:t>69</w:t>
        </w:r>
        <w:r w:rsidR="0014173B">
          <w:rPr>
            <w:noProof/>
            <w:webHidden/>
          </w:rPr>
          <w:fldChar w:fldCharType="end"/>
        </w:r>
      </w:hyperlink>
    </w:p>
    <w:p w14:paraId="2D381BF5" w14:textId="0C04611E" w:rsidR="0014173B" w:rsidRDefault="00422526">
      <w:pPr>
        <w:pStyle w:val="Indicedellefigure"/>
        <w:tabs>
          <w:tab w:val="right" w:leader="dot" w:pos="8488"/>
        </w:tabs>
        <w:rPr>
          <w:rFonts w:asciiTheme="minorHAnsi" w:hAnsiTheme="minorHAnsi" w:cstheme="minorBidi"/>
          <w:noProof/>
          <w:szCs w:val="22"/>
          <w:lang w:eastAsia="en-GB"/>
        </w:rPr>
      </w:pPr>
      <w:hyperlink w:anchor="_Toc520212493" w:history="1">
        <w:r w:rsidR="0014173B" w:rsidRPr="003E163E">
          <w:rPr>
            <w:rStyle w:val="Collegamentoipertestuale"/>
            <w:noProof/>
          </w:rPr>
          <w:t>Table 3-4. Deposition methods adopted in the cemeteries with larnakes, Mid-West area</w:t>
        </w:r>
        <w:r w:rsidR="0014173B">
          <w:rPr>
            <w:noProof/>
            <w:webHidden/>
          </w:rPr>
          <w:tab/>
        </w:r>
        <w:r w:rsidR="0014173B">
          <w:rPr>
            <w:noProof/>
            <w:webHidden/>
          </w:rPr>
          <w:fldChar w:fldCharType="begin"/>
        </w:r>
        <w:r w:rsidR="0014173B">
          <w:rPr>
            <w:noProof/>
            <w:webHidden/>
          </w:rPr>
          <w:instrText xml:space="preserve"> PAGEREF _Toc520212493 \h </w:instrText>
        </w:r>
        <w:r w:rsidR="0014173B">
          <w:rPr>
            <w:noProof/>
            <w:webHidden/>
          </w:rPr>
        </w:r>
        <w:r w:rsidR="0014173B">
          <w:rPr>
            <w:noProof/>
            <w:webHidden/>
          </w:rPr>
          <w:fldChar w:fldCharType="separate"/>
        </w:r>
        <w:r w:rsidR="00940F6A">
          <w:rPr>
            <w:noProof/>
            <w:webHidden/>
          </w:rPr>
          <w:t>70</w:t>
        </w:r>
        <w:r w:rsidR="0014173B">
          <w:rPr>
            <w:noProof/>
            <w:webHidden/>
          </w:rPr>
          <w:fldChar w:fldCharType="end"/>
        </w:r>
      </w:hyperlink>
    </w:p>
    <w:p w14:paraId="5C9550A2" w14:textId="098B53C3" w:rsidR="0014173B" w:rsidRDefault="00422526">
      <w:pPr>
        <w:pStyle w:val="Indicedellefigure"/>
        <w:tabs>
          <w:tab w:val="right" w:leader="dot" w:pos="8488"/>
        </w:tabs>
        <w:rPr>
          <w:rFonts w:asciiTheme="minorHAnsi" w:hAnsiTheme="minorHAnsi" w:cstheme="minorBidi"/>
          <w:noProof/>
          <w:szCs w:val="22"/>
          <w:lang w:eastAsia="en-GB"/>
        </w:rPr>
      </w:pPr>
      <w:hyperlink w:anchor="_Toc520212494" w:history="1">
        <w:r w:rsidR="0014173B" w:rsidRPr="003E163E">
          <w:rPr>
            <w:rStyle w:val="Collegamentoipertestuale"/>
            <w:noProof/>
          </w:rPr>
          <w:t>Table 3-5.  Tomb types associated with larnax by cemetery in the Mid-West area</w:t>
        </w:r>
        <w:r w:rsidR="0014173B">
          <w:rPr>
            <w:noProof/>
            <w:webHidden/>
          </w:rPr>
          <w:tab/>
        </w:r>
        <w:r w:rsidR="0014173B">
          <w:rPr>
            <w:noProof/>
            <w:webHidden/>
          </w:rPr>
          <w:fldChar w:fldCharType="begin"/>
        </w:r>
        <w:r w:rsidR="0014173B">
          <w:rPr>
            <w:noProof/>
            <w:webHidden/>
          </w:rPr>
          <w:instrText xml:space="preserve"> PAGEREF _Toc520212494 \h </w:instrText>
        </w:r>
        <w:r w:rsidR="0014173B">
          <w:rPr>
            <w:noProof/>
            <w:webHidden/>
          </w:rPr>
        </w:r>
        <w:r w:rsidR="0014173B">
          <w:rPr>
            <w:noProof/>
            <w:webHidden/>
          </w:rPr>
          <w:fldChar w:fldCharType="separate"/>
        </w:r>
        <w:r w:rsidR="00940F6A">
          <w:rPr>
            <w:noProof/>
            <w:webHidden/>
          </w:rPr>
          <w:t>72</w:t>
        </w:r>
        <w:r w:rsidR="0014173B">
          <w:rPr>
            <w:noProof/>
            <w:webHidden/>
          </w:rPr>
          <w:fldChar w:fldCharType="end"/>
        </w:r>
      </w:hyperlink>
    </w:p>
    <w:p w14:paraId="67432D64" w14:textId="7D34577F" w:rsidR="0014173B" w:rsidRDefault="00422526">
      <w:pPr>
        <w:pStyle w:val="Indicedellefigure"/>
        <w:tabs>
          <w:tab w:val="right" w:leader="dot" w:pos="8488"/>
        </w:tabs>
        <w:rPr>
          <w:rFonts w:asciiTheme="minorHAnsi" w:hAnsiTheme="minorHAnsi" w:cstheme="minorBidi"/>
          <w:noProof/>
          <w:szCs w:val="22"/>
          <w:lang w:eastAsia="en-GB"/>
        </w:rPr>
      </w:pPr>
      <w:hyperlink w:anchor="_Toc520212495" w:history="1">
        <w:r w:rsidR="0014173B" w:rsidRPr="003E163E">
          <w:rPr>
            <w:rStyle w:val="Collegamentoipertestuale"/>
            <w:noProof/>
          </w:rPr>
          <w:t>Table 3-6. Tombs dimension in Mid-West area</w:t>
        </w:r>
        <w:r w:rsidR="0014173B">
          <w:rPr>
            <w:noProof/>
            <w:webHidden/>
          </w:rPr>
          <w:tab/>
        </w:r>
        <w:r w:rsidR="0014173B">
          <w:rPr>
            <w:noProof/>
            <w:webHidden/>
          </w:rPr>
          <w:fldChar w:fldCharType="begin"/>
        </w:r>
        <w:r w:rsidR="0014173B">
          <w:rPr>
            <w:noProof/>
            <w:webHidden/>
          </w:rPr>
          <w:instrText xml:space="preserve"> PAGEREF _Toc520212495 \h </w:instrText>
        </w:r>
        <w:r w:rsidR="0014173B">
          <w:rPr>
            <w:noProof/>
            <w:webHidden/>
          </w:rPr>
        </w:r>
        <w:r w:rsidR="0014173B">
          <w:rPr>
            <w:noProof/>
            <w:webHidden/>
          </w:rPr>
          <w:fldChar w:fldCharType="separate"/>
        </w:r>
        <w:r w:rsidR="00940F6A">
          <w:rPr>
            <w:noProof/>
            <w:webHidden/>
          </w:rPr>
          <w:t>73</w:t>
        </w:r>
        <w:r w:rsidR="0014173B">
          <w:rPr>
            <w:noProof/>
            <w:webHidden/>
          </w:rPr>
          <w:fldChar w:fldCharType="end"/>
        </w:r>
      </w:hyperlink>
    </w:p>
    <w:p w14:paraId="17314DAA" w14:textId="70613B27" w:rsidR="0014173B" w:rsidRDefault="00874C0C">
      <w:pPr>
        <w:pStyle w:val="Indicedellefigure"/>
        <w:tabs>
          <w:tab w:val="right" w:leader="dot" w:pos="8488"/>
        </w:tabs>
        <w:rPr>
          <w:rFonts w:asciiTheme="minorHAnsi" w:hAnsiTheme="minorHAnsi" w:cstheme="minorBidi"/>
          <w:noProof/>
          <w:szCs w:val="22"/>
          <w:lang w:eastAsia="en-GB"/>
        </w:rPr>
      </w:pPr>
      <w:hyperlink w:anchor="_Toc520212496" w:history="1">
        <w:r w:rsidR="0014173B" w:rsidRPr="003E163E">
          <w:rPr>
            <w:rStyle w:val="Collegamentoipertestuale"/>
            <w:noProof/>
          </w:rPr>
          <w:t>Table 3-7. Tomb size groups</w:t>
        </w:r>
        <w:r w:rsidR="007A2730">
          <w:rPr>
            <w:rStyle w:val="Collegamentoipertestuale"/>
            <w:noProof/>
          </w:rPr>
          <w:t>,</w:t>
        </w:r>
        <w:r w:rsidR="0014173B" w:rsidRPr="003E163E">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_Toc520212496 \h </w:instrText>
        </w:r>
        <w:r w:rsidR="0014173B">
          <w:rPr>
            <w:noProof/>
            <w:webHidden/>
          </w:rPr>
        </w:r>
        <w:r w:rsidR="0014173B">
          <w:rPr>
            <w:noProof/>
            <w:webHidden/>
          </w:rPr>
          <w:fldChar w:fldCharType="separate"/>
        </w:r>
        <w:r w:rsidR="00940F6A">
          <w:rPr>
            <w:noProof/>
            <w:webHidden/>
          </w:rPr>
          <w:t>73</w:t>
        </w:r>
        <w:r w:rsidR="0014173B">
          <w:rPr>
            <w:noProof/>
            <w:webHidden/>
          </w:rPr>
          <w:fldChar w:fldCharType="end"/>
        </w:r>
      </w:hyperlink>
    </w:p>
    <w:p w14:paraId="597D41A8" w14:textId="5D274C77" w:rsidR="0014173B" w:rsidRDefault="00874C0C">
      <w:pPr>
        <w:pStyle w:val="Indicedellefigure"/>
        <w:tabs>
          <w:tab w:val="right" w:leader="dot" w:pos="8488"/>
        </w:tabs>
        <w:rPr>
          <w:rFonts w:asciiTheme="minorHAnsi" w:hAnsiTheme="minorHAnsi" w:cstheme="minorBidi"/>
          <w:noProof/>
          <w:szCs w:val="22"/>
          <w:lang w:eastAsia="en-GB"/>
        </w:rPr>
      </w:pPr>
      <w:hyperlink w:anchor="_Toc520212497" w:history="1">
        <w:r w:rsidR="0014173B" w:rsidRPr="003E163E">
          <w:rPr>
            <w:rStyle w:val="Collegamentoipertestuale"/>
            <w:noProof/>
          </w:rPr>
          <w:t>Table 3-8. Tomb size and dromos length comparison</w:t>
        </w:r>
        <w:r w:rsidR="007A2730">
          <w:rPr>
            <w:rStyle w:val="Collegamentoipertestuale"/>
            <w:noProof/>
          </w:rPr>
          <w:t>,</w:t>
        </w:r>
        <w:r w:rsidR="0014173B" w:rsidRPr="003E163E">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_Toc520212497 \h </w:instrText>
        </w:r>
        <w:r w:rsidR="0014173B">
          <w:rPr>
            <w:noProof/>
            <w:webHidden/>
          </w:rPr>
        </w:r>
        <w:r w:rsidR="0014173B">
          <w:rPr>
            <w:noProof/>
            <w:webHidden/>
          </w:rPr>
          <w:fldChar w:fldCharType="separate"/>
        </w:r>
        <w:r w:rsidR="00940F6A">
          <w:rPr>
            <w:noProof/>
            <w:webHidden/>
          </w:rPr>
          <w:t>73</w:t>
        </w:r>
        <w:r w:rsidR="0014173B">
          <w:rPr>
            <w:noProof/>
            <w:webHidden/>
          </w:rPr>
          <w:fldChar w:fldCharType="end"/>
        </w:r>
      </w:hyperlink>
    </w:p>
    <w:p w14:paraId="354CAE23" w14:textId="09C8EB4B" w:rsidR="0014173B" w:rsidRDefault="00422526">
      <w:pPr>
        <w:pStyle w:val="Indicedellefigure"/>
        <w:tabs>
          <w:tab w:val="right" w:leader="dot" w:pos="8488"/>
        </w:tabs>
        <w:rPr>
          <w:rFonts w:asciiTheme="minorHAnsi" w:hAnsiTheme="minorHAnsi" w:cstheme="minorBidi"/>
          <w:noProof/>
          <w:szCs w:val="22"/>
          <w:lang w:eastAsia="en-GB"/>
        </w:rPr>
      </w:pPr>
      <w:hyperlink w:anchor="_Toc520212498" w:history="1">
        <w:r w:rsidR="0014173B" w:rsidRPr="003E163E">
          <w:rPr>
            <w:rStyle w:val="Collegamentoipertestuale"/>
            <w:noProof/>
          </w:rPr>
          <w:t>Table 3-9. Tomb size and dromos length comparison according to tomb size groups Mid-West area.</w:t>
        </w:r>
        <w:r w:rsidR="0014173B">
          <w:rPr>
            <w:noProof/>
            <w:webHidden/>
          </w:rPr>
          <w:tab/>
        </w:r>
        <w:r w:rsidR="0014173B">
          <w:rPr>
            <w:noProof/>
            <w:webHidden/>
          </w:rPr>
          <w:fldChar w:fldCharType="begin"/>
        </w:r>
        <w:r w:rsidR="0014173B">
          <w:rPr>
            <w:noProof/>
            <w:webHidden/>
          </w:rPr>
          <w:instrText xml:space="preserve"> PAGEREF _Toc520212498 \h </w:instrText>
        </w:r>
        <w:r w:rsidR="0014173B">
          <w:rPr>
            <w:noProof/>
            <w:webHidden/>
          </w:rPr>
        </w:r>
        <w:r w:rsidR="0014173B">
          <w:rPr>
            <w:noProof/>
            <w:webHidden/>
          </w:rPr>
          <w:fldChar w:fldCharType="separate"/>
        </w:r>
        <w:r w:rsidR="00940F6A">
          <w:rPr>
            <w:noProof/>
            <w:webHidden/>
          </w:rPr>
          <w:t>73</w:t>
        </w:r>
        <w:r w:rsidR="0014173B">
          <w:rPr>
            <w:noProof/>
            <w:webHidden/>
          </w:rPr>
          <w:fldChar w:fldCharType="end"/>
        </w:r>
      </w:hyperlink>
    </w:p>
    <w:p w14:paraId="59C141F7" w14:textId="662BEEBD" w:rsidR="0014173B" w:rsidRDefault="00422526">
      <w:pPr>
        <w:pStyle w:val="Indicedellefigure"/>
        <w:tabs>
          <w:tab w:val="right" w:leader="dot" w:pos="8488"/>
        </w:tabs>
        <w:rPr>
          <w:rFonts w:asciiTheme="minorHAnsi" w:hAnsiTheme="minorHAnsi" w:cstheme="minorBidi"/>
          <w:noProof/>
          <w:szCs w:val="22"/>
          <w:lang w:eastAsia="en-GB"/>
        </w:rPr>
      </w:pPr>
      <w:hyperlink w:anchor="_Toc520212499" w:history="1">
        <w:r w:rsidR="0014173B" w:rsidRPr="003E163E">
          <w:rPr>
            <w:rStyle w:val="Collegamentoipertestuale"/>
            <w:noProof/>
          </w:rPr>
          <w:t>Table 3-10. Occurrence of monumental features in Mid-West area</w:t>
        </w:r>
        <w:r w:rsidR="0014173B">
          <w:rPr>
            <w:noProof/>
            <w:webHidden/>
          </w:rPr>
          <w:tab/>
        </w:r>
        <w:r w:rsidR="0014173B">
          <w:rPr>
            <w:noProof/>
            <w:webHidden/>
          </w:rPr>
          <w:fldChar w:fldCharType="begin"/>
        </w:r>
        <w:r w:rsidR="0014173B">
          <w:rPr>
            <w:noProof/>
            <w:webHidden/>
          </w:rPr>
          <w:instrText xml:space="preserve"> PAGEREF _Toc520212499 \h </w:instrText>
        </w:r>
        <w:r w:rsidR="0014173B">
          <w:rPr>
            <w:noProof/>
            <w:webHidden/>
          </w:rPr>
        </w:r>
        <w:r w:rsidR="0014173B">
          <w:rPr>
            <w:noProof/>
            <w:webHidden/>
          </w:rPr>
          <w:fldChar w:fldCharType="separate"/>
        </w:r>
        <w:r w:rsidR="00940F6A">
          <w:rPr>
            <w:noProof/>
            <w:webHidden/>
          </w:rPr>
          <w:t>74</w:t>
        </w:r>
        <w:r w:rsidR="0014173B">
          <w:rPr>
            <w:noProof/>
            <w:webHidden/>
          </w:rPr>
          <w:fldChar w:fldCharType="end"/>
        </w:r>
      </w:hyperlink>
    </w:p>
    <w:p w14:paraId="660C84FC" w14:textId="47AD5077" w:rsidR="0014173B" w:rsidRDefault="00874C0C">
      <w:pPr>
        <w:pStyle w:val="Indicedellefigure"/>
        <w:tabs>
          <w:tab w:val="right" w:leader="dot" w:pos="8488"/>
        </w:tabs>
        <w:rPr>
          <w:rFonts w:asciiTheme="minorHAnsi" w:hAnsiTheme="minorHAnsi" w:cstheme="minorBidi"/>
          <w:noProof/>
          <w:szCs w:val="22"/>
          <w:lang w:eastAsia="en-GB"/>
        </w:rPr>
      </w:pPr>
      <w:hyperlink w:anchor="_Toc520212500" w:history="1">
        <w:r w:rsidR="0014173B" w:rsidRPr="003E163E">
          <w:rPr>
            <w:rStyle w:val="Collegamentoipertestuale"/>
            <w:noProof/>
          </w:rPr>
          <w:t>Table 3-11. Larnax number in relation to tomb size</w:t>
        </w:r>
        <w:r w:rsidR="007A2730">
          <w:rPr>
            <w:rStyle w:val="Collegamentoipertestuale"/>
            <w:noProof/>
          </w:rPr>
          <w:t>,</w:t>
        </w:r>
        <w:r w:rsidR="0014173B" w:rsidRPr="003E163E">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_Toc520212500 \h </w:instrText>
        </w:r>
        <w:r w:rsidR="0014173B">
          <w:rPr>
            <w:noProof/>
            <w:webHidden/>
          </w:rPr>
        </w:r>
        <w:r w:rsidR="0014173B">
          <w:rPr>
            <w:noProof/>
            <w:webHidden/>
          </w:rPr>
          <w:fldChar w:fldCharType="separate"/>
        </w:r>
        <w:r w:rsidR="00940F6A">
          <w:rPr>
            <w:noProof/>
            <w:webHidden/>
          </w:rPr>
          <w:t>75</w:t>
        </w:r>
        <w:r w:rsidR="0014173B">
          <w:rPr>
            <w:noProof/>
            <w:webHidden/>
          </w:rPr>
          <w:fldChar w:fldCharType="end"/>
        </w:r>
      </w:hyperlink>
    </w:p>
    <w:p w14:paraId="095692BD" w14:textId="544B9B0F" w:rsidR="0014173B" w:rsidRDefault="00422526">
      <w:pPr>
        <w:pStyle w:val="Indicedellefigure"/>
        <w:tabs>
          <w:tab w:val="right" w:leader="dot" w:pos="8488"/>
        </w:tabs>
        <w:rPr>
          <w:rFonts w:asciiTheme="minorHAnsi" w:hAnsiTheme="minorHAnsi" w:cstheme="minorBidi"/>
          <w:noProof/>
          <w:szCs w:val="22"/>
          <w:lang w:eastAsia="en-GB"/>
        </w:rPr>
      </w:pPr>
      <w:hyperlink w:anchor="_Toc520212501" w:history="1">
        <w:r w:rsidR="0014173B" w:rsidRPr="003E163E">
          <w:rPr>
            <w:rStyle w:val="Collegamentoipertestuale"/>
            <w:noProof/>
          </w:rPr>
          <w:t>Table 3-12. Space reserved to a larnax within a tomb in Mid-West area</w:t>
        </w:r>
        <w:r w:rsidR="0014173B">
          <w:rPr>
            <w:noProof/>
            <w:webHidden/>
          </w:rPr>
          <w:tab/>
        </w:r>
        <w:r w:rsidR="0014173B">
          <w:rPr>
            <w:noProof/>
            <w:webHidden/>
          </w:rPr>
          <w:fldChar w:fldCharType="begin"/>
        </w:r>
        <w:r w:rsidR="0014173B">
          <w:rPr>
            <w:noProof/>
            <w:webHidden/>
          </w:rPr>
          <w:instrText xml:space="preserve"> PAGEREF _Toc520212501 \h </w:instrText>
        </w:r>
        <w:r w:rsidR="0014173B">
          <w:rPr>
            <w:noProof/>
            <w:webHidden/>
          </w:rPr>
        </w:r>
        <w:r w:rsidR="0014173B">
          <w:rPr>
            <w:noProof/>
            <w:webHidden/>
          </w:rPr>
          <w:fldChar w:fldCharType="separate"/>
        </w:r>
        <w:r w:rsidR="00940F6A">
          <w:rPr>
            <w:noProof/>
            <w:webHidden/>
          </w:rPr>
          <w:t>75</w:t>
        </w:r>
        <w:r w:rsidR="0014173B">
          <w:rPr>
            <w:noProof/>
            <w:webHidden/>
          </w:rPr>
          <w:fldChar w:fldCharType="end"/>
        </w:r>
      </w:hyperlink>
    </w:p>
    <w:p w14:paraId="5948124F" w14:textId="5EF4B9E6" w:rsidR="0014173B" w:rsidRDefault="00874C0C">
      <w:pPr>
        <w:pStyle w:val="Indicedellefigure"/>
        <w:tabs>
          <w:tab w:val="right" w:leader="dot" w:pos="8488"/>
        </w:tabs>
        <w:rPr>
          <w:rFonts w:asciiTheme="minorHAnsi" w:hAnsiTheme="minorHAnsi" w:cstheme="minorBidi"/>
          <w:noProof/>
          <w:szCs w:val="22"/>
          <w:lang w:eastAsia="en-GB"/>
        </w:rPr>
      </w:pPr>
      <w:hyperlink w:anchor="_Toc520212502" w:history="1">
        <w:r w:rsidR="0014173B" w:rsidRPr="003E163E">
          <w:rPr>
            <w:rStyle w:val="Collegamentoipertestuale"/>
            <w:noProof/>
          </w:rPr>
          <w:t>Table 3-13. Number of larnakes per tomb</w:t>
        </w:r>
        <w:r w:rsidR="007A2730">
          <w:rPr>
            <w:rStyle w:val="Collegamentoipertestuale"/>
            <w:noProof/>
          </w:rPr>
          <w:t>,</w:t>
        </w:r>
        <w:r w:rsidR="0014173B" w:rsidRPr="003E163E">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_Toc520212502 \h </w:instrText>
        </w:r>
        <w:r w:rsidR="0014173B">
          <w:rPr>
            <w:noProof/>
            <w:webHidden/>
          </w:rPr>
        </w:r>
        <w:r w:rsidR="0014173B">
          <w:rPr>
            <w:noProof/>
            <w:webHidden/>
          </w:rPr>
          <w:fldChar w:fldCharType="separate"/>
        </w:r>
        <w:r w:rsidR="00940F6A">
          <w:rPr>
            <w:noProof/>
            <w:webHidden/>
          </w:rPr>
          <w:t>75</w:t>
        </w:r>
        <w:r w:rsidR="0014173B">
          <w:rPr>
            <w:noProof/>
            <w:webHidden/>
          </w:rPr>
          <w:fldChar w:fldCharType="end"/>
        </w:r>
      </w:hyperlink>
    </w:p>
    <w:p w14:paraId="3CF33CA3" w14:textId="35990DEF" w:rsidR="0014173B" w:rsidRDefault="00422526">
      <w:pPr>
        <w:pStyle w:val="Indicedellefigure"/>
        <w:tabs>
          <w:tab w:val="right" w:leader="dot" w:pos="8488"/>
        </w:tabs>
        <w:rPr>
          <w:rFonts w:asciiTheme="minorHAnsi" w:hAnsiTheme="minorHAnsi" w:cstheme="minorBidi"/>
          <w:noProof/>
          <w:szCs w:val="22"/>
          <w:lang w:eastAsia="en-GB"/>
        </w:rPr>
      </w:pPr>
      <w:hyperlink w:anchor="_Toc520212503" w:history="1">
        <w:r w:rsidR="0014173B" w:rsidRPr="003E163E">
          <w:rPr>
            <w:rStyle w:val="Collegamentoipertestuale"/>
            <w:noProof/>
          </w:rPr>
          <w:t>Table 3-14 Interment types occurrence in Mid-West area</w:t>
        </w:r>
        <w:r w:rsidR="0014173B">
          <w:rPr>
            <w:noProof/>
            <w:webHidden/>
          </w:rPr>
          <w:tab/>
        </w:r>
        <w:r w:rsidR="0014173B">
          <w:rPr>
            <w:noProof/>
            <w:webHidden/>
          </w:rPr>
          <w:fldChar w:fldCharType="begin"/>
        </w:r>
        <w:r w:rsidR="0014173B">
          <w:rPr>
            <w:noProof/>
            <w:webHidden/>
          </w:rPr>
          <w:instrText xml:space="preserve"> PAGEREF _Toc520212503 \h </w:instrText>
        </w:r>
        <w:r w:rsidR="0014173B">
          <w:rPr>
            <w:noProof/>
            <w:webHidden/>
          </w:rPr>
        </w:r>
        <w:r w:rsidR="0014173B">
          <w:rPr>
            <w:noProof/>
            <w:webHidden/>
          </w:rPr>
          <w:fldChar w:fldCharType="separate"/>
        </w:r>
        <w:r w:rsidR="00940F6A">
          <w:rPr>
            <w:noProof/>
            <w:webHidden/>
          </w:rPr>
          <w:t>76</w:t>
        </w:r>
        <w:r w:rsidR="0014173B">
          <w:rPr>
            <w:noProof/>
            <w:webHidden/>
          </w:rPr>
          <w:fldChar w:fldCharType="end"/>
        </w:r>
      </w:hyperlink>
    </w:p>
    <w:p w14:paraId="5A6A0E2F" w14:textId="4482518D" w:rsidR="0014173B" w:rsidRDefault="00874C0C">
      <w:pPr>
        <w:pStyle w:val="Indicedellefigure"/>
        <w:tabs>
          <w:tab w:val="right" w:leader="dot" w:pos="8488"/>
        </w:tabs>
        <w:rPr>
          <w:rFonts w:asciiTheme="minorHAnsi" w:hAnsiTheme="minorHAnsi" w:cstheme="minorBidi"/>
          <w:noProof/>
          <w:szCs w:val="22"/>
          <w:lang w:eastAsia="en-GB"/>
        </w:rPr>
      </w:pPr>
      <w:hyperlink w:anchor="_Toc520212504" w:history="1">
        <w:r w:rsidR="0014173B" w:rsidRPr="003E163E">
          <w:rPr>
            <w:rStyle w:val="Collegamentoipertestuale"/>
            <w:noProof/>
          </w:rPr>
          <w:t>Table 3-15. LM III burial locations</w:t>
        </w:r>
        <w:r w:rsidR="007A2730">
          <w:rPr>
            <w:rStyle w:val="Collegamentoipertestuale"/>
            <w:noProof/>
          </w:rPr>
          <w:t>,</w:t>
        </w:r>
        <w:r w:rsidR="0014173B" w:rsidRPr="003E163E">
          <w:rPr>
            <w:rStyle w:val="Collegamentoipertestuale"/>
            <w:noProof/>
          </w:rPr>
          <w:t xml:space="preserve"> Mesara area</w:t>
        </w:r>
        <w:r w:rsidR="007A2730">
          <w:rPr>
            <w:rStyle w:val="Collegamentoipertestuale"/>
            <w:noProof/>
          </w:rPr>
          <w:t>,</w:t>
        </w:r>
        <w:r w:rsidR="0014173B" w:rsidRPr="003E163E">
          <w:rPr>
            <w:rStyle w:val="Collegamentoipertestuale"/>
            <w:noProof/>
          </w:rPr>
          <w:t xml:space="preserve"> in detail.</w:t>
        </w:r>
        <w:r w:rsidR="0014173B">
          <w:rPr>
            <w:noProof/>
            <w:webHidden/>
          </w:rPr>
          <w:tab/>
        </w:r>
        <w:r w:rsidR="0014173B">
          <w:rPr>
            <w:noProof/>
            <w:webHidden/>
          </w:rPr>
          <w:fldChar w:fldCharType="begin"/>
        </w:r>
        <w:r w:rsidR="0014173B">
          <w:rPr>
            <w:noProof/>
            <w:webHidden/>
          </w:rPr>
          <w:instrText xml:space="preserve"> PAGEREF _Toc520212504 \h </w:instrText>
        </w:r>
        <w:r w:rsidR="0014173B">
          <w:rPr>
            <w:noProof/>
            <w:webHidden/>
          </w:rPr>
        </w:r>
        <w:r w:rsidR="0014173B">
          <w:rPr>
            <w:noProof/>
            <w:webHidden/>
          </w:rPr>
          <w:fldChar w:fldCharType="separate"/>
        </w:r>
        <w:r w:rsidR="00940F6A">
          <w:rPr>
            <w:noProof/>
            <w:webHidden/>
          </w:rPr>
          <w:t>81</w:t>
        </w:r>
        <w:r w:rsidR="0014173B">
          <w:rPr>
            <w:noProof/>
            <w:webHidden/>
          </w:rPr>
          <w:fldChar w:fldCharType="end"/>
        </w:r>
      </w:hyperlink>
    </w:p>
    <w:p w14:paraId="31AEFA2A" w14:textId="6EEE081F" w:rsidR="0014173B" w:rsidRDefault="00874C0C">
      <w:pPr>
        <w:pStyle w:val="Indicedellefigure"/>
        <w:tabs>
          <w:tab w:val="right" w:leader="dot" w:pos="8488"/>
        </w:tabs>
        <w:rPr>
          <w:rFonts w:asciiTheme="minorHAnsi" w:hAnsiTheme="minorHAnsi" w:cstheme="minorBidi"/>
          <w:noProof/>
          <w:szCs w:val="22"/>
          <w:lang w:eastAsia="en-GB"/>
        </w:rPr>
      </w:pPr>
      <w:hyperlink w:anchor="_Toc520212505" w:history="1">
        <w:r w:rsidR="0014173B" w:rsidRPr="003E163E">
          <w:rPr>
            <w:rStyle w:val="Collegamentoipertestuale"/>
            <w:noProof/>
          </w:rPr>
          <w:t>Table 3-16. Percentage of pre-existing cemeteries reused in LM III with larnax burials</w:t>
        </w:r>
        <w:r w:rsidR="007E70E9">
          <w:rPr>
            <w:rStyle w:val="Collegamentoipertestuale"/>
            <w:noProof/>
          </w:rPr>
          <w:t>,</w:t>
        </w:r>
        <w:r w:rsidR="0014173B" w:rsidRPr="003E163E">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_Toc520212505 \h </w:instrText>
        </w:r>
        <w:r w:rsidR="0014173B">
          <w:rPr>
            <w:noProof/>
            <w:webHidden/>
          </w:rPr>
        </w:r>
        <w:r w:rsidR="0014173B">
          <w:rPr>
            <w:noProof/>
            <w:webHidden/>
          </w:rPr>
          <w:fldChar w:fldCharType="separate"/>
        </w:r>
        <w:r w:rsidR="00940F6A">
          <w:rPr>
            <w:noProof/>
            <w:webHidden/>
          </w:rPr>
          <w:t>82</w:t>
        </w:r>
        <w:r w:rsidR="0014173B">
          <w:rPr>
            <w:noProof/>
            <w:webHidden/>
          </w:rPr>
          <w:fldChar w:fldCharType="end"/>
        </w:r>
      </w:hyperlink>
    </w:p>
    <w:p w14:paraId="20BFF5FA" w14:textId="2816DEB8" w:rsidR="0014173B" w:rsidRDefault="00874C0C">
      <w:pPr>
        <w:pStyle w:val="Indicedellefigure"/>
        <w:tabs>
          <w:tab w:val="right" w:leader="dot" w:pos="8488"/>
        </w:tabs>
        <w:rPr>
          <w:rFonts w:asciiTheme="minorHAnsi" w:hAnsiTheme="minorHAnsi" w:cstheme="minorBidi"/>
          <w:noProof/>
          <w:szCs w:val="22"/>
          <w:lang w:eastAsia="en-GB"/>
        </w:rPr>
      </w:pPr>
      <w:hyperlink w:anchor="_Toc520212506" w:history="1">
        <w:r w:rsidR="0014173B" w:rsidRPr="003E163E">
          <w:rPr>
            <w:rStyle w:val="Collegamentoipertestuale"/>
            <w:noProof/>
          </w:rPr>
          <w:t>Table 3-17. Tomb types per cemetery</w:t>
        </w:r>
        <w:r w:rsidR="007E70E9">
          <w:rPr>
            <w:rStyle w:val="Collegamentoipertestuale"/>
            <w:noProof/>
          </w:rPr>
          <w:t>,</w:t>
        </w:r>
        <w:r w:rsidR="0014173B" w:rsidRPr="003E163E">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_Toc520212506 \h </w:instrText>
        </w:r>
        <w:r w:rsidR="0014173B">
          <w:rPr>
            <w:noProof/>
            <w:webHidden/>
          </w:rPr>
        </w:r>
        <w:r w:rsidR="0014173B">
          <w:rPr>
            <w:noProof/>
            <w:webHidden/>
          </w:rPr>
          <w:fldChar w:fldCharType="separate"/>
        </w:r>
        <w:r w:rsidR="00940F6A">
          <w:rPr>
            <w:noProof/>
            <w:webHidden/>
          </w:rPr>
          <w:t>8</w:t>
        </w:r>
        <w:r w:rsidR="0014173B">
          <w:rPr>
            <w:noProof/>
            <w:webHidden/>
          </w:rPr>
          <w:fldChar w:fldCharType="end"/>
        </w:r>
      </w:hyperlink>
      <w:r w:rsidR="00251888">
        <w:rPr>
          <w:noProof/>
        </w:rPr>
        <w:t>3</w:t>
      </w:r>
    </w:p>
    <w:p w14:paraId="7F4C2DB1" w14:textId="5AC3AC22" w:rsidR="0014173B" w:rsidRDefault="00874C0C">
      <w:pPr>
        <w:pStyle w:val="Indicedellefigure"/>
        <w:tabs>
          <w:tab w:val="right" w:leader="dot" w:pos="8488"/>
        </w:tabs>
        <w:rPr>
          <w:rFonts w:asciiTheme="minorHAnsi" w:hAnsiTheme="minorHAnsi" w:cstheme="minorBidi"/>
          <w:noProof/>
          <w:szCs w:val="22"/>
          <w:lang w:eastAsia="en-GB"/>
        </w:rPr>
      </w:pPr>
      <w:hyperlink w:anchor="_Toc520212507" w:history="1">
        <w:r w:rsidR="0014173B" w:rsidRPr="003E163E">
          <w:rPr>
            <w:rStyle w:val="Collegamentoipertestuale"/>
            <w:noProof/>
          </w:rPr>
          <w:t>Table 3-18. Deposition methods adopted in the cemeteries with larnakes</w:t>
        </w:r>
        <w:r w:rsidR="007E70E9">
          <w:rPr>
            <w:rStyle w:val="Collegamentoipertestuale"/>
            <w:noProof/>
          </w:rPr>
          <w:t>,</w:t>
        </w:r>
        <w:r w:rsidR="0014173B" w:rsidRPr="003E163E">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_Toc520212507 \h </w:instrText>
        </w:r>
        <w:r w:rsidR="0014173B">
          <w:rPr>
            <w:noProof/>
            <w:webHidden/>
          </w:rPr>
        </w:r>
        <w:r w:rsidR="0014173B">
          <w:rPr>
            <w:noProof/>
            <w:webHidden/>
          </w:rPr>
          <w:fldChar w:fldCharType="separate"/>
        </w:r>
        <w:r w:rsidR="00940F6A">
          <w:rPr>
            <w:noProof/>
            <w:webHidden/>
          </w:rPr>
          <w:t>84</w:t>
        </w:r>
        <w:r w:rsidR="0014173B">
          <w:rPr>
            <w:noProof/>
            <w:webHidden/>
          </w:rPr>
          <w:fldChar w:fldCharType="end"/>
        </w:r>
      </w:hyperlink>
    </w:p>
    <w:p w14:paraId="2881D025" w14:textId="4FB4803E" w:rsidR="0014173B" w:rsidRDefault="00DB11B9">
      <w:pPr>
        <w:pStyle w:val="Indicedellefigure"/>
        <w:tabs>
          <w:tab w:val="right" w:leader="dot" w:pos="8488"/>
        </w:tabs>
        <w:rPr>
          <w:rFonts w:asciiTheme="minorHAnsi" w:hAnsiTheme="minorHAnsi" w:cstheme="minorBidi"/>
          <w:noProof/>
          <w:szCs w:val="22"/>
          <w:lang w:eastAsia="en-GB"/>
        </w:rPr>
      </w:pPr>
      <w:hyperlink w:anchor="_Toc520212508" w:history="1">
        <w:r w:rsidR="0014173B" w:rsidRPr="003E163E">
          <w:rPr>
            <w:rStyle w:val="Collegamentoipertestuale"/>
            <w:noProof/>
          </w:rPr>
          <w:t>Table 3-19. Tomb types associated with larnax by cemetery in the Mesara area</w:t>
        </w:r>
        <w:r w:rsidR="0014173B">
          <w:rPr>
            <w:noProof/>
            <w:webHidden/>
          </w:rPr>
          <w:tab/>
        </w:r>
        <w:r w:rsidR="0014173B">
          <w:rPr>
            <w:noProof/>
            <w:webHidden/>
          </w:rPr>
          <w:fldChar w:fldCharType="begin"/>
        </w:r>
        <w:r w:rsidR="0014173B">
          <w:rPr>
            <w:noProof/>
            <w:webHidden/>
          </w:rPr>
          <w:instrText xml:space="preserve"> PAGEREF _Toc520212508 \h </w:instrText>
        </w:r>
        <w:r w:rsidR="0014173B">
          <w:rPr>
            <w:noProof/>
            <w:webHidden/>
          </w:rPr>
        </w:r>
        <w:r w:rsidR="0014173B">
          <w:rPr>
            <w:noProof/>
            <w:webHidden/>
          </w:rPr>
          <w:fldChar w:fldCharType="separate"/>
        </w:r>
        <w:r w:rsidR="00940F6A">
          <w:rPr>
            <w:noProof/>
            <w:webHidden/>
          </w:rPr>
          <w:t>8</w:t>
        </w:r>
        <w:r w:rsidR="00251888">
          <w:rPr>
            <w:noProof/>
            <w:webHidden/>
          </w:rPr>
          <w:t>6</w:t>
        </w:r>
        <w:r w:rsidR="0014173B">
          <w:rPr>
            <w:noProof/>
            <w:webHidden/>
          </w:rPr>
          <w:fldChar w:fldCharType="end"/>
        </w:r>
      </w:hyperlink>
    </w:p>
    <w:p w14:paraId="171AE433" w14:textId="11ABC095" w:rsidR="0014173B" w:rsidRDefault="00DB11B9">
      <w:pPr>
        <w:pStyle w:val="Indicedellefigure"/>
        <w:tabs>
          <w:tab w:val="right" w:leader="dot" w:pos="8488"/>
        </w:tabs>
        <w:rPr>
          <w:rFonts w:asciiTheme="minorHAnsi" w:hAnsiTheme="minorHAnsi" w:cstheme="minorBidi"/>
          <w:noProof/>
          <w:szCs w:val="22"/>
          <w:lang w:eastAsia="en-GB"/>
        </w:rPr>
      </w:pPr>
      <w:hyperlink w:anchor="_Toc520212509" w:history="1">
        <w:r w:rsidR="0014173B" w:rsidRPr="003E163E">
          <w:rPr>
            <w:rStyle w:val="Collegamentoipertestuale"/>
            <w:noProof/>
          </w:rPr>
          <w:t>Table 3-20. Tombs dimension</w:t>
        </w:r>
        <w:r w:rsidR="007E70E9">
          <w:rPr>
            <w:rStyle w:val="Collegamentoipertestuale"/>
            <w:noProof/>
          </w:rPr>
          <w:t>,</w:t>
        </w:r>
        <w:r w:rsidR="0014173B" w:rsidRPr="003E163E">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_Toc520212509 \h </w:instrText>
        </w:r>
        <w:r w:rsidR="0014173B">
          <w:rPr>
            <w:noProof/>
            <w:webHidden/>
          </w:rPr>
        </w:r>
        <w:r w:rsidR="0014173B">
          <w:rPr>
            <w:noProof/>
            <w:webHidden/>
          </w:rPr>
          <w:fldChar w:fldCharType="separate"/>
        </w:r>
        <w:r w:rsidR="00940F6A">
          <w:rPr>
            <w:noProof/>
            <w:webHidden/>
          </w:rPr>
          <w:t>8</w:t>
        </w:r>
        <w:r w:rsidR="00251888">
          <w:rPr>
            <w:noProof/>
            <w:webHidden/>
          </w:rPr>
          <w:t>7</w:t>
        </w:r>
        <w:r w:rsidR="0014173B">
          <w:rPr>
            <w:noProof/>
            <w:webHidden/>
          </w:rPr>
          <w:fldChar w:fldCharType="end"/>
        </w:r>
      </w:hyperlink>
    </w:p>
    <w:p w14:paraId="7DB13A50" w14:textId="43A0D3F8" w:rsidR="0014173B" w:rsidRDefault="00DB11B9">
      <w:pPr>
        <w:pStyle w:val="Indicedellefigure"/>
        <w:tabs>
          <w:tab w:val="right" w:leader="dot" w:pos="8488"/>
        </w:tabs>
        <w:rPr>
          <w:rFonts w:asciiTheme="minorHAnsi" w:hAnsiTheme="minorHAnsi" w:cstheme="minorBidi"/>
          <w:noProof/>
          <w:szCs w:val="22"/>
          <w:lang w:eastAsia="en-GB"/>
        </w:rPr>
      </w:pPr>
      <w:hyperlink w:anchor="_Toc520212510" w:history="1">
        <w:r w:rsidR="0014173B" w:rsidRPr="003E163E">
          <w:rPr>
            <w:rStyle w:val="Collegamentoipertestuale"/>
            <w:noProof/>
          </w:rPr>
          <w:t>Table 3-21. Tomb size groups</w:t>
        </w:r>
        <w:r w:rsidR="007E70E9">
          <w:rPr>
            <w:rStyle w:val="Collegamentoipertestuale"/>
            <w:noProof/>
          </w:rPr>
          <w:t>,</w:t>
        </w:r>
        <w:r w:rsidR="0014173B" w:rsidRPr="003E163E">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_Toc520212510 \h </w:instrText>
        </w:r>
        <w:r w:rsidR="0014173B">
          <w:rPr>
            <w:noProof/>
            <w:webHidden/>
          </w:rPr>
        </w:r>
        <w:r w:rsidR="0014173B">
          <w:rPr>
            <w:noProof/>
            <w:webHidden/>
          </w:rPr>
          <w:fldChar w:fldCharType="separate"/>
        </w:r>
        <w:r w:rsidR="00940F6A">
          <w:rPr>
            <w:noProof/>
            <w:webHidden/>
          </w:rPr>
          <w:t>8</w:t>
        </w:r>
        <w:r w:rsidR="0014173B">
          <w:rPr>
            <w:noProof/>
            <w:webHidden/>
          </w:rPr>
          <w:fldChar w:fldCharType="end"/>
        </w:r>
      </w:hyperlink>
      <w:r w:rsidR="00C7370F">
        <w:rPr>
          <w:noProof/>
        </w:rPr>
        <w:t>7</w:t>
      </w:r>
    </w:p>
    <w:p w14:paraId="1316FB56" w14:textId="6A29E95D" w:rsidR="0014173B" w:rsidRDefault="00874C0C">
      <w:pPr>
        <w:pStyle w:val="Indicedellefigure"/>
        <w:tabs>
          <w:tab w:val="right" w:leader="dot" w:pos="8488"/>
        </w:tabs>
        <w:rPr>
          <w:rFonts w:asciiTheme="minorHAnsi" w:hAnsiTheme="minorHAnsi" w:cstheme="minorBidi"/>
          <w:noProof/>
          <w:szCs w:val="22"/>
          <w:lang w:eastAsia="en-GB"/>
        </w:rPr>
      </w:pPr>
      <w:hyperlink w:anchor="_Toc520212511" w:history="1">
        <w:r w:rsidR="0014173B" w:rsidRPr="003E163E">
          <w:rPr>
            <w:rStyle w:val="Collegamentoipertestuale"/>
            <w:noProof/>
          </w:rPr>
          <w:t>Table 3-22. Tomb size and dromos length comparison</w:t>
        </w:r>
        <w:r w:rsidR="007E70E9">
          <w:rPr>
            <w:rStyle w:val="Collegamentoipertestuale"/>
            <w:noProof/>
          </w:rPr>
          <w:t>,</w:t>
        </w:r>
        <w:r w:rsidR="0014173B" w:rsidRPr="003E163E">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_Toc520212511 \h </w:instrText>
        </w:r>
        <w:r w:rsidR="0014173B">
          <w:rPr>
            <w:noProof/>
            <w:webHidden/>
          </w:rPr>
        </w:r>
        <w:r w:rsidR="0014173B">
          <w:rPr>
            <w:noProof/>
            <w:webHidden/>
          </w:rPr>
          <w:fldChar w:fldCharType="separate"/>
        </w:r>
        <w:r w:rsidR="00940F6A">
          <w:rPr>
            <w:noProof/>
            <w:webHidden/>
          </w:rPr>
          <w:t>87</w:t>
        </w:r>
        <w:r w:rsidR="0014173B">
          <w:rPr>
            <w:noProof/>
            <w:webHidden/>
          </w:rPr>
          <w:fldChar w:fldCharType="end"/>
        </w:r>
      </w:hyperlink>
    </w:p>
    <w:p w14:paraId="73B4D7D9" w14:textId="51B3BF6A" w:rsidR="0014173B" w:rsidRDefault="00422526">
      <w:pPr>
        <w:pStyle w:val="Indicedellefigure"/>
        <w:tabs>
          <w:tab w:val="right" w:leader="dot" w:pos="8488"/>
        </w:tabs>
        <w:rPr>
          <w:rFonts w:asciiTheme="minorHAnsi" w:hAnsiTheme="minorHAnsi" w:cstheme="minorBidi"/>
          <w:noProof/>
          <w:szCs w:val="22"/>
          <w:lang w:eastAsia="en-GB"/>
        </w:rPr>
      </w:pPr>
      <w:hyperlink w:anchor="_Toc520212512" w:history="1">
        <w:r w:rsidR="0014173B" w:rsidRPr="003E163E">
          <w:rPr>
            <w:rStyle w:val="Collegamentoipertestuale"/>
            <w:noProof/>
          </w:rPr>
          <w:t>Table 3-23. Tomb size and dromos length comparison according to tomb size groups, Mesara area.</w:t>
        </w:r>
        <w:r w:rsidR="0014173B">
          <w:rPr>
            <w:noProof/>
            <w:webHidden/>
          </w:rPr>
          <w:tab/>
        </w:r>
        <w:r w:rsidR="0014173B">
          <w:rPr>
            <w:noProof/>
            <w:webHidden/>
          </w:rPr>
          <w:fldChar w:fldCharType="begin"/>
        </w:r>
        <w:r w:rsidR="0014173B">
          <w:rPr>
            <w:noProof/>
            <w:webHidden/>
          </w:rPr>
          <w:instrText xml:space="preserve"> PAGEREF _Toc520212512 \h </w:instrText>
        </w:r>
        <w:r w:rsidR="0014173B">
          <w:rPr>
            <w:noProof/>
            <w:webHidden/>
          </w:rPr>
        </w:r>
        <w:r w:rsidR="0014173B">
          <w:rPr>
            <w:noProof/>
            <w:webHidden/>
          </w:rPr>
          <w:fldChar w:fldCharType="separate"/>
        </w:r>
        <w:r w:rsidR="00940F6A">
          <w:rPr>
            <w:noProof/>
            <w:webHidden/>
          </w:rPr>
          <w:t>87</w:t>
        </w:r>
        <w:r w:rsidR="0014173B">
          <w:rPr>
            <w:noProof/>
            <w:webHidden/>
          </w:rPr>
          <w:fldChar w:fldCharType="end"/>
        </w:r>
      </w:hyperlink>
    </w:p>
    <w:p w14:paraId="7BC99637" w14:textId="5627455D" w:rsidR="0014173B" w:rsidRDefault="00DB11B9">
      <w:pPr>
        <w:pStyle w:val="Indicedellefigure"/>
        <w:tabs>
          <w:tab w:val="right" w:leader="dot" w:pos="8488"/>
        </w:tabs>
        <w:rPr>
          <w:rFonts w:asciiTheme="minorHAnsi" w:hAnsiTheme="minorHAnsi" w:cstheme="minorBidi"/>
          <w:noProof/>
          <w:szCs w:val="22"/>
          <w:lang w:eastAsia="en-GB"/>
        </w:rPr>
      </w:pPr>
      <w:hyperlink w:anchor="_Toc520212513" w:history="1">
        <w:r w:rsidR="0014173B" w:rsidRPr="003E163E">
          <w:rPr>
            <w:rStyle w:val="Collegamentoipertestuale"/>
            <w:noProof/>
          </w:rPr>
          <w:t>Table 3-24. Occurrence of monumental features</w:t>
        </w:r>
        <w:r w:rsidR="007E70E9">
          <w:rPr>
            <w:rStyle w:val="Collegamentoipertestuale"/>
            <w:noProof/>
          </w:rPr>
          <w:t xml:space="preserve">, </w:t>
        </w:r>
        <w:r w:rsidR="0014173B" w:rsidRPr="003E163E">
          <w:rPr>
            <w:rStyle w:val="Collegamentoipertestuale"/>
            <w:noProof/>
          </w:rPr>
          <w:t>Mesara area</w:t>
        </w:r>
        <w:r w:rsidR="0014173B">
          <w:rPr>
            <w:noProof/>
            <w:webHidden/>
          </w:rPr>
          <w:tab/>
        </w:r>
        <w:r w:rsidR="0014173B">
          <w:rPr>
            <w:noProof/>
            <w:webHidden/>
          </w:rPr>
          <w:fldChar w:fldCharType="begin"/>
        </w:r>
        <w:r w:rsidR="0014173B">
          <w:rPr>
            <w:noProof/>
            <w:webHidden/>
          </w:rPr>
          <w:instrText xml:space="preserve"> PAGEREF _Toc520212513 \h </w:instrText>
        </w:r>
        <w:r w:rsidR="0014173B">
          <w:rPr>
            <w:noProof/>
            <w:webHidden/>
          </w:rPr>
        </w:r>
        <w:r w:rsidR="0014173B">
          <w:rPr>
            <w:noProof/>
            <w:webHidden/>
          </w:rPr>
          <w:fldChar w:fldCharType="separate"/>
        </w:r>
        <w:r w:rsidR="00940F6A">
          <w:rPr>
            <w:noProof/>
            <w:webHidden/>
          </w:rPr>
          <w:t>8</w:t>
        </w:r>
        <w:r w:rsidR="00C7370F">
          <w:rPr>
            <w:noProof/>
            <w:webHidden/>
          </w:rPr>
          <w:t>8</w:t>
        </w:r>
        <w:r w:rsidR="0014173B">
          <w:rPr>
            <w:noProof/>
            <w:webHidden/>
          </w:rPr>
          <w:fldChar w:fldCharType="end"/>
        </w:r>
      </w:hyperlink>
    </w:p>
    <w:p w14:paraId="7F94BBE1" w14:textId="64EA9656" w:rsidR="0014173B" w:rsidRDefault="00874C0C">
      <w:pPr>
        <w:pStyle w:val="Indicedellefigure"/>
        <w:tabs>
          <w:tab w:val="right" w:leader="dot" w:pos="8488"/>
        </w:tabs>
        <w:rPr>
          <w:rFonts w:asciiTheme="minorHAnsi" w:hAnsiTheme="minorHAnsi" w:cstheme="minorBidi"/>
          <w:noProof/>
          <w:szCs w:val="22"/>
          <w:lang w:eastAsia="en-GB"/>
        </w:rPr>
      </w:pPr>
      <w:hyperlink w:anchor="_Toc520212514" w:history="1">
        <w:r w:rsidR="0014173B" w:rsidRPr="003E163E">
          <w:rPr>
            <w:rStyle w:val="Collegamentoipertestuale"/>
            <w:noProof/>
          </w:rPr>
          <w:t>Table 3-25. Larnax number in relation to tombs size</w:t>
        </w:r>
        <w:r w:rsidR="007E70E9">
          <w:rPr>
            <w:rStyle w:val="Collegamentoipertestuale"/>
            <w:noProof/>
          </w:rPr>
          <w:t>,</w:t>
        </w:r>
        <w:r w:rsidR="0014173B" w:rsidRPr="003E163E">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_Toc520212514 \h </w:instrText>
        </w:r>
        <w:r w:rsidR="0014173B">
          <w:rPr>
            <w:noProof/>
            <w:webHidden/>
          </w:rPr>
        </w:r>
        <w:r w:rsidR="0014173B">
          <w:rPr>
            <w:noProof/>
            <w:webHidden/>
          </w:rPr>
          <w:fldChar w:fldCharType="separate"/>
        </w:r>
        <w:r w:rsidR="00940F6A">
          <w:rPr>
            <w:noProof/>
            <w:webHidden/>
          </w:rPr>
          <w:t>88</w:t>
        </w:r>
        <w:r w:rsidR="0014173B">
          <w:rPr>
            <w:noProof/>
            <w:webHidden/>
          </w:rPr>
          <w:fldChar w:fldCharType="end"/>
        </w:r>
      </w:hyperlink>
    </w:p>
    <w:p w14:paraId="07F8A958" w14:textId="22A04D7A" w:rsidR="0014173B" w:rsidRDefault="00DB11B9">
      <w:pPr>
        <w:pStyle w:val="Indicedellefigure"/>
        <w:tabs>
          <w:tab w:val="right" w:leader="dot" w:pos="8488"/>
        </w:tabs>
        <w:rPr>
          <w:rFonts w:asciiTheme="minorHAnsi" w:hAnsiTheme="minorHAnsi" w:cstheme="minorBidi"/>
          <w:noProof/>
          <w:szCs w:val="22"/>
          <w:lang w:eastAsia="en-GB"/>
        </w:rPr>
      </w:pPr>
      <w:hyperlink w:anchor="_Toc520212515" w:history="1">
        <w:r w:rsidR="0014173B" w:rsidRPr="003E163E">
          <w:rPr>
            <w:rStyle w:val="Collegamentoipertestuale"/>
            <w:noProof/>
          </w:rPr>
          <w:t>Table 3-26. Space reserved to a larnax within a tomb</w:t>
        </w:r>
        <w:r w:rsidR="007E70E9">
          <w:rPr>
            <w:rStyle w:val="Collegamentoipertestuale"/>
            <w:noProof/>
          </w:rPr>
          <w:t>,</w:t>
        </w:r>
        <w:r w:rsidR="0014173B" w:rsidRPr="003E163E">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_Toc520212515 \h </w:instrText>
        </w:r>
        <w:r w:rsidR="0014173B">
          <w:rPr>
            <w:noProof/>
            <w:webHidden/>
          </w:rPr>
        </w:r>
        <w:r w:rsidR="0014173B">
          <w:rPr>
            <w:noProof/>
            <w:webHidden/>
          </w:rPr>
          <w:fldChar w:fldCharType="separate"/>
        </w:r>
        <w:r w:rsidR="00940F6A">
          <w:rPr>
            <w:noProof/>
            <w:webHidden/>
          </w:rPr>
          <w:t>8</w:t>
        </w:r>
        <w:r w:rsidR="0014173B">
          <w:rPr>
            <w:noProof/>
            <w:webHidden/>
          </w:rPr>
          <w:fldChar w:fldCharType="end"/>
        </w:r>
      </w:hyperlink>
      <w:r w:rsidR="0065077B">
        <w:rPr>
          <w:noProof/>
        </w:rPr>
        <w:t>8</w:t>
      </w:r>
    </w:p>
    <w:p w14:paraId="69853928" w14:textId="2C6154ED" w:rsidR="0014173B" w:rsidRDefault="00DB11B9">
      <w:pPr>
        <w:pStyle w:val="Indicedellefigure"/>
        <w:tabs>
          <w:tab w:val="right" w:leader="dot" w:pos="8488"/>
        </w:tabs>
        <w:rPr>
          <w:rFonts w:asciiTheme="minorHAnsi" w:hAnsiTheme="minorHAnsi" w:cstheme="minorBidi"/>
          <w:noProof/>
          <w:szCs w:val="22"/>
          <w:lang w:eastAsia="en-GB"/>
        </w:rPr>
      </w:pPr>
      <w:hyperlink w:anchor="_Toc520212516" w:history="1">
        <w:r w:rsidR="0014173B" w:rsidRPr="003E163E">
          <w:rPr>
            <w:rStyle w:val="Collegamentoipertestuale"/>
            <w:noProof/>
            <w:lang w:val="fr-FR"/>
          </w:rPr>
          <w:t>Table 3-27.</w:t>
        </w:r>
        <w:r w:rsidR="0014173B" w:rsidRPr="003E163E">
          <w:rPr>
            <w:rStyle w:val="Collegamentoipertestuale"/>
            <w:noProof/>
          </w:rPr>
          <w:t xml:space="preserve"> Number of larnakes per tomb</w:t>
        </w:r>
        <w:r w:rsidR="007E70E9">
          <w:rPr>
            <w:rStyle w:val="Collegamentoipertestuale"/>
            <w:noProof/>
          </w:rPr>
          <w:t>,</w:t>
        </w:r>
        <w:r w:rsidR="0014173B" w:rsidRPr="003E163E">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_Toc520212516 \h </w:instrText>
        </w:r>
        <w:r w:rsidR="0014173B">
          <w:rPr>
            <w:noProof/>
            <w:webHidden/>
          </w:rPr>
        </w:r>
        <w:r w:rsidR="0014173B">
          <w:rPr>
            <w:noProof/>
            <w:webHidden/>
          </w:rPr>
          <w:fldChar w:fldCharType="separate"/>
        </w:r>
        <w:r w:rsidR="00940F6A">
          <w:rPr>
            <w:noProof/>
            <w:webHidden/>
          </w:rPr>
          <w:t>8</w:t>
        </w:r>
        <w:r w:rsidR="0014173B">
          <w:rPr>
            <w:noProof/>
            <w:webHidden/>
          </w:rPr>
          <w:fldChar w:fldCharType="end"/>
        </w:r>
      </w:hyperlink>
      <w:r w:rsidR="0065077B">
        <w:rPr>
          <w:noProof/>
        </w:rPr>
        <w:t>9</w:t>
      </w:r>
    </w:p>
    <w:p w14:paraId="36EEA978" w14:textId="3837C413" w:rsidR="0014173B" w:rsidRDefault="00DB11B9">
      <w:pPr>
        <w:pStyle w:val="Indicedellefigure"/>
        <w:tabs>
          <w:tab w:val="right" w:leader="dot" w:pos="8488"/>
        </w:tabs>
        <w:rPr>
          <w:rFonts w:asciiTheme="minorHAnsi" w:hAnsiTheme="minorHAnsi" w:cstheme="minorBidi"/>
          <w:noProof/>
          <w:szCs w:val="22"/>
          <w:lang w:eastAsia="en-GB"/>
        </w:rPr>
      </w:pPr>
      <w:hyperlink w:anchor="_Toc520212517" w:history="1">
        <w:r w:rsidR="0014173B" w:rsidRPr="003E163E">
          <w:rPr>
            <w:rStyle w:val="Collegamentoipertestuale"/>
            <w:noProof/>
          </w:rPr>
          <w:t>Table 3-28. Interment types occurrence</w:t>
        </w:r>
        <w:r w:rsidR="007E70E9">
          <w:rPr>
            <w:rStyle w:val="Collegamentoipertestuale"/>
            <w:noProof/>
          </w:rPr>
          <w:t>,</w:t>
        </w:r>
        <w:r w:rsidR="0014173B" w:rsidRPr="003E163E">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_Toc520212517 \h </w:instrText>
        </w:r>
        <w:r w:rsidR="0014173B">
          <w:rPr>
            <w:noProof/>
            <w:webHidden/>
          </w:rPr>
        </w:r>
        <w:r w:rsidR="0014173B">
          <w:rPr>
            <w:noProof/>
            <w:webHidden/>
          </w:rPr>
          <w:fldChar w:fldCharType="separate"/>
        </w:r>
        <w:r w:rsidR="00940F6A">
          <w:rPr>
            <w:noProof/>
            <w:webHidden/>
          </w:rPr>
          <w:t>9</w:t>
        </w:r>
        <w:r w:rsidR="0014173B">
          <w:rPr>
            <w:noProof/>
            <w:webHidden/>
          </w:rPr>
          <w:fldChar w:fldCharType="end"/>
        </w:r>
      </w:hyperlink>
      <w:r w:rsidR="0065077B">
        <w:rPr>
          <w:noProof/>
        </w:rPr>
        <w:t>1</w:t>
      </w:r>
    </w:p>
    <w:p w14:paraId="7CE836AF" w14:textId="4FCB9870" w:rsidR="0014173B" w:rsidRDefault="00DB11B9">
      <w:pPr>
        <w:pStyle w:val="Indicedellefigure"/>
        <w:tabs>
          <w:tab w:val="right" w:leader="dot" w:pos="8488"/>
        </w:tabs>
        <w:rPr>
          <w:rFonts w:asciiTheme="minorHAnsi" w:hAnsiTheme="minorHAnsi" w:cstheme="minorBidi"/>
          <w:noProof/>
          <w:szCs w:val="22"/>
          <w:lang w:eastAsia="en-GB"/>
        </w:rPr>
      </w:pPr>
      <w:hyperlink w:anchor="_Toc520212518" w:history="1">
        <w:r w:rsidR="0014173B" w:rsidRPr="003E163E">
          <w:rPr>
            <w:rStyle w:val="Collegamentoipertestuale"/>
            <w:noProof/>
          </w:rPr>
          <w:t>Table 3-29. LM III burial locations</w:t>
        </w:r>
        <w:r w:rsidR="007E70E9">
          <w:rPr>
            <w:rStyle w:val="Collegamentoipertestuale"/>
            <w:noProof/>
          </w:rPr>
          <w:t>,</w:t>
        </w:r>
        <w:r w:rsidR="0014173B" w:rsidRPr="003E163E">
          <w:rPr>
            <w:rStyle w:val="Collegamentoipertestuale"/>
            <w:noProof/>
          </w:rPr>
          <w:t xml:space="preserve"> Knossos area</w:t>
        </w:r>
        <w:r w:rsidR="007E70E9">
          <w:rPr>
            <w:rStyle w:val="Collegamentoipertestuale"/>
            <w:noProof/>
          </w:rPr>
          <w:t>,</w:t>
        </w:r>
        <w:r w:rsidR="0014173B" w:rsidRPr="003E163E">
          <w:rPr>
            <w:rStyle w:val="Collegamentoipertestuale"/>
            <w:noProof/>
          </w:rPr>
          <w:t xml:space="preserve"> in detail</w:t>
        </w:r>
        <w:r w:rsidR="0014173B">
          <w:rPr>
            <w:noProof/>
            <w:webHidden/>
          </w:rPr>
          <w:tab/>
        </w:r>
        <w:r w:rsidR="0014173B">
          <w:rPr>
            <w:noProof/>
            <w:webHidden/>
          </w:rPr>
          <w:fldChar w:fldCharType="begin"/>
        </w:r>
        <w:r w:rsidR="0014173B">
          <w:rPr>
            <w:noProof/>
            <w:webHidden/>
          </w:rPr>
          <w:instrText xml:space="preserve"> PAGEREF _Toc520212518 \h </w:instrText>
        </w:r>
        <w:r w:rsidR="0014173B">
          <w:rPr>
            <w:noProof/>
            <w:webHidden/>
          </w:rPr>
        </w:r>
        <w:r w:rsidR="0014173B">
          <w:rPr>
            <w:noProof/>
            <w:webHidden/>
          </w:rPr>
          <w:fldChar w:fldCharType="separate"/>
        </w:r>
        <w:r w:rsidR="00940F6A">
          <w:rPr>
            <w:noProof/>
            <w:webHidden/>
          </w:rPr>
          <w:t>97</w:t>
        </w:r>
        <w:r w:rsidR="0014173B">
          <w:rPr>
            <w:noProof/>
            <w:webHidden/>
          </w:rPr>
          <w:fldChar w:fldCharType="end"/>
        </w:r>
      </w:hyperlink>
    </w:p>
    <w:p w14:paraId="7386CC76" w14:textId="42D38423" w:rsidR="0014173B" w:rsidRDefault="00874C0C">
      <w:pPr>
        <w:pStyle w:val="Indicedellefigure"/>
        <w:tabs>
          <w:tab w:val="right" w:leader="dot" w:pos="8488"/>
        </w:tabs>
        <w:rPr>
          <w:rFonts w:asciiTheme="minorHAnsi" w:hAnsiTheme="minorHAnsi" w:cstheme="minorBidi"/>
          <w:noProof/>
          <w:szCs w:val="22"/>
          <w:lang w:eastAsia="en-GB"/>
        </w:rPr>
      </w:pPr>
      <w:hyperlink w:anchor="_Toc520212519" w:history="1">
        <w:r w:rsidR="0014173B" w:rsidRPr="003E163E">
          <w:rPr>
            <w:rStyle w:val="Collegamentoipertestuale"/>
            <w:noProof/>
          </w:rPr>
          <w:t>Table 3-30. Percentage of pre-existing cemeteries reused in LM III with larnax burials</w:t>
        </w:r>
        <w:r w:rsidR="00087C10">
          <w:rPr>
            <w:rStyle w:val="Collegamentoipertestuale"/>
            <w:noProof/>
          </w:rPr>
          <w:t>,</w:t>
        </w:r>
        <w:r w:rsidR="0014173B" w:rsidRPr="003E163E">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_Toc520212519 \h </w:instrText>
        </w:r>
        <w:r w:rsidR="0014173B">
          <w:rPr>
            <w:noProof/>
            <w:webHidden/>
          </w:rPr>
        </w:r>
        <w:r w:rsidR="0014173B">
          <w:rPr>
            <w:noProof/>
            <w:webHidden/>
          </w:rPr>
          <w:fldChar w:fldCharType="separate"/>
        </w:r>
        <w:r w:rsidR="00940F6A">
          <w:rPr>
            <w:noProof/>
            <w:webHidden/>
          </w:rPr>
          <w:t>98</w:t>
        </w:r>
        <w:r w:rsidR="0014173B">
          <w:rPr>
            <w:noProof/>
            <w:webHidden/>
          </w:rPr>
          <w:fldChar w:fldCharType="end"/>
        </w:r>
      </w:hyperlink>
    </w:p>
    <w:p w14:paraId="155EB27F" w14:textId="478112B3" w:rsidR="0014173B" w:rsidRDefault="00874C0C">
      <w:pPr>
        <w:pStyle w:val="Indicedellefigure"/>
        <w:tabs>
          <w:tab w:val="right" w:leader="dot" w:pos="8488"/>
        </w:tabs>
        <w:rPr>
          <w:rFonts w:asciiTheme="minorHAnsi" w:hAnsiTheme="minorHAnsi" w:cstheme="minorBidi"/>
          <w:noProof/>
          <w:szCs w:val="22"/>
          <w:lang w:eastAsia="en-GB"/>
        </w:rPr>
      </w:pPr>
      <w:hyperlink w:anchor="_Toc520212520" w:history="1">
        <w:r w:rsidR="0014173B" w:rsidRPr="003E163E">
          <w:rPr>
            <w:rStyle w:val="Collegamentoipertestuale"/>
            <w:noProof/>
          </w:rPr>
          <w:t>Table 3-31. Tomb types per cemetery</w:t>
        </w:r>
        <w:r w:rsidR="00087C10">
          <w:rPr>
            <w:rStyle w:val="Collegamentoipertestuale"/>
            <w:noProof/>
          </w:rPr>
          <w:t>,</w:t>
        </w:r>
        <w:r w:rsidR="0014173B" w:rsidRPr="003E163E">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_Toc520212520 \h </w:instrText>
        </w:r>
        <w:r w:rsidR="0014173B">
          <w:rPr>
            <w:noProof/>
            <w:webHidden/>
          </w:rPr>
        </w:r>
        <w:r w:rsidR="0014173B">
          <w:rPr>
            <w:noProof/>
            <w:webHidden/>
          </w:rPr>
          <w:fldChar w:fldCharType="separate"/>
        </w:r>
        <w:r w:rsidR="00940F6A">
          <w:rPr>
            <w:noProof/>
            <w:webHidden/>
          </w:rPr>
          <w:t>99</w:t>
        </w:r>
        <w:r w:rsidR="0014173B">
          <w:rPr>
            <w:noProof/>
            <w:webHidden/>
          </w:rPr>
          <w:fldChar w:fldCharType="end"/>
        </w:r>
      </w:hyperlink>
    </w:p>
    <w:p w14:paraId="6CF26DB4" w14:textId="54A1D08D" w:rsidR="0014173B" w:rsidRDefault="00DB11B9">
      <w:pPr>
        <w:pStyle w:val="Indicedellefigure"/>
        <w:tabs>
          <w:tab w:val="right" w:leader="dot" w:pos="8488"/>
        </w:tabs>
        <w:rPr>
          <w:rFonts w:asciiTheme="minorHAnsi" w:hAnsiTheme="minorHAnsi" w:cstheme="minorBidi"/>
          <w:noProof/>
          <w:szCs w:val="22"/>
          <w:lang w:eastAsia="en-GB"/>
        </w:rPr>
      </w:pPr>
      <w:hyperlink w:anchor="_Toc520212521" w:history="1">
        <w:r w:rsidR="0014173B" w:rsidRPr="003E163E">
          <w:rPr>
            <w:rStyle w:val="Collegamentoipertestuale"/>
            <w:noProof/>
          </w:rPr>
          <w:t>Table 3-32. Deposition methods adopted in the cemeteries with larnakes</w:t>
        </w:r>
        <w:r w:rsidR="00087C10">
          <w:rPr>
            <w:rStyle w:val="Collegamentoipertestuale"/>
            <w:noProof/>
          </w:rPr>
          <w:t>,</w:t>
        </w:r>
        <w:r w:rsidR="0014173B" w:rsidRPr="003E163E">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_Toc520212521 \h </w:instrText>
        </w:r>
        <w:r w:rsidR="0014173B">
          <w:rPr>
            <w:noProof/>
            <w:webHidden/>
          </w:rPr>
        </w:r>
        <w:r w:rsidR="0014173B">
          <w:rPr>
            <w:noProof/>
            <w:webHidden/>
          </w:rPr>
          <w:fldChar w:fldCharType="separate"/>
        </w:r>
        <w:r w:rsidR="00940F6A">
          <w:rPr>
            <w:noProof/>
            <w:webHidden/>
          </w:rPr>
          <w:t>10</w:t>
        </w:r>
        <w:r w:rsidR="0014173B">
          <w:rPr>
            <w:noProof/>
            <w:webHidden/>
          </w:rPr>
          <w:fldChar w:fldCharType="end"/>
        </w:r>
      </w:hyperlink>
      <w:r w:rsidR="005F693E">
        <w:rPr>
          <w:noProof/>
        </w:rPr>
        <w:t>1</w:t>
      </w:r>
    </w:p>
    <w:p w14:paraId="2B677BBE" w14:textId="59F416D6" w:rsidR="0014173B" w:rsidRDefault="00DB11B9">
      <w:pPr>
        <w:pStyle w:val="Indicedellefigure"/>
        <w:tabs>
          <w:tab w:val="right" w:leader="dot" w:pos="8488"/>
        </w:tabs>
        <w:rPr>
          <w:rFonts w:asciiTheme="minorHAnsi" w:hAnsiTheme="minorHAnsi" w:cstheme="minorBidi"/>
          <w:noProof/>
          <w:szCs w:val="22"/>
          <w:lang w:eastAsia="en-GB"/>
        </w:rPr>
      </w:pPr>
      <w:hyperlink w:anchor="_Toc520212522" w:history="1">
        <w:r w:rsidR="0014173B" w:rsidRPr="003E163E">
          <w:rPr>
            <w:rStyle w:val="Collegamentoipertestuale"/>
            <w:noProof/>
          </w:rPr>
          <w:t>Table 3-33. Tomb types associated with larnax by cemetery</w:t>
        </w:r>
        <w:r w:rsidR="00087C10">
          <w:rPr>
            <w:rStyle w:val="Collegamentoipertestuale"/>
            <w:noProof/>
          </w:rPr>
          <w:t>,</w:t>
        </w:r>
        <w:r w:rsidR="0014173B" w:rsidRPr="003E163E">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_Toc520212522 \h </w:instrText>
        </w:r>
        <w:r w:rsidR="0014173B">
          <w:rPr>
            <w:noProof/>
            <w:webHidden/>
          </w:rPr>
        </w:r>
        <w:r w:rsidR="0014173B">
          <w:rPr>
            <w:noProof/>
            <w:webHidden/>
          </w:rPr>
          <w:fldChar w:fldCharType="separate"/>
        </w:r>
        <w:r w:rsidR="00940F6A">
          <w:rPr>
            <w:noProof/>
            <w:webHidden/>
          </w:rPr>
          <w:t>10</w:t>
        </w:r>
        <w:r w:rsidR="0014173B">
          <w:rPr>
            <w:noProof/>
            <w:webHidden/>
          </w:rPr>
          <w:fldChar w:fldCharType="end"/>
        </w:r>
      </w:hyperlink>
      <w:r w:rsidR="005F693E">
        <w:rPr>
          <w:noProof/>
        </w:rPr>
        <w:t>2</w:t>
      </w:r>
    </w:p>
    <w:p w14:paraId="3C02EA7C" w14:textId="2D4FFAC8" w:rsidR="0014173B" w:rsidRDefault="00DB11B9">
      <w:pPr>
        <w:pStyle w:val="Indicedellefigure"/>
        <w:tabs>
          <w:tab w:val="right" w:leader="dot" w:pos="8488"/>
        </w:tabs>
        <w:rPr>
          <w:rFonts w:asciiTheme="minorHAnsi" w:hAnsiTheme="minorHAnsi" w:cstheme="minorBidi"/>
          <w:noProof/>
          <w:szCs w:val="22"/>
          <w:lang w:eastAsia="en-GB"/>
        </w:rPr>
      </w:pPr>
      <w:hyperlink w:anchor="_Toc520212523" w:history="1">
        <w:r w:rsidR="0014173B" w:rsidRPr="003E163E">
          <w:rPr>
            <w:rStyle w:val="Collegamentoipertestuale"/>
            <w:noProof/>
          </w:rPr>
          <w:t>Table 3-34. Tombs dimension</w:t>
        </w:r>
        <w:r w:rsidR="00087C10">
          <w:rPr>
            <w:rStyle w:val="Collegamentoipertestuale"/>
            <w:noProof/>
          </w:rPr>
          <w:t>,</w:t>
        </w:r>
        <w:r w:rsidR="0014173B" w:rsidRPr="003E163E">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_Toc520212523 \h </w:instrText>
        </w:r>
        <w:r w:rsidR="0014173B">
          <w:rPr>
            <w:noProof/>
            <w:webHidden/>
          </w:rPr>
        </w:r>
        <w:r w:rsidR="0014173B">
          <w:rPr>
            <w:noProof/>
            <w:webHidden/>
          </w:rPr>
          <w:fldChar w:fldCharType="separate"/>
        </w:r>
        <w:r w:rsidR="00940F6A">
          <w:rPr>
            <w:noProof/>
            <w:webHidden/>
          </w:rPr>
          <w:t>10</w:t>
        </w:r>
        <w:r w:rsidR="005F693E">
          <w:rPr>
            <w:noProof/>
            <w:webHidden/>
          </w:rPr>
          <w:t>3</w:t>
        </w:r>
        <w:r w:rsidR="0014173B">
          <w:rPr>
            <w:noProof/>
            <w:webHidden/>
          </w:rPr>
          <w:fldChar w:fldCharType="end"/>
        </w:r>
      </w:hyperlink>
    </w:p>
    <w:p w14:paraId="56EA754E" w14:textId="3A312523" w:rsidR="0014173B" w:rsidRDefault="00DB11B9">
      <w:pPr>
        <w:pStyle w:val="Indicedellefigure"/>
        <w:tabs>
          <w:tab w:val="right" w:leader="dot" w:pos="8488"/>
        </w:tabs>
        <w:rPr>
          <w:rFonts w:asciiTheme="minorHAnsi" w:hAnsiTheme="minorHAnsi" w:cstheme="minorBidi"/>
          <w:noProof/>
          <w:szCs w:val="22"/>
          <w:lang w:eastAsia="en-GB"/>
        </w:rPr>
      </w:pPr>
      <w:hyperlink w:anchor="_Toc520212524" w:history="1">
        <w:r w:rsidR="0014173B" w:rsidRPr="003E163E">
          <w:rPr>
            <w:rStyle w:val="Collegamentoipertestuale"/>
            <w:noProof/>
          </w:rPr>
          <w:t>Table 3-35. Tomb size groups</w:t>
        </w:r>
        <w:r w:rsidR="00087C10">
          <w:rPr>
            <w:rStyle w:val="Collegamentoipertestuale"/>
            <w:noProof/>
          </w:rPr>
          <w:t>,</w:t>
        </w:r>
        <w:r w:rsidR="0014173B" w:rsidRPr="003E163E">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_Toc520212524 \h </w:instrText>
        </w:r>
        <w:r w:rsidR="0014173B">
          <w:rPr>
            <w:noProof/>
            <w:webHidden/>
          </w:rPr>
        </w:r>
        <w:r w:rsidR="0014173B">
          <w:rPr>
            <w:noProof/>
            <w:webHidden/>
          </w:rPr>
          <w:fldChar w:fldCharType="separate"/>
        </w:r>
        <w:r w:rsidR="00940F6A">
          <w:rPr>
            <w:noProof/>
            <w:webHidden/>
          </w:rPr>
          <w:t>10</w:t>
        </w:r>
        <w:r w:rsidR="005F693E">
          <w:rPr>
            <w:noProof/>
            <w:webHidden/>
          </w:rPr>
          <w:t>3</w:t>
        </w:r>
        <w:r w:rsidR="0014173B">
          <w:rPr>
            <w:noProof/>
            <w:webHidden/>
          </w:rPr>
          <w:fldChar w:fldCharType="end"/>
        </w:r>
      </w:hyperlink>
    </w:p>
    <w:p w14:paraId="7BA31E81" w14:textId="0A6A70D5" w:rsidR="0014173B" w:rsidRDefault="00874C0C">
      <w:pPr>
        <w:pStyle w:val="Indicedellefigure"/>
        <w:tabs>
          <w:tab w:val="right" w:leader="dot" w:pos="8488"/>
        </w:tabs>
        <w:rPr>
          <w:rFonts w:asciiTheme="minorHAnsi" w:hAnsiTheme="minorHAnsi" w:cstheme="minorBidi"/>
          <w:noProof/>
          <w:szCs w:val="22"/>
          <w:lang w:eastAsia="en-GB"/>
        </w:rPr>
      </w:pPr>
      <w:hyperlink w:anchor="_Toc520212525" w:history="1">
        <w:r w:rsidR="0014173B" w:rsidRPr="003E163E">
          <w:rPr>
            <w:rStyle w:val="Collegamentoipertestuale"/>
            <w:noProof/>
          </w:rPr>
          <w:t>Table 3-36. Tomb size and dromos length comparison</w:t>
        </w:r>
        <w:r w:rsidR="00087C10">
          <w:rPr>
            <w:rStyle w:val="Collegamentoipertestuale"/>
            <w:noProof/>
          </w:rPr>
          <w:t>,</w:t>
        </w:r>
        <w:r w:rsidR="0014173B" w:rsidRPr="003E163E">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_Toc520212525 \h </w:instrText>
        </w:r>
        <w:r w:rsidR="0014173B">
          <w:rPr>
            <w:noProof/>
            <w:webHidden/>
          </w:rPr>
        </w:r>
        <w:r w:rsidR="0014173B">
          <w:rPr>
            <w:noProof/>
            <w:webHidden/>
          </w:rPr>
          <w:fldChar w:fldCharType="separate"/>
        </w:r>
        <w:r w:rsidR="00940F6A">
          <w:rPr>
            <w:noProof/>
            <w:webHidden/>
          </w:rPr>
          <w:t>10</w:t>
        </w:r>
        <w:r w:rsidR="008871EC">
          <w:rPr>
            <w:noProof/>
            <w:webHidden/>
          </w:rPr>
          <w:t>3</w:t>
        </w:r>
        <w:r w:rsidR="0014173B">
          <w:rPr>
            <w:noProof/>
            <w:webHidden/>
          </w:rPr>
          <w:fldChar w:fldCharType="end"/>
        </w:r>
      </w:hyperlink>
    </w:p>
    <w:p w14:paraId="3BD62DA7" w14:textId="307748F0" w:rsidR="0014173B" w:rsidRDefault="00874C0C">
      <w:pPr>
        <w:pStyle w:val="Indicedellefigure"/>
        <w:tabs>
          <w:tab w:val="right" w:leader="dot" w:pos="8488"/>
        </w:tabs>
        <w:rPr>
          <w:rFonts w:asciiTheme="minorHAnsi" w:hAnsiTheme="minorHAnsi" w:cstheme="minorBidi"/>
          <w:noProof/>
          <w:szCs w:val="22"/>
          <w:lang w:eastAsia="en-GB"/>
        </w:rPr>
      </w:pPr>
      <w:hyperlink w:anchor="_Toc520212526" w:history="1">
        <w:r w:rsidR="0014173B" w:rsidRPr="003E163E">
          <w:rPr>
            <w:rStyle w:val="Collegamentoipertestuale"/>
            <w:noProof/>
          </w:rPr>
          <w:t>Table 3-37. Tomb size and dromos length comparison according to tomb size groups</w:t>
        </w:r>
        <w:r w:rsidR="00087C10">
          <w:rPr>
            <w:rStyle w:val="Collegamentoipertestuale"/>
            <w:noProof/>
          </w:rPr>
          <w:t>,</w:t>
        </w:r>
        <w:r w:rsidR="0014173B" w:rsidRPr="003E163E">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_Toc520212526 \h </w:instrText>
        </w:r>
        <w:r w:rsidR="0014173B">
          <w:rPr>
            <w:noProof/>
            <w:webHidden/>
          </w:rPr>
        </w:r>
        <w:r w:rsidR="0014173B">
          <w:rPr>
            <w:noProof/>
            <w:webHidden/>
          </w:rPr>
          <w:fldChar w:fldCharType="separate"/>
        </w:r>
        <w:r w:rsidR="00940F6A">
          <w:rPr>
            <w:noProof/>
            <w:webHidden/>
          </w:rPr>
          <w:t>10</w:t>
        </w:r>
        <w:r w:rsidR="0014173B">
          <w:rPr>
            <w:noProof/>
            <w:webHidden/>
          </w:rPr>
          <w:fldChar w:fldCharType="end"/>
        </w:r>
      </w:hyperlink>
      <w:r w:rsidR="008871EC">
        <w:rPr>
          <w:noProof/>
        </w:rPr>
        <w:t>3</w:t>
      </w:r>
    </w:p>
    <w:p w14:paraId="22A24400" w14:textId="3C111E02" w:rsidR="0014173B" w:rsidRDefault="00DB11B9">
      <w:pPr>
        <w:pStyle w:val="Indicedellefigure"/>
        <w:tabs>
          <w:tab w:val="right" w:leader="dot" w:pos="8488"/>
        </w:tabs>
        <w:rPr>
          <w:rFonts w:asciiTheme="minorHAnsi" w:hAnsiTheme="minorHAnsi" w:cstheme="minorBidi"/>
          <w:noProof/>
          <w:szCs w:val="22"/>
          <w:lang w:eastAsia="en-GB"/>
        </w:rPr>
      </w:pPr>
      <w:hyperlink w:anchor="_Toc520212527" w:history="1">
        <w:r w:rsidR="0014173B" w:rsidRPr="003E163E">
          <w:rPr>
            <w:rStyle w:val="Collegamentoipertestuale"/>
            <w:noProof/>
          </w:rPr>
          <w:t xml:space="preserve">Table 3-38 Occurrence of monumental features </w:t>
        </w:r>
        <w:r w:rsidR="006B25EA">
          <w:rPr>
            <w:rStyle w:val="Collegamentoipertestuale"/>
            <w:noProof/>
          </w:rPr>
          <w:t xml:space="preserve">in </w:t>
        </w:r>
        <w:r w:rsidR="0014173B" w:rsidRPr="003E163E">
          <w:rPr>
            <w:rStyle w:val="Collegamentoipertestuale"/>
            <w:noProof/>
          </w:rPr>
          <w:t>the Knossos area</w:t>
        </w:r>
        <w:r w:rsidR="0014173B">
          <w:rPr>
            <w:noProof/>
            <w:webHidden/>
          </w:rPr>
          <w:tab/>
        </w:r>
        <w:r w:rsidR="0014173B">
          <w:rPr>
            <w:noProof/>
            <w:webHidden/>
          </w:rPr>
          <w:fldChar w:fldCharType="begin"/>
        </w:r>
        <w:r w:rsidR="0014173B">
          <w:rPr>
            <w:noProof/>
            <w:webHidden/>
          </w:rPr>
          <w:instrText xml:space="preserve"> PAGEREF _Toc520212527 \h </w:instrText>
        </w:r>
        <w:r w:rsidR="0014173B">
          <w:rPr>
            <w:noProof/>
            <w:webHidden/>
          </w:rPr>
        </w:r>
        <w:r w:rsidR="0014173B">
          <w:rPr>
            <w:noProof/>
            <w:webHidden/>
          </w:rPr>
          <w:fldChar w:fldCharType="separate"/>
        </w:r>
        <w:r w:rsidR="00940F6A">
          <w:rPr>
            <w:noProof/>
            <w:webHidden/>
          </w:rPr>
          <w:t>10</w:t>
        </w:r>
        <w:r w:rsidR="008871EC">
          <w:rPr>
            <w:noProof/>
            <w:webHidden/>
          </w:rPr>
          <w:t>4</w:t>
        </w:r>
        <w:r w:rsidR="0014173B">
          <w:rPr>
            <w:noProof/>
            <w:webHidden/>
          </w:rPr>
          <w:fldChar w:fldCharType="end"/>
        </w:r>
      </w:hyperlink>
    </w:p>
    <w:p w14:paraId="46176FCB" w14:textId="5E83FFE9" w:rsidR="0014173B" w:rsidRDefault="00DB11B9">
      <w:pPr>
        <w:pStyle w:val="Indicedellefigure"/>
        <w:tabs>
          <w:tab w:val="right" w:leader="dot" w:pos="8488"/>
        </w:tabs>
        <w:rPr>
          <w:noProof/>
        </w:rPr>
      </w:pPr>
      <w:hyperlink w:anchor="_Toc520212528" w:history="1">
        <w:r w:rsidR="0014173B" w:rsidRPr="003E163E">
          <w:rPr>
            <w:rStyle w:val="Collegamentoipertestuale"/>
            <w:noProof/>
          </w:rPr>
          <w:t>Table 3-39. Larnax number in relation to tomb size Knossos area</w:t>
        </w:r>
        <w:r w:rsidR="0014173B">
          <w:rPr>
            <w:noProof/>
            <w:webHidden/>
          </w:rPr>
          <w:tab/>
        </w:r>
        <w:r w:rsidR="0014173B">
          <w:rPr>
            <w:noProof/>
            <w:webHidden/>
          </w:rPr>
          <w:fldChar w:fldCharType="begin"/>
        </w:r>
        <w:r w:rsidR="0014173B">
          <w:rPr>
            <w:noProof/>
            <w:webHidden/>
          </w:rPr>
          <w:instrText xml:space="preserve"> PAGEREF _Toc520212528 \h </w:instrText>
        </w:r>
        <w:r w:rsidR="0014173B">
          <w:rPr>
            <w:noProof/>
            <w:webHidden/>
          </w:rPr>
        </w:r>
        <w:r w:rsidR="0014173B">
          <w:rPr>
            <w:noProof/>
            <w:webHidden/>
          </w:rPr>
          <w:fldChar w:fldCharType="separate"/>
        </w:r>
        <w:r w:rsidR="00940F6A">
          <w:rPr>
            <w:noProof/>
            <w:webHidden/>
          </w:rPr>
          <w:t>10</w:t>
        </w:r>
        <w:r w:rsidR="0014173B">
          <w:rPr>
            <w:noProof/>
            <w:webHidden/>
          </w:rPr>
          <w:fldChar w:fldCharType="end"/>
        </w:r>
      </w:hyperlink>
      <w:r w:rsidR="008871EC">
        <w:rPr>
          <w:noProof/>
        </w:rPr>
        <w:t>4</w:t>
      </w:r>
    </w:p>
    <w:p w14:paraId="343EBD95" w14:textId="627C9490" w:rsidR="006B25EA" w:rsidRPr="00422526" w:rsidRDefault="006B25EA" w:rsidP="00422526">
      <w:pPr>
        <w:rPr>
          <w:szCs w:val="22"/>
        </w:rPr>
      </w:pPr>
      <w:r w:rsidRPr="00422526">
        <w:rPr>
          <w:sz w:val="22"/>
          <w:szCs w:val="22"/>
        </w:rPr>
        <w:t>Table 3-40</w:t>
      </w:r>
      <w:r w:rsidR="00BD3554" w:rsidRPr="00422526">
        <w:rPr>
          <w:sz w:val="22"/>
          <w:szCs w:val="22"/>
        </w:rPr>
        <w:t xml:space="preserve">. </w:t>
      </w:r>
      <w:r w:rsidR="00BD3554" w:rsidRPr="00422526">
        <w:rPr>
          <w:rStyle w:val="TestofumettoCarattere"/>
          <w:b w:val="0"/>
          <w:sz w:val="22"/>
          <w:szCs w:val="22"/>
        </w:rPr>
        <w:t>Space reserved to a larnax within a tomb, Knossos area</w:t>
      </w:r>
      <w:r w:rsidR="007856F9">
        <w:rPr>
          <w:rStyle w:val="TestofumettoCarattere"/>
          <w:b w:val="0"/>
          <w:sz w:val="22"/>
          <w:szCs w:val="22"/>
        </w:rPr>
        <w:t>…………………………</w:t>
      </w:r>
      <w:r w:rsidR="000243C2" w:rsidRPr="00F1500A">
        <w:rPr>
          <w:rStyle w:val="TestofumettoCarattere"/>
          <w:b w:val="0"/>
          <w:sz w:val="22"/>
          <w:szCs w:val="22"/>
        </w:rPr>
        <w:t>104</w:t>
      </w:r>
    </w:p>
    <w:p w14:paraId="0C2896A4" w14:textId="372697E0" w:rsidR="0014173B" w:rsidRDefault="00DB11B9">
      <w:pPr>
        <w:pStyle w:val="Indicedellefigure"/>
        <w:tabs>
          <w:tab w:val="right" w:leader="dot" w:pos="8488"/>
        </w:tabs>
        <w:rPr>
          <w:rFonts w:asciiTheme="minorHAnsi" w:hAnsiTheme="minorHAnsi" w:cstheme="minorBidi"/>
          <w:noProof/>
          <w:szCs w:val="22"/>
          <w:lang w:eastAsia="en-GB"/>
        </w:rPr>
      </w:pPr>
      <w:hyperlink w:anchor="_Toc520212529" w:history="1">
        <w:r w:rsidR="0014173B" w:rsidRPr="003E163E">
          <w:rPr>
            <w:rStyle w:val="Collegamentoipertestuale"/>
            <w:noProof/>
          </w:rPr>
          <w:t>Table 3-41. Number of larnakes per tomb</w:t>
        </w:r>
        <w:r w:rsidR="006B25EA">
          <w:rPr>
            <w:rStyle w:val="Collegamentoipertestuale"/>
            <w:noProof/>
          </w:rPr>
          <w:t>,</w:t>
        </w:r>
        <w:r w:rsidR="0014173B" w:rsidRPr="003E163E">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_Toc520212529 \h </w:instrText>
        </w:r>
        <w:r w:rsidR="0014173B">
          <w:rPr>
            <w:noProof/>
            <w:webHidden/>
          </w:rPr>
        </w:r>
        <w:r w:rsidR="0014173B">
          <w:rPr>
            <w:noProof/>
            <w:webHidden/>
          </w:rPr>
          <w:fldChar w:fldCharType="separate"/>
        </w:r>
        <w:r w:rsidR="00940F6A">
          <w:rPr>
            <w:noProof/>
            <w:webHidden/>
          </w:rPr>
          <w:t>10</w:t>
        </w:r>
        <w:r w:rsidR="0014173B">
          <w:rPr>
            <w:noProof/>
            <w:webHidden/>
          </w:rPr>
          <w:fldChar w:fldCharType="end"/>
        </w:r>
      </w:hyperlink>
      <w:r w:rsidR="00996CB5">
        <w:rPr>
          <w:noProof/>
        </w:rPr>
        <w:t>5</w:t>
      </w:r>
    </w:p>
    <w:p w14:paraId="0C27C788" w14:textId="5E078F54" w:rsidR="0014173B" w:rsidRDefault="00874C0C">
      <w:pPr>
        <w:pStyle w:val="Indicedellefigure"/>
        <w:tabs>
          <w:tab w:val="right" w:leader="dot" w:pos="8488"/>
        </w:tabs>
        <w:rPr>
          <w:rFonts w:asciiTheme="minorHAnsi" w:hAnsiTheme="minorHAnsi" w:cstheme="minorBidi"/>
          <w:noProof/>
          <w:szCs w:val="22"/>
          <w:lang w:eastAsia="en-GB"/>
        </w:rPr>
      </w:pPr>
      <w:hyperlink w:anchor="_Toc520212530" w:history="1">
        <w:r w:rsidR="0014173B" w:rsidRPr="003E163E">
          <w:rPr>
            <w:rStyle w:val="Collegamentoipertestuale"/>
            <w:noProof/>
          </w:rPr>
          <w:t>Table 3-42. Interment types occurrence</w:t>
        </w:r>
        <w:r w:rsidR="006B25EA">
          <w:rPr>
            <w:rStyle w:val="Collegamentoipertestuale"/>
            <w:noProof/>
          </w:rPr>
          <w:t>,</w:t>
        </w:r>
        <w:r w:rsidR="0014173B" w:rsidRPr="003E163E">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_Toc520212530 \h </w:instrText>
        </w:r>
        <w:r w:rsidR="0014173B">
          <w:rPr>
            <w:noProof/>
            <w:webHidden/>
          </w:rPr>
        </w:r>
        <w:r w:rsidR="0014173B">
          <w:rPr>
            <w:noProof/>
            <w:webHidden/>
          </w:rPr>
          <w:fldChar w:fldCharType="separate"/>
        </w:r>
        <w:r w:rsidR="00940F6A">
          <w:rPr>
            <w:noProof/>
            <w:webHidden/>
          </w:rPr>
          <w:t>105</w:t>
        </w:r>
        <w:r w:rsidR="0014173B">
          <w:rPr>
            <w:noProof/>
            <w:webHidden/>
          </w:rPr>
          <w:fldChar w:fldCharType="end"/>
        </w:r>
      </w:hyperlink>
    </w:p>
    <w:p w14:paraId="6D1E577D" w14:textId="41C4C0E4" w:rsidR="0014173B" w:rsidRDefault="00DB11B9">
      <w:pPr>
        <w:pStyle w:val="Indicedellefigure"/>
        <w:tabs>
          <w:tab w:val="right" w:leader="dot" w:pos="8488"/>
        </w:tabs>
        <w:rPr>
          <w:rFonts w:asciiTheme="minorHAnsi" w:hAnsiTheme="minorHAnsi" w:cstheme="minorBidi"/>
          <w:noProof/>
          <w:szCs w:val="22"/>
          <w:lang w:eastAsia="en-GB"/>
        </w:rPr>
      </w:pPr>
      <w:hyperlink w:anchor="_Toc520212531" w:history="1">
        <w:r w:rsidR="0014173B" w:rsidRPr="003E163E">
          <w:rPr>
            <w:rStyle w:val="Collegamentoipertestuale"/>
            <w:noProof/>
          </w:rPr>
          <w:t>Table 3-43. LM III burial locations</w:t>
        </w:r>
        <w:r w:rsidR="006B25EA">
          <w:rPr>
            <w:rStyle w:val="Collegamentoipertestuale"/>
            <w:noProof/>
          </w:rPr>
          <w:t>,</w:t>
        </w:r>
        <w:r w:rsidR="0014173B" w:rsidRPr="003E163E">
          <w:rPr>
            <w:rStyle w:val="Collegamentoipertestuale"/>
            <w:noProof/>
          </w:rPr>
          <w:t xml:space="preserve"> Central area</w:t>
        </w:r>
        <w:r w:rsidR="00EC5583">
          <w:rPr>
            <w:rStyle w:val="Collegamentoipertestuale"/>
            <w:noProof/>
          </w:rPr>
          <w:t>,</w:t>
        </w:r>
        <w:r w:rsidR="0014173B" w:rsidRPr="003E163E">
          <w:rPr>
            <w:rStyle w:val="Collegamentoipertestuale"/>
            <w:noProof/>
          </w:rPr>
          <w:t xml:space="preserve"> in detail</w:t>
        </w:r>
        <w:r w:rsidR="0014173B">
          <w:rPr>
            <w:noProof/>
            <w:webHidden/>
          </w:rPr>
          <w:tab/>
        </w:r>
        <w:r w:rsidR="0014173B">
          <w:rPr>
            <w:noProof/>
            <w:webHidden/>
          </w:rPr>
          <w:fldChar w:fldCharType="begin"/>
        </w:r>
        <w:r w:rsidR="0014173B">
          <w:rPr>
            <w:noProof/>
            <w:webHidden/>
          </w:rPr>
          <w:instrText xml:space="preserve"> PAGEREF _Toc520212531 \h </w:instrText>
        </w:r>
        <w:r w:rsidR="0014173B">
          <w:rPr>
            <w:noProof/>
            <w:webHidden/>
          </w:rPr>
        </w:r>
        <w:r w:rsidR="0014173B">
          <w:rPr>
            <w:noProof/>
            <w:webHidden/>
          </w:rPr>
          <w:fldChar w:fldCharType="separate"/>
        </w:r>
        <w:r w:rsidR="00940F6A">
          <w:rPr>
            <w:noProof/>
            <w:webHidden/>
          </w:rPr>
          <w:t>10</w:t>
        </w:r>
        <w:r w:rsidR="0014173B">
          <w:rPr>
            <w:noProof/>
            <w:webHidden/>
          </w:rPr>
          <w:fldChar w:fldCharType="end"/>
        </w:r>
      </w:hyperlink>
      <w:r w:rsidR="006C0E3D">
        <w:rPr>
          <w:noProof/>
        </w:rPr>
        <w:t>9</w:t>
      </w:r>
    </w:p>
    <w:p w14:paraId="400F4142" w14:textId="5C2FF54A" w:rsidR="0014173B" w:rsidRDefault="00874C0C">
      <w:pPr>
        <w:pStyle w:val="Indicedellefigure"/>
        <w:tabs>
          <w:tab w:val="right" w:leader="dot" w:pos="8488"/>
        </w:tabs>
        <w:rPr>
          <w:rFonts w:asciiTheme="minorHAnsi" w:hAnsiTheme="minorHAnsi" w:cstheme="minorBidi"/>
          <w:noProof/>
          <w:szCs w:val="22"/>
          <w:lang w:eastAsia="en-GB"/>
        </w:rPr>
      </w:pPr>
      <w:hyperlink w:anchor="_Toc520212532" w:history="1">
        <w:r w:rsidR="0014173B" w:rsidRPr="003E163E">
          <w:rPr>
            <w:rStyle w:val="Collegamentoipertestuale"/>
            <w:noProof/>
          </w:rPr>
          <w:t>Table 3-44. Percentage of pre-existing cemeteries reused in LM III with larnax burials</w:t>
        </w:r>
        <w:r w:rsidR="00EC5583">
          <w:rPr>
            <w:rStyle w:val="Collegamentoipertestuale"/>
            <w:noProof/>
          </w:rPr>
          <w:t>,</w:t>
        </w:r>
        <w:r w:rsidR="0014173B" w:rsidRPr="003E163E">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_Toc520212532 \h </w:instrText>
        </w:r>
        <w:r w:rsidR="0014173B">
          <w:rPr>
            <w:noProof/>
            <w:webHidden/>
          </w:rPr>
        </w:r>
        <w:r w:rsidR="0014173B">
          <w:rPr>
            <w:noProof/>
            <w:webHidden/>
          </w:rPr>
          <w:fldChar w:fldCharType="separate"/>
        </w:r>
        <w:r w:rsidR="00940F6A">
          <w:rPr>
            <w:noProof/>
            <w:webHidden/>
          </w:rPr>
          <w:t>110</w:t>
        </w:r>
        <w:r w:rsidR="0014173B">
          <w:rPr>
            <w:noProof/>
            <w:webHidden/>
          </w:rPr>
          <w:fldChar w:fldCharType="end"/>
        </w:r>
      </w:hyperlink>
    </w:p>
    <w:p w14:paraId="24475BB7" w14:textId="092D3883" w:rsidR="0014173B" w:rsidRDefault="00874C0C">
      <w:pPr>
        <w:pStyle w:val="Indicedellefigure"/>
        <w:tabs>
          <w:tab w:val="right" w:leader="dot" w:pos="8488"/>
        </w:tabs>
        <w:rPr>
          <w:noProof/>
        </w:rPr>
      </w:pPr>
      <w:hyperlink w:anchor="_Toc520212533" w:history="1">
        <w:r w:rsidR="0014173B" w:rsidRPr="003E163E">
          <w:rPr>
            <w:rStyle w:val="Collegamentoipertestuale"/>
            <w:noProof/>
          </w:rPr>
          <w:t>Table 3-45. Tomb types associated with larnax per cemetery</w:t>
        </w:r>
        <w:r w:rsidR="00EC5583">
          <w:rPr>
            <w:rStyle w:val="Collegamentoipertestuale"/>
            <w:noProof/>
          </w:rPr>
          <w:t>,</w:t>
        </w:r>
        <w:r w:rsidR="0014173B" w:rsidRPr="003E163E">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_Toc520212533 \h </w:instrText>
        </w:r>
        <w:r w:rsidR="0014173B">
          <w:rPr>
            <w:noProof/>
            <w:webHidden/>
          </w:rPr>
        </w:r>
        <w:r w:rsidR="0014173B">
          <w:rPr>
            <w:noProof/>
            <w:webHidden/>
          </w:rPr>
          <w:fldChar w:fldCharType="separate"/>
        </w:r>
        <w:r w:rsidR="00940F6A">
          <w:rPr>
            <w:noProof/>
            <w:webHidden/>
          </w:rPr>
          <w:t>112</w:t>
        </w:r>
        <w:r w:rsidR="0014173B">
          <w:rPr>
            <w:noProof/>
            <w:webHidden/>
          </w:rPr>
          <w:fldChar w:fldCharType="end"/>
        </w:r>
      </w:hyperlink>
    </w:p>
    <w:p w14:paraId="6231F531" w14:textId="046EA8B4" w:rsidR="00EC5583" w:rsidRPr="00422526" w:rsidRDefault="00EC5583" w:rsidP="00422526">
      <w:pPr>
        <w:rPr>
          <w:szCs w:val="22"/>
        </w:rPr>
      </w:pPr>
      <w:r w:rsidRPr="00422526">
        <w:rPr>
          <w:sz w:val="22"/>
          <w:szCs w:val="22"/>
        </w:rPr>
        <w:t>Table 3-46</w:t>
      </w:r>
      <w:r w:rsidR="007856F9" w:rsidRPr="007856F9">
        <w:rPr>
          <w:sz w:val="20"/>
          <w:szCs w:val="20"/>
        </w:rPr>
        <w:t xml:space="preserve"> </w:t>
      </w:r>
      <w:r w:rsidR="007856F9" w:rsidRPr="00422526">
        <w:rPr>
          <w:sz w:val="22"/>
          <w:szCs w:val="22"/>
        </w:rPr>
        <w:t>Deposition methods adopted in cemeteries with larnakes, Central area</w:t>
      </w:r>
      <w:r w:rsidR="00A83E38">
        <w:rPr>
          <w:sz w:val="22"/>
          <w:szCs w:val="22"/>
        </w:rPr>
        <w:t>…………113</w:t>
      </w:r>
    </w:p>
    <w:p w14:paraId="6096540B" w14:textId="26DDB250" w:rsidR="0014173B" w:rsidRDefault="00874C0C">
      <w:pPr>
        <w:pStyle w:val="Indicedellefigure"/>
        <w:tabs>
          <w:tab w:val="right" w:leader="dot" w:pos="8488"/>
        </w:tabs>
        <w:rPr>
          <w:rFonts w:asciiTheme="minorHAnsi" w:hAnsiTheme="minorHAnsi" w:cstheme="minorBidi"/>
          <w:noProof/>
          <w:szCs w:val="22"/>
          <w:lang w:eastAsia="en-GB"/>
        </w:rPr>
      </w:pPr>
      <w:hyperlink w:anchor="_Toc520212534" w:history="1">
        <w:r w:rsidR="0014173B" w:rsidRPr="003E163E">
          <w:rPr>
            <w:rStyle w:val="Collegamentoipertestuale"/>
            <w:noProof/>
          </w:rPr>
          <w:t>Table 3-47. Tomb types associated with larnax by cemetery</w:t>
        </w:r>
        <w:r w:rsidR="00EC5583">
          <w:rPr>
            <w:rStyle w:val="Collegamentoipertestuale"/>
            <w:noProof/>
          </w:rPr>
          <w:t>,</w:t>
        </w:r>
        <w:r w:rsidR="0014173B" w:rsidRPr="003E163E">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_Toc520212534 \h </w:instrText>
        </w:r>
        <w:r w:rsidR="0014173B">
          <w:rPr>
            <w:noProof/>
            <w:webHidden/>
          </w:rPr>
        </w:r>
        <w:r w:rsidR="0014173B">
          <w:rPr>
            <w:noProof/>
            <w:webHidden/>
          </w:rPr>
          <w:fldChar w:fldCharType="separate"/>
        </w:r>
        <w:r w:rsidR="00940F6A">
          <w:rPr>
            <w:noProof/>
            <w:webHidden/>
          </w:rPr>
          <w:t>117</w:t>
        </w:r>
        <w:r w:rsidR="0014173B">
          <w:rPr>
            <w:noProof/>
            <w:webHidden/>
          </w:rPr>
          <w:fldChar w:fldCharType="end"/>
        </w:r>
      </w:hyperlink>
    </w:p>
    <w:p w14:paraId="02231EAA" w14:textId="220E6DCC" w:rsidR="0014173B" w:rsidRDefault="00874C0C">
      <w:pPr>
        <w:pStyle w:val="Indicedellefigure"/>
        <w:tabs>
          <w:tab w:val="right" w:leader="dot" w:pos="8488"/>
        </w:tabs>
        <w:rPr>
          <w:rFonts w:asciiTheme="minorHAnsi" w:hAnsiTheme="minorHAnsi" w:cstheme="minorBidi"/>
          <w:noProof/>
          <w:szCs w:val="22"/>
          <w:lang w:eastAsia="en-GB"/>
        </w:rPr>
      </w:pPr>
      <w:hyperlink w:anchor="_Toc520212535" w:history="1">
        <w:r w:rsidR="0014173B" w:rsidRPr="003E163E">
          <w:rPr>
            <w:rStyle w:val="Collegamentoipertestuale"/>
            <w:noProof/>
          </w:rPr>
          <w:t>Table 3-48. Tomb dimensions</w:t>
        </w:r>
        <w:r w:rsidR="00EC5583">
          <w:rPr>
            <w:rStyle w:val="Collegamentoipertestuale"/>
            <w:noProof/>
          </w:rPr>
          <w:t>,</w:t>
        </w:r>
        <w:r w:rsidR="0014173B" w:rsidRPr="003E163E">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_Toc520212535 \h </w:instrText>
        </w:r>
        <w:r w:rsidR="0014173B">
          <w:rPr>
            <w:noProof/>
            <w:webHidden/>
          </w:rPr>
        </w:r>
        <w:r w:rsidR="0014173B">
          <w:rPr>
            <w:noProof/>
            <w:webHidden/>
          </w:rPr>
          <w:fldChar w:fldCharType="separate"/>
        </w:r>
        <w:r w:rsidR="00940F6A">
          <w:rPr>
            <w:noProof/>
            <w:webHidden/>
          </w:rPr>
          <w:t>118</w:t>
        </w:r>
        <w:r w:rsidR="0014173B">
          <w:rPr>
            <w:noProof/>
            <w:webHidden/>
          </w:rPr>
          <w:fldChar w:fldCharType="end"/>
        </w:r>
      </w:hyperlink>
    </w:p>
    <w:p w14:paraId="185C0C1E" w14:textId="1E96F092" w:rsidR="0014173B" w:rsidRDefault="00874C0C">
      <w:pPr>
        <w:pStyle w:val="Indicedellefigure"/>
        <w:tabs>
          <w:tab w:val="right" w:leader="dot" w:pos="8488"/>
        </w:tabs>
        <w:rPr>
          <w:rFonts w:asciiTheme="minorHAnsi" w:hAnsiTheme="minorHAnsi" w:cstheme="minorBidi"/>
          <w:noProof/>
          <w:szCs w:val="22"/>
          <w:lang w:eastAsia="en-GB"/>
        </w:rPr>
      </w:pPr>
      <w:hyperlink w:anchor="_Toc520212536" w:history="1">
        <w:r w:rsidR="0014173B" w:rsidRPr="003E163E">
          <w:rPr>
            <w:rStyle w:val="Collegamentoipertestuale"/>
            <w:noProof/>
          </w:rPr>
          <w:t>Table 3-49. Tomb size groups</w:t>
        </w:r>
        <w:r w:rsidR="00EC5583">
          <w:rPr>
            <w:rStyle w:val="Collegamentoipertestuale"/>
            <w:noProof/>
          </w:rPr>
          <w:t>,</w:t>
        </w:r>
        <w:r w:rsidR="0014173B" w:rsidRPr="003E163E">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_Toc520212536 \h </w:instrText>
        </w:r>
        <w:r w:rsidR="0014173B">
          <w:rPr>
            <w:noProof/>
            <w:webHidden/>
          </w:rPr>
        </w:r>
        <w:r w:rsidR="0014173B">
          <w:rPr>
            <w:noProof/>
            <w:webHidden/>
          </w:rPr>
          <w:fldChar w:fldCharType="separate"/>
        </w:r>
        <w:r w:rsidR="00940F6A">
          <w:rPr>
            <w:noProof/>
            <w:webHidden/>
          </w:rPr>
          <w:t>118</w:t>
        </w:r>
        <w:r w:rsidR="0014173B">
          <w:rPr>
            <w:noProof/>
            <w:webHidden/>
          </w:rPr>
          <w:fldChar w:fldCharType="end"/>
        </w:r>
      </w:hyperlink>
    </w:p>
    <w:p w14:paraId="1E49A2C2" w14:textId="1F97D321" w:rsidR="0014173B" w:rsidRDefault="00940F6A">
      <w:pPr>
        <w:pStyle w:val="Indicedellefigure"/>
        <w:tabs>
          <w:tab w:val="right" w:leader="dot" w:pos="8488"/>
        </w:tabs>
        <w:rPr>
          <w:rFonts w:asciiTheme="minorHAnsi" w:hAnsiTheme="minorHAnsi" w:cstheme="minorBidi"/>
          <w:noProof/>
          <w:szCs w:val="22"/>
          <w:lang w:eastAsia="en-GB"/>
        </w:rPr>
      </w:pPr>
      <w:hyperlink w:anchor="_Toc520212537" w:history="1">
        <w:r w:rsidR="0014173B" w:rsidRPr="003E163E">
          <w:rPr>
            <w:rStyle w:val="Collegamentoipertestuale"/>
            <w:noProof/>
          </w:rPr>
          <w:t>Table 3-50</w:t>
        </w:r>
        <w:r w:rsidR="003D31DD">
          <w:rPr>
            <w:rStyle w:val="Collegamentoipertestuale"/>
            <w:noProof/>
          </w:rPr>
          <w:t>.</w:t>
        </w:r>
        <w:r w:rsidR="0014173B" w:rsidRPr="003E163E">
          <w:rPr>
            <w:rStyle w:val="Collegamentoipertestuale"/>
            <w:noProof/>
          </w:rPr>
          <w:t xml:space="preserve"> Tomb size and dromos length comparison</w:t>
        </w:r>
        <w:r w:rsidR="00EC5583">
          <w:rPr>
            <w:rStyle w:val="Collegamentoipertestuale"/>
            <w:noProof/>
          </w:rPr>
          <w:t>,</w:t>
        </w:r>
        <w:r w:rsidR="0014173B" w:rsidRPr="003E163E">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_Toc520212537 \h </w:instrText>
        </w:r>
        <w:r w:rsidR="0014173B">
          <w:rPr>
            <w:noProof/>
            <w:webHidden/>
          </w:rPr>
        </w:r>
        <w:r w:rsidR="0014173B">
          <w:rPr>
            <w:noProof/>
            <w:webHidden/>
          </w:rPr>
          <w:fldChar w:fldCharType="separate"/>
        </w:r>
        <w:r>
          <w:rPr>
            <w:noProof/>
            <w:webHidden/>
          </w:rPr>
          <w:t>118</w:t>
        </w:r>
        <w:r w:rsidR="0014173B">
          <w:rPr>
            <w:noProof/>
            <w:webHidden/>
          </w:rPr>
          <w:fldChar w:fldCharType="end"/>
        </w:r>
      </w:hyperlink>
    </w:p>
    <w:p w14:paraId="09F5BE60" w14:textId="1E8B5469" w:rsidR="0014173B" w:rsidRDefault="00874C0C">
      <w:pPr>
        <w:pStyle w:val="Indicedellefigure"/>
        <w:tabs>
          <w:tab w:val="right" w:leader="dot" w:pos="8488"/>
        </w:tabs>
        <w:rPr>
          <w:rFonts w:asciiTheme="minorHAnsi" w:hAnsiTheme="minorHAnsi" w:cstheme="minorBidi"/>
          <w:noProof/>
          <w:szCs w:val="22"/>
          <w:lang w:eastAsia="en-GB"/>
        </w:rPr>
      </w:pPr>
      <w:hyperlink w:anchor="_Toc520212538" w:history="1">
        <w:r w:rsidR="0014173B" w:rsidRPr="003E163E">
          <w:rPr>
            <w:rStyle w:val="Collegamentoipertestuale"/>
            <w:noProof/>
          </w:rPr>
          <w:t>Table 3-51. Tomb size and dromos length comparison according to tomb size groups</w:t>
        </w:r>
        <w:r w:rsidR="00EC5583">
          <w:rPr>
            <w:rStyle w:val="Collegamentoipertestuale"/>
            <w:noProof/>
          </w:rPr>
          <w:t>,</w:t>
        </w:r>
        <w:r w:rsidR="0014173B" w:rsidRPr="003E163E">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_Toc520212538 \h </w:instrText>
        </w:r>
        <w:r w:rsidR="0014173B">
          <w:rPr>
            <w:noProof/>
            <w:webHidden/>
          </w:rPr>
        </w:r>
        <w:r w:rsidR="0014173B">
          <w:rPr>
            <w:noProof/>
            <w:webHidden/>
          </w:rPr>
          <w:fldChar w:fldCharType="separate"/>
        </w:r>
        <w:r w:rsidR="00940F6A">
          <w:rPr>
            <w:noProof/>
            <w:webHidden/>
          </w:rPr>
          <w:t>119</w:t>
        </w:r>
        <w:r w:rsidR="0014173B">
          <w:rPr>
            <w:noProof/>
            <w:webHidden/>
          </w:rPr>
          <w:fldChar w:fldCharType="end"/>
        </w:r>
      </w:hyperlink>
    </w:p>
    <w:p w14:paraId="339530CF" w14:textId="5E904E5D" w:rsidR="0014173B" w:rsidRDefault="00422526">
      <w:pPr>
        <w:pStyle w:val="Indicedellefigure"/>
        <w:tabs>
          <w:tab w:val="right" w:leader="dot" w:pos="8488"/>
        </w:tabs>
        <w:rPr>
          <w:rFonts w:asciiTheme="minorHAnsi" w:hAnsiTheme="minorHAnsi" w:cstheme="minorBidi"/>
          <w:noProof/>
          <w:szCs w:val="22"/>
          <w:lang w:eastAsia="en-GB"/>
        </w:rPr>
      </w:pPr>
      <w:hyperlink w:anchor="_Toc520212539" w:history="1">
        <w:r w:rsidR="0014173B" w:rsidRPr="003E163E">
          <w:rPr>
            <w:rStyle w:val="Collegamentoipertestuale"/>
            <w:noProof/>
          </w:rPr>
          <w:t>Table 3-5</w:t>
        </w:r>
        <w:r w:rsidR="00D5122E">
          <w:rPr>
            <w:rStyle w:val="Collegamentoipertestuale"/>
            <w:noProof/>
          </w:rPr>
          <w:t>1a</w:t>
        </w:r>
        <w:r w:rsidR="0014173B" w:rsidRPr="003E163E">
          <w:rPr>
            <w:rStyle w:val="Collegamentoipertestuale"/>
            <w:noProof/>
          </w:rPr>
          <w:t>. Occurrence of monumental features in Central area</w:t>
        </w:r>
        <w:r w:rsidR="0014173B">
          <w:rPr>
            <w:noProof/>
            <w:webHidden/>
          </w:rPr>
          <w:tab/>
        </w:r>
        <w:r w:rsidR="0014173B">
          <w:rPr>
            <w:noProof/>
            <w:webHidden/>
          </w:rPr>
          <w:fldChar w:fldCharType="begin"/>
        </w:r>
        <w:r w:rsidR="0014173B">
          <w:rPr>
            <w:noProof/>
            <w:webHidden/>
          </w:rPr>
          <w:instrText xml:space="preserve"> PAGEREF _Toc520212539 \h </w:instrText>
        </w:r>
        <w:r w:rsidR="0014173B">
          <w:rPr>
            <w:noProof/>
            <w:webHidden/>
          </w:rPr>
        </w:r>
        <w:r w:rsidR="0014173B">
          <w:rPr>
            <w:noProof/>
            <w:webHidden/>
          </w:rPr>
          <w:fldChar w:fldCharType="separate"/>
        </w:r>
        <w:r w:rsidR="00940F6A">
          <w:rPr>
            <w:noProof/>
            <w:webHidden/>
          </w:rPr>
          <w:t>119</w:t>
        </w:r>
        <w:r w:rsidR="0014173B">
          <w:rPr>
            <w:noProof/>
            <w:webHidden/>
          </w:rPr>
          <w:fldChar w:fldCharType="end"/>
        </w:r>
      </w:hyperlink>
    </w:p>
    <w:p w14:paraId="7D7E370F" w14:textId="1AB2D742" w:rsidR="0014173B" w:rsidRDefault="00874C0C">
      <w:pPr>
        <w:pStyle w:val="Indicedellefigure"/>
        <w:tabs>
          <w:tab w:val="right" w:leader="dot" w:pos="8488"/>
        </w:tabs>
        <w:rPr>
          <w:rFonts w:asciiTheme="minorHAnsi" w:hAnsiTheme="minorHAnsi" w:cstheme="minorBidi"/>
          <w:noProof/>
          <w:szCs w:val="22"/>
          <w:lang w:eastAsia="en-GB"/>
        </w:rPr>
      </w:pPr>
      <w:hyperlink w:anchor="_Toc520212540" w:history="1">
        <w:r w:rsidR="0014173B" w:rsidRPr="003E163E">
          <w:rPr>
            <w:rStyle w:val="Collegamentoipertestuale"/>
            <w:noProof/>
          </w:rPr>
          <w:t>Table 3-5</w:t>
        </w:r>
        <w:r w:rsidR="00D5122E">
          <w:rPr>
            <w:rStyle w:val="Collegamentoipertestuale"/>
            <w:noProof/>
          </w:rPr>
          <w:t>2</w:t>
        </w:r>
        <w:r w:rsidR="0014173B" w:rsidRPr="003E163E">
          <w:rPr>
            <w:rStyle w:val="Collegamentoipertestuale"/>
            <w:noProof/>
          </w:rPr>
          <w:t>. Larnax numbers in relation to tomb size</w:t>
        </w:r>
        <w:r w:rsidR="00504CCA">
          <w:rPr>
            <w:rStyle w:val="Collegamentoipertestuale"/>
            <w:noProof/>
          </w:rPr>
          <w:t>,</w:t>
        </w:r>
        <w:r w:rsidR="0014173B" w:rsidRPr="003E163E">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_Toc520212540 \h </w:instrText>
        </w:r>
        <w:r w:rsidR="0014173B">
          <w:rPr>
            <w:noProof/>
            <w:webHidden/>
          </w:rPr>
        </w:r>
        <w:r w:rsidR="0014173B">
          <w:rPr>
            <w:noProof/>
            <w:webHidden/>
          </w:rPr>
          <w:fldChar w:fldCharType="separate"/>
        </w:r>
        <w:r w:rsidR="00940F6A">
          <w:rPr>
            <w:noProof/>
            <w:webHidden/>
          </w:rPr>
          <w:t>120</w:t>
        </w:r>
        <w:r w:rsidR="0014173B">
          <w:rPr>
            <w:noProof/>
            <w:webHidden/>
          </w:rPr>
          <w:fldChar w:fldCharType="end"/>
        </w:r>
      </w:hyperlink>
    </w:p>
    <w:p w14:paraId="6E132DB0" w14:textId="59F8C03D" w:rsidR="0014173B" w:rsidRDefault="00874C0C">
      <w:pPr>
        <w:pStyle w:val="Indicedellefigure"/>
        <w:tabs>
          <w:tab w:val="right" w:leader="dot" w:pos="8488"/>
        </w:tabs>
        <w:rPr>
          <w:rFonts w:asciiTheme="minorHAnsi" w:hAnsiTheme="minorHAnsi" w:cstheme="minorBidi"/>
          <w:noProof/>
          <w:szCs w:val="22"/>
          <w:lang w:eastAsia="en-GB"/>
        </w:rPr>
      </w:pPr>
      <w:hyperlink w:anchor="_Toc520212541" w:history="1">
        <w:r w:rsidR="0014173B" w:rsidRPr="003E163E">
          <w:rPr>
            <w:rStyle w:val="Collegamentoipertestuale"/>
            <w:noProof/>
          </w:rPr>
          <w:t>Table 3-52</w:t>
        </w:r>
        <w:r w:rsidR="00D5122E">
          <w:rPr>
            <w:rStyle w:val="Collegamentoipertestuale"/>
            <w:noProof/>
          </w:rPr>
          <w:t>a</w:t>
        </w:r>
        <w:r w:rsidR="0014173B" w:rsidRPr="003E163E">
          <w:rPr>
            <w:rStyle w:val="Collegamentoipertestuale"/>
            <w:noProof/>
          </w:rPr>
          <w:t>. Space reserved to a larnax within a tomb</w:t>
        </w:r>
        <w:r w:rsidR="00504CCA">
          <w:rPr>
            <w:rStyle w:val="Collegamentoipertestuale"/>
            <w:noProof/>
          </w:rPr>
          <w:t>,</w:t>
        </w:r>
        <w:r w:rsidR="0014173B" w:rsidRPr="003E163E">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_Toc520212541 \h </w:instrText>
        </w:r>
        <w:r w:rsidR="0014173B">
          <w:rPr>
            <w:noProof/>
            <w:webHidden/>
          </w:rPr>
        </w:r>
        <w:r w:rsidR="0014173B">
          <w:rPr>
            <w:noProof/>
            <w:webHidden/>
          </w:rPr>
          <w:fldChar w:fldCharType="separate"/>
        </w:r>
        <w:r w:rsidR="00940F6A">
          <w:rPr>
            <w:noProof/>
            <w:webHidden/>
          </w:rPr>
          <w:t>120</w:t>
        </w:r>
        <w:r w:rsidR="0014173B">
          <w:rPr>
            <w:noProof/>
            <w:webHidden/>
          </w:rPr>
          <w:fldChar w:fldCharType="end"/>
        </w:r>
      </w:hyperlink>
    </w:p>
    <w:p w14:paraId="70CCA0DC" w14:textId="36F3C604" w:rsidR="0014173B" w:rsidRDefault="00874C0C">
      <w:pPr>
        <w:pStyle w:val="Indicedellefigure"/>
        <w:tabs>
          <w:tab w:val="right" w:leader="dot" w:pos="8488"/>
        </w:tabs>
        <w:rPr>
          <w:rFonts w:asciiTheme="minorHAnsi" w:hAnsiTheme="minorHAnsi" w:cstheme="minorBidi"/>
          <w:noProof/>
          <w:szCs w:val="22"/>
          <w:lang w:eastAsia="en-GB"/>
        </w:rPr>
      </w:pPr>
      <w:hyperlink w:anchor="_Toc520212542" w:history="1">
        <w:r w:rsidR="0014173B" w:rsidRPr="003E163E">
          <w:rPr>
            <w:rStyle w:val="Collegamentoipertestuale"/>
            <w:noProof/>
          </w:rPr>
          <w:t>Table 3-53. Number of larnakes per tomb</w:t>
        </w:r>
        <w:r w:rsidR="00504CCA">
          <w:rPr>
            <w:rStyle w:val="Collegamentoipertestuale"/>
            <w:noProof/>
          </w:rPr>
          <w:t>,</w:t>
        </w:r>
        <w:r w:rsidR="0014173B" w:rsidRPr="003E163E">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_Toc520212542 \h </w:instrText>
        </w:r>
        <w:r w:rsidR="0014173B">
          <w:rPr>
            <w:noProof/>
            <w:webHidden/>
          </w:rPr>
        </w:r>
        <w:r w:rsidR="0014173B">
          <w:rPr>
            <w:noProof/>
            <w:webHidden/>
          </w:rPr>
          <w:fldChar w:fldCharType="separate"/>
        </w:r>
        <w:r w:rsidR="00940F6A">
          <w:rPr>
            <w:noProof/>
            <w:webHidden/>
          </w:rPr>
          <w:t>120</w:t>
        </w:r>
        <w:r w:rsidR="0014173B">
          <w:rPr>
            <w:noProof/>
            <w:webHidden/>
          </w:rPr>
          <w:fldChar w:fldCharType="end"/>
        </w:r>
      </w:hyperlink>
    </w:p>
    <w:p w14:paraId="754415B9" w14:textId="4A89193A" w:rsidR="0014173B" w:rsidRDefault="00422526">
      <w:pPr>
        <w:pStyle w:val="Indicedellefigure"/>
        <w:tabs>
          <w:tab w:val="right" w:leader="dot" w:pos="8488"/>
        </w:tabs>
        <w:rPr>
          <w:rFonts w:asciiTheme="minorHAnsi" w:hAnsiTheme="minorHAnsi" w:cstheme="minorBidi"/>
          <w:noProof/>
          <w:szCs w:val="22"/>
          <w:lang w:eastAsia="en-GB"/>
        </w:rPr>
      </w:pPr>
      <w:hyperlink w:anchor="_Toc520212543" w:history="1">
        <w:r w:rsidR="0014173B" w:rsidRPr="003E163E">
          <w:rPr>
            <w:rStyle w:val="Collegamentoipertestuale"/>
            <w:noProof/>
          </w:rPr>
          <w:t>Table 3-54. Occurrence of interment types in Central area</w:t>
        </w:r>
        <w:r w:rsidR="0014173B">
          <w:rPr>
            <w:noProof/>
            <w:webHidden/>
          </w:rPr>
          <w:tab/>
        </w:r>
        <w:r w:rsidR="0014173B">
          <w:rPr>
            <w:noProof/>
            <w:webHidden/>
          </w:rPr>
          <w:fldChar w:fldCharType="begin"/>
        </w:r>
        <w:r w:rsidR="0014173B">
          <w:rPr>
            <w:noProof/>
            <w:webHidden/>
          </w:rPr>
          <w:instrText xml:space="preserve"> PAGEREF _Toc520212543 \h </w:instrText>
        </w:r>
        <w:r w:rsidR="0014173B">
          <w:rPr>
            <w:noProof/>
            <w:webHidden/>
          </w:rPr>
        </w:r>
        <w:r w:rsidR="0014173B">
          <w:rPr>
            <w:noProof/>
            <w:webHidden/>
          </w:rPr>
          <w:fldChar w:fldCharType="separate"/>
        </w:r>
        <w:r w:rsidR="00940F6A">
          <w:rPr>
            <w:noProof/>
            <w:webHidden/>
          </w:rPr>
          <w:t>121</w:t>
        </w:r>
        <w:r w:rsidR="0014173B">
          <w:rPr>
            <w:noProof/>
            <w:webHidden/>
          </w:rPr>
          <w:fldChar w:fldCharType="end"/>
        </w:r>
      </w:hyperlink>
    </w:p>
    <w:p w14:paraId="50025982" w14:textId="47E8FD2D" w:rsidR="0014173B" w:rsidRDefault="00874C0C">
      <w:pPr>
        <w:pStyle w:val="Indicedellefigure"/>
        <w:tabs>
          <w:tab w:val="right" w:leader="dot" w:pos="8488"/>
        </w:tabs>
        <w:rPr>
          <w:rFonts w:asciiTheme="minorHAnsi" w:hAnsiTheme="minorHAnsi" w:cstheme="minorBidi"/>
          <w:noProof/>
          <w:szCs w:val="22"/>
          <w:lang w:eastAsia="en-GB"/>
        </w:rPr>
      </w:pPr>
      <w:hyperlink w:anchor="_Toc520212544" w:history="1">
        <w:r w:rsidR="0014173B" w:rsidRPr="003E163E">
          <w:rPr>
            <w:rStyle w:val="Collegamentoipertestuale"/>
            <w:noProof/>
          </w:rPr>
          <w:t>Table 3-55. LM III burial locations</w:t>
        </w:r>
        <w:r w:rsidR="00504CCA">
          <w:rPr>
            <w:rStyle w:val="Collegamentoipertestuale"/>
            <w:noProof/>
          </w:rPr>
          <w:t>,</w:t>
        </w:r>
        <w:r w:rsidR="0014173B" w:rsidRPr="003E163E">
          <w:rPr>
            <w:rStyle w:val="Collegamentoipertestuale"/>
            <w:noProof/>
          </w:rPr>
          <w:t xml:space="preserve"> Mid-East area</w:t>
        </w:r>
        <w:r w:rsidR="00504CCA">
          <w:rPr>
            <w:rStyle w:val="Collegamentoipertestuale"/>
            <w:noProof/>
          </w:rPr>
          <w:t>,</w:t>
        </w:r>
        <w:r w:rsidR="0014173B" w:rsidRPr="003E163E">
          <w:rPr>
            <w:rStyle w:val="Collegamentoipertestuale"/>
            <w:noProof/>
          </w:rPr>
          <w:t xml:space="preserve"> in detail</w:t>
        </w:r>
        <w:r w:rsidR="0014173B">
          <w:rPr>
            <w:noProof/>
            <w:webHidden/>
          </w:rPr>
          <w:tab/>
        </w:r>
        <w:r w:rsidR="0014173B">
          <w:rPr>
            <w:noProof/>
            <w:webHidden/>
          </w:rPr>
          <w:fldChar w:fldCharType="begin"/>
        </w:r>
        <w:r w:rsidR="0014173B">
          <w:rPr>
            <w:noProof/>
            <w:webHidden/>
          </w:rPr>
          <w:instrText xml:space="preserve"> PAGEREF _Toc520212544 \h </w:instrText>
        </w:r>
        <w:r w:rsidR="0014173B">
          <w:rPr>
            <w:noProof/>
            <w:webHidden/>
          </w:rPr>
        </w:r>
        <w:r w:rsidR="0014173B">
          <w:rPr>
            <w:noProof/>
            <w:webHidden/>
          </w:rPr>
          <w:fldChar w:fldCharType="separate"/>
        </w:r>
        <w:r w:rsidR="00940F6A">
          <w:rPr>
            <w:noProof/>
            <w:webHidden/>
          </w:rPr>
          <w:t>125</w:t>
        </w:r>
        <w:r w:rsidR="0014173B">
          <w:rPr>
            <w:noProof/>
            <w:webHidden/>
          </w:rPr>
          <w:fldChar w:fldCharType="end"/>
        </w:r>
      </w:hyperlink>
    </w:p>
    <w:p w14:paraId="0530C172" w14:textId="5045774C" w:rsidR="0014173B" w:rsidRDefault="00874C0C">
      <w:pPr>
        <w:pStyle w:val="Indicedellefigure"/>
        <w:tabs>
          <w:tab w:val="right" w:leader="dot" w:pos="8488"/>
        </w:tabs>
        <w:rPr>
          <w:rFonts w:asciiTheme="minorHAnsi" w:hAnsiTheme="minorHAnsi" w:cstheme="minorBidi"/>
          <w:noProof/>
          <w:szCs w:val="22"/>
          <w:lang w:eastAsia="en-GB"/>
        </w:rPr>
      </w:pPr>
      <w:hyperlink w:anchor="_Toc520212545" w:history="1">
        <w:r w:rsidR="0014173B" w:rsidRPr="003E163E">
          <w:rPr>
            <w:rStyle w:val="Collegamentoipertestuale"/>
            <w:noProof/>
          </w:rPr>
          <w:t>Table 3-56. Percentage of pre-existing cemeteries reused in LM III with larnax burials</w:t>
        </w:r>
        <w:r w:rsidR="00504CCA">
          <w:rPr>
            <w:rStyle w:val="Collegamentoipertestuale"/>
            <w:noProof/>
          </w:rPr>
          <w:t>,</w:t>
        </w:r>
        <w:r w:rsidR="0014173B" w:rsidRPr="003E163E">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_Toc520212545 \h </w:instrText>
        </w:r>
        <w:r w:rsidR="0014173B">
          <w:rPr>
            <w:noProof/>
            <w:webHidden/>
          </w:rPr>
        </w:r>
        <w:r w:rsidR="0014173B">
          <w:rPr>
            <w:noProof/>
            <w:webHidden/>
          </w:rPr>
          <w:fldChar w:fldCharType="separate"/>
        </w:r>
        <w:r w:rsidR="00940F6A">
          <w:rPr>
            <w:noProof/>
            <w:webHidden/>
          </w:rPr>
          <w:t>126</w:t>
        </w:r>
        <w:r w:rsidR="0014173B">
          <w:rPr>
            <w:noProof/>
            <w:webHidden/>
          </w:rPr>
          <w:fldChar w:fldCharType="end"/>
        </w:r>
      </w:hyperlink>
    </w:p>
    <w:p w14:paraId="3A79F780" w14:textId="3BACE6C6" w:rsidR="0014173B" w:rsidRDefault="00874C0C">
      <w:pPr>
        <w:pStyle w:val="Indicedellefigure"/>
        <w:tabs>
          <w:tab w:val="right" w:leader="dot" w:pos="8488"/>
        </w:tabs>
        <w:rPr>
          <w:rFonts w:asciiTheme="minorHAnsi" w:hAnsiTheme="minorHAnsi" w:cstheme="minorBidi"/>
          <w:noProof/>
          <w:szCs w:val="22"/>
          <w:lang w:eastAsia="en-GB"/>
        </w:rPr>
      </w:pPr>
      <w:hyperlink w:anchor="_Toc520212546" w:history="1">
        <w:r w:rsidR="0014173B" w:rsidRPr="003E163E">
          <w:rPr>
            <w:rStyle w:val="Collegamentoipertestuale"/>
            <w:noProof/>
          </w:rPr>
          <w:t>Table 3-57. Tomb types per cemetery</w:t>
        </w:r>
        <w:r w:rsidR="00FE2348">
          <w:rPr>
            <w:rStyle w:val="Collegamentoipertestuale"/>
            <w:noProof/>
          </w:rPr>
          <w:t>,</w:t>
        </w:r>
        <w:r w:rsidR="0014173B" w:rsidRPr="003E163E">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_Toc520212546 \h </w:instrText>
        </w:r>
        <w:r w:rsidR="0014173B">
          <w:rPr>
            <w:noProof/>
            <w:webHidden/>
          </w:rPr>
        </w:r>
        <w:r w:rsidR="0014173B">
          <w:rPr>
            <w:noProof/>
            <w:webHidden/>
          </w:rPr>
          <w:fldChar w:fldCharType="separate"/>
        </w:r>
        <w:r w:rsidR="00940F6A">
          <w:rPr>
            <w:noProof/>
            <w:webHidden/>
          </w:rPr>
          <w:t>127</w:t>
        </w:r>
        <w:r w:rsidR="0014173B">
          <w:rPr>
            <w:noProof/>
            <w:webHidden/>
          </w:rPr>
          <w:fldChar w:fldCharType="end"/>
        </w:r>
      </w:hyperlink>
    </w:p>
    <w:p w14:paraId="7418AF1B" w14:textId="731E0A2D" w:rsidR="0014173B" w:rsidRDefault="00874C0C">
      <w:pPr>
        <w:pStyle w:val="Indicedellefigure"/>
        <w:tabs>
          <w:tab w:val="right" w:leader="dot" w:pos="8488"/>
        </w:tabs>
        <w:rPr>
          <w:rFonts w:asciiTheme="minorHAnsi" w:hAnsiTheme="minorHAnsi" w:cstheme="minorBidi"/>
          <w:noProof/>
          <w:szCs w:val="22"/>
          <w:lang w:eastAsia="en-GB"/>
        </w:rPr>
      </w:pPr>
      <w:hyperlink w:anchor="_Toc520212547" w:history="1">
        <w:r w:rsidR="0014173B" w:rsidRPr="003E163E">
          <w:rPr>
            <w:rStyle w:val="Collegamentoipertestuale"/>
            <w:noProof/>
          </w:rPr>
          <w:t>Table 3-58. Deposition methods adopted in the cemeteries with larnakes</w:t>
        </w:r>
        <w:r w:rsidR="00FE2348">
          <w:rPr>
            <w:rStyle w:val="Collegamentoipertestuale"/>
            <w:noProof/>
          </w:rPr>
          <w:t>,</w:t>
        </w:r>
        <w:r w:rsidR="0014173B" w:rsidRPr="003E163E">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_Toc520212547 \h </w:instrText>
        </w:r>
        <w:r w:rsidR="0014173B">
          <w:rPr>
            <w:noProof/>
            <w:webHidden/>
          </w:rPr>
        </w:r>
        <w:r w:rsidR="0014173B">
          <w:rPr>
            <w:noProof/>
            <w:webHidden/>
          </w:rPr>
          <w:fldChar w:fldCharType="separate"/>
        </w:r>
        <w:r w:rsidR="00940F6A">
          <w:rPr>
            <w:noProof/>
            <w:webHidden/>
          </w:rPr>
          <w:t>128</w:t>
        </w:r>
        <w:r w:rsidR="0014173B">
          <w:rPr>
            <w:noProof/>
            <w:webHidden/>
          </w:rPr>
          <w:fldChar w:fldCharType="end"/>
        </w:r>
      </w:hyperlink>
    </w:p>
    <w:p w14:paraId="72029531" w14:textId="62794ECA" w:rsidR="0014173B" w:rsidRDefault="00874C0C">
      <w:pPr>
        <w:pStyle w:val="Indicedellefigure"/>
        <w:tabs>
          <w:tab w:val="right" w:leader="dot" w:pos="8488"/>
        </w:tabs>
        <w:rPr>
          <w:rFonts w:asciiTheme="minorHAnsi" w:hAnsiTheme="minorHAnsi" w:cstheme="minorBidi"/>
          <w:noProof/>
          <w:szCs w:val="22"/>
          <w:lang w:eastAsia="en-GB"/>
        </w:rPr>
      </w:pPr>
      <w:hyperlink w:anchor="_Toc520212548" w:history="1">
        <w:r w:rsidR="0014173B" w:rsidRPr="003E163E">
          <w:rPr>
            <w:rStyle w:val="Collegamentoipertestuale"/>
            <w:noProof/>
          </w:rPr>
          <w:t>Table 3-59. Tomb types associated with larnax by cemetery</w:t>
        </w:r>
        <w:r w:rsidR="00FE2348">
          <w:rPr>
            <w:rStyle w:val="Collegamentoipertestuale"/>
            <w:noProof/>
          </w:rPr>
          <w:t>,</w:t>
        </w:r>
        <w:r w:rsidR="0014173B" w:rsidRPr="003E163E">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_Toc520212548 \h </w:instrText>
        </w:r>
        <w:r w:rsidR="0014173B">
          <w:rPr>
            <w:noProof/>
            <w:webHidden/>
          </w:rPr>
        </w:r>
        <w:r w:rsidR="0014173B">
          <w:rPr>
            <w:noProof/>
            <w:webHidden/>
          </w:rPr>
          <w:fldChar w:fldCharType="separate"/>
        </w:r>
        <w:r w:rsidR="00940F6A">
          <w:rPr>
            <w:noProof/>
            <w:webHidden/>
          </w:rPr>
          <w:t>130</w:t>
        </w:r>
        <w:r w:rsidR="0014173B">
          <w:rPr>
            <w:noProof/>
            <w:webHidden/>
          </w:rPr>
          <w:fldChar w:fldCharType="end"/>
        </w:r>
      </w:hyperlink>
    </w:p>
    <w:p w14:paraId="682278B4" w14:textId="62D091B1" w:rsidR="0014173B" w:rsidRDefault="00874C0C">
      <w:pPr>
        <w:pStyle w:val="Indicedellefigure"/>
        <w:tabs>
          <w:tab w:val="right" w:leader="dot" w:pos="8488"/>
        </w:tabs>
        <w:rPr>
          <w:rFonts w:asciiTheme="minorHAnsi" w:hAnsiTheme="minorHAnsi" w:cstheme="minorBidi"/>
          <w:noProof/>
          <w:szCs w:val="22"/>
          <w:lang w:eastAsia="en-GB"/>
        </w:rPr>
      </w:pPr>
      <w:hyperlink w:anchor="_Toc520212549" w:history="1">
        <w:r w:rsidR="0014173B" w:rsidRPr="003E163E">
          <w:rPr>
            <w:rStyle w:val="Collegamentoipertestuale"/>
            <w:noProof/>
          </w:rPr>
          <w:t>Table 3-60. Tombs dimension</w:t>
        </w:r>
        <w:r w:rsidR="00FE2348">
          <w:rPr>
            <w:rStyle w:val="Collegamentoipertestuale"/>
            <w:noProof/>
          </w:rPr>
          <w:t>,</w:t>
        </w:r>
        <w:r w:rsidR="0014173B" w:rsidRPr="003E163E">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_Toc520212549 \h </w:instrText>
        </w:r>
        <w:r w:rsidR="0014173B">
          <w:rPr>
            <w:noProof/>
            <w:webHidden/>
          </w:rPr>
        </w:r>
        <w:r w:rsidR="0014173B">
          <w:rPr>
            <w:noProof/>
            <w:webHidden/>
          </w:rPr>
          <w:fldChar w:fldCharType="separate"/>
        </w:r>
        <w:r w:rsidR="00940F6A">
          <w:rPr>
            <w:noProof/>
            <w:webHidden/>
          </w:rPr>
          <w:t>130</w:t>
        </w:r>
        <w:r w:rsidR="0014173B">
          <w:rPr>
            <w:noProof/>
            <w:webHidden/>
          </w:rPr>
          <w:fldChar w:fldCharType="end"/>
        </w:r>
      </w:hyperlink>
    </w:p>
    <w:p w14:paraId="0D7D6DA1" w14:textId="76722C3B" w:rsidR="0014173B" w:rsidRDefault="00874C0C">
      <w:pPr>
        <w:pStyle w:val="Indicedellefigure"/>
        <w:tabs>
          <w:tab w:val="right" w:leader="dot" w:pos="8488"/>
        </w:tabs>
        <w:rPr>
          <w:rFonts w:asciiTheme="minorHAnsi" w:hAnsiTheme="minorHAnsi" w:cstheme="minorBidi"/>
          <w:noProof/>
          <w:szCs w:val="22"/>
          <w:lang w:eastAsia="en-GB"/>
        </w:rPr>
      </w:pPr>
      <w:hyperlink w:anchor="_Toc520212550" w:history="1">
        <w:r w:rsidR="0014173B" w:rsidRPr="003E163E">
          <w:rPr>
            <w:rStyle w:val="Collegamentoipertestuale"/>
            <w:noProof/>
          </w:rPr>
          <w:t>Table 3-61. Tomb size groups</w:t>
        </w:r>
        <w:r w:rsidR="00FE2348">
          <w:rPr>
            <w:rStyle w:val="Collegamentoipertestuale"/>
            <w:noProof/>
          </w:rPr>
          <w:t>,</w:t>
        </w:r>
        <w:r w:rsidR="0014173B" w:rsidRPr="003E163E">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_Toc520212550 \h </w:instrText>
        </w:r>
        <w:r w:rsidR="0014173B">
          <w:rPr>
            <w:noProof/>
            <w:webHidden/>
          </w:rPr>
        </w:r>
        <w:r w:rsidR="0014173B">
          <w:rPr>
            <w:noProof/>
            <w:webHidden/>
          </w:rPr>
          <w:fldChar w:fldCharType="separate"/>
        </w:r>
        <w:r w:rsidR="00940F6A">
          <w:rPr>
            <w:noProof/>
            <w:webHidden/>
          </w:rPr>
          <w:t>130</w:t>
        </w:r>
        <w:r w:rsidR="0014173B">
          <w:rPr>
            <w:noProof/>
            <w:webHidden/>
          </w:rPr>
          <w:fldChar w:fldCharType="end"/>
        </w:r>
      </w:hyperlink>
    </w:p>
    <w:p w14:paraId="1FE383F8" w14:textId="1517DA15" w:rsidR="0014173B" w:rsidRDefault="00874C0C">
      <w:pPr>
        <w:pStyle w:val="Indicedellefigure"/>
        <w:tabs>
          <w:tab w:val="right" w:leader="dot" w:pos="8488"/>
        </w:tabs>
        <w:rPr>
          <w:rFonts w:asciiTheme="minorHAnsi" w:hAnsiTheme="minorHAnsi" w:cstheme="minorBidi"/>
          <w:noProof/>
          <w:szCs w:val="22"/>
          <w:lang w:eastAsia="en-GB"/>
        </w:rPr>
      </w:pPr>
      <w:hyperlink w:anchor="_Toc520212551" w:history="1">
        <w:r w:rsidR="0014173B" w:rsidRPr="003E163E">
          <w:rPr>
            <w:rStyle w:val="Collegamentoipertestuale"/>
            <w:noProof/>
          </w:rPr>
          <w:t>Table 3-62. Tombs size and dromos length comparison</w:t>
        </w:r>
        <w:r w:rsidR="00FE2348">
          <w:rPr>
            <w:rStyle w:val="Collegamentoipertestuale"/>
            <w:noProof/>
          </w:rPr>
          <w:t>,</w:t>
        </w:r>
        <w:r w:rsidR="0014173B" w:rsidRPr="003E163E">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_Toc520212551 \h </w:instrText>
        </w:r>
        <w:r w:rsidR="0014173B">
          <w:rPr>
            <w:noProof/>
            <w:webHidden/>
          </w:rPr>
        </w:r>
        <w:r w:rsidR="0014173B">
          <w:rPr>
            <w:noProof/>
            <w:webHidden/>
          </w:rPr>
          <w:fldChar w:fldCharType="separate"/>
        </w:r>
        <w:r w:rsidR="00940F6A">
          <w:rPr>
            <w:noProof/>
            <w:webHidden/>
          </w:rPr>
          <w:t>131</w:t>
        </w:r>
        <w:r w:rsidR="0014173B">
          <w:rPr>
            <w:noProof/>
            <w:webHidden/>
          </w:rPr>
          <w:fldChar w:fldCharType="end"/>
        </w:r>
      </w:hyperlink>
    </w:p>
    <w:p w14:paraId="764A89B2" w14:textId="4F161AD7" w:rsidR="0014173B" w:rsidRDefault="00874C0C">
      <w:pPr>
        <w:pStyle w:val="Indicedellefigure"/>
        <w:tabs>
          <w:tab w:val="right" w:leader="dot" w:pos="8488"/>
        </w:tabs>
        <w:rPr>
          <w:rFonts w:asciiTheme="minorHAnsi" w:hAnsiTheme="minorHAnsi" w:cstheme="minorBidi"/>
          <w:noProof/>
          <w:szCs w:val="22"/>
          <w:lang w:eastAsia="en-GB"/>
        </w:rPr>
      </w:pPr>
      <w:hyperlink w:anchor="_Toc520212552" w:history="1">
        <w:r w:rsidR="0014173B" w:rsidRPr="003E163E">
          <w:rPr>
            <w:rStyle w:val="Collegamentoipertestuale"/>
            <w:noProof/>
          </w:rPr>
          <w:t>Table 3-63. Tomb size and dromos length comparison according to tomb size groups</w:t>
        </w:r>
        <w:r w:rsidR="00FE2348">
          <w:rPr>
            <w:rStyle w:val="Collegamentoipertestuale"/>
            <w:noProof/>
          </w:rPr>
          <w:t>,</w:t>
        </w:r>
        <w:r w:rsidR="0014173B" w:rsidRPr="003E163E">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_Toc520212552 \h </w:instrText>
        </w:r>
        <w:r w:rsidR="0014173B">
          <w:rPr>
            <w:noProof/>
            <w:webHidden/>
          </w:rPr>
        </w:r>
        <w:r w:rsidR="0014173B">
          <w:rPr>
            <w:noProof/>
            <w:webHidden/>
          </w:rPr>
          <w:fldChar w:fldCharType="separate"/>
        </w:r>
        <w:r w:rsidR="00940F6A">
          <w:rPr>
            <w:noProof/>
            <w:webHidden/>
          </w:rPr>
          <w:t>131</w:t>
        </w:r>
        <w:r w:rsidR="0014173B">
          <w:rPr>
            <w:noProof/>
            <w:webHidden/>
          </w:rPr>
          <w:fldChar w:fldCharType="end"/>
        </w:r>
      </w:hyperlink>
    </w:p>
    <w:p w14:paraId="2491723E" w14:textId="78025876" w:rsidR="0014173B" w:rsidRDefault="00422526">
      <w:pPr>
        <w:pStyle w:val="Indicedellefigure"/>
        <w:tabs>
          <w:tab w:val="right" w:leader="dot" w:pos="8488"/>
        </w:tabs>
        <w:rPr>
          <w:rFonts w:asciiTheme="minorHAnsi" w:hAnsiTheme="minorHAnsi" w:cstheme="minorBidi"/>
          <w:noProof/>
          <w:szCs w:val="22"/>
          <w:lang w:eastAsia="en-GB"/>
        </w:rPr>
      </w:pPr>
      <w:hyperlink w:anchor="_Toc520212553" w:history="1">
        <w:r w:rsidR="0014173B" w:rsidRPr="003E163E">
          <w:rPr>
            <w:rStyle w:val="Collegamentoipertestuale"/>
            <w:noProof/>
          </w:rPr>
          <w:t>Table 3-64. Occurrence of monumental features in Mid-East area</w:t>
        </w:r>
        <w:r w:rsidR="0014173B">
          <w:rPr>
            <w:noProof/>
            <w:webHidden/>
          </w:rPr>
          <w:tab/>
        </w:r>
        <w:r w:rsidR="0014173B">
          <w:rPr>
            <w:noProof/>
            <w:webHidden/>
          </w:rPr>
          <w:fldChar w:fldCharType="begin"/>
        </w:r>
        <w:r w:rsidR="0014173B">
          <w:rPr>
            <w:noProof/>
            <w:webHidden/>
          </w:rPr>
          <w:instrText xml:space="preserve"> PAGEREF _Toc520212553 \h </w:instrText>
        </w:r>
        <w:r w:rsidR="0014173B">
          <w:rPr>
            <w:noProof/>
            <w:webHidden/>
          </w:rPr>
        </w:r>
        <w:r w:rsidR="0014173B">
          <w:rPr>
            <w:noProof/>
            <w:webHidden/>
          </w:rPr>
          <w:fldChar w:fldCharType="separate"/>
        </w:r>
        <w:r w:rsidR="00940F6A">
          <w:rPr>
            <w:noProof/>
            <w:webHidden/>
          </w:rPr>
          <w:t>131</w:t>
        </w:r>
        <w:r w:rsidR="0014173B">
          <w:rPr>
            <w:noProof/>
            <w:webHidden/>
          </w:rPr>
          <w:fldChar w:fldCharType="end"/>
        </w:r>
      </w:hyperlink>
    </w:p>
    <w:p w14:paraId="7AD882AC" w14:textId="1E108153" w:rsidR="0014173B" w:rsidRDefault="00874C0C">
      <w:pPr>
        <w:pStyle w:val="Indicedellefigure"/>
        <w:tabs>
          <w:tab w:val="right" w:leader="dot" w:pos="8488"/>
        </w:tabs>
        <w:rPr>
          <w:rFonts w:asciiTheme="minorHAnsi" w:hAnsiTheme="minorHAnsi" w:cstheme="minorBidi"/>
          <w:noProof/>
          <w:szCs w:val="22"/>
          <w:lang w:eastAsia="en-GB"/>
        </w:rPr>
      </w:pPr>
      <w:hyperlink w:anchor="_Toc520212554" w:history="1">
        <w:r w:rsidR="0014173B" w:rsidRPr="003E163E">
          <w:rPr>
            <w:rStyle w:val="Collegamentoipertestuale"/>
            <w:noProof/>
          </w:rPr>
          <w:t>Table 3-65. Larnax numbers in relation to tomb size</w:t>
        </w:r>
        <w:r w:rsidR="00FE2348">
          <w:rPr>
            <w:rStyle w:val="Collegamentoipertestuale"/>
            <w:noProof/>
          </w:rPr>
          <w:t>,</w:t>
        </w:r>
        <w:r w:rsidR="0014173B" w:rsidRPr="003E163E">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_Toc520212554 \h </w:instrText>
        </w:r>
        <w:r w:rsidR="0014173B">
          <w:rPr>
            <w:noProof/>
            <w:webHidden/>
          </w:rPr>
        </w:r>
        <w:r w:rsidR="0014173B">
          <w:rPr>
            <w:noProof/>
            <w:webHidden/>
          </w:rPr>
          <w:fldChar w:fldCharType="separate"/>
        </w:r>
        <w:r w:rsidR="00940F6A">
          <w:rPr>
            <w:noProof/>
            <w:webHidden/>
          </w:rPr>
          <w:t>132</w:t>
        </w:r>
        <w:r w:rsidR="0014173B">
          <w:rPr>
            <w:noProof/>
            <w:webHidden/>
          </w:rPr>
          <w:fldChar w:fldCharType="end"/>
        </w:r>
      </w:hyperlink>
    </w:p>
    <w:p w14:paraId="37912D1D" w14:textId="25379E0D" w:rsidR="00D5122E" w:rsidRPr="00D5122E" w:rsidRDefault="00D5122E" w:rsidP="00D5122E">
      <w:pPr>
        <w:pStyle w:val="Testofumetto"/>
        <w:rPr>
          <w:noProof/>
          <w:sz w:val="22"/>
        </w:rPr>
      </w:pPr>
      <w:r w:rsidRPr="00D5122E">
        <w:rPr>
          <w:b w:val="0"/>
          <w:noProof/>
          <w:sz w:val="22"/>
        </w:rPr>
        <w:t>Table 3-66.</w:t>
      </w:r>
      <w:r w:rsidRPr="00D5122E">
        <w:rPr>
          <w:noProof/>
          <w:sz w:val="22"/>
        </w:rPr>
        <w:t xml:space="preserve"> </w:t>
      </w:r>
      <w:r w:rsidRPr="00D5122E">
        <w:rPr>
          <w:rStyle w:val="TestofumettoCarattere"/>
          <w:noProof/>
          <w:sz w:val="22"/>
        </w:rPr>
        <w:t>Space reserved to a larnax within a tomb Mid-East area</w:t>
      </w:r>
      <w:r w:rsidRPr="00D5122E">
        <w:rPr>
          <w:rStyle w:val="TestofumettoCarattere"/>
          <w:noProof/>
          <w:sz w:val="16"/>
        </w:rPr>
        <w:t>……………</w:t>
      </w:r>
      <w:r>
        <w:rPr>
          <w:rStyle w:val="TestofumettoCarattere"/>
          <w:noProof/>
          <w:sz w:val="16"/>
        </w:rPr>
        <w:t>..</w:t>
      </w:r>
      <w:r w:rsidRPr="00D5122E">
        <w:rPr>
          <w:rStyle w:val="TestofumettoCarattere"/>
          <w:noProof/>
          <w:sz w:val="16"/>
        </w:rPr>
        <w:t>…</w:t>
      </w:r>
      <w:r>
        <w:rPr>
          <w:rStyle w:val="TestofumettoCarattere"/>
          <w:noProof/>
          <w:sz w:val="16"/>
        </w:rPr>
        <w:t>…………</w:t>
      </w:r>
      <w:r w:rsidRPr="00D5122E">
        <w:rPr>
          <w:rStyle w:val="TestofumettoCarattere"/>
          <w:noProof/>
          <w:sz w:val="16"/>
        </w:rPr>
        <w:t>………</w:t>
      </w:r>
      <w:r w:rsidRPr="00D5122E">
        <w:rPr>
          <w:rStyle w:val="TestofumettoCarattere"/>
          <w:noProof/>
          <w:sz w:val="24"/>
          <w:szCs w:val="24"/>
        </w:rPr>
        <w:t>133</w:t>
      </w:r>
    </w:p>
    <w:p w14:paraId="5F19EBA1" w14:textId="1E26A59F" w:rsidR="0014173B" w:rsidRDefault="00874C0C">
      <w:pPr>
        <w:pStyle w:val="Indicedellefigure"/>
        <w:tabs>
          <w:tab w:val="right" w:leader="dot" w:pos="8488"/>
        </w:tabs>
        <w:rPr>
          <w:rFonts w:asciiTheme="minorHAnsi" w:hAnsiTheme="minorHAnsi" w:cstheme="minorBidi"/>
          <w:noProof/>
          <w:szCs w:val="22"/>
          <w:lang w:eastAsia="en-GB"/>
        </w:rPr>
      </w:pPr>
      <w:hyperlink w:anchor="_Toc520212555" w:history="1">
        <w:r w:rsidR="0014173B" w:rsidRPr="003E163E">
          <w:rPr>
            <w:rStyle w:val="Collegamentoipertestuale"/>
            <w:noProof/>
          </w:rPr>
          <w:t>Table 3-67. Number of larnakes per tomb</w:t>
        </w:r>
        <w:r w:rsidR="00FE2348">
          <w:rPr>
            <w:rStyle w:val="Collegamentoipertestuale"/>
            <w:noProof/>
          </w:rPr>
          <w:t>,</w:t>
        </w:r>
        <w:r w:rsidR="0014173B" w:rsidRPr="003E163E">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_Toc520212555 \h </w:instrText>
        </w:r>
        <w:r w:rsidR="0014173B">
          <w:rPr>
            <w:noProof/>
            <w:webHidden/>
          </w:rPr>
        </w:r>
        <w:r w:rsidR="0014173B">
          <w:rPr>
            <w:noProof/>
            <w:webHidden/>
          </w:rPr>
          <w:fldChar w:fldCharType="separate"/>
        </w:r>
        <w:r w:rsidR="00940F6A">
          <w:rPr>
            <w:noProof/>
            <w:webHidden/>
          </w:rPr>
          <w:t>132</w:t>
        </w:r>
        <w:r w:rsidR="0014173B">
          <w:rPr>
            <w:noProof/>
            <w:webHidden/>
          </w:rPr>
          <w:fldChar w:fldCharType="end"/>
        </w:r>
      </w:hyperlink>
    </w:p>
    <w:p w14:paraId="0071761B" w14:textId="4BAC8C78" w:rsidR="0014173B" w:rsidRDefault="00874C0C">
      <w:pPr>
        <w:pStyle w:val="Indicedellefigure"/>
        <w:tabs>
          <w:tab w:val="right" w:leader="dot" w:pos="8488"/>
        </w:tabs>
        <w:rPr>
          <w:rFonts w:asciiTheme="minorHAnsi" w:hAnsiTheme="minorHAnsi" w:cstheme="minorBidi"/>
          <w:noProof/>
          <w:szCs w:val="22"/>
          <w:lang w:eastAsia="en-GB"/>
        </w:rPr>
      </w:pPr>
      <w:hyperlink w:anchor="_Toc520212556" w:history="1">
        <w:r w:rsidR="0014173B" w:rsidRPr="003E163E">
          <w:rPr>
            <w:rStyle w:val="Collegamentoipertestuale"/>
            <w:noProof/>
          </w:rPr>
          <w:t>Table 3-68. Interment type occurrence</w:t>
        </w:r>
        <w:r w:rsidR="00FE2348">
          <w:rPr>
            <w:rStyle w:val="Collegamentoipertestuale"/>
            <w:noProof/>
          </w:rPr>
          <w:t>,</w:t>
        </w:r>
        <w:r w:rsidR="0014173B" w:rsidRPr="003E163E">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_Toc520212556 \h </w:instrText>
        </w:r>
        <w:r w:rsidR="0014173B">
          <w:rPr>
            <w:noProof/>
            <w:webHidden/>
          </w:rPr>
        </w:r>
        <w:r w:rsidR="0014173B">
          <w:rPr>
            <w:noProof/>
            <w:webHidden/>
          </w:rPr>
          <w:fldChar w:fldCharType="separate"/>
        </w:r>
        <w:r w:rsidR="00940F6A">
          <w:rPr>
            <w:noProof/>
            <w:webHidden/>
          </w:rPr>
          <w:t>133</w:t>
        </w:r>
        <w:r w:rsidR="0014173B">
          <w:rPr>
            <w:noProof/>
            <w:webHidden/>
          </w:rPr>
          <w:fldChar w:fldCharType="end"/>
        </w:r>
      </w:hyperlink>
    </w:p>
    <w:p w14:paraId="1BCC8B87" w14:textId="28462921" w:rsidR="0014173B" w:rsidRDefault="00874C0C">
      <w:pPr>
        <w:pStyle w:val="Indicedellefigure"/>
        <w:tabs>
          <w:tab w:val="right" w:leader="dot" w:pos="8488"/>
        </w:tabs>
        <w:rPr>
          <w:rFonts w:asciiTheme="minorHAnsi" w:hAnsiTheme="minorHAnsi" w:cstheme="minorBidi"/>
          <w:noProof/>
          <w:szCs w:val="22"/>
          <w:lang w:eastAsia="en-GB"/>
        </w:rPr>
      </w:pPr>
      <w:hyperlink w:anchor="_Toc520212557" w:history="1">
        <w:r w:rsidR="0014173B" w:rsidRPr="003E163E">
          <w:rPr>
            <w:rStyle w:val="Collegamentoipertestuale"/>
            <w:noProof/>
          </w:rPr>
          <w:t>Table 3-69. LM III burial locations</w:t>
        </w:r>
        <w:r w:rsidR="009549CA">
          <w:rPr>
            <w:rStyle w:val="Collegamentoipertestuale"/>
            <w:noProof/>
          </w:rPr>
          <w:t>,</w:t>
        </w:r>
        <w:r w:rsidR="0014173B" w:rsidRPr="003E163E">
          <w:rPr>
            <w:rStyle w:val="Collegamentoipertestuale"/>
            <w:noProof/>
          </w:rPr>
          <w:t xml:space="preserve"> Far-East area</w:t>
        </w:r>
        <w:r w:rsidR="009549CA">
          <w:rPr>
            <w:rStyle w:val="Collegamentoipertestuale"/>
            <w:noProof/>
          </w:rPr>
          <w:t>,</w:t>
        </w:r>
        <w:r w:rsidR="0014173B" w:rsidRPr="003E163E">
          <w:rPr>
            <w:rStyle w:val="Collegamentoipertestuale"/>
            <w:noProof/>
          </w:rPr>
          <w:t xml:space="preserve"> in detail</w:t>
        </w:r>
        <w:r w:rsidR="0014173B">
          <w:rPr>
            <w:noProof/>
            <w:webHidden/>
          </w:rPr>
          <w:tab/>
        </w:r>
        <w:r w:rsidR="0014173B">
          <w:rPr>
            <w:noProof/>
            <w:webHidden/>
          </w:rPr>
          <w:fldChar w:fldCharType="begin"/>
        </w:r>
        <w:r w:rsidR="0014173B">
          <w:rPr>
            <w:noProof/>
            <w:webHidden/>
          </w:rPr>
          <w:instrText xml:space="preserve"> PAGEREF _Toc520212557 \h </w:instrText>
        </w:r>
        <w:r w:rsidR="0014173B">
          <w:rPr>
            <w:noProof/>
            <w:webHidden/>
          </w:rPr>
        </w:r>
        <w:r w:rsidR="0014173B">
          <w:rPr>
            <w:noProof/>
            <w:webHidden/>
          </w:rPr>
          <w:fldChar w:fldCharType="separate"/>
        </w:r>
        <w:r w:rsidR="00940F6A">
          <w:rPr>
            <w:noProof/>
            <w:webHidden/>
          </w:rPr>
          <w:t>137</w:t>
        </w:r>
        <w:r w:rsidR="0014173B">
          <w:rPr>
            <w:noProof/>
            <w:webHidden/>
          </w:rPr>
          <w:fldChar w:fldCharType="end"/>
        </w:r>
      </w:hyperlink>
    </w:p>
    <w:p w14:paraId="111189D9" w14:textId="26A4A24B" w:rsidR="0014173B" w:rsidRDefault="00874C0C">
      <w:pPr>
        <w:pStyle w:val="Indicedellefigure"/>
        <w:tabs>
          <w:tab w:val="right" w:leader="dot" w:pos="8488"/>
        </w:tabs>
        <w:rPr>
          <w:rFonts w:asciiTheme="minorHAnsi" w:hAnsiTheme="minorHAnsi" w:cstheme="minorBidi"/>
          <w:noProof/>
          <w:szCs w:val="22"/>
          <w:lang w:eastAsia="en-GB"/>
        </w:rPr>
      </w:pPr>
      <w:hyperlink w:anchor="_Toc520212558" w:history="1">
        <w:r w:rsidR="0014173B" w:rsidRPr="003E163E">
          <w:rPr>
            <w:rStyle w:val="Collegamentoipertestuale"/>
            <w:noProof/>
          </w:rPr>
          <w:t>Table 3-70. Tomb types per cemetery</w:t>
        </w:r>
        <w:r w:rsidR="009549CA">
          <w:rPr>
            <w:rStyle w:val="Collegamentoipertestuale"/>
            <w:noProof/>
          </w:rPr>
          <w:t>,</w:t>
        </w:r>
        <w:r w:rsidR="0014173B" w:rsidRPr="003E163E">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_Toc520212558 \h </w:instrText>
        </w:r>
        <w:r w:rsidR="0014173B">
          <w:rPr>
            <w:noProof/>
            <w:webHidden/>
          </w:rPr>
        </w:r>
        <w:r w:rsidR="0014173B">
          <w:rPr>
            <w:noProof/>
            <w:webHidden/>
          </w:rPr>
          <w:fldChar w:fldCharType="separate"/>
        </w:r>
        <w:r w:rsidR="00940F6A">
          <w:rPr>
            <w:noProof/>
            <w:webHidden/>
          </w:rPr>
          <w:t>139</w:t>
        </w:r>
        <w:r w:rsidR="0014173B">
          <w:rPr>
            <w:noProof/>
            <w:webHidden/>
          </w:rPr>
          <w:fldChar w:fldCharType="end"/>
        </w:r>
      </w:hyperlink>
    </w:p>
    <w:p w14:paraId="68E1F39A" w14:textId="14F2DFC8" w:rsidR="0014173B" w:rsidRDefault="00874C0C">
      <w:pPr>
        <w:pStyle w:val="Indicedellefigure"/>
        <w:tabs>
          <w:tab w:val="right" w:leader="dot" w:pos="8488"/>
        </w:tabs>
        <w:rPr>
          <w:rFonts w:asciiTheme="minorHAnsi" w:hAnsiTheme="minorHAnsi" w:cstheme="minorBidi"/>
          <w:noProof/>
          <w:szCs w:val="22"/>
          <w:lang w:eastAsia="en-GB"/>
        </w:rPr>
      </w:pPr>
      <w:hyperlink w:anchor="_Toc520212559" w:history="1">
        <w:r w:rsidR="0014173B" w:rsidRPr="003E163E">
          <w:rPr>
            <w:rStyle w:val="Collegamentoipertestuale"/>
            <w:noProof/>
          </w:rPr>
          <w:t>Table 3-71. Deposition methods adopted in the cemeteries with larnakes</w:t>
        </w:r>
        <w:r w:rsidR="009549CA">
          <w:rPr>
            <w:rStyle w:val="Collegamentoipertestuale"/>
            <w:noProof/>
          </w:rPr>
          <w:t>,</w:t>
        </w:r>
        <w:r w:rsidR="0014173B" w:rsidRPr="003E163E">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_Toc520212559 \h </w:instrText>
        </w:r>
        <w:r w:rsidR="0014173B">
          <w:rPr>
            <w:noProof/>
            <w:webHidden/>
          </w:rPr>
        </w:r>
        <w:r w:rsidR="0014173B">
          <w:rPr>
            <w:noProof/>
            <w:webHidden/>
          </w:rPr>
          <w:fldChar w:fldCharType="separate"/>
        </w:r>
        <w:r w:rsidR="00940F6A">
          <w:rPr>
            <w:noProof/>
            <w:webHidden/>
          </w:rPr>
          <w:t>140</w:t>
        </w:r>
        <w:r w:rsidR="0014173B">
          <w:rPr>
            <w:noProof/>
            <w:webHidden/>
          </w:rPr>
          <w:fldChar w:fldCharType="end"/>
        </w:r>
      </w:hyperlink>
    </w:p>
    <w:p w14:paraId="3F4B521E" w14:textId="18C8FFEB" w:rsidR="0014173B" w:rsidRDefault="00DB11B9">
      <w:pPr>
        <w:pStyle w:val="Indicedellefigure"/>
        <w:tabs>
          <w:tab w:val="right" w:leader="dot" w:pos="8488"/>
        </w:tabs>
        <w:rPr>
          <w:rFonts w:asciiTheme="minorHAnsi" w:hAnsiTheme="minorHAnsi" w:cstheme="minorBidi"/>
          <w:noProof/>
          <w:szCs w:val="22"/>
          <w:lang w:eastAsia="en-GB"/>
        </w:rPr>
      </w:pPr>
      <w:hyperlink w:anchor="_Toc520212560" w:history="1">
        <w:r w:rsidR="0014173B" w:rsidRPr="003E163E">
          <w:rPr>
            <w:rStyle w:val="Collegamentoipertestuale"/>
            <w:noProof/>
          </w:rPr>
          <w:t>Table 3-72. Tomb types associated with larnax by cemetery</w:t>
        </w:r>
        <w:r w:rsidR="009549CA">
          <w:rPr>
            <w:rStyle w:val="Collegamentoipertestuale"/>
            <w:noProof/>
          </w:rPr>
          <w:t>,</w:t>
        </w:r>
        <w:r w:rsidR="0014173B" w:rsidRPr="003E163E">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_Toc520212560 \h </w:instrText>
        </w:r>
        <w:r w:rsidR="0014173B">
          <w:rPr>
            <w:noProof/>
            <w:webHidden/>
          </w:rPr>
        </w:r>
        <w:r w:rsidR="0014173B">
          <w:rPr>
            <w:noProof/>
            <w:webHidden/>
          </w:rPr>
          <w:fldChar w:fldCharType="separate"/>
        </w:r>
        <w:r w:rsidR="00940F6A">
          <w:rPr>
            <w:noProof/>
            <w:webHidden/>
          </w:rPr>
          <w:t>142</w:t>
        </w:r>
        <w:r w:rsidR="0014173B">
          <w:rPr>
            <w:noProof/>
            <w:webHidden/>
          </w:rPr>
          <w:fldChar w:fldCharType="end"/>
        </w:r>
      </w:hyperlink>
    </w:p>
    <w:p w14:paraId="479A3219" w14:textId="70718867" w:rsidR="0014173B" w:rsidRDefault="00874C0C">
      <w:pPr>
        <w:pStyle w:val="Indicedellefigure"/>
        <w:tabs>
          <w:tab w:val="right" w:leader="dot" w:pos="8488"/>
        </w:tabs>
        <w:rPr>
          <w:rFonts w:asciiTheme="minorHAnsi" w:hAnsiTheme="minorHAnsi" w:cstheme="minorBidi"/>
          <w:noProof/>
          <w:szCs w:val="22"/>
          <w:lang w:eastAsia="en-GB"/>
        </w:rPr>
      </w:pPr>
      <w:hyperlink w:anchor="_Toc520212561" w:history="1">
        <w:r w:rsidR="0014173B" w:rsidRPr="003E163E">
          <w:rPr>
            <w:rStyle w:val="Collegamentoipertestuale"/>
            <w:noProof/>
          </w:rPr>
          <w:t>Table 3-73. Tomb dimensions</w:t>
        </w:r>
        <w:r w:rsidR="009549CA">
          <w:rPr>
            <w:rStyle w:val="Collegamentoipertestuale"/>
            <w:noProof/>
          </w:rPr>
          <w:t>,</w:t>
        </w:r>
        <w:r w:rsidR="0014173B" w:rsidRPr="003E163E">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_Toc520212561 \h </w:instrText>
        </w:r>
        <w:r w:rsidR="0014173B">
          <w:rPr>
            <w:noProof/>
            <w:webHidden/>
          </w:rPr>
        </w:r>
        <w:r w:rsidR="0014173B">
          <w:rPr>
            <w:noProof/>
            <w:webHidden/>
          </w:rPr>
          <w:fldChar w:fldCharType="separate"/>
        </w:r>
        <w:r w:rsidR="00940F6A">
          <w:rPr>
            <w:noProof/>
            <w:webHidden/>
          </w:rPr>
          <w:t>144</w:t>
        </w:r>
        <w:r w:rsidR="0014173B">
          <w:rPr>
            <w:noProof/>
            <w:webHidden/>
          </w:rPr>
          <w:fldChar w:fldCharType="end"/>
        </w:r>
      </w:hyperlink>
    </w:p>
    <w:p w14:paraId="0180C3D3" w14:textId="4A01CEDB" w:rsidR="0014173B" w:rsidRDefault="00874C0C">
      <w:pPr>
        <w:pStyle w:val="Indicedellefigure"/>
        <w:tabs>
          <w:tab w:val="right" w:leader="dot" w:pos="8488"/>
        </w:tabs>
        <w:rPr>
          <w:rFonts w:asciiTheme="minorHAnsi" w:hAnsiTheme="minorHAnsi" w:cstheme="minorBidi"/>
          <w:noProof/>
          <w:szCs w:val="22"/>
          <w:lang w:eastAsia="en-GB"/>
        </w:rPr>
      </w:pPr>
      <w:hyperlink w:anchor="_Toc520212562" w:history="1">
        <w:r w:rsidR="0014173B" w:rsidRPr="003E163E">
          <w:rPr>
            <w:rStyle w:val="Collegamentoipertestuale"/>
            <w:noProof/>
          </w:rPr>
          <w:t>Table 3-74. Tomb size groups</w:t>
        </w:r>
        <w:r w:rsidR="009549CA">
          <w:rPr>
            <w:rStyle w:val="Collegamentoipertestuale"/>
            <w:noProof/>
          </w:rPr>
          <w:t>,</w:t>
        </w:r>
        <w:r w:rsidR="0014173B" w:rsidRPr="003E163E">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_Toc520212562 \h </w:instrText>
        </w:r>
        <w:r w:rsidR="0014173B">
          <w:rPr>
            <w:noProof/>
            <w:webHidden/>
          </w:rPr>
        </w:r>
        <w:r w:rsidR="0014173B">
          <w:rPr>
            <w:noProof/>
            <w:webHidden/>
          </w:rPr>
          <w:fldChar w:fldCharType="separate"/>
        </w:r>
        <w:r w:rsidR="00940F6A">
          <w:rPr>
            <w:noProof/>
            <w:webHidden/>
          </w:rPr>
          <w:t>144</w:t>
        </w:r>
        <w:r w:rsidR="0014173B">
          <w:rPr>
            <w:noProof/>
            <w:webHidden/>
          </w:rPr>
          <w:fldChar w:fldCharType="end"/>
        </w:r>
      </w:hyperlink>
    </w:p>
    <w:p w14:paraId="43E527DB" w14:textId="4269799B" w:rsidR="0014173B" w:rsidRDefault="00874C0C">
      <w:pPr>
        <w:pStyle w:val="Indicedellefigure"/>
        <w:tabs>
          <w:tab w:val="right" w:leader="dot" w:pos="8488"/>
        </w:tabs>
        <w:rPr>
          <w:rFonts w:asciiTheme="minorHAnsi" w:hAnsiTheme="minorHAnsi" w:cstheme="minorBidi"/>
          <w:noProof/>
          <w:szCs w:val="22"/>
          <w:lang w:eastAsia="en-GB"/>
        </w:rPr>
      </w:pPr>
      <w:hyperlink w:anchor="_Toc520212563" w:history="1">
        <w:r w:rsidR="0014173B" w:rsidRPr="003E163E">
          <w:rPr>
            <w:rStyle w:val="Collegamentoipertestuale"/>
            <w:noProof/>
          </w:rPr>
          <w:t>Table 3-75. Tomb size and dromos length comparison</w:t>
        </w:r>
        <w:r w:rsidR="009549CA">
          <w:rPr>
            <w:rStyle w:val="Collegamentoipertestuale"/>
            <w:noProof/>
          </w:rPr>
          <w:t>,</w:t>
        </w:r>
        <w:r w:rsidR="0014173B" w:rsidRPr="003E163E">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_Toc520212563 \h </w:instrText>
        </w:r>
        <w:r w:rsidR="0014173B">
          <w:rPr>
            <w:noProof/>
            <w:webHidden/>
          </w:rPr>
        </w:r>
        <w:r w:rsidR="0014173B">
          <w:rPr>
            <w:noProof/>
            <w:webHidden/>
          </w:rPr>
          <w:fldChar w:fldCharType="separate"/>
        </w:r>
        <w:r w:rsidR="00940F6A">
          <w:rPr>
            <w:noProof/>
            <w:webHidden/>
          </w:rPr>
          <w:t>144</w:t>
        </w:r>
        <w:r w:rsidR="0014173B">
          <w:rPr>
            <w:noProof/>
            <w:webHidden/>
          </w:rPr>
          <w:fldChar w:fldCharType="end"/>
        </w:r>
      </w:hyperlink>
    </w:p>
    <w:p w14:paraId="4936CADC" w14:textId="636B052D" w:rsidR="0014173B" w:rsidRDefault="00874C0C">
      <w:pPr>
        <w:pStyle w:val="Indicedellefigure"/>
        <w:tabs>
          <w:tab w:val="right" w:leader="dot" w:pos="8488"/>
        </w:tabs>
        <w:rPr>
          <w:rFonts w:asciiTheme="minorHAnsi" w:hAnsiTheme="minorHAnsi" w:cstheme="minorBidi"/>
          <w:noProof/>
          <w:szCs w:val="22"/>
          <w:lang w:eastAsia="en-GB"/>
        </w:rPr>
      </w:pPr>
      <w:hyperlink w:anchor="_Toc520212564" w:history="1">
        <w:r w:rsidR="0014173B" w:rsidRPr="003E163E">
          <w:rPr>
            <w:rStyle w:val="Collegamentoipertestuale"/>
            <w:noProof/>
          </w:rPr>
          <w:t>Table 3-76. Tomb size and dromos length comparison according to tomb size groups</w:t>
        </w:r>
        <w:r w:rsidR="009549CA">
          <w:rPr>
            <w:rStyle w:val="Collegamentoipertestuale"/>
            <w:noProof/>
          </w:rPr>
          <w:t>,</w:t>
        </w:r>
        <w:r w:rsidR="0014173B" w:rsidRPr="003E163E">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_Toc520212564 \h </w:instrText>
        </w:r>
        <w:r w:rsidR="0014173B">
          <w:rPr>
            <w:noProof/>
            <w:webHidden/>
          </w:rPr>
        </w:r>
        <w:r w:rsidR="0014173B">
          <w:rPr>
            <w:noProof/>
            <w:webHidden/>
          </w:rPr>
          <w:fldChar w:fldCharType="separate"/>
        </w:r>
        <w:r w:rsidR="00940F6A">
          <w:rPr>
            <w:noProof/>
            <w:webHidden/>
          </w:rPr>
          <w:t>144</w:t>
        </w:r>
        <w:r w:rsidR="0014173B">
          <w:rPr>
            <w:noProof/>
            <w:webHidden/>
          </w:rPr>
          <w:fldChar w:fldCharType="end"/>
        </w:r>
      </w:hyperlink>
    </w:p>
    <w:p w14:paraId="5611381B" w14:textId="2EDD5429" w:rsidR="0014173B" w:rsidRDefault="00422526">
      <w:pPr>
        <w:pStyle w:val="Indicedellefigure"/>
        <w:tabs>
          <w:tab w:val="right" w:leader="dot" w:pos="8488"/>
        </w:tabs>
        <w:rPr>
          <w:rFonts w:asciiTheme="minorHAnsi" w:hAnsiTheme="minorHAnsi" w:cstheme="minorBidi"/>
          <w:noProof/>
          <w:szCs w:val="22"/>
          <w:lang w:eastAsia="en-GB"/>
        </w:rPr>
      </w:pPr>
      <w:hyperlink w:anchor="_Toc520212565" w:history="1">
        <w:r w:rsidR="0014173B" w:rsidRPr="003E163E">
          <w:rPr>
            <w:rStyle w:val="Collegamentoipertestuale"/>
            <w:noProof/>
          </w:rPr>
          <w:t>Table 3-77. Occurrence of monumental features in Far-East area</w:t>
        </w:r>
        <w:r w:rsidR="0014173B">
          <w:rPr>
            <w:noProof/>
            <w:webHidden/>
          </w:rPr>
          <w:tab/>
        </w:r>
        <w:r w:rsidR="0014173B">
          <w:rPr>
            <w:noProof/>
            <w:webHidden/>
          </w:rPr>
          <w:fldChar w:fldCharType="begin"/>
        </w:r>
        <w:r w:rsidR="0014173B">
          <w:rPr>
            <w:noProof/>
            <w:webHidden/>
          </w:rPr>
          <w:instrText xml:space="preserve"> PAGEREF _Toc520212565 \h </w:instrText>
        </w:r>
        <w:r w:rsidR="0014173B">
          <w:rPr>
            <w:noProof/>
            <w:webHidden/>
          </w:rPr>
        </w:r>
        <w:r w:rsidR="0014173B">
          <w:rPr>
            <w:noProof/>
            <w:webHidden/>
          </w:rPr>
          <w:fldChar w:fldCharType="separate"/>
        </w:r>
        <w:r w:rsidR="00940F6A">
          <w:rPr>
            <w:noProof/>
            <w:webHidden/>
          </w:rPr>
          <w:t>145</w:t>
        </w:r>
        <w:r w:rsidR="0014173B">
          <w:rPr>
            <w:noProof/>
            <w:webHidden/>
          </w:rPr>
          <w:fldChar w:fldCharType="end"/>
        </w:r>
      </w:hyperlink>
    </w:p>
    <w:p w14:paraId="6DA24A02" w14:textId="1BB26F55" w:rsidR="0014173B" w:rsidRDefault="00874C0C">
      <w:pPr>
        <w:pStyle w:val="Indicedellefigure"/>
        <w:tabs>
          <w:tab w:val="right" w:leader="dot" w:pos="8488"/>
        </w:tabs>
        <w:rPr>
          <w:rFonts w:asciiTheme="minorHAnsi" w:hAnsiTheme="minorHAnsi" w:cstheme="minorBidi"/>
          <w:noProof/>
          <w:szCs w:val="22"/>
          <w:lang w:eastAsia="en-GB"/>
        </w:rPr>
      </w:pPr>
      <w:hyperlink w:anchor="_Toc520212566" w:history="1">
        <w:r w:rsidR="0014173B" w:rsidRPr="003E163E">
          <w:rPr>
            <w:rStyle w:val="Collegamentoipertestuale"/>
            <w:noProof/>
          </w:rPr>
          <w:t>Table 3-78. Larnax number in relation to tomb size</w:t>
        </w:r>
        <w:r w:rsidR="009549CA">
          <w:rPr>
            <w:rStyle w:val="Collegamentoipertestuale"/>
            <w:noProof/>
          </w:rPr>
          <w:t>,</w:t>
        </w:r>
        <w:r w:rsidR="0014173B" w:rsidRPr="003E163E">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_Toc520212566 \h </w:instrText>
        </w:r>
        <w:r w:rsidR="0014173B">
          <w:rPr>
            <w:noProof/>
            <w:webHidden/>
          </w:rPr>
        </w:r>
        <w:r w:rsidR="0014173B">
          <w:rPr>
            <w:noProof/>
            <w:webHidden/>
          </w:rPr>
          <w:fldChar w:fldCharType="separate"/>
        </w:r>
        <w:r w:rsidR="00940F6A">
          <w:rPr>
            <w:noProof/>
            <w:webHidden/>
          </w:rPr>
          <w:t>145</w:t>
        </w:r>
        <w:r w:rsidR="0014173B">
          <w:rPr>
            <w:noProof/>
            <w:webHidden/>
          </w:rPr>
          <w:fldChar w:fldCharType="end"/>
        </w:r>
      </w:hyperlink>
    </w:p>
    <w:p w14:paraId="05FE25A4" w14:textId="2765DD82" w:rsidR="0014173B" w:rsidRDefault="00874C0C">
      <w:pPr>
        <w:pStyle w:val="Indicedellefigure"/>
        <w:tabs>
          <w:tab w:val="right" w:leader="dot" w:pos="8488"/>
        </w:tabs>
        <w:rPr>
          <w:rFonts w:asciiTheme="minorHAnsi" w:hAnsiTheme="minorHAnsi" w:cstheme="minorBidi"/>
          <w:noProof/>
          <w:szCs w:val="22"/>
          <w:lang w:eastAsia="en-GB"/>
        </w:rPr>
      </w:pPr>
      <w:hyperlink w:anchor="_Toc520212567" w:history="1">
        <w:r w:rsidR="0014173B" w:rsidRPr="003E163E">
          <w:rPr>
            <w:rStyle w:val="Collegamentoipertestuale"/>
            <w:noProof/>
          </w:rPr>
          <w:t>Table 3-79. Space reserved to a larnax within a tomb</w:t>
        </w:r>
        <w:r w:rsidR="009549CA">
          <w:rPr>
            <w:rStyle w:val="Collegamentoipertestuale"/>
            <w:noProof/>
          </w:rPr>
          <w:t>,</w:t>
        </w:r>
        <w:r w:rsidR="0014173B" w:rsidRPr="003E163E">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_Toc520212567 \h </w:instrText>
        </w:r>
        <w:r w:rsidR="0014173B">
          <w:rPr>
            <w:noProof/>
            <w:webHidden/>
          </w:rPr>
        </w:r>
        <w:r w:rsidR="0014173B">
          <w:rPr>
            <w:noProof/>
            <w:webHidden/>
          </w:rPr>
          <w:fldChar w:fldCharType="separate"/>
        </w:r>
        <w:r w:rsidR="00940F6A">
          <w:rPr>
            <w:noProof/>
            <w:webHidden/>
          </w:rPr>
          <w:t>145</w:t>
        </w:r>
        <w:r w:rsidR="0014173B">
          <w:rPr>
            <w:noProof/>
            <w:webHidden/>
          </w:rPr>
          <w:fldChar w:fldCharType="end"/>
        </w:r>
      </w:hyperlink>
    </w:p>
    <w:p w14:paraId="01F6C240" w14:textId="60346EB5" w:rsidR="0014173B" w:rsidRDefault="003E6C89">
      <w:pPr>
        <w:pStyle w:val="Indicedellefigure"/>
        <w:tabs>
          <w:tab w:val="right" w:leader="dot" w:pos="8488"/>
        </w:tabs>
        <w:rPr>
          <w:rFonts w:asciiTheme="minorHAnsi" w:hAnsiTheme="minorHAnsi" w:cstheme="minorBidi"/>
          <w:noProof/>
          <w:szCs w:val="22"/>
          <w:lang w:eastAsia="en-GB"/>
        </w:rPr>
      </w:pPr>
      <w:hyperlink w:anchor="_Toc520212568" w:history="1">
        <w:r w:rsidR="0014173B" w:rsidRPr="003E163E">
          <w:rPr>
            <w:rStyle w:val="Collegamentoipertestuale"/>
            <w:noProof/>
          </w:rPr>
          <w:t>Table 3-80. Number of larnakes per tomb</w:t>
        </w:r>
        <w:r w:rsidR="00695DDB">
          <w:rPr>
            <w:rStyle w:val="Collegamentoipertestuale"/>
            <w:noProof/>
          </w:rPr>
          <w:t>,</w:t>
        </w:r>
        <w:r w:rsidR="0014173B" w:rsidRPr="003E163E">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_Toc520212568 \h </w:instrText>
        </w:r>
        <w:r w:rsidR="0014173B">
          <w:rPr>
            <w:noProof/>
            <w:webHidden/>
          </w:rPr>
        </w:r>
        <w:r w:rsidR="0014173B">
          <w:rPr>
            <w:noProof/>
            <w:webHidden/>
          </w:rPr>
          <w:fldChar w:fldCharType="separate"/>
        </w:r>
        <w:r w:rsidR="00940F6A">
          <w:rPr>
            <w:noProof/>
            <w:webHidden/>
          </w:rPr>
          <w:t>145</w:t>
        </w:r>
        <w:r w:rsidR="0014173B">
          <w:rPr>
            <w:noProof/>
            <w:webHidden/>
          </w:rPr>
          <w:fldChar w:fldCharType="end"/>
        </w:r>
      </w:hyperlink>
    </w:p>
    <w:p w14:paraId="7286B12B" w14:textId="5687FD14" w:rsidR="0014173B" w:rsidRDefault="00422526">
      <w:pPr>
        <w:pStyle w:val="Indicedellefigure"/>
        <w:tabs>
          <w:tab w:val="right" w:leader="dot" w:pos="8488"/>
        </w:tabs>
        <w:rPr>
          <w:rFonts w:asciiTheme="minorHAnsi" w:hAnsiTheme="minorHAnsi" w:cstheme="minorBidi"/>
          <w:noProof/>
          <w:szCs w:val="22"/>
          <w:lang w:eastAsia="en-GB"/>
        </w:rPr>
      </w:pPr>
      <w:hyperlink w:anchor="_Toc520212569" w:history="1">
        <w:r w:rsidR="0014173B" w:rsidRPr="003E163E">
          <w:rPr>
            <w:rStyle w:val="Collegamentoipertestuale"/>
            <w:noProof/>
          </w:rPr>
          <w:t>Table 3-81. Interment types occurrence</w:t>
        </w:r>
        <w:r w:rsidR="00695DDB">
          <w:rPr>
            <w:rStyle w:val="Collegamentoipertestuale"/>
            <w:noProof/>
          </w:rPr>
          <w:t>,</w:t>
        </w:r>
        <w:r w:rsidR="0014173B" w:rsidRPr="003E163E">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_Toc520212569 \h </w:instrText>
        </w:r>
        <w:r w:rsidR="0014173B">
          <w:rPr>
            <w:noProof/>
            <w:webHidden/>
          </w:rPr>
        </w:r>
        <w:r w:rsidR="0014173B">
          <w:rPr>
            <w:noProof/>
            <w:webHidden/>
          </w:rPr>
          <w:fldChar w:fldCharType="separate"/>
        </w:r>
        <w:r w:rsidR="00940F6A">
          <w:rPr>
            <w:noProof/>
            <w:webHidden/>
          </w:rPr>
          <w:t>146</w:t>
        </w:r>
        <w:r w:rsidR="0014173B">
          <w:rPr>
            <w:noProof/>
            <w:webHidden/>
          </w:rPr>
          <w:fldChar w:fldCharType="end"/>
        </w:r>
      </w:hyperlink>
    </w:p>
    <w:p w14:paraId="3447A700" w14:textId="2BCEEF38" w:rsidR="0014173B" w:rsidRDefault="00422526">
      <w:pPr>
        <w:pStyle w:val="Indicedellefigure"/>
        <w:tabs>
          <w:tab w:val="right" w:leader="dot" w:pos="8488"/>
        </w:tabs>
        <w:rPr>
          <w:rFonts w:asciiTheme="minorHAnsi" w:hAnsiTheme="minorHAnsi" w:cstheme="minorBidi"/>
          <w:noProof/>
          <w:szCs w:val="22"/>
          <w:lang w:eastAsia="en-GB"/>
        </w:rPr>
      </w:pPr>
      <w:hyperlink w:anchor="_Toc520212570" w:history="1">
        <w:r w:rsidR="0014173B" w:rsidRPr="003E163E">
          <w:rPr>
            <w:rStyle w:val="Collegamentoipertestuale"/>
            <w:noProof/>
          </w:rPr>
          <w:t>Table 4-1</w:t>
        </w:r>
        <w:r w:rsidR="003D31DD">
          <w:rPr>
            <w:rStyle w:val="Collegamentoipertestuale"/>
            <w:noProof/>
          </w:rPr>
          <w:t>.</w:t>
        </w:r>
        <w:r w:rsidR="0014173B" w:rsidRPr="003E163E">
          <w:rPr>
            <w:rStyle w:val="Collegamentoipertestuale"/>
            <w:noProof/>
          </w:rPr>
          <w:t xml:space="preserve"> Information on number of burials in tombs with larnake</w:t>
        </w:r>
        <w:r w:rsidR="0014173B" w:rsidRPr="00EA038B">
          <w:rPr>
            <w:rStyle w:val="Collegamentoipertestuale"/>
            <w:noProof/>
          </w:rPr>
          <w:t>s</w:t>
        </w:r>
        <w:r w:rsidR="00695DDB">
          <w:rPr>
            <w:rStyle w:val="Collegamentoipertestuale"/>
            <w:noProof/>
          </w:rPr>
          <w:t>,</w:t>
        </w:r>
        <w:r w:rsidR="0014173B" w:rsidRPr="00EA038B">
          <w:rPr>
            <w:rStyle w:val="Collegamentoipertestuale"/>
            <w:noProof/>
          </w:rPr>
          <w:t xml:space="preserve"> </w:t>
        </w:r>
        <w:r w:rsidR="00EA038B" w:rsidRPr="00EA038B">
          <w:rPr>
            <w:rStyle w:val="Collegamentoipertestuale"/>
            <w:noProof/>
          </w:rPr>
          <w:t>Far</w:t>
        </w:r>
        <w:r w:rsidR="0014173B" w:rsidRPr="00EA038B">
          <w:rPr>
            <w:rStyle w:val="Collegamentoipertestuale"/>
            <w:noProof/>
          </w:rPr>
          <w:t>-West</w:t>
        </w:r>
        <w:r w:rsidR="00A26920">
          <w:rPr>
            <w:rStyle w:val="Collegamentoipertestuale"/>
            <w:noProof/>
          </w:rPr>
          <w:t xml:space="preserve"> area</w:t>
        </w:r>
        <w:r w:rsidR="0014173B" w:rsidRPr="00EA038B">
          <w:rPr>
            <w:noProof/>
            <w:webHidden/>
          </w:rPr>
          <w:tab/>
        </w:r>
        <w:r w:rsidR="0014173B" w:rsidRPr="00EA038B">
          <w:rPr>
            <w:noProof/>
            <w:webHidden/>
          </w:rPr>
          <w:fldChar w:fldCharType="begin"/>
        </w:r>
        <w:r w:rsidR="0014173B" w:rsidRPr="00EA038B">
          <w:rPr>
            <w:noProof/>
            <w:webHidden/>
          </w:rPr>
          <w:instrText xml:space="preserve"> PAGEREF _Toc520212570 \h </w:instrText>
        </w:r>
        <w:r w:rsidR="0014173B" w:rsidRPr="00EA038B">
          <w:rPr>
            <w:noProof/>
            <w:webHidden/>
          </w:rPr>
        </w:r>
        <w:r w:rsidR="0014173B" w:rsidRPr="00EA038B">
          <w:rPr>
            <w:noProof/>
            <w:webHidden/>
          </w:rPr>
          <w:fldChar w:fldCharType="separate"/>
        </w:r>
        <w:r w:rsidR="00940F6A">
          <w:rPr>
            <w:noProof/>
            <w:webHidden/>
          </w:rPr>
          <w:t>159</w:t>
        </w:r>
        <w:r w:rsidR="0014173B" w:rsidRPr="00EA038B">
          <w:rPr>
            <w:noProof/>
            <w:webHidden/>
          </w:rPr>
          <w:fldChar w:fldCharType="end"/>
        </w:r>
      </w:hyperlink>
    </w:p>
    <w:p w14:paraId="3BDE7674" w14:textId="323B8B23" w:rsidR="0014173B" w:rsidRDefault="00422526">
      <w:pPr>
        <w:pStyle w:val="Indicedellefigure"/>
        <w:tabs>
          <w:tab w:val="right" w:leader="dot" w:pos="8488"/>
        </w:tabs>
        <w:rPr>
          <w:rFonts w:asciiTheme="minorHAnsi" w:hAnsiTheme="minorHAnsi" w:cstheme="minorBidi"/>
          <w:noProof/>
          <w:szCs w:val="22"/>
          <w:lang w:eastAsia="en-GB"/>
        </w:rPr>
      </w:pPr>
      <w:hyperlink w:anchor="_Toc520212571" w:history="1">
        <w:r w:rsidR="0014173B" w:rsidRPr="003E163E">
          <w:rPr>
            <w:rStyle w:val="Collegamentoipertestuale"/>
            <w:noProof/>
          </w:rPr>
          <w:t>Table 4-2</w:t>
        </w:r>
        <w:r w:rsidR="003D31DD">
          <w:rPr>
            <w:rStyle w:val="Collegamentoipertestuale"/>
            <w:noProof/>
          </w:rPr>
          <w:t>.</w:t>
        </w:r>
        <w:r w:rsidR="0014173B" w:rsidRPr="003E163E">
          <w:rPr>
            <w:rStyle w:val="Collegamentoipertestuale"/>
            <w:noProof/>
          </w:rPr>
          <w:t xml:space="preserve"> Phases of tomb use with larnax burial at Chania Koumpes</w:t>
        </w:r>
        <w:r w:rsidR="0014173B">
          <w:rPr>
            <w:noProof/>
            <w:webHidden/>
          </w:rPr>
          <w:tab/>
        </w:r>
        <w:r w:rsidR="0014173B">
          <w:rPr>
            <w:noProof/>
            <w:webHidden/>
          </w:rPr>
          <w:fldChar w:fldCharType="begin"/>
        </w:r>
        <w:r w:rsidR="0014173B">
          <w:rPr>
            <w:noProof/>
            <w:webHidden/>
          </w:rPr>
          <w:instrText xml:space="preserve"> PAGEREF _Toc520212571 \h </w:instrText>
        </w:r>
        <w:r w:rsidR="0014173B">
          <w:rPr>
            <w:noProof/>
            <w:webHidden/>
          </w:rPr>
        </w:r>
        <w:r w:rsidR="0014173B">
          <w:rPr>
            <w:noProof/>
            <w:webHidden/>
          </w:rPr>
          <w:fldChar w:fldCharType="separate"/>
        </w:r>
        <w:r w:rsidR="00940F6A">
          <w:rPr>
            <w:noProof/>
            <w:webHidden/>
          </w:rPr>
          <w:t>160</w:t>
        </w:r>
        <w:r w:rsidR="0014173B">
          <w:rPr>
            <w:noProof/>
            <w:webHidden/>
          </w:rPr>
          <w:fldChar w:fldCharType="end"/>
        </w:r>
      </w:hyperlink>
    </w:p>
    <w:p w14:paraId="6073169B" w14:textId="720EA838" w:rsidR="0014173B" w:rsidRDefault="00874C0C">
      <w:pPr>
        <w:pStyle w:val="Indicedellefigure"/>
        <w:tabs>
          <w:tab w:val="right" w:leader="dot" w:pos="8488"/>
        </w:tabs>
        <w:rPr>
          <w:rFonts w:asciiTheme="minorHAnsi" w:hAnsiTheme="minorHAnsi" w:cstheme="minorBidi"/>
          <w:noProof/>
          <w:szCs w:val="22"/>
          <w:lang w:eastAsia="en-GB"/>
        </w:rPr>
      </w:pPr>
      <w:hyperlink w:anchor="_Toc520212572" w:history="1">
        <w:r w:rsidR="0014173B" w:rsidRPr="003E163E">
          <w:rPr>
            <w:rStyle w:val="Collegamentoipertestuale"/>
            <w:noProof/>
          </w:rPr>
          <w:t>Table 4-3</w:t>
        </w:r>
        <w:r w:rsidR="003D31DD">
          <w:rPr>
            <w:rStyle w:val="Collegamentoipertestuale"/>
            <w:noProof/>
          </w:rPr>
          <w:t>.</w:t>
        </w:r>
        <w:r w:rsidR="0014173B" w:rsidRPr="003E163E">
          <w:rPr>
            <w:rStyle w:val="Collegamentoipertestuale"/>
            <w:noProof/>
          </w:rPr>
          <w:t xml:space="preserve"> Information concerning number of burials in tombs with larnakes</w:t>
        </w:r>
        <w:r w:rsidR="00A26920">
          <w:rPr>
            <w:rStyle w:val="Collegamentoipertestuale"/>
            <w:noProof/>
          </w:rPr>
          <w:t>,</w:t>
        </w:r>
        <w:r w:rsidR="0014173B" w:rsidRPr="003E163E">
          <w:rPr>
            <w:rStyle w:val="Collegamentoipertestuale"/>
            <w:noProof/>
          </w:rPr>
          <w:t xml:space="preserve"> Mid-West</w:t>
        </w:r>
        <w:r w:rsidR="00A26920">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_Toc520212572 \h </w:instrText>
        </w:r>
        <w:r w:rsidR="0014173B">
          <w:rPr>
            <w:noProof/>
            <w:webHidden/>
          </w:rPr>
        </w:r>
        <w:r w:rsidR="0014173B">
          <w:rPr>
            <w:noProof/>
            <w:webHidden/>
          </w:rPr>
          <w:fldChar w:fldCharType="separate"/>
        </w:r>
        <w:r w:rsidR="00940F6A">
          <w:rPr>
            <w:noProof/>
            <w:webHidden/>
          </w:rPr>
          <w:t>16</w:t>
        </w:r>
        <w:r w:rsidR="006C0E3D">
          <w:rPr>
            <w:noProof/>
            <w:webHidden/>
          </w:rPr>
          <w:t>1</w:t>
        </w:r>
        <w:r w:rsidR="0014173B">
          <w:rPr>
            <w:noProof/>
            <w:webHidden/>
          </w:rPr>
          <w:fldChar w:fldCharType="end"/>
        </w:r>
      </w:hyperlink>
    </w:p>
    <w:p w14:paraId="3A3729AD" w14:textId="375861FB" w:rsidR="0014173B" w:rsidRDefault="00874C0C">
      <w:pPr>
        <w:pStyle w:val="Indicedellefigure"/>
        <w:tabs>
          <w:tab w:val="right" w:leader="dot" w:pos="8488"/>
        </w:tabs>
        <w:rPr>
          <w:rFonts w:asciiTheme="minorHAnsi" w:hAnsiTheme="minorHAnsi" w:cstheme="minorBidi"/>
          <w:noProof/>
          <w:szCs w:val="22"/>
          <w:lang w:eastAsia="en-GB"/>
        </w:rPr>
      </w:pPr>
      <w:hyperlink w:anchor="_Toc520212573" w:history="1">
        <w:r w:rsidR="0014173B" w:rsidRPr="003E163E">
          <w:rPr>
            <w:rStyle w:val="Collegamentoipertestuale"/>
            <w:noProof/>
          </w:rPr>
          <w:t>Table 4-4a</w:t>
        </w:r>
        <w:r w:rsidR="003D31DD">
          <w:rPr>
            <w:rStyle w:val="Collegamentoipertestuale"/>
            <w:noProof/>
          </w:rPr>
          <w:t>.</w:t>
        </w:r>
        <w:r w:rsidR="0014173B" w:rsidRPr="003E163E">
          <w:rPr>
            <w:rStyle w:val="Collegamentoipertestuale"/>
            <w:noProof/>
          </w:rPr>
          <w:t xml:space="preserve"> Interment methods and burial stage of skeletal remains in tombs with larnakes and information </w:t>
        </w:r>
        <w:r w:rsidR="003B7664">
          <w:rPr>
            <w:rStyle w:val="Collegamentoipertestuale"/>
            <w:noProof/>
          </w:rPr>
          <w:t>on</w:t>
        </w:r>
        <w:r w:rsidR="0014173B" w:rsidRPr="003E163E">
          <w:rPr>
            <w:rStyle w:val="Collegamentoipertestuale"/>
            <w:noProof/>
          </w:rPr>
          <w:t xml:space="preserve"> skeletal remains</w:t>
        </w:r>
        <w:r w:rsidR="00A26920">
          <w:rPr>
            <w:rStyle w:val="Collegamentoipertestuale"/>
            <w:noProof/>
          </w:rPr>
          <w:t>,</w:t>
        </w:r>
        <w:r w:rsidR="0014173B" w:rsidRPr="003E163E">
          <w:rPr>
            <w:rStyle w:val="Collegamentoipertestuale"/>
            <w:noProof/>
          </w:rPr>
          <w:t xml:space="preserve"> Mid-West </w:t>
        </w:r>
        <w:r w:rsidR="00A26920">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_Toc520212573 \h </w:instrText>
        </w:r>
        <w:r w:rsidR="0014173B">
          <w:rPr>
            <w:noProof/>
            <w:webHidden/>
          </w:rPr>
        </w:r>
        <w:r w:rsidR="0014173B">
          <w:rPr>
            <w:noProof/>
            <w:webHidden/>
          </w:rPr>
          <w:fldChar w:fldCharType="separate"/>
        </w:r>
        <w:r w:rsidR="00940F6A">
          <w:rPr>
            <w:noProof/>
            <w:webHidden/>
          </w:rPr>
          <w:t>16</w:t>
        </w:r>
        <w:r w:rsidR="006C0E3D">
          <w:rPr>
            <w:noProof/>
            <w:webHidden/>
          </w:rPr>
          <w:t>2</w:t>
        </w:r>
        <w:r w:rsidR="0014173B">
          <w:rPr>
            <w:noProof/>
            <w:webHidden/>
          </w:rPr>
          <w:fldChar w:fldCharType="end"/>
        </w:r>
      </w:hyperlink>
    </w:p>
    <w:p w14:paraId="7146A4DE" w14:textId="54B3BAEA" w:rsidR="0014173B" w:rsidRDefault="00874C0C">
      <w:pPr>
        <w:pStyle w:val="Indicedellefigure"/>
        <w:tabs>
          <w:tab w:val="right" w:leader="dot" w:pos="8488"/>
        </w:tabs>
        <w:rPr>
          <w:rFonts w:asciiTheme="minorHAnsi" w:hAnsiTheme="minorHAnsi" w:cstheme="minorBidi"/>
          <w:noProof/>
          <w:szCs w:val="22"/>
          <w:lang w:eastAsia="en-GB"/>
        </w:rPr>
      </w:pPr>
      <w:hyperlink w:anchor="_Toc520212574" w:history="1">
        <w:r w:rsidR="0014173B" w:rsidRPr="003E163E">
          <w:rPr>
            <w:rStyle w:val="Collegamentoipertestuale"/>
            <w:noProof/>
          </w:rPr>
          <w:t>Table 4-4b</w:t>
        </w:r>
        <w:r w:rsidR="003D31DD">
          <w:rPr>
            <w:rStyle w:val="Collegamentoipertestuale"/>
            <w:noProof/>
          </w:rPr>
          <w:t>.</w:t>
        </w:r>
        <w:r w:rsidR="0014173B" w:rsidRPr="003E163E">
          <w:rPr>
            <w:rStyle w:val="Collegamentoipertestuale"/>
            <w:noProof/>
          </w:rPr>
          <w:t xml:space="preserve"> Interment methods and burial stage of skeletal remains in tombs with larnakes and information </w:t>
        </w:r>
        <w:r w:rsidR="003B7664">
          <w:rPr>
            <w:rStyle w:val="Collegamentoipertestuale"/>
            <w:noProof/>
          </w:rPr>
          <w:t>on</w:t>
        </w:r>
        <w:r w:rsidR="0014173B" w:rsidRPr="003E163E">
          <w:rPr>
            <w:rStyle w:val="Collegamentoipertestuale"/>
            <w:noProof/>
          </w:rPr>
          <w:t xml:space="preserve"> skeletal remains</w:t>
        </w:r>
        <w:r w:rsidR="00A26920">
          <w:rPr>
            <w:rStyle w:val="Collegamentoipertestuale"/>
            <w:noProof/>
          </w:rPr>
          <w:t>,</w:t>
        </w:r>
        <w:r w:rsidR="0014173B" w:rsidRPr="003E163E">
          <w:rPr>
            <w:rStyle w:val="Collegamentoipertestuale"/>
            <w:noProof/>
          </w:rPr>
          <w:t xml:space="preserve"> Mid-West </w:t>
        </w:r>
        <w:r w:rsidR="00A26920">
          <w:rPr>
            <w:rStyle w:val="Collegamentoipertestuale"/>
            <w:noProof/>
          </w:rPr>
          <w:t>area</w:t>
        </w:r>
        <w:r w:rsidR="0014173B" w:rsidRPr="003E163E">
          <w:rPr>
            <w:rStyle w:val="Collegamentoipertestuale"/>
            <w:noProof/>
          </w:rPr>
          <w:t>: burial stage related to number of tombs</w:t>
        </w:r>
        <w:r w:rsidR="0014173B">
          <w:rPr>
            <w:noProof/>
            <w:webHidden/>
          </w:rPr>
          <w:tab/>
        </w:r>
        <w:r w:rsidR="0014173B">
          <w:rPr>
            <w:noProof/>
            <w:webHidden/>
          </w:rPr>
          <w:fldChar w:fldCharType="begin"/>
        </w:r>
        <w:r w:rsidR="0014173B">
          <w:rPr>
            <w:noProof/>
            <w:webHidden/>
          </w:rPr>
          <w:instrText xml:space="preserve"> PAGEREF _Toc520212574 \h </w:instrText>
        </w:r>
        <w:r w:rsidR="0014173B">
          <w:rPr>
            <w:noProof/>
            <w:webHidden/>
          </w:rPr>
        </w:r>
        <w:r w:rsidR="0014173B">
          <w:rPr>
            <w:noProof/>
            <w:webHidden/>
          </w:rPr>
          <w:fldChar w:fldCharType="separate"/>
        </w:r>
        <w:r w:rsidR="00940F6A">
          <w:rPr>
            <w:noProof/>
            <w:webHidden/>
          </w:rPr>
          <w:t>16</w:t>
        </w:r>
        <w:r w:rsidR="006C0E3D">
          <w:rPr>
            <w:noProof/>
            <w:webHidden/>
          </w:rPr>
          <w:t>3</w:t>
        </w:r>
        <w:r w:rsidR="0014173B">
          <w:rPr>
            <w:noProof/>
            <w:webHidden/>
          </w:rPr>
          <w:fldChar w:fldCharType="end"/>
        </w:r>
      </w:hyperlink>
    </w:p>
    <w:p w14:paraId="3E2FBC61" w14:textId="0E168FF5" w:rsidR="0014173B" w:rsidRDefault="00874C0C">
      <w:pPr>
        <w:pStyle w:val="Indicedellefigure"/>
        <w:tabs>
          <w:tab w:val="right" w:leader="dot" w:pos="8488"/>
        </w:tabs>
        <w:rPr>
          <w:rFonts w:asciiTheme="minorHAnsi" w:hAnsiTheme="minorHAnsi" w:cstheme="minorBidi"/>
          <w:noProof/>
          <w:szCs w:val="22"/>
          <w:lang w:eastAsia="en-GB"/>
        </w:rPr>
      </w:pPr>
      <w:hyperlink w:anchor="_Toc520212575" w:history="1">
        <w:r w:rsidR="0014173B" w:rsidRPr="003E163E">
          <w:rPr>
            <w:rStyle w:val="Collegamentoipertestuale"/>
            <w:noProof/>
          </w:rPr>
          <w:t xml:space="preserve">Table 4-5. Number of skeletal remains with information </w:t>
        </w:r>
        <w:r w:rsidR="00CC581F">
          <w:rPr>
            <w:rStyle w:val="Collegamentoipertestuale"/>
            <w:noProof/>
          </w:rPr>
          <w:t>on</w:t>
        </w:r>
        <w:r w:rsidR="0014173B" w:rsidRPr="003E163E">
          <w:rPr>
            <w:rStyle w:val="Collegamentoipertestuale"/>
            <w:noProof/>
          </w:rPr>
          <w:t xml:space="preserve"> gender</w:t>
        </w:r>
        <w:r w:rsidR="00A26920">
          <w:rPr>
            <w:rStyle w:val="Collegamentoipertestuale"/>
            <w:noProof/>
          </w:rPr>
          <w:t>,</w:t>
        </w:r>
        <w:r w:rsidR="0014173B" w:rsidRPr="003E163E">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_Toc520212575 \h </w:instrText>
        </w:r>
        <w:r w:rsidR="0014173B">
          <w:rPr>
            <w:noProof/>
            <w:webHidden/>
          </w:rPr>
        </w:r>
        <w:r w:rsidR="0014173B">
          <w:rPr>
            <w:noProof/>
            <w:webHidden/>
          </w:rPr>
          <w:fldChar w:fldCharType="separate"/>
        </w:r>
        <w:r w:rsidR="00940F6A">
          <w:rPr>
            <w:noProof/>
            <w:webHidden/>
          </w:rPr>
          <w:t>16</w:t>
        </w:r>
        <w:r w:rsidR="0014173B">
          <w:rPr>
            <w:noProof/>
            <w:webHidden/>
          </w:rPr>
          <w:fldChar w:fldCharType="end"/>
        </w:r>
      </w:hyperlink>
      <w:r w:rsidR="006C0E3D">
        <w:rPr>
          <w:noProof/>
        </w:rPr>
        <w:t>5</w:t>
      </w:r>
    </w:p>
    <w:p w14:paraId="485AA616" w14:textId="129D6187" w:rsidR="0014173B" w:rsidRDefault="00874C0C">
      <w:pPr>
        <w:pStyle w:val="Indicedellefigure"/>
        <w:tabs>
          <w:tab w:val="right" w:leader="dot" w:pos="8488"/>
        </w:tabs>
        <w:rPr>
          <w:rFonts w:asciiTheme="minorHAnsi" w:hAnsiTheme="minorHAnsi" w:cstheme="minorBidi"/>
          <w:noProof/>
          <w:szCs w:val="22"/>
          <w:lang w:eastAsia="en-GB"/>
        </w:rPr>
      </w:pPr>
      <w:hyperlink w:anchor="_Toc520212576" w:history="1">
        <w:r w:rsidR="0014173B" w:rsidRPr="003E163E">
          <w:rPr>
            <w:rStyle w:val="Collegamentoipertestuale"/>
            <w:noProof/>
          </w:rPr>
          <w:t>Table 4-6</w:t>
        </w:r>
        <w:r w:rsidR="003D31DD">
          <w:rPr>
            <w:rStyle w:val="Collegamentoipertestuale"/>
            <w:noProof/>
          </w:rPr>
          <w:t>.</w:t>
        </w:r>
        <w:r w:rsidR="0014173B" w:rsidRPr="003E163E">
          <w:rPr>
            <w:rStyle w:val="Collegamentoipertestuale"/>
            <w:noProof/>
          </w:rPr>
          <w:t xml:space="preserve"> Number of skeletal remains with information </w:t>
        </w:r>
        <w:r w:rsidR="00CC581F">
          <w:rPr>
            <w:rStyle w:val="Collegamentoipertestuale"/>
            <w:noProof/>
          </w:rPr>
          <w:t>on</w:t>
        </w:r>
        <w:r w:rsidR="0014173B" w:rsidRPr="003E163E">
          <w:rPr>
            <w:rStyle w:val="Collegamentoipertestuale"/>
            <w:noProof/>
          </w:rPr>
          <w:t xml:space="preserve"> age</w:t>
        </w:r>
        <w:r w:rsidR="00A26920">
          <w:rPr>
            <w:rStyle w:val="Collegamentoipertestuale"/>
            <w:noProof/>
          </w:rPr>
          <w:t>,</w:t>
        </w:r>
        <w:r w:rsidR="0014173B" w:rsidRPr="003E163E">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_Toc520212576 \h </w:instrText>
        </w:r>
        <w:r w:rsidR="0014173B">
          <w:rPr>
            <w:noProof/>
            <w:webHidden/>
          </w:rPr>
        </w:r>
        <w:r w:rsidR="0014173B">
          <w:rPr>
            <w:noProof/>
            <w:webHidden/>
          </w:rPr>
          <w:fldChar w:fldCharType="separate"/>
        </w:r>
        <w:r w:rsidR="00940F6A">
          <w:rPr>
            <w:noProof/>
            <w:webHidden/>
          </w:rPr>
          <w:t>16</w:t>
        </w:r>
        <w:r w:rsidR="006C0E3D">
          <w:rPr>
            <w:noProof/>
            <w:webHidden/>
          </w:rPr>
          <w:t>5</w:t>
        </w:r>
        <w:r w:rsidR="0014173B">
          <w:rPr>
            <w:noProof/>
            <w:webHidden/>
          </w:rPr>
          <w:fldChar w:fldCharType="end"/>
        </w:r>
      </w:hyperlink>
    </w:p>
    <w:p w14:paraId="58A27375" w14:textId="3AB3425F" w:rsidR="0014173B" w:rsidRDefault="00874C0C">
      <w:pPr>
        <w:pStyle w:val="Indicedellefigure"/>
        <w:tabs>
          <w:tab w:val="right" w:leader="dot" w:pos="8488"/>
        </w:tabs>
        <w:rPr>
          <w:rFonts w:asciiTheme="minorHAnsi" w:hAnsiTheme="minorHAnsi" w:cstheme="minorBidi"/>
          <w:noProof/>
          <w:szCs w:val="22"/>
          <w:lang w:eastAsia="en-GB"/>
        </w:rPr>
      </w:pPr>
      <w:hyperlink w:anchor="_Toc520212577" w:history="1">
        <w:r w:rsidR="0014173B" w:rsidRPr="003E163E">
          <w:rPr>
            <w:rStyle w:val="Collegamentoipertestuale"/>
            <w:noProof/>
          </w:rPr>
          <w:t>Table 4-7</w:t>
        </w:r>
        <w:r w:rsidR="003D31DD">
          <w:rPr>
            <w:rStyle w:val="Collegamentoipertestuale"/>
            <w:noProof/>
          </w:rPr>
          <w:t>.</w:t>
        </w:r>
        <w:r w:rsidR="0014173B" w:rsidRPr="003E163E">
          <w:rPr>
            <w:rStyle w:val="Collegamentoipertestuale"/>
            <w:noProof/>
          </w:rPr>
          <w:t xml:space="preserve"> Information concerning number of burials in tombs with larnakes</w:t>
        </w:r>
        <w:r w:rsidR="00A26920">
          <w:rPr>
            <w:rStyle w:val="Collegamentoipertestuale"/>
            <w:noProof/>
          </w:rPr>
          <w:t>,</w:t>
        </w:r>
        <w:r w:rsidR="0014173B" w:rsidRPr="003E163E">
          <w:rPr>
            <w:rStyle w:val="Collegamentoipertestuale"/>
            <w:noProof/>
          </w:rPr>
          <w:t xml:space="preserve"> Mesara </w:t>
        </w:r>
        <w:r w:rsidR="00A26920">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_Toc520212577 \h </w:instrText>
        </w:r>
        <w:r w:rsidR="0014173B">
          <w:rPr>
            <w:noProof/>
            <w:webHidden/>
          </w:rPr>
        </w:r>
        <w:r w:rsidR="0014173B">
          <w:rPr>
            <w:noProof/>
            <w:webHidden/>
          </w:rPr>
          <w:fldChar w:fldCharType="separate"/>
        </w:r>
        <w:r w:rsidR="00940F6A">
          <w:rPr>
            <w:noProof/>
            <w:webHidden/>
          </w:rPr>
          <w:t>16</w:t>
        </w:r>
        <w:r w:rsidR="006C0E3D">
          <w:rPr>
            <w:noProof/>
            <w:webHidden/>
          </w:rPr>
          <w:t>7</w:t>
        </w:r>
        <w:r w:rsidR="0014173B">
          <w:rPr>
            <w:noProof/>
            <w:webHidden/>
          </w:rPr>
          <w:fldChar w:fldCharType="end"/>
        </w:r>
      </w:hyperlink>
    </w:p>
    <w:p w14:paraId="6B3424B2" w14:textId="0A06178C" w:rsidR="0014173B" w:rsidRDefault="00874C0C">
      <w:pPr>
        <w:pStyle w:val="Indicedellefigure"/>
        <w:tabs>
          <w:tab w:val="right" w:leader="dot" w:pos="8488"/>
        </w:tabs>
        <w:rPr>
          <w:rFonts w:asciiTheme="minorHAnsi" w:hAnsiTheme="minorHAnsi" w:cstheme="minorBidi"/>
          <w:noProof/>
          <w:szCs w:val="22"/>
          <w:lang w:eastAsia="en-GB"/>
        </w:rPr>
      </w:pPr>
      <w:hyperlink w:anchor="_Toc520212578" w:history="1">
        <w:r w:rsidR="0014173B" w:rsidRPr="003E163E">
          <w:rPr>
            <w:rStyle w:val="Collegamentoipertestuale"/>
            <w:noProof/>
          </w:rPr>
          <w:t>Table 4-8</w:t>
        </w:r>
        <w:r w:rsidR="003D31DD">
          <w:rPr>
            <w:rStyle w:val="Collegamentoipertestuale"/>
            <w:noProof/>
          </w:rPr>
          <w:t>.</w:t>
        </w:r>
        <w:r w:rsidR="0014173B" w:rsidRPr="003E163E">
          <w:rPr>
            <w:rStyle w:val="Collegamentoipertestuale"/>
            <w:noProof/>
          </w:rPr>
          <w:t xml:space="preserve"> Depositions in other types of burial receptacle associated with larnax burials</w:t>
        </w:r>
        <w:r w:rsidR="00695DDB">
          <w:rPr>
            <w:rStyle w:val="Collegamentoipertestuale"/>
            <w:noProof/>
          </w:rPr>
          <w:t>,</w:t>
        </w:r>
        <w:r w:rsidR="0014173B" w:rsidRPr="003E163E">
          <w:rPr>
            <w:rStyle w:val="Collegamentoipertestuale"/>
            <w:noProof/>
          </w:rPr>
          <w:t xml:space="preserve"> Mesara </w:t>
        </w:r>
        <w:r w:rsidR="00695DDB">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_Toc520212578 \h </w:instrText>
        </w:r>
        <w:r w:rsidR="0014173B">
          <w:rPr>
            <w:noProof/>
            <w:webHidden/>
          </w:rPr>
        </w:r>
        <w:r w:rsidR="0014173B">
          <w:rPr>
            <w:noProof/>
            <w:webHidden/>
          </w:rPr>
          <w:fldChar w:fldCharType="separate"/>
        </w:r>
        <w:r w:rsidR="00940F6A">
          <w:rPr>
            <w:noProof/>
            <w:webHidden/>
          </w:rPr>
          <w:t>16</w:t>
        </w:r>
        <w:r w:rsidR="006C0E3D">
          <w:rPr>
            <w:noProof/>
            <w:webHidden/>
          </w:rPr>
          <w:t>8</w:t>
        </w:r>
        <w:r w:rsidR="0014173B">
          <w:rPr>
            <w:noProof/>
            <w:webHidden/>
          </w:rPr>
          <w:fldChar w:fldCharType="end"/>
        </w:r>
      </w:hyperlink>
    </w:p>
    <w:p w14:paraId="4A70AEA9" w14:textId="26C211F4" w:rsidR="0014173B" w:rsidRDefault="00874C0C">
      <w:pPr>
        <w:pStyle w:val="Indicedellefigure"/>
        <w:tabs>
          <w:tab w:val="right" w:leader="dot" w:pos="8488"/>
        </w:tabs>
        <w:rPr>
          <w:rFonts w:asciiTheme="minorHAnsi" w:hAnsiTheme="minorHAnsi" w:cstheme="minorBidi"/>
          <w:noProof/>
          <w:szCs w:val="22"/>
          <w:lang w:eastAsia="en-GB"/>
        </w:rPr>
      </w:pPr>
      <w:hyperlink w:anchor="_Toc520212579" w:history="1">
        <w:r w:rsidR="0014173B" w:rsidRPr="003E163E">
          <w:rPr>
            <w:rStyle w:val="Collegamentoipertestuale"/>
            <w:noProof/>
          </w:rPr>
          <w:t>Table 4-9a</w:t>
        </w:r>
        <w:r w:rsidR="003D31DD">
          <w:rPr>
            <w:rStyle w:val="Collegamentoipertestuale"/>
            <w:noProof/>
          </w:rPr>
          <w:t>.</w:t>
        </w:r>
        <w:r w:rsidR="0014173B" w:rsidRPr="003E163E">
          <w:rPr>
            <w:rStyle w:val="Collegamentoipertestuale"/>
            <w:noProof/>
          </w:rPr>
          <w:t xml:space="preserve"> Interment methods and burial stage of skeletal remains in tombs with larnakes and information </w:t>
        </w:r>
        <w:r w:rsidR="003B7664">
          <w:rPr>
            <w:rStyle w:val="Collegamentoipertestuale"/>
            <w:noProof/>
          </w:rPr>
          <w:t>on</w:t>
        </w:r>
        <w:r w:rsidR="0014173B" w:rsidRPr="003E163E">
          <w:rPr>
            <w:rStyle w:val="Collegamentoipertestuale"/>
            <w:noProof/>
          </w:rPr>
          <w:t xml:space="preserve"> skeletal remains</w:t>
        </w:r>
        <w:r w:rsidR="00695DDB">
          <w:rPr>
            <w:rStyle w:val="Collegamentoipertestuale"/>
            <w:noProof/>
          </w:rPr>
          <w:t>,</w:t>
        </w:r>
        <w:r w:rsidR="0014173B" w:rsidRPr="003E163E">
          <w:rPr>
            <w:rStyle w:val="Collegamentoipertestuale"/>
            <w:noProof/>
          </w:rPr>
          <w:t xml:space="preserve"> Mesara </w:t>
        </w:r>
        <w:r w:rsidR="00695DDB">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_Toc520212579 \h </w:instrText>
        </w:r>
        <w:r w:rsidR="0014173B">
          <w:rPr>
            <w:noProof/>
            <w:webHidden/>
          </w:rPr>
        </w:r>
        <w:r w:rsidR="0014173B">
          <w:rPr>
            <w:noProof/>
            <w:webHidden/>
          </w:rPr>
          <w:fldChar w:fldCharType="separate"/>
        </w:r>
        <w:r w:rsidR="00940F6A">
          <w:rPr>
            <w:noProof/>
            <w:webHidden/>
          </w:rPr>
          <w:t>16</w:t>
        </w:r>
        <w:r w:rsidR="0014173B">
          <w:rPr>
            <w:noProof/>
            <w:webHidden/>
          </w:rPr>
          <w:fldChar w:fldCharType="end"/>
        </w:r>
      </w:hyperlink>
      <w:r w:rsidR="006C0E3D">
        <w:rPr>
          <w:noProof/>
        </w:rPr>
        <w:t>9</w:t>
      </w:r>
    </w:p>
    <w:p w14:paraId="5FE955BF" w14:textId="7E378B0A" w:rsidR="0014173B" w:rsidRDefault="00874C0C">
      <w:pPr>
        <w:pStyle w:val="Indicedellefigure"/>
        <w:tabs>
          <w:tab w:val="right" w:leader="dot" w:pos="8488"/>
        </w:tabs>
        <w:rPr>
          <w:rFonts w:asciiTheme="minorHAnsi" w:hAnsiTheme="minorHAnsi" w:cstheme="minorBidi"/>
          <w:noProof/>
          <w:szCs w:val="22"/>
          <w:lang w:eastAsia="en-GB"/>
        </w:rPr>
      </w:pPr>
      <w:hyperlink w:anchor="_Toc520212580" w:history="1">
        <w:r w:rsidR="0014173B" w:rsidRPr="003E163E">
          <w:rPr>
            <w:rStyle w:val="Collegamentoipertestuale"/>
            <w:noProof/>
          </w:rPr>
          <w:t>Table 4-9b</w:t>
        </w:r>
        <w:r w:rsidR="003D31DD">
          <w:rPr>
            <w:rStyle w:val="Collegamentoipertestuale"/>
            <w:noProof/>
          </w:rPr>
          <w:t>.</w:t>
        </w:r>
        <w:r w:rsidR="0014173B" w:rsidRPr="003E163E">
          <w:rPr>
            <w:rStyle w:val="Collegamentoipertestuale"/>
            <w:noProof/>
          </w:rPr>
          <w:t xml:space="preserve"> Interment methods and burial stage of skeletal remains in tombs with larnakes and </w:t>
        </w:r>
        <w:r w:rsidR="0014173B" w:rsidRPr="003E163E">
          <w:rPr>
            <w:rStyle w:val="Collegamentoipertestuale"/>
            <w:noProof/>
          </w:rPr>
          <w:lastRenderedPageBreak/>
          <w:t xml:space="preserve">information </w:t>
        </w:r>
        <w:r w:rsidR="003B7664">
          <w:rPr>
            <w:rStyle w:val="Collegamentoipertestuale"/>
            <w:noProof/>
          </w:rPr>
          <w:t>on</w:t>
        </w:r>
        <w:r w:rsidR="0014173B" w:rsidRPr="003E163E">
          <w:rPr>
            <w:rStyle w:val="Collegamentoipertestuale"/>
            <w:noProof/>
          </w:rPr>
          <w:t xml:space="preserve"> skeletal remains Mesara </w:t>
        </w:r>
        <w:r w:rsidR="00695DDB">
          <w:rPr>
            <w:rStyle w:val="Collegamentoipertestuale"/>
            <w:noProof/>
          </w:rPr>
          <w:t>area</w:t>
        </w:r>
        <w:r w:rsidR="0014173B" w:rsidRPr="003E163E">
          <w:rPr>
            <w:rStyle w:val="Collegamentoipertestuale"/>
            <w:noProof/>
          </w:rPr>
          <w:t>: burial stage related to number of tombs</w:t>
        </w:r>
        <w:r w:rsidR="0014173B">
          <w:rPr>
            <w:noProof/>
            <w:webHidden/>
          </w:rPr>
          <w:tab/>
        </w:r>
        <w:r w:rsidR="0014173B">
          <w:rPr>
            <w:noProof/>
            <w:webHidden/>
          </w:rPr>
          <w:fldChar w:fldCharType="begin"/>
        </w:r>
        <w:r w:rsidR="0014173B">
          <w:rPr>
            <w:noProof/>
            <w:webHidden/>
          </w:rPr>
          <w:instrText xml:space="preserve"> PAGEREF _Toc520212580 \h </w:instrText>
        </w:r>
        <w:r w:rsidR="0014173B">
          <w:rPr>
            <w:noProof/>
            <w:webHidden/>
          </w:rPr>
        </w:r>
        <w:r w:rsidR="0014173B">
          <w:rPr>
            <w:noProof/>
            <w:webHidden/>
          </w:rPr>
          <w:fldChar w:fldCharType="separate"/>
        </w:r>
        <w:r w:rsidR="00940F6A">
          <w:rPr>
            <w:noProof/>
            <w:webHidden/>
          </w:rPr>
          <w:t>16</w:t>
        </w:r>
        <w:r w:rsidR="0014173B">
          <w:rPr>
            <w:noProof/>
            <w:webHidden/>
          </w:rPr>
          <w:fldChar w:fldCharType="end"/>
        </w:r>
      </w:hyperlink>
      <w:r w:rsidR="00035E64">
        <w:rPr>
          <w:noProof/>
        </w:rPr>
        <w:t>9</w:t>
      </w:r>
    </w:p>
    <w:p w14:paraId="158B5DC0" w14:textId="33DDF0D3" w:rsidR="0014173B" w:rsidRDefault="00874C0C">
      <w:pPr>
        <w:pStyle w:val="Indicedellefigure"/>
        <w:tabs>
          <w:tab w:val="right" w:leader="dot" w:pos="8488"/>
        </w:tabs>
        <w:rPr>
          <w:rFonts w:asciiTheme="minorHAnsi" w:hAnsiTheme="minorHAnsi" w:cstheme="minorBidi"/>
          <w:noProof/>
          <w:szCs w:val="22"/>
          <w:lang w:eastAsia="en-GB"/>
        </w:rPr>
      </w:pPr>
      <w:hyperlink w:anchor="_Toc520212581" w:history="1">
        <w:r w:rsidR="0014173B" w:rsidRPr="003E163E">
          <w:rPr>
            <w:rStyle w:val="Collegamentoipertestuale"/>
            <w:noProof/>
          </w:rPr>
          <w:t>Table 4-10</w:t>
        </w:r>
        <w:r w:rsidR="003D31DD">
          <w:rPr>
            <w:rStyle w:val="Collegamentoipertestuale"/>
            <w:noProof/>
          </w:rPr>
          <w:t>.</w:t>
        </w:r>
        <w:r w:rsidR="0014173B" w:rsidRPr="003E163E">
          <w:rPr>
            <w:rStyle w:val="Collegamentoipertestuale"/>
            <w:noProof/>
          </w:rPr>
          <w:t xml:space="preserve"> Number of skeletal remains with information </w:t>
        </w:r>
        <w:r w:rsidR="00CC581F">
          <w:rPr>
            <w:rStyle w:val="Collegamentoipertestuale"/>
            <w:noProof/>
          </w:rPr>
          <w:t>on</w:t>
        </w:r>
        <w:r w:rsidR="0014173B" w:rsidRPr="003E163E">
          <w:rPr>
            <w:rStyle w:val="Collegamentoipertestuale"/>
            <w:noProof/>
          </w:rPr>
          <w:t xml:space="preserve"> gender</w:t>
        </w:r>
        <w:r w:rsidR="005C12A7">
          <w:rPr>
            <w:rStyle w:val="Collegamentoipertestuale"/>
            <w:noProof/>
          </w:rPr>
          <w:t>,</w:t>
        </w:r>
        <w:r w:rsidR="0014173B" w:rsidRPr="003E163E">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_Toc520212581 \h </w:instrText>
        </w:r>
        <w:r w:rsidR="0014173B">
          <w:rPr>
            <w:noProof/>
            <w:webHidden/>
          </w:rPr>
        </w:r>
        <w:r w:rsidR="0014173B">
          <w:rPr>
            <w:noProof/>
            <w:webHidden/>
          </w:rPr>
          <w:fldChar w:fldCharType="separate"/>
        </w:r>
        <w:r w:rsidR="00940F6A">
          <w:rPr>
            <w:noProof/>
            <w:webHidden/>
          </w:rPr>
          <w:t>17</w:t>
        </w:r>
        <w:r w:rsidR="0014173B">
          <w:rPr>
            <w:noProof/>
            <w:webHidden/>
          </w:rPr>
          <w:fldChar w:fldCharType="end"/>
        </w:r>
      </w:hyperlink>
      <w:r w:rsidR="00035E64">
        <w:rPr>
          <w:noProof/>
        </w:rPr>
        <w:t>4</w:t>
      </w:r>
    </w:p>
    <w:p w14:paraId="1E984EAB" w14:textId="646CA199" w:rsidR="0014173B" w:rsidRDefault="00874C0C">
      <w:pPr>
        <w:pStyle w:val="Indicedellefigure"/>
        <w:tabs>
          <w:tab w:val="right" w:leader="dot" w:pos="8488"/>
        </w:tabs>
        <w:rPr>
          <w:rFonts w:asciiTheme="minorHAnsi" w:hAnsiTheme="minorHAnsi" w:cstheme="minorBidi"/>
          <w:noProof/>
          <w:szCs w:val="22"/>
          <w:lang w:eastAsia="en-GB"/>
        </w:rPr>
      </w:pPr>
      <w:hyperlink w:anchor="_Toc520212582" w:history="1">
        <w:r w:rsidR="0014173B" w:rsidRPr="003E163E">
          <w:rPr>
            <w:rStyle w:val="Collegamentoipertestuale"/>
            <w:noProof/>
          </w:rPr>
          <w:t>Table 4-11</w:t>
        </w:r>
        <w:r w:rsidR="003D31DD">
          <w:rPr>
            <w:rStyle w:val="Collegamentoipertestuale"/>
            <w:noProof/>
          </w:rPr>
          <w:t>.</w:t>
        </w:r>
        <w:r w:rsidR="0014173B" w:rsidRPr="003E163E">
          <w:rPr>
            <w:rStyle w:val="Collegamentoipertestuale"/>
            <w:noProof/>
          </w:rPr>
          <w:t xml:space="preserve"> Number of skeletal remains with information </w:t>
        </w:r>
        <w:r w:rsidR="00CC581F">
          <w:rPr>
            <w:rStyle w:val="Collegamentoipertestuale"/>
            <w:noProof/>
          </w:rPr>
          <w:t>on</w:t>
        </w:r>
        <w:r w:rsidR="0014173B" w:rsidRPr="003E163E">
          <w:rPr>
            <w:rStyle w:val="Collegamentoipertestuale"/>
            <w:noProof/>
          </w:rPr>
          <w:t xml:space="preserve"> age</w:t>
        </w:r>
        <w:r w:rsidR="005C12A7">
          <w:rPr>
            <w:rStyle w:val="Collegamentoipertestuale"/>
            <w:noProof/>
          </w:rPr>
          <w:t>,</w:t>
        </w:r>
        <w:r w:rsidR="0014173B" w:rsidRPr="003E163E">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_Toc520212582 \h </w:instrText>
        </w:r>
        <w:r w:rsidR="0014173B">
          <w:rPr>
            <w:noProof/>
            <w:webHidden/>
          </w:rPr>
        </w:r>
        <w:r w:rsidR="0014173B">
          <w:rPr>
            <w:noProof/>
            <w:webHidden/>
          </w:rPr>
          <w:fldChar w:fldCharType="separate"/>
        </w:r>
        <w:r w:rsidR="00940F6A">
          <w:rPr>
            <w:noProof/>
            <w:webHidden/>
          </w:rPr>
          <w:t>17</w:t>
        </w:r>
        <w:r w:rsidR="00035E64">
          <w:rPr>
            <w:noProof/>
            <w:webHidden/>
          </w:rPr>
          <w:t>4</w:t>
        </w:r>
        <w:r w:rsidR="0014173B">
          <w:rPr>
            <w:noProof/>
            <w:webHidden/>
          </w:rPr>
          <w:fldChar w:fldCharType="end"/>
        </w:r>
      </w:hyperlink>
    </w:p>
    <w:p w14:paraId="540EA746" w14:textId="36804758" w:rsidR="0014173B" w:rsidRDefault="00874C0C">
      <w:pPr>
        <w:pStyle w:val="Indicedellefigure"/>
        <w:tabs>
          <w:tab w:val="right" w:leader="dot" w:pos="8488"/>
        </w:tabs>
        <w:rPr>
          <w:rFonts w:asciiTheme="minorHAnsi" w:hAnsiTheme="minorHAnsi" w:cstheme="minorBidi"/>
          <w:noProof/>
          <w:szCs w:val="22"/>
          <w:lang w:eastAsia="en-GB"/>
        </w:rPr>
      </w:pPr>
      <w:hyperlink w:anchor="_Toc520212583" w:history="1">
        <w:r w:rsidR="0014173B" w:rsidRPr="003E163E">
          <w:rPr>
            <w:rStyle w:val="Collegamentoipertestuale"/>
            <w:noProof/>
          </w:rPr>
          <w:t>Table 4-12</w:t>
        </w:r>
        <w:r w:rsidR="003D31DD">
          <w:rPr>
            <w:rStyle w:val="Collegamentoipertestuale"/>
            <w:noProof/>
          </w:rPr>
          <w:t>.</w:t>
        </w:r>
        <w:r w:rsidR="0014173B" w:rsidRPr="003E163E">
          <w:rPr>
            <w:rStyle w:val="Collegamentoipertestuale"/>
            <w:noProof/>
          </w:rPr>
          <w:t xml:space="preserve"> Information concerning number of burials in tombs with larnakes</w:t>
        </w:r>
        <w:r w:rsidR="005C12A7">
          <w:rPr>
            <w:rStyle w:val="Collegamentoipertestuale"/>
            <w:noProof/>
          </w:rPr>
          <w:t>,</w:t>
        </w:r>
        <w:r w:rsidR="0014173B" w:rsidRPr="003E163E">
          <w:rPr>
            <w:rStyle w:val="Collegamentoipertestuale"/>
            <w:noProof/>
          </w:rPr>
          <w:t xml:space="preserve"> Knossos </w:t>
        </w:r>
        <w:r w:rsidR="00695DDB">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_Toc520212583 \h </w:instrText>
        </w:r>
        <w:r w:rsidR="0014173B">
          <w:rPr>
            <w:noProof/>
            <w:webHidden/>
          </w:rPr>
        </w:r>
        <w:r w:rsidR="0014173B">
          <w:rPr>
            <w:noProof/>
            <w:webHidden/>
          </w:rPr>
          <w:fldChar w:fldCharType="separate"/>
        </w:r>
        <w:r w:rsidR="00940F6A">
          <w:rPr>
            <w:noProof/>
            <w:webHidden/>
          </w:rPr>
          <w:t>17</w:t>
        </w:r>
        <w:r w:rsidR="0014173B">
          <w:rPr>
            <w:noProof/>
            <w:webHidden/>
          </w:rPr>
          <w:fldChar w:fldCharType="end"/>
        </w:r>
      </w:hyperlink>
      <w:r w:rsidR="00035E64">
        <w:rPr>
          <w:noProof/>
        </w:rPr>
        <w:t>7</w:t>
      </w:r>
    </w:p>
    <w:p w14:paraId="51340843" w14:textId="723DCFDC" w:rsidR="0014173B" w:rsidRDefault="00874C0C">
      <w:pPr>
        <w:pStyle w:val="Indicedellefigure"/>
        <w:tabs>
          <w:tab w:val="left" w:pos="993"/>
          <w:tab w:val="right" w:leader="dot" w:pos="8488"/>
        </w:tabs>
        <w:rPr>
          <w:rFonts w:asciiTheme="minorHAnsi" w:hAnsiTheme="minorHAnsi" w:cstheme="minorBidi"/>
          <w:noProof/>
          <w:szCs w:val="22"/>
          <w:lang w:eastAsia="en-GB"/>
        </w:rPr>
      </w:pPr>
      <w:hyperlink w:anchor="_Toc520212584" w:history="1">
        <w:r w:rsidR="0014173B" w:rsidRPr="003E163E">
          <w:rPr>
            <w:rStyle w:val="Collegamentoipertestuale"/>
            <w:noProof/>
          </w:rPr>
          <w:t>Table 4-13a</w:t>
        </w:r>
        <w:r w:rsidR="003D31DD">
          <w:rPr>
            <w:rStyle w:val="Collegamentoipertestuale"/>
            <w:noProof/>
          </w:rPr>
          <w:t>.</w:t>
        </w:r>
        <w:r w:rsidR="0014173B" w:rsidRPr="003E163E">
          <w:rPr>
            <w:rStyle w:val="Collegamentoipertestuale"/>
            <w:noProof/>
          </w:rPr>
          <w:t xml:space="preserve"> Interment methods and burial stage of skeletal remains in tombs with larnakes with information </w:t>
        </w:r>
        <w:r w:rsidR="005C12A7">
          <w:rPr>
            <w:rStyle w:val="Collegamentoipertestuale"/>
            <w:noProof/>
          </w:rPr>
          <w:t>on</w:t>
        </w:r>
        <w:r w:rsidR="0014173B" w:rsidRPr="003E163E">
          <w:rPr>
            <w:rStyle w:val="Collegamentoipertestuale"/>
            <w:noProof/>
          </w:rPr>
          <w:t xml:space="preserve"> skeletal remains</w:t>
        </w:r>
        <w:r w:rsidR="005C12A7">
          <w:rPr>
            <w:rStyle w:val="Collegamentoipertestuale"/>
            <w:noProof/>
          </w:rPr>
          <w:t>,</w:t>
        </w:r>
        <w:r w:rsidR="0014173B" w:rsidRPr="003E163E">
          <w:rPr>
            <w:rStyle w:val="Collegamentoipertestuale"/>
            <w:noProof/>
          </w:rPr>
          <w:t xml:space="preserve"> Knossos </w:t>
        </w:r>
        <w:r w:rsidR="00695DDB">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_Toc520212584 \h </w:instrText>
        </w:r>
        <w:r w:rsidR="0014173B">
          <w:rPr>
            <w:noProof/>
            <w:webHidden/>
          </w:rPr>
        </w:r>
        <w:r w:rsidR="0014173B">
          <w:rPr>
            <w:noProof/>
            <w:webHidden/>
          </w:rPr>
          <w:fldChar w:fldCharType="separate"/>
        </w:r>
        <w:r w:rsidR="00940F6A">
          <w:rPr>
            <w:noProof/>
            <w:webHidden/>
          </w:rPr>
          <w:t>17</w:t>
        </w:r>
        <w:r w:rsidR="00035E64">
          <w:rPr>
            <w:noProof/>
            <w:webHidden/>
          </w:rPr>
          <w:t>8</w:t>
        </w:r>
        <w:r w:rsidR="0014173B">
          <w:rPr>
            <w:noProof/>
            <w:webHidden/>
          </w:rPr>
          <w:fldChar w:fldCharType="end"/>
        </w:r>
      </w:hyperlink>
    </w:p>
    <w:p w14:paraId="542DD864" w14:textId="485C2368" w:rsidR="0014173B" w:rsidRDefault="00874C0C">
      <w:pPr>
        <w:pStyle w:val="Indicedellefigure"/>
        <w:tabs>
          <w:tab w:val="right" w:leader="dot" w:pos="8488"/>
        </w:tabs>
        <w:rPr>
          <w:rFonts w:asciiTheme="minorHAnsi" w:hAnsiTheme="minorHAnsi" w:cstheme="minorBidi"/>
          <w:noProof/>
          <w:szCs w:val="22"/>
          <w:lang w:eastAsia="en-GB"/>
        </w:rPr>
      </w:pPr>
      <w:hyperlink w:anchor="_Toc520212585" w:history="1">
        <w:r w:rsidR="0014173B" w:rsidRPr="003E163E">
          <w:rPr>
            <w:rStyle w:val="Collegamentoipertestuale"/>
            <w:noProof/>
          </w:rPr>
          <w:t>Table 4-13b</w:t>
        </w:r>
        <w:r w:rsidR="003D31DD">
          <w:rPr>
            <w:rStyle w:val="Collegamentoipertestuale"/>
            <w:noProof/>
          </w:rPr>
          <w:t>.</w:t>
        </w:r>
        <w:r w:rsidR="0014173B" w:rsidRPr="003E163E">
          <w:rPr>
            <w:rStyle w:val="Collegamentoipertestuale"/>
            <w:noProof/>
          </w:rPr>
          <w:t xml:space="preserve"> Interment methods and burial stage of skeletal remains in tombs with larnakes with information </w:t>
        </w:r>
        <w:r w:rsidR="005C12A7">
          <w:rPr>
            <w:rStyle w:val="Collegamentoipertestuale"/>
            <w:noProof/>
          </w:rPr>
          <w:t>on</w:t>
        </w:r>
        <w:r w:rsidR="0014173B" w:rsidRPr="003E163E">
          <w:rPr>
            <w:rStyle w:val="Collegamentoipertestuale"/>
            <w:noProof/>
          </w:rPr>
          <w:t xml:space="preserve"> skeletal remains</w:t>
        </w:r>
        <w:r w:rsidR="005C12A7">
          <w:rPr>
            <w:rStyle w:val="Collegamentoipertestuale"/>
            <w:noProof/>
          </w:rPr>
          <w:t>,</w:t>
        </w:r>
        <w:r w:rsidR="0014173B" w:rsidRPr="003E163E">
          <w:rPr>
            <w:rStyle w:val="Collegamentoipertestuale"/>
            <w:noProof/>
          </w:rPr>
          <w:t xml:space="preserve"> Knossos </w:t>
        </w:r>
        <w:r w:rsidR="00695DDB">
          <w:rPr>
            <w:rStyle w:val="Collegamentoipertestuale"/>
            <w:noProof/>
          </w:rPr>
          <w:t>area</w:t>
        </w:r>
        <w:r w:rsidR="0014173B" w:rsidRPr="003E163E">
          <w:rPr>
            <w:rStyle w:val="Collegamentoipertestuale"/>
            <w:noProof/>
          </w:rPr>
          <w:t>: burial stage related to number of tombs</w:t>
        </w:r>
        <w:r w:rsidR="0014173B">
          <w:rPr>
            <w:noProof/>
            <w:webHidden/>
          </w:rPr>
          <w:tab/>
        </w:r>
        <w:r w:rsidR="0014173B">
          <w:rPr>
            <w:noProof/>
            <w:webHidden/>
          </w:rPr>
          <w:fldChar w:fldCharType="begin"/>
        </w:r>
        <w:r w:rsidR="0014173B">
          <w:rPr>
            <w:noProof/>
            <w:webHidden/>
          </w:rPr>
          <w:instrText xml:space="preserve"> PAGEREF _Toc520212585 \h </w:instrText>
        </w:r>
        <w:r w:rsidR="0014173B">
          <w:rPr>
            <w:noProof/>
            <w:webHidden/>
          </w:rPr>
        </w:r>
        <w:r w:rsidR="0014173B">
          <w:rPr>
            <w:noProof/>
            <w:webHidden/>
          </w:rPr>
          <w:fldChar w:fldCharType="separate"/>
        </w:r>
        <w:r w:rsidR="00940F6A">
          <w:rPr>
            <w:noProof/>
            <w:webHidden/>
          </w:rPr>
          <w:t>17</w:t>
        </w:r>
        <w:r w:rsidR="00035E64">
          <w:rPr>
            <w:noProof/>
            <w:webHidden/>
          </w:rPr>
          <w:t>9</w:t>
        </w:r>
        <w:r w:rsidR="0014173B">
          <w:rPr>
            <w:noProof/>
            <w:webHidden/>
          </w:rPr>
          <w:fldChar w:fldCharType="end"/>
        </w:r>
      </w:hyperlink>
    </w:p>
    <w:p w14:paraId="7DD35D4D" w14:textId="11C7299F" w:rsidR="0014173B" w:rsidRDefault="00874C0C">
      <w:pPr>
        <w:pStyle w:val="Indicedellefigure"/>
        <w:tabs>
          <w:tab w:val="right" w:leader="dot" w:pos="8488"/>
        </w:tabs>
        <w:rPr>
          <w:rFonts w:asciiTheme="minorHAnsi" w:hAnsiTheme="minorHAnsi" w:cstheme="minorBidi"/>
          <w:noProof/>
          <w:szCs w:val="22"/>
          <w:lang w:eastAsia="en-GB"/>
        </w:rPr>
      </w:pPr>
      <w:hyperlink w:anchor="_Toc520212586" w:history="1">
        <w:r w:rsidR="0014173B" w:rsidRPr="003E163E">
          <w:rPr>
            <w:rStyle w:val="Collegamentoipertestuale"/>
            <w:noProof/>
          </w:rPr>
          <w:t>Table 4-14</w:t>
        </w:r>
        <w:r w:rsidR="003D31DD">
          <w:rPr>
            <w:rStyle w:val="Collegamentoipertestuale"/>
            <w:noProof/>
          </w:rPr>
          <w:t>.</w:t>
        </w:r>
        <w:r w:rsidR="0014173B" w:rsidRPr="003E163E">
          <w:rPr>
            <w:rStyle w:val="Collegamentoipertestuale"/>
            <w:noProof/>
          </w:rPr>
          <w:t xml:space="preserve"> Number of skeletal remains with information </w:t>
        </w:r>
        <w:r w:rsidR="00CC581F">
          <w:rPr>
            <w:rStyle w:val="Collegamentoipertestuale"/>
            <w:noProof/>
          </w:rPr>
          <w:t>on</w:t>
        </w:r>
        <w:r w:rsidR="0014173B" w:rsidRPr="003E163E">
          <w:rPr>
            <w:rStyle w:val="Collegamentoipertestuale"/>
            <w:noProof/>
          </w:rPr>
          <w:t xml:space="preserve"> gender</w:t>
        </w:r>
        <w:r w:rsidR="005C12A7">
          <w:rPr>
            <w:rStyle w:val="Collegamentoipertestuale"/>
            <w:noProof/>
          </w:rPr>
          <w:t>,</w:t>
        </w:r>
        <w:r w:rsidR="0014173B" w:rsidRPr="003E163E">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_Toc520212586 \h </w:instrText>
        </w:r>
        <w:r w:rsidR="0014173B">
          <w:rPr>
            <w:noProof/>
            <w:webHidden/>
          </w:rPr>
        </w:r>
        <w:r w:rsidR="0014173B">
          <w:rPr>
            <w:noProof/>
            <w:webHidden/>
          </w:rPr>
          <w:fldChar w:fldCharType="separate"/>
        </w:r>
        <w:r w:rsidR="00940F6A">
          <w:rPr>
            <w:noProof/>
            <w:webHidden/>
          </w:rPr>
          <w:t>18</w:t>
        </w:r>
        <w:r w:rsidR="00035E64">
          <w:rPr>
            <w:noProof/>
            <w:webHidden/>
          </w:rPr>
          <w:t>1</w:t>
        </w:r>
        <w:r w:rsidR="0014173B">
          <w:rPr>
            <w:noProof/>
            <w:webHidden/>
          </w:rPr>
          <w:fldChar w:fldCharType="end"/>
        </w:r>
      </w:hyperlink>
    </w:p>
    <w:p w14:paraId="30AF3F2C" w14:textId="20946E43" w:rsidR="0014173B" w:rsidRDefault="00874C0C">
      <w:pPr>
        <w:pStyle w:val="Indicedellefigure"/>
        <w:tabs>
          <w:tab w:val="right" w:leader="dot" w:pos="8488"/>
        </w:tabs>
        <w:rPr>
          <w:rFonts w:asciiTheme="minorHAnsi" w:hAnsiTheme="minorHAnsi" w:cstheme="minorBidi"/>
          <w:noProof/>
          <w:szCs w:val="22"/>
          <w:lang w:eastAsia="en-GB"/>
        </w:rPr>
      </w:pPr>
      <w:hyperlink w:anchor="_Toc520212587" w:history="1">
        <w:r w:rsidR="0014173B" w:rsidRPr="003E163E">
          <w:rPr>
            <w:rStyle w:val="Collegamentoipertestuale"/>
            <w:noProof/>
          </w:rPr>
          <w:t>Table 4-15</w:t>
        </w:r>
        <w:r w:rsidR="003D31DD">
          <w:rPr>
            <w:rStyle w:val="Collegamentoipertestuale"/>
            <w:noProof/>
          </w:rPr>
          <w:t>.</w:t>
        </w:r>
        <w:r w:rsidR="0014173B" w:rsidRPr="003E163E">
          <w:rPr>
            <w:rStyle w:val="Collegamentoipertestuale"/>
            <w:noProof/>
          </w:rPr>
          <w:t xml:space="preserve"> Number of skeletal remains with information </w:t>
        </w:r>
        <w:r w:rsidR="00CC581F">
          <w:rPr>
            <w:rStyle w:val="Collegamentoipertestuale"/>
            <w:noProof/>
          </w:rPr>
          <w:t>on</w:t>
        </w:r>
        <w:r w:rsidR="0014173B" w:rsidRPr="003E163E">
          <w:rPr>
            <w:rStyle w:val="Collegamentoipertestuale"/>
            <w:noProof/>
          </w:rPr>
          <w:t xml:space="preserve"> age</w:t>
        </w:r>
        <w:r w:rsidR="005C12A7">
          <w:rPr>
            <w:rStyle w:val="Collegamentoipertestuale"/>
            <w:noProof/>
          </w:rPr>
          <w:t>,</w:t>
        </w:r>
        <w:r w:rsidR="0014173B" w:rsidRPr="003E163E">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_Toc520212587 \h </w:instrText>
        </w:r>
        <w:r w:rsidR="0014173B">
          <w:rPr>
            <w:noProof/>
            <w:webHidden/>
          </w:rPr>
        </w:r>
        <w:r w:rsidR="0014173B">
          <w:rPr>
            <w:noProof/>
            <w:webHidden/>
          </w:rPr>
          <w:fldChar w:fldCharType="separate"/>
        </w:r>
        <w:r w:rsidR="00940F6A">
          <w:rPr>
            <w:noProof/>
            <w:webHidden/>
          </w:rPr>
          <w:t>18</w:t>
        </w:r>
        <w:r w:rsidR="00035E64">
          <w:rPr>
            <w:noProof/>
            <w:webHidden/>
          </w:rPr>
          <w:t>1</w:t>
        </w:r>
        <w:r w:rsidR="0014173B">
          <w:rPr>
            <w:noProof/>
            <w:webHidden/>
          </w:rPr>
          <w:fldChar w:fldCharType="end"/>
        </w:r>
      </w:hyperlink>
    </w:p>
    <w:p w14:paraId="4E17398D" w14:textId="7956CE56" w:rsidR="0014173B" w:rsidRDefault="00874C0C">
      <w:pPr>
        <w:pStyle w:val="Indicedellefigure"/>
        <w:tabs>
          <w:tab w:val="right" w:leader="dot" w:pos="8488"/>
        </w:tabs>
        <w:rPr>
          <w:rFonts w:asciiTheme="minorHAnsi" w:hAnsiTheme="minorHAnsi" w:cstheme="minorBidi"/>
          <w:noProof/>
          <w:szCs w:val="22"/>
          <w:lang w:eastAsia="en-GB"/>
        </w:rPr>
      </w:pPr>
      <w:hyperlink w:anchor="_Toc520212588" w:history="1">
        <w:r w:rsidR="0014173B" w:rsidRPr="003E163E">
          <w:rPr>
            <w:rStyle w:val="Collegamentoipertestuale"/>
            <w:noProof/>
          </w:rPr>
          <w:t>Table 4-16</w:t>
        </w:r>
        <w:r w:rsidR="003D31DD">
          <w:rPr>
            <w:rStyle w:val="Collegamentoipertestuale"/>
            <w:noProof/>
          </w:rPr>
          <w:t>.</w:t>
        </w:r>
        <w:r w:rsidR="0014173B" w:rsidRPr="003E163E">
          <w:rPr>
            <w:rStyle w:val="Collegamentoipertestuale"/>
            <w:noProof/>
          </w:rPr>
          <w:t xml:space="preserve"> Information concerning number of burials in tombs with larnakes</w:t>
        </w:r>
        <w:r w:rsidR="005C12A7">
          <w:rPr>
            <w:rStyle w:val="Collegamentoipertestuale"/>
            <w:noProof/>
          </w:rPr>
          <w:t>,</w:t>
        </w:r>
        <w:r w:rsidR="0014173B" w:rsidRPr="003E163E">
          <w:rPr>
            <w:rStyle w:val="Collegamentoipertestuale"/>
            <w:noProof/>
          </w:rPr>
          <w:t xml:space="preserve"> Central </w:t>
        </w:r>
        <w:r w:rsidR="005C12A7">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_Toc520212588 \h </w:instrText>
        </w:r>
        <w:r w:rsidR="0014173B">
          <w:rPr>
            <w:noProof/>
            <w:webHidden/>
          </w:rPr>
        </w:r>
        <w:r w:rsidR="0014173B">
          <w:rPr>
            <w:noProof/>
            <w:webHidden/>
          </w:rPr>
          <w:fldChar w:fldCharType="separate"/>
        </w:r>
        <w:r w:rsidR="00940F6A">
          <w:rPr>
            <w:noProof/>
            <w:webHidden/>
          </w:rPr>
          <w:t>18</w:t>
        </w:r>
        <w:r w:rsidR="0014173B">
          <w:rPr>
            <w:noProof/>
            <w:webHidden/>
          </w:rPr>
          <w:fldChar w:fldCharType="end"/>
        </w:r>
      </w:hyperlink>
      <w:r w:rsidR="00035E64">
        <w:rPr>
          <w:noProof/>
        </w:rPr>
        <w:t>4</w:t>
      </w:r>
    </w:p>
    <w:p w14:paraId="6C07A365" w14:textId="1236BCD2" w:rsidR="0014173B" w:rsidRDefault="00874C0C">
      <w:pPr>
        <w:pStyle w:val="Indicedellefigure"/>
        <w:tabs>
          <w:tab w:val="right" w:leader="dot" w:pos="8488"/>
        </w:tabs>
        <w:rPr>
          <w:rFonts w:asciiTheme="minorHAnsi" w:hAnsiTheme="minorHAnsi" w:cstheme="minorBidi"/>
          <w:noProof/>
          <w:szCs w:val="22"/>
          <w:lang w:eastAsia="en-GB"/>
        </w:rPr>
      </w:pPr>
      <w:hyperlink w:anchor="_Toc520212589" w:history="1">
        <w:r w:rsidR="0014173B" w:rsidRPr="003E163E">
          <w:rPr>
            <w:rStyle w:val="Collegamentoipertestuale"/>
            <w:noProof/>
          </w:rPr>
          <w:t>Table 4-17</w:t>
        </w:r>
        <w:r w:rsidR="003D31DD">
          <w:rPr>
            <w:rStyle w:val="Collegamentoipertestuale"/>
            <w:noProof/>
          </w:rPr>
          <w:t>.</w:t>
        </w:r>
        <w:r w:rsidR="0014173B" w:rsidRPr="003E163E">
          <w:rPr>
            <w:rStyle w:val="Collegamentoipertestuale"/>
            <w:noProof/>
          </w:rPr>
          <w:t xml:space="preserve"> Depositions in other types of burial receptacle associated with larnax burials</w:t>
        </w:r>
        <w:r w:rsidR="005C12A7">
          <w:rPr>
            <w:rStyle w:val="Collegamentoipertestuale"/>
            <w:noProof/>
          </w:rPr>
          <w:t>,</w:t>
        </w:r>
        <w:r w:rsidR="0014173B" w:rsidRPr="003E163E">
          <w:rPr>
            <w:rStyle w:val="Collegamentoipertestuale"/>
            <w:noProof/>
          </w:rPr>
          <w:t xml:space="preserve"> Central </w:t>
        </w:r>
        <w:r w:rsidR="005C12A7">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_Toc520212589 \h </w:instrText>
        </w:r>
        <w:r w:rsidR="0014173B">
          <w:rPr>
            <w:noProof/>
            <w:webHidden/>
          </w:rPr>
        </w:r>
        <w:r w:rsidR="0014173B">
          <w:rPr>
            <w:noProof/>
            <w:webHidden/>
          </w:rPr>
          <w:fldChar w:fldCharType="separate"/>
        </w:r>
        <w:r w:rsidR="00940F6A">
          <w:rPr>
            <w:noProof/>
            <w:webHidden/>
          </w:rPr>
          <w:t>18</w:t>
        </w:r>
        <w:r w:rsidR="00035E64">
          <w:rPr>
            <w:noProof/>
            <w:webHidden/>
          </w:rPr>
          <w:t>5</w:t>
        </w:r>
        <w:r w:rsidR="0014173B">
          <w:rPr>
            <w:noProof/>
            <w:webHidden/>
          </w:rPr>
          <w:fldChar w:fldCharType="end"/>
        </w:r>
      </w:hyperlink>
    </w:p>
    <w:p w14:paraId="7C145D56" w14:textId="58F67644" w:rsidR="0014173B" w:rsidRDefault="00874C0C">
      <w:pPr>
        <w:pStyle w:val="Indicedellefigure"/>
        <w:tabs>
          <w:tab w:val="right" w:leader="dot" w:pos="8488"/>
        </w:tabs>
        <w:rPr>
          <w:rFonts w:asciiTheme="minorHAnsi" w:hAnsiTheme="minorHAnsi" w:cstheme="minorBidi"/>
          <w:noProof/>
          <w:szCs w:val="22"/>
          <w:lang w:eastAsia="en-GB"/>
        </w:rPr>
      </w:pPr>
      <w:hyperlink w:anchor="_Toc520212590" w:history="1">
        <w:r w:rsidR="0014173B" w:rsidRPr="003E163E">
          <w:rPr>
            <w:rStyle w:val="Collegamentoipertestuale"/>
            <w:noProof/>
          </w:rPr>
          <w:t>Table 4-18a</w:t>
        </w:r>
        <w:r w:rsidR="003D31DD">
          <w:rPr>
            <w:rStyle w:val="Collegamentoipertestuale"/>
            <w:noProof/>
          </w:rPr>
          <w:t>.</w:t>
        </w:r>
        <w:r w:rsidR="0014173B" w:rsidRPr="003E163E">
          <w:rPr>
            <w:rStyle w:val="Collegamentoipertestuale"/>
            <w:noProof/>
          </w:rPr>
          <w:t xml:space="preserve"> Interment methods and burial stage of skeletal remains in tombs with larnakes and information </w:t>
        </w:r>
        <w:r w:rsidR="005C12A7">
          <w:rPr>
            <w:rStyle w:val="Collegamentoipertestuale"/>
            <w:noProof/>
          </w:rPr>
          <w:t>on</w:t>
        </w:r>
        <w:r w:rsidR="0014173B" w:rsidRPr="003E163E">
          <w:rPr>
            <w:rStyle w:val="Collegamentoipertestuale"/>
            <w:noProof/>
          </w:rPr>
          <w:t xml:space="preserve"> skeletal remains</w:t>
        </w:r>
        <w:r w:rsidR="00695DDB">
          <w:rPr>
            <w:rStyle w:val="Collegamentoipertestuale"/>
            <w:noProof/>
          </w:rPr>
          <w:t>,</w:t>
        </w:r>
        <w:r w:rsidR="0014173B" w:rsidRPr="003E163E">
          <w:rPr>
            <w:rStyle w:val="Collegamentoipertestuale"/>
            <w:noProof/>
          </w:rPr>
          <w:t xml:space="preserve"> Central </w:t>
        </w:r>
        <w:r w:rsidR="00695DDB">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_Toc520212590 \h </w:instrText>
        </w:r>
        <w:r w:rsidR="0014173B">
          <w:rPr>
            <w:noProof/>
            <w:webHidden/>
          </w:rPr>
        </w:r>
        <w:r w:rsidR="0014173B">
          <w:rPr>
            <w:noProof/>
            <w:webHidden/>
          </w:rPr>
          <w:fldChar w:fldCharType="separate"/>
        </w:r>
        <w:r w:rsidR="00940F6A">
          <w:rPr>
            <w:noProof/>
            <w:webHidden/>
          </w:rPr>
          <w:t>18</w:t>
        </w:r>
        <w:r w:rsidR="00035E64">
          <w:rPr>
            <w:noProof/>
            <w:webHidden/>
          </w:rPr>
          <w:t>6</w:t>
        </w:r>
        <w:r w:rsidR="0014173B">
          <w:rPr>
            <w:noProof/>
            <w:webHidden/>
          </w:rPr>
          <w:fldChar w:fldCharType="end"/>
        </w:r>
      </w:hyperlink>
    </w:p>
    <w:p w14:paraId="344DB1FD" w14:textId="0223EE77" w:rsidR="0014173B" w:rsidRDefault="00874C0C">
      <w:pPr>
        <w:pStyle w:val="Indicedellefigure"/>
        <w:tabs>
          <w:tab w:val="right" w:leader="dot" w:pos="8488"/>
        </w:tabs>
        <w:rPr>
          <w:rFonts w:asciiTheme="minorHAnsi" w:hAnsiTheme="minorHAnsi" w:cstheme="minorBidi"/>
          <w:noProof/>
          <w:szCs w:val="22"/>
          <w:lang w:eastAsia="en-GB"/>
        </w:rPr>
      </w:pPr>
      <w:hyperlink w:anchor="_Toc520212591" w:history="1">
        <w:r w:rsidR="0014173B" w:rsidRPr="003E163E">
          <w:rPr>
            <w:rStyle w:val="Collegamentoipertestuale"/>
            <w:noProof/>
          </w:rPr>
          <w:t>Table 4-18b</w:t>
        </w:r>
        <w:r w:rsidR="003D31DD">
          <w:rPr>
            <w:rStyle w:val="Collegamentoipertestuale"/>
            <w:noProof/>
          </w:rPr>
          <w:t>.</w:t>
        </w:r>
        <w:r w:rsidR="0014173B" w:rsidRPr="003E163E">
          <w:rPr>
            <w:rStyle w:val="Collegamentoipertestuale"/>
            <w:noProof/>
          </w:rPr>
          <w:t xml:space="preserve"> Interment methods and burial stage of skeletal remains in tombs with larnakes and information </w:t>
        </w:r>
        <w:r w:rsidR="005C12A7">
          <w:rPr>
            <w:rStyle w:val="Collegamentoipertestuale"/>
            <w:noProof/>
          </w:rPr>
          <w:t>on</w:t>
        </w:r>
        <w:r w:rsidR="0014173B" w:rsidRPr="003E163E">
          <w:rPr>
            <w:rStyle w:val="Collegamentoipertestuale"/>
            <w:noProof/>
          </w:rPr>
          <w:t xml:space="preserve"> skeletal remains</w:t>
        </w:r>
        <w:r w:rsidR="00695DDB">
          <w:rPr>
            <w:rStyle w:val="Collegamentoipertestuale"/>
            <w:noProof/>
          </w:rPr>
          <w:t>,</w:t>
        </w:r>
        <w:r w:rsidR="0014173B" w:rsidRPr="003E163E">
          <w:rPr>
            <w:rStyle w:val="Collegamentoipertestuale"/>
            <w:noProof/>
          </w:rPr>
          <w:t xml:space="preserve"> Central </w:t>
        </w:r>
        <w:r w:rsidR="00695DDB">
          <w:rPr>
            <w:rStyle w:val="Collegamentoipertestuale"/>
            <w:noProof/>
          </w:rPr>
          <w:t>area</w:t>
        </w:r>
        <w:r w:rsidR="0014173B" w:rsidRPr="003E163E">
          <w:rPr>
            <w:rStyle w:val="Collegamentoipertestuale"/>
            <w:noProof/>
          </w:rPr>
          <w:t>: burial stage related to number of tombs</w:t>
        </w:r>
        <w:r w:rsidR="0014173B">
          <w:rPr>
            <w:noProof/>
            <w:webHidden/>
          </w:rPr>
          <w:tab/>
        </w:r>
        <w:r w:rsidR="0014173B">
          <w:rPr>
            <w:noProof/>
            <w:webHidden/>
          </w:rPr>
          <w:fldChar w:fldCharType="begin"/>
        </w:r>
        <w:r w:rsidR="0014173B">
          <w:rPr>
            <w:noProof/>
            <w:webHidden/>
          </w:rPr>
          <w:instrText xml:space="preserve"> PAGEREF _Toc520212591 \h </w:instrText>
        </w:r>
        <w:r w:rsidR="0014173B">
          <w:rPr>
            <w:noProof/>
            <w:webHidden/>
          </w:rPr>
        </w:r>
        <w:r w:rsidR="0014173B">
          <w:rPr>
            <w:noProof/>
            <w:webHidden/>
          </w:rPr>
          <w:fldChar w:fldCharType="separate"/>
        </w:r>
        <w:r w:rsidR="00940F6A">
          <w:rPr>
            <w:noProof/>
            <w:webHidden/>
          </w:rPr>
          <w:t>18</w:t>
        </w:r>
        <w:r w:rsidR="00035E64">
          <w:rPr>
            <w:noProof/>
            <w:webHidden/>
          </w:rPr>
          <w:t>7</w:t>
        </w:r>
        <w:r w:rsidR="0014173B">
          <w:rPr>
            <w:noProof/>
            <w:webHidden/>
          </w:rPr>
          <w:fldChar w:fldCharType="end"/>
        </w:r>
      </w:hyperlink>
    </w:p>
    <w:p w14:paraId="23B21998" w14:textId="378003F4" w:rsidR="0014173B" w:rsidRDefault="00874C0C">
      <w:pPr>
        <w:pStyle w:val="Indicedellefigure"/>
        <w:tabs>
          <w:tab w:val="right" w:leader="dot" w:pos="8488"/>
        </w:tabs>
        <w:rPr>
          <w:rFonts w:asciiTheme="minorHAnsi" w:hAnsiTheme="minorHAnsi" w:cstheme="minorBidi"/>
          <w:noProof/>
          <w:szCs w:val="22"/>
          <w:lang w:eastAsia="en-GB"/>
        </w:rPr>
      </w:pPr>
      <w:hyperlink w:anchor="_Toc520212592" w:history="1">
        <w:r w:rsidR="0014173B" w:rsidRPr="003E163E">
          <w:rPr>
            <w:rStyle w:val="Collegamentoipertestuale"/>
            <w:noProof/>
          </w:rPr>
          <w:t>Table 4-19</w:t>
        </w:r>
        <w:r w:rsidR="003D31DD">
          <w:rPr>
            <w:rStyle w:val="Collegamentoipertestuale"/>
            <w:noProof/>
          </w:rPr>
          <w:t>.</w:t>
        </w:r>
        <w:r w:rsidR="0014173B" w:rsidRPr="003E163E">
          <w:rPr>
            <w:rStyle w:val="Collegamentoipertestuale"/>
            <w:noProof/>
          </w:rPr>
          <w:t xml:space="preserve"> Number of skeletal remains with information </w:t>
        </w:r>
        <w:r w:rsidR="00CC581F">
          <w:rPr>
            <w:rStyle w:val="Collegamentoipertestuale"/>
            <w:noProof/>
          </w:rPr>
          <w:t>on</w:t>
        </w:r>
        <w:r w:rsidR="0014173B" w:rsidRPr="003E163E">
          <w:rPr>
            <w:rStyle w:val="Collegamentoipertestuale"/>
            <w:noProof/>
          </w:rPr>
          <w:t xml:space="preserve"> gender</w:t>
        </w:r>
        <w:r w:rsidR="00695DDB">
          <w:rPr>
            <w:rStyle w:val="Collegamentoipertestuale"/>
            <w:noProof/>
          </w:rPr>
          <w:t>,</w:t>
        </w:r>
        <w:r w:rsidR="0014173B" w:rsidRPr="003E163E">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_Toc520212592 \h </w:instrText>
        </w:r>
        <w:r w:rsidR="0014173B">
          <w:rPr>
            <w:noProof/>
            <w:webHidden/>
          </w:rPr>
        </w:r>
        <w:r w:rsidR="0014173B">
          <w:rPr>
            <w:noProof/>
            <w:webHidden/>
          </w:rPr>
          <w:fldChar w:fldCharType="separate"/>
        </w:r>
        <w:r w:rsidR="00940F6A">
          <w:rPr>
            <w:noProof/>
            <w:webHidden/>
          </w:rPr>
          <w:t>18</w:t>
        </w:r>
        <w:r w:rsidR="0014173B">
          <w:rPr>
            <w:noProof/>
            <w:webHidden/>
          </w:rPr>
          <w:fldChar w:fldCharType="end"/>
        </w:r>
      </w:hyperlink>
      <w:r w:rsidR="00035E64">
        <w:rPr>
          <w:noProof/>
        </w:rPr>
        <w:t>9</w:t>
      </w:r>
    </w:p>
    <w:p w14:paraId="028C982A" w14:textId="45246E60" w:rsidR="0014173B" w:rsidRDefault="00874C0C">
      <w:pPr>
        <w:pStyle w:val="Indicedellefigure"/>
        <w:tabs>
          <w:tab w:val="right" w:leader="dot" w:pos="8488"/>
        </w:tabs>
        <w:rPr>
          <w:rFonts w:asciiTheme="minorHAnsi" w:hAnsiTheme="minorHAnsi" w:cstheme="minorBidi"/>
          <w:noProof/>
          <w:szCs w:val="22"/>
          <w:lang w:eastAsia="en-GB"/>
        </w:rPr>
      </w:pPr>
      <w:hyperlink w:anchor="_Toc520212593" w:history="1">
        <w:r w:rsidR="0014173B" w:rsidRPr="003E163E">
          <w:rPr>
            <w:rStyle w:val="Collegamentoipertestuale"/>
            <w:noProof/>
          </w:rPr>
          <w:t>Table 4-20</w:t>
        </w:r>
        <w:r w:rsidR="003D31DD">
          <w:rPr>
            <w:rStyle w:val="Collegamentoipertestuale"/>
            <w:noProof/>
          </w:rPr>
          <w:t>.</w:t>
        </w:r>
        <w:r w:rsidR="0014173B" w:rsidRPr="003E163E">
          <w:rPr>
            <w:rStyle w:val="Collegamentoipertestuale"/>
            <w:noProof/>
          </w:rPr>
          <w:t xml:space="preserve"> Number of skeletal remains with information </w:t>
        </w:r>
        <w:r w:rsidR="00CC581F">
          <w:rPr>
            <w:rStyle w:val="Collegamentoipertestuale"/>
            <w:noProof/>
          </w:rPr>
          <w:t>on</w:t>
        </w:r>
        <w:r w:rsidR="0014173B" w:rsidRPr="003E163E">
          <w:rPr>
            <w:rStyle w:val="Collegamentoipertestuale"/>
            <w:noProof/>
          </w:rPr>
          <w:t xml:space="preserve"> age</w:t>
        </w:r>
        <w:r w:rsidR="00695DDB">
          <w:rPr>
            <w:rStyle w:val="Collegamentoipertestuale"/>
            <w:noProof/>
          </w:rPr>
          <w:t>,</w:t>
        </w:r>
        <w:r w:rsidR="0014173B" w:rsidRPr="003E163E">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_Toc520212593 \h </w:instrText>
        </w:r>
        <w:r w:rsidR="0014173B">
          <w:rPr>
            <w:noProof/>
            <w:webHidden/>
          </w:rPr>
        </w:r>
        <w:r w:rsidR="0014173B">
          <w:rPr>
            <w:noProof/>
            <w:webHidden/>
          </w:rPr>
          <w:fldChar w:fldCharType="separate"/>
        </w:r>
        <w:r w:rsidR="00940F6A">
          <w:rPr>
            <w:noProof/>
            <w:webHidden/>
          </w:rPr>
          <w:t>18</w:t>
        </w:r>
        <w:r w:rsidR="0014173B">
          <w:rPr>
            <w:noProof/>
            <w:webHidden/>
          </w:rPr>
          <w:fldChar w:fldCharType="end"/>
        </w:r>
      </w:hyperlink>
      <w:r w:rsidR="00035E64">
        <w:rPr>
          <w:noProof/>
        </w:rPr>
        <w:t>9</w:t>
      </w:r>
    </w:p>
    <w:p w14:paraId="66B642B8" w14:textId="21AB3557" w:rsidR="0014173B" w:rsidRDefault="00874C0C">
      <w:pPr>
        <w:pStyle w:val="Indicedellefigure"/>
        <w:tabs>
          <w:tab w:val="right" w:leader="dot" w:pos="8488"/>
        </w:tabs>
        <w:rPr>
          <w:rFonts w:asciiTheme="minorHAnsi" w:hAnsiTheme="minorHAnsi" w:cstheme="minorBidi"/>
          <w:noProof/>
          <w:szCs w:val="22"/>
          <w:lang w:eastAsia="en-GB"/>
        </w:rPr>
      </w:pPr>
      <w:hyperlink w:anchor="_Toc520212594" w:history="1">
        <w:r w:rsidR="0014173B" w:rsidRPr="003E163E">
          <w:rPr>
            <w:rStyle w:val="Collegamentoipertestuale"/>
            <w:noProof/>
          </w:rPr>
          <w:t>Table 4-21</w:t>
        </w:r>
        <w:r w:rsidR="003D31DD">
          <w:rPr>
            <w:rStyle w:val="Collegamentoipertestuale"/>
            <w:noProof/>
          </w:rPr>
          <w:t>.</w:t>
        </w:r>
        <w:r w:rsidR="0014173B" w:rsidRPr="003E163E">
          <w:rPr>
            <w:rStyle w:val="Collegamentoipertestuale"/>
            <w:noProof/>
          </w:rPr>
          <w:t xml:space="preserve"> Information concerning number of burials in tombs with larnakes</w:t>
        </w:r>
        <w:r w:rsidR="00695DDB">
          <w:rPr>
            <w:rStyle w:val="Collegamentoipertestuale"/>
            <w:noProof/>
          </w:rPr>
          <w:t>,</w:t>
        </w:r>
        <w:r w:rsidR="0014173B" w:rsidRPr="003E163E">
          <w:rPr>
            <w:rStyle w:val="Collegamentoipertestuale"/>
            <w:noProof/>
          </w:rPr>
          <w:t xml:space="preserve"> Mid-East </w:t>
        </w:r>
        <w:r w:rsidR="00695DDB">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_Toc520212594 \h </w:instrText>
        </w:r>
        <w:r w:rsidR="0014173B">
          <w:rPr>
            <w:noProof/>
            <w:webHidden/>
          </w:rPr>
        </w:r>
        <w:r w:rsidR="0014173B">
          <w:rPr>
            <w:noProof/>
            <w:webHidden/>
          </w:rPr>
          <w:fldChar w:fldCharType="separate"/>
        </w:r>
        <w:r w:rsidR="00940F6A">
          <w:rPr>
            <w:noProof/>
            <w:webHidden/>
          </w:rPr>
          <w:t>19</w:t>
        </w:r>
        <w:r w:rsidR="00035E64">
          <w:rPr>
            <w:noProof/>
            <w:webHidden/>
          </w:rPr>
          <w:t>2</w:t>
        </w:r>
        <w:r w:rsidR="0014173B">
          <w:rPr>
            <w:noProof/>
            <w:webHidden/>
          </w:rPr>
          <w:fldChar w:fldCharType="end"/>
        </w:r>
      </w:hyperlink>
    </w:p>
    <w:p w14:paraId="792A8747" w14:textId="402A03A0" w:rsidR="0014173B" w:rsidRDefault="00874C0C">
      <w:pPr>
        <w:pStyle w:val="Indicedellefigure"/>
        <w:tabs>
          <w:tab w:val="right" w:leader="dot" w:pos="8488"/>
        </w:tabs>
        <w:rPr>
          <w:rFonts w:asciiTheme="minorHAnsi" w:hAnsiTheme="minorHAnsi" w:cstheme="minorBidi"/>
          <w:noProof/>
          <w:szCs w:val="22"/>
          <w:lang w:eastAsia="en-GB"/>
        </w:rPr>
      </w:pPr>
      <w:hyperlink w:anchor="_Toc520212595" w:history="1">
        <w:r w:rsidR="0014173B" w:rsidRPr="003E163E">
          <w:rPr>
            <w:rStyle w:val="Collegamentoipertestuale"/>
            <w:noProof/>
          </w:rPr>
          <w:t>Table 4-22</w:t>
        </w:r>
        <w:r w:rsidR="003D31DD">
          <w:rPr>
            <w:rStyle w:val="Collegamentoipertestuale"/>
            <w:noProof/>
          </w:rPr>
          <w:t>.</w:t>
        </w:r>
        <w:r w:rsidR="0014173B" w:rsidRPr="003E163E">
          <w:rPr>
            <w:rStyle w:val="Collegamentoipertestuale"/>
            <w:noProof/>
          </w:rPr>
          <w:t xml:space="preserve"> Depositions in other types of burial receptacle associated with larnax burials</w:t>
        </w:r>
        <w:r w:rsidR="00695DDB">
          <w:rPr>
            <w:rStyle w:val="Collegamentoipertestuale"/>
            <w:noProof/>
          </w:rPr>
          <w:t>,</w:t>
        </w:r>
        <w:r w:rsidR="0014173B" w:rsidRPr="003E163E">
          <w:rPr>
            <w:rStyle w:val="Collegamentoipertestuale"/>
            <w:noProof/>
          </w:rPr>
          <w:t xml:space="preserve"> Mid-East</w:t>
        </w:r>
        <w:r w:rsidR="00695DDB">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_Toc520212595 \h </w:instrText>
        </w:r>
        <w:r w:rsidR="0014173B">
          <w:rPr>
            <w:noProof/>
            <w:webHidden/>
          </w:rPr>
        </w:r>
        <w:r w:rsidR="0014173B">
          <w:rPr>
            <w:noProof/>
            <w:webHidden/>
          </w:rPr>
          <w:fldChar w:fldCharType="separate"/>
        </w:r>
        <w:r w:rsidR="00940F6A">
          <w:rPr>
            <w:noProof/>
            <w:webHidden/>
          </w:rPr>
          <w:t>19</w:t>
        </w:r>
        <w:r w:rsidR="00035E64">
          <w:rPr>
            <w:noProof/>
            <w:webHidden/>
          </w:rPr>
          <w:t>3</w:t>
        </w:r>
        <w:r w:rsidR="0014173B">
          <w:rPr>
            <w:noProof/>
            <w:webHidden/>
          </w:rPr>
          <w:fldChar w:fldCharType="end"/>
        </w:r>
      </w:hyperlink>
    </w:p>
    <w:p w14:paraId="6F9497FD" w14:textId="26D9F3BC" w:rsidR="0014173B" w:rsidRDefault="00874C0C">
      <w:pPr>
        <w:pStyle w:val="Indicedellefigure"/>
        <w:tabs>
          <w:tab w:val="right" w:leader="dot" w:pos="8488"/>
        </w:tabs>
        <w:rPr>
          <w:rFonts w:asciiTheme="minorHAnsi" w:hAnsiTheme="minorHAnsi" w:cstheme="minorBidi"/>
          <w:noProof/>
          <w:szCs w:val="22"/>
          <w:lang w:eastAsia="en-GB"/>
        </w:rPr>
      </w:pPr>
      <w:hyperlink w:anchor="_Toc520212596" w:history="1">
        <w:r w:rsidR="0014173B" w:rsidRPr="003E163E">
          <w:rPr>
            <w:rStyle w:val="Collegamentoipertestuale"/>
            <w:noProof/>
          </w:rPr>
          <w:t>Table 4-23a</w:t>
        </w:r>
        <w:r w:rsidR="003D31DD">
          <w:rPr>
            <w:rStyle w:val="Collegamentoipertestuale"/>
            <w:noProof/>
          </w:rPr>
          <w:t>.</w:t>
        </w:r>
        <w:r w:rsidR="0014173B" w:rsidRPr="003E163E">
          <w:rPr>
            <w:rStyle w:val="Collegamentoipertestuale"/>
            <w:noProof/>
          </w:rPr>
          <w:t xml:space="preserve"> Interment methods and burial stage of skeletal remains in tombs with larnakes and information </w:t>
        </w:r>
        <w:r w:rsidR="00CC581F">
          <w:rPr>
            <w:rStyle w:val="Collegamentoipertestuale"/>
            <w:noProof/>
          </w:rPr>
          <w:t>on</w:t>
        </w:r>
        <w:r w:rsidR="0014173B" w:rsidRPr="003E163E">
          <w:rPr>
            <w:rStyle w:val="Collegamentoipertestuale"/>
            <w:noProof/>
          </w:rPr>
          <w:t xml:space="preserve"> skeletal remains</w:t>
        </w:r>
        <w:r w:rsidR="00CC581F">
          <w:rPr>
            <w:rStyle w:val="Collegamentoipertestuale"/>
            <w:noProof/>
          </w:rPr>
          <w:t>,</w:t>
        </w:r>
        <w:r w:rsidR="0014173B" w:rsidRPr="003E163E">
          <w:rPr>
            <w:rStyle w:val="Collegamentoipertestuale"/>
            <w:noProof/>
          </w:rPr>
          <w:t xml:space="preserve"> Mid-East </w:t>
        </w:r>
        <w:r w:rsidR="00695DDB">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_Toc520212596 \h </w:instrText>
        </w:r>
        <w:r w:rsidR="0014173B">
          <w:rPr>
            <w:noProof/>
            <w:webHidden/>
          </w:rPr>
        </w:r>
        <w:r w:rsidR="0014173B">
          <w:rPr>
            <w:noProof/>
            <w:webHidden/>
          </w:rPr>
          <w:fldChar w:fldCharType="separate"/>
        </w:r>
        <w:r w:rsidR="00940F6A">
          <w:rPr>
            <w:noProof/>
            <w:webHidden/>
          </w:rPr>
          <w:t>19</w:t>
        </w:r>
        <w:r w:rsidR="00035E64">
          <w:rPr>
            <w:noProof/>
            <w:webHidden/>
          </w:rPr>
          <w:t>3</w:t>
        </w:r>
        <w:r w:rsidR="0014173B">
          <w:rPr>
            <w:noProof/>
            <w:webHidden/>
          </w:rPr>
          <w:fldChar w:fldCharType="end"/>
        </w:r>
      </w:hyperlink>
    </w:p>
    <w:p w14:paraId="3297C603" w14:textId="12682846" w:rsidR="0014173B" w:rsidRDefault="00874C0C">
      <w:pPr>
        <w:pStyle w:val="Indicedellefigure"/>
        <w:tabs>
          <w:tab w:val="right" w:leader="dot" w:pos="8488"/>
        </w:tabs>
        <w:rPr>
          <w:rFonts w:asciiTheme="minorHAnsi" w:hAnsiTheme="minorHAnsi" w:cstheme="minorBidi"/>
          <w:noProof/>
          <w:szCs w:val="22"/>
          <w:lang w:eastAsia="en-GB"/>
        </w:rPr>
      </w:pPr>
      <w:hyperlink w:anchor="_Toc520212597" w:history="1">
        <w:r w:rsidR="0014173B" w:rsidRPr="003E163E">
          <w:rPr>
            <w:rStyle w:val="Collegamentoipertestuale"/>
            <w:noProof/>
          </w:rPr>
          <w:t>Table 4-23b</w:t>
        </w:r>
        <w:r w:rsidR="003D31DD">
          <w:rPr>
            <w:rStyle w:val="Collegamentoipertestuale"/>
            <w:noProof/>
          </w:rPr>
          <w:t>.</w:t>
        </w:r>
        <w:r w:rsidR="0014173B" w:rsidRPr="003E163E">
          <w:rPr>
            <w:rStyle w:val="Collegamentoipertestuale"/>
            <w:noProof/>
          </w:rPr>
          <w:t xml:space="preserve"> Interment methods and burial stage of skeletal remains in tombs with larnakes and information </w:t>
        </w:r>
        <w:r w:rsidR="00CC581F">
          <w:rPr>
            <w:rStyle w:val="Collegamentoipertestuale"/>
            <w:noProof/>
          </w:rPr>
          <w:t>on</w:t>
        </w:r>
        <w:r w:rsidR="0014173B" w:rsidRPr="003E163E">
          <w:rPr>
            <w:rStyle w:val="Collegamentoipertestuale"/>
            <w:noProof/>
          </w:rPr>
          <w:t xml:space="preserve"> skeletal remains</w:t>
        </w:r>
        <w:r w:rsidR="00CC581F">
          <w:rPr>
            <w:rStyle w:val="Collegamentoipertestuale"/>
            <w:noProof/>
          </w:rPr>
          <w:t>,</w:t>
        </w:r>
        <w:r w:rsidR="0014173B" w:rsidRPr="003E163E">
          <w:rPr>
            <w:rStyle w:val="Collegamentoipertestuale"/>
            <w:noProof/>
          </w:rPr>
          <w:t xml:space="preserve"> Mid-East </w:t>
        </w:r>
        <w:r w:rsidR="00695DDB">
          <w:rPr>
            <w:rStyle w:val="Collegamentoipertestuale"/>
            <w:noProof/>
          </w:rPr>
          <w:t>area</w:t>
        </w:r>
        <w:r w:rsidR="0014173B" w:rsidRPr="003E163E">
          <w:rPr>
            <w:rStyle w:val="Collegamentoipertestuale"/>
            <w:noProof/>
          </w:rPr>
          <w:t>: burial stage related to number of tombs</w:t>
        </w:r>
        <w:r w:rsidR="0014173B">
          <w:rPr>
            <w:noProof/>
            <w:webHidden/>
          </w:rPr>
          <w:tab/>
        </w:r>
        <w:r w:rsidR="0014173B">
          <w:rPr>
            <w:noProof/>
            <w:webHidden/>
          </w:rPr>
          <w:fldChar w:fldCharType="begin"/>
        </w:r>
        <w:r w:rsidR="0014173B">
          <w:rPr>
            <w:noProof/>
            <w:webHidden/>
          </w:rPr>
          <w:instrText xml:space="preserve"> PAGEREF _Toc520212597 \h </w:instrText>
        </w:r>
        <w:r w:rsidR="0014173B">
          <w:rPr>
            <w:noProof/>
            <w:webHidden/>
          </w:rPr>
        </w:r>
        <w:r w:rsidR="0014173B">
          <w:rPr>
            <w:noProof/>
            <w:webHidden/>
          </w:rPr>
          <w:fldChar w:fldCharType="separate"/>
        </w:r>
        <w:r w:rsidR="00940F6A">
          <w:rPr>
            <w:noProof/>
            <w:webHidden/>
          </w:rPr>
          <w:t>19</w:t>
        </w:r>
        <w:r w:rsidR="00035E64">
          <w:rPr>
            <w:noProof/>
            <w:webHidden/>
          </w:rPr>
          <w:t>4</w:t>
        </w:r>
        <w:r w:rsidR="0014173B">
          <w:rPr>
            <w:noProof/>
            <w:webHidden/>
          </w:rPr>
          <w:fldChar w:fldCharType="end"/>
        </w:r>
      </w:hyperlink>
    </w:p>
    <w:p w14:paraId="039439BC" w14:textId="40DDC904" w:rsidR="0014173B" w:rsidRDefault="00874C0C">
      <w:pPr>
        <w:pStyle w:val="Indicedellefigure"/>
        <w:tabs>
          <w:tab w:val="right" w:leader="dot" w:pos="8488"/>
        </w:tabs>
        <w:rPr>
          <w:rFonts w:asciiTheme="minorHAnsi" w:hAnsiTheme="minorHAnsi" w:cstheme="minorBidi"/>
          <w:noProof/>
          <w:szCs w:val="22"/>
          <w:lang w:eastAsia="en-GB"/>
        </w:rPr>
      </w:pPr>
      <w:hyperlink w:anchor="_Toc520212598" w:history="1">
        <w:r w:rsidR="0014173B" w:rsidRPr="003E163E">
          <w:rPr>
            <w:rStyle w:val="Collegamentoipertestuale"/>
            <w:noProof/>
          </w:rPr>
          <w:t>Table 4-24</w:t>
        </w:r>
        <w:r w:rsidR="003D31DD">
          <w:rPr>
            <w:rStyle w:val="Collegamentoipertestuale"/>
            <w:noProof/>
          </w:rPr>
          <w:t>.</w:t>
        </w:r>
        <w:r w:rsidR="0014173B" w:rsidRPr="003E163E">
          <w:rPr>
            <w:rStyle w:val="Collegamentoipertestuale"/>
            <w:noProof/>
          </w:rPr>
          <w:t xml:space="preserve"> Number of skeletal remains with information </w:t>
        </w:r>
        <w:r w:rsidR="00CC581F">
          <w:rPr>
            <w:rStyle w:val="Collegamentoipertestuale"/>
            <w:noProof/>
          </w:rPr>
          <w:t>on</w:t>
        </w:r>
        <w:r w:rsidR="0014173B" w:rsidRPr="003E163E">
          <w:rPr>
            <w:rStyle w:val="Collegamentoipertestuale"/>
            <w:noProof/>
          </w:rPr>
          <w:t xml:space="preserve"> gender</w:t>
        </w:r>
        <w:r w:rsidR="00CC581F">
          <w:rPr>
            <w:rStyle w:val="Collegamentoipertestuale"/>
            <w:noProof/>
          </w:rPr>
          <w:t>,</w:t>
        </w:r>
        <w:r w:rsidR="0014173B" w:rsidRPr="003E163E">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_Toc520212598 \h </w:instrText>
        </w:r>
        <w:r w:rsidR="0014173B">
          <w:rPr>
            <w:noProof/>
            <w:webHidden/>
          </w:rPr>
        </w:r>
        <w:r w:rsidR="0014173B">
          <w:rPr>
            <w:noProof/>
            <w:webHidden/>
          </w:rPr>
          <w:fldChar w:fldCharType="separate"/>
        </w:r>
        <w:r w:rsidR="00940F6A">
          <w:rPr>
            <w:noProof/>
            <w:webHidden/>
          </w:rPr>
          <w:t>19</w:t>
        </w:r>
        <w:r w:rsidR="00035E64">
          <w:rPr>
            <w:noProof/>
            <w:webHidden/>
          </w:rPr>
          <w:t>6</w:t>
        </w:r>
        <w:r w:rsidR="0014173B">
          <w:rPr>
            <w:noProof/>
            <w:webHidden/>
          </w:rPr>
          <w:fldChar w:fldCharType="end"/>
        </w:r>
      </w:hyperlink>
    </w:p>
    <w:p w14:paraId="68779033" w14:textId="17757227" w:rsidR="0014173B" w:rsidRDefault="00874C0C">
      <w:pPr>
        <w:pStyle w:val="Indicedellefigure"/>
        <w:tabs>
          <w:tab w:val="right" w:leader="dot" w:pos="8488"/>
        </w:tabs>
        <w:rPr>
          <w:rFonts w:asciiTheme="minorHAnsi" w:hAnsiTheme="minorHAnsi" w:cstheme="minorBidi"/>
          <w:noProof/>
          <w:szCs w:val="22"/>
          <w:lang w:eastAsia="en-GB"/>
        </w:rPr>
      </w:pPr>
      <w:hyperlink w:anchor="_Toc520212599" w:history="1">
        <w:r w:rsidR="0014173B" w:rsidRPr="003E163E">
          <w:rPr>
            <w:rStyle w:val="Collegamentoipertestuale"/>
            <w:noProof/>
          </w:rPr>
          <w:t>Table 4-25</w:t>
        </w:r>
        <w:r w:rsidR="003D31DD">
          <w:rPr>
            <w:rStyle w:val="Collegamentoipertestuale"/>
            <w:noProof/>
          </w:rPr>
          <w:t>.</w:t>
        </w:r>
        <w:r w:rsidR="0014173B" w:rsidRPr="003E163E">
          <w:rPr>
            <w:rStyle w:val="Collegamentoipertestuale"/>
            <w:noProof/>
          </w:rPr>
          <w:t xml:space="preserve"> Number of skeletal remains with information </w:t>
        </w:r>
        <w:r w:rsidR="00CC581F">
          <w:rPr>
            <w:rStyle w:val="Collegamentoipertestuale"/>
            <w:noProof/>
          </w:rPr>
          <w:t>on</w:t>
        </w:r>
        <w:r w:rsidR="0014173B" w:rsidRPr="003E163E">
          <w:rPr>
            <w:rStyle w:val="Collegamentoipertestuale"/>
            <w:noProof/>
          </w:rPr>
          <w:t xml:space="preserve"> age</w:t>
        </w:r>
        <w:r w:rsidR="00CC581F">
          <w:rPr>
            <w:rStyle w:val="Collegamentoipertestuale"/>
            <w:noProof/>
          </w:rPr>
          <w:t>,</w:t>
        </w:r>
        <w:r w:rsidR="0014173B" w:rsidRPr="003E163E">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_Toc520212599 \h </w:instrText>
        </w:r>
        <w:r w:rsidR="0014173B">
          <w:rPr>
            <w:noProof/>
            <w:webHidden/>
          </w:rPr>
        </w:r>
        <w:r w:rsidR="0014173B">
          <w:rPr>
            <w:noProof/>
            <w:webHidden/>
          </w:rPr>
          <w:fldChar w:fldCharType="separate"/>
        </w:r>
        <w:r w:rsidR="00940F6A">
          <w:rPr>
            <w:noProof/>
            <w:webHidden/>
          </w:rPr>
          <w:t>19</w:t>
        </w:r>
        <w:r w:rsidR="00035E64">
          <w:rPr>
            <w:noProof/>
            <w:webHidden/>
          </w:rPr>
          <w:t>6</w:t>
        </w:r>
        <w:r w:rsidR="0014173B">
          <w:rPr>
            <w:noProof/>
            <w:webHidden/>
          </w:rPr>
          <w:fldChar w:fldCharType="end"/>
        </w:r>
      </w:hyperlink>
    </w:p>
    <w:p w14:paraId="4DE3E97D" w14:textId="0FA8F187" w:rsidR="0014173B" w:rsidRDefault="00874C0C">
      <w:pPr>
        <w:pStyle w:val="Indicedellefigure"/>
        <w:tabs>
          <w:tab w:val="right" w:leader="dot" w:pos="8488"/>
        </w:tabs>
        <w:rPr>
          <w:rFonts w:asciiTheme="minorHAnsi" w:hAnsiTheme="minorHAnsi" w:cstheme="minorBidi"/>
          <w:noProof/>
          <w:szCs w:val="22"/>
          <w:lang w:eastAsia="en-GB"/>
        </w:rPr>
      </w:pPr>
      <w:hyperlink w:anchor="_Toc520212600" w:history="1">
        <w:r w:rsidR="0014173B" w:rsidRPr="003E163E">
          <w:rPr>
            <w:rStyle w:val="Collegamentoipertestuale"/>
            <w:noProof/>
          </w:rPr>
          <w:t>Table 4-26</w:t>
        </w:r>
        <w:r w:rsidR="003D31DD">
          <w:rPr>
            <w:rStyle w:val="Collegamentoipertestuale"/>
            <w:noProof/>
          </w:rPr>
          <w:t>.</w:t>
        </w:r>
        <w:r w:rsidR="0014173B" w:rsidRPr="003E163E">
          <w:rPr>
            <w:rStyle w:val="Collegamentoipertestuale"/>
            <w:noProof/>
          </w:rPr>
          <w:t xml:space="preserve"> Information concerning number of burials in tombs with larnakes</w:t>
        </w:r>
        <w:r w:rsidR="00CC581F">
          <w:rPr>
            <w:rStyle w:val="Collegamentoipertestuale"/>
            <w:noProof/>
          </w:rPr>
          <w:t>,</w:t>
        </w:r>
        <w:r w:rsidR="0014173B" w:rsidRPr="003E163E">
          <w:rPr>
            <w:rStyle w:val="Collegamentoipertestuale"/>
            <w:noProof/>
          </w:rPr>
          <w:t xml:space="preserve"> Far-East </w:t>
        </w:r>
        <w:r w:rsidR="00695DDB">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_Toc520212600 \h </w:instrText>
        </w:r>
        <w:r w:rsidR="0014173B">
          <w:rPr>
            <w:noProof/>
            <w:webHidden/>
          </w:rPr>
        </w:r>
        <w:r w:rsidR="0014173B">
          <w:rPr>
            <w:noProof/>
            <w:webHidden/>
          </w:rPr>
          <w:fldChar w:fldCharType="separate"/>
        </w:r>
        <w:r w:rsidR="00940F6A">
          <w:rPr>
            <w:noProof/>
            <w:webHidden/>
          </w:rPr>
          <w:t>19</w:t>
        </w:r>
        <w:r w:rsidR="00035E64">
          <w:rPr>
            <w:noProof/>
            <w:webHidden/>
          </w:rPr>
          <w:t>9</w:t>
        </w:r>
        <w:r w:rsidR="0014173B">
          <w:rPr>
            <w:noProof/>
            <w:webHidden/>
          </w:rPr>
          <w:fldChar w:fldCharType="end"/>
        </w:r>
      </w:hyperlink>
    </w:p>
    <w:p w14:paraId="3B814F01" w14:textId="5F4673B9" w:rsidR="0014173B" w:rsidRDefault="00874C0C">
      <w:pPr>
        <w:pStyle w:val="Indicedellefigure"/>
        <w:tabs>
          <w:tab w:val="right" w:leader="dot" w:pos="8488"/>
        </w:tabs>
        <w:rPr>
          <w:rFonts w:asciiTheme="minorHAnsi" w:hAnsiTheme="minorHAnsi" w:cstheme="minorBidi"/>
          <w:noProof/>
          <w:szCs w:val="22"/>
          <w:lang w:eastAsia="en-GB"/>
        </w:rPr>
      </w:pPr>
      <w:hyperlink w:anchor="_Toc520212601" w:history="1">
        <w:r w:rsidR="0014173B" w:rsidRPr="003E163E">
          <w:rPr>
            <w:rStyle w:val="Collegamentoipertestuale"/>
            <w:noProof/>
          </w:rPr>
          <w:t>Table 4-27</w:t>
        </w:r>
        <w:r w:rsidR="003D31DD">
          <w:rPr>
            <w:rStyle w:val="Collegamentoipertestuale"/>
            <w:noProof/>
          </w:rPr>
          <w:t>.</w:t>
        </w:r>
        <w:r w:rsidR="0014173B" w:rsidRPr="003E163E">
          <w:rPr>
            <w:rStyle w:val="Collegamentoipertestuale"/>
            <w:noProof/>
          </w:rPr>
          <w:t xml:space="preserve"> Depositions in other types of burial receptacle associated with larnax burials</w:t>
        </w:r>
        <w:r w:rsidR="00CC581F">
          <w:rPr>
            <w:rStyle w:val="Collegamentoipertestuale"/>
            <w:noProof/>
          </w:rPr>
          <w:t>,</w:t>
        </w:r>
        <w:r w:rsidR="0014173B" w:rsidRPr="003E163E">
          <w:rPr>
            <w:rStyle w:val="Collegamentoipertestuale"/>
            <w:noProof/>
          </w:rPr>
          <w:t xml:space="preserve"> Far-East </w:t>
        </w:r>
        <w:r w:rsidR="00695DDB">
          <w:rPr>
            <w:rStyle w:val="Collegamentoipertestuale"/>
            <w:noProof/>
          </w:rPr>
          <w:t>area</w:t>
        </w:r>
        <w:r w:rsidR="0014173B">
          <w:rPr>
            <w:noProof/>
            <w:webHidden/>
          </w:rPr>
          <w:tab/>
        </w:r>
      </w:hyperlink>
      <w:r w:rsidR="00A544A5">
        <w:rPr>
          <w:noProof/>
        </w:rPr>
        <w:t>200</w:t>
      </w:r>
    </w:p>
    <w:p w14:paraId="6AC0B719" w14:textId="21FCB4AC" w:rsidR="0014173B" w:rsidRDefault="00874C0C">
      <w:pPr>
        <w:pStyle w:val="Indicedellefigure"/>
        <w:tabs>
          <w:tab w:val="left" w:pos="993"/>
          <w:tab w:val="right" w:leader="dot" w:pos="8488"/>
        </w:tabs>
        <w:rPr>
          <w:rFonts w:asciiTheme="minorHAnsi" w:hAnsiTheme="minorHAnsi" w:cstheme="minorBidi"/>
          <w:noProof/>
          <w:szCs w:val="22"/>
          <w:lang w:eastAsia="en-GB"/>
        </w:rPr>
      </w:pPr>
      <w:hyperlink w:anchor="_Toc520212602" w:history="1">
        <w:r w:rsidR="0014173B" w:rsidRPr="003E163E">
          <w:rPr>
            <w:rStyle w:val="Collegamentoipertestuale"/>
            <w:noProof/>
          </w:rPr>
          <w:t>Table 4-28a</w:t>
        </w:r>
        <w:r w:rsidR="003D31DD">
          <w:rPr>
            <w:rStyle w:val="Collegamentoipertestuale"/>
            <w:noProof/>
          </w:rPr>
          <w:t>.</w:t>
        </w:r>
        <w:r w:rsidR="0014173B" w:rsidRPr="003E163E">
          <w:rPr>
            <w:rStyle w:val="Collegamentoipertestuale"/>
            <w:noProof/>
          </w:rPr>
          <w:t xml:space="preserve"> Interment method and burial stage of skeletal remains in tombs with larnakes and </w:t>
        </w:r>
        <w:r w:rsidR="0014173B" w:rsidRPr="003E163E">
          <w:rPr>
            <w:rStyle w:val="Collegamentoipertestuale"/>
            <w:noProof/>
          </w:rPr>
          <w:lastRenderedPageBreak/>
          <w:t xml:space="preserve">information </w:t>
        </w:r>
        <w:r w:rsidR="00CC581F">
          <w:rPr>
            <w:rStyle w:val="Collegamentoipertestuale"/>
            <w:noProof/>
          </w:rPr>
          <w:t>on</w:t>
        </w:r>
        <w:r w:rsidR="0014173B" w:rsidRPr="003E163E">
          <w:rPr>
            <w:rStyle w:val="Collegamentoipertestuale"/>
            <w:noProof/>
          </w:rPr>
          <w:t xml:space="preserve"> skeletal remains</w:t>
        </w:r>
        <w:r w:rsidR="00CC581F">
          <w:rPr>
            <w:rStyle w:val="Collegamentoipertestuale"/>
            <w:noProof/>
          </w:rPr>
          <w:t>,</w:t>
        </w:r>
        <w:r w:rsidR="0014173B" w:rsidRPr="003E163E">
          <w:rPr>
            <w:rStyle w:val="Collegamentoipertestuale"/>
            <w:noProof/>
          </w:rPr>
          <w:t xml:space="preserve"> </w:t>
        </w:r>
        <w:r w:rsidR="00EF43D7">
          <w:rPr>
            <w:rStyle w:val="Collegamentoipertestuale"/>
            <w:noProof/>
          </w:rPr>
          <w:t>Far</w:t>
        </w:r>
        <w:r w:rsidR="0014173B" w:rsidRPr="003E163E">
          <w:rPr>
            <w:rStyle w:val="Collegamentoipertestuale"/>
            <w:noProof/>
          </w:rPr>
          <w:t xml:space="preserve">-East </w:t>
        </w:r>
        <w:r w:rsidR="00695DDB">
          <w:rPr>
            <w:rStyle w:val="Collegamentoipertestuale"/>
            <w:noProof/>
          </w:rPr>
          <w:t>area</w:t>
        </w:r>
        <w:r w:rsidR="0014173B">
          <w:rPr>
            <w:noProof/>
            <w:webHidden/>
          </w:rPr>
          <w:tab/>
        </w:r>
        <w:r w:rsidR="0014173B">
          <w:rPr>
            <w:noProof/>
            <w:webHidden/>
          </w:rPr>
          <w:fldChar w:fldCharType="begin"/>
        </w:r>
        <w:r w:rsidR="0014173B">
          <w:rPr>
            <w:noProof/>
            <w:webHidden/>
          </w:rPr>
          <w:instrText xml:space="preserve"> PAGEREF _Toc520212602 \h </w:instrText>
        </w:r>
        <w:r w:rsidR="0014173B">
          <w:rPr>
            <w:noProof/>
            <w:webHidden/>
          </w:rPr>
        </w:r>
        <w:r w:rsidR="0014173B">
          <w:rPr>
            <w:noProof/>
            <w:webHidden/>
          </w:rPr>
          <w:fldChar w:fldCharType="separate"/>
        </w:r>
        <w:r w:rsidR="00940F6A">
          <w:rPr>
            <w:noProof/>
            <w:webHidden/>
          </w:rPr>
          <w:t>20</w:t>
        </w:r>
        <w:r w:rsidR="00A544A5">
          <w:rPr>
            <w:noProof/>
            <w:webHidden/>
          </w:rPr>
          <w:t>1</w:t>
        </w:r>
        <w:r w:rsidR="0014173B">
          <w:rPr>
            <w:noProof/>
            <w:webHidden/>
          </w:rPr>
          <w:fldChar w:fldCharType="end"/>
        </w:r>
      </w:hyperlink>
    </w:p>
    <w:p w14:paraId="7E3D1CD6" w14:textId="3E5A2AE8" w:rsidR="0014173B" w:rsidRDefault="00874C0C">
      <w:pPr>
        <w:pStyle w:val="Indicedellefigure"/>
        <w:tabs>
          <w:tab w:val="right" w:leader="dot" w:pos="8488"/>
        </w:tabs>
        <w:rPr>
          <w:rFonts w:asciiTheme="minorHAnsi" w:hAnsiTheme="minorHAnsi" w:cstheme="minorBidi"/>
          <w:noProof/>
          <w:szCs w:val="22"/>
          <w:lang w:eastAsia="en-GB"/>
        </w:rPr>
      </w:pPr>
      <w:hyperlink w:anchor="_Toc520212603" w:history="1">
        <w:r w:rsidR="0014173B" w:rsidRPr="003E163E">
          <w:rPr>
            <w:rStyle w:val="Collegamentoipertestuale"/>
            <w:noProof/>
          </w:rPr>
          <w:t>Table 4-28b</w:t>
        </w:r>
        <w:r w:rsidR="003D31DD">
          <w:rPr>
            <w:rStyle w:val="Collegamentoipertestuale"/>
            <w:noProof/>
          </w:rPr>
          <w:t>.</w:t>
        </w:r>
        <w:r w:rsidR="0014173B" w:rsidRPr="003E163E">
          <w:rPr>
            <w:rStyle w:val="Collegamentoipertestuale"/>
            <w:noProof/>
          </w:rPr>
          <w:t xml:space="preserve"> Interment method and burial stage of skeletal remains in tombs with larnakes and information </w:t>
        </w:r>
        <w:r w:rsidR="00CC581F">
          <w:rPr>
            <w:rStyle w:val="Collegamentoipertestuale"/>
            <w:noProof/>
          </w:rPr>
          <w:t>on</w:t>
        </w:r>
        <w:r w:rsidR="0014173B" w:rsidRPr="003E163E">
          <w:rPr>
            <w:rStyle w:val="Collegamentoipertestuale"/>
            <w:noProof/>
          </w:rPr>
          <w:t xml:space="preserve"> skeletal remains</w:t>
        </w:r>
        <w:r w:rsidR="00CC581F">
          <w:rPr>
            <w:rStyle w:val="Collegamentoipertestuale"/>
            <w:noProof/>
          </w:rPr>
          <w:t>,</w:t>
        </w:r>
        <w:r w:rsidR="0014173B" w:rsidRPr="003E163E">
          <w:rPr>
            <w:rStyle w:val="Collegamentoipertestuale"/>
            <w:noProof/>
          </w:rPr>
          <w:t xml:space="preserve"> </w:t>
        </w:r>
        <w:r w:rsidR="004B010D">
          <w:rPr>
            <w:rStyle w:val="Collegamentoipertestuale"/>
            <w:noProof/>
          </w:rPr>
          <w:t>Far</w:t>
        </w:r>
        <w:r w:rsidR="0014173B" w:rsidRPr="003E163E">
          <w:rPr>
            <w:rStyle w:val="Collegamentoipertestuale"/>
            <w:noProof/>
          </w:rPr>
          <w:t xml:space="preserve">-East </w:t>
        </w:r>
        <w:r w:rsidR="006B3ACB">
          <w:rPr>
            <w:rStyle w:val="Collegamentoipertestuale"/>
            <w:noProof/>
          </w:rPr>
          <w:t>area</w:t>
        </w:r>
        <w:r w:rsidR="0014173B" w:rsidRPr="003E163E">
          <w:rPr>
            <w:rStyle w:val="Collegamentoipertestuale"/>
            <w:noProof/>
          </w:rPr>
          <w:t>: burial stage related to number of tombs</w:t>
        </w:r>
        <w:r w:rsidR="0014173B">
          <w:rPr>
            <w:noProof/>
            <w:webHidden/>
          </w:rPr>
          <w:tab/>
        </w:r>
        <w:r w:rsidR="0014173B">
          <w:rPr>
            <w:noProof/>
            <w:webHidden/>
          </w:rPr>
          <w:fldChar w:fldCharType="begin"/>
        </w:r>
        <w:r w:rsidR="0014173B">
          <w:rPr>
            <w:noProof/>
            <w:webHidden/>
          </w:rPr>
          <w:instrText xml:space="preserve"> PAGEREF _Toc520212603 \h </w:instrText>
        </w:r>
        <w:r w:rsidR="0014173B">
          <w:rPr>
            <w:noProof/>
            <w:webHidden/>
          </w:rPr>
        </w:r>
        <w:r w:rsidR="0014173B">
          <w:rPr>
            <w:noProof/>
            <w:webHidden/>
          </w:rPr>
          <w:fldChar w:fldCharType="separate"/>
        </w:r>
        <w:r w:rsidR="00940F6A">
          <w:rPr>
            <w:noProof/>
            <w:webHidden/>
          </w:rPr>
          <w:t>20</w:t>
        </w:r>
        <w:r w:rsidR="00A544A5">
          <w:rPr>
            <w:noProof/>
            <w:webHidden/>
          </w:rPr>
          <w:t>1</w:t>
        </w:r>
        <w:r w:rsidR="0014173B">
          <w:rPr>
            <w:noProof/>
            <w:webHidden/>
          </w:rPr>
          <w:fldChar w:fldCharType="end"/>
        </w:r>
      </w:hyperlink>
    </w:p>
    <w:p w14:paraId="09882705" w14:textId="242CCCF1" w:rsidR="0014173B" w:rsidRDefault="00874C0C">
      <w:pPr>
        <w:pStyle w:val="Indicedellefigure"/>
        <w:tabs>
          <w:tab w:val="right" w:leader="dot" w:pos="8488"/>
        </w:tabs>
        <w:rPr>
          <w:rFonts w:asciiTheme="minorHAnsi" w:hAnsiTheme="minorHAnsi" w:cstheme="minorBidi"/>
          <w:noProof/>
          <w:szCs w:val="22"/>
          <w:lang w:eastAsia="en-GB"/>
        </w:rPr>
      </w:pPr>
      <w:hyperlink w:anchor="_Toc520212604" w:history="1">
        <w:r w:rsidR="0014173B" w:rsidRPr="003E163E">
          <w:rPr>
            <w:rStyle w:val="Collegamentoipertestuale"/>
            <w:noProof/>
          </w:rPr>
          <w:t>Table 4-29</w:t>
        </w:r>
        <w:r w:rsidR="003D31DD">
          <w:rPr>
            <w:rStyle w:val="Collegamentoipertestuale"/>
            <w:noProof/>
          </w:rPr>
          <w:t>.</w:t>
        </w:r>
        <w:r w:rsidR="0014173B" w:rsidRPr="003E163E">
          <w:rPr>
            <w:rStyle w:val="Collegamentoipertestuale"/>
            <w:noProof/>
          </w:rPr>
          <w:t xml:space="preserve"> Number of skeletal remains with information </w:t>
        </w:r>
        <w:r w:rsidR="00CC581F">
          <w:rPr>
            <w:rStyle w:val="Collegamentoipertestuale"/>
            <w:noProof/>
          </w:rPr>
          <w:t>on</w:t>
        </w:r>
        <w:r w:rsidR="0014173B" w:rsidRPr="003E163E">
          <w:rPr>
            <w:rStyle w:val="Collegamentoipertestuale"/>
            <w:noProof/>
          </w:rPr>
          <w:t xml:space="preserve"> gender</w:t>
        </w:r>
        <w:r w:rsidR="00CC581F">
          <w:rPr>
            <w:rStyle w:val="Collegamentoipertestuale"/>
            <w:noProof/>
          </w:rPr>
          <w:t>,</w:t>
        </w:r>
        <w:r w:rsidR="0014173B" w:rsidRPr="003E163E">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_Toc520212604 \h </w:instrText>
        </w:r>
        <w:r w:rsidR="0014173B">
          <w:rPr>
            <w:noProof/>
            <w:webHidden/>
          </w:rPr>
        </w:r>
        <w:r w:rsidR="0014173B">
          <w:rPr>
            <w:noProof/>
            <w:webHidden/>
          </w:rPr>
          <w:fldChar w:fldCharType="separate"/>
        </w:r>
        <w:r w:rsidR="00940F6A">
          <w:rPr>
            <w:noProof/>
            <w:webHidden/>
          </w:rPr>
          <w:t>20</w:t>
        </w:r>
        <w:r w:rsidR="00A544A5">
          <w:rPr>
            <w:noProof/>
            <w:webHidden/>
          </w:rPr>
          <w:t>5</w:t>
        </w:r>
        <w:r w:rsidR="0014173B">
          <w:rPr>
            <w:noProof/>
            <w:webHidden/>
          </w:rPr>
          <w:fldChar w:fldCharType="end"/>
        </w:r>
      </w:hyperlink>
    </w:p>
    <w:p w14:paraId="474DA63C" w14:textId="65BEF80A" w:rsidR="0014173B" w:rsidRDefault="00874C0C">
      <w:pPr>
        <w:pStyle w:val="Indicedellefigure"/>
        <w:tabs>
          <w:tab w:val="right" w:leader="dot" w:pos="8488"/>
        </w:tabs>
        <w:rPr>
          <w:rFonts w:asciiTheme="minorHAnsi" w:hAnsiTheme="minorHAnsi" w:cstheme="minorBidi"/>
          <w:noProof/>
          <w:szCs w:val="22"/>
          <w:lang w:eastAsia="en-GB"/>
        </w:rPr>
      </w:pPr>
      <w:hyperlink w:anchor="_Toc520212605" w:history="1">
        <w:r w:rsidR="0014173B" w:rsidRPr="003E163E">
          <w:rPr>
            <w:rStyle w:val="Collegamentoipertestuale"/>
            <w:noProof/>
          </w:rPr>
          <w:t>Table 4-30</w:t>
        </w:r>
        <w:r w:rsidR="003D31DD">
          <w:rPr>
            <w:rStyle w:val="Collegamentoipertestuale"/>
            <w:noProof/>
          </w:rPr>
          <w:t>.</w:t>
        </w:r>
        <w:r w:rsidR="0014173B" w:rsidRPr="003E163E">
          <w:rPr>
            <w:rStyle w:val="Collegamentoipertestuale"/>
            <w:noProof/>
          </w:rPr>
          <w:t xml:space="preserve"> Number of skeletal remains with information </w:t>
        </w:r>
        <w:r w:rsidR="005C12A7">
          <w:rPr>
            <w:rStyle w:val="Collegamentoipertestuale"/>
            <w:noProof/>
          </w:rPr>
          <w:t>on</w:t>
        </w:r>
        <w:r w:rsidR="0014173B" w:rsidRPr="003E163E">
          <w:rPr>
            <w:rStyle w:val="Collegamentoipertestuale"/>
            <w:noProof/>
          </w:rPr>
          <w:t xml:space="preserve"> age</w:t>
        </w:r>
        <w:r w:rsidR="005C12A7">
          <w:rPr>
            <w:rStyle w:val="Collegamentoipertestuale"/>
            <w:noProof/>
          </w:rPr>
          <w:t>,</w:t>
        </w:r>
        <w:r w:rsidR="0014173B" w:rsidRPr="003E163E">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_Toc520212605 \h </w:instrText>
        </w:r>
        <w:r w:rsidR="0014173B">
          <w:rPr>
            <w:noProof/>
            <w:webHidden/>
          </w:rPr>
        </w:r>
        <w:r w:rsidR="0014173B">
          <w:rPr>
            <w:noProof/>
            <w:webHidden/>
          </w:rPr>
          <w:fldChar w:fldCharType="separate"/>
        </w:r>
        <w:r w:rsidR="00940F6A">
          <w:rPr>
            <w:noProof/>
            <w:webHidden/>
          </w:rPr>
          <w:t>20</w:t>
        </w:r>
        <w:r w:rsidR="00A544A5">
          <w:rPr>
            <w:noProof/>
            <w:webHidden/>
          </w:rPr>
          <w:t>5</w:t>
        </w:r>
        <w:r w:rsidR="0014173B">
          <w:rPr>
            <w:noProof/>
            <w:webHidden/>
          </w:rPr>
          <w:fldChar w:fldCharType="end"/>
        </w:r>
      </w:hyperlink>
    </w:p>
    <w:p w14:paraId="08EF2737" w14:textId="6A3E8434" w:rsidR="0014173B" w:rsidRDefault="00874C0C">
      <w:pPr>
        <w:pStyle w:val="Indicedellefigure"/>
        <w:tabs>
          <w:tab w:val="right" w:leader="dot" w:pos="8488"/>
        </w:tabs>
        <w:rPr>
          <w:rFonts w:asciiTheme="minorHAnsi" w:hAnsiTheme="minorHAnsi" w:cstheme="minorBidi"/>
          <w:noProof/>
          <w:szCs w:val="22"/>
          <w:lang w:eastAsia="en-GB"/>
        </w:rPr>
      </w:pPr>
      <w:hyperlink w:anchor="_Toc520212606" w:history="1">
        <w:r w:rsidR="0014173B" w:rsidRPr="003E163E">
          <w:rPr>
            <w:rStyle w:val="Collegamentoipertestuale"/>
            <w:noProof/>
          </w:rPr>
          <w:t>Table 4-31</w:t>
        </w:r>
        <w:r w:rsidR="003D31DD">
          <w:rPr>
            <w:rStyle w:val="Collegamentoipertestuale"/>
            <w:noProof/>
          </w:rPr>
          <w:t>.</w:t>
        </w:r>
        <w:r w:rsidR="0014173B" w:rsidRPr="003E163E">
          <w:rPr>
            <w:rStyle w:val="Collegamentoipertestuale"/>
            <w:noProof/>
          </w:rPr>
          <w:t xml:space="preserve"> Depositions with grave goods associated in the tomb with larnax burial </w:t>
        </w:r>
        <w:r w:rsidR="006B3ACB">
          <w:rPr>
            <w:rStyle w:val="Collegamentoipertestuale"/>
            <w:noProof/>
          </w:rPr>
          <w:t xml:space="preserve">at </w:t>
        </w:r>
        <w:r w:rsidR="0014173B" w:rsidRPr="003E163E">
          <w:rPr>
            <w:rStyle w:val="Collegamentoipertestuale"/>
            <w:noProof/>
          </w:rPr>
          <w:t>Chania Koumpes</w:t>
        </w:r>
        <w:r w:rsidR="005C12A7">
          <w:rPr>
            <w:rStyle w:val="Collegamentoipertestuale"/>
            <w:noProof/>
          </w:rPr>
          <w:t>,</w:t>
        </w:r>
        <w:r w:rsidR="0014173B" w:rsidRPr="003E163E">
          <w:rPr>
            <w:rStyle w:val="Collegamentoipertestuale"/>
            <w:noProof/>
          </w:rPr>
          <w:t xml:space="preserve"> Far-West</w:t>
        </w:r>
        <w:r w:rsidR="005C12A7">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_Toc520212606 \h </w:instrText>
        </w:r>
        <w:r w:rsidR="0014173B">
          <w:rPr>
            <w:noProof/>
            <w:webHidden/>
          </w:rPr>
        </w:r>
        <w:r w:rsidR="0014173B">
          <w:rPr>
            <w:noProof/>
            <w:webHidden/>
          </w:rPr>
          <w:fldChar w:fldCharType="separate"/>
        </w:r>
        <w:r w:rsidR="00940F6A">
          <w:rPr>
            <w:noProof/>
            <w:webHidden/>
          </w:rPr>
          <w:t>21</w:t>
        </w:r>
        <w:r w:rsidR="00A544A5">
          <w:rPr>
            <w:noProof/>
            <w:webHidden/>
          </w:rPr>
          <w:t>4</w:t>
        </w:r>
        <w:r w:rsidR="0014173B">
          <w:rPr>
            <w:noProof/>
            <w:webHidden/>
          </w:rPr>
          <w:fldChar w:fldCharType="end"/>
        </w:r>
      </w:hyperlink>
    </w:p>
    <w:p w14:paraId="59C00D2B" w14:textId="7B62A04B" w:rsidR="0014173B" w:rsidRDefault="00874C0C">
      <w:pPr>
        <w:pStyle w:val="Indicedellefigure"/>
        <w:tabs>
          <w:tab w:val="right" w:leader="dot" w:pos="8488"/>
        </w:tabs>
        <w:rPr>
          <w:rFonts w:asciiTheme="minorHAnsi" w:hAnsiTheme="minorHAnsi" w:cstheme="minorBidi"/>
          <w:noProof/>
          <w:szCs w:val="22"/>
          <w:lang w:eastAsia="en-GB"/>
        </w:rPr>
      </w:pPr>
      <w:hyperlink w:anchor="_Toc520212607" w:history="1">
        <w:r w:rsidR="0014173B" w:rsidRPr="003E163E">
          <w:rPr>
            <w:rStyle w:val="Collegamentoipertestuale"/>
            <w:noProof/>
          </w:rPr>
          <w:t>Table 4-32</w:t>
        </w:r>
        <w:r w:rsidR="003D31DD">
          <w:rPr>
            <w:rStyle w:val="Collegamentoipertestuale"/>
            <w:noProof/>
          </w:rPr>
          <w:t>.</w:t>
        </w:r>
        <w:r w:rsidR="0014173B" w:rsidRPr="003E163E">
          <w:rPr>
            <w:rStyle w:val="Collegamentoipertestuale"/>
            <w:noProof/>
          </w:rPr>
          <w:t xml:space="preserve"> Beads and whorls occurrence</w:t>
        </w:r>
        <w:r w:rsidR="005C12A7">
          <w:rPr>
            <w:rStyle w:val="Collegamentoipertestuale"/>
            <w:noProof/>
          </w:rPr>
          <w:t>,</w:t>
        </w:r>
        <w:r w:rsidR="0014173B" w:rsidRPr="003E163E">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_Toc520212607 \h </w:instrText>
        </w:r>
        <w:r w:rsidR="0014173B">
          <w:rPr>
            <w:noProof/>
            <w:webHidden/>
          </w:rPr>
        </w:r>
        <w:r w:rsidR="0014173B">
          <w:rPr>
            <w:noProof/>
            <w:webHidden/>
          </w:rPr>
          <w:fldChar w:fldCharType="separate"/>
        </w:r>
        <w:r w:rsidR="00940F6A">
          <w:rPr>
            <w:noProof/>
            <w:webHidden/>
          </w:rPr>
          <w:t>21</w:t>
        </w:r>
        <w:r w:rsidR="00A544A5">
          <w:rPr>
            <w:noProof/>
            <w:webHidden/>
          </w:rPr>
          <w:t>8</w:t>
        </w:r>
        <w:r w:rsidR="0014173B">
          <w:rPr>
            <w:noProof/>
            <w:webHidden/>
          </w:rPr>
          <w:fldChar w:fldCharType="end"/>
        </w:r>
      </w:hyperlink>
    </w:p>
    <w:p w14:paraId="37C6208F" w14:textId="11AC628C" w:rsidR="0014173B" w:rsidRDefault="00874C0C">
      <w:pPr>
        <w:pStyle w:val="Indicedellefigure"/>
        <w:tabs>
          <w:tab w:val="right" w:leader="dot" w:pos="8488"/>
        </w:tabs>
        <w:rPr>
          <w:rFonts w:asciiTheme="minorHAnsi" w:hAnsiTheme="minorHAnsi" w:cstheme="minorBidi"/>
          <w:noProof/>
          <w:szCs w:val="22"/>
          <w:lang w:eastAsia="en-GB"/>
        </w:rPr>
      </w:pPr>
      <w:hyperlink w:anchor="_Toc520212608" w:history="1">
        <w:r w:rsidR="0014173B" w:rsidRPr="003E163E">
          <w:rPr>
            <w:rStyle w:val="Collegamentoipertestuale"/>
            <w:noProof/>
          </w:rPr>
          <w:t>Table 4-33</w:t>
        </w:r>
        <w:r w:rsidR="003D31DD">
          <w:rPr>
            <w:rStyle w:val="Collegamentoipertestuale"/>
            <w:noProof/>
          </w:rPr>
          <w:t>.</w:t>
        </w:r>
        <w:r w:rsidR="0014173B" w:rsidRPr="003E163E">
          <w:rPr>
            <w:rStyle w:val="Collegamentoipertestuale"/>
            <w:noProof/>
          </w:rPr>
          <w:t xml:space="preserve"> Most common non-ceramic item types</w:t>
        </w:r>
        <w:r w:rsidR="005C12A7">
          <w:rPr>
            <w:rStyle w:val="Collegamentoipertestuale"/>
            <w:noProof/>
          </w:rPr>
          <w:t>,</w:t>
        </w:r>
        <w:r w:rsidR="0014173B" w:rsidRPr="003E163E">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_Toc520212608 \h </w:instrText>
        </w:r>
        <w:r w:rsidR="0014173B">
          <w:rPr>
            <w:noProof/>
            <w:webHidden/>
          </w:rPr>
        </w:r>
        <w:r w:rsidR="0014173B">
          <w:rPr>
            <w:noProof/>
            <w:webHidden/>
          </w:rPr>
          <w:fldChar w:fldCharType="separate"/>
        </w:r>
        <w:r w:rsidR="00940F6A">
          <w:rPr>
            <w:noProof/>
            <w:webHidden/>
          </w:rPr>
          <w:t>21</w:t>
        </w:r>
        <w:r w:rsidR="00A544A5">
          <w:rPr>
            <w:noProof/>
            <w:webHidden/>
          </w:rPr>
          <w:t>8</w:t>
        </w:r>
        <w:r w:rsidR="0014173B">
          <w:rPr>
            <w:noProof/>
            <w:webHidden/>
          </w:rPr>
          <w:fldChar w:fldCharType="end"/>
        </w:r>
      </w:hyperlink>
    </w:p>
    <w:p w14:paraId="46DBE40B" w14:textId="1D4D4DBB" w:rsidR="0014173B" w:rsidRDefault="00874C0C">
      <w:pPr>
        <w:pStyle w:val="Indicedellefigure"/>
        <w:tabs>
          <w:tab w:val="right" w:leader="dot" w:pos="8488"/>
        </w:tabs>
        <w:rPr>
          <w:rFonts w:asciiTheme="minorHAnsi" w:hAnsiTheme="minorHAnsi" w:cstheme="minorBidi"/>
          <w:noProof/>
          <w:szCs w:val="22"/>
          <w:lang w:eastAsia="en-GB"/>
        </w:rPr>
      </w:pPr>
      <w:hyperlink w:anchor="_Toc520212609" w:history="1">
        <w:r w:rsidR="0014173B" w:rsidRPr="003E163E">
          <w:rPr>
            <w:rStyle w:val="Collegamentoipertestuale"/>
            <w:noProof/>
          </w:rPr>
          <w:t>Table 4-34</w:t>
        </w:r>
        <w:r w:rsidR="003D31DD">
          <w:rPr>
            <w:rStyle w:val="Collegamentoipertestuale"/>
            <w:noProof/>
          </w:rPr>
          <w:t>.</w:t>
        </w:r>
        <w:r w:rsidR="0014173B" w:rsidRPr="003E163E">
          <w:rPr>
            <w:rStyle w:val="Collegamentoipertestuale"/>
            <w:noProof/>
          </w:rPr>
          <w:t xml:space="preserve"> Most common pottery types</w:t>
        </w:r>
        <w:r w:rsidR="005C12A7">
          <w:rPr>
            <w:rStyle w:val="Collegamentoipertestuale"/>
            <w:noProof/>
          </w:rPr>
          <w:t>,</w:t>
        </w:r>
        <w:r w:rsidR="0014173B" w:rsidRPr="003E163E">
          <w:rPr>
            <w:rStyle w:val="Collegamentoipertestuale"/>
            <w:noProof/>
          </w:rPr>
          <w:t xml:space="preserve"> Mid-West area</w:t>
        </w:r>
        <w:r w:rsidR="0014173B">
          <w:rPr>
            <w:noProof/>
            <w:webHidden/>
          </w:rPr>
          <w:tab/>
        </w:r>
        <w:r w:rsidR="0014173B">
          <w:rPr>
            <w:noProof/>
            <w:webHidden/>
          </w:rPr>
          <w:fldChar w:fldCharType="begin"/>
        </w:r>
        <w:r w:rsidR="0014173B">
          <w:rPr>
            <w:noProof/>
            <w:webHidden/>
          </w:rPr>
          <w:instrText xml:space="preserve"> PAGEREF _Toc520212609 \h </w:instrText>
        </w:r>
        <w:r w:rsidR="0014173B">
          <w:rPr>
            <w:noProof/>
            <w:webHidden/>
          </w:rPr>
        </w:r>
        <w:r w:rsidR="0014173B">
          <w:rPr>
            <w:noProof/>
            <w:webHidden/>
          </w:rPr>
          <w:fldChar w:fldCharType="separate"/>
        </w:r>
        <w:r w:rsidR="00940F6A">
          <w:rPr>
            <w:noProof/>
            <w:webHidden/>
          </w:rPr>
          <w:t>2</w:t>
        </w:r>
        <w:r w:rsidR="00A544A5">
          <w:rPr>
            <w:noProof/>
            <w:webHidden/>
          </w:rPr>
          <w:t>20</w:t>
        </w:r>
        <w:r w:rsidR="0014173B">
          <w:rPr>
            <w:noProof/>
            <w:webHidden/>
          </w:rPr>
          <w:fldChar w:fldCharType="end"/>
        </w:r>
      </w:hyperlink>
    </w:p>
    <w:p w14:paraId="7CC84884" w14:textId="39ABD39A" w:rsidR="0014173B" w:rsidRDefault="00874C0C">
      <w:pPr>
        <w:pStyle w:val="Indicedellefigure"/>
        <w:tabs>
          <w:tab w:val="right" w:leader="dot" w:pos="8488"/>
        </w:tabs>
        <w:rPr>
          <w:rFonts w:asciiTheme="minorHAnsi" w:hAnsiTheme="minorHAnsi" w:cstheme="minorBidi"/>
          <w:noProof/>
          <w:szCs w:val="22"/>
          <w:lang w:eastAsia="en-GB"/>
        </w:rPr>
      </w:pPr>
      <w:hyperlink w:anchor="_Toc520212610" w:history="1">
        <w:r w:rsidR="0014173B" w:rsidRPr="003E163E">
          <w:rPr>
            <w:rStyle w:val="Collegamentoipertestuale"/>
            <w:noProof/>
          </w:rPr>
          <w:t>Table 4-35</w:t>
        </w:r>
        <w:r w:rsidR="003D31DD">
          <w:rPr>
            <w:rStyle w:val="Collegamentoipertestuale"/>
            <w:noProof/>
          </w:rPr>
          <w:t>.</w:t>
        </w:r>
        <w:r w:rsidR="0014173B" w:rsidRPr="003E163E">
          <w:rPr>
            <w:rStyle w:val="Collegamentoipertestuale"/>
            <w:noProof/>
          </w:rPr>
          <w:t xml:space="preserve"> Beads and whorls occurrence</w:t>
        </w:r>
        <w:r w:rsidR="005C12A7">
          <w:rPr>
            <w:rStyle w:val="Collegamentoipertestuale"/>
            <w:noProof/>
          </w:rPr>
          <w:t>,</w:t>
        </w:r>
        <w:r w:rsidR="0014173B" w:rsidRPr="003E163E">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_Toc520212610 \h </w:instrText>
        </w:r>
        <w:r w:rsidR="0014173B">
          <w:rPr>
            <w:noProof/>
            <w:webHidden/>
          </w:rPr>
        </w:r>
        <w:r w:rsidR="0014173B">
          <w:rPr>
            <w:noProof/>
            <w:webHidden/>
          </w:rPr>
          <w:fldChar w:fldCharType="separate"/>
        </w:r>
        <w:r w:rsidR="00940F6A">
          <w:rPr>
            <w:noProof/>
            <w:webHidden/>
          </w:rPr>
          <w:t>22</w:t>
        </w:r>
        <w:r w:rsidR="0014173B">
          <w:rPr>
            <w:noProof/>
            <w:webHidden/>
          </w:rPr>
          <w:fldChar w:fldCharType="end"/>
        </w:r>
      </w:hyperlink>
      <w:r w:rsidR="00A544A5">
        <w:rPr>
          <w:noProof/>
        </w:rPr>
        <w:t>6</w:t>
      </w:r>
    </w:p>
    <w:p w14:paraId="2A92FDF2" w14:textId="0FE19E87" w:rsidR="0014173B" w:rsidRDefault="00874C0C">
      <w:pPr>
        <w:pStyle w:val="Indicedellefigure"/>
        <w:tabs>
          <w:tab w:val="right" w:leader="dot" w:pos="8488"/>
        </w:tabs>
        <w:rPr>
          <w:rFonts w:asciiTheme="minorHAnsi" w:hAnsiTheme="minorHAnsi" w:cstheme="minorBidi"/>
          <w:noProof/>
          <w:szCs w:val="22"/>
          <w:lang w:eastAsia="en-GB"/>
        </w:rPr>
      </w:pPr>
      <w:hyperlink w:anchor="_Toc520212611" w:history="1">
        <w:r w:rsidR="0014173B" w:rsidRPr="003E163E">
          <w:rPr>
            <w:rStyle w:val="Collegamentoipertestuale"/>
            <w:noProof/>
          </w:rPr>
          <w:t>Table 4-36</w:t>
        </w:r>
        <w:r w:rsidR="009462D2">
          <w:rPr>
            <w:rStyle w:val="Collegamentoipertestuale"/>
            <w:noProof/>
          </w:rPr>
          <w:t>.</w:t>
        </w:r>
        <w:r w:rsidR="0014173B" w:rsidRPr="003E163E">
          <w:rPr>
            <w:rStyle w:val="Collegamentoipertestuale"/>
            <w:noProof/>
          </w:rPr>
          <w:t xml:space="preserve"> Most common non-ceramic item types</w:t>
        </w:r>
        <w:r w:rsidR="005C12A7">
          <w:rPr>
            <w:rStyle w:val="Collegamentoipertestuale"/>
            <w:noProof/>
          </w:rPr>
          <w:t>,</w:t>
        </w:r>
        <w:r w:rsidR="0014173B" w:rsidRPr="003E163E">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_Toc520212611 \h </w:instrText>
        </w:r>
        <w:r w:rsidR="0014173B">
          <w:rPr>
            <w:noProof/>
            <w:webHidden/>
          </w:rPr>
        </w:r>
        <w:r w:rsidR="0014173B">
          <w:rPr>
            <w:noProof/>
            <w:webHidden/>
          </w:rPr>
          <w:fldChar w:fldCharType="separate"/>
        </w:r>
        <w:r w:rsidR="00940F6A">
          <w:rPr>
            <w:noProof/>
            <w:webHidden/>
          </w:rPr>
          <w:t>22</w:t>
        </w:r>
        <w:r w:rsidR="00A544A5">
          <w:rPr>
            <w:noProof/>
            <w:webHidden/>
          </w:rPr>
          <w:t>6</w:t>
        </w:r>
        <w:r w:rsidR="0014173B">
          <w:rPr>
            <w:noProof/>
            <w:webHidden/>
          </w:rPr>
          <w:fldChar w:fldCharType="end"/>
        </w:r>
      </w:hyperlink>
    </w:p>
    <w:p w14:paraId="6424E87B" w14:textId="5D8B63E1" w:rsidR="0014173B" w:rsidRDefault="00874C0C">
      <w:pPr>
        <w:pStyle w:val="Indicedellefigure"/>
        <w:tabs>
          <w:tab w:val="right" w:leader="dot" w:pos="8488"/>
        </w:tabs>
        <w:rPr>
          <w:rFonts w:asciiTheme="minorHAnsi" w:hAnsiTheme="minorHAnsi" w:cstheme="minorBidi"/>
          <w:noProof/>
          <w:szCs w:val="22"/>
          <w:lang w:eastAsia="en-GB"/>
        </w:rPr>
      </w:pPr>
      <w:hyperlink w:anchor="_Toc520212612" w:history="1">
        <w:r w:rsidR="0014173B" w:rsidRPr="003E163E">
          <w:rPr>
            <w:rStyle w:val="Collegamentoipertestuale"/>
            <w:noProof/>
          </w:rPr>
          <w:t>Table 4-37</w:t>
        </w:r>
        <w:r w:rsidR="009462D2">
          <w:rPr>
            <w:rStyle w:val="Collegamentoipertestuale"/>
            <w:noProof/>
          </w:rPr>
          <w:t>.</w:t>
        </w:r>
        <w:r w:rsidR="0014173B" w:rsidRPr="003E163E">
          <w:rPr>
            <w:rStyle w:val="Collegamentoipertestuale"/>
            <w:noProof/>
          </w:rPr>
          <w:t xml:space="preserve"> Most common pottery types</w:t>
        </w:r>
        <w:r w:rsidR="005C12A7">
          <w:rPr>
            <w:rStyle w:val="Collegamentoipertestuale"/>
            <w:noProof/>
          </w:rPr>
          <w:t>,</w:t>
        </w:r>
        <w:r w:rsidR="0014173B" w:rsidRPr="003E163E">
          <w:rPr>
            <w:rStyle w:val="Collegamentoipertestuale"/>
            <w:noProof/>
          </w:rPr>
          <w:t xml:space="preserve"> Mesara area</w:t>
        </w:r>
        <w:r w:rsidR="0014173B">
          <w:rPr>
            <w:noProof/>
            <w:webHidden/>
          </w:rPr>
          <w:tab/>
        </w:r>
        <w:r w:rsidR="0014173B">
          <w:rPr>
            <w:noProof/>
            <w:webHidden/>
          </w:rPr>
          <w:fldChar w:fldCharType="begin"/>
        </w:r>
        <w:r w:rsidR="0014173B">
          <w:rPr>
            <w:noProof/>
            <w:webHidden/>
          </w:rPr>
          <w:instrText xml:space="preserve"> PAGEREF _Toc520212612 \h </w:instrText>
        </w:r>
        <w:r w:rsidR="0014173B">
          <w:rPr>
            <w:noProof/>
            <w:webHidden/>
          </w:rPr>
        </w:r>
        <w:r w:rsidR="0014173B">
          <w:rPr>
            <w:noProof/>
            <w:webHidden/>
          </w:rPr>
          <w:fldChar w:fldCharType="separate"/>
        </w:r>
        <w:r w:rsidR="00940F6A">
          <w:rPr>
            <w:noProof/>
            <w:webHidden/>
          </w:rPr>
          <w:t>22</w:t>
        </w:r>
        <w:r w:rsidR="00A544A5">
          <w:rPr>
            <w:noProof/>
            <w:webHidden/>
          </w:rPr>
          <w:t>8</w:t>
        </w:r>
        <w:r w:rsidR="0014173B">
          <w:rPr>
            <w:noProof/>
            <w:webHidden/>
          </w:rPr>
          <w:fldChar w:fldCharType="end"/>
        </w:r>
      </w:hyperlink>
    </w:p>
    <w:p w14:paraId="76F7A008" w14:textId="4783897A" w:rsidR="0014173B" w:rsidRDefault="00874C0C">
      <w:pPr>
        <w:pStyle w:val="Indicedellefigure"/>
        <w:tabs>
          <w:tab w:val="right" w:leader="dot" w:pos="8488"/>
        </w:tabs>
        <w:rPr>
          <w:rFonts w:asciiTheme="minorHAnsi" w:hAnsiTheme="minorHAnsi" w:cstheme="minorBidi"/>
          <w:noProof/>
          <w:szCs w:val="22"/>
          <w:lang w:eastAsia="en-GB"/>
        </w:rPr>
      </w:pPr>
      <w:hyperlink w:anchor="_Toc520212613" w:history="1">
        <w:r w:rsidR="0014173B" w:rsidRPr="003E163E">
          <w:rPr>
            <w:rStyle w:val="Collegamentoipertestuale"/>
            <w:noProof/>
          </w:rPr>
          <w:t>Table 4-38</w:t>
        </w:r>
        <w:r w:rsidR="009462D2">
          <w:rPr>
            <w:rStyle w:val="Collegamentoipertestuale"/>
            <w:noProof/>
          </w:rPr>
          <w:t>.</w:t>
        </w:r>
        <w:r w:rsidR="0014173B" w:rsidRPr="003E163E">
          <w:rPr>
            <w:rStyle w:val="Collegamentoipertestuale"/>
            <w:noProof/>
          </w:rPr>
          <w:t xml:space="preserve"> Beads occurrence</w:t>
        </w:r>
        <w:r w:rsidR="005C12A7">
          <w:rPr>
            <w:rStyle w:val="Collegamentoipertestuale"/>
            <w:noProof/>
          </w:rPr>
          <w:t>,</w:t>
        </w:r>
        <w:r w:rsidR="0014173B" w:rsidRPr="003E163E">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_Toc520212613 \h </w:instrText>
        </w:r>
        <w:r w:rsidR="0014173B">
          <w:rPr>
            <w:noProof/>
            <w:webHidden/>
          </w:rPr>
        </w:r>
        <w:r w:rsidR="0014173B">
          <w:rPr>
            <w:noProof/>
            <w:webHidden/>
          </w:rPr>
          <w:fldChar w:fldCharType="separate"/>
        </w:r>
        <w:r w:rsidR="00940F6A">
          <w:rPr>
            <w:noProof/>
            <w:webHidden/>
          </w:rPr>
          <w:t>23</w:t>
        </w:r>
        <w:r w:rsidR="00A544A5">
          <w:rPr>
            <w:noProof/>
            <w:webHidden/>
          </w:rPr>
          <w:t>4</w:t>
        </w:r>
        <w:r w:rsidR="0014173B">
          <w:rPr>
            <w:noProof/>
            <w:webHidden/>
          </w:rPr>
          <w:fldChar w:fldCharType="end"/>
        </w:r>
      </w:hyperlink>
    </w:p>
    <w:p w14:paraId="14C33B96" w14:textId="1C3DE5E3" w:rsidR="0014173B" w:rsidRDefault="00874C0C">
      <w:pPr>
        <w:pStyle w:val="Indicedellefigure"/>
        <w:tabs>
          <w:tab w:val="right" w:leader="dot" w:pos="8488"/>
        </w:tabs>
        <w:rPr>
          <w:rFonts w:asciiTheme="minorHAnsi" w:hAnsiTheme="minorHAnsi" w:cstheme="minorBidi"/>
          <w:noProof/>
          <w:szCs w:val="22"/>
          <w:lang w:eastAsia="en-GB"/>
        </w:rPr>
      </w:pPr>
      <w:hyperlink w:anchor="_Toc520212614" w:history="1">
        <w:r w:rsidR="0014173B" w:rsidRPr="003E163E">
          <w:rPr>
            <w:rStyle w:val="Collegamentoipertestuale"/>
            <w:noProof/>
          </w:rPr>
          <w:t>Table 4-39</w:t>
        </w:r>
        <w:r w:rsidR="009462D2">
          <w:rPr>
            <w:rStyle w:val="Collegamentoipertestuale"/>
            <w:noProof/>
          </w:rPr>
          <w:t>.</w:t>
        </w:r>
        <w:r w:rsidR="0014173B" w:rsidRPr="003E163E">
          <w:rPr>
            <w:rStyle w:val="Collegamentoipertestuale"/>
            <w:noProof/>
          </w:rPr>
          <w:t xml:space="preserve"> Most common non-ceramic item types</w:t>
        </w:r>
        <w:r w:rsidR="005C12A7">
          <w:rPr>
            <w:rStyle w:val="Collegamentoipertestuale"/>
            <w:noProof/>
          </w:rPr>
          <w:t>,</w:t>
        </w:r>
        <w:r w:rsidR="0014173B" w:rsidRPr="003E163E">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_Toc520212614 \h </w:instrText>
        </w:r>
        <w:r w:rsidR="0014173B">
          <w:rPr>
            <w:noProof/>
            <w:webHidden/>
          </w:rPr>
        </w:r>
        <w:r w:rsidR="0014173B">
          <w:rPr>
            <w:noProof/>
            <w:webHidden/>
          </w:rPr>
          <w:fldChar w:fldCharType="separate"/>
        </w:r>
        <w:r w:rsidR="00940F6A">
          <w:rPr>
            <w:noProof/>
            <w:webHidden/>
          </w:rPr>
          <w:t>23</w:t>
        </w:r>
        <w:r w:rsidR="00A544A5">
          <w:rPr>
            <w:noProof/>
            <w:webHidden/>
          </w:rPr>
          <w:t>4</w:t>
        </w:r>
        <w:r w:rsidR="0014173B">
          <w:rPr>
            <w:noProof/>
            <w:webHidden/>
          </w:rPr>
          <w:fldChar w:fldCharType="end"/>
        </w:r>
      </w:hyperlink>
    </w:p>
    <w:p w14:paraId="20D19387" w14:textId="0DA903C5" w:rsidR="0014173B" w:rsidRDefault="00874C0C">
      <w:pPr>
        <w:pStyle w:val="Indicedellefigure"/>
        <w:tabs>
          <w:tab w:val="right" w:leader="dot" w:pos="8488"/>
        </w:tabs>
        <w:rPr>
          <w:rFonts w:asciiTheme="minorHAnsi" w:hAnsiTheme="minorHAnsi" w:cstheme="minorBidi"/>
          <w:noProof/>
          <w:szCs w:val="22"/>
          <w:lang w:eastAsia="en-GB"/>
        </w:rPr>
      </w:pPr>
      <w:hyperlink w:anchor="_Toc520212615" w:history="1">
        <w:r w:rsidR="0014173B" w:rsidRPr="003E163E">
          <w:rPr>
            <w:rStyle w:val="Collegamentoipertestuale"/>
            <w:noProof/>
          </w:rPr>
          <w:t>Table 4-40</w:t>
        </w:r>
        <w:r w:rsidR="009462D2">
          <w:rPr>
            <w:rStyle w:val="Collegamentoipertestuale"/>
            <w:noProof/>
          </w:rPr>
          <w:t>.</w:t>
        </w:r>
        <w:r w:rsidR="0014173B" w:rsidRPr="003E163E">
          <w:rPr>
            <w:rStyle w:val="Collegamentoipertestuale"/>
            <w:noProof/>
          </w:rPr>
          <w:t xml:space="preserve"> Most common pottery types</w:t>
        </w:r>
        <w:r w:rsidR="005C12A7">
          <w:rPr>
            <w:rStyle w:val="Collegamentoipertestuale"/>
            <w:noProof/>
          </w:rPr>
          <w:t>,</w:t>
        </w:r>
        <w:r w:rsidR="0014173B" w:rsidRPr="003E163E">
          <w:rPr>
            <w:rStyle w:val="Collegamentoipertestuale"/>
            <w:noProof/>
          </w:rPr>
          <w:t xml:space="preserve"> Knossos area</w:t>
        </w:r>
        <w:r w:rsidR="0014173B">
          <w:rPr>
            <w:noProof/>
            <w:webHidden/>
          </w:rPr>
          <w:tab/>
        </w:r>
        <w:r w:rsidR="0014173B">
          <w:rPr>
            <w:noProof/>
            <w:webHidden/>
          </w:rPr>
          <w:fldChar w:fldCharType="begin"/>
        </w:r>
        <w:r w:rsidR="0014173B">
          <w:rPr>
            <w:noProof/>
            <w:webHidden/>
          </w:rPr>
          <w:instrText xml:space="preserve"> PAGEREF _Toc520212615 \h </w:instrText>
        </w:r>
        <w:r w:rsidR="0014173B">
          <w:rPr>
            <w:noProof/>
            <w:webHidden/>
          </w:rPr>
        </w:r>
        <w:r w:rsidR="0014173B">
          <w:rPr>
            <w:noProof/>
            <w:webHidden/>
          </w:rPr>
          <w:fldChar w:fldCharType="separate"/>
        </w:r>
        <w:r w:rsidR="00940F6A">
          <w:rPr>
            <w:noProof/>
            <w:webHidden/>
          </w:rPr>
          <w:t>23</w:t>
        </w:r>
        <w:r w:rsidR="00A544A5">
          <w:rPr>
            <w:noProof/>
            <w:webHidden/>
          </w:rPr>
          <w:t>5</w:t>
        </w:r>
        <w:r w:rsidR="0014173B">
          <w:rPr>
            <w:noProof/>
            <w:webHidden/>
          </w:rPr>
          <w:fldChar w:fldCharType="end"/>
        </w:r>
      </w:hyperlink>
    </w:p>
    <w:p w14:paraId="23157810" w14:textId="280248ED" w:rsidR="0014173B" w:rsidRDefault="00874C0C">
      <w:pPr>
        <w:pStyle w:val="Indicedellefigure"/>
        <w:tabs>
          <w:tab w:val="right" w:leader="dot" w:pos="8488"/>
        </w:tabs>
        <w:rPr>
          <w:rFonts w:asciiTheme="minorHAnsi" w:hAnsiTheme="minorHAnsi" w:cstheme="minorBidi"/>
          <w:noProof/>
          <w:szCs w:val="22"/>
          <w:lang w:eastAsia="en-GB"/>
        </w:rPr>
      </w:pPr>
      <w:hyperlink w:anchor="_Toc520212616" w:history="1">
        <w:r w:rsidR="0014173B" w:rsidRPr="003E163E">
          <w:rPr>
            <w:rStyle w:val="Collegamentoipertestuale"/>
            <w:noProof/>
          </w:rPr>
          <w:t>Table 4-41</w:t>
        </w:r>
        <w:r w:rsidR="009462D2">
          <w:rPr>
            <w:rStyle w:val="Collegamentoipertestuale"/>
            <w:noProof/>
          </w:rPr>
          <w:t>.</w:t>
        </w:r>
        <w:r w:rsidR="0014173B" w:rsidRPr="003E163E">
          <w:rPr>
            <w:rStyle w:val="Collegamentoipertestuale"/>
            <w:noProof/>
          </w:rPr>
          <w:t xml:space="preserve"> Beads occurrence</w:t>
        </w:r>
        <w:r w:rsidR="005C12A7">
          <w:rPr>
            <w:rStyle w:val="Collegamentoipertestuale"/>
            <w:noProof/>
          </w:rPr>
          <w:t>,</w:t>
        </w:r>
        <w:r w:rsidR="0014173B" w:rsidRPr="003E163E">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_Toc520212616 \h </w:instrText>
        </w:r>
        <w:r w:rsidR="0014173B">
          <w:rPr>
            <w:noProof/>
            <w:webHidden/>
          </w:rPr>
        </w:r>
        <w:r w:rsidR="0014173B">
          <w:rPr>
            <w:noProof/>
            <w:webHidden/>
          </w:rPr>
          <w:fldChar w:fldCharType="separate"/>
        </w:r>
        <w:r w:rsidR="00940F6A">
          <w:rPr>
            <w:noProof/>
            <w:webHidden/>
          </w:rPr>
          <w:t>24</w:t>
        </w:r>
        <w:r w:rsidR="00A544A5">
          <w:rPr>
            <w:noProof/>
            <w:webHidden/>
          </w:rPr>
          <w:t>1</w:t>
        </w:r>
        <w:r w:rsidR="0014173B">
          <w:rPr>
            <w:noProof/>
            <w:webHidden/>
          </w:rPr>
          <w:fldChar w:fldCharType="end"/>
        </w:r>
      </w:hyperlink>
    </w:p>
    <w:p w14:paraId="09ABC55F" w14:textId="7AB473F3" w:rsidR="0014173B" w:rsidRDefault="00874C0C">
      <w:pPr>
        <w:pStyle w:val="Indicedellefigure"/>
        <w:tabs>
          <w:tab w:val="right" w:leader="dot" w:pos="8488"/>
        </w:tabs>
        <w:rPr>
          <w:rFonts w:asciiTheme="minorHAnsi" w:hAnsiTheme="minorHAnsi" w:cstheme="minorBidi"/>
          <w:noProof/>
          <w:szCs w:val="22"/>
          <w:lang w:eastAsia="en-GB"/>
        </w:rPr>
      </w:pPr>
      <w:hyperlink w:anchor="_Toc520212617" w:history="1">
        <w:r w:rsidR="0014173B" w:rsidRPr="003E163E">
          <w:rPr>
            <w:rStyle w:val="Collegamentoipertestuale"/>
            <w:noProof/>
          </w:rPr>
          <w:t>Table 4-42</w:t>
        </w:r>
        <w:r w:rsidR="009462D2">
          <w:rPr>
            <w:rStyle w:val="Collegamentoipertestuale"/>
            <w:noProof/>
          </w:rPr>
          <w:t>.</w:t>
        </w:r>
        <w:r w:rsidR="0014173B" w:rsidRPr="003E163E">
          <w:rPr>
            <w:rStyle w:val="Collegamentoipertestuale"/>
            <w:noProof/>
          </w:rPr>
          <w:t xml:space="preserve"> Most common non-ceramic item types</w:t>
        </w:r>
        <w:r w:rsidR="005C12A7">
          <w:rPr>
            <w:rStyle w:val="Collegamentoipertestuale"/>
            <w:noProof/>
          </w:rPr>
          <w:t>,</w:t>
        </w:r>
        <w:r w:rsidR="0014173B" w:rsidRPr="003E163E">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_Toc520212617 \h </w:instrText>
        </w:r>
        <w:r w:rsidR="0014173B">
          <w:rPr>
            <w:noProof/>
            <w:webHidden/>
          </w:rPr>
        </w:r>
        <w:r w:rsidR="0014173B">
          <w:rPr>
            <w:noProof/>
            <w:webHidden/>
          </w:rPr>
          <w:fldChar w:fldCharType="separate"/>
        </w:r>
        <w:r w:rsidR="00940F6A">
          <w:rPr>
            <w:noProof/>
            <w:webHidden/>
          </w:rPr>
          <w:t>24</w:t>
        </w:r>
        <w:r w:rsidR="00A544A5">
          <w:rPr>
            <w:noProof/>
            <w:webHidden/>
          </w:rPr>
          <w:t>1</w:t>
        </w:r>
        <w:r w:rsidR="0014173B">
          <w:rPr>
            <w:noProof/>
            <w:webHidden/>
          </w:rPr>
          <w:fldChar w:fldCharType="end"/>
        </w:r>
      </w:hyperlink>
    </w:p>
    <w:p w14:paraId="1DBF92E6" w14:textId="77D138E5" w:rsidR="0014173B" w:rsidRDefault="00874C0C">
      <w:pPr>
        <w:pStyle w:val="Indicedellefigure"/>
        <w:tabs>
          <w:tab w:val="right" w:leader="dot" w:pos="8488"/>
        </w:tabs>
        <w:rPr>
          <w:rFonts w:asciiTheme="minorHAnsi" w:hAnsiTheme="minorHAnsi" w:cstheme="minorBidi"/>
          <w:noProof/>
          <w:szCs w:val="22"/>
          <w:lang w:eastAsia="en-GB"/>
        </w:rPr>
      </w:pPr>
      <w:hyperlink w:anchor="_Toc520212618" w:history="1">
        <w:r w:rsidR="0014173B" w:rsidRPr="003E163E">
          <w:rPr>
            <w:rStyle w:val="Collegamentoipertestuale"/>
            <w:noProof/>
          </w:rPr>
          <w:t>Table 4-43</w:t>
        </w:r>
        <w:r w:rsidR="009462D2">
          <w:rPr>
            <w:rStyle w:val="Collegamentoipertestuale"/>
            <w:noProof/>
          </w:rPr>
          <w:t>.</w:t>
        </w:r>
        <w:r w:rsidR="0014173B" w:rsidRPr="003E163E">
          <w:rPr>
            <w:rStyle w:val="Collegamentoipertestuale"/>
            <w:noProof/>
          </w:rPr>
          <w:t xml:space="preserve"> Most common pottery types</w:t>
        </w:r>
        <w:r w:rsidR="005C12A7">
          <w:rPr>
            <w:rStyle w:val="Collegamentoipertestuale"/>
            <w:noProof/>
          </w:rPr>
          <w:t>,</w:t>
        </w:r>
        <w:r w:rsidR="0014173B" w:rsidRPr="003E163E">
          <w:rPr>
            <w:rStyle w:val="Collegamentoipertestuale"/>
            <w:noProof/>
          </w:rPr>
          <w:t xml:space="preserve"> Central area</w:t>
        </w:r>
        <w:r w:rsidR="0014173B">
          <w:rPr>
            <w:noProof/>
            <w:webHidden/>
          </w:rPr>
          <w:tab/>
        </w:r>
        <w:r w:rsidR="0014173B">
          <w:rPr>
            <w:noProof/>
            <w:webHidden/>
          </w:rPr>
          <w:fldChar w:fldCharType="begin"/>
        </w:r>
        <w:r w:rsidR="0014173B">
          <w:rPr>
            <w:noProof/>
            <w:webHidden/>
          </w:rPr>
          <w:instrText xml:space="preserve"> PAGEREF _Toc520212618 \h </w:instrText>
        </w:r>
        <w:r w:rsidR="0014173B">
          <w:rPr>
            <w:noProof/>
            <w:webHidden/>
          </w:rPr>
        </w:r>
        <w:r w:rsidR="0014173B">
          <w:rPr>
            <w:noProof/>
            <w:webHidden/>
          </w:rPr>
          <w:fldChar w:fldCharType="separate"/>
        </w:r>
        <w:r w:rsidR="00940F6A">
          <w:rPr>
            <w:noProof/>
            <w:webHidden/>
          </w:rPr>
          <w:t>24</w:t>
        </w:r>
        <w:r w:rsidR="00A544A5">
          <w:rPr>
            <w:noProof/>
            <w:webHidden/>
          </w:rPr>
          <w:t>3</w:t>
        </w:r>
        <w:r w:rsidR="0014173B">
          <w:rPr>
            <w:noProof/>
            <w:webHidden/>
          </w:rPr>
          <w:fldChar w:fldCharType="end"/>
        </w:r>
      </w:hyperlink>
    </w:p>
    <w:p w14:paraId="59733CAC" w14:textId="3080A0B4" w:rsidR="0014173B" w:rsidRDefault="00874C0C">
      <w:pPr>
        <w:pStyle w:val="Indicedellefigure"/>
        <w:tabs>
          <w:tab w:val="right" w:leader="dot" w:pos="8488"/>
        </w:tabs>
        <w:rPr>
          <w:rFonts w:asciiTheme="minorHAnsi" w:hAnsiTheme="minorHAnsi" w:cstheme="minorBidi"/>
          <w:noProof/>
          <w:szCs w:val="22"/>
          <w:lang w:eastAsia="en-GB"/>
        </w:rPr>
      </w:pPr>
      <w:hyperlink w:anchor="_Toc520212619" w:history="1">
        <w:r w:rsidR="0014173B" w:rsidRPr="003E163E">
          <w:rPr>
            <w:rStyle w:val="Collegamentoipertestuale"/>
            <w:noProof/>
          </w:rPr>
          <w:t>Table 4-44</w:t>
        </w:r>
        <w:r w:rsidR="009462D2">
          <w:rPr>
            <w:rStyle w:val="Collegamentoipertestuale"/>
            <w:noProof/>
          </w:rPr>
          <w:t>.</w:t>
        </w:r>
        <w:r w:rsidR="0014173B" w:rsidRPr="003E163E">
          <w:rPr>
            <w:rStyle w:val="Collegamentoipertestuale"/>
            <w:noProof/>
          </w:rPr>
          <w:t xml:space="preserve"> Beads occurrence</w:t>
        </w:r>
        <w:r w:rsidR="005C12A7">
          <w:rPr>
            <w:rStyle w:val="Collegamentoipertestuale"/>
            <w:noProof/>
          </w:rPr>
          <w:t>,</w:t>
        </w:r>
        <w:r w:rsidR="0014173B" w:rsidRPr="003E163E">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_Toc520212619 \h </w:instrText>
        </w:r>
        <w:r w:rsidR="0014173B">
          <w:rPr>
            <w:noProof/>
            <w:webHidden/>
          </w:rPr>
        </w:r>
        <w:r w:rsidR="0014173B">
          <w:rPr>
            <w:noProof/>
            <w:webHidden/>
          </w:rPr>
          <w:fldChar w:fldCharType="separate"/>
        </w:r>
        <w:r w:rsidR="00940F6A">
          <w:rPr>
            <w:noProof/>
            <w:webHidden/>
          </w:rPr>
          <w:t>24</w:t>
        </w:r>
        <w:r w:rsidR="00A544A5">
          <w:rPr>
            <w:noProof/>
            <w:webHidden/>
          </w:rPr>
          <w:t>9</w:t>
        </w:r>
        <w:r w:rsidR="0014173B">
          <w:rPr>
            <w:noProof/>
            <w:webHidden/>
          </w:rPr>
          <w:fldChar w:fldCharType="end"/>
        </w:r>
      </w:hyperlink>
    </w:p>
    <w:p w14:paraId="34EB7863" w14:textId="51A1E870" w:rsidR="0014173B" w:rsidRDefault="00874C0C">
      <w:pPr>
        <w:pStyle w:val="Indicedellefigure"/>
        <w:tabs>
          <w:tab w:val="right" w:leader="dot" w:pos="8488"/>
        </w:tabs>
        <w:rPr>
          <w:rFonts w:asciiTheme="minorHAnsi" w:hAnsiTheme="minorHAnsi" w:cstheme="minorBidi"/>
          <w:noProof/>
          <w:szCs w:val="22"/>
          <w:lang w:eastAsia="en-GB"/>
        </w:rPr>
      </w:pPr>
      <w:hyperlink w:anchor="_Toc520212620" w:history="1">
        <w:r w:rsidR="0014173B" w:rsidRPr="003E163E">
          <w:rPr>
            <w:rStyle w:val="Collegamentoipertestuale"/>
            <w:noProof/>
          </w:rPr>
          <w:t>Table 4-45</w:t>
        </w:r>
        <w:r w:rsidR="009462D2">
          <w:rPr>
            <w:rStyle w:val="Collegamentoipertestuale"/>
            <w:noProof/>
          </w:rPr>
          <w:t>.</w:t>
        </w:r>
        <w:r w:rsidR="0014173B" w:rsidRPr="003E163E">
          <w:rPr>
            <w:rStyle w:val="Collegamentoipertestuale"/>
            <w:noProof/>
          </w:rPr>
          <w:t xml:space="preserve"> Most common non-ceramic item types</w:t>
        </w:r>
        <w:r w:rsidR="005C12A7">
          <w:rPr>
            <w:rStyle w:val="Collegamentoipertestuale"/>
            <w:noProof/>
          </w:rPr>
          <w:t>,</w:t>
        </w:r>
        <w:r w:rsidR="0014173B" w:rsidRPr="003E163E">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_Toc520212620 \h </w:instrText>
        </w:r>
        <w:r w:rsidR="0014173B">
          <w:rPr>
            <w:noProof/>
            <w:webHidden/>
          </w:rPr>
        </w:r>
        <w:r w:rsidR="0014173B">
          <w:rPr>
            <w:noProof/>
            <w:webHidden/>
          </w:rPr>
          <w:fldChar w:fldCharType="separate"/>
        </w:r>
        <w:r w:rsidR="00940F6A">
          <w:rPr>
            <w:noProof/>
            <w:webHidden/>
          </w:rPr>
          <w:t>24</w:t>
        </w:r>
        <w:r w:rsidR="00A544A5">
          <w:rPr>
            <w:noProof/>
            <w:webHidden/>
          </w:rPr>
          <w:t>9</w:t>
        </w:r>
        <w:r w:rsidR="0014173B">
          <w:rPr>
            <w:noProof/>
            <w:webHidden/>
          </w:rPr>
          <w:fldChar w:fldCharType="end"/>
        </w:r>
      </w:hyperlink>
    </w:p>
    <w:p w14:paraId="48764901" w14:textId="4B5F02BA" w:rsidR="0014173B" w:rsidRDefault="00874C0C">
      <w:pPr>
        <w:pStyle w:val="Indicedellefigure"/>
        <w:tabs>
          <w:tab w:val="right" w:leader="dot" w:pos="8488"/>
        </w:tabs>
        <w:rPr>
          <w:rFonts w:asciiTheme="minorHAnsi" w:hAnsiTheme="minorHAnsi" w:cstheme="minorBidi"/>
          <w:noProof/>
          <w:szCs w:val="22"/>
          <w:lang w:eastAsia="en-GB"/>
        </w:rPr>
      </w:pPr>
      <w:hyperlink w:anchor="_Toc520212621" w:history="1">
        <w:r w:rsidR="0014173B" w:rsidRPr="003E163E">
          <w:rPr>
            <w:rStyle w:val="Collegamentoipertestuale"/>
            <w:noProof/>
          </w:rPr>
          <w:t>Table 4-46</w:t>
        </w:r>
        <w:r w:rsidR="009462D2">
          <w:rPr>
            <w:rStyle w:val="Collegamentoipertestuale"/>
            <w:noProof/>
          </w:rPr>
          <w:t>.</w:t>
        </w:r>
        <w:r w:rsidR="0014173B" w:rsidRPr="003E163E">
          <w:rPr>
            <w:rStyle w:val="Collegamentoipertestuale"/>
            <w:noProof/>
          </w:rPr>
          <w:t xml:space="preserve"> Most common pottery types</w:t>
        </w:r>
        <w:r w:rsidR="005C12A7">
          <w:rPr>
            <w:rStyle w:val="Collegamentoipertestuale"/>
            <w:noProof/>
          </w:rPr>
          <w:t>,</w:t>
        </w:r>
        <w:r w:rsidR="0014173B" w:rsidRPr="003E163E">
          <w:rPr>
            <w:rStyle w:val="Collegamentoipertestuale"/>
            <w:noProof/>
          </w:rPr>
          <w:t xml:space="preserve"> Mid-East area</w:t>
        </w:r>
        <w:r w:rsidR="0014173B">
          <w:rPr>
            <w:noProof/>
            <w:webHidden/>
          </w:rPr>
          <w:tab/>
        </w:r>
        <w:r w:rsidR="0014173B">
          <w:rPr>
            <w:noProof/>
            <w:webHidden/>
          </w:rPr>
          <w:fldChar w:fldCharType="begin"/>
        </w:r>
        <w:r w:rsidR="0014173B">
          <w:rPr>
            <w:noProof/>
            <w:webHidden/>
          </w:rPr>
          <w:instrText xml:space="preserve"> PAGEREF _Toc520212621 \h </w:instrText>
        </w:r>
        <w:r w:rsidR="0014173B">
          <w:rPr>
            <w:noProof/>
            <w:webHidden/>
          </w:rPr>
        </w:r>
        <w:r w:rsidR="0014173B">
          <w:rPr>
            <w:noProof/>
            <w:webHidden/>
          </w:rPr>
          <w:fldChar w:fldCharType="separate"/>
        </w:r>
        <w:r w:rsidR="00940F6A">
          <w:rPr>
            <w:noProof/>
            <w:webHidden/>
          </w:rPr>
          <w:t>25</w:t>
        </w:r>
        <w:r w:rsidR="0014173B">
          <w:rPr>
            <w:noProof/>
            <w:webHidden/>
          </w:rPr>
          <w:fldChar w:fldCharType="end"/>
        </w:r>
      </w:hyperlink>
      <w:r w:rsidR="003240AD">
        <w:rPr>
          <w:noProof/>
        </w:rPr>
        <w:t>1</w:t>
      </w:r>
    </w:p>
    <w:p w14:paraId="7CDB796F" w14:textId="16F884F2" w:rsidR="0014173B" w:rsidRDefault="00874C0C">
      <w:pPr>
        <w:pStyle w:val="Indicedellefigure"/>
        <w:tabs>
          <w:tab w:val="right" w:leader="dot" w:pos="8488"/>
        </w:tabs>
        <w:rPr>
          <w:rFonts w:asciiTheme="minorHAnsi" w:hAnsiTheme="minorHAnsi" w:cstheme="minorBidi"/>
          <w:noProof/>
          <w:szCs w:val="22"/>
          <w:lang w:eastAsia="en-GB"/>
        </w:rPr>
      </w:pPr>
      <w:hyperlink w:anchor="_Toc520212622" w:history="1">
        <w:r w:rsidR="0014173B" w:rsidRPr="003E163E">
          <w:rPr>
            <w:rStyle w:val="Collegamentoipertestuale"/>
            <w:noProof/>
          </w:rPr>
          <w:t>Table 4-47</w:t>
        </w:r>
        <w:r w:rsidR="009462D2">
          <w:rPr>
            <w:rStyle w:val="Collegamentoipertestuale"/>
            <w:noProof/>
          </w:rPr>
          <w:t>.</w:t>
        </w:r>
        <w:r w:rsidR="0014173B" w:rsidRPr="003E163E">
          <w:rPr>
            <w:rStyle w:val="Collegamentoipertestuale"/>
            <w:noProof/>
          </w:rPr>
          <w:t xml:space="preserve"> Beads occurrence</w:t>
        </w:r>
        <w:r w:rsidR="005C12A7">
          <w:rPr>
            <w:rStyle w:val="Collegamentoipertestuale"/>
            <w:noProof/>
          </w:rPr>
          <w:t>,</w:t>
        </w:r>
        <w:r w:rsidR="0014173B" w:rsidRPr="003E163E">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_Toc520212622 \h </w:instrText>
        </w:r>
        <w:r w:rsidR="0014173B">
          <w:rPr>
            <w:noProof/>
            <w:webHidden/>
          </w:rPr>
        </w:r>
        <w:r w:rsidR="0014173B">
          <w:rPr>
            <w:noProof/>
            <w:webHidden/>
          </w:rPr>
          <w:fldChar w:fldCharType="separate"/>
        </w:r>
        <w:r w:rsidR="00940F6A">
          <w:rPr>
            <w:noProof/>
            <w:webHidden/>
          </w:rPr>
          <w:t>25</w:t>
        </w:r>
        <w:r w:rsidR="003240AD">
          <w:rPr>
            <w:noProof/>
            <w:webHidden/>
          </w:rPr>
          <w:t>7</w:t>
        </w:r>
        <w:r w:rsidR="0014173B">
          <w:rPr>
            <w:noProof/>
            <w:webHidden/>
          </w:rPr>
          <w:fldChar w:fldCharType="end"/>
        </w:r>
      </w:hyperlink>
    </w:p>
    <w:p w14:paraId="0ACEA1DF" w14:textId="5710F68E" w:rsidR="0014173B" w:rsidRDefault="00874C0C">
      <w:pPr>
        <w:pStyle w:val="Indicedellefigure"/>
        <w:tabs>
          <w:tab w:val="right" w:leader="dot" w:pos="8488"/>
        </w:tabs>
        <w:rPr>
          <w:rFonts w:asciiTheme="minorHAnsi" w:hAnsiTheme="minorHAnsi" w:cstheme="minorBidi"/>
          <w:noProof/>
          <w:szCs w:val="22"/>
          <w:lang w:eastAsia="en-GB"/>
        </w:rPr>
      </w:pPr>
      <w:hyperlink w:anchor="_Toc520212623" w:history="1">
        <w:r w:rsidR="0014173B" w:rsidRPr="003E163E">
          <w:rPr>
            <w:rStyle w:val="Collegamentoipertestuale"/>
            <w:noProof/>
          </w:rPr>
          <w:t>Table 4-48</w:t>
        </w:r>
        <w:r w:rsidR="009462D2">
          <w:rPr>
            <w:rStyle w:val="Collegamentoipertestuale"/>
            <w:noProof/>
          </w:rPr>
          <w:t>.</w:t>
        </w:r>
        <w:r w:rsidR="0014173B" w:rsidRPr="003E163E">
          <w:rPr>
            <w:rStyle w:val="Collegamentoipertestuale"/>
            <w:noProof/>
          </w:rPr>
          <w:t xml:space="preserve"> Most common non-ceramic item types</w:t>
        </w:r>
        <w:r w:rsidR="005C12A7">
          <w:rPr>
            <w:rStyle w:val="Collegamentoipertestuale"/>
            <w:noProof/>
          </w:rPr>
          <w:t>,</w:t>
        </w:r>
        <w:r w:rsidR="0014173B" w:rsidRPr="003E163E">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_Toc520212623 \h </w:instrText>
        </w:r>
        <w:r w:rsidR="0014173B">
          <w:rPr>
            <w:noProof/>
            <w:webHidden/>
          </w:rPr>
        </w:r>
        <w:r w:rsidR="0014173B">
          <w:rPr>
            <w:noProof/>
            <w:webHidden/>
          </w:rPr>
          <w:fldChar w:fldCharType="separate"/>
        </w:r>
        <w:r w:rsidR="00940F6A">
          <w:rPr>
            <w:noProof/>
            <w:webHidden/>
          </w:rPr>
          <w:t>25</w:t>
        </w:r>
        <w:r w:rsidR="003240AD">
          <w:rPr>
            <w:noProof/>
            <w:webHidden/>
          </w:rPr>
          <w:t>7</w:t>
        </w:r>
        <w:r w:rsidR="0014173B">
          <w:rPr>
            <w:noProof/>
            <w:webHidden/>
          </w:rPr>
          <w:fldChar w:fldCharType="end"/>
        </w:r>
      </w:hyperlink>
    </w:p>
    <w:p w14:paraId="342495F2" w14:textId="40CF79BB" w:rsidR="0014173B" w:rsidRDefault="00874C0C">
      <w:pPr>
        <w:pStyle w:val="Indicedellefigure"/>
        <w:tabs>
          <w:tab w:val="right" w:leader="dot" w:pos="8488"/>
        </w:tabs>
        <w:rPr>
          <w:rFonts w:asciiTheme="minorHAnsi" w:hAnsiTheme="minorHAnsi" w:cstheme="minorBidi"/>
          <w:noProof/>
          <w:szCs w:val="22"/>
          <w:lang w:eastAsia="en-GB"/>
        </w:rPr>
      </w:pPr>
      <w:hyperlink w:anchor="_Toc520212624" w:history="1">
        <w:r w:rsidR="0014173B" w:rsidRPr="003E163E">
          <w:rPr>
            <w:rStyle w:val="Collegamentoipertestuale"/>
            <w:noProof/>
          </w:rPr>
          <w:t>Table 4-49</w:t>
        </w:r>
        <w:r w:rsidR="009462D2">
          <w:rPr>
            <w:rStyle w:val="Collegamentoipertestuale"/>
            <w:noProof/>
          </w:rPr>
          <w:t>.</w:t>
        </w:r>
        <w:r w:rsidR="0014173B" w:rsidRPr="003E163E">
          <w:rPr>
            <w:rStyle w:val="Collegamentoipertestuale"/>
            <w:noProof/>
          </w:rPr>
          <w:t xml:space="preserve"> Most common pottery types</w:t>
        </w:r>
        <w:r w:rsidR="005C12A7">
          <w:rPr>
            <w:rStyle w:val="Collegamentoipertestuale"/>
            <w:noProof/>
          </w:rPr>
          <w:t>,</w:t>
        </w:r>
        <w:r w:rsidR="0014173B" w:rsidRPr="003E163E">
          <w:rPr>
            <w:rStyle w:val="Collegamentoipertestuale"/>
            <w:noProof/>
          </w:rPr>
          <w:t xml:space="preserve"> Far-East area</w:t>
        </w:r>
        <w:r w:rsidR="0014173B">
          <w:rPr>
            <w:noProof/>
            <w:webHidden/>
          </w:rPr>
          <w:tab/>
        </w:r>
        <w:r w:rsidR="0014173B">
          <w:rPr>
            <w:noProof/>
            <w:webHidden/>
          </w:rPr>
          <w:fldChar w:fldCharType="begin"/>
        </w:r>
        <w:r w:rsidR="0014173B">
          <w:rPr>
            <w:noProof/>
            <w:webHidden/>
          </w:rPr>
          <w:instrText xml:space="preserve"> PAGEREF _Toc520212624 \h </w:instrText>
        </w:r>
        <w:r w:rsidR="0014173B">
          <w:rPr>
            <w:noProof/>
            <w:webHidden/>
          </w:rPr>
        </w:r>
        <w:r w:rsidR="0014173B">
          <w:rPr>
            <w:noProof/>
            <w:webHidden/>
          </w:rPr>
          <w:fldChar w:fldCharType="separate"/>
        </w:r>
        <w:r w:rsidR="00940F6A">
          <w:rPr>
            <w:noProof/>
            <w:webHidden/>
          </w:rPr>
          <w:t>25</w:t>
        </w:r>
        <w:r w:rsidR="003240AD">
          <w:rPr>
            <w:noProof/>
            <w:webHidden/>
          </w:rPr>
          <w:t>9</w:t>
        </w:r>
        <w:r w:rsidR="0014173B">
          <w:rPr>
            <w:noProof/>
            <w:webHidden/>
          </w:rPr>
          <w:fldChar w:fldCharType="end"/>
        </w:r>
      </w:hyperlink>
    </w:p>
    <w:p w14:paraId="7A9925A6" w14:textId="727DD418" w:rsidR="0014173B" w:rsidRDefault="00874C0C">
      <w:pPr>
        <w:pStyle w:val="Indicedellefigure"/>
        <w:tabs>
          <w:tab w:val="right" w:leader="dot" w:pos="8488"/>
        </w:tabs>
        <w:rPr>
          <w:rFonts w:asciiTheme="minorHAnsi" w:hAnsiTheme="minorHAnsi" w:cstheme="minorBidi"/>
          <w:noProof/>
          <w:szCs w:val="22"/>
          <w:lang w:eastAsia="en-GB"/>
        </w:rPr>
      </w:pPr>
      <w:hyperlink w:anchor="_Toc520212625" w:history="1">
        <w:r w:rsidR="0014173B" w:rsidRPr="003E163E">
          <w:rPr>
            <w:rStyle w:val="Collegamentoipertestuale"/>
            <w:noProof/>
          </w:rPr>
          <w:t>Table 5-1</w:t>
        </w:r>
        <w:r w:rsidR="009462D2">
          <w:rPr>
            <w:rStyle w:val="Collegamentoipertestuale"/>
            <w:noProof/>
          </w:rPr>
          <w:t>.</w:t>
        </w:r>
        <w:r w:rsidR="0014173B" w:rsidRPr="003E163E">
          <w:rPr>
            <w:rStyle w:val="Collegamentoipertestuale"/>
            <w:noProof/>
          </w:rPr>
          <w:t xml:space="preserve"> Larnax type, Mid-West</w:t>
        </w:r>
        <w:r w:rsidR="005C12A7">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_Toc520212625 \h </w:instrText>
        </w:r>
        <w:r w:rsidR="0014173B">
          <w:rPr>
            <w:noProof/>
            <w:webHidden/>
          </w:rPr>
        </w:r>
        <w:r w:rsidR="0014173B">
          <w:rPr>
            <w:noProof/>
            <w:webHidden/>
          </w:rPr>
          <w:fldChar w:fldCharType="separate"/>
        </w:r>
        <w:r w:rsidR="00940F6A">
          <w:rPr>
            <w:noProof/>
            <w:webHidden/>
          </w:rPr>
          <w:t>28</w:t>
        </w:r>
        <w:r w:rsidR="003240AD">
          <w:rPr>
            <w:noProof/>
            <w:webHidden/>
          </w:rPr>
          <w:t>9</w:t>
        </w:r>
        <w:r w:rsidR="0014173B">
          <w:rPr>
            <w:noProof/>
            <w:webHidden/>
          </w:rPr>
          <w:fldChar w:fldCharType="end"/>
        </w:r>
      </w:hyperlink>
    </w:p>
    <w:p w14:paraId="60464F1C" w14:textId="603EA2C4" w:rsidR="0014173B" w:rsidRDefault="00874C0C">
      <w:pPr>
        <w:pStyle w:val="Indicedellefigure"/>
        <w:tabs>
          <w:tab w:val="right" w:leader="dot" w:pos="8488"/>
        </w:tabs>
        <w:rPr>
          <w:rFonts w:asciiTheme="minorHAnsi" w:hAnsiTheme="minorHAnsi" w:cstheme="minorBidi"/>
          <w:noProof/>
          <w:szCs w:val="22"/>
          <w:lang w:eastAsia="en-GB"/>
        </w:rPr>
      </w:pPr>
      <w:hyperlink w:anchor="_Toc520212626" w:history="1">
        <w:r w:rsidR="0014173B" w:rsidRPr="003E163E">
          <w:rPr>
            <w:rStyle w:val="Collegamentoipertestuale"/>
            <w:noProof/>
          </w:rPr>
          <w:t>Table 5-2</w:t>
        </w:r>
        <w:r w:rsidR="009462D2">
          <w:rPr>
            <w:rStyle w:val="Collegamentoipertestuale"/>
            <w:noProof/>
          </w:rPr>
          <w:t>.</w:t>
        </w:r>
        <w:r w:rsidR="0014173B" w:rsidRPr="003E163E">
          <w:rPr>
            <w:rStyle w:val="Collegamentoipertestuale"/>
            <w:noProof/>
          </w:rPr>
          <w:t xml:space="preserve"> Dimension range, Mid-West</w:t>
        </w:r>
        <w:r w:rsidR="005C12A7">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_Toc520212626 \h </w:instrText>
        </w:r>
        <w:r w:rsidR="0014173B">
          <w:rPr>
            <w:noProof/>
            <w:webHidden/>
          </w:rPr>
        </w:r>
        <w:r w:rsidR="0014173B">
          <w:rPr>
            <w:noProof/>
            <w:webHidden/>
          </w:rPr>
          <w:fldChar w:fldCharType="separate"/>
        </w:r>
        <w:r w:rsidR="00940F6A">
          <w:rPr>
            <w:noProof/>
            <w:webHidden/>
          </w:rPr>
          <w:t>28</w:t>
        </w:r>
        <w:r w:rsidR="003240AD">
          <w:rPr>
            <w:noProof/>
            <w:webHidden/>
          </w:rPr>
          <w:t>9</w:t>
        </w:r>
        <w:r w:rsidR="0014173B">
          <w:rPr>
            <w:noProof/>
            <w:webHidden/>
          </w:rPr>
          <w:fldChar w:fldCharType="end"/>
        </w:r>
      </w:hyperlink>
    </w:p>
    <w:p w14:paraId="0455BE1E" w14:textId="5DF71164" w:rsidR="0014173B" w:rsidRDefault="00874C0C">
      <w:pPr>
        <w:pStyle w:val="Indicedellefigure"/>
        <w:tabs>
          <w:tab w:val="right" w:leader="dot" w:pos="8488"/>
        </w:tabs>
        <w:rPr>
          <w:rFonts w:asciiTheme="minorHAnsi" w:hAnsiTheme="minorHAnsi" w:cstheme="minorBidi"/>
          <w:noProof/>
          <w:szCs w:val="22"/>
          <w:lang w:eastAsia="en-GB"/>
        </w:rPr>
      </w:pPr>
      <w:hyperlink w:anchor="_Toc520212627" w:history="1">
        <w:r w:rsidR="0014173B" w:rsidRPr="003E163E">
          <w:rPr>
            <w:rStyle w:val="Collegamentoipertestuale"/>
            <w:noProof/>
          </w:rPr>
          <w:t>Table 5-3</w:t>
        </w:r>
        <w:r w:rsidR="009462D2">
          <w:rPr>
            <w:rStyle w:val="Collegamentoipertestuale"/>
            <w:noProof/>
          </w:rPr>
          <w:t>.</w:t>
        </w:r>
        <w:r w:rsidR="0014173B" w:rsidRPr="003E163E">
          <w:rPr>
            <w:rStyle w:val="Collegamentoipertestuale"/>
            <w:noProof/>
          </w:rPr>
          <w:t xml:space="preserve"> Lid occurrence, Mid-West</w:t>
        </w:r>
        <w:r w:rsidR="005C12A7">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_Toc520212627 \h </w:instrText>
        </w:r>
        <w:r w:rsidR="0014173B">
          <w:rPr>
            <w:noProof/>
            <w:webHidden/>
          </w:rPr>
        </w:r>
        <w:r w:rsidR="0014173B">
          <w:rPr>
            <w:noProof/>
            <w:webHidden/>
          </w:rPr>
          <w:fldChar w:fldCharType="separate"/>
        </w:r>
        <w:r w:rsidR="00940F6A">
          <w:rPr>
            <w:noProof/>
            <w:webHidden/>
          </w:rPr>
          <w:t>28</w:t>
        </w:r>
        <w:r w:rsidR="003240AD">
          <w:rPr>
            <w:noProof/>
            <w:webHidden/>
          </w:rPr>
          <w:t>9</w:t>
        </w:r>
        <w:r w:rsidR="0014173B">
          <w:rPr>
            <w:noProof/>
            <w:webHidden/>
          </w:rPr>
          <w:fldChar w:fldCharType="end"/>
        </w:r>
      </w:hyperlink>
    </w:p>
    <w:p w14:paraId="686B2950" w14:textId="6A632183" w:rsidR="0014173B" w:rsidRDefault="00874C0C">
      <w:pPr>
        <w:pStyle w:val="Indicedellefigure"/>
        <w:tabs>
          <w:tab w:val="right" w:leader="dot" w:pos="8488"/>
        </w:tabs>
        <w:rPr>
          <w:rFonts w:asciiTheme="minorHAnsi" w:hAnsiTheme="minorHAnsi" w:cstheme="minorBidi"/>
          <w:noProof/>
          <w:szCs w:val="22"/>
          <w:lang w:eastAsia="en-GB"/>
        </w:rPr>
      </w:pPr>
      <w:hyperlink w:anchor="_Toc520212628" w:history="1">
        <w:r w:rsidR="0014173B" w:rsidRPr="003E163E">
          <w:rPr>
            <w:rStyle w:val="Collegamentoipertestuale"/>
            <w:noProof/>
          </w:rPr>
          <w:t>Table 5-4</w:t>
        </w:r>
        <w:r w:rsidR="009462D2">
          <w:rPr>
            <w:rStyle w:val="Collegamentoipertestuale"/>
            <w:noProof/>
          </w:rPr>
          <w:t>.</w:t>
        </w:r>
        <w:r w:rsidR="0014173B" w:rsidRPr="003E163E">
          <w:rPr>
            <w:rStyle w:val="Collegamentoipertestuale"/>
            <w:noProof/>
          </w:rPr>
          <w:t xml:space="preserve"> Feet occurrence</w:t>
        </w:r>
        <w:r w:rsidR="006B3ACB">
          <w:rPr>
            <w:rStyle w:val="Collegamentoipertestuale"/>
            <w:noProof/>
          </w:rPr>
          <w:t xml:space="preserve">, </w:t>
        </w:r>
        <w:r w:rsidR="0014173B" w:rsidRPr="003E163E">
          <w:rPr>
            <w:rStyle w:val="Collegamentoipertestuale"/>
            <w:noProof/>
          </w:rPr>
          <w:t>Mid-West</w:t>
        </w:r>
        <w:r w:rsidR="006B3ACB">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_Toc520212628 \h </w:instrText>
        </w:r>
        <w:r w:rsidR="0014173B">
          <w:rPr>
            <w:noProof/>
            <w:webHidden/>
          </w:rPr>
        </w:r>
        <w:r w:rsidR="0014173B">
          <w:rPr>
            <w:noProof/>
            <w:webHidden/>
          </w:rPr>
          <w:fldChar w:fldCharType="separate"/>
        </w:r>
        <w:r w:rsidR="00940F6A">
          <w:rPr>
            <w:noProof/>
            <w:webHidden/>
          </w:rPr>
          <w:t>28</w:t>
        </w:r>
        <w:r w:rsidR="003240AD">
          <w:rPr>
            <w:noProof/>
            <w:webHidden/>
          </w:rPr>
          <w:t>9</w:t>
        </w:r>
        <w:r w:rsidR="0014173B">
          <w:rPr>
            <w:noProof/>
            <w:webHidden/>
          </w:rPr>
          <w:fldChar w:fldCharType="end"/>
        </w:r>
      </w:hyperlink>
    </w:p>
    <w:p w14:paraId="721CC68A" w14:textId="780985EA" w:rsidR="0014173B" w:rsidRDefault="00874C0C">
      <w:pPr>
        <w:pStyle w:val="Indicedellefigure"/>
        <w:tabs>
          <w:tab w:val="right" w:leader="dot" w:pos="8488"/>
        </w:tabs>
        <w:rPr>
          <w:rFonts w:asciiTheme="minorHAnsi" w:hAnsiTheme="minorHAnsi" w:cstheme="minorBidi"/>
          <w:noProof/>
          <w:szCs w:val="22"/>
          <w:lang w:eastAsia="en-GB"/>
        </w:rPr>
      </w:pPr>
      <w:hyperlink w:anchor="_Toc520212629" w:history="1">
        <w:r w:rsidR="0014173B" w:rsidRPr="003E163E">
          <w:rPr>
            <w:rStyle w:val="Collegamentoipertestuale"/>
            <w:noProof/>
          </w:rPr>
          <w:t>Table 5-5</w:t>
        </w:r>
        <w:r w:rsidR="009462D2">
          <w:rPr>
            <w:rStyle w:val="Collegamentoipertestuale"/>
            <w:noProof/>
          </w:rPr>
          <w:t>.</w:t>
        </w:r>
        <w:r w:rsidR="0014173B" w:rsidRPr="003E163E">
          <w:rPr>
            <w:rStyle w:val="Collegamentoipertestuale"/>
            <w:noProof/>
          </w:rPr>
          <w:t xml:space="preserve"> Handle or hole occurrence, Mid-West</w:t>
        </w:r>
        <w:r w:rsidR="005C12A7">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_Toc520212629 \h </w:instrText>
        </w:r>
        <w:r w:rsidR="0014173B">
          <w:rPr>
            <w:noProof/>
            <w:webHidden/>
          </w:rPr>
        </w:r>
        <w:r w:rsidR="0014173B">
          <w:rPr>
            <w:noProof/>
            <w:webHidden/>
          </w:rPr>
          <w:fldChar w:fldCharType="separate"/>
        </w:r>
        <w:r w:rsidR="00940F6A">
          <w:rPr>
            <w:noProof/>
            <w:webHidden/>
          </w:rPr>
          <w:t>28</w:t>
        </w:r>
        <w:r w:rsidR="0014173B">
          <w:rPr>
            <w:noProof/>
            <w:webHidden/>
          </w:rPr>
          <w:fldChar w:fldCharType="end"/>
        </w:r>
      </w:hyperlink>
      <w:r w:rsidR="003240AD">
        <w:rPr>
          <w:noProof/>
        </w:rPr>
        <w:t>9</w:t>
      </w:r>
    </w:p>
    <w:p w14:paraId="54F98C39" w14:textId="20634E5B" w:rsidR="0014173B" w:rsidRDefault="00874C0C">
      <w:pPr>
        <w:pStyle w:val="Indicedellefigure"/>
        <w:tabs>
          <w:tab w:val="right" w:leader="dot" w:pos="8488"/>
        </w:tabs>
        <w:rPr>
          <w:rFonts w:asciiTheme="minorHAnsi" w:hAnsiTheme="minorHAnsi" w:cstheme="minorBidi"/>
          <w:noProof/>
          <w:szCs w:val="22"/>
          <w:lang w:eastAsia="en-GB"/>
        </w:rPr>
      </w:pPr>
      <w:hyperlink w:anchor="_Toc520212630" w:history="1">
        <w:r w:rsidR="0014173B" w:rsidRPr="003E163E">
          <w:rPr>
            <w:rStyle w:val="Collegamentoipertestuale"/>
            <w:noProof/>
          </w:rPr>
          <w:t>Table 5-6</w:t>
        </w:r>
        <w:r w:rsidR="009462D2">
          <w:rPr>
            <w:rStyle w:val="Collegamentoipertestuale"/>
            <w:noProof/>
          </w:rPr>
          <w:t>.</w:t>
        </w:r>
        <w:r w:rsidR="0014173B" w:rsidRPr="003E163E">
          <w:rPr>
            <w:rStyle w:val="Collegamentoipertestuale"/>
            <w:noProof/>
          </w:rPr>
          <w:t xml:space="preserve"> Panels, Mid-West</w:t>
        </w:r>
        <w:r w:rsidR="005C12A7">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_Toc520212630 \h </w:instrText>
        </w:r>
        <w:r w:rsidR="0014173B">
          <w:rPr>
            <w:noProof/>
            <w:webHidden/>
          </w:rPr>
        </w:r>
        <w:r w:rsidR="0014173B">
          <w:rPr>
            <w:noProof/>
            <w:webHidden/>
          </w:rPr>
          <w:fldChar w:fldCharType="separate"/>
        </w:r>
        <w:r w:rsidR="00940F6A">
          <w:rPr>
            <w:noProof/>
            <w:webHidden/>
          </w:rPr>
          <w:t>2</w:t>
        </w:r>
        <w:r w:rsidR="0014173B">
          <w:rPr>
            <w:noProof/>
            <w:webHidden/>
          </w:rPr>
          <w:fldChar w:fldCharType="end"/>
        </w:r>
      </w:hyperlink>
      <w:r w:rsidR="003240AD">
        <w:rPr>
          <w:noProof/>
        </w:rPr>
        <w:t>90</w:t>
      </w:r>
    </w:p>
    <w:p w14:paraId="04855CB9" w14:textId="1CC1C5B6" w:rsidR="0014173B" w:rsidRDefault="00874C0C">
      <w:pPr>
        <w:pStyle w:val="Indicedellefigure"/>
        <w:tabs>
          <w:tab w:val="right" w:leader="dot" w:pos="8488"/>
        </w:tabs>
        <w:rPr>
          <w:rFonts w:asciiTheme="minorHAnsi" w:hAnsiTheme="minorHAnsi" w:cstheme="minorBidi"/>
          <w:noProof/>
          <w:szCs w:val="22"/>
          <w:lang w:eastAsia="en-GB"/>
        </w:rPr>
      </w:pPr>
      <w:hyperlink w:anchor="_Toc520212631" w:history="1">
        <w:r w:rsidR="0014173B" w:rsidRPr="003E163E">
          <w:rPr>
            <w:rStyle w:val="Collegamentoipertestuale"/>
            <w:noProof/>
          </w:rPr>
          <w:t>Table 5-7</w:t>
        </w:r>
        <w:r w:rsidR="009462D2">
          <w:rPr>
            <w:rStyle w:val="Collegamentoipertestuale"/>
            <w:noProof/>
          </w:rPr>
          <w:t>.</w:t>
        </w:r>
        <w:r w:rsidR="0014173B" w:rsidRPr="003E163E">
          <w:rPr>
            <w:rStyle w:val="Collegamentoipertestuale"/>
            <w:noProof/>
          </w:rPr>
          <w:t xml:space="preserve"> Decoration, Mid-West</w:t>
        </w:r>
        <w:r w:rsidR="005C12A7">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_Toc520212631 \h </w:instrText>
        </w:r>
        <w:r w:rsidR="0014173B">
          <w:rPr>
            <w:noProof/>
            <w:webHidden/>
          </w:rPr>
        </w:r>
        <w:r w:rsidR="0014173B">
          <w:rPr>
            <w:noProof/>
            <w:webHidden/>
          </w:rPr>
          <w:fldChar w:fldCharType="separate"/>
        </w:r>
        <w:r w:rsidR="00940F6A">
          <w:rPr>
            <w:noProof/>
            <w:webHidden/>
          </w:rPr>
          <w:t>29</w:t>
        </w:r>
        <w:r w:rsidR="003240AD">
          <w:rPr>
            <w:noProof/>
            <w:webHidden/>
          </w:rPr>
          <w:t>1</w:t>
        </w:r>
        <w:r w:rsidR="0014173B">
          <w:rPr>
            <w:noProof/>
            <w:webHidden/>
          </w:rPr>
          <w:fldChar w:fldCharType="end"/>
        </w:r>
      </w:hyperlink>
    </w:p>
    <w:p w14:paraId="1EFB1DB0" w14:textId="50CAA9FD" w:rsidR="0014173B" w:rsidRDefault="00874C0C">
      <w:pPr>
        <w:pStyle w:val="Indicedellefigure"/>
        <w:tabs>
          <w:tab w:val="right" w:leader="dot" w:pos="8488"/>
        </w:tabs>
        <w:rPr>
          <w:rFonts w:asciiTheme="minorHAnsi" w:hAnsiTheme="minorHAnsi" w:cstheme="minorBidi"/>
          <w:noProof/>
          <w:szCs w:val="22"/>
          <w:lang w:eastAsia="en-GB"/>
        </w:rPr>
      </w:pPr>
      <w:hyperlink w:anchor="_Toc520212633" w:history="1">
        <w:r w:rsidR="0014173B" w:rsidRPr="003E163E">
          <w:rPr>
            <w:rStyle w:val="Collegamentoipertestuale"/>
            <w:noProof/>
          </w:rPr>
          <w:t>Table 5-8</w:t>
        </w:r>
        <w:r w:rsidR="009462D2">
          <w:rPr>
            <w:rStyle w:val="Collegamentoipertestuale"/>
            <w:noProof/>
          </w:rPr>
          <w:t>.</w:t>
        </w:r>
        <w:r w:rsidR="0014173B" w:rsidRPr="003E163E">
          <w:rPr>
            <w:rStyle w:val="Collegamentoipertestuale"/>
            <w:noProof/>
          </w:rPr>
          <w:t xml:space="preserve"> Larnax type, Mesara</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_Toc520212633 \h </w:instrText>
        </w:r>
        <w:r w:rsidR="0014173B">
          <w:rPr>
            <w:noProof/>
            <w:webHidden/>
          </w:rPr>
        </w:r>
        <w:r w:rsidR="0014173B">
          <w:rPr>
            <w:noProof/>
            <w:webHidden/>
          </w:rPr>
          <w:fldChar w:fldCharType="separate"/>
        </w:r>
        <w:r w:rsidR="00940F6A">
          <w:rPr>
            <w:noProof/>
            <w:webHidden/>
          </w:rPr>
          <w:t>30</w:t>
        </w:r>
        <w:r w:rsidR="003240AD">
          <w:rPr>
            <w:noProof/>
            <w:webHidden/>
          </w:rPr>
          <w:t>6</w:t>
        </w:r>
        <w:r w:rsidR="0014173B">
          <w:rPr>
            <w:noProof/>
            <w:webHidden/>
          </w:rPr>
          <w:fldChar w:fldCharType="end"/>
        </w:r>
      </w:hyperlink>
    </w:p>
    <w:p w14:paraId="22AEAA94" w14:textId="09E824B5" w:rsidR="0014173B" w:rsidRDefault="00874C0C">
      <w:pPr>
        <w:pStyle w:val="Indicedellefigure"/>
        <w:tabs>
          <w:tab w:val="right" w:leader="dot" w:pos="8488"/>
        </w:tabs>
        <w:rPr>
          <w:rFonts w:asciiTheme="minorHAnsi" w:hAnsiTheme="minorHAnsi" w:cstheme="minorBidi"/>
          <w:noProof/>
          <w:szCs w:val="22"/>
          <w:lang w:eastAsia="en-GB"/>
        </w:rPr>
      </w:pPr>
      <w:hyperlink w:anchor="_Toc520212634" w:history="1">
        <w:r w:rsidR="0014173B" w:rsidRPr="003E163E">
          <w:rPr>
            <w:rStyle w:val="Collegamentoipertestuale"/>
            <w:noProof/>
          </w:rPr>
          <w:t>Table 5-9</w:t>
        </w:r>
        <w:r w:rsidR="009462D2">
          <w:rPr>
            <w:rStyle w:val="Collegamentoipertestuale"/>
            <w:noProof/>
          </w:rPr>
          <w:t>.</w:t>
        </w:r>
        <w:r w:rsidR="0014173B" w:rsidRPr="003E163E">
          <w:rPr>
            <w:rStyle w:val="Collegamentoipertestuale"/>
            <w:noProof/>
          </w:rPr>
          <w:t xml:space="preserve"> Dimension range, Mesara</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_Toc520212634 \h </w:instrText>
        </w:r>
        <w:r w:rsidR="0014173B">
          <w:rPr>
            <w:noProof/>
            <w:webHidden/>
          </w:rPr>
        </w:r>
        <w:r w:rsidR="0014173B">
          <w:rPr>
            <w:noProof/>
            <w:webHidden/>
          </w:rPr>
          <w:fldChar w:fldCharType="separate"/>
        </w:r>
        <w:r w:rsidR="00940F6A">
          <w:rPr>
            <w:noProof/>
            <w:webHidden/>
          </w:rPr>
          <w:t>30</w:t>
        </w:r>
        <w:r w:rsidR="003240AD">
          <w:rPr>
            <w:noProof/>
            <w:webHidden/>
          </w:rPr>
          <w:t>6</w:t>
        </w:r>
        <w:r w:rsidR="0014173B">
          <w:rPr>
            <w:noProof/>
            <w:webHidden/>
          </w:rPr>
          <w:fldChar w:fldCharType="end"/>
        </w:r>
      </w:hyperlink>
    </w:p>
    <w:p w14:paraId="21D2A7BD" w14:textId="29D4E668" w:rsidR="0014173B" w:rsidRDefault="00874C0C">
      <w:pPr>
        <w:pStyle w:val="Indicedellefigure"/>
        <w:tabs>
          <w:tab w:val="right" w:leader="dot" w:pos="8488"/>
        </w:tabs>
        <w:rPr>
          <w:rFonts w:asciiTheme="minorHAnsi" w:hAnsiTheme="minorHAnsi" w:cstheme="minorBidi"/>
          <w:noProof/>
          <w:szCs w:val="22"/>
          <w:lang w:eastAsia="en-GB"/>
        </w:rPr>
      </w:pPr>
      <w:hyperlink w:anchor="_Toc520212635" w:history="1">
        <w:r w:rsidR="0014173B" w:rsidRPr="003E163E">
          <w:rPr>
            <w:rStyle w:val="Collegamentoipertestuale"/>
            <w:noProof/>
          </w:rPr>
          <w:t>Table 5-10</w:t>
        </w:r>
        <w:r w:rsidR="009462D2">
          <w:rPr>
            <w:rStyle w:val="Collegamentoipertestuale"/>
            <w:noProof/>
          </w:rPr>
          <w:t>.</w:t>
        </w:r>
        <w:r w:rsidR="0014173B" w:rsidRPr="003E163E">
          <w:rPr>
            <w:rStyle w:val="Collegamentoipertestuale"/>
            <w:noProof/>
          </w:rPr>
          <w:t xml:space="preserve"> Lid occurrence, Mesara</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_Toc520212635 \h </w:instrText>
        </w:r>
        <w:r w:rsidR="0014173B">
          <w:rPr>
            <w:noProof/>
            <w:webHidden/>
          </w:rPr>
        </w:r>
        <w:r w:rsidR="0014173B">
          <w:rPr>
            <w:noProof/>
            <w:webHidden/>
          </w:rPr>
          <w:fldChar w:fldCharType="separate"/>
        </w:r>
        <w:r w:rsidR="00940F6A">
          <w:rPr>
            <w:noProof/>
            <w:webHidden/>
          </w:rPr>
          <w:t>30</w:t>
        </w:r>
        <w:r w:rsidR="0014173B">
          <w:rPr>
            <w:noProof/>
            <w:webHidden/>
          </w:rPr>
          <w:fldChar w:fldCharType="end"/>
        </w:r>
      </w:hyperlink>
      <w:r w:rsidR="00332A9E">
        <w:rPr>
          <w:noProof/>
        </w:rPr>
        <w:t>6</w:t>
      </w:r>
    </w:p>
    <w:p w14:paraId="2979CB70" w14:textId="6797F587" w:rsidR="0014173B" w:rsidRDefault="00874C0C">
      <w:pPr>
        <w:pStyle w:val="Indicedellefigure"/>
        <w:tabs>
          <w:tab w:val="right" w:leader="dot" w:pos="8488"/>
        </w:tabs>
        <w:rPr>
          <w:rFonts w:asciiTheme="minorHAnsi" w:hAnsiTheme="minorHAnsi" w:cstheme="minorBidi"/>
          <w:noProof/>
          <w:szCs w:val="22"/>
          <w:lang w:eastAsia="en-GB"/>
        </w:rPr>
      </w:pPr>
      <w:hyperlink w:anchor="_Toc520212636" w:history="1">
        <w:r w:rsidR="0014173B" w:rsidRPr="003E163E">
          <w:rPr>
            <w:rStyle w:val="Collegamentoipertestuale"/>
            <w:noProof/>
          </w:rPr>
          <w:t>Table 5-11</w:t>
        </w:r>
        <w:r w:rsidR="009462D2">
          <w:rPr>
            <w:rStyle w:val="Collegamentoipertestuale"/>
            <w:noProof/>
          </w:rPr>
          <w:t>.</w:t>
        </w:r>
        <w:r w:rsidR="0014173B" w:rsidRPr="003E163E">
          <w:rPr>
            <w:rStyle w:val="Collegamentoipertestuale"/>
            <w:noProof/>
          </w:rPr>
          <w:t xml:space="preserve"> Feet occurrence, Mesara</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_Toc520212636 \h </w:instrText>
        </w:r>
        <w:r w:rsidR="0014173B">
          <w:rPr>
            <w:noProof/>
            <w:webHidden/>
          </w:rPr>
        </w:r>
        <w:r w:rsidR="0014173B">
          <w:rPr>
            <w:noProof/>
            <w:webHidden/>
          </w:rPr>
          <w:fldChar w:fldCharType="separate"/>
        </w:r>
        <w:r w:rsidR="00940F6A">
          <w:rPr>
            <w:noProof/>
            <w:webHidden/>
          </w:rPr>
          <w:t>30</w:t>
        </w:r>
        <w:r w:rsidR="00332A9E">
          <w:rPr>
            <w:noProof/>
            <w:webHidden/>
          </w:rPr>
          <w:t>6</w:t>
        </w:r>
        <w:r w:rsidR="0014173B">
          <w:rPr>
            <w:noProof/>
            <w:webHidden/>
          </w:rPr>
          <w:fldChar w:fldCharType="end"/>
        </w:r>
      </w:hyperlink>
    </w:p>
    <w:p w14:paraId="407E4FFE" w14:textId="4BB31C66" w:rsidR="0014173B" w:rsidRDefault="00874C0C">
      <w:pPr>
        <w:pStyle w:val="Indicedellefigure"/>
        <w:tabs>
          <w:tab w:val="right" w:leader="dot" w:pos="8488"/>
        </w:tabs>
        <w:rPr>
          <w:rFonts w:asciiTheme="minorHAnsi" w:hAnsiTheme="minorHAnsi" w:cstheme="minorBidi"/>
          <w:noProof/>
          <w:szCs w:val="22"/>
          <w:lang w:eastAsia="en-GB"/>
        </w:rPr>
      </w:pPr>
      <w:hyperlink w:anchor="_Toc520212637" w:history="1">
        <w:r w:rsidR="0014173B" w:rsidRPr="003E163E">
          <w:rPr>
            <w:rStyle w:val="Collegamentoipertestuale"/>
            <w:noProof/>
          </w:rPr>
          <w:t>Table 5-12</w:t>
        </w:r>
        <w:r w:rsidR="009462D2">
          <w:rPr>
            <w:rStyle w:val="Collegamentoipertestuale"/>
            <w:noProof/>
          </w:rPr>
          <w:t>.</w:t>
        </w:r>
        <w:r w:rsidR="0014173B" w:rsidRPr="003E163E">
          <w:rPr>
            <w:rStyle w:val="Collegamentoipertestuale"/>
            <w:noProof/>
          </w:rPr>
          <w:t xml:space="preserve"> Handles or holes occurrence, Mesara</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_Toc520212637 \h </w:instrText>
        </w:r>
        <w:r w:rsidR="0014173B">
          <w:rPr>
            <w:noProof/>
            <w:webHidden/>
          </w:rPr>
        </w:r>
        <w:r w:rsidR="0014173B">
          <w:rPr>
            <w:noProof/>
            <w:webHidden/>
          </w:rPr>
          <w:fldChar w:fldCharType="separate"/>
        </w:r>
        <w:r w:rsidR="00940F6A">
          <w:rPr>
            <w:noProof/>
            <w:webHidden/>
          </w:rPr>
          <w:t>30</w:t>
        </w:r>
        <w:r w:rsidR="00332A9E">
          <w:rPr>
            <w:noProof/>
            <w:webHidden/>
          </w:rPr>
          <w:t>6</w:t>
        </w:r>
        <w:r w:rsidR="0014173B">
          <w:rPr>
            <w:noProof/>
            <w:webHidden/>
          </w:rPr>
          <w:fldChar w:fldCharType="end"/>
        </w:r>
      </w:hyperlink>
    </w:p>
    <w:p w14:paraId="48CFA7FA" w14:textId="31556586" w:rsidR="0014173B" w:rsidRDefault="00874C0C">
      <w:pPr>
        <w:pStyle w:val="Indicedellefigure"/>
        <w:tabs>
          <w:tab w:val="right" w:leader="dot" w:pos="8488"/>
        </w:tabs>
        <w:rPr>
          <w:rFonts w:asciiTheme="minorHAnsi" w:hAnsiTheme="minorHAnsi" w:cstheme="minorBidi"/>
          <w:noProof/>
          <w:szCs w:val="22"/>
          <w:lang w:eastAsia="en-GB"/>
        </w:rPr>
      </w:pPr>
      <w:hyperlink w:anchor="_Toc520212638" w:history="1">
        <w:r w:rsidR="0014173B" w:rsidRPr="003E163E">
          <w:rPr>
            <w:rStyle w:val="Collegamentoipertestuale"/>
            <w:noProof/>
          </w:rPr>
          <w:t>Table 5-13</w:t>
        </w:r>
        <w:r w:rsidR="009462D2">
          <w:rPr>
            <w:rStyle w:val="Collegamentoipertestuale"/>
            <w:noProof/>
          </w:rPr>
          <w:t>.</w:t>
        </w:r>
        <w:r w:rsidR="0014173B" w:rsidRPr="003E163E">
          <w:rPr>
            <w:rStyle w:val="Collegamentoipertestuale"/>
            <w:noProof/>
          </w:rPr>
          <w:t xml:space="preserve"> Panels, Mesara</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_Toc520212638 \h </w:instrText>
        </w:r>
        <w:r w:rsidR="0014173B">
          <w:rPr>
            <w:noProof/>
            <w:webHidden/>
          </w:rPr>
        </w:r>
        <w:r w:rsidR="0014173B">
          <w:rPr>
            <w:noProof/>
            <w:webHidden/>
          </w:rPr>
          <w:fldChar w:fldCharType="separate"/>
        </w:r>
        <w:r w:rsidR="00940F6A">
          <w:rPr>
            <w:noProof/>
            <w:webHidden/>
          </w:rPr>
          <w:t>30</w:t>
        </w:r>
        <w:r w:rsidR="00332A9E">
          <w:rPr>
            <w:noProof/>
            <w:webHidden/>
          </w:rPr>
          <w:t>7</w:t>
        </w:r>
        <w:r w:rsidR="0014173B">
          <w:rPr>
            <w:noProof/>
            <w:webHidden/>
          </w:rPr>
          <w:fldChar w:fldCharType="end"/>
        </w:r>
      </w:hyperlink>
    </w:p>
    <w:p w14:paraId="616C0074" w14:textId="342491CF" w:rsidR="0014173B" w:rsidRDefault="00874C0C">
      <w:pPr>
        <w:pStyle w:val="Indicedellefigure"/>
        <w:tabs>
          <w:tab w:val="right" w:leader="dot" w:pos="8488"/>
        </w:tabs>
        <w:rPr>
          <w:rFonts w:asciiTheme="minorHAnsi" w:hAnsiTheme="minorHAnsi" w:cstheme="minorBidi"/>
          <w:noProof/>
          <w:szCs w:val="22"/>
          <w:lang w:eastAsia="en-GB"/>
        </w:rPr>
      </w:pPr>
      <w:hyperlink w:anchor="_Toc520212639" w:history="1">
        <w:r w:rsidR="0014173B" w:rsidRPr="003E163E">
          <w:rPr>
            <w:rStyle w:val="Collegamentoipertestuale"/>
            <w:noProof/>
          </w:rPr>
          <w:t>Table 5-14</w:t>
        </w:r>
        <w:r w:rsidR="009462D2">
          <w:rPr>
            <w:rStyle w:val="Collegamentoipertestuale"/>
            <w:noProof/>
          </w:rPr>
          <w:t>.</w:t>
        </w:r>
        <w:r w:rsidR="0014173B" w:rsidRPr="003E163E">
          <w:rPr>
            <w:rStyle w:val="Collegamentoipertestuale"/>
            <w:noProof/>
          </w:rPr>
          <w:t xml:space="preserve"> Larnax decoration, Mesara</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_Toc520212639 \h </w:instrText>
        </w:r>
        <w:r w:rsidR="0014173B">
          <w:rPr>
            <w:noProof/>
            <w:webHidden/>
          </w:rPr>
        </w:r>
        <w:r w:rsidR="0014173B">
          <w:rPr>
            <w:noProof/>
            <w:webHidden/>
          </w:rPr>
          <w:fldChar w:fldCharType="separate"/>
        </w:r>
        <w:r w:rsidR="00940F6A">
          <w:rPr>
            <w:noProof/>
            <w:webHidden/>
          </w:rPr>
          <w:t>30</w:t>
        </w:r>
        <w:r w:rsidR="00332A9E">
          <w:rPr>
            <w:noProof/>
            <w:webHidden/>
          </w:rPr>
          <w:t>7</w:t>
        </w:r>
        <w:r w:rsidR="0014173B">
          <w:rPr>
            <w:noProof/>
            <w:webHidden/>
          </w:rPr>
          <w:fldChar w:fldCharType="end"/>
        </w:r>
      </w:hyperlink>
    </w:p>
    <w:p w14:paraId="075A4BCB" w14:textId="79FA7AA7" w:rsidR="0014173B" w:rsidRDefault="00874C0C">
      <w:pPr>
        <w:pStyle w:val="Indicedellefigure"/>
        <w:tabs>
          <w:tab w:val="right" w:leader="dot" w:pos="8488"/>
        </w:tabs>
        <w:rPr>
          <w:rFonts w:asciiTheme="minorHAnsi" w:hAnsiTheme="minorHAnsi" w:cstheme="minorBidi"/>
          <w:noProof/>
          <w:szCs w:val="22"/>
          <w:lang w:eastAsia="en-GB"/>
        </w:rPr>
      </w:pPr>
      <w:hyperlink w:anchor="_Toc520212640" w:history="1">
        <w:r w:rsidR="0014173B" w:rsidRPr="003E163E">
          <w:rPr>
            <w:rStyle w:val="Collegamentoipertestuale"/>
            <w:noProof/>
          </w:rPr>
          <w:t>Table 5-15</w:t>
        </w:r>
        <w:r w:rsidR="009462D2">
          <w:rPr>
            <w:rStyle w:val="Collegamentoipertestuale"/>
            <w:noProof/>
          </w:rPr>
          <w:t>.</w:t>
        </w:r>
        <w:r w:rsidR="0014173B" w:rsidRPr="003E163E">
          <w:rPr>
            <w:rStyle w:val="Collegamentoipertestuale"/>
            <w:noProof/>
          </w:rPr>
          <w:t xml:space="preserve"> Larnax type, Knossos</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_Toc520212640 \h </w:instrText>
        </w:r>
        <w:r w:rsidR="0014173B">
          <w:rPr>
            <w:noProof/>
            <w:webHidden/>
          </w:rPr>
        </w:r>
        <w:r w:rsidR="0014173B">
          <w:rPr>
            <w:noProof/>
            <w:webHidden/>
          </w:rPr>
          <w:fldChar w:fldCharType="separate"/>
        </w:r>
        <w:r w:rsidR="00940F6A">
          <w:rPr>
            <w:noProof/>
            <w:webHidden/>
          </w:rPr>
          <w:t>31</w:t>
        </w:r>
        <w:r w:rsidR="00332A9E">
          <w:rPr>
            <w:noProof/>
            <w:webHidden/>
          </w:rPr>
          <w:t>8</w:t>
        </w:r>
        <w:r w:rsidR="0014173B">
          <w:rPr>
            <w:noProof/>
            <w:webHidden/>
          </w:rPr>
          <w:fldChar w:fldCharType="end"/>
        </w:r>
      </w:hyperlink>
    </w:p>
    <w:p w14:paraId="2E1A6292" w14:textId="19404B50" w:rsidR="0014173B" w:rsidRDefault="00874C0C">
      <w:pPr>
        <w:pStyle w:val="Indicedellefigure"/>
        <w:tabs>
          <w:tab w:val="right" w:leader="dot" w:pos="8488"/>
        </w:tabs>
        <w:rPr>
          <w:rFonts w:asciiTheme="minorHAnsi" w:hAnsiTheme="minorHAnsi" w:cstheme="minorBidi"/>
          <w:noProof/>
          <w:szCs w:val="22"/>
          <w:lang w:eastAsia="en-GB"/>
        </w:rPr>
      </w:pPr>
      <w:hyperlink w:anchor="_Toc520212641" w:history="1">
        <w:r w:rsidR="0014173B" w:rsidRPr="003E163E">
          <w:rPr>
            <w:rStyle w:val="Collegamentoipertestuale"/>
            <w:noProof/>
          </w:rPr>
          <w:t>Table 5-16</w:t>
        </w:r>
        <w:r w:rsidR="009462D2">
          <w:rPr>
            <w:rStyle w:val="Collegamentoipertestuale"/>
            <w:noProof/>
          </w:rPr>
          <w:t>.</w:t>
        </w:r>
        <w:r w:rsidR="0014173B" w:rsidRPr="003E163E">
          <w:rPr>
            <w:rStyle w:val="Collegamentoipertestuale"/>
            <w:noProof/>
          </w:rPr>
          <w:t xml:space="preserve"> Dimension range, Knossos</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_Toc520212641 \h </w:instrText>
        </w:r>
        <w:r w:rsidR="0014173B">
          <w:rPr>
            <w:noProof/>
            <w:webHidden/>
          </w:rPr>
        </w:r>
        <w:r w:rsidR="0014173B">
          <w:rPr>
            <w:noProof/>
            <w:webHidden/>
          </w:rPr>
          <w:fldChar w:fldCharType="separate"/>
        </w:r>
        <w:r w:rsidR="00940F6A">
          <w:rPr>
            <w:noProof/>
            <w:webHidden/>
          </w:rPr>
          <w:t>31</w:t>
        </w:r>
        <w:r w:rsidR="00332A9E">
          <w:rPr>
            <w:noProof/>
            <w:webHidden/>
          </w:rPr>
          <w:t>8</w:t>
        </w:r>
        <w:r w:rsidR="0014173B">
          <w:rPr>
            <w:noProof/>
            <w:webHidden/>
          </w:rPr>
          <w:fldChar w:fldCharType="end"/>
        </w:r>
      </w:hyperlink>
    </w:p>
    <w:p w14:paraId="45443AE1" w14:textId="5295EC3E" w:rsidR="0014173B" w:rsidRDefault="00874C0C">
      <w:pPr>
        <w:pStyle w:val="Indicedellefigure"/>
        <w:tabs>
          <w:tab w:val="right" w:leader="dot" w:pos="8488"/>
        </w:tabs>
        <w:rPr>
          <w:rFonts w:asciiTheme="minorHAnsi" w:hAnsiTheme="minorHAnsi" w:cstheme="minorBidi"/>
          <w:noProof/>
          <w:szCs w:val="22"/>
          <w:lang w:eastAsia="en-GB"/>
        </w:rPr>
      </w:pPr>
      <w:hyperlink w:anchor="_Toc520212642" w:history="1">
        <w:r w:rsidR="0014173B" w:rsidRPr="003E163E">
          <w:rPr>
            <w:rStyle w:val="Collegamentoipertestuale"/>
            <w:noProof/>
          </w:rPr>
          <w:t>Table 5-17</w:t>
        </w:r>
        <w:r w:rsidR="009462D2">
          <w:rPr>
            <w:rStyle w:val="Collegamentoipertestuale"/>
            <w:noProof/>
          </w:rPr>
          <w:t>.</w:t>
        </w:r>
        <w:r w:rsidR="0014173B" w:rsidRPr="003E163E">
          <w:rPr>
            <w:rStyle w:val="Collegamentoipertestuale"/>
            <w:noProof/>
          </w:rPr>
          <w:t xml:space="preserve"> Lid occurrence, Knossos</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_Toc520212642 \h </w:instrText>
        </w:r>
        <w:r w:rsidR="0014173B">
          <w:rPr>
            <w:noProof/>
            <w:webHidden/>
          </w:rPr>
        </w:r>
        <w:r w:rsidR="0014173B">
          <w:rPr>
            <w:noProof/>
            <w:webHidden/>
          </w:rPr>
          <w:fldChar w:fldCharType="separate"/>
        </w:r>
        <w:r w:rsidR="00940F6A">
          <w:rPr>
            <w:noProof/>
            <w:webHidden/>
          </w:rPr>
          <w:t>31</w:t>
        </w:r>
        <w:r w:rsidR="00332A9E">
          <w:rPr>
            <w:noProof/>
            <w:webHidden/>
          </w:rPr>
          <w:t>9</w:t>
        </w:r>
        <w:r w:rsidR="0014173B">
          <w:rPr>
            <w:noProof/>
            <w:webHidden/>
          </w:rPr>
          <w:fldChar w:fldCharType="end"/>
        </w:r>
      </w:hyperlink>
    </w:p>
    <w:p w14:paraId="65939A49" w14:textId="5C94D87E" w:rsidR="0014173B" w:rsidRDefault="00874C0C">
      <w:pPr>
        <w:pStyle w:val="Indicedellefigure"/>
        <w:tabs>
          <w:tab w:val="right" w:leader="dot" w:pos="8488"/>
        </w:tabs>
        <w:rPr>
          <w:rFonts w:asciiTheme="minorHAnsi" w:hAnsiTheme="minorHAnsi" w:cstheme="minorBidi"/>
          <w:noProof/>
          <w:szCs w:val="22"/>
          <w:lang w:eastAsia="en-GB"/>
        </w:rPr>
      </w:pPr>
      <w:hyperlink w:anchor="_Toc520212643" w:history="1">
        <w:r w:rsidR="0014173B" w:rsidRPr="003E163E">
          <w:rPr>
            <w:rStyle w:val="Collegamentoipertestuale"/>
            <w:noProof/>
          </w:rPr>
          <w:t>Table 5-18</w:t>
        </w:r>
        <w:r w:rsidR="009462D2">
          <w:rPr>
            <w:rStyle w:val="Collegamentoipertestuale"/>
            <w:noProof/>
          </w:rPr>
          <w:t>.</w:t>
        </w:r>
        <w:r w:rsidR="0014173B" w:rsidRPr="003E163E">
          <w:rPr>
            <w:rStyle w:val="Collegamentoipertestuale"/>
            <w:noProof/>
          </w:rPr>
          <w:t xml:space="preserve"> Feet occurrence, Knossos</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_Toc520212643 \h </w:instrText>
        </w:r>
        <w:r w:rsidR="0014173B">
          <w:rPr>
            <w:noProof/>
            <w:webHidden/>
          </w:rPr>
        </w:r>
        <w:r w:rsidR="0014173B">
          <w:rPr>
            <w:noProof/>
            <w:webHidden/>
          </w:rPr>
          <w:fldChar w:fldCharType="separate"/>
        </w:r>
        <w:r w:rsidR="00940F6A">
          <w:rPr>
            <w:noProof/>
            <w:webHidden/>
          </w:rPr>
          <w:t>31</w:t>
        </w:r>
        <w:r w:rsidR="00332A9E">
          <w:rPr>
            <w:noProof/>
            <w:webHidden/>
          </w:rPr>
          <w:t>9</w:t>
        </w:r>
        <w:r w:rsidR="0014173B">
          <w:rPr>
            <w:noProof/>
            <w:webHidden/>
          </w:rPr>
          <w:fldChar w:fldCharType="end"/>
        </w:r>
      </w:hyperlink>
    </w:p>
    <w:p w14:paraId="6A92C679" w14:textId="55424F09" w:rsidR="0014173B" w:rsidRDefault="00874C0C">
      <w:pPr>
        <w:pStyle w:val="Indicedellefigure"/>
        <w:tabs>
          <w:tab w:val="right" w:leader="dot" w:pos="8488"/>
        </w:tabs>
        <w:rPr>
          <w:rFonts w:asciiTheme="minorHAnsi" w:hAnsiTheme="minorHAnsi" w:cstheme="minorBidi"/>
          <w:noProof/>
          <w:szCs w:val="22"/>
          <w:lang w:eastAsia="en-GB"/>
        </w:rPr>
      </w:pPr>
      <w:hyperlink w:anchor="_Toc520212644" w:history="1">
        <w:r w:rsidR="0014173B" w:rsidRPr="003E163E">
          <w:rPr>
            <w:rStyle w:val="Collegamentoipertestuale"/>
            <w:noProof/>
          </w:rPr>
          <w:t>Table 5-19</w:t>
        </w:r>
        <w:r w:rsidR="009462D2">
          <w:rPr>
            <w:rStyle w:val="Collegamentoipertestuale"/>
            <w:noProof/>
          </w:rPr>
          <w:t>.</w:t>
        </w:r>
        <w:r w:rsidR="0014173B" w:rsidRPr="003E163E">
          <w:rPr>
            <w:rStyle w:val="Collegamentoipertestuale"/>
            <w:noProof/>
          </w:rPr>
          <w:t xml:space="preserve"> Handles or holes, Knossos</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_Toc520212644 \h </w:instrText>
        </w:r>
        <w:r w:rsidR="0014173B">
          <w:rPr>
            <w:noProof/>
            <w:webHidden/>
          </w:rPr>
        </w:r>
        <w:r w:rsidR="0014173B">
          <w:rPr>
            <w:noProof/>
            <w:webHidden/>
          </w:rPr>
          <w:fldChar w:fldCharType="separate"/>
        </w:r>
        <w:r w:rsidR="00940F6A">
          <w:rPr>
            <w:noProof/>
            <w:webHidden/>
          </w:rPr>
          <w:t>31</w:t>
        </w:r>
        <w:r w:rsidR="00332A9E">
          <w:rPr>
            <w:noProof/>
            <w:webHidden/>
          </w:rPr>
          <w:t>9</w:t>
        </w:r>
        <w:r w:rsidR="0014173B">
          <w:rPr>
            <w:noProof/>
            <w:webHidden/>
          </w:rPr>
          <w:fldChar w:fldCharType="end"/>
        </w:r>
      </w:hyperlink>
    </w:p>
    <w:p w14:paraId="1BD4F5A3" w14:textId="6BDEF05F" w:rsidR="0014173B" w:rsidRDefault="00874C0C">
      <w:pPr>
        <w:pStyle w:val="Indicedellefigure"/>
        <w:tabs>
          <w:tab w:val="right" w:leader="dot" w:pos="8488"/>
        </w:tabs>
        <w:rPr>
          <w:rFonts w:asciiTheme="minorHAnsi" w:hAnsiTheme="minorHAnsi" w:cstheme="minorBidi"/>
          <w:noProof/>
          <w:szCs w:val="22"/>
          <w:lang w:eastAsia="en-GB"/>
        </w:rPr>
      </w:pPr>
      <w:hyperlink w:anchor="_Toc520212645" w:history="1">
        <w:r w:rsidR="0014173B" w:rsidRPr="003E163E">
          <w:rPr>
            <w:rStyle w:val="Collegamentoipertestuale"/>
            <w:noProof/>
          </w:rPr>
          <w:t>Table 5-20</w:t>
        </w:r>
        <w:r w:rsidR="009462D2">
          <w:rPr>
            <w:rStyle w:val="Collegamentoipertestuale"/>
            <w:noProof/>
          </w:rPr>
          <w:t>.</w:t>
        </w:r>
        <w:r w:rsidR="0014173B" w:rsidRPr="003E163E">
          <w:rPr>
            <w:rStyle w:val="Collegamentoipertestuale"/>
            <w:noProof/>
          </w:rPr>
          <w:t xml:space="preserve"> Panels, Knossos</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_Toc520212645 \h </w:instrText>
        </w:r>
        <w:r w:rsidR="0014173B">
          <w:rPr>
            <w:noProof/>
            <w:webHidden/>
          </w:rPr>
        </w:r>
        <w:r w:rsidR="0014173B">
          <w:rPr>
            <w:noProof/>
            <w:webHidden/>
          </w:rPr>
          <w:fldChar w:fldCharType="separate"/>
        </w:r>
        <w:r w:rsidR="00940F6A">
          <w:rPr>
            <w:noProof/>
            <w:webHidden/>
          </w:rPr>
          <w:t>31</w:t>
        </w:r>
        <w:r w:rsidR="00332A9E">
          <w:rPr>
            <w:noProof/>
            <w:webHidden/>
          </w:rPr>
          <w:t>9</w:t>
        </w:r>
        <w:r w:rsidR="0014173B">
          <w:rPr>
            <w:noProof/>
            <w:webHidden/>
          </w:rPr>
          <w:fldChar w:fldCharType="end"/>
        </w:r>
      </w:hyperlink>
    </w:p>
    <w:p w14:paraId="53E03459" w14:textId="62B86020" w:rsidR="0014173B" w:rsidRDefault="00874C0C">
      <w:pPr>
        <w:pStyle w:val="Indicedellefigure"/>
        <w:tabs>
          <w:tab w:val="right" w:leader="dot" w:pos="8488"/>
        </w:tabs>
        <w:rPr>
          <w:rFonts w:asciiTheme="minorHAnsi" w:hAnsiTheme="minorHAnsi" w:cstheme="minorBidi"/>
          <w:noProof/>
          <w:szCs w:val="22"/>
          <w:lang w:eastAsia="en-GB"/>
        </w:rPr>
      </w:pPr>
      <w:hyperlink w:anchor="_Toc520212646" w:history="1">
        <w:r w:rsidR="0014173B" w:rsidRPr="003E163E">
          <w:rPr>
            <w:rStyle w:val="Collegamentoipertestuale"/>
            <w:noProof/>
          </w:rPr>
          <w:t>Table 5-21</w:t>
        </w:r>
        <w:r w:rsidR="009462D2">
          <w:rPr>
            <w:rStyle w:val="Collegamentoipertestuale"/>
            <w:noProof/>
          </w:rPr>
          <w:t>.</w:t>
        </w:r>
        <w:r w:rsidR="0014173B" w:rsidRPr="003E163E">
          <w:rPr>
            <w:rStyle w:val="Collegamentoipertestuale"/>
            <w:noProof/>
          </w:rPr>
          <w:t xml:space="preserve"> Knossos larnax decoration</w:t>
        </w:r>
        <w:r w:rsidR="0014173B">
          <w:rPr>
            <w:noProof/>
            <w:webHidden/>
          </w:rPr>
          <w:tab/>
        </w:r>
        <w:r w:rsidR="0014173B">
          <w:rPr>
            <w:noProof/>
            <w:webHidden/>
          </w:rPr>
          <w:fldChar w:fldCharType="begin"/>
        </w:r>
        <w:r w:rsidR="0014173B">
          <w:rPr>
            <w:noProof/>
            <w:webHidden/>
          </w:rPr>
          <w:instrText xml:space="preserve"> PAGEREF _Toc520212646 \h </w:instrText>
        </w:r>
        <w:r w:rsidR="0014173B">
          <w:rPr>
            <w:noProof/>
            <w:webHidden/>
          </w:rPr>
        </w:r>
        <w:r w:rsidR="0014173B">
          <w:rPr>
            <w:noProof/>
            <w:webHidden/>
          </w:rPr>
          <w:fldChar w:fldCharType="separate"/>
        </w:r>
        <w:r w:rsidR="00940F6A">
          <w:rPr>
            <w:noProof/>
            <w:webHidden/>
          </w:rPr>
          <w:t>3</w:t>
        </w:r>
        <w:r w:rsidR="0014173B">
          <w:rPr>
            <w:noProof/>
            <w:webHidden/>
          </w:rPr>
          <w:fldChar w:fldCharType="end"/>
        </w:r>
      </w:hyperlink>
      <w:r w:rsidR="00332A9E">
        <w:rPr>
          <w:noProof/>
        </w:rPr>
        <w:t>20</w:t>
      </w:r>
    </w:p>
    <w:p w14:paraId="5B4514C5" w14:textId="564C8FF4" w:rsidR="0014173B" w:rsidRDefault="00874C0C">
      <w:pPr>
        <w:pStyle w:val="Indicedellefigure"/>
        <w:tabs>
          <w:tab w:val="right" w:leader="dot" w:pos="8488"/>
        </w:tabs>
        <w:rPr>
          <w:rFonts w:asciiTheme="minorHAnsi" w:hAnsiTheme="minorHAnsi" w:cstheme="minorBidi"/>
          <w:noProof/>
          <w:szCs w:val="22"/>
          <w:lang w:eastAsia="en-GB"/>
        </w:rPr>
      </w:pPr>
      <w:hyperlink w:anchor="_Toc520212647" w:history="1">
        <w:r w:rsidR="0014173B" w:rsidRPr="003E163E">
          <w:rPr>
            <w:rStyle w:val="Collegamentoipertestuale"/>
            <w:noProof/>
          </w:rPr>
          <w:t>Table 5-22</w:t>
        </w:r>
        <w:r w:rsidR="009462D2">
          <w:rPr>
            <w:rStyle w:val="Collegamentoipertestuale"/>
            <w:noProof/>
          </w:rPr>
          <w:t>.</w:t>
        </w:r>
        <w:r w:rsidR="0014173B" w:rsidRPr="003E163E">
          <w:rPr>
            <w:rStyle w:val="Collegamentoipertestuale"/>
            <w:noProof/>
          </w:rPr>
          <w:t xml:space="preserve"> Larnax types, Centr</w:t>
        </w:r>
        <w:r w:rsidR="000E0FFE">
          <w:rPr>
            <w:rStyle w:val="Collegamentoipertestuale"/>
            <w:noProof/>
          </w:rPr>
          <w:t>al area</w:t>
        </w:r>
        <w:r w:rsidR="0014173B">
          <w:rPr>
            <w:noProof/>
            <w:webHidden/>
          </w:rPr>
          <w:tab/>
        </w:r>
        <w:r w:rsidR="0014173B">
          <w:rPr>
            <w:noProof/>
            <w:webHidden/>
          </w:rPr>
          <w:fldChar w:fldCharType="begin"/>
        </w:r>
        <w:r w:rsidR="0014173B">
          <w:rPr>
            <w:noProof/>
            <w:webHidden/>
          </w:rPr>
          <w:instrText xml:space="preserve"> PAGEREF _Toc520212647 \h </w:instrText>
        </w:r>
        <w:r w:rsidR="0014173B">
          <w:rPr>
            <w:noProof/>
            <w:webHidden/>
          </w:rPr>
        </w:r>
        <w:r w:rsidR="0014173B">
          <w:rPr>
            <w:noProof/>
            <w:webHidden/>
          </w:rPr>
          <w:fldChar w:fldCharType="separate"/>
        </w:r>
        <w:r w:rsidR="00940F6A">
          <w:rPr>
            <w:noProof/>
            <w:webHidden/>
          </w:rPr>
          <w:t>32</w:t>
        </w:r>
        <w:r w:rsidR="00332A9E">
          <w:rPr>
            <w:noProof/>
            <w:webHidden/>
          </w:rPr>
          <w:t>8</w:t>
        </w:r>
        <w:r w:rsidR="0014173B">
          <w:rPr>
            <w:noProof/>
            <w:webHidden/>
          </w:rPr>
          <w:fldChar w:fldCharType="end"/>
        </w:r>
      </w:hyperlink>
    </w:p>
    <w:p w14:paraId="043AACA0" w14:textId="523B65CC" w:rsidR="0014173B" w:rsidRDefault="00874C0C">
      <w:pPr>
        <w:pStyle w:val="Indicedellefigure"/>
        <w:tabs>
          <w:tab w:val="right" w:leader="dot" w:pos="8488"/>
        </w:tabs>
        <w:rPr>
          <w:rFonts w:asciiTheme="minorHAnsi" w:hAnsiTheme="minorHAnsi" w:cstheme="minorBidi"/>
          <w:noProof/>
          <w:szCs w:val="22"/>
          <w:lang w:eastAsia="en-GB"/>
        </w:rPr>
      </w:pPr>
      <w:hyperlink w:anchor="_Toc520212648" w:history="1">
        <w:r w:rsidR="0014173B" w:rsidRPr="003E163E">
          <w:rPr>
            <w:rStyle w:val="Collegamentoipertestuale"/>
            <w:noProof/>
          </w:rPr>
          <w:t>Table 5-23</w:t>
        </w:r>
        <w:r w:rsidR="009462D2">
          <w:rPr>
            <w:rStyle w:val="Collegamentoipertestuale"/>
            <w:noProof/>
          </w:rPr>
          <w:t>.</w:t>
        </w:r>
        <w:r w:rsidR="0014173B" w:rsidRPr="003E163E">
          <w:rPr>
            <w:rStyle w:val="Collegamentoipertestuale"/>
            <w:noProof/>
          </w:rPr>
          <w:t xml:space="preserve"> Larnax dimensions, Centr</w:t>
        </w:r>
        <w:r w:rsidR="000E0FFE">
          <w:rPr>
            <w:rStyle w:val="Collegamentoipertestuale"/>
            <w:noProof/>
          </w:rPr>
          <w:t>al area</w:t>
        </w:r>
        <w:r w:rsidR="0014173B">
          <w:rPr>
            <w:noProof/>
            <w:webHidden/>
          </w:rPr>
          <w:tab/>
        </w:r>
        <w:r w:rsidR="0014173B">
          <w:rPr>
            <w:noProof/>
            <w:webHidden/>
          </w:rPr>
          <w:fldChar w:fldCharType="begin"/>
        </w:r>
        <w:r w:rsidR="0014173B">
          <w:rPr>
            <w:noProof/>
            <w:webHidden/>
          </w:rPr>
          <w:instrText xml:space="preserve"> PAGEREF _Toc520212648 \h </w:instrText>
        </w:r>
        <w:r w:rsidR="0014173B">
          <w:rPr>
            <w:noProof/>
            <w:webHidden/>
          </w:rPr>
        </w:r>
        <w:r w:rsidR="0014173B">
          <w:rPr>
            <w:noProof/>
            <w:webHidden/>
          </w:rPr>
          <w:fldChar w:fldCharType="separate"/>
        </w:r>
        <w:r w:rsidR="00940F6A">
          <w:rPr>
            <w:noProof/>
            <w:webHidden/>
          </w:rPr>
          <w:t>32</w:t>
        </w:r>
        <w:r w:rsidR="00332A9E">
          <w:rPr>
            <w:noProof/>
            <w:webHidden/>
          </w:rPr>
          <w:t>9</w:t>
        </w:r>
        <w:r w:rsidR="0014173B">
          <w:rPr>
            <w:noProof/>
            <w:webHidden/>
          </w:rPr>
          <w:fldChar w:fldCharType="end"/>
        </w:r>
      </w:hyperlink>
    </w:p>
    <w:p w14:paraId="59FD2E8B" w14:textId="4BBD1B00" w:rsidR="0014173B" w:rsidRDefault="00874C0C">
      <w:pPr>
        <w:pStyle w:val="Indicedellefigure"/>
        <w:tabs>
          <w:tab w:val="right" w:leader="dot" w:pos="8488"/>
        </w:tabs>
        <w:rPr>
          <w:rFonts w:asciiTheme="minorHAnsi" w:hAnsiTheme="minorHAnsi" w:cstheme="minorBidi"/>
          <w:noProof/>
          <w:szCs w:val="22"/>
          <w:lang w:eastAsia="en-GB"/>
        </w:rPr>
      </w:pPr>
      <w:hyperlink w:anchor="_Toc520212649" w:history="1">
        <w:r w:rsidR="0014173B" w:rsidRPr="003E163E">
          <w:rPr>
            <w:rStyle w:val="Collegamentoipertestuale"/>
            <w:noProof/>
          </w:rPr>
          <w:t>Table 5-24</w:t>
        </w:r>
        <w:r w:rsidR="009462D2">
          <w:rPr>
            <w:rStyle w:val="Collegamentoipertestuale"/>
            <w:noProof/>
          </w:rPr>
          <w:t>.</w:t>
        </w:r>
        <w:r w:rsidR="0014173B" w:rsidRPr="003E163E">
          <w:rPr>
            <w:rStyle w:val="Collegamentoipertestuale"/>
            <w:noProof/>
          </w:rPr>
          <w:t xml:space="preserve"> Lid occurrence, Centr</w:t>
        </w:r>
        <w:r w:rsidR="000E0FFE">
          <w:rPr>
            <w:rStyle w:val="Collegamentoipertestuale"/>
            <w:noProof/>
          </w:rPr>
          <w:t>al area</w:t>
        </w:r>
        <w:r w:rsidR="0014173B">
          <w:rPr>
            <w:noProof/>
            <w:webHidden/>
          </w:rPr>
          <w:tab/>
        </w:r>
        <w:r w:rsidR="0014173B">
          <w:rPr>
            <w:noProof/>
            <w:webHidden/>
          </w:rPr>
          <w:fldChar w:fldCharType="begin"/>
        </w:r>
        <w:r w:rsidR="0014173B">
          <w:rPr>
            <w:noProof/>
            <w:webHidden/>
          </w:rPr>
          <w:instrText xml:space="preserve"> PAGEREF _Toc520212649 \h </w:instrText>
        </w:r>
        <w:r w:rsidR="0014173B">
          <w:rPr>
            <w:noProof/>
            <w:webHidden/>
          </w:rPr>
        </w:r>
        <w:r w:rsidR="0014173B">
          <w:rPr>
            <w:noProof/>
            <w:webHidden/>
          </w:rPr>
          <w:fldChar w:fldCharType="separate"/>
        </w:r>
        <w:r w:rsidR="00940F6A">
          <w:rPr>
            <w:noProof/>
            <w:webHidden/>
          </w:rPr>
          <w:t>32</w:t>
        </w:r>
        <w:r w:rsidR="00332A9E">
          <w:rPr>
            <w:noProof/>
            <w:webHidden/>
          </w:rPr>
          <w:t>9</w:t>
        </w:r>
        <w:r w:rsidR="0014173B">
          <w:rPr>
            <w:noProof/>
            <w:webHidden/>
          </w:rPr>
          <w:fldChar w:fldCharType="end"/>
        </w:r>
      </w:hyperlink>
    </w:p>
    <w:p w14:paraId="60EF8214" w14:textId="30C1AB50" w:rsidR="0014173B" w:rsidRDefault="00874C0C">
      <w:pPr>
        <w:pStyle w:val="Indicedellefigure"/>
        <w:tabs>
          <w:tab w:val="right" w:leader="dot" w:pos="8488"/>
        </w:tabs>
        <w:rPr>
          <w:rFonts w:asciiTheme="minorHAnsi" w:hAnsiTheme="minorHAnsi" w:cstheme="minorBidi"/>
          <w:noProof/>
          <w:szCs w:val="22"/>
          <w:lang w:eastAsia="en-GB"/>
        </w:rPr>
      </w:pPr>
      <w:hyperlink w:anchor="_Toc520212650" w:history="1">
        <w:r w:rsidR="0014173B" w:rsidRPr="003E163E">
          <w:rPr>
            <w:rStyle w:val="Collegamentoipertestuale"/>
            <w:noProof/>
          </w:rPr>
          <w:t>Table 5-25</w:t>
        </w:r>
        <w:r w:rsidR="009462D2">
          <w:rPr>
            <w:rStyle w:val="Collegamentoipertestuale"/>
            <w:noProof/>
          </w:rPr>
          <w:t>.</w:t>
        </w:r>
        <w:r w:rsidR="0014173B" w:rsidRPr="003E163E">
          <w:rPr>
            <w:rStyle w:val="Collegamentoipertestuale"/>
            <w:noProof/>
          </w:rPr>
          <w:t xml:space="preserve"> Feet occurrence, Centr</w:t>
        </w:r>
        <w:r w:rsidR="000E0FFE">
          <w:rPr>
            <w:rStyle w:val="Collegamentoipertestuale"/>
            <w:noProof/>
          </w:rPr>
          <w:t>al area</w:t>
        </w:r>
        <w:r w:rsidR="0014173B">
          <w:rPr>
            <w:noProof/>
            <w:webHidden/>
          </w:rPr>
          <w:tab/>
        </w:r>
        <w:r w:rsidR="0014173B">
          <w:rPr>
            <w:noProof/>
            <w:webHidden/>
          </w:rPr>
          <w:fldChar w:fldCharType="begin"/>
        </w:r>
        <w:r w:rsidR="0014173B">
          <w:rPr>
            <w:noProof/>
            <w:webHidden/>
          </w:rPr>
          <w:instrText xml:space="preserve"> PAGEREF _Toc520212650 \h </w:instrText>
        </w:r>
        <w:r w:rsidR="0014173B">
          <w:rPr>
            <w:noProof/>
            <w:webHidden/>
          </w:rPr>
        </w:r>
        <w:r w:rsidR="0014173B">
          <w:rPr>
            <w:noProof/>
            <w:webHidden/>
          </w:rPr>
          <w:fldChar w:fldCharType="separate"/>
        </w:r>
        <w:r w:rsidR="00940F6A">
          <w:rPr>
            <w:noProof/>
            <w:webHidden/>
          </w:rPr>
          <w:t>32</w:t>
        </w:r>
        <w:r w:rsidR="00332A9E">
          <w:rPr>
            <w:noProof/>
            <w:webHidden/>
          </w:rPr>
          <w:t>9</w:t>
        </w:r>
        <w:r w:rsidR="0014173B">
          <w:rPr>
            <w:noProof/>
            <w:webHidden/>
          </w:rPr>
          <w:fldChar w:fldCharType="end"/>
        </w:r>
      </w:hyperlink>
    </w:p>
    <w:p w14:paraId="5F5E3592" w14:textId="10D5ED83" w:rsidR="0014173B" w:rsidRDefault="00874C0C">
      <w:pPr>
        <w:pStyle w:val="Indicedellefigure"/>
        <w:tabs>
          <w:tab w:val="right" w:leader="dot" w:pos="8488"/>
        </w:tabs>
        <w:rPr>
          <w:rFonts w:asciiTheme="minorHAnsi" w:hAnsiTheme="minorHAnsi" w:cstheme="minorBidi"/>
          <w:noProof/>
          <w:szCs w:val="22"/>
          <w:lang w:eastAsia="en-GB"/>
        </w:rPr>
      </w:pPr>
      <w:hyperlink w:anchor="_Toc520212651" w:history="1">
        <w:r w:rsidR="0014173B" w:rsidRPr="003E163E">
          <w:rPr>
            <w:rStyle w:val="Collegamentoipertestuale"/>
            <w:noProof/>
          </w:rPr>
          <w:t>Table 5-26</w:t>
        </w:r>
        <w:r w:rsidR="009462D2">
          <w:rPr>
            <w:rStyle w:val="Collegamentoipertestuale"/>
            <w:noProof/>
          </w:rPr>
          <w:t>.</w:t>
        </w:r>
        <w:r w:rsidR="0014173B" w:rsidRPr="003E163E">
          <w:rPr>
            <w:rStyle w:val="Collegamentoipertestuale"/>
            <w:noProof/>
          </w:rPr>
          <w:t xml:space="preserve"> Handles or holes, Centr</w:t>
        </w:r>
        <w:r w:rsidR="000E0FFE">
          <w:rPr>
            <w:rStyle w:val="Collegamentoipertestuale"/>
            <w:noProof/>
          </w:rPr>
          <w:t>al area</w:t>
        </w:r>
        <w:r w:rsidR="0014173B">
          <w:rPr>
            <w:noProof/>
            <w:webHidden/>
          </w:rPr>
          <w:tab/>
        </w:r>
        <w:r w:rsidR="0014173B">
          <w:rPr>
            <w:noProof/>
            <w:webHidden/>
          </w:rPr>
          <w:fldChar w:fldCharType="begin"/>
        </w:r>
        <w:r w:rsidR="0014173B">
          <w:rPr>
            <w:noProof/>
            <w:webHidden/>
          </w:rPr>
          <w:instrText xml:space="preserve"> PAGEREF _Toc520212651 \h </w:instrText>
        </w:r>
        <w:r w:rsidR="0014173B">
          <w:rPr>
            <w:noProof/>
            <w:webHidden/>
          </w:rPr>
        </w:r>
        <w:r w:rsidR="0014173B">
          <w:rPr>
            <w:noProof/>
            <w:webHidden/>
          </w:rPr>
          <w:fldChar w:fldCharType="separate"/>
        </w:r>
        <w:r w:rsidR="00940F6A">
          <w:rPr>
            <w:noProof/>
            <w:webHidden/>
          </w:rPr>
          <w:t>32</w:t>
        </w:r>
        <w:r w:rsidR="00332A9E">
          <w:rPr>
            <w:noProof/>
            <w:webHidden/>
          </w:rPr>
          <w:t>9</w:t>
        </w:r>
        <w:r w:rsidR="0014173B">
          <w:rPr>
            <w:noProof/>
            <w:webHidden/>
          </w:rPr>
          <w:fldChar w:fldCharType="end"/>
        </w:r>
      </w:hyperlink>
    </w:p>
    <w:p w14:paraId="3C3A08FE" w14:textId="7A057F12" w:rsidR="0014173B" w:rsidRDefault="00874C0C">
      <w:pPr>
        <w:pStyle w:val="Indicedellefigure"/>
        <w:tabs>
          <w:tab w:val="right" w:leader="dot" w:pos="8488"/>
        </w:tabs>
        <w:rPr>
          <w:rFonts w:asciiTheme="minorHAnsi" w:hAnsiTheme="minorHAnsi" w:cstheme="minorBidi"/>
          <w:noProof/>
          <w:szCs w:val="22"/>
          <w:lang w:eastAsia="en-GB"/>
        </w:rPr>
      </w:pPr>
      <w:hyperlink w:anchor="_Toc520212652" w:history="1">
        <w:r w:rsidR="0014173B" w:rsidRPr="003E163E">
          <w:rPr>
            <w:rStyle w:val="Collegamentoipertestuale"/>
            <w:noProof/>
          </w:rPr>
          <w:t>Table 5-27</w:t>
        </w:r>
        <w:r w:rsidR="009462D2">
          <w:rPr>
            <w:rStyle w:val="Collegamentoipertestuale"/>
            <w:noProof/>
          </w:rPr>
          <w:t>.</w:t>
        </w:r>
        <w:r w:rsidR="0014173B" w:rsidRPr="003E163E">
          <w:rPr>
            <w:rStyle w:val="Collegamentoipertestuale"/>
            <w:noProof/>
          </w:rPr>
          <w:t xml:space="preserve"> Panels, Centr</w:t>
        </w:r>
        <w:r w:rsidR="000E0FFE">
          <w:rPr>
            <w:rStyle w:val="Collegamentoipertestuale"/>
            <w:noProof/>
          </w:rPr>
          <w:t>al area</w:t>
        </w:r>
        <w:r w:rsidR="0014173B">
          <w:rPr>
            <w:noProof/>
            <w:webHidden/>
          </w:rPr>
          <w:tab/>
        </w:r>
        <w:r w:rsidR="0014173B">
          <w:rPr>
            <w:noProof/>
            <w:webHidden/>
          </w:rPr>
          <w:fldChar w:fldCharType="begin"/>
        </w:r>
        <w:r w:rsidR="0014173B">
          <w:rPr>
            <w:noProof/>
            <w:webHidden/>
          </w:rPr>
          <w:instrText xml:space="preserve"> PAGEREF _Toc520212652 \h </w:instrText>
        </w:r>
        <w:r w:rsidR="0014173B">
          <w:rPr>
            <w:noProof/>
            <w:webHidden/>
          </w:rPr>
        </w:r>
        <w:r w:rsidR="0014173B">
          <w:rPr>
            <w:noProof/>
            <w:webHidden/>
          </w:rPr>
          <w:fldChar w:fldCharType="separate"/>
        </w:r>
        <w:r w:rsidR="00940F6A">
          <w:rPr>
            <w:noProof/>
            <w:webHidden/>
          </w:rPr>
          <w:t>3</w:t>
        </w:r>
        <w:r w:rsidR="00332A9E">
          <w:rPr>
            <w:noProof/>
            <w:webHidden/>
          </w:rPr>
          <w:t>30</w:t>
        </w:r>
        <w:r w:rsidR="0014173B">
          <w:rPr>
            <w:noProof/>
            <w:webHidden/>
          </w:rPr>
          <w:fldChar w:fldCharType="end"/>
        </w:r>
      </w:hyperlink>
    </w:p>
    <w:p w14:paraId="1977C1C8" w14:textId="3FE8D67E" w:rsidR="0014173B" w:rsidRDefault="00874C0C">
      <w:pPr>
        <w:pStyle w:val="Indicedellefigure"/>
        <w:tabs>
          <w:tab w:val="right" w:leader="dot" w:pos="8488"/>
        </w:tabs>
        <w:rPr>
          <w:rFonts w:asciiTheme="minorHAnsi" w:hAnsiTheme="minorHAnsi" w:cstheme="minorBidi"/>
          <w:noProof/>
          <w:szCs w:val="22"/>
          <w:lang w:eastAsia="en-GB"/>
        </w:rPr>
      </w:pPr>
      <w:hyperlink w:anchor="_Toc520212653" w:history="1">
        <w:r w:rsidR="0014173B" w:rsidRPr="003E163E">
          <w:rPr>
            <w:rStyle w:val="Collegamentoipertestuale"/>
            <w:noProof/>
          </w:rPr>
          <w:t>Table 5-28</w:t>
        </w:r>
        <w:r w:rsidR="009462D2">
          <w:rPr>
            <w:rStyle w:val="Collegamentoipertestuale"/>
            <w:noProof/>
          </w:rPr>
          <w:t>.</w:t>
        </w:r>
        <w:r w:rsidR="0014173B" w:rsidRPr="003E163E">
          <w:rPr>
            <w:rStyle w:val="Collegamentoipertestuale"/>
            <w:noProof/>
          </w:rPr>
          <w:t xml:space="preserve"> Decoration, Centr</w:t>
        </w:r>
        <w:r w:rsidR="000E0FFE">
          <w:rPr>
            <w:rStyle w:val="Collegamentoipertestuale"/>
            <w:noProof/>
          </w:rPr>
          <w:t>al area</w:t>
        </w:r>
        <w:r w:rsidR="0014173B">
          <w:rPr>
            <w:noProof/>
            <w:webHidden/>
          </w:rPr>
          <w:tab/>
        </w:r>
        <w:r w:rsidR="0014173B">
          <w:rPr>
            <w:noProof/>
            <w:webHidden/>
          </w:rPr>
          <w:fldChar w:fldCharType="begin"/>
        </w:r>
        <w:r w:rsidR="0014173B">
          <w:rPr>
            <w:noProof/>
            <w:webHidden/>
          </w:rPr>
          <w:instrText xml:space="preserve"> PAGEREF _Toc520212653 \h </w:instrText>
        </w:r>
        <w:r w:rsidR="0014173B">
          <w:rPr>
            <w:noProof/>
            <w:webHidden/>
          </w:rPr>
        </w:r>
        <w:r w:rsidR="0014173B">
          <w:rPr>
            <w:noProof/>
            <w:webHidden/>
          </w:rPr>
          <w:fldChar w:fldCharType="separate"/>
        </w:r>
        <w:r w:rsidR="00940F6A">
          <w:rPr>
            <w:noProof/>
            <w:webHidden/>
          </w:rPr>
          <w:t>3</w:t>
        </w:r>
        <w:r w:rsidR="00332A9E">
          <w:rPr>
            <w:noProof/>
            <w:webHidden/>
          </w:rPr>
          <w:t>30</w:t>
        </w:r>
        <w:r w:rsidR="0014173B">
          <w:rPr>
            <w:noProof/>
            <w:webHidden/>
          </w:rPr>
          <w:fldChar w:fldCharType="end"/>
        </w:r>
      </w:hyperlink>
    </w:p>
    <w:p w14:paraId="2251D067" w14:textId="62796A7A" w:rsidR="0014173B" w:rsidRDefault="00874C0C">
      <w:pPr>
        <w:pStyle w:val="Indicedellefigure"/>
        <w:tabs>
          <w:tab w:val="right" w:leader="dot" w:pos="8488"/>
        </w:tabs>
        <w:rPr>
          <w:rFonts w:asciiTheme="minorHAnsi" w:hAnsiTheme="minorHAnsi" w:cstheme="minorBidi"/>
          <w:noProof/>
          <w:szCs w:val="22"/>
          <w:lang w:eastAsia="en-GB"/>
        </w:rPr>
      </w:pPr>
      <w:hyperlink w:anchor="_Toc520212654" w:history="1">
        <w:r w:rsidR="0014173B" w:rsidRPr="003E163E">
          <w:rPr>
            <w:rStyle w:val="Collegamentoipertestuale"/>
            <w:noProof/>
          </w:rPr>
          <w:t>Table 5-29</w:t>
        </w:r>
        <w:r w:rsidR="009462D2">
          <w:rPr>
            <w:rStyle w:val="Collegamentoipertestuale"/>
            <w:noProof/>
          </w:rPr>
          <w:t>.</w:t>
        </w:r>
        <w:r w:rsidR="0014173B" w:rsidRPr="003E163E">
          <w:rPr>
            <w:rStyle w:val="Collegamentoipertestuale"/>
            <w:noProof/>
          </w:rPr>
          <w:t xml:space="preserve"> Larnax types, Mid-East</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_Toc520212654 \h </w:instrText>
        </w:r>
        <w:r w:rsidR="0014173B">
          <w:rPr>
            <w:noProof/>
            <w:webHidden/>
          </w:rPr>
        </w:r>
        <w:r w:rsidR="0014173B">
          <w:rPr>
            <w:noProof/>
            <w:webHidden/>
          </w:rPr>
          <w:fldChar w:fldCharType="separate"/>
        </w:r>
        <w:r w:rsidR="00940F6A">
          <w:rPr>
            <w:noProof/>
            <w:webHidden/>
          </w:rPr>
          <w:t>34</w:t>
        </w:r>
        <w:r w:rsidR="00332A9E">
          <w:rPr>
            <w:noProof/>
            <w:webHidden/>
          </w:rPr>
          <w:t>2</w:t>
        </w:r>
        <w:r w:rsidR="0014173B">
          <w:rPr>
            <w:noProof/>
            <w:webHidden/>
          </w:rPr>
          <w:fldChar w:fldCharType="end"/>
        </w:r>
      </w:hyperlink>
    </w:p>
    <w:p w14:paraId="37B4C27B" w14:textId="66F6A7D4" w:rsidR="0014173B" w:rsidRDefault="00874C0C">
      <w:pPr>
        <w:pStyle w:val="Indicedellefigure"/>
        <w:tabs>
          <w:tab w:val="right" w:leader="dot" w:pos="8488"/>
        </w:tabs>
        <w:rPr>
          <w:rFonts w:asciiTheme="minorHAnsi" w:hAnsiTheme="minorHAnsi" w:cstheme="minorBidi"/>
          <w:noProof/>
          <w:szCs w:val="22"/>
          <w:lang w:eastAsia="en-GB"/>
        </w:rPr>
      </w:pPr>
      <w:hyperlink w:anchor="_Toc520212655" w:history="1">
        <w:r w:rsidR="0014173B" w:rsidRPr="003E163E">
          <w:rPr>
            <w:rStyle w:val="Collegamentoipertestuale"/>
            <w:noProof/>
          </w:rPr>
          <w:t>Table 5-30</w:t>
        </w:r>
        <w:r w:rsidR="009462D2">
          <w:rPr>
            <w:rStyle w:val="Collegamentoipertestuale"/>
            <w:noProof/>
          </w:rPr>
          <w:t>.</w:t>
        </w:r>
        <w:r w:rsidR="0014173B" w:rsidRPr="003E163E">
          <w:rPr>
            <w:rStyle w:val="Collegamentoipertestuale"/>
            <w:noProof/>
          </w:rPr>
          <w:t xml:space="preserve"> Dimension range, Mid-East</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_Toc520212655 \h </w:instrText>
        </w:r>
        <w:r w:rsidR="0014173B">
          <w:rPr>
            <w:noProof/>
            <w:webHidden/>
          </w:rPr>
        </w:r>
        <w:r w:rsidR="0014173B">
          <w:rPr>
            <w:noProof/>
            <w:webHidden/>
          </w:rPr>
          <w:fldChar w:fldCharType="separate"/>
        </w:r>
        <w:r w:rsidR="00940F6A">
          <w:rPr>
            <w:noProof/>
            <w:webHidden/>
          </w:rPr>
          <w:t>34</w:t>
        </w:r>
        <w:r w:rsidR="00332A9E">
          <w:rPr>
            <w:noProof/>
            <w:webHidden/>
          </w:rPr>
          <w:t>2</w:t>
        </w:r>
        <w:r w:rsidR="0014173B">
          <w:rPr>
            <w:noProof/>
            <w:webHidden/>
          </w:rPr>
          <w:fldChar w:fldCharType="end"/>
        </w:r>
      </w:hyperlink>
    </w:p>
    <w:p w14:paraId="2C95B1F7" w14:textId="1F91643B" w:rsidR="0014173B" w:rsidRDefault="00874C0C">
      <w:pPr>
        <w:pStyle w:val="Indicedellefigure"/>
        <w:tabs>
          <w:tab w:val="right" w:leader="dot" w:pos="8488"/>
        </w:tabs>
        <w:rPr>
          <w:rFonts w:asciiTheme="minorHAnsi" w:hAnsiTheme="minorHAnsi" w:cstheme="minorBidi"/>
          <w:noProof/>
          <w:szCs w:val="22"/>
          <w:lang w:eastAsia="en-GB"/>
        </w:rPr>
      </w:pPr>
      <w:hyperlink w:anchor="_Toc520212656" w:history="1">
        <w:r w:rsidR="0014173B" w:rsidRPr="003E163E">
          <w:rPr>
            <w:rStyle w:val="Collegamentoipertestuale"/>
            <w:noProof/>
          </w:rPr>
          <w:t>Table 5-31</w:t>
        </w:r>
        <w:r w:rsidR="009462D2">
          <w:rPr>
            <w:rStyle w:val="Collegamentoipertestuale"/>
            <w:noProof/>
          </w:rPr>
          <w:t>.</w:t>
        </w:r>
        <w:r w:rsidR="0014173B" w:rsidRPr="003E163E">
          <w:rPr>
            <w:rStyle w:val="Collegamentoipertestuale"/>
            <w:noProof/>
          </w:rPr>
          <w:t xml:space="preserve"> Lid occurrence, Mid-East</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_Toc520212656 \h </w:instrText>
        </w:r>
        <w:r w:rsidR="0014173B">
          <w:rPr>
            <w:noProof/>
            <w:webHidden/>
          </w:rPr>
        </w:r>
        <w:r w:rsidR="0014173B">
          <w:rPr>
            <w:noProof/>
            <w:webHidden/>
          </w:rPr>
          <w:fldChar w:fldCharType="separate"/>
        </w:r>
        <w:r w:rsidR="00940F6A">
          <w:rPr>
            <w:noProof/>
            <w:webHidden/>
          </w:rPr>
          <w:t>34</w:t>
        </w:r>
        <w:r w:rsidR="00332A9E">
          <w:rPr>
            <w:noProof/>
            <w:webHidden/>
          </w:rPr>
          <w:t>2</w:t>
        </w:r>
        <w:r w:rsidR="0014173B">
          <w:rPr>
            <w:noProof/>
            <w:webHidden/>
          </w:rPr>
          <w:fldChar w:fldCharType="end"/>
        </w:r>
      </w:hyperlink>
    </w:p>
    <w:p w14:paraId="05D91CF0" w14:textId="27BEFAB6" w:rsidR="0014173B" w:rsidRDefault="00874C0C">
      <w:pPr>
        <w:pStyle w:val="Indicedellefigure"/>
        <w:tabs>
          <w:tab w:val="right" w:leader="dot" w:pos="8488"/>
        </w:tabs>
        <w:rPr>
          <w:rFonts w:asciiTheme="minorHAnsi" w:hAnsiTheme="minorHAnsi" w:cstheme="minorBidi"/>
          <w:noProof/>
          <w:szCs w:val="22"/>
          <w:lang w:eastAsia="en-GB"/>
        </w:rPr>
      </w:pPr>
      <w:hyperlink w:anchor="_Toc520212657" w:history="1">
        <w:r w:rsidR="0014173B" w:rsidRPr="003E163E">
          <w:rPr>
            <w:rStyle w:val="Collegamentoipertestuale"/>
            <w:noProof/>
          </w:rPr>
          <w:t>Table 5-32</w:t>
        </w:r>
        <w:r w:rsidR="009462D2">
          <w:rPr>
            <w:rStyle w:val="Collegamentoipertestuale"/>
            <w:noProof/>
          </w:rPr>
          <w:t>.</w:t>
        </w:r>
        <w:r w:rsidR="0014173B" w:rsidRPr="003E163E">
          <w:rPr>
            <w:rStyle w:val="Collegamentoipertestuale"/>
            <w:noProof/>
          </w:rPr>
          <w:t xml:space="preserve"> Feet occurrence, Mid-East</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_Toc520212657 \h </w:instrText>
        </w:r>
        <w:r w:rsidR="0014173B">
          <w:rPr>
            <w:noProof/>
            <w:webHidden/>
          </w:rPr>
        </w:r>
        <w:r w:rsidR="0014173B">
          <w:rPr>
            <w:noProof/>
            <w:webHidden/>
          </w:rPr>
          <w:fldChar w:fldCharType="separate"/>
        </w:r>
        <w:r w:rsidR="00940F6A">
          <w:rPr>
            <w:noProof/>
            <w:webHidden/>
          </w:rPr>
          <w:t>34</w:t>
        </w:r>
        <w:r w:rsidR="00332A9E">
          <w:rPr>
            <w:noProof/>
            <w:webHidden/>
          </w:rPr>
          <w:t>2</w:t>
        </w:r>
        <w:r w:rsidR="0014173B">
          <w:rPr>
            <w:noProof/>
            <w:webHidden/>
          </w:rPr>
          <w:fldChar w:fldCharType="end"/>
        </w:r>
      </w:hyperlink>
    </w:p>
    <w:p w14:paraId="7537CC3F" w14:textId="64A4D256" w:rsidR="0014173B" w:rsidRDefault="00874C0C">
      <w:pPr>
        <w:pStyle w:val="Indicedellefigure"/>
        <w:tabs>
          <w:tab w:val="right" w:leader="dot" w:pos="8488"/>
        </w:tabs>
        <w:rPr>
          <w:rFonts w:asciiTheme="minorHAnsi" w:hAnsiTheme="minorHAnsi" w:cstheme="minorBidi"/>
          <w:noProof/>
          <w:szCs w:val="22"/>
          <w:lang w:eastAsia="en-GB"/>
        </w:rPr>
      </w:pPr>
      <w:hyperlink w:anchor="_Toc520212658" w:history="1">
        <w:r w:rsidR="0014173B" w:rsidRPr="003E163E">
          <w:rPr>
            <w:rStyle w:val="Collegamentoipertestuale"/>
            <w:noProof/>
          </w:rPr>
          <w:t>Table 5-33</w:t>
        </w:r>
        <w:r w:rsidR="009462D2">
          <w:rPr>
            <w:rStyle w:val="Collegamentoipertestuale"/>
            <w:noProof/>
          </w:rPr>
          <w:t>.</w:t>
        </w:r>
        <w:r w:rsidR="0014173B" w:rsidRPr="003E163E">
          <w:rPr>
            <w:rStyle w:val="Collegamentoipertestuale"/>
            <w:noProof/>
          </w:rPr>
          <w:t xml:space="preserve"> Handles or holes, Mid-East</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_Toc520212658 \h </w:instrText>
        </w:r>
        <w:r w:rsidR="0014173B">
          <w:rPr>
            <w:noProof/>
            <w:webHidden/>
          </w:rPr>
        </w:r>
        <w:r w:rsidR="0014173B">
          <w:rPr>
            <w:noProof/>
            <w:webHidden/>
          </w:rPr>
          <w:fldChar w:fldCharType="separate"/>
        </w:r>
        <w:r w:rsidR="00940F6A">
          <w:rPr>
            <w:noProof/>
            <w:webHidden/>
          </w:rPr>
          <w:t>34</w:t>
        </w:r>
        <w:r w:rsidR="00332A9E">
          <w:rPr>
            <w:noProof/>
            <w:webHidden/>
          </w:rPr>
          <w:t>3</w:t>
        </w:r>
        <w:r w:rsidR="0014173B">
          <w:rPr>
            <w:noProof/>
            <w:webHidden/>
          </w:rPr>
          <w:fldChar w:fldCharType="end"/>
        </w:r>
      </w:hyperlink>
    </w:p>
    <w:p w14:paraId="78A37B67" w14:textId="22260C41" w:rsidR="0014173B" w:rsidRDefault="00874C0C">
      <w:pPr>
        <w:pStyle w:val="Indicedellefigure"/>
        <w:tabs>
          <w:tab w:val="right" w:leader="dot" w:pos="8488"/>
        </w:tabs>
        <w:rPr>
          <w:rFonts w:asciiTheme="minorHAnsi" w:hAnsiTheme="minorHAnsi" w:cstheme="minorBidi"/>
          <w:noProof/>
          <w:szCs w:val="22"/>
          <w:lang w:eastAsia="en-GB"/>
        </w:rPr>
      </w:pPr>
      <w:hyperlink w:anchor="_Toc520212659" w:history="1">
        <w:r w:rsidR="0014173B" w:rsidRPr="003E163E">
          <w:rPr>
            <w:rStyle w:val="Collegamentoipertestuale"/>
            <w:noProof/>
          </w:rPr>
          <w:t>Table 5-34</w:t>
        </w:r>
        <w:r w:rsidR="009462D2">
          <w:rPr>
            <w:rStyle w:val="Collegamentoipertestuale"/>
            <w:noProof/>
          </w:rPr>
          <w:t>.</w:t>
        </w:r>
        <w:r w:rsidR="0014173B" w:rsidRPr="003E163E">
          <w:rPr>
            <w:rStyle w:val="Collegamentoipertestuale"/>
            <w:noProof/>
          </w:rPr>
          <w:t xml:space="preserve"> Panels, Mid-east</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_Toc520212659 \h </w:instrText>
        </w:r>
        <w:r w:rsidR="0014173B">
          <w:rPr>
            <w:noProof/>
            <w:webHidden/>
          </w:rPr>
        </w:r>
        <w:r w:rsidR="0014173B">
          <w:rPr>
            <w:noProof/>
            <w:webHidden/>
          </w:rPr>
          <w:fldChar w:fldCharType="separate"/>
        </w:r>
        <w:r w:rsidR="00940F6A">
          <w:rPr>
            <w:noProof/>
            <w:webHidden/>
          </w:rPr>
          <w:t>34</w:t>
        </w:r>
        <w:r w:rsidR="00332A9E">
          <w:rPr>
            <w:noProof/>
            <w:webHidden/>
          </w:rPr>
          <w:t>3</w:t>
        </w:r>
        <w:r w:rsidR="0014173B">
          <w:rPr>
            <w:noProof/>
            <w:webHidden/>
          </w:rPr>
          <w:fldChar w:fldCharType="end"/>
        </w:r>
      </w:hyperlink>
    </w:p>
    <w:p w14:paraId="32C21BA0" w14:textId="28B0D961" w:rsidR="0014173B" w:rsidRDefault="00874C0C">
      <w:pPr>
        <w:pStyle w:val="Indicedellefigure"/>
        <w:tabs>
          <w:tab w:val="right" w:leader="dot" w:pos="8488"/>
        </w:tabs>
        <w:rPr>
          <w:rFonts w:asciiTheme="minorHAnsi" w:hAnsiTheme="minorHAnsi" w:cstheme="minorBidi"/>
          <w:noProof/>
          <w:szCs w:val="22"/>
          <w:lang w:eastAsia="en-GB"/>
        </w:rPr>
      </w:pPr>
      <w:hyperlink w:anchor="_Toc520212660" w:history="1">
        <w:r w:rsidR="0014173B" w:rsidRPr="003E163E">
          <w:rPr>
            <w:rStyle w:val="Collegamentoipertestuale"/>
            <w:noProof/>
          </w:rPr>
          <w:t>Table 5-35</w:t>
        </w:r>
        <w:r w:rsidR="009462D2">
          <w:rPr>
            <w:rStyle w:val="Collegamentoipertestuale"/>
            <w:noProof/>
          </w:rPr>
          <w:t>.</w:t>
        </w:r>
        <w:r w:rsidR="0014173B" w:rsidRPr="003E163E">
          <w:rPr>
            <w:rStyle w:val="Collegamentoipertestuale"/>
            <w:noProof/>
          </w:rPr>
          <w:t xml:space="preserve"> Decoration, Mid-East</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_Toc520212660 \h </w:instrText>
        </w:r>
        <w:r w:rsidR="0014173B">
          <w:rPr>
            <w:noProof/>
            <w:webHidden/>
          </w:rPr>
        </w:r>
        <w:r w:rsidR="0014173B">
          <w:rPr>
            <w:noProof/>
            <w:webHidden/>
          </w:rPr>
          <w:fldChar w:fldCharType="separate"/>
        </w:r>
        <w:r w:rsidR="00940F6A">
          <w:rPr>
            <w:noProof/>
            <w:webHidden/>
          </w:rPr>
          <w:t>34</w:t>
        </w:r>
        <w:r w:rsidR="00332A9E">
          <w:rPr>
            <w:noProof/>
            <w:webHidden/>
          </w:rPr>
          <w:t>4</w:t>
        </w:r>
        <w:r w:rsidR="0014173B">
          <w:rPr>
            <w:noProof/>
            <w:webHidden/>
          </w:rPr>
          <w:fldChar w:fldCharType="end"/>
        </w:r>
      </w:hyperlink>
    </w:p>
    <w:p w14:paraId="5BAA90AE" w14:textId="239027D2" w:rsidR="0014173B" w:rsidRDefault="00874C0C">
      <w:pPr>
        <w:pStyle w:val="Indicedellefigure"/>
        <w:tabs>
          <w:tab w:val="right" w:leader="dot" w:pos="8488"/>
        </w:tabs>
        <w:rPr>
          <w:rFonts w:asciiTheme="minorHAnsi" w:hAnsiTheme="minorHAnsi" w:cstheme="minorBidi"/>
          <w:noProof/>
          <w:szCs w:val="22"/>
          <w:lang w:eastAsia="en-GB"/>
        </w:rPr>
      </w:pPr>
      <w:hyperlink w:anchor="_Toc520212661" w:history="1">
        <w:r w:rsidR="0014173B" w:rsidRPr="003E163E">
          <w:rPr>
            <w:rStyle w:val="Collegamentoipertestuale"/>
            <w:noProof/>
          </w:rPr>
          <w:t>Table 5-36</w:t>
        </w:r>
        <w:r w:rsidR="009462D2">
          <w:rPr>
            <w:rStyle w:val="Collegamentoipertestuale"/>
            <w:noProof/>
          </w:rPr>
          <w:t>.</w:t>
        </w:r>
        <w:r w:rsidR="0014173B" w:rsidRPr="003E163E">
          <w:rPr>
            <w:rStyle w:val="Collegamentoipertestuale"/>
            <w:noProof/>
          </w:rPr>
          <w:t xml:space="preserve"> Larnax types, Far-East</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_Toc520212661 \h </w:instrText>
        </w:r>
        <w:r w:rsidR="0014173B">
          <w:rPr>
            <w:noProof/>
            <w:webHidden/>
          </w:rPr>
        </w:r>
        <w:r w:rsidR="0014173B">
          <w:rPr>
            <w:noProof/>
            <w:webHidden/>
          </w:rPr>
          <w:fldChar w:fldCharType="separate"/>
        </w:r>
        <w:r w:rsidR="00940F6A">
          <w:rPr>
            <w:noProof/>
            <w:webHidden/>
          </w:rPr>
          <w:t>35</w:t>
        </w:r>
        <w:r w:rsidR="0014173B">
          <w:rPr>
            <w:noProof/>
            <w:webHidden/>
          </w:rPr>
          <w:fldChar w:fldCharType="end"/>
        </w:r>
      </w:hyperlink>
      <w:r w:rsidR="00124E26">
        <w:rPr>
          <w:noProof/>
        </w:rPr>
        <w:t>3</w:t>
      </w:r>
    </w:p>
    <w:p w14:paraId="397D4EF5" w14:textId="6C546500" w:rsidR="0014173B" w:rsidRDefault="00874C0C">
      <w:pPr>
        <w:pStyle w:val="Indicedellefigure"/>
        <w:tabs>
          <w:tab w:val="right" w:leader="dot" w:pos="8488"/>
        </w:tabs>
        <w:rPr>
          <w:rFonts w:asciiTheme="minorHAnsi" w:hAnsiTheme="minorHAnsi" w:cstheme="minorBidi"/>
          <w:noProof/>
          <w:szCs w:val="22"/>
          <w:lang w:eastAsia="en-GB"/>
        </w:rPr>
      </w:pPr>
      <w:hyperlink w:anchor="_Toc520212662" w:history="1">
        <w:r w:rsidR="0014173B" w:rsidRPr="003E163E">
          <w:rPr>
            <w:rStyle w:val="Collegamentoipertestuale"/>
            <w:noProof/>
          </w:rPr>
          <w:t>Table 5-37</w:t>
        </w:r>
        <w:r w:rsidR="009462D2">
          <w:rPr>
            <w:rStyle w:val="Collegamentoipertestuale"/>
            <w:noProof/>
          </w:rPr>
          <w:t>.</w:t>
        </w:r>
        <w:r w:rsidR="0014173B" w:rsidRPr="003E163E">
          <w:rPr>
            <w:rStyle w:val="Collegamentoipertestuale"/>
            <w:noProof/>
          </w:rPr>
          <w:t xml:space="preserve"> Dimension range, Far-East</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_Toc520212662 \h </w:instrText>
        </w:r>
        <w:r w:rsidR="0014173B">
          <w:rPr>
            <w:noProof/>
            <w:webHidden/>
          </w:rPr>
        </w:r>
        <w:r w:rsidR="0014173B">
          <w:rPr>
            <w:noProof/>
            <w:webHidden/>
          </w:rPr>
          <w:fldChar w:fldCharType="separate"/>
        </w:r>
        <w:r w:rsidR="00940F6A">
          <w:rPr>
            <w:noProof/>
            <w:webHidden/>
          </w:rPr>
          <w:t>35</w:t>
        </w:r>
        <w:r w:rsidR="00124E26">
          <w:rPr>
            <w:noProof/>
            <w:webHidden/>
          </w:rPr>
          <w:t>3</w:t>
        </w:r>
        <w:r w:rsidR="0014173B">
          <w:rPr>
            <w:noProof/>
            <w:webHidden/>
          </w:rPr>
          <w:fldChar w:fldCharType="end"/>
        </w:r>
      </w:hyperlink>
    </w:p>
    <w:p w14:paraId="174AEE7D" w14:textId="7CB3964D" w:rsidR="0014173B" w:rsidRDefault="00874C0C">
      <w:pPr>
        <w:pStyle w:val="Indicedellefigure"/>
        <w:tabs>
          <w:tab w:val="right" w:leader="dot" w:pos="8488"/>
        </w:tabs>
        <w:rPr>
          <w:rFonts w:asciiTheme="minorHAnsi" w:hAnsiTheme="minorHAnsi" w:cstheme="minorBidi"/>
          <w:noProof/>
          <w:szCs w:val="22"/>
          <w:lang w:eastAsia="en-GB"/>
        </w:rPr>
      </w:pPr>
      <w:hyperlink w:anchor="_Toc520212663" w:history="1">
        <w:r w:rsidR="0014173B" w:rsidRPr="003E163E">
          <w:rPr>
            <w:rStyle w:val="Collegamentoipertestuale"/>
            <w:noProof/>
          </w:rPr>
          <w:t>Table 5-38</w:t>
        </w:r>
        <w:r w:rsidR="009462D2">
          <w:rPr>
            <w:rStyle w:val="Collegamentoipertestuale"/>
            <w:noProof/>
          </w:rPr>
          <w:t>.</w:t>
        </w:r>
        <w:r w:rsidR="0014173B" w:rsidRPr="003E163E">
          <w:rPr>
            <w:rStyle w:val="Collegamentoipertestuale"/>
            <w:noProof/>
          </w:rPr>
          <w:t xml:space="preserve"> Lid occurrence, Far-East</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_Toc520212663 \h </w:instrText>
        </w:r>
        <w:r w:rsidR="0014173B">
          <w:rPr>
            <w:noProof/>
            <w:webHidden/>
          </w:rPr>
        </w:r>
        <w:r w:rsidR="0014173B">
          <w:rPr>
            <w:noProof/>
            <w:webHidden/>
          </w:rPr>
          <w:fldChar w:fldCharType="separate"/>
        </w:r>
        <w:r w:rsidR="00940F6A">
          <w:rPr>
            <w:noProof/>
            <w:webHidden/>
          </w:rPr>
          <w:t>35</w:t>
        </w:r>
        <w:r w:rsidR="00124E26">
          <w:rPr>
            <w:noProof/>
            <w:webHidden/>
          </w:rPr>
          <w:t>3</w:t>
        </w:r>
        <w:r w:rsidR="0014173B">
          <w:rPr>
            <w:noProof/>
            <w:webHidden/>
          </w:rPr>
          <w:fldChar w:fldCharType="end"/>
        </w:r>
      </w:hyperlink>
    </w:p>
    <w:p w14:paraId="30ABF0F3" w14:textId="1099F7FE" w:rsidR="0014173B" w:rsidRDefault="00874C0C">
      <w:pPr>
        <w:pStyle w:val="Indicedellefigure"/>
        <w:tabs>
          <w:tab w:val="right" w:leader="dot" w:pos="8488"/>
        </w:tabs>
        <w:rPr>
          <w:rFonts w:asciiTheme="minorHAnsi" w:hAnsiTheme="minorHAnsi" w:cstheme="minorBidi"/>
          <w:noProof/>
          <w:szCs w:val="22"/>
          <w:lang w:eastAsia="en-GB"/>
        </w:rPr>
      </w:pPr>
      <w:hyperlink w:anchor="_Toc520212664" w:history="1">
        <w:r w:rsidR="0014173B" w:rsidRPr="003E163E">
          <w:rPr>
            <w:rStyle w:val="Collegamentoipertestuale"/>
            <w:noProof/>
          </w:rPr>
          <w:t>Table 5-39</w:t>
        </w:r>
        <w:r w:rsidR="009462D2">
          <w:rPr>
            <w:rStyle w:val="Collegamentoipertestuale"/>
            <w:noProof/>
          </w:rPr>
          <w:t>.</w:t>
        </w:r>
        <w:r w:rsidR="0014173B" w:rsidRPr="003E163E">
          <w:rPr>
            <w:rStyle w:val="Collegamentoipertestuale"/>
            <w:noProof/>
          </w:rPr>
          <w:t xml:space="preserve"> Feet occurrence, Far-East</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_Toc520212664 \h </w:instrText>
        </w:r>
        <w:r w:rsidR="0014173B">
          <w:rPr>
            <w:noProof/>
            <w:webHidden/>
          </w:rPr>
        </w:r>
        <w:r w:rsidR="0014173B">
          <w:rPr>
            <w:noProof/>
            <w:webHidden/>
          </w:rPr>
          <w:fldChar w:fldCharType="separate"/>
        </w:r>
        <w:r w:rsidR="00940F6A">
          <w:rPr>
            <w:noProof/>
            <w:webHidden/>
          </w:rPr>
          <w:t>35</w:t>
        </w:r>
        <w:r w:rsidR="00124E26">
          <w:rPr>
            <w:noProof/>
            <w:webHidden/>
          </w:rPr>
          <w:t>3</w:t>
        </w:r>
        <w:r w:rsidR="0014173B">
          <w:rPr>
            <w:noProof/>
            <w:webHidden/>
          </w:rPr>
          <w:fldChar w:fldCharType="end"/>
        </w:r>
      </w:hyperlink>
    </w:p>
    <w:p w14:paraId="4F477551" w14:textId="7DCB9406" w:rsidR="0014173B" w:rsidRDefault="00874C0C">
      <w:pPr>
        <w:pStyle w:val="Indicedellefigure"/>
        <w:tabs>
          <w:tab w:val="right" w:leader="dot" w:pos="8488"/>
        </w:tabs>
        <w:rPr>
          <w:rFonts w:asciiTheme="minorHAnsi" w:hAnsiTheme="minorHAnsi" w:cstheme="minorBidi"/>
          <w:noProof/>
          <w:szCs w:val="22"/>
          <w:lang w:eastAsia="en-GB"/>
        </w:rPr>
      </w:pPr>
      <w:hyperlink w:anchor="_Toc520212665" w:history="1">
        <w:r w:rsidR="0014173B" w:rsidRPr="003E163E">
          <w:rPr>
            <w:rStyle w:val="Collegamentoipertestuale"/>
            <w:noProof/>
          </w:rPr>
          <w:t>Table 5-40</w:t>
        </w:r>
        <w:r w:rsidR="009462D2">
          <w:rPr>
            <w:rStyle w:val="Collegamentoipertestuale"/>
            <w:noProof/>
          </w:rPr>
          <w:t>.</w:t>
        </w:r>
        <w:r w:rsidR="0014173B" w:rsidRPr="003E163E">
          <w:rPr>
            <w:rStyle w:val="Collegamentoipertestuale"/>
            <w:noProof/>
          </w:rPr>
          <w:t xml:space="preserve"> Handles or holes, Far-East</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_Toc520212665 \h </w:instrText>
        </w:r>
        <w:r w:rsidR="0014173B">
          <w:rPr>
            <w:noProof/>
            <w:webHidden/>
          </w:rPr>
        </w:r>
        <w:r w:rsidR="0014173B">
          <w:rPr>
            <w:noProof/>
            <w:webHidden/>
          </w:rPr>
          <w:fldChar w:fldCharType="separate"/>
        </w:r>
        <w:r w:rsidR="00940F6A">
          <w:rPr>
            <w:noProof/>
            <w:webHidden/>
          </w:rPr>
          <w:t>35</w:t>
        </w:r>
        <w:r w:rsidR="00124E26">
          <w:rPr>
            <w:noProof/>
            <w:webHidden/>
          </w:rPr>
          <w:t>4</w:t>
        </w:r>
        <w:r w:rsidR="0014173B">
          <w:rPr>
            <w:noProof/>
            <w:webHidden/>
          </w:rPr>
          <w:fldChar w:fldCharType="end"/>
        </w:r>
      </w:hyperlink>
    </w:p>
    <w:p w14:paraId="036C7281" w14:textId="05FAB8B2" w:rsidR="0014173B" w:rsidRDefault="00874C0C">
      <w:pPr>
        <w:pStyle w:val="Indicedellefigure"/>
        <w:tabs>
          <w:tab w:val="right" w:leader="dot" w:pos="8488"/>
        </w:tabs>
        <w:rPr>
          <w:rFonts w:asciiTheme="minorHAnsi" w:hAnsiTheme="minorHAnsi" w:cstheme="minorBidi"/>
          <w:noProof/>
          <w:szCs w:val="22"/>
          <w:lang w:eastAsia="en-GB"/>
        </w:rPr>
      </w:pPr>
      <w:hyperlink w:anchor="_Toc520212666" w:history="1">
        <w:r w:rsidR="0014173B" w:rsidRPr="003E163E">
          <w:rPr>
            <w:rStyle w:val="Collegamentoipertestuale"/>
            <w:noProof/>
          </w:rPr>
          <w:t xml:space="preserve">Table 5-41 </w:t>
        </w:r>
        <w:r w:rsidR="009462D2">
          <w:rPr>
            <w:rStyle w:val="Collegamentoipertestuale"/>
            <w:noProof/>
          </w:rPr>
          <w:t>.</w:t>
        </w:r>
        <w:r w:rsidR="0014173B" w:rsidRPr="003E163E">
          <w:rPr>
            <w:rStyle w:val="Collegamentoipertestuale"/>
            <w:noProof/>
          </w:rPr>
          <w:t>Panels, Far-East</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_Toc520212666 \h </w:instrText>
        </w:r>
        <w:r w:rsidR="0014173B">
          <w:rPr>
            <w:noProof/>
            <w:webHidden/>
          </w:rPr>
        </w:r>
        <w:r w:rsidR="0014173B">
          <w:rPr>
            <w:noProof/>
            <w:webHidden/>
          </w:rPr>
          <w:fldChar w:fldCharType="separate"/>
        </w:r>
        <w:r w:rsidR="00940F6A">
          <w:rPr>
            <w:noProof/>
            <w:webHidden/>
          </w:rPr>
          <w:t>35</w:t>
        </w:r>
        <w:r w:rsidR="00124E26">
          <w:rPr>
            <w:noProof/>
            <w:webHidden/>
          </w:rPr>
          <w:t>4</w:t>
        </w:r>
        <w:r w:rsidR="0014173B">
          <w:rPr>
            <w:noProof/>
            <w:webHidden/>
          </w:rPr>
          <w:fldChar w:fldCharType="end"/>
        </w:r>
      </w:hyperlink>
    </w:p>
    <w:p w14:paraId="72717CAD" w14:textId="7E8C4AB8" w:rsidR="0014173B" w:rsidRDefault="00874C0C">
      <w:pPr>
        <w:pStyle w:val="Indicedellefigure"/>
        <w:tabs>
          <w:tab w:val="right" w:leader="dot" w:pos="8488"/>
        </w:tabs>
        <w:rPr>
          <w:rFonts w:asciiTheme="minorHAnsi" w:hAnsiTheme="minorHAnsi" w:cstheme="minorBidi"/>
          <w:noProof/>
          <w:szCs w:val="22"/>
          <w:lang w:eastAsia="en-GB"/>
        </w:rPr>
      </w:pPr>
      <w:hyperlink w:anchor="_Toc520212667" w:history="1">
        <w:r w:rsidR="0014173B" w:rsidRPr="003E163E">
          <w:rPr>
            <w:rStyle w:val="Collegamentoipertestuale"/>
            <w:noProof/>
          </w:rPr>
          <w:t>Table 5-42</w:t>
        </w:r>
        <w:r w:rsidR="009462D2">
          <w:rPr>
            <w:rStyle w:val="Collegamentoipertestuale"/>
            <w:noProof/>
          </w:rPr>
          <w:t>.</w:t>
        </w:r>
        <w:r w:rsidR="0014173B" w:rsidRPr="003E163E">
          <w:rPr>
            <w:rStyle w:val="Collegamentoipertestuale"/>
            <w:noProof/>
          </w:rPr>
          <w:t xml:space="preserve"> Decoration, Far-East</w:t>
        </w:r>
        <w:r w:rsidR="000E0FFE">
          <w:rPr>
            <w:rStyle w:val="Collegamentoipertestuale"/>
            <w:noProof/>
          </w:rPr>
          <w:t xml:space="preserve"> area</w:t>
        </w:r>
        <w:r w:rsidR="0014173B">
          <w:rPr>
            <w:noProof/>
            <w:webHidden/>
          </w:rPr>
          <w:tab/>
        </w:r>
        <w:r w:rsidR="0014173B">
          <w:rPr>
            <w:noProof/>
            <w:webHidden/>
          </w:rPr>
          <w:fldChar w:fldCharType="begin"/>
        </w:r>
        <w:r w:rsidR="0014173B">
          <w:rPr>
            <w:noProof/>
            <w:webHidden/>
          </w:rPr>
          <w:instrText xml:space="preserve"> PAGEREF _Toc520212667 \h </w:instrText>
        </w:r>
        <w:r w:rsidR="0014173B">
          <w:rPr>
            <w:noProof/>
            <w:webHidden/>
          </w:rPr>
        </w:r>
        <w:r w:rsidR="0014173B">
          <w:rPr>
            <w:noProof/>
            <w:webHidden/>
          </w:rPr>
          <w:fldChar w:fldCharType="separate"/>
        </w:r>
        <w:r w:rsidR="00940F6A">
          <w:rPr>
            <w:noProof/>
            <w:webHidden/>
          </w:rPr>
          <w:t>35</w:t>
        </w:r>
        <w:r w:rsidR="00124E26">
          <w:rPr>
            <w:noProof/>
            <w:webHidden/>
          </w:rPr>
          <w:t>5</w:t>
        </w:r>
        <w:r w:rsidR="0014173B">
          <w:rPr>
            <w:noProof/>
            <w:webHidden/>
          </w:rPr>
          <w:fldChar w:fldCharType="end"/>
        </w:r>
      </w:hyperlink>
    </w:p>
    <w:p w14:paraId="2A10C6E0" w14:textId="00C9821E" w:rsidR="00ED770B" w:rsidRDefault="004B6F6C" w:rsidP="00E858EF">
      <w:pPr>
        <w:suppressAutoHyphens/>
      </w:pPr>
      <w:r>
        <w:rPr>
          <w:sz w:val="22"/>
        </w:rPr>
        <w:fldChar w:fldCharType="end"/>
      </w:r>
    </w:p>
    <w:p w14:paraId="60AA523E" w14:textId="77777777" w:rsidR="00ED770B" w:rsidRDefault="00ED770B" w:rsidP="00E858EF">
      <w:pPr>
        <w:suppressAutoHyphens/>
      </w:pPr>
    </w:p>
    <w:p w14:paraId="3C2D40F8" w14:textId="65BAB261" w:rsidR="0014173B" w:rsidRDefault="0014173B">
      <w:pPr>
        <w:widowControl/>
        <w:spacing w:line="240" w:lineRule="auto"/>
        <w:contextualSpacing w:val="0"/>
        <w:jc w:val="left"/>
      </w:pPr>
      <w:r>
        <w:br w:type="page"/>
      </w:r>
    </w:p>
    <w:p w14:paraId="465A25E1" w14:textId="77777777" w:rsidR="00F138BF" w:rsidRPr="00F138BF" w:rsidRDefault="00F138BF" w:rsidP="00E858EF">
      <w:pPr>
        <w:suppressAutoHyphens/>
      </w:pPr>
    </w:p>
    <w:p w14:paraId="3E7D3545" w14:textId="588E933C" w:rsidR="00ED770B" w:rsidRPr="00FA2795" w:rsidRDefault="00EF451A" w:rsidP="00E858EF">
      <w:pPr>
        <w:pStyle w:val="Titolo1"/>
        <w:keepNext w:val="0"/>
        <w:keepLines w:val="0"/>
        <w:suppressAutoHyphens/>
      </w:pPr>
      <w:bookmarkStart w:id="7" w:name="_Toc519894585"/>
      <w:r w:rsidRPr="00FA2795">
        <w:t>INTRODUCTION</w:t>
      </w:r>
      <w:bookmarkEnd w:id="7"/>
    </w:p>
    <w:p w14:paraId="6471659E" w14:textId="77777777" w:rsidR="00ED770B" w:rsidRPr="00FA2795" w:rsidRDefault="00ED770B" w:rsidP="00E858EF">
      <w:pPr>
        <w:suppressAutoHyphens/>
      </w:pPr>
      <w:r w:rsidRPr="00FA2795">
        <w:t xml:space="preserve">The term </w:t>
      </w:r>
      <w:r w:rsidRPr="00FA2795">
        <w:rPr>
          <w:i/>
        </w:rPr>
        <w:t>larnax</w:t>
      </w:r>
      <w:r w:rsidRPr="00FA2795">
        <w:t xml:space="preserve"> refers to a receptacle made of clay used in Crete and in mainland Greece in the Bronze Age. In the vast majority of cases, a larnax is one </w:t>
      </w:r>
      <w:r>
        <w:t>type</w:t>
      </w:r>
      <w:r w:rsidRPr="00FA2795">
        <w:t xml:space="preserve"> of coffin used for burial purposes in these two areas of the Aegean during the third and second millennium B.C.</w:t>
      </w:r>
    </w:p>
    <w:p w14:paraId="6D543829" w14:textId="3FF99286" w:rsidR="00ED770B" w:rsidRPr="00FA2795" w:rsidRDefault="00ED770B" w:rsidP="00E858EF">
      <w:pPr>
        <w:suppressAutoHyphens/>
        <w:ind w:firstLine="708"/>
      </w:pPr>
      <w:r w:rsidRPr="00FA2795">
        <w:t>Since the first larnax discoveries, the study of larnakes and the study of tombs with larnakes have been separate areas of interest. Publications have been concerned either with the interpretation of individual aspects of larnakes (e.g. origin or iconography) or with information regarding the burial contexts (</w:t>
      </w:r>
      <w:r w:rsidR="00611407">
        <w:t>L</w:t>
      </w:r>
      <w:r w:rsidRPr="00FA2795">
        <w:t>ate Minoan III burials, LM III). Currently, with the exception of Laura Preston’s study on LM III</w:t>
      </w:r>
      <w:r w:rsidR="00611407">
        <w:t xml:space="preserve"> larnax</w:t>
      </w:r>
      <w:r w:rsidRPr="00FA2795">
        <w:t xml:space="preserve"> burial</w:t>
      </w:r>
      <w:r w:rsidR="00611407">
        <w:t>s</w:t>
      </w:r>
      <w:r w:rsidRPr="00FA2795">
        <w:t xml:space="preserve"> (Preston 2004b), no research has adopted a comprehensive contextual approach considering larnakes and their contexts as complementary and indivisible aspects of a single study.</w:t>
      </w:r>
      <w:r w:rsidR="00652FF8">
        <w:t xml:space="preserve"> Therefore a review of all the evidence is needed since the last synthesis of all larnakes in Bronze Age Greece </w:t>
      </w:r>
      <w:r w:rsidR="00E26E58">
        <w:t>wa</w:t>
      </w:r>
      <w:r w:rsidR="00652FF8">
        <w:t>s that by Rutkowski (1966,1968).</w:t>
      </w:r>
    </w:p>
    <w:p w14:paraId="52FB6DF6" w14:textId="456A9DFE" w:rsidR="00ED770B" w:rsidRPr="00FA2795" w:rsidRDefault="00ED770B" w:rsidP="00E858EF">
      <w:pPr>
        <w:suppressAutoHyphens/>
        <w:ind w:firstLine="708"/>
      </w:pPr>
      <w:r w:rsidRPr="00FA2795">
        <w:t>The main aim of my research is to fill this gap and study larnakes within their burial contexts, considering their central role in funeral ceremonies. This approach means choosing the material evidence of burials related to the larnax and analysing how they functioned together in the same context. The focus of this research, therefore, is not the study of the items as such, but rather the study of the relationship between the objects and human actions (</w:t>
      </w:r>
      <w:r>
        <w:t>cf., e.g.,</w:t>
      </w:r>
      <w:r w:rsidR="00E26E58">
        <w:t xml:space="preserve"> </w:t>
      </w:r>
      <w:r w:rsidRPr="00FA2795">
        <w:t xml:space="preserve">Gell 1998). </w:t>
      </w:r>
    </w:p>
    <w:p w14:paraId="12B653F5" w14:textId="77777777" w:rsidR="00ED770B" w:rsidRPr="00FA2795" w:rsidRDefault="00ED770B" w:rsidP="00E858EF">
      <w:pPr>
        <w:suppressAutoHyphens/>
        <w:ind w:firstLine="708"/>
      </w:pPr>
      <w:r w:rsidRPr="00FA2795">
        <w:t>Regarding the area considered in this research, this study only focuses on the island of Crete, although larnax burials have been found elsewhere in mainland Greece (for an overview of the use of coffins in wood and clay in the LH III in this area, see Phialon and Farruggio 2005: 227-254; only one tomb with a larnax burial has been found at Karpathos, see Zachariadou 1978: 249-295, pl. 68-83). This focus is because the adoption of larnakes as burial receptacles represents a general phenomenon in Crete, whereas elsewhere in Greece it is only limited to single cemeteries. Consequently, to examine the features of larnax adoption outside Crete, it is necessary to have a clear perspective of what is happening within Crete.</w:t>
      </w:r>
    </w:p>
    <w:p w14:paraId="77BF8C75" w14:textId="6731F6F4" w:rsidR="00ED770B" w:rsidRDefault="00ED770B" w:rsidP="00E858EF">
      <w:pPr>
        <w:suppressAutoHyphens/>
        <w:ind w:firstLine="708"/>
      </w:pPr>
      <w:r w:rsidRPr="00FA2795">
        <w:t>As pointed out in previous</w:t>
      </w:r>
      <w:r>
        <w:t xml:space="preserve"> </w:t>
      </w:r>
      <w:r w:rsidRPr="00FA2795">
        <w:t xml:space="preserve">contextual studies concerning burials (i.e. Preston 2000; Legarra Herrero 2014), both individual burial aspects and the way in which such </w:t>
      </w:r>
      <w:r w:rsidRPr="00FA2795">
        <w:lastRenderedPageBreak/>
        <w:t>aspects are related vary, especially in terms of space and time. Particularly in LM III Crete, the identification and interpretation of these variations (e.g. types of tomb adopted, interment typology adopted, grave goods assemblage composition, internal variation concerning larnax morphology and iconography) are significant for detecting status competition active within the burial arena in LM III Crete. Thus, a contextual study of larnakes is fundamental to understanding</w:t>
      </w:r>
      <w:r>
        <w:t xml:space="preserve"> how</w:t>
      </w:r>
      <w:r w:rsidRPr="00FA2795">
        <w:t xml:space="preserve"> elites were competing through burials (either on a local/regional scale or on a larger Cretan scale), as following the collapse of central Knossian power there was competition to fill this gap and gain control of a local area, a region, or on a </w:t>
      </w:r>
      <w:r>
        <w:t>larger Cretan scale (as we also see from evidence from other social arena in addition to burials, i.e. for example at Agia Triada with the construction of the north sector, a sort of socio</w:t>
      </w:r>
      <w:r w:rsidR="00611407">
        <w:t>-</w:t>
      </w:r>
      <w:r>
        <w:t>economi</w:t>
      </w:r>
      <w:r w:rsidR="00611407">
        <w:t>c</w:t>
      </w:r>
      <w:r>
        <w:t xml:space="preserve"> centre, and at Kommos with the development of the port; for a summary and further evidence from other regions see Langohr</w:t>
      </w:r>
      <w:r w:rsidR="00611407">
        <w:t xml:space="preserve"> 2009</w:t>
      </w:r>
      <w:r>
        <w:t>: 219-233; Shelmerdine 2005:134; Preston 2004a: 337).</w:t>
      </w:r>
    </w:p>
    <w:p w14:paraId="373D915D" w14:textId="10E9ACB4" w:rsidR="005B39B9" w:rsidRPr="00FA2795" w:rsidRDefault="0046317F" w:rsidP="00E858EF">
      <w:pPr>
        <w:suppressAutoHyphens/>
        <w:ind w:firstLine="708"/>
      </w:pPr>
      <w:r>
        <w:t xml:space="preserve">The dating for the demise of Knossos </w:t>
      </w:r>
      <w:r w:rsidR="00D15B35">
        <w:t>that is followed in this work is LM IIIA2. However</w:t>
      </w:r>
      <w:r w:rsidR="00E26E58">
        <w:t>,</w:t>
      </w:r>
      <w:r w:rsidR="00D15B35">
        <w:t xml:space="preserve"> the timing of the d</w:t>
      </w:r>
      <w:r w:rsidR="00E26E58">
        <w:t>e</w:t>
      </w:r>
      <w:r w:rsidR="00D15B35">
        <w:t xml:space="preserve">struction of the Knossian archives and </w:t>
      </w:r>
      <w:r w:rsidR="00A420DB">
        <w:t xml:space="preserve">hence Knossos central hegemony </w:t>
      </w:r>
      <w:r w:rsidR="00166FCC">
        <w:t>is contentious</w:t>
      </w:r>
      <w:r w:rsidR="00A50B1F">
        <w:t xml:space="preserve"> </w:t>
      </w:r>
      <w:r w:rsidR="009339C5">
        <w:t>(c</w:t>
      </w:r>
      <w:r w:rsidR="00F21160">
        <w:t>f. Preston 2000:</w:t>
      </w:r>
      <w:r w:rsidR="009339C5">
        <w:t xml:space="preserve"> 33-37).</w:t>
      </w:r>
    </w:p>
    <w:p w14:paraId="0A7C5606" w14:textId="77777777" w:rsidR="00ED770B" w:rsidRPr="00FA2795" w:rsidRDefault="00ED770B" w:rsidP="00E858EF">
      <w:pPr>
        <w:suppressAutoHyphens/>
        <w:ind w:firstLine="708"/>
      </w:pPr>
      <w:r w:rsidRPr="00FA2795">
        <w:t xml:space="preserve">Therefore, the contextual study of larnakes proposed in the present thesis follows a regional distribution in Crete to understand if and how these variations were homogenous, whether they changed within a region, or whether, instead, they </w:t>
      </w:r>
      <w:r>
        <w:t>were the result of different historical circumstances</w:t>
      </w:r>
      <w:r w:rsidRPr="00FA2795">
        <w:t xml:space="preserve"> or socio-political changes. </w:t>
      </w:r>
    </w:p>
    <w:p w14:paraId="5EFCDED9" w14:textId="77777777" w:rsidR="00ED770B" w:rsidRPr="00FA2795" w:rsidRDefault="00ED770B" w:rsidP="00E858EF">
      <w:pPr>
        <w:pStyle w:val="Titolo2"/>
        <w:keepNext w:val="0"/>
        <w:keepLines w:val="0"/>
        <w:tabs>
          <w:tab w:val="clear" w:pos="709"/>
          <w:tab w:val="num" w:pos="1080"/>
        </w:tabs>
        <w:suppressAutoHyphens/>
        <w:ind w:left="1080" w:hanging="1080"/>
      </w:pPr>
      <w:bookmarkStart w:id="8" w:name="_Toc519894586"/>
      <w:r w:rsidRPr="00FA2795">
        <w:t>Why larnakes?</w:t>
      </w:r>
      <w:bookmarkEnd w:id="8"/>
      <w:r w:rsidRPr="00FA2795">
        <w:t xml:space="preserve"> </w:t>
      </w:r>
    </w:p>
    <w:p w14:paraId="25FE0D4A" w14:textId="0ABBD952" w:rsidR="00ED770B" w:rsidRPr="00FA2795" w:rsidRDefault="00ED770B" w:rsidP="00E858EF">
      <w:pPr>
        <w:suppressAutoHyphens/>
      </w:pPr>
      <w:r w:rsidRPr="00FA2795">
        <w:t xml:space="preserve">The central focus of the present study is clay larnakes. A larnax is an artefact that had a central role in the context of funeral and burial activities and ceremonies. Unlike the vast majority of grave goods, larnakes were not objects </w:t>
      </w:r>
      <w:r w:rsidR="000C48AD">
        <w:t>used</w:t>
      </w:r>
      <w:r w:rsidR="00927E02">
        <w:t xml:space="preserve"> and reused</w:t>
      </w:r>
      <w:r w:rsidRPr="00FA2795">
        <w:t xml:space="preserve"> everyday and </w:t>
      </w:r>
      <w:r w:rsidR="00927E02">
        <w:t xml:space="preserve">then </w:t>
      </w:r>
      <w:r w:rsidRPr="00FA2795">
        <w:t xml:space="preserve">sacrificed in a burial context: on the contrary, they were made to be displayed in the funerary ritual and very few larnakes have been found in a non-funerary context. Therefore, the resources and effort spent on a larnax (e.g. </w:t>
      </w:r>
      <w:r w:rsidR="00927E02">
        <w:t xml:space="preserve">in </w:t>
      </w:r>
      <w:r w:rsidRPr="00FA2795">
        <w:t>shaping and firing and decorating) were expressly aimed at its funerary use.</w:t>
      </w:r>
    </w:p>
    <w:p w14:paraId="1E509D49" w14:textId="77777777" w:rsidR="00ED770B" w:rsidRPr="00FA2795" w:rsidRDefault="00ED770B" w:rsidP="00E858EF">
      <w:pPr>
        <w:suppressAutoHyphens/>
        <w:ind w:firstLine="708"/>
      </w:pPr>
      <w:r w:rsidRPr="00FA2795">
        <w:t xml:space="preserve">All the material evidence in a burial context, including larnakes, would have been chosen and displayed by the living, and the message conveyed through them was supposed to be understood by them (Parker Pearson 1998). This means that what was performed and displayed during the funeral and within the burial would not have been necessarily the reflection of the self-perception of the deceased or reflecting reality </w:t>
      </w:r>
      <w:r w:rsidRPr="00FA2795">
        <w:lastRenderedPageBreak/>
        <w:t>(H</w:t>
      </w:r>
      <w:r w:rsidRPr="00FA2795">
        <w:rPr>
          <w:lang w:val="de-DE"/>
        </w:rPr>
        <w:t xml:space="preserve">ärker </w:t>
      </w:r>
      <w:r w:rsidRPr="00FA2795">
        <w:t>1997: 25; Parker Pearson 1998; Papadopoulou 2017: 132). Instead, the meaning could have been influenced or transformed by the people mourning the deceased. Therefore, within the burial sphere, the identity of the deceased could have been transformed and instrumentally used by the living to re-negotiate their social position within a group, such as the family or the community (Barrett 1988: 31). Therefore, the purpose of studying larnakes and burials is not to detect the social status of the dead, as tombs were not the mirror of reality, but the image that the living wished to achieve through the burial.</w:t>
      </w:r>
    </w:p>
    <w:p w14:paraId="15AEC55A" w14:textId="77777777" w:rsidR="00ED770B" w:rsidRPr="00FA2795" w:rsidRDefault="00ED770B" w:rsidP="00E858EF">
      <w:pPr>
        <w:suppressAutoHyphens/>
        <w:ind w:firstLine="708"/>
      </w:pPr>
      <w:r w:rsidRPr="00FA2795">
        <w:t>Rather than focusing on a larnax as an object carrying a series of meanings linked to the dead and burials, such as afterlife beliefs, and studying it to identify and interpret them, this study aims to identify the role that larnakes performed within the funerary context and if and how</w:t>
      </w:r>
      <w:r>
        <w:t xml:space="preserve"> the related</w:t>
      </w:r>
      <w:r w:rsidRPr="00FA2795">
        <w:t xml:space="preserve"> patterns connected larnakes with their contexts.</w:t>
      </w:r>
    </w:p>
    <w:p w14:paraId="6CD5BA46" w14:textId="15D67A08" w:rsidR="00ED770B" w:rsidRPr="00FA2795" w:rsidRDefault="00ED770B" w:rsidP="00E858EF">
      <w:pPr>
        <w:suppressAutoHyphens/>
        <w:ind w:firstLine="708"/>
      </w:pPr>
      <w:r w:rsidRPr="00FA2795">
        <w:t>A larnax, as a burial receptacle, is the closest object to the deceased body. Therefore, studying larnakes helps to clarify whether there was a relationship between the larnax and the</w:t>
      </w:r>
      <w:r>
        <w:t xml:space="preserve"> community of the living</w:t>
      </w:r>
      <w:r w:rsidRPr="00FA2795">
        <w:t>, and, if so, what that relationship was. LM III larnax burials seem to be used more often for single burial depositions, for example at Mochlos Limenaria (Triantaphyllou 2011: 15). However, within the same period, there were different ways of using a larnax. Even if larnakes were used for single individual burials, they were often reused through the manipulation of the initial deposition and secondary deposition practices (Nafplioti 2015: 277-278). This means that a larnax could, in some cases, have been chosen specifically for a single individual, and in other cases it would be suitable for hosting the bodies of other individuals (secondary multiple burials) who had a possible relationship, in the same family or group, with the first individual deposited within the larnax.</w:t>
      </w:r>
    </w:p>
    <w:p w14:paraId="5E58128D" w14:textId="0C97B37B" w:rsidR="00ED770B" w:rsidRDefault="00ED770B" w:rsidP="00E858EF">
      <w:pPr>
        <w:suppressAutoHyphens/>
        <w:ind w:firstLine="708"/>
      </w:pPr>
      <w:r w:rsidRPr="00FA2795">
        <w:t>Clay larnakes were not the only deposition method adopted in LM III burials, neither were they the only burial receptacle. The reason for focusing exclusively on clay larnakes is to understand whether</w:t>
      </w:r>
      <w:r>
        <w:t xml:space="preserve"> they represent a distinct</w:t>
      </w:r>
      <w:r w:rsidRPr="00FA2795">
        <w:t xml:space="preserve"> and coherent category of burial receptacle and to examine whether the patterns that characterise their adoption are different from those of other burial receptacles, such as wooden biers/chests and pithoi, that were adopted at the same time and in the same macro-geographical unit (Crete). Furthermore, analysing the different</w:t>
      </w:r>
      <w:r>
        <w:t xml:space="preserve"> contextual</w:t>
      </w:r>
      <w:r w:rsidRPr="00FA2795">
        <w:t xml:space="preserve"> aspects of larnax adoption could provide information about other receptacles, exploring the purpose of adopting a larnax rather than a pithos or a wooden bier/chest, and understanding whether it is </w:t>
      </w:r>
      <w:r w:rsidRPr="00FA2795">
        <w:lastRenderedPageBreak/>
        <w:t>possible to reconstruct a relationship between them, such as geographical or chronological differentiation or different social representation.</w:t>
      </w:r>
    </w:p>
    <w:p w14:paraId="73CCA6A0" w14:textId="73BD5F6E" w:rsidR="00ED770B" w:rsidRPr="00FA2795" w:rsidRDefault="00ED770B" w:rsidP="00AD5BCB">
      <w:pPr>
        <w:pStyle w:val="Titolo2"/>
      </w:pPr>
      <w:bookmarkStart w:id="9" w:name="_Toc519894587"/>
      <w:r w:rsidRPr="00FA2795">
        <w:t xml:space="preserve">Why </w:t>
      </w:r>
      <w:r w:rsidR="00AD5BCB">
        <w:t xml:space="preserve">conduct </w:t>
      </w:r>
      <w:r w:rsidRPr="00FA2795">
        <w:t>a contextual analysis of LM III burials with larnakes?</w:t>
      </w:r>
      <w:bookmarkEnd w:id="9"/>
    </w:p>
    <w:p w14:paraId="0D214E8D" w14:textId="77777777" w:rsidR="00ED770B" w:rsidRPr="00FA2795" w:rsidRDefault="00ED770B" w:rsidP="00E858EF">
      <w:pPr>
        <w:suppressAutoHyphens/>
      </w:pPr>
      <w:r w:rsidRPr="00FA2795">
        <w:t xml:space="preserve">To reconstruct how a larnax was used in funerary and other activities performed within the burial and to understand what its role was, it is fundamental to consider and analyse larnakes not by themselves, but in relation to other selected material evidence from the burial context. In fact, it is not possible to attribute to the larnax a meaning and a role by itself, because this changes according to the context in which it was used (Hodder 1982, 1987). Consequently, the present study shifts from focusing on the items themselves to their context. That means analysing the contextual association of material and structures to detect the actions that were performed (D’Agata and De Angelis 2016: 213; Papadopoulou 2017: 133). </w:t>
      </w:r>
    </w:p>
    <w:p w14:paraId="12E26F7F" w14:textId="77777777" w:rsidR="00ED770B" w:rsidRPr="00FA2795" w:rsidRDefault="00ED770B" w:rsidP="00E858EF">
      <w:pPr>
        <w:suppressAutoHyphens/>
        <w:ind w:firstLine="708"/>
      </w:pPr>
      <w:r w:rsidRPr="00FA2795">
        <w:t>Why a contextual study of burials with larnakes from LM III Crete? Why were they important for LM III Crete?</w:t>
      </w:r>
    </w:p>
    <w:p w14:paraId="7DD89B4E" w14:textId="77777777" w:rsidR="00ED770B" w:rsidRPr="00FA2795" w:rsidRDefault="00ED770B" w:rsidP="00E858EF">
      <w:pPr>
        <w:suppressAutoHyphens/>
        <w:ind w:firstLine="708"/>
      </w:pPr>
      <w:r w:rsidRPr="00FA2795">
        <w:t xml:space="preserve">Larnakes, along with other types of coffins such as pithoi, had been adopted as burial receptacles in Crete since the pre-palatial phase (Preston 2004b: 179-181). However, the LM III phase corresponds to a peak in terms of the popularity of burial receptacle adoption in Crete, with different types of coffin </w:t>
      </w:r>
      <w:r>
        <w:t>located in cemeteries all over</w:t>
      </w:r>
      <w:r w:rsidRPr="00FA2795">
        <w:t xml:space="preserve"> the island (Preston 2004b: 182). Furthermore, for this phase,</w:t>
      </w:r>
      <w:r>
        <w:t xml:space="preserve"> it is possible to observe</w:t>
      </w:r>
      <w:r w:rsidRPr="00FA2795">
        <w:t xml:space="preserve"> a significant variety of coffin typologies (Figure 1.1)</w:t>
      </w:r>
    </w:p>
    <w:p w14:paraId="79CAFABD" w14:textId="77777777" w:rsidR="00ED770B" w:rsidRPr="00FA2795" w:rsidRDefault="00ED770B" w:rsidP="00E858EF">
      <w:pPr>
        <w:pStyle w:val="Paragrafoelenco"/>
        <w:suppressAutoHyphens/>
      </w:pPr>
      <w:r w:rsidRPr="00FA2795">
        <w:rPr>
          <w:noProof/>
          <w:lang w:val="it-IT"/>
        </w:rPr>
        <w:lastRenderedPageBreak/>
        <w:drawing>
          <wp:inline distT="0" distB="0" distL="0" distR="0" wp14:anchorId="6C77270F" wp14:editId="32226CE7">
            <wp:extent cx="4687933" cy="5869253"/>
            <wp:effectExtent l="0" t="0" r="11430" b="0"/>
            <wp:docPr id="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89108" cy="5870725"/>
                    </a:xfrm>
                    <a:prstGeom prst="rect">
                      <a:avLst/>
                    </a:prstGeom>
                    <a:noFill/>
                    <a:ln>
                      <a:noFill/>
                    </a:ln>
                  </pic:spPr>
                </pic:pic>
              </a:graphicData>
            </a:graphic>
          </wp:inline>
        </w:drawing>
      </w:r>
    </w:p>
    <w:p w14:paraId="7B022B27" w14:textId="77777777" w:rsidR="00ED770B" w:rsidRPr="00ED770B" w:rsidRDefault="00ED770B" w:rsidP="00E858EF">
      <w:pPr>
        <w:pStyle w:val="Didascalia"/>
        <w:suppressAutoHyphens/>
      </w:pPr>
      <w:bookmarkStart w:id="10" w:name="_Toc520212279"/>
      <w:r w:rsidRPr="00ED770B">
        <w:t>Figure 1.1. Chronological distribution of coffin types (Source: Preston 2004b: Table 1)</w:t>
      </w:r>
      <w:bookmarkEnd w:id="10"/>
    </w:p>
    <w:p w14:paraId="1D3E792C" w14:textId="77777777" w:rsidR="00ED770B" w:rsidRPr="00FA2795" w:rsidRDefault="00ED770B" w:rsidP="00E858EF">
      <w:pPr>
        <w:pStyle w:val="Paragrafoelenco"/>
        <w:suppressAutoHyphens/>
      </w:pPr>
    </w:p>
    <w:p w14:paraId="00BB4629" w14:textId="77777777" w:rsidR="00ED770B" w:rsidRPr="00FA2795" w:rsidRDefault="00ED770B" w:rsidP="00E858EF">
      <w:pPr>
        <w:suppressAutoHyphens/>
        <w:ind w:firstLine="708"/>
      </w:pPr>
      <w:r w:rsidRPr="00FA2795">
        <w:t>In particular, the use of larnakes as burial receptacles in LM III tombs re-appears</w:t>
      </w:r>
      <w:r>
        <w:t xml:space="preserve"> in different standardised form</w:t>
      </w:r>
      <w:r w:rsidRPr="00FA2795">
        <w:t>, both in terms of internal item characteristics, such as morphology and iconography, with the differentiation of the two almost ‘standard’ types of chest-shaped and bathtub larnax, and also in terms of contextual association, for example larnakes seem to be mainly associated with individual burials.</w:t>
      </w:r>
    </w:p>
    <w:p w14:paraId="2B7F36B6" w14:textId="77777777" w:rsidR="00ED770B" w:rsidRPr="00FA2795" w:rsidRDefault="00ED770B" w:rsidP="00E858EF">
      <w:pPr>
        <w:suppressAutoHyphens/>
        <w:ind w:firstLine="708"/>
      </w:pPr>
      <w:r w:rsidRPr="00FA2795">
        <w:t>The adoption and spread of larnakes occurred in a period of political change in Crete (Pr</w:t>
      </w:r>
      <w:r>
        <w:t>eston 2004b: 182). The Greek-speaking Knossian elite</w:t>
      </w:r>
      <w:r w:rsidRPr="00FA2795">
        <w:t xml:space="preserve">, who had controlled the island since LM II (the final palatial period), lost their power during LM IIIA2; the Knossos palace was destroyed, leaving a gap where there had been control by the </w:t>
      </w:r>
      <w:r w:rsidRPr="00FA2795">
        <w:lastRenderedPageBreak/>
        <w:t xml:space="preserve">central power (Preston 2004a; Hatzaki 2016). </w:t>
      </w:r>
    </w:p>
    <w:p w14:paraId="4A62B737" w14:textId="77777777" w:rsidR="00ED770B" w:rsidRPr="00FA2795" w:rsidRDefault="00ED770B" w:rsidP="00E858EF">
      <w:pPr>
        <w:suppressAutoHyphens/>
        <w:ind w:firstLine="708"/>
      </w:pPr>
      <w:r w:rsidRPr="00FA2795">
        <w:t>Thus, communities and social groups would have been affected by these changes, and burials were an act in which the new customs introduced in LM II and traditions were negotiated to (re)establish a new social hierarchy and political order. In this sense, understanding the dynamics performed in burials with larnakes is significant. As previously noted, larnakes do not represent a completely new artefact introduced in Minoan burials in LM III. Cretans had been using clay larnakes in burials for many centuries. However, the innovation and transformation visible in larnakes, the way in which they were used, and the role they played within the burial context (‘larnax agency’) demonstrate that the traditional meaning carried by this object was remodelled into something new.</w:t>
      </w:r>
    </w:p>
    <w:p w14:paraId="481B88D1" w14:textId="77777777" w:rsidR="00ED770B" w:rsidRPr="00FA2795" w:rsidRDefault="00ED770B" w:rsidP="00E858EF">
      <w:pPr>
        <w:suppressAutoHyphens/>
        <w:ind w:firstLine="708"/>
      </w:pPr>
      <w:r w:rsidRPr="00FA2795">
        <w:t xml:space="preserve">Consequently, studying contextual burials with larnakes means understanding the role played by tradition and innovation within the burial arena. This approach involves identifying whether </w:t>
      </w:r>
      <w:r>
        <w:t xml:space="preserve">elements were present </w:t>
      </w:r>
      <w:r w:rsidRPr="00FA2795">
        <w:t xml:space="preserve">that carried references to past tradition, as with the larnax itself, and examining how they were transformed and reshaped by the series of actions performed within the burial to function in the new </w:t>
      </w:r>
      <w:r>
        <w:t xml:space="preserve">socio-political </w:t>
      </w:r>
      <w:r w:rsidRPr="00FA2795">
        <w:t>dynamics.</w:t>
      </w:r>
    </w:p>
    <w:p w14:paraId="635C9530" w14:textId="77777777" w:rsidR="00ED770B" w:rsidRPr="00FA2795" w:rsidRDefault="00ED770B" w:rsidP="00E858EF">
      <w:pPr>
        <w:pStyle w:val="Titolo2"/>
        <w:keepNext w:val="0"/>
        <w:keepLines w:val="0"/>
        <w:tabs>
          <w:tab w:val="clear" w:pos="709"/>
          <w:tab w:val="num" w:pos="1080"/>
        </w:tabs>
        <w:suppressAutoHyphens/>
        <w:ind w:left="1080" w:hanging="1080"/>
      </w:pPr>
      <w:bookmarkStart w:id="11" w:name="_Toc519894588"/>
      <w:r w:rsidRPr="00FA2795">
        <w:t>Why regional distribution?</w:t>
      </w:r>
      <w:bookmarkEnd w:id="11"/>
    </w:p>
    <w:p w14:paraId="71D4356A" w14:textId="77777777" w:rsidR="00ED770B" w:rsidRPr="00FA2795" w:rsidRDefault="00ED770B" w:rsidP="00E858EF">
      <w:pPr>
        <w:suppressAutoHyphens/>
      </w:pPr>
      <w:r w:rsidRPr="00FA2795">
        <w:t>To discover whether there is any regional variation in the distribution of larnakes as receptacles and their burial context, the island of Crete has been divided into seven analytical units (Figure 1.2). Adopting regional/area divisions is crucial for the present study to analyse the spatial variability during the final palatial and post-palatial period. During LM IIIA2, centralised power disappeared and was replaced by rising independent regional centres (Hatzaki 2016). Consequently, analysing burials with larnakes based on limited geographical space could help to understand if and how larnax burial adoption varies in these regional areas.</w:t>
      </w:r>
    </w:p>
    <w:p w14:paraId="751221AF" w14:textId="77777777" w:rsidR="00ED770B" w:rsidRPr="00FA2795" w:rsidRDefault="00ED770B" w:rsidP="00E858EF">
      <w:pPr>
        <w:suppressAutoHyphens/>
      </w:pPr>
      <w:r w:rsidRPr="00FA2795">
        <w:tab/>
        <w:t xml:space="preserve">The region as an analytic unit offers great potential for the reconstruction of past society (Cherry 1983; Kardulias 1994; Relaki 2004). The way in which regions are defined influences the understanding and explanation of social change. Furthermore, this definition helps to reconstruct the dialectic relationship that exists between local and broader patterns. The adoption of modern geographical divisions could be inappropriate for the study of past society because borders and regional units, more than being merely delimited by natural features, are culturally constructed (Relaki 2004, </w:t>
      </w:r>
      <w:r w:rsidRPr="00FA2795">
        <w:lastRenderedPageBreak/>
        <w:t>Langohr 2009). Selecting an analytical region only according to geographical grounds carries the risk of studying a specific natural topography as though it represents a socio-political unit. The physical landscape impacts the relationships that people develop by allowing certain kinds of actions and interactions and inhibiting others. However, at the same time, it is also true that different communities in the same landscape react in different ways to problems through time.</w:t>
      </w:r>
    </w:p>
    <w:p w14:paraId="53A33248" w14:textId="77777777" w:rsidR="00ED770B" w:rsidRPr="00FA2795" w:rsidRDefault="00ED770B" w:rsidP="00E858EF">
      <w:pPr>
        <w:suppressAutoHyphens/>
      </w:pPr>
      <w:r w:rsidRPr="00FA2795">
        <w:tab/>
        <w:t xml:space="preserve">One of the criteria for defining regions is the distribution of similar types of cultural material, which can be the result of social interaction within a demarcated area. Regions evolve through the establishment of relationships between people and place and the ways that such relationships are expressed in the landscape. These regions are not static geographies, but are created through the repetition of specific social practices. The identification of a different region can become evident only in respect to </w:t>
      </w:r>
      <w:r>
        <w:t>the presence or</w:t>
      </w:r>
      <w:r w:rsidRPr="00FA2795">
        <w:t xml:space="preserve"> the absence of specific practices. Therefore, one can state that there is a region when different communities recognise similar practices of belonging.</w:t>
      </w:r>
    </w:p>
    <w:p w14:paraId="36CCC9CD" w14:textId="60143888" w:rsidR="00ED770B" w:rsidRPr="00FA2795" w:rsidRDefault="00ED770B" w:rsidP="00E858EF">
      <w:pPr>
        <w:suppressAutoHyphens/>
      </w:pPr>
      <w:r w:rsidRPr="00FA2795">
        <w:tab/>
        <w:t>The divisions adopted in this work follow Laura Preston on Late Minoan mortuary practices in Crete (Preston 2000). The choice of smaller specific areas is preferred both to the common division of the island of Crete into three macro regions, West-Centre-East (Löwe 199</w:t>
      </w:r>
      <w:r w:rsidR="00CA2ED6">
        <w:t>6</w:t>
      </w:r>
      <w:r w:rsidRPr="00FA2795">
        <w:t>), and to the second-level organisation according to the modern administrative units (Kanta 1980). Indeed, on the one hand, dividing the island into three large areas would disguise the fine spatial variation concerning differences in burial practice; on the other hand, using modern administrative units would impose a modern anachronistic division onto the Late Bronze Age (Preston 2000: 166; Relaki 2004).</w:t>
      </w:r>
    </w:p>
    <w:p w14:paraId="6966888C" w14:textId="77777777" w:rsidR="00ED770B" w:rsidRPr="00FA2795" w:rsidRDefault="00ED770B" w:rsidP="00E858EF">
      <w:pPr>
        <w:suppressAutoHyphens/>
      </w:pPr>
      <w:r w:rsidRPr="00FA2795">
        <w:tab/>
        <w:t>Charlotte Langohr also adopted a single-level regional division, based mainly on the natural geographical boundaries of the island, in her regional study of Crete in LM II- LM IIIB (Langohr 2009). The seven areas identified in her work are based mainly on the natural topographic divisions of the island, but she takes into account also the size of the area covered</w:t>
      </w:r>
      <w:r>
        <w:t xml:space="preserve"> avoiding very large</w:t>
      </w:r>
      <w:r w:rsidRPr="00FA2795">
        <w:t xml:space="preserve"> regional areas, and, for instance, the vast central area is divided into four different smaller regions, while west Crete is divided into two regions (Langohr 2009: 42-43).</w:t>
      </w:r>
    </w:p>
    <w:p w14:paraId="1D916337" w14:textId="02C99905" w:rsidR="00ED770B" w:rsidRPr="00FA2795" w:rsidRDefault="00ED770B" w:rsidP="00E858EF">
      <w:pPr>
        <w:suppressAutoHyphens/>
      </w:pPr>
      <w:r w:rsidRPr="00FA2795">
        <w:tab/>
        <w:t xml:space="preserve">The regional division adopted by Preston is preferred to the others mentioned above; first, because her study, like this study, is mainly focused on burials. The main criteria she uses to establish analytical areas combine natural topographic divisions with regional patterns of variation or similarity in mortuary practices and consider the groups </w:t>
      </w:r>
      <w:r w:rsidRPr="00FA2795">
        <w:lastRenderedPageBreak/>
        <w:t>already visible in the known mortuary site distribution. Furthermore, the understanding of the political organisation of the island during the period of the Knossian Linear B administration plays an important role in the construction of the analytical areas she adopts (Bennet 1990</w:t>
      </w:r>
      <w:r w:rsidR="00CA2ED6">
        <w:t xml:space="preserve">; </w:t>
      </w:r>
      <w:r w:rsidRPr="00FA2795">
        <w:t>Preston 2000).</w:t>
      </w:r>
    </w:p>
    <w:p w14:paraId="6D97EE39" w14:textId="77777777" w:rsidR="00ED770B" w:rsidRPr="00FA2795" w:rsidRDefault="00ED770B" w:rsidP="00E858EF">
      <w:pPr>
        <w:suppressAutoHyphens/>
      </w:pPr>
      <w:r w:rsidRPr="00FA2795">
        <w:tab/>
        <w:t>These regions, more than being fixed boundaries, are used as flexible frames that help to identify the patterns that characterise regional variations of mortuary practices linked to larnax use across the island of Crete during the period in which larnakes are extensively adopted as burial receptacles (LM III). Thus, these regions can be changed and amended according to the conclusion</w:t>
      </w:r>
      <w:r>
        <w:t>s</w:t>
      </w:r>
      <w:r w:rsidRPr="00FA2795">
        <w:t xml:space="preserve"> of the present work.</w:t>
      </w:r>
    </w:p>
    <w:p w14:paraId="789AF837" w14:textId="3575C26E" w:rsidR="00ED770B" w:rsidRDefault="00ED770B" w:rsidP="00E858EF">
      <w:pPr>
        <w:suppressAutoHyphens/>
      </w:pPr>
      <w:r w:rsidRPr="00FA2795">
        <w:tab/>
        <w:t>In Figure 1.2, below, it is possible to see the correspondence between the analytical areas adopted in this study and the former eparchy divisions (Kapodistrian) that were recently changed in 2010.</w:t>
      </w:r>
    </w:p>
    <w:p w14:paraId="6C314B64" w14:textId="0265E656" w:rsidR="00ED770B" w:rsidRPr="00FA2795" w:rsidRDefault="00A51599" w:rsidP="00E858EF">
      <w:pPr>
        <w:suppressAutoHyphens/>
      </w:pPr>
      <w:r>
        <w:rPr>
          <w:noProof/>
          <w:lang w:val="it-IT"/>
        </w:rPr>
        <w:drawing>
          <wp:inline distT="0" distB="0" distL="0" distR="0" wp14:anchorId="2ED004D6" wp14:editId="67B795E4">
            <wp:extent cx="5393055" cy="3818255"/>
            <wp:effectExtent l="0" t="0" r="0" b="0"/>
            <wp:docPr id="207" name="Immagine 207" descr="Macintosh HD:Users:angela:Downloads:190211_eparchies and reg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ela:Downloads:190211_eparchies and region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3055" cy="3818255"/>
                    </a:xfrm>
                    <a:prstGeom prst="rect">
                      <a:avLst/>
                    </a:prstGeom>
                    <a:noFill/>
                    <a:ln>
                      <a:noFill/>
                    </a:ln>
                  </pic:spPr>
                </pic:pic>
              </a:graphicData>
            </a:graphic>
          </wp:inline>
        </w:drawing>
      </w:r>
    </w:p>
    <w:p w14:paraId="3A262D72" w14:textId="1A421762" w:rsidR="00ED770B" w:rsidRPr="00FA2795" w:rsidRDefault="00316B9E" w:rsidP="00E858EF">
      <w:pPr>
        <w:pStyle w:val="Didascalia"/>
        <w:suppressAutoHyphens/>
      </w:pPr>
      <w:bookmarkStart w:id="12" w:name="_Toc520212280"/>
      <w:r>
        <w:t>Figure</w:t>
      </w:r>
      <w:r w:rsidR="00ED770B" w:rsidRPr="00FA2795">
        <w:t xml:space="preserve"> 1.2</w:t>
      </w:r>
      <w:r w:rsidR="007D78B3">
        <w:t>.</w:t>
      </w:r>
      <w:r w:rsidR="00ED770B" w:rsidRPr="00FA2795">
        <w:t xml:space="preserve"> Regional areas adopted and Kapodistrian eparchies division (before 2010) (Source: Author).</w:t>
      </w:r>
      <w:bookmarkEnd w:id="12"/>
      <w:r w:rsidR="00927E02">
        <w:t xml:space="preserve"> </w:t>
      </w:r>
    </w:p>
    <w:p w14:paraId="4E91CF15" w14:textId="77777777" w:rsidR="00ED770B" w:rsidRPr="00FA2795" w:rsidRDefault="00ED770B" w:rsidP="00E858EF">
      <w:pPr>
        <w:pStyle w:val="Titolo2"/>
        <w:keepNext w:val="0"/>
        <w:keepLines w:val="0"/>
        <w:tabs>
          <w:tab w:val="clear" w:pos="709"/>
          <w:tab w:val="num" w:pos="1080"/>
        </w:tabs>
        <w:suppressAutoHyphens/>
        <w:ind w:left="1080" w:hanging="1080"/>
      </w:pPr>
      <w:bookmarkStart w:id="13" w:name="_Toc519894589"/>
      <w:r w:rsidRPr="00FA2795">
        <w:t>Recording and organising the archaeological data</w:t>
      </w:r>
      <w:bookmarkEnd w:id="13"/>
      <w:r w:rsidRPr="00FA2795">
        <w:t xml:space="preserve"> </w:t>
      </w:r>
    </w:p>
    <w:p w14:paraId="4AC22907" w14:textId="77777777" w:rsidR="00ED770B" w:rsidRPr="00FA2795" w:rsidRDefault="00ED770B" w:rsidP="00E858EF">
      <w:pPr>
        <w:suppressAutoHyphens/>
      </w:pPr>
      <w:r w:rsidRPr="00FA2795">
        <w:t xml:space="preserve">One of the main difficulties in studying larnakes in their contexts is building a frame to collect data from diverse funerary records, both because they are distributed across </w:t>
      </w:r>
      <w:r>
        <w:t>a large</w:t>
      </w:r>
      <w:r w:rsidRPr="00FA2795">
        <w:t xml:space="preserve"> geographical area (Crete) and over a long chronological span (the LM III phase), and because of the diverse types of data and criteria adopted for publishing them. </w:t>
      </w:r>
      <w:r w:rsidRPr="00FA2795">
        <w:lastRenderedPageBreak/>
        <w:t>Consequently, some of the first criteria adopted for collecting data and building a database to help create a homogenous and coherent frame were</w:t>
      </w:r>
      <w:r>
        <w:t xml:space="preserve"> whether</w:t>
      </w:r>
      <w:r w:rsidRPr="00FA2795">
        <w:t xml:space="preserve"> </w:t>
      </w:r>
      <w:r>
        <w:t>the data collected were</w:t>
      </w:r>
      <w:r w:rsidRPr="00FA2795">
        <w:t>:</w:t>
      </w:r>
    </w:p>
    <w:p w14:paraId="15ACC790" w14:textId="77777777" w:rsidR="00ED770B" w:rsidRPr="00FA2795" w:rsidRDefault="00ED770B" w:rsidP="00E858EF">
      <w:pPr>
        <w:pStyle w:val="Paragrafoelenco"/>
        <w:numPr>
          <w:ilvl w:val="0"/>
          <w:numId w:val="1"/>
        </w:numPr>
        <w:suppressAutoHyphens/>
      </w:pPr>
      <w:r w:rsidRPr="00FA2795">
        <w:t xml:space="preserve">Useful to understand larnax use and function within the funerary context </w:t>
      </w:r>
    </w:p>
    <w:p w14:paraId="2070A6DF" w14:textId="77777777" w:rsidR="00ED770B" w:rsidRPr="00FA2795" w:rsidRDefault="00ED770B" w:rsidP="00E858EF">
      <w:pPr>
        <w:pStyle w:val="Paragrafoelenco"/>
        <w:numPr>
          <w:ilvl w:val="0"/>
          <w:numId w:val="1"/>
        </w:numPr>
        <w:suppressAutoHyphens/>
      </w:pPr>
      <w:r w:rsidRPr="00FA2795">
        <w:t xml:space="preserve">Applicable to the largest number of available burial contexts with larnakes </w:t>
      </w:r>
    </w:p>
    <w:p w14:paraId="1CBE7E66" w14:textId="77777777" w:rsidR="00ED770B" w:rsidRPr="00FA2795" w:rsidRDefault="00ED770B" w:rsidP="00E858EF">
      <w:pPr>
        <w:suppressAutoHyphens/>
        <w:ind w:firstLine="708"/>
      </w:pPr>
      <w:r w:rsidRPr="00FA2795">
        <w:t>The way in which these categories has</w:t>
      </w:r>
      <w:r>
        <w:t xml:space="preserve"> been recorded</w:t>
      </w:r>
      <w:r w:rsidRPr="00FA2795">
        <w:t xml:space="preserve"> considers primarily their relationship with the larnax. For example, the data concerning skeletal remains were related to tomb and/or cemetery, and when the information is available, to a specific larnax or type of container or interment method.</w:t>
      </w:r>
    </w:p>
    <w:p w14:paraId="5303CA2C" w14:textId="77777777" w:rsidR="00ED770B" w:rsidRPr="00FA2795" w:rsidRDefault="00ED770B" w:rsidP="00E858EF">
      <w:pPr>
        <w:suppressAutoHyphens/>
      </w:pPr>
      <w:r w:rsidRPr="00FA2795">
        <w:tab/>
        <w:t xml:space="preserve">The dataset concerning larnakes and their contexts has been divided into different categories/units: region – burial location – cemetery – tomb – skeletal remains – grave goods – larnakes – decorative motives on larnakes. </w:t>
      </w:r>
    </w:p>
    <w:p w14:paraId="536FDFE3" w14:textId="79FA72E8" w:rsidR="00ED770B" w:rsidRPr="00FA2795" w:rsidRDefault="00ED770B" w:rsidP="00E858EF">
      <w:pPr>
        <w:suppressAutoHyphens/>
      </w:pPr>
      <w:r w:rsidRPr="00FA2795">
        <w:tab/>
        <w:t>The data were mainly collected based on</w:t>
      </w:r>
      <w:r>
        <w:t xml:space="preserve"> published reports</w:t>
      </w:r>
      <w:r w:rsidRPr="00FA2795">
        <w:t>, integrating all the different sources available: excavation reports; cemetery or tomb publications (e.g. Kalochorafitis, Karetsou, Girella 2015); studies on LM III burials (e.g. Pini 1968, L</w:t>
      </w:r>
      <w:r w:rsidRPr="00FA2795">
        <w:rPr>
          <w:lang w:val="de-DE"/>
        </w:rPr>
        <w:t>öwe</w:t>
      </w:r>
      <w:r w:rsidRPr="00FA2795">
        <w:t xml:space="preserve"> 199</w:t>
      </w:r>
      <w:r w:rsidR="00CA2ED6">
        <w:t>6</w:t>
      </w:r>
      <w:r w:rsidRPr="00FA2795">
        <w:t>, Preston 2000); overall studies on the LM III phase in Crete (e.g. Kanta 1980, Langohr 2008); specific studies about larnakes (e.g. Merousis 2000, Spiliotopoulou 20</w:t>
      </w:r>
      <w:r w:rsidR="00CA2ED6">
        <w:t>10</w:t>
      </w:r>
      <w:r w:rsidRPr="00FA2795">
        <w:t xml:space="preserve">); and publications concerning larnax features (e.g. iconography, Watrous 1991). Furthermore, this information was integrated into the data recorded during the study </w:t>
      </w:r>
      <w:r>
        <w:t xml:space="preserve">in corpore </w:t>
      </w:r>
      <w:r w:rsidRPr="00FA2795">
        <w:t>of larnakes stored in different museum collections in the United Kingdom and Greece.</w:t>
      </w:r>
    </w:p>
    <w:p w14:paraId="6BBA3CF0" w14:textId="77777777" w:rsidR="00ED770B" w:rsidRPr="00FA2795" w:rsidRDefault="00ED770B" w:rsidP="00E858EF">
      <w:pPr>
        <w:pStyle w:val="Titolo2"/>
        <w:keepNext w:val="0"/>
        <w:keepLines w:val="0"/>
        <w:tabs>
          <w:tab w:val="clear" w:pos="709"/>
          <w:tab w:val="num" w:pos="1080"/>
        </w:tabs>
        <w:suppressAutoHyphens/>
        <w:ind w:left="1080" w:hanging="1080"/>
      </w:pPr>
      <w:bookmarkStart w:id="14" w:name="_Toc519894590"/>
      <w:r w:rsidRPr="00FA2795">
        <w:t>Thesis outline</w:t>
      </w:r>
      <w:bookmarkEnd w:id="14"/>
      <w:r w:rsidRPr="00FA2795">
        <w:t xml:space="preserve"> </w:t>
      </w:r>
    </w:p>
    <w:p w14:paraId="62C0A75D" w14:textId="49A77C17" w:rsidR="00ED770B" w:rsidRPr="00F138BF" w:rsidRDefault="00ED770B" w:rsidP="00E858EF">
      <w:pPr>
        <w:suppressAutoHyphens/>
      </w:pPr>
      <w:r w:rsidRPr="00F138BF">
        <w:t xml:space="preserve">This thesis begins with a literature review of larnax studies, followed by three chapters </w:t>
      </w:r>
      <w:r w:rsidR="001267DB">
        <w:t xml:space="preserve">concerning </w:t>
      </w:r>
      <w:r w:rsidRPr="00F138BF">
        <w:t>the presentation and analysi</w:t>
      </w:r>
      <w:r w:rsidR="001267DB">
        <w:t>s</w:t>
      </w:r>
      <w:r w:rsidRPr="00F138BF">
        <w:t xml:space="preserve"> of the data, and then the results, discussion and conclusion. The methodology applied is discussed at the beginning of each chapter on with data analysis. </w:t>
      </w:r>
    </w:p>
    <w:p w14:paraId="13E19572" w14:textId="77777777" w:rsidR="00ED770B" w:rsidRPr="00FA2795" w:rsidRDefault="00ED770B" w:rsidP="00E858EF">
      <w:pPr>
        <w:suppressAutoHyphens/>
        <w:ind w:firstLine="708"/>
      </w:pPr>
      <w:r w:rsidRPr="00FA2795">
        <w:rPr>
          <w:b/>
        </w:rPr>
        <w:t xml:space="preserve">Chapter 2 </w:t>
      </w:r>
      <w:r w:rsidRPr="00FA2795">
        <w:t>contains</w:t>
      </w:r>
      <w:r w:rsidRPr="00FA2795">
        <w:rPr>
          <w:b/>
        </w:rPr>
        <w:t xml:space="preserve"> </w:t>
      </w:r>
      <w:r w:rsidRPr="00FA2795">
        <w:t xml:space="preserve">a brief chronological summary of the </w:t>
      </w:r>
      <w:r>
        <w:t>history of larnax find</w:t>
      </w:r>
      <w:r w:rsidRPr="00FA2795">
        <w:t>s and an overview of the main topic of research on larnakes, focused on the past 120 years, highlighting gaps in</w:t>
      </w:r>
      <w:r>
        <w:t xml:space="preserve"> our</w:t>
      </w:r>
      <w:r w:rsidRPr="00FA2795">
        <w:t xml:space="preserve"> knowledge. The main aim of this chapter is to </w:t>
      </w:r>
      <w:r>
        <w:t xml:space="preserve">select </w:t>
      </w:r>
      <w:r w:rsidRPr="00FA2795">
        <w:t xml:space="preserve">critically the most relevant approaches in the history of research, explaining why and how they are adopted in the present study. This chapter concludes with a section on new research perspectives regarding regional burial studies, illustrating how this thesis contributes by examining and interpreting the role of larnakes in Crete LM III burials. </w:t>
      </w:r>
    </w:p>
    <w:p w14:paraId="502EF727" w14:textId="77777777" w:rsidR="00ED770B" w:rsidRPr="00FA2795" w:rsidRDefault="00ED770B" w:rsidP="00E858EF">
      <w:pPr>
        <w:suppressAutoHyphens/>
        <w:ind w:firstLine="708"/>
      </w:pPr>
      <w:r w:rsidRPr="00FA2795">
        <w:rPr>
          <w:b/>
        </w:rPr>
        <w:lastRenderedPageBreak/>
        <w:t>Chapter 3</w:t>
      </w:r>
      <w:r w:rsidRPr="00FA2795">
        <w:t xml:space="preserve"> is the first of three chapters concerning the presentation and analysis of the data. An introduction presents the methodology adopted, terminology and data reliability problems. The data concerning the identification of the sample of burial location with larnakes and three contextual features – cemetery features, tomb characteristics and the deposition methods associated with larnakes – are presented and analysed following regional patterns. The aim is to understand whether it is possible to isolate any regional/local or chronological patterns in larnax distribution th</w:t>
      </w:r>
      <w:r>
        <w:t>r</w:t>
      </w:r>
      <w:r w:rsidRPr="00FA2795">
        <w:t>ough the analysis of these three contextual features.</w:t>
      </w:r>
    </w:p>
    <w:p w14:paraId="34CC6A9C" w14:textId="77777777" w:rsidR="00ED770B" w:rsidRPr="00FA2795" w:rsidRDefault="00ED770B" w:rsidP="00E858EF">
      <w:pPr>
        <w:suppressAutoHyphens/>
        <w:ind w:firstLine="708"/>
      </w:pPr>
      <w:r w:rsidRPr="00FA2795">
        <w:rPr>
          <w:b/>
        </w:rPr>
        <w:t xml:space="preserve">Chapter 4 </w:t>
      </w:r>
      <w:r w:rsidRPr="00FA2795">
        <w:t>focuses on the presentation and analysis of skeletal remains and grave goods assemblages from the sample of tombs with larnakes identified in Chapter 3. The chapter structure is the same as Chapter 3: methodology, terminology, data limits, presentation and analysis of data based on regional divisions. The analysis of skeletal remains focuses on selected aspects to understand how larnakes are used as burial receptacles (i.e. individual or communal burials; primary or secondary burial depositions, gender and age), and whether their use follows any regional pattern. The analysis of the grave goods assemblages considers the occurrence of material type and grave goods typologies distinguished in two categories: non-pottery items and pottery items. The aim is to identify common trends and differences in the association and to try to understand whether these can be explained through chronological changes, though the presence of regional customs or, instead, whether it is possible to isolate patterns linked to the existence of local features in burial customs.</w:t>
      </w:r>
    </w:p>
    <w:p w14:paraId="2122BB8A" w14:textId="77777777" w:rsidR="00ED770B" w:rsidRPr="00FA2795" w:rsidRDefault="00ED770B" w:rsidP="00E858EF">
      <w:pPr>
        <w:suppressAutoHyphens/>
        <w:ind w:firstLine="708"/>
      </w:pPr>
      <w:r w:rsidRPr="00FA2795">
        <w:rPr>
          <w:b/>
        </w:rPr>
        <w:t>Chapter 5</w:t>
      </w:r>
      <w:r w:rsidRPr="00FA2795">
        <w:t xml:space="preserve"> concerns the identification, analysis and distribution of larnax morphology and iconography. The same structure used for the previous analysis chapter is adopted for this chapter also (methodology, terminology, data limits, presentation and analysis of data based on regional divisions). For each region,</w:t>
      </w:r>
      <w:r>
        <w:t xml:space="preserve"> I</w:t>
      </w:r>
      <w:r w:rsidRPr="00FA2795">
        <w:t xml:space="preserve"> discuss the following:</w:t>
      </w:r>
    </w:p>
    <w:p w14:paraId="4C8160F1" w14:textId="77777777" w:rsidR="00ED770B" w:rsidRPr="00FA2795" w:rsidRDefault="00ED770B" w:rsidP="00E858EF">
      <w:pPr>
        <w:pStyle w:val="Paragrafoelenco"/>
        <w:numPr>
          <w:ilvl w:val="0"/>
          <w:numId w:val="2"/>
        </w:numPr>
        <w:suppressAutoHyphens/>
      </w:pPr>
      <w:r w:rsidRPr="00FA2795">
        <w:t xml:space="preserve">Identification and analysis of selected morphological features considered functional for identifying homogeneity and difference </w:t>
      </w:r>
    </w:p>
    <w:p w14:paraId="1A70E627" w14:textId="77777777" w:rsidR="00ED770B" w:rsidRPr="00FA2795" w:rsidRDefault="00ED770B" w:rsidP="00E858EF">
      <w:pPr>
        <w:pStyle w:val="Paragrafoelenco"/>
        <w:numPr>
          <w:ilvl w:val="0"/>
          <w:numId w:val="2"/>
        </w:numPr>
        <w:suppressAutoHyphens/>
      </w:pPr>
      <w:r w:rsidRPr="00FA2795">
        <w:t>Identifi</w:t>
      </w:r>
      <w:r>
        <w:t>cation and occurrence of ceramic</w:t>
      </w:r>
      <w:r w:rsidRPr="00FA2795">
        <w:t xml:space="preserve"> repertoire motives</w:t>
      </w:r>
    </w:p>
    <w:p w14:paraId="783A2F85" w14:textId="77777777" w:rsidR="00ED770B" w:rsidRPr="00FA2795" w:rsidRDefault="00ED770B" w:rsidP="00E858EF">
      <w:pPr>
        <w:suppressAutoHyphens/>
        <w:ind w:firstLine="708"/>
      </w:pPr>
      <w:r w:rsidRPr="00FA2795">
        <w:t xml:space="preserve">The aim is to understand if and how larnakes vary based on these two aspects, morphology and iconography. This approach means recognising standardised patterns or variations of morphology and iconography and understanding how they are distributed. Furthermore, regarding iconography, the existence of a link (common features or differences) between the </w:t>
      </w:r>
      <w:r>
        <w:t>ceramic</w:t>
      </w:r>
      <w:r w:rsidRPr="00FA2795">
        <w:t xml:space="preserve"> iconographical repertoire and larnax decoration is examined, identifying and quantifying in larnax representation the </w:t>
      </w:r>
      <w:r w:rsidRPr="00FA2795">
        <w:lastRenderedPageBreak/>
        <w:t>occurrence of motives used in pottery decoration (Furumark motifs occurrences in larnakes, Furumark 1972).</w:t>
      </w:r>
    </w:p>
    <w:p w14:paraId="6B3DFAD9" w14:textId="77AAAAB2" w:rsidR="00ED770B" w:rsidRPr="00FA2795" w:rsidRDefault="00ED770B" w:rsidP="00E858EF">
      <w:pPr>
        <w:suppressAutoHyphens/>
        <w:ind w:firstLine="708"/>
      </w:pPr>
      <w:r w:rsidRPr="00FA2795">
        <w:rPr>
          <w:b/>
        </w:rPr>
        <w:t xml:space="preserve">Chapter 6 </w:t>
      </w:r>
      <w:r w:rsidRPr="00FA2795">
        <w:t>describes the use of tombs with larnakes throughout Crete. The results of the analysis of burial features are contextualised</w:t>
      </w:r>
      <w:r w:rsidR="003D0ADE">
        <w:t>.</w:t>
      </w:r>
      <w:r w:rsidRPr="00FA2795">
        <w:t xml:space="preserve"> </w:t>
      </w:r>
      <w:r w:rsidR="003D0ADE">
        <w:t>For each category</w:t>
      </w:r>
      <w:r w:rsidR="00B06086">
        <w:t xml:space="preserve"> are highlighted </w:t>
      </w:r>
      <w:r w:rsidRPr="00FA2795">
        <w:t>the</w:t>
      </w:r>
      <w:r w:rsidR="00315FF2">
        <w:t>ir</w:t>
      </w:r>
      <w:r w:rsidRPr="00FA2795">
        <w:t xml:space="preserve"> difference</w:t>
      </w:r>
      <w:r w:rsidR="00B06086">
        <w:t>s</w:t>
      </w:r>
      <w:r w:rsidRPr="00FA2795">
        <w:t xml:space="preserve"> in terms of distribution</w:t>
      </w:r>
      <w:r w:rsidR="00B06086">
        <w:t>.</w:t>
      </w:r>
      <w:r w:rsidRPr="00FA2795">
        <w:t>,</w:t>
      </w:r>
      <w:r w:rsidR="007F30E0">
        <w:t xml:space="preserve">This will help </w:t>
      </w:r>
      <w:r w:rsidRPr="00FA2795">
        <w:t>to understand whether larnax use varies according to the regional divisions adopted for the analysis, or whether it is possible to identify other geographical patterns between and within regions, or whether these are, instead, subject to chronological changes. Furthermore, the interpretation considers the relationship between particular larnakes and individual personhood or groups</w:t>
      </w:r>
      <w:r w:rsidR="00177E09">
        <w:t>. This is</w:t>
      </w:r>
      <w:r w:rsidRPr="00FA2795">
        <w:t xml:space="preserve"> based on</w:t>
      </w:r>
      <w:r w:rsidR="00177E09">
        <w:t xml:space="preserve"> different factors, for</w:t>
      </w:r>
      <w:r w:rsidR="00776A63">
        <w:t xml:space="preserve"> example</w:t>
      </w:r>
      <w:r w:rsidRPr="00FA2795">
        <w:t xml:space="preserve"> which burial elements </w:t>
      </w:r>
      <w:r>
        <w:t xml:space="preserve">had attention and resources focused on them </w:t>
      </w:r>
      <w:r w:rsidRPr="00FA2795">
        <w:t xml:space="preserve">(e.g. tomb architecture, variety in grave goods materials and typologies, larnax iconography), whether they occur in association (e.g. preference for clay vessels and decorated larnakes), and whether they have a form of burial package (e.g. is there a burial package connected with larnax use and what is the role of the larnax in </w:t>
      </w:r>
      <w:r w:rsidR="00315FF2">
        <w:t>this</w:t>
      </w:r>
      <w:r w:rsidRPr="00FA2795">
        <w:t>).</w:t>
      </w:r>
    </w:p>
    <w:p w14:paraId="43CD48A6" w14:textId="77777777" w:rsidR="00ED770B" w:rsidRPr="00BE74F5" w:rsidRDefault="00ED770B" w:rsidP="00E858EF">
      <w:pPr>
        <w:suppressAutoHyphens/>
        <w:ind w:firstLine="708"/>
      </w:pPr>
      <w:r w:rsidRPr="00FA2795">
        <w:t xml:space="preserve">Finally, </w:t>
      </w:r>
      <w:r w:rsidRPr="00FA2795">
        <w:rPr>
          <w:b/>
        </w:rPr>
        <w:t>Chapter 7</w:t>
      </w:r>
      <w:r w:rsidRPr="00FA2795">
        <w:t xml:space="preserve"> summarises the main outcomes from the history of research on larnakes, as well as the findings of the analysis of the burials and larnakes, and discusses how larnakes functioned within their burial contexts. Even though this work highlights the importance of studying larnakes within their burial contexts, the central focus of the research is the artefacts and the potential information they can supply regarding the choices made by communities through burial and how these choices can be related to changes in the socio-political situation. The identification of the existence of a broad, general model followed for larnax adoption on a macro-</w:t>
      </w:r>
      <w:r>
        <w:t>scale (almost throughout</w:t>
      </w:r>
      <w:r w:rsidRPr="00FA2795">
        <w:t xml:space="preserve"> Crete) implies, moreover, the identification of micro-scale variations, which work as a medium for expressing a diversity of aspects (i.e. regional/local belonging, social differences, gender and age differences). In conclusion, it is </w:t>
      </w:r>
      <w:r>
        <w:t xml:space="preserve">noted </w:t>
      </w:r>
      <w:r w:rsidRPr="00FA2795">
        <w:t xml:space="preserve">that the aspects identified could </w:t>
      </w:r>
      <w:r>
        <w:t>be used to guide</w:t>
      </w:r>
      <w:r w:rsidRPr="00FA2795">
        <w:t xml:space="preserve"> future research considering larnakes.</w:t>
      </w:r>
    </w:p>
    <w:p w14:paraId="3568DED9" w14:textId="77777777" w:rsidR="00ED770B" w:rsidRPr="00BE74F5" w:rsidRDefault="00ED770B" w:rsidP="00E858EF">
      <w:pPr>
        <w:suppressAutoHyphens/>
      </w:pPr>
    </w:p>
    <w:p w14:paraId="1339FCCF" w14:textId="77777777" w:rsidR="00ED770B" w:rsidRDefault="00ED770B" w:rsidP="00E858EF">
      <w:pPr>
        <w:suppressAutoHyphens/>
      </w:pPr>
    </w:p>
    <w:p w14:paraId="32A439BD" w14:textId="018054CA" w:rsidR="00E858EF" w:rsidRDefault="00E858EF" w:rsidP="00E858EF">
      <w:pPr>
        <w:spacing w:line="240" w:lineRule="auto"/>
        <w:contextualSpacing w:val="0"/>
        <w:jc w:val="left"/>
      </w:pPr>
      <w:r>
        <w:br w:type="page"/>
      </w:r>
    </w:p>
    <w:p w14:paraId="33417A63" w14:textId="77777777" w:rsidR="00ED770B" w:rsidRPr="00BE74F5" w:rsidRDefault="00ED770B" w:rsidP="00E858EF">
      <w:pPr>
        <w:suppressAutoHyphens/>
      </w:pPr>
    </w:p>
    <w:p w14:paraId="6147C566" w14:textId="77777777" w:rsidR="00ED770B" w:rsidRPr="00C831BC" w:rsidRDefault="00ED770B" w:rsidP="00E858EF">
      <w:pPr>
        <w:suppressAutoHyphens/>
      </w:pPr>
    </w:p>
    <w:p w14:paraId="142E7E33" w14:textId="11685544" w:rsidR="00F138BF" w:rsidRDefault="00ED770B" w:rsidP="00E858EF">
      <w:pPr>
        <w:pStyle w:val="Sommario1"/>
        <w:suppressAutoHyphens/>
        <w:rPr>
          <w:smallCaps/>
        </w:rPr>
      </w:pPr>
      <w:r>
        <w:rPr>
          <w:highlight w:val="lightGray"/>
        </w:rPr>
        <w:br w:type="page"/>
      </w:r>
      <w:r w:rsidR="00391E84">
        <w:fldChar w:fldCharType="begin"/>
      </w:r>
      <w:r w:rsidR="00391E84">
        <w:instrText xml:space="preserve"> TOC \o "1-4" </w:instrText>
      </w:r>
      <w:r w:rsidR="00391E84">
        <w:fldChar w:fldCharType="separate"/>
      </w:r>
    </w:p>
    <w:p w14:paraId="3A4231A2" w14:textId="77777777" w:rsidR="00391E84" w:rsidRDefault="00391E84" w:rsidP="00E858EF">
      <w:pPr>
        <w:suppressAutoHyphens/>
      </w:pPr>
      <w:r>
        <w:lastRenderedPageBreak/>
        <w:fldChar w:fldCharType="end"/>
      </w:r>
    </w:p>
    <w:p w14:paraId="1876D6EA" w14:textId="5638D5FA" w:rsidR="00391E84" w:rsidRPr="005B6CF6" w:rsidRDefault="00EF451A" w:rsidP="00E858EF">
      <w:pPr>
        <w:pStyle w:val="Titolo1"/>
        <w:keepNext w:val="0"/>
        <w:keepLines w:val="0"/>
        <w:suppressAutoHyphens/>
      </w:pPr>
      <w:bookmarkStart w:id="15" w:name="_Toc389505923"/>
      <w:bookmarkStart w:id="16" w:name="_Toc517646807"/>
      <w:bookmarkStart w:id="17" w:name="_Toc519894591"/>
      <w:r w:rsidRPr="005B6CF6">
        <w:t xml:space="preserve">LARNAKES: HISTORY </w:t>
      </w:r>
      <w:r>
        <w:t>O</w:t>
      </w:r>
      <w:r w:rsidRPr="005B6CF6">
        <w:t xml:space="preserve">F INTERPRETATION </w:t>
      </w:r>
      <w:r>
        <w:t>A</w:t>
      </w:r>
      <w:r w:rsidRPr="005B6CF6">
        <w:t>ND USE</w:t>
      </w:r>
      <w:bookmarkEnd w:id="15"/>
      <w:bookmarkEnd w:id="16"/>
      <w:bookmarkEnd w:id="17"/>
      <w:r w:rsidRPr="005B6CF6">
        <w:t xml:space="preserve"> </w:t>
      </w:r>
    </w:p>
    <w:p w14:paraId="221F984A" w14:textId="77777777" w:rsidR="00391E84" w:rsidRPr="00462975" w:rsidRDefault="00391E84" w:rsidP="00E858EF">
      <w:pPr>
        <w:pStyle w:val="Titolo2"/>
        <w:keepNext w:val="0"/>
        <w:keepLines w:val="0"/>
        <w:suppressAutoHyphens/>
      </w:pPr>
      <w:bookmarkStart w:id="18" w:name="_Toc273709519"/>
      <w:bookmarkStart w:id="19" w:name="_Toc389505924"/>
      <w:bookmarkStart w:id="20" w:name="_Toc517646808"/>
      <w:bookmarkStart w:id="21" w:name="_Toc519894592"/>
      <w:r w:rsidRPr="00462975">
        <w:t>An introduction</w:t>
      </w:r>
      <w:bookmarkEnd w:id="18"/>
      <w:bookmarkEnd w:id="19"/>
      <w:bookmarkEnd w:id="20"/>
      <w:bookmarkEnd w:id="21"/>
      <w:r w:rsidRPr="00462975">
        <w:t xml:space="preserve"> </w:t>
      </w:r>
    </w:p>
    <w:p w14:paraId="31221B16" w14:textId="69635ED4" w:rsidR="00391E84" w:rsidRPr="00FB43FB" w:rsidRDefault="00F138BF" w:rsidP="00E858EF">
      <w:pPr>
        <w:suppressAutoHyphens/>
      </w:pPr>
      <w:r>
        <w:t xml:space="preserve">The </w:t>
      </w:r>
      <w:r w:rsidR="00391E84">
        <w:t xml:space="preserve">history of </w:t>
      </w:r>
      <w:r>
        <w:t xml:space="preserve">larnax </w:t>
      </w:r>
      <w:r w:rsidR="00391E84" w:rsidRPr="00FB43FB">
        <w:t xml:space="preserve">interpretation </w:t>
      </w:r>
      <w:r w:rsidR="00391E84">
        <w:t>began</w:t>
      </w:r>
      <w:r w:rsidR="00391E84" w:rsidRPr="00FB43FB">
        <w:t xml:space="preserve"> more than </w:t>
      </w:r>
      <w:r w:rsidR="00391E84">
        <w:t>120</w:t>
      </w:r>
      <w:r w:rsidR="00391E84" w:rsidRPr="00FB43FB">
        <w:t xml:space="preserve"> years ago and focus</w:t>
      </w:r>
      <w:r w:rsidR="00391E84">
        <w:t>ed</w:t>
      </w:r>
      <w:r w:rsidR="00391E84" w:rsidRPr="00FB43FB">
        <w:t xml:space="preserve"> on different aspects</w:t>
      </w:r>
      <w:r w:rsidR="00391E84">
        <w:t xml:space="preserve"> of</w:t>
      </w:r>
      <w:r w:rsidR="00391E84" w:rsidRPr="00FB43FB">
        <w:t xml:space="preserve"> their use, origin, manufacture and iconography. This chapter </w:t>
      </w:r>
      <w:r w:rsidR="00391E84">
        <w:t>reviews</w:t>
      </w:r>
      <w:r w:rsidR="00391E84" w:rsidRPr="00FB43FB">
        <w:t xml:space="preserve"> the most relevant discoveries of larnakes</w:t>
      </w:r>
      <w:r w:rsidR="00391E84">
        <w:t xml:space="preserve"> dated to the Late Bronze Age in Crete</w:t>
      </w:r>
      <w:r w:rsidR="00391E84" w:rsidRPr="00FB43FB">
        <w:t xml:space="preserve"> and </w:t>
      </w:r>
      <w:r w:rsidR="00391E84">
        <w:t xml:space="preserve">critically </w:t>
      </w:r>
      <w:r w:rsidR="001267DB">
        <w:t>assesses</w:t>
      </w:r>
      <w:r w:rsidR="00391E84">
        <w:t xml:space="preserve"> the</w:t>
      </w:r>
      <w:r w:rsidR="00391E84" w:rsidRPr="00FB43FB">
        <w:t xml:space="preserve"> approaches adopted by scholars</w:t>
      </w:r>
      <w:r w:rsidR="00391E84">
        <w:t xml:space="preserve"> of larnax and LM III funerary studies</w:t>
      </w:r>
      <w:r w:rsidR="00391E84" w:rsidRPr="00FB43FB">
        <w:t>,</w:t>
      </w:r>
      <w:r w:rsidR="00391E84">
        <w:t xml:space="preserve"> </w:t>
      </w:r>
      <w:r w:rsidR="00391E84" w:rsidRPr="00FB43FB">
        <w:t>clarify</w:t>
      </w:r>
      <w:r w:rsidR="00391E84">
        <w:t>ing which</w:t>
      </w:r>
      <w:r w:rsidR="00391E84" w:rsidRPr="00FB43FB">
        <w:t xml:space="preserve"> problems are </w:t>
      </w:r>
      <w:r w:rsidR="00391E84">
        <w:t>unsolved and moving beyond the themes that have been already explored both in terms of larnax and, more generally, in the archaeology of death in the Aegean (Boyd and Dakouri-Hild 2016: 2). Finally, the chapter explains which of these issues is covered by the present work and which approaches are adopted and adapted in the methodological framework used in this thesis. Also, the space this work occupies in the new research perspective is clarified, in terms of contextual burial studies and regional distribution studies.</w:t>
      </w:r>
    </w:p>
    <w:p w14:paraId="0475EA6C" w14:textId="77777777" w:rsidR="00391E84" w:rsidRPr="00DC0FA0" w:rsidRDefault="00391E84" w:rsidP="00E858EF">
      <w:pPr>
        <w:pStyle w:val="Titolo2"/>
        <w:keepNext w:val="0"/>
        <w:keepLines w:val="0"/>
        <w:suppressAutoHyphens/>
      </w:pPr>
      <w:bookmarkStart w:id="22" w:name="_Toc273709520"/>
      <w:bookmarkStart w:id="23" w:name="_Toc389505925"/>
      <w:bookmarkStart w:id="24" w:name="_Toc517646809"/>
      <w:bookmarkStart w:id="25" w:name="_Toc519894593"/>
      <w:r>
        <w:t>F</w:t>
      </w:r>
      <w:r w:rsidRPr="00FB43FB">
        <w:t xml:space="preserve">rom the first discoveries to </w:t>
      </w:r>
      <w:bookmarkEnd w:id="22"/>
      <w:r>
        <w:t>today: how larnax finds influenced and shaped the research</w:t>
      </w:r>
      <w:bookmarkEnd w:id="23"/>
      <w:bookmarkEnd w:id="24"/>
      <w:bookmarkEnd w:id="25"/>
    </w:p>
    <w:p w14:paraId="3AAED307" w14:textId="77777777" w:rsidR="00391E84" w:rsidRDefault="00391E84" w:rsidP="00E858EF">
      <w:pPr>
        <w:suppressAutoHyphens/>
      </w:pPr>
      <w:r w:rsidRPr="00FB43FB">
        <w:t xml:space="preserve">The first discoveries of larnakes </w:t>
      </w:r>
      <w:r>
        <w:t>date</w:t>
      </w:r>
      <w:r w:rsidRPr="00FB43FB">
        <w:t xml:space="preserve"> to the end of the </w:t>
      </w:r>
      <w:r>
        <w:t>19</w:t>
      </w:r>
      <w:r w:rsidRPr="00FE2DDE">
        <w:rPr>
          <w:vertAlign w:val="superscript"/>
        </w:rPr>
        <w:t>th</w:t>
      </w:r>
      <w:r w:rsidRPr="00FB43FB">
        <w:t xml:space="preserve"> century. Paolo Orsi</w:t>
      </w:r>
      <w:r>
        <w:t>,</w:t>
      </w:r>
      <w:r w:rsidRPr="00FB43FB">
        <w:t xml:space="preserve"> in his article </w:t>
      </w:r>
      <w:r>
        <w:t>“</w:t>
      </w:r>
      <w:r w:rsidRPr="003F0584">
        <w:t>Urne funebri Cretesi dipinte su vasi allo stile di Micene</w:t>
      </w:r>
      <w:r>
        <w:rPr>
          <w:i/>
        </w:rPr>
        <w:t>”</w:t>
      </w:r>
      <w:r w:rsidRPr="00FB43FB">
        <w:rPr>
          <w:i/>
        </w:rPr>
        <w:t xml:space="preserve"> </w:t>
      </w:r>
      <w:r w:rsidRPr="00FB43FB">
        <w:t>(</w:t>
      </w:r>
      <w:r>
        <w:t>Orsi 1890</w:t>
      </w:r>
      <w:r w:rsidRPr="00FB43FB">
        <w:t>)</w:t>
      </w:r>
      <w:r>
        <w:t>, reported</w:t>
      </w:r>
      <w:r w:rsidRPr="00FB43FB">
        <w:t xml:space="preserve"> </w:t>
      </w:r>
      <w:r>
        <w:t>finds</w:t>
      </w:r>
      <w:r w:rsidRPr="00FB43FB">
        <w:t xml:space="preserve"> of clay coffins in three different locations in Crete</w:t>
      </w:r>
      <w:r>
        <w:t xml:space="preserve">: </w:t>
      </w:r>
      <w:r w:rsidRPr="00E941F8">
        <w:t>Vasiliki Anogeia, Milatos and Pentamodi</w:t>
      </w:r>
      <w:r w:rsidRPr="00FB43FB">
        <w:t xml:space="preserve">. </w:t>
      </w:r>
      <w:r>
        <w:t>Orsi</w:t>
      </w:r>
      <w:r w:rsidRPr="00FB43FB">
        <w:t xml:space="preserve"> focuses his attention on the uniformity of typology and style of these artefacts</w:t>
      </w:r>
      <w:r>
        <w:t xml:space="preserve"> and </w:t>
      </w:r>
      <w:r w:rsidRPr="00FB43FB">
        <w:t>distinguishe</w:t>
      </w:r>
      <w:r>
        <w:t>s</w:t>
      </w:r>
      <w:r w:rsidRPr="00FB43FB">
        <w:t xml:space="preserve"> </w:t>
      </w:r>
      <w:r>
        <w:t xml:space="preserve">the </w:t>
      </w:r>
      <w:r w:rsidRPr="00FB43FB">
        <w:t>two main types of larnakes</w:t>
      </w:r>
      <w:r>
        <w:t xml:space="preserve"> adopted in LM III</w:t>
      </w:r>
      <w:r w:rsidRPr="00FB43FB">
        <w:t xml:space="preserve"> according to the</w:t>
      </w:r>
      <w:r>
        <w:t xml:space="preserve">ir </w:t>
      </w:r>
      <w:r w:rsidRPr="00FB43FB">
        <w:t>shape: chest</w:t>
      </w:r>
      <w:r>
        <w:t>-</w:t>
      </w:r>
      <w:r w:rsidRPr="00FB43FB">
        <w:t>shaped and bathtub</w:t>
      </w:r>
      <w:r>
        <w:t xml:space="preserve">. Orsi points out two </w:t>
      </w:r>
      <w:r w:rsidRPr="00FB43FB">
        <w:t>important features of larnakes</w:t>
      </w:r>
      <w:r>
        <w:t xml:space="preserve">: </w:t>
      </w:r>
      <w:r w:rsidRPr="00FB43FB">
        <w:t>painted decoration and use</w:t>
      </w:r>
      <w:r>
        <w:t>. The first feature, larnax iconography, is of particular significance in the history of larnax studies. Orsi</w:t>
      </w:r>
      <w:r w:rsidRPr="00FB43FB">
        <w:t xml:space="preserve"> dates these materials to the </w:t>
      </w:r>
      <w:r>
        <w:t>final</w:t>
      </w:r>
      <w:r w:rsidRPr="00FB43FB">
        <w:t xml:space="preserve"> phase of </w:t>
      </w:r>
      <w:r>
        <w:t>the L</w:t>
      </w:r>
      <w:r w:rsidRPr="00FB43FB">
        <w:t xml:space="preserve">ate Mycenaean period </w:t>
      </w:r>
      <w:r>
        <w:t>according to</w:t>
      </w:r>
      <w:r w:rsidRPr="00FB43FB">
        <w:t xml:space="preserve"> a stylistic analysis (</w:t>
      </w:r>
      <w:r>
        <w:t>Orsi 1890</w:t>
      </w:r>
      <w:r w:rsidRPr="00FB43FB">
        <w:t>: 211-215)</w:t>
      </w:r>
      <w:r>
        <w:t xml:space="preserve"> based on a</w:t>
      </w:r>
      <w:r w:rsidRPr="00FB43FB">
        <w:t xml:space="preserve"> careful description of the moti</w:t>
      </w:r>
      <w:r>
        <w:t>fs</w:t>
      </w:r>
      <w:r w:rsidRPr="00FB43FB">
        <w:t xml:space="preserve"> and on </w:t>
      </w:r>
      <w:r>
        <w:t xml:space="preserve">comparing them </w:t>
      </w:r>
      <w:r w:rsidRPr="00FB43FB">
        <w:t>to the painted decoration on Mycenaean pottery (</w:t>
      </w:r>
      <w:r>
        <w:t>Orsi 1890</w:t>
      </w:r>
      <w:r w:rsidRPr="00FB43FB">
        <w:t>: 215).</w:t>
      </w:r>
    </w:p>
    <w:p w14:paraId="5FE28A4F" w14:textId="77777777" w:rsidR="00391E84" w:rsidRPr="00FB43FB" w:rsidRDefault="00391E84" w:rsidP="00E858EF">
      <w:pPr>
        <w:suppressAutoHyphens/>
        <w:ind w:firstLine="708"/>
      </w:pPr>
      <w:r>
        <w:t xml:space="preserve">Another important aspect that has been highlighted since Orsi’s first study on larnakes is the </w:t>
      </w:r>
      <w:r w:rsidRPr="00FB43FB">
        <w:t xml:space="preserve">lack of information </w:t>
      </w:r>
      <w:r>
        <w:t xml:space="preserve">regarding the context of discoveries and, consequently, the </w:t>
      </w:r>
      <w:r w:rsidRPr="00FB43FB">
        <w:t>difficult</w:t>
      </w:r>
      <w:r>
        <w:t>y</w:t>
      </w:r>
      <w:r w:rsidRPr="00FB43FB">
        <w:t xml:space="preserve"> </w:t>
      </w:r>
      <w:r>
        <w:t xml:space="preserve">of </w:t>
      </w:r>
      <w:r w:rsidRPr="00FB43FB">
        <w:t>reconstruct</w:t>
      </w:r>
      <w:r>
        <w:t>ing</w:t>
      </w:r>
      <w:r w:rsidRPr="00FB43FB">
        <w:t xml:space="preserve"> the rite</w:t>
      </w:r>
      <w:r>
        <w:t>s</w:t>
      </w:r>
      <w:r w:rsidRPr="00FB43FB">
        <w:t xml:space="preserve"> for which larnakes were used</w:t>
      </w:r>
      <w:r>
        <w:t xml:space="preserve">. </w:t>
      </w:r>
      <w:r>
        <w:lastRenderedPageBreak/>
        <w:t>Despite this, Orsi asserts that larnakes were used as burial containers (Orsi 1890</w:t>
      </w:r>
      <w:r w:rsidRPr="00FB43FB">
        <w:t xml:space="preserve">: 223). </w:t>
      </w:r>
      <w:r>
        <w:t>Furthermore, t</w:t>
      </w:r>
      <w:r w:rsidRPr="00FB43FB">
        <w:t xml:space="preserve">he shape and the decoration of bathtub larnakes convinced Orsi that this type of larnax </w:t>
      </w:r>
      <w:r>
        <w:t>was</w:t>
      </w:r>
      <w:r w:rsidRPr="00FB43FB">
        <w:t xml:space="preserve"> used in </w:t>
      </w:r>
      <w:r>
        <w:t>the</w:t>
      </w:r>
      <w:r w:rsidRPr="00FB43FB">
        <w:t xml:space="preserve"> first instance as a proper </w:t>
      </w:r>
      <w:r>
        <w:t>bath</w:t>
      </w:r>
      <w:r w:rsidRPr="00FB43FB">
        <w:t>tub and probably later as a coffin (</w:t>
      </w:r>
      <w:r>
        <w:t>Orsi 1890</w:t>
      </w:r>
      <w:r w:rsidRPr="00FB43FB">
        <w:t xml:space="preserve">: 224). </w:t>
      </w:r>
      <w:r>
        <w:t>However</w:t>
      </w:r>
      <w:r w:rsidRPr="00FB43FB">
        <w:t>, Orsi believes that chest</w:t>
      </w:r>
      <w:r>
        <w:t>-</w:t>
      </w:r>
      <w:r w:rsidRPr="00FB43FB">
        <w:t>shaped larnakes were produced for a specific burial function and imitated a house with a gable roof (</w:t>
      </w:r>
      <w:r>
        <w:t>Orsi 1890</w:t>
      </w:r>
      <w:r w:rsidRPr="00FB43FB">
        <w:t xml:space="preserve">: 225). </w:t>
      </w:r>
    </w:p>
    <w:p w14:paraId="10E0DF94" w14:textId="77777777" w:rsidR="00391E84" w:rsidRPr="00FB43FB" w:rsidRDefault="00391E84" w:rsidP="00E858EF">
      <w:pPr>
        <w:suppressAutoHyphens/>
        <w:ind w:firstLine="708"/>
      </w:pPr>
      <w:r w:rsidRPr="00FB43FB">
        <w:t>A larnax and a lid found in</w:t>
      </w:r>
      <w:r>
        <w:t xml:space="preserve"> a tomb near the village of Me</w:t>
      </w:r>
      <w:r w:rsidRPr="00FB43FB">
        <w:t xml:space="preserve">si, </w:t>
      </w:r>
      <w:r>
        <w:t>described</w:t>
      </w:r>
      <w:r w:rsidRPr="00FB43FB">
        <w:t xml:space="preserve"> by Joubin three years </w:t>
      </w:r>
      <w:r>
        <w:t xml:space="preserve">later </w:t>
      </w:r>
      <w:r w:rsidRPr="00FB43FB">
        <w:t>(Joubin 1892)</w:t>
      </w:r>
      <w:r>
        <w:t>,</w:t>
      </w:r>
      <w:r w:rsidRPr="00FB43FB">
        <w:t xml:space="preserve"> validate</w:t>
      </w:r>
      <w:r>
        <w:t>s</w:t>
      </w:r>
      <w:r w:rsidRPr="00FB43FB">
        <w:t xml:space="preserve"> </w:t>
      </w:r>
      <w:r>
        <w:t>Orsi’s</w:t>
      </w:r>
      <w:r w:rsidRPr="00FB43FB">
        <w:t xml:space="preserve"> interpretation </w:t>
      </w:r>
      <w:r>
        <w:t>regarding</w:t>
      </w:r>
      <w:r w:rsidRPr="00FB43FB">
        <w:t xml:space="preserve"> the chronology and t</w:t>
      </w:r>
      <w:r>
        <w:t>he function of this new type</w:t>
      </w:r>
      <w:r w:rsidRPr="00FB43FB">
        <w:t xml:space="preserve"> of clay object. </w:t>
      </w:r>
    </w:p>
    <w:p w14:paraId="1DEDF34E" w14:textId="77777777" w:rsidR="00391E84" w:rsidRDefault="00391E84" w:rsidP="00E858EF">
      <w:pPr>
        <w:suppressAutoHyphens/>
        <w:ind w:firstLine="708"/>
      </w:pPr>
      <w:r w:rsidRPr="00FB43FB">
        <w:t>Between Orsi</w:t>
      </w:r>
      <w:r>
        <w:t>’s</w:t>
      </w:r>
      <w:r w:rsidRPr="00FB43FB">
        <w:t xml:space="preserve"> publication and the 1960</w:t>
      </w:r>
      <w:r>
        <w:t>s</w:t>
      </w:r>
      <w:r w:rsidRPr="00FB43FB">
        <w:t>, the repertoire of larnakes increase</w:t>
      </w:r>
      <w:r>
        <w:t>d</w:t>
      </w:r>
      <w:r w:rsidRPr="00FB43FB">
        <w:t xml:space="preserve"> </w:t>
      </w:r>
      <w:r>
        <w:t xml:space="preserve">both </w:t>
      </w:r>
      <w:r w:rsidRPr="00FB43FB">
        <w:t>in terms of number and variety.</w:t>
      </w:r>
      <w:r>
        <w:t xml:space="preserve"> The d</w:t>
      </w:r>
      <w:r w:rsidRPr="00FB43FB">
        <w:t>iscoveries</w:t>
      </w:r>
      <w:r>
        <w:t xml:space="preserve"> of several cemeteries</w:t>
      </w:r>
      <w:r w:rsidRPr="00FB43FB">
        <w:t xml:space="preserve"> mark</w:t>
      </w:r>
      <w:r>
        <w:t>ed</w:t>
      </w:r>
      <w:r w:rsidRPr="00FB43FB">
        <w:t xml:space="preserve"> the first </w:t>
      </w:r>
      <w:r>
        <w:t>decade</w:t>
      </w:r>
      <w:r w:rsidRPr="00FB43FB">
        <w:t xml:space="preserve"> of the </w:t>
      </w:r>
      <w:r>
        <w:t>20</w:t>
      </w:r>
      <w:r w:rsidRPr="00FE2DDE">
        <w:rPr>
          <w:vertAlign w:val="superscript"/>
        </w:rPr>
        <w:t>th</w:t>
      </w:r>
      <w:r w:rsidRPr="00FB43FB">
        <w:t xml:space="preserve"> century: larnakes of both types were found in </w:t>
      </w:r>
      <w:r>
        <w:t xml:space="preserve">cemeteries </w:t>
      </w:r>
      <w:r w:rsidRPr="00FB43FB">
        <w:t>such as Praesos and Palaikastro (Bosanquet 1901-2</w:t>
      </w:r>
      <w:r>
        <w:t>, a; b</w:t>
      </w:r>
      <w:r w:rsidRPr="00FB43FB">
        <w:t>)</w:t>
      </w:r>
      <w:r>
        <w:t>;</w:t>
      </w:r>
      <w:r w:rsidRPr="00FB43FB">
        <w:t xml:space="preserve"> Zafer Papoura</w:t>
      </w:r>
      <w:r>
        <w:t>;</w:t>
      </w:r>
      <w:r w:rsidRPr="00FB43FB">
        <w:t xml:space="preserve"> Milatos</w:t>
      </w:r>
      <w:r>
        <w:t xml:space="preserve"> and Ligorty</w:t>
      </w:r>
      <w:r w:rsidRPr="00FB43FB">
        <w:t>no (</w:t>
      </w:r>
      <w:r>
        <w:t>Evans 1906</w:t>
      </w:r>
      <w:r w:rsidRPr="00FB43FB">
        <w:t>)</w:t>
      </w:r>
      <w:r>
        <w:t>; Artsa and Moulianà (Xanthoudide</w:t>
      </w:r>
      <w:r w:rsidRPr="00FB43FB">
        <w:t>s 1904)</w:t>
      </w:r>
      <w:r>
        <w:t>;</w:t>
      </w:r>
      <w:r w:rsidRPr="00FB43FB">
        <w:t xml:space="preserve"> Petras Sitia (AE 1904: 52-56)</w:t>
      </w:r>
      <w:r>
        <w:t>;</w:t>
      </w:r>
      <w:r w:rsidRPr="00FB43FB">
        <w:t xml:space="preserve"> Pachyam</w:t>
      </w:r>
      <w:r>
        <w:t>m</w:t>
      </w:r>
      <w:r w:rsidRPr="00FB43FB">
        <w:t>os and Gournia (Boyd-Hawes 1908)</w:t>
      </w:r>
      <w:r>
        <w:t>; Agia Triada (Paribeni 1904</w:t>
      </w:r>
      <w:r w:rsidRPr="00FB43FB">
        <w:t>) and L</w:t>
      </w:r>
      <w:r>
        <w:t>iliana</w:t>
      </w:r>
      <w:r w:rsidRPr="00FB43FB">
        <w:t xml:space="preserve"> (Savignoni 1904).</w:t>
      </w:r>
    </w:p>
    <w:p w14:paraId="4C9BB633" w14:textId="77777777" w:rsidR="00391E84" w:rsidRPr="00FB43FB" w:rsidRDefault="00391E84" w:rsidP="00E858EF">
      <w:pPr>
        <w:suppressAutoHyphens/>
        <w:ind w:firstLine="708"/>
      </w:pPr>
      <w:r w:rsidRPr="00FB43FB">
        <w:t xml:space="preserve">In this context, </w:t>
      </w:r>
      <w:r>
        <w:t>the sarcophagus at Ag</w:t>
      </w:r>
      <w:r w:rsidRPr="00FB43FB">
        <w:t xml:space="preserve">ia Triada stands out as a unique artefact. </w:t>
      </w:r>
      <w:r>
        <w:t>The sarcophagus</w:t>
      </w:r>
      <w:r w:rsidRPr="00FB43FB">
        <w:t xml:space="preserve"> was found by Paribeni in 1903 in </w:t>
      </w:r>
      <w:r>
        <w:t>T</w:t>
      </w:r>
      <w:r w:rsidRPr="00FB43FB">
        <w:t>omb 4, a stone-built structure located northeast of the Minoan villa near other tomb</w:t>
      </w:r>
      <w:r>
        <w:t>s (Paribeni 1904</w:t>
      </w:r>
      <w:r w:rsidRPr="00FB43FB">
        <w:t xml:space="preserve">; Long 1974; Burke 2005). </w:t>
      </w:r>
      <w:r>
        <w:t>The sarcophagus</w:t>
      </w:r>
      <w:r w:rsidRPr="00FB43FB">
        <w:t xml:space="preserve"> is chest</w:t>
      </w:r>
      <w:r>
        <w:t>-</w:t>
      </w:r>
      <w:r w:rsidRPr="00FB43FB">
        <w:t xml:space="preserve">shaped, made </w:t>
      </w:r>
      <w:r>
        <w:t xml:space="preserve">of </w:t>
      </w:r>
      <w:r w:rsidRPr="00FB43FB">
        <w:t xml:space="preserve">stone and decorated with </w:t>
      </w:r>
      <w:r>
        <w:t>a ‘</w:t>
      </w:r>
      <w:r w:rsidRPr="00FB43FB">
        <w:rPr>
          <w:i/>
        </w:rPr>
        <w:t>half fresco</w:t>
      </w:r>
      <w:r>
        <w:t>’</w:t>
      </w:r>
      <w:r w:rsidRPr="00FB43FB">
        <w:t xml:space="preserve"> technique (Long 1974: 21). The painting is polychrome. The construction of the tomb and the sarcophagus </w:t>
      </w:r>
      <w:r>
        <w:t>is now</w:t>
      </w:r>
      <w:r w:rsidRPr="00FB43FB">
        <w:t xml:space="preserve"> dated to the early LM III A2 period (La Rosa 1999; Burke 2005). </w:t>
      </w:r>
      <w:r>
        <w:t>S</w:t>
      </w:r>
      <w:r w:rsidRPr="00FB43FB">
        <w:t>ome structural and decorative elements</w:t>
      </w:r>
      <w:r>
        <w:t xml:space="preserve"> of the sarcophagus resemble </w:t>
      </w:r>
      <w:r w:rsidRPr="00FB43FB">
        <w:t>contemporary clay larnakes</w:t>
      </w:r>
      <w:r>
        <w:t xml:space="preserve">: </w:t>
      </w:r>
      <w:r w:rsidRPr="00FB43FB">
        <w:t>the presence of feet and hole</w:t>
      </w:r>
      <w:r>
        <w:t>s</w:t>
      </w:r>
      <w:r w:rsidRPr="00FB43FB">
        <w:t xml:space="preserve"> in the base, panel division</w:t>
      </w:r>
      <w:r>
        <w:t>s</w:t>
      </w:r>
      <w:r w:rsidRPr="00FB43FB">
        <w:t xml:space="preserve">, frame borders decorated with spirals, wavy lines and rosettes. However, the material </w:t>
      </w:r>
      <w:r>
        <w:t xml:space="preserve">of </w:t>
      </w:r>
      <w:r w:rsidRPr="00FB43FB">
        <w:t xml:space="preserve">which it </w:t>
      </w:r>
      <w:r>
        <w:t>is</w:t>
      </w:r>
      <w:r w:rsidRPr="00FB43FB">
        <w:t xml:space="preserve"> made, the technique used for painting and the scenes represented on it have no direct parallels </w:t>
      </w:r>
      <w:r>
        <w:t>in L</w:t>
      </w:r>
      <w:r w:rsidRPr="00FB43FB">
        <w:t>ate Minoan coffin</w:t>
      </w:r>
      <w:r>
        <w:t>s (Long 1974: 24), although they may have influenced the iconographical repertoire of clay larnakes (this is particularly visible in a larnax from Kalochorafitis: see Karetsou and Girella 2015: 128-136, Figs. 5.5, 5.6). Therefore, the discovery of the Agia Triada stone sarcophagus impacted the approaches used for larnax studies. On a theoretical scale of the ‘artistic value’ of larnakes, the Agia Triada sarcophagus is at the top and is considered a reference point that influenced the ‘cheaper’ clay chest larnakes with its morphology and, in particular, its iconography.</w:t>
      </w:r>
    </w:p>
    <w:p w14:paraId="0CA9AB95" w14:textId="77777777" w:rsidR="00391E84" w:rsidRPr="00FB43FB" w:rsidRDefault="00391E84" w:rsidP="00E858EF">
      <w:pPr>
        <w:suppressAutoHyphens/>
        <w:ind w:firstLine="708"/>
      </w:pPr>
      <w:r>
        <w:t xml:space="preserve">Further </w:t>
      </w:r>
      <w:r w:rsidRPr="00FB43FB">
        <w:t>discoveries were made in the period betwe</w:t>
      </w:r>
      <w:r>
        <w:t xml:space="preserve">en 1910 and 1960, some of </w:t>
      </w:r>
      <w:r>
        <w:lastRenderedPageBreak/>
        <w:t xml:space="preserve">which are </w:t>
      </w:r>
      <w:r w:rsidRPr="00FB43FB">
        <w:t>listed</w:t>
      </w:r>
      <w:r>
        <w:t xml:space="preserve"> here</w:t>
      </w:r>
      <w:r w:rsidRPr="00FB43FB">
        <w:t xml:space="preserve"> in chronological order</w:t>
      </w:r>
      <w:r>
        <w:t xml:space="preserve"> of publication: Tourloti (S</w:t>
      </w:r>
      <w:r w:rsidRPr="00FB43FB">
        <w:t>e</w:t>
      </w:r>
      <w:r>
        <w:t>a</w:t>
      </w:r>
      <w:r w:rsidRPr="00FB43FB">
        <w:t>ger 1909), Tylissos (Hatzidakis 1913), Gournes (Hatzidakis 1918)</w:t>
      </w:r>
      <w:r>
        <w:t>,</w:t>
      </w:r>
      <w:r w:rsidRPr="00FB43FB">
        <w:t xml:space="preserve"> Mallia (Joly 1928; Van Effenterre 1963), Knossos in Mavro Spelio (Forsdyke 1926-1927) and Upper </w:t>
      </w:r>
      <w:r>
        <w:t>Gypsades (Hood, Huxley, Sandars and</w:t>
      </w:r>
      <w:r w:rsidRPr="00FB43FB">
        <w:t xml:space="preserve"> Werner 1958-1959), </w:t>
      </w:r>
      <w:r>
        <w:t xml:space="preserve"> Episkopi Pediada (</w:t>
      </w:r>
      <w:r w:rsidRPr="00E57B50">
        <w:rPr>
          <w:i/>
        </w:rPr>
        <w:t>ADelt</w:t>
      </w:r>
      <w:r>
        <w:t xml:space="preserve"> 15</w:t>
      </w:r>
      <w:r w:rsidRPr="00FB43FB">
        <w:t xml:space="preserve"> 1933-1935</w:t>
      </w:r>
      <w:r>
        <w:t>: 51-54, fig. 8-9</w:t>
      </w:r>
      <w:r w:rsidRPr="00FB43FB">
        <w:t>), Vathiano Kampos (</w:t>
      </w:r>
      <w:r>
        <w:t>AA</w:t>
      </w:r>
      <w:r w:rsidRPr="00FB43FB">
        <w:t xml:space="preserve"> 1934: 250), </w:t>
      </w:r>
      <w:r w:rsidRPr="00A40F73">
        <w:t>Achladia (</w:t>
      </w:r>
      <w:r w:rsidRPr="00E57B50">
        <w:rPr>
          <w:i/>
        </w:rPr>
        <w:t>KChr</w:t>
      </w:r>
      <w:r w:rsidRPr="00A40F73">
        <w:t xml:space="preserve"> 6 1952:</w:t>
      </w:r>
      <w:r w:rsidRPr="00FF04E9">
        <w:t xml:space="preserve"> 476; Platon</w:t>
      </w:r>
      <w:r w:rsidRPr="00EF4DE9">
        <w:t xml:space="preserve"> </w:t>
      </w:r>
      <w:r w:rsidRPr="00A40F73">
        <w:t>1952</w:t>
      </w:r>
      <w:r>
        <w:t>b</w:t>
      </w:r>
      <w:r w:rsidRPr="00A40F73">
        <w:t>:</w:t>
      </w:r>
      <w:r w:rsidRPr="00FF04E9">
        <w:t xml:space="preserve"> 643-46</w:t>
      </w:r>
      <w:r w:rsidRPr="00A40F73">
        <w:t xml:space="preserve">), Episkopi </w:t>
      </w:r>
      <w:r>
        <w:t>Ierapetra</w:t>
      </w:r>
      <w:r w:rsidRPr="00FF04E9">
        <w:t xml:space="preserve"> </w:t>
      </w:r>
      <w:r>
        <w:t>(</w:t>
      </w:r>
      <w:r w:rsidRPr="00434FFF">
        <w:t>Xanthoudides</w:t>
      </w:r>
      <w:r>
        <w:t xml:space="preserve"> </w:t>
      </w:r>
      <w:r w:rsidRPr="00FF04E9">
        <w:t>1920-1</w:t>
      </w:r>
      <w:r>
        <w:t>921a</w:t>
      </w:r>
      <w:r w:rsidRPr="00434FFF">
        <w:t xml:space="preserve">: </w:t>
      </w:r>
      <w:r w:rsidRPr="00FF04E9">
        <w:t>157-</w:t>
      </w:r>
      <w:r>
        <w:t>1</w:t>
      </w:r>
      <w:r w:rsidRPr="00FF04E9">
        <w:t>62</w:t>
      </w:r>
      <w:r>
        <w:t xml:space="preserve">; </w:t>
      </w:r>
      <w:r w:rsidRPr="00FF04E9">
        <w:rPr>
          <w:i/>
        </w:rPr>
        <w:t>EEKS</w:t>
      </w:r>
      <w:r w:rsidRPr="00FF04E9">
        <w:t xml:space="preserve"> 4 1941: 273; </w:t>
      </w:r>
      <w:r w:rsidRPr="00E57B50">
        <w:rPr>
          <w:i/>
        </w:rPr>
        <w:t>KChr</w:t>
      </w:r>
      <w:r w:rsidRPr="00FF04E9">
        <w:t xml:space="preserve"> 1 1947: 63</w:t>
      </w:r>
      <w:r>
        <w:t>8</w:t>
      </w:r>
      <w:r w:rsidRPr="00FF04E9">
        <w:t xml:space="preserve">; </w:t>
      </w:r>
      <w:r w:rsidRPr="00AC4D8E">
        <w:t xml:space="preserve">), </w:t>
      </w:r>
      <w:r>
        <w:t>Milatos (</w:t>
      </w:r>
      <w:r w:rsidRPr="00434FFF">
        <w:t>Xanthoudides</w:t>
      </w:r>
      <w:r>
        <w:t xml:space="preserve"> </w:t>
      </w:r>
      <w:r w:rsidRPr="008B7017">
        <w:t>1920-1</w:t>
      </w:r>
      <w:r>
        <w:t>921b</w:t>
      </w:r>
      <w:r w:rsidRPr="00434FFF">
        <w:t xml:space="preserve">: </w:t>
      </w:r>
      <w:r>
        <w:t xml:space="preserve">154-157) </w:t>
      </w:r>
      <w:r w:rsidRPr="00AC4D8E">
        <w:t>Olous Elounda (Van Effenterre 1948), Kritsa (</w:t>
      </w:r>
      <w:r w:rsidRPr="00E57B50">
        <w:rPr>
          <w:i/>
        </w:rPr>
        <w:t>KChr</w:t>
      </w:r>
      <w:r w:rsidRPr="00253D28">
        <w:t xml:space="preserve"> </w:t>
      </w:r>
      <w:r>
        <w:t xml:space="preserve">5 </w:t>
      </w:r>
      <w:r w:rsidRPr="00253D28">
        <w:t>1951: 444-445), Choumeri (</w:t>
      </w:r>
      <w:r w:rsidRPr="00E57B50">
        <w:rPr>
          <w:i/>
        </w:rPr>
        <w:t>KChr</w:t>
      </w:r>
      <w:r w:rsidRPr="00253D28">
        <w:t xml:space="preserve"> </w:t>
      </w:r>
      <w:r>
        <w:t xml:space="preserve">5 </w:t>
      </w:r>
      <w:r w:rsidRPr="00253D28">
        <w:t>1951</w:t>
      </w:r>
      <w:r>
        <w:t>: 445</w:t>
      </w:r>
      <w:r w:rsidRPr="00253D28">
        <w:t>); Dramia (</w:t>
      </w:r>
      <w:r w:rsidRPr="00E57B50">
        <w:rPr>
          <w:i/>
        </w:rPr>
        <w:t>KChr</w:t>
      </w:r>
      <w:r>
        <w:t xml:space="preserve"> 5 </w:t>
      </w:r>
      <w:r w:rsidRPr="00253D28">
        <w:t>1951:</w:t>
      </w:r>
      <w:r w:rsidRPr="0034387E">
        <w:t>445), Pachyammos (</w:t>
      </w:r>
      <w:r>
        <w:t>Alexiou 1954: 399-412</w:t>
      </w:r>
      <w:r w:rsidRPr="0034387E">
        <w:t>), Giophyrakia (</w:t>
      </w:r>
      <w:r w:rsidRPr="00E57B50">
        <w:rPr>
          <w:i/>
        </w:rPr>
        <w:t xml:space="preserve">KChr </w:t>
      </w:r>
      <w:r w:rsidRPr="0034387E">
        <w:t xml:space="preserve"> 13 1959: 367-368).</w:t>
      </w:r>
      <w:r>
        <w:t xml:space="preserve"> Thanks to these discoveries, not only did the sample of larnakes from Crete become more significant, but also it became clear that clay sarcophagi represented a popular interment method adopted for burials in LM III period.</w:t>
      </w:r>
    </w:p>
    <w:p w14:paraId="64281991" w14:textId="77777777" w:rsidR="00391E84" w:rsidRPr="00FB43FB" w:rsidRDefault="00391E84" w:rsidP="00E858EF">
      <w:pPr>
        <w:suppressAutoHyphens/>
        <w:ind w:firstLine="708"/>
      </w:pPr>
      <w:r w:rsidRPr="00FB43FB">
        <w:t xml:space="preserve">Some artefacts </w:t>
      </w:r>
      <w:r>
        <w:t>stood out</w:t>
      </w:r>
      <w:r w:rsidRPr="00FB43FB">
        <w:t xml:space="preserve"> for the quality of painted representation. </w:t>
      </w:r>
      <w:r>
        <w:t>Thus</w:t>
      </w:r>
      <w:r w:rsidRPr="00FB43FB">
        <w:t xml:space="preserve">, Late Minoan </w:t>
      </w:r>
      <w:r>
        <w:t xml:space="preserve">larnakes </w:t>
      </w:r>
      <w:r w:rsidRPr="00FB43FB">
        <w:t xml:space="preserve">were included in manuals of Aegean </w:t>
      </w:r>
      <w:r>
        <w:t xml:space="preserve">archaeology </w:t>
      </w:r>
      <w:r w:rsidRPr="00FB43FB">
        <w:t xml:space="preserve">(Pendlebury 1939; Zervos 1956; </w:t>
      </w:r>
      <w:r>
        <w:t>Marinatos and</w:t>
      </w:r>
      <w:r w:rsidRPr="00FB43FB">
        <w:t xml:space="preserve"> Hirmer 1960).</w:t>
      </w:r>
      <w:r>
        <w:t xml:space="preserve"> Consequently, little importance was given to the burial contexts in which larnakes were found; the interest in larnakes mainly concerned their value as ‘artefacts’.</w:t>
      </w:r>
    </w:p>
    <w:p w14:paraId="7169B07B" w14:textId="78780D02" w:rsidR="00391E84" w:rsidRPr="00FB43FB" w:rsidRDefault="00391E84" w:rsidP="00E858EF">
      <w:pPr>
        <w:suppressAutoHyphens/>
        <w:ind w:firstLine="708"/>
      </w:pPr>
      <w:r w:rsidRPr="00FB43FB">
        <w:t>The</w:t>
      </w:r>
      <w:r>
        <w:t xml:space="preserve"> 1960s and 1970s were</w:t>
      </w:r>
      <w:r w:rsidRPr="00FB43FB">
        <w:t xml:space="preserve"> marked by the discover</w:t>
      </w:r>
      <w:r>
        <w:t>y</w:t>
      </w:r>
      <w:r w:rsidRPr="00FB43FB">
        <w:t xml:space="preserve"> of two important cemeteries: Tanagra in Boeotia</w:t>
      </w:r>
      <w:r>
        <w:t>,</w:t>
      </w:r>
      <w:r w:rsidRPr="00FB43FB">
        <w:t xml:space="preserve"> and Armenoi in the </w:t>
      </w:r>
      <w:r>
        <w:t xml:space="preserve">Rethymno </w:t>
      </w:r>
      <w:r w:rsidRPr="00FB43FB">
        <w:t>district of Crete.</w:t>
      </w:r>
      <w:r>
        <w:t xml:space="preserve"> </w:t>
      </w:r>
      <w:r w:rsidRPr="00FB43FB">
        <w:t>In 1965</w:t>
      </w:r>
      <w:r>
        <w:t>,</w:t>
      </w:r>
      <w:r w:rsidRPr="00FB43FB">
        <w:t xml:space="preserve"> Vermeule report</w:t>
      </w:r>
      <w:r>
        <w:t>ed</w:t>
      </w:r>
      <w:r w:rsidRPr="00FB43FB">
        <w:t xml:space="preserve"> the existence of </w:t>
      </w:r>
      <w:r>
        <w:t>‘</w:t>
      </w:r>
      <w:r w:rsidRPr="00FB43FB">
        <w:rPr>
          <w:i/>
        </w:rPr>
        <w:t>a new group of painted mainland larnakes</w:t>
      </w:r>
      <w:r>
        <w:rPr>
          <w:i/>
        </w:rPr>
        <w:t>’</w:t>
      </w:r>
      <w:r w:rsidRPr="00FB43FB">
        <w:t xml:space="preserve"> (Vermeule 1965: 124). She describes </w:t>
      </w:r>
      <w:r>
        <w:t>12</w:t>
      </w:r>
      <w:r w:rsidRPr="00FB43FB">
        <w:t xml:space="preserve"> fragmentary chest</w:t>
      </w:r>
      <w:r>
        <w:t>-</w:t>
      </w:r>
      <w:r w:rsidRPr="00FB43FB">
        <w:t>shaped sarcophagi</w:t>
      </w:r>
      <w:r>
        <w:t>,</w:t>
      </w:r>
      <w:r w:rsidRPr="00FB43FB">
        <w:t xml:space="preserve"> </w:t>
      </w:r>
      <w:r>
        <w:t>t</w:t>
      </w:r>
      <w:r w:rsidRPr="00FB43FB">
        <w:t xml:space="preserve">he majority of </w:t>
      </w:r>
      <w:r>
        <w:t>which</w:t>
      </w:r>
      <w:r w:rsidRPr="00FB43FB">
        <w:t xml:space="preserve"> </w:t>
      </w:r>
      <w:r>
        <w:t>we</w:t>
      </w:r>
      <w:r w:rsidRPr="00FB43FB">
        <w:t>re located in European and American private collections or museums</w:t>
      </w:r>
      <w:r>
        <w:t>;</w:t>
      </w:r>
      <w:r w:rsidRPr="00FB43FB">
        <w:t xml:space="preserve"> the Greek authorit</w:t>
      </w:r>
      <w:r>
        <w:t xml:space="preserve">ies </w:t>
      </w:r>
      <w:r w:rsidRPr="00FB43FB">
        <w:t>ha</w:t>
      </w:r>
      <w:r>
        <w:t>d</w:t>
      </w:r>
      <w:r w:rsidRPr="00FB43FB">
        <w:t xml:space="preserve"> only a limited number. According to her report, these coffins came from a cemetery near the modern village of Tanagra in Boeotia. </w:t>
      </w:r>
      <w:r>
        <w:t xml:space="preserve">This </w:t>
      </w:r>
      <w:r w:rsidRPr="00FB43FB">
        <w:t xml:space="preserve">article </w:t>
      </w:r>
      <w:r>
        <w:t>wa</w:t>
      </w:r>
      <w:r w:rsidRPr="00FB43FB">
        <w:t>s followed by several excavation campaigns under the direction of Spyropoulos between 1968 and 1984 in two cemeter</w:t>
      </w:r>
      <w:r>
        <w:t>ies</w:t>
      </w:r>
      <w:r w:rsidRPr="00FB43FB">
        <w:t>, Dendron and Gephyra, located east and southeast of the village of Tanagra (Spyropoulos 1969a: 5-15; 1969b: 20-25; 1970a: 29-36; 1970b: 184-197; 1</w:t>
      </w:r>
      <w:r>
        <w:t>971: 7-14; 1972</w:t>
      </w:r>
      <w:r w:rsidRPr="00FB43FB">
        <w:t>: 206-209; 1973: 11-21; 1974: 9-33; 1975: 415- 427; 1976: 61-68; 1977: 25-31; 1979: 27-36; 1984: 143-145).</w:t>
      </w:r>
      <w:r>
        <w:t xml:space="preserve"> </w:t>
      </w:r>
      <w:r w:rsidRPr="00FB43FB">
        <w:t xml:space="preserve">One hundred and thirty-three tombs were </w:t>
      </w:r>
      <w:r>
        <w:t>revealed in the</w:t>
      </w:r>
      <w:r w:rsidRPr="00FB43FB">
        <w:t xml:space="preserve"> Dendron and </w:t>
      </w:r>
      <w:r>
        <w:t>63</w:t>
      </w:r>
      <w:r w:rsidRPr="00FB43FB">
        <w:t xml:space="preserve"> at Gephyra. Spyropoulos reports </w:t>
      </w:r>
      <w:r>
        <w:t xml:space="preserve">that </w:t>
      </w:r>
      <w:r w:rsidRPr="00FB43FB">
        <w:t xml:space="preserve">a total of </w:t>
      </w:r>
      <w:r>
        <w:t>59</w:t>
      </w:r>
      <w:r w:rsidRPr="00FB43FB">
        <w:t xml:space="preserve"> clay larnakes </w:t>
      </w:r>
      <w:r>
        <w:t xml:space="preserve">were </w:t>
      </w:r>
      <w:r w:rsidRPr="00FB43FB">
        <w:t xml:space="preserve">found in </w:t>
      </w:r>
      <w:r>
        <w:t xml:space="preserve">18 </w:t>
      </w:r>
      <w:r w:rsidRPr="00FB43FB">
        <w:t xml:space="preserve">different tombs </w:t>
      </w:r>
      <w:r>
        <w:t xml:space="preserve">at </w:t>
      </w:r>
      <w:r w:rsidRPr="00FB43FB">
        <w:t>Dendron</w:t>
      </w:r>
      <w:r>
        <w:t xml:space="preserve"> cemetery </w:t>
      </w:r>
      <w:r w:rsidRPr="00FB43FB">
        <w:t>(Sp</w:t>
      </w:r>
      <w:r>
        <w:t xml:space="preserve">yropoulos 1984: 143-145) and in 17 </w:t>
      </w:r>
      <w:r w:rsidRPr="00FB43FB">
        <w:t xml:space="preserve">tombs </w:t>
      </w:r>
      <w:r>
        <w:t xml:space="preserve">at </w:t>
      </w:r>
      <w:r w:rsidRPr="00FB43FB">
        <w:t>Gephyra (Spyropoulos 1971: 8)</w:t>
      </w:r>
      <w:r>
        <w:t xml:space="preserve">. Eighty decorated larnakes are known, 60 of which were recovered from the </w:t>
      </w:r>
      <w:r>
        <w:lastRenderedPageBreak/>
        <w:t>excavation (Kramer-Hajos</w:t>
      </w:r>
      <w:r w:rsidR="00315FF2">
        <w:t xml:space="preserve"> </w:t>
      </w:r>
      <w:r w:rsidR="00AB40E6">
        <w:t>2015</w:t>
      </w:r>
      <w:r>
        <w:t>:</w:t>
      </w:r>
      <w:r w:rsidRPr="00FB43FB">
        <w:t xml:space="preserve"> </w:t>
      </w:r>
      <w:r>
        <w:t xml:space="preserve">627, 662). </w:t>
      </w:r>
      <w:r w:rsidRPr="00FB43FB">
        <w:t>Unfortunately, it is</w:t>
      </w:r>
      <w:r>
        <w:t xml:space="preserve"> </w:t>
      </w:r>
      <w:r w:rsidRPr="00FB43FB">
        <w:t>n</w:t>
      </w:r>
      <w:r>
        <w:t>o</w:t>
      </w:r>
      <w:r w:rsidRPr="00FB43FB">
        <w:t>t possible to determine the precise number of decorated larnakes</w:t>
      </w:r>
      <w:r>
        <w:t xml:space="preserve"> </w:t>
      </w:r>
      <w:r w:rsidRPr="00FB43FB">
        <w:t xml:space="preserve">because a </w:t>
      </w:r>
      <w:r>
        <w:t xml:space="preserve">full </w:t>
      </w:r>
      <w:r w:rsidRPr="00FB43FB">
        <w:t xml:space="preserve">publication of the finds </w:t>
      </w:r>
      <w:r>
        <w:t xml:space="preserve">from the </w:t>
      </w:r>
      <w:r w:rsidRPr="00FB43FB">
        <w:t>Tanagra ce</w:t>
      </w:r>
      <w:r>
        <w:t>meteries does not yet exist. The only information available is from the excavation reports in the Thebes</w:t>
      </w:r>
      <w:r w:rsidRPr="00FB43FB">
        <w:t xml:space="preserve"> Museum</w:t>
      </w:r>
      <w:r>
        <w:t xml:space="preserve"> guide (</w:t>
      </w:r>
      <w:r w:rsidRPr="00FB43FB">
        <w:t>Demakopoulou-Konsola 1981: 42-44</w:t>
      </w:r>
      <w:r w:rsidR="00AB40E6">
        <w:t>; Aravantinos 2010</w:t>
      </w:r>
      <w:r w:rsidRPr="00FB43FB">
        <w:t>). The cemetery seems to</w:t>
      </w:r>
      <w:r>
        <w:t xml:space="preserve"> have been</w:t>
      </w:r>
      <w:r w:rsidRPr="00FB43FB">
        <w:t xml:space="preserve"> </w:t>
      </w:r>
      <w:r>
        <w:t xml:space="preserve">used between the first phase of the </w:t>
      </w:r>
      <w:r w:rsidRPr="00FB43FB">
        <w:t>L</w:t>
      </w:r>
      <w:r w:rsidR="00AB40E6">
        <w:t>H</w:t>
      </w:r>
      <w:r w:rsidRPr="00FB43FB">
        <w:t xml:space="preserve"> IIIA period </w:t>
      </w:r>
      <w:r>
        <w:t xml:space="preserve">and </w:t>
      </w:r>
      <w:r w:rsidRPr="00FB43FB">
        <w:t>the start of L</w:t>
      </w:r>
      <w:r w:rsidR="00AB40E6">
        <w:t>H</w:t>
      </w:r>
      <w:r w:rsidRPr="00FB43FB">
        <w:t xml:space="preserve"> IIIC (Spyropoulos 1971: 10-14; 1973: 20; Phialon and Farruggio 2005: 231).</w:t>
      </w:r>
    </w:p>
    <w:p w14:paraId="7EA45298" w14:textId="77777777" w:rsidR="00391E84" w:rsidRDefault="00391E84" w:rsidP="00E858EF">
      <w:pPr>
        <w:suppressAutoHyphens/>
        <w:ind w:firstLine="708"/>
      </w:pPr>
      <w:r w:rsidRPr="009009D1">
        <w:t>In the same decade, a</w:t>
      </w:r>
      <w:r w:rsidRPr="00FB43FB">
        <w:t xml:space="preserve"> huge necropolis was found in Crete, the Armenoi cemetery. It is situated 9 km south of Rethymno, near the modern village of Armenoi. During </w:t>
      </w:r>
      <w:r>
        <w:t>15</w:t>
      </w:r>
      <w:r w:rsidRPr="00FB43FB">
        <w:t xml:space="preserve"> excavation campaigns</w:t>
      </w:r>
      <w:r>
        <w:t>,</w:t>
      </w:r>
      <w:r w:rsidRPr="00FB43FB">
        <w:t xml:space="preserve"> </w:t>
      </w:r>
      <w:r>
        <w:t xml:space="preserve">beginning in 1969, Tzedakis discovered 231 </w:t>
      </w:r>
      <w:r w:rsidRPr="00FB43FB">
        <w:t>chamber tombs</w:t>
      </w:r>
      <w:r>
        <w:t xml:space="preserve"> and</w:t>
      </w:r>
      <w:r w:rsidRPr="00FB43FB">
        <w:t xml:space="preserve"> one tholos tomb (Tzedakis 1971: 216-222;</w:t>
      </w:r>
      <w:r>
        <w:t xml:space="preserve"> </w:t>
      </w:r>
      <w:r w:rsidRPr="0003652B">
        <w:rPr>
          <w:i/>
        </w:rPr>
        <w:t>BCH</w:t>
      </w:r>
      <w:r w:rsidRPr="00FB43FB">
        <w:t xml:space="preserve"> </w:t>
      </w:r>
      <w:r>
        <w:t xml:space="preserve">96 </w:t>
      </w:r>
      <w:r w:rsidRPr="00FB43FB">
        <w:t xml:space="preserve">1972: 805; </w:t>
      </w:r>
      <w:r w:rsidRPr="0003652B">
        <w:rPr>
          <w:i/>
        </w:rPr>
        <w:t>ADelt</w:t>
      </w:r>
      <w:r>
        <w:t xml:space="preserve"> 25 1970</w:t>
      </w:r>
      <w:r w:rsidRPr="00FB43FB">
        <w:t xml:space="preserve">: 476-477; </w:t>
      </w:r>
      <w:r w:rsidRPr="0003652B">
        <w:rPr>
          <w:i/>
        </w:rPr>
        <w:t>ADelt</w:t>
      </w:r>
      <w:r>
        <w:t xml:space="preserve"> 26 1971</w:t>
      </w:r>
      <w:r w:rsidRPr="00FB43FB">
        <w:t>: 513-516;</w:t>
      </w:r>
      <w:r>
        <w:t xml:space="preserve"> </w:t>
      </w:r>
      <w:r w:rsidRPr="0003652B">
        <w:rPr>
          <w:i/>
        </w:rPr>
        <w:t>ADelt</w:t>
      </w:r>
      <w:r>
        <w:t xml:space="preserve"> 27 1972</w:t>
      </w:r>
      <w:r w:rsidRPr="00FB43FB">
        <w:t xml:space="preserve">: 639-644; </w:t>
      </w:r>
      <w:r w:rsidRPr="0003652B">
        <w:rPr>
          <w:i/>
        </w:rPr>
        <w:t>ADelt</w:t>
      </w:r>
      <w:r>
        <w:t xml:space="preserve"> 29 1973-74: 917-921</w:t>
      </w:r>
      <w:r w:rsidRPr="00FB43FB">
        <w:t xml:space="preserve">; </w:t>
      </w:r>
      <w:r w:rsidRPr="0003652B">
        <w:rPr>
          <w:i/>
        </w:rPr>
        <w:t>ADelt</w:t>
      </w:r>
      <w:r>
        <w:t xml:space="preserve"> 31 1976:</w:t>
      </w:r>
      <w:r w:rsidRPr="00920221">
        <w:t xml:space="preserve"> 368-372</w:t>
      </w:r>
      <w:r w:rsidRPr="00FB43FB">
        <w:t xml:space="preserve">; </w:t>
      </w:r>
      <w:r w:rsidRPr="0003652B">
        <w:rPr>
          <w:i/>
        </w:rPr>
        <w:t>ADelt</w:t>
      </w:r>
      <w:r>
        <w:t xml:space="preserve"> 33 1978</w:t>
      </w:r>
      <w:r w:rsidRPr="00FB43FB">
        <w:t xml:space="preserve">: 378-380; </w:t>
      </w:r>
      <w:r w:rsidRPr="0003652B">
        <w:rPr>
          <w:i/>
        </w:rPr>
        <w:t>ADelt</w:t>
      </w:r>
      <w:r>
        <w:t xml:space="preserve"> 35 1980: 512-517</w:t>
      </w:r>
      <w:r w:rsidRPr="00FB43FB">
        <w:t>; Godart</w:t>
      </w:r>
      <w:r>
        <w:t xml:space="preserve"> and </w:t>
      </w:r>
      <w:r w:rsidRPr="00FB43FB">
        <w:t>Tzedakis 1992: 85-94; 1994: 64-66; Tzedakis 1996</w:t>
      </w:r>
      <w:r>
        <w:t xml:space="preserve">: </w:t>
      </w:r>
      <w:r w:rsidRPr="00A621DA">
        <w:t>1121-1130</w:t>
      </w:r>
      <w:r w:rsidRPr="00FB43FB">
        <w:t>; Langohr 2009: 144-150; Tzedakis</w:t>
      </w:r>
      <w:r>
        <w:t xml:space="preserve"> and </w:t>
      </w:r>
      <w:r w:rsidRPr="00FB43FB">
        <w:t>Martlew 2012: 239-245)</w:t>
      </w:r>
      <w:r>
        <w:t xml:space="preserve">. </w:t>
      </w:r>
      <w:r w:rsidRPr="00FB43FB">
        <w:t>Tzedakis reports 32 decorated larnakes from this necropolis, of which two have polychrome decoration (Tzedakis</w:t>
      </w:r>
      <w:r>
        <w:t xml:space="preserve"> and</w:t>
      </w:r>
      <w:r w:rsidRPr="00FB43FB">
        <w:t xml:space="preserve"> Martlew 2012: 243). The cemetery </w:t>
      </w:r>
      <w:r>
        <w:t xml:space="preserve">seems to have been </w:t>
      </w:r>
      <w:r w:rsidRPr="00FB43FB">
        <w:t xml:space="preserve">in use between the </w:t>
      </w:r>
      <w:r>
        <w:t>beginning</w:t>
      </w:r>
      <w:r w:rsidRPr="00FB43FB">
        <w:t xml:space="preserve"> o</w:t>
      </w:r>
      <w:r>
        <w:t xml:space="preserve">f LM IIIA and LM IIIB (Tzedakis and </w:t>
      </w:r>
      <w:r w:rsidRPr="00FB43FB">
        <w:t>Martlew 2012:</w:t>
      </w:r>
      <w:r>
        <w:t xml:space="preserve"> </w:t>
      </w:r>
      <w:r w:rsidRPr="00FB43FB">
        <w:t>239).</w:t>
      </w:r>
      <w:r>
        <w:t xml:space="preserve"> </w:t>
      </w:r>
    </w:p>
    <w:p w14:paraId="0101916D" w14:textId="14BAE36F" w:rsidR="00391E84" w:rsidRPr="00FB43FB" w:rsidRDefault="00391E84" w:rsidP="00E858EF">
      <w:pPr>
        <w:suppressAutoHyphens/>
        <w:ind w:firstLine="360"/>
      </w:pPr>
      <w:r>
        <w:t>The discover</w:t>
      </w:r>
      <w:r w:rsidR="00AB40E6">
        <w:t>y</w:t>
      </w:r>
      <w:r>
        <w:t xml:space="preserve"> of these two cemeteries constitutes a turning point for iconographical larnax studies because of the quality and quantity of decorated larnakes associated with their </w:t>
      </w:r>
      <w:r w:rsidRPr="00FE2DDE">
        <w:t xml:space="preserve">tombs. Several </w:t>
      </w:r>
      <w:r w:rsidRPr="00FB43FB">
        <w:t xml:space="preserve">other discoveries occurred all over Crete in </w:t>
      </w:r>
      <w:r>
        <w:t>the period between 1960 and 2000</w:t>
      </w:r>
      <w:r w:rsidRPr="00FB43FB">
        <w:t xml:space="preserve">. </w:t>
      </w:r>
      <w:r>
        <w:t xml:space="preserve">Some are published and other not fully published. </w:t>
      </w:r>
      <w:r w:rsidRPr="00FB43FB">
        <w:t>Among them,</w:t>
      </w:r>
      <w:r>
        <w:t xml:space="preserve"> ordered</w:t>
      </w:r>
      <w:r w:rsidRPr="00FB43FB">
        <w:t xml:space="preserve"> </w:t>
      </w:r>
      <w:r>
        <w:t xml:space="preserve">in two groups by site and date of discovery/publication (first group 1960-1980 and second group 1980-2000), </w:t>
      </w:r>
      <w:r w:rsidRPr="00FB43FB">
        <w:t>are</w:t>
      </w:r>
      <w:r>
        <w:t xml:space="preserve"> some</w:t>
      </w:r>
      <w:r w:rsidRPr="00FB43FB">
        <w:t xml:space="preserve"> worth mentioning</w:t>
      </w:r>
      <w:r>
        <w:t xml:space="preserve"> because they constitute, for the present study, some of the most complete information on the association of larnakes with burials:</w:t>
      </w:r>
    </w:p>
    <w:p w14:paraId="3434ADFB" w14:textId="77777777" w:rsidR="00391E84" w:rsidRPr="00FB43FB" w:rsidRDefault="00391E84" w:rsidP="00E858EF">
      <w:pPr>
        <w:pStyle w:val="Paragrafoelenco"/>
        <w:numPr>
          <w:ilvl w:val="0"/>
          <w:numId w:val="6"/>
        </w:numPr>
        <w:suppressAutoHyphens/>
      </w:pPr>
      <w:r w:rsidRPr="00FB43FB">
        <w:t xml:space="preserve">Stavromenos: a chamber tomb containing five larnakes </w:t>
      </w:r>
      <w:r>
        <w:t>east</w:t>
      </w:r>
      <w:r w:rsidRPr="00FB43FB">
        <w:t xml:space="preserve"> of the village</w:t>
      </w:r>
      <w:r>
        <w:t xml:space="preserve"> on the north slope of the hill of Vigla</w:t>
      </w:r>
      <w:r w:rsidRPr="00FB43FB">
        <w:t xml:space="preserve"> was discovered in 1960 by Alexiou (</w:t>
      </w:r>
      <w:r w:rsidRPr="0098481B">
        <w:t xml:space="preserve">ADelt </w:t>
      </w:r>
      <w:r w:rsidRPr="00FB43FB">
        <w:t>16 1960</w:t>
      </w:r>
      <w:r>
        <w:t xml:space="preserve">: </w:t>
      </w:r>
      <w:r w:rsidRPr="00FB43FB">
        <w:t>272;</w:t>
      </w:r>
      <w:r>
        <w:t xml:space="preserve"> Faure</w:t>
      </w:r>
      <w:r w:rsidRPr="00FB43FB">
        <w:t xml:space="preserve"> 1960</w:t>
      </w:r>
      <w:r>
        <w:t xml:space="preserve">: </w:t>
      </w:r>
      <w:r w:rsidRPr="00FB43FB">
        <w:t>202</w:t>
      </w:r>
      <w:r>
        <w:t>; Kanta 1980: 212; Langohr 2009: 155).</w:t>
      </w:r>
    </w:p>
    <w:p w14:paraId="6403568A" w14:textId="77777777" w:rsidR="00391E84" w:rsidRPr="00FB43FB" w:rsidRDefault="00391E84" w:rsidP="00E858EF">
      <w:pPr>
        <w:pStyle w:val="Paragrafoelenco"/>
        <w:numPr>
          <w:ilvl w:val="0"/>
          <w:numId w:val="6"/>
        </w:numPr>
        <w:suppressAutoHyphens/>
      </w:pPr>
      <w:r w:rsidRPr="00FB43FB">
        <w:t>Kalochorafitis: two of the three chamber tombs found near the village in 1960 and in 1973 contained painted sarcophagi (</w:t>
      </w:r>
      <w:r w:rsidRPr="0098481B">
        <w:rPr>
          <w:bCs/>
        </w:rPr>
        <w:t>KChr</w:t>
      </w:r>
      <w:r w:rsidRPr="00FB43FB">
        <w:rPr>
          <w:bCs/>
        </w:rPr>
        <w:t xml:space="preserve"> 25 1973: 471; </w:t>
      </w:r>
      <w:r>
        <w:t>Davaras and Banou</w:t>
      </w:r>
      <w:r w:rsidRPr="00FB43FB">
        <w:t xml:space="preserve"> 2003).</w:t>
      </w:r>
    </w:p>
    <w:p w14:paraId="6F1BE819" w14:textId="77777777" w:rsidR="00391E84" w:rsidRPr="00FB43FB" w:rsidRDefault="00391E84" w:rsidP="00E858EF">
      <w:pPr>
        <w:pStyle w:val="Paragrafoelenco"/>
        <w:numPr>
          <w:ilvl w:val="0"/>
          <w:numId w:val="6"/>
        </w:numPr>
        <w:suppressAutoHyphens/>
      </w:pPr>
      <w:r w:rsidRPr="00FB43FB">
        <w:t>Apodoulou: three chest</w:t>
      </w:r>
      <w:r>
        <w:t>-</w:t>
      </w:r>
      <w:r w:rsidRPr="00FB43FB">
        <w:t xml:space="preserve">shaped larnakes </w:t>
      </w:r>
      <w:r>
        <w:t>in</w:t>
      </w:r>
      <w:r w:rsidRPr="00FB43FB">
        <w:t xml:space="preserve"> a tholos tomb found by Davaras near the modern village (</w:t>
      </w:r>
      <w:r>
        <w:t>ADelt 18</w:t>
      </w:r>
      <w:r w:rsidRPr="00FB43FB">
        <w:t xml:space="preserve"> 1965: 315). </w:t>
      </w:r>
    </w:p>
    <w:p w14:paraId="1CA40843" w14:textId="77777777" w:rsidR="00391E84" w:rsidRPr="00AD7705" w:rsidRDefault="00391E84" w:rsidP="00E858EF">
      <w:pPr>
        <w:pStyle w:val="Paragrafoelenco"/>
        <w:numPr>
          <w:ilvl w:val="0"/>
          <w:numId w:val="6"/>
        </w:numPr>
        <w:suppressAutoHyphens/>
      </w:pPr>
      <w:r w:rsidRPr="00FB43FB">
        <w:lastRenderedPageBreak/>
        <w:t xml:space="preserve">Archanes: </w:t>
      </w:r>
      <w:r>
        <w:t>several L</w:t>
      </w:r>
      <w:r w:rsidRPr="00FB43FB">
        <w:t>ate Minoan larnakes, some of which are decorated, were found in</w:t>
      </w:r>
      <w:r>
        <w:t xml:space="preserve"> Aniph</w:t>
      </w:r>
      <w:r w:rsidRPr="00FB43FB">
        <w:t>oros, Mesa</w:t>
      </w:r>
      <w:r>
        <w:t>mpela, Onta</w:t>
      </w:r>
      <w:r w:rsidRPr="00FB43FB">
        <w:t>des</w:t>
      </w:r>
      <w:r>
        <w:t xml:space="preserve"> and Phourni</w:t>
      </w:r>
      <w:r w:rsidRPr="00AD7705">
        <w:t xml:space="preserve"> </w:t>
      </w:r>
      <w:r>
        <w:t>(</w:t>
      </w:r>
      <w:r w:rsidRPr="00FB43FB">
        <w:t>Sakellarakis 196</w:t>
      </w:r>
      <w:r>
        <w:t>6</w:t>
      </w:r>
      <w:r w:rsidRPr="00FB43FB">
        <w:t>; Sapouna- Sakellaraki 1990; Sakellarakis</w:t>
      </w:r>
      <w:r>
        <w:t xml:space="preserve"> and</w:t>
      </w:r>
      <w:r w:rsidRPr="00FB43FB">
        <w:t xml:space="preserve"> Sakellaraki 1992; 1996; 1997).</w:t>
      </w:r>
    </w:p>
    <w:p w14:paraId="5BDDAB82" w14:textId="77777777" w:rsidR="00391E84" w:rsidRPr="00FB43FB" w:rsidRDefault="00391E84" w:rsidP="00E858EF">
      <w:pPr>
        <w:pStyle w:val="Paragrafoelenco"/>
        <w:numPr>
          <w:ilvl w:val="0"/>
          <w:numId w:val="6"/>
        </w:numPr>
        <w:suppressAutoHyphens/>
      </w:pPr>
      <w:r w:rsidRPr="00B779F9">
        <w:t>Knossos:</w:t>
      </w:r>
      <w:r w:rsidRPr="00FB43FB">
        <w:t xml:space="preserve"> from excavation</w:t>
      </w:r>
      <w:r>
        <w:t>s</w:t>
      </w:r>
      <w:r w:rsidRPr="00FB43FB">
        <w:t xml:space="preserve"> </w:t>
      </w:r>
      <w:r>
        <w:t xml:space="preserve">of a later cemetery </w:t>
      </w:r>
      <w:r w:rsidRPr="00FB43FB">
        <w:t xml:space="preserve">conducted by the British </w:t>
      </w:r>
      <w:r>
        <w:t>S</w:t>
      </w:r>
      <w:r w:rsidRPr="00FB43FB">
        <w:t xml:space="preserve">chool </w:t>
      </w:r>
      <w:r>
        <w:t xml:space="preserve">at </w:t>
      </w:r>
      <w:r w:rsidRPr="00FB43FB">
        <w:t>Athens between 1967 and 1979</w:t>
      </w:r>
      <w:r>
        <w:t>,</w:t>
      </w:r>
      <w:r w:rsidRPr="00FB43FB">
        <w:t xml:space="preserve"> in </w:t>
      </w:r>
      <w:r>
        <w:t xml:space="preserve">an </w:t>
      </w:r>
      <w:r w:rsidRPr="00FB43FB">
        <w:t xml:space="preserve">area </w:t>
      </w:r>
      <w:r>
        <w:t>1</w:t>
      </w:r>
      <w:r w:rsidRPr="00FB43FB">
        <w:t xml:space="preserve"> </w:t>
      </w:r>
      <w:r>
        <w:t>km</w:t>
      </w:r>
      <w:r w:rsidRPr="00FB43FB">
        <w:t xml:space="preserve"> north of the palace</w:t>
      </w:r>
      <w:r>
        <w:t xml:space="preserve"> of Knossos (Knossos North cemetery),</w:t>
      </w:r>
      <w:r w:rsidRPr="00FB43FB">
        <w:t xml:space="preserve"> come fragments of five chest</w:t>
      </w:r>
      <w:r>
        <w:t>-</w:t>
      </w:r>
      <w:r w:rsidRPr="00FB43FB">
        <w:t xml:space="preserve">shaped sarcophagi from </w:t>
      </w:r>
      <w:r>
        <w:t>T</w:t>
      </w:r>
      <w:r w:rsidRPr="00FB43FB">
        <w:t xml:space="preserve">omb Q </w:t>
      </w:r>
      <w:r>
        <w:t xml:space="preserve">at the </w:t>
      </w:r>
      <w:r w:rsidRPr="00FB43FB">
        <w:t>Te</w:t>
      </w:r>
      <w:r>
        <w:t>k</w:t>
      </w:r>
      <w:r w:rsidRPr="00FB43FB">
        <w:t>ke site</w:t>
      </w:r>
      <w:r>
        <w:t xml:space="preserve"> </w:t>
      </w:r>
      <w:r w:rsidRPr="00FB43FB">
        <w:t>(Coldstream</w:t>
      </w:r>
      <w:r>
        <w:t xml:space="preserve"> and </w:t>
      </w:r>
      <w:r w:rsidRPr="00FB43FB">
        <w:t>Catling 1996:</w:t>
      </w:r>
      <w:r>
        <w:t xml:space="preserve"> </w:t>
      </w:r>
      <w:r w:rsidRPr="00FB43FB">
        <w:t xml:space="preserve">51) </w:t>
      </w:r>
      <w:r>
        <w:t xml:space="preserve">and </w:t>
      </w:r>
      <w:r w:rsidRPr="00FB43FB">
        <w:t xml:space="preserve">four from tombs 85, 107, 292 </w:t>
      </w:r>
      <w:r>
        <w:t xml:space="preserve">and </w:t>
      </w:r>
      <w:r w:rsidRPr="00FB43FB">
        <w:t>294</w:t>
      </w:r>
      <w:r>
        <w:t xml:space="preserve"> at the M</w:t>
      </w:r>
      <w:r w:rsidRPr="00FB43FB">
        <w:t xml:space="preserve">edical </w:t>
      </w:r>
      <w:r>
        <w:t>F</w:t>
      </w:r>
      <w:r w:rsidRPr="00FB43FB">
        <w:t>aculty site (Coldstream</w:t>
      </w:r>
      <w:r>
        <w:t xml:space="preserve"> and </w:t>
      </w:r>
      <w:r w:rsidRPr="00FB43FB">
        <w:t xml:space="preserve">Catling 1996: 128, 159, 270, 278). </w:t>
      </w:r>
      <w:r>
        <w:t xml:space="preserve">These fragmentary larnakes were not found </w:t>
      </w:r>
      <w:r w:rsidRPr="00FE2DDE">
        <w:rPr>
          <w:i/>
        </w:rPr>
        <w:t>in situ</w:t>
      </w:r>
      <w:r>
        <w:t xml:space="preserve"> but in fragments in later tombs; they constitute an interesting case study demonstrating how larnakes were still considered and perceived as object with meaning from previous burial customs.</w:t>
      </w:r>
    </w:p>
    <w:p w14:paraId="62098AC4" w14:textId="77777777" w:rsidR="00391E84" w:rsidRPr="00FB43FB" w:rsidRDefault="00391E84" w:rsidP="00E858EF">
      <w:pPr>
        <w:pStyle w:val="Paragrafoelenco"/>
        <w:numPr>
          <w:ilvl w:val="0"/>
          <w:numId w:val="6"/>
        </w:numPr>
        <w:suppressAutoHyphens/>
      </w:pPr>
      <w:r w:rsidRPr="00955777">
        <w:t>Maroulas:</w:t>
      </w:r>
      <w:r w:rsidRPr="00FB43FB">
        <w:t xml:space="preserve"> four chamber tombs were found </w:t>
      </w:r>
      <w:r>
        <w:t>u</w:t>
      </w:r>
      <w:r w:rsidRPr="00FB43FB">
        <w:t xml:space="preserve">nfortunately plundered, </w:t>
      </w:r>
      <w:r>
        <w:t xml:space="preserve">but </w:t>
      </w:r>
      <w:r w:rsidRPr="00FB43FB">
        <w:t>five larnakes were foun</w:t>
      </w:r>
      <w:r>
        <w:t>d</w:t>
      </w:r>
      <w:r w:rsidRPr="00FB43FB">
        <w:t xml:space="preserve"> in two of them, on</w:t>
      </w:r>
      <w:r>
        <w:t xml:space="preserve">e </w:t>
      </w:r>
      <w:r w:rsidRPr="00FB43FB">
        <w:t xml:space="preserve">of which is stored in </w:t>
      </w:r>
      <w:r>
        <w:t xml:space="preserve">the </w:t>
      </w:r>
      <w:r w:rsidRPr="00FB43FB">
        <w:t>Rethymno Museum (Kanta 1973) and the others in Thessa</w:t>
      </w:r>
      <w:r>
        <w:t>loniki (Michailidou-Pappa 1972). In the following years, finds and information came from different sources (e.g. chance discoveries and illegal digging) and, in the 1980s, systematic excavation revealed the existence of LM III cemetery where larnakes were the main interment type in use (Papadopoulou 2011; Papadopoulou 2017: 133- 141).</w:t>
      </w:r>
    </w:p>
    <w:p w14:paraId="231D7AAA" w14:textId="77777777" w:rsidR="00391E84" w:rsidRPr="00FB43FB" w:rsidRDefault="00391E84" w:rsidP="00E858EF">
      <w:pPr>
        <w:pStyle w:val="Paragrafoelenco"/>
        <w:numPr>
          <w:ilvl w:val="0"/>
          <w:numId w:val="6"/>
        </w:numPr>
        <w:suppressAutoHyphens/>
      </w:pPr>
      <w:r w:rsidRPr="00FB43FB">
        <w:t>Pigi: in a chamber tomb excavated in 1968 near the village were found seven larnakes, some of which were decorated (Tzedakis 1970: 435-436; Godart</w:t>
      </w:r>
      <w:r>
        <w:t xml:space="preserve"> and </w:t>
      </w:r>
      <w:r w:rsidRPr="00FB43FB">
        <w:t>Tzedakis 1992: 98-99).</w:t>
      </w:r>
    </w:p>
    <w:p w14:paraId="3CF79018" w14:textId="77777777" w:rsidR="00391E84" w:rsidRPr="00BC2BBB" w:rsidRDefault="00391E84" w:rsidP="00E858EF">
      <w:pPr>
        <w:pStyle w:val="Paragrafoelenco"/>
        <w:numPr>
          <w:ilvl w:val="0"/>
          <w:numId w:val="6"/>
        </w:numPr>
        <w:suppressAutoHyphens/>
      </w:pPr>
      <w:r w:rsidRPr="00FB43FB">
        <w:t>Gazi:</w:t>
      </w:r>
      <w:r>
        <w:t xml:space="preserve"> Alexiou found </w:t>
      </w:r>
      <w:r w:rsidRPr="00FB43FB">
        <w:t xml:space="preserve">a chamber tomb with four decorated </w:t>
      </w:r>
      <w:r>
        <w:t xml:space="preserve">chest-shaped </w:t>
      </w:r>
      <w:r w:rsidRPr="00FB43FB">
        <w:t>sarcophagi</w:t>
      </w:r>
      <w:r>
        <w:t xml:space="preserve"> in it</w:t>
      </w:r>
      <w:r w:rsidRPr="00FB43FB">
        <w:t xml:space="preserve"> (</w:t>
      </w:r>
      <w:r>
        <w:t xml:space="preserve">Alexiou </w:t>
      </w:r>
      <w:r w:rsidRPr="00FB43FB">
        <w:t>197</w:t>
      </w:r>
      <w:r>
        <w:t>2: 86-98</w:t>
      </w:r>
      <w:r w:rsidRPr="00FB43FB">
        <w:t>)</w:t>
      </w:r>
      <w:r>
        <w:t>.</w:t>
      </w:r>
    </w:p>
    <w:p w14:paraId="005FB560" w14:textId="77777777" w:rsidR="00391E84" w:rsidRDefault="00391E84" w:rsidP="00E858EF">
      <w:pPr>
        <w:pStyle w:val="Paragrafoelenco"/>
        <w:numPr>
          <w:ilvl w:val="0"/>
          <w:numId w:val="6"/>
        </w:numPr>
        <w:suppressAutoHyphens/>
      </w:pPr>
      <w:r w:rsidRPr="00FB43FB">
        <w:t>Adele: two larnakes came from a chamber tomb (Papapostolou 1974: 252-256; Kanta 1980: 216).</w:t>
      </w:r>
    </w:p>
    <w:p w14:paraId="72BDD061" w14:textId="77777777" w:rsidR="00391E84" w:rsidRPr="00FB43FB" w:rsidRDefault="00391E84" w:rsidP="00E858EF">
      <w:pPr>
        <w:pStyle w:val="Paragrafoelenco"/>
        <w:numPr>
          <w:ilvl w:val="0"/>
          <w:numId w:val="6"/>
        </w:numPr>
        <w:suppressAutoHyphens/>
      </w:pPr>
      <w:r w:rsidRPr="00DE0ED4">
        <w:t>Kavrochori: a chamber tomb containing two decorated larnakes was found in 1976 (Rethemio</w:t>
      </w:r>
      <w:r>
        <w:t xml:space="preserve">takis </w:t>
      </w:r>
      <w:r w:rsidRPr="00DE0ED4">
        <w:t>19</w:t>
      </w:r>
      <w:r>
        <w:t>79: 228-259</w:t>
      </w:r>
      <w:r w:rsidRPr="00DE0ED4">
        <w:t>).</w:t>
      </w:r>
    </w:p>
    <w:p w14:paraId="76F01565" w14:textId="77777777" w:rsidR="00391E84" w:rsidRPr="007121DA" w:rsidRDefault="00391E84" w:rsidP="00E858EF">
      <w:pPr>
        <w:pStyle w:val="Paragrafoelenco"/>
        <w:numPr>
          <w:ilvl w:val="0"/>
          <w:numId w:val="6"/>
        </w:numPr>
        <w:suppressAutoHyphens/>
      </w:pPr>
      <w:r w:rsidRPr="00FB43FB">
        <w:t xml:space="preserve">Methochi Kalou: several larnakes were found in different chamber </w:t>
      </w:r>
      <w:r w:rsidRPr="007121DA">
        <w:t>tombs (Dimopoulou – Rethemiotaki and Rethemiotakis 1978).</w:t>
      </w:r>
    </w:p>
    <w:p w14:paraId="7371AB2A" w14:textId="77777777" w:rsidR="00391E84" w:rsidRPr="00FB43FB" w:rsidRDefault="00391E84" w:rsidP="00E858EF">
      <w:pPr>
        <w:suppressAutoHyphens/>
      </w:pPr>
      <w:r w:rsidRPr="00FB43FB">
        <w:t>The main finds of larnakes occurred in the period between 1980 and 2000</w:t>
      </w:r>
      <w:r>
        <w:t xml:space="preserve"> and</w:t>
      </w:r>
      <w:r w:rsidRPr="00FB43FB">
        <w:t xml:space="preserve"> </w:t>
      </w:r>
      <w:r>
        <w:t>were</w:t>
      </w:r>
      <w:r w:rsidRPr="00FB43FB">
        <w:t xml:space="preserve"> localised in eight sites concentrated in the eas</w:t>
      </w:r>
      <w:r>
        <w:t>tern and western part of Crete:</w:t>
      </w:r>
    </w:p>
    <w:p w14:paraId="6AC0649D" w14:textId="77777777" w:rsidR="00391E84" w:rsidRPr="00FB43FB" w:rsidRDefault="00391E84" w:rsidP="00E858EF">
      <w:pPr>
        <w:pStyle w:val="Paragrafoelenco"/>
        <w:numPr>
          <w:ilvl w:val="0"/>
          <w:numId w:val="6"/>
        </w:numPr>
        <w:suppressAutoHyphens/>
      </w:pPr>
      <w:r w:rsidRPr="00FB43FB">
        <w:t>Viannos: Banou and Rethemiotakis report the finds of three chamber tombs in the area of Psari Phorada in the eparchy of Viann</w:t>
      </w:r>
      <w:r>
        <w:t xml:space="preserve">os between 1981 and 1986 (Banou and </w:t>
      </w:r>
      <w:r w:rsidRPr="00FB43FB">
        <w:lastRenderedPageBreak/>
        <w:t>Rethemiothakis 1997: 23-57)</w:t>
      </w:r>
      <w:r>
        <w:t>.</w:t>
      </w:r>
      <w:r w:rsidRPr="00FB43FB">
        <w:t xml:space="preserve"> </w:t>
      </w:r>
      <w:r>
        <w:t>I</w:t>
      </w:r>
      <w:r w:rsidRPr="00FB43FB">
        <w:t xml:space="preserve">n 1981, the excavation of a chamber tomb </w:t>
      </w:r>
      <w:r>
        <w:t>at</w:t>
      </w:r>
      <w:r w:rsidRPr="00FB43FB">
        <w:t xml:space="preserve"> the site of Tertsa </w:t>
      </w:r>
      <w:r>
        <w:t>revealed</w:t>
      </w:r>
      <w:r w:rsidRPr="00FB43FB">
        <w:t xml:space="preserve"> a decorated chest</w:t>
      </w:r>
      <w:r>
        <w:t>-</w:t>
      </w:r>
      <w:r w:rsidRPr="00FB43FB">
        <w:t xml:space="preserve">shaped larnax with </w:t>
      </w:r>
      <w:r>
        <w:t xml:space="preserve">a </w:t>
      </w:r>
      <w:r w:rsidRPr="00FB43FB">
        <w:t xml:space="preserve">gable lid, while other decorated fragments of two larnakes come from the tomb excavated in 1986 in the vicinity of the </w:t>
      </w:r>
      <w:r>
        <w:t xml:space="preserve">village of Psari Phorada (Banou and </w:t>
      </w:r>
      <w:r w:rsidRPr="00FB43FB">
        <w:t>Rethemiothakis 1997: 27).</w:t>
      </w:r>
    </w:p>
    <w:p w14:paraId="71E0CCB3" w14:textId="77777777" w:rsidR="00391E84" w:rsidRPr="00FB43FB" w:rsidRDefault="00391E84" w:rsidP="00E858EF">
      <w:pPr>
        <w:pStyle w:val="Paragrafoelenco"/>
        <w:numPr>
          <w:ilvl w:val="0"/>
          <w:numId w:val="6"/>
        </w:numPr>
        <w:suppressAutoHyphens/>
      </w:pPr>
      <w:r>
        <w:t>Chania</w:t>
      </w:r>
      <w:r w:rsidRPr="00FB43FB">
        <w:t xml:space="preserve">: </w:t>
      </w:r>
      <w:r>
        <w:t>t</w:t>
      </w:r>
      <w:r w:rsidRPr="00FB43FB">
        <w:t xml:space="preserve">he only example of </w:t>
      </w:r>
      <w:r>
        <w:t xml:space="preserve">a </w:t>
      </w:r>
      <w:r w:rsidRPr="00FB43FB">
        <w:t xml:space="preserve">burial in </w:t>
      </w:r>
      <w:r>
        <w:t xml:space="preserve">a </w:t>
      </w:r>
      <w:r w:rsidRPr="00FB43FB">
        <w:t>larnax from the area of Chani</w:t>
      </w:r>
      <w:r>
        <w:t>a was found near Koumpes</w:t>
      </w:r>
      <w:r w:rsidRPr="00FB43FB">
        <w:t xml:space="preserve"> in 1983. </w:t>
      </w:r>
      <w:r>
        <w:t>The larnax</w:t>
      </w:r>
      <w:r w:rsidRPr="00FB43FB">
        <w:t xml:space="preserve"> is </w:t>
      </w:r>
      <w:r>
        <w:t xml:space="preserve">a </w:t>
      </w:r>
      <w:r w:rsidRPr="00FB43FB">
        <w:t xml:space="preserve">bathtub </w:t>
      </w:r>
      <w:r>
        <w:t xml:space="preserve">and </w:t>
      </w:r>
      <w:r w:rsidRPr="00FB43FB">
        <w:t>d</w:t>
      </w:r>
      <w:r>
        <w:t>ecorated with octopus</w:t>
      </w:r>
      <w:r w:rsidRPr="00FB43FB">
        <w:t xml:space="preserve"> </w:t>
      </w:r>
      <w:r>
        <w:t>motif</w:t>
      </w:r>
      <w:r w:rsidRPr="00FB43FB">
        <w:t>s (Andreadaki-Vlasaki 1997: 496-497).</w:t>
      </w:r>
    </w:p>
    <w:p w14:paraId="5819DDEC" w14:textId="77777777" w:rsidR="00391E84" w:rsidRPr="00FB43FB" w:rsidRDefault="00391E84" w:rsidP="00E858EF">
      <w:pPr>
        <w:pStyle w:val="Paragrafoelenco"/>
        <w:numPr>
          <w:ilvl w:val="0"/>
          <w:numId w:val="6"/>
        </w:numPr>
        <w:suppressAutoHyphens/>
      </w:pPr>
      <w:r w:rsidRPr="00FB43FB">
        <w:t xml:space="preserve">Klima: </w:t>
      </w:r>
      <w:r>
        <w:t>again, in 1983,</w:t>
      </w:r>
      <w:r w:rsidRPr="00FB43FB">
        <w:t xml:space="preserve"> in two chamber tombs ex</w:t>
      </w:r>
      <w:r>
        <w:t>cavated in Klima, in the Mesara</w:t>
      </w:r>
      <w:r w:rsidRPr="00FB43FB">
        <w:t xml:space="preserve"> region, </w:t>
      </w:r>
      <w:r>
        <w:t>nine</w:t>
      </w:r>
      <w:r w:rsidRPr="00FB43FB">
        <w:t xml:space="preserve"> chest</w:t>
      </w:r>
      <w:r>
        <w:t>-</w:t>
      </w:r>
      <w:r w:rsidRPr="00FB43FB">
        <w:t>shaped sarcophagi</w:t>
      </w:r>
      <w:r>
        <w:t xml:space="preserve"> were found</w:t>
      </w:r>
      <w:r w:rsidRPr="00FB43FB">
        <w:t>, three of which were decorated (Rethemiotakis 1995: 163-</w:t>
      </w:r>
      <w:r>
        <w:t>183).</w:t>
      </w:r>
    </w:p>
    <w:p w14:paraId="736379FA" w14:textId="77777777" w:rsidR="00391E84" w:rsidRPr="00FB43FB" w:rsidRDefault="00391E84" w:rsidP="00E858EF">
      <w:pPr>
        <w:pStyle w:val="Paragrafoelenco"/>
        <w:numPr>
          <w:ilvl w:val="0"/>
          <w:numId w:val="6"/>
        </w:numPr>
        <w:suppressAutoHyphens/>
      </w:pPr>
      <w:r w:rsidRPr="00FB43FB">
        <w:t>Pankalochori: in a chamber tomb</w:t>
      </w:r>
      <w:r>
        <w:t>,</w:t>
      </w:r>
      <w:r w:rsidRPr="00FB43FB">
        <w:t xml:space="preserve"> three larnakes with painted decoration</w:t>
      </w:r>
      <w:r>
        <w:t xml:space="preserve"> were unearthed</w:t>
      </w:r>
      <w:r w:rsidRPr="00FB43FB">
        <w:t>, d</w:t>
      </w:r>
      <w:r>
        <w:t>ated to the LM IIIA2 period (Baxevani and Markoulaki 1996</w:t>
      </w:r>
      <w:r w:rsidRPr="00FB43FB">
        <w:t>: 641-703).</w:t>
      </w:r>
    </w:p>
    <w:p w14:paraId="4A4B6474" w14:textId="77777777" w:rsidR="00391E84" w:rsidRPr="002C14E0" w:rsidRDefault="00391E84" w:rsidP="00E858EF">
      <w:pPr>
        <w:pStyle w:val="Paragrafoelenco"/>
        <w:numPr>
          <w:ilvl w:val="0"/>
          <w:numId w:val="6"/>
        </w:numPr>
        <w:suppressAutoHyphens/>
      </w:pPr>
      <w:r w:rsidRPr="00FB43FB">
        <w:t>Mochlos: excavations in the area of Limenaria beg</w:t>
      </w:r>
      <w:r>
        <w:t>a</w:t>
      </w:r>
      <w:r w:rsidRPr="00FB43FB">
        <w:t xml:space="preserve">n in 1986 under </w:t>
      </w:r>
      <w:r>
        <w:t xml:space="preserve">the </w:t>
      </w:r>
      <w:r w:rsidRPr="00FB43FB">
        <w:t>direction of Nikos Papadakis</w:t>
      </w:r>
      <w:r>
        <w:t>,</w:t>
      </w:r>
      <w:r w:rsidRPr="00FB43FB">
        <w:t xml:space="preserve"> supervisor of the ephoria. In this first stage</w:t>
      </w:r>
      <w:r>
        <w:t>,</w:t>
      </w:r>
      <w:r w:rsidRPr="00FB43FB">
        <w:t xml:space="preserve"> nine tombs</w:t>
      </w:r>
      <w:r>
        <w:t xml:space="preserve"> were found</w:t>
      </w:r>
      <w:r w:rsidRPr="00FB43FB">
        <w:t xml:space="preserve">. Greek-American excavations in Mochlos </w:t>
      </w:r>
      <w:r>
        <w:t>began</w:t>
      </w:r>
      <w:r w:rsidRPr="00FB43FB">
        <w:t xml:space="preserve"> in 1989 and unearth</w:t>
      </w:r>
      <w:r>
        <w:t>ed</w:t>
      </w:r>
      <w:r w:rsidRPr="00FB43FB">
        <w:t xml:space="preserve"> </w:t>
      </w:r>
      <w:r>
        <w:t>an</w:t>
      </w:r>
      <w:r w:rsidRPr="00FB43FB">
        <w:t xml:space="preserve">other </w:t>
      </w:r>
      <w:r>
        <w:t>20</w:t>
      </w:r>
      <w:r w:rsidRPr="00FB43FB">
        <w:t xml:space="preserve"> tombs. It is possible to add also two tombs excavated by the Greek Archaeological service, for a total of 31 tombs (</w:t>
      </w:r>
      <w:r>
        <w:t>the final</w:t>
      </w:r>
      <w:r w:rsidRPr="00FB43FB">
        <w:t xml:space="preserve"> excavation campaign was in 2004). In the Limenaria cemetery were found nine sarcophagi, </w:t>
      </w:r>
      <w:r>
        <w:t>four</w:t>
      </w:r>
      <w:r w:rsidRPr="00FB43FB">
        <w:t xml:space="preserve"> </w:t>
      </w:r>
      <w:r>
        <w:t>bathtubs</w:t>
      </w:r>
      <w:r w:rsidRPr="00FB43FB">
        <w:t xml:space="preserve"> (tombs 1, 10, 11, 13) and </w:t>
      </w:r>
      <w:r>
        <w:t>five</w:t>
      </w:r>
      <w:r w:rsidRPr="00FB43FB">
        <w:t xml:space="preserve"> chest</w:t>
      </w:r>
      <w:r>
        <w:t>-</w:t>
      </w:r>
      <w:r w:rsidRPr="00FB43FB">
        <w:t>shaped (tombs 2, 4, 7, 15,30). Burial</w:t>
      </w:r>
      <w:r>
        <w:t>s</w:t>
      </w:r>
      <w:r w:rsidRPr="00FB43FB">
        <w:t xml:space="preserve"> in </w:t>
      </w:r>
      <w:r w:rsidRPr="007121DA">
        <w:t xml:space="preserve">pithoi </w:t>
      </w:r>
      <w:r w:rsidRPr="00FB43FB">
        <w:t>and jars were also found (Soles Davaras 1996;</w:t>
      </w:r>
      <w:r>
        <w:t xml:space="preserve"> </w:t>
      </w:r>
      <w:r w:rsidRPr="00FB43FB">
        <w:t>Sole</w:t>
      </w:r>
      <w:r>
        <w:t xml:space="preserve">s 2008; Soles et al. </w:t>
      </w:r>
      <w:r w:rsidRPr="00FB43FB">
        <w:t xml:space="preserve">2011). The pottery found in the tombs </w:t>
      </w:r>
      <w:r>
        <w:t xml:space="preserve">range from </w:t>
      </w:r>
      <w:r w:rsidRPr="00FB43FB">
        <w:t>LM IIIA1 to LM IIIB</w:t>
      </w:r>
      <w:r>
        <w:t xml:space="preserve"> in date</w:t>
      </w:r>
      <w:r w:rsidRPr="00FB43FB">
        <w:t xml:space="preserve">. </w:t>
      </w:r>
      <w:r>
        <w:t>A complete study of the cemetery (context and finds) has been published in the past decade (Soles 2008; Soles et al. 2011; Smith 2011).</w:t>
      </w:r>
    </w:p>
    <w:p w14:paraId="4959A110" w14:textId="77777777" w:rsidR="00391E84" w:rsidRPr="00FB43FB" w:rsidRDefault="00391E84" w:rsidP="00E858EF">
      <w:pPr>
        <w:pStyle w:val="Paragrafoelenco"/>
        <w:numPr>
          <w:ilvl w:val="0"/>
          <w:numId w:val="6"/>
        </w:numPr>
        <w:suppressAutoHyphens/>
      </w:pPr>
      <w:r w:rsidRPr="00FB43FB">
        <w:t xml:space="preserve">Sata: </w:t>
      </w:r>
      <w:r>
        <w:t xml:space="preserve">a </w:t>
      </w:r>
      <w:r w:rsidRPr="00FB43FB">
        <w:t>few kilometres from Apodoulou a tholos tomb with six larnakes</w:t>
      </w:r>
      <w:r>
        <w:t xml:space="preserve"> </w:t>
      </w:r>
      <w:r w:rsidRPr="00FB43FB">
        <w:t xml:space="preserve">was discovered, two of which were decorated. </w:t>
      </w:r>
      <w:r>
        <w:t>Pottery</w:t>
      </w:r>
      <w:r w:rsidRPr="00FB43FB">
        <w:t xml:space="preserve"> finds were dated between LM IIIA2 an</w:t>
      </w:r>
      <w:r>
        <w:t>d LM IIIB1 (Procopiou, Godart and</w:t>
      </w:r>
      <w:r w:rsidRPr="00FB43FB">
        <w:t xml:space="preserve"> Tzigounaki 1990).</w:t>
      </w:r>
    </w:p>
    <w:p w14:paraId="0E84C45F" w14:textId="77777777" w:rsidR="00391E84" w:rsidRPr="00FB43FB" w:rsidRDefault="00391E84" w:rsidP="00E858EF">
      <w:pPr>
        <w:pStyle w:val="Paragrafoelenco"/>
        <w:numPr>
          <w:ilvl w:val="0"/>
          <w:numId w:val="6"/>
        </w:numPr>
        <w:suppressAutoHyphens/>
      </w:pPr>
      <w:r>
        <w:t>Angeliana: 10</w:t>
      </w:r>
      <w:r w:rsidRPr="00FB43FB">
        <w:t xml:space="preserve"> larnakes, four of which</w:t>
      </w:r>
      <w:r>
        <w:t xml:space="preserve"> were</w:t>
      </w:r>
      <w:r w:rsidRPr="00FB43FB">
        <w:t xml:space="preserve"> decorated, c</w:t>
      </w:r>
      <w:r>
        <w:t>a</w:t>
      </w:r>
      <w:r w:rsidRPr="00FB43FB">
        <w:t xml:space="preserve">me from a chamber tomb found near the village of Angeliana in 1990 (Procopiou, Godart </w:t>
      </w:r>
      <w:r>
        <w:t>and</w:t>
      </w:r>
      <w:r w:rsidRPr="00FB43FB">
        <w:t xml:space="preserve"> Tzigounaki 1990). The vessels found belong to the period between LM IIIA2 and the initial phase of LM IIIB.</w:t>
      </w:r>
    </w:p>
    <w:p w14:paraId="166E3706" w14:textId="77777777" w:rsidR="00391E84" w:rsidRPr="00FB43FB" w:rsidRDefault="00391E84" w:rsidP="00E858EF">
      <w:pPr>
        <w:pStyle w:val="Paragrafoelenco"/>
        <w:numPr>
          <w:ilvl w:val="0"/>
          <w:numId w:val="6"/>
        </w:numPr>
        <w:suppressAutoHyphens/>
      </w:pPr>
      <w:r w:rsidRPr="00FB43FB">
        <w:t>Gra Lygia: in 1992</w:t>
      </w:r>
      <w:r>
        <w:t>,</w:t>
      </w:r>
      <w:r w:rsidRPr="00FB43FB">
        <w:t xml:space="preserve"> two chamber tom</w:t>
      </w:r>
      <w:r>
        <w:t>b</w:t>
      </w:r>
      <w:r w:rsidRPr="00FB43FB">
        <w:t>s were found near the village of Gra Lygia in the district of Ierapetra</w:t>
      </w:r>
      <w:r>
        <w:t>.</w:t>
      </w:r>
      <w:r w:rsidRPr="00FB43FB">
        <w:t xml:space="preserve"> </w:t>
      </w:r>
      <w:r>
        <w:t>T</w:t>
      </w:r>
      <w:r w:rsidRPr="00FB43FB">
        <w:t>hree larnakes</w:t>
      </w:r>
      <w:r>
        <w:t xml:space="preserve"> (two bathtub shaped and one chest shaped) and two lids</w:t>
      </w:r>
      <w:r w:rsidRPr="00FB43FB">
        <w:t xml:space="preserve"> c</w:t>
      </w:r>
      <w:r>
        <w:t>a</w:t>
      </w:r>
      <w:r w:rsidRPr="00FB43FB">
        <w:t>me from one tomb</w:t>
      </w:r>
      <w:r>
        <w:t>,</w:t>
      </w:r>
      <w:r w:rsidRPr="00FB43FB">
        <w:t xml:space="preserve"> </w:t>
      </w:r>
      <w:r>
        <w:t xml:space="preserve">while in the second tomb </w:t>
      </w:r>
      <w:r w:rsidRPr="00FB43FB">
        <w:t>was found</w:t>
      </w:r>
      <w:r>
        <w:t xml:space="preserve"> a bathtub larnax</w:t>
      </w:r>
      <w:r w:rsidRPr="00FB43FB">
        <w:t xml:space="preserve">. All the sarcophagi are decorated. The tombs </w:t>
      </w:r>
      <w:r>
        <w:t>were</w:t>
      </w:r>
      <w:r w:rsidRPr="00FB43FB">
        <w:t xml:space="preserve"> in use between LM III</w:t>
      </w:r>
      <w:r>
        <w:t xml:space="preserve">A2 </w:t>
      </w:r>
      <w:r>
        <w:lastRenderedPageBreak/>
        <w:t>and LMIII B (Apostolakou 1998: 25-88</w:t>
      </w:r>
      <w:r w:rsidRPr="00FB43FB">
        <w:t>).</w:t>
      </w:r>
    </w:p>
    <w:p w14:paraId="1D4191BC" w14:textId="77777777" w:rsidR="00391E84" w:rsidRPr="00FB43FB" w:rsidRDefault="00391E84" w:rsidP="00E858EF">
      <w:pPr>
        <w:suppressAutoHyphens/>
      </w:pPr>
      <w:r w:rsidRPr="00FB43FB">
        <w:t xml:space="preserve">In the </w:t>
      </w:r>
      <w:r>
        <w:t>p</w:t>
      </w:r>
      <w:r w:rsidRPr="00FB43FB">
        <w:t xml:space="preserve">ast </w:t>
      </w:r>
      <w:r>
        <w:t>15</w:t>
      </w:r>
      <w:r w:rsidRPr="00FB43FB">
        <w:t xml:space="preserve"> years</w:t>
      </w:r>
      <w:r>
        <w:t>,</w:t>
      </w:r>
      <w:r w:rsidRPr="00FB43FB">
        <w:t xml:space="preserve"> larnakes </w:t>
      </w:r>
      <w:r>
        <w:t>have been</w:t>
      </w:r>
      <w:r w:rsidRPr="00FB43FB">
        <w:t xml:space="preserve"> found </w:t>
      </w:r>
      <w:r>
        <w:t>at</w:t>
      </w:r>
      <w:r w:rsidRPr="00FB43FB">
        <w:t xml:space="preserve"> the following sites:</w:t>
      </w:r>
    </w:p>
    <w:p w14:paraId="7780A7BE" w14:textId="77777777" w:rsidR="00391E84" w:rsidRPr="00FB43FB" w:rsidRDefault="00391E84" w:rsidP="00E858EF">
      <w:pPr>
        <w:pStyle w:val="Paragrafoelenco"/>
        <w:numPr>
          <w:ilvl w:val="0"/>
          <w:numId w:val="6"/>
        </w:numPr>
        <w:suppressAutoHyphens/>
      </w:pPr>
      <w:r w:rsidRPr="00FB43FB">
        <w:t>Margarites: two chest</w:t>
      </w:r>
      <w:r>
        <w:t>-</w:t>
      </w:r>
      <w:r w:rsidRPr="00FB43FB">
        <w:t>shaped larnakes with lids were found in a tholos tomb near the village of Margarites. The pottery inside is dated to LM</w:t>
      </w:r>
      <w:r>
        <w:t xml:space="preserve"> </w:t>
      </w:r>
      <w:r w:rsidRPr="00FB43FB">
        <w:t>IIIA2/B (LM</w:t>
      </w:r>
      <w:r>
        <w:t xml:space="preserve"> </w:t>
      </w:r>
      <w:r w:rsidRPr="00FB43FB">
        <w:t>IIIA2</w:t>
      </w:r>
      <w:r>
        <w:t>-</w:t>
      </w:r>
      <w:r w:rsidRPr="00FB43FB">
        <w:t>B. (Papadopoulou 200</w:t>
      </w:r>
      <w:r>
        <w:t>6: 129-152</w:t>
      </w:r>
      <w:r w:rsidRPr="00FB43FB">
        <w:t>).</w:t>
      </w:r>
    </w:p>
    <w:p w14:paraId="1DB02B0C" w14:textId="77777777" w:rsidR="00391E84" w:rsidRPr="00FB43FB" w:rsidRDefault="00391E84" w:rsidP="00E858EF">
      <w:pPr>
        <w:pStyle w:val="Paragrafoelenco"/>
        <w:numPr>
          <w:ilvl w:val="0"/>
          <w:numId w:val="6"/>
        </w:numPr>
        <w:suppressAutoHyphens/>
      </w:pPr>
      <w:r w:rsidRPr="00FB43FB">
        <w:t>Karteros: in 2004</w:t>
      </w:r>
      <w:r>
        <w:t>,</w:t>
      </w:r>
      <w:r w:rsidRPr="00FB43FB">
        <w:t xml:space="preserve"> </w:t>
      </w:r>
      <w:r>
        <w:t>at</w:t>
      </w:r>
      <w:r w:rsidRPr="00FB43FB">
        <w:t xml:space="preserve"> the site of Karteros/Agia Photeini (ancient Amnissos)</w:t>
      </w:r>
      <w:r>
        <w:t>,</w:t>
      </w:r>
      <w:r w:rsidRPr="00FB43FB">
        <w:t xml:space="preserve"> a chamber tomb </w:t>
      </w:r>
      <w:r>
        <w:t xml:space="preserve">was excavated </w:t>
      </w:r>
      <w:r w:rsidRPr="00FB43FB">
        <w:t>with five larnakes dated to LM IIIA2/B</w:t>
      </w:r>
      <w:r>
        <w:t xml:space="preserve">. Four coffins </w:t>
      </w:r>
      <w:r w:rsidRPr="00FB43FB">
        <w:t>w</w:t>
      </w:r>
      <w:r>
        <w:t>ere</w:t>
      </w:r>
      <w:r w:rsidRPr="00FB43FB">
        <w:t xml:space="preserve"> used for single inhumation</w:t>
      </w:r>
      <w:r>
        <w:t xml:space="preserve"> (each contained a single burial), while</w:t>
      </w:r>
      <w:r w:rsidRPr="00FB43FB">
        <w:t xml:space="preserve"> </w:t>
      </w:r>
      <w:r>
        <w:t>only o</w:t>
      </w:r>
      <w:r w:rsidRPr="00FB43FB">
        <w:t>ne sarcophagus</w:t>
      </w:r>
      <w:r>
        <w:t xml:space="preserve"> contained the</w:t>
      </w:r>
      <w:r w:rsidRPr="00FB43FB">
        <w:t xml:space="preserve"> skeletal remain</w:t>
      </w:r>
      <w:r>
        <w:t>s</w:t>
      </w:r>
      <w:r w:rsidRPr="00FB43FB">
        <w:t xml:space="preserve"> of three </w:t>
      </w:r>
      <w:r>
        <w:t>people</w:t>
      </w:r>
      <w:r w:rsidRPr="00FB43FB">
        <w:t xml:space="preserve">, one of </w:t>
      </w:r>
      <w:r>
        <w:t>whom</w:t>
      </w:r>
      <w:r w:rsidRPr="00FB43FB">
        <w:t xml:space="preserve"> was a child (</w:t>
      </w:r>
      <w:r w:rsidRPr="001E5D0B">
        <w:rPr>
          <w:i/>
        </w:rPr>
        <w:t>AR</w:t>
      </w:r>
      <w:r>
        <w:t xml:space="preserve"> 2011-</w:t>
      </w:r>
      <w:r w:rsidRPr="00FB43FB">
        <w:t>2012: 69).</w:t>
      </w:r>
    </w:p>
    <w:p w14:paraId="0A702B20" w14:textId="77777777" w:rsidR="00391E84" w:rsidRDefault="00391E84" w:rsidP="00E858EF">
      <w:pPr>
        <w:pStyle w:val="Paragrafoelenco"/>
        <w:numPr>
          <w:ilvl w:val="0"/>
          <w:numId w:val="6"/>
        </w:numPr>
        <w:suppressAutoHyphens/>
      </w:pPr>
      <w:r w:rsidRPr="00FB43FB">
        <w:t>Pigi: an isolated chamber tomb belonging to the LM</w:t>
      </w:r>
      <w:r>
        <w:t xml:space="preserve"> </w:t>
      </w:r>
      <w:r w:rsidRPr="00FB43FB">
        <w:t>III period was found in 2010. A chest</w:t>
      </w:r>
      <w:r>
        <w:t>-</w:t>
      </w:r>
      <w:r w:rsidRPr="00FB43FB">
        <w:t>shaped decorated larnax with f</w:t>
      </w:r>
      <w:r>
        <w:t>ee</w:t>
      </w:r>
      <w:r w:rsidRPr="00FB43FB">
        <w:t xml:space="preserve">t was </w:t>
      </w:r>
      <w:r>
        <w:t xml:space="preserve">found </w:t>
      </w:r>
      <w:r w:rsidRPr="00FB43FB">
        <w:t xml:space="preserve">inside the tomb. The finds </w:t>
      </w:r>
      <w:r>
        <w:t>can</w:t>
      </w:r>
      <w:r w:rsidRPr="00FB43FB">
        <w:t xml:space="preserve"> be dated </w:t>
      </w:r>
      <w:r>
        <w:t xml:space="preserve">to </w:t>
      </w:r>
      <w:r w:rsidRPr="00FB43FB">
        <w:t>be</w:t>
      </w:r>
      <w:r>
        <w:t>tween LM IIIA2-</w:t>
      </w:r>
      <w:r w:rsidRPr="00FB43FB">
        <w:t>B (</w:t>
      </w:r>
      <w:r w:rsidRPr="001E5D0B">
        <w:rPr>
          <w:i/>
        </w:rPr>
        <w:t>AR</w:t>
      </w:r>
      <w:r>
        <w:t xml:space="preserve"> </w:t>
      </w:r>
      <w:r w:rsidRPr="00FB43FB">
        <w:t>2009-2010: 189)</w:t>
      </w:r>
      <w:r>
        <w:t>.</w:t>
      </w:r>
    </w:p>
    <w:p w14:paraId="0C333435" w14:textId="77777777" w:rsidR="00391E84" w:rsidRDefault="00391E84" w:rsidP="00E858EF">
      <w:pPr>
        <w:pStyle w:val="Paragrafoelenco"/>
        <w:numPr>
          <w:ilvl w:val="0"/>
          <w:numId w:val="6"/>
        </w:numPr>
        <w:suppressAutoHyphens/>
      </w:pPr>
      <w:r>
        <w:t>Kalochorafitis: a rock-cut chamber tomb with four larnakes was discovered at the Anevolema site at Kalochorafitis. A full study of Kalochorafitis cemetery and finds has been recently published (Karetsou and Girella 2015).</w:t>
      </w:r>
    </w:p>
    <w:p w14:paraId="236696F8" w14:textId="77777777" w:rsidR="00391E84" w:rsidRDefault="00391E84" w:rsidP="00E858EF">
      <w:pPr>
        <w:suppressAutoHyphens/>
      </w:pPr>
      <w:r>
        <w:t>From the list of the main finds from 1960 to today, it is possible to note the following characteristics concerning larnax finds in burial contexts:</w:t>
      </w:r>
    </w:p>
    <w:p w14:paraId="31BA6709" w14:textId="77777777" w:rsidR="00391E84" w:rsidRDefault="00391E84" w:rsidP="00E858EF">
      <w:pPr>
        <w:pStyle w:val="Paragrafoelenco"/>
        <w:numPr>
          <w:ilvl w:val="0"/>
          <w:numId w:val="7"/>
        </w:numPr>
        <w:suppressAutoHyphens/>
      </w:pPr>
      <w:r>
        <w:t>Attention was mainly focused on decorated samples, which resulted in a significant lack of information regarding the other contextual aspects of the burials (e.g. information concerning undecorated larnakes or skeletal remains and grave goods assemblages).</w:t>
      </w:r>
    </w:p>
    <w:p w14:paraId="570F8DEC" w14:textId="77777777" w:rsidR="00391E84" w:rsidRDefault="00391E84" w:rsidP="00E858EF">
      <w:pPr>
        <w:pStyle w:val="Paragrafoelenco"/>
        <w:numPr>
          <w:ilvl w:val="0"/>
          <w:numId w:val="7"/>
        </w:numPr>
        <w:suppressAutoHyphens/>
      </w:pPr>
      <w:r>
        <w:t>The vast majority of finds come from chance discoveries and minor excavations. This has compromised the quality of the data available for a systematic study of the larnakes themselves and their contexts. Furthermore, the lack of systematic excavation and publication impacts the overall perception of a cemetery (e.g. Palaikastro or Pigi cemeteries: tombs have been progressively found and published only through preliminary reports. Consequently, a complete overview of the two cemeteries does not exist).</w:t>
      </w:r>
    </w:p>
    <w:p w14:paraId="0AC485C8" w14:textId="77777777" w:rsidR="00391E84" w:rsidRDefault="00391E84" w:rsidP="00E858EF">
      <w:pPr>
        <w:pStyle w:val="Paragrafoelenco"/>
        <w:numPr>
          <w:ilvl w:val="0"/>
          <w:numId w:val="7"/>
        </w:numPr>
        <w:suppressAutoHyphens/>
      </w:pPr>
      <w:r>
        <w:t>The vast majority of discoveries are distributed in the Central and Mid-west area of the island.</w:t>
      </w:r>
    </w:p>
    <w:p w14:paraId="304D047A" w14:textId="77777777" w:rsidR="00391E84" w:rsidRPr="0054674C" w:rsidRDefault="00391E84" w:rsidP="00E858EF">
      <w:pPr>
        <w:pStyle w:val="Paragrafoelenco"/>
        <w:numPr>
          <w:ilvl w:val="0"/>
          <w:numId w:val="7"/>
        </w:numPr>
        <w:suppressAutoHyphens/>
      </w:pPr>
      <w:r>
        <w:t>Complete publication of LM III cemeteries are rare in the literature review (e.g. Mochlos Limenaria and Kalochorafitis).</w:t>
      </w:r>
    </w:p>
    <w:p w14:paraId="15B1865A" w14:textId="77777777" w:rsidR="00391E84" w:rsidRPr="00306076" w:rsidRDefault="00391E84" w:rsidP="00E858EF">
      <w:pPr>
        <w:pStyle w:val="Titolo2"/>
        <w:keepNext w:val="0"/>
        <w:keepLines w:val="0"/>
        <w:suppressAutoHyphens/>
      </w:pPr>
      <w:bookmarkStart w:id="26" w:name="_Toc273709523"/>
      <w:bookmarkStart w:id="27" w:name="_Toc389505926"/>
      <w:bookmarkStart w:id="28" w:name="_Toc517646810"/>
      <w:bookmarkStart w:id="29" w:name="_Toc519894594"/>
      <w:r w:rsidRPr="00306076">
        <w:lastRenderedPageBreak/>
        <w:t>Main issues and interpretation</w:t>
      </w:r>
      <w:bookmarkEnd w:id="26"/>
      <w:bookmarkEnd w:id="27"/>
      <w:bookmarkEnd w:id="28"/>
      <w:bookmarkEnd w:id="29"/>
    </w:p>
    <w:p w14:paraId="567BEFDA" w14:textId="77777777" w:rsidR="00391E84" w:rsidRPr="00A941D8" w:rsidRDefault="00391E84" w:rsidP="00E858EF">
      <w:pPr>
        <w:suppressAutoHyphens/>
      </w:pPr>
      <w:r w:rsidRPr="00A941D8">
        <w:t xml:space="preserve">The main issues emerging </w:t>
      </w:r>
      <w:r>
        <w:t>regarding</w:t>
      </w:r>
      <w:r w:rsidRPr="00A941D8">
        <w:t xml:space="preserve"> larna</w:t>
      </w:r>
      <w:r>
        <w:t>x studies can be divided into two</w:t>
      </w:r>
      <w:r w:rsidRPr="00A941D8">
        <w:t xml:space="preserve"> </w:t>
      </w:r>
      <w:r>
        <w:t>major</w:t>
      </w:r>
      <w:r w:rsidRPr="00A941D8">
        <w:t xml:space="preserve"> groups</w:t>
      </w:r>
      <w:r>
        <w:t>: the origin of the larnax and its iconography.</w:t>
      </w:r>
    </w:p>
    <w:p w14:paraId="77DA179D" w14:textId="77777777" w:rsidR="00391E84" w:rsidRPr="00A941D8" w:rsidRDefault="00391E84" w:rsidP="00E858EF">
      <w:pPr>
        <w:pStyle w:val="Titolo3"/>
        <w:keepNext w:val="0"/>
        <w:keepLines w:val="0"/>
        <w:suppressAutoHyphens/>
      </w:pPr>
      <w:bookmarkStart w:id="30" w:name="_Toc273709532"/>
      <w:bookmarkStart w:id="31" w:name="_Toc389505927"/>
      <w:bookmarkStart w:id="32" w:name="_Toc517646811"/>
      <w:bookmarkStart w:id="33" w:name="_Toc519894595"/>
      <w:r>
        <w:t>S</w:t>
      </w:r>
      <w:r w:rsidRPr="00A941D8">
        <w:t>tudies about the origins</w:t>
      </w:r>
      <w:bookmarkEnd w:id="30"/>
      <w:bookmarkEnd w:id="31"/>
      <w:bookmarkEnd w:id="32"/>
      <w:bookmarkEnd w:id="33"/>
      <w:r w:rsidRPr="00A941D8">
        <w:rPr>
          <w:highlight w:val="cyan"/>
        </w:rPr>
        <w:t xml:space="preserve">  </w:t>
      </w:r>
    </w:p>
    <w:p w14:paraId="04C8E264" w14:textId="505F6D48" w:rsidR="00391E84" w:rsidRPr="005C2621" w:rsidRDefault="00391E84" w:rsidP="00E858EF">
      <w:pPr>
        <w:suppressAutoHyphens/>
      </w:pPr>
      <w:r w:rsidRPr="00A941D8">
        <w:t xml:space="preserve">The debate </w:t>
      </w:r>
      <w:r>
        <w:t>concerning</w:t>
      </w:r>
      <w:r w:rsidRPr="00A941D8">
        <w:t xml:space="preserve"> the origin</w:t>
      </w:r>
      <w:r>
        <w:t>s</w:t>
      </w:r>
      <w:r w:rsidRPr="00A941D8">
        <w:t xml:space="preserve"> of larnakes</w:t>
      </w:r>
      <w:r>
        <w:t xml:space="preserve"> has</w:t>
      </w:r>
      <w:r w:rsidRPr="00A941D8">
        <w:t xml:space="preserve"> interested scholars since the first discoveries (</w:t>
      </w:r>
      <w:r w:rsidR="00B32428">
        <w:t xml:space="preserve">by </w:t>
      </w:r>
      <w:r w:rsidRPr="00A941D8">
        <w:t>Orsi</w:t>
      </w:r>
      <w:r w:rsidR="00B36F3C">
        <w:t>,</w:t>
      </w:r>
      <w:r w:rsidRPr="00A941D8">
        <w:t xml:space="preserve"> Jubin, Bosanquet, Evans) and </w:t>
      </w:r>
      <w:r>
        <w:t>played</w:t>
      </w:r>
      <w:r w:rsidRPr="00A941D8">
        <w:t xml:space="preserve"> an important role in their interpretation.</w:t>
      </w:r>
      <w:r>
        <w:t xml:space="preserve"> </w:t>
      </w:r>
      <w:r w:rsidRPr="00A941D8">
        <w:t xml:space="preserve">While the idea that bathtub larnakes are derived from domestic </w:t>
      </w:r>
      <w:r>
        <w:t>bath</w:t>
      </w:r>
      <w:r w:rsidRPr="00A941D8">
        <w:t>tubs has been generally accepted by all scholars (</w:t>
      </w:r>
      <w:r>
        <w:t>Orsi 1890</w:t>
      </w:r>
      <w:r w:rsidRPr="00A941D8">
        <w:t xml:space="preserve">: 224; </w:t>
      </w:r>
      <w:r>
        <w:t>Evans 1906</w:t>
      </w:r>
      <w:r w:rsidRPr="00A941D8">
        <w:t>: 399)</w:t>
      </w:r>
      <w:r>
        <w:t xml:space="preserve"> and further developed by Rutkowski, regarding</w:t>
      </w:r>
      <w:r w:rsidRPr="00FB43FB">
        <w:t xml:space="preserve"> the adoption of clay oval receptacle</w:t>
      </w:r>
      <w:r>
        <w:t>s</w:t>
      </w:r>
      <w:r w:rsidRPr="00FB43FB">
        <w:t xml:space="preserve"> in early Minoan tombs, </w:t>
      </w:r>
      <w:r>
        <w:t>Rutkowski</w:t>
      </w:r>
      <w:r w:rsidRPr="00FB43FB">
        <w:t xml:space="preserve"> proposes that they were designe</w:t>
      </w:r>
      <w:r>
        <w:t>d as a new object for a specific burial purpose, as opposed to burial pithoi and jars, and as demonstrated by t</w:t>
      </w:r>
      <w:r w:rsidRPr="00FB43FB">
        <w:t>heir scarce number in early burial context</w:t>
      </w:r>
      <w:r>
        <w:t>s (Rutkowski 1968: 222). T</w:t>
      </w:r>
      <w:r w:rsidRPr="00A941D8">
        <w:t>he debate concerning the origin</w:t>
      </w:r>
      <w:r>
        <w:t>s</w:t>
      </w:r>
      <w:r w:rsidRPr="00A941D8">
        <w:t xml:space="preserve"> of the other larnax type</w:t>
      </w:r>
      <w:r>
        <w:t xml:space="preserve"> (</w:t>
      </w:r>
      <w:r w:rsidRPr="00A941D8">
        <w:t>chest</w:t>
      </w:r>
      <w:r>
        <w:t>-</w:t>
      </w:r>
      <w:r w:rsidRPr="00A941D8">
        <w:t>shaped</w:t>
      </w:r>
      <w:r>
        <w:t>)</w:t>
      </w:r>
      <w:r w:rsidRPr="00A941D8">
        <w:t xml:space="preserve"> has been polarised in</w:t>
      </w:r>
      <w:r>
        <w:t>to</w:t>
      </w:r>
      <w:r w:rsidRPr="00A941D8">
        <w:t xml:space="preserve"> two different perspectives:</w:t>
      </w:r>
      <w:r>
        <w:t xml:space="preserve"> </w:t>
      </w:r>
      <w:r w:rsidRPr="005C2621">
        <w:t>a foreign object source</w:t>
      </w:r>
      <w:r>
        <w:t xml:space="preserve">, or </w:t>
      </w:r>
      <w:r w:rsidRPr="005C2621">
        <w:t>an indigenous origin and development within Crete.</w:t>
      </w:r>
    </w:p>
    <w:p w14:paraId="29A1CFA6" w14:textId="77777777" w:rsidR="00391E84" w:rsidRPr="00A941D8" w:rsidRDefault="00391E84" w:rsidP="00E858EF">
      <w:pPr>
        <w:suppressAutoHyphens/>
        <w:ind w:firstLine="708"/>
      </w:pPr>
      <w:r w:rsidRPr="00A941D8">
        <w:t xml:space="preserve">At the very </w:t>
      </w:r>
      <w:r>
        <w:t>beginning</w:t>
      </w:r>
      <w:r w:rsidRPr="00A941D8">
        <w:t xml:space="preserve"> of the debate</w:t>
      </w:r>
      <w:r>
        <w:t>,</w:t>
      </w:r>
      <w:r w:rsidRPr="00A941D8">
        <w:t xml:space="preserve"> Orsi</w:t>
      </w:r>
      <w:r>
        <w:t xml:space="preserve"> (1889)</w:t>
      </w:r>
      <w:r w:rsidRPr="00A941D8">
        <w:t xml:space="preserve"> supposed that the chest coffin shape imitate</w:t>
      </w:r>
      <w:r>
        <w:t>d</w:t>
      </w:r>
      <w:r w:rsidRPr="00A941D8">
        <w:t xml:space="preserve"> a house with its gable lid. </w:t>
      </w:r>
      <w:r>
        <w:t>Bosanquet (1901/1902: 299) and Xanthoudide</w:t>
      </w:r>
      <w:r w:rsidRPr="00A941D8">
        <w:t>s</w:t>
      </w:r>
      <w:r>
        <w:t xml:space="preserve"> (1904: 12)</w:t>
      </w:r>
      <w:r w:rsidRPr="00A941D8">
        <w:t xml:space="preserve"> and Evans hypothesised that </w:t>
      </w:r>
      <w:r>
        <w:t xml:space="preserve">the </w:t>
      </w:r>
      <w:r w:rsidRPr="00A941D8">
        <w:t>structural features visible in chest</w:t>
      </w:r>
      <w:r>
        <w:t>-shaped</w:t>
      </w:r>
      <w:r w:rsidRPr="00A941D8">
        <w:t xml:space="preserve"> larna</w:t>
      </w:r>
      <w:r>
        <w:t>x</w:t>
      </w:r>
      <w:r w:rsidRPr="00A941D8">
        <w:t xml:space="preserve"> morphology</w:t>
      </w:r>
      <w:r>
        <w:t>,</w:t>
      </w:r>
      <w:r w:rsidRPr="00A941D8">
        <w:t xml:space="preserve"> such as panel division</w:t>
      </w:r>
      <w:r>
        <w:t>s</w:t>
      </w:r>
      <w:r w:rsidRPr="00A941D8">
        <w:t xml:space="preserve">, feet and </w:t>
      </w:r>
      <w:r>
        <w:t xml:space="preserve">a </w:t>
      </w:r>
      <w:r w:rsidRPr="00A941D8">
        <w:t>gabled lid (in some cases emphasised by painting)</w:t>
      </w:r>
      <w:r>
        <w:t>,</w:t>
      </w:r>
      <w:r w:rsidRPr="00A941D8">
        <w:t xml:space="preserve"> suggested derivation from a wooden prototype to be found among Egyptian wooden chest furniture (</w:t>
      </w:r>
      <w:r>
        <w:t>Evans 1906</w:t>
      </w:r>
      <w:r w:rsidRPr="00A941D8">
        <w:t>: 399). Furthermore, the moti</w:t>
      </w:r>
      <w:r>
        <w:t>fs</w:t>
      </w:r>
      <w:r w:rsidRPr="00A941D8">
        <w:t xml:space="preserve"> </w:t>
      </w:r>
      <w:r>
        <w:t>on</w:t>
      </w:r>
      <w:r w:rsidRPr="00A941D8">
        <w:t xml:space="preserve"> some chest</w:t>
      </w:r>
      <w:r>
        <w:t>-shaped</w:t>
      </w:r>
      <w:r w:rsidRPr="00A941D8">
        <w:t xml:space="preserve"> coffins</w:t>
      </w:r>
      <w:r>
        <w:t>,</w:t>
      </w:r>
      <w:r w:rsidRPr="00A941D8">
        <w:t xml:space="preserve"> according to Evan</w:t>
      </w:r>
      <w:r>
        <w:t>s,</w:t>
      </w:r>
      <w:r w:rsidRPr="00A941D8">
        <w:t xml:space="preserve"> can be interpreted as reproductions of Nilotic landscapes (</w:t>
      </w:r>
      <w:r>
        <w:t>Evans 1906</w:t>
      </w:r>
      <w:r w:rsidRPr="00A941D8">
        <w:t>: 399-400), and</w:t>
      </w:r>
      <w:r>
        <w:t>,</w:t>
      </w:r>
      <w:r w:rsidRPr="00A941D8">
        <w:t xml:space="preserve"> consequently</w:t>
      </w:r>
      <w:r>
        <w:t>,</w:t>
      </w:r>
      <w:r w:rsidRPr="00A941D8">
        <w:t xml:space="preserve"> reinforce the hypothesis of an Egyptian origin or influence for LM III Cretan larnakes. </w:t>
      </w:r>
    </w:p>
    <w:p w14:paraId="3FA7EB6C" w14:textId="77F035B9" w:rsidR="00391E84" w:rsidRPr="00D9015E" w:rsidRDefault="00391E84" w:rsidP="00E858EF">
      <w:pPr>
        <w:suppressAutoHyphens/>
      </w:pPr>
      <w:r>
        <w:tab/>
      </w:r>
      <w:r w:rsidRPr="00A941D8">
        <w:t xml:space="preserve">This idea of </w:t>
      </w:r>
      <w:r>
        <w:t xml:space="preserve">a </w:t>
      </w:r>
      <w:r w:rsidRPr="00A941D8">
        <w:t>strong influence and connection between Egyptian wooden coffin</w:t>
      </w:r>
      <w:r>
        <w:t>s</w:t>
      </w:r>
      <w:r w:rsidRPr="00A941D8">
        <w:t xml:space="preserve"> and Cretan clay larnakes </w:t>
      </w:r>
      <w:r>
        <w:t>was</w:t>
      </w:r>
      <w:r w:rsidRPr="00A941D8">
        <w:t xml:space="preserve"> reconsidered </w:t>
      </w:r>
      <w:r>
        <w:t xml:space="preserve">more recently </w:t>
      </w:r>
      <w:r w:rsidRPr="00A941D8">
        <w:t>by Watrous</w:t>
      </w:r>
      <w:r>
        <w:t xml:space="preserve"> (1991)</w:t>
      </w:r>
      <w:r w:rsidRPr="00A941D8">
        <w:t xml:space="preserve"> in a publication concern</w:t>
      </w:r>
      <w:r>
        <w:t>ing</w:t>
      </w:r>
      <w:r w:rsidRPr="00A941D8">
        <w:t xml:space="preserve"> </w:t>
      </w:r>
      <w:r>
        <w:t>larnax</w:t>
      </w:r>
      <w:r w:rsidRPr="00A941D8">
        <w:t xml:space="preserve"> (origin and iconography). </w:t>
      </w:r>
      <w:r>
        <w:t>Watrous</w:t>
      </w:r>
      <w:r w:rsidRPr="00A941D8">
        <w:t xml:space="preserve"> agrees with Evans and </w:t>
      </w:r>
      <w:r>
        <w:t xml:space="preserve">the </w:t>
      </w:r>
      <w:r w:rsidRPr="00A941D8">
        <w:t>hypothesis that Cretan coffin</w:t>
      </w:r>
      <w:r>
        <w:t>s</w:t>
      </w:r>
      <w:r w:rsidRPr="00A941D8">
        <w:t xml:space="preserve"> imitate the Egyptian wooden chest (Watrous 1991: 287). Furthermore, he refers to a wooden Cretan coffin prototype that would have been in use probably in the previous phase</w:t>
      </w:r>
      <w:r>
        <w:t>,</w:t>
      </w:r>
      <w:r w:rsidRPr="00A941D8">
        <w:t xml:space="preserve"> LM I</w:t>
      </w:r>
      <w:r>
        <w:t xml:space="preserve">, </w:t>
      </w:r>
      <w:r w:rsidRPr="00A941D8">
        <w:t>although there is no</w:t>
      </w:r>
      <w:r>
        <w:t>t</w:t>
      </w:r>
      <w:r w:rsidRPr="00A941D8">
        <w:t xml:space="preserve"> enough evidence about burial practices. According to Watrous, due to the </w:t>
      </w:r>
      <w:r>
        <w:t xml:space="preserve">attested </w:t>
      </w:r>
      <w:r w:rsidRPr="00A941D8">
        <w:t>contact between Crete and Egypt</w:t>
      </w:r>
      <w:r>
        <w:t xml:space="preserve"> </w:t>
      </w:r>
      <w:r w:rsidRPr="00A941D8">
        <w:t xml:space="preserve">during the LM I period (as confirmed by the presence of </w:t>
      </w:r>
      <w:r w:rsidR="003B54E0">
        <w:t xml:space="preserve">people from Keftiu </w:t>
      </w:r>
      <w:r w:rsidRPr="00A941D8">
        <w:t>in the tomb paintings of Senmut, Puemre, Useramon, Rekhmire</w:t>
      </w:r>
      <w:r>
        <w:t xml:space="preserve"> I</w:t>
      </w:r>
      <w:r w:rsidRPr="00A941D8">
        <w:t xml:space="preserve">, </w:t>
      </w:r>
      <w:r>
        <w:t>Menheperesenb</w:t>
      </w:r>
      <w:r w:rsidRPr="00D9015E">
        <w:t xml:space="preserve"> and </w:t>
      </w:r>
      <w:r w:rsidRPr="00D9015E">
        <w:lastRenderedPageBreak/>
        <w:t xml:space="preserve">by their central role attested in Aegean trade during the LM/ LH I period, </w:t>
      </w:r>
      <w:r>
        <w:t xml:space="preserve">see </w:t>
      </w:r>
      <w:r w:rsidRPr="00D9015E">
        <w:t xml:space="preserve">Watrous 1991: 287 fn. 7), the Minoans took as </w:t>
      </w:r>
      <w:r>
        <w:t xml:space="preserve">a </w:t>
      </w:r>
      <w:r w:rsidRPr="00D9015E">
        <w:t xml:space="preserve">prototype the Egyptian linen chest, which was </w:t>
      </w:r>
      <w:r>
        <w:t>‘</w:t>
      </w:r>
      <w:r w:rsidRPr="006259CD">
        <w:t>a popular piece of furniture in XVIIIth Dynasty tombs</w:t>
      </w:r>
      <w:r>
        <w:t>’</w:t>
      </w:r>
      <w:r w:rsidRPr="00D9015E">
        <w:t xml:space="preserve"> (Watrous 1991: 287). </w:t>
      </w:r>
      <w:r>
        <w:t>Based on</w:t>
      </w:r>
      <w:r w:rsidRPr="00D9015E">
        <w:t xml:space="preserve"> this hypothesis, both </w:t>
      </w:r>
      <w:r>
        <w:t>m</w:t>
      </w:r>
      <w:r w:rsidRPr="00D9015E">
        <w:t>ainland and Cretan examples</w:t>
      </w:r>
      <w:r>
        <w:t xml:space="preserve"> of </w:t>
      </w:r>
      <w:r w:rsidRPr="00D9015E">
        <w:t xml:space="preserve">wooden and clay </w:t>
      </w:r>
      <w:r>
        <w:t>larnakes</w:t>
      </w:r>
      <w:r w:rsidRPr="00D9015E">
        <w:t xml:space="preserve"> </w:t>
      </w:r>
      <w:r>
        <w:t>were based on or</w:t>
      </w:r>
      <w:r w:rsidRPr="00D9015E">
        <w:t xml:space="preserve"> at least influenced by Egyptian wooden coffins. </w:t>
      </w:r>
      <w:r>
        <w:t>Thus</w:t>
      </w:r>
      <w:r w:rsidRPr="00D9015E">
        <w:t xml:space="preserve">, in light of this theory, </w:t>
      </w:r>
      <w:r>
        <w:t>LM</w:t>
      </w:r>
      <w:r w:rsidRPr="00D9015E">
        <w:t xml:space="preserve"> III clay chest</w:t>
      </w:r>
      <w:r>
        <w:t>-shaped</w:t>
      </w:r>
      <w:r w:rsidRPr="00D9015E">
        <w:t xml:space="preserve"> larnakes </w:t>
      </w:r>
      <w:r>
        <w:t>were</w:t>
      </w:r>
      <w:r w:rsidRPr="00D9015E">
        <w:t xml:space="preserve"> the clay version</w:t>
      </w:r>
      <w:r>
        <w:t>s</w:t>
      </w:r>
      <w:r w:rsidRPr="00D9015E">
        <w:t xml:space="preserve"> of wooden coffins derived from Egypt.</w:t>
      </w:r>
    </w:p>
    <w:p w14:paraId="27FF5917" w14:textId="7D90D568" w:rsidR="00391E84" w:rsidRPr="00D9015E" w:rsidRDefault="00391E84" w:rsidP="00E858EF">
      <w:pPr>
        <w:suppressAutoHyphens/>
      </w:pPr>
      <w:r>
        <w:tab/>
        <w:t>Egypt</w:t>
      </w:r>
      <w:r w:rsidRPr="00D9015E">
        <w:t xml:space="preserve"> </w:t>
      </w:r>
      <w:r>
        <w:t>is not</w:t>
      </w:r>
      <w:r w:rsidRPr="00D9015E">
        <w:t xml:space="preserve"> the only possible foreign place of origin in the debate. Other scholars agree with th</w:t>
      </w:r>
      <w:r>
        <w:t>e</w:t>
      </w:r>
      <w:r w:rsidRPr="00D9015E">
        <w:t xml:space="preserve"> diffusionist idea</w:t>
      </w:r>
      <w:r>
        <w:t>,</w:t>
      </w:r>
      <w:r w:rsidRPr="00D9015E">
        <w:t xml:space="preserve"> according to which chest</w:t>
      </w:r>
      <w:r>
        <w:t>-shaped</w:t>
      </w:r>
      <w:r w:rsidRPr="00D9015E">
        <w:t xml:space="preserve"> larnakes </w:t>
      </w:r>
      <w:r>
        <w:t>derive</w:t>
      </w:r>
      <w:r w:rsidRPr="00D9015E">
        <w:t xml:space="preserve"> from outside Crete, but they underline the presence of chest coffin burials elsewhere (e.g. Mesopotami</w:t>
      </w:r>
      <w:r>
        <w:t>a: see</w:t>
      </w:r>
      <w:r w:rsidRPr="00D9015E">
        <w:t xml:space="preserve"> Forsdyke 1926</w:t>
      </w:r>
      <w:r>
        <w:t>)</w:t>
      </w:r>
      <w:r w:rsidRPr="00D9015E">
        <w:t xml:space="preserve">. </w:t>
      </w:r>
      <w:r>
        <w:t>In a</w:t>
      </w:r>
      <w:r w:rsidRPr="00D9015E">
        <w:t>n article published in 1982, Robin H</w:t>
      </w:r>
      <w:r w:rsidRPr="00D9015E">
        <w:rPr>
          <w:lang w:val="de-DE"/>
        </w:rPr>
        <w:t>ä</w:t>
      </w:r>
      <w:r w:rsidRPr="00D9015E">
        <w:t xml:space="preserve">gg and Franciska Sieruin (1982: 185) localised in </w:t>
      </w:r>
      <w:r>
        <w:t>m</w:t>
      </w:r>
      <w:r w:rsidRPr="00D9015E">
        <w:t>ainland Greece the source for wooden coffin</w:t>
      </w:r>
      <w:r>
        <w:t>s after</w:t>
      </w:r>
      <w:r w:rsidRPr="00D9015E">
        <w:t xml:space="preserve"> finding the earliest evidence for wooden sarcophagi in Shaft Graves at Mycenae </w:t>
      </w:r>
      <w:r>
        <w:t>from the</w:t>
      </w:r>
      <w:r w:rsidRPr="00D9015E">
        <w:t xml:space="preserve"> LH I period (H</w:t>
      </w:r>
      <w:r>
        <w:t>ä</w:t>
      </w:r>
      <w:r w:rsidRPr="00D9015E">
        <w:t>gg</w:t>
      </w:r>
      <w:r>
        <w:t xml:space="preserve"> and</w:t>
      </w:r>
      <w:r w:rsidRPr="00D9015E">
        <w:t xml:space="preserve"> Sieruin 1982: 179; Åkerström 1978; Long 1974). </w:t>
      </w:r>
      <w:r>
        <w:t xml:space="preserve">Furthermore, </w:t>
      </w:r>
      <w:r w:rsidRPr="00D9015E">
        <w:t>H</w:t>
      </w:r>
      <w:r>
        <w:t>ä</w:t>
      </w:r>
      <w:r w:rsidRPr="00D9015E">
        <w:t xml:space="preserve">gg and Sieruin  </w:t>
      </w:r>
      <w:r>
        <w:t>consider</w:t>
      </w:r>
      <w:r w:rsidRPr="00D9015E">
        <w:t xml:space="preserve"> other data</w:t>
      </w:r>
      <w:r>
        <w:t xml:space="preserve"> </w:t>
      </w:r>
      <w:r w:rsidRPr="00D9015E">
        <w:t>from chamber tombs at Mycenae (H</w:t>
      </w:r>
      <w:r>
        <w:t>ä</w:t>
      </w:r>
      <w:r w:rsidRPr="00D9015E">
        <w:t xml:space="preserve">gg and Sieruin 1982: 180; Tsountas 1888) and </w:t>
      </w:r>
      <w:r>
        <w:t>C</w:t>
      </w:r>
      <w:r w:rsidRPr="00D9015E">
        <w:t xml:space="preserve">hamber </w:t>
      </w:r>
      <w:r>
        <w:t>T</w:t>
      </w:r>
      <w:r w:rsidRPr="00D9015E">
        <w:t>omb 8 at Dendra (H</w:t>
      </w:r>
      <w:r>
        <w:t>ä</w:t>
      </w:r>
      <w:r w:rsidRPr="00D9015E">
        <w:t>gg and Sieruin 1982: 180; Persson 1942), respectively dated to the LH II-III A and</w:t>
      </w:r>
      <w:r>
        <w:t xml:space="preserve"> the</w:t>
      </w:r>
      <w:r w:rsidRPr="00D9015E">
        <w:t xml:space="preserve"> LH II A. Even if both wooden and clay coffin remains are much more common in Crete than </w:t>
      </w:r>
      <w:r>
        <w:t>o</w:t>
      </w:r>
      <w:r w:rsidRPr="00D9015E">
        <w:t>n the mainland, H</w:t>
      </w:r>
      <w:r>
        <w:t>ä</w:t>
      </w:r>
      <w:r w:rsidRPr="00D9015E">
        <w:t>gg and Sieruin advance the idea that a wooden receptacle for burial purpose</w:t>
      </w:r>
      <w:r>
        <w:t>s</w:t>
      </w:r>
      <w:r w:rsidRPr="00D9015E">
        <w:t xml:space="preserve"> was invented </w:t>
      </w:r>
      <w:r w:rsidRPr="00A521AD">
        <w:t xml:space="preserve">in Mycenae before the attested Knossian wooden examples (Hospital Site and at Aghios Ioannis near Knossos: see Hood </w:t>
      </w:r>
      <w:r w:rsidRPr="008D7EE6">
        <w:t>1956: 86), derived from the mainland prototypes. The adoption of wooden chest/bier receptacles in Knossos burials (e.g. warrior graves) is, according to them, the link that led to the revival of the Minoan larnax tradition in a renewed shape clearl</w:t>
      </w:r>
      <w:r w:rsidRPr="003271DD">
        <w:t>y influenced by the presence of a wooden prototype (Hägg and Sieruin: 185-186).</w:t>
      </w:r>
      <w:r w:rsidR="008D7EE6">
        <w:t xml:space="preserve"> </w:t>
      </w:r>
      <w:r w:rsidR="00B32428">
        <w:t>I</w:t>
      </w:r>
      <w:r w:rsidR="000222BF">
        <w:t xml:space="preserve">t </w:t>
      </w:r>
      <w:r w:rsidR="00B32428">
        <w:t xml:space="preserve">is </w:t>
      </w:r>
      <w:r w:rsidR="000222BF">
        <w:t xml:space="preserve">worth </w:t>
      </w:r>
      <w:r w:rsidR="00B32428">
        <w:t>noting, however,</w:t>
      </w:r>
      <w:r w:rsidR="000222BF">
        <w:t xml:space="preserve"> that</w:t>
      </w:r>
      <w:r w:rsidR="003271DD">
        <w:t xml:space="preserve"> in most cases on the mainland </w:t>
      </w:r>
      <w:r w:rsidR="008D7EE6">
        <w:t>wooden bier</w:t>
      </w:r>
      <w:r w:rsidR="003271DD">
        <w:t xml:space="preserve">s </w:t>
      </w:r>
      <w:r w:rsidR="00B32428">
        <w:t xml:space="preserve">are probably  used </w:t>
      </w:r>
      <w:r w:rsidR="003271DD">
        <w:t>and not actual wooden coffins</w:t>
      </w:r>
      <w:r w:rsidR="000222BF">
        <w:t>. F</w:t>
      </w:r>
      <w:r w:rsidR="00C94069">
        <w:t xml:space="preserve">urthermore </w:t>
      </w:r>
      <w:r w:rsidR="000222BF">
        <w:t xml:space="preserve">wooden stretchers have been attested </w:t>
      </w:r>
      <w:r w:rsidR="00C94069">
        <w:t>in Neopalatial tombs at Poros near Knossos (e.g. Muhly 1992</w:t>
      </w:r>
      <w:r w:rsidR="005F5496">
        <w:t>: 149-164</w:t>
      </w:r>
      <w:r w:rsidR="00C94069">
        <w:t>)</w:t>
      </w:r>
      <w:r w:rsidR="000222BF">
        <w:t xml:space="preserve"> and the</w:t>
      </w:r>
      <w:r w:rsidR="00B32428">
        <w:t>se</w:t>
      </w:r>
      <w:r w:rsidR="000222BF">
        <w:t xml:space="preserve"> may have acted as precursors to the wooden stretchers found at Katsambas and elsewhere in LM II-IIIA.</w:t>
      </w:r>
    </w:p>
    <w:p w14:paraId="0A098C71" w14:textId="77777777" w:rsidR="00391E84" w:rsidRDefault="00391E84" w:rsidP="00E858EF">
      <w:pPr>
        <w:suppressAutoHyphens/>
      </w:pPr>
      <w:r>
        <w:tab/>
        <w:t xml:space="preserve">On the other side of the debate </w:t>
      </w:r>
      <w:r w:rsidRPr="00FB43FB">
        <w:t>o</w:t>
      </w:r>
      <w:r>
        <w:t>n</w:t>
      </w:r>
      <w:r w:rsidRPr="00FB43FB">
        <w:t xml:space="preserve"> the origin of larnakes</w:t>
      </w:r>
      <w:r>
        <w:t>,</w:t>
      </w:r>
      <w:r w:rsidRPr="00FB43FB">
        <w:t xml:space="preserve"> </w:t>
      </w:r>
      <w:r>
        <w:t>Rutkowski (1966, 1968) considers the origin and development of clay Minoan larnakes as an indigenous phenomenon, connecting them</w:t>
      </w:r>
      <w:r w:rsidRPr="00FB43FB">
        <w:t xml:space="preserve"> to the wider p</w:t>
      </w:r>
      <w:r>
        <w:t>er</w:t>
      </w:r>
      <w:r w:rsidRPr="00FB43FB">
        <w:t>spective of the development of LBA coffins.</w:t>
      </w:r>
      <w:r>
        <w:t xml:space="preserve"> Regarding the </w:t>
      </w:r>
      <w:r w:rsidRPr="00FB43FB">
        <w:t>chest type</w:t>
      </w:r>
      <w:r>
        <w:t>,</w:t>
      </w:r>
      <w:r w:rsidRPr="00FB43FB">
        <w:t xml:space="preserve"> he trace</w:t>
      </w:r>
      <w:r>
        <w:t>s</w:t>
      </w:r>
      <w:r w:rsidRPr="00FB43FB">
        <w:t xml:space="preserve"> a chain, which </w:t>
      </w:r>
      <w:r>
        <w:t>begins</w:t>
      </w:r>
      <w:r w:rsidRPr="00FB43FB">
        <w:t xml:space="preserve"> </w:t>
      </w:r>
      <w:r>
        <w:t>with</w:t>
      </w:r>
      <w:r w:rsidRPr="00FB43FB">
        <w:t xml:space="preserve"> Middle Minoan </w:t>
      </w:r>
      <w:r w:rsidRPr="00FB43FB">
        <w:lastRenderedPageBreak/>
        <w:t>rectangular clay rece</w:t>
      </w:r>
      <w:r>
        <w:t>ptacles, continues with a wood</w:t>
      </w:r>
      <w:r w:rsidRPr="00FB43FB">
        <w:t xml:space="preserve"> </w:t>
      </w:r>
      <w:r>
        <w:t xml:space="preserve">prototype </w:t>
      </w:r>
      <w:r w:rsidRPr="00FB43FB">
        <w:t>during the Late Minoan period</w:t>
      </w:r>
      <w:r>
        <w:t xml:space="preserve"> (according to him, this process happened in Crete and was not affected by any external influence)</w:t>
      </w:r>
      <w:r w:rsidRPr="00FB43FB">
        <w:t xml:space="preserve"> and </w:t>
      </w:r>
      <w:r>
        <w:t>develops into</w:t>
      </w:r>
      <w:r w:rsidRPr="00FB43FB">
        <w:t xml:space="preserve"> the late chest</w:t>
      </w:r>
      <w:r>
        <w:t>-shaped</w:t>
      </w:r>
      <w:r w:rsidRPr="00FB43FB">
        <w:t xml:space="preserve"> larnakes (Rutkowski 1968: 223</w:t>
      </w:r>
      <w:r>
        <w:t>, Figs. 1, 2</w:t>
      </w:r>
      <w:r w:rsidRPr="00FB43FB">
        <w:t>).</w:t>
      </w:r>
      <w:r>
        <w:t xml:space="preserve"> </w:t>
      </w:r>
      <w:r w:rsidRPr="00FB43FB">
        <w:t>If</w:t>
      </w:r>
      <w:r>
        <w:t>,</w:t>
      </w:r>
      <w:r w:rsidRPr="00FB43FB">
        <w:t xml:space="preserve"> on </w:t>
      </w:r>
      <w:r>
        <w:t xml:space="preserve">the </w:t>
      </w:r>
      <w:r w:rsidRPr="00FB43FB">
        <w:t>one hand, he considers the presence of wooden elements in LM III chest</w:t>
      </w:r>
      <w:r>
        <w:t>-shaped</w:t>
      </w:r>
      <w:r w:rsidRPr="00FB43FB">
        <w:t xml:space="preserve"> larnakes as proof of </w:t>
      </w:r>
      <w:r>
        <w:t>their</w:t>
      </w:r>
      <w:r w:rsidRPr="00FB43FB">
        <w:t xml:space="preserve"> wooden origin</w:t>
      </w:r>
      <w:r>
        <w:t>;</w:t>
      </w:r>
      <w:r w:rsidRPr="00FB43FB">
        <w:t xml:space="preserve"> on the other hand</w:t>
      </w:r>
      <w:r>
        <w:t>,</w:t>
      </w:r>
      <w:r w:rsidRPr="00FB43FB">
        <w:t xml:space="preserve"> he </w:t>
      </w:r>
      <w:r>
        <w:t>believes</w:t>
      </w:r>
      <w:r w:rsidRPr="00FB43FB">
        <w:t xml:space="preserve"> that the wooden example </w:t>
      </w:r>
      <w:r>
        <w:t>is</w:t>
      </w:r>
      <w:r w:rsidRPr="00FB43FB">
        <w:t xml:space="preserve"> a </w:t>
      </w:r>
      <w:r>
        <w:t>‘</w:t>
      </w:r>
      <w:r w:rsidRPr="00FB43FB">
        <w:t>remake</w:t>
      </w:r>
      <w:r>
        <w:t>’</w:t>
      </w:r>
      <w:r w:rsidRPr="00FB43FB">
        <w:t xml:space="preserve"> of </w:t>
      </w:r>
      <w:r>
        <w:t xml:space="preserve">the </w:t>
      </w:r>
      <w:r w:rsidRPr="00FB43FB">
        <w:t>clay rectangular coffin of</w:t>
      </w:r>
      <w:r>
        <w:t xml:space="preserve"> the</w:t>
      </w:r>
      <w:r w:rsidRPr="00FB43FB">
        <w:t xml:space="preserve"> MM period and not a copy of a foreign object. Furthermore,</w:t>
      </w:r>
      <w:r>
        <w:t xml:space="preserve"> some of the morphological elements still visible in LM III larnakes (e.g. </w:t>
      </w:r>
      <w:r w:rsidRPr="00FB43FB">
        <w:t>handles</w:t>
      </w:r>
      <w:r>
        <w:t>)</w:t>
      </w:r>
      <w:r w:rsidRPr="00FB43FB">
        <w:t xml:space="preserve"> </w:t>
      </w:r>
      <w:r>
        <w:t>can</w:t>
      </w:r>
      <w:r w:rsidRPr="00FB43FB">
        <w:t xml:space="preserve"> be connected with the older clay chest tradition (Rutkowski 1968: 223). From this perspective, the presence of larnakes in different Mediterranean cultures (</w:t>
      </w:r>
      <w:r>
        <w:t xml:space="preserve">e.g. </w:t>
      </w:r>
      <w:r w:rsidRPr="00FB43FB">
        <w:t>Egypt, Palestine and Mesopotamia) is interpreted as an independent innovation (Rutkowski 1966: 138-139; Rutkowski 1968: 222). According to Rutkowski</w:t>
      </w:r>
      <w:r>
        <w:t xml:space="preserve"> (1968: 222)</w:t>
      </w:r>
      <w:r w:rsidRPr="00FB43FB">
        <w:t xml:space="preserve">, the appearance of larnakes </w:t>
      </w:r>
      <w:r>
        <w:t>occurs</w:t>
      </w:r>
      <w:r w:rsidRPr="00FB43FB">
        <w:t xml:space="preserve"> </w:t>
      </w:r>
      <w:r>
        <w:t>‘</w:t>
      </w:r>
      <w:r w:rsidRPr="00FA42C3">
        <w:t>at a stage of social development when a rapid differentiation in property holding and a growing trend towards individualism in human needs developed</w:t>
      </w:r>
      <w:r>
        <w:rPr>
          <w:i/>
        </w:rPr>
        <w:t>.</w:t>
      </w:r>
      <w:r>
        <w:t xml:space="preserve">’ </w:t>
      </w:r>
      <w:r w:rsidRPr="00FB43FB">
        <w:t xml:space="preserve">This </w:t>
      </w:r>
      <w:r>
        <w:t>development</w:t>
      </w:r>
      <w:r w:rsidRPr="00FB43FB">
        <w:t xml:space="preserve"> </w:t>
      </w:r>
      <w:r>
        <w:t xml:space="preserve">supports </w:t>
      </w:r>
      <w:r w:rsidRPr="00FB43FB">
        <w:t>the spread of burial coffin</w:t>
      </w:r>
      <w:r>
        <w:t>s</w:t>
      </w:r>
      <w:r w:rsidRPr="00FB43FB">
        <w:t xml:space="preserve"> over different periods</w:t>
      </w:r>
      <w:r>
        <w:t>,</w:t>
      </w:r>
      <w:r w:rsidRPr="00FB43FB">
        <w:t xml:space="preserve"> </w:t>
      </w:r>
      <w:r>
        <w:t>as well as</w:t>
      </w:r>
      <w:r w:rsidRPr="00FB43FB">
        <w:t xml:space="preserve"> their typological variety over divers</w:t>
      </w:r>
      <w:r>
        <w:t xml:space="preserve">e geographical contexts. Thus, he concludes that </w:t>
      </w:r>
      <w:r w:rsidRPr="00FB43FB">
        <w:t>bot</w:t>
      </w:r>
      <w:r>
        <w:t>h the chest-shaped and the bathtub larnakes adopted in the LM III ‘</w:t>
      </w:r>
      <w:r w:rsidRPr="00FA42C3">
        <w:t>were developed from earlier Cretan prototypes’</w:t>
      </w:r>
      <w:r w:rsidRPr="00FB43FB">
        <w:rPr>
          <w:i/>
        </w:rPr>
        <w:t xml:space="preserve"> </w:t>
      </w:r>
      <w:r w:rsidRPr="00FB43FB">
        <w:t>(Rutkowski 1968: 223).</w:t>
      </w:r>
      <w:r>
        <w:t xml:space="preserve"> </w:t>
      </w:r>
    </w:p>
    <w:p w14:paraId="2B5D90A9" w14:textId="5600556B" w:rsidR="00391E84" w:rsidRDefault="00391E84" w:rsidP="00E858EF">
      <w:pPr>
        <w:suppressAutoHyphens/>
      </w:pPr>
      <w:r>
        <w:tab/>
        <w:t>From this brief review of the two main themes of chest-shaped larnax origins, it emerges that all scholars agree on one fundamental point: LM III chest-shaped larnakes derive from a wooden prototype (this includes the recent study by Platon, 2012). The point on which they disagree was whether this wooden prototype was external or indigenous (Preston 2004b: 184). However, is it really important to find an origin for larnakes? As observed by Laura Preston (2004b: 185), wherever the origin of the wooden prototype is traced, this will not help to explain its significance. In particular, LM III larnakes are the unique result and synthesis of tradition and innovation. Therefore, what is interesting is to understand how, in the LM III, both chest-shaped and bathtub receptacles functioned as an intermediary and link between the old clay receptacle tradition and the new wooden bier/chest receptacles; and how, through larnakes, existing traditions were reinvented and adapted to create new burial customs. From this perspective, both chest-shaped larnakes’ skeuomorphism (one of the innovative elements) and the choice of using clay instead of wood (a traditional material) for these receptacles could be the result</w:t>
      </w:r>
      <w:r w:rsidR="00792CCE">
        <w:t xml:space="preserve"> of a practical choice </w:t>
      </w:r>
      <w:r w:rsidR="0057221D">
        <w:t>to</w:t>
      </w:r>
      <w:r w:rsidR="00792CCE">
        <w:t xml:space="preserve"> us</w:t>
      </w:r>
      <w:r w:rsidR="0057221D">
        <w:t>e</w:t>
      </w:r>
      <w:r w:rsidR="00792CCE">
        <w:t xml:space="preserve"> a more durable material that would protect the body as long as possible</w:t>
      </w:r>
      <w:r w:rsidR="00CE48C6">
        <w:t>, as well as the result</w:t>
      </w:r>
      <w:r>
        <w:t xml:space="preserve"> of </w:t>
      </w:r>
      <w:r>
        <w:lastRenderedPageBreak/>
        <w:t>ideological choices, in which a new tradition was incorporated</w:t>
      </w:r>
      <w:r w:rsidR="0057221D">
        <w:t xml:space="preserve"> into </w:t>
      </w:r>
      <w:r>
        <w:t xml:space="preserve">local </w:t>
      </w:r>
      <w:r w:rsidR="0057221D">
        <w:t xml:space="preserve">traditions by </w:t>
      </w:r>
      <w:r>
        <w:t>us</w:t>
      </w:r>
      <w:r w:rsidR="0057221D">
        <w:t>ing</w:t>
      </w:r>
      <w:r>
        <w:t xml:space="preserve"> a more familiar and appropriate material </w:t>
      </w:r>
      <w:r w:rsidR="0057221D">
        <w:t xml:space="preserve">(clay) </w:t>
      </w:r>
      <w:r>
        <w:t>for coffins</w:t>
      </w:r>
      <w:r w:rsidR="0057221D">
        <w:t xml:space="preserve"> </w:t>
      </w:r>
      <w:r>
        <w:t>(Preston 2004b: 186).</w:t>
      </w:r>
    </w:p>
    <w:p w14:paraId="3F83736B" w14:textId="77777777" w:rsidR="00391E84" w:rsidRPr="005B6CF6" w:rsidRDefault="00391E84" w:rsidP="00E858EF">
      <w:pPr>
        <w:pStyle w:val="Titolo3"/>
        <w:keepNext w:val="0"/>
        <w:keepLines w:val="0"/>
        <w:suppressAutoHyphens/>
      </w:pPr>
      <w:bookmarkStart w:id="34" w:name="_Toc273709533"/>
      <w:bookmarkStart w:id="35" w:name="_Toc389505928"/>
      <w:bookmarkStart w:id="36" w:name="_Toc517646812"/>
      <w:bookmarkStart w:id="37" w:name="_Toc519894596"/>
      <w:r w:rsidRPr="005B6CF6">
        <w:t>Iconographical studies: general studies and monographs</w:t>
      </w:r>
      <w:bookmarkEnd w:id="34"/>
      <w:bookmarkEnd w:id="35"/>
      <w:bookmarkEnd w:id="36"/>
      <w:bookmarkEnd w:id="37"/>
    </w:p>
    <w:p w14:paraId="30EFA969" w14:textId="77777777" w:rsidR="00391E84" w:rsidRPr="005B6CF6" w:rsidRDefault="00391E84" w:rsidP="00E858EF">
      <w:pPr>
        <w:suppressAutoHyphens/>
      </w:pPr>
      <w:r w:rsidRPr="005B6CF6">
        <w:t xml:space="preserve">The other main theme </w:t>
      </w:r>
      <w:r>
        <w:t>in</w:t>
      </w:r>
      <w:r w:rsidRPr="005B6CF6">
        <w:t xml:space="preserve"> the research of larnakes is the study and interpretation of their iconography. This </w:t>
      </w:r>
      <w:r>
        <w:t xml:space="preserve">research </w:t>
      </w:r>
      <w:r w:rsidRPr="005B6CF6">
        <w:t xml:space="preserve">involved particular attention </w:t>
      </w:r>
      <w:r>
        <w:t>being</w:t>
      </w:r>
      <w:r w:rsidRPr="005B6CF6">
        <w:t xml:space="preserve"> reserved </w:t>
      </w:r>
      <w:r>
        <w:t>for</w:t>
      </w:r>
      <w:r w:rsidRPr="005B6CF6">
        <w:t xml:space="preserve"> decorated materials, causing a severe </w:t>
      </w:r>
      <w:r>
        <w:t>lack</w:t>
      </w:r>
      <w:r w:rsidRPr="005B6CF6">
        <w:t xml:space="preserve"> of information </w:t>
      </w:r>
      <w:r>
        <w:t>regarding</w:t>
      </w:r>
      <w:r w:rsidRPr="005B6CF6">
        <w:t xml:space="preserve"> undecorated items. </w:t>
      </w:r>
    </w:p>
    <w:p w14:paraId="7542FD4E" w14:textId="77777777" w:rsidR="00391E84" w:rsidRPr="005B6CF6" w:rsidRDefault="00391E84" w:rsidP="00E858EF">
      <w:pPr>
        <w:suppressAutoHyphens/>
      </w:pPr>
      <w:r>
        <w:tab/>
      </w:r>
      <w:r w:rsidRPr="005B6CF6">
        <w:t>Vermeule (1965) effectively initiate</w:t>
      </w:r>
      <w:r>
        <w:t>d</w:t>
      </w:r>
      <w:r w:rsidRPr="005B6CF6">
        <w:t xml:space="preserve"> the iconographical study of Late Bronze Age larnakes. She </w:t>
      </w:r>
      <w:r>
        <w:t>gave</w:t>
      </w:r>
      <w:r w:rsidRPr="005B6CF6">
        <w:t xml:space="preserve"> importance to Late Helladic larnakes as a class of material not only with archaeological significance</w:t>
      </w:r>
      <w:r>
        <w:t>,</w:t>
      </w:r>
      <w:r w:rsidRPr="005B6CF6">
        <w:t xml:space="preserve"> but also with a significant artistic value, sufficient for them to be considered </w:t>
      </w:r>
      <w:r w:rsidRPr="00E62A68">
        <w:t>‘monuments of prehistoric mainland painting’</w:t>
      </w:r>
      <w:r w:rsidRPr="005B6CF6">
        <w:rPr>
          <w:i/>
        </w:rPr>
        <w:t xml:space="preserve"> </w:t>
      </w:r>
      <w:r w:rsidRPr="005B6CF6">
        <w:t>(Vermeule 1965: 147). She provides a detailed study o</w:t>
      </w:r>
      <w:r>
        <w:t>f</w:t>
      </w:r>
      <w:r w:rsidRPr="005B6CF6">
        <w:t xml:space="preserve"> 12 chest</w:t>
      </w:r>
      <w:r>
        <w:t>-</w:t>
      </w:r>
      <w:r w:rsidRPr="005B6CF6">
        <w:t>shaped larnakes from the cemetery of Tanagra (morphological features and iconography). The iconographical study of the motifs proceeds through parallels with decorative pattern</w:t>
      </w:r>
      <w:r>
        <w:t>s</w:t>
      </w:r>
      <w:r w:rsidRPr="005B6CF6">
        <w:t xml:space="preserve"> painted on Cretan artefacts.</w:t>
      </w:r>
    </w:p>
    <w:p w14:paraId="25FC8336" w14:textId="53F4C14B" w:rsidR="00391E84" w:rsidRPr="005B6CF6" w:rsidRDefault="00391E84" w:rsidP="00E858EF">
      <w:pPr>
        <w:suppressAutoHyphens/>
      </w:pPr>
      <w:r>
        <w:tab/>
      </w:r>
      <w:r w:rsidRPr="005B6CF6">
        <w:t>Her iconographical analysi</w:t>
      </w:r>
      <w:r>
        <w:t>s develops at</w:t>
      </w:r>
      <w:r w:rsidRPr="005B6CF6">
        <w:t xml:space="preserve"> different levels (identification and date of iconographical </w:t>
      </w:r>
      <w:r>
        <w:t>motif</w:t>
      </w:r>
      <w:r w:rsidRPr="005B6CF6">
        <w:t xml:space="preserve">s, comparative analysis with Minoan larnakes, and analysis of style and themes of painting) and is based on patterns analysed and dated by </w:t>
      </w:r>
      <w:r w:rsidR="005D54EA">
        <w:t>Furumark</w:t>
      </w:r>
      <w:r w:rsidRPr="005B6CF6">
        <w:t xml:space="preserve"> in his study of Mycenaean </w:t>
      </w:r>
      <w:r>
        <w:t>pottery (</w:t>
      </w:r>
      <w:r w:rsidR="005D54EA">
        <w:t>Furumark</w:t>
      </w:r>
      <w:r>
        <w:t xml:space="preserve"> 1972</w:t>
      </w:r>
      <w:r w:rsidRPr="005B6CF6">
        <w:t xml:space="preserve">). In </w:t>
      </w:r>
      <w:r>
        <w:t>Vermeule’s (1965: 137)</w:t>
      </w:r>
      <w:r w:rsidRPr="005B6CF6">
        <w:t xml:space="preserve"> opinion</w:t>
      </w:r>
      <w:r>
        <w:t>, it</w:t>
      </w:r>
      <w:r w:rsidRPr="005B6CF6">
        <w:t xml:space="preserve"> is not possible to distinguish a single source for decorative patterns painted on larnakes, although</w:t>
      </w:r>
      <w:r>
        <w:t xml:space="preserve"> there is</w:t>
      </w:r>
      <w:r w:rsidRPr="005B6CF6">
        <w:t xml:space="preserve"> a close relationship with some specific repertoire</w:t>
      </w:r>
      <w:r>
        <w:t>s</w:t>
      </w:r>
      <w:r w:rsidRPr="005B6CF6">
        <w:t xml:space="preserve"> (e.g. pictorial vase painting and frescoes).</w:t>
      </w:r>
    </w:p>
    <w:p w14:paraId="63427B6B" w14:textId="77777777" w:rsidR="00391E84" w:rsidRPr="005B6CF6" w:rsidRDefault="00391E84" w:rsidP="00E858EF">
      <w:pPr>
        <w:suppressAutoHyphens/>
        <w:rPr>
          <w:rFonts w:eastAsia="Times New Roman"/>
          <w:iCs/>
        </w:rPr>
      </w:pPr>
      <w:r>
        <w:tab/>
      </w:r>
      <w:r w:rsidRPr="005B6CF6">
        <w:t xml:space="preserve">The second half of </w:t>
      </w:r>
      <w:r>
        <w:t xml:space="preserve">the </w:t>
      </w:r>
      <w:r w:rsidRPr="005B6CF6">
        <w:t xml:space="preserve">1980s and the first half of </w:t>
      </w:r>
      <w:r>
        <w:t xml:space="preserve">the </w:t>
      </w:r>
      <w:r w:rsidRPr="005B6CF6">
        <w:t xml:space="preserve">1990s </w:t>
      </w:r>
      <w:r>
        <w:t>is</w:t>
      </w:r>
      <w:r w:rsidRPr="005B6CF6">
        <w:t xml:space="preserve"> considered the </w:t>
      </w:r>
      <w:r>
        <w:t>peak</w:t>
      </w:r>
      <w:r w:rsidRPr="005B6CF6">
        <w:t xml:space="preserve"> of </w:t>
      </w:r>
      <w:r>
        <w:t>larnax</w:t>
      </w:r>
      <w:r w:rsidRPr="005B6CF6">
        <w:t xml:space="preserve"> iconographical studies. </w:t>
      </w:r>
      <w:r>
        <w:t>Such s</w:t>
      </w:r>
      <w:r w:rsidRPr="005B6CF6">
        <w:t xml:space="preserve">tudies are the result of </w:t>
      </w:r>
      <w:r>
        <w:t xml:space="preserve">a </w:t>
      </w:r>
      <w:r w:rsidRPr="005B6CF6">
        <w:t xml:space="preserve">general interest in Aegean iconography. In these </w:t>
      </w:r>
      <w:r>
        <w:t xml:space="preserve">two </w:t>
      </w:r>
      <w:r w:rsidRPr="005B6CF6">
        <w:t>decades</w:t>
      </w:r>
      <w:r>
        <w:t>,</w:t>
      </w:r>
      <w:r w:rsidRPr="005B6CF6">
        <w:t xml:space="preserve"> two fundamental studies of Aegean iconography were published (Morgan 1988; Immerwahr 1990), and a series of conferences gather</w:t>
      </w:r>
      <w:r>
        <w:t>ed</w:t>
      </w:r>
      <w:r w:rsidRPr="005B6CF6">
        <w:t xml:space="preserve"> the attention of scholars in this field (</w:t>
      </w:r>
      <w:r w:rsidRPr="005B6CF6">
        <w:rPr>
          <w:rFonts w:eastAsia="Times New Roman"/>
          <w:i/>
          <w:iCs/>
        </w:rPr>
        <w:t xml:space="preserve">L'Iconographie minoenne. </w:t>
      </w:r>
      <w:r w:rsidRPr="00FE2DDE">
        <w:rPr>
          <w:rFonts w:eastAsia="Times New Roman"/>
          <w:i/>
          <w:iCs/>
          <w:lang w:val="fr-FR"/>
        </w:rPr>
        <w:t>Actes de la table ronde d'Athènes</w:t>
      </w:r>
      <w:r w:rsidRPr="00FE2DDE">
        <w:rPr>
          <w:rFonts w:eastAsia="Times New Roman"/>
          <w:iCs/>
          <w:lang w:val="fr-FR"/>
        </w:rPr>
        <w:t xml:space="preserve">, 1983; </w:t>
      </w:r>
      <w:r w:rsidRPr="00FE2DDE">
        <w:rPr>
          <w:rFonts w:eastAsia="Times New Roman"/>
          <w:i/>
          <w:iCs/>
          <w:lang w:val="fr-FR"/>
        </w:rPr>
        <w:t>La Crète mycénienne</w:t>
      </w:r>
      <w:r w:rsidRPr="00FE2DDE">
        <w:rPr>
          <w:rFonts w:eastAsia="Times New Roman"/>
          <w:iCs/>
          <w:lang w:val="fr-FR"/>
        </w:rPr>
        <w:t xml:space="preserve">, 1991; </w:t>
      </w:r>
      <w:r w:rsidRPr="00FE2DDE">
        <w:rPr>
          <w:rFonts w:eastAsia="Times New Roman"/>
          <w:i/>
          <w:iCs/>
          <w:lang w:val="fr-FR"/>
        </w:rPr>
        <w:t>EIKON Aegean Bronze Age Iconography</w:t>
      </w:r>
      <w:r w:rsidRPr="00FE2DDE">
        <w:rPr>
          <w:rFonts w:eastAsia="Times New Roman"/>
          <w:iCs/>
          <w:lang w:val="fr-FR"/>
        </w:rPr>
        <w:t xml:space="preserve">, 1992). </w:t>
      </w:r>
      <w:r w:rsidRPr="005B6CF6">
        <w:rPr>
          <w:rFonts w:eastAsia="Times New Roman"/>
          <w:iCs/>
        </w:rPr>
        <w:t>The interest in the analysis of painted decoration of LM/LH III larnakes appears in a series of monographs about single artefacts (e.g.</w:t>
      </w:r>
      <w:r>
        <w:rPr>
          <w:rFonts w:eastAsia="Times New Roman"/>
          <w:iCs/>
        </w:rPr>
        <w:t xml:space="preserve"> Morgan 1987;</w:t>
      </w:r>
      <w:r w:rsidRPr="000218C7">
        <w:rPr>
          <w:rFonts w:eastAsia="Times New Roman"/>
          <w:iCs/>
        </w:rPr>
        <w:t xml:space="preserve"> </w:t>
      </w:r>
      <w:r w:rsidRPr="005B6CF6">
        <w:rPr>
          <w:rFonts w:eastAsia="Times New Roman"/>
          <w:iCs/>
        </w:rPr>
        <w:t>Baxevani 1995</w:t>
      </w:r>
      <w:r>
        <w:rPr>
          <w:rFonts w:eastAsia="Times New Roman"/>
          <w:iCs/>
        </w:rPr>
        <w:t>;</w:t>
      </w:r>
      <w:r w:rsidRPr="005B6CF6">
        <w:rPr>
          <w:rFonts w:eastAsia="Times New Roman"/>
          <w:iCs/>
        </w:rPr>
        <w:t xml:space="preserve"> 1996</w:t>
      </w:r>
      <w:r>
        <w:rPr>
          <w:rFonts w:eastAsia="Times New Roman"/>
          <w:iCs/>
        </w:rPr>
        <w:t>;</w:t>
      </w:r>
      <w:r w:rsidRPr="005B6CF6">
        <w:rPr>
          <w:rFonts w:eastAsia="Times New Roman"/>
          <w:iCs/>
        </w:rPr>
        <w:t xml:space="preserve"> Rethemiotakis 1995)</w:t>
      </w:r>
      <w:r>
        <w:rPr>
          <w:rFonts w:eastAsia="Times New Roman"/>
          <w:iCs/>
        </w:rPr>
        <w:t>;</w:t>
      </w:r>
      <w:r w:rsidRPr="005B6CF6">
        <w:rPr>
          <w:rFonts w:eastAsia="Times New Roman"/>
          <w:iCs/>
        </w:rPr>
        <w:t xml:space="preserve"> in general iconographical studies (Immerwahr 1990: 154-138)</w:t>
      </w:r>
      <w:r>
        <w:rPr>
          <w:rFonts w:eastAsia="Times New Roman"/>
          <w:iCs/>
        </w:rPr>
        <w:t>; and</w:t>
      </w:r>
      <w:r w:rsidRPr="005B6CF6">
        <w:rPr>
          <w:rFonts w:eastAsia="Times New Roman"/>
          <w:iCs/>
        </w:rPr>
        <w:t xml:space="preserve"> in articles focusing either on a general interpretation of larna</w:t>
      </w:r>
      <w:r>
        <w:rPr>
          <w:rFonts w:eastAsia="Times New Roman"/>
          <w:iCs/>
        </w:rPr>
        <w:t>x</w:t>
      </w:r>
      <w:r w:rsidRPr="005B6CF6">
        <w:rPr>
          <w:rFonts w:eastAsia="Times New Roman"/>
          <w:iCs/>
        </w:rPr>
        <w:t xml:space="preserve"> iconography (</w:t>
      </w:r>
      <w:r>
        <w:rPr>
          <w:rFonts w:eastAsia="Times New Roman"/>
          <w:iCs/>
        </w:rPr>
        <w:t>e.g. Watrous 1991;</w:t>
      </w:r>
      <w:r w:rsidRPr="005B6CF6">
        <w:rPr>
          <w:rFonts w:eastAsia="Times New Roman"/>
          <w:iCs/>
        </w:rPr>
        <w:t xml:space="preserve"> </w:t>
      </w:r>
      <w:r>
        <w:t>Immerwahr 1995;</w:t>
      </w:r>
      <w:r w:rsidRPr="005B6CF6">
        <w:t xml:space="preserve"> Marinatos 1997)</w:t>
      </w:r>
      <w:r w:rsidRPr="005B6CF6">
        <w:rPr>
          <w:rFonts w:eastAsia="Times New Roman"/>
          <w:iCs/>
        </w:rPr>
        <w:t xml:space="preserve"> or </w:t>
      </w:r>
      <w:r>
        <w:rPr>
          <w:rFonts w:eastAsia="Times New Roman"/>
          <w:iCs/>
        </w:rPr>
        <w:t>o</w:t>
      </w:r>
      <w:r w:rsidRPr="005B6CF6">
        <w:rPr>
          <w:rFonts w:eastAsia="Times New Roman"/>
          <w:iCs/>
        </w:rPr>
        <w:t xml:space="preserve">n the analysis of </w:t>
      </w:r>
      <w:r>
        <w:rPr>
          <w:rFonts w:eastAsia="Times New Roman"/>
          <w:iCs/>
        </w:rPr>
        <w:t>motif</w:t>
      </w:r>
      <w:r w:rsidRPr="005B6CF6">
        <w:rPr>
          <w:rFonts w:eastAsia="Times New Roman"/>
          <w:iCs/>
        </w:rPr>
        <w:t>s represented in group</w:t>
      </w:r>
      <w:r>
        <w:rPr>
          <w:rFonts w:eastAsia="Times New Roman"/>
          <w:iCs/>
        </w:rPr>
        <w:t>s</w:t>
      </w:r>
      <w:r w:rsidRPr="005B6CF6">
        <w:rPr>
          <w:rFonts w:eastAsia="Times New Roman"/>
          <w:iCs/>
        </w:rPr>
        <w:t xml:space="preserve"> of painted larnakes (e.g. </w:t>
      </w:r>
      <w:r w:rsidRPr="005B6CF6">
        <w:rPr>
          <w:rFonts w:eastAsia="Times New Roman"/>
          <w:iCs/>
        </w:rPr>
        <w:lastRenderedPageBreak/>
        <w:t xml:space="preserve">Pologiorgi 1990). </w:t>
      </w:r>
    </w:p>
    <w:p w14:paraId="088598AF" w14:textId="77777777" w:rsidR="00391E84" w:rsidRPr="005B6CF6" w:rsidRDefault="00391E84" w:rsidP="00E858EF">
      <w:pPr>
        <w:suppressAutoHyphens/>
      </w:pPr>
      <w:r>
        <w:tab/>
      </w:r>
      <w:r w:rsidRPr="005B6CF6">
        <w:t xml:space="preserve">One approach applies the method of iconographic analysis, </w:t>
      </w:r>
      <w:r>
        <w:t xml:space="preserve">as </w:t>
      </w:r>
      <w:r w:rsidRPr="005B6CF6">
        <w:t>theori</w:t>
      </w:r>
      <w:r>
        <w:t>s</w:t>
      </w:r>
      <w:r w:rsidRPr="005B6CF6">
        <w:t>ed by Lyvia Morgan (</w:t>
      </w:r>
      <w:r>
        <w:t>1985: 5-19; 1988</w:t>
      </w:r>
      <w:r w:rsidRPr="005B6CF6">
        <w:t>: 10-16)</w:t>
      </w:r>
      <w:r>
        <w:t>,</w:t>
      </w:r>
      <w:r w:rsidRPr="005B6CF6">
        <w:t xml:space="preserve"> to larna</w:t>
      </w:r>
      <w:r>
        <w:t>x</w:t>
      </w:r>
      <w:r w:rsidRPr="005B6CF6">
        <w:t xml:space="preserve"> representation</w:t>
      </w:r>
      <w:r>
        <w:t xml:space="preserve"> (Morgan 1987</w:t>
      </w:r>
      <w:r w:rsidRPr="005B6CF6">
        <w:t>). The study of larnax decoration is based on an accurate description of the materials (</w:t>
      </w:r>
      <w:r>
        <w:t xml:space="preserve">e.g. </w:t>
      </w:r>
      <w:r w:rsidRPr="005B6CF6">
        <w:t xml:space="preserve">structural features, type of clay) and of all the </w:t>
      </w:r>
      <w:r>
        <w:t>motif</w:t>
      </w:r>
      <w:r w:rsidRPr="005B6CF6">
        <w:t>s represented. A chronology for the larnax is provided</w:t>
      </w:r>
      <w:r>
        <w:t xml:space="preserve"> also, based on</w:t>
      </w:r>
      <w:r w:rsidRPr="005B6CF6">
        <w:t xml:space="preserve"> a chronology attributed to the painted </w:t>
      </w:r>
      <w:r>
        <w:t>motif</w:t>
      </w:r>
      <w:r w:rsidRPr="005B6CF6">
        <w:t>s on larnakes (e.g. Baxevani</w:t>
      </w:r>
      <w:r>
        <w:t xml:space="preserve"> and</w:t>
      </w:r>
      <w:r w:rsidRPr="005B6CF6">
        <w:t xml:space="preserve"> Markoulaki 1996: 665). The </w:t>
      </w:r>
      <w:r>
        <w:t>motif</w:t>
      </w:r>
      <w:r w:rsidRPr="005B6CF6">
        <w:t xml:space="preserve">s are either discussed individually (Baxevani 1995: 20-33) or </w:t>
      </w:r>
      <w:r>
        <w:t>according to</w:t>
      </w:r>
      <w:r w:rsidRPr="005B6CF6">
        <w:t xml:space="preserve"> the description of the scenes </w:t>
      </w:r>
      <w:r>
        <w:t>on</w:t>
      </w:r>
      <w:r w:rsidRPr="005B6CF6">
        <w:t xml:space="preserve"> the different sides (Morgan</w:t>
      </w:r>
      <w:r>
        <w:t xml:space="preserve"> </w:t>
      </w:r>
      <w:r w:rsidRPr="005B6CF6">
        <w:t>198</w:t>
      </w:r>
      <w:r>
        <w:t>7</w:t>
      </w:r>
      <w:r w:rsidRPr="005B6CF6">
        <w:t xml:space="preserve">; </w:t>
      </w:r>
      <w:r>
        <w:t xml:space="preserve">Soles et al. </w:t>
      </w:r>
      <w:r w:rsidRPr="005B6CF6">
        <w:t xml:space="preserve">2011). The identification of the pattern and the interpretation of the scene are made by means of the iconographical comparison </w:t>
      </w:r>
      <w:r>
        <w:t>of</w:t>
      </w:r>
      <w:r w:rsidRPr="005B6CF6">
        <w:t xml:space="preserve"> larnakes</w:t>
      </w:r>
      <w:r>
        <w:t xml:space="preserve"> to</w:t>
      </w:r>
      <w:r w:rsidRPr="005B6CF6">
        <w:t xml:space="preserve"> pottery decoration, frescoes, seals and figurines. </w:t>
      </w:r>
    </w:p>
    <w:p w14:paraId="083F18C4" w14:textId="77777777" w:rsidR="00391E84" w:rsidRPr="005B6CF6" w:rsidRDefault="00391E84" w:rsidP="00E858EF">
      <w:pPr>
        <w:suppressAutoHyphens/>
      </w:pPr>
      <w:r>
        <w:tab/>
        <w:t>Amid</w:t>
      </w:r>
      <w:r w:rsidRPr="005B6CF6">
        <w:t xml:space="preserve"> the iconographical studies of larnakes</w:t>
      </w:r>
      <w:r>
        <w:t>,</w:t>
      </w:r>
      <w:r w:rsidRPr="005B6CF6">
        <w:t xml:space="preserve"> another approach concerns not the complete analysis of each single decorative motif, but the description, comparison and interpretation of the scene represented. According to this approach</w:t>
      </w:r>
      <w:r>
        <w:t>,</w:t>
      </w:r>
      <w:r w:rsidRPr="005B6CF6">
        <w:t xml:space="preserve"> the detailed description of </w:t>
      </w:r>
      <w:r>
        <w:t>motif</w:t>
      </w:r>
      <w:r w:rsidRPr="005B6CF6">
        <w:t xml:space="preserve">s is omitted, and the main focus is the identification and the interpretation of the scenes </w:t>
      </w:r>
      <w:r>
        <w:t>based on</w:t>
      </w:r>
      <w:r w:rsidRPr="005B6CF6">
        <w:t xml:space="preserve"> </w:t>
      </w:r>
      <w:r>
        <w:t>analogies found within the overall larnax</w:t>
      </w:r>
      <w:r w:rsidRPr="005B6CF6">
        <w:t xml:space="preserve"> repertoire or with</w:t>
      </w:r>
      <w:r>
        <w:t>in</w:t>
      </w:r>
      <w:r w:rsidRPr="005B6CF6">
        <w:t xml:space="preserve"> the broader iconographical repertoire (e.g. wall pain</w:t>
      </w:r>
      <w:r>
        <w:t xml:space="preserve">ting, Pictorial style painting: </w:t>
      </w:r>
      <w:r w:rsidRPr="005B6CF6">
        <w:t>Vermeule 1965</w:t>
      </w:r>
      <w:r>
        <w:t>;</w:t>
      </w:r>
      <w:r w:rsidRPr="005B6CF6">
        <w:t xml:space="preserve"> Watrous 1991).</w:t>
      </w:r>
    </w:p>
    <w:p w14:paraId="77A5CA9A" w14:textId="7A58210D" w:rsidR="00391E84" w:rsidRDefault="00391E84" w:rsidP="00E858EF">
      <w:pPr>
        <w:suppressAutoHyphens/>
      </w:pPr>
      <w:r>
        <w:tab/>
      </w:r>
      <w:r w:rsidRPr="005B6CF6">
        <w:t xml:space="preserve">Finally, a recent study on iconographic </w:t>
      </w:r>
      <w:r>
        <w:t>motif</w:t>
      </w:r>
      <w:r w:rsidRPr="005B6CF6">
        <w:t xml:space="preserve">s explores themes linked to gender and agency </w:t>
      </w:r>
      <w:r>
        <w:t>based on a</w:t>
      </w:r>
      <w:r w:rsidRPr="005B6CF6">
        <w:t xml:space="preserve"> scene </w:t>
      </w:r>
      <w:r>
        <w:t>from the</w:t>
      </w:r>
      <w:r w:rsidRPr="005B6CF6">
        <w:t xml:space="preserve"> Tanagra larnakes (Kramer-Hajos 2015: 627-667</w:t>
      </w:r>
      <w:r>
        <w:t>)</w:t>
      </w:r>
      <w:r w:rsidR="00061104">
        <w:t xml:space="preserve">, </w:t>
      </w:r>
      <w:r w:rsidRPr="005B6CF6">
        <w:t>although</w:t>
      </w:r>
      <w:r w:rsidR="00061104">
        <w:t xml:space="preserve"> </w:t>
      </w:r>
      <w:r w:rsidR="00227DDD">
        <w:t xml:space="preserve">in terms of </w:t>
      </w:r>
      <w:r w:rsidR="009F0A38">
        <w:t xml:space="preserve">shape and decoration </w:t>
      </w:r>
      <w:r w:rsidR="00227DDD">
        <w:t>these</w:t>
      </w:r>
      <w:r w:rsidR="009F0A38">
        <w:t xml:space="preserve"> are significant</w:t>
      </w:r>
      <w:r w:rsidR="00227DDD">
        <w:t>ly</w:t>
      </w:r>
      <w:r w:rsidR="009F0A38">
        <w:t xml:space="preserve"> different from the Cretan examples.</w:t>
      </w:r>
      <w:r w:rsidRPr="005B6CF6">
        <w:t xml:space="preserve"> </w:t>
      </w:r>
      <w:r w:rsidR="009F0A38">
        <w:t>However t</w:t>
      </w:r>
      <w:r w:rsidRPr="005B6CF6">
        <w:t>his approach reveals many gaps</w:t>
      </w:r>
      <w:r>
        <w:t>,</w:t>
      </w:r>
      <w:r w:rsidRPr="005B6CF6">
        <w:t xml:space="preserve"> because even dealing with agency and gender does not consider information coming from the context, </w:t>
      </w:r>
      <w:r>
        <w:t>which,</w:t>
      </w:r>
      <w:r w:rsidRPr="005B6CF6">
        <w:t xml:space="preserve"> in any case</w:t>
      </w:r>
      <w:r>
        <w:t>,</w:t>
      </w:r>
      <w:r w:rsidRPr="005B6CF6">
        <w:t xml:space="preserve"> </w:t>
      </w:r>
      <w:r>
        <w:t>regarding</w:t>
      </w:r>
      <w:r w:rsidRPr="005B6CF6">
        <w:t xml:space="preserve"> the specific context analysed</w:t>
      </w:r>
      <w:r>
        <w:t>,</w:t>
      </w:r>
      <w:r w:rsidRPr="005B6CF6">
        <w:t xml:space="preserve"> ha</w:t>
      </w:r>
      <w:r>
        <w:t>s</w:t>
      </w:r>
      <w:r w:rsidRPr="005B6CF6">
        <w:t xml:space="preserve"> not been fully publishe</w:t>
      </w:r>
      <w:r>
        <w:t>d</w:t>
      </w:r>
      <w:r w:rsidRPr="005B6CF6">
        <w:t xml:space="preserve"> </w:t>
      </w:r>
      <w:r>
        <w:t>(</w:t>
      </w:r>
      <w:r w:rsidRPr="005B6CF6">
        <w:t>Kramer-Hajos 2015: 653).</w:t>
      </w:r>
    </w:p>
    <w:p w14:paraId="36C78FE5" w14:textId="7D1312FC" w:rsidR="002358F3" w:rsidRPr="005B6CF6" w:rsidRDefault="002358F3" w:rsidP="00E858EF">
      <w:pPr>
        <w:suppressAutoHyphens/>
      </w:pPr>
      <w:r>
        <w:t xml:space="preserve">         </w:t>
      </w:r>
      <w:r w:rsidRPr="00D849FC">
        <w:t xml:space="preserve">The PhD thesis </w:t>
      </w:r>
      <w:r>
        <w:t>by</w:t>
      </w:r>
      <w:r w:rsidRPr="00D849FC">
        <w:t xml:space="preserve"> Nikos Merousis is the most recent study concerning the iconography of the </w:t>
      </w:r>
      <w:r w:rsidRPr="00C23BFC">
        <w:t>entire class of Late Minoan</w:t>
      </w:r>
      <w:r w:rsidRPr="006C65ED">
        <w:t xml:space="preserve"> decorated larnakes (Merousis 2000). The information provided in his</w:t>
      </w:r>
      <w:r w:rsidRPr="00151DA5">
        <w:t xml:space="preserve"> catalogue concerns not only </w:t>
      </w:r>
      <w:r w:rsidRPr="00FE2DDE">
        <w:t>larnakes (painted representation, shape, dimension, condition), but also some basic features related to the burial context. However, the potential information relat</w:t>
      </w:r>
      <w:r>
        <w:t>ed</w:t>
      </w:r>
      <w:r w:rsidRPr="00D849FC">
        <w:t xml:space="preserve"> to the burial context is not </w:t>
      </w:r>
      <w:r w:rsidRPr="00C23BFC">
        <w:t>considered and, furthermore</w:t>
      </w:r>
      <w:r w:rsidRPr="006C65ED">
        <w:t xml:space="preserve">, </w:t>
      </w:r>
      <w:r>
        <w:t xml:space="preserve">many </w:t>
      </w:r>
      <w:r w:rsidRPr="006C65ED">
        <w:t xml:space="preserve">items </w:t>
      </w:r>
      <w:r>
        <w:t>are</w:t>
      </w:r>
      <w:r w:rsidRPr="00151DA5">
        <w:t xml:space="preserve"> excluded from the study (e.g. </w:t>
      </w:r>
      <w:r w:rsidRPr="00FE2DDE">
        <w:t>undecorated larnakes)</w:t>
      </w:r>
      <w:r w:rsidR="00227DDD">
        <w:t>,</w:t>
      </w:r>
      <w:r w:rsidRPr="00FE2DDE">
        <w:t xml:space="preserve"> </w:t>
      </w:r>
      <w:r w:rsidR="00227DDD">
        <w:t>because</w:t>
      </w:r>
      <w:r w:rsidRPr="00FE2DDE">
        <w:t xml:space="preserve"> the aim of </w:t>
      </w:r>
      <w:r w:rsidR="00227DDD">
        <w:t>his</w:t>
      </w:r>
      <w:r w:rsidRPr="00FE2DDE">
        <w:t xml:space="preserve"> study </w:t>
      </w:r>
      <w:r w:rsidR="00227DDD">
        <w:t>was</w:t>
      </w:r>
      <w:r w:rsidRPr="00FE2DDE">
        <w:t xml:space="preserve"> to explore the symbolic dimension and to understand the significance of the message conveyed by larnakes (Merousis 2000: 456).</w:t>
      </w:r>
    </w:p>
    <w:p w14:paraId="2E5A6703" w14:textId="77777777" w:rsidR="00391E84" w:rsidRPr="005B6CF6" w:rsidRDefault="00391E84" w:rsidP="00E858EF">
      <w:pPr>
        <w:suppressAutoHyphens/>
      </w:pPr>
      <w:r>
        <w:tab/>
      </w:r>
      <w:r w:rsidRPr="005B6CF6">
        <w:t xml:space="preserve">However, no matter which approach is used for the analysis of decorated </w:t>
      </w:r>
      <w:r w:rsidRPr="005B6CF6">
        <w:lastRenderedPageBreak/>
        <w:t>larnakes</w:t>
      </w:r>
      <w:r>
        <w:t>,</w:t>
      </w:r>
      <w:r w:rsidRPr="005B6CF6">
        <w:t xml:space="preserve"> the </w:t>
      </w:r>
      <w:r>
        <w:t xml:space="preserve">focus </w:t>
      </w:r>
      <w:r w:rsidRPr="005B6CF6">
        <w:t xml:space="preserve">has been on the identification and interpretation of the meaning (frequently identified within the religious, funerary and ritual sphere) conveyed through the images painted on larnakes. As Watrous synthesised in </w:t>
      </w:r>
      <w:r>
        <w:t>h</w:t>
      </w:r>
      <w:r w:rsidRPr="005B6CF6">
        <w:t>is article</w:t>
      </w:r>
      <w:r>
        <w:t>,</w:t>
      </w:r>
      <w:r w:rsidRPr="005B6CF6">
        <w:t xml:space="preserve"> </w:t>
      </w:r>
      <w:r>
        <w:t>‘larnax</w:t>
      </w:r>
      <w:r w:rsidRPr="005B6CF6">
        <w:t xml:space="preserve"> imagery</w:t>
      </w:r>
      <w:r>
        <w:t>’</w:t>
      </w:r>
      <w:r w:rsidRPr="005B6CF6">
        <w:t xml:space="preserve"> is considered </w:t>
      </w:r>
      <w:r>
        <w:t>‘</w:t>
      </w:r>
      <w:r w:rsidRPr="005B6CF6">
        <w:t>a language</w:t>
      </w:r>
      <w:r>
        <w:t>’</w:t>
      </w:r>
      <w:r w:rsidRPr="005B6CF6">
        <w:t>, and</w:t>
      </w:r>
      <w:r>
        <w:t>,</w:t>
      </w:r>
      <w:r w:rsidRPr="005B6CF6">
        <w:t xml:space="preserve"> as a language</w:t>
      </w:r>
      <w:r>
        <w:t>,</w:t>
      </w:r>
      <w:r w:rsidRPr="005B6CF6">
        <w:t xml:space="preserve"> it contains a </w:t>
      </w:r>
      <w:r>
        <w:t>‘</w:t>
      </w:r>
      <w:r w:rsidRPr="005B6CF6">
        <w:t>meaningful message</w:t>
      </w:r>
      <w:r>
        <w:t>’</w:t>
      </w:r>
      <w:r w:rsidRPr="005B6CF6">
        <w:t xml:space="preserve"> (Watrous 1991: 302). Consequently, all the efforts </w:t>
      </w:r>
      <w:r>
        <w:t>were</w:t>
      </w:r>
      <w:r w:rsidRPr="005B6CF6">
        <w:t xml:space="preserve"> focused on the identification of the sources of this language</w:t>
      </w:r>
      <w:r>
        <w:t>,</w:t>
      </w:r>
      <w:r w:rsidRPr="005B6CF6">
        <w:t xml:space="preserve"> </w:t>
      </w:r>
      <w:r>
        <w:t>via</w:t>
      </w:r>
      <w:r w:rsidRPr="005B6CF6">
        <w:t xml:space="preserve"> comparison with other iconographical repertoire</w:t>
      </w:r>
      <w:r>
        <w:t>s,</w:t>
      </w:r>
      <w:r w:rsidRPr="005B6CF6">
        <w:t xml:space="preserve"> and on the identification of the </w:t>
      </w:r>
      <w:r>
        <w:t>‘</w:t>
      </w:r>
      <w:r w:rsidRPr="005B6CF6">
        <w:t>meaning of the message</w:t>
      </w:r>
      <w:r>
        <w:t>’</w:t>
      </w:r>
      <w:r w:rsidRPr="005B6CF6">
        <w:t>.</w:t>
      </w:r>
    </w:p>
    <w:p w14:paraId="5D2EBBAC" w14:textId="77777777" w:rsidR="00391E84" w:rsidRPr="005B6CF6" w:rsidRDefault="00391E84" w:rsidP="00AD5BCB">
      <w:pPr>
        <w:rPr>
          <w:rFonts w:eastAsia="Times New Roman"/>
          <w:iCs/>
        </w:rPr>
      </w:pPr>
      <w:r>
        <w:rPr>
          <w:rFonts w:eastAsia="Times New Roman"/>
          <w:iCs/>
        </w:rPr>
        <w:tab/>
      </w:r>
      <w:r w:rsidRPr="005B6CF6">
        <w:rPr>
          <w:rFonts w:eastAsia="Times New Roman"/>
          <w:iCs/>
        </w:rPr>
        <w:t xml:space="preserve">Therefore, iconographical studies on larnakes do not </w:t>
      </w:r>
      <w:r w:rsidRPr="005B6CF6">
        <w:t>consider any contextual feature of the burial connected to larnax use and function</w:t>
      </w:r>
      <w:r>
        <w:t>. Instead,</w:t>
      </w:r>
      <w:r w:rsidRPr="005B6CF6">
        <w:t xml:space="preserve"> </w:t>
      </w:r>
      <w:r>
        <w:t xml:space="preserve">larnax </w:t>
      </w:r>
      <w:r w:rsidRPr="005B6CF6">
        <w:t>decoration has been studied and interpreted as an independent aspect, frequently</w:t>
      </w:r>
      <w:r>
        <w:t xml:space="preserve"> in isolation</w:t>
      </w:r>
      <w:r w:rsidRPr="005B6CF6">
        <w:rPr>
          <w:rFonts w:eastAsia="Times New Roman"/>
          <w:iCs/>
        </w:rPr>
        <w:t>. However</w:t>
      </w:r>
      <w:r>
        <w:rPr>
          <w:rFonts w:eastAsia="Times New Roman"/>
          <w:iCs/>
        </w:rPr>
        <w:t>,</w:t>
      </w:r>
      <w:r w:rsidRPr="005B6CF6">
        <w:rPr>
          <w:rFonts w:eastAsia="Times New Roman"/>
          <w:iCs/>
        </w:rPr>
        <w:t xml:space="preserve"> not considering the other elements of the context</w:t>
      </w:r>
      <w:r>
        <w:rPr>
          <w:rFonts w:eastAsia="Times New Roman"/>
          <w:iCs/>
        </w:rPr>
        <w:t>,</w:t>
      </w:r>
      <w:r w:rsidRPr="005B6CF6">
        <w:rPr>
          <w:rFonts w:eastAsia="Times New Roman"/>
          <w:iCs/>
        </w:rPr>
        <w:t xml:space="preserve"> and the relation</w:t>
      </w:r>
      <w:r>
        <w:rPr>
          <w:rFonts w:eastAsia="Times New Roman"/>
          <w:iCs/>
        </w:rPr>
        <w:t>ship</w:t>
      </w:r>
      <w:r w:rsidRPr="005B6CF6">
        <w:rPr>
          <w:rFonts w:eastAsia="Times New Roman"/>
          <w:iCs/>
        </w:rPr>
        <w:t xml:space="preserve"> between </w:t>
      </w:r>
      <w:r>
        <w:rPr>
          <w:rFonts w:eastAsia="Times New Roman"/>
          <w:iCs/>
        </w:rPr>
        <w:t xml:space="preserve">these and the </w:t>
      </w:r>
      <w:r w:rsidRPr="005B6CF6">
        <w:rPr>
          <w:rFonts w:eastAsia="Times New Roman"/>
          <w:iCs/>
        </w:rPr>
        <w:t>larnakes</w:t>
      </w:r>
      <w:r>
        <w:rPr>
          <w:rFonts w:eastAsia="Times New Roman"/>
          <w:iCs/>
        </w:rPr>
        <w:t>,</w:t>
      </w:r>
      <w:r w:rsidRPr="005B6CF6">
        <w:rPr>
          <w:rFonts w:eastAsia="Times New Roman"/>
          <w:iCs/>
        </w:rPr>
        <w:t xml:space="preserve"> limit</w:t>
      </w:r>
      <w:r>
        <w:rPr>
          <w:rFonts w:eastAsia="Times New Roman"/>
          <w:iCs/>
        </w:rPr>
        <w:t>s</w:t>
      </w:r>
      <w:r w:rsidRPr="005B6CF6">
        <w:rPr>
          <w:rFonts w:eastAsia="Times New Roman"/>
          <w:iCs/>
        </w:rPr>
        <w:t xml:space="preserve"> the identification of the symbolic meanings of larnakes (not only of their iconography), </w:t>
      </w:r>
      <w:r>
        <w:rPr>
          <w:rFonts w:eastAsia="Times New Roman"/>
          <w:iCs/>
        </w:rPr>
        <w:t>and</w:t>
      </w:r>
      <w:r w:rsidRPr="005B6CF6">
        <w:rPr>
          <w:rFonts w:eastAsia="Times New Roman"/>
          <w:iCs/>
        </w:rPr>
        <w:t xml:space="preserve"> also the wider understanding of their role and their function within the burial, because they are inevitably defined by the context and</w:t>
      </w:r>
      <w:r>
        <w:rPr>
          <w:rFonts w:eastAsia="Times New Roman"/>
          <w:iCs/>
        </w:rPr>
        <w:t>,</w:t>
      </w:r>
      <w:r w:rsidRPr="005B6CF6">
        <w:rPr>
          <w:rFonts w:eastAsia="Times New Roman"/>
          <w:iCs/>
        </w:rPr>
        <w:t xml:space="preserve"> consequently</w:t>
      </w:r>
      <w:r>
        <w:rPr>
          <w:rFonts w:eastAsia="Times New Roman"/>
          <w:iCs/>
        </w:rPr>
        <w:t>,</w:t>
      </w:r>
      <w:r w:rsidRPr="005B6CF6">
        <w:rPr>
          <w:rFonts w:eastAsia="Times New Roman"/>
          <w:iCs/>
        </w:rPr>
        <w:t xml:space="preserve"> change accordingly (Hodder 1982; 1987).</w:t>
      </w:r>
    </w:p>
    <w:p w14:paraId="64E2B0AA" w14:textId="77777777" w:rsidR="00391E84" w:rsidRPr="00AC10AB" w:rsidRDefault="00391E84" w:rsidP="00E858EF">
      <w:pPr>
        <w:pStyle w:val="Titolo4"/>
        <w:keepNext w:val="0"/>
        <w:keepLines w:val="0"/>
        <w:suppressAutoHyphens/>
      </w:pPr>
      <w:bookmarkStart w:id="38" w:name="_Toc273709534"/>
      <w:bookmarkStart w:id="39" w:name="_Toc389505929"/>
      <w:bookmarkStart w:id="40" w:name="_Toc517646813"/>
      <w:r w:rsidRPr="005B6CF6">
        <w:t xml:space="preserve">Who decorated larnakes? Attribution studies </w:t>
      </w:r>
      <w:r>
        <w:t>of w</w:t>
      </w:r>
      <w:r w:rsidRPr="005B6CF6">
        <w:t xml:space="preserve">orkshops and </w:t>
      </w:r>
      <w:bookmarkEnd w:id="38"/>
      <w:bookmarkEnd w:id="39"/>
      <w:r w:rsidRPr="005B6CF6">
        <w:t>artisans</w:t>
      </w:r>
      <w:bookmarkEnd w:id="40"/>
      <w:r w:rsidRPr="005B6CF6">
        <w:t xml:space="preserve"> </w:t>
      </w:r>
    </w:p>
    <w:p w14:paraId="67A05B46" w14:textId="77777777" w:rsidR="00391E84" w:rsidRPr="008441D2" w:rsidRDefault="00391E84" w:rsidP="00AD5BCB">
      <w:r w:rsidRPr="005B6CF6">
        <w:t>Another important aspect linked to the analysis of larna</w:t>
      </w:r>
      <w:r>
        <w:t>x</w:t>
      </w:r>
      <w:r w:rsidRPr="005B6CF6">
        <w:t xml:space="preserve"> iconography concern</w:t>
      </w:r>
      <w:r>
        <w:t>s</w:t>
      </w:r>
      <w:r w:rsidRPr="005B6CF6">
        <w:t xml:space="preserve"> their attribution.</w:t>
      </w:r>
      <w:r>
        <w:t xml:space="preserve"> </w:t>
      </w:r>
      <w:r w:rsidRPr="005B6CF6">
        <w:t>Vermeule</w:t>
      </w:r>
      <w:r>
        <w:t xml:space="preserve"> (1965)</w:t>
      </w:r>
      <w:r w:rsidRPr="005B6CF6">
        <w:t xml:space="preserve"> identifie</w:t>
      </w:r>
      <w:r>
        <w:t>d</w:t>
      </w:r>
      <w:r w:rsidRPr="005B6CF6">
        <w:t xml:space="preserve"> </w:t>
      </w:r>
      <w:r>
        <w:t>‘</w:t>
      </w:r>
      <w:r w:rsidRPr="005B6CF6">
        <w:t>hands of artists</w:t>
      </w:r>
      <w:r>
        <w:t>’</w:t>
      </w:r>
      <w:r w:rsidRPr="005B6CF6">
        <w:t xml:space="preserve"> and workshops in her study of larnakes.</w:t>
      </w:r>
      <w:r>
        <w:t xml:space="preserve"> </w:t>
      </w:r>
      <w:r w:rsidRPr="008441D2">
        <w:t>The first systematic stud</w:t>
      </w:r>
      <w:r>
        <w:t>y</w:t>
      </w:r>
      <w:r w:rsidRPr="008441D2">
        <w:t xml:space="preserve"> and identification of larna</w:t>
      </w:r>
      <w:r>
        <w:t>x</w:t>
      </w:r>
      <w:r w:rsidRPr="008441D2">
        <w:t xml:space="preserve"> production workshops </w:t>
      </w:r>
      <w:r>
        <w:t xml:space="preserve">was </w:t>
      </w:r>
      <w:r w:rsidRPr="008441D2">
        <w:t>proposed by Kanta</w:t>
      </w:r>
      <w:r>
        <w:t xml:space="preserve"> (1980) </w:t>
      </w:r>
      <w:r w:rsidRPr="008441D2">
        <w:t xml:space="preserve">in her survey </w:t>
      </w:r>
      <w:r>
        <w:t>of</w:t>
      </w:r>
      <w:r w:rsidRPr="008441D2">
        <w:t xml:space="preserve"> LM III pottery. She supposed the existence of workshops not only for </w:t>
      </w:r>
      <w:r>
        <w:t>pottery</w:t>
      </w:r>
      <w:r w:rsidRPr="008441D2">
        <w:t xml:space="preserve"> production, but also for LM III sarcophagi. The stylistic similarities </w:t>
      </w:r>
      <w:r>
        <w:t>that</w:t>
      </w:r>
      <w:r w:rsidRPr="008441D2">
        <w:t xml:space="preserve"> characteri</w:t>
      </w:r>
      <w:r>
        <w:t>s</w:t>
      </w:r>
      <w:r w:rsidRPr="008441D2">
        <w:t xml:space="preserve">e some groups of sarcophagi allow their attribution to </w:t>
      </w:r>
      <w:r>
        <w:t>the</w:t>
      </w:r>
      <w:r w:rsidRPr="008441D2">
        <w:t xml:space="preserve"> same hand</w:t>
      </w:r>
      <w:r>
        <w:t>,</w:t>
      </w:r>
      <w:r w:rsidRPr="008441D2">
        <w:t xml:space="preserve"> or at least to a group of artisans working together. She identifies around seven workshops active</w:t>
      </w:r>
      <w:r>
        <w:t xml:space="preserve"> in</w:t>
      </w:r>
      <w:r w:rsidRPr="008441D2">
        <w:t xml:space="preserve"> Crete during the LM III period (Kanta 1980: 290-293). Furthermore, she considers the issue of </w:t>
      </w:r>
      <w:r>
        <w:t xml:space="preserve">a </w:t>
      </w:r>
      <w:r w:rsidRPr="008441D2">
        <w:t>larnax market linked to workshops and production, proposing two hypotheses (Kanta 1980: 290):</w:t>
      </w:r>
    </w:p>
    <w:p w14:paraId="0DDA6D64" w14:textId="77777777" w:rsidR="00391E84" w:rsidRPr="00D849FC" w:rsidRDefault="00391E84" w:rsidP="00E858EF">
      <w:pPr>
        <w:pStyle w:val="Paragrafoelenco"/>
        <w:numPr>
          <w:ilvl w:val="0"/>
          <w:numId w:val="9"/>
        </w:numPr>
        <w:suppressAutoHyphens/>
      </w:pPr>
      <w:r w:rsidRPr="00FE2DDE">
        <w:t xml:space="preserve">Artisans sold their products in a market located in the area </w:t>
      </w:r>
    </w:p>
    <w:p w14:paraId="0FA34A75" w14:textId="77777777" w:rsidR="00391E84" w:rsidRPr="00D849FC" w:rsidRDefault="00391E84" w:rsidP="00E858EF">
      <w:pPr>
        <w:pStyle w:val="Paragrafoelenco"/>
        <w:numPr>
          <w:ilvl w:val="0"/>
          <w:numId w:val="9"/>
        </w:numPr>
        <w:suppressAutoHyphens/>
      </w:pPr>
      <w:r w:rsidRPr="00FE2DDE">
        <w:t xml:space="preserve">Artisans moved from one place to another to receive the orders for the artefacts </w:t>
      </w:r>
    </w:p>
    <w:p w14:paraId="066C15AB" w14:textId="77777777" w:rsidR="00391E84" w:rsidRPr="008441D2" w:rsidRDefault="00391E84" w:rsidP="00E858EF">
      <w:pPr>
        <w:suppressAutoHyphens/>
      </w:pPr>
      <w:r w:rsidRPr="008441D2">
        <w:t>In particular</w:t>
      </w:r>
      <w:r>
        <w:t>,</w:t>
      </w:r>
      <w:r w:rsidRPr="008441D2">
        <w:t xml:space="preserve"> this second option</w:t>
      </w:r>
      <w:r>
        <w:t>,</w:t>
      </w:r>
      <w:r w:rsidRPr="008441D2">
        <w:t xml:space="preserve"> </w:t>
      </w:r>
      <w:r>
        <w:t>regarding</w:t>
      </w:r>
      <w:r w:rsidRPr="008441D2">
        <w:t xml:space="preserve"> larna</w:t>
      </w:r>
      <w:r>
        <w:t>x</w:t>
      </w:r>
      <w:r w:rsidRPr="008441D2">
        <w:t xml:space="preserve"> production</w:t>
      </w:r>
      <w:r>
        <w:t>,</w:t>
      </w:r>
      <w:r w:rsidRPr="008441D2">
        <w:t xml:space="preserve"> had been previous</w:t>
      </w:r>
      <w:r>
        <w:t>ly</w:t>
      </w:r>
      <w:r w:rsidRPr="008441D2">
        <w:t xml:space="preserve"> examined by Rutkowski (1966: 132)</w:t>
      </w:r>
      <w:r>
        <w:t>.</w:t>
      </w:r>
      <w:r w:rsidRPr="008441D2">
        <w:t xml:space="preserve"> </w:t>
      </w:r>
      <w:r>
        <w:t>He</w:t>
      </w:r>
      <w:r w:rsidRPr="008441D2">
        <w:t xml:space="preserve"> consider</w:t>
      </w:r>
      <w:r>
        <w:t>ed</w:t>
      </w:r>
      <w:r w:rsidRPr="008441D2">
        <w:t xml:space="preserve"> the hypothesis of the existence of itinerant artisans, </w:t>
      </w:r>
      <w:r>
        <w:t>drawing an</w:t>
      </w:r>
      <w:r w:rsidRPr="008441D2">
        <w:t xml:space="preserve"> </w:t>
      </w:r>
      <w:r>
        <w:t>analogy with the modern pithos</w:t>
      </w:r>
      <w:r w:rsidRPr="008441D2">
        <w:t xml:space="preserve"> makers from the village of Thrapsano (Rutkowski 1966: 132). This hypothesis </w:t>
      </w:r>
      <w:r>
        <w:t>is still</w:t>
      </w:r>
      <w:r w:rsidRPr="008441D2">
        <w:t xml:space="preserve"> plausible and reasonable to explain how it is possible to find similar sarcophagi (made by the same workshop?) in </w:t>
      </w:r>
      <w:r w:rsidRPr="008441D2">
        <w:lastRenderedPageBreak/>
        <w:t xml:space="preserve">different areas. </w:t>
      </w:r>
    </w:p>
    <w:p w14:paraId="7B87E635" w14:textId="77777777" w:rsidR="00391E84" w:rsidRPr="008441D2" w:rsidRDefault="00391E84" w:rsidP="00E858EF">
      <w:pPr>
        <w:suppressAutoHyphens/>
      </w:pPr>
      <w:r>
        <w:tab/>
      </w:r>
      <w:r w:rsidRPr="008441D2">
        <w:t>Rutkowski</w:t>
      </w:r>
      <w:r>
        <w:t>’s</w:t>
      </w:r>
      <w:r w:rsidRPr="008441D2">
        <w:t xml:space="preserve"> interests concern also the identification of the source </w:t>
      </w:r>
      <w:r>
        <w:t>of</w:t>
      </w:r>
      <w:r w:rsidRPr="008441D2">
        <w:t xml:space="preserve"> larnakes</w:t>
      </w:r>
      <w:r>
        <w:t>’</w:t>
      </w:r>
      <w:r w:rsidRPr="008441D2">
        <w:t xml:space="preserve"> iconographic repertoire. According to his analysis</w:t>
      </w:r>
      <w:r>
        <w:t xml:space="preserve"> (Rutkowski 1966: 133),</w:t>
      </w:r>
      <w:r w:rsidRPr="008441D2">
        <w:t xml:space="preserve"> the same principles of composition can be observed both on larnakes and vase painting</w:t>
      </w:r>
      <w:r>
        <w:t>s</w:t>
      </w:r>
      <w:r w:rsidRPr="008441D2">
        <w:t>, and</w:t>
      </w:r>
      <w:r>
        <w:t>,</w:t>
      </w:r>
      <w:r w:rsidRPr="008441D2">
        <w:t xml:space="preserve"> in some cases</w:t>
      </w:r>
      <w:r>
        <w:t>,</w:t>
      </w:r>
      <w:r w:rsidRPr="008441D2">
        <w:t xml:space="preserve"> he proposes that larnakes and vases may even be decorated by the same hands. The only difference between larnakes and pottery </w:t>
      </w:r>
      <w:r>
        <w:t>is</w:t>
      </w:r>
      <w:r w:rsidRPr="008441D2">
        <w:t xml:space="preserve"> the dimension</w:t>
      </w:r>
      <w:r>
        <w:t>s</w:t>
      </w:r>
      <w:r w:rsidRPr="008441D2">
        <w:t xml:space="preserve"> of the pattern, which is </w:t>
      </w:r>
      <w:r>
        <w:t>larger</w:t>
      </w:r>
      <w:r w:rsidRPr="008441D2">
        <w:t xml:space="preserve"> </w:t>
      </w:r>
      <w:r>
        <w:t>o</w:t>
      </w:r>
      <w:r w:rsidRPr="008441D2">
        <w:t>n larnakes due to a larger painting surface. Therefore, he believes that a workshop might produce both pottery and larnakes. The ideas advanced by Rutkowski</w:t>
      </w:r>
      <w:r>
        <w:t>,</w:t>
      </w:r>
      <w:r w:rsidRPr="008441D2">
        <w:t xml:space="preserve"> both in respect </w:t>
      </w:r>
      <w:r>
        <w:t>to</w:t>
      </w:r>
      <w:r w:rsidRPr="008441D2">
        <w:t xml:space="preserve"> larna</w:t>
      </w:r>
      <w:r>
        <w:t>x</w:t>
      </w:r>
      <w:r w:rsidRPr="008441D2">
        <w:t xml:space="preserve"> production (itinerant larnax makers) and identif</w:t>
      </w:r>
      <w:r>
        <w:t>ying</w:t>
      </w:r>
      <w:r w:rsidRPr="008441D2">
        <w:t xml:space="preserve"> pattern</w:t>
      </w:r>
      <w:r>
        <w:t>s</w:t>
      </w:r>
      <w:r w:rsidRPr="008441D2">
        <w:t xml:space="preserve"> and sources of decoration </w:t>
      </w:r>
      <w:r>
        <w:t>remain</w:t>
      </w:r>
      <w:r w:rsidRPr="008441D2">
        <w:t xml:space="preserve"> valid </w:t>
      </w:r>
      <w:r>
        <w:t>today</w:t>
      </w:r>
      <w:r w:rsidRPr="008441D2">
        <w:t>.</w:t>
      </w:r>
      <w:r>
        <w:t xml:space="preserve"> </w:t>
      </w:r>
      <w:r w:rsidRPr="008441D2">
        <w:t>Later</w:t>
      </w:r>
      <w:r>
        <w:t>,</w:t>
      </w:r>
      <w:r w:rsidRPr="008441D2">
        <w:t xml:space="preserve"> </w:t>
      </w:r>
      <w:r>
        <w:t xml:space="preserve">a </w:t>
      </w:r>
      <w:r w:rsidRPr="008441D2">
        <w:t xml:space="preserve">few other scholars </w:t>
      </w:r>
      <w:r>
        <w:t>contributed</w:t>
      </w:r>
      <w:r w:rsidRPr="008441D2">
        <w:t xml:space="preserve"> to the debate concerning larna</w:t>
      </w:r>
      <w:r>
        <w:t>x</w:t>
      </w:r>
      <w:r w:rsidRPr="008441D2">
        <w:t xml:space="preserve"> production and distribution with a particular focus on the presence of regional/local workshops (east Crete, </w:t>
      </w:r>
      <w:r>
        <w:t>Tsipopoulou and</w:t>
      </w:r>
      <w:r w:rsidRPr="008441D2">
        <w:t xml:space="preserve"> Vagnetti 1995: 131-145; 1997: 473-477; west Crete, Mavriyannaki 1972; Merousis 2011: 81-106).</w:t>
      </w:r>
      <w:r>
        <w:t xml:space="preserve"> </w:t>
      </w:r>
      <w:r w:rsidRPr="008441D2">
        <w:t>However, all the issues concerning the existence of workshops for larna</w:t>
      </w:r>
      <w:r>
        <w:t>x</w:t>
      </w:r>
      <w:r w:rsidRPr="008441D2">
        <w:t xml:space="preserve"> production presume a systematic analysis of the decorative </w:t>
      </w:r>
      <w:r>
        <w:t>motif</w:t>
      </w:r>
      <w:r w:rsidRPr="008441D2">
        <w:t xml:space="preserve">s painted and the study of their spatial distribution. </w:t>
      </w:r>
    </w:p>
    <w:p w14:paraId="27977C16" w14:textId="77777777" w:rsidR="00391E84" w:rsidRDefault="00391E84" w:rsidP="00E858EF">
      <w:pPr>
        <w:suppressAutoHyphens/>
      </w:pPr>
      <w:r>
        <w:tab/>
      </w:r>
      <w:r w:rsidRPr="008441D2">
        <w:t>The approach adopted in the present work (</w:t>
      </w:r>
      <w:r>
        <w:t>C</w:t>
      </w:r>
      <w:r w:rsidRPr="008441D2">
        <w:t>hapter 5), before considering the existence of workshops, examines similarities in moti</w:t>
      </w:r>
      <w:r>
        <w:t>f</w:t>
      </w:r>
      <w:r w:rsidRPr="008441D2">
        <w:t xml:space="preserve"> occurrence and organi</w:t>
      </w:r>
      <w:r>
        <w:t>s</w:t>
      </w:r>
      <w:r w:rsidRPr="008441D2">
        <w:t xml:space="preserve">ation on </w:t>
      </w:r>
      <w:r>
        <w:t xml:space="preserve">a </w:t>
      </w:r>
      <w:r w:rsidRPr="008441D2">
        <w:t>regional basis to identify possible larnax groups. In fact,</w:t>
      </w:r>
      <w:r>
        <w:t xml:space="preserve"> the </w:t>
      </w:r>
      <w:r w:rsidRPr="008441D2">
        <w:t>occurrence of the same moti</w:t>
      </w:r>
      <w:r>
        <w:t>f</w:t>
      </w:r>
      <w:r w:rsidRPr="008441D2">
        <w:t>s and same organi</w:t>
      </w:r>
      <w:r>
        <w:t>s</w:t>
      </w:r>
      <w:r w:rsidRPr="008441D2">
        <w:t xml:space="preserve">ation) </w:t>
      </w:r>
      <w:r>
        <w:t>are</w:t>
      </w:r>
      <w:r w:rsidRPr="008441D2">
        <w:t xml:space="preserve"> considered prerequisite</w:t>
      </w:r>
      <w:r>
        <w:t>s</w:t>
      </w:r>
      <w:r w:rsidRPr="008441D2">
        <w:t xml:space="preserve"> for the identification of larna</w:t>
      </w:r>
      <w:r>
        <w:t>x</w:t>
      </w:r>
      <w:r w:rsidRPr="008441D2">
        <w:t xml:space="preserve"> workshops and </w:t>
      </w:r>
      <w:r>
        <w:t xml:space="preserve">in order </w:t>
      </w:r>
      <w:r w:rsidRPr="008441D2">
        <w:t xml:space="preserve">to undertake a more systematic analysis of larnax production and </w:t>
      </w:r>
      <w:r>
        <w:t xml:space="preserve">the </w:t>
      </w:r>
      <w:r w:rsidRPr="008441D2">
        <w:t>market</w:t>
      </w:r>
      <w:r>
        <w:t>. This analysis</w:t>
      </w:r>
      <w:r w:rsidRPr="008441D2">
        <w:t xml:space="preserve"> involve</w:t>
      </w:r>
      <w:r>
        <w:t>s</w:t>
      </w:r>
      <w:r w:rsidRPr="008441D2">
        <w:t xml:space="preserve"> the study of other features not considered in the present study</w:t>
      </w:r>
      <w:r>
        <w:t>, such as</w:t>
      </w:r>
      <w:r w:rsidRPr="008441D2">
        <w:t xml:space="preserve"> petrographic analysis </w:t>
      </w:r>
      <w:r>
        <w:t>(</w:t>
      </w:r>
      <w:r w:rsidRPr="008441D2">
        <w:t>Nodarou 2015</w:t>
      </w:r>
      <w:r>
        <w:t>),</w:t>
      </w:r>
      <w:r w:rsidRPr="008441D2">
        <w:t xml:space="preserve"> </w:t>
      </w:r>
      <w:r>
        <w:t>which</w:t>
      </w:r>
      <w:r w:rsidRPr="008441D2">
        <w:t xml:space="preserve"> </w:t>
      </w:r>
      <w:r>
        <w:t>is</w:t>
      </w:r>
      <w:r w:rsidRPr="008441D2">
        <w:t xml:space="preserve"> one of the topic</w:t>
      </w:r>
      <w:r>
        <w:t>s</w:t>
      </w:r>
      <w:r w:rsidRPr="008441D2">
        <w:t xml:space="preserve"> deserving future research</w:t>
      </w:r>
      <w:r>
        <w:t xml:space="preserve"> (see C</w:t>
      </w:r>
      <w:r w:rsidRPr="008441D2">
        <w:t>hapter 7).</w:t>
      </w:r>
    </w:p>
    <w:p w14:paraId="43D12366" w14:textId="77777777" w:rsidR="00391E84" w:rsidRPr="00C93304" w:rsidRDefault="00391E84" w:rsidP="00E858EF">
      <w:pPr>
        <w:pStyle w:val="Titolo2"/>
        <w:keepNext w:val="0"/>
        <w:keepLines w:val="0"/>
        <w:suppressAutoHyphens/>
      </w:pPr>
      <w:bookmarkStart w:id="41" w:name="_Toc389505930"/>
      <w:bookmarkStart w:id="42" w:name="_Toc517646814"/>
      <w:bookmarkStart w:id="43" w:name="_Toc519894597"/>
      <w:r w:rsidRPr="008441D2">
        <w:t>General/regional studies on larnakes, LM III period general surveys</w:t>
      </w:r>
      <w:bookmarkEnd w:id="41"/>
      <w:bookmarkEnd w:id="42"/>
      <w:bookmarkEnd w:id="43"/>
    </w:p>
    <w:p w14:paraId="4947DBB1" w14:textId="77777777" w:rsidR="00391E84" w:rsidRPr="00FB43FB" w:rsidRDefault="00391E84" w:rsidP="00E858EF">
      <w:pPr>
        <w:suppressAutoHyphens/>
      </w:pPr>
      <w:r w:rsidRPr="008441D2">
        <w:t>General and regional larna</w:t>
      </w:r>
      <w:r>
        <w:t>x</w:t>
      </w:r>
      <w:r w:rsidRPr="008441D2">
        <w:t xml:space="preserve"> studies and general survey</w:t>
      </w:r>
      <w:r>
        <w:t>s</w:t>
      </w:r>
      <w:r w:rsidRPr="008441D2">
        <w:t xml:space="preserve"> o</w:t>
      </w:r>
      <w:r>
        <w:t>f</w:t>
      </w:r>
      <w:r w:rsidRPr="008441D2">
        <w:t xml:space="preserve"> the LM III period play an important role in identify</w:t>
      </w:r>
      <w:r>
        <w:t>ing</w:t>
      </w:r>
      <w:r w:rsidRPr="008441D2">
        <w:t xml:space="preserve"> and quantify</w:t>
      </w:r>
      <w:r>
        <w:t>ing</w:t>
      </w:r>
      <w:r w:rsidRPr="008441D2">
        <w:t xml:space="preserve"> larnakes and </w:t>
      </w:r>
      <w:r>
        <w:t xml:space="preserve">their </w:t>
      </w:r>
      <w:r w:rsidRPr="008441D2">
        <w:t>distribut</w:t>
      </w:r>
      <w:r>
        <w:t>ion</w:t>
      </w:r>
      <w:r w:rsidRPr="008441D2">
        <w:t xml:space="preserve"> through</w:t>
      </w:r>
      <w:r>
        <w:t>out</w:t>
      </w:r>
      <w:r w:rsidRPr="008441D2">
        <w:t xml:space="preserve"> Crete.</w:t>
      </w:r>
      <w:r>
        <w:t xml:space="preserve"> </w:t>
      </w:r>
      <w:r w:rsidRPr="008441D2">
        <w:t xml:space="preserve">The first attempt to catalogue and classify larnakes was made by Bodgan Rutkowski in his PhD thesis published in 1966. The subjects of his study are all the larnakes from Bronze Age Greece. </w:t>
      </w:r>
      <w:r>
        <w:t>Thus</w:t>
      </w:r>
      <w:r w:rsidRPr="008441D2">
        <w:t>, his study includes not only Late Minoan examples</w:t>
      </w:r>
      <w:r>
        <w:t>,</w:t>
      </w:r>
      <w:r w:rsidRPr="008441D2">
        <w:t xml:space="preserve"> but also larnakes from the Early and Middle Minoan period</w:t>
      </w:r>
      <w:r>
        <w:t>s</w:t>
      </w:r>
      <w:r w:rsidRPr="008441D2">
        <w:t>. He examines clay larnakes distributed through</w:t>
      </w:r>
      <w:r>
        <w:t>out</w:t>
      </w:r>
      <w:r w:rsidRPr="008441D2">
        <w:t xml:space="preserve"> the island in different period</w:t>
      </w:r>
      <w:r>
        <w:t>s</w:t>
      </w:r>
      <w:r w:rsidRPr="008441D2">
        <w:t xml:space="preserve">, and also </w:t>
      </w:r>
      <w:r>
        <w:t xml:space="preserve">a </w:t>
      </w:r>
      <w:r w:rsidRPr="008441D2">
        <w:t>few examples of burial receptacles made of stone and wood (Rutkowski</w:t>
      </w:r>
      <w:r>
        <w:t xml:space="preserve"> 1966: 131). Until </w:t>
      </w:r>
      <w:r>
        <w:lastRenderedPageBreak/>
        <w:t>Rutkowski’s</w:t>
      </w:r>
      <w:r w:rsidRPr="00FB43FB">
        <w:t xml:space="preserve"> PhD thesis, publications about larnakes concerned</w:t>
      </w:r>
      <w:r>
        <w:t xml:space="preserve"> only</w:t>
      </w:r>
      <w:r w:rsidRPr="00FB43FB">
        <w:t xml:space="preserve"> single </w:t>
      </w:r>
      <w:r>
        <w:t>examples</w:t>
      </w:r>
      <w:r w:rsidRPr="00FB43FB">
        <w:t xml:space="preserve"> or individual sites. </w:t>
      </w:r>
    </w:p>
    <w:p w14:paraId="64C3F4C2" w14:textId="77777777" w:rsidR="00391E84" w:rsidRPr="00FB43FB" w:rsidRDefault="00391E84" w:rsidP="00E858EF">
      <w:pPr>
        <w:suppressAutoHyphens/>
      </w:pPr>
      <w:r>
        <w:tab/>
      </w:r>
      <w:r w:rsidRPr="00FB43FB">
        <w:t>Rutkowski underlines</w:t>
      </w:r>
      <w:r>
        <w:t xml:space="preserve"> what was then, and remains today, one of the main gaps in the research:</w:t>
      </w:r>
      <w:r w:rsidRPr="00FB43FB">
        <w:t xml:space="preserve"> </w:t>
      </w:r>
      <w:r>
        <w:t xml:space="preserve">only </w:t>
      </w:r>
      <w:r w:rsidRPr="00FB43FB">
        <w:t xml:space="preserve">10% of publications about </w:t>
      </w:r>
      <w:r>
        <w:t xml:space="preserve">larnakes considered in his study </w:t>
      </w:r>
      <w:r w:rsidRPr="00FB43FB">
        <w:t>report</w:t>
      </w:r>
      <w:r>
        <w:t>ed</w:t>
      </w:r>
      <w:r w:rsidRPr="00FB43FB">
        <w:t xml:space="preserve"> complete information</w:t>
      </w:r>
      <w:r>
        <w:t xml:space="preserve"> (e.g. burial context).</w:t>
      </w:r>
      <w:r w:rsidRPr="00FB43FB">
        <w:t xml:space="preserve"> The vast majority of </w:t>
      </w:r>
      <w:r>
        <w:t xml:space="preserve">information that he considers was retrieved </w:t>
      </w:r>
      <w:r w:rsidRPr="00FB43FB">
        <w:t xml:space="preserve">from short reports or from other publications, which </w:t>
      </w:r>
      <w:r>
        <w:t xml:space="preserve">only </w:t>
      </w:r>
      <w:r w:rsidRPr="00FB43FB">
        <w:t xml:space="preserve">incidentally </w:t>
      </w:r>
      <w:r>
        <w:t>provided</w:t>
      </w:r>
      <w:r w:rsidRPr="00FB43FB">
        <w:t xml:space="preserve"> some data.</w:t>
      </w:r>
      <w:r>
        <w:t xml:space="preserve"> </w:t>
      </w:r>
    </w:p>
    <w:p w14:paraId="09B5E9F1" w14:textId="53CC5B27" w:rsidR="00391E84" w:rsidRPr="00D849FC" w:rsidRDefault="00391E84" w:rsidP="00E858EF">
      <w:pPr>
        <w:suppressAutoHyphens/>
      </w:pPr>
      <w:r>
        <w:tab/>
        <w:t>Following Rutkowski, there are a few other specific larnax studies, which focused mostly on regional surveys of larnakes (e.g. Mavriyannaki 1972). However, the most significant contribution using survey of LM III burials with larnakes is provided by general and regional distribution studies of the LM III period (Kanta 1980; Godart and Tzedakis 1992; Langohr 2009) or studies focused on other aspects of Late Minoan burial contexts (anthropological remains in Late Bronze Age burial in Crete: see L</w:t>
      </w:r>
      <w:r>
        <w:rPr>
          <w:lang w:val="de-DE"/>
        </w:rPr>
        <w:t>ö</w:t>
      </w:r>
      <w:r>
        <w:t>we 1996).</w:t>
      </w:r>
    </w:p>
    <w:p w14:paraId="22DC8683" w14:textId="77777777" w:rsidR="00391E84" w:rsidRPr="00FE2DDE" w:rsidRDefault="00391E84" w:rsidP="00E858EF">
      <w:pPr>
        <w:suppressAutoHyphens/>
      </w:pPr>
      <w:r>
        <w:tab/>
      </w:r>
      <w:r w:rsidRPr="00D849FC">
        <w:t xml:space="preserve">Even though the need for a complete catalogue of Minoan larnakes </w:t>
      </w:r>
      <w:r w:rsidRPr="00C23BFC">
        <w:t>was considered essential by previous scholars</w:t>
      </w:r>
      <w:r w:rsidRPr="006C65ED">
        <w:t xml:space="preserve"> in order to conduct a study on any aspect of larnakes (Immerwahr 199</w:t>
      </w:r>
      <w:r w:rsidRPr="00151DA5">
        <w:t xml:space="preserve">5), </w:t>
      </w:r>
      <w:r w:rsidRPr="00FE2DDE">
        <w:t>the completion of a catalogue does not help to overcome the real limits of larnax research. These limits concern the scarcity of information regarding larnax burial contexts and the lack of homogeneity that characterised the already published contexts.</w:t>
      </w:r>
    </w:p>
    <w:p w14:paraId="01211FC4" w14:textId="77777777" w:rsidR="00391E84" w:rsidRPr="00885A13" w:rsidRDefault="00391E84" w:rsidP="00E858EF">
      <w:pPr>
        <w:pStyle w:val="Titolo2"/>
        <w:keepNext w:val="0"/>
        <w:keepLines w:val="0"/>
        <w:suppressAutoHyphens/>
      </w:pPr>
      <w:r w:rsidRPr="00885A13">
        <w:t xml:space="preserve"> </w:t>
      </w:r>
      <w:bookmarkStart w:id="44" w:name="_Toc389505931"/>
      <w:bookmarkStart w:id="45" w:name="_Toc517646815"/>
      <w:bookmarkStart w:id="46" w:name="_Toc519894598"/>
      <w:r w:rsidRPr="00885A13">
        <w:t>Burial context</w:t>
      </w:r>
      <w:r>
        <w:t>s</w:t>
      </w:r>
      <w:r w:rsidRPr="00885A13">
        <w:t xml:space="preserve"> as the primary source of information</w:t>
      </w:r>
      <w:bookmarkEnd w:id="44"/>
      <w:bookmarkEnd w:id="45"/>
      <w:bookmarkEnd w:id="46"/>
    </w:p>
    <w:p w14:paraId="6ECC6350" w14:textId="77777777" w:rsidR="00391E84" w:rsidRPr="001D3B4D" w:rsidRDefault="00391E84" w:rsidP="00E858EF">
      <w:pPr>
        <w:suppressAutoHyphens/>
      </w:pPr>
      <w:r w:rsidRPr="001D3B4D">
        <w:t xml:space="preserve">The approach adopted by Preston in her study of Late Bronze Age burials in Crete (2000, 2004a, 2004b) does not </w:t>
      </w:r>
      <w:r>
        <w:t>address</w:t>
      </w:r>
      <w:r w:rsidRPr="001D3B4D">
        <w:t xml:space="preserve"> the study and analysis of </w:t>
      </w:r>
      <w:r>
        <w:t>certain</w:t>
      </w:r>
      <w:r w:rsidRPr="001D3B4D">
        <w:t xml:space="preserve"> specific aspect</w:t>
      </w:r>
      <w:r>
        <w:t>s such as</w:t>
      </w:r>
      <w:r w:rsidRPr="001D3B4D">
        <w:t xml:space="preserve"> tomb architecture, skeletal remains, grave goods assemblage</w:t>
      </w:r>
      <w:r>
        <w:t>s, but</w:t>
      </w:r>
      <w:r w:rsidRPr="001D3B4D">
        <w:t xml:space="preserve"> instead focus</w:t>
      </w:r>
      <w:r>
        <w:t>es</w:t>
      </w:r>
      <w:r w:rsidRPr="001D3B4D">
        <w:t xml:space="preserve"> on the burial context as a unicum, in which</w:t>
      </w:r>
      <w:r>
        <w:t xml:space="preserve"> a</w:t>
      </w:r>
      <w:r w:rsidRPr="001D3B4D">
        <w:t xml:space="preserve"> larnax </w:t>
      </w:r>
      <w:r>
        <w:t>is</w:t>
      </w:r>
      <w:r w:rsidRPr="001D3B4D">
        <w:t xml:space="preserve"> one of the elements. Through her analysis</w:t>
      </w:r>
      <w:r>
        <w:t>,</w:t>
      </w:r>
      <w:r w:rsidRPr="001D3B4D">
        <w:t xml:space="preserve"> </w:t>
      </w:r>
      <w:r>
        <w:t>Preston</w:t>
      </w:r>
      <w:r w:rsidRPr="001D3B4D">
        <w:t xml:space="preserve"> demonstrates that mortuary practices had a wider social role in LM III Crete.</w:t>
      </w:r>
    </w:p>
    <w:p w14:paraId="320AEE59" w14:textId="77777777" w:rsidR="00391E84" w:rsidRPr="001D3B4D" w:rsidRDefault="00391E84" w:rsidP="00E858EF">
      <w:pPr>
        <w:suppressAutoHyphens/>
      </w:pPr>
      <w:r>
        <w:tab/>
      </w:r>
      <w:r w:rsidRPr="001D3B4D">
        <w:t xml:space="preserve">Her study </w:t>
      </w:r>
      <w:r>
        <w:t>is key to</w:t>
      </w:r>
      <w:r w:rsidRPr="001D3B4D">
        <w:t xml:space="preserve"> understanding how</w:t>
      </w:r>
      <w:r>
        <w:t>,</w:t>
      </w:r>
      <w:r w:rsidRPr="001D3B4D">
        <w:t xml:space="preserve"> in </w:t>
      </w:r>
      <w:r>
        <w:t>the post-palatial</w:t>
      </w:r>
      <w:r w:rsidRPr="001D3B4D">
        <w:t xml:space="preserve"> period, burials were used across Crete as places w</w:t>
      </w:r>
      <w:r>
        <w:t>h</w:t>
      </w:r>
      <w:r w:rsidRPr="001D3B4D">
        <w:t>ere social hierarchies were negotiated (Preston 2000: 260).</w:t>
      </w:r>
      <w:r>
        <w:t xml:space="preserve"> </w:t>
      </w:r>
      <w:r w:rsidRPr="001D3B4D">
        <w:t>The regional variation patterns identified in mortuary practices through</w:t>
      </w:r>
      <w:r>
        <w:t>out</w:t>
      </w:r>
      <w:r w:rsidRPr="001D3B4D">
        <w:t xml:space="preserve"> the island demonstrate how these mechanisms were performed on a local/regional scale. The competition in</w:t>
      </w:r>
      <w:r>
        <w:t xml:space="preserve"> the</w:t>
      </w:r>
      <w:r w:rsidRPr="001D3B4D">
        <w:t xml:space="preserve"> mortuary arena was the consequence of the political shift happening in</w:t>
      </w:r>
      <w:r>
        <w:t xml:space="preserve"> the</w:t>
      </w:r>
      <w:r w:rsidRPr="001D3B4D">
        <w:t xml:space="preserve"> LM IIIA2 initial </w:t>
      </w:r>
      <w:r>
        <w:t>p</w:t>
      </w:r>
      <w:r w:rsidRPr="001D3B4D">
        <w:t>hase (Preston 2000; Preston 2004b) and reveal</w:t>
      </w:r>
      <w:r>
        <w:t>s</w:t>
      </w:r>
      <w:r w:rsidRPr="001D3B4D">
        <w:t xml:space="preserve"> the </w:t>
      </w:r>
      <w:r w:rsidRPr="001D3B4D">
        <w:lastRenderedPageBreak/>
        <w:t xml:space="preserve">impact this shift had </w:t>
      </w:r>
      <w:r>
        <w:t>o</w:t>
      </w:r>
      <w:r w:rsidRPr="001D3B4D">
        <w:t>n social organi</w:t>
      </w:r>
      <w:r>
        <w:t>s</w:t>
      </w:r>
      <w:r w:rsidRPr="001D3B4D">
        <w:t>ation (</w:t>
      </w:r>
      <w:r>
        <w:t>i.e.</w:t>
      </w:r>
      <w:r w:rsidRPr="001D3B4D">
        <w:t xml:space="preserve"> establish</w:t>
      </w:r>
      <w:r>
        <w:t>ing</w:t>
      </w:r>
      <w:r w:rsidRPr="001D3B4D">
        <w:t xml:space="preserve"> new social hierarchies </w:t>
      </w:r>
      <w:r>
        <w:t>following</w:t>
      </w:r>
      <w:r w:rsidRPr="001D3B4D">
        <w:t xml:space="preserve"> </w:t>
      </w:r>
      <w:r>
        <w:t>the fall of Knossian</w:t>
      </w:r>
      <w:r w:rsidRPr="001D3B4D">
        <w:t xml:space="preserve"> palace control/organi</w:t>
      </w:r>
      <w:r>
        <w:t>s</w:t>
      </w:r>
      <w:r w:rsidRPr="001D3B4D">
        <w:t>ation).</w:t>
      </w:r>
    </w:p>
    <w:p w14:paraId="68669C21" w14:textId="77777777" w:rsidR="00391E84" w:rsidRPr="00C93304" w:rsidRDefault="00391E84" w:rsidP="00E858EF">
      <w:pPr>
        <w:suppressAutoHyphens/>
      </w:pPr>
      <w:r>
        <w:tab/>
      </w:r>
      <w:r w:rsidRPr="001D3B4D">
        <w:t xml:space="preserve">The adoption of larnakes in this panorama played an important role because it </w:t>
      </w:r>
      <w:r>
        <w:t>is</w:t>
      </w:r>
      <w:r w:rsidRPr="001D3B4D">
        <w:t xml:space="preserve"> one of the contextual burial choices through which social status and identities were expressed by the LM III post</w:t>
      </w:r>
      <w:r>
        <w:t>-</w:t>
      </w:r>
      <w:r w:rsidRPr="001D3B4D">
        <w:t>palatial communities/elites</w:t>
      </w:r>
      <w:r>
        <w:t>.</w:t>
      </w:r>
      <w:r w:rsidRPr="001D3B4D">
        <w:t xml:space="preserve"> </w:t>
      </w:r>
      <w:r>
        <w:t>Furthermore, the larnakes</w:t>
      </w:r>
      <w:r w:rsidRPr="001D3B4D">
        <w:t xml:space="preserve"> conveyed </w:t>
      </w:r>
      <w:r>
        <w:t>elements linked both to</w:t>
      </w:r>
      <w:r w:rsidRPr="001D3B4D">
        <w:t xml:space="preserve"> the </w:t>
      </w:r>
      <w:r>
        <w:t>old</w:t>
      </w:r>
      <w:r w:rsidRPr="001D3B4D">
        <w:t xml:space="preserve"> Cretan tradition </w:t>
      </w:r>
      <w:r>
        <w:t xml:space="preserve">of the </w:t>
      </w:r>
      <w:r w:rsidRPr="001D3B4D">
        <w:t>use of clay receptacle</w:t>
      </w:r>
      <w:r>
        <w:t>s</w:t>
      </w:r>
      <w:r w:rsidRPr="001D3B4D">
        <w:t xml:space="preserve"> for burial p</w:t>
      </w:r>
      <w:r>
        <w:t>u</w:t>
      </w:r>
      <w:r w:rsidRPr="001D3B4D">
        <w:t>rpose</w:t>
      </w:r>
      <w:r>
        <w:t>s</w:t>
      </w:r>
      <w:r w:rsidRPr="001D3B4D">
        <w:t xml:space="preserve"> and innovative elements introduced in the final palatial phase</w:t>
      </w:r>
      <w:r>
        <w:t xml:space="preserve">, such as the </w:t>
      </w:r>
      <w:r w:rsidRPr="001D3B4D">
        <w:t>skeuomorphism of chest</w:t>
      </w:r>
      <w:r>
        <w:t>-shaped</w:t>
      </w:r>
      <w:r w:rsidRPr="001D3B4D">
        <w:t xml:space="preserve"> larnakes </w:t>
      </w:r>
      <w:r>
        <w:t>reminiscent of</w:t>
      </w:r>
      <w:r w:rsidRPr="001D3B4D">
        <w:t xml:space="preserve"> the new wooden chest burial</w:t>
      </w:r>
      <w:r>
        <w:t>s</w:t>
      </w:r>
      <w:r w:rsidRPr="001D3B4D">
        <w:t xml:space="preserve"> introduced in Knossos burial</w:t>
      </w:r>
      <w:r>
        <w:t>s</w:t>
      </w:r>
      <w:r w:rsidRPr="001D3B4D">
        <w:t xml:space="preserve"> during </w:t>
      </w:r>
      <w:r>
        <w:t xml:space="preserve">the </w:t>
      </w:r>
      <w:r w:rsidRPr="001D3B4D">
        <w:t>LM II phase (Preston 2004b). In this sense</w:t>
      </w:r>
      <w:r>
        <w:t>,</w:t>
      </w:r>
      <w:r w:rsidRPr="001D3B4D">
        <w:t xml:space="preserve"> larna</w:t>
      </w:r>
      <w:r>
        <w:t>kes</w:t>
      </w:r>
      <w:r w:rsidRPr="001D3B4D">
        <w:t xml:space="preserve"> </w:t>
      </w:r>
      <w:r>
        <w:t>display</w:t>
      </w:r>
      <w:r w:rsidRPr="001D3B4D">
        <w:t xml:space="preserve"> great potential </w:t>
      </w:r>
      <w:r>
        <w:t>for</w:t>
      </w:r>
      <w:r w:rsidRPr="001D3B4D">
        <w:t xml:space="preserve"> understanding what was </w:t>
      </w:r>
      <w:r>
        <w:t>happening</w:t>
      </w:r>
      <w:r w:rsidRPr="001D3B4D">
        <w:t xml:space="preserve"> in the mortuary rites performed </w:t>
      </w:r>
      <w:r>
        <w:t>at</w:t>
      </w:r>
      <w:r w:rsidRPr="001D3B4D">
        <w:t xml:space="preserve"> the burial</w:t>
      </w:r>
      <w:r>
        <w:t>s</w:t>
      </w:r>
      <w:r w:rsidRPr="001D3B4D">
        <w:t xml:space="preserve"> and </w:t>
      </w:r>
      <w:r>
        <w:t xml:space="preserve">to </w:t>
      </w:r>
      <w:r w:rsidRPr="001D3B4D">
        <w:t>help understand</w:t>
      </w:r>
      <w:r>
        <w:t xml:space="preserve"> the</w:t>
      </w:r>
      <w:r w:rsidRPr="001D3B4D">
        <w:t xml:space="preserve"> political and cultural dynamics in post-</w:t>
      </w:r>
      <w:r>
        <w:t>p</w:t>
      </w:r>
      <w:r w:rsidRPr="001D3B4D">
        <w:t xml:space="preserve">alatial Crete (Preston </w:t>
      </w:r>
      <w:r>
        <w:t>2000: 235</w:t>
      </w:r>
      <w:r w:rsidRPr="001D3B4D">
        <w:t>).</w:t>
      </w:r>
    </w:p>
    <w:p w14:paraId="438088FC" w14:textId="77777777" w:rsidR="00391E84" w:rsidRPr="009B3FF2" w:rsidRDefault="00391E84" w:rsidP="00E858EF">
      <w:pPr>
        <w:pStyle w:val="Titolo2"/>
        <w:keepNext w:val="0"/>
        <w:keepLines w:val="0"/>
        <w:suppressAutoHyphens/>
      </w:pPr>
      <w:bookmarkStart w:id="47" w:name="_Toc389505932"/>
      <w:bookmarkStart w:id="48" w:name="_Toc517646816"/>
      <w:bookmarkStart w:id="49" w:name="_Toc519894599"/>
      <w:r>
        <w:t>The</w:t>
      </w:r>
      <w:r w:rsidRPr="009B3FF2">
        <w:t xml:space="preserve"> role </w:t>
      </w:r>
      <w:r>
        <w:t xml:space="preserve">of larnakes </w:t>
      </w:r>
      <w:r w:rsidRPr="009B3FF2">
        <w:t>in funerary practice through the understanding of larnax agency</w:t>
      </w:r>
      <w:bookmarkEnd w:id="47"/>
      <w:bookmarkEnd w:id="48"/>
      <w:bookmarkEnd w:id="49"/>
    </w:p>
    <w:p w14:paraId="35141413" w14:textId="77777777" w:rsidR="00391E84" w:rsidRPr="001D3B4D" w:rsidRDefault="00391E84" w:rsidP="00E858EF">
      <w:pPr>
        <w:suppressAutoHyphens/>
      </w:pPr>
      <w:r w:rsidRPr="001D3B4D">
        <w:t xml:space="preserve">Contextual analysis and regional distribution constitute </w:t>
      </w:r>
      <w:r>
        <w:t xml:space="preserve">the two </w:t>
      </w:r>
      <w:r w:rsidRPr="001D3B4D">
        <w:t xml:space="preserve">fundamental approaches combined in this work. </w:t>
      </w:r>
      <w:r>
        <w:t>However,</w:t>
      </w:r>
      <w:r w:rsidRPr="001D3B4D">
        <w:t xml:space="preserve"> the use of both</w:t>
      </w:r>
      <w:r>
        <w:t xml:space="preserve"> approaches</w:t>
      </w:r>
      <w:r w:rsidRPr="001D3B4D">
        <w:t xml:space="preserve"> </w:t>
      </w:r>
      <w:r>
        <w:t>aids the</w:t>
      </w:r>
      <w:r w:rsidRPr="001D3B4D">
        <w:t xml:space="preserve"> understand</w:t>
      </w:r>
      <w:r>
        <w:t>ing of</w:t>
      </w:r>
      <w:r w:rsidRPr="001D3B4D">
        <w:t xml:space="preserve"> the role of larnakes in LM III funerary practices and </w:t>
      </w:r>
      <w:r>
        <w:t>whether</w:t>
      </w:r>
      <w:r w:rsidRPr="001D3B4D">
        <w:t xml:space="preserve"> this </w:t>
      </w:r>
      <w:r>
        <w:t>role</w:t>
      </w:r>
      <w:r w:rsidRPr="001D3B4D">
        <w:t xml:space="preserve"> chang</w:t>
      </w:r>
      <w:r>
        <w:t>ed</w:t>
      </w:r>
      <w:r w:rsidRPr="001D3B4D">
        <w:t>,</w:t>
      </w:r>
      <w:r>
        <w:t xml:space="preserve"> and, if so,</w:t>
      </w:r>
      <w:r w:rsidRPr="001D3B4D">
        <w:t xml:space="preserve"> following which pattern.</w:t>
      </w:r>
    </w:p>
    <w:p w14:paraId="5E52DF4A" w14:textId="77777777" w:rsidR="00391E84" w:rsidRPr="002043D8" w:rsidRDefault="00391E84" w:rsidP="00E858EF">
      <w:pPr>
        <w:suppressAutoHyphens/>
      </w:pPr>
      <w:r>
        <w:tab/>
        <w:t xml:space="preserve">Understanding the role of larnakes in ritual acts performed within the burial sphere, such as funerals, ceremonies involving drinking and food consumption, activities linked to the manipulation of the body and secondary burial depositions, of which tomb contextual elements are the visible archaeological evidence, means understanding the social ideas that the family/elite group wanted to express when choosing a specific type of larnax in a burial context with certain characteristics. These ideas did not necessarily correspond to social realities, but were, instead, the concrete results of the ideas and identities that these groups wanted to represent through the funerary arena (Papadopoulou 2017: 132). This means that if we want to recognise different patterns in larnax adoption, these ideas do not necessarily represent real social identities, but instead referred to a certain will of self-representation that was supposed to be identified and recognised (by other social groups) within the burial. </w:t>
      </w:r>
    </w:p>
    <w:p w14:paraId="2C4CF12D" w14:textId="77777777" w:rsidR="00391E84" w:rsidRPr="00E46EE1" w:rsidRDefault="00391E84" w:rsidP="00E858EF">
      <w:pPr>
        <w:suppressAutoHyphens/>
      </w:pPr>
    </w:p>
    <w:p w14:paraId="1ECD1647" w14:textId="77777777" w:rsidR="00391E84" w:rsidRPr="003462D2" w:rsidRDefault="00391E84" w:rsidP="00E858EF">
      <w:pPr>
        <w:suppressAutoHyphens/>
      </w:pPr>
    </w:p>
    <w:p w14:paraId="608FF5E0" w14:textId="2FEE7EB2" w:rsidR="001643DC" w:rsidRDefault="001643DC" w:rsidP="00E858EF">
      <w:pPr>
        <w:suppressAutoHyphens/>
        <w:spacing w:line="240" w:lineRule="auto"/>
        <w:contextualSpacing w:val="0"/>
        <w:jc w:val="left"/>
        <w:rPr>
          <w:highlight w:val="lightGray"/>
        </w:rPr>
      </w:pPr>
      <w:r>
        <w:rPr>
          <w:highlight w:val="lightGray"/>
        </w:rPr>
        <w:br w:type="page"/>
      </w:r>
    </w:p>
    <w:p w14:paraId="2DEA8C39" w14:textId="1453BC33" w:rsidR="008940B3" w:rsidRPr="00EF451A" w:rsidRDefault="00EF451A" w:rsidP="00E858EF">
      <w:pPr>
        <w:pStyle w:val="Titolo1"/>
        <w:keepNext w:val="0"/>
        <w:keepLines w:val="0"/>
        <w:suppressAutoHyphens/>
      </w:pPr>
      <w:bookmarkStart w:id="50" w:name="_Toc517876431"/>
      <w:bookmarkStart w:id="51" w:name="_Toc517876432"/>
      <w:bookmarkStart w:id="52" w:name="_Toc519894600"/>
      <w:bookmarkEnd w:id="50"/>
      <w:r w:rsidRPr="00EF451A">
        <w:lastRenderedPageBreak/>
        <w:t>DISTRIBUTION OF BURIAL LOCATIONS WITH LARNAKES, ANALYSIS OF TOMB ARCHITECTURE AND BURIAL TYPOLOGIES ASSOCIATED WITH LARNAKES</w:t>
      </w:r>
      <w:bookmarkEnd w:id="51"/>
      <w:bookmarkEnd w:id="52"/>
    </w:p>
    <w:p w14:paraId="1A123DA0" w14:textId="77777777" w:rsidR="008940B3" w:rsidRPr="00F547B1" w:rsidRDefault="008940B3" w:rsidP="00E858EF">
      <w:pPr>
        <w:pStyle w:val="Titolo2"/>
        <w:keepNext w:val="0"/>
        <w:keepLines w:val="0"/>
        <w:suppressAutoHyphens/>
      </w:pPr>
      <w:bookmarkStart w:id="53" w:name="_Toc389131114"/>
      <w:bookmarkStart w:id="54" w:name="_Toc517876433"/>
      <w:bookmarkStart w:id="55" w:name="_Toc519894601"/>
      <w:r w:rsidRPr="00F547B1">
        <w:t>Methodology</w:t>
      </w:r>
      <w:bookmarkEnd w:id="53"/>
      <w:bookmarkEnd w:id="54"/>
      <w:bookmarkEnd w:id="55"/>
    </w:p>
    <w:p w14:paraId="48D2F193" w14:textId="77777777" w:rsidR="008940B3" w:rsidRDefault="008940B3" w:rsidP="00AD5BCB">
      <w:r>
        <w:t>This section examines data concerning the distribution of larnakes, the cemeteries in which they have been found, the typology and architectural features of the tombs in which they occur, and other deposition methods recorded in association with larnakes in the same cemetery or in the same tomb. The analysis of all these features follows regional divisions to examine whether there are any variations and whether it is possible to observe a regional differentiation. The analysis is divided into the following four sections according to the different elements of the burial context analysed.</w:t>
      </w:r>
    </w:p>
    <w:p w14:paraId="5F8A750F" w14:textId="77777777" w:rsidR="008940B3" w:rsidRPr="00AD5BCB" w:rsidRDefault="008940B3" w:rsidP="00E858EF">
      <w:pPr>
        <w:pStyle w:val="Paragrafoelenco"/>
        <w:numPr>
          <w:ilvl w:val="0"/>
          <w:numId w:val="2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 xml:space="preserve"> First, the secure burial locations with larnakes are identified, as are the secure burial locations without larnakes and the burial locations that possibly contain larnakes (i.e. burial locations where larnakes or larnax fragments have been found but where it has been not possible to securely date them to the LM III phase due to the lack of data or information; see the section about data reliability and data limits). Only the first group is considered in the following analysis. Once identified the burial locations, to follow are considered the cemeteries. This means that, in some cases, two or more burial locations are grouped together regarding common burial customs and geographical vicinity.</w:t>
      </w:r>
    </w:p>
    <w:p w14:paraId="5DB9A66D" w14:textId="77777777" w:rsidR="008940B3" w:rsidRPr="00AD5BCB" w:rsidRDefault="008940B3" w:rsidP="00E858EF">
      <w:pPr>
        <w:pStyle w:val="Paragrafoelenco"/>
        <w:numPr>
          <w:ilvl w:val="0"/>
          <w:numId w:val="2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 xml:space="preserve"> Regarding cemeteries, the following aspects are considered:</w:t>
      </w:r>
    </w:p>
    <w:p w14:paraId="3632859B" w14:textId="77777777" w:rsidR="008940B3" w:rsidRPr="00AD5BCB" w:rsidRDefault="008940B3" w:rsidP="00E858EF">
      <w:pPr>
        <w:pStyle w:val="Paragrafoelenco"/>
        <w:numPr>
          <w:ilvl w:val="0"/>
          <w:numId w:val="2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Proportion of LM III newly built cemeteries to previously built and reused cemeteries (e. g. Mavro Spelio in Knossos area)</w:t>
      </w:r>
    </w:p>
    <w:p w14:paraId="4B3C5543" w14:textId="77777777" w:rsidR="008940B3" w:rsidRPr="00AD5BCB" w:rsidRDefault="008940B3" w:rsidP="00E858EF">
      <w:pPr>
        <w:pStyle w:val="Paragrafoelenco"/>
        <w:numPr>
          <w:ilvl w:val="0"/>
          <w:numId w:val="2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Existence of clusters of cemeteries with larnakes, or gaps, or any other features in their geographical distribution (e.g. absence of cemeteries with larnakes in the south area of Mesara)</w:t>
      </w:r>
    </w:p>
    <w:p w14:paraId="649FCFE4" w14:textId="77777777" w:rsidR="008940B3" w:rsidRPr="00AD5BCB" w:rsidRDefault="008940B3" w:rsidP="00E858EF">
      <w:pPr>
        <w:pStyle w:val="Paragrafoelenco"/>
        <w:numPr>
          <w:ilvl w:val="0"/>
          <w:numId w:val="2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Classification of cemeteries based on their size (i.e. how many tombs in each cemetery)</w:t>
      </w:r>
    </w:p>
    <w:p w14:paraId="61F754E3" w14:textId="77777777" w:rsidR="008940B3" w:rsidRPr="00AD5BCB" w:rsidRDefault="008940B3" w:rsidP="00E858EF">
      <w:pPr>
        <w:pStyle w:val="Paragrafoelenco"/>
        <w:numPr>
          <w:ilvl w:val="0"/>
          <w:numId w:val="2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Tomb types adopted in each cemetery</w:t>
      </w:r>
    </w:p>
    <w:p w14:paraId="68807A5B" w14:textId="77777777" w:rsidR="008940B3" w:rsidRPr="00AD5BCB" w:rsidRDefault="008940B3" w:rsidP="00E858EF">
      <w:pPr>
        <w:pStyle w:val="Paragrafoelenco"/>
        <w:numPr>
          <w:ilvl w:val="0"/>
          <w:numId w:val="2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Deposition methods adopted in these cemeteries</w:t>
      </w:r>
    </w:p>
    <w:p w14:paraId="23E2D27F" w14:textId="77777777" w:rsidR="008940B3" w:rsidRPr="00AD5BCB" w:rsidRDefault="008940B3" w:rsidP="00E858EF">
      <w:pPr>
        <w:pStyle w:val="Paragrafoelenco"/>
        <w:numPr>
          <w:ilvl w:val="0"/>
          <w:numId w:val="2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Proportions for the entire region and for each cemetery of tombs with larnakes to tombs without larnakes</w:t>
      </w:r>
    </w:p>
    <w:p w14:paraId="4FB21905" w14:textId="77777777" w:rsidR="008940B3" w:rsidRPr="00AD5BCB" w:rsidRDefault="008940B3" w:rsidP="00E858EF">
      <w:pPr>
        <w:pStyle w:val="Paragrafoelenco"/>
        <w:numPr>
          <w:ilvl w:val="0"/>
          <w:numId w:val="2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lastRenderedPageBreak/>
        <w:t xml:space="preserve"> Regarding tombs, the following aspects are considered:</w:t>
      </w:r>
    </w:p>
    <w:p w14:paraId="7E76A835" w14:textId="77777777" w:rsidR="008940B3" w:rsidRPr="00AD5BCB" w:rsidRDefault="008940B3" w:rsidP="00E858EF">
      <w:pPr>
        <w:pStyle w:val="Paragrafoelenco"/>
        <w:numPr>
          <w:ilvl w:val="0"/>
          <w:numId w:val="2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Identification and distribution of tomb types associated with larnakes</w:t>
      </w:r>
    </w:p>
    <w:p w14:paraId="291FFFD4" w14:textId="77777777" w:rsidR="008940B3" w:rsidRPr="00AD5BCB" w:rsidRDefault="008940B3" w:rsidP="00E858EF">
      <w:pPr>
        <w:pStyle w:val="Paragrafoelenco"/>
        <w:numPr>
          <w:ilvl w:val="0"/>
          <w:numId w:val="2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Analysis of tomb architectural features: two main aspects are considered:</w:t>
      </w:r>
    </w:p>
    <w:p w14:paraId="4BA6242F" w14:textId="77777777" w:rsidR="008940B3" w:rsidRPr="00AD5BCB" w:rsidRDefault="008940B3" w:rsidP="00E858EF">
      <w:pPr>
        <w:pStyle w:val="Paragrafoelenco"/>
        <w:numPr>
          <w:ilvl w:val="1"/>
          <w:numId w:val="2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Tomb size: based on the chamber dimension (sq.m.), tombs are grouped into four categories:</w:t>
      </w:r>
    </w:p>
    <w:p w14:paraId="3FC6F372" w14:textId="7A6E3E5D" w:rsidR="008940B3" w:rsidRPr="00AD5BCB" w:rsidRDefault="008940B3" w:rsidP="00E858EF">
      <w:pPr>
        <w:pStyle w:val="Paragrafoelenco"/>
        <w:numPr>
          <w:ilvl w:val="0"/>
          <w:numId w:val="22"/>
        </w:numPr>
        <w:suppressAutoHyphens/>
      </w:pPr>
      <w:r w:rsidRPr="00AD5BCB">
        <w:rPr>
          <w:color w:val="000000"/>
        </w:rPr>
        <w:t xml:space="preserve">Small tombs </w:t>
      </w:r>
      <w:r w:rsidRPr="00AD5BCB">
        <w:t>≤6 sq. m</w:t>
      </w:r>
      <w:r w:rsidR="00E62469">
        <w:t>.</w:t>
      </w:r>
    </w:p>
    <w:p w14:paraId="4E76241F" w14:textId="725B6F8A" w:rsidR="008940B3" w:rsidRPr="00AD5BCB" w:rsidRDefault="008940B3" w:rsidP="00E858EF">
      <w:pPr>
        <w:pStyle w:val="Paragrafoelenco"/>
        <w:numPr>
          <w:ilvl w:val="0"/>
          <w:numId w:val="2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 xml:space="preserve">Medium tombs </w:t>
      </w:r>
      <w:r w:rsidRPr="00AD5BCB">
        <w:t>≤12 sq. m</w:t>
      </w:r>
      <w:r w:rsidR="00E62469">
        <w:t>.</w:t>
      </w:r>
    </w:p>
    <w:p w14:paraId="25548C95" w14:textId="38D307C8" w:rsidR="008940B3" w:rsidRPr="00AD5BCB" w:rsidRDefault="008940B3" w:rsidP="00E858EF">
      <w:pPr>
        <w:pStyle w:val="Paragrafoelenco"/>
        <w:numPr>
          <w:ilvl w:val="0"/>
          <w:numId w:val="2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 xml:space="preserve">Large tombs </w:t>
      </w:r>
      <w:r w:rsidRPr="00AD5BCB">
        <w:t>≤18 sq. m</w:t>
      </w:r>
      <w:r w:rsidR="00E62469">
        <w:t>.</w:t>
      </w:r>
    </w:p>
    <w:p w14:paraId="37A2095F" w14:textId="12DE46DF" w:rsidR="008940B3" w:rsidRPr="00AD5BCB" w:rsidRDefault="008940B3" w:rsidP="00E858EF">
      <w:pPr>
        <w:pStyle w:val="Paragrafoelenco"/>
        <w:numPr>
          <w:ilvl w:val="0"/>
          <w:numId w:val="2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 xml:space="preserve">Extra-large tombs </w:t>
      </w:r>
      <w:r w:rsidRPr="00AD5BCB">
        <w:t>≤24 sq. m</w:t>
      </w:r>
      <w:r w:rsidR="00E62469">
        <w:t>.</w:t>
      </w:r>
    </w:p>
    <w:p w14:paraId="5E4E41CC" w14:textId="77777777" w:rsidR="008940B3" w:rsidRPr="00AD5BCB" w:rsidRDefault="008940B3" w:rsidP="00E858EF">
      <w:pPr>
        <w:pStyle w:val="Paragrafoelenco"/>
        <w:numPr>
          <w:ilvl w:val="1"/>
          <w:numId w:val="2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Monumental features:</w:t>
      </w:r>
    </w:p>
    <w:p w14:paraId="7B3F2977" w14:textId="77777777" w:rsidR="008940B3" w:rsidRPr="00AD5BCB" w:rsidRDefault="008940B3" w:rsidP="00E858EF">
      <w:pPr>
        <w:pStyle w:val="Paragrafoelenco"/>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Pits or niches in the chamber and/or dromos</w:t>
      </w:r>
    </w:p>
    <w:p w14:paraId="4126ABD2" w14:textId="77777777" w:rsidR="008940B3" w:rsidRPr="00AD5BCB" w:rsidRDefault="008940B3" w:rsidP="00E858EF">
      <w:pPr>
        <w:pStyle w:val="Paragrafoelenco"/>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Pillars or benches inside the chamber</w:t>
      </w:r>
    </w:p>
    <w:p w14:paraId="039A7F38" w14:textId="77777777" w:rsidR="008940B3" w:rsidRPr="00AD5BCB" w:rsidRDefault="008940B3" w:rsidP="00E858EF">
      <w:pPr>
        <w:pStyle w:val="Paragrafoelenco"/>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Steps in the dromos</w:t>
      </w:r>
    </w:p>
    <w:p w14:paraId="590F3858" w14:textId="77777777" w:rsidR="008940B3" w:rsidRPr="00AD5BCB" w:rsidRDefault="008940B3" w:rsidP="00E858EF">
      <w:pPr>
        <w:pStyle w:val="Paragrafoelenco"/>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 xml:space="preserve">Monumental </w:t>
      </w:r>
      <w:r w:rsidRPr="00AD5BCB">
        <w:rPr>
          <w:i/>
          <w:color w:val="000000"/>
        </w:rPr>
        <w:t>stomion</w:t>
      </w:r>
      <w:r w:rsidRPr="00AD5BCB">
        <w:rPr>
          <w:color w:val="000000"/>
        </w:rPr>
        <w:t xml:space="preserve"> or hall</w:t>
      </w:r>
    </w:p>
    <w:p w14:paraId="37F1803B" w14:textId="77777777" w:rsidR="008940B3" w:rsidRPr="00AD5BCB" w:rsidRDefault="008940B3" w:rsidP="00E858EF">
      <w:pPr>
        <w:pStyle w:val="Paragrafoelenco"/>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Multiple chambers</w:t>
      </w:r>
    </w:p>
    <w:p w14:paraId="46D11F5D" w14:textId="78E5C787" w:rsidR="008940B3" w:rsidRPr="00AD5BCB" w:rsidRDefault="00AD5BCB"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008940B3" w:rsidRPr="00AD5BCB">
        <w:rPr>
          <w:color w:val="000000"/>
        </w:rPr>
        <w:t>The analysis of both aspects aids the understanding of whether tomb monumentality is associated with larnakes within each region, whether there is any regional differentiation in this respect, and whether tomb monumentality can be considered a feature that can be attributed to an entire region or whether it clustered as a feature  in some cemeteries or groups of cemeteries</w:t>
      </w:r>
    </w:p>
    <w:p w14:paraId="5FAD1B02" w14:textId="77777777" w:rsidR="008940B3" w:rsidRPr="00AD5BCB" w:rsidRDefault="008940B3" w:rsidP="00E858EF">
      <w:pPr>
        <w:pStyle w:val="Paragrafoelenco"/>
        <w:numPr>
          <w:ilvl w:val="0"/>
          <w:numId w:val="2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How much space is reserved for larnakes generally within a tomb in each region and whether the tomb size and the number of larnakes deposited are related. To understand this, for each region the following are considered (tombs and larnakes):</w:t>
      </w:r>
    </w:p>
    <w:p w14:paraId="0EF20EF8" w14:textId="77777777" w:rsidR="008940B3" w:rsidRPr="00AD5BCB" w:rsidRDefault="008940B3" w:rsidP="00E858EF">
      <w:pPr>
        <w:pStyle w:val="Paragrafoelenco"/>
        <w:numPr>
          <w:ilvl w:val="1"/>
          <w:numId w:val="2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The mean proportion of space per larnax (sq.m.)</w:t>
      </w:r>
    </w:p>
    <w:p w14:paraId="77350181" w14:textId="77777777" w:rsidR="008940B3" w:rsidRPr="00AD5BCB" w:rsidRDefault="008940B3" w:rsidP="00E858EF">
      <w:pPr>
        <w:pStyle w:val="Paragrafoelenco"/>
        <w:numPr>
          <w:ilvl w:val="1"/>
          <w:numId w:val="2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The mean number of larnakes per tomb and the maximum and the minimum number</w:t>
      </w:r>
    </w:p>
    <w:p w14:paraId="4787A1A8" w14:textId="77777777" w:rsidR="008940B3" w:rsidRPr="00AD5BCB" w:rsidRDefault="008940B3" w:rsidP="00E858EF">
      <w:pPr>
        <w:pStyle w:val="Paragrafoelenco"/>
        <w:numPr>
          <w:ilvl w:val="1"/>
          <w:numId w:val="2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 xml:space="preserve">Whether there is an increase in larnax numbers according to tomb size </w:t>
      </w:r>
    </w:p>
    <w:p w14:paraId="3951842C" w14:textId="77777777" w:rsidR="008940B3" w:rsidRPr="00AD5BCB" w:rsidRDefault="008940B3" w:rsidP="00E858EF">
      <w:pPr>
        <w:pStyle w:val="Paragrafoelenco"/>
        <w:numPr>
          <w:ilvl w:val="0"/>
          <w:numId w:val="2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 xml:space="preserve"> Regarding burial deposition methods:</w:t>
      </w:r>
    </w:p>
    <w:p w14:paraId="0748532C" w14:textId="77777777" w:rsidR="008940B3" w:rsidRPr="00AD5BCB" w:rsidRDefault="008940B3" w:rsidP="00E858EF">
      <w:pPr>
        <w:pStyle w:val="Paragrafoelenco"/>
        <w:numPr>
          <w:ilvl w:val="0"/>
          <w:numId w:val="2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What other deposition methods are associated in the same tomb with larnakes?</w:t>
      </w:r>
    </w:p>
    <w:p w14:paraId="7CAB6186" w14:textId="77777777" w:rsidR="008940B3" w:rsidRPr="00AD5BCB" w:rsidRDefault="008940B3" w:rsidP="00E858EF">
      <w:pPr>
        <w:pStyle w:val="Paragrafoelenco"/>
        <w:numPr>
          <w:ilvl w:val="0"/>
          <w:numId w:val="2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In how many tombs do these methods occur within the region (e.g. pithos burials associated with larnax burials in the same tomb in the Mesara region).</w:t>
      </w:r>
    </w:p>
    <w:p w14:paraId="55C947C4" w14:textId="77777777" w:rsidR="008940B3" w:rsidRPr="00AD5BCB"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0"/>
        <w:rPr>
          <w:color w:val="000000"/>
        </w:rPr>
      </w:pPr>
      <w:r w:rsidRPr="00AD5BCB">
        <w:rPr>
          <w:color w:val="000000"/>
        </w:rPr>
        <w:t>A detailed analysis of the minimum number of individuals, skeletal remains, and phases of use of tombs with larnakes appears in the specific section in Chapter 4</w:t>
      </w:r>
    </w:p>
    <w:p w14:paraId="25D30E3C" w14:textId="222480A1" w:rsidR="008940B3" w:rsidRPr="00AD5BCB" w:rsidRDefault="00AD5BCB"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008940B3" w:rsidRPr="00AD5BCB">
        <w:rPr>
          <w:color w:val="000000"/>
        </w:rPr>
        <w:t xml:space="preserve">Furthermore, if they are reported, larnakes that occur in non-burial contexts (i.e. </w:t>
      </w:r>
      <w:r w:rsidR="008940B3" w:rsidRPr="00AD5BCB">
        <w:rPr>
          <w:color w:val="000000"/>
        </w:rPr>
        <w:lastRenderedPageBreak/>
        <w:t>settlements) are listed. Finally, the chronological distribution of tombs with larnakes by region is examined. The methodology and the data limits concerning the analysis of the chronological distribution of tombs with larnakes is explained in Chapter 3.4.</w:t>
      </w:r>
    </w:p>
    <w:p w14:paraId="2CD5DA15" w14:textId="77777777" w:rsidR="008940B3" w:rsidRPr="00AD5BC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The analysis of larnax distribution, cemeteries, tombs and other burial methods adopted along with larnakes help to understand whether larnakes:</w:t>
      </w:r>
    </w:p>
    <w:p w14:paraId="231C19A5" w14:textId="77777777" w:rsidR="008940B3" w:rsidRPr="00AD5BCB" w:rsidRDefault="008940B3" w:rsidP="00E858EF">
      <w:pPr>
        <w:pStyle w:val="Paragrafoelenco"/>
        <w:numPr>
          <w:ilvl w:val="0"/>
          <w:numId w:val="2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D5BCB">
        <w:rPr>
          <w:color w:val="000000"/>
        </w:rPr>
        <w:t>Can be considered a ‘pan-Cretan’ phenomenon adopted everywhere, or, instead, how larnax adoption varied and whether this pattern exhibits a regional differentiation;</w:t>
      </w:r>
    </w:p>
    <w:p w14:paraId="08108365" w14:textId="77777777" w:rsidR="008940B3" w:rsidRDefault="008940B3" w:rsidP="00E858EF">
      <w:pPr>
        <w:pStyle w:val="Paragrafoelenco"/>
        <w:numPr>
          <w:ilvl w:val="0"/>
          <w:numId w:val="2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color w:val="000000"/>
          <w:sz w:val="22"/>
          <w:szCs w:val="22"/>
        </w:rPr>
        <w:t>Occur in association with a specific tomb type, whether larnakes occur in monumental tombs, and if and how their patterns vary according to the regional distribution;</w:t>
      </w:r>
    </w:p>
    <w:p w14:paraId="7C8D72DC" w14:textId="77777777" w:rsidR="008940B3" w:rsidRPr="00955580" w:rsidRDefault="008940B3" w:rsidP="00E858EF">
      <w:pPr>
        <w:pStyle w:val="Paragrafoelenco"/>
        <w:numPr>
          <w:ilvl w:val="0"/>
          <w:numId w:val="2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color w:val="000000"/>
          <w:sz w:val="22"/>
          <w:szCs w:val="22"/>
        </w:rPr>
        <w:t>Represent the only burial methods within a cemetery or whether they are used along with other deposition methods and if and how this pattern varies.</w:t>
      </w:r>
    </w:p>
    <w:p w14:paraId="597C5277" w14:textId="77777777" w:rsidR="008940B3" w:rsidRPr="00142FD5" w:rsidRDefault="008940B3" w:rsidP="00E858EF">
      <w:pPr>
        <w:pStyle w:val="Titolo2"/>
        <w:keepNext w:val="0"/>
        <w:keepLines w:val="0"/>
        <w:suppressAutoHyphens/>
      </w:pPr>
      <w:bookmarkStart w:id="56" w:name="_Toc389131115"/>
      <w:bookmarkStart w:id="57" w:name="_Toc517876434"/>
      <w:bookmarkStart w:id="58" w:name="_Toc519894602"/>
      <w:r w:rsidRPr="00142FD5">
        <w:t>Terminology</w:t>
      </w:r>
      <w:bookmarkEnd w:id="56"/>
      <w:bookmarkEnd w:id="57"/>
      <w:bookmarkEnd w:id="58"/>
    </w:p>
    <w:p w14:paraId="1174727B" w14:textId="77777777" w:rsidR="008940B3" w:rsidRDefault="008940B3" w:rsidP="00AD5BCB">
      <w:pPr>
        <w:rPr>
          <w:b/>
        </w:rPr>
      </w:pPr>
      <w:r w:rsidRPr="003B5C8D">
        <w:t xml:space="preserve">Before </w:t>
      </w:r>
      <w:r>
        <w:t xml:space="preserve">reviewing the </w:t>
      </w:r>
      <w:r w:rsidRPr="003B5C8D">
        <w:t>analysis</w:t>
      </w:r>
      <w:r>
        <w:t xml:space="preserve"> of cemeteries, tombs and deposition methods associated with larnakes,</w:t>
      </w:r>
      <w:r w:rsidRPr="003B5C8D">
        <w:t xml:space="preserve"> it is impor</w:t>
      </w:r>
      <w:r>
        <w:t>tant to clarify some terminological</w:t>
      </w:r>
      <w:r w:rsidRPr="003B5C8D">
        <w:t xml:space="preserve"> issues</w:t>
      </w:r>
      <w:r>
        <w:t>.</w:t>
      </w:r>
    </w:p>
    <w:p w14:paraId="3B588498" w14:textId="77777777" w:rsidR="008940B3" w:rsidRPr="00833D4D" w:rsidRDefault="008940B3" w:rsidP="00AD5BCB">
      <w:r>
        <w:rPr>
          <w:bCs/>
        </w:rPr>
        <w:tab/>
        <w:t>T</w:t>
      </w:r>
      <w:r w:rsidRPr="00833D4D">
        <w:rPr>
          <w:bCs/>
        </w:rPr>
        <w:t>he term</w:t>
      </w:r>
      <w:r w:rsidRPr="00833D4D">
        <w:rPr>
          <w:b/>
          <w:bCs/>
        </w:rPr>
        <w:t xml:space="preserve"> burial location</w:t>
      </w:r>
      <w:r w:rsidRPr="00833D4D">
        <w:t xml:space="preserve"> generally indicate</w:t>
      </w:r>
      <w:r>
        <w:t>s</w:t>
      </w:r>
      <w:r w:rsidRPr="00833D4D">
        <w:t xml:space="preserve"> an area where there is evidence of burials. A burial location could be an isolated tomb, an individual larnax burial, a series of tomb</w:t>
      </w:r>
      <w:r>
        <w:t>s</w:t>
      </w:r>
      <w:r w:rsidRPr="00833D4D">
        <w:t xml:space="preserve"> grouped together (cemetery), or an area where larnax fragments along with other burial evidence (</w:t>
      </w:r>
      <w:r>
        <w:t>e.g.</w:t>
      </w:r>
      <w:r w:rsidRPr="00833D4D">
        <w:t xml:space="preserve"> skeletal remains, grave goods) have been found. This mean</w:t>
      </w:r>
      <w:r>
        <w:t>s</w:t>
      </w:r>
      <w:r w:rsidRPr="00833D4D">
        <w:t xml:space="preserve"> that a location does not necessarily correspond to a cemetery but could indicate isolated tombs</w:t>
      </w:r>
      <w:r>
        <w:t xml:space="preserve"> or</w:t>
      </w:r>
      <w:r w:rsidRPr="00833D4D">
        <w:t xml:space="preserve"> chance finds of </w:t>
      </w:r>
      <w:r>
        <w:t xml:space="preserve">a </w:t>
      </w:r>
      <w:r w:rsidRPr="00833D4D">
        <w:t xml:space="preserve">larnax burial or larnax fragments, for which the reports </w:t>
      </w:r>
      <w:r>
        <w:t>provide only</w:t>
      </w:r>
      <w:r w:rsidRPr="00833D4D">
        <w:t xml:space="preserve"> very basic information about the burial context.</w:t>
      </w:r>
    </w:p>
    <w:p w14:paraId="4DE37FA1" w14:textId="24B0C87C" w:rsidR="008940B3" w:rsidRPr="00833D4D" w:rsidRDefault="008940B3" w:rsidP="00AD5BCB">
      <w:r>
        <w:rPr>
          <w:b/>
          <w:bCs/>
        </w:rPr>
        <w:tab/>
      </w:r>
      <w:r w:rsidRPr="00142FD5">
        <w:rPr>
          <w:bCs/>
        </w:rPr>
        <w:t>A</w:t>
      </w:r>
      <w:r w:rsidRPr="00833D4D">
        <w:rPr>
          <w:b/>
          <w:bCs/>
        </w:rPr>
        <w:t xml:space="preserve"> </w:t>
      </w:r>
      <w:r>
        <w:rPr>
          <w:b/>
          <w:bCs/>
        </w:rPr>
        <w:t>c</w:t>
      </w:r>
      <w:r w:rsidRPr="00833D4D">
        <w:rPr>
          <w:b/>
          <w:bCs/>
        </w:rPr>
        <w:t>emetery</w:t>
      </w:r>
      <w:r>
        <w:t xml:space="preserve"> co</w:t>
      </w:r>
      <w:r w:rsidR="00AD5BCB">
        <w:t>nsists of</w:t>
      </w:r>
      <w:r w:rsidRPr="00833D4D">
        <w:t xml:space="preserve"> a number of tombs grouped together in the same geographical location as a formal burial area recogni</w:t>
      </w:r>
      <w:r>
        <w:t>sed by the LM III community:</w:t>
      </w:r>
      <w:r w:rsidRPr="00833D4D">
        <w:t xml:space="preserve"> for example</w:t>
      </w:r>
      <w:r>
        <w:t>,</w:t>
      </w:r>
      <w:r w:rsidRPr="00833D4D">
        <w:t xml:space="preserve"> Met</w:t>
      </w:r>
      <w:r>
        <w:t>ochi Kalou, Archanes Phourni or</w:t>
      </w:r>
      <w:r w:rsidRPr="00833D4D">
        <w:t xml:space="preserve"> </w:t>
      </w:r>
      <w:r>
        <w:t>Armenoi</w:t>
      </w:r>
      <w:r w:rsidRPr="00833D4D">
        <w:t>. A cemetery can be formed by a single burial location (</w:t>
      </w:r>
      <w:r>
        <w:t>e.g.</w:t>
      </w:r>
      <w:r w:rsidRPr="00833D4D">
        <w:t xml:space="preserve"> </w:t>
      </w:r>
      <w:r>
        <w:t>Armenoi</w:t>
      </w:r>
      <w:r w:rsidRPr="00833D4D">
        <w:t>).</w:t>
      </w:r>
      <w:r>
        <w:t xml:space="preserve"> </w:t>
      </w:r>
      <w:r w:rsidRPr="00833D4D">
        <w:t>In some cases</w:t>
      </w:r>
      <w:r>
        <w:t>,</w:t>
      </w:r>
      <w:r w:rsidRPr="00833D4D">
        <w:t xml:space="preserve"> different burial locations</w:t>
      </w:r>
      <w:r>
        <w:t xml:space="preserve"> </w:t>
      </w:r>
      <w:r w:rsidRPr="00833D4D">
        <w:t xml:space="preserve">located a short distance </w:t>
      </w:r>
      <w:r>
        <w:t>from</w:t>
      </w:r>
      <w:r w:rsidRPr="00833D4D">
        <w:t xml:space="preserve"> each other are considered in the present study as a cemetery (</w:t>
      </w:r>
      <w:r>
        <w:t>e.g.</w:t>
      </w:r>
      <w:r w:rsidRPr="00833D4D">
        <w:t xml:space="preserve"> the cemetery of Maroulas </w:t>
      </w:r>
      <w:r>
        <w:t xml:space="preserve">in </w:t>
      </w:r>
      <w:r w:rsidRPr="00833D4D">
        <w:t>two</w:t>
      </w:r>
      <w:r>
        <w:t xml:space="preserve"> nearby</w:t>
      </w:r>
      <w:r w:rsidRPr="00833D4D">
        <w:t xml:space="preserve"> burial location</w:t>
      </w:r>
      <w:r>
        <w:t>s</w:t>
      </w:r>
      <w:r w:rsidRPr="00833D4D">
        <w:t>: Maroulas Mezaria and Maroulas Prinares, Papadopoulou 2017: 133</w:t>
      </w:r>
      <w:r>
        <w:t>,</w:t>
      </w:r>
      <w:r w:rsidRPr="00833D4D">
        <w:t xml:space="preserve"> </w:t>
      </w:r>
      <w:r>
        <w:t>F</w:t>
      </w:r>
      <w:r w:rsidRPr="00833D4D">
        <w:t>ig. 2)</w:t>
      </w:r>
      <w:r>
        <w:t xml:space="preserve"> </w:t>
      </w:r>
      <w:r w:rsidRPr="00833D4D">
        <w:t>Furthermore, there are cases in which it is not possible to insert isolated tombs or burials in</w:t>
      </w:r>
      <w:r>
        <w:t>to</w:t>
      </w:r>
      <w:r w:rsidRPr="00833D4D">
        <w:t xml:space="preserve"> a funerary system. Consequently, these isolated burials are considered </w:t>
      </w:r>
      <w:r>
        <w:t>to be</w:t>
      </w:r>
      <w:r w:rsidRPr="00833D4D">
        <w:t xml:space="preserve"> a cemetery (the occurrence of a single isolated tomb in some case</w:t>
      </w:r>
      <w:r>
        <w:t>s</w:t>
      </w:r>
      <w:r w:rsidRPr="00833D4D">
        <w:t xml:space="preserve"> </w:t>
      </w:r>
      <w:r>
        <w:t>is</w:t>
      </w:r>
      <w:r w:rsidRPr="00833D4D">
        <w:t xml:space="preserve"> the result of data limit</w:t>
      </w:r>
      <w:r>
        <w:t>ations</w:t>
      </w:r>
      <w:r w:rsidRPr="00833D4D">
        <w:t xml:space="preserve"> and could be part of an undisclosed necropolis; when </w:t>
      </w:r>
      <w:r>
        <w:t>this</w:t>
      </w:r>
      <w:r w:rsidRPr="00833D4D">
        <w:t xml:space="preserve"> is the case</w:t>
      </w:r>
      <w:r>
        <w:t>,</w:t>
      </w:r>
      <w:r w:rsidRPr="00833D4D">
        <w:t xml:space="preserve"> </w:t>
      </w:r>
      <w:r>
        <w:t>it</w:t>
      </w:r>
      <w:r w:rsidRPr="00833D4D">
        <w:t xml:space="preserve"> is specified when presenting the </w:t>
      </w:r>
      <w:r w:rsidRPr="00833D4D">
        <w:lastRenderedPageBreak/>
        <w:t>data).</w:t>
      </w:r>
    </w:p>
    <w:p w14:paraId="2BA4171C" w14:textId="5DF782FC" w:rsidR="008940B3" w:rsidRPr="00833D4D" w:rsidRDefault="008940B3" w:rsidP="00AD5BCB">
      <w:pPr>
        <w:rPr>
          <w:color w:val="FF0000"/>
        </w:rPr>
      </w:pPr>
      <w:r>
        <w:tab/>
        <w:t>When describing</w:t>
      </w:r>
      <w:r w:rsidRPr="00833D4D">
        <w:t xml:space="preserve"> </w:t>
      </w:r>
      <w:r w:rsidRPr="00833D4D">
        <w:rPr>
          <w:b/>
          <w:bCs/>
        </w:rPr>
        <w:t>tombs</w:t>
      </w:r>
      <w:r>
        <w:rPr>
          <w:b/>
          <w:bCs/>
        </w:rPr>
        <w:t>,</w:t>
      </w:r>
      <w:r w:rsidRPr="00833D4D">
        <w:rPr>
          <w:b/>
          <w:bCs/>
        </w:rPr>
        <w:t xml:space="preserve"> </w:t>
      </w:r>
      <w:r w:rsidRPr="00833D4D">
        <w:t>we shift from defining a spatial category to a typological one. The main distinction that has been drawn in previous studies is between tomb</w:t>
      </w:r>
      <w:r>
        <w:t>s</w:t>
      </w:r>
      <w:r w:rsidRPr="00833D4D">
        <w:t xml:space="preserve"> with single burial</w:t>
      </w:r>
      <w:r>
        <w:t>s</w:t>
      </w:r>
      <w:r w:rsidRPr="00833D4D">
        <w:t xml:space="preserve"> (</w:t>
      </w:r>
      <w:r>
        <w:t>e.g.</w:t>
      </w:r>
      <w:r w:rsidRPr="00833D4D">
        <w:t xml:space="preserve"> pithos/larnax deposition) and tombs with multiple burials (</w:t>
      </w:r>
      <w:r>
        <w:t>e.g.</w:t>
      </w:r>
      <w:r w:rsidRPr="00833D4D">
        <w:t xml:space="preserve"> chamber tombs, corbel-vaulted tombs). The creation of different tomb categories has mainly been based on the differences in their architectural features (Pini 1968, Preston 2000, Vavouranakis 2007). Even if it is true that using a strict classification of tomb types could prevent a full understanding of all the typological variations (Legarra Herrero 2014</w:t>
      </w:r>
      <w:r>
        <w:t>:</w:t>
      </w:r>
      <w:r w:rsidRPr="00833D4D">
        <w:t xml:space="preserve"> 22), to recogni</w:t>
      </w:r>
      <w:r>
        <w:t>s</w:t>
      </w:r>
      <w:r w:rsidRPr="00833D4D">
        <w:t xml:space="preserve">e and briefly define tomb typologies is fundamental </w:t>
      </w:r>
      <w:r>
        <w:t>for</w:t>
      </w:r>
      <w:r w:rsidRPr="00833D4D">
        <w:t xml:space="preserve"> any kind of analysis. Ingo Pini (1968: 36) and Wanda Löwe (1996: 4)</w:t>
      </w:r>
      <w:r>
        <w:t xml:space="preserve"> propose a</w:t>
      </w:r>
      <w:r w:rsidRPr="00833D4D">
        <w:t xml:space="preserve"> tomb classification valid for all the Late Minoan period. However, a</w:t>
      </w:r>
      <w:r>
        <w:t xml:space="preserve"> brief list of the tomb typ</w:t>
      </w:r>
      <w:r w:rsidRPr="00833D4D">
        <w:t xml:space="preserve">es in which LM III larnakes </w:t>
      </w:r>
      <w:r>
        <w:t xml:space="preserve">have been found </w:t>
      </w:r>
      <w:r w:rsidRPr="00833D4D">
        <w:t>is included</w:t>
      </w:r>
      <w:r>
        <w:t>, below. For each type,</w:t>
      </w:r>
      <w:r w:rsidRPr="00833D4D">
        <w:t xml:space="preserve"> an example from the dataset</w:t>
      </w:r>
      <w:r>
        <w:t xml:space="preserve"> is provided</w:t>
      </w:r>
      <w:r w:rsidRPr="00833D4D">
        <w:t>.</w:t>
      </w:r>
    </w:p>
    <w:p w14:paraId="51175BEC" w14:textId="77777777" w:rsidR="008940B3" w:rsidRPr="00833D4D" w:rsidRDefault="008940B3" w:rsidP="00AD5BCB">
      <w:pPr>
        <w:rPr>
          <w:i/>
          <w:iCs/>
        </w:rPr>
      </w:pPr>
      <w:r>
        <w:rPr>
          <w:b/>
          <w:bCs/>
        </w:rPr>
        <w:tab/>
      </w:r>
      <w:r w:rsidRPr="00833D4D">
        <w:rPr>
          <w:b/>
          <w:bCs/>
        </w:rPr>
        <w:t>Chamber tombs</w:t>
      </w:r>
      <w:r>
        <w:rPr>
          <w:b/>
          <w:bCs/>
        </w:rPr>
        <w:t>:</w:t>
      </w:r>
      <w:r w:rsidRPr="00833D4D">
        <w:t xml:space="preserve"> one or more chambers excavated in </w:t>
      </w:r>
      <w:r>
        <w:t>the</w:t>
      </w:r>
      <w:r w:rsidRPr="00833D4D">
        <w:t xml:space="preserve"> side of a hill or simply into rock, approached by a sloping </w:t>
      </w:r>
      <w:r w:rsidRPr="00833D4D">
        <w:rPr>
          <w:i/>
        </w:rPr>
        <w:t>dromos</w:t>
      </w:r>
      <w:r w:rsidRPr="00833D4D">
        <w:t>. Some basic common characteristic</w:t>
      </w:r>
      <w:r>
        <w:t>s</w:t>
      </w:r>
      <w:r w:rsidRPr="00833D4D">
        <w:t xml:space="preserve"> are the presence of a dromos, a stomion blocked with dry-stone walling, and one or more chambers </w:t>
      </w:r>
      <w:r>
        <w:t>that</w:t>
      </w:r>
      <w:r w:rsidRPr="00833D4D">
        <w:t xml:space="preserve"> can be </w:t>
      </w:r>
      <w:r>
        <w:t>different in their plan</w:t>
      </w:r>
      <w:r w:rsidRPr="00833D4D">
        <w:t xml:space="preserve"> (</w:t>
      </w:r>
      <w:r>
        <w:t>e.g.</w:t>
      </w:r>
      <w:r w:rsidRPr="00833D4D">
        <w:t xml:space="preserve"> round, hemispherical, square, rectangular, irregular) (</w:t>
      </w:r>
      <w:r>
        <w:t>e.g.</w:t>
      </w:r>
      <w:r w:rsidRPr="00833D4D">
        <w:t xml:space="preserve"> chamber tombs at Maroulas with irregular plan</w:t>
      </w:r>
      <w:r>
        <w:t>,</w:t>
      </w:r>
      <w:r w:rsidRPr="00833D4D">
        <w:t xml:space="preserve"> </w:t>
      </w:r>
      <w:r>
        <w:t>see</w:t>
      </w:r>
      <w:r w:rsidRPr="00833D4D">
        <w:t xml:space="preserve"> Papadopoulou 2017: </w:t>
      </w:r>
      <w:r>
        <w:t>F</w:t>
      </w:r>
      <w:r w:rsidRPr="00833D4D">
        <w:t>ig. 3; chamber tombs with multiple chambers at Mavro Spelio Knossos</w:t>
      </w:r>
      <w:r>
        <w:t>, see</w:t>
      </w:r>
      <w:r w:rsidRPr="00833D4D">
        <w:t xml:space="preserve"> Forsdyke 1926/27: </w:t>
      </w:r>
      <w:r>
        <w:t>plan of the site F</w:t>
      </w:r>
      <w:r w:rsidRPr="00833D4D">
        <w:t xml:space="preserve">ig. 1, </w:t>
      </w:r>
      <w:r>
        <w:t>e.g. T</w:t>
      </w:r>
      <w:r w:rsidRPr="00833D4D">
        <w:t xml:space="preserve">omb 5 </w:t>
      </w:r>
      <w:r>
        <w:t>F</w:t>
      </w:r>
      <w:r w:rsidRPr="00833D4D">
        <w:t>ig. 8).</w:t>
      </w:r>
    </w:p>
    <w:p w14:paraId="082E42E8" w14:textId="77777777" w:rsidR="008940B3" w:rsidRPr="00833D4D" w:rsidRDefault="008940B3" w:rsidP="00AD5BCB">
      <w:r>
        <w:rPr>
          <w:b/>
          <w:bCs/>
        </w:rPr>
        <w:tab/>
      </w:r>
      <w:r w:rsidRPr="00833D4D">
        <w:rPr>
          <w:b/>
          <w:bCs/>
        </w:rPr>
        <w:t>Pit</w:t>
      </w:r>
      <w:r>
        <w:rPr>
          <w:b/>
          <w:bCs/>
        </w:rPr>
        <w:t>:</w:t>
      </w:r>
      <w:r w:rsidRPr="00833D4D">
        <w:t xml:space="preserve"> cavities made in the ground without a well-defined shape, usually rectangular, oval or round (Dickinson 1983: 56) (</w:t>
      </w:r>
      <w:r>
        <w:t>e.g.</w:t>
      </w:r>
      <w:r w:rsidRPr="00833D4D">
        <w:t xml:space="preserve"> Liliana tombs E, F, G, H Savignoni 1904: 628-662, </w:t>
      </w:r>
      <w:r>
        <w:t>F</w:t>
      </w:r>
      <w:r w:rsidRPr="00833D4D">
        <w:t>ig. 117).</w:t>
      </w:r>
    </w:p>
    <w:p w14:paraId="71C96D69" w14:textId="2D081191" w:rsidR="008940B3" w:rsidRPr="00833D4D" w:rsidRDefault="008940B3" w:rsidP="00AD5BCB">
      <w:pPr>
        <w:ind w:firstLine="708"/>
      </w:pPr>
      <w:r w:rsidRPr="00833D4D">
        <w:rPr>
          <w:b/>
          <w:bCs/>
        </w:rPr>
        <w:t>Pit-cave</w:t>
      </w:r>
      <w:r>
        <w:rPr>
          <w:b/>
          <w:bCs/>
        </w:rPr>
        <w:t xml:space="preserve">: </w:t>
      </w:r>
      <w:r w:rsidRPr="00250D22">
        <w:rPr>
          <w:bCs/>
        </w:rPr>
        <w:t>comprise</w:t>
      </w:r>
      <w:r w:rsidR="00AD5BCB">
        <w:rPr>
          <w:bCs/>
        </w:rPr>
        <w:t>s</w:t>
      </w:r>
      <w:r w:rsidRPr="00833D4D">
        <w:rPr>
          <w:b/>
          <w:bCs/>
        </w:rPr>
        <w:t xml:space="preserve"> </w:t>
      </w:r>
      <w:r>
        <w:t>a small chamber opening</w:t>
      </w:r>
      <w:r w:rsidRPr="00833D4D">
        <w:t xml:space="preserve"> off one side of a vertical shaft</w:t>
      </w:r>
      <w:r>
        <w:t xml:space="preserve"> cut</w:t>
      </w:r>
      <w:r w:rsidRPr="00833D4D">
        <w:t xml:space="preserve"> into the soft rock (Di</w:t>
      </w:r>
      <w:r>
        <w:t>c</w:t>
      </w:r>
      <w:r w:rsidRPr="00833D4D">
        <w:t>kinson 1983: 57) (</w:t>
      </w:r>
      <w:r>
        <w:t>e.g.</w:t>
      </w:r>
      <w:r w:rsidRPr="00833D4D">
        <w:t xml:space="preserve"> Knossos Zafer Papoura tomb 10 Evans 190</w:t>
      </w:r>
      <w:r>
        <w:t>6</w:t>
      </w:r>
      <w:r w:rsidRPr="00833D4D">
        <w:t>: 421-422).</w:t>
      </w:r>
    </w:p>
    <w:p w14:paraId="577738A6" w14:textId="77777777" w:rsidR="008940B3" w:rsidRPr="00AD5BC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b/>
          <w:bCs/>
          <w:color w:val="000000"/>
          <w:szCs w:val="22"/>
        </w:rPr>
      </w:pPr>
      <w:r>
        <w:rPr>
          <w:b/>
          <w:bCs/>
          <w:color w:val="000000"/>
          <w:sz w:val="22"/>
          <w:szCs w:val="22"/>
        </w:rPr>
        <w:tab/>
      </w:r>
      <w:r w:rsidRPr="00AD5BCB">
        <w:rPr>
          <w:b/>
          <w:bCs/>
          <w:color w:val="000000"/>
          <w:szCs w:val="22"/>
        </w:rPr>
        <w:t xml:space="preserve">Shaft: </w:t>
      </w:r>
      <w:r w:rsidRPr="00AD5BCB">
        <w:rPr>
          <w:color w:val="000000"/>
          <w:szCs w:val="22"/>
        </w:rPr>
        <w:t xml:space="preserve">in general these can be defined as more or less regular cuttings into the rock. It is useful to distinguish between simple shafts and </w:t>
      </w:r>
      <w:r w:rsidRPr="00AD5BCB">
        <w:rPr>
          <w:b/>
          <w:bCs/>
          <w:color w:val="000000"/>
          <w:szCs w:val="22"/>
        </w:rPr>
        <w:t>shaft graves</w:t>
      </w:r>
      <w:r w:rsidRPr="00AD5BCB">
        <w:rPr>
          <w:color w:val="000000"/>
          <w:szCs w:val="22"/>
        </w:rPr>
        <w:t>, which are identified as tombs that have roofs supported on ledges or walls distant from the grave-cutting, leaving space above the roof filled with earth. This definition is applied to tombs that resemble the Mycenae shaft graves (Dickinson 1983: 56) (e.g., Knossos Upper Gypsades tomb XII: Hood, Huxeley, Sandars and Werner 1958/1959: 214-215, Fig. 14).</w:t>
      </w:r>
    </w:p>
    <w:p w14:paraId="13C51A8A" w14:textId="552937D3" w:rsidR="008940B3" w:rsidRPr="00AD5BC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AD5BCB">
        <w:rPr>
          <w:b/>
          <w:bCs/>
          <w:color w:val="000000"/>
          <w:szCs w:val="22"/>
        </w:rPr>
        <w:tab/>
        <w:t xml:space="preserve">Corbel-vaulted tombs: </w:t>
      </w:r>
      <w:r w:rsidRPr="00AD5BCB">
        <w:rPr>
          <w:color w:val="000000"/>
          <w:szCs w:val="22"/>
        </w:rPr>
        <w:t xml:space="preserve">tombs characterised by a standard tripartite division </w:t>
      </w:r>
      <w:r w:rsidRPr="00AD5BCB">
        <w:rPr>
          <w:color w:val="000000"/>
          <w:szCs w:val="22"/>
        </w:rPr>
        <w:lastRenderedPageBreak/>
        <w:t>dromos-</w:t>
      </w:r>
      <w:r w:rsidRPr="00AD5BCB">
        <w:rPr>
          <w:i/>
          <w:color w:val="000000"/>
          <w:szCs w:val="22"/>
        </w:rPr>
        <w:t>stomion</w:t>
      </w:r>
      <w:r w:rsidRPr="00AD5BCB">
        <w:rPr>
          <w:color w:val="000000"/>
          <w:szCs w:val="22"/>
        </w:rPr>
        <w:t>-chamber and by a vaulted roof. The plan can be either rectangular or circular and the tomb’s vault consists of a different number of courses with a slab covering the apex. Usually, the chamber walls are vertical almost up to the lintel and from there they incline, inwards and  the facade is decorated with vertical slabs. In some cases, there is also a relieving triangle that crowns the stomion. Reused EM and MM tholoi are excluded from this category. (For a discussion about the use of the term ‘tholos’ or ‘corbel-vaulted tombs’, see Galanakis: 2011</w:t>
      </w:r>
      <w:r w:rsidR="009A2FE2">
        <w:rPr>
          <w:color w:val="000000"/>
          <w:szCs w:val="22"/>
        </w:rPr>
        <w:t>:</w:t>
      </w:r>
      <w:r w:rsidRPr="00AD5BCB">
        <w:rPr>
          <w:color w:val="000000"/>
          <w:szCs w:val="22"/>
        </w:rPr>
        <w:t xml:space="preserve"> 591-592; Preston 2004a; Kanta 1980:</w:t>
      </w:r>
      <w:r w:rsidR="000951B0">
        <w:rPr>
          <w:color w:val="000000"/>
          <w:szCs w:val="22"/>
        </w:rPr>
        <w:t xml:space="preserve"> </w:t>
      </w:r>
      <w:r w:rsidRPr="00AD5BCB">
        <w:rPr>
          <w:color w:val="000000"/>
          <w:szCs w:val="22"/>
        </w:rPr>
        <w:t>79) (e.g. Margarites tomb Papadopoulou 2006: 129-152.)</w:t>
      </w:r>
    </w:p>
    <w:p w14:paraId="0B97D8A2" w14:textId="77777777" w:rsidR="008940B3" w:rsidRPr="00AD5BC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b/>
          <w:bCs/>
          <w:color w:val="000000"/>
          <w:szCs w:val="22"/>
        </w:rPr>
      </w:pPr>
      <w:r w:rsidRPr="00AD5BCB">
        <w:rPr>
          <w:b/>
          <w:bCs/>
          <w:color w:val="000000"/>
          <w:szCs w:val="22"/>
        </w:rPr>
        <w:tab/>
        <w:t xml:space="preserve">Cave/rock shelter: </w:t>
      </w:r>
      <w:r w:rsidRPr="00AD5BCB">
        <w:rPr>
          <w:color w:val="000000"/>
          <w:szCs w:val="22"/>
        </w:rPr>
        <w:t>natural cavities in the rock that sometimes can be subject to modification (Elounda Van Effenterre 1948: 7-13, 45-59).</w:t>
      </w:r>
    </w:p>
    <w:p w14:paraId="5B5E70AD" w14:textId="77777777" w:rsidR="008940B3" w:rsidRPr="00AD5BC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b/>
          <w:color w:val="000000"/>
          <w:szCs w:val="22"/>
        </w:rPr>
      </w:pPr>
      <w:r w:rsidRPr="00AD5BCB">
        <w:rPr>
          <w:b/>
          <w:bCs/>
          <w:color w:val="000000"/>
          <w:szCs w:val="22"/>
        </w:rPr>
        <w:tab/>
        <w:t>Receptacle burials:</w:t>
      </w:r>
      <w:r w:rsidRPr="00AD5BCB">
        <w:rPr>
          <w:color w:val="000000"/>
          <w:szCs w:val="22"/>
        </w:rPr>
        <w:t xml:space="preserve"> such as pithoi or larnakes are simply buried in the ground. In the case of the present study, we refer in particular to </w:t>
      </w:r>
      <w:r w:rsidRPr="00AD5BCB">
        <w:rPr>
          <w:b/>
          <w:color w:val="000000"/>
          <w:szCs w:val="22"/>
        </w:rPr>
        <w:t>larnax receptacles</w:t>
      </w:r>
      <w:r w:rsidRPr="00AD5BCB">
        <w:rPr>
          <w:color w:val="000000"/>
          <w:szCs w:val="22"/>
        </w:rPr>
        <w:t xml:space="preserve"> when larnakes are simply buried in the ground without any sign of shaping or building (e.g. Agia Triada, the two larnakes, one above the other, placed in the earth between the tomb of the sarcophagus and Tholos B (Preston 2000).</w:t>
      </w:r>
    </w:p>
    <w:p w14:paraId="51159508" w14:textId="4D2B7773" w:rsidR="008940B3" w:rsidRPr="00AD5BC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AD5BCB">
        <w:rPr>
          <w:b/>
          <w:bCs/>
          <w:color w:val="000000"/>
          <w:szCs w:val="22"/>
        </w:rPr>
        <w:tab/>
        <w:t xml:space="preserve">Reuse of pre-LM tholoi: </w:t>
      </w:r>
      <w:r w:rsidRPr="00AD5BCB">
        <w:rPr>
          <w:color w:val="000000"/>
          <w:szCs w:val="22"/>
        </w:rPr>
        <w:t>already existing round tombs reused in the LM III period. This reuse consists of using again the old round tombs built during the Early/Middle Minoan periods, in which new depositions of clay larnakes along with relevant grave goods were added (e.g. Kamilari tholos, Levi 1961/62).</w:t>
      </w:r>
    </w:p>
    <w:p w14:paraId="44033B3C" w14:textId="179260F4" w:rsidR="008940B3" w:rsidRPr="00AD5BC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AD5BCB">
        <w:rPr>
          <w:b/>
          <w:color w:val="000000"/>
          <w:szCs w:val="22"/>
        </w:rPr>
        <w:tab/>
        <w:t>Reused structures:</w:t>
      </w:r>
      <w:r w:rsidRPr="00AD5BCB">
        <w:rPr>
          <w:color w:val="000000"/>
          <w:szCs w:val="22"/>
        </w:rPr>
        <w:t xml:space="preserve"> houses or other structures already present in a settlement or an area where LM III burials have not been found (e.g. Gournia settlement, where, in a destroyed LM I house, an LM III burial was found (Boyd-Hawes 1908: 46; Langohr 2009: 91).</w:t>
      </w:r>
    </w:p>
    <w:p w14:paraId="4B0432C8" w14:textId="77777777" w:rsidR="008940B3" w:rsidRPr="00AD5BC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AD5BCB">
        <w:rPr>
          <w:b/>
          <w:bCs/>
          <w:color w:val="000000"/>
          <w:szCs w:val="22"/>
        </w:rPr>
        <w:tab/>
        <w:t>Built tombs:</w:t>
      </w:r>
      <w:r w:rsidRPr="00AD5BCB">
        <w:rPr>
          <w:bCs/>
          <w:color w:val="000000"/>
          <w:szCs w:val="22"/>
        </w:rPr>
        <w:t xml:space="preserve"> built structures used for burial purposes, as in the case of </w:t>
      </w:r>
      <w:r w:rsidRPr="00AD5BCB">
        <w:rPr>
          <w:color w:val="000000"/>
          <w:szCs w:val="22"/>
        </w:rPr>
        <w:t>the rectangular chamber built above ground on the slopes of the hill in which the Agia Triada stone sarcophagus was found together with a larnax burial in the ground (Long 1974</w:t>
      </w:r>
      <w:r w:rsidRPr="00AD5BCB">
        <w:rPr>
          <w:szCs w:val="22"/>
        </w:rPr>
        <w:t>: 11), or in the case of Burial Building 3 at Archanes (Sapouna-Sakellarakis 1990: 77-83).</w:t>
      </w:r>
    </w:p>
    <w:p w14:paraId="7B1CEF28" w14:textId="77777777" w:rsidR="008940B3" w:rsidRPr="00AD5BC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AD5BCB">
        <w:rPr>
          <w:b/>
          <w:bCs/>
          <w:color w:val="000000"/>
          <w:szCs w:val="22"/>
        </w:rPr>
        <w:tab/>
        <w:t xml:space="preserve">Grave enclosure: </w:t>
      </w:r>
      <w:r w:rsidRPr="00AD5BCB">
        <w:rPr>
          <w:color w:val="000000"/>
          <w:szCs w:val="22"/>
        </w:rPr>
        <w:t>also known as a Mycenaean grave enclosure, unique to Archanes (Sakellaraki and Sakellaraki 1997: 189), this is a burial complex, rectangular in shape, inside which several rectangular pits each containing one chest larnax dug regularly into the soft rock, roughly at the same distance from each other and at three different levels.</w:t>
      </w:r>
    </w:p>
    <w:p w14:paraId="200FBCD5" w14:textId="77777777" w:rsidR="008940B3" w:rsidRPr="008F2029" w:rsidRDefault="008940B3" w:rsidP="00E858EF">
      <w:pPr>
        <w:pStyle w:val="Titolo2"/>
        <w:keepNext w:val="0"/>
        <w:keepLines w:val="0"/>
        <w:suppressAutoHyphens/>
      </w:pPr>
      <w:bookmarkStart w:id="59" w:name="_Toc389131116"/>
      <w:bookmarkStart w:id="60" w:name="_Toc517876435"/>
      <w:bookmarkStart w:id="61" w:name="_Toc519894603"/>
      <w:r w:rsidRPr="008F2029">
        <w:lastRenderedPageBreak/>
        <w:t>Data reliability problems</w:t>
      </w:r>
      <w:bookmarkEnd w:id="59"/>
      <w:bookmarkEnd w:id="60"/>
      <w:bookmarkEnd w:id="61"/>
    </w:p>
    <w:p w14:paraId="16CBEF0E" w14:textId="77777777" w:rsidR="008940B3" w:rsidRPr="003B5C8D" w:rsidRDefault="008940B3" w:rsidP="00AD5BCB">
      <w:r w:rsidRPr="003B5C8D">
        <w:t xml:space="preserve">Before presenting </w:t>
      </w:r>
      <w:r>
        <w:t>the analysis undertaken and</w:t>
      </w:r>
      <w:r w:rsidRPr="003B5C8D">
        <w:t xml:space="preserve"> </w:t>
      </w:r>
      <w:r>
        <w:t xml:space="preserve">the </w:t>
      </w:r>
      <w:r w:rsidRPr="003B5C8D">
        <w:t>results</w:t>
      </w:r>
      <w:r>
        <w:t>,</w:t>
      </w:r>
      <w:r w:rsidRPr="003B5C8D">
        <w:t xml:space="preserve"> it is important to clarify the limits of the dataset and to develop a methodology to overcome them.</w:t>
      </w:r>
      <w:r>
        <w:t xml:space="preserve"> The </w:t>
      </w:r>
      <w:r w:rsidRPr="003B5C8D">
        <w:t>data sets regarding burials with larn</w:t>
      </w:r>
      <w:r>
        <w:t>akes dated to the LM III present four main challenges</w:t>
      </w:r>
      <w:r w:rsidRPr="003B5C8D">
        <w:t>:</w:t>
      </w:r>
    </w:p>
    <w:p w14:paraId="289E9DFD" w14:textId="77777777" w:rsidR="008940B3" w:rsidRPr="00AD5BCB" w:rsidRDefault="008940B3" w:rsidP="00E858EF">
      <w:pPr>
        <w:numPr>
          <w:ilvl w:val="0"/>
          <w:numId w:val="13"/>
        </w:numPr>
        <w:tabs>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contextualSpacing w:val="0"/>
        <w:rPr>
          <w:color w:val="000000"/>
          <w:szCs w:val="22"/>
        </w:rPr>
      </w:pPr>
      <w:r>
        <w:rPr>
          <w:color w:val="000000"/>
          <w:sz w:val="22"/>
          <w:szCs w:val="22"/>
        </w:rPr>
        <w:t xml:space="preserve"> </w:t>
      </w:r>
      <w:r w:rsidRPr="00AD5BCB">
        <w:rPr>
          <w:color w:val="000000"/>
          <w:szCs w:val="22"/>
        </w:rPr>
        <w:t xml:space="preserve">The contexts examined can be reused many times: first, during the period that is considered in the present study (LM III) tombs can be used for more than a single person burial. Second, some tombs were reused later. In some few cases, larnax burials themselves constitute a reuse phase of older burials, as in the case of the EM/MM tholoi (e.g. Kamilari tholos). </w:t>
      </w:r>
    </w:p>
    <w:p w14:paraId="681FCBB3" w14:textId="77777777" w:rsidR="008940B3" w:rsidRPr="00AD5BCB" w:rsidRDefault="008940B3" w:rsidP="00E858EF">
      <w:pPr>
        <w:numPr>
          <w:ilvl w:val="0"/>
          <w:numId w:val="13"/>
        </w:numPr>
        <w:tabs>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contextualSpacing w:val="0"/>
        <w:rPr>
          <w:color w:val="000000"/>
          <w:szCs w:val="22"/>
        </w:rPr>
      </w:pPr>
      <w:r w:rsidRPr="00AD5BCB">
        <w:rPr>
          <w:szCs w:val="22"/>
        </w:rPr>
        <w:t xml:space="preserve"> The cem</w:t>
      </w:r>
      <w:r w:rsidRPr="00AD5BCB">
        <w:rPr>
          <w:color w:val="000000"/>
          <w:szCs w:val="22"/>
        </w:rPr>
        <w:t xml:space="preserve">eteries considered have, unfortunately, been very often plundered since Roman and Medieval times or even earlier (Xanthoudidis 1924: 2; Pomerance 1977; Morgan 1987: 171; Chaniotis 1989; Legarra Herrero 2014: 20). This means that, often, the contexts have been mixed and important pieces of evidence removed. In some cases, the larnakes themselves have been robbed, making it impossible to reconstruct the </w:t>
      </w:r>
      <w:r w:rsidRPr="00AD5BCB">
        <w:rPr>
          <w:szCs w:val="22"/>
        </w:rPr>
        <w:t>original</w:t>
      </w:r>
      <w:r w:rsidRPr="00AD5BCB">
        <w:rPr>
          <w:color w:val="FF0000"/>
          <w:szCs w:val="22"/>
        </w:rPr>
        <w:t xml:space="preserve"> </w:t>
      </w:r>
      <w:r w:rsidRPr="00AD5BCB">
        <w:rPr>
          <w:color w:val="000000"/>
          <w:szCs w:val="22"/>
        </w:rPr>
        <w:t>provenance of the item (as in the case of one larnax exhibited at the Metropolitan Museum of Art of New York (Picón et al., 2007: 40, 412 n. 23). In other cases, it has been possible to reconstruct only a general regional provenance for the items (as in the case of a group of larnakes stolen from west Cretan burial contexts: Mavriyannaki</w:t>
      </w:r>
      <w:r w:rsidRPr="00AD5BCB">
        <w:rPr>
          <w:szCs w:val="22"/>
        </w:rPr>
        <w:t xml:space="preserve"> 1972).</w:t>
      </w:r>
    </w:p>
    <w:p w14:paraId="26D6753C" w14:textId="77777777" w:rsidR="008940B3" w:rsidRPr="00AD5BCB" w:rsidRDefault="008940B3" w:rsidP="00E858EF">
      <w:pPr>
        <w:numPr>
          <w:ilvl w:val="0"/>
          <w:numId w:val="13"/>
        </w:numPr>
        <w:tabs>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contextualSpacing w:val="0"/>
        <w:rPr>
          <w:color w:val="000000"/>
          <w:szCs w:val="22"/>
        </w:rPr>
      </w:pPr>
      <w:r w:rsidRPr="00AD5BCB">
        <w:rPr>
          <w:color w:val="000000"/>
          <w:szCs w:val="22"/>
        </w:rPr>
        <w:t xml:space="preserve"> The heterogeneity and the gaps in the information that we have are, in some respects, due to the era in which the excavation was conducted and to its contingent condition. Specifically, excavation of LM III burials started in the early 20th century and continues; this means that techniques used in the early period are different from those of today. Moreover, some of these excavations were rescue interventions, which were conducted with low budgets and time restrictions, limiting what was recovered. In some other cases, larnax fragments were found during survey; therefore, almost no information about the possible burial context is provided.</w:t>
      </w:r>
    </w:p>
    <w:p w14:paraId="0C5C4528" w14:textId="77777777" w:rsidR="008940B3" w:rsidRPr="00AD5BCB" w:rsidRDefault="008940B3" w:rsidP="00E858EF">
      <w:pPr>
        <w:numPr>
          <w:ilvl w:val="0"/>
          <w:numId w:val="13"/>
        </w:numPr>
        <w:tabs>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contextualSpacing w:val="0"/>
        <w:rPr>
          <w:color w:val="000000"/>
          <w:szCs w:val="22"/>
        </w:rPr>
      </w:pPr>
      <w:r w:rsidRPr="00AD5BCB">
        <w:rPr>
          <w:color w:val="000000"/>
          <w:szCs w:val="22"/>
        </w:rPr>
        <w:t xml:space="preserve"> Finally, the low-quality datasets are partially due to publication issues. More generally, there is a lack of published information regarding excavated tombs. On the one hand, for some cemeteries only preliminary reports are available, which means that a limited amount of information is known in relation to the burial context. On the other hand, some cemeteries have been reported only </w:t>
      </w:r>
      <w:r w:rsidRPr="00AD5BCB">
        <w:rPr>
          <w:color w:val="000000"/>
          <w:szCs w:val="22"/>
        </w:rPr>
        <w:lastRenderedPageBreak/>
        <w:t>within a selected group of evidence, providing a biased picture of the cemetery. There are cases also in which studies on larnakes have been published separately from their burial context and assemblage (e.g. Watrous 1991).</w:t>
      </w:r>
    </w:p>
    <w:p w14:paraId="4AD5D883" w14:textId="77777777" w:rsidR="008940B3" w:rsidRPr="00AD5BC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AD5BCB">
        <w:rPr>
          <w:color w:val="000000"/>
          <w:szCs w:val="22"/>
        </w:rPr>
        <w:tab/>
        <w:t>From a broader prospective, it is important to discuss very briefly the general reliability of the archaeological sample regarding LM III burials with larnakes. What emerges from previous studies, from the overall picture of tomb distributions for the LM II-III, and, consequently, from larnax burial distributions in the LM III, should be generally reliable, bearing in mind that there are regions that are more representative of the original burial pattern than others (Bennet 1986: 34-35; Preston 2000: 172-174). However, the gaps in larnax distribution that emerged from the analysis of the LM III burials (Preston 2004: 187) could be either the result of a genuine absence of coffin use in a specific area (as in the case of Far-West area) or due to a lack of archaeological investigation (there are generally few attested tombs).</w:t>
      </w:r>
    </w:p>
    <w:p w14:paraId="08DFF049" w14:textId="77777777" w:rsidR="008940B3" w:rsidRPr="00AD5BC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AD5BCB">
        <w:rPr>
          <w:color w:val="000000"/>
          <w:szCs w:val="22"/>
        </w:rPr>
        <w:tab/>
        <w:t xml:space="preserve">One of the strategies adopted to overcome these limits has been not to dismiss from the dataset a poorly published cemetery, because even this scant information can be helpful for identifying regional patterns. Accordingly, for the same reason, a distinction between </w:t>
      </w:r>
      <w:r w:rsidRPr="00AD5BCB">
        <w:rPr>
          <w:i/>
          <w:iCs/>
          <w:color w:val="000000"/>
          <w:szCs w:val="22"/>
        </w:rPr>
        <w:t xml:space="preserve">secure </w:t>
      </w:r>
      <w:r w:rsidRPr="00AD5BCB">
        <w:rPr>
          <w:color w:val="000000"/>
          <w:szCs w:val="22"/>
        </w:rPr>
        <w:t xml:space="preserve">and </w:t>
      </w:r>
      <w:r w:rsidRPr="00AD5BCB">
        <w:rPr>
          <w:i/>
          <w:iCs/>
          <w:color w:val="000000"/>
          <w:szCs w:val="22"/>
        </w:rPr>
        <w:t>possible</w:t>
      </w:r>
      <w:r w:rsidRPr="00AD5BCB">
        <w:rPr>
          <w:color w:val="000000"/>
          <w:szCs w:val="22"/>
        </w:rPr>
        <w:t xml:space="preserve"> burial locations with LM III larnax use has been made:</w:t>
      </w:r>
    </w:p>
    <w:p w14:paraId="1211DA11" w14:textId="77777777" w:rsidR="008940B3" w:rsidRPr="00AD5BCB" w:rsidRDefault="008940B3" w:rsidP="00E858EF">
      <w:pPr>
        <w:numPr>
          <w:ilvl w:val="0"/>
          <w:numId w:val="10"/>
        </w:num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240" w:hanging="240"/>
        <w:contextualSpacing w:val="0"/>
        <w:rPr>
          <w:i/>
          <w:iCs/>
          <w:color w:val="FB0207"/>
          <w:szCs w:val="22"/>
        </w:rPr>
      </w:pPr>
      <w:r w:rsidRPr="00AD5BCB">
        <w:rPr>
          <w:color w:val="000000"/>
          <w:szCs w:val="22"/>
        </w:rPr>
        <w:t xml:space="preserve">Locations are considered </w:t>
      </w:r>
      <w:r w:rsidRPr="00AD5BCB">
        <w:rPr>
          <w:i/>
          <w:iCs/>
          <w:color w:val="000000"/>
          <w:szCs w:val="22"/>
        </w:rPr>
        <w:t>secure</w:t>
      </w:r>
      <w:r w:rsidRPr="00AD5BCB">
        <w:rPr>
          <w:color w:val="000000"/>
          <w:szCs w:val="22"/>
        </w:rPr>
        <w:t xml:space="preserve"> if the context relates the larnax to a burial context dated to LM III, even if there is very little information about the related dataset. Thus, larnakes that have been destroyed but for which there is available information about their burial context are considered secure. </w:t>
      </w:r>
    </w:p>
    <w:p w14:paraId="51E784D5" w14:textId="77777777" w:rsidR="008940B3" w:rsidRPr="00AD5BCB" w:rsidRDefault="008940B3" w:rsidP="00E858EF">
      <w:pPr>
        <w:numPr>
          <w:ilvl w:val="0"/>
          <w:numId w:val="10"/>
        </w:num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240" w:hanging="240"/>
        <w:contextualSpacing w:val="0"/>
        <w:rPr>
          <w:color w:val="000000"/>
          <w:szCs w:val="22"/>
        </w:rPr>
      </w:pPr>
      <w:r w:rsidRPr="00AD5BCB">
        <w:rPr>
          <w:color w:val="000000"/>
          <w:szCs w:val="22"/>
        </w:rPr>
        <w:t xml:space="preserve">Locations are considered </w:t>
      </w:r>
      <w:r w:rsidRPr="00AD5BCB">
        <w:rPr>
          <w:i/>
          <w:iCs/>
          <w:color w:val="000000"/>
          <w:szCs w:val="22"/>
        </w:rPr>
        <w:t>possible</w:t>
      </w:r>
      <w:r w:rsidRPr="00AD5BCB">
        <w:rPr>
          <w:color w:val="000000"/>
          <w:szCs w:val="22"/>
        </w:rPr>
        <w:t xml:space="preserve"> for the sporadic LM III larnax findings for which there are no further data available about their context, and for which a burial provenance is not supported by any evidence.</w:t>
      </w:r>
    </w:p>
    <w:p w14:paraId="39DFC43C" w14:textId="4E377164" w:rsidR="008940B3" w:rsidRPr="00AD5BC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AD5BCB">
        <w:rPr>
          <w:color w:val="000000"/>
          <w:szCs w:val="22"/>
        </w:rPr>
        <w:t>The following analysis excludes LM III larnakes found in settlement contexts for which burial use has not been attested.</w:t>
      </w:r>
    </w:p>
    <w:p w14:paraId="5877F801" w14:textId="77777777" w:rsidR="008940B3" w:rsidRPr="00EB5638" w:rsidRDefault="008940B3" w:rsidP="00E858EF">
      <w:pPr>
        <w:pStyle w:val="Titolo2"/>
        <w:keepNext w:val="0"/>
        <w:keepLines w:val="0"/>
        <w:suppressAutoHyphens/>
        <w:rPr>
          <w:color w:val="FF0000"/>
          <w:sz w:val="22"/>
          <w:szCs w:val="22"/>
        </w:rPr>
      </w:pPr>
      <w:bookmarkStart w:id="62" w:name="_Toc389131117"/>
      <w:bookmarkStart w:id="63" w:name="_Toc517876436"/>
      <w:bookmarkStart w:id="64" w:name="_Toc519894604"/>
      <w:r w:rsidRPr="00EB5638">
        <w:t>Chronology</w:t>
      </w:r>
      <w:bookmarkEnd w:id="62"/>
      <w:bookmarkEnd w:id="63"/>
      <w:bookmarkEnd w:id="64"/>
      <w:r w:rsidRPr="00EB5638">
        <w:rPr>
          <w:color w:val="000000"/>
          <w:sz w:val="22"/>
          <w:szCs w:val="22"/>
        </w:rPr>
        <w:t xml:space="preserve"> </w:t>
      </w:r>
    </w:p>
    <w:p w14:paraId="0D721FC6" w14:textId="77777777" w:rsidR="008940B3" w:rsidRPr="003B5C8D" w:rsidRDefault="008940B3" w:rsidP="00AD5BCB">
      <w:r w:rsidRPr="003B5C8D">
        <w:t>Some of the limits inherent</w:t>
      </w:r>
      <w:r>
        <w:t xml:space="preserve"> in</w:t>
      </w:r>
      <w:r w:rsidRPr="003B5C8D">
        <w:t xml:space="preserve"> the dataset (long</w:t>
      </w:r>
      <w:r>
        <w:t>-</w:t>
      </w:r>
      <w:r w:rsidRPr="003B5C8D">
        <w:t>used/re</w:t>
      </w:r>
      <w:r>
        <w:t>used</w:t>
      </w:r>
      <w:r w:rsidRPr="003B5C8D">
        <w:t xml:space="preserve"> contexts, plundering, excavation/publication low</w:t>
      </w:r>
      <w:r>
        <w:t>-</w:t>
      </w:r>
      <w:r w:rsidRPr="003B5C8D">
        <w:t>quality data) c</w:t>
      </w:r>
      <w:r>
        <w:t xml:space="preserve">ause a series of problems in dating </w:t>
      </w:r>
      <w:r w:rsidRPr="003B5C8D">
        <w:t xml:space="preserve">the tombs and make </w:t>
      </w:r>
      <w:r>
        <w:t xml:space="preserve">it </w:t>
      </w:r>
      <w:r w:rsidRPr="003B5C8D">
        <w:t xml:space="preserve">difficult to reconstruct a detailed chronological framework both for the burial context and for the larnakes (Bennet 1986: 30-32; Preston 2000: 175). </w:t>
      </w:r>
    </w:p>
    <w:p w14:paraId="6E39A780" w14:textId="77777777" w:rsidR="008940B3" w:rsidRPr="003B5C8D" w:rsidRDefault="008940B3" w:rsidP="00AD5BCB">
      <w:r>
        <w:tab/>
      </w:r>
      <w:r w:rsidRPr="003B5C8D">
        <w:t>In particular</w:t>
      </w:r>
      <w:r>
        <w:t>,</w:t>
      </w:r>
      <w:r w:rsidRPr="003B5C8D">
        <w:t xml:space="preserve"> </w:t>
      </w:r>
      <w:r>
        <w:t>regarding</w:t>
      </w:r>
      <w:r w:rsidRPr="003B5C8D">
        <w:t xml:space="preserve"> chronology, given that there are limits concerning the </w:t>
      </w:r>
      <w:r w:rsidRPr="003B5C8D">
        <w:lastRenderedPageBreak/>
        <w:t>incomplete and fragmented condition of the assemblage</w:t>
      </w:r>
      <w:r>
        <w:t>s</w:t>
      </w:r>
      <w:r w:rsidRPr="003B5C8D">
        <w:t xml:space="preserve">, it is </w:t>
      </w:r>
      <w:r>
        <w:t xml:space="preserve">generally </w:t>
      </w:r>
      <w:r w:rsidRPr="003B5C8D">
        <w:t xml:space="preserve">possible to state </w:t>
      </w:r>
      <w:r>
        <w:t>that</w:t>
      </w:r>
      <w:r w:rsidRPr="003B5C8D">
        <w:t xml:space="preserve"> tomb</w:t>
      </w:r>
      <w:r>
        <w:t>s</w:t>
      </w:r>
      <w:r w:rsidRPr="003B5C8D">
        <w:t xml:space="preserve"> </w:t>
      </w:r>
      <w:r>
        <w:t>that</w:t>
      </w:r>
      <w:r w:rsidRPr="003B5C8D">
        <w:t xml:space="preserve"> have been excavated are datable more precisely (Preston 2000: 175 </w:t>
      </w:r>
      <w:r>
        <w:t>F</w:t>
      </w:r>
      <w:r w:rsidRPr="003B5C8D">
        <w:t xml:space="preserve">ig. 6.17). However, the level of information available </w:t>
      </w:r>
      <w:r>
        <w:t>regarding</w:t>
      </w:r>
      <w:r w:rsidRPr="003B5C8D">
        <w:t xml:space="preserve"> phases of use in the tomb depends on the publication. Therefore, </w:t>
      </w:r>
      <w:r>
        <w:t>o</w:t>
      </w:r>
      <w:r w:rsidRPr="003B5C8D">
        <w:t>n many occasions</w:t>
      </w:r>
      <w:r>
        <w:t>,</w:t>
      </w:r>
      <w:r w:rsidRPr="003B5C8D">
        <w:t xml:space="preserve"> the approximate date assigned in the tomb excavation reports </w:t>
      </w:r>
      <w:r>
        <w:t>is</w:t>
      </w:r>
      <w:r w:rsidRPr="003B5C8D">
        <w:t xml:space="preserve"> not due to a lack of datable </w:t>
      </w:r>
      <w:r>
        <w:t>pottery</w:t>
      </w:r>
      <w:r w:rsidRPr="003B5C8D">
        <w:t xml:space="preserve"> in </w:t>
      </w:r>
      <w:r>
        <w:t xml:space="preserve">the </w:t>
      </w:r>
      <w:r w:rsidRPr="003B5C8D">
        <w:t>tomb</w:t>
      </w:r>
      <w:r>
        <w:t>s</w:t>
      </w:r>
      <w:r w:rsidRPr="003B5C8D">
        <w:t xml:space="preserve"> themselves</w:t>
      </w:r>
      <w:r>
        <w:t>,</w:t>
      </w:r>
      <w:r w:rsidRPr="003B5C8D">
        <w:t xml:space="preserve"> but to a lack of information.</w:t>
      </w:r>
    </w:p>
    <w:p w14:paraId="34DBB8A9" w14:textId="77777777" w:rsidR="008940B3" w:rsidRPr="003B5C8D" w:rsidRDefault="008940B3" w:rsidP="00AD5BCB">
      <w:r>
        <w:tab/>
      </w:r>
      <w:r w:rsidRPr="003B5C8D">
        <w:t xml:space="preserve">Although </w:t>
      </w:r>
      <w:r>
        <w:t xml:space="preserve">it </w:t>
      </w:r>
      <w:r w:rsidRPr="003B5C8D">
        <w:t>is possible to reconstruct a relative chronology for the burial assemblage (Kanta 1980; Langohr 2009), it is difficult to assign a specific phase to the larnax itself because</w:t>
      </w:r>
      <w:r>
        <w:t>,</w:t>
      </w:r>
      <w:r w:rsidRPr="003B5C8D">
        <w:t xml:space="preserve"> in </w:t>
      </w:r>
      <w:r>
        <w:t xml:space="preserve">many </w:t>
      </w:r>
      <w:r w:rsidRPr="003B5C8D">
        <w:t>case</w:t>
      </w:r>
      <w:r>
        <w:t>s,</w:t>
      </w:r>
      <w:r w:rsidRPr="003B5C8D">
        <w:t xml:space="preserve"> the information about </w:t>
      </w:r>
      <w:r>
        <w:t xml:space="preserve">the </w:t>
      </w:r>
      <w:r w:rsidRPr="003B5C8D">
        <w:t xml:space="preserve">pottery context associated with larnax burials </w:t>
      </w:r>
      <w:r>
        <w:t xml:space="preserve">is </w:t>
      </w:r>
      <w:r w:rsidRPr="003B5C8D">
        <w:t>scar</w:t>
      </w:r>
      <w:r>
        <w:t>c</w:t>
      </w:r>
      <w:r w:rsidRPr="003B5C8D">
        <w:t xml:space="preserve">e and not always </w:t>
      </w:r>
      <w:r>
        <w:t>provided</w:t>
      </w:r>
      <w:r w:rsidRPr="003B5C8D">
        <w:t>.</w:t>
      </w:r>
      <w:r>
        <w:t xml:space="preserve"> However, there are tombs for which it has been </w:t>
      </w:r>
      <w:r w:rsidRPr="00F82F11">
        <w:t xml:space="preserve">possible </w:t>
      </w:r>
      <w:r>
        <w:t xml:space="preserve">to </w:t>
      </w:r>
      <w:r w:rsidRPr="00F82F11">
        <w:t xml:space="preserve">date more </w:t>
      </w:r>
      <w:r>
        <w:t>precisely</w:t>
      </w:r>
      <w:r w:rsidRPr="00F82F11">
        <w:t xml:space="preserve"> a larnax</w:t>
      </w:r>
      <w:r>
        <w:t>, which is</w:t>
      </w:r>
      <w:r w:rsidRPr="008B17F7">
        <w:t xml:space="preserve"> usually the case </w:t>
      </w:r>
      <w:r>
        <w:t>when</w:t>
      </w:r>
      <w:r w:rsidRPr="008B17F7">
        <w:t xml:space="preserve"> </w:t>
      </w:r>
      <w:r>
        <w:t>the tomb and the larnax have not</w:t>
      </w:r>
      <w:r w:rsidRPr="008B17F7">
        <w:t xml:space="preserve"> been used for a large number of burials (</w:t>
      </w:r>
      <w:r>
        <w:t>e.g.</w:t>
      </w:r>
      <w:r w:rsidRPr="008B17F7">
        <w:t xml:space="preserve"> some tombs at Mochlos, Soles et al. 2008: </w:t>
      </w:r>
      <w:r>
        <w:t>T</w:t>
      </w:r>
      <w:r w:rsidRPr="008B17F7">
        <w:t>able 1).</w:t>
      </w:r>
      <w:r>
        <w:t xml:space="preserve"> </w:t>
      </w:r>
      <w:r w:rsidRPr="003B5C8D">
        <w:t xml:space="preserve">Furthermore, dating the larnax itself </w:t>
      </w:r>
      <w:r>
        <w:t>based on</w:t>
      </w:r>
      <w:r w:rsidRPr="003B5C8D">
        <w:t xml:space="preserve"> its decoration (Morgan 1987: 171) and on its morphological characteristic</w:t>
      </w:r>
      <w:r>
        <w:t xml:space="preserve">s (Tsipopoulou and </w:t>
      </w:r>
      <w:r w:rsidRPr="003B5C8D">
        <w:t xml:space="preserve">Vagnetti 1999: 128-129 ft.4), or even dating the burial context </w:t>
      </w:r>
      <w:r>
        <w:t>based on</w:t>
      </w:r>
      <w:r w:rsidRPr="003B5C8D">
        <w:t xml:space="preserve"> the larnax chronology </w:t>
      </w:r>
      <w:r>
        <w:t>are</w:t>
      </w:r>
      <w:r w:rsidRPr="003B5C8D">
        <w:t xml:space="preserve"> not considered fully reliable mechanism</w:t>
      </w:r>
      <w:r>
        <w:t>s</w:t>
      </w:r>
      <w:r w:rsidRPr="003B5C8D">
        <w:t xml:space="preserve"> for the scope of this study (Kanta 1980: 293; Preston 2000:</w:t>
      </w:r>
      <w:r>
        <w:t xml:space="preserve"> </w:t>
      </w:r>
      <w:r w:rsidRPr="003B5C8D">
        <w:t>136</w:t>
      </w:r>
      <w:r>
        <w:t>)</w:t>
      </w:r>
      <w:r w:rsidRPr="003B5C8D">
        <w:t>.</w:t>
      </w:r>
    </w:p>
    <w:p w14:paraId="6C47F93E" w14:textId="659E32E0" w:rsidR="008940B3" w:rsidRDefault="008940B3" w:rsidP="00AD5BCB">
      <w:r>
        <w:tab/>
      </w:r>
      <w:r w:rsidRPr="003B5C8D">
        <w:t xml:space="preserve">Consequently, in the present </w:t>
      </w:r>
      <w:r>
        <w:t>study,</w:t>
      </w:r>
      <w:r w:rsidRPr="003B5C8D">
        <w:t xml:space="preserve"> a relative chronology is attributed to the tomb and not to the larnax itself</w:t>
      </w:r>
      <w:r>
        <w:t>,</w:t>
      </w:r>
      <w:r w:rsidRPr="003B5C8D">
        <w:t xml:space="preserve"> according to what is specified in the excavation reports and publications </w:t>
      </w:r>
      <w:r>
        <w:t>and based on the</w:t>
      </w:r>
      <w:r w:rsidRPr="003B5C8D">
        <w:t xml:space="preserve"> stylistic/typological dating of </w:t>
      </w:r>
      <w:r>
        <w:t>pottery</w:t>
      </w:r>
      <w:r w:rsidRPr="003B5C8D">
        <w:t xml:space="preserve"> vessels within the assemblage (Löwe 199</w:t>
      </w:r>
      <w:r>
        <w:t>6</w:t>
      </w:r>
      <w:r w:rsidRPr="003B5C8D">
        <w:t>; Preston 2000; D’Agata 2015: 81).</w:t>
      </w:r>
    </w:p>
    <w:p w14:paraId="2031B52A" w14:textId="77777777" w:rsidR="008940B3" w:rsidRPr="003B5C8D" w:rsidRDefault="008940B3" w:rsidP="00AD5BCB">
      <w:r>
        <w:tab/>
      </w:r>
      <w:r w:rsidRPr="003B5C8D">
        <w:t xml:space="preserve">The chronological span considered in the present </w:t>
      </w:r>
      <w:r>
        <w:t>study</w:t>
      </w:r>
      <w:r w:rsidRPr="003B5C8D">
        <w:t xml:space="preserve"> is</w:t>
      </w:r>
      <w:r>
        <w:t>,</w:t>
      </w:r>
      <w:r w:rsidRPr="003B5C8D">
        <w:t xml:space="preserve"> in general</w:t>
      </w:r>
      <w:r>
        <w:t>,</w:t>
      </w:r>
      <w:r w:rsidRPr="003B5C8D">
        <w:t xml:space="preserve"> the LM III period as a whole, which correspond</w:t>
      </w:r>
      <w:r>
        <w:t>s</w:t>
      </w:r>
      <w:r w:rsidRPr="003B5C8D">
        <w:t xml:space="preserve"> to </w:t>
      </w:r>
      <w:r>
        <w:t>the period</w:t>
      </w:r>
      <w:r w:rsidRPr="003B5C8D">
        <w:t xml:space="preserve"> in which larnax burials are </w:t>
      </w:r>
      <w:r w:rsidRPr="003B5C8D">
        <w:rPr>
          <w:i/>
          <w:iCs/>
        </w:rPr>
        <w:t>securely</w:t>
      </w:r>
      <w:r w:rsidRPr="003B5C8D">
        <w:t xml:space="preserve"> attested in the Late Minoan phase. In fact, </w:t>
      </w:r>
      <w:r>
        <w:t>regarding</w:t>
      </w:r>
      <w:r w:rsidRPr="003B5C8D">
        <w:t xml:space="preserve"> the LM II period</w:t>
      </w:r>
      <w:r>
        <w:t>,</w:t>
      </w:r>
      <w:r w:rsidRPr="003B5C8D">
        <w:t xml:space="preserve"> very few burials with larnakes are documented</w:t>
      </w:r>
      <w:r>
        <w:t>,</w:t>
      </w:r>
      <w:r w:rsidRPr="003B5C8D">
        <w:t xml:space="preserve"> and none of them can be attributed securely to the LM II phase (</w:t>
      </w:r>
      <w:r>
        <w:t xml:space="preserve">Preston 2000: Appendix G; a total of four mortuary sites: Malia Pervolia, Kastelli Pediada, Palaikastro Petsofa; Knossos east of Temple Tomb). </w:t>
      </w:r>
      <w:r w:rsidRPr="003B5C8D">
        <w:t xml:space="preserve">However, </w:t>
      </w:r>
      <w:r>
        <w:t>regarding these</w:t>
      </w:r>
      <w:r w:rsidRPr="003B5C8D">
        <w:t xml:space="preserve"> data</w:t>
      </w:r>
      <w:r>
        <w:t>,</w:t>
      </w:r>
      <w:r w:rsidRPr="003B5C8D">
        <w:t xml:space="preserve"> it must be add</w:t>
      </w:r>
      <w:r>
        <w:t>ed</w:t>
      </w:r>
      <w:r w:rsidRPr="003B5C8D">
        <w:t xml:space="preserve"> that </w:t>
      </w:r>
      <w:r>
        <w:t xml:space="preserve">the </w:t>
      </w:r>
      <w:r w:rsidRPr="003B5C8D">
        <w:t xml:space="preserve">LM II </w:t>
      </w:r>
      <w:r>
        <w:t>pottery</w:t>
      </w:r>
      <w:r w:rsidRPr="003B5C8D">
        <w:t xml:space="preserve"> phase is difficult to recogni</w:t>
      </w:r>
      <w:r>
        <w:t>s</w:t>
      </w:r>
      <w:r w:rsidRPr="003B5C8D">
        <w:t>e in burials beyond Knossos, where</w:t>
      </w:r>
      <w:r>
        <w:t>,</w:t>
      </w:r>
      <w:r w:rsidRPr="003B5C8D">
        <w:t xml:space="preserve"> </w:t>
      </w:r>
      <w:r>
        <w:t>as yet,</w:t>
      </w:r>
      <w:r w:rsidRPr="003B5C8D">
        <w:t xml:space="preserve"> larnax burial</w:t>
      </w:r>
      <w:r>
        <w:t>s</w:t>
      </w:r>
      <w:r w:rsidRPr="003B5C8D">
        <w:t xml:space="preserve"> possibly dated to</w:t>
      </w:r>
      <w:r>
        <w:t xml:space="preserve"> </w:t>
      </w:r>
      <w:r w:rsidRPr="003B5C8D">
        <w:t>LM II are very few and have</w:t>
      </w:r>
      <w:r>
        <w:t xml:space="preserve"> not</w:t>
      </w:r>
      <w:r w:rsidRPr="003B5C8D">
        <w:t xml:space="preserve"> been uncovered</w:t>
      </w:r>
      <w:r>
        <w:t xml:space="preserve"> in</w:t>
      </w:r>
      <w:r w:rsidRPr="003B5C8D">
        <w:t xml:space="preserve"> any burial securely dated to the LM II (Preston 2004: 182).</w:t>
      </w:r>
    </w:p>
    <w:p w14:paraId="2DFFC6A1" w14:textId="77777777" w:rsidR="008940B3" w:rsidRPr="003B5C8D" w:rsidRDefault="008940B3" w:rsidP="00AD5BCB">
      <w:r>
        <w:tab/>
      </w:r>
      <w:r w:rsidRPr="003B5C8D">
        <w:t>Moving to the securely dated tombs</w:t>
      </w:r>
      <w:r>
        <w:t>, for a significant percentage (41%),</w:t>
      </w:r>
      <w:r w:rsidRPr="003B5C8D">
        <w:t xml:space="preserve"> it is possible to assign only a broad chronology corresponding to LM III. </w:t>
      </w:r>
      <w:r>
        <w:t>W</w:t>
      </w:r>
      <w:r w:rsidRPr="003B5C8D">
        <w:t>ithin these burials can be distinguished</w:t>
      </w:r>
      <w:r>
        <w:t xml:space="preserve"> the following</w:t>
      </w:r>
      <w:r w:rsidRPr="003B5C8D">
        <w:t>:</w:t>
      </w:r>
    </w:p>
    <w:p w14:paraId="4873D512" w14:textId="77777777" w:rsidR="008940B3" w:rsidRPr="00AD5BCB" w:rsidRDefault="008940B3" w:rsidP="00E858EF">
      <w:pPr>
        <w:numPr>
          <w:ilvl w:val="1"/>
          <w:numId w:val="11"/>
        </w:numPr>
        <w:tabs>
          <w:tab w:val="left" w:pos="720"/>
          <w:tab w:val="left" w:pos="108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1080" w:hanging="1080"/>
        <w:contextualSpacing w:val="0"/>
        <w:rPr>
          <w:color w:val="000000"/>
          <w:szCs w:val="22"/>
        </w:rPr>
      </w:pPr>
      <w:r w:rsidRPr="00AD5BCB">
        <w:rPr>
          <w:color w:val="000000"/>
          <w:szCs w:val="22"/>
        </w:rPr>
        <w:lastRenderedPageBreak/>
        <w:t>Tombs for which a generic LM III date is provided in the publication reports</w:t>
      </w:r>
    </w:p>
    <w:p w14:paraId="1EC1F16D" w14:textId="0112AB19" w:rsidR="008940B3" w:rsidRPr="00AD5BCB" w:rsidRDefault="008940B3" w:rsidP="00E858EF">
      <w:pPr>
        <w:numPr>
          <w:ilvl w:val="1"/>
          <w:numId w:val="11"/>
        </w:numPr>
        <w:tabs>
          <w:tab w:val="left" w:pos="709"/>
          <w:tab w:val="left" w:pos="851"/>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709" w:hanging="709"/>
        <w:contextualSpacing w:val="0"/>
        <w:rPr>
          <w:color w:val="000000"/>
          <w:szCs w:val="22"/>
        </w:rPr>
      </w:pPr>
      <w:r w:rsidRPr="00AD5BCB">
        <w:rPr>
          <w:color w:val="000000"/>
          <w:szCs w:val="22"/>
        </w:rPr>
        <w:t>Tombs that were reused during a later period, and for this reason the LM III phase has been deeply disturbed (e.g. North cemetery at Knossos, in which the LM III burials have been deeply disturbed due to the reuse of the cemetery during the Geometric/Archaic period (Coldstream</w:t>
      </w:r>
      <w:r w:rsidR="003C17EF">
        <w:rPr>
          <w:color w:val="000000"/>
          <w:szCs w:val="22"/>
        </w:rPr>
        <w:t xml:space="preserve"> and</w:t>
      </w:r>
      <w:r w:rsidRPr="00AD5BCB">
        <w:rPr>
          <w:color w:val="000000"/>
          <w:szCs w:val="22"/>
        </w:rPr>
        <w:t xml:space="preserve"> Catling et al. 1996)</w:t>
      </w:r>
    </w:p>
    <w:p w14:paraId="1157ACEE" w14:textId="77777777" w:rsidR="008940B3" w:rsidRPr="00AD5BC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AD5BCB">
        <w:rPr>
          <w:color w:val="000000"/>
          <w:szCs w:val="22"/>
        </w:rPr>
        <w:t>For the remaining burials, it has been possible to indicate one or more phase of use. The chronology of these tombs is discussed in detail in the specific section the data analysis of each region.</w:t>
      </w:r>
    </w:p>
    <w:p w14:paraId="6B91E121" w14:textId="77777777" w:rsidR="008940B3" w:rsidRPr="00EB5638" w:rsidRDefault="008940B3" w:rsidP="00E858EF">
      <w:pPr>
        <w:pStyle w:val="Titolo2"/>
        <w:keepNext w:val="0"/>
        <w:keepLines w:val="0"/>
        <w:suppressAutoHyphens/>
      </w:pPr>
      <w:bookmarkStart w:id="65" w:name="_Toc389131118"/>
      <w:bookmarkStart w:id="66" w:name="_Toc517876437"/>
      <w:bookmarkStart w:id="67" w:name="_Toc519894605"/>
      <w:r>
        <w:t>Far-West</w:t>
      </w:r>
      <w:r w:rsidRPr="00EB5638">
        <w:t xml:space="preserve"> area</w:t>
      </w:r>
      <w:bookmarkEnd w:id="65"/>
      <w:bookmarkEnd w:id="66"/>
      <w:bookmarkEnd w:id="67"/>
    </w:p>
    <w:p w14:paraId="56769171" w14:textId="68B64588" w:rsidR="008940B3" w:rsidRPr="003B5C8D" w:rsidRDefault="008940B3" w:rsidP="00AD5BCB">
      <w:r w:rsidRPr="00EB5638">
        <w:rPr>
          <w:bCs/>
        </w:rPr>
        <w:t>The</w:t>
      </w:r>
      <w:r w:rsidRPr="003B5C8D">
        <w:rPr>
          <w:b/>
          <w:bCs/>
        </w:rPr>
        <w:t xml:space="preserve"> </w:t>
      </w:r>
      <w:r>
        <w:rPr>
          <w:b/>
          <w:bCs/>
        </w:rPr>
        <w:t>Far-West</w:t>
      </w:r>
      <w:r w:rsidRPr="003B5C8D">
        <w:rPr>
          <w:b/>
          <w:bCs/>
        </w:rPr>
        <w:t xml:space="preserve"> </w:t>
      </w:r>
      <w:r w:rsidRPr="003B5C8D">
        <w:t xml:space="preserve">includes the area </w:t>
      </w:r>
      <w:r>
        <w:t xml:space="preserve">from the west coast to the area </w:t>
      </w:r>
      <w:r w:rsidRPr="003B5C8D">
        <w:t xml:space="preserve">east of the Lefka Ori Mountains and Cape Drapanon. </w:t>
      </w:r>
      <w:r>
        <w:t>In addition to</w:t>
      </w:r>
      <w:r w:rsidRPr="003B5C8D">
        <w:t xml:space="preserve"> the geographical boundaries</w:t>
      </w:r>
      <w:r>
        <w:t>,</w:t>
      </w:r>
      <w:r w:rsidRPr="003B5C8D">
        <w:t xml:space="preserve"> the distinction between </w:t>
      </w:r>
      <w:r>
        <w:t>Far-West</w:t>
      </w:r>
      <w:r w:rsidRPr="003B5C8D">
        <w:t xml:space="preserve"> and </w:t>
      </w:r>
      <w:r>
        <w:t>W</w:t>
      </w:r>
      <w:r w:rsidRPr="003B5C8D">
        <w:t xml:space="preserve">est is visible also if we </w:t>
      </w:r>
      <w:r>
        <w:t>examine</w:t>
      </w:r>
      <w:r w:rsidRPr="003B5C8D">
        <w:t xml:space="preserve"> the dis</w:t>
      </w:r>
      <w:r>
        <w:t>tribution of the sites, with a</w:t>
      </w:r>
      <w:r w:rsidRPr="003B5C8D">
        <w:t xml:space="preserve"> visible gap between the two areas.</w:t>
      </w:r>
    </w:p>
    <w:p w14:paraId="1DB68FF8" w14:textId="77777777" w:rsidR="008940B3" w:rsidRPr="003B5C8D" w:rsidRDefault="008940B3" w:rsidP="00AD5BCB">
      <w:pPr>
        <w:rPr>
          <w:b/>
          <w:bCs/>
        </w:rPr>
      </w:pPr>
      <w:r>
        <w:tab/>
        <w:t>The only tomb in which a larnax burial has been found</w:t>
      </w:r>
      <w:r w:rsidRPr="003B5C8D">
        <w:t xml:space="preserve"> </w:t>
      </w:r>
      <w:r>
        <w:t xml:space="preserve">in this area </w:t>
      </w:r>
      <w:r w:rsidRPr="003B5C8D">
        <w:t xml:space="preserve">is </w:t>
      </w:r>
      <w:r>
        <w:t xml:space="preserve">at Chania Koumpes. However, regarding the Far-West region, </w:t>
      </w:r>
      <w:r w:rsidRPr="003B5C8D">
        <w:t>it is important to underline that</w:t>
      </w:r>
      <w:r>
        <w:t>,</w:t>
      </w:r>
      <w:r w:rsidRPr="003B5C8D">
        <w:t xml:space="preserve"> </w:t>
      </w:r>
      <w:r>
        <w:t>as yet</w:t>
      </w:r>
      <w:r w:rsidRPr="003B5C8D">
        <w:t xml:space="preserve">, </w:t>
      </w:r>
      <w:r>
        <w:t xml:space="preserve">few </w:t>
      </w:r>
      <w:r w:rsidRPr="003B5C8D">
        <w:t xml:space="preserve">settlements and burials </w:t>
      </w:r>
      <w:r>
        <w:t>have been discovered. This is due, on the one hand, to geographical/landscape reasons (the presence of the White Mountains in this region is a geographical limit for the establishment of settlements and burials: see Papadopoulou 2017: 131); on the other hand, there has been</w:t>
      </w:r>
      <w:r w:rsidRPr="003B5C8D">
        <w:t xml:space="preserve"> a lack of archaeological investigation (Pres</w:t>
      </w:r>
      <w:r>
        <w:t>ton 2000; 2004). Burial</w:t>
      </w:r>
      <w:r w:rsidRPr="003B5C8D">
        <w:t xml:space="preserve"> site</w:t>
      </w:r>
      <w:r>
        <w:t>s in this region are almost all concentrated i</w:t>
      </w:r>
      <w:r w:rsidRPr="003B5C8D">
        <w:t>n the north (</w:t>
      </w:r>
      <w:r>
        <w:t xml:space="preserve">Papadopoulou 2017: Fig. 1; </w:t>
      </w:r>
      <w:r w:rsidRPr="003B5C8D">
        <w:t>Preston 2000: 168)</w:t>
      </w:r>
      <w:r>
        <w:t>,</w:t>
      </w:r>
      <w:r w:rsidRPr="003B5C8D">
        <w:t xml:space="preserve"> and a good representative sample of tombs is </w:t>
      </w:r>
      <w:r>
        <w:t xml:space="preserve">available only for </w:t>
      </w:r>
      <w:r w:rsidRPr="003B5C8D">
        <w:t>Chania</w:t>
      </w:r>
      <w:r>
        <w:t>, which is the largest cemetery in the area (Andreadaki-Vlasaki 1997; 2011).</w:t>
      </w:r>
    </w:p>
    <w:p w14:paraId="7FBDD07E" w14:textId="77777777" w:rsidR="008940B3" w:rsidRPr="002C0F09" w:rsidRDefault="008940B3" w:rsidP="00E858EF">
      <w:pPr>
        <w:pStyle w:val="Titolo3"/>
        <w:keepNext w:val="0"/>
        <w:keepLines w:val="0"/>
        <w:suppressAutoHyphens/>
      </w:pPr>
      <w:bookmarkStart w:id="68" w:name="_Toc389131119"/>
      <w:bookmarkStart w:id="69" w:name="_Toc517876438"/>
      <w:bookmarkStart w:id="70" w:name="_Toc519894606"/>
      <w:r w:rsidRPr="002C0F09">
        <w:t>Burial locations and cemeteries</w:t>
      </w:r>
      <w:bookmarkEnd w:id="68"/>
      <w:bookmarkEnd w:id="69"/>
      <w:bookmarkEnd w:id="70"/>
    </w:p>
    <w:p w14:paraId="2FF462D7" w14:textId="77777777" w:rsidR="008940B3" w:rsidRPr="00E11429" w:rsidRDefault="008940B3" w:rsidP="00E858EF">
      <w:pPr>
        <w:pStyle w:val="Titolo4"/>
        <w:keepNext w:val="0"/>
        <w:keepLines w:val="0"/>
        <w:suppressAutoHyphens/>
        <w:ind w:left="864" w:hanging="864"/>
        <w:contextualSpacing w:val="0"/>
      </w:pPr>
      <w:bookmarkStart w:id="71" w:name="_Toc389131120"/>
      <w:bookmarkStart w:id="72" w:name="_Toc517876439"/>
      <w:r w:rsidRPr="00E11429">
        <w:t>Wh</w:t>
      </w:r>
      <w:r>
        <w:t>at is the proportion of cemeteries with larnakes to</w:t>
      </w:r>
      <w:r w:rsidRPr="00E11429">
        <w:t xml:space="preserve"> cemeteries without larnakes?</w:t>
      </w:r>
      <w:bookmarkEnd w:id="71"/>
      <w:bookmarkEnd w:id="72"/>
    </w:p>
    <w:p w14:paraId="4D80AFB1" w14:textId="77777777" w:rsidR="008940B3" w:rsidRDefault="008940B3" w:rsidP="00AD5BCB">
      <w:r w:rsidRPr="003B5C8D">
        <w:t xml:space="preserve">Clay larnax use is attested securely for 4% of the total number of </w:t>
      </w:r>
      <w:r>
        <w:t xml:space="preserve">secure </w:t>
      </w:r>
      <w:r w:rsidRPr="003B5C8D">
        <w:t>burial locations in use during LM III</w:t>
      </w:r>
      <w:r>
        <w:t>, the vast majority of which are concentrated in Chania (79%, 22 burial locations: for possible burial locations in the Far-West area, see Preston 2000).</w:t>
      </w:r>
    </w:p>
    <w:p w14:paraId="5CE0EE1E" w14:textId="77777777" w:rsidR="008940B3" w:rsidRPr="00AD5BCB" w:rsidRDefault="008940B3" w:rsidP="00AD5BCB">
      <w:r>
        <w:tab/>
        <w:t xml:space="preserve">In addition to the Chania cemetery (Andreadaki-Vlasaki 2011: 112-122; Andreadaki-Vlasaki 1997; for a short summary of Chania cemetery, see Langohr 2009: </w:t>
      </w:r>
      <w:r>
        <w:lastRenderedPageBreak/>
        <w:t>1</w:t>
      </w:r>
      <w:r w:rsidRPr="00AD5BCB">
        <w:t>61-162; 164-166) there are six other cemeteries in the area:</w:t>
      </w:r>
    </w:p>
    <w:p w14:paraId="1A5C204E" w14:textId="77777777" w:rsidR="007F3B63" w:rsidRPr="00AD5BCB"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0"/>
        <w:rPr>
          <w:color w:val="000000"/>
        </w:rPr>
      </w:pPr>
      <w:r w:rsidRPr="00AD5BCB">
        <w:rPr>
          <w:b/>
          <w:color w:val="000000"/>
        </w:rPr>
        <w:t>Deliana</w:t>
      </w:r>
      <w:r w:rsidRPr="00AD5BCB">
        <w:rPr>
          <w:color w:val="000000"/>
        </w:rPr>
        <w:t xml:space="preserve"> (Papapostolos 1975: 515; Kanta 1980: 240; Löwe 1996: 314 n.1134); </w:t>
      </w:r>
    </w:p>
    <w:p w14:paraId="29DCBB26" w14:textId="77777777" w:rsidR="007F3B63" w:rsidRPr="00AD5BCB"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0"/>
        <w:rPr>
          <w:color w:val="000000"/>
        </w:rPr>
      </w:pPr>
      <w:r w:rsidRPr="00AD5BCB">
        <w:rPr>
          <w:b/>
          <w:color w:val="000000"/>
        </w:rPr>
        <w:t>Kalami</w:t>
      </w:r>
      <w:r w:rsidRPr="00AD5BCB">
        <w:rPr>
          <w:color w:val="000000"/>
        </w:rPr>
        <w:t xml:space="preserve"> (Tzedakis 1970: 468, Table 410; Kanta 1980: 238; Godart and Tzedakis 1992: 51; Löwe 1996: 315 nn.1138-1142; Langohr 2009:172); </w:t>
      </w:r>
    </w:p>
    <w:p w14:paraId="05FC9601" w14:textId="77777777" w:rsidR="007F3B63" w:rsidRPr="00AD5BCB"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0"/>
        <w:rPr>
          <w:color w:val="000000"/>
        </w:rPr>
      </w:pPr>
      <w:r w:rsidRPr="00AD5BCB">
        <w:rPr>
          <w:b/>
          <w:color w:val="000000"/>
        </w:rPr>
        <w:t>Maleme</w:t>
      </w:r>
      <w:r w:rsidRPr="00AD5BCB">
        <w:rPr>
          <w:color w:val="000000"/>
        </w:rPr>
        <w:t xml:space="preserve"> (Davaras 1966; Kanta 1980:229; Godart and Tzedakis 1992: 57; Löwe 1996: 316 n.1144; Galanakis 2011: 593-598; Langohr 2009: 172); </w:t>
      </w:r>
    </w:p>
    <w:p w14:paraId="6E1AF06A" w14:textId="77777777" w:rsidR="007F3B63" w:rsidRPr="00AD5BCB"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0"/>
        <w:rPr>
          <w:color w:val="000000"/>
        </w:rPr>
      </w:pPr>
      <w:r w:rsidRPr="00AD5BCB">
        <w:rPr>
          <w:b/>
          <w:color w:val="000000"/>
        </w:rPr>
        <w:t>Melidoni</w:t>
      </w:r>
      <w:r w:rsidRPr="00AD5BCB">
        <w:rPr>
          <w:color w:val="000000"/>
        </w:rPr>
        <w:t xml:space="preserve"> (</w:t>
      </w:r>
      <w:r w:rsidRPr="00AD5BCB">
        <w:rPr>
          <w:i/>
          <w:color w:val="000000"/>
        </w:rPr>
        <w:t>ADelt</w:t>
      </w:r>
      <w:r w:rsidRPr="00AD5BCB">
        <w:rPr>
          <w:color w:val="000000"/>
        </w:rPr>
        <w:t xml:space="preserve"> 17 1961: 299; Mavriyannaki 1967/8: 168, Kanta 1980: 237; Löwe 1996: 318 n. 1,152); </w:t>
      </w:r>
    </w:p>
    <w:p w14:paraId="228EB8A1" w14:textId="77777777" w:rsidR="007F3B63" w:rsidRPr="00AD5BCB"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0"/>
        <w:rPr>
          <w:color w:val="000000"/>
        </w:rPr>
      </w:pPr>
      <w:r w:rsidRPr="00AD5BCB">
        <w:rPr>
          <w:b/>
          <w:color w:val="000000"/>
        </w:rPr>
        <w:t>Souda</w:t>
      </w:r>
      <w:r w:rsidRPr="00AD5BCB">
        <w:rPr>
          <w:color w:val="000000"/>
        </w:rPr>
        <w:t xml:space="preserve"> (Kanta 1980: 236; Godart and Tzedakis 1992: 59; Löwe 1996: 322 n. 1,170; Langohr 2009: 171-172); and </w:t>
      </w:r>
    </w:p>
    <w:p w14:paraId="373B0F5C" w14:textId="77777777" w:rsidR="007F3B63" w:rsidRPr="00AD5BCB"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0"/>
        <w:rPr>
          <w:color w:val="000000"/>
        </w:rPr>
      </w:pPr>
      <w:r w:rsidRPr="00AD5BCB">
        <w:rPr>
          <w:b/>
          <w:color w:val="000000"/>
        </w:rPr>
        <w:t>Stylos</w:t>
      </w:r>
      <w:r w:rsidRPr="00AD5BCB">
        <w:rPr>
          <w:color w:val="000000"/>
        </w:rPr>
        <w:t xml:space="preserve"> (</w:t>
      </w:r>
      <w:r w:rsidRPr="00AD5BCB">
        <w:rPr>
          <w:i/>
          <w:color w:val="000000"/>
        </w:rPr>
        <w:t>ADelt</w:t>
      </w:r>
      <w:r w:rsidRPr="00AD5BCB">
        <w:rPr>
          <w:color w:val="000000"/>
        </w:rPr>
        <w:t xml:space="preserve"> 17 1961-1962: 293; </w:t>
      </w:r>
      <w:r w:rsidRPr="00AD5BCB">
        <w:rPr>
          <w:i/>
          <w:color w:val="000000"/>
        </w:rPr>
        <w:t>ADelt</w:t>
      </w:r>
      <w:r w:rsidRPr="00AD5BCB">
        <w:rPr>
          <w:color w:val="000000"/>
        </w:rPr>
        <w:t xml:space="preserve"> 26 1971: 517-519; Davaras 1971: 42-44; Kanta 1980: 235; Godart and Tzedakis 1992: 60; Löwe 1996: 323 n. 1173; Langohr 2009: 170-171). </w:t>
      </w:r>
    </w:p>
    <w:p w14:paraId="3C1BE66A" w14:textId="584DAEE3" w:rsidR="008940B3" w:rsidRPr="00AD5BCB"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0"/>
      </w:pPr>
      <w:r w:rsidRPr="00AD5BCB">
        <w:rPr>
          <w:color w:val="000000"/>
        </w:rPr>
        <w:t xml:space="preserve">In </w:t>
      </w:r>
      <w:r w:rsidRPr="00AD5BCB">
        <w:t>Papadopoulou 2017: 132 Fig. 1, other cemeteries are added, but these cannot be considered secure.</w:t>
      </w:r>
    </w:p>
    <w:p w14:paraId="15635178" w14:textId="77777777" w:rsidR="008940B3" w:rsidRPr="00AD5BC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30"/>
        </w:tabs>
        <w:suppressAutoHyphens/>
        <w:autoSpaceDE w:val="0"/>
        <w:autoSpaceDN w:val="0"/>
        <w:adjustRightInd w:val="0"/>
        <w:rPr>
          <w:color w:val="000000"/>
        </w:rPr>
      </w:pPr>
      <w:r w:rsidRPr="00AD5BCB">
        <w:rPr>
          <w:color w:val="000000"/>
        </w:rPr>
        <w:tab/>
        <w:t xml:space="preserve">Regarding tomb types registered in these cemeteries, chamber tombs are the most common (Andredaki Vlasaki 2011: 112-113; Preston 2000: appendices I, A). Other attested types are pit-caves, pits (various burial locations within Chania), corbel-vaulted (Maleme, Stylos) and cave/rock shelters (Melidoni). Information about the burial interments used is not available for all tombs, although floor depositions are the most common burial method in the area. The other deposition methods registered are deposition on benches or on a bed of stones or sand, pithos burials (only one so far at Melidoni, see Alexiou 1963: 299) and wooden biers/receptacles (one burial in a wooden coffin was found at Chania near Olympia cinema: </w:t>
      </w:r>
      <w:r w:rsidRPr="00AD5BCB">
        <w:rPr>
          <w:i/>
          <w:color w:val="000000"/>
        </w:rPr>
        <w:t>ADelt</w:t>
      </w:r>
      <w:r w:rsidRPr="00AD5BCB">
        <w:rPr>
          <w:color w:val="000000"/>
        </w:rPr>
        <w:t xml:space="preserve"> 42 1987: 556-557) and a wooden bier burial is reported in the tomb found in Robithakis plot at Chania (</w:t>
      </w:r>
      <w:r w:rsidRPr="00AD5BCB">
        <w:rPr>
          <w:i/>
          <w:color w:val="000000"/>
        </w:rPr>
        <w:t>AR</w:t>
      </w:r>
      <w:r w:rsidRPr="00AD5BCB">
        <w:rPr>
          <w:color w:val="000000"/>
        </w:rPr>
        <w:t xml:space="preserve"> 1999-2000: 148). Regarding information about burial container use in Far-West Crete: see Preston 2004b: 189; for detailed information about burial interments for this area, see L</w:t>
      </w:r>
      <w:r w:rsidRPr="00AD5BCB">
        <w:rPr>
          <w:color w:val="000000"/>
          <w:lang w:val="de-DE"/>
        </w:rPr>
        <w:t>ö</w:t>
      </w:r>
      <w:r w:rsidRPr="00AD5BCB">
        <w:rPr>
          <w:color w:val="000000"/>
        </w:rPr>
        <w:t>we 1996 and Preston 2000.</w:t>
      </w:r>
    </w:p>
    <w:p w14:paraId="1E391DB8" w14:textId="77777777" w:rsidR="008940B3" w:rsidRPr="00AD5BC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30"/>
        </w:tabs>
        <w:suppressAutoHyphens/>
        <w:autoSpaceDE w:val="0"/>
        <w:autoSpaceDN w:val="0"/>
        <w:adjustRightInd w:val="0"/>
        <w:rPr>
          <w:color w:val="000000"/>
        </w:rPr>
      </w:pPr>
    </w:p>
    <w:p w14:paraId="1035ED5E"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sidRPr="003B5C8D">
        <w:rPr>
          <w:color w:val="000000"/>
          <w:sz w:val="22"/>
          <w:szCs w:val="22"/>
        </w:rPr>
        <w:lastRenderedPageBreak/>
        <w:t xml:space="preserve"> </w:t>
      </w:r>
      <w:r w:rsidRPr="003B5C8D">
        <w:rPr>
          <w:noProof/>
          <w:sz w:val="22"/>
          <w:szCs w:val="22"/>
          <w:lang w:val="it-IT"/>
        </w:rPr>
        <w:drawing>
          <wp:inline distT="0" distB="0" distL="0" distR="0" wp14:anchorId="4E671DC2" wp14:editId="16EED8FB">
            <wp:extent cx="4680000" cy="2520000"/>
            <wp:effectExtent l="0" t="0" r="6350" b="13970"/>
            <wp:docPr id="29" name="Gra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FDFFA99" w14:textId="37B393C3" w:rsidR="008940B3" w:rsidRDefault="008940B3" w:rsidP="00E858EF">
      <w:pPr>
        <w:pStyle w:val="Didascalia"/>
        <w:suppressAutoHyphens/>
      </w:pPr>
      <w:bookmarkStart w:id="73" w:name="_Toc520212281"/>
      <w:r>
        <w:t>Figure 3-1. LM III burial locations in the Far-West area</w:t>
      </w:r>
      <w:bookmarkEnd w:id="73"/>
    </w:p>
    <w:p w14:paraId="7F387781" w14:textId="77777777" w:rsidR="00AD5BCB" w:rsidRPr="00AD5BCB" w:rsidRDefault="00AD5BCB" w:rsidP="00AD5BCB"/>
    <w:p w14:paraId="4E9DBC69"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color w:val="000000"/>
          <w:sz w:val="22"/>
          <w:szCs w:val="22"/>
          <w:lang w:val="it-IT"/>
        </w:rPr>
        <w:drawing>
          <wp:inline distT="0" distB="0" distL="0" distR="0" wp14:anchorId="03532644" wp14:editId="27EFC224">
            <wp:extent cx="5397500" cy="3816350"/>
            <wp:effectExtent l="0" t="0" r="12700" b="0"/>
            <wp:docPr id="22" name="Immagine 2" descr="Macintosh HD:Users:angela:Desktop:180716_1_F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ela:Desktop:180716_1_FW.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7500" cy="3816350"/>
                    </a:xfrm>
                    <a:prstGeom prst="rect">
                      <a:avLst/>
                    </a:prstGeom>
                    <a:noFill/>
                    <a:ln>
                      <a:noFill/>
                    </a:ln>
                  </pic:spPr>
                </pic:pic>
              </a:graphicData>
            </a:graphic>
          </wp:inline>
        </w:drawing>
      </w:r>
    </w:p>
    <w:p w14:paraId="1451F9AA" w14:textId="29482F6E" w:rsidR="008940B3" w:rsidRPr="005C16F5" w:rsidRDefault="008940B3" w:rsidP="00E858EF">
      <w:pPr>
        <w:pStyle w:val="Didascalia"/>
        <w:suppressAutoHyphens/>
      </w:pPr>
      <w:bookmarkStart w:id="74" w:name="_Toc520212282"/>
      <w:r>
        <w:t>F</w:t>
      </w:r>
      <w:r w:rsidRPr="00895FF7">
        <w:t xml:space="preserve">igure 3-2. </w:t>
      </w:r>
      <w:r>
        <w:t>D</w:t>
      </w:r>
      <w:r w:rsidRPr="005C16F5">
        <w:t>istribution</w:t>
      </w:r>
      <w:r>
        <w:t xml:space="preserve"> of </w:t>
      </w:r>
      <w:r w:rsidRPr="00895FF7">
        <w:t xml:space="preserve"> </w:t>
      </w:r>
      <w:r>
        <w:t>LMIII b</w:t>
      </w:r>
      <w:r w:rsidRPr="005C16F5">
        <w:t>urial locations</w:t>
      </w:r>
      <w:r w:rsidR="00976437">
        <w:t>,</w:t>
      </w:r>
      <w:r w:rsidRPr="005C16F5">
        <w:t xml:space="preserve"> </w:t>
      </w:r>
      <w:r>
        <w:t>Far-West</w:t>
      </w:r>
      <w:r w:rsidRPr="00895FF7">
        <w:t xml:space="preserve"> Area</w:t>
      </w:r>
      <w:r>
        <w:t xml:space="preserve"> (Source: Author)</w:t>
      </w:r>
      <w:bookmarkEnd w:id="74"/>
    </w:p>
    <w:p w14:paraId="27E3A95B" w14:textId="77777777" w:rsidR="008940B3" w:rsidRDefault="008940B3" w:rsidP="00E858EF">
      <w:pPr>
        <w:pStyle w:val="Didascalia"/>
        <w:suppressAutoHyphens/>
      </w:pPr>
    </w:p>
    <w:p w14:paraId="593A8598" w14:textId="5150528C" w:rsidR="008940B3" w:rsidRPr="003B5C8D" w:rsidRDefault="008940B3" w:rsidP="00E858EF">
      <w:pPr>
        <w:pStyle w:val="Testofumetto"/>
        <w:suppressAutoHyphens/>
      </w:pPr>
      <w:bookmarkStart w:id="75" w:name="_Toc520212490"/>
      <w:r>
        <w:t>Table 3-1. LM III burial locations</w:t>
      </w:r>
      <w:r w:rsidR="00976437">
        <w:t>,</w:t>
      </w:r>
      <w:r>
        <w:t xml:space="preserve"> Far-West area</w:t>
      </w:r>
      <w:r w:rsidR="00976437">
        <w:t>,</w:t>
      </w:r>
      <w:r>
        <w:t xml:space="preserve"> in detail</w:t>
      </w:r>
      <w:bookmarkEnd w:id="75"/>
    </w:p>
    <w:tbl>
      <w:tblPr>
        <w:tblW w:w="0" w:type="auto"/>
        <w:tblInd w:w="60" w:type="dxa"/>
        <w:tblCellMar>
          <w:left w:w="0" w:type="dxa"/>
          <w:right w:w="0" w:type="dxa"/>
        </w:tblCellMar>
        <w:tblLook w:val="04A0" w:firstRow="1" w:lastRow="0" w:firstColumn="1" w:lastColumn="0" w:noHBand="0" w:noVBand="1"/>
      </w:tblPr>
      <w:tblGrid>
        <w:gridCol w:w="3969"/>
        <w:gridCol w:w="3101"/>
      </w:tblGrid>
      <w:tr w:rsidR="008940B3" w:rsidRPr="00B26CC7" w14:paraId="54F80AAA" w14:textId="77777777" w:rsidTr="00B26CC7">
        <w:trPr>
          <w:trHeight w:val="195"/>
        </w:trPr>
        <w:tc>
          <w:tcPr>
            <w:tcW w:w="39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5240A09" w14:textId="77777777" w:rsidR="008940B3" w:rsidRPr="00B26CC7" w:rsidRDefault="008940B3" w:rsidP="00E858EF">
            <w:pPr>
              <w:suppressAutoHyphens/>
              <w:rPr>
                <w:sz w:val="20"/>
                <w:szCs w:val="16"/>
              </w:rPr>
            </w:pPr>
            <w:r w:rsidRPr="00B26CC7">
              <w:rPr>
                <w:color w:val="000000"/>
                <w:sz w:val="20"/>
                <w:szCs w:val="16"/>
              </w:rPr>
              <w:t>Secure burial locations with larnax interment</w:t>
            </w:r>
          </w:p>
        </w:tc>
        <w:tc>
          <w:tcPr>
            <w:tcW w:w="310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2A1D1BD" w14:textId="77777777" w:rsidR="008940B3" w:rsidRPr="00B26CC7" w:rsidRDefault="008940B3" w:rsidP="00E858EF">
            <w:pPr>
              <w:suppressAutoHyphens/>
              <w:jc w:val="center"/>
              <w:rPr>
                <w:sz w:val="20"/>
                <w:szCs w:val="16"/>
              </w:rPr>
            </w:pPr>
            <w:r w:rsidRPr="00B26CC7">
              <w:rPr>
                <w:sz w:val="20"/>
                <w:szCs w:val="16"/>
              </w:rPr>
              <w:t>1</w:t>
            </w:r>
          </w:p>
        </w:tc>
      </w:tr>
      <w:tr w:rsidR="008940B3" w:rsidRPr="00B26CC7" w14:paraId="4A6BB2F4" w14:textId="77777777" w:rsidTr="00B26CC7">
        <w:trPr>
          <w:trHeight w:val="195"/>
        </w:trPr>
        <w:tc>
          <w:tcPr>
            <w:tcW w:w="3969"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ABDEEC7" w14:textId="77777777" w:rsidR="008940B3" w:rsidRPr="00B26CC7" w:rsidRDefault="008940B3" w:rsidP="00E858EF">
            <w:pPr>
              <w:suppressAutoHyphens/>
              <w:rPr>
                <w:sz w:val="20"/>
                <w:szCs w:val="16"/>
              </w:rPr>
            </w:pPr>
            <w:r w:rsidRPr="00B26CC7">
              <w:rPr>
                <w:color w:val="000000"/>
                <w:sz w:val="20"/>
                <w:szCs w:val="16"/>
              </w:rPr>
              <w:t>Possible burial locations with larnax interment</w:t>
            </w:r>
          </w:p>
        </w:tc>
        <w:tc>
          <w:tcPr>
            <w:tcW w:w="3101"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737E2C05" w14:textId="77777777" w:rsidR="008940B3" w:rsidRPr="00B26CC7" w:rsidRDefault="008940B3" w:rsidP="00E858EF">
            <w:pPr>
              <w:suppressAutoHyphens/>
              <w:jc w:val="center"/>
              <w:rPr>
                <w:sz w:val="20"/>
                <w:szCs w:val="16"/>
              </w:rPr>
            </w:pPr>
            <w:r w:rsidRPr="00B26CC7">
              <w:rPr>
                <w:color w:val="000000"/>
                <w:sz w:val="20"/>
                <w:szCs w:val="16"/>
              </w:rPr>
              <w:t>0</w:t>
            </w:r>
          </w:p>
        </w:tc>
      </w:tr>
      <w:tr w:rsidR="008940B3" w:rsidRPr="00B26CC7" w14:paraId="76C5BAF1" w14:textId="77777777" w:rsidTr="00B26CC7">
        <w:trPr>
          <w:trHeight w:val="195"/>
        </w:trPr>
        <w:tc>
          <w:tcPr>
            <w:tcW w:w="39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0BD0D4A" w14:textId="77777777" w:rsidR="008940B3" w:rsidRPr="00B26CC7" w:rsidRDefault="008940B3" w:rsidP="00E858EF">
            <w:pPr>
              <w:suppressAutoHyphens/>
              <w:rPr>
                <w:sz w:val="20"/>
                <w:szCs w:val="16"/>
              </w:rPr>
            </w:pPr>
            <w:r w:rsidRPr="00B26CC7">
              <w:rPr>
                <w:color w:val="000000"/>
                <w:sz w:val="20"/>
                <w:szCs w:val="16"/>
              </w:rPr>
              <w:t>Burial locations without larnakes</w:t>
            </w:r>
          </w:p>
        </w:tc>
        <w:tc>
          <w:tcPr>
            <w:tcW w:w="310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FB390C6" w14:textId="77777777" w:rsidR="008940B3" w:rsidRPr="00B26CC7" w:rsidRDefault="008940B3" w:rsidP="00E858EF">
            <w:pPr>
              <w:suppressAutoHyphens/>
              <w:jc w:val="center"/>
              <w:rPr>
                <w:sz w:val="20"/>
                <w:szCs w:val="16"/>
              </w:rPr>
            </w:pPr>
            <w:r w:rsidRPr="00B26CC7">
              <w:rPr>
                <w:color w:val="000000"/>
                <w:sz w:val="20"/>
                <w:szCs w:val="16"/>
              </w:rPr>
              <w:t>27</w:t>
            </w:r>
          </w:p>
        </w:tc>
      </w:tr>
    </w:tbl>
    <w:p w14:paraId="1AA1A68A" w14:textId="77777777" w:rsidR="008940B3"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2"/>
          <w:szCs w:val="22"/>
        </w:rPr>
      </w:pPr>
    </w:p>
    <w:p w14:paraId="467EC0B1" w14:textId="77777777" w:rsidR="008940B3" w:rsidRPr="00F808D9" w:rsidRDefault="008940B3" w:rsidP="00E858EF">
      <w:pPr>
        <w:pStyle w:val="Titolo4"/>
        <w:keepNext w:val="0"/>
        <w:keepLines w:val="0"/>
        <w:suppressAutoHyphens/>
        <w:ind w:left="864" w:hanging="864"/>
        <w:contextualSpacing w:val="0"/>
      </w:pPr>
      <w:bookmarkStart w:id="76" w:name="_Toc389131121"/>
      <w:bookmarkStart w:id="77" w:name="_Toc517876440"/>
      <w:r w:rsidRPr="007B0A15">
        <w:lastRenderedPageBreak/>
        <w:t xml:space="preserve">A single </w:t>
      </w:r>
      <w:r>
        <w:t xml:space="preserve">piece of </w:t>
      </w:r>
      <w:r w:rsidRPr="007B0A15">
        <w:t>evidence of a tomb with larnax</w:t>
      </w:r>
      <w:bookmarkEnd w:id="76"/>
      <w:bookmarkEnd w:id="77"/>
    </w:p>
    <w:p w14:paraId="07B327DC" w14:textId="77777777" w:rsidR="008940B3" w:rsidRDefault="008940B3" w:rsidP="00AD5BCB">
      <w:r>
        <w:t>The only larnax burial reported in this region was found in a</w:t>
      </w:r>
      <w:r w:rsidRPr="003B5C8D">
        <w:t xml:space="preserve"> </w:t>
      </w:r>
      <w:r>
        <w:t>chamber tomb at Chania Koumpes</w:t>
      </w:r>
      <w:r w:rsidRPr="003B5C8D">
        <w:t xml:space="preserve"> (</w:t>
      </w:r>
      <w:r w:rsidRPr="00F67B1F">
        <w:rPr>
          <w:i/>
        </w:rPr>
        <w:t>ADelt</w:t>
      </w:r>
      <w:r>
        <w:t xml:space="preserve"> 38 1983: 360; </w:t>
      </w:r>
      <w:r w:rsidRPr="003B5C8D">
        <w:t xml:space="preserve">Godart </w:t>
      </w:r>
      <w:r>
        <w:t xml:space="preserve">and </w:t>
      </w:r>
      <w:r w:rsidRPr="003B5C8D">
        <w:t>Tzedakis 1992: 55; Andreadaki-Vlasaki 1997: 487-509</w:t>
      </w:r>
      <w:r>
        <w:t>, 496; Langohr 2009, 165 n.400)</w:t>
      </w:r>
      <w:r w:rsidRPr="003B5C8D">
        <w:t>.</w:t>
      </w:r>
      <w:r>
        <w:t xml:space="preserve"> </w:t>
      </w:r>
      <w:r w:rsidRPr="00BA2072">
        <w:t xml:space="preserve">This tomb is part of the large LM cemetery </w:t>
      </w:r>
      <w:r w:rsidRPr="000F64A7">
        <w:t>at Chania, where</w:t>
      </w:r>
      <w:r w:rsidRPr="00425D82">
        <w:t>, so far</w:t>
      </w:r>
      <w:r w:rsidRPr="00ED5014">
        <w:t>, more than 150 tombs have been excavated distributed betwe</w:t>
      </w:r>
      <w:r w:rsidRPr="00D73073">
        <w:t>en the southeast and south</w:t>
      </w:r>
      <w:r>
        <w:t>ern</w:t>
      </w:r>
      <w:r w:rsidRPr="00D73073">
        <w:t xml:space="preserve"> area of the city. Rock-cut chamber tombs with long dromos with pits or niches are the most common tomb type in</w:t>
      </w:r>
      <w:r>
        <w:t xml:space="preserve"> the</w:t>
      </w:r>
      <w:r w:rsidRPr="00BA2072">
        <w:t xml:space="preserve"> Chania cemetery (Andreadaki</w:t>
      </w:r>
      <w:r w:rsidRPr="000F64A7">
        <w:t>-Vlasaki 2011: 112). However</w:t>
      </w:r>
      <w:r w:rsidRPr="00425D82">
        <w:t xml:space="preserve">, </w:t>
      </w:r>
      <w:r w:rsidRPr="00ED5014">
        <w:t>pit-caves and pit</w:t>
      </w:r>
      <w:r w:rsidRPr="00D73073">
        <w:t xml:space="preserve">s have </w:t>
      </w:r>
      <w:r>
        <w:t xml:space="preserve">also </w:t>
      </w:r>
      <w:r w:rsidRPr="00D73073">
        <w:t xml:space="preserve">been found (Preston 2000 </w:t>
      </w:r>
      <w:r>
        <w:t>a</w:t>
      </w:r>
      <w:r w:rsidRPr="000F64A7">
        <w:t>ppendi</w:t>
      </w:r>
      <w:r>
        <w:t>ces</w:t>
      </w:r>
      <w:r w:rsidRPr="000F64A7">
        <w:t xml:space="preserve"> I</w:t>
      </w:r>
      <w:r>
        <w:t>, A; L</w:t>
      </w:r>
      <w:r>
        <w:rPr>
          <w:lang w:val="de-DE"/>
        </w:rPr>
        <w:t>ö</w:t>
      </w:r>
      <w:r>
        <w:t>we 1996</w:t>
      </w:r>
      <w:r w:rsidRPr="00BA2072">
        <w:t xml:space="preserve">; Langohr 2009: 164-166). Floor burials </w:t>
      </w:r>
      <w:r w:rsidRPr="000F64A7">
        <w:t>are the most common deposition met</w:t>
      </w:r>
      <w:r w:rsidRPr="00425D82">
        <w:t xml:space="preserve">hod adopted in the </w:t>
      </w:r>
      <w:r w:rsidRPr="00ED5014">
        <w:t>Chania cemetery.</w:t>
      </w:r>
    </w:p>
    <w:p w14:paraId="7F0CE96D" w14:textId="77777777" w:rsidR="008940B3" w:rsidRPr="00B33E53" w:rsidRDefault="008940B3" w:rsidP="00AD5BCB">
      <w:r>
        <w:rPr>
          <w:sz w:val="22"/>
          <w:szCs w:val="22"/>
        </w:rPr>
        <w:tab/>
      </w:r>
      <w:r w:rsidRPr="00B33E53">
        <w:t xml:space="preserve">The chamber of the tomb at Koumpes occupies a surface of 3.2 </w:t>
      </w:r>
      <w:r>
        <w:t>sq.m.</w:t>
      </w:r>
      <w:r w:rsidRPr="00B33E53">
        <w:t xml:space="preserve"> and has a dromos 2.3 m long. The tomb can be classified as a small chamber tomb (&lt;6 </w:t>
      </w:r>
      <w:r>
        <w:t>sq.m.</w:t>
      </w:r>
      <w:r w:rsidRPr="00B33E53">
        <w:t>). It had two phases of use. The first phase corresponds to LM IIIA, with a deposition on the floor accompanied by an amphoriskos (LM IIIA in date). The larnax burial corresponds to the second phase, dated to LM IIIB (</w:t>
      </w:r>
      <w:r w:rsidRPr="00133B30">
        <w:rPr>
          <w:i/>
        </w:rPr>
        <w:t>ADelt</w:t>
      </w:r>
      <w:r w:rsidRPr="00B33E53">
        <w:t xml:space="preserve"> 38 1983: 360; Godart </w:t>
      </w:r>
      <w:r>
        <w:t xml:space="preserve">and </w:t>
      </w:r>
      <w:r w:rsidRPr="00B33E53">
        <w:t>Tzedakis 1992: 55; Langohr 2009, 165 n. 400). To make room for this second burial, the skeleton on the floor was moved to the east side of the chamber. According to the information available from the published record, the chronology of the tomb corresponds to LM IIIA-B.</w:t>
      </w:r>
    </w:p>
    <w:p w14:paraId="2D63F7E1" w14:textId="0F478EC6" w:rsidR="008940B3" w:rsidRPr="00680532" w:rsidRDefault="008940B3" w:rsidP="00E858EF">
      <w:pPr>
        <w:pStyle w:val="Titolo3"/>
        <w:keepNext w:val="0"/>
        <w:keepLines w:val="0"/>
        <w:suppressAutoHyphens/>
      </w:pPr>
      <w:bookmarkStart w:id="78" w:name="_Toc389131122"/>
      <w:bookmarkStart w:id="79" w:name="_Toc517876441"/>
      <w:bookmarkStart w:id="80" w:name="_Toc519894607"/>
      <w:r w:rsidRPr="00680532">
        <w:t>Conclusion</w:t>
      </w:r>
      <w:r w:rsidR="00211B35">
        <w:t>s</w:t>
      </w:r>
      <w:r w:rsidR="00E858EF">
        <w:t>,</w:t>
      </w:r>
      <w:r w:rsidRPr="00680532">
        <w:t xml:space="preserve"> </w:t>
      </w:r>
      <w:r>
        <w:t>Far-West</w:t>
      </w:r>
      <w:r w:rsidRPr="00680532">
        <w:t xml:space="preserve"> area</w:t>
      </w:r>
      <w:bookmarkEnd w:id="78"/>
      <w:bookmarkEnd w:id="79"/>
      <w:bookmarkEnd w:id="80"/>
    </w:p>
    <w:p w14:paraId="6F294130" w14:textId="77777777" w:rsidR="008940B3" w:rsidRPr="00B33E53" w:rsidRDefault="008940B3" w:rsidP="00AD5BCB">
      <w:r w:rsidRPr="00B33E53">
        <w:t xml:space="preserve">The </w:t>
      </w:r>
      <w:r>
        <w:t>Far-West</w:t>
      </w:r>
      <w:r w:rsidRPr="00B33E53">
        <w:t xml:space="preserve"> area has an almost complete lack of clay larnax use. As previously noted by Preston, these data cannot be interpreted because of a limited knowledge of burial and settlement sites in the </w:t>
      </w:r>
      <w:r>
        <w:t>Far-West</w:t>
      </w:r>
      <w:r w:rsidRPr="00B33E53">
        <w:t xml:space="preserve"> area. However, it is likely that lack of use was a conscious choice by people from the </w:t>
      </w:r>
      <w:r>
        <w:t>Far-West</w:t>
      </w:r>
      <w:r w:rsidRPr="00B33E53">
        <w:t xml:space="preserve"> region, and is not only limited to clay larnax burials, but generally applies to all the other types of coffin interments</w:t>
      </w:r>
      <w:r>
        <w:t xml:space="preserve"> (pithos and wooden chest/bier), since only two wooden coffins are known.</w:t>
      </w:r>
      <w:r w:rsidRPr="00B33E53">
        <w:t xml:space="preserve"> </w:t>
      </w:r>
    </w:p>
    <w:p w14:paraId="1CB6AF19" w14:textId="77777777" w:rsidR="008940B3" w:rsidRPr="00B33E53" w:rsidRDefault="008940B3" w:rsidP="00E858EF">
      <w:pPr>
        <w:pStyle w:val="Titolo2"/>
        <w:keepNext w:val="0"/>
        <w:keepLines w:val="0"/>
        <w:suppressAutoHyphens/>
      </w:pPr>
      <w:bookmarkStart w:id="81" w:name="_Toc389131123"/>
      <w:bookmarkStart w:id="82" w:name="_Toc517876442"/>
      <w:bookmarkStart w:id="83" w:name="_Toc519894608"/>
      <w:r>
        <w:t>Mid-West</w:t>
      </w:r>
      <w:r w:rsidRPr="00B33E53">
        <w:t xml:space="preserve"> area</w:t>
      </w:r>
      <w:bookmarkEnd w:id="81"/>
      <w:bookmarkEnd w:id="82"/>
      <w:bookmarkEnd w:id="83"/>
    </w:p>
    <w:p w14:paraId="276811D9" w14:textId="77777777" w:rsidR="008940B3" w:rsidRPr="003B5C8D" w:rsidRDefault="008940B3" w:rsidP="00AD5BCB">
      <w:r w:rsidRPr="00B33E53">
        <w:rPr>
          <w:bCs/>
        </w:rPr>
        <w:t>The</w:t>
      </w:r>
      <w:r w:rsidRPr="003B5C8D">
        <w:rPr>
          <w:b/>
          <w:bCs/>
        </w:rPr>
        <w:t xml:space="preserve"> </w:t>
      </w:r>
      <w:r>
        <w:rPr>
          <w:b/>
          <w:bCs/>
        </w:rPr>
        <w:t>Mid-West</w:t>
      </w:r>
      <w:r w:rsidRPr="003B5C8D">
        <w:rPr>
          <w:b/>
          <w:bCs/>
        </w:rPr>
        <w:t xml:space="preserve"> </w:t>
      </w:r>
      <w:r>
        <w:rPr>
          <w:b/>
          <w:bCs/>
        </w:rPr>
        <w:t>area</w:t>
      </w:r>
      <w:r w:rsidRPr="003B5C8D">
        <w:rPr>
          <w:b/>
          <w:bCs/>
        </w:rPr>
        <w:t xml:space="preserve"> </w:t>
      </w:r>
      <w:r>
        <w:t>is</w:t>
      </w:r>
      <w:r w:rsidRPr="003B5C8D">
        <w:t xml:space="preserve"> the area west of Psilor</w:t>
      </w:r>
      <w:r>
        <w:t xml:space="preserve">itis mountain and the plain of </w:t>
      </w:r>
      <w:r w:rsidRPr="003B5C8D">
        <w:t xml:space="preserve">Rethymno. The burial sites with larnakes are mostly clustered in the northern part, east of Rethymno, with few tombs </w:t>
      </w:r>
      <w:r>
        <w:t>towards the south, marking an axis</w:t>
      </w:r>
      <w:r w:rsidRPr="003B5C8D">
        <w:t xml:space="preserve"> of communication towards the Mesara area. In this region</w:t>
      </w:r>
      <w:r>
        <w:t>,</w:t>
      </w:r>
      <w:r w:rsidRPr="003B5C8D">
        <w:t xml:space="preserve"> </w:t>
      </w:r>
      <w:r>
        <w:t>the Armenoi</w:t>
      </w:r>
      <w:r w:rsidRPr="003B5C8D">
        <w:t xml:space="preserve"> cemetery </w:t>
      </w:r>
      <w:r>
        <w:t>is notable</w:t>
      </w:r>
      <w:r w:rsidRPr="003B5C8D">
        <w:t xml:space="preserve"> for i</w:t>
      </w:r>
      <w:r>
        <w:t>ts</w:t>
      </w:r>
      <w:r w:rsidRPr="003B5C8D">
        <w:t xml:space="preserve"> size</w:t>
      </w:r>
      <w:r>
        <w:t>,</w:t>
      </w:r>
      <w:r w:rsidRPr="003B5C8D">
        <w:t xml:space="preserve"> with 232 tombs so far excavated (Tzedakis </w:t>
      </w:r>
      <w:r>
        <w:t xml:space="preserve">and </w:t>
      </w:r>
      <w:r w:rsidRPr="003B5C8D">
        <w:t xml:space="preserve">Martlew 2012). </w:t>
      </w:r>
      <w:r>
        <w:t>I</w:t>
      </w:r>
      <w:r w:rsidRPr="003B5C8D">
        <w:t xml:space="preserve">t is the </w:t>
      </w:r>
      <w:r>
        <w:t>largest</w:t>
      </w:r>
      <w:r w:rsidRPr="003B5C8D">
        <w:t xml:space="preserve"> LM III </w:t>
      </w:r>
      <w:r w:rsidRPr="003B5C8D">
        <w:lastRenderedPageBreak/>
        <w:t>cemetery so far found</w:t>
      </w:r>
      <w:r>
        <w:t>,</w:t>
      </w:r>
      <w:r w:rsidRPr="003B5C8D">
        <w:t xml:space="preserve"> not only in the </w:t>
      </w:r>
      <w:r>
        <w:t>Mid-West</w:t>
      </w:r>
      <w:r w:rsidRPr="003B5C8D">
        <w:t xml:space="preserve"> area but in all</w:t>
      </w:r>
      <w:r>
        <w:t xml:space="preserve"> of</w:t>
      </w:r>
      <w:r w:rsidRPr="003B5C8D">
        <w:t xml:space="preserve"> Crete.</w:t>
      </w:r>
    </w:p>
    <w:p w14:paraId="5E817B69" w14:textId="77777777" w:rsidR="008940B3" w:rsidRPr="009E3E42" w:rsidRDefault="008940B3" w:rsidP="00E858EF">
      <w:pPr>
        <w:pStyle w:val="Titolo3"/>
        <w:keepNext w:val="0"/>
        <w:keepLines w:val="0"/>
        <w:suppressAutoHyphens/>
      </w:pPr>
      <w:bookmarkStart w:id="84" w:name="_Toc389131124"/>
      <w:bookmarkStart w:id="85" w:name="_Toc517876443"/>
      <w:bookmarkStart w:id="86" w:name="_Toc519894609"/>
      <w:r w:rsidRPr="00E55AD9">
        <w:t>Burial locations and cemeteries</w:t>
      </w:r>
      <w:bookmarkEnd w:id="84"/>
      <w:bookmarkEnd w:id="85"/>
      <w:bookmarkEnd w:id="86"/>
    </w:p>
    <w:p w14:paraId="28685339" w14:textId="77777777" w:rsidR="008940B3" w:rsidRDefault="008940B3" w:rsidP="00E858EF">
      <w:pPr>
        <w:pStyle w:val="Titolo4"/>
        <w:keepNext w:val="0"/>
        <w:keepLines w:val="0"/>
        <w:suppressAutoHyphens/>
        <w:ind w:left="864" w:hanging="864"/>
        <w:contextualSpacing w:val="0"/>
      </w:pPr>
      <w:bookmarkStart w:id="87" w:name="_Toc389131125"/>
      <w:bookmarkStart w:id="88" w:name="_Toc517876444"/>
      <w:r w:rsidRPr="009E3E42">
        <w:t>Wh</w:t>
      </w:r>
      <w:r>
        <w:t>at is the proportion of</w:t>
      </w:r>
      <w:r w:rsidRPr="009E3E42">
        <w:t xml:space="preserve"> cemeteries with larnakes and cemeteries without larnakes?</w:t>
      </w:r>
      <w:bookmarkEnd w:id="87"/>
      <w:bookmarkEnd w:id="88"/>
    </w:p>
    <w:p w14:paraId="454D70A6" w14:textId="77777777" w:rsidR="008940B3" w:rsidRPr="003B5C8D" w:rsidRDefault="008940B3" w:rsidP="00AD5BCB">
      <w:r w:rsidRPr="003B5C8D">
        <w:rPr>
          <w:color w:val="000000"/>
        </w:rPr>
        <w:t xml:space="preserve">Clay larnax use is attested securely for 74% of the total number of burial locations in use during LM III. </w:t>
      </w:r>
      <w:r w:rsidRPr="003B5C8D">
        <w:t>Secure burial locations</w:t>
      </w:r>
      <w:r>
        <w:t xml:space="preserve"> in which there are no larnax burials are only four. Among these are the corbel-</w:t>
      </w:r>
      <w:r w:rsidRPr="003B5C8D">
        <w:t xml:space="preserve">vaulted tomb </w:t>
      </w:r>
      <w:r>
        <w:t>at</w:t>
      </w:r>
      <w:r w:rsidRPr="003B5C8D">
        <w:t xml:space="preserve"> Phylaki (Tzedakis 1981; </w:t>
      </w:r>
      <w:r>
        <w:t>Galanakis 2011</w:t>
      </w:r>
      <w:r w:rsidRPr="003B5C8D">
        <w:t>: 599-600)</w:t>
      </w:r>
      <w:r>
        <w:t xml:space="preserve"> and the cemetery at Atsipades, dated to the LM IIIC/SM phase (Petroulakis 1915; Mavriyannaki 1975; Perna 2011: 147)</w:t>
      </w:r>
      <w:r w:rsidRPr="003B5C8D">
        <w:t>. In the burial sites considered</w:t>
      </w:r>
      <w:r>
        <w:t>, only</w:t>
      </w:r>
      <w:r w:rsidRPr="003B5C8D">
        <w:t xml:space="preserve"> possible traces of burials have been found and no secure information</w:t>
      </w:r>
      <w:r>
        <w:t xml:space="preserve"> is</w:t>
      </w:r>
      <w:r w:rsidRPr="003B5C8D">
        <w:t xml:space="preserve"> pr</w:t>
      </w:r>
      <w:r>
        <w:t>ovided about tombs and burials (Papadopoulou 2017: 132 Fig. 1 for all the burial sites in Far-West and Mid-West Crete).</w:t>
      </w:r>
    </w:p>
    <w:p w14:paraId="46E759F6"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3472FB0C"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sidRPr="003B5C8D">
        <w:rPr>
          <w:color w:val="000000"/>
          <w:sz w:val="22"/>
          <w:szCs w:val="22"/>
        </w:rPr>
        <w:t xml:space="preserve"> </w:t>
      </w:r>
      <w:r>
        <w:rPr>
          <w:noProof/>
          <w:lang w:val="it-IT"/>
        </w:rPr>
        <w:drawing>
          <wp:inline distT="0" distB="0" distL="0" distR="0" wp14:anchorId="33F7A4D7" wp14:editId="620DB85B">
            <wp:extent cx="4680000" cy="2520000"/>
            <wp:effectExtent l="0" t="0" r="6350" b="13970"/>
            <wp:docPr id="28" name="Gra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A15DC8B" w14:textId="77777777" w:rsidR="008940B3" w:rsidRDefault="008940B3" w:rsidP="00E858EF">
      <w:pPr>
        <w:pStyle w:val="Didascalia"/>
        <w:suppressAutoHyphens/>
      </w:pPr>
      <w:bookmarkStart w:id="89" w:name="_Toc520212283"/>
      <w:r w:rsidRPr="00E6098F">
        <w:t>Figure 3-3. LM III burial locations in the Mid-West area</w:t>
      </w:r>
      <w:bookmarkEnd w:id="89"/>
    </w:p>
    <w:p w14:paraId="73BA8A86"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color w:val="000000"/>
          <w:sz w:val="22"/>
          <w:szCs w:val="22"/>
          <w:lang w:val="it-IT"/>
        </w:rPr>
        <w:lastRenderedPageBreak/>
        <w:drawing>
          <wp:inline distT="0" distB="0" distL="0" distR="0" wp14:anchorId="26EAD9FD" wp14:editId="1AB97649">
            <wp:extent cx="5397500" cy="3816350"/>
            <wp:effectExtent l="0" t="0" r="12700" b="0"/>
            <wp:docPr id="3" name="Immagine 3" descr="Macintosh HD:Users:angela:Desktop:180716_2_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ela:Desktop:180716_2_MW.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7500" cy="3816350"/>
                    </a:xfrm>
                    <a:prstGeom prst="rect">
                      <a:avLst/>
                    </a:prstGeom>
                    <a:noFill/>
                    <a:ln>
                      <a:noFill/>
                    </a:ln>
                  </pic:spPr>
                </pic:pic>
              </a:graphicData>
            </a:graphic>
          </wp:inline>
        </w:drawing>
      </w:r>
    </w:p>
    <w:p w14:paraId="56612233" w14:textId="4FFB1F02" w:rsidR="008940B3" w:rsidRDefault="008940B3" w:rsidP="00E858EF">
      <w:pPr>
        <w:pStyle w:val="Didascalia"/>
        <w:suppressAutoHyphens/>
      </w:pPr>
      <w:bookmarkStart w:id="90" w:name="_Toc520212284"/>
      <w:r w:rsidRPr="005C16F5">
        <w:t>Figure 3-4.</w:t>
      </w:r>
      <w:r>
        <w:t xml:space="preserve"> Distribution of </w:t>
      </w:r>
      <w:r w:rsidRPr="00FF04E9">
        <w:t xml:space="preserve">LMIII </w:t>
      </w:r>
      <w:r>
        <w:t>burial locations</w:t>
      </w:r>
      <w:r w:rsidR="00AD5BCB">
        <w:t xml:space="preserve"> </w:t>
      </w:r>
      <w:r>
        <w:t>in the Mid-West a</w:t>
      </w:r>
      <w:r w:rsidRPr="00895FF7">
        <w:t>rea</w:t>
      </w:r>
      <w:r w:rsidRPr="00FF04E9">
        <w:t xml:space="preserve"> (Source: Author)</w:t>
      </w:r>
      <w:bookmarkEnd w:id="90"/>
    </w:p>
    <w:p w14:paraId="65E99B0C" w14:textId="77777777" w:rsidR="00E858EF" w:rsidRPr="00E858EF" w:rsidRDefault="00E858EF" w:rsidP="00E858EF"/>
    <w:p w14:paraId="6769F18A" w14:textId="3750D6DA" w:rsidR="008940B3" w:rsidRPr="003B5C8D" w:rsidRDefault="008940B3" w:rsidP="00E858EF">
      <w:pPr>
        <w:pStyle w:val="Testofumetto"/>
        <w:suppressAutoHyphens/>
      </w:pPr>
      <w:bookmarkStart w:id="91" w:name="_Toc520212491"/>
      <w:r>
        <w:t>Table 3-2. LM III burial locations</w:t>
      </w:r>
      <w:r w:rsidR="002C4287">
        <w:t>,</w:t>
      </w:r>
      <w:r>
        <w:t xml:space="preserve"> Mid-West</w:t>
      </w:r>
      <w:r w:rsidR="002C4287">
        <w:t>,</w:t>
      </w:r>
      <w:r>
        <w:t xml:space="preserve"> area in detail.</w:t>
      </w:r>
      <w:bookmarkEnd w:id="91"/>
    </w:p>
    <w:tbl>
      <w:tblPr>
        <w:tblW w:w="0" w:type="auto"/>
        <w:tblInd w:w="60" w:type="dxa"/>
        <w:tblCellMar>
          <w:left w:w="0" w:type="dxa"/>
          <w:right w:w="0" w:type="dxa"/>
        </w:tblCellMar>
        <w:tblLook w:val="04A0" w:firstRow="1" w:lastRow="0" w:firstColumn="1" w:lastColumn="0" w:noHBand="0" w:noVBand="1"/>
      </w:tblPr>
      <w:tblGrid>
        <w:gridCol w:w="4678"/>
        <w:gridCol w:w="3101"/>
      </w:tblGrid>
      <w:tr w:rsidR="008940B3" w:rsidRPr="00B26CC7" w14:paraId="1DEB2991" w14:textId="77777777" w:rsidTr="00AD5BCB">
        <w:trPr>
          <w:trHeight w:val="195"/>
        </w:trPr>
        <w:tc>
          <w:tcPr>
            <w:tcW w:w="467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664345D" w14:textId="77777777" w:rsidR="008940B3" w:rsidRPr="00B26CC7" w:rsidRDefault="008940B3" w:rsidP="00E858EF">
            <w:pPr>
              <w:suppressAutoHyphens/>
              <w:rPr>
                <w:sz w:val="20"/>
                <w:szCs w:val="16"/>
              </w:rPr>
            </w:pPr>
            <w:r w:rsidRPr="00B26CC7">
              <w:rPr>
                <w:color w:val="000000"/>
                <w:sz w:val="20"/>
                <w:szCs w:val="16"/>
              </w:rPr>
              <w:t>Burial locations with secure larnax interment</w:t>
            </w:r>
          </w:p>
        </w:tc>
        <w:tc>
          <w:tcPr>
            <w:tcW w:w="310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D39CFF1" w14:textId="77777777" w:rsidR="008940B3" w:rsidRPr="00B26CC7" w:rsidRDefault="008940B3" w:rsidP="00E858EF">
            <w:pPr>
              <w:suppressAutoHyphens/>
              <w:jc w:val="center"/>
              <w:rPr>
                <w:sz w:val="20"/>
                <w:szCs w:val="16"/>
              </w:rPr>
            </w:pPr>
            <w:r w:rsidRPr="00B26CC7">
              <w:rPr>
                <w:sz w:val="20"/>
                <w:szCs w:val="16"/>
              </w:rPr>
              <w:t>23</w:t>
            </w:r>
          </w:p>
        </w:tc>
      </w:tr>
      <w:tr w:rsidR="008940B3" w:rsidRPr="00B26CC7" w14:paraId="2107BD53" w14:textId="77777777" w:rsidTr="00AD5BCB">
        <w:trPr>
          <w:trHeight w:val="195"/>
        </w:trPr>
        <w:tc>
          <w:tcPr>
            <w:tcW w:w="467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61A6716C" w14:textId="77777777" w:rsidR="008940B3" w:rsidRPr="00B26CC7" w:rsidRDefault="008940B3" w:rsidP="00E858EF">
            <w:pPr>
              <w:suppressAutoHyphens/>
              <w:rPr>
                <w:sz w:val="20"/>
                <w:szCs w:val="16"/>
              </w:rPr>
            </w:pPr>
            <w:r w:rsidRPr="00B26CC7">
              <w:rPr>
                <w:color w:val="000000"/>
                <w:sz w:val="20"/>
                <w:szCs w:val="16"/>
              </w:rPr>
              <w:t>Burial locations with possible larnax interment</w:t>
            </w:r>
          </w:p>
        </w:tc>
        <w:tc>
          <w:tcPr>
            <w:tcW w:w="3101"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95A1C98" w14:textId="77777777" w:rsidR="008940B3" w:rsidRPr="00B26CC7" w:rsidRDefault="008940B3" w:rsidP="00E858EF">
            <w:pPr>
              <w:suppressAutoHyphens/>
              <w:jc w:val="center"/>
              <w:rPr>
                <w:sz w:val="20"/>
                <w:szCs w:val="16"/>
              </w:rPr>
            </w:pPr>
            <w:r w:rsidRPr="00B26CC7">
              <w:rPr>
                <w:color w:val="000000"/>
                <w:sz w:val="20"/>
                <w:szCs w:val="16"/>
              </w:rPr>
              <w:t>4</w:t>
            </w:r>
          </w:p>
        </w:tc>
      </w:tr>
      <w:tr w:rsidR="008940B3" w:rsidRPr="00B26CC7" w14:paraId="164B2A51" w14:textId="77777777" w:rsidTr="00AD5BCB">
        <w:trPr>
          <w:trHeight w:val="195"/>
        </w:trPr>
        <w:tc>
          <w:tcPr>
            <w:tcW w:w="467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0F6E548" w14:textId="77777777" w:rsidR="008940B3" w:rsidRPr="00B26CC7" w:rsidRDefault="008940B3" w:rsidP="00E858EF">
            <w:pPr>
              <w:suppressAutoHyphens/>
              <w:rPr>
                <w:sz w:val="20"/>
                <w:szCs w:val="16"/>
              </w:rPr>
            </w:pPr>
            <w:r w:rsidRPr="00B26CC7">
              <w:rPr>
                <w:color w:val="000000"/>
                <w:sz w:val="20"/>
                <w:szCs w:val="16"/>
              </w:rPr>
              <w:t>Burial locations without larnakes</w:t>
            </w:r>
          </w:p>
        </w:tc>
        <w:tc>
          <w:tcPr>
            <w:tcW w:w="310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AC6C39C" w14:textId="77777777" w:rsidR="008940B3" w:rsidRPr="00B26CC7" w:rsidRDefault="008940B3" w:rsidP="00E858EF">
            <w:pPr>
              <w:suppressAutoHyphens/>
              <w:jc w:val="center"/>
              <w:rPr>
                <w:sz w:val="20"/>
                <w:szCs w:val="16"/>
              </w:rPr>
            </w:pPr>
            <w:r w:rsidRPr="00B26CC7">
              <w:rPr>
                <w:color w:val="000000"/>
                <w:sz w:val="20"/>
                <w:szCs w:val="16"/>
              </w:rPr>
              <w:t>4</w:t>
            </w:r>
          </w:p>
        </w:tc>
      </w:tr>
    </w:tbl>
    <w:p w14:paraId="43BF5F30" w14:textId="77777777" w:rsidR="00E858EF" w:rsidRDefault="00E858EF"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777AED89" w14:textId="60099712" w:rsidR="008940B3" w:rsidRPr="00871024"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871024">
        <w:rPr>
          <w:color w:val="000000"/>
        </w:rPr>
        <w:t xml:space="preserve">Some burial locations can be grouped together as cemeteries: </w:t>
      </w:r>
    </w:p>
    <w:p w14:paraId="41F79E46" w14:textId="77777777" w:rsidR="008940B3" w:rsidRPr="00871024"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871024">
        <w:rPr>
          <w:color w:val="000000"/>
        </w:rPr>
        <w:t>Three burial locations around the village of Mesi can be considered one cemetery (Mesi Lismata, Mesi Nikitas or Mourniaki, Mesi Phoukianos: Mavriyannaki 1972; Kanta 1980: 215; Godart and Tzedakis 1992: 96; Langohr 2008: 152). Furthermore, there is another chamber tomb with two larnakes from the same area, for which the burial location is not secure (Kanta 1980: 215; Langohr 1972: 28, 47-55).</w:t>
      </w:r>
    </w:p>
    <w:p w14:paraId="537FC6DC" w14:textId="77777777" w:rsidR="008940B3" w:rsidRPr="00871024"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871024">
        <w:rPr>
          <w:color w:val="000000"/>
        </w:rPr>
        <w:t>Two burial sites located northwest of the village of Maroulas (Maroulas and Maroulas Mezaria: Godart and Tzedakis 1992: 95; Langohr 2009: 151-152; Papadopoulou 2017).</w:t>
      </w:r>
    </w:p>
    <w:p w14:paraId="67FCC12F" w14:textId="77777777" w:rsidR="008940B3" w:rsidRPr="00871024"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871024">
        <w:rPr>
          <w:color w:val="000000"/>
        </w:rPr>
        <w:t xml:space="preserve">Two burial sites around the village of Pankalochori (Pankalochori: Baxevani and Markoulaki 1996: 641-703, Pankalochori Agios Nikolaos: </w:t>
      </w:r>
      <w:r w:rsidRPr="00871024">
        <w:t xml:space="preserve">Hood et al. 1964: 66 </w:t>
      </w:r>
      <w:r w:rsidRPr="00871024">
        <w:lastRenderedPageBreak/>
        <w:t>[13]).</w:t>
      </w:r>
    </w:p>
    <w:p w14:paraId="668C0B0D" w14:textId="77777777" w:rsidR="008940B3" w:rsidRPr="00871024"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871024">
        <w:t xml:space="preserve">Several burial sites around the village of Pigi (Langohr 2009: 153), where chamber tombs continued to be found up until recently: </w:t>
      </w:r>
      <w:r w:rsidRPr="00871024">
        <w:rPr>
          <w:i/>
        </w:rPr>
        <w:t xml:space="preserve">ADelt </w:t>
      </w:r>
      <w:r w:rsidRPr="00871024">
        <w:t xml:space="preserve">56-59 2001-2004: 450-451; Epaminondas 2010: 476-89; </w:t>
      </w:r>
      <w:r w:rsidRPr="00871024">
        <w:rPr>
          <w:i/>
        </w:rPr>
        <w:t>AR</w:t>
      </w:r>
      <w:r w:rsidRPr="00871024">
        <w:t xml:space="preserve"> 2009-2010: 189, fig. 193; Papadopoulou 2017: 132 fig. 1).</w:t>
      </w:r>
    </w:p>
    <w:p w14:paraId="2590EFE7" w14:textId="77777777" w:rsidR="008940B3" w:rsidRPr="00871024"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rPr>
      </w:pPr>
      <w:r w:rsidRPr="00871024">
        <w:t>The total number of cemeteries with larnakes is 20.</w:t>
      </w:r>
    </w:p>
    <w:p w14:paraId="44504643" w14:textId="77777777" w:rsidR="008940B3" w:rsidRPr="00871024" w:rsidRDefault="008940B3" w:rsidP="00E858EF">
      <w:pPr>
        <w:pStyle w:val="Titolo4"/>
        <w:keepNext w:val="0"/>
        <w:keepLines w:val="0"/>
        <w:suppressAutoHyphens/>
        <w:ind w:left="864" w:hanging="864"/>
        <w:contextualSpacing w:val="0"/>
      </w:pPr>
      <w:bookmarkStart w:id="92" w:name="_Toc389131126"/>
      <w:bookmarkStart w:id="93" w:name="_Toc517876445"/>
      <w:r w:rsidRPr="00871024">
        <w:t>Are larnakes located in new built cemeteries or reused ones?</w:t>
      </w:r>
      <w:bookmarkEnd w:id="92"/>
      <w:bookmarkEnd w:id="93"/>
    </w:p>
    <w:p w14:paraId="56A44DE8" w14:textId="77777777" w:rsidR="008940B3" w:rsidRPr="00871024"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871024">
        <w:rPr>
          <w:color w:val="000000"/>
        </w:rPr>
        <w:t xml:space="preserve">Regarding the continuity and discontinuity of the use of pre-existing burial sites, all the cemeteries in the Mid-West area were built during LM III. </w:t>
      </w:r>
    </w:p>
    <w:p w14:paraId="784DA7C0" w14:textId="77777777" w:rsidR="008940B3" w:rsidRPr="00871024" w:rsidRDefault="008940B3" w:rsidP="00E858EF">
      <w:pPr>
        <w:pStyle w:val="Titolo4"/>
        <w:keepNext w:val="0"/>
        <w:keepLines w:val="0"/>
        <w:suppressAutoHyphens/>
        <w:ind w:left="864" w:hanging="864"/>
        <w:contextualSpacing w:val="0"/>
      </w:pPr>
      <w:bookmarkStart w:id="94" w:name="_Toc517876446"/>
      <w:bookmarkStart w:id="95" w:name="_Toc517876450"/>
      <w:bookmarkStart w:id="96" w:name="_Toc389131127"/>
      <w:bookmarkStart w:id="97" w:name="_Toc517876451"/>
      <w:bookmarkEnd w:id="94"/>
      <w:bookmarkEnd w:id="95"/>
      <w:r w:rsidRPr="00871024">
        <w:t>Where in the region are the cemeteries with larnax use?</w:t>
      </w:r>
      <w:bookmarkEnd w:id="96"/>
      <w:bookmarkEnd w:id="97"/>
    </w:p>
    <w:p w14:paraId="56297539" w14:textId="77777777" w:rsidR="008940B3" w:rsidRPr="00871024"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871024">
        <w:rPr>
          <w:color w:val="000000"/>
        </w:rPr>
        <w:t xml:space="preserve">Regarding spatial distribution, the vast majority of LM III burial locations with larnax burials are distributed in the north part of the region, with the only exceptions being the cemeteries of Apostoli and Voliones, which are located south towards the Central area of the region. </w:t>
      </w:r>
    </w:p>
    <w:p w14:paraId="0F82EAF2" w14:textId="77777777" w:rsidR="008940B3" w:rsidRPr="00871024" w:rsidRDefault="008940B3" w:rsidP="00E858EF">
      <w:pPr>
        <w:pStyle w:val="Titolo4"/>
        <w:keepNext w:val="0"/>
        <w:keepLines w:val="0"/>
        <w:suppressAutoHyphens/>
        <w:ind w:left="864" w:hanging="864"/>
        <w:contextualSpacing w:val="0"/>
      </w:pPr>
      <w:bookmarkStart w:id="98" w:name="_Toc389131128"/>
      <w:bookmarkStart w:id="99" w:name="_Toc517876452"/>
      <w:r w:rsidRPr="00871024">
        <w:t>Which are the largest cemeteries and the smallest in terms of tomb numbers?</w:t>
      </w:r>
      <w:bookmarkEnd w:id="98"/>
      <w:bookmarkEnd w:id="99"/>
    </w:p>
    <w:p w14:paraId="2C7BF439" w14:textId="77777777" w:rsidR="008940B3" w:rsidRPr="00871024"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871024">
        <w:rPr>
          <w:color w:val="000000"/>
        </w:rPr>
        <w:t>Regarding the space and number of tombs, the cemetery at Armenoi is notable for the number of tombs and size Armenoi accounts for 83% of the tombs found in the area (Preston 2000: 270). The other cemeteries with more than three tombs are as follows: Maroulas (15 tombs), Mesi (6 tombs) and Pigi (4 tombs). Most of the cemeteries in the area have one or two tombs. These data can be interpreted in two ways:</w:t>
      </w:r>
    </w:p>
    <w:p w14:paraId="2A54EBED" w14:textId="77777777" w:rsidR="008940B3" w:rsidRPr="00871024" w:rsidRDefault="008940B3" w:rsidP="00E858EF">
      <w:pPr>
        <w:pStyle w:val="Paragrafoelenco"/>
        <w:numPr>
          <w:ilvl w:val="0"/>
          <w:numId w:val="1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rPr>
          <w:color w:val="000000"/>
        </w:rPr>
      </w:pPr>
      <w:r w:rsidRPr="00871024">
        <w:rPr>
          <w:color w:val="000000"/>
        </w:rPr>
        <w:t>Small cemeteries with one or two tombs are probably larger, and these are the only tombs found so far (e.g. in the area of Arsani, another tomb with larnax burials was recently found, which is one of various tombs distributed in the area around Arsani monastery (Bennet 2012-2013:62). In another case, the large number of fragments of larnakes and pottery around the two tombs found at Magnesia suggest the likely existence of a third tomb that has been destroyed (</w:t>
      </w:r>
      <w:r w:rsidRPr="00871024">
        <w:rPr>
          <w:i/>
          <w:color w:val="000000"/>
        </w:rPr>
        <w:t>ADelt</w:t>
      </w:r>
      <w:r w:rsidRPr="00871024">
        <w:rPr>
          <w:color w:val="000000"/>
        </w:rPr>
        <w:t xml:space="preserve"> 56-59 2001-2004: 459). Finally, the large concentration of tombs in the geographical unity of Stavromenos-Pankalochori, to which belongs also the tomb at Sphakaki, indicates the existence of an extended cemetery (Epaminondas 2012: 410).</w:t>
      </w:r>
    </w:p>
    <w:p w14:paraId="16EBA5F0" w14:textId="77777777" w:rsidR="008940B3" w:rsidRPr="00871024" w:rsidRDefault="008940B3" w:rsidP="00E858EF">
      <w:pPr>
        <w:pStyle w:val="Paragrafoelenco"/>
        <w:numPr>
          <w:ilvl w:val="0"/>
          <w:numId w:val="1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871024">
        <w:rPr>
          <w:color w:val="000000"/>
        </w:rPr>
        <w:t xml:space="preserve"> This is a realistic reflection of the situation in the Mid-West area burial landscape </w:t>
      </w:r>
      <w:r w:rsidRPr="00871024">
        <w:rPr>
          <w:color w:val="000000"/>
        </w:rPr>
        <w:lastRenderedPageBreak/>
        <w:t>during LM III, characterised by small cemeteries distributed throughout the north coast area near small centres (Preston 2000: 170).</w:t>
      </w:r>
    </w:p>
    <w:p w14:paraId="69499C8F" w14:textId="77777777" w:rsidR="008940B3" w:rsidRPr="00871024"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480818E1"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r w:rsidRPr="006462E9">
        <w:rPr>
          <w:noProof/>
          <w:lang w:val="it-IT"/>
        </w:rPr>
        <w:drawing>
          <wp:inline distT="0" distB="0" distL="0" distR="0" wp14:anchorId="57FB8AE9" wp14:editId="6F7B9296">
            <wp:extent cx="5435600" cy="2752725"/>
            <wp:effectExtent l="0" t="0" r="12700" b="9525"/>
            <wp:docPr id="30" name="Gra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9AF3E09" w14:textId="334F3C5E" w:rsidR="008940B3" w:rsidRDefault="008940B3" w:rsidP="00E858EF">
      <w:pPr>
        <w:pStyle w:val="Didascalia"/>
        <w:suppressAutoHyphens/>
      </w:pPr>
      <w:bookmarkStart w:id="100" w:name="_Toc520212285"/>
      <w:r>
        <w:t xml:space="preserve">Figure 3-5. </w:t>
      </w:r>
      <w:r w:rsidRPr="005C16F5">
        <w:t xml:space="preserve">Number of tombs </w:t>
      </w:r>
      <w:r>
        <w:t>by</w:t>
      </w:r>
      <w:r w:rsidRPr="005C16F5">
        <w:t xml:space="preserve"> cemetery</w:t>
      </w:r>
      <w:r w:rsidR="002C4287">
        <w:t>,</w:t>
      </w:r>
      <w:r>
        <w:t xml:space="preserve"> Mid-West area</w:t>
      </w:r>
      <w:bookmarkEnd w:id="100"/>
    </w:p>
    <w:p w14:paraId="52EBD85A" w14:textId="77777777" w:rsidR="008940B3" w:rsidRPr="00D73073" w:rsidRDefault="008940B3" w:rsidP="00E858EF">
      <w:pPr>
        <w:suppressAutoHyphens/>
      </w:pPr>
    </w:p>
    <w:p w14:paraId="3CD7E2EA" w14:textId="77777777" w:rsidR="008940B3" w:rsidRPr="00DE579F" w:rsidRDefault="008940B3" w:rsidP="00E858EF">
      <w:pPr>
        <w:pStyle w:val="Titolo4"/>
        <w:keepNext w:val="0"/>
        <w:keepLines w:val="0"/>
        <w:suppressAutoHyphens/>
        <w:ind w:left="864" w:hanging="864"/>
        <w:contextualSpacing w:val="0"/>
      </w:pPr>
      <w:bookmarkStart w:id="101" w:name="_Toc389131129"/>
      <w:bookmarkStart w:id="102" w:name="_Toc517876453"/>
      <w:r w:rsidRPr="006462E9">
        <w:t>Wh</w:t>
      </w:r>
      <w:r>
        <w:t>ich are the tomb type</w:t>
      </w:r>
      <w:r w:rsidRPr="00DE579F">
        <w:t xml:space="preserve">s </w:t>
      </w:r>
      <w:r w:rsidRPr="006462E9">
        <w:t>in</w:t>
      </w:r>
      <w:r w:rsidRPr="00DE579F">
        <w:t xml:space="preserve"> the cemeter</w:t>
      </w:r>
      <w:r>
        <w:t>ies</w:t>
      </w:r>
      <w:r w:rsidRPr="00DE579F">
        <w:t xml:space="preserve"> with larnakes?</w:t>
      </w:r>
      <w:bookmarkEnd w:id="101"/>
      <w:bookmarkEnd w:id="102"/>
      <w:r w:rsidRPr="00DE579F">
        <w:t xml:space="preserve"> </w:t>
      </w:r>
    </w:p>
    <w:p w14:paraId="41290C44" w14:textId="77777777" w:rsidR="008940B3" w:rsidRDefault="008940B3" w:rsidP="00B26CC7">
      <w:r>
        <w:t>Regarding</w:t>
      </w:r>
      <w:r w:rsidRPr="003B5C8D">
        <w:t xml:space="preserve"> </w:t>
      </w:r>
      <w:r>
        <w:rPr>
          <w:b/>
        </w:rPr>
        <w:t>tomb types</w:t>
      </w:r>
      <w:r w:rsidRPr="003B5C8D">
        <w:rPr>
          <w:b/>
        </w:rPr>
        <w:t xml:space="preserve"> </w:t>
      </w:r>
      <w:r w:rsidRPr="003B5C8D">
        <w:t xml:space="preserve">adopted, the cemeteries </w:t>
      </w:r>
      <w:r>
        <w:t>display</w:t>
      </w:r>
      <w:r w:rsidRPr="003B5C8D">
        <w:t xml:space="preserve"> </w:t>
      </w:r>
      <w:r>
        <w:t xml:space="preserve">a general </w:t>
      </w:r>
      <w:r w:rsidRPr="003B5C8D">
        <w:t xml:space="preserve">homogeneity. Chamber </w:t>
      </w:r>
      <w:r>
        <w:t>tombs are the only tomb type</w:t>
      </w:r>
      <w:r w:rsidRPr="003B5C8D">
        <w:t xml:space="preserve"> exclusively adopted in 85% of cemeteries. The </w:t>
      </w:r>
      <w:r>
        <w:t>other two types that occur</w:t>
      </w:r>
      <w:r w:rsidRPr="003B5C8D">
        <w:t xml:space="preserve"> are corbel</w:t>
      </w:r>
      <w:r>
        <w:t>-vaulted tombs and larnax receptacle</w:t>
      </w:r>
      <w:r w:rsidRPr="003B5C8D">
        <w:t>.</w:t>
      </w:r>
    </w:p>
    <w:p w14:paraId="5EC85DB3"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7BF836E" w14:textId="77777777" w:rsidR="008940B3" w:rsidRDefault="008940B3" w:rsidP="00E858EF">
      <w:pPr>
        <w:suppressAutoHyphens/>
        <w:spacing w:line="240" w:lineRule="auto"/>
        <w:jc w:val="left"/>
        <w:rPr>
          <w:rFonts w:cs="Lucida Grande"/>
          <w:b/>
          <w:sz w:val="20"/>
          <w:szCs w:val="18"/>
        </w:rPr>
      </w:pPr>
      <w:r>
        <w:br w:type="page"/>
      </w:r>
    </w:p>
    <w:p w14:paraId="1921DFEA" w14:textId="4AF6F542" w:rsidR="008940B3" w:rsidRPr="003B5C8D" w:rsidRDefault="008940B3" w:rsidP="00B26CC7">
      <w:pPr>
        <w:pStyle w:val="Testofumetto"/>
      </w:pPr>
      <w:bookmarkStart w:id="103" w:name="_Toc520212492"/>
      <w:r>
        <w:lastRenderedPageBreak/>
        <w:t>Table 3-3 Tomb types per cemetery</w:t>
      </w:r>
      <w:r w:rsidR="002C4287">
        <w:t>,</w:t>
      </w:r>
      <w:r>
        <w:t xml:space="preserve"> Mid-West area</w:t>
      </w:r>
      <w:bookmarkEnd w:id="103"/>
    </w:p>
    <w:tbl>
      <w:tblPr>
        <w:tblW w:w="0" w:type="auto"/>
        <w:tblInd w:w="10" w:type="dxa"/>
        <w:tblCellMar>
          <w:left w:w="70" w:type="dxa"/>
          <w:right w:w="70" w:type="dxa"/>
        </w:tblCellMar>
        <w:tblLook w:val="04A0" w:firstRow="1" w:lastRow="0" w:firstColumn="1" w:lastColumn="0" w:noHBand="0" w:noVBand="1"/>
      </w:tblPr>
      <w:tblGrid>
        <w:gridCol w:w="2196"/>
        <w:gridCol w:w="1789"/>
        <w:gridCol w:w="1567"/>
        <w:gridCol w:w="1434"/>
      </w:tblGrid>
      <w:tr w:rsidR="008940B3" w:rsidRPr="003B5C8D" w14:paraId="674BC6E1" w14:textId="77777777" w:rsidTr="008940B3">
        <w:trPr>
          <w:trHeight w:val="792"/>
        </w:trPr>
        <w:tc>
          <w:tcPr>
            <w:tcW w:w="0" w:type="auto"/>
            <w:tcBorders>
              <w:top w:val="single" w:sz="6" w:space="0" w:color="000000"/>
              <w:left w:val="single" w:sz="6" w:space="0" w:color="000000"/>
              <w:bottom w:val="single" w:sz="6" w:space="0" w:color="000000"/>
              <w:right w:val="single" w:sz="6" w:space="0" w:color="000000"/>
            </w:tcBorders>
            <w:hideMark/>
          </w:tcPr>
          <w:p w14:paraId="4397DC63" w14:textId="77777777" w:rsidR="008940B3" w:rsidRPr="003B5C8D" w:rsidRDefault="008940B3" w:rsidP="00E858EF">
            <w:pPr>
              <w:suppressAutoHyphens/>
              <w:rPr>
                <w:sz w:val="16"/>
                <w:szCs w:val="16"/>
              </w:rPr>
            </w:pPr>
            <w:r w:rsidRPr="003B5C8D">
              <w:rPr>
                <w:color w:val="000000"/>
                <w:sz w:val="16"/>
                <w:szCs w:val="16"/>
              </w:rPr>
              <w:t>CEMETERIES</w:t>
            </w:r>
          </w:p>
        </w:tc>
        <w:tc>
          <w:tcPr>
            <w:tcW w:w="0" w:type="auto"/>
            <w:tcBorders>
              <w:top w:val="single" w:sz="6" w:space="0" w:color="000000"/>
              <w:left w:val="single" w:sz="6" w:space="0" w:color="000000"/>
              <w:bottom w:val="single" w:sz="6" w:space="0" w:color="000000"/>
              <w:right w:val="single" w:sz="6" w:space="0" w:color="000000"/>
            </w:tcBorders>
            <w:hideMark/>
          </w:tcPr>
          <w:p w14:paraId="33EEADA3" w14:textId="77777777" w:rsidR="008940B3" w:rsidRPr="003B5C8D" w:rsidRDefault="008940B3" w:rsidP="00E858EF">
            <w:pPr>
              <w:suppressAutoHyphens/>
              <w:jc w:val="center"/>
              <w:rPr>
                <w:sz w:val="16"/>
                <w:szCs w:val="16"/>
              </w:rPr>
            </w:pPr>
            <w:r>
              <w:rPr>
                <w:color w:val="000000"/>
                <w:sz w:val="16"/>
                <w:szCs w:val="16"/>
              </w:rPr>
              <w:t xml:space="preserve">RECEPTACLE </w:t>
            </w:r>
            <w:r w:rsidRPr="003B5C8D">
              <w:rPr>
                <w:color w:val="000000"/>
                <w:sz w:val="16"/>
                <w:szCs w:val="16"/>
              </w:rPr>
              <w:t>BURIAL</w:t>
            </w:r>
          </w:p>
        </w:tc>
        <w:tc>
          <w:tcPr>
            <w:tcW w:w="0" w:type="auto"/>
            <w:tcBorders>
              <w:top w:val="single" w:sz="6" w:space="0" w:color="000000"/>
              <w:left w:val="single" w:sz="6" w:space="0" w:color="000000"/>
              <w:bottom w:val="single" w:sz="6" w:space="0" w:color="000000"/>
              <w:right w:val="single" w:sz="6" w:space="0" w:color="000000"/>
            </w:tcBorders>
            <w:hideMark/>
          </w:tcPr>
          <w:p w14:paraId="668820BA" w14:textId="77777777" w:rsidR="008940B3" w:rsidRPr="003B5C8D" w:rsidRDefault="008940B3" w:rsidP="00E858EF">
            <w:pPr>
              <w:suppressAutoHyphens/>
              <w:jc w:val="center"/>
              <w:rPr>
                <w:sz w:val="16"/>
                <w:szCs w:val="16"/>
              </w:rPr>
            </w:pPr>
            <w:r w:rsidRPr="003B5C8D">
              <w:rPr>
                <w:color w:val="000000"/>
                <w:sz w:val="16"/>
                <w:szCs w:val="16"/>
              </w:rPr>
              <w:t>CORBEL VAULTED</w:t>
            </w:r>
          </w:p>
        </w:tc>
        <w:tc>
          <w:tcPr>
            <w:tcW w:w="0" w:type="auto"/>
            <w:tcBorders>
              <w:top w:val="single" w:sz="6" w:space="0" w:color="000000"/>
              <w:left w:val="single" w:sz="6" w:space="0" w:color="000000"/>
              <w:bottom w:val="single" w:sz="6" w:space="0" w:color="000000"/>
              <w:right w:val="single" w:sz="6" w:space="0" w:color="000000"/>
            </w:tcBorders>
            <w:hideMark/>
          </w:tcPr>
          <w:p w14:paraId="0F5C6999" w14:textId="77777777" w:rsidR="008940B3" w:rsidRPr="003B5C8D" w:rsidRDefault="008940B3" w:rsidP="00E858EF">
            <w:pPr>
              <w:suppressAutoHyphens/>
              <w:jc w:val="center"/>
              <w:rPr>
                <w:sz w:val="16"/>
                <w:szCs w:val="16"/>
              </w:rPr>
            </w:pPr>
            <w:r w:rsidRPr="003B5C8D">
              <w:rPr>
                <w:color w:val="000000"/>
                <w:sz w:val="16"/>
                <w:szCs w:val="16"/>
              </w:rPr>
              <w:t>CHAMBER TOMB</w:t>
            </w:r>
          </w:p>
        </w:tc>
      </w:tr>
      <w:tr w:rsidR="008940B3" w:rsidRPr="003B5C8D" w14:paraId="2D8C34DD" w14:textId="77777777" w:rsidTr="008940B3">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61199DB2" w14:textId="77777777" w:rsidR="008940B3" w:rsidRPr="003B5C8D" w:rsidRDefault="008940B3" w:rsidP="00E858EF">
            <w:pPr>
              <w:suppressAutoHyphens/>
              <w:rPr>
                <w:sz w:val="16"/>
                <w:szCs w:val="16"/>
              </w:rPr>
            </w:pPr>
            <w:r w:rsidRPr="003B5C8D">
              <w:rPr>
                <w:color w:val="000000"/>
                <w:sz w:val="16"/>
                <w:szCs w:val="16"/>
              </w:rPr>
              <w:t>ADELE</w:t>
            </w: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2EC3AE73"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24084420"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6C2A4B00"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r>
      <w:tr w:rsidR="008940B3" w:rsidRPr="003B5C8D" w14:paraId="2F756E94" w14:textId="77777777" w:rsidTr="008940B3">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6D4D17B" w14:textId="77777777" w:rsidR="008940B3" w:rsidRPr="003B5C8D" w:rsidRDefault="008940B3" w:rsidP="00E858EF">
            <w:pPr>
              <w:suppressAutoHyphens/>
              <w:rPr>
                <w:sz w:val="16"/>
                <w:szCs w:val="16"/>
              </w:rPr>
            </w:pPr>
            <w:r w:rsidRPr="003B5C8D">
              <w:rPr>
                <w:color w:val="000000"/>
                <w:sz w:val="16"/>
                <w:szCs w:val="16"/>
              </w:rPr>
              <w:t>ANGELIANA</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D755BA9"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A4A4585"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E5A0B70"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r>
      <w:tr w:rsidR="008940B3" w:rsidRPr="003B5C8D" w14:paraId="7101EA9A" w14:textId="77777777" w:rsidTr="008940B3">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71FE1A8" w14:textId="77777777" w:rsidR="008940B3" w:rsidRPr="003B5C8D" w:rsidRDefault="008940B3" w:rsidP="00E858EF">
            <w:pPr>
              <w:suppressAutoHyphens/>
              <w:rPr>
                <w:sz w:val="16"/>
                <w:szCs w:val="16"/>
              </w:rPr>
            </w:pPr>
            <w:r w:rsidRPr="003B5C8D">
              <w:rPr>
                <w:color w:val="000000"/>
                <w:sz w:val="16"/>
                <w:szCs w:val="16"/>
              </w:rPr>
              <w:t>APOSTOLI</w:t>
            </w: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2D20C538"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5D3AD15B"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347E6BFF"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r>
      <w:tr w:rsidR="008940B3" w:rsidRPr="003B5C8D" w14:paraId="368BFE20" w14:textId="77777777" w:rsidTr="008940B3">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1921565" w14:textId="77777777" w:rsidR="008940B3" w:rsidRPr="003B5C8D" w:rsidRDefault="008940B3" w:rsidP="00E858EF">
            <w:pPr>
              <w:suppressAutoHyphens/>
              <w:rPr>
                <w:sz w:val="16"/>
                <w:szCs w:val="16"/>
              </w:rPr>
            </w:pPr>
            <w:r>
              <w:rPr>
                <w:color w:val="000000"/>
                <w:sz w:val="16"/>
                <w:szCs w:val="16"/>
              </w:rPr>
              <w:t>ARMENOI</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C4BC2D9"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17EBBBF"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5F58214"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r>
      <w:tr w:rsidR="008940B3" w:rsidRPr="003B5C8D" w14:paraId="62924B32" w14:textId="77777777" w:rsidTr="008940B3">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33A0E8B1" w14:textId="77777777" w:rsidR="008940B3" w:rsidRPr="003B5C8D" w:rsidRDefault="008940B3" w:rsidP="00E858EF">
            <w:pPr>
              <w:suppressAutoHyphens/>
              <w:rPr>
                <w:sz w:val="16"/>
                <w:szCs w:val="16"/>
              </w:rPr>
            </w:pPr>
            <w:r w:rsidRPr="003B5C8D">
              <w:rPr>
                <w:color w:val="000000"/>
                <w:sz w:val="16"/>
                <w:szCs w:val="16"/>
              </w:rPr>
              <w:t>ARSANI</w:t>
            </w: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3F0BAAB0"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3D9FFA5A"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3D54356C"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r>
      <w:tr w:rsidR="008940B3" w:rsidRPr="003B5C8D" w14:paraId="77186830" w14:textId="77777777" w:rsidTr="008940B3">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15BAAA3" w14:textId="77777777" w:rsidR="008940B3" w:rsidRPr="003B5C8D" w:rsidRDefault="008940B3" w:rsidP="00E858EF">
            <w:pPr>
              <w:suppressAutoHyphens/>
              <w:rPr>
                <w:sz w:val="16"/>
                <w:szCs w:val="16"/>
              </w:rPr>
            </w:pPr>
            <w:r w:rsidRPr="003B5C8D">
              <w:rPr>
                <w:color w:val="000000"/>
                <w:sz w:val="16"/>
                <w:szCs w:val="16"/>
              </w:rPr>
              <w:t>CHOUMERI</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4ADF127"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0093904"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CDD0BBE"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r>
      <w:tr w:rsidR="008940B3" w:rsidRPr="003B5C8D" w14:paraId="7B717E2E" w14:textId="77777777" w:rsidTr="008940B3">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7E61F67D" w14:textId="77777777" w:rsidR="008940B3" w:rsidRPr="003B5C8D" w:rsidRDefault="008940B3" w:rsidP="00E858EF">
            <w:pPr>
              <w:suppressAutoHyphens/>
              <w:rPr>
                <w:sz w:val="16"/>
                <w:szCs w:val="16"/>
              </w:rPr>
            </w:pPr>
            <w:r w:rsidRPr="003B5C8D">
              <w:rPr>
                <w:sz w:val="16"/>
                <w:szCs w:val="16"/>
              </w:rPr>
              <w:t>DRAMIA</w:t>
            </w: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F3A1FC3"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3E1232D"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2F0F5D0D"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r>
      <w:tr w:rsidR="008940B3" w:rsidRPr="003B5C8D" w14:paraId="113040FE" w14:textId="77777777" w:rsidTr="008940B3">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C02AF55" w14:textId="77777777" w:rsidR="008940B3" w:rsidRPr="003B5C8D" w:rsidRDefault="008940B3" w:rsidP="00E858EF">
            <w:pPr>
              <w:suppressAutoHyphens/>
              <w:rPr>
                <w:sz w:val="16"/>
                <w:szCs w:val="16"/>
              </w:rPr>
            </w:pPr>
            <w:r w:rsidRPr="003B5C8D">
              <w:rPr>
                <w:sz w:val="16"/>
                <w:szCs w:val="16"/>
              </w:rPr>
              <w:t>KALAMAS MYLOPOTAMOS</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E0D3D34"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CF1A7E3"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DC2B1EA"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r>
      <w:tr w:rsidR="008940B3" w:rsidRPr="003B5C8D" w14:paraId="42AF5FC8" w14:textId="77777777" w:rsidTr="008940B3">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33A01BB" w14:textId="77777777" w:rsidR="008940B3" w:rsidRPr="003B5C8D" w:rsidRDefault="008940B3" w:rsidP="00E858EF">
            <w:pPr>
              <w:suppressAutoHyphens/>
              <w:rPr>
                <w:sz w:val="16"/>
                <w:szCs w:val="16"/>
              </w:rPr>
            </w:pPr>
            <w:r w:rsidRPr="003B5C8D">
              <w:rPr>
                <w:sz w:val="16"/>
                <w:szCs w:val="16"/>
              </w:rPr>
              <w:t>KASTELLOS APOKORONOU</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36111E9"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DF91395"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770EFE0"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r>
      <w:tr w:rsidR="008940B3" w:rsidRPr="003B5C8D" w14:paraId="4540DF61" w14:textId="77777777" w:rsidTr="008940B3">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CFA5BCA"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MAGNESIA</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BA02FF3"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B5C2F68"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A93701D"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r>
      <w:tr w:rsidR="008940B3" w:rsidRPr="003B5C8D" w14:paraId="0DF193B3" w14:textId="77777777" w:rsidTr="008940B3">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4C653B8"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MARGARITES</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7869EA0"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2801F5D"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8401850" w14:textId="77777777" w:rsidR="008940B3" w:rsidRPr="003B5C8D" w:rsidRDefault="008940B3" w:rsidP="00E858EF">
            <w:pPr>
              <w:suppressAutoHyphens/>
              <w:jc w:val="center"/>
              <w:rPr>
                <w:color w:val="000000"/>
                <w:sz w:val="16"/>
                <w:szCs w:val="16"/>
              </w:rPr>
            </w:pPr>
          </w:p>
        </w:tc>
      </w:tr>
      <w:tr w:rsidR="008940B3" w:rsidRPr="003B5C8D" w14:paraId="0C819EE0" w14:textId="77777777" w:rsidTr="008940B3">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7BBFD51"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MAROULAS</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1F1C43F"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3028B17"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39EC1E7"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r>
      <w:tr w:rsidR="008940B3" w:rsidRPr="003B5C8D" w14:paraId="265A6CFA" w14:textId="77777777" w:rsidTr="008940B3">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3B8B6B0"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MESI</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0456A6F"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210FEC3"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10A61E6"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r>
      <w:tr w:rsidR="008940B3" w:rsidRPr="003B5C8D" w14:paraId="1987CE21" w14:textId="77777777" w:rsidTr="008940B3">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613840A"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MELIDONI</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5BD6FF0"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F7C3137"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A78DB74"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r>
      <w:tr w:rsidR="008940B3" w:rsidRPr="003B5C8D" w14:paraId="4B842D72" w14:textId="77777777" w:rsidTr="008940B3">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9FB8B6D"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MONI ARSANI</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2209A5C"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7CE7306"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61F581E"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r>
      <w:tr w:rsidR="008940B3" w:rsidRPr="003B5C8D" w14:paraId="1B76670C" w14:textId="77777777" w:rsidTr="008940B3">
        <w:tblPrEx>
          <w:tblCellMar>
            <w:left w:w="0" w:type="dxa"/>
            <w:right w:w="0" w:type="dxa"/>
          </w:tblCellMar>
        </w:tblPrEx>
        <w:trPr>
          <w:trHeight w:val="16"/>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8D0513F"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PANKALOCHORI</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AC9A7C4"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535E7CB"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00A0535"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r>
      <w:tr w:rsidR="008940B3" w:rsidRPr="003B5C8D" w14:paraId="328C125E" w14:textId="77777777" w:rsidTr="008940B3">
        <w:tblPrEx>
          <w:tblCellMar>
            <w:left w:w="0" w:type="dxa"/>
            <w:right w:w="0" w:type="dxa"/>
          </w:tblCellMar>
        </w:tblPrEx>
        <w:trPr>
          <w:trHeight w:val="16"/>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85BF1F5"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PIGI</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A5E06C3"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43660F9"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5330D25"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r>
      <w:tr w:rsidR="008940B3" w:rsidRPr="003B5C8D" w14:paraId="74C02F68" w14:textId="77777777" w:rsidTr="008940B3">
        <w:tblPrEx>
          <w:tblCellMar>
            <w:left w:w="0" w:type="dxa"/>
            <w:right w:w="0" w:type="dxa"/>
          </w:tblCellMar>
        </w:tblPrEx>
        <w:trPr>
          <w:trHeight w:val="16"/>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2A97664"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SPHAKAKI</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A2FB6C9"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38442C5"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4023BE2"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r>
      <w:tr w:rsidR="008940B3" w:rsidRPr="003B5C8D" w14:paraId="3116D6C0" w14:textId="77777777" w:rsidTr="008940B3">
        <w:tblPrEx>
          <w:tblCellMar>
            <w:left w:w="0" w:type="dxa"/>
            <w:right w:w="0" w:type="dxa"/>
          </w:tblCellMar>
        </w:tblPrEx>
        <w:trPr>
          <w:trHeight w:val="16"/>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BE78E9D"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STAVROMENOS</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D56CAD1"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5AF8D18"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AC48B0B"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r>
      <w:tr w:rsidR="008940B3" w:rsidRPr="003B5C8D" w14:paraId="7089362C" w14:textId="77777777" w:rsidTr="008940B3">
        <w:tblPrEx>
          <w:tblCellMar>
            <w:left w:w="0" w:type="dxa"/>
            <w:right w:w="0" w:type="dxa"/>
          </w:tblCellMar>
        </w:tblPrEx>
        <w:trPr>
          <w:trHeight w:val="16"/>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4394E9A"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VOLIONES</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5895565"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09DC94C" w14:textId="77777777" w:rsidR="008940B3" w:rsidRPr="003B5C8D" w:rsidRDefault="008940B3" w:rsidP="00E858EF">
            <w:pPr>
              <w:suppressAutoHyphens/>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0405EFE" w14:textId="77777777" w:rsidR="008940B3" w:rsidRPr="003B5C8D" w:rsidRDefault="008940B3" w:rsidP="00E858EF">
            <w:pPr>
              <w:suppressAutoHyphens/>
              <w:jc w:val="center"/>
              <w:rPr>
                <w:color w:val="000000"/>
                <w:sz w:val="16"/>
                <w:szCs w:val="16"/>
              </w:rPr>
            </w:pPr>
          </w:p>
        </w:tc>
      </w:tr>
    </w:tbl>
    <w:p w14:paraId="5AF03895" w14:textId="77777777" w:rsidR="008940B3" w:rsidRPr="003B5C8D" w:rsidRDefault="008940B3" w:rsidP="00E858EF">
      <w:pPr>
        <w:tabs>
          <w:tab w:val="left" w:pos="501"/>
        </w:tabs>
        <w:suppressAutoHyphens/>
        <w:autoSpaceDE w:val="0"/>
        <w:autoSpaceDN w:val="0"/>
        <w:adjustRightInd w:val="0"/>
        <w:rPr>
          <w:color w:val="000000"/>
          <w:sz w:val="22"/>
          <w:szCs w:val="22"/>
        </w:rPr>
      </w:pPr>
    </w:p>
    <w:p w14:paraId="4CB79D0C" w14:textId="77777777" w:rsidR="008940B3" w:rsidRPr="006462E9" w:rsidRDefault="008940B3" w:rsidP="00E858EF">
      <w:pPr>
        <w:pStyle w:val="Titolo4"/>
        <w:keepNext w:val="0"/>
        <w:keepLines w:val="0"/>
        <w:suppressAutoHyphens/>
        <w:ind w:left="864" w:hanging="864"/>
        <w:contextualSpacing w:val="0"/>
      </w:pPr>
      <w:bookmarkStart w:id="104" w:name="_Toc389131130"/>
      <w:bookmarkStart w:id="105" w:name="_Toc517876454"/>
      <w:r w:rsidRPr="00454DD2">
        <w:t>Wh</w:t>
      </w:r>
      <w:r>
        <w:t>ich</w:t>
      </w:r>
      <w:r w:rsidRPr="00454DD2">
        <w:t xml:space="preserve"> the deposition methods </w:t>
      </w:r>
      <w:r>
        <w:t xml:space="preserve">are </w:t>
      </w:r>
      <w:r w:rsidRPr="00454DD2">
        <w:t>adopted in these cemeteries?</w:t>
      </w:r>
      <w:bookmarkEnd w:id="104"/>
      <w:bookmarkEnd w:id="105"/>
      <w:r w:rsidRPr="00454DD2">
        <w:t xml:space="preserve"> </w:t>
      </w:r>
    </w:p>
    <w:p w14:paraId="3B10A4EF" w14:textId="77777777" w:rsidR="008940B3" w:rsidRDefault="008940B3" w:rsidP="00B26CC7">
      <w:r>
        <w:t>Different typ</w:t>
      </w:r>
      <w:r w:rsidRPr="003B5C8D">
        <w:t xml:space="preserve">es of </w:t>
      </w:r>
      <w:r>
        <w:t>interment</w:t>
      </w:r>
      <w:r w:rsidRPr="003B5C8D">
        <w:t xml:space="preserve"> adopted in addition to clay larnakes are present in</w:t>
      </w:r>
      <w:r>
        <w:t xml:space="preserve"> 47% of the cemeteries. Armenoi</w:t>
      </w:r>
      <w:r w:rsidRPr="003B5C8D">
        <w:t xml:space="preserve"> </w:t>
      </w:r>
      <w:r>
        <w:t xml:space="preserve">has </w:t>
      </w:r>
      <w:r w:rsidRPr="003B5C8D">
        <w:t>the highest range of interment</w:t>
      </w:r>
      <w:r>
        <w:t xml:space="preserve"> type</w:t>
      </w:r>
      <w:r w:rsidRPr="003B5C8D">
        <w:t xml:space="preserve">, although for </w:t>
      </w:r>
      <w:r>
        <w:t>many</w:t>
      </w:r>
      <w:r w:rsidRPr="003B5C8D">
        <w:t xml:space="preserve"> of</w:t>
      </w:r>
      <w:r>
        <w:t xml:space="preserve"> the</w:t>
      </w:r>
      <w:r w:rsidRPr="003B5C8D">
        <w:t xml:space="preserve"> tombs we have no information </w:t>
      </w:r>
      <w:r>
        <w:t>regarding</w:t>
      </w:r>
      <w:r w:rsidRPr="003B5C8D">
        <w:t xml:space="preserve"> the deposition method (</w:t>
      </w:r>
      <w:r>
        <w:t>Löwe 1996</w:t>
      </w:r>
      <w:r w:rsidRPr="003B5C8D">
        <w:t>:</w:t>
      </w:r>
      <w:r>
        <w:t xml:space="preserve"> </w:t>
      </w:r>
      <w:r w:rsidRPr="003B5C8D">
        <w:t xml:space="preserve">261-297). The same problem </w:t>
      </w:r>
      <w:r>
        <w:t>occur</w:t>
      </w:r>
      <w:r w:rsidRPr="003B5C8D">
        <w:t>s for the tombs found at Mesi (Mesi Aeras</w:t>
      </w:r>
      <w:r>
        <w:t>: see Löwe 1996</w:t>
      </w:r>
      <w:r w:rsidRPr="003B5C8D">
        <w:t>: 318 1</w:t>
      </w:r>
      <w:r>
        <w:t>,</w:t>
      </w:r>
      <w:r w:rsidRPr="003B5C8D">
        <w:t>154) and Moni Arsani (</w:t>
      </w:r>
      <w:r>
        <w:t>Löwe 1996</w:t>
      </w:r>
      <w:r w:rsidRPr="003B5C8D">
        <w:t>: 319-320 1</w:t>
      </w:r>
      <w:r>
        <w:t>,</w:t>
      </w:r>
      <w:r w:rsidRPr="003B5C8D">
        <w:t>160). Pithos burials are attested in tombs with no larnax burials at Choumeri</w:t>
      </w:r>
      <w:r>
        <w:t xml:space="preserve"> (Löwe 1996</w:t>
      </w:r>
      <w:r w:rsidRPr="003B5C8D">
        <w:t>:</w:t>
      </w:r>
      <w:r>
        <w:t xml:space="preserve"> 314 1,133), </w:t>
      </w:r>
      <w:r w:rsidRPr="003B5C8D">
        <w:t>Maroulas</w:t>
      </w:r>
      <w:r>
        <w:t xml:space="preserve"> (Löwe 1996</w:t>
      </w:r>
      <w:r w:rsidRPr="003B5C8D">
        <w:t>:</w:t>
      </w:r>
      <w:r>
        <w:t xml:space="preserve"> 317-318, 1,150-1,151) and Melidoni (Löwe 1996: 318 1,152).</w:t>
      </w:r>
    </w:p>
    <w:p w14:paraId="0D9293D2" w14:textId="77777777" w:rsidR="008940B3" w:rsidRPr="00E232C9"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B3D9AC8" w14:textId="7CE2CF18" w:rsidR="008940B3" w:rsidRPr="003B5C8D" w:rsidRDefault="008940B3" w:rsidP="00E858EF">
      <w:pPr>
        <w:pStyle w:val="Testofumetto"/>
        <w:suppressAutoHyphens/>
      </w:pPr>
      <w:bookmarkStart w:id="106" w:name="_Toc520212493"/>
      <w:r>
        <w:t>Table 3-4. Deposition methods adopted in the cemeteries with larnakes</w:t>
      </w:r>
      <w:r w:rsidR="00052CC3">
        <w:t>,</w:t>
      </w:r>
      <w:r>
        <w:t xml:space="preserve"> Mid-West area</w:t>
      </w:r>
      <w:bookmarkEnd w:id="106"/>
    </w:p>
    <w:tbl>
      <w:tblPr>
        <w:tblStyle w:val="Grigliatabella"/>
        <w:tblW w:w="0" w:type="auto"/>
        <w:tblLayout w:type="fixed"/>
        <w:tblLook w:val="04A0" w:firstRow="1" w:lastRow="0" w:firstColumn="1" w:lastColumn="0" w:noHBand="0" w:noVBand="1"/>
      </w:tblPr>
      <w:tblGrid>
        <w:gridCol w:w="1668"/>
        <w:gridCol w:w="1207"/>
        <w:gridCol w:w="1069"/>
        <w:gridCol w:w="641"/>
        <w:gridCol w:w="641"/>
        <w:gridCol w:w="641"/>
        <w:gridCol w:w="641"/>
        <w:gridCol w:w="641"/>
        <w:gridCol w:w="641"/>
        <w:gridCol w:w="641"/>
      </w:tblGrid>
      <w:tr w:rsidR="008940B3" w:rsidRPr="003B5C8D" w14:paraId="613DB32B" w14:textId="77777777" w:rsidTr="008940B3">
        <w:trPr>
          <w:trHeight w:val="440"/>
        </w:trPr>
        <w:tc>
          <w:tcPr>
            <w:tcW w:w="1668" w:type="dxa"/>
          </w:tcPr>
          <w:p w14:paraId="1567CD0A" w14:textId="77777777" w:rsidR="008940B3" w:rsidRPr="003B5C8D" w:rsidRDefault="008940B3" w:rsidP="00E858EF">
            <w:pPr>
              <w:suppressAutoHyphens/>
              <w:rPr>
                <w:color w:val="000000"/>
                <w:sz w:val="16"/>
                <w:szCs w:val="16"/>
              </w:rPr>
            </w:pPr>
            <w:r w:rsidRPr="003B5C8D">
              <w:rPr>
                <w:color w:val="000000"/>
                <w:sz w:val="16"/>
                <w:szCs w:val="16"/>
              </w:rPr>
              <w:t>CEMETERIES</w:t>
            </w:r>
          </w:p>
        </w:tc>
        <w:tc>
          <w:tcPr>
            <w:tcW w:w="1207" w:type="dxa"/>
          </w:tcPr>
          <w:p w14:paraId="4A31BF11" w14:textId="77777777" w:rsidR="008940B3" w:rsidRPr="00280201" w:rsidRDefault="008940B3" w:rsidP="00E858EF">
            <w:pPr>
              <w:suppressAutoHyphens/>
              <w:jc w:val="center"/>
              <w:rPr>
                <w:color w:val="000000"/>
                <w:sz w:val="14"/>
                <w:szCs w:val="16"/>
              </w:rPr>
            </w:pPr>
            <w:r w:rsidRPr="00280201">
              <w:rPr>
                <w:color w:val="000000"/>
                <w:sz w:val="14"/>
                <w:szCs w:val="16"/>
              </w:rPr>
              <w:t>CLAY LARNAKES</w:t>
            </w:r>
          </w:p>
        </w:tc>
        <w:tc>
          <w:tcPr>
            <w:tcW w:w="1069" w:type="dxa"/>
            <w:hideMark/>
          </w:tcPr>
          <w:p w14:paraId="717BBF1F" w14:textId="77777777" w:rsidR="008940B3" w:rsidRPr="00280201" w:rsidRDefault="008940B3" w:rsidP="00E858EF">
            <w:pPr>
              <w:suppressAutoHyphens/>
              <w:jc w:val="center"/>
              <w:rPr>
                <w:color w:val="000000"/>
                <w:sz w:val="14"/>
                <w:szCs w:val="16"/>
              </w:rPr>
            </w:pPr>
            <w:r w:rsidRPr="00280201">
              <w:rPr>
                <w:color w:val="000000"/>
                <w:sz w:val="14"/>
                <w:szCs w:val="16"/>
              </w:rPr>
              <w:t>WOODEN BIER/</w:t>
            </w:r>
          </w:p>
          <w:p w14:paraId="33600132" w14:textId="77777777" w:rsidR="008940B3" w:rsidRPr="00280201" w:rsidRDefault="008940B3" w:rsidP="00E858EF">
            <w:pPr>
              <w:suppressAutoHyphens/>
              <w:jc w:val="center"/>
              <w:rPr>
                <w:sz w:val="14"/>
                <w:szCs w:val="16"/>
              </w:rPr>
            </w:pPr>
            <w:r w:rsidRPr="00280201">
              <w:rPr>
                <w:color w:val="000000"/>
                <w:sz w:val="14"/>
                <w:szCs w:val="16"/>
              </w:rPr>
              <w:t>COFFIN</w:t>
            </w:r>
          </w:p>
        </w:tc>
        <w:tc>
          <w:tcPr>
            <w:tcW w:w="641" w:type="dxa"/>
            <w:hideMark/>
          </w:tcPr>
          <w:p w14:paraId="051ABB9A" w14:textId="77777777" w:rsidR="008940B3" w:rsidRPr="00280201" w:rsidRDefault="008940B3" w:rsidP="00E858EF">
            <w:pPr>
              <w:suppressAutoHyphens/>
              <w:jc w:val="center"/>
              <w:rPr>
                <w:sz w:val="14"/>
                <w:szCs w:val="16"/>
              </w:rPr>
            </w:pPr>
            <w:r w:rsidRPr="00280201">
              <w:rPr>
                <w:color w:val="000000"/>
                <w:sz w:val="14"/>
                <w:szCs w:val="16"/>
              </w:rPr>
              <w:t>FLOOR</w:t>
            </w:r>
          </w:p>
        </w:tc>
        <w:tc>
          <w:tcPr>
            <w:tcW w:w="641" w:type="dxa"/>
          </w:tcPr>
          <w:p w14:paraId="6D9BADA7" w14:textId="77777777" w:rsidR="008940B3" w:rsidRPr="00280201" w:rsidRDefault="008940B3" w:rsidP="00E858EF">
            <w:pPr>
              <w:suppressAutoHyphens/>
              <w:jc w:val="center"/>
              <w:rPr>
                <w:color w:val="000000"/>
                <w:sz w:val="14"/>
                <w:szCs w:val="16"/>
              </w:rPr>
            </w:pPr>
            <w:r w:rsidRPr="00280201">
              <w:rPr>
                <w:color w:val="000000"/>
                <w:sz w:val="14"/>
                <w:szCs w:val="16"/>
              </w:rPr>
              <w:t>PIT</w:t>
            </w:r>
          </w:p>
        </w:tc>
        <w:tc>
          <w:tcPr>
            <w:tcW w:w="641" w:type="dxa"/>
          </w:tcPr>
          <w:p w14:paraId="0861CE0B" w14:textId="77777777" w:rsidR="008940B3" w:rsidRPr="00280201" w:rsidRDefault="008940B3" w:rsidP="00E858EF">
            <w:pPr>
              <w:suppressAutoHyphens/>
              <w:jc w:val="center"/>
              <w:rPr>
                <w:color w:val="000000"/>
                <w:sz w:val="14"/>
                <w:szCs w:val="16"/>
              </w:rPr>
            </w:pPr>
            <w:r w:rsidRPr="00280201">
              <w:rPr>
                <w:color w:val="000000"/>
                <w:sz w:val="14"/>
                <w:szCs w:val="16"/>
              </w:rPr>
              <w:t>BENCH</w:t>
            </w:r>
          </w:p>
        </w:tc>
        <w:tc>
          <w:tcPr>
            <w:tcW w:w="641" w:type="dxa"/>
          </w:tcPr>
          <w:p w14:paraId="2B2A1E8A" w14:textId="77777777" w:rsidR="008940B3" w:rsidRPr="00280201" w:rsidRDefault="008940B3" w:rsidP="00E858EF">
            <w:pPr>
              <w:suppressAutoHyphens/>
              <w:jc w:val="center"/>
              <w:rPr>
                <w:color w:val="000000"/>
                <w:sz w:val="14"/>
                <w:szCs w:val="16"/>
              </w:rPr>
            </w:pPr>
            <w:r w:rsidRPr="00280201">
              <w:rPr>
                <w:color w:val="000000"/>
                <w:sz w:val="14"/>
                <w:szCs w:val="16"/>
              </w:rPr>
              <w:t>DROMOS</w:t>
            </w:r>
          </w:p>
        </w:tc>
        <w:tc>
          <w:tcPr>
            <w:tcW w:w="641" w:type="dxa"/>
          </w:tcPr>
          <w:p w14:paraId="09E263DC" w14:textId="77777777" w:rsidR="008940B3" w:rsidRPr="00280201" w:rsidRDefault="008940B3" w:rsidP="00E858EF">
            <w:pPr>
              <w:suppressAutoHyphens/>
              <w:jc w:val="center"/>
              <w:rPr>
                <w:color w:val="000000"/>
                <w:sz w:val="14"/>
                <w:szCs w:val="16"/>
              </w:rPr>
            </w:pPr>
            <w:r w:rsidRPr="00280201">
              <w:rPr>
                <w:color w:val="000000"/>
                <w:sz w:val="14"/>
                <w:szCs w:val="16"/>
              </w:rPr>
              <w:t>PITHOS</w:t>
            </w:r>
          </w:p>
        </w:tc>
        <w:tc>
          <w:tcPr>
            <w:tcW w:w="641" w:type="dxa"/>
          </w:tcPr>
          <w:p w14:paraId="4D1DAC96" w14:textId="77777777" w:rsidR="008940B3" w:rsidRPr="00280201" w:rsidRDefault="008940B3" w:rsidP="00E858EF">
            <w:pPr>
              <w:suppressAutoHyphens/>
              <w:jc w:val="center"/>
              <w:rPr>
                <w:sz w:val="14"/>
                <w:szCs w:val="16"/>
              </w:rPr>
            </w:pPr>
            <w:r w:rsidRPr="00280201">
              <w:rPr>
                <w:sz w:val="14"/>
                <w:szCs w:val="16"/>
              </w:rPr>
              <w:t>VASE</w:t>
            </w:r>
          </w:p>
          <w:p w14:paraId="0672E324" w14:textId="77777777" w:rsidR="008940B3" w:rsidRPr="00280201" w:rsidRDefault="008940B3" w:rsidP="00E858EF">
            <w:pPr>
              <w:suppressAutoHyphens/>
              <w:jc w:val="center"/>
              <w:rPr>
                <w:sz w:val="14"/>
                <w:szCs w:val="16"/>
              </w:rPr>
            </w:pPr>
            <w:r w:rsidRPr="00280201">
              <w:rPr>
                <w:sz w:val="14"/>
                <w:szCs w:val="16"/>
              </w:rPr>
              <w:t>(ASHES)</w:t>
            </w:r>
          </w:p>
        </w:tc>
        <w:tc>
          <w:tcPr>
            <w:tcW w:w="641" w:type="dxa"/>
            <w:hideMark/>
          </w:tcPr>
          <w:p w14:paraId="00809E18" w14:textId="77777777" w:rsidR="008940B3" w:rsidRPr="00280201" w:rsidRDefault="008940B3" w:rsidP="00E858EF">
            <w:pPr>
              <w:suppressAutoHyphens/>
              <w:jc w:val="center"/>
              <w:rPr>
                <w:sz w:val="14"/>
                <w:szCs w:val="16"/>
              </w:rPr>
            </w:pPr>
            <w:r w:rsidRPr="00280201">
              <w:rPr>
                <w:sz w:val="14"/>
                <w:szCs w:val="16"/>
              </w:rPr>
              <w:t>NA</w:t>
            </w:r>
          </w:p>
        </w:tc>
      </w:tr>
      <w:tr w:rsidR="008940B3" w:rsidRPr="003B5C8D" w14:paraId="457C2096" w14:textId="77777777" w:rsidTr="008940B3">
        <w:trPr>
          <w:trHeight w:val="175"/>
        </w:trPr>
        <w:tc>
          <w:tcPr>
            <w:tcW w:w="1668" w:type="dxa"/>
          </w:tcPr>
          <w:p w14:paraId="170F5829" w14:textId="77777777" w:rsidR="008940B3" w:rsidRPr="003B5C8D" w:rsidRDefault="008940B3" w:rsidP="00E858EF">
            <w:pPr>
              <w:suppressAutoHyphens/>
              <w:rPr>
                <w:color w:val="000000"/>
                <w:sz w:val="16"/>
                <w:szCs w:val="16"/>
              </w:rPr>
            </w:pPr>
            <w:r w:rsidRPr="003B5C8D">
              <w:rPr>
                <w:color w:val="000000"/>
                <w:sz w:val="16"/>
                <w:szCs w:val="16"/>
              </w:rPr>
              <w:t>ADELE</w:t>
            </w:r>
          </w:p>
        </w:tc>
        <w:tc>
          <w:tcPr>
            <w:tcW w:w="1207" w:type="dxa"/>
          </w:tcPr>
          <w:p w14:paraId="42B5CC2D"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1069" w:type="dxa"/>
            <w:hideMark/>
          </w:tcPr>
          <w:p w14:paraId="5366A56D" w14:textId="77777777" w:rsidR="008940B3" w:rsidRPr="003B5C8D" w:rsidRDefault="008940B3" w:rsidP="00E858EF">
            <w:pPr>
              <w:suppressAutoHyphens/>
              <w:jc w:val="center"/>
              <w:rPr>
                <w:sz w:val="16"/>
                <w:szCs w:val="16"/>
              </w:rPr>
            </w:pPr>
          </w:p>
        </w:tc>
        <w:tc>
          <w:tcPr>
            <w:tcW w:w="641" w:type="dxa"/>
            <w:hideMark/>
          </w:tcPr>
          <w:p w14:paraId="23E52097" w14:textId="77777777" w:rsidR="008940B3" w:rsidRPr="003B5C8D" w:rsidRDefault="008940B3" w:rsidP="00E858EF">
            <w:pPr>
              <w:suppressAutoHyphens/>
              <w:jc w:val="center"/>
              <w:rPr>
                <w:sz w:val="16"/>
                <w:szCs w:val="16"/>
              </w:rPr>
            </w:pPr>
          </w:p>
        </w:tc>
        <w:tc>
          <w:tcPr>
            <w:tcW w:w="641" w:type="dxa"/>
          </w:tcPr>
          <w:p w14:paraId="281FFA1A"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641" w:type="dxa"/>
          </w:tcPr>
          <w:p w14:paraId="6DCA8897" w14:textId="77777777" w:rsidR="008940B3" w:rsidRPr="003B5C8D" w:rsidRDefault="008940B3" w:rsidP="00E858EF">
            <w:pPr>
              <w:suppressAutoHyphens/>
              <w:jc w:val="center"/>
              <w:rPr>
                <w:sz w:val="16"/>
                <w:szCs w:val="16"/>
              </w:rPr>
            </w:pPr>
          </w:p>
        </w:tc>
        <w:tc>
          <w:tcPr>
            <w:tcW w:w="641" w:type="dxa"/>
          </w:tcPr>
          <w:p w14:paraId="0DE6FE32" w14:textId="77777777" w:rsidR="008940B3" w:rsidRPr="003B5C8D" w:rsidRDefault="008940B3" w:rsidP="00E858EF">
            <w:pPr>
              <w:suppressAutoHyphens/>
              <w:jc w:val="center"/>
              <w:rPr>
                <w:sz w:val="16"/>
                <w:szCs w:val="16"/>
              </w:rPr>
            </w:pPr>
          </w:p>
        </w:tc>
        <w:tc>
          <w:tcPr>
            <w:tcW w:w="641" w:type="dxa"/>
          </w:tcPr>
          <w:p w14:paraId="71B28905" w14:textId="77777777" w:rsidR="008940B3" w:rsidRPr="003B5C8D" w:rsidRDefault="008940B3" w:rsidP="00E858EF">
            <w:pPr>
              <w:suppressAutoHyphens/>
              <w:jc w:val="center"/>
              <w:rPr>
                <w:sz w:val="16"/>
                <w:szCs w:val="16"/>
              </w:rPr>
            </w:pPr>
          </w:p>
        </w:tc>
        <w:tc>
          <w:tcPr>
            <w:tcW w:w="641" w:type="dxa"/>
          </w:tcPr>
          <w:p w14:paraId="693F823F" w14:textId="77777777" w:rsidR="008940B3" w:rsidRPr="003B5C8D" w:rsidRDefault="008940B3" w:rsidP="00E858EF">
            <w:pPr>
              <w:suppressAutoHyphens/>
              <w:jc w:val="center"/>
              <w:rPr>
                <w:sz w:val="16"/>
                <w:szCs w:val="16"/>
              </w:rPr>
            </w:pPr>
          </w:p>
        </w:tc>
        <w:tc>
          <w:tcPr>
            <w:tcW w:w="641" w:type="dxa"/>
            <w:hideMark/>
          </w:tcPr>
          <w:p w14:paraId="4474876C" w14:textId="77777777" w:rsidR="008940B3" w:rsidRPr="003B5C8D" w:rsidRDefault="008940B3" w:rsidP="00E858EF">
            <w:pPr>
              <w:suppressAutoHyphens/>
              <w:jc w:val="center"/>
              <w:rPr>
                <w:sz w:val="16"/>
                <w:szCs w:val="16"/>
              </w:rPr>
            </w:pPr>
          </w:p>
        </w:tc>
      </w:tr>
      <w:tr w:rsidR="008940B3" w:rsidRPr="003B5C8D" w14:paraId="5753101B" w14:textId="77777777" w:rsidTr="008940B3">
        <w:trPr>
          <w:trHeight w:val="175"/>
        </w:trPr>
        <w:tc>
          <w:tcPr>
            <w:tcW w:w="1668" w:type="dxa"/>
          </w:tcPr>
          <w:p w14:paraId="45FAF8FA" w14:textId="77777777" w:rsidR="008940B3" w:rsidRPr="003B5C8D" w:rsidRDefault="008940B3" w:rsidP="00E858EF">
            <w:pPr>
              <w:suppressAutoHyphens/>
              <w:rPr>
                <w:color w:val="000000"/>
                <w:sz w:val="16"/>
                <w:szCs w:val="16"/>
              </w:rPr>
            </w:pPr>
            <w:r w:rsidRPr="003B5C8D">
              <w:rPr>
                <w:color w:val="000000"/>
                <w:sz w:val="16"/>
                <w:szCs w:val="16"/>
              </w:rPr>
              <w:t>ANGELIANA</w:t>
            </w:r>
          </w:p>
        </w:tc>
        <w:tc>
          <w:tcPr>
            <w:tcW w:w="1207" w:type="dxa"/>
          </w:tcPr>
          <w:p w14:paraId="482E6A88"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hideMark/>
          </w:tcPr>
          <w:p w14:paraId="37B9C9D6" w14:textId="77777777" w:rsidR="008940B3" w:rsidRPr="003B5C8D" w:rsidRDefault="008940B3" w:rsidP="00E858EF">
            <w:pPr>
              <w:suppressAutoHyphens/>
              <w:jc w:val="center"/>
              <w:rPr>
                <w:sz w:val="16"/>
                <w:szCs w:val="16"/>
              </w:rPr>
            </w:pPr>
          </w:p>
        </w:tc>
        <w:tc>
          <w:tcPr>
            <w:tcW w:w="641" w:type="dxa"/>
            <w:hideMark/>
          </w:tcPr>
          <w:p w14:paraId="6D80D5D4"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641" w:type="dxa"/>
          </w:tcPr>
          <w:p w14:paraId="029823F9" w14:textId="77777777" w:rsidR="008940B3" w:rsidRPr="003B5C8D" w:rsidRDefault="008940B3" w:rsidP="00E858EF">
            <w:pPr>
              <w:suppressAutoHyphens/>
              <w:jc w:val="center"/>
              <w:rPr>
                <w:sz w:val="16"/>
                <w:szCs w:val="16"/>
              </w:rPr>
            </w:pPr>
          </w:p>
        </w:tc>
        <w:tc>
          <w:tcPr>
            <w:tcW w:w="641" w:type="dxa"/>
          </w:tcPr>
          <w:p w14:paraId="21A8C7F9" w14:textId="77777777" w:rsidR="008940B3" w:rsidRPr="003B5C8D" w:rsidRDefault="008940B3" w:rsidP="00E858EF">
            <w:pPr>
              <w:suppressAutoHyphens/>
              <w:jc w:val="center"/>
              <w:rPr>
                <w:sz w:val="16"/>
                <w:szCs w:val="16"/>
              </w:rPr>
            </w:pPr>
          </w:p>
        </w:tc>
        <w:tc>
          <w:tcPr>
            <w:tcW w:w="641" w:type="dxa"/>
          </w:tcPr>
          <w:p w14:paraId="630C5DFE" w14:textId="77777777" w:rsidR="008940B3" w:rsidRPr="003B5C8D" w:rsidRDefault="008940B3" w:rsidP="00E858EF">
            <w:pPr>
              <w:suppressAutoHyphens/>
              <w:jc w:val="center"/>
              <w:rPr>
                <w:sz w:val="16"/>
                <w:szCs w:val="16"/>
              </w:rPr>
            </w:pPr>
          </w:p>
        </w:tc>
        <w:tc>
          <w:tcPr>
            <w:tcW w:w="641" w:type="dxa"/>
          </w:tcPr>
          <w:p w14:paraId="6C7ED581" w14:textId="77777777" w:rsidR="008940B3" w:rsidRPr="003B5C8D" w:rsidRDefault="008940B3" w:rsidP="00E858EF">
            <w:pPr>
              <w:suppressAutoHyphens/>
              <w:jc w:val="center"/>
              <w:rPr>
                <w:sz w:val="16"/>
                <w:szCs w:val="16"/>
              </w:rPr>
            </w:pPr>
          </w:p>
        </w:tc>
        <w:tc>
          <w:tcPr>
            <w:tcW w:w="641" w:type="dxa"/>
          </w:tcPr>
          <w:p w14:paraId="58D195D8" w14:textId="77777777" w:rsidR="008940B3" w:rsidRPr="003B5C8D" w:rsidRDefault="008940B3" w:rsidP="00E858EF">
            <w:pPr>
              <w:suppressAutoHyphens/>
              <w:jc w:val="center"/>
              <w:rPr>
                <w:sz w:val="16"/>
                <w:szCs w:val="16"/>
              </w:rPr>
            </w:pPr>
          </w:p>
        </w:tc>
        <w:tc>
          <w:tcPr>
            <w:tcW w:w="641" w:type="dxa"/>
            <w:hideMark/>
          </w:tcPr>
          <w:p w14:paraId="7B6E7388" w14:textId="77777777" w:rsidR="008940B3" w:rsidRPr="003B5C8D" w:rsidRDefault="008940B3" w:rsidP="00E858EF">
            <w:pPr>
              <w:suppressAutoHyphens/>
              <w:jc w:val="center"/>
              <w:rPr>
                <w:sz w:val="16"/>
                <w:szCs w:val="16"/>
              </w:rPr>
            </w:pPr>
          </w:p>
        </w:tc>
      </w:tr>
      <w:tr w:rsidR="008940B3" w:rsidRPr="003B5C8D" w14:paraId="51F11566" w14:textId="77777777" w:rsidTr="008940B3">
        <w:trPr>
          <w:trHeight w:val="175"/>
        </w:trPr>
        <w:tc>
          <w:tcPr>
            <w:tcW w:w="1668" w:type="dxa"/>
          </w:tcPr>
          <w:p w14:paraId="289DC4A3" w14:textId="77777777" w:rsidR="008940B3" w:rsidRPr="003B5C8D" w:rsidRDefault="008940B3" w:rsidP="00E858EF">
            <w:pPr>
              <w:suppressAutoHyphens/>
              <w:rPr>
                <w:color w:val="000000"/>
                <w:sz w:val="16"/>
                <w:szCs w:val="16"/>
              </w:rPr>
            </w:pPr>
            <w:r w:rsidRPr="003B5C8D">
              <w:rPr>
                <w:color w:val="000000"/>
                <w:sz w:val="16"/>
                <w:szCs w:val="16"/>
              </w:rPr>
              <w:t>APOSTOLI</w:t>
            </w:r>
          </w:p>
        </w:tc>
        <w:tc>
          <w:tcPr>
            <w:tcW w:w="1207" w:type="dxa"/>
          </w:tcPr>
          <w:p w14:paraId="478D591C"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1069" w:type="dxa"/>
            <w:hideMark/>
          </w:tcPr>
          <w:p w14:paraId="14A07458" w14:textId="77777777" w:rsidR="008940B3" w:rsidRPr="003B5C8D" w:rsidRDefault="008940B3" w:rsidP="00E858EF">
            <w:pPr>
              <w:suppressAutoHyphens/>
              <w:jc w:val="center"/>
              <w:rPr>
                <w:sz w:val="16"/>
                <w:szCs w:val="16"/>
              </w:rPr>
            </w:pPr>
          </w:p>
        </w:tc>
        <w:tc>
          <w:tcPr>
            <w:tcW w:w="641" w:type="dxa"/>
            <w:hideMark/>
          </w:tcPr>
          <w:p w14:paraId="6A9C2065" w14:textId="77777777" w:rsidR="008940B3" w:rsidRPr="003B5C8D" w:rsidRDefault="008940B3" w:rsidP="00E858EF">
            <w:pPr>
              <w:suppressAutoHyphens/>
              <w:jc w:val="center"/>
              <w:rPr>
                <w:sz w:val="16"/>
                <w:szCs w:val="16"/>
              </w:rPr>
            </w:pPr>
          </w:p>
        </w:tc>
        <w:tc>
          <w:tcPr>
            <w:tcW w:w="641" w:type="dxa"/>
          </w:tcPr>
          <w:p w14:paraId="0293A706" w14:textId="77777777" w:rsidR="008940B3" w:rsidRPr="003B5C8D" w:rsidRDefault="008940B3" w:rsidP="00E858EF">
            <w:pPr>
              <w:suppressAutoHyphens/>
              <w:jc w:val="center"/>
              <w:rPr>
                <w:sz w:val="16"/>
                <w:szCs w:val="16"/>
              </w:rPr>
            </w:pPr>
          </w:p>
        </w:tc>
        <w:tc>
          <w:tcPr>
            <w:tcW w:w="641" w:type="dxa"/>
          </w:tcPr>
          <w:p w14:paraId="757B4CF8" w14:textId="77777777" w:rsidR="008940B3" w:rsidRPr="003B5C8D" w:rsidRDefault="008940B3" w:rsidP="00E858EF">
            <w:pPr>
              <w:suppressAutoHyphens/>
              <w:jc w:val="center"/>
              <w:rPr>
                <w:sz w:val="16"/>
                <w:szCs w:val="16"/>
              </w:rPr>
            </w:pPr>
          </w:p>
        </w:tc>
        <w:tc>
          <w:tcPr>
            <w:tcW w:w="641" w:type="dxa"/>
          </w:tcPr>
          <w:p w14:paraId="1644C45A" w14:textId="77777777" w:rsidR="008940B3" w:rsidRPr="003B5C8D" w:rsidRDefault="008940B3" w:rsidP="00E858EF">
            <w:pPr>
              <w:suppressAutoHyphens/>
              <w:jc w:val="center"/>
              <w:rPr>
                <w:sz w:val="16"/>
                <w:szCs w:val="16"/>
              </w:rPr>
            </w:pPr>
          </w:p>
        </w:tc>
        <w:tc>
          <w:tcPr>
            <w:tcW w:w="641" w:type="dxa"/>
          </w:tcPr>
          <w:p w14:paraId="672D7DA5" w14:textId="77777777" w:rsidR="008940B3" w:rsidRPr="003B5C8D" w:rsidRDefault="008940B3" w:rsidP="00E858EF">
            <w:pPr>
              <w:suppressAutoHyphens/>
              <w:jc w:val="center"/>
              <w:rPr>
                <w:sz w:val="16"/>
                <w:szCs w:val="16"/>
              </w:rPr>
            </w:pPr>
          </w:p>
        </w:tc>
        <w:tc>
          <w:tcPr>
            <w:tcW w:w="641" w:type="dxa"/>
          </w:tcPr>
          <w:p w14:paraId="573A11AF" w14:textId="77777777" w:rsidR="008940B3" w:rsidRPr="003B5C8D" w:rsidRDefault="008940B3" w:rsidP="00E858EF">
            <w:pPr>
              <w:suppressAutoHyphens/>
              <w:jc w:val="center"/>
              <w:rPr>
                <w:color w:val="000000"/>
                <w:sz w:val="16"/>
                <w:szCs w:val="16"/>
              </w:rPr>
            </w:pPr>
          </w:p>
        </w:tc>
        <w:tc>
          <w:tcPr>
            <w:tcW w:w="641" w:type="dxa"/>
            <w:hideMark/>
          </w:tcPr>
          <w:p w14:paraId="69C5523E" w14:textId="77777777" w:rsidR="008940B3" w:rsidRPr="003B5C8D" w:rsidRDefault="008940B3" w:rsidP="00E858EF">
            <w:pPr>
              <w:suppressAutoHyphens/>
              <w:jc w:val="center"/>
              <w:rPr>
                <w:sz w:val="16"/>
                <w:szCs w:val="16"/>
              </w:rPr>
            </w:pPr>
          </w:p>
        </w:tc>
      </w:tr>
      <w:tr w:rsidR="008940B3" w:rsidRPr="003B5C8D" w14:paraId="73B1FC08" w14:textId="77777777" w:rsidTr="008940B3">
        <w:trPr>
          <w:trHeight w:val="175"/>
        </w:trPr>
        <w:tc>
          <w:tcPr>
            <w:tcW w:w="1668" w:type="dxa"/>
          </w:tcPr>
          <w:p w14:paraId="28CED414" w14:textId="77777777" w:rsidR="008940B3" w:rsidRPr="003B5C8D" w:rsidRDefault="008940B3" w:rsidP="00E858EF">
            <w:pPr>
              <w:suppressAutoHyphens/>
              <w:rPr>
                <w:color w:val="000000"/>
                <w:sz w:val="16"/>
                <w:szCs w:val="16"/>
              </w:rPr>
            </w:pPr>
            <w:r>
              <w:rPr>
                <w:color w:val="000000"/>
                <w:sz w:val="16"/>
                <w:szCs w:val="16"/>
              </w:rPr>
              <w:t>ARMENOI</w:t>
            </w:r>
          </w:p>
        </w:tc>
        <w:tc>
          <w:tcPr>
            <w:tcW w:w="1207" w:type="dxa"/>
          </w:tcPr>
          <w:p w14:paraId="21AADDEE"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hideMark/>
          </w:tcPr>
          <w:p w14:paraId="3310C50F"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641" w:type="dxa"/>
            <w:hideMark/>
          </w:tcPr>
          <w:p w14:paraId="2564A2DF"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641" w:type="dxa"/>
          </w:tcPr>
          <w:p w14:paraId="20C9175C"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641" w:type="dxa"/>
          </w:tcPr>
          <w:p w14:paraId="5D91EFCC"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641" w:type="dxa"/>
          </w:tcPr>
          <w:p w14:paraId="42A95AF9" w14:textId="77777777" w:rsidR="008940B3" w:rsidRPr="003B5C8D" w:rsidRDefault="008940B3" w:rsidP="00E858EF">
            <w:pPr>
              <w:suppressAutoHyphens/>
              <w:jc w:val="center"/>
              <w:rPr>
                <w:sz w:val="16"/>
                <w:szCs w:val="16"/>
              </w:rPr>
            </w:pPr>
          </w:p>
        </w:tc>
        <w:tc>
          <w:tcPr>
            <w:tcW w:w="641" w:type="dxa"/>
          </w:tcPr>
          <w:p w14:paraId="7613D194" w14:textId="77777777" w:rsidR="008940B3" w:rsidRPr="003B5C8D" w:rsidRDefault="008940B3" w:rsidP="00E858EF">
            <w:pPr>
              <w:suppressAutoHyphens/>
              <w:jc w:val="center"/>
              <w:rPr>
                <w:sz w:val="16"/>
                <w:szCs w:val="16"/>
              </w:rPr>
            </w:pPr>
          </w:p>
        </w:tc>
        <w:tc>
          <w:tcPr>
            <w:tcW w:w="641" w:type="dxa"/>
          </w:tcPr>
          <w:p w14:paraId="715C13C6" w14:textId="77777777" w:rsidR="008940B3" w:rsidRPr="003B5C8D" w:rsidRDefault="008940B3" w:rsidP="00E858EF">
            <w:pPr>
              <w:suppressAutoHyphens/>
              <w:jc w:val="center"/>
              <w:rPr>
                <w:sz w:val="16"/>
                <w:szCs w:val="16"/>
              </w:rPr>
            </w:pPr>
          </w:p>
        </w:tc>
        <w:tc>
          <w:tcPr>
            <w:tcW w:w="641" w:type="dxa"/>
            <w:hideMark/>
          </w:tcPr>
          <w:p w14:paraId="746F7A41"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r>
      <w:tr w:rsidR="008940B3" w:rsidRPr="003B5C8D" w14:paraId="20EAB0A7" w14:textId="77777777" w:rsidTr="008940B3">
        <w:trPr>
          <w:trHeight w:val="175"/>
        </w:trPr>
        <w:tc>
          <w:tcPr>
            <w:tcW w:w="1668" w:type="dxa"/>
          </w:tcPr>
          <w:p w14:paraId="0E1EB8D1" w14:textId="77777777" w:rsidR="008940B3" w:rsidRPr="003B5C8D" w:rsidRDefault="008940B3" w:rsidP="00E858EF">
            <w:pPr>
              <w:suppressAutoHyphens/>
              <w:rPr>
                <w:color w:val="000000"/>
                <w:sz w:val="16"/>
                <w:szCs w:val="16"/>
              </w:rPr>
            </w:pPr>
            <w:r w:rsidRPr="003B5C8D">
              <w:rPr>
                <w:color w:val="000000"/>
                <w:sz w:val="16"/>
                <w:szCs w:val="16"/>
              </w:rPr>
              <w:t>ARSANI</w:t>
            </w:r>
          </w:p>
        </w:tc>
        <w:tc>
          <w:tcPr>
            <w:tcW w:w="1207" w:type="dxa"/>
          </w:tcPr>
          <w:p w14:paraId="4BA4F1C8"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hideMark/>
          </w:tcPr>
          <w:p w14:paraId="11DC66EB" w14:textId="77777777" w:rsidR="008940B3" w:rsidRPr="003B5C8D" w:rsidRDefault="008940B3" w:rsidP="00E858EF">
            <w:pPr>
              <w:suppressAutoHyphens/>
              <w:jc w:val="center"/>
              <w:rPr>
                <w:sz w:val="16"/>
                <w:szCs w:val="16"/>
              </w:rPr>
            </w:pPr>
          </w:p>
        </w:tc>
        <w:tc>
          <w:tcPr>
            <w:tcW w:w="641" w:type="dxa"/>
            <w:hideMark/>
          </w:tcPr>
          <w:p w14:paraId="4F64F001" w14:textId="77777777" w:rsidR="008940B3" w:rsidRPr="003B5C8D" w:rsidRDefault="008940B3" w:rsidP="00E858EF">
            <w:pPr>
              <w:suppressAutoHyphens/>
              <w:jc w:val="center"/>
              <w:rPr>
                <w:sz w:val="16"/>
                <w:szCs w:val="16"/>
              </w:rPr>
            </w:pPr>
          </w:p>
        </w:tc>
        <w:tc>
          <w:tcPr>
            <w:tcW w:w="641" w:type="dxa"/>
          </w:tcPr>
          <w:p w14:paraId="6E583DC3"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641" w:type="dxa"/>
          </w:tcPr>
          <w:p w14:paraId="4A465527"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641" w:type="dxa"/>
          </w:tcPr>
          <w:p w14:paraId="073DA7FE" w14:textId="77777777" w:rsidR="008940B3" w:rsidRPr="003B5C8D" w:rsidRDefault="008940B3" w:rsidP="00E858EF">
            <w:pPr>
              <w:suppressAutoHyphens/>
              <w:jc w:val="center"/>
              <w:rPr>
                <w:sz w:val="16"/>
                <w:szCs w:val="16"/>
              </w:rPr>
            </w:pPr>
          </w:p>
        </w:tc>
        <w:tc>
          <w:tcPr>
            <w:tcW w:w="641" w:type="dxa"/>
          </w:tcPr>
          <w:p w14:paraId="6362612F" w14:textId="77777777" w:rsidR="008940B3" w:rsidRPr="003B5C8D" w:rsidRDefault="008940B3" w:rsidP="00E858EF">
            <w:pPr>
              <w:suppressAutoHyphens/>
              <w:jc w:val="center"/>
              <w:rPr>
                <w:sz w:val="16"/>
                <w:szCs w:val="16"/>
              </w:rPr>
            </w:pPr>
          </w:p>
        </w:tc>
        <w:tc>
          <w:tcPr>
            <w:tcW w:w="641" w:type="dxa"/>
          </w:tcPr>
          <w:p w14:paraId="503744D4" w14:textId="77777777" w:rsidR="008940B3" w:rsidRPr="003B5C8D" w:rsidRDefault="008940B3" w:rsidP="00E858EF">
            <w:pPr>
              <w:suppressAutoHyphens/>
              <w:jc w:val="center"/>
              <w:rPr>
                <w:sz w:val="16"/>
                <w:szCs w:val="16"/>
              </w:rPr>
            </w:pPr>
          </w:p>
        </w:tc>
        <w:tc>
          <w:tcPr>
            <w:tcW w:w="641" w:type="dxa"/>
            <w:hideMark/>
          </w:tcPr>
          <w:p w14:paraId="73586369" w14:textId="77777777" w:rsidR="008940B3" w:rsidRPr="003B5C8D" w:rsidRDefault="008940B3" w:rsidP="00E858EF">
            <w:pPr>
              <w:suppressAutoHyphens/>
              <w:jc w:val="center"/>
              <w:rPr>
                <w:sz w:val="16"/>
                <w:szCs w:val="16"/>
              </w:rPr>
            </w:pPr>
          </w:p>
        </w:tc>
      </w:tr>
      <w:tr w:rsidR="008940B3" w:rsidRPr="003B5C8D" w14:paraId="0E7D60CD" w14:textId="77777777" w:rsidTr="008940B3">
        <w:trPr>
          <w:trHeight w:val="175"/>
        </w:trPr>
        <w:tc>
          <w:tcPr>
            <w:tcW w:w="1668" w:type="dxa"/>
          </w:tcPr>
          <w:p w14:paraId="6687B3BC" w14:textId="77777777" w:rsidR="008940B3" w:rsidRPr="003B5C8D" w:rsidRDefault="008940B3" w:rsidP="00E858EF">
            <w:pPr>
              <w:suppressAutoHyphens/>
              <w:rPr>
                <w:color w:val="000000"/>
                <w:sz w:val="16"/>
                <w:szCs w:val="16"/>
              </w:rPr>
            </w:pPr>
            <w:r w:rsidRPr="003B5C8D">
              <w:rPr>
                <w:color w:val="000000"/>
                <w:sz w:val="16"/>
                <w:szCs w:val="16"/>
              </w:rPr>
              <w:t>CHOUMERI</w:t>
            </w:r>
          </w:p>
        </w:tc>
        <w:tc>
          <w:tcPr>
            <w:tcW w:w="1207" w:type="dxa"/>
          </w:tcPr>
          <w:p w14:paraId="7F070E8E"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hideMark/>
          </w:tcPr>
          <w:p w14:paraId="4CC666EE" w14:textId="77777777" w:rsidR="008940B3" w:rsidRPr="003B5C8D" w:rsidRDefault="008940B3" w:rsidP="00E858EF">
            <w:pPr>
              <w:suppressAutoHyphens/>
              <w:jc w:val="center"/>
              <w:rPr>
                <w:sz w:val="16"/>
                <w:szCs w:val="16"/>
              </w:rPr>
            </w:pPr>
          </w:p>
        </w:tc>
        <w:tc>
          <w:tcPr>
            <w:tcW w:w="641" w:type="dxa"/>
            <w:hideMark/>
          </w:tcPr>
          <w:p w14:paraId="72679059" w14:textId="77777777" w:rsidR="008940B3" w:rsidRPr="003B5C8D" w:rsidRDefault="008940B3" w:rsidP="00E858EF">
            <w:pPr>
              <w:suppressAutoHyphens/>
              <w:jc w:val="center"/>
              <w:rPr>
                <w:sz w:val="16"/>
                <w:szCs w:val="16"/>
              </w:rPr>
            </w:pPr>
          </w:p>
        </w:tc>
        <w:tc>
          <w:tcPr>
            <w:tcW w:w="641" w:type="dxa"/>
          </w:tcPr>
          <w:p w14:paraId="0A19A903" w14:textId="77777777" w:rsidR="008940B3" w:rsidRPr="003B5C8D" w:rsidRDefault="008940B3" w:rsidP="00E858EF">
            <w:pPr>
              <w:suppressAutoHyphens/>
              <w:jc w:val="center"/>
              <w:rPr>
                <w:sz w:val="16"/>
                <w:szCs w:val="16"/>
              </w:rPr>
            </w:pPr>
          </w:p>
        </w:tc>
        <w:tc>
          <w:tcPr>
            <w:tcW w:w="641" w:type="dxa"/>
          </w:tcPr>
          <w:p w14:paraId="1575832D" w14:textId="77777777" w:rsidR="008940B3" w:rsidRPr="003B5C8D" w:rsidRDefault="008940B3" w:rsidP="00E858EF">
            <w:pPr>
              <w:suppressAutoHyphens/>
              <w:jc w:val="center"/>
              <w:rPr>
                <w:sz w:val="16"/>
                <w:szCs w:val="16"/>
              </w:rPr>
            </w:pPr>
          </w:p>
        </w:tc>
        <w:tc>
          <w:tcPr>
            <w:tcW w:w="641" w:type="dxa"/>
          </w:tcPr>
          <w:p w14:paraId="583619D5" w14:textId="77777777" w:rsidR="008940B3" w:rsidRPr="003B5C8D" w:rsidRDefault="008940B3" w:rsidP="00E858EF">
            <w:pPr>
              <w:suppressAutoHyphens/>
              <w:jc w:val="center"/>
              <w:rPr>
                <w:sz w:val="16"/>
                <w:szCs w:val="16"/>
              </w:rPr>
            </w:pPr>
          </w:p>
        </w:tc>
        <w:tc>
          <w:tcPr>
            <w:tcW w:w="641" w:type="dxa"/>
          </w:tcPr>
          <w:p w14:paraId="2E89DAF8"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641" w:type="dxa"/>
          </w:tcPr>
          <w:p w14:paraId="79A226B8" w14:textId="77777777" w:rsidR="008940B3" w:rsidRPr="003B5C8D" w:rsidRDefault="008940B3" w:rsidP="00E858EF">
            <w:pPr>
              <w:suppressAutoHyphens/>
              <w:jc w:val="center"/>
              <w:rPr>
                <w:sz w:val="16"/>
                <w:szCs w:val="16"/>
              </w:rPr>
            </w:pPr>
          </w:p>
        </w:tc>
        <w:tc>
          <w:tcPr>
            <w:tcW w:w="641" w:type="dxa"/>
            <w:hideMark/>
          </w:tcPr>
          <w:p w14:paraId="5CB45DBF" w14:textId="77777777" w:rsidR="008940B3" w:rsidRPr="003B5C8D" w:rsidRDefault="008940B3" w:rsidP="00E858EF">
            <w:pPr>
              <w:suppressAutoHyphens/>
              <w:jc w:val="center"/>
              <w:rPr>
                <w:sz w:val="16"/>
                <w:szCs w:val="16"/>
              </w:rPr>
            </w:pPr>
          </w:p>
        </w:tc>
      </w:tr>
      <w:tr w:rsidR="008940B3" w:rsidRPr="003B5C8D" w14:paraId="1C3C3FFA" w14:textId="77777777" w:rsidTr="008940B3">
        <w:trPr>
          <w:trHeight w:val="175"/>
        </w:trPr>
        <w:tc>
          <w:tcPr>
            <w:tcW w:w="1668" w:type="dxa"/>
          </w:tcPr>
          <w:p w14:paraId="7AF747F9" w14:textId="77777777" w:rsidR="008940B3" w:rsidRPr="003B5C8D" w:rsidRDefault="008940B3" w:rsidP="00E858EF">
            <w:pPr>
              <w:suppressAutoHyphens/>
              <w:rPr>
                <w:color w:val="000000"/>
                <w:sz w:val="16"/>
                <w:szCs w:val="16"/>
              </w:rPr>
            </w:pPr>
            <w:r w:rsidRPr="003B5C8D">
              <w:rPr>
                <w:sz w:val="16"/>
                <w:szCs w:val="16"/>
              </w:rPr>
              <w:t>DRAMIA</w:t>
            </w:r>
          </w:p>
        </w:tc>
        <w:tc>
          <w:tcPr>
            <w:tcW w:w="1207" w:type="dxa"/>
          </w:tcPr>
          <w:p w14:paraId="7B9121CD"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1069" w:type="dxa"/>
            <w:hideMark/>
          </w:tcPr>
          <w:p w14:paraId="09CAA98A" w14:textId="77777777" w:rsidR="008940B3" w:rsidRPr="003B5C8D" w:rsidRDefault="008940B3" w:rsidP="00E858EF">
            <w:pPr>
              <w:suppressAutoHyphens/>
              <w:jc w:val="center"/>
              <w:rPr>
                <w:sz w:val="16"/>
                <w:szCs w:val="16"/>
              </w:rPr>
            </w:pPr>
          </w:p>
        </w:tc>
        <w:tc>
          <w:tcPr>
            <w:tcW w:w="641" w:type="dxa"/>
            <w:hideMark/>
          </w:tcPr>
          <w:p w14:paraId="3ED6D48C" w14:textId="77777777" w:rsidR="008940B3" w:rsidRPr="003B5C8D" w:rsidRDefault="008940B3" w:rsidP="00E858EF">
            <w:pPr>
              <w:suppressAutoHyphens/>
              <w:jc w:val="center"/>
              <w:rPr>
                <w:sz w:val="16"/>
                <w:szCs w:val="16"/>
              </w:rPr>
            </w:pPr>
          </w:p>
        </w:tc>
        <w:tc>
          <w:tcPr>
            <w:tcW w:w="641" w:type="dxa"/>
          </w:tcPr>
          <w:p w14:paraId="52A4C84A" w14:textId="77777777" w:rsidR="008940B3" w:rsidRPr="003B5C8D" w:rsidRDefault="008940B3" w:rsidP="00E858EF">
            <w:pPr>
              <w:suppressAutoHyphens/>
              <w:jc w:val="center"/>
              <w:rPr>
                <w:sz w:val="16"/>
                <w:szCs w:val="16"/>
              </w:rPr>
            </w:pPr>
          </w:p>
        </w:tc>
        <w:tc>
          <w:tcPr>
            <w:tcW w:w="641" w:type="dxa"/>
          </w:tcPr>
          <w:p w14:paraId="16A49906" w14:textId="77777777" w:rsidR="008940B3" w:rsidRPr="003B5C8D" w:rsidRDefault="008940B3" w:rsidP="00E858EF">
            <w:pPr>
              <w:suppressAutoHyphens/>
              <w:jc w:val="center"/>
              <w:rPr>
                <w:sz w:val="16"/>
                <w:szCs w:val="16"/>
              </w:rPr>
            </w:pPr>
          </w:p>
        </w:tc>
        <w:tc>
          <w:tcPr>
            <w:tcW w:w="641" w:type="dxa"/>
          </w:tcPr>
          <w:p w14:paraId="438F425D" w14:textId="77777777" w:rsidR="008940B3" w:rsidRPr="003B5C8D" w:rsidRDefault="008940B3" w:rsidP="00E858EF">
            <w:pPr>
              <w:suppressAutoHyphens/>
              <w:jc w:val="center"/>
              <w:rPr>
                <w:sz w:val="16"/>
                <w:szCs w:val="16"/>
              </w:rPr>
            </w:pPr>
          </w:p>
        </w:tc>
        <w:tc>
          <w:tcPr>
            <w:tcW w:w="641" w:type="dxa"/>
          </w:tcPr>
          <w:p w14:paraId="69F1B2B0" w14:textId="77777777" w:rsidR="008940B3" w:rsidRPr="003B5C8D" w:rsidRDefault="008940B3" w:rsidP="00E858EF">
            <w:pPr>
              <w:suppressAutoHyphens/>
              <w:jc w:val="center"/>
              <w:rPr>
                <w:sz w:val="16"/>
                <w:szCs w:val="16"/>
              </w:rPr>
            </w:pPr>
          </w:p>
        </w:tc>
        <w:tc>
          <w:tcPr>
            <w:tcW w:w="641" w:type="dxa"/>
          </w:tcPr>
          <w:p w14:paraId="78610005" w14:textId="77777777" w:rsidR="008940B3" w:rsidRPr="003B5C8D" w:rsidRDefault="008940B3" w:rsidP="00E858EF">
            <w:pPr>
              <w:suppressAutoHyphens/>
              <w:jc w:val="center"/>
              <w:rPr>
                <w:sz w:val="16"/>
                <w:szCs w:val="16"/>
              </w:rPr>
            </w:pPr>
          </w:p>
        </w:tc>
        <w:tc>
          <w:tcPr>
            <w:tcW w:w="641" w:type="dxa"/>
            <w:hideMark/>
          </w:tcPr>
          <w:p w14:paraId="3C4ACA36" w14:textId="77777777" w:rsidR="008940B3" w:rsidRPr="003B5C8D" w:rsidRDefault="008940B3" w:rsidP="00E858EF">
            <w:pPr>
              <w:suppressAutoHyphens/>
              <w:jc w:val="center"/>
              <w:rPr>
                <w:sz w:val="16"/>
                <w:szCs w:val="16"/>
              </w:rPr>
            </w:pPr>
          </w:p>
        </w:tc>
      </w:tr>
      <w:tr w:rsidR="008940B3" w:rsidRPr="003B5C8D" w14:paraId="18946BEE" w14:textId="77777777" w:rsidTr="008940B3">
        <w:trPr>
          <w:trHeight w:val="175"/>
        </w:trPr>
        <w:tc>
          <w:tcPr>
            <w:tcW w:w="1668" w:type="dxa"/>
          </w:tcPr>
          <w:p w14:paraId="4E6F22CD" w14:textId="77777777" w:rsidR="008940B3" w:rsidRPr="003B5C8D" w:rsidRDefault="008940B3" w:rsidP="00E858EF">
            <w:pPr>
              <w:suppressAutoHyphens/>
              <w:rPr>
                <w:color w:val="000000"/>
                <w:sz w:val="16"/>
                <w:szCs w:val="16"/>
              </w:rPr>
            </w:pPr>
            <w:r w:rsidRPr="003B5C8D">
              <w:rPr>
                <w:sz w:val="16"/>
                <w:szCs w:val="16"/>
              </w:rPr>
              <w:t>KALAMAS MYLOPOTAMOS</w:t>
            </w:r>
          </w:p>
        </w:tc>
        <w:tc>
          <w:tcPr>
            <w:tcW w:w="1207" w:type="dxa"/>
          </w:tcPr>
          <w:p w14:paraId="1896E92B"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tcPr>
          <w:p w14:paraId="707BD02A" w14:textId="77777777" w:rsidR="008940B3" w:rsidRPr="003B5C8D" w:rsidRDefault="008940B3" w:rsidP="00E858EF">
            <w:pPr>
              <w:suppressAutoHyphens/>
              <w:jc w:val="center"/>
              <w:rPr>
                <w:sz w:val="16"/>
                <w:szCs w:val="16"/>
              </w:rPr>
            </w:pPr>
          </w:p>
        </w:tc>
        <w:tc>
          <w:tcPr>
            <w:tcW w:w="641" w:type="dxa"/>
          </w:tcPr>
          <w:p w14:paraId="58EDC847" w14:textId="77777777" w:rsidR="008940B3" w:rsidRPr="003B5C8D" w:rsidRDefault="008940B3" w:rsidP="00E858EF">
            <w:pPr>
              <w:suppressAutoHyphens/>
              <w:jc w:val="center"/>
              <w:rPr>
                <w:sz w:val="16"/>
                <w:szCs w:val="16"/>
              </w:rPr>
            </w:pPr>
          </w:p>
        </w:tc>
        <w:tc>
          <w:tcPr>
            <w:tcW w:w="641" w:type="dxa"/>
          </w:tcPr>
          <w:p w14:paraId="352930B9" w14:textId="77777777" w:rsidR="008940B3" w:rsidRPr="003B5C8D" w:rsidRDefault="008940B3" w:rsidP="00E858EF">
            <w:pPr>
              <w:suppressAutoHyphens/>
              <w:jc w:val="center"/>
              <w:rPr>
                <w:sz w:val="16"/>
                <w:szCs w:val="16"/>
              </w:rPr>
            </w:pPr>
          </w:p>
        </w:tc>
        <w:tc>
          <w:tcPr>
            <w:tcW w:w="641" w:type="dxa"/>
          </w:tcPr>
          <w:p w14:paraId="083EF663" w14:textId="77777777" w:rsidR="008940B3" w:rsidRPr="003B5C8D" w:rsidRDefault="008940B3" w:rsidP="00E858EF">
            <w:pPr>
              <w:suppressAutoHyphens/>
              <w:jc w:val="center"/>
              <w:rPr>
                <w:sz w:val="16"/>
                <w:szCs w:val="16"/>
              </w:rPr>
            </w:pPr>
          </w:p>
        </w:tc>
        <w:tc>
          <w:tcPr>
            <w:tcW w:w="641" w:type="dxa"/>
          </w:tcPr>
          <w:p w14:paraId="727EEAE2" w14:textId="77777777" w:rsidR="008940B3" w:rsidRPr="003B5C8D" w:rsidRDefault="008940B3" w:rsidP="00E858EF">
            <w:pPr>
              <w:suppressAutoHyphens/>
              <w:jc w:val="center"/>
              <w:rPr>
                <w:sz w:val="16"/>
                <w:szCs w:val="16"/>
              </w:rPr>
            </w:pPr>
          </w:p>
        </w:tc>
        <w:tc>
          <w:tcPr>
            <w:tcW w:w="641" w:type="dxa"/>
          </w:tcPr>
          <w:p w14:paraId="0A05E5C7" w14:textId="77777777" w:rsidR="008940B3" w:rsidRPr="003B5C8D" w:rsidRDefault="008940B3" w:rsidP="00E858EF">
            <w:pPr>
              <w:suppressAutoHyphens/>
              <w:jc w:val="center"/>
              <w:rPr>
                <w:sz w:val="16"/>
                <w:szCs w:val="16"/>
              </w:rPr>
            </w:pPr>
          </w:p>
        </w:tc>
        <w:tc>
          <w:tcPr>
            <w:tcW w:w="641" w:type="dxa"/>
          </w:tcPr>
          <w:p w14:paraId="1F4CB892" w14:textId="77777777" w:rsidR="008940B3" w:rsidRPr="003B5C8D" w:rsidRDefault="008940B3" w:rsidP="00E858EF">
            <w:pPr>
              <w:suppressAutoHyphens/>
              <w:jc w:val="center"/>
              <w:rPr>
                <w:color w:val="000000"/>
                <w:sz w:val="16"/>
                <w:szCs w:val="16"/>
              </w:rPr>
            </w:pPr>
          </w:p>
        </w:tc>
        <w:tc>
          <w:tcPr>
            <w:tcW w:w="641" w:type="dxa"/>
          </w:tcPr>
          <w:p w14:paraId="5D517222" w14:textId="77777777" w:rsidR="008940B3" w:rsidRPr="003B5C8D" w:rsidRDefault="008940B3" w:rsidP="00E858EF">
            <w:pPr>
              <w:suppressAutoHyphens/>
              <w:jc w:val="center"/>
              <w:rPr>
                <w:sz w:val="16"/>
                <w:szCs w:val="16"/>
              </w:rPr>
            </w:pPr>
          </w:p>
        </w:tc>
      </w:tr>
      <w:tr w:rsidR="008940B3" w:rsidRPr="003B5C8D" w14:paraId="17D3EE10" w14:textId="77777777" w:rsidTr="008940B3">
        <w:trPr>
          <w:trHeight w:val="175"/>
        </w:trPr>
        <w:tc>
          <w:tcPr>
            <w:tcW w:w="1668" w:type="dxa"/>
          </w:tcPr>
          <w:p w14:paraId="10FD3A51" w14:textId="77777777" w:rsidR="008940B3" w:rsidRPr="003B5C8D" w:rsidRDefault="008940B3" w:rsidP="00E858EF">
            <w:pPr>
              <w:suppressAutoHyphens/>
              <w:rPr>
                <w:color w:val="000000"/>
                <w:sz w:val="16"/>
                <w:szCs w:val="16"/>
              </w:rPr>
            </w:pPr>
            <w:r w:rsidRPr="003B5C8D">
              <w:rPr>
                <w:sz w:val="16"/>
                <w:szCs w:val="16"/>
              </w:rPr>
              <w:t>KASTELLOS APOKORONOU</w:t>
            </w:r>
          </w:p>
        </w:tc>
        <w:tc>
          <w:tcPr>
            <w:tcW w:w="1207" w:type="dxa"/>
          </w:tcPr>
          <w:p w14:paraId="5DB2F962"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tcPr>
          <w:p w14:paraId="36161B24" w14:textId="77777777" w:rsidR="008940B3" w:rsidRPr="003B5C8D" w:rsidRDefault="008940B3" w:rsidP="00E858EF">
            <w:pPr>
              <w:suppressAutoHyphens/>
              <w:jc w:val="center"/>
              <w:rPr>
                <w:sz w:val="16"/>
                <w:szCs w:val="16"/>
              </w:rPr>
            </w:pPr>
          </w:p>
        </w:tc>
        <w:tc>
          <w:tcPr>
            <w:tcW w:w="641" w:type="dxa"/>
          </w:tcPr>
          <w:p w14:paraId="091BF532" w14:textId="77777777" w:rsidR="008940B3" w:rsidRPr="003B5C8D" w:rsidRDefault="008940B3" w:rsidP="00E858EF">
            <w:pPr>
              <w:suppressAutoHyphens/>
              <w:jc w:val="center"/>
              <w:rPr>
                <w:sz w:val="16"/>
                <w:szCs w:val="16"/>
              </w:rPr>
            </w:pPr>
          </w:p>
        </w:tc>
        <w:tc>
          <w:tcPr>
            <w:tcW w:w="641" w:type="dxa"/>
          </w:tcPr>
          <w:p w14:paraId="109A2CB9" w14:textId="77777777" w:rsidR="008940B3" w:rsidRPr="003B5C8D" w:rsidRDefault="008940B3" w:rsidP="00E858EF">
            <w:pPr>
              <w:suppressAutoHyphens/>
              <w:jc w:val="center"/>
              <w:rPr>
                <w:sz w:val="16"/>
                <w:szCs w:val="16"/>
              </w:rPr>
            </w:pPr>
          </w:p>
        </w:tc>
        <w:tc>
          <w:tcPr>
            <w:tcW w:w="641" w:type="dxa"/>
          </w:tcPr>
          <w:p w14:paraId="05B27978" w14:textId="77777777" w:rsidR="008940B3" w:rsidRPr="003B5C8D" w:rsidRDefault="008940B3" w:rsidP="00E858EF">
            <w:pPr>
              <w:suppressAutoHyphens/>
              <w:jc w:val="center"/>
              <w:rPr>
                <w:sz w:val="16"/>
                <w:szCs w:val="16"/>
              </w:rPr>
            </w:pPr>
          </w:p>
        </w:tc>
        <w:tc>
          <w:tcPr>
            <w:tcW w:w="641" w:type="dxa"/>
          </w:tcPr>
          <w:p w14:paraId="2AEAB647" w14:textId="77777777" w:rsidR="008940B3" w:rsidRPr="003B5C8D" w:rsidRDefault="008940B3" w:rsidP="00E858EF">
            <w:pPr>
              <w:suppressAutoHyphens/>
              <w:jc w:val="center"/>
              <w:rPr>
                <w:sz w:val="16"/>
                <w:szCs w:val="16"/>
              </w:rPr>
            </w:pPr>
          </w:p>
        </w:tc>
        <w:tc>
          <w:tcPr>
            <w:tcW w:w="641" w:type="dxa"/>
          </w:tcPr>
          <w:p w14:paraId="095F98CA" w14:textId="77777777" w:rsidR="008940B3" w:rsidRPr="003B5C8D" w:rsidRDefault="008940B3" w:rsidP="00E858EF">
            <w:pPr>
              <w:suppressAutoHyphens/>
              <w:jc w:val="center"/>
              <w:rPr>
                <w:sz w:val="16"/>
                <w:szCs w:val="16"/>
              </w:rPr>
            </w:pPr>
          </w:p>
        </w:tc>
        <w:tc>
          <w:tcPr>
            <w:tcW w:w="641" w:type="dxa"/>
          </w:tcPr>
          <w:p w14:paraId="33752C70" w14:textId="77777777" w:rsidR="008940B3" w:rsidRPr="003B5C8D" w:rsidRDefault="008940B3" w:rsidP="00E858EF">
            <w:pPr>
              <w:suppressAutoHyphens/>
              <w:jc w:val="center"/>
              <w:rPr>
                <w:sz w:val="16"/>
                <w:szCs w:val="16"/>
              </w:rPr>
            </w:pPr>
          </w:p>
        </w:tc>
        <w:tc>
          <w:tcPr>
            <w:tcW w:w="641" w:type="dxa"/>
          </w:tcPr>
          <w:p w14:paraId="3136A13A" w14:textId="77777777" w:rsidR="008940B3" w:rsidRPr="003B5C8D" w:rsidRDefault="008940B3" w:rsidP="00E858EF">
            <w:pPr>
              <w:suppressAutoHyphens/>
              <w:jc w:val="center"/>
              <w:rPr>
                <w:sz w:val="16"/>
                <w:szCs w:val="16"/>
              </w:rPr>
            </w:pPr>
          </w:p>
        </w:tc>
      </w:tr>
      <w:tr w:rsidR="008940B3" w:rsidRPr="003B5C8D" w14:paraId="62C82984" w14:textId="77777777" w:rsidTr="008940B3">
        <w:trPr>
          <w:trHeight w:val="175"/>
        </w:trPr>
        <w:tc>
          <w:tcPr>
            <w:tcW w:w="1668" w:type="dxa"/>
          </w:tcPr>
          <w:p w14:paraId="386093EF" w14:textId="77777777" w:rsidR="008940B3" w:rsidRPr="003B5C8D" w:rsidRDefault="008940B3" w:rsidP="00E858EF">
            <w:pPr>
              <w:suppressAutoHyphens/>
              <w:rPr>
                <w:color w:val="000000"/>
                <w:sz w:val="16"/>
                <w:szCs w:val="16"/>
              </w:rPr>
            </w:pPr>
            <w:r w:rsidRPr="003B5C8D">
              <w:rPr>
                <w:rFonts w:eastAsia="Times New Roman"/>
                <w:color w:val="000000"/>
                <w:sz w:val="16"/>
                <w:szCs w:val="16"/>
              </w:rPr>
              <w:t>MAGNESIA</w:t>
            </w:r>
          </w:p>
        </w:tc>
        <w:tc>
          <w:tcPr>
            <w:tcW w:w="1207" w:type="dxa"/>
          </w:tcPr>
          <w:p w14:paraId="6C181389"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tcPr>
          <w:p w14:paraId="72B25532" w14:textId="77777777" w:rsidR="008940B3" w:rsidRPr="003B5C8D" w:rsidRDefault="008940B3" w:rsidP="00E858EF">
            <w:pPr>
              <w:suppressAutoHyphens/>
              <w:jc w:val="center"/>
              <w:rPr>
                <w:sz w:val="16"/>
                <w:szCs w:val="16"/>
              </w:rPr>
            </w:pPr>
          </w:p>
        </w:tc>
        <w:tc>
          <w:tcPr>
            <w:tcW w:w="641" w:type="dxa"/>
          </w:tcPr>
          <w:p w14:paraId="3E7B44B1" w14:textId="77777777" w:rsidR="008940B3" w:rsidRPr="003B5C8D" w:rsidRDefault="008940B3" w:rsidP="00E858EF">
            <w:pPr>
              <w:suppressAutoHyphens/>
              <w:jc w:val="center"/>
              <w:rPr>
                <w:sz w:val="16"/>
                <w:szCs w:val="16"/>
              </w:rPr>
            </w:pPr>
          </w:p>
        </w:tc>
        <w:tc>
          <w:tcPr>
            <w:tcW w:w="641" w:type="dxa"/>
          </w:tcPr>
          <w:p w14:paraId="1A0718F0" w14:textId="77777777" w:rsidR="008940B3" w:rsidRPr="003B5C8D" w:rsidRDefault="008940B3" w:rsidP="00E858EF">
            <w:pPr>
              <w:suppressAutoHyphens/>
              <w:jc w:val="center"/>
              <w:rPr>
                <w:sz w:val="16"/>
                <w:szCs w:val="16"/>
              </w:rPr>
            </w:pPr>
          </w:p>
        </w:tc>
        <w:tc>
          <w:tcPr>
            <w:tcW w:w="641" w:type="dxa"/>
          </w:tcPr>
          <w:p w14:paraId="1D54727A" w14:textId="77777777" w:rsidR="008940B3" w:rsidRPr="003B5C8D" w:rsidRDefault="008940B3" w:rsidP="00E858EF">
            <w:pPr>
              <w:suppressAutoHyphens/>
              <w:jc w:val="center"/>
              <w:rPr>
                <w:sz w:val="16"/>
                <w:szCs w:val="16"/>
              </w:rPr>
            </w:pPr>
          </w:p>
        </w:tc>
        <w:tc>
          <w:tcPr>
            <w:tcW w:w="641" w:type="dxa"/>
          </w:tcPr>
          <w:p w14:paraId="4BB86A24" w14:textId="77777777" w:rsidR="008940B3" w:rsidRPr="003B5C8D" w:rsidRDefault="008940B3" w:rsidP="00E858EF">
            <w:pPr>
              <w:suppressAutoHyphens/>
              <w:jc w:val="center"/>
              <w:rPr>
                <w:sz w:val="16"/>
                <w:szCs w:val="16"/>
              </w:rPr>
            </w:pPr>
          </w:p>
        </w:tc>
        <w:tc>
          <w:tcPr>
            <w:tcW w:w="641" w:type="dxa"/>
          </w:tcPr>
          <w:p w14:paraId="7CCCCD47" w14:textId="77777777" w:rsidR="008940B3" w:rsidRPr="003B5C8D" w:rsidRDefault="008940B3" w:rsidP="00E858EF">
            <w:pPr>
              <w:suppressAutoHyphens/>
              <w:jc w:val="center"/>
              <w:rPr>
                <w:sz w:val="16"/>
                <w:szCs w:val="16"/>
              </w:rPr>
            </w:pPr>
          </w:p>
        </w:tc>
        <w:tc>
          <w:tcPr>
            <w:tcW w:w="641" w:type="dxa"/>
          </w:tcPr>
          <w:p w14:paraId="57EC13B4" w14:textId="77777777" w:rsidR="008940B3" w:rsidRPr="003B5C8D" w:rsidRDefault="008940B3" w:rsidP="00E858EF">
            <w:pPr>
              <w:suppressAutoHyphens/>
              <w:jc w:val="center"/>
              <w:rPr>
                <w:sz w:val="16"/>
                <w:szCs w:val="16"/>
              </w:rPr>
            </w:pPr>
          </w:p>
        </w:tc>
        <w:tc>
          <w:tcPr>
            <w:tcW w:w="641" w:type="dxa"/>
          </w:tcPr>
          <w:p w14:paraId="16BCC46C" w14:textId="77777777" w:rsidR="008940B3" w:rsidRPr="003B5C8D" w:rsidRDefault="008940B3" w:rsidP="00E858EF">
            <w:pPr>
              <w:suppressAutoHyphens/>
              <w:jc w:val="center"/>
              <w:rPr>
                <w:sz w:val="16"/>
                <w:szCs w:val="16"/>
              </w:rPr>
            </w:pPr>
          </w:p>
        </w:tc>
      </w:tr>
      <w:tr w:rsidR="008940B3" w:rsidRPr="003B5C8D" w14:paraId="7A73B849" w14:textId="77777777" w:rsidTr="008940B3">
        <w:trPr>
          <w:trHeight w:val="175"/>
        </w:trPr>
        <w:tc>
          <w:tcPr>
            <w:tcW w:w="1668" w:type="dxa"/>
          </w:tcPr>
          <w:p w14:paraId="33ED9554" w14:textId="77777777" w:rsidR="008940B3" w:rsidRPr="003B5C8D" w:rsidRDefault="008940B3" w:rsidP="00E858EF">
            <w:pPr>
              <w:suppressAutoHyphens/>
              <w:rPr>
                <w:color w:val="000000"/>
                <w:sz w:val="16"/>
                <w:szCs w:val="16"/>
              </w:rPr>
            </w:pPr>
            <w:r w:rsidRPr="003B5C8D">
              <w:rPr>
                <w:rFonts w:eastAsia="Times New Roman"/>
                <w:color w:val="000000"/>
                <w:sz w:val="16"/>
                <w:szCs w:val="16"/>
              </w:rPr>
              <w:t>MARGARITES</w:t>
            </w:r>
          </w:p>
        </w:tc>
        <w:tc>
          <w:tcPr>
            <w:tcW w:w="1207" w:type="dxa"/>
          </w:tcPr>
          <w:p w14:paraId="3C869254"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tcPr>
          <w:p w14:paraId="11A8800D" w14:textId="77777777" w:rsidR="008940B3" w:rsidRPr="003B5C8D" w:rsidRDefault="008940B3" w:rsidP="00E858EF">
            <w:pPr>
              <w:suppressAutoHyphens/>
              <w:jc w:val="center"/>
              <w:rPr>
                <w:sz w:val="16"/>
                <w:szCs w:val="16"/>
              </w:rPr>
            </w:pPr>
          </w:p>
        </w:tc>
        <w:tc>
          <w:tcPr>
            <w:tcW w:w="641" w:type="dxa"/>
          </w:tcPr>
          <w:p w14:paraId="08453CE8" w14:textId="77777777" w:rsidR="008940B3" w:rsidRPr="003B5C8D" w:rsidRDefault="008940B3" w:rsidP="00E858EF">
            <w:pPr>
              <w:suppressAutoHyphens/>
              <w:jc w:val="center"/>
              <w:rPr>
                <w:sz w:val="16"/>
                <w:szCs w:val="16"/>
              </w:rPr>
            </w:pPr>
          </w:p>
        </w:tc>
        <w:tc>
          <w:tcPr>
            <w:tcW w:w="641" w:type="dxa"/>
          </w:tcPr>
          <w:p w14:paraId="633E3D03" w14:textId="77777777" w:rsidR="008940B3" w:rsidRPr="003B5C8D" w:rsidRDefault="008940B3" w:rsidP="00E858EF">
            <w:pPr>
              <w:suppressAutoHyphens/>
              <w:jc w:val="center"/>
              <w:rPr>
                <w:sz w:val="16"/>
                <w:szCs w:val="16"/>
              </w:rPr>
            </w:pPr>
          </w:p>
        </w:tc>
        <w:tc>
          <w:tcPr>
            <w:tcW w:w="641" w:type="dxa"/>
          </w:tcPr>
          <w:p w14:paraId="65B786C9" w14:textId="77777777" w:rsidR="008940B3" w:rsidRPr="003B5C8D" w:rsidRDefault="008940B3" w:rsidP="00E858EF">
            <w:pPr>
              <w:suppressAutoHyphens/>
              <w:jc w:val="center"/>
              <w:rPr>
                <w:sz w:val="16"/>
                <w:szCs w:val="16"/>
              </w:rPr>
            </w:pPr>
          </w:p>
        </w:tc>
        <w:tc>
          <w:tcPr>
            <w:tcW w:w="641" w:type="dxa"/>
          </w:tcPr>
          <w:p w14:paraId="4CBAC009" w14:textId="77777777" w:rsidR="008940B3" w:rsidRPr="003B5C8D" w:rsidRDefault="008940B3" w:rsidP="00E858EF">
            <w:pPr>
              <w:suppressAutoHyphens/>
              <w:jc w:val="center"/>
              <w:rPr>
                <w:sz w:val="16"/>
                <w:szCs w:val="16"/>
              </w:rPr>
            </w:pPr>
          </w:p>
        </w:tc>
        <w:tc>
          <w:tcPr>
            <w:tcW w:w="641" w:type="dxa"/>
          </w:tcPr>
          <w:p w14:paraId="3365EC24" w14:textId="77777777" w:rsidR="008940B3" w:rsidRPr="003B5C8D" w:rsidRDefault="008940B3" w:rsidP="00E858EF">
            <w:pPr>
              <w:suppressAutoHyphens/>
              <w:jc w:val="center"/>
              <w:rPr>
                <w:sz w:val="16"/>
                <w:szCs w:val="16"/>
              </w:rPr>
            </w:pPr>
          </w:p>
        </w:tc>
        <w:tc>
          <w:tcPr>
            <w:tcW w:w="641" w:type="dxa"/>
          </w:tcPr>
          <w:p w14:paraId="6820F6DE" w14:textId="77777777" w:rsidR="008940B3" w:rsidRPr="003B5C8D" w:rsidRDefault="008940B3" w:rsidP="00E858EF">
            <w:pPr>
              <w:suppressAutoHyphens/>
              <w:jc w:val="center"/>
              <w:rPr>
                <w:sz w:val="16"/>
                <w:szCs w:val="16"/>
              </w:rPr>
            </w:pPr>
          </w:p>
        </w:tc>
        <w:tc>
          <w:tcPr>
            <w:tcW w:w="641" w:type="dxa"/>
          </w:tcPr>
          <w:p w14:paraId="53ABA207" w14:textId="77777777" w:rsidR="008940B3" w:rsidRPr="003B5C8D" w:rsidRDefault="008940B3" w:rsidP="00E858EF">
            <w:pPr>
              <w:suppressAutoHyphens/>
              <w:jc w:val="center"/>
              <w:rPr>
                <w:sz w:val="16"/>
                <w:szCs w:val="16"/>
              </w:rPr>
            </w:pPr>
          </w:p>
        </w:tc>
      </w:tr>
      <w:tr w:rsidR="008940B3" w:rsidRPr="003B5C8D" w14:paraId="72EDD25A" w14:textId="77777777" w:rsidTr="008940B3">
        <w:trPr>
          <w:trHeight w:val="175"/>
        </w:trPr>
        <w:tc>
          <w:tcPr>
            <w:tcW w:w="1668" w:type="dxa"/>
          </w:tcPr>
          <w:p w14:paraId="4471CF3E" w14:textId="77777777" w:rsidR="008940B3" w:rsidRPr="003B5C8D" w:rsidRDefault="008940B3" w:rsidP="00E858EF">
            <w:pPr>
              <w:suppressAutoHyphens/>
              <w:rPr>
                <w:color w:val="000000"/>
                <w:sz w:val="16"/>
                <w:szCs w:val="16"/>
              </w:rPr>
            </w:pPr>
            <w:r w:rsidRPr="003B5C8D">
              <w:rPr>
                <w:rFonts w:eastAsia="Times New Roman"/>
                <w:color w:val="000000"/>
                <w:sz w:val="16"/>
                <w:szCs w:val="16"/>
              </w:rPr>
              <w:t>MAROULAS</w:t>
            </w:r>
          </w:p>
        </w:tc>
        <w:tc>
          <w:tcPr>
            <w:tcW w:w="1207" w:type="dxa"/>
          </w:tcPr>
          <w:p w14:paraId="5D2847C7"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tcPr>
          <w:p w14:paraId="6D56775B" w14:textId="77777777" w:rsidR="008940B3" w:rsidRPr="003B5C8D" w:rsidRDefault="008940B3" w:rsidP="00E858EF">
            <w:pPr>
              <w:suppressAutoHyphens/>
              <w:jc w:val="center"/>
              <w:rPr>
                <w:sz w:val="16"/>
                <w:szCs w:val="16"/>
              </w:rPr>
            </w:pPr>
          </w:p>
        </w:tc>
        <w:tc>
          <w:tcPr>
            <w:tcW w:w="641" w:type="dxa"/>
          </w:tcPr>
          <w:p w14:paraId="292DC4A3" w14:textId="77777777" w:rsidR="008940B3" w:rsidRPr="003B5C8D" w:rsidRDefault="008940B3" w:rsidP="00E858EF">
            <w:pPr>
              <w:suppressAutoHyphens/>
              <w:jc w:val="center"/>
              <w:rPr>
                <w:sz w:val="16"/>
                <w:szCs w:val="16"/>
              </w:rPr>
            </w:pPr>
            <w:r w:rsidRPr="008D404C">
              <w:rPr>
                <w:rFonts w:ascii="Lucida Grande" w:hAnsi="Lucida Grande" w:cs="Lucida Grande"/>
                <w:color w:val="000000"/>
                <w:sz w:val="16"/>
                <w:szCs w:val="16"/>
              </w:rPr>
              <w:t>✓</w:t>
            </w:r>
          </w:p>
        </w:tc>
        <w:tc>
          <w:tcPr>
            <w:tcW w:w="641" w:type="dxa"/>
          </w:tcPr>
          <w:p w14:paraId="5BDD6E51" w14:textId="77777777" w:rsidR="008940B3" w:rsidRPr="003B5C8D" w:rsidRDefault="008940B3" w:rsidP="00E858EF">
            <w:pPr>
              <w:suppressAutoHyphens/>
              <w:jc w:val="center"/>
              <w:rPr>
                <w:sz w:val="16"/>
                <w:szCs w:val="16"/>
              </w:rPr>
            </w:pPr>
          </w:p>
        </w:tc>
        <w:tc>
          <w:tcPr>
            <w:tcW w:w="641" w:type="dxa"/>
          </w:tcPr>
          <w:p w14:paraId="58DDEFBE" w14:textId="77777777" w:rsidR="008940B3" w:rsidRPr="003B5C8D" w:rsidRDefault="008940B3" w:rsidP="00E858EF">
            <w:pPr>
              <w:suppressAutoHyphens/>
              <w:jc w:val="center"/>
              <w:rPr>
                <w:sz w:val="16"/>
                <w:szCs w:val="16"/>
              </w:rPr>
            </w:pPr>
          </w:p>
        </w:tc>
        <w:tc>
          <w:tcPr>
            <w:tcW w:w="641" w:type="dxa"/>
          </w:tcPr>
          <w:p w14:paraId="55432F74" w14:textId="77777777" w:rsidR="008940B3" w:rsidRPr="003B5C8D" w:rsidRDefault="008940B3" w:rsidP="00E858EF">
            <w:pPr>
              <w:suppressAutoHyphens/>
              <w:jc w:val="center"/>
              <w:rPr>
                <w:sz w:val="16"/>
                <w:szCs w:val="16"/>
              </w:rPr>
            </w:pPr>
          </w:p>
        </w:tc>
        <w:tc>
          <w:tcPr>
            <w:tcW w:w="641" w:type="dxa"/>
          </w:tcPr>
          <w:p w14:paraId="0D805068"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641" w:type="dxa"/>
          </w:tcPr>
          <w:p w14:paraId="0E996267" w14:textId="77777777" w:rsidR="008940B3" w:rsidRPr="003B5C8D" w:rsidRDefault="008940B3" w:rsidP="00E858EF">
            <w:pPr>
              <w:suppressAutoHyphens/>
              <w:jc w:val="center"/>
              <w:rPr>
                <w:sz w:val="16"/>
                <w:szCs w:val="16"/>
              </w:rPr>
            </w:pPr>
          </w:p>
        </w:tc>
        <w:tc>
          <w:tcPr>
            <w:tcW w:w="641" w:type="dxa"/>
          </w:tcPr>
          <w:p w14:paraId="2D60BADF" w14:textId="77777777" w:rsidR="008940B3" w:rsidRPr="003B5C8D" w:rsidRDefault="008940B3" w:rsidP="00E858EF">
            <w:pPr>
              <w:suppressAutoHyphens/>
              <w:jc w:val="center"/>
              <w:rPr>
                <w:sz w:val="16"/>
                <w:szCs w:val="16"/>
              </w:rPr>
            </w:pPr>
          </w:p>
        </w:tc>
      </w:tr>
      <w:tr w:rsidR="008940B3" w:rsidRPr="003B5C8D" w14:paraId="005E8CB7" w14:textId="77777777" w:rsidTr="008940B3">
        <w:trPr>
          <w:trHeight w:val="175"/>
        </w:trPr>
        <w:tc>
          <w:tcPr>
            <w:tcW w:w="1668" w:type="dxa"/>
          </w:tcPr>
          <w:p w14:paraId="28ABC2A1"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MELIDONI</w:t>
            </w:r>
          </w:p>
        </w:tc>
        <w:tc>
          <w:tcPr>
            <w:tcW w:w="1207" w:type="dxa"/>
          </w:tcPr>
          <w:p w14:paraId="60565EBF"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tcPr>
          <w:p w14:paraId="6C7DB16E" w14:textId="77777777" w:rsidR="008940B3" w:rsidRPr="003B5C8D" w:rsidRDefault="008940B3" w:rsidP="00E858EF">
            <w:pPr>
              <w:suppressAutoHyphens/>
              <w:jc w:val="center"/>
              <w:rPr>
                <w:sz w:val="16"/>
                <w:szCs w:val="16"/>
              </w:rPr>
            </w:pPr>
          </w:p>
        </w:tc>
        <w:tc>
          <w:tcPr>
            <w:tcW w:w="641" w:type="dxa"/>
          </w:tcPr>
          <w:p w14:paraId="2D0CC651" w14:textId="77777777" w:rsidR="008940B3" w:rsidRPr="003B5C8D" w:rsidRDefault="008940B3" w:rsidP="00E858EF">
            <w:pPr>
              <w:suppressAutoHyphens/>
              <w:jc w:val="center"/>
              <w:rPr>
                <w:color w:val="000000"/>
                <w:sz w:val="16"/>
                <w:szCs w:val="16"/>
              </w:rPr>
            </w:pPr>
          </w:p>
        </w:tc>
        <w:tc>
          <w:tcPr>
            <w:tcW w:w="641" w:type="dxa"/>
          </w:tcPr>
          <w:p w14:paraId="5E20E6EB" w14:textId="77777777" w:rsidR="008940B3" w:rsidRPr="003B5C8D" w:rsidRDefault="008940B3" w:rsidP="00E858EF">
            <w:pPr>
              <w:suppressAutoHyphens/>
              <w:jc w:val="center"/>
              <w:rPr>
                <w:sz w:val="16"/>
                <w:szCs w:val="16"/>
              </w:rPr>
            </w:pPr>
          </w:p>
        </w:tc>
        <w:tc>
          <w:tcPr>
            <w:tcW w:w="641" w:type="dxa"/>
          </w:tcPr>
          <w:p w14:paraId="2F47A8E1" w14:textId="77777777" w:rsidR="008940B3" w:rsidRPr="003B5C8D" w:rsidRDefault="008940B3" w:rsidP="00E858EF">
            <w:pPr>
              <w:suppressAutoHyphens/>
              <w:jc w:val="center"/>
              <w:rPr>
                <w:sz w:val="16"/>
                <w:szCs w:val="16"/>
              </w:rPr>
            </w:pPr>
          </w:p>
        </w:tc>
        <w:tc>
          <w:tcPr>
            <w:tcW w:w="641" w:type="dxa"/>
          </w:tcPr>
          <w:p w14:paraId="6B267B9B" w14:textId="77777777" w:rsidR="008940B3" w:rsidRPr="003B5C8D" w:rsidRDefault="008940B3" w:rsidP="00E858EF">
            <w:pPr>
              <w:suppressAutoHyphens/>
              <w:jc w:val="center"/>
              <w:rPr>
                <w:sz w:val="16"/>
                <w:szCs w:val="16"/>
              </w:rPr>
            </w:pPr>
          </w:p>
        </w:tc>
        <w:tc>
          <w:tcPr>
            <w:tcW w:w="641" w:type="dxa"/>
          </w:tcPr>
          <w:p w14:paraId="3E60C82B"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641" w:type="dxa"/>
          </w:tcPr>
          <w:p w14:paraId="21EBF1F7" w14:textId="77777777" w:rsidR="008940B3" w:rsidRPr="003B5C8D" w:rsidRDefault="008940B3" w:rsidP="00E858EF">
            <w:pPr>
              <w:suppressAutoHyphens/>
              <w:jc w:val="center"/>
              <w:rPr>
                <w:sz w:val="16"/>
                <w:szCs w:val="16"/>
              </w:rPr>
            </w:pPr>
          </w:p>
        </w:tc>
        <w:tc>
          <w:tcPr>
            <w:tcW w:w="641" w:type="dxa"/>
          </w:tcPr>
          <w:p w14:paraId="73AE4A1F" w14:textId="77777777" w:rsidR="008940B3" w:rsidRPr="003B5C8D" w:rsidRDefault="008940B3" w:rsidP="00E858EF">
            <w:pPr>
              <w:suppressAutoHyphens/>
              <w:jc w:val="center"/>
              <w:rPr>
                <w:color w:val="000000"/>
                <w:sz w:val="16"/>
                <w:szCs w:val="16"/>
              </w:rPr>
            </w:pPr>
          </w:p>
        </w:tc>
      </w:tr>
      <w:tr w:rsidR="008940B3" w:rsidRPr="003B5C8D" w14:paraId="669EBF3D" w14:textId="77777777" w:rsidTr="008940B3">
        <w:trPr>
          <w:trHeight w:val="175"/>
        </w:trPr>
        <w:tc>
          <w:tcPr>
            <w:tcW w:w="1668" w:type="dxa"/>
          </w:tcPr>
          <w:p w14:paraId="4648E8ED" w14:textId="77777777" w:rsidR="008940B3" w:rsidRPr="003B5C8D" w:rsidRDefault="008940B3" w:rsidP="00E858EF">
            <w:pPr>
              <w:suppressAutoHyphens/>
              <w:rPr>
                <w:color w:val="000000"/>
                <w:sz w:val="16"/>
                <w:szCs w:val="16"/>
              </w:rPr>
            </w:pPr>
            <w:r w:rsidRPr="003B5C8D">
              <w:rPr>
                <w:rFonts w:eastAsia="Times New Roman"/>
                <w:color w:val="000000"/>
                <w:sz w:val="16"/>
                <w:szCs w:val="16"/>
              </w:rPr>
              <w:t>MESI</w:t>
            </w:r>
          </w:p>
        </w:tc>
        <w:tc>
          <w:tcPr>
            <w:tcW w:w="1207" w:type="dxa"/>
          </w:tcPr>
          <w:p w14:paraId="761C9886"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tcPr>
          <w:p w14:paraId="42143F65" w14:textId="77777777" w:rsidR="008940B3" w:rsidRPr="003B5C8D" w:rsidRDefault="008940B3" w:rsidP="00E858EF">
            <w:pPr>
              <w:suppressAutoHyphens/>
              <w:jc w:val="center"/>
              <w:rPr>
                <w:sz w:val="16"/>
                <w:szCs w:val="16"/>
              </w:rPr>
            </w:pPr>
          </w:p>
        </w:tc>
        <w:tc>
          <w:tcPr>
            <w:tcW w:w="641" w:type="dxa"/>
          </w:tcPr>
          <w:p w14:paraId="1DD0E321"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641" w:type="dxa"/>
          </w:tcPr>
          <w:p w14:paraId="71A62FDE" w14:textId="77777777" w:rsidR="008940B3" w:rsidRPr="003B5C8D" w:rsidRDefault="008940B3" w:rsidP="00E858EF">
            <w:pPr>
              <w:suppressAutoHyphens/>
              <w:jc w:val="center"/>
              <w:rPr>
                <w:sz w:val="16"/>
                <w:szCs w:val="16"/>
              </w:rPr>
            </w:pPr>
          </w:p>
        </w:tc>
        <w:tc>
          <w:tcPr>
            <w:tcW w:w="641" w:type="dxa"/>
          </w:tcPr>
          <w:p w14:paraId="0F875169" w14:textId="77777777" w:rsidR="008940B3" w:rsidRPr="003B5C8D" w:rsidRDefault="008940B3" w:rsidP="00E858EF">
            <w:pPr>
              <w:suppressAutoHyphens/>
              <w:jc w:val="center"/>
              <w:rPr>
                <w:sz w:val="16"/>
                <w:szCs w:val="16"/>
              </w:rPr>
            </w:pPr>
          </w:p>
        </w:tc>
        <w:tc>
          <w:tcPr>
            <w:tcW w:w="641" w:type="dxa"/>
          </w:tcPr>
          <w:p w14:paraId="554AE310" w14:textId="77777777" w:rsidR="008940B3" w:rsidRPr="003B5C8D" w:rsidRDefault="008940B3" w:rsidP="00E858EF">
            <w:pPr>
              <w:suppressAutoHyphens/>
              <w:jc w:val="center"/>
              <w:rPr>
                <w:sz w:val="16"/>
                <w:szCs w:val="16"/>
              </w:rPr>
            </w:pPr>
          </w:p>
        </w:tc>
        <w:tc>
          <w:tcPr>
            <w:tcW w:w="641" w:type="dxa"/>
          </w:tcPr>
          <w:p w14:paraId="34F5C650" w14:textId="77777777" w:rsidR="008940B3" w:rsidRPr="003B5C8D" w:rsidRDefault="008940B3" w:rsidP="00E858EF">
            <w:pPr>
              <w:suppressAutoHyphens/>
              <w:jc w:val="center"/>
              <w:rPr>
                <w:sz w:val="16"/>
                <w:szCs w:val="16"/>
              </w:rPr>
            </w:pPr>
          </w:p>
        </w:tc>
        <w:tc>
          <w:tcPr>
            <w:tcW w:w="641" w:type="dxa"/>
          </w:tcPr>
          <w:p w14:paraId="53C5BB4F" w14:textId="77777777" w:rsidR="008940B3" w:rsidRPr="003B5C8D" w:rsidRDefault="008940B3" w:rsidP="00E858EF">
            <w:pPr>
              <w:suppressAutoHyphens/>
              <w:jc w:val="center"/>
              <w:rPr>
                <w:sz w:val="16"/>
                <w:szCs w:val="16"/>
              </w:rPr>
            </w:pPr>
          </w:p>
        </w:tc>
        <w:tc>
          <w:tcPr>
            <w:tcW w:w="641" w:type="dxa"/>
          </w:tcPr>
          <w:p w14:paraId="63AFB424"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r>
      <w:tr w:rsidR="008940B3" w:rsidRPr="003B5C8D" w14:paraId="1761051F" w14:textId="77777777" w:rsidTr="008940B3">
        <w:trPr>
          <w:trHeight w:val="175"/>
        </w:trPr>
        <w:tc>
          <w:tcPr>
            <w:tcW w:w="1668" w:type="dxa"/>
          </w:tcPr>
          <w:p w14:paraId="731B7228" w14:textId="77777777" w:rsidR="008940B3" w:rsidRPr="003B5C8D" w:rsidRDefault="008940B3" w:rsidP="00E858EF">
            <w:pPr>
              <w:suppressAutoHyphens/>
              <w:rPr>
                <w:color w:val="000000"/>
                <w:sz w:val="16"/>
                <w:szCs w:val="16"/>
              </w:rPr>
            </w:pPr>
            <w:r w:rsidRPr="003B5C8D">
              <w:rPr>
                <w:rFonts w:eastAsia="Times New Roman"/>
                <w:color w:val="000000"/>
                <w:sz w:val="16"/>
                <w:szCs w:val="16"/>
              </w:rPr>
              <w:t>MONI ARSANI</w:t>
            </w:r>
          </w:p>
        </w:tc>
        <w:tc>
          <w:tcPr>
            <w:tcW w:w="1207" w:type="dxa"/>
          </w:tcPr>
          <w:p w14:paraId="7EF7510D"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tcPr>
          <w:p w14:paraId="70ED6EE8" w14:textId="77777777" w:rsidR="008940B3" w:rsidRPr="003B5C8D" w:rsidRDefault="008940B3" w:rsidP="00E858EF">
            <w:pPr>
              <w:suppressAutoHyphens/>
              <w:jc w:val="center"/>
              <w:rPr>
                <w:sz w:val="16"/>
                <w:szCs w:val="16"/>
              </w:rPr>
            </w:pPr>
          </w:p>
        </w:tc>
        <w:tc>
          <w:tcPr>
            <w:tcW w:w="641" w:type="dxa"/>
          </w:tcPr>
          <w:p w14:paraId="5FC4BEFA" w14:textId="77777777" w:rsidR="008940B3" w:rsidRPr="003B5C8D" w:rsidRDefault="008940B3" w:rsidP="00E858EF">
            <w:pPr>
              <w:suppressAutoHyphens/>
              <w:jc w:val="center"/>
              <w:rPr>
                <w:sz w:val="16"/>
                <w:szCs w:val="16"/>
              </w:rPr>
            </w:pPr>
          </w:p>
        </w:tc>
        <w:tc>
          <w:tcPr>
            <w:tcW w:w="641" w:type="dxa"/>
          </w:tcPr>
          <w:p w14:paraId="19DF7109" w14:textId="77777777" w:rsidR="008940B3" w:rsidRPr="003B5C8D" w:rsidRDefault="008940B3" w:rsidP="00E858EF">
            <w:pPr>
              <w:suppressAutoHyphens/>
              <w:jc w:val="center"/>
              <w:rPr>
                <w:sz w:val="16"/>
                <w:szCs w:val="16"/>
              </w:rPr>
            </w:pPr>
          </w:p>
        </w:tc>
        <w:tc>
          <w:tcPr>
            <w:tcW w:w="641" w:type="dxa"/>
          </w:tcPr>
          <w:p w14:paraId="2C00358C" w14:textId="77777777" w:rsidR="008940B3" w:rsidRPr="003B5C8D" w:rsidRDefault="008940B3" w:rsidP="00E858EF">
            <w:pPr>
              <w:suppressAutoHyphens/>
              <w:jc w:val="center"/>
              <w:rPr>
                <w:sz w:val="16"/>
                <w:szCs w:val="16"/>
              </w:rPr>
            </w:pPr>
          </w:p>
        </w:tc>
        <w:tc>
          <w:tcPr>
            <w:tcW w:w="641" w:type="dxa"/>
          </w:tcPr>
          <w:p w14:paraId="1F12F615" w14:textId="77777777" w:rsidR="008940B3" w:rsidRPr="003B5C8D" w:rsidRDefault="008940B3" w:rsidP="00E858EF">
            <w:pPr>
              <w:suppressAutoHyphens/>
              <w:jc w:val="center"/>
              <w:rPr>
                <w:sz w:val="16"/>
                <w:szCs w:val="16"/>
              </w:rPr>
            </w:pPr>
          </w:p>
        </w:tc>
        <w:tc>
          <w:tcPr>
            <w:tcW w:w="641" w:type="dxa"/>
          </w:tcPr>
          <w:p w14:paraId="35773C47" w14:textId="77777777" w:rsidR="008940B3" w:rsidRPr="003B5C8D" w:rsidRDefault="008940B3" w:rsidP="00E858EF">
            <w:pPr>
              <w:suppressAutoHyphens/>
              <w:jc w:val="center"/>
              <w:rPr>
                <w:sz w:val="16"/>
                <w:szCs w:val="16"/>
              </w:rPr>
            </w:pPr>
          </w:p>
        </w:tc>
        <w:tc>
          <w:tcPr>
            <w:tcW w:w="641" w:type="dxa"/>
          </w:tcPr>
          <w:p w14:paraId="3A502F8F" w14:textId="77777777" w:rsidR="008940B3" w:rsidRPr="003B5C8D" w:rsidRDefault="008940B3" w:rsidP="00E858EF">
            <w:pPr>
              <w:suppressAutoHyphens/>
              <w:jc w:val="center"/>
              <w:rPr>
                <w:sz w:val="16"/>
                <w:szCs w:val="16"/>
              </w:rPr>
            </w:pPr>
          </w:p>
        </w:tc>
        <w:tc>
          <w:tcPr>
            <w:tcW w:w="641" w:type="dxa"/>
          </w:tcPr>
          <w:p w14:paraId="313D4A88"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r>
      <w:tr w:rsidR="008940B3" w:rsidRPr="003B5C8D" w14:paraId="0223B20C" w14:textId="77777777" w:rsidTr="008940B3">
        <w:trPr>
          <w:trHeight w:val="175"/>
        </w:trPr>
        <w:tc>
          <w:tcPr>
            <w:tcW w:w="1668" w:type="dxa"/>
          </w:tcPr>
          <w:p w14:paraId="000E3535" w14:textId="77777777" w:rsidR="008940B3" w:rsidRPr="003B5C8D" w:rsidRDefault="008940B3" w:rsidP="00E858EF">
            <w:pPr>
              <w:suppressAutoHyphens/>
              <w:rPr>
                <w:color w:val="000000"/>
                <w:sz w:val="16"/>
                <w:szCs w:val="16"/>
              </w:rPr>
            </w:pPr>
            <w:r w:rsidRPr="003B5C8D">
              <w:rPr>
                <w:rFonts w:eastAsia="Times New Roman"/>
                <w:color w:val="000000"/>
                <w:sz w:val="16"/>
                <w:szCs w:val="16"/>
              </w:rPr>
              <w:t>PANKALOCHORI</w:t>
            </w:r>
          </w:p>
        </w:tc>
        <w:tc>
          <w:tcPr>
            <w:tcW w:w="1207" w:type="dxa"/>
          </w:tcPr>
          <w:p w14:paraId="3C1BD58C"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tcPr>
          <w:p w14:paraId="12DC248B" w14:textId="77777777" w:rsidR="008940B3" w:rsidRPr="003B5C8D" w:rsidRDefault="008940B3" w:rsidP="00E858EF">
            <w:pPr>
              <w:suppressAutoHyphens/>
              <w:jc w:val="center"/>
              <w:rPr>
                <w:sz w:val="16"/>
                <w:szCs w:val="16"/>
              </w:rPr>
            </w:pPr>
          </w:p>
        </w:tc>
        <w:tc>
          <w:tcPr>
            <w:tcW w:w="641" w:type="dxa"/>
          </w:tcPr>
          <w:p w14:paraId="2272B0F4" w14:textId="77777777" w:rsidR="008940B3" w:rsidRPr="003B5C8D" w:rsidRDefault="008940B3" w:rsidP="00E858EF">
            <w:pPr>
              <w:suppressAutoHyphens/>
              <w:jc w:val="center"/>
              <w:rPr>
                <w:sz w:val="16"/>
                <w:szCs w:val="16"/>
              </w:rPr>
            </w:pPr>
          </w:p>
        </w:tc>
        <w:tc>
          <w:tcPr>
            <w:tcW w:w="641" w:type="dxa"/>
          </w:tcPr>
          <w:p w14:paraId="24FB4CEB" w14:textId="77777777" w:rsidR="008940B3" w:rsidRPr="003B5C8D" w:rsidRDefault="008940B3" w:rsidP="00E858EF">
            <w:pPr>
              <w:suppressAutoHyphens/>
              <w:jc w:val="center"/>
              <w:rPr>
                <w:sz w:val="16"/>
                <w:szCs w:val="16"/>
              </w:rPr>
            </w:pPr>
          </w:p>
        </w:tc>
        <w:tc>
          <w:tcPr>
            <w:tcW w:w="641" w:type="dxa"/>
          </w:tcPr>
          <w:p w14:paraId="57C2A9C3" w14:textId="77777777" w:rsidR="008940B3" w:rsidRPr="003B5C8D" w:rsidRDefault="008940B3" w:rsidP="00E858EF">
            <w:pPr>
              <w:suppressAutoHyphens/>
              <w:jc w:val="center"/>
              <w:rPr>
                <w:sz w:val="16"/>
                <w:szCs w:val="16"/>
              </w:rPr>
            </w:pPr>
          </w:p>
        </w:tc>
        <w:tc>
          <w:tcPr>
            <w:tcW w:w="641" w:type="dxa"/>
          </w:tcPr>
          <w:p w14:paraId="61F7883C" w14:textId="77777777" w:rsidR="008940B3" w:rsidRPr="003B5C8D" w:rsidRDefault="008940B3" w:rsidP="00E858EF">
            <w:pPr>
              <w:suppressAutoHyphens/>
              <w:jc w:val="center"/>
              <w:rPr>
                <w:sz w:val="16"/>
                <w:szCs w:val="16"/>
              </w:rPr>
            </w:pPr>
          </w:p>
        </w:tc>
        <w:tc>
          <w:tcPr>
            <w:tcW w:w="641" w:type="dxa"/>
          </w:tcPr>
          <w:p w14:paraId="7032634D" w14:textId="77777777" w:rsidR="008940B3" w:rsidRPr="003B5C8D" w:rsidRDefault="008940B3" w:rsidP="00E858EF">
            <w:pPr>
              <w:suppressAutoHyphens/>
              <w:jc w:val="center"/>
              <w:rPr>
                <w:sz w:val="16"/>
                <w:szCs w:val="16"/>
              </w:rPr>
            </w:pPr>
          </w:p>
        </w:tc>
        <w:tc>
          <w:tcPr>
            <w:tcW w:w="641" w:type="dxa"/>
          </w:tcPr>
          <w:p w14:paraId="58186454" w14:textId="77777777" w:rsidR="008940B3" w:rsidRPr="003B5C8D" w:rsidRDefault="008940B3" w:rsidP="00E858EF">
            <w:pPr>
              <w:suppressAutoHyphens/>
              <w:jc w:val="center"/>
              <w:rPr>
                <w:sz w:val="16"/>
                <w:szCs w:val="16"/>
              </w:rPr>
            </w:pPr>
          </w:p>
        </w:tc>
        <w:tc>
          <w:tcPr>
            <w:tcW w:w="641" w:type="dxa"/>
          </w:tcPr>
          <w:p w14:paraId="3ACDBEF6" w14:textId="77777777" w:rsidR="008940B3" w:rsidRPr="003B5C8D" w:rsidRDefault="008940B3" w:rsidP="00E858EF">
            <w:pPr>
              <w:suppressAutoHyphens/>
              <w:jc w:val="center"/>
              <w:rPr>
                <w:sz w:val="16"/>
                <w:szCs w:val="16"/>
              </w:rPr>
            </w:pPr>
          </w:p>
        </w:tc>
      </w:tr>
      <w:tr w:rsidR="008940B3" w:rsidRPr="003B5C8D" w14:paraId="158E8E69" w14:textId="77777777" w:rsidTr="008940B3">
        <w:trPr>
          <w:trHeight w:val="175"/>
        </w:trPr>
        <w:tc>
          <w:tcPr>
            <w:tcW w:w="1668" w:type="dxa"/>
          </w:tcPr>
          <w:p w14:paraId="2E721F32"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PIGI</w:t>
            </w:r>
          </w:p>
        </w:tc>
        <w:tc>
          <w:tcPr>
            <w:tcW w:w="1207" w:type="dxa"/>
          </w:tcPr>
          <w:p w14:paraId="6B239AC7"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tcPr>
          <w:p w14:paraId="4FF5BE6D" w14:textId="77777777" w:rsidR="008940B3" w:rsidRPr="003B5C8D" w:rsidRDefault="008940B3" w:rsidP="00E858EF">
            <w:pPr>
              <w:suppressAutoHyphens/>
              <w:jc w:val="center"/>
              <w:rPr>
                <w:sz w:val="16"/>
                <w:szCs w:val="16"/>
              </w:rPr>
            </w:pPr>
          </w:p>
        </w:tc>
        <w:tc>
          <w:tcPr>
            <w:tcW w:w="641" w:type="dxa"/>
          </w:tcPr>
          <w:p w14:paraId="21973870" w14:textId="77777777" w:rsidR="008940B3" w:rsidRPr="003B5C8D" w:rsidRDefault="008940B3" w:rsidP="00E858EF">
            <w:pPr>
              <w:suppressAutoHyphens/>
              <w:jc w:val="center"/>
              <w:rPr>
                <w:sz w:val="16"/>
                <w:szCs w:val="16"/>
              </w:rPr>
            </w:pPr>
          </w:p>
        </w:tc>
        <w:tc>
          <w:tcPr>
            <w:tcW w:w="641" w:type="dxa"/>
          </w:tcPr>
          <w:p w14:paraId="415CD630" w14:textId="77777777" w:rsidR="008940B3" w:rsidRPr="003B5C8D" w:rsidRDefault="008940B3" w:rsidP="00E858EF">
            <w:pPr>
              <w:suppressAutoHyphens/>
              <w:jc w:val="center"/>
              <w:rPr>
                <w:sz w:val="16"/>
                <w:szCs w:val="16"/>
              </w:rPr>
            </w:pPr>
          </w:p>
        </w:tc>
        <w:tc>
          <w:tcPr>
            <w:tcW w:w="641" w:type="dxa"/>
          </w:tcPr>
          <w:p w14:paraId="2191BD71" w14:textId="77777777" w:rsidR="008940B3" w:rsidRPr="003B5C8D" w:rsidRDefault="008940B3" w:rsidP="00E858EF">
            <w:pPr>
              <w:suppressAutoHyphens/>
              <w:jc w:val="center"/>
              <w:rPr>
                <w:sz w:val="16"/>
                <w:szCs w:val="16"/>
              </w:rPr>
            </w:pPr>
          </w:p>
        </w:tc>
        <w:tc>
          <w:tcPr>
            <w:tcW w:w="641" w:type="dxa"/>
          </w:tcPr>
          <w:p w14:paraId="6F1D4EE5" w14:textId="77777777" w:rsidR="008940B3" w:rsidRPr="003B5C8D" w:rsidRDefault="008940B3" w:rsidP="00E858EF">
            <w:pPr>
              <w:suppressAutoHyphens/>
              <w:jc w:val="center"/>
              <w:rPr>
                <w:sz w:val="16"/>
                <w:szCs w:val="16"/>
              </w:rPr>
            </w:pPr>
          </w:p>
        </w:tc>
        <w:tc>
          <w:tcPr>
            <w:tcW w:w="641" w:type="dxa"/>
          </w:tcPr>
          <w:p w14:paraId="5268A5E5" w14:textId="77777777" w:rsidR="008940B3" w:rsidRPr="003B5C8D" w:rsidRDefault="008940B3" w:rsidP="00E858EF">
            <w:pPr>
              <w:suppressAutoHyphens/>
              <w:jc w:val="center"/>
              <w:rPr>
                <w:sz w:val="16"/>
                <w:szCs w:val="16"/>
              </w:rPr>
            </w:pPr>
          </w:p>
        </w:tc>
        <w:tc>
          <w:tcPr>
            <w:tcW w:w="641" w:type="dxa"/>
          </w:tcPr>
          <w:p w14:paraId="13B12207" w14:textId="77777777" w:rsidR="008940B3" w:rsidRPr="003B5C8D" w:rsidRDefault="008940B3" w:rsidP="00E858EF">
            <w:pPr>
              <w:suppressAutoHyphens/>
              <w:jc w:val="center"/>
              <w:rPr>
                <w:sz w:val="16"/>
                <w:szCs w:val="16"/>
              </w:rPr>
            </w:pPr>
          </w:p>
        </w:tc>
        <w:tc>
          <w:tcPr>
            <w:tcW w:w="641" w:type="dxa"/>
          </w:tcPr>
          <w:p w14:paraId="0D73263C"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r>
      <w:tr w:rsidR="008940B3" w:rsidRPr="003B5C8D" w14:paraId="7211B48E" w14:textId="77777777" w:rsidTr="008940B3">
        <w:trPr>
          <w:trHeight w:val="175"/>
        </w:trPr>
        <w:tc>
          <w:tcPr>
            <w:tcW w:w="1668" w:type="dxa"/>
          </w:tcPr>
          <w:p w14:paraId="18FA17FB"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SPHAKAKI</w:t>
            </w:r>
          </w:p>
        </w:tc>
        <w:tc>
          <w:tcPr>
            <w:tcW w:w="1207" w:type="dxa"/>
          </w:tcPr>
          <w:p w14:paraId="4D76B6C0"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tcPr>
          <w:p w14:paraId="5E4DB0ED" w14:textId="77777777" w:rsidR="008940B3" w:rsidRPr="003B5C8D" w:rsidRDefault="008940B3" w:rsidP="00E858EF">
            <w:pPr>
              <w:suppressAutoHyphens/>
              <w:jc w:val="center"/>
              <w:rPr>
                <w:sz w:val="16"/>
                <w:szCs w:val="16"/>
              </w:rPr>
            </w:pPr>
          </w:p>
        </w:tc>
        <w:tc>
          <w:tcPr>
            <w:tcW w:w="641" w:type="dxa"/>
          </w:tcPr>
          <w:p w14:paraId="65895162" w14:textId="77777777" w:rsidR="008940B3" w:rsidRPr="003B5C8D" w:rsidRDefault="008940B3" w:rsidP="00E858EF">
            <w:pPr>
              <w:suppressAutoHyphens/>
              <w:jc w:val="center"/>
              <w:rPr>
                <w:sz w:val="16"/>
                <w:szCs w:val="16"/>
              </w:rPr>
            </w:pPr>
          </w:p>
        </w:tc>
        <w:tc>
          <w:tcPr>
            <w:tcW w:w="641" w:type="dxa"/>
          </w:tcPr>
          <w:p w14:paraId="6003FBE9" w14:textId="77777777" w:rsidR="008940B3" w:rsidRPr="003B5C8D" w:rsidRDefault="008940B3" w:rsidP="00E858EF">
            <w:pPr>
              <w:suppressAutoHyphens/>
              <w:jc w:val="center"/>
              <w:rPr>
                <w:sz w:val="16"/>
                <w:szCs w:val="16"/>
              </w:rPr>
            </w:pPr>
          </w:p>
        </w:tc>
        <w:tc>
          <w:tcPr>
            <w:tcW w:w="641" w:type="dxa"/>
          </w:tcPr>
          <w:p w14:paraId="13E3F549" w14:textId="77777777" w:rsidR="008940B3" w:rsidRPr="003B5C8D" w:rsidRDefault="008940B3" w:rsidP="00E858EF">
            <w:pPr>
              <w:suppressAutoHyphens/>
              <w:jc w:val="center"/>
              <w:rPr>
                <w:sz w:val="16"/>
                <w:szCs w:val="16"/>
              </w:rPr>
            </w:pPr>
          </w:p>
        </w:tc>
        <w:tc>
          <w:tcPr>
            <w:tcW w:w="641" w:type="dxa"/>
          </w:tcPr>
          <w:p w14:paraId="2B45AA9E" w14:textId="77777777" w:rsidR="008940B3" w:rsidRPr="003B5C8D" w:rsidRDefault="008940B3" w:rsidP="00E858EF">
            <w:pPr>
              <w:suppressAutoHyphens/>
              <w:jc w:val="center"/>
              <w:rPr>
                <w:sz w:val="16"/>
                <w:szCs w:val="16"/>
              </w:rPr>
            </w:pPr>
          </w:p>
        </w:tc>
        <w:tc>
          <w:tcPr>
            <w:tcW w:w="641" w:type="dxa"/>
          </w:tcPr>
          <w:p w14:paraId="2AAF329C" w14:textId="77777777" w:rsidR="008940B3" w:rsidRPr="003B5C8D" w:rsidRDefault="008940B3" w:rsidP="00E858EF">
            <w:pPr>
              <w:suppressAutoHyphens/>
              <w:jc w:val="center"/>
              <w:rPr>
                <w:sz w:val="16"/>
                <w:szCs w:val="16"/>
              </w:rPr>
            </w:pPr>
          </w:p>
        </w:tc>
        <w:tc>
          <w:tcPr>
            <w:tcW w:w="641" w:type="dxa"/>
          </w:tcPr>
          <w:p w14:paraId="1E3561E4" w14:textId="77777777" w:rsidR="008940B3" w:rsidRPr="003B5C8D" w:rsidRDefault="008940B3" w:rsidP="00E858EF">
            <w:pPr>
              <w:suppressAutoHyphens/>
              <w:jc w:val="center"/>
              <w:rPr>
                <w:sz w:val="16"/>
                <w:szCs w:val="16"/>
              </w:rPr>
            </w:pPr>
          </w:p>
        </w:tc>
        <w:tc>
          <w:tcPr>
            <w:tcW w:w="641" w:type="dxa"/>
          </w:tcPr>
          <w:p w14:paraId="00F92BCB" w14:textId="77777777" w:rsidR="008940B3" w:rsidRPr="003B5C8D" w:rsidRDefault="008940B3" w:rsidP="00E858EF">
            <w:pPr>
              <w:suppressAutoHyphens/>
              <w:jc w:val="center"/>
              <w:rPr>
                <w:sz w:val="16"/>
                <w:szCs w:val="16"/>
              </w:rPr>
            </w:pPr>
          </w:p>
        </w:tc>
      </w:tr>
      <w:tr w:rsidR="008940B3" w:rsidRPr="003B5C8D" w14:paraId="19BF33F6" w14:textId="77777777" w:rsidTr="008940B3">
        <w:trPr>
          <w:trHeight w:val="175"/>
        </w:trPr>
        <w:tc>
          <w:tcPr>
            <w:tcW w:w="1668" w:type="dxa"/>
          </w:tcPr>
          <w:p w14:paraId="2C489311"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STAVROMENOS</w:t>
            </w:r>
          </w:p>
        </w:tc>
        <w:tc>
          <w:tcPr>
            <w:tcW w:w="1207" w:type="dxa"/>
          </w:tcPr>
          <w:p w14:paraId="773EAC58"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tcPr>
          <w:p w14:paraId="3A669C83" w14:textId="77777777" w:rsidR="008940B3" w:rsidRPr="003B5C8D" w:rsidRDefault="008940B3" w:rsidP="00E858EF">
            <w:pPr>
              <w:suppressAutoHyphens/>
              <w:jc w:val="center"/>
              <w:rPr>
                <w:sz w:val="16"/>
                <w:szCs w:val="16"/>
              </w:rPr>
            </w:pPr>
          </w:p>
        </w:tc>
        <w:tc>
          <w:tcPr>
            <w:tcW w:w="641" w:type="dxa"/>
          </w:tcPr>
          <w:p w14:paraId="0D8F20D7" w14:textId="77777777" w:rsidR="008940B3" w:rsidRPr="003B5C8D" w:rsidRDefault="008940B3" w:rsidP="00E858EF">
            <w:pPr>
              <w:suppressAutoHyphens/>
              <w:jc w:val="center"/>
              <w:rPr>
                <w:sz w:val="16"/>
                <w:szCs w:val="16"/>
              </w:rPr>
            </w:pPr>
          </w:p>
        </w:tc>
        <w:tc>
          <w:tcPr>
            <w:tcW w:w="641" w:type="dxa"/>
          </w:tcPr>
          <w:p w14:paraId="46EB8403" w14:textId="77777777" w:rsidR="008940B3" w:rsidRPr="003B5C8D" w:rsidRDefault="008940B3" w:rsidP="00E858EF">
            <w:pPr>
              <w:suppressAutoHyphens/>
              <w:jc w:val="center"/>
              <w:rPr>
                <w:sz w:val="16"/>
                <w:szCs w:val="16"/>
              </w:rPr>
            </w:pPr>
          </w:p>
        </w:tc>
        <w:tc>
          <w:tcPr>
            <w:tcW w:w="641" w:type="dxa"/>
          </w:tcPr>
          <w:p w14:paraId="543451DD" w14:textId="77777777" w:rsidR="008940B3" w:rsidRPr="003B5C8D" w:rsidRDefault="008940B3" w:rsidP="00E858EF">
            <w:pPr>
              <w:suppressAutoHyphens/>
              <w:jc w:val="center"/>
              <w:rPr>
                <w:sz w:val="16"/>
                <w:szCs w:val="16"/>
              </w:rPr>
            </w:pPr>
          </w:p>
        </w:tc>
        <w:tc>
          <w:tcPr>
            <w:tcW w:w="641" w:type="dxa"/>
          </w:tcPr>
          <w:p w14:paraId="76355EE7" w14:textId="77777777" w:rsidR="008940B3" w:rsidRPr="003B5C8D" w:rsidRDefault="008940B3" w:rsidP="00E858EF">
            <w:pPr>
              <w:suppressAutoHyphens/>
              <w:jc w:val="center"/>
              <w:rPr>
                <w:sz w:val="16"/>
                <w:szCs w:val="16"/>
              </w:rPr>
            </w:pPr>
          </w:p>
        </w:tc>
        <w:tc>
          <w:tcPr>
            <w:tcW w:w="641" w:type="dxa"/>
          </w:tcPr>
          <w:p w14:paraId="7886B907" w14:textId="77777777" w:rsidR="008940B3" w:rsidRPr="003B5C8D" w:rsidRDefault="008940B3" w:rsidP="00E858EF">
            <w:pPr>
              <w:suppressAutoHyphens/>
              <w:jc w:val="center"/>
              <w:rPr>
                <w:sz w:val="16"/>
                <w:szCs w:val="16"/>
              </w:rPr>
            </w:pPr>
          </w:p>
        </w:tc>
        <w:tc>
          <w:tcPr>
            <w:tcW w:w="641" w:type="dxa"/>
          </w:tcPr>
          <w:p w14:paraId="63753E26" w14:textId="77777777" w:rsidR="008940B3" w:rsidRPr="003B5C8D" w:rsidRDefault="008940B3" w:rsidP="00E858EF">
            <w:pPr>
              <w:suppressAutoHyphens/>
              <w:jc w:val="center"/>
              <w:rPr>
                <w:sz w:val="16"/>
                <w:szCs w:val="16"/>
              </w:rPr>
            </w:pPr>
          </w:p>
        </w:tc>
        <w:tc>
          <w:tcPr>
            <w:tcW w:w="641" w:type="dxa"/>
          </w:tcPr>
          <w:p w14:paraId="23DE1458" w14:textId="77777777" w:rsidR="008940B3" w:rsidRPr="003B5C8D" w:rsidRDefault="008940B3" w:rsidP="00E858EF">
            <w:pPr>
              <w:suppressAutoHyphens/>
              <w:jc w:val="center"/>
              <w:rPr>
                <w:sz w:val="16"/>
                <w:szCs w:val="16"/>
              </w:rPr>
            </w:pPr>
          </w:p>
        </w:tc>
      </w:tr>
      <w:tr w:rsidR="008940B3" w:rsidRPr="003B5C8D" w14:paraId="635FA8CF" w14:textId="77777777" w:rsidTr="008940B3">
        <w:trPr>
          <w:trHeight w:val="175"/>
        </w:trPr>
        <w:tc>
          <w:tcPr>
            <w:tcW w:w="1668" w:type="dxa"/>
          </w:tcPr>
          <w:p w14:paraId="57391C7D"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VOLIONES</w:t>
            </w:r>
          </w:p>
        </w:tc>
        <w:tc>
          <w:tcPr>
            <w:tcW w:w="1207" w:type="dxa"/>
          </w:tcPr>
          <w:p w14:paraId="4506C31F"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069" w:type="dxa"/>
          </w:tcPr>
          <w:p w14:paraId="2F7862B1" w14:textId="77777777" w:rsidR="008940B3" w:rsidRPr="003B5C8D" w:rsidRDefault="008940B3" w:rsidP="00E858EF">
            <w:pPr>
              <w:suppressAutoHyphens/>
              <w:jc w:val="center"/>
              <w:rPr>
                <w:sz w:val="16"/>
                <w:szCs w:val="16"/>
              </w:rPr>
            </w:pPr>
          </w:p>
        </w:tc>
        <w:tc>
          <w:tcPr>
            <w:tcW w:w="641" w:type="dxa"/>
          </w:tcPr>
          <w:p w14:paraId="386EDF64" w14:textId="77777777" w:rsidR="008940B3" w:rsidRPr="003B5C8D" w:rsidRDefault="008940B3" w:rsidP="00E858EF">
            <w:pPr>
              <w:suppressAutoHyphens/>
              <w:jc w:val="center"/>
              <w:rPr>
                <w:sz w:val="16"/>
                <w:szCs w:val="16"/>
              </w:rPr>
            </w:pPr>
          </w:p>
        </w:tc>
        <w:tc>
          <w:tcPr>
            <w:tcW w:w="641" w:type="dxa"/>
          </w:tcPr>
          <w:p w14:paraId="107CD6EC" w14:textId="77777777" w:rsidR="008940B3" w:rsidRPr="003B5C8D" w:rsidRDefault="008940B3" w:rsidP="00E858EF">
            <w:pPr>
              <w:suppressAutoHyphens/>
              <w:jc w:val="center"/>
              <w:rPr>
                <w:sz w:val="16"/>
                <w:szCs w:val="16"/>
              </w:rPr>
            </w:pPr>
          </w:p>
        </w:tc>
        <w:tc>
          <w:tcPr>
            <w:tcW w:w="641" w:type="dxa"/>
          </w:tcPr>
          <w:p w14:paraId="204DDC2D" w14:textId="77777777" w:rsidR="008940B3" w:rsidRPr="003B5C8D" w:rsidRDefault="008940B3" w:rsidP="00E858EF">
            <w:pPr>
              <w:suppressAutoHyphens/>
              <w:jc w:val="center"/>
              <w:rPr>
                <w:sz w:val="16"/>
                <w:szCs w:val="16"/>
              </w:rPr>
            </w:pPr>
          </w:p>
        </w:tc>
        <w:tc>
          <w:tcPr>
            <w:tcW w:w="641" w:type="dxa"/>
          </w:tcPr>
          <w:p w14:paraId="660465EA" w14:textId="77777777" w:rsidR="008940B3" w:rsidRPr="003B5C8D" w:rsidRDefault="008940B3" w:rsidP="00E858EF">
            <w:pPr>
              <w:suppressAutoHyphens/>
              <w:jc w:val="center"/>
              <w:rPr>
                <w:sz w:val="16"/>
                <w:szCs w:val="16"/>
              </w:rPr>
            </w:pPr>
          </w:p>
        </w:tc>
        <w:tc>
          <w:tcPr>
            <w:tcW w:w="641" w:type="dxa"/>
          </w:tcPr>
          <w:p w14:paraId="51C6AB5B" w14:textId="77777777" w:rsidR="008940B3" w:rsidRPr="003B5C8D" w:rsidRDefault="008940B3" w:rsidP="00E858EF">
            <w:pPr>
              <w:suppressAutoHyphens/>
              <w:jc w:val="center"/>
              <w:rPr>
                <w:sz w:val="16"/>
                <w:szCs w:val="16"/>
              </w:rPr>
            </w:pPr>
          </w:p>
        </w:tc>
        <w:tc>
          <w:tcPr>
            <w:tcW w:w="641" w:type="dxa"/>
          </w:tcPr>
          <w:p w14:paraId="4DA8AABC" w14:textId="77777777" w:rsidR="008940B3" w:rsidRPr="003B5C8D" w:rsidRDefault="008940B3" w:rsidP="00E858EF">
            <w:pPr>
              <w:suppressAutoHyphens/>
              <w:jc w:val="center"/>
              <w:rPr>
                <w:sz w:val="16"/>
                <w:szCs w:val="16"/>
              </w:rPr>
            </w:pPr>
          </w:p>
        </w:tc>
        <w:tc>
          <w:tcPr>
            <w:tcW w:w="641" w:type="dxa"/>
          </w:tcPr>
          <w:p w14:paraId="5AAABE9E" w14:textId="77777777" w:rsidR="008940B3" w:rsidRPr="003B5C8D" w:rsidRDefault="008940B3" w:rsidP="00E858EF">
            <w:pPr>
              <w:suppressAutoHyphens/>
              <w:jc w:val="center"/>
              <w:rPr>
                <w:sz w:val="16"/>
                <w:szCs w:val="16"/>
              </w:rPr>
            </w:pPr>
          </w:p>
        </w:tc>
      </w:tr>
    </w:tbl>
    <w:p w14:paraId="67DBFF3D"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16"/>
          <w:szCs w:val="16"/>
        </w:rPr>
      </w:pPr>
    </w:p>
    <w:p w14:paraId="7DDBB287" w14:textId="77777777" w:rsidR="008940B3" w:rsidRPr="00F808D9" w:rsidRDefault="008940B3" w:rsidP="00E858EF">
      <w:pPr>
        <w:pStyle w:val="Titolo4"/>
        <w:keepNext w:val="0"/>
        <w:keepLines w:val="0"/>
        <w:suppressAutoHyphens/>
        <w:ind w:left="864" w:hanging="864"/>
        <w:contextualSpacing w:val="0"/>
      </w:pPr>
      <w:bookmarkStart w:id="107" w:name="_Toc389131131"/>
      <w:bookmarkStart w:id="108" w:name="_Toc517876455"/>
      <w:r w:rsidRPr="006462E9">
        <w:t>Wh</w:t>
      </w:r>
      <w:r>
        <w:t>at</w:t>
      </w:r>
      <w:r w:rsidRPr="006462E9">
        <w:t xml:space="preserve"> is the proportion throug</w:t>
      </w:r>
      <w:r>
        <w:t>hout</w:t>
      </w:r>
      <w:r w:rsidRPr="006462E9">
        <w:t xml:space="preserve"> the region and within each cemetery</w:t>
      </w:r>
      <w:r>
        <w:t xml:space="preserve"> of</w:t>
      </w:r>
      <w:r w:rsidRPr="006462E9">
        <w:t xml:space="preserve"> to</w:t>
      </w:r>
      <w:r>
        <w:t>mbs with larnakes to</w:t>
      </w:r>
      <w:r w:rsidRPr="006462E9">
        <w:t xml:space="preserve"> tombs without larnakes?</w:t>
      </w:r>
      <w:bookmarkEnd w:id="107"/>
      <w:bookmarkEnd w:id="108"/>
    </w:p>
    <w:p w14:paraId="705CF068" w14:textId="741E69CA" w:rsidR="008940B3" w:rsidRDefault="008940B3" w:rsidP="00AD5BCB">
      <w:r w:rsidRPr="003B5C8D">
        <w:t xml:space="preserve">In the </w:t>
      </w:r>
      <w:r>
        <w:t>Mid-West</w:t>
      </w:r>
      <w:r w:rsidRPr="003B5C8D">
        <w:t xml:space="preserve"> area</w:t>
      </w:r>
      <w:r>
        <w:t>,</w:t>
      </w:r>
      <w:r w:rsidRPr="003B5C8D">
        <w:t xml:space="preserve"> only 30% of cemeteries with larnax burials have tombs</w:t>
      </w:r>
      <w:r w:rsidR="00727324">
        <w:t xml:space="preserve"> </w:t>
      </w:r>
      <w:r w:rsidR="009A2FE2">
        <w:t>in which</w:t>
      </w:r>
      <w:r w:rsidR="00727324">
        <w:t xml:space="preserve"> other deposition methods have been used.</w:t>
      </w:r>
      <w:r w:rsidRPr="003B5C8D">
        <w:t xml:space="preserve"> </w:t>
      </w:r>
      <w:r>
        <w:t>However,</w:t>
      </w:r>
      <w:r w:rsidRPr="003B5C8D">
        <w:t xml:space="preserve"> if we analyse larnax distribution not </w:t>
      </w:r>
      <w:r>
        <w:t>based on</w:t>
      </w:r>
      <w:r w:rsidRPr="003B5C8D">
        <w:t xml:space="preserve"> cemeter</w:t>
      </w:r>
      <w:r>
        <w:t>ies,</w:t>
      </w:r>
      <w:r w:rsidRPr="003B5C8D">
        <w:t xml:space="preserve"> but </w:t>
      </w:r>
      <w:r>
        <w:t>considering</w:t>
      </w:r>
      <w:r w:rsidRPr="003B5C8D">
        <w:t xml:space="preserve"> the number of tombs</w:t>
      </w:r>
      <w:r>
        <w:t>, the data change,</w:t>
      </w:r>
      <w:r w:rsidRPr="003B5C8D">
        <w:t xml:space="preserve"> </w:t>
      </w:r>
      <w:r>
        <w:t>revealing</w:t>
      </w:r>
      <w:r w:rsidRPr="003B5C8D">
        <w:t xml:space="preserve"> that tombs with larnax burials </w:t>
      </w:r>
      <w:r>
        <w:t>form</w:t>
      </w:r>
      <w:r w:rsidRPr="003B5C8D">
        <w:t xml:space="preserve"> only 20% o</w:t>
      </w:r>
      <w:r>
        <w:t>f</w:t>
      </w:r>
      <w:r w:rsidRPr="003B5C8D">
        <w:t xml:space="preserve"> the total. This i</w:t>
      </w:r>
      <w:r>
        <w:t>s because in the Armenoi cemetery</w:t>
      </w:r>
      <w:r w:rsidRPr="003B5C8D">
        <w:t xml:space="preserve"> larnax burials have been found </w:t>
      </w:r>
      <w:r>
        <w:t xml:space="preserve">in </w:t>
      </w:r>
      <w:r w:rsidRPr="003B5C8D">
        <w:t>only 8% of the total number of tombs.</w:t>
      </w:r>
      <w:r>
        <w:t xml:space="preserve"> </w:t>
      </w:r>
    </w:p>
    <w:p w14:paraId="387FC04A"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noProof/>
        </w:rPr>
      </w:pPr>
    </w:p>
    <w:p w14:paraId="1800B020"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54431A14" wp14:editId="70ADF5B7">
            <wp:extent cx="4680000" cy="2520000"/>
            <wp:effectExtent l="0" t="0" r="6350" b="13970"/>
            <wp:docPr id="31" name="Gra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D717BE9" w14:textId="1800BEA4" w:rsidR="008940B3" w:rsidRDefault="008940B3" w:rsidP="00E858EF">
      <w:pPr>
        <w:pStyle w:val="Didascalia"/>
        <w:suppressAutoHyphens/>
      </w:pPr>
      <w:bookmarkStart w:id="109" w:name="_Toc520212286"/>
      <w:r>
        <w:t>Figure 3-6.  Larnax distribution by tomb</w:t>
      </w:r>
      <w:r w:rsidR="0081276F">
        <w:t>,</w:t>
      </w:r>
      <w:r>
        <w:t xml:space="preserve"> Mid-West area</w:t>
      </w:r>
      <w:bookmarkEnd w:id="109"/>
    </w:p>
    <w:p w14:paraId="1FC79E4E" w14:textId="77777777" w:rsidR="007F3B63" w:rsidRPr="007F3B63" w:rsidRDefault="007F3B63" w:rsidP="00E858EF">
      <w:pPr>
        <w:suppressAutoHyphens/>
      </w:pPr>
    </w:p>
    <w:p w14:paraId="35AB9401"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621B25CA" wp14:editId="4B9B2B2D">
            <wp:extent cx="5410200" cy="2400935"/>
            <wp:effectExtent l="0" t="0" r="0" b="18415"/>
            <wp:docPr id="32" name="Gra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259B5AB" w14:textId="6F9E5E23" w:rsidR="008940B3" w:rsidRDefault="008940B3" w:rsidP="00E858EF">
      <w:pPr>
        <w:pStyle w:val="Didascalia"/>
        <w:suppressAutoHyphens/>
      </w:pPr>
      <w:bookmarkStart w:id="110" w:name="_Toc520212287"/>
      <w:r>
        <w:t>Figure 3-7. Tombs with larnax occurrence and tombs without larnakes</w:t>
      </w:r>
      <w:r w:rsidR="0081276F">
        <w:t>,</w:t>
      </w:r>
      <w:r>
        <w:t xml:space="preserve"> Mid-West area</w:t>
      </w:r>
      <w:bookmarkEnd w:id="110"/>
      <w:r w:rsidDel="00E60302">
        <w:t xml:space="preserve"> </w:t>
      </w:r>
    </w:p>
    <w:p w14:paraId="169B29A8" w14:textId="77777777" w:rsidR="008940B3" w:rsidRDefault="008940B3" w:rsidP="00E858EF">
      <w:pPr>
        <w:pStyle w:val="Didascalia"/>
        <w:suppressAutoHyphens/>
      </w:pPr>
    </w:p>
    <w:p w14:paraId="7A3DE947"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b/>
          <w:bCs/>
          <w:color w:val="000000"/>
          <w:sz w:val="22"/>
          <w:szCs w:val="22"/>
        </w:rPr>
      </w:pPr>
      <w:r w:rsidRPr="003B5C8D">
        <w:rPr>
          <w:noProof/>
          <w:sz w:val="22"/>
          <w:szCs w:val="22"/>
          <w:lang w:val="it-IT"/>
        </w:rPr>
        <w:drawing>
          <wp:inline distT="0" distB="0" distL="0" distR="0" wp14:anchorId="11223C88" wp14:editId="7F83DB85">
            <wp:extent cx="4680000" cy="2520000"/>
            <wp:effectExtent l="0" t="0" r="6350" b="13970"/>
            <wp:docPr id="33" name="Gra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42B3391" w14:textId="7925DA28" w:rsidR="008940B3" w:rsidRDefault="008940B3" w:rsidP="00E858EF">
      <w:pPr>
        <w:pStyle w:val="Didascalia"/>
        <w:suppressAutoHyphens/>
      </w:pPr>
      <w:bookmarkStart w:id="111" w:name="_Toc520212288"/>
      <w:r>
        <w:t>Figure 3-8. Larnax distribution per tomb in the Armenoi cemetery</w:t>
      </w:r>
      <w:bookmarkEnd w:id="111"/>
    </w:p>
    <w:p w14:paraId="7F4EB33A" w14:textId="77777777" w:rsidR="008940B3" w:rsidRPr="00895036" w:rsidRDefault="008940B3" w:rsidP="00E858EF">
      <w:pPr>
        <w:pStyle w:val="Titolo3"/>
        <w:keepNext w:val="0"/>
        <w:keepLines w:val="0"/>
        <w:suppressAutoHyphens/>
      </w:pPr>
      <w:bookmarkStart w:id="112" w:name="_Toc517876456"/>
      <w:bookmarkStart w:id="113" w:name="_Toc389131132"/>
      <w:bookmarkStart w:id="114" w:name="_Toc517876457"/>
      <w:bookmarkStart w:id="115" w:name="_Toc519894610"/>
      <w:bookmarkEnd w:id="112"/>
      <w:r w:rsidRPr="00E55AD9">
        <w:t>Tombs</w:t>
      </w:r>
      <w:bookmarkEnd w:id="113"/>
      <w:bookmarkEnd w:id="114"/>
      <w:bookmarkEnd w:id="115"/>
    </w:p>
    <w:p w14:paraId="093EB07C" w14:textId="77777777" w:rsidR="008940B3" w:rsidRPr="003B5C8D" w:rsidRDefault="008940B3" w:rsidP="00AD5BCB">
      <w:r>
        <w:t>The number of secure tombs with larnax burials for the</w:t>
      </w:r>
      <w:r w:rsidRPr="003B5C8D">
        <w:t xml:space="preserve"> </w:t>
      </w:r>
      <w:r>
        <w:t>Mid-West</w:t>
      </w:r>
      <w:r w:rsidRPr="003B5C8D">
        <w:t xml:space="preserve"> region </w:t>
      </w:r>
      <w:r>
        <w:t>is</w:t>
      </w:r>
      <w:r w:rsidRPr="003B5C8D">
        <w:t xml:space="preserve"> 55</w:t>
      </w:r>
      <w:r>
        <w:t>,</w:t>
      </w:r>
      <w:r w:rsidRPr="003B5C8D">
        <w:t xml:space="preserve"> and </w:t>
      </w:r>
      <w:r>
        <w:t>these</w:t>
      </w:r>
      <w:r w:rsidRPr="003B5C8D">
        <w:t xml:space="preserve"> constitute the sample </w:t>
      </w:r>
      <w:r>
        <w:t xml:space="preserve">for </w:t>
      </w:r>
      <w:r w:rsidRPr="003B5C8D">
        <w:t>the following analysis.</w:t>
      </w:r>
    </w:p>
    <w:p w14:paraId="450534A0" w14:textId="77777777" w:rsidR="008940B3" w:rsidRPr="00895036" w:rsidRDefault="008940B3" w:rsidP="00E858EF">
      <w:pPr>
        <w:pStyle w:val="Titolo4"/>
        <w:keepNext w:val="0"/>
        <w:keepLines w:val="0"/>
        <w:suppressAutoHyphens/>
        <w:ind w:left="864" w:hanging="864"/>
        <w:contextualSpacing w:val="0"/>
      </w:pPr>
      <w:bookmarkStart w:id="116" w:name="_Toc389131133"/>
      <w:bookmarkStart w:id="117" w:name="_Toc517876458"/>
      <w:r>
        <w:t>Typology: What</w:t>
      </w:r>
      <w:r w:rsidRPr="00CC53ED">
        <w:t xml:space="preserve"> tomb types </w:t>
      </w:r>
      <w:r>
        <w:t>are</w:t>
      </w:r>
      <w:r w:rsidRPr="00CC53ED">
        <w:t xml:space="preserve"> associated</w:t>
      </w:r>
      <w:r>
        <w:t xml:space="preserve"> with</w:t>
      </w:r>
      <w:r w:rsidRPr="00CC53ED">
        <w:t xml:space="preserve"> larnakes?</w:t>
      </w:r>
      <w:bookmarkEnd w:id="116"/>
      <w:bookmarkEnd w:id="117"/>
    </w:p>
    <w:p w14:paraId="73C0C513" w14:textId="77777777" w:rsidR="008940B3" w:rsidRPr="003B5C8D" w:rsidRDefault="008940B3" w:rsidP="00AD5BCB">
      <w:r w:rsidRPr="003B5C8D">
        <w:t xml:space="preserve">In the </w:t>
      </w:r>
      <w:r>
        <w:t>Mid-West</w:t>
      </w:r>
      <w:r w:rsidRPr="003B5C8D">
        <w:t xml:space="preserve"> area</w:t>
      </w:r>
      <w:r>
        <w:t>,</w:t>
      </w:r>
      <w:r w:rsidRPr="003B5C8D">
        <w:t xml:space="preserve"> larnakes </w:t>
      </w:r>
      <w:r>
        <w:t xml:space="preserve">are </w:t>
      </w:r>
      <w:r w:rsidRPr="003B5C8D">
        <w:t xml:space="preserve">associated 95% </w:t>
      </w:r>
      <w:r>
        <w:t xml:space="preserve">of the time </w:t>
      </w:r>
      <w:r w:rsidRPr="003B5C8D">
        <w:t xml:space="preserve">with chamber tombs. </w:t>
      </w:r>
      <w:r>
        <w:t>Larnakes</w:t>
      </w:r>
      <w:r w:rsidRPr="003B5C8D">
        <w:t xml:space="preserve"> have been associated </w:t>
      </w:r>
      <w:r>
        <w:t xml:space="preserve">also </w:t>
      </w:r>
      <w:r w:rsidRPr="003B5C8D">
        <w:t>with corbel-vaulted tombs</w:t>
      </w:r>
      <w:r>
        <w:t>, but</w:t>
      </w:r>
      <w:r w:rsidRPr="003B5C8D">
        <w:t xml:space="preserve"> o</w:t>
      </w:r>
      <w:r>
        <w:t>nly at Margarites, and two receptacle</w:t>
      </w:r>
      <w:r w:rsidRPr="003B5C8D">
        <w:t xml:space="preserve"> burials have been found at Voliones.</w:t>
      </w:r>
    </w:p>
    <w:p w14:paraId="455559C5" w14:textId="77777777" w:rsidR="008940B3" w:rsidRPr="003B5C8D" w:rsidRDefault="008940B3" w:rsidP="00E858EF">
      <w:pPr>
        <w:suppressAutoHyphens/>
        <w:rPr>
          <w:sz w:val="22"/>
          <w:szCs w:val="22"/>
        </w:rPr>
      </w:pPr>
    </w:p>
    <w:p w14:paraId="7661BBBF"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sidRPr="003B5C8D">
        <w:rPr>
          <w:noProof/>
          <w:sz w:val="22"/>
          <w:szCs w:val="22"/>
          <w:lang w:val="it-IT"/>
        </w:rPr>
        <w:drawing>
          <wp:inline distT="0" distB="0" distL="0" distR="0" wp14:anchorId="5EBC7FBC" wp14:editId="258BE62E">
            <wp:extent cx="4680000" cy="2520000"/>
            <wp:effectExtent l="0" t="0" r="6350" b="13970"/>
            <wp:docPr id="47" name="Gra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E6C7EC8" w14:textId="77777777" w:rsidR="008940B3" w:rsidRPr="003B5C8D" w:rsidRDefault="008940B3" w:rsidP="00E858EF">
      <w:pPr>
        <w:pStyle w:val="Didascalia"/>
        <w:suppressAutoHyphens/>
      </w:pPr>
      <w:bookmarkStart w:id="118" w:name="_Toc520212289"/>
      <w:r>
        <w:t>Figure 3-9. Tomb types associated with larnax burials in Mid-West area.</w:t>
      </w:r>
      <w:bookmarkEnd w:id="118"/>
    </w:p>
    <w:p w14:paraId="7421F61D" w14:textId="77777777" w:rsidR="008940B3" w:rsidRPr="003B5C8D" w:rsidRDefault="008940B3" w:rsidP="00E858EF">
      <w:pPr>
        <w:pStyle w:val="Testofumetto"/>
        <w:suppressAutoHyphens/>
      </w:pPr>
      <w:bookmarkStart w:id="119" w:name="_Toc520212494"/>
      <w:r>
        <w:t>Table 3-5.  Tomb types associated with larnax by cemetery in the Mid-West area</w:t>
      </w:r>
      <w:bookmarkEnd w:id="119"/>
    </w:p>
    <w:tbl>
      <w:tblPr>
        <w:tblStyle w:val="Grigliatabella"/>
        <w:tblW w:w="0" w:type="auto"/>
        <w:tblInd w:w="108" w:type="dxa"/>
        <w:tblLook w:val="04A0" w:firstRow="1" w:lastRow="0" w:firstColumn="1" w:lastColumn="0" w:noHBand="0" w:noVBand="1"/>
      </w:tblPr>
      <w:tblGrid>
        <w:gridCol w:w="2552"/>
        <w:gridCol w:w="551"/>
        <w:gridCol w:w="636"/>
        <w:gridCol w:w="617"/>
        <w:gridCol w:w="786"/>
        <w:gridCol w:w="546"/>
        <w:gridCol w:w="636"/>
      </w:tblGrid>
      <w:tr w:rsidR="008940B3" w:rsidRPr="00052CC3" w14:paraId="23A96460" w14:textId="77777777" w:rsidTr="00052CC3">
        <w:trPr>
          <w:trHeight w:val="20"/>
        </w:trPr>
        <w:tc>
          <w:tcPr>
            <w:tcW w:w="2552" w:type="dxa"/>
          </w:tcPr>
          <w:p w14:paraId="55EBB58A" w14:textId="77777777" w:rsidR="008940B3" w:rsidRPr="00052CC3" w:rsidRDefault="008940B3" w:rsidP="00052CC3">
            <w:pPr>
              <w:suppressAutoHyphens/>
              <w:spacing w:line="276" w:lineRule="auto"/>
              <w:rPr>
                <w:color w:val="000000"/>
                <w:sz w:val="18"/>
                <w:szCs w:val="18"/>
              </w:rPr>
            </w:pPr>
            <w:r w:rsidRPr="00052CC3">
              <w:rPr>
                <w:color w:val="000000"/>
                <w:sz w:val="18"/>
                <w:szCs w:val="18"/>
              </w:rPr>
              <w:t>CEMETERIES</w:t>
            </w:r>
          </w:p>
        </w:tc>
        <w:tc>
          <w:tcPr>
            <w:tcW w:w="1187" w:type="dxa"/>
            <w:gridSpan w:val="2"/>
            <w:hideMark/>
          </w:tcPr>
          <w:p w14:paraId="4EA0447A" w14:textId="77777777" w:rsidR="008940B3" w:rsidRPr="00052CC3" w:rsidRDefault="008940B3" w:rsidP="00052CC3">
            <w:pPr>
              <w:suppressAutoHyphens/>
              <w:spacing w:line="276" w:lineRule="auto"/>
              <w:rPr>
                <w:sz w:val="18"/>
                <w:szCs w:val="18"/>
              </w:rPr>
            </w:pPr>
            <w:r w:rsidRPr="00052CC3">
              <w:rPr>
                <w:color w:val="000000"/>
                <w:sz w:val="18"/>
                <w:szCs w:val="18"/>
              </w:rPr>
              <w:t>CHAMBER TOMBS</w:t>
            </w:r>
          </w:p>
        </w:tc>
        <w:tc>
          <w:tcPr>
            <w:tcW w:w="1403" w:type="dxa"/>
            <w:gridSpan w:val="2"/>
            <w:hideMark/>
          </w:tcPr>
          <w:p w14:paraId="756FD1E3" w14:textId="77777777" w:rsidR="008940B3" w:rsidRPr="00052CC3" w:rsidRDefault="008940B3" w:rsidP="00052CC3">
            <w:pPr>
              <w:suppressAutoHyphens/>
              <w:spacing w:line="276" w:lineRule="auto"/>
              <w:rPr>
                <w:sz w:val="18"/>
                <w:szCs w:val="18"/>
              </w:rPr>
            </w:pPr>
            <w:r w:rsidRPr="00052CC3">
              <w:rPr>
                <w:color w:val="000000"/>
                <w:sz w:val="18"/>
                <w:szCs w:val="18"/>
              </w:rPr>
              <w:t>LARNAX RECEPTACLE</w:t>
            </w:r>
          </w:p>
        </w:tc>
        <w:tc>
          <w:tcPr>
            <w:tcW w:w="1182" w:type="dxa"/>
            <w:gridSpan w:val="2"/>
          </w:tcPr>
          <w:p w14:paraId="5DD3DBF0" w14:textId="77777777" w:rsidR="008940B3" w:rsidRPr="00052CC3" w:rsidRDefault="008940B3" w:rsidP="00052CC3">
            <w:pPr>
              <w:suppressAutoHyphens/>
              <w:spacing w:line="276" w:lineRule="auto"/>
              <w:rPr>
                <w:color w:val="000000"/>
                <w:sz w:val="18"/>
                <w:szCs w:val="18"/>
              </w:rPr>
            </w:pPr>
            <w:r w:rsidRPr="00052CC3">
              <w:rPr>
                <w:color w:val="000000"/>
                <w:sz w:val="18"/>
                <w:szCs w:val="18"/>
              </w:rPr>
              <w:t>CORBEL VAULTED</w:t>
            </w:r>
          </w:p>
        </w:tc>
      </w:tr>
      <w:tr w:rsidR="008940B3" w:rsidRPr="00052CC3" w14:paraId="1FB9A1E4" w14:textId="77777777" w:rsidTr="00052CC3">
        <w:trPr>
          <w:trHeight w:val="20"/>
        </w:trPr>
        <w:tc>
          <w:tcPr>
            <w:tcW w:w="2552" w:type="dxa"/>
          </w:tcPr>
          <w:p w14:paraId="347C76B7" w14:textId="77777777" w:rsidR="008940B3" w:rsidRPr="00052CC3" w:rsidRDefault="008940B3" w:rsidP="00052CC3">
            <w:pPr>
              <w:suppressAutoHyphens/>
              <w:spacing w:line="276" w:lineRule="auto"/>
              <w:rPr>
                <w:sz w:val="18"/>
                <w:szCs w:val="18"/>
              </w:rPr>
            </w:pPr>
            <w:r w:rsidRPr="00052CC3">
              <w:rPr>
                <w:color w:val="000000"/>
                <w:sz w:val="18"/>
                <w:szCs w:val="18"/>
              </w:rPr>
              <w:t>ADELE</w:t>
            </w:r>
          </w:p>
        </w:tc>
        <w:tc>
          <w:tcPr>
            <w:tcW w:w="551" w:type="dxa"/>
            <w:hideMark/>
          </w:tcPr>
          <w:p w14:paraId="25E31B08" w14:textId="77777777" w:rsidR="008940B3" w:rsidRPr="00052CC3" w:rsidRDefault="008940B3" w:rsidP="00052CC3">
            <w:pPr>
              <w:suppressAutoHyphens/>
              <w:spacing w:line="276" w:lineRule="auto"/>
              <w:rPr>
                <w:sz w:val="18"/>
                <w:szCs w:val="18"/>
              </w:rPr>
            </w:pPr>
            <w:r w:rsidRPr="00052CC3">
              <w:rPr>
                <w:sz w:val="18"/>
                <w:szCs w:val="18"/>
              </w:rPr>
              <w:t>1</w:t>
            </w:r>
          </w:p>
        </w:tc>
        <w:tc>
          <w:tcPr>
            <w:tcW w:w="636" w:type="dxa"/>
          </w:tcPr>
          <w:p w14:paraId="1490BF80"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hideMark/>
          </w:tcPr>
          <w:p w14:paraId="100F50D1" w14:textId="77777777" w:rsidR="008940B3" w:rsidRPr="00052CC3" w:rsidRDefault="008940B3" w:rsidP="00052CC3">
            <w:pPr>
              <w:suppressAutoHyphens/>
              <w:spacing w:line="276" w:lineRule="auto"/>
              <w:rPr>
                <w:sz w:val="18"/>
                <w:szCs w:val="18"/>
              </w:rPr>
            </w:pPr>
          </w:p>
        </w:tc>
        <w:tc>
          <w:tcPr>
            <w:tcW w:w="1182" w:type="dxa"/>
            <w:gridSpan w:val="2"/>
          </w:tcPr>
          <w:p w14:paraId="369C280F" w14:textId="77777777" w:rsidR="008940B3" w:rsidRPr="00052CC3" w:rsidRDefault="008940B3" w:rsidP="00052CC3">
            <w:pPr>
              <w:suppressAutoHyphens/>
              <w:spacing w:line="276" w:lineRule="auto"/>
              <w:rPr>
                <w:color w:val="000000"/>
                <w:sz w:val="18"/>
                <w:szCs w:val="18"/>
              </w:rPr>
            </w:pPr>
          </w:p>
        </w:tc>
      </w:tr>
      <w:tr w:rsidR="008940B3" w:rsidRPr="00052CC3" w14:paraId="341AC994" w14:textId="77777777" w:rsidTr="00052CC3">
        <w:trPr>
          <w:trHeight w:val="20"/>
        </w:trPr>
        <w:tc>
          <w:tcPr>
            <w:tcW w:w="2552" w:type="dxa"/>
          </w:tcPr>
          <w:p w14:paraId="2F846485" w14:textId="77777777" w:rsidR="008940B3" w:rsidRPr="00052CC3" w:rsidRDefault="008940B3" w:rsidP="00052CC3">
            <w:pPr>
              <w:suppressAutoHyphens/>
              <w:spacing w:line="276" w:lineRule="auto"/>
              <w:rPr>
                <w:sz w:val="18"/>
                <w:szCs w:val="18"/>
              </w:rPr>
            </w:pPr>
            <w:r w:rsidRPr="00052CC3">
              <w:rPr>
                <w:color w:val="000000"/>
                <w:sz w:val="18"/>
                <w:szCs w:val="18"/>
              </w:rPr>
              <w:t>ANGELIANA</w:t>
            </w:r>
          </w:p>
        </w:tc>
        <w:tc>
          <w:tcPr>
            <w:tcW w:w="551" w:type="dxa"/>
            <w:hideMark/>
          </w:tcPr>
          <w:p w14:paraId="0511211B" w14:textId="77777777" w:rsidR="008940B3" w:rsidRPr="00052CC3" w:rsidRDefault="008940B3" w:rsidP="00052CC3">
            <w:pPr>
              <w:suppressAutoHyphens/>
              <w:spacing w:line="276" w:lineRule="auto"/>
              <w:rPr>
                <w:sz w:val="18"/>
                <w:szCs w:val="18"/>
              </w:rPr>
            </w:pPr>
            <w:r w:rsidRPr="00052CC3">
              <w:rPr>
                <w:sz w:val="18"/>
                <w:szCs w:val="18"/>
              </w:rPr>
              <w:t>2</w:t>
            </w:r>
          </w:p>
        </w:tc>
        <w:tc>
          <w:tcPr>
            <w:tcW w:w="636" w:type="dxa"/>
          </w:tcPr>
          <w:p w14:paraId="7D2FB3AA"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hideMark/>
          </w:tcPr>
          <w:p w14:paraId="2A0C7D11" w14:textId="77777777" w:rsidR="008940B3" w:rsidRPr="00052CC3" w:rsidRDefault="008940B3" w:rsidP="00052CC3">
            <w:pPr>
              <w:suppressAutoHyphens/>
              <w:spacing w:line="276" w:lineRule="auto"/>
              <w:rPr>
                <w:sz w:val="18"/>
                <w:szCs w:val="18"/>
              </w:rPr>
            </w:pPr>
          </w:p>
        </w:tc>
        <w:tc>
          <w:tcPr>
            <w:tcW w:w="1182" w:type="dxa"/>
            <w:gridSpan w:val="2"/>
          </w:tcPr>
          <w:p w14:paraId="3C26B5D7" w14:textId="77777777" w:rsidR="008940B3" w:rsidRPr="00052CC3" w:rsidRDefault="008940B3" w:rsidP="00052CC3">
            <w:pPr>
              <w:suppressAutoHyphens/>
              <w:spacing w:line="276" w:lineRule="auto"/>
              <w:rPr>
                <w:color w:val="000000"/>
                <w:sz w:val="18"/>
                <w:szCs w:val="18"/>
              </w:rPr>
            </w:pPr>
          </w:p>
        </w:tc>
      </w:tr>
      <w:tr w:rsidR="008940B3" w:rsidRPr="00052CC3" w14:paraId="22DF6B02" w14:textId="77777777" w:rsidTr="00052CC3">
        <w:trPr>
          <w:trHeight w:val="20"/>
        </w:trPr>
        <w:tc>
          <w:tcPr>
            <w:tcW w:w="2552" w:type="dxa"/>
          </w:tcPr>
          <w:p w14:paraId="02B40FC1" w14:textId="77777777" w:rsidR="008940B3" w:rsidRPr="00052CC3" w:rsidRDefault="008940B3" w:rsidP="00052CC3">
            <w:pPr>
              <w:suppressAutoHyphens/>
              <w:spacing w:line="276" w:lineRule="auto"/>
              <w:rPr>
                <w:sz w:val="18"/>
                <w:szCs w:val="18"/>
              </w:rPr>
            </w:pPr>
            <w:r w:rsidRPr="00052CC3">
              <w:rPr>
                <w:color w:val="000000"/>
                <w:sz w:val="18"/>
                <w:szCs w:val="18"/>
              </w:rPr>
              <w:t>APOSTOLI</w:t>
            </w:r>
          </w:p>
        </w:tc>
        <w:tc>
          <w:tcPr>
            <w:tcW w:w="551" w:type="dxa"/>
            <w:hideMark/>
          </w:tcPr>
          <w:p w14:paraId="50CD228C" w14:textId="77777777" w:rsidR="008940B3" w:rsidRPr="00052CC3" w:rsidRDefault="008940B3" w:rsidP="00052CC3">
            <w:pPr>
              <w:suppressAutoHyphens/>
              <w:spacing w:line="276" w:lineRule="auto"/>
              <w:rPr>
                <w:sz w:val="18"/>
                <w:szCs w:val="18"/>
              </w:rPr>
            </w:pPr>
            <w:r w:rsidRPr="00052CC3">
              <w:rPr>
                <w:sz w:val="18"/>
                <w:szCs w:val="18"/>
              </w:rPr>
              <w:t>1</w:t>
            </w:r>
          </w:p>
        </w:tc>
        <w:tc>
          <w:tcPr>
            <w:tcW w:w="636" w:type="dxa"/>
          </w:tcPr>
          <w:p w14:paraId="68B340FB"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hideMark/>
          </w:tcPr>
          <w:p w14:paraId="3FD0D226" w14:textId="77777777" w:rsidR="008940B3" w:rsidRPr="00052CC3" w:rsidRDefault="008940B3" w:rsidP="00052CC3">
            <w:pPr>
              <w:suppressAutoHyphens/>
              <w:spacing w:line="276" w:lineRule="auto"/>
              <w:rPr>
                <w:sz w:val="18"/>
                <w:szCs w:val="18"/>
              </w:rPr>
            </w:pPr>
          </w:p>
        </w:tc>
        <w:tc>
          <w:tcPr>
            <w:tcW w:w="1182" w:type="dxa"/>
            <w:gridSpan w:val="2"/>
          </w:tcPr>
          <w:p w14:paraId="491AC409" w14:textId="77777777" w:rsidR="008940B3" w:rsidRPr="00052CC3" w:rsidRDefault="008940B3" w:rsidP="00052CC3">
            <w:pPr>
              <w:suppressAutoHyphens/>
              <w:spacing w:line="276" w:lineRule="auto"/>
              <w:rPr>
                <w:sz w:val="18"/>
                <w:szCs w:val="18"/>
              </w:rPr>
            </w:pPr>
          </w:p>
        </w:tc>
      </w:tr>
      <w:tr w:rsidR="008940B3" w:rsidRPr="00052CC3" w14:paraId="7C7A3236" w14:textId="77777777" w:rsidTr="00052CC3">
        <w:trPr>
          <w:trHeight w:val="20"/>
        </w:trPr>
        <w:tc>
          <w:tcPr>
            <w:tcW w:w="2552" w:type="dxa"/>
          </w:tcPr>
          <w:p w14:paraId="7018E81E" w14:textId="77777777" w:rsidR="008940B3" w:rsidRPr="00052CC3" w:rsidRDefault="008940B3" w:rsidP="00052CC3">
            <w:pPr>
              <w:suppressAutoHyphens/>
              <w:spacing w:line="276" w:lineRule="auto"/>
              <w:rPr>
                <w:sz w:val="18"/>
                <w:szCs w:val="18"/>
              </w:rPr>
            </w:pPr>
            <w:r w:rsidRPr="00052CC3">
              <w:rPr>
                <w:color w:val="000000"/>
                <w:sz w:val="18"/>
                <w:szCs w:val="18"/>
              </w:rPr>
              <w:t>ARMENOI</w:t>
            </w:r>
          </w:p>
        </w:tc>
        <w:tc>
          <w:tcPr>
            <w:tcW w:w="551" w:type="dxa"/>
            <w:hideMark/>
          </w:tcPr>
          <w:p w14:paraId="068DB02D" w14:textId="77777777" w:rsidR="008940B3" w:rsidRPr="00052CC3" w:rsidRDefault="008940B3" w:rsidP="00052CC3">
            <w:pPr>
              <w:suppressAutoHyphens/>
              <w:spacing w:line="276" w:lineRule="auto"/>
              <w:rPr>
                <w:sz w:val="18"/>
                <w:szCs w:val="18"/>
              </w:rPr>
            </w:pPr>
            <w:r w:rsidRPr="00052CC3">
              <w:rPr>
                <w:sz w:val="18"/>
                <w:szCs w:val="18"/>
              </w:rPr>
              <w:t>18</w:t>
            </w:r>
          </w:p>
        </w:tc>
        <w:tc>
          <w:tcPr>
            <w:tcW w:w="636" w:type="dxa"/>
          </w:tcPr>
          <w:p w14:paraId="04AC69C5"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hideMark/>
          </w:tcPr>
          <w:p w14:paraId="65625F9D" w14:textId="77777777" w:rsidR="008940B3" w:rsidRPr="00052CC3" w:rsidRDefault="008940B3" w:rsidP="00052CC3">
            <w:pPr>
              <w:suppressAutoHyphens/>
              <w:spacing w:line="276" w:lineRule="auto"/>
              <w:rPr>
                <w:sz w:val="18"/>
                <w:szCs w:val="18"/>
              </w:rPr>
            </w:pPr>
          </w:p>
        </w:tc>
        <w:tc>
          <w:tcPr>
            <w:tcW w:w="1182" w:type="dxa"/>
            <w:gridSpan w:val="2"/>
          </w:tcPr>
          <w:p w14:paraId="09FAFAF5" w14:textId="77777777" w:rsidR="008940B3" w:rsidRPr="00052CC3" w:rsidRDefault="008940B3" w:rsidP="00052CC3">
            <w:pPr>
              <w:suppressAutoHyphens/>
              <w:spacing w:line="276" w:lineRule="auto"/>
              <w:rPr>
                <w:color w:val="000000"/>
                <w:sz w:val="18"/>
                <w:szCs w:val="18"/>
              </w:rPr>
            </w:pPr>
          </w:p>
        </w:tc>
      </w:tr>
      <w:tr w:rsidR="008940B3" w:rsidRPr="00052CC3" w14:paraId="40A032AB" w14:textId="77777777" w:rsidTr="00052CC3">
        <w:trPr>
          <w:trHeight w:val="20"/>
        </w:trPr>
        <w:tc>
          <w:tcPr>
            <w:tcW w:w="2552" w:type="dxa"/>
          </w:tcPr>
          <w:p w14:paraId="76E53E12" w14:textId="77777777" w:rsidR="008940B3" w:rsidRPr="00052CC3" w:rsidRDefault="008940B3" w:rsidP="00052CC3">
            <w:pPr>
              <w:suppressAutoHyphens/>
              <w:spacing w:line="276" w:lineRule="auto"/>
              <w:rPr>
                <w:sz w:val="18"/>
                <w:szCs w:val="18"/>
              </w:rPr>
            </w:pPr>
            <w:r w:rsidRPr="00052CC3">
              <w:rPr>
                <w:color w:val="000000"/>
                <w:sz w:val="18"/>
                <w:szCs w:val="18"/>
              </w:rPr>
              <w:t>ARSANI</w:t>
            </w:r>
          </w:p>
        </w:tc>
        <w:tc>
          <w:tcPr>
            <w:tcW w:w="551" w:type="dxa"/>
            <w:hideMark/>
          </w:tcPr>
          <w:p w14:paraId="538B2D80" w14:textId="77777777" w:rsidR="008940B3" w:rsidRPr="00052CC3" w:rsidRDefault="008940B3" w:rsidP="00052CC3">
            <w:pPr>
              <w:suppressAutoHyphens/>
              <w:spacing w:line="276" w:lineRule="auto"/>
              <w:rPr>
                <w:sz w:val="18"/>
                <w:szCs w:val="18"/>
              </w:rPr>
            </w:pPr>
            <w:r w:rsidRPr="00052CC3">
              <w:rPr>
                <w:sz w:val="18"/>
                <w:szCs w:val="18"/>
              </w:rPr>
              <w:t>1</w:t>
            </w:r>
          </w:p>
        </w:tc>
        <w:tc>
          <w:tcPr>
            <w:tcW w:w="636" w:type="dxa"/>
          </w:tcPr>
          <w:p w14:paraId="1D5D762C"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hideMark/>
          </w:tcPr>
          <w:p w14:paraId="258B3454" w14:textId="77777777" w:rsidR="008940B3" w:rsidRPr="00052CC3" w:rsidRDefault="008940B3" w:rsidP="00052CC3">
            <w:pPr>
              <w:suppressAutoHyphens/>
              <w:spacing w:line="276" w:lineRule="auto"/>
              <w:rPr>
                <w:sz w:val="18"/>
                <w:szCs w:val="18"/>
              </w:rPr>
            </w:pPr>
          </w:p>
        </w:tc>
        <w:tc>
          <w:tcPr>
            <w:tcW w:w="1182" w:type="dxa"/>
            <w:gridSpan w:val="2"/>
          </w:tcPr>
          <w:p w14:paraId="686332C9" w14:textId="77777777" w:rsidR="008940B3" w:rsidRPr="00052CC3" w:rsidRDefault="008940B3" w:rsidP="00052CC3">
            <w:pPr>
              <w:suppressAutoHyphens/>
              <w:spacing w:line="276" w:lineRule="auto"/>
              <w:rPr>
                <w:color w:val="000000"/>
                <w:sz w:val="18"/>
                <w:szCs w:val="18"/>
              </w:rPr>
            </w:pPr>
          </w:p>
        </w:tc>
      </w:tr>
      <w:tr w:rsidR="008940B3" w:rsidRPr="00052CC3" w14:paraId="6478DA14" w14:textId="77777777" w:rsidTr="00052CC3">
        <w:trPr>
          <w:trHeight w:val="20"/>
        </w:trPr>
        <w:tc>
          <w:tcPr>
            <w:tcW w:w="2552" w:type="dxa"/>
          </w:tcPr>
          <w:p w14:paraId="5CC4A84E" w14:textId="77777777" w:rsidR="008940B3" w:rsidRPr="00052CC3" w:rsidRDefault="008940B3" w:rsidP="00052CC3">
            <w:pPr>
              <w:suppressAutoHyphens/>
              <w:spacing w:line="276" w:lineRule="auto"/>
              <w:rPr>
                <w:sz w:val="18"/>
                <w:szCs w:val="18"/>
              </w:rPr>
            </w:pPr>
            <w:r w:rsidRPr="00052CC3">
              <w:rPr>
                <w:color w:val="000000"/>
                <w:sz w:val="18"/>
                <w:szCs w:val="18"/>
              </w:rPr>
              <w:t>CHUMERI</w:t>
            </w:r>
          </w:p>
        </w:tc>
        <w:tc>
          <w:tcPr>
            <w:tcW w:w="551" w:type="dxa"/>
            <w:hideMark/>
          </w:tcPr>
          <w:p w14:paraId="7F799E89" w14:textId="77777777" w:rsidR="008940B3" w:rsidRPr="00052CC3" w:rsidRDefault="008940B3" w:rsidP="00052CC3">
            <w:pPr>
              <w:suppressAutoHyphens/>
              <w:spacing w:line="276" w:lineRule="auto"/>
              <w:rPr>
                <w:sz w:val="18"/>
                <w:szCs w:val="18"/>
              </w:rPr>
            </w:pPr>
            <w:r w:rsidRPr="00052CC3">
              <w:rPr>
                <w:sz w:val="18"/>
                <w:szCs w:val="18"/>
              </w:rPr>
              <w:t>1</w:t>
            </w:r>
          </w:p>
        </w:tc>
        <w:tc>
          <w:tcPr>
            <w:tcW w:w="636" w:type="dxa"/>
          </w:tcPr>
          <w:p w14:paraId="77C3E4AD"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hideMark/>
          </w:tcPr>
          <w:p w14:paraId="3128CB3E" w14:textId="77777777" w:rsidR="008940B3" w:rsidRPr="00052CC3" w:rsidRDefault="008940B3" w:rsidP="00052CC3">
            <w:pPr>
              <w:suppressAutoHyphens/>
              <w:spacing w:line="276" w:lineRule="auto"/>
              <w:rPr>
                <w:sz w:val="18"/>
                <w:szCs w:val="18"/>
              </w:rPr>
            </w:pPr>
          </w:p>
        </w:tc>
        <w:tc>
          <w:tcPr>
            <w:tcW w:w="1182" w:type="dxa"/>
            <w:gridSpan w:val="2"/>
          </w:tcPr>
          <w:p w14:paraId="0509CFE3" w14:textId="77777777" w:rsidR="008940B3" w:rsidRPr="00052CC3" w:rsidRDefault="008940B3" w:rsidP="00052CC3">
            <w:pPr>
              <w:suppressAutoHyphens/>
              <w:spacing w:line="276" w:lineRule="auto"/>
              <w:rPr>
                <w:sz w:val="18"/>
                <w:szCs w:val="18"/>
              </w:rPr>
            </w:pPr>
          </w:p>
        </w:tc>
      </w:tr>
      <w:tr w:rsidR="008940B3" w:rsidRPr="00052CC3" w14:paraId="287DE708" w14:textId="77777777" w:rsidTr="00052CC3">
        <w:trPr>
          <w:trHeight w:val="20"/>
        </w:trPr>
        <w:tc>
          <w:tcPr>
            <w:tcW w:w="2552" w:type="dxa"/>
          </w:tcPr>
          <w:p w14:paraId="0B532E53" w14:textId="77777777" w:rsidR="008940B3" w:rsidRPr="00052CC3" w:rsidRDefault="008940B3" w:rsidP="00052CC3">
            <w:pPr>
              <w:suppressAutoHyphens/>
              <w:spacing w:line="276" w:lineRule="auto"/>
              <w:rPr>
                <w:sz w:val="18"/>
                <w:szCs w:val="18"/>
              </w:rPr>
            </w:pPr>
            <w:r w:rsidRPr="00052CC3">
              <w:rPr>
                <w:sz w:val="18"/>
                <w:szCs w:val="18"/>
              </w:rPr>
              <w:t>DRAMIA</w:t>
            </w:r>
          </w:p>
        </w:tc>
        <w:tc>
          <w:tcPr>
            <w:tcW w:w="551" w:type="dxa"/>
            <w:hideMark/>
          </w:tcPr>
          <w:p w14:paraId="1124DFB3" w14:textId="77777777" w:rsidR="008940B3" w:rsidRPr="00052CC3" w:rsidRDefault="008940B3" w:rsidP="00052CC3">
            <w:pPr>
              <w:suppressAutoHyphens/>
              <w:spacing w:line="276" w:lineRule="auto"/>
              <w:rPr>
                <w:sz w:val="18"/>
                <w:szCs w:val="18"/>
              </w:rPr>
            </w:pPr>
            <w:r w:rsidRPr="00052CC3">
              <w:rPr>
                <w:sz w:val="18"/>
                <w:szCs w:val="18"/>
              </w:rPr>
              <w:t>1</w:t>
            </w:r>
          </w:p>
        </w:tc>
        <w:tc>
          <w:tcPr>
            <w:tcW w:w="636" w:type="dxa"/>
          </w:tcPr>
          <w:p w14:paraId="4EA69CAF"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hideMark/>
          </w:tcPr>
          <w:p w14:paraId="68D5CA6D" w14:textId="77777777" w:rsidR="008940B3" w:rsidRPr="00052CC3" w:rsidRDefault="008940B3" w:rsidP="00052CC3">
            <w:pPr>
              <w:suppressAutoHyphens/>
              <w:spacing w:line="276" w:lineRule="auto"/>
              <w:rPr>
                <w:sz w:val="18"/>
                <w:szCs w:val="18"/>
              </w:rPr>
            </w:pPr>
          </w:p>
        </w:tc>
        <w:tc>
          <w:tcPr>
            <w:tcW w:w="1182" w:type="dxa"/>
            <w:gridSpan w:val="2"/>
          </w:tcPr>
          <w:p w14:paraId="6CC3A42B" w14:textId="77777777" w:rsidR="008940B3" w:rsidRPr="00052CC3" w:rsidRDefault="008940B3" w:rsidP="00052CC3">
            <w:pPr>
              <w:suppressAutoHyphens/>
              <w:spacing w:line="276" w:lineRule="auto"/>
              <w:rPr>
                <w:color w:val="000000"/>
                <w:sz w:val="18"/>
                <w:szCs w:val="18"/>
              </w:rPr>
            </w:pPr>
          </w:p>
        </w:tc>
      </w:tr>
      <w:tr w:rsidR="008940B3" w:rsidRPr="00052CC3" w14:paraId="34657886" w14:textId="77777777" w:rsidTr="00052CC3">
        <w:trPr>
          <w:trHeight w:val="20"/>
        </w:trPr>
        <w:tc>
          <w:tcPr>
            <w:tcW w:w="2552" w:type="dxa"/>
          </w:tcPr>
          <w:p w14:paraId="0114D67B" w14:textId="77777777" w:rsidR="008940B3" w:rsidRPr="00052CC3" w:rsidRDefault="008940B3" w:rsidP="00052CC3">
            <w:pPr>
              <w:suppressAutoHyphens/>
              <w:spacing w:line="276" w:lineRule="auto"/>
              <w:rPr>
                <w:sz w:val="18"/>
                <w:szCs w:val="18"/>
              </w:rPr>
            </w:pPr>
            <w:r w:rsidRPr="00052CC3">
              <w:rPr>
                <w:sz w:val="18"/>
                <w:szCs w:val="18"/>
              </w:rPr>
              <w:t>KALAMAS MYLOPOTAMOS</w:t>
            </w:r>
          </w:p>
        </w:tc>
        <w:tc>
          <w:tcPr>
            <w:tcW w:w="551" w:type="dxa"/>
            <w:hideMark/>
          </w:tcPr>
          <w:p w14:paraId="1774E57B" w14:textId="77777777" w:rsidR="008940B3" w:rsidRPr="00052CC3" w:rsidRDefault="008940B3" w:rsidP="00052CC3">
            <w:pPr>
              <w:suppressAutoHyphens/>
              <w:spacing w:line="276" w:lineRule="auto"/>
              <w:rPr>
                <w:sz w:val="18"/>
                <w:szCs w:val="18"/>
              </w:rPr>
            </w:pPr>
            <w:r w:rsidRPr="00052CC3">
              <w:rPr>
                <w:sz w:val="18"/>
                <w:szCs w:val="18"/>
              </w:rPr>
              <w:t>1</w:t>
            </w:r>
          </w:p>
        </w:tc>
        <w:tc>
          <w:tcPr>
            <w:tcW w:w="636" w:type="dxa"/>
          </w:tcPr>
          <w:p w14:paraId="7A946D62" w14:textId="77777777" w:rsidR="008940B3" w:rsidRPr="00052CC3" w:rsidRDefault="008940B3" w:rsidP="00052CC3">
            <w:pPr>
              <w:suppressAutoHyphens/>
              <w:spacing w:line="276" w:lineRule="auto"/>
              <w:rPr>
                <w:sz w:val="18"/>
                <w:szCs w:val="18"/>
              </w:rPr>
            </w:pPr>
          </w:p>
        </w:tc>
        <w:tc>
          <w:tcPr>
            <w:tcW w:w="1403" w:type="dxa"/>
            <w:gridSpan w:val="2"/>
            <w:hideMark/>
          </w:tcPr>
          <w:p w14:paraId="2B353BCE" w14:textId="77777777" w:rsidR="008940B3" w:rsidRPr="00052CC3" w:rsidRDefault="008940B3" w:rsidP="00052CC3">
            <w:pPr>
              <w:suppressAutoHyphens/>
              <w:spacing w:line="276" w:lineRule="auto"/>
              <w:rPr>
                <w:sz w:val="18"/>
                <w:szCs w:val="18"/>
              </w:rPr>
            </w:pPr>
          </w:p>
        </w:tc>
        <w:tc>
          <w:tcPr>
            <w:tcW w:w="1182" w:type="dxa"/>
            <w:gridSpan w:val="2"/>
          </w:tcPr>
          <w:p w14:paraId="34441EFC" w14:textId="77777777" w:rsidR="008940B3" w:rsidRPr="00052CC3" w:rsidRDefault="008940B3" w:rsidP="00052CC3">
            <w:pPr>
              <w:suppressAutoHyphens/>
              <w:spacing w:line="276" w:lineRule="auto"/>
              <w:rPr>
                <w:sz w:val="18"/>
                <w:szCs w:val="18"/>
              </w:rPr>
            </w:pPr>
          </w:p>
        </w:tc>
      </w:tr>
      <w:tr w:rsidR="008940B3" w:rsidRPr="00052CC3" w14:paraId="2271E069" w14:textId="77777777" w:rsidTr="00052CC3">
        <w:trPr>
          <w:trHeight w:val="20"/>
        </w:trPr>
        <w:tc>
          <w:tcPr>
            <w:tcW w:w="2552" w:type="dxa"/>
          </w:tcPr>
          <w:p w14:paraId="33CD7164" w14:textId="77777777" w:rsidR="008940B3" w:rsidRPr="00052CC3" w:rsidRDefault="008940B3" w:rsidP="00052CC3">
            <w:pPr>
              <w:suppressAutoHyphens/>
              <w:spacing w:line="276" w:lineRule="auto"/>
              <w:rPr>
                <w:sz w:val="18"/>
                <w:szCs w:val="18"/>
              </w:rPr>
            </w:pPr>
            <w:r w:rsidRPr="00052CC3">
              <w:rPr>
                <w:sz w:val="18"/>
                <w:szCs w:val="18"/>
              </w:rPr>
              <w:t>KASTELLOS APOKORONOU</w:t>
            </w:r>
          </w:p>
        </w:tc>
        <w:tc>
          <w:tcPr>
            <w:tcW w:w="551" w:type="dxa"/>
            <w:hideMark/>
          </w:tcPr>
          <w:p w14:paraId="6B83D275" w14:textId="77777777" w:rsidR="008940B3" w:rsidRPr="00052CC3" w:rsidRDefault="008940B3" w:rsidP="00052CC3">
            <w:pPr>
              <w:suppressAutoHyphens/>
              <w:spacing w:line="276" w:lineRule="auto"/>
              <w:rPr>
                <w:sz w:val="18"/>
                <w:szCs w:val="18"/>
              </w:rPr>
            </w:pPr>
            <w:r w:rsidRPr="00052CC3">
              <w:rPr>
                <w:sz w:val="18"/>
                <w:szCs w:val="18"/>
              </w:rPr>
              <w:t>1</w:t>
            </w:r>
          </w:p>
        </w:tc>
        <w:tc>
          <w:tcPr>
            <w:tcW w:w="636" w:type="dxa"/>
          </w:tcPr>
          <w:p w14:paraId="3B2DB722"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hideMark/>
          </w:tcPr>
          <w:p w14:paraId="63D76B17" w14:textId="77777777" w:rsidR="008940B3" w:rsidRPr="00052CC3" w:rsidRDefault="008940B3" w:rsidP="00052CC3">
            <w:pPr>
              <w:suppressAutoHyphens/>
              <w:spacing w:line="276" w:lineRule="auto"/>
              <w:rPr>
                <w:sz w:val="18"/>
                <w:szCs w:val="18"/>
              </w:rPr>
            </w:pPr>
          </w:p>
        </w:tc>
        <w:tc>
          <w:tcPr>
            <w:tcW w:w="1182" w:type="dxa"/>
            <w:gridSpan w:val="2"/>
          </w:tcPr>
          <w:p w14:paraId="5A344618" w14:textId="77777777" w:rsidR="008940B3" w:rsidRPr="00052CC3" w:rsidRDefault="008940B3" w:rsidP="00052CC3">
            <w:pPr>
              <w:suppressAutoHyphens/>
              <w:spacing w:line="276" w:lineRule="auto"/>
              <w:rPr>
                <w:b/>
                <w:sz w:val="18"/>
                <w:szCs w:val="18"/>
              </w:rPr>
            </w:pPr>
          </w:p>
        </w:tc>
      </w:tr>
      <w:tr w:rsidR="008940B3" w:rsidRPr="00052CC3" w14:paraId="141479B0" w14:textId="77777777" w:rsidTr="00052CC3">
        <w:trPr>
          <w:trHeight w:val="20"/>
        </w:trPr>
        <w:tc>
          <w:tcPr>
            <w:tcW w:w="2552" w:type="dxa"/>
          </w:tcPr>
          <w:p w14:paraId="05BADFE2" w14:textId="77777777" w:rsidR="008940B3" w:rsidRPr="00052CC3" w:rsidRDefault="008940B3" w:rsidP="00052CC3">
            <w:pPr>
              <w:suppressAutoHyphens/>
              <w:spacing w:line="276" w:lineRule="auto"/>
              <w:rPr>
                <w:sz w:val="18"/>
                <w:szCs w:val="18"/>
              </w:rPr>
            </w:pPr>
            <w:r w:rsidRPr="00052CC3">
              <w:rPr>
                <w:rFonts w:eastAsia="Times New Roman"/>
                <w:color w:val="000000"/>
                <w:sz w:val="18"/>
                <w:szCs w:val="18"/>
              </w:rPr>
              <w:t>MAGNESIA</w:t>
            </w:r>
          </w:p>
        </w:tc>
        <w:tc>
          <w:tcPr>
            <w:tcW w:w="551" w:type="dxa"/>
          </w:tcPr>
          <w:p w14:paraId="6D2B9C5E" w14:textId="77777777" w:rsidR="008940B3" w:rsidRPr="00052CC3" w:rsidRDefault="008940B3" w:rsidP="00052CC3">
            <w:pPr>
              <w:suppressAutoHyphens/>
              <w:spacing w:line="276" w:lineRule="auto"/>
              <w:rPr>
                <w:sz w:val="18"/>
                <w:szCs w:val="18"/>
              </w:rPr>
            </w:pPr>
            <w:r w:rsidRPr="00052CC3">
              <w:rPr>
                <w:sz w:val="18"/>
                <w:szCs w:val="18"/>
              </w:rPr>
              <w:t>2</w:t>
            </w:r>
          </w:p>
        </w:tc>
        <w:tc>
          <w:tcPr>
            <w:tcW w:w="636" w:type="dxa"/>
          </w:tcPr>
          <w:p w14:paraId="3D1AB5FD"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tcPr>
          <w:p w14:paraId="44C47DDB" w14:textId="77777777" w:rsidR="008940B3" w:rsidRPr="00052CC3" w:rsidRDefault="008940B3" w:rsidP="00052CC3">
            <w:pPr>
              <w:suppressAutoHyphens/>
              <w:spacing w:line="276" w:lineRule="auto"/>
              <w:rPr>
                <w:sz w:val="18"/>
                <w:szCs w:val="18"/>
              </w:rPr>
            </w:pPr>
          </w:p>
        </w:tc>
        <w:tc>
          <w:tcPr>
            <w:tcW w:w="1182" w:type="dxa"/>
            <w:gridSpan w:val="2"/>
          </w:tcPr>
          <w:p w14:paraId="411D1752" w14:textId="77777777" w:rsidR="008940B3" w:rsidRPr="00052CC3" w:rsidRDefault="008940B3" w:rsidP="00052CC3">
            <w:pPr>
              <w:suppressAutoHyphens/>
              <w:spacing w:line="276" w:lineRule="auto"/>
              <w:rPr>
                <w:sz w:val="18"/>
                <w:szCs w:val="18"/>
              </w:rPr>
            </w:pPr>
          </w:p>
        </w:tc>
      </w:tr>
      <w:tr w:rsidR="008940B3" w:rsidRPr="00052CC3" w14:paraId="149465DF" w14:textId="77777777" w:rsidTr="00052CC3">
        <w:trPr>
          <w:trHeight w:val="20"/>
        </w:trPr>
        <w:tc>
          <w:tcPr>
            <w:tcW w:w="2552" w:type="dxa"/>
          </w:tcPr>
          <w:p w14:paraId="708D00B1" w14:textId="77777777" w:rsidR="008940B3" w:rsidRPr="00052CC3" w:rsidRDefault="008940B3" w:rsidP="00052CC3">
            <w:pPr>
              <w:suppressAutoHyphens/>
              <w:spacing w:line="276" w:lineRule="auto"/>
              <w:rPr>
                <w:sz w:val="18"/>
                <w:szCs w:val="18"/>
              </w:rPr>
            </w:pPr>
            <w:r w:rsidRPr="00052CC3">
              <w:rPr>
                <w:rFonts w:eastAsia="Times New Roman"/>
                <w:color w:val="000000"/>
                <w:sz w:val="18"/>
                <w:szCs w:val="18"/>
              </w:rPr>
              <w:t>MARGARITES</w:t>
            </w:r>
          </w:p>
        </w:tc>
        <w:tc>
          <w:tcPr>
            <w:tcW w:w="1187" w:type="dxa"/>
            <w:gridSpan w:val="2"/>
          </w:tcPr>
          <w:p w14:paraId="6C60897F" w14:textId="77777777" w:rsidR="008940B3" w:rsidRPr="00052CC3" w:rsidRDefault="008940B3" w:rsidP="00052CC3">
            <w:pPr>
              <w:suppressAutoHyphens/>
              <w:spacing w:line="276" w:lineRule="auto"/>
              <w:rPr>
                <w:sz w:val="18"/>
                <w:szCs w:val="18"/>
              </w:rPr>
            </w:pPr>
          </w:p>
        </w:tc>
        <w:tc>
          <w:tcPr>
            <w:tcW w:w="1403" w:type="dxa"/>
            <w:gridSpan w:val="2"/>
          </w:tcPr>
          <w:p w14:paraId="4E87CF70" w14:textId="77777777" w:rsidR="008940B3" w:rsidRPr="00052CC3" w:rsidRDefault="008940B3" w:rsidP="00052CC3">
            <w:pPr>
              <w:suppressAutoHyphens/>
              <w:spacing w:line="276" w:lineRule="auto"/>
              <w:rPr>
                <w:sz w:val="18"/>
                <w:szCs w:val="18"/>
              </w:rPr>
            </w:pPr>
          </w:p>
        </w:tc>
        <w:tc>
          <w:tcPr>
            <w:tcW w:w="546" w:type="dxa"/>
          </w:tcPr>
          <w:p w14:paraId="4B2DD0BB" w14:textId="77777777" w:rsidR="008940B3" w:rsidRPr="00052CC3" w:rsidRDefault="008940B3" w:rsidP="00052CC3">
            <w:pPr>
              <w:suppressAutoHyphens/>
              <w:spacing w:line="276" w:lineRule="auto"/>
              <w:rPr>
                <w:sz w:val="18"/>
                <w:szCs w:val="18"/>
              </w:rPr>
            </w:pPr>
            <w:r w:rsidRPr="00052CC3">
              <w:rPr>
                <w:sz w:val="18"/>
                <w:szCs w:val="18"/>
              </w:rPr>
              <w:t>1</w:t>
            </w:r>
          </w:p>
        </w:tc>
        <w:tc>
          <w:tcPr>
            <w:tcW w:w="636" w:type="dxa"/>
          </w:tcPr>
          <w:p w14:paraId="37AD75FE" w14:textId="77777777" w:rsidR="008940B3" w:rsidRPr="00052CC3" w:rsidRDefault="008940B3" w:rsidP="00052CC3">
            <w:pPr>
              <w:suppressAutoHyphens/>
              <w:spacing w:line="276" w:lineRule="auto"/>
              <w:rPr>
                <w:sz w:val="18"/>
                <w:szCs w:val="18"/>
              </w:rPr>
            </w:pPr>
            <w:r w:rsidRPr="00052CC3">
              <w:rPr>
                <w:sz w:val="18"/>
                <w:szCs w:val="18"/>
              </w:rPr>
              <w:t>100%</w:t>
            </w:r>
          </w:p>
        </w:tc>
      </w:tr>
      <w:tr w:rsidR="008940B3" w:rsidRPr="00052CC3" w14:paraId="5FC06336" w14:textId="77777777" w:rsidTr="00052CC3">
        <w:trPr>
          <w:trHeight w:val="20"/>
        </w:trPr>
        <w:tc>
          <w:tcPr>
            <w:tcW w:w="2552" w:type="dxa"/>
          </w:tcPr>
          <w:p w14:paraId="1C14D243" w14:textId="77777777" w:rsidR="008940B3" w:rsidRPr="00052CC3" w:rsidRDefault="008940B3" w:rsidP="00052CC3">
            <w:pPr>
              <w:suppressAutoHyphens/>
              <w:spacing w:line="276" w:lineRule="auto"/>
              <w:rPr>
                <w:sz w:val="18"/>
                <w:szCs w:val="18"/>
              </w:rPr>
            </w:pPr>
            <w:r w:rsidRPr="00052CC3">
              <w:rPr>
                <w:rFonts w:eastAsia="Times New Roman"/>
                <w:color w:val="000000"/>
                <w:sz w:val="18"/>
                <w:szCs w:val="18"/>
              </w:rPr>
              <w:t>MAROULAS</w:t>
            </w:r>
          </w:p>
        </w:tc>
        <w:tc>
          <w:tcPr>
            <w:tcW w:w="551" w:type="dxa"/>
          </w:tcPr>
          <w:p w14:paraId="65D31B4C" w14:textId="77777777" w:rsidR="008940B3" w:rsidRPr="00052CC3" w:rsidRDefault="008940B3" w:rsidP="00052CC3">
            <w:pPr>
              <w:suppressAutoHyphens/>
              <w:spacing w:line="276" w:lineRule="auto"/>
              <w:rPr>
                <w:sz w:val="18"/>
                <w:szCs w:val="18"/>
              </w:rPr>
            </w:pPr>
            <w:r w:rsidRPr="00052CC3">
              <w:rPr>
                <w:sz w:val="18"/>
                <w:szCs w:val="18"/>
              </w:rPr>
              <w:t>11</w:t>
            </w:r>
          </w:p>
        </w:tc>
        <w:tc>
          <w:tcPr>
            <w:tcW w:w="636" w:type="dxa"/>
          </w:tcPr>
          <w:p w14:paraId="6ECB0CF8"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tcPr>
          <w:p w14:paraId="7EBD888A" w14:textId="77777777" w:rsidR="008940B3" w:rsidRPr="00052CC3" w:rsidRDefault="008940B3" w:rsidP="00052CC3">
            <w:pPr>
              <w:suppressAutoHyphens/>
              <w:spacing w:line="276" w:lineRule="auto"/>
              <w:rPr>
                <w:sz w:val="18"/>
                <w:szCs w:val="18"/>
              </w:rPr>
            </w:pPr>
          </w:p>
        </w:tc>
        <w:tc>
          <w:tcPr>
            <w:tcW w:w="1182" w:type="dxa"/>
            <w:gridSpan w:val="2"/>
          </w:tcPr>
          <w:p w14:paraId="482C1F7A" w14:textId="77777777" w:rsidR="008940B3" w:rsidRPr="00052CC3" w:rsidRDefault="008940B3" w:rsidP="00052CC3">
            <w:pPr>
              <w:suppressAutoHyphens/>
              <w:spacing w:line="276" w:lineRule="auto"/>
              <w:rPr>
                <w:sz w:val="18"/>
                <w:szCs w:val="18"/>
              </w:rPr>
            </w:pPr>
          </w:p>
        </w:tc>
      </w:tr>
      <w:tr w:rsidR="008940B3" w:rsidRPr="00052CC3" w14:paraId="1551C52E" w14:textId="77777777" w:rsidTr="00052CC3">
        <w:trPr>
          <w:trHeight w:val="20"/>
        </w:trPr>
        <w:tc>
          <w:tcPr>
            <w:tcW w:w="2552" w:type="dxa"/>
          </w:tcPr>
          <w:p w14:paraId="72AAEAED" w14:textId="77777777" w:rsidR="008940B3" w:rsidRPr="00052CC3" w:rsidRDefault="008940B3" w:rsidP="00052CC3">
            <w:pPr>
              <w:suppressAutoHyphens/>
              <w:spacing w:line="276" w:lineRule="auto"/>
              <w:rPr>
                <w:rFonts w:eastAsia="Times New Roman"/>
                <w:color w:val="000000"/>
                <w:sz w:val="18"/>
                <w:szCs w:val="18"/>
              </w:rPr>
            </w:pPr>
            <w:r w:rsidRPr="00052CC3">
              <w:rPr>
                <w:rFonts w:eastAsia="Times New Roman"/>
                <w:color w:val="000000"/>
                <w:sz w:val="18"/>
                <w:szCs w:val="18"/>
              </w:rPr>
              <w:t>MELIDONI</w:t>
            </w:r>
          </w:p>
        </w:tc>
        <w:tc>
          <w:tcPr>
            <w:tcW w:w="551" w:type="dxa"/>
          </w:tcPr>
          <w:p w14:paraId="22037DE9" w14:textId="77777777" w:rsidR="008940B3" w:rsidRPr="00052CC3" w:rsidRDefault="008940B3" w:rsidP="00052CC3">
            <w:pPr>
              <w:suppressAutoHyphens/>
              <w:spacing w:line="276" w:lineRule="auto"/>
              <w:rPr>
                <w:sz w:val="18"/>
                <w:szCs w:val="18"/>
              </w:rPr>
            </w:pPr>
            <w:r w:rsidRPr="00052CC3">
              <w:rPr>
                <w:sz w:val="18"/>
                <w:szCs w:val="18"/>
              </w:rPr>
              <w:t>1</w:t>
            </w:r>
          </w:p>
        </w:tc>
        <w:tc>
          <w:tcPr>
            <w:tcW w:w="636" w:type="dxa"/>
          </w:tcPr>
          <w:p w14:paraId="7B021833"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tcPr>
          <w:p w14:paraId="1A676473" w14:textId="77777777" w:rsidR="008940B3" w:rsidRPr="00052CC3" w:rsidRDefault="008940B3" w:rsidP="00052CC3">
            <w:pPr>
              <w:suppressAutoHyphens/>
              <w:spacing w:line="276" w:lineRule="auto"/>
              <w:rPr>
                <w:sz w:val="18"/>
                <w:szCs w:val="18"/>
              </w:rPr>
            </w:pPr>
          </w:p>
        </w:tc>
        <w:tc>
          <w:tcPr>
            <w:tcW w:w="1182" w:type="dxa"/>
            <w:gridSpan w:val="2"/>
          </w:tcPr>
          <w:p w14:paraId="0B855670" w14:textId="77777777" w:rsidR="008940B3" w:rsidRPr="00052CC3" w:rsidRDefault="008940B3" w:rsidP="00052CC3">
            <w:pPr>
              <w:suppressAutoHyphens/>
              <w:spacing w:line="276" w:lineRule="auto"/>
              <w:rPr>
                <w:sz w:val="18"/>
                <w:szCs w:val="18"/>
              </w:rPr>
            </w:pPr>
          </w:p>
        </w:tc>
      </w:tr>
      <w:tr w:rsidR="008940B3" w:rsidRPr="00052CC3" w14:paraId="731316F1" w14:textId="77777777" w:rsidTr="00052CC3">
        <w:trPr>
          <w:trHeight w:val="20"/>
        </w:trPr>
        <w:tc>
          <w:tcPr>
            <w:tcW w:w="2552" w:type="dxa"/>
          </w:tcPr>
          <w:p w14:paraId="7D063BEA" w14:textId="77777777" w:rsidR="008940B3" w:rsidRPr="00052CC3" w:rsidRDefault="008940B3" w:rsidP="00052CC3">
            <w:pPr>
              <w:suppressAutoHyphens/>
              <w:spacing w:line="276" w:lineRule="auto"/>
              <w:rPr>
                <w:sz w:val="18"/>
                <w:szCs w:val="18"/>
              </w:rPr>
            </w:pPr>
            <w:r w:rsidRPr="00052CC3">
              <w:rPr>
                <w:rFonts w:eastAsia="Times New Roman"/>
                <w:color w:val="000000"/>
                <w:sz w:val="18"/>
                <w:szCs w:val="18"/>
              </w:rPr>
              <w:t>MESI</w:t>
            </w:r>
          </w:p>
        </w:tc>
        <w:tc>
          <w:tcPr>
            <w:tcW w:w="551" w:type="dxa"/>
          </w:tcPr>
          <w:p w14:paraId="733587C6" w14:textId="77777777" w:rsidR="008940B3" w:rsidRPr="00052CC3" w:rsidRDefault="008940B3" w:rsidP="00052CC3">
            <w:pPr>
              <w:suppressAutoHyphens/>
              <w:spacing w:line="276" w:lineRule="auto"/>
              <w:rPr>
                <w:sz w:val="18"/>
                <w:szCs w:val="18"/>
              </w:rPr>
            </w:pPr>
            <w:r w:rsidRPr="00052CC3">
              <w:rPr>
                <w:sz w:val="18"/>
                <w:szCs w:val="18"/>
              </w:rPr>
              <w:t>4</w:t>
            </w:r>
          </w:p>
        </w:tc>
        <w:tc>
          <w:tcPr>
            <w:tcW w:w="636" w:type="dxa"/>
          </w:tcPr>
          <w:p w14:paraId="67A6BC3A"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tcPr>
          <w:p w14:paraId="028FDC4F" w14:textId="77777777" w:rsidR="008940B3" w:rsidRPr="00052CC3" w:rsidRDefault="008940B3" w:rsidP="00052CC3">
            <w:pPr>
              <w:suppressAutoHyphens/>
              <w:spacing w:line="276" w:lineRule="auto"/>
              <w:rPr>
                <w:sz w:val="18"/>
                <w:szCs w:val="18"/>
              </w:rPr>
            </w:pPr>
          </w:p>
        </w:tc>
        <w:tc>
          <w:tcPr>
            <w:tcW w:w="1182" w:type="dxa"/>
            <w:gridSpan w:val="2"/>
          </w:tcPr>
          <w:p w14:paraId="64037101" w14:textId="77777777" w:rsidR="008940B3" w:rsidRPr="00052CC3" w:rsidRDefault="008940B3" w:rsidP="00052CC3">
            <w:pPr>
              <w:suppressAutoHyphens/>
              <w:spacing w:line="276" w:lineRule="auto"/>
              <w:rPr>
                <w:sz w:val="18"/>
                <w:szCs w:val="18"/>
              </w:rPr>
            </w:pPr>
          </w:p>
        </w:tc>
      </w:tr>
      <w:tr w:rsidR="008940B3" w:rsidRPr="00052CC3" w14:paraId="093A3A0E" w14:textId="77777777" w:rsidTr="00052CC3">
        <w:trPr>
          <w:trHeight w:val="20"/>
        </w:trPr>
        <w:tc>
          <w:tcPr>
            <w:tcW w:w="2552" w:type="dxa"/>
          </w:tcPr>
          <w:p w14:paraId="3E641BC1" w14:textId="77777777" w:rsidR="008940B3" w:rsidRPr="00052CC3" w:rsidRDefault="008940B3" w:rsidP="00052CC3">
            <w:pPr>
              <w:suppressAutoHyphens/>
              <w:spacing w:line="276" w:lineRule="auto"/>
              <w:rPr>
                <w:sz w:val="18"/>
                <w:szCs w:val="18"/>
              </w:rPr>
            </w:pPr>
            <w:r w:rsidRPr="00052CC3">
              <w:rPr>
                <w:rFonts w:eastAsia="Times New Roman"/>
                <w:color w:val="000000"/>
                <w:sz w:val="18"/>
                <w:szCs w:val="18"/>
              </w:rPr>
              <w:t>MONI ARSANI</w:t>
            </w:r>
          </w:p>
        </w:tc>
        <w:tc>
          <w:tcPr>
            <w:tcW w:w="551" w:type="dxa"/>
          </w:tcPr>
          <w:p w14:paraId="21898CDD" w14:textId="77777777" w:rsidR="008940B3" w:rsidRPr="00052CC3" w:rsidRDefault="008940B3" w:rsidP="00052CC3">
            <w:pPr>
              <w:suppressAutoHyphens/>
              <w:spacing w:line="276" w:lineRule="auto"/>
              <w:rPr>
                <w:sz w:val="18"/>
                <w:szCs w:val="18"/>
              </w:rPr>
            </w:pPr>
            <w:r w:rsidRPr="00052CC3">
              <w:rPr>
                <w:sz w:val="18"/>
                <w:szCs w:val="18"/>
              </w:rPr>
              <w:t>1</w:t>
            </w:r>
          </w:p>
        </w:tc>
        <w:tc>
          <w:tcPr>
            <w:tcW w:w="636" w:type="dxa"/>
          </w:tcPr>
          <w:p w14:paraId="34EDB448"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tcPr>
          <w:p w14:paraId="1E29F843" w14:textId="77777777" w:rsidR="008940B3" w:rsidRPr="00052CC3" w:rsidRDefault="008940B3" w:rsidP="00052CC3">
            <w:pPr>
              <w:suppressAutoHyphens/>
              <w:spacing w:line="276" w:lineRule="auto"/>
              <w:rPr>
                <w:sz w:val="18"/>
                <w:szCs w:val="18"/>
              </w:rPr>
            </w:pPr>
          </w:p>
        </w:tc>
        <w:tc>
          <w:tcPr>
            <w:tcW w:w="1182" w:type="dxa"/>
            <w:gridSpan w:val="2"/>
          </w:tcPr>
          <w:p w14:paraId="4B25EE77" w14:textId="77777777" w:rsidR="008940B3" w:rsidRPr="00052CC3" w:rsidRDefault="008940B3" w:rsidP="00052CC3">
            <w:pPr>
              <w:suppressAutoHyphens/>
              <w:spacing w:line="276" w:lineRule="auto"/>
              <w:rPr>
                <w:sz w:val="18"/>
                <w:szCs w:val="18"/>
              </w:rPr>
            </w:pPr>
          </w:p>
        </w:tc>
      </w:tr>
      <w:tr w:rsidR="008940B3" w:rsidRPr="00052CC3" w14:paraId="09AE5220" w14:textId="77777777" w:rsidTr="00052CC3">
        <w:trPr>
          <w:trHeight w:val="20"/>
        </w:trPr>
        <w:tc>
          <w:tcPr>
            <w:tcW w:w="2552" w:type="dxa"/>
          </w:tcPr>
          <w:p w14:paraId="19D1D101" w14:textId="77777777" w:rsidR="008940B3" w:rsidRPr="00052CC3" w:rsidRDefault="008940B3" w:rsidP="00052CC3">
            <w:pPr>
              <w:suppressAutoHyphens/>
              <w:spacing w:line="276" w:lineRule="auto"/>
              <w:rPr>
                <w:sz w:val="18"/>
                <w:szCs w:val="18"/>
              </w:rPr>
            </w:pPr>
            <w:r w:rsidRPr="00052CC3">
              <w:rPr>
                <w:rFonts w:eastAsia="Times New Roman"/>
                <w:color w:val="000000"/>
                <w:sz w:val="18"/>
                <w:szCs w:val="18"/>
              </w:rPr>
              <w:t>PANKALOCHORI</w:t>
            </w:r>
          </w:p>
        </w:tc>
        <w:tc>
          <w:tcPr>
            <w:tcW w:w="551" w:type="dxa"/>
          </w:tcPr>
          <w:p w14:paraId="214BC365" w14:textId="77777777" w:rsidR="008940B3" w:rsidRPr="00052CC3" w:rsidRDefault="008940B3" w:rsidP="00052CC3">
            <w:pPr>
              <w:suppressAutoHyphens/>
              <w:spacing w:line="276" w:lineRule="auto"/>
              <w:rPr>
                <w:sz w:val="18"/>
                <w:szCs w:val="18"/>
              </w:rPr>
            </w:pPr>
            <w:r w:rsidRPr="00052CC3">
              <w:rPr>
                <w:sz w:val="18"/>
                <w:szCs w:val="18"/>
              </w:rPr>
              <w:t>2</w:t>
            </w:r>
          </w:p>
        </w:tc>
        <w:tc>
          <w:tcPr>
            <w:tcW w:w="636" w:type="dxa"/>
          </w:tcPr>
          <w:p w14:paraId="7293BDB9"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tcPr>
          <w:p w14:paraId="28E25FB7" w14:textId="77777777" w:rsidR="008940B3" w:rsidRPr="00052CC3" w:rsidRDefault="008940B3" w:rsidP="00052CC3">
            <w:pPr>
              <w:suppressAutoHyphens/>
              <w:spacing w:line="276" w:lineRule="auto"/>
              <w:rPr>
                <w:sz w:val="18"/>
                <w:szCs w:val="18"/>
              </w:rPr>
            </w:pPr>
          </w:p>
        </w:tc>
        <w:tc>
          <w:tcPr>
            <w:tcW w:w="1182" w:type="dxa"/>
            <w:gridSpan w:val="2"/>
          </w:tcPr>
          <w:p w14:paraId="0F7EAC8D" w14:textId="77777777" w:rsidR="008940B3" w:rsidRPr="00052CC3" w:rsidRDefault="008940B3" w:rsidP="00052CC3">
            <w:pPr>
              <w:suppressAutoHyphens/>
              <w:spacing w:line="276" w:lineRule="auto"/>
              <w:rPr>
                <w:sz w:val="18"/>
                <w:szCs w:val="18"/>
              </w:rPr>
            </w:pPr>
          </w:p>
        </w:tc>
      </w:tr>
      <w:tr w:rsidR="008940B3" w:rsidRPr="00052CC3" w14:paraId="72F39CA8" w14:textId="77777777" w:rsidTr="00052CC3">
        <w:trPr>
          <w:trHeight w:val="20"/>
        </w:trPr>
        <w:tc>
          <w:tcPr>
            <w:tcW w:w="2552" w:type="dxa"/>
          </w:tcPr>
          <w:p w14:paraId="7F91523D" w14:textId="77777777" w:rsidR="008940B3" w:rsidRPr="00052CC3" w:rsidRDefault="008940B3" w:rsidP="00052CC3">
            <w:pPr>
              <w:suppressAutoHyphens/>
              <w:spacing w:line="276" w:lineRule="auto"/>
              <w:rPr>
                <w:rFonts w:eastAsia="Times New Roman"/>
                <w:color w:val="000000"/>
                <w:sz w:val="18"/>
                <w:szCs w:val="18"/>
              </w:rPr>
            </w:pPr>
            <w:r w:rsidRPr="00052CC3">
              <w:rPr>
                <w:rFonts w:eastAsia="Times New Roman"/>
                <w:color w:val="000000"/>
                <w:sz w:val="18"/>
                <w:szCs w:val="18"/>
              </w:rPr>
              <w:t>PIGI</w:t>
            </w:r>
          </w:p>
        </w:tc>
        <w:tc>
          <w:tcPr>
            <w:tcW w:w="551" w:type="dxa"/>
          </w:tcPr>
          <w:p w14:paraId="050CEC58" w14:textId="77777777" w:rsidR="008940B3" w:rsidRPr="00052CC3" w:rsidRDefault="008940B3" w:rsidP="00052CC3">
            <w:pPr>
              <w:suppressAutoHyphens/>
              <w:spacing w:line="276" w:lineRule="auto"/>
              <w:rPr>
                <w:sz w:val="18"/>
                <w:szCs w:val="18"/>
              </w:rPr>
            </w:pPr>
            <w:r w:rsidRPr="00052CC3">
              <w:rPr>
                <w:sz w:val="18"/>
                <w:szCs w:val="18"/>
              </w:rPr>
              <w:t>5</w:t>
            </w:r>
          </w:p>
        </w:tc>
        <w:tc>
          <w:tcPr>
            <w:tcW w:w="636" w:type="dxa"/>
          </w:tcPr>
          <w:p w14:paraId="5BD39AF3"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tcPr>
          <w:p w14:paraId="5FEC31D8" w14:textId="77777777" w:rsidR="008940B3" w:rsidRPr="00052CC3" w:rsidRDefault="008940B3" w:rsidP="00052CC3">
            <w:pPr>
              <w:suppressAutoHyphens/>
              <w:spacing w:line="276" w:lineRule="auto"/>
              <w:rPr>
                <w:sz w:val="18"/>
                <w:szCs w:val="18"/>
              </w:rPr>
            </w:pPr>
          </w:p>
        </w:tc>
        <w:tc>
          <w:tcPr>
            <w:tcW w:w="1182" w:type="dxa"/>
            <w:gridSpan w:val="2"/>
          </w:tcPr>
          <w:p w14:paraId="034115F2" w14:textId="77777777" w:rsidR="008940B3" w:rsidRPr="00052CC3" w:rsidRDefault="008940B3" w:rsidP="00052CC3">
            <w:pPr>
              <w:suppressAutoHyphens/>
              <w:spacing w:line="276" w:lineRule="auto"/>
              <w:rPr>
                <w:sz w:val="18"/>
                <w:szCs w:val="18"/>
              </w:rPr>
            </w:pPr>
          </w:p>
        </w:tc>
      </w:tr>
      <w:tr w:rsidR="008940B3" w:rsidRPr="00052CC3" w14:paraId="07E618F9" w14:textId="77777777" w:rsidTr="00052CC3">
        <w:trPr>
          <w:trHeight w:val="20"/>
        </w:trPr>
        <w:tc>
          <w:tcPr>
            <w:tcW w:w="2552" w:type="dxa"/>
          </w:tcPr>
          <w:p w14:paraId="06CDDEA2" w14:textId="77777777" w:rsidR="008940B3" w:rsidRPr="00052CC3" w:rsidRDefault="008940B3" w:rsidP="00052CC3">
            <w:pPr>
              <w:suppressAutoHyphens/>
              <w:spacing w:line="276" w:lineRule="auto"/>
              <w:rPr>
                <w:rFonts w:eastAsia="Times New Roman"/>
                <w:color w:val="000000"/>
                <w:sz w:val="18"/>
                <w:szCs w:val="18"/>
              </w:rPr>
            </w:pPr>
            <w:r w:rsidRPr="00052CC3">
              <w:rPr>
                <w:rFonts w:eastAsia="Times New Roman"/>
                <w:color w:val="000000"/>
                <w:sz w:val="18"/>
                <w:szCs w:val="18"/>
              </w:rPr>
              <w:t>SPHAKAKI</w:t>
            </w:r>
          </w:p>
        </w:tc>
        <w:tc>
          <w:tcPr>
            <w:tcW w:w="551" w:type="dxa"/>
          </w:tcPr>
          <w:p w14:paraId="22E2B22A" w14:textId="77777777" w:rsidR="008940B3" w:rsidRPr="00052CC3" w:rsidRDefault="008940B3" w:rsidP="00052CC3">
            <w:pPr>
              <w:suppressAutoHyphens/>
              <w:spacing w:line="276" w:lineRule="auto"/>
              <w:rPr>
                <w:sz w:val="18"/>
                <w:szCs w:val="18"/>
              </w:rPr>
            </w:pPr>
            <w:r w:rsidRPr="00052CC3">
              <w:rPr>
                <w:sz w:val="18"/>
                <w:szCs w:val="18"/>
              </w:rPr>
              <w:t>1</w:t>
            </w:r>
          </w:p>
        </w:tc>
        <w:tc>
          <w:tcPr>
            <w:tcW w:w="636" w:type="dxa"/>
          </w:tcPr>
          <w:p w14:paraId="6DD9A968"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tcPr>
          <w:p w14:paraId="5244E4CE" w14:textId="77777777" w:rsidR="008940B3" w:rsidRPr="00052CC3" w:rsidRDefault="008940B3" w:rsidP="00052CC3">
            <w:pPr>
              <w:suppressAutoHyphens/>
              <w:spacing w:line="276" w:lineRule="auto"/>
              <w:rPr>
                <w:sz w:val="18"/>
                <w:szCs w:val="18"/>
              </w:rPr>
            </w:pPr>
          </w:p>
        </w:tc>
        <w:tc>
          <w:tcPr>
            <w:tcW w:w="1182" w:type="dxa"/>
            <w:gridSpan w:val="2"/>
          </w:tcPr>
          <w:p w14:paraId="380A8D93" w14:textId="77777777" w:rsidR="008940B3" w:rsidRPr="00052CC3" w:rsidRDefault="008940B3" w:rsidP="00052CC3">
            <w:pPr>
              <w:suppressAutoHyphens/>
              <w:spacing w:line="276" w:lineRule="auto"/>
              <w:rPr>
                <w:sz w:val="18"/>
                <w:szCs w:val="18"/>
              </w:rPr>
            </w:pPr>
          </w:p>
        </w:tc>
      </w:tr>
      <w:tr w:rsidR="008940B3" w:rsidRPr="00052CC3" w14:paraId="447335C0" w14:textId="77777777" w:rsidTr="00052CC3">
        <w:trPr>
          <w:trHeight w:val="20"/>
        </w:trPr>
        <w:tc>
          <w:tcPr>
            <w:tcW w:w="2552" w:type="dxa"/>
          </w:tcPr>
          <w:p w14:paraId="2158B065" w14:textId="77777777" w:rsidR="008940B3" w:rsidRPr="00052CC3" w:rsidRDefault="008940B3" w:rsidP="00052CC3">
            <w:pPr>
              <w:suppressAutoHyphens/>
              <w:spacing w:line="276" w:lineRule="auto"/>
              <w:rPr>
                <w:rFonts w:eastAsia="Times New Roman"/>
                <w:color w:val="000000"/>
                <w:sz w:val="18"/>
                <w:szCs w:val="18"/>
              </w:rPr>
            </w:pPr>
            <w:r w:rsidRPr="00052CC3">
              <w:rPr>
                <w:rFonts w:eastAsia="Times New Roman"/>
                <w:color w:val="000000"/>
                <w:sz w:val="18"/>
                <w:szCs w:val="18"/>
              </w:rPr>
              <w:t>STAVROMENOS</w:t>
            </w:r>
          </w:p>
        </w:tc>
        <w:tc>
          <w:tcPr>
            <w:tcW w:w="551" w:type="dxa"/>
          </w:tcPr>
          <w:p w14:paraId="6273E569" w14:textId="77777777" w:rsidR="008940B3" w:rsidRPr="00052CC3" w:rsidRDefault="008940B3" w:rsidP="00052CC3">
            <w:pPr>
              <w:suppressAutoHyphens/>
              <w:spacing w:line="276" w:lineRule="auto"/>
              <w:rPr>
                <w:sz w:val="18"/>
                <w:szCs w:val="18"/>
              </w:rPr>
            </w:pPr>
            <w:r w:rsidRPr="00052CC3">
              <w:rPr>
                <w:sz w:val="18"/>
                <w:szCs w:val="18"/>
              </w:rPr>
              <w:t>1</w:t>
            </w:r>
          </w:p>
        </w:tc>
        <w:tc>
          <w:tcPr>
            <w:tcW w:w="636" w:type="dxa"/>
          </w:tcPr>
          <w:p w14:paraId="1334DB5E" w14:textId="77777777" w:rsidR="008940B3" w:rsidRPr="00052CC3" w:rsidRDefault="008940B3" w:rsidP="00052CC3">
            <w:pPr>
              <w:suppressAutoHyphens/>
              <w:spacing w:line="276" w:lineRule="auto"/>
              <w:rPr>
                <w:sz w:val="18"/>
                <w:szCs w:val="18"/>
              </w:rPr>
            </w:pPr>
            <w:r w:rsidRPr="00052CC3">
              <w:rPr>
                <w:sz w:val="18"/>
                <w:szCs w:val="18"/>
              </w:rPr>
              <w:t>100%</w:t>
            </w:r>
          </w:p>
        </w:tc>
        <w:tc>
          <w:tcPr>
            <w:tcW w:w="1403" w:type="dxa"/>
            <w:gridSpan w:val="2"/>
          </w:tcPr>
          <w:p w14:paraId="6DD0600A" w14:textId="77777777" w:rsidR="008940B3" w:rsidRPr="00052CC3" w:rsidRDefault="008940B3" w:rsidP="00052CC3">
            <w:pPr>
              <w:suppressAutoHyphens/>
              <w:spacing w:line="276" w:lineRule="auto"/>
              <w:rPr>
                <w:sz w:val="18"/>
                <w:szCs w:val="18"/>
              </w:rPr>
            </w:pPr>
          </w:p>
        </w:tc>
        <w:tc>
          <w:tcPr>
            <w:tcW w:w="1182" w:type="dxa"/>
            <w:gridSpan w:val="2"/>
          </w:tcPr>
          <w:p w14:paraId="6E0156FE" w14:textId="77777777" w:rsidR="008940B3" w:rsidRPr="00052CC3" w:rsidRDefault="008940B3" w:rsidP="00052CC3">
            <w:pPr>
              <w:suppressAutoHyphens/>
              <w:spacing w:line="276" w:lineRule="auto"/>
              <w:rPr>
                <w:sz w:val="18"/>
                <w:szCs w:val="18"/>
              </w:rPr>
            </w:pPr>
          </w:p>
        </w:tc>
      </w:tr>
      <w:tr w:rsidR="008940B3" w:rsidRPr="00052CC3" w14:paraId="1627CBFD" w14:textId="77777777" w:rsidTr="00052CC3">
        <w:trPr>
          <w:trHeight w:val="20"/>
        </w:trPr>
        <w:tc>
          <w:tcPr>
            <w:tcW w:w="2552" w:type="dxa"/>
          </w:tcPr>
          <w:p w14:paraId="12E1DABF" w14:textId="77777777" w:rsidR="008940B3" w:rsidRPr="00052CC3" w:rsidRDefault="008940B3" w:rsidP="00052CC3">
            <w:pPr>
              <w:suppressAutoHyphens/>
              <w:spacing w:line="276" w:lineRule="auto"/>
              <w:rPr>
                <w:rFonts w:eastAsia="Times New Roman"/>
                <w:color w:val="000000"/>
                <w:sz w:val="18"/>
                <w:szCs w:val="18"/>
              </w:rPr>
            </w:pPr>
            <w:r w:rsidRPr="00052CC3">
              <w:rPr>
                <w:rFonts w:eastAsia="Times New Roman"/>
                <w:color w:val="000000"/>
                <w:sz w:val="18"/>
                <w:szCs w:val="18"/>
              </w:rPr>
              <w:t>VOLIONES</w:t>
            </w:r>
          </w:p>
        </w:tc>
        <w:tc>
          <w:tcPr>
            <w:tcW w:w="1187" w:type="dxa"/>
            <w:gridSpan w:val="2"/>
          </w:tcPr>
          <w:p w14:paraId="7D919C9C" w14:textId="77777777" w:rsidR="008940B3" w:rsidRPr="00052CC3" w:rsidRDefault="008940B3" w:rsidP="00052CC3">
            <w:pPr>
              <w:suppressAutoHyphens/>
              <w:spacing w:line="276" w:lineRule="auto"/>
              <w:rPr>
                <w:sz w:val="18"/>
                <w:szCs w:val="18"/>
              </w:rPr>
            </w:pPr>
          </w:p>
        </w:tc>
        <w:tc>
          <w:tcPr>
            <w:tcW w:w="617" w:type="dxa"/>
          </w:tcPr>
          <w:p w14:paraId="56321AF6" w14:textId="77777777" w:rsidR="008940B3" w:rsidRPr="00052CC3" w:rsidRDefault="008940B3" w:rsidP="00052CC3">
            <w:pPr>
              <w:suppressAutoHyphens/>
              <w:spacing w:line="276" w:lineRule="auto"/>
              <w:rPr>
                <w:sz w:val="18"/>
                <w:szCs w:val="18"/>
              </w:rPr>
            </w:pPr>
            <w:r w:rsidRPr="00052CC3">
              <w:rPr>
                <w:sz w:val="18"/>
                <w:szCs w:val="18"/>
              </w:rPr>
              <w:t>2</w:t>
            </w:r>
          </w:p>
        </w:tc>
        <w:tc>
          <w:tcPr>
            <w:tcW w:w="786" w:type="dxa"/>
          </w:tcPr>
          <w:p w14:paraId="5B4126CF" w14:textId="77777777" w:rsidR="008940B3" w:rsidRPr="00052CC3" w:rsidRDefault="008940B3" w:rsidP="00052CC3">
            <w:pPr>
              <w:suppressAutoHyphens/>
              <w:spacing w:line="276" w:lineRule="auto"/>
              <w:rPr>
                <w:sz w:val="18"/>
                <w:szCs w:val="18"/>
              </w:rPr>
            </w:pPr>
            <w:r w:rsidRPr="00052CC3">
              <w:rPr>
                <w:sz w:val="18"/>
                <w:szCs w:val="18"/>
              </w:rPr>
              <w:t>100%</w:t>
            </w:r>
          </w:p>
        </w:tc>
        <w:tc>
          <w:tcPr>
            <w:tcW w:w="1182" w:type="dxa"/>
            <w:gridSpan w:val="2"/>
          </w:tcPr>
          <w:p w14:paraId="6D7AAC10" w14:textId="77777777" w:rsidR="008940B3" w:rsidRPr="00052CC3" w:rsidRDefault="008940B3" w:rsidP="00052CC3">
            <w:pPr>
              <w:suppressAutoHyphens/>
              <w:spacing w:line="276" w:lineRule="auto"/>
              <w:rPr>
                <w:sz w:val="18"/>
                <w:szCs w:val="18"/>
              </w:rPr>
            </w:pPr>
          </w:p>
        </w:tc>
      </w:tr>
    </w:tbl>
    <w:p w14:paraId="3D233A08" w14:textId="77777777" w:rsidR="008940B3" w:rsidRPr="00F808D9" w:rsidRDefault="008940B3" w:rsidP="00E858EF">
      <w:pPr>
        <w:pStyle w:val="Titolo4"/>
        <w:keepNext w:val="0"/>
        <w:keepLines w:val="0"/>
        <w:suppressAutoHyphens/>
        <w:ind w:left="864" w:hanging="864"/>
        <w:contextualSpacing w:val="0"/>
      </w:pPr>
      <w:bookmarkStart w:id="120" w:name="_Toc389131134"/>
      <w:bookmarkStart w:id="121" w:name="_Toc517876459"/>
      <w:r w:rsidRPr="00895036">
        <w:t>Tomb dimension</w:t>
      </w:r>
      <w:r>
        <w:t>s</w:t>
      </w:r>
      <w:r w:rsidRPr="00895036">
        <w:t xml:space="preserve"> and architectural features: How </w:t>
      </w:r>
      <w:r>
        <w:t>large</w:t>
      </w:r>
      <w:r w:rsidRPr="00895036">
        <w:t xml:space="preserve"> and monumental are the tomb</w:t>
      </w:r>
      <w:r>
        <w:t>s</w:t>
      </w:r>
      <w:r w:rsidRPr="00895036">
        <w:t xml:space="preserve"> associated with larnakes?</w:t>
      </w:r>
      <w:bookmarkEnd w:id="120"/>
      <w:bookmarkEnd w:id="121"/>
    </w:p>
    <w:p w14:paraId="0B7613F6" w14:textId="77777777" w:rsidR="008940B3" w:rsidRDefault="008940B3" w:rsidP="00AD5BCB">
      <w:r>
        <w:t>The information f</w:t>
      </w:r>
      <w:r w:rsidRPr="003B5C8D">
        <w:t xml:space="preserve">or the </w:t>
      </w:r>
      <w:r>
        <w:t>Mid-West</w:t>
      </w:r>
      <w:r w:rsidRPr="003B5C8D">
        <w:t xml:space="preserve"> region </w:t>
      </w:r>
      <w:r>
        <w:t>regarding</w:t>
      </w:r>
      <w:r w:rsidRPr="003B5C8D">
        <w:t xml:space="preserve"> tomb characteristics come</w:t>
      </w:r>
      <w:r>
        <w:t>s</w:t>
      </w:r>
      <w:r w:rsidRPr="003B5C8D">
        <w:t xml:space="preserve"> from different samples due to</w:t>
      </w:r>
      <w:r>
        <w:t xml:space="preserve"> a</w:t>
      </w:r>
      <w:r w:rsidRPr="003B5C8D">
        <w:t xml:space="preserve"> lack </w:t>
      </w:r>
      <w:r>
        <w:t>of published</w:t>
      </w:r>
      <w:r w:rsidRPr="003B5C8D">
        <w:t xml:space="preserve"> records</w:t>
      </w:r>
      <w:r>
        <w:t>.</w:t>
      </w:r>
    </w:p>
    <w:p w14:paraId="4BE869AE"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2E2B2396" w14:textId="77777777" w:rsidR="008940B3" w:rsidRPr="003B5C8D" w:rsidRDefault="008940B3" w:rsidP="00E858EF">
      <w:pPr>
        <w:pStyle w:val="Testofumetto"/>
        <w:suppressAutoHyphens/>
      </w:pPr>
      <w:bookmarkStart w:id="122" w:name="_Toc520212495"/>
      <w:r>
        <w:t>Table 3-6. Tombs dimension in Mid-West area</w:t>
      </w:r>
      <w:bookmarkEnd w:id="122"/>
    </w:p>
    <w:tbl>
      <w:tblPr>
        <w:tblW w:w="0" w:type="auto"/>
        <w:tblCellMar>
          <w:left w:w="0" w:type="dxa"/>
          <w:right w:w="0" w:type="dxa"/>
        </w:tblCellMar>
        <w:tblLook w:val="04A0" w:firstRow="1" w:lastRow="0" w:firstColumn="1" w:lastColumn="0" w:noHBand="0" w:noVBand="1"/>
      </w:tblPr>
      <w:tblGrid>
        <w:gridCol w:w="2343"/>
        <w:gridCol w:w="1134"/>
        <w:gridCol w:w="780"/>
        <w:gridCol w:w="780"/>
        <w:gridCol w:w="780"/>
      </w:tblGrid>
      <w:tr w:rsidR="008940B3" w:rsidRPr="00B26CC7" w14:paraId="6A6AFFA8" w14:textId="77777777" w:rsidTr="00B26CC7">
        <w:trPr>
          <w:trHeight w:val="40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4800F022" w14:textId="77777777" w:rsidR="008940B3" w:rsidRPr="00B26CC7" w:rsidRDefault="008940B3" w:rsidP="00052CC3">
            <w:pPr>
              <w:rPr>
                <w:sz w:val="20"/>
              </w:rPr>
            </w:pPr>
          </w:p>
        </w:tc>
        <w:tc>
          <w:tcPr>
            <w:tcW w:w="1134" w:type="dxa"/>
            <w:tcBorders>
              <w:top w:val="single" w:sz="6" w:space="0" w:color="000000"/>
              <w:left w:val="single" w:sz="6" w:space="0" w:color="000000"/>
              <w:bottom w:val="single" w:sz="6" w:space="0" w:color="000000"/>
              <w:right w:val="single" w:sz="6" w:space="0" w:color="000000"/>
            </w:tcBorders>
          </w:tcPr>
          <w:p w14:paraId="67091C7E" w14:textId="77777777" w:rsidR="008940B3" w:rsidRPr="00B26CC7" w:rsidRDefault="008940B3" w:rsidP="00052CC3">
            <w:pPr>
              <w:jc w:val="center"/>
              <w:rPr>
                <w:sz w:val="20"/>
              </w:rPr>
            </w:pPr>
            <w:r w:rsidRPr="00B26CC7">
              <w:rPr>
                <w:sz w:val="20"/>
              </w:rPr>
              <w:t>Number of tombs</w:t>
            </w:r>
          </w:p>
        </w:tc>
        <w:tc>
          <w:tcPr>
            <w:tcW w:w="78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3970D4D" w14:textId="77777777" w:rsidR="008940B3" w:rsidRPr="00B26CC7" w:rsidRDefault="008940B3" w:rsidP="00052CC3">
            <w:pPr>
              <w:jc w:val="center"/>
              <w:rPr>
                <w:sz w:val="20"/>
              </w:rPr>
            </w:pPr>
            <w:r w:rsidRPr="00B26CC7">
              <w:rPr>
                <w:sz w:val="20"/>
              </w:rPr>
              <w:t>Mean</w:t>
            </w:r>
          </w:p>
        </w:tc>
        <w:tc>
          <w:tcPr>
            <w:tcW w:w="78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4E622A8" w14:textId="77777777" w:rsidR="008940B3" w:rsidRPr="00B26CC7" w:rsidRDefault="008940B3" w:rsidP="00052CC3">
            <w:pPr>
              <w:jc w:val="center"/>
              <w:rPr>
                <w:sz w:val="20"/>
              </w:rPr>
            </w:pPr>
            <w:r w:rsidRPr="00B26CC7">
              <w:rPr>
                <w:sz w:val="20"/>
              </w:rPr>
              <w:t>Min.</w:t>
            </w:r>
          </w:p>
        </w:tc>
        <w:tc>
          <w:tcPr>
            <w:tcW w:w="78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7BCC5F25" w14:textId="77777777" w:rsidR="008940B3" w:rsidRPr="00B26CC7" w:rsidRDefault="008940B3" w:rsidP="00052CC3">
            <w:pPr>
              <w:jc w:val="center"/>
              <w:rPr>
                <w:sz w:val="20"/>
              </w:rPr>
            </w:pPr>
            <w:r w:rsidRPr="00B26CC7">
              <w:rPr>
                <w:sz w:val="20"/>
              </w:rPr>
              <w:t>Max.</w:t>
            </w:r>
          </w:p>
        </w:tc>
      </w:tr>
      <w:tr w:rsidR="008940B3" w:rsidRPr="00B26CC7" w14:paraId="325D1444" w14:textId="77777777" w:rsidTr="00B26CC7">
        <w:trPr>
          <w:trHeight w:val="315"/>
        </w:trPr>
        <w:tc>
          <w:tcPr>
            <w:tcW w:w="2343"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25DEBB8E" w14:textId="77777777" w:rsidR="008940B3" w:rsidRPr="00B26CC7" w:rsidRDefault="008940B3" w:rsidP="00052CC3">
            <w:pPr>
              <w:rPr>
                <w:sz w:val="20"/>
              </w:rPr>
            </w:pPr>
            <w:r w:rsidRPr="00B26CC7">
              <w:rPr>
                <w:color w:val="000000"/>
                <w:sz w:val="20"/>
              </w:rPr>
              <w:t>Chamber area in sq.m.</w:t>
            </w:r>
          </w:p>
        </w:tc>
        <w:tc>
          <w:tcPr>
            <w:tcW w:w="1134" w:type="dxa"/>
            <w:tcBorders>
              <w:top w:val="single" w:sz="6" w:space="0" w:color="000000"/>
              <w:left w:val="single" w:sz="6" w:space="0" w:color="000000"/>
              <w:bottom w:val="single" w:sz="6" w:space="0" w:color="000000"/>
              <w:right w:val="single" w:sz="6" w:space="0" w:color="000000"/>
            </w:tcBorders>
            <w:shd w:val="clear" w:color="auto" w:fill="EFEFEF"/>
          </w:tcPr>
          <w:p w14:paraId="6CCE0329" w14:textId="77777777" w:rsidR="008940B3" w:rsidRPr="00B26CC7" w:rsidRDefault="008940B3" w:rsidP="00052CC3">
            <w:pPr>
              <w:jc w:val="center"/>
              <w:rPr>
                <w:sz w:val="20"/>
              </w:rPr>
            </w:pPr>
            <w:r w:rsidRPr="00B26CC7">
              <w:rPr>
                <w:sz w:val="20"/>
              </w:rPr>
              <w:t>30</w:t>
            </w:r>
          </w:p>
        </w:tc>
        <w:tc>
          <w:tcPr>
            <w:tcW w:w="78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365C2E29" w14:textId="77777777" w:rsidR="008940B3" w:rsidRPr="00B26CC7" w:rsidRDefault="008940B3" w:rsidP="00052CC3">
            <w:pPr>
              <w:jc w:val="center"/>
              <w:rPr>
                <w:sz w:val="20"/>
              </w:rPr>
            </w:pPr>
            <w:r w:rsidRPr="00B26CC7">
              <w:rPr>
                <w:sz w:val="20"/>
              </w:rPr>
              <w:t>7</w:t>
            </w:r>
          </w:p>
        </w:tc>
        <w:tc>
          <w:tcPr>
            <w:tcW w:w="78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0963B4E3" w14:textId="77777777" w:rsidR="008940B3" w:rsidRPr="00B26CC7" w:rsidRDefault="008940B3" w:rsidP="00052CC3">
            <w:pPr>
              <w:jc w:val="center"/>
              <w:rPr>
                <w:sz w:val="20"/>
              </w:rPr>
            </w:pPr>
            <w:r w:rsidRPr="00B26CC7">
              <w:rPr>
                <w:sz w:val="20"/>
              </w:rPr>
              <w:t>2</w:t>
            </w:r>
          </w:p>
        </w:tc>
        <w:tc>
          <w:tcPr>
            <w:tcW w:w="78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511F21B6" w14:textId="77777777" w:rsidR="008940B3" w:rsidRPr="00B26CC7" w:rsidRDefault="008940B3" w:rsidP="00052CC3">
            <w:pPr>
              <w:jc w:val="center"/>
              <w:rPr>
                <w:sz w:val="20"/>
              </w:rPr>
            </w:pPr>
            <w:r w:rsidRPr="00B26CC7">
              <w:rPr>
                <w:color w:val="000000"/>
                <w:sz w:val="20"/>
              </w:rPr>
              <w:t>25</w:t>
            </w:r>
          </w:p>
        </w:tc>
      </w:tr>
      <w:tr w:rsidR="008940B3" w:rsidRPr="00B26CC7" w14:paraId="4056BA20" w14:textId="77777777" w:rsidTr="00B26CC7">
        <w:trPr>
          <w:trHeight w:val="31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7DF43AE" w14:textId="243F1945" w:rsidR="008940B3" w:rsidRPr="00B26CC7" w:rsidRDefault="008940B3" w:rsidP="00052CC3">
            <w:pPr>
              <w:rPr>
                <w:sz w:val="20"/>
              </w:rPr>
            </w:pPr>
            <w:r w:rsidRPr="00B26CC7">
              <w:rPr>
                <w:sz w:val="20"/>
              </w:rPr>
              <w:t>Dromos length</w:t>
            </w:r>
            <w:r w:rsidR="00052CC3" w:rsidRPr="00B26CC7">
              <w:rPr>
                <w:sz w:val="20"/>
              </w:rPr>
              <w:t xml:space="preserve"> </w:t>
            </w:r>
            <w:r w:rsidRPr="00B26CC7">
              <w:rPr>
                <w:sz w:val="20"/>
              </w:rPr>
              <w:t>in m</w:t>
            </w:r>
          </w:p>
        </w:tc>
        <w:tc>
          <w:tcPr>
            <w:tcW w:w="1134" w:type="dxa"/>
            <w:tcBorders>
              <w:top w:val="single" w:sz="6" w:space="0" w:color="000000"/>
              <w:left w:val="single" w:sz="6" w:space="0" w:color="000000"/>
              <w:bottom w:val="single" w:sz="6" w:space="0" w:color="000000"/>
              <w:right w:val="single" w:sz="6" w:space="0" w:color="000000"/>
            </w:tcBorders>
          </w:tcPr>
          <w:p w14:paraId="0B342EEC" w14:textId="77777777" w:rsidR="008940B3" w:rsidRPr="00B26CC7" w:rsidRDefault="008940B3" w:rsidP="00052CC3">
            <w:pPr>
              <w:jc w:val="center"/>
              <w:rPr>
                <w:sz w:val="20"/>
              </w:rPr>
            </w:pPr>
            <w:r w:rsidRPr="00B26CC7">
              <w:rPr>
                <w:sz w:val="20"/>
              </w:rPr>
              <w:t>23</w:t>
            </w:r>
          </w:p>
        </w:tc>
        <w:tc>
          <w:tcPr>
            <w:tcW w:w="78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BF8DCDD" w14:textId="77777777" w:rsidR="008940B3" w:rsidRPr="00B26CC7" w:rsidRDefault="008940B3" w:rsidP="00052CC3">
            <w:pPr>
              <w:jc w:val="center"/>
              <w:rPr>
                <w:sz w:val="20"/>
              </w:rPr>
            </w:pPr>
            <w:r w:rsidRPr="00B26CC7">
              <w:rPr>
                <w:sz w:val="20"/>
              </w:rPr>
              <w:t>6.8</w:t>
            </w:r>
          </w:p>
        </w:tc>
        <w:tc>
          <w:tcPr>
            <w:tcW w:w="78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453DEEEA" w14:textId="77777777" w:rsidR="008940B3" w:rsidRPr="00B26CC7" w:rsidRDefault="008940B3" w:rsidP="00052CC3">
            <w:pPr>
              <w:jc w:val="center"/>
              <w:rPr>
                <w:sz w:val="20"/>
              </w:rPr>
            </w:pPr>
            <w:r w:rsidRPr="00B26CC7">
              <w:rPr>
                <w:sz w:val="20"/>
              </w:rPr>
              <w:t>0.4</w:t>
            </w:r>
          </w:p>
        </w:tc>
        <w:tc>
          <w:tcPr>
            <w:tcW w:w="78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74035EBF" w14:textId="77777777" w:rsidR="008940B3" w:rsidRPr="00B26CC7" w:rsidRDefault="008940B3" w:rsidP="00052CC3">
            <w:pPr>
              <w:jc w:val="center"/>
              <w:rPr>
                <w:sz w:val="20"/>
              </w:rPr>
            </w:pPr>
            <w:r w:rsidRPr="00B26CC7">
              <w:rPr>
                <w:color w:val="000000"/>
                <w:sz w:val="20"/>
              </w:rPr>
              <w:t>15.5</w:t>
            </w:r>
          </w:p>
        </w:tc>
      </w:tr>
    </w:tbl>
    <w:p w14:paraId="5A2F3776"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highlight w:val="green"/>
        </w:rPr>
      </w:pPr>
    </w:p>
    <w:p w14:paraId="606FA1E7" w14:textId="77777777" w:rsidR="008940B3" w:rsidRDefault="008940B3" w:rsidP="00AD5BCB">
      <w:r>
        <w:t>Based on</w:t>
      </w:r>
      <w:r w:rsidRPr="003B5C8D">
        <w:t xml:space="preserve"> the results of chamber dimension analysis, four different groups have been identified. </w:t>
      </w:r>
    </w:p>
    <w:p w14:paraId="35A2F44F"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129177DA" w14:textId="7487CF89" w:rsidR="008940B3" w:rsidRPr="003B5C8D" w:rsidRDefault="008940B3" w:rsidP="00E858EF">
      <w:pPr>
        <w:pStyle w:val="Testofumetto"/>
        <w:suppressAutoHyphens/>
      </w:pPr>
      <w:bookmarkStart w:id="123" w:name="_Toc520212496"/>
      <w:r>
        <w:t>Table 3-7.  Tomb size groups</w:t>
      </w:r>
      <w:r w:rsidR="0081276F">
        <w:t>,</w:t>
      </w:r>
      <w:r>
        <w:t xml:space="preserve"> Mid-West area</w:t>
      </w:r>
      <w:bookmarkEnd w:id="123"/>
    </w:p>
    <w:tbl>
      <w:tblPr>
        <w:tblW w:w="0" w:type="auto"/>
        <w:tblCellMar>
          <w:left w:w="0" w:type="dxa"/>
          <w:right w:w="0" w:type="dxa"/>
        </w:tblCellMar>
        <w:tblLook w:val="04A0" w:firstRow="1" w:lastRow="0" w:firstColumn="1" w:lastColumn="0" w:noHBand="0" w:noVBand="1"/>
      </w:tblPr>
      <w:tblGrid>
        <w:gridCol w:w="2343"/>
        <w:gridCol w:w="1276"/>
        <w:gridCol w:w="1417"/>
        <w:gridCol w:w="1276"/>
        <w:gridCol w:w="1276"/>
      </w:tblGrid>
      <w:tr w:rsidR="008940B3" w:rsidRPr="00B26CC7" w14:paraId="1CE1B9BE" w14:textId="77777777" w:rsidTr="00B26CC7">
        <w:trPr>
          <w:trHeight w:val="40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71AFB22B" w14:textId="77777777" w:rsidR="008940B3" w:rsidRPr="00B26CC7" w:rsidRDefault="008940B3" w:rsidP="00052CC3">
            <w:pPr>
              <w:rPr>
                <w:sz w:val="20"/>
              </w:rPr>
            </w:pP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7C5322DD" w14:textId="77777777" w:rsidR="008940B3" w:rsidRPr="00B26CC7" w:rsidRDefault="008940B3" w:rsidP="00052CC3">
            <w:pPr>
              <w:jc w:val="center"/>
              <w:rPr>
                <w:sz w:val="20"/>
              </w:rPr>
            </w:pPr>
            <w:r w:rsidRPr="00B26CC7">
              <w:rPr>
                <w:sz w:val="20"/>
              </w:rPr>
              <w:t>Small</w:t>
            </w:r>
          </w:p>
        </w:tc>
        <w:tc>
          <w:tcPr>
            <w:tcW w:w="141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C6D733F" w14:textId="77777777" w:rsidR="008940B3" w:rsidRPr="00B26CC7" w:rsidRDefault="008940B3" w:rsidP="00052CC3">
            <w:pPr>
              <w:jc w:val="center"/>
              <w:rPr>
                <w:sz w:val="20"/>
              </w:rPr>
            </w:pPr>
            <w:r w:rsidRPr="00B26CC7">
              <w:rPr>
                <w:sz w:val="20"/>
              </w:rPr>
              <w:t>Medium</w:t>
            </w: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2DEAEE36" w14:textId="77777777" w:rsidR="008940B3" w:rsidRPr="00B26CC7" w:rsidRDefault="008940B3" w:rsidP="00052CC3">
            <w:pPr>
              <w:jc w:val="center"/>
              <w:rPr>
                <w:sz w:val="20"/>
              </w:rPr>
            </w:pPr>
            <w:r w:rsidRPr="00B26CC7">
              <w:rPr>
                <w:sz w:val="20"/>
              </w:rPr>
              <w:t>Large</w:t>
            </w:r>
          </w:p>
        </w:tc>
        <w:tc>
          <w:tcPr>
            <w:tcW w:w="1276" w:type="dxa"/>
            <w:tcBorders>
              <w:top w:val="single" w:sz="6" w:space="0" w:color="000000"/>
              <w:left w:val="single" w:sz="6" w:space="0" w:color="000000"/>
              <w:bottom w:val="single" w:sz="6" w:space="0" w:color="000000"/>
              <w:right w:val="single" w:sz="6" w:space="0" w:color="000000"/>
            </w:tcBorders>
          </w:tcPr>
          <w:p w14:paraId="28C15B8B" w14:textId="77777777" w:rsidR="008940B3" w:rsidRPr="00B26CC7" w:rsidRDefault="008940B3" w:rsidP="00052CC3">
            <w:pPr>
              <w:jc w:val="center"/>
              <w:rPr>
                <w:sz w:val="20"/>
              </w:rPr>
            </w:pPr>
            <w:r w:rsidRPr="00B26CC7">
              <w:rPr>
                <w:sz w:val="20"/>
              </w:rPr>
              <w:t>Extra-Large</w:t>
            </w:r>
          </w:p>
        </w:tc>
      </w:tr>
      <w:tr w:rsidR="008940B3" w:rsidRPr="00B26CC7" w14:paraId="397E5E3B" w14:textId="77777777" w:rsidTr="00B26CC7">
        <w:trPr>
          <w:trHeight w:val="315"/>
        </w:trPr>
        <w:tc>
          <w:tcPr>
            <w:tcW w:w="2343"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1A9F6420" w14:textId="77777777" w:rsidR="008940B3" w:rsidRPr="00B26CC7" w:rsidRDefault="008940B3" w:rsidP="00B26CC7">
            <w:pPr>
              <w:spacing w:line="276" w:lineRule="auto"/>
              <w:jc w:val="left"/>
              <w:rPr>
                <w:sz w:val="20"/>
              </w:rPr>
            </w:pPr>
            <w:r w:rsidRPr="00B26CC7">
              <w:rPr>
                <w:color w:val="000000"/>
                <w:sz w:val="20"/>
              </w:rPr>
              <w:t>Chamber area in sq.m.</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6FD0D8A5" w14:textId="77777777" w:rsidR="008940B3" w:rsidRPr="00B26CC7" w:rsidRDefault="008940B3" w:rsidP="00052CC3">
            <w:pPr>
              <w:jc w:val="center"/>
              <w:rPr>
                <w:sz w:val="20"/>
              </w:rPr>
            </w:pPr>
            <w:r w:rsidRPr="00B26CC7">
              <w:rPr>
                <w:sz w:val="20"/>
              </w:rPr>
              <w:t>0-6</w:t>
            </w:r>
          </w:p>
        </w:tc>
        <w:tc>
          <w:tcPr>
            <w:tcW w:w="1417"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3A14148C" w14:textId="77777777" w:rsidR="008940B3" w:rsidRPr="00B26CC7" w:rsidRDefault="008940B3" w:rsidP="00052CC3">
            <w:pPr>
              <w:jc w:val="center"/>
              <w:rPr>
                <w:sz w:val="20"/>
              </w:rPr>
            </w:pPr>
            <w:r w:rsidRPr="00B26CC7">
              <w:rPr>
                <w:sz w:val="20"/>
              </w:rPr>
              <w:t>7-12</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2F651A33" w14:textId="77777777" w:rsidR="008940B3" w:rsidRPr="00B26CC7" w:rsidRDefault="008940B3" w:rsidP="00052CC3">
            <w:pPr>
              <w:jc w:val="center"/>
              <w:rPr>
                <w:sz w:val="20"/>
              </w:rPr>
            </w:pPr>
            <w:r w:rsidRPr="00B26CC7">
              <w:rPr>
                <w:color w:val="000000"/>
                <w:sz w:val="20"/>
              </w:rPr>
              <w:t>13-18</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Pr>
          <w:p w14:paraId="54AADA1D" w14:textId="77777777" w:rsidR="008940B3" w:rsidRPr="00B26CC7" w:rsidRDefault="008940B3" w:rsidP="00052CC3">
            <w:pPr>
              <w:jc w:val="center"/>
              <w:rPr>
                <w:color w:val="000000"/>
                <w:sz w:val="20"/>
              </w:rPr>
            </w:pPr>
            <w:r w:rsidRPr="00B26CC7">
              <w:rPr>
                <w:color w:val="000000"/>
                <w:sz w:val="20"/>
              </w:rPr>
              <w:t>19-24</w:t>
            </w:r>
          </w:p>
        </w:tc>
      </w:tr>
      <w:tr w:rsidR="008940B3" w:rsidRPr="00B26CC7" w14:paraId="33F348F5" w14:textId="77777777" w:rsidTr="00B26CC7">
        <w:trPr>
          <w:trHeight w:val="31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FF1D327" w14:textId="77777777" w:rsidR="008940B3" w:rsidRPr="00B26CC7" w:rsidRDefault="008940B3" w:rsidP="00B26CC7">
            <w:pPr>
              <w:spacing w:line="276" w:lineRule="auto"/>
              <w:jc w:val="left"/>
              <w:rPr>
                <w:sz w:val="20"/>
              </w:rPr>
            </w:pPr>
            <w:r w:rsidRPr="00B26CC7">
              <w:rPr>
                <w:sz w:val="20"/>
              </w:rPr>
              <w:t>Number of tombs within each group</w:t>
            </w: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B3E5137" w14:textId="77777777" w:rsidR="008940B3" w:rsidRPr="00B26CC7" w:rsidRDefault="008940B3" w:rsidP="00052CC3">
            <w:pPr>
              <w:jc w:val="center"/>
              <w:rPr>
                <w:sz w:val="20"/>
              </w:rPr>
            </w:pPr>
            <w:r w:rsidRPr="00B26CC7">
              <w:rPr>
                <w:sz w:val="20"/>
              </w:rPr>
              <w:t>19</w:t>
            </w:r>
          </w:p>
        </w:tc>
        <w:tc>
          <w:tcPr>
            <w:tcW w:w="141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0BE80D9" w14:textId="77777777" w:rsidR="008940B3" w:rsidRPr="00B26CC7" w:rsidRDefault="008940B3" w:rsidP="00052CC3">
            <w:pPr>
              <w:jc w:val="center"/>
              <w:rPr>
                <w:sz w:val="20"/>
              </w:rPr>
            </w:pPr>
            <w:r w:rsidRPr="00B26CC7">
              <w:rPr>
                <w:sz w:val="20"/>
              </w:rPr>
              <w:t>8</w:t>
            </w: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761E4D2" w14:textId="77777777" w:rsidR="008940B3" w:rsidRPr="00B26CC7" w:rsidRDefault="008940B3" w:rsidP="00052CC3">
            <w:pPr>
              <w:jc w:val="center"/>
              <w:rPr>
                <w:sz w:val="20"/>
              </w:rPr>
            </w:pPr>
            <w:r w:rsidRPr="00B26CC7">
              <w:rPr>
                <w:color w:val="000000"/>
                <w:sz w:val="20"/>
              </w:rPr>
              <w:t>2</w:t>
            </w:r>
          </w:p>
        </w:tc>
        <w:tc>
          <w:tcPr>
            <w:tcW w:w="1276" w:type="dxa"/>
            <w:tcBorders>
              <w:top w:val="single" w:sz="6" w:space="0" w:color="000000"/>
              <w:left w:val="single" w:sz="6" w:space="0" w:color="000000"/>
              <w:bottom w:val="single" w:sz="6" w:space="0" w:color="000000"/>
              <w:right w:val="single" w:sz="6" w:space="0" w:color="000000"/>
            </w:tcBorders>
          </w:tcPr>
          <w:p w14:paraId="5193F38D" w14:textId="77777777" w:rsidR="008940B3" w:rsidRPr="00B26CC7" w:rsidRDefault="008940B3" w:rsidP="00052CC3">
            <w:pPr>
              <w:jc w:val="center"/>
              <w:rPr>
                <w:color w:val="000000"/>
                <w:sz w:val="20"/>
              </w:rPr>
            </w:pPr>
            <w:r w:rsidRPr="00B26CC7">
              <w:rPr>
                <w:color w:val="000000"/>
                <w:sz w:val="20"/>
              </w:rPr>
              <w:t>2</w:t>
            </w:r>
          </w:p>
        </w:tc>
      </w:tr>
    </w:tbl>
    <w:p w14:paraId="1742A597" w14:textId="77777777" w:rsidR="008940B3" w:rsidRPr="007A7DE8"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sz w:val="22"/>
          <w:szCs w:val="22"/>
        </w:rPr>
      </w:pPr>
    </w:p>
    <w:p w14:paraId="72D74960" w14:textId="16E13F69" w:rsidR="008940B3" w:rsidRDefault="008940B3" w:rsidP="00AD5BCB">
      <w:r w:rsidRPr="003B5C8D">
        <w:t>From the data collected from the tombs</w:t>
      </w:r>
      <w:r>
        <w:t>,</w:t>
      </w:r>
      <w:r w:rsidRPr="003B5C8D">
        <w:t xml:space="preserve"> for which both values are registered</w:t>
      </w:r>
      <w:r>
        <w:t xml:space="preserve"> (32% of secure tombs with larnakes from Mid-West region, corresponding to 18 tombs)</w:t>
      </w:r>
      <w:r w:rsidR="009A2FE2">
        <w:t>,</w:t>
      </w:r>
      <w:r>
        <w:t xml:space="preserve"> the</w:t>
      </w:r>
      <w:r w:rsidRPr="003B5C8D">
        <w:t xml:space="preserve"> chamber and dromos dimension</w:t>
      </w:r>
      <w:r>
        <w:t>s</w:t>
      </w:r>
      <w:r w:rsidRPr="003B5C8D">
        <w:t xml:space="preserve"> </w:t>
      </w:r>
      <w:r>
        <w:t>are</w:t>
      </w:r>
      <w:r w:rsidRPr="003B5C8D">
        <w:t xml:space="preserve"> considered proportiona</w:t>
      </w:r>
      <w:r w:rsidR="009A2FE2">
        <w:t>te</w:t>
      </w:r>
      <w:r w:rsidR="00F83F81">
        <w:t>.</w:t>
      </w:r>
      <w:r w:rsidRPr="003B5C8D">
        <w:t xml:space="preserve"> </w:t>
      </w:r>
      <w:r w:rsidR="00F83F81">
        <w:t>However</w:t>
      </w:r>
      <w:r w:rsidR="009A2FE2">
        <w:t>,</w:t>
      </w:r>
      <w:r w:rsidR="00F83F81">
        <w:t xml:space="preserve"> </w:t>
      </w:r>
      <w:r>
        <w:t xml:space="preserve">the </w:t>
      </w:r>
      <w:r w:rsidRPr="003B5C8D">
        <w:t>dimension</w:t>
      </w:r>
      <w:r w:rsidR="009A2FE2">
        <w:t>s</w:t>
      </w:r>
      <w:r w:rsidRPr="003B5C8D">
        <w:t xml:space="preserve"> of </w:t>
      </w:r>
      <w:r>
        <w:t xml:space="preserve">the </w:t>
      </w:r>
      <w:r w:rsidRPr="003B5C8D">
        <w:t xml:space="preserve">dromoi of tombs belonging to the </w:t>
      </w:r>
      <w:r>
        <w:t>large</w:t>
      </w:r>
      <w:r w:rsidRPr="003B5C8D">
        <w:t xml:space="preserve"> and </w:t>
      </w:r>
      <w:r>
        <w:t>extra-large</w:t>
      </w:r>
      <w:r w:rsidRPr="003B5C8D">
        <w:t xml:space="preserve"> </w:t>
      </w:r>
      <w:r w:rsidR="009A2FE2" w:rsidRPr="003B5C8D">
        <w:t xml:space="preserve">groups </w:t>
      </w:r>
      <w:r>
        <w:t>do not display a significant difference.</w:t>
      </w:r>
    </w:p>
    <w:p w14:paraId="4826D891"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154F13B6" w14:textId="522AB216" w:rsidR="008940B3" w:rsidRPr="003B5C8D" w:rsidRDefault="008940B3" w:rsidP="00E858EF">
      <w:pPr>
        <w:pStyle w:val="Testofumetto"/>
        <w:suppressAutoHyphens/>
      </w:pPr>
      <w:bookmarkStart w:id="124" w:name="_Toc520212497"/>
      <w:r>
        <w:t>Table 3-8. Tomb size and dromos length comparison</w:t>
      </w:r>
      <w:r w:rsidR="0081276F">
        <w:t>,</w:t>
      </w:r>
      <w:r>
        <w:t xml:space="preserve"> Mid-West area</w:t>
      </w:r>
      <w:bookmarkEnd w:id="1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43"/>
        <w:gridCol w:w="2410"/>
      </w:tblGrid>
      <w:tr w:rsidR="008940B3" w:rsidRPr="00B26CC7" w14:paraId="3FE9ADA5" w14:textId="77777777" w:rsidTr="00B26CC7">
        <w:trPr>
          <w:trHeight w:val="405"/>
        </w:trPr>
        <w:tc>
          <w:tcPr>
            <w:tcW w:w="2343" w:type="dxa"/>
            <w:tcMar>
              <w:top w:w="0" w:type="dxa"/>
              <w:left w:w="75" w:type="dxa"/>
              <w:bottom w:w="0" w:type="dxa"/>
              <w:right w:w="75" w:type="dxa"/>
            </w:tcMar>
            <w:vAlign w:val="center"/>
            <w:hideMark/>
          </w:tcPr>
          <w:p w14:paraId="15B3E936" w14:textId="77777777" w:rsidR="008940B3" w:rsidRPr="00B26CC7" w:rsidRDefault="008940B3" w:rsidP="00B26CC7">
            <w:pPr>
              <w:rPr>
                <w:sz w:val="20"/>
              </w:rPr>
            </w:pPr>
          </w:p>
        </w:tc>
        <w:tc>
          <w:tcPr>
            <w:tcW w:w="2410" w:type="dxa"/>
            <w:tcMar>
              <w:top w:w="0" w:type="dxa"/>
              <w:left w:w="75" w:type="dxa"/>
              <w:bottom w:w="0" w:type="dxa"/>
              <w:right w:w="75" w:type="dxa"/>
            </w:tcMar>
            <w:vAlign w:val="center"/>
            <w:hideMark/>
          </w:tcPr>
          <w:p w14:paraId="32068A05" w14:textId="77777777" w:rsidR="008940B3" w:rsidRPr="00B26CC7" w:rsidRDefault="008940B3" w:rsidP="00B26CC7">
            <w:pPr>
              <w:jc w:val="center"/>
              <w:rPr>
                <w:sz w:val="20"/>
              </w:rPr>
            </w:pPr>
            <w:r w:rsidRPr="00B26CC7">
              <w:rPr>
                <w:sz w:val="20"/>
              </w:rPr>
              <w:t>Mean</w:t>
            </w:r>
          </w:p>
        </w:tc>
      </w:tr>
      <w:tr w:rsidR="008940B3" w:rsidRPr="00B26CC7" w14:paraId="53128FF7" w14:textId="77777777" w:rsidTr="00B26CC7">
        <w:trPr>
          <w:trHeight w:val="315"/>
        </w:trPr>
        <w:tc>
          <w:tcPr>
            <w:tcW w:w="2343" w:type="dxa"/>
            <w:shd w:val="clear" w:color="auto" w:fill="EFEFEF"/>
            <w:tcMar>
              <w:top w:w="0" w:type="dxa"/>
              <w:left w:w="75" w:type="dxa"/>
              <w:bottom w:w="0" w:type="dxa"/>
              <w:right w:w="75" w:type="dxa"/>
            </w:tcMar>
            <w:vAlign w:val="center"/>
            <w:hideMark/>
          </w:tcPr>
          <w:p w14:paraId="02B765E4" w14:textId="77777777" w:rsidR="008940B3" w:rsidRPr="00B26CC7" w:rsidRDefault="008940B3" w:rsidP="00B26CC7">
            <w:pPr>
              <w:rPr>
                <w:sz w:val="20"/>
              </w:rPr>
            </w:pPr>
            <w:r w:rsidRPr="00B26CC7">
              <w:rPr>
                <w:color w:val="000000"/>
                <w:sz w:val="20"/>
              </w:rPr>
              <w:t>Chamber area in sq.m.</w:t>
            </w:r>
          </w:p>
        </w:tc>
        <w:tc>
          <w:tcPr>
            <w:tcW w:w="2410" w:type="dxa"/>
            <w:shd w:val="clear" w:color="auto" w:fill="EFEFEF"/>
            <w:tcMar>
              <w:top w:w="0" w:type="dxa"/>
              <w:left w:w="75" w:type="dxa"/>
              <w:bottom w:w="0" w:type="dxa"/>
              <w:right w:w="75" w:type="dxa"/>
            </w:tcMar>
            <w:vAlign w:val="center"/>
            <w:hideMark/>
          </w:tcPr>
          <w:p w14:paraId="50CC923A" w14:textId="77777777" w:rsidR="008940B3" w:rsidRPr="00B26CC7" w:rsidRDefault="008940B3" w:rsidP="00B26CC7">
            <w:pPr>
              <w:jc w:val="center"/>
              <w:rPr>
                <w:sz w:val="20"/>
              </w:rPr>
            </w:pPr>
            <w:r w:rsidRPr="00B26CC7">
              <w:rPr>
                <w:sz w:val="20"/>
              </w:rPr>
              <w:t>7.8</w:t>
            </w:r>
          </w:p>
        </w:tc>
      </w:tr>
      <w:tr w:rsidR="008940B3" w:rsidRPr="00B26CC7" w14:paraId="06AF7B35" w14:textId="77777777" w:rsidTr="00B26CC7">
        <w:trPr>
          <w:trHeight w:val="315"/>
        </w:trPr>
        <w:tc>
          <w:tcPr>
            <w:tcW w:w="2343" w:type="dxa"/>
            <w:tcMar>
              <w:top w:w="0" w:type="dxa"/>
              <w:left w:w="75" w:type="dxa"/>
              <w:bottom w:w="0" w:type="dxa"/>
              <w:right w:w="75" w:type="dxa"/>
            </w:tcMar>
            <w:vAlign w:val="center"/>
            <w:hideMark/>
          </w:tcPr>
          <w:p w14:paraId="0A29DFDC" w14:textId="77777777" w:rsidR="008940B3" w:rsidRPr="00B26CC7" w:rsidRDefault="008940B3" w:rsidP="00B26CC7">
            <w:pPr>
              <w:rPr>
                <w:sz w:val="20"/>
              </w:rPr>
            </w:pPr>
            <w:r w:rsidRPr="00B26CC7">
              <w:rPr>
                <w:sz w:val="20"/>
              </w:rPr>
              <w:t>Dromos length in m</w:t>
            </w:r>
          </w:p>
        </w:tc>
        <w:tc>
          <w:tcPr>
            <w:tcW w:w="2410" w:type="dxa"/>
            <w:tcMar>
              <w:top w:w="0" w:type="dxa"/>
              <w:left w:w="75" w:type="dxa"/>
              <w:bottom w:w="0" w:type="dxa"/>
              <w:right w:w="75" w:type="dxa"/>
            </w:tcMar>
            <w:vAlign w:val="center"/>
            <w:hideMark/>
          </w:tcPr>
          <w:p w14:paraId="037DA855" w14:textId="77777777" w:rsidR="008940B3" w:rsidRPr="00B26CC7" w:rsidRDefault="008940B3" w:rsidP="00B26CC7">
            <w:pPr>
              <w:jc w:val="center"/>
              <w:rPr>
                <w:sz w:val="20"/>
              </w:rPr>
            </w:pPr>
            <w:r w:rsidRPr="00B26CC7">
              <w:rPr>
                <w:sz w:val="20"/>
              </w:rPr>
              <w:t>7.5</w:t>
            </w:r>
          </w:p>
        </w:tc>
      </w:tr>
    </w:tbl>
    <w:p w14:paraId="151647D2"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12CDF32C" w14:textId="4AFEDAD8" w:rsidR="008940B3" w:rsidRPr="003B5C8D" w:rsidRDefault="008940B3" w:rsidP="00E858EF">
      <w:pPr>
        <w:pStyle w:val="Testofumetto"/>
        <w:suppressAutoHyphens/>
      </w:pPr>
      <w:bookmarkStart w:id="125" w:name="_Toc520212498"/>
      <w:r>
        <w:t>Table 3-9. Tomb size and dromos length comparison according to tomb size groups</w:t>
      </w:r>
      <w:r w:rsidR="0081276F">
        <w:t>,</w:t>
      </w:r>
      <w:r>
        <w:t xml:space="preserve"> Mid-West area.</w:t>
      </w:r>
      <w:bookmarkEnd w:id="125"/>
    </w:p>
    <w:tbl>
      <w:tblPr>
        <w:tblW w:w="0" w:type="auto"/>
        <w:tblCellMar>
          <w:left w:w="0" w:type="dxa"/>
          <w:right w:w="0" w:type="dxa"/>
        </w:tblCellMar>
        <w:tblLook w:val="04A0" w:firstRow="1" w:lastRow="0" w:firstColumn="1" w:lastColumn="0" w:noHBand="0" w:noVBand="1"/>
      </w:tblPr>
      <w:tblGrid>
        <w:gridCol w:w="2343"/>
        <w:gridCol w:w="1134"/>
        <w:gridCol w:w="1418"/>
        <w:gridCol w:w="1418"/>
        <w:gridCol w:w="1418"/>
      </w:tblGrid>
      <w:tr w:rsidR="008940B3" w:rsidRPr="00B26CC7" w14:paraId="5716C04C" w14:textId="77777777" w:rsidTr="00B26CC7">
        <w:trPr>
          <w:trHeight w:val="40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1F69516" w14:textId="77777777" w:rsidR="008940B3" w:rsidRPr="00B26CC7" w:rsidRDefault="008940B3" w:rsidP="00B26CC7">
            <w:pPr>
              <w:rPr>
                <w:sz w:val="20"/>
              </w:rPr>
            </w:pP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BC22603" w14:textId="77777777" w:rsidR="008940B3" w:rsidRPr="00B26CC7" w:rsidRDefault="008940B3" w:rsidP="00B26CC7">
            <w:pPr>
              <w:rPr>
                <w:sz w:val="20"/>
              </w:rPr>
            </w:pPr>
            <w:r w:rsidRPr="00B26CC7">
              <w:rPr>
                <w:sz w:val="20"/>
              </w:rPr>
              <w:t>Small</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23923B3" w14:textId="77777777" w:rsidR="008940B3" w:rsidRPr="00B26CC7" w:rsidRDefault="008940B3" w:rsidP="00B26CC7">
            <w:pPr>
              <w:rPr>
                <w:sz w:val="20"/>
              </w:rPr>
            </w:pPr>
            <w:r w:rsidRPr="00B26CC7">
              <w:rPr>
                <w:sz w:val="20"/>
              </w:rPr>
              <w:t>Medium</w:t>
            </w:r>
          </w:p>
        </w:tc>
        <w:tc>
          <w:tcPr>
            <w:tcW w:w="1418" w:type="dxa"/>
            <w:tcBorders>
              <w:top w:val="single" w:sz="6" w:space="0" w:color="000000"/>
              <w:left w:val="single" w:sz="6" w:space="0" w:color="000000"/>
              <w:bottom w:val="single" w:sz="6" w:space="0" w:color="000000"/>
              <w:right w:val="single" w:sz="6" w:space="0" w:color="000000"/>
            </w:tcBorders>
          </w:tcPr>
          <w:p w14:paraId="351B5615" w14:textId="77777777" w:rsidR="008940B3" w:rsidRPr="00B26CC7" w:rsidRDefault="008940B3" w:rsidP="00B26CC7">
            <w:pPr>
              <w:rPr>
                <w:sz w:val="20"/>
              </w:rPr>
            </w:pPr>
            <w:r w:rsidRPr="00B26CC7">
              <w:rPr>
                <w:sz w:val="20"/>
              </w:rPr>
              <w:t>Large</w:t>
            </w:r>
          </w:p>
        </w:tc>
        <w:tc>
          <w:tcPr>
            <w:tcW w:w="1418" w:type="dxa"/>
            <w:tcBorders>
              <w:top w:val="single" w:sz="6" w:space="0" w:color="000000"/>
              <w:left w:val="single" w:sz="6" w:space="0" w:color="000000"/>
              <w:bottom w:val="single" w:sz="6" w:space="0" w:color="000000"/>
              <w:right w:val="single" w:sz="6" w:space="0" w:color="000000"/>
            </w:tcBorders>
          </w:tcPr>
          <w:p w14:paraId="74C2251D" w14:textId="77777777" w:rsidR="008940B3" w:rsidRPr="00B26CC7" w:rsidRDefault="008940B3" w:rsidP="00B26CC7">
            <w:pPr>
              <w:rPr>
                <w:sz w:val="20"/>
              </w:rPr>
            </w:pPr>
            <w:r w:rsidRPr="00B26CC7">
              <w:rPr>
                <w:sz w:val="20"/>
              </w:rPr>
              <w:t>Extra-Large</w:t>
            </w:r>
          </w:p>
        </w:tc>
      </w:tr>
      <w:tr w:rsidR="008940B3" w:rsidRPr="00B26CC7" w14:paraId="3E9D6530" w14:textId="77777777" w:rsidTr="00B26CC7">
        <w:trPr>
          <w:trHeight w:val="315"/>
        </w:trPr>
        <w:tc>
          <w:tcPr>
            <w:tcW w:w="2343"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1EDBF9B4" w14:textId="77777777" w:rsidR="008940B3" w:rsidRPr="00B26CC7" w:rsidRDefault="008940B3" w:rsidP="00B26CC7">
            <w:pPr>
              <w:rPr>
                <w:sz w:val="20"/>
              </w:rPr>
            </w:pPr>
            <w:r w:rsidRPr="00B26CC7">
              <w:rPr>
                <w:color w:val="000000"/>
                <w:sz w:val="20"/>
              </w:rPr>
              <w:t>Chamber area in sq.m.</w:t>
            </w:r>
          </w:p>
        </w:tc>
        <w:tc>
          <w:tcPr>
            <w:tcW w:w="1134"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78073CEA" w14:textId="77777777" w:rsidR="008940B3" w:rsidRPr="00B26CC7" w:rsidRDefault="008940B3" w:rsidP="00B26CC7">
            <w:pPr>
              <w:rPr>
                <w:sz w:val="20"/>
              </w:rPr>
            </w:pPr>
            <w:r w:rsidRPr="00B26CC7">
              <w:rPr>
                <w:sz w:val="20"/>
              </w:rPr>
              <w:t>0-6</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48B8C4A2" w14:textId="77777777" w:rsidR="008940B3" w:rsidRPr="00B26CC7" w:rsidRDefault="008940B3" w:rsidP="00B26CC7">
            <w:pPr>
              <w:rPr>
                <w:sz w:val="20"/>
              </w:rPr>
            </w:pPr>
            <w:r w:rsidRPr="00B26CC7">
              <w:rPr>
                <w:sz w:val="20"/>
              </w:rPr>
              <w:t>7-12</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Pr>
          <w:p w14:paraId="735C5CC8" w14:textId="77777777" w:rsidR="008940B3" w:rsidRPr="00B26CC7" w:rsidRDefault="008940B3" w:rsidP="00B26CC7">
            <w:pPr>
              <w:rPr>
                <w:color w:val="000000"/>
                <w:sz w:val="20"/>
              </w:rPr>
            </w:pPr>
            <w:r w:rsidRPr="00B26CC7">
              <w:rPr>
                <w:color w:val="000000"/>
                <w:sz w:val="20"/>
              </w:rPr>
              <w:t>13-18</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Pr>
          <w:p w14:paraId="39604E02" w14:textId="77777777" w:rsidR="008940B3" w:rsidRPr="00B26CC7" w:rsidRDefault="008940B3" w:rsidP="00B26CC7">
            <w:pPr>
              <w:rPr>
                <w:color w:val="000000"/>
                <w:sz w:val="20"/>
              </w:rPr>
            </w:pPr>
            <w:r w:rsidRPr="00B26CC7">
              <w:rPr>
                <w:color w:val="000000"/>
                <w:sz w:val="20"/>
              </w:rPr>
              <w:t>19-24</w:t>
            </w:r>
          </w:p>
        </w:tc>
      </w:tr>
      <w:tr w:rsidR="008940B3" w:rsidRPr="00B26CC7" w14:paraId="0074D25F" w14:textId="77777777" w:rsidTr="00B26CC7">
        <w:trPr>
          <w:trHeight w:val="31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73FC0B3" w14:textId="77777777" w:rsidR="008940B3" w:rsidRPr="00B26CC7" w:rsidRDefault="008940B3" w:rsidP="00B26CC7">
            <w:pPr>
              <w:rPr>
                <w:sz w:val="20"/>
              </w:rPr>
            </w:pPr>
            <w:r w:rsidRPr="00B26CC7">
              <w:rPr>
                <w:sz w:val="20"/>
              </w:rPr>
              <w:t>Dromos</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23D059D6" w14:textId="77777777" w:rsidR="008940B3" w:rsidRPr="00B26CC7" w:rsidRDefault="008940B3" w:rsidP="00B26CC7">
            <w:pPr>
              <w:rPr>
                <w:sz w:val="20"/>
              </w:rPr>
            </w:pPr>
            <w:r w:rsidRPr="00B26CC7">
              <w:rPr>
                <w:sz w:val="20"/>
              </w:rPr>
              <w:t>≤10</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B13332C" w14:textId="77777777" w:rsidR="008940B3" w:rsidRPr="00B26CC7" w:rsidRDefault="008940B3" w:rsidP="00B26CC7">
            <w:pPr>
              <w:rPr>
                <w:sz w:val="20"/>
              </w:rPr>
            </w:pPr>
            <w:r w:rsidRPr="00B26CC7">
              <w:rPr>
                <w:sz w:val="20"/>
              </w:rPr>
              <w:t>≤10</w:t>
            </w:r>
          </w:p>
        </w:tc>
        <w:tc>
          <w:tcPr>
            <w:tcW w:w="1418" w:type="dxa"/>
            <w:tcBorders>
              <w:top w:val="single" w:sz="6" w:space="0" w:color="000000"/>
              <w:left w:val="single" w:sz="6" w:space="0" w:color="000000"/>
              <w:bottom w:val="single" w:sz="6" w:space="0" w:color="000000"/>
              <w:right w:val="single" w:sz="6" w:space="0" w:color="000000"/>
            </w:tcBorders>
          </w:tcPr>
          <w:p w14:paraId="7A9EDCF2" w14:textId="77777777" w:rsidR="008940B3" w:rsidRPr="00B26CC7" w:rsidRDefault="008940B3" w:rsidP="00B26CC7">
            <w:pPr>
              <w:rPr>
                <w:color w:val="000000"/>
                <w:sz w:val="20"/>
              </w:rPr>
            </w:pPr>
            <w:r w:rsidRPr="00B26CC7">
              <w:rPr>
                <w:sz w:val="20"/>
              </w:rPr>
              <w:t>≤13.5</w:t>
            </w:r>
          </w:p>
        </w:tc>
        <w:tc>
          <w:tcPr>
            <w:tcW w:w="1418" w:type="dxa"/>
            <w:tcBorders>
              <w:top w:val="single" w:sz="6" w:space="0" w:color="000000"/>
              <w:left w:val="single" w:sz="6" w:space="0" w:color="000000"/>
              <w:bottom w:val="single" w:sz="6" w:space="0" w:color="000000"/>
              <w:right w:val="single" w:sz="6" w:space="0" w:color="000000"/>
            </w:tcBorders>
          </w:tcPr>
          <w:p w14:paraId="3B8F386F" w14:textId="77777777" w:rsidR="008940B3" w:rsidRPr="00B26CC7" w:rsidRDefault="008940B3" w:rsidP="00B26CC7">
            <w:pPr>
              <w:rPr>
                <w:color w:val="000000"/>
                <w:sz w:val="20"/>
              </w:rPr>
            </w:pPr>
            <w:r w:rsidRPr="00B26CC7">
              <w:rPr>
                <w:sz w:val="20"/>
              </w:rPr>
              <w:t>≤15.5</w:t>
            </w:r>
          </w:p>
        </w:tc>
      </w:tr>
    </w:tbl>
    <w:p w14:paraId="1CB72409"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38EE367A" w14:textId="52A6392B" w:rsidR="008940B3" w:rsidRPr="00B26CC7" w:rsidRDefault="00B26CC7" w:rsidP="00993BD1">
      <w:pPr>
        <w:widowControl/>
        <w:spacing w:line="240" w:lineRule="auto"/>
        <w:contextualSpacing w:val="0"/>
        <w:jc w:val="left"/>
        <w:rPr>
          <w:color w:val="000000"/>
          <w:szCs w:val="22"/>
        </w:rPr>
      </w:pPr>
      <w:r>
        <w:rPr>
          <w:color w:val="000000"/>
          <w:szCs w:val="22"/>
        </w:rPr>
        <w:br w:type="page"/>
      </w:r>
      <w:r w:rsidR="008940B3" w:rsidRPr="00B26CC7">
        <w:rPr>
          <w:color w:val="000000"/>
          <w:szCs w:val="22"/>
        </w:rPr>
        <w:t>The following architectural features are present in the tombs of the Mid-West region:</w:t>
      </w:r>
    </w:p>
    <w:p w14:paraId="25ACB70F" w14:textId="77777777" w:rsidR="008940B3" w:rsidRPr="00B26CC7"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26CC7">
        <w:rPr>
          <w:color w:val="000000"/>
          <w:szCs w:val="22"/>
        </w:rPr>
        <w:t>Pits or niches in the chamber and/or dromos</w:t>
      </w:r>
    </w:p>
    <w:p w14:paraId="6DF7763D" w14:textId="77777777" w:rsidR="008940B3" w:rsidRPr="00B26CC7"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26CC7">
        <w:rPr>
          <w:color w:val="000000"/>
          <w:szCs w:val="22"/>
        </w:rPr>
        <w:t>Pillars or benches inside the chamber</w:t>
      </w:r>
    </w:p>
    <w:p w14:paraId="4980006A" w14:textId="77777777" w:rsidR="008940B3" w:rsidRPr="00B26CC7"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26CC7">
        <w:rPr>
          <w:color w:val="000000"/>
          <w:szCs w:val="22"/>
        </w:rPr>
        <w:t xml:space="preserve">Monumental </w:t>
      </w:r>
      <w:r w:rsidRPr="00B26CC7">
        <w:rPr>
          <w:i/>
          <w:color w:val="000000"/>
          <w:szCs w:val="22"/>
        </w:rPr>
        <w:t>stomion</w:t>
      </w:r>
      <w:r w:rsidRPr="00B26CC7">
        <w:rPr>
          <w:color w:val="000000"/>
          <w:szCs w:val="22"/>
        </w:rPr>
        <w:t xml:space="preserve"> or hall</w:t>
      </w:r>
    </w:p>
    <w:p w14:paraId="4E9CBEE5" w14:textId="77777777" w:rsidR="008940B3" w:rsidRPr="00B26CC7"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26CC7">
        <w:rPr>
          <w:color w:val="000000"/>
          <w:szCs w:val="22"/>
        </w:rPr>
        <w:t>Monumental dromos with stairs</w:t>
      </w:r>
    </w:p>
    <w:p w14:paraId="6E542F9B" w14:textId="77777777" w:rsidR="008940B3" w:rsidRPr="00B26CC7"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26CC7">
        <w:rPr>
          <w:color w:val="000000"/>
          <w:szCs w:val="22"/>
        </w:rPr>
        <w:t xml:space="preserve">These features occur in 22 (40%) tombs of the total sample. For some cemeteries or tombs, no specific information is available, either because they were found during rescue excavations, so the tomb itself was damaged (Sphakaki, Epaminondas 2012: 405-414), or because they were published only via preliminary reports (Dramia </w:t>
      </w:r>
      <w:r w:rsidRPr="00B26CC7">
        <w:rPr>
          <w:i/>
          <w:color w:val="000000"/>
          <w:szCs w:val="22"/>
        </w:rPr>
        <w:t>KChr</w:t>
      </w:r>
      <w:r w:rsidRPr="00B26CC7">
        <w:rPr>
          <w:color w:val="000000"/>
          <w:szCs w:val="22"/>
        </w:rPr>
        <w:t xml:space="preserve"> 6 1952: 479-480). </w:t>
      </w:r>
    </w:p>
    <w:p w14:paraId="2EB33409"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2BE0184F" w14:textId="77777777" w:rsidR="008940B3" w:rsidRPr="003B5C8D" w:rsidRDefault="008940B3" w:rsidP="00E858EF">
      <w:pPr>
        <w:pStyle w:val="Testofumetto"/>
        <w:suppressAutoHyphens/>
      </w:pPr>
      <w:bookmarkStart w:id="126" w:name="_Toc520212499"/>
      <w:r>
        <w:t>Table 3-10.  Occurrence of monumental features in Mid-West area</w:t>
      </w:r>
      <w:bookmarkEnd w:id="126"/>
    </w:p>
    <w:tbl>
      <w:tblPr>
        <w:tblW w:w="8580" w:type="dxa"/>
        <w:tblCellMar>
          <w:left w:w="0" w:type="dxa"/>
          <w:right w:w="0" w:type="dxa"/>
        </w:tblCellMar>
        <w:tblLook w:val="04A0" w:firstRow="1" w:lastRow="0" w:firstColumn="1" w:lastColumn="0" w:noHBand="0" w:noVBand="1"/>
      </w:tblPr>
      <w:tblGrid>
        <w:gridCol w:w="1844"/>
        <w:gridCol w:w="2342"/>
        <w:gridCol w:w="1577"/>
        <w:gridCol w:w="1400"/>
        <w:gridCol w:w="1417"/>
      </w:tblGrid>
      <w:tr w:rsidR="008940B3" w:rsidRPr="00B26CC7" w14:paraId="0A540C74" w14:textId="77777777" w:rsidTr="00B26CC7">
        <w:trPr>
          <w:trHeight w:val="405"/>
        </w:trPr>
        <w:tc>
          <w:tcPr>
            <w:tcW w:w="0" w:type="auto"/>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4F115CC6" w14:textId="77777777" w:rsidR="008940B3" w:rsidRPr="00B26CC7" w:rsidRDefault="008940B3" w:rsidP="00E858EF">
            <w:pPr>
              <w:suppressAutoHyphens/>
              <w:jc w:val="center"/>
              <w:rPr>
                <w:sz w:val="20"/>
                <w:szCs w:val="16"/>
              </w:rPr>
            </w:pPr>
          </w:p>
        </w:tc>
        <w:tc>
          <w:tcPr>
            <w:tcW w:w="2342"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820FC1B" w14:textId="77777777" w:rsidR="008940B3" w:rsidRPr="00B26CC7" w:rsidRDefault="008940B3" w:rsidP="00E858EF">
            <w:pPr>
              <w:suppressAutoHyphens/>
              <w:jc w:val="center"/>
              <w:rPr>
                <w:sz w:val="20"/>
                <w:szCs w:val="16"/>
              </w:rPr>
            </w:pPr>
            <w:r w:rsidRPr="00B26CC7">
              <w:rPr>
                <w:sz w:val="20"/>
                <w:szCs w:val="16"/>
              </w:rPr>
              <w:t>Number of architectural features</w:t>
            </w:r>
          </w:p>
        </w:tc>
        <w:tc>
          <w:tcPr>
            <w:tcW w:w="157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4749264" w14:textId="77777777" w:rsidR="008940B3" w:rsidRPr="00B26CC7" w:rsidRDefault="008940B3" w:rsidP="00E858EF">
            <w:pPr>
              <w:suppressAutoHyphens/>
              <w:jc w:val="center"/>
              <w:rPr>
                <w:sz w:val="20"/>
                <w:szCs w:val="16"/>
              </w:rPr>
            </w:pPr>
            <w:r w:rsidRPr="00B26CC7">
              <w:rPr>
                <w:sz w:val="20"/>
                <w:szCs w:val="16"/>
              </w:rPr>
              <w:t>1 arch. feature</w:t>
            </w:r>
          </w:p>
        </w:tc>
        <w:tc>
          <w:tcPr>
            <w:tcW w:w="140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720E677" w14:textId="77777777" w:rsidR="008940B3" w:rsidRPr="00B26CC7" w:rsidRDefault="008940B3" w:rsidP="00E858EF">
            <w:pPr>
              <w:suppressAutoHyphens/>
              <w:jc w:val="center"/>
              <w:rPr>
                <w:sz w:val="20"/>
                <w:szCs w:val="16"/>
              </w:rPr>
            </w:pPr>
            <w:r w:rsidRPr="00B26CC7">
              <w:rPr>
                <w:rFonts w:eastAsia="MS Gothic"/>
                <w:color w:val="000000"/>
                <w:sz w:val="20"/>
                <w:szCs w:val="16"/>
              </w:rPr>
              <w:t xml:space="preserve">≥2 </w:t>
            </w:r>
            <w:r w:rsidRPr="00B26CC7">
              <w:rPr>
                <w:sz w:val="20"/>
                <w:szCs w:val="16"/>
              </w:rPr>
              <w:t>arch. features</w:t>
            </w:r>
          </w:p>
        </w:tc>
        <w:tc>
          <w:tcPr>
            <w:tcW w:w="1417" w:type="dxa"/>
            <w:tcBorders>
              <w:top w:val="single" w:sz="6" w:space="0" w:color="000000"/>
              <w:left w:val="single" w:sz="6" w:space="0" w:color="000000"/>
              <w:bottom w:val="single" w:sz="6" w:space="0" w:color="000000"/>
              <w:right w:val="single" w:sz="6" w:space="0" w:color="000000"/>
            </w:tcBorders>
          </w:tcPr>
          <w:p w14:paraId="6436186D" w14:textId="77777777" w:rsidR="008940B3" w:rsidRPr="00B26CC7" w:rsidRDefault="008940B3" w:rsidP="00E858EF">
            <w:pPr>
              <w:suppressAutoHyphens/>
              <w:jc w:val="center"/>
              <w:rPr>
                <w:sz w:val="20"/>
                <w:szCs w:val="16"/>
              </w:rPr>
            </w:pPr>
            <w:r w:rsidRPr="00B26CC7">
              <w:rPr>
                <w:sz w:val="20"/>
                <w:szCs w:val="16"/>
              </w:rPr>
              <w:t>Total</w:t>
            </w:r>
          </w:p>
        </w:tc>
      </w:tr>
      <w:tr w:rsidR="008940B3" w:rsidRPr="00B26CC7" w14:paraId="594D4E5B" w14:textId="77777777" w:rsidTr="00B26CC7">
        <w:trPr>
          <w:trHeight w:val="315"/>
        </w:trPr>
        <w:tc>
          <w:tcPr>
            <w:tcW w:w="0" w:type="auto"/>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556E8579" w14:textId="77777777" w:rsidR="008940B3" w:rsidRPr="00B26CC7" w:rsidRDefault="008940B3" w:rsidP="00E858EF">
            <w:pPr>
              <w:suppressAutoHyphens/>
              <w:jc w:val="center"/>
              <w:rPr>
                <w:sz w:val="20"/>
                <w:szCs w:val="16"/>
              </w:rPr>
            </w:pPr>
            <w:r w:rsidRPr="00B26CC7">
              <w:rPr>
                <w:color w:val="000000"/>
                <w:sz w:val="20"/>
                <w:szCs w:val="16"/>
              </w:rPr>
              <w:t>Number of tombs</w:t>
            </w:r>
          </w:p>
        </w:tc>
        <w:tc>
          <w:tcPr>
            <w:tcW w:w="2342"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0C0349CD" w14:textId="77777777" w:rsidR="008940B3" w:rsidRPr="00B26CC7" w:rsidRDefault="008940B3" w:rsidP="00E858EF">
            <w:pPr>
              <w:suppressAutoHyphens/>
              <w:jc w:val="center"/>
              <w:rPr>
                <w:sz w:val="20"/>
                <w:szCs w:val="16"/>
              </w:rPr>
            </w:pPr>
            <w:r w:rsidRPr="00B26CC7">
              <w:rPr>
                <w:sz w:val="20"/>
                <w:szCs w:val="16"/>
              </w:rPr>
              <w:t>35</w:t>
            </w:r>
          </w:p>
        </w:tc>
        <w:tc>
          <w:tcPr>
            <w:tcW w:w="1577"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753304F4" w14:textId="77777777" w:rsidR="008940B3" w:rsidRPr="00B26CC7" w:rsidRDefault="008940B3" w:rsidP="00E858EF">
            <w:pPr>
              <w:suppressAutoHyphens/>
              <w:jc w:val="center"/>
              <w:rPr>
                <w:sz w:val="20"/>
                <w:szCs w:val="16"/>
              </w:rPr>
            </w:pPr>
            <w:r w:rsidRPr="00B26CC7">
              <w:rPr>
                <w:sz w:val="20"/>
                <w:szCs w:val="16"/>
              </w:rPr>
              <w:t>18</w:t>
            </w:r>
          </w:p>
        </w:tc>
        <w:tc>
          <w:tcPr>
            <w:tcW w:w="140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4151E96B" w14:textId="77777777" w:rsidR="008940B3" w:rsidRPr="00B26CC7" w:rsidRDefault="008940B3" w:rsidP="00E858EF">
            <w:pPr>
              <w:suppressAutoHyphens/>
              <w:jc w:val="center"/>
              <w:rPr>
                <w:sz w:val="20"/>
                <w:szCs w:val="16"/>
              </w:rPr>
            </w:pPr>
            <w:r w:rsidRPr="00B26CC7">
              <w:rPr>
                <w:color w:val="000000"/>
                <w:sz w:val="20"/>
                <w:szCs w:val="16"/>
              </w:rPr>
              <w:t>4</w:t>
            </w:r>
          </w:p>
        </w:tc>
        <w:tc>
          <w:tcPr>
            <w:tcW w:w="1417" w:type="dxa"/>
            <w:tcBorders>
              <w:top w:val="single" w:sz="6" w:space="0" w:color="000000"/>
              <w:left w:val="single" w:sz="6" w:space="0" w:color="000000"/>
              <w:bottom w:val="single" w:sz="6" w:space="0" w:color="000000"/>
              <w:right w:val="single" w:sz="6" w:space="0" w:color="000000"/>
            </w:tcBorders>
            <w:shd w:val="clear" w:color="auto" w:fill="EFEFEF"/>
          </w:tcPr>
          <w:p w14:paraId="7E74938C" w14:textId="77777777" w:rsidR="008940B3" w:rsidRPr="00B26CC7" w:rsidRDefault="008940B3" w:rsidP="00E858EF">
            <w:pPr>
              <w:suppressAutoHyphens/>
              <w:jc w:val="center"/>
              <w:rPr>
                <w:color w:val="000000"/>
                <w:sz w:val="20"/>
                <w:szCs w:val="16"/>
              </w:rPr>
            </w:pPr>
            <w:r w:rsidRPr="00B26CC7">
              <w:rPr>
                <w:color w:val="000000"/>
                <w:sz w:val="20"/>
                <w:szCs w:val="16"/>
              </w:rPr>
              <w:t>57</w:t>
            </w:r>
          </w:p>
        </w:tc>
      </w:tr>
    </w:tbl>
    <w:p w14:paraId="05C3D380" w14:textId="77777777" w:rsidR="008940B3"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ind w:left="0"/>
        <w:rPr>
          <w:color w:val="000000"/>
          <w:sz w:val="22"/>
          <w:szCs w:val="22"/>
        </w:rPr>
      </w:pPr>
    </w:p>
    <w:p w14:paraId="44959231" w14:textId="3F515649" w:rsidR="008940B3" w:rsidRPr="003B5C8D" w:rsidRDefault="0024325B" w:rsidP="00B26CC7">
      <w:r>
        <w:tab/>
      </w:r>
      <w:r w:rsidR="008940B3">
        <w:t>Despite these limit</w:t>
      </w:r>
      <w:r w:rsidR="003C17EF">
        <w:t>ation</w:t>
      </w:r>
      <w:r w:rsidR="009A2FE2">
        <w:t>s</w:t>
      </w:r>
      <w:r w:rsidR="008940B3">
        <w:t xml:space="preserve"> </w:t>
      </w:r>
      <w:r w:rsidR="009A2FE2">
        <w:t xml:space="preserve">of </w:t>
      </w:r>
      <w:r w:rsidR="008940B3">
        <w:t>the data available, it emerges that, in this region, larnakes are</w:t>
      </w:r>
      <w:r w:rsidR="00690D91">
        <w:t xml:space="preserve"> </w:t>
      </w:r>
      <w:r w:rsidR="00715077">
        <w:t xml:space="preserve">in some cases </w:t>
      </w:r>
      <w:r w:rsidR="00690D91">
        <w:t>associated with tombs</w:t>
      </w:r>
      <w:r w:rsidR="008940B3">
        <w:t xml:space="preserve"> characterised by architectural monumentality. This</w:t>
      </w:r>
      <w:r w:rsidR="008940B3" w:rsidRPr="003B5C8D">
        <w:t xml:space="preserve"> is par</w:t>
      </w:r>
      <w:r w:rsidR="008940B3">
        <w:t>ticularly evident for the Armenoi</w:t>
      </w:r>
      <w:r w:rsidR="008940B3" w:rsidRPr="003B5C8D">
        <w:t xml:space="preserve"> cemetery</w:t>
      </w:r>
      <w:r w:rsidR="008940B3">
        <w:t>,</w:t>
      </w:r>
      <w:r w:rsidR="008940B3" w:rsidRPr="003B5C8D">
        <w:t xml:space="preserve"> where</w:t>
      </w:r>
      <w:r w:rsidR="008940B3">
        <w:t>,</w:t>
      </w:r>
      <w:r w:rsidR="008940B3" w:rsidRPr="003B5C8D">
        <w:t xml:space="preserve"> in some cases</w:t>
      </w:r>
      <w:r w:rsidR="008940B3">
        <w:t>,</w:t>
      </w:r>
      <w:r w:rsidR="008940B3" w:rsidRPr="003B5C8D">
        <w:t xml:space="preserve"> larnakes </w:t>
      </w:r>
      <w:r w:rsidR="008940B3">
        <w:t>are associated with tombs that</w:t>
      </w:r>
      <w:r w:rsidR="008940B3" w:rsidRPr="003B5C8D">
        <w:t xml:space="preserve"> </w:t>
      </w:r>
      <w:r w:rsidR="008940B3">
        <w:t>have</w:t>
      </w:r>
      <w:r w:rsidR="008940B3" w:rsidRPr="003B5C8D">
        <w:t xml:space="preserve"> several monumental architectural characteristics, such </w:t>
      </w:r>
      <w:r w:rsidR="008940B3">
        <w:t>a</w:t>
      </w:r>
      <w:r w:rsidR="008940B3" w:rsidRPr="003B5C8D">
        <w:t>s a monumental dromos with stairs and niches, incised stele at the entrance (for a study on the grave stele found at Armenoi cemetery</w:t>
      </w:r>
      <w:r w:rsidR="008940B3">
        <w:t>, see</w:t>
      </w:r>
      <w:r w:rsidR="008940B3" w:rsidRPr="003B5C8D">
        <w:t xml:space="preserve"> Papadopou</w:t>
      </w:r>
      <w:r w:rsidR="008940B3">
        <w:t xml:space="preserve">lou 1996: 1471-1478 Tables I-IV), and </w:t>
      </w:r>
      <w:r w:rsidR="008940B3" w:rsidRPr="003B5C8D">
        <w:t>bench</w:t>
      </w:r>
      <w:r w:rsidR="008940B3">
        <w:t>es and</w:t>
      </w:r>
      <w:r w:rsidR="008940B3" w:rsidRPr="003B5C8D">
        <w:t xml:space="preserve"> pillar</w:t>
      </w:r>
      <w:r w:rsidR="008940B3">
        <w:t>s inside the chamber</w:t>
      </w:r>
      <w:r w:rsidR="008940B3" w:rsidRPr="003B5C8D">
        <w:t xml:space="preserve">. There are tombs associated with larnax burials </w:t>
      </w:r>
      <w:r w:rsidR="008940B3">
        <w:t>in which</w:t>
      </w:r>
      <w:r w:rsidR="008940B3" w:rsidRPr="003B5C8D">
        <w:t xml:space="preserve"> all these architectural feat</w:t>
      </w:r>
      <w:r w:rsidR="008940B3">
        <w:t>ures have been registered, as in the case of T</w:t>
      </w:r>
      <w:r w:rsidR="008940B3" w:rsidRPr="003B5C8D">
        <w:t>omb 24 (Tzedakis 1971; Kanta 198</w:t>
      </w:r>
      <w:r w:rsidR="008940B3">
        <w:t xml:space="preserve">0: 214; Godart and </w:t>
      </w:r>
      <w:r w:rsidR="008940B3" w:rsidRPr="003B5C8D">
        <w:t>Tzedakis</w:t>
      </w:r>
      <w:r w:rsidR="008940B3">
        <w:t>: 1992:</w:t>
      </w:r>
      <w:r w:rsidR="008940B3" w:rsidRPr="003B5C8D">
        <w:t xml:space="preserve"> pl. CXIV.3, CXXVI.2, CXX1-2, CXIX; Lango</w:t>
      </w:r>
      <w:r w:rsidR="008940B3">
        <w:t>hr 2009: 144-150). Within the Armenoi</w:t>
      </w:r>
      <w:r w:rsidR="008940B3" w:rsidRPr="003B5C8D">
        <w:t xml:space="preserve"> cemetery</w:t>
      </w:r>
      <w:r w:rsidR="008940B3">
        <w:t>,</w:t>
      </w:r>
      <w:r w:rsidR="008940B3" w:rsidRPr="003B5C8D">
        <w:t xml:space="preserve"> there are tomb</w:t>
      </w:r>
      <w:r w:rsidR="008940B3">
        <w:t>s</w:t>
      </w:r>
      <w:r w:rsidR="008940B3" w:rsidRPr="003B5C8D">
        <w:t xml:space="preserve"> that</w:t>
      </w:r>
      <w:r w:rsidR="008940B3">
        <w:t xml:space="preserve"> lack any monumental features also (e.g. tombs without chambers that are considered unfinished or hybrid: Papadopoulou 2017: 145; Lewartowski 2000: 11). </w:t>
      </w:r>
      <w:r w:rsidR="008940B3" w:rsidRPr="003B5C8D">
        <w:t>O</w:t>
      </w:r>
      <w:r w:rsidR="008940B3">
        <w:t>ther tombs can be considered monum</w:t>
      </w:r>
      <w:r w:rsidR="008940B3" w:rsidRPr="003B5C8D">
        <w:t>en</w:t>
      </w:r>
      <w:r w:rsidR="008940B3">
        <w:t>tal as well, such as the</w:t>
      </w:r>
      <w:r w:rsidR="008940B3" w:rsidRPr="003B5C8D">
        <w:t xml:space="preserve"> corbel</w:t>
      </w:r>
      <w:r w:rsidR="008940B3">
        <w:t>-</w:t>
      </w:r>
      <w:r w:rsidR="008940B3" w:rsidRPr="003B5C8D">
        <w:t xml:space="preserve">vaulted tomb of Margarites (Papadopoulou 2006: 129-152; Galanakis 2011: 591-607). </w:t>
      </w:r>
      <w:r w:rsidR="008940B3">
        <w:t xml:space="preserve">Excluding Armenoi, however, the number of tombs that can be considered monumental are very few within the region (T157 at Pigi and the corbel-vaulted tomb at Margarites). </w:t>
      </w:r>
      <w:r w:rsidR="008940B3" w:rsidRPr="003B5C8D">
        <w:t>In other cemeteries</w:t>
      </w:r>
      <w:r w:rsidR="008940B3">
        <w:t>,</w:t>
      </w:r>
      <w:r w:rsidR="008940B3" w:rsidRPr="003B5C8D">
        <w:t xml:space="preserve"> </w:t>
      </w:r>
      <w:r w:rsidR="008940B3">
        <w:t>such as</w:t>
      </w:r>
      <w:r w:rsidR="008940B3" w:rsidRPr="003B5C8D">
        <w:t xml:space="preserve"> at Maroulas</w:t>
      </w:r>
      <w:r w:rsidR="008940B3">
        <w:t>, the</w:t>
      </w:r>
      <w:r w:rsidR="008940B3" w:rsidRPr="003B5C8D">
        <w:t xml:space="preserve"> tombs are quite simple in terms of architecture and none of the monumental features observed </w:t>
      </w:r>
      <w:r w:rsidR="008940B3">
        <w:t>at</w:t>
      </w:r>
      <w:r w:rsidR="008940B3" w:rsidRPr="003B5C8D">
        <w:t xml:space="preserve"> Armen</w:t>
      </w:r>
      <w:r w:rsidR="008940B3">
        <w:t>o</w:t>
      </w:r>
      <w:r w:rsidR="008940B3" w:rsidRPr="003B5C8D">
        <w:t>i have been found</w:t>
      </w:r>
      <w:r w:rsidR="008940B3">
        <w:t xml:space="preserve"> there</w:t>
      </w:r>
      <w:r w:rsidR="008940B3" w:rsidRPr="003B5C8D">
        <w:t xml:space="preserve"> (Papadopoulou 2011: 611</w:t>
      </w:r>
      <w:r w:rsidR="008940B3">
        <w:t>; Papadopoulou 2017: 133-135</w:t>
      </w:r>
      <w:r w:rsidR="008940B3" w:rsidRPr="003B5C8D">
        <w:t>).</w:t>
      </w:r>
    </w:p>
    <w:p w14:paraId="39164096" w14:textId="45ABCEA6" w:rsidR="008940B3" w:rsidRDefault="008940B3" w:rsidP="00B26CC7">
      <w:r>
        <w:tab/>
        <w:t>Two further minor features have been observed in some of the tombs from the Mid-West area: the presence of stone plaques under the larnakes’ feet to improve stability (Maroulas, Papadopoulou 2017: 133; cf. Mesara Goudies tomb) and the presence of a stone-paved floor in the tombs at Margarites (see also the Maleme tomb, Papadopoulou 2006: 134</w:t>
      </w:r>
      <w:r w:rsidR="003C17EF">
        <w:t>; Galanakis 2011</w:t>
      </w:r>
      <w:r>
        <w:t>).</w:t>
      </w:r>
    </w:p>
    <w:p w14:paraId="25B88BB7" w14:textId="77777777" w:rsidR="008940B3" w:rsidRPr="000A7F3D" w:rsidRDefault="008940B3" w:rsidP="00E858EF">
      <w:pPr>
        <w:pStyle w:val="Titolo4"/>
        <w:keepNext w:val="0"/>
        <w:keepLines w:val="0"/>
        <w:suppressAutoHyphens/>
        <w:ind w:left="864" w:hanging="864"/>
        <w:contextualSpacing w:val="0"/>
      </w:pPr>
      <w:bookmarkStart w:id="127" w:name="_Toc389131135"/>
      <w:bookmarkStart w:id="128" w:name="_Toc517876460"/>
      <w:r w:rsidRPr="00895036">
        <w:t xml:space="preserve">Tombs and larnakes: Is there an increase </w:t>
      </w:r>
      <w:r>
        <w:t>in</w:t>
      </w:r>
      <w:r w:rsidRPr="00895036">
        <w:t xml:space="preserve"> larnax number</w:t>
      </w:r>
      <w:r>
        <w:t>s</w:t>
      </w:r>
      <w:r w:rsidRPr="00895036">
        <w:t xml:space="preserve"> according to tomb size?</w:t>
      </w:r>
      <w:bookmarkEnd w:id="127"/>
      <w:bookmarkEnd w:id="128"/>
      <w:r w:rsidRPr="00895036">
        <w:t xml:space="preserve"> </w:t>
      </w:r>
    </w:p>
    <w:p w14:paraId="33D4C16D" w14:textId="77777777" w:rsidR="008940B3" w:rsidRDefault="008940B3" w:rsidP="00B26CC7">
      <w:r>
        <w:t>The data from the table below reveals that the number of larnakes deposited in tombs is not linked to the size of the chamber.</w:t>
      </w:r>
    </w:p>
    <w:p w14:paraId="040D3331"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097181F2" w14:textId="2E1E7D0B" w:rsidR="008940B3" w:rsidRPr="001E05F9" w:rsidRDefault="008940B3" w:rsidP="00E858EF">
      <w:pPr>
        <w:pStyle w:val="Testofumetto"/>
        <w:suppressAutoHyphens/>
      </w:pPr>
      <w:bookmarkStart w:id="129" w:name="_Toc520212500"/>
      <w:r w:rsidRPr="001E05F9">
        <w:t>Table 3-11</w:t>
      </w:r>
      <w:r w:rsidRPr="005C16F5">
        <w:t>.  Larnax number in relation to tomb size</w:t>
      </w:r>
      <w:r w:rsidR="0081276F">
        <w:t>,</w:t>
      </w:r>
      <w:r w:rsidRPr="005C16F5">
        <w:t xml:space="preserve"> </w:t>
      </w:r>
      <w:r>
        <w:t>Mid-West</w:t>
      </w:r>
      <w:r w:rsidRPr="005C16F5">
        <w:t xml:space="preserve"> area</w:t>
      </w:r>
      <w:bookmarkEnd w:id="129"/>
    </w:p>
    <w:tbl>
      <w:tblPr>
        <w:tblW w:w="7873" w:type="dxa"/>
        <w:tblCellMar>
          <w:left w:w="0" w:type="dxa"/>
          <w:right w:w="0" w:type="dxa"/>
        </w:tblCellMar>
        <w:tblLook w:val="04A0" w:firstRow="1" w:lastRow="0" w:firstColumn="1" w:lastColumn="0" w:noHBand="0" w:noVBand="1"/>
      </w:tblPr>
      <w:tblGrid>
        <w:gridCol w:w="2343"/>
        <w:gridCol w:w="1276"/>
        <w:gridCol w:w="1418"/>
        <w:gridCol w:w="1418"/>
        <w:gridCol w:w="1418"/>
      </w:tblGrid>
      <w:tr w:rsidR="008940B3" w:rsidRPr="00B26CC7" w14:paraId="21FB5F82" w14:textId="77777777" w:rsidTr="00211B35">
        <w:trPr>
          <w:trHeight w:val="40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292DBA8" w14:textId="77777777" w:rsidR="008940B3" w:rsidRPr="00B26CC7" w:rsidRDefault="008940B3" w:rsidP="00E858EF">
            <w:pPr>
              <w:suppressAutoHyphens/>
              <w:jc w:val="center"/>
              <w:rPr>
                <w:sz w:val="20"/>
                <w:szCs w:val="16"/>
              </w:rPr>
            </w:pP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701A575" w14:textId="77777777" w:rsidR="008940B3" w:rsidRPr="00B26CC7" w:rsidRDefault="008940B3" w:rsidP="00E858EF">
            <w:pPr>
              <w:suppressAutoHyphens/>
              <w:jc w:val="center"/>
              <w:rPr>
                <w:sz w:val="20"/>
                <w:szCs w:val="16"/>
              </w:rPr>
            </w:pPr>
            <w:r w:rsidRPr="00B26CC7">
              <w:rPr>
                <w:sz w:val="20"/>
                <w:szCs w:val="16"/>
              </w:rPr>
              <w:t>Small</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53542C8" w14:textId="77777777" w:rsidR="008940B3" w:rsidRPr="00B26CC7" w:rsidRDefault="008940B3" w:rsidP="00E858EF">
            <w:pPr>
              <w:suppressAutoHyphens/>
              <w:jc w:val="center"/>
              <w:rPr>
                <w:sz w:val="20"/>
                <w:szCs w:val="16"/>
              </w:rPr>
            </w:pPr>
            <w:r w:rsidRPr="00B26CC7">
              <w:rPr>
                <w:sz w:val="20"/>
                <w:szCs w:val="16"/>
              </w:rPr>
              <w:t>Medium</w:t>
            </w:r>
          </w:p>
        </w:tc>
        <w:tc>
          <w:tcPr>
            <w:tcW w:w="1418" w:type="dxa"/>
            <w:tcBorders>
              <w:top w:val="single" w:sz="6" w:space="0" w:color="000000"/>
              <w:left w:val="single" w:sz="6" w:space="0" w:color="000000"/>
              <w:bottom w:val="single" w:sz="6" w:space="0" w:color="000000"/>
              <w:right w:val="single" w:sz="6" w:space="0" w:color="000000"/>
            </w:tcBorders>
          </w:tcPr>
          <w:p w14:paraId="774FE538" w14:textId="77777777" w:rsidR="008940B3" w:rsidRPr="00B26CC7" w:rsidRDefault="008940B3" w:rsidP="00E858EF">
            <w:pPr>
              <w:suppressAutoHyphens/>
              <w:jc w:val="center"/>
              <w:rPr>
                <w:sz w:val="20"/>
                <w:szCs w:val="16"/>
              </w:rPr>
            </w:pPr>
            <w:r w:rsidRPr="00B26CC7">
              <w:rPr>
                <w:sz w:val="20"/>
                <w:szCs w:val="16"/>
              </w:rPr>
              <w:t>Large</w:t>
            </w:r>
          </w:p>
        </w:tc>
        <w:tc>
          <w:tcPr>
            <w:tcW w:w="1418" w:type="dxa"/>
            <w:tcBorders>
              <w:top w:val="single" w:sz="6" w:space="0" w:color="000000"/>
              <w:left w:val="single" w:sz="6" w:space="0" w:color="000000"/>
              <w:bottom w:val="single" w:sz="6" w:space="0" w:color="000000"/>
              <w:right w:val="single" w:sz="6" w:space="0" w:color="000000"/>
            </w:tcBorders>
          </w:tcPr>
          <w:p w14:paraId="4F198B21" w14:textId="77777777" w:rsidR="008940B3" w:rsidRPr="00B26CC7" w:rsidRDefault="008940B3" w:rsidP="00E858EF">
            <w:pPr>
              <w:suppressAutoHyphens/>
              <w:jc w:val="center"/>
              <w:rPr>
                <w:sz w:val="20"/>
                <w:szCs w:val="16"/>
              </w:rPr>
            </w:pPr>
            <w:r w:rsidRPr="00B26CC7">
              <w:rPr>
                <w:sz w:val="20"/>
                <w:szCs w:val="16"/>
              </w:rPr>
              <w:t>Extra-Large</w:t>
            </w:r>
          </w:p>
        </w:tc>
      </w:tr>
      <w:tr w:rsidR="008940B3" w:rsidRPr="00B26CC7" w14:paraId="2CAFA173" w14:textId="77777777" w:rsidTr="00211B35">
        <w:trPr>
          <w:trHeight w:val="315"/>
        </w:trPr>
        <w:tc>
          <w:tcPr>
            <w:tcW w:w="2343"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438BD4FE" w14:textId="77777777" w:rsidR="008940B3" w:rsidRPr="00B26CC7" w:rsidRDefault="008940B3" w:rsidP="00B26CC7">
            <w:pPr>
              <w:suppressAutoHyphens/>
              <w:jc w:val="left"/>
              <w:rPr>
                <w:sz w:val="20"/>
                <w:szCs w:val="16"/>
              </w:rPr>
            </w:pPr>
            <w:r w:rsidRPr="00B26CC7">
              <w:rPr>
                <w:color w:val="000000"/>
                <w:sz w:val="20"/>
                <w:szCs w:val="16"/>
              </w:rPr>
              <w:t>Chamber area in sq.m.</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6676FB26" w14:textId="77777777" w:rsidR="008940B3" w:rsidRPr="00B26CC7" w:rsidRDefault="008940B3" w:rsidP="00E858EF">
            <w:pPr>
              <w:suppressAutoHyphens/>
              <w:jc w:val="center"/>
              <w:rPr>
                <w:sz w:val="20"/>
                <w:szCs w:val="16"/>
              </w:rPr>
            </w:pPr>
            <w:r w:rsidRPr="00B26CC7">
              <w:rPr>
                <w:sz w:val="20"/>
                <w:szCs w:val="16"/>
              </w:rPr>
              <w:t>0-6</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7D8DC9B3" w14:textId="77777777" w:rsidR="008940B3" w:rsidRPr="00B26CC7" w:rsidRDefault="008940B3" w:rsidP="00E858EF">
            <w:pPr>
              <w:suppressAutoHyphens/>
              <w:jc w:val="center"/>
              <w:rPr>
                <w:sz w:val="20"/>
                <w:szCs w:val="16"/>
              </w:rPr>
            </w:pPr>
            <w:r w:rsidRPr="00B26CC7">
              <w:rPr>
                <w:sz w:val="20"/>
                <w:szCs w:val="16"/>
              </w:rPr>
              <w:t>7-12</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Pr>
          <w:p w14:paraId="437FE39E" w14:textId="77777777" w:rsidR="008940B3" w:rsidRPr="00B26CC7" w:rsidRDefault="008940B3" w:rsidP="00E858EF">
            <w:pPr>
              <w:suppressAutoHyphens/>
              <w:jc w:val="center"/>
              <w:rPr>
                <w:color w:val="000000"/>
                <w:sz w:val="20"/>
                <w:szCs w:val="16"/>
              </w:rPr>
            </w:pPr>
            <w:r w:rsidRPr="00B26CC7">
              <w:rPr>
                <w:color w:val="000000"/>
                <w:sz w:val="20"/>
                <w:szCs w:val="16"/>
              </w:rPr>
              <w:t>13-18</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Pr>
          <w:p w14:paraId="1C4C0D86" w14:textId="77777777" w:rsidR="008940B3" w:rsidRPr="00B26CC7" w:rsidRDefault="008940B3" w:rsidP="00E858EF">
            <w:pPr>
              <w:suppressAutoHyphens/>
              <w:jc w:val="center"/>
              <w:rPr>
                <w:color w:val="000000"/>
                <w:sz w:val="20"/>
                <w:szCs w:val="16"/>
              </w:rPr>
            </w:pPr>
            <w:r w:rsidRPr="00B26CC7">
              <w:rPr>
                <w:color w:val="000000"/>
                <w:sz w:val="20"/>
                <w:szCs w:val="16"/>
              </w:rPr>
              <w:t>19-24</w:t>
            </w:r>
          </w:p>
        </w:tc>
      </w:tr>
      <w:tr w:rsidR="008940B3" w:rsidRPr="00B26CC7" w14:paraId="539EA7B9" w14:textId="77777777" w:rsidTr="00211B35">
        <w:trPr>
          <w:trHeight w:val="31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68D19576" w14:textId="77777777" w:rsidR="008940B3" w:rsidRPr="00B26CC7" w:rsidRDefault="008940B3" w:rsidP="00B26CC7">
            <w:pPr>
              <w:suppressAutoHyphens/>
              <w:jc w:val="left"/>
              <w:rPr>
                <w:sz w:val="20"/>
                <w:szCs w:val="16"/>
              </w:rPr>
            </w:pPr>
            <w:r w:rsidRPr="00B26CC7">
              <w:rPr>
                <w:sz w:val="20"/>
                <w:szCs w:val="16"/>
              </w:rPr>
              <w:t>Range of larnax numbers</w:t>
            </w: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4B5FC428" w14:textId="77777777" w:rsidR="008940B3" w:rsidRPr="00B26CC7" w:rsidRDefault="008940B3" w:rsidP="00E858EF">
            <w:pPr>
              <w:suppressAutoHyphens/>
              <w:jc w:val="center"/>
              <w:rPr>
                <w:sz w:val="20"/>
                <w:szCs w:val="16"/>
              </w:rPr>
            </w:pPr>
            <w:r w:rsidRPr="00B26CC7">
              <w:rPr>
                <w:sz w:val="20"/>
                <w:szCs w:val="16"/>
              </w:rPr>
              <w:t>1-7</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33F508C6" w14:textId="77777777" w:rsidR="008940B3" w:rsidRPr="00B26CC7" w:rsidRDefault="008940B3" w:rsidP="00E858EF">
            <w:pPr>
              <w:suppressAutoHyphens/>
              <w:jc w:val="center"/>
              <w:rPr>
                <w:color w:val="000000"/>
                <w:sz w:val="20"/>
                <w:szCs w:val="16"/>
              </w:rPr>
            </w:pPr>
            <w:r w:rsidRPr="00B26CC7">
              <w:rPr>
                <w:color w:val="000000"/>
                <w:sz w:val="20"/>
                <w:szCs w:val="16"/>
              </w:rPr>
              <w:t>1-3</w:t>
            </w:r>
          </w:p>
        </w:tc>
        <w:tc>
          <w:tcPr>
            <w:tcW w:w="1418" w:type="dxa"/>
            <w:tcBorders>
              <w:top w:val="single" w:sz="6" w:space="0" w:color="000000"/>
              <w:left w:val="single" w:sz="6" w:space="0" w:color="000000"/>
              <w:bottom w:val="single" w:sz="6" w:space="0" w:color="000000"/>
              <w:right w:val="single" w:sz="6" w:space="0" w:color="000000"/>
            </w:tcBorders>
          </w:tcPr>
          <w:p w14:paraId="5A5E7064" w14:textId="77777777" w:rsidR="008940B3" w:rsidRPr="00B26CC7" w:rsidRDefault="008940B3" w:rsidP="00E858EF">
            <w:pPr>
              <w:suppressAutoHyphens/>
              <w:jc w:val="center"/>
              <w:rPr>
                <w:sz w:val="20"/>
                <w:szCs w:val="16"/>
              </w:rPr>
            </w:pPr>
            <w:r w:rsidRPr="00B26CC7">
              <w:rPr>
                <w:sz w:val="20"/>
                <w:szCs w:val="16"/>
              </w:rPr>
              <w:t>1-3</w:t>
            </w:r>
          </w:p>
        </w:tc>
        <w:tc>
          <w:tcPr>
            <w:tcW w:w="1418" w:type="dxa"/>
            <w:tcBorders>
              <w:top w:val="single" w:sz="6" w:space="0" w:color="000000"/>
              <w:left w:val="single" w:sz="6" w:space="0" w:color="000000"/>
              <w:bottom w:val="single" w:sz="6" w:space="0" w:color="000000"/>
              <w:right w:val="single" w:sz="6" w:space="0" w:color="000000"/>
            </w:tcBorders>
          </w:tcPr>
          <w:p w14:paraId="740A8BB6" w14:textId="77777777" w:rsidR="008940B3" w:rsidRPr="00B26CC7" w:rsidRDefault="008940B3" w:rsidP="00E858EF">
            <w:pPr>
              <w:suppressAutoHyphens/>
              <w:jc w:val="center"/>
              <w:rPr>
                <w:sz w:val="20"/>
                <w:szCs w:val="16"/>
              </w:rPr>
            </w:pPr>
            <w:r w:rsidRPr="00B26CC7">
              <w:rPr>
                <w:sz w:val="20"/>
                <w:szCs w:val="16"/>
              </w:rPr>
              <w:t>2-3</w:t>
            </w:r>
          </w:p>
        </w:tc>
      </w:tr>
    </w:tbl>
    <w:p w14:paraId="08953F8C"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60B3A171" w14:textId="77777777" w:rsidR="008940B3" w:rsidRDefault="008940B3" w:rsidP="00B26CC7">
      <w:r>
        <w:t>The mean space reserved for a larnax within a tomb in the Mid-West region is approximately 4.6 sq.m. (data calculated based on 30 tombs for which information about the chamber area is available). Regarding the number of larnakes per tomb, the mean is two sarcophagi per tomb, with a maximum of 10 larnakes per tomb.</w:t>
      </w:r>
    </w:p>
    <w:p w14:paraId="6645661B"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rStyle w:val="TestofumettoCarattere"/>
        </w:rPr>
      </w:pPr>
    </w:p>
    <w:p w14:paraId="0F6B15E5" w14:textId="77777777" w:rsidR="008940B3" w:rsidRPr="00F808D9"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bookmarkStart w:id="130" w:name="_Toc520212501"/>
      <w:r w:rsidRPr="00585EA1">
        <w:rPr>
          <w:rStyle w:val="TestofumettoCarattere"/>
        </w:rPr>
        <w:t xml:space="preserve">Table 3-12.  </w:t>
      </w:r>
      <w:r w:rsidRPr="005C16F5">
        <w:rPr>
          <w:rStyle w:val="TestofumettoCarattere"/>
        </w:rPr>
        <w:t xml:space="preserve">Space reserved to a larnax within a tomb in </w:t>
      </w:r>
      <w:r>
        <w:rPr>
          <w:rStyle w:val="TestofumettoCarattere"/>
        </w:rPr>
        <w:t>Mid-West</w:t>
      </w:r>
      <w:r w:rsidRPr="005C16F5">
        <w:rPr>
          <w:rStyle w:val="TestofumettoCarattere"/>
        </w:rPr>
        <w:t xml:space="preserve"> area</w:t>
      </w:r>
      <w:bookmarkEnd w:id="130"/>
    </w:p>
    <w:tbl>
      <w:tblPr>
        <w:tblW w:w="0" w:type="auto"/>
        <w:tblCellMar>
          <w:left w:w="0" w:type="dxa"/>
          <w:right w:w="0" w:type="dxa"/>
        </w:tblCellMar>
        <w:tblLook w:val="04A0" w:firstRow="1" w:lastRow="0" w:firstColumn="1" w:lastColumn="0" w:noHBand="0" w:noVBand="1"/>
      </w:tblPr>
      <w:tblGrid>
        <w:gridCol w:w="1918"/>
        <w:gridCol w:w="2977"/>
      </w:tblGrid>
      <w:tr w:rsidR="008940B3" w:rsidRPr="00B26CC7" w14:paraId="2EAADA82" w14:textId="77777777" w:rsidTr="00B26CC7">
        <w:trPr>
          <w:trHeight w:val="410"/>
        </w:trPr>
        <w:tc>
          <w:tcPr>
            <w:tcW w:w="19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A339DE1" w14:textId="77777777" w:rsidR="008940B3" w:rsidRPr="00B26CC7" w:rsidRDefault="008940B3" w:rsidP="00E858EF">
            <w:pPr>
              <w:suppressAutoHyphens/>
              <w:rPr>
                <w:sz w:val="20"/>
                <w:szCs w:val="16"/>
              </w:rPr>
            </w:pPr>
          </w:p>
        </w:tc>
        <w:tc>
          <w:tcPr>
            <w:tcW w:w="297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493C703E" w14:textId="77777777" w:rsidR="008940B3" w:rsidRPr="00B26CC7" w:rsidRDefault="008940B3" w:rsidP="00E858EF">
            <w:pPr>
              <w:suppressAutoHyphens/>
              <w:rPr>
                <w:b/>
                <w:sz w:val="20"/>
                <w:szCs w:val="16"/>
              </w:rPr>
            </w:pPr>
            <w:r w:rsidRPr="00B26CC7">
              <w:rPr>
                <w:b/>
                <w:sz w:val="20"/>
                <w:szCs w:val="16"/>
              </w:rPr>
              <w:t xml:space="preserve">Space per larnax in sq.m. </w:t>
            </w:r>
          </w:p>
        </w:tc>
      </w:tr>
      <w:tr w:rsidR="008940B3" w:rsidRPr="00B26CC7" w14:paraId="2884BA1F" w14:textId="77777777" w:rsidTr="00B26CC7">
        <w:trPr>
          <w:trHeight w:val="320"/>
        </w:trPr>
        <w:tc>
          <w:tcPr>
            <w:tcW w:w="191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6B8D7ADA" w14:textId="77777777" w:rsidR="008940B3" w:rsidRPr="00B26CC7" w:rsidRDefault="008940B3" w:rsidP="00E858EF">
            <w:pPr>
              <w:suppressAutoHyphens/>
              <w:rPr>
                <w:sz w:val="20"/>
                <w:szCs w:val="16"/>
              </w:rPr>
            </w:pPr>
            <w:r w:rsidRPr="00B26CC7">
              <w:rPr>
                <w:sz w:val="20"/>
                <w:szCs w:val="16"/>
              </w:rPr>
              <w:t>Mean</w:t>
            </w:r>
          </w:p>
        </w:tc>
        <w:tc>
          <w:tcPr>
            <w:tcW w:w="2977"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2DAEDDEE" w14:textId="77777777" w:rsidR="008940B3" w:rsidRPr="00B26CC7" w:rsidRDefault="008940B3" w:rsidP="00E858EF">
            <w:pPr>
              <w:suppressAutoHyphens/>
              <w:rPr>
                <w:sz w:val="20"/>
                <w:szCs w:val="16"/>
              </w:rPr>
            </w:pPr>
            <w:r w:rsidRPr="00B26CC7">
              <w:rPr>
                <w:sz w:val="20"/>
                <w:szCs w:val="16"/>
              </w:rPr>
              <w:t>4.6</w:t>
            </w:r>
          </w:p>
        </w:tc>
      </w:tr>
      <w:tr w:rsidR="008940B3" w:rsidRPr="00B26CC7" w14:paraId="67503232" w14:textId="77777777" w:rsidTr="00B26CC7">
        <w:trPr>
          <w:trHeight w:val="320"/>
        </w:trPr>
        <w:tc>
          <w:tcPr>
            <w:tcW w:w="19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06E4F5C1" w14:textId="77777777" w:rsidR="008940B3" w:rsidRPr="00B26CC7" w:rsidRDefault="008940B3" w:rsidP="00E858EF">
            <w:pPr>
              <w:suppressAutoHyphens/>
              <w:rPr>
                <w:sz w:val="20"/>
                <w:szCs w:val="16"/>
              </w:rPr>
            </w:pPr>
            <w:r w:rsidRPr="00B26CC7">
              <w:rPr>
                <w:sz w:val="20"/>
                <w:szCs w:val="16"/>
              </w:rPr>
              <w:t>Max</w:t>
            </w:r>
          </w:p>
        </w:tc>
        <w:tc>
          <w:tcPr>
            <w:tcW w:w="297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18B4B353" w14:textId="77777777" w:rsidR="008940B3" w:rsidRPr="00B26CC7" w:rsidRDefault="008940B3" w:rsidP="00E858EF">
            <w:pPr>
              <w:suppressAutoHyphens/>
              <w:rPr>
                <w:sz w:val="20"/>
                <w:szCs w:val="16"/>
              </w:rPr>
            </w:pPr>
            <w:r w:rsidRPr="00B26CC7">
              <w:rPr>
                <w:sz w:val="20"/>
                <w:szCs w:val="16"/>
              </w:rPr>
              <w:t>13.5 (Armenoi tomb 55)</w:t>
            </w:r>
          </w:p>
        </w:tc>
      </w:tr>
      <w:tr w:rsidR="008940B3" w:rsidRPr="00B26CC7" w14:paraId="77DA7D39" w14:textId="77777777" w:rsidTr="00B26CC7">
        <w:trPr>
          <w:trHeight w:val="313"/>
        </w:trPr>
        <w:tc>
          <w:tcPr>
            <w:tcW w:w="19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0AA2871A" w14:textId="77777777" w:rsidR="008940B3" w:rsidRPr="00B26CC7" w:rsidRDefault="008940B3" w:rsidP="00E858EF">
            <w:pPr>
              <w:suppressAutoHyphens/>
              <w:rPr>
                <w:sz w:val="20"/>
                <w:szCs w:val="16"/>
              </w:rPr>
            </w:pPr>
            <w:r w:rsidRPr="00B26CC7">
              <w:rPr>
                <w:sz w:val="20"/>
                <w:szCs w:val="16"/>
              </w:rPr>
              <w:t>Min</w:t>
            </w:r>
          </w:p>
        </w:tc>
        <w:tc>
          <w:tcPr>
            <w:tcW w:w="297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1825A93E" w14:textId="77777777" w:rsidR="008940B3" w:rsidRPr="00B26CC7" w:rsidRDefault="008940B3" w:rsidP="00E858EF">
            <w:pPr>
              <w:suppressAutoHyphens/>
              <w:rPr>
                <w:sz w:val="20"/>
                <w:szCs w:val="16"/>
              </w:rPr>
            </w:pPr>
            <w:r w:rsidRPr="00B26CC7">
              <w:rPr>
                <w:sz w:val="20"/>
                <w:szCs w:val="16"/>
              </w:rPr>
              <w:t>0.5 (Pigi Saunatos; 10 larnakes)</w:t>
            </w:r>
          </w:p>
        </w:tc>
      </w:tr>
    </w:tbl>
    <w:p w14:paraId="1402DB69"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sz w:val="22"/>
          <w:szCs w:val="22"/>
          <w:highlight w:val="green"/>
        </w:rPr>
      </w:pPr>
    </w:p>
    <w:p w14:paraId="4CA80D9B" w14:textId="62AFCA0A" w:rsidR="008940B3" w:rsidRPr="003B5C8D" w:rsidRDefault="008940B3" w:rsidP="00E858EF">
      <w:pPr>
        <w:pStyle w:val="Testofumetto"/>
        <w:suppressAutoHyphens/>
        <w:rPr>
          <w:highlight w:val="green"/>
        </w:rPr>
      </w:pPr>
      <w:bookmarkStart w:id="131" w:name="_Toc520212502"/>
      <w:r w:rsidRPr="00585EA1">
        <w:t xml:space="preserve">Table 3-13.  </w:t>
      </w:r>
      <w:r>
        <w:t>Number of larnakes per tomb</w:t>
      </w:r>
      <w:r w:rsidR="0081276F">
        <w:t>,</w:t>
      </w:r>
      <w:r>
        <w:t xml:space="preserve"> Mid-West area</w:t>
      </w:r>
      <w:bookmarkEnd w:id="131"/>
      <w:r>
        <w:t xml:space="preserve"> </w:t>
      </w:r>
    </w:p>
    <w:tbl>
      <w:tblPr>
        <w:tblStyle w:val="Grigliatabella"/>
        <w:tblW w:w="0" w:type="auto"/>
        <w:tblLook w:val="04A0" w:firstRow="1" w:lastRow="0" w:firstColumn="1" w:lastColumn="0" w:noHBand="0" w:noVBand="1"/>
      </w:tblPr>
      <w:tblGrid>
        <w:gridCol w:w="1951"/>
        <w:gridCol w:w="2977"/>
      </w:tblGrid>
      <w:tr w:rsidR="008940B3" w:rsidRPr="00211B35" w14:paraId="790D1541" w14:textId="77777777" w:rsidTr="00211B35">
        <w:trPr>
          <w:trHeight w:val="290"/>
        </w:trPr>
        <w:tc>
          <w:tcPr>
            <w:tcW w:w="1951" w:type="dxa"/>
          </w:tcPr>
          <w:p w14:paraId="661ED191" w14:textId="77777777" w:rsidR="008940B3" w:rsidRPr="00211B35"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sz w:val="20"/>
                <w:szCs w:val="22"/>
                <w:highlight w:val="green"/>
              </w:rPr>
            </w:pPr>
          </w:p>
        </w:tc>
        <w:tc>
          <w:tcPr>
            <w:tcW w:w="2977" w:type="dxa"/>
          </w:tcPr>
          <w:p w14:paraId="475A94D9" w14:textId="77777777" w:rsidR="008940B3" w:rsidRPr="00211B35"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b/>
                <w:color w:val="000000"/>
                <w:sz w:val="20"/>
                <w:szCs w:val="16"/>
                <w:highlight w:val="green"/>
              </w:rPr>
            </w:pPr>
            <w:r w:rsidRPr="00211B35">
              <w:rPr>
                <w:b/>
                <w:color w:val="000000"/>
                <w:sz w:val="20"/>
                <w:szCs w:val="16"/>
              </w:rPr>
              <w:t xml:space="preserve">Number of larnakes per tomb </w:t>
            </w:r>
          </w:p>
        </w:tc>
      </w:tr>
      <w:tr w:rsidR="008940B3" w:rsidRPr="00211B35" w14:paraId="4BF01489" w14:textId="77777777" w:rsidTr="00211B35">
        <w:trPr>
          <w:trHeight w:val="290"/>
        </w:trPr>
        <w:tc>
          <w:tcPr>
            <w:tcW w:w="1951" w:type="dxa"/>
          </w:tcPr>
          <w:p w14:paraId="05F5694F" w14:textId="77777777" w:rsidR="008940B3" w:rsidRPr="00211B35"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211B35">
              <w:rPr>
                <w:color w:val="000000"/>
                <w:sz w:val="20"/>
                <w:szCs w:val="16"/>
              </w:rPr>
              <w:t>Mean</w:t>
            </w:r>
          </w:p>
        </w:tc>
        <w:tc>
          <w:tcPr>
            <w:tcW w:w="2977" w:type="dxa"/>
          </w:tcPr>
          <w:p w14:paraId="32D5B791" w14:textId="77777777" w:rsidR="008940B3" w:rsidRPr="00211B35"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211B35">
              <w:rPr>
                <w:color w:val="000000"/>
                <w:sz w:val="20"/>
                <w:szCs w:val="16"/>
              </w:rPr>
              <w:t>1.8</w:t>
            </w:r>
          </w:p>
        </w:tc>
      </w:tr>
      <w:tr w:rsidR="008940B3" w:rsidRPr="00211B35" w14:paraId="34C1A6C4" w14:textId="77777777" w:rsidTr="00211B35">
        <w:trPr>
          <w:trHeight w:val="303"/>
        </w:trPr>
        <w:tc>
          <w:tcPr>
            <w:tcW w:w="1951" w:type="dxa"/>
          </w:tcPr>
          <w:p w14:paraId="5450A3F6" w14:textId="77777777" w:rsidR="008940B3" w:rsidRPr="00211B35"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211B35">
              <w:rPr>
                <w:color w:val="000000"/>
                <w:sz w:val="20"/>
                <w:szCs w:val="16"/>
              </w:rPr>
              <w:t>Max</w:t>
            </w:r>
          </w:p>
        </w:tc>
        <w:tc>
          <w:tcPr>
            <w:tcW w:w="2977" w:type="dxa"/>
          </w:tcPr>
          <w:p w14:paraId="34AEE631" w14:textId="77777777" w:rsidR="008940B3" w:rsidRPr="00211B35"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211B35">
              <w:rPr>
                <w:color w:val="000000"/>
                <w:sz w:val="20"/>
                <w:szCs w:val="16"/>
              </w:rPr>
              <w:t>10 (Angeliana Tsouknis)</w:t>
            </w:r>
          </w:p>
        </w:tc>
      </w:tr>
      <w:tr w:rsidR="008940B3" w:rsidRPr="00211B35" w14:paraId="18E2167D" w14:textId="77777777" w:rsidTr="00211B35">
        <w:trPr>
          <w:trHeight w:val="303"/>
        </w:trPr>
        <w:tc>
          <w:tcPr>
            <w:tcW w:w="1951" w:type="dxa"/>
          </w:tcPr>
          <w:p w14:paraId="04277331" w14:textId="77777777" w:rsidR="008940B3" w:rsidRPr="00211B35"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211B35">
              <w:rPr>
                <w:color w:val="000000"/>
                <w:sz w:val="20"/>
                <w:szCs w:val="16"/>
              </w:rPr>
              <w:t>Min</w:t>
            </w:r>
          </w:p>
        </w:tc>
        <w:tc>
          <w:tcPr>
            <w:tcW w:w="2977" w:type="dxa"/>
          </w:tcPr>
          <w:p w14:paraId="787AC4F0" w14:textId="77777777" w:rsidR="008940B3" w:rsidRPr="00211B35"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211B35">
              <w:rPr>
                <w:color w:val="000000"/>
                <w:sz w:val="20"/>
                <w:szCs w:val="16"/>
              </w:rPr>
              <w:t>1</w:t>
            </w:r>
          </w:p>
        </w:tc>
      </w:tr>
    </w:tbl>
    <w:p w14:paraId="34857115" w14:textId="77777777" w:rsidR="008940B3" w:rsidRPr="003B5C8D"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2"/>
          <w:szCs w:val="22"/>
        </w:rPr>
      </w:pPr>
    </w:p>
    <w:p w14:paraId="3766FBBB" w14:textId="77777777" w:rsidR="00211B35" w:rsidRDefault="00211B35">
      <w:pPr>
        <w:widowControl/>
        <w:spacing w:line="240" w:lineRule="auto"/>
        <w:contextualSpacing w:val="0"/>
        <w:jc w:val="left"/>
        <w:rPr>
          <w:rFonts w:eastAsiaTheme="majorEastAsia" w:cstheme="majorBidi"/>
          <w:b/>
          <w:bCs/>
          <w:i/>
          <w:iCs/>
        </w:rPr>
      </w:pPr>
      <w:bookmarkStart w:id="132" w:name="_Toc389131136"/>
      <w:bookmarkStart w:id="133" w:name="_Toc517876461"/>
      <w:r>
        <w:br w:type="page"/>
      </w:r>
    </w:p>
    <w:p w14:paraId="7E500AE4" w14:textId="2871F8EA" w:rsidR="008940B3" w:rsidRPr="000A7F3D" w:rsidRDefault="008940B3" w:rsidP="00E858EF">
      <w:pPr>
        <w:pStyle w:val="Titolo4"/>
        <w:keepNext w:val="0"/>
        <w:keepLines w:val="0"/>
        <w:suppressAutoHyphens/>
        <w:ind w:left="864" w:hanging="864"/>
        <w:contextualSpacing w:val="0"/>
      </w:pPr>
      <w:r>
        <w:t>Tombs and larnakes: o</w:t>
      </w:r>
      <w:r w:rsidRPr="000A7F3D">
        <w:t>ther deposition methods associated with larnakes within the same tomb</w:t>
      </w:r>
      <w:bookmarkEnd w:id="132"/>
      <w:bookmarkEnd w:id="133"/>
    </w:p>
    <w:p w14:paraId="5FBECBFB" w14:textId="77777777" w:rsidR="008940B3" w:rsidRDefault="008940B3" w:rsidP="00211B35">
      <w:r w:rsidRPr="003B5C8D">
        <w:t xml:space="preserve">In the </w:t>
      </w:r>
      <w:r>
        <w:t>Mid-West</w:t>
      </w:r>
      <w:r w:rsidRPr="003B5C8D">
        <w:t xml:space="preserve"> region</w:t>
      </w:r>
      <w:r>
        <w:t>,</w:t>
      </w:r>
      <w:r w:rsidRPr="003B5C8D">
        <w:t xml:space="preserve"> larnakes </w:t>
      </w:r>
      <w:r>
        <w:t>are</w:t>
      </w:r>
      <w:r w:rsidRPr="003B5C8D">
        <w:t xml:space="preserve"> associated with a wooden coffin</w:t>
      </w:r>
      <w:r>
        <w:t>/bier only in one case, at Armenoi</w:t>
      </w:r>
      <w:r w:rsidRPr="003B5C8D">
        <w:t xml:space="preserve"> in </w:t>
      </w:r>
      <w:r>
        <w:t>T</w:t>
      </w:r>
      <w:r w:rsidRPr="003B5C8D">
        <w:t>omb 159 (</w:t>
      </w:r>
      <w:r>
        <w:t>three clay chest-shaped larnakes and one wooden bier reported in the same tomb:</w:t>
      </w:r>
      <w:r w:rsidRPr="0015677A">
        <w:t xml:space="preserve"> </w:t>
      </w:r>
      <w:r w:rsidRPr="00966B81">
        <w:rPr>
          <w:i/>
        </w:rPr>
        <w:t xml:space="preserve">AR </w:t>
      </w:r>
      <w:r>
        <w:t>1985-</w:t>
      </w:r>
      <w:r w:rsidRPr="003B5C8D">
        <w:t>1986: 95; Godart and Tzedakis 1992:</w:t>
      </w:r>
      <w:r>
        <w:t xml:space="preserve"> </w:t>
      </w:r>
      <w:r w:rsidRPr="003B5C8D">
        <w:t>88; Preston 2000</w:t>
      </w:r>
      <w:r>
        <w:t>: Appendix O</w:t>
      </w:r>
      <w:r w:rsidRPr="003B5C8D">
        <w:t xml:space="preserve">). </w:t>
      </w:r>
      <w:r>
        <w:t>In another case, in a tomb at Angeliana, a child burial in a stamnos was found in the same tomb together with another six larnakes (</w:t>
      </w:r>
      <w:r w:rsidRPr="002545F5">
        <w:rPr>
          <w:i/>
        </w:rPr>
        <w:t xml:space="preserve">ADelt </w:t>
      </w:r>
      <w:r>
        <w:t xml:space="preserve">38 1983: 371). </w:t>
      </w:r>
      <w:r w:rsidRPr="003B5C8D">
        <w:t>In all the other cases</w:t>
      </w:r>
      <w:r>
        <w:t>,</w:t>
      </w:r>
      <w:r w:rsidRPr="003B5C8D">
        <w:t xml:space="preserve"> skeleton/bones o</w:t>
      </w:r>
      <w:r>
        <w:t>n the floor or in a pit were</w:t>
      </w:r>
      <w:r w:rsidRPr="003B5C8D">
        <w:t xml:space="preserve"> found in the same tomb with clay larnakes, </w:t>
      </w:r>
      <w:r>
        <w:t>in some cases as secondary</w:t>
      </w:r>
      <w:r w:rsidRPr="003B5C8D">
        <w:t xml:space="preserve"> </w:t>
      </w:r>
      <w:r>
        <w:t>depositions, in other cases as primary burials. Burials on the floor and in a pit can occur in the same tomb together with larnakes, as in the case of Tomb 17 at Armenoi and the chamber tombs of Arsani and Kastellos Apokoronou</w:t>
      </w:r>
      <w:r w:rsidRPr="003F6B73">
        <w:t>. The total number of tombs in which there are other types of burials along with larnakes is 46%. The 24% accounts for tombs for which there is evidence only for larnax burials and the remaining 30% there are no information about skeletal remains found in the tombs (occurrence or position).</w:t>
      </w:r>
    </w:p>
    <w:p w14:paraId="35A43F77"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7923858E"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60770928" wp14:editId="7D995C10">
            <wp:extent cx="4680000" cy="2520000"/>
            <wp:effectExtent l="0" t="0" r="6350" b="13970"/>
            <wp:docPr id="9" name="Gra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2C783CE" w14:textId="0CE6C092" w:rsidR="008940B3" w:rsidRPr="003B5C8D" w:rsidRDefault="008940B3" w:rsidP="00E858EF">
      <w:pPr>
        <w:pStyle w:val="Didascalia"/>
        <w:suppressAutoHyphens/>
      </w:pPr>
      <w:bookmarkStart w:id="134" w:name="_Toc520212290"/>
      <w:r>
        <w:t>Figure 3-10. Interment types per tomb</w:t>
      </w:r>
      <w:r w:rsidR="0081276F">
        <w:t>,</w:t>
      </w:r>
      <w:r>
        <w:t xml:space="preserve"> Mid-West area</w:t>
      </w:r>
      <w:bookmarkEnd w:id="134"/>
    </w:p>
    <w:p w14:paraId="1B187358"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140DB3F7" w14:textId="77777777" w:rsidR="008940B3" w:rsidRPr="003B5C8D" w:rsidRDefault="008940B3" w:rsidP="00E858EF">
      <w:pPr>
        <w:pStyle w:val="Testofumetto"/>
        <w:suppressAutoHyphens/>
      </w:pPr>
      <w:bookmarkStart w:id="135" w:name="_Toc520212503"/>
      <w:r>
        <w:t>Table 3-14 Interment types occurrence in Mid-West area</w:t>
      </w:r>
      <w:bookmarkEnd w:id="135"/>
    </w:p>
    <w:tbl>
      <w:tblPr>
        <w:tblW w:w="0" w:type="auto"/>
        <w:tblInd w:w="10" w:type="dxa"/>
        <w:tblCellMar>
          <w:left w:w="70" w:type="dxa"/>
          <w:right w:w="70" w:type="dxa"/>
        </w:tblCellMar>
        <w:tblLook w:val="04A0" w:firstRow="1" w:lastRow="0" w:firstColumn="1" w:lastColumn="0" w:noHBand="0" w:noVBand="1"/>
      </w:tblPr>
      <w:tblGrid>
        <w:gridCol w:w="1190"/>
        <w:gridCol w:w="1241"/>
        <w:gridCol w:w="972"/>
        <w:gridCol w:w="646"/>
        <w:gridCol w:w="751"/>
        <w:gridCol w:w="911"/>
        <w:gridCol w:w="771"/>
        <w:gridCol w:w="1016"/>
        <w:gridCol w:w="1130"/>
      </w:tblGrid>
      <w:tr w:rsidR="008940B3" w:rsidRPr="00211B35" w14:paraId="2C73780C" w14:textId="77777777" w:rsidTr="008940B3">
        <w:trPr>
          <w:trHeight w:val="440"/>
        </w:trPr>
        <w:tc>
          <w:tcPr>
            <w:tcW w:w="1307" w:type="dxa"/>
            <w:tcBorders>
              <w:top w:val="single" w:sz="6" w:space="0" w:color="000000"/>
              <w:left w:val="single" w:sz="6" w:space="0" w:color="000000"/>
              <w:bottom w:val="single" w:sz="6" w:space="0" w:color="000000"/>
              <w:right w:val="single" w:sz="6" w:space="0" w:color="000000"/>
            </w:tcBorders>
            <w:hideMark/>
          </w:tcPr>
          <w:p w14:paraId="6CBDB8A9" w14:textId="77777777" w:rsidR="008940B3" w:rsidRPr="00211B35" w:rsidRDefault="008940B3" w:rsidP="00211B35">
            <w:pPr>
              <w:suppressAutoHyphens/>
              <w:spacing w:line="276" w:lineRule="auto"/>
              <w:rPr>
                <w:sz w:val="18"/>
                <w:szCs w:val="16"/>
              </w:rPr>
            </w:pPr>
          </w:p>
        </w:tc>
        <w:tc>
          <w:tcPr>
            <w:tcW w:w="1122" w:type="dxa"/>
            <w:tcBorders>
              <w:top w:val="single" w:sz="6" w:space="0" w:color="000000"/>
              <w:left w:val="single" w:sz="6" w:space="0" w:color="000000"/>
              <w:bottom w:val="single" w:sz="6" w:space="0" w:color="000000"/>
              <w:right w:val="single" w:sz="6" w:space="0" w:color="000000"/>
            </w:tcBorders>
            <w:hideMark/>
          </w:tcPr>
          <w:p w14:paraId="4562127F" w14:textId="77777777" w:rsidR="008940B3" w:rsidRPr="00211B35" w:rsidRDefault="008940B3" w:rsidP="00211B35">
            <w:pPr>
              <w:suppressAutoHyphens/>
              <w:spacing w:line="276" w:lineRule="auto"/>
              <w:jc w:val="center"/>
              <w:rPr>
                <w:sz w:val="18"/>
                <w:szCs w:val="16"/>
              </w:rPr>
            </w:pPr>
            <w:r w:rsidRPr="00211B35">
              <w:rPr>
                <w:color w:val="000000"/>
                <w:sz w:val="18"/>
                <w:szCs w:val="16"/>
              </w:rPr>
              <w:t>WOODEN BIER/COFFIN</w:t>
            </w:r>
          </w:p>
        </w:tc>
        <w:tc>
          <w:tcPr>
            <w:tcW w:w="1035" w:type="dxa"/>
            <w:tcBorders>
              <w:top w:val="single" w:sz="6" w:space="0" w:color="000000"/>
              <w:left w:val="single" w:sz="6" w:space="0" w:color="000000"/>
              <w:bottom w:val="single" w:sz="6" w:space="0" w:color="000000"/>
              <w:right w:val="single" w:sz="6" w:space="0" w:color="000000"/>
            </w:tcBorders>
            <w:hideMark/>
          </w:tcPr>
          <w:p w14:paraId="5E6C6994" w14:textId="77777777" w:rsidR="008940B3" w:rsidRPr="00211B35" w:rsidRDefault="008940B3" w:rsidP="00211B35">
            <w:pPr>
              <w:suppressAutoHyphens/>
              <w:spacing w:line="276" w:lineRule="auto"/>
              <w:jc w:val="center"/>
              <w:rPr>
                <w:sz w:val="18"/>
                <w:szCs w:val="16"/>
              </w:rPr>
            </w:pPr>
            <w:r w:rsidRPr="00211B35">
              <w:rPr>
                <w:color w:val="000000"/>
                <w:sz w:val="18"/>
                <w:szCs w:val="16"/>
              </w:rPr>
              <w:t>FLOOR</w:t>
            </w:r>
          </w:p>
        </w:tc>
        <w:tc>
          <w:tcPr>
            <w:tcW w:w="708" w:type="dxa"/>
            <w:tcBorders>
              <w:top w:val="single" w:sz="6" w:space="0" w:color="000000"/>
              <w:left w:val="single" w:sz="6" w:space="0" w:color="000000"/>
              <w:bottom w:val="single" w:sz="6" w:space="0" w:color="000000"/>
              <w:right w:val="single" w:sz="6" w:space="0" w:color="000000"/>
            </w:tcBorders>
          </w:tcPr>
          <w:p w14:paraId="001B2BA3" w14:textId="7F6DBB9C" w:rsidR="008940B3" w:rsidRPr="00211B35" w:rsidRDefault="008940B3" w:rsidP="00211B35">
            <w:pPr>
              <w:suppressAutoHyphens/>
              <w:spacing w:line="276" w:lineRule="auto"/>
              <w:jc w:val="center"/>
              <w:rPr>
                <w:color w:val="000000"/>
                <w:sz w:val="18"/>
                <w:szCs w:val="16"/>
              </w:rPr>
            </w:pPr>
            <w:r w:rsidRPr="00211B35">
              <w:rPr>
                <w:color w:val="000000"/>
                <w:sz w:val="18"/>
                <w:szCs w:val="16"/>
              </w:rPr>
              <w:t>PIT</w:t>
            </w:r>
          </w:p>
        </w:tc>
        <w:tc>
          <w:tcPr>
            <w:tcW w:w="709" w:type="dxa"/>
            <w:tcBorders>
              <w:top w:val="single" w:sz="6" w:space="0" w:color="000000"/>
              <w:left w:val="single" w:sz="6" w:space="0" w:color="000000"/>
              <w:bottom w:val="single" w:sz="6" w:space="0" w:color="000000"/>
              <w:right w:val="single" w:sz="6" w:space="0" w:color="000000"/>
            </w:tcBorders>
          </w:tcPr>
          <w:p w14:paraId="2D65A9AA" w14:textId="77777777" w:rsidR="008940B3" w:rsidRPr="00211B35" w:rsidRDefault="008940B3" w:rsidP="00211B35">
            <w:pPr>
              <w:suppressAutoHyphens/>
              <w:spacing w:line="276" w:lineRule="auto"/>
              <w:jc w:val="center"/>
              <w:rPr>
                <w:color w:val="000000"/>
                <w:sz w:val="18"/>
                <w:szCs w:val="16"/>
              </w:rPr>
            </w:pPr>
            <w:r w:rsidRPr="00211B35">
              <w:rPr>
                <w:color w:val="000000"/>
                <w:sz w:val="18"/>
                <w:szCs w:val="16"/>
              </w:rPr>
              <w:t>BENCH</w:t>
            </w:r>
          </w:p>
        </w:tc>
        <w:tc>
          <w:tcPr>
            <w:tcW w:w="906" w:type="dxa"/>
            <w:tcBorders>
              <w:top w:val="single" w:sz="6" w:space="0" w:color="000000"/>
              <w:left w:val="single" w:sz="6" w:space="0" w:color="000000"/>
              <w:bottom w:val="single" w:sz="6" w:space="0" w:color="000000"/>
              <w:right w:val="single" w:sz="6" w:space="0" w:color="000000"/>
            </w:tcBorders>
          </w:tcPr>
          <w:p w14:paraId="302AA0FF" w14:textId="77777777" w:rsidR="008940B3" w:rsidRPr="00211B35" w:rsidRDefault="008940B3" w:rsidP="00211B35">
            <w:pPr>
              <w:suppressAutoHyphens/>
              <w:spacing w:line="276" w:lineRule="auto"/>
              <w:jc w:val="center"/>
              <w:rPr>
                <w:color w:val="000000"/>
                <w:sz w:val="18"/>
                <w:szCs w:val="16"/>
              </w:rPr>
            </w:pPr>
            <w:r w:rsidRPr="00211B35">
              <w:rPr>
                <w:color w:val="000000"/>
                <w:sz w:val="18"/>
                <w:szCs w:val="16"/>
              </w:rPr>
              <w:t>DROMOS</w:t>
            </w:r>
          </w:p>
        </w:tc>
        <w:tc>
          <w:tcPr>
            <w:tcW w:w="701" w:type="dxa"/>
            <w:tcBorders>
              <w:top w:val="single" w:sz="6" w:space="0" w:color="000000"/>
              <w:left w:val="single" w:sz="6" w:space="0" w:color="000000"/>
              <w:bottom w:val="single" w:sz="6" w:space="0" w:color="000000"/>
              <w:right w:val="single" w:sz="6" w:space="0" w:color="000000"/>
            </w:tcBorders>
            <w:hideMark/>
          </w:tcPr>
          <w:p w14:paraId="6E6F2E60" w14:textId="77777777" w:rsidR="008940B3" w:rsidRPr="00211B35" w:rsidRDefault="008940B3" w:rsidP="00211B35">
            <w:pPr>
              <w:suppressAutoHyphens/>
              <w:spacing w:line="276" w:lineRule="auto"/>
              <w:jc w:val="center"/>
              <w:rPr>
                <w:sz w:val="18"/>
                <w:szCs w:val="16"/>
              </w:rPr>
            </w:pPr>
            <w:r w:rsidRPr="00211B35">
              <w:rPr>
                <w:color w:val="000000"/>
                <w:sz w:val="18"/>
                <w:szCs w:val="16"/>
              </w:rPr>
              <w:t>PITHOS</w:t>
            </w:r>
          </w:p>
        </w:tc>
        <w:tc>
          <w:tcPr>
            <w:tcW w:w="1020" w:type="dxa"/>
            <w:tcBorders>
              <w:top w:val="single" w:sz="6" w:space="0" w:color="000000"/>
              <w:left w:val="single" w:sz="6" w:space="0" w:color="000000"/>
              <w:bottom w:val="single" w:sz="6" w:space="0" w:color="000000"/>
              <w:right w:val="single" w:sz="6" w:space="0" w:color="000000"/>
            </w:tcBorders>
          </w:tcPr>
          <w:p w14:paraId="3A530D9D" w14:textId="77777777" w:rsidR="008940B3" w:rsidRPr="00211B35" w:rsidRDefault="008940B3" w:rsidP="00211B35">
            <w:pPr>
              <w:suppressAutoHyphens/>
              <w:spacing w:line="276" w:lineRule="auto"/>
              <w:jc w:val="center"/>
              <w:rPr>
                <w:color w:val="000000"/>
                <w:sz w:val="18"/>
                <w:szCs w:val="16"/>
              </w:rPr>
            </w:pPr>
            <w:r w:rsidRPr="00211B35">
              <w:rPr>
                <w:color w:val="000000"/>
                <w:sz w:val="18"/>
                <w:szCs w:val="16"/>
              </w:rPr>
              <w:t>STAMNOS</w:t>
            </w:r>
          </w:p>
        </w:tc>
        <w:tc>
          <w:tcPr>
            <w:tcW w:w="1020" w:type="dxa"/>
            <w:tcBorders>
              <w:top w:val="single" w:sz="6" w:space="0" w:color="000000"/>
              <w:left w:val="single" w:sz="6" w:space="0" w:color="000000"/>
              <w:bottom w:val="single" w:sz="6" w:space="0" w:color="000000"/>
              <w:right w:val="single" w:sz="6" w:space="0" w:color="000000"/>
            </w:tcBorders>
          </w:tcPr>
          <w:p w14:paraId="1F3E19E0" w14:textId="77777777" w:rsidR="008940B3" w:rsidRPr="00211B35" w:rsidRDefault="008940B3" w:rsidP="00211B35">
            <w:pPr>
              <w:suppressAutoHyphens/>
              <w:spacing w:line="276" w:lineRule="auto"/>
              <w:jc w:val="center"/>
              <w:rPr>
                <w:color w:val="000000"/>
                <w:sz w:val="18"/>
                <w:szCs w:val="16"/>
              </w:rPr>
            </w:pPr>
            <w:r w:rsidRPr="00211B35">
              <w:rPr>
                <w:color w:val="000000"/>
                <w:sz w:val="18"/>
                <w:szCs w:val="16"/>
              </w:rPr>
              <w:t>VASE WITH CREMATED BONES</w:t>
            </w:r>
          </w:p>
        </w:tc>
      </w:tr>
      <w:tr w:rsidR="008940B3" w:rsidRPr="00211B35" w14:paraId="7B8230B9" w14:textId="77777777" w:rsidTr="008940B3">
        <w:tblPrEx>
          <w:tblCellMar>
            <w:left w:w="0" w:type="dxa"/>
            <w:right w:w="0" w:type="dxa"/>
          </w:tblCellMar>
        </w:tblPrEx>
        <w:trPr>
          <w:trHeight w:val="175"/>
        </w:trPr>
        <w:tc>
          <w:tcPr>
            <w:tcW w:w="130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4D13DBF" w14:textId="77777777" w:rsidR="008940B3" w:rsidRPr="00211B35" w:rsidRDefault="008940B3" w:rsidP="00211B35">
            <w:pPr>
              <w:suppressAutoHyphens/>
              <w:spacing w:line="276" w:lineRule="auto"/>
              <w:jc w:val="left"/>
              <w:rPr>
                <w:sz w:val="18"/>
                <w:szCs w:val="16"/>
              </w:rPr>
            </w:pPr>
            <w:r w:rsidRPr="00211B35">
              <w:rPr>
                <w:color w:val="000000"/>
                <w:sz w:val="18"/>
                <w:szCs w:val="16"/>
              </w:rPr>
              <w:t xml:space="preserve">No. OF TOMBS </w:t>
            </w:r>
          </w:p>
        </w:tc>
        <w:tc>
          <w:tcPr>
            <w:tcW w:w="112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A3ABCFA" w14:textId="2FC33BCB" w:rsidR="008940B3" w:rsidRPr="00211B35" w:rsidRDefault="008940B3" w:rsidP="00211B35">
            <w:pPr>
              <w:suppressAutoHyphens/>
              <w:spacing w:line="276" w:lineRule="auto"/>
              <w:jc w:val="center"/>
              <w:rPr>
                <w:sz w:val="18"/>
                <w:szCs w:val="16"/>
              </w:rPr>
            </w:pPr>
            <w:r w:rsidRPr="00211B35">
              <w:rPr>
                <w:sz w:val="18"/>
                <w:szCs w:val="16"/>
              </w:rPr>
              <w:t>1</w:t>
            </w:r>
          </w:p>
        </w:tc>
        <w:tc>
          <w:tcPr>
            <w:tcW w:w="103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A708E93" w14:textId="77777777" w:rsidR="008940B3" w:rsidRPr="00211B35" w:rsidRDefault="008940B3" w:rsidP="00211B35">
            <w:pPr>
              <w:suppressAutoHyphens/>
              <w:spacing w:line="276" w:lineRule="auto"/>
              <w:jc w:val="center"/>
              <w:rPr>
                <w:sz w:val="18"/>
                <w:szCs w:val="16"/>
              </w:rPr>
            </w:pPr>
            <w:r w:rsidRPr="00211B35">
              <w:rPr>
                <w:sz w:val="18"/>
                <w:szCs w:val="16"/>
              </w:rPr>
              <w:t>23</w:t>
            </w:r>
          </w:p>
        </w:tc>
        <w:tc>
          <w:tcPr>
            <w:tcW w:w="708" w:type="dxa"/>
            <w:tcBorders>
              <w:top w:val="single" w:sz="6" w:space="0" w:color="000000"/>
              <w:left w:val="single" w:sz="6" w:space="0" w:color="000000"/>
              <w:bottom w:val="single" w:sz="6" w:space="0" w:color="000000"/>
              <w:right w:val="single" w:sz="6" w:space="0" w:color="000000"/>
            </w:tcBorders>
          </w:tcPr>
          <w:p w14:paraId="5B1A6961" w14:textId="77777777" w:rsidR="008940B3" w:rsidRPr="00211B35" w:rsidRDefault="008940B3" w:rsidP="00211B35">
            <w:pPr>
              <w:suppressAutoHyphens/>
              <w:spacing w:line="276" w:lineRule="auto"/>
              <w:jc w:val="center"/>
              <w:rPr>
                <w:sz w:val="18"/>
                <w:szCs w:val="16"/>
              </w:rPr>
            </w:pPr>
            <w:r w:rsidRPr="00211B35">
              <w:rPr>
                <w:sz w:val="18"/>
                <w:szCs w:val="16"/>
              </w:rPr>
              <w:t>5</w:t>
            </w:r>
          </w:p>
        </w:tc>
        <w:tc>
          <w:tcPr>
            <w:tcW w:w="709" w:type="dxa"/>
            <w:tcBorders>
              <w:top w:val="single" w:sz="6" w:space="0" w:color="000000"/>
              <w:left w:val="single" w:sz="6" w:space="0" w:color="000000"/>
              <w:bottom w:val="single" w:sz="6" w:space="0" w:color="000000"/>
              <w:right w:val="single" w:sz="6" w:space="0" w:color="000000"/>
            </w:tcBorders>
          </w:tcPr>
          <w:p w14:paraId="1F498F1F" w14:textId="6FD9B8C7" w:rsidR="008940B3" w:rsidRPr="00211B35" w:rsidRDefault="008940B3" w:rsidP="00211B35">
            <w:pPr>
              <w:suppressAutoHyphens/>
              <w:spacing w:line="276" w:lineRule="auto"/>
              <w:jc w:val="center"/>
              <w:rPr>
                <w:sz w:val="18"/>
                <w:szCs w:val="16"/>
              </w:rPr>
            </w:pPr>
            <w:r w:rsidRPr="00211B35">
              <w:rPr>
                <w:sz w:val="18"/>
                <w:szCs w:val="16"/>
              </w:rPr>
              <w:t>-</w:t>
            </w:r>
          </w:p>
        </w:tc>
        <w:tc>
          <w:tcPr>
            <w:tcW w:w="906" w:type="dxa"/>
            <w:tcBorders>
              <w:top w:val="single" w:sz="6" w:space="0" w:color="000000"/>
              <w:left w:val="single" w:sz="6" w:space="0" w:color="000000"/>
              <w:bottom w:val="single" w:sz="6" w:space="0" w:color="000000"/>
              <w:right w:val="single" w:sz="6" w:space="0" w:color="000000"/>
            </w:tcBorders>
          </w:tcPr>
          <w:p w14:paraId="64046CC7" w14:textId="0E92A8ED" w:rsidR="008940B3" w:rsidRPr="00211B35" w:rsidRDefault="008940B3" w:rsidP="00211B35">
            <w:pPr>
              <w:suppressAutoHyphens/>
              <w:spacing w:line="276" w:lineRule="auto"/>
              <w:jc w:val="center"/>
              <w:rPr>
                <w:sz w:val="18"/>
                <w:szCs w:val="16"/>
              </w:rPr>
            </w:pPr>
            <w:r w:rsidRPr="00211B35">
              <w:rPr>
                <w:sz w:val="18"/>
                <w:szCs w:val="16"/>
              </w:rPr>
              <w:t>-</w:t>
            </w:r>
          </w:p>
        </w:tc>
        <w:tc>
          <w:tcPr>
            <w:tcW w:w="70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8CE0A4D" w14:textId="2B673EAD" w:rsidR="008940B3" w:rsidRPr="00211B35" w:rsidRDefault="008940B3" w:rsidP="00211B35">
            <w:pPr>
              <w:suppressAutoHyphens/>
              <w:spacing w:line="276" w:lineRule="auto"/>
              <w:jc w:val="center"/>
              <w:rPr>
                <w:sz w:val="18"/>
                <w:szCs w:val="16"/>
              </w:rPr>
            </w:pPr>
            <w:r w:rsidRPr="00211B35">
              <w:rPr>
                <w:sz w:val="18"/>
                <w:szCs w:val="16"/>
              </w:rPr>
              <w:t>-</w:t>
            </w:r>
          </w:p>
        </w:tc>
        <w:tc>
          <w:tcPr>
            <w:tcW w:w="1020" w:type="dxa"/>
            <w:tcBorders>
              <w:top w:val="single" w:sz="6" w:space="0" w:color="000000"/>
              <w:left w:val="single" w:sz="6" w:space="0" w:color="000000"/>
              <w:bottom w:val="single" w:sz="6" w:space="0" w:color="000000"/>
              <w:right w:val="single" w:sz="6" w:space="0" w:color="000000"/>
            </w:tcBorders>
          </w:tcPr>
          <w:p w14:paraId="336DF70D" w14:textId="77777777" w:rsidR="008940B3" w:rsidRPr="00211B35" w:rsidRDefault="008940B3" w:rsidP="00211B35">
            <w:pPr>
              <w:suppressAutoHyphens/>
              <w:spacing w:line="276" w:lineRule="auto"/>
              <w:jc w:val="center"/>
              <w:rPr>
                <w:sz w:val="18"/>
                <w:szCs w:val="16"/>
              </w:rPr>
            </w:pPr>
            <w:r w:rsidRPr="00211B35">
              <w:rPr>
                <w:sz w:val="18"/>
                <w:szCs w:val="16"/>
              </w:rPr>
              <w:t>1</w:t>
            </w:r>
          </w:p>
        </w:tc>
        <w:tc>
          <w:tcPr>
            <w:tcW w:w="1020" w:type="dxa"/>
            <w:tcBorders>
              <w:top w:val="single" w:sz="6" w:space="0" w:color="000000"/>
              <w:left w:val="single" w:sz="6" w:space="0" w:color="000000"/>
              <w:bottom w:val="single" w:sz="6" w:space="0" w:color="000000"/>
              <w:right w:val="single" w:sz="6" w:space="0" w:color="000000"/>
            </w:tcBorders>
          </w:tcPr>
          <w:p w14:paraId="1CAB87B7" w14:textId="77777777" w:rsidR="008940B3" w:rsidRPr="00211B35" w:rsidRDefault="008940B3" w:rsidP="00211B35">
            <w:pPr>
              <w:suppressAutoHyphens/>
              <w:spacing w:line="276" w:lineRule="auto"/>
              <w:jc w:val="center"/>
              <w:rPr>
                <w:sz w:val="18"/>
                <w:szCs w:val="16"/>
              </w:rPr>
            </w:pPr>
            <w:r w:rsidRPr="00211B35">
              <w:rPr>
                <w:sz w:val="18"/>
                <w:szCs w:val="16"/>
              </w:rPr>
              <w:t>-</w:t>
            </w:r>
          </w:p>
        </w:tc>
      </w:tr>
    </w:tbl>
    <w:p w14:paraId="4C9420B8"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sz w:val="22"/>
          <w:szCs w:val="22"/>
          <w:highlight w:val="green"/>
        </w:rPr>
      </w:pPr>
    </w:p>
    <w:p w14:paraId="4635079B" w14:textId="77777777" w:rsidR="00211B35" w:rsidRDefault="00211B35">
      <w:pPr>
        <w:widowControl/>
        <w:spacing w:line="240" w:lineRule="auto"/>
        <w:contextualSpacing w:val="0"/>
        <w:jc w:val="left"/>
        <w:rPr>
          <w:rFonts w:eastAsiaTheme="majorEastAsia" w:cstheme="majorBidi"/>
          <w:b/>
          <w:bCs/>
        </w:rPr>
      </w:pPr>
      <w:bookmarkStart w:id="136" w:name="_Toc389131137"/>
      <w:bookmarkStart w:id="137" w:name="_Toc517876462"/>
      <w:bookmarkStart w:id="138" w:name="_Toc519894611"/>
      <w:r>
        <w:br w:type="page"/>
      </w:r>
    </w:p>
    <w:p w14:paraId="69B801E4" w14:textId="01904DFD" w:rsidR="008940B3" w:rsidRPr="00F808D9" w:rsidRDefault="008940B3" w:rsidP="00E858EF">
      <w:pPr>
        <w:pStyle w:val="Titolo3"/>
        <w:keepNext w:val="0"/>
        <w:keepLines w:val="0"/>
        <w:suppressAutoHyphens/>
      </w:pPr>
      <w:r w:rsidRPr="00E55AD9">
        <w:t>Clay larnakes in no</w:t>
      </w:r>
      <w:r w:rsidR="00295B4C">
        <w:t>n-</w:t>
      </w:r>
      <w:r w:rsidRPr="00E55AD9">
        <w:t>burial context</w:t>
      </w:r>
      <w:bookmarkEnd w:id="136"/>
      <w:r>
        <w:t>s</w:t>
      </w:r>
      <w:bookmarkEnd w:id="137"/>
      <w:bookmarkEnd w:id="138"/>
      <w:r w:rsidRPr="00E55AD9">
        <w:t xml:space="preserve"> </w:t>
      </w:r>
    </w:p>
    <w:p w14:paraId="532D79DE"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sidRPr="003B5C8D">
        <w:rPr>
          <w:color w:val="000000"/>
          <w:sz w:val="22"/>
          <w:szCs w:val="22"/>
        </w:rPr>
        <w:t xml:space="preserve">No larnakes have been found in settlements in the </w:t>
      </w:r>
      <w:r>
        <w:rPr>
          <w:color w:val="000000"/>
          <w:sz w:val="22"/>
          <w:szCs w:val="22"/>
        </w:rPr>
        <w:t>Mid-West</w:t>
      </w:r>
      <w:r w:rsidRPr="003B5C8D">
        <w:rPr>
          <w:color w:val="000000"/>
          <w:sz w:val="22"/>
          <w:szCs w:val="22"/>
        </w:rPr>
        <w:t xml:space="preserve"> area. </w:t>
      </w:r>
    </w:p>
    <w:p w14:paraId="12A92506" w14:textId="77777777" w:rsidR="008940B3" w:rsidRPr="00F808D9" w:rsidRDefault="008940B3" w:rsidP="00E858EF">
      <w:pPr>
        <w:pStyle w:val="Titolo3"/>
        <w:keepNext w:val="0"/>
        <w:keepLines w:val="0"/>
        <w:suppressAutoHyphens/>
      </w:pPr>
      <w:bookmarkStart w:id="139" w:name="_Toc389131138"/>
      <w:bookmarkStart w:id="140" w:name="_Toc517876463"/>
      <w:bookmarkStart w:id="141" w:name="_Toc519894612"/>
      <w:r w:rsidRPr="00E55AD9">
        <w:t>Chronological remarks</w:t>
      </w:r>
      <w:bookmarkEnd w:id="139"/>
      <w:bookmarkEnd w:id="140"/>
      <w:bookmarkEnd w:id="141"/>
      <w:r w:rsidRPr="00E55AD9">
        <w:t xml:space="preserve"> </w:t>
      </w:r>
    </w:p>
    <w:p w14:paraId="7DFE15D1" w14:textId="12D0DEC3" w:rsidR="008940B3" w:rsidRDefault="008940B3" w:rsidP="00211B35">
      <w:r>
        <w:t>Regarding</w:t>
      </w:r>
      <w:r w:rsidRPr="003B5C8D">
        <w:t xml:space="preserve"> </w:t>
      </w:r>
      <w:r w:rsidRPr="003B5C8D">
        <w:rPr>
          <w:b/>
        </w:rPr>
        <w:t>chronological distribution</w:t>
      </w:r>
      <w:r w:rsidRPr="003B5C8D">
        <w:t xml:space="preserve">, the general attribution to LM III of some cemeteries or tombs is </w:t>
      </w:r>
      <w:r>
        <w:t xml:space="preserve">often </w:t>
      </w:r>
      <w:r w:rsidRPr="003B5C8D">
        <w:t xml:space="preserve">due to a lack of information in the publication records of the pottery associated </w:t>
      </w:r>
      <w:r>
        <w:t>with</w:t>
      </w:r>
      <w:r w:rsidRPr="003B5C8D">
        <w:t xml:space="preserve"> the larnax burial</w:t>
      </w:r>
      <w:r>
        <w:t>.</w:t>
      </w:r>
      <w:r w:rsidRPr="003B5C8D">
        <w:t xml:space="preserve"> </w:t>
      </w:r>
      <w:r>
        <w:t>However</w:t>
      </w:r>
      <w:r w:rsidRPr="003B5C8D">
        <w:t xml:space="preserve">, </w:t>
      </w:r>
      <w:r>
        <w:t xml:space="preserve">in </w:t>
      </w:r>
      <w:r w:rsidRPr="003B5C8D">
        <w:t xml:space="preserve">the </w:t>
      </w:r>
      <w:r>
        <w:t>Mid-West</w:t>
      </w:r>
      <w:r w:rsidRPr="003B5C8D">
        <w:t xml:space="preserve"> area </w:t>
      </w:r>
      <w:r>
        <w:t xml:space="preserve">the total percentage of tombs only dated </w:t>
      </w:r>
      <w:r w:rsidR="00224BEA">
        <w:t xml:space="preserve">to </w:t>
      </w:r>
      <w:r>
        <w:t>LM III is 16%. Based on</w:t>
      </w:r>
      <w:r w:rsidRPr="003B5C8D">
        <w:t xml:space="preserve"> the chronological distribution of the remaining 84% of tombs</w:t>
      </w:r>
      <w:r>
        <w:t>,</w:t>
      </w:r>
      <w:r w:rsidRPr="003B5C8D">
        <w:t xml:space="preserve"> it is highly possible that clay</w:t>
      </w:r>
      <w:r>
        <w:t>-</w:t>
      </w:r>
      <w:r w:rsidRPr="003B5C8D">
        <w:t xml:space="preserve">coffin larnax burials </w:t>
      </w:r>
      <w:r>
        <w:t>began</w:t>
      </w:r>
      <w:r w:rsidRPr="003B5C8D">
        <w:t xml:space="preserve"> to be adopted in the area during LM IIIA2 (only one tomb </w:t>
      </w:r>
      <w:r>
        <w:t>is associated with a</w:t>
      </w:r>
      <w:r w:rsidRPr="003B5C8D">
        <w:t xml:space="preserve"> LM IIIA1 phase</w:t>
      </w:r>
      <w:r>
        <w:t>,</w:t>
      </w:r>
      <w:r w:rsidRPr="003B5C8D">
        <w:t xml:space="preserve"> Margarites, although the use of the tomb continues </w:t>
      </w:r>
      <w:r>
        <w:t>until</w:t>
      </w:r>
      <w:r w:rsidRPr="003B5C8D">
        <w:t xml:space="preserve"> LM IIIB, and </w:t>
      </w:r>
      <w:r>
        <w:t>T</w:t>
      </w:r>
      <w:r w:rsidRPr="003B5C8D">
        <w:t xml:space="preserve">omb 104 Armenoi is dated LM IIIA). </w:t>
      </w:r>
      <w:r>
        <w:t>The LM IIIA2 phase contains</w:t>
      </w:r>
      <w:r w:rsidRPr="003B5C8D">
        <w:t xml:space="preserve"> </w:t>
      </w:r>
      <w:r>
        <w:t xml:space="preserve">a </w:t>
      </w:r>
      <w:r w:rsidRPr="003B5C8D">
        <w:t>few tombs scattered in different cemeteries (Choumeri, Dramia, Pankalochori, Pigi, Stravromenos).</w:t>
      </w:r>
      <w:r>
        <w:t xml:space="preserve"> T</w:t>
      </w:r>
      <w:r w:rsidRPr="003B5C8D">
        <w:t xml:space="preserve">he highest number of </w:t>
      </w:r>
      <w:r>
        <w:t xml:space="preserve">attested </w:t>
      </w:r>
      <w:r w:rsidRPr="003B5C8D">
        <w:t>tombs with larnax burial</w:t>
      </w:r>
      <w:r>
        <w:t>s fall within the period LM IIIA2-B and LM IIIB</w:t>
      </w:r>
      <w:r w:rsidRPr="003B5C8D">
        <w:t>. The use of the cemeter</w:t>
      </w:r>
      <w:r>
        <w:t>ies at</w:t>
      </w:r>
      <w:r w:rsidRPr="003B5C8D">
        <w:t xml:space="preserve"> Armenoi, Maroulas and Pigi is attested </w:t>
      </w:r>
      <w:r>
        <w:t>until</w:t>
      </w:r>
      <w:r w:rsidRPr="003B5C8D">
        <w:t xml:space="preserve"> LM IIIB2, which </w:t>
      </w:r>
      <w:r>
        <w:t>was the</w:t>
      </w:r>
      <w:r w:rsidRPr="003B5C8D">
        <w:t xml:space="preserve"> </w:t>
      </w:r>
      <w:r>
        <w:t>final</w:t>
      </w:r>
      <w:r w:rsidRPr="003B5C8D">
        <w:t xml:space="preserve"> phase of use </w:t>
      </w:r>
      <w:r>
        <w:t>for</w:t>
      </w:r>
      <w:r w:rsidRPr="003B5C8D">
        <w:t xml:space="preserve"> larnax burials </w:t>
      </w:r>
      <w:r>
        <w:t>in</w:t>
      </w:r>
      <w:r w:rsidRPr="003B5C8D">
        <w:t xml:space="preserve"> this region.</w:t>
      </w:r>
    </w:p>
    <w:p w14:paraId="1797ED70"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3A7C9491"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148E9219" wp14:editId="3492D339">
            <wp:extent cx="5362575" cy="2638425"/>
            <wp:effectExtent l="0" t="0" r="9525" b="9525"/>
            <wp:docPr id="53" name="Gra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85C3EF7" w14:textId="0B7659D7" w:rsidR="008940B3" w:rsidRDefault="008940B3" w:rsidP="00E858EF">
      <w:pPr>
        <w:pStyle w:val="Didascalia"/>
        <w:suppressAutoHyphens/>
      </w:pPr>
      <w:bookmarkStart w:id="142" w:name="_Toc520212291"/>
      <w:r>
        <w:t>Figure 3-11. Chronological distribution of tombs with larnakes</w:t>
      </w:r>
      <w:r w:rsidR="0081276F">
        <w:t>,</w:t>
      </w:r>
      <w:r>
        <w:t xml:space="preserve"> Mid-West area</w:t>
      </w:r>
      <w:bookmarkEnd w:id="142"/>
    </w:p>
    <w:p w14:paraId="65E85DB9" w14:textId="77777777" w:rsidR="008940B3" w:rsidRPr="00D73073" w:rsidRDefault="008940B3" w:rsidP="00E858EF">
      <w:pPr>
        <w:suppressAutoHyphens/>
      </w:pPr>
    </w:p>
    <w:p w14:paraId="1E6073CD" w14:textId="737FF785" w:rsidR="008940B3" w:rsidRPr="00FB2E4B" w:rsidRDefault="008940B3" w:rsidP="00E858EF">
      <w:pPr>
        <w:pStyle w:val="Titolo3"/>
        <w:keepNext w:val="0"/>
        <w:keepLines w:val="0"/>
        <w:suppressAutoHyphens/>
      </w:pPr>
      <w:bookmarkStart w:id="143" w:name="_Toc389131139"/>
      <w:bookmarkStart w:id="144" w:name="_Toc517876464"/>
      <w:bookmarkStart w:id="145" w:name="_Toc519894613"/>
      <w:r w:rsidRPr="005C16F5">
        <w:t>Conclusions</w:t>
      </w:r>
      <w:r w:rsidR="00211B35">
        <w:t>,</w:t>
      </w:r>
      <w:r w:rsidRPr="00EE5584">
        <w:t xml:space="preserve"> </w:t>
      </w:r>
      <w:r>
        <w:t>Mid-West</w:t>
      </w:r>
      <w:r w:rsidRPr="00E60302">
        <w:t xml:space="preserve"> area</w:t>
      </w:r>
      <w:bookmarkEnd w:id="143"/>
      <w:bookmarkEnd w:id="144"/>
      <w:bookmarkEnd w:id="145"/>
      <w:r w:rsidRPr="00E60302">
        <w:t xml:space="preserve"> </w:t>
      </w:r>
    </w:p>
    <w:p w14:paraId="4996CDA3" w14:textId="2E681758" w:rsidR="008940B3" w:rsidRPr="00715077" w:rsidRDefault="008940B3" w:rsidP="00715077">
      <w:pPr>
        <w:rPr>
          <w:color w:val="000000"/>
        </w:rPr>
      </w:pPr>
      <w:r w:rsidRPr="003B5C8D">
        <w:t>Summari</w:t>
      </w:r>
      <w:r>
        <w:t>s</w:t>
      </w:r>
      <w:r w:rsidRPr="003B5C8D">
        <w:t>ing all the results</w:t>
      </w:r>
      <w:r>
        <w:t>,</w:t>
      </w:r>
      <w:r w:rsidRPr="003B5C8D">
        <w:t xml:space="preserve"> larna</w:t>
      </w:r>
      <w:r>
        <w:t>x</w:t>
      </w:r>
      <w:r w:rsidRPr="003B5C8D">
        <w:t xml:space="preserve"> burials are the most </w:t>
      </w:r>
      <w:r>
        <w:t xml:space="preserve">spread interment type, adopted in 75% </w:t>
      </w:r>
      <w:r w:rsidRPr="003B5C8D">
        <w:t xml:space="preserve">of the burial locations in the </w:t>
      </w:r>
      <w:r>
        <w:t>Mid-West</w:t>
      </w:r>
      <w:r w:rsidRPr="003B5C8D">
        <w:t xml:space="preserve"> area. However, th</w:t>
      </w:r>
      <w:r>
        <w:t>e</w:t>
      </w:r>
      <w:r w:rsidRPr="003B5C8D">
        <w:t xml:space="preserve"> data change if we </w:t>
      </w:r>
      <w:r>
        <w:t>consider</w:t>
      </w:r>
      <w:r w:rsidRPr="003B5C8D">
        <w:t xml:space="preserve"> the number of tombs in which clay larnax burials have been found, because Armenoi cemetery alone include</w:t>
      </w:r>
      <w:r>
        <w:t>s</w:t>
      </w:r>
      <w:r w:rsidRPr="003B5C8D">
        <w:t xml:space="preserve"> 83% of </w:t>
      </w:r>
      <w:r>
        <w:t xml:space="preserve">the </w:t>
      </w:r>
      <w:r w:rsidRPr="003B5C8D">
        <w:t>tombs</w:t>
      </w:r>
      <w:r>
        <w:t xml:space="preserve"> found</w:t>
      </w:r>
      <w:r w:rsidRPr="003B5C8D">
        <w:t xml:space="preserve"> in the entire area, and clay coffin</w:t>
      </w:r>
      <w:r>
        <w:t>s</w:t>
      </w:r>
      <w:r w:rsidRPr="003B5C8D">
        <w:t xml:space="preserve"> in this cemetery have been found on</w:t>
      </w:r>
      <w:r>
        <w:t>ly in</w:t>
      </w:r>
      <w:r w:rsidRPr="003B5C8D">
        <w:t xml:space="preserve"> a low percentage of tombs (8%).  </w:t>
      </w:r>
      <w:r>
        <w:t>Therefore considering the occurrence of larnakes in number of tombs in the Mid-West region larnakes are attested in 21% of the secure tombs (see: Figure 3-6).</w:t>
      </w:r>
      <w:r w:rsidR="00224BEA" w:rsidRPr="00715077">
        <w:rPr>
          <w:color w:val="000000"/>
        </w:rPr>
        <w:t xml:space="preserve"> </w:t>
      </w:r>
      <w:r w:rsidRPr="00715077">
        <w:rPr>
          <w:color w:val="000000"/>
        </w:rPr>
        <w:t xml:space="preserve">None of the cemeteries in this area contain previously built or reused tombs. </w:t>
      </w:r>
    </w:p>
    <w:p w14:paraId="395BB843" w14:textId="77777777" w:rsidR="008940B3" w:rsidRPr="003B5C8D" w:rsidRDefault="008940B3" w:rsidP="00211B35">
      <w:r>
        <w:tab/>
        <w:t>Regarding tomb type</w:t>
      </w:r>
      <w:r w:rsidRPr="003B5C8D">
        <w:t>s</w:t>
      </w:r>
      <w:r>
        <w:t>,</w:t>
      </w:r>
      <w:r w:rsidRPr="003B5C8D">
        <w:t xml:space="preserve"> larnakes in the </w:t>
      </w:r>
      <w:r>
        <w:t>Mid-West</w:t>
      </w:r>
      <w:r w:rsidRPr="003B5C8D">
        <w:t xml:space="preserve"> </w:t>
      </w:r>
      <w:r>
        <w:t>are</w:t>
      </w:r>
      <w:r w:rsidRPr="003B5C8D">
        <w:t xml:space="preserve"> associated almost exclusively with chamber tombs</w:t>
      </w:r>
      <w:r>
        <w:t>.</w:t>
      </w:r>
      <w:r w:rsidRPr="003B5C8D">
        <w:t xml:space="preserve"> </w:t>
      </w:r>
      <w:r>
        <w:t>O</w:t>
      </w:r>
      <w:r w:rsidRPr="003B5C8D">
        <w:t>nly on</w:t>
      </w:r>
      <w:r>
        <w:t>e larnax is associated</w:t>
      </w:r>
      <w:r w:rsidRPr="003B5C8D">
        <w:t xml:space="preserve"> with</w:t>
      </w:r>
      <w:r>
        <w:t xml:space="preserve"> a</w:t>
      </w:r>
      <w:r w:rsidRPr="003B5C8D">
        <w:t xml:space="preserve"> corbel</w:t>
      </w:r>
      <w:r>
        <w:t>-</w:t>
      </w:r>
      <w:r w:rsidRPr="003B5C8D">
        <w:t>vaulted tomb (Margarites)</w:t>
      </w:r>
      <w:r>
        <w:t>,</w:t>
      </w:r>
      <w:r w:rsidRPr="003B5C8D">
        <w:t xml:space="preserve"> and </w:t>
      </w:r>
      <w:r>
        <w:t>there is one</w:t>
      </w:r>
      <w:r w:rsidRPr="003B5C8D">
        <w:t xml:space="preserve"> simple larnax burial in only one cemetery (Voliones). </w:t>
      </w:r>
    </w:p>
    <w:p w14:paraId="0EB8B836" w14:textId="77777777" w:rsidR="008940B3" w:rsidRDefault="008940B3" w:rsidP="00211B35">
      <w:r>
        <w:tab/>
        <w:t>Regarding</w:t>
      </w:r>
      <w:r w:rsidRPr="003B5C8D">
        <w:t xml:space="preserve"> the size and monumentality of the tombs</w:t>
      </w:r>
      <w:r>
        <w:t>,</w:t>
      </w:r>
      <w:r w:rsidRPr="003B5C8D">
        <w:t xml:space="preserve"> even if the most common</w:t>
      </w:r>
      <w:r>
        <w:t xml:space="preserve"> type</w:t>
      </w:r>
      <w:r w:rsidRPr="003B5C8D">
        <w:t xml:space="preserve"> </w:t>
      </w:r>
      <w:r>
        <w:t xml:space="preserve">is chamber </w:t>
      </w:r>
      <w:r w:rsidRPr="003B5C8D">
        <w:t xml:space="preserve">tombs of small dimensions, in this area </w:t>
      </w:r>
      <w:r>
        <w:t>there are large and extra-large tombs also</w:t>
      </w:r>
      <w:r w:rsidRPr="003B5C8D">
        <w:t xml:space="preserve">. Furthermore, there is a high </w:t>
      </w:r>
      <w:r>
        <w:t>occur</w:t>
      </w:r>
      <w:r w:rsidRPr="003B5C8D">
        <w:t>r</w:t>
      </w:r>
      <w:r>
        <w:t>ence of monumental features, and both features (occurrence of large and extra-large tombs and tomb monumentality) are particularly concentrated in the Armenoi cemetery</w:t>
      </w:r>
      <w:r w:rsidRPr="003B5C8D">
        <w:t>.</w:t>
      </w:r>
    </w:p>
    <w:p w14:paraId="5F7FA93C" w14:textId="77777777" w:rsidR="008940B3" w:rsidRPr="00921DFA" w:rsidRDefault="008940B3" w:rsidP="00211B35">
      <w:r>
        <w:tab/>
      </w:r>
      <w:r w:rsidRPr="00921DFA">
        <w:t xml:space="preserve">Generally, the space of the chamber in </w:t>
      </w:r>
      <w:r>
        <w:t>Mid-West region tombs was not</w:t>
      </w:r>
      <w:r w:rsidRPr="00921DFA">
        <w:t xml:space="preserve"> filled with larnakes, but a reasonable space was reserved for each coffin. These data do present a few exceptions, as in the case of the tomb at Angeliana Tsouknis (10 larnakes, although the dimension of the chamber is not reported) and the tomb at Pigi Grambela (seven larnakes in 4.5 </w:t>
      </w:r>
      <w:r>
        <w:t>sq.m.</w:t>
      </w:r>
      <w:r w:rsidRPr="00921DFA">
        <w:t xml:space="preserve">). </w:t>
      </w:r>
    </w:p>
    <w:p w14:paraId="3F8C56C9" w14:textId="227680F5" w:rsidR="008940B3" w:rsidRPr="003B5C8D" w:rsidRDefault="008940B3" w:rsidP="00211B35">
      <w:r>
        <w:tab/>
        <w:t>Regarding</w:t>
      </w:r>
      <w:r w:rsidRPr="003B5C8D">
        <w:t xml:space="preserve"> the other type</w:t>
      </w:r>
      <w:r>
        <w:t>s</w:t>
      </w:r>
      <w:r w:rsidRPr="003B5C8D">
        <w:t xml:space="preserve"> of </w:t>
      </w:r>
      <w:r>
        <w:t>interment</w:t>
      </w:r>
      <w:r w:rsidRPr="003B5C8D">
        <w:t xml:space="preserve"> associated with larnakes</w:t>
      </w:r>
      <w:r>
        <w:t>,</w:t>
      </w:r>
      <w:r w:rsidRPr="003B5C8D">
        <w:t xml:space="preserve"> other coffin types have been found together with </w:t>
      </w:r>
      <w:r>
        <w:t xml:space="preserve">a </w:t>
      </w:r>
      <w:r w:rsidRPr="003B5C8D">
        <w:t>clay larnax only in one tomb at Armenoi. In all the other cases</w:t>
      </w:r>
      <w:r>
        <w:t>,</w:t>
      </w:r>
      <w:r w:rsidRPr="003B5C8D">
        <w:t xml:space="preserve"> depositions on the floor, in </w:t>
      </w:r>
      <w:r>
        <w:t xml:space="preserve">a </w:t>
      </w:r>
      <w:r w:rsidRPr="003B5C8D">
        <w:t>pit/niche</w:t>
      </w:r>
      <w:r>
        <w:t>,</w:t>
      </w:r>
      <w:r w:rsidRPr="003B5C8D">
        <w:t xml:space="preserve"> or </w:t>
      </w:r>
      <w:r>
        <w:t>o</w:t>
      </w:r>
      <w:r w:rsidRPr="003B5C8D">
        <w:t xml:space="preserve">n benches </w:t>
      </w:r>
      <w:r>
        <w:t>are</w:t>
      </w:r>
      <w:r w:rsidRPr="003B5C8D">
        <w:t xml:space="preserve"> associated with larnakes in the same tomb. It is possible that parts of th</w:t>
      </w:r>
      <w:r>
        <w:t>ese depositions a</w:t>
      </w:r>
      <w:r w:rsidRPr="003B5C8D">
        <w:t xml:space="preserve">re secondary burial </w:t>
      </w:r>
      <w:r>
        <w:t>interment</w:t>
      </w:r>
      <w:r w:rsidRPr="003B5C8D">
        <w:t>s taken from the larnax to make space for the most recent</w:t>
      </w:r>
      <w:r>
        <w:t>ly</w:t>
      </w:r>
      <w:r w:rsidRPr="003B5C8D">
        <w:t xml:space="preserve"> deceased</w:t>
      </w:r>
      <w:r>
        <w:t>,</w:t>
      </w:r>
      <w:r w:rsidRPr="003B5C8D">
        <w:t xml:space="preserve"> and usually stored under the larnax (</w:t>
      </w:r>
      <w:r>
        <w:t>e.g.</w:t>
      </w:r>
      <w:r w:rsidRPr="003B5C8D">
        <w:t xml:space="preserve"> Melidoni Karamaliki 2006). </w:t>
      </w:r>
      <w:r>
        <w:t>Pithoi have not been found in association with larnakes in the same tomb, but they can occur in the same cemetery, as in the case of Maroulas (Papadopoulou 2017: 133, 140).</w:t>
      </w:r>
      <w:r>
        <w:tab/>
      </w:r>
      <w:r w:rsidR="00211B35">
        <w:t>A f</w:t>
      </w:r>
      <w:r w:rsidRPr="008310EF">
        <w:t xml:space="preserve">ew other comments can be added regarding </w:t>
      </w:r>
      <w:r>
        <w:t xml:space="preserve">the </w:t>
      </w:r>
      <w:r w:rsidRPr="008310EF">
        <w:t>Armenoi cemetery. This necropolis is the largest known cemetery on Crete from the LM III period (Preston 2000; Langohr 2009: 144; Tzedakis</w:t>
      </w:r>
      <w:r>
        <w:t xml:space="preserve"> and</w:t>
      </w:r>
      <w:r w:rsidRPr="008310EF">
        <w:t xml:space="preserve"> Martlew 2012). From an overview of the data available, the construction of the cemetery </w:t>
      </w:r>
      <w:r>
        <w:t>started (at lea</w:t>
      </w:r>
      <w:r w:rsidRPr="003B5C8D">
        <w:t xml:space="preserve">st the first phase of </w:t>
      </w:r>
      <w:r>
        <w:t xml:space="preserve">its </w:t>
      </w:r>
      <w:r w:rsidRPr="003B5C8D">
        <w:t>construction</w:t>
      </w:r>
      <w:r>
        <w:t>) in</w:t>
      </w:r>
      <w:r w:rsidRPr="003B5C8D">
        <w:t xml:space="preserve"> LM IIIA (</w:t>
      </w:r>
      <w:r>
        <w:t xml:space="preserve">Tzedakis and Martlew 2012: 242; for </w:t>
      </w:r>
      <w:r w:rsidRPr="003B5C8D">
        <w:t>circulation/movement of the people</w:t>
      </w:r>
      <w:r>
        <w:t xml:space="preserve"> cf.: Tzedakis at al. </w:t>
      </w:r>
      <w:r w:rsidRPr="003B5C8D">
        <w:t>1989: 57; Godart and Tzedakis 1994: 64-65; Godart and Tzedakis 1992: CXVII: 1;</w:t>
      </w:r>
      <w:r>
        <w:t xml:space="preserve"> for the</w:t>
      </w:r>
      <w:r w:rsidRPr="003B5C8D">
        <w:t xml:space="preserve"> presence of common pit</w:t>
      </w:r>
      <w:r>
        <w:t>s</w:t>
      </w:r>
      <w:r w:rsidRPr="003B5C8D">
        <w:t xml:space="preserve"> in different location</w:t>
      </w:r>
      <w:r>
        <w:t>s</w:t>
      </w:r>
      <w:r w:rsidRPr="003B5C8D">
        <w:t xml:space="preserve"> of the cemetery</w:t>
      </w:r>
      <w:r>
        <w:t xml:space="preserve"> see:</w:t>
      </w:r>
      <w:r w:rsidRPr="003B5C8D">
        <w:t xml:space="preserve"> Tzedakis</w:t>
      </w:r>
      <w:r>
        <w:t xml:space="preserve"> and</w:t>
      </w:r>
      <w:r w:rsidRPr="003B5C8D">
        <w:t xml:space="preserve"> Martlew 1999: 175).</w:t>
      </w:r>
      <w:r w:rsidRPr="008310EF">
        <w:t xml:space="preserve"> However, during LM IIIB2, when the necropolis was still in use, new tombs were built. Perhaps due to geological problems, or perhaps because of a lack of resources, in this later phase it was possible only to insert smaller tombs between the larger ones. Thus, the cemetery was enlarged from within, occupying the same area and using the space left between the larger tombs on the upper level of the hill (Tzedakis</w:t>
      </w:r>
      <w:r>
        <w:t xml:space="preserve"> and</w:t>
      </w:r>
      <w:r w:rsidRPr="008310EF">
        <w:t xml:space="preserve"> Martlew 2012). </w:t>
      </w:r>
      <w:r w:rsidRPr="003B5C8D">
        <w:t>The presence of common pits as well as deposit</w:t>
      </w:r>
      <w:r>
        <w:t>s</w:t>
      </w:r>
      <w:r w:rsidRPr="003B5C8D">
        <w:t xml:space="preserve"> in some dromoi with residue of food consumption in tripod</w:t>
      </w:r>
      <w:r>
        <w:t>s</w:t>
      </w:r>
      <w:r w:rsidRPr="003B5C8D">
        <w:t xml:space="preserve"> and</w:t>
      </w:r>
      <w:r>
        <w:t xml:space="preserve"> kylikes</w:t>
      </w:r>
      <w:r w:rsidRPr="003B5C8D">
        <w:t xml:space="preserve"> </w:t>
      </w:r>
      <w:r>
        <w:t xml:space="preserve">present </w:t>
      </w:r>
      <w:r w:rsidRPr="003B5C8D">
        <w:t xml:space="preserve">evidence </w:t>
      </w:r>
      <w:r>
        <w:t xml:space="preserve">of </w:t>
      </w:r>
      <w:r w:rsidRPr="003B5C8D">
        <w:t xml:space="preserve">feasting activities connected with the burials (Langohr 2009: 144; Tzedakis </w:t>
      </w:r>
      <w:r>
        <w:t xml:space="preserve">and </w:t>
      </w:r>
      <w:r w:rsidRPr="003B5C8D">
        <w:t>Martlew 2012).</w:t>
      </w:r>
    </w:p>
    <w:p w14:paraId="05EA3DC1" w14:textId="77777777" w:rsidR="008940B3" w:rsidRPr="003B5C8D" w:rsidRDefault="008940B3" w:rsidP="00211B35">
      <w:r>
        <w:tab/>
      </w:r>
      <w:r w:rsidRPr="003B5C8D">
        <w:t xml:space="preserve">The monumentality of the cemetery is expressed not only through its extension, planned </w:t>
      </w:r>
      <w:r>
        <w:t>construction</w:t>
      </w:r>
      <w:r w:rsidRPr="003B5C8D">
        <w:t xml:space="preserve">, </w:t>
      </w:r>
      <w:r>
        <w:t xml:space="preserve">the </w:t>
      </w:r>
      <w:r w:rsidRPr="003B5C8D">
        <w:t>presence of tombs with very large chamber</w:t>
      </w:r>
      <w:r>
        <w:t>s</w:t>
      </w:r>
      <w:r w:rsidRPr="003B5C8D">
        <w:t xml:space="preserve"> and long</w:t>
      </w:r>
      <w:r>
        <w:t>,</w:t>
      </w:r>
      <w:r w:rsidRPr="003B5C8D">
        <w:t xml:space="preserve"> stepped dromo</w:t>
      </w:r>
      <w:r>
        <w:t>i</w:t>
      </w:r>
      <w:r w:rsidRPr="003B5C8D">
        <w:t>, but also through other monumental features</w:t>
      </w:r>
      <w:r>
        <w:t>, such as</w:t>
      </w:r>
      <w:r w:rsidRPr="003B5C8D">
        <w:t xml:space="preserve"> pillar</w:t>
      </w:r>
      <w:r>
        <w:t>s</w:t>
      </w:r>
      <w:r w:rsidRPr="003B5C8D">
        <w:t xml:space="preserve">, benches and carved stelai. It seems that all these monumental elements </w:t>
      </w:r>
      <w:r>
        <w:t>occur</w:t>
      </w:r>
      <w:r w:rsidRPr="003B5C8D">
        <w:t xml:space="preserve"> in </w:t>
      </w:r>
      <w:r>
        <w:t>large</w:t>
      </w:r>
      <w:r w:rsidRPr="003B5C8D">
        <w:t xml:space="preserve"> or </w:t>
      </w:r>
      <w:r>
        <w:t>extra-large</w:t>
      </w:r>
      <w:r w:rsidRPr="003B5C8D">
        <w:t xml:space="preserve"> tombs. However, the only corbel</w:t>
      </w:r>
      <w:r>
        <w:t>-</w:t>
      </w:r>
      <w:r w:rsidRPr="003B5C8D">
        <w:t>vaulted tomb built in the cemetery is relatively small (</w:t>
      </w:r>
      <w:r>
        <w:t>T</w:t>
      </w:r>
      <w:r w:rsidRPr="003B5C8D">
        <w:t>omb 200) in comparison with other chamber tomb</w:t>
      </w:r>
      <w:r>
        <w:t>s</w:t>
      </w:r>
      <w:r w:rsidRPr="003B5C8D">
        <w:t xml:space="preserve"> in the cemetery (Papadopoulou 1997: 338-339).</w:t>
      </w:r>
    </w:p>
    <w:p w14:paraId="064FDBB3" w14:textId="77777777" w:rsidR="008940B3" w:rsidRPr="003B5C8D" w:rsidRDefault="008940B3" w:rsidP="00211B35">
      <w:r>
        <w:tab/>
        <w:t>Regarding</w:t>
      </w:r>
      <w:r w:rsidRPr="003B5C8D">
        <w:t xml:space="preserve"> the number of interments, the vast majority of the tombs at Armenoi </w:t>
      </w:r>
      <w:r>
        <w:t>were</w:t>
      </w:r>
      <w:r w:rsidRPr="003B5C8D">
        <w:t xml:space="preserve"> used more than </w:t>
      </w:r>
      <w:r>
        <w:t xml:space="preserve">once, </w:t>
      </w:r>
      <w:r w:rsidRPr="003B5C8D">
        <w:t>and the number of inhumation</w:t>
      </w:r>
      <w:r>
        <w:t>s in a single</w:t>
      </w:r>
      <w:r w:rsidRPr="003B5C8D">
        <w:t xml:space="preserve"> tomb can reach six individuals. </w:t>
      </w:r>
      <w:r>
        <w:t>Often</w:t>
      </w:r>
      <w:r w:rsidRPr="003B5C8D">
        <w:t xml:space="preserve"> the dead are on the floor </w:t>
      </w:r>
      <w:r>
        <w:t xml:space="preserve">of the chamber which </w:t>
      </w:r>
      <w:r w:rsidRPr="003B5C8D">
        <w:t>sometimes</w:t>
      </w:r>
      <w:r>
        <w:t xml:space="preserve"> is</w:t>
      </w:r>
      <w:r w:rsidRPr="003B5C8D">
        <w:t xml:space="preserve"> paved,</w:t>
      </w:r>
      <w:r>
        <w:t xml:space="preserve"> or in a sort of pit excavated i</w:t>
      </w:r>
      <w:r w:rsidRPr="003B5C8D">
        <w:t xml:space="preserve">n the floor. </w:t>
      </w:r>
      <w:r>
        <w:t>Regarding</w:t>
      </w:r>
      <w:r w:rsidRPr="003B5C8D">
        <w:t xml:space="preserve"> larnakes, they are usually used for </w:t>
      </w:r>
      <w:r>
        <w:t xml:space="preserve">a </w:t>
      </w:r>
      <w:r w:rsidRPr="003B5C8D">
        <w:t xml:space="preserve">single body deposition, except for the larnax in </w:t>
      </w:r>
      <w:r>
        <w:t>T</w:t>
      </w:r>
      <w:r w:rsidRPr="003B5C8D">
        <w:t xml:space="preserve">omb 132, which </w:t>
      </w:r>
      <w:r>
        <w:t>contains</w:t>
      </w:r>
      <w:r w:rsidRPr="003B5C8D">
        <w:t xml:space="preserve"> the body of a man and </w:t>
      </w:r>
      <w:r>
        <w:t xml:space="preserve">the body of a </w:t>
      </w:r>
      <w:r w:rsidRPr="003B5C8D">
        <w:t xml:space="preserve">woman (Tzedakis and Martlew 1999: 232-238, 242-243, 242-243). </w:t>
      </w:r>
    </w:p>
    <w:p w14:paraId="40AC198D" w14:textId="77777777" w:rsidR="008940B3" w:rsidRPr="00FF2B64" w:rsidRDefault="008940B3" w:rsidP="00211B35">
      <w:r>
        <w:tab/>
      </w:r>
      <w:r w:rsidRPr="003B5C8D">
        <w:t xml:space="preserve">In the </w:t>
      </w:r>
      <w:r>
        <w:t>Mid-West</w:t>
      </w:r>
      <w:r w:rsidRPr="003B5C8D">
        <w:t xml:space="preserve"> region, larnax use is attested since</w:t>
      </w:r>
      <w:r>
        <w:t xml:space="preserve"> the beginning of</w:t>
      </w:r>
      <w:r w:rsidRPr="003B5C8D">
        <w:t xml:space="preserve"> LM III, although their number</w:t>
      </w:r>
      <w:r>
        <w:t>s</w:t>
      </w:r>
      <w:r w:rsidRPr="003B5C8D">
        <w:t xml:space="preserve"> increase considerably during LM IIIA2-B. The latest phase of use corresponds to LM IIIB2. No tombs with larnax burial</w:t>
      </w:r>
      <w:r>
        <w:t>s</w:t>
      </w:r>
      <w:r w:rsidRPr="003B5C8D">
        <w:t xml:space="preserve"> </w:t>
      </w:r>
      <w:r>
        <w:t xml:space="preserve">are </w:t>
      </w:r>
      <w:r w:rsidRPr="003B5C8D">
        <w:t>dated to LM IIIC.</w:t>
      </w:r>
    </w:p>
    <w:p w14:paraId="255D008E" w14:textId="77777777" w:rsidR="008940B3" w:rsidRPr="00D6218F" w:rsidRDefault="008940B3" w:rsidP="00E858EF">
      <w:pPr>
        <w:pStyle w:val="Titolo2"/>
        <w:keepNext w:val="0"/>
        <w:keepLines w:val="0"/>
        <w:suppressAutoHyphens/>
      </w:pPr>
      <w:bookmarkStart w:id="146" w:name="_Toc389131140"/>
      <w:bookmarkStart w:id="147" w:name="_Toc517876465"/>
      <w:bookmarkStart w:id="148" w:name="_Toc519894614"/>
      <w:r w:rsidRPr="00D6218F">
        <w:t>Mesara area</w:t>
      </w:r>
      <w:bookmarkEnd w:id="146"/>
      <w:bookmarkEnd w:id="147"/>
      <w:bookmarkEnd w:id="148"/>
    </w:p>
    <w:p w14:paraId="7BEB0240" w14:textId="77777777" w:rsidR="008940B3" w:rsidRPr="000F1336" w:rsidRDefault="008940B3" w:rsidP="00211B35">
      <w:r w:rsidRPr="003B5C8D">
        <w:t>The Mesara plain</w:t>
      </w:r>
      <w:r>
        <w:t>,</w:t>
      </w:r>
      <w:r w:rsidRPr="003B5C8D">
        <w:t xml:space="preserve"> with the surrounding foothills</w:t>
      </w:r>
      <w:r>
        <w:t>,</w:t>
      </w:r>
      <w:r w:rsidRPr="003B5C8D">
        <w:t xml:space="preserve"> </w:t>
      </w:r>
      <w:r>
        <w:t>is</w:t>
      </w:r>
      <w:r w:rsidRPr="003B5C8D">
        <w:t xml:space="preserve"> a distinct region. The northern and eastern borders of this region </w:t>
      </w:r>
      <w:r>
        <w:t xml:space="preserve">were </w:t>
      </w:r>
      <w:r w:rsidRPr="003B5C8D">
        <w:t xml:space="preserve">established </w:t>
      </w:r>
      <w:r>
        <w:t>by the absence of evidence of</w:t>
      </w:r>
      <w:r w:rsidRPr="003B5C8D">
        <w:t xml:space="preserve"> re</w:t>
      </w:r>
      <w:r>
        <w:t>used tholos</w:t>
      </w:r>
      <w:r w:rsidRPr="003B5C8D">
        <w:t xml:space="preserve"> tombs (Preston 2000: 166). The burials located around the village of Apodoulou in the southern part of the Amari valley </w:t>
      </w:r>
      <w:r>
        <w:t>are</w:t>
      </w:r>
      <w:r w:rsidRPr="003B5C8D">
        <w:t xml:space="preserve"> included in this region. The burials are clustered in two groups on the western side of t</w:t>
      </w:r>
      <w:r>
        <w:t>he plain (western Mesara) and in the foothills of Mt.</w:t>
      </w:r>
      <w:r w:rsidRPr="003B5C8D">
        <w:t xml:space="preserve"> Psiloritis. The southern area of the plain </w:t>
      </w:r>
      <w:r>
        <w:t>displays</w:t>
      </w:r>
      <w:r w:rsidRPr="003B5C8D">
        <w:t xml:space="preserve"> </w:t>
      </w:r>
      <w:r>
        <w:t xml:space="preserve">no evidence in </w:t>
      </w:r>
      <w:r w:rsidRPr="003B5C8D">
        <w:t>LM III burials.</w:t>
      </w:r>
    </w:p>
    <w:p w14:paraId="01C25A13" w14:textId="77777777" w:rsidR="008940B3" w:rsidRPr="00FF0659" w:rsidRDefault="008940B3" w:rsidP="00E858EF">
      <w:pPr>
        <w:pStyle w:val="Titolo3"/>
        <w:keepNext w:val="0"/>
        <w:keepLines w:val="0"/>
        <w:suppressAutoHyphens/>
      </w:pPr>
      <w:bookmarkStart w:id="149" w:name="_Toc389131141"/>
      <w:bookmarkStart w:id="150" w:name="_Toc517876466"/>
      <w:bookmarkStart w:id="151" w:name="_Toc519894615"/>
      <w:r w:rsidRPr="00FF0659">
        <w:t>Burial locations and cemeteries</w:t>
      </w:r>
      <w:bookmarkEnd w:id="149"/>
      <w:bookmarkEnd w:id="150"/>
      <w:bookmarkEnd w:id="151"/>
    </w:p>
    <w:p w14:paraId="18063218" w14:textId="77777777" w:rsidR="008940B3" w:rsidRPr="00D57845" w:rsidRDefault="008940B3" w:rsidP="00E858EF">
      <w:pPr>
        <w:pStyle w:val="Titolo4"/>
        <w:keepNext w:val="0"/>
        <w:keepLines w:val="0"/>
        <w:suppressAutoHyphens/>
        <w:ind w:left="864" w:hanging="864"/>
        <w:contextualSpacing w:val="0"/>
      </w:pPr>
      <w:bookmarkStart w:id="152" w:name="_Toc389131142"/>
      <w:bookmarkStart w:id="153" w:name="_Toc517876467"/>
      <w:r w:rsidRPr="00F936AF">
        <w:t>Wh</w:t>
      </w:r>
      <w:r>
        <w:t>at is the proportion of cemeteries with larnakes to</w:t>
      </w:r>
      <w:r w:rsidRPr="00F936AF">
        <w:t xml:space="preserve"> cemeteries without larnakes</w:t>
      </w:r>
      <w:r w:rsidRPr="003B5C8D">
        <w:t>?</w:t>
      </w:r>
      <w:bookmarkEnd w:id="152"/>
      <w:bookmarkEnd w:id="153"/>
    </w:p>
    <w:p w14:paraId="40BC761F" w14:textId="77777777" w:rsidR="008940B3" w:rsidRDefault="008940B3" w:rsidP="00211B35">
      <w:r w:rsidRPr="003B5C8D">
        <w:t>Clay larnax use</w:t>
      </w:r>
      <w:r>
        <w:t xml:space="preserve"> is attested securely for 67</w:t>
      </w:r>
      <w:r w:rsidRPr="003B5C8D">
        <w:t xml:space="preserve">% of the total number of burial locations in use during LM III. </w:t>
      </w:r>
      <w:r>
        <w:t>Among</w:t>
      </w:r>
      <w:r w:rsidRPr="003B5C8D">
        <w:t xml:space="preserve"> the burial locations without larnakes</w:t>
      </w:r>
      <w:r>
        <w:t>,</w:t>
      </w:r>
      <w:r w:rsidRPr="003B5C8D">
        <w:t xml:space="preserve"> the </w:t>
      </w:r>
      <w:r>
        <w:t>largest</w:t>
      </w:r>
      <w:r w:rsidRPr="003B5C8D">
        <w:t xml:space="preserve"> cemeteries are Kalyvia (Savignoni 1904) and Kamares (Taramelli </w:t>
      </w:r>
      <w:r>
        <w:t>1901</w:t>
      </w:r>
      <w:r w:rsidRPr="003B5C8D">
        <w:t xml:space="preserve">). </w:t>
      </w:r>
    </w:p>
    <w:p w14:paraId="190C64F9"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0B8A528B" w14:textId="77777777" w:rsidR="008940B3" w:rsidRDefault="008940B3" w:rsidP="00211B3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2"/>
          <w:szCs w:val="22"/>
        </w:rPr>
      </w:pPr>
      <w:r>
        <w:rPr>
          <w:noProof/>
          <w:lang w:val="it-IT"/>
        </w:rPr>
        <w:drawing>
          <wp:inline distT="0" distB="0" distL="0" distR="0" wp14:anchorId="34ED69AF" wp14:editId="601886DC">
            <wp:extent cx="4680000" cy="2520000"/>
            <wp:effectExtent l="0" t="0" r="6350" b="13970"/>
            <wp:docPr id="15" name="Gra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48D46CE" w14:textId="77777777" w:rsidR="008940B3" w:rsidRPr="003B5C8D" w:rsidRDefault="008940B3" w:rsidP="00422526">
      <w:pPr>
        <w:pStyle w:val="Didascalia"/>
        <w:suppressAutoHyphens/>
      </w:pPr>
      <w:bookmarkStart w:id="154" w:name="_Toc520212292"/>
      <w:r w:rsidRPr="00EA550F">
        <w:t>Figure 3-12. LM III burial locations in the Mesara area</w:t>
      </w:r>
      <w:bookmarkEnd w:id="154"/>
    </w:p>
    <w:p w14:paraId="4AE24266" w14:textId="77777777" w:rsidR="008940B3" w:rsidRDefault="008940B3" w:rsidP="00E858EF">
      <w:pPr>
        <w:pStyle w:val="Didascalia"/>
        <w:suppressAutoHyphens/>
      </w:pPr>
      <w:r w:rsidRPr="003B5C8D">
        <w:t xml:space="preserve"> </w:t>
      </w:r>
    </w:p>
    <w:p w14:paraId="651A1CAB" w14:textId="77777777" w:rsidR="008940B3" w:rsidRDefault="008940B3" w:rsidP="00E858EF">
      <w:pPr>
        <w:pStyle w:val="Didascalia"/>
        <w:suppressAutoHyphens/>
      </w:pPr>
      <w:bookmarkStart w:id="155" w:name="_Toc519814565"/>
      <w:bookmarkStart w:id="156" w:name="_Toc519894752"/>
      <w:bookmarkStart w:id="157" w:name="_Toc520212293"/>
      <w:r>
        <w:rPr>
          <w:noProof/>
          <w:lang w:val="it-IT"/>
        </w:rPr>
        <w:drawing>
          <wp:inline distT="0" distB="0" distL="0" distR="0" wp14:anchorId="6D78156F" wp14:editId="32DB26FB">
            <wp:extent cx="5397500" cy="3816350"/>
            <wp:effectExtent l="0" t="0" r="12700" b="0"/>
            <wp:docPr id="6" name="Immagine 6" descr="Macintosh HD:Users:angela:Desktop:180716_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gela:Desktop:180716_3_M.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7500" cy="3816350"/>
                    </a:xfrm>
                    <a:prstGeom prst="rect">
                      <a:avLst/>
                    </a:prstGeom>
                    <a:noFill/>
                    <a:ln>
                      <a:noFill/>
                    </a:ln>
                  </pic:spPr>
                </pic:pic>
              </a:graphicData>
            </a:graphic>
          </wp:inline>
        </w:drawing>
      </w:r>
      <w:bookmarkEnd w:id="155"/>
      <w:bookmarkEnd w:id="156"/>
      <w:bookmarkEnd w:id="157"/>
    </w:p>
    <w:p w14:paraId="35CAAF41" w14:textId="77777777" w:rsidR="008940B3" w:rsidRDefault="008940B3" w:rsidP="00E858EF">
      <w:pPr>
        <w:pStyle w:val="Didascalia"/>
        <w:suppressAutoHyphens/>
      </w:pPr>
      <w:bookmarkStart w:id="158" w:name="_Toc520212294"/>
      <w:r>
        <w:t>Figure 3-13. Distribution of LMIII Burial locations in the Mesara a</w:t>
      </w:r>
      <w:r w:rsidRPr="00895FF7">
        <w:t>rea</w:t>
      </w:r>
      <w:r>
        <w:t xml:space="preserve"> (Source: Author)</w:t>
      </w:r>
      <w:bookmarkEnd w:id="158"/>
    </w:p>
    <w:p w14:paraId="3BB21001" w14:textId="77777777" w:rsidR="008940B3" w:rsidRPr="00C05334" w:rsidRDefault="008940B3" w:rsidP="00E858EF">
      <w:pPr>
        <w:suppressAutoHyphens/>
      </w:pPr>
    </w:p>
    <w:p w14:paraId="391CC377" w14:textId="6A25BAC0" w:rsidR="008940B3" w:rsidRPr="003B5C8D" w:rsidRDefault="008940B3" w:rsidP="00E858EF">
      <w:pPr>
        <w:pStyle w:val="Testofumetto"/>
        <w:suppressAutoHyphens/>
      </w:pPr>
      <w:bookmarkStart w:id="159" w:name="_Toc520212504"/>
      <w:r>
        <w:t>Table 3-15. LM III burial locations</w:t>
      </w:r>
      <w:r w:rsidR="0081276F">
        <w:t>,</w:t>
      </w:r>
      <w:r>
        <w:t xml:space="preserve"> Mesara area</w:t>
      </w:r>
      <w:r w:rsidR="0081276F">
        <w:t>,</w:t>
      </w:r>
      <w:r>
        <w:t xml:space="preserve"> in detail.</w:t>
      </w:r>
      <w:bookmarkEnd w:id="159"/>
    </w:p>
    <w:tbl>
      <w:tblPr>
        <w:tblW w:w="0" w:type="auto"/>
        <w:tblInd w:w="60" w:type="dxa"/>
        <w:tblCellMar>
          <w:left w:w="0" w:type="dxa"/>
          <w:right w:w="0" w:type="dxa"/>
        </w:tblCellMar>
        <w:tblLook w:val="04A0" w:firstRow="1" w:lastRow="0" w:firstColumn="1" w:lastColumn="0" w:noHBand="0" w:noVBand="1"/>
      </w:tblPr>
      <w:tblGrid>
        <w:gridCol w:w="3686"/>
        <w:gridCol w:w="3101"/>
      </w:tblGrid>
      <w:tr w:rsidR="008940B3" w:rsidRPr="00211B35" w14:paraId="5094AA25" w14:textId="77777777" w:rsidTr="00211B35">
        <w:trPr>
          <w:trHeight w:val="195"/>
        </w:trPr>
        <w:tc>
          <w:tcPr>
            <w:tcW w:w="368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F83828D" w14:textId="77777777" w:rsidR="008940B3" w:rsidRPr="00211B35" w:rsidRDefault="008940B3" w:rsidP="00E858EF">
            <w:pPr>
              <w:suppressAutoHyphens/>
              <w:rPr>
                <w:sz w:val="18"/>
                <w:szCs w:val="16"/>
              </w:rPr>
            </w:pPr>
            <w:r w:rsidRPr="00211B35">
              <w:rPr>
                <w:color w:val="000000"/>
                <w:sz w:val="18"/>
                <w:szCs w:val="16"/>
              </w:rPr>
              <w:t>Burial locations with secure larnax interment</w:t>
            </w:r>
          </w:p>
        </w:tc>
        <w:tc>
          <w:tcPr>
            <w:tcW w:w="310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334184B" w14:textId="77777777" w:rsidR="008940B3" w:rsidRPr="00211B35" w:rsidRDefault="008940B3" w:rsidP="00E858EF">
            <w:pPr>
              <w:suppressAutoHyphens/>
              <w:jc w:val="center"/>
              <w:rPr>
                <w:b/>
                <w:sz w:val="18"/>
                <w:szCs w:val="16"/>
              </w:rPr>
            </w:pPr>
            <w:r w:rsidRPr="00211B35">
              <w:rPr>
                <w:b/>
                <w:color w:val="000000"/>
                <w:sz w:val="18"/>
                <w:szCs w:val="16"/>
              </w:rPr>
              <w:t>22</w:t>
            </w:r>
          </w:p>
        </w:tc>
      </w:tr>
      <w:tr w:rsidR="008940B3" w:rsidRPr="00211B35" w14:paraId="080A0312" w14:textId="77777777" w:rsidTr="00211B35">
        <w:trPr>
          <w:trHeight w:val="195"/>
        </w:trPr>
        <w:tc>
          <w:tcPr>
            <w:tcW w:w="3686"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7250306B" w14:textId="77777777" w:rsidR="008940B3" w:rsidRPr="00211B35" w:rsidRDefault="008940B3" w:rsidP="00E858EF">
            <w:pPr>
              <w:suppressAutoHyphens/>
              <w:rPr>
                <w:sz w:val="18"/>
                <w:szCs w:val="16"/>
              </w:rPr>
            </w:pPr>
            <w:r w:rsidRPr="00211B35">
              <w:rPr>
                <w:color w:val="000000"/>
                <w:sz w:val="18"/>
                <w:szCs w:val="16"/>
              </w:rPr>
              <w:t>Burial locations with possible larnax interment</w:t>
            </w:r>
          </w:p>
        </w:tc>
        <w:tc>
          <w:tcPr>
            <w:tcW w:w="3101"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95E770E" w14:textId="77777777" w:rsidR="008940B3" w:rsidRPr="00211B35" w:rsidRDefault="008940B3" w:rsidP="00E858EF">
            <w:pPr>
              <w:suppressAutoHyphens/>
              <w:jc w:val="center"/>
              <w:rPr>
                <w:sz w:val="18"/>
                <w:szCs w:val="16"/>
              </w:rPr>
            </w:pPr>
            <w:r w:rsidRPr="00211B35">
              <w:rPr>
                <w:color w:val="000000"/>
                <w:sz w:val="18"/>
                <w:szCs w:val="16"/>
              </w:rPr>
              <w:t>7</w:t>
            </w:r>
          </w:p>
        </w:tc>
      </w:tr>
      <w:tr w:rsidR="008940B3" w:rsidRPr="00211B35" w14:paraId="0A151541" w14:textId="77777777" w:rsidTr="00211B35">
        <w:trPr>
          <w:trHeight w:val="195"/>
        </w:trPr>
        <w:tc>
          <w:tcPr>
            <w:tcW w:w="368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32478BF" w14:textId="77777777" w:rsidR="008940B3" w:rsidRPr="00211B35" w:rsidRDefault="008940B3" w:rsidP="00E858EF">
            <w:pPr>
              <w:suppressAutoHyphens/>
              <w:rPr>
                <w:sz w:val="18"/>
                <w:szCs w:val="16"/>
              </w:rPr>
            </w:pPr>
            <w:r w:rsidRPr="00211B35">
              <w:rPr>
                <w:color w:val="000000"/>
                <w:sz w:val="18"/>
                <w:szCs w:val="16"/>
              </w:rPr>
              <w:t>Burial locations without larnakes</w:t>
            </w:r>
          </w:p>
        </w:tc>
        <w:tc>
          <w:tcPr>
            <w:tcW w:w="310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938FB80" w14:textId="77777777" w:rsidR="008940B3" w:rsidRPr="00211B35" w:rsidRDefault="008940B3" w:rsidP="00E858EF">
            <w:pPr>
              <w:suppressAutoHyphens/>
              <w:jc w:val="center"/>
              <w:rPr>
                <w:sz w:val="18"/>
                <w:szCs w:val="16"/>
              </w:rPr>
            </w:pPr>
            <w:r w:rsidRPr="00211B35">
              <w:rPr>
                <w:color w:val="000000"/>
                <w:sz w:val="18"/>
                <w:szCs w:val="16"/>
              </w:rPr>
              <w:t>4</w:t>
            </w:r>
          </w:p>
        </w:tc>
      </w:tr>
    </w:tbl>
    <w:p w14:paraId="65DD081F"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6B8D7F3A" w14:textId="77777777" w:rsidR="008940B3" w:rsidRPr="00204FC7"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204FC7">
        <w:rPr>
          <w:color w:val="000000"/>
          <w:szCs w:val="22"/>
        </w:rPr>
        <w:t xml:space="preserve">Some burial locations can be grouped together in cemeteries: </w:t>
      </w:r>
    </w:p>
    <w:p w14:paraId="2E56B87A" w14:textId="77777777" w:rsidR="008940B3" w:rsidRPr="00204FC7"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204FC7">
        <w:rPr>
          <w:color w:val="000000"/>
          <w:szCs w:val="22"/>
        </w:rPr>
        <w:t xml:space="preserve">Five burial locations around the village of Apodoulou can be considered one cemetery based on tomb orientation, type adopted (only corbel-vaulted tombs) and the structural characteristics of the tombs (e.g. wall thickness, entrance dimension) (Pologeorgi 1987: 125-160; Tzigounaki 1996: 1489-1497) </w:t>
      </w:r>
    </w:p>
    <w:p w14:paraId="4FEFE315" w14:textId="77777777" w:rsidR="008940B3" w:rsidRPr="00204FC7"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204FC7">
        <w:rPr>
          <w:color w:val="000000"/>
          <w:szCs w:val="22"/>
        </w:rPr>
        <w:t xml:space="preserve">Two burial sites northeast and southwest of the Agia Triada villa (Cucuzza 2003) </w:t>
      </w:r>
    </w:p>
    <w:p w14:paraId="40E77066" w14:textId="77777777" w:rsidR="008940B3" w:rsidRPr="00204FC7"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204FC7">
        <w:rPr>
          <w:color w:val="000000"/>
          <w:szCs w:val="22"/>
        </w:rPr>
        <w:t>Two burial sites around the village of Kalochorafitis (Karetsou and Girella 2015)</w:t>
      </w:r>
    </w:p>
    <w:p w14:paraId="09CFD5BF" w14:textId="77777777" w:rsidR="008940B3" w:rsidRPr="00D57845" w:rsidRDefault="008940B3" w:rsidP="00E858EF">
      <w:pPr>
        <w:pStyle w:val="Titolo4"/>
        <w:keepNext w:val="0"/>
        <w:keepLines w:val="0"/>
        <w:suppressAutoHyphens/>
        <w:ind w:left="864" w:hanging="864"/>
        <w:contextualSpacing w:val="0"/>
      </w:pPr>
      <w:bookmarkStart w:id="160" w:name="_Toc389131143"/>
      <w:bookmarkStart w:id="161" w:name="_Toc517876468"/>
      <w:r w:rsidRPr="00C34C56">
        <w:t xml:space="preserve">Are larnakes located in new </w:t>
      </w:r>
      <w:r>
        <w:t xml:space="preserve">built cemeteries </w:t>
      </w:r>
      <w:r w:rsidRPr="00C34C56">
        <w:t>or reused ones?</w:t>
      </w:r>
      <w:bookmarkEnd w:id="160"/>
      <w:bookmarkEnd w:id="161"/>
    </w:p>
    <w:p w14:paraId="0547A7F4" w14:textId="0AC8B820" w:rsidR="008940B3" w:rsidRPr="003B5C8D" w:rsidRDefault="008940B3" w:rsidP="00204FC7">
      <w:r>
        <w:t>Regarding</w:t>
      </w:r>
      <w:r w:rsidRPr="003B5C8D">
        <w:t xml:space="preserve"> continuity and discontinuity in the use of pre-existing burial sites, in the Mesara area EM-MM tholoi</w:t>
      </w:r>
      <w:r w:rsidR="00ED101B">
        <w:t xml:space="preserve"> are re-used during </w:t>
      </w:r>
      <w:r w:rsidR="00715077">
        <w:t xml:space="preserve">the </w:t>
      </w:r>
      <w:r w:rsidR="00ED101B">
        <w:t>LM III period</w:t>
      </w:r>
      <w:r w:rsidR="004B7E9B">
        <w:t xml:space="preserve"> with the deposition of a larnax burial</w:t>
      </w:r>
      <w:r w:rsidRPr="003B5C8D">
        <w:t xml:space="preserve"> (A</w:t>
      </w:r>
      <w:r>
        <w:t>g</w:t>
      </w:r>
      <w:r w:rsidRPr="003B5C8D">
        <w:t xml:space="preserve">ia </w:t>
      </w:r>
      <w:r>
        <w:t>Triada Tholos B</w:t>
      </w:r>
      <w:r w:rsidR="00224BEA">
        <w:t xml:space="preserve"> and</w:t>
      </w:r>
      <w:r>
        <w:t xml:space="preserve"> Kamilari). There are possibly more sites</w:t>
      </w:r>
      <w:r w:rsidR="002735B2">
        <w:t xml:space="preserve"> where this practice could be attested</w:t>
      </w:r>
      <w:r>
        <w:t xml:space="preserve"> if we consider possible larnax burials reported from the area near Apesokari, the tholos at Drakones and Tholos D and Agia Irini. Generally, to this number we must add the northeast burial location of the two belonging to the Agia Triada site, which was already in use in the previous period (two tholoi and </w:t>
      </w:r>
      <w:r w:rsidRPr="00BB3F7B">
        <w:rPr>
          <w:i/>
        </w:rPr>
        <w:t>la tomba degli ori</w:t>
      </w:r>
      <w:r>
        <w:t xml:space="preserve">); furthermore, the larnax burial found at Alesandraki was located in an area used already during the MM period for burials and continuously in use until the Hellenistic </w:t>
      </w:r>
      <w:r w:rsidRPr="00D05749">
        <w:t>period (</w:t>
      </w:r>
      <w:r w:rsidRPr="009E4520">
        <w:rPr>
          <w:i/>
          <w:iCs/>
        </w:rPr>
        <w:t>AR</w:t>
      </w:r>
      <w:r>
        <w:rPr>
          <w:iCs/>
        </w:rPr>
        <w:t xml:space="preserve"> 1996: </w:t>
      </w:r>
      <w:r w:rsidRPr="00D05749">
        <w:rPr>
          <w:iCs/>
        </w:rPr>
        <w:t>44</w:t>
      </w:r>
      <w:r>
        <w:rPr>
          <w:iCs/>
        </w:rPr>
        <w:t>).</w:t>
      </w:r>
    </w:p>
    <w:p w14:paraId="2902EB86"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0"/>
        <w:rPr>
          <w:color w:val="000000"/>
          <w:sz w:val="22"/>
          <w:szCs w:val="22"/>
        </w:rPr>
      </w:pPr>
    </w:p>
    <w:p w14:paraId="701229C6" w14:textId="194428DC" w:rsidR="008940B3" w:rsidRPr="003B5C8D" w:rsidRDefault="008940B3" w:rsidP="00E858EF">
      <w:pPr>
        <w:pStyle w:val="Testofumetto"/>
        <w:suppressAutoHyphens/>
      </w:pPr>
      <w:bookmarkStart w:id="162" w:name="_Toc520212505"/>
      <w:r>
        <w:t>Table 3-16. Percentage of pre-existing cemeteries reused in LM III with larnax burials</w:t>
      </w:r>
      <w:r w:rsidR="00FB677B">
        <w:t>,</w:t>
      </w:r>
      <w:r>
        <w:t xml:space="preserve"> Mesara area</w:t>
      </w:r>
      <w:bookmarkEnd w:id="162"/>
    </w:p>
    <w:tbl>
      <w:tblPr>
        <w:tblW w:w="0" w:type="auto"/>
        <w:tblInd w:w="60" w:type="dxa"/>
        <w:tblCellMar>
          <w:left w:w="0" w:type="dxa"/>
          <w:right w:w="0" w:type="dxa"/>
        </w:tblCellMar>
        <w:tblLook w:val="04A0" w:firstRow="1" w:lastRow="0" w:firstColumn="1" w:lastColumn="0" w:noHBand="0" w:noVBand="1"/>
      </w:tblPr>
      <w:tblGrid>
        <w:gridCol w:w="3189"/>
        <w:gridCol w:w="3190"/>
      </w:tblGrid>
      <w:tr w:rsidR="008940B3" w:rsidRPr="00204FC7" w14:paraId="4E891659" w14:textId="77777777" w:rsidTr="0024325B">
        <w:trPr>
          <w:trHeight w:val="195"/>
        </w:trPr>
        <w:tc>
          <w:tcPr>
            <w:tcW w:w="318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3D996AE" w14:textId="77777777" w:rsidR="008940B3" w:rsidRPr="00204FC7" w:rsidRDefault="008940B3" w:rsidP="00E858EF">
            <w:pPr>
              <w:suppressAutoHyphens/>
              <w:ind w:left="360" w:hanging="278"/>
              <w:jc w:val="left"/>
              <w:rPr>
                <w:sz w:val="20"/>
                <w:szCs w:val="16"/>
              </w:rPr>
            </w:pPr>
            <w:r w:rsidRPr="00204FC7">
              <w:rPr>
                <w:color w:val="000000"/>
                <w:sz w:val="20"/>
                <w:szCs w:val="16"/>
              </w:rPr>
              <w:t>LM III cemeteries</w:t>
            </w:r>
          </w:p>
        </w:tc>
        <w:tc>
          <w:tcPr>
            <w:tcW w:w="319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D764D87" w14:textId="77777777" w:rsidR="008940B3" w:rsidRPr="00204FC7" w:rsidRDefault="008940B3" w:rsidP="00E858EF">
            <w:pPr>
              <w:suppressAutoHyphens/>
              <w:jc w:val="center"/>
              <w:rPr>
                <w:sz w:val="20"/>
                <w:szCs w:val="16"/>
              </w:rPr>
            </w:pPr>
            <w:r w:rsidRPr="00204FC7">
              <w:rPr>
                <w:sz w:val="20"/>
                <w:szCs w:val="16"/>
              </w:rPr>
              <w:t>12 (75%)</w:t>
            </w:r>
          </w:p>
        </w:tc>
      </w:tr>
      <w:tr w:rsidR="008940B3" w:rsidRPr="00204FC7" w14:paraId="6FA87813" w14:textId="77777777" w:rsidTr="0024325B">
        <w:trPr>
          <w:trHeight w:val="195"/>
        </w:trPr>
        <w:tc>
          <w:tcPr>
            <w:tcW w:w="3189"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tcPr>
          <w:p w14:paraId="7C2B3A28" w14:textId="77777777" w:rsidR="008940B3" w:rsidRPr="00204FC7" w:rsidRDefault="008940B3" w:rsidP="00E858EF">
            <w:pPr>
              <w:suppressAutoHyphens/>
              <w:ind w:left="360" w:hanging="278"/>
              <w:jc w:val="left"/>
              <w:rPr>
                <w:color w:val="000000"/>
                <w:sz w:val="20"/>
                <w:szCs w:val="16"/>
              </w:rPr>
            </w:pPr>
            <w:r w:rsidRPr="00204FC7">
              <w:rPr>
                <w:color w:val="000000"/>
                <w:sz w:val="20"/>
                <w:szCs w:val="16"/>
              </w:rPr>
              <w:t>MM cemeteries reused in LM III</w:t>
            </w:r>
          </w:p>
        </w:tc>
        <w:tc>
          <w:tcPr>
            <w:tcW w:w="3190"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tcPr>
          <w:p w14:paraId="21630AF7" w14:textId="77777777" w:rsidR="008940B3" w:rsidRPr="00204FC7" w:rsidRDefault="008940B3" w:rsidP="00E858EF">
            <w:pPr>
              <w:suppressAutoHyphens/>
              <w:jc w:val="center"/>
              <w:rPr>
                <w:sz w:val="20"/>
                <w:szCs w:val="16"/>
              </w:rPr>
            </w:pPr>
            <w:r w:rsidRPr="00204FC7">
              <w:rPr>
                <w:sz w:val="20"/>
                <w:szCs w:val="16"/>
              </w:rPr>
              <w:t>4 (25%)</w:t>
            </w:r>
          </w:p>
        </w:tc>
      </w:tr>
    </w:tbl>
    <w:p w14:paraId="2D1362A5"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360"/>
        <w:rPr>
          <w:color w:val="000000"/>
          <w:sz w:val="22"/>
          <w:szCs w:val="22"/>
        </w:rPr>
      </w:pPr>
    </w:p>
    <w:p w14:paraId="5BBC2397" w14:textId="77777777" w:rsidR="008940B3" w:rsidRPr="00D57845" w:rsidRDefault="008940B3" w:rsidP="00E858EF">
      <w:pPr>
        <w:pStyle w:val="Titolo4"/>
        <w:keepNext w:val="0"/>
        <w:keepLines w:val="0"/>
        <w:suppressAutoHyphens/>
        <w:ind w:left="864" w:hanging="864"/>
        <w:contextualSpacing w:val="0"/>
      </w:pPr>
      <w:bookmarkStart w:id="163" w:name="_Toc389131144"/>
      <w:bookmarkStart w:id="164" w:name="_Toc517876469"/>
      <w:r w:rsidRPr="00C34C56">
        <w:t>Where are</w:t>
      </w:r>
      <w:r>
        <w:t xml:space="preserve"> the</w:t>
      </w:r>
      <w:r w:rsidRPr="00C34C56">
        <w:t xml:space="preserve"> </w:t>
      </w:r>
      <w:r>
        <w:t>cemeteries with larnax use located in the region</w:t>
      </w:r>
      <w:r w:rsidRPr="00C34C56">
        <w:t>?</w:t>
      </w:r>
      <w:bookmarkEnd w:id="163"/>
      <w:bookmarkEnd w:id="164"/>
    </w:p>
    <w:p w14:paraId="5BAE34EA" w14:textId="2DDA42F5" w:rsidR="008940B3" w:rsidRPr="003B5C8D" w:rsidRDefault="00204FC7" w:rsidP="00204FC7">
      <w:r>
        <w:t>In terms of</w:t>
      </w:r>
      <w:r w:rsidR="008940B3" w:rsidRPr="003B5C8D">
        <w:t xml:space="preserve"> spatial distribution</w:t>
      </w:r>
      <w:r w:rsidR="008940B3">
        <w:t>,</w:t>
      </w:r>
      <w:r w:rsidR="008940B3" w:rsidRPr="003B5C8D">
        <w:t xml:space="preserve"> the vast majority of LM III burial locations with larnax burials are located on the west side of the Mesara plain. Two cemeteries are situated north </w:t>
      </w:r>
      <w:r w:rsidR="008940B3">
        <w:t>i</w:t>
      </w:r>
      <w:r w:rsidR="008940B3" w:rsidRPr="003B5C8D">
        <w:t>n the</w:t>
      </w:r>
      <w:r w:rsidR="008940B3">
        <w:t xml:space="preserve"> foot</w:t>
      </w:r>
      <w:r w:rsidR="008940B3" w:rsidRPr="003B5C8D">
        <w:t xml:space="preserve"> hill</w:t>
      </w:r>
      <w:r w:rsidR="008940B3">
        <w:t>s</w:t>
      </w:r>
      <w:r w:rsidR="008940B3" w:rsidRPr="003B5C8D">
        <w:t xml:space="preserve"> of Ida </w:t>
      </w:r>
      <w:r w:rsidR="008940B3">
        <w:t>(Karetsou and</w:t>
      </w:r>
      <w:r w:rsidR="008940B3" w:rsidRPr="003B5C8D">
        <w:t xml:space="preserve"> Girella 2015: 27-32</w:t>
      </w:r>
      <w:r w:rsidR="008940B3">
        <w:t xml:space="preserve">). The group of tombs located around the village of </w:t>
      </w:r>
      <w:r w:rsidR="008940B3" w:rsidRPr="003B5C8D">
        <w:t>Apodoulou constitute</w:t>
      </w:r>
      <w:r w:rsidR="008940B3">
        <w:t>s</w:t>
      </w:r>
      <w:r w:rsidR="008940B3" w:rsidRPr="003B5C8D">
        <w:t xml:space="preserve"> the western</w:t>
      </w:r>
      <w:r w:rsidR="008940B3">
        <w:t>most</w:t>
      </w:r>
      <w:r w:rsidR="008940B3" w:rsidRPr="003B5C8D">
        <w:t xml:space="preserve"> cemetery included in the are</w:t>
      </w:r>
      <w:r w:rsidR="008940B3">
        <w:t>a</w:t>
      </w:r>
      <w:r w:rsidR="008940B3" w:rsidRPr="003B5C8D">
        <w:t xml:space="preserve"> (it is located in the southernmost part of the Amari valley and immediately west of t</w:t>
      </w:r>
      <w:r w:rsidR="008940B3">
        <w:t>he Mesara plain), while Vasilik</w:t>
      </w:r>
      <w:r w:rsidR="008940B3" w:rsidRPr="003B5C8D">
        <w:t xml:space="preserve">a Anogeia </w:t>
      </w:r>
      <w:r w:rsidR="008940B3">
        <w:t xml:space="preserve">is </w:t>
      </w:r>
      <w:r w:rsidR="008940B3" w:rsidRPr="003B5C8D">
        <w:t xml:space="preserve">the only </w:t>
      </w:r>
      <w:r w:rsidR="008940B3">
        <w:t>cemetery</w:t>
      </w:r>
      <w:r w:rsidR="008940B3" w:rsidRPr="003B5C8D">
        <w:t xml:space="preserve"> located </w:t>
      </w:r>
      <w:r w:rsidR="008940B3">
        <w:t>o</w:t>
      </w:r>
      <w:r w:rsidR="008940B3" w:rsidRPr="003B5C8D">
        <w:t xml:space="preserve">n the eastern side of the Mesara </w:t>
      </w:r>
    </w:p>
    <w:p w14:paraId="4530E5C6" w14:textId="77777777" w:rsidR="008940B3" w:rsidRPr="00F808D9" w:rsidRDefault="008940B3" w:rsidP="00E858EF">
      <w:pPr>
        <w:pStyle w:val="Titolo4"/>
        <w:keepNext w:val="0"/>
        <w:keepLines w:val="0"/>
        <w:suppressAutoHyphens/>
        <w:ind w:left="864" w:hanging="864"/>
        <w:contextualSpacing w:val="0"/>
      </w:pPr>
      <w:bookmarkStart w:id="165" w:name="_Toc389131145"/>
      <w:bookmarkStart w:id="166" w:name="_Toc517876470"/>
      <w:r w:rsidRPr="00D97592">
        <w:t>Wh</w:t>
      </w:r>
      <w:r>
        <w:t>ich</w:t>
      </w:r>
      <w:r w:rsidRPr="00D97592">
        <w:t xml:space="preserve"> are the largest cemeteries and the smallest in terms of tomb number</w:t>
      </w:r>
      <w:r>
        <w:t>s</w:t>
      </w:r>
      <w:r w:rsidRPr="00D97592">
        <w:t>?</w:t>
      </w:r>
      <w:bookmarkEnd w:id="165"/>
      <w:bookmarkEnd w:id="166"/>
    </w:p>
    <w:p w14:paraId="7FEBC4ED" w14:textId="77777777" w:rsidR="008940B3" w:rsidRPr="00133771" w:rsidRDefault="008940B3" w:rsidP="00204FC7">
      <w:r>
        <w:t>Regarding</w:t>
      </w:r>
      <w:r w:rsidRPr="003B5C8D">
        <w:t xml:space="preserve"> space and </w:t>
      </w:r>
      <w:r>
        <w:t xml:space="preserve">the </w:t>
      </w:r>
      <w:r w:rsidRPr="003B5C8D">
        <w:t>number of tombs</w:t>
      </w:r>
      <w:r>
        <w:t>,</w:t>
      </w:r>
      <w:r w:rsidRPr="003B5C8D">
        <w:t xml:space="preserve"> </w:t>
      </w:r>
      <w:r>
        <w:t xml:space="preserve">the </w:t>
      </w:r>
      <w:r w:rsidRPr="003B5C8D">
        <w:t>cemeteries in th</w:t>
      </w:r>
      <w:r>
        <w:t>e Mesara region are relatively small. The largest cemeteries in the area do not</w:t>
      </w:r>
      <w:r w:rsidRPr="003B5C8D">
        <w:t xml:space="preserve"> </w:t>
      </w:r>
      <w:r>
        <w:t>exceed</w:t>
      </w:r>
      <w:r w:rsidRPr="003B5C8D">
        <w:t xml:space="preserve"> </w:t>
      </w:r>
      <w:r>
        <w:t>eight recovered</w:t>
      </w:r>
      <w:r w:rsidRPr="003B5C8D">
        <w:t xml:space="preserve"> tombs (Liliana and Apodoulou). </w:t>
      </w:r>
      <w:r>
        <w:t>A f</w:t>
      </w:r>
      <w:r w:rsidRPr="003B5C8D">
        <w:t xml:space="preserve">ew cemeteries </w:t>
      </w:r>
      <w:r>
        <w:t>have</w:t>
      </w:r>
      <w:r w:rsidRPr="003B5C8D">
        <w:t xml:space="preserve"> </w:t>
      </w:r>
      <w:r>
        <w:t>five</w:t>
      </w:r>
      <w:r w:rsidRPr="003B5C8D">
        <w:t xml:space="preserve"> tombs (A</w:t>
      </w:r>
      <w:r>
        <w:t>g</w:t>
      </w:r>
      <w:r w:rsidRPr="003B5C8D">
        <w:t>ia Triada, Kalochoraphitis, Stavros Galias)</w:t>
      </w:r>
      <w:r>
        <w:t>,</w:t>
      </w:r>
      <w:r w:rsidRPr="003B5C8D">
        <w:t xml:space="preserve"> and all the remaining cemeteries have </w:t>
      </w:r>
      <w:r>
        <w:t>between</w:t>
      </w:r>
      <w:r w:rsidRPr="003B5C8D">
        <w:t xml:space="preserve"> </w:t>
      </w:r>
      <w:r>
        <w:t xml:space="preserve">one and three surviving </w:t>
      </w:r>
      <w:r w:rsidRPr="003B5C8D">
        <w:t>tombs. Around Panagia Kalyviani</w:t>
      </w:r>
      <w:r>
        <w:t>,</w:t>
      </w:r>
      <w:r w:rsidRPr="003B5C8D">
        <w:t xml:space="preserve"> other tombs have been found, alt</w:t>
      </w:r>
      <w:r>
        <w:t>hough no further information is</w:t>
      </w:r>
      <w:r w:rsidRPr="003B5C8D">
        <w:t xml:space="preserve"> available</w:t>
      </w:r>
      <w:r>
        <w:t xml:space="preserve"> (Savignoni 1904: 654). Therefore the number of tomb identified corresponds to the minimum number of tombs identified</w:t>
      </w:r>
    </w:p>
    <w:p w14:paraId="12EEBCCC" w14:textId="5163A6F5"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7708F026" w14:textId="2CF1D845" w:rsidR="0024325B" w:rsidRDefault="0024325B" w:rsidP="00E858EF">
      <w:pPr>
        <w:suppressAutoHyphens/>
        <w:spacing w:line="240" w:lineRule="auto"/>
        <w:contextualSpacing w:val="0"/>
        <w:jc w:val="left"/>
        <w:rPr>
          <w:color w:val="000000"/>
          <w:sz w:val="22"/>
          <w:szCs w:val="22"/>
        </w:rPr>
      </w:pPr>
      <w:r>
        <w:rPr>
          <w:color w:val="000000"/>
          <w:sz w:val="22"/>
          <w:szCs w:val="22"/>
        </w:rPr>
        <w:br w:type="page"/>
      </w:r>
    </w:p>
    <w:p w14:paraId="55028949" w14:textId="77777777" w:rsidR="0024325B" w:rsidRPr="003B5C8D" w:rsidRDefault="0024325B"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6BCDABF5"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1C733524" wp14:editId="3D3B57B7">
            <wp:extent cx="5314950" cy="2905125"/>
            <wp:effectExtent l="0" t="0" r="0" b="9525"/>
            <wp:docPr id="20" name="Gra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C4ACBA4" w14:textId="66E0344B" w:rsidR="008940B3" w:rsidRDefault="008940B3" w:rsidP="00E858EF">
      <w:pPr>
        <w:pStyle w:val="Didascalia"/>
        <w:suppressAutoHyphens/>
      </w:pPr>
      <w:bookmarkStart w:id="167" w:name="_Toc520212295"/>
      <w:r>
        <w:t xml:space="preserve">Figure 3-14. </w:t>
      </w:r>
      <w:r w:rsidRPr="005C16F5">
        <w:t xml:space="preserve">Number of tombs </w:t>
      </w:r>
      <w:r>
        <w:t>by</w:t>
      </w:r>
      <w:r w:rsidRPr="005C16F5">
        <w:t xml:space="preserve"> cemetery</w:t>
      </w:r>
      <w:r w:rsidR="00FB677B">
        <w:t>,</w:t>
      </w:r>
      <w:r>
        <w:t xml:space="preserve"> Mesara area</w:t>
      </w:r>
      <w:bookmarkEnd w:id="167"/>
    </w:p>
    <w:p w14:paraId="6C73334F" w14:textId="77777777" w:rsidR="008940B3" w:rsidRPr="00D7307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bookmarkStart w:id="168" w:name="_Toc389131146"/>
    </w:p>
    <w:p w14:paraId="1A844AA6" w14:textId="77777777" w:rsidR="008940B3" w:rsidRDefault="008940B3" w:rsidP="00E858EF">
      <w:pPr>
        <w:pStyle w:val="Titolo4"/>
        <w:keepNext w:val="0"/>
        <w:keepLines w:val="0"/>
        <w:suppressAutoHyphens/>
        <w:ind w:left="864" w:hanging="864"/>
        <w:contextualSpacing w:val="0"/>
      </w:pPr>
      <w:bookmarkStart w:id="169" w:name="_Toc517876471"/>
      <w:r w:rsidRPr="00D97592">
        <w:t>Wh</w:t>
      </w:r>
      <w:r>
        <w:t>ich are the tomb types</w:t>
      </w:r>
      <w:r w:rsidRPr="00D97592">
        <w:t xml:space="preserve"> in cemeter</w:t>
      </w:r>
      <w:r>
        <w:t>ies</w:t>
      </w:r>
      <w:r w:rsidRPr="00D97592">
        <w:t xml:space="preserve"> with larnakes?</w:t>
      </w:r>
      <w:bookmarkEnd w:id="168"/>
      <w:bookmarkEnd w:id="169"/>
    </w:p>
    <w:p w14:paraId="603079FA" w14:textId="77777777" w:rsidR="008940B3" w:rsidRDefault="008940B3" w:rsidP="00204FC7">
      <w:r>
        <w:t>Regarding</w:t>
      </w:r>
      <w:r w:rsidRPr="003B5C8D">
        <w:t xml:space="preserve"> </w:t>
      </w:r>
      <w:r>
        <w:rPr>
          <w:b/>
        </w:rPr>
        <w:t>tomb type</w:t>
      </w:r>
      <w:r w:rsidRPr="003B5C8D">
        <w:rPr>
          <w:b/>
        </w:rPr>
        <w:t>s</w:t>
      </w:r>
      <w:r>
        <w:rPr>
          <w:b/>
        </w:rPr>
        <w:t>,</w:t>
      </w:r>
      <w:r>
        <w:t xml:space="preserve"> the c</w:t>
      </w:r>
      <w:r w:rsidRPr="003B5C8D">
        <w:t xml:space="preserve">hamber </w:t>
      </w:r>
      <w:r>
        <w:t>tomb is the only type</w:t>
      </w:r>
      <w:r w:rsidRPr="003B5C8D">
        <w:t xml:space="preserve"> exclusively adopted in 60% of cemeteries. </w:t>
      </w:r>
      <w:r>
        <w:t>The A</w:t>
      </w:r>
      <w:r w:rsidRPr="003B5C8D">
        <w:t xml:space="preserve">gia Triada cemetery </w:t>
      </w:r>
      <w:r>
        <w:t>is notable for the variety of tomb type</w:t>
      </w:r>
      <w:r w:rsidRPr="003B5C8D">
        <w:t>s adopted. For all the other cemeteries</w:t>
      </w:r>
      <w:r>
        <w:t>,</w:t>
      </w:r>
      <w:r w:rsidRPr="003B5C8D">
        <w:t xml:space="preserve"> the ra</w:t>
      </w:r>
      <w:r>
        <w:t>nge of tomb type</w:t>
      </w:r>
      <w:r w:rsidRPr="003B5C8D">
        <w:t xml:space="preserve">s </w:t>
      </w:r>
      <w:r>
        <w:t xml:space="preserve">is </w:t>
      </w:r>
      <w:r w:rsidRPr="003B5C8D">
        <w:t xml:space="preserve">from </w:t>
      </w:r>
      <w:r>
        <w:t>one</w:t>
      </w:r>
      <w:r w:rsidRPr="003B5C8D">
        <w:t xml:space="preserve"> to </w:t>
      </w:r>
      <w:r>
        <w:t>two</w:t>
      </w:r>
      <w:r w:rsidRPr="003B5C8D">
        <w:t>.</w:t>
      </w:r>
    </w:p>
    <w:p w14:paraId="3FAD53DD" w14:textId="24362CA6" w:rsidR="008940B3" w:rsidRPr="003B5C8D" w:rsidRDefault="008940B3" w:rsidP="00E858EF">
      <w:pPr>
        <w:pStyle w:val="Testofumetto"/>
        <w:suppressAutoHyphens/>
      </w:pPr>
      <w:bookmarkStart w:id="170" w:name="_Toc520212506"/>
      <w:r>
        <w:t>Table 3-17.</w:t>
      </w:r>
      <w:r w:rsidRPr="00963DAF">
        <w:t xml:space="preserve"> </w:t>
      </w:r>
      <w:r>
        <w:t>Tomb types per cemetery</w:t>
      </w:r>
      <w:r w:rsidR="00FB677B">
        <w:t>,</w:t>
      </w:r>
      <w:r>
        <w:t xml:space="preserve"> Mesara area</w:t>
      </w:r>
      <w:bookmarkEnd w:id="170"/>
    </w:p>
    <w:tbl>
      <w:tblPr>
        <w:tblW w:w="8424" w:type="dxa"/>
        <w:tblInd w:w="10" w:type="dxa"/>
        <w:tblLayout w:type="fixed"/>
        <w:tblCellMar>
          <w:left w:w="70" w:type="dxa"/>
          <w:right w:w="70" w:type="dxa"/>
        </w:tblCellMar>
        <w:tblLook w:val="04A0" w:firstRow="1" w:lastRow="0" w:firstColumn="1" w:lastColumn="0" w:noHBand="0" w:noVBand="1"/>
      </w:tblPr>
      <w:tblGrid>
        <w:gridCol w:w="1903"/>
        <w:gridCol w:w="1134"/>
        <w:gridCol w:w="988"/>
        <w:gridCol w:w="987"/>
        <w:gridCol w:w="988"/>
        <w:gridCol w:w="987"/>
        <w:gridCol w:w="728"/>
        <w:gridCol w:w="709"/>
      </w:tblGrid>
      <w:tr w:rsidR="008940B3" w:rsidRPr="00F7661C" w14:paraId="096A232A" w14:textId="77777777" w:rsidTr="00F7661C">
        <w:trPr>
          <w:trHeight w:val="57"/>
        </w:trPr>
        <w:tc>
          <w:tcPr>
            <w:tcW w:w="1903" w:type="dxa"/>
            <w:tcBorders>
              <w:top w:val="single" w:sz="6" w:space="0" w:color="000000"/>
              <w:left w:val="single" w:sz="6" w:space="0" w:color="000000"/>
              <w:bottom w:val="single" w:sz="6" w:space="0" w:color="000000"/>
              <w:right w:val="single" w:sz="6" w:space="0" w:color="000000"/>
            </w:tcBorders>
            <w:hideMark/>
          </w:tcPr>
          <w:p w14:paraId="77770BA4" w14:textId="77777777" w:rsidR="008940B3" w:rsidRPr="00F7661C" w:rsidRDefault="008940B3" w:rsidP="00F7661C">
            <w:pPr>
              <w:suppressAutoHyphens/>
              <w:spacing w:line="240" w:lineRule="auto"/>
              <w:jc w:val="center"/>
              <w:rPr>
                <w:sz w:val="14"/>
                <w:szCs w:val="16"/>
              </w:rPr>
            </w:pPr>
            <w:r w:rsidRPr="00F7661C">
              <w:rPr>
                <w:color w:val="000000"/>
                <w:sz w:val="14"/>
                <w:szCs w:val="16"/>
              </w:rPr>
              <w:t>CEMETERIES</w:t>
            </w:r>
          </w:p>
        </w:tc>
        <w:tc>
          <w:tcPr>
            <w:tcW w:w="1134" w:type="dxa"/>
            <w:tcBorders>
              <w:top w:val="single" w:sz="6" w:space="0" w:color="000000"/>
              <w:left w:val="single" w:sz="6" w:space="0" w:color="000000"/>
              <w:bottom w:val="single" w:sz="6" w:space="0" w:color="000000"/>
              <w:right w:val="single" w:sz="6" w:space="0" w:color="000000"/>
            </w:tcBorders>
            <w:hideMark/>
          </w:tcPr>
          <w:p w14:paraId="2D0681EC" w14:textId="77777777" w:rsidR="008940B3" w:rsidRPr="00F7661C" w:rsidRDefault="008940B3" w:rsidP="00F7661C">
            <w:pPr>
              <w:suppressAutoHyphens/>
              <w:spacing w:line="240" w:lineRule="auto"/>
              <w:jc w:val="center"/>
              <w:rPr>
                <w:sz w:val="14"/>
                <w:szCs w:val="16"/>
              </w:rPr>
            </w:pPr>
            <w:r w:rsidRPr="00F7661C">
              <w:rPr>
                <w:color w:val="000000"/>
                <w:sz w:val="14"/>
                <w:szCs w:val="16"/>
              </w:rPr>
              <w:t>RECEPTACLE BURIAL</w:t>
            </w:r>
          </w:p>
        </w:tc>
        <w:tc>
          <w:tcPr>
            <w:tcW w:w="988" w:type="dxa"/>
            <w:tcBorders>
              <w:top w:val="single" w:sz="6" w:space="0" w:color="000000"/>
              <w:left w:val="single" w:sz="6" w:space="0" w:color="000000"/>
              <w:bottom w:val="single" w:sz="6" w:space="0" w:color="000000"/>
              <w:right w:val="single" w:sz="6" w:space="0" w:color="000000"/>
            </w:tcBorders>
            <w:hideMark/>
          </w:tcPr>
          <w:p w14:paraId="6DB31193" w14:textId="77777777" w:rsidR="008940B3" w:rsidRPr="00F7661C" w:rsidRDefault="008940B3" w:rsidP="00F7661C">
            <w:pPr>
              <w:suppressAutoHyphens/>
              <w:spacing w:line="240" w:lineRule="auto"/>
              <w:jc w:val="center"/>
              <w:rPr>
                <w:sz w:val="14"/>
                <w:szCs w:val="16"/>
              </w:rPr>
            </w:pPr>
            <w:r w:rsidRPr="00F7661C">
              <w:rPr>
                <w:color w:val="000000"/>
                <w:sz w:val="14"/>
                <w:szCs w:val="16"/>
              </w:rPr>
              <w:t>REUSED THOLOS</w:t>
            </w:r>
          </w:p>
        </w:tc>
        <w:tc>
          <w:tcPr>
            <w:tcW w:w="987" w:type="dxa"/>
            <w:tcBorders>
              <w:top w:val="single" w:sz="6" w:space="0" w:color="000000"/>
              <w:left w:val="single" w:sz="6" w:space="0" w:color="000000"/>
              <w:bottom w:val="single" w:sz="6" w:space="0" w:color="000000"/>
              <w:right w:val="single" w:sz="6" w:space="0" w:color="000000"/>
            </w:tcBorders>
            <w:hideMark/>
          </w:tcPr>
          <w:p w14:paraId="09B62240" w14:textId="77777777" w:rsidR="008940B3" w:rsidRPr="00F7661C" w:rsidRDefault="008940B3" w:rsidP="00F7661C">
            <w:pPr>
              <w:suppressAutoHyphens/>
              <w:spacing w:line="240" w:lineRule="auto"/>
              <w:jc w:val="center"/>
              <w:rPr>
                <w:sz w:val="14"/>
                <w:szCs w:val="16"/>
              </w:rPr>
            </w:pPr>
            <w:r w:rsidRPr="00F7661C">
              <w:rPr>
                <w:color w:val="000000"/>
                <w:sz w:val="14"/>
                <w:szCs w:val="16"/>
              </w:rPr>
              <w:t>CORBEL VAULTED</w:t>
            </w:r>
          </w:p>
        </w:tc>
        <w:tc>
          <w:tcPr>
            <w:tcW w:w="988" w:type="dxa"/>
            <w:tcBorders>
              <w:top w:val="single" w:sz="6" w:space="0" w:color="000000"/>
              <w:left w:val="single" w:sz="6" w:space="0" w:color="000000"/>
              <w:bottom w:val="single" w:sz="6" w:space="0" w:color="000000"/>
              <w:right w:val="single" w:sz="6" w:space="0" w:color="000000"/>
            </w:tcBorders>
            <w:hideMark/>
          </w:tcPr>
          <w:p w14:paraId="2B4CAFD1" w14:textId="77777777" w:rsidR="008940B3" w:rsidRPr="00F7661C" w:rsidRDefault="008940B3" w:rsidP="00F7661C">
            <w:pPr>
              <w:suppressAutoHyphens/>
              <w:spacing w:line="240" w:lineRule="auto"/>
              <w:jc w:val="center"/>
              <w:rPr>
                <w:sz w:val="14"/>
                <w:szCs w:val="16"/>
              </w:rPr>
            </w:pPr>
            <w:r w:rsidRPr="00F7661C">
              <w:rPr>
                <w:color w:val="000000"/>
                <w:sz w:val="14"/>
                <w:szCs w:val="16"/>
              </w:rPr>
              <w:t>CHAMBER TOMB</w:t>
            </w:r>
          </w:p>
        </w:tc>
        <w:tc>
          <w:tcPr>
            <w:tcW w:w="987" w:type="dxa"/>
            <w:tcBorders>
              <w:top w:val="single" w:sz="6" w:space="0" w:color="000000"/>
              <w:left w:val="single" w:sz="6" w:space="0" w:color="000000"/>
              <w:bottom w:val="single" w:sz="6" w:space="0" w:color="000000"/>
              <w:right w:val="single" w:sz="6" w:space="0" w:color="000000"/>
            </w:tcBorders>
          </w:tcPr>
          <w:p w14:paraId="3801B21A" w14:textId="77777777" w:rsidR="008940B3" w:rsidRPr="00F7661C" w:rsidRDefault="008940B3" w:rsidP="00F7661C">
            <w:pPr>
              <w:suppressAutoHyphens/>
              <w:spacing w:line="240" w:lineRule="auto"/>
              <w:jc w:val="center"/>
              <w:rPr>
                <w:color w:val="000000"/>
                <w:sz w:val="14"/>
                <w:szCs w:val="16"/>
              </w:rPr>
            </w:pPr>
            <w:r w:rsidRPr="00F7661C">
              <w:rPr>
                <w:color w:val="000000"/>
                <w:sz w:val="14"/>
                <w:szCs w:val="16"/>
              </w:rPr>
              <w:t>BUILT TOMB</w:t>
            </w:r>
          </w:p>
        </w:tc>
        <w:tc>
          <w:tcPr>
            <w:tcW w:w="728" w:type="dxa"/>
            <w:tcBorders>
              <w:top w:val="single" w:sz="6" w:space="0" w:color="000000"/>
              <w:left w:val="single" w:sz="6" w:space="0" w:color="000000"/>
              <w:bottom w:val="single" w:sz="6" w:space="0" w:color="000000"/>
              <w:right w:val="single" w:sz="6" w:space="0" w:color="000000"/>
            </w:tcBorders>
          </w:tcPr>
          <w:p w14:paraId="341A6CBB" w14:textId="77777777" w:rsidR="008940B3" w:rsidRPr="00F7661C" w:rsidRDefault="008940B3" w:rsidP="00F7661C">
            <w:pPr>
              <w:suppressAutoHyphens/>
              <w:spacing w:line="240" w:lineRule="auto"/>
              <w:jc w:val="center"/>
              <w:rPr>
                <w:color w:val="000000"/>
                <w:sz w:val="14"/>
                <w:szCs w:val="16"/>
              </w:rPr>
            </w:pPr>
            <w:r w:rsidRPr="00F7661C">
              <w:rPr>
                <w:color w:val="000000"/>
                <w:sz w:val="14"/>
                <w:szCs w:val="16"/>
              </w:rPr>
              <w:t>PIT</w:t>
            </w:r>
          </w:p>
        </w:tc>
        <w:tc>
          <w:tcPr>
            <w:tcW w:w="709" w:type="dxa"/>
            <w:tcBorders>
              <w:top w:val="single" w:sz="6" w:space="0" w:color="000000"/>
              <w:left w:val="single" w:sz="6" w:space="0" w:color="000000"/>
              <w:bottom w:val="single" w:sz="6" w:space="0" w:color="000000"/>
              <w:right w:val="single" w:sz="6" w:space="0" w:color="000000"/>
            </w:tcBorders>
          </w:tcPr>
          <w:p w14:paraId="74CA213D" w14:textId="77777777" w:rsidR="008940B3" w:rsidRPr="00F7661C" w:rsidRDefault="008940B3" w:rsidP="00F7661C">
            <w:pPr>
              <w:suppressAutoHyphens/>
              <w:spacing w:line="240" w:lineRule="auto"/>
              <w:jc w:val="center"/>
              <w:rPr>
                <w:color w:val="000000"/>
                <w:sz w:val="14"/>
                <w:szCs w:val="16"/>
              </w:rPr>
            </w:pPr>
            <w:r w:rsidRPr="00F7661C">
              <w:rPr>
                <w:color w:val="000000"/>
                <w:sz w:val="14"/>
                <w:szCs w:val="16"/>
              </w:rPr>
              <w:t>N/A</w:t>
            </w:r>
          </w:p>
        </w:tc>
      </w:tr>
      <w:tr w:rsidR="008940B3" w:rsidRPr="00F7661C" w14:paraId="6976E84B" w14:textId="77777777" w:rsidTr="00F7661C">
        <w:tblPrEx>
          <w:tblCellMar>
            <w:left w:w="0" w:type="dxa"/>
            <w:right w:w="0" w:type="dxa"/>
          </w:tblCellMar>
        </w:tblPrEx>
        <w:trPr>
          <w:trHeight w:val="57"/>
        </w:trPr>
        <w:tc>
          <w:tcPr>
            <w:tcW w:w="1903"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tcPr>
          <w:p w14:paraId="47D3BB6E" w14:textId="77777777" w:rsidR="008940B3" w:rsidRPr="00F7661C" w:rsidRDefault="008940B3" w:rsidP="00F7661C">
            <w:pPr>
              <w:suppressAutoHyphens/>
              <w:spacing w:line="240" w:lineRule="auto"/>
              <w:jc w:val="center"/>
              <w:rPr>
                <w:color w:val="000000"/>
                <w:sz w:val="14"/>
                <w:szCs w:val="16"/>
              </w:rPr>
            </w:pPr>
            <w:r w:rsidRPr="00F7661C">
              <w:rPr>
                <w:color w:val="000000"/>
                <w:sz w:val="14"/>
                <w:szCs w:val="16"/>
              </w:rPr>
              <w:t>ALESANDRAKI</w:t>
            </w:r>
          </w:p>
        </w:tc>
        <w:tc>
          <w:tcPr>
            <w:tcW w:w="1134"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tcPr>
          <w:p w14:paraId="20CA3524"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tcPr>
          <w:p w14:paraId="0865792D"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tcPr>
          <w:p w14:paraId="37E677AF" w14:textId="77777777" w:rsidR="008940B3" w:rsidRPr="00F7661C" w:rsidRDefault="008940B3" w:rsidP="00F7661C">
            <w:pPr>
              <w:suppressAutoHyphens/>
              <w:spacing w:line="240" w:lineRule="auto"/>
              <w:jc w:val="center"/>
              <w:rPr>
                <w:rFonts w:ascii="Lucida Grande" w:hAnsi="Lucida Grande" w:cs="Lucida Grande"/>
                <w:color w:val="000000"/>
                <w:sz w:val="14"/>
                <w:szCs w:val="16"/>
              </w:rPr>
            </w:pPr>
          </w:p>
        </w:tc>
        <w:tc>
          <w:tcPr>
            <w:tcW w:w="98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tcPr>
          <w:p w14:paraId="1F8A413A"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shd w:val="clear" w:color="auto" w:fill="EFEFEF"/>
          </w:tcPr>
          <w:p w14:paraId="15F520F2" w14:textId="77777777" w:rsidR="008940B3" w:rsidRPr="00F7661C" w:rsidRDefault="008940B3" w:rsidP="00F7661C">
            <w:pPr>
              <w:suppressAutoHyphens/>
              <w:spacing w:line="240" w:lineRule="auto"/>
              <w:jc w:val="center"/>
              <w:rPr>
                <w:sz w:val="14"/>
                <w:szCs w:val="16"/>
              </w:rPr>
            </w:pPr>
          </w:p>
        </w:tc>
        <w:tc>
          <w:tcPr>
            <w:tcW w:w="728" w:type="dxa"/>
            <w:tcBorders>
              <w:top w:val="single" w:sz="6" w:space="0" w:color="000000"/>
              <w:left w:val="single" w:sz="6" w:space="0" w:color="000000"/>
              <w:bottom w:val="single" w:sz="6" w:space="0" w:color="000000"/>
              <w:right w:val="single" w:sz="6" w:space="0" w:color="000000"/>
            </w:tcBorders>
            <w:shd w:val="clear" w:color="auto" w:fill="EFEFEF"/>
          </w:tcPr>
          <w:p w14:paraId="77FD9357" w14:textId="77777777" w:rsidR="008940B3" w:rsidRPr="00F7661C" w:rsidRDefault="008940B3" w:rsidP="00F7661C">
            <w:pPr>
              <w:suppressAutoHyphens/>
              <w:spacing w:line="240" w:lineRule="auto"/>
              <w:jc w:val="center"/>
              <w:rPr>
                <w:sz w:val="14"/>
                <w:szCs w:val="16"/>
              </w:rPr>
            </w:pPr>
          </w:p>
        </w:tc>
        <w:tc>
          <w:tcPr>
            <w:tcW w:w="709" w:type="dxa"/>
            <w:tcBorders>
              <w:top w:val="single" w:sz="6" w:space="0" w:color="000000"/>
              <w:left w:val="single" w:sz="6" w:space="0" w:color="000000"/>
              <w:bottom w:val="single" w:sz="6" w:space="0" w:color="000000"/>
              <w:right w:val="single" w:sz="6" w:space="0" w:color="000000"/>
            </w:tcBorders>
            <w:shd w:val="clear" w:color="auto" w:fill="EFEFEF"/>
          </w:tcPr>
          <w:p w14:paraId="560A6FFC" w14:textId="77777777" w:rsidR="008940B3" w:rsidRPr="00F7661C" w:rsidRDefault="008940B3" w:rsidP="00F7661C">
            <w:pPr>
              <w:suppressAutoHyphens/>
              <w:spacing w:line="240" w:lineRule="auto"/>
              <w:jc w:val="center"/>
              <w:rPr>
                <w:sz w:val="14"/>
                <w:szCs w:val="16"/>
              </w:rPr>
            </w:pPr>
            <w:r w:rsidRPr="00F7661C">
              <w:rPr>
                <w:rFonts w:ascii="Lucida Grande" w:hAnsi="Lucida Grande" w:cs="Lucida Grande"/>
                <w:color w:val="000000"/>
                <w:sz w:val="14"/>
                <w:szCs w:val="16"/>
              </w:rPr>
              <w:t>✓</w:t>
            </w:r>
          </w:p>
        </w:tc>
      </w:tr>
      <w:tr w:rsidR="008940B3" w:rsidRPr="00F7661C" w14:paraId="54B339AC" w14:textId="77777777" w:rsidTr="00F7661C">
        <w:tblPrEx>
          <w:tblCellMar>
            <w:left w:w="0" w:type="dxa"/>
            <w:right w:w="0" w:type="dxa"/>
          </w:tblCellMar>
        </w:tblPrEx>
        <w:trPr>
          <w:trHeight w:val="57"/>
        </w:trPr>
        <w:tc>
          <w:tcPr>
            <w:tcW w:w="1903"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11BA659B" w14:textId="77777777" w:rsidR="008940B3" w:rsidRPr="00F7661C" w:rsidRDefault="008940B3" w:rsidP="00F7661C">
            <w:pPr>
              <w:suppressAutoHyphens/>
              <w:spacing w:line="240" w:lineRule="auto"/>
              <w:jc w:val="center"/>
              <w:rPr>
                <w:sz w:val="14"/>
                <w:szCs w:val="16"/>
              </w:rPr>
            </w:pPr>
            <w:r w:rsidRPr="00F7661C">
              <w:rPr>
                <w:color w:val="000000"/>
                <w:sz w:val="14"/>
                <w:szCs w:val="16"/>
              </w:rPr>
              <w:t>APODOULOU</w:t>
            </w:r>
          </w:p>
        </w:tc>
        <w:tc>
          <w:tcPr>
            <w:tcW w:w="1134"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36D8B56A"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32B46FA3"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F2B88AB" w14:textId="77777777" w:rsidR="008940B3" w:rsidRPr="00F7661C" w:rsidRDefault="008940B3" w:rsidP="00F7661C">
            <w:pPr>
              <w:suppressAutoHyphens/>
              <w:spacing w:line="240" w:lineRule="auto"/>
              <w:jc w:val="center"/>
              <w:rPr>
                <w:sz w:val="14"/>
                <w:szCs w:val="16"/>
              </w:rPr>
            </w:pPr>
            <w:r w:rsidRPr="00F7661C">
              <w:rPr>
                <w:rFonts w:ascii="Lucida Grande" w:hAnsi="Lucida Grande" w:cs="Lucida Grande"/>
                <w:color w:val="000000"/>
                <w:sz w:val="14"/>
                <w:szCs w:val="16"/>
              </w:rPr>
              <w:t>✓</w:t>
            </w:r>
          </w:p>
        </w:tc>
        <w:tc>
          <w:tcPr>
            <w:tcW w:w="98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5426FAC3"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shd w:val="clear" w:color="auto" w:fill="EFEFEF"/>
          </w:tcPr>
          <w:p w14:paraId="766EE13B" w14:textId="77777777" w:rsidR="008940B3" w:rsidRPr="00F7661C" w:rsidRDefault="008940B3" w:rsidP="00F7661C">
            <w:pPr>
              <w:suppressAutoHyphens/>
              <w:spacing w:line="240" w:lineRule="auto"/>
              <w:jc w:val="center"/>
              <w:rPr>
                <w:sz w:val="14"/>
                <w:szCs w:val="16"/>
              </w:rPr>
            </w:pPr>
          </w:p>
        </w:tc>
        <w:tc>
          <w:tcPr>
            <w:tcW w:w="728" w:type="dxa"/>
            <w:tcBorders>
              <w:top w:val="single" w:sz="6" w:space="0" w:color="000000"/>
              <w:left w:val="single" w:sz="6" w:space="0" w:color="000000"/>
              <w:bottom w:val="single" w:sz="6" w:space="0" w:color="000000"/>
              <w:right w:val="single" w:sz="6" w:space="0" w:color="000000"/>
            </w:tcBorders>
            <w:shd w:val="clear" w:color="auto" w:fill="EFEFEF"/>
          </w:tcPr>
          <w:p w14:paraId="16C37ED6" w14:textId="77777777" w:rsidR="008940B3" w:rsidRPr="00F7661C" w:rsidRDefault="008940B3" w:rsidP="00F7661C">
            <w:pPr>
              <w:suppressAutoHyphens/>
              <w:spacing w:line="240" w:lineRule="auto"/>
              <w:jc w:val="center"/>
              <w:rPr>
                <w:sz w:val="14"/>
                <w:szCs w:val="16"/>
              </w:rPr>
            </w:pPr>
          </w:p>
        </w:tc>
        <w:tc>
          <w:tcPr>
            <w:tcW w:w="709" w:type="dxa"/>
            <w:tcBorders>
              <w:top w:val="single" w:sz="6" w:space="0" w:color="000000"/>
              <w:left w:val="single" w:sz="6" w:space="0" w:color="000000"/>
              <w:bottom w:val="single" w:sz="6" w:space="0" w:color="000000"/>
              <w:right w:val="single" w:sz="6" w:space="0" w:color="000000"/>
            </w:tcBorders>
            <w:shd w:val="clear" w:color="auto" w:fill="EFEFEF"/>
          </w:tcPr>
          <w:p w14:paraId="64E58885" w14:textId="77777777" w:rsidR="008940B3" w:rsidRPr="00F7661C" w:rsidRDefault="008940B3" w:rsidP="00F7661C">
            <w:pPr>
              <w:suppressAutoHyphens/>
              <w:spacing w:line="240" w:lineRule="auto"/>
              <w:jc w:val="center"/>
              <w:rPr>
                <w:sz w:val="14"/>
                <w:szCs w:val="16"/>
              </w:rPr>
            </w:pPr>
          </w:p>
        </w:tc>
      </w:tr>
      <w:tr w:rsidR="008940B3" w:rsidRPr="00F7661C" w14:paraId="0E6DC4C3" w14:textId="77777777" w:rsidTr="00F7661C">
        <w:tblPrEx>
          <w:tblCellMar>
            <w:left w:w="0" w:type="dxa"/>
            <w:right w:w="0" w:type="dxa"/>
          </w:tblCellMar>
        </w:tblPrEx>
        <w:trPr>
          <w:trHeight w:val="57"/>
        </w:trPr>
        <w:tc>
          <w:tcPr>
            <w:tcW w:w="19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AB84FC7" w14:textId="77777777" w:rsidR="008940B3" w:rsidRPr="00F7661C" w:rsidRDefault="008940B3" w:rsidP="00F7661C">
            <w:pPr>
              <w:suppressAutoHyphens/>
              <w:spacing w:line="240" w:lineRule="auto"/>
              <w:jc w:val="center"/>
              <w:rPr>
                <w:sz w:val="14"/>
                <w:szCs w:val="16"/>
              </w:rPr>
            </w:pPr>
            <w:r w:rsidRPr="00F7661C">
              <w:rPr>
                <w:color w:val="000000"/>
                <w:sz w:val="14"/>
                <w:szCs w:val="16"/>
              </w:rPr>
              <w:t>GOUDIES</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BD96C66"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F203622"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1C98F38"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C881B28" w14:textId="77777777" w:rsidR="008940B3" w:rsidRPr="00F7661C" w:rsidRDefault="008940B3" w:rsidP="00F7661C">
            <w:pPr>
              <w:suppressAutoHyphens/>
              <w:spacing w:line="240" w:lineRule="auto"/>
              <w:jc w:val="center"/>
              <w:rPr>
                <w:sz w:val="14"/>
                <w:szCs w:val="16"/>
              </w:rPr>
            </w:pPr>
            <w:r w:rsidRPr="00F7661C">
              <w:rPr>
                <w:rFonts w:ascii="Lucida Grande" w:hAnsi="Lucida Grande" w:cs="Lucida Grande"/>
                <w:color w:val="000000"/>
                <w:sz w:val="14"/>
                <w:szCs w:val="16"/>
              </w:rPr>
              <w:t>✓</w:t>
            </w:r>
          </w:p>
        </w:tc>
        <w:tc>
          <w:tcPr>
            <w:tcW w:w="987" w:type="dxa"/>
            <w:tcBorders>
              <w:top w:val="single" w:sz="6" w:space="0" w:color="000000"/>
              <w:left w:val="single" w:sz="6" w:space="0" w:color="000000"/>
              <w:bottom w:val="single" w:sz="6" w:space="0" w:color="000000"/>
              <w:right w:val="single" w:sz="6" w:space="0" w:color="000000"/>
            </w:tcBorders>
          </w:tcPr>
          <w:p w14:paraId="7C868FC4" w14:textId="77777777" w:rsidR="008940B3" w:rsidRPr="00F7661C" w:rsidRDefault="008940B3" w:rsidP="00F7661C">
            <w:pPr>
              <w:suppressAutoHyphens/>
              <w:spacing w:line="240" w:lineRule="auto"/>
              <w:jc w:val="center"/>
              <w:rPr>
                <w:color w:val="000000"/>
                <w:sz w:val="14"/>
                <w:szCs w:val="16"/>
              </w:rPr>
            </w:pPr>
          </w:p>
        </w:tc>
        <w:tc>
          <w:tcPr>
            <w:tcW w:w="728" w:type="dxa"/>
            <w:tcBorders>
              <w:top w:val="single" w:sz="6" w:space="0" w:color="000000"/>
              <w:left w:val="single" w:sz="6" w:space="0" w:color="000000"/>
              <w:bottom w:val="single" w:sz="6" w:space="0" w:color="000000"/>
              <w:right w:val="single" w:sz="6" w:space="0" w:color="000000"/>
            </w:tcBorders>
          </w:tcPr>
          <w:p w14:paraId="514658EC" w14:textId="77777777" w:rsidR="008940B3" w:rsidRPr="00F7661C" w:rsidRDefault="008940B3" w:rsidP="00F7661C">
            <w:pPr>
              <w:suppressAutoHyphens/>
              <w:spacing w:line="240" w:lineRule="auto"/>
              <w:jc w:val="center"/>
              <w:rPr>
                <w:color w:val="000000"/>
                <w:sz w:val="14"/>
                <w:szCs w:val="16"/>
              </w:rPr>
            </w:pPr>
          </w:p>
        </w:tc>
        <w:tc>
          <w:tcPr>
            <w:tcW w:w="709" w:type="dxa"/>
            <w:tcBorders>
              <w:top w:val="single" w:sz="6" w:space="0" w:color="000000"/>
              <w:left w:val="single" w:sz="6" w:space="0" w:color="000000"/>
              <w:bottom w:val="single" w:sz="6" w:space="0" w:color="000000"/>
              <w:right w:val="single" w:sz="6" w:space="0" w:color="000000"/>
            </w:tcBorders>
          </w:tcPr>
          <w:p w14:paraId="12CE465B" w14:textId="77777777" w:rsidR="008940B3" w:rsidRPr="00F7661C" w:rsidRDefault="008940B3" w:rsidP="00F7661C">
            <w:pPr>
              <w:suppressAutoHyphens/>
              <w:spacing w:line="240" w:lineRule="auto"/>
              <w:jc w:val="center"/>
              <w:rPr>
                <w:color w:val="000000"/>
                <w:sz w:val="14"/>
                <w:szCs w:val="16"/>
              </w:rPr>
            </w:pPr>
          </w:p>
        </w:tc>
      </w:tr>
      <w:tr w:rsidR="008940B3" w:rsidRPr="00F7661C" w14:paraId="2BA1E8F2" w14:textId="77777777" w:rsidTr="00F7661C">
        <w:tblPrEx>
          <w:tblCellMar>
            <w:left w:w="0" w:type="dxa"/>
            <w:right w:w="0" w:type="dxa"/>
          </w:tblCellMar>
        </w:tblPrEx>
        <w:trPr>
          <w:trHeight w:val="57"/>
        </w:trPr>
        <w:tc>
          <w:tcPr>
            <w:tcW w:w="1903"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24222D0E" w14:textId="77777777" w:rsidR="008940B3" w:rsidRPr="00F7661C" w:rsidRDefault="008940B3" w:rsidP="00F7661C">
            <w:pPr>
              <w:suppressAutoHyphens/>
              <w:spacing w:line="240" w:lineRule="auto"/>
              <w:jc w:val="center"/>
              <w:rPr>
                <w:sz w:val="14"/>
                <w:szCs w:val="16"/>
              </w:rPr>
            </w:pPr>
            <w:r w:rsidRPr="00F7661C">
              <w:rPr>
                <w:color w:val="000000"/>
                <w:sz w:val="14"/>
                <w:szCs w:val="16"/>
              </w:rPr>
              <w:t>AGIA TRIADA</w:t>
            </w:r>
          </w:p>
        </w:tc>
        <w:tc>
          <w:tcPr>
            <w:tcW w:w="1134"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E273F1D" w14:textId="77777777" w:rsidR="008940B3" w:rsidRPr="00F7661C" w:rsidRDefault="008940B3" w:rsidP="00F7661C">
            <w:pPr>
              <w:suppressAutoHyphens/>
              <w:spacing w:line="240" w:lineRule="auto"/>
              <w:jc w:val="center"/>
              <w:rPr>
                <w:sz w:val="14"/>
                <w:szCs w:val="16"/>
              </w:rPr>
            </w:pPr>
            <w:r w:rsidRPr="00F7661C">
              <w:rPr>
                <w:rFonts w:ascii="Lucida Grande" w:hAnsi="Lucida Grande" w:cs="Lucida Grande"/>
                <w:color w:val="000000"/>
                <w:sz w:val="14"/>
                <w:szCs w:val="16"/>
              </w:rPr>
              <w:t>✓</w:t>
            </w:r>
          </w:p>
        </w:tc>
        <w:tc>
          <w:tcPr>
            <w:tcW w:w="98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52AD0AE2" w14:textId="77777777" w:rsidR="008940B3" w:rsidRPr="00F7661C" w:rsidRDefault="008940B3" w:rsidP="00F7661C">
            <w:pPr>
              <w:suppressAutoHyphens/>
              <w:spacing w:line="240" w:lineRule="auto"/>
              <w:jc w:val="center"/>
              <w:rPr>
                <w:sz w:val="14"/>
                <w:szCs w:val="16"/>
              </w:rPr>
            </w:pPr>
            <w:r w:rsidRPr="00F7661C">
              <w:rPr>
                <w:rFonts w:ascii="Lucida Grande" w:hAnsi="Lucida Grande" w:cs="Lucida Grande"/>
                <w:color w:val="000000"/>
                <w:sz w:val="14"/>
                <w:szCs w:val="16"/>
              </w:rPr>
              <w:t>✓</w:t>
            </w:r>
          </w:p>
        </w:tc>
        <w:tc>
          <w:tcPr>
            <w:tcW w:w="987"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538767A7"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CA04C8F" w14:textId="77777777" w:rsidR="008940B3" w:rsidRPr="00F7661C" w:rsidRDefault="008940B3" w:rsidP="00F7661C">
            <w:pPr>
              <w:suppressAutoHyphens/>
              <w:spacing w:line="240" w:lineRule="auto"/>
              <w:jc w:val="center"/>
              <w:rPr>
                <w:sz w:val="14"/>
                <w:szCs w:val="16"/>
              </w:rPr>
            </w:pPr>
            <w:r w:rsidRPr="00F7661C">
              <w:rPr>
                <w:rFonts w:ascii="Lucida Grande" w:hAnsi="Lucida Grande" w:cs="Lucida Grande"/>
                <w:color w:val="000000"/>
                <w:sz w:val="14"/>
                <w:szCs w:val="16"/>
              </w:rPr>
              <w:t>✓</w:t>
            </w:r>
          </w:p>
        </w:tc>
        <w:tc>
          <w:tcPr>
            <w:tcW w:w="987" w:type="dxa"/>
            <w:tcBorders>
              <w:top w:val="single" w:sz="6" w:space="0" w:color="000000"/>
              <w:left w:val="single" w:sz="6" w:space="0" w:color="000000"/>
              <w:bottom w:val="single" w:sz="6" w:space="0" w:color="000000"/>
              <w:right w:val="single" w:sz="6" w:space="0" w:color="000000"/>
            </w:tcBorders>
            <w:shd w:val="clear" w:color="auto" w:fill="EFEFEF"/>
          </w:tcPr>
          <w:p w14:paraId="7CA5CA16" w14:textId="77777777" w:rsidR="008940B3" w:rsidRPr="00F7661C" w:rsidRDefault="008940B3" w:rsidP="00F7661C">
            <w:pPr>
              <w:suppressAutoHyphens/>
              <w:spacing w:line="240" w:lineRule="auto"/>
              <w:jc w:val="center"/>
              <w:rPr>
                <w:color w:val="000000"/>
                <w:sz w:val="14"/>
                <w:szCs w:val="16"/>
              </w:rPr>
            </w:pPr>
            <w:r w:rsidRPr="00F7661C">
              <w:rPr>
                <w:rFonts w:ascii="Lucida Grande" w:hAnsi="Lucida Grande" w:cs="Lucida Grande"/>
                <w:color w:val="000000"/>
                <w:sz w:val="14"/>
                <w:szCs w:val="16"/>
              </w:rPr>
              <w:t>✓</w:t>
            </w:r>
          </w:p>
        </w:tc>
        <w:tc>
          <w:tcPr>
            <w:tcW w:w="728" w:type="dxa"/>
            <w:tcBorders>
              <w:top w:val="single" w:sz="6" w:space="0" w:color="000000"/>
              <w:left w:val="single" w:sz="6" w:space="0" w:color="000000"/>
              <w:bottom w:val="single" w:sz="6" w:space="0" w:color="000000"/>
              <w:right w:val="single" w:sz="6" w:space="0" w:color="000000"/>
            </w:tcBorders>
            <w:shd w:val="clear" w:color="auto" w:fill="EFEFEF"/>
          </w:tcPr>
          <w:p w14:paraId="7F469A69" w14:textId="77777777" w:rsidR="008940B3" w:rsidRPr="00F7661C" w:rsidRDefault="008940B3" w:rsidP="00F7661C">
            <w:pPr>
              <w:suppressAutoHyphens/>
              <w:spacing w:line="240" w:lineRule="auto"/>
              <w:jc w:val="center"/>
              <w:rPr>
                <w:color w:val="000000"/>
                <w:sz w:val="14"/>
                <w:szCs w:val="16"/>
              </w:rPr>
            </w:pPr>
          </w:p>
        </w:tc>
        <w:tc>
          <w:tcPr>
            <w:tcW w:w="709" w:type="dxa"/>
            <w:tcBorders>
              <w:top w:val="single" w:sz="6" w:space="0" w:color="000000"/>
              <w:left w:val="single" w:sz="6" w:space="0" w:color="000000"/>
              <w:bottom w:val="single" w:sz="6" w:space="0" w:color="000000"/>
              <w:right w:val="single" w:sz="6" w:space="0" w:color="000000"/>
            </w:tcBorders>
            <w:shd w:val="clear" w:color="auto" w:fill="EFEFEF"/>
          </w:tcPr>
          <w:p w14:paraId="529EA80D" w14:textId="77777777" w:rsidR="008940B3" w:rsidRPr="00F7661C" w:rsidRDefault="008940B3" w:rsidP="00F7661C">
            <w:pPr>
              <w:suppressAutoHyphens/>
              <w:spacing w:line="240" w:lineRule="auto"/>
              <w:jc w:val="center"/>
              <w:rPr>
                <w:color w:val="000000"/>
                <w:sz w:val="14"/>
                <w:szCs w:val="16"/>
              </w:rPr>
            </w:pPr>
          </w:p>
        </w:tc>
      </w:tr>
      <w:tr w:rsidR="008940B3" w:rsidRPr="00F7661C" w14:paraId="21B37463" w14:textId="77777777" w:rsidTr="00F7661C">
        <w:tblPrEx>
          <w:tblCellMar>
            <w:left w:w="0" w:type="dxa"/>
            <w:right w:w="0" w:type="dxa"/>
          </w:tblCellMar>
        </w:tblPrEx>
        <w:trPr>
          <w:trHeight w:val="57"/>
        </w:trPr>
        <w:tc>
          <w:tcPr>
            <w:tcW w:w="19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D7246CE" w14:textId="77777777" w:rsidR="008940B3" w:rsidRPr="00F7661C" w:rsidRDefault="008940B3" w:rsidP="00F7661C">
            <w:pPr>
              <w:suppressAutoHyphens/>
              <w:spacing w:line="240" w:lineRule="auto"/>
              <w:jc w:val="center"/>
              <w:rPr>
                <w:sz w:val="14"/>
                <w:szCs w:val="16"/>
              </w:rPr>
            </w:pPr>
            <w:r w:rsidRPr="00F7661C">
              <w:rPr>
                <w:color w:val="000000"/>
                <w:sz w:val="14"/>
                <w:szCs w:val="16"/>
              </w:rPr>
              <w:t>KALOCHORAPHITIS</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4134433"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22C19A5"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0E07C80"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F14FEC2" w14:textId="77777777" w:rsidR="008940B3" w:rsidRPr="00F7661C" w:rsidRDefault="008940B3" w:rsidP="00F7661C">
            <w:pPr>
              <w:suppressAutoHyphens/>
              <w:spacing w:line="240" w:lineRule="auto"/>
              <w:jc w:val="center"/>
              <w:rPr>
                <w:sz w:val="14"/>
                <w:szCs w:val="16"/>
              </w:rPr>
            </w:pPr>
            <w:r w:rsidRPr="00F7661C">
              <w:rPr>
                <w:rFonts w:ascii="Lucida Grande" w:hAnsi="Lucida Grande" w:cs="Lucida Grande"/>
                <w:color w:val="000000"/>
                <w:sz w:val="14"/>
                <w:szCs w:val="16"/>
              </w:rPr>
              <w:t>✓</w:t>
            </w:r>
          </w:p>
        </w:tc>
        <w:tc>
          <w:tcPr>
            <w:tcW w:w="987" w:type="dxa"/>
            <w:tcBorders>
              <w:top w:val="single" w:sz="6" w:space="0" w:color="000000"/>
              <w:left w:val="single" w:sz="6" w:space="0" w:color="000000"/>
              <w:bottom w:val="single" w:sz="6" w:space="0" w:color="000000"/>
              <w:right w:val="single" w:sz="6" w:space="0" w:color="000000"/>
            </w:tcBorders>
          </w:tcPr>
          <w:p w14:paraId="637E4485" w14:textId="77777777" w:rsidR="008940B3" w:rsidRPr="00F7661C" w:rsidRDefault="008940B3" w:rsidP="00F7661C">
            <w:pPr>
              <w:suppressAutoHyphens/>
              <w:spacing w:line="240" w:lineRule="auto"/>
              <w:jc w:val="center"/>
              <w:rPr>
                <w:color w:val="000000"/>
                <w:sz w:val="14"/>
                <w:szCs w:val="16"/>
              </w:rPr>
            </w:pPr>
          </w:p>
        </w:tc>
        <w:tc>
          <w:tcPr>
            <w:tcW w:w="728" w:type="dxa"/>
            <w:tcBorders>
              <w:top w:val="single" w:sz="6" w:space="0" w:color="000000"/>
              <w:left w:val="single" w:sz="6" w:space="0" w:color="000000"/>
              <w:bottom w:val="single" w:sz="6" w:space="0" w:color="000000"/>
              <w:right w:val="single" w:sz="6" w:space="0" w:color="000000"/>
            </w:tcBorders>
          </w:tcPr>
          <w:p w14:paraId="7E179FD1" w14:textId="77777777" w:rsidR="008940B3" w:rsidRPr="00F7661C" w:rsidRDefault="008940B3" w:rsidP="00F7661C">
            <w:pPr>
              <w:suppressAutoHyphens/>
              <w:spacing w:line="240" w:lineRule="auto"/>
              <w:jc w:val="center"/>
              <w:rPr>
                <w:color w:val="000000"/>
                <w:sz w:val="14"/>
                <w:szCs w:val="16"/>
              </w:rPr>
            </w:pPr>
          </w:p>
        </w:tc>
        <w:tc>
          <w:tcPr>
            <w:tcW w:w="709" w:type="dxa"/>
            <w:tcBorders>
              <w:top w:val="single" w:sz="6" w:space="0" w:color="000000"/>
              <w:left w:val="single" w:sz="6" w:space="0" w:color="000000"/>
              <w:bottom w:val="single" w:sz="6" w:space="0" w:color="000000"/>
              <w:right w:val="single" w:sz="6" w:space="0" w:color="000000"/>
            </w:tcBorders>
          </w:tcPr>
          <w:p w14:paraId="6B5B1EA4" w14:textId="77777777" w:rsidR="008940B3" w:rsidRPr="00F7661C" w:rsidRDefault="008940B3" w:rsidP="00F7661C">
            <w:pPr>
              <w:suppressAutoHyphens/>
              <w:spacing w:line="240" w:lineRule="auto"/>
              <w:jc w:val="center"/>
              <w:rPr>
                <w:color w:val="000000"/>
                <w:sz w:val="14"/>
                <w:szCs w:val="16"/>
              </w:rPr>
            </w:pPr>
          </w:p>
        </w:tc>
      </w:tr>
      <w:tr w:rsidR="008940B3" w:rsidRPr="00F7661C" w14:paraId="2F2AF1BB" w14:textId="77777777" w:rsidTr="00F7661C">
        <w:tblPrEx>
          <w:tblCellMar>
            <w:left w:w="0" w:type="dxa"/>
            <w:right w:w="0" w:type="dxa"/>
          </w:tblCellMar>
        </w:tblPrEx>
        <w:trPr>
          <w:trHeight w:val="57"/>
        </w:trPr>
        <w:tc>
          <w:tcPr>
            <w:tcW w:w="1903"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7C84C8B6" w14:textId="77777777" w:rsidR="008940B3" w:rsidRPr="00F7661C" w:rsidRDefault="008940B3" w:rsidP="00F7661C">
            <w:pPr>
              <w:suppressAutoHyphens/>
              <w:spacing w:line="240" w:lineRule="auto"/>
              <w:jc w:val="center"/>
              <w:rPr>
                <w:sz w:val="14"/>
                <w:szCs w:val="16"/>
              </w:rPr>
            </w:pPr>
            <w:r w:rsidRPr="00F7661C">
              <w:rPr>
                <w:color w:val="000000"/>
                <w:sz w:val="14"/>
                <w:szCs w:val="16"/>
              </w:rPr>
              <w:t>KAMILARI</w:t>
            </w:r>
          </w:p>
        </w:tc>
        <w:tc>
          <w:tcPr>
            <w:tcW w:w="1134"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D14EAA7"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767AB7F2" w14:textId="77777777" w:rsidR="008940B3" w:rsidRPr="00F7661C" w:rsidRDefault="008940B3" w:rsidP="00F7661C">
            <w:pPr>
              <w:suppressAutoHyphens/>
              <w:spacing w:line="240" w:lineRule="auto"/>
              <w:jc w:val="center"/>
              <w:rPr>
                <w:sz w:val="14"/>
                <w:szCs w:val="16"/>
              </w:rPr>
            </w:pPr>
            <w:r w:rsidRPr="00F7661C">
              <w:rPr>
                <w:rFonts w:ascii="Lucida Grande" w:hAnsi="Lucida Grande" w:cs="Lucida Grande"/>
                <w:color w:val="000000"/>
                <w:sz w:val="14"/>
                <w:szCs w:val="16"/>
              </w:rPr>
              <w:t>✓</w:t>
            </w:r>
          </w:p>
        </w:tc>
        <w:tc>
          <w:tcPr>
            <w:tcW w:w="987"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5CEFB05B"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724D6D32"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shd w:val="clear" w:color="auto" w:fill="EFEFEF"/>
          </w:tcPr>
          <w:p w14:paraId="1F6304B6" w14:textId="77777777" w:rsidR="008940B3" w:rsidRPr="00F7661C" w:rsidRDefault="008940B3" w:rsidP="00F7661C">
            <w:pPr>
              <w:suppressAutoHyphens/>
              <w:spacing w:line="240" w:lineRule="auto"/>
              <w:jc w:val="center"/>
              <w:rPr>
                <w:color w:val="000000"/>
                <w:sz w:val="14"/>
                <w:szCs w:val="16"/>
              </w:rPr>
            </w:pPr>
          </w:p>
        </w:tc>
        <w:tc>
          <w:tcPr>
            <w:tcW w:w="728" w:type="dxa"/>
            <w:tcBorders>
              <w:top w:val="single" w:sz="6" w:space="0" w:color="000000"/>
              <w:left w:val="single" w:sz="6" w:space="0" w:color="000000"/>
              <w:bottom w:val="single" w:sz="6" w:space="0" w:color="000000"/>
              <w:right w:val="single" w:sz="6" w:space="0" w:color="000000"/>
            </w:tcBorders>
            <w:shd w:val="clear" w:color="auto" w:fill="EFEFEF"/>
          </w:tcPr>
          <w:p w14:paraId="34B8832C" w14:textId="77777777" w:rsidR="008940B3" w:rsidRPr="00F7661C" w:rsidRDefault="008940B3" w:rsidP="00F7661C">
            <w:pPr>
              <w:suppressAutoHyphens/>
              <w:spacing w:line="240" w:lineRule="auto"/>
              <w:jc w:val="center"/>
              <w:rPr>
                <w:color w:val="000000"/>
                <w:sz w:val="14"/>
                <w:szCs w:val="16"/>
              </w:rPr>
            </w:pPr>
          </w:p>
        </w:tc>
        <w:tc>
          <w:tcPr>
            <w:tcW w:w="709" w:type="dxa"/>
            <w:tcBorders>
              <w:top w:val="single" w:sz="6" w:space="0" w:color="000000"/>
              <w:left w:val="single" w:sz="6" w:space="0" w:color="000000"/>
              <w:bottom w:val="single" w:sz="6" w:space="0" w:color="000000"/>
              <w:right w:val="single" w:sz="6" w:space="0" w:color="000000"/>
            </w:tcBorders>
            <w:shd w:val="clear" w:color="auto" w:fill="EFEFEF"/>
          </w:tcPr>
          <w:p w14:paraId="258D0CA6" w14:textId="77777777" w:rsidR="008940B3" w:rsidRPr="00F7661C" w:rsidRDefault="008940B3" w:rsidP="00F7661C">
            <w:pPr>
              <w:suppressAutoHyphens/>
              <w:spacing w:line="240" w:lineRule="auto"/>
              <w:jc w:val="center"/>
              <w:rPr>
                <w:color w:val="000000"/>
                <w:sz w:val="14"/>
                <w:szCs w:val="16"/>
              </w:rPr>
            </w:pPr>
          </w:p>
        </w:tc>
      </w:tr>
      <w:tr w:rsidR="008940B3" w:rsidRPr="00F7661C" w14:paraId="045EEDB2" w14:textId="77777777" w:rsidTr="00F7661C">
        <w:tblPrEx>
          <w:tblCellMar>
            <w:left w:w="0" w:type="dxa"/>
            <w:right w:w="0" w:type="dxa"/>
          </w:tblCellMar>
        </w:tblPrEx>
        <w:trPr>
          <w:trHeight w:val="57"/>
        </w:trPr>
        <w:tc>
          <w:tcPr>
            <w:tcW w:w="19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D8859F8" w14:textId="77777777" w:rsidR="008940B3" w:rsidRPr="00F7661C" w:rsidRDefault="008940B3" w:rsidP="00F7661C">
            <w:pPr>
              <w:suppressAutoHyphens/>
              <w:spacing w:line="240" w:lineRule="auto"/>
              <w:jc w:val="center"/>
              <w:rPr>
                <w:sz w:val="14"/>
                <w:szCs w:val="16"/>
              </w:rPr>
            </w:pPr>
            <w:r w:rsidRPr="00F7661C">
              <w:rPr>
                <w:color w:val="000000"/>
                <w:sz w:val="14"/>
                <w:szCs w:val="16"/>
              </w:rPr>
              <w:t>KLIMA</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2F03A11"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4F04FC8"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2316893"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C859CBB" w14:textId="77777777" w:rsidR="008940B3" w:rsidRPr="00F7661C" w:rsidRDefault="008940B3" w:rsidP="00F7661C">
            <w:pPr>
              <w:suppressAutoHyphens/>
              <w:spacing w:line="240" w:lineRule="auto"/>
              <w:jc w:val="center"/>
              <w:rPr>
                <w:sz w:val="14"/>
                <w:szCs w:val="16"/>
              </w:rPr>
            </w:pPr>
            <w:r w:rsidRPr="00F7661C">
              <w:rPr>
                <w:rFonts w:ascii="Lucida Grande" w:hAnsi="Lucida Grande" w:cs="Lucida Grande"/>
                <w:color w:val="000000"/>
                <w:sz w:val="14"/>
                <w:szCs w:val="16"/>
              </w:rPr>
              <w:t>✓</w:t>
            </w:r>
          </w:p>
        </w:tc>
        <w:tc>
          <w:tcPr>
            <w:tcW w:w="987" w:type="dxa"/>
            <w:tcBorders>
              <w:top w:val="single" w:sz="6" w:space="0" w:color="000000"/>
              <w:left w:val="single" w:sz="6" w:space="0" w:color="000000"/>
              <w:bottom w:val="single" w:sz="6" w:space="0" w:color="000000"/>
              <w:right w:val="single" w:sz="6" w:space="0" w:color="000000"/>
            </w:tcBorders>
          </w:tcPr>
          <w:p w14:paraId="1CDA76CC" w14:textId="77777777" w:rsidR="008940B3" w:rsidRPr="00F7661C" w:rsidRDefault="008940B3" w:rsidP="00F7661C">
            <w:pPr>
              <w:suppressAutoHyphens/>
              <w:spacing w:line="240" w:lineRule="auto"/>
              <w:jc w:val="center"/>
              <w:rPr>
                <w:color w:val="000000"/>
                <w:sz w:val="14"/>
                <w:szCs w:val="16"/>
              </w:rPr>
            </w:pPr>
          </w:p>
        </w:tc>
        <w:tc>
          <w:tcPr>
            <w:tcW w:w="728" w:type="dxa"/>
            <w:tcBorders>
              <w:top w:val="single" w:sz="6" w:space="0" w:color="000000"/>
              <w:left w:val="single" w:sz="6" w:space="0" w:color="000000"/>
              <w:bottom w:val="single" w:sz="6" w:space="0" w:color="000000"/>
              <w:right w:val="single" w:sz="6" w:space="0" w:color="000000"/>
            </w:tcBorders>
          </w:tcPr>
          <w:p w14:paraId="040C20D1" w14:textId="77777777" w:rsidR="008940B3" w:rsidRPr="00F7661C" w:rsidRDefault="008940B3" w:rsidP="00F7661C">
            <w:pPr>
              <w:suppressAutoHyphens/>
              <w:spacing w:line="240" w:lineRule="auto"/>
              <w:jc w:val="center"/>
              <w:rPr>
                <w:color w:val="000000"/>
                <w:sz w:val="14"/>
                <w:szCs w:val="16"/>
              </w:rPr>
            </w:pPr>
          </w:p>
        </w:tc>
        <w:tc>
          <w:tcPr>
            <w:tcW w:w="709" w:type="dxa"/>
            <w:tcBorders>
              <w:top w:val="single" w:sz="6" w:space="0" w:color="000000"/>
              <w:left w:val="single" w:sz="6" w:space="0" w:color="000000"/>
              <w:bottom w:val="single" w:sz="6" w:space="0" w:color="000000"/>
              <w:right w:val="single" w:sz="6" w:space="0" w:color="000000"/>
            </w:tcBorders>
          </w:tcPr>
          <w:p w14:paraId="6053A7F3" w14:textId="77777777" w:rsidR="008940B3" w:rsidRPr="00F7661C" w:rsidRDefault="008940B3" w:rsidP="00F7661C">
            <w:pPr>
              <w:suppressAutoHyphens/>
              <w:spacing w:line="240" w:lineRule="auto"/>
              <w:jc w:val="center"/>
              <w:rPr>
                <w:color w:val="000000"/>
                <w:sz w:val="14"/>
                <w:szCs w:val="16"/>
              </w:rPr>
            </w:pPr>
          </w:p>
        </w:tc>
      </w:tr>
      <w:tr w:rsidR="008940B3" w:rsidRPr="00F7661C" w14:paraId="4FECB94A" w14:textId="77777777" w:rsidTr="00F7661C">
        <w:tblPrEx>
          <w:tblCellMar>
            <w:left w:w="0" w:type="dxa"/>
            <w:right w:w="0" w:type="dxa"/>
          </w:tblCellMar>
        </w:tblPrEx>
        <w:trPr>
          <w:trHeight w:val="57"/>
        </w:trPr>
        <w:tc>
          <w:tcPr>
            <w:tcW w:w="1903"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8D18607" w14:textId="77777777" w:rsidR="008940B3" w:rsidRPr="00F7661C" w:rsidRDefault="008940B3" w:rsidP="00F7661C">
            <w:pPr>
              <w:suppressAutoHyphens/>
              <w:spacing w:line="240" w:lineRule="auto"/>
              <w:jc w:val="center"/>
              <w:rPr>
                <w:sz w:val="14"/>
                <w:szCs w:val="16"/>
              </w:rPr>
            </w:pPr>
            <w:r w:rsidRPr="00F7661C">
              <w:rPr>
                <w:sz w:val="14"/>
                <w:szCs w:val="16"/>
              </w:rPr>
              <w:t>KOUSSES</w:t>
            </w:r>
          </w:p>
        </w:tc>
        <w:tc>
          <w:tcPr>
            <w:tcW w:w="1134"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290F9582"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55E76355"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28DA9C2E"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65A6648E"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shd w:val="clear" w:color="auto" w:fill="EFEFEF"/>
          </w:tcPr>
          <w:p w14:paraId="3B6C7F3E" w14:textId="77777777" w:rsidR="008940B3" w:rsidRPr="00F7661C" w:rsidRDefault="008940B3" w:rsidP="00F7661C">
            <w:pPr>
              <w:suppressAutoHyphens/>
              <w:spacing w:line="240" w:lineRule="auto"/>
              <w:jc w:val="center"/>
              <w:rPr>
                <w:color w:val="000000"/>
                <w:sz w:val="14"/>
                <w:szCs w:val="16"/>
              </w:rPr>
            </w:pPr>
            <w:r w:rsidRPr="00F7661C">
              <w:rPr>
                <w:rFonts w:ascii="Lucida Grande" w:hAnsi="Lucida Grande" w:cs="Lucida Grande"/>
                <w:color w:val="000000"/>
                <w:sz w:val="14"/>
                <w:szCs w:val="16"/>
              </w:rPr>
              <w:t>✓</w:t>
            </w:r>
          </w:p>
        </w:tc>
        <w:tc>
          <w:tcPr>
            <w:tcW w:w="728" w:type="dxa"/>
            <w:tcBorders>
              <w:top w:val="single" w:sz="6" w:space="0" w:color="000000"/>
              <w:left w:val="single" w:sz="6" w:space="0" w:color="000000"/>
              <w:bottom w:val="single" w:sz="6" w:space="0" w:color="000000"/>
              <w:right w:val="single" w:sz="6" w:space="0" w:color="000000"/>
            </w:tcBorders>
            <w:shd w:val="clear" w:color="auto" w:fill="EFEFEF"/>
          </w:tcPr>
          <w:p w14:paraId="4C5A3754" w14:textId="77777777" w:rsidR="008940B3" w:rsidRPr="00F7661C" w:rsidRDefault="008940B3" w:rsidP="00F7661C">
            <w:pPr>
              <w:suppressAutoHyphens/>
              <w:spacing w:line="240" w:lineRule="auto"/>
              <w:jc w:val="center"/>
              <w:rPr>
                <w:color w:val="000000"/>
                <w:sz w:val="14"/>
                <w:szCs w:val="16"/>
              </w:rPr>
            </w:pPr>
          </w:p>
        </w:tc>
        <w:tc>
          <w:tcPr>
            <w:tcW w:w="709" w:type="dxa"/>
            <w:tcBorders>
              <w:top w:val="single" w:sz="6" w:space="0" w:color="000000"/>
              <w:left w:val="single" w:sz="6" w:space="0" w:color="000000"/>
              <w:bottom w:val="single" w:sz="6" w:space="0" w:color="000000"/>
              <w:right w:val="single" w:sz="6" w:space="0" w:color="000000"/>
            </w:tcBorders>
            <w:shd w:val="clear" w:color="auto" w:fill="EFEFEF"/>
          </w:tcPr>
          <w:p w14:paraId="3C096822" w14:textId="77777777" w:rsidR="008940B3" w:rsidRPr="00F7661C" w:rsidRDefault="008940B3" w:rsidP="00F7661C">
            <w:pPr>
              <w:suppressAutoHyphens/>
              <w:spacing w:line="240" w:lineRule="auto"/>
              <w:jc w:val="center"/>
              <w:rPr>
                <w:color w:val="000000"/>
                <w:sz w:val="14"/>
                <w:szCs w:val="16"/>
              </w:rPr>
            </w:pPr>
          </w:p>
        </w:tc>
      </w:tr>
      <w:tr w:rsidR="008940B3" w:rsidRPr="00F7661C" w14:paraId="29709844" w14:textId="77777777" w:rsidTr="00F7661C">
        <w:tblPrEx>
          <w:tblCellMar>
            <w:left w:w="0" w:type="dxa"/>
            <w:right w:w="0" w:type="dxa"/>
          </w:tblCellMar>
        </w:tblPrEx>
        <w:trPr>
          <w:trHeight w:val="57"/>
        </w:trPr>
        <w:tc>
          <w:tcPr>
            <w:tcW w:w="19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78D3D06" w14:textId="77777777" w:rsidR="008940B3" w:rsidRPr="00F7661C" w:rsidRDefault="008940B3" w:rsidP="00F7661C">
            <w:pPr>
              <w:suppressAutoHyphens/>
              <w:spacing w:line="240" w:lineRule="auto"/>
              <w:jc w:val="center"/>
              <w:rPr>
                <w:sz w:val="14"/>
                <w:szCs w:val="16"/>
              </w:rPr>
            </w:pPr>
            <w:r w:rsidRPr="00F7661C">
              <w:rPr>
                <w:sz w:val="14"/>
                <w:szCs w:val="16"/>
              </w:rPr>
              <w:t>LILIANA</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06AF3A9"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212641F"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697EF46"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DC32D91" w14:textId="77777777" w:rsidR="008940B3" w:rsidRPr="00F7661C" w:rsidRDefault="008940B3" w:rsidP="00F7661C">
            <w:pPr>
              <w:suppressAutoHyphens/>
              <w:spacing w:line="240" w:lineRule="auto"/>
              <w:jc w:val="center"/>
              <w:rPr>
                <w:sz w:val="14"/>
                <w:szCs w:val="16"/>
              </w:rPr>
            </w:pPr>
            <w:r w:rsidRPr="00F7661C">
              <w:rPr>
                <w:rFonts w:ascii="Lucida Grande" w:hAnsi="Lucida Grande" w:cs="Lucida Grande"/>
                <w:color w:val="000000"/>
                <w:sz w:val="14"/>
                <w:szCs w:val="16"/>
              </w:rPr>
              <w:t>✓</w:t>
            </w:r>
          </w:p>
        </w:tc>
        <w:tc>
          <w:tcPr>
            <w:tcW w:w="987" w:type="dxa"/>
            <w:tcBorders>
              <w:top w:val="single" w:sz="6" w:space="0" w:color="000000"/>
              <w:left w:val="single" w:sz="6" w:space="0" w:color="000000"/>
              <w:bottom w:val="single" w:sz="6" w:space="0" w:color="000000"/>
              <w:right w:val="single" w:sz="6" w:space="0" w:color="000000"/>
            </w:tcBorders>
          </w:tcPr>
          <w:p w14:paraId="53B7E50C" w14:textId="77777777" w:rsidR="008940B3" w:rsidRPr="00F7661C" w:rsidRDefault="008940B3" w:rsidP="00F7661C">
            <w:pPr>
              <w:suppressAutoHyphens/>
              <w:spacing w:line="240" w:lineRule="auto"/>
              <w:jc w:val="center"/>
              <w:rPr>
                <w:color w:val="000000"/>
                <w:sz w:val="14"/>
                <w:szCs w:val="16"/>
              </w:rPr>
            </w:pPr>
          </w:p>
        </w:tc>
        <w:tc>
          <w:tcPr>
            <w:tcW w:w="728" w:type="dxa"/>
            <w:tcBorders>
              <w:top w:val="single" w:sz="6" w:space="0" w:color="000000"/>
              <w:left w:val="single" w:sz="6" w:space="0" w:color="000000"/>
              <w:bottom w:val="single" w:sz="6" w:space="0" w:color="000000"/>
              <w:right w:val="single" w:sz="6" w:space="0" w:color="000000"/>
            </w:tcBorders>
          </w:tcPr>
          <w:p w14:paraId="50DAE13D" w14:textId="77777777" w:rsidR="008940B3" w:rsidRPr="00F7661C" w:rsidRDefault="008940B3" w:rsidP="00F7661C">
            <w:pPr>
              <w:suppressAutoHyphens/>
              <w:spacing w:line="240" w:lineRule="auto"/>
              <w:jc w:val="center"/>
              <w:rPr>
                <w:color w:val="000000"/>
                <w:sz w:val="14"/>
                <w:szCs w:val="16"/>
              </w:rPr>
            </w:pPr>
            <w:r w:rsidRPr="00F7661C">
              <w:rPr>
                <w:rFonts w:ascii="Lucida Grande" w:hAnsi="Lucida Grande" w:cs="Lucida Grande"/>
                <w:color w:val="000000"/>
                <w:sz w:val="14"/>
                <w:szCs w:val="16"/>
              </w:rPr>
              <w:t>✓</w:t>
            </w:r>
          </w:p>
        </w:tc>
        <w:tc>
          <w:tcPr>
            <w:tcW w:w="709" w:type="dxa"/>
            <w:tcBorders>
              <w:top w:val="single" w:sz="6" w:space="0" w:color="000000"/>
              <w:left w:val="single" w:sz="6" w:space="0" w:color="000000"/>
              <w:bottom w:val="single" w:sz="6" w:space="0" w:color="000000"/>
              <w:right w:val="single" w:sz="6" w:space="0" w:color="000000"/>
            </w:tcBorders>
          </w:tcPr>
          <w:p w14:paraId="77FFBFDE" w14:textId="77777777" w:rsidR="008940B3" w:rsidRPr="00F7661C" w:rsidRDefault="008940B3" w:rsidP="00F7661C">
            <w:pPr>
              <w:suppressAutoHyphens/>
              <w:spacing w:line="240" w:lineRule="auto"/>
              <w:jc w:val="center"/>
              <w:rPr>
                <w:rFonts w:ascii="Lucida Grande" w:hAnsi="Lucida Grande" w:cs="Lucida Grande"/>
                <w:color w:val="000000"/>
                <w:sz w:val="14"/>
                <w:szCs w:val="16"/>
              </w:rPr>
            </w:pPr>
          </w:p>
        </w:tc>
      </w:tr>
      <w:tr w:rsidR="008940B3" w:rsidRPr="00F7661C" w14:paraId="3675974F" w14:textId="77777777" w:rsidTr="00F7661C">
        <w:tblPrEx>
          <w:tblCellMar>
            <w:left w:w="0" w:type="dxa"/>
            <w:right w:w="0" w:type="dxa"/>
          </w:tblCellMar>
        </w:tblPrEx>
        <w:trPr>
          <w:trHeight w:val="57"/>
        </w:trPr>
        <w:tc>
          <w:tcPr>
            <w:tcW w:w="19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F8E42D7" w14:textId="77777777" w:rsidR="008940B3" w:rsidRPr="00F7661C" w:rsidRDefault="008940B3" w:rsidP="00F7661C">
            <w:pPr>
              <w:suppressAutoHyphens/>
              <w:spacing w:line="240" w:lineRule="auto"/>
              <w:jc w:val="center"/>
              <w:rPr>
                <w:sz w:val="14"/>
                <w:szCs w:val="16"/>
              </w:rPr>
            </w:pPr>
            <w:r w:rsidRPr="00F7661C">
              <w:rPr>
                <w:sz w:val="14"/>
                <w:szCs w:val="16"/>
              </w:rPr>
              <w:t>MIRES</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FA71FA6"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9761292"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1B36134"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9A4CC9A" w14:textId="77777777" w:rsidR="008940B3" w:rsidRPr="00F7661C" w:rsidRDefault="008940B3" w:rsidP="00F7661C">
            <w:pPr>
              <w:suppressAutoHyphens/>
              <w:spacing w:line="240" w:lineRule="auto"/>
              <w:jc w:val="center"/>
              <w:rPr>
                <w:color w:val="000000"/>
                <w:sz w:val="14"/>
                <w:szCs w:val="16"/>
              </w:rPr>
            </w:pPr>
            <w:r w:rsidRPr="00F7661C">
              <w:rPr>
                <w:rFonts w:ascii="Lucida Grande" w:hAnsi="Lucida Grande" w:cs="Lucida Grande"/>
                <w:color w:val="000000"/>
                <w:sz w:val="14"/>
                <w:szCs w:val="16"/>
              </w:rPr>
              <w:t>✓</w:t>
            </w:r>
          </w:p>
        </w:tc>
        <w:tc>
          <w:tcPr>
            <w:tcW w:w="987" w:type="dxa"/>
            <w:tcBorders>
              <w:top w:val="single" w:sz="6" w:space="0" w:color="000000"/>
              <w:left w:val="single" w:sz="6" w:space="0" w:color="000000"/>
              <w:bottom w:val="single" w:sz="6" w:space="0" w:color="000000"/>
              <w:right w:val="single" w:sz="6" w:space="0" w:color="000000"/>
            </w:tcBorders>
          </w:tcPr>
          <w:p w14:paraId="6249F913" w14:textId="77777777" w:rsidR="008940B3" w:rsidRPr="00F7661C" w:rsidRDefault="008940B3" w:rsidP="00F7661C">
            <w:pPr>
              <w:suppressAutoHyphens/>
              <w:spacing w:line="240" w:lineRule="auto"/>
              <w:jc w:val="center"/>
              <w:rPr>
                <w:color w:val="000000"/>
                <w:sz w:val="14"/>
                <w:szCs w:val="16"/>
              </w:rPr>
            </w:pPr>
          </w:p>
        </w:tc>
        <w:tc>
          <w:tcPr>
            <w:tcW w:w="728" w:type="dxa"/>
            <w:tcBorders>
              <w:top w:val="single" w:sz="6" w:space="0" w:color="000000"/>
              <w:left w:val="single" w:sz="6" w:space="0" w:color="000000"/>
              <w:bottom w:val="single" w:sz="6" w:space="0" w:color="000000"/>
              <w:right w:val="single" w:sz="6" w:space="0" w:color="000000"/>
            </w:tcBorders>
          </w:tcPr>
          <w:p w14:paraId="4AE53288" w14:textId="77777777" w:rsidR="008940B3" w:rsidRPr="00F7661C" w:rsidRDefault="008940B3" w:rsidP="00F7661C">
            <w:pPr>
              <w:suppressAutoHyphens/>
              <w:spacing w:line="240" w:lineRule="auto"/>
              <w:jc w:val="center"/>
              <w:rPr>
                <w:color w:val="000000"/>
                <w:sz w:val="14"/>
                <w:szCs w:val="16"/>
              </w:rPr>
            </w:pPr>
          </w:p>
        </w:tc>
        <w:tc>
          <w:tcPr>
            <w:tcW w:w="709" w:type="dxa"/>
            <w:tcBorders>
              <w:top w:val="single" w:sz="6" w:space="0" w:color="000000"/>
              <w:left w:val="single" w:sz="6" w:space="0" w:color="000000"/>
              <w:bottom w:val="single" w:sz="6" w:space="0" w:color="000000"/>
              <w:right w:val="single" w:sz="6" w:space="0" w:color="000000"/>
            </w:tcBorders>
          </w:tcPr>
          <w:p w14:paraId="55D06312" w14:textId="77777777" w:rsidR="008940B3" w:rsidRPr="00F7661C" w:rsidRDefault="008940B3" w:rsidP="00F7661C">
            <w:pPr>
              <w:suppressAutoHyphens/>
              <w:spacing w:line="240" w:lineRule="auto"/>
              <w:jc w:val="center"/>
              <w:rPr>
                <w:color w:val="000000"/>
                <w:sz w:val="14"/>
                <w:szCs w:val="16"/>
              </w:rPr>
            </w:pPr>
          </w:p>
        </w:tc>
      </w:tr>
      <w:tr w:rsidR="008940B3" w:rsidRPr="00F7661C" w14:paraId="1EBBB113" w14:textId="77777777" w:rsidTr="00F7661C">
        <w:tblPrEx>
          <w:tblCellMar>
            <w:left w:w="0" w:type="dxa"/>
            <w:right w:w="0" w:type="dxa"/>
          </w:tblCellMar>
        </w:tblPrEx>
        <w:trPr>
          <w:trHeight w:val="57"/>
        </w:trPr>
        <w:tc>
          <w:tcPr>
            <w:tcW w:w="19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83A8F82" w14:textId="77777777" w:rsidR="008940B3" w:rsidRPr="00F7661C" w:rsidRDefault="008940B3" w:rsidP="00F7661C">
            <w:pPr>
              <w:suppressAutoHyphens/>
              <w:spacing w:line="240" w:lineRule="auto"/>
              <w:jc w:val="center"/>
              <w:rPr>
                <w:rFonts w:eastAsia="Times New Roman"/>
                <w:color w:val="000000"/>
                <w:sz w:val="14"/>
                <w:szCs w:val="16"/>
              </w:rPr>
            </w:pPr>
            <w:r w:rsidRPr="00F7661C">
              <w:rPr>
                <w:rFonts w:eastAsia="Times New Roman"/>
                <w:color w:val="000000"/>
                <w:sz w:val="14"/>
                <w:szCs w:val="16"/>
              </w:rPr>
              <w:t>PANAYIA KALYVIANI</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9A057F3"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75AEA6D"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5E0600A"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BD156FF" w14:textId="77777777" w:rsidR="008940B3" w:rsidRPr="00F7661C" w:rsidRDefault="008940B3" w:rsidP="00F7661C">
            <w:pPr>
              <w:suppressAutoHyphens/>
              <w:spacing w:line="240" w:lineRule="auto"/>
              <w:jc w:val="center"/>
              <w:rPr>
                <w:color w:val="000000"/>
                <w:sz w:val="14"/>
                <w:szCs w:val="16"/>
              </w:rPr>
            </w:pPr>
          </w:p>
        </w:tc>
        <w:tc>
          <w:tcPr>
            <w:tcW w:w="987" w:type="dxa"/>
            <w:tcBorders>
              <w:top w:val="single" w:sz="6" w:space="0" w:color="000000"/>
              <w:left w:val="single" w:sz="6" w:space="0" w:color="000000"/>
              <w:bottom w:val="single" w:sz="6" w:space="0" w:color="000000"/>
              <w:right w:val="single" w:sz="6" w:space="0" w:color="000000"/>
            </w:tcBorders>
          </w:tcPr>
          <w:p w14:paraId="690335BF" w14:textId="77777777" w:rsidR="008940B3" w:rsidRPr="00F7661C" w:rsidRDefault="008940B3" w:rsidP="00F7661C">
            <w:pPr>
              <w:suppressAutoHyphens/>
              <w:spacing w:line="240" w:lineRule="auto"/>
              <w:jc w:val="center"/>
              <w:rPr>
                <w:color w:val="000000"/>
                <w:sz w:val="14"/>
                <w:szCs w:val="16"/>
              </w:rPr>
            </w:pPr>
          </w:p>
        </w:tc>
        <w:tc>
          <w:tcPr>
            <w:tcW w:w="728" w:type="dxa"/>
            <w:tcBorders>
              <w:top w:val="single" w:sz="6" w:space="0" w:color="000000"/>
              <w:left w:val="single" w:sz="6" w:space="0" w:color="000000"/>
              <w:bottom w:val="single" w:sz="6" w:space="0" w:color="000000"/>
              <w:right w:val="single" w:sz="6" w:space="0" w:color="000000"/>
            </w:tcBorders>
          </w:tcPr>
          <w:p w14:paraId="3B31DAAC" w14:textId="77777777" w:rsidR="008940B3" w:rsidRPr="00F7661C" w:rsidRDefault="008940B3" w:rsidP="00F7661C">
            <w:pPr>
              <w:suppressAutoHyphens/>
              <w:spacing w:line="240" w:lineRule="auto"/>
              <w:jc w:val="center"/>
              <w:rPr>
                <w:color w:val="000000"/>
                <w:sz w:val="14"/>
                <w:szCs w:val="16"/>
              </w:rPr>
            </w:pPr>
            <w:r w:rsidRPr="00F7661C">
              <w:rPr>
                <w:rFonts w:ascii="Lucida Grande" w:hAnsi="Lucida Grande" w:cs="Lucida Grande"/>
                <w:color w:val="000000"/>
                <w:sz w:val="14"/>
                <w:szCs w:val="16"/>
              </w:rPr>
              <w:t>✓</w:t>
            </w:r>
          </w:p>
        </w:tc>
        <w:tc>
          <w:tcPr>
            <w:tcW w:w="709" w:type="dxa"/>
            <w:tcBorders>
              <w:top w:val="single" w:sz="6" w:space="0" w:color="000000"/>
              <w:left w:val="single" w:sz="6" w:space="0" w:color="000000"/>
              <w:bottom w:val="single" w:sz="6" w:space="0" w:color="000000"/>
              <w:right w:val="single" w:sz="6" w:space="0" w:color="000000"/>
            </w:tcBorders>
          </w:tcPr>
          <w:p w14:paraId="029EBCC0" w14:textId="77777777" w:rsidR="008940B3" w:rsidRPr="00F7661C" w:rsidRDefault="008940B3" w:rsidP="00F7661C">
            <w:pPr>
              <w:suppressAutoHyphens/>
              <w:spacing w:line="240" w:lineRule="auto"/>
              <w:jc w:val="center"/>
              <w:rPr>
                <w:rFonts w:ascii="Lucida Grande" w:hAnsi="Lucida Grande" w:cs="Lucida Grande"/>
                <w:color w:val="000000"/>
                <w:sz w:val="14"/>
                <w:szCs w:val="16"/>
              </w:rPr>
            </w:pPr>
          </w:p>
        </w:tc>
      </w:tr>
      <w:tr w:rsidR="008940B3" w:rsidRPr="00F7661C" w14:paraId="50FEF3B8" w14:textId="77777777" w:rsidTr="00F7661C">
        <w:tblPrEx>
          <w:tblCellMar>
            <w:left w:w="0" w:type="dxa"/>
            <w:right w:w="0" w:type="dxa"/>
          </w:tblCellMar>
        </w:tblPrEx>
        <w:trPr>
          <w:trHeight w:val="57"/>
        </w:trPr>
        <w:tc>
          <w:tcPr>
            <w:tcW w:w="19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184D689" w14:textId="77777777" w:rsidR="008940B3" w:rsidRPr="00F7661C" w:rsidRDefault="008940B3" w:rsidP="00F7661C">
            <w:pPr>
              <w:suppressAutoHyphens/>
              <w:spacing w:line="240" w:lineRule="auto"/>
              <w:jc w:val="center"/>
              <w:rPr>
                <w:rFonts w:eastAsia="Times New Roman"/>
                <w:color w:val="000000"/>
                <w:sz w:val="14"/>
                <w:szCs w:val="16"/>
              </w:rPr>
            </w:pPr>
            <w:r w:rsidRPr="00F7661C">
              <w:rPr>
                <w:rFonts w:eastAsia="Times New Roman"/>
                <w:color w:val="000000"/>
                <w:sz w:val="14"/>
                <w:szCs w:val="16"/>
              </w:rPr>
              <w:t>POMBIA</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0270BD5"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4FD977C"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FA9573A"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E841294" w14:textId="77777777" w:rsidR="008940B3" w:rsidRPr="00F7661C" w:rsidRDefault="008940B3" w:rsidP="00F7661C">
            <w:pPr>
              <w:suppressAutoHyphens/>
              <w:spacing w:line="240" w:lineRule="auto"/>
              <w:jc w:val="center"/>
              <w:rPr>
                <w:color w:val="000000"/>
                <w:sz w:val="14"/>
                <w:szCs w:val="16"/>
              </w:rPr>
            </w:pPr>
            <w:r w:rsidRPr="00F7661C">
              <w:rPr>
                <w:rFonts w:ascii="Lucida Grande" w:hAnsi="Lucida Grande" w:cs="Lucida Grande"/>
                <w:color w:val="000000"/>
                <w:sz w:val="14"/>
                <w:szCs w:val="16"/>
              </w:rPr>
              <w:t>✓</w:t>
            </w:r>
          </w:p>
        </w:tc>
        <w:tc>
          <w:tcPr>
            <w:tcW w:w="987" w:type="dxa"/>
            <w:tcBorders>
              <w:top w:val="single" w:sz="6" w:space="0" w:color="000000"/>
              <w:left w:val="single" w:sz="6" w:space="0" w:color="000000"/>
              <w:bottom w:val="single" w:sz="6" w:space="0" w:color="000000"/>
              <w:right w:val="single" w:sz="6" w:space="0" w:color="000000"/>
            </w:tcBorders>
          </w:tcPr>
          <w:p w14:paraId="0BC98EB0" w14:textId="77777777" w:rsidR="008940B3" w:rsidRPr="00F7661C" w:rsidRDefault="008940B3" w:rsidP="00F7661C">
            <w:pPr>
              <w:suppressAutoHyphens/>
              <w:spacing w:line="240" w:lineRule="auto"/>
              <w:jc w:val="center"/>
              <w:rPr>
                <w:color w:val="000000"/>
                <w:sz w:val="14"/>
                <w:szCs w:val="16"/>
              </w:rPr>
            </w:pPr>
          </w:p>
        </w:tc>
        <w:tc>
          <w:tcPr>
            <w:tcW w:w="728" w:type="dxa"/>
            <w:tcBorders>
              <w:top w:val="single" w:sz="6" w:space="0" w:color="000000"/>
              <w:left w:val="single" w:sz="6" w:space="0" w:color="000000"/>
              <w:bottom w:val="single" w:sz="6" w:space="0" w:color="000000"/>
              <w:right w:val="single" w:sz="6" w:space="0" w:color="000000"/>
            </w:tcBorders>
          </w:tcPr>
          <w:p w14:paraId="4E739E06" w14:textId="77777777" w:rsidR="008940B3" w:rsidRPr="00F7661C" w:rsidRDefault="008940B3" w:rsidP="00F7661C">
            <w:pPr>
              <w:suppressAutoHyphens/>
              <w:spacing w:line="240" w:lineRule="auto"/>
              <w:jc w:val="center"/>
              <w:rPr>
                <w:color w:val="000000"/>
                <w:sz w:val="14"/>
                <w:szCs w:val="16"/>
              </w:rPr>
            </w:pPr>
          </w:p>
        </w:tc>
        <w:tc>
          <w:tcPr>
            <w:tcW w:w="709" w:type="dxa"/>
            <w:tcBorders>
              <w:top w:val="single" w:sz="6" w:space="0" w:color="000000"/>
              <w:left w:val="single" w:sz="6" w:space="0" w:color="000000"/>
              <w:bottom w:val="single" w:sz="6" w:space="0" w:color="000000"/>
              <w:right w:val="single" w:sz="6" w:space="0" w:color="000000"/>
            </w:tcBorders>
          </w:tcPr>
          <w:p w14:paraId="44822CD6" w14:textId="77777777" w:rsidR="008940B3" w:rsidRPr="00F7661C" w:rsidRDefault="008940B3" w:rsidP="00F7661C">
            <w:pPr>
              <w:suppressAutoHyphens/>
              <w:spacing w:line="240" w:lineRule="auto"/>
              <w:jc w:val="center"/>
              <w:rPr>
                <w:color w:val="000000"/>
                <w:sz w:val="14"/>
                <w:szCs w:val="16"/>
              </w:rPr>
            </w:pPr>
          </w:p>
        </w:tc>
      </w:tr>
      <w:tr w:rsidR="008940B3" w:rsidRPr="00F7661C" w14:paraId="09D873B3" w14:textId="77777777" w:rsidTr="00F7661C">
        <w:tblPrEx>
          <w:tblCellMar>
            <w:left w:w="0" w:type="dxa"/>
            <w:right w:w="0" w:type="dxa"/>
          </w:tblCellMar>
        </w:tblPrEx>
        <w:trPr>
          <w:trHeight w:val="57"/>
        </w:trPr>
        <w:tc>
          <w:tcPr>
            <w:tcW w:w="19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FD8BBD9" w14:textId="77777777" w:rsidR="008940B3" w:rsidRPr="00F7661C" w:rsidRDefault="008940B3" w:rsidP="00F7661C">
            <w:pPr>
              <w:suppressAutoHyphens/>
              <w:spacing w:line="240" w:lineRule="auto"/>
              <w:jc w:val="center"/>
              <w:rPr>
                <w:rFonts w:eastAsia="Times New Roman"/>
                <w:color w:val="000000"/>
                <w:sz w:val="14"/>
                <w:szCs w:val="16"/>
              </w:rPr>
            </w:pPr>
            <w:r w:rsidRPr="00F7661C">
              <w:rPr>
                <w:rFonts w:eastAsia="Times New Roman"/>
                <w:color w:val="000000"/>
                <w:sz w:val="14"/>
                <w:szCs w:val="16"/>
              </w:rPr>
              <w:t>STAVROS GALIAS</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8AB6427"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22DEA5D"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6849C1F"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8661CCB" w14:textId="77777777" w:rsidR="008940B3" w:rsidRPr="00F7661C" w:rsidRDefault="008940B3" w:rsidP="00F7661C">
            <w:pPr>
              <w:suppressAutoHyphens/>
              <w:spacing w:line="240" w:lineRule="auto"/>
              <w:jc w:val="center"/>
              <w:rPr>
                <w:color w:val="000000"/>
                <w:sz w:val="14"/>
                <w:szCs w:val="16"/>
              </w:rPr>
            </w:pPr>
            <w:r w:rsidRPr="00F7661C">
              <w:rPr>
                <w:rFonts w:ascii="Lucida Grande" w:hAnsi="Lucida Grande" w:cs="Lucida Grande"/>
                <w:color w:val="000000"/>
                <w:sz w:val="14"/>
                <w:szCs w:val="16"/>
              </w:rPr>
              <w:t>✓</w:t>
            </w:r>
          </w:p>
        </w:tc>
        <w:tc>
          <w:tcPr>
            <w:tcW w:w="987" w:type="dxa"/>
            <w:tcBorders>
              <w:top w:val="single" w:sz="6" w:space="0" w:color="000000"/>
              <w:left w:val="single" w:sz="6" w:space="0" w:color="000000"/>
              <w:bottom w:val="single" w:sz="6" w:space="0" w:color="000000"/>
              <w:right w:val="single" w:sz="6" w:space="0" w:color="000000"/>
            </w:tcBorders>
          </w:tcPr>
          <w:p w14:paraId="206B65D3" w14:textId="77777777" w:rsidR="008940B3" w:rsidRPr="00F7661C" w:rsidRDefault="008940B3" w:rsidP="00F7661C">
            <w:pPr>
              <w:suppressAutoHyphens/>
              <w:spacing w:line="240" w:lineRule="auto"/>
              <w:jc w:val="center"/>
              <w:rPr>
                <w:color w:val="000000"/>
                <w:sz w:val="14"/>
                <w:szCs w:val="16"/>
              </w:rPr>
            </w:pPr>
          </w:p>
        </w:tc>
        <w:tc>
          <w:tcPr>
            <w:tcW w:w="728" w:type="dxa"/>
            <w:tcBorders>
              <w:top w:val="single" w:sz="6" w:space="0" w:color="000000"/>
              <w:left w:val="single" w:sz="6" w:space="0" w:color="000000"/>
              <w:bottom w:val="single" w:sz="6" w:space="0" w:color="000000"/>
              <w:right w:val="single" w:sz="6" w:space="0" w:color="000000"/>
            </w:tcBorders>
          </w:tcPr>
          <w:p w14:paraId="532E0D78" w14:textId="77777777" w:rsidR="008940B3" w:rsidRPr="00F7661C" w:rsidRDefault="008940B3" w:rsidP="00F7661C">
            <w:pPr>
              <w:suppressAutoHyphens/>
              <w:spacing w:line="240" w:lineRule="auto"/>
              <w:jc w:val="center"/>
              <w:rPr>
                <w:color w:val="000000"/>
                <w:sz w:val="14"/>
                <w:szCs w:val="16"/>
              </w:rPr>
            </w:pPr>
          </w:p>
        </w:tc>
        <w:tc>
          <w:tcPr>
            <w:tcW w:w="709" w:type="dxa"/>
            <w:tcBorders>
              <w:top w:val="single" w:sz="6" w:space="0" w:color="000000"/>
              <w:left w:val="single" w:sz="6" w:space="0" w:color="000000"/>
              <w:bottom w:val="single" w:sz="6" w:space="0" w:color="000000"/>
              <w:right w:val="single" w:sz="6" w:space="0" w:color="000000"/>
            </w:tcBorders>
          </w:tcPr>
          <w:p w14:paraId="28C788D1" w14:textId="77777777" w:rsidR="008940B3" w:rsidRPr="00F7661C" w:rsidRDefault="008940B3" w:rsidP="00F7661C">
            <w:pPr>
              <w:suppressAutoHyphens/>
              <w:spacing w:line="240" w:lineRule="auto"/>
              <w:jc w:val="center"/>
              <w:rPr>
                <w:color w:val="000000"/>
                <w:sz w:val="14"/>
                <w:szCs w:val="16"/>
              </w:rPr>
            </w:pPr>
          </w:p>
        </w:tc>
      </w:tr>
      <w:tr w:rsidR="008940B3" w:rsidRPr="00F7661C" w14:paraId="7825A04E" w14:textId="77777777" w:rsidTr="00F7661C">
        <w:tblPrEx>
          <w:tblCellMar>
            <w:left w:w="0" w:type="dxa"/>
            <w:right w:w="0" w:type="dxa"/>
          </w:tblCellMar>
        </w:tblPrEx>
        <w:trPr>
          <w:trHeight w:val="57"/>
        </w:trPr>
        <w:tc>
          <w:tcPr>
            <w:tcW w:w="19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FDB4F3A" w14:textId="77777777" w:rsidR="008940B3" w:rsidRPr="00F7661C" w:rsidRDefault="008940B3" w:rsidP="00F7661C">
            <w:pPr>
              <w:suppressAutoHyphens/>
              <w:spacing w:line="240" w:lineRule="auto"/>
              <w:jc w:val="center"/>
              <w:rPr>
                <w:rFonts w:eastAsia="Times New Roman"/>
                <w:color w:val="000000"/>
                <w:sz w:val="14"/>
                <w:szCs w:val="16"/>
              </w:rPr>
            </w:pPr>
            <w:r w:rsidRPr="00F7661C">
              <w:rPr>
                <w:rFonts w:eastAsia="Times New Roman"/>
                <w:color w:val="000000"/>
                <w:sz w:val="14"/>
                <w:szCs w:val="16"/>
              </w:rPr>
              <w:t>TYMBAKI</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B7B3C90"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1CF27A5"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330BBC8"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FA0D581" w14:textId="77777777" w:rsidR="008940B3" w:rsidRPr="00F7661C" w:rsidRDefault="008940B3" w:rsidP="00F7661C">
            <w:pPr>
              <w:suppressAutoHyphens/>
              <w:spacing w:line="240" w:lineRule="auto"/>
              <w:jc w:val="center"/>
              <w:rPr>
                <w:color w:val="000000"/>
                <w:sz w:val="14"/>
                <w:szCs w:val="16"/>
              </w:rPr>
            </w:pPr>
            <w:r w:rsidRPr="00F7661C">
              <w:rPr>
                <w:rFonts w:ascii="Lucida Grande" w:hAnsi="Lucida Grande" w:cs="Lucida Grande"/>
                <w:color w:val="000000"/>
                <w:sz w:val="14"/>
                <w:szCs w:val="16"/>
              </w:rPr>
              <w:t>✓</w:t>
            </w:r>
          </w:p>
        </w:tc>
        <w:tc>
          <w:tcPr>
            <w:tcW w:w="987" w:type="dxa"/>
            <w:tcBorders>
              <w:top w:val="single" w:sz="6" w:space="0" w:color="000000"/>
              <w:left w:val="single" w:sz="6" w:space="0" w:color="000000"/>
              <w:bottom w:val="single" w:sz="6" w:space="0" w:color="000000"/>
              <w:right w:val="single" w:sz="6" w:space="0" w:color="000000"/>
            </w:tcBorders>
          </w:tcPr>
          <w:p w14:paraId="482B746E" w14:textId="77777777" w:rsidR="008940B3" w:rsidRPr="00F7661C" w:rsidRDefault="008940B3" w:rsidP="00F7661C">
            <w:pPr>
              <w:suppressAutoHyphens/>
              <w:spacing w:line="240" w:lineRule="auto"/>
              <w:jc w:val="center"/>
              <w:rPr>
                <w:color w:val="000000"/>
                <w:sz w:val="14"/>
                <w:szCs w:val="16"/>
              </w:rPr>
            </w:pPr>
          </w:p>
        </w:tc>
        <w:tc>
          <w:tcPr>
            <w:tcW w:w="728" w:type="dxa"/>
            <w:tcBorders>
              <w:top w:val="single" w:sz="6" w:space="0" w:color="000000"/>
              <w:left w:val="single" w:sz="6" w:space="0" w:color="000000"/>
              <w:bottom w:val="single" w:sz="6" w:space="0" w:color="000000"/>
              <w:right w:val="single" w:sz="6" w:space="0" w:color="000000"/>
            </w:tcBorders>
          </w:tcPr>
          <w:p w14:paraId="461E6D23" w14:textId="77777777" w:rsidR="008940B3" w:rsidRPr="00F7661C" w:rsidRDefault="008940B3" w:rsidP="00F7661C">
            <w:pPr>
              <w:suppressAutoHyphens/>
              <w:spacing w:line="240" w:lineRule="auto"/>
              <w:jc w:val="center"/>
              <w:rPr>
                <w:color w:val="000000"/>
                <w:sz w:val="14"/>
                <w:szCs w:val="16"/>
              </w:rPr>
            </w:pPr>
          </w:p>
        </w:tc>
        <w:tc>
          <w:tcPr>
            <w:tcW w:w="709" w:type="dxa"/>
            <w:tcBorders>
              <w:top w:val="single" w:sz="6" w:space="0" w:color="000000"/>
              <w:left w:val="single" w:sz="6" w:space="0" w:color="000000"/>
              <w:bottom w:val="single" w:sz="6" w:space="0" w:color="000000"/>
              <w:right w:val="single" w:sz="6" w:space="0" w:color="000000"/>
            </w:tcBorders>
          </w:tcPr>
          <w:p w14:paraId="184DB501" w14:textId="77777777" w:rsidR="008940B3" w:rsidRPr="00F7661C" w:rsidRDefault="008940B3" w:rsidP="00F7661C">
            <w:pPr>
              <w:suppressAutoHyphens/>
              <w:spacing w:line="240" w:lineRule="auto"/>
              <w:jc w:val="center"/>
              <w:rPr>
                <w:color w:val="000000"/>
                <w:sz w:val="14"/>
                <w:szCs w:val="16"/>
              </w:rPr>
            </w:pPr>
          </w:p>
        </w:tc>
      </w:tr>
      <w:tr w:rsidR="008940B3" w:rsidRPr="00F7661C" w14:paraId="58A49348" w14:textId="77777777" w:rsidTr="00F7661C">
        <w:tblPrEx>
          <w:tblCellMar>
            <w:left w:w="0" w:type="dxa"/>
            <w:right w:w="0" w:type="dxa"/>
          </w:tblCellMar>
        </w:tblPrEx>
        <w:trPr>
          <w:trHeight w:val="57"/>
        </w:trPr>
        <w:tc>
          <w:tcPr>
            <w:tcW w:w="19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683D256" w14:textId="77777777" w:rsidR="008940B3" w:rsidRPr="00F7661C" w:rsidRDefault="008940B3" w:rsidP="00F7661C">
            <w:pPr>
              <w:suppressAutoHyphens/>
              <w:spacing w:line="240" w:lineRule="auto"/>
              <w:jc w:val="center"/>
              <w:rPr>
                <w:rFonts w:eastAsia="Times New Roman"/>
                <w:color w:val="000000"/>
                <w:sz w:val="14"/>
                <w:szCs w:val="16"/>
              </w:rPr>
            </w:pPr>
            <w:r w:rsidRPr="00F7661C">
              <w:rPr>
                <w:rFonts w:eastAsia="Times New Roman"/>
                <w:color w:val="000000"/>
                <w:sz w:val="14"/>
                <w:szCs w:val="16"/>
              </w:rPr>
              <w:t>VALIS</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A290CC7"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3DBF879" w14:textId="77777777" w:rsidR="008940B3" w:rsidRPr="00F7661C" w:rsidRDefault="008940B3" w:rsidP="00F7661C">
            <w:pPr>
              <w:suppressAutoHyphens/>
              <w:spacing w:line="240" w:lineRule="auto"/>
              <w:jc w:val="center"/>
              <w:rPr>
                <w:sz w:val="14"/>
                <w:szCs w:val="16"/>
              </w:rPr>
            </w:pPr>
            <w:r w:rsidRPr="00F7661C">
              <w:rPr>
                <w:rFonts w:ascii="Lucida Grande" w:hAnsi="Lucida Grande" w:cs="Lucida Grande"/>
                <w:color w:val="000000"/>
                <w:sz w:val="14"/>
                <w:szCs w:val="16"/>
              </w:rPr>
              <w:t>✓</w:t>
            </w:r>
          </w:p>
        </w:tc>
        <w:tc>
          <w:tcPr>
            <w:tcW w:w="9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8D80D0E"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379966C" w14:textId="77777777" w:rsidR="008940B3" w:rsidRPr="00F7661C" w:rsidRDefault="008940B3" w:rsidP="00F7661C">
            <w:pPr>
              <w:suppressAutoHyphens/>
              <w:spacing w:line="240" w:lineRule="auto"/>
              <w:jc w:val="center"/>
              <w:rPr>
                <w:color w:val="000000"/>
                <w:sz w:val="14"/>
                <w:szCs w:val="16"/>
              </w:rPr>
            </w:pPr>
          </w:p>
        </w:tc>
        <w:tc>
          <w:tcPr>
            <w:tcW w:w="987" w:type="dxa"/>
            <w:tcBorders>
              <w:top w:val="single" w:sz="6" w:space="0" w:color="000000"/>
              <w:left w:val="single" w:sz="6" w:space="0" w:color="000000"/>
              <w:bottom w:val="single" w:sz="6" w:space="0" w:color="000000"/>
              <w:right w:val="single" w:sz="6" w:space="0" w:color="000000"/>
            </w:tcBorders>
          </w:tcPr>
          <w:p w14:paraId="5A8C79E2" w14:textId="77777777" w:rsidR="008940B3" w:rsidRPr="00F7661C" w:rsidRDefault="008940B3" w:rsidP="00F7661C">
            <w:pPr>
              <w:suppressAutoHyphens/>
              <w:spacing w:line="240" w:lineRule="auto"/>
              <w:jc w:val="center"/>
              <w:rPr>
                <w:color w:val="000000"/>
                <w:sz w:val="14"/>
                <w:szCs w:val="16"/>
              </w:rPr>
            </w:pPr>
          </w:p>
        </w:tc>
        <w:tc>
          <w:tcPr>
            <w:tcW w:w="728" w:type="dxa"/>
            <w:tcBorders>
              <w:top w:val="single" w:sz="6" w:space="0" w:color="000000"/>
              <w:left w:val="single" w:sz="6" w:space="0" w:color="000000"/>
              <w:bottom w:val="single" w:sz="6" w:space="0" w:color="000000"/>
              <w:right w:val="single" w:sz="6" w:space="0" w:color="000000"/>
            </w:tcBorders>
          </w:tcPr>
          <w:p w14:paraId="5A2CCC56" w14:textId="77777777" w:rsidR="008940B3" w:rsidRPr="00F7661C" w:rsidRDefault="008940B3" w:rsidP="00F7661C">
            <w:pPr>
              <w:suppressAutoHyphens/>
              <w:spacing w:line="240" w:lineRule="auto"/>
              <w:jc w:val="center"/>
              <w:rPr>
                <w:color w:val="000000"/>
                <w:sz w:val="14"/>
                <w:szCs w:val="16"/>
              </w:rPr>
            </w:pPr>
          </w:p>
        </w:tc>
        <w:tc>
          <w:tcPr>
            <w:tcW w:w="709" w:type="dxa"/>
            <w:tcBorders>
              <w:top w:val="single" w:sz="6" w:space="0" w:color="000000"/>
              <w:left w:val="single" w:sz="6" w:space="0" w:color="000000"/>
              <w:bottom w:val="single" w:sz="6" w:space="0" w:color="000000"/>
              <w:right w:val="single" w:sz="6" w:space="0" w:color="000000"/>
            </w:tcBorders>
          </w:tcPr>
          <w:p w14:paraId="03A7D50A" w14:textId="77777777" w:rsidR="008940B3" w:rsidRPr="00F7661C" w:rsidRDefault="008940B3" w:rsidP="00F7661C">
            <w:pPr>
              <w:suppressAutoHyphens/>
              <w:spacing w:line="240" w:lineRule="auto"/>
              <w:jc w:val="center"/>
              <w:rPr>
                <w:color w:val="000000"/>
                <w:sz w:val="14"/>
                <w:szCs w:val="16"/>
              </w:rPr>
            </w:pPr>
          </w:p>
        </w:tc>
      </w:tr>
      <w:tr w:rsidR="008940B3" w:rsidRPr="00F7661C" w14:paraId="2EBA50E7" w14:textId="77777777" w:rsidTr="00F7661C">
        <w:tblPrEx>
          <w:tblCellMar>
            <w:left w:w="0" w:type="dxa"/>
            <w:right w:w="0" w:type="dxa"/>
          </w:tblCellMar>
        </w:tblPrEx>
        <w:trPr>
          <w:trHeight w:val="57"/>
        </w:trPr>
        <w:tc>
          <w:tcPr>
            <w:tcW w:w="19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CB32944" w14:textId="77777777" w:rsidR="008940B3" w:rsidRPr="00F7661C" w:rsidRDefault="008940B3" w:rsidP="00F7661C">
            <w:pPr>
              <w:suppressAutoHyphens/>
              <w:spacing w:line="240" w:lineRule="auto"/>
              <w:jc w:val="center"/>
              <w:rPr>
                <w:rFonts w:eastAsia="Times New Roman"/>
                <w:color w:val="000000"/>
                <w:sz w:val="14"/>
                <w:szCs w:val="16"/>
              </w:rPr>
            </w:pPr>
            <w:r w:rsidRPr="00F7661C">
              <w:rPr>
                <w:rFonts w:eastAsia="Times New Roman"/>
                <w:color w:val="000000"/>
                <w:sz w:val="14"/>
                <w:szCs w:val="16"/>
              </w:rPr>
              <w:t>VASILIKA ANOGEIA</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042F610"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3E68DEA" w14:textId="77777777" w:rsidR="008940B3" w:rsidRPr="00F7661C" w:rsidRDefault="008940B3" w:rsidP="00F7661C">
            <w:pPr>
              <w:suppressAutoHyphens/>
              <w:spacing w:line="240" w:lineRule="auto"/>
              <w:jc w:val="center"/>
              <w:rPr>
                <w:sz w:val="14"/>
                <w:szCs w:val="16"/>
              </w:rPr>
            </w:pPr>
          </w:p>
        </w:tc>
        <w:tc>
          <w:tcPr>
            <w:tcW w:w="9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EDF3C80" w14:textId="77777777" w:rsidR="008940B3" w:rsidRPr="00F7661C" w:rsidRDefault="008940B3" w:rsidP="00F7661C">
            <w:pPr>
              <w:suppressAutoHyphens/>
              <w:spacing w:line="240" w:lineRule="auto"/>
              <w:jc w:val="center"/>
              <w:rPr>
                <w:sz w:val="14"/>
                <w:szCs w:val="16"/>
              </w:rPr>
            </w:pPr>
          </w:p>
        </w:tc>
        <w:tc>
          <w:tcPr>
            <w:tcW w:w="98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520C2F4" w14:textId="77777777" w:rsidR="008940B3" w:rsidRPr="00F7661C" w:rsidRDefault="008940B3" w:rsidP="00F7661C">
            <w:pPr>
              <w:suppressAutoHyphens/>
              <w:spacing w:line="240" w:lineRule="auto"/>
              <w:jc w:val="center"/>
              <w:rPr>
                <w:color w:val="000000"/>
                <w:sz w:val="14"/>
                <w:szCs w:val="16"/>
              </w:rPr>
            </w:pPr>
            <w:r w:rsidRPr="00F7661C">
              <w:rPr>
                <w:rFonts w:ascii="Lucida Grande" w:hAnsi="Lucida Grande" w:cs="Lucida Grande"/>
                <w:color w:val="000000"/>
                <w:sz w:val="14"/>
                <w:szCs w:val="16"/>
              </w:rPr>
              <w:t>✓</w:t>
            </w:r>
          </w:p>
        </w:tc>
        <w:tc>
          <w:tcPr>
            <w:tcW w:w="987" w:type="dxa"/>
            <w:tcBorders>
              <w:top w:val="single" w:sz="6" w:space="0" w:color="000000"/>
              <w:left w:val="single" w:sz="6" w:space="0" w:color="000000"/>
              <w:bottom w:val="single" w:sz="6" w:space="0" w:color="000000"/>
              <w:right w:val="single" w:sz="6" w:space="0" w:color="000000"/>
            </w:tcBorders>
          </w:tcPr>
          <w:p w14:paraId="04E3FD49" w14:textId="77777777" w:rsidR="008940B3" w:rsidRPr="00F7661C" w:rsidRDefault="008940B3" w:rsidP="00F7661C">
            <w:pPr>
              <w:suppressAutoHyphens/>
              <w:spacing w:line="240" w:lineRule="auto"/>
              <w:jc w:val="center"/>
              <w:rPr>
                <w:color w:val="000000"/>
                <w:sz w:val="14"/>
                <w:szCs w:val="16"/>
              </w:rPr>
            </w:pPr>
          </w:p>
        </w:tc>
        <w:tc>
          <w:tcPr>
            <w:tcW w:w="728" w:type="dxa"/>
            <w:tcBorders>
              <w:top w:val="single" w:sz="6" w:space="0" w:color="000000"/>
              <w:left w:val="single" w:sz="6" w:space="0" w:color="000000"/>
              <w:bottom w:val="single" w:sz="6" w:space="0" w:color="000000"/>
              <w:right w:val="single" w:sz="6" w:space="0" w:color="000000"/>
            </w:tcBorders>
          </w:tcPr>
          <w:p w14:paraId="397889B3" w14:textId="77777777" w:rsidR="008940B3" w:rsidRPr="00F7661C" w:rsidRDefault="008940B3" w:rsidP="00F7661C">
            <w:pPr>
              <w:suppressAutoHyphens/>
              <w:spacing w:line="240" w:lineRule="auto"/>
              <w:jc w:val="center"/>
              <w:rPr>
                <w:color w:val="000000"/>
                <w:sz w:val="14"/>
                <w:szCs w:val="16"/>
              </w:rPr>
            </w:pPr>
          </w:p>
        </w:tc>
        <w:tc>
          <w:tcPr>
            <w:tcW w:w="709" w:type="dxa"/>
            <w:tcBorders>
              <w:top w:val="single" w:sz="6" w:space="0" w:color="000000"/>
              <w:left w:val="single" w:sz="6" w:space="0" w:color="000000"/>
              <w:bottom w:val="single" w:sz="6" w:space="0" w:color="000000"/>
              <w:right w:val="single" w:sz="6" w:space="0" w:color="000000"/>
            </w:tcBorders>
          </w:tcPr>
          <w:p w14:paraId="604769FF" w14:textId="77777777" w:rsidR="008940B3" w:rsidRPr="00F7661C" w:rsidRDefault="008940B3" w:rsidP="00F7661C">
            <w:pPr>
              <w:suppressAutoHyphens/>
              <w:spacing w:line="240" w:lineRule="auto"/>
              <w:jc w:val="center"/>
              <w:rPr>
                <w:color w:val="000000"/>
                <w:sz w:val="14"/>
                <w:szCs w:val="16"/>
              </w:rPr>
            </w:pPr>
          </w:p>
        </w:tc>
      </w:tr>
    </w:tbl>
    <w:p w14:paraId="2D496330" w14:textId="77777777" w:rsidR="00505B94" w:rsidRDefault="00505B94" w:rsidP="006330FF">
      <w:pPr>
        <w:pStyle w:val="Titolo4"/>
        <w:keepNext w:val="0"/>
        <w:keepLines w:val="0"/>
        <w:suppressAutoHyphens/>
        <w:ind w:left="864" w:hanging="864"/>
        <w:contextualSpacing w:val="0"/>
        <w:sectPr w:rsidR="00505B94" w:rsidSect="00F4682D">
          <w:footerReference w:type="even" r:id="rId27"/>
          <w:footerReference w:type="default" r:id="rId28"/>
          <w:footerReference w:type="first" r:id="rId29"/>
          <w:pgSz w:w="11900" w:h="16840"/>
          <w:pgMar w:top="1418" w:right="1134" w:bottom="1134" w:left="2268" w:header="708" w:footer="708" w:gutter="0"/>
          <w:cols w:space="708"/>
          <w:titlePg/>
          <w:docGrid w:linePitch="360"/>
        </w:sectPr>
      </w:pPr>
      <w:bookmarkStart w:id="171" w:name="_Toc389131147"/>
      <w:bookmarkStart w:id="172" w:name="_Toc517876472"/>
    </w:p>
    <w:p w14:paraId="3E6D9FDC" w14:textId="2C860A64" w:rsidR="006330FF" w:rsidRPr="006330FF" w:rsidRDefault="008940B3" w:rsidP="006330FF">
      <w:pPr>
        <w:pStyle w:val="Titolo4"/>
        <w:keepNext w:val="0"/>
        <w:keepLines w:val="0"/>
        <w:suppressAutoHyphens/>
        <w:ind w:left="864" w:hanging="864"/>
        <w:contextualSpacing w:val="0"/>
      </w:pPr>
      <w:r w:rsidRPr="00D97592">
        <w:t>Wh</w:t>
      </w:r>
      <w:r>
        <w:t xml:space="preserve">at </w:t>
      </w:r>
      <w:r w:rsidRPr="00D97592">
        <w:t>deposition methods</w:t>
      </w:r>
      <w:r>
        <w:t xml:space="preserve"> were</w:t>
      </w:r>
      <w:r w:rsidRPr="00D97592">
        <w:t xml:space="preserve"> adopted in these </w:t>
      </w:r>
      <w:commentRangeStart w:id="173"/>
      <w:r w:rsidRPr="00D97592">
        <w:t>cemeteries</w:t>
      </w:r>
      <w:commentRangeEnd w:id="173"/>
      <w:r w:rsidR="0081276F">
        <w:rPr>
          <w:rStyle w:val="Rimandocommento"/>
          <w:rFonts w:eastAsiaTheme="minorEastAsia" w:cs="Times New Roman"/>
          <w:b w:val="0"/>
          <w:bCs w:val="0"/>
          <w:i w:val="0"/>
          <w:iCs w:val="0"/>
        </w:rPr>
        <w:commentReference w:id="173"/>
      </w:r>
      <w:r w:rsidRPr="00D97592">
        <w:t>?</w:t>
      </w:r>
      <w:bookmarkEnd w:id="171"/>
      <w:bookmarkEnd w:id="172"/>
      <w:r w:rsidRPr="00D97592">
        <w:t xml:space="preserve"> </w:t>
      </w:r>
    </w:p>
    <w:p w14:paraId="3C404132" w14:textId="1696621C" w:rsidR="008940B3" w:rsidRDefault="008940B3" w:rsidP="00F7661C">
      <w:r>
        <w:t>The type</w:t>
      </w:r>
      <w:r w:rsidRPr="003B5C8D">
        <w:t xml:space="preserve">s of </w:t>
      </w:r>
      <w:r>
        <w:t>interment</w:t>
      </w:r>
      <w:r w:rsidRPr="003B5C8D">
        <w:t xml:space="preserve"> adopted </w:t>
      </w:r>
      <w:r>
        <w:t>reveal</w:t>
      </w:r>
      <w:r w:rsidRPr="003B5C8D">
        <w:t xml:space="preserve"> a high range of variability</w:t>
      </w:r>
      <w:r>
        <w:t>.</w:t>
      </w:r>
      <w:r w:rsidRPr="003B5C8D">
        <w:t xml:space="preserve"> </w:t>
      </w:r>
      <w:r>
        <w:t>However,</w:t>
      </w:r>
      <w:r w:rsidRPr="003B5C8D">
        <w:t xml:space="preserve"> in the vast majority of case</w:t>
      </w:r>
      <w:r>
        <w:t>s,</w:t>
      </w:r>
      <w:r w:rsidRPr="003B5C8D">
        <w:t xml:space="preserve"> these different interment types are associated in the same tomb with larnakes. In the case of </w:t>
      </w:r>
      <w:r>
        <w:t>A</w:t>
      </w:r>
      <w:r w:rsidRPr="003B5C8D">
        <w:t>gia Triada</w:t>
      </w:r>
      <w:r>
        <w:t>,</w:t>
      </w:r>
      <w:r w:rsidRPr="003B5C8D">
        <w:t xml:space="preserve"> the LM III burial with no larnax use </w:t>
      </w:r>
      <w:r>
        <w:t>is</w:t>
      </w:r>
      <w:r w:rsidRPr="003B5C8D">
        <w:t xml:space="preserve"> the </w:t>
      </w:r>
      <w:r w:rsidRPr="00E91AAA">
        <w:rPr>
          <w:i/>
        </w:rPr>
        <w:t>tomba degli ori</w:t>
      </w:r>
      <w:r w:rsidRPr="003B5C8D">
        <w:t xml:space="preserve">, which </w:t>
      </w:r>
      <w:r>
        <w:t>was</w:t>
      </w:r>
      <w:r w:rsidRPr="003B5C8D">
        <w:t xml:space="preserve"> reused at the beginning of LM IIIA2 (La Rosa 1992</w:t>
      </w:r>
      <w:r>
        <w:t>/93</w:t>
      </w:r>
      <w:r w:rsidRPr="003B5C8D">
        <w:t xml:space="preserve">). The tomb without </w:t>
      </w:r>
      <w:r>
        <w:t xml:space="preserve">a </w:t>
      </w:r>
      <w:r w:rsidRPr="003B5C8D">
        <w:t xml:space="preserve">larnax burial </w:t>
      </w:r>
      <w:r>
        <w:t>at</w:t>
      </w:r>
      <w:r w:rsidRPr="003B5C8D">
        <w:t xml:space="preserve"> Kalochoraphi</w:t>
      </w:r>
      <w:r>
        <w:t>tis was</w:t>
      </w:r>
      <w:r w:rsidRPr="003B5C8D">
        <w:t xml:space="preserve"> plundered (Karetsou</w:t>
      </w:r>
      <w:r>
        <w:t xml:space="preserve"> and </w:t>
      </w:r>
      <w:r w:rsidRPr="003B5C8D">
        <w:t xml:space="preserve">Girella 2015), and </w:t>
      </w:r>
      <w:r>
        <w:t xml:space="preserve">there is </w:t>
      </w:r>
      <w:r w:rsidRPr="003B5C8D">
        <w:t>no inform</w:t>
      </w:r>
      <w:r>
        <w:t>ation about the tomb at Vasilik</w:t>
      </w:r>
      <w:r w:rsidRPr="003B5C8D">
        <w:t>a Anogeia.</w:t>
      </w:r>
    </w:p>
    <w:p w14:paraId="223E97B4" w14:textId="77777777" w:rsidR="00F7661C" w:rsidRDefault="00F7661C" w:rsidP="00F7661C"/>
    <w:p w14:paraId="14BE1807" w14:textId="4243202D" w:rsidR="008940B3" w:rsidRPr="003B5C8D" w:rsidRDefault="008940B3" w:rsidP="00E858EF">
      <w:pPr>
        <w:pStyle w:val="Testofumetto"/>
        <w:suppressAutoHyphens/>
      </w:pPr>
      <w:bookmarkStart w:id="174" w:name="_Toc520212507"/>
      <w:r>
        <w:t>Table 3-18. Deposition methods adopted in the cemeteries with larnakes</w:t>
      </w:r>
      <w:r w:rsidR="00FB677B">
        <w:t>,</w:t>
      </w:r>
      <w:r>
        <w:t xml:space="preserve"> Mesara area</w:t>
      </w:r>
      <w:bookmarkEnd w:id="174"/>
    </w:p>
    <w:tbl>
      <w:tblPr>
        <w:tblStyle w:val="Grigliatabella"/>
        <w:tblW w:w="0" w:type="auto"/>
        <w:tblLook w:val="04A0" w:firstRow="1" w:lastRow="0" w:firstColumn="1" w:lastColumn="0" w:noHBand="0" w:noVBand="1"/>
      </w:tblPr>
      <w:tblGrid>
        <w:gridCol w:w="1396"/>
        <w:gridCol w:w="1017"/>
        <w:gridCol w:w="901"/>
        <w:gridCol w:w="1150"/>
        <w:gridCol w:w="764"/>
        <w:gridCol w:w="396"/>
        <w:gridCol w:w="623"/>
        <w:gridCol w:w="730"/>
        <w:gridCol w:w="637"/>
        <w:gridCol w:w="677"/>
        <w:gridCol w:w="423"/>
      </w:tblGrid>
      <w:tr w:rsidR="008940B3" w:rsidRPr="0024325B" w14:paraId="619A64FE" w14:textId="77777777" w:rsidTr="008940B3">
        <w:trPr>
          <w:trHeight w:val="440"/>
        </w:trPr>
        <w:tc>
          <w:tcPr>
            <w:tcW w:w="0" w:type="auto"/>
          </w:tcPr>
          <w:p w14:paraId="5BAC85E1" w14:textId="77777777" w:rsidR="008940B3" w:rsidRPr="0024325B" w:rsidRDefault="008940B3" w:rsidP="00E858EF">
            <w:pPr>
              <w:suppressAutoHyphens/>
              <w:jc w:val="left"/>
              <w:rPr>
                <w:color w:val="000000"/>
                <w:sz w:val="12"/>
                <w:szCs w:val="20"/>
              </w:rPr>
            </w:pPr>
            <w:r w:rsidRPr="0024325B">
              <w:rPr>
                <w:color w:val="000000"/>
                <w:sz w:val="12"/>
                <w:szCs w:val="20"/>
              </w:rPr>
              <w:t>CEMETERIES</w:t>
            </w:r>
          </w:p>
        </w:tc>
        <w:tc>
          <w:tcPr>
            <w:tcW w:w="0" w:type="auto"/>
          </w:tcPr>
          <w:p w14:paraId="0498F191" w14:textId="77777777" w:rsidR="008940B3" w:rsidRPr="0024325B" w:rsidRDefault="008940B3" w:rsidP="00E858EF">
            <w:pPr>
              <w:suppressAutoHyphens/>
              <w:jc w:val="left"/>
              <w:rPr>
                <w:color w:val="000000"/>
                <w:sz w:val="12"/>
                <w:szCs w:val="20"/>
              </w:rPr>
            </w:pPr>
            <w:r w:rsidRPr="0024325B">
              <w:rPr>
                <w:color w:val="000000"/>
                <w:sz w:val="12"/>
                <w:szCs w:val="20"/>
              </w:rPr>
              <w:t>CLAY LARNAKES</w:t>
            </w:r>
          </w:p>
        </w:tc>
        <w:tc>
          <w:tcPr>
            <w:tcW w:w="0" w:type="auto"/>
            <w:hideMark/>
          </w:tcPr>
          <w:p w14:paraId="7A77FF92" w14:textId="77777777" w:rsidR="008940B3" w:rsidRPr="0024325B" w:rsidRDefault="008940B3" w:rsidP="00E858EF">
            <w:pPr>
              <w:suppressAutoHyphens/>
              <w:jc w:val="left"/>
              <w:rPr>
                <w:color w:val="000000"/>
                <w:sz w:val="12"/>
                <w:szCs w:val="20"/>
              </w:rPr>
            </w:pPr>
            <w:r w:rsidRPr="0024325B">
              <w:rPr>
                <w:color w:val="000000"/>
                <w:sz w:val="12"/>
                <w:szCs w:val="20"/>
              </w:rPr>
              <w:t>WOODEN BIER/</w:t>
            </w:r>
          </w:p>
          <w:p w14:paraId="68947135" w14:textId="77777777" w:rsidR="008940B3" w:rsidRPr="0024325B" w:rsidRDefault="008940B3" w:rsidP="00E858EF">
            <w:pPr>
              <w:suppressAutoHyphens/>
              <w:jc w:val="left"/>
              <w:rPr>
                <w:sz w:val="12"/>
                <w:szCs w:val="20"/>
              </w:rPr>
            </w:pPr>
            <w:r w:rsidRPr="0024325B">
              <w:rPr>
                <w:color w:val="000000"/>
                <w:sz w:val="12"/>
                <w:szCs w:val="20"/>
              </w:rPr>
              <w:t>COFFIN</w:t>
            </w:r>
          </w:p>
        </w:tc>
        <w:tc>
          <w:tcPr>
            <w:tcW w:w="1150" w:type="dxa"/>
          </w:tcPr>
          <w:p w14:paraId="21C7F11F" w14:textId="77777777" w:rsidR="008940B3" w:rsidRPr="0024325B" w:rsidRDefault="008940B3" w:rsidP="00E858EF">
            <w:pPr>
              <w:suppressAutoHyphens/>
              <w:jc w:val="left"/>
              <w:rPr>
                <w:color w:val="000000"/>
                <w:sz w:val="12"/>
                <w:szCs w:val="20"/>
              </w:rPr>
            </w:pPr>
            <w:r w:rsidRPr="0024325B">
              <w:rPr>
                <w:color w:val="000000"/>
                <w:sz w:val="12"/>
                <w:szCs w:val="20"/>
              </w:rPr>
              <w:t>STONE SARCOPHAGUS</w:t>
            </w:r>
          </w:p>
        </w:tc>
        <w:tc>
          <w:tcPr>
            <w:tcW w:w="764" w:type="dxa"/>
            <w:hideMark/>
          </w:tcPr>
          <w:p w14:paraId="0E79F733" w14:textId="77777777" w:rsidR="008940B3" w:rsidRPr="0024325B" w:rsidRDefault="008940B3" w:rsidP="00E858EF">
            <w:pPr>
              <w:suppressAutoHyphens/>
              <w:jc w:val="left"/>
              <w:rPr>
                <w:sz w:val="12"/>
                <w:szCs w:val="20"/>
              </w:rPr>
            </w:pPr>
            <w:r w:rsidRPr="0024325B">
              <w:rPr>
                <w:color w:val="000000"/>
                <w:sz w:val="12"/>
                <w:szCs w:val="20"/>
              </w:rPr>
              <w:t>FLOOR</w:t>
            </w:r>
          </w:p>
        </w:tc>
        <w:tc>
          <w:tcPr>
            <w:tcW w:w="0" w:type="auto"/>
          </w:tcPr>
          <w:p w14:paraId="780D1732" w14:textId="77777777" w:rsidR="008940B3" w:rsidRPr="0024325B" w:rsidRDefault="008940B3" w:rsidP="00E858EF">
            <w:pPr>
              <w:suppressAutoHyphens/>
              <w:jc w:val="left"/>
              <w:rPr>
                <w:color w:val="000000"/>
                <w:sz w:val="12"/>
                <w:szCs w:val="20"/>
              </w:rPr>
            </w:pPr>
            <w:r w:rsidRPr="0024325B">
              <w:rPr>
                <w:color w:val="000000"/>
                <w:sz w:val="12"/>
                <w:szCs w:val="20"/>
              </w:rPr>
              <w:t>PIT</w:t>
            </w:r>
          </w:p>
        </w:tc>
        <w:tc>
          <w:tcPr>
            <w:tcW w:w="0" w:type="auto"/>
          </w:tcPr>
          <w:p w14:paraId="293FD7CB" w14:textId="77777777" w:rsidR="008940B3" w:rsidRPr="0024325B" w:rsidRDefault="008940B3" w:rsidP="00E858EF">
            <w:pPr>
              <w:suppressAutoHyphens/>
              <w:jc w:val="left"/>
              <w:rPr>
                <w:color w:val="000000"/>
                <w:sz w:val="12"/>
                <w:szCs w:val="20"/>
              </w:rPr>
            </w:pPr>
            <w:r w:rsidRPr="0024325B">
              <w:rPr>
                <w:color w:val="000000"/>
                <w:sz w:val="12"/>
                <w:szCs w:val="20"/>
              </w:rPr>
              <w:t>BENCH</w:t>
            </w:r>
          </w:p>
        </w:tc>
        <w:tc>
          <w:tcPr>
            <w:tcW w:w="0" w:type="auto"/>
          </w:tcPr>
          <w:p w14:paraId="11465FB0" w14:textId="77777777" w:rsidR="008940B3" w:rsidRPr="0024325B" w:rsidRDefault="008940B3" w:rsidP="00E858EF">
            <w:pPr>
              <w:suppressAutoHyphens/>
              <w:jc w:val="left"/>
              <w:rPr>
                <w:color w:val="000000"/>
                <w:sz w:val="12"/>
                <w:szCs w:val="20"/>
              </w:rPr>
            </w:pPr>
            <w:r w:rsidRPr="0024325B">
              <w:rPr>
                <w:color w:val="000000"/>
                <w:sz w:val="12"/>
                <w:szCs w:val="20"/>
              </w:rPr>
              <w:t>DROMOS</w:t>
            </w:r>
          </w:p>
        </w:tc>
        <w:tc>
          <w:tcPr>
            <w:tcW w:w="0" w:type="auto"/>
          </w:tcPr>
          <w:p w14:paraId="53D1ADB7" w14:textId="77777777" w:rsidR="008940B3" w:rsidRPr="0024325B" w:rsidRDefault="008940B3" w:rsidP="00E858EF">
            <w:pPr>
              <w:suppressAutoHyphens/>
              <w:jc w:val="left"/>
              <w:rPr>
                <w:color w:val="000000"/>
                <w:sz w:val="12"/>
                <w:szCs w:val="20"/>
              </w:rPr>
            </w:pPr>
            <w:r w:rsidRPr="0024325B">
              <w:rPr>
                <w:color w:val="000000"/>
                <w:sz w:val="12"/>
                <w:szCs w:val="20"/>
              </w:rPr>
              <w:t>PITHOS</w:t>
            </w:r>
          </w:p>
        </w:tc>
        <w:tc>
          <w:tcPr>
            <w:tcW w:w="0" w:type="auto"/>
          </w:tcPr>
          <w:p w14:paraId="2E0229F6" w14:textId="77777777" w:rsidR="008940B3" w:rsidRPr="0024325B" w:rsidRDefault="008940B3" w:rsidP="00E858EF">
            <w:pPr>
              <w:suppressAutoHyphens/>
              <w:jc w:val="left"/>
              <w:rPr>
                <w:sz w:val="12"/>
                <w:szCs w:val="20"/>
              </w:rPr>
            </w:pPr>
            <w:r w:rsidRPr="0024325B">
              <w:rPr>
                <w:sz w:val="12"/>
                <w:szCs w:val="20"/>
              </w:rPr>
              <w:t>VASE</w:t>
            </w:r>
          </w:p>
          <w:p w14:paraId="24108C19" w14:textId="77777777" w:rsidR="008940B3" w:rsidRPr="0024325B" w:rsidRDefault="008940B3" w:rsidP="00E858EF">
            <w:pPr>
              <w:suppressAutoHyphens/>
              <w:jc w:val="left"/>
              <w:rPr>
                <w:sz w:val="12"/>
                <w:szCs w:val="20"/>
              </w:rPr>
            </w:pPr>
            <w:r w:rsidRPr="0024325B">
              <w:rPr>
                <w:sz w:val="12"/>
                <w:szCs w:val="20"/>
              </w:rPr>
              <w:t>(ASHES)</w:t>
            </w:r>
          </w:p>
        </w:tc>
        <w:tc>
          <w:tcPr>
            <w:tcW w:w="0" w:type="auto"/>
            <w:hideMark/>
          </w:tcPr>
          <w:p w14:paraId="29DB6ABC" w14:textId="77777777" w:rsidR="008940B3" w:rsidRPr="0024325B" w:rsidRDefault="008940B3" w:rsidP="00E858EF">
            <w:pPr>
              <w:suppressAutoHyphens/>
              <w:jc w:val="left"/>
              <w:rPr>
                <w:sz w:val="12"/>
                <w:szCs w:val="20"/>
              </w:rPr>
            </w:pPr>
            <w:r w:rsidRPr="0024325B">
              <w:rPr>
                <w:sz w:val="12"/>
                <w:szCs w:val="20"/>
              </w:rPr>
              <w:t>N/A</w:t>
            </w:r>
          </w:p>
        </w:tc>
      </w:tr>
      <w:tr w:rsidR="008940B3" w:rsidRPr="0024325B" w14:paraId="6E04D7A0" w14:textId="77777777" w:rsidTr="008940B3">
        <w:trPr>
          <w:trHeight w:val="175"/>
        </w:trPr>
        <w:tc>
          <w:tcPr>
            <w:tcW w:w="0" w:type="auto"/>
          </w:tcPr>
          <w:p w14:paraId="7B21550A" w14:textId="77777777" w:rsidR="008940B3" w:rsidRPr="0024325B" w:rsidRDefault="008940B3" w:rsidP="00E858EF">
            <w:pPr>
              <w:suppressAutoHyphens/>
              <w:jc w:val="left"/>
              <w:rPr>
                <w:color w:val="000000"/>
                <w:sz w:val="12"/>
                <w:szCs w:val="20"/>
              </w:rPr>
            </w:pPr>
            <w:r w:rsidRPr="0024325B">
              <w:rPr>
                <w:color w:val="000000"/>
                <w:sz w:val="12"/>
                <w:szCs w:val="20"/>
              </w:rPr>
              <w:t>ALESANDRAKI</w:t>
            </w:r>
          </w:p>
        </w:tc>
        <w:tc>
          <w:tcPr>
            <w:tcW w:w="0" w:type="auto"/>
          </w:tcPr>
          <w:p w14:paraId="48C848A2" w14:textId="77777777" w:rsidR="008940B3" w:rsidRPr="0024325B" w:rsidRDefault="008940B3" w:rsidP="00E858EF">
            <w:pPr>
              <w:suppressAutoHyphens/>
              <w:jc w:val="left"/>
              <w:rPr>
                <w:rFonts w:ascii="Lucida Grande" w:hAnsi="Lucida Grande" w:cs="Lucida Grande"/>
                <w:color w:val="000000"/>
                <w:sz w:val="12"/>
                <w:szCs w:val="20"/>
              </w:rPr>
            </w:pPr>
            <w:r w:rsidRPr="0024325B">
              <w:rPr>
                <w:rFonts w:ascii="Lucida Grande" w:hAnsi="Lucida Grande" w:cs="Lucida Grande"/>
                <w:color w:val="000000"/>
                <w:sz w:val="12"/>
                <w:szCs w:val="20"/>
              </w:rPr>
              <w:t>✓</w:t>
            </w:r>
          </w:p>
        </w:tc>
        <w:tc>
          <w:tcPr>
            <w:tcW w:w="0" w:type="auto"/>
          </w:tcPr>
          <w:p w14:paraId="46974D30" w14:textId="77777777" w:rsidR="008940B3" w:rsidRPr="0024325B" w:rsidRDefault="008940B3" w:rsidP="00E858EF">
            <w:pPr>
              <w:suppressAutoHyphens/>
              <w:jc w:val="left"/>
              <w:rPr>
                <w:sz w:val="12"/>
                <w:szCs w:val="20"/>
              </w:rPr>
            </w:pPr>
          </w:p>
        </w:tc>
        <w:tc>
          <w:tcPr>
            <w:tcW w:w="1150" w:type="dxa"/>
          </w:tcPr>
          <w:p w14:paraId="3578F837" w14:textId="77777777" w:rsidR="008940B3" w:rsidRPr="0024325B" w:rsidRDefault="008940B3" w:rsidP="00E858EF">
            <w:pPr>
              <w:suppressAutoHyphens/>
              <w:jc w:val="left"/>
              <w:rPr>
                <w:color w:val="000000"/>
                <w:sz w:val="12"/>
                <w:szCs w:val="20"/>
              </w:rPr>
            </w:pPr>
          </w:p>
        </w:tc>
        <w:tc>
          <w:tcPr>
            <w:tcW w:w="764" w:type="dxa"/>
          </w:tcPr>
          <w:p w14:paraId="7CD71E48" w14:textId="77777777" w:rsidR="008940B3" w:rsidRPr="0024325B" w:rsidRDefault="008940B3" w:rsidP="00E858EF">
            <w:pPr>
              <w:suppressAutoHyphens/>
              <w:jc w:val="left"/>
              <w:rPr>
                <w:rFonts w:ascii="Lucida Grande" w:hAnsi="Lucida Grande" w:cs="Lucida Grande"/>
                <w:color w:val="000000"/>
                <w:sz w:val="12"/>
                <w:szCs w:val="20"/>
              </w:rPr>
            </w:pPr>
          </w:p>
        </w:tc>
        <w:tc>
          <w:tcPr>
            <w:tcW w:w="0" w:type="auto"/>
          </w:tcPr>
          <w:p w14:paraId="63B1BB39" w14:textId="77777777" w:rsidR="008940B3" w:rsidRPr="0024325B" w:rsidRDefault="008940B3" w:rsidP="00E858EF">
            <w:pPr>
              <w:suppressAutoHyphens/>
              <w:jc w:val="left"/>
              <w:rPr>
                <w:sz w:val="12"/>
                <w:szCs w:val="20"/>
              </w:rPr>
            </w:pPr>
          </w:p>
        </w:tc>
        <w:tc>
          <w:tcPr>
            <w:tcW w:w="0" w:type="auto"/>
          </w:tcPr>
          <w:p w14:paraId="34685858" w14:textId="77777777" w:rsidR="008940B3" w:rsidRPr="0024325B" w:rsidRDefault="008940B3" w:rsidP="00E858EF">
            <w:pPr>
              <w:suppressAutoHyphens/>
              <w:jc w:val="left"/>
              <w:rPr>
                <w:sz w:val="12"/>
                <w:szCs w:val="20"/>
              </w:rPr>
            </w:pPr>
          </w:p>
        </w:tc>
        <w:tc>
          <w:tcPr>
            <w:tcW w:w="0" w:type="auto"/>
          </w:tcPr>
          <w:p w14:paraId="2211EB42" w14:textId="77777777" w:rsidR="008940B3" w:rsidRPr="0024325B" w:rsidRDefault="008940B3" w:rsidP="00E858EF">
            <w:pPr>
              <w:suppressAutoHyphens/>
              <w:jc w:val="left"/>
              <w:rPr>
                <w:sz w:val="12"/>
                <w:szCs w:val="20"/>
              </w:rPr>
            </w:pPr>
          </w:p>
        </w:tc>
        <w:tc>
          <w:tcPr>
            <w:tcW w:w="0" w:type="auto"/>
          </w:tcPr>
          <w:p w14:paraId="247AFACD" w14:textId="77777777" w:rsidR="008940B3" w:rsidRPr="0024325B" w:rsidRDefault="008940B3" w:rsidP="00E858EF">
            <w:pPr>
              <w:suppressAutoHyphens/>
              <w:jc w:val="left"/>
              <w:rPr>
                <w:sz w:val="12"/>
                <w:szCs w:val="20"/>
              </w:rPr>
            </w:pPr>
          </w:p>
        </w:tc>
        <w:tc>
          <w:tcPr>
            <w:tcW w:w="0" w:type="auto"/>
          </w:tcPr>
          <w:p w14:paraId="1CF44A50" w14:textId="77777777" w:rsidR="008940B3" w:rsidRPr="0024325B" w:rsidRDefault="008940B3" w:rsidP="00E858EF">
            <w:pPr>
              <w:suppressAutoHyphens/>
              <w:jc w:val="left"/>
              <w:rPr>
                <w:sz w:val="12"/>
                <w:szCs w:val="20"/>
              </w:rPr>
            </w:pPr>
          </w:p>
        </w:tc>
        <w:tc>
          <w:tcPr>
            <w:tcW w:w="0" w:type="auto"/>
          </w:tcPr>
          <w:p w14:paraId="62D3AF9C" w14:textId="77777777" w:rsidR="008940B3" w:rsidRPr="0024325B" w:rsidRDefault="008940B3" w:rsidP="00E858EF">
            <w:pPr>
              <w:suppressAutoHyphens/>
              <w:jc w:val="left"/>
              <w:rPr>
                <w:sz w:val="12"/>
                <w:szCs w:val="20"/>
              </w:rPr>
            </w:pPr>
          </w:p>
        </w:tc>
      </w:tr>
      <w:tr w:rsidR="008940B3" w:rsidRPr="0024325B" w14:paraId="2EE25E71" w14:textId="77777777" w:rsidTr="008940B3">
        <w:trPr>
          <w:trHeight w:val="175"/>
        </w:trPr>
        <w:tc>
          <w:tcPr>
            <w:tcW w:w="0" w:type="auto"/>
          </w:tcPr>
          <w:p w14:paraId="4AD0FACD" w14:textId="77777777" w:rsidR="008940B3" w:rsidRPr="0024325B" w:rsidRDefault="008940B3" w:rsidP="00E858EF">
            <w:pPr>
              <w:suppressAutoHyphens/>
              <w:jc w:val="left"/>
              <w:rPr>
                <w:color w:val="000000"/>
                <w:sz w:val="12"/>
                <w:szCs w:val="20"/>
              </w:rPr>
            </w:pPr>
            <w:r w:rsidRPr="0024325B">
              <w:rPr>
                <w:color w:val="000000"/>
                <w:sz w:val="12"/>
                <w:szCs w:val="20"/>
              </w:rPr>
              <w:t>APODOULOU</w:t>
            </w:r>
          </w:p>
        </w:tc>
        <w:tc>
          <w:tcPr>
            <w:tcW w:w="0" w:type="auto"/>
          </w:tcPr>
          <w:p w14:paraId="4E32770B" w14:textId="77777777" w:rsidR="008940B3" w:rsidRPr="0024325B" w:rsidRDefault="008940B3" w:rsidP="00E858EF">
            <w:pPr>
              <w:suppressAutoHyphens/>
              <w:jc w:val="left"/>
              <w:rPr>
                <w:sz w:val="12"/>
                <w:szCs w:val="20"/>
              </w:rPr>
            </w:pPr>
            <w:r w:rsidRPr="0024325B">
              <w:rPr>
                <w:rFonts w:ascii="Lucida Grande" w:hAnsi="Lucida Grande" w:cs="Lucida Grande"/>
                <w:color w:val="000000"/>
                <w:sz w:val="12"/>
                <w:szCs w:val="20"/>
              </w:rPr>
              <w:t>✓</w:t>
            </w:r>
          </w:p>
        </w:tc>
        <w:tc>
          <w:tcPr>
            <w:tcW w:w="0" w:type="auto"/>
            <w:hideMark/>
          </w:tcPr>
          <w:p w14:paraId="010DC268" w14:textId="77777777" w:rsidR="008940B3" w:rsidRPr="0024325B" w:rsidRDefault="008940B3" w:rsidP="00E858EF">
            <w:pPr>
              <w:suppressAutoHyphens/>
              <w:jc w:val="left"/>
              <w:rPr>
                <w:sz w:val="12"/>
                <w:szCs w:val="20"/>
              </w:rPr>
            </w:pPr>
          </w:p>
        </w:tc>
        <w:tc>
          <w:tcPr>
            <w:tcW w:w="1150" w:type="dxa"/>
          </w:tcPr>
          <w:p w14:paraId="07E7C85B" w14:textId="77777777" w:rsidR="008940B3" w:rsidRPr="0024325B" w:rsidRDefault="008940B3" w:rsidP="00E858EF">
            <w:pPr>
              <w:suppressAutoHyphens/>
              <w:jc w:val="left"/>
              <w:rPr>
                <w:color w:val="000000"/>
                <w:sz w:val="12"/>
                <w:szCs w:val="20"/>
              </w:rPr>
            </w:pPr>
          </w:p>
        </w:tc>
        <w:tc>
          <w:tcPr>
            <w:tcW w:w="764" w:type="dxa"/>
            <w:hideMark/>
          </w:tcPr>
          <w:p w14:paraId="61FE03DB" w14:textId="77777777" w:rsidR="008940B3" w:rsidRPr="0024325B" w:rsidRDefault="008940B3" w:rsidP="00E858EF">
            <w:pPr>
              <w:suppressAutoHyphens/>
              <w:jc w:val="left"/>
              <w:rPr>
                <w:sz w:val="12"/>
                <w:szCs w:val="20"/>
              </w:rPr>
            </w:pPr>
            <w:r w:rsidRPr="0024325B">
              <w:rPr>
                <w:rFonts w:ascii="Lucida Grande" w:hAnsi="Lucida Grande" w:cs="Lucida Grande"/>
                <w:color w:val="000000"/>
                <w:sz w:val="12"/>
                <w:szCs w:val="20"/>
              </w:rPr>
              <w:t>✓</w:t>
            </w:r>
          </w:p>
        </w:tc>
        <w:tc>
          <w:tcPr>
            <w:tcW w:w="0" w:type="auto"/>
          </w:tcPr>
          <w:p w14:paraId="68E6C1C2" w14:textId="77777777" w:rsidR="008940B3" w:rsidRPr="0024325B" w:rsidRDefault="008940B3" w:rsidP="00E858EF">
            <w:pPr>
              <w:suppressAutoHyphens/>
              <w:jc w:val="left"/>
              <w:rPr>
                <w:sz w:val="12"/>
                <w:szCs w:val="20"/>
              </w:rPr>
            </w:pPr>
          </w:p>
        </w:tc>
        <w:tc>
          <w:tcPr>
            <w:tcW w:w="0" w:type="auto"/>
          </w:tcPr>
          <w:p w14:paraId="77A425DC" w14:textId="77777777" w:rsidR="008940B3" w:rsidRPr="0024325B" w:rsidRDefault="008940B3" w:rsidP="00E858EF">
            <w:pPr>
              <w:suppressAutoHyphens/>
              <w:jc w:val="left"/>
              <w:rPr>
                <w:sz w:val="12"/>
                <w:szCs w:val="20"/>
              </w:rPr>
            </w:pPr>
          </w:p>
        </w:tc>
        <w:tc>
          <w:tcPr>
            <w:tcW w:w="0" w:type="auto"/>
          </w:tcPr>
          <w:p w14:paraId="6F4D68D2" w14:textId="77777777" w:rsidR="008940B3" w:rsidRPr="0024325B" w:rsidRDefault="008940B3" w:rsidP="00E858EF">
            <w:pPr>
              <w:suppressAutoHyphens/>
              <w:jc w:val="left"/>
              <w:rPr>
                <w:sz w:val="12"/>
                <w:szCs w:val="20"/>
              </w:rPr>
            </w:pPr>
          </w:p>
        </w:tc>
        <w:tc>
          <w:tcPr>
            <w:tcW w:w="0" w:type="auto"/>
          </w:tcPr>
          <w:p w14:paraId="07BB42E5" w14:textId="77777777" w:rsidR="008940B3" w:rsidRPr="0024325B" w:rsidRDefault="008940B3" w:rsidP="00E858EF">
            <w:pPr>
              <w:suppressAutoHyphens/>
              <w:jc w:val="left"/>
              <w:rPr>
                <w:sz w:val="12"/>
                <w:szCs w:val="20"/>
              </w:rPr>
            </w:pPr>
          </w:p>
        </w:tc>
        <w:tc>
          <w:tcPr>
            <w:tcW w:w="0" w:type="auto"/>
          </w:tcPr>
          <w:p w14:paraId="3601EF62" w14:textId="77777777" w:rsidR="008940B3" w:rsidRPr="0024325B" w:rsidRDefault="008940B3" w:rsidP="00E858EF">
            <w:pPr>
              <w:suppressAutoHyphens/>
              <w:jc w:val="left"/>
              <w:rPr>
                <w:sz w:val="12"/>
                <w:szCs w:val="20"/>
              </w:rPr>
            </w:pPr>
          </w:p>
        </w:tc>
        <w:tc>
          <w:tcPr>
            <w:tcW w:w="0" w:type="auto"/>
            <w:hideMark/>
          </w:tcPr>
          <w:p w14:paraId="0349522E" w14:textId="77777777" w:rsidR="008940B3" w:rsidRPr="0024325B" w:rsidRDefault="008940B3" w:rsidP="00E858EF">
            <w:pPr>
              <w:suppressAutoHyphens/>
              <w:jc w:val="left"/>
              <w:rPr>
                <w:sz w:val="12"/>
                <w:szCs w:val="20"/>
              </w:rPr>
            </w:pPr>
          </w:p>
        </w:tc>
      </w:tr>
      <w:tr w:rsidR="008940B3" w:rsidRPr="0024325B" w14:paraId="0C52F215" w14:textId="77777777" w:rsidTr="008940B3">
        <w:trPr>
          <w:trHeight w:val="175"/>
        </w:trPr>
        <w:tc>
          <w:tcPr>
            <w:tcW w:w="0" w:type="auto"/>
          </w:tcPr>
          <w:p w14:paraId="3D4DE394" w14:textId="77777777" w:rsidR="008940B3" w:rsidRPr="0024325B" w:rsidRDefault="008940B3" w:rsidP="00E858EF">
            <w:pPr>
              <w:suppressAutoHyphens/>
              <w:jc w:val="left"/>
              <w:rPr>
                <w:color w:val="000000"/>
                <w:sz w:val="12"/>
                <w:szCs w:val="20"/>
              </w:rPr>
            </w:pPr>
            <w:r w:rsidRPr="0024325B">
              <w:rPr>
                <w:color w:val="000000"/>
                <w:sz w:val="12"/>
                <w:szCs w:val="20"/>
              </w:rPr>
              <w:t>GOUDIES</w:t>
            </w:r>
          </w:p>
        </w:tc>
        <w:tc>
          <w:tcPr>
            <w:tcW w:w="0" w:type="auto"/>
          </w:tcPr>
          <w:p w14:paraId="70207D07" w14:textId="77777777" w:rsidR="008940B3" w:rsidRPr="0024325B" w:rsidRDefault="008940B3" w:rsidP="00E858EF">
            <w:pPr>
              <w:suppressAutoHyphens/>
              <w:jc w:val="left"/>
              <w:rPr>
                <w:color w:val="000000"/>
                <w:sz w:val="12"/>
                <w:szCs w:val="20"/>
              </w:rPr>
            </w:pPr>
            <w:r w:rsidRPr="0024325B">
              <w:rPr>
                <w:rFonts w:ascii="Lucida Grande" w:hAnsi="Lucida Grande" w:cs="Lucida Grande"/>
                <w:color w:val="000000"/>
                <w:sz w:val="12"/>
                <w:szCs w:val="20"/>
              </w:rPr>
              <w:t>✓</w:t>
            </w:r>
          </w:p>
        </w:tc>
        <w:tc>
          <w:tcPr>
            <w:tcW w:w="0" w:type="auto"/>
            <w:hideMark/>
          </w:tcPr>
          <w:p w14:paraId="296974B3" w14:textId="77777777" w:rsidR="008940B3" w:rsidRPr="0024325B" w:rsidRDefault="008940B3" w:rsidP="00E858EF">
            <w:pPr>
              <w:suppressAutoHyphens/>
              <w:jc w:val="left"/>
              <w:rPr>
                <w:sz w:val="12"/>
                <w:szCs w:val="20"/>
              </w:rPr>
            </w:pPr>
          </w:p>
        </w:tc>
        <w:tc>
          <w:tcPr>
            <w:tcW w:w="1150" w:type="dxa"/>
          </w:tcPr>
          <w:p w14:paraId="4DAEB3F2" w14:textId="77777777" w:rsidR="008940B3" w:rsidRPr="0024325B" w:rsidRDefault="008940B3" w:rsidP="00E858EF">
            <w:pPr>
              <w:suppressAutoHyphens/>
              <w:jc w:val="left"/>
              <w:rPr>
                <w:sz w:val="12"/>
                <w:szCs w:val="20"/>
              </w:rPr>
            </w:pPr>
          </w:p>
        </w:tc>
        <w:tc>
          <w:tcPr>
            <w:tcW w:w="764" w:type="dxa"/>
            <w:hideMark/>
          </w:tcPr>
          <w:p w14:paraId="423A183E" w14:textId="77777777" w:rsidR="008940B3" w:rsidRPr="0024325B" w:rsidRDefault="008940B3" w:rsidP="00E858EF">
            <w:pPr>
              <w:suppressAutoHyphens/>
              <w:jc w:val="left"/>
              <w:rPr>
                <w:sz w:val="12"/>
                <w:szCs w:val="20"/>
              </w:rPr>
            </w:pPr>
          </w:p>
        </w:tc>
        <w:tc>
          <w:tcPr>
            <w:tcW w:w="0" w:type="auto"/>
          </w:tcPr>
          <w:p w14:paraId="49C0C762" w14:textId="77777777" w:rsidR="008940B3" w:rsidRPr="0024325B" w:rsidRDefault="008940B3" w:rsidP="00E858EF">
            <w:pPr>
              <w:suppressAutoHyphens/>
              <w:jc w:val="left"/>
              <w:rPr>
                <w:sz w:val="12"/>
                <w:szCs w:val="20"/>
              </w:rPr>
            </w:pPr>
          </w:p>
        </w:tc>
        <w:tc>
          <w:tcPr>
            <w:tcW w:w="0" w:type="auto"/>
          </w:tcPr>
          <w:p w14:paraId="03ADD1AC" w14:textId="77777777" w:rsidR="008940B3" w:rsidRPr="0024325B" w:rsidRDefault="008940B3" w:rsidP="00E858EF">
            <w:pPr>
              <w:suppressAutoHyphens/>
              <w:jc w:val="left"/>
              <w:rPr>
                <w:sz w:val="12"/>
                <w:szCs w:val="20"/>
              </w:rPr>
            </w:pPr>
          </w:p>
        </w:tc>
        <w:tc>
          <w:tcPr>
            <w:tcW w:w="0" w:type="auto"/>
          </w:tcPr>
          <w:p w14:paraId="3E516982" w14:textId="77777777" w:rsidR="008940B3" w:rsidRPr="0024325B" w:rsidRDefault="008940B3" w:rsidP="00E858EF">
            <w:pPr>
              <w:suppressAutoHyphens/>
              <w:jc w:val="left"/>
              <w:rPr>
                <w:sz w:val="12"/>
                <w:szCs w:val="20"/>
              </w:rPr>
            </w:pPr>
          </w:p>
        </w:tc>
        <w:tc>
          <w:tcPr>
            <w:tcW w:w="0" w:type="auto"/>
          </w:tcPr>
          <w:p w14:paraId="544978A4" w14:textId="77777777" w:rsidR="008940B3" w:rsidRPr="0024325B" w:rsidRDefault="008940B3" w:rsidP="00E858EF">
            <w:pPr>
              <w:suppressAutoHyphens/>
              <w:jc w:val="left"/>
              <w:rPr>
                <w:sz w:val="12"/>
                <w:szCs w:val="20"/>
              </w:rPr>
            </w:pPr>
          </w:p>
        </w:tc>
        <w:tc>
          <w:tcPr>
            <w:tcW w:w="0" w:type="auto"/>
          </w:tcPr>
          <w:p w14:paraId="21A6124F" w14:textId="77777777" w:rsidR="008940B3" w:rsidRPr="0024325B" w:rsidRDefault="008940B3" w:rsidP="00E858EF">
            <w:pPr>
              <w:suppressAutoHyphens/>
              <w:jc w:val="left"/>
              <w:rPr>
                <w:sz w:val="12"/>
                <w:szCs w:val="20"/>
              </w:rPr>
            </w:pPr>
          </w:p>
        </w:tc>
        <w:tc>
          <w:tcPr>
            <w:tcW w:w="0" w:type="auto"/>
            <w:hideMark/>
          </w:tcPr>
          <w:p w14:paraId="7B19154C" w14:textId="77777777" w:rsidR="008940B3" w:rsidRPr="0024325B" w:rsidRDefault="008940B3" w:rsidP="00E858EF">
            <w:pPr>
              <w:suppressAutoHyphens/>
              <w:jc w:val="left"/>
              <w:rPr>
                <w:sz w:val="12"/>
                <w:szCs w:val="20"/>
              </w:rPr>
            </w:pPr>
          </w:p>
        </w:tc>
      </w:tr>
      <w:tr w:rsidR="008940B3" w:rsidRPr="0024325B" w14:paraId="40BF76CE" w14:textId="77777777" w:rsidTr="008940B3">
        <w:trPr>
          <w:trHeight w:val="175"/>
        </w:trPr>
        <w:tc>
          <w:tcPr>
            <w:tcW w:w="0" w:type="auto"/>
          </w:tcPr>
          <w:p w14:paraId="651DD1A4" w14:textId="77777777" w:rsidR="008940B3" w:rsidRPr="0024325B" w:rsidRDefault="008940B3" w:rsidP="00E858EF">
            <w:pPr>
              <w:suppressAutoHyphens/>
              <w:jc w:val="left"/>
              <w:rPr>
                <w:color w:val="000000"/>
                <w:sz w:val="12"/>
                <w:szCs w:val="20"/>
              </w:rPr>
            </w:pPr>
            <w:r w:rsidRPr="0024325B">
              <w:rPr>
                <w:color w:val="000000"/>
                <w:sz w:val="12"/>
                <w:szCs w:val="20"/>
              </w:rPr>
              <w:t>AGIA TRIADA</w:t>
            </w:r>
          </w:p>
        </w:tc>
        <w:tc>
          <w:tcPr>
            <w:tcW w:w="0" w:type="auto"/>
          </w:tcPr>
          <w:p w14:paraId="44005B64" w14:textId="77777777" w:rsidR="008940B3" w:rsidRPr="0024325B" w:rsidRDefault="008940B3" w:rsidP="00E858EF">
            <w:pPr>
              <w:suppressAutoHyphens/>
              <w:jc w:val="left"/>
              <w:rPr>
                <w:sz w:val="12"/>
                <w:szCs w:val="20"/>
              </w:rPr>
            </w:pPr>
            <w:r w:rsidRPr="0024325B">
              <w:rPr>
                <w:rFonts w:ascii="Lucida Grande" w:hAnsi="Lucida Grande" w:cs="Lucida Grande"/>
                <w:color w:val="000000"/>
                <w:sz w:val="12"/>
                <w:szCs w:val="20"/>
              </w:rPr>
              <w:t>✓</w:t>
            </w:r>
          </w:p>
        </w:tc>
        <w:tc>
          <w:tcPr>
            <w:tcW w:w="0" w:type="auto"/>
            <w:hideMark/>
          </w:tcPr>
          <w:p w14:paraId="5CBEEADC" w14:textId="77777777" w:rsidR="008940B3" w:rsidRPr="0024325B" w:rsidRDefault="008940B3" w:rsidP="00E858EF">
            <w:pPr>
              <w:suppressAutoHyphens/>
              <w:jc w:val="left"/>
              <w:rPr>
                <w:sz w:val="12"/>
                <w:szCs w:val="20"/>
              </w:rPr>
            </w:pPr>
          </w:p>
        </w:tc>
        <w:tc>
          <w:tcPr>
            <w:tcW w:w="1150" w:type="dxa"/>
          </w:tcPr>
          <w:p w14:paraId="2344EA77" w14:textId="77777777" w:rsidR="008940B3" w:rsidRPr="0024325B" w:rsidRDefault="008940B3" w:rsidP="00E858EF">
            <w:pPr>
              <w:suppressAutoHyphens/>
              <w:jc w:val="left"/>
              <w:rPr>
                <w:sz w:val="12"/>
                <w:szCs w:val="20"/>
              </w:rPr>
            </w:pPr>
            <w:r w:rsidRPr="0024325B">
              <w:rPr>
                <w:rFonts w:ascii="Lucida Grande" w:hAnsi="Lucida Grande" w:cs="Lucida Grande"/>
                <w:color w:val="000000"/>
                <w:sz w:val="12"/>
                <w:szCs w:val="20"/>
              </w:rPr>
              <w:t>✓</w:t>
            </w:r>
          </w:p>
        </w:tc>
        <w:tc>
          <w:tcPr>
            <w:tcW w:w="764" w:type="dxa"/>
            <w:hideMark/>
          </w:tcPr>
          <w:p w14:paraId="25E3AA54" w14:textId="77777777" w:rsidR="008940B3" w:rsidRPr="0024325B" w:rsidRDefault="008940B3" w:rsidP="00E858EF">
            <w:pPr>
              <w:suppressAutoHyphens/>
              <w:jc w:val="left"/>
              <w:rPr>
                <w:sz w:val="12"/>
                <w:szCs w:val="20"/>
              </w:rPr>
            </w:pPr>
            <w:r w:rsidRPr="0024325B">
              <w:rPr>
                <w:rFonts w:ascii="Lucida Grande" w:hAnsi="Lucida Grande" w:cs="Lucida Grande"/>
                <w:color w:val="000000"/>
                <w:sz w:val="12"/>
                <w:szCs w:val="20"/>
              </w:rPr>
              <w:t>✓</w:t>
            </w:r>
          </w:p>
        </w:tc>
        <w:tc>
          <w:tcPr>
            <w:tcW w:w="0" w:type="auto"/>
          </w:tcPr>
          <w:p w14:paraId="2A0A1CDA" w14:textId="77777777" w:rsidR="008940B3" w:rsidRPr="0024325B" w:rsidRDefault="008940B3" w:rsidP="00E858EF">
            <w:pPr>
              <w:suppressAutoHyphens/>
              <w:jc w:val="left"/>
              <w:rPr>
                <w:sz w:val="12"/>
                <w:szCs w:val="20"/>
              </w:rPr>
            </w:pPr>
          </w:p>
        </w:tc>
        <w:tc>
          <w:tcPr>
            <w:tcW w:w="0" w:type="auto"/>
          </w:tcPr>
          <w:p w14:paraId="6101A3D8" w14:textId="77777777" w:rsidR="008940B3" w:rsidRPr="0024325B" w:rsidRDefault="008940B3" w:rsidP="00E858EF">
            <w:pPr>
              <w:suppressAutoHyphens/>
              <w:jc w:val="left"/>
              <w:rPr>
                <w:sz w:val="12"/>
                <w:szCs w:val="20"/>
              </w:rPr>
            </w:pPr>
          </w:p>
        </w:tc>
        <w:tc>
          <w:tcPr>
            <w:tcW w:w="0" w:type="auto"/>
          </w:tcPr>
          <w:p w14:paraId="16F78EB5" w14:textId="77777777" w:rsidR="008940B3" w:rsidRPr="0024325B" w:rsidRDefault="008940B3" w:rsidP="00E858EF">
            <w:pPr>
              <w:suppressAutoHyphens/>
              <w:jc w:val="left"/>
              <w:rPr>
                <w:sz w:val="12"/>
                <w:szCs w:val="20"/>
              </w:rPr>
            </w:pPr>
          </w:p>
        </w:tc>
        <w:tc>
          <w:tcPr>
            <w:tcW w:w="0" w:type="auto"/>
          </w:tcPr>
          <w:p w14:paraId="322A652F" w14:textId="77777777" w:rsidR="008940B3" w:rsidRPr="0024325B" w:rsidRDefault="008940B3" w:rsidP="00E858EF">
            <w:pPr>
              <w:suppressAutoHyphens/>
              <w:jc w:val="left"/>
              <w:rPr>
                <w:sz w:val="12"/>
                <w:szCs w:val="20"/>
              </w:rPr>
            </w:pPr>
          </w:p>
        </w:tc>
        <w:tc>
          <w:tcPr>
            <w:tcW w:w="0" w:type="auto"/>
          </w:tcPr>
          <w:p w14:paraId="1F789517" w14:textId="77777777" w:rsidR="008940B3" w:rsidRPr="0024325B" w:rsidRDefault="008940B3" w:rsidP="00E858EF">
            <w:pPr>
              <w:suppressAutoHyphens/>
              <w:jc w:val="left"/>
              <w:rPr>
                <w:color w:val="000000"/>
                <w:sz w:val="12"/>
                <w:szCs w:val="20"/>
              </w:rPr>
            </w:pPr>
          </w:p>
        </w:tc>
        <w:tc>
          <w:tcPr>
            <w:tcW w:w="0" w:type="auto"/>
            <w:hideMark/>
          </w:tcPr>
          <w:p w14:paraId="6FFC651A" w14:textId="77777777" w:rsidR="008940B3" w:rsidRPr="0024325B" w:rsidRDefault="008940B3" w:rsidP="00E858EF">
            <w:pPr>
              <w:suppressAutoHyphens/>
              <w:jc w:val="left"/>
              <w:rPr>
                <w:sz w:val="12"/>
                <w:szCs w:val="20"/>
              </w:rPr>
            </w:pPr>
            <w:r w:rsidRPr="0024325B">
              <w:rPr>
                <w:rFonts w:ascii="Lucida Grande" w:hAnsi="Lucida Grande" w:cs="Lucida Grande"/>
                <w:color w:val="000000"/>
                <w:sz w:val="12"/>
                <w:szCs w:val="20"/>
              </w:rPr>
              <w:t>✓</w:t>
            </w:r>
          </w:p>
        </w:tc>
      </w:tr>
      <w:tr w:rsidR="008940B3" w:rsidRPr="0024325B" w14:paraId="420A66BB" w14:textId="77777777" w:rsidTr="008940B3">
        <w:trPr>
          <w:trHeight w:val="175"/>
        </w:trPr>
        <w:tc>
          <w:tcPr>
            <w:tcW w:w="0" w:type="auto"/>
          </w:tcPr>
          <w:p w14:paraId="0C3D8718" w14:textId="77777777" w:rsidR="008940B3" w:rsidRPr="0024325B" w:rsidRDefault="008940B3" w:rsidP="00E858EF">
            <w:pPr>
              <w:suppressAutoHyphens/>
              <w:jc w:val="left"/>
              <w:rPr>
                <w:color w:val="000000"/>
                <w:sz w:val="12"/>
                <w:szCs w:val="20"/>
              </w:rPr>
            </w:pPr>
            <w:r w:rsidRPr="0024325B">
              <w:rPr>
                <w:color w:val="000000"/>
                <w:sz w:val="12"/>
                <w:szCs w:val="20"/>
              </w:rPr>
              <w:t>KALOCHORAPHITIS</w:t>
            </w:r>
          </w:p>
        </w:tc>
        <w:tc>
          <w:tcPr>
            <w:tcW w:w="0" w:type="auto"/>
          </w:tcPr>
          <w:p w14:paraId="2F74576C" w14:textId="77777777" w:rsidR="008940B3" w:rsidRPr="0024325B" w:rsidRDefault="008940B3" w:rsidP="00E858EF">
            <w:pPr>
              <w:suppressAutoHyphens/>
              <w:jc w:val="left"/>
              <w:rPr>
                <w:color w:val="000000"/>
                <w:sz w:val="12"/>
                <w:szCs w:val="20"/>
              </w:rPr>
            </w:pPr>
            <w:r w:rsidRPr="0024325B">
              <w:rPr>
                <w:rFonts w:ascii="Lucida Grande" w:hAnsi="Lucida Grande" w:cs="Lucida Grande"/>
                <w:color w:val="000000"/>
                <w:sz w:val="12"/>
                <w:szCs w:val="20"/>
              </w:rPr>
              <w:t>✓</w:t>
            </w:r>
          </w:p>
        </w:tc>
        <w:tc>
          <w:tcPr>
            <w:tcW w:w="0" w:type="auto"/>
            <w:hideMark/>
          </w:tcPr>
          <w:p w14:paraId="1D4A8A73" w14:textId="77777777" w:rsidR="008940B3" w:rsidRPr="0024325B" w:rsidRDefault="008940B3" w:rsidP="00E858EF">
            <w:pPr>
              <w:suppressAutoHyphens/>
              <w:jc w:val="left"/>
              <w:rPr>
                <w:sz w:val="12"/>
                <w:szCs w:val="20"/>
              </w:rPr>
            </w:pPr>
          </w:p>
        </w:tc>
        <w:tc>
          <w:tcPr>
            <w:tcW w:w="1150" w:type="dxa"/>
          </w:tcPr>
          <w:p w14:paraId="4FAE2ACE" w14:textId="77777777" w:rsidR="008940B3" w:rsidRPr="0024325B" w:rsidRDefault="008940B3" w:rsidP="00E858EF">
            <w:pPr>
              <w:suppressAutoHyphens/>
              <w:jc w:val="left"/>
              <w:rPr>
                <w:sz w:val="12"/>
                <w:szCs w:val="20"/>
              </w:rPr>
            </w:pPr>
          </w:p>
        </w:tc>
        <w:tc>
          <w:tcPr>
            <w:tcW w:w="764" w:type="dxa"/>
            <w:hideMark/>
          </w:tcPr>
          <w:p w14:paraId="67ACF02F" w14:textId="77777777" w:rsidR="008940B3" w:rsidRPr="0024325B" w:rsidRDefault="008940B3" w:rsidP="00E858EF">
            <w:pPr>
              <w:suppressAutoHyphens/>
              <w:jc w:val="left"/>
              <w:rPr>
                <w:sz w:val="12"/>
                <w:szCs w:val="20"/>
              </w:rPr>
            </w:pPr>
            <w:r w:rsidRPr="0024325B">
              <w:rPr>
                <w:rFonts w:ascii="Lucida Grande" w:hAnsi="Lucida Grande" w:cs="Lucida Grande"/>
                <w:color w:val="000000"/>
                <w:sz w:val="12"/>
                <w:szCs w:val="20"/>
              </w:rPr>
              <w:t>✓</w:t>
            </w:r>
          </w:p>
        </w:tc>
        <w:tc>
          <w:tcPr>
            <w:tcW w:w="0" w:type="auto"/>
          </w:tcPr>
          <w:p w14:paraId="7087229F" w14:textId="77777777" w:rsidR="008940B3" w:rsidRPr="0024325B" w:rsidRDefault="008940B3" w:rsidP="00E858EF">
            <w:pPr>
              <w:suppressAutoHyphens/>
              <w:jc w:val="left"/>
              <w:rPr>
                <w:sz w:val="12"/>
                <w:szCs w:val="20"/>
              </w:rPr>
            </w:pPr>
            <w:r w:rsidRPr="0024325B">
              <w:rPr>
                <w:rFonts w:ascii="Lucida Grande" w:hAnsi="Lucida Grande" w:cs="Lucida Grande"/>
                <w:color w:val="000000"/>
                <w:sz w:val="12"/>
                <w:szCs w:val="20"/>
              </w:rPr>
              <w:t>✓</w:t>
            </w:r>
          </w:p>
        </w:tc>
        <w:tc>
          <w:tcPr>
            <w:tcW w:w="0" w:type="auto"/>
          </w:tcPr>
          <w:p w14:paraId="0B482F04" w14:textId="77777777" w:rsidR="008940B3" w:rsidRPr="0024325B" w:rsidRDefault="008940B3" w:rsidP="00E858EF">
            <w:pPr>
              <w:suppressAutoHyphens/>
              <w:jc w:val="left"/>
              <w:rPr>
                <w:sz w:val="12"/>
                <w:szCs w:val="20"/>
              </w:rPr>
            </w:pPr>
          </w:p>
        </w:tc>
        <w:tc>
          <w:tcPr>
            <w:tcW w:w="0" w:type="auto"/>
          </w:tcPr>
          <w:p w14:paraId="6B406CAA" w14:textId="77777777" w:rsidR="008940B3" w:rsidRPr="0024325B" w:rsidRDefault="008940B3" w:rsidP="00E858EF">
            <w:pPr>
              <w:suppressAutoHyphens/>
              <w:jc w:val="left"/>
              <w:rPr>
                <w:sz w:val="12"/>
                <w:szCs w:val="20"/>
              </w:rPr>
            </w:pPr>
          </w:p>
        </w:tc>
        <w:tc>
          <w:tcPr>
            <w:tcW w:w="0" w:type="auto"/>
          </w:tcPr>
          <w:p w14:paraId="2195A926" w14:textId="77777777" w:rsidR="008940B3" w:rsidRPr="0024325B" w:rsidRDefault="008940B3" w:rsidP="00E858EF">
            <w:pPr>
              <w:suppressAutoHyphens/>
              <w:jc w:val="left"/>
              <w:rPr>
                <w:sz w:val="12"/>
                <w:szCs w:val="20"/>
              </w:rPr>
            </w:pPr>
          </w:p>
        </w:tc>
        <w:tc>
          <w:tcPr>
            <w:tcW w:w="0" w:type="auto"/>
          </w:tcPr>
          <w:p w14:paraId="0586E628" w14:textId="77777777" w:rsidR="008940B3" w:rsidRPr="0024325B" w:rsidRDefault="008940B3" w:rsidP="00E858EF">
            <w:pPr>
              <w:suppressAutoHyphens/>
              <w:jc w:val="left"/>
              <w:rPr>
                <w:sz w:val="12"/>
                <w:szCs w:val="20"/>
              </w:rPr>
            </w:pPr>
          </w:p>
        </w:tc>
        <w:tc>
          <w:tcPr>
            <w:tcW w:w="0" w:type="auto"/>
            <w:hideMark/>
          </w:tcPr>
          <w:p w14:paraId="23384DB9" w14:textId="77777777" w:rsidR="008940B3" w:rsidRPr="0024325B" w:rsidRDefault="008940B3" w:rsidP="00E858EF">
            <w:pPr>
              <w:suppressAutoHyphens/>
              <w:jc w:val="left"/>
              <w:rPr>
                <w:sz w:val="12"/>
                <w:szCs w:val="20"/>
              </w:rPr>
            </w:pPr>
          </w:p>
        </w:tc>
      </w:tr>
      <w:tr w:rsidR="008940B3" w:rsidRPr="0024325B" w14:paraId="43261E82" w14:textId="77777777" w:rsidTr="008940B3">
        <w:trPr>
          <w:trHeight w:val="175"/>
        </w:trPr>
        <w:tc>
          <w:tcPr>
            <w:tcW w:w="0" w:type="auto"/>
          </w:tcPr>
          <w:p w14:paraId="2413FA70" w14:textId="77777777" w:rsidR="008940B3" w:rsidRPr="0024325B" w:rsidRDefault="008940B3" w:rsidP="00E858EF">
            <w:pPr>
              <w:suppressAutoHyphens/>
              <w:jc w:val="left"/>
              <w:rPr>
                <w:color w:val="000000"/>
                <w:sz w:val="12"/>
                <w:szCs w:val="20"/>
              </w:rPr>
            </w:pPr>
            <w:r w:rsidRPr="0024325B">
              <w:rPr>
                <w:color w:val="000000"/>
                <w:sz w:val="12"/>
                <w:szCs w:val="20"/>
              </w:rPr>
              <w:t>KAMILARI</w:t>
            </w:r>
          </w:p>
        </w:tc>
        <w:tc>
          <w:tcPr>
            <w:tcW w:w="0" w:type="auto"/>
          </w:tcPr>
          <w:p w14:paraId="2D7B60BF" w14:textId="77777777" w:rsidR="008940B3" w:rsidRPr="0024325B" w:rsidRDefault="008940B3" w:rsidP="00E858EF">
            <w:pPr>
              <w:suppressAutoHyphens/>
              <w:jc w:val="left"/>
              <w:rPr>
                <w:color w:val="000000"/>
                <w:sz w:val="12"/>
                <w:szCs w:val="20"/>
              </w:rPr>
            </w:pPr>
            <w:r w:rsidRPr="0024325B">
              <w:rPr>
                <w:rFonts w:ascii="Lucida Grande" w:hAnsi="Lucida Grande" w:cs="Lucida Grande"/>
                <w:color w:val="000000"/>
                <w:sz w:val="12"/>
                <w:szCs w:val="20"/>
              </w:rPr>
              <w:t>✓</w:t>
            </w:r>
          </w:p>
        </w:tc>
        <w:tc>
          <w:tcPr>
            <w:tcW w:w="0" w:type="auto"/>
            <w:hideMark/>
          </w:tcPr>
          <w:p w14:paraId="713B52DB" w14:textId="77777777" w:rsidR="008940B3" w:rsidRPr="0024325B" w:rsidRDefault="008940B3" w:rsidP="00E858EF">
            <w:pPr>
              <w:suppressAutoHyphens/>
              <w:jc w:val="left"/>
              <w:rPr>
                <w:sz w:val="12"/>
                <w:szCs w:val="20"/>
              </w:rPr>
            </w:pPr>
          </w:p>
        </w:tc>
        <w:tc>
          <w:tcPr>
            <w:tcW w:w="1150" w:type="dxa"/>
          </w:tcPr>
          <w:p w14:paraId="0BE682BD" w14:textId="77777777" w:rsidR="008940B3" w:rsidRPr="0024325B" w:rsidRDefault="008940B3" w:rsidP="00E858EF">
            <w:pPr>
              <w:suppressAutoHyphens/>
              <w:jc w:val="left"/>
              <w:rPr>
                <w:sz w:val="12"/>
                <w:szCs w:val="20"/>
              </w:rPr>
            </w:pPr>
          </w:p>
        </w:tc>
        <w:tc>
          <w:tcPr>
            <w:tcW w:w="764" w:type="dxa"/>
            <w:hideMark/>
          </w:tcPr>
          <w:p w14:paraId="253244C9" w14:textId="77777777" w:rsidR="008940B3" w:rsidRPr="0024325B" w:rsidRDefault="008940B3" w:rsidP="00E858EF">
            <w:pPr>
              <w:suppressAutoHyphens/>
              <w:jc w:val="left"/>
              <w:rPr>
                <w:sz w:val="12"/>
                <w:szCs w:val="20"/>
              </w:rPr>
            </w:pPr>
          </w:p>
        </w:tc>
        <w:tc>
          <w:tcPr>
            <w:tcW w:w="0" w:type="auto"/>
          </w:tcPr>
          <w:p w14:paraId="1485885F" w14:textId="77777777" w:rsidR="008940B3" w:rsidRPr="0024325B" w:rsidRDefault="008940B3" w:rsidP="00E858EF">
            <w:pPr>
              <w:suppressAutoHyphens/>
              <w:jc w:val="left"/>
              <w:rPr>
                <w:sz w:val="12"/>
                <w:szCs w:val="20"/>
              </w:rPr>
            </w:pPr>
          </w:p>
        </w:tc>
        <w:tc>
          <w:tcPr>
            <w:tcW w:w="0" w:type="auto"/>
          </w:tcPr>
          <w:p w14:paraId="61CD6493" w14:textId="77777777" w:rsidR="008940B3" w:rsidRPr="0024325B" w:rsidRDefault="008940B3" w:rsidP="00E858EF">
            <w:pPr>
              <w:suppressAutoHyphens/>
              <w:jc w:val="left"/>
              <w:rPr>
                <w:sz w:val="12"/>
                <w:szCs w:val="20"/>
              </w:rPr>
            </w:pPr>
          </w:p>
        </w:tc>
        <w:tc>
          <w:tcPr>
            <w:tcW w:w="0" w:type="auto"/>
          </w:tcPr>
          <w:p w14:paraId="1F9840DC" w14:textId="77777777" w:rsidR="008940B3" w:rsidRPr="0024325B" w:rsidRDefault="008940B3" w:rsidP="00E858EF">
            <w:pPr>
              <w:suppressAutoHyphens/>
              <w:jc w:val="left"/>
              <w:rPr>
                <w:sz w:val="12"/>
                <w:szCs w:val="20"/>
              </w:rPr>
            </w:pPr>
          </w:p>
        </w:tc>
        <w:tc>
          <w:tcPr>
            <w:tcW w:w="0" w:type="auto"/>
          </w:tcPr>
          <w:p w14:paraId="2EFCE927" w14:textId="77777777" w:rsidR="008940B3" w:rsidRPr="0024325B" w:rsidRDefault="008940B3" w:rsidP="00E858EF">
            <w:pPr>
              <w:suppressAutoHyphens/>
              <w:jc w:val="left"/>
              <w:rPr>
                <w:sz w:val="12"/>
                <w:szCs w:val="20"/>
              </w:rPr>
            </w:pPr>
          </w:p>
        </w:tc>
        <w:tc>
          <w:tcPr>
            <w:tcW w:w="0" w:type="auto"/>
          </w:tcPr>
          <w:p w14:paraId="37893D9B" w14:textId="77777777" w:rsidR="008940B3" w:rsidRPr="0024325B" w:rsidRDefault="008940B3" w:rsidP="00E858EF">
            <w:pPr>
              <w:suppressAutoHyphens/>
              <w:jc w:val="left"/>
              <w:rPr>
                <w:sz w:val="12"/>
                <w:szCs w:val="20"/>
              </w:rPr>
            </w:pPr>
          </w:p>
        </w:tc>
        <w:tc>
          <w:tcPr>
            <w:tcW w:w="0" w:type="auto"/>
            <w:hideMark/>
          </w:tcPr>
          <w:p w14:paraId="270D453E" w14:textId="77777777" w:rsidR="008940B3" w:rsidRPr="0024325B" w:rsidRDefault="008940B3" w:rsidP="00E858EF">
            <w:pPr>
              <w:suppressAutoHyphens/>
              <w:jc w:val="left"/>
              <w:rPr>
                <w:sz w:val="12"/>
                <w:szCs w:val="20"/>
              </w:rPr>
            </w:pPr>
          </w:p>
        </w:tc>
      </w:tr>
      <w:tr w:rsidR="008940B3" w:rsidRPr="0024325B" w14:paraId="453D94A7" w14:textId="77777777" w:rsidTr="008940B3">
        <w:trPr>
          <w:trHeight w:val="175"/>
        </w:trPr>
        <w:tc>
          <w:tcPr>
            <w:tcW w:w="0" w:type="auto"/>
          </w:tcPr>
          <w:p w14:paraId="286D49E7" w14:textId="77777777" w:rsidR="008940B3" w:rsidRPr="0024325B" w:rsidRDefault="008940B3" w:rsidP="00E858EF">
            <w:pPr>
              <w:suppressAutoHyphens/>
              <w:jc w:val="left"/>
              <w:rPr>
                <w:color w:val="000000"/>
                <w:sz w:val="12"/>
                <w:szCs w:val="20"/>
              </w:rPr>
            </w:pPr>
            <w:r w:rsidRPr="0024325B">
              <w:rPr>
                <w:color w:val="000000"/>
                <w:sz w:val="12"/>
                <w:szCs w:val="20"/>
              </w:rPr>
              <w:t>KLIMA</w:t>
            </w:r>
          </w:p>
        </w:tc>
        <w:tc>
          <w:tcPr>
            <w:tcW w:w="0" w:type="auto"/>
          </w:tcPr>
          <w:p w14:paraId="03B8F33F" w14:textId="77777777" w:rsidR="008940B3" w:rsidRPr="0024325B" w:rsidRDefault="008940B3" w:rsidP="00E858EF">
            <w:pPr>
              <w:suppressAutoHyphens/>
              <w:jc w:val="left"/>
              <w:rPr>
                <w:color w:val="000000"/>
                <w:sz w:val="12"/>
                <w:szCs w:val="20"/>
              </w:rPr>
            </w:pPr>
            <w:r w:rsidRPr="0024325B">
              <w:rPr>
                <w:rFonts w:ascii="Lucida Grande" w:hAnsi="Lucida Grande" w:cs="Lucida Grande"/>
                <w:color w:val="000000"/>
                <w:sz w:val="12"/>
                <w:szCs w:val="20"/>
              </w:rPr>
              <w:t>✓</w:t>
            </w:r>
          </w:p>
        </w:tc>
        <w:tc>
          <w:tcPr>
            <w:tcW w:w="0" w:type="auto"/>
            <w:hideMark/>
          </w:tcPr>
          <w:p w14:paraId="69586092" w14:textId="77777777" w:rsidR="008940B3" w:rsidRPr="0024325B" w:rsidRDefault="008940B3" w:rsidP="00E858EF">
            <w:pPr>
              <w:suppressAutoHyphens/>
              <w:jc w:val="left"/>
              <w:rPr>
                <w:sz w:val="12"/>
                <w:szCs w:val="20"/>
              </w:rPr>
            </w:pPr>
          </w:p>
        </w:tc>
        <w:tc>
          <w:tcPr>
            <w:tcW w:w="1150" w:type="dxa"/>
          </w:tcPr>
          <w:p w14:paraId="7E7DB314" w14:textId="77777777" w:rsidR="008940B3" w:rsidRPr="0024325B" w:rsidRDefault="008940B3" w:rsidP="00E858EF">
            <w:pPr>
              <w:suppressAutoHyphens/>
              <w:jc w:val="left"/>
              <w:rPr>
                <w:sz w:val="12"/>
                <w:szCs w:val="20"/>
              </w:rPr>
            </w:pPr>
          </w:p>
        </w:tc>
        <w:tc>
          <w:tcPr>
            <w:tcW w:w="764" w:type="dxa"/>
            <w:hideMark/>
          </w:tcPr>
          <w:p w14:paraId="374BF1A4" w14:textId="77777777" w:rsidR="008940B3" w:rsidRPr="0024325B" w:rsidRDefault="008940B3" w:rsidP="00E858EF">
            <w:pPr>
              <w:suppressAutoHyphens/>
              <w:jc w:val="left"/>
              <w:rPr>
                <w:sz w:val="12"/>
                <w:szCs w:val="20"/>
              </w:rPr>
            </w:pPr>
          </w:p>
        </w:tc>
        <w:tc>
          <w:tcPr>
            <w:tcW w:w="0" w:type="auto"/>
          </w:tcPr>
          <w:p w14:paraId="7781DF4A" w14:textId="77777777" w:rsidR="008940B3" w:rsidRPr="0024325B" w:rsidRDefault="008940B3" w:rsidP="00E858EF">
            <w:pPr>
              <w:suppressAutoHyphens/>
              <w:jc w:val="left"/>
              <w:rPr>
                <w:sz w:val="12"/>
                <w:szCs w:val="20"/>
              </w:rPr>
            </w:pPr>
          </w:p>
        </w:tc>
        <w:tc>
          <w:tcPr>
            <w:tcW w:w="0" w:type="auto"/>
          </w:tcPr>
          <w:p w14:paraId="4C601B5C" w14:textId="77777777" w:rsidR="008940B3" w:rsidRPr="0024325B" w:rsidRDefault="008940B3" w:rsidP="00E858EF">
            <w:pPr>
              <w:suppressAutoHyphens/>
              <w:jc w:val="left"/>
              <w:rPr>
                <w:sz w:val="12"/>
                <w:szCs w:val="20"/>
              </w:rPr>
            </w:pPr>
          </w:p>
        </w:tc>
        <w:tc>
          <w:tcPr>
            <w:tcW w:w="0" w:type="auto"/>
          </w:tcPr>
          <w:p w14:paraId="1E066D78" w14:textId="77777777" w:rsidR="008940B3" w:rsidRPr="0024325B" w:rsidRDefault="008940B3" w:rsidP="00E858EF">
            <w:pPr>
              <w:suppressAutoHyphens/>
              <w:jc w:val="left"/>
              <w:rPr>
                <w:sz w:val="12"/>
                <w:szCs w:val="20"/>
              </w:rPr>
            </w:pPr>
          </w:p>
        </w:tc>
        <w:tc>
          <w:tcPr>
            <w:tcW w:w="0" w:type="auto"/>
          </w:tcPr>
          <w:p w14:paraId="77A24E49" w14:textId="77777777" w:rsidR="008940B3" w:rsidRPr="0024325B" w:rsidRDefault="008940B3" w:rsidP="00E858EF">
            <w:pPr>
              <w:suppressAutoHyphens/>
              <w:jc w:val="left"/>
              <w:rPr>
                <w:sz w:val="12"/>
                <w:szCs w:val="20"/>
              </w:rPr>
            </w:pPr>
          </w:p>
        </w:tc>
        <w:tc>
          <w:tcPr>
            <w:tcW w:w="0" w:type="auto"/>
          </w:tcPr>
          <w:p w14:paraId="28A2417B" w14:textId="77777777" w:rsidR="008940B3" w:rsidRPr="0024325B" w:rsidRDefault="008940B3" w:rsidP="00E858EF">
            <w:pPr>
              <w:suppressAutoHyphens/>
              <w:jc w:val="left"/>
              <w:rPr>
                <w:sz w:val="12"/>
                <w:szCs w:val="20"/>
              </w:rPr>
            </w:pPr>
          </w:p>
        </w:tc>
        <w:tc>
          <w:tcPr>
            <w:tcW w:w="0" w:type="auto"/>
            <w:hideMark/>
          </w:tcPr>
          <w:p w14:paraId="73B6C201" w14:textId="77777777" w:rsidR="008940B3" w:rsidRPr="0024325B" w:rsidRDefault="008940B3" w:rsidP="00E858EF">
            <w:pPr>
              <w:suppressAutoHyphens/>
              <w:jc w:val="left"/>
              <w:rPr>
                <w:sz w:val="12"/>
                <w:szCs w:val="20"/>
              </w:rPr>
            </w:pPr>
          </w:p>
        </w:tc>
      </w:tr>
      <w:tr w:rsidR="008940B3" w:rsidRPr="0024325B" w14:paraId="0A4AA0A8" w14:textId="77777777" w:rsidTr="008940B3">
        <w:trPr>
          <w:trHeight w:val="175"/>
        </w:trPr>
        <w:tc>
          <w:tcPr>
            <w:tcW w:w="0" w:type="auto"/>
          </w:tcPr>
          <w:p w14:paraId="667CA0E9" w14:textId="77777777" w:rsidR="008940B3" w:rsidRPr="0024325B" w:rsidRDefault="008940B3" w:rsidP="00E858EF">
            <w:pPr>
              <w:suppressAutoHyphens/>
              <w:jc w:val="left"/>
              <w:rPr>
                <w:color w:val="000000"/>
                <w:sz w:val="12"/>
                <w:szCs w:val="20"/>
              </w:rPr>
            </w:pPr>
            <w:r w:rsidRPr="0024325B">
              <w:rPr>
                <w:sz w:val="12"/>
                <w:szCs w:val="20"/>
              </w:rPr>
              <w:t>KOUSSES</w:t>
            </w:r>
          </w:p>
        </w:tc>
        <w:tc>
          <w:tcPr>
            <w:tcW w:w="0" w:type="auto"/>
          </w:tcPr>
          <w:p w14:paraId="5635E71B" w14:textId="77777777" w:rsidR="008940B3" w:rsidRPr="0024325B" w:rsidRDefault="008940B3" w:rsidP="00E858EF">
            <w:pPr>
              <w:suppressAutoHyphens/>
              <w:jc w:val="left"/>
              <w:rPr>
                <w:sz w:val="12"/>
                <w:szCs w:val="20"/>
              </w:rPr>
            </w:pPr>
            <w:r w:rsidRPr="0024325B">
              <w:rPr>
                <w:rFonts w:ascii="Lucida Grande" w:hAnsi="Lucida Grande" w:cs="Lucida Grande"/>
                <w:color w:val="000000"/>
                <w:sz w:val="12"/>
                <w:szCs w:val="20"/>
              </w:rPr>
              <w:t>✓</w:t>
            </w:r>
          </w:p>
        </w:tc>
        <w:tc>
          <w:tcPr>
            <w:tcW w:w="0" w:type="auto"/>
            <w:hideMark/>
          </w:tcPr>
          <w:p w14:paraId="6CEFD631" w14:textId="77777777" w:rsidR="008940B3" w:rsidRPr="0024325B" w:rsidRDefault="008940B3" w:rsidP="00E858EF">
            <w:pPr>
              <w:suppressAutoHyphens/>
              <w:jc w:val="left"/>
              <w:rPr>
                <w:sz w:val="12"/>
                <w:szCs w:val="20"/>
              </w:rPr>
            </w:pPr>
          </w:p>
        </w:tc>
        <w:tc>
          <w:tcPr>
            <w:tcW w:w="1150" w:type="dxa"/>
          </w:tcPr>
          <w:p w14:paraId="47F8F868" w14:textId="77777777" w:rsidR="008940B3" w:rsidRPr="0024325B" w:rsidRDefault="008940B3" w:rsidP="00E858EF">
            <w:pPr>
              <w:suppressAutoHyphens/>
              <w:jc w:val="left"/>
              <w:rPr>
                <w:sz w:val="12"/>
                <w:szCs w:val="20"/>
              </w:rPr>
            </w:pPr>
          </w:p>
        </w:tc>
        <w:tc>
          <w:tcPr>
            <w:tcW w:w="764" w:type="dxa"/>
            <w:hideMark/>
          </w:tcPr>
          <w:p w14:paraId="355E891F" w14:textId="77777777" w:rsidR="008940B3" w:rsidRPr="0024325B" w:rsidRDefault="008940B3" w:rsidP="00E858EF">
            <w:pPr>
              <w:suppressAutoHyphens/>
              <w:jc w:val="left"/>
              <w:rPr>
                <w:sz w:val="12"/>
                <w:szCs w:val="20"/>
              </w:rPr>
            </w:pPr>
          </w:p>
        </w:tc>
        <w:tc>
          <w:tcPr>
            <w:tcW w:w="0" w:type="auto"/>
          </w:tcPr>
          <w:p w14:paraId="06BF2DDA" w14:textId="77777777" w:rsidR="008940B3" w:rsidRPr="0024325B" w:rsidRDefault="008940B3" w:rsidP="00E858EF">
            <w:pPr>
              <w:suppressAutoHyphens/>
              <w:jc w:val="left"/>
              <w:rPr>
                <w:sz w:val="12"/>
                <w:szCs w:val="20"/>
              </w:rPr>
            </w:pPr>
          </w:p>
        </w:tc>
        <w:tc>
          <w:tcPr>
            <w:tcW w:w="0" w:type="auto"/>
          </w:tcPr>
          <w:p w14:paraId="6F4EB186" w14:textId="77777777" w:rsidR="008940B3" w:rsidRPr="0024325B" w:rsidRDefault="008940B3" w:rsidP="00E858EF">
            <w:pPr>
              <w:suppressAutoHyphens/>
              <w:jc w:val="left"/>
              <w:rPr>
                <w:sz w:val="12"/>
                <w:szCs w:val="20"/>
              </w:rPr>
            </w:pPr>
          </w:p>
        </w:tc>
        <w:tc>
          <w:tcPr>
            <w:tcW w:w="0" w:type="auto"/>
          </w:tcPr>
          <w:p w14:paraId="38FD5DC3" w14:textId="77777777" w:rsidR="008940B3" w:rsidRPr="0024325B" w:rsidRDefault="008940B3" w:rsidP="00E858EF">
            <w:pPr>
              <w:suppressAutoHyphens/>
              <w:jc w:val="left"/>
              <w:rPr>
                <w:sz w:val="12"/>
                <w:szCs w:val="20"/>
              </w:rPr>
            </w:pPr>
          </w:p>
        </w:tc>
        <w:tc>
          <w:tcPr>
            <w:tcW w:w="0" w:type="auto"/>
          </w:tcPr>
          <w:p w14:paraId="6B02D3E2" w14:textId="77777777" w:rsidR="008940B3" w:rsidRPr="0024325B" w:rsidRDefault="008940B3" w:rsidP="00E858EF">
            <w:pPr>
              <w:suppressAutoHyphens/>
              <w:jc w:val="left"/>
              <w:rPr>
                <w:sz w:val="12"/>
                <w:szCs w:val="20"/>
              </w:rPr>
            </w:pPr>
          </w:p>
        </w:tc>
        <w:tc>
          <w:tcPr>
            <w:tcW w:w="0" w:type="auto"/>
          </w:tcPr>
          <w:p w14:paraId="66878155" w14:textId="77777777" w:rsidR="008940B3" w:rsidRPr="0024325B" w:rsidRDefault="008940B3" w:rsidP="00E858EF">
            <w:pPr>
              <w:suppressAutoHyphens/>
              <w:jc w:val="left"/>
              <w:rPr>
                <w:sz w:val="12"/>
                <w:szCs w:val="20"/>
              </w:rPr>
            </w:pPr>
          </w:p>
        </w:tc>
        <w:tc>
          <w:tcPr>
            <w:tcW w:w="0" w:type="auto"/>
            <w:hideMark/>
          </w:tcPr>
          <w:p w14:paraId="77797A02" w14:textId="77777777" w:rsidR="008940B3" w:rsidRPr="0024325B" w:rsidRDefault="008940B3" w:rsidP="00E858EF">
            <w:pPr>
              <w:suppressAutoHyphens/>
              <w:jc w:val="left"/>
              <w:rPr>
                <w:sz w:val="12"/>
                <w:szCs w:val="20"/>
              </w:rPr>
            </w:pPr>
          </w:p>
        </w:tc>
      </w:tr>
      <w:tr w:rsidR="008940B3" w:rsidRPr="0024325B" w14:paraId="4208F004" w14:textId="77777777" w:rsidTr="008940B3">
        <w:trPr>
          <w:trHeight w:val="175"/>
        </w:trPr>
        <w:tc>
          <w:tcPr>
            <w:tcW w:w="0" w:type="auto"/>
          </w:tcPr>
          <w:p w14:paraId="6C01FF4E" w14:textId="77777777" w:rsidR="008940B3" w:rsidRPr="0024325B" w:rsidRDefault="008940B3" w:rsidP="00E858EF">
            <w:pPr>
              <w:suppressAutoHyphens/>
              <w:jc w:val="left"/>
              <w:rPr>
                <w:sz w:val="12"/>
                <w:szCs w:val="20"/>
              </w:rPr>
            </w:pPr>
            <w:r w:rsidRPr="0024325B">
              <w:rPr>
                <w:sz w:val="12"/>
                <w:szCs w:val="20"/>
              </w:rPr>
              <w:t>LILIANA</w:t>
            </w:r>
          </w:p>
        </w:tc>
        <w:tc>
          <w:tcPr>
            <w:tcW w:w="0" w:type="auto"/>
          </w:tcPr>
          <w:p w14:paraId="23AC4EF8" w14:textId="77777777" w:rsidR="008940B3" w:rsidRPr="0024325B" w:rsidRDefault="008940B3" w:rsidP="00E858EF">
            <w:pPr>
              <w:suppressAutoHyphens/>
              <w:jc w:val="left"/>
              <w:rPr>
                <w:color w:val="000000"/>
                <w:sz w:val="12"/>
                <w:szCs w:val="20"/>
              </w:rPr>
            </w:pPr>
            <w:r w:rsidRPr="0024325B">
              <w:rPr>
                <w:rFonts w:ascii="Lucida Grande" w:hAnsi="Lucida Grande" w:cs="Lucida Grande"/>
                <w:color w:val="000000"/>
                <w:sz w:val="12"/>
                <w:szCs w:val="20"/>
              </w:rPr>
              <w:t>✓</w:t>
            </w:r>
          </w:p>
        </w:tc>
        <w:tc>
          <w:tcPr>
            <w:tcW w:w="0" w:type="auto"/>
          </w:tcPr>
          <w:p w14:paraId="245E4ED8" w14:textId="77777777" w:rsidR="008940B3" w:rsidRPr="0024325B" w:rsidRDefault="008940B3" w:rsidP="00E858EF">
            <w:pPr>
              <w:suppressAutoHyphens/>
              <w:jc w:val="left"/>
              <w:rPr>
                <w:sz w:val="12"/>
                <w:szCs w:val="20"/>
              </w:rPr>
            </w:pPr>
          </w:p>
        </w:tc>
        <w:tc>
          <w:tcPr>
            <w:tcW w:w="1150" w:type="dxa"/>
          </w:tcPr>
          <w:p w14:paraId="51038AA3" w14:textId="77777777" w:rsidR="008940B3" w:rsidRPr="0024325B" w:rsidRDefault="008940B3" w:rsidP="00E858EF">
            <w:pPr>
              <w:suppressAutoHyphens/>
              <w:jc w:val="left"/>
              <w:rPr>
                <w:sz w:val="12"/>
                <w:szCs w:val="20"/>
              </w:rPr>
            </w:pPr>
          </w:p>
        </w:tc>
        <w:tc>
          <w:tcPr>
            <w:tcW w:w="764" w:type="dxa"/>
          </w:tcPr>
          <w:p w14:paraId="0FEA64B6" w14:textId="77777777" w:rsidR="008940B3" w:rsidRPr="0024325B" w:rsidRDefault="008940B3" w:rsidP="00E858EF">
            <w:pPr>
              <w:suppressAutoHyphens/>
              <w:jc w:val="left"/>
              <w:rPr>
                <w:sz w:val="12"/>
                <w:szCs w:val="20"/>
              </w:rPr>
            </w:pPr>
            <w:r w:rsidRPr="0024325B">
              <w:rPr>
                <w:rFonts w:ascii="Lucida Grande" w:hAnsi="Lucida Grande" w:cs="Lucida Grande"/>
                <w:color w:val="000000"/>
                <w:sz w:val="12"/>
                <w:szCs w:val="20"/>
              </w:rPr>
              <w:t>✓</w:t>
            </w:r>
          </w:p>
        </w:tc>
        <w:tc>
          <w:tcPr>
            <w:tcW w:w="0" w:type="auto"/>
          </w:tcPr>
          <w:p w14:paraId="2E265743" w14:textId="77777777" w:rsidR="008940B3" w:rsidRPr="0024325B" w:rsidRDefault="008940B3" w:rsidP="00E858EF">
            <w:pPr>
              <w:suppressAutoHyphens/>
              <w:jc w:val="left"/>
              <w:rPr>
                <w:sz w:val="12"/>
                <w:szCs w:val="20"/>
              </w:rPr>
            </w:pPr>
          </w:p>
        </w:tc>
        <w:tc>
          <w:tcPr>
            <w:tcW w:w="0" w:type="auto"/>
          </w:tcPr>
          <w:p w14:paraId="0FEE6136" w14:textId="77777777" w:rsidR="008940B3" w:rsidRPr="0024325B" w:rsidRDefault="008940B3" w:rsidP="00E858EF">
            <w:pPr>
              <w:suppressAutoHyphens/>
              <w:jc w:val="left"/>
              <w:rPr>
                <w:sz w:val="12"/>
                <w:szCs w:val="20"/>
              </w:rPr>
            </w:pPr>
          </w:p>
        </w:tc>
        <w:tc>
          <w:tcPr>
            <w:tcW w:w="0" w:type="auto"/>
          </w:tcPr>
          <w:p w14:paraId="47140D1D" w14:textId="77777777" w:rsidR="008940B3" w:rsidRPr="0024325B" w:rsidRDefault="008940B3" w:rsidP="00E858EF">
            <w:pPr>
              <w:suppressAutoHyphens/>
              <w:jc w:val="left"/>
              <w:rPr>
                <w:sz w:val="12"/>
                <w:szCs w:val="20"/>
              </w:rPr>
            </w:pPr>
          </w:p>
        </w:tc>
        <w:tc>
          <w:tcPr>
            <w:tcW w:w="0" w:type="auto"/>
          </w:tcPr>
          <w:p w14:paraId="6747E9B9" w14:textId="77777777" w:rsidR="008940B3" w:rsidRPr="0024325B" w:rsidRDefault="008940B3" w:rsidP="00E858EF">
            <w:pPr>
              <w:suppressAutoHyphens/>
              <w:jc w:val="left"/>
              <w:rPr>
                <w:sz w:val="12"/>
                <w:szCs w:val="20"/>
              </w:rPr>
            </w:pPr>
          </w:p>
        </w:tc>
        <w:tc>
          <w:tcPr>
            <w:tcW w:w="0" w:type="auto"/>
          </w:tcPr>
          <w:p w14:paraId="4CDE5664" w14:textId="77777777" w:rsidR="008940B3" w:rsidRPr="0024325B" w:rsidRDefault="008940B3" w:rsidP="00E858EF">
            <w:pPr>
              <w:suppressAutoHyphens/>
              <w:jc w:val="left"/>
              <w:rPr>
                <w:color w:val="000000"/>
                <w:sz w:val="12"/>
                <w:szCs w:val="20"/>
              </w:rPr>
            </w:pPr>
            <w:r w:rsidRPr="0024325B">
              <w:rPr>
                <w:rFonts w:ascii="Lucida Grande" w:hAnsi="Lucida Grande" w:cs="Lucida Grande"/>
                <w:color w:val="000000"/>
                <w:sz w:val="12"/>
                <w:szCs w:val="20"/>
              </w:rPr>
              <w:t>✓</w:t>
            </w:r>
          </w:p>
        </w:tc>
        <w:tc>
          <w:tcPr>
            <w:tcW w:w="0" w:type="auto"/>
          </w:tcPr>
          <w:p w14:paraId="08A521A8" w14:textId="77777777" w:rsidR="008940B3" w:rsidRPr="0024325B" w:rsidRDefault="008940B3" w:rsidP="00E858EF">
            <w:pPr>
              <w:suppressAutoHyphens/>
              <w:jc w:val="left"/>
              <w:rPr>
                <w:sz w:val="12"/>
                <w:szCs w:val="20"/>
              </w:rPr>
            </w:pPr>
            <w:r w:rsidRPr="0024325B">
              <w:rPr>
                <w:rFonts w:ascii="Lucida Grande" w:hAnsi="Lucida Grande" w:cs="Lucida Grande"/>
                <w:color w:val="000000"/>
                <w:sz w:val="12"/>
                <w:szCs w:val="20"/>
              </w:rPr>
              <w:t>✓</w:t>
            </w:r>
          </w:p>
        </w:tc>
      </w:tr>
      <w:tr w:rsidR="008940B3" w:rsidRPr="0024325B" w14:paraId="19726C6C" w14:textId="77777777" w:rsidTr="008940B3">
        <w:trPr>
          <w:trHeight w:val="175"/>
        </w:trPr>
        <w:tc>
          <w:tcPr>
            <w:tcW w:w="0" w:type="auto"/>
          </w:tcPr>
          <w:p w14:paraId="6BEC95F4" w14:textId="77777777" w:rsidR="008940B3" w:rsidRPr="0024325B" w:rsidRDefault="008940B3" w:rsidP="00E858EF">
            <w:pPr>
              <w:suppressAutoHyphens/>
              <w:jc w:val="left"/>
              <w:rPr>
                <w:sz w:val="12"/>
                <w:szCs w:val="20"/>
              </w:rPr>
            </w:pPr>
            <w:r w:rsidRPr="0024325B">
              <w:rPr>
                <w:sz w:val="12"/>
                <w:szCs w:val="20"/>
              </w:rPr>
              <w:t>MIRES</w:t>
            </w:r>
          </w:p>
        </w:tc>
        <w:tc>
          <w:tcPr>
            <w:tcW w:w="0" w:type="auto"/>
          </w:tcPr>
          <w:p w14:paraId="6E419CEF" w14:textId="77777777" w:rsidR="008940B3" w:rsidRPr="0024325B" w:rsidRDefault="008940B3" w:rsidP="00E858EF">
            <w:pPr>
              <w:suppressAutoHyphens/>
              <w:jc w:val="left"/>
              <w:rPr>
                <w:color w:val="000000"/>
                <w:sz w:val="12"/>
                <w:szCs w:val="20"/>
              </w:rPr>
            </w:pPr>
            <w:r w:rsidRPr="0024325B">
              <w:rPr>
                <w:rFonts w:ascii="Lucida Grande" w:hAnsi="Lucida Grande" w:cs="Lucida Grande"/>
                <w:color w:val="000000"/>
                <w:sz w:val="12"/>
                <w:szCs w:val="20"/>
              </w:rPr>
              <w:t>✓</w:t>
            </w:r>
          </w:p>
        </w:tc>
        <w:tc>
          <w:tcPr>
            <w:tcW w:w="0" w:type="auto"/>
          </w:tcPr>
          <w:p w14:paraId="662E8138" w14:textId="77777777" w:rsidR="008940B3" w:rsidRPr="0024325B" w:rsidRDefault="008940B3" w:rsidP="00E858EF">
            <w:pPr>
              <w:suppressAutoHyphens/>
              <w:jc w:val="left"/>
              <w:rPr>
                <w:sz w:val="12"/>
                <w:szCs w:val="20"/>
              </w:rPr>
            </w:pPr>
          </w:p>
        </w:tc>
        <w:tc>
          <w:tcPr>
            <w:tcW w:w="1150" w:type="dxa"/>
          </w:tcPr>
          <w:p w14:paraId="2120400D" w14:textId="77777777" w:rsidR="008940B3" w:rsidRPr="0024325B" w:rsidRDefault="008940B3" w:rsidP="00E858EF">
            <w:pPr>
              <w:suppressAutoHyphens/>
              <w:jc w:val="left"/>
              <w:rPr>
                <w:sz w:val="12"/>
                <w:szCs w:val="20"/>
              </w:rPr>
            </w:pPr>
          </w:p>
        </w:tc>
        <w:tc>
          <w:tcPr>
            <w:tcW w:w="764" w:type="dxa"/>
          </w:tcPr>
          <w:p w14:paraId="6D45EC1E" w14:textId="77777777" w:rsidR="008940B3" w:rsidRPr="0024325B" w:rsidRDefault="008940B3" w:rsidP="00E858EF">
            <w:pPr>
              <w:suppressAutoHyphens/>
              <w:jc w:val="left"/>
              <w:rPr>
                <w:sz w:val="12"/>
                <w:szCs w:val="20"/>
              </w:rPr>
            </w:pPr>
          </w:p>
        </w:tc>
        <w:tc>
          <w:tcPr>
            <w:tcW w:w="0" w:type="auto"/>
          </w:tcPr>
          <w:p w14:paraId="2E8019FC" w14:textId="77777777" w:rsidR="008940B3" w:rsidRPr="0024325B" w:rsidRDefault="008940B3" w:rsidP="00E858EF">
            <w:pPr>
              <w:suppressAutoHyphens/>
              <w:jc w:val="left"/>
              <w:rPr>
                <w:sz w:val="12"/>
                <w:szCs w:val="20"/>
              </w:rPr>
            </w:pPr>
          </w:p>
        </w:tc>
        <w:tc>
          <w:tcPr>
            <w:tcW w:w="0" w:type="auto"/>
          </w:tcPr>
          <w:p w14:paraId="03719F5C" w14:textId="77777777" w:rsidR="008940B3" w:rsidRPr="0024325B" w:rsidRDefault="008940B3" w:rsidP="00E858EF">
            <w:pPr>
              <w:suppressAutoHyphens/>
              <w:jc w:val="left"/>
              <w:rPr>
                <w:sz w:val="12"/>
                <w:szCs w:val="20"/>
              </w:rPr>
            </w:pPr>
          </w:p>
        </w:tc>
        <w:tc>
          <w:tcPr>
            <w:tcW w:w="0" w:type="auto"/>
          </w:tcPr>
          <w:p w14:paraId="38FB327C" w14:textId="77777777" w:rsidR="008940B3" w:rsidRPr="0024325B" w:rsidRDefault="008940B3" w:rsidP="00E858EF">
            <w:pPr>
              <w:suppressAutoHyphens/>
              <w:jc w:val="left"/>
              <w:rPr>
                <w:sz w:val="12"/>
                <w:szCs w:val="20"/>
              </w:rPr>
            </w:pPr>
          </w:p>
        </w:tc>
        <w:tc>
          <w:tcPr>
            <w:tcW w:w="0" w:type="auto"/>
          </w:tcPr>
          <w:p w14:paraId="17CCA361" w14:textId="77777777" w:rsidR="008940B3" w:rsidRPr="0024325B" w:rsidRDefault="008940B3" w:rsidP="00E858EF">
            <w:pPr>
              <w:suppressAutoHyphens/>
              <w:jc w:val="left"/>
              <w:rPr>
                <w:sz w:val="12"/>
                <w:szCs w:val="20"/>
              </w:rPr>
            </w:pPr>
          </w:p>
        </w:tc>
        <w:tc>
          <w:tcPr>
            <w:tcW w:w="0" w:type="auto"/>
          </w:tcPr>
          <w:p w14:paraId="20A47C09" w14:textId="77777777" w:rsidR="008940B3" w:rsidRPr="0024325B" w:rsidRDefault="008940B3" w:rsidP="00E858EF">
            <w:pPr>
              <w:suppressAutoHyphens/>
              <w:jc w:val="left"/>
              <w:rPr>
                <w:sz w:val="12"/>
                <w:szCs w:val="20"/>
              </w:rPr>
            </w:pPr>
          </w:p>
        </w:tc>
        <w:tc>
          <w:tcPr>
            <w:tcW w:w="0" w:type="auto"/>
          </w:tcPr>
          <w:p w14:paraId="613716CC" w14:textId="77777777" w:rsidR="008940B3" w:rsidRPr="0024325B" w:rsidRDefault="008940B3" w:rsidP="00E858EF">
            <w:pPr>
              <w:suppressAutoHyphens/>
              <w:jc w:val="left"/>
              <w:rPr>
                <w:sz w:val="12"/>
                <w:szCs w:val="20"/>
              </w:rPr>
            </w:pPr>
          </w:p>
        </w:tc>
      </w:tr>
      <w:tr w:rsidR="008940B3" w:rsidRPr="0024325B" w14:paraId="0EB4FA61" w14:textId="77777777" w:rsidTr="008940B3">
        <w:trPr>
          <w:trHeight w:val="175"/>
        </w:trPr>
        <w:tc>
          <w:tcPr>
            <w:tcW w:w="0" w:type="auto"/>
          </w:tcPr>
          <w:p w14:paraId="55B63CAE" w14:textId="77777777" w:rsidR="008940B3" w:rsidRPr="0024325B" w:rsidRDefault="008940B3" w:rsidP="00E858EF">
            <w:pPr>
              <w:suppressAutoHyphens/>
              <w:jc w:val="left"/>
              <w:rPr>
                <w:rFonts w:eastAsia="Times New Roman"/>
                <w:color w:val="000000"/>
                <w:sz w:val="12"/>
                <w:szCs w:val="20"/>
              </w:rPr>
            </w:pPr>
            <w:r w:rsidRPr="0024325B">
              <w:rPr>
                <w:rFonts w:eastAsia="Times New Roman"/>
                <w:color w:val="000000"/>
                <w:sz w:val="12"/>
                <w:szCs w:val="20"/>
              </w:rPr>
              <w:t>PANAYIA KALYVIANI</w:t>
            </w:r>
          </w:p>
        </w:tc>
        <w:tc>
          <w:tcPr>
            <w:tcW w:w="0" w:type="auto"/>
          </w:tcPr>
          <w:p w14:paraId="4B42CA0F" w14:textId="77777777" w:rsidR="008940B3" w:rsidRPr="0024325B" w:rsidRDefault="008940B3" w:rsidP="00E858EF">
            <w:pPr>
              <w:suppressAutoHyphens/>
              <w:jc w:val="left"/>
              <w:rPr>
                <w:color w:val="000000"/>
                <w:sz w:val="12"/>
                <w:szCs w:val="20"/>
              </w:rPr>
            </w:pPr>
            <w:r w:rsidRPr="0024325B">
              <w:rPr>
                <w:rFonts w:ascii="Lucida Grande" w:hAnsi="Lucida Grande" w:cs="Lucida Grande"/>
                <w:color w:val="000000"/>
                <w:sz w:val="12"/>
                <w:szCs w:val="20"/>
              </w:rPr>
              <w:t>✓</w:t>
            </w:r>
          </w:p>
        </w:tc>
        <w:tc>
          <w:tcPr>
            <w:tcW w:w="0" w:type="auto"/>
          </w:tcPr>
          <w:p w14:paraId="5C4E7C09" w14:textId="77777777" w:rsidR="008940B3" w:rsidRPr="0024325B" w:rsidRDefault="008940B3" w:rsidP="00E858EF">
            <w:pPr>
              <w:suppressAutoHyphens/>
              <w:jc w:val="left"/>
              <w:rPr>
                <w:sz w:val="12"/>
                <w:szCs w:val="20"/>
              </w:rPr>
            </w:pPr>
          </w:p>
        </w:tc>
        <w:tc>
          <w:tcPr>
            <w:tcW w:w="1150" w:type="dxa"/>
          </w:tcPr>
          <w:p w14:paraId="49F95643" w14:textId="77777777" w:rsidR="008940B3" w:rsidRPr="0024325B" w:rsidRDefault="008940B3" w:rsidP="00E858EF">
            <w:pPr>
              <w:suppressAutoHyphens/>
              <w:jc w:val="left"/>
              <w:rPr>
                <w:sz w:val="12"/>
                <w:szCs w:val="20"/>
              </w:rPr>
            </w:pPr>
          </w:p>
        </w:tc>
        <w:tc>
          <w:tcPr>
            <w:tcW w:w="764" w:type="dxa"/>
          </w:tcPr>
          <w:p w14:paraId="7D6F1EE1" w14:textId="77777777" w:rsidR="008940B3" w:rsidRPr="0024325B" w:rsidRDefault="008940B3" w:rsidP="00E858EF">
            <w:pPr>
              <w:suppressAutoHyphens/>
              <w:jc w:val="left"/>
              <w:rPr>
                <w:sz w:val="12"/>
                <w:szCs w:val="20"/>
              </w:rPr>
            </w:pPr>
          </w:p>
        </w:tc>
        <w:tc>
          <w:tcPr>
            <w:tcW w:w="0" w:type="auto"/>
          </w:tcPr>
          <w:p w14:paraId="2B009613" w14:textId="77777777" w:rsidR="008940B3" w:rsidRPr="0024325B" w:rsidRDefault="008940B3" w:rsidP="00E858EF">
            <w:pPr>
              <w:suppressAutoHyphens/>
              <w:jc w:val="left"/>
              <w:rPr>
                <w:sz w:val="12"/>
                <w:szCs w:val="20"/>
              </w:rPr>
            </w:pPr>
          </w:p>
        </w:tc>
        <w:tc>
          <w:tcPr>
            <w:tcW w:w="0" w:type="auto"/>
          </w:tcPr>
          <w:p w14:paraId="508A25F3" w14:textId="77777777" w:rsidR="008940B3" w:rsidRPr="0024325B" w:rsidRDefault="008940B3" w:rsidP="00E858EF">
            <w:pPr>
              <w:suppressAutoHyphens/>
              <w:jc w:val="left"/>
              <w:rPr>
                <w:sz w:val="12"/>
                <w:szCs w:val="20"/>
              </w:rPr>
            </w:pPr>
          </w:p>
        </w:tc>
        <w:tc>
          <w:tcPr>
            <w:tcW w:w="0" w:type="auto"/>
          </w:tcPr>
          <w:p w14:paraId="5EDECD51" w14:textId="77777777" w:rsidR="008940B3" w:rsidRPr="0024325B" w:rsidRDefault="008940B3" w:rsidP="00E858EF">
            <w:pPr>
              <w:suppressAutoHyphens/>
              <w:jc w:val="left"/>
              <w:rPr>
                <w:sz w:val="12"/>
                <w:szCs w:val="20"/>
              </w:rPr>
            </w:pPr>
          </w:p>
        </w:tc>
        <w:tc>
          <w:tcPr>
            <w:tcW w:w="0" w:type="auto"/>
          </w:tcPr>
          <w:p w14:paraId="247787CD" w14:textId="77777777" w:rsidR="008940B3" w:rsidRPr="0024325B" w:rsidRDefault="008940B3" w:rsidP="00E858EF">
            <w:pPr>
              <w:suppressAutoHyphens/>
              <w:jc w:val="left"/>
              <w:rPr>
                <w:sz w:val="12"/>
                <w:szCs w:val="20"/>
              </w:rPr>
            </w:pPr>
          </w:p>
        </w:tc>
        <w:tc>
          <w:tcPr>
            <w:tcW w:w="0" w:type="auto"/>
          </w:tcPr>
          <w:p w14:paraId="18A1821E" w14:textId="77777777" w:rsidR="008940B3" w:rsidRPr="0024325B" w:rsidRDefault="008940B3" w:rsidP="00E858EF">
            <w:pPr>
              <w:suppressAutoHyphens/>
              <w:jc w:val="left"/>
              <w:rPr>
                <w:sz w:val="12"/>
                <w:szCs w:val="20"/>
              </w:rPr>
            </w:pPr>
          </w:p>
        </w:tc>
        <w:tc>
          <w:tcPr>
            <w:tcW w:w="0" w:type="auto"/>
          </w:tcPr>
          <w:p w14:paraId="070966AF" w14:textId="77777777" w:rsidR="008940B3" w:rsidRPr="0024325B" w:rsidRDefault="008940B3" w:rsidP="00E858EF">
            <w:pPr>
              <w:suppressAutoHyphens/>
              <w:jc w:val="left"/>
              <w:rPr>
                <w:sz w:val="12"/>
                <w:szCs w:val="20"/>
              </w:rPr>
            </w:pPr>
          </w:p>
        </w:tc>
      </w:tr>
      <w:tr w:rsidR="008940B3" w:rsidRPr="0024325B" w14:paraId="7716B964" w14:textId="77777777" w:rsidTr="008940B3">
        <w:trPr>
          <w:trHeight w:val="175"/>
        </w:trPr>
        <w:tc>
          <w:tcPr>
            <w:tcW w:w="0" w:type="auto"/>
          </w:tcPr>
          <w:p w14:paraId="4FF6148F" w14:textId="77777777" w:rsidR="008940B3" w:rsidRPr="0024325B" w:rsidRDefault="008940B3" w:rsidP="00E858EF">
            <w:pPr>
              <w:suppressAutoHyphens/>
              <w:jc w:val="left"/>
              <w:rPr>
                <w:rFonts w:eastAsia="Times New Roman"/>
                <w:color w:val="000000"/>
                <w:sz w:val="12"/>
                <w:szCs w:val="20"/>
              </w:rPr>
            </w:pPr>
            <w:r w:rsidRPr="0024325B">
              <w:rPr>
                <w:rFonts w:eastAsia="Times New Roman"/>
                <w:color w:val="000000"/>
                <w:sz w:val="12"/>
                <w:szCs w:val="20"/>
              </w:rPr>
              <w:t>POMBIA</w:t>
            </w:r>
          </w:p>
        </w:tc>
        <w:tc>
          <w:tcPr>
            <w:tcW w:w="0" w:type="auto"/>
          </w:tcPr>
          <w:p w14:paraId="2E7F8A11" w14:textId="77777777" w:rsidR="008940B3" w:rsidRPr="0024325B" w:rsidRDefault="008940B3" w:rsidP="00E858EF">
            <w:pPr>
              <w:suppressAutoHyphens/>
              <w:jc w:val="left"/>
              <w:rPr>
                <w:color w:val="000000"/>
                <w:sz w:val="12"/>
                <w:szCs w:val="20"/>
              </w:rPr>
            </w:pPr>
            <w:r w:rsidRPr="0024325B">
              <w:rPr>
                <w:rFonts w:ascii="Lucida Grande" w:hAnsi="Lucida Grande" w:cs="Lucida Grande"/>
                <w:color w:val="000000"/>
                <w:sz w:val="12"/>
                <w:szCs w:val="20"/>
              </w:rPr>
              <w:t>✓</w:t>
            </w:r>
          </w:p>
        </w:tc>
        <w:tc>
          <w:tcPr>
            <w:tcW w:w="0" w:type="auto"/>
          </w:tcPr>
          <w:p w14:paraId="6DE07907" w14:textId="77777777" w:rsidR="008940B3" w:rsidRPr="0024325B" w:rsidRDefault="008940B3" w:rsidP="00E858EF">
            <w:pPr>
              <w:suppressAutoHyphens/>
              <w:jc w:val="left"/>
              <w:rPr>
                <w:sz w:val="12"/>
                <w:szCs w:val="20"/>
              </w:rPr>
            </w:pPr>
          </w:p>
        </w:tc>
        <w:tc>
          <w:tcPr>
            <w:tcW w:w="1150" w:type="dxa"/>
          </w:tcPr>
          <w:p w14:paraId="578FECFD" w14:textId="77777777" w:rsidR="008940B3" w:rsidRPr="0024325B" w:rsidRDefault="008940B3" w:rsidP="00E858EF">
            <w:pPr>
              <w:suppressAutoHyphens/>
              <w:jc w:val="left"/>
              <w:rPr>
                <w:sz w:val="12"/>
                <w:szCs w:val="20"/>
              </w:rPr>
            </w:pPr>
          </w:p>
        </w:tc>
        <w:tc>
          <w:tcPr>
            <w:tcW w:w="764" w:type="dxa"/>
          </w:tcPr>
          <w:p w14:paraId="47839208" w14:textId="77777777" w:rsidR="008940B3" w:rsidRPr="0024325B" w:rsidRDefault="008940B3" w:rsidP="00E858EF">
            <w:pPr>
              <w:suppressAutoHyphens/>
              <w:jc w:val="left"/>
              <w:rPr>
                <w:sz w:val="12"/>
                <w:szCs w:val="20"/>
              </w:rPr>
            </w:pPr>
          </w:p>
        </w:tc>
        <w:tc>
          <w:tcPr>
            <w:tcW w:w="0" w:type="auto"/>
          </w:tcPr>
          <w:p w14:paraId="1D861ADE" w14:textId="77777777" w:rsidR="008940B3" w:rsidRPr="0024325B" w:rsidRDefault="008940B3" w:rsidP="00E858EF">
            <w:pPr>
              <w:suppressAutoHyphens/>
              <w:jc w:val="left"/>
              <w:rPr>
                <w:sz w:val="12"/>
                <w:szCs w:val="20"/>
              </w:rPr>
            </w:pPr>
          </w:p>
        </w:tc>
        <w:tc>
          <w:tcPr>
            <w:tcW w:w="0" w:type="auto"/>
          </w:tcPr>
          <w:p w14:paraId="3CC187F2" w14:textId="77777777" w:rsidR="008940B3" w:rsidRPr="0024325B" w:rsidRDefault="008940B3" w:rsidP="00E858EF">
            <w:pPr>
              <w:suppressAutoHyphens/>
              <w:jc w:val="left"/>
              <w:rPr>
                <w:sz w:val="12"/>
                <w:szCs w:val="20"/>
              </w:rPr>
            </w:pPr>
          </w:p>
        </w:tc>
        <w:tc>
          <w:tcPr>
            <w:tcW w:w="0" w:type="auto"/>
          </w:tcPr>
          <w:p w14:paraId="67892BD3" w14:textId="77777777" w:rsidR="008940B3" w:rsidRPr="0024325B" w:rsidRDefault="008940B3" w:rsidP="00E858EF">
            <w:pPr>
              <w:suppressAutoHyphens/>
              <w:jc w:val="left"/>
              <w:rPr>
                <w:sz w:val="12"/>
                <w:szCs w:val="20"/>
              </w:rPr>
            </w:pPr>
          </w:p>
        </w:tc>
        <w:tc>
          <w:tcPr>
            <w:tcW w:w="0" w:type="auto"/>
          </w:tcPr>
          <w:p w14:paraId="1463207C" w14:textId="77777777" w:rsidR="008940B3" w:rsidRPr="0024325B" w:rsidRDefault="008940B3" w:rsidP="00E858EF">
            <w:pPr>
              <w:suppressAutoHyphens/>
              <w:jc w:val="left"/>
              <w:rPr>
                <w:sz w:val="12"/>
                <w:szCs w:val="20"/>
              </w:rPr>
            </w:pPr>
          </w:p>
        </w:tc>
        <w:tc>
          <w:tcPr>
            <w:tcW w:w="0" w:type="auto"/>
          </w:tcPr>
          <w:p w14:paraId="39E1FEED" w14:textId="77777777" w:rsidR="008940B3" w:rsidRPr="0024325B" w:rsidRDefault="008940B3" w:rsidP="00E858EF">
            <w:pPr>
              <w:suppressAutoHyphens/>
              <w:jc w:val="left"/>
              <w:rPr>
                <w:sz w:val="12"/>
                <w:szCs w:val="20"/>
              </w:rPr>
            </w:pPr>
          </w:p>
        </w:tc>
        <w:tc>
          <w:tcPr>
            <w:tcW w:w="0" w:type="auto"/>
          </w:tcPr>
          <w:p w14:paraId="2DFDA7AF" w14:textId="77777777" w:rsidR="008940B3" w:rsidRPr="0024325B" w:rsidRDefault="008940B3" w:rsidP="00E858EF">
            <w:pPr>
              <w:suppressAutoHyphens/>
              <w:jc w:val="left"/>
              <w:rPr>
                <w:sz w:val="12"/>
                <w:szCs w:val="20"/>
              </w:rPr>
            </w:pPr>
          </w:p>
        </w:tc>
      </w:tr>
      <w:tr w:rsidR="008940B3" w:rsidRPr="0024325B" w14:paraId="68662F1E" w14:textId="77777777" w:rsidTr="008940B3">
        <w:trPr>
          <w:trHeight w:val="175"/>
        </w:trPr>
        <w:tc>
          <w:tcPr>
            <w:tcW w:w="0" w:type="auto"/>
          </w:tcPr>
          <w:p w14:paraId="3DD322D8" w14:textId="77777777" w:rsidR="008940B3" w:rsidRPr="0024325B" w:rsidRDefault="008940B3" w:rsidP="00E858EF">
            <w:pPr>
              <w:suppressAutoHyphens/>
              <w:jc w:val="left"/>
              <w:rPr>
                <w:rFonts w:eastAsia="Times New Roman"/>
                <w:color w:val="000000"/>
                <w:sz w:val="12"/>
                <w:szCs w:val="20"/>
              </w:rPr>
            </w:pPr>
            <w:r w:rsidRPr="0024325B">
              <w:rPr>
                <w:rFonts w:eastAsia="Times New Roman"/>
                <w:color w:val="000000"/>
                <w:sz w:val="12"/>
                <w:szCs w:val="20"/>
              </w:rPr>
              <w:t>STAVROS GALIAS</w:t>
            </w:r>
          </w:p>
        </w:tc>
        <w:tc>
          <w:tcPr>
            <w:tcW w:w="0" w:type="auto"/>
          </w:tcPr>
          <w:p w14:paraId="67EC9980" w14:textId="77777777" w:rsidR="008940B3" w:rsidRPr="0024325B" w:rsidRDefault="008940B3" w:rsidP="00E858EF">
            <w:pPr>
              <w:suppressAutoHyphens/>
              <w:jc w:val="left"/>
              <w:rPr>
                <w:color w:val="000000"/>
                <w:sz w:val="12"/>
                <w:szCs w:val="20"/>
              </w:rPr>
            </w:pPr>
            <w:r w:rsidRPr="0024325B">
              <w:rPr>
                <w:rFonts w:ascii="Lucida Grande" w:hAnsi="Lucida Grande" w:cs="Lucida Grande"/>
                <w:color w:val="000000"/>
                <w:sz w:val="12"/>
                <w:szCs w:val="20"/>
              </w:rPr>
              <w:t>✓</w:t>
            </w:r>
          </w:p>
        </w:tc>
        <w:tc>
          <w:tcPr>
            <w:tcW w:w="0" w:type="auto"/>
          </w:tcPr>
          <w:p w14:paraId="7AC9A5F4" w14:textId="77777777" w:rsidR="008940B3" w:rsidRPr="0024325B" w:rsidRDefault="008940B3" w:rsidP="00E858EF">
            <w:pPr>
              <w:suppressAutoHyphens/>
              <w:jc w:val="left"/>
              <w:rPr>
                <w:sz w:val="12"/>
                <w:szCs w:val="20"/>
              </w:rPr>
            </w:pPr>
            <w:r w:rsidRPr="0024325B">
              <w:rPr>
                <w:rFonts w:ascii="Lucida Grande" w:hAnsi="Lucida Grande" w:cs="Lucida Grande"/>
                <w:color w:val="000000"/>
                <w:sz w:val="12"/>
                <w:szCs w:val="20"/>
              </w:rPr>
              <w:t>✓</w:t>
            </w:r>
          </w:p>
        </w:tc>
        <w:tc>
          <w:tcPr>
            <w:tcW w:w="1150" w:type="dxa"/>
          </w:tcPr>
          <w:p w14:paraId="24F07568" w14:textId="77777777" w:rsidR="008940B3" w:rsidRPr="0024325B" w:rsidRDefault="008940B3" w:rsidP="00E858EF">
            <w:pPr>
              <w:suppressAutoHyphens/>
              <w:jc w:val="left"/>
              <w:rPr>
                <w:sz w:val="12"/>
                <w:szCs w:val="20"/>
              </w:rPr>
            </w:pPr>
          </w:p>
        </w:tc>
        <w:tc>
          <w:tcPr>
            <w:tcW w:w="764" w:type="dxa"/>
          </w:tcPr>
          <w:p w14:paraId="37D4E2AF" w14:textId="77777777" w:rsidR="008940B3" w:rsidRPr="0024325B" w:rsidRDefault="008940B3" w:rsidP="00E858EF">
            <w:pPr>
              <w:suppressAutoHyphens/>
              <w:jc w:val="left"/>
              <w:rPr>
                <w:sz w:val="12"/>
                <w:szCs w:val="20"/>
              </w:rPr>
            </w:pPr>
            <w:r w:rsidRPr="0024325B">
              <w:rPr>
                <w:rFonts w:ascii="Lucida Grande" w:hAnsi="Lucida Grande" w:cs="Lucida Grande"/>
                <w:color w:val="000000"/>
                <w:sz w:val="12"/>
                <w:szCs w:val="20"/>
              </w:rPr>
              <w:t>✓</w:t>
            </w:r>
          </w:p>
        </w:tc>
        <w:tc>
          <w:tcPr>
            <w:tcW w:w="0" w:type="auto"/>
          </w:tcPr>
          <w:p w14:paraId="7D092D7C" w14:textId="77777777" w:rsidR="008940B3" w:rsidRPr="0024325B" w:rsidRDefault="008940B3" w:rsidP="00E858EF">
            <w:pPr>
              <w:suppressAutoHyphens/>
              <w:jc w:val="left"/>
              <w:rPr>
                <w:sz w:val="12"/>
                <w:szCs w:val="20"/>
              </w:rPr>
            </w:pPr>
          </w:p>
        </w:tc>
        <w:tc>
          <w:tcPr>
            <w:tcW w:w="0" w:type="auto"/>
          </w:tcPr>
          <w:p w14:paraId="6422ED0C" w14:textId="77777777" w:rsidR="008940B3" w:rsidRPr="0024325B" w:rsidRDefault="008940B3" w:rsidP="00E858EF">
            <w:pPr>
              <w:suppressAutoHyphens/>
              <w:jc w:val="left"/>
              <w:rPr>
                <w:sz w:val="12"/>
                <w:szCs w:val="20"/>
              </w:rPr>
            </w:pPr>
          </w:p>
        </w:tc>
        <w:tc>
          <w:tcPr>
            <w:tcW w:w="0" w:type="auto"/>
          </w:tcPr>
          <w:p w14:paraId="2AECE111" w14:textId="77777777" w:rsidR="008940B3" w:rsidRPr="0024325B" w:rsidRDefault="008940B3" w:rsidP="00E858EF">
            <w:pPr>
              <w:suppressAutoHyphens/>
              <w:jc w:val="left"/>
              <w:rPr>
                <w:sz w:val="12"/>
                <w:szCs w:val="20"/>
              </w:rPr>
            </w:pPr>
          </w:p>
        </w:tc>
        <w:tc>
          <w:tcPr>
            <w:tcW w:w="0" w:type="auto"/>
          </w:tcPr>
          <w:p w14:paraId="5C831EBE" w14:textId="77777777" w:rsidR="008940B3" w:rsidRPr="0024325B" w:rsidRDefault="008940B3" w:rsidP="00E858EF">
            <w:pPr>
              <w:suppressAutoHyphens/>
              <w:jc w:val="left"/>
              <w:rPr>
                <w:sz w:val="12"/>
                <w:szCs w:val="20"/>
              </w:rPr>
            </w:pPr>
          </w:p>
        </w:tc>
        <w:tc>
          <w:tcPr>
            <w:tcW w:w="0" w:type="auto"/>
          </w:tcPr>
          <w:p w14:paraId="2D3F497F" w14:textId="77777777" w:rsidR="008940B3" w:rsidRPr="0024325B" w:rsidRDefault="008940B3" w:rsidP="00E858EF">
            <w:pPr>
              <w:suppressAutoHyphens/>
              <w:jc w:val="left"/>
              <w:rPr>
                <w:sz w:val="12"/>
                <w:szCs w:val="20"/>
              </w:rPr>
            </w:pPr>
          </w:p>
        </w:tc>
        <w:tc>
          <w:tcPr>
            <w:tcW w:w="0" w:type="auto"/>
          </w:tcPr>
          <w:p w14:paraId="6FF36B3E" w14:textId="77777777" w:rsidR="008940B3" w:rsidRPr="0024325B" w:rsidRDefault="008940B3" w:rsidP="00E858EF">
            <w:pPr>
              <w:suppressAutoHyphens/>
              <w:jc w:val="left"/>
              <w:rPr>
                <w:sz w:val="12"/>
                <w:szCs w:val="20"/>
              </w:rPr>
            </w:pPr>
          </w:p>
        </w:tc>
      </w:tr>
      <w:tr w:rsidR="008940B3" w:rsidRPr="0024325B" w14:paraId="20F39EE5" w14:textId="77777777" w:rsidTr="008940B3">
        <w:trPr>
          <w:trHeight w:val="175"/>
        </w:trPr>
        <w:tc>
          <w:tcPr>
            <w:tcW w:w="0" w:type="auto"/>
          </w:tcPr>
          <w:p w14:paraId="332A8D02" w14:textId="77777777" w:rsidR="008940B3" w:rsidRPr="0024325B" w:rsidRDefault="008940B3" w:rsidP="00E858EF">
            <w:pPr>
              <w:suppressAutoHyphens/>
              <w:jc w:val="left"/>
              <w:rPr>
                <w:rFonts w:eastAsia="Times New Roman"/>
                <w:color w:val="000000"/>
                <w:sz w:val="12"/>
                <w:szCs w:val="20"/>
              </w:rPr>
            </w:pPr>
            <w:r w:rsidRPr="0024325B">
              <w:rPr>
                <w:rFonts w:eastAsia="Times New Roman"/>
                <w:color w:val="000000"/>
                <w:sz w:val="12"/>
                <w:szCs w:val="20"/>
              </w:rPr>
              <w:t>TYMBAKI</w:t>
            </w:r>
          </w:p>
        </w:tc>
        <w:tc>
          <w:tcPr>
            <w:tcW w:w="0" w:type="auto"/>
          </w:tcPr>
          <w:p w14:paraId="027049EA" w14:textId="77777777" w:rsidR="008940B3" w:rsidRPr="0024325B" w:rsidRDefault="008940B3" w:rsidP="00E858EF">
            <w:pPr>
              <w:suppressAutoHyphens/>
              <w:jc w:val="left"/>
              <w:rPr>
                <w:color w:val="000000"/>
                <w:sz w:val="12"/>
                <w:szCs w:val="20"/>
              </w:rPr>
            </w:pPr>
            <w:r w:rsidRPr="0024325B">
              <w:rPr>
                <w:rFonts w:ascii="Lucida Grande" w:hAnsi="Lucida Grande" w:cs="Lucida Grande"/>
                <w:color w:val="000000"/>
                <w:sz w:val="12"/>
                <w:szCs w:val="20"/>
              </w:rPr>
              <w:t>✓</w:t>
            </w:r>
          </w:p>
        </w:tc>
        <w:tc>
          <w:tcPr>
            <w:tcW w:w="0" w:type="auto"/>
          </w:tcPr>
          <w:p w14:paraId="28D054B9" w14:textId="77777777" w:rsidR="008940B3" w:rsidRPr="0024325B" w:rsidRDefault="008940B3" w:rsidP="00E858EF">
            <w:pPr>
              <w:suppressAutoHyphens/>
              <w:jc w:val="left"/>
              <w:rPr>
                <w:sz w:val="12"/>
                <w:szCs w:val="20"/>
              </w:rPr>
            </w:pPr>
          </w:p>
        </w:tc>
        <w:tc>
          <w:tcPr>
            <w:tcW w:w="1150" w:type="dxa"/>
          </w:tcPr>
          <w:p w14:paraId="5B4F1852" w14:textId="77777777" w:rsidR="008940B3" w:rsidRPr="0024325B" w:rsidRDefault="008940B3" w:rsidP="00E858EF">
            <w:pPr>
              <w:suppressAutoHyphens/>
              <w:jc w:val="left"/>
              <w:rPr>
                <w:sz w:val="12"/>
                <w:szCs w:val="20"/>
              </w:rPr>
            </w:pPr>
          </w:p>
        </w:tc>
        <w:tc>
          <w:tcPr>
            <w:tcW w:w="764" w:type="dxa"/>
          </w:tcPr>
          <w:p w14:paraId="0464EDD7" w14:textId="77777777" w:rsidR="008940B3" w:rsidRPr="0024325B" w:rsidRDefault="008940B3" w:rsidP="00E858EF">
            <w:pPr>
              <w:suppressAutoHyphens/>
              <w:jc w:val="left"/>
              <w:rPr>
                <w:sz w:val="12"/>
                <w:szCs w:val="20"/>
              </w:rPr>
            </w:pPr>
          </w:p>
        </w:tc>
        <w:tc>
          <w:tcPr>
            <w:tcW w:w="0" w:type="auto"/>
          </w:tcPr>
          <w:p w14:paraId="2F0501BC" w14:textId="77777777" w:rsidR="008940B3" w:rsidRPr="0024325B" w:rsidRDefault="008940B3" w:rsidP="00E858EF">
            <w:pPr>
              <w:suppressAutoHyphens/>
              <w:jc w:val="left"/>
              <w:rPr>
                <w:sz w:val="12"/>
                <w:szCs w:val="20"/>
              </w:rPr>
            </w:pPr>
          </w:p>
        </w:tc>
        <w:tc>
          <w:tcPr>
            <w:tcW w:w="0" w:type="auto"/>
          </w:tcPr>
          <w:p w14:paraId="6E205EB6" w14:textId="77777777" w:rsidR="008940B3" w:rsidRPr="0024325B" w:rsidRDefault="008940B3" w:rsidP="00E858EF">
            <w:pPr>
              <w:suppressAutoHyphens/>
              <w:jc w:val="left"/>
              <w:rPr>
                <w:sz w:val="12"/>
                <w:szCs w:val="20"/>
              </w:rPr>
            </w:pPr>
          </w:p>
        </w:tc>
        <w:tc>
          <w:tcPr>
            <w:tcW w:w="0" w:type="auto"/>
          </w:tcPr>
          <w:p w14:paraId="6ADE6F04" w14:textId="77777777" w:rsidR="008940B3" w:rsidRPr="0024325B" w:rsidRDefault="008940B3" w:rsidP="00E858EF">
            <w:pPr>
              <w:suppressAutoHyphens/>
              <w:jc w:val="left"/>
              <w:rPr>
                <w:sz w:val="12"/>
                <w:szCs w:val="20"/>
              </w:rPr>
            </w:pPr>
          </w:p>
        </w:tc>
        <w:tc>
          <w:tcPr>
            <w:tcW w:w="0" w:type="auto"/>
          </w:tcPr>
          <w:p w14:paraId="7255D2E1" w14:textId="77777777" w:rsidR="008940B3" w:rsidRPr="0024325B" w:rsidRDefault="008940B3" w:rsidP="00E858EF">
            <w:pPr>
              <w:suppressAutoHyphens/>
              <w:jc w:val="left"/>
              <w:rPr>
                <w:sz w:val="12"/>
                <w:szCs w:val="20"/>
              </w:rPr>
            </w:pPr>
          </w:p>
        </w:tc>
        <w:tc>
          <w:tcPr>
            <w:tcW w:w="0" w:type="auto"/>
          </w:tcPr>
          <w:p w14:paraId="6187E744" w14:textId="77777777" w:rsidR="008940B3" w:rsidRPr="0024325B" w:rsidRDefault="008940B3" w:rsidP="00E858EF">
            <w:pPr>
              <w:suppressAutoHyphens/>
              <w:jc w:val="left"/>
              <w:rPr>
                <w:sz w:val="12"/>
                <w:szCs w:val="20"/>
              </w:rPr>
            </w:pPr>
          </w:p>
        </w:tc>
        <w:tc>
          <w:tcPr>
            <w:tcW w:w="0" w:type="auto"/>
          </w:tcPr>
          <w:p w14:paraId="35BFFA57" w14:textId="77777777" w:rsidR="008940B3" w:rsidRPr="0024325B" w:rsidRDefault="008940B3" w:rsidP="00E858EF">
            <w:pPr>
              <w:suppressAutoHyphens/>
              <w:jc w:val="left"/>
              <w:rPr>
                <w:sz w:val="12"/>
                <w:szCs w:val="20"/>
              </w:rPr>
            </w:pPr>
          </w:p>
        </w:tc>
      </w:tr>
      <w:tr w:rsidR="008940B3" w:rsidRPr="0024325B" w14:paraId="1D8ACBE0" w14:textId="77777777" w:rsidTr="008940B3">
        <w:trPr>
          <w:trHeight w:val="175"/>
        </w:trPr>
        <w:tc>
          <w:tcPr>
            <w:tcW w:w="0" w:type="auto"/>
          </w:tcPr>
          <w:p w14:paraId="3D236F03" w14:textId="77777777" w:rsidR="008940B3" w:rsidRPr="0024325B" w:rsidRDefault="008940B3" w:rsidP="00E858EF">
            <w:pPr>
              <w:suppressAutoHyphens/>
              <w:jc w:val="left"/>
              <w:rPr>
                <w:rFonts w:eastAsia="Times New Roman"/>
                <w:color w:val="000000"/>
                <w:sz w:val="12"/>
                <w:szCs w:val="20"/>
              </w:rPr>
            </w:pPr>
            <w:r w:rsidRPr="0024325B">
              <w:rPr>
                <w:rFonts w:eastAsia="Times New Roman"/>
                <w:color w:val="000000"/>
                <w:sz w:val="12"/>
                <w:szCs w:val="20"/>
              </w:rPr>
              <w:t>VALIS</w:t>
            </w:r>
          </w:p>
        </w:tc>
        <w:tc>
          <w:tcPr>
            <w:tcW w:w="0" w:type="auto"/>
          </w:tcPr>
          <w:p w14:paraId="1366AC4C" w14:textId="77777777" w:rsidR="008940B3" w:rsidRPr="0024325B" w:rsidRDefault="008940B3" w:rsidP="00E858EF">
            <w:pPr>
              <w:suppressAutoHyphens/>
              <w:jc w:val="left"/>
              <w:rPr>
                <w:color w:val="000000"/>
                <w:sz w:val="12"/>
                <w:szCs w:val="20"/>
              </w:rPr>
            </w:pPr>
            <w:r w:rsidRPr="0024325B">
              <w:rPr>
                <w:rFonts w:ascii="Lucida Grande" w:hAnsi="Lucida Grande" w:cs="Lucida Grande"/>
                <w:color w:val="000000"/>
                <w:sz w:val="12"/>
                <w:szCs w:val="20"/>
              </w:rPr>
              <w:t>✓</w:t>
            </w:r>
          </w:p>
        </w:tc>
        <w:tc>
          <w:tcPr>
            <w:tcW w:w="0" w:type="auto"/>
          </w:tcPr>
          <w:p w14:paraId="64EC89CB" w14:textId="77777777" w:rsidR="008940B3" w:rsidRPr="0024325B" w:rsidRDefault="008940B3" w:rsidP="00E858EF">
            <w:pPr>
              <w:suppressAutoHyphens/>
              <w:jc w:val="left"/>
              <w:rPr>
                <w:sz w:val="12"/>
                <w:szCs w:val="20"/>
              </w:rPr>
            </w:pPr>
          </w:p>
        </w:tc>
        <w:tc>
          <w:tcPr>
            <w:tcW w:w="1150" w:type="dxa"/>
          </w:tcPr>
          <w:p w14:paraId="616F14B3" w14:textId="77777777" w:rsidR="008940B3" w:rsidRPr="0024325B" w:rsidRDefault="008940B3" w:rsidP="00E858EF">
            <w:pPr>
              <w:suppressAutoHyphens/>
              <w:jc w:val="left"/>
              <w:rPr>
                <w:sz w:val="12"/>
                <w:szCs w:val="20"/>
              </w:rPr>
            </w:pPr>
          </w:p>
        </w:tc>
        <w:tc>
          <w:tcPr>
            <w:tcW w:w="764" w:type="dxa"/>
          </w:tcPr>
          <w:p w14:paraId="7D79FCB4" w14:textId="77777777" w:rsidR="008940B3" w:rsidRPr="0024325B" w:rsidRDefault="008940B3" w:rsidP="00E858EF">
            <w:pPr>
              <w:suppressAutoHyphens/>
              <w:jc w:val="left"/>
              <w:rPr>
                <w:sz w:val="12"/>
                <w:szCs w:val="20"/>
              </w:rPr>
            </w:pPr>
          </w:p>
        </w:tc>
        <w:tc>
          <w:tcPr>
            <w:tcW w:w="0" w:type="auto"/>
          </w:tcPr>
          <w:p w14:paraId="4BE071E3" w14:textId="77777777" w:rsidR="008940B3" w:rsidRPr="0024325B" w:rsidRDefault="008940B3" w:rsidP="00E858EF">
            <w:pPr>
              <w:suppressAutoHyphens/>
              <w:jc w:val="left"/>
              <w:rPr>
                <w:sz w:val="12"/>
                <w:szCs w:val="20"/>
              </w:rPr>
            </w:pPr>
          </w:p>
        </w:tc>
        <w:tc>
          <w:tcPr>
            <w:tcW w:w="0" w:type="auto"/>
          </w:tcPr>
          <w:p w14:paraId="7C7DEBE6" w14:textId="77777777" w:rsidR="008940B3" w:rsidRPr="0024325B" w:rsidRDefault="008940B3" w:rsidP="00E858EF">
            <w:pPr>
              <w:suppressAutoHyphens/>
              <w:jc w:val="left"/>
              <w:rPr>
                <w:sz w:val="12"/>
                <w:szCs w:val="20"/>
              </w:rPr>
            </w:pPr>
          </w:p>
        </w:tc>
        <w:tc>
          <w:tcPr>
            <w:tcW w:w="0" w:type="auto"/>
          </w:tcPr>
          <w:p w14:paraId="05CFDFFA" w14:textId="77777777" w:rsidR="008940B3" w:rsidRPr="0024325B" w:rsidRDefault="008940B3" w:rsidP="00E858EF">
            <w:pPr>
              <w:suppressAutoHyphens/>
              <w:jc w:val="left"/>
              <w:rPr>
                <w:sz w:val="12"/>
                <w:szCs w:val="20"/>
              </w:rPr>
            </w:pPr>
          </w:p>
        </w:tc>
        <w:tc>
          <w:tcPr>
            <w:tcW w:w="0" w:type="auto"/>
          </w:tcPr>
          <w:p w14:paraId="12D03265" w14:textId="77777777" w:rsidR="008940B3" w:rsidRPr="0024325B" w:rsidRDefault="008940B3" w:rsidP="00E858EF">
            <w:pPr>
              <w:suppressAutoHyphens/>
              <w:jc w:val="left"/>
              <w:rPr>
                <w:sz w:val="12"/>
                <w:szCs w:val="20"/>
              </w:rPr>
            </w:pPr>
            <w:r w:rsidRPr="0024325B">
              <w:rPr>
                <w:rFonts w:ascii="Lucida Grande" w:hAnsi="Lucida Grande" w:cs="Lucida Grande"/>
                <w:color w:val="000000"/>
                <w:sz w:val="12"/>
                <w:szCs w:val="20"/>
              </w:rPr>
              <w:t>✓</w:t>
            </w:r>
          </w:p>
        </w:tc>
        <w:tc>
          <w:tcPr>
            <w:tcW w:w="0" w:type="auto"/>
          </w:tcPr>
          <w:p w14:paraId="582A057C" w14:textId="77777777" w:rsidR="008940B3" w:rsidRPr="0024325B" w:rsidRDefault="008940B3" w:rsidP="00E858EF">
            <w:pPr>
              <w:suppressAutoHyphens/>
              <w:jc w:val="left"/>
              <w:rPr>
                <w:sz w:val="12"/>
                <w:szCs w:val="20"/>
              </w:rPr>
            </w:pPr>
            <w:r w:rsidRPr="0024325B">
              <w:rPr>
                <w:rFonts w:ascii="Lucida Grande" w:hAnsi="Lucida Grande" w:cs="Lucida Grande"/>
                <w:color w:val="000000"/>
                <w:sz w:val="12"/>
                <w:szCs w:val="20"/>
              </w:rPr>
              <w:t>✓</w:t>
            </w:r>
          </w:p>
        </w:tc>
        <w:tc>
          <w:tcPr>
            <w:tcW w:w="0" w:type="auto"/>
          </w:tcPr>
          <w:p w14:paraId="5F215A1C" w14:textId="77777777" w:rsidR="008940B3" w:rsidRPr="0024325B" w:rsidRDefault="008940B3" w:rsidP="00E858EF">
            <w:pPr>
              <w:suppressAutoHyphens/>
              <w:jc w:val="left"/>
              <w:rPr>
                <w:sz w:val="12"/>
                <w:szCs w:val="20"/>
              </w:rPr>
            </w:pPr>
          </w:p>
        </w:tc>
      </w:tr>
      <w:tr w:rsidR="008940B3" w:rsidRPr="0024325B" w14:paraId="4084B9FD" w14:textId="77777777" w:rsidTr="008940B3">
        <w:trPr>
          <w:trHeight w:val="175"/>
        </w:trPr>
        <w:tc>
          <w:tcPr>
            <w:tcW w:w="0" w:type="auto"/>
          </w:tcPr>
          <w:p w14:paraId="70BC12D5" w14:textId="77777777" w:rsidR="008940B3" w:rsidRPr="0024325B" w:rsidRDefault="008940B3" w:rsidP="00E858EF">
            <w:pPr>
              <w:suppressAutoHyphens/>
              <w:jc w:val="left"/>
              <w:rPr>
                <w:rFonts w:eastAsia="Times New Roman"/>
                <w:color w:val="000000"/>
                <w:sz w:val="12"/>
                <w:szCs w:val="20"/>
              </w:rPr>
            </w:pPr>
            <w:r w:rsidRPr="0024325B">
              <w:rPr>
                <w:rFonts w:eastAsia="Times New Roman"/>
                <w:color w:val="000000"/>
                <w:sz w:val="12"/>
                <w:szCs w:val="20"/>
              </w:rPr>
              <w:t>VASILIKIA ANOGEIA</w:t>
            </w:r>
          </w:p>
        </w:tc>
        <w:tc>
          <w:tcPr>
            <w:tcW w:w="0" w:type="auto"/>
          </w:tcPr>
          <w:p w14:paraId="7A2B7A00" w14:textId="77777777" w:rsidR="008940B3" w:rsidRPr="0024325B" w:rsidRDefault="008940B3" w:rsidP="00E858EF">
            <w:pPr>
              <w:suppressAutoHyphens/>
              <w:jc w:val="left"/>
              <w:rPr>
                <w:color w:val="000000"/>
                <w:sz w:val="12"/>
                <w:szCs w:val="20"/>
              </w:rPr>
            </w:pPr>
            <w:r w:rsidRPr="0024325B">
              <w:rPr>
                <w:rFonts w:ascii="Lucida Grande" w:hAnsi="Lucida Grande" w:cs="Lucida Grande"/>
                <w:color w:val="000000"/>
                <w:sz w:val="12"/>
                <w:szCs w:val="20"/>
              </w:rPr>
              <w:t>✓</w:t>
            </w:r>
          </w:p>
        </w:tc>
        <w:tc>
          <w:tcPr>
            <w:tcW w:w="0" w:type="auto"/>
          </w:tcPr>
          <w:p w14:paraId="70F43F51" w14:textId="77777777" w:rsidR="008940B3" w:rsidRPr="0024325B" w:rsidRDefault="008940B3" w:rsidP="00E858EF">
            <w:pPr>
              <w:suppressAutoHyphens/>
              <w:jc w:val="left"/>
              <w:rPr>
                <w:sz w:val="12"/>
                <w:szCs w:val="20"/>
              </w:rPr>
            </w:pPr>
          </w:p>
        </w:tc>
        <w:tc>
          <w:tcPr>
            <w:tcW w:w="1150" w:type="dxa"/>
          </w:tcPr>
          <w:p w14:paraId="652E073A" w14:textId="77777777" w:rsidR="008940B3" w:rsidRPr="0024325B" w:rsidRDefault="008940B3" w:rsidP="00E858EF">
            <w:pPr>
              <w:suppressAutoHyphens/>
              <w:jc w:val="left"/>
              <w:rPr>
                <w:sz w:val="12"/>
                <w:szCs w:val="20"/>
              </w:rPr>
            </w:pPr>
          </w:p>
        </w:tc>
        <w:tc>
          <w:tcPr>
            <w:tcW w:w="764" w:type="dxa"/>
          </w:tcPr>
          <w:p w14:paraId="31D81F34" w14:textId="77777777" w:rsidR="008940B3" w:rsidRPr="0024325B" w:rsidRDefault="008940B3" w:rsidP="00E858EF">
            <w:pPr>
              <w:suppressAutoHyphens/>
              <w:jc w:val="left"/>
              <w:rPr>
                <w:sz w:val="12"/>
                <w:szCs w:val="20"/>
              </w:rPr>
            </w:pPr>
          </w:p>
        </w:tc>
        <w:tc>
          <w:tcPr>
            <w:tcW w:w="0" w:type="auto"/>
          </w:tcPr>
          <w:p w14:paraId="4B31CD48" w14:textId="77777777" w:rsidR="008940B3" w:rsidRPr="0024325B" w:rsidRDefault="008940B3" w:rsidP="00E858EF">
            <w:pPr>
              <w:suppressAutoHyphens/>
              <w:jc w:val="left"/>
              <w:rPr>
                <w:sz w:val="12"/>
                <w:szCs w:val="20"/>
              </w:rPr>
            </w:pPr>
          </w:p>
        </w:tc>
        <w:tc>
          <w:tcPr>
            <w:tcW w:w="0" w:type="auto"/>
          </w:tcPr>
          <w:p w14:paraId="509D1042" w14:textId="77777777" w:rsidR="008940B3" w:rsidRPr="0024325B" w:rsidRDefault="008940B3" w:rsidP="00E858EF">
            <w:pPr>
              <w:suppressAutoHyphens/>
              <w:jc w:val="left"/>
              <w:rPr>
                <w:sz w:val="12"/>
                <w:szCs w:val="20"/>
              </w:rPr>
            </w:pPr>
          </w:p>
        </w:tc>
        <w:tc>
          <w:tcPr>
            <w:tcW w:w="0" w:type="auto"/>
          </w:tcPr>
          <w:p w14:paraId="34858A4C" w14:textId="77777777" w:rsidR="008940B3" w:rsidRPr="0024325B" w:rsidRDefault="008940B3" w:rsidP="00E858EF">
            <w:pPr>
              <w:suppressAutoHyphens/>
              <w:jc w:val="left"/>
              <w:rPr>
                <w:sz w:val="12"/>
                <w:szCs w:val="20"/>
              </w:rPr>
            </w:pPr>
          </w:p>
        </w:tc>
        <w:tc>
          <w:tcPr>
            <w:tcW w:w="0" w:type="auto"/>
          </w:tcPr>
          <w:p w14:paraId="021742AE" w14:textId="77777777" w:rsidR="008940B3" w:rsidRPr="0024325B" w:rsidRDefault="008940B3" w:rsidP="00E858EF">
            <w:pPr>
              <w:suppressAutoHyphens/>
              <w:jc w:val="left"/>
              <w:rPr>
                <w:sz w:val="12"/>
                <w:szCs w:val="20"/>
              </w:rPr>
            </w:pPr>
          </w:p>
        </w:tc>
        <w:tc>
          <w:tcPr>
            <w:tcW w:w="0" w:type="auto"/>
          </w:tcPr>
          <w:p w14:paraId="5165C21C" w14:textId="77777777" w:rsidR="008940B3" w:rsidRPr="0024325B" w:rsidRDefault="008940B3" w:rsidP="00E858EF">
            <w:pPr>
              <w:suppressAutoHyphens/>
              <w:jc w:val="left"/>
              <w:rPr>
                <w:sz w:val="12"/>
                <w:szCs w:val="20"/>
              </w:rPr>
            </w:pPr>
          </w:p>
        </w:tc>
        <w:tc>
          <w:tcPr>
            <w:tcW w:w="0" w:type="auto"/>
          </w:tcPr>
          <w:p w14:paraId="47D48F28" w14:textId="77777777" w:rsidR="008940B3" w:rsidRPr="0024325B" w:rsidRDefault="008940B3" w:rsidP="00E858EF">
            <w:pPr>
              <w:suppressAutoHyphens/>
              <w:jc w:val="left"/>
              <w:rPr>
                <w:sz w:val="12"/>
                <w:szCs w:val="20"/>
              </w:rPr>
            </w:pPr>
          </w:p>
        </w:tc>
      </w:tr>
    </w:tbl>
    <w:p w14:paraId="3EDFEB30"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16"/>
          <w:szCs w:val="16"/>
        </w:rPr>
      </w:pPr>
    </w:p>
    <w:p w14:paraId="2F4E66D5" w14:textId="77777777" w:rsidR="008940B3" w:rsidRDefault="008940B3" w:rsidP="00E858EF">
      <w:pPr>
        <w:pStyle w:val="Titolo4"/>
        <w:keepNext w:val="0"/>
        <w:keepLines w:val="0"/>
        <w:suppressAutoHyphens/>
        <w:ind w:left="864" w:hanging="864"/>
        <w:contextualSpacing w:val="0"/>
      </w:pPr>
      <w:bookmarkStart w:id="175" w:name="_Toc389131148"/>
      <w:bookmarkStart w:id="176" w:name="_Toc517876473"/>
      <w:r w:rsidRPr="00C62944">
        <w:t>What is the proportion throughout the region and within each cemetery of tombs with larnakes to tombs without larnakes</w:t>
      </w:r>
      <w:r w:rsidRPr="00737B65">
        <w:t>?</w:t>
      </w:r>
      <w:bookmarkEnd w:id="175"/>
      <w:bookmarkEnd w:id="176"/>
      <w:r w:rsidRPr="00737B65">
        <w:t xml:space="preserve"> </w:t>
      </w:r>
    </w:p>
    <w:p w14:paraId="6DCBBD69" w14:textId="2E399AA7" w:rsidR="008940B3" w:rsidRPr="003B5C8D" w:rsidRDefault="008940B3" w:rsidP="00F7661C">
      <w:r w:rsidRPr="003B5C8D">
        <w:t>In the Mesara area</w:t>
      </w:r>
      <w:r>
        <w:t>,</w:t>
      </w:r>
      <w:r w:rsidRPr="003B5C8D">
        <w:t xml:space="preserve"> </w:t>
      </w:r>
      <w:r>
        <w:t xml:space="preserve">only </w:t>
      </w:r>
      <w:r w:rsidRPr="003B5C8D">
        <w:t xml:space="preserve">17% of cemeteries with larnax burials have tombs without </w:t>
      </w:r>
      <w:r w:rsidR="0081276F">
        <w:t xml:space="preserve">a </w:t>
      </w:r>
      <w:r w:rsidRPr="003B5C8D">
        <w:t xml:space="preserve">clay larnax. </w:t>
      </w:r>
    </w:p>
    <w:p w14:paraId="3C2E62A6"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11757BC4" wp14:editId="1DFB28F0">
            <wp:extent cx="5319667" cy="2247537"/>
            <wp:effectExtent l="0" t="0" r="14605" b="13335"/>
            <wp:docPr id="35" name="Gra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A8B5DBC" w14:textId="4D5BAF06" w:rsidR="008940B3" w:rsidRDefault="008940B3" w:rsidP="00E858EF">
      <w:pPr>
        <w:pStyle w:val="Didascalia"/>
        <w:suppressAutoHyphens/>
      </w:pPr>
      <w:bookmarkStart w:id="177" w:name="_Toc520212296"/>
      <w:r>
        <w:t>Figure 3-15. Tombs with larnax occurrence and tombs without larnakes</w:t>
      </w:r>
      <w:r w:rsidR="00FB677B">
        <w:t>,</w:t>
      </w:r>
      <w:r>
        <w:t xml:space="preserve"> Mesara area</w:t>
      </w:r>
      <w:bookmarkEnd w:id="177"/>
    </w:p>
    <w:p w14:paraId="4C2944E7" w14:textId="77777777" w:rsidR="00174F80" w:rsidRPr="00174F80" w:rsidRDefault="00174F80" w:rsidP="00E858EF">
      <w:pPr>
        <w:suppressAutoHyphens/>
      </w:pPr>
    </w:p>
    <w:p w14:paraId="2F97D090" w14:textId="77777777" w:rsidR="008940B3" w:rsidRPr="003B5C8D" w:rsidRDefault="008940B3" w:rsidP="00E858EF">
      <w:pPr>
        <w:pStyle w:val="Titolo3"/>
        <w:keepNext w:val="0"/>
        <w:keepLines w:val="0"/>
        <w:suppressAutoHyphens/>
        <w:rPr>
          <w:sz w:val="22"/>
          <w:szCs w:val="22"/>
        </w:rPr>
      </w:pPr>
      <w:bookmarkStart w:id="178" w:name="_Toc389131149"/>
      <w:bookmarkStart w:id="179" w:name="_Toc517876474"/>
      <w:bookmarkStart w:id="180" w:name="_Toc519894616"/>
      <w:r w:rsidRPr="00C75B20">
        <w:t>Tombs</w:t>
      </w:r>
      <w:bookmarkEnd w:id="178"/>
      <w:bookmarkEnd w:id="179"/>
      <w:bookmarkEnd w:id="180"/>
    </w:p>
    <w:p w14:paraId="6E28E0ED" w14:textId="77777777" w:rsidR="008940B3" w:rsidRPr="003B5C8D" w:rsidRDefault="008940B3" w:rsidP="00F7661C">
      <w:r w:rsidRPr="003B5C8D">
        <w:t xml:space="preserve">The </w:t>
      </w:r>
      <w:r>
        <w:t xml:space="preserve">number of </w:t>
      </w:r>
      <w:r w:rsidRPr="003B5C8D">
        <w:t>secure to</w:t>
      </w:r>
      <w:r>
        <w:t>mbs for the Mesara region is 41,</w:t>
      </w:r>
      <w:r w:rsidRPr="003B5C8D">
        <w:t xml:space="preserve"> and </w:t>
      </w:r>
      <w:r>
        <w:t>these</w:t>
      </w:r>
      <w:r w:rsidRPr="003B5C8D">
        <w:t xml:space="preserve"> constitute the sample </w:t>
      </w:r>
      <w:r>
        <w:t>in</w:t>
      </w:r>
      <w:r w:rsidRPr="003B5C8D">
        <w:t xml:space="preserve"> the following analysis.</w:t>
      </w:r>
    </w:p>
    <w:p w14:paraId="3149E247" w14:textId="77777777" w:rsidR="008940B3" w:rsidRPr="00FB533C" w:rsidRDefault="008940B3" w:rsidP="00E858EF">
      <w:pPr>
        <w:pStyle w:val="Titolo4"/>
        <w:keepNext w:val="0"/>
        <w:keepLines w:val="0"/>
        <w:suppressAutoHyphens/>
        <w:ind w:left="864" w:hanging="864"/>
        <w:contextualSpacing w:val="0"/>
      </w:pPr>
      <w:bookmarkStart w:id="181" w:name="_Toc389131150"/>
      <w:bookmarkStart w:id="182" w:name="_Toc517876475"/>
      <w:r>
        <w:t>Typology: W</w:t>
      </w:r>
      <w:r w:rsidRPr="00737B65">
        <w:t xml:space="preserve">hich tomb types </w:t>
      </w:r>
      <w:r>
        <w:t>are</w:t>
      </w:r>
      <w:r w:rsidRPr="00737B65">
        <w:t xml:space="preserve"> associated </w:t>
      </w:r>
      <w:r>
        <w:t xml:space="preserve">with </w:t>
      </w:r>
      <w:r w:rsidRPr="00737B65">
        <w:t>larnakes?</w:t>
      </w:r>
      <w:bookmarkEnd w:id="181"/>
      <w:bookmarkEnd w:id="182"/>
    </w:p>
    <w:p w14:paraId="7A7A9322" w14:textId="77777777" w:rsidR="008940B3" w:rsidRDefault="008940B3" w:rsidP="00F7661C">
      <w:r>
        <w:t xml:space="preserve">For this analysis, the larnax burial found at Alesandraki has been excluded because there is no information on the type of tomb in which the larnax burial was found (Preston 2000: appendices I, C). </w:t>
      </w:r>
      <w:r w:rsidRPr="003B5C8D">
        <w:t xml:space="preserve">The same variety of </w:t>
      </w:r>
      <w:r>
        <w:t>different tomb types shown</w:t>
      </w:r>
      <w:r w:rsidRPr="003B5C8D">
        <w:t xml:space="preserve"> in cemeteries with larna</w:t>
      </w:r>
      <w:r>
        <w:t>x burials, is also visible</w:t>
      </w:r>
      <w:r w:rsidRPr="003B5C8D">
        <w:t xml:space="preserve"> look</w:t>
      </w:r>
      <w:r>
        <w:t>ing</w:t>
      </w:r>
      <w:r w:rsidRPr="003B5C8D">
        <w:t xml:space="preserve"> specifically at the tombs with larnax burials. </w:t>
      </w:r>
      <w:r>
        <w:t>At least six different tomb typ</w:t>
      </w:r>
      <w:r w:rsidRPr="003B5C8D">
        <w:t xml:space="preserve">es </w:t>
      </w:r>
      <w:r>
        <w:t>are</w:t>
      </w:r>
      <w:r w:rsidRPr="003B5C8D">
        <w:t xml:space="preserve"> associated with clay larnakes. </w:t>
      </w:r>
      <w:r>
        <w:t>However, larnax occur</w:t>
      </w:r>
      <w:r w:rsidRPr="003B5C8D">
        <w:t>rence is highest within chamber tombs (54%).</w:t>
      </w:r>
    </w:p>
    <w:p w14:paraId="756563C7"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b/>
          <w:bCs/>
          <w:color w:val="000000"/>
          <w:sz w:val="22"/>
          <w:szCs w:val="22"/>
        </w:rPr>
      </w:pPr>
    </w:p>
    <w:p w14:paraId="4DB1B557"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sidRPr="003B5C8D">
        <w:rPr>
          <w:noProof/>
          <w:sz w:val="22"/>
          <w:szCs w:val="22"/>
          <w:lang w:val="it-IT"/>
        </w:rPr>
        <w:drawing>
          <wp:inline distT="0" distB="0" distL="0" distR="0" wp14:anchorId="71C2B85E" wp14:editId="1D87CCF7">
            <wp:extent cx="4540976" cy="2357301"/>
            <wp:effectExtent l="0" t="0" r="31115" b="30480"/>
            <wp:docPr id="11" name="Gra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586A1BF" w14:textId="7FCF6B62" w:rsidR="008940B3" w:rsidRDefault="008940B3" w:rsidP="00E858EF">
      <w:pPr>
        <w:pStyle w:val="Didascalia"/>
        <w:suppressAutoHyphens/>
      </w:pPr>
      <w:bookmarkStart w:id="183" w:name="_Toc520212297"/>
      <w:r>
        <w:t>Figure 3-16. Tomb types associated with larnax burials in the Mesara area.</w:t>
      </w:r>
      <w:bookmarkEnd w:id="183"/>
    </w:p>
    <w:p w14:paraId="08F7FFBF" w14:textId="6116E645" w:rsidR="008940B3" w:rsidRDefault="008940B3" w:rsidP="00E858EF">
      <w:pPr>
        <w:suppressAutoHyphens/>
        <w:spacing w:line="240" w:lineRule="auto"/>
        <w:jc w:val="left"/>
        <w:rPr>
          <w:rFonts w:cs="Lucida Grande"/>
          <w:b/>
          <w:sz w:val="20"/>
          <w:szCs w:val="18"/>
        </w:rPr>
      </w:pPr>
    </w:p>
    <w:p w14:paraId="2D1AF052" w14:textId="77777777" w:rsidR="008940B3" w:rsidRPr="003B5C8D" w:rsidRDefault="008940B3" w:rsidP="00E858EF">
      <w:pPr>
        <w:pStyle w:val="Testofumetto"/>
        <w:suppressAutoHyphens/>
      </w:pPr>
      <w:bookmarkStart w:id="184" w:name="_Toc520212508"/>
      <w:r>
        <w:t>Table 3-19. Tomb types associated with larnax by cemetery in the Mesara area</w:t>
      </w:r>
      <w:bookmarkEnd w:id="184"/>
    </w:p>
    <w:tbl>
      <w:tblPr>
        <w:tblStyle w:val="Grigliatabella"/>
        <w:tblW w:w="0" w:type="auto"/>
        <w:tblLook w:val="04A0" w:firstRow="1" w:lastRow="0" w:firstColumn="1" w:lastColumn="0" w:noHBand="0" w:noVBand="1"/>
      </w:tblPr>
      <w:tblGrid>
        <w:gridCol w:w="1719"/>
        <w:gridCol w:w="615"/>
        <w:gridCol w:w="616"/>
        <w:gridCol w:w="574"/>
        <w:gridCol w:w="590"/>
        <w:gridCol w:w="617"/>
        <w:gridCol w:w="618"/>
        <w:gridCol w:w="298"/>
        <w:gridCol w:w="138"/>
        <w:gridCol w:w="590"/>
        <w:gridCol w:w="519"/>
        <w:gridCol w:w="590"/>
        <w:gridCol w:w="519"/>
        <w:gridCol w:w="590"/>
      </w:tblGrid>
      <w:tr w:rsidR="008940B3" w:rsidRPr="003B5C8D" w14:paraId="7F0E3E8E" w14:textId="77777777" w:rsidTr="008940B3">
        <w:trPr>
          <w:trHeight w:val="405"/>
        </w:trPr>
        <w:tc>
          <w:tcPr>
            <w:tcW w:w="1719" w:type="dxa"/>
          </w:tcPr>
          <w:p w14:paraId="7D823A86" w14:textId="77777777" w:rsidR="008940B3" w:rsidRPr="003B5C8D" w:rsidRDefault="008940B3" w:rsidP="00E858EF">
            <w:pPr>
              <w:suppressAutoHyphens/>
              <w:rPr>
                <w:color w:val="000000"/>
                <w:sz w:val="16"/>
                <w:szCs w:val="16"/>
              </w:rPr>
            </w:pPr>
            <w:r w:rsidRPr="003B5C8D">
              <w:rPr>
                <w:color w:val="000000"/>
                <w:sz w:val="16"/>
                <w:szCs w:val="16"/>
              </w:rPr>
              <w:t>CEMETERIES</w:t>
            </w:r>
          </w:p>
        </w:tc>
        <w:tc>
          <w:tcPr>
            <w:tcW w:w="1231" w:type="dxa"/>
            <w:gridSpan w:val="2"/>
            <w:hideMark/>
          </w:tcPr>
          <w:p w14:paraId="080C247D" w14:textId="77777777" w:rsidR="008940B3" w:rsidRPr="003B5C8D" w:rsidRDefault="008940B3" w:rsidP="00E858EF">
            <w:pPr>
              <w:suppressAutoHyphens/>
              <w:rPr>
                <w:sz w:val="16"/>
                <w:szCs w:val="16"/>
              </w:rPr>
            </w:pPr>
            <w:r w:rsidRPr="003B5C8D">
              <w:rPr>
                <w:color w:val="000000"/>
                <w:sz w:val="16"/>
                <w:szCs w:val="16"/>
              </w:rPr>
              <w:t>CHAMBER TOMBS</w:t>
            </w:r>
          </w:p>
        </w:tc>
        <w:tc>
          <w:tcPr>
            <w:tcW w:w="1164" w:type="dxa"/>
            <w:gridSpan w:val="2"/>
            <w:hideMark/>
          </w:tcPr>
          <w:p w14:paraId="54E081FC" w14:textId="77777777" w:rsidR="008940B3" w:rsidRPr="003B5C8D" w:rsidRDefault="008940B3" w:rsidP="00E858EF">
            <w:pPr>
              <w:suppressAutoHyphens/>
              <w:rPr>
                <w:sz w:val="16"/>
                <w:szCs w:val="16"/>
              </w:rPr>
            </w:pPr>
            <w:r w:rsidRPr="003B5C8D">
              <w:rPr>
                <w:sz w:val="16"/>
                <w:szCs w:val="16"/>
              </w:rPr>
              <w:t>REUSED THOLOS</w:t>
            </w:r>
          </w:p>
        </w:tc>
        <w:tc>
          <w:tcPr>
            <w:tcW w:w="1235" w:type="dxa"/>
            <w:gridSpan w:val="2"/>
            <w:hideMark/>
          </w:tcPr>
          <w:p w14:paraId="43E791B0" w14:textId="77777777" w:rsidR="008940B3" w:rsidRPr="003B5C8D" w:rsidRDefault="008940B3" w:rsidP="00E858EF">
            <w:pPr>
              <w:suppressAutoHyphens/>
              <w:rPr>
                <w:sz w:val="16"/>
                <w:szCs w:val="16"/>
              </w:rPr>
            </w:pPr>
            <w:r w:rsidRPr="003B5C8D">
              <w:rPr>
                <w:color w:val="000000"/>
                <w:sz w:val="16"/>
                <w:szCs w:val="16"/>
              </w:rPr>
              <w:t>LARNAX RECEPTACLE</w:t>
            </w:r>
          </w:p>
        </w:tc>
        <w:tc>
          <w:tcPr>
            <w:tcW w:w="1026" w:type="dxa"/>
            <w:gridSpan w:val="3"/>
            <w:hideMark/>
          </w:tcPr>
          <w:p w14:paraId="25CCF16B" w14:textId="77777777" w:rsidR="008940B3" w:rsidRPr="003B5C8D" w:rsidRDefault="008940B3" w:rsidP="00E858EF">
            <w:pPr>
              <w:suppressAutoHyphens/>
              <w:rPr>
                <w:sz w:val="16"/>
                <w:szCs w:val="16"/>
              </w:rPr>
            </w:pPr>
            <w:r w:rsidRPr="003B5C8D">
              <w:rPr>
                <w:color w:val="000000"/>
                <w:sz w:val="16"/>
                <w:szCs w:val="16"/>
              </w:rPr>
              <w:t>PIT</w:t>
            </w:r>
          </w:p>
          <w:p w14:paraId="42565F9A" w14:textId="77777777" w:rsidR="008940B3" w:rsidRPr="003B5C8D" w:rsidRDefault="008940B3" w:rsidP="00E858EF">
            <w:pPr>
              <w:suppressAutoHyphens/>
              <w:rPr>
                <w:sz w:val="16"/>
                <w:szCs w:val="16"/>
              </w:rPr>
            </w:pPr>
          </w:p>
        </w:tc>
        <w:tc>
          <w:tcPr>
            <w:tcW w:w="1109" w:type="dxa"/>
            <w:gridSpan w:val="2"/>
          </w:tcPr>
          <w:p w14:paraId="069E6699" w14:textId="77777777" w:rsidR="008940B3" w:rsidRPr="003B5C8D" w:rsidRDefault="008940B3" w:rsidP="00E858EF">
            <w:pPr>
              <w:suppressAutoHyphens/>
              <w:rPr>
                <w:color w:val="000000"/>
                <w:sz w:val="16"/>
                <w:szCs w:val="16"/>
              </w:rPr>
            </w:pPr>
            <w:r w:rsidRPr="003B5C8D">
              <w:rPr>
                <w:color w:val="000000"/>
                <w:sz w:val="16"/>
                <w:szCs w:val="16"/>
              </w:rPr>
              <w:t>CORBEL VAULTED</w:t>
            </w:r>
          </w:p>
        </w:tc>
        <w:tc>
          <w:tcPr>
            <w:tcW w:w="1109" w:type="dxa"/>
            <w:gridSpan w:val="2"/>
          </w:tcPr>
          <w:p w14:paraId="05D2B249" w14:textId="77777777" w:rsidR="008940B3" w:rsidRPr="003B5C8D" w:rsidRDefault="008940B3" w:rsidP="00E858EF">
            <w:pPr>
              <w:suppressAutoHyphens/>
              <w:rPr>
                <w:color w:val="000000"/>
                <w:sz w:val="16"/>
                <w:szCs w:val="16"/>
              </w:rPr>
            </w:pPr>
            <w:r w:rsidRPr="003B5C8D">
              <w:rPr>
                <w:color w:val="000000"/>
                <w:sz w:val="16"/>
                <w:szCs w:val="16"/>
              </w:rPr>
              <w:t>BUILT TOMB</w:t>
            </w:r>
          </w:p>
        </w:tc>
      </w:tr>
      <w:tr w:rsidR="008940B3" w:rsidRPr="003B5C8D" w14:paraId="6A06B224" w14:textId="77777777" w:rsidTr="008940B3">
        <w:trPr>
          <w:trHeight w:val="315"/>
        </w:trPr>
        <w:tc>
          <w:tcPr>
            <w:tcW w:w="1719" w:type="dxa"/>
          </w:tcPr>
          <w:p w14:paraId="6082DBF3" w14:textId="77777777" w:rsidR="008940B3" w:rsidRPr="003B5C8D" w:rsidRDefault="008940B3" w:rsidP="00E858EF">
            <w:pPr>
              <w:suppressAutoHyphens/>
              <w:rPr>
                <w:color w:val="000000"/>
                <w:sz w:val="16"/>
                <w:szCs w:val="16"/>
              </w:rPr>
            </w:pPr>
            <w:r w:rsidRPr="003B5C8D">
              <w:rPr>
                <w:color w:val="000000"/>
                <w:sz w:val="16"/>
                <w:szCs w:val="16"/>
              </w:rPr>
              <w:t>APODOULOU</w:t>
            </w:r>
          </w:p>
        </w:tc>
        <w:tc>
          <w:tcPr>
            <w:tcW w:w="1231" w:type="dxa"/>
            <w:gridSpan w:val="2"/>
            <w:hideMark/>
          </w:tcPr>
          <w:p w14:paraId="173CD79D" w14:textId="77777777" w:rsidR="008940B3" w:rsidRPr="003B5C8D" w:rsidRDefault="008940B3" w:rsidP="00E858EF">
            <w:pPr>
              <w:suppressAutoHyphens/>
              <w:rPr>
                <w:sz w:val="16"/>
                <w:szCs w:val="16"/>
              </w:rPr>
            </w:pPr>
          </w:p>
        </w:tc>
        <w:tc>
          <w:tcPr>
            <w:tcW w:w="1164" w:type="dxa"/>
            <w:gridSpan w:val="2"/>
            <w:hideMark/>
          </w:tcPr>
          <w:p w14:paraId="14286FD0" w14:textId="77777777" w:rsidR="008940B3" w:rsidRPr="003B5C8D" w:rsidRDefault="008940B3" w:rsidP="00E858EF">
            <w:pPr>
              <w:suppressAutoHyphens/>
              <w:rPr>
                <w:sz w:val="16"/>
                <w:szCs w:val="16"/>
              </w:rPr>
            </w:pPr>
          </w:p>
        </w:tc>
        <w:tc>
          <w:tcPr>
            <w:tcW w:w="1235" w:type="dxa"/>
            <w:gridSpan w:val="2"/>
            <w:hideMark/>
          </w:tcPr>
          <w:p w14:paraId="6E5646DE" w14:textId="77777777" w:rsidR="008940B3" w:rsidRPr="003B5C8D" w:rsidRDefault="008940B3" w:rsidP="00E858EF">
            <w:pPr>
              <w:suppressAutoHyphens/>
              <w:rPr>
                <w:sz w:val="16"/>
                <w:szCs w:val="16"/>
              </w:rPr>
            </w:pPr>
          </w:p>
        </w:tc>
        <w:tc>
          <w:tcPr>
            <w:tcW w:w="1026" w:type="dxa"/>
            <w:gridSpan w:val="3"/>
            <w:hideMark/>
          </w:tcPr>
          <w:p w14:paraId="7EE99759" w14:textId="77777777" w:rsidR="008940B3" w:rsidRPr="003B5C8D" w:rsidRDefault="008940B3" w:rsidP="00E858EF">
            <w:pPr>
              <w:suppressAutoHyphens/>
              <w:rPr>
                <w:sz w:val="16"/>
                <w:szCs w:val="16"/>
              </w:rPr>
            </w:pPr>
          </w:p>
        </w:tc>
        <w:tc>
          <w:tcPr>
            <w:tcW w:w="519" w:type="dxa"/>
          </w:tcPr>
          <w:p w14:paraId="62603654" w14:textId="77777777" w:rsidR="008940B3" w:rsidRPr="003B5C8D" w:rsidRDefault="008940B3" w:rsidP="00E858EF">
            <w:pPr>
              <w:suppressAutoHyphens/>
              <w:rPr>
                <w:color w:val="000000"/>
                <w:sz w:val="16"/>
                <w:szCs w:val="16"/>
              </w:rPr>
            </w:pPr>
            <w:r w:rsidRPr="003B5C8D">
              <w:rPr>
                <w:color w:val="000000"/>
                <w:sz w:val="16"/>
                <w:szCs w:val="16"/>
              </w:rPr>
              <w:t>8</w:t>
            </w:r>
          </w:p>
        </w:tc>
        <w:tc>
          <w:tcPr>
            <w:tcW w:w="590" w:type="dxa"/>
          </w:tcPr>
          <w:p w14:paraId="20111E3E" w14:textId="77777777" w:rsidR="008940B3" w:rsidRPr="003B5C8D" w:rsidRDefault="008940B3" w:rsidP="00E858EF">
            <w:pPr>
              <w:suppressAutoHyphens/>
              <w:rPr>
                <w:color w:val="000000"/>
                <w:sz w:val="16"/>
                <w:szCs w:val="16"/>
              </w:rPr>
            </w:pPr>
            <w:r w:rsidRPr="003B5C8D">
              <w:rPr>
                <w:color w:val="000000"/>
                <w:sz w:val="16"/>
                <w:szCs w:val="16"/>
              </w:rPr>
              <w:t>100%</w:t>
            </w:r>
          </w:p>
        </w:tc>
        <w:tc>
          <w:tcPr>
            <w:tcW w:w="1109" w:type="dxa"/>
            <w:gridSpan w:val="2"/>
          </w:tcPr>
          <w:p w14:paraId="4BC1EF50" w14:textId="77777777" w:rsidR="008940B3" w:rsidRPr="003B5C8D" w:rsidRDefault="008940B3" w:rsidP="00E858EF">
            <w:pPr>
              <w:suppressAutoHyphens/>
              <w:rPr>
                <w:color w:val="000000"/>
                <w:sz w:val="16"/>
                <w:szCs w:val="16"/>
              </w:rPr>
            </w:pPr>
          </w:p>
        </w:tc>
      </w:tr>
      <w:tr w:rsidR="008940B3" w:rsidRPr="003B5C8D" w14:paraId="79DF4EC3" w14:textId="77777777" w:rsidTr="008940B3">
        <w:trPr>
          <w:trHeight w:val="315"/>
        </w:trPr>
        <w:tc>
          <w:tcPr>
            <w:tcW w:w="1719" w:type="dxa"/>
          </w:tcPr>
          <w:p w14:paraId="1DED065E" w14:textId="77777777" w:rsidR="008940B3" w:rsidRPr="003B5C8D" w:rsidRDefault="008940B3" w:rsidP="00E858EF">
            <w:pPr>
              <w:suppressAutoHyphens/>
              <w:rPr>
                <w:color w:val="000000"/>
                <w:sz w:val="16"/>
                <w:szCs w:val="16"/>
              </w:rPr>
            </w:pPr>
            <w:r w:rsidRPr="003B5C8D">
              <w:rPr>
                <w:color w:val="000000"/>
                <w:sz w:val="16"/>
                <w:szCs w:val="16"/>
              </w:rPr>
              <w:t>GOUDIES</w:t>
            </w:r>
          </w:p>
        </w:tc>
        <w:tc>
          <w:tcPr>
            <w:tcW w:w="615" w:type="dxa"/>
            <w:hideMark/>
          </w:tcPr>
          <w:p w14:paraId="2919FE38" w14:textId="77777777" w:rsidR="008940B3" w:rsidRPr="003B5C8D" w:rsidRDefault="008940B3" w:rsidP="00E858EF">
            <w:pPr>
              <w:suppressAutoHyphens/>
              <w:rPr>
                <w:sz w:val="16"/>
                <w:szCs w:val="16"/>
              </w:rPr>
            </w:pPr>
            <w:r w:rsidRPr="003B5C8D">
              <w:rPr>
                <w:sz w:val="16"/>
                <w:szCs w:val="16"/>
              </w:rPr>
              <w:t>1</w:t>
            </w:r>
          </w:p>
        </w:tc>
        <w:tc>
          <w:tcPr>
            <w:tcW w:w="616" w:type="dxa"/>
          </w:tcPr>
          <w:p w14:paraId="653A7B6A" w14:textId="77777777" w:rsidR="008940B3" w:rsidRPr="003B5C8D" w:rsidRDefault="008940B3" w:rsidP="00E858EF">
            <w:pPr>
              <w:suppressAutoHyphens/>
              <w:rPr>
                <w:sz w:val="16"/>
                <w:szCs w:val="16"/>
              </w:rPr>
            </w:pPr>
            <w:r w:rsidRPr="003B5C8D">
              <w:rPr>
                <w:sz w:val="16"/>
                <w:szCs w:val="16"/>
              </w:rPr>
              <w:t>100%</w:t>
            </w:r>
          </w:p>
        </w:tc>
        <w:tc>
          <w:tcPr>
            <w:tcW w:w="1164" w:type="dxa"/>
            <w:gridSpan w:val="2"/>
            <w:hideMark/>
          </w:tcPr>
          <w:p w14:paraId="0F9D7FE1" w14:textId="77777777" w:rsidR="008940B3" w:rsidRPr="003B5C8D" w:rsidRDefault="008940B3" w:rsidP="00E858EF">
            <w:pPr>
              <w:suppressAutoHyphens/>
              <w:rPr>
                <w:sz w:val="16"/>
                <w:szCs w:val="16"/>
              </w:rPr>
            </w:pPr>
          </w:p>
        </w:tc>
        <w:tc>
          <w:tcPr>
            <w:tcW w:w="1235" w:type="dxa"/>
            <w:gridSpan w:val="2"/>
            <w:hideMark/>
          </w:tcPr>
          <w:p w14:paraId="283FA392" w14:textId="77777777" w:rsidR="008940B3" w:rsidRPr="003B5C8D" w:rsidRDefault="008940B3" w:rsidP="00E858EF">
            <w:pPr>
              <w:suppressAutoHyphens/>
              <w:rPr>
                <w:sz w:val="16"/>
                <w:szCs w:val="16"/>
              </w:rPr>
            </w:pPr>
          </w:p>
        </w:tc>
        <w:tc>
          <w:tcPr>
            <w:tcW w:w="1026" w:type="dxa"/>
            <w:gridSpan w:val="3"/>
            <w:hideMark/>
          </w:tcPr>
          <w:p w14:paraId="2C72E0CC" w14:textId="77777777" w:rsidR="008940B3" w:rsidRPr="003B5C8D" w:rsidRDefault="008940B3" w:rsidP="00E858EF">
            <w:pPr>
              <w:suppressAutoHyphens/>
              <w:rPr>
                <w:sz w:val="16"/>
                <w:szCs w:val="16"/>
              </w:rPr>
            </w:pPr>
          </w:p>
        </w:tc>
        <w:tc>
          <w:tcPr>
            <w:tcW w:w="1109" w:type="dxa"/>
            <w:gridSpan w:val="2"/>
          </w:tcPr>
          <w:p w14:paraId="4E26B3E5" w14:textId="77777777" w:rsidR="008940B3" w:rsidRPr="003B5C8D" w:rsidRDefault="008940B3" w:rsidP="00E858EF">
            <w:pPr>
              <w:suppressAutoHyphens/>
              <w:rPr>
                <w:color w:val="000000"/>
                <w:sz w:val="16"/>
                <w:szCs w:val="16"/>
              </w:rPr>
            </w:pPr>
          </w:p>
        </w:tc>
        <w:tc>
          <w:tcPr>
            <w:tcW w:w="1109" w:type="dxa"/>
            <w:gridSpan w:val="2"/>
          </w:tcPr>
          <w:p w14:paraId="3DD04477" w14:textId="77777777" w:rsidR="008940B3" w:rsidRPr="003B5C8D" w:rsidRDefault="008940B3" w:rsidP="00E858EF">
            <w:pPr>
              <w:suppressAutoHyphens/>
              <w:rPr>
                <w:color w:val="000000"/>
                <w:sz w:val="16"/>
                <w:szCs w:val="16"/>
              </w:rPr>
            </w:pPr>
          </w:p>
        </w:tc>
      </w:tr>
      <w:tr w:rsidR="008940B3" w:rsidRPr="003B5C8D" w14:paraId="606E7241" w14:textId="77777777" w:rsidTr="008940B3">
        <w:trPr>
          <w:trHeight w:val="315"/>
        </w:trPr>
        <w:tc>
          <w:tcPr>
            <w:tcW w:w="1719" w:type="dxa"/>
          </w:tcPr>
          <w:p w14:paraId="06DD7E43" w14:textId="77777777" w:rsidR="008940B3" w:rsidRPr="003B5C8D" w:rsidRDefault="008940B3" w:rsidP="00E858EF">
            <w:pPr>
              <w:suppressAutoHyphens/>
              <w:rPr>
                <w:color w:val="000000"/>
                <w:sz w:val="16"/>
                <w:szCs w:val="16"/>
              </w:rPr>
            </w:pPr>
            <w:r w:rsidRPr="003B5C8D">
              <w:rPr>
                <w:color w:val="000000"/>
                <w:sz w:val="16"/>
                <w:szCs w:val="16"/>
              </w:rPr>
              <w:t>AGIA TRIADA</w:t>
            </w:r>
          </w:p>
        </w:tc>
        <w:tc>
          <w:tcPr>
            <w:tcW w:w="615" w:type="dxa"/>
            <w:hideMark/>
          </w:tcPr>
          <w:p w14:paraId="7A4187B5" w14:textId="77777777" w:rsidR="008940B3" w:rsidRPr="003B5C8D" w:rsidRDefault="008940B3" w:rsidP="00E858EF">
            <w:pPr>
              <w:suppressAutoHyphens/>
              <w:rPr>
                <w:sz w:val="16"/>
                <w:szCs w:val="16"/>
              </w:rPr>
            </w:pPr>
            <w:r w:rsidRPr="003B5C8D">
              <w:rPr>
                <w:sz w:val="16"/>
                <w:szCs w:val="16"/>
              </w:rPr>
              <w:t>1</w:t>
            </w:r>
          </w:p>
        </w:tc>
        <w:tc>
          <w:tcPr>
            <w:tcW w:w="616" w:type="dxa"/>
          </w:tcPr>
          <w:p w14:paraId="3F0033E0" w14:textId="77777777" w:rsidR="008940B3" w:rsidRPr="003B5C8D" w:rsidRDefault="008940B3" w:rsidP="00E858EF">
            <w:pPr>
              <w:suppressAutoHyphens/>
              <w:rPr>
                <w:sz w:val="16"/>
                <w:szCs w:val="16"/>
              </w:rPr>
            </w:pPr>
            <w:r w:rsidRPr="003B5C8D">
              <w:rPr>
                <w:sz w:val="16"/>
                <w:szCs w:val="16"/>
              </w:rPr>
              <w:t>25%</w:t>
            </w:r>
          </w:p>
        </w:tc>
        <w:tc>
          <w:tcPr>
            <w:tcW w:w="574" w:type="dxa"/>
            <w:hideMark/>
          </w:tcPr>
          <w:p w14:paraId="05D2DB71" w14:textId="77777777" w:rsidR="008940B3" w:rsidRPr="003B5C8D" w:rsidRDefault="008940B3" w:rsidP="00E858EF">
            <w:pPr>
              <w:suppressAutoHyphens/>
              <w:rPr>
                <w:sz w:val="16"/>
                <w:szCs w:val="16"/>
              </w:rPr>
            </w:pPr>
            <w:r w:rsidRPr="003B5C8D">
              <w:rPr>
                <w:sz w:val="16"/>
                <w:szCs w:val="16"/>
              </w:rPr>
              <w:t>1</w:t>
            </w:r>
          </w:p>
        </w:tc>
        <w:tc>
          <w:tcPr>
            <w:tcW w:w="590" w:type="dxa"/>
          </w:tcPr>
          <w:p w14:paraId="053920F9" w14:textId="77777777" w:rsidR="008940B3" w:rsidRPr="003B5C8D" w:rsidRDefault="008940B3" w:rsidP="00E858EF">
            <w:pPr>
              <w:suppressAutoHyphens/>
              <w:rPr>
                <w:sz w:val="16"/>
                <w:szCs w:val="16"/>
              </w:rPr>
            </w:pPr>
            <w:r w:rsidRPr="003B5C8D">
              <w:rPr>
                <w:sz w:val="16"/>
                <w:szCs w:val="16"/>
              </w:rPr>
              <w:t>25%</w:t>
            </w:r>
          </w:p>
        </w:tc>
        <w:tc>
          <w:tcPr>
            <w:tcW w:w="617" w:type="dxa"/>
            <w:hideMark/>
          </w:tcPr>
          <w:p w14:paraId="7BB2964B" w14:textId="77777777" w:rsidR="008940B3" w:rsidRPr="003B5C8D" w:rsidRDefault="008940B3" w:rsidP="00E858EF">
            <w:pPr>
              <w:suppressAutoHyphens/>
              <w:rPr>
                <w:sz w:val="16"/>
                <w:szCs w:val="16"/>
              </w:rPr>
            </w:pPr>
            <w:r w:rsidRPr="003B5C8D">
              <w:rPr>
                <w:sz w:val="16"/>
                <w:szCs w:val="16"/>
              </w:rPr>
              <w:t>1</w:t>
            </w:r>
          </w:p>
        </w:tc>
        <w:tc>
          <w:tcPr>
            <w:tcW w:w="618" w:type="dxa"/>
          </w:tcPr>
          <w:p w14:paraId="0D3CB109" w14:textId="77777777" w:rsidR="008940B3" w:rsidRPr="003B5C8D" w:rsidRDefault="008940B3" w:rsidP="00E858EF">
            <w:pPr>
              <w:suppressAutoHyphens/>
              <w:rPr>
                <w:sz w:val="16"/>
                <w:szCs w:val="16"/>
              </w:rPr>
            </w:pPr>
            <w:r w:rsidRPr="003B5C8D">
              <w:rPr>
                <w:sz w:val="16"/>
                <w:szCs w:val="16"/>
              </w:rPr>
              <w:t>25%</w:t>
            </w:r>
          </w:p>
        </w:tc>
        <w:tc>
          <w:tcPr>
            <w:tcW w:w="1026" w:type="dxa"/>
            <w:gridSpan w:val="3"/>
            <w:hideMark/>
          </w:tcPr>
          <w:p w14:paraId="6C606E6C" w14:textId="77777777" w:rsidR="008940B3" w:rsidRPr="003B5C8D" w:rsidRDefault="008940B3" w:rsidP="00E858EF">
            <w:pPr>
              <w:suppressAutoHyphens/>
              <w:rPr>
                <w:sz w:val="16"/>
                <w:szCs w:val="16"/>
              </w:rPr>
            </w:pPr>
          </w:p>
        </w:tc>
        <w:tc>
          <w:tcPr>
            <w:tcW w:w="1109" w:type="dxa"/>
            <w:gridSpan w:val="2"/>
          </w:tcPr>
          <w:p w14:paraId="4A79225D" w14:textId="77777777" w:rsidR="008940B3" w:rsidRPr="003B5C8D" w:rsidRDefault="008940B3" w:rsidP="00E858EF">
            <w:pPr>
              <w:suppressAutoHyphens/>
              <w:rPr>
                <w:sz w:val="16"/>
                <w:szCs w:val="16"/>
              </w:rPr>
            </w:pPr>
          </w:p>
        </w:tc>
        <w:tc>
          <w:tcPr>
            <w:tcW w:w="519" w:type="dxa"/>
          </w:tcPr>
          <w:p w14:paraId="242830D0" w14:textId="77777777" w:rsidR="008940B3" w:rsidRPr="003B5C8D" w:rsidRDefault="008940B3" w:rsidP="00E858EF">
            <w:pPr>
              <w:suppressAutoHyphens/>
              <w:rPr>
                <w:sz w:val="16"/>
                <w:szCs w:val="16"/>
              </w:rPr>
            </w:pPr>
            <w:r w:rsidRPr="003B5C8D">
              <w:rPr>
                <w:sz w:val="16"/>
                <w:szCs w:val="16"/>
              </w:rPr>
              <w:t>1</w:t>
            </w:r>
          </w:p>
        </w:tc>
        <w:tc>
          <w:tcPr>
            <w:tcW w:w="590" w:type="dxa"/>
          </w:tcPr>
          <w:p w14:paraId="34E56C09" w14:textId="77777777" w:rsidR="008940B3" w:rsidRPr="003B5C8D" w:rsidRDefault="008940B3" w:rsidP="00E858EF">
            <w:pPr>
              <w:suppressAutoHyphens/>
              <w:rPr>
                <w:sz w:val="16"/>
                <w:szCs w:val="16"/>
              </w:rPr>
            </w:pPr>
            <w:r w:rsidRPr="003B5C8D">
              <w:rPr>
                <w:sz w:val="16"/>
                <w:szCs w:val="16"/>
              </w:rPr>
              <w:t>25%</w:t>
            </w:r>
          </w:p>
        </w:tc>
      </w:tr>
      <w:tr w:rsidR="008940B3" w:rsidRPr="003B5C8D" w14:paraId="1933E8E4" w14:textId="77777777" w:rsidTr="008940B3">
        <w:trPr>
          <w:trHeight w:val="315"/>
        </w:trPr>
        <w:tc>
          <w:tcPr>
            <w:tcW w:w="1719" w:type="dxa"/>
          </w:tcPr>
          <w:p w14:paraId="0822116A" w14:textId="77777777" w:rsidR="008940B3" w:rsidRPr="003B5C8D" w:rsidRDefault="008940B3" w:rsidP="00E858EF">
            <w:pPr>
              <w:suppressAutoHyphens/>
              <w:rPr>
                <w:color w:val="000000"/>
                <w:sz w:val="16"/>
                <w:szCs w:val="16"/>
              </w:rPr>
            </w:pPr>
            <w:r w:rsidRPr="003B5C8D">
              <w:rPr>
                <w:color w:val="000000"/>
                <w:sz w:val="16"/>
                <w:szCs w:val="16"/>
              </w:rPr>
              <w:t>KALOCHORAPHITIS</w:t>
            </w:r>
          </w:p>
        </w:tc>
        <w:tc>
          <w:tcPr>
            <w:tcW w:w="615" w:type="dxa"/>
            <w:hideMark/>
          </w:tcPr>
          <w:p w14:paraId="1E02D545" w14:textId="77777777" w:rsidR="008940B3" w:rsidRPr="003B5C8D" w:rsidRDefault="008940B3" w:rsidP="00E858EF">
            <w:pPr>
              <w:suppressAutoHyphens/>
              <w:rPr>
                <w:sz w:val="16"/>
                <w:szCs w:val="16"/>
              </w:rPr>
            </w:pPr>
            <w:r w:rsidRPr="003B5C8D">
              <w:rPr>
                <w:sz w:val="16"/>
                <w:szCs w:val="16"/>
              </w:rPr>
              <w:t>4</w:t>
            </w:r>
          </w:p>
        </w:tc>
        <w:tc>
          <w:tcPr>
            <w:tcW w:w="616" w:type="dxa"/>
          </w:tcPr>
          <w:p w14:paraId="6DBC6FA9" w14:textId="77777777" w:rsidR="008940B3" w:rsidRPr="003B5C8D" w:rsidRDefault="008940B3" w:rsidP="00E858EF">
            <w:pPr>
              <w:suppressAutoHyphens/>
              <w:rPr>
                <w:sz w:val="16"/>
                <w:szCs w:val="16"/>
              </w:rPr>
            </w:pPr>
            <w:r w:rsidRPr="003B5C8D">
              <w:rPr>
                <w:sz w:val="16"/>
                <w:szCs w:val="16"/>
              </w:rPr>
              <w:t>100%</w:t>
            </w:r>
          </w:p>
        </w:tc>
        <w:tc>
          <w:tcPr>
            <w:tcW w:w="1164" w:type="dxa"/>
            <w:gridSpan w:val="2"/>
            <w:hideMark/>
          </w:tcPr>
          <w:p w14:paraId="71149E0D" w14:textId="77777777" w:rsidR="008940B3" w:rsidRPr="003B5C8D" w:rsidRDefault="008940B3" w:rsidP="00E858EF">
            <w:pPr>
              <w:suppressAutoHyphens/>
              <w:rPr>
                <w:sz w:val="16"/>
                <w:szCs w:val="16"/>
              </w:rPr>
            </w:pPr>
          </w:p>
        </w:tc>
        <w:tc>
          <w:tcPr>
            <w:tcW w:w="1235" w:type="dxa"/>
            <w:gridSpan w:val="2"/>
            <w:hideMark/>
          </w:tcPr>
          <w:p w14:paraId="3F005C13" w14:textId="77777777" w:rsidR="008940B3" w:rsidRPr="003B5C8D" w:rsidRDefault="008940B3" w:rsidP="00E858EF">
            <w:pPr>
              <w:suppressAutoHyphens/>
              <w:rPr>
                <w:sz w:val="16"/>
                <w:szCs w:val="16"/>
              </w:rPr>
            </w:pPr>
          </w:p>
        </w:tc>
        <w:tc>
          <w:tcPr>
            <w:tcW w:w="1026" w:type="dxa"/>
            <w:gridSpan w:val="3"/>
            <w:hideMark/>
          </w:tcPr>
          <w:p w14:paraId="0BD9086B" w14:textId="77777777" w:rsidR="008940B3" w:rsidRPr="003B5C8D" w:rsidRDefault="008940B3" w:rsidP="00E858EF">
            <w:pPr>
              <w:suppressAutoHyphens/>
              <w:rPr>
                <w:sz w:val="16"/>
                <w:szCs w:val="16"/>
              </w:rPr>
            </w:pPr>
          </w:p>
        </w:tc>
        <w:tc>
          <w:tcPr>
            <w:tcW w:w="1109" w:type="dxa"/>
            <w:gridSpan w:val="2"/>
          </w:tcPr>
          <w:p w14:paraId="2024973D" w14:textId="77777777" w:rsidR="008940B3" w:rsidRPr="003B5C8D" w:rsidRDefault="008940B3" w:rsidP="00E858EF">
            <w:pPr>
              <w:suppressAutoHyphens/>
              <w:rPr>
                <w:color w:val="000000"/>
                <w:sz w:val="16"/>
                <w:szCs w:val="16"/>
              </w:rPr>
            </w:pPr>
          </w:p>
        </w:tc>
        <w:tc>
          <w:tcPr>
            <w:tcW w:w="1109" w:type="dxa"/>
            <w:gridSpan w:val="2"/>
          </w:tcPr>
          <w:p w14:paraId="36CAB2A3" w14:textId="77777777" w:rsidR="008940B3" w:rsidRPr="003B5C8D" w:rsidRDefault="008940B3" w:rsidP="00E858EF">
            <w:pPr>
              <w:suppressAutoHyphens/>
              <w:rPr>
                <w:color w:val="000000"/>
                <w:sz w:val="16"/>
                <w:szCs w:val="16"/>
              </w:rPr>
            </w:pPr>
          </w:p>
        </w:tc>
      </w:tr>
      <w:tr w:rsidR="008940B3" w:rsidRPr="003B5C8D" w14:paraId="531F48B1" w14:textId="77777777" w:rsidTr="008940B3">
        <w:trPr>
          <w:trHeight w:val="315"/>
        </w:trPr>
        <w:tc>
          <w:tcPr>
            <w:tcW w:w="1719" w:type="dxa"/>
          </w:tcPr>
          <w:p w14:paraId="777A25DA" w14:textId="77777777" w:rsidR="008940B3" w:rsidRPr="003B5C8D" w:rsidRDefault="008940B3" w:rsidP="00E858EF">
            <w:pPr>
              <w:suppressAutoHyphens/>
              <w:rPr>
                <w:color w:val="000000"/>
                <w:sz w:val="16"/>
                <w:szCs w:val="16"/>
              </w:rPr>
            </w:pPr>
            <w:r w:rsidRPr="003B5C8D">
              <w:rPr>
                <w:color w:val="000000"/>
                <w:sz w:val="16"/>
                <w:szCs w:val="16"/>
              </w:rPr>
              <w:t>KAMILARI</w:t>
            </w:r>
          </w:p>
        </w:tc>
        <w:tc>
          <w:tcPr>
            <w:tcW w:w="615" w:type="dxa"/>
            <w:hideMark/>
          </w:tcPr>
          <w:p w14:paraId="240B10C9" w14:textId="77777777" w:rsidR="008940B3" w:rsidRPr="003B5C8D" w:rsidRDefault="008940B3" w:rsidP="00E858EF">
            <w:pPr>
              <w:suppressAutoHyphens/>
              <w:rPr>
                <w:sz w:val="16"/>
                <w:szCs w:val="16"/>
              </w:rPr>
            </w:pPr>
            <w:r w:rsidRPr="003B5C8D">
              <w:rPr>
                <w:sz w:val="16"/>
                <w:szCs w:val="16"/>
              </w:rPr>
              <w:t>1</w:t>
            </w:r>
          </w:p>
        </w:tc>
        <w:tc>
          <w:tcPr>
            <w:tcW w:w="616" w:type="dxa"/>
          </w:tcPr>
          <w:p w14:paraId="578FBAC5" w14:textId="77777777" w:rsidR="008940B3" w:rsidRPr="003B5C8D" w:rsidRDefault="008940B3" w:rsidP="00E858EF">
            <w:pPr>
              <w:suppressAutoHyphens/>
              <w:rPr>
                <w:sz w:val="16"/>
                <w:szCs w:val="16"/>
              </w:rPr>
            </w:pPr>
            <w:r w:rsidRPr="003B5C8D">
              <w:rPr>
                <w:sz w:val="16"/>
                <w:szCs w:val="16"/>
              </w:rPr>
              <w:t>100%</w:t>
            </w:r>
          </w:p>
        </w:tc>
        <w:tc>
          <w:tcPr>
            <w:tcW w:w="1164" w:type="dxa"/>
            <w:gridSpan w:val="2"/>
            <w:hideMark/>
          </w:tcPr>
          <w:p w14:paraId="3FFD09E8" w14:textId="77777777" w:rsidR="008940B3" w:rsidRPr="003B5C8D" w:rsidRDefault="008940B3" w:rsidP="00E858EF">
            <w:pPr>
              <w:suppressAutoHyphens/>
              <w:rPr>
                <w:sz w:val="16"/>
                <w:szCs w:val="16"/>
              </w:rPr>
            </w:pPr>
          </w:p>
        </w:tc>
        <w:tc>
          <w:tcPr>
            <w:tcW w:w="1235" w:type="dxa"/>
            <w:gridSpan w:val="2"/>
            <w:hideMark/>
          </w:tcPr>
          <w:p w14:paraId="6971EA29" w14:textId="77777777" w:rsidR="008940B3" w:rsidRPr="003B5C8D" w:rsidRDefault="008940B3" w:rsidP="00E858EF">
            <w:pPr>
              <w:suppressAutoHyphens/>
              <w:rPr>
                <w:sz w:val="16"/>
                <w:szCs w:val="16"/>
              </w:rPr>
            </w:pPr>
          </w:p>
        </w:tc>
        <w:tc>
          <w:tcPr>
            <w:tcW w:w="1026" w:type="dxa"/>
            <w:gridSpan w:val="3"/>
            <w:hideMark/>
          </w:tcPr>
          <w:p w14:paraId="523121C7" w14:textId="77777777" w:rsidR="008940B3" w:rsidRPr="003B5C8D" w:rsidRDefault="008940B3" w:rsidP="00E858EF">
            <w:pPr>
              <w:suppressAutoHyphens/>
              <w:rPr>
                <w:sz w:val="16"/>
                <w:szCs w:val="16"/>
              </w:rPr>
            </w:pPr>
          </w:p>
        </w:tc>
        <w:tc>
          <w:tcPr>
            <w:tcW w:w="1109" w:type="dxa"/>
            <w:gridSpan w:val="2"/>
          </w:tcPr>
          <w:p w14:paraId="41E9A4F0" w14:textId="77777777" w:rsidR="008940B3" w:rsidRPr="003B5C8D" w:rsidRDefault="008940B3" w:rsidP="00E858EF">
            <w:pPr>
              <w:suppressAutoHyphens/>
              <w:rPr>
                <w:color w:val="000000"/>
                <w:sz w:val="16"/>
                <w:szCs w:val="16"/>
              </w:rPr>
            </w:pPr>
          </w:p>
        </w:tc>
        <w:tc>
          <w:tcPr>
            <w:tcW w:w="1109" w:type="dxa"/>
            <w:gridSpan w:val="2"/>
          </w:tcPr>
          <w:p w14:paraId="3B695644" w14:textId="77777777" w:rsidR="008940B3" w:rsidRPr="003B5C8D" w:rsidRDefault="008940B3" w:rsidP="00E858EF">
            <w:pPr>
              <w:suppressAutoHyphens/>
              <w:rPr>
                <w:color w:val="000000"/>
                <w:sz w:val="16"/>
                <w:szCs w:val="16"/>
              </w:rPr>
            </w:pPr>
          </w:p>
        </w:tc>
      </w:tr>
      <w:tr w:rsidR="008940B3" w:rsidRPr="003B5C8D" w14:paraId="16C8F1EF" w14:textId="77777777" w:rsidTr="008940B3">
        <w:trPr>
          <w:trHeight w:val="405"/>
        </w:trPr>
        <w:tc>
          <w:tcPr>
            <w:tcW w:w="1719" w:type="dxa"/>
          </w:tcPr>
          <w:p w14:paraId="72348DE8" w14:textId="77777777" w:rsidR="008940B3" w:rsidRPr="003B5C8D" w:rsidRDefault="008940B3" w:rsidP="00E858EF">
            <w:pPr>
              <w:suppressAutoHyphens/>
              <w:rPr>
                <w:color w:val="000000"/>
                <w:sz w:val="16"/>
                <w:szCs w:val="16"/>
              </w:rPr>
            </w:pPr>
            <w:r w:rsidRPr="003B5C8D">
              <w:rPr>
                <w:color w:val="000000"/>
                <w:sz w:val="16"/>
                <w:szCs w:val="16"/>
              </w:rPr>
              <w:t>KLIMA</w:t>
            </w:r>
          </w:p>
        </w:tc>
        <w:tc>
          <w:tcPr>
            <w:tcW w:w="615" w:type="dxa"/>
            <w:hideMark/>
          </w:tcPr>
          <w:p w14:paraId="6534F4CA" w14:textId="77777777" w:rsidR="008940B3" w:rsidRPr="003B5C8D" w:rsidRDefault="008940B3" w:rsidP="00E858EF">
            <w:pPr>
              <w:suppressAutoHyphens/>
              <w:rPr>
                <w:sz w:val="16"/>
                <w:szCs w:val="16"/>
              </w:rPr>
            </w:pPr>
            <w:r w:rsidRPr="003B5C8D">
              <w:rPr>
                <w:sz w:val="16"/>
                <w:szCs w:val="16"/>
              </w:rPr>
              <w:t>2</w:t>
            </w:r>
          </w:p>
        </w:tc>
        <w:tc>
          <w:tcPr>
            <w:tcW w:w="616" w:type="dxa"/>
          </w:tcPr>
          <w:p w14:paraId="3B9FDECC" w14:textId="77777777" w:rsidR="008940B3" w:rsidRPr="003B5C8D" w:rsidRDefault="008940B3" w:rsidP="00E858EF">
            <w:pPr>
              <w:suppressAutoHyphens/>
              <w:rPr>
                <w:sz w:val="16"/>
                <w:szCs w:val="16"/>
              </w:rPr>
            </w:pPr>
            <w:r w:rsidRPr="003B5C8D">
              <w:rPr>
                <w:sz w:val="16"/>
                <w:szCs w:val="16"/>
              </w:rPr>
              <w:t>100%</w:t>
            </w:r>
          </w:p>
        </w:tc>
        <w:tc>
          <w:tcPr>
            <w:tcW w:w="1164" w:type="dxa"/>
            <w:gridSpan w:val="2"/>
            <w:hideMark/>
          </w:tcPr>
          <w:p w14:paraId="7F3303C9" w14:textId="77777777" w:rsidR="008940B3" w:rsidRPr="003B5C8D" w:rsidRDefault="008940B3" w:rsidP="00E858EF">
            <w:pPr>
              <w:suppressAutoHyphens/>
              <w:rPr>
                <w:sz w:val="16"/>
                <w:szCs w:val="16"/>
              </w:rPr>
            </w:pPr>
          </w:p>
        </w:tc>
        <w:tc>
          <w:tcPr>
            <w:tcW w:w="1235" w:type="dxa"/>
            <w:gridSpan w:val="2"/>
            <w:hideMark/>
          </w:tcPr>
          <w:p w14:paraId="63252164" w14:textId="77777777" w:rsidR="008940B3" w:rsidRPr="003B5C8D" w:rsidRDefault="008940B3" w:rsidP="00E858EF">
            <w:pPr>
              <w:suppressAutoHyphens/>
              <w:rPr>
                <w:sz w:val="16"/>
                <w:szCs w:val="16"/>
              </w:rPr>
            </w:pPr>
          </w:p>
        </w:tc>
        <w:tc>
          <w:tcPr>
            <w:tcW w:w="1026" w:type="dxa"/>
            <w:gridSpan w:val="3"/>
            <w:hideMark/>
          </w:tcPr>
          <w:p w14:paraId="227EDE69" w14:textId="77777777" w:rsidR="008940B3" w:rsidRPr="003B5C8D" w:rsidRDefault="008940B3" w:rsidP="00E858EF">
            <w:pPr>
              <w:suppressAutoHyphens/>
              <w:rPr>
                <w:sz w:val="16"/>
                <w:szCs w:val="16"/>
              </w:rPr>
            </w:pPr>
          </w:p>
        </w:tc>
        <w:tc>
          <w:tcPr>
            <w:tcW w:w="1109" w:type="dxa"/>
            <w:gridSpan w:val="2"/>
          </w:tcPr>
          <w:p w14:paraId="782716E4" w14:textId="77777777" w:rsidR="008940B3" w:rsidRPr="003B5C8D" w:rsidRDefault="008940B3" w:rsidP="00E858EF">
            <w:pPr>
              <w:suppressAutoHyphens/>
              <w:rPr>
                <w:sz w:val="16"/>
                <w:szCs w:val="16"/>
              </w:rPr>
            </w:pPr>
          </w:p>
        </w:tc>
        <w:tc>
          <w:tcPr>
            <w:tcW w:w="1109" w:type="dxa"/>
            <w:gridSpan w:val="2"/>
          </w:tcPr>
          <w:p w14:paraId="0EA6243D" w14:textId="77777777" w:rsidR="008940B3" w:rsidRPr="003B5C8D" w:rsidRDefault="008940B3" w:rsidP="00E858EF">
            <w:pPr>
              <w:suppressAutoHyphens/>
              <w:rPr>
                <w:sz w:val="16"/>
                <w:szCs w:val="16"/>
              </w:rPr>
            </w:pPr>
          </w:p>
        </w:tc>
      </w:tr>
      <w:tr w:rsidR="008940B3" w:rsidRPr="003B5C8D" w14:paraId="03824334" w14:textId="77777777" w:rsidTr="008940B3">
        <w:trPr>
          <w:trHeight w:val="420"/>
        </w:trPr>
        <w:tc>
          <w:tcPr>
            <w:tcW w:w="1719" w:type="dxa"/>
          </w:tcPr>
          <w:p w14:paraId="35F61306" w14:textId="77777777" w:rsidR="008940B3" w:rsidRPr="003B5C8D" w:rsidRDefault="008940B3" w:rsidP="00E858EF">
            <w:pPr>
              <w:suppressAutoHyphens/>
              <w:rPr>
                <w:color w:val="000000"/>
                <w:sz w:val="16"/>
                <w:szCs w:val="16"/>
              </w:rPr>
            </w:pPr>
            <w:r w:rsidRPr="003B5C8D">
              <w:rPr>
                <w:sz w:val="16"/>
                <w:szCs w:val="16"/>
              </w:rPr>
              <w:t>KOUSSES</w:t>
            </w:r>
          </w:p>
        </w:tc>
        <w:tc>
          <w:tcPr>
            <w:tcW w:w="1231" w:type="dxa"/>
            <w:gridSpan w:val="2"/>
            <w:hideMark/>
          </w:tcPr>
          <w:p w14:paraId="3C44A5AC" w14:textId="77777777" w:rsidR="008940B3" w:rsidRPr="003B5C8D" w:rsidRDefault="008940B3" w:rsidP="00E858EF">
            <w:pPr>
              <w:suppressAutoHyphens/>
              <w:rPr>
                <w:sz w:val="16"/>
                <w:szCs w:val="16"/>
              </w:rPr>
            </w:pPr>
          </w:p>
        </w:tc>
        <w:tc>
          <w:tcPr>
            <w:tcW w:w="1164" w:type="dxa"/>
            <w:gridSpan w:val="2"/>
            <w:hideMark/>
          </w:tcPr>
          <w:p w14:paraId="30947ED1" w14:textId="77777777" w:rsidR="008940B3" w:rsidRPr="003B5C8D" w:rsidRDefault="008940B3" w:rsidP="00E858EF">
            <w:pPr>
              <w:suppressAutoHyphens/>
              <w:rPr>
                <w:sz w:val="16"/>
                <w:szCs w:val="16"/>
              </w:rPr>
            </w:pPr>
          </w:p>
        </w:tc>
        <w:tc>
          <w:tcPr>
            <w:tcW w:w="1235" w:type="dxa"/>
            <w:gridSpan w:val="2"/>
            <w:hideMark/>
          </w:tcPr>
          <w:p w14:paraId="4BD1EEC4" w14:textId="77777777" w:rsidR="008940B3" w:rsidRPr="003B5C8D" w:rsidRDefault="008940B3" w:rsidP="00E858EF">
            <w:pPr>
              <w:suppressAutoHyphens/>
              <w:rPr>
                <w:sz w:val="16"/>
                <w:szCs w:val="16"/>
              </w:rPr>
            </w:pPr>
          </w:p>
        </w:tc>
        <w:tc>
          <w:tcPr>
            <w:tcW w:w="1026" w:type="dxa"/>
            <w:gridSpan w:val="3"/>
            <w:hideMark/>
          </w:tcPr>
          <w:p w14:paraId="4FC1C30C" w14:textId="77777777" w:rsidR="008940B3" w:rsidRPr="003B5C8D" w:rsidRDefault="008940B3" w:rsidP="00E858EF">
            <w:pPr>
              <w:suppressAutoHyphens/>
              <w:rPr>
                <w:sz w:val="16"/>
                <w:szCs w:val="16"/>
              </w:rPr>
            </w:pPr>
          </w:p>
        </w:tc>
        <w:tc>
          <w:tcPr>
            <w:tcW w:w="1109" w:type="dxa"/>
            <w:gridSpan w:val="2"/>
          </w:tcPr>
          <w:p w14:paraId="57648823" w14:textId="77777777" w:rsidR="008940B3" w:rsidRPr="003B5C8D" w:rsidRDefault="008940B3" w:rsidP="00E858EF">
            <w:pPr>
              <w:suppressAutoHyphens/>
              <w:rPr>
                <w:color w:val="000000"/>
                <w:sz w:val="16"/>
                <w:szCs w:val="16"/>
              </w:rPr>
            </w:pPr>
          </w:p>
        </w:tc>
        <w:tc>
          <w:tcPr>
            <w:tcW w:w="519" w:type="dxa"/>
          </w:tcPr>
          <w:p w14:paraId="46C78C51" w14:textId="77777777" w:rsidR="008940B3" w:rsidRPr="003B5C8D" w:rsidRDefault="008940B3" w:rsidP="00E858EF">
            <w:pPr>
              <w:suppressAutoHyphens/>
              <w:rPr>
                <w:color w:val="000000"/>
                <w:sz w:val="16"/>
                <w:szCs w:val="16"/>
              </w:rPr>
            </w:pPr>
            <w:r w:rsidRPr="003B5C8D">
              <w:rPr>
                <w:color w:val="000000"/>
                <w:sz w:val="16"/>
                <w:szCs w:val="16"/>
              </w:rPr>
              <w:t>1</w:t>
            </w:r>
          </w:p>
        </w:tc>
        <w:tc>
          <w:tcPr>
            <w:tcW w:w="590" w:type="dxa"/>
          </w:tcPr>
          <w:p w14:paraId="705EE4F3" w14:textId="77777777" w:rsidR="008940B3" w:rsidRPr="003B5C8D" w:rsidRDefault="008940B3" w:rsidP="00E858EF">
            <w:pPr>
              <w:suppressAutoHyphens/>
              <w:rPr>
                <w:color w:val="000000"/>
                <w:sz w:val="16"/>
                <w:szCs w:val="16"/>
              </w:rPr>
            </w:pPr>
            <w:r w:rsidRPr="003B5C8D">
              <w:rPr>
                <w:color w:val="000000"/>
                <w:sz w:val="16"/>
                <w:szCs w:val="16"/>
              </w:rPr>
              <w:t>100%</w:t>
            </w:r>
          </w:p>
        </w:tc>
      </w:tr>
      <w:tr w:rsidR="008940B3" w:rsidRPr="003B5C8D" w14:paraId="61C02C9F" w14:textId="77777777" w:rsidTr="008940B3">
        <w:trPr>
          <w:trHeight w:val="300"/>
        </w:trPr>
        <w:tc>
          <w:tcPr>
            <w:tcW w:w="1719" w:type="dxa"/>
          </w:tcPr>
          <w:p w14:paraId="3758DE5C" w14:textId="77777777" w:rsidR="008940B3" w:rsidRPr="003B5C8D" w:rsidRDefault="008940B3" w:rsidP="00E858EF">
            <w:pPr>
              <w:suppressAutoHyphens/>
              <w:rPr>
                <w:color w:val="000000"/>
                <w:sz w:val="16"/>
                <w:szCs w:val="16"/>
              </w:rPr>
            </w:pPr>
            <w:r w:rsidRPr="003B5C8D">
              <w:rPr>
                <w:sz w:val="16"/>
                <w:szCs w:val="16"/>
              </w:rPr>
              <w:t>LILIANA</w:t>
            </w:r>
          </w:p>
        </w:tc>
        <w:tc>
          <w:tcPr>
            <w:tcW w:w="615" w:type="dxa"/>
            <w:hideMark/>
          </w:tcPr>
          <w:p w14:paraId="6757394D" w14:textId="77777777" w:rsidR="008940B3" w:rsidRPr="003B5C8D" w:rsidRDefault="008940B3" w:rsidP="00E858EF">
            <w:pPr>
              <w:suppressAutoHyphens/>
              <w:rPr>
                <w:sz w:val="16"/>
                <w:szCs w:val="16"/>
              </w:rPr>
            </w:pPr>
            <w:r w:rsidRPr="003B5C8D">
              <w:rPr>
                <w:sz w:val="16"/>
                <w:szCs w:val="16"/>
              </w:rPr>
              <w:t>4</w:t>
            </w:r>
          </w:p>
        </w:tc>
        <w:tc>
          <w:tcPr>
            <w:tcW w:w="616" w:type="dxa"/>
          </w:tcPr>
          <w:p w14:paraId="183E1C90" w14:textId="77777777" w:rsidR="008940B3" w:rsidRPr="003B5C8D" w:rsidRDefault="008940B3" w:rsidP="00E858EF">
            <w:pPr>
              <w:suppressAutoHyphens/>
              <w:rPr>
                <w:sz w:val="16"/>
                <w:szCs w:val="16"/>
              </w:rPr>
            </w:pPr>
            <w:r w:rsidRPr="003B5C8D">
              <w:rPr>
                <w:sz w:val="16"/>
                <w:szCs w:val="16"/>
              </w:rPr>
              <w:t>50%</w:t>
            </w:r>
          </w:p>
        </w:tc>
        <w:tc>
          <w:tcPr>
            <w:tcW w:w="1164" w:type="dxa"/>
            <w:gridSpan w:val="2"/>
            <w:hideMark/>
          </w:tcPr>
          <w:p w14:paraId="21DA6EC5" w14:textId="77777777" w:rsidR="008940B3" w:rsidRPr="003B5C8D" w:rsidRDefault="008940B3" w:rsidP="00E858EF">
            <w:pPr>
              <w:suppressAutoHyphens/>
              <w:rPr>
                <w:sz w:val="16"/>
                <w:szCs w:val="16"/>
              </w:rPr>
            </w:pPr>
          </w:p>
        </w:tc>
        <w:tc>
          <w:tcPr>
            <w:tcW w:w="1235" w:type="dxa"/>
            <w:gridSpan w:val="2"/>
            <w:hideMark/>
          </w:tcPr>
          <w:p w14:paraId="53D846B8" w14:textId="77777777" w:rsidR="008940B3" w:rsidRPr="003B5C8D" w:rsidRDefault="008940B3" w:rsidP="00E858EF">
            <w:pPr>
              <w:suppressAutoHyphens/>
              <w:rPr>
                <w:sz w:val="16"/>
                <w:szCs w:val="16"/>
              </w:rPr>
            </w:pPr>
          </w:p>
        </w:tc>
        <w:tc>
          <w:tcPr>
            <w:tcW w:w="298" w:type="dxa"/>
            <w:hideMark/>
          </w:tcPr>
          <w:p w14:paraId="2B1DE1CD" w14:textId="77777777" w:rsidR="008940B3" w:rsidRPr="003B5C8D" w:rsidRDefault="008940B3" w:rsidP="00E858EF">
            <w:pPr>
              <w:suppressAutoHyphens/>
              <w:rPr>
                <w:sz w:val="16"/>
                <w:szCs w:val="16"/>
              </w:rPr>
            </w:pPr>
            <w:r w:rsidRPr="003B5C8D">
              <w:rPr>
                <w:sz w:val="16"/>
                <w:szCs w:val="16"/>
              </w:rPr>
              <w:t>4</w:t>
            </w:r>
          </w:p>
        </w:tc>
        <w:tc>
          <w:tcPr>
            <w:tcW w:w="728" w:type="dxa"/>
            <w:gridSpan w:val="2"/>
          </w:tcPr>
          <w:p w14:paraId="346C50F6" w14:textId="77777777" w:rsidR="008940B3" w:rsidRPr="003B5C8D" w:rsidRDefault="008940B3" w:rsidP="00E858EF">
            <w:pPr>
              <w:suppressAutoHyphens/>
              <w:rPr>
                <w:sz w:val="16"/>
                <w:szCs w:val="16"/>
              </w:rPr>
            </w:pPr>
            <w:r w:rsidRPr="003B5C8D">
              <w:rPr>
                <w:sz w:val="16"/>
                <w:szCs w:val="16"/>
              </w:rPr>
              <w:t>100%</w:t>
            </w:r>
          </w:p>
        </w:tc>
        <w:tc>
          <w:tcPr>
            <w:tcW w:w="1109" w:type="dxa"/>
            <w:gridSpan w:val="2"/>
          </w:tcPr>
          <w:p w14:paraId="3A6ABEE4" w14:textId="77777777" w:rsidR="008940B3" w:rsidRPr="003B5C8D" w:rsidRDefault="008940B3" w:rsidP="00E858EF">
            <w:pPr>
              <w:suppressAutoHyphens/>
              <w:rPr>
                <w:sz w:val="16"/>
                <w:szCs w:val="16"/>
              </w:rPr>
            </w:pPr>
          </w:p>
        </w:tc>
        <w:tc>
          <w:tcPr>
            <w:tcW w:w="1109" w:type="dxa"/>
            <w:gridSpan w:val="2"/>
          </w:tcPr>
          <w:p w14:paraId="2C29FC48" w14:textId="77777777" w:rsidR="008940B3" w:rsidRPr="003B5C8D" w:rsidRDefault="008940B3" w:rsidP="00E858EF">
            <w:pPr>
              <w:suppressAutoHyphens/>
              <w:rPr>
                <w:sz w:val="16"/>
                <w:szCs w:val="16"/>
              </w:rPr>
            </w:pPr>
          </w:p>
        </w:tc>
      </w:tr>
      <w:tr w:rsidR="008940B3" w:rsidRPr="003B5C8D" w14:paraId="11538B00" w14:textId="77777777" w:rsidTr="008940B3">
        <w:trPr>
          <w:trHeight w:val="440"/>
        </w:trPr>
        <w:tc>
          <w:tcPr>
            <w:tcW w:w="1719" w:type="dxa"/>
          </w:tcPr>
          <w:p w14:paraId="247CC121" w14:textId="77777777" w:rsidR="008940B3" w:rsidRPr="003B5C8D" w:rsidRDefault="008940B3" w:rsidP="00E858EF">
            <w:pPr>
              <w:suppressAutoHyphens/>
              <w:rPr>
                <w:b/>
                <w:color w:val="000000"/>
                <w:sz w:val="16"/>
                <w:szCs w:val="16"/>
              </w:rPr>
            </w:pPr>
            <w:r w:rsidRPr="003B5C8D">
              <w:rPr>
                <w:sz w:val="16"/>
                <w:szCs w:val="16"/>
              </w:rPr>
              <w:t>MIRES</w:t>
            </w:r>
          </w:p>
        </w:tc>
        <w:tc>
          <w:tcPr>
            <w:tcW w:w="615" w:type="dxa"/>
            <w:hideMark/>
          </w:tcPr>
          <w:p w14:paraId="6109E202" w14:textId="77777777" w:rsidR="008940B3" w:rsidRPr="003B5C8D" w:rsidRDefault="008940B3" w:rsidP="00E858EF">
            <w:pPr>
              <w:suppressAutoHyphens/>
              <w:rPr>
                <w:sz w:val="16"/>
                <w:szCs w:val="16"/>
              </w:rPr>
            </w:pPr>
            <w:r>
              <w:rPr>
                <w:sz w:val="16"/>
                <w:szCs w:val="16"/>
              </w:rPr>
              <w:t>1</w:t>
            </w:r>
          </w:p>
        </w:tc>
        <w:tc>
          <w:tcPr>
            <w:tcW w:w="616" w:type="dxa"/>
          </w:tcPr>
          <w:p w14:paraId="53304A75" w14:textId="77777777" w:rsidR="008940B3" w:rsidRPr="003B5C8D" w:rsidRDefault="008940B3" w:rsidP="00E858EF">
            <w:pPr>
              <w:suppressAutoHyphens/>
              <w:rPr>
                <w:sz w:val="16"/>
                <w:szCs w:val="16"/>
              </w:rPr>
            </w:pPr>
            <w:r w:rsidRPr="003B5C8D">
              <w:rPr>
                <w:sz w:val="16"/>
                <w:szCs w:val="16"/>
              </w:rPr>
              <w:t>100%</w:t>
            </w:r>
          </w:p>
        </w:tc>
        <w:tc>
          <w:tcPr>
            <w:tcW w:w="1164" w:type="dxa"/>
            <w:gridSpan w:val="2"/>
            <w:hideMark/>
          </w:tcPr>
          <w:p w14:paraId="7EA53B46" w14:textId="77777777" w:rsidR="008940B3" w:rsidRPr="003B5C8D" w:rsidRDefault="008940B3" w:rsidP="00E858EF">
            <w:pPr>
              <w:suppressAutoHyphens/>
              <w:rPr>
                <w:sz w:val="16"/>
                <w:szCs w:val="16"/>
              </w:rPr>
            </w:pPr>
          </w:p>
        </w:tc>
        <w:tc>
          <w:tcPr>
            <w:tcW w:w="1235" w:type="dxa"/>
            <w:gridSpan w:val="2"/>
            <w:hideMark/>
          </w:tcPr>
          <w:p w14:paraId="23DFE54B" w14:textId="77777777" w:rsidR="008940B3" w:rsidRPr="003B5C8D" w:rsidRDefault="008940B3" w:rsidP="00E858EF">
            <w:pPr>
              <w:suppressAutoHyphens/>
              <w:rPr>
                <w:sz w:val="16"/>
                <w:szCs w:val="16"/>
              </w:rPr>
            </w:pPr>
          </w:p>
        </w:tc>
        <w:tc>
          <w:tcPr>
            <w:tcW w:w="1026" w:type="dxa"/>
            <w:gridSpan w:val="3"/>
            <w:hideMark/>
          </w:tcPr>
          <w:p w14:paraId="5F6C2145" w14:textId="77777777" w:rsidR="008940B3" w:rsidRPr="003B5C8D" w:rsidRDefault="008940B3" w:rsidP="00E858EF">
            <w:pPr>
              <w:suppressAutoHyphens/>
              <w:rPr>
                <w:sz w:val="16"/>
                <w:szCs w:val="16"/>
              </w:rPr>
            </w:pPr>
          </w:p>
        </w:tc>
        <w:tc>
          <w:tcPr>
            <w:tcW w:w="1109" w:type="dxa"/>
            <w:gridSpan w:val="2"/>
          </w:tcPr>
          <w:p w14:paraId="524548A7" w14:textId="77777777" w:rsidR="008940B3" w:rsidRPr="003B5C8D" w:rsidRDefault="008940B3" w:rsidP="00E858EF">
            <w:pPr>
              <w:suppressAutoHyphens/>
              <w:rPr>
                <w:b/>
                <w:sz w:val="16"/>
                <w:szCs w:val="16"/>
              </w:rPr>
            </w:pPr>
          </w:p>
        </w:tc>
        <w:tc>
          <w:tcPr>
            <w:tcW w:w="1109" w:type="dxa"/>
            <w:gridSpan w:val="2"/>
          </w:tcPr>
          <w:p w14:paraId="470120C9" w14:textId="77777777" w:rsidR="008940B3" w:rsidRPr="003B5C8D" w:rsidRDefault="008940B3" w:rsidP="00E858EF">
            <w:pPr>
              <w:suppressAutoHyphens/>
              <w:rPr>
                <w:b/>
                <w:sz w:val="16"/>
                <w:szCs w:val="16"/>
              </w:rPr>
            </w:pPr>
          </w:p>
        </w:tc>
      </w:tr>
      <w:tr w:rsidR="008940B3" w:rsidRPr="003B5C8D" w14:paraId="0F4FD44D" w14:textId="77777777" w:rsidTr="008940B3">
        <w:trPr>
          <w:trHeight w:val="440"/>
        </w:trPr>
        <w:tc>
          <w:tcPr>
            <w:tcW w:w="1719" w:type="dxa"/>
          </w:tcPr>
          <w:p w14:paraId="4D083985" w14:textId="77777777" w:rsidR="008940B3" w:rsidRPr="003B5C8D" w:rsidRDefault="008940B3" w:rsidP="00E858EF">
            <w:pPr>
              <w:suppressAutoHyphens/>
              <w:rPr>
                <w:sz w:val="16"/>
                <w:szCs w:val="16"/>
              </w:rPr>
            </w:pPr>
            <w:r w:rsidRPr="003B5C8D">
              <w:rPr>
                <w:rFonts w:eastAsia="Times New Roman"/>
                <w:color w:val="000000"/>
                <w:sz w:val="16"/>
                <w:szCs w:val="16"/>
              </w:rPr>
              <w:t>PANAYIA KALYVIANI</w:t>
            </w:r>
          </w:p>
        </w:tc>
        <w:tc>
          <w:tcPr>
            <w:tcW w:w="1231" w:type="dxa"/>
            <w:gridSpan w:val="2"/>
          </w:tcPr>
          <w:p w14:paraId="4F9377D6" w14:textId="77777777" w:rsidR="008940B3" w:rsidRPr="003B5C8D" w:rsidRDefault="008940B3" w:rsidP="00E858EF">
            <w:pPr>
              <w:suppressAutoHyphens/>
              <w:rPr>
                <w:sz w:val="16"/>
                <w:szCs w:val="16"/>
              </w:rPr>
            </w:pPr>
          </w:p>
        </w:tc>
        <w:tc>
          <w:tcPr>
            <w:tcW w:w="1164" w:type="dxa"/>
            <w:gridSpan w:val="2"/>
          </w:tcPr>
          <w:p w14:paraId="67692262" w14:textId="77777777" w:rsidR="008940B3" w:rsidRPr="003B5C8D" w:rsidRDefault="008940B3" w:rsidP="00E858EF">
            <w:pPr>
              <w:suppressAutoHyphens/>
              <w:rPr>
                <w:sz w:val="16"/>
                <w:szCs w:val="16"/>
              </w:rPr>
            </w:pPr>
          </w:p>
        </w:tc>
        <w:tc>
          <w:tcPr>
            <w:tcW w:w="1235" w:type="dxa"/>
            <w:gridSpan w:val="2"/>
          </w:tcPr>
          <w:p w14:paraId="4758FB0B" w14:textId="77777777" w:rsidR="008940B3" w:rsidRPr="003B5C8D" w:rsidRDefault="008940B3" w:rsidP="00E858EF">
            <w:pPr>
              <w:suppressAutoHyphens/>
              <w:rPr>
                <w:sz w:val="16"/>
                <w:szCs w:val="16"/>
              </w:rPr>
            </w:pPr>
          </w:p>
        </w:tc>
        <w:tc>
          <w:tcPr>
            <w:tcW w:w="436" w:type="dxa"/>
            <w:gridSpan w:val="2"/>
          </w:tcPr>
          <w:p w14:paraId="3BA3AEFC" w14:textId="77777777" w:rsidR="008940B3" w:rsidRPr="003B5C8D" w:rsidRDefault="008940B3" w:rsidP="00E858EF">
            <w:pPr>
              <w:suppressAutoHyphens/>
              <w:rPr>
                <w:sz w:val="16"/>
                <w:szCs w:val="16"/>
              </w:rPr>
            </w:pPr>
            <w:r w:rsidRPr="003B5C8D">
              <w:rPr>
                <w:sz w:val="16"/>
                <w:szCs w:val="16"/>
              </w:rPr>
              <w:t>1</w:t>
            </w:r>
          </w:p>
        </w:tc>
        <w:tc>
          <w:tcPr>
            <w:tcW w:w="590" w:type="dxa"/>
          </w:tcPr>
          <w:p w14:paraId="117CD929" w14:textId="77777777" w:rsidR="008940B3" w:rsidRPr="003B5C8D" w:rsidRDefault="008940B3" w:rsidP="00E858EF">
            <w:pPr>
              <w:suppressAutoHyphens/>
              <w:rPr>
                <w:sz w:val="16"/>
                <w:szCs w:val="16"/>
              </w:rPr>
            </w:pPr>
            <w:r w:rsidRPr="003B5C8D">
              <w:rPr>
                <w:sz w:val="16"/>
                <w:szCs w:val="16"/>
              </w:rPr>
              <w:t>100%</w:t>
            </w:r>
          </w:p>
        </w:tc>
        <w:tc>
          <w:tcPr>
            <w:tcW w:w="1109" w:type="dxa"/>
            <w:gridSpan w:val="2"/>
          </w:tcPr>
          <w:p w14:paraId="7DA3A4AD" w14:textId="77777777" w:rsidR="008940B3" w:rsidRPr="003B5C8D" w:rsidRDefault="008940B3" w:rsidP="00E858EF">
            <w:pPr>
              <w:suppressAutoHyphens/>
              <w:rPr>
                <w:sz w:val="16"/>
                <w:szCs w:val="16"/>
              </w:rPr>
            </w:pPr>
          </w:p>
        </w:tc>
        <w:tc>
          <w:tcPr>
            <w:tcW w:w="1109" w:type="dxa"/>
            <w:gridSpan w:val="2"/>
          </w:tcPr>
          <w:p w14:paraId="09F17630" w14:textId="77777777" w:rsidR="008940B3" w:rsidRPr="003B5C8D" w:rsidRDefault="008940B3" w:rsidP="00E858EF">
            <w:pPr>
              <w:suppressAutoHyphens/>
              <w:rPr>
                <w:sz w:val="16"/>
                <w:szCs w:val="16"/>
              </w:rPr>
            </w:pPr>
          </w:p>
        </w:tc>
      </w:tr>
      <w:tr w:rsidR="008940B3" w:rsidRPr="003B5C8D" w14:paraId="33235FA3" w14:textId="77777777" w:rsidTr="008940B3">
        <w:trPr>
          <w:trHeight w:val="382"/>
        </w:trPr>
        <w:tc>
          <w:tcPr>
            <w:tcW w:w="1719" w:type="dxa"/>
          </w:tcPr>
          <w:p w14:paraId="04903EAE"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POMBIA</w:t>
            </w:r>
          </w:p>
        </w:tc>
        <w:tc>
          <w:tcPr>
            <w:tcW w:w="615" w:type="dxa"/>
          </w:tcPr>
          <w:p w14:paraId="2CC14F3C" w14:textId="77777777" w:rsidR="008940B3" w:rsidRPr="003B5C8D" w:rsidRDefault="008940B3" w:rsidP="00E858EF">
            <w:pPr>
              <w:suppressAutoHyphens/>
              <w:rPr>
                <w:sz w:val="16"/>
                <w:szCs w:val="16"/>
              </w:rPr>
            </w:pPr>
            <w:r w:rsidRPr="003B5C8D">
              <w:rPr>
                <w:sz w:val="16"/>
                <w:szCs w:val="16"/>
              </w:rPr>
              <w:t>1</w:t>
            </w:r>
          </w:p>
        </w:tc>
        <w:tc>
          <w:tcPr>
            <w:tcW w:w="616" w:type="dxa"/>
          </w:tcPr>
          <w:p w14:paraId="0F098937" w14:textId="77777777" w:rsidR="008940B3" w:rsidRPr="003B5C8D" w:rsidRDefault="008940B3" w:rsidP="00E858EF">
            <w:pPr>
              <w:suppressAutoHyphens/>
              <w:rPr>
                <w:sz w:val="16"/>
                <w:szCs w:val="16"/>
              </w:rPr>
            </w:pPr>
            <w:r w:rsidRPr="003B5C8D">
              <w:rPr>
                <w:sz w:val="16"/>
                <w:szCs w:val="16"/>
              </w:rPr>
              <w:t>100%</w:t>
            </w:r>
          </w:p>
        </w:tc>
        <w:tc>
          <w:tcPr>
            <w:tcW w:w="1164" w:type="dxa"/>
            <w:gridSpan w:val="2"/>
          </w:tcPr>
          <w:p w14:paraId="7BE1C357" w14:textId="77777777" w:rsidR="008940B3" w:rsidRPr="003B5C8D" w:rsidRDefault="008940B3" w:rsidP="00E858EF">
            <w:pPr>
              <w:suppressAutoHyphens/>
              <w:rPr>
                <w:sz w:val="16"/>
                <w:szCs w:val="16"/>
              </w:rPr>
            </w:pPr>
          </w:p>
        </w:tc>
        <w:tc>
          <w:tcPr>
            <w:tcW w:w="1235" w:type="dxa"/>
            <w:gridSpan w:val="2"/>
          </w:tcPr>
          <w:p w14:paraId="1F0FE1EF" w14:textId="77777777" w:rsidR="008940B3" w:rsidRPr="003B5C8D" w:rsidRDefault="008940B3" w:rsidP="00E858EF">
            <w:pPr>
              <w:suppressAutoHyphens/>
              <w:rPr>
                <w:sz w:val="16"/>
                <w:szCs w:val="16"/>
              </w:rPr>
            </w:pPr>
          </w:p>
        </w:tc>
        <w:tc>
          <w:tcPr>
            <w:tcW w:w="1026" w:type="dxa"/>
            <w:gridSpan w:val="3"/>
          </w:tcPr>
          <w:p w14:paraId="3F5B5515" w14:textId="77777777" w:rsidR="008940B3" w:rsidRPr="003B5C8D" w:rsidRDefault="008940B3" w:rsidP="00E858EF">
            <w:pPr>
              <w:suppressAutoHyphens/>
              <w:rPr>
                <w:sz w:val="16"/>
                <w:szCs w:val="16"/>
              </w:rPr>
            </w:pPr>
          </w:p>
        </w:tc>
        <w:tc>
          <w:tcPr>
            <w:tcW w:w="1109" w:type="dxa"/>
            <w:gridSpan w:val="2"/>
          </w:tcPr>
          <w:p w14:paraId="2DDBD681" w14:textId="77777777" w:rsidR="008940B3" w:rsidRPr="003B5C8D" w:rsidRDefault="008940B3" w:rsidP="00E858EF">
            <w:pPr>
              <w:suppressAutoHyphens/>
              <w:rPr>
                <w:sz w:val="16"/>
                <w:szCs w:val="16"/>
              </w:rPr>
            </w:pPr>
          </w:p>
        </w:tc>
        <w:tc>
          <w:tcPr>
            <w:tcW w:w="1109" w:type="dxa"/>
            <w:gridSpan w:val="2"/>
          </w:tcPr>
          <w:p w14:paraId="65C0DE77" w14:textId="77777777" w:rsidR="008940B3" w:rsidRPr="003B5C8D" w:rsidRDefault="008940B3" w:rsidP="00E858EF">
            <w:pPr>
              <w:suppressAutoHyphens/>
              <w:rPr>
                <w:sz w:val="16"/>
                <w:szCs w:val="16"/>
              </w:rPr>
            </w:pPr>
          </w:p>
        </w:tc>
      </w:tr>
      <w:tr w:rsidR="008940B3" w:rsidRPr="003B5C8D" w14:paraId="4E60ADCE" w14:textId="77777777" w:rsidTr="008940B3">
        <w:trPr>
          <w:trHeight w:val="440"/>
        </w:trPr>
        <w:tc>
          <w:tcPr>
            <w:tcW w:w="1719" w:type="dxa"/>
          </w:tcPr>
          <w:p w14:paraId="6F18B2F9"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STAVROS GALIAS</w:t>
            </w:r>
          </w:p>
        </w:tc>
        <w:tc>
          <w:tcPr>
            <w:tcW w:w="615" w:type="dxa"/>
          </w:tcPr>
          <w:p w14:paraId="2196F498" w14:textId="77777777" w:rsidR="008940B3" w:rsidRPr="003B5C8D" w:rsidRDefault="008940B3" w:rsidP="00E858EF">
            <w:pPr>
              <w:suppressAutoHyphens/>
              <w:rPr>
                <w:sz w:val="16"/>
                <w:szCs w:val="16"/>
              </w:rPr>
            </w:pPr>
            <w:r w:rsidRPr="003B5C8D">
              <w:rPr>
                <w:sz w:val="16"/>
                <w:szCs w:val="16"/>
              </w:rPr>
              <w:t>5</w:t>
            </w:r>
          </w:p>
        </w:tc>
        <w:tc>
          <w:tcPr>
            <w:tcW w:w="616" w:type="dxa"/>
          </w:tcPr>
          <w:p w14:paraId="373221B1" w14:textId="77777777" w:rsidR="008940B3" w:rsidRPr="003B5C8D" w:rsidRDefault="008940B3" w:rsidP="00E858EF">
            <w:pPr>
              <w:suppressAutoHyphens/>
              <w:rPr>
                <w:sz w:val="16"/>
                <w:szCs w:val="16"/>
              </w:rPr>
            </w:pPr>
            <w:r w:rsidRPr="003B5C8D">
              <w:rPr>
                <w:sz w:val="16"/>
                <w:szCs w:val="16"/>
              </w:rPr>
              <w:t>100%</w:t>
            </w:r>
          </w:p>
        </w:tc>
        <w:tc>
          <w:tcPr>
            <w:tcW w:w="1164" w:type="dxa"/>
            <w:gridSpan w:val="2"/>
          </w:tcPr>
          <w:p w14:paraId="19435F2A" w14:textId="77777777" w:rsidR="008940B3" w:rsidRPr="003B5C8D" w:rsidRDefault="008940B3" w:rsidP="00E858EF">
            <w:pPr>
              <w:suppressAutoHyphens/>
              <w:rPr>
                <w:sz w:val="16"/>
                <w:szCs w:val="16"/>
              </w:rPr>
            </w:pPr>
          </w:p>
        </w:tc>
        <w:tc>
          <w:tcPr>
            <w:tcW w:w="1235" w:type="dxa"/>
            <w:gridSpan w:val="2"/>
          </w:tcPr>
          <w:p w14:paraId="48A69C42" w14:textId="77777777" w:rsidR="008940B3" w:rsidRPr="003B5C8D" w:rsidRDefault="008940B3" w:rsidP="00E858EF">
            <w:pPr>
              <w:suppressAutoHyphens/>
              <w:rPr>
                <w:sz w:val="16"/>
                <w:szCs w:val="16"/>
              </w:rPr>
            </w:pPr>
          </w:p>
        </w:tc>
        <w:tc>
          <w:tcPr>
            <w:tcW w:w="1026" w:type="dxa"/>
            <w:gridSpan w:val="3"/>
          </w:tcPr>
          <w:p w14:paraId="3AC56D30" w14:textId="77777777" w:rsidR="008940B3" w:rsidRPr="003B5C8D" w:rsidRDefault="008940B3" w:rsidP="00E858EF">
            <w:pPr>
              <w:suppressAutoHyphens/>
              <w:rPr>
                <w:sz w:val="16"/>
                <w:szCs w:val="16"/>
              </w:rPr>
            </w:pPr>
          </w:p>
        </w:tc>
        <w:tc>
          <w:tcPr>
            <w:tcW w:w="1109" w:type="dxa"/>
            <w:gridSpan w:val="2"/>
          </w:tcPr>
          <w:p w14:paraId="42FAA2C7" w14:textId="77777777" w:rsidR="008940B3" w:rsidRPr="003B5C8D" w:rsidRDefault="008940B3" w:rsidP="00E858EF">
            <w:pPr>
              <w:suppressAutoHyphens/>
              <w:rPr>
                <w:sz w:val="16"/>
                <w:szCs w:val="16"/>
              </w:rPr>
            </w:pPr>
          </w:p>
        </w:tc>
        <w:tc>
          <w:tcPr>
            <w:tcW w:w="1109" w:type="dxa"/>
            <w:gridSpan w:val="2"/>
          </w:tcPr>
          <w:p w14:paraId="24438C0E" w14:textId="77777777" w:rsidR="008940B3" w:rsidRPr="003B5C8D" w:rsidRDefault="008940B3" w:rsidP="00E858EF">
            <w:pPr>
              <w:suppressAutoHyphens/>
              <w:rPr>
                <w:sz w:val="16"/>
                <w:szCs w:val="16"/>
              </w:rPr>
            </w:pPr>
          </w:p>
        </w:tc>
      </w:tr>
      <w:tr w:rsidR="008940B3" w:rsidRPr="003B5C8D" w14:paraId="29CBE6B3" w14:textId="77777777" w:rsidTr="008940B3">
        <w:trPr>
          <w:trHeight w:val="440"/>
        </w:trPr>
        <w:tc>
          <w:tcPr>
            <w:tcW w:w="1719" w:type="dxa"/>
          </w:tcPr>
          <w:p w14:paraId="6DF8A4EE"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TYMBAKI</w:t>
            </w:r>
          </w:p>
        </w:tc>
        <w:tc>
          <w:tcPr>
            <w:tcW w:w="615" w:type="dxa"/>
          </w:tcPr>
          <w:p w14:paraId="76DC2A48" w14:textId="77777777" w:rsidR="008940B3" w:rsidRPr="003B5C8D" w:rsidRDefault="008940B3" w:rsidP="00E858EF">
            <w:pPr>
              <w:suppressAutoHyphens/>
              <w:rPr>
                <w:sz w:val="16"/>
                <w:szCs w:val="16"/>
              </w:rPr>
            </w:pPr>
            <w:r w:rsidRPr="003B5C8D">
              <w:rPr>
                <w:sz w:val="16"/>
                <w:szCs w:val="16"/>
              </w:rPr>
              <w:t>1</w:t>
            </w:r>
          </w:p>
        </w:tc>
        <w:tc>
          <w:tcPr>
            <w:tcW w:w="616" w:type="dxa"/>
          </w:tcPr>
          <w:p w14:paraId="774EF4AE" w14:textId="77777777" w:rsidR="008940B3" w:rsidRPr="003B5C8D" w:rsidRDefault="008940B3" w:rsidP="00E858EF">
            <w:pPr>
              <w:suppressAutoHyphens/>
              <w:rPr>
                <w:sz w:val="16"/>
                <w:szCs w:val="16"/>
              </w:rPr>
            </w:pPr>
            <w:r w:rsidRPr="003B5C8D">
              <w:rPr>
                <w:sz w:val="16"/>
                <w:szCs w:val="16"/>
              </w:rPr>
              <w:t>100%</w:t>
            </w:r>
          </w:p>
        </w:tc>
        <w:tc>
          <w:tcPr>
            <w:tcW w:w="1164" w:type="dxa"/>
            <w:gridSpan w:val="2"/>
          </w:tcPr>
          <w:p w14:paraId="2B0DA00A" w14:textId="77777777" w:rsidR="008940B3" w:rsidRPr="003B5C8D" w:rsidRDefault="008940B3" w:rsidP="00E858EF">
            <w:pPr>
              <w:suppressAutoHyphens/>
              <w:rPr>
                <w:sz w:val="16"/>
                <w:szCs w:val="16"/>
              </w:rPr>
            </w:pPr>
          </w:p>
        </w:tc>
        <w:tc>
          <w:tcPr>
            <w:tcW w:w="1235" w:type="dxa"/>
            <w:gridSpan w:val="2"/>
          </w:tcPr>
          <w:p w14:paraId="44C1579B" w14:textId="77777777" w:rsidR="008940B3" w:rsidRPr="003B5C8D" w:rsidRDefault="008940B3" w:rsidP="00E858EF">
            <w:pPr>
              <w:suppressAutoHyphens/>
              <w:rPr>
                <w:sz w:val="16"/>
                <w:szCs w:val="16"/>
              </w:rPr>
            </w:pPr>
          </w:p>
        </w:tc>
        <w:tc>
          <w:tcPr>
            <w:tcW w:w="1026" w:type="dxa"/>
            <w:gridSpan w:val="3"/>
          </w:tcPr>
          <w:p w14:paraId="484AA315" w14:textId="77777777" w:rsidR="008940B3" w:rsidRPr="003B5C8D" w:rsidRDefault="008940B3" w:rsidP="00E858EF">
            <w:pPr>
              <w:suppressAutoHyphens/>
              <w:rPr>
                <w:sz w:val="16"/>
                <w:szCs w:val="16"/>
              </w:rPr>
            </w:pPr>
          </w:p>
        </w:tc>
        <w:tc>
          <w:tcPr>
            <w:tcW w:w="1109" w:type="dxa"/>
            <w:gridSpan w:val="2"/>
          </w:tcPr>
          <w:p w14:paraId="725F4B4C" w14:textId="77777777" w:rsidR="008940B3" w:rsidRPr="003B5C8D" w:rsidRDefault="008940B3" w:rsidP="00E858EF">
            <w:pPr>
              <w:suppressAutoHyphens/>
              <w:rPr>
                <w:sz w:val="16"/>
                <w:szCs w:val="16"/>
              </w:rPr>
            </w:pPr>
          </w:p>
        </w:tc>
        <w:tc>
          <w:tcPr>
            <w:tcW w:w="1109" w:type="dxa"/>
            <w:gridSpan w:val="2"/>
          </w:tcPr>
          <w:p w14:paraId="4CD88750" w14:textId="77777777" w:rsidR="008940B3" w:rsidRPr="003B5C8D" w:rsidRDefault="008940B3" w:rsidP="00E858EF">
            <w:pPr>
              <w:suppressAutoHyphens/>
              <w:rPr>
                <w:sz w:val="16"/>
                <w:szCs w:val="16"/>
              </w:rPr>
            </w:pPr>
          </w:p>
        </w:tc>
      </w:tr>
      <w:tr w:rsidR="008940B3" w:rsidRPr="003B5C8D" w14:paraId="2CECE8E6" w14:textId="77777777" w:rsidTr="008940B3">
        <w:trPr>
          <w:trHeight w:val="440"/>
        </w:trPr>
        <w:tc>
          <w:tcPr>
            <w:tcW w:w="1719" w:type="dxa"/>
          </w:tcPr>
          <w:p w14:paraId="0E5E2451"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VALIS</w:t>
            </w:r>
          </w:p>
        </w:tc>
        <w:tc>
          <w:tcPr>
            <w:tcW w:w="1231" w:type="dxa"/>
            <w:gridSpan w:val="2"/>
          </w:tcPr>
          <w:p w14:paraId="4CA3EF3F" w14:textId="77777777" w:rsidR="008940B3" w:rsidRPr="003B5C8D" w:rsidRDefault="008940B3" w:rsidP="00E858EF">
            <w:pPr>
              <w:suppressAutoHyphens/>
              <w:rPr>
                <w:sz w:val="16"/>
                <w:szCs w:val="16"/>
              </w:rPr>
            </w:pPr>
          </w:p>
        </w:tc>
        <w:tc>
          <w:tcPr>
            <w:tcW w:w="574" w:type="dxa"/>
          </w:tcPr>
          <w:p w14:paraId="481E2A17" w14:textId="77777777" w:rsidR="008940B3" w:rsidRPr="003B5C8D" w:rsidRDefault="008940B3" w:rsidP="00E858EF">
            <w:pPr>
              <w:suppressAutoHyphens/>
              <w:rPr>
                <w:sz w:val="16"/>
                <w:szCs w:val="16"/>
              </w:rPr>
            </w:pPr>
            <w:r w:rsidRPr="003B5C8D">
              <w:rPr>
                <w:sz w:val="16"/>
                <w:szCs w:val="16"/>
              </w:rPr>
              <w:t>1</w:t>
            </w:r>
          </w:p>
        </w:tc>
        <w:tc>
          <w:tcPr>
            <w:tcW w:w="590" w:type="dxa"/>
          </w:tcPr>
          <w:p w14:paraId="484184E7" w14:textId="77777777" w:rsidR="008940B3" w:rsidRPr="003B5C8D" w:rsidRDefault="008940B3" w:rsidP="00E858EF">
            <w:pPr>
              <w:suppressAutoHyphens/>
              <w:rPr>
                <w:sz w:val="16"/>
                <w:szCs w:val="16"/>
              </w:rPr>
            </w:pPr>
            <w:r w:rsidRPr="003B5C8D">
              <w:rPr>
                <w:sz w:val="16"/>
                <w:szCs w:val="16"/>
              </w:rPr>
              <w:t>100%</w:t>
            </w:r>
          </w:p>
        </w:tc>
        <w:tc>
          <w:tcPr>
            <w:tcW w:w="1235" w:type="dxa"/>
            <w:gridSpan w:val="2"/>
          </w:tcPr>
          <w:p w14:paraId="149475E0" w14:textId="77777777" w:rsidR="008940B3" w:rsidRPr="003B5C8D" w:rsidRDefault="008940B3" w:rsidP="00E858EF">
            <w:pPr>
              <w:suppressAutoHyphens/>
              <w:rPr>
                <w:sz w:val="16"/>
                <w:szCs w:val="16"/>
              </w:rPr>
            </w:pPr>
          </w:p>
        </w:tc>
        <w:tc>
          <w:tcPr>
            <w:tcW w:w="1026" w:type="dxa"/>
            <w:gridSpan w:val="3"/>
          </w:tcPr>
          <w:p w14:paraId="1E7AD1B1" w14:textId="77777777" w:rsidR="008940B3" w:rsidRPr="003B5C8D" w:rsidRDefault="008940B3" w:rsidP="00E858EF">
            <w:pPr>
              <w:suppressAutoHyphens/>
              <w:rPr>
                <w:sz w:val="16"/>
                <w:szCs w:val="16"/>
              </w:rPr>
            </w:pPr>
          </w:p>
        </w:tc>
        <w:tc>
          <w:tcPr>
            <w:tcW w:w="1109" w:type="dxa"/>
            <w:gridSpan w:val="2"/>
          </w:tcPr>
          <w:p w14:paraId="68CB396E" w14:textId="77777777" w:rsidR="008940B3" w:rsidRPr="003B5C8D" w:rsidRDefault="008940B3" w:rsidP="00E858EF">
            <w:pPr>
              <w:suppressAutoHyphens/>
              <w:rPr>
                <w:sz w:val="16"/>
                <w:szCs w:val="16"/>
              </w:rPr>
            </w:pPr>
          </w:p>
        </w:tc>
        <w:tc>
          <w:tcPr>
            <w:tcW w:w="1109" w:type="dxa"/>
            <w:gridSpan w:val="2"/>
          </w:tcPr>
          <w:p w14:paraId="576731C3" w14:textId="77777777" w:rsidR="008940B3" w:rsidRPr="003B5C8D" w:rsidRDefault="008940B3" w:rsidP="00E858EF">
            <w:pPr>
              <w:suppressAutoHyphens/>
              <w:rPr>
                <w:sz w:val="16"/>
                <w:szCs w:val="16"/>
              </w:rPr>
            </w:pPr>
          </w:p>
        </w:tc>
      </w:tr>
      <w:tr w:rsidR="008940B3" w:rsidRPr="003B5C8D" w14:paraId="1A2C1B1D" w14:textId="77777777" w:rsidTr="008940B3">
        <w:trPr>
          <w:trHeight w:val="440"/>
        </w:trPr>
        <w:tc>
          <w:tcPr>
            <w:tcW w:w="1719" w:type="dxa"/>
          </w:tcPr>
          <w:p w14:paraId="17AF77FA" w14:textId="77777777" w:rsidR="008940B3" w:rsidRPr="003B5C8D" w:rsidRDefault="008940B3" w:rsidP="00E858EF">
            <w:pPr>
              <w:suppressAutoHyphens/>
              <w:rPr>
                <w:rFonts w:eastAsia="Times New Roman"/>
                <w:color w:val="000000"/>
                <w:sz w:val="16"/>
                <w:szCs w:val="16"/>
              </w:rPr>
            </w:pPr>
            <w:r w:rsidRPr="003B5C8D">
              <w:rPr>
                <w:rFonts w:eastAsia="Times New Roman"/>
                <w:color w:val="000000"/>
                <w:sz w:val="16"/>
                <w:szCs w:val="16"/>
              </w:rPr>
              <w:t>VASILIKIA ANOGEIA</w:t>
            </w:r>
          </w:p>
        </w:tc>
        <w:tc>
          <w:tcPr>
            <w:tcW w:w="615" w:type="dxa"/>
          </w:tcPr>
          <w:p w14:paraId="419A830B" w14:textId="77777777" w:rsidR="008940B3" w:rsidRPr="003B5C8D" w:rsidRDefault="008940B3" w:rsidP="00E858EF">
            <w:pPr>
              <w:suppressAutoHyphens/>
              <w:rPr>
                <w:sz w:val="16"/>
                <w:szCs w:val="16"/>
              </w:rPr>
            </w:pPr>
            <w:r w:rsidRPr="003B5C8D">
              <w:rPr>
                <w:sz w:val="16"/>
                <w:szCs w:val="16"/>
              </w:rPr>
              <w:t>1</w:t>
            </w:r>
          </w:p>
        </w:tc>
        <w:tc>
          <w:tcPr>
            <w:tcW w:w="616" w:type="dxa"/>
          </w:tcPr>
          <w:p w14:paraId="5FA212F0" w14:textId="77777777" w:rsidR="008940B3" w:rsidRPr="003B5C8D" w:rsidRDefault="008940B3" w:rsidP="00E858EF">
            <w:pPr>
              <w:suppressAutoHyphens/>
              <w:rPr>
                <w:sz w:val="16"/>
                <w:szCs w:val="16"/>
              </w:rPr>
            </w:pPr>
            <w:r w:rsidRPr="003B5C8D">
              <w:rPr>
                <w:sz w:val="16"/>
                <w:szCs w:val="16"/>
              </w:rPr>
              <w:t>100%</w:t>
            </w:r>
          </w:p>
        </w:tc>
        <w:tc>
          <w:tcPr>
            <w:tcW w:w="1164" w:type="dxa"/>
            <w:gridSpan w:val="2"/>
          </w:tcPr>
          <w:p w14:paraId="67BD6823" w14:textId="77777777" w:rsidR="008940B3" w:rsidRPr="003B5C8D" w:rsidRDefault="008940B3" w:rsidP="00E858EF">
            <w:pPr>
              <w:suppressAutoHyphens/>
              <w:rPr>
                <w:sz w:val="16"/>
                <w:szCs w:val="16"/>
              </w:rPr>
            </w:pPr>
          </w:p>
        </w:tc>
        <w:tc>
          <w:tcPr>
            <w:tcW w:w="1235" w:type="dxa"/>
            <w:gridSpan w:val="2"/>
          </w:tcPr>
          <w:p w14:paraId="6850F695" w14:textId="77777777" w:rsidR="008940B3" w:rsidRPr="003B5C8D" w:rsidRDefault="008940B3" w:rsidP="00E858EF">
            <w:pPr>
              <w:suppressAutoHyphens/>
              <w:rPr>
                <w:sz w:val="16"/>
                <w:szCs w:val="16"/>
              </w:rPr>
            </w:pPr>
          </w:p>
        </w:tc>
        <w:tc>
          <w:tcPr>
            <w:tcW w:w="1026" w:type="dxa"/>
            <w:gridSpan w:val="3"/>
          </w:tcPr>
          <w:p w14:paraId="0510933D" w14:textId="77777777" w:rsidR="008940B3" w:rsidRPr="003B5C8D" w:rsidRDefault="008940B3" w:rsidP="00E858EF">
            <w:pPr>
              <w:suppressAutoHyphens/>
              <w:rPr>
                <w:sz w:val="16"/>
                <w:szCs w:val="16"/>
              </w:rPr>
            </w:pPr>
          </w:p>
        </w:tc>
        <w:tc>
          <w:tcPr>
            <w:tcW w:w="1109" w:type="dxa"/>
            <w:gridSpan w:val="2"/>
          </w:tcPr>
          <w:p w14:paraId="67ED4E38" w14:textId="77777777" w:rsidR="008940B3" w:rsidRPr="003B5C8D" w:rsidRDefault="008940B3" w:rsidP="00E858EF">
            <w:pPr>
              <w:suppressAutoHyphens/>
              <w:rPr>
                <w:sz w:val="16"/>
                <w:szCs w:val="16"/>
              </w:rPr>
            </w:pPr>
          </w:p>
        </w:tc>
        <w:tc>
          <w:tcPr>
            <w:tcW w:w="1109" w:type="dxa"/>
            <w:gridSpan w:val="2"/>
          </w:tcPr>
          <w:p w14:paraId="15DEA9FD" w14:textId="77777777" w:rsidR="008940B3" w:rsidRPr="003B5C8D" w:rsidRDefault="008940B3" w:rsidP="00E858EF">
            <w:pPr>
              <w:suppressAutoHyphens/>
              <w:rPr>
                <w:sz w:val="16"/>
                <w:szCs w:val="16"/>
              </w:rPr>
            </w:pPr>
          </w:p>
        </w:tc>
      </w:tr>
    </w:tbl>
    <w:p w14:paraId="2918F6F6"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3DC70386" w14:textId="77777777" w:rsidR="008940B3" w:rsidRPr="003B5C8D" w:rsidRDefault="008940B3" w:rsidP="00F7661C">
      <w:r>
        <w:t>A f</w:t>
      </w:r>
      <w:r w:rsidRPr="003B5C8D">
        <w:t xml:space="preserve">ew further remarks can be added </w:t>
      </w:r>
      <w:r>
        <w:t>regarding tomb typ</w:t>
      </w:r>
      <w:r w:rsidRPr="003B5C8D">
        <w:t>es. Both the burial building where the Agia Triada sarcophagus was found</w:t>
      </w:r>
      <w:r>
        <w:t>,</w:t>
      </w:r>
      <w:r w:rsidRPr="003B5C8D">
        <w:t xml:space="preserve"> as well as the </w:t>
      </w:r>
      <w:r>
        <w:t>‘</w:t>
      </w:r>
      <w:r w:rsidRPr="003B5C8D">
        <w:t>tower like structure</w:t>
      </w:r>
      <w:r>
        <w:t>’</w:t>
      </w:r>
      <w:r w:rsidRPr="003B5C8D">
        <w:t xml:space="preserve"> at Kousses (Kanta 1980: 94-95) </w:t>
      </w:r>
      <w:r>
        <w:t>have</w:t>
      </w:r>
      <w:r w:rsidRPr="003B5C8D">
        <w:t xml:space="preserve"> been classified as built tombs (Kanta 1980: 94-95,</w:t>
      </w:r>
      <w:r>
        <w:t xml:space="preserve"> </w:t>
      </w:r>
      <w:r w:rsidRPr="003B5C8D">
        <w:t>104; Preston 2000</w:t>
      </w:r>
      <w:r>
        <w:t>:</w:t>
      </w:r>
      <w:r w:rsidRPr="003B5C8D">
        <w:t xml:space="preserve"> </w:t>
      </w:r>
      <w:r>
        <w:t>a</w:t>
      </w:r>
      <w:r w:rsidRPr="003B5C8D">
        <w:t>ppendi</w:t>
      </w:r>
      <w:r>
        <w:t>ces</w:t>
      </w:r>
      <w:r w:rsidRPr="003B5C8D">
        <w:t xml:space="preserve"> I</w:t>
      </w:r>
      <w:r>
        <w:t>,</w:t>
      </w:r>
      <w:r w:rsidRPr="003B5C8D">
        <w:t xml:space="preserve"> C). Furthermore, the tombs of the cemetery </w:t>
      </w:r>
      <w:r>
        <w:t>at</w:t>
      </w:r>
      <w:r w:rsidRPr="003B5C8D">
        <w:t xml:space="preserve"> Liliana </w:t>
      </w:r>
      <w:r>
        <w:t>are</w:t>
      </w:r>
      <w:r w:rsidRPr="003B5C8D">
        <w:t xml:space="preserve"> divided in</w:t>
      </w:r>
      <w:r>
        <w:t>to</w:t>
      </w:r>
      <w:r w:rsidRPr="003B5C8D">
        <w:t xml:space="preserve"> two groups, the first formed by four chamber tombs and the second by four pit/trenches </w:t>
      </w:r>
      <w:r>
        <w:t>with</w:t>
      </w:r>
      <w:r w:rsidRPr="003B5C8D">
        <w:t xml:space="preserve"> almost trapezoidal shapes (Savignoni 1904: 628-662). Corbel</w:t>
      </w:r>
      <w:r>
        <w:t>-</w:t>
      </w:r>
      <w:r w:rsidRPr="003B5C8D">
        <w:t xml:space="preserve">vaulted tombs </w:t>
      </w:r>
      <w:r>
        <w:t>were</w:t>
      </w:r>
      <w:r w:rsidRPr="003B5C8D">
        <w:t xml:space="preserve"> adopted exclusively in the cemetery located around the village of Apodoulou at the northwest edge of the region. </w:t>
      </w:r>
    </w:p>
    <w:p w14:paraId="16DF0273" w14:textId="77777777" w:rsidR="008940B3" w:rsidRPr="003E0533" w:rsidRDefault="008940B3" w:rsidP="00E858EF">
      <w:pPr>
        <w:pStyle w:val="Titolo4"/>
        <w:keepNext w:val="0"/>
        <w:keepLines w:val="0"/>
        <w:suppressAutoHyphens/>
        <w:ind w:left="864" w:hanging="864"/>
        <w:contextualSpacing w:val="0"/>
      </w:pPr>
      <w:bookmarkStart w:id="185" w:name="_Toc389131151"/>
      <w:bookmarkStart w:id="186" w:name="_Toc517876476"/>
      <w:r w:rsidRPr="003E0533">
        <w:t>Tomb dimension</w:t>
      </w:r>
      <w:r>
        <w:t>s</w:t>
      </w:r>
      <w:r w:rsidRPr="003E0533">
        <w:t xml:space="preserve"> and architectural features: How </w:t>
      </w:r>
      <w:r>
        <w:t>large</w:t>
      </w:r>
      <w:r w:rsidRPr="003E0533">
        <w:t xml:space="preserve"> and monumental are the tomb</w:t>
      </w:r>
      <w:r>
        <w:t>s</w:t>
      </w:r>
      <w:r w:rsidRPr="003E0533">
        <w:t xml:space="preserve"> associated with larnakes?</w:t>
      </w:r>
      <w:bookmarkEnd w:id="185"/>
      <w:bookmarkEnd w:id="186"/>
    </w:p>
    <w:p w14:paraId="046DB64B" w14:textId="77777777" w:rsidR="008940B3" w:rsidRDefault="008940B3" w:rsidP="00F7661C">
      <w:r w:rsidRPr="003B5C8D">
        <w:t>For the Mesara region</w:t>
      </w:r>
      <w:r>
        <w:t>,</w:t>
      </w:r>
      <w:r w:rsidRPr="003B5C8D">
        <w:t xml:space="preserve"> the information available </w:t>
      </w:r>
      <w:r>
        <w:t>regarding</w:t>
      </w:r>
      <w:r w:rsidRPr="003B5C8D">
        <w:t xml:space="preserve"> tomb characteristics come</w:t>
      </w:r>
      <w:r>
        <w:t>s</w:t>
      </w:r>
      <w:r w:rsidRPr="003B5C8D">
        <w:t xml:space="preserve"> from different samples due to </w:t>
      </w:r>
      <w:r>
        <w:t xml:space="preserve">limited </w:t>
      </w:r>
      <w:r w:rsidRPr="003B5C8D">
        <w:t>information records</w:t>
      </w:r>
      <w:r>
        <w:t>.</w:t>
      </w:r>
    </w:p>
    <w:p w14:paraId="7FF71DC7"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1F8F687A" w14:textId="77777777" w:rsidR="00AF6C86" w:rsidRDefault="00AF6C86"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5BA7C717" w14:textId="77777777" w:rsidR="00AF6C86" w:rsidRDefault="00AF6C86"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63E66E2" w14:textId="0A531572" w:rsidR="008940B3" w:rsidRPr="003B5C8D" w:rsidRDefault="008940B3" w:rsidP="00E858EF">
      <w:pPr>
        <w:pStyle w:val="Testofumetto"/>
        <w:suppressAutoHyphens/>
      </w:pPr>
      <w:bookmarkStart w:id="187" w:name="_Toc520212509"/>
      <w:r>
        <w:t>Table 3-20. Tomb dimension</w:t>
      </w:r>
      <w:r w:rsidR="00FB677B">
        <w:t>s,</w:t>
      </w:r>
      <w:r>
        <w:t xml:space="preserve"> Mesara area</w:t>
      </w:r>
      <w:bookmarkEnd w:id="187"/>
    </w:p>
    <w:tbl>
      <w:tblPr>
        <w:tblW w:w="0" w:type="auto"/>
        <w:tblCellMar>
          <w:left w:w="0" w:type="dxa"/>
          <w:right w:w="0" w:type="dxa"/>
        </w:tblCellMar>
        <w:tblLook w:val="04A0" w:firstRow="1" w:lastRow="0" w:firstColumn="1" w:lastColumn="0" w:noHBand="0" w:noVBand="1"/>
      </w:tblPr>
      <w:tblGrid>
        <w:gridCol w:w="2343"/>
        <w:gridCol w:w="1330"/>
        <w:gridCol w:w="1275"/>
        <w:gridCol w:w="1275"/>
      </w:tblGrid>
      <w:tr w:rsidR="008940B3" w:rsidRPr="00F7661C" w14:paraId="22F27EBB" w14:textId="77777777" w:rsidTr="00F7661C">
        <w:trPr>
          <w:trHeight w:val="40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2FDD539" w14:textId="77777777" w:rsidR="008940B3" w:rsidRPr="00F7661C" w:rsidRDefault="008940B3" w:rsidP="00E858EF">
            <w:pPr>
              <w:suppressAutoHyphens/>
              <w:jc w:val="center"/>
              <w:rPr>
                <w:sz w:val="20"/>
                <w:szCs w:val="16"/>
              </w:rPr>
            </w:pPr>
          </w:p>
        </w:tc>
        <w:tc>
          <w:tcPr>
            <w:tcW w:w="133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EE9E5D7" w14:textId="77777777" w:rsidR="008940B3" w:rsidRPr="00F7661C" w:rsidRDefault="008940B3" w:rsidP="00E858EF">
            <w:pPr>
              <w:suppressAutoHyphens/>
              <w:jc w:val="center"/>
              <w:rPr>
                <w:sz w:val="20"/>
                <w:szCs w:val="16"/>
              </w:rPr>
            </w:pPr>
            <w:r w:rsidRPr="00F7661C">
              <w:rPr>
                <w:sz w:val="20"/>
                <w:szCs w:val="16"/>
              </w:rPr>
              <w:t>Mean</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2E2345CB" w14:textId="77777777" w:rsidR="008940B3" w:rsidRPr="00F7661C" w:rsidRDefault="008940B3" w:rsidP="00E858EF">
            <w:pPr>
              <w:suppressAutoHyphens/>
              <w:jc w:val="center"/>
              <w:rPr>
                <w:sz w:val="20"/>
                <w:szCs w:val="16"/>
              </w:rPr>
            </w:pPr>
            <w:r w:rsidRPr="00F7661C">
              <w:rPr>
                <w:sz w:val="20"/>
                <w:szCs w:val="16"/>
              </w:rPr>
              <w:t>Min.</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A394AAD" w14:textId="77777777" w:rsidR="008940B3" w:rsidRPr="00F7661C" w:rsidRDefault="008940B3" w:rsidP="00E858EF">
            <w:pPr>
              <w:suppressAutoHyphens/>
              <w:jc w:val="center"/>
              <w:rPr>
                <w:sz w:val="20"/>
                <w:szCs w:val="16"/>
              </w:rPr>
            </w:pPr>
            <w:r w:rsidRPr="00F7661C">
              <w:rPr>
                <w:sz w:val="20"/>
                <w:szCs w:val="16"/>
              </w:rPr>
              <w:t>Max.</w:t>
            </w:r>
          </w:p>
        </w:tc>
      </w:tr>
      <w:tr w:rsidR="008940B3" w:rsidRPr="00F7661C" w14:paraId="63D10455" w14:textId="77777777" w:rsidTr="00F7661C">
        <w:trPr>
          <w:trHeight w:val="315"/>
        </w:trPr>
        <w:tc>
          <w:tcPr>
            <w:tcW w:w="2343"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4BF48208" w14:textId="77777777" w:rsidR="008940B3" w:rsidRPr="00F7661C" w:rsidRDefault="008940B3" w:rsidP="00F7661C">
            <w:pPr>
              <w:suppressAutoHyphens/>
              <w:jc w:val="left"/>
              <w:rPr>
                <w:sz w:val="20"/>
                <w:szCs w:val="16"/>
              </w:rPr>
            </w:pPr>
            <w:r w:rsidRPr="00F7661C">
              <w:rPr>
                <w:color w:val="000000"/>
                <w:sz w:val="20"/>
                <w:szCs w:val="16"/>
              </w:rPr>
              <w:t>Chamber area in sq.m.</w:t>
            </w:r>
          </w:p>
        </w:tc>
        <w:tc>
          <w:tcPr>
            <w:tcW w:w="133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7E2D4C49" w14:textId="77777777" w:rsidR="008940B3" w:rsidRPr="00F7661C" w:rsidRDefault="008940B3" w:rsidP="00E858EF">
            <w:pPr>
              <w:suppressAutoHyphens/>
              <w:jc w:val="center"/>
              <w:rPr>
                <w:sz w:val="20"/>
                <w:szCs w:val="16"/>
              </w:rPr>
            </w:pPr>
            <w:r w:rsidRPr="00F7661C">
              <w:rPr>
                <w:sz w:val="20"/>
                <w:szCs w:val="16"/>
              </w:rPr>
              <w:t>6</w:t>
            </w:r>
          </w:p>
        </w:tc>
        <w:tc>
          <w:tcPr>
            <w:tcW w:w="127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2AD4957D" w14:textId="77777777" w:rsidR="008940B3" w:rsidRPr="00F7661C" w:rsidRDefault="008940B3" w:rsidP="00E858EF">
            <w:pPr>
              <w:suppressAutoHyphens/>
              <w:jc w:val="center"/>
              <w:rPr>
                <w:sz w:val="20"/>
                <w:szCs w:val="16"/>
              </w:rPr>
            </w:pPr>
            <w:r w:rsidRPr="00F7661C">
              <w:rPr>
                <w:sz w:val="20"/>
                <w:szCs w:val="16"/>
              </w:rPr>
              <w:t>1.4</w:t>
            </w:r>
          </w:p>
        </w:tc>
        <w:tc>
          <w:tcPr>
            <w:tcW w:w="127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3877B7C0" w14:textId="77777777" w:rsidR="008940B3" w:rsidRPr="00F7661C" w:rsidRDefault="008940B3" w:rsidP="00E858EF">
            <w:pPr>
              <w:suppressAutoHyphens/>
              <w:jc w:val="center"/>
              <w:rPr>
                <w:sz w:val="20"/>
                <w:szCs w:val="16"/>
              </w:rPr>
            </w:pPr>
            <w:r w:rsidRPr="00F7661C">
              <w:rPr>
                <w:sz w:val="20"/>
                <w:szCs w:val="16"/>
              </w:rPr>
              <w:t>17</w:t>
            </w:r>
          </w:p>
        </w:tc>
      </w:tr>
      <w:tr w:rsidR="008940B3" w:rsidRPr="00F7661C" w14:paraId="187FCD03" w14:textId="77777777" w:rsidTr="00F7661C">
        <w:trPr>
          <w:trHeight w:val="31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F9C0EE7" w14:textId="2036DAB9" w:rsidR="008940B3" w:rsidRPr="00F7661C" w:rsidRDefault="008940B3" w:rsidP="00F7661C">
            <w:pPr>
              <w:suppressAutoHyphens/>
              <w:jc w:val="left"/>
              <w:rPr>
                <w:sz w:val="20"/>
                <w:szCs w:val="16"/>
              </w:rPr>
            </w:pPr>
            <w:r w:rsidRPr="00F7661C">
              <w:rPr>
                <w:sz w:val="20"/>
                <w:szCs w:val="16"/>
              </w:rPr>
              <w:t>Dromos length</w:t>
            </w:r>
            <w:r w:rsidR="00F7661C">
              <w:rPr>
                <w:sz w:val="20"/>
                <w:szCs w:val="16"/>
              </w:rPr>
              <w:t xml:space="preserve"> </w:t>
            </w:r>
            <w:r w:rsidRPr="00F7661C">
              <w:rPr>
                <w:sz w:val="20"/>
                <w:szCs w:val="16"/>
              </w:rPr>
              <w:t>in m</w:t>
            </w:r>
          </w:p>
        </w:tc>
        <w:tc>
          <w:tcPr>
            <w:tcW w:w="133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0F4AC54" w14:textId="77777777" w:rsidR="008940B3" w:rsidRPr="00F7661C" w:rsidRDefault="008940B3" w:rsidP="00E858EF">
            <w:pPr>
              <w:suppressAutoHyphens/>
              <w:jc w:val="center"/>
              <w:rPr>
                <w:sz w:val="20"/>
                <w:szCs w:val="16"/>
              </w:rPr>
            </w:pPr>
            <w:r w:rsidRPr="00F7661C">
              <w:rPr>
                <w:sz w:val="20"/>
                <w:szCs w:val="16"/>
              </w:rPr>
              <w:t>3</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583E875" w14:textId="77777777" w:rsidR="008940B3" w:rsidRPr="00F7661C" w:rsidRDefault="008940B3" w:rsidP="00E858EF">
            <w:pPr>
              <w:suppressAutoHyphens/>
              <w:jc w:val="center"/>
              <w:rPr>
                <w:sz w:val="20"/>
                <w:szCs w:val="16"/>
              </w:rPr>
            </w:pPr>
            <w:r w:rsidRPr="00F7661C">
              <w:rPr>
                <w:sz w:val="20"/>
                <w:szCs w:val="16"/>
              </w:rPr>
              <w:t>1.2</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4079B775" w14:textId="77777777" w:rsidR="008940B3" w:rsidRPr="00F7661C" w:rsidRDefault="008940B3" w:rsidP="00E858EF">
            <w:pPr>
              <w:suppressAutoHyphens/>
              <w:jc w:val="center"/>
              <w:rPr>
                <w:sz w:val="20"/>
                <w:szCs w:val="16"/>
              </w:rPr>
            </w:pPr>
            <w:r w:rsidRPr="00F7661C">
              <w:rPr>
                <w:color w:val="000000"/>
                <w:sz w:val="20"/>
                <w:szCs w:val="16"/>
              </w:rPr>
              <w:t>7.5</w:t>
            </w:r>
          </w:p>
        </w:tc>
      </w:tr>
    </w:tbl>
    <w:p w14:paraId="4ED1C5EB" w14:textId="77777777" w:rsidR="00174F80" w:rsidRDefault="00174F80"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79E8A6D5" w14:textId="51F2130D" w:rsidR="008940B3" w:rsidRDefault="008940B3" w:rsidP="00F7661C">
      <w:r>
        <w:t>Based on</w:t>
      </w:r>
      <w:r w:rsidRPr="003B5C8D">
        <w:t xml:space="preserve"> the results of </w:t>
      </w:r>
      <w:r>
        <w:t xml:space="preserve">the </w:t>
      </w:r>
      <w:r w:rsidRPr="003B5C8D">
        <w:t xml:space="preserve">chamber dimension analysis, three different groups have been identified. </w:t>
      </w:r>
      <w:r>
        <w:t>As yet,</w:t>
      </w:r>
      <w:r w:rsidRPr="003B5C8D">
        <w:t xml:space="preserve"> </w:t>
      </w:r>
      <w:r>
        <w:t>no</w:t>
      </w:r>
      <w:r w:rsidRPr="003B5C8D">
        <w:t xml:space="preserve"> tomb</w:t>
      </w:r>
      <w:r>
        <w:t>s</w:t>
      </w:r>
      <w:r w:rsidRPr="003B5C8D">
        <w:t xml:space="preserve"> that can be considered </w:t>
      </w:r>
      <w:r>
        <w:t>extra-large have been found</w:t>
      </w:r>
      <w:r w:rsidRPr="003B5C8D">
        <w:t>.</w:t>
      </w:r>
    </w:p>
    <w:p w14:paraId="6D5522CD"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514C5993" w14:textId="77777777" w:rsidR="00715077" w:rsidRDefault="00715077" w:rsidP="00E858EF">
      <w:pPr>
        <w:pStyle w:val="Testofumetto"/>
        <w:suppressAutoHyphens/>
      </w:pPr>
      <w:bookmarkStart w:id="188" w:name="_Toc520212510"/>
    </w:p>
    <w:p w14:paraId="76250230" w14:textId="2271EF10" w:rsidR="008940B3" w:rsidRPr="003B5C8D" w:rsidRDefault="008940B3" w:rsidP="00E858EF">
      <w:pPr>
        <w:pStyle w:val="Testofumetto"/>
        <w:suppressAutoHyphens/>
      </w:pPr>
      <w:r>
        <w:t>Table 3-21. Tomb size groups</w:t>
      </w:r>
      <w:r w:rsidR="00FB677B">
        <w:t>,</w:t>
      </w:r>
      <w:r>
        <w:t xml:space="preserve"> Mesara area.</w:t>
      </w:r>
      <w:bookmarkEnd w:id="188"/>
    </w:p>
    <w:tbl>
      <w:tblPr>
        <w:tblW w:w="0" w:type="auto"/>
        <w:tblCellMar>
          <w:left w:w="0" w:type="dxa"/>
          <w:right w:w="0" w:type="dxa"/>
        </w:tblCellMar>
        <w:tblLook w:val="04A0" w:firstRow="1" w:lastRow="0" w:firstColumn="1" w:lastColumn="0" w:noHBand="0" w:noVBand="1"/>
      </w:tblPr>
      <w:tblGrid>
        <w:gridCol w:w="2343"/>
        <w:gridCol w:w="1276"/>
        <w:gridCol w:w="1417"/>
        <w:gridCol w:w="1418"/>
        <w:gridCol w:w="1559"/>
      </w:tblGrid>
      <w:tr w:rsidR="008940B3" w:rsidRPr="00F7661C" w14:paraId="7123DBBB" w14:textId="77777777" w:rsidTr="00F7661C">
        <w:trPr>
          <w:trHeight w:val="40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4D1E50D" w14:textId="77777777" w:rsidR="008940B3" w:rsidRPr="00F7661C" w:rsidRDefault="008940B3" w:rsidP="00E858EF">
            <w:pPr>
              <w:suppressAutoHyphens/>
              <w:jc w:val="center"/>
              <w:rPr>
                <w:sz w:val="20"/>
                <w:szCs w:val="16"/>
              </w:rPr>
            </w:pP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34CCFB6" w14:textId="77777777" w:rsidR="008940B3" w:rsidRPr="00F7661C" w:rsidRDefault="008940B3" w:rsidP="00E858EF">
            <w:pPr>
              <w:suppressAutoHyphens/>
              <w:jc w:val="center"/>
              <w:rPr>
                <w:sz w:val="20"/>
                <w:szCs w:val="16"/>
              </w:rPr>
            </w:pPr>
            <w:r w:rsidRPr="00F7661C">
              <w:rPr>
                <w:sz w:val="20"/>
                <w:szCs w:val="16"/>
              </w:rPr>
              <w:t>Small</w:t>
            </w:r>
          </w:p>
        </w:tc>
        <w:tc>
          <w:tcPr>
            <w:tcW w:w="141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4C91E22" w14:textId="77777777" w:rsidR="008940B3" w:rsidRPr="00F7661C" w:rsidRDefault="008940B3" w:rsidP="00E858EF">
            <w:pPr>
              <w:suppressAutoHyphens/>
              <w:jc w:val="center"/>
              <w:rPr>
                <w:sz w:val="20"/>
                <w:szCs w:val="16"/>
              </w:rPr>
            </w:pPr>
            <w:r w:rsidRPr="00F7661C">
              <w:rPr>
                <w:sz w:val="20"/>
                <w:szCs w:val="16"/>
              </w:rPr>
              <w:t>Medium</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2295CDDB" w14:textId="77777777" w:rsidR="008940B3" w:rsidRPr="00F7661C" w:rsidRDefault="008940B3" w:rsidP="00E858EF">
            <w:pPr>
              <w:suppressAutoHyphens/>
              <w:jc w:val="center"/>
              <w:rPr>
                <w:sz w:val="20"/>
                <w:szCs w:val="16"/>
              </w:rPr>
            </w:pPr>
            <w:r w:rsidRPr="00F7661C">
              <w:rPr>
                <w:sz w:val="20"/>
                <w:szCs w:val="16"/>
              </w:rPr>
              <w:t>Large</w:t>
            </w:r>
          </w:p>
        </w:tc>
        <w:tc>
          <w:tcPr>
            <w:tcW w:w="1559" w:type="dxa"/>
            <w:tcBorders>
              <w:top w:val="single" w:sz="6" w:space="0" w:color="000000"/>
              <w:left w:val="single" w:sz="6" w:space="0" w:color="000000"/>
              <w:bottom w:val="single" w:sz="6" w:space="0" w:color="000000"/>
              <w:right w:val="single" w:sz="6" w:space="0" w:color="000000"/>
            </w:tcBorders>
          </w:tcPr>
          <w:p w14:paraId="68070A52" w14:textId="77777777" w:rsidR="008940B3" w:rsidRPr="00F7661C" w:rsidRDefault="008940B3" w:rsidP="00E858EF">
            <w:pPr>
              <w:suppressAutoHyphens/>
              <w:jc w:val="center"/>
              <w:rPr>
                <w:sz w:val="20"/>
                <w:szCs w:val="16"/>
              </w:rPr>
            </w:pPr>
            <w:r w:rsidRPr="00F7661C">
              <w:rPr>
                <w:sz w:val="20"/>
                <w:szCs w:val="16"/>
              </w:rPr>
              <w:t>Extra-Large</w:t>
            </w:r>
          </w:p>
        </w:tc>
      </w:tr>
      <w:tr w:rsidR="008940B3" w:rsidRPr="00F7661C" w14:paraId="1D1369E8" w14:textId="77777777" w:rsidTr="00F7661C">
        <w:trPr>
          <w:trHeight w:val="315"/>
        </w:trPr>
        <w:tc>
          <w:tcPr>
            <w:tcW w:w="2343"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07B17D03" w14:textId="77777777" w:rsidR="008940B3" w:rsidRPr="00F7661C" w:rsidRDefault="008940B3" w:rsidP="00F7661C">
            <w:pPr>
              <w:suppressAutoHyphens/>
              <w:jc w:val="left"/>
              <w:rPr>
                <w:sz w:val="20"/>
                <w:szCs w:val="16"/>
              </w:rPr>
            </w:pPr>
            <w:r w:rsidRPr="00F7661C">
              <w:rPr>
                <w:color w:val="000000"/>
                <w:sz w:val="20"/>
                <w:szCs w:val="16"/>
              </w:rPr>
              <w:t>Chamber area in sq.m.</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3F159B1B" w14:textId="77777777" w:rsidR="008940B3" w:rsidRPr="00F7661C" w:rsidRDefault="008940B3" w:rsidP="00E858EF">
            <w:pPr>
              <w:suppressAutoHyphens/>
              <w:jc w:val="center"/>
              <w:rPr>
                <w:sz w:val="20"/>
                <w:szCs w:val="16"/>
              </w:rPr>
            </w:pPr>
            <w:r w:rsidRPr="00F7661C">
              <w:rPr>
                <w:sz w:val="20"/>
                <w:szCs w:val="16"/>
              </w:rPr>
              <w:t>0-6</w:t>
            </w:r>
          </w:p>
        </w:tc>
        <w:tc>
          <w:tcPr>
            <w:tcW w:w="1417"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3AEC2B6F" w14:textId="77777777" w:rsidR="008940B3" w:rsidRPr="00F7661C" w:rsidRDefault="008940B3" w:rsidP="00E858EF">
            <w:pPr>
              <w:suppressAutoHyphens/>
              <w:jc w:val="center"/>
              <w:rPr>
                <w:sz w:val="20"/>
                <w:szCs w:val="16"/>
              </w:rPr>
            </w:pPr>
            <w:r w:rsidRPr="00F7661C">
              <w:rPr>
                <w:sz w:val="20"/>
                <w:szCs w:val="16"/>
              </w:rPr>
              <w:t>7-12</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114B05E3" w14:textId="77777777" w:rsidR="008940B3" w:rsidRPr="00F7661C" w:rsidRDefault="008940B3" w:rsidP="00E858EF">
            <w:pPr>
              <w:suppressAutoHyphens/>
              <w:jc w:val="center"/>
              <w:rPr>
                <w:sz w:val="20"/>
                <w:szCs w:val="16"/>
              </w:rPr>
            </w:pPr>
            <w:r w:rsidRPr="00F7661C">
              <w:rPr>
                <w:color w:val="000000"/>
                <w:sz w:val="20"/>
                <w:szCs w:val="16"/>
              </w:rPr>
              <w:t>13-18</w:t>
            </w:r>
          </w:p>
        </w:tc>
        <w:tc>
          <w:tcPr>
            <w:tcW w:w="1559" w:type="dxa"/>
            <w:tcBorders>
              <w:top w:val="single" w:sz="6" w:space="0" w:color="000000"/>
              <w:left w:val="single" w:sz="6" w:space="0" w:color="000000"/>
              <w:bottom w:val="single" w:sz="6" w:space="0" w:color="000000"/>
              <w:right w:val="single" w:sz="6" w:space="0" w:color="000000"/>
            </w:tcBorders>
            <w:shd w:val="clear" w:color="auto" w:fill="EFEFEF"/>
          </w:tcPr>
          <w:p w14:paraId="062D90A9" w14:textId="77777777" w:rsidR="008940B3" w:rsidRPr="00F7661C" w:rsidRDefault="008940B3" w:rsidP="00E858EF">
            <w:pPr>
              <w:suppressAutoHyphens/>
              <w:jc w:val="center"/>
              <w:rPr>
                <w:color w:val="000000"/>
                <w:sz w:val="20"/>
                <w:szCs w:val="16"/>
              </w:rPr>
            </w:pPr>
            <w:r w:rsidRPr="00F7661C">
              <w:rPr>
                <w:color w:val="000000"/>
                <w:sz w:val="20"/>
                <w:szCs w:val="16"/>
              </w:rPr>
              <w:t>19-24</w:t>
            </w:r>
          </w:p>
        </w:tc>
      </w:tr>
      <w:tr w:rsidR="008940B3" w:rsidRPr="00F7661C" w14:paraId="2DBD5B42" w14:textId="77777777" w:rsidTr="00F7661C">
        <w:trPr>
          <w:trHeight w:val="31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CD299D7" w14:textId="77777777" w:rsidR="008940B3" w:rsidRPr="00F7661C" w:rsidRDefault="008940B3" w:rsidP="00F7661C">
            <w:pPr>
              <w:suppressAutoHyphens/>
              <w:jc w:val="left"/>
              <w:rPr>
                <w:sz w:val="20"/>
                <w:szCs w:val="16"/>
              </w:rPr>
            </w:pPr>
            <w:r w:rsidRPr="00F7661C">
              <w:rPr>
                <w:sz w:val="20"/>
                <w:szCs w:val="16"/>
              </w:rPr>
              <w:t>Number of tombs within each group</w:t>
            </w: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6647532" w14:textId="77777777" w:rsidR="008940B3" w:rsidRPr="00F7661C" w:rsidRDefault="008940B3" w:rsidP="00E858EF">
            <w:pPr>
              <w:suppressAutoHyphens/>
              <w:jc w:val="center"/>
              <w:rPr>
                <w:sz w:val="20"/>
                <w:szCs w:val="16"/>
              </w:rPr>
            </w:pPr>
            <w:r w:rsidRPr="00F7661C">
              <w:rPr>
                <w:sz w:val="20"/>
                <w:szCs w:val="16"/>
              </w:rPr>
              <w:t>10</w:t>
            </w:r>
          </w:p>
        </w:tc>
        <w:tc>
          <w:tcPr>
            <w:tcW w:w="141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6F0B975" w14:textId="77777777" w:rsidR="008940B3" w:rsidRPr="00F7661C" w:rsidRDefault="008940B3" w:rsidP="00E858EF">
            <w:pPr>
              <w:suppressAutoHyphens/>
              <w:jc w:val="center"/>
              <w:rPr>
                <w:sz w:val="20"/>
                <w:szCs w:val="16"/>
              </w:rPr>
            </w:pPr>
            <w:r w:rsidRPr="00F7661C">
              <w:rPr>
                <w:sz w:val="20"/>
                <w:szCs w:val="16"/>
              </w:rPr>
              <w:t>3</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C07A37B" w14:textId="77777777" w:rsidR="008940B3" w:rsidRPr="00F7661C" w:rsidRDefault="008940B3" w:rsidP="00E858EF">
            <w:pPr>
              <w:suppressAutoHyphens/>
              <w:jc w:val="center"/>
              <w:rPr>
                <w:sz w:val="20"/>
                <w:szCs w:val="16"/>
              </w:rPr>
            </w:pPr>
            <w:r w:rsidRPr="00F7661C">
              <w:rPr>
                <w:color w:val="000000"/>
                <w:sz w:val="20"/>
                <w:szCs w:val="16"/>
              </w:rPr>
              <w:t>2</w:t>
            </w:r>
          </w:p>
        </w:tc>
        <w:tc>
          <w:tcPr>
            <w:tcW w:w="1559" w:type="dxa"/>
            <w:tcBorders>
              <w:top w:val="single" w:sz="6" w:space="0" w:color="000000"/>
              <w:left w:val="single" w:sz="6" w:space="0" w:color="000000"/>
              <w:bottom w:val="single" w:sz="6" w:space="0" w:color="000000"/>
              <w:right w:val="single" w:sz="6" w:space="0" w:color="000000"/>
            </w:tcBorders>
          </w:tcPr>
          <w:p w14:paraId="7C1787B0" w14:textId="77777777" w:rsidR="008940B3" w:rsidRPr="00F7661C" w:rsidRDefault="008940B3" w:rsidP="00E858EF">
            <w:pPr>
              <w:suppressAutoHyphens/>
              <w:jc w:val="center"/>
              <w:rPr>
                <w:color w:val="000000"/>
                <w:sz w:val="20"/>
                <w:szCs w:val="16"/>
              </w:rPr>
            </w:pPr>
            <w:r w:rsidRPr="00F7661C">
              <w:rPr>
                <w:color w:val="000000"/>
                <w:sz w:val="20"/>
                <w:szCs w:val="16"/>
              </w:rPr>
              <w:t>0</w:t>
            </w:r>
          </w:p>
        </w:tc>
      </w:tr>
    </w:tbl>
    <w:p w14:paraId="5462B13E"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highlight w:val="green"/>
        </w:rPr>
      </w:pPr>
    </w:p>
    <w:p w14:paraId="69366F30" w14:textId="77777777" w:rsidR="008940B3" w:rsidRDefault="008940B3" w:rsidP="00F7661C">
      <w:r w:rsidRPr="003B5C8D">
        <w:t xml:space="preserve">From the data </w:t>
      </w:r>
      <w:r>
        <w:t xml:space="preserve">for </w:t>
      </w:r>
      <w:r w:rsidRPr="003B5C8D">
        <w:t xml:space="preserve">tombs for </w:t>
      </w:r>
      <w:r>
        <w:t>which both chamber and dromos dimensions have been registered (20% corresponding to 8 tombs),</w:t>
      </w:r>
      <w:r w:rsidRPr="003B5C8D">
        <w:t xml:space="preserve"> </w:t>
      </w:r>
      <w:r>
        <w:t xml:space="preserve">the </w:t>
      </w:r>
      <w:r w:rsidRPr="003B5C8D">
        <w:t>chamber and dromos dimension</w:t>
      </w:r>
      <w:r>
        <w:t>s</w:t>
      </w:r>
      <w:r w:rsidRPr="003B5C8D">
        <w:t xml:space="preserve"> do</w:t>
      </w:r>
      <w:r>
        <w:t xml:space="preserve"> not</w:t>
      </w:r>
      <w:r w:rsidRPr="003B5C8D">
        <w:t xml:space="preserve"> seem</w:t>
      </w:r>
      <w:r>
        <w:t xml:space="preserve"> to have a proportional size</w:t>
      </w:r>
      <w:r w:rsidRPr="003B5C8D">
        <w:t xml:space="preserve"> </w:t>
      </w:r>
      <w:r>
        <w:t>(i.e. the larger the chamber, the longer the dromos).</w:t>
      </w:r>
    </w:p>
    <w:p w14:paraId="68547235"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0AAE3911" w14:textId="07ECF9EE" w:rsidR="008940B3" w:rsidRDefault="008940B3" w:rsidP="00E858EF">
      <w:pPr>
        <w:pStyle w:val="Testofumetto"/>
        <w:suppressAutoHyphens/>
      </w:pPr>
      <w:bookmarkStart w:id="189" w:name="_Toc520212511"/>
      <w:r>
        <w:t>Table 3-22. Tomb size and dromos length comparison</w:t>
      </w:r>
      <w:r w:rsidR="00FB677B">
        <w:t>,</w:t>
      </w:r>
      <w:r>
        <w:t xml:space="preserve"> Mesara area</w:t>
      </w:r>
      <w:bookmarkEnd w:id="189"/>
    </w:p>
    <w:tbl>
      <w:tblPr>
        <w:tblW w:w="0" w:type="auto"/>
        <w:tblCellMar>
          <w:left w:w="0" w:type="dxa"/>
          <w:right w:w="0" w:type="dxa"/>
        </w:tblCellMar>
        <w:tblLook w:val="04A0" w:firstRow="1" w:lastRow="0" w:firstColumn="1" w:lastColumn="0" w:noHBand="0" w:noVBand="1"/>
      </w:tblPr>
      <w:tblGrid>
        <w:gridCol w:w="2376"/>
        <w:gridCol w:w="2377"/>
      </w:tblGrid>
      <w:tr w:rsidR="008940B3" w:rsidRPr="00F7661C" w14:paraId="36A39FD1" w14:textId="77777777" w:rsidTr="00174F80">
        <w:trPr>
          <w:trHeight w:val="405"/>
        </w:trPr>
        <w:tc>
          <w:tcPr>
            <w:tcW w:w="23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58D00489" w14:textId="77777777" w:rsidR="008940B3" w:rsidRPr="00F7661C" w:rsidRDefault="008940B3" w:rsidP="00E858EF">
            <w:pPr>
              <w:suppressAutoHyphens/>
              <w:rPr>
                <w:sz w:val="20"/>
                <w:szCs w:val="16"/>
              </w:rPr>
            </w:pPr>
          </w:p>
        </w:tc>
        <w:tc>
          <w:tcPr>
            <w:tcW w:w="237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3F4AE0EC" w14:textId="77777777" w:rsidR="008940B3" w:rsidRPr="00F7661C" w:rsidRDefault="008940B3" w:rsidP="00E858EF">
            <w:pPr>
              <w:suppressAutoHyphens/>
              <w:jc w:val="center"/>
              <w:rPr>
                <w:sz w:val="20"/>
                <w:szCs w:val="16"/>
              </w:rPr>
            </w:pPr>
            <w:r w:rsidRPr="00F7661C">
              <w:rPr>
                <w:sz w:val="20"/>
                <w:szCs w:val="16"/>
              </w:rPr>
              <w:t>Mean</w:t>
            </w:r>
          </w:p>
        </w:tc>
      </w:tr>
      <w:tr w:rsidR="008940B3" w:rsidRPr="00F7661C" w14:paraId="72BD7FC6" w14:textId="77777777" w:rsidTr="00174F80">
        <w:trPr>
          <w:trHeight w:val="315"/>
        </w:trPr>
        <w:tc>
          <w:tcPr>
            <w:tcW w:w="23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3E36E5D9" w14:textId="77777777" w:rsidR="008940B3" w:rsidRPr="00F7661C" w:rsidRDefault="008940B3" w:rsidP="00E858EF">
            <w:pPr>
              <w:suppressAutoHyphens/>
              <w:rPr>
                <w:sz w:val="20"/>
                <w:szCs w:val="16"/>
              </w:rPr>
            </w:pPr>
            <w:r w:rsidRPr="00F7661C">
              <w:rPr>
                <w:color w:val="000000"/>
                <w:sz w:val="20"/>
                <w:szCs w:val="16"/>
              </w:rPr>
              <w:t>Chamber area in sq.m.</w:t>
            </w:r>
          </w:p>
        </w:tc>
        <w:tc>
          <w:tcPr>
            <w:tcW w:w="2377"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5B1C9643" w14:textId="77777777" w:rsidR="008940B3" w:rsidRPr="00F7661C" w:rsidRDefault="008940B3" w:rsidP="00E858EF">
            <w:pPr>
              <w:suppressAutoHyphens/>
              <w:jc w:val="center"/>
              <w:rPr>
                <w:sz w:val="20"/>
                <w:szCs w:val="16"/>
              </w:rPr>
            </w:pPr>
            <w:r w:rsidRPr="00F7661C">
              <w:rPr>
                <w:sz w:val="20"/>
                <w:szCs w:val="16"/>
              </w:rPr>
              <w:t>6</w:t>
            </w:r>
          </w:p>
        </w:tc>
      </w:tr>
      <w:tr w:rsidR="008940B3" w:rsidRPr="00F7661C" w14:paraId="54A790C4" w14:textId="77777777" w:rsidTr="00174F80">
        <w:trPr>
          <w:trHeight w:val="315"/>
        </w:trPr>
        <w:tc>
          <w:tcPr>
            <w:tcW w:w="23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0AF9FBE2" w14:textId="11C63AA0" w:rsidR="008940B3" w:rsidRPr="00F7661C" w:rsidRDefault="008940B3" w:rsidP="00E858EF">
            <w:pPr>
              <w:suppressAutoHyphens/>
              <w:rPr>
                <w:sz w:val="20"/>
                <w:szCs w:val="16"/>
              </w:rPr>
            </w:pPr>
            <w:r w:rsidRPr="00F7661C">
              <w:rPr>
                <w:sz w:val="20"/>
                <w:szCs w:val="16"/>
              </w:rPr>
              <w:t>Dromos length</w:t>
            </w:r>
            <w:r w:rsidR="00174F80" w:rsidRPr="00F7661C">
              <w:rPr>
                <w:sz w:val="20"/>
                <w:szCs w:val="16"/>
              </w:rPr>
              <w:t xml:space="preserve"> </w:t>
            </w:r>
            <w:r w:rsidRPr="00F7661C">
              <w:rPr>
                <w:sz w:val="20"/>
                <w:szCs w:val="16"/>
              </w:rPr>
              <w:t>in m</w:t>
            </w:r>
          </w:p>
        </w:tc>
        <w:tc>
          <w:tcPr>
            <w:tcW w:w="237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3340B68A" w14:textId="77777777" w:rsidR="008940B3" w:rsidRPr="00F7661C" w:rsidRDefault="008940B3" w:rsidP="00E858EF">
            <w:pPr>
              <w:suppressAutoHyphens/>
              <w:jc w:val="center"/>
              <w:rPr>
                <w:sz w:val="20"/>
                <w:szCs w:val="16"/>
              </w:rPr>
            </w:pPr>
            <w:r w:rsidRPr="00F7661C">
              <w:rPr>
                <w:sz w:val="20"/>
                <w:szCs w:val="16"/>
              </w:rPr>
              <w:t>3.5</w:t>
            </w:r>
          </w:p>
        </w:tc>
      </w:tr>
    </w:tbl>
    <w:p w14:paraId="3B6997BB" w14:textId="77777777" w:rsidR="008940B3" w:rsidRDefault="008940B3" w:rsidP="00E858EF">
      <w:pPr>
        <w:pStyle w:val="Testofumetto"/>
        <w:suppressAutoHyphens/>
      </w:pPr>
    </w:p>
    <w:p w14:paraId="5CEEA352" w14:textId="71E1F5F5" w:rsidR="008940B3" w:rsidRPr="003B5C8D" w:rsidRDefault="008940B3" w:rsidP="00E858EF">
      <w:pPr>
        <w:pStyle w:val="Testofumetto"/>
        <w:suppressAutoHyphens/>
      </w:pPr>
      <w:bookmarkStart w:id="190" w:name="_Toc520212512"/>
      <w:r>
        <w:t>Table 3-23. Tomb size and dromos length comparison according to tomb size groups</w:t>
      </w:r>
      <w:r w:rsidR="00F7661C">
        <w:t>,</w:t>
      </w:r>
      <w:r>
        <w:t xml:space="preserve"> Mesara area.</w:t>
      </w:r>
      <w:bookmarkEnd w:id="190"/>
    </w:p>
    <w:tbl>
      <w:tblPr>
        <w:tblW w:w="0" w:type="auto"/>
        <w:tblCellMar>
          <w:left w:w="0" w:type="dxa"/>
          <w:right w:w="0" w:type="dxa"/>
        </w:tblCellMar>
        <w:tblLook w:val="04A0" w:firstRow="1" w:lastRow="0" w:firstColumn="1" w:lastColumn="0" w:noHBand="0" w:noVBand="1"/>
      </w:tblPr>
      <w:tblGrid>
        <w:gridCol w:w="2343"/>
        <w:gridCol w:w="1276"/>
        <w:gridCol w:w="1134"/>
      </w:tblGrid>
      <w:tr w:rsidR="008940B3" w:rsidRPr="00F7661C" w14:paraId="3D7921ED" w14:textId="77777777" w:rsidTr="001F536B">
        <w:trPr>
          <w:trHeight w:val="40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49FC5815" w14:textId="77777777" w:rsidR="008940B3" w:rsidRPr="00F7661C" w:rsidRDefault="008940B3" w:rsidP="00E858EF">
            <w:pPr>
              <w:suppressAutoHyphens/>
              <w:rPr>
                <w:sz w:val="20"/>
                <w:szCs w:val="16"/>
              </w:rPr>
            </w:pP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70CBE88E" w14:textId="77777777" w:rsidR="008940B3" w:rsidRPr="00F7661C" w:rsidRDefault="008940B3" w:rsidP="00E858EF">
            <w:pPr>
              <w:suppressAutoHyphens/>
              <w:jc w:val="center"/>
              <w:rPr>
                <w:sz w:val="20"/>
                <w:szCs w:val="16"/>
              </w:rPr>
            </w:pPr>
            <w:r w:rsidRPr="00F7661C">
              <w:rPr>
                <w:sz w:val="20"/>
                <w:szCs w:val="16"/>
              </w:rPr>
              <w:t>Small</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9A58200" w14:textId="77777777" w:rsidR="008940B3" w:rsidRPr="00F7661C" w:rsidRDefault="008940B3" w:rsidP="00E858EF">
            <w:pPr>
              <w:suppressAutoHyphens/>
              <w:jc w:val="center"/>
              <w:rPr>
                <w:sz w:val="20"/>
                <w:szCs w:val="16"/>
              </w:rPr>
            </w:pPr>
            <w:r w:rsidRPr="00F7661C">
              <w:rPr>
                <w:sz w:val="20"/>
                <w:szCs w:val="16"/>
              </w:rPr>
              <w:t>Large</w:t>
            </w:r>
          </w:p>
        </w:tc>
      </w:tr>
      <w:tr w:rsidR="008940B3" w:rsidRPr="00F7661C" w14:paraId="73AA0B8A" w14:textId="77777777" w:rsidTr="001F536B">
        <w:trPr>
          <w:trHeight w:val="315"/>
        </w:trPr>
        <w:tc>
          <w:tcPr>
            <w:tcW w:w="2343"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6B175876" w14:textId="77777777" w:rsidR="008940B3" w:rsidRPr="00F7661C" w:rsidRDefault="008940B3" w:rsidP="00E858EF">
            <w:pPr>
              <w:suppressAutoHyphens/>
              <w:rPr>
                <w:sz w:val="20"/>
                <w:szCs w:val="16"/>
              </w:rPr>
            </w:pPr>
            <w:r w:rsidRPr="00F7661C">
              <w:rPr>
                <w:color w:val="000000"/>
                <w:sz w:val="20"/>
                <w:szCs w:val="16"/>
              </w:rPr>
              <w:t>Chamber area in sq.m.</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79A99F20" w14:textId="77777777" w:rsidR="008940B3" w:rsidRPr="00F7661C" w:rsidRDefault="008940B3" w:rsidP="00E858EF">
            <w:pPr>
              <w:suppressAutoHyphens/>
              <w:jc w:val="center"/>
              <w:rPr>
                <w:sz w:val="20"/>
                <w:szCs w:val="16"/>
              </w:rPr>
            </w:pPr>
            <w:r w:rsidRPr="00F7661C">
              <w:rPr>
                <w:sz w:val="20"/>
                <w:szCs w:val="16"/>
              </w:rPr>
              <w:t>0-6</w:t>
            </w:r>
          </w:p>
        </w:tc>
        <w:tc>
          <w:tcPr>
            <w:tcW w:w="1134"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7B4A7CFE" w14:textId="77777777" w:rsidR="008940B3" w:rsidRPr="00F7661C" w:rsidRDefault="008940B3" w:rsidP="00E858EF">
            <w:pPr>
              <w:suppressAutoHyphens/>
              <w:jc w:val="center"/>
              <w:rPr>
                <w:sz w:val="20"/>
                <w:szCs w:val="16"/>
              </w:rPr>
            </w:pPr>
            <w:r w:rsidRPr="00F7661C">
              <w:rPr>
                <w:color w:val="000000"/>
                <w:sz w:val="20"/>
                <w:szCs w:val="16"/>
              </w:rPr>
              <w:t>13-18</w:t>
            </w:r>
          </w:p>
        </w:tc>
      </w:tr>
      <w:tr w:rsidR="008940B3" w:rsidRPr="00F7661C" w14:paraId="537F3D00" w14:textId="77777777" w:rsidTr="001F536B">
        <w:trPr>
          <w:trHeight w:val="31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5D89A34B" w14:textId="77777777" w:rsidR="008940B3" w:rsidRPr="00F7661C" w:rsidRDefault="008940B3" w:rsidP="00E858EF">
            <w:pPr>
              <w:suppressAutoHyphens/>
              <w:rPr>
                <w:sz w:val="20"/>
                <w:szCs w:val="16"/>
              </w:rPr>
            </w:pPr>
            <w:r w:rsidRPr="00F7661C">
              <w:rPr>
                <w:sz w:val="20"/>
                <w:szCs w:val="16"/>
              </w:rPr>
              <w:t>Dromos</w:t>
            </w: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044A5F53" w14:textId="77777777" w:rsidR="008940B3" w:rsidRPr="00F7661C" w:rsidRDefault="008940B3" w:rsidP="00E858EF">
            <w:pPr>
              <w:suppressAutoHyphens/>
              <w:jc w:val="center"/>
              <w:rPr>
                <w:sz w:val="20"/>
                <w:szCs w:val="16"/>
              </w:rPr>
            </w:pPr>
            <w:r w:rsidRPr="00F7661C">
              <w:rPr>
                <w:sz w:val="20"/>
                <w:szCs w:val="16"/>
              </w:rPr>
              <w:t>≤7.5</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343795EC" w14:textId="7CC3D6FA" w:rsidR="008940B3" w:rsidRPr="00F7661C" w:rsidRDefault="008940B3" w:rsidP="00E858EF">
            <w:pPr>
              <w:suppressAutoHyphens/>
              <w:jc w:val="center"/>
              <w:rPr>
                <w:sz w:val="20"/>
                <w:szCs w:val="16"/>
              </w:rPr>
            </w:pPr>
            <w:r w:rsidRPr="00F7661C">
              <w:rPr>
                <w:sz w:val="20"/>
                <w:szCs w:val="16"/>
              </w:rPr>
              <w:t>≤7</w:t>
            </w:r>
          </w:p>
        </w:tc>
      </w:tr>
    </w:tbl>
    <w:p w14:paraId="535400AA"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1C5283DB" w14:textId="77777777" w:rsidR="008940B3" w:rsidRPr="001F536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1F536B">
        <w:rPr>
          <w:color w:val="000000"/>
          <w:szCs w:val="22"/>
        </w:rPr>
        <w:t>The following architectural features are present in the tombs of the Mesara region:</w:t>
      </w:r>
    </w:p>
    <w:p w14:paraId="24992BEC" w14:textId="77777777" w:rsidR="008940B3" w:rsidRPr="001F536B"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1F536B">
        <w:rPr>
          <w:color w:val="000000"/>
          <w:szCs w:val="22"/>
        </w:rPr>
        <w:t>Pits or niches in the chamber and/or dromos</w:t>
      </w:r>
    </w:p>
    <w:p w14:paraId="2336BB87" w14:textId="77777777" w:rsidR="008940B3" w:rsidRPr="001F536B"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1F536B">
        <w:rPr>
          <w:color w:val="000000"/>
          <w:szCs w:val="22"/>
        </w:rPr>
        <w:t>Pillars or benches inside the chamber</w:t>
      </w:r>
    </w:p>
    <w:p w14:paraId="05C4E5C4" w14:textId="77777777" w:rsidR="008940B3" w:rsidRPr="003B5C8D"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sidRPr="001F536B">
        <w:rPr>
          <w:color w:val="000000"/>
          <w:szCs w:val="22"/>
        </w:rPr>
        <w:t xml:space="preserve">Monumental </w:t>
      </w:r>
      <w:r w:rsidRPr="001F536B">
        <w:rPr>
          <w:i/>
          <w:color w:val="000000"/>
          <w:szCs w:val="22"/>
        </w:rPr>
        <w:t>stomion</w:t>
      </w:r>
      <w:r w:rsidRPr="001F536B">
        <w:rPr>
          <w:color w:val="000000"/>
          <w:szCs w:val="22"/>
        </w:rPr>
        <w:t xml:space="preserve"> or hall</w:t>
      </w:r>
    </w:p>
    <w:p w14:paraId="6DAF3AC3" w14:textId="29E6E798" w:rsidR="008940B3" w:rsidRDefault="008940B3" w:rsidP="001F536B">
      <w:r>
        <w:t xml:space="preserve">These features occur </w:t>
      </w:r>
      <w:r w:rsidRPr="003B5C8D">
        <w:t xml:space="preserve">in 15 tombs </w:t>
      </w:r>
      <w:r>
        <w:t>from</w:t>
      </w:r>
      <w:r w:rsidRPr="003B5C8D">
        <w:t xml:space="preserve"> the total sample</w:t>
      </w:r>
      <w:r>
        <w:t xml:space="preserve"> above. However,</w:t>
      </w:r>
      <w:r w:rsidRPr="003B5C8D">
        <w:t xml:space="preserve"> in the vast majority of case</w:t>
      </w:r>
      <w:r>
        <w:t>s,</w:t>
      </w:r>
      <w:r w:rsidRPr="003B5C8D">
        <w:t xml:space="preserve"> only one of the</w:t>
      </w:r>
      <w:r>
        <w:t xml:space="preserve"> features appears</w:t>
      </w:r>
      <w:r w:rsidRPr="003B5C8D">
        <w:t>.</w:t>
      </w:r>
    </w:p>
    <w:p w14:paraId="1A4F6972" w14:textId="77777777" w:rsidR="001F536B" w:rsidRDefault="001F536B" w:rsidP="001F536B"/>
    <w:p w14:paraId="7B7EED93" w14:textId="4184FC81" w:rsidR="008940B3" w:rsidRPr="003B5C8D" w:rsidRDefault="008940B3" w:rsidP="00E858EF">
      <w:pPr>
        <w:pStyle w:val="Testofumetto"/>
        <w:suppressAutoHyphens/>
      </w:pPr>
      <w:bookmarkStart w:id="191" w:name="_Toc520212513"/>
      <w:r>
        <w:t>Table 3-24. Occurrence of monumental features in Mesara area</w:t>
      </w:r>
      <w:bookmarkEnd w:id="191"/>
    </w:p>
    <w:tbl>
      <w:tblPr>
        <w:tblW w:w="0" w:type="auto"/>
        <w:tblCellMar>
          <w:left w:w="0" w:type="dxa"/>
          <w:right w:w="0" w:type="dxa"/>
        </w:tblCellMar>
        <w:tblLook w:val="04A0" w:firstRow="1" w:lastRow="0" w:firstColumn="1" w:lastColumn="0" w:noHBand="0" w:noVBand="1"/>
      </w:tblPr>
      <w:tblGrid>
        <w:gridCol w:w="1068"/>
        <w:gridCol w:w="3260"/>
        <w:gridCol w:w="1300"/>
        <w:gridCol w:w="1537"/>
        <w:gridCol w:w="968"/>
      </w:tblGrid>
      <w:tr w:rsidR="008940B3" w:rsidRPr="001F536B" w14:paraId="5ACA2D57" w14:textId="77777777" w:rsidTr="001F536B">
        <w:trPr>
          <w:trHeight w:val="405"/>
        </w:trPr>
        <w:tc>
          <w:tcPr>
            <w:tcW w:w="106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4F6D15D0" w14:textId="77777777" w:rsidR="008940B3" w:rsidRPr="001F536B" w:rsidRDefault="008940B3" w:rsidP="001F536B">
            <w:pPr>
              <w:suppressAutoHyphens/>
              <w:jc w:val="left"/>
              <w:rPr>
                <w:sz w:val="20"/>
                <w:szCs w:val="16"/>
              </w:rPr>
            </w:pPr>
          </w:p>
        </w:tc>
        <w:tc>
          <w:tcPr>
            <w:tcW w:w="32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26EABEAE" w14:textId="77777777" w:rsidR="008940B3" w:rsidRPr="001F536B" w:rsidRDefault="008940B3" w:rsidP="00E858EF">
            <w:pPr>
              <w:suppressAutoHyphens/>
              <w:jc w:val="center"/>
              <w:rPr>
                <w:sz w:val="20"/>
                <w:szCs w:val="16"/>
              </w:rPr>
            </w:pPr>
            <w:r w:rsidRPr="001F536B">
              <w:rPr>
                <w:sz w:val="20"/>
                <w:szCs w:val="16"/>
              </w:rPr>
              <w:t>Number of monumental architectural feature</w:t>
            </w:r>
          </w:p>
        </w:tc>
        <w:tc>
          <w:tcPr>
            <w:tcW w:w="0" w:type="auto"/>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6A1E531" w14:textId="77777777" w:rsidR="008940B3" w:rsidRPr="001F536B" w:rsidRDefault="008940B3" w:rsidP="00E858EF">
            <w:pPr>
              <w:suppressAutoHyphens/>
              <w:jc w:val="center"/>
              <w:rPr>
                <w:sz w:val="20"/>
                <w:szCs w:val="16"/>
              </w:rPr>
            </w:pPr>
            <w:r w:rsidRPr="001F536B">
              <w:rPr>
                <w:sz w:val="20"/>
                <w:szCs w:val="16"/>
              </w:rPr>
              <w:t>1 arch. feature</w:t>
            </w:r>
          </w:p>
        </w:tc>
        <w:tc>
          <w:tcPr>
            <w:tcW w:w="0" w:type="auto"/>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BE24352" w14:textId="77777777" w:rsidR="008940B3" w:rsidRPr="001F536B" w:rsidRDefault="008940B3" w:rsidP="00E858EF">
            <w:pPr>
              <w:suppressAutoHyphens/>
              <w:jc w:val="center"/>
              <w:rPr>
                <w:sz w:val="20"/>
                <w:szCs w:val="16"/>
              </w:rPr>
            </w:pPr>
            <w:r w:rsidRPr="001F536B">
              <w:rPr>
                <w:rFonts w:eastAsia="MS Gothic"/>
                <w:color w:val="000000"/>
                <w:sz w:val="20"/>
                <w:szCs w:val="16"/>
              </w:rPr>
              <w:t xml:space="preserve">≥2 </w:t>
            </w:r>
            <w:r w:rsidRPr="001F536B">
              <w:rPr>
                <w:sz w:val="20"/>
                <w:szCs w:val="16"/>
              </w:rPr>
              <w:t xml:space="preserve"> arch. features</w:t>
            </w:r>
          </w:p>
        </w:tc>
        <w:tc>
          <w:tcPr>
            <w:tcW w:w="968" w:type="dxa"/>
            <w:tcBorders>
              <w:top w:val="single" w:sz="6" w:space="0" w:color="000000"/>
              <w:left w:val="single" w:sz="6" w:space="0" w:color="000000"/>
              <w:bottom w:val="single" w:sz="6" w:space="0" w:color="000000"/>
              <w:right w:val="single" w:sz="6" w:space="0" w:color="000000"/>
            </w:tcBorders>
          </w:tcPr>
          <w:p w14:paraId="123D7550" w14:textId="77777777" w:rsidR="008940B3" w:rsidRPr="001F536B" w:rsidRDefault="008940B3" w:rsidP="00E858EF">
            <w:pPr>
              <w:suppressAutoHyphens/>
              <w:jc w:val="center"/>
              <w:rPr>
                <w:sz w:val="20"/>
                <w:szCs w:val="16"/>
              </w:rPr>
            </w:pPr>
            <w:r w:rsidRPr="001F536B">
              <w:rPr>
                <w:sz w:val="20"/>
                <w:szCs w:val="16"/>
              </w:rPr>
              <w:t>Total</w:t>
            </w:r>
          </w:p>
        </w:tc>
      </w:tr>
      <w:tr w:rsidR="008940B3" w:rsidRPr="001F536B" w14:paraId="19F9F613" w14:textId="77777777" w:rsidTr="001F536B">
        <w:trPr>
          <w:trHeight w:val="315"/>
        </w:trPr>
        <w:tc>
          <w:tcPr>
            <w:tcW w:w="106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193A540D" w14:textId="77777777" w:rsidR="008940B3" w:rsidRPr="001F536B" w:rsidRDefault="008940B3" w:rsidP="001F536B">
            <w:pPr>
              <w:suppressAutoHyphens/>
              <w:jc w:val="left"/>
              <w:rPr>
                <w:sz w:val="20"/>
                <w:szCs w:val="16"/>
              </w:rPr>
            </w:pPr>
            <w:r w:rsidRPr="001F536B">
              <w:rPr>
                <w:color w:val="000000"/>
                <w:sz w:val="20"/>
                <w:szCs w:val="16"/>
              </w:rPr>
              <w:t>Number of tombs</w:t>
            </w:r>
          </w:p>
        </w:tc>
        <w:tc>
          <w:tcPr>
            <w:tcW w:w="326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6DB72A59" w14:textId="77777777" w:rsidR="008940B3" w:rsidRPr="001F536B" w:rsidRDefault="008940B3" w:rsidP="00E858EF">
            <w:pPr>
              <w:suppressAutoHyphens/>
              <w:jc w:val="center"/>
              <w:rPr>
                <w:sz w:val="20"/>
                <w:szCs w:val="16"/>
              </w:rPr>
            </w:pPr>
            <w:r w:rsidRPr="001F536B">
              <w:rPr>
                <w:sz w:val="20"/>
                <w:szCs w:val="16"/>
              </w:rPr>
              <w:t>26</w:t>
            </w: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26E077F1" w14:textId="77777777" w:rsidR="008940B3" w:rsidRPr="001F536B" w:rsidRDefault="008940B3" w:rsidP="00E858EF">
            <w:pPr>
              <w:suppressAutoHyphens/>
              <w:jc w:val="center"/>
              <w:rPr>
                <w:sz w:val="20"/>
                <w:szCs w:val="16"/>
              </w:rPr>
            </w:pPr>
            <w:r w:rsidRPr="001F536B">
              <w:rPr>
                <w:sz w:val="20"/>
                <w:szCs w:val="16"/>
              </w:rPr>
              <w:t>14</w:t>
            </w: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0C6629B4" w14:textId="77777777" w:rsidR="008940B3" w:rsidRPr="001F536B" w:rsidRDefault="008940B3" w:rsidP="00E858EF">
            <w:pPr>
              <w:suppressAutoHyphens/>
              <w:jc w:val="center"/>
              <w:rPr>
                <w:sz w:val="20"/>
                <w:szCs w:val="16"/>
              </w:rPr>
            </w:pPr>
            <w:r w:rsidRPr="001F536B">
              <w:rPr>
                <w:color w:val="000000"/>
                <w:sz w:val="20"/>
                <w:szCs w:val="16"/>
              </w:rPr>
              <w:t>1</w:t>
            </w:r>
          </w:p>
        </w:tc>
        <w:tc>
          <w:tcPr>
            <w:tcW w:w="968" w:type="dxa"/>
            <w:tcBorders>
              <w:top w:val="single" w:sz="6" w:space="0" w:color="000000"/>
              <w:left w:val="single" w:sz="6" w:space="0" w:color="000000"/>
              <w:bottom w:val="single" w:sz="6" w:space="0" w:color="000000"/>
              <w:right w:val="single" w:sz="6" w:space="0" w:color="000000"/>
            </w:tcBorders>
            <w:shd w:val="clear" w:color="auto" w:fill="EFEFEF"/>
          </w:tcPr>
          <w:p w14:paraId="465A8700" w14:textId="77777777" w:rsidR="008940B3" w:rsidRPr="001F536B" w:rsidRDefault="008940B3" w:rsidP="00E858EF">
            <w:pPr>
              <w:suppressAutoHyphens/>
              <w:jc w:val="center"/>
              <w:rPr>
                <w:color w:val="000000"/>
                <w:sz w:val="20"/>
                <w:szCs w:val="16"/>
              </w:rPr>
            </w:pPr>
            <w:r w:rsidRPr="001F536B">
              <w:rPr>
                <w:color w:val="000000"/>
                <w:sz w:val="20"/>
                <w:szCs w:val="16"/>
              </w:rPr>
              <w:t>41</w:t>
            </w:r>
          </w:p>
        </w:tc>
      </w:tr>
    </w:tbl>
    <w:p w14:paraId="25620009" w14:textId="77777777" w:rsidR="008940B3"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2"/>
          <w:szCs w:val="22"/>
        </w:rPr>
      </w:pPr>
    </w:p>
    <w:p w14:paraId="3BA81789" w14:textId="3078D28C" w:rsidR="008940B3" w:rsidRDefault="008940B3" w:rsidP="001F536B">
      <w:r w:rsidRPr="003B5C8D">
        <w:t xml:space="preserve">The most </w:t>
      </w:r>
      <w:r>
        <w:t>common</w:t>
      </w:r>
      <w:r w:rsidRPr="003B5C8D">
        <w:t xml:space="preserve"> feature in the area is the monumental </w:t>
      </w:r>
      <w:r w:rsidRPr="000D552C">
        <w:rPr>
          <w:i/>
        </w:rPr>
        <w:t>stomion</w:t>
      </w:r>
      <w:r w:rsidRPr="003B5C8D">
        <w:t xml:space="preserve">, </w:t>
      </w:r>
      <w:r>
        <w:t>which appears</w:t>
      </w:r>
      <w:r w:rsidRPr="003B5C8D">
        <w:t xml:space="preserve"> </w:t>
      </w:r>
      <w:r>
        <w:t>in</w:t>
      </w:r>
      <w:r w:rsidRPr="003B5C8D">
        <w:t xml:space="preserve"> all the corbel-vaulted tombs in the Apodoulou cemetery</w:t>
      </w:r>
      <w:r w:rsidR="006657BE">
        <w:t xml:space="preserve"> (t</w:t>
      </w:r>
      <w:r w:rsidR="00AB28F3">
        <w:t>hat are in general small and very crudely built)</w:t>
      </w:r>
      <w:r w:rsidRPr="003B5C8D">
        <w:t xml:space="preserve"> and </w:t>
      </w:r>
      <w:r>
        <w:t>in</w:t>
      </w:r>
      <w:r w:rsidRPr="003B5C8D">
        <w:t xml:space="preserve"> one chamber tomb at Stavros Galias (T102; </w:t>
      </w:r>
      <w:r>
        <w:t>‘</w:t>
      </w:r>
      <w:r w:rsidRPr="003B5C8D">
        <w:t>elongated and descending dromos and a door frame carved in relief</w:t>
      </w:r>
      <w:r>
        <w:t>’</w:t>
      </w:r>
      <w:r w:rsidRPr="003B5C8D">
        <w:t xml:space="preserve"> Karetsou</w:t>
      </w:r>
      <w:r>
        <w:t xml:space="preserve"> and </w:t>
      </w:r>
      <w:r w:rsidRPr="003B5C8D">
        <w:t>Girella 2015: 30; Karetsou 1975).</w:t>
      </w:r>
      <w:r>
        <w:t xml:space="preserve"> A minor feature in some of the tombs with larnakes of the Mesara area is the presence of stone plaques under the larnakes (larnax feet) to provide stability (e.g. Goudies, Laviosa 1970; this is also attested in the Mid-West region, in the cemetery at Maroulas).</w:t>
      </w:r>
    </w:p>
    <w:p w14:paraId="3A9BBA70" w14:textId="77777777" w:rsidR="008940B3" w:rsidRPr="003E0533" w:rsidRDefault="008940B3" w:rsidP="00E858EF">
      <w:pPr>
        <w:pStyle w:val="Titolo4"/>
        <w:keepNext w:val="0"/>
        <w:keepLines w:val="0"/>
        <w:suppressAutoHyphens/>
        <w:ind w:left="864" w:hanging="864"/>
        <w:contextualSpacing w:val="0"/>
      </w:pPr>
      <w:bookmarkStart w:id="192" w:name="_Toc389131152"/>
      <w:bookmarkStart w:id="193" w:name="_Toc517876477"/>
      <w:r w:rsidRPr="003E0533">
        <w:t>Tombs and larn</w:t>
      </w:r>
      <w:r w:rsidRPr="00F82F11">
        <w:t xml:space="preserve">akes: Is there an increase </w:t>
      </w:r>
      <w:r>
        <w:t>in</w:t>
      </w:r>
      <w:r w:rsidRPr="00F82F11">
        <w:t xml:space="preserve"> larnax number</w:t>
      </w:r>
      <w:r>
        <w:t>s according to tomb size</w:t>
      </w:r>
      <w:r w:rsidRPr="00F82F11">
        <w:t>?</w:t>
      </w:r>
      <w:bookmarkEnd w:id="192"/>
      <w:bookmarkEnd w:id="193"/>
      <w:r w:rsidRPr="003E0533">
        <w:t xml:space="preserve"> </w:t>
      </w:r>
    </w:p>
    <w:p w14:paraId="034C2219" w14:textId="77777777" w:rsidR="008940B3" w:rsidRDefault="008940B3" w:rsidP="001F536B">
      <w:r>
        <w:t>The data in the table, below, reveal that the number of larnakes deposited in tombs is somewhat linked to the size of the chamber (i.e. a higher concentration of larnakes in larger tombs).</w:t>
      </w:r>
    </w:p>
    <w:p w14:paraId="1AC4D088"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0B80B4C6" w14:textId="293CCD05" w:rsidR="008940B3" w:rsidRPr="003B5C8D" w:rsidRDefault="008940B3" w:rsidP="00E858EF">
      <w:pPr>
        <w:pStyle w:val="Testofumetto"/>
        <w:suppressAutoHyphens/>
      </w:pPr>
      <w:bookmarkStart w:id="194" w:name="_Toc520212514"/>
      <w:r>
        <w:t>Table 3-25. Larnax number in relation to tombs size</w:t>
      </w:r>
      <w:r w:rsidR="00FB677B">
        <w:t>,</w:t>
      </w:r>
      <w:r>
        <w:t xml:space="preserve"> Mesara area</w:t>
      </w:r>
      <w:bookmarkEnd w:id="194"/>
    </w:p>
    <w:tbl>
      <w:tblPr>
        <w:tblpPr w:leftFromText="141" w:rightFromText="141" w:vertAnchor="text" w:tblpX="75" w:tblpY="1"/>
        <w:tblOverlap w:val="never"/>
        <w:tblW w:w="0" w:type="auto"/>
        <w:tblCellMar>
          <w:left w:w="0" w:type="dxa"/>
          <w:right w:w="0" w:type="dxa"/>
        </w:tblCellMar>
        <w:tblLook w:val="04A0" w:firstRow="1" w:lastRow="0" w:firstColumn="1" w:lastColumn="0" w:noHBand="0" w:noVBand="1"/>
      </w:tblPr>
      <w:tblGrid>
        <w:gridCol w:w="2627"/>
        <w:gridCol w:w="1276"/>
        <w:gridCol w:w="1275"/>
        <w:gridCol w:w="1134"/>
      </w:tblGrid>
      <w:tr w:rsidR="008940B3" w:rsidRPr="001F536B" w14:paraId="57B840AD" w14:textId="77777777" w:rsidTr="001F536B">
        <w:trPr>
          <w:trHeight w:val="405"/>
        </w:trPr>
        <w:tc>
          <w:tcPr>
            <w:tcW w:w="262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3A3BF5C" w14:textId="77777777" w:rsidR="008940B3" w:rsidRPr="001F536B" w:rsidRDefault="008940B3" w:rsidP="001F536B">
            <w:pPr>
              <w:suppressAutoHyphens/>
              <w:jc w:val="center"/>
              <w:rPr>
                <w:sz w:val="20"/>
                <w:szCs w:val="16"/>
              </w:rPr>
            </w:pP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BF10570" w14:textId="77777777" w:rsidR="008940B3" w:rsidRPr="001F536B" w:rsidRDefault="008940B3" w:rsidP="001F536B">
            <w:pPr>
              <w:suppressAutoHyphens/>
              <w:jc w:val="center"/>
              <w:rPr>
                <w:sz w:val="20"/>
                <w:szCs w:val="16"/>
              </w:rPr>
            </w:pPr>
            <w:r w:rsidRPr="001F536B">
              <w:rPr>
                <w:sz w:val="20"/>
                <w:szCs w:val="16"/>
              </w:rPr>
              <w:t>Small</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86A6B70" w14:textId="77777777" w:rsidR="008940B3" w:rsidRPr="001F536B" w:rsidRDefault="008940B3" w:rsidP="001F536B">
            <w:pPr>
              <w:suppressAutoHyphens/>
              <w:jc w:val="center"/>
              <w:rPr>
                <w:sz w:val="20"/>
                <w:szCs w:val="16"/>
              </w:rPr>
            </w:pPr>
            <w:r w:rsidRPr="001F536B">
              <w:rPr>
                <w:sz w:val="20"/>
                <w:szCs w:val="16"/>
              </w:rPr>
              <w:t>Medium</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75A861AE" w14:textId="77777777" w:rsidR="008940B3" w:rsidRPr="001F536B" w:rsidRDefault="008940B3" w:rsidP="001F536B">
            <w:pPr>
              <w:suppressAutoHyphens/>
              <w:jc w:val="center"/>
              <w:rPr>
                <w:sz w:val="20"/>
                <w:szCs w:val="16"/>
              </w:rPr>
            </w:pPr>
            <w:r w:rsidRPr="001F536B">
              <w:rPr>
                <w:sz w:val="20"/>
                <w:szCs w:val="16"/>
              </w:rPr>
              <w:t>Large</w:t>
            </w:r>
          </w:p>
        </w:tc>
      </w:tr>
      <w:tr w:rsidR="008940B3" w:rsidRPr="001F536B" w14:paraId="22D63428" w14:textId="77777777" w:rsidTr="001F536B">
        <w:trPr>
          <w:trHeight w:val="315"/>
        </w:trPr>
        <w:tc>
          <w:tcPr>
            <w:tcW w:w="2627"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52961F6A" w14:textId="77777777" w:rsidR="008940B3" w:rsidRPr="001F536B" w:rsidRDefault="008940B3" w:rsidP="001F536B">
            <w:pPr>
              <w:suppressAutoHyphens/>
              <w:jc w:val="left"/>
              <w:rPr>
                <w:sz w:val="20"/>
                <w:szCs w:val="16"/>
              </w:rPr>
            </w:pPr>
            <w:r w:rsidRPr="001F536B">
              <w:rPr>
                <w:sz w:val="20"/>
                <w:szCs w:val="16"/>
              </w:rPr>
              <w:t>Number of tombs</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643FF4EE" w14:textId="77777777" w:rsidR="008940B3" w:rsidRPr="001F536B" w:rsidRDefault="008940B3" w:rsidP="001F536B">
            <w:pPr>
              <w:suppressAutoHyphens/>
              <w:jc w:val="center"/>
              <w:rPr>
                <w:sz w:val="20"/>
                <w:szCs w:val="16"/>
              </w:rPr>
            </w:pPr>
            <w:r w:rsidRPr="001F536B">
              <w:rPr>
                <w:sz w:val="20"/>
                <w:szCs w:val="16"/>
              </w:rPr>
              <w:t>0-6</w:t>
            </w:r>
          </w:p>
        </w:tc>
        <w:tc>
          <w:tcPr>
            <w:tcW w:w="127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04A43CFC" w14:textId="77777777" w:rsidR="008940B3" w:rsidRPr="001F536B" w:rsidRDefault="008940B3" w:rsidP="001F536B">
            <w:pPr>
              <w:suppressAutoHyphens/>
              <w:jc w:val="center"/>
              <w:rPr>
                <w:sz w:val="20"/>
                <w:szCs w:val="16"/>
              </w:rPr>
            </w:pPr>
            <w:r w:rsidRPr="001F536B">
              <w:rPr>
                <w:sz w:val="20"/>
                <w:szCs w:val="16"/>
              </w:rPr>
              <w:t>7-12</w:t>
            </w:r>
          </w:p>
        </w:tc>
        <w:tc>
          <w:tcPr>
            <w:tcW w:w="1134"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2BC43FF4" w14:textId="77777777" w:rsidR="008940B3" w:rsidRPr="001F536B" w:rsidRDefault="008940B3" w:rsidP="001F536B">
            <w:pPr>
              <w:suppressAutoHyphens/>
              <w:jc w:val="center"/>
              <w:rPr>
                <w:sz w:val="20"/>
                <w:szCs w:val="16"/>
              </w:rPr>
            </w:pPr>
            <w:r w:rsidRPr="001F536B">
              <w:rPr>
                <w:color w:val="000000"/>
                <w:sz w:val="20"/>
                <w:szCs w:val="16"/>
              </w:rPr>
              <w:t>13-18</w:t>
            </w:r>
          </w:p>
        </w:tc>
      </w:tr>
      <w:tr w:rsidR="008940B3" w:rsidRPr="001F536B" w14:paraId="4C3DAD80" w14:textId="77777777" w:rsidTr="001F536B">
        <w:trPr>
          <w:trHeight w:val="315"/>
        </w:trPr>
        <w:tc>
          <w:tcPr>
            <w:tcW w:w="262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0E9BA512" w14:textId="77777777" w:rsidR="008940B3" w:rsidRPr="001F536B" w:rsidRDefault="008940B3" w:rsidP="001F536B">
            <w:pPr>
              <w:suppressAutoHyphens/>
              <w:jc w:val="left"/>
              <w:rPr>
                <w:sz w:val="20"/>
                <w:szCs w:val="16"/>
              </w:rPr>
            </w:pPr>
            <w:r w:rsidRPr="001F536B">
              <w:rPr>
                <w:sz w:val="20"/>
                <w:szCs w:val="16"/>
              </w:rPr>
              <w:t>Range of larnax number</w:t>
            </w: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04186268" w14:textId="77777777" w:rsidR="008940B3" w:rsidRPr="001F536B" w:rsidRDefault="008940B3" w:rsidP="001F536B">
            <w:pPr>
              <w:suppressAutoHyphens/>
              <w:jc w:val="center"/>
              <w:rPr>
                <w:sz w:val="20"/>
                <w:szCs w:val="16"/>
              </w:rPr>
            </w:pPr>
            <w:r w:rsidRPr="001F536B">
              <w:rPr>
                <w:sz w:val="20"/>
                <w:szCs w:val="16"/>
              </w:rPr>
              <w:t>1-5</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3683F278" w14:textId="77777777" w:rsidR="008940B3" w:rsidRPr="001F536B" w:rsidRDefault="008940B3" w:rsidP="001F536B">
            <w:pPr>
              <w:suppressAutoHyphens/>
              <w:jc w:val="center"/>
              <w:rPr>
                <w:sz w:val="20"/>
                <w:szCs w:val="16"/>
              </w:rPr>
            </w:pPr>
            <w:r w:rsidRPr="001F536B">
              <w:rPr>
                <w:sz w:val="20"/>
                <w:szCs w:val="16"/>
              </w:rPr>
              <w:t>1-3</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7EF9B264" w14:textId="77777777" w:rsidR="008940B3" w:rsidRPr="001F536B" w:rsidRDefault="008940B3" w:rsidP="001F536B">
            <w:pPr>
              <w:suppressAutoHyphens/>
              <w:jc w:val="center"/>
              <w:rPr>
                <w:color w:val="000000"/>
                <w:sz w:val="20"/>
                <w:szCs w:val="16"/>
              </w:rPr>
            </w:pPr>
            <w:r w:rsidRPr="001F536B">
              <w:rPr>
                <w:color w:val="000000"/>
                <w:sz w:val="20"/>
                <w:szCs w:val="16"/>
              </w:rPr>
              <w:t>6-8</w:t>
            </w:r>
          </w:p>
        </w:tc>
      </w:tr>
    </w:tbl>
    <w:p w14:paraId="7535D50C"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sidRPr="003B5C8D">
        <w:rPr>
          <w:i/>
          <w:color w:val="000000"/>
          <w:sz w:val="22"/>
          <w:szCs w:val="22"/>
          <w:highlight w:val="green"/>
        </w:rPr>
        <w:br w:type="textWrapping" w:clear="all"/>
      </w:r>
    </w:p>
    <w:p w14:paraId="2D3B2D7D" w14:textId="77777777" w:rsidR="008940B3" w:rsidRPr="0041491D" w:rsidRDefault="008940B3" w:rsidP="001F536B">
      <w:r w:rsidRPr="0041491D">
        <w:t xml:space="preserve">The mean of the space reserved </w:t>
      </w:r>
      <w:r>
        <w:t>for</w:t>
      </w:r>
      <w:r w:rsidRPr="0041491D">
        <w:t xml:space="preserve"> a larnax within a tomb in the Mesara region </w:t>
      </w:r>
      <w:r>
        <w:t>is approximately 3</w:t>
      </w:r>
      <w:r w:rsidRPr="0041491D">
        <w:t xml:space="preserve"> </w:t>
      </w:r>
      <w:r>
        <w:t>sq.m.</w:t>
      </w:r>
      <w:r w:rsidRPr="0041491D">
        <w:t xml:space="preserve"> (dat</w:t>
      </w:r>
      <w:r>
        <w:t>a calculated based on 15</w:t>
      </w:r>
      <w:r w:rsidRPr="0041491D">
        <w:t xml:space="preserve"> tombs</w:t>
      </w:r>
      <w:r>
        <w:t xml:space="preserve">, </w:t>
      </w:r>
      <w:r w:rsidRPr="0041491D">
        <w:t>for which</w:t>
      </w:r>
      <w:r>
        <w:t xml:space="preserve"> the</w:t>
      </w:r>
      <w:r w:rsidRPr="0041491D">
        <w:t xml:space="preserve"> information about the chamber area is available)</w:t>
      </w:r>
      <w:r>
        <w:t>.</w:t>
      </w:r>
      <w:r w:rsidRPr="0041491D">
        <w:t xml:space="preserve"> </w:t>
      </w:r>
      <w:r>
        <w:t>T</w:t>
      </w:r>
      <w:r w:rsidRPr="0041491D">
        <w:t xml:space="preserve">he </w:t>
      </w:r>
      <w:r>
        <w:t xml:space="preserve">mean </w:t>
      </w:r>
      <w:r w:rsidRPr="0041491D">
        <w:t xml:space="preserve">number of larnakes per tomb </w:t>
      </w:r>
      <w:r>
        <w:t>is approximately three, with a maximum of 15</w:t>
      </w:r>
      <w:r w:rsidRPr="0041491D">
        <w:t>.</w:t>
      </w:r>
    </w:p>
    <w:p w14:paraId="524CDF43" w14:textId="1C91FD14" w:rsidR="008940B3" w:rsidRPr="0041491D" w:rsidRDefault="008940B3" w:rsidP="00E858EF">
      <w:pPr>
        <w:pStyle w:val="Testofumetto"/>
        <w:suppressAutoHyphens/>
      </w:pPr>
      <w:r w:rsidRPr="00282B67">
        <w:rPr>
          <w:highlight w:val="red"/>
        </w:rPr>
        <w:br w:type="textWrapping" w:clear="all"/>
      </w:r>
      <w:bookmarkStart w:id="195" w:name="_Toc520212515"/>
      <w:r>
        <w:t>Table 3-</w:t>
      </w:r>
      <w:r w:rsidRPr="009302DE">
        <w:t>26</w:t>
      </w:r>
      <w:r>
        <w:t>.</w:t>
      </w:r>
      <w:r w:rsidRPr="009302DE">
        <w:rPr>
          <w:rStyle w:val="TestofumettoCarattere"/>
          <w:b/>
        </w:rPr>
        <w:t xml:space="preserve"> Space reserved to a larnax within a tomb</w:t>
      </w:r>
      <w:r w:rsidR="00FB677B">
        <w:rPr>
          <w:rStyle w:val="TestofumettoCarattere"/>
          <w:b/>
        </w:rPr>
        <w:t>,</w:t>
      </w:r>
      <w:r w:rsidRPr="009302DE">
        <w:rPr>
          <w:rStyle w:val="TestofumettoCarattere"/>
          <w:b/>
        </w:rPr>
        <w:t xml:space="preserve"> Mesara area</w:t>
      </w:r>
      <w:bookmarkEnd w:id="195"/>
    </w:p>
    <w:tbl>
      <w:tblPr>
        <w:tblW w:w="0" w:type="auto"/>
        <w:tblCellMar>
          <w:left w:w="0" w:type="dxa"/>
          <w:right w:w="0" w:type="dxa"/>
        </w:tblCellMar>
        <w:tblLook w:val="04A0" w:firstRow="1" w:lastRow="0" w:firstColumn="1" w:lastColumn="0" w:noHBand="0" w:noVBand="1"/>
      </w:tblPr>
      <w:tblGrid>
        <w:gridCol w:w="1209"/>
        <w:gridCol w:w="4678"/>
      </w:tblGrid>
      <w:tr w:rsidR="008940B3" w:rsidRPr="001F536B" w14:paraId="56F13A4C" w14:textId="77777777" w:rsidTr="001F536B">
        <w:trPr>
          <w:trHeight w:val="410"/>
        </w:trPr>
        <w:tc>
          <w:tcPr>
            <w:tcW w:w="1209"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6A1DF8C9" w14:textId="77777777" w:rsidR="008940B3" w:rsidRPr="001F536B" w:rsidRDefault="008940B3" w:rsidP="00E858EF">
            <w:pPr>
              <w:suppressAutoHyphens/>
              <w:rPr>
                <w:sz w:val="20"/>
                <w:szCs w:val="16"/>
              </w:rPr>
            </w:pPr>
          </w:p>
        </w:tc>
        <w:tc>
          <w:tcPr>
            <w:tcW w:w="467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ADE22FE" w14:textId="77777777" w:rsidR="008940B3" w:rsidRPr="001F536B" w:rsidRDefault="008940B3" w:rsidP="00E858EF">
            <w:pPr>
              <w:suppressAutoHyphens/>
              <w:rPr>
                <w:b/>
                <w:sz w:val="20"/>
                <w:szCs w:val="16"/>
              </w:rPr>
            </w:pPr>
            <w:r w:rsidRPr="001F536B">
              <w:rPr>
                <w:b/>
                <w:sz w:val="20"/>
                <w:szCs w:val="16"/>
              </w:rPr>
              <w:t xml:space="preserve">Proportion of space per larnax in sq.m. </w:t>
            </w:r>
          </w:p>
        </w:tc>
      </w:tr>
      <w:tr w:rsidR="008940B3" w:rsidRPr="001F536B" w14:paraId="55F42DC1" w14:textId="77777777" w:rsidTr="001F536B">
        <w:trPr>
          <w:trHeight w:val="320"/>
        </w:trPr>
        <w:tc>
          <w:tcPr>
            <w:tcW w:w="1209"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7F564F25" w14:textId="77777777" w:rsidR="008940B3" w:rsidRPr="001F536B" w:rsidRDefault="008940B3" w:rsidP="00E858EF">
            <w:pPr>
              <w:suppressAutoHyphens/>
              <w:rPr>
                <w:sz w:val="20"/>
                <w:szCs w:val="16"/>
              </w:rPr>
            </w:pPr>
            <w:r w:rsidRPr="001F536B">
              <w:rPr>
                <w:sz w:val="20"/>
                <w:szCs w:val="16"/>
              </w:rPr>
              <w:t>Mean</w:t>
            </w:r>
          </w:p>
        </w:tc>
        <w:tc>
          <w:tcPr>
            <w:tcW w:w="467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2D2740F8" w14:textId="77777777" w:rsidR="008940B3" w:rsidRPr="001F536B" w:rsidRDefault="008940B3" w:rsidP="00E858EF">
            <w:pPr>
              <w:suppressAutoHyphens/>
              <w:rPr>
                <w:sz w:val="20"/>
                <w:szCs w:val="16"/>
              </w:rPr>
            </w:pPr>
            <w:r w:rsidRPr="001F536B">
              <w:rPr>
                <w:sz w:val="20"/>
                <w:szCs w:val="16"/>
              </w:rPr>
              <w:t>2.86</w:t>
            </w:r>
          </w:p>
        </w:tc>
      </w:tr>
      <w:tr w:rsidR="008940B3" w:rsidRPr="001F536B" w14:paraId="3AC58B40" w14:textId="77777777" w:rsidTr="001F536B">
        <w:trPr>
          <w:trHeight w:val="320"/>
        </w:trPr>
        <w:tc>
          <w:tcPr>
            <w:tcW w:w="1209"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138C1FC8" w14:textId="77777777" w:rsidR="008940B3" w:rsidRPr="001F536B" w:rsidRDefault="008940B3" w:rsidP="00E858EF">
            <w:pPr>
              <w:suppressAutoHyphens/>
              <w:rPr>
                <w:sz w:val="20"/>
                <w:szCs w:val="16"/>
              </w:rPr>
            </w:pPr>
            <w:r w:rsidRPr="001F536B">
              <w:rPr>
                <w:sz w:val="20"/>
                <w:szCs w:val="16"/>
              </w:rPr>
              <w:t>Max</w:t>
            </w:r>
          </w:p>
        </w:tc>
        <w:tc>
          <w:tcPr>
            <w:tcW w:w="467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01ABE6E5" w14:textId="77777777" w:rsidR="008940B3" w:rsidRPr="001F536B" w:rsidRDefault="008940B3" w:rsidP="00E858EF">
            <w:pPr>
              <w:suppressAutoHyphens/>
              <w:rPr>
                <w:sz w:val="20"/>
                <w:szCs w:val="16"/>
                <w:lang w:val="fr-FR"/>
              </w:rPr>
            </w:pPr>
            <w:r w:rsidRPr="001F536B">
              <w:rPr>
                <w:sz w:val="20"/>
                <w:szCs w:val="16"/>
                <w:lang w:val="fr-FR"/>
              </w:rPr>
              <w:t>7 (Apodoulou Frangou tou Louri Tomb 4 : 1 larnax)</w:t>
            </w:r>
          </w:p>
        </w:tc>
      </w:tr>
      <w:tr w:rsidR="008940B3" w:rsidRPr="001F536B" w14:paraId="7A7F2529" w14:textId="77777777" w:rsidTr="001F536B">
        <w:trPr>
          <w:trHeight w:val="313"/>
        </w:trPr>
        <w:tc>
          <w:tcPr>
            <w:tcW w:w="1209"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477BE899" w14:textId="77777777" w:rsidR="008940B3" w:rsidRPr="001F536B" w:rsidRDefault="008940B3" w:rsidP="00E858EF">
            <w:pPr>
              <w:suppressAutoHyphens/>
              <w:rPr>
                <w:sz w:val="20"/>
                <w:szCs w:val="16"/>
              </w:rPr>
            </w:pPr>
            <w:r w:rsidRPr="001F536B">
              <w:rPr>
                <w:sz w:val="20"/>
                <w:szCs w:val="16"/>
              </w:rPr>
              <w:t>Min</w:t>
            </w:r>
          </w:p>
        </w:tc>
        <w:tc>
          <w:tcPr>
            <w:tcW w:w="467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779717F6" w14:textId="77777777" w:rsidR="008940B3" w:rsidRPr="001F536B" w:rsidRDefault="008940B3" w:rsidP="00E858EF">
            <w:pPr>
              <w:suppressAutoHyphens/>
              <w:rPr>
                <w:sz w:val="20"/>
                <w:szCs w:val="16"/>
                <w:lang w:val="fr-FR"/>
              </w:rPr>
            </w:pPr>
            <w:r w:rsidRPr="001F536B">
              <w:rPr>
                <w:sz w:val="20"/>
                <w:szCs w:val="16"/>
                <w:lang w:val="fr-FR"/>
              </w:rPr>
              <w:t>0.5 (Apodoulou Frangou tou Louri Tomb 6 : 3 larnax)</w:t>
            </w:r>
          </w:p>
        </w:tc>
      </w:tr>
    </w:tbl>
    <w:p w14:paraId="7AC18C34"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sz w:val="22"/>
          <w:szCs w:val="22"/>
          <w:lang w:val="fr-FR"/>
        </w:rPr>
      </w:pPr>
    </w:p>
    <w:p w14:paraId="6E2C9FE6" w14:textId="27A6ADF3" w:rsidR="008940B3" w:rsidRPr="000D552C" w:rsidRDefault="008940B3" w:rsidP="00E858EF">
      <w:pPr>
        <w:pStyle w:val="Testofumetto"/>
        <w:suppressAutoHyphens/>
        <w:rPr>
          <w:lang w:val="fr-FR"/>
        </w:rPr>
      </w:pPr>
      <w:bookmarkStart w:id="196" w:name="_Toc520212516"/>
      <w:r>
        <w:rPr>
          <w:lang w:val="fr-FR"/>
        </w:rPr>
        <w:t>Table 3-27.</w:t>
      </w:r>
      <w:r w:rsidRPr="00E20A0D">
        <w:t xml:space="preserve"> </w:t>
      </w:r>
      <w:r>
        <w:t>Number of larnakes per tomb</w:t>
      </w:r>
      <w:r w:rsidR="00FB677B">
        <w:t>,</w:t>
      </w:r>
      <w:r>
        <w:t xml:space="preserve"> Mesara area</w:t>
      </w:r>
      <w:bookmarkEnd w:id="196"/>
    </w:p>
    <w:tbl>
      <w:tblPr>
        <w:tblStyle w:val="Grigliatabella"/>
        <w:tblW w:w="0" w:type="auto"/>
        <w:tblLook w:val="04A0" w:firstRow="1" w:lastRow="0" w:firstColumn="1" w:lastColumn="0" w:noHBand="0" w:noVBand="1"/>
      </w:tblPr>
      <w:tblGrid>
        <w:gridCol w:w="1242"/>
        <w:gridCol w:w="2835"/>
      </w:tblGrid>
      <w:tr w:rsidR="008940B3" w:rsidRPr="001F536B" w14:paraId="6A0A755D" w14:textId="77777777" w:rsidTr="001F536B">
        <w:trPr>
          <w:trHeight w:val="290"/>
        </w:trPr>
        <w:tc>
          <w:tcPr>
            <w:tcW w:w="1242" w:type="dxa"/>
          </w:tcPr>
          <w:p w14:paraId="40FF21E2" w14:textId="77777777" w:rsidR="008940B3" w:rsidRPr="001F536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sz w:val="20"/>
                <w:szCs w:val="22"/>
                <w:lang w:val="fr-FR"/>
              </w:rPr>
            </w:pPr>
          </w:p>
        </w:tc>
        <w:tc>
          <w:tcPr>
            <w:tcW w:w="2835" w:type="dxa"/>
          </w:tcPr>
          <w:p w14:paraId="16C3A12A" w14:textId="77777777" w:rsidR="008940B3" w:rsidRPr="001F536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b/>
                <w:color w:val="000000"/>
                <w:sz w:val="20"/>
                <w:szCs w:val="16"/>
              </w:rPr>
            </w:pPr>
            <w:r w:rsidRPr="001F536B">
              <w:rPr>
                <w:b/>
                <w:color w:val="000000"/>
                <w:sz w:val="20"/>
                <w:szCs w:val="16"/>
              </w:rPr>
              <w:t>Number of larnakes per tomb</w:t>
            </w:r>
          </w:p>
        </w:tc>
      </w:tr>
      <w:tr w:rsidR="008940B3" w:rsidRPr="001F536B" w14:paraId="4CA9E509" w14:textId="77777777" w:rsidTr="001F536B">
        <w:trPr>
          <w:trHeight w:val="290"/>
        </w:trPr>
        <w:tc>
          <w:tcPr>
            <w:tcW w:w="1242" w:type="dxa"/>
          </w:tcPr>
          <w:p w14:paraId="2E4557F6" w14:textId="77777777" w:rsidR="008940B3" w:rsidRPr="001F536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1F536B">
              <w:rPr>
                <w:color w:val="000000"/>
                <w:sz w:val="20"/>
                <w:szCs w:val="16"/>
              </w:rPr>
              <w:t>Mean</w:t>
            </w:r>
          </w:p>
        </w:tc>
        <w:tc>
          <w:tcPr>
            <w:tcW w:w="2835" w:type="dxa"/>
          </w:tcPr>
          <w:p w14:paraId="354C56C7" w14:textId="77777777" w:rsidR="008940B3" w:rsidRPr="001F536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1F536B">
              <w:rPr>
                <w:color w:val="000000"/>
                <w:sz w:val="20"/>
                <w:szCs w:val="16"/>
              </w:rPr>
              <w:t>2.9</w:t>
            </w:r>
          </w:p>
        </w:tc>
      </w:tr>
      <w:tr w:rsidR="008940B3" w:rsidRPr="001F536B" w14:paraId="462A107A" w14:textId="77777777" w:rsidTr="001F536B">
        <w:trPr>
          <w:trHeight w:val="303"/>
        </w:trPr>
        <w:tc>
          <w:tcPr>
            <w:tcW w:w="1242" w:type="dxa"/>
          </w:tcPr>
          <w:p w14:paraId="2CC474D2" w14:textId="77777777" w:rsidR="008940B3" w:rsidRPr="001F536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1F536B">
              <w:rPr>
                <w:color w:val="000000"/>
                <w:sz w:val="20"/>
                <w:szCs w:val="16"/>
              </w:rPr>
              <w:t>Max</w:t>
            </w:r>
          </w:p>
        </w:tc>
        <w:tc>
          <w:tcPr>
            <w:tcW w:w="2835" w:type="dxa"/>
          </w:tcPr>
          <w:p w14:paraId="07C25B02" w14:textId="77777777" w:rsidR="008940B3" w:rsidRPr="001F536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1F536B">
              <w:rPr>
                <w:color w:val="000000"/>
                <w:sz w:val="20"/>
                <w:szCs w:val="16"/>
              </w:rPr>
              <w:t>15 (Valis tholos)</w:t>
            </w:r>
          </w:p>
        </w:tc>
      </w:tr>
      <w:tr w:rsidR="008940B3" w:rsidRPr="001F536B" w14:paraId="40CD7B10" w14:textId="77777777" w:rsidTr="001F536B">
        <w:trPr>
          <w:trHeight w:val="303"/>
        </w:trPr>
        <w:tc>
          <w:tcPr>
            <w:tcW w:w="1242" w:type="dxa"/>
          </w:tcPr>
          <w:p w14:paraId="56C6ED5D" w14:textId="77777777" w:rsidR="008940B3" w:rsidRPr="001F536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1F536B">
              <w:rPr>
                <w:color w:val="000000"/>
                <w:sz w:val="20"/>
                <w:szCs w:val="16"/>
              </w:rPr>
              <w:t>Min</w:t>
            </w:r>
          </w:p>
        </w:tc>
        <w:tc>
          <w:tcPr>
            <w:tcW w:w="2835" w:type="dxa"/>
          </w:tcPr>
          <w:p w14:paraId="288CE8D8" w14:textId="77777777" w:rsidR="008940B3" w:rsidRPr="001F536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1F536B">
              <w:rPr>
                <w:color w:val="000000"/>
                <w:sz w:val="20"/>
                <w:szCs w:val="16"/>
              </w:rPr>
              <w:t>1</w:t>
            </w:r>
          </w:p>
        </w:tc>
      </w:tr>
    </w:tbl>
    <w:p w14:paraId="25F6F16D" w14:textId="77777777" w:rsidR="008940B3" w:rsidRPr="003B5C8D"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2"/>
          <w:szCs w:val="22"/>
        </w:rPr>
      </w:pPr>
    </w:p>
    <w:p w14:paraId="0D98A98F" w14:textId="77777777" w:rsidR="008940B3" w:rsidRPr="003E0533" w:rsidRDefault="008940B3" w:rsidP="00E858EF">
      <w:pPr>
        <w:pStyle w:val="Titolo4"/>
        <w:keepNext w:val="0"/>
        <w:keepLines w:val="0"/>
        <w:suppressAutoHyphens/>
        <w:ind w:left="864" w:hanging="864"/>
        <w:contextualSpacing w:val="0"/>
      </w:pPr>
      <w:bookmarkStart w:id="197" w:name="_Toc389131153"/>
      <w:bookmarkStart w:id="198" w:name="_Toc517876478"/>
      <w:r>
        <w:t xml:space="preserve">Tombs and larnakes: </w:t>
      </w:r>
      <w:r w:rsidRPr="003B5C8D">
        <w:t xml:space="preserve">Other deposition </w:t>
      </w:r>
      <w:r w:rsidRPr="003E0533">
        <w:t>methods</w:t>
      </w:r>
      <w:r w:rsidRPr="003B5C8D">
        <w:t xml:space="preserve"> associated with larnakes within the same tomb</w:t>
      </w:r>
      <w:bookmarkEnd w:id="197"/>
      <w:bookmarkEnd w:id="198"/>
    </w:p>
    <w:p w14:paraId="34AD86F3" w14:textId="3C8CC8AE" w:rsidR="008940B3" w:rsidRPr="003B5C8D" w:rsidRDefault="008940B3" w:rsidP="006C2644">
      <w:r w:rsidRPr="003B5C8D">
        <w:t>In 11 tombs</w:t>
      </w:r>
      <w:r>
        <w:t>,</w:t>
      </w:r>
      <w:r w:rsidRPr="003B5C8D">
        <w:t xml:space="preserve"> other type</w:t>
      </w:r>
      <w:r>
        <w:t>s</w:t>
      </w:r>
      <w:r w:rsidRPr="003B5C8D">
        <w:t xml:space="preserve"> of interment have been found together with clay larnakes. In the built tomb at </w:t>
      </w:r>
      <w:r>
        <w:t>A</w:t>
      </w:r>
      <w:r w:rsidRPr="003B5C8D">
        <w:t>gia Triada</w:t>
      </w:r>
      <w:r>
        <w:t>, a</w:t>
      </w:r>
      <w:r w:rsidRPr="003B5C8D">
        <w:t xml:space="preserve"> clay larnax was found in a pit, while in the chamber of </w:t>
      </w:r>
      <w:r>
        <w:t xml:space="preserve">the </w:t>
      </w:r>
      <w:r w:rsidRPr="003B5C8D">
        <w:t xml:space="preserve">burial building was </w:t>
      </w:r>
      <w:r>
        <w:t>a</w:t>
      </w:r>
      <w:r w:rsidRPr="003B5C8D">
        <w:t xml:space="preserve"> stone sarcophagus (Long 1974; Cucuzza 2002: 135-137).</w:t>
      </w:r>
      <w:r>
        <w:t xml:space="preserve"> </w:t>
      </w:r>
      <w:r w:rsidRPr="003B5C8D">
        <w:t xml:space="preserve">Two pyxides containing cremated bones </w:t>
      </w:r>
      <w:r>
        <w:t>were</w:t>
      </w:r>
      <w:r w:rsidRPr="003B5C8D">
        <w:t xml:space="preserve"> found in </w:t>
      </w:r>
      <w:r>
        <w:t>C</w:t>
      </w:r>
      <w:r w:rsidRPr="003B5C8D">
        <w:t xml:space="preserve">hamber </w:t>
      </w:r>
      <w:r>
        <w:t>T</w:t>
      </w:r>
      <w:r w:rsidRPr="003B5C8D">
        <w:t xml:space="preserve">omb D at Liliana and in the reused tholos of Valis. </w:t>
      </w:r>
      <w:r>
        <w:t>Regarding</w:t>
      </w:r>
      <w:r w:rsidRPr="003B5C8D">
        <w:t xml:space="preserve"> </w:t>
      </w:r>
      <w:r>
        <w:t>T</w:t>
      </w:r>
      <w:r w:rsidRPr="003B5C8D">
        <w:t>omb D at Liliana</w:t>
      </w:r>
      <w:r>
        <w:t>,</w:t>
      </w:r>
      <w:r w:rsidRPr="003B5C8D">
        <w:t xml:space="preserve"> along with the cremated burial in </w:t>
      </w:r>
      <w:r>
        <w:t xml:space="preserve">the </w:t>
      </w:r>
      <w:r w:rsidRPr="003B5C8D">
        <w:t>pyxis</w:t>
      </w:r>
      <w:r>
        <w:t>,</w:t>
      </w:r>
      <w:r w:rsidRPr="003B5C8D">
        <w:t xml:space="preserve"> two inhumations </w:t>
      </w:r>
      <w:r>
        <w:t>were</w:t>
      </w:r>
      <w:r w:rsidRPr="003B5C8D">
        <w:t xml:space="preserve"> also retrieved</w:t>
      </w:r>
      <w:r>
        <w:t>:</w:t>
      </w:r>
      <w:r w:rsidRPr="003B5C8D">
        <w:t xml:space="preserve"> one in a clay larnax and the other on a bench (Savignoni 1904: 643-644; Perna 2011:</w:t>
      </w:r>
      <w:r>
        <w:t xml:space="preserve"> </w:t>
      </w:r>
      <w:r w:rsidRPr="003B5C8D">
        <w:t>140). It is possible that the cremation represents the later phase of use of the tomb (Perna 2011:</w:t>
      </w:r>
      <w:r>
        <w:t xml:space="preserve"> </w:t>
      </w:r>
      <w:r w:rsidRPr="003B5C8D">
        <w:t xml:space="preserve">140). The same hypothesis can be suggested for the pyxis with </w:t>
      </w:r>
      <w:r>
        <w:t xml:space="preserve">the </w:t>
      </w:r>
      <w:r w:rsidRPr="003B5C8D">
        <w:t>cremated individual found in the early tholos tomb of Valis (Davaras 1973: 164; Perna 2011: 142).</w:t>
      </w:r>
      <w:r>
        <w:t xml:space="preserve"> </w:t>
      </w:r>
      <w:r w:rsidRPr="003B5C8D">
        <w:t>The two pithos burials from Kousses (Kanta 1980: 94-95) and Valis (</w:t>
      </w:r>
      <w:r w:rsidRPr="00E76C4E">
        <w:rPr>
          <w:i/>
        </w:rPr>
        <w:t>BCH</w:t>
      </w:r>
      <w:r>
        <w:t xml:space="preserve"> 50 </w:t>
      </w:r>
      <w:r w:rsidRPr="003B5C8D">
        <w:t>1926</w:t>
      </w:r>
      <w:r>
        <w:t>: 164</w:t>
      </w:r>
      <w:r w:rsidRPr="003B5C8D">
        <w:t xml:space="preserve">; </w:t>
      </w:r>
      <w:r>
        <w:t>Löwe 1996:</w:t>
      </w:r>
      <w:r w:rsidR="00715077">
        <w:t xml:space="preserve"> </w:t>
      </w:r>
      <w:r>
        <w:t xml:space="preserve">254 n. 781) are </w:t>
      </w:r>
      <w:r w:rsidRPr="003B5C8D">
        <w:t>dated to LM III</w:t>
      </w:r>
      <w:r>
        <w:t>, although not securely</w:t>
      </w:r>
      <w:r w:rsidRPr="003B5C8D">
        <w:t>.</w:t>
      </w:r>
      <w:r>
        <w:t xml:space="preserve"> </w:t>
      </w:r>
      <w:r w:rsidRPr="003B5C8D">
        <w:t xml:space="preserve">The remaining two wooden biers or coffins </w:t>
      </w:r>
      <w:r>
        <w:t>were</w:t>
      </w:r>
      <w:r w:rsidRPr="003B5C8D">
        <w:t xml:space="preserve"> found associated with a larnax burial and a simple skeleton on the floor in a chamber tomb at Stavros Galias (Karetsou 1975: 522-526; Kanta 1980: 88-90). </w:t>
      </w:r>
      <w:r>
        <w:t>In a</w:t>
      </w:r>
      <w:r w:rsidRPr="003B5C8D">
        <w:t xml:space="preserve"> corbel</w:t>
      </w:r>
      <w:r>
        <w:t>-</w:t>
      </w:r>
      <w:r w:rsidRPr="003B5C8D">
        <w:t>vaulted</w:t>
      </w:r>
      <w:r>
        <w:t xml:space="preserve"> tomb</w:t>
      </w:r>
      <w:r w:rsidRPr="003B5C8D">
        <w:t xml:space="preserve"> at Apodoulou Ph</w:t>
      </w:r>
      <w:r w:rsidR="003316FA">
        <w:t>r</w:t>
      </w:r>
      <w:r w:rsidRPr="003B5C8D">
        <w:t xml:space="preserve">angou tou Louri (T128), in a chamber tomb at Goudies (T78) (Laviosa 1970; Cucuzza 2002: 139-140), </w:t>
      </w:r>
      <w:r>
        <w:t xml:space="preserve">and </w:t>
      </w:r>
      <w:r w:rsidRPr="003B5C8D">
        <w:t xml:space="preserve">at Klima (T79) (Rethemiotakis 1995) and Liliana (T81) (Savignoni 1904), larnakes </w:t>
      </w:r>
      <w:r>
        <w:t>were</w:t>
      </w:r>
      <w:r w:rsidRPr="003B5C8D">
        <w:t xml:space="preserve"> placed above stone slabs. </w:t>
      </w:r>
    </w:p>
    <w:p w14:paraId="001EF45E" w14:textId="77777777" w:rsidR="008940B3" w:rsidRPr="003B5C8D" w:rsidRDefault="008940B3" w:rsidP="006C2644">
      <w:r>
        <w:tab/>
        <w:t>Regarding</w:t>
      </w:r>
      <w:r w:rsidRPr="003B5C8D">
        <w:t xml:space="preserve"> the depositions found on the floor or in pits, for a number of burials it is highly possible that these were previous depositions moved from a larnax to the floor or in</w:t>
      </w:r>
      <w:r>
        <w:t>to</w:t>
      </w:r>
      <w:r w:rsidRPr="003B5C8D">
        <w:t xml:space="preserve"> </w:t>
      </w:r>
      <w:r>
        <w:t>the</w:t>
      </w:r>
      <w:r w:rsidRPr="003B5C8D">
        <w:t xml:space="preserve"> pit to make space for the new burials, as in the case of three chamber tombs </w:t>
      </w:r>
      <w:r>
        <w:t>at</w:t>
      </w:r>
      <w:r w:rsidRPr="003B5C8D">
        <w:t xml:space="preserve"> Kalochoraphitis Anevolema (</w:t>
      </w:r>
      <w:r>
        <w:t>Karetsou and Girella 2015</w:t>
      </w:r>
      <w:r w:rsidRPr="003B5C8D">
        <w:t xml:space="preserve">). </w:t>
      </w:r>
      <w:r>
        <w:t>However, for the vast majority of cases, this is difficult to hypothesise, and this aspect is examined in greater detail in the section concerning the analysis of burials and skeletal remains associated with larnakes.</w:t>
      </w:r>
      <w:r>
        <w:tab/>
      </w:r>
    </w:p>
    <w:p w14:paraId="3E9176B1" w14:textId="77777777" w:rsidR="008940B3" w:rsidRPr="003B5C8D" w:rsidRDefault="008940B3" w:rsidP="006C2644">
      <w:r>
        <w:tab/>
        <w:t xml:space="preserve">It is interesting to note that a secure </w:t>
      </w:r>
      <w:r w:rsidRPr="003B5C8D">
        <w:t>deposition</w:t>
      </w:r>
      <w:r>
        <w:t xml:space="preserve"> on the floor was found in association with a larnax burial</w:t>
      </w:r>
      <w:r w:rsidRPr="003B5C8D">
        <w:t xml:space="preserve"> in </w:t>
      </w:r>
      <w:r>
        <w:t xml:space="preserve">a tomb located at Apodoulou Frangou to Louri (T130). In this tomb, the skeleton on the floor </w:t>
      </w:r>
      <w:r w:rsidRPr="003B5C8D">
        <w:t>must represent a deliberate</w:t>
      </w:r>
      <w:r>
        <w:t>ly</w:t>
      </w:r>
      <w:r w:rsidRPr="003B5C8D">
        <w:t xml:space="preserve"> different </w:t>
      </w:r>
      <w:r>
        <w:t>interment</w:t>
      </w:r>
      <w:r w:rsidRPr="003B5C8D">
        <w:t xml:space="preserve"> choice</w:t>
      </w:r>
      <w:r>
        <w:t xml:space="preserve"> </w:t>
      </w:r>
      <w:r w:rsidRPr="003B5C8D">
        <w:t xml:space="preserve">because there was enough space in the tomb to store another larnax. In this tomb, </w:t>
      </w:r>
      <w:r>
        <w:t>a</w:t>
      </w:r>
      <w:r w:rsidRPr="003B5C8D">
        <w:t xml:space="preserve"> bovine skeleton was </w:t>
      </w:r>
      <w:r>
        <w:t xml:space="preserve">also </w:t>
      </w:r>
      <w:r w:rsidRPr="003B5C8D">
        <w:t xml:space="preserve">found (Tzigounaki 1996: 1493-1494). </w:t>
      </w:r>
    </w:p>
    <w:p w14:paraId="6D833526" w14:textId="77777777" w:rsidR="008940B3" w:rsidRPr="003B5C8D" w:rsidRDefault="008940B3" w:rsidP="006C2644">
      <w:r>
        <w:tab/>
        <w:t>T</w:t>
      </w:r>
      <w:r w:rsidRPr="003B5C8D">
        <w:t xml:space="preserve">wo pithos depositions </w:t>
      </w:r>
      <w:r>
        <w:t>were</w:t>
      </w:r>
      <w:r w:rsidRPr="003B5C8D">
        <w:t xml:space="preserve"> found at Kousses and in the reused tholos of Valis</w:t>
      </w:r>
      <w:r>
        <w:t>;</w:t>
      </w:r>
      <w:r w:rsidRPr="003B5C8D">
        <w:t xml:space="preserve"> however</w:t>
      </w:r>
      <w:r>
        <w:t>,</w:t>
      </w:r>
      <w:r w:rsidRPr="003B5C8D">
        <w:t xml:space="preserve"> no further information is available.</w:t>
      </w:r>
    </w:p>
    <w:p w14:paraId="5D9ADAA7" w14:textId="77777777" w:rsidR="008940B3" w:rsidRPr="003B5C8D" w:rsidRDefault="008940B3" w:rsidP="006C2644">
      <w:r>
        <w:tab/>
      </w:r>
      <w:r w:rsidRPr="003B5C8D">
        <w:t>Two distinct phases of use have been identified for</w:t>
      </w:r>
      <w:r>
        <w:t xml:space="preserve"> the built tomb containing</w:t>
      </w:r>
      <w:r w:rsidRPr="003B5C8D">
        <w:t xml:space="preserve"> the </w:t>
      </w:r>
      <w:r>
        <w:t>A</w:t>
      </w:r>
      <w:r w:rsidRPr="003B5C8D">
        <w:t xml:space="preserve">gia Triada sarcophagus, where the larnax burial in the pit follows the one in the stone sarcophagus (Cucuzza 2002: 135-137), and for the larnax burial found in the same cemetery, where the upper larnax probably represents a replacement of an earlier one, of which fragment </w:t>
      </w:r>
      <w:r>
        <w:t>were</w:t>
      </w:r>
      <w:r w:rsidRPr="003B5C8D">
        <w:t xml:space="preserve"> found </w:t>
      </w:r>
      <w:r>
        <w:t>beneath</w:t>
      </w:r>
      <w:r w:rsidRPr="003B5C8D">
        <w:t xml:space="preserve"> (Cucuzza 2003)</w:t>
      </w:r>
      <w:r>
        <w:t>.</w:t>
      </w:r>
    </w:p>
    <w:p w14:paraId="18C32F95" w14:textId="77777777" w:rsidR="008940B3" w:rsidRDefault="008940B3" w:rsidP="006C2644">
      <w:r>
        <w:tab/>
      </w:r>
      <w:r w:rsidRPr="003B5C8D">
        <w:t>In other cemeteries</w:t>
      </w:r>
      <w:r>
        <w:t>,</w:t>
      </w:r>
      <w:r w:rsidRPr="003B5C8D">
        <w:t xml:space="preserve"> </w:t>
      </w:r>
      <w:r>
        <w:t>it</w:t>
      </w:r>
      <w:r w:rsidRPr="003B5C8D">
        <w:t xml:space="preserve"> is impossible to reconstruct the phases of use due to </w:t>
      </w:r>
      <w:r>
        <w:t>the poor</w:t>
      </w:r>
      <w:r w:rsidRPr="003B5C8D">
        <w:t xml:space="preserve"> preserv</w:t>
      </w:r>
      <w:r>
        <w:t>ation</w:t>
      </w:r>
      <w:r w:rsidRPr="003B5C8D">
        <w:t xml:space="preserve"> condition</w:t>
      </w:r>
      <w:r>
        <w:t>s</w:t>
      </w:r>
      <w:r w:rsidRPr="003B5C8D">
        <w:t xml:space="preserve"> of the tomb or plundering, as in the case of the corbel</w:t>
      </w:r>
      <w:r>
        <w:t>-</w:t>
      </w:r>
      <w:r w:rsidRPr="003B5C8D">
        <w:t>vaulted tombs around Apodoulou (Tzigounaki 1996: 1</w:t>
      </w:r>
      <w:r>
        <w:t>,</w:t>
      </w:r>
      <w:r w:rsidRPr="003B5C8D">
        <w:t>489-1</w:t>
      </w:r>
      <w:r>
        <w:t>,</w:t>
      </w:r>
      <w:r w:rsidRPr="003B5C8D">
        <w:t>497) or due to scar</w:t>
      </w:r>
      <w:r>
        <w:t>c</w:t>
      </w:r>
      <w:r w:rsidRPr="003B5C8D">
        <w:t xml:space="preserve">e information available in </w:t>
      </w:r>
      <w:r>
        <w:t xml:space="preserve">the </w:t>
      </w:r>
      <w:r w:rsidRPr="003B5C8D">
        <w:t>publication records (Liliana: Savignoni 1904: 628-662).</w:t>
      </w:r>
      <w:r>
        <w:t xml:space="preserve"> The total percentage of tombs in which other types of burials have been registered is 32%. The 27% corresponds to tombs for which there is evidence only for larnax burials, and for the remaining 41% there are no information about the interment type associated.</w:t>
      </w:r>
    </w:p>
    <w:p w14:paraId="130524B9"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75E8C85" w14:textId="420FD88C" w:rsidR="008940B3" w:rsidRPr="003B5C8D" w:rsidRDefault="0039278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74F34906" wp14:editId="6D16C212">
            <wp:extent cx="4572000" cy="2743200"/>
            <wp:effectExtent l="0" t="0" r="25400" b="25400"/>
            <wp:docPr id="212" name="Grafico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141B6D1" w14:textId="2D24D796" w:rsidR="008940B3" w:rsidRDefault="008940B3" w:rsidP="00E858EF">
      <w:pPr>
        <w:pStyle w:val="Didascalia"/>
        <w:suppressAutoHyphens/>
      </w:pPr>
      <w:bookmarkStart w:id="199" w:name="_Toc520212298"/>
      <w:r>
        <w:t>Figure 3-17. Interment types per tomb</w:t>
      </w:r>
      <w:r w:rsidR="006B0E38">
        <w:t>,</w:t>
      </w:r>
      <w:r>
        <w:t xml:space="preserve"> Mesara area</w:t>
      </w:r>
      <w:bookmarkEnd w:id="199"/>
    </w:p>
    <w:p w14:paraId="210F2401"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E8DB517" w14:textId="77777777" w:rsidR="00AF6C86" w:rsidRDefault="00AF6C86"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2D69173D" w14:textId="77777777" w:rsidR="00AF6C86" w:rsidRDefault="00AF6C86"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5CE4F70E" w14:textId="796F557A" w:rsidR="008940B3" w:rsidRPr="003B5C8D" w:rsidRDefault="008940B3" w:rsidP="00E858EF">
      <w:pPr>
        <w:pStyle w:val="Testofumetto"/>
        <w:suppressAutoHyphens/>
      </w:pPr>
      <w:bookmarkStart w:id="200" w:name="_Toc520212517"/>
      <w:r>
        <w:t>Table 3-28. Interment types occurrence</w:t>
      </w:r>
      <w:r w:rsidR="006B0E38">
        <w:t>,</w:t>
      </w:r>
      <w:r>
        <w:t xml:space="preserve"> Mesara area</w:t>
      </w:r>
      <w:bookmarkEnd w:id="200"/>
    </w:p>
    <w:tbl>
      <w:tblPr>
        <w:tblW w:w="0" w:type="auto"/>
        <w:tblInd w:w="10" w:type="dxa"/>
        <w:tblCellMar>
          <w:left w:w="70" w:type="dxa"/>
          <w:right w:w="70" w:type="dxa"/>
        </w:tblCellMar>
        <w:tblLook w:val="04A0" w:firstRow="1" w:lastRow="0" w:firstColumn="1" w:lastColumn="0" w:noHBand="0" w:noVBand="1"/>
      </w:tblPr>
      <w:tblGrid>
        <w:gridCol w:w="1620"/>
        <w:gridCol w:w="1241"/>
        <w:gridCol w:w="1035"/>
        <w:gridCol w:w="708"/>
        <w:gridCol w:w="751"/>
        <w:gridCol w:w="911"/>
        <w:gridCol w:w="771"/>
        <w:gridCol w:w="1130"/>
      </w:tblGrid>
      <w:tr w:rsidR="008940B3" w:rsidRPr="006C2644" w14:paraId="729CA009" w14:textId="77777777" w:rsidTr="006C2644">
        <w:trPr>
          <w:trHeight w:val="440"/>
        </w:trPr>
        <w:tc>
          <w:tcPr>
            <w:tcW w:w="1620" w:type="dxa"/>
            <w:tcBorders>
              <w:top w:val="single" w:sz="6" w:space="0" w:color="000000"/>
              <w:left w:val="single" w:sz="6" w:space="0" w:color="000000"/>
              <w:bottom w:val="single" w:sz="6" w:space="0" w:color="000000"/>
              <w:right w:val="single" w:sz="6" w:space="0" w:color="000000"/>
            </w:tcBorders>
            <w:hideMark/>
          </w:tcPr>
          <w:p w14:paraId="56E6B2DF" w14:textId="77777777" w:rsidR="008940B3" w:rsidRPr="006C2644" w:rsidRDefault="008940B3" w:rsidP="00E858EF">
            <w:pPr>
              <w:suppressAutoHyphens/>
              <w:rPr>
                <w:sz w:val="20"/>
                <w:szCs w:val="16"/>
              </w:rPr>
            </w:pPr>
          </w:p>
        </w:tc>
        <w:tc>
          <w:tcPr>
            <w:tcW w:w="1241" w:type="dxa"/>
            <w:tcBorders>
              <w:top w:val="single" w:sz="6" w:space="0" w:color="000000"/>
              <w:left w:val="single" w:sz="6" w:space="0" w:color="000000"/>
              <w:bottom w:val="single" w:sz="6" w:space="0" w:color="000000"/>
              <w:right w:val="single" w:sz="6" w:space="0" w:color="000000"/>
            </w:tcBorders>
            <w:hideMark/>
          </w:tcPr>
          <w:p w14:paraId="6B68E63B" w14:textId="77777777" w:rsidR="008940B3" w:rsidRPr="006C2644" w:rsidRDefault="008940B3" w:rsidP="00E858EF">
            <w:pPr>
              <w:suppressAutoHyphens/>
              <w:jc w:val="center"/>
              <w:rPr>
                <w:sz w:val="18"/>
                <w:szCs w:val="16"/>
              </w:rPr>
            </w:pPr>
            <w:r w:rsidRPr="006C2644">
              <w:rPr>
                <w:color w:val="000000"/>
                <w:sz w:val="18"/>
                <w:szCs w:val="16"/>
              </w:rPr>
              <w:t>WOODEN BIER/COFFIN</w:t>
            </w:r>
          </w:p>
        </w:tc>
        <w:tc>
          <w:tcPr>
            <w:tcW w:w="1035" w:type="dxa"/>
            <w:tcBorders>
              <w:top w:val="single" w:sz="6" w:space="0" w:color="000000"/>
              <w:left w:val="single" w:sz="6" w:space="0" w:color="000000"/>
              <w:bottom w:val="single" w:sz="6" w:space="0" w:color="000000"/>
              <w:right w:val="single" w:sz="6" w:space="0" w:color="000000"/>
            </w:tcBorders>
            <w:hideMark/>
          </w:tcPr>
          <w:p w14:paraId="325561BE" w14:textId="77777777" w:rsidR="008940B3" w:rsidRPr="006C2644" w:rsidRDefault="008940B3" w:rsidP="00E858EF">
            <w:pPr>
              <w:suppressAutoHyphens/>
              <w:jc w:val="center"/>
              <w:rPr>
                <w:sz w:val="18"/>
                <w:szCs w:val="16"/>
              </w:rPr>
            </w:pPr>
            <w:r w:rsidRPr="006C2644">
              <w:rPr>
                <w:color w:val="000000"/>
                <w:sz w:val="18"/>
                <w:szCs w:val="16"/>
              </w:rPr>
              <w:t>FLOOR</w:t>
            </w:r>
          </w:p>
        </w:tc>
        <w:tc>
          <w:tcPr>
            <w:tcW w:w="708" w:type="dxa"/>
            <w:tcBorders>
              <w:top w:val="single" w:sz="6" w:space="0" w:color="000000"/>
              <w:left w:val="single" w:sz="6" w:space="0" w:color="000000"/>
              <w:bottom w:val="single" w:sz="6" w:space="0" w:color="000000"/>
              <w:right w:val="single" w:sz="6" w:space="0" w:color="000000"/>
            </w:tcBorders>
          </w:tcPr>
          <w:p w14:paraId="109376B1" w14:textId="5C6A4851" w:rsidR="008940B3" w:rsidRPr="006C2644" w:rsidRDefault="008940B3" w:rsidP="00E858EF">
            <w:pPr>
              <w:suppressAutoHyphens/>
              <w:jc w:val="center"/>
              <w:rPr>
                <w:color w:val="000000"/>
                <w:sz w:val="18"/>
                <w:szCs w:val="16"/>
              </w:rPr>
            </w:pPr>
            <w:r w:rsidRPr="006C2644">
              <w:rPr>
                <w:color w:val="000000"/>
                <w:sz w:val="18"/>
                <w:szCs w:val="16"/>
              </w:rPr>
              <w:t>PIT</w:t>
            </w:r>
          </w:p>
        </w:tc>
        <w:tc>
          <w:tcPr>
            <w:tcW w:w="751" w:type="dxa"/>
            <w:tcBorders>
              <w:top w:val="single" w:sz="6" w:space="0" w:color="000000"/>
              <w:left w:val="single" w:sz="6" w:space="0" w:color="000000"/>
              <w:bottom w:val="single" w:sz="6" w:space="0" w:color="000000"/>
              <w:right w:val="single" w:sz="6" w:space="0" w:color="000000"/>
            </w:tcBorders>
          </w:tcPr>
          <w:p w14:paraId="043D0E6A" w14:textId="77777777" w:rsidR="008940B3" w:rsidRPr="006C2644" w:rsidRDefault="008940B3" w:rsidP="00E858EF">
            <w:pPr>
              <w:suppressAutoHyphens/>
              <w:jc w:val="center"/>
              <w:rPr>
                <w:color w:val="000000"/>
                <w:sz w:val="18"/>
                <w:szCs w:val="16"/>
              </w:rPr>
            </w:pPr>
            <w:r w:rsidRPr="006C2644">
              <w:rPr>
                <w:color w:val="000000"/>
                <w:sz w:val="18"/>
                <w:szCs w:val="16"/>
              </w:rPr>
              <w:t>BENCH</w:t>
            </w:r>
          </w:p>
        </w:tc>
        <w:tc>
          <w:tcPr>
            <w:tcW w:w="911" w:type="dxa"/>
            <w:tcBorders>
              <w:top w:val="single" w:sz="6" w:space="0" w:color="000000"/>
              <w:left w:val="single" w:sz="6" w:space="0" w:color="000000"/>
              <w:bottom w:val="single" w:sz="6" w:space="0" w:color="000000"/>
              <w:right w:val="single" w:sz="6" w:space="0" w:color="000000"/>
            </w:tcBorders>
          </w:tcPr>
          <w:p w14:paraId="355EAF22" w14:textId="77777777" w:rsidR="008940B3" w:rsidRPr="006C2644" w:rsidRDefault="008940B3" w:rsidP="00E858EF">
            <w:pPr>
              <w:suppressAutoHyphens/>
              <w:jc w:val="center"/>
              <w:rPr>
                <w:color w:val="000000"/>
                <w:sz w:val="18"/>
                <w:szCs w:val="16"/>
              </w:rPr>
            </w:pPr>
            <w:r w:rsidRPr="006C2644">
              <w:rPr>
                <w:color w:val="000000"/>
                <w:sz w:val="18"/>
                <w:szCs w:val="16"/>
              </w:rPr>
              <w:t>DROMOS</w:t>
            </w:r>
          </w:p>
        </w:tc>
        <w:tc>
          <w:tcPr>
            <w:tcW w:w="771" w:type="dxa"/>
            <w:tcBorders>
              <w:top w:val="single" w:sz="6" w:space="0" w:color="000000"/>
              <w:left w:val="single" w:sz="6" w:space="0" w:color="000000"/>
              <w:bottom w:val="single" w:sz="6" w:space="0" w:color="000000"/>
              <w:right w:val="single" w:sz="6" w:space="0" w:color="000000"/>
            </w:tcBorders>
            <w:hideMark/>
          </w:tcPr>
          <w:p w14:paraId="0C716ECA" w14:textId="77777777" w:rsidR="008940B3" w:rsidRPr="006C2644" w:rsidRDefault="008940B3" w:rsidP="00E858EF">
            <w:pPr>
              <w:suppressAutoHyphens/>
              <w:jc w:val="center"/>
              <w:rPr>
                <w:sz w:val="18"/>
                <w:szCs w:val="16"/>
              </w:rPr>
            </w:pPr>
            <w:r w:rsidRPr="006C2644">
              <w:rPr>
                <w:color w:val="000000"/>
                <w:sz w:val="18"/>
                <w:szCs w:val="16"/>
              </w:rPr>
              <w:t>PITHOS</w:t>
            </w:r>
          </w:p>
        </w:tc>
        <w:tc>
          <w:tcPr>
            <w:tcW w:w="1130" w:type="dxa"/>
            <w:tcBorders>
              <w:top w:val="single" w:sz="6" w:space="0" w:color="000000"/>
              <w:left w:val="single" w:sz="6" w:space="0" w:color="000000"/>
              <w:bottom w:val="single" w:sz="6" w:space="0" w:color="000000"/>
              <w:right w:val="single" w:sz="6" w:space="0" w:color="000000"/>
            </w:tcBorders>
          </w:tcPr>
          <w:p w14:paraId="76B40123" w14:textId="77777777" w:rsidR="008940B3" w:rsidRPr="006C2644" w:rsidRDefault="008940B3" w:rsidP="00E858EF">
            <w:pPr>
              <w:suppressAutoHyphens/>
              <w:jc w:val="center"/>
              <w:rPr>
                <w:color w:val="000000"/>
                <w:sz w:val="18"/>
                <w:szCs w:val="16"/>
              </w:rPr>
            </w:pPr>
            <w:r w:rsidRPr="006C2644">
              <w:rPr>
                <w:color w:val="000000"/>
                <w:sz w:val="18"/>
                <w:szCs w:val="16"/>
              </w:rPr>
              <w:t>VASE WITH CREMATED BONES</w:t>
            </w:r>
          </w:p>
        </w:tc>
      </w:tr>
      <w:tr w:rsidR="008940B3" w:rsidRPr="006C2644" w14:paraId="429D051D" w14:textId="77777777" w:rsidTr="006C2644">
        <w:tblPrEx>
          <w:tblCellMar>
            <w:left w:w="0" w:type="dxa"/>
            <w:right w:w="0" w:type="dxa"/>
          </w:tblCellMar>
        </w:tblPrEx>
        <w:trPr>
          <w:trHeight w:val="175"/>
        </w:trPr>
        <w:tc>
          <w:tcPr>
            <w:tcW w:w="16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DB47114" w14:textId="52B748A2" w:rsidR="008940B3" w:rsidRPr="006C2644" w:rsidRDefault="008940B3" w:rsidP="00E858EF">
            <w:pPr>
              <w:suppressAutoHyphens/>
              <w:jc w:val="left"/>
              <w:rPr>
                <w:sz w:val="20"/>
                <w:szCs w:val="16"/>
              </w:rPr>
            </w:pPr>
            <w:r w:rsidRPr="006C2644">
              <w:rPr>
                <w:color w:val="000000"/>
                <w:sz w:val="20"/>
                <w:szCs w:val="16"/>
              </w:rPr>
              <w:t xml:space="preserve">No. </w:t>
            </w:r>
            <w:r w:rsidR="00174F80" w:rsidRPr="006C2644">
              <w:rPr>
                <w:color w:val="000000"/>
                <w:sz w:val="20"/>
                <w:szCs w:val="16"/>
              </w:rPr>
              <w:t>of tombs with other interments</w:t>
            </w:r>
          </w:p>
        </w:tc>
        <w:tc>
          <w:tcPr>
            <w:tcW w:w="124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E62F731" w14:textId="7465209E" w:rsidR="008940B3" w:rsidRPr="006C2644" w:rsidRDefault="008940B3" w:rsidP="00E858EF">
            <w:pPr>
              <w:suppressAutoHyphens/>
              <w:jc w:val="center"/>
              <w:rPr>
                <w:sz w:val="20"/>
                <w:szCs w:val="16"/>
              </w:rPr>
            </w:pPr>
            <w:r w:rsidRPr="006C2644">
              <w:rPr>
                <w:sz w:val="20"/>
                <w:szCs w:val="16"/>
              </w:rPr>
              <w:t>1</w:t>
            </w:r>
          </w:p>
        </w:tc>
        <w:tc>
          <w:tcPr>
            <w:tcW w:w="103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5B1CE13" w14:textId="77777777" w:rsidR="008940B3" w:rsidRPr="006C2644" w:rsidRDefault="008940B3" w:rsidP="00E858EF">
            <w:pPr>
              <w:suppressAutoHyphens/>
              <w:jc w:val="center"/>
              <w:rPr>
                <w:sz w:val="20"/>
                <w:szCs w:val="16"/>
              </w:rPr>
            </w:pPr>
            <w:r w:rsidRPr="006C2644">
              <w:rPr>
                <w:sz w:val="20"/>
                <w:szCs w:val="16"/>
              </w:rPr>
              <w:t>9</w:t>
            </w:r>
          </w:p>
        </w:tc>
        <w:tc>
          <w:tcPr>
            <w:tcW w:w="708" w:type="dxa"/>
            <w:tcBorders>
              <w:top w:val="single" w:sz="6" w:space="0" w:color="000000"/>
              <w:left w:val="single" w:sz="6" w:space="0" w:color="000000"/>
              <w:bottom w:val="single" w:sz="6" w:space="0" w:color="000000"/>
              <w:right w:val="single" w:sz="6" w:space="0" w:color="000000"/>
            </w:tcBorders>
          </w:tcPr>
          <w:p w14:paraId="113B5605" w14:textId="77777777" w:rsidR="008940B3" w:rsidRPr="006C2644" w:rsidRDefault="008940B3" w:rsidP="00E858EF">
            <w:pPr>
              <w:suppressAutoHyphens/>
              <w:jc w:val="center"/>
              <w:rPr>
                <w:sz w:val="20"/>
                <w:szCs w:val="16"/>
              </w:rPr>
            </w:pPr>
            <w:r w:rsidRPr="006C2644">
              <w:rPr>
                <w:sz w:val="20"/>
                <w:szCs w:val="16"/>
              </w:rPr>
              <w:t>3</w:t>
            </w:r>
          </w:p>
        </w:tc>
        <w:tc>
          <w:tcPr>
            <w:tcW w:w="751" w:type="dxa"/>
            <w:tcBorders>
              <w:top w:val="single" w:sz="6" w:space="0" w:color="000000"/>
              <w:left w:val="single" w:sz="6" w:space="0" w:color="000000"/>
              <w:bottom w:val="single" w:sz="6" w:space="0" w:color="000000"/>
              <w:right w:val="single" w:sz="6" w:space="0" w:color="000000"/>
            </w:tcBorders>
          </w:tcPr>
          <w:p w14:paraId="2C5FAA40" w14:textId="66A13B64" w:rsidR="008940B3" w:rsidRPr="006C2644" w:rsidRDefault="008940B3" w:rsidP="00E858EF">
            <w:pPr>
              <w:suppressAutoHyphens/>
              <w:jc w:val="center"/>
              <w:rPr>
                <w:sz w:val="20"/>
                <w:szCs w:val="16"/>
              </w:rPr>
            </w:pPr>
            <w:r w:rsidRPr="006C2644">
              <w:rPr>
                <w:sz w:val="20"/>
                <w:szCs w:val="16"/>
              </w:rPr>
              <w:t>1</w:t>
            </w:r>
          </w:p>
        </w:tc>
        <w:tc>
          <w:tcPr>
            <w:tcW w:w="911" w:type="dxa"/>
            <w:tcBorders>
              <w:top w:val="single" w:sz="6" w:space="0" w:color="000000"/>
              <w:left w:val="single" w:sz="6" w:space="0" w:color="000000"/>
              <w:bottom w:val="single" w:sz="6" w:space="0" w:color="000000"/>
              <w:right w:val="single" w:sz="6" w:space="0" w:color="000000"/>
            </w:tcBorders>
          </w:tcPr>
          <w:p w14:paraId="6D132812" w14:textId="52705E0B" w:rsidR="008940B3" w:rsidRPr="006C2644" w:rsidRDefault="008940B3" w:rsidP="00E858EF">
            <w:pPr>
              <w:suppressAutoHyphens/>
              <w:jc w:val="center"/>
              <w:rPr>
                <w:sz w:val="20"/>
                <w:szCs w:val="16"/>
              </w:rPr>
            </w:pPr>
            <w:r w:rsidRPr="006C2644">
              <w:rPr>
                <w:sz w:val="20"/>
                <w:szCs w:val="16"/>
              </w:rPr>
              <w:t>-</w:t>
            </w:r>
          </w:p>
        </w:tc>
        <w:tc>
          <w:tcPr>
            <w:tcW w:w="77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2F53E0B" w14:textId="3BD4A95B" w:rsidR="008940B3" w:rsidRPr="006C2644" w:rsidRDefault="008940B3" w:rsidP="00E858EF">
            <w:pPr>
              <w:suppressAutoHyphens/>
              <w:jc w:val="center"/>
              <w:rPr>
                <w:sz w:val="20"/>
                <w:szCs w:val="16"/>
              </w:rPr>
            </w:pPr>
            <w:r w:rsidRPr="006C2644">
              <w:rPr>
                <w:sz w:val="20"/>
                <w:szCs w:val="16"/>
              </w:rPr>
              <w:t>2(?)</w:t>
            </w:r>
          </w:p>
        </w:tc>
        <w:tc>
          <w:tcPr>
            <w:tcW w:w="1130" w:type="dxa"/>
            <w:tcBorders>
              <w:top w:val="single" w:sz="6" w:space="0" w:color="000000"/>
              <w:left w:val="single" w:sz="6" w:space="0" w:color="000000"/>
              <w:bottom w:val="single" w:sz="6" w:space="0" w:color="000000"/>
              <w:right w:val="single" w:sz="6" w:space="0" w:color="000000"/>
            </w:tcBorders>
          </w:tcPr>
          <w:p w14:paraId="6559D714" w14:textId="77777777" w:rsidR="008940B3" w:rsidRPr="006C2644" w:rsidRDefault="008940B3" w:rsidP="00E858EF">
            <w:pPr>
              <w:suppressAutoHyphens/>
              <w:jc w:val="center"/>
              <w:rPr>
                <w:sz w:val="20"/>
                <w:szCs w:val="16"/>
              </w:rPr>
            </w:pPr>
            <w:r w:rsidRPr="006C2644">
              <w:rPr>
                <w:sz w:val="20"/>
                <w:szCs w:val="16"/>
              </w:rPr>
              <w:t>2</w:t>
            </w:r>
          </w:p>
        </w:tc>
      </w:tr>
    </w:tbl>
    <w:p w14:paraId="1CDA0420" w14:textId="77777777" w:rsidR="008940B3" w:rsidRPr="00FB533C"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72DD0A40" w14:textId="77777777" w:rsidR="008940B3" w:rsidRPr="00E41633" w:rsidRDefault="008940B3" w:rsidP="00E858EF">
      <w:pPr>
        <w:pStyle w:val="Titolo3"/>
        <w:keepNext w:val="0"/>
        <w:keepLines w:val="0"/>
        <w:suppressAutoHyphens/>
      </w:pPr>
      <w:bookmarkStart w:id="201" w:name="_Toc389131154"/>
      <w:bookmarkStart w:id="202" w:name="_Toc517876479"/>
      <w:bookmarkStart w:id="203" w:name="_Toc519894617"/>
      <w:r w:rsidRPr="00E41633">
        <w:t>Clay larnakes in no</w:t>
      </w:r>
      <w:r>
        <w:t>n-</w:t>
      </w:r>
      <w:r w:rsidRPr="00E41633">
        <w:t>burial context</w:t>
      </w:r>
      <w:bookmarkEnd w:id="201"/>
      <w:bookmarkEnd w:id="202"/>
      <w:bookmarkEnd w:id="203"/>
      <w:r w:rsidRPr="00E41633">
        <w:t xml:space="preserve"> </w:t>
      </w:r>
    </w:p>
    <w:p w14:paraId="24DF3628" w14:textId="77777777" w:rsidR="008940B3" w:rsidRPr="00E41633" w:rsidRDefault="008940B3" w:rsidP="006C2644">
      <w:pPr>
        <w:rPr>
          <w:rFonts w:eastAsia="Times New Roman"/>
          <w:sz w:val="20"/>
          <w:szCs w:val="20"/>
        </w:rPr>
      </w:pPr>
      <w:r>
        <w:t xml:space="preserve">Fragments of one or more bathtub larnakes were found in between the walls of the </w:t>
      </w:r>
      <w:r w:rsidRPr="00845B83">
        <w:rPr>
          <w:i/>
        </w:rPr>
        <w:t>Casa a ovest del piazzale I</w:t>
      </w:r>
      <w:r>
        <w:t xml:space="preserve"> at Phaistos Palace. This structure is a significant house founded in LM IIIB and its main phase of use corresponds to the LM IIIC phase. If the larnax was used for domestic activities, it is probable that it would belong to the earlier phase of use of the structure (Borgna in preparation; for further details regarding the settlement context in which the larnax was found, see Borgna 2017: 313-329).</w:t>
      </w:r>
    </w:p>
    <w:p w14:paraId="222D6E94" w14:textId="77777777" w:rsidR="008940B3" w:rsidRPr="00E41633" w:rsidRDefault="008940B3" w:rsidP="00E858EF">
      <w:pPr>
        <w:pStyle w:val="Titolo3"/>
        <w:keepNext w:val="0"/>
        <w:keepLines w:val="0"/>
        <w:suppressAutoHyphens/>
      </w:pPr>
      <w:bookmarkStart w:id="204" w:name="_Toc389131155"/>
      <w:bookmarkStart w:id="205" w:name="_Toc517876480"/>
      <w:bookmarkStart w:id="206" w:name="_Toc519894618"/>
      <w:r w:rsidRPr="00E41633">
        <w:t>Chronological remarks</w:t>
      </w:r>
      <w:bookmarkEnd w:id="204"/>
      <w:bookmarkEnd w:id="205"/>
      <w:bookmarkEnd w:id="206"/>
      <w:r w:rsidRPr="00E41633">
        <w:t xml:space="preserve"> </w:t>
      </w:r>
    </w:p>
    <w:p w14:paraId="43F7F9A2" w14:textId="77777777" w:rsidR="008940B3" w:rsidRPr="003B5C8D" w:rsidRDefault="008940B3" w:rsidP="006C2644">
      <w:r>
        <w:t>Regarding</w:t>
      </w:r>
      <w:r w:rsidRPr="003B5C8D">
        <w:t xml:space="preserve"> </w:t>
      </w:r>
      <w:r w:rsidRPr="003B5C8D">
        <w:rPr>
          <w:b/>
        </w:rPr>
        <w:t>chronological distribution</w:t>
      </w:r>
      <w:r w:rsidRPr="003B5C8D">
        <w:t xml:space="preserve">, the general attribution to LM III of some cemeteries or tombs is frequently due to a lack of information in the publication records of the pottery associated </w:t>
      </w:r>
      <w:r>
        <w:t>with</w:t>
      </w:r>
      <w:r w:rsidRPr="003B5C8D">
        <w:t xml:space="preserve"> the larnax burial</w:t>
      </w:r>
      <w:r>
        <w:t>.</w:t>
      </w:r>
      <w:r w:rsidRPr="003B5C8D">
        <w:t xml:space="preserve"> </w:t>
      </w:r>
      <w:r>
        <w:t>In any case</w:t>
      </w:r>
      <w:r w:rsidRPr="003B5C8D">
        <w:t>, the Mesara area is limited to a small number of cemeteries and tombs (15% of the total sample of tombs are dated</w:t>
      </w:r>
      <w:r>
        <w:t xml:space="preserve"> only to</w:t>
      </w:r>
      <w:r w:rsidRPr="003B5C8D">
        <w:t xml:space="preserve"> LM III).</w:t>
      </w:r>
    </w:p>
    <w:p w14:paraId="1B309BD6" w14:textId="77777777" w:rsidR="008940B3" w:rsidRPr="006C2644"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Pr>
          <w:color w:val="000000"/>
          <w:sz w:val="22"/>
          <w:szCs w:val="22"/>
        </w:rPr>
        <w:tab/>
      </w:r>
      <w:r w:rsidRPr="006C2644">
        <w:rPr>
          <w:color w:val="000000"/>
          <w:szCs w:val="22"/>
        </w:rPr>
        <w:t>Based on the chronological distribution of the remaining 85% of tombs, it emerges that larnax burials began to be adopted in the area during LM IIIA. To this first phase are dated two of the reused tholoi present in the region, Tholos B of Agia Triada (Cucuzza 2002: 135-137) and the tholos of Kamilari (Levi 1961/2: 7-158; Cucuzza 2002: 137-138).</w:t>
      </w:r>
    </w:p>
    <w:p w14:paraId="32D72E5E" w14:textId="7FFB95F2" w:rsidR="008940B3" w:rsidRPr="006C2644"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6C2644">
        <w:rPr>
          <w:color w:val="000000"/>
          <w:szCs w:val="22"/>
        </w:rPr>
        <w:tab/>
        <w:t xml:space="preserve">The highest number of tombs with attested larnax burials falls between LM IIIA2-B and LM IIIB. The cemeteries in latest use are Apodoulou, where only in one tomb is the LM IIIC phase attested (T129, Tomb 4 </w:t>
      </w:r>
      <w:r w:rsidR="001423DD">
        <w:rPr>
          <w:color w:val="000000"/>
          <w:szCs w:val="22"/>
        </w:rPr>
        <w:t>Ph</w:t>
      </w:r>
      <w:r w:rsidRPr="006C2644">
        <w:rPr>
          <w:color w:val="000000"/>
          <w:szCs w:val="22"/>
        </w:rPr>
        <w:t>rangou to Louri: Tzigounaki 1996: 1490 f.n 4), and the Liliana necropolis. The final phase of Liliana is LM IIIC, although this cemetery was excavated at the beginning of the 20</w:t>
      </w:r>
      <w:r w:rsidRPr="006C2644">
        <w:rPr>
          <w:color w:val="000000"/>
          <w:szCs w:val="22"/>
          <w:vertAlign w:val="superscript"/>
        </w:rPr>
        <w:t>th</w:t>
      </w:r>
      <w:r w:rsidRPr="006C2644">
        <w:rPr>
          <w:color w:val="000000"/>
          <w:szCs w:val="22"/>
        </w:rPr>
        <w:t xml:space="preserve"> century, and the data relative to its chronology are not fully specified. Therefore it is possible that its use began earlier and continued until the LM IIIC phase, as suggested by the cremation burial found in one tomb, which represents a burial custom more common in this later phase (Karetsou and Girella 2015: 29: ‘the cemetery was organised at the end of LM IIIB’; Perna 2011: 140).</w:t>
      </w:r>
    </w:p>
    <w:p w14:paraId="0E6720B0"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7D7AC3D6" wp14:editId="360CF60E">
            <wp:extent cx="5403850" cy="2736850"/>
            <wp:effectExtent l="0" t="0" r="6350" b="6350"/>
            <wp:docPr id="42" name="Gra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55DB776" w14:textId="3F2F2E2B" w:rsidR="008940B3" w:rsidRDefault="008940B3" w:rsidP="00E858EF">
      <w:pPr>
        <w:pStyle w:val="Didascalia"/>
        <w:suppressAutoHyphens/>
      </w:pPr>
      <w:bookmarkStart w:id="207" w:name="_Toc520212299"/>
      <w:r>
        <w:t>Figure 3- 18. Chronological distribution of tomb with larnakes</w:t>
      </w:r>
      <w:r w:rsidR="006B0E38">
        <w:t>,</w:t>
      </w:r>
      <w:r>
        <w:t xml:space="preserve"> Mesara area</w:t>
      </w:r>
      <w:bookmarkEnd w:id="207"/>
    </w:p>
    <w:p w14:paraId="34C55537" w14:textId="77777777" w:rsidR="006C2644" w:rsidRPr="006C2644" w:rsidRDefault="006C2644" w:rsidP="006C2644"/>
    <w:p w14:paraId="0ACC0333" w14:textId="1E4F122F" w:rsidR="008940B3" w:rsidRPr="00E41633" w:rsidRDefault="008940B3" w:rsidP="00E858EF">
      <w:pPr>
        <w:pStyle w:val="Titolo3"/>
        <w:keepNext w:val="0"/>
        <w:keepLines w:val="0"/>
        <w:suppressAutoHyphens/>
      </w:pPr>
      <w:bookmarkStart w:id="208" w:name="_Toc389131156"/>
      <w:bookmarkStart w:id="209" w:name="_Toc517876481"/>
      <w:bookmarkStart w:id="210" w:name="_Toc519894619"/>
      <w:r w:rsidRPr="00E41633">
        <w:t>Conclusions</w:t>
      </w:r>
      <w:r w:rsidR="006C2644">
        <w:t>,</w:t>
      </w:r>
      <w:r w:rsidRPr="00E41633">
        <w:t xml:space="preserve"> Mesara area</w:t>
      </w:r>
      <w:bookmarkEnd w:id="208"/>
      <w:bookmarkEnd w:id="209"/>
      <w:bookmarkEnd w:id="210"/>
      <w:r w:rsidRPr="00E41633">
        <w:t xml:space="preserve"> </w:t>
      </w:r>
    </w:p>
    <w:p w14:paraId="4FA3779F" w14:textId="306723EC" w:rsidR="008940B3" w:rsidRPr="003B5C8D" w:rsidRDefault="008940B3" w:rsidP="006C2644">
      <w:r w:rsidRPr="003B5C8D">
        <w:t>Summari</w:t>
      </w:r>
      <w:r>
        <w:t>s</w:t>
      </w:r>
      <w:r w:rsidRPr="003B5C8D">
        <w:t>ing all the results</w:t>
      </w:r>
      <w:r>
        <w:t>,</w:t>
      </w:r>
      <w:r w:rsidRPr="003B5C8D">
        <w:t xml:space="preserve"> larna</w:t>
      </w:r>
      <w:r>
        <w:t>x</w:t>
      </w:r>
      <w:r w:rsidRPr="003B5C8D">
        <w:t xml:space="preserve"> burials </w:t>
      </w:r>
      <w:r>
        <w:t>were</w:t>
      </w:r>
      <w:r w:rsidRPr="003B5C8D">
        <w:t xml:space="preserve"> adopted in almost </w:t>
      </w:r>
      <w:r>
        <w:t>two-thirds</w:t>
      </w:r>
      <w:r w:rsidRPr="003B5C8D">
        <w:t xml:space="preserve"> of the </w:t>
      </w:r>
      <w:r>
        <w:t xml:space="preserve">known </w:t>
      </w:r>
      <w:r w:rsidRPr="003B5C8D">
        <w:t xml:space="preserve">cemeteries in use during LM III in </w:t>
      </w:r>
      <w:r>
        <w:t xml:space="preserve">the </w:t>
      </w:r>
      <w:r w:rsidRPr="003B5C8D">
        <w:t>Mesara area. The</w:t>
      </w:r>
      <w:r>
        <w:t>se burials</w:t>
      </w:r>
      <w:r w:rsidRPr="003B5C8D">
        <w:t xml:space="preserve"> </w:t>
      </w:r>
      <w:r>
        <w:t>occur mostly</w:t>
      </w:r>
      <w:r w:rsidRPr="003B5C8D">
        <w:t xml:space="preserve"> in association with </w:t>
      </w:r>
      <w:r>
        <w:t xml:space="preserve">small </w:t>
      </w:r>
      <w:r w:rsidRPr="003B5C8D">
        <w:t>chamber tombs, and the remain</w:t>
      </w:r>
      <w:r>
        <w:t>der</w:t>
      </w:r>
      <w:r w:rsidRPr="003B5C8D">
        <w:t xml:space="preserve"> </w:t>
      </w:r>
      <w:r>
        <w:t>of them</w:t>
      </w:r>
      <w:r w:rsidRPr="003B5C8D">
        <w:t xml:space="preserve"> </w:t>
      </w:r>
      <w:r>
        <w:t>display</w:t>
      </w:r>
      <w:r w:rsidRPr="003B5C8D">
        <w:t xml:space="preserve"> a considerable range with </w:t>
      </w:r>
      <w:r>
        <w:t xml:space="preserve">the </w:t>
      </w:r>
      <w:r w:rsidRPr="003B5C8D">
        <w:t>other five different tomb types adopted. The re</w:t>
      </w:r>
      <w:r>
        <w:t>use</w:t>
      </w:r>
      <w:r w:rsidRPr="003B5C8D">
        <w:t xml:space="preserve"> of EM/MM tholoi represents a distinct burial </w:t>
      </w:r>
      <w:r>
        <w:t>custom</w:t>
      </w:r>
      <w:r w:rsidRPr="003B5C8D">
        <w:t xml:space="preserve"> of the region, together with the use of built tombs (for an overview of the funerary landscape in the western Mesara region</w:t>
      </w:r>
      <w:r>
        <w:t xml:space="preserve">, see Karetsou and </w:t>
      </w:r>
      <w:r w:rsidRPr="003B5C8D">
        <w:t>Girella 2015: 27-32). The number of older tholoi reused increase</w:t>
      </w:r>
      <w:r>
        <w:t>s</w:t>
      </w:r>
      <w:r w:rsidRPr="003B5C8D">
        <w:t xml:space="preserve"> if we consider also larnax burials that have</w:t>
      </w:r>
      <w:r>
        <w:t xml:space="preserve"> no</w:t>
      </w:r>
      <w:r w:rsidRPr="003B5C8D">
        <w:t xml:space="preserve">t been included in the secure sample. A larnax </w:t>
      </w:r>
      <w:r>
        <w:t>was</w:t>
      </w:r>
      <w:r w:rsidRPr="003B5C8D">
        <w:t xml:space="preserve"> found in Apesokari, but </w:t>
      </w:r>
      <w:r>
        <w:t>not</w:t>
      </w:r>
      <w:r w:rsidRPr="003B5C8D">
        <w:t xml:space="preserve"> inside the tholos (oral communication </w:t>
      </w:r>
      <w:r>
        <w:t>by</w:t>
      </w:r>
      <w:r w:rsidRPr="003B5C8D">
        <w:t xml:space="preserve"> Ge</w:t>
      </w:r>
      <w:r>
        <w:t>orgia Flou</w:t>
      </w:r>
      <w:r w:rsidRPr="003B5C8D">
        <w:t>da). The presence of larnakes has been reported also for the tholos of Drakones (Pernier 1907, col. 124; Xanthoudides 1924</w:t>
      </w:r>
      <w:r>
        <w:t xml:space="preserve">b: </w:t>
      </w:r>
      <w:r w:rsidRPr="003B5C8D">
        <w:t>76-77; Hood 1960</w:t>
      </w:r>
      <w:r>
        <w:t>: 173-174; Kanta 1980: 87;</w:t>
      </w:r>
      <w:r w:rsidRPr="003B5C8D">
        <w:t xml:space="preserve"> 1997</w:t>
      </w:r>
      <w:r>
        <w:t>:</w:t>
      </w:r>
      <w:r w:rsidRPr="003B5C8D">
        <w:t xml:space="preserve"> 232; Aluia 2011: 143) and Koumasa,</w:t>
      </w:r>
      <w:r>
        <w:t xml:space="preserve"> in the</w:t>
      </w:r>
      <w:r w:rsidRPr="003B5C8D">
        <w:t xml:space="preserve"> Agia Irini tholos </w:t>
      </w:r>
      <w:r w:rsidR="006F31C5">
        <w:rPr>
          <w:lang w:val="it-IT"/>
        </w:rPr>
        <w:t>D</w:t>
      </w:r>
      <w:r w:rsidRPr="003B5C8D">
        <w:t xml:space="preserve">elta (AR 1907: 293; Xanthoudidis 1924: 51; Kanta 1980: 85; 1997: 232; </w:t>
      </w:r>
      <w:r>
        <w:t>Löwe 1996</w:t>
      </w:r>
      <w:r w:rsidRPr="003B5C8D">
        <w:t>: 233 n 678; Aluia 2011).</w:t>
      </w:r>
    </w:p>
    <w:p w14:paraId="4D30DC2A" w14:textId="7FD9CF1A" w:rsidR="008940B3" w:rsidRPr="003B5C8D" w:rsidRDefault="008940B3" w:rsidP="006C2644">
      <w:r>
        <w:tab/>
      </w:r>
      <w:r w:rsidRPr="003B5C8D">
        <w:t xml:space="preserve">A consistent variety is also visible </w:t>
      </w:r>
      <w:r>
        <w:t>when considering</w:t>
      </w:r>
      <w:r w:rsidRPr="003B5C8D">
        <w:t xml:space="preserve"> other </w:t>
      </w:r>
      <w:r>
        <w:t>interment</w:t>
      </w:r>
      <w:r w:rsidRPr="003B5C8D">
        <w:t>s associated with larnakes. They have been associated both with other type</w:t>
      </w:r>
      <w:r>
        <w:t>s</w:t>
      </w:r>
      <w:r w:rsidRPr="003B5C8D">
        <w:t xml:space="preserve"> of coffin (</w:t>
      </w:r>
      <w:r>
        <w:t>A</w:t>
      </w:r>
      <w:r w:rsidRPr="003B5C8D">
        <w:t xml:space="preserve">gia Triada stone sarcophagus, wooden bier/coffin at Stavros Galias, </w:t>
      </w:r>
      <w:r>
        <w:t>pithoi at Kousses and Valis),</w:t>
      </w:r>
      <w:r w:rsidRPr="003B5C8D">
        <w:t xml:space="preserve"> simple inhumation</w:t>
      </w:r>
      <w:r>
        <w:t>s</w:t>
      </w:r>
      <w:r w:rsidRPr="003B5C8D">
        <w:t xml:space="preserve"> on the floor</w:t>
      </w:r>
      <w:r>
        <w:t xml:space="preserve"> (Apodoulou </w:t>
      </w:r>
      <w:r w:rsidR="001423DD">
        <w:t>Ph</w:t>
      </w:r>
      <w:r>
        <w:t>rangou to Louri), or on benches (Liliana)</w:t>
      </w:r>
      <w:r w:rsidRPr="003B5C8D">
        <w:t>.</w:t>
      </w:r>
      <w:r>
        <w:t xml:space="preserve"> In particular, regarding depositions in wooden coffins and on benches, these have a high frequency at Kalyvia, which is one of the most important cemeteries in the area, even though the custom of using larnakes was not adopted. In the Mesara area, less space seems to have been reserved for single larnax burials.</w:t>
      </w:r>
    </w:p>
    <w:p w14:paraId="667B0315" w14:textId="77777777" w:rsidR="008940B3" w:rsidRDefault="008940B3" w:rsidP="006C2644">
      <w:r>
        <w:tab/>
      </w:r>
      <w:r w:rsidRPr="003B5C8D">
        <w:t xml:space="preserve">The </w:t>
      </w:r>
      <w:r>
        <w:t>A</w:t>
      </w:r>
      <w:r w:rsidRPr="003B5C8D">
        <w:t xml:space="preserve">gia Triada necropolis </w:t>
      </w:r>
      <w:r>
        <w:t>is</w:t>
      </w:r>
      <w:r w:rsidRPr="003B5C8D">
        <w:t xml:space="preserve"> the most complex cemetery in this area</w:t>
      </w:r>
      <w:r>
        <w:t>,</w:t>
      </w:r>
      <w:r w:rsidRPr="003B5C8D">
        <w:t xml:space="preserve"> both in terms of organi</w:t>
      </w:r>
      <w:r>
        <w:t>s</w:t>
      </w:r>
      <w:r w:rsidRPr="003B5C8D">
        <w:t xml:space="preserve">ation and </w:t>
      </w:r>
      <w:r>
        <w:t xml:space="preserve">the </w:t>
      </w:r>
      <w:r w:rsidRPr="003B5C8D">
        <w:t>chronological sequence of phase</w:t>
      </w:r>
      <w:r>
        <w:t>s</w:t>
      </w:r>
      <w:r w:rsidRPr="003B5C8D">
        <w:t xml:space="preserve"> of use (Cucuzza 2002; Karetsou</w:t>
      </w:r>
      <w:r>
        <w:t xml:space="preserve"> and </w:t>
      </w:r>
      <w:r w:rsidRPr="003B5C8D">
        <w:t>Girella 2015: 28-29). Two burial l</w:t>
      </w:r>
      <w:r>
        <w:t>ocations can be distinguished f</w:t>
      </w:r>
      <w:r w:rsidRPr="003B5C8D">
        <w:t>r</w:t>
      </w:r>
      <w:r>
        <w:t>o</w:t>
      </w:r>
      <w:r w:rsidRPr="003B5C8D">
        <w:t xml:space="preserve">m </w:t>
      </w:r>
      <w:r>
        <w:t>a</w:t>
      </w:r>
      <w:r w:rsidRPr="003B5C8D">
        <w:t xml:space="preserve"> spatial </w:t>
      </w:r>
      <w:r>
        <w:t>perspective</w:t>
      </w:r>
      <w:r w:rsidRPr="003B5C8D">
        <w:t>, one located southwest of the site and the other northeast, which was a b</w:t>
      </w:r>
      <w:r>
        <w:t>urial since EM II (</w:t>
      </w:r>
      <w:r w:rsidRPr="003B5C8D">
        <w:t>La Rosa 1999). Between LM II/IIIA1 and early LM IIIA2</w:t>
      </w:r>
      <w:r>
        <w:t>,</w:t>
      </w:r>
      <w:r w:rsidRPr="003B5C8D">
        <w:t xml:space="preserve"> </w:t>
      </w:r>
      <w:r>
        <w:t>Tholos B was reused</w:t>
      </w:r>
      <w:r w:rsidRPr="003B5C8D">
        <w:t xml:space="preserve"> and the tomb of the painted sarcophagus</w:t>
      </w:r>
      <w:r>
        <w:t xml:space="preserve"> was built</w:t>
      </w:r>
      <w:r w:rsidRPr="003B5C8D">
        <w:t xml:space="preserve">. To the same period belong the burials of the </w:t>
      </w:r>
      <w:r w:rsidRPr="007E454A">
        <w:rPr>
          <w:i/>
        </w:rPr>
        <w:t>tomba degli ori</w:t>
      </w:r>
      <w:r w:rsidRPr="003B5C8D">
        <w:t>, a neo</w:t>
      </w:r>
      <w:r>
        <w:t>-</w:t>
      </w:r>
      <w:r w:rsidRPr="003B5C8D">
        <w:t>palatial tomb reused at the beginning of LM IIIA2 (La Rosa 1992:</w:t>
      </w:r>
      <w:r>
        <w:t xml:space="preserve"> </w:t>
      </w:r>
      <w:r w:rsidRPr="003B5C8D">
        <w:t xml:space="preserve">76). Some of the remains of </w:t>
      </w:r>
      <w:r w:rsidRPr="00857B25">
        <w:rPr>
          <w:i/>
        </w:rPr>
        <w:t xml:space="preserve">tomba degli ori </w:t>
      </w:r>
      <w:r>
        <w:t>were</w:t>
      </w:r>
      <w:r w:rsidRPr="003B5C8D">
        <w:t xml:space="preserve"> re-buried in the near</w:t>
      </w:r>
      <w:r>
        <w:t>by</w:t>
      </w:r>
      <w:r w:rsidRPr="003B5C8D">
        <w:t xml:space="preserve"> tomb of the painted sarcophagus (T 89, </w:t>
      </w:r>
      <w:r>
        <w:t>L</w:t>
      </w:r>
      <w:r w:rsidRPr="003B5C8D">
        <w:t>arnax 181) (La Rosa 1992: 76; Soles 1992: 120-125; Paribeni 1904: 719-755). To LM III B belongs exclusively the larnax burial, which is delimited by using an earlier wall, located between the tomb of the sarcophagus and Tho</w:t>
      </w:r>
      <w:r>
        <w:t>los B. Probably this burial replaced</w:t>
      </w:r>
      <w:r w:rsidRPr="003B5C8D">
        <w:t xml:space="preserve"> an earlier burial, which is documented by fragments of another larnax found in the same place. The total number of deceased in the necropolis </w:t>
      </w:r>
      <w:r>
        <w:t>is</w:t>
      </w:r>
      <w:r w:rsidRPr="003B5C8D">
        <w:t xml:space="preserve"> 13 individuals</w:t>
      </w:r>
      <w:r>
        <w:t>,</w:t>
      </w:r>
      <w:r w:rsidRPr="003B5C8D">
        <w:t xml:space="preserve"> mainly buried between LM II/IIIA1</w:t>
      </w:r>
      <w:r>
        <w:t xml:space="preserve"> and</w:t>
      </w:r>
      <w:r w:rsidRPr="003B5C8D">
        <w:t xml:space="preserve"> IIIA2 early (</w:t>
      </w:r>
      <w:r>
        <w:t xml:space="preserve">there is </w:t>
      </w:r>
      <w:r w:rsidRPr="003B5C8D">
        <w:t>only one LM IIIB larnax burial). It is important to note the presence of a thick wall, found in 1996, built between the settle</w:t>
      </w:r>
      <w:r>
        <w:t>ment and the necropolis, east of the stoa of the agora</w:t>
      </w:r>
      <w:r w:rsidRPr="003B5C8D">
        <w:t xml:space="preserve">, which </w:t>
      </w:r>
      <w:r>
        <w:t>is preserved only partially. Its</w:t>
      </w:r>
      <w:r w:rsidRPr="003B5C8D">
        <w:t xml:space="preserve"> thickness </w:t>
      </w:r>
      <w:r>
        <w:t>i</w:t>
      </w:r>
      <w:r w:rsidRPr="003B5C8D">
        <w:t>s more th</w:t>
      </w:r>
      <w:r>
        <w:t>a</w:t>
      </w:r>
      <w:r w:rsidRPr="003B5C8D">
        <w:t>n 1m, a characteristic of the only two tombs built in the western Mesar</w:t>
      </w:r>
      <w:r>
        <w:t>a</w:t>
      </w:r>
      <w:r w:rsidRPr="003B5C8D">
        <w:t xml:space="preserve"> in LM IIIA</w:t>
      </w:r>
      <w:r>
        <w:t>:</w:t>
      </w:r>
      <w:r w:rsidRPr="003B5C8D">
        <w:t xml:space="preserve"> the tomb of the painted sarcophagus and </w:t>
      </w:r>
      <w:r>
        <w:t>‘</w:t>
      </w:r>
      <w:r w:rsidRPr="003B5C8D">
        <w:t>tower tomb</w:t>
      </w:r>
      <w:r>
        <w:t>’</w:t>
      </w:r>
      <w:r w:rsidRPr="003B5C8D">
        <w:t xml:space="preserve"> of Kousses.</w:t>
      </w:r>
      <w:r>
        <w:t xml:space="preserve"> </w:t>
      </w:r>
      <w:r w:rsidRPr="003B5C8D">
        <w:t>This wall could be part of a burial building or an enclosure, not completed in t</w:t>
      </w:r>
      <w:r>
        <w:t>he same phase in which the agora</w:t>
      </w:r>
      <w:r w:rsidRPr="003B5C8D">
        <w:t xml:space="preserve"> was built. The west area of the same sector ha</w:t>
      </w:r>
      <w:r>
        <w:t>s no</w:t>
      </w:r>
      <w:r w:rsidRPr="003B5C8D">
        <w:t xml:space="preserve">t </w:t>
      </w:r>
      <w:r>
        <w:t xml:space="preserve">yet </w:t>
      </w:r>
      <w:r w:rsidRPr="003B5C8D">
        <w:t xml:space="preserve">revealed any burials, even if there are traces of </w:t>
      </w:r>
      <w:r>
        <w:t xml:space="preserve">the </w:t>
      </w:r>
      <w:r w:rsidRPr="003B5C8D">
        <w:t xml:space="preserve">LM III phase in that area. </w:t>
      </w:r>
      <w:r>
        <w:t>T</w:t>
      </w:r>
      <w:r w:rsidRPr="003B5C8D">
        <w:t>holos A was not reused at all, even if its structure was</w:t>
      </w:r>
      <w:r>
        <w:t xml:space="preserve"> probably visible, as demonstrated by</w:t>
      </w:r>
      <w:r w:rsidRPr="003B5C8D">
        <w:t xml:space="preserve"> the Protogeometric reuse.</w:t>
      </w:r>
    </w:p>
    <w:p w14:paraId="183235F1" w14:textId="77777777" w:rsidR="008940B3" w:rsidRPr="003B5C8D" w:rsidRDefault="008940B3" w:rsidP="006C2644">
      <w:r>
        <w:tab/>
        <w:t>Nicola Cucuzza (2003) notes similarities between the Agia Triada cemetery and Archanes. These similarities are particularly clear when considering tomb varieties and the fact that both the Agia Triada northeast burial location and Archanes are two burial locations that were already in use. However, the architectural new planning and building visible at Archanes has no parallel at Agia Triada, where the only newly built LM III structure is the burial building of the tomb of the sarcophagus.</w:t>
      </w:r>
    </w:p>
    <w:p w14:paraId="594C14F3" w14:textId="77777777" w:rsidR="008940B3" w:rsidRPr="003B5C8D" w:rsidRDefault="008940B3" w:rsidP="006C2644">
      <w:r>
        <w:tab/>
      </w:r>
      <w:r w:rsidRPr="003B5C8D">
        <w:t>Trace</w:t>
      </w:r>
      <w:r>
        <w:t>s</w:t>
      </w:r>
      <w:r w:rsidRPr="003B5C8D">
        <w:t xml:space="preserve"> of</w:t>
      </w:r>
      <w:r>
        <w:t xml:space="preserve"> the</w:t>
      </w:r>
      <w:r w:rsidRPr="003B5C8D">
        <w:t xml:space="preserve"> LM III phase </w:t>
      </w:r>
      <w:r>
        <w:t>are apparent also</w:t>
      </w:r>
      <w:r w:rsidRPr="003B5C8D">
        <w:t xml:space="preserve"> in the external area of the </w:t>
      </w:r>
      <w:r w:rsidRPr="00231032">
        <w:rPr>
          <w:i/>
        </w:rPr>
        <w:t>complesso della mazza di breccia</w:t>
      </w:r>
      <w:r w:rsidRPr="003B5C8D">
        <w:t xml:space="preserve"> (south of the necropolis). The other burial location belonging to </w:t>
      </w:r>
      <w:r>
        <w:t>the A</w:t>
      </w:r>
      <w:r w:rsidRPr="003B5C8D">
        <w:t>gia Triada cemetery is located southwest of the site and</w:t>
      </w:r>
      <w:r>
        <w:t>,</w:t>
      </w:r>
      <w:r w:rsidRPr="003B5C8D">
        <w:t xml:space="preserve"> </w:t>
      </w:r>
      <w:r>
        <w:t>as yet</w:t>
      </w:r>
      <w:r w:rsidRPr="003B5C8D">
        <w:t>, only a chamber tomb with a destroyed dromos dated to LM III has been found there (</w:t>
      </w:r>
      <w:r w:rsidRPr="005004E5">
        <w:rPr>
          <w:i/>
        </w:rPr>
        <w:t>AR</w:t>
      </w:r>
      <w:r w:rsidRPr="003B5C8D">
        <w:t xml:space="preserve"> 1987</w:t>
      </w:r>
      <w:r>
        <w:t xml:space="preserve">: </w:t>
      </w:r>
      <w:r w:rsidRPr="008F3E5D">
        <w:t>548 pl. 320b</w:t>
      </w:r>
      <w:r>
        <w:t>; Cucuzza 2003: 209, 225</w:t>
      </w:r>
      <w:r w:rsidRPr="003B5C8D">
        <w:t>).</w:t>
      </w:r>
    </w:p>
    <w:p w14:paraId="56CC832C" w14:textId="77777777" w:rsidR="008940B3" w:rsidRPr="003B5C8D" w:rsidRDefault="008940B3" w:rsidP="006C2644">
      <w:r>
        <w:tab/>
      </w:r>
      <w:r w:rsidRPr="003B5C8D">
        <w:t>During the first phase, corresponding to LM II/LM IIIA1 and LM IIIA2 early, the cemeteries in use in the area around Phaistos-</w:t>
      </w:r>
      <w:r>
        <w:t>A</w:t>
      </w:r>
      <w:r w:rsidRPr="003B5C8D">
        <w:t>gia Triada and Kommos</w:t>
      </w:r>
      <w:r>
        <w:t>,</w:t>
      </w:r>
      <w:r w:rsidRPr="003B5C8D">
        <w:t xml:space="preserve"> along with the </w:t>
      </w:r>
      <w:r>
        <w:t>A</w:t>
      </w:r>
      <w:r w:rsidRPr="003B5C8D">
        <w:t>gia Triada ones</w:t>
      </w:r>
      <w:r>
        <w:t>,</w:t>
      </w:r>
      <w:r w:rsidRPr="003B5C8D">
        <w:t xml:space="preserve"> are Kamilari</w:t>
      </w:r>
      <w:r>
        <w:t>,</w:t>
      </w:r>
      <w:r w:rsidRPr="003B5C8D">
        <w:t xml:space="preserve"> the chamber tomb at Goudies</w:t>
      </w:r>
      <w:r>
        <w:t>,</w:t>
      </w:r>
      <w:r w:rsidRPr="003B5C8D">
        <w:t xml:space="preserve"> and Kalyvia. Both the re</w:t>
      </w:r>
      <w:r>
        <w:t>use</w:t>
      </w:r>
      <w:r w:rsidRPr="003B5C8D">
        <w:t xml:space="preserve"> of </w:t>
      </w:r>
      <w:r>
        <w:t xml:space="preserve">the </w:t>
      </w:r>
      <w:r w:rsidRPr="003B5C8D">
        <w:t>Kamilari tholos and the use of Kalyvia cemetery end during the first phase of LM IIIA2, the first being re</w:t>
      </w:r>
      <w:r>
        <w:t xml:space="preserve">used initially </w:t>
      </w:r>
      <w:r w:rsidRPr="003B5C8D">
        <w:t>in LM IIIA1 (Karetsou</w:t>
      </w:r>
      <w:r>
        <w:t xml:space="preserve"> and </w:t>
      </w:r>
      <w:r w:rsidRPr="003B5C8D">
        <w:t xml:space="preserve">Girella 2015; Girella 2011) and the latter cemetery being established in LM IIIA1 (Savignoni 1904; Privitera 2011). The chamber tomb at Goudies </w:t>
      </w:r>
      <w:r>
        <w:t>was in use from LM IIIA1 to LM</w:t>
      </w:r>
      <w:r w:rsidRPr="003B5C8D">
        <w:t xml:space="preserve"> IIIA2 (Laviosa 1970; Cucuzza 2002: 139-140). The lat</w:t>
      </w:r>
      <w:r>
        <w:t>t</w:t>
      </w:r>
      <w:r w:rsidRPr="003B5C8D">
        <w:t xml:space="preserve">er phase in the area </w:t>
      </w:r>
      <w:r>
        <w:t>was documented at the</w:t>
      </w:r>
      <w:r w:rsidRPr="003B5C8D">
        <w:t xml:space="preserve"> Liliana cemetery</w:t>
      </w:r>
      <w:r>
        <w:t>,</w:t>
      </w:r>
      <w:r w:rsidRPr="003B5C8D">
        <w:t xml:space="preserve"> the larnax burial in the </w:t>
      </w:r>
      <w:r>
        <w:t>A</w:t>
      </w:r>
      <w:r w:rsidRPr="003B5C8D">
        <w:t xml:space="preserve">gia Triada cemetery, and probably by the chamber in the southwest burial location of </w:t>
      </w:r>
      <w:r>
        <w:t>the A</w:t>
      </w:r>
      <w:r w:rsidRPr="003B5C8D">
        <w:t>gia Triada cemetery.</w:t>
      </w:r>
      <w:r>
        <w:t xml:space="preserve"> T</w:t>
      </w:r>
      <w:r w:rsidRPr="003B5C8D">
        <w:t>he following phase</w:t>
      </w:r>
      <w:r>
        <w:t>,</w:t>
      </w:r>
      <w:r w:rsidRPr="003B5C8D">
        <w:t xml:space="preserve"> LM IIIA2/B</w:t>
      </w:r>
      <w:r>
        <w:t>,</w:t>
      </w:r>
      <w:r w:rsidRPr="003B5C8D">
        <w:t xml:space="preserve"> </w:t>
      </w:r>
      <w:r>
        <w:t>saw</w:t>
      </w:r>
      <w:r w:rsidRPr="003B5C8D">
        <w:t xml:space="preserve"> the peak larnax use in the broader Mesara area, whe</w:t>
      </w:r>
      <w:r>
        <w:t>re the cemeteries are distributed</w:t>
      </w:r>
      <w:r w:rsidRPr="003B5C8D">
        <w:t xml:space="preserve"> in different site</w:t>
      </w:r>
      <w:r>
        <w:t>s</w:t>
      </w:r>
      <w:r w:rsidRPr="003B5C8D">
        <w:t xml:space="preserve"> and </w:t>
      </w:r>
      <w:r>
        <w:t>were</w:t>
      </w:r>
      <w:r w:rsidRPr="003B5C8D">
        <w:t xml:space="preserve"> mainly built in new burial locations.</w:t>
      </w:r>
    </w:p>
    <w:p w14:paraId="7ED1011A" w14:textId="77777777" w:rsidR="008940B3" w:rsidRPr="003B5C8D" w:rsidRDefault="008940B3" w:rsidP="006C2644">
      <w:r>
        <w:tab/>
        <w:t>Regarding</w:t>
      </w:r>
      <w:r w:rsidRPr="003B5C8D">
        <w:t xml:space="preserve"> chronological distribution</w:t>
      </w:r>
      <w:r>
        <w:t>,</w:t>
      </w:r>
      <w:r w:rsidRPr="003B5C8D">
        <w:t xml:space="preserve"> larnax burials in the Mesara region </w:t>
      </w:r>
      <w:r>
        <w:t>were</w:t>
      </w:r>
      <w:r w:rsidRPr="003B5C8D">
        <w:t xml:space="preserve"> </w:t>
      </w:r>
      <w:r>
        <w:t xml:space="preserve">in use from </w:t>
      </w:r>
      <w:r w:rsidRPr="003B5C8D">
        <w:t>LM IIIA1-III</w:t>
      </w:r>
      <w:r>
        <w:t>A</w:t>
      </w:r>
      <w:r w:rsidRPr="003B5C8D">
        <w:t xml:space="preserve">2. </w:t>
      </w:r>
      <w:r>
        <w:t xml:space="preserve">For </w:t>
      </w:r>
      <w:r w:rsidRPr="003B5C8D">
        <w:t>this initial phase</w:t>
      </w:r>
      <w:r>
        <w:t>,</w:t>
      </w:r>
      <w:r w:rsidRPr="003B5C8D">
        <w:t xml:space="preserve"> it is interesting to note their absence from the cemetery of Kalyvia (Savignoni 1904; Privitera 2011; Cucuzza 2003), </w:t>
      </w:r>
      <w:r>
        <w:t>where</w:t>
      </w:r>
      <w:r w:rsidRPr="003B5C8D">
        <w:t xml:space="preserve"> other type</w:t>
      </w:r>
      <w:r>
        <w:t>s</w:t>
      </w:r>
      <w:r w:rsidRPr="003B5C8D">
        <w:t xml:space="preserve"> of interment </w:t>
      </w:r>
      <w:r>
        <w:t>were</w:t>
      </w:r>
      <w:r w:rsidRPr="003B5C8D">
        <w:t xml:space="preserve"> adopted. The re</w:t>
      </w:r>
      <w:r>
        <w:t>use</w:t>
      </w:r>
      <w:r w:rsidRPr="003B5C8D">
        <w:t xml:space="preserve"> of earlier tholoi belongs also to this first chronological phase. However</w:t>
      </w:r>
      <w:r>
        <w:t>,</w:t>
      </w:r>
      <w:r w:rsidRPr="003B5C8D">
        <w:t xml:space="preserve"> only a limited number of the Mesara tholoi </w:t>
      </w:r>
      <w:r>
        <w:t>were</w:t>
      </w:r>
      <w:r w:rsidRPr="003B5C8D">
        <w:t xml:space="preserve"> reused in LM III. The LM IIIC phase attested in Liliana </w:t>
      </w:r>
      <w:r>
        <w:t>is</w:t>
      </w:r>
      <w:r w:rsidRPr="003B5C8D">
        <w:t xml:space="preserve"> an isolated case</w:t>
      </w:r>
      <w:r>
        <w:t>,</w:t>
      </w:r>
      <w:r w:rsidRPr="003B5C8D">
        <w:t xml:space="preserve"> and very few burials are attested in the region </w:t>
      </w:r>
      <w:r>
        <w:t>during</w:t>
      </w:r>
      <w:r w:rsidRPr="003B5C8D">
        <w:t xml:space="preserve"> this phase (Perna 2011).</w:t>
      </w:r>
    </w:p>
    <w:p w14:paraId="332445A5" w14:textId="77777777" w:rsidR="008940B3" w:rsidRPr="003B5C8D" w:rsidRDefault="008940B3" w:rsidP="006C2644">
      <w:r>
        <w:tab/>
      </w:r>
      <w:r w:rsidRPr="003B5C8D">
        <w:t xml:space="preserve">A further remark can be added if we </w:t>
      </w:r>
      <w:r>
        <w:t>consider</w:t>
      </w:r>
      <w:r w:rsidRPr="003B5C8D">
        <w:t xml:space="preserve"> larna</w:t>
      </w:r>
      <w:r>
        <w:t>x</w:t>
      </w:r>
      <w:r w:rsidRPr="003B5C8D">
        <w:t xml:space="preserve"> distribution in terms of</w:t>
      </w:r>
      <w:r>
        <w:t xml:space="preserve"> burial landscape</w:t>
      </w:r>
      <w:r w:rsidRPr="003B5C8D">
        <w:t>. The highest percentage of decorated artefacts is concentrated in the northern area of the region</w:t>
      </w:r>
      <w:r>
        <w:t>,</w:t>
      </w:r>
      <w:r w:rsidRPr="003B5C8D">
        <w:t xml:space="preserve"> between the villages of Klima, Kalochoraphitis and Apodoulou.</w:t>
      </w:r>
      <w:r>
        <w:t xml:space="preserve"> The concentration of decorated items in this area could be the effect of influence from the neighbouring Mid-West region where a high percentage of larnakes are decorated (for detailed analysis of larnakes from the Mesara and Mid-West region see Chapter 5).</w:t>
      </w:r>
    </w:p>
    <w:p w14:paraId="1190A6E2" w14:textId="305E158D" w:rsidR="008940B3" w:rsidRPr="002F6589" w:rsidRDefault="008940B3" w:rsidP="006C2644">
      <w:r>
        <w:tab/>
        <w:t>In conclusion, the Mesara area</w:t>
      </w:r>
      <w:r w:rsidRPr="003B5C8D">
        <w:t xml:space="preserve"> during the first phase of LM II-LM IIIA1</w:t>
      </w:r>
      <w:r w:rsidR="00036698">
        <w:t>,</w:t>
      </w:r>
      <w:r w:rsidRPr="003B5C8D">
        <w:t xml:space="preserve"> LM IIIA2 early (</w:t>
      </w:r>
      <w:r>
        <w:t>Agia Triada</w:t>
      </w:r>
      <w:r w:rsidRPr="003B5C8D">
        <w:t xml:space="preserve"> Kalyvia, Kamilari, Goudies) </w:t>
      </w:r>
      <w:r>
        <w:t>displays</w:t>
      </w:r>
      <w:r w:rsidRPr="003B5C8D">
        <w:t xml:space="preserve"> a connection in terms of burial customs (re</w:t>
      </w:r>
      <w:r>
        <w:t>use</w:t>
      </w:r>
      <w:r w:rsidRPr="003B5C8D">
        <w:t xml:space="preserve"> of earlier burials, variety of tombs associat</w:t>
      </w:r>
      <w:r>
        <w:t>ion</w:t>
      </w:r>
      <w:r w:rsidRPr="003B5C8D">
        <w:t xml:space="preserve"> with larnakes, variety of </w:t>
      </w:r>
      <w:r>
        <w:t>interment</w:t>
      </w:r>
      <w:r w:rsidRPr="003B5C8D">
        <w:t xml:space="preserve"> typologies used</w:t>
      </w:r>
      <w:r>
        <w:t>) to the</w:t>
      </w:r>
      <w:r w:rsidRPr="003B5C8D">
        <w:t xml:space="preserve"> Knossos </w:t>
      </w:r>
      <w:r w:rsidRPr="003F3225">
        <w:t>area (</w:t>
      </w:r>
      <w:r>
        <w:t>for Knossos area burial customs see section 3</w:t>
      </w:r>
      <w:r w:rsidRPr="003F3225">
        <w:t>.</w:t>
      </w:r>
      <w:r>
        <w:t>8).</w:t>
      </w:r>
      <w:r w:rsidRPr="003B5C8D">
        <w:t xml:space="preserve"> </w:t>
      </w:r>
      <w:r>
        <w:t>Following</w:t>
      </w:r>
      <w:r w:rsidRPr="003B5C8D">
        <w:t xml:space="preserve"> that phase</w:t>
      </w:r>
      <w:r>
        <w:t>,</w:t>
      </w:r>
      <w:r w:rsidRPr="003B5C8D">
        <w:t xml:space="preserve"> these cemeteries </w:t>
      </w:r>
      <w:r>
        <w:t>were</w:t>
      </w:r>
      <w:r w:rsidRPr="003B5C8D">
        <w:t xml:space="preserve"> abandoned and few burial sites</w:t>
      </w:r>
      <w:r>
        <w:t xml:space="preserve"> are</w:t>
      </w:r>
      <w:r w:rsidRPr="003B5C8D">
        <w:t xml:space="preserve"> attested for LM IIIB (</w:t>
      </w:r>
      <w:r>
        <w:t>the l</w:t>
      </w:r>
      <w:r w:rsidRPr="003B5C8D">
        <w:t xml:space="preserve">arnax burial at </w:t>
      </w:r>
      <w:r>
        <w:t xml:space="preserve">Agia Triada </w:t>
      </w:r>
      <w:r w:rsidRPr="003B5C8D">
        <w:t xml:space="preserve">and </w:t>
      </w:r>
      <w:r>
        <w:t xml:space="preserve">the </w:t>
      </w:r>
      <w:r w:rsidRPr="003B5C8D">
        <w:t>construction of Liliana at the end of LM IIIB). Instead</w:t>
      </w:r>
      <w:r>
        <w:t>,</w:t>
      </w:r>
      <w:r w:rsidRPr="003B5C8D">
        <w:t xml:space="preserve"> in the</w:t>
      </w:r>
      <w:r>
        <w:t xml:space="preserve"> LM IIIA2-B phase</w:t>
      </w:r>
      <w:r w:rsidRPr="003B5C8D">
        <w:t xml:space="preserve">, corresponding to the </w:t>
      </w:r>
      <w:r>
        <w:t xml:space="preserve">climax </w:t>
      </w:r>
      <w:r w:rsidRPr="003B5C8D">
        <w:t xml:space="preserve">in the </w:t>
      </w:r>
      <w:r w:rsidRPr="003F2A95">
        <w:t xml:space="preserve">use of the pair chamber tomb </w:t>
      </w:r>
      <w:r>
        <w:t>plus</w:t>
      </w:r>
      <w:r w:rsidRPr="003F2A95">
        <w:t xml:space="preserve"> larnakes,</w:t>
      </w:r>
      <w:r w:rsidRPr="003B5C8D">
        <w:t xml:space="preserve"> all the other tombs/burial location</w:t>
      </w:r>
      <w:r>
        <w:t>s</w:t>
      </w:r>
      <w:r w:rsidRPr="003B5C8D">
        <w:t xml:space="preserve"> </w:t>
      </w:r>
      <w:r>
        <w:t>were</w:t>
      </w:r>
      <w:r w:rsidRPr="003B5C8D">
        <w:t xml:space="preserve"> established in the broader Mesara area (north Klima-Kalochoraphitis-Apodoulou; scattered burial sites in the Mesara plain</w:t>
      </w:r>
      <w:r>
        <w:t xml:space="preserve"> –</w:t>
      </w:r>
      <w:r w:rsidRPr="003B5C8D">
        <w:t xml:space="preserve"> Stavros Galias, Tymbaki, Mires, Pompia; eastern Mesara </w:t>
      </w:r>
      <w:r>
        <w:t xml:space="preserve">– </w:t>
      </w:r>
      <w:r w:rsidRPr="003B5C8D">
        <w:t>Vasilikia Anogeia).</w:t>
      </w:r>
    </w:p>
    <w:p w14:paraId="755EDAB4" w14:textId="77777777" w:rsidR="008940B3" w:rsidRPr="00845B83" w:rsidRDefault="008940B3" w:rsidP="00E858EF">
      <w:pPr>
        <w:pStyle w:val="Titolo2"/>
        <w:keepNext w:val="0"/>
        <w:keepLines w:val="0"/>
        <w:suppressAutoHyphens/>
        <w:rPr>
          <w:color w:val="FF0000"/>
        </w:rPr>
      </w:pPr>
      <w:bookmarkStart w:id="211" w:name="_Toc389131157"/>
      <w:bookmarkStart w:id="212" w:name="_Toc517876482"/>
      <w:bookmarkStart w:id="213" w:name="_Toc519894620"/>
      <w:r w:rsidRPr="00845B83">
        <w:t>Knossos</w:t>
      </w:r>
      <w:r w:rsidRPr="00845B83">
        <w:rPr>
          <w:color w:val="000000" w:themeColor="text1"/>
        </w:rPr>
        <w:t xml:space="preserve"> area</w:t>
      </w:r>
      <w:bookmarkEnd w:id="211"/>
      <w:bookmarkEnd w:id="212"/>
      <w:bookmarkEnd w:id="213"/>
      <w:r w:rsidRPr="00845B83">
        <w:rPr>
          <w:color w:val="FF0000"/>
        </w:rPr>
        <w:t xml:space="preserve"> </w:t>
      </w:r>
    </w:p>
    <w:p w14:paraId="52F92AD8" w14:textId="77777777" w:rsidR="008940B3" w:rsidRPr="002F2788" w:rsidRDefault="008940B3" w:rsidP="006C2644">
      <w:r w:rsidRPr="003B5C8D">
        <w:t>Al</w:t>
      </w:r>
      <w:r>
        <w:t>though</w:t>
      </w:r>
      <w:r w:rsidRPr="003B5C8D">
        <w:t xml:space="preserve"> Knossos</w:t>
      </w:r>
      <w:r w:rsidRPr="003B5C8D">
        <w:rPr>
          <w:b/>
          <w:bCs/>
        </w:rPr>
        <w:t xml:space="preserve"> </w:t>
      </w:r>
      <w:r w:rsidRPr="003B5C8D">
        <w:t xml:space="preserve">and the cemeteries around it geographically belong to the </w:t>
      </w:r>
      <w:r>
        <w:t>C</w:t>
      </w:r>
      <w:r w:rsidRPr="003B5C8D">
        <w:t xml:space="preserve">entral region, it </w:t>
      </w:r>
      <w:r>
        <w:t xml:space="preserve">is preferable </w:t>
      </w:r>
      <w:r w:rsidRPr="003B5C8D">
        <w:t xml:space="preserve">to examine it as a separate analytical area. The cemeteries found in Heraklion and belonging to </w:t>
      </w:r>
      <w:r>
        <w:t xml:space="preserve">the </w:t>
      </w:r>
      <w:r w:rsidRPr="003B5C8D">
        <w:t>ancient Knossos ports are considered part of this analytical area.</w:t>
      </w:r>
    </w:p>
    <w:p w14:paraId="3BED7942" w14:textId="77777777" w:rsidR="008940B3" w:rsidRPr="002F2788" w:rsidRDefault="008940B3" w:rsidP="00E858EF">
      <w:pPr>
        <w:pStyle w:val="Titolo3"/>
        <w:keepNext w:val="0"/>
        <w:keepLines w:val="0"/>
        <w:suppressAutoHyphens/>
      </w:pPr>
      <w:bookmarkStart w:id="214" w:name="_Toc389131158"/>
      <w:bookmarkStart w:id="215" w:name="_Toc517876483"/>
      <w:bookmarkStart w:id="216" w:name="_Toc519894621"/>
      <w:r w:rsidRPr="003B5C8D">
        <w:t>Burial location</w:t>
      </w:r>
      <w:r>
        <w:t>s</w:t>
      </w:r>
      <w:r w:rsidRPr="003B5C8D">
        <w:t xml:space="preserve"> and cemeteries</w:t>
      </w:r>
      <w:bookmarkEnd w:id="214"/>
      <w:bookmarkEnd w:id="215"/>
      <w:bookmarkEnd w:id="216"/>
    </w:p>
    <w:p w14:paraId="2051BC2F" w14:textId="77777777" w:rsidR="008940B3" w:rsidRPr="003E0533" w:rsidRDefault="008940B3" w:rsidP="00E858EF">
      <w:pPr>
        <w:pStyle w:val="Titolo4"/>
        <w:keepNext w:val="0"/>
        <w:keepLines w:val="0"/>
        <w:suppressAutoHyphens/>
        <w:ind w:left="864" w:hanging="864"/>
        <w:contextualSpacing w:val="0"/>
      </w:pPr>
      <w:bookmarkStart w:id="217" w:name="_Toc389131159"/>
      <w:bookmarkStart w:id="218" w:name="_Toc517876484"/>
      <w:r w:rsidRPr="00A73BE7">
        <w:t>Wh</w:t>
      </w:r>
      <w:r>
        <w:t>at</w:t>
      </w:r>
      <w:r w:rsidRPr="00A73BE7">
        <w:t xml:space="preserve"> is the </w:t>
      </w:r>
      <w:r w:rsidRPr="003E0533">
        <w:t>proportion</w:t>
      </w:r>
      <w:r>
        <w:t xml:space="preserve"> of cemeteries with larnakes to</w:t>
      </w:r>
      <w:r w:rsidRPr="00A73BE7">
        <w:t xml:space="preserve"> cemeteries without larnakes?</w:t>
      </w:r>
      <w:bookmarkEnd w:id="217"/>
      <w:bookmarkEnd w:id="218"/>
    </w:p>
    <w:p w14:paraId="7AAD1D6E" w14:textId="2C82DF44" w:rsidR="008940B3" w:rsidRPr="000503B2" w:rsidRDefault="008940B3" w:rsidP="006C2644">
      <w:r w:rsidRPr="003B5C8D">
        <w:t xml:space="preserve">Clay larnax use is attested securely for half of </w:t>
      </w:r>
      <w:r w:rsidR="0029352E">
        <w:t xml:space="preserve">the </w:t>
      </w:r>
      <w:r w:rsidRPr="003B5C8D">
        <w:t>burial locations in use during LM III (Preston 2004a; Hatzaki 2005; Hatzaki 2016).</w:t>
      </w:r>
      <w:r>
        <w:t xml:space="preserve"> The possible sites include the cemeteries of Knossos North Cemetery (KNC) and Fortetsa. Even though Minoan larnakes have been recovered at both, the chronology of construction and use of these two cemeteries does not correspond to LM III (the chronological range of production and use of clay-coffin typology examined in the present work), but to a later phase: </w:t>
      </w:r>
      <w:r w:rsidRPr="000503B2">
        <w:t xml:space="preserve">Sub-Minoan to Middle Geometric </w:t>
      </w:r>
      <w:r>
        <w:t>(</w:t>
      </w:r>
      <w:r w:rsidRPr="000503B2">
        <w:t>KNC: Coldstream</w:t>
      </w:r>
      <w:r>
        <w:t xml:space="preserve"> </w:t>
      </w:r>
      <w:r w:rsidRPr="000503B2">
        <w:t>1996: 651-652</w:t>
      </w:r>
      <w:r>
        <w:t xml:space="preserve">) and </w:t>
      </w:r>
      <w:r w:rsidRPr="000503B2">
        <w:t xml:space="preserve">Sub-Minoan to Late Orientalising period </w:t>
      </w:r>
      <w:r>
        <w:t xml:space="preserve">(Fortetsa: </w:t>
      </w:r>
      <w:r w:rsidRPr="000503B2">
        <w:t xml:space="preserve">Brock 1957: 213-214) </w:t>
      </w:r>
    </w:p>
    <w:p w14:paraId="5E4EF44E" w14:textId="5A796A6B" w:rsidR="008940B3" w:rsidRDefault="006C2644" w:rsidP="006C2644">
      <w:r>
        <w:tab/>
      </w:r>
      <w:r w:rsidR="008940B3">
        <w:t xml:space="preserve">Regarding </w:t>
      </w:r>
      <w:r w:rsidR="008940B3" w:rsidRPr="00D2237F">
        <w:t>the date of</w:t>
      </w:r>
      <w:r w:rsidR="008940B3">
        <w:t xml:space="preserve"> the</w:t>
      </w:r>
      <w:r w:rsidR="008940B3" w:rsidRPr="00D2237F">
        <w:t xml:space="preserve"> construction </w:t>
      </w:r>
      <w:r w:rsidR="008940B3">
        <w:t xml:space="preserve">of tombs belonging to the </w:t>
      </w:r>
      <w:r w:rsidR="008940B3" w:rsidRPr="00D2237F">
        <w:t>KNC</w:t>
      </w:r>
      <w:r w:rsidR="008940B3">
        <w:t>,</w:t>
      </w:r>
      <w:r w:rsidR="008940B3" w:rsidRPr="00D2237F">
        <w:t xml:space="preserve"> </w:t>
      </w:r>
      <w:r w:rsidR="008940B3">
        <w:t>this</w:t>
      </w:r>
      <w:r w:rsidR="008940B3" w:rsidRPr="00D2237F">
        <w:t xml:space="preserve"> </w:t>
      </w:r>
      <w:r w:rsidR="008940B3">
        <w:t>was</w:t>
      </w:r>
      <w:r w:rsidR="008940B3" w:rsidRPr="00D2237F">
        <w:t xml:space="preserve"> examined and discussed by Cavanagh</w:t>
      </w:r>
      <w:r w:rsidR="008940B3">
        <w:t>,</w:t>
      </w:r>
      <w:r w:rsidR="008940B3" w:rsidRPr="00D2237F">
        <w:t xml:space="preserve"> along with the burial </w:t>
      </w:r>
      <w:r w:rsidR="008940B3">
        <w:t>customs</w:t>
      </w:r>
      <w:r w:rsidR="008940B3" w:rsidRPr="00D2237F">
        <w:t xml:space="preserve"> adopted in the cemetery</w:t>
      </w:r>
      <w:r w:rsidR="008940B3">
        <w:t xml:space="preserve"> (Cavanagh 1996: 651-676). The conclusion of his analysis is based on the architectural comparison between KNC and LBA tombs, but also on the quantity and type of LM offerings found within the tombs and excludes the possibility that there are tombs within the KNC that were constructed during LM times and reused later (Cavanagh 1996: 657). Moreover, considering the date of construction emerging from the analysis, in the tombs where larnakes were found, only tombs 18 and 98 could belong to the initial phase of the cemetery corresponding to SM (Sub-Minoan). All the other tombs with larnax fragments belong to a later phase. So, excluding the hypothesis of a Minoan date of construction and later reuse for the tombs with larnakes, the coffins found there could have been removed from other tombs, especially considering the small amount of Minoan material found along with these burials (Cavanagh 1996: 657).</w:t>
      </w:r>
    </w:p>
    <w:p w14:paraId="15FF2B2E" w14:textId="77777777" w:rsidR="008940B3" w:rsidRDefault="008940B3" w:rsidP="006C2644">
      <w:r>
        <w:tab/>
        <w:t>Only two larnax remains have been found in the Fortetsa cemetery and these come from the space between the dromoi of tombs V and VII, and the dromos of Tomb P (</w:t>
      </w:r>
      <w:r w:rsidRPr="00D2237F">
        <w:t>Brock 1957</w:t>
      </w:r>
      <w:r>
        <w:t>: 5). Although there are no other Minoan grave goods associated with the larnakes, according to Brock, the only possible explanation is that both the larnakes and the tombs are LM III in date and were later emptied and reused (</w:t>
      </w:r>
      <w:r w:rsidRPr="00D2237F">
        <w:t>Brock 1957</w:t>
      </w:r>
      <w:r>
        <w:t>: 5).</w:t>
      </w:r>
    </w:p>
    <w:p w14:paraId="79284B30" w14:textId="77777777" w:rsidR="008940B3" w:rsidRPr="003B5C8D" w:rsidRDefault="008940B3" w:rsidP="006C2644">
      <w:r>
        <w:tab/>
        <w:t xml:space="preserve">Considering the current information available, it is not possible in either the case of larnakes from the KNC or in the case of the two larnakes found at Fortetsa to securely date the contexts in which they were found. Any chronology assigned to these artefacts (in particular to the larnakes from KNC, i.e. the fragmentary reconstructed larnax found in the niche of the dromos of Tomb 107 (Morgan 1987) has been based on the style of the decoration. It has been proposed that it is possible that the larnakes from both cemeteries constitute later imitations of LM examples (Barron 2013). Although, in both the cases of the larnakes from Fortetsa and from KNC, the morphological and stylistic features are clearly Minoan, and it would have been difficult to imitate in detail an object centuries later. Consequently, the final hypothesis seems improbable. In any case, petrographic analysis of the clay coffins and comparison with the other larnakes found in the Knossos area could help to clarify any problems linked to the chronology of these items. The larnakes from the KNC and Fortetsa are not considered within the sample of secure LM III burial locations with larnakes. </w:t>
      </w:r>
      <w:r w:rsidRPr="003B5C8D">
        <w:t>The discussion in the following section concern</w:t>
      </w:r>
      <w:r>
        <w:t>s</w:t>
      </w:r>
      <w:r w:rsidRPr="003B5C8D">
        <w:t xml:space="preserve"> only the burial locations </w:t>
      </w:r>
      <w:r>
        <w:t>for which</w:t>
      </w:r>
      <w:r w:rsidRPr="003B5C8D">
        <w:t xml:space="preserve"> clay larnax use has been </w:t>
      </w:r>
      <w:r>
        <w:t xml:space="preserve">securely </w:t>
      </w:r>
      <w:r w:rsidRPr="003B5C8D">
        <w:t>attested.</w:t>
      </w:r>
    </w:p>
    <w:p w14:paraId="19D97B95"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4EBB45BC" wp14:editId="22D8C9BE">
            <wp:extent cx="4680000" cy="2520000"/>
            <wp:effectExtent l="0" t="0" r="19050" b="20320"/>
            <wp:docPr id="10" name="Gra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766C271" w14:textId="77777777" w:rsidR="008940B3" w:rsidRDefault="008940B3" w:rsidP="00E858EF">
      <w:pPr>
        <w:pStyle w:val="Didascalia"/>
        <w:suppressAutoHyphens/>
      </w:pPr>
      <w:r w:rsidRPr="003B5C8D">
        <w:rPr>
          <w:color w:val="000000"/>
          <w:sz w:val="22"/>
          <w:szCs w:val="22"/>
        </w:rPr>
        <w:t xml:space="preserve"> </w:t>
      </w:r>
      <w:bookmarkStart w:id="219" w:name="_Toc520212300"/>
      <w:r>
        <w:t>Figure 3-</w:t>
      </w:r>
      <w:r w:rsidRPr="008D7575">
        <w:t>19. LM III burial locations in the Knossos area</w:t>
      </w:r>
      <w:bookmarkEnd w:id="219"/>
    </w:p>
    <w:p w14:paraId="4C3E558C"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0E64B64D" w14:textId="77777777" w:rsidR="008940B3" w:rsidRDefault="008940B3" w:rsidP="00E858EF">
      <w:pPr>
        <w:pStyle w:val="Didascalia"/>
        <w:suppressAutoHyphens/>
      </w:pPr>
      <w:r w:rsidRPr="00A245D3">
        <w:t xml:space="preserve"> </w:t>
      </w:r>
      <w:bookmarkStart w:id="220" w:name="_Toc519814573"/>
      <w:bookmarkStart w:id="221" w:name="_Toc519894760"/>
      <w:bookmarkStart w:id="222" w:name="_Toc520212301"/>
      <w:r>
        <w:rPr>
          <w:noProof/>
          <w:lang w:val="it-IT"/>
        </w:rPr>
        <w:drawing>
          <wp:inline distT="0" distB="0" distL="0" distR="0" wp14:anchorId="1C701B8E" wp14:editId="13DDDA07">
            <wp:extent cx="5397500" cy="3816350"/>
            <wp:effectExtent l="0" t="0" r="12700" b="0"/>
            <wp:docPr id="19" name="Immagine 19" descr="Macintosh HD:Users:angela:Desktop:180716_4_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gela:Desktop:180716_4_KN.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97500" cy="3816350"/>
                    </a:xfrm>
                    <a:prstGeom prst="rect">
                      <a:avLst/>
                    </a:prstGeom>
                    <a:noFill/>
                    <a:ln>
                      <a:noFill/>
                    </a:ln>
                  </pic:spPr>
                </pic:pic>
              </a:graphicData>
            </a:graphic>
          </wp:inline>
        </w:drawing>
      </w:r>
      <w:bookmarkEnd w:id="220"/>
      <w:bookmarkEnd w:id="221"/>
      <w:bookmarkEnd w:id="222"/>
    </w:p>
    <w:p w14:paraId="48B264AA" w14:textId="0A33075B" w:rsidR="008940B3" w:rsidRDefault="008940B3" w:rsidP="00E858EF">
      <w:pPr>
        <w:pStyle w:val="Didascalia"/>
        <w:suppressAutoHyphens/>
      </w:pPr>
      <w:bookmarkStart w:id="223" w:name="_Toc520212302"/>
      <w:r>
        <w:t xml:space="preserve">Figure 3-20. Distribution of </w:t>
      </w:r>
      <w:r w:rsidRPr="00FF04E9">
        <w:t>LMI</w:t>
      </w:r>
      <w:r w:rsidR="00EC2F39">
        <w:t>II b</w:t>
      </w:r>
      <w:r>
        <w:t>urial locations in the Knossos a</w:t>
      </w:r>
      <w:r w:rsidRPr="00895FF7">
        <w:t>rea</w:t>
      </w:r>
      <w:r>
        <w:t xml:space="preserve"> (Source: Author)</w:t>
      </w:r>
      <w:bookmarkEnd w:id="223"/>
    </w:p>
    <w:p w14:paraId="7ECCAC8A" w14:textId="77777777" w:rsidR="008940B3" w:rsidRDefault="008940B3" w:rsidP="00E858EF">
      <w:pPr>
        <w:pStyle w:val="Testofumetto"/>
        <w:suppressAutoHyphens/>
      </w:pPr>
    </w:p>
    <w:p w14:paraId="0D0421B9" w14:textId="1BDBCB80" w:rsidR="008940B3" w:rsidRPr="003B5C8D" w:rsidRDefault="008940B3" w:rsidP="00E858EF">
      <w:pPr>
        <w:pStyle w:val="Testofumetto"/>
        <w:suppressAutoHyphens/>
      </w:pPr>
      <w:bookmarkStart w:id="224" w:name="_Toc520212518"/>
      <w:r>
        <w:t>Table 3-29. LM III burial locations</w:t>
      </w:r>
      <w:r w:rsidR="0081276F">
        <w:t>,</w:t>
      </w:r>
      <w:r>
        <w:t xml:space="preserve"> Knossos area</w:t>
      </w:r>
      <w:r w:rsidR="0081276F">
        <w:t>,</w:t>
      </w:r>
      <w:r>
        <w:t xml:space="preserve"> in detail</w:t>
      </w:r>
      <w:bookmarkEnd w:id="224"/>
    </w:p>
    <w:tbl>
      <w:tblPr>
        <w:tblW w:w="0" w:type="auto"/>
        <w:tblInd w:w="60" w:type="dxa"/>
        <w:tblCellMar>
          <w:left w:w="0" w:type="dxa"/>
          <w:right w:w="0" w:type="dxa"/>
        </w:tblCellMar>
        <w:tblLook w:val="04A0" w:firstRow="1" w:lastRow="0" w:firstColumn="1" w:lastColumn="0" w:noHBand="0" w:noVBand="1"/>
      </w:tblPr>
      <w:tblGrid>
        <w:gridCol w:w="4253"/>
        <w:gridCol w:w="3101"/>
      </w:tblGrid>
      <w:tr w:rsidR="008940B3" w:rsidRPr="006C2644" w14:paraId="49EF381C" w14:textId="77777777" w:rsidTr="008940B3">
        <w:trPr>
          <w:trHeight w:val="195"/>
        </w:trPr>
        <w:tc>
          <w:tcPr>
            <w:tcW w:w="425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28E65C9" w14:textId="77777777" w:rsidR="008940B3" w:rsidRPr="006C2644" w:rsidRDefault="008940B3" w:rsidP="00E858EF">
            <w:pPr>
              <w:suppressAutoHyphens/>
              <w:rPr>
                <w:sz w:val="20"/>
                <w:szCs w:val="22"/>
              </w:rPr>
            </w:pPr>
            <w:r w:rsidRPr="006C2644">
              <w:rPr>
                <w:color w:val="000000"/>
                <w:sz w:val="20"/>
                <w:szCs w:val="22"/>
              </w:rPr>
              <w:t>Burial locations with secure larnax interment</w:t>
            </w:r>
          </w:p>
        </w:tc>
        <w:tc>
          <w:tcPr>
            <w:tcW w:w="310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BE3B6F8" w14:textId="77777777" w:rsidR="008940B3" w:rsidRPr="006C2644" w:rsidRDefault="008940B3" w:rsidP="00E858EF">
            <w:pPr>
              <w:suppressAutoHyphens/>
              <w:jc w:val="center"/>
              <w:rPr>
                <w:sz w:val="20"/>
                <w:szCs w:val="22"/>
              </w:rPr>
            </w:pPr>
            <w:r w:rsidRPr="006C2644">
              <w:rPr>
                <w:color w:val="000000"/>
                <w:sz w:val="20"/>
                <w:szCs w:val="22"/>
              </w:rPr>
              <w:t>7</w:t>
            </w:r>
          </w:p>
        </w:tc>
      </w:tr>
      <w:tr w:rsidR="008940B3" w:rsidRPr="006C2644" w14:paraId="1695595D" w14:textId="77777777" w:rsidTr="008940B3">
        <w:trPr>
          <w:trHeight w:val="195"/>
        </w:trPr>
        <w:tc>
          <w:tcPr>
            <w:tcW w:w="4253"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79487936" w14:textId="77777777" w:rsidR="008940B3" w:rsidRPr="006C2644" w:rsidRDefault="008940B3" w:rsidP="00E858EF">
            <w:pPr>
              <w:suppressAutoHyphens/>
              <w:rPr>
                <w:sz w:val="20"/>
                <w:szCs w:val="22"/>
              </w:rPr>
            </w:pPr>
            <w:r w:rsidRPr="006C2644">
              <w:rPr>
                <w:color w:val="000000"/>
                <w:sz w:val="20"/>
                <w:szCs w:val="22"/>
              </w:rPr>
              <w:t>Burial locations with possible larnax interment</w:t>
            </w:r>
          </w:p>
        </w:tc>
        <w:tc>
          <w:tcPr>
            <w:tcW w:w="3101"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6C5F1429" w14:textId="77777777" w:rsidR="008940B3" w:rsidRPr="006C2644" w:rsidRDefault="008940B3" w:rsidP="00E858EF">
            <w:pPr>
              <w:suppressAutoHyphens/>
              <w:jc w:val="center"/>
              <w:rPr>
                <w:sz w:val="20"/>
                <w:szCs w:val="22"/>
              </w:rPr>
            </w:pPr>
            <w:r w:rsidRPr="006C2644">
              <w:rPr>
                <w:color w:val="000000"/>
                <w:sz w:val="20"/>
                <w:szCs w:val="22"/>
              </w:rPr>
              <w:t>5</w:t>
            </w:r>
          </w:p>
        </w:tc>
      </w:tr>
      <w:tr w:rsidR="008940B3" w:rsidRPr="006C2644" w14:paraId="067B7067" w14:textId="77777777" w:rsidTr="008940B3">
        <w:trPr>
          <w:trHeight w:val="195"/>
        </w:trPr>
        <w:tc>
          <w:tcPr>
            <w:tcW w:w="425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A9210FC" w14:textId="77777777" w:rsidR="008940B3" w:rsidRPr="006C2644" w:rsidRDefault="008940B3" w:rsidP="00E858EF">
            <w:pPr>
              <w:suppressAutoHyphens/>
              <w:rPr>
                <w:sz w:val="20"/>
                <w:szCs w:val="22"/>
              </w:rPr>
            </w:pPr>
            <w:r w:rsidRPr="006C2644">
              <w:rPr>
                <w:color w:val="000000"/>
                <w:sz w:val="20"/>
                <w:szCs w:val="22"/>
              </w:rPr>
              <w:t>Burial locations without larnakes</w:t>
            </w:r>
          </w:p>
        </w:tc>
        <w:tc>
          <w:tcPr>
            <w:tcW w:w="310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0A28955" w14:textId="77777777" w:rsidR="008940B3" w:rsidRPr="006C2644" w:rsidRDefault="008940B3" w:rsidP="00E858EF">
            <w:pPr>
              <w:suppressAutoHyphens/>
              <w:jc w:val="center"/>
              <w:rPr>
                <w:sz w:val="20"/>
                <w:szCs w:val="22"/>
              </w:rPr>
            </w:pPr>
            <w:r w:rsidRPr="006C2644">
              <w:rPr>
                <w:color w:val="000000"/>
                <w:sz w:val="20"/>
                <w:szCs w:val="22"/>
              </w:rPr>
              <w:t>6</w:t>
            </w:r>
          </w:p>
        </w:tc>
      </w:tr>
    </w:tbl>
    <w:p w14:paraId="4893CFD2"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6998922A" w14:textId="77777777" w:rsidR="008940B3" w:rsidRPr="003B5C8D" w:rsidRDefault="008940B3" w:rsidP="006C2644">
      <w:r w:rsidRPr="003B5C8D">
        <w:t xml:space="preserve">In the case of </w:t>
      </w:r>
      <w:r>
        <w:t xml:space="preserve">the </w:t>
      </w:r>
      <w:r w:rsidRPr="003B5C8D">
        <w:t>Knossos area</w:t>
      </w:r>
      <w:r>
        <w:t>,</w:t>
      </w:r>
      <w:r w:rsidRPr="003B5C8D">
        <w:t xml:space="preserve"> burial locations correspond </w:t>
      </w:r>
      <w:r>
        <w:t>generally to actual cemeteries.</w:t>
      </w:r>
    </w:p>
    <w:p w14:paraId="1D2C3E29" w14:textId="77777777" w:rsidR="008940B3" w:rsidRPr="003E0533" w:rsidRDefault="008940B3" w:rsidP="00E858EF">
      <w:pPr>
        <w:pStyle w:val="Titolo4"/>
        <w:keepNext w:val="0"/>
        <w:keepLines w:val="0"/>
        <w:suppressAutoHyphens/>
        <w:ind w:left="864" w:hanging="864"/>
        <w:contextualSpacing w:val="0"/>
      </w:pPr>
      <w:bookmarkStart w:id="225" w:name="_Toc389131160"/>
      <w:bookmarkStart w:id="226" w:name="_Toc517876485"/>
      <w:r w:rsidRPr="00361ACD">
        <w:t xml:space="preserve">Are larnakes located </w:t>
      </w:r>
      <w:r w:rsidRPr="003E0533">
        <w:t>in</w:t>
      </w:r>
      <w:r w:rsidRPr="00361ACD">
        <w:t xml:space="preserve"> new</w:t>
      </w:r>
      <w:r>
        <w:t xml:space="preserve"> built</w:t>
      </w:r>
      <w:r w:rsidRPr="00361ACD">
        <w:t xml:space="preserve"> </w:t>
      </w:r>
      <w:r>
        <w:t xml:space="preserve">cemeteries </w:t>
      </w:r>
      <w:r w:rsidRPr="00361ACD">
        <w:t>or reused ones?</w:t>
      </w:r>
      <w:bookmarkEnd w:id="225"/>
      <w:bookmarkEnd w:id="226"/>
    </w:p>
    <w:p w14:paraId="455969C2" w14:textId="103AAB5E" w:rsidR="008940B3" w:rsidRPr="003B5C8D" w:rsidRDefault="008940B3" w:rsidP="006C2644">
      <w:r>
        <w:t>Regarding</w:t>
      </w:r>
      <w:r w:rsidRPr="003B5C8D">
        <w:t xml:space="preserve"> continuity and discontinuity in the use of pre-existing burial sites, the vast majority of cemeteries with larnakes </w:t>
      </w:r>
      <w:r>
        <w:t>were</w:t>
      </w:r>
      <w:r w:rsidRPr="003B5C8D">
        <w:t xml:space="preserve"> in use since the </w:t>
      </w:r>
      <w:r>
        <w:t>n</w:t>
      </w:r>
      <w:r w:rsidRPr="003B5C8D">
        <w:t xml:space="preserve">eo-palatial or </w:t>
      </w:r>
      <w:r>
        <w:t>f</w:t>
      </w:r>
      <w:r w:rsidRPr="003B5C8D">
        <w:t>inal</w:t>
      </w:r>
      <w:r>
        <w:t>-</w:t>
      </w:r>
      <w:r w:rsidRPr="003B5C8D">
        <w:t>palatial phase and re</w:t>
      </w:r>
      <w:r>
        <w:t>used</w:t>
      </w:r>
      <w:r w:rsidRPr="003B5C8D">
        <w:t xml:space="preserve"> later during </w:t>
      </w:r>
      <w:r>
        <w:t>p</w:t>
      </w:r>
      <w:r w:rsidRPr="003B5C8D">
        <w:t>ost</w:t>
      </w:r>
      <w:r>
        <w:t>-p</w:t>
      </w:r>
      <w:r w:rsidRPr="003B5C8D">
        <w:t>alatial phase</w:t>
      </w:r>
      <w:r>
        <w:t>.</w:t>
      </w:r>
      <w:r w:rsidRPr="003B5C8D">
        <w:t xml:space="preserve"> </w:t>
      </w:r>
      <w:r>
        <w:t>These cemeteries display,</w:t>
      </w:r>
      <w:r w:rsidRPr="003B5C8D">
        <w:t xml:space="preserve"> in s</w:t>
      </w:r>
      <w:r>
        <w:t>o</w:t>
      </w:r>
      <w:r w:rsidRPr="003B5C8D">
        <w:t>me case</w:t>
      </w:r>
      <w:r>
        <w:t>s,</w:t>
      </w:r>
      <w:r w:rsidRPr="003B5C8D">
        <w:t xml:space="preserve"> continuity, as in the case of Mavro Spelio; Upper and Lower Gypsades, with a gap for the LM II for Upper Gypsades (for a general chronological distribution of cemeteries in Knossos area</w:t>
      </w:r>
      <w:r>
        <w:t>, see</w:t>
      </w:r>
      <w:r w:rsidRPr="003B5C8D">
        <w:t xml:space="preserve"> Preston 2000: 137, </w:t>
      </w:r>
      <w:r>
        <w:t>T</w:t>
      </w:r>
      <w:r w:rsidRPr="003B5C8D">
        <w:t>able 5.2;</w:t>
      </w:r>
      <w:r>
        <w:t xml:space="preserve"> </w:t>
      </w:r>
      <w:r w:rsidRPr="003B5C8D">
        <w:t>Hatz</w:t>
      </w:r>
      <w:r>
        <w:t>aki 2016: 198, Table 25.1). Only</w:t>
      </w:r>
      <w:r w:rsidRPr="003B5C8D">
        <w:t xml:space="preserve"> two cemeteries with larnakes </w:t>
      </w:r>
      <w:r>
        <w:t>were</w:t>
      </w:r>
      <w:r w:rsidRPr="003B5C8D">
        <w:t xml:space="preserve"> new</w:t>
      </w:r>
      <w:r>
        <w:t>ly</w:t>
      </w:r>
      <w:r w:rsidRPr="003B5C8D">
        <w:t xml:space="preserve"> esta</w:t>
      </w:r>
      <w:r>
        <w:t xml:space="preserve">blished LM III burial locations </w:t>
      </w:r>
      <w:r w:rsidR="0006359E">
        <w:t>Zafer</w:t>
      </w:r>
      <w:r>
        <w:t xml:space="preserve"> Papoura and Sellopoulo: the first one, however, is very large. </w:t>
      </w:r>
    </w:p>
    <w:p w14:paraId="123B2087"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3442EA47" w14:textId="61EB0564" w:rsidR="008940B3" w:rsidRPr="003B5C8D" w:rsidRDefault="008940B3" w:rsidP="00E858EF">
      <w:pPr>
        <w:pStyle w:val="Testofumetto"/>
        <w:suppressAutoHyphens/>
      </w:pPr>
      <w:bookmarkStart w:id="227" w:name="_Toc520212519"/>
      <w:r>
        <w:t>Table 3-30. Percentage of pre-existing cemeteries reused in LM III with larnax burials</w:t>
      </w:r>
      <w:r w:rsidR="00715077">
        <w:t>,</w:t>
      </w:r>
      <w:r>
        <w:t xml:space="preserve"> Knossos area</w:t>
      </w:r>
      <w:bookmarkEnd w:id="227"/>
    </w:p>
    <w:tbl>
      <w:tblPr>
        <w:tblW w:w="0" w:type="auto"/>
        <w:tblCellMar>
          <w:left w:w="0" w:type="dxa"/>
          <w:right w:w="0" w:type="dxa"/>
        </w:tblCellMar>
        <w:tblLook w:val="04A0" w:firstRow="1" w:lastRow="0" w:firstColumn="1" w:lastColumn="0" w:noHBand="0" w:noVBand="1"/>
      </w:tblPr>
      <w:tblGrid>
        <w:gridCol w:w="3480"/>
        <w:gridCol w:w="3480"/>
      </w:tblGrid>
      <w:tr w:rsidR="008940B3" w:rsidRPr="006C2644" w14:paraId="5FA0C326" w14:textId="77777777" w:rsidTr="008940B3">
        <w:trPr>
          <w:trHeight w:val="195"/>
        </w:trPr>
        <w:tc>
          <w:tcPr>
            <w:tcW w:w="34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6227359" w14:textId="77777777" w:rsidR="008940B3" w:rsidRPr="006C2644" w:rsidRDefault="008940B3" w:rsidP="00E858EF">
            <w:pPr>
              <w:suppressAutoHyphens/>
              <w:rPr>
                <w:sz w:val="20"/>
                <w:szCs w:val="22"/>
              </w:rPr>
            </w:pPr>
            <w:r w:rsidRPr="006C2644">
              <w:rPr>
                <w:color w:val="000000"/>
                <w:sz w:val="20"/>
                <w:szCs w:val="22"/>
              </w:rPr>
              <w:t xml:space="preserve">LM III cemeteries </w:t>
            </w:r>
          </w:p>
        </w:tc>
        <w:tc>
          <w:tcPr>
            <w:tcW w:w="34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2AFDC3B" w14:textId="77777777" w:rsidR="008940B3" w:rsidRPr="006C2644" w:rsidRDefault="008940B3" w:rsidP="00E858EF">
            <w:pPr>
              <w:suppressAutoHyphens/>
              <w:jc w:val="center"/>
              <w:rPr>
                <w:sz w:val="20"/>
                <w:szCs w:val="22"/>
              </w:rPr>
            </w:pPr>
            <w:r w:rsidRPr="006C2644">
              <w:rPr>
                <w:sz w:val="20"/>
                <w:szCs w:val="22"/>
              </w:rPr>
              <w:t>3 (43%)</w:t>
            </w:r>
          </w:p>
        </w:tc>
      </w:tr>
      <w:tr w:rsidR="008940B3" w:rsidRPr="006C2644" w14:paraId="007AFB4E" w14:textId="77777777" w:rsidTr="008940B3">
        <w:trPr>
          <w:trHeight w:val="195"/>
        </w:trPr>
        <w:tc>
          <w:tcPr>
            <w:tcW w:w="3480"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tcPr>
          <w:p w14:paraId="356B66D7" w14:textId="77777777" w:rsidR="008940B3" w:rsidRPr="006C2644" w:rsidRDefault="008940B3" w:rsidP="00E858EF">
            <w:pPr>
              <w:suppressAutoHyphens/>
              <w:rPr>
                <w:color w:val="000000"/>
                <w:sz w:val="20"/>
                <w:szCs w:val="22"/>
              </w:rPr>
            </w:pPr>
            <w:r w:rsidRPr="006C2644">
              <w:rPr>
                <w:color w:val="000000"/>
                <w:sz w:val="20"/>
                <w:szCs w:val="22"/>
              </w:rPr>
              <w:t>LM II /LIIIA cemeteries</w:t>
            </w:r>
          </w:p>
        </w:tc>
        <w:tc>
          <w:tcPr>
            <w:tcW w:w="3480"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tcPr>
          <w:p w14:paraId="74551E5E" w14:textId="77777777" w:rsidR="008940B3" w:rsidRPr="006C2644" w:rsidRDefault="008940B3" w:rsidP="00E858EF">
            <w:pPr>
              <w:suppressAutoHyphens/>
              <w:jc w:val="center"/>
              <w:rPr>
                <w:sz w:val="20"/>
                <w:szCs w:val="22"/>
              </w:rPr>
            </w:pPr>
            <w:r w:rsidRPr="006C2644">
              <w:rPr>
                <w:sz w:val="20"/>
                <w:szCs w:val="22"/>
              </w:rPr>
              <w:t>1 (25%)</w:t>
            </w:r>
          </w:p>
        </w:tc>
      </w:tr>
      <w:tr w:rsidR="008940B3" w:rsidRPr="006C2644" w14:paraId="64028BE9" w14:textId="77777777" w:rsidTr="008940B3">
        <w:trPr>
          <w:trHeight w:val="195"/>
        </w:trPr>
        <w:tc>
          <w:tcPr>
            <w:tcW w:w="3480"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9079C42" w14:textId="77777777" w:rsidR="008940B3" w:rsidRPr="006C2644" w:rsidRDefault="008940B3" w:rsidP="00E858EF">
            <w:pPr>
              <w:suppressAutoHyphens/>
              <w:rPr>
                <w:sz w:val="20"/>
                <w:szCs w:val="22"/>
              </w:rPr>
            </w:pPr>
            <w:r w:rsidRPr="006C2644">
              <w:rPr>
                <w:color w:val="000000"/>
                <w:sz w:val="20"/>
                <w:szCs w:val="22"/>
              </w:rPr>
              <w:t xml:space="preserve">MM cemeteries reused/in LM III </w:t>
            </w:r>
          </w:p>
        </w:tc>
        <w:tc>
          <w:tcPr>
            <w:tcW w:w="3480"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40236F2" w14:textId="77777777" w:rsidR="008940B3" w:rsidRPr="006C2644" w:rsidRDefault="008940B3" w:rsidP="00E858EF">
            <w:pPr>
              <w:suppressAutoHyphens/>
              <w:jc w:val="center"/>
              <w:rPr>
                <w:sz w:val="20"/>
                <w:szCs w:val="22"/>
              </w:rPr>
            </w:pPr>
            <w:r w:rsidRPr="006C2644">
              <w:rPr>
                <w:sz w:val="20"/>
                <w:szCs w:val="22"/>
              </w:rPr>
              <w:t>3 (43%)</w:t>
            </w:r>
          </w:p>
        </w:tc>
      </w:tr>
    </w:tbl>
    <w:p w14:paraId="50BE4F5C"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2FF7592F" w14:textId="77777777" w:rsidR="008940B3" w:rsidRPr="003E0533" w:rsidRDefault="008940B3" w:rsidP="00E858EF">
      <w:pPr>
        <w:pStyle w:val="Titolo4"/>
        <w:keepNext w:val="0"/>
        <w:keepLines w:val="0"/>
        <w:suppressAutoHyphens/>
        <w:ind w:left="864" w:hanging="864"/>
        <w:contextualSpacing w:val="0"/>
      </w:pPr>
      <w:bookmarkStart w:id="228" w:name="_Toc389131161"/>
      <w:bookmarkStart w:id="229" w:name="_Toc517876486"/>
      <w:r w:rsidRPr="00361ACD">
        <w:t xml:space="preserve">Where </w:t>
      </w:r>
      <w:r>
        <w:t>in</w:t>
      </w:r>
      <w:r w:rsidRPr="00361ACD">
        <w:t xml:space="preserve"> the region </w:t>
      </w:r>
      <w:r>
        <w:t xml:space="preserve">are </w:t>
      </w:r>
      <w:r w:rsidRPr="00361ACD">
        <w:t>the cemeteries with larnax use?</w:t>
      </w:r>
      <w:bookmarkEnd w:id="228"/>
      <w:bookmarkEnd w:id="229"/>
    </w:p>
    <w:p w14:paraId="3F2534F8" w14:textId="77777777" w:rsidR="008940B3" w:rsidRPr="003B5C8D" w:rsidRDefault="008940B3" w:rsidP="006C2644">
      <w:r>
        <w:t>Regarding</w:t>
      </w:r>
      <w:r w:rsidRPr="003B5C8D">
        <w:t xml:space="preserve"> spatial distribution, the vast majority of LM III burial locations with larnax burials are located north of</w:t>
      </w:r>
      <w:r>
        <w:t xml:space="preserve"> the</w:t>
      </w:r>
      <w:r w:rsidRPr="003B5C8D">
        <w:t xml:space="preserve"> Knossos Palace, with the exception of t Upper and Lower Gypsades </w:t>
      </w:r>
      <w:r>
        <w:t xml:space="preserve">to the south </w:t>
      </w:r>
      <w:r w:rsidRPr="003B5C8D">
        <w:t xml:space="preserve">(Preston 2004: 328 </w:t>
      </w:r>
      <w:r>
        <w:t>F</w:t>
      </w:r>
      <w:r w:rsidRPr="003B5C8D">
        <w:t>ig.</w:t>
      </w:r>
      <w:r>
        <w:t xml:space="preserve"> </w:t>
      </w:r>
      <w:r w:rsidRPr="003B5C8D">
        <w:t>3). Burial sites are distributed b</w:t>
      </w:r>
      <w:r>
        <w:t>oth to the west and to the east</w:t>
      </w:r>
      <w:r w:rsidRPr="003B5C8D">
        <w:t xml:space="preserve"> of t</w:t>
      </w:r>
      <w:r>
        <w:t xml:space="preserve">he river Kairatos and seem to follow </w:t>
      </w:r>
      <w:r w:rsidRPr="003B5C8D">
        <w:t>i</w:t>
      </w:r>
      <w:r>
        <w:t>t</w:t>
      </w:r>
      <w:r w:rsidRPr="003B5C8D">
        <w:t>s course</w:t>
      </w:r>
      <w:r>
        <w:rPr>
          <w:b/>
          <w:i/>
        </w:rPr>
        <w:t>.</w:t>
      </w:r>
    </w:p>
    <w:p w14:paraId="116DE038" w14:textId="77777777" w:rsidR="008940B3" w:rsidRPr="00FB533C" w:rsidRDefault="008940B3" w:rsidP="00E858EF">
      <w:pPr>
        <w:pStyle w:val="Titolo4"/>
        <w:keepNext w:val="0"/>
        <w:keepLines w:val="0"/>
        <w:suppressAutoHyphens/>
        <w:ind w:left="864" w:hanging="864"/>
        <w:contextualSpacing w:val="0"/>
        <w:rPr>
          <w:b w:val="0"/>
          <w:color w:val="FF0000"/>
        </w:rPr>
      </w:pPr>
      <w:bookmarkStart w:id="230" w:name="_Toc389131162"/>
      <w:bookmarkStart w:id="231" w:name="_Toc517876487"/>
      <w:r w:rsidRPr="00361ACD">
        <w:t>Wh</w:t>
      </w:r>
      <w:r>
        <w:t>ich</w:t>
      </w:r>
      <w:r w:rsidRPr="00361ACD">
        <w:t xml:space="preserve"> are the largest cemeteries and the smallest in terms of tomb number</w:t>
      </w:r>
      <w:r>
        <w:t>s</w:t>
      </w:r>
      <w:r w:rsidRPr="00361ACD">
        <w:t>?</w:t>
      </w:r>
      <w:bookmarkEnd w:id="230"/>
      <w:bookmarkEnd w:id="231"/>
      <w:r w:rsidRPr="00063B41">
        <w:rPr>
          <w:color w:val="FF0000"/>
        </w:rPr>
        <w:t xml:space="preserve"> </w:t>
      </w:r>
    </w:p>
    <w:p w14:paraId="3F3F7AD1" w14:textId="77777777" w:rsidR="008940B3" w:rsidRDefault="008940B3" w:rsidP="006C2644">
      <w:r w:rsidRPr="003B5C8D">
        <w:t xml:space="preserve">Grading cemeteries </w:t>
      </w:r>
      <w:r>
        <w:t>based on</w:t>
      </w:r>
      <w:r w:rsidRPr="003B5C8D">
        <w:t xml:space="preserve"> tomb number</w:t>
      </w:r>
      <w:r>
        <w:t>s</w:t>
      </w:r>
      <w:r w:rsidRPr="003B5C8D">
        <w:t xml:space="preserve"> </w:t>
      </w:r>
      <w:r>
        <w:t>provides</w:t>
      </w:r>
      <w:r w:rsidRPr="003B5C8D">
        <w:t xml:space="preserve"> an idea of the</w:t>
      </w:r>
      <w:r>
        <w:t>ir</w:t>
      </w:r>
      <w:r w:rsidRPr="003B5C8D">
        <w:t xml:space="preserve"> size. Zafer Papoura </w:t>
      </w:r>
      <w:r>
        <w:t>is</w:t>
      </w:r>
      <w:r w:rsidRPr="003B5C8D">
        <w:t xml:space="preserve"> c</w:t>
      </w:r>
      <w:r>
        <w:t>onsidered the most secure LM III larg</w:t>
      </w:r>
      <w:r w:rsidRPr="003B5C8D">
        <w:t>e cemetery in this area (100</w:t>
      </w:r>
      <w:r>
        <w:t xml:space="preserve"> preserved</w:t>
      </w:r>
      <w:r w:rsidRPr="003B5C8D">
        <w:t xml:space="preserve"> tombs</w:t>
      </w:r>
      <w:r>
        <w:t>, see</w:t>
      </w:r>
      <w:r w:rsidRPr="003B5C8D">
        <w:t xml:space="preserve"> Evans 1906; Preston 2000; Preston 2004a; Hatzaki 2005; 101 tombs</w:t>
      </w:r>
      <w:r>
        <w:t>, see</w:t>
      </w:r>
      <w:r w:rsidRPr="003B5C8D">
        <w:t xml:space="preserve"> Hatzaki 2016). The only burial locations in which</w:t>
      </w:r>
      <w:r>
        <w:t>,</w:t>
      </w:r>
      <w:r w:rsidRPr="003B5C8D">
        <w:t xml:space="preserve"> </w:t>
      </w:r>
      <w:r>
        <w:t>as yet,</w:t>
      </w:r>
      <w:r w:rsidRPr="003B5C8D">
        <w:t xml:space="preserve"> only a single LM III tomb has been found in this area,</w:t>
      </w:r>
      <w:r>
        <w:t xml:space="preserve"> is</w:t>
      </w:r>
      <w:r w:rsidRPr="003B5C8D">
        <w:t xml:space="preserve"> </w:t>
      </w:r>
      <w:r>
        <w:t>at</w:t>
      </w:r>
      <w:r w:rsidRPr="003B5C8D">
        <w:t xml:space="preserve"> Mastambas (</w:t>
      </w:r>
      <w:r w:rsidRPr="004F71BC">
        <w:rPr>
          <w:i/>
        </w:rPr>
        <w:t>KChr</w:t>
      </w:r>
      <w:r>
        <w:t xml:space="preserve"> 3 1949: 459</w:t>
      </w:r>
      <w:r w:rsidRPr="003B5C8D">
        <w:t xml:space="preserve">; Kanta 1980: 26; </w:t>
      </w:r>
      <w:r>
        <w:t>Löwe 1996</w:t>
      </w:r>
      <w:r w:rsidRPr="003B5C8D">
        <w:t>: 191 n. 452). However, it is highly possible that this</w:t>
      </w:r>
      <w:r>
        <w:t xml:space="preserve"> tomb is part of a larg</w:t>
      </w:r>
      <w:r w:rsidRPr="003B5C8D">
        <w:t>er cemetery (Kanta 1980: 26).</w:t>
      </w:r>
    </w:p>
    <w:p w14:paraId="01577FCB"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6092AD0"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4101E971" wp14:editId="62D37EA5">
            <wp:extent cx="5238750" cy="2772000"/>
            <wp:effectExtent l="0" t="0" r="0" b="9525"/>
            <wp:docPr id="14" name="Gra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8BC5167" w14:textId="118E9A2E" w:rsidR="008940B3" w:rsidRDefault="008940B3" w:rsidP="00E858EF">
      <w:pPr>
        <w:pStyle w:val="Didascalia"/>
        <w:suppressAutoHyphens/>
      </w:pPr>
      <w:bookmarkStart w:id="232" w:name="_Toc520212303"/>
      <w:r>
        <w:t xml:space="preserve">Figure 3-21. </w:t>
      </w:r>
      <w:r w:rsidRPr="00FF04E9">
        <w:t xml:space="preserve">Number of tombs </w:t>
      </w:r>
      <w:r>
        <w:t xml:space="preserve">by </w:t>
      </w:r>
      <w:r w:rsidRPr="00FF04E9">
        <w:t>cemetery</w:t>
      </w:r>
      <w:r w:rsidR="006B0E38">
        <w:t>,</w:t>
      </w:r>
      <w:r>
        <w:t xml:space="preserve"> Knossos area</w:t>
      </w:r>
      <w:bookmarkEnd w:id="232"/>
    </w:p>
    <w:p w14:paraId="4A103B52" w14:textId="77777777" w:rsidR="00DE4BD4" w:rsidRPr="00DE4BD4" w:rsidRDefault="00DE4BD4" w:rsidP="00DE4BD4">
      <w:pPr>
        <w:spacing w:line="240" w:lineRule="auto"/>
      </w:pPr>
    </w:p>
    <w:p w14:paraId="56F720A0" w14:textId="77777777" w:rsidR="008940B3" w:rsidRPr="00F82F11" w:rsidRDefault="008940B3" w:rsidP="00E858EF">
      <w:pPr>
        <w:pStyle w:val="Titolo4"/>
        <w:keepNext w:val="0"/>
        <w:keepLines w:val="0"/>
        <w:suppressAutoHyphens/>
        <w:ind w:left="864" w:hanging="864"/>
        <w:contextualSpacing w:val="0"/>
      </w:pPr>
      <w:bookmarkStart w:id="233" w:name="_Toc389131163"/>
      <w:bookmarkStart w:id="234" w:name="_Toc517876488"/>
      <w:r>
        <w:t>Which are the tomb typ</w:t>
      </w:r>
      <w:r w:rsidRPr="00F82F11">
        <w:t>es</w:t>
      </w:r>
      <w:r>
        <w:t xml:space="preserve"> </w:t>
      </w:r>
      <w:r w:rsidRPr="00F82F11">
        <w:t>in the cemeter</w:t>
      </w:r>
      <w:r>
        <w:t>ies</w:t>
      </w:r>
      <w:r w:rsidRPr="00F82F11">
        <w:t xml:space="preserve"> with larnakes</w:t>
      </w:r>
      <w:bookmarkEnd w:id="233"/>
      <w:r>
        <w:t>?</w:t>
      </w:r>
      <w:bookmarkEnd w:id="234"/>
    </w:p>
    <w:p w14:paraId="61AB82A6" w14:textId="77777777" w:rsidR="008940B3" w:rsidRPr="003B5C8D" w:rsidRDefault="008940B3" w:rsidP="006C2644">
      <w:r>
        <w:t>Regarding</w:t>
      </w:r>
      <w:r w:rsidRPr="003B5C8D">
        <w:t xml:space="preserve"> </w:t>
      </w:r>
      <w:r w:rsidRPr="003B5C8D">
        <w:rPr>
          <w:b/>
        </w:rPr>
        <w:t xml:space="preserve">tomb types </w:t>
      </w:r>
      <w:r w:rsidRPr="003B5C8D">
        <w:t xml:space="preserve">adopted, the cemeteries </w:t>
      </w:r>
      <w:r>
        <w:t>in the</w:t>
      </w:r>
      <w:r w:rsidRPr="003B5C8D">
        <w:t xml:space="preserve"> Knossos area </w:t>
      </w:r>
      <w:r>
        <w:t>have</w:t>
      </w:r>
      <w:r w:rsidRPr="003B5C8D">
        <w:t xml:space="preserve"> a considerable variety. In 73% of cemeteries</w:t>
      </w:r>
      <w:r>
        <w:t>, different tomb typ</w:t>
      </w:r>
      <w:r w:rsidRPr="003B5C8D">
        <w:t>es are attested (chamber tombs, pit-caves, shaft graves, corbel</w:t>
      </w:r>
      <w:r>
        <w:t>-</w:t>
      </w:r>
      <w:r w:rsidRPr="003B5C8D">
        <w:t>vaulted tombs). In the remaining</w:t>
      </w:r>
      <w:r>
        <w:t xml:space="preserve"> cemeteries,</w:t>
      </w:r>
      <w:r w:rsidRPr="003B5C8D">
        <w:t xml:space="preserve"> chamber tombs </w:t>
      </w:r>
      <w:r>
        <w:t>were exclusively a</w:t>
      </w:r>
      <w:r w:rsidRPr="003B5C8D">
        <w:t xml:space="preserve">dopted. </w:t>
      </w:r>
    </w:p>
    <w:p w14:paraId="60420760" w14:textId="26BD91AE" w:rsidR="008940B3" w:rsidRPr="003B5C8D" w:rsidRDefault="008940B3" w:rsidP="00E858EF">
      <w:pPr>
        <w:pStyle w:val="Testofumetto"/>
        <w:suppressAutoHyphens/>
      </w:pPr>
      <w:bookmarkStart w:id="235" w:name="_Toc520212520"/>
      <w:r>
        <w:t>Table 3-31. Tomb types per cemetery</w:t>
      </w:r>
      <w:r w:rsidR="006B0E38">
        <w:t>,</w:t>
      </w:r>
      <w:r>
        <w:t xml:space="preserve"> Knossos area</w:t>
      </w:r>
      <w:bookmarkEnd w:id="235"/>
    </w:p>
    <w:tbl>
      <w:tblPr>
        <w:tblW w:w="0" w:type="auto"/>
        <w:tblInd w:w="10" w:type="dxa"/>
        <w:tblCellMar>
          <w:left w:w="70" w:type="dxa"/>
          <w:right w:w="70" w:type="dxa"/>
        </w:tblCellMar>
        <w:tblLook w:val="04A0" w:firstRow="1" w:lastRow="0" w:firstColumn="1" w:lastColumn="0" w:noHBand="0" w:noVBand="1"/>
      </w:tblPr>
      <w:tblGrid>
        <w:gridCol w:w="2439"/>
        <w:gridCol w:w="1303"/>
        <w:gridCol w:w="1445"/>
        <w:gridCol w:w="1427"/>
        <w:gridCol w:w="2014"/>
      </w:tblGrid>
      <w:tr w:rsidR="008940B3" w:rsidRPr="006C2644" w14:paraId="65B60B23" w14:textId="77777777" w:rsidTr="0007012D">
        <w:trPr>
          <w:trHeight w:val="20"/>
        </w:trPr>
        <w:tc>
          <w:tcPr>
            <w:tcW w:w="2568" w:type="dxa"/>
            <w:tcBorders>
              <w:top w:val="single" w:sz="6" w:space="0" w:color="000000"/>
              <w:left w:val="single" w:sz="6" w:space="0" w:color="000000"/>
              <w:bottom w:val="single" w:sz="6" w:space="0" w:color="000000"/>
              <w:right w:val="single" w:sz="6" w:space="0" w:color="000000"/>
            </w:tcBorders>
            <w:hideMark/>
          </w:tcPr>
          <w:p w14:paraId="6021DF2A" w14:textId="77777777" w:rsidR="008940B3" w:rsidRPr="006C2644" w:rsidRDefault="008940B3" w:rsidP="00DE4BD4">
            <w:pPr>
              <w:suppressAutoHyphens/>
              <w:spacing w:line="240" w:lineRule="auto"/>
              <w:jc w:val="left"/>
              <w:rPr>
                <w:sz w:val="20"/>
                <w:szCs w:val="22"/>
              </w:rPr>
            </w:pPr>
            <w:r w:rsidRPr="006C2644">
              <w:rPr>
                <w:color w:val="000000"/>
                <w:sz w:val="20"/>
                <w:szCs w:val="22"/>
              </w:rPr>
              <w:t>CEMETERIES</w:t>
            </w:r>
          </w:p>
        </w:tc>
        <w:tc>
          <w:tcPr>
            <w:tcW w:w="1348" w:type="dxa"/>
            <w:tcBorders>
              <w:top w:val="single" w:sz="6" w:space="0" w:color="000000"/>
              <w:left w:val="single" w:sz="6" w:space="0" w:color="000000"/>
              <w:bottom w:val="single" w:sz="6" w:space="0" w:color="000000"/>
              <w:right w:val="single" w:sz="6" w:space="0" w:color="000000"/>
            </w:tcBorders>
            <w:hideMark/>
          </w:tcPr>
          <w:p w14:paraId="0E7B40AD" w14:textId="77777777" w:rsidR="008940B3" w:rsidRPr="006C2644" w:rsidRDefault="008940B3" w:rsidP="006C2644">
            <w:pPr>
              <w:suppressAutoHyphens/>
              <w:spacing w:line="240" w:lineRule="auto"/>
              <w:jc w:val="center"/>
              <w:rPr>
                <w:sz w:val="20"/>
                <w:szCs w:val="22"/>
              </w:rPr>
            </w:pPr>
            <w:r w:rsidRPr="006C2644">
              <w:rPr>
                <w:color w:val="000000"/>
                <w:sz w:val="20"/>
                <w:szCs w:val="22"/>
              </w:rPr>
              <w:t>SHAFT GRAVES</w:t>
            </w:r>
          </w:p>
        </w:tc>
        <w:tc>
          <w:tcPr>
            <w:tcW w:w="1526" w:type="dxa"/>
            <w:tcBorders>
              <w:top w:val="single" w:sz="6" w:space="0" w:color="000000"/>
              <w:left w:val="single" w:sz="6" w:space="0" w:color="000000"/>
              <w:bottom w:val="single" w:sz="6" w:space="0" w:color="000000"/>
              <w:right w:val="single" w:sz="6" w:space="0" w:color="000000"/>
            </w:tcBorders>
            <w:hideMark/>
          </w:tcPr>
          <w:p w14:paraId="296CEE56" w14:textId="77777777" w:rsidR="008940B3" w:rsidRPr="006C2644" w:rsidRDefault="008940B3" w:rsidP="006C2644">
            <w:pPr>
              <w:suppressAutoHyphens/>
              <w:spacing w:line="240" w:lineRule="auto"/>
              <w:jc w:val="center"/>
              <w:rPr>
                <w:sz w:val="20"/>
                <w:szCs w:val="22"/>
              </w:rPr>
            </w:pPr>
            <w:r w:rsidRPr="006C2644">
              <w:rPr>
                <w:color w:val="000000"/>
                <w:sz w:val="20"/>
                <w:szCs w:val="22"/>
              </w:rPr>
              <w:t>PIT-CAVES</w:t>
            </w:r>
          </w:p>
        </w:tc>
        <w:tc>
          <w:tcPr>
            <w:tcW w:w="1470" w:type="dxa"/>
            <w:tcBorders>
              <w:top w:val="single" w:sz="6" w:space="0" w:color="000000"/>
              <w:left w:val="single" w:sz="6" w:space="0" w:color="000000"/>
              <w:bottom w:val="single" w:sz="6" w:space="0" w:color="000000"/>
              <w:right w:val="single" w:sz="6" w:space="0" w:color="000000"/>
            </w:tcBorders>
            <w:hideMark/>
          </w:tcPr>
          <w:p w14:paraId="530029A4" w14:textId="77777777" w:rsidR="008940B3" w:rsidRPr="006C2644" w:rsidRDefault="008940B3" w:rsidP="006C2644">
            <w:pPr>
              <w:suppressAutoHyphens/>
              <w:spacing w:line="240" w:lineRule="auto"/>
              <w:jc w:val="center"/>
              <w:rPr>
                <w:sz w:val="20"/>
                <w:szCs w:val="22"/>
              </w:rPr>
            </w:pPr>
            <w:r w:rsidRPr="006C2644">
              <w:rPr>
                <w:color w:val="000000"/>
                <w:sz w:val="20"/>
                <w:szCs w:val="22"/>
              </w:rPr>
              <w:t>CORBEL VAULTED</w:t>
            </w:r>
          </w:p>
        </w:tc>
        <w:tc>
          <w:tcPr>
            <w:tcW w:w="2125" w:type="dxa"/>
            <w:tcBorders>
              <w:top w:val="single" w:sz="6" w:space="0" w:color="000000"/>
              <w:left w:val="single" w:sz="6" w:space="0" w:color="000000"/>
              <w:bottom w:val="single" w:sz="6" w:space="0" w:color="000000"/>
              <w:right w:val="single" w:sz="6" w:space="0" w:color="000000"/>
            </w:tcBorders>
            <w:hideMark/>
          </w:tcPr>
          <w:p w14:paraId="484A4E98" w14:textId="77777777" w:rsidR="008940B3" w:rsidRPr="006C2644" w:rsidRDefault="008940B3" w:rsidP="006C2644">
            <w:pPr>
              <w:suppressAutoHyphens/>
              <w:spacing w:line="240" w:lineRule="auto"/>
              <w:jc w:val="center"/>
              <w:rPr>
                <w:sz w:val="20"/>
                <w:szCs w:val="22"/>
              </w:rPr>
            </w:pPr>
            <w:r w:rsidRPr="006C2644">
              <w:rPr>
                <w:color w:val="000000"/>
                <w:sz w:val="20"/>
                <w:szCs w:val="22"/>
              </w:rPr>
              <w:t>CHAMBER TOMBS</w:t>
            </w:r>
          </w:p>
        </w:tc>
      </w:tr>
      <w:tr w:rsidR="008940B3" w:rsidRPr="006C2644" w14:paraId="1BD8821C" w14:textId="77777777" w:rsidTr="0007012D">
        <w:tblPrEx>
          <w:tblCellMar>
            <w:left w:w="0" w:type="dxa"/>
            <w:right w:w="0" w:type="dxa"/>
          </w:tblCellMar>
        </w:tblPrEx>
        <w:trPr>
          <w:trHeight w:val="20"/>
        </w:trPr>
        <w:tc>
          <w:tcPr>
            <w:tcW w:w="256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3D62977" w14:textId="77777777" w:rsidR="008940B3" w:rsidRPr="006C2644" w:rsidRDefault="008940B3" w:rsidP="00DE4BD4">
            <w:pPr>
              <w:suppressAutoHyphens/>
              <w:spacing w:line="240" w:lineRule="auto"/>
              <w:jc w:val="left"/>
              <w:rPr>
                <w:sz w:val="20"/>
                <w:szCs w:val="22"/>
              </w:rPr>
            </w:pPr>
            <w:r w:rsidRPr="006C2644">
              <w:rPr>
                <w:color w:val="000000"/>
                <w:sz w:val="20"/>
                <w:szCs w:val="22"/>
              </w:rPr>
              <w:t>ZAFER PAPOURA</w:t>
            </w:r>
          </w:p>
        </w:tc>
        <w:tc>
          <w:tcPr>
            <w:tcW w:w="134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A01755A" w14:textId="77777777" w:rsidR="008940B3" w:rsidRPr="006C2644" w:rsidRDefault="008940B3" w:rsidP="006C2644">
            <w:pPr>
              <w:suppressAutoHyphens/>
              <w:spacing w:line="240" w:lineRule="auto"/>
              <w:jc w:val="center"/>
              <w:rPr>
                <w:sz w:val="20"/>
                <w:szCs w:val="22"/>
              </w:rPr>
            </w:pPr>
            <w:r w:rsidRPr="006C2644">
              <w:rPr>
                <w:rFonts w:ascii="Segoe UI Symbol" w:hAnsi="Segoe UI Symbol" w:cs="Segoe UI Symbol"/>
                <w:color w:val="000000"/>
                <w:sz w:val="20"/>
                <w:szCs w:val="22"/>
              </w:rPr>
              <w:t>✓</w:t>
            </w:r>
          </w:p>
        </w:tc>
        <w:tc>
          <w:tcPr>
            <w:tcW w:w="15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4FFBD3C" w14:textId="77777777" w:rsidR="008940B3" w:rsidRPr="006C2644" w:rsidRDefault="008940B3" w:rsidP="006C2644">
            <w:pPr>
              <w:suppressAutoHyphens/>
              <w:spacing w:line="240" w:lineRule="auto"/>
              <w:jc w:val="center"/>
              <w:rPr>
                <w:sz w:val="20"/>
                <w:szCs w:val="22"/>
              </w:rPr>
            </w:pPr>
            <w:r w:rsidRPr="006C2644">
              <w:rPr>
                <w:rFonts w:ascii="Segoe UI Symbol" w:hAnsi="Segoe UI Symbol" w:cs="Segoe UI Symbol"/>
                <w:color w:val="000000"/>
                <w:sz w:val="20"/>
                <w:szCs w:val="22"/>
              </w:rPr>
              <w:t>✓</w:t>
            </w:r>
          </w:p>
        </w:tc>
        <w:tc>
          <w:tcPr>
            <w:tcW w:w="1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20B81D6" w14:textId="77777777" w:rsidR="008940B3" w:rsidRPr="006C2644" w:rsidRDefault="008940B3" w:rsidP="006C2644">
            <w:pPr>
              <w:suppressAutoHyphens/>
              <w:spacing w:line="240" w:lineRule="auto"/>
              <w:jc w:val="center"/>
              <w:rPr>
                <w:sz w:val="20"/>
                <w:szCs w:val="22"/>
              </w:rPr>
            </w:pPr>
          </w:p>
        </w:tc>
        <w:tc>
          <w:tcPr>
            <w:tcW w:w="212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E80BCD2" w14:textId="77777777" w:rsidR="008940B3" w:rsidRPr="006C2644" w:rsidRDefault="008940B3" w:rsidP="006C2644">
            <w:pPr>
              <w:suppressAutoHyphens/>
              <w:spacing w:line="240" w:lineRule="auto"/>
              <w:jc w:val="center"/>
              <w:rPr>
                <w:sz w:val="20"/>
                <w:szCs w:val="22"/>
              </w:rPr>
            </w:pPr>
            <w:r w:rsidRPr="006C2644">
              <w:rPr>
                <w:rFonts w:ascii="Segoe UI Symbol" w:hAnsi="Segoe UI Symbol" w:cs="Segoe UI Symbol"/>
                <w:color w:val="000000"/>
                <w:sz w:val="20"/>
                <w:szCs w:val="22"/>
              </w:rPr>
              <w:t>✓</w:t>
            </w:r>
          </w:p>
        </w:tc>
      </w:tr>
      <w:tr w:rsidR="008940B3" w:rsidRPr="006C2644" w14:paraId="07498FB4" w14:textId="77777777" w:rsidTr="0007012D">
        <w:tblPrEx>
          <w:tblCellMar>
            <w:left w:w="0" w:type="dxa"/>
            <w:right w:w="0" w:type="dxa"/>
          </w:tblCellMar>
        </w:tblPrEx>
        <w:trPr>
          <w:trHeight w:val="20"/>
        </w:trPr>
        <w:tc>
          <w:tcPr>
            <w:tcW w:w="256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5C041A07" w14:textId="77777777" w:rsidR="008940B3" w:rsidRPr="006C2644" w:rsidRDefault="008940B3" w:rsidP="00DE4BD4">
            <w:pPr>
              <w:suppressAutoHyphens/>
              <w:spacing w:line="240" w:lineRule="auto"/>
              <w:jc w:val="left"/>
              <w:rPr>
                <w:sz w:val="20"/>
                <w:szCs w:val="22"/>
              </w:rPr>
            </w:pPr>
            <w:r w:rsidRPr="006C2644">
              <w:rPr>
                <w:color w:val="000000"/>
                <w:sz w:val="20"/>
                <w:szCs w:val="22"/>
              </w:rPr>
              <w:t>UPPER GYPSADES</w:t>
            </w:r>
          </w:p>
        </w:tc>
        <w:tc>
          <w:tcPr>
            <w:tcW w:w="134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24675EAE" w14:textId="77777777" w:rsidR="008940B3" w:rsidRPr="006C2644" w:rsidRDefault="008940B3" w:rsidP="006C2644">
            <w:pPr>
              <w:suppressAutoHyphens/>
              <w:spacing w:line="240" w:lineRule="auto"/>
              <w:jc w:val="center"/>
              <w:rPr>
                <w:sz w:val="20"/>
                <w:szCs w:val="22"/>
              </w:rPr>
            </w:pPr>
            <w:r w:rsidRPr="006C2644">
              <w:rPr>
                <w:rFonts w:ascii="Segoe UI Symbol" w:hAnsi="Segoe UI Symbol" w:cs="Segoe UI Symbol"/>
                <w:color w:val="000000"/>
                <w:sz w:val="20"/>
                <w:szCs w:val="22"/>
              </w:rPr>
              <w:t>✓</w:t>
            </w:r>
          </w:p>
        </w:tc>
        <w:tc>
          <w:tcPr>
            <w:tcW w:w="1526"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2CA7EE69" w14:textId="77777777" w:rsidR="008940B3" w:rsidRPr="006C2644" w:rsidRDefault="008940B3" w:rsidP="006C2644">
            <w:pPr>
              <w:suppressAutoHyphens/>
              <w:spacing w:line="240" w:lineRule="auto"/>
              <w:jc w:val="center"/>
              <w:rPr>
                <w:sz w:val="20"/>
                <w:szCs w:val="22"/>
              </w:rPr>
            </w:pPr>
            <w:r w:rsidRPr="006C2644">
              <w:rPr>
                <w:rFonts w:ascii="Segoe UI Symbol" w:hAnsi="Segoe UI Symbol" w:cs="Segoe UI Symbol"/>
                <w:color w:val="000000"/>
                <w:sz w:val="20"/>
                <w:szCs w:val="22"/>
              </w:rPr>
              <w:t>✓</w:t>
            </w:r>
          </w:p>
        </w:tc>
        <w:tc>
          <w:tcPr>
            <w:tcW w:w="1470"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1720AA3" w14:textId="77777777" w:rsidR="008940B3" w:rsidRPr="006C2644" w:rsidRDefault="008940B3" w:rsidP="006C2644">
            <w:pPr>
              <w:suppressAutoHyphens/>
              <w:spacing w:line="240" w:lineRule="auto"/>
              <w:jc w:val="center"/>
              <w:rPr>
                <w:sz w:val="20"/>
                <w:szCs w:val="22"/>
              </w:rPr>
            </w:pPr>
          </w:p>
        </w:tc>
        <w:tc>
          <w:tcPr>
            <w:tcW w:w="2125"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F0ED68C" w14:textId="77777777" w:rsidR="008940B3" w:rsidRPr="006C2644" w:rsidRDefault="008940B3" w:rsidP="006C2644">
            <w:pPr>
              <w:suppressAutoHyphens/>
              <w:spacing w:line="240" w:lineRule="auto"/>
              <w:jc w:val="center"/>
              <w:rPr>
                <w:sz w:val="20"/>
                <w:szCs w:val="22"/>
              </w:rPr>
            </w:pPr>
            <w:r w:rsidRPr="006C2644">
              <w:rPr>
                <w:rFonts w:ascii="Segoe UI Symbol" w:hAnsi="Segoe UI Symbol" w:cs="Segoe UI Symbol"/>
                <w:color w:val="000000"/>
                <w:sz w:val="20"/>
                <w:szCs w:val="22"/>
              </w:rPr>
              <w:t>✓</w:t>
            </w:r>
          </w:p>
        </w:tc>
      </w:tr>
      <w:tr w:rsidR="008940B3" w:rsidRPr="006C2644" w14:paraId="48F4C58C" w14:textId="77777777" w:rsidTr="0007012D">
        <w:tblPrEx>
          <w:tblCellMar>
            <w:left w:w="0" w:type="dxa"/>
            <w:right w:w="0" w:type="dxa"/>
          </w:tblCellMar>
        </w:tblPrEx>
        <w:trPr>
          <w:trHeight w:val="20"/>
        </w:trPr>
        <w:tc>
          <w:tcPr>
            <w:tcW w:w="256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C1AB3E0" w14:textId="77777777" w:rsidR="008940B3" w:rsidRPr="006C2644" w:rsidRDefault="008940B3" w:rsidP="00DE4BD4">
            <w:pPr>
              <w:suppressAutoHyphens/>
              <w:spacing w:line="240" w:lineRule="auto"/>
              <w:jc w:val="left"/>
              <w:rPr>
                <w:sz w:val="20"/>
                <w:szCs w:val="22"/>
              </w:rPr>
            </w:pPr>
            <w:r w:rsidRPr="006C2644">
              <w:rPr>
                <w:color w:val="000000"/>
                <w:sz w:val="20"/>
                <w:szCs w:val="22"/>
              </w:rPr>
              <w:t>MAVRO SPELIO</w:t>
            </w:r>
          </w:p>
        </w:tc>
        <w:tc>
          <w:tcPr>
            <w:tcW w:w="134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77356CB" w14:textId="77777777" w:rsidR="008940B3" w:rsidRPr="006C2644" w:rsidRDefault="008940B3" w:rsidP="006C2644">
            <w:pPr>
              <w:suppressAutoHyphens/>
              <w:spacing w:line="240" w:lineRule="auto"/>
              <w:jc w:val="center"/>
              <w:rPr>
                <w:sz w:val="20"/>
                <w:szCs w:val="22"/>
              </w:rPr>
            </w:pPr>
            <w:r w:rsidRPr="006C2644">
              <w:rPr>
                <w:rFonts w:ascii="Segoe UI Symbol" w:hAnsi="Segoe UI Symbol" w:cs="Segoe UI Symbol"/>
                <w:color w:val="000000"/>
                <w:sz w:val="20"/>
                <w:szCs w:val="22"/>
              </w:rPr>
              <w:t>✓</w:t>
            </w:r>
          </w:p>
        </w:tc>
        <w:tc>
          <w:tcPr>
            <w:tcW w:w="15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ED568FC" w14:textId="77777777" w:rsidR="008940B3" w:rsidRPr="006C2644" w:rsidRDefault="008940B3" w:rsidP="006C2644">
            <w:pPr>
              <w:suppressAutoHyphens/>
              <w:spacing w:line="240" w:lineRule="auto"/>
              <w:jc w:val="center"/>
              <w:rPr>
                <w:sz w:val="20"/>
                <w:szCs w:val="22"/>
              </w:rPr>
            </w:pPr>
          </w:p>
        </w:tc>
        <w:tc>
          <w:tcPr>
            <w:tcW w:w="1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C297114" w14:textId="77777777" w:rsidR="008940B3" w:rsidRPr="006C2644" w:rsidRDefault="008940B3" w:rsidP="006C2644">
            <w:pPr>
              <w:suppressAutoHyphens/>
              <w:spacing w:line="240" w:lineRule="auto"/>
              <w:jc w:val="center"/>
              <w:rPr>
                <w:sz w:val="20"/>
                <w:szCs w:val="22"/>
              </w:rPr>
            </w:pPr>
          </w:p>
        </w:tc>
        <w:tc>
          <w:tcPr>
            <w:tcW w:w="212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CE3C475" w14:textId="77777777" w:rsidR="008940B3" w:rsidRPr="006C2644" w:rsidRDefault="008940B3" w:rsidP="006C2644">
            <w:pPr>
              <w:suppressAutoHyphens/>
              <w:spacing w:line="240" w:lineRule="auto"/>
              <w:jc w:val="center"/>
              <w:rPr>
                <w:sz w:val="20"/>
                <w:szCs w:val="22"/>
              </w:rPr>
            </w:pPr>
            <w:r w:rsidRPr="006C2644">
              <w:rPr>
                <w:rFonts w:ascii="Segoe UI Symbol" w:hAnsi="Segoe UI Symbol" w:cs="Segoe UI Symbol"/>
                <w:color w:val="000000"/>
                <w:sz w:val="20"/>
                <w:szCs w:val="22"/>
              </w:rPr>
              <w:t>✓</w:t>
            </w:r>
          </w:p>
        </w:tc>
      </w:tr>
      <w:tr w:rsidR="008940B3" w:rsidRPr="006C2644" w14:paraId="5D55A4D0" w14:textId="77777777" w:rsidTr="0007012D">
        <w:tblPrEx>
          <w:tblCellMar>
            <w:left w:w="0" w:type="dxa"/>
            <w:right w:w="0" w:type="dxa"/>
          </w:tblCellMar>
        </w:tblPrEx>
        <w:trPr>
          <w:trHeight w:val="20"/>
        </w:trPr>
        <w:tc>
          <w:tcPr>
            <w:tcW w:w="256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714B6E3D" w14:textId="77777777" w:rsidR="008940B3" w:rsidRPr="006C2644" w:rsidRDefault="008940B3" w:rsidP="00DE4BD4">
            <w:pPr>
              <w:suppressAutoHyphens/>
              <w:spacing w:line="240" w:lineRule="auto"/>
              <w:jc w:val="left"/>
              <w:rPr>
                <w:sz w:val="20"/>
                <w:szCs w:val="22"/>
              </w:rPr>
            </w:pPr>
            <w:r w:rsidRPr="006C2644">
              <w:rPr>
                <w:color w:val="000000"/>
                <w:sz w:val="20"/>
                <w:szCs w:val="22"/>
              </w:rPr>
              <w:t>KATSAMBAS</w:t>
            </w:r>
          </w:p>
        </w:tc>
        <w:tc>
          <w:tcPr>
            <w:tcW w:w="134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75D106F4" w14:textId="77777777" w:rsidR="008940B3" w:rsidRPr="006C2644" w:rsidRDefault="008940B3" w:rsidP="006C2644">
            <w:pPr>
              <w:suppressAutoHyphens/>
              <w:spacing w:line="240" w:lineRule="auto"/>
              <w:jc w:val="center"/>
              <w:rPr>
                <w:sz w:val="20"/>
                <w:szCs w:val="22"/>
              </w:rPr>
            </w:pPr>
          </w:p>
        </w:tc>
        <w:tc>
          <w:tcPr>
            <w:tcW w:w="1526"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6F04B4F3" w14:textId="77777777" w:rsidR="008940B3" w:rsidRPr="006C2644" w:rsidRDefault="008940B3" w:rsidP="006C2644">
            <w:pPr>
              <w:suppressAutoHyphens/>
              <w:spacing w:line="240" w:lineRule="auto"/>
              <w:jc w:val="center"/>
              <w:rPr>
                <w:sz w:val="20"/>
                <w:szCs w:val="22"/>
              </w:rPr>
            </w:pPr>
          </w:p>
        </w:tc>
        <w:tc>
          <w:tcPr>
            <w:tcW w:w="1470"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229EC74A" w14:textId="77777777" w:rsidR="008940B3" w:rsidRPr="006C2644" w:rsidRDefault="008940B3" w:rsidP="006C2644">
            <w:pPr>
              <w:suppressAutoHyphens/>
              <w:spacing w:line="240" w:lineRule="auto"/>
              <w:jc w:val="center"/>
              <w:rPr>
                <w:sz w:val="20"/>
                <w:szCs w:val="22"/>
              </w:rPr>
            </w:pPr>
          </w:p>
        </w:tc>
        <w:tc>
          <w:tcPr>
            <w:tcW w:w="2125"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05022D9" w14:textId="77777777" w:rsidR="008940B3" w:rsidRPr="006C2644" w:rsidRDefault="008940B3" w:rsidP="006C2644">
            <w:pPr>
              <w:suppressAutoHyphens/>
              <w:spacing w:line="240" w:lineRule="auto"/>
              <w:jc w:val="center"/>
              <w:rPr>
                <w:sz w:val="20"/>
                <w:szCs w:val="22"/>
              </w:rPr>
            </w:pPr>
            <w:r w:rsidRPr="006C2644">
              <w:rPr>
                <w:rFonts w:ascii="Segoe UI Symbol" w:hAnsi="Segoe UI Symbol" w:cs="Segoe UI Symbol"/>
                <w:color w:val="000000"/>
                <w:sz w:val="20"/>
                <w:szCs w:val="22"/>
              </w:rPr>
              <w:t>✓</w:t>
            </w:r>
          </w:p>
        </w:tc>
      </w:tr>
      <w:tr w:rsidR="008940B3" w:rsidRPr="006C2644" w14:paraId="0824A7EE" w14:textId="77777777" w:rsidTr="0007012D">
        <w:tblPrEx>
          <w:tblCellMar>
            <w:left w:w="0" w:type="dxa"/>
            <w:right w:w="0" w:type="dxa"/>
          </w:tblCellMar>
        </w:tblPrEx>
        <w:trPr>
          <w:trHeight w:val="20"/>
        </w:trPr>
        <w:tc>
          <w:tcPr>
            <w:tcW w:w="256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9A0B26E" w14:textId="77777777" w:rsidR="008940B3" w:rsidRPr="006C2644" w:rsidRDefault="008940B3" w:rsidP="00DE4BD4">
            <w:pPr>
              <w:suppressAutoHyphens/>
              <w:spacing w:line="240" w:lineRule="auto"/>
              <w:jc w:val="left"/>
              <w:rPr>
                <w:sz w:val="20"/>
                <w:szCs w:val="22"/>
              </w:rPr>
            </w:pPr>
            <w:r w:rsidRPr="006C2644">
              <w:rPr>
                <w:color w:val="000000"/>
                <w:sz w:val="20"/>
                <w:szCs w:val="22"/>
              </w:rPr>
              <w:t>SELLOPOULO</w:t>
            </w:r>
          </w:p>
        </w:tc>
        <w:tc>
          <w:tcPr>
            <w:tcW w:w="134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4E9EAE5" w14:textId="77777777" w:rsidR="008940B3" w:rsidRPr="006C2644" w:rsidRDefault="008940B3" w:rsidP="006C2644">
            <w:pPr>
              <w:suppressAutoHyphens/>
              <w:spacing w:line="240" w:lineRule="auto"/>
              <w:jc w:val="center"/>
              <w:rPr>
                <w:sz w:val="20"/>
                <w:szCs w:val="22"/>
              </w:rPr>
            </w:pPr>
            <w:r w:rsidRPr="006C2644">
              <w:rPr>
                <w:rFonts w:ascii="Segoe UI Symbol" w:hAnsi="Segoe UI Symbol" w:cs="Segoe UI Symbol"/>
                <w:color w:val="000000"/>
                <w:sz w:val="20"/>
                <w:szCs w:val="22"/>
              </w:rPr>
              <w:t>✓</w:t>
            </w:r>
          </w:p>
        </w:tc>
        <w:tc>
          <w:tcPr>
            <w:tcW w:w="15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CE53139" w14:textId="77777777" w:rsidR="008940B3" w:rsidRPr="006C2644" w:rsidRDefault="008940B3" w:rsidP="006C2644">
            <w:pPr>
              <w:suppressAutoHyphens/>
              <w:spacing w:line="240" w:lineRule="auto"/>
              <w:jc w:val="center"/>
              <w:rPr>
                <w:sz w:val="20"/>
                <w:szCs w:val="22"/>
              </w:rPr>
            </w:pPr>
          </w:p>
        </w:tc>
        <w:tc>
          <w:tcPr>
            <w:tcW w:w="1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F9E5655" w14:textId="77777777" w:rsidR="008940B3" w:rsidRPr="006C2644" w:rsidRDefault="008940B3" w:rsidP="006C2644">
            <w:pPr>
              <w:suppressAutoHyphens/>
              <w:spacing w:line="240" w:lineRule="auto"/>
              <w:jc w:val="center"/>
              <w:rPr>
                <w:sz w:val="20"/>
                <w:szCs w:val="22"/>
              </w:rPr>
            </w:pPr>
            <w:r w:rsidRPr="006C2644">
              <w:rPr>
                <w:rFonts w:ascii="Segoe UI Symbol" w:hAnsi="Segoe UI Symbol" w:cs="Segoe UI Symbol"/>
                <w:color w:val="000000"/>
                <w:sz w:val="20"/>
                <w:szCs w:val="22"/>
              </w:rPr>
              <w:t>✓</w:t>
            </w:r>
          </w:p>
        </w:tc>
        <w:tc>
          <w:tcPr>
            <w:tcW w:w="212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862FA2E" w14:textId="77777777" w:rsidR="008940B3" w:rsidRPr="006C2644" w:rsidRDefault="008940B3" w:rsidP="006C2644">
            <w:pPr>
              <w:suppressAutoHyphens/>
              <w:spacing w:line="240" w:lineRule="auto"/>
              <w:jc w:val="center"/>
              <w:rPr>
                <w:sz w:val="20"/>
                <w:szCs w:val="22"/>
              </w:rPr>
            </w:pPr>
            <w:r w:rsidRPr="006C2644">
              <w:rPr>
                <w:rFonts w:ascii="Segoe UI Symbol" w:hAnsi="Segoe UI Symbol" w:cs="Segoe UI Symbol"/>
                <w:color w:val="000000"/>
                <w:sz w:val="20"/>
                <w:szCs w:val="22"/>
              </w:rPr>
              <w:t>✓</w:t>
            </w:r>
          </w:p>
        </w:tc>
      </w:tr>
      <w:tr w:rsidR="008940B3" w:rsidRPr="006C2644" w14:paraId="53DE7262" w14:textId="77777777" w:rsidTr="0007012D">
        <w:tblPrEx>
          <w:tblCellMar>
            <w:left w:w="0" w:type="dxa"/>
            <w:right w:w="0" w:type="dxa"/>
          </w:tblCellMar>
        </w:tblPrEx>
        <w:trPr>
          <w:trHeight w:val="20"/>
        </w:trPr>
        <w:tc>
          <w:tcPr>
            <w:tcW w:w="256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14B1AA0" w14:textId="77777777" w:rsidR="008940B3" w:rsidRPr="006C2644" w:rsidRDefault="008940B3" w:rsidP="00DE4BD4">
            <w:pPr>
              <w:suppressAutoHyphens/>
              <w:spacing w:line="240" w:lineRule="auto"/>
              <w:jc w:val="left"/>
              <w:rPr>
                <w:sz w:val="20"/>
                <w:szCs w:val="22"/>
              </w:rPr>
            </w:pPr>
            <w:r w:rsidRPr="006C2644">
              <w:rPr>
                <w:color w:val="000000"/>
                <w:sz w:val="20"/>
                <w:szCs w:val="22"/>
              </w:rPr>
              <w:t>LOWER GYPSADES</w:t>
            </w:r>
          </w:p>
        </w:tc>
        <w:tc>
          <w:tcPr>
            <w:tcW w:w="1348"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39491257" w14:textId="77777777" w:rsidR="008940B3" w:rsidRPr="006C2644" w:rsidRDefault="008940B3" w:rsidP="006C2644">
            <w:pPr>
              <w:suppressAutoHyphens/>
              <w:spacing w:line="240" w:lineRule="auto"/>
              <w:jc w:val="center"/>
              <w:rPr>
                <w:sz w:val="20"/>
                <w:szCs w:val="22"/>
              </w:rPr>
            </w:pPr>
          </w:p>
        </w:tc>
        <w:tc>
          <w:tcPr>
            <w:tcW w:w="1526"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3515F82" w14:textId="77777777" w:rsidR="008940B3" w:rsidRPr="006C2644" w:rsidRDefault="008940B3" w:rsidP="006C2644">
            <w:pPr>
              <w:suppressAutoHyphens/>
              <w:spacing w:line="240" w:lineRule="auto"/>
              <w:jc w:val="center"/>
              <w:rPr>
                <w:sz w:val="20"/>
                <w:szCs w:val="22"/>
              </w:rPr>
            </w:pPr>
          </w:p>
        </w:tc>
        <w:tc>
          <w:tcPr>
            <w:tcW w:w="1470"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23C9E39B" w14:textId="77777777" w:rsidR="008940B3" w:rsidRPr="006C2644" w:rsidRDefault="008940B3" w:rsidP="006C2644">
            <w:pPr>
              <w:suppressAutoHyphens/>
              <w:spacing w:line="240" w:lineRule="auto"/>
              <w:jc w:val="center"/>
              <w:rPr>
                <w:sz w:val="20"/>
                <w:szCs w:val="22"/>
              </w:rPr>
            </w:pPr>
          </w:p>
        </w:tc>
        <w:tc>
          <w:tcPr>
            <w:tcW w:w="2125"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132D81EF" w14:textId="77777777" w:rsidR="008940B3" w:rsidRPr="006C2644" w:rsidRDefault="008940B3" w:rsidP="006C2644">
            <w:pPr>
              <w:suppressAutoHyphens/>
              <w:spacing w:line="240" w:lineRule="auto"/>
              <w:jc w:val="center"/>
              <w:rPr>
                <w:sz w:val="20"/>
                <w:szCs w:val="22"/>
              </w:rPr>
            </w:pPr>
            <w:r w:rsidRPr="006C2644">
              <w:rPr>
                <w:rFonts w:ascii="Segoe UI Symbol" w:hAnsi="Segoe UI Symbol" w:cs="Segoe UI Symbol"/>
                <w:color w:val="000000"/>
                <w:sz w:val="20"/>
                <w:szCs w:val="22"/>
              </w:rPr>
              <w:t>✓</w:t>
            </w:r>
          </w:p>
        </w:tc>
      </w:tr>
      <w:tr w:rsidR="008940B3" w:rsidRPr="006C2644" w14:paraId="13181BDB" w14:textId="77777777" w:rsidTr="0007012D">
        <w:tblPrEx>
          <w:tblCellMar>
            <w:left w:w="0" w:type="dxa"/>
            <w:right w:w="0" w:type="dxa"/>
          </w:tblCellMar>
        </w:tblPrEx>
        <w:trPr>
          <w:trHeight w:val="20"/>
        </w:trPr>
        <w:tc>
          <w:tcPr>
            <w:tcW w:w="256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7D6FB29" w14:textId="77777777" w:rsidR="008940B3" w:rsidRPr="006C2644" w:rsidRDefault="008940B3" w:rsidP="00DE4BD4">
            <w:pPr>
              <w:suppressAutoHyphens/>
              <w:spacing w:line="240" w:lineRule="auto"/>
              <w:jc w:val="left"/>
              <w:rPr>
                <w:sz w:val="20"/>
                <w:szCs w:val="22"/>
              </w:rPr>
            </w:pPr>
            <w:r w:rsidRPr="006C2644">
              <w:rPr>
                <w:color w:val="000000"/>
                <w:sz w:val="20"/>
                <w:szCs w:val="22"/>
              </w:rPr>
              <w:t>MASTAMBAS</w:t>
            </w:r>
          </w:p>
        </w:tc>
        <w:tc>
          <w:tcPr>
            <w:tcW w:w="134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D6E1A67" w14:textId="77777777" w:rsidR="008940B3" w:rsidRPr="006C2644" w:rsidRDefault="008940B3" w:rsidP="006C2644">
            <w:pPr>
              <w:suppressAutoHyphens/>
              <w:spacing w:line="240" w:lineRule="auto"/>
              <w:jc w:val="center"/>
              <w:rPr>
                <w:sz w:val="20"/>
                <w:szCs w:val="22"/>
              </w:rPr>
            </w:pPr>
          </w:p>
        </w:tc>
        <w:tc>
          <w:tcPr>
            <w:tcW w:w="15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3F7B855" w14:textId="77777777" w:rsidR="008940B3" w:rsidRPr="006C2644" w:rsidRDefault="008940B3" w:rsidP="006C2644">
            <w:pPr>
              <w:suppressAutoHyphens/>
              <w:spacing w:line="240" w:lineRule="auto"/>
              <w:jc w:val="center"/>
              <w:rPr>
                <w:sz w:val="20"/>
                <w:szCs w:val="22"/>
              </w:rPr>
            </w:pPr>
          </w:p>
        </w:tc>
        <w:tc>
          <w:tcPr>
            <w:tcW w:w="1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16789B2" w14:textId="77777777" w:rsidR="008940B3" w:rsidRPr="006C2644" w:rsidRDefault="008940B3" w:rsidP="006C2644">
            <w:pPr>
              <w:suppressAutoHyphens/>
              <w:spacing w:line="240" w:lineRule="auto"/>
              <w:jc w:val="center"/>
              <w:rPr>
                <w:sz w:val="20"/>
                <w:szCs w:val="22"/>
              </w:rPr>
            </w:pPr>
          </w:p>
        </w:tc>
        <w:tc>
          <w:tcPr>
            <w:tcW w:w="212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C1A2C08" w14:textId="77777777" w:rsidR="008940B3" w:rsidRPr="006C2644" w:rsidRDefault="008940B3" w:rsidP="006C2644">
            <w:pPr>
              <w:suppressAutoHyphens/>
              <w:spacing w:line="240" w:lineRule="auto"/>
              <w:jc w:val="center"/>
              <w:rPr>
                <w:sz w:val="20"/>
                <w:szCs w:val="22"/>
              </w:rPr>
            </w:pPr>
            <w:r w:rsidRPr="006C2644">
              <w:rPr>
                <w:rFonts w:ascii="Segoe UI Symbol" w:hAnsi="Segoe UI Symbol" w:cs="Segoe UI Symbol"/>
                <w:color w:val="000000"/>
                <w:sz w:val="20"/>
                <w:szCs w:val="22"/>
              </w:rPr>
              <w:t>✓</w:t>
            </w:r>
          </w:p>
        </w:tc>
      </w:tr>
    </w:tbl>
    <w:p w14:paraId="2D87940B" w14:textId="77777777" w:rsidR="008940B3" w:rsidRPr="003B5C8D" w:rsidRDefault="008940B3" w:rsidP="00E858EF">
      <w:pPr>
        <w:pStyle w:val="Titolo4"/>
        <w:keepNext w:val="0"/>
        <w:keepLines w:val="0"/>
        <w:suppressAutoHyphens/>
        <w:ind w:left="864" w:hanging="864"/>
        <w:contextualSpacing w:val="0"/>
      </w:pPr>
      <w:bookmarkStart w:id="236" w:name="_Toc389131164"/>
      <w:bookmarkStart w:id="237" w:name="_Toc517876489"/>
      <w:r>
        <w:t>What is the</w:t>
      </w:r>
      <w:r w:rsidRPr="00D94085">
        <w:t xml:space="preserve"> proportion </w:t>
      </w:r>
      <w:r>
        <w:t>throughout the region and within each cemetery of</w:t>
      </w:r>
      <w:r w:rsidRPr="00D94085">
        <w:t xml:space="preserve"> tombs with larnakes and tombs without larnakes</w:t>
      </w:r>
      <w:bookmarkEnd w:id="236"/>
      <w:r>
        <w:t>?</w:t>
      </w:r>
      <w:bookmarkEnd w:id="237"/>
      <w:r w:rsidRPr="003B5C8D">
        <w:t xml:space="preserve"> </w:t>
      </w:r>
    </w:p>
    <w:p w14:paraId="45473633" w14:textId="77777777" w:rsidR="008940B3" w:rsidRDefault="008940B3" w:rsidP="00DE4BD4">
      <w:r>
        <w:t>Regarding</w:t>
      </w:r>
      <w:r w:rsidRPr="003B5C8D">
        <w:t xml:space="preserve"> the proportion of tombs with larnakes and tombs without larnakes within each cemeter</w:t>
      </w:r>
      <w:r>
        <w:t>y, larnax burials are attested i</w:t>
      </w:r>
      <w:r w:rsidRPr="003B5C8D">
        <w:t xml:space="preserve">n a low number of tombs. </w:t>
      </w:r>
    </w:p>
    <w:p w14:paraId="57F711F3"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3C7885CC"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2845E748" wp14:editId="6A8473D9">
            <wp:extent cx="4680000" cy="2520000"/>
            <wp:effectExtent l="0" t="0" r="6350" b="13970"/>
            <wp:docPr id="43" name="Gra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6B1B9E0" w14:textId="518A982D" w:rsidR="008940B3" w:rsidRDefault="008940B3" w:rsidP="00E858EF">
      <w:pPr>
        <w:pStyle w:val="Didascalia"/>
        <w:suppressAutoHyphens/>
      </w:pPr>
      <w:bookmarkStart w:id="238" w:name="_Toc520212304"/>
      <w:r>
        <w:t>Figure 3-22. Larnax distribution by tomb</w:t>
      </w:r>
      <w:r w:rsidR="006B0E38">
        <w:t>,</w:t>
      </w:r>
      <w:r>
        <w:t xml:space="preserve"> Knossos area</w:t>
      </w:r>
      <w:bookmarkEnd w:id="238"/>
      <w:r w:rsidDel="008B28AD">
        <w:t xml:space="preserve"> </w:t>
      </w:r>
      <w:r>
        <w:t xml:space="preserve"> </w:t>
      </w:r>
    </w:p>
    <w:p w14:paraId="1B34AD41"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EE75939"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08576A97" wp14:editId="4CA94F98">
            <wp:extent cx="5267325" cy="2520000"/>
            <wp:effectExtent l="0" t="0" r="9525" b="13970"/>
            <wp:docPr id="1" name="Gra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C56CBE8" w14:textId="4CFCD9A1" w:rsidR="008940B3" w:rsidRDefault="008940B3" w:rsidP="00E858EF">
      <w:pPr>
        <w:pStyle w:val="Didascalia"/>
        <w:suppressAutoHyphens/>
      </w:pPr>
      <w:bookmarkStart w:id="239" w:name="_Toc520212305"/>
      <w:r>
        <w:t>Figure 3-23. Tombs with larnax occurrence and tombs without larnakes</w:t>
      </w:r>
      <w:r w:rsidR="006B0E38">
        <w:t>,</w:t>
      </w:r>
      <w:r>
        <w:t xml:space="preserve"> Knossos area</w:t>
      </w:r>
      <w:bookmarkEnd w:id="239"/>
      <w:r w:rsidDel="005F59F9">
        <w:t xml:space="preserve"> </w:t>
      </w:r>
    </w:p>
    <w:p w14:paraId="48D941D9" w14:textId="77777777" w:rsidR="008940B3" w:rsidRPr="00751FFC"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51BFEF02" w14:textId="77777777" w:rsidR="008940B3" w:rsidRDefault="008940B3" w:rsidP="00E858EF">
      <w:pPr>
        <w:pStyle w:val="Titolo4"/>
        <w:keepNext w:val="0"/>
        <w:keepLines w:val="0"/>
        <w:suppressAutoHyphens/>
        <w:ind w:left="864" w:hanging="864"/>
        <w:contextualSpacing w:val="0"/>
      </w:pPr>
      <w:bookmarkStart w:id="240" w:name="_Toc389131165"/>
      <w:bookmarkStart w:id="241" w:name="_Toc517876490"/>
      <w:r w:rsidRPr="00D94085">
        <w:t xml:space="preserve">Which deposition </w:t>
      </w:r>
      <w:r w:rsidRPr="00751FFC">
        <w:t>methods</w:t>
      </w:r>
      <w:r w:rsidRPr="00D94085">
        <w:t xml:space="preserve"> </w:t>
      </w:r>
      <w:r>
        <w:t>were</w:t>
      </w:r>
      <w:r w:rsidRPr="00D94085">
        <w:t xml:space="preserve"> adopted in these cemeteries?</w:t>
      </w:r>
      <w:bookmarkEnd w:id="240"/>
      <w:bookmarkEnd w:id="241"/>
      <w:r w:rsidRPr="00D94085">
        <w:t xml:space="preserve"> </w:t>
      </w:r>
    </w:p>
    <w:p w14:paraId="4B40FD03" w14:textId="77777777" w:rsidR="008940B3" w:rsidRPr="003B5C8D" w:rsidRDefault="008940B3" w:rsidP="00DE4BD4">
      <w:r w:rsidRPr="003B5C8D">
        <w:t xml:space="preserve">Other deposition methods </w:t>
      </w:r>
      <w:r>
        <w:t>were</w:t>
      </w:r>
      <w:r w:rsidRPr="003B5C8D">
        <w:t xml:space="preserve"> adopted in these cemeteries along with clay larnakes during LM III</w:t>
      </w:r>
      <w:r>
        <w:t>:</w:t>
      </w:r>
      <w:r w:rsidRPr="003B5C8D">
        <w:t xml:space="preserve"> </w:t>
      </w:r>
      <w:r>
        <w:t>w</w:t>
      </w:r>
      <w:r w:rsidRPr="003B5C8D">
        <w:t>ooden bier/coffin burials</w:t>
      </w:r>
      <w:r>
        <w:t>; s</w:t>
      </w:r>
      <w:r w:rsidRPr="003B5C8D">
        <w:t>keletons on t</w:t>
      </w:r>
      <w:r>
        <w:t>he ground, in pits, on benches or i</w:t>
      </w:r>
      <w:r w:rsidRPr="003B5C8D">
        <w:t>n the dromos</w:t>
      </w:r>
    </w:p>
    <w:p w14:paraId="17373B67" w14:textId="77777777" w:rsidR="008940B3" w:rsidRDefault="008940B3" w:rsidP="00DE4BD4">
      <w:r w:rsidRPr="00560ADC">
        <w:t xml:space="preserve">The only cemetery in which exclusively larnax burials </w:t>
      </w:r>
      <w:r>
        <w:t>were</w:t>
      </w:r>
      <w:r w:rsidRPr="00560ADC">
        <w:t xml:space="preserve"> adopted is Mastambas, although only one tomb has been found.</w:t>
      </w:r>
    </w:p>
    <w:p w14:paraId="199EFA6B" w14:textId="77777777" w:rsidR="00AC1737" w:rsidRDefault="00AC1737" w:rsidP="00E858EF">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20"/>
        <w:rPr>
          <w:sz w:val="22"/>
          <w:szCs w:val="22"/>
        </w:rPr>
        <w:sectPr w:rsidR="00AC1737" w:rsidSect="00F4682D">
          <w:pgSz w:w="11900" w:h="16840"/>
          <w:pgMar w:top="1418" w:right="1134" w:bottom="1134" w:left="2268" w:header="708" w:footer="708" w:gutter="0"/>
          <w:cols w:space="708"/>
          <w:titlePg/>
          <w:docGrid w:linePitch="360"/>
        </w:sectPr>
      </w:pPr>
    </w:p>
    <w:p w14:paraId="1CD0E9C2" w14:textId="67AE0266" w:rsidR="00AC1737" w:rsidRPr="00560ADC" w:rsidRDefault="00AC1737" w:rsidP="00E858EF">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20"/>
        <w:rPr>
          <w:sz w:val="22"/>
          <w:szCs w:val="22"/>
        </w:rPr>
      </w:pPr>
    </w:p>
    <w:p w14:paraId="27A4CCC3" w14:textId="1B35C2D1" w:rsidR="008940B3" w:rsidRPr="003B5C8D" w:rsidRDefault="008940B3" w:rsidP="00E858EF">
      <w:pPr>
        <w:pStyle w:val="Testofumetto"/>
        <w:suppressAutoHyphens/>
      </w:pPr>
      <w:bookmarkStart w:id="242" w:name="_Toc520212521"/>
      <w:r>
        <w:t xml:space="preserve">Table 3-32. </w:t>
      </w:r>
      <w:r w:rsidRPr="00BF6926">
        <w:t>Deposition methods adopted in the c</w:t>
      </w:r>
      <w:r>
        <w:t>emeteries with larnakes</w:t>
      </w:r>
      <w:r w:rsidR="006B0E38">
        <w:t>,</w:t>
      </w:r>
      <w:r>
        <w:t xml:space="preserve"> Knossos</w:t>
      </w:r>
      <w:r w:rsidRPr="00BF6926">
        <w:t xml:space="preserve"> area</w:t>
      </w:r>
      <w:bookmarkEnd w:id="242"/>
    </w:p>
    <w:tbl>
      <w:tblPr>
        <w:tblW w:w="0" w:type="auto"/>
        <w:tblInd w:w="10" w:type="dxa"/>
        <w:tblCellMar>
          <w:left w:w="70" w:type="dxa"/>
          <w:right w:w="70" w:type="dxa"/>
        </w:tblCellMar>
        <w:tblLook w:val="04A0" w:firstRow="1" w:lastRow="0" w:firstColumn="1" w:lastColumn="0" w:noHBand="0" w:noVBand="1"/>
      </w:tblPr>
      <w:tblGrid>
        <w:gridCol w:w="1556"/>
        <w:gridCol w:w="1469"/>
        <w:gridCol w:w="1869"/>
        <w:gridCol w:w="665"/>
        <w:gridCol w:w="597"/>
        <w:gridCol w:w="683"/>
        <w:gridCol w:w="825"/>
        <w:gridCol w:w="701"/>
      </w:tblGrid>
      <w:tr w:rsidR="008940B3" w:rsidRPr="00DE4BD4" w14:paraId="4EC1D8E9" w14:textId="77777777" w:rsidTr="00DE2BFC">
        <w:trPr>
          <w:trHeight w:val="440"/>
        </w:trPr>
        <w:tc>
          <w:tcPr>
            <w:tcW w:w="0" w:type="auto"/>
            <w:tcBorders>
              <w:top w:val="single" w:sz="6" w:space="0" w:color="000000"/>
              <w:left w:val="single" w:sz="6" w:space="0" w:color="000000"/>
              <w:bottom w:val="single" w:sz="6" w:space="0" w:color="000000"/>
              <w:right w:val="single" w:sz="6" w:space="0" w:color="000000"/>
            </w:tcBorders>
            <w:hideMark/>
          </w:tcPr>
          <w:p w14:paraId="7850180C" w14:textId="77777777" w:rsidR="008940B3" w:rsidRPr="00DE4BD4" w:rsidRDefault="008940B3" w:rsidP="00E858EF">
            <w:pPr>
              <w:suppressAutoHyphens/>
              <w:jc w:val="left"/>
              <w:rPr>
                <w:sz w:val="16"/>
                <w:szCs w:val="20"/>
              </w:rPr>
            </w:pPr>
            <w:r w:rsidRPr="00DE4BD4">
              <w:rPr>
                <w:color w:val="000000"/>
                <w:sz w:val="16"/>
                <w:szCs w:val="20"/>
              </w:rPr>
              <w:t>CEMETERIES</w:t>
            </w:r>
          </w:p>
        </w:tc>
        <w:tc>
          <w:tcPr>
            <w:tcW w:w="0" w:type="auto"/>
            <w:tcBorders>
              <w:top w:val="single" w:sz="6" w:space="0" w:color="000000"/>
              <w:left w:val="single" w:sz="6" w:space="0" w:color="000000"/>
              <w:bottom w:val="single" w:sz="6" w:space="0" w:color="000000"/>
              <w:right w:val="single" w:sz="6" w:space="0" w:color="000000"/>
            </w:tcBorders>
          </w:tcPr>
          <w:p w14:paraId="33B781F1" w14:textId="77777777" w:rsidR="008940B3" w:rsidRPr="00DE4BD4" w:rsidRDefault="008940B3" w:rsidP="00E858EF">
            <w:pPr>
              <w:suppressAutoHyphens/>
              <w:jc w:val="center"/>
              <w:rPr>
                <w:color w:val="000000"/>
                <w:sz w:val="16"/>
                <w:szCs w:val="20"/>
              </w:rPr>
            </w:pPr>
            <w:r w:rsidRPr="00DE4BD4">
              <w:rPr>
                <w:color w:val="000000"/>
                <w:sz w:val="16"/>
                <w:szCs w:val="20"/>
              </w:rPr>
              <w:t>CLAY LARNAKES</w:t>
            </w:r>
          </w:p>
        </w:tc>
        <w:tc>
          <w:tcPr>
            <w:tcW w:w="0" w:type="auto"/>
            <w:tcBorders>
              <w:top w:val="single" w:sz="6" w:space="0" w:color="000000"/>
              <w:left w:val="single" w:sz="6" w:space="0" w:color="000000"/>
              <w:bottom w:val="single" w:sz="6" w:space="0" w:color="000000"/>
              <w:right w:val="single" w:sz="6" w:space="0" w:color="000000"/>
            </w:tcBorders>
            <w:hideMark/>
          </w:tcPr>
          <w:p w14:paraId="2200BE83" w14:textId="77777777" w:rsidR="008940B3" w:rsidRPr="00DE4BD4" w:rsidRDefault="008940B3" w:rsidP="00E858EF">
            <w:pPr>
              <w:suppressAutoHyphens/>
              <w:jc w:val="center"/>
              <w:rPr>
                <w:sz w:val="16"/>
                <w:szCs w:val="20"/>
              </w:rPr>
            </w:pPr>
            <w:r w:rsidRPr="00DE4BD4">
              <w:rPr>
                <w:color w:val="000000"/>
                <w:sz w:val="16"/>
                <w:szCs w:val="20"/>
              </w:rPr>
              <w:t>WOODEN BIER/COFFIN</w:t>
            </w:r>
          </w:p>
        </w:tc>
        <w:tc>
          <w:tcPr>
            <w:tcW w:w="665" w:type="dxa"/>
            <w:tcBorders>
              <w:top w:val="single" w:sz="6" w:space="0" w:color="000000"/>
              <w:left w:val="single" w:sz="6" w:space="0" w:color="000000"/>
              <w:bottom w:val="single" w:sz="6" w:space="0" w:color="000000"/>
              <w:right w:val="single" w:sz="6" w:space="0" w:color="000000"/>
            </w:tcBorders>
            <w:hideMark/>
          </w:tcPr>
          <w:p w14:paraId="119977C4" w14:textId="77777777" w:rsidR="008940B3" w:rsidRPr="00DE4BD4" w:rsidRDefault="008940B3" w:rsidP="00E858EF">
            <w:pPr>
              <w:suppressAutoHyphens/>
              <w:jc w:val="center"/>
              <w:rPr>
                <w:sz w:val="16"/>
                <w:szCs w:val="20"/>
              </w:rPr>
            </w:pPr>
            <w:r w:rsidRPr="00DE4BD4">
              <w:rPr>
                <w:color w:val="000000"/>
                <w:sz w:val="16"/>
                <w:szCs w:val="20"/>
              </w:rPr>
              <w:t>FLOOR</w:t>
            </w:r>
          </w:p>
        </w:tc>
        <w:tc>
          <w:tcPr>
            <w:tcW w:w="597" w:type="dxa"/>
            <w:tcBorders>
              <w:top w:val="single" w:sz="6" w:space="0" w:color="000000"/>
              <w:left w:val="single" w:sz="6" w:space="0" w:color="000000"/>
              <w:bottom w:val="single" w:sz="6" w:space="0" w:color="000000"/>
              <w:right w:val="single" w:sz="6" w:space="0" w:color="000000"/>
            </w:tcBorders>
          </w:tcPr>
          <w:p w14:paraId="47945B51" w14:textId="77777777" w:rsidR="008940B3" w:rsidRPr="00DE4BD4" w:rsidRDefault="008940B3" w:rsidP="00E858EF">
            <w:pPr>
              <w:suppressAutoHyphens/>
              <w:jc w:val="center"/>
              <w:rPr>
                <w:color w:val="000000"/>
                <w:sz w:val="16"/>
                <w:szCs w:val="20"/>
              </w:rPr>
            </w:pPr>
            <w:r w:rsidRPr="00DE4BD4">
              <w:rPr>
                <w:color w:val="000000"/>
                <w:sz w:val="16"/>
                <w:szCs w:val="20"/>
              </w:rPr>
              <w:t>PIT</w:t>
            </w:r>
          </w:p>
        </w:tc>
        <w:tc>
          <w:tcPr>
            <w:tcW w:w="0" w:type="auto"/>
            <w:tcBorders>
              <w:top w:val="single" w:sz="6" w:space="0" w:color="000000"/>
              <w:left w:val="single" w:sz="6" w:space="0" w:color="000000"/>
              <w:bottom w:val="single" w:sz="6" w:space="0" w:color="000000"/>
              <w:right w:val="single" w:sz="6" w:space="0" w:color="000000"/>
            </w:tcBorders>
          </w:tcPr>
          <w:p w14:paraId="21800659" w14:textId="77777777" w:rsidR="008940B3" w:rsidRPr="00DE4BD4" w:rsidRDefault="008940B3" w:rsidP="00E858EF">
            <w:pPr>
              <w:suppressAutoHyphens/>
              <w:jc w:val="center"/>
              <w:rPr>
                <w:color w:val="000000"/>
                <w:sz w:val="16"/>
                <w:szCs w:val="20"/>
              </w:rPr>
            </w:pPr>
            <w:r w:rsidRPr="00DE4BD4">
              <w:rPr>
                <w:color w:val="000000"/>
                <w:sz w:val="16"/>
                <w:szCs w:val="20"/>
              </w:rPr>
              <w:t>BENCH</w:t>
            </w:r>
          </w:p>
        </w:tc>
        <w:tc>
          <w:tcPr>
            <w:tcW w:w="0" w:type="auto"/>
            <w:tcBorders>
              <w:top w:val="single" w:sz="6" w:space="0" w:color="000000"/>
              <w:left w:val="single" w:sz="6" w:space="0" w:color="000000"/>
              <w:bottom w:val="single" w:sz="6" w:space="0" w:color="000000"/>
              <w:right w:val="single" w:sz="6" w:space="0" w:color="000000"/>
            </w:tcBorders>
          </w:tcPr>
          <w:p w14:paraId="47804897" w14:textId="77777777" w:rsidR="008940B3" w:rsidRPr="00DE4BD4" w:rsidRDefault="008940B3" w:rsidP="00E858EF">
            <w:pPr>
              <w:suppressAutoHyphens/>
              <w:jc w:val="center"/>
              <w:rPr>
                <w:color w:val="000000"/>
                <w:sz w:val="16"/>
                <w:szCs w:val="20"/>
              </w:rPr>
            </w:pPr>
            <w:r w:rsidRPr="00DE4BD4">
              <w:rPr>
                <w:color w:val="000000"/>
                <w:sz w:val="16"/>
                <w:szCs w:val="20"/>
              </w:rPr>
              <w:t>DROMOS</w:t>
            </w:r>
          </w:p>
        </w:tc>
        <w:tc>
          <w:tcPr>
            <w:tcW w:w="0" w:type="auto"/>
            <w:tcBorders>
              <w:top w:val="single" w:sz="6" w:space="0" w:color="000000"/>
              <w:left w:val="single" w:sz="6" w:space="0" w:color="000000"/>
              <w:bottom w:val="single" w:sz="6" w:space="0" w:color="000000"/>
              <w:right w:val="single" w:sz="6" w:space="0" w:color="000000"/>
            </w:tcBorders>
            <w:hideMark/>
          </w:tcPr>
          <w:p w14:paraId="1F6DB4E8" w14:textId="77777777" w:rsidR="008940B3" w:rsidRPr="00DE4BD4" w:rsidRDefault="008940B3" w:rsidP="00E858EF">
            <w:pPr>
              <w:suppressAutoHyphens/>
              <w:jc w:val="center"/>
              <w:rPr>
                <w:sz w:val="16"/>
                <w:szCs w:val="20"/>
              </w:rPr>
            </w:pPr>
            <w:r w:rsidRPr="00DE4BD4">
              <w:rPr>
                <w:color w:val="000000"/>
                <w:sz w:val="16"/>
                <w:szCs w:val="20"/>
              </w:rPr>
              <w:t>PITHOS</w:t>
            </w:r>
          </w:p>
        </w:tc>
      </w:tr>
      <w:tr w:rsidR="008940B3" w:rsidRPr="00DE4BD4" w14:paraId="4C1EF296" w14:textId="77777777" w:rsidTr="00DE2BFC">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DAB380F" w14:textId="77777777" w:rsidR="008940B3" w:rsidRPr="00DE4BD4" w:rsidRDefault="008940B3" w:rsidP="00E858EF">
            <w:pPr>
              <w:suppressAutoHyphens/>
              <w:jc w:val="left"/>
              <w:rPr>
                <w:sz w:val="16"/>
                <w:szCs w:val="20"/>
              </w:rPr>
            </w:pPr>
            <w:r w:rsidRPr="00DE4BD4">
              <w:rPr>
                <w:color w:val="000000"/>
                <w:sz w:val="16"/>
                <w:szCs w:val="20"/>
              </w:rPr>
              <w:t>ZAFER PAPOURA</w:t>
            </w:r>
          </w:p>
        </w:tc>
        <w:tc>
          <w:tcPr>
            <w:tcW w:w="0" w:type="auto"/>
            <w:tcBorders>
              <w:top w:val="single" w:sz="6" w:space="0" w:color="000000"/>
              <w:left w:val="single" w:sz="6" w:space="0" w:color="000000"/>
              <w:bottom w:val="single" w:sz="6" w:space="0" w:color="000000"/>
              <w:right w:val="single" w:sz="6" w:space="0" w:color="000000"/>
            </w:tcBorders>
          </w:tcPr>
          <w:p w14:paraId="2C929A5A"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F382EC3" w14:textId="77777777" w:rsidR="008940B3" w:rsidRPr="00DE4BD4" w:rsidRDefault="008940B3" w:rsidP="00E858EF">
            <w:pPr>
              <w:suppressAutoHyphens/>
              <w:jc w:val="center"/>
              <w:rPr>
                <w:sz w:val="16"/>
                <w:szCs w:val="20"/>
              </w:rPr>
            </w:pPr>
          </w:p>
        </w:tc>
        <w:tc>
          <w:tcPr>
            <w:tcW w:w="6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966ADED"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597" w:type="dxa"/>
            <w:tcBorders>
              <w:top w:val="single" w:sz="6" w:space="0" w:color="000000"/>
              <w:left w:val="single" w:sz="6" w:space="0" w:color="000000"/>
              <w:bottom w:val="single" w:sz="6" w:space="0" w:color="000000"/>
              <w:right w:val="single" w:sz="6" w:space="0" w:color="000000"/>
            </w:tcBorders>
          </w:tcPr>
          <w:p w14:paraId="732B5B0D"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0" w:type="auto"/>
            <w:tcBorders>
              <w:top w:val="single" w:sz="6" w:space="0" w:color="000000"/>
              <w:left w:val="single" w:sz="6" w:space="0" w:color="000000"/>
              <w:bottom w:val="single" w:sz="6" w:space="0" w:color="000000"/>
              <w:right w:val="single" w:sz="6" w:space="0" w:color="000000"/>
            </w:tcBorders>
          </w:tcPr>
          <w:p w14:paraId="6150E899" w14:textId="77777777" w:rsidR="008940B3" w:rsidRPr="00DE4BD4" w:rsidRDefault="008940B3" w:rsidP="00E858EF">
            <w:pPr>
              <w:suppressAutoHyphens/>
              <w:jc w:val="center"/>
              <w:rPr>
                <w:sz w:val="16"/>
                <w:szCs w:val="20"/>
              </w:rPr>
            </w:pPr>
          </w:p>
        </w:tc>
        <w:tc>
          <w:tcPr>
            <w:tcW w:w="0" w:type="auto"/>
            <w:tcBorders>
              <w:top w:val="single" w:sz="6" w:space="0" w:color="000000"/>
              <w:left w:val="single" w:sz="6" w:space="0" w:color="000000"/>
              <w:bottom w:val="single" w:sz="6" w:space="0" w:color="000000"/>
              <w:right w:val="single" w:sz="6" w:space="0" w:color="000000"/>
            </w:tcBorders>
          </w:tcPr>
          <w:p w14:paraId="77F81E8E" w14:textId="77777777" w:rsidR="008940B3" w:rsidRPr="00DE4BD4" w:rsidRDefault="008940B3" w:rsidP="00E858EF">
            <w:pPr>
              <w:suppressAutoHyphens/>
              <w:jc w:val="center"/>
              <w:rPr>
                <w:sz w:val="16"/>
                <w:szCs w:val="20"/>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4B919C9" w14:textId="77777777" w:rsidR="008940B3" w:rsidRPr="00DE4BD4" w:rsidRDefault="008940B3" w:rsidP="00E858EF">
            <w:pPr>
              <w:suppressAutoHyphens/>
              <w:jc w:val="center"/>
              <w:rPr>
                <w:sz w:val="16"/>
                <w:szCs w:val="20"/>
              </w:rPr>
            </w:pPr>
          </w:p>
        </w:tc>
      </w:tr>
      <w:tr w:rsidR="008940B3" w:rsidRPr="00DE4BD4" w14:paraId="34B665F1" w14:textId="77777777" w:rsidTr="00DE2BFC">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5A4D31AB" w14:textId="77777777" w:rsidR="008940B3" w:rsidRPr="00DE4BD4" w:rsidRDefault="008940B3" w:rsidP="00E858EF">
            <w:pPr>
              <w:suppressAutoHyphens/>
              <w:jc w:val="left"/>
              <w:rPr>
                <w:sz w:val="16"/>
                <w:szCs w:val="20"/>
              </w:rPr>
            </w:pPr>
            <w:r w:rsidRPr="00DE4BD4">
              <w:rPr>
                <w:color w:val="000000"/>
                <w:sz w:val="16"/>
                <w:szCs w:val="20"/>
              </w:rPr>
              <w:t>UPPER GYPSADES</w:t>
            </w:r>
          </w:p>
        </w:tc>
        <w:tc>
          <w:tcPr>
            <w:tcW w:w="0" w:type="auto"/>
            <w:tcBorders>
              <w:top w:val="single" w:sz="6" w:space="0" w:color="000000"/>
              <w:left w:val="single" w:sz="6" w:space="0" w:color="000000"/>
              <w:bottom w:val="single" w:sz="6" w:space="0" w:color="000000"/>
              <w:right w:val="single" w:sz="6" w:space="0" w:color="000000"/>
            </w:tcBorders>
            <w:shd w:val="clear" w:color="auto" w:fill="EFEFEF"/>
          </w:tcPr>
          <w:p w14:paraId="5E774A68" w14:textId="77777777" w:rsidR="008940B3" w:rsidRPr="00DE4BD4" w:rsidRDefault="008940B3" w:rsidP="00E858EF">
            <w:pPr>
              <w:suppressAutoHyphens/>
              <w:jc w:val="center"/>
              <w:rPr>
                <w:color w:val="000000"/>
                <w:sz w:val="16"/>
                <w:szCs w:val="20"/>
              </w:rPr>
            </w:pPr>
            <w:r w:rsidRPr="00DE4BD4">
              <w:rPr>
                <w:rFonts w:ascii="Segoe UI Symbol" w:hAnsi="Segoe UI Symbol" w:cs="Segoe UI Symbol"/>
                <w:color w:val="000000"/>
                <w:sz w:val="16"/>
                <w:szCs w:val="20"/>
              </w:rPr>
              <w:t>✓</w:t>
            </w: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216E5718"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665"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210FE8FF"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597" w:type="dxa"/>
            <w:tcBorders>
              <w:top w:val="single" w:sz="6" w:space="0" w:color="000000"/>
              <w:left w:val="single" w:sz="6" w:space="0" w:color="000000"/>
              <w:bottom w:val="single" w:sz="6" w:space="0" w:color="000000"/>
              <w:right w:val="single" w:sz="6" w:space="0" w:color="000000"/>
            </w:tcBorders>
            <w:shd w:val="clear" w:color="auto" w:fill="EFEFEF"/>
          </w:tcPr>
          <w:p w14:paraId="7A6A37BB"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0" w:type="auto"/>
            <w:tcBorders>
              <w:top w:val="single" w:sz="6" w:space="0" w:color="000000"/>
              <w:left w:val="single" w:sz="6" w:space="0" w:color="000000"/>
              <w:bottom w:val="single" w:sz="6" w:space="0" w:color="000000"/>
              <w:right w:val="single" w:sz="6" w:space="0" w:color="000000"/>
            </w:tcBorders>
            <w:shd w:val="clear" w:color="auto" w:fill="EFEFEF"/>
          </w:tcPr>
          <w:p w14:paraId="57E8EA82"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0" w:type="auto"/>
            <w:tcBorders>
              <w:top w:val="single" w:sz="6" w:space="0" w:color="000000"/>
              <w:left w:val="single" w:sz="6" w:space="0" w:color="000000"/>
              <w:bottom w:val="single" w:sz="6" w:space="0" w:color="000000"/>
              <w:right w:val="single" w:sz="6" w:space="0" w:color="000000"/>
            </w:tcBorders>
            <w:shd w:val="clear" w:color="auto" w:fill="EFEFEF"/>
          </w:tcPr>
          <w:p w14:paraId="1D795485" w14:textId="77777777" w:rsidR="008940B3" w:rsidRPr="00DE4BD4" w:rsidRDefault="008940B3" w:rsidP="00E858EF">
            <w:pPr>
              <w:suppressAutoHyphens/>
              <w:jc w:val="center"/>
              <w:rPr>
                <w:sz w:val="16"/>
                <w:szCs w:val="20"/>
              </w:rPr>
            </w:pP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52AC3D3E" w14:textId="77777777" w:rsidR="008940B3" w:rsidRPr="00DE4BD4" w:rsidRDefault="008940B3" w:rsidP="00E858EF">
            <w:pPr>
              <w:suppressAutoHyphens/>
              <w:jc w:val="center"/>
              <w:rPr>
                <w:sz w:val="16"/>
                <w:szCs w:val="20"/>
              </w:rPr>
            </w:pPr>
          </w:p>
        </w:tc>
      </w:tr>
      <w:tr w:rsidR="008940B3" w:rsidRPr="00DE4BD4" w14:paraId="2A963631" w14:textId="77777777" w:rsidTr="00DE2BFC">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471900A" w14:textId="77777777" w:rsidR="008940B3" w:rsidRPr="00DE4BD4" w:rsidRDefault="008940B3" w:rsidP="00E858EF">
            <w:pPr>
              <w:suppressAutoHyphens/>
              <w:jc w:val="left"/>
              <w:rPr>
                <w:sz w:val="16"/>
                <w:szCs w:val="20"/>
              </w:rPr>
            </w:pPr>
            <w:r w:rsidRPr="00DE4BD4">
              <w:rPr>
                <w:color w:val="000000"/>
                <w:sz w:val="16"/>
                <w:szCs w:val="20"/>
              </w:rPr>
              <w:t>MAVRO SPELIO</w:t>
            </w:r>
          </w:p>
        </w:tc>
        <w:tc>
          <w:tcPr>
            <w:tcW w:w="0" w:type="auto"/>
            <w:tcBorders>
              <w:top w:val="single" w:sz="6" w:space="0" w:color="000000"/>
              <w:left w:val="single" w:sz="6" w:space="0" w:color="000000"/>
              <w:bottom w:val="single" w:sz="6" w:space="0" w:color="000000"/>
              <w:right w:val="single" w:sz="6" w:space="0" w:color="000000"/>
            </w:tcBorders>
          </w:tcPr>
          <w:p w14:paraId="23AFA008"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39B28ED" w14:textId="77777777" w:rsidR="008940B3" w:rsidRPr="00DE4BD4" w:rsidRDefault="008940B3" w:rsidP="00E858EF">
            <w:pPr>
              <w:suppressAutoHyphens/>
              <w:jc w:val="center"/>
              <w:rPr>
                <w:sz w:val="16"/>
                <w:szCs w:val="20"/>
              </w:rPr>
            </w:pPr>
          </w:p>
        </w:tc>
        <w:tc>
          <w:tcPr>
            <w:tcW w:w="6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27DD3A8"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597" w:type="dxa"/>
            <w:tcBorders>
              <w:top w:val="single" w:sz="6" w:space="0" w:color="000000"/>
              <w:left w:val="single" w:sz="6" w:space="0" w:color="000000"/>
              <w:bottom w:val="single" w:sz="6" w:space="0" w:color="000000"/>
              <w:right w:val="single" w:sz="6" w:space="0" w:color="000000"/>
            </w:tcBorders>
          </w:tcPr>
          <w:p w14:paraId="002D996B" w14:textId="77777777" w:rsidR="008940B3" w:rsidRPr="00DE4BD4" w:rsidRDefault="008940B3" w:rsidP="00E858EF">
            <w:pPr>
              <w:suppressAutoHyphens/>
              <w:jc w:val="center"/>
              <w:rPr>
                <w:sz w:val="16"/>
                <w:szCs w:val="20"/>
              </w:rPr>
            </w:pPr>
          </w:p>
        </w:tc>
        <w:tc>
          <w:tcPr>
            <w:tcW w:w="0" w:type="auto"/>
            <w:tcBorders>
              <w:top w:val="single" w:sz="6" w:space="0" w:color="000000"/>
              <w:left w:val="single" w:sz="6" w:space="0" w:color="000000"/>
              <w:bottom w:val="single" w:sz="6" w:space="0" w:color="000000"/>
              <w:right w:val="single" w:sz="6" w:space="0" w:color="000000"/>
            </w:tcBorders>
          </w:tcPr>
          <w:p w14:paraId="706358FD" w14:textId="77777777" w:rsidR="008940B3" w:rsidRPr="00DE4BD4" w:rsidRDefault="008940B3" w:rsidP="00E858EF">
            <w:pPr>
              <w:suppressAutoHyphens/>
              <w:jc w:val="center"/>
              <w:rPr>
                <w:sz w:val="16"/>
                <w:szCs w:val="20"/>
              </w:rPr>
            </w:pPr>
          </w:p>
        </w:tc>
        <w:tc>
          <w:tcPr>
            <w:tcW w:w="0" w:type="auto"/>
            <w:tcBorders>
              <w:top w:val="single" w:sz="6" w:space="0" w:color="000000"/>
              <w:left w:val="single" w:sz="6" w:space="0" w:color="000000"/>
              <w:bottom w:val="single" w:sz="6" w:space="0" w:color="000000"/>
              <w:right w:val="single" w:sz="6" w:space="0" w:color="000000"/>
            </w:tcBorders>
          </w:tcPr>
          <w:p w14:paraId="2E59C7D1" w14:textId="77777777" w:rsidR="008940B3" w:rsidRPr="00DE4BD4" w:rsidRDefault="008940B3" w:rsidP="00E858EF">
            <w:pPr>
              <w:suppressAutoHyphens/>
              <w:jc w:val="center"/>
              <w:rPr>
                <w:sz w:val="16"/>
                <w:szCs w:val="20"/>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5535FFD" w14:textId="77777777" w:rsidR="008940B3" w:rsidRPr="00DE4BD4" w:rsidRDefault="008940B3" w:rsidP="00E858EF">
            <w:pPr>
              <w:suppressAutoHyphens/>
              <w:jc w:val="center"/>
              <w:rPr>
                <w:sz w:val="16"/>
                <w:szCs w:val="20"/>
              </w:rPr>
            </w:pPr>
          </w:p>
        </w:tc>
      </w:tr>
      <w:tr w:rsidR="008940B3" w:rsidRPr="00DE4BD4" w14:paraId="19043B3C" w14:textId="77777777" w:rsidTr="00DE2BFC">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5FA9C200" w14:textId="77777777" w:rsidR="008940B3" w:rsidRPr="00DE4BD4" w:rsidRDefault="008940B3" w:rsidP="00E858EF">
            <w:pPr>
              <w:suppressAutoHyphens/>
              <w:jc w:val="left"/>
              <w:rPr>
                <w:sz w:val="16"/>
                <w:szCs w:val="20"/>
              </w:rPr>
            </w:pPr>
            <w:r w:rsidRPr="00DE4BD4">
              <w:rPr>
                <w:color w:val="000000"/>
                <w:sz w:val="16"/>
                <w:szCs w:val="20"/>
              </w:rPr>
              <w:t>KATSAMBAS</w:t>
            </w:r>
          </w:p>
        </w:tc>
        <w:tc>
          <w:tcPr>
            <w:tcW w:w="0" w:type="auto"/>
            <w:tcBorders>
              <w:top w:val="single" w:sz="6" w:space="0" w:color="000000"/>
              <w:left w:val="single" w:sz="6" w:space="0" w:color="000000"/>
              <w:bottom w:val="single" w:sz="6" w:space="0" w:color="000000"/>
              <w:right w:val="single" w:sz="6" w:space="0" w:color="000000"/>
            </w:tcBorders>
            <w:shd w:val="clear" w:color="auto" w:fill="EFEFEF"/>
          </w:tcPr>
          <w:p w14:paraId="0E846FCA" w14:textId="77777777" w:rsidR="008940B3" w:rsidRPr="00DE4BD4" w:rsidRDefault="008940B3" w:rsidP="00E858EF">
            <w:pPr>
              <w:suppressAutoHyphens/>
              <w:jc w:val="center"/>
              <w:rPr>
                <w:color w:val="000000"/>
                <w:sz w:val="16"/>
                <w:szCs w:val="20"/>
              </w:rPr>
            </w:pPr>
            <w:r w:rsidRPr="00DE4BD4">
              <w:rPr>
                <w:rFonts w:ascii="Segoe UI Symbol" w:hAnsi="Segoe UI Symbol" w:cs="Segoe UI Symbol"/>
                <w:color w:val="000000"/>
                <w:sz w:val="16"/>
                <w:szCs w:val="20"/>
              </w:rPr>
              <w:t>✓</w:t>
            </w: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9C1608B"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665"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5AA164E6"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597" w:type="dxa"/>
            <w:tcBorders>
              <w:top w:val="single" w:sz="6" w:space="0" w:color="000000"/>
              <w:left w:val="single" w:sz="6" w:space="0" w:color="000000"/>
              <w:bottom w:val="single" w:sz="6" w:space="0" w:color="000000"/>
              <w:right w:val="single" w:sz="6" w:space="0" w:color="000000"/>
            </w:tcBorders>
            <w:shd w:val="clear" w:color="auto" w:fill="EFEFEF"/>
          </w:tcPr>
          <w:p w14:paraId="7CA8B26E"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0" w:type="auto"/>
            <w:tcBorders>
              <w:top w:val="single" w:sz="6" w:space="0" w:color="000000"/>
              <w:left w:val="single" w:sz="6" w:space="0" w:color="000000"/>
              <w:bottom w:val="single" w:sz="6" w:space="0" w:color="000000"/>
              <w:right w:val="single" w:sz="6" w:space="0" w:color="000000"/>
            </w:tcBorders>
            <w:shd w:val="clear" w:color="auto" w:fill="EFEFEF"/>
          </w:tcPr>
          <w:p w14:paraId="6ED20EDC"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0" w:type="auto"/>
            <w:tcBorders>
              <w:top w:val="single" w:sz="6" w:space="0" w:color="000000"/>
              <w:left w:val="single" w:sz="6" w:space="0" w:color="000000"/>
              <w:bottom w:val="single" w:sz="6" w:space="0" w:color="000000"/>
              <w:right w:val="single" w:sz="6" w:space="0" w:color="000000"/>
            </w:tcBorders>
            <w:shd w:val="clear" w:color="auto" w:fill="EFEFEF"/>
          </w:tcPr>
          <w:p w14:paraId="0B90F327"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52CCE1EE" w14:textId="77777777" w:rsidR="008940B3" w:rsidRPr="00DE4BD4" w:rsidRDefault="008940B3" w:rsidP="00E858EF">
            <w:pPr>
              <w:suppressAutoHyphens/>
              <w:jc w:val="center"/>
              <w:rPr>
                <w:sz w:val="16"/>
                <w:szCs w:val="20"/>
              </w:rPr>
            </w:pPr>
          </w:p>
        </w:tc>
      </w:tr>
      <w:tr w:rsidR="008940B3" w:rsidRPr="00DE4BD4" w14:paraId="48E17FBF" w14:textId="77777777" w:rsidTr="00DE2BFC">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261231E" w14:textId="77777777" w:rsidR="008940B3" w:rsidRPr="00DE4BD4" w:rsidRDefault="008940B3" w:rsidP="00E858EF">
            <w:pPr>
              <w:suppressAutoHyphens/>
              <w:jc w:val="left"/>
              <w:rPr>
                <w:sz w:val="16"/>
                <w:szCs w:val="20"/>
              </w:rPr>
            </w:pPr>
            <w:r w:rsidRPr="00DE4BD4">
              <w:rPr>
                <w:color w:val="000000"/>
                <w:sz w:val="16"/>
                <w:szCs w:val="20"/>
              </w:rPr>
              <w:t>SELLOPOULO</w:t>
            </w:r>
          </w:p>
        </w:tc>
        <w:tc>
          <w:tcPr>
            <w:tcW w:w="0" w:type="auto"/>
            <w:tcBorders>
              <w:top w:val="single" w:sz="6" w:space="0" w:color="000000"/>
              <w:left w:val="single" w:sz="6" w:space="0" w:color="000000"/>
              <w:bottom w:val="single" w:sz="6" w:space="0" w:color="000000"/>
              <w:right w:val="single" w:sz="6" w:space="0" w:color="000000"/>
            </w:tcBorders>
          </w:tcPr>
          <w:p w14:paraId="738D2A2F" w14:textId="77777777" w:rsidR="008940B3" w:rsidRPr="00DE4BD4" w:rsidRDefault="008940B3" w:rsidP="00E858EF">
            <w:pPr>
              <w:suppressAutoHyphens/>
              <w:jc w:val="center"/>
              <w:rPr>
                <w:color w:val="000000"/>
                <w:sz w:val="16"/>
                <w:szCs w:val="20"/>
              </w:rPr>
            </w:pPr>
            <w:r w:rsidRPr="00DE4BD4">
              <w:rPr>
                <w:rFonts w:ascii="Segoe UI Symbol" w:hAnsi="Segoe UI Symbol" w:cs="Segoe UI Symbol"/>
                <w:color w:val="000000"/>
                <w:sz w:val="16"/>
                <w:szCs w:val="20"/>
              </w:rPr>
              <w:t>✓</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99849AF"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6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24F74C0"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597" w:type="dxa"/>
            <w:tcBorders>
              <w:top w:val="single" w:sz="6" w:space="0" w:color="000000"/>
              <w:left w:val="single" w:sz="6" w:space="0" w:color="000000"/>
              <w:bottom w:val="single" w:sz="6" w:space="0" w:color="000000"/>
              <w:right w:val="single" w:sz="6" w:space="0" w:color="000000"/>
            </w:tcBorders>
          </w:tcPr>
          <w:p w14:paraId="2D3EA9BE"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0" w:type="auto"/>
            <w:tcBorders>
              <w:top w:val="single" w:sz="6" w:space="0" w:color="000000"/>
              <w:left w:val="single" w:sz="6" w:space="0" w:color="000000"/>
              <w:bottom w:val="single" w:sz="6" w:space="0" w:color="000000"/>
              <w:right w:val="single" w:sz="6" w:space="0" w:color="000000"/>
            </w:tcBorders>
          </w:tcPr>
          <w:p w14:paraId="58029625" w14:textId="77777777" w:rsidR="008940B3" w:rsidRPr="00DE4BD4" w:rsidRDefault="008940B3" w:rsidP="00E858EF">
            <w:pPr>
              <w:suppressAutoHyphens/>
              <w:jc w:val="center"/>
              <w:rPr>
                <w:sz w:val="16"/>
                <w:szCs w:val="20"/>
              </w:rPr>
            </w:pPr>
          </w:p>
        </w:tc>
        <w:tc>
          <w:tcPr>
            <w:tcW w:w="0" w:type="auto"/>
            <w:tcBorders>
              <w:top w:val="single" w:sz="6" w:space="0" w:color="000000"/>
              <w:left w:val="single" w:sz="6" w:space="0" w:color="000000"/>
              <w:bottom w:val="single" w:sz="6" w:space="0" w:color="000000"/>
              <w:right w:val="single" w:sz="6" w:space="0" w:color="000000"/>
            </w:tcBorders>
          </w:tcPr>
          <w:p w14:paraId="7646E527" w14:textId="77777777" w:rsidR="008940B3" w:rsidRPr="00DE4BD4" w:rsidRDefault="008940B3" w:rsidP="00E858EF">
            <w:pPr>
              <w:suppressAutoHyphens/>
              <w:jc w:val="center"/>
              <w:rPr>
                <w:sz w:val="16"/>
                <w:szCs w:val="20"/>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8D1EF99" w14:textId="77777777" w:rsidR="008940B3" w:rsidRPr="00DE4BD4" w:rsidRDefault="008940B3" w:rsidP="00E858EF">
            <w:pPr>
              <w:suppressAutoHyphens/>
              <w:jc w:val="center"/>
              <w:rPr>
                <w:sz w:val="16"/>
                <w:szCs w:val="20"/>
              </w:rPr>
            </w:pPr>
          </w:p>
        </w:tc>
      </w:tr>
      <w:tr w:rsidR="008940B3" w:rsidRPr="00DE4BD4" w14:paraId="59F2822A" w14:textId="77777777" w:rsidTr="00DE2BFC">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DEEA0F3" w14:textId="77777777" w:rsidR="008940B3" w:rsidRPr="00DE4BD4" w:rsidRDefault="008940B3" w:rsidP="00E858EF">
            <w:pPr>
              <w:suppressAutoHyphens/>
              <w:jc w:val="left"/>
              <w:rPr>
                <w:sz w:val="16"/>
                <w:szCs w:val="20"/>
              </w:rPr>
            </w:pPr>
            <w:r w:rsidRPr="00DE4BD4">
              <w:rPr>
                <w:color w:val="000000"/>
                <w:sz w:val="16"/>
                <w:szCs w:val="20"/>
              </w:rPr>
              <w:t>LOWER GYPSADES</w:t>
            </w:r>
          </w:p>
        </w:tc>
        <w:tc>
          <w:tcPr>
            <w:tcW w:w="0" w:type="auto"/>
            <w:tcBorders>
              <w:top w:val="single" w:sz="6" w:space="0" w:color="000000"/>
              <w:left w:val="single" w:sz="6" w:space="0" w:color="000000"/>
              <w:bottom w:val="single" w:sz="6" w:space="0" w:color="000000"/>
              <w:right w:val="single" w:sz="6" w:space="0" w:color="000000"/>
            </w:tcBorders>
            <w:shd w:val="clear" w:color="auto" w:fill="EFEFEF"/>
          </w:tcPr>
          <w:p w14:paraId="16A14699" w14:textId="77777777" w:rsidR="008940B3" w:rsidRPr="00DE4BD4" w:rsidRDefault="008940B3" w:rsidP="00E858EF">
            <w:pPr>
              <w:suppressAutoHyphens/>
              <w:jc w:val="center"/>
              <w:rPr>
                <w:color w:val="000000"/>
                <w:sz w:val="16"/>
                <w:szCs w:val="20"/>
              </w:rPr>
            </w:pPr>
            <w:r w:rsidRPr="00DE4BD4">
              <w:rPr>
                <w:rFonts w:ascii="Segoe UI Symbol" w:hAnsi="Segoe UI Symbol" w:cs="Segoe UI Symbol"/>
                <w:color w:val="000000"/>
                <w:sz w:val="16"/>
                <w:szCs w:val="20"/>
              </w:rPr>
              <w:t>✓</w:t>
            </w: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41E1786" w14:textId="77777777" w:rsidR="008940B3" w:rsidRPr="00DE4BD4" w:rsidRDefault="008940B3" w:rsidP="00E858EF">
            <w:pPr>
              <w:suppressAutoHyphens/>
              <w:jc w:val="center"/>
              <w:rPr>
                <w:sz w:val="16"/>
                <w:szCs w:val="20"/>
              </w:rPr>
            </w:pPr>
          </w:p>
        </w:tc>
        <w:tc>
          <w:tcPr>
            <w:tcW w:w="665"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51795582"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597" w:type="dxa"/>
            <w:tcBorders>
              <w:top w:val="single" w:sz="6" w:space="0" w:color="000000"/>
              <w:left w:val="single" w:sz="6" w:space="0" w:color="000000"/>
              <w:bottom w:val="single" w:sz="6" w:space="0" w:color="000000"/>
              <w:right w:val="single" w:sz="6" w:space="0" w:color="000000"/>
            </w:tcBorders>
            <w:shd w:val="clear" w:color="auto" w:fill="EFEFEF"/>
          </w:tcPr>
          <w:p w14:paraId="36D2304C" w14:textId="77777777" w:rsidR="008940B3" w:rsidRPr="00DE4BD4" w:rsidRDefault="008940B3" w:rsidP="00E858EF">
            <w:pPr>
              <w:suppressAutoHyphens/>
              <w:jc w:val="center"/>
              <w:rPr>
                <w:sz w:val="16"/>
                <w:szCs w:val="20"/>
              </w:rPr>
            </w:pPr>
          </w:p>
        </w:tc>
        <w:tc>
          <w:tcPr>
            <w:tcW w:w="0" w:type="auto"/>
            <w:tcBorders>
              <w:top w:val="single" w:sz="6" w:space="0" w:color="000000"/>
              <w:left w:val="single" w:sz="6" w:space="0" w:color="000000"/>
              <w:bottom w:val="single" w:sz="6" w:space="0" w:color="000000"/>
              <w:right w:val="single" w:sz="6" w:space="0" w:color="000000"/>
            </w:tcBorders>
            <w:shd w:val="clear" w:color="auto" w:fill="EFEFEF"/>
          </w:tcPr>
          <w:p w14:paraId="3893A5CE" w14:textId="77777777" w:rsidR="008940B3" w:rsidRPr="00DE4BD4" w:rsidRDefault="008940B3" w:rsidP="00E858EF">
            <w:pPr>
              <w:suppressAutoHyphens/>
              <w:jc w:val="center"/>
              <w:rPr>
                <w:sz w:val="16"/>
                <w:szCs w:val="20"/>
              </w:rPr>
            </w:pPr>
          </w:p>
        </w:tc>
        <w:tc>
          <w:tcPr>
            <w:tcW w:w="0" w:type="auto"/>
            <w:tcBorders>
              <w:top w:val="single" w:sz="6" w:space="0" w:color="000000"/>
              <w:left w:val="single" w:sz="6" w:space="0" w:color="000000"/>
              <w:bottom w:val="single" w:sz="6" w:space="0" w:color="000000"/>
              <w:right w:val="single" w:sz="6" w:space="0" w:color="000000"/>
            </w:tcBorders>
            <w:shd w:val="clear" w:color="auto" w:fill="EFEFEF"/>
          </w:tcPr>
          <w:p w14:paraId="134CB3A5" w14:textId="77777777" w:rsidR="008940B3" w:rsidRPr="00DE4BD4" w:rsidRDefault="008940B3" w:rsidP="00E858EF">
            <w:pPr>
              <w:suppressAutoHyphens/>
              <w:jc w:val="center"/>
              <w:rPr>
                <w:sz w:val="16"/>
                <w:szCs w:val="20"/>
              </w:rPr>
            </w:pP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0947253" w14:textId="77777777" w:rsidR="008940B3" w:rsidRPr="00DE4BD4" w:rsidRDefault="008940B3" w:rsidP="00E858EF">
            <w:pPr>
              <w:suppressAutoHyphens/>
              <w:jc w:val="center"/>
              <w:rPr>
                <w:sz w:val="16"/>
                <w:szCs w:val="20"/>
              </w:rPr>
            </w:pPr>
          </w:p>
        </w:tc>
      </w:tr>
      <w:tr w:rsidR="008940B3" w:rsidRPr="00DE4BD4" w14:paraId="335138CA" w14:textId="77777777" w:rsidTr="00DE2BFC">
        <w:tblPrEx>
          <w:tblCellMar>
            <w:left w:w="0" w:type="dxa"/>
            <w:right w:w="0" w:type="dxa"/>
          </w:tblCellMar>
        </w:tblPrEx>
        <w:trPr>
          <w:trHeight w:val="17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7785EF3" w14:textId="77777777" w:rsidR="008940B3" w:rsidRPr="00DE4BD4" w:rsidRDefault="008940B3" w:rsidP="00E858EF">
            <w:pPr>
              <w:suppressAutoHyphens/>
              <w:jc w:val="left"/>
              <w:rPr>
                <w:sz w:val="16"/>
                <w:szCs w:val="20"/>
              </w:rPr>
            </w:pPr>
            <w:r w:rsidRPr="00DE4BD4">
              <w:rPr>
                <w:color w:val="000000"/>
                <w:sz w:val="16"/>
                <w:szCs w:val="20"/>
              </w:rPr>
              <w:t>MASTAMBAS</w:t>
            </w:r>
          </w:p>
        </w:tc>
        <w:tc>
          <w:tcPr>
            <w:tcW w:w="0" w:type="auto"/>
            <w:tcBorders>
              <w:top w:val="single" w:sz="6" w:space="0" w:color="000000"/>
              <w:left w:val="single" w:sz="6" w:space="0" w:color="000000"/>
              <w:bottom w:val="single" w:sz="6" w:space="0" w:color="000000"/>
              <w:right w:val="single" w:sz="6" w:space="0" w:color="000000"/>
            </w:tcBorders>
          </w:tcPr>
          <w:p w14:paraId="6FDF5F79" w14:textId="77777777" w:rsidR="008940B3" w:rsidRPr="00DE4BD4" w:rsidRDefault="008940B3" w:rsidP="00E858EF">
            <w:pPr>
              <w:suppressAutoHyphens/>
              <w:jc w:val="center"/>
              <w:rPr>
                <w:sz w:val="16"/>
                <w:szCs w:val="20"/>
              </w:rPr>
            </w:pPr>
            <w:r w:rsidRPr="00DE4BD4">
              <w:rPr>
                <w:rFonts w:ascii="Segoe UI Symbol" w:hAnsi="Segoe UI Symbol" w:cs="Segoe UI Symbol"/>
                <w:color w:val="000000"/>
                <w:sz w:val="16"/>
                <w:szCs w:val="20"/>
              </w:rPr>
              <w:t>✓</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75EA4EF" w14:textId="77777777" w:rsidR="008940B3" w:rsidRPr="00DE4BD4" w:rsidRDefault="008940B3" w:rsidP="00E858EF">
            <w:pPr>
              <w:suppressAutoHyphens/>
              <w:jc w:val="center"/>
              <w:rPr>
                <w:sz w:val="16"/>
                <w:szCs w:val="20"/>
              </w:rPr>
            </w:pPr>
          </w:p>
        </w:tc>
        <w:tc>
          <w:tcPr>
            <w:tcW w:w="6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4EA47F5" w14:textId="77777777" w:rsidR="008940B3" w:rsidRPr="00DE4BD4" w:rsidRDefault="008940B3" w:rsidP="00E858EF">
            <w:pPr>
              <w:suppressAutoHyphens/>
              <w:jc w:val="center"/>
              <w:rPr>
                <w:sz w:val="16"/>
                <w:szCs w:val="20"/>
              </w:rPr>
            </w:pPr>
          </w:p>
        </w:tc>
        <w:tc>
          <w:tcPr>
            <w:tcW w:w="597" w:type="dxa"/>
            <w:tcBorders>
              <w:top w:val="single" w:sz="6" w:space="0" w:color="000000"/>
              <w:left w:val="single" w:sz="6" w:space="0" w:color="000000"/>
              <w:bottom w:val="single" w:sz="6" w:space="0" w:color="000000"/>
              <w:right w:val="single" w:sz="6" w:space="0" w:color="000000"/>
            </w:tcBorders>
          </w:tcPr>
          <w:p w14:paraId="1AD74165" w14:textId="77777777" w:rsidR="008940B3" w:rsidRPr="00DE4BD4" w:rsidRDefault="008940B3" w:rsidP="00E858EF">
            <w:pPr>
              <w:suppressAutoHyphens/>
              <w:jc w:val="center"/>
              <w:rPr>
                <w:sz w:val="16"/>
                <w:szCs w:val="20"/>
              </w:rPr>
            </w:pPr>
          </w:p>
        </w:tc>
        <w:tc>
          <w:tcPr>
            <w:tcW w:w="0" w:type="auto"/>
            <w:tcBorders>
              <w:top w:val="single" w:sz="6" w:space="0" w:color="000000"/>
              <w:left w:val="single" w:sz="6" w:space="0" w:color="000000"/>
              <w:bottom w:val="single" w:sz="6" w:space="0" w:color="000000"/>
              <w:right w:val="single" w:sz="6" w:space="0" w:color="000000"/>
            </w:tcBorders>
          </w:tcPr>
          <w:p w14:paraId="4EF48CCB" w14:textId="77777777" w:rsidR="008940B3" w:rsidRPr="00DE4BD4" w:rsidRDefault="008940B3" w:rsidP="00E858EF">
            <w:pPr>
              <w:suppressAutoHyphens/>
              <w:jc w:val="center"/>
              <w:rPr>
                <w:sz w:val="16"/>
                <w:szCs w:val="20"/>
              </w:rPr>
            </w:pPr>
          </w:p>
        </w:tc>
        <w:tc>
          <w:tcPr>
            <w:tcW w:w="0" w:type="auto"/>
            <w:tcBorders>
              <w:top w:val="single" w:sz="6" w:space="0" w:color="000000"/>
              <w:left w:val="single" w:sz="6" w:space="0" w:color="000000"/>
              <w:bottom w:val="single" w:sz="6" w:space="0" w:color="000000"/>
              <w:right w:val="single" w:sz="6" w:space="0" w:color="000000"/>
            </w:tcBorders>
          </w:tcPr>
          <w:p w14:paraId="16CA1E11" w14:textId="77777777" w:rsidR="008940B3" w:rsidRPr="00DE4BD4" w:rsidRDefault="008940B3" w:rsidP="00E858EF">
            <w:pPr>
              <w:suppressAutoHyphens/>
              <w:jc w:val="center"/>
              <w:rPr>
                <w:sz w:val="16"/>
                <w:szCs w:val="20"/>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2F02F3E" w14:textId="77777777" w:rsidR="008940B3" w:rsidRPr="00DE4BD4" w:rsidRDefault="008940B3" w:rsidP="00E858EF">
            <w:pPr>
              <w:suppressAutoHyphens/>
              <w:jc w:val="center"/>
              <w:rPr>
                <w:sz w:val="16"/>
                <w:szCs w:val="20"/>
              </w:rPr>
            </w:pPr>
          </w:p>
        </w:tc>
      </w:tr>
    </w:tbl>
    <w:p w14:paraId="4DFC5A00"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16"/>
          <w:szCs w:val="16"/>
        </w:rPr>
      </w:pPr>
    </w:p>
    <w:p w14:paraId="0654EC46" w14:textId="77777777" w:rsidR="008940B3" w:rsidRPr="003B5C8D" w:rsidRDefault="008940B3" w:rsidP="00E858EF">
      <w:pPr>
        <w:pStyle w:val="Titolo3"/>
        <w:keepNext w:val="0"/>
        <w:keepLines w:val="0"/>
        <w:suppressAutoHyphens/>
      </w:pPr>
      <w:bookmarkStart w:id="243" w:name="_Toc517876491"/>
      <w:bookmarkStart w:id="244" w:name="_Toc389131166"/>
      <w:bookmarkStart w:id="245" w:name="_Toc517876492"/>
      <w:bookmarkStart w:id="246" w:name="_Toc519894622"/>
      <w:bookmarkEnd w:id="243"/>
      <w:r w:rsidRPr="003B5C8D">
        <w:t>Tombs</w:t>
      </w:r>
      <w:bookmarkEnd w:id="244"/>
      <w:bookmarkEnd w:id="245"/>
      <w:bookmarkEnd w:id="246"/>
    </w:p>
    <w:p w14:paraId="02F8E8A3" w14:textId="77777777" w:rsidR="008940B3" w:rsidRPr="003B5C8D" w:rsidRDefault="008940B3" w:rsidP="00DE4BD4">
      <w:r w:rsidRPr="003B5C8D">
        <w:t>The secure</w:t>
      </w:r>
      <w:r>
        <w:t xml:space="preserve"> tombs for the Knossos region number 53</w:t>
      </w:r>
      <w:r w:rsidRPr="003B5C8D">
        <w:t xml:space="preserve"> and constitute the sample </w:t>
      </w:r>
      <w:r>
        <w:t>in</w:t>
      </w:r>
      <w:r w:rsidRPr="003B5C8D">
        <w:t xml:space="preserve"> the following analysis.</w:t>
      </w:r>
    </w:p>
    <w:p w14:paraId="22017954" w14:textId="77777777" w:rsidR="008940B3" w:rsidRPr="00FB533C" w:rsidRDefault="008940B3" w:rsidP="00E858EF">
      <w:pPr>
        <w:pStyle w:val="Titolo4"/>
        <w:keepNext w:val="0"/>
        <w:keepLines w:val="0"/>
        <w:suppressAutoHyphens/>
        <w:ind w:left="864" w:hanging="864"/>
        <w:contextualSpacing w:val="0"/>
      </w:pPr>
      <w:bookmarkStart w:id="247" w:name="_Toc389131167"/>
      <w:bookmarkStart w:id="248" w:name="_Toc517876493"/>
      <w:r>
        <w:t>Typology</w:t>
      </w:r>
      <w:r w:rsidRPr="00751FFC">
        <w:t xml:space="preserve">: </w:t>
      </w:r>
      <w:r>
        <w:t>W</w:t>
      </w:r>
      <w:r w:rsidRPr="00751FFC">
        <w:t xml:space="preserve">hich tomb types </w:t>
      </w:r>
      <w:r>
        <w:t>are</w:t>
      </w:r>
      <w:r w:rsidRPr="00751FFC">
        <w:t xml:space="preserve"> associated </w:t>
      </w:r>
      <w:r>
        <w:t xml:space="preserve">with </w:t>
      </w:r>
      <w:r w:rsidRPr="00751FFC">
        <w:t>larnakes?</w:t>
      </w:r>
      <w:bookmarkEnd w:id="247"/>
      <w:bookmarkEnd w:id="248"/>
    </w:p>
    <w:p w14:paraId="2D984344" w14:textId="77777777" w:rsidR="008940B3" w:rsidRDefault="008940B3" w:rsidP="00DE4BD4">
      <w:r w:rsidRPr="003B5C8D">
        <w:t>The general presence of different tomb types within cemeteries</w:t>
      </w:r>
      <w:r>
        <w:t xml:space="preserve"> has</w:t>
      </w:r>
      <w:r w:rsidRPr="003B5C8D">
        <w:t xml:space="preserve"> already </w:t>
      </w:r>
      <w:r>
        <w:t>been noted</w:t>
      </w:r>
      <w:r w:rsidRPr="003B5C8D">
        <w:t xml:space="preserve"> in the analysis of burial location</w:t>
      </w:r>
      <w:r>
        <w:t>s.</w:t>
      </w:r>
      <w:r w:rsidRPr="003B5C8D">
        <w:t xml:space="preserve"> </w:t>
      </w:r>
      <w:r>
        <w:t>This presence</w:t>
      </w:r>
      <w:r w:rsidRPr="003B5C8D">
        <w:t xml:space="preserve"> is also visible if </w:t>
      </w:r>
      <w:r>
        <w:t xml:space="preserve">we </w:t>
      </w:r>
      <w:r w:rsidRPr="003B5C8D">
        <w:t>look specifically at the tombs with larnax burials</w:t>
      </w:r>
      <w:r>
        <w:t>, although on a lower scale</w:t>
      </w:r>
      <w:r w:rsidRPr="003B5C8D">
        <w:t>. Larnax burials in</w:t>
      </w:r>
      <w:r>
        <w:t xml:space="preserve"> the</w:t>
      </w:r>
      <w:r w:rsidRPr="003B5C8D">
        <w:t xml:space="preserve"> Knossos area </w:t>
      </w:r>
      <w:r>
        <w:t>are</w:t>
      </w:r>
      <w:r w:rsidRPr="003B5C8D">
        <w:t xml:space="preserve"> associated w</w:t>
      </w:r>
      <w:r>
        <w:t>ith four different tomb typ</w:t>
      </w:r>
      <w:r w:rsidRPr="003B5C8D">
        <w:t xml:space="preserve">es. </w:t>
      </w:r>
      <w:r>
        <w:t>However, chamber tombs are by far the most common type, and these occur in all the cemeteries with larnax burials, except for Sellopoulo.</w:t>
      </w:r>
    </w:p>
    <w:p w14:paraId="45595794" w14:textId="77777777" w:rsidR="008940B3" w:rsidRPr="00FB533C" w:rsidRDefault="008940B3" w:rsidP="00E858EF">
      <w:pPr>
        <w:suppressAutoHyphens/>
        <w:rPr>
          <w:sz w:val="22"/>
          <w:szCs w:val="22"/>
        </w:rPr>
      </w:pPr>
    </w:p>
    <w:p w14:paraId="0F81945F"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6160DB94" wp14:editId="4DF42215">
            <wp:extent cx="4680000" cy="2520000"/>
            <wp:effectExtent l="0" t="0" r="19050" b="20320"/>
            <wp:docPr id="68" name="Grafico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Del="00FA2C3F">
        <w:rPr>
          <w:noProof/>
        </w:rPr>
        <w:t xml:space="preserve"> </w:t>
      </w:r>
    </w:p>
    <w:p w14:paraId="7925BE8D" w14:textId="77777777" w:rsidR="008940B3" w:rsidRDefault="008940B3" w:rsidP="00E858EF">
      <w:pPr>
        <w:pStyle w:val="Didascalia"/>
        <w:suppressAutoHyphens/>
      </w:pPr>
      <w:bookmarkStart w:id="249" w:name="_Toc520212306"/>
      <w:r>
        <w:t>Figure 3-24. Tomb types associated with larnax burials in the Knossos area</w:t>
      </w:r>
      <w:bookmarkEnd w:id="249"/>
      <w:r w:rsidDel="004D06C8">
        <w:t xml:space="preserve"> </w:t>
      </w:r>
    </w:p>
    <w:p w14:paraId="380C1059"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2F197401" w14:textId="5704EEA6" w:rsidR="008940B3" w:rsidRPr="003B5C8D" w:rsidRDefault="008940B3" w:rsidP="00E858EF">
      <w:pPr>
        <w:pStyle w:val="Testofumetto"/>
        <w:suppressAutoHyphens/>
      </w:pPr>
      <w:bookmarkStart w:id="250" w:name="_Toc520212522"/>
      <w:r>
        <w:t>Table 3-33. Tomb types associated with larnax by cemetery</w:t>
      </w:r>
      <w:r w:rsidR="00715077">
        <w:t>,</w:t>
      </w:r>
      <w:r>
        <w:t xml:space="preserve"> Knossos area</w:t>
      </w:r>
      <w:bookmarkEnd w:id="250"/>
    </w:p>
    <w:tbl>
      <w:tblPr>
        <w:tblW w:w="8439" w:type="dxa"/>
        <w:tblCellMar>
          <w:left w:w="0" w:type="dxa"/>
          <w:right w:w="0" w:type="dxa"/>
        </w:tblCellMar>
        <w:tblLook w:val="04A0" w:firstRow="1" w:lastRow="0" w:firstColumn="1" w:lastColumn="0" w:noHBand="0" w:noVBand="1"/>
      </w:tblPr>
      <w:tblGrid>
        <w:gridCol w:w="1568"/>
        <w:gridCol w:w="665"/>
        <w:gridCol w:w="665"/>
        <w:gridCol w:w="637"/>
        <w:gridCol w:w="638"/>
        <w:gridCol w:w="654"/>
        <w:gridCol w:w="10"/>
        <w:gridCol w:w="645"/>
        <w:gridCol w:w="547"/>
        <w:gridCol w:w="650"/>
        <w:gridCol w:w="7"/>
        <w:gridCol w:w="604"/>
        <w:gridCol w:w="7"/>
        <w:gridCol w:w="433"/>
        <w:gridCol w:w="709"/>
      </w:tblGrid>
      <w:tr w:rsidR="008940B3" w:rsidRPr="003B5C8D" w14:paraId="021D5065" w14:textId="77777777" w:rsidTr="00DE2BFC">
        <w:trPr>
          <w:trHeight w:val="405"/>
        </w:trPr>
        <w:tc>
          <w:tcPr>
            <w:tcW w:w="156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7E84142A" w14:textId="77777777" w:rsidR="008940B3" w:rsidRPr="00F36FCE" w:rsidRDefault="008940B3" w:rsidP="00E858EF">
            <w:pPr>
              <w:suppressAutoHyphens/>
              <w:rPr>
                <w:b/>
                <w:sz w:val="16"/>
                <w:szCs w:val="16"/>
              </w:rPr>
            </w:pPr>
            <w:r w:rsidRPr="00F36FCE">
              <w:rPr>
                <w:b/>
                <w:color w:val="000000"/>
                <w:sz w:val="16"/>
                <w:szCs w:val="16"/>
              </w:rPr>
              <w:t>CEMETERY</w:t>
            </w:r>
          </w:p>
        </w:tc>
        <w:tc>
          <w:tcPr>
            <w:tcW w:w="1330" w:type="dxa"/>
            <w:gridSpan w:val="2"/>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2C068C3D" w14:textId="77777777" w:rsidR="008940B3" w:rsidRPr="0000107D" w:rsidRDefault="008940B3" w:rsidP="00E858EF">
            <w:pPr>
              <w:suppressAutoHyphens/>
              <w:jc w:val="center"/>
              <w:rPr>
                <w:b/>
                <w:sz w:val="16"/>
                <w:szCs w:val="16"/>
              </w:rPr>
            </w:pPr>
            <w:r w:rsidRPr="0000107D">
              <w:rPr>
                <w:b/>
                <w:color w:val="000000"/>
                <w:sz w:val="16"/>
                <w:szCs w:val="16"/>
              </w:rPr>
              <w:t>CHAMBER TOMBS</w:t>
            </w:r>
          </w:p>
        </w:tc>
        <w:tc>
          <w:tcPr>
            <w:tcW w:w="1275" w:type="dxa"/>
            <w:gridSpan w:val="2"/>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23ED91A" w14:textId="77777777" w:rsidR="008940B3" w:rsidRPr="0000107D" w:rsidRDefault="008940B3" w:rsidP="00E858EF">
            <w:pPr>
              <w:suppressAutoHyphens/>
              <w:jc w:val="center"/>
              <w:rPr>
                <w:b/>
                <w:sz w:val="16"/>
                <w:szCs w:val="16"/>
              </w:rPr>
            </w:pPr>
            <w:r w:rsidRPr="0000107D">
              <w:rPr>
                <w:b/>
                <w:color w:val="000000"/>
                <w:sz w:val="16"/>
                <w:szCs w:val="16"/>
              </w:rPr>
              <w:t>SHAFT GRAVES</w:t>
            </w:r>
          </w:p>
        </w:tc>
        <w:tc>
          <w:tcPr>
            <w:tcW w:w="1309" w:type="dxa"/>
            <w:gridSpan w:val="3"/>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01B853A" w14:textId="5E2D138F" w:rsidR="008940B3" w:rsidRPr="0000107D" w:rsidRDefault="008940B3" w:rsidP="00E858EF">
            <w:pPr>
              <w:suppressAutoHyphens/>
              <w:jc w:val="center"/>
              <w:rPr>
                <w:b/>
                <w:color w:val="000000"/>
                <w:sz w:val="16"/>
                <w:szCs w:val="16"/>
              </w:rPr>
            </w:pPr>
            <w:r w:rsidRPr="0000107D">
              <w:rPr>
                <w:b/>
                <w:color w:val="000000"/>
                <w:sz w:val="16"/>
                <w:szCs w:val="16"/>
              </w:rPr>
              <w:t>CORBEL</w:t>
            </w:r>
          </w:p>
          <w:p w14:paraId="0AD2C030" w14:textId="77777777" w:rsidR="008940B3" w:rsidRPr="0000107D" w:rsidRDefault="008940B3" w:rsidP="00E858EF">
            <w:pPr>
              <w:suppressAutoHyphens/>
              <w:jc w:val="center"/>
              <w:rPr>
                <w:b/>
                <w:sz w:val="16"/>
                <w:szCs w:val="16"/>
              </w:rPr>
            </w:pPr>
            <w:r w:rsidRPr="0000107D">
              <w:rPr>
                <w:b/>
                <w:color w:val="000000"/>
                <w:sz w:val="16"/>
                <w:szCs w:val="16"/>
              </w:rPr>
              <w:t>VAULTED</w:t>
            </w:r>
          </w:p>
        </w:tc>
        <w:tc>
          <w:tcPr>
            <w:tcW w:w="1204" w:type="dxa"/>
            <w:gridSpan w:val="3"/>
            <w:tcBorders>
              <w:top w:val="single" w:sz="6" w:space="0" w:color="000000"/>
              <w:left w:val="single" w:sz="6" w:space="0" w:color="000000"/>
              <w:bottom w:val="single" w:sz="6" w:space="0" w:color="000000"/>
              <w:right w:val="single" w:sz="6" w:space="0" w:color="000000"/>
            </w:tcBorders>
          </w:tcPr>
          <w:p w14:paraId="5223BB2B" w14:textId="77777777" w:rsidR="008940B3" w:rsidRPr="0000107D" w:rsidRDefault="008940B3" w:rsidP="00E858EF">
            <w:pPr>
              <w:suppressAutoHyphens/>
              <w:jc w:val="center"/>
              <w:rPr>
                <w:b/>
                <w:color w:val="000000"/>
                <w:sz w:val="16"/>
                <w:szCs w:val="16"/>
              </w:rPr>
            </w:pPr>
            <w:r>
              <w:rPr>
                <w:b/>
                <w:color w:val="000000"/>
                <w:sz w:val="16"/>
                <w:szCs w:val="16"/>
              </w:rPr>
              <w:t>PIT-CAVES</w:t>
            </w:r>
          </w:p>
        </w:tc>
        <w:tc>
          <w:tcPr>
            <w:tcW w:w="1044" w:type="dxa"/>
            <w:gridSpan w:val="3"/>
            <w:tcBorders>
              <w:top w:val="single" w:sz="6" w:space="0" w:color="000000"/>
              <w:left w:val="single" w:sz="6" w:space="0" w:color="000000"/>
              <w:bottom w:val="single" w:sz="6" w:space="0" w:color="000000"/>
              <w:right w:val="single" w:sz="6" w:space="0" w:color="000000"/>
            </w:tcBorders>
          </w:tcPr>
          <w:p w14:paraId="3FD03045" w14:textId="77777777" w:rsidR="008940B3" w:rsidRPr="0000107D" w:rsidRDefault="008940B3" w:rsidP="00E858EF">
            <w:pPr>
              <w:suppressAutoHyphens/>
              <w:jc w:val="center"/>
              <w:rPr>
                <w:b/>
                <w:color w:val="000000"/>
                <w:sz w:val="16"/>
                <w:szCs w:val="16"/>
              </w:rPr>
            </w:pPr>
            <w:r>
              <w:rPr>
                <w:b/>
                <w:color w:val="000000"/>
                <w:sz w:val="16"/>
                <w:szCs w:val="16"/>
              </w:rPr>
              <w:t>N/A</w:t>
            </w:r>
          </w:p>
        </w:tc>
        <w:tc>
          <w:tcPr>
            <w:tcW w:w="709" w:type="dxa"/>
            <w:tcBorders>
              <w:top w:val="single" w:sz="6" w:space="0" w:color="000000"/>
              <w:left w:val="single" w:sz="6" w:space="0" w:color="000000"/>
              <w:bottom w:val="single" w:sz="6" w:space="0" w:color="000000"/>
              <w:right w:val="single" w:sz="6" w:space="0" w:color="000000"/>
            </w:tcBorders>
          </w:tcPr>
          <w:p w14:paraId="30D8A421" w14:textId="77777777" w:rsidR="008940B3" w:rsidRPr="0000107D" w:rsidRDefault="008940B3" w:rsidP="00E858EF">
            <w:pPr>
              <w:suppressAutoHyphens/>
              <w:jc w:val="center"/>
              <w:rPr>
                <w:b/>
                <w:color w:val="000000"/>
                <w:sz w:val="16"/>
                <w:szCs w:val="16"/>
              </w:rPr>
            </w:pPr>
            <w:r w:rsidRPr="0000107D">
              <w:rPr>
                <w:b/>
                <w:color w:val="000000"/>
                <w:sz w:val="16"/>
                <w:szCs w:val="16"/>
              </w:rPr>
              <w:t>TOT</w:t>
            </w:r>
            <w:r>
              <w:rPr>
                <w:b/>
                <w:color w:val="000000"/>
                <w:sz w:val="16"/>
                <w:szCs w:val="16"/>
              </w:rPr>
              <w:t>AL</w:t>
            </w:r>
          </w:p>
        </w:tc>
      </w:tr>
      <w:tr w:rsidR="008940B3" w:rsidRPr="003B5C8D" w14:paraId="0700A063" w14:textId="77777777" w:rsidTr="00DE2BFC">
        <w:trPr>
          <w:trHeight w:val="315"/>
        </w:trPr>
        <w:tc>
          <w:tcPr>
            <w:tcW w:w="156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39A1F454" w14:textId="77777777" w:rsidR="008940B3" w:rsidRPr="0000107D" w:rsidRDefault="008940B3" w:rsidP="00E858EF">
            <w:pPr>
              <w:suppressAutoHyphens/>
              <w:rPr>
                <w:sz w:val="16"/>
                <w:szCs w:val="16"/>
              </w:rPr>
            </w:pPr>
            <w:r w:rsidRPr="0000107D">
              <w:rPr>
                <w:color w:val="000000"/>
                <w:sz w:val="16"/>
                <w:szCs w:val="16"/>
              </w:rPr>
              <w:t>UPPER GYPSADES</w:t>
            </w:r>
          </w:p>
        </w:tc>
        <w:tc>
          <w:tcPr>
            <w:tcW w:w="66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52718DB" w14:textId="025435B0" w:rsidR="008940B3" w:rsidRPr="003B5C8D" w:rsidRDefault="008940B3" w:rsidP="00E858EF">
            <w:pPr>
              <w:suppressAutoHyphens/>
              <w:jc w:val="center"/>
              <w:rPr>
                <w:sz w:val="16"/>
                <w:szCs w:val="16"/>
              </w:rPr>
            </w:pPr>
            <w:r w:rsidRPr="003B5C8D">
              <w:rPr>
                <w:color w:val="000000"/>
                <w:sz w:val="16"/>
                <w:szCs w:val="16"/>
              </w:rPr>
              <w:t>85%</w:t>
            </w:r>
          </w:p>
        </w:tc>
        <w:tc>
          <w:tcPr>
            <w:tcW w:w="665" w:type="dxa"/>
            <w:tcBorders>
              <w:top w:val="single" w:sz="6" w:space="0" w:color="000000"/>
              <w:left w:val="single" w:sz="6" w:space="0" w:color="000000"/>
              <w:bottom w:val="single" w:sz="6" w:space="0" w:color="000000"/>
              <w:right w:val="single" w:sz="6" w:space="0" w:color="000000"/>
            </w:tcBorders>
            <w:vAlign w:val="center"/>
          </w:tcPr>
          <w:p w14:paraId="17F147FA" w14:textId="77777777" w:rsidR="008940B3" w:rsidRPr="003B5C8D" w:rsidRDefault="008940B3" w:rsidP="00E858EF">
            <w:pPr>
              <w:suppressAutoHyphens/>
              <w:jc w:val="center"/>
              <w:rPr>
                <w:sz w:val="16"/>
                <w:szCs w:val="16"/>
              </w:rPr>
            </w:pPr>
            <w:r w:rsidRPr="003B5C8D">
              <w:rPr>
                <w:sz w:val="16"/>
                <w:szCs w:val="16"/>
              </w:rPr>
              <w:t>11</w:t>
            </w:r>
          </w:p>
        </w:tc>
        <w:tc>
          <w:tcPr>
            <w:tcW w:w="63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E630110" w14:textId="739C4127" w:rsidR="008940B3" w:rsidRPr="003B5C8D" w:rsidRDefault="008940B3" w:rsidP="00E858EF">
            <w:pPr>
              <w:suppressAutoHyphens/>
              <w:jc w:val="center"/>
              <w:rPr>
                <w:sz w:val="16"/>
                <w:szCs w:val="16"/>
              </w:rPr>
            </w:pPr>
            <w:r w:rsidRPr="003B5C8D">
              <w:rPr>
                <w:color w:val="000000"/>
                <w:sz w:val="16"/>
                <w:szCs w:val="16"/>
              </w:rPr>
              <w:t>15%</w:t>
            </w:r>
          </w:p>
        </w:tc>
        <w:tc>
          <w:tcPr>
            <w:tcW w:w="638" w:type="dxa"/>
            <w:tcBorders>
              <w:top w:val="single" w:sz="6" w:space="0" w:color="000000"/>
              <w:left w:val="single" w:sz="6" w:space="0" w:color="000000"/>
              <w:bottom w:val="single" w:sz="6" w:space="0" w:color="000000"/>
              <w:right w:val="single" w:sz="6" w:space="0" w:color="000000"/>
            </w:tcBorders>
            <w:vAlign w:val="center"/>
          </w:tcPr>
          <w:p w14:paraId="572C81FA" w14:textId="77777777" w:rsidR="008940B3" w:rsidRPr="003B5C8D" w:rsidRDefault="008940B3" w:rsidP="00E858EF">
            <w:pPr>
              <w:suppressAutoHyphens/>
              <w:jc w:val="center"/>
              <w:rPr>
                <w:sz w:val="16"/>
                <w:szCs w:val="16"/>
              </w:rPr>
            </w:pPr>
            <w:r w:rsidRPr="003B5C8D">
              <w:rPr>
                <w:sz w:val="16"/>
                <w:szCs w:val="16"/>
              </w:rPr>
              <w:t>2</w:t>
            </w:r>
          </w:p>
        </w:tc>
        <w:tc>
          <w:tcPr>
            <w:tcW w:w="1309" w:type="dxa"/>
            <w:gridSpan w:val="3"/>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61833261" w14:textId="4C7C796B" w:rsidR="008940B3" w:rsidRPr="003B5C8D" w:rsidRDefault="008940B3" w:rsidP="00E858EF">
            <w:pPr>
              <w:suppressAutoHyphens/>
              <w:jc w:val="center"/>
              <w:rPr>
                <w:sz w:val="16"/>
                <w:szCs w:val="16"/>
              </w:rPr>
            </w:pPr>
            <w:r w:rsidRPr="003B5C8D">
              <w:rPr>
                <w:color w:val="000000"/>
                <w:sz w:val="16"/>
                <w:szCs w:val="16"/>
              </w:rPr>
              <w:t>-</w:t>
            </w:r>
          </w:p>
        </w:tc>
        <w:tc>
          <w:tcPr>
            <w:tcW w:w="1204" w:type="dxa"/>
            <w:gridSpan w:val="3"/>
            <w:tcBorders>
              <w:top w:val="single" w:sz="6" w:space="0" w:color="000000"/>
              <w:left w:val="single" w:sz="6" w:space="0" w:color="000000"/>
              <w:bottom w:val="single" w:sz="6" w:space="0" w:color="000000"/>
              <w:right w:val="single" w:sz="6" w:space="0" w:color="000000"/>
            </w:tcBorders>
          </w:tcPr>
          <w:p w14:paraId="013095EC" w14:textId="77777777" w:rsidR="008940B3" w:rsidRPr="003B5C8D" w:rsidRDefault="008940B3" w:rsidP="00E858EF">
            <w:pPr>
              <w:suppressAutoHyphens/>
              <w:jc w:val="center"/>
              <w:rPr>
                <w:color w:val="000000"/>
                <w:sz w:val="16"/>
                <w:szCs w:val="16"/>
              </w:rPr>
            </w:pPr>
          </w:p>
        </w:tc>
        <w:tc>
          <w:tcPr>
            <w:tcW w:w="1044" w:type="dxa"/>
            <w:gridSpan w:val="3"/>
            <w:tcBorders>
              <w:top w:val="single" w:sz="6" w:space="0" w:color="000000"/>
              <w:left w:val="single" w:sz="6" w:space="0" w:color="000000"/>
              <w:bottom w:val="single" w:sz="6" w:space="0" w:color="000000"/>
              <w:right w:val="single" w:sz="6" w:space="0" w:color="000000"/>
            </w:tcBorders>
          </w:tcPr>
          <w:p w14:paraId="3FF43AAD" w14:textId="77777777" w:rsidR="008940B3" w:rsidRPr="003B5C8D" w:rsidRDefault="008940B3" w:rsidP="00E858EF">
            <w:pPr>
              <w:suppressAutoHyphens/>
              <w:jc w:val="center"/>
              <w:rPr>
                <w:color w:val="000000"/>
                <w:sz w:val="16"/>
                <w:szCs w:val="16"/>
              </w:rPr>
            </w:pPr>
          </w:p>
        </w:tc>
        <w:tc>
          <w:tcPr>
            <w:tcW w:w="709" w:type="dxa"/>
            <w:tcBorders>
              <w:top w:val="single" w:sz="6" w:space="0" w:color="000000"/>
              <w:left w:val="single" w:sz="6" w:space="0" w:color="000000"/>
              <w:bottom w:val="single" w:sz="6" w:space="0" w:color="000000"/>
              <w:right w:val="single" w:sz="6" w:space="0" w:color="000000"/>
            </w:tcBorders>
          </w:tcPr>
          <w:p w14:paraId="177BE4AE" w14:textId="77777777" w:rsidR="008940B3" w:rsidRPr="003B5C8D" w:rsidRDefault="008940B3" w:rsidP="00E858EF">
            <w:pPr>
              <w:suppressAutoHyphens/>
              <w:jc w:val="center"/>
              <w:rPr>
                <w:color w:val="000000"/>
                <w:sz w:val="16"/>
                <w:szCs w:val="16"/>
              </w:rPr>
            </w:pPr>
            <w:r w:rsidRPr="003B5C8D">
              <w:rPr>
                <w:color w:val="000000"/>
                <w:sz w:val="16"/>
                <w:szCs w:val="16"/>
              </w:rPr>
              <w:t>13</w:t>
            </w:r>
          </w:p>
        </w:tc>
      </w:tr>
      <w:tr w:rsidR="008940B3" w:rsidRPr="003B5C8D" w14:paraId="1CA10089" w14:textId="77777777" w:rsidTr="00DE2BFC">
        <w:trPr>
          <w:trHeight w:val="315"/>
        </w:trPr>
        <w:tc>
          <w:tcPr>
            <w:tcW w:w="156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3E1599C8" w14:textId="77777777" w:rsidR="008940B3" w:rsidRPr="0000107D" w:rsidRDefault="008940B3" w:rsidP="00E858EF">
            <w:pPr>
              <w:suppressAutoHyphens/>
              <w:rPr>
                <w:sz w:val="16"/>
                <w:szCs w:val="16"/>
              </w:rPr>
            </w:pPr>
            <w:r w:rsidRPr="0000107D">
              <w:rPr>
                <w:color w:val="000000"/>
                <w:sz w:val="16"/>
                <w:szCs w:val="16"/>
              </w:rPr>
              <w:t>MAVRO SPELIO</w:t>
            </w:r>
          </w:p>
        </w:tc>
        <w:tc>
          <w:tcPr>
            <w:tcW w:w="66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5DB960C0" w14:textId="5E4ADF34" w:rsidR="008940B3" w:rsidRPr="003B5C8D" w:rsidRDefault="008940B3" w:rsidP="00E858EF">
            <w:pPr>
              <w:suppressAutoHyphens/>
              <w:jc w:val="center"/>
              <w:rPr>
                <w:sz w:val="16"/>
                <w:szCs w:val="16"/>
              </w:rPr>
            </w:pPr>
            <w:r w:rsidRPr="003B5C8D">
              <w:rPr>
                <w:color w:val="000000"/>
                <w:sz w:val="16"/>
                <w:szCs w:val="16"/>
              </w:rPr>
              <w:t>75%</w:t>
            </w:r>
          </w:p>
        </w:tc>
        <w:tc>
          <w:tcPr>
            <w:tcW w:w="665"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2BC19073" w14:textId="7961A5DA" w:rsidR="008940B3" w:rsidRPr="003B5C8D" w:rsidRDefault="008940B3" w:rsidP="00E858EF">
            <w:pPr>
              <w:suppressAutoHyphens/>
              <w:jc w:val="center"/>
              <w:rPr>
                <w:sz w:val="16"/>
                <w:szCs w:val="16"/>
              </w:rPr>
            </w:pPr>
            <w:r w:rsidRPr="003B5C8D">
              <w:rPr>
                <w:sz w:val="16"/>
                <w:szCs w:val="16"/>
              </w:rPr>
              <w:t>9</w:t>
            </w:r>
          </w:p>
        </w:tc>
        <w:tc>
          <w:tcPr>
            <w:tcW w:w="637"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3BCF586E" w14:textId="3224A5D7" w:rsidR="008940B3" w:rsidRPr="003B5C8D" w:rsidRDefault="008940B3" w:rsidP="00E858EF">
            <w:pPr>
              <w:suppressAutoHyphens/>
              <w:jc w:val="center"/>
              <w:rPr>
                <w:sz w:val="16"/>
                <w:szCs w:val="16"/>
              </w:rPr>
            </w:pPr>
            <w:r w:rsidRPr="003B5C8D">
              <w:rPr>
                <w:color w:val="000000"/>
                <w:sz w:val="16"/>
                <w:szCs w:val="16"/>
              </w:rPr>
              <w:t>25%</w:t>
            </w:r>
          </w:p>
        </w:tc>
        <w:tc>
          <w:tcPr>
            <w:tcW w:w="638"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1C8046D6" w14:textId="77777777" w:rsidR="008940B3" w:rsidRPr="003B5C8D" w:rsidRDefault="008940B3" w:rsidP="00E858EF">
            <w:pPr>
              <w:suppressAutoHyphens/>
              <w:jc w:val="center"/>
              <w:rPr>
                <w:sz w:val="16"/>
                <w:szCs w:val="16"/>
              </w:rPr>
            </w:pPr>
            <w:r w:rsidRPr="003B5C8D">
              <w:rPr>
                <w:sz w:val="16"/>
                <w:szCs w:val="16"/>
              </w:rPr>
              <w:t>3</w:t>
            </w:r>
          </w:p>
        </w:tc>
        <w:tc>
          <w:tcPr>
            <w:tcW w:w="1309" w:type="dxa"/>
            <w:gridSpan w:val="3"/>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002A2F2D" w14:textId="77777777" w:rsidR="008940B3" w:rsidRPr="003B5C8D" w:rsidRDefault="008940B3" w:rsidP="00E858EF">
            <w:pPr>
              <w:suppressAutoHyphens/>
              <w:jc w:val="center"/>
              <w:rPr>
                <w:sz w:val="16"/>
                <w:szCs w:val="16"/>
              </w:rPr>
            </w:pPr>
          </w:p>
        </w:tc>
        <w:tc>
          <w:tcPr>
            <w:tcW w:w="1204" w:type="dxa"/>
            <w:gridSpan w:val="3"/>
            <w:tcBorders>
              <w:top w:val="single" w:sz="6" w:space="0" w:color="000000"/>
              <w:left w:val="single" w:sz="6" w:space="0" w:color="000000"/>
              <w:bottom w:val="single" w:sz="6" w:space="0" w:color="000000"/>
              <w:right w:val="single" w:sz="6" w:space="0" w:color="000000"/>
            </w:tcBorders>
            <w:shd w:val="clear" w:color="auto" w:fill="EFEFEF"/>
          </w:tcPr>
          <w:p w14:paraId="6D6083FF" w14:textId="77777777" w:rsidR="008940B3" w:rsidRPr="003B5C8D" w:rsidRDefault="008940B3" w:rsidP="00E858EF">
            <w:pPr>
              <w:suppressAutoHyphens/>
              <w:jc w:val="center"/>
              <w:rPr>
                <w:sz w:val="16"/>
                <w:szCs w:val="16"/>
              </w:rPr>
            </w:pPr>
          </w:p>
        </w:tc>
        <w:tc>
          <w:tcPr>
            <w:tcW w:w="1044" w:type="dxa"/>
            <w:gridSpan w:val="3"/>
            <w:tcBorders>
              <w:top w:val="single" w:sz="6" w:space="0" w:color="000000"/>
              <w:left w:val="single" w:sz="6" w:space="0" w:color="000000"/>
              <w:bottom w:val="single" w:sz="6" w:space="0" w:color="000000"/>
              <w:right w:val="single" w:sz="6" w:space="0" w:color="000000"/>
            </w:tcBorders>
            <w:shd w:val="clear" w:color="auto" w:fill="EFEFEF"/>
          </w:tcPr>
          <w:p w14:paraId="2AB4C5C0" w14:textId="77777777" w:rsidR="008940B3" w:rsidRPr="003B5C8D" w:rsidRDefault="008940B3" w:rsidP="00E858EF">
            <w:pPr>
              <w:suppressAutoHyphens/>
              <w:jc w:val="center"/>
              <w:rPr>
                <w:sz w:val="16"/>
                <w:szCs w:val="16"/>
              </w:rPr>
            </w:pPr>
          </w:p>
        </w:tc>
        <w:tc>
          <w:tcPr>
            <w:tcW w:w="709" w:type="dxa"/>
            <w:tcBorders>
              <w:top w:val="single" w:sz="6" w:space="0" w:color="000000"/>
              <w:left w:val="single" w:sz="6" w:space="0" w:color="000000"/>
              <w:bottom w:val="single" w:sz="6" w:space="0" w:color="000000"/>
              <w:right w:val="single" w:sz="6" w:space="0" w:color="000000"/>
            </w:tcBorders>
            <w:shd w:val="clear" w:color="auto" w:fill="EFEFEF"/>
          </w:tcPr>
          <w:p w14:paraId="74131F34" w14:textId="77777777" w:rsidR="008940B3" w:rsidRPr="003B5C8D" w:rsidRDefault="008940B3" w:rsidP="00E858EF">
            <w:pPr>
              <w:suppressAutoHyphens/>
              <w:jc w:val="center"/>
              <w:rPr>
                <w:sz w:val="16"/>
                <w:szCs w:val="16"/>
              </w:rPr>
            </w:pPr>
            <w:r w:rsidRPr="003B5C8D">
              <w:rPr>
                <w:sz w:val="16"/>
                <w:szCs w:val="16"/>
              </w:rPr>
              <w:t>12</w:t>
            </w:r>
          </w:p>
        </w:tc>
      </w:tr>
      <w:tr w:rsidR="008940B3" w:rsidRPr="003B5C8D" w14:paraId="11BC8599" w14:textId="77777777" w:rsidTr="00DE2BFC">
        <w:trPr>
          <w:trHeight w:val="315"/>
        </w:trPr>
        <w:tc>
          <w:tcPr>
            <w:tcW w:w="156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679E37F2" w14:textId="77777777" w:rsidR="008940B3" w:rsidRPr="0000107D" w:rsidRDefault="008940B3" w:rsidP="00E858EF">
            <w:pPr>
              <w:suppressAutoHyphens/>
              <w:rPr>
                <w:sz w:val="16"/>
                <w:szCs w:val="16"/>
              </w:rPr>
            </w:pPr>
            <w:r w:rsidRPr="0000107D">
              <w:rPr>
                <w:color w:val="000000"/>
                <w:sz w:val="16"/>
                <w:szCs w:val="16"/>
              </w:rPr>
              <w:t>KATSAMBAS</w:t>
            </w:r>
          </w:p>
        </w:tc>
        <w:tc>
          <w:tcPr>
            <w:tcW w:w="66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3BD53740" w14:textId="42FAF682" w:rsidR="008940B3" w:rsidRPr="003B5C8D" w:rsidRDefault="008940B3" w:rsidP="00E858EF">
            <w:pPr>
              <w:suppressAutoHyphens/>
              <w:jc w:val="center"/>
              <w:rPr>
                <w:sz w:val="16"/>
                <w:szCs w:val="16"/>
              </w:rPr>
            </w:pPr>
            <w:r>
              <w:rPr>
                <w:color w:val="000000"/>
                <w:sz w:val="16"/>
                <w:szCs w:val="16"/>
              </w:rPr>
              <w:t>50</w:t>
            </w:r>
            <w:r w:rsidRPr="003B5C8D">
              <w:rPr>
                <w:color w:val="000000"/>
                <w:sz w:val="16"/>
                <w:szCs w:val="16"/>
              </w:rPr>
              <w:t>%</w:t>
            </w:r>
          </w:p>
        </w:tc>
        <w:tc>
          <w:tcPr>
            <w:tcW w:w="665" w:type="dxa"/>
            <w:tcBorders>
              <w:top w:val="single" w:sz="6" w:space="0" w:color="000000"/>
              <w:left w:val="single" w:sz="6" w:space="0" w:color="000000"/>
              <w:bottom w:val="single" w:sz="6" w:space="0" w:color="000000"/>
              <w:right w:val="single" w:sz="6" w:space="0" w:color="000000"/>
            </w:tcBorders>
            <w:vAlign w:val="center"/>
          </w:tcPr>
          <w:p w14:paraId="7DB56125" w14:textId="77777777" w:rsidR="008940B3" w:rsidRPr="003B5C8D" w:rsidRDefault="008940B3" w:rsidP="00E858EF">
            <w:pPr>
              <w:suppressAutoHyphens/>
              <w:jc w:val="center"/>
              <w:rPr>
                <w:sz w:val="16"/>
                <w:szCs w:val="16"/>
              </w:rPr>
            </w:pPr>
            <w:r>
              <w:rPr>
                <w:sz w:val="16"/>
                <w:szCs w:val="16"/>
              </w:rPr>
              <w:t>1</w:t>
            </w:r>
          </w:p>
        </w:tc>
        <w:tc>
          <w:tcPr>
            <w:tcW w:w="1275" w:type="dxa"/>
            <w:gridSpan w:val="2"/>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325CD2E9" w14:textId="30CFA50E" w:rsidR="008940B3" w:rsidRPr="003B5C8D" w:rsidRDefault="008940B3" w:rsidP="00E858EF">
            <w:pPr>
              <w:suppressAutoHyphens/>
              <w:jc w:val="center"/>
              <w:rPr>
                <w:sz w:val="16"/>
                <w:szCs w:val="16"/>
              </w:rPr>
            </w:pPr>
            <w:r w:rsidRPr="003B5C8D">
              <w:rPr>
                <w:color w:val="000000"/>
                <w:sz w:val="16"/>
                <w:szCs w:val="16"/>
              </w:rPr>
              <w:t>-</w:t>
            </w:r>
          </w:p>
        </w:tc>
        <w:tc>
          <w:tcPr>
            <w:tcW w:w="1309" w:type="dxa"/>
            <w:gridSpan w:val="3"/>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2E1401E6" w14:textId="28FBDD09" w:rsidR="008940B3" w:rsidRPr="003B5C8D" w:rsidRDefault="008940B3" w:rsidP="00E858EF">
            <w:pPr>
              <w:suppressAutoHyphens/>
              <w:jc w:val="center"/>
              <w:rPr>
                <w:sz w:val="16"/>
                <w:szCs w:val="16"/>
              </w:rPr>
            </w:pPr>
            <w:r w:rsidRPr="003B5C8D">
              <w:rPr>
                <w:color w:val="000000"/>
                <w:sz w:val="16"/>
                <w:szCs w:val="16"/>
              </w:rPr>
              <w:t>-</w:t>
            </w:r>
          </w:p>
        </w:tc>
        <w:tc>
          <w:tcPr>
            <w:tcW w:w="1204" w:type="dxa"/>
            <w:gridSpan w:val="3"/>
            <w:tcBorders>
              <w:top w:val="single" w:sz="6" w:space="0" w:color="000000"/>
              <w:left w:val="single" w:sz="6" w:space="0" w:color="000000"/>
              <w:bottom w:val="single" w:sz="6" w:space="0" w:color="000000"/>
              <w:right w:val="single" w:sz="6" w:space="0" w:color="000000"/>
            </w:tcBorders>
          </w:tcPr>
          <w:p w14:paraId="50999272" w14:textId="77777777" w:rsidR="008940B3" w:rsidRPr="003B5C8D" w:rsidRDefault="008940B3" w:rsidP="00E858EF">
            <w:pPr>
              <w:suppressAutoHyphens/>
              <w:jc w:val="center"/>
              <w:rPr>
                <w:color w:val="000000"/>
                <w:sz w:val="16"/>
                <w:szCs w:val="16"/>
              </w:rPr>
            </w:pPr>
          </w:p>
        </w:tc>
        <w:tc>
          <w:tcPr>
            <w:tcW w:w="611" w:type="dxa"/>
            <w:gridSpan w:val="2"/>
            <w:tcBorders>
              <w:top w:val="single" w:sz="6" w:space="0" w:color="000000"/>
              <w:left w:val="single" w:sz="6" w:space="0" w:color="000000"/>
              <w:bottom w:val="single" w:sz="6" w:space="0" w:color="000000"/>
              <w:right w:val="single" w:sz="6" w:space="0" w:color="000000"/>
            </w:tcBorders>
          </w:tcPr>
          <w:p w14:paraId="2E93FA9A" w14:textId="77777777" w:rsidR="008940B3" w:rsidRPr="003B5C8D" w:rsidRDefault="008940B3" w:rsidP="00E858EF">
            <w:pPr>
              <w:suppressAutoHyphens/>
              <w:jc w:val="center"/>
              <w:rPr>
                <w:color w:val="000000"/>
                <w:sz w:val="16"/>
                <w:szCs w:val="16"/>
              </w:rPr>
            </w:pPr>
            <w:r>
              <w:rPr>
                <w:color w:val="000000"/>
                <w:sz w:val="16"/>
                <w:szCs w:val="16"/>
              </w:rPr>
              <w:t>50%</w:t>
            </w:r>
          </w:p>
        </w:tc>
        <w:tc>
          <w:tcPr>
            <w:tcW w:w="433" w:type="dxa"/>
            <w:tcBorders>
              <w:top w:val="single" w:sz="6" w:space="0" w:color="000000"/>
              <w:left w:val="single" w:sz="6" w:space="0" w:color="000000"/>
              <w:bottom w:val="single" w:sz="6" w:space="0" w:color="000000"/>
              <w:right w:val="single" w:sz="6" w:space="0" w:color="000000"/>
            </w:tcBorders>
          </w:tcPr>
          <w:p w14:paraId="7E01C1F4" w14:textId="77777777" w:rsidR="008940B3" w:rsidRPr="003B5C8D" w:rsidRDefault="008940B3" w:rsidP="00E858EF">
            <w:pPr>
              <w:suppressAutoHyphens/>
              <w:jc w:val="center"/>
              <w:rPr>
                <w:color w:val="000000"/>
                <w:sz w:val="16"/>
                <w:szCs w:val="16"/>
              </w:rPr>
            </w:pPr>
            <w:r>
              <w:rPr>
                <w:color w:val="000000"/>
                <w:sz w:val="16"/>
                <w:szCs w:val="16"/>
              </w:rPr>
              <w:t>1</w:t>
            </w:r>
          </w:p>
        </w:tc>
        <w:tc>
          <w:tcPr>
            <w:tcW w:w="709" w:type="dxa"/>
            <w:tcBorders>
              <w:top w:val="single" w:sz="6" w:space="0" w:color="000000"/>
              <w:left w:val="single" w:sz="6" w:space="0" w:color="000000"/>
              <w:bottom w:val="single" w:sz="6" w:space="0" w:color="000000"/>
              <w:right w:val="single" w:sz="6" w:space="0" w:color="000000"/>
            </w:tcBorders>
          </w:tcPr>
          <w:p w14:paraId="247AAFF1" w14:textId="77777777" w:rsidR="008940B3" w:rsidRPr="003B5C8D" w:rsidRDefault="008940B3" w:rsidP="00E858EF">
            <w:pPr>
              <w:suppressAutoHyphens/>
              <w:jc w:val="center"/>
              <w:rPr>
                <w:color w:val="000000"/>
                <w:sz w:val="16"/>
                <w:szCs w:val="16"/>
              </w:rPr>
            </w:pPr>
            <w:r w:rsidRPr="003B5C8D">
              <w:rPr>
                <w:color w:val="000000"/>
                <w:sz w:val="16"/>
                <w:szCs w:val="16"/>
              </w:rPr>
              <w:t>2</w:t>
            </w:r>
          </w:p>
        </w:tc>
      </w:tr>
      <w:tr w:rsidR="008940B3" w:rsidRPr="003B5C8D" w14:paraId="53B22927" w14:textId="77777777" w:rsidTr="00DE2BFC">
        <w:trPr>
          <w:trHeight w:val="315"/>
        </w:trPr>
        <w:tc>
          <w:tcPr>
            <w:tcW w:w="156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085DF848" w14:textId="77777777" w:rsidR="008940B3" w:rsidRPr="0000107D" w:rsidRDefault="008940B3" w:rsidP="00E858EF">
            <w:pPr>
              <w:suppressAutoHyphens/>
              <w:rPr>
                <w:sz w:val="16"/>
                <w:szCs w:val="16"/>
              </w:rPr>
            </w:pPr>
            <w:r w:rsidRPr="0000107D">
              <w:rPr>
                <w:color w:val="000000"/>
                <w:sz w:val="16"/>
                <w:szCs w:val="16"/>
              </w:rPr>
              <w:t>MASTAMBAS</w:t>
            </w:r>
          </w:p>
        </w:tc>
        <w:tc>
          <w:tcPr>
            <w:tcW w:w="66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180A9064" w14:textId="615B58AA" w:rsidR="008940B3" w:rsidRPr="003B5C8D" w:rsidRDefault="008940B3" w:rsidP="00E858EF">
            <w:pPr>
              <w:suppressAutoHyphens/>
              <w:jc w:val="center"/>
              <w:rPr>
                <w:sz w:val="16"/>
                <w:szCs w:val="16"/>
              </w:rPr>
            </w:pPr>
            <w:r w:rsidRPr="003B5C8D">
              <w:rPr>
                <w:color w:val="000000"/>
                <w:sz w:val="16"/>
                <w:szCs w:val="16"/>
              </w:rPr>
              <w:t>100%</w:t>
            </w:r>
          </w:p>
        </w:tc>
        <w:tc>
          <w:tcPr>
            <w:tcW w:w="665"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68520293" w14:textId="77777777" w:rsidR="008940B3" w:rsidRPr="003B5C8D" w:rsidRDefault="008940B3" w:rsidP="00E858EF">
            <w:pPr>
              <w:suppressAutoHyphens/>
              <w:jc w:val="center"/>
              <w:rPr>
                <w:sz w:val="16"/>
                <w:szCs w:val="16"/>
              </w:rPr>
            </w:pPr>
            <w:r w:rsidRPr="003B5C8D">
              <w:rPr>
                <w:sz w:val="16"/>
                <w:szCs w:val="16"/>
              </w:rPr>
              <w:t>1</w:t>
            </w:r>
          </w:p>
        </w:tc>
        <w:tc>
          <w:tcPr>
            <w:tcW w:w="1275" w:type="dxa"/>
            <w:gridSpan w:val="2"/>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2D39AEB9" w14:textId="08656D05" w:rsidR="008940B3" w:rsidRPr="003B5C8D" w:rsidRDefault="008940B3" w:rsidP="00E858EF">
            <w:pPr>
              <w:suppressAutoHyphens/>
              <w:jc w:val="center"/>
              <w:rPr>
                <w:sz w:val="16"/>
                <w:szCs w:val="16"/>
              </w:rPr>
            </w:pPr>
            <w:r w:rsidRPr="003B5C8D">
              <w:rPr>
                <w:color w:val="000000"/>
                <w:sz w:val="16"/>
                <w:szCs w:val="16"/>
              </w:rPr>
              <w:t>-</w:t>
            </w:r>
          </w:p>
        </w:tc>
        <w:tc>
          <w:tcPr>
            <w:tcW w:w="1309" w:type="dxa"/>
            <w:gridSpan w:val="3"/>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18F0C993" w14:textId="36140493" w:rsidR="008940B3" w:rsidRPr="003B5C8D" w:rsidRDefault="008940B3" w:rsidP="00E858EF">
            <w:pPr>
              <w:suppressAutoHyphens/>
              <w:jc w:val="center"/>
              <w:rPr>
                <w:sz w:val="16"/>
                <w:szCs w:val="16"/>
              </w:rPr>
            </w:pPr>
            <w:r w:rsidRPr="003B5C8D">
              <w:rPr>
                <w:color w:val="000000"/>
                <w:sz w:val="16"/>
                <w:szCs w:val="16"/>
              </w:rPr>
              <w:t>-</w:t>
            </w:r>
          </w:p>
        </w:tc>
        <w:tc>
          <w:tcPr>
            <w:tcW w:w="1204" w:type="dxa"/>
            <w:gridSpan w:val="3"/>
            <w:tcBorders>
              <w:top w:val="single" w:sz="6" w:space="0" w:color="000000"/>
              <w:left w:val="single" w:sz="6" w:space="0" w:color="000000"/>
              <w:bottom w:val="single" w:sz="6" w:space="0" w:color="000000"/>
              <w:right w:val="single" w:sz="6" w:space="0" w:color="000000"/>
            </w:tcBorders>
            <w:shd w:val="clear" w:color="auto" w:fill="EFEFEF"/>
          </w:tcPr>
          <w:p w14:paraId="6871C220" w14:textId="77777777" w:rsidR="008940B3" w:rsidRPr="003B5C8D" w:rsidRDefault="008940B3" w:rsidP="00E858EF">
            <w:pPr>
              <w:suppressAutoHyphens/>
              <w:jc w:val="center"/>
              <w:rPr>
                <w:color w:val="000000"/>
                <w:sz w:val="16"/>
                <w:szCs w:val="16"/>
              </w:rPr>
            </w:pPr>
          </w:p>
        </w:tc>
        <w:tc>
          <w:tcPr>
            <w:tcW w:w="1044" w:type="dxa"/>
            <w:gridSpan w:val="3"/>
            <w:tcBorders>
              <w:top w:val="single" w:sz="6" w:space="0" w:color="000000"/>
              <w:left w:val="single" w:sz="6" w:space="0" w:color="000000"/>
              <w:bottom w:val="single" w:sz="6" w:space="0" w:color="000000"/>
              <w:right w:val="single" w:sz="6" w:space="0" w:color="000000"/>
            </w:tcBorders>
            <w:shd w:val="clear" w:color="auto" w:fill="EFEFEF"/>
          </w:tcPr>
          <w:p w14:paraId="6F312887" w14:textId="77777777" w:rsidR="008940B3" w:rsidRPr="003B5C8D" w:rsidRDefault="008940B3" w:rsidP="00E858EF">
            <w:pPr>
              <w:suppressAutoHyphens/>
              <w:jc w:val="center"/>
              <w:rPr>
                <w:color w:val="000000"/>
                <w:sz w:val="16"/>
                <w:szCs w:val="16"/>
              </w:rPr>
            </w:pPr>
          </w:p>
        </w:tc>
        <w:tc>
          <w:tcPr>
            <w:tcW w:w="709" w:type="dxa"/>
            <w:tcBorders>
              <w:top w:val="single" w:sz="6" w:space="0" w:color="000000"/>
              <w:left w:val="single" w:sz="6" w:space="0" w:color="000000"/>
              <w:bottom w:val="single" w:sz="6" w:space="0" w:color="000000"/>
              <w:right w:val="single" w:sz="6" w:space="0" w:color="000000"/>
            </w:tcBorders>
            <w:shd w:val="clear" w:color="auto" w:fill="EFEFEF"/>
          </w:tcPr>
          <w:p w14:paraId="4BECBA41" w14:textId="77777777" w:rsidR="008940B3" w:rsidRPr="003B5C8D" w:rsidRDefault="008940B3" w:rsidP="00E858EF">
            <w:pPr>
              <w:suppressAutoHyphens/>
              <w:jc w:val="center"/>
              <w:rPr>
                <w:color w:val="000000"/>
                <w:sz w:val="16"/>
                <w:szCs w:val="16"/>
              </w:rPr>
            </w:pPr>
            <w:r w:rsidRPr="003B5C8D">
              <w:rPr>
                <w:color w:val="000000"/>
                <w:sz w:val="16"/>
                <w:szCs w:val="16"/>
              </w:rPr>
              <w:t>1</w:t>
            </w:r>
          </w:p>
        </w:tc>
      </w:tr>
      <w:tr w:rsidR="008940B3" w:rsidRPr="003B5C8D" w14:paraId="735B0091" w14:textId="77777777" w:rsidTr="00DE2BFC">
        <w:trPr>
          <w:trHeight w:val="420"/>
        </w:trPr>
        <w:tc>
          <w:tcPr>
            <w:tcW w:w="156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74E19954" w14:textId="77777777" w:rsidR="008940B3" w:rsidRPr="0000107D" w:rsidRDefault="008940B3" w:rsidP="00E858EF">
            <w:pPr>
              <w:suppressAutoHyphens/>
              <w:rPr>
                <w:sz w:val="16"/>
                <w:szCs w:val="16"/>
              </w:rPr>
            </w:pPr>
            <w:r w:rsidRPr="0000107D">
              <w:rPr>
                <w:color w:val="000000"/>
                <w:sz w:val="16"/>
                <w:szCs w:val="16"/>
              </w:rPr>
              <w:t>L</w:t>
            </w:r>
            <w:r>
              <w:rPr>
                <w:color w:val="000000"/>
                <w:sz w:val="16"/>
                <w:szCs w:val="16"/>
              </w:rPr>
              <w:t>O</w:t>
            </w:r>
            <w:r w:rsidRPr="0000107D">
              <w:rPr>
                <w:color w:val="000000"/>
                <w:sz w:val="16"/>
                <w:szCs w:val="16"/>
              </w:rPr>
              <w:t>WER GYPSADES</w:t>
            </w:r>
          </w:p>
        </w:tc>
        <w:tc>
          <w:tcPr>
            <w:tcW w:w="66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0DC41565" w14:textId="3900583D" w:rsidR="008940B3" w:rsidRPr="003B5C8D" w:rsidRDefault="008940B3" w:rsidP="00E858EF">
            <w:pPr>
              <w:suppressAutoHyphens/>
              <w:jc w:val="center"/>
              <w:rPr>
                <w:sz w:val="16"/>
                <w:szCs w:val="16"/>
              </w:rPr>
            </w:pPr>
            <w:r w:rsidRPr="003B5C8D">
              <w:rPr>
                <w:color w:val="000000"/>
                <w:sz w:val="16"/>
                <w:szCs w:val="16"/>
              </w:rPr>
              <w:t>100%</w:t>
            </w:r>
          </w:p>
        </w:tc>
        <w:tc>
          <w:tcPr>
            <w:tcW w:w="665"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36756A21" w14:textId="77777777" w:rsidR="008940B3" w:rsidRPr="003B5C8D" w:rsidRDefault="008940B3" w:rsidP="00E858EF">
            <w:pPr>
              <w:suppressAutoHyphens/>
              <w:jc w:val="center"/>
              <w:rPr>
                <w:sz w:val="16"/>
                <w:szCs w:val="16"/>
              </w:rPr>
            </w:pPr>
            <w:r w:rsidRPr="003B5C8D">
              <w:rPr>
                <w:sz w:val="16"/>
                <w:szCs w:val="16"/>
              </w:rPr>
              <w:t>1</w:t>
            </w:r>
          </w:p>
        </w:tc>
        <w:tc>
          <w:tcPr>
            <w:tcW w:w="1275" w:type="dxa"/>
            <w:gridSpan w:val="2"/>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517554CB" w14:textId="5D45F805" w:rsidR="008940B3" w:rsidRPr="003B5C8D" w:rsidRDefault="008940B3" w:rsidP="00E858EF">
            <w:pPr>
              <w:suppressAutoHyphens/>
              <w:jc w:val="center"/>
              <w:rPr>
                <w:sz w:val="16"/>
                <w:szCs w:val="16"/>
              </w:rPr>
            </w:pPr>
            <w:r w:rsidRPr="003B5C8D">
              <w:rPr>
                <w:color w:val="000000"/>
                <w:sz w:val="16"/>
                <w:szCs w:val="16"/>
              </w:rPr>
              <w:t>-</w:t>
            </w:r>
          </w:p>
        </w:tc>
        <w:tc>
          <w:tcPr>
            <w:tcW w:w="1309" w:type="dxa"/>
            <w:gridSpan w:val="3"/>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1D42E3AA" w14:textId="6048CC2E" w:rsidR="008940B3" w:rsidRPr="003B5C8D" w:rsidRDefault="008940B3" w:rsidP="00E858EF">
            <w:pPr>
              <w:suppressAutoHyphens/>
              <w:jc w:val="center"/>
              <w:rPr>
                <w:sz w:val="16"/>
                <w:szCs w:val="16"/>
              </w:rPr>
            </w:pPr>
            <w:r w:rsidRPr="003B5C8D">
              <w:rPr>
                <w:color w:val="000000"/>
                <w:sz w:val="16"/>
                <w:szCs w:val="16"/>
              </w:rPr>
              <w:t>-</w:t>
            </w:r>
          </w:p>
        </w:tc>
        <w:tc>
          <w:tcPr>
            <w:tcW w:w="1204" w:type="dxa"/>
            <w:gridSpan w:val="3"/>
            <w:tcBorders>
              <w:top w:val="single" w:sz="6" w:space="0" w:color="000000"/>
              <w:left w:val="single" w:sz="6" w:space="0" w:color="000000"/>
              <w:bottom w:val="single" w:sz="6" w:space="0" w:color="000000"/>
              <w:right w:val="single" w:sz="6" w:space="0" w:color="000000"/>
            </w:tcBorders>
            <w:shd w:val="clear" w:color="auto" w:fill="EFEFEF"/>
          </w:tcPr>
          <w:p w14:paraId="2A24A429" w14:textId="77777777" w:rsidR="008940B3" w:rsidRPr="003B5C8D" w:rsidRDefault="008940B3" w:rsidP="00E858EF">
            <w:pPr>
              <w:suppressAutoHyphens/>
              <w:jc w:val="center"/>
              <w:rPr>
                <w:color w:val="000000"/>
                <w:sz w:val="16"/>
                <w:szCs w:val="16"/>
              </w:rPr>
            </w:pPr>
          </w:p>
        </w:tc>
        <w:tc>
          <w:tcPr>
            <w:tcW w:w="1044" w:type="dxa"/>
            <w:gridSpan w:val="3"/>
            <w:tcBorders>
              <w:top w:val="single" w:sz="6" w:space="0" w:color="000000"/>
              <w:left w:val="single" w:sz="6" w:space="0" w:color="000000"/>
              <w:bottom w:val="single" w:sz="6" w:space="0" w:color="000000"/>
              <w:right w:val="single" w:sz="6" w:space="0" w:color="000000"/>
            </w:tcBorders>
            <w:shd w:val="clear" w:color="auto" w:fill="EFEFEF"/>
          </w:tcPr>
          <w:p w14:paraId="5ABA8399" w14:textId="77777777" w:rsidR="008940B3" w:rsidRPr="003B5C8D" w:rsidRDefault="008940B3" w:rsidP="00E858EF">
            <w:pPr>
              <w:suppressAutoHyphens/>
              <w:jc w:val="center"/>
              <w:rPr>
                <w:color w:val="000000"/>
                <w:sz w:val="16"/>
                <w:szCs w:val="16"/>
              </w:rPr>
            </w:pPr>
          </w:p>
        </w:tc>
        <w:tc>
          <w:tcPr>
            <w:tcW w:w="709" w:type="dxa"/>
            <w:tcBorders>
              <w:top w:val="single" w:sz="6" w:space="0" w:color="000000"/>
              <w:left w:val="single" w:sz="6" w:space="0" w:color="000000"/>
              <w:bottom w:val="single" w:sz="6" w:space="0" w:color="000000"/>
              <w:right w:val="single" w:sz="6" w:space="0" w:color="000000"/>
            </w:tcBorders>
            <w:shd w:val="clear" w:color="auto" w:fill="EFEFEF"/>
          </w:tcPr>
          <w:p w14:paraId="40576218" w14:textId="77777777" w:rsidR="008940B3" w:rsidRPr="003B5C8D" w:rsidRDefault="008940B3" w:rsidP="00E858EF">
            <w:pPr>
              <w:suppressAutoHyphens/>
              <w:jc w:val="center"/>
              <w:rPr>
                <w:color w:val="000000"/>
                <w:sz w:val="16"/>
                <w:szCs w:val="16"/>
              </w:rPr>
            </w:pPr>
            <w:r w:rsidRPr="003B5C8D">
              <w:rPr>
                <w:color w:val="000000"/>
                <w:sz w:val="16"/>
                <w:szCs w:val="16"/>
              </w:rPr>
              <w:t>1</w:t>
            </w:r>
          </w:p>
        </w:tc>
      </w:tr>
      <w:tr w:rsidR="008940B3" w:rsidRPr="003B5C8D" w14:paraId="0A2CEC49" w14:textId="77777777" w:rsidTr="00DE2BFC">
        <w:trPr>
          <w:trHeight w:val="300"/>
        </w:trPr>
        <w:tc>
          <w:tcPr>
            <w:tcW w:w="156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0531B051" w14:textId="77777777" w:rsidR="008940B3" w:rsidRPr="0000107D" w:rsidRDefault="008940B3" w:rsidP="00E858EF">
            <w:pPr>
              <w:suppressAutoHyphens/>
              <w:rPr>
                <w:sz w:val="16"/>
                <w:szCs w:val="16"/>
              </w:rPr>
            </w:pPr>
            <w:r w:rsidRPr="0000107D">
              <w:rPr>
                <w:color w:val="000000"/>
                <w:sz w:val="16"/>
                <w:szCs w:val="16"/>
              </w:rPr>
              <w:t>SELLOPOULO</w:t>
            </w:r>
          </w:p>
        </w:tc>
        <w:tc>
          <w:tcPr>
            <w:tcW w:w="1330" w:type="dxa"/>
            <w:gridSpan w:val="2"/>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5E45CDCB" w14:textId="63CDDDEB" w:rsidR="008940B3" w:rsidRPr="003B5C8D" w:rsidRDefault="008940B3" w:rsidP="00E858EF">
            <w:pPr>
              <w:suppressAutoHyphens/>
              <w:jc w:val="center"/>
              <w:rPr>
                <w:sz w:val="16"/>
                <w:szCs w:val="16"/>
              </w:rPr>
            </w:pPr>
            <w:r w:rsidRPr="003B5C8D">
              <w:rPr>
                <w:color w:val="000000"/>
                <w:sz w:val="16"/>
                <w:szCs w:val="16"/>
              </w:rPr>
              <w:t>-</w:t>
            </w:r>
          </w:p>
        </w:tc>
        <w:tc>
          <w:tcPr>
            <w:tcW w:w="1275" w:type="dxa"/>
            <w:gridSpan w:val="2"/>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36F4D1B1" w14:textId="6BC77F13" w:rsidR="008940B3" w:rsidRPr="003B5C8D" w:rsidRDefault="008940B3" w:rsidP="00E858EF">
            <w:pPr>
              <w:suppressAutoHyphens/>
              <w:jc w:val="center"/>
              <w:rPr>
                <w:sz w:val="16"/>
                <w:szCs w:val="16"/>
              </w:rPr>
            </w:pPr>
            <w:r w:rsidRPr="003B5C8D">
              <w:rPr>
                <w:color w:val="000000"/>
                <w:sz w:val="16"/>
                <w:szCs w:val="16"/>
              </w:rPr>
              <w:t>-</w:t>
            </w:r>
          </w:p>
        </w:tc>
        <w:tc>
          <w:tcPr>
            <w:tcW w:w="664" w:type="dxa"/>
            <w:gridSpan w:val="2"/>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691D512F" w14:textId="5F62DBA9" w:rsidR="008940B3" w:rsidRPr="003B5C8D" w:rsidRDefault="008940B3" w:rsidP="00E858EF">
            <w:pPr>
              <w:suppressAutoHyphens/>
              <w:jc w:val="center"/>
              <w:rPr>
                <w:sz w:val="16"/>
                <w:szCs w:val="16"/>
              </w:rPr>
            </w:pPr>
            <w:r w:rsidRPr="003B5C8D">
              <w:rPr>
                <w:color w:val="000000"/>
                <w:sz w:val="16"/>
                <w:szCs w:val="16"/>
              </w:rPr>
              <w:t>100%</w:t>
            </w:r>
          </w:p>
        </w:tc>
        <w:tc>
          <w:tcPr>
            <w:tcW w:w="645" w:type="dxa"/>
            <w:tcBorders>
              <w:top w:val="single" w:sz="6" w:space="0" w:color="000000"/>
              <w:left w:val="single" w:sz="6" w:space="0" w:color="000000"/>
              <w:bottom w:val="single" w:sz="6" w:space="0" w:color="000000"/>
              <w:right w:val="single" w:sz="6" w:space="0" w:color="000000"/>
            </w:tcBorders>
            <w:vAlign w:val="center"/>
          </w:tcPr>
          <w:p w14:paraId="24C068C5" w14:textId="77777777" w:rsidR="008940B3" w:rsidRPr="003B5C8D" w:rsidRDefault="008940B3" w:rsidP="00E858EF">
            <w:pPr>
              <w:suppressAutoHyphens/>
              <w:jc w:val="center"/>
              <w:rPr>
                <w:sz w:val="16"/>
                <w:szCs w:val="16"/>
              </w:rPr>
            </w:pPr>
            <w:r w:rsidRPr="003B5C8D">
              <w:rPr>
                <w:sz w:val="16"/>
                <w:szCs w:val="16"/>
              </w:rPr>
              <w:t>1</w:t>
            </w:r>
          </w:p>
        </w:tc>
        <w:tc>
          <w:tcPr>
            <w:tcW w:w="1204" w:type="dxa"/>
            <w:gridSpan w:val="3"/>
            <w:tcBorders>
              <w:top w:val="single" w:sz="6" w:space="0" w:color="000000"/>
              <w:left w:val="single" w:sz="6" w:space="0" w:color="000000"/>
              <w:bottom w:val="single" w:sz="6" w:space="0" w:color="000000"/>
              <w:right w:val="single" w:sz="6" w:space="0" w:color="000000"/>
            </w:tcBorders>
          </w:tcPr>
          <w:p w14:paraId="0480083D" w14:textId="77777777" w:rsidR="008940B3" w:rsidRPr="003B5C8D" w:rsidRDefault="008940B3" w:rsidP="00E858EF">
            <w:pPr>
              <w:suppressAutoHyphens/>
              <w:jc w:val="center"/>
              <w:rPr>
                <w:sz w:val="16"/>
                <w:szCs w:val="16"/>
              </w:rPr>
            </w:pPr>
          </w:p>
        </w:tc>
        <w:tc>
          <w:tcPr>
            <w:tcW w:w="1044" w:type="dxa"/>
            <w:gridSpan w:val="3"/>
            <w:tcBorders>
              <w:top w:val="single" w:sz="6" w:space="0" w:color="000000"/>
              <w:left w:val="single" w:sz="6" w:space="0" w:color="000000"/>
              <w:bottom w:val="single" w:sz="6" w:space="0" w:color="000000"/>
              <w:right w:val="single" w:sz="6" w:space="0" w:color="000000"/>
            </w:tcBorders>
          </w:tcPr>
          <w:p w14:paraId="3EC8C841" w14:textId="77777777" w:rsidR="008940B3" w:rsidRPr="003B5C8D" w:rsidRDefault="008940B3" w:rsidP="00E858EF">
            <w:pPr>
              <w:suppressAutoHyphens/>
              <w:jc w:val="center"/>
              <w:rPr>
                <w:sz w:val="16"/>
                <w:szCs w:val="16"/>
              </w:rPr>
            </w:pPr>
          </w:p>
        </w:tc>
        <w:tc>
          <w:tcPr>
            <w:tcW w:w="709" w:type="dxa"/>
            <w:tcBorders>
              <w:top w:val="single" w:sz="6" w:space="0" w:color="000000"/>
              <w:left w:val="single" w:sz="6" w:space="0" w:color="000000"/>
              <w:bottom w:val="single" w:sz="6" w:space="0" w:color="000000"/>
              <w:right w:val="single" w:sz="6" w:space="0" w:color="000000"/>
            </w:tcBorders>
          </w:tcPr>
          <w:p w14:paraId="37B73304" w14:textId="77777777" w:rsidR="008940B3" w:rsidRPr="003B5C8D" w:rsidRDefault="008940B3" w:rsidP="00E858EF">
            <w:pPr>
              <w:suppressAutoHyphens/>
              <w:jc w:val="center"/>
              <w:rPr>
                <w:sz w:val="16"/>
                <w:szCs w:val="16"/>
              </w:rPr>
            </w:pPr>
            <w:r w:rsidRPr="003B5C8D">
              <w:rPr>
                <w:sz w:val="16"/>
                <w:szCs w:val="16"/>
              </w:rPr>
              <w:t>1</w:t>
            </w:r>
          </w:p>
        </w:tc>
      </w:tr>
      <w:tr w:rsidR="008940B3" w:rsidRPr="003B5C8D" w14:paraId="207D5A3E" w14:textId="77777777" w:rsidTr="00DE2BFC">
        <w:trPr>
          <w:trHeight w:val="300"/>
        </w:trPr>
        <w:tc>
          <w:tcPr>
            <w:tcW w:w="156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78715919" w14:textId="77777777" w:rsidR="008940B3" w:rsidRPr="0000107D" w:rsidRDefault="008940B3" w:rsidP="00E858EF">
            <w:pPr>
              <w:suppressAutoHyphens/>
              <w:rPr>
                <w:color w:val="000000"/>
                <w:sz w:val="16"/>
                <w:szCs w:val="16"/>
              </w:rPr>
            </w:pPr>
            <w:r>
              <w:rPr>
                <w:color w:val="000000"/>
                <w:sz w:val="16"/>
                <w:szCs w:val="16"/>
              </w:rPr>
              <w:t>ZAFER PAPOURA</w:t>
            </w:r>
          </w:p>
        </w:tc>
        <w:tc>
          <w:tcPr>
            <w:tcW w:w="66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2F741735" w14:textId="77777777" w:rsidR="008940B3" w:rsidRPr="003B5C8D" w:rsidRDefault="008940B3" w:rsidP="00E858EF">
            <w:pPr>
              <w:suppressAutoHyphens/>
              <w:jc w:val="center"/>
              <w:rPr>
                <w:color w:val="000000"/>
                <w:sz w:val="16"/>
                <w:szCs w:val="16"/>
              </w:rPr>
            </w:pPr>
            <w:r>
              <w:rPr>
                <w:color w:val="000000"/>
                <w:sz w:val="16"/>
                <w:szCs w:val="16"/>
              </w:rPr>
              <w:t>91%</w:t>
            </w:r>
          </w:p>
        </w:tc>
        <w:tc>
          <w:tcPr>
            <w:tcW w:w="665" w:type="dxa"/>
            <w:tcBorders>
              <w:top w:val="single" w:sz="6" w:space="0" w:color="000000"/>
              <w:left w:val="single" w:sz="6" w:space="0" w:color="000000"/>
              <w:bottom w:val="single" w:sz="6" w:space="0" w:color="000000"/>
              <w:right w:val="single" w:sz="6" w:space="0" w:color="000000"/>
            </w:tcBorders>
            <w:vAlign w:val="center"/>
          </w:tcPr>
          <w:p w14:paraId="13AB214D" w14:textId="77777777" w:rsidR="008940B3" w:rsidRPr="003B5C8D" w:rsidRDefault="008940B3" w:rsidP="00E858EF">
            <w:pPr>
              <w:suppressAutoHyphens/>
              <w:jc w:val="center"/>
              <w:rPr>
                <w:color w:val="000000"/>
                <w:sz w:val="16"/>
                <w:szCs w:val="16"/>
              </w:rPr>
            </w:pPr>
            <w:r>
              <w:rPr>
                <w:color w:val="000000"/>
                <w:sz w:val="16"/>
                <w:szCs w:val="16"/>
              </w:rPr>
              <w:t>21</w:t>
            </w:r>
          </w:p>
        </w:tc>
        <w:tc>
          <w:tcPr>
            <w:tcW w:w="63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272940AB" w14:textId="77777777" w:rsidR="008940B3" w:rsidRPr="003B5C8D" w:rsidRDefault="008940B3" w:rsidP="00E858EF">
            <w:pPr>
              <w:suppressAutoHyphens/>
              <w:jc w:val="center"/>
              <w:rPr>
                <w:color w:val="000000"/>
                <w:sz w:val="16"/>
                <w:szCs w:val="16"/>
              </w:rPr>
            </w:pPr>
            <w:r>
              <w:rPr>
                <w:color w:val="000000"/>
                <w:sz w:val="16"/>
                <w:szCs w:val="16"/>
              </w:rPr>
              <w:t>5%</w:t>
            </w:r>
          </w:p>
        </w:tc>
        <w:tc>
          <w:tcPr>
            <w:tcW w:w="638" w:type="dxa"/>
            <w:tcBorders>
              <w:top w:val="single" w:sz="6" w:space="0" w:color="000000"/>
              <w:left w:val="single" w:sz="6" w:space="0" w:color="000000"/>
              <w:bottom w:val="single" w:sz="6" w:space="0" w:color="000000"/>
              <w:right w:val="single" w:sz="6" w:space="0" w:color="000000"/>
            </w:tcBorders>
            <w:vAlign w:val="center"/>
          </w:tcPr>
          <w:p w14:paraId="74A2B4B6" w14:textId="77777777" w:rsidR="008940B3" w:rsidRPr="003B5C8D" w:rsidRDefault="008940B3" w:rsidP="00E858EF">
            <w:pPr>
              <w:suppressAutoHyphens/>
              <w:jc w:val="center"/>
              <w:rPr>
                <w:color w:val="000000"/>
                <w:sz w:val="16"/>
                <w:szCs w:val="16"/>
              </w:rPr>
            </w:pPr>
            <w:r>
              <w:rPr>
                <w:color w:val="000000"/>
                <w:sz w:val="16"/>
                <w:szCs w:val="16"/>
              </w:rPr>
              <w:t>1</w:t>
            </w:r>
          </w:p>
        </w:tc>
        <w:tc>
          <w:tcPr>
            <w:tcW w:w="1309" w:type="dxa"/>
            <w:gridSpan w:val="3"/>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20FBAD18" w14:textId="77777777" w:rsidR="008940B3" w:rsidRPr="003B5C8D" w:rsidRDefault="008940B3" w:rsidP="00E858EF">
            <w:pPr>
              <w:suppressAutoHyphens/>
              <w:jc w:val="center"/>
              <w:rPr>
                <w:sz w:val="16"/>
                <w:szCs w:val="16"/>
              </w:rPr>
            </w:pPr>
          </w:p>
        </w:tc>
        <w:tc>
          <w:tcPr>
            <w:tcW w:w="547" w:type="dxa"/>
            <w:tcBorders>
              <w:top w:val="single" w:sz="6" w:space="0" w:color="000000"/>
              <w:left w:val="single" w:sz="6" w:space="0" w:color="000000"/>
              <w:bottom w:val="single" w:sz="6" w:space="0" w:color="000000"/>
              <w:right w:val="single" w:sz="6" w:space="0" w:color="000000"/>
            </w:tcBorders>
          </w:tcPr>
          <w:p w14:paraId="722C38AC" w14:textId="77777777" w:rsidR="008940B3" w:rsidRPr="003B5C8D" w:rsidRDefault="008940B3" w:rsidP="00E858EF">
            <w:pPr>
              <w:suppressAutoHyphens/>
              <w:jc w:val="center"/>
              <w:rPr>
                <w:sz w:val="16"/>
                <w:szCs w:val="16"/>
              </w:rPr>
            </w:pPr>
            <w:r>
              <w:rPr>
                <w:sz w:val="16"/>
                <w:szCs w:val="16"/>
              </w:rPr>
              <w:t>4%</w:t>
            </w:r>
          </w:p>
        </w:tc>
        <w:tc>
          <w:tcPr>
            <w:tcW w:w="650" w:type="dxa"/>
            <w:tcBorders>
              <w:top w:val="single" w:sz="6" w:space="0" w:color="000000"/>
              <w:left w:val="single" w:sz="6" w:space="0" w:color="000000"/>
              <w:bottom w:val="single" w:sz="6" w:space="0" w:color="000000"/>
              <w:right w:val="single" w:sz="6" w:space="0" w:color="000000"/>
            </w:tcBorders>
          </w:tcPr>
          <w:p w14:paraId="25871F37" w14:textId="77777777" w:rsidR="008940B3" w:rsidRPr="003B5C8D" w:rsidRDefault="008940B3" w:rsidP="00E858EF">
            <w:pPr>
              <w:suppressAutoHyphens/>
              <w:jc w:val="center"/>
              <w:rPr>
                <w:sz w:val="16"/>
                <w:szCs w:val="16"/>
              </w:rPr>
            </w:pPr>
            <w:r>
              <w:rPr>
                <w:sz w:val="16"/>
                <w:szCs w:val="16"/>
              </w:rPr>
              <w:t>1</w:t>
            </w:r>
          </w:p>
        </w:tc>
        <w:tc>
          <w:tcPr>
            <w:tcW w:w="1051" w:type="dxa"/>
            <w:gridSpan w:val="4"/>
            <w:tcBorders>
              <w:top w:val="single" w:sz="6" w:space="0" w:color="000000"/>
              <w:left w:val="single" w:sz="6" w:space="0" w:color="000000"/>
              <w:bottom w:val="single" w:sz="6" w:space="0" w:color="000000"/>
              <w:right w:val="single" w:sz="6" w:space="0" w:color="000000"/>
            </w:tcBorders>
          </w:tcPr>
          <w:p w14:paraId="4BC536DB" w14:textId="77777777" w:rsidR="008940B3" w:rsidRPr="003B5C8D" w:rsidRDefault="008940B3" w:rsidP="00E858EF">
            <w:pPr>
              <w:suppressAutoHyphens/>
              <w:jc w:val="center"/>
              <w:rPr>
                <w:sz w:val="16"/>
                <w:szCs w:val="16"/>
              </w:rPr>
            </w:pPr>
          </w:p>
        </w:tc>
        <w:tc>
          <w:tcPr>
            <w:tcW w:w="709" w:type="dxa"/>
            <w:tcBorders>
              <w:top w:val="single" w:sz="6" w:space="0" w:color="000000"/>
              <w:left w:val="single" w:sz="6" w:space="0" w:color="000000"/>
              <w:bottom w:val="single" w:sz="6" w:space="0" w:color="000000"/>
              <w:right w:val="single" w:sz="6" w:space="0" w:color="000000"/>
            </w:tcBorders>
          </w:tcPr>
          <w:p w14:paraId="67D63A09" w14:textId="77777777" w:rsidR="008940B3" w:rsidRPr="003B5C8D" w:rsidRDefault="008940B3" w:rsidP="00E858EF">
            <w:pPr>
              <w:suppressAutoHyphens/>
              <w:jc w:val="center"/>
              <w:rPr>
                <w:sz w:val="16"/>
                <w:szCs w:val="16"/>
              </w:rPr>
            </w:pPr>
          </w:p>
        </w:tc>
      </w:tr>
      <w:tr w:rsidR="008940B3" w:rsidRPr="003B5C8D" w14:paraId="2CE5D103" w14:textId="77777777" w:rsidTr="00DE2BFC">
        <w:trPr>
          <w:trHeight w:val="300"/>
        </w:trPr>
        <w:tc>
          <w:tcPr>
            <w:tcW w:w="156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03FBB061" w14:textId="77777777" w:rsidR="008940B3" w:rsidRDefault="008940B3" w:rsidP="00E858EF">
            <w:pPr>
              <w:suppressAutoHyphens/>
              <w:rPr>
                <w:color w:val="000000"/>
                <w:sz w:val="16"/>
                <w:szCs w:val="16"/>
              </w:rPr>
            </w:pPr>
            <w:r>
              <w:rPr>
                <w:color w:val="000000"/>
                <w:sz w:val="16"/>
                <w:szCs w:val="16"/>
              </w:rPr>
              <w:t>TOT</w:t>
            </w:r>
          </w:p>
        </w:tc>
        <w:tc>
          <w:tcPr>
            <w:tcW w:w="66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69AA2106" w14:textId="77777777" w:rsidR="008940B3" w:rsidRPr="003B5C8D" w:rsidRDefault="008940B3" w:rsidP="00E858EF">
            <w:pPr>
              <w:suppressAutoHyphens/>
              <w:jc w:val="center"/>
              <w:rPr>
                <w:color w:val="000000"/>
                <w:sz w:val="16"/>
                <w:szCs w:val="16"/>
              </w:rPr>
            </w:pPr>
            <w:r>
              <w:rPr>
                <w:color w:val="000000"/>
                <w:sz w:val="16"/>
                <w:szCs w:val="16"/>
              </w:rPr>
              <w:t>83%</w:t>
            </w:r>
          </w:p>
        </w:tc>
        <w:tc>
          <w:tcPr>
            <w:tcW w:w="665" w:type="dxa"/>
            <w:tcBorders>
              <w:top w:val="single" w:sz="6" w:space="0" w:color="000000"/>
              <w:left w:val="single" w:sz="6" w:space="0" w:color="000000"/>
              <w:bottom w:val="single" w:sz="6" w:space="0" w:color="000000"/>
              <w:right w:val="single" w:sz="6" w:space="0" w:color="000000"/>
            </w:tcBorders>
            <w:vAlign w:val="center"/>
          </w:tcPr>
          <w:p w14:paraId="3EC1CE54" w14:textId="77777777" w:rsidR="008940B3" w:rsidRPr="003B5C8D" w:rsidRDefault="008940B3" w:rsidP="00E858EF">
            <w:pPr>
              <w:suppressAutoHyphens/>
              <w:jc w:val="center"/>
              <w:rPr>
                <w:color w:val="000000"/>
                <w:sz w:val="16"/>
                <w:szCs w:val="16"/>
              </w:rPr>
            </w:pPr>
            <w:r>
              <w:rPr>
                <w:color w:val="000000"/>
                <w:sz w:val="16"/>
                <w:szCs w:val="16"/>
              </w:rPr>
              <w:t>44</w:t>
            </w:r>
          </w:p>
        </w:tc>
        <w:tc>
          <w:tcPr>
            <w:tcW w:w="63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2C153C9E" w14:textId="77777777" w:rsidR="008940B3" w:rsidRPr="003B5C8D" w:rsidRDefault="008940B3" w:rsidP="00E858EF">
            <w:pPr>
              <w:suppressAutoHyphens/>
              <w:jc w:val="center"/>
              <w:rPr>
                <w:color w:val="000000"/>
                <w:sz w:val="16"/>
                <w:szCs w:val="16"/>
              </w:rPr>
            </w:pPr>
            <w:r>
              <w:rPr>
                <w:color w:val="000000"/>
                <w:sz w:val="16"/>
                <w:szCs w:val="16"/>
              </w:rPr>
              <w:t>11%</w:t>
            </w:r>
          </w:p>
        </w:tc>
        <w:tc>
          <w:tcPr>
            <w:tcW w:w="638" w:type="dxa"/>
            <w:tcBorders>
              <w:top w:val="single" w:sz="6" w:space="0" w:color="000000"/>
              <w:left w:val="single" w:sz="6" w:space="0" w:color="000000"/>
              <w:bottom w:val="single" w:sz="6" w:space="0" w:color="000000"/>
              <w:right w:val="single" w:sz="6" w:space="0" w:color="000000"/>
            </w:tcBorders>
            <w:vAlign w:val="center"/>
          </w:tcPr>
          <w:p w14:paraId="45C3338B" w14:textId="77777777" w:rsidR="008940B3" w:rsidRPr="003B5C8D" w:rsidRDefault="008940B3" w:rsidP="00E858EF">
            <w:pPr>
              <w:suppressAutoHyphens/>
              <w:jc w:val="center"/>
              <w:rPr>
                <w:color w:val="000000"/>
                <w:sz w:val="16"/>
                <w:szCs w:val="16"/>
              </w:rPr>
            </w:pPr>
            <w:r>
              <w:rPr>
                <w:color w:val="000000"/>
                <w:sz w:val="16"/>
                <w:szCs w:val="16"/>
              </w:rPr>
              <w:t>6</w:t>
            </w:r>
          </w:p>
        </w:tc>
        <w:tc>
          <w:tcPr>
            <w:tcW w:w="65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6C9D3389" w14:textId="77777777" w:rsidR="008940B3" w:rsidRPr="003B5C8D" w:rsidRDefault="008940B3" w:rsidP="00E858EF">
            <w:pPr>
              <w:suppressAutoHyphens/>
              <w:jc w:val="center"/>
              <w:rPr>
                <w:sz w:val="16"/>
                <w:szCs w:val="16"/>
              </w:rPr>
            </w:pPr>
            <w:r>
              <w:rPr>
                <w:sz w:val="16"/>
                <w:szCs w:val="16"/>
              </w:rPr>
              <w:t>2%</w:t>
            </w:r>
          </w:p>
        </w:tc>
        <w:tc>
          <w:tcPr>
            <w:tcW w:w="655" w:type="dxa"/>
            <w:gridSpan w:val="2"/>
            <w:tcBorders>
              <w:top w:val="single" w:sz="6" w:space="0" w:color="000000"/>
              <w:left w:val="single" w:sz="6" w:space="0" w:color="000000"/>
              <w:bottom w:val="single" w:sz="6" w:space="0" w:color="000000"/>
              <w:right w:val="single" w:sz="6" w:space="0" w:color="000000"/>
            </w:tcBorders>
            <w:vAlign w:val="center"/>
          </w:tcPr>
          <w:p w14:paraId="65CEF904" w14:textId="77777777" w:rsidR="008940B3" w:rsidRPr="003B5C8D" w:rsidRDefault="008940B3" w:rsidP="00E858EF">
            <w:pPr>
              <w:suppressAutoHyphens/>
              <w:jc w:val="center"/>
              <w:rPr>
                <w:sz w:val="16"/>
                <w:szCs w:val="16"/>
              </w:rPr>
            </w:pPr>
            <w:r>
              <w:rPr>
                <w:sz w:val="16"/>
                <w:szCs w:val="16"/>
              </w:rPr>
              <w:t>1</w:t>
            </w:r>
          </w:p>
        </w:tc>
        <w:tc>
          <w:tcPr>
            <w:tcW w:w="547" w:type="dxa"/>
            <w:tcBorders>
              <w:top w:val="single" w:sz="6" w:space="0" w:color="000000"/>
              <w:left w:val="single" w:sz="6" w:space="0" w:color="000000"/>
              <w:bottom w:val="single" w:sz="6" w:space="0" w:color="000000"/>
              <w:right w:val="single" w:sz="6" w:space="0" w:color="000000"/>
            </w:tcBorders>
          </w:tcPr>
          <w:p w14:paraId="5033FE2C" w14:textId="77777777" w:rsidR="008940B3" w:rsidRPr="003B5C8D" w:rsidRDefault="008940B3" w:rsidP="00E858EF">
            <w:pPr>
              <w:suppressAutoHyphens/>
              <w:jc w:val="center"/>
              <w:rPr>
                <w:sz w:val="16"/>
                <w:szCs w:val="16"/>
              </w:rPr>
            </w:pPr>
            <w:r>
              <w:rPr>
                <w:sz w:val="16"/>
                <w:szCs w:val="16"/>
              </w:rPr>
              <w:t>2%</w:t>
            </w:r>
          </w:p>
        </w:tc>
        <w:tc>
          <w:tcPr>
            <w:tcW w:w="650" w:type="dxa"/>
            <w:tcBorders>
              <w:top w:val="single" w:sz="6" w:space="0" w:color="000000"/>
              <w:left w:val="single" w:sz="6" w:space="0" w:color="000000"/>
              <w:bottom w:val="single" w:sz="6" w:space="0" w:color="000000"/>
              <w:right w:val="single" w:sz="6" w:space="0" w:color="000000"/>
            </w:tcBorders>
          </w:tcPr>
          <w:p w14:paraId="75AAB127" w14:textId="77777777" w:rsidR="008940B3" w:rsidRPr="003B5C8D" w:rsidRDefault="008940B3" w:rsidP="00E858EF">
            <w:pPr>
              <w:suppressAutoHyphens/>
              <w:jc w:val="center"/>
              <w:rPr>
                <w:sz w:val="16"/>
                <w:szCs w:val="16"/>
              </w:rPr>
            </w:pPr>
            <w:r>
              <w:rPr>
                <w:sz w:val="16"/>
                <w:szCs w:val="16"/>
              </w:rPr>
              <w:t>1</w:t>
            </w:r>
          </w:p>
        </w:tc>
        <w:tc>
          <w:tcPr>
            <w:tcW w:w="611" w:type="dxa"/>
            <w:gridSpan w:val="2"/>
            <w:tcBorders>
              <w:top w:val="single" w:sz="6" w:space="0" w:color="000000"/>
              <w:left w:val="single" w:sz="6" w:space="0" w:color="000000"/>
              <w:bottom w:val="single" w:sz="6" w:space="0" w:color="000000"/>
              <w:right w:val="single" w:sz="6" w:space="0" w:color="000000"/>
            </w:tcBorders>
          </w:tcPr>
          <w:p w14:paraId="305B16D6" w14:textId="77777777" w:rsidR="008940B3" w:rsidRDefault="008940B3" w:rsidP="00E858EF">
            <w:pPr>
              <w:suppressAutoHyphens/>
              <w:jc w:val="center"/>
              <w:rPr>
                <w:sz w:val="16"/>
                <w:szCs w:val="16"/>
              </w:rPr>
            </w:pPr>
            <w:r>
              <w:rPr>
                <w:sz w:val="16"/>
                <w:szCs w:val="16"/>
              </w:rPr>
              <w:t>2%</w:t>
            </w:r>
          </w:p>
        </w:tc>
        <w:tc>
          <w:tcPr>
            <w:tcW w:w="440" w:type="dxa"/>
            <w:gridSpan w:val="2"/>
            <w:tcBorders>
              <w:top w:val="single" w:sz="6" w:space="0" w:color="000000"/>
              <w:left w:val="single" w:sz="6" w:space="0" w:color="000000"/>
              <w:bottom w:val="single" w:sz="6" w:space="0" w:color="000000"/>
              <w:right w:val="single" w:sz="6" w:space="0" w:color="000000"/>
            </w:tcBorders>
          </w:tcPr>
          <w:p w14:paraId="3187D859" w14:textId="77777777" w:rsidR="008940B3" w:rsidRDefault="008940B3" w:rsidP="00E858EF">
            <w:pPr>
              <w:suppressAutoHyphens/>
              <w:jc w:val="center"/>
              <w:rPr>
                <w:sz w:val="16"/>
                <w:szCs w:val="16"/>
              </w:rPr>
            </w:pPr>
            <w:r>
              <w:rPr>
                <w:sz w:val="16"/>
                <w:szCs w:val="16"/>
              </w:rPr>
              <w:t>1</w:t>
            </w:r>
          </w:p>
        </w:tc>
        <w:tc>
          <w:tcPr>
            <w:tcW w:w="709" w:type="dxa"/>
            <w:tcBorders>
              <w:top w:val="single" w:sz="6" w:space="0" w:color="000000"/>
              <w:left w:val="single" w:sz="6" w:space="0" w:color="000000"/>
              <w:bottom w:val="single" w:sz="6" w:space="0" w:color="000000"/>
              <w:right w:val="single" w:sz="6" w:space="0" w:color="000000"/>
            </w:tcBorders>
          </w:tcPr>
          <w:p w14:paraId="4383A88C" w14:textId="77777777" w:rsidR="008940B3" w:rsidRPr="003B5C8D" w:rsidRDefault="008940B3" w:rsidP="00E858EF">
            <w:pPr>
              <w:suppressAutoHyphens/>
              <w:jc w:val="center"/>
              <w:rPr>
                <w:sz w:val="16"/>
                <w:szCs w:val="16"/>
              </w:rPr>
            </w:pPr>
            <w:r>
              <w:rPr>
                <w:sz w:val="16"/>
                <w:szCs w:val="16"/>
              </w:rPr>
              <w:t>53</w:t>
            </w:r>
          </w:p>
        </w:tc>
      </w:tr>
    </w:tbl>
    <w:p w14:paraId="079024E1"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3FE37579" w14:textId="77777777" w:rsidR="008940B3" w:rsidRPr="003B5C8D" w:rsidRDefault="008940B3" w:rsidP="00DE4BD4">
      <w:pPr>
        <w:rPr>
          <w:color w:val="000000"/>
        </w:rPr>
      </w:pPr>
      <w:r>
        <w:rPr>
          <w:color w:val="000000"/>
        </w:rPr>
        <w:t>A f</w:t>
      </w:r>
      <w:r w:rsidRPr="003B5C8D">
        <w:rPr>
          <w:color w:val="000000"/>
        </w:rPr>
        <w:t xml:space="preserve">ew further remarks can be added </w:t>
      </w:r>
      <w:r>
        <w:rPr>
          <w:color w:val="000000"/>
        </w:rPr>
        <w:t>regarding tomb typ</w:t>
      </w:r>
      <w:r w:rsidRPr="003B5C8D">
        <w:rPr>
          <w:color w:val="000000"/>
        </w:rPr>
        <w:t xml:space="preserve">es. As </w:t>
      </w:r>
      <w:r>
        <w:rPr>
          <w:color w:val="000000"/>
        </w:rPr>
        <w:t>is evident</w:t>
      </w:r>
      <w:r w:rsidRPr="003B5C8D">
        <w:rPr>
          <w:color w:val="000000"/>
        </w:rPr>
        <w:t xml:space="preserve"> from the burial location analysis, pit</w:t>
      </w:r>
      <w:r>
        <w:rPr>
          <w:color w:val="000000"/>
        </w:rPr>
        <w:t>-</w:t>
      </w:r>
      <w:r w:rsidRPr="003B5C8D">
        <w:rPr>
          <w:color w:val="000000"/>
        </w:rPr>
        <w:t>caves ar</w:t>
      </w:r>
      <w:r w:rsidRPr="00E06AA1">
        <w:t>e attested in three cemeteries but associated with larnakes only once (the other pit</w:t>
      </w:r>
      <w:r>
        <w:t>-</w:t>
      </w:r>
      <w:r w:rsidRPr="00E06AA1">
        <w:t xml:space="preserve">cave with </w:t>
      </w:r>
      <w:r>
        <w:t xml:space="preserve">a </w:t>
      </w:r>
      <w:r w:rsidRPr="00E06AA1">
        <w:t xml:space="preserve">larnax burial is the one located east of </w:t>
      </w:r>
      <w:r>
        <w:t xml:space="preserve">the </w:t>
      </w:r>
      <w:r w:rsidRPr="00E06AA1">
        <w:t xml:space="preserve">Temple Tomb, although </w:t>
      </w:r>
      <w:r>
        <w:t xml:space="preserve">it is </w:t>
      </w:r>
      <w:r w:rsidRPr="00E06AA1">
        <w:t xml:space="preserve">not included in the number of secure burials because </w:t>
      </w:r>
      <w:r>
        <w:t xml:space="preserve">it is </w:t>
      </w:r>
      <w:r w:rsidRPr="00E06AA1">
        <w:t xml:space="preserve">probably LM II in date, </w:t>
      </w:r>
      <w:r>
        <w:t xml:space="preserve">see: </w:t>
      </w:r>
      <w:r w:rsidRPr="00D961D5">
        <w:rPr>
          <w:i/>
        </w:rPr>
        <w:t>ADelt</w:t>
      </w:r>
      <w:r w:rsidRPr="00E06AA1">
        <w:t xml:space="preserve"> 16 1960:</w:t>
      </w:r>
      <w:r>
        <w:t xml:space="preserve"> </w:t>
      </w:r>
      <w:r w:rsidRPr="00E06AA1">
        <w:t xml:space="preserve">266; </w:t>
      </w:r>
      <w:r>
        <w:t>Löwe 1996</w:t>
      </w:r>
      <w:r w:rsidRPr="00E06AA1">
        <w:t>:198 n. 485; Preston 2000).</w:t>
      </w:r>
      <w:r>
        <w:rPr>
          <w:color w:val="000000"/>
        </w:rPr>
        <w:t xml:space="preserve"> Corbel-vaulted tombs appear to be associated with larnakes only once, at Sellopoulo. Shaft graves are attested in the Mavro Spelio and</w:t>
      </w:r>
      <w:r w:rsidRPr="003B5C8D">
        <w:rPr>
          <w:color w:val="000000"/>
        </w:rPr>
        <w:t xml:space="preserve"> Upper Gypsades</w:t>
      </w:r>
      <w:r>
        <w:rPr>
          <w:color w:val="000000"/>
        </w:rPr>
        <w:t xml:space="preserve"> cemeteries. This tomb type varies in its shape: there are irregular shaft graves at Mavro Spelio (tombs X and XI) and </w:t>
      </w:r>
      <w:r w:rsidRPr="003B5C8D">
        <w:rPr>
          <w:color w:val="000000"/>
        </w:rPr>
        <w:t>double shaft grave</w:t>
      </w:r>
      <w:r>
        <w:rPr>
          <w:color w:val="000000"/>
        </w:rPr>
        <w:t>s</w:t>
      </w:r>
      <w:r w:rsidRPr="003B5C8D">
        <w:rPr>
          <w:color w:val="000000"/>
        </w:rPr>
        <w:t xml:space="preserve"> </w:t>
      </w:r>
      <w:r>
        <w:rPr>
          <w:color w:val="000000"/>
        </w:rPr>
        <w:t>are</w:t>
      </w:r>
      <w:r w:rsidRPr="003B5C8D">
        <w:rPr>
          <w:color w:val="000000"/>
        </w:rPr>
        <w:t xml:space="preserve"> attested </w:t>
      </w:r>
      <w:r>
        <w:rPr>
          <w:color w:val="000000"/>
        </w:rPr>
        <w:t xml:space="preserve">at Upper Gypsades </w:t>
      </w:r>
      <w:r w:rsidRPr="003B5C8D">
        <w:rPr>
          <w:color w:val="000000"/>
        </w:rPr>
        <w:t>(</w:t>
      </w:r>
      <w:r>
        <w:rPr>
          <w:color w:val="000000"/>
        </w:rPr>
        <w:t xml:space="preserve">Tomb XVI, Hood et al. </w:t>
      </w:r>
      <w:r w:rsidRPr="003B5C8D">
        <w:rPr>
          <w:color w:val="000000"/>
        </w:rPr>
        <w:t xml:space="preserve">1958: 218-219). </w:t>
      </w:r>
      <w:r>
        <w:rPr>
          <w:color w:val="000000"/>
        </w:rPr>
        <w:t xml:space="preserve">Finally, concerning chamber tombs, they occur with multiple chambers, as in the case of the </w:t>
      </w:r>
      <w:r w:rsidRPr="003B5C8D">
        <w:rPr>
          <w:color w:val="000000"/>
        </w:rPr>
        <w:t xml:space="preserve">Mavro Spelio cemetery (tombs IV, V, </w:t>
      </w:r>
      <w:r>
        <w:rPr>
          <w:color w:val="000000"/>
        </w:rPr>
        <w:t xml:space="preserve">VII, IX, XVII Forsdyke 1926/27), </w:t>
      </w:r>
      <w:r w:rsidRPr="003B5C8D">
        <w:rPr>
          <w:color w:val="000000"/>
        </w:rPr>
        <w:t>Upper Gypsades (</w:t>
      </w:r>
      <w:r>
        <w:rPr>
          <w:color w:val="000000"/>
        </w:rPr>
        <w:t>T</w:t>
      </w:r>
      <w:r w:rsidRPr="003B5C8D">
        <w:rPr>
          <w:color w:val="000000"/>
        </w:rPr>
        <w:t xml:space="preserve">omb 2, </w:t>
      </w:r>
      <w:r w:rsidRPr="00A814E4">
        <w:rPr>
          <w:i/>
          <w:color w:val="000000"/>
        </w:rPr>
        <w:t>ADelt</w:t>
      </w:r>
      <w:r w:rsidRPr="003B5C8D">
        <w:rPr>
          <w:color w:val="000000"/>
        </w:rPr>
        <w:t xml:space="preserve"> 48 1993</w:t>
      </w:r>
      <w:r>
        <w:rPr>
          <w:color w:val="000000"/>
        </w:rPr>
        <w:t>:</w:t>
      </w:r>
      <w:r w:rsidRPr="003B5C8D">
        <w:rPr>
          <w:color w:val="000000"/>
        </w:rPr>
        <w:t xml:space="preserve"> 445-448) </w:t>
      </w:r>
      <w:r w:rsidRPr="00065E98">
        <w:rPr>
          <w:color w:val="000000"/>
        </w:rPr>
        <w:t>and Zafer Papoura (tomb</w:t>
      </w:r>
      <w:r>
        <w:rPr>
          <w:color w:val="000000"/>
        </w:rPr>
        <w:t>s</w:t>
      </w:r>
      <w:r w:rsidRPr="00065E98">
        <w:rPr>
          <w:color w:val="000000"/>
        </w:rPr>
        <w:t xml:space="preserve"> 83-84, </w:t>
      </w:r>
      <w:r>
        <w:rPr>
          <w:color w:val="000000"/>
        </w:rPr>
        <w:t>see Evans 1906</w:t>
      </w:r>
      <w:r w:rsidRPr="00065E98">
        <w:rPr>
          <w:color w:val="000000"/>
        </w:rPr>
        <w:t xml:space="preserve"> 1905: 455). In two tombs at Mavro Spelio</w:t>
      </w:r>
      <w:r>
        <w:rPr>
          <w:color w:val="000000"/>
        </w:rPr>
        <w:t>,</w:t>
      </w:r>
      <w:r w:rsidRPr="00065E98">
        <w:rPr>
          <w:color w:val="000000"/>
        </w:rPr>
        <w:t xml:space="preserve"> larnakes </w:t>
      </w:r>
      <w:r>
        <w:rPr>
          <w:color w:val="000000"/>
        </w:rPr>
        <w:t xml:space="preserve">were found inside a pit in </w:t>
      </w:r>
      <w:r w:rsidRPr="00065E98">
        <w:rPr>
          <w:color w:val="000000"/>
        </w:rPr>
        <w:t>the tomb.</w:t>
      </w:r>
    </w:p>
    <w:p w14:paraId="141E8378" w14:textId="77777777" w:rsidR="008940B3" w:rsidRPr="00FB533C" w:rsidRDefault="008940B3" w:rsidP="00E858EF">
      <w:pPr>
        <w:pStyle w:val="Titolo4"/>
        <w:keepNext w:val="0"/>
        <w:keepLines w:val="0"/>
        <w:suppressAutoHyphens/>
        <w:ind w:left="864" w:hanging="864"/>
        <w:contextualSpacing w:val="0"/>
      </w:pPr>
      <w:bookmarkStart w:id="251" w:name="_Toc389131168"/>
      <w:bookmarkStart w:id="252" w:name="_Toc517876494"/>
      <w:r w:rsidRPr="00065E98">
        <w:t>Tomb dimension</w:t>
      </w:r>
      <w:r>
        <w:t>s</w:t>
      </w:r>
      <w:r w:rsidRPr="00065E98">
        <w:t xml:space="preserve"> and architectural features</w:t>
      </w:r>
      <w:r>
        <w:t xml:space="preserve">: </w:t>
      </w:r>
      <w:r w:rsidRPr="00751FFC">
        <w:t xml:space="preserve">How </w:t>
      </w:r>
      <w:r>
        <w:t>large</w:t>
      </w:r>
      <w:r w:rsidRPr="00751FFC">
        <w:t xml:space="preserve"> and monumental are the tomb</w:t>
      </w:r>
      <w:r>
        <w:t>s</w:t>
      </w:r>
      <w:r w:rsidRPr="00751FFC">
        <w:t xml:space="preserve"> associated with larnakes?</w:t>
      </w:r>
      <w:bookmarkEnd w:id="251"/>
      <w:bookmarkEnd w:id="252"/>
    </w:p>
    <w:p w14:paraId="71A64445" w14:textId="77777777" w:rsidR="008940B3" w:rsidRDefault="008940B3" w:rsidP="00DE4BD4">
      <w:r w:rsidRPr="003B5C8D">
        <w:t>Data regarding tomb dimension</w:t>
      </w:r>
      <w:r>
        <w:t>s</w:t>
      </w:r>
      <w:r w:rsidRPr="003B5C8D">
        <w:t xml:space="preserve"> and architectural features are available only for a limited number of tombs, and </w:t>
      </w:r>
      <w:r>
        <w:t>often</w:t>
      </w:r>
      <w:r w:rsidRPr="003B5C8D">
        <w:t xml:space="preserve"> not all the data are available for the same tomb. This means that all the results presented </w:t>
      </w:r>
      <w:r>
        <w:t>belong to a sample, of</w:t>
      </w:r>
      <w:r w:rsidRPr="003B5C8D">
        <w:t xml:space="preserve"> the tombs for which this information is available.</w:t>
      </w:r>
    </w:p>
    <w:p w14:paraId="09E6EBDE" w14:textId="77777777" w:rsidR="00AC1737" w:rsidRDefault="00AC1737"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sectPr w:rsidR="00AC1737" w:rsidSect="00F4682D">
          <w:pgSz w:w="11900" w:h="16840"/>
          <w:pgMar w:top="1418" w:right="1134" w:bottom="1134" w:left="2268" w:header="708" w:footer="708" w:gutter="0"/>
          <w:cols w:space="708"/>
          <w:titlePg/>
          <w:docGrid w:linePitch="360"/>
        </w:sectPr>
      </w:pPr>
    </w:p>
    <w:p w14:paraId="1295F551" w14:textId="0DD39AD1"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1DF0EDC8" w14:textId="6F883277" w:rsidR="008940B3" w:rsidRPr="003B5C8D" w:rsidRDefault="008940B3" w:rsidP="00E858EF">
      <w:pPr>
        <w:pStyle w:val="Testofumetto"/>
        <w:suppressAutoHyphens/>
      </w:pPr>
      <w:bookmarkStart w:id="253" w:name="_Toc520212523"/>
      <w:r>
        <w:t>Table 3-34. Tombs dimension</w:t>
      </w:r>
      <w:r w:rsidR="00715077">
        <w:t>,</w:t>
      </w:r>
      <w:r>
        <w:t xml:space="preserve"> Knossos area</w:t>
      </w:r>
      <w:bookmarkEnd w:id="25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60"/>
        <w:gridCol w:w="1330"/>
        <w:gridCol w:w="1275"/>
        <w:gridCol w:w="1275"/>
      </w:tblGrid>
      <w:tr w:rsidR="008940B3" w:rsidRPr="00DE4BD4" w14:paraId="6E87CA8A" w14:textId="77777777" w:rsidTr="00DE2BFC">
        <w:trPr>
          <w:trHeight w:val="405"/>
        </w:trPr>
        <w:tc>
          <w:tcPr>
            <w:tcW w:w="2060" w:type="dxa"/>
            <w:tcMar>
              <w:top w:w="0" w:type="dxa"/>
              <w:left w:w="75" w:type="dxa"/>
              <w:bottom w:w="0" w:type="dxa"/>
              <w:right w:w="75" w:type="dxa"/>
            </w:tcMar>
            <w:vAlign w:val="center"/>
            <w:hideMark/>
          </w:tcPr>
          <w:p w14:paraId="3EDEE4D4" w14:textId="77777777" w:rsidR="008940B3" w:rsidRPr="00DE4BD4" w:rsidRDefault="008940B3" w:rsidP="00E858EF">
            <w:pPr>
              <w:suppressAutoHyphens/>
              <w:rPr>
                <w:sz w:val="20"/>
                <w:szCs w:val="16"/>
              </w:rPr>
            </w:pPr>
          </w:p>
        </w:tc>
        <w:tc>
          <w:tcPr>
            <w:tcW w:w="1330" w:type="dxa"/>
            <w:tcMar>
              <w:top w:w="0" w:type="dxa"/>
              <w:left w:w="75" w:type="dxa"/>
              <w:bottom w:w="0" w:type="dxa"/>
              <w:right w:w="75" w:type="dxa"/>
            </w:tcMar>
            <w:vAlign w:val="center"/>
            <w:hideMark/>
          </w:tcPr>
          <w:p w14:paraId="07FD6453" w14:textId="77777777" w:rsidR="008940B3" w:rsidRPr="00DE4BD4" w:rsidRDefault="008940B3" w:rsidP="00E858EF">
            <w:pPr>
              <w:suppressAutoHyphens/>
              <w:jc w:val="center"/>
              <w:rPr>
                <w:sz w:val="20"/>
                <w:szCs w:val="16"/>
              </w:rPr>
            </w:pPr>
            <w:r w:rsidRPr="00DE4BD4">
              <w:rPr>
                <w:sz w:val="20"/>
                <w:szCs w:val="16"/>
              </w:rPr>
              <w:t>Mean</w:t>
            </w:r>
          </w:p>
        </w:tc>
        <w:tc>
          <w:tcPr>
            <w:tcW w:w="1275" w:type="dxa"/>
            <w:tcMar>
              <w:top w:w="0" w:type="dxa"/>
              <w:left w:w="75" w:type="dxa"/>
              <w:bottom w:w="0" w:type="dxa"/>
              <w:right w:w="75" w:type="dxa"/>
            </w:tcMar>
            <w:vAlign w:val="center"/>
            <w:hideMark/>
          </w:tcPr>
          <w:p w14:paraId="1EFE6652" w14:textId="77777777" w:rsidR="008940B3" w:rsidRPr="00DE4BD4" w:rsidRDefault="008940B3" w:rsidP="00E858EF">
            <w:pPr>
              <w:suppressAutoHyphens/>
              <w:jc w:val="center"/>
              <w:rPr>
                <w:sz w:val="20"/>
                <w:szCs w:val="16"/>
              </w:rPr>
            </w:pPr>
            <w:r w:rsidRPr="00DE4BD4">
              <w:rPr>
                <w:sz w:val="20"/>
                <w:szCs w:val="16"/>
              </w:rPr>
              <w:t>Min.</w:t>
            </w:r>
          </w:p>
        </w:tc>
        <w:tc>
          <w:tcPr>
            <w:tcW w:w="1275" w:type="dxa"/>
            <w:tcMar>
              <w:top w:w="0" w:type="dxa"/>
              <w:left w:w="75" w:type="dxa"/>
              <w:bottom w:w="0" w:type="dxa"/>
              <w:right w:w="75" w:type="dxa"/>
            </w:tcMar>
            <w:vAlign w:val="center"/>
            <w:hideMark/>
          </w:tcPr>
          <w:p w14:paraId="20A82B09" w14:textId="77777777" w:rsidR="008940B3" w:rsidRPr="00DE4BD4" w:rsidRDefault="008940B3" w:rsidP="00E858EF">
            <w:pPr>
              <w:suppressAutoHyphens/>
              <w:jc w:val="center"/>
              <w:rPr>
                <w:sz w:val="20"/>
                <w:szCs w:val="16"/>
              </w:rPr>
            </w:pPr>
            <w:r w:rsidRPr="00DE4BD4">
              <w:rPr>
                <w:sz w:val="20"/>
                <w:szCs w:val="16"/>
              </w:rPr>
              <w:t>Max.</w:t>
            </w:r>
          </w:p>
        </w:tc>
      </w:tr>
      <w:tr w:rsidR="008940B3" w:rsidRPr="00DE4BD4" w14:paraId="4D61F394" w14:textId="77777777" w:rsidTr="00DE2BFC">
        <w:trPr>
          <w:trHeight w:val="315"/>
        </w:trPr>
        <w:tc>
          <w:tcPr>
            <w:tcW w:w="2060" w:type="dxa"/>
            <w:shd w:val="clear" w:color="auto" w:fill="EFEFEF"/>
            <w:tcMar>
              <w:top w:w="0" w:type="dxa"/>
              <w:left w:w="75" w:type="dxa"/>
              <w:bottom w:w="0" w:type="dxa"/>
              <w:right w:w="75" w:type="dxa"/>
            </w:tcMar>
            <w:vAlign w:val="center"/>
            <w:hideMark/>
          </w:tcPr>
          <w:p w14:paraId="6A71FAE7" w14:textId="77777777" w:rsidR="008940B3" w:rsidRPr="00DE4BD4" w:rsidRDefault="008940B3" w:rsidP="00E858EF">
            <w:pPr>
              <w:suppressAutoHyphens/>
              <w:rPr>
                <w:sz w:val="20"/>
                <w:szCs w:val="16"/>
              </w:rPr>
            </w:pPr>
            <w:r w:rsidRPr="00DE4BD4">
              <w:rPr>
                <w:color w:val="000000"/>
                <w:sz w:val="20"/>
                <w:szCs w:val="16"/>
              </w:rPr>
              <w:t>Chamber area in sq.m.</w:t>
            </w:r>
          </w:p>
        </w:tc>
        <w:tc>
          <w:tcPr>
            <w:tcW w:w="1330" w:type="dxa"/>
            <w:shd w:val="clear" w:color="auto" w:fill="EFEFEF"/>
            <w:tcMar>
              <w:top w:w="0" w:type="dxa"/>
              <w:left w:w="75" w:type="dxa"/>
              <w:bottom w:w="0" w:type="dxa"/>
              <w:right w:w="75" w:type="dxa"/>
            </w:tcMar>
            <w:vAlign w:val="center"/>
            <w:hideMark/>
          </w:tcPr>
          <w:p w14:paraId="31B369FA" w14:textId="77777777" w:rsidR="008940B3" w:rsidRPr="00DE4BD4" w:rsidRDefault="008940B3" w:rsidP="00E858EF">
            <w:pPr>
              <w:suppressAutoHyphens/>
              <w:jc w:val="center"/>
              <w:rPr>
                <w:sz w:val="20"/>
                <w:szCs w:val="16"/>
              </w:rPr>
            </w:pPr>
            <w:r w:rsidRPr="00DE4BD4">
              <w:rPr>
                <w:sz w:val="20"/>
                <w:szCs w:val="16"/>
              </w:rPr>
              <w:t>4</w:t>
            </w:r>
          </w:p>
        </w:tc>
        <w:tc>
          <w:tcPr>
            <w:tcW w:w="1275" w:type="dxa"/>
            <w:shd w:val="clear" w:color="auto" w:fill="EFEFEF"/>
            <w:tcMar>
              <w:top w:w="0" w:type="dxa"/>
              <w:left w:w="75" w:type="dxa"/>
              <w:bottom w:w="0" w:type="dxa"/>
              <w:right w:w="75" w:type="dxa"/>
            </w:tcMar>
            <w:vAlign w:val="center"/>
            <w:hideMark/>
          </w:tcPr>
          <w:p w14:paraId="4AF5718A" w14:textId="77777777" w:rsidR="008940B3" w:rsidRPr="00DE4BD4" w:rsidRDefault="008940B3" w:rsidP="00E858EF">
            <w:pPr>
              <w:suppressAutoHyphens/>
              <w:jc w:val="center"/>
              <w:rPr>
                <w:sz w:val="20"/>
                <w:szCs w:val="16"/>
              </w:rPr>
            </w:pPr>
            <w:r w:rsidRPr="00DE4BD4">
              <w:rPr>
                <w:sz w:val="20"/>
                <w:szCs w:val="16"/>
              </w:rPr>
              <w:t>1</w:t>
            </w:r>
          </w:p>
        </w:tc>
        <w:tc>
          <w:tcPr>
            <w:tcW w:w="1275" w:type="dxa"/>
            <w:shd w:val="clear" w:color="auto" w:fill="EFEFEF"/>
            <w:tcMar>
              <w:top w:w="0" w:type="dxa"/>
              <w:left w:w="75" w:type="dxa"/>
              <w:bottom w:w="0" w:type="dxa"/>
              <w:right w:w="75" w:type="dxa"/>
            </w:tcMar>
            <w:vAlign w:val="center"/>
            <w:hideMark/>
          </w:tcPr>
          <w:p w14:paraId="45118D2E" w14:textId="77E6E91B" w:rsidR="008940B3" w:rsidRPr="00DE4BD4" w:rsidRDefault="008940B3" w:rsidP="00E858EF">
            <w:pPr>
              <w:suppressAutoHyphens/>
              <w:jc w:val="center"/>
              <w:rPr>
                <w:sz w:val="20"/>
                <w:szCs w:val="16"/>
              </w:rPr>
            </w:pPr>
            <w:r w:rsidRPr="00DE4BD4">
              <w:rPr>
                <w:color w:val="000000"/>
                <w:sz w:val="20"/>
                <w:szCs w:val="16"/>
              </w:rPr>
              <w:t>24</w:t>
            </w:r>
          </w:p>
        </w:tc>
      </w:tr>
      <w:tr w:rsidR="008940B3" w:rsidRPr="00DE4BD4" w14:paraId="507BFCD4" w14:textId="77777777" w:rsidTr="00DE2BFC">
        <w:trPr>
          <w:trHeight w:val="315"/>
        </w:trPr>
        <w:tc>
          <w:tcPr>
            <w:tcW w:w="2060" w:type="dxa"/>
            <w:tcMar>
              <w:top w:w="0" w:type="dxa"/>
              <w:left w:w="75" w:type="dxa"/>
              <w:bottom w:w="0" w:type="dxa"/>
              <w:right w:w="75" w:type="dxa"/>
            </w:tcMar>
            <w:vAlign w:val="center"/>
            <w:hideMark/>
          </w:tcPr>
          <w:p w14:paraId="0A221761" w14:textId="28AFB607" w:rsidR="008940B3" w:rsidRPr="00DE4BD4" w:rsidRDefault="008940B3" w:rsidP="00E858EF">
            <w:pPr>
              <w:suppressAutoHyphens/>
              <w:rPr>
                <w:sz w:val="20"/>
                <w:szCs w:val="16"/>
              </w:rPr>
            </w:pPr>
            <w:r w:rsidRPr="00DE4BD4">
              <w:rPr>
                <w:sz w:val="20"/>
                <w:szCs w:val="16"/>
              </w:rPr>
              <w:t>Dromos length</w:t>
            </w:r>
            <w:r w:rsidR="00DE2BFC" w:rsidRPr="00DE4BD4">
              <w:rPr>
                <w:sz w:val="20"/>
                <w:szCs w:val="16"/>
              </w:rPr>
              <w:t xml:space="preserve"> </w:t>
            </w:r>
            <w:r w:rsidRPr="00DE4BD4">
              <w:rPr>
                <w:sz w:val="20"/>
                <w:szCs w:val="16"/>
              </w:rPr>
              <w:t>in m</w:t>
            </w:r>
          </w:p>
        </w:tc>
        <w:tc>
          <w:tcPr>
            <w:tcW w:w="1330" w:type="dxa"/>
            <w:tcMar>
              <w:top w:w="0" w:type="dxa"/>
              <w:left w:w="75" w:type="dxa"/>
              <w:bottom w:w="0" w:type="dxa"/>
              <w:right w:w="75" w:type="dxa"/>
            </w:tcMar>
            <w:vAlign w:val="center"/>
            <w:hideMark/>
          </w:tcPr>
          <w:p w14:paraId="58E79E9B" w14:textId="77777777" w:rsidR="008940B3" w:rsidRPr="00DE4BD4" w:rsidRDefault="008940B3" w:rsidP="00E858EF">
            <w:pPr>
              <w:suppressAutoHyphens/>
              <w:jc w:val="center"/>
              <w:rPr>
                <w:sz w:val="20"/>
                <w:szCs w:val="16"/>
              </w:rPr>
            </w:pPr>
            <w:r w:rsidRPr="00DE4BD4">
              <w:rPr>
                <w:sz w:val="20"/>
                <w:szCs w:val="16"/>
              </w:rPr>
              <w:t>4</w:t>
            </w:r>
          </w:p>
        </w:tc>
        <w:tc>
          <w:tcPr>
            <w:tcW w:w="1275" w:type="dxa"/>
            <w:tcMar>
              <w:top w:w="0" w:type="dxa"/>
              <w:left w:w="75" w:type="dxa"/>
              <w:bottom w:w="0" w:type="dxa"/>
              <w:right w:w="75" w:type="dxa"/>
            </w:tcMar>
            <w:vAlign w:val="center"/>
            <w:hideMark/>
          </w:tcPr>
          <w:p w14:paraId="48BC8D41" w14:textId="77777777" w:rsidR="008940B3" w:rsidRPr="00DE4BD4" w:rsidRDefault="008940B3" w:rsidP="00E858EF">
            <w:pPr>
              <w:suppressAutoHyphens/>
              <w:jc w:val="center"/>
              <w:rPr>
                <w:sz w:val="20"/>
                <w:szCs w:val="16"/>
              </w:rPr>
            </w:pPr>
            <w:r w:rsidRPr="00DE4BD4">
              <w:rPr>
                <w:sz w:val="20"/>
                <w:szCs w:val="16"/>
              </w:rPr>
              <w:t>1</w:t>
            </w:r>
          </w:p>
        </w:tc>
        <w:tc>
          <w:tcPr>
            <w:tcW w:w="1275" w:type="dxa"/>
            <w:tcMar>
              <w:top w:w="0" w:type="dxa"/>
              <w:left w:w="75" w:type="dxa"/>
              <w:bottom w:w="0" w:type="dxa"/>
              <w:right w:w="75" w:type="dxa"/>
            </w:tcMar>
            <w:vAlign w:val="center"/>
            <w:hideMark/>
          </w:tcPr>
          <w:p w14:paraId="0483D481" w14:textId="7089A458" w:rsidR="008940B3" w:rsidRPr="00DE4BD4" w:rsidRDefault="008940B3" w:rsidP="00E858EF">
            <w:pPr>
              <w:suppressAutoHyphens/>
              <w:jc w:val="center"/>
              <w:rPr>
                <w:sz w:val="20"/>
                <w:szCs w:val="16"/>
              </w:rPr>
            </w:pPr>
            <w:r w:rsidRPr="00DE4BD4">
              <w:rPr>
                <w:color w:val="000000"/>
                <w:sz w:val="20"/>
                <w:szCs w:val="16"/>
              </w:rPr>
              <w:t>10</w:t>
            </w:r>
          </w:p>
        </w:tc>
      </w:tr>
    </w:tbl>
    <w:p w14:paraId="3F9F320C"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594FD8D0" w14:textId="6B72C7C4"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color w:val="000000"/>
          <w:sz w:val="22"/>
          <w:szCs w:val="22"/>
        </w:rPr>
        <w:t>Based on</w:t>
      </w:r>
      <w:r w:rsidRPr="003B5C8D">
        <w:rPr>
          <w:color w:val="000000"/>
          <w:sz w:val="22"/>
          <w:szCs w:val="22"/>
        </w:rPr>
        <w:t xml:space="preserve"> the results of </w:t>
      </w:r>
      <w:r>
        <w:rPr>
          <w:color w:val="000000"/>
          <w:sz w:val="22"/>
          <w:szCs w:val="22"/>
        </w:rPr>
        <w:t xml:space="preserve">the </w:t>
      </w:r>
      <w:r w:rsidRPr="003B5C8D">
        <w:rPr>
          <w:color w:val="000000"/>
          <w:sz w:val="22"/>
          <w:szCs w:val="22"/>
        </w:rPr>
        <w:t>chamber dimension analysis, four groups of tombs have been identified, and they are distributed as follow</w:t>
      </w:r>
      <w:r>
        <w:rPr>
          <w:color w:val="000000"/>
          <w:sz w:val="22"/>
          <w:szCs w:val="22"/>
        </w:rPr>
        <w:t>s</w:t>
      </w:r>
      <w:r w:rsidRPr="003B5C8D">
        <w:rPr>
          <w:color w:val="000000"/>
          <w:sz w:val="22"/>
          <w:szCs w:val="22"/>
        </w:rPr>
        <w:t>:</w:t>
      </w:r>
    </w:p>
    <w:p w14:paraId="2D669786" w14:textId="77777777" w:rsidR="00DE2BFC" w:rsidRDefault="00DE2BFC"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673D9753" w14:textId="7F0EA2CB" w:rsidR="008940B3" w:rsidRPr="003B5C8D" w:rsidRDefault="008940B3" w:rsidP="00E858EF">
      <w:pPr>
        <w:pStyle w:val="Testofumetto"/>
        <w:suppressAutoHyphens/>
      </w:pPr>
      <w:bookmarkStart w:id="254" w:name="_Toc520212524"/>
      <w:r>
        <w:t>Table 3-35</w:t>
      </w:r>
      <w:r w:rsidR="00086042">
        <w:t>.</w:t>
      </w:r>
      <w:r>
        <w:t xml:space="preserve"> Tomb size groups</w:t>
      </w:r>
      <w:r w:rsidR="00715077">
        <w:t>,</w:t>
      </w:r>
      <w:r>
        <w:t xml:space="preserve"> Knossos area</w:t>
      </w:r>
      <w:bookmarkEnd w:id="254"/>
    </w:p>
    <w:tbl>
      <w:tblPr>
        <w:tblW w:w="0" w:type="auto"/>
        <w:tblCellMar>
          <w:left w:w="0" w:type="dxa"/>
          <w:right w:w="0" w:type="dxa"/>
        </w:tblCellMar>
        <w:tblLook w:val="04A0" w:firstRow="1" w:lastRow="0" w:firstColumn="1" w:lastColumn="0" w:noHBand="0" w:noVBand="1"/>
      </w:tblPr>
      <w:tblGrid>
        <w:gridCol w:w="2060"/>
        <w:gridCol w:w="1276"/>
        <w:gridCol w:w="1417"/>
        <w:gridCol w:w="1418"/>
        <w:gridCol w:w="1559"/>
      </w:tblGrid>
      <w:tr w:rsidR="008940B3" w:rsidRPr="00DE4BD4" w14:paraId="4B46ACBF" w14:textId="77777777" w:rsidTr="008940B3">
        <w:trPr>
          <w:trHeight w:val="40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40E33D58" w14:textId="77777777" w:rsidR="008940B3" w:rsidRPr="00DE4BD4" w:rsidRDefault="008940B3" w:rsidP="00DE4BD4">
            <w:pPr>
              <w:suppressAutoHyphens/>
              <w:spacing w:line="276" w:lineRule="auto"/>
              <w:jc w:val="left"/>
              <w:rPr>
                <w:sz w:val="20"/>
                <w:szCs w:val="16"/>
              </w:rPr>
            </w:pP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8B52BEA" w14:textId="77777777" w:rsidR="008940B3" w:rsidRPr="00DE4BD4" w:rsidRDefault="008940B3" w:rsidP="00DE4BD4">
            <w:pPr>
              <w:suppressAutoHyphens/>
              <w:spacing w:line="276" w:lineRule="auto"/>
              <w:jc w:val="center"/>
              <w:rPr>
                <w:sz w:val="20"/>
                <w:szCs w:val="16"/>
              </w:rPr>
            </w:pPr>
            <w:r w:rsidRPr="00DE4BD4">
              <w:rPr>
                <w:sz w:val="20"/>
                <w:szCs w:val="16"/>
              </w:rPr>
              <w:t>Small</w:t>
            </w:r>
          </w:p>
        </w:tc>
        <w:tc>
          <w:tcPr>
            <w:tcW w:w="141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9628CC6" w14:textId="77777777" w:rsidR="008940B3" w:rsidRPr="00DE4BD4" w:rsidRDefault="008940B3" w:rsidP="00DE4BD4">
            <w:pPr>
              <w:suppressAutoHyphens/>
              <w:spacing w:line="276" w:lineRule="auto"/>
              <w:jc w:val="center"/>
              <w:rPr>
                <w:sz w:val="20"/>
                <w:szCs w:val="16"/>
              </w:rPr>
            </w:pPr>
            <w:r w:rsidRPr="00DE4BD4">
              <w:rPr>
                <w:sz w:val="20"/>
                <w:szCs w:val="16"/>
              </w:rPr>
              <w:t>Medium</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24BF3676" w14:textId="77777777" w:rsidR="008940B3" w:rsidRPr="00DE4BD4" w:rsidRDefault="008940B3" w:rsidP="00DE4BD4">
            <w:pPr>
              <w:suppressAutoHyphens/>
              <w:spacing w:line="276" w:lineRule="auto"/>
              <w:jc w:val="center"/>
              <w:rPr>
                <w:sz w:val="20"/>
                <w:szCs w:val="16"/>
              </w:rPr>
            </w:pPr>
            <w:r w:rsidRPr="00DE4BD4">
              <w:rPr>
                <w:sz w:val="20"/>
                <w:szCs w:val="16"/>
              </w:rPr>
              <w:t>Large</w:t>
            </w:r>
          </w:p>
        </w:tc>
        <w:tc>
          <w:tcPr>
            <w:tcW w:w="1559" w:type="dxa"/>
            <w:tcBorders>
              <w:top w:val="single" w:sz="6" w:space="0" w:color="000000"/>
              <w:left w:val="single" w:sz="6" w:space="0" w:color="000000"/>
              <w:bottom w:val="single" w:sz="6" w:space="0" w:color="000000"/>
              <w:right w:val="single" w:sz="6" w:space="0" w:color="000000"/>
            </w:tcBorders>
          </w:tcPr>
          <w:p w14:paraId="56991EFD" w14:textId="77777777" w:rsidR="008940B3" w:rsidRPr="00DE4BD4" w:rsidRDefault="008940B3" w:rsidP="00DE4BD4">
            <w:pPr>
              <w:suppressAutoHyphens/>
              <w:spacing w:line="276" w:lineRule="auto"/>
              <w:jc w:val="center"/>
              <w:rPr>
                <w:sz w:val="20"/>
                <w:szCs w:val="16"/>
              </w:rPr>
            </w:pPr>
            <w:r w:rsidRPr="00DE4BD4">
              <w:rPr>
                <w:sz w:val="20"/>
                <w:szCs w:val="16"/>
              </w:rPr>
              <w:t>Extra-Large</w:t>
            </w:r>
          </w:p>
        </w:tc>
      </w:tr>
      <w:tr w:rsidR="008940B3" w:rsidRPr="00DE4BD4" w14:paraId="5EEFF260" w14:textId="77777777" w:rsidTr="008940B3">
        <w:trPr>
          <w:trHeight w:val="315"/>
        </w:trPr>
        <w:tc>
          <w:tcPr>
            <w:tcW w:w="206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715DF73F" w14:textId="77777777" w:rsidR="008940B3" w:rsidRPr="00DE4BD4" w:rsidRDefault="008940B3" w:rsidP="00DE4BD4">
            <w:pPr>
              <w:suppressAutoHyphens/>
              <w:spacing w:line="276" w:lineRule="auto"/>
              <w:jc w:val="left"/>
              <w:rPr>
                <w:sz w:val="20"/>
                <w:szCs w:val="16"/>
              </w:rPr>
            </w:pPr>
            <w:r w:rsidRPr="00DE4BD4">
              <w:rPr>
                <w:color w:val="000000"/>
                <w:sz w:val="20"/>
                <w:szCs w:val="16"/>
              </w:rPr>
              <w:t>Chamber area in sq.m.</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3CE32040" w14:textId="77777777" w:rsidR="008940B3" w:rsidRPr="00DE4BD4" w:rsidRDefault="008940B3" w:rsidP="00DE4BD4">
            <w:pPr>
              <w:suppressAutoHyphens/>
              <w:spacing w:line="276" w:lineRule="auto"/>
              <w:jc w:val="center"/>
              <w:rPr>
                <w:sz w:val="20"/>
                <w:szCs w:val="16"/>
              </w:rPr>
            </w:pPr>
            <w:r w:rsidRPr="00DE4BD4">
              <w:rPr>
                <w:sz w:val="20"/>
                <w:szCs w:val="16"/>
              </w:rPr>
              <w:t>0-6</w:t>
            </w:r>
          </w:p>
        </w:tc>
        <w:tc>
          <w:tcPr>
            <w:tcW w:w="1417"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70591488" w14:textId="77777777" w:rsidR="008940B3" w:rsidRPr="00DE4BD4" w:rsidRDefault="008940B3" w:rsidP="00DE4BD4">
            <w:pPr>
              <w:suppressAutoHyphens/>
              <w:spacing w:line="276" w:lineRule="auto"/>
              <w:jc w:val="center"/>
              <w:rPr>
                <w:sz w:val="20"/>
                <w:szCs w:val="16"/>
              </w:rPr>
            </w:pPr>
            <w:r w:rsidRPr="00DE4BD4">
              <w:rPr>
                <w:sz w:val="20"/>
                <w:szCs w:val="16"/>
              </w:rPr>
              <w:t>7-12</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2475AB15" w14:textId="77777777" w:rsidR="008940B3" w:rsidRPr="00DE4BD4" w:rsidRDefault="008940B3" w:rsidP="00DE4BD4">
            <w:pPr>
              <w:suppressAutoHyphens/>
              <w:spacing w:line="276" w:lineRule="auto"/>
              <w:jc w:val="center"/>
              <w:rPr>
                <w:sz w:val="20"/>
                <w:szCs w:val="16"/>
              </w:rPr>
            </w:pPr>
            <w:r w:rsidRPr="00DE4BD4">
              <w:rPr>
                <w:color w:val="000000"/>
                <w:sz w:val="20"/>
                <w:szCs w:val="16"/>
              </w:rPr>
              <w:t>13-18</w:t>
            </w:r>
          </w:p>
        </w:tc>
        <w:tc>
          <w:tcPr>
            <w:tcW w:w="1559" w:type="dxa"/>
            <w:tcBorders>
              <w:top w:val="single" w:sz="6" w:space="0" w:color="000000"/>
              <w:left w:val="single" w:sz="6" w:space="0" w:color="000000"/>
              <w:bottom w:val="single" w:sz="6" w:space="0" w:color="000000"/>
              <w:right w:val="single" w:sz="6" w:space="0" w:color="000000"/>
            </w:tcBorders>
            <w:shd w:val="clear" w:color="auto" w:fill="EFEFEF"/>
          </w:tcPr>
          <w:p w14:paraId="5130F9E7" w14:textId="77777777" w:rsidR="008940B3" w:rsidRPr="00DE4BD4" w:rsidRDefault="008940B3" w:rsidP="00DE4BD4">
            <w:pPr>
              <w:suppressAutoHyphens/>
              <w:spacing w:line="276" w:lineRule="auto"/>
              <w:jc w:val="center"/>
              <w:rPr>
                <w:color w:val="000000"/>
                <w:sz w:val="20"/>
                <w:szCs w:val="16"/>
              </w:rPr>
            </w:pPr>
            <w:r w:rsidRPr="00DE4BD4">
              <w:rPr>
                <w:color w:val="000000"/>
                <w:sz w:val="20"/>
                <w:szCs w:val="16"/>
              </w:rPr>
              <w:t>19-24</w:t>
            </w:r>
          </w:p>
        </w:tc>
      </w:tr>
      <w:tr w:rsidR="008940B3" w:rsidRPr="00DE4BD4" w14:paraId="097D12C7" w14:textId="77777777" w:rsidTr="008940B3">
        <w:trPr>
          <w:trHeight w:val="31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6323673" w14:textId="77777777" w:rsidR="008940B3" w:rsidRPr="00DE4BD4" w:rsidRDefault="008940B3" w:rsidP="00DE4BD4">
            <w:pPr>
              <w:suppressAutoHyphens/>
              <w:spacing w:line="276" w:lineRule="auto"/>
              <w:jc w:val="left"/>
              <w:rPr>
                <w:sz w:val="20"/>
                <w:szCs w:val="16"/>
              </w:rPr>
            </w:pPr>
            <w:r w:rsidRPr="00DE4BD4">
              <w:rPr>
                <w:sz w:val="20"/>
                <w:szCs w:val="16"/>
              </w:rPr>
              <w:t>Number of tombs within each group</w:t>
            </w: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F5FB0FF" w14:textId="77777777" w:rsidR="008940B3" w:rsidRPr="00DE4BD4" w:rsidRDefault="008940B3" w:rsidP="00DE4BD4">
            <w:pPr>
              <w:suppressAutoHyphens/>
              <w:spacing w:line="276" w:lineRule="auto"/>
              <w:jc w:val="center"/>
              <w:rPr>
                <w:sz w:val="20"/>
                <w:szCs w:val="16"/>
              </w:rPr>
            </w:pPr>
            <w:r w:rsidRPr="00DE4BD4">
              <w:rPr>
                <w:sz w:val="20"/>
                <w:szCs w:val="16"/>
              </w:rPr>
              <w:t>28</w:t>
            </w:r>
          </w:p>
        </w:tc>
        <w:tc>
          <w:tcPr>
            <w:tcW w:w="141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515EA99" w14:textId="77777777" w:rsidR="008940B3" w:rsidRPr="00DE4BD4" w:rsidRDefault="008940B3" w:rsidP="00DE4BD4">
            <w:pPr>
              <w:suppressAutoHyphens/>
              <w:spacing w:line="276" w:lineRule="auto"/>
              <w:jc w:val="center"/>
              <w:rPr>
                <w:sz w:val="20"/>
                <w:szCs w:val="16"/>
              </w:rPr>
            </w:pPr>
            <w:r w:rsidRPr="00DE4BD4">
              <w:rPr>
                <w:sz w:val="20"/>
                <w:szCs w:val="16"/>
              </w:rPr>
              <w:t>2</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44D5BFC1" w14:textId="77777777" w:rsidR="008940B3" w:rsidRPr="00DE4BD4" w:rsidRDefault="008940B3" w:rsidP="00DE4BD4">
            <w:pPr>
              <w:suppressAutoHyphens/>
              <w:spacing w:line="276" w:lineRule="auto"/>
              <w:jc w:val="center"/>
              <w:rPr>
                <w:sz w:val="20"/>
                <w:szCs w:val="16"/>
              </w:rPr>
            </w:pPr>
            <w:r w:rsidRPr="00DE4BD4">
              <w:rPr>
                <w:color w:val="000000"/>
                <w:sz w:val="20"/>
                <w:szCs w:val="16"/>
              </w:rPr>
              <w:t>0</w:t>
            </w:r>
          </w:p>
        </w:tc>
        <w:tc>
          <w:tcPr>
            <w:tcW w:w="1559" w:type="dxa"/>
            <w:tcBorders>
              <w:top w:val="single" w:sz="6" w:space="0" w:color="000000"/>
              <w:left w:val="single" w:sz="6" w:space="0" w:color="000000"/>
              <w:bottom w:val="single" w:sz="6" w:space="0" w:color="000000"/>
              <w:right w:val="single" w:sz="6" w:space="0" w:color="000000"/>
            </w:tcBorders>
          </w:tcPr>
          <w:p w14:paraId="572A3697" w14:textId="77777777" w:rsidR="008940B3" w:rsidRPr="00DE4BD4" w:rsidRDefault="008940B3" w:rsidP="00DE4BD4">
            <w:pPr>
              <w:suppressAutoHyphens/>
              <w:spacing w:line="276" w:lineRule="auto"/>
              <w:jc w:val="center"/>
              <w:rPr>
                <w:color w:val="000000"/>
                <w:sz w:val="20"/>
                <w:szCs w:val="16"/>
              </w:rPr>
            </w:pPr>
            <w:r w:rsidRPr="00DE4BD4">
              <w:rPr>
                <w:color w:val="000000"/>
                <w:sz w:val="20"/>
                <w:szCs w:val="16"/>
              </w:rPr>
              <w:t>1</w:t>
            </w:r>
          </w:p>
        </w:tc>
      </w:tr>
    </w:tbl>
    <w:p w14:paraId="1E46208E" w14:textId="77777777" w:rsidR="008940B3" w:rsidRPr="00065E98"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035BAD46" w14:textId="77777777" w:rsidR="008940B3" w:rsidRDefault="008940B3" w:rsidP="00DE4BD4">
      <w:r w:rsidRPr="003B5C8D">
        <w:t>From the data collected from the tombs</w:t>
      </w:r>
      <w:r>
        <w:t>,</w:t>
      </w:r>
      <w:r w:rsidRPr="003B5C8D">
        <w:t xml:space="preserve"> for which both values are registered, </w:t>
      </w:r>
      <w:r>
        <w:t xml:space="preserve">the </w:t>
      </w:r>
      <w:r w:rsidRPr="003B5C8D">
        <w:t>c</w:t>
      </w:r>
      <w:r>
        <w:t>hamber and dromos dimensions do not reveal a proportional relationship (although the length of the dromos of the Katsambas chamber tomb (XL) is the longest in the area).</w:t>
      </w:r>
    </w:p>
    <w:p w14:paraId="6F13070E"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8029FDE" w14:textId="10C8B684" w:rsidR="008940B3" w:rsidRPr="003B5C8D" w:rsidRDefault="008940B3" w:rsidP="00E858EF">
      <w:pPr>
        <w:pStyle w:val="Testofumetto"/>
        <w:suppressAutoHyphens/>
      </w:pPr>
      <w:bookmarkStart w:id="255" w:name="_Toc520212525"/>
      <w:r>
        <w:t>Table 3-36</w:t>
      </w:r>
      <w:r w:rsidR="00086042">
        <w:t>.</w:t>
      </w:r>
      <w:r>
        <w:t xml:space="preserve"> Tomb size and dromos length comparison</w:t>
      </w:r>
      <w:r w:rsidR="00715077">
        <w:t>,</w:t>
      </w:r>
      <w:r>
        <w:t xml:space="preserve"> Knossos area</w:t>
      </w:r>
      <w:bookmarkEnd w:id="255"/>
    </w:p>
    <w:tbl>
      <w:tblPr>
        <w:tblpPr w:leftFromText="180" w:rightFromText="180" w:vertAnchor="text" w:tblpY="1"/>
        <w:tblOverlap w:val="never"/>
        <w:tblW w:w="0" w:type="auto"/>
        <w:tblCellMar>
          <w:left w:w="0" w:type="dxa"/>
          <w:right w:w="0" w:type="dxa"/>
        </w:tblCellMar>
        <w:tblLook w:val="04A0" w:firstRow="1" w:lastRow="0" w:firstColumn="1" w:lastColumn="0" w:noHBand="0" w:noVBand="1"/>
      </w:tblPr>
      <w:tblGrid>
        <w:gridCol w:w="2060"/>
        <w:gridCol w:w="1330"/>
      </w:tblGrid>
      <w:tr w:rsidR="008940B3" w:rsidRPr="00DE4BD4" w14:paraId="6CFBC514" w14:textId="77777777" w:rsidTr="00DE4BD4">
        <w:trPr>
          <w:trHeight w:val="40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27BBE430" w14:textId="77777777" w:rsidR="008940B3" w:rsidRPr="00DE4BD4" w:rsidRDefault="008940B3" w:rsidP="00DE4BD4">
            <w:pPr>
              <w:suppressAutoHyphens/>
              <w:rPr>
                <w:sz w:val="20"/>
                <w:szCs w:val="16"/>
              </w:rPr>
            </w:pPr>
          </w:p>
        </w:tc>
        <w:tc>
          <w:tcPr>
            <w:tcW w:w="133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6E2DC56C" w14:textId="77777777" w:rsidR="008940B3" w:rsidRPr="00DE4BD4" w:rsidRDefault="008940B3" w:rsidP="00DE4BD4">
            <w:pPr>
              <w:suppressAutoHyphens/>
              <w:jc w:val="center"/>
              <w:rPr>
                <w:sz w:val="20"/>
                <w:szCs w:val="16"/>
              </w:rPr>
            </w:pPr>
            <w:r w:rsidRPr="00DE4BD4">
              <w:rPr>
                <w:sz w:val="20"/>
                <w:szCs w:val="16"/>
              </w:rPr>
              <w:t>Mean</w:t>
            </w:r>
          </w:p>
        </w:tc>
      </w:tr>
      <w:tr w:rsidR="008940B3" w:rsidRPr="00DE4BD4" w14:paraId="3C84341F" w14:textId="77777777" w:rsidTr="00DE4BD4">
        <w:trPr>
          <w:trHeight w:val="315"/>
        </w:trPr>
        <w:tc>
          <w:tcPr>
            <w:tcW w:w="206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11C4926B" w14:textId="77777777" w:rsidR="008940B3" w:rsidRPr="00DE4BD4" w:rsidRDefault="008940B3" w:rsidP="00DE4BD4">
            <w:pPr>
              <w:suppressAutoHyphens/>
              <w:rPr>
                <w:sz w:val="20"/>
                <w:szCs w:val="16"/>
              </w:rPr>
            </w:pPr>
            <w:r w:rsidRPr="00DE4BD4">
              <w:rPr>
                <w:color w:val="000000"/>
                <w:sz w:val="20"/>
                <w:szCs w:val="16"/>
              </w:rPr>
              <w:t>Chamber area in sq.m.</w:t>
            </w:r>
          </w:p>
        </w:tc>
        <w:tc>
          <w:tcPr>
            <w:tcW w:w="133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3D31D9FB" w14:textId="77777777" w:rsidR="008940B3" w:rsidRPr="00DE4BD4" w:rsidRDefault="008940B3" w:rsidP="00DE4BD4">
            <w:pPr>
              <w:suppressAutoHyphens/>
              <w:jc w:val="center"/>
              <w:rPr>
                <w:sz w:val="20"/>
                <w:szCs w:val="16"/>
              </w:rPr>
            </w:pPr>
            <w:r w:rsidRPr="00DE4BD4">
              <w:rPr>
                <w:sz w:val="20"/>
                <w:szCs w:val="16"/>
              </w:rPr>
              <w:t>2.3</w:t>
            </w:r>
          </w:p>
        </w:tc>
      </w:tr>
      <w:tr w:rsidR="008940B3" w:rsidRPr="00DE4BD4" w14:paraId="14406AF7" w14:textId="77777777" w:rsidTr="00DE4BD4">
        <w:trPr>
          <w:trHeight w:val="31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7290B876" w14:textId="672E8A3C" w:rsidR="008940B3" w:rsidRPr="00DE4BD4" w:rsidRDefault="008940B3" w:rsidP="00DE4BD4">
            <w:pPr>
              <w:suppressAutoHyphens/>
              <w:rPr>
                <w:sz w:val="20"/>
                <w:szCs w:val="16"/>
              </w:rPr>
            </w:pPr>
            <w:r w:rsidRPr="00DE4BD4">
              <w:rPr>
                <w:sz w:val="20"/>
                <w:szCs w:val="16"/>
              </w:rPr>
              <w:t>Dromos length</w:t>
            </w:r>
            <w:r w:rsidR="00DE2BFC" w:rsidRPr="00DE4BD4">
              <w:rPr>
                <w:sz w:val="20"/>
                <w:szCs w:val="16"/>
              </w:rPr>
              <w:t xml:space="preserve"> </w:t>
            </w:r>
            <w:r w:rsidRPr="00DE4BD4">
              <w:rPr>
                <w:sz w:val="20"/>
                <w:szCs w:val="16"/>
              </w:rPr>
              <w:t>in m</w:t>
            </w:r>
          </w:p>
        </w:tc>
        <w:tc>
          <w:tcPr>
            <w:tcW w:w="133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35017709" w14:textId="77777777" w:rsidR="008940B3" w:rsidRPr="00DE4BD4" w:rsidRDefault="008940B3" w:rsidP="00DE4BD4">
            <w:pPr>
              <w:suppressAutoHyphens/>
              <w:jc w:val="center"/>
              <w:rPr>
                <w:sz w:val="20"/>
                <w:szCs w:val="16"/>
              </w:rPr>
            </w:pPr>
            <w:r w:rsidRPr="00DE4BD4">
              <w:rPr>
                <w:sz w:val="20"/>
                <w:szCs w:val="16"/>
              </w:rPr>
              <w:t>5</w:t>
            </w:r>
          </w:p>
        </w:tc>
      </w:tr>
    </w:tbl>
    <w:p w14:paraId="06543F47" w14:textId="319C05D3" w:rsidR="008940B3" w:rsidRDefault="00DE4BD4"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color w:val="000000"/>
          <w:sz w:val="22"/>
          <w:szCs w:val="22"/>
        </w:rPr>
        <w:br w:type="textWrapping" w:clear="all"/>
      </w:r>
    </w:p>
    <w:p w14:paraId="690C4D73" w14:textId="35CCE70D" w:rsidR="008940B3" w:rsidRPr="003B5C8D" w:rsidRDefault="008940B3" w:rsidP="00E858EF">
      <w:pPr>
        <w:pStyle w:val="Testofumetto"/>
        <w:suppressAutoHyphens/>
      </w:pPr>
      <w:bookmarkStart w:id="256" w:name="_Toc520212526"/>
      <w:r>
        <w:t>Table 3-37</w:t>
      </w:r>
      <w:r w:rsidR="00086042">
        <w:t>.</w:t>
      </w:r>
      <w:r>
        <w:t xml:space="preserve"> Tomb size and dromos length comparison according to tomb size groups</w:t>
      </w:r>
      <w:r w:rsidR="00715077">
        <w:t>,</w:t>
      </w:r>
      <w:r>
        <w:t xml:space="preserve"> Knossos area</w:t>
      </w:r>
      <w:bookmarkEnd w:id="256"/>
    </w:p>
    <w:tbl>
      <w:tblPr>
        <w:tblW w:w="0" w:type="auto"/>
        <w:tblCellMar>
          <w:left w:w="0" w:type="dxa"/>
          <w:right w:w="0" w:type="dxa"/>
        </w:tblCellMar>
        <w:tblLook w:val="04A0" w:firstRow="1" w:lastRow="0" w:firstColumn="1" w:lastColumn="0" w:noHBand="0" w:noVBand="1"/>
      </w:tblPr>
      <w:tblGrid>
        <w:gridCol w:w="2060"/>
        <w:gridCol w:w="1417"/>
        <w:gridCol w:w="1418"/>
        <w:gridCol w:w="1559"/>
      </w:tblGrid>
      <w:tr w:rsidR="008940B3" w:rsidRPr="00DE4BD4" w14:paraId="1EA17AF0" w14:textId="77777777" w:rsidTr="00DE2BFC">
        <w:trPr>
          <w:trHeight w:val="40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80419A2" w14:textId="77777777" w:rsidR="008940B3" w:rsidRPr="00DE4BD4" w:rsidRDefault="008940B3" w:rsidP="00E858EF">
            <w:pPr>
              <w:suppressAutoHyphens/>
              <w:jc w:val="left"/>
              <w:rPr>
                <w:sz w:val="20"/>
                <w:szCs w:val="16"/>
              </w:rPr>
            </w:pPr>
          </w:p>
        </w:tc>
        <w:tc>
          <w:tcPr>
            <w:tcW w:w="141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7058220F" w14:textId="77777777" w:rsidR="008940B3" w:rsidRPr="00DE4BD4" w:rsidRDefault="008940B3" w:rsidP="00E858EF">
            <w:pPr>
              <w:suppressAutoHyphens/>
              <w:jc w:val="center"/>
              <w:rPr>
                <w:sz w:val="20"/>
                <w:szCs w:val="16"/>
              </w:rPr>
            </w:pPr>
            <w:r w:rsidRPr="00DE4BD4">
              <w:rPr>
                <w:sz w:val="20"/>
                <w:szCs w:val="16"/>
              </w:rPr>
              <w:t>Small</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01F7ADC" w14:textId="77777777" w:rsidR="008940B3" w:rsidRPr="00DE4BD4" w:rsidRDefault="008940B3" w:rsidP="00E858EF">
            <w:pPr>
              <w:suppressAutoHyphens/>
              <w:jc w:val="center"/>
              <w:rPr>
                <w:sz w:val="20"/>
                <w:szCs w:val="16"/>
              </w:rPr>
            </w:pPr>
            <w:r w:rsidRPr="00DE4BD4">
              <w:rPr>
                <w:sz w:val="20"/>
                <w:szCs w:val="16"/>
              </w:rPr>
              <w:t>Medium</w:t>
            </w:r>
          </w:p>
        </w:tc>
        <w:tc>
          <w:tcPr>
            <w:tcW w:w="1559" w:type="dxa"/>
            <w:tcBorders>
              <w:top w:val="single" w:sz="6" w:space="0" w:color="000000"/>
              <w:left w:val="single" w:sz="6" w:space="0" w:color="000000"/>
              <w:bottom w:val="single" w:sz="6" w:space="0" w:color="000000"/>
              <w:right w:val="single" w:sz="6" w:space="0" w:color="000000"/>
            </w:tcBorders>
          </w:tcPr>
          <w:p w14:paraId="52B9027E" w14:textId="77777777" w:rsidR="008940B3" w:rsidRPr="00DE4BD4" w:rsidRDefault="008940B3" w:rsidP="00E858EF">
            <w:pPr>
              <w:suppressAutoHyphens/>
              <w:jc w:val="center"/>
              <w:rPr>
                <w:sz w:val="20"/>
                <w:szCs w:val="16"/>
              </w:rPr>
            </w:pPr>
            <w:r w:rsidRPr="00DE4BD4">
              <w:rPr>
                <w:sz w:val="20"/>
                <w:szCs w:val="16"/>
              </w:rPr>
              <w:t>Extra-Large</w:t>
            </w:r>
          </w:p>
        </w:tc>
      </w:tr>
      <w:tr w:rsidR="008940B3" w:rsidRPr="00DE4BD4" w14:paraId="25EC1881" w14:textId="77777777" w:rsidTr="00DE2BFC">
        <w:trPr>
          <w:trHeight w:val="315"/>
        </w:trPr>
        <w:tc>
          <w:tcPr>
            <w:tcW w:w="206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33F5FEEA" w14:textId="77777777" w:rsidR="008940B3" w:rsidRPr="00DE4BD4" w:rsidRDefault="008940B3" w:rsidP="00E858EF">
            <w:pPr>
              <w:suppressAutoHyphens/>
              <w:jc w:val="left"/>
              <w:rPr>
                <w:sz w:val="20"/>
                <w:szCs w:val="16"/>
              </w:rPr>
            </w:pPr>
            <w:r w:rsidRPr="00DE4BD4">
              <w:rPr>
                <w:color w:val="000000"/>
                <w:sz w:val="20"/>
                <w:szCs w:val="16"/>
              </w:rPr>
              <w:t>Chamber area in sq.m.</w:t>
            </w:r>
          </w:p>
        </w:tc>
        <w:tc>
          <w:tcPr>
            <w:tcW w:w="1417"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7F41138C" w14:textId="77777777" w:rsidR="008940B3" w:rsidRPr="00DE4BD4" w:rsidRDefault="008940B3" w:rsidP="00E858EF">
            <w:pPr>
              <w:suppressAutoHyphens/>
              <w:jc w:val="center"/>
              <w:rPr>
                <w:sz w:val="20"/>
                <w:szCs w:val="16"/>
              </w:rPr>
            </w:pPr>
            <w:r w:rsidRPr="00DE4BD4">
              <w:rPr>
                <w:sz w:val="20"/>
                <w:szCs w:val="16"/>
              </w:rPr>
              <w:t>0-6</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7E97D911" w14:textId="77777777" w:rsidR="008940B3" w:rsidRPr="00DE4BD4" w:rsidRDefault="008940B3" w:rsidP="00E858EF">
            <w:pPr>
              <w:suppressAutoHyphens/>
              <w:jc w:val="center"/>
              <w:rPr>
                <w:sz w:val="20"/>
                <w:szCs w:val="16"/>
              </w:rPr>
            </w:pPr>
            <w:r w:rsidRPr="00DE4BD4">
              <w:rPr>
                <w:sz w:val="20"/>
                <w:szCs w:val="16"/>
              </w:rPr>
              <w:t>7-12</w:t>
            </w:r>
          </w:p>
        </w:tc>
        <w:tc>
          <w:tcPr>
            <w:tcW w:w="1559" w:type="dxa"/>
            <w:tcBorders>
              <w:top w:val="single" w:sz="6" w:space="0" w:color="000000"/>
              <w:left w:val="single" w:sz="6" w:space="0" w:color="000000"/>
              <w:bottom w:val="single" w:sz="6" w:space="0" w:color="000000"/>
              <w:right w:val="single" w:sz="6" w:space="0" w:color="000000"/>
            </w:tcBorders>
            <w:shd w:val="clear" w:color="auto" w:fill="EFEFEF"/>
          </w:tcPr>
          <w:p w14:paraId="226F6115" w14:textId="77777777" w:rsidR="008940B3" w:rsidRPr="00DE4BD4" w:rsidRDefault="008940B3" w:rsidP="00E858EF">
            <w:pPr>
              <w:suppressAutoHyphens/>
              <w:jc w:val="center"/>
              <w:rPr>
                <w:color w:val="000000"/>
                <w:sz w:val="20"/>
                <w:szCs w:val="16"/>
              </w:rPr>
            </w:pPr>
            <w:r w:rsidRPr="00DE4BD4">
              <w:rPr>
                <w:color w:val="000000"/>
                <w:sz w:val="20"/>
                <w:szCs w:val="16"/>
              </w:rPr>
              <w:t>19-24</w:t>
            </w:r>
          </w:p>
        </w:tc>
      </w:tr>
      <w:tr w:rsidR="008940B3" w:rsidRPr="00DE4BD4" w14:paraId="359106E6" w14:textId="77777777" w:rsidTr="00DE2BFC">
        <w:trPr>
          <w:trHeight w:val="31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D74D757" w14:textId="77777777" w:rsidR="008940B3" w:rsidRPr="00DE4BD4" w:rsidRDefault="008940B3" w:rsidP="00E858EF">
            <w:pPr>
              <w:suppressAutoHyphens/>
              <w:jc w:val="left"/>
              <w:rPr>
                <w:sz w:val="20"/>
                <w:szCs w:val="16"/>
              </w:rPr>
            </w:pPr>
            <w:r w:rsidRPr="00DE4BD4">
              <w:rPr>
                <w:sz w:val="20"/>
                <w:szCs w:val="16"/>
              </w:rPr>
              <w:t>Dromos</w:t>
            </w:r>
          </w:p>
        </w:tc>
        <w:tc>
          <w:tcPr>
            <w:tcW w:w="141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6761393" w14:textId="77777777" w:rsidR="008940B3" w:rsidRPr="00DE4BD4" w:rsidRDefault="008940B3" w:rsidP="00E858EF">
            <w:pPr>
              <w:suppressAutoHyphens/>
              <w:jc w:val="center"/>
              <w:rPr>
                <w:sz w:val="20"/>
                <w:szCs w:val="16"/>
              </w:rPr>
            </w:pPr>
            <w:r w:rsidRPr="00DE4BD4">
              <w:rPr>
                <w:sz w:val="20"/>
                <w:szCs w:val="16"/>
              </w:rPr>
              <w:t>≤5.8</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AD9C8B0" w14:textId="77777777" w:rsidR="008940B3" w:rsidRPr="00DE4BD4" w:rsidRDefault="008940B3" w:rsidP="00E858EF">
            <w:pPr>
              <w:suppressAutoHyphens/>
              <w:jc w:val="center"/>
              <w:rPr>
                <w:sz w:val="20"/>
                <w:szCs w:val="16"/>
              </w:rPr>
            </w:pPr>
            <w:r w:rsidRPr="00DE4BD4">
              <w:rPr>
                <w:sz w:val="20"/>
                <w:szCs w:val="16"/>
              </w:rPr>
              <w:t>≤2.3</w:t>
            </w:r>
          </w:p>
        </w:tc>
        <w:tc>
          <w:tcPr>
            <w:tcW w:w="1559" w:type="dxa"/>
            <w:tcBorders>
              <w:top w:val="single" w:sz="6" w:space="0" w:color="000000"/>
              <w:left w:val="single" w:sz="6" w:space="0" w:color="000000"/>
              <w:bottom w:val="single" w:sz="6" w:space="0" w:color="000000"/>
              <w:right w:val="single" w:sz="6" w:space="0" w:color="000000"/>
            </w:tcBorders>
          </w:tcPr>
          <w:p w14:paraId="3FF5036B" w14:textId="77777777" w:rsidR="008940B3" w:rsidRPr="00DE4BD4" w:rsidRDefault="008940B3" w:rsidP="00E858EF">
            <w:pPr>
              <w:suppressAutoHyphens/>
              <w:jc w:val="center"/>
              <w:rPr>
                <w:color w:val="000000"/>
                <w:sz w:val="20"/>
                <w:szCs w:val="16"/>
              </w:rPr>
            </w:pPr>
            <w:r w:rsidRPr="00DE4BD4">
              <w:rPr>
                <w:sz w:val="20"/>
                <w:szCs w:val="16"/>
              </w:rPr>
              <w:t>≤9.3</w:t>
            </w:r>
          </w:p>
        </w:tc>
      </w:tr>
    </w:tbl>
    <w:p w14:paraId="17C27608"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1A36C788" w14:textId="77777777" w:rsidR="008940B3" w:rsidRPr="00DE4BD4"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DE4BD4">
        <w:rPr>
          <w:color w:val="000000"/>
          <w:szCs w:val="22"/>
        </w:rPr>
        <w:t>The following architectural features are considered to be indicators of monumentality:</w:t>
      </w:r>
    </w:p>
    <w:p w14:paraId="42916FD8" w14:textId="77777777" w:rsidR="008940B3" w:rsidRPr="00DE4BD4"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DE4BD4">
        <w:rPr>
          <w:color w:val="000000"/>
          <w:szCs w:val="22"/>
        </w:rPr>
        <w:t>Pits or niches in the chamber and/or dromos</w:t>
      </w:r>
    </w:p>
    <w:p w14:paraId="607C773A" w14:textId="77777777" w:rsidR="008940B3" w:rsidRPr="00DE4BD4"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DE4BD4">
        <w:rPr>
          <w:color w:val="000000"/>
          <w:szCs w:val="22"/>
        </w:rPr>
        <w:t>Pillars or benches inside the chamber</w:t>
      </w:r>
    </w:p>
    <w:p w14:paraId="21F6CA08" w14:textId="77777777" w:rsidR="008940B3" w:rsidRPr="00DE4BD4"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DE4BD4">
        <w:rPr>
          <w:color w:val="000000"/>
          <w:szCs w:val="22"/>
        </w:rPr>
        <w:t>Steps in the dromos</w:t>
      </w:r>
    </w:p>
    <w:p w14:paraId="13B16635" w14:textId="77777777" w:rsidR="008940B3" w:rsidRPr="00DE4BD4"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DE4BD4">
        <w:rPr>
          <w:color w:val="000000"/>
          <w:szCs w:val="22"/>
        </w:rPr>
        <w:t xml:space="preserve">Monumental </w:t>
      </w:r>
      <w:r w:rsidRPr="00DE4BD4">
        <w:rPr>
          <w:i/>
          <w:color w:val="000000"/>
          <w:szCs w:val="22"/>
        </w:rPr>
        <w:t>stomion</w:t>
      </w:r>
      <w:r w:rsidRPr="00DE4BD4">
        <w:rPr>
          <w:color w:val="000000"/>
          <w:szCs w:val="22"/>
        </w:rPr>
        <w:t xml:space="preserve"> or hall</w:t>
      </w:r>
    </w:p>
    <w:p w14:paraId="17AAB5CE" w14:textId="77777777" w:rsidR="008940B3" w:rsidRPr="00DE4BD4"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DE4BD4">
        <w:rPr>
          <w:color w:val="000000"/>
          <w:szCs w:val="22"/>
        </w:rPr>
        <w:t>Multiple chambers</w:t>
      </w:r>
    </w:p>
    <w:p w14:paraId="0B0D5C4E" w14:textId="77777777" w:rsidR="008940B3" w:rsidRPr="00DE4BD4"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DE4BD4">
        <w:rPr>
          <w:color w:val="000000"/>
          <w:szCs w:val="22"/>
        </w:rPr>
        <w:t>These architectural features can occur singularly or associated with tombs. They occur in 21 tombs in the above sample.</w:t>
      </w:r>
    </w:p>
    <w:p w14:paraId="1A9AE638" w14:textId="77777777" w:rsidR="008940B3" w:rsidRPr="00DE4BD4"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p>
    <w:p w14:paraId="437EA991" w14:textId="787F90C8" w:rsidR="008940B3" w:rsidRPr="003B5C8D" w:rsidRDefault="008940B3" w:rsidP="00E858EF">
      <w:pPr>
        <w:pStyle w:val="Testofumetto"/>
        <w:suppressAutoHyphens/>
      </w:pPr>
      <w:bookmarkStart w:id="257" w:name="_Toc520212527"/>
      <w:r>
        <w:t>Table 3-3</w:t>
      </w:r>
      <w:r w:rsidR="00086042">
        <w:t>8</w:t>
      </w:r>
      <w:r>
        <w:t xml:space="preserve"> Occurrence of monumental features </w:t>
      </w:r>
      <w:r w:rsidR="006B0E38">
        <w:t xml:space="preserve">in </w:t>
      </w:r>
      <w:r>
        <w:t>the Knossos area</w:t>
      </w:r>
      <w:bookmarkEnd w:id="257"/>
    </w:p>
    <w:tbl>
      <w:tblPr>
        <w:tblW w:w="8221" w:type="dxa"/>
        <w:tblCellMar>
          <w:left w:w="0" w:type="dxa"/>
          <w:right w:w="0" w:type="dxa"/>
        </w:tblCellMar>
        <w:tblLook w:val="04A0" w:firstRow="1" w:lastRow="0" w:firstColumn="1" w:lastColumn="0" w:noHBand="0" w:noVBand="1"/>
      </w:tblPr>
      <w:tblGrid>
        <w:gridCol w:w="1351"/>
        <w:gridCol w:w="2977"/>
        <w:gridCol w:w="1134"/>
        <w:gridCol w:w="1276"/>
        <w:gridCol w:w="633"/>
        <w:gridCol w:w="850"/>
      </w:tblGrid>
      <w:tr w:rsidR="008940B3" w:rsidRPr="00DE4BD4" w14:paraId="33303328" w14:textId="77777777" w:rsidTr="00DE4BD4">
        <w:trPr>
          <w:trHeight w:val="405"/>
        </w:trPr>
        <w:tc>
          <w:tcPr>
            <w:tcW w:w="1351"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D3BF47E" w14:textId="77777777" w:rsidR="008940B3" w:rsidRPr="00DE4BD4" w:rsidRDefault="008940B3" w:rsidP="00E858EF">
            <w:pPr>
              <w:suppressAutoHyphens/>
              <w:jc w:val="center"/>
              <w:rPr>
                <w:sz w:val="20"/>
                <w:szCs w:val="16"/>
              </w:rPr>
            </w:pPr>
          </w:p>
        </w:tc>
        <w:tc>
          <w:tcPr>
            <w:tcW w:w="297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01F774B" w14:textId="77777777" w:rsidR="008940B3" w:rsidRPr="00DE4BD4" w:rsidRDefault="008940B3" w:rsidP="00E858EF">
            <w:pPr>
              <w:suppressAutoHyphens/>
              <w:jc w:val="center"/>
              <w:rPr>
                <w:sz w:val="20"/>
                <w:szCs w:val="16"/>
              </w:rPr>
            </w:pPr>
            <w:r w:rsidRPr="00DE4BD4">
              <w:rPr>
                <w:sz w:val="20"/>
                <w:szCs w:val="16"/>
              </w:rPr>
              <w:t>No. of monumental architectural features</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423032EA" w14:textId="77777777" w:rsidR="008940B3" w:rsidRPr="00DE4BD4" w:rsidRDefault="008940B3" w:rsidP="00E858EF">
            <w:pPr>
              <w:suppressAutoHyphens/>
              <w:jc w:val="center"/>
              <w:rPr>
                <w:sz w:val="20"/>
                <w:szCs w:val="16"/>
              </w:rPr>
            </w:pPr>
            <w:r w:rsidRPr="00DE4BD4">
              <w:rPr>
                <w:sz w:val="20"/>
                <w:szCs w:val="16"/>
              </w:rPr>
              <w:t>1 arch. feature</w:t>
            </w: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4E1E1D77" w14:textId="77777777" w:rsidR="008940B3" w:rsidRPr="00DE4BD4" w:rsidRDefault="008940B3" w:rsidP="00E858EF">
            <w:pPr>
              <w:suppressAutoHyphens/>
              <w:jc w:val="center"/>
              <w:rPr>
                <w:sz w:val="20"/>
                <w:szCs w:val="16"/>
              </w:rPr>
            </w:pPr>
            <w:r w:rsidRPr="00DE4BD4">
              <w:rPr>
                <w:rFonts w:eastAsia="MS Gothic"/>
                <w:color w:val="000000"/>
                <w:sz w:val="20"/>
                <w:szCs w:val="16"/>
              </w:rPr>
              <w:t xml:space="preserve">≥2 </w:t>
            </w:r>
            <w:r w:rsidRPr="00DE4BD4">
              <w:rPr>
                <w:sz w:val="20"/>
                <w:szCs w:val="16"/>
              </w:rPr>
              <w:t xml:space="preserve"> arch. features</w:t>
            </w:r>
          </w:p>
        </w:tc>
        <w:tc>
          <w:tcPr>
            <w:tcW w:w="633" w:type="dxa"/>
            <w:tcBorders>
              <w:top w:val="single" w:sz="6" w:space="0" w:color="000000"/>
              <w:left w:val="single" w:sz="6" w:space="0" w:color="000000"/>
              <w:bottom w:val="single" w:sz="6" w:space="0" w:color="000000"/>
              <w:right w:val="single" w:sz="6" w:space="0" w:color="000000"/>
            </w:tcBorders>
          </w:tcPr>
          <w:p w14:paraId="745D2BA1" w14:textId="77777777" w:rsidR="008940B3" w:rsidRPr="00DE4BD4" w:rsidRDefault="008940B3" w:rsidP="00E858EF">
            <w:pPr>
              <w:suppressAutoHyphens/>
              <w:jc w:val="center"/>
              <w:rPr>
                <w:sz w:val="20"/>
                <w:szCs w:val="16"/>
              </w:rPr>
            </w:pPr>
            <w:r w:rsidRPr="00DE4BD4">
              <w:rPr>
                <w:sz w:val="20"/>
                <w:szCs w:val="16"/>
              </w:rPr>
              <w:t>N/A</w:t>
            </w:r>
          </w:p>
        </w:tc>
        <w:tc>
          <w:tcPr>
            <w:tcW w:w="850" w:type="dxa"/>
            <w:tcBorders>
              <w:top w:val="single" w:sz="6" w:space="0" w:color="000000"/>
              <w:left w:val="single" w:sz="6" w:space="0" w:color="000000"/>
              <w:bottom w:val="single" w:sz="6" w:space="0" w:color="000000"/>
              <w:right w:val="single" w:sz="6" w:space="0" w:color="000000"/>
            </w:tcBorders>
          </w:tcPr>
          <w:p w14:paraId="355FB1AE" w14:textId="77777777" w:rsidR="008940B3" w:rsidRPr="00DE4BD4" w:rsidRDefault="008940B3" w:rsidP="00E858EF">
            <w:pPr>
              <w:suppressAutoHyphens/>
              <w:jc w:val="center"/>
              <w:rPr>
                <w:sz w:val="20"/>
                <w:szCs w:val="16"/>
              </w:rPr>
            </w:pPr>
            <w:r w:rsidRPr="00DE4BD4">
              <w:rPr>
                <w:sz w:val="20"/>
                <w:szCs w:val="16"/>
              </w:rPr>
              <w:t>Total</w:t>
            </w:r>
          </w:p>
        </w:tc>
      </w:tr>
      <w:tr w:rsidR="008940B3" w:rsidRPr="00DE4BD4" w14:paraId="10B28E4B" w14:textId="77777777" w:rsidTr="00DE4BD4">
        <w:trPr>
          <w:trHeight w:val="315"/>
        </w:trPr>
        <w:tc>
          <w:tcPr>
            <w:tcW w:w="1351"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5B27624B" w14:textId="77777777" w:rsidR="008940B3" w:rsidRPr="00DE4BD4" w:rsidRDefault="008940B3" w:rsidP="00DE4BD4">
            <w:pPr>
              <w:suppressAutoHyphens/>
              <w:jc w:val="left"/>
              <w:rPr>
                <w:sz w:val="20"/>
                <w:szCs w:val="16"/>
              </w:rPr>
            </w:pPr>
            <w:r w:rsidRPr="00DE4BD4">
              <w:rPr>
                <w:color w:val="000000"/>
                <w:sz w:val="20"/>
                <w:szCs w:val="16"/>
              </w:rPr>
              <w:t>No. of tombs</w:t>
            </w:r>
          </w:p>
        </w:tc>
        <w:tc>
          <w:tcPr>
            <w:tcW w:w="2977"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10F2AC25" w14:textId="77777777" w:rsidR="008940B3" w:rsidRPr="00DE4BD4" w:rsidRDefault="008940B3" w:rsidP="00E858EF">
            <w:pPr>
              <w:suppressAutoHyphens/>
              <w:jc w:val="center"/>
              <w:rPr>
                <w:sz w:val="20"/>
                <w:szCs w:val="16"/>
              </w:rPr>
            </w:pPr>
            <w:r w:rsidRPr="00DE4BD4">
              <w:rPr>
                <w:sz w:val="20"/>
                <w:szCs w:val="16"/>
              </w:rPr>
              <w:t>15</w:t>
            </w:r>
          </w:p>
        </w:tc>
        <w:tc>
          <w:tcPr>
            <w:tcW w:w="1134"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48C2B333" w14:textId="77777777" w:rsidR="008940B3" w:rsidRPr="00DE4BD4" w:rsidRDefault="008940B3" w:rsidP="00E858EF">
            <w:pPr>
              <w:suppressAutoHyphens/>
              <w:jc w:val="center"/>
              <w:rPr>
                <w:sz w:val="20"/>
                <w:szCs w:val="16"/>
              </w:rPr>
            </w:pPr>
            <w:r w:rsidRPr="00DE4BD4">
              <w:rPr>
                <w:sz w:val="20"/>
                <w:szCs w:val="16"/>
              </w:rPr>
              <w:t>14</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7061885C" w14:textId="01FB9A1C" w:rsidR="008940B3" w:rsidRPr="00DE4BD4" w:rsidRDefault="008940B3" w:rsidP="00E858EF">
            <w:pPr>
              <w:suppressAutoHyphens/>
              <w:jc w:val="center"/>
              <w:rPr>
                <w:sz w:val="20"/>
                <w:szCs w:val="16"/>
              </w:rPr>
            </w:pPr>
            <w:r w:rsidRPr="00DE4BD4">
              <w:rPr>
                <w:color w:val="000000"/>
                <w:sz w:val="20"/>
                <w:szCs w:val="16"/>
              </w:rPr>
              <w:t>10</w:t>
            </w:r>
          </w:p>
        </w:tc>
        <w:tc>
          <w:tcPr>
            <w:tcW w:w="633" w:type="dxa"/>
            <w:tcBorders>
              <w:top w:val="single" w:sz="6" w:space="0" w:color="000000"/>
              <w:left w:val="single" w:sz="6" w:space="0" w:color="000000"/>
              <w:bottom w:val="single" w:sz="6" w:space="0" w:color="000000"/>
              <w:right w:val="single" w:sz="6" w:space="0" w:color="000000"/>
            </w:tcBorders>
            <w:shd w:val="clear" w:color="auto" w:fill="EFEFEF"/>
          </w:tcPr>
          <w:p w14:paraId="68B933A5" w14:textId="77777777" w:rsidR="008940B3" w:rsidRPr="00DE4BD4" w:rsidRDefault="008940B3" w:rsidP="00E858EF">
            <w:pPr>
              <w:suppressAutoHyphens/>
              <w:jc w:val="center"/>
              <w:rPr>
                <w:color w:val="000000"/>
                <w:sz w:val="20"/>
                <w:szCs w:val="16"/>
              </w:rPr>
            </w:pPr>
            <w:r w:rsidRPr="00DE4BD4">
              <w:rPr>
                <w:color w:val="000000"/>
                <w:sz w:val="20"/>
                <w:szCs w:val="16"/>
              </w:rPr>
              <w:t>29</w:t>
            </w:r>
          </w:p>
        </w:tc>
        <w:tc>
          <w:tcPr>
            <w:tcW w:w="850" w:type="dxa"/>
            <w:tcBorders>
              <w:top w:val="single" w:sz="6" w:space="0" w:color="000000"/>
              <w:left w:val="single" w:sz="6" w:space="0" w:color="000000"/>
              <w:bottom w:val="single" w:sz="6" w:space="0" w:color="000000"/>
              <w:right w:val="single" w:sz="6" w:space="0" w:color="000000"/>
            </w:tcBorders>
            <w:shd w:val="clear" w:color="auto" w:fill="EFEFEF"/>
          </w:tcPr>
          <w:p w14:paraId="23FF3575" w14:textId="77777777" w:rsidR="008940B3" w:rsidRPr="00DE4BD4" w:rsidRDefault="008940B3" w:rsidP="00E858EF">
            <w:pPr>
              <w:suppressAutoHyphens/>
              <w:jc w:val="center"/>
              <w:rPr>
                <w:color w:val="000000"/>
                <w:sz w:val="20"/>
                <w:szCs w:val="16"/>
              </w:rPr>
            </w:pPr>
            <w:r w:rsidRPr="00DE4BD4">
              <w:rPr>
                <w:color w:val="000000"/>
                <w:sz w:val="20"/>
                <w:szCs w:val="16"/>
              </w:rPr>
              <w:t>68</w:t>
            </w:r>
          </w:p>
        </w:tc>
      </w:tr>
    </w:tbl>
    <w:p w14:paraId="2D097CFC"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600C89B1" w14:textId="2A208D6A" w:rsidR="008940B3" w:rsidRPr="00B031F1" w:rsidRDefault="008940B3" w:rsidP="00DE4BD4">
      <w:r>
        <w:t xml:space="preserve">From the data concerning tomb dimensions and monumentality, tombs with larnakes in the Knossos region display a certain degree of monumentality. However, if these features are examined in detail, it emerges that </w:t>
      </w:r>
      <w:r w:rsidR="00536404">
        <w:t xml:space="preserve">they </w:t>
      </w:r>
      <w:r>
        <w:t>are concentrated</w:t>
      </w:r>
      <w:r w:rsidR="00431A8D">
        <w:t xml:space="preserve"> either</w:t>
      </w:r>
      <w:r>
        <w:t xml:space="preserve"> in single tombs (e.g. Katsambas) or in cemeteries where tomb construction belongs to a previous phase (e.g. Mavro Spelio). </w:t>
      </w:r>
    </w:p>
    <w:p w14:paraId="5C0B2357" w14:textId="77777777" w:rsidR="008940B3" w:rsidRPr="00FB533C" w:rsidRDefault="008940B3" w:rsidP="00E858EF">
      <w:pPr>
        <w:pStyle w:val="Titolo4"/>
        <w:keepNext w:val="0"/>
        <w:keepLines w:val="0"/>
        <w:suppressAutoHyphens/>
        <w:ind w:left="864" w:hanging="864"/>
        <w:contextualSpacing w:val="0"/>
      </w:pPr>
      <w:bookmarkStart w:id="258" w:name="_Toc389131169"/>
      <w:bookmarkStart w:id="259" w:name="_Toc517876495"/>
      <w:r w:rsidRPr="003B5C8D">
        <w:t>Tombs and larnakes</w:t>
      </w:r>
      <w:r>
        <w:t xml:space="preserve">: </w:t>
      </w:r>
      <w:r w:rsidRPr="00751FFC">
        <w:t xml:space="preserve">Is there an increase </w:t>
      </w:r>
      <w:r>
        <w:t>in</w:t>
      </w:r>
      <w:r w:rsidRPr="00751FFC">
        <w:t xml:space="preserve"> larnax number</w:t>
      </w:r>
      <w:r>
        <w:t>s</w:t>
      </w:r>
      <w:r w:rsidRPr="00751FFC">
        <w:t xml:space="preserve"> </w:t>
      </w:r>
      <w:r>
        <w:t>according to</w:t>
      </w:r>
      <w:r w:rsidRPr="00751FFC">
        <w:t xml:space="preserve"> tomb</w:t>
      </w:r>
      <w:r>
        <w:t xml:space="preserve"> size</w:t>
      </w:r>
      <w:r w:rsidRPr="00751FFC">
        <w:t>?</w:t>
      </w:r>
      <w:bookmarkEnd w:id="258"/>
      <w:bookmarkEnd w:id="259"/>
      <w:r w:rsidRPr="00751FFC">
        <w:t xml:space="preserve"> </w:t>
      </w:r>
    </w:p>
    <w:p w14:paraId="3257AADB" w14:textId="77777777" w:rsidR="008940B3" w:rsidRDefault="008940B3" w:rsidP="00DE4BD4">
      <w:r>
        <w:t>The data in the table, below, reveal that the number of larnakes deposited in tombs is not linked to the size of the chamber.</w:t>
      </w:r>
    </w:p>
    <w:p w14:paraId="68425CC3"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54ED9070" w14:textId="7740D851" w:rsidR="008940B3" w:rsidRPr="003B5C8D" w:rsidRDefault="008940B3" w:rsidP="00E858EF">
      <w:pPr>
        <w:pStyle w:val="Testofumetto"/>
        <w:suppressAutoHyphens/>
      </w:pPr>
      <w:bookmarkStart w:id="260" w:name="_Toc520212528"/>
      <w:r>
        <w:t>Table 3-3</w:t>
      </w:r>
      <w:r w:rsidR="00086042">
        <w:t>9</w:t>
      </w:r>
      <w:r>
        <w:t>. Larnax number in relation to tomb size</w:t>
      </w:r>
      <w:r w:rsidR="005E1C18">
        <w:t>,</w:t>
      </w:r>
      <w:r>
        <w:t xml:space="preserve"> Knossos area</w:t>
      </w:r>
      <w:bookmarkEnd w:id="260"/>
    </w:p>
    <w:tbl>
      <w:tblPr>
        <w:tblW w:w="0" w:type="auto"/>
        <w:tblCellMar>
          <w:left w:w="0" w:type="dxa"/>
          <w:right w:w="0" w:type="dxa"/>
        </w:tblCellMar>
        <w:tblLook w:val="04A0" w:firstRow="1" w:lastRow="0" w:firstColumn="1" w:lastColumn="0" w:noHBand="0" w:noVBand="1"/>
      </w:tblPr>
      <w:tblGrid>
        <w:gridCol w:w="2202"/>
        <w:gridCol w:w="1276"/>
        <w:gridCol w:w="1418"/>
        <w:gridCol w:w="1418"/>
      </w:tblGrid>
      <w:tr w:rsidR="008940B3" w:rsidRPr="00DE4BD4" w14:paraId="3531F4EB" w14:textId="77777777" w:rsidTr="00DE4BD4">
        <w:trPr>
          <w:trHeight w:val="405"/>
        </w:trPr>
        <w:tc>
          <w:tcPr>
            <w:tcW w:w="2202"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8CAEC3C" w14:textId="77777777" w:rsidR="008940B3" w:rsidRPr="00DE4BD4" w:rsidRDefault="008940B3" w:rsidP="00E858EF">
            <w:pPr>
              <w:suppressAutoHyphens/>
              <w:jc w:val="center"/>
              <w:rPr>
                <w:sz w:val="20"/>
                <w:szCs w:val="16"/>
              </w:rPr>
            </w:pP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BD58194" w14:textId="77777777" w:rsidR="008940B3" w:rsidRPr="00DE4BD4" w:rsidRDefault="008940B3" w:rsidP="00E858EF">
            <w:pPr>
              <w:suppressAutoHyphens/>
              <w:jc w:val="center"/>
              <w:rPr>
                <w:sz w:val="20"/>
                <w:szCs w:val="16"/>
              </w:rPr>
            </w:pPr>
            <w:r w:rsidRPr="00DE4BD4">
              <w:rPr>
                <w:sz w:val="20"/>
                <w:szCs w:val="16"/>
              </w:rPr>
              <w:t>Small</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28D8E50E" w14:textId="77777777" w:rsidR="008940B3" w:rsidRPr="00DE4BD4" w:rsidRDefault="008940B3" w:rsidP="00E858EF">
            <w:pPr>
              <w:suppressAutoHyphens/>
              <w:jc w:val="center"/>
              <w:rPr>
                <w:sz w:val="20"/>
                <w:szCs w:val="16"/>
              </w:rPr>
            </w:pPr>
            <w:r w:rsidRPr="00DE4BD4">
              <w:rPr>
                <w:sz w:val="20"/>
                <w:szCs w:val="16"/>
              </w:rPr>
              <w:t>Medium</w:t>
            </w:r>
          </w:p>
        </w:tc>
        <w:tc>
          <w:tcPr>
            <w:tcW w:w="1418" w:type="dxa"/>
            <w:tcBorders>
              <w:top w:val="single" w:sz="6" w:space="0" w:color="000000"/>
              <w:left w:val="single" w:sz="6" w:space="0" w:color="000000"/>
              <w:bottom w:val="single" w:sz="6" w:space="0" w:color="000000"/>
              <w:right w:val="single" w:sz="6" w:space="0" w:color="000000"/>
            </w:tcBorders>
          </w:tcPr>
          <w:p w14:paraId="23D81F35" w14:textId="77777777" w:rsidR="008940B3" w:rsidRPr="00DE4BD4" w:rsidRDefault="008940B3" w:rsidP="00E858EF">
            <w:pPr>
              <w:suppressAutoHyphens/>
              <w:jc w:val="center"/>
              <w:rPr>
                <w:sz w:val="20"/>
                <w:szCs w:val="16"/>
              </w:rPr>
            </w:pPr>
            <w:r w:rsidRPr="00DE4BD4">
              <w:rPr>
                <w:sz w:val="20"/>
                <w:szCs w:val="16"/>
              </w:rPr>
              <w:t>Extra-Large</w:t>
            </w:r>
          </w:p>
        </w:tc>
      </w:tr>
      <w:tr w:rsidR="008940B3" w:rsidRPr="00DE4BD4" w14:paraId="0524D0AA" w14:textId="77777777" w:rsidTr="00DE4BD4">
        <w:trPr>
          <w:trHeight w:val="315"/>
        </w:trPr>
        <w:tc>
          <w:tcPr>
            <w:tcW w:w="2202"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588DABD8" w14:textId="77777777" w:rsidR="008940B3" w:rsidRPr="00DE4BD4" w:rsidRDefault="008940B3" w:rsidP="00DE4BD4">
            <w:pPr>
              <w:suppressAutoHyphens/>
              <w:jc w:val="left"/>
              <w:rPr>
                <w:sz w:val="20"/>
                <w:szCs w:val="16"/>
              </w:rPr>
            </w:pPr>
            <w:r w:rsidRPr="00DE4BD4">
              <w:rPr>
                <w:color w:val="000000"/>
                <w:sz w:val="20"/>
                <w:szCs w:val="16"/>
              </w:rPr>
              <w:t>Chamber area in sq.m.</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4E065A74" w14:textId="77777777" w:rsidR="008940B3" w:rsidRPr="00DE4BD4" w:rsidRDefault="008940B3" w:rsidP="00E858EF">
            <w:pPr>
              <w:suppressAutoHyphens/>
              <w:jc w:val="center"/>
              <w:rPr>
                <w:sz w:val="20"/>
                <w:szCs w:val="16"/>
              </w:rPr>
            </w:pPr>
            <w:r w:rsidRPr="00DE4BD4">
              <w:rPr>
                <w:sz w:val="20"/>
                <w:szCs w:val="16"/>
              </w:rPr>
              <w:t>0-6</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64C8FDF0" w14:textId="77777777" w:rsidR="008940B3" w:rsidRPr="00DE4BD4" w:rsidRDefault="008940B3" w:rsidP="00E858EF">
            <w:pPr>
              <w:suppressAutoHyphens/>
              <w:jc w:val="center"/>
              <w:rPr>
                <w:sz w:val="20"/>
                <w:szCs w:val="16"/>
              </w:rPr>
            </w:pPr>
            <w:r w:rsidRPr="00DE4BD4">
              <w:rPr>
                <w:sz w:val="20"/>
                <w:szCs w:val="16"/>
              </w:rPr>
              <w:t>7-12</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Pr>
          <w:p w14:paraId="0DC2CC50" w14:textId="77777777" w:rsidR="008940B3" w:rsidRPr="00DE4BD4" w:rsidRDefault="008940B3" w:rsidP="00E858EF">
            <w:pPr>
              <w:suppressAutoHyphens/>
              <w:jc w:val="center"/>
              <w:rPr>
                <w:color w:val="000000"/>
                <w:sz w:val="20"/>
                <w:szCs w:val="16"/>
              </w:rPr>
            </w:pPr>
            <w:r w:rsidRPr="00DE4BD4">
              <w:rPr>
                <w:color w:val="000000"/>
                <w:sz w:val="20"/>
                <w:szCs w:val="16"/>
              </w:rPr>
              <w:t>19-24</w:t>
            </w:r>
          </w:p>
        </w:tc>
      </w:tr>
      <w:tr w:rsidR="008940B3" w:rsidRPr="00DE4BD4" w14:paraId="446708C4" w14:textId="77777777" w:rsidTr="00DE4BD4">
        <w:trPr>
          <w:trHeight w:val="315"/>
        </w:trPr>
        <w:tc>
          <w:tcPr>
            <w:tcW w:w="2202"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7065B4B0" w14:textId="77777777" w:rsidR="008940B3" w:rsidRPr="00DE4BD4" w:rsidRDefault="008940B3" w:rsidP="00DE4BD4">
            <w:pPr>
              <w:suppressAutoHyphens/>
              <w:jc w:val="left"/>
              <w:rPr>
                <w:sz w:val="20"/>
                <w:szCs w:val="16"/>
              </w:rPr>
            </w:pPr>
            <w:r w:rsidRPr="00DE4BD4">
              <w:rPr>
                <w:sz w:val="20"/>
                <w:szCs w:val="16"/>
              </w:rPr>
              <w:t>Range of larnax numbers</w:t>
            </w: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08D1C737" w14:textId="77777777" w:rsidR="008940B3" w:rsidRPr="00DE4BD4" w:rsidRDefault="008940B3" w:rsidP="00E858EF">
            <w:pPr>
              <w:suppressAutoHyphens/>
              <w:jc w:val="center"/>
              <w:rPr>
                <w:sz w:val="20"/>
                <w:szCs w:val="16"/>
              </w:rPr>
            </w:pPr>
            <w:r w:rsidRPr="00DE4BD4">
              <w:rPr>
                <w:sz w:val="20"/>
                <w:szCs w:val="16"/>
              </w:rPr>
              <w:t>1-5</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72D44572" w14:textId="77777777" w:rsidR="008940B3" w:rsidRPr="00DE4BD4" w:rsidRDefault="008940B3" w:rsidP="00E858EF">
            <w:pPr>
              <w:suppressAutoHyphens/>
              <w:jc w:val="center"/>
              <w:rPr>
                <w:color w:val="000000"/>
                <w:sz w:val="20"/>
                <w:szCs w:val="16"/>
              </w:rPr>
            </w:pPr>
            <w:r w:rsidRPr="00DE4BD4">
              <w:rPr>
                <w:color w:val="000000"/>
                <w:sz w:val="20"/>
                <w:szCs w:val="16"/>
              </w:rPr>
              <w:t>1-6</w:t>
            </w:r>
          </w:p>
        </w:tc>
        <w:tc>
          <w:tcPr>
            <w:tcW w:w="1418" w:type="dxa"/>
            <w:tcBorders>
              <w:top w:val="single" w:sz="6" w:space="0" w:color="000000"/>
              <w:left w:val="single" w:sz="6" w:space="0" w:color="000000"/>
              <w:bottom w:val="single" w:sz="6" w:space="0" w:color="000000"/>
              <w:right w:val="single" w:sz="6" w:space="0" w:color="000000"/>
            </w:tcBorders>
          </w:tcPr>
          <w:p w14:paraId="547916A8" w14:textId="77777777" w:rsidR="008940B3" w:rsidRPr="00DE4BD4" w:rsidRDefault="008940B3" w:rsidP="00E858EF">
            <w:pPr>
              <w:suppressAutoHyphens/>
              <w:jc w:val="center"/>
              <w:rPr>
                <w:sz w:val="20"/>
                <w:szCs w:val="16"/>
              </w:rPr>
            </w:pPr>
            <w:r w:rsidRPr="00DE4BD4">
              <w:rPr>
                <w:sz w:val="20"/>
                <w:szCs w:val="16"/>
              </w:rPr>
              <w:t>2</w:t>
            </w:r>
          </w:p>
        </w:tc>
      </w:tr>
    </w:tbl>
    <w:p w14:paraId="3FC829F5" w14:textId="77777777" w:rsidR="008940B3" w:rsidRPr="0054455A"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7CFE8546" w14:textId="77777777" w:rsidR="008940B3" w:rsidRDefault="008940B3" w:rsidP="00DE4BD4">
      <w:r w:rsidRPr="0054455A">
        <w:t xml:space="preserve">The mean space reserved </w:t>
      </w:r>
      <w:r>
        <w:t>for</w:t>
      </w:r>
      <w:r w:rsidRPr="0054455A">
        <w:t xml:space="preserve"> a larnax within a tomb in the Knossos region </w:t>
      </w:r>
      <w:r>
        <w:t>is</w:t>
      </w:r>
      <w:r w:rsidRPr="0054455A">
        <w:t xml:space="preserve"> approximately 2 </w:t>
      </w:r>
      <w:r>
        <w:t>sq.m.</w:t>
      </w:r>
      <w:r w:rsidRPr="0054455A">
        <w:t xml:space="preserve"> (data</w:t>
      </w:r>
      <w:r>
        <w:t xml:space="preserve"> calculated based on </w:t>
      </w:r>
      <w:r w:rsidRPr="0054455A">
        <w:t>31 tombs for which information about the chamber area is available)</w:t>
      </w:r>
      <w:r>
        <w:t>.</w:t>
      </w:r>
      <w:r w:rsidRPr="0054455A">
        <w:t xml:space="preserve"> </w:t>
      </w:r>
      <w:r>
        <w:t>Regarding</w:t>
      </w:r>
      <w:r w:rsidRPr="0054455A">
        <w:t xml:space="preserve"> the number of larnakes per </w:t>
      </w:r>
      <w:r>
        <w:t>tomb, the mean is two</w:t>
      </w:r>
      <w:r w:rsidRPr="0054455A">
        <w:t xml:space="preserve"> sarcophagi</w:t>
      </w:r>
      <w:r>
        <w:t xml:space="preserve"> per tomb, with a maximum of 13</w:t>
      </w:r>
      <w:r w:rsidRPr="0054455A">
        <w:t xml:space="preserve"> larnakes per tomb.</w:t>
      </w:r>
    </w:p>
    <w:p w14:paraId="3770C0F2" w14:textId="0DB79257" w:rsidR="008940B3" w:rsidRPr="00615445"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rFonts w:cs="Lucida Grande"/>
          <w:b/>
          <w:sz w:val="20"/>
          <w:szCs w:val="18"/>
        </w:rPr>
      </w:pPr>
      <w:r w:rsidRPr="00615445">
        <w:rPr>
          <w:rFonts w:cs="Lucida Grande"/>
          <w:b/>
          <w:sz w:val="20"/>
          <w:szCs w:val="18"/>
        </w:rPr>
        <w:t>Table 3-</w:t>
      </w:r>
      <w:r w:rsidR="00086042">
        <w:rPr>
          <w:rFonts w:cs="Lucida Grande"/>
          <w:b/>
          <w:sz w:val="20"/>
          <w:szCs w:val="18"/>
        </w:rPr>
        <w:t>40</w:t>
      </w:r>
      <w:r>
        <w:rPr>
          <w:rFonts w:cs="Lucida Grande"/>
          <w:b/>
          <w:sz w:val="20"/>
          <w:szCs w:val="18"/>
        </w:rPr>
        <w:t>.</w:t>
      </w:r>
      <w:r w:rsidRPr="00615445">
        <w:rPr>
          <w:rFonts w:cs="Lucida Grande"/>
          <w:b/>
          <w:sz w:val="20"/>
          <w:szCs w:val="18"/>
        </w:rPr>
        <w:t xml:space="preserve"> </w:t>
      </w:r>
      <w:r>
        <w:rPr>
          <w:rStyle w:val="TestofumettoCarattere"/>
        </w:rPr>
        <w:t>Space reserved to a larnax within a tomb</w:t>
      </w:r>
      <w:r w:rsidR="005E1C18">
        <w:rPr>
          <w:rStyle w:val="TestofumettoCarattere"/>
        </w:rPr>
        <w:t>,</w:t>
      </w:r>
      <w:r>
        <w:rPr>
          <w:rStyle w:val="TestofumettoCarattere"/>
        </w:rPr>
        <w:t xml:space="preserve"> Knossos area</w:t>
      </w:r>
    </w:p>
    <w:tbl>
      <w:tblPr>
        <w:tblW w:w="0" w:type="auto"/>
        <w:tblCellMar>
          <w:left w:w="0" w:type="dxa"/>
          <w:right w:w="0" w:type="dxa"/>
        </w:tblCellMar>
        <w:tblLook w:val="04A0" w:firstRow="1" w:lastRow="0" w:firstColumn="1" w:lastColumn="0" w:noHBand="0" w:noVBand="1"/>
      </w:tblPr>
      <w:tblGrid>
        <w:gridCol w:w="1209"/>
        <w:gridCol w:w="3969"/>
      </w:tblGrid>
      <w:tr w:rsidR="008940B3" w:rsidRPr="00B8034A" w14:paraId="269384C7" w14:textId="77777777" w:rsidTr="00F811E2">
        <w:trPr>
          <w:trHeight w:val="410"/>
        </w:trPr>
        <w:tc>
          <w:tcPr>
            <w:tcW w:w="1209"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7BA6D296" w14:textId="77777777" w:rsidR="008940B3" w:rsidRPr="00B8034A" w:rsidRDefault="008940B3" w:rsidP="00E858EF">
            <w:pPr>
              <w:suppressAutoHyphens/>
              <w:rPr>
                <w:sz w:val="20"/>
                <w:szCs w:val="16"/>
              </w:rPr>
            </w:pPr>
          </w:p>
        </w:tc>
        <w:tc>
          <w:tcPr>
            <w:tcW w:w="3969"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49E9BA0E" w14:textId="77777777" w:rsidR="008940B3" w:rsidRPr="00B8034A" w:rsidRDefault="008940B3" w:rsidP="00E858EF">
            <w:pPr>
              <w:suppressAutoHyphens/>
              <w:rPr>
                <w:sz w:val="20"/>
                <w:szCs w:val="16"/>
              </w:rPr>
            </w:pPr>
            <w:r w:rsidRPr="00B8034A">
              <w:rPr>
                <w:sz w:val="20"/>
                <w:szCs w:val="16"/>
              </w:rPr>
              <w:t xml:space="preserve">Proportion of space per larnax in sq.m. </w:t>
            </w:r>
          </w:p>
        </w:tc>
      </w:tr>
      <w:tr w:rsidR="008940B3" w:rsidRPr="00B8034A" w14:paraId="7BA65BD2" w14:textId="77777777" w:rsidTr="00F811E2">
        <w:trPr>
          <w:trHeight w:val="320"/>
        </w:trPr>
        <w:tc>
          <w:tcPr>
            <w:tcW w:w="1209"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04598A08" w14:textId="77777777" w:rsidR="008940B3" w:rsidRPr="00B8034A" w:rsidRDefault="008940B3" w:rsidP="00E858EF">
            <w:pPr>
              <w:suppressAutoHyphens/>
              <w:rPr>
                <w:sz w:val="20"/>
                <w:szCs w:val="16"/>
              </w:rPr>
            </w:pPr>
            <w:r w:rsidRPr="00B8034A">
              <w:rPr>
                <w:sz w:val="20"/>
                <w:szCs w:val="16"/>
              </w:rPr>
              <w:t>Mean</w:t>
            </w:r>
          </w:p>
        </w:tc>
        <w:tc>
          <w:tcPr>
            <w:tcW w:w="3969"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7A11102C" w14:textId="77777777" w:rsidR="008940B3" w:rsidRPr="00B8034A" w:rsidRDefault="008940B3" w:rsidP="00E858EF">
            <w:pPr>
              <w:suppressAutoHyphens/>
              <w:rPr>
                <w:sz w:val="20"/>
                <w:szCs w:val="16"/>
              </w:rPr>
            </w:pPr>
            <w:r w:rsidRPr="00B8034A">
              <w:rPr>
                <w:sz w:val="20"/>
                <w:szCs w:val="16"/>
              </w:rPr>
              <w:t>2.3</w:t>
            </w:r>
          </w:p>
        </w:tc>
      </w:tr>
      <w:tr w:rsidR="008940B3" w:rsidRPr="00B8034A" w14:paraId="1DC2C6BC" w14:textId="77777777" w:rsidTr="00F811E2">
        <w:trPr>
          <w:trHeight w:val="320"/>
        </w:trPr>
        <w:tc>
          <w:tcPr>
            <w:tcW w:w="1209"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381D8099" w14:textId="77777777" w:rsidR="008940B3" w:rsidRPr="00B8034A" w:rsidRDefault="008940B3" w:rsidP="00E858EF">
            <w:pPr>
              <w:suppressAutoHyphens/>
              <w:rPr>
                <w:sz w:val="20"/>
                <w:szCs w:val="16"/>
              </w:rPr>
            </w:pPr>
            <w:r w:rsidRPr="00B8034A">
              <w:rPr>
                <w:sz w:val="20"/>
                <w:szCs w:val="16"/>
              </w:rPr>
              <w:t>Max</w:t>
            </w:r>
          </w:p>
        </w:tc>
        <w:tc>
          <w:tcPr>
            <w:tcW w:w="3969"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5EDB4A6B" w14:textId="77777777" w:rsidR="008940B3" w:rsidRPr="00B8034A" w:rsidRDefault="008940B3" w:rsidP="00E858EF">
            <w:pPr>
              <w:suppressAutoHyphens/>
              <w:rPr>
                <w:sz w:val="20"/>
                <w:szCs w:val="16"/>
              </w:rPr>
            </w:pPr>
            <w:r w:rsidRPr="00B8034A">
              <w:rPr>
                <w:sz w:val="20"/>
                <w:szCs w:val="16"/>
              </w:rPr>
              <w:t>12 sq.m. (Katsambas Tomb H)</w:t>
            </w:r>
          </w:p>
        </w:tc>
      </w:tr>
      <w:tr w:rsidR="008940B3" w:rsidRPr="00B8034A" w14:paraId="17B7B8A2" w14:textId="77777777" w:rsidTr="00F811E2">
        <w:trPr>
          <w:trHeight w:val="313"/>
        </w:trPr>
        <w:tc>
          <w:tcPr>
            <w:tcW w:w="1209"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544EE84C" w14:textId="77777777" w:rsidR="008940B3" w:rsidRPr="00B8034A" w:rsidRDefault="008940B3" w:rsidP="00E858EF">
            <w:pPr>
              <w:suppressAutoHyphens/>
              <w:rPr>
                <w:sz w:val="20"/>
                <w:szCs w:val="16"/>
              </w:rPr>
            </w:pPr>
            <w:r w:rsidRPr="00B8034A">
              <w:rPr>
                <w:sz w:val="20"/>
                <w:szCs w:val="16"/>
              </w:rPr>
              <w:t>Min</w:t>
            </w:r>
          </w:p>
        </w:tc>
        <w:tc>
          <w:tcPr>
            <w:tcW w:w="3969"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723288D1" w14:textId="77777777" w:rsidR="008940B3" w:rsidRPr="00B8034A" w:rsidRDefault="008940B3" w:rsidP="00E858EF">
            <w:pPr>
              <w:suppressAutoHyphens/>
              <w:rPr>
                <w:sz w:val="20"/>
                <w:szCs w:val="16"/>
              </w:rPr>
            </w:pPr>
            <w:r w:rsidRPr="00B8034A">
              <w:rPr>
                <w:sz w:val="20"/>
                <w:szCs w:val="16"/>
              </w:rPr>
              <w:t>0.5 sq.m.</w:t>
            </w:r>
          </w:p>
        </w:tc>
      </w:tr>
    </w:tbl>
    <w:p w14:paraId="61B899CB" w14:textId="77777777" w:rsidR="00F26350" w:rsidRDefault="00F26350" w:rsidP="00E858EF">
      <w:pPr>
        <w:pStyle w:val="Testofumetto"/>
        <w:suppressAutoHyphens/>
        <w:sectPr w:rsidR="00F26350" w:rsidSect="00F4682D">
          <w:pgSz w:w="11900" w:h="16840"/>
          <w:pgMar w:top="1418" w:right="1134" w:bottom="1134" w:left="2268" w:header="708" w:footer="708" w:gutter="0"/>
          <w:cols w:space="708"/>
          <w:titlePg/>
          <w:docGrid w:linePitch="360"/>
        </w:sectPr>
      </w:pPr>
    </w:p>
    <w:p w14:paraId="7E32D851" w14:textId="55A2CDA8" w:rsidR="008940B3" w:rsidRDefault="008940B3" w:rsidP="00E858EF">
      <w:pPr>
        <w:pStyle w:val="Testofumetto"/>
        <w:suppressAutoHyphens/>
      </w:pPr>
    </w:p>
    <w:p w14:paraId="7FA1A7D6" w14:textId="5675D145" w:rsidR="008940B3" w:rsidRPr="00A9683A" w:rsidRDefault="008940B3" w:rsidP="00E858EF">
      <w:pPr>
        <w:pStyle w:val="Testofumetto"/>
        <w:suppressAutoHyphens/>
      </w:pPr>
      <w:bookmarkStart w:id="261" w:name="_Toc520212529"/>
      <w:r>
        <w:t>Table 3-</w:t>
      </w:r>
      <w:r w:rsidR="00086042">
        <w:t>41</w:t>
      </w:r>
      <w:r>
        <w:t>. Number of larnakes per tomb</w:t>
      </w:r>
      <w:r w:rsidR="005E1C18">
        <w:t>,</w:t>
      </w:r>
      <w:r>
        <w:t xml:space="preserve"> Knossos area</w:t>
      </w:r>
      <w:bookmarkEnd w:id="261"/>
    </w:p>
    <w:tbl>
      <w:tblPr>
        <w:tblStyle w:val="Grigliatabella"/>
        <w:tblW w:w="0" w:type="auto"/>
        <w:tblLook w:val="04A0" w:firstRow="1" w:lastRow="0" w:firstColumn="1" w:lastColumn="0" w:noHBand="0" w:noVBand="1"/>
      </w:tblPr>
      <w:tblGrid>
        <w:gridCol w:w="1242"/>
        <w:gridCol w:w="4060"/>
      </w:tblGrid>
      <w:tr w:rsidR="008940B3" w:rsidRPr="00B8034A" w14:paraId="5DC4D285" w14:textId="77777777" w:rsidTr="00F811E2">
        <w:trPr>
          <w:trHeight w:val="290"/>
        </w:trPr>
        <w:tc>
          <w:tcPr>
            <w:tcW w:w="1242" w:type="dxa"/>
          </w:tcPr>
          <w:p w14:paraId="77B0CC3A" w14:textId="77777777" w:rsidR="008940B3" w:rsidRPr="00B8034A"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sz w:val="20"/>
                <w:szCs w:val="22"/>
              </w:rPr>
            </w:pPr>
          </w:p>
        </w:tc>
        <w:tc>
          <w:tcPr>
            <w:tcW w:w="4060" w:type="dxa"/>
          </w:tcPr>
          <w:p w14:paraId="5497C747" w14:textId="77777777" w:rsidR="008940B3" w:rsidRPr="00B8034A"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b/>
                <w:color w:val="000000"/>
                <w:sz w:val="20"/>
                <w:szCs w:val="16"/>
              </w:rPr>
            </w:pPr>
            <w:r w:rsidRPr="00B8034A">
              <w:rPr>
                <w:b/>
                <w:color w:val="000000"/>
                <w:sz w:val="20"/>
                <w:szCs w:val="16"/>
              </w:rPr>
              <w:t xml:space="preserve">Number of larnakes per tomb </w:t>
            </w:r>
          </w:p>
        </w:tc>
      </w:tr>
      <w:tr w:rsidR="008940B3" w:rsidRPr="00B8034A" w14:paraId="10A31188" w14:textId="77777777" w:rsidTr="00F811E2">
        <w:trPr>
          <w:trHeight w:val="290"/>
        </w:trPr>
        <w:tc>
          <w:tcPr>
            <w:tcW w:w="1242" w:type="dxa"/>
          </w:tcPr>
          <w:p w14:paraId="62CD2F73" w14:textId="77777777" w:rsidR="008940B3" w:rsidRPr="00B8034A"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B8034A">
              <w:rPr>
                <w:color w:val="000000"/>
                <w:sz w:val="20"/>
                <w:szCs w:val="16"/>
              </w:rPr>
              <w:t>Mean</w:t>
            </w:r>
          </w:p>
        </w:tc>
        <w:tc>
          <w:tcPr>
            <w:tcW w:w="4060" w:type="dxa"/>
          </w:tcPr>
          <w:p w14:paraId="74A247A2" w14:textId="77777777" w:rsidR="008940B3" w:rsidRPr="00B8034A"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B8034A">
              <w:rPr>
                <w:color w:val="000000"/>
                <w:sz w:val="20"/>
                <w:szCs w:val="16"/>
              </w:rPr>
              <w:t>2.1</w:t>
            </w:r>
          </w:p>
        </w:tc>
      </w:tr>
      <w:tr w:rsidR="008940B3" w:rsidRPr="00B8034A" w14:paraId="01EB5475" w14:textId="77777777" w:rsidTr="00F811E2">
        <w:trPr>
          <w:trHeight w:val="303"/>
        </w:trPr>
        <w:tc>
          <w:tcPr>
            <w:tcW w:w="1242" w:type="dxa"/>
          </w:tcPr>
          <w:p w14:paraId="5AE455A9" w14:textId="77777777" w:rsidR="008940B3" w:rsidRPr="00B8034A"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B8034A">
              <w:rPr>
                <w:color w:val="000000"/>
                <w:sz w:val="20"/>
                <w:szCs w:val="16"/>
              </w:rPr>
              <w:t>Max</w:t>
            </w:r>
          </w:p>
        </w:tc>
        <w:tc>
          <w:tcPr>
            <w:tcW w:w="4060" w:type="dxa"/>
          </w:tcPr>
          <w:p w14:paraId="04B72AA3" w14:textId="77777777" w:rsidR="008940B3" w:rsidRPr="00B8034A"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B8034A">
              <w:rPr>
                <w:color w:val="000000"/>
                <w:sz w:val="20"/>
                <w:szCs w:val="16"/>
              </w:rPr>
              <w:t>13 (Mavro Spelio tomb 5)</w:t>
            </w:r>
          </w:p>
        </w:tc>
      </w:tr>
      <w:tr w:rsidR="008940B3" w:rsidRPr="00B8034A" w14:paraId="76200188" w14:textId="77777777" w:rsidTr="00F811E2">
        <w:trPr>
          <w:trHeight w:val="303"/>
        </w:trPr>
        <w:tc>
          <w:tcPr>
            <w:tcW w:w="1242" w:type="dxa"/>
          </w:tcPr>
          <w:p w14:paraId="3C13CA8C" w14:textId="77777777" w:rsidR="008940B3" w:rsidRPr="00B8034A"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B8034A">
              <w:rPr>
                <w:color w:val="000000"/>
                <w:sz w:val="20"/>
                <w:szCs w:val="16"/>
              </w:rPr>
              <w:t>Min</w:t>
            </w:r>
          </w:p>
        </w:tc>
        <w:tc>
          <w:tcPr>
            <w:tcW w:w="4060" w:type="dxa"/>
          </w:tcPr>
          <w:p w14:paraId="5E4E1F9F" w14:textId="77777777" w:rsidR="008940B3" w:rsidRPr="00B8034A"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B8034A">
              <w:rPr>
                <w:color w:val="000000"/>
                <w:sz w:val="20"/>
                <w:szCs w:val="16"/>
              </w:rPr>
              <w:t>1</w:t>
            </w:r>
          </w:p>
        </w:tc>
      </w:tr>
    </w:tbl>
    <w:p w14:paraId="44E7B864" w14:textId="77777777" w:rsidR="008940B3" w:rsidRPr="003B5C8D"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2"/>
          <w:szCs w:val="22"/>
        </w:rPr>
      </w:pPr>
    </w:p>
    <w:p w14:paraId="0899A315" w14:textId="77777777" w:rsidR="008940B3" w:rsidRDefault="008940B3" w:rsidP="00E858EF">
      <w:pPr>
        <w:pStyle w:val="Titolo4"/>
        <w:keepNext w:val="0"/>
        <w:keepLines w:val="0"/>
        <w:suppressAutoHyphens/>
        <w:ind w:left="864" w:hanging="864"/>
        <w:contextualSpacing w:val="0"/>
      </w:pPr>
      <w:bookmarkStart w:id="262" w:name="_Toc517876496"/>
      <w:bookmarkStart w:id="263" w:name="_Toc517876497"/>
      <w:bookmarkStart w:id="264" w:name="_Toc389131170"/>
      <w:bookmarkEnd w:id="262"/>
      <w:r>
        <w:t xml:space="preserve">Tombs and larnakes: </w:t>
      </w:r>
      <w:r w:rsidRPr="003B5C8D">
        <w:t>Other deposition methods associated with larnakes within the same tomb</w:t>
      </w:r>
      <w:r>
        <w:t>.</w:t>
      </w:r>
      <w:bookmarkEnd w:id="263"/>
      <w:bookmarkEnd w:id="264"/>
    </w:p>
    <w:p w14:paraId="09120C70" w14:textId="1025EF46"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color w:val="000000"/>
          <w:sz w:val="22"/>
          <w:szCs w:val="22"/>
        </w:rPr>
        <w:t>The t</w:t>
      </w:r>
      <w:r w:rsidRPr="003B5C8D">
        <w:rPr>
          <w:color w:val="000000"/>
          <w:sz w:val="22"/>
          <w:szCs w:val="22"/>
        </w:rPr>
        <w:t>ot</w:t>
      </w:r>
      <w:r>
        <w:rPr>
          <w:color w:val="000000"/>
          <w:sz w:val="22"/>
          <w:szCs w:val="22"/>
        </w:rPr>
        <w:t>al</w:t>
      </w:r>
      <w:r w:rsidRPr="003B5C8D">
        <w:rPr>
          <w:color w:val="000000"/>
          <w:sz w:val="22"/>
          <w:szCs w:val="22"/>
        </w:rPr>
        <w:t xml:space="preserve"> number of tombs </w:t>
      </w:r>
      <w:r>
        <w:rPr>
          <w:color w:val="000000"/>
          <w:sz w:val="22"/>
          <w:szCs w:val="22"/>
        </w:rPr>
        <w:t>for the Knossos area</w:t>
      </w:r>
      <w:r w:rsidRPr="003B5C8D">
        <w:rPr>
          <w:color w:val="000000"/>
          <w:sz w:val="22"/>
          <w:szCs w:val="22"/>
        </w:rPr>
        <w:t xml:space="preserve"> in which larnakes </w:t>
      </w:r>
      <w:r>
        <w:rPr>
          <w:color w:val="000000"/>
          <w:sz w:val="22"/>
          <w:szCs w:val="22"/>
        </w:rPr>
        <w:t>are</w:t>
      </w:r>
      <w:r w:rsidRPr="003B5C8D">
        <w:rPr>
          <w:color w:val="000000"/>
          <w:sz w:val="22"/>
          <w:szCs w:val="22"/>
        </w:rPr>
        <w:t xml:space="preserve"> associated with other burials</w:t>
      </w:r>
      <w:r w:rsidRPr="003B5C8D">
        <w:rPr>
          <w:i/>
          <w:color w:val="000000"/>
          <w:sz w:val="22"/>
          <w:szCs w:val="22"/>
        </w:rPr>
        <w:t xml:space="preserve"> </w:t>
      </w:r>
      <w:r>
        <w:rPr>
          <w:color w:val="000000"/>
          <w:sz w:val="22"/>
          <w:szCs w:val="22"/>
        </w:rPr>
        <w:t>is 14.</w:t>
      </w:r>
    </w:p>
    <w:p w14:paraId="1A59064E" w14:textId="77777777" w:rsidR="00B8034A" w:rsidRDefault="00B8034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1473D3D2"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098F2CD2" wp14:editId="5F697C06">
            <wp:extent cx="4680000" cy="2520000"/>
            <wp:effectExtent l="0" t="0" r="6350" b="13970"/>
            <wp:docPr id="23" name="Gra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A91DC6E" w14:textId="2DD3C9DC" w:rsidR="008940B3" w:rsidRDefault="008940B3" w:rsidP="00E858EF">
      <w:pPr>
        <w:pStyle w:val="Didascalia"/>
        <w:suppressAutoHyphens/>
      </w:pPr>
      <w:bookmarkStart w:id="265" w:name="_Toc520212307"/>
      <w:r>
        <w:t>Figure 3-25. Interment types per tomb</w:t>
      </w:r>
      <w:r w:rsidR="005E1C18">
        <w:t>,</w:t>
      </w:r>
      <w:r>
        <w:t xml:space="preserve"> Knossos area</w:t>
      </w:r>
      <w:bookmarkEnd w:id="265"/>
      <w:r w:rsidDel="004D06C8">
        <w:t xml:space="preserve"> </w:t>
      </w:r>
    </w:p>
    <w:p w14:paraId="08C24A32"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20A518AA" w14:textId="1166323E" w:rsidR="008940B3" w:rsidRPr="003B5C8D" w:rsidRDefault="008940B3" w:rsidP="00E858EF">
      <w:pPr>
        <w:pStyle w:val="Testofumetto"/>
        <w:suppressAutoHyphens/>
      </w:pPr>
      <w:bookmarkStart w:id="266" w:name="_Toc520212530"/>
      <w:r>
        <w:t>Table 3-4</w:t>
      </w:r>
      <w:r w:rsidR="00086042">
        <w:t>2</w:t>
      </w:r>
      <w:r>
        <w:t>. Interment types occurrence</w:t>
      </w:r>
      <w:r w:rsidR="005E1C18">
        <w:t>,</w:t>
      </w:r>
      <w:r>
        <w:t xml:space="preserve"> Knossos area</w:t>
      </w:r>
      <w:bookmarkEnd w:id="266"/>
    </w:p>
    <w:tbl>
      <w:tblPr>
        <w:tblW w:w="0" w:type="auto"/>
        <w:tblInd w:w="10" w:type="dxa"/>
        <w:tblLayout w:type="fixed"/>
        <w:tblCellMar>
          <w:left w:w="70" w:type="dxa"/>
          <w:right w:w="70" w:type="dxa"/>
        </w:tblCellMar>
        <w:tblLook w:val="04A0" w:firstRow="1" w:lastRow="0" w:firstColumn="1" w:lastColumn="0" w:noHBand="0" w:noVBand="1"/>
      </w:tblPr>
      <w:tblGrid>
        <w:gridCol w:w="1192"/>
        <w:gridCol w:w="1562"/>
        <w:gridCol w:w="993"/>
        <w:gridCol w:w="993"/>
        <w:gridCol w:w="992"/>
        <w:gridCol w:w="993"/>
        <w:gridCol w:w="993"/>
      </w:tblGrid>
      <w:tr w:rsidR="008940B3" w:rsidRPr="00B8034A" w14:paraId="4EC2A305" w14:textId="77777777" w:rsidTr="00F811E2">
        <w:trPr>
          <w:trHeight w:val="440"/>
        </w:trPr>
        <w:tc>
          <w:tcPr>
            <w:tcW w:w="1192" w:type="dxa"/>
            <w:tcBorders>
              <w:top w:val="single" w:sz="6" w:space="0" w:color="000000"/>
              <w:left w:val="single" w:sz="6" w:space="0" w:color="000000"/>
              <w:bottom w:val="single" w:sz="6" w:space="0" w:color="000000"/>
              <w:right w:val="single" w:sz="6" w:space="0" w:color="000000"/>
            </w:tcBorders>
            <w:hideMark/>
          </w:tcPr>
          <w:p w14:paraId="78AFE395" w14:textId="77777777" w:rsidR="008940B3" w:rsidRPr="00B8034A" w:rsidRDefault="008940B3" w:rsidP="00E858EF">
            <w:pPr>
              <w:suppressAutoHyphens/>
              <w:jc w:val="center"/>
              <w:rPr>
                <w:sz w:val="20"/>
                <w:szCs w:val="16"/>
              </w:rPr>
            </w:pPr>
          </w:p>
        </w:tc>
        <w:tc>
          <w:tcPr>
            <w:tcW w:w="1562" w:type="dxa"/>
            <w:tcBorders>
              <w:top w:val="single" w:sz="6" w:space="0" w:color="000000"/>
              <w:left w:val="single" w:sz="6" w:space="0" w:color="000000"/>
              <w:bottom w:val="single" w:sz="6" w:space="0" w:color="000000"/>
              <w:right w:val="single" w:sz="6" w:space="0" w:color="000000"/>
            </w:tcBorders>
            <w:hideMark/>
          </w:tcPr>
          <w:p w14:paraId="0EBAC351" w14:textId="5CFD892B" w:rsidR="008940B3" w:rsidRPr="00B8034A" w:rsidRDefault="008940B3" w:rsidP="00E858EF">
            <w:pPr>
              <w:suppressAutoHyphens/>
              <w:jc w:val="center"/>
              <w:rPr>
                <w:sz w:val="18"/>
                <w:szCs w:val="16"/>
              </w:rPr>
            </w:pPr>
            <w:r w:rsidRPr="00B8034A">
              <w:rPr>
                <w:color w:val="000000"/>
                <w:sz w:val="18"/>
                <w:szCs w:val="16"/>
              </w:rPr>
              <w:t>WOODEN BIER/</w:t>
            </w:r>
            <w:r w:rsidR="00F811E2" w:rsidRPr="00B8034A">
              <w:rPr>
                <w:color w:val="000000"/>
                <w:sz w:val="18"/>
                <w:szCs w:val="16"/>
              </w:rPr>
              <w:t xml:space="preserve"> </w:t>
            </w:r>
            <w:r w:rsidRPr="00B8034A">
              <w:rPr>
                <w:color w:val="000000"/>
                <w:sz w:val="18"/>
                <w:szCs w:val="16"/>
              </w:rPr>
              <w:t>COFFIN</w:t>
            </w:r>
          </w:p>
        </w:tc>
        <w:tc>
          <w:tcPr>
            <w:tcW w:w="993" w:type="dxa"/>
            <w:tcBorders>
              <w:top w:val="single" w:sz="6" w:space="0" w:color="000000"/>
              <w:left w:val="single" w:sz="6" w:space="0" w:color="000000"/>
              <w:bottom w:val="single" w:sz="6" w:space="0" w:color="000000"/>
              <w:right w:val="single" w:sz="6" w:space="0" w:color="000000"/>
            </w:tcBorders>
            <w:hideMark/>
          </w:tcPr>
          <w:p w14:paraId="2DE3BB64" w14:textId="77777777" w:rsidR="008940B3" w:rsidRPr="00B8034A" w:rsidRDefault="008940B3" w:rsidP="00E858EF">
            <w:pPr>
              <w:suppressAutoHyphens/>
              <w:jc w:val="center"/>
              <w:rPr>
                <w:sz w:val="18"/>
                <w:szCs w:val="16"/>
              </w:rPr>
            </w:pPr>
            <w:r w:rsidRPr="00B8034A">
              <w:rPr>
                <w:color w:val="000000"/>
                <w:sz w:val="18"/>
                <w:szCs w:val="16"/>
              </w:rPr>
              <w:t>FLOOR</w:t>
            </w:r>
          </w:p>
        </w:tc>
        <w:tc>
          <w:tcPr>
            <w:tcW w:w="993" w:type="dxa"/>
            <w:tcBorders>
              <w:top w:val="single" w:sz="6" w:space="0" w:color="000000"/>
              <w:left w:val="single" w:sz="6" w:space="0" w:color="000000"/>
              <w:bottom w:val="single" w:sz="6" w:space="0" w:color="000000"/>
              <w:right w:val="single" w:sz="6" w:space="0" w:color="000000"/>
            </w:tcBorders>
          </w:tcPr>
          <w:p w14:paraId="1498B150" w14:textId="0584230C" w:rsidR="008940B3" w:rsidRPr="00B8034A" w:rsidRDefault="008940B3" w:rsidP="00E858EF">
            <w:pPr>
              <w:suppressAutoHyphens/>
              <w:jc w:val="center"/>
              <w:rPr>
                <w:color w:val="000000"/>
                <w:sz w:val="18"/>
                <w:szCs w:val="16"/>
              </w:rPr>
            </w:pPr>
            <w:r w:rsidRPr="00B8034A">
              <w:rPr>
                <w:color w:val="000000"/>
                <w:sz w:val="18"/>
                <w:szCs w:val="16"/>
              </w:rPr>
              <w:t>PIT</w:t>
            </w:r>
          </w:p>
        </w:tc>
        <w:tc>
          <w:tcPr>
            <w:tcW w:w="992" w:type="dxa"/>
            <w:tcBorders>
              <w:top w:val="single" w:sz="6" w:space="0" w:color="000000"/>
              <w:left w:val="single" w:sz="6" w:space="0" w:color="000000"/>
              <w:bottom w:val="single" w:sz="6" w:space="0" w:color="000000"/>
              <w:right w:val="single" w:sz="6" w:space="0" w:color="000000"/>
            </w:tcBorders>
          </w:tcPr>
          <w:p w14:paraId="40D71691" w14:textId="77777777" w:rsidR="008940B3" w:rsidRPr="00B8034A" w:rsidRDefault="008940B3" w:rsidP="00E858EF">
            <w:pPr>
              <w:suppressAutoHyphens/>
              <w:jc w:val="center"/>
              <w:rPr>
                <w:color w:val="000000"/>
                <w:sz w:val="18"/>
                <w:szCs w:val="16"/>
              </w:rPr>
            </w:pPr>
            <w:r w:rsidRPr="00B8034A">
              <w:rPr>
                <w:color w:val="000000"/>
                <w:sz w:val="18"/>
                <w:szCs w:val="16"/>
              </w:rPr>
              <w:t>BENCH</w:t>
            </w:r>
          </w:p>
        </w:tc>
        <w:tc>
          <w:tcPr>
            <w:tcW w:w="993" w:type="dxa"/>
            <w:tcBorders>
              <w:top w:val="single" w:sz="6" w:space="0" w:color="000000"/>
              <w:left w:val="single" w:sz="6" w:space="0" w:color="000000"/>
              <w:bottom w:val="single" w:sz="6" w:space="0" w:color="000000"/>
              <w:right w:val="single" w:sz="6" w:space="0" w:color="000000"/>
            </w:tcBorders>
          </w:tcPr>
          <w:p w14:paraId="16897D9D" w14:textId="77777777" w:rsidR="008940B3" w:rsidRPr="00B8034A" w:rsidRDefault="008940B3" w:rsidP="00E858EF">
            <w:pPr>
              <w:suppressAutoHyphens/>
              <w:jc w:val="center"/>
              <w:rPr>
                <w:color w:val="000000"/>
                <w:sz w:val="18"/>
                <w:szCs w:val="16"/>
              </w:rPr>
            </w:pPr>
            <w:r w:rsidRPr="00B8034A">
              <w:rPr>
                <w:color w:val="000000"/>
                <w:sz w:val="18"/>
                <w:szCs w:val="16"/>
              </w:rPr>
              <w:t>DROMOS</w:t>
            </w:r>
          </w:p>
        </w:tc>
        <w:tc>
          <w:tcPr>
            <w:tcW w:w="993" w:type="dxa"/>
            <w:tcBorders>
              <w:top w:val="single" w:sz="6" w:space="0" w:color="000000"/>
              <w:left w:val="single" w:sz="6" w:space="0" w:color="000000"/>
              <w:bottom w:val="single" w:sz="6" w:space="0" w:color="000000"/>
              <w:right w:val="single" w:sz="6" w:space="0" w:color="000000"/>
            </w:tcBorders>
            <w:hideMark/>
          </w:tcPr>
          <w:p w14:paraId="33A4A7B5" w14:textId="77777777" w:rsidR="008940B3" w:rsidRPr="00B8034A" w:rsidRDefault="008940B3" w:rsidP="00E858EF">
            <w:pPr>
              <w:suppressAutoHyphens/>
              <w:jc w:val="center"/>
              <w:rPr>
                <w:sz w:val="18"/>
                <w:szCs w:val="16"/>
              </w:rPr>
            </w:pPr>
            <w:r w:rsidRPr="00B8034A">
              <w:rPr>
                <w:color w:val="000000"/>
                <w:sz w:val="18"/>
                <w:szCs w:val="16"/>
              </w:rPr>
              <w:t>PITHOS</w:t>
            </w:r>
          </w:p>
        </w:tc>
      </w:tr>
      <w:tr w:rsidR="008940B3" w:rsidRPr="00B8034A" w14:paraId="59264EAB" w14:textId="77777777" w:rsidTr="00F811E2">
        <w:tblPrEx>
          <w:tblCellMar>
            <w:left w:w="0" w:type="dxa"/>
            <w:right w:w="0" w:type="dxa"/>
          </w:tblCellMar>
        </w:tblPrEx>
        <w:trPr>
          <w:trHeight w:val="175"/>
        </w:trPr>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BF4CF9C" w14:textId="4B8B23B7" w:rsidR="008940B3" w:rsidRPr="00B8034A" w:rsidRDefault="008940B3" w:rsidP="00E858EF">
            <w:pPr>
              <w:suppressAutoHyphens/>
              <w:jc w:val="left"/>
              <w:rPr>
                <w:sz w:val="20"/>
                <w:szCs w:val="16"/>
              </w:rPr>
            </w:pPr>
            <w:r w:rsidRPr="00B8034A">
              <w:rPr>
                <w:color w:val="000000"/>
                <w:sz w:val="20"/>
                <w:szCs w:val="16"/>
              </w:rPr>
              <w:t xml:space="preserve">No. </w:t>
            </w:r>
            <w:r w:rsidR="00F811E2" w:rsidRPr="00B8034A">
              <w:rPr>
                <w:color w:val="000000"/>
                <w:sz w:val="20"/>
                <w:szCs w:val="16"/>
              </w:rPr>
              <w:t>of tomb</w:t>
            </w:r>
            <w:r w:rsidR="00B8034A">
              <w:rPr>
                <w:color w:val="000000"/>
                <w:sz w:val="20"/>
                <w:szCs w:val="16"/>
              </w:rPr>
              <w:t>s</w:t>
            </w:r>
            <w:r w:rsidRPr="00B8034A">
              <w:rPr>
                <w:color w:val="000000"/>
                <w:sz w:val="20"/>
                <w:szCs w:val="16"/>
              </w:rPr>
              <w:t xml:space="preserve"> </w:t>
            </w:r>
          </w:p>
        </w:tc>
        <w:tc>
          <w:tcPr>
            <w:tcW w:w="156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9CD5084" w14:textId="39413078" w:rsidR="008940B3" w:rsidRPr="00B8034A" w:rsidRDefault="008940B3" w:rsidP="00E858EF">
            <w:pPr>
              <w:suppressAutoHyphens/>
              <w:jc w:val="center"/>
              <w:rPr>
                <w:sz w:val="20"/>
                <w:szCs w:val="16"/>
              </w:rPr>
            </w:pPr>
            <w:r w:rsidRPr="00B8034A">
              <w:rPr>
                <w:sz w:val="20"/>
                <w:szCs w:val="16"/>
              </w:rPr>
              <w:t>1</w:t>
            </w:r>
          </w:p>
        </w:tc>
        <w:tc>
          <w:tcPr>
            <w:tcW w:w="99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4969E4F" w14:textId="77777777" w:rsidR="008940B3" w:rsidRPr="00B8034A" w:rsidRDefault="008940B3" w:rsidP="00E858EF">
            <w:pPr>
              <w:suppressAutoHyphens/>
              <w:jc w:val="center"/>
              <w:rPr>
                <w:sz w:val="20"/>
                <w:szCs w:val="16"/>
              </w:rPr>
            </w:pPr>
            <w:r w:rsidRPr="00B8034A">
              <w:rPr>
                <w:sz w:val="20"/>
                <w:szCs w:val="16"/>
              </w:rPr>
              <w:t>9</w:t>
            </w:r>
          </w:p>
        </w:tc>
        <w:tc>
          <w:tcPr>
            <w:tcW w:w="993" w:type="dxa"/>
            <w:tcBorders>
              <w:top w:val="single" w:sz="6" w:space="0" w:color="000000"/>
              <w:left w:val="single" w:sz="6" w:space="0" w:color="000000"/>
              <w:bottom w:val="single" w:sz="6" w:space="0" w:color="000000"/>
              <w:right w:val="single" w:sz="6" w:space="0" w:color="000000"/>
            </w:tcBorders>
          </w:tcPr>
          <w:p w14:paraId="51442C0B" w14:textId="77777777" w:rsidR="008940B3" w:rsidRPr="00B8034A" w:rsidRDefault="008940B3" w:rsidP="00E858EF">
            <w:pPr>
              <w:suppressAutoHyphens/>
              <w:jc w:val="center"/>
              <w:rPr>
                <w:sz w:val="20"/>
                <w:szCs w:val="16"/>
              </w:rPr>
            </w:pPr>
            <w:r w:rsidRPr="00B8034A">
              <w:rPr>
                <w:sz w:val="20"/>
                <w:szCs w:val="16"/>
              </w:rPr>
              <w:t>5</w:t>
            </w:r>
          </w:p>
        </w:tc>
        <w:tc>
          <w:tcPr>
            <w:tcW w:w="992" w:type="dxa"/>
            <w:tcBorders>
              <w:top w:val="single" w:sz="6" w:space="0" w:color="000000"/>
              <w:left w:val="single" w:sz="6" w:space="0" w:color="000000"/>
              <w:bottom w:val="single" w:sz="6" w:space="0" w:color="000000"/>
              <w:right w:val="single" w:sz="6" w:space="0" w:color="000000"/>
            </w:tcBorders>
          </w:tcPr>
          <w:p w14:paraId="3F5A78D7" w14:textId="14ED2C69" w:rsidR="008940B3" w:rsidRPr="00B8034A" w:rsidRDefault="008940B3" w:rsidP="00E858EF">
            <w:pPr>
              <w:suppressAutoHyphens/>
              <w:jc w:val="center"/>
              <w:rPr>
                <w:sz w:val="20"/>
                <w:szCs w:val="16"/>
              </w:rPr>
            </w:pPr>
            <w:r w:rsidRPr="00B8034A">
              <w:rPr>
                <w:sz w:val="20"/>
                <w:szCs w:val="16"/>
              </w:rPr>
              <w:t>-</w:t>
            </w:r>
          </w:p>
        </w:tc>
        <w:tc>
          <w:tcPr>
            <w:tcW w:w="993" w:type="dxa"/>
            <w:tcBorders>
              <w:top w:val="single" w:sz="6" w:space="0" w:color="000000"/>
              <w:left w:val="single" w:sz="6" w:space="0" w:color="000000"/>
              <w:bottom w:val="single" w:sz="6" w:space="0" w:color="000000"/>
              <w:right w:val="single" w:sz="6" w:space="0" w:color="000000"/>
            </w:tcBorders>
          </w:tcPr>
          <w:p w14:paraId="0CDA9797" w14:textId="69CD7030" w:rsidR="008940B3" w:rsidRPr="00B8034A" w:rsidRDefault="008940B3" w:rsidP="00E858EF">
            <w:pPr>
              <w:suppressAutoHyphens/>
              <w:jc w:val="center"/>
              <w:rPr>
                <w:sz w:val="20"/>
                <w:szCs w:val="16"/>
              </w:rPr>
            </w:pPr>
            <w:r w:rsidRPr="00B8034A">
              <w:rPr>
                <w:sz w:val="20"/>
                <w:szCs w:val="16"/>
              </w:rPr>
              <w:t>1</w:t>
            </w:r>
          </w:p>
        </w:tc>
        <w:tc>
          <w:tcPr>
            <w:tcW w:w="99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8F63A46" w14:textId="0955DC8C" w:rsidR="008940B3" w:rsidRPr="00B8034A" w:rsidRDefault="008940B3" w:rsidP="00E858EF">
            <w:pPr>
              <w:suppressAutoHyphens/>
              <w:jc w:val="center"/>
              <w:rPr>
                <w:sz w:val="20"/>
                <w:szCs w:val="16"/>
              </w:rPr>
            </w:pPr>
            <w:r w:rsidRPr="00B8034A">
              <w:rPr>
                <w:sz w:val="20"/>
                <w:szCs w:val="16"/>
              </w:rPr>
              <w:t>-</w:t>
            </w:r>
          </w:p>
        </w:tc>
      </w:tr>
    </w:tbl>
    <w:p w14:paraId="2DA4DBA6"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288B4DDE" w14:textId="77777777" w:rsidR="008940B3" w:rsidRDefault="008940B3" w:rsidP="00B8034A">
      <w:r w:rsidRPr="003B5C8D">
        <w:t xml:space="preserve">Five tombs </w:t>
      </w:r>
      <w:r>
        <w:t>indicate</w:t>
      </w:r>
      <w:r w:rsidRPr="003B5C8D">
        <w:t xml:space="preserve"> the presence of at least two different phases in their use.</w:t>
      </w:r>
    </w:p>
    <w:p w14:paraId="0336F9F8" w14:textId="77777777" w:rsidR="008940B3" w:rsidRPr="003E113C"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sidRPr="003B5C8D">
        <w:rPr>
          <w:color w:val="000000"/>
          <w:sz w:val="22"/>
          <w:szCs w:val="22"/>
        </w:rPr>
        <w:t xml:space="preserve"> </w:t>
      </w:r>
    </w:p>
    <w:p w14:paraId="6F205B09" w14:textId="77777777" w:rsidR="008940B3" w:rsidRPr="003B5C8D" w:rsidRDefault="008940B3" w:rsidP="00E858EF">
      <w:pPr>
        <w:pStyle w:val="Titolo3"/>
        <w:keepNext w:val="0"/>
        <w:keepLines w:val="0"/>
        <w:suppressAutoHyphens/>
      </w:pPr>
      <w:bookmarkStart w:id="267" w:name="_Toc389131171"/>
      <w:bookmarkStart w:id="268" w:name="_Toc517876498"/>
      <w:bookmarkStart w:id="269" w:name="_Toc519894623"/>
      <w:r w:rsidRPr="003B5C8D">
        <w:t>Clay larnakes in no</w:t>
      </w:r>
      <w:r>
        <w:t>n-</w:t>
      </w:r>
      <w:r w:rsidRPr="003B5C8D">
        <w:t>burial context</w:t>
      </w:r>
      <w:bookmarkEnd w:id="267"/>
      <w:r>
        <w:t>s</w:t>
      </w:r>
      <w:bookmarkEnd w:id="268"/>
      <w:bookmarkEnd w:id="269"/>
      <w:r w:rsidRPr="003B5C8D">
        <w:t xml:space="preserve"> </w:t>
      </w:r>
    </w:p>
    <w:p w14:paraId="47514E19" w14:textId="77777777" w:rsidR="008940B3" w:rsidRPr="00B8034A"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8034A">
        <w:rPr>
          <w:color w:val="000000"/>
          <w:szCs w:val="22"/>
        </w:rPr>
        <w:t>There are other larnakes that have been found in the Knossos area that have not proved possible to link to any burial locations:</w:t>
      </w:r>
    </w:p>
    <w:p w14:paraId="152E0028" w14:textId="77777777" w:rsidR="008940B3" w:rsidRPr="00B8034A" w:rsidRDefault="008940B3" w:rsidP="00E858EF">
      <w:pPr>
        <w:pStyle w:val="Paragrafoelenco"/>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8034A">
        <w:rPr>
          <w:color w:val="000000"/>
          <w:szCs w:val="22"/>
        </w:rPr>
        <w:t xml:space="preserve">Fragments from the Royal Villa at Knossos (Morris 1995, 185-193; Crowley and Morris 1995: 178) </w:t>
      </w:r>
    </w:p>
    <w:p w14:paraId="20C8C7AA" w14:textId="77777777" w:rsidR="008940B3" w:rsidRPr="00B8034A" w:rsidRDefault="008940B3" w:rsidP="00E858EF">
      <w:pPr>
        <w:pStyle w:val="Paragrafoelenco"/>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8034A">
        <w:rPr>
          <w:color w:val="000000"/>
          <w:szCs w:val="22"/>
        </w:rPr>
        <w:t>Fragments from the NW House at Knossos (Crowley and Morris 1995: 178)</w:t>
      </w:r>
    </w:p>
    <w:p w14:paraId="51A08306" w14:textId="77777777" w:rsidR="008940B3" w:rsidRPr="00B8034A" w:rsidRDefault="008940B3" w:rsidP="00E858EF">
      <w:pPr>
        <w:pStyle w:val="Paragrafoelenco"/>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8034A">
        <w:rPr>
          <w:color w:val="000000"/>
          <w:szCs w:val="22"/>
        </w:rPr>
        <w:t>Fragmented bathtub larnax from the area of the Queen’s Megaron (Popham 1970: 28 pl. 46g; PM III 385 Fig. 256)</w:t>
      </w:r>
    </w:p>
    <w:p w14:paraId="15CF54D9" w14:textId="77777777" w:rsidR="008940B3" w:rsidRPr="003E113C" w:rsidRDefault="008940B3" w:rsidP="00E858EF">
      <w:pPr>
        <w:pStyle w:val="Titolo3"/>
        <w:keepNext w:val="0"/>
        <w:keepLines w:val="0"/>
        <w:suppressAutoHyphens/>
        <w:rPr>
          <w:rFonts w:cs="Times New Roman"/>
          <w:color w:val="000000"/>
        </w:rPr>
      </w:pPr>
      <w:bookmarkStart w:id="270" w:name="_Toc389131172"/>
      <w:bookmarkStart w:id="271" w:name="_Toc517876499"/>
      <w:bookmarkStart w:id="272" w:name="_Toc519894624"/>
      <w:r w:rsidRPr="003E113C">
        <w:t>Chronological</w:t>
      </w:r>
      <w:r w:rsidRPr="003E113C">
        <w:rPr>
          <w:rFonts w:cs="Times New Roman"/>
          <w:color w:val="000000"/>
        </w:rPr>
        <w:t xml:space="preserve"> remarks</w:t>
      </w:r>
      <w:bookmarkEnd w:id="270"/>
      <w:bookmarkEnd w:id="271"/>
      <w:bookmarkEnd w:id="272"/>
    </w:p>
    <w:p w14:paraId="4DF6D03D" w14:textId="77777777" w:rsidR="008940B3" w:rsidRPr="003B5C8D" w:rsidRDefault="008940B3" w:rsidP="00B8034A">
      <w:pPr>
        <w:rPr>
          <w:color w:val="000000"/>
        </w:rPr>
      </w:pPr>
      <w:r>
        <w:rPr>
          <w:color w:val="000000"/>
        </w:rPr>
        <w:t>Regarding</w:t>
      </w:r>
      <w:r w:rsidRPr="003B5C8D">
        <w:rPr>
          <w:color w:val="000000"/>
        </w:rPr>
        <w:t xml:space="preserve"> </w:t>
      </w:r>
      <w:r w:rsidRPr="003B5C8D">
        <w:rPr>
          <w:b/>
          <w:color w:val="000000"/>
        </w:rPr>
        <w:t>chronological distribution</w:t>
      </w:r>
      <w:r>
        <w:rPr>
          <w:color w:val="000000"/>
        </w:rPr>
        <w:t>, based on</w:t>
      </w:r>
      <w:r w:rsidRPr="003B5C8D">
        <w:rPr>
          <w:color w:val="000000"/>
        </w:rPr>
        <w:t xml:space="preserve"> the published evidence</w:t>
      </w:r>
      <w:r>
        <w:rPr>
          <w:color w:val="000000"/>
        </w:rPr>
        <w:t>,</w:t>
      </w:r>
      <w:r w:rsidRPr="003B5C8D">
        <w:rPr>
          <w:color w:val="000000"/>
        </w:rPr>
        <w:t xml:space="preserve"> it is possible to add some remarks</w:t>
      </w:r>
      <w:r w:rsidRPr="003B5C8D">
        <w:t xml:space="preserve">. Some of the cemeteries </w:t>
      </w:r>
      <w:r>
        <w:t>in</w:t>
      </w:r>
      <w:r w:rsidRPr="003B5C8D">
        <w:t xml:space="preserve"> the area around Knossos </w:t>
      </w:r>
      <w:r>
        <w:t>were</w:t>
      </w:r>
      <w:r w:rsidRPr="003B5C8D">
        <w:t xml:space="preserve"> disturbed by later burials, robbed or found damaged or partially destroyed (Ev</w:t>
      </w:r>
      <w:r>
        <w:t xml:space="preserve">ans 1906; Hatzaki 2005: 87-88), for example, </w:t>
      </w:r>
      <w:r w:rsidRPr="003B5C8D">
        <w:t>Mavro Spelio and Upper Gypsades</w:t>
      </w:r>
      <w:r w:rsidRPr="003B5C8D">
        <w:rPr>
          <w:color w:val="000000"/>
        </w:rPr>
        <w:t xml:space="preserve">. </w:t>
      </w:r>
      <w:r>
        <w:rPr>
          <w:color w:val="000000"/>
        </w:rPr>
        <w:t xml:space="preserve">Consequently </w:t>
      </w:r>
      <w:r w:rsidRPr="003B5C8D">
        <w:rPr>
          <w:color w:val="000000"/>
        </w:rPr>
        <w:t xml:space="preserve">it </w:t>
      </w:r>
      <w:r>
        <w:rPr>
          <w:color w:val="000000"/>
        </w:rPr>
        <w:t>is often</w:t>
      </w:r>
      <w:r w:rsidRPr="003B5C8D">
        <w:rPr>
          <w:color w:val="000000"/>
        </w:rPr>
        <w:t xml:space="preserve"> difficult to assign accurate chronological phase</w:t>
      </w:r>
      <w:r>
        <w:rPr>
          <w:color w:val="000000"/>
        </w:rPr>
        <w:t>s</w:t>
      </w:r>
      <w:r w:rsidRPr="003B5C8D">
        <w:rPr>
          <w:color w:val="000000"/>
        </w:rPr>
        <w:t xml:space="preserve"> to the tombs</w:t>
      </w:r>
      <w:r>
        <w:rPr>
          <w:color w:val="000000"/>
        </w:rPr>
        <w:t xml:space="preserve"> (or they have a very long phase of use)</w:t>
      </w:r>
      <w:r w:rsidRPr="003B5C8D">
        <w:rPr>
          <w:color w:val="000000"/>
        </w:rPr>
        <w:t>. Furthermore, in some other cases</w:t>
      </w:r>
      <w:r>
        <w:rPr>
          <w:color w:val="000000"/>
        </w:rPr>
        <w:t>,</w:t>
      </w:r>
      <w:r w:rsidRPr="003B5C8D">
        <w:rPr>
          <w:color w:val="000000"/>
        </w:rPr>
        <w:t xml:space="preserve"> a lack of information is due to </w:t>
      </w:r>
      <w:r>
        <w:rPr>
          <w:color w:val="000000"/>
        </w:rPr>
        <w:t xml:space="preserve">the </w:t>
      </w:r>
      <w:r w:rsidRPr="003B5C8D">
        <w:rPr>
          <w:color w:val="000000"/>
        </w:rPr>
        <w:t>publication records. The percentage of tombs generically dated</w:t>
      </w:r>
      <w:r>
        <w:rPr>
          <w:color w:val="000000"/>
        </w:rPr>
        <w:t xml:space="preserve"> only</w:t>
      </w:r>
      <w:r w:rsidRPr="003B5C8D">
        <w:rPr>
          <w:color w:val="000000"/>
        </w:rPr>
        <w:t xml:space="preserve"> to LM III for </w:t>
      </w:r>
      <w:r>
        <w:rPr>
          <w:color w:val="000000"/>
        </w:rPr>
        <w:t xml:space="preserve">the </w:t>
      </w:r>
      <w:r w:rsidRPr="003B5C8D">
        <w:rPr>
          <w:color w:val="000000"/>
        </w:rPr>
        <w:t xml:space="preserve">Knossos area </w:t>
      </w:r>
      <w:r>
        <w:rPr>
          <w:color w:val="000000"/>
        </w:rPr>
        <w:t>is</w:t>
      </w:r>
      <w:r w:rsidRPr="003B5C8D">
        <w:rPr>
          <w:color w:val="000000"/>
        </w:rPr>
        <w:t xml:space="preserve"> 60%.</w:t>
      </w:r>
      <w:r>
        <w:rPr>
          <w:color w:val="000000"/>
        </w:rPr>
        <w:t xml:space="preserve"> </w:t>
      </w:r>
      <w:r w:rsidRPr="003B5C8D">
        <w:rPr>
          <w:color w:val="000000"/>
        </w:rPr>
        <w:t>For the remaining 40% of tombs</w:t>
      </w:r>
      <w:r>
        <w:rPr>
          <w:color w:val="000000"/>
        </w:rPr>
        <w:t>,</w:t>
      </w:r>
      <w:r w:rsidRPr="003B5C8D">
        <w:rPr>
          <w:color w:val="000000"/>
        </w:rPr>
        <w:t xml:space="preserve"> it </w:t>
      </w:r>
      <w:r>
        <w:rPr>
          <w:color w:val="000000"/>
        </w:rPr>
        <w:t>is</w:t>
      </w:r>
      <w:r w:rsidRPr="003B5C8D">
        <w:rPr>
          <w:color w:val="000000"/>
        </w:rPr>
        <w:t xml:space="preserve"> possible to chart a better chronological frame thanks to the presence of clearly distinct </w:t>
      </w:r>
      <w:r>
        <w:rPr>
          <w:color w:val="000000"/>
        </w:rPr>
        <w:t>pottery</w:t>
      </w:r>
      <w:r w:rsidRPr="003B5C8D">
        <w:rPr>
          <w:color w:val="000000"/>
        </w:rPr>
        <w:t xml:space="preserve"> phase</w:t>
      </w:r>
      <w:r>
        <w:rPr>
          <w:color w:val="000000"/>
        </w:rPr>
        <w:t>s</w:t>
      </w:r>
      <w:r w:rsidRPr="003B5C8D">
        <w:rPr>
          <w:color w:val="000000"/>
        </w:rPr>
        <w:t xml:space="preserve"> in the publication records. </w:t>
      </w:r>
      <w:r>
        <w:rPr>
          <w:color w:val="000000"/>
        </w:rPr>
        <w:t>Based on</w:t>
      </w:r>
      <w:r w:rsidRPr="003B5C8D">
        <w:rPr>
          <w:color w:val="000000"/>
        </w:rPr>
        <w:t xml:space="preserve"> this sample</w:t>
      </w:r>
      <w:r>
        <w:rPr>
          <w:color w:val="000000"/>
        </w:rPr>
        <w:t>,</w:t>
      </w:r>
      <w:r w:rsidRPr="003B5C8D">
        <w:rPr>
          <w:color w:val="000000"/>
        </w:rPr>
        <w:t xml:space="preserve"> larnax burials </w:t>
      </w:r>
      <w:r>
        <w:rPr>
          <w:color w:val="000000"/>
        </w:rPr>
        <w:t>are attested in tombs in Knossos dated from LM IIIA and LM IIIA1, A2 (Upper Gypsades Tomb X and Katsambas); for Upper Gypsades Tomb X, the two larnax burials probably belong to the second phase of use of the tomb (LM IIIA2: Hood et al.</w:t>
      </w:r>
      <w:r w:rsidRPr="0048260C">
        <w:rPr>
          <w:color w:val="000000"/>
        </w:rPr>
        <w:t xml:space="preserve"> 1958/1959</w:t>
      </w:r>
      <w:r>
        <w:rPr>
          <w:color w:val="000000"/>
        </w:rPr>
        <w:t xml:space="preserve">: 210-212; for Katsambas, see Alexiou 1967: </w:t>
      </w:r>
      <w:r w:rsidRPr="007C007F">
        <w:rPr>
          <w:color w:val="000000"/>
        </w:rPr>
        <w:t>23</w:t>
      </w:r>
      <w:r>
        <w:rPr>
          <w:color w:val="000000"/>
        </w:rPr>
        <w:t xml:space="preserve">), until LM IIIB2. However, LM IIIB is the peak phase in larnax use for this region, according to the data from the sample available. </w:t>
      </w:r>
      <w:r w:rsidRPr="003B5C8D">
        <w:rPr>
          <w:color w:val="000000"/>
        </w:rPr>
        <w:t>No larnakes have been found</w:t>
      </w:r>
      <w:r>
        <w:rPr>
          <w:color w:val="000000"/>
        </w:rPr>
        <w:t>,</w:t>
      </w:r>
      <w:r w:rsidRPr="003B5C8D">
        <w:rPr>
          <w:color w:val="000000"/>
        </w:rPr>
        <w:t xml:space="preserve"> </w:t>
      </w:r>
      <w:r>
        <w:rPr>
          <w:color w:val="000000"/>
        </w:rPr>
        <w:t>as yet,</w:t>
      </w:r>
      <w:r w:rsidRPr="003B5C8D">
        <w:rPr>
          <w:color w:val="000000"/>
        </w:rPr>
        <w:t xml:space="preserve"> in LM IIIC</w:t>
      </w:r>
      <w:r>
        <w:rPr>
          <w:color w:val="000000"/>
        </w:rPr>
        <w:t>-</w:t>
      </w:r>
      <w:r w:rsidRPr="003B5C8D">
        <w:rPr>
          <w:color w:val="000000"/>
        </w:rPr>
        <w:t>dated tombs. Within the LM IIIA-B</w:t>
      </w:r>
      <w:r>
        <w:rPr>
          <w:color w:val="000000"/>
        </w:rPr>
        <w:t xml:space="preserve"> period,</w:t>
      </w:r>
      <w:r w:rsidRPr="003B5C8D">
        <w:rPr>
          <w:color w:val="000000"/>
        </w:rPr>
        <w:t xml:space="preserve"> the number of tombs with larnakes increase</w:t>
      </w:r>
      <w:r>
        <w:rPr>
          <w:color w:val="000000"/>
        </w:rPr>
        <w:t>s</w:t>
      </w:r>
      <w:r w:rsidRPr="003B5C8D">
        <w:rPr>
          <w:color w:val="000000"/>
        </w:rPr>
        <w:t xml:space="preserve"> for the phases between LM IIIA2</w:t>
      </w:r>
      <w:r>
        <w:rPr>
          <w:color w:val="000000"/>
        </w:rPr>
        <w:t xml:space="preserve"> and </w:t>
      </w:r>
      <w:r w:rsidRPr="003B5C8D">
        <w:rPr>
          <w:color w:val="000000"/>
        </w:rPr>
        <w:t>LM IIIB. Consequently, the peak in larnax use in</w:t>
      </w:r>
      <w:r>
        <w:rPr>
          <w:color w:val="000000"/>
        </w:rPr>
        <w:t xml:space="preserve"> the</w:t>
      </w:r>
      <w:r w:rsidRPr="003B5C8D">
        <w:rPr>
          <w:color w:val="000000"/>
        </w:rPr>
        <w:t xml:space="preserve"> Knossos area burials corresponds to LM IIIA2-IIIB.</w:t>
      </w:r>
    </w:p>
    <w:p w14:paraId="109F91F9"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1490F871" wp14:editId="524A0E99">
            <wp:extent cx="5248275" cy="2592000"/>
            <wp:effectExtent l="0" t="0" r="9525" b="18415"/>
            <wp:docPr id="70" name="Gra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4AFC0D1" w14:textId="18A23C02" w:rsidR="008940B3" w:rsidRDefault="008940B3" w:rsidP="00E858EF">
      <w:pPr>
        <w:pStyle w:val="Didascalia"/>
        <w:suppressAutoHyphens/>
      </w:pPr>
      <w:bookmarkStart w:id="273" w:name="_Toc520212308"/>
      <w:r>
        <w:t>Figure 3-26. Chronological distribution of tomb with larnakes</w:t>
      </w:r>
      <w:r w:rsidR="005E1C18">
        <w:t>,</w:t>
      </w:r>
      <w:r>
        <w:t xml:space="preserve"> Knossos area</w:t>
      </w:r>
      <w:bookmarkEnd w:id="273"/>
    </w:p>
    <w:p w14:paraId="7584F713" w14:textId="77777777" w:rsidR="008940B3" w:rsidRPr="003E113C"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09079C5A" w14:textId="2F6220F3" w:rsidR="008940B3" w:rsidRPr="003E113C" w:rsidRDefault="008940B3" w:rsidP="00E858EF">
      <w:pPr>
        <w:pStyle w:val="Titolo3"/>
        <w:keepNext w:val="0"/>
        <w:keepLines w:val="0"/>
        <w:suppressAutoHyphens/>
      </w:pPr>
      <w:bookmarkStart w:id="274" w:name="_Toc389131173"/>
      <w:bookmarkStart w:id="275" w:name="_Toc517876500"/>
      <w:bookmarkStart w:id="276" w:name="_Toc519894625"/>
      <w:r w:rsidRPr="003E113C">
        <w:t>Conclusions</w:t>
      </w:r>
      <w:r w:rsidR="005B5E84">
        <w:t>,</w:t>
      </w:r>
      <w:r w:rsidRPr="003E113C">
        <w:t xml:space="preserve"> Knossos area</w:t>
      </w:r>
      <w:bookmarkEnd w:id="274"/>
      <w:bookmarkEnd w:id="275"/>
      <w:bookmarkEnd w:id="276"/>
    </w:p>
    <w:p w14:paraId="0405D355" w14:textId="77777777" w:rsidR="008940B3" w:rsidRPr="003B5C8D" w:rsidRDefault="008940B3" w:rsidP="00B8034A">
      <w:r w:rsidRPr="003B5C8D">
        <w:t>Summari</w:t>
      </w:r>
      <w:r>
        <w:t>s</w:t>
      </w:r>
      <w:r w:rsidRPr="003B5C8D">
        <w:t>ing all the results</w:t>
      </w:r>
      <w:r>
        <w:t>,</w:t>
      </w:r>
      <w:r w:rsidRPr="003B5C8D">
        <w:t xml:space="preserve"> </w:t>
      </w:r>
      <w:r>
        <w:t>larnax</w:t>
      </w:r>
      <w:r w:rsidRPr="003B5C8D">
        <w:t xml:space="preserve"> burials </w:t>
      </w:r>
      <w:r>
        <w:t>were</w:t>
      </w:r>
      <w:r w:rsidRPr="003B5C8D">
        <w:t xml:space="preserve"> adopted in roughly half of the cemeteries in use during LM III. Within these cemeteries</w:t>
      </w:r>
      <w:r>
        <w:t>,</w:t>
      </w:r>
      <w:r w:rsidRPr="003B5C8D">
        <w:t xml:space="preserve"> </w:t>
      </w:r>
      <w:r>
        <w:t>larnax</w:t>
      </w:r>
      <w:r w:rsidRPr="003B5C8D">
        <w:t xml:space="preserve"> use </w:t>
      </w:r>
      <w:r>
        <w:t>was</w:t>
      </w:r>
      <w:r w:rsidRPr="003B5C8D">
        <w:t xml:space="preserve"> confined to a limited number of tombs. The</w:t>
      </w:r>
      <w:r>
        <w:t xml:space="preserve"> use</w:t>
      </w:r>
      <w:r w:rsidRPr="003B5C8D">
        <w:t xml:space="preserve"> </w:t>
      </w:r>
      <w:r>
        <w:t>occurs, mainly,</w:t>
      </w:r>
      <w:r w:rsidRPr="003B5C8D">
        <w:t xml:space="preserve"> in association with chamber </w:t>
      </w:r>
      <w:r w:rsidRPr="000F1909">
        <w:t>tombs of small size</w:t>
      </w:r>
      <w:r w:rsidRPr="003B5C8D">
        <w:t xml:space="preserve"> and</w:t>
      </w:r>
      <w:r>
        <w:t>,</w:t>
      </w:r>
      <w:r w:rsidRPr="003B5C8D">
        <w:t xml:space="preserve"> in </w:t>
      </w:r>
      <w:r>
        <w:t xml:space="preserve">a </w:t>
      </w:r>
      <w:r w:rsidRPr="003B5C8D">
        <w:t>few cases</w:t>
      </w:r>
      <w:r>
        <w:t>,</w:t>
      </w:r>
      <w:r w:rsidRPr="003B5C8D">
        <w:t xml:space="preserve"> larnakes </w:t>
      </w:r>
      <w:r>
        <w:t>are</w:t>
      </w:r>
      <w:r w:rsidRPr="003B5C8D">
        <w:t xml:space="preserve"> associated with other type</w:t>
      </w:r>
      <w:r>
        <w:t>s</w:t>
      </w:r>
      <w:r w:rsidRPr="003B5C8D">
        <w:t xml:space="preserve"> of interment as deposition</w:t>
      </w:r>
      <w:r>
        <w:t>s</w:t>
      </w:r>
      <w:r w:rsidRPr="003B5C8D">
        <w:t xml:space="preserve"> on the floor or in </w:t>
      </w:r>
      <w:r>
        <w:t xml:space="preserve">a </w:t>
      </w:r>
      <w:r w:rsidRPr="003B5C8D">
        <w:t>pit. From the analysis presented above</w:t>
      </w:r>
      <w:r>
        <w:t>,</w:t>
      </w:r>
      <w:r w:rsidRPr="003B5C8D">
        <w:t xml:space="preserve"> it is highly possible that clay larnax</w:t>
      </w:r>
      <w:r>
        <w:t xml:space="preserve"> burials were adopted in the</w:t>
      </w:r>
      <w:r w:rsidRPr="003B5C8D">
        <w:t xml:space="preserve"> Knossos area during LM IIIA2 (Preston 2000: 152; Hatzaki 2005: 88-89). Their use is attested </w:t>
      </w:r>
      <w:r>
        <w:t>unti</w:t>
      </w:r>
      <w:r w:rsidRPr="003B5C8D">
        <w:t>l the LM IIIB, after which</w:t>
      </w:r>
      <w:r>
        <w:t xml:space="preserve"> there was</w:t>
      </w:r>
      <w:r w:rsidRPr="003B5C8D">
        <w:t xml:space="preserve"> a general decline in tomb use. </w:t>
      </w:r>
    </w:p>
    <w:p w14:paraId="6E8924EA" w14:textId="77777777" w:rsidR="008940B3" w:rsidRPr="003B5C8D" w:rsidRDefault="008940B3" w:rsidP="00B8034A">
      <w:r>
        <w:tab/>
      </w:r>
      <w:r w:rsidRPr="003B5C8D">
        <w:t>Cemeteries with clay larnakes are located north of the Palace, both in older/re</w:t>
      </w:r>
      <w:r>
        <w:t>used</w:t>
      </w:r>
      <w:r w:rsidRPr="003B5C8D">
        <w:t xml:space="preserve"> tombs and in new tombs. </w:t>
      </w:r>
      <w:r>
        <w:t>Comparing LM III larnax burials with tombs from the previous phase in the Knossos region, there is a visible decline in mortuary ostentation, which is especially apparent in the lack of tomb monumentality (Preston 2004: 325-331; Hatzaki 2016: 198-201). C</w:t>
      </w:r>
      <w:r w:rsidRPr="003B5C8D">
        <w:t xml:space="preserve">hanges in </w:t>
      </w:r>
      <w:r>
        <w:t xml:space="preserve">the </w:t>
      </w:r>
      <w:r w:rsidRPr="003B5C8D">
        <w:t>burial landscape (cemeteries</w:t>
      </w:r>
      <w:r>
        <w:t xml:space="preserve"> abandoned: </w:t>
      </w:r>
      <w:r w:rsidRPr="003B5C8D">
        <w:t>Agios Ioannis v</w:t>
      </w:r>
      <w:r>
        <w:t>s. new cemeteries established such as</w:t>
      </w:r>
      <w:r w:rsidRPr="003B5C8D">
        <w:t xml:space="preserve"> Sellopoulo, Zafer Papoura)</w:t>
      </w:r>
      <w:r>
        <w:t xml:space="preserve"> are visible also (Hatzaki 2016)</w:t>
      </w:r>
      <w:r w:rsidRPr="003B5C8D">
        <w:t>.</w:t>
      </w:r>
      <w:r>
        <w:t xml:space="preserve"> Instead,</w:t>
      </w:r>
      <w:r w:rsidRPr="003B5C8D">
        <w:t xml:space="preserve"> more stability in terms of </w:t>
      </w:r>
      <w:r>
        <w:t xml:space="preserve">the </w:t>
      </w:r>
      <w:r w:rsidRPr="003B5C8D">
        <w:t>cemeteries used</w:t>
      </w:r>
      <w:r>
        <w:t xml:space="preserve"> and tomb typologies</w:t>
      </w:r>
      <w:r w:rsidRPr="003B5C8D">
        <w:t xml:space="preserve"> </w:t>
      </w:r>
      <w:r>
        <w:t xml:space="preserve">adopted </w:t>
      </w:r>
      <w:r w:rsidRPr="003B5C8D">
        <w:t xml:space="preserve">can be observed for the LM IIIA-B. </w:t>
      </w:r>
      <w:r>
        <w:t>The adoption of chest-shaped larnakes in the Knossos region appears to be accompanied by the adoption of chamber tombs, as visible in the other Cretan areas. No significant peculiarity is visible regarding tomb architecture, and there is a general lack of monumentality. The monumental tombs registered belong to a previous phase of use (e.g. the multiple chamber tombs at Mavro Spelio and the monumental tomb at Katsambas) and, probably, the groups that were adopting larnax burials were no longer investing resources (or were unable or preferred not to) in tomb architecture as in the previous phase.</w:t>
      </w:r>
      <w:r w:rsidRPr="003B5C8D">
        <w:t xml:space="preserve"> </w:t>
      </w:r>
    </w:p>
    <w:p w14:paraId="1E5A1853" w14:textId="77777777" w:rsidR="008940B3" w:rsidRPr="008B7E75" w:rsidRDefault="008940B3" w:rsidP="00E858EF">
      <w:pPr>
        <w:pStyle w:val="Titolo2"/>
        <w:keepNext w:val="0"/>
        <w:keepLines w:val="0"/>
        <w:suppressAutoHyphens/>
      </w:pPr>
      <w:bookmarkStart w:id="277" w:name="_Toc389131174"/>
      <w:bookmarkStart w:id="278" w:name="_Toc517876501"/>
      <w:bookmarkStart w:id="279" w:name="_Toc519894626"/>
      <w:r w:rsidRPr="008B7E75">
        <w:t>Central area</w:t>
      </w:r>
      <w:bookmarkEnd w:id="277"/>
      <w:bookmarkEnd w:id="278"/>
      <w:bookmarkEnd w:id="279"/>
    </w:p>
    <w:p w14:paraId="0163F09D" w14:textId="7A9C6ADB" w:rsidR="008940B3" w:rsidRPr="003B5C8D" w:rsidRDefault="008940B3" w:rsidP="00B8034A">
      <w:r w:rsidRPr="008B7E75">
        <w:rPr>
          <w:bCs/>
        </w:rPr>
        <w:t xml:space="preserve">The </w:t>
      </w:r>
      <w:r>
        <w:rPr>
          <w:b/>
          <w:bCs/>
        </w:rPr>
        <w:t>C</w:t>
      </w:r>
      <w:r w:rsidRPr="003B5C8D">
        <w:rPr>
          <w:b/>
          <w:bCs/>
        </w:rPr>
        <w:t xml:space="preserve">entral </w:t>
      </w:r>
      <w:r w:rsidR="005E1C18">
        <w:rPr>
          <w:b/>
          <w:bCs/>
        </w:rPr>
        <w:t>area</w:t>
      </w:r>
      <w:r w:rsidRPr="003B5C8D">
        <w:rPr>
          <w:b/>
          <w:bCs/>
        </w:rPr>
        <w:t>,</w:t>
      </w:r>
      <w:r w:rsidRPr="003B5C8D">
        <w:t xml:space="preserve"> from </w:t>
      </w:r>
      <w:r w:rsidR="005E1C18">
        <w:t>a</w:t>
      </w:r>
      <w:r w:rsidR="005E1C18" w:rsidRPr="003B5C8D">
        <w:t xml:space="preserve"> </w:t>
      </w:r>
      <w:r w:rsidRPr="003B5C8D">
        <w:t>geographical point of view</w:t>
      </w:r>
      <w:r w:rsidR="00B8034A">
        <w:t>,</w:t>
      </w:r>
      <w:r w:rsidRPr="003B5C8D">
        <w:t xml:space="preserve"> </w:t>
      </w:r>
      <w:r>
        <w:t xml:space="preserve">is bounded in the </w:t>
      </w:r>
      <w:r w:rsidRPr="003B5C8D">
        <w:t xml:space="preserve">south </w:t>
      </w:r>
      <w:r>
        <w:t>by</w:t>
      </w:r>
      <w:r w:rsidRPr="003B5C8D">
        <w:t xml:space="preserve"> the Mesara plain and is limited </w:t>
      </w:r>
      <w:r>
        <w:t>i</w:t>
      </w:r>
      <w:r w:rsidRPr="003B5C8D">
        <w:t xml:space="preserve">n the southwest by </w:t>
      </w:r>
      <w:r>
        <w:t xml:space="preserve">Mt. </w:t>
      </w:r>
      <w:r w:rsidRPr="003B5C8D">
        <w:t>Psiloritis. To the east</w:t>
      </w:r>
      <w:r>
        <w:t>,</w:t>
      </w:r>
      <w:r w:rsidRPr="003B5C8D">
        <w:t xml:space="preserve"> the</w:t>
      </w:r>
      <w:r>
        <w:t xml:space="preserve"> region extends along the coast as far as</w:t>
      </w:r>
      <w:r w:rsidRPr="003B5C8D">
        <w:t xml:space="preserve"> Chersonissos</w:t>
      </w:r>
      <w:r>
        <w:t>,</w:t>
      </w:r>
      <w:r w:rsidRPr="003B5C8D">
        <w:t xml:space="preserve"> west of </w:t>
      </w:r>
      <w:r w:rsidR="00F7367B">
        <w:t>Malia</w:t>
      </w:r>
      <w:r>
        <w:t>,</w:t>
      </w:r>
      <w:r w:rsidRPr="003B5C8D">
        <w:t xml:space="preserve"> and its border to the east is defined by the foothills of the Lasithi range. This region is characteri</w:t>
      </w:r>
      <w:r>
        <w:t>s</w:t>
      </w:r>
      <w:r w:rsidRPr="003B5C8D">
        <w:t xml:space="preserve">ed by a relative abundance of mortuary evidence, in part due to the intense archaeological activity in the area. </w:t>
      </w:r>
      <w:r>
        <w:t>However,</w:t>
      </w:r>
      <w:r w:rsidRPr="003B5C8D">
        <w:t xml:space="preserve"> as </w:t>
      </w:r>
      <w:r>
        <w:t>previously stated</w:t>
      </w:r>
      <w:r w:rsidRPr="003B5C8D">
        <w:t xml:space="preserve"> for the </w:t>
      </w:r>
      <w:r>
        <w:t>Far-West</w:t>
      </w:r>
      <w:r w:rsidRPr="003B5C8D">
        <w:t xml:space="preserve"> region, where exactly the opposite phenomenon </w:t>
      </w:r>
      <w:r>
        <w:t>occurred</w:t>
      </w:r>
      <w:r w:rsidRPr="003B5C8D">
        <w:t xml:space="preserve"> (lack of archaeological investigation)</w:t>
      </w:r>
      <w:r>
        <w:t>, this region has been extensively archaeologically investigated.</w:t>
      </w:r>
    </w:p>
    <w:p w14:paraId="72125CF2" w14:textId="77777777" w:rsidR="008940B3" w:rsidRPr="003B5C8D" w:rsidRDefault="008940B3" w:rsidP="00E858EF">
      <w:pPr>
        <w:pStyle w:val="Titolo3"/>
        <w:keepNext w:val="0"/>
        <w:keepLines w:val="0"/>
        <w:suppressAutoHyphens/>
      </w:pPr>
      <w:bookmarkStart w:id="280" w:name="_Toc389131175"/>
      <w:bookmarkStart w:id="281" w:name="_Toc517876502"/>
      <w:bookmarkStart w:id="282" w:name="_Toc519894627"/>
      <w:r w:rsidRPr="003B5C8D">
        <w:t>Burial locations and cemeteries</w:t>
      </w:r>
      <w:bookmarkEnd w:id="280"/>
      <w:bookmarkEnd w:id="281"/>
      <w:bookmarkEnd w:id="282"/>
    </w:p>
    <w:p w14:paraId="4584ACAC" w14:textId="77777777" w:rsidR="008940B3" w:rsidRPr="00EF0401" w:rsidRDefault="008940B3" w:rsidP="00E858EF">
      <w:pPr>
        <w:pStyle w:val="Titolo4"/>
        <w:keepNext w:val="0"/>
        <w:keepLines w:val="0"/>
        <w:suppressAutoHyphens/>
        <w:ind w:left="864" w:hanging="864"/>
        <w:contextualSpacing w:val="0"/>
      </w:pPr>
      <w:bookmarkStart w:id="283" w:name="_Toc389131176"/>
      <w:bookmarkStart w:id="284" w:name="_Toc517876503"/>
      <w:r w:rsidRPr="00EF0401">
        <w:t>Wh</w:t>
      </w:r>
      <w:r>
        <w:t>at</w:t>
      </w:r>
      <w:r w:rsidRPr="00EF0401">
        <w:t xml:space="preserve"> is the proportion </w:t>
      </w:r>
      <w:r>
        <w:t>of</w:t>
      </w:r>
      <w:r w:rsidRPr="00EF0401">
        <w:t xml:space="preserve"> cemeteries with larnakes and cemeteries without larnakes?</w:t>
      </w:r>
      <w:bookmarkEnd w:id="283"/>
      <w:bookmarkEnd w:id="284"/>
    </w:p>
    <w:p w14:paraId="0DE11223" w14:textId="661084E0" w:rsidR="008940B3" w:rsidRDefault="008940B3" w:rsidP="00B8034A">
      <w:r w:rsidRPr="003B5C8D">
        <w:t>Clay larnax use</w:t>
      </w:r>
      <w:r>
        <w:t xml:space="preserve"> is attested securely for 69</w:t>
      </w:r>
      <w:r w:rsidRPr="003B5C8D">
        <w:t xml:space="preserve">% of the burial locations in use during LM III. </w:t>
      </w:r>
    </w:p>
    <w:p w14:paraId="22C66C67" w14:textId="77777777" w:rsidR="00B8034A" w:rsidRPr="003B5C8D" w:rsidRDefault="00B8034A" w:rsidP="00B8034A"/>
    <w:p w14:paraId="0E817F6A"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130BF9FD" wp14:editId="227CA537">
            <wp:extent cx="4680000" cy="2520000"/>
            <wp:effectExtent l="0" t="0" r="6350" b="13970"/>
            <wp:docPr id="8" name="Gra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901CFEA" w14:textId="77777777" w:rsidR="008940B3" w:rsidRDefault="008940B3" w:rsidP="00E858EF">
      <w:pPr>
        <w:pStyle w:val="Didascalia"/>
        <w:suppressAutoHyphens/>
      </w:pPr>
      <w:bookmarkStart w:id="285" w:name="_Toc520212309"/>
      <w:r>
        <w:t>Figure 3-27</w:t>
      </w:r>
      <w:r w:rsidRPr="00DA44D7">
        <w:t>. LM III burial locations in the Central area</w:t>
      </w:r>
      <w:bookmarkEnd w:id="285"/>
    </w:p>
    <w:p w14:paraId="759205A4"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color w:val="000000"/>
          <w:sz w:val="22"/>
          <w:szCs w:val="22"/>
          <w:lang w:val="it-IT"/>
        </w:rPr>
        <w:drawing>
          <wp:inline distT="0" distB="0" distL="0" distR="0" wp14:anchorId="14CB51D3" wp14:editId="570ED4B5">
            <wp:extent cx="5397500" cy="3816350"/>
            <wp:effectExtent l="0" t="0" r="12700" b="0"/>
            <wp:docPr id="24" name="Immagine 24" descr="Macintosh HD:Users:angela:Desktop:180716_5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gela:Desktop:180716_5_C.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97500" cy="3816350"/>
                    </a:xfrm>
                    <a:prstGeom prst="rect">
                      <a:avLst/>
                    </a:prstGeom>
                    <a:noFill/>
                    <a:ln>
                      <a:noFill/>
                    </a:ln>
                  </pic:spPr>
                </pic:pic>
              </a:graphicData>
            </a:graphic>
          </wp:inline>
        </w:drawing>
      </w:r>
    </w:p>
    <w:p w14:paraId="7DEF6946" w14:textId="5392789F" w:rsidR="008940B3" w:rsidRDefault="008940B3" w:rsidP="00E858EF">
      <w:pPr>
        <w:pStyle w:val="Didascalia"/>
        <w:suppressAutoHyphens/>
      </w:pPr>
      <w:bookmarkStart w:id="286" w:name="_Toc520212310"/>
      <w:r>
        <w:t>Figure 3-28. Distribution of LMIII burial locations</w:t>
      </w:r>
      <w:r w:rsidRPr="00FF04E9">
        <w:t xml:space="preserve"> </w:t>
      </w:r>
      <w:r>
        <w:t>in the Central a</w:t>
      </w:r>
      <w:r w:rsidRPr="00895FF7">
        <w:t>rea</w:t>
      </w:r>
      <w:r>
        <w:t xml:space="preserve"> (Source: Author)</w:t>
      </w:r>
      <w:bookmarkEnd w:id="286"/>
    </w:p>
    <w:p w14:paraId="352A46A7" w14:textId="77777777" w:rsidR="00363CE1" w:rsidRPr="00363CE1" w:rsidRDefault="00363CE1" w:rsidP="00E858EF">
      <w:pPr>
        <w:suppressAutoHyphens/>
      </w:pPr>
    </w:p>
    <w:p w14:paraId="64A696A4" w14:textId="021587CA" w:rsidR="008940B3" w:rsidRPr="003B5C8D" w:rsidRDefault="008940B3" w:rsidP="00E858EF">
      <w:pPr>
        <w:pStyle w:val="Testofumetto"/>
        <w:suppressAutoHyphens/>
      </w:pPr>
      <w:bookmarkStart w:id="287" w:name="_Toc520212531"/>
      <w:r>
        <w:t>Table 3-4</w:t>
      </w:r>
      <w:r w:rsidR="00086042">
        <w:t>3</w:t>
      </w:r>
      <w:r>
        <w:t>. LM III burial locations</w:t>
      </w:r>
      <w:r w:rsidR="005E1C18">
        <w:t>,</w:t>
      </w:r>
      <w:r>
        <w:t xml:space="preserve"> Central area</w:t>
      </w:r>
      <w:r w:rsidR="005E1C18">
        <w:t>,</w:t>
      </w:r>
      <w:r>
        <w:t xml:space="preserve"> in detail</w:t>
      </w:r>
      <w:bookmarkEnd w:id="287"/>
    </w:p>
    <w:tbl>
      <w:tblPr>
        <w:tblW w:w="0" w:type="auto"/>
        <w:tblInd w:w="60" w:type="dxa"/>
        <w:tblCellMar>
          <w:left w:w="0" w:type="dxa"/>
          <w:right w:w="0" w:type="dxa"/>
        </w:tblCellMar>
        <w:tblLook w:val="04A0" w:firstRow="1" w:lastRow="0" w:firstColumn="1" w:lastColumn="0" w:noHBand="0" w:noVBand="1"/>
      </w:tblPr>
      <w:tblGrid>
        <w:gridCol w:w="3969"/>
        <w:gridCol w:w="2534"/>
      </w:tblGrid>
      <w:tr w:rsidR="008940B3" w:rsidRPr="00B8034A" w14:paraId="7E974235" w14:textId="77777777" w:rsidTr="00B8034A">
        <w:trPr>
          <w:trHeight w:val="195"/>
        </w:trPr>
        <w:tc>
          <w:tcPr>
            <w:tcW w:w="39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5EE074A" w14:textId="77777777" w:rsidR="008940B3" w:rsidRPr="00B8034A" w:rsidRDefault="008940B3" w:rsidP="00E858EF">
            <w:pPr>
              <w:suppressAutoHyphens/>
              <w:rPr>
                <w:sz w:val="20"/>
                <w:szCs w:val="16"/>
              </w:rPr>
            </w:pPr>
            <w:r w:rsidRPr="00B8034A">
              <w:rPr>
                <w:color w:val="000000"/>
                <w:sz w:val="20"/>
                <w:szCs w:val="16"/>
              </w:rPr>
              <w:t>Burial locations with secure larnax interment</w:t>
            </w:r>
          </w:p>
        </w:tc>
        <w:tc>
          <w:tcPr>
            <w:tcW w:w="25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79A896E" w14:textId="77777777" w:rsidR="008940B3" w:rsidRPr="00B8034A" w:rsidRDefault="008940B3" w:rsidP="00E858EF">
            <w:pPr>
              <w:suppressAutoHyphens/>
              <w:jc w:val="center"/>
              <w:rPr>
                <w:sz w:val="20"/>
                <w:szCs w:val="16"/>
              </w:rPr>
            </w:pPr>
            <w:r w:rsidRPr="00B8034A">
              <w:rPr>
                <w:sz w:val="20"/>
                <w:szCs w:val="16"/>
              </w:rPr>
              <w:t>59</w:t>
            </w:r>
          </w:p>
        </w:tc>
      </w:tr>
      <w:tr w:rsidR="008940B3" w:rsidRPr="00B8034A" w14:paraId="441DFE05" w14:textId="77777777" w:rsidTr="00B8034A">
        <w:trPr>
          <w:trHeight w:val="195"/>
        </w:trPr>
        <w:tc>
          <w:tcPr>
            <w:tcW w:w="3969"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BD3F833" w14:textId="77777777" w:rsidR="008940B3" w:rsidRPr="00B8034A" w:rsidRDefault="008940B3" w:rsidP="00E858EF">
            <w:pPr>
              <w:suppressAutoHyphens/>
              <w:rPr>
                <w:sz w:val="20"/>
                <w:szCs w:val="16"/>
              </w:rPr>
            </w:pPr>
            <w:r w:rsidRPr="00B8034A">
              <w:rPr>
                <w:color w:val="000000"/>
                <w:sz w:val="20"/>
                <w:szCs w:val="16"/>
              </w:rPr>
              <w:t>Burial locations with possible larnax interment</w:t>
            </w:r>
          </w:p>
        </w:tc>
        <w:tc>
          <w:tcPr>
            <w:tcW w:w="2534"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5DE56344" w14:textId="77777777" w:rsidR="008940B3" w:rsidRPr="00B8034A" w:rsidRDefault="008940B3" w:rsidP="00E858EF">
            <w:pPr>
              <w:suppressAutoHyphens/>
              <w:jc w:val="center"/>
              <w:rPr>
                <w:sz w:val="20"/>
                <w:szCs w:val="16"/>
              </w:rPr>
            </w:pPr>
            <w:r w:rsidRPr="00B8034A">
              <w:rPr>
                <w:color w:val="000000"/>
                <w:sz w:val="20"/>
                <w:szCs w:val="16"/>
              </w:rPr>
              <w:t>22</w:t>
            </w:r>
          </w:p>
        </w:tc>
      </w:tr>
      <w:tr w:rsidR="008940B3" w:rsidRPr="00B8034A" w14:paraId="4A8621C9" w14:textId="77777777" w:rsidTr="00B8034A">
        <w:trPr>
          <w:trHeight w:val="195"/>
        </w:trPr>
        <w:tc>
          <w:tcPr>
            <w:tcW w:w="39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DA6E93F" w14:textId="77777777" w:rsidR="008940B3" w:rsidRPr="00B8034A" w:rsidRDefault="008940B3" w:rsidP="00E858EF">
            <w:pPr>
              <w:suppressAutoHyphens/>
              <w:rPr>
                <w:sz w:val="20"/>
                <w:szCs w:val="16"/>
              </w:rPr>
            </w:pPr>
            <w:r w:rsidRPr="00B8034A">
              <w:rPr>
                <w:color w:val="000000"/>
                <w:sz w:val="20"/>
                <w:szCs w:val="16"/>
              </w:rPr>
              <w:t>Burial locations without larnakes</w:t>
            </w:r>
          </w:p>
        </w:tc>
        <w:tc>
          <w:tcPr>
            <w:tcW w:w="25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74EF127" w14:textId="77777777" w:rsidR="008940B3" w:rsidRPr="00B8034A" w:rsidRDefault="008940B3" w:rsidP="00E858EF">
            <w:pPr>
              <w:suppressAutoHyphens/>
              <w:jc w:val="center"/>
              <w:rPr>
                <w:sz w:val="20"/>
                <w:szCs w:val="16"/>
              </w:rPr>
            </w:pPr>
            <w:r w:rsidRPr="00B8034A">
              <w:rPr>
                <w:color w:val="000000"/>
                <w:sz w:val="20"/>
                <w:szCs w:val="16"/>
              </w:rPr>
              <w:t>5</w:t>
            </w:r>
          </w:p>
        </w:tc>
      </w:tr>
    </w:tbl>
    <w:p w14:paraId="16CAF3D7"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02F92E17" w14:textId="77777777" w:rsidR="008940B3" w:rsidRPr="00B8034A"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8034A">
        <w:rPr>
          <w:color w:val="000000"/>
          <w:szCs w:val="22"/>
        </w:rPr>
        <w:t xml:space="preserve">Some burial locations can be grouped together: </w:t>
      </w:r>
    </w:p>
    <w:p w14:paraId="2C69D790" w14:textId="77777777" w:rsidR="008940B3" w:rsidRPr="00B8034A"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8034A">
        <w:rPr>
          <w:color w:val="000000"/>
          <w:szCs w:val="22"/>
        </w:rPr>
        <w:t>Two chamber tombs near the village of Ano Vatheia, one located at the intersection of the Episkopi and the Vatheia road and the other in Sopata.</w:t>
      </w:r>
    </w:p>
    <w:p w14:paraId="737F736C" w14:textId="77777777" w:rsidR="008940B3" w:rsidRPr="00B8034A"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8034A">
        <w:rPr>
          <w:color w:val="000000"/>
          <w:szCs w:val="22"/>
        </w:rPr>
        <w:t>Two burial locations at Anopolis village (</w:t>
      </w:r>
      <w:r w:rsidRPr="00B8034A">
        <w:rPr>
          <w:i/>
          <w:color w:val="000000"/>
          <w:szCs w:val="22"/>
        </w:rPr>
        <w:t>ADelt</w:t>
      </w:r>
      <w:r w:rsidRPr="00B8034A">
        <w:rPr>
          <w:color w:val="000000"/>
          <w:szCs w:val="22"/>
        </w:rPr>
        <w:t xml:space="preserve"> 40 1985: 296) and in Paterika Kelli (ADelt 2 1916: 25).</w:t>
      </w:r>
    </w:p>
    <w:p w14:paraId="7B7BEB58" w14:textId="77777777" w:rsidR="008940B3" w:rsidRPr="00B8034A"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8034A">
        <w:rPr>
          <w:color w:val="000000"/>
          <w:szCs w:val="22"/>
        </w:rPr>
        <w:t>The eight burial locations distributed around the village of Episkopi Pediada.</w:t>
      </w:r>
    </w:p>
    <w:p w14:paraId="5C008B93" w14:textId="77777777" w:rsidR="008940B3" w:rsidRPr="00B8034A"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8034A">
        <w:rPr>
          <w:color w:val="000000"/>
          <w:szCs w:val="22"/>
        </w:rPr>
        <w:t xml:space="preserve">Chamber tombs in the area of Gazi. </w:t>
      </w:r>
    </w:p>
    <w:p w14:paraId="1BF762F1" w14:textId="77777777" w:rsidR="008940B3" w:rsidRPr="00B8034A"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8034A">
        <w:rPr>
          <w:color w:val="000000"/>
          <w:szCs w:val="22"/>
        </w:rPr>
        <w:t>Chamber tombs excavated in two different burial locations at Karnari Spiliaroudi and at Karnari Tragomandra, southwest of Iouktas, not far from Archanes (Sakellarakis 1997).</w:t>
      </w:r>
    </w:p>
    <w:p w14:paraId="7C9B7789" w14:textId="77777777" w:rsidR="008940B3" w:rsidRPr="00B8034A"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8034A">
        <w:rPr>
          <w:color w:val="000000"/>
          <w:szCs w:val="22"/>
        </w:rPr>
        <w:t xml:space="preserve">Two burial locations around the village of Phoinikia (one on </w:t>
      </w:r>
      <w:r w:rsidRPr="00B8034A">
        <w:rPr>
          <w:iCs/>
          <w:color w:val="000000"/>
          <w:szCs w:val="22"/>
        </w:rPr>
        <w:t>Kephala</w:t>
      </w:r>
      <w:r w:rsidRPr="00B8034A">
        <w:rPr>
          <w:color w:val="000000"/>
          <w:szCs w:val="22"/>
        </w:rPr>
        <w:t xml:space="preserve"> hill near the </w:t>
      </w:r>
      <w:r w:rsidRPr="00B8034A">
        <w:rPr>
          <w:iCs/>
          <w:color w:val="000000"/>
          <w:szCs w:val="22"/>
        </w:rPr>
        <w:t>Metochi Steiako, 2 km north of Phoinikia, and the other not specified).</w:t>
      </w:r>
    </w:p>
    <w:p w14:paraId="7345C79D" w14:textId="77777777" w:rsidR="008940B3" w:rsidRPr="00B8034A"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8034A">
        <w:rPr>
          <w:color w:val="000000"/>
          <w:szCs w:val="22"/>
        </w:rPr>
        <w:t>Two burial locations at Smari Livaditsa and Smari Pitho, where, respectively, fragments of coffins and a chamber tomb with coffins were found at Agia Aikaterini, between the village of Stamnoi and Kato Vatheia (</w:t>
      </w:r>
      <w:r w:rsidRPr="00B8034A">
        <w:rPr>
          <w:i/>
          <w:color w:val="000000"/>
          <w:szCs w:val="22"/>
        </w:rPr>
        <w:t>KChr</w:t>
      </w:r>
      <w:r w:rsidRPr="00B8034A">
        <w:rPr>
          <w:color w:val="000000"/>
          <w:szCs w:val="22"/>
        </w:rPr>
        <w:t xml:space="preserve"> 17 1963: 406).</w:t>
      </w:r>
    </w:p>
    <w:p w14:paraId="5707D42F" w14:textId="77777777" w:rsidR="008940B3" w:rsidRPr="00B8034A"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B8034A">
        <w:rPr>
          <w:color w:val="000000"/>
          <w:szCs w:val="22"/>
        </w:rPr>
        <w:t>The group of chamber tombs found at Stamnoi and the chance larnax find between the village of Tzingounas (Kanta 1980: 69-70).</w:t>
      </w:r>
    </w:p>
    <w:p w14:paraId="6263FC8B" w14:textId="77777777" w:rsidR="008940B3" w:rsidRPr="00B8034A" w:rsidRDefault="008940B3" w:rsidP="00B8034A">
      <w:pPr>
        <w:ind w:firstLine="360"/>
        <w:rPr>
          <w:color w:val="000000"/>
        </w:rPr>
      </w:pPr>
      <w:r w:rsidRPr="00B8034A">
        <w:t>A group of burial locations distributed around the site of Archanes have not been considered part of a single cemetery, and each is analysed as a single necropolis because they are not clearly clustered together from a geographical perspective (i.e. Archanes Karnari is located southwest of the Iouktas, while Mesampela is on the opposite side, to the east). Between these locations, Archanes Phourni emerges securely as a single necropolis, as well as the burials located near Karnari (Sakellarakis 1997: Fig.2). The total number of cemeteries with larnax use securely attested in the Central area is 43. There is a particular concentration of locations with possible larnakes in the area of Archanes (e.g. Ontades, Archanes Mertiotis, Karnari).</w:t>
      </w:r>
    </w:p>
    <w:p w14:paraId="30DC48CC" w14:textId="77777777" w:rsidR="008940B3" w:rsidRPr="00EF0401" w:rsidRDefault="008940B3" w:rsidP="00E858EF">
      <w:pPr>
        <w:pStyle w:val="Titolo4"/>
        <w:keepNext w:val="0"/>
        <w:keepLines w:val="0"/>
        <w:suppressAutoHyphens/>
        <w:ind w:left="864" w:hanging="864"/>
        <w:contextualSpacing w:val="0"/>
      </w:pPr>
      <w:bookmarkStart w:id="288" w:name="_Toc389131177"/>
      <w:bookmarkStart w:id="289" w:name="_Toc517876504"/>
      <w:r w:rsidRPr="00EF0401">
        <w:t>Are larnakes located in new built cemeteries or reused ones?</w:t>
      </w:r>
      <w:bookmarkEnd w:id="288"/>
      <w:bookmarkEnd w:id="289"/>
    </w:p>
    <w:p w14:paraId="0DE18DF5" w14:textId="77777777" w:rsidR="008940B3" w:rsidRDefault="008940B3" w:rsidP="00B8034A">
      <w:r>
        <w:t>Regarding</w:t>
      </w:r>
      <w:r w:rsidRPr="003B5C8D">
        <w:t xml:space="preserve"> continuity and discontinuity in the use of pre-existing burial sites, only three cemeteries </w:t>
      </w:r>
      <w:r>
        <w:t>that had</w:t>
      </w:r>
      <w:r w:rsidRPr="003B5C8D">
        <w:t xml:space="preserve"> </w:t>
      </w:r>
      <w:r>
        <w:t>tombs in use before LM III have been found:</w:t>
      </w:r>
      <w:r w:rsidRPr="003B5C8D">
        <w:t xml:space="preserve"> Amnissos Karteros, Archanes Phourni</w:t>
      </w:r>
      <w:r>
        <w:t xml:space="preserve"> and</w:t>
      </w:r>
      <w:r w:rsidRPr="003B5C8D">
        <w:t xml:space="preserve"> Episkopi Pediada. However, no larnax burials </w:t>
      </w:r>
      <w:r>
        <w:t>are</w:t>
      </w:r>
      <w:r w:rsidRPr="003B5C8D">
        <w:t xml:space="preserve"> associated with the previous</w:t>
      </w:r>
      <w:r>
        <w:t>ly</w:t>
      </w:r>
      <w:r w:rsidRPr="003B5C8D">
        <w:t xml:space="preserve"> existing tombs in the cases of the cave at Amnissos Karteros</w:t>
      </w:r>
      <w:r>
        <w:t xml:space="preserve"> </w:t>
      </w:r>
      <w:r w:rsidRPr="003B5C8D">
        <w:t>(Marinatos 19</w:t>
      </w:r>
      <w:r>
        <w:t>27-1928</w:t>
      </w:r>
      <w:r w:rsidRPr="003B5C8D">
        <w:t>), while five LM III larnax b</w:t>
      </w:r>
      <w:r>
        <w:t>urials were found in Tomb G</w:t>
      </w:r>
      <w:r w:rsidRPr="003B5C8D">
        <w:t xml:space="preserve">amma at Episkopi Pediada Kaphala (Platon 1952; Preston 2000), and a larnax </w:t>
      </w:r>
      <w:r>
        <w:t xml:space="preserve">was found </w:t>
      </w:r>
      <w:r w:rsidRPr="003B5C8D">
        <w:t xml:space="preserve">in </w:t>
      </w:r>
      <w:r>
        <w:t>B</w:t>
      </w:r>
      <w:r w:rsidRPr="003B5C8D">
        <w:t xml:space="preserve">urial </w:t>
      </w:r>
      <w:r>
        <w:t>B</w:t>
      </w:r>
      <w:r w:rsidRPr="003B5C8D">
        <w:t>uilding 3 at</w:t>
      </w:r>
      <w:r>
        <w:t xml:space="preserve"> Archanes Phourni (Sakellarakis and</w:t>
      </w:r>
      <w:r w:rsidRPr="003B5C8D">
        <w:t xml:space="preserve"> Sakellaraki 1997).</w:t>
      </w:r>
    </w:p>
    <w:p w14:paraId="210FAD4C"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71780669" w14:textId="11448E37" w:rsidR="008940B3" w:rsidRPr="003B5C8D" w:rsidRDefault="008940B3" w:rsidP="00E858EF">
      <w:pPr>
        <w:pStyle w:val="Testofumetto"/>
        <w:suppressAutoHyphens/>
      </w:pPr>
      <w:bookmarkStart w:id="290" w:name="_Toc520212532"/>
      <w:r>
        <w:t>Table 3-4</w:t>
      </w:r>
      <w:r w:rsidR="00086042">
        <w:t>4</w:t>
      </w:r>
      <w:r>
        <w:t xml:space="preserve">. </w:t>
      </w:r>
      <w:r w:rsidRPr="002D4C09">
        <w:t>Percentage of pre-existing cemeteries reused in LM III with larnax burials</w:t>
      </w:r>
      <w:r w:rsidR="00431A8D">
        <w:t>,</w:t>
      </w:r>
      <w:r w:rsidRPr="002D4C09">
        <w:t xml:space="preserve"> </w:t>
      </w:r>
      <w:r>
        <w:t>Central area</w:t>
      </w:r>
      <w:bookmarkEnd w:id="290"/>
    </w:p>
    <w:tbl>
      <w:tblPr>
        <w:tblW w:w="0" w:type="auto"/>
        <w:tblCellMar>
          <w:left w:w="0" w:type="dxa"/>
          <w:right w:w="0" w:type="dxa"/>
        </w:tblCellMar>
        <w:tblLook w:val="04A0" w:firstRow="1" w:lastRow="0" w:firstColumn="1" w:lastColumn="0" w:noHBand="0" w:noVBand="1"/>
      </w:tblPr>
      <w:tblGrid>
        <w:gridCol w:w="2754"/>
        <w:gridCol w:w="2693"/>
      </w:tblGrid>
      <w:tr w:rsidR="008940B3" w:rsidRPr="00B8034A" w14:paraId="020D7875" w14:textId="77777777" w:rsidTr="00363CE1">
        <w:trPr>
          <w:trHeight w:val="195"/>
        </w:trPr>
        <w:tc>
          <w:tcPr>
            <w:tcW w:w="27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49AE720" w14:textId="77777777" w:rsidR="008940B3" w:rsidRPr="00B8034A" w:rsidRDefault="008940B3" w:rsidP="00E858EF">
            <w:pPr>
              <w:suppressAutoHyphens/>
              <w:rPr>
                <w:color w:val="000000"/>
                <w:sz w:val="20"/>
                <w:szCs w:val="16"/>
              </w:rPr>
            </w:pPr>
            <w:r w:rsidRPr="00B8034A">
              <w:rPr>
                <w:color w:val="000000"/>
                <w:sz w:val="20"/>
                <w:szCs w:val="16"/>
              </w:rPr>
              <w:t>Pre-existing cemeteries</w:t>
            </w:r>
          </w:p>
        </w:tc>
        <w:tc>
          <w:tcPr>
            <w:tcW w:w="269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5A18F90" w14:textId="77777777" w:rsidR="008940B3" w:rsidRPr="00B8034A" w:rsidRDefault="008940B3" w:rsidP="00E858EF">
            <w:pPr>
              <w:suppressAutoHyphens/>
              <w:jc w:val="center"/>
              <w:rPr>
                <w:sz w:val="20"/>
                <w:szCs w:val="16"/>
              </w:rPr>
            </w:pPr>
            <w:r w:rsidRPr="00B8034A">
              <w:rPr>
                <w:sz w:val="20"/>
                <w:szCs w:val="16"/>
              </w:rPr>
              <w:t>3   7%</w:t>
            </w:r>
          </w:p>
        </w:tc>
      </w:tr>
      <w:tr w:rsidR="008940B3" w:rsidRPr="00B8034A" w14:paraId="3D311F6D" w14:textId="77777777" w:rsidTr="00363CE1">
        <w:trPr>
          <w:trHeight w:val="195"/>
        </w:trPr>
        <w:tc>
          <w:tcPr>
            <w:tcW w:w="27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9D2DE9E" w14:textId="77777777" w:rsidR="008940B3" w:rsidRPr="00B8034A" w:rsidRDefault="008940B3" w:rsidP="00E858EF">
            <w:pPr>
              <w:suppressAutoHyphens/>
              <w:rPr>
                <w:sz w:val="20"/>
                <w:szCs w:val="16"/>
              </w:rPr>
            </w:pPr>
            <w:r w:rsidRPr="00B8034A">
              <w:rPr>
                <w:color w:val="000000"/>
                <w:sz w:val="20"/>
                <w:szCs w:val="16"/>
              </w:rPr>
              <w:t>LM III cemeteries</w:t>
            </w:r>
          </w:p>
        </w:tc>
        <w:tc>
          <w:tcPr>
            <w:tcW w:w="269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9B3437F" w14:textId="77777777" w:rsidR="008940B3" w:rsidRPr="00B8034A" w:rsidRDefault="008940B3" w:rsidP="00E858EF">
            <w:pPr>
              <w:suppressAutoHyphens/>
              <w:jc w:val="center"/>
              <w:rPr>
                <w:sz w:val="20"/>
                <w:szCs w:val="16"/>
              </w:rPr>
            </w:pPr>
            <w:r w:rsidRPr="00B8034A">
              <w:rPr>
                <w:sz w:val="20"/>
                <w:szCs w:val="16"/>
              </w:rPr>
              <w:t>40   93%</w:t>
            </w:r>
          </w:p>
        </w:tc>
      </w:tr>
    </w:tbl>
    <w:p w14:paraId="208F6C98"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sz w:val="22"/>
          <w:szCs w:val="22"/>
          <w:highlight w:val="green"/>
        </w:rPr>
      </w:pPr>
    </w:p>
    <w:p w14:paraId="3945CE73" w14:textId="77777777" w:rsidR="008940B3" w:rsidRDefault="008940B3" w:rsidP="00E858EF">
      <w:pPr>
        <w:pStyle w:val="Titolo4"/>
        <w:keepNext w:val="0"/>
        <w:keepLines w:val="0"/>
        <w:suppressAutoHyphens/>
        <w:ind w:left="864" w:hanging="864"/>
        <w:contextualSpacing w:val="0"/>
      </w:pPr>
      <w:bookmarkStart w:id="291" w:name="_Toc389131178"/>
      <w:bookmarkStart w:id="292" w:name="_Toc517876505"/>
      <w:r w:rsidRPr="00201C40">
        <w:t xml:space="preserve">Where </w:t>
      </w:r>
      <w:r>
        <w:t>in</w:t>
      </w:r>
      <w:r w:rsidRPr="00201C40">
        <w:t xml:space="preserve"> the region</w:t>
      </w:r>
      <w:r>
        <w:t xml:space="preserve"> are</w:t>
      </w:r>
      <w:r w:rsidRPr="00201C40">
        <w:t xml:space="preserve"> the cemeteries with larnax use?</w:t>
      </w:r>
      <w:bookmarkEnd w:id="291"/>
      <w:bookmarkEnd w:id="292"/>
    </w:p>
    <w:p w14:paraId="460DD357" w14:textId="77777777" w:rsidR="008940B3" w:rsidRPr="003B5C8D" w:rsidRDefault="008940B3" w:rsidP="00F3490B">
      <w:r>
        <w:t>Regarding</w:t>
      </w:r>
      <w:r w:rsidRPr="003B5C8D">
        <w:t xml:space="preserve"> spatial distribution</w:t>
      </w:r>
      <w:r>
        <w:t>,</w:t>
      </w:r>
      <w:r w:rsidRPr="003B5C8D">
        <w:t xml:space="preserve"> </w:t>
      </w:r>
      <w:r>
        <w:t xml:space="preserve">the </w:t>
      </w:r>
      <w:r w:rsidRPr="003B5C8D">
        <w:t>cemeteries are generally distributed through</w:t>
      </w:r>
      <w:r>
        <w:t>out</w:t>
      </w:r>
      <w:r w:rsidRPr="003B5C8D">
        <w:t xml:space="preserve"> the </w:t>
      </w:r>
      <w:r>
        <w:t>entire</w:t>
      </w:r>
      <w:r w:rsidRPr="003B5C8D">
        <w:t xml:space="preserve"> </w:t>
      </w:r>
      <w:r>
        <w:t>C</w:t>
      </w:r>
      <w:r w:rsidRPr="003B5C8D">
        <w:t>entral region.</w:t>
      </w:r>
      <w:r>
        <w:t xml:space="preserve"> However,</w:t>
      </w:r>
      <w:r w:rsidRPr="003B5C8D">
        <w:t xml:space="preserve"> th</w:t>
      </w:r>
      <w:r>
        <w:t>ere are small areas that display a</w:t>
      </w:r>
      <w:r w:rsidRPr="003B5C8D">
        <w:t xml:space="preserve"> higher concentration of burial sites, for example</w:t>
      </w:r>
      <w:r>
        <w:t>,</w:t>
      </w:r>
      <w:r w:rsidRPr="003B5C8D">
        <w:t xml:space="preserve"> th</w:t>
      </w:r>
      <w:r>
        <w:t>e area around Mount Iouktas</w:t>
      </w:r>
      <w:r w:rsidRPr="003B5C8D">
        <w:t xml:space="preserve"> (Archanes cemeteries, Agios Sylla, Karnari), the area west of Heraklion (Gazi, Kavrochori, Gophyrakia, Phoinikia, Athanatoi</w:t>
      </w:r>
      <w:r>
        <w:t>)</w:t>
      </w:r>
      <w:r w:rsidRPr="003B5C8D">
        <w:t>,</w:t>
      </w:r>
      <w:r>
        <w:t xml:space="preserve"> and</w:t>
      </w:r>
      <w:r w:rsidRPr="003B5C8D">
        <w:t xml:space="preserve"> the area east of Heraklion (Amnissos, Gournes, Nirou Chani, Artsa, Anopolis, Gouves, Skoteino, Kainourio Chorio).   </w:t>
      </w:r>
    </w:p>
    <w:p w14:paraId="1B7187F9" w14:textId="0E107F24" w:rsidR="008940B3" w:rsidRDefault="008940B3" w:rsidP="00E858EF">
      <w:pPr>
        <w:pStyle w:val="Titolo4"/>
        <w:keepNext w:val="0"/>
        <w:keepLines w:val="0"/>
        <w:suppressAutoHyphens/>
        <w:ind w:left="864" w:hanging="864"/>
        <w:contextualSpacing w:val="0"/>
      </w:pPr>
      <w:bookmarkStart w:id="293" w:name="_Toc389131179"/>
      <w:bookmarkStart w:id="294" w:name="_Toc517876506"/>
      <w:r w:rsidRPr="00201C40">
        <w:t>Wh</w:t>
      </w:r>
      <w:r>
        <w:t>ic</w:t>
      </w:r>
      <w:r w:rsidR="00431A8D">
        <w:t>h</w:t>
      </w:r>
      <w:r w:rsidRPr="00201C40">
        <w:t xml:space="preserve"> are the largest cemeteries and the smallest in terms of tomb number</w:t>
      </w:r>
      <w:r>
        <w:t>s</w:t>
      </w:r>
      <w:r w:rsidRPr="00201C40">
        <w:t>?</w:t>
      </w:r>
      <w:bookmarkEnd w:id="293"/>
      <w:bookmarkEnd w:id="294"/>
    </w:p>
    <w:p w14:paraId="6D7A2D5A" w14:textId="77777777" w:rsidR="008940B3" w:rsidRPr="00431A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431A8D">
        <w:rPr>
          <w:color w:val="000000"/>
        </w:rPr>
        <w:t>Regarding the number of tombs by cemetery and extent in the Central region, the cemeteries of Episkopi Pediada Archanes Phourni and Agios Syllas are the largest. For the vast majority of cemeteries (71%), the number of tombs does not exceed two.</w:t>
      </w:r>
    </w:p>
    <w:p w14:paraId="032AC3FE"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1AADA923"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6F030169" wp14:editId="6E7083A5">
            <wp:extent cx="5412377" cy="2312851"/>
            <wp:effectExtent l="0" t="0" r="23495" b="24130"/>
            <wp:docPr id="7" name="Gra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33E7099" w14:textId="29EA5388" w:rsidR="008940B3" w:rsidRDefault="008940B3" w:rsidP="00E858EF">
      <w:pPr>
        <w:pStyle w:val="Didascalia"/>
        <w:suppressAutoHyphens/>
      </w:pPr>
      <w:bookmarkStart w:id="295" w:name="_Toc520212311"/>
      <w:r>
        <w:t>Figure 3-29. Number of tombs by</w:t>
      </w:r>
      <w:r w:rsidRPr="00FF04E9">
        <w:t xml:space="preserve"> cemetery</w:t>
      </w:r>
      <w:r w:rsidR="00431A8D">
        <w:t>,</w:t>
      </w:r>
      <w:r>
        <w:t xml:space="preserve"> Central area</w:t>
      </w:r>
      <w:bookmarkEnd w:id="295"/>
    </w:p>
    <w:p w14:paraId="5D724FA2"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306568BB" w14:textId="77777777" w:rsidR="008940B3" w:rsidRDefault="008940B3" w:rsidP="00E858EF">
      <w:pPr>
        <w:pStyle w:val="Titolo4"/>
        <w:keepNext w:val="0"/>
        <w:keepLines w:val="0"/>
        <w:suppressAutoHyphens/>
        <w:ind w:left="864" w:hanging="864"/>
        <w:contextualSpacing w:val="0"/>
      </w:pPr>
      <w:bookmarkStart w:id="296" w:name="_Toc389131180"/>
      <w:bookmarkStart w:id="297" w:name="_Toc517876507"/>
      <w:r>
        <w:rPr>
          <w:noProof/>
        </w:rPr>
        <w:t>Which are the tomb types in the cemeteries with larnakes</w:t>
      </w:r>
      <w:r w:rsidRPr="00201C40">
        <w:t>?</w:t>
      </w:r>
      <w:bookmarkEnd w:id="296"/>
      <w:bookmarkEnd w:id="297"/>
    </w:p>
    <w:p w14:paraId="7CB588EE" w14:textId="77777777" w:rsidR="008940B3" w:rsidRPr="003B5C8D" w:rsidRDefault="008940B3" w:rsidP="00F3490B">
      <w:r>
        <w:t>Regarding</w:t>
      </w:r>
      <w:r w:rsidRPr="003B5C8D">
        <w:t xml:space="preserve"> </w:t>
      </w:r>
      <w:r>
        <w:rPr>
          <w:b/>
        </w:rPr>
        <w:t>tomb typ</w:t>
      </w:r>
      <w:r w:rsidRPr="003B5C8D">
        <w:rPr>
          <w:b/>
        </w:rPr>
        <w:t>es</w:t>
      </w:r>
      <w:r>
        <w:rPr>
          <w:b/>
        </w:rPr>
        <w:t>,</w:t>
      </w:r>
      <w:r w:rsidRPr="003B5C8D">
        <w:t xml:space="preserve"> </w:t>
      </w:r>
      <w:r>
        <w:t xml:space="preserve">the </w:t>
      </w:r>
      <w:r w:rsidRPr="003B5C8D">
        <w:t xml:space="preserve">cemeteries </w:t>
      </w:r>
      <w:r>
        <w:t>largely display</w:t>
      </w:r>
      <w:r w:rsidRPr="003B5C8D">
        <w:t xml:space="preserve"> homogeneity. </w:t>
      </w:r>
      <w:r>
        <w:t>The c</w:t>
      </w:r>
      <w:r w:rsidRPr="003B5C8D">
        <w:t xml:space="preserve">hamber tomb </w:t>
      </w:r>
      <w:r>
        <w:t xml:space="preserve">is </w:t>
      </w:r>
      <w:r w:rsidRPr="003B5C8D">
        <w:t xml:space="preserve">exclusively adopted in 79% of </w:t>
      </w:r>
      <w:r>
        <w:t xml:space="preserve">the </w:t>
      </w:r>
      <w:r w:rsidRPr="003B5C8D">
        <w:t xml:space="preserve">cemeteries. Archanes cemetery </w:t>
      </w:r>
      <w:r>
        <w:t>has</w:t>
      </w:r>
      <w:r w:rsidRPr="003B5C8D">
        <w:t xml:space="preserve"> mo</w:t>
      </w:r>
      <w:r>
        <w:t xml:space="preserve">re variability in terms types (Sakellarakis and </w:t>
      </w:r>
      <w:r w:rsidRPr="003B5C8D">
        <w:t>Sakellarak</w:t>
      </w:r>
      <w:r>
        <w:t>i 1997). For a few tombs, however, there is</w:t>
      </w:r>
      <w:r w:rsidRPr="003B5C8D">
        <w:t xml:space="preserve"> no information about the tomb type adopted.</w:t>
      </w:r>
    </w:p>
    <w:p w14:paraId="5B530CAB"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4C6E1C2" w14:textId="77777777" w:rsidR="00F3490B" w:rsidRDefault="00F3490B">
      <w:pPr>
        <w:widowControl/>
        <w:spacing w:line="240" w:lineRule="auto"/>
        <w:contextualSpacing w:val="0"/>
        <w:jc w:val="left"/>
        <w:rPr>
          <w:rFonts w:cs="Lucida Grande"/>
          <w:b/>
          <w:sz w:val="20"/>
          <w:szCs w:val="18"/>
        </w:rPr>
      </w:pPr>
      <w:r>
        <w:br w:type="page"/>
      </w:r>
    </w:p>
    <w:p w14:paraId="27AD7EF8" w14:textId="0F06FF97" w:rsidR="008940B3" w:rsidRPr="003B5C8D" w:rsidRDefault="008940B3" w:rsidP="00E858EF">
      <w:pPr>
        <w:pStyle w:val="Testofumetto"/>
        <w:suppressAutoHyphens/>
      </w:pPr>
      <w:bookmarkStart w:id="298" w:name="_Toc520212533"/>
      <w:r>
        <w:t>Table 3-4</w:t>
      </w:r>
      <w:r w:rsidR="00086042">
        <w:t>5</w:t>
      </w:r>
      <w:r>
        <w:t xml:space="preserve">. </w:t>
      </w:r>
      <w:r w:rsidRPr="009173FD">
        <w:t>Tomb</w:t>
      </w:r>
      <w:r>
        <w:t xml:space="preserve"> types associated with larnax per</w:t>
      </w:r>
      <w:r w:rsidRPr="009173FD">
        <w:t xml:space="preserve"> cemetery</w:t>
      </w:r>
      <w:r w:rsidR="005E1C18">
        <w:t>,</w:t>
      </w:r>
      <w:r w:rsidRPr="009173FD">
        <w:t xml:space="preserve"> </w:t>
      </w:r>
      <w:r>
        <w:t>Central area</w:t>
      </w:r>
      <w:bookmarkEnd w:id="298"/>
    </w:p>
    <w:tbl>
      <w:tblPr>
        <w:tblW w:w="8566" w:type="dxa"/>
        <w:tblInd w:w="10" w:type="dxa"/>
        <w:tblCellMar>
          <w:left w:w="70" w:type="dxa"/>
          <w:right w:w="70" w:type="dxa"/>
        </w:tblCellMar>
        <w:tblLook w:val="04A0" w:firstRow="1" w:lastRow="0" w:firstColumn="1" w:lastColumn="0" w:noHBand="0" w:noVBand="1"/>
      </w:tblPr>
      <w:tblGrid>
        <w:gridCol w:w="2187"/>
        <w:gridCol w:w="1007"/>
        <w:gridCol w:w="1192"/>
        <w:gridCol w:w="995"/>
        <w:gridCol w:w="977"/>
        <w:gridCol w:w="663"/>
        <w:gridCol w:w="978"/>
        <w:gridCol w:w="567"/>
      </w:tblGrid>
      <w:tr w:rsidR="008940B3" w:rsidRPr="003B5C8D" w14:paraId="03DE738D" w14:textId="77777777" w:rsidTr="00363CE1">
        <w:trPr>
          <w:trHeight w:val="792"/>
        </w:trPr>
        <w:tc>
          <w:tcPr>
            <w:tcW w:w="2187" w:type="dxa"/>
            <w:tcBorders>
              <w:top w:val="single" w:sz="6" w:space="0" w:color="000000"/>
              <w:left w:val="single" w:sz="6" w:space="0" w:color="000000"/>
              <w:bottom w:val="single" w:sz="6" w:space="0" w:color="000000"/>
              <w:right w:val="single" w:sz="6" w:space="0" w:color="000000"/>
            </w:tcBorders>
            <w:hideMark/>
          </w:tcPr>
          <w:p w14:paraId="45ECC297" w14:textId="77777777" w:rsidR="008940B3" w:rsidRPr="003B5C8D" w:rsidRDefault="008940B3" w:rsidP="00E858EF">
            <w:pPr>
              <w:suppressAutoHyphens/>
              <w:spacing w:line="276" w:lineRule="auto"/>
              <w:jc w:val="left"/>
              <w:rPr>
                <w:sz w:val="16"/>
                <w:szCs w:val="16"/>
              </w:rPr>
            </w:pPr>
            <w:r w:rsidRPr="003B5C8D">
              <w:rPr>
                <w:rFonts w:eastAsia="Times New Roman"/>
                <w:bCs/>
                <w:sz w:val="16"/>
                <w:szCs w:val="16"/>
              </w:rPr>
              <w:t>CEMETERIES</w:t>
            </w:r>
          </w:p>
        </w:tc>
        <w:tc>
          <w:tcPr>
            <w:tcW w:w="1007" w:type="dxa"/>
            <w:tcBorders>
              <w:top w:val="single" w:sz="6" w:space="0" w:color="000000"/>
              <w:left w:val="single" w:sz="6" w:space="0" w:color="000000"/>
              <w:bottom w:val="single" w:sz="6" w:space="0" w:color="000000"/>
              <w:right w:val="single" w:sz="6" w:space="0" w:color="000000"/>
            </w:tcBorders>
          </w:tcPr>
          <w:p w14:paraId="26F1F42C" w14:textId="77777777" w:rsidR="008940B3" w:rsidRPr="003B5C8D" w:rsidRDefault="008940B3" w:rsidP="00E858EF">
            <w:pPr>
              <w:suppressAutoHyphens/>
              <w:spacing w:line="276" w:lineRule="auto"/>
              <w:jc w:val="center"/>
              <w:rPr>
                <w:color w:val="000000"/>
                <w:sz w:val="16"/>
                <w:szCs w:val="16"/>
              </w:rPr>
            </w:pPr>
            <w:r w:rsidRPr="003B5C8D">
              <w:rPr>
                <w:color w:val="000000"/>
                <w:sz w:val="16"/>
                <w:szCs w:val="16"/>
              </w:rPr>
              <w:t>CHAMBER TOMB</w:t>
            </w:r>
          </w:p>
        </w:tc>
        <w:tc>
          <w:tcPr>
            <w:tcW w:w="1192" w:type="dxa"/>
            <w:tcBorders>
              <w:top w:val="single" w:sz="6" w:space="0" w:color="000000"/>
              <w:left w:val="single" w:sz="6" w:space="0" w:color="000000"/>
              <w:bottom w:val="single" w:sz="6" w:space="0" w:color="000000"/>
              <w:right w:val="single" w:sz="6" w:space="0" w:color="000000"/>
            </w:tcBorders>
            <w:hideMark/>
          </w:tcPr>
          <w:p w14:paraId="2B31033E" w14:textId="77777777" w:rsidR="008940B3" w:rsidRPr="003B5C8D" w:rsidRDefault="008940B3" w:rsidP="00E858EF">
            <w:pPr>
              <w:suppressAutoHyphens/>
              <w:spacing w:line="276" w:lineRule="auto"/>
              <w:jc w:val="center"/>
              <w:rPr>
                <w:sz w:val="16"/>
                <w:szCs w:val="16"/>
              </w:rPr>
            </w:pPr>
            <w:r w:rsidRPr="003B5C8D">
              <w:rPr>
                <w:color w:val="000000"/>
                <w:sz w:val="16"/>
                <w:szCs w:val="16"/>
              </w:rPr>
              <w:t>CORBEL VAULTED</w:t>
            </w:r>
          </w:p>
        </w:tc>
        <w:tc>
          <w:tcPr>
            <w:tcW w:w="0" w:type="auto"/>
            <w:tcBorders>
              <w:top w:val="single" w:sz="6" w:space="0" w:color="000000"/>
              <w:left w:val="single" w:sz="6" w:space="0" w:color="000000"/>
              <w:bottom w:val="single" w:sz="6" w:space="0" w:color="000000"/>
              <w:right w:val="single" w:sz="6" w:space="0" w:color="000000"/>
            </w:tcBorders>
          </w:tcPr>
          <w:p w14:paraId="12563166" w14:textId="77777777" w:rsidR="008940B3" w:rsidRPr="003B5C8D" w:rsidRDefault="008940B3" w:rsidP="00E858EF">
            <w:pPr>
              <w:suppressAutoHyphens/>
              <w:spacing w:line="276" w:lineRule="auto"/>
              <w:jc w:val="center"/>
              <w:rPr>
                <w:color w:val="000000"/>
                <w:sz w:val="16"/>
                <w:szCs w:val="16"/>
              </w:rPr>
            </w:pPr>
            <w:r w:rsidRPr="003B5C8D">
              <w:rPr>
                <w:color w:val="000000"/>
                <w:sz w:val="16"/>
                <w:szCs w:val="16"/>
              </w:rPr>
              <w:t>BUILT TOMB</w:t>
            </w:r>
          </w:p>
        </w:tc>
        <w:tc>
          <w:tcPr>
            <w:tcW w:w="977" w:type="dxa"/>
            <w:tcBorders>
              <w:top w:val="single" w:sz="6" w:space="0" w:color="000000"/>
              <w:left w:val="single" w:sz="6" w:space="0" w:color="000000"/>
              <w:bottom w:val="single" w:sz="6" w:space="0" w:color="000000"/>
              <w:right w:val="single" w:sz="6" w:space="0" w:color="000000"/>
            </w:tcBorders>
          </w:tcPr>
          <w:p w14:paraId="0FB1E1A9" w14:textId="77777777" w:rsidR="008940B3" w:rsidRPr="003B5C8D" w:rsidRDefault="008940B3" w:rsidP="00E858EF">
            <w:pPr>
              <w:suppressAutoHyphens/>
              <w:spacing w:line="276" w:lineRule="auto"/>
              <w:jc w:val="center"/>
              <w:rPr>
                <w:color w:val="000000"/>
                <w:sz w:val="16"/>
                <w:szCs w:val="16"/>
              </w:rPr>
            </w:pPr>
            <w:r w:rsidRPr="003B5C8D">
              <w:rPr>
                <w:color w:val="000000"/>
                <w:sz w:val="16"/>
                <w:szCs w:val="16"/>
              </w:rPr>
              <w:t>REUSED THOLOS</w:t>
            </w:r>
          </w:p>
        </w:tc>
        <w:tc>
          <w:tcPr>
            <w:tcW w:w="663" w:type="dxa"/>
            <w:tcBorders>
              <w:top w:val="single" w:sz="6" w:space="0" w:color="000000"/>
              <w:left w:val="single" w:sz="6" w:space="0" w:color="000000"/>
              <w:bottom w:val="single" w:sz="6" w:space="0" w:color="000000"/>
              <w:right w:val="single" w:sz="6" w:space="0" w:color="000000"/>
            </w:tcBorders>
          </w:tcPr>
          <w:p w14:paraId="362ACE70" w14:textId="77777777" w:rsidR="008940B3" w:rsidRPr="003B5C8D" w:rsidRDefault="008940B3" w:rsidP="00E858EF">
            <w:pPr>
              <w:suppressAutoHyphens/>
              <w:spacing w:line="276" w:lineRule="auto"/>
              <w:jc w:val="center"/>
              <w:rPr>
                <w:color w:val="000000"/>
                <w:sz w:val="16"/>
                <w:szCs w:val="16"/>
              </w:rPr>
            </w:pPr>
            <w:r w:rsidRPr="003B5C8D">
              <w:rPr>
                <w:color w:val="000000"/>
                <w:sz w:val="16"/>
                <w:szCs w:val="16"/>
              </w:rPr>
              <w:t>PIT</w:t>
            </w:r>
          </w:p>
        </w:tc>
        <w:tc>
          <w:tcPr>
            <w:tcW w:w="978" w:type="dxa"/>
            <w:tcBorders>
              <w:top w:val="single" w:sz="6" w:space="0" w:color="000000"/>
              <w:left w:val="single" w:sz="6" w:space="0" w:color="000000"/>
              <w:bottom w:val="single" w:sz="6" w:space="0" w:color="000000"/>
              <w:right w:val="single" w:sz="6" w:space="0" w:color="000000"/>
            </w:tcBorders>
          </w:tcPr>
          <w:p w14:paraId="233E6173" w14:textId="77777777" w:rsidR="008940B3" w:rsidRPr="003B5C8D" w:rsidRDefault="008940B3" w:rsidP="00E858EF">
            <w:pPr>
              <w:suppressAutoHyphens/>
              <w:spacing w:line="276" w:lineRule="auto"/>
              <w:jc w:val="center"/>
              <w:rPr>
                <w:color w:val="000000"/>
                <w:sz w:val="16"/>
                <w:szCs w:val="16"/>
              </w:rPr>
            </w:pPr>
            <w:r w:rsidRPr="003B5C8D">
              <w:rPr>
                <w:color w:val="000000"/>
                <w:sz w:val="16"/>
                <w:szCs w:val="16"/>
              </w:rPr>
              <w:t>SHAFT GRAVE</w:t>
            </w:r>
          </w:p>
        </w:tc>
        <w:tc>
          <w:tcPr>
            <w:tcW w:w="567" w:type="dxa"/>
            <w:tcBorders>
              <w:top w:val="single" w:sz="6" w:space="0" w:color="000000"/>
              <w:left w:val="single" w:sz="6" w:space="0" w:color="000000"/>
              <w:bottom w:val="single" w:sz="6" w:space="0" w:color="000000"/>
              <w:right w:val="single" w:sz="6" w:space="0" w:color="000000"/>
            </w:tcBorders>
          </w:tcPr>
          <w:p w14:paraId="2B2D4C8C" w14:textId="77777777" w:rsidR="008940B3" w:rsidRPr="003B5C8D" w:rsidRDefault="008940B3" w:rsidP="00E858EF">
            <w:pPr>
              <w:suppressAutoHyphens/>
              <w:spacing w:line="276" w:lineRule="auto"/>
              <w:jc w:val="center"/>
              <w:rPr>
                <w:color w:val="000000"/>
                <w:sz w:val="16"/>
                <w:szCs w:val="16"/>
              </w:rPr>
            </w:pPr>
            <w:r w:rsidRPr="003B5C8D">
              <w:rPr>
                <w:color w:val="000000"/>
                <w:sz w:val="16"/>
                <w:szCs w:val="16"/>
              </w:rPr>
              <w:t>NA</w:t>
            </w:r>
          </w:p>
        </w:tc>
      </w:tr>
      <w:tr w:rsidR="008940B3" w:rsidRPr="003B5C8D" w14:paraId="3A2425B7" w14:textId="77777777" w:rsidTr="00363CE1">
        <w:tblPrEx>
          <w:tblCellMar>
            <w:left w:w="0" w:type="dxa"/>
            <w:right w:w="0" w:type="dxa"/>
          </w:tblCellMar>
        </w:tblPrEx>
        <w:trPr>
          <w:trHeight w:val="175"/>
        </w:trPr>
        <w:tc>
          <w:tcPr>
            <w:tcW w:w="2187"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8038FCA" w14:textId="77777777" w:rsidR="008940B3" w:rsidRPr="003B5C8D" w:rsidRDefault="008940B3" w:rsidP="00E858EF">
            <w:pPr>
              <w:suppressAutoHyphens/>
              <w:spacing w:line="276" w:lineRule="auto"/>
              <w:jc w:val="left"/>
              <w:rPr>
                <w:sz w:val="16"/>
                <w:szCs w:val="16"/>
              </w:rPr>
            </w:pPr>
            <w:r w:rsidRPr="003B5C8D">
              <w:rPr>
                <w:rFonts w:eastAsia="Times New Roman"/>
                <w:sz w:val="16"/>
                <w:szCs w:val="16"/>
              </w:rPr>
              <w:t>AGIOS MYRON</w:t>
            </w:r>
          </w:p>
        </w:tc>
        <w:tc>
          <w:tcPr>
            <w:tcW w:w="1007" w:type="dxa"/>
            <w:tcBorders>
              <w:top w:val="single" w:sz="6" w:space="0" w:color="000000"/>
              <w:left w:val="single" w:sz="6" w:space="0" w:color="000000"/>
              <w:bottom w:val="single" w:sz="6" w:space="0" w:color="000000"/>
              <w:right w:val="single" w:sz="6" w:space="0" w:color="000000"/>
            </w:tcBorders>
            <w:shd w:val="clear" w:color="auto" w:fill="EFEFEF"/>
          </w:tcPr>
          <w:p w14:paraId="0BAFE844"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766E2ECC"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EFEFEF"/>
          </w:tcPr>
          <w:p w14:paraId="7C064DDA"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shd w:val="clear" w:color="auto" w:fill="EFEFEF"/>
          </w:tcPr>
          <w:p w14:paraId="18E5AD3E"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shd w:val="clear" w:color="auto" w:fill="EFEFEF"/>
          </w:tcPr>
          <w:p w14:paraId="3E33DF8B"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shd w:val="clear" w:color="auto" w:fill="EFEFEF"/>
          </w:tcPr>
          <w:p w14:paraId="67139DED"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shd w:val="clear" w:color="auto" w:fill="EFEFEF"/>
          </w:tcPr>
          <w:p w14:paraId="769E8368" w14:textId="77777777" w:rsidR="008940B3" w:rsidRPr="003B5C8D" w:rsidRDefault="008940B3" w:rsidP="00E858EF">
            <w:pPr>
              <w:suppressAutoHyphens/>
              <w:spacing w:line="276" w:lineRule="auto"/>
              <w:jc w:val="center"/>
              <w:rPr>
                <w:color w:val="000000"/>
                <w:sz w:val="16"/>
                <w:szCs w:val="16"/>
              </w:rPr>
            </w:pPr>
          </w:p>
        </w:tc>
      </w:tr>
      <w:tr w:rsidR="008940B3" w:rsidRPr="003B5C8D" w14:paraId="4B5010FC" w14:textId="77777777" w:rsidTr="00363CE1">
        <w:tblPrEx>
          <w:tblCellMar>
            <w:left w:w="0" w:type="dxa"/>
            <w:right w:w="0" w:type="dxa"/>
          </w:tblCellMar>
        </w:tblPrEx>
        <w:trPr>
          <w:trHeight w:val="175"/>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7C7BDEA" w14:textId="77777777" w:rsidR="008940B3" w:rsidRPr="003B5C8D" w:rsidRDefault="008940B3" w:rsidP="00E858EF">
            <w:pPr>
              <w:suppressAutoHyphens/>
              <w:spacing w:line="276" w:lineRule="auto"/>
              <w:jc w:val="left"/>
              <w:rPr>
                <w:rFonts w:eastAsia="Times New Roman"/>
                <w:sz w:val="16"/>
                <w:szCs w:val="16"/>
              </w:rPr>
            </w:pPr>
            <w:r>
              <w:rPr>
                <w:rFonts w:eastAsia="Times New Roman"/>
                <w:sz w:val="16"/>
                <w:szCs w:val="16"/>
              </w:rPr>
              <w:t>AGIA PELAGIA</w:t>
            </w:r>
          </w:p>
        </w:tc>
        <w:tc>
          <w:tcPr>
            <w:tcW w:w="1007" w:type="dxa"/>
            <w:tcBorders>
              <w:top w:val="single" w:sz="6" w:space="0" w:color="000000"/>
              <w:left w:val="single" w:sz="6" w:space="0" w:color="000000"/>
              <w:bottom w:val="single" w:sz="6" w:space="0" w:color="000000"/>
              <w:right w:val="single" w:sz="6" w:space="0" w:color="000000"/>
            </w:tcBorders>
          </w:tcPr>
          <w:p w14:paraId="64CD8B14" w14:textId="77777777" w:rsidR="008940B3" w:rsidRPr="003B5C8D" w:rsidRDefault="008940B3" w:rsidP="00E858EF">
            <w:pPr>
              <w:suppressAutoHyphens/>
              <w:spacing w:line="276" w:lineRule="auto"/>
              <w:jc w:val="center"/>
              <w:rPr>
                <w:rFonts w:ascii="Lucida Grande" w:hAnsi="Lucida Grande" w:cs="Lucida Grande"/>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C5D6CA3"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671D720B"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6FACFF1D"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5AC3E3AF"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28029CFF"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074DB61C" w14:textId="77777777" w:rsidR="008940B3" w:rsidRPr="003B5C8D" w:rsidRDefault="008940B3" w:rsidP="00E858EF">
            <w:pPr>
              <w:suppressAutoHyphens/>
              <w:spacing w:line="276" w:lineRule="auto"/>
              <w:jc w:val="center"/>
              <w:rPr>
                <w:color w:val="000000"/>
                <w:sz w:val="16"/>
                <w:szCs w:val="16"/>
              </w:rPr>
            </w:pPr>
          </w:p>
        </w:tc>
      </w:tr>
      <w:tr w:rsidR="008940B3" w:rsidRPr="003B5C8D" w14:paraId="3FD0D95B" w14:textId="77777777" w:rsidTr="00363CE1">
        <w:tblPrEx>
          <w:tblCellMar>
            <w:left w:w="0" w:type="dxa"/>
            <w:right w:w="0" w:type="dxa"/>
          </w:tblCellMar>
        </w:tblPrEx>
        <w:trPr>
          <w:trHeight w:val="175"/>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9A871F5" w14:textId="77777777" w:rsidR="008940B3" w:rsidRPr="003B5C8D" w:rsidRDefault="008940B3" w:rsidP="00E858EF">
            <w:pPr>
              <w:suppressAutoHyphens/>
              <w:spacing w:line="276" w:lineRule="auto"/>
              <w:jc w:val="left"/>
              <w:rPr>
                <w:sz w:val="16"/>
                <w:szCs w:val="16"/>
              </w:rPr>
            </w:pPr>
            <w:r w:rsidRPr="003B5C8D">
              <w:rPr>
                <w:rFonts w:eastAsia="Times New Roman"/>
                <w:sz w:val="16"/>
                <w:szCs w:val="16"/>
              </w:rPr>
              <w:t>AGIOS SYLLAS</w:t>
            </w:r>
          </w:p>
        </w:tc>
        <w:tc>
          <w:tcPr>
            <w:tcW w:w="1007" w:type="dxa"/>
            <w:tcBorders>
              <w:top w:val="single" w:sz="6" w:space="0" w:color="000000"/>
              <w:left w:val="single" w:sz="6" w:space="0" w:color="000000"/>
              <w:bottom w:val="single" w:sz="6" w:space="0" w:color="000000"/>
              <w:right w:val="single" w:sz="6" w:space="0" w:color="000000"/>
            </w:tcBorders>
          </w:tcPr>
          <w:p w14:paraId="2E2898C0"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678C1EF"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41B4D2E7"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510BC308"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4B45DEF3"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5286F056"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1DBEE7D7" w14:textId="77777777" w:rsidR="008940B3" w:rsidRPr="003B5C8D" w:rsidRDefault="008940B3" w:rsidP="00E858EF">
            <w:pPr>
              <w:suppressAutoHyphens/>
              <w:spacing w:line="276" w:lineRule="auto"/>
              <w:jc w:val="center"/>
              <w:rPr>
                <w:color w:val="000000"/>
                <w:sz w:val="16"/>
                <w:szCs w:val="16"/>
              </w:rPr>
            </w:pPr>
          </w:p>
        </w:tc>
      </w:tr>
      <w:tr w:rsidR="008940B3" w:rsidRPr="003B5C8D" w14:paraId="36F7F4CD" w14:textId="77777777" w:rsidTr="00363CE1">
        <w:tblPrEx>
          <w:tblCellMar>
            <w:left w:w="0" w:type="dxa"/>
            <w:right w:w="0" w:type="dxa"/>
          </w:tblCellMar>
        </w:tblPrEx>
        <w:trPr>
          <w:trHeight w:val="175"/>
        </w:trPr>
        <w:tc>
          <w:tcPr>
            <w:tcW w:w="2187"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A2F3F04" w14:textId="77777777" w:rsidR="008940B3" w:rsidRPr="003B5C8D" w:rsidRDefault="008940B3" w:rsidP="00E858EF">
            <w:pPr>
              <w:suppressAutoHyphens/>
              <w:spacing w:line="276" w:lineRule="auto"/>
              <w:jc w:val="left"/>
              <w:rPr>
                <w:sz w:val="16"/>
                <w:szCs w:val="16"/>
              </w:rPr>
            </w:pPr>
            <w:r w:rsidRPr="003B5C8D">
              <w:rPr>
                <w:rFonts w:eastAsia="Times New Roman"/>
                <w:sz w:val="16"/>
                <w:szCs w:val="16"/>
              </w:rPr>
              <w:t>AMNISSOS KARTEROS</w:t>
            </w:r>
          </w:p>
        </w:tc>
        <w:tc>
          <w:tcPr>
            <w:tcW w:w="1007" w:type="dxa"/>
            <w:tcBorders>
              <w:top w:val="single" w:sz="6" w:space="0" w:color="000000"/>
              <w:left w:val="single" w:sz="6" w:space="0" w:color="000000"/>
              <w:bottom w:val="single" w:sz="6" w:space="0" w:color="000000"/>
              <w:right w:val="single" w:sz="6" w:space="0" w:color="000000"/>
            </w:tcBorders>
            <w:shd w:val="clear" w:color="auto" w:fill="EFEFEF"/>
          </w:tcPr>
          <w:p w14:paraId="119156D2"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FBC6C04"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EFEFEF"/>
          </w:tcPr>
          <w:p w14:paraId="4A8891FF"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shd w:val="clear" w:color="auto" w:fill="EFEFEF"/>
          </w:tcPr>
          <w:p w14:paraId="7455B47B"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shd w:val="clear" w:color="auto" w:fill="EFEFEF"/>
          </w:tcPr>
          <w:p w14:paraId="16F9D284"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shd w:val="clear" w:color="auto" w:fill="EFEFEF"/>
          </w:tcPr>
          <w:p w14:paraId="090DC0F0"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shd w:val="clear" w:color="auto" w:fill="EFEFEF"/>
          </w:tcPr>
          <w:p w14:paraId="6FAF6664" w14:textId="77777777" w:rsidR="008940B3" w:rsidRPr="003B5C8D" w:rsidRDefault="008940B3" w:rsidP="00E858EF">
            <w:pPr>
              <w:suppressAutoHyphens/>
              <w:spacing w:line="276" w:lineRule="auto"/>
              <w:jc w:val="center"/>
              <w:rPr>
                <w:color w:val="000000"/>
                <w:sz w:val="16"/>
                <w:szCs w:val="16"/>
              </w:rPr>
            </w:pPr>
          </w:p>
        </w:tc>
      </w:tr>
      <w:tr w:rsidR="008940B3" w:rsidRPr="003B5C8D" w14:paraId="73F52BBF" w14:textId="77777777" w:rsidTr="00363CE1">
        <w:tblPrEx>
          <w:tblCellMar>
            <w:left w:w="0" w:type="dxa"/>
            <w:right w:w="0" w:type="dxa"/>
          </w:tblCellMar>
        </w:tblPrEx>
        <w:trPr>
          <w:trHeight w:val="175"/>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1773AA8" w14:textId="77777777" w:rsidR="008940B3" w:rsidRPr="003B5C8D" w:rsidRDefault="008940B3" w:rsidP="00E858EF">
            <w:pPr>
              <w:suppressAutoHyphens/>
              <w:spacing w:line="276" w:lineRule="auto"/>
              <w:jc w:val="left"/>
              <w:rPr>
                <w:sz w:val="16"/>
                <w:szCs w:val="16"/>
              </w:rPr>
            </w:pPr>
            <w:r w:rsidRPr="003B5C8D">
              <w:rPr>
                <w:rFonts w:eastAsia="Times New Roman"/>
                <w:sz w:val="16"/>
                <w:szCs w:val="16"/>
              </w:rPr>
              <w:t>ANO VATHIA</w:t>
            </w:r>
          </w:p>
        </w:tc>
        <w:tc>
          <w:tcPr>
            <w:tcW w:w="1007" w:type="dxa"/>
            <w:tcBorders>
              <w:top w:val="single" w:sz="6" w:space="0" w:color="000000"/>
              <w:left w:val="single" w:sz="6" w:space="0" w:color="000000"/>
              <w:bottom w:val="single" w:sz="6" w:space="0" w:color="000000"/>
              <w:right w:val="single" w:sz="6" w:space="0" w:color="000000"/>
            </w:tcBorders>
          </w:tcPr>
          <w:p w14:paraId="3612253C"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12B3F58"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2329F6ED"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1BF2A190"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462CE562"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4368B2CC"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22A01FEA" w14:textId="77777777" w:rsidR="008940B3" w:rsidRPr="003B5C8D" w:rsidRDefault="008940B3" w:rsidP="00E858EF">
            <w:pPr>
              <w:suppressAutoHyphens/>
              <w:spacing w:line="276" w:lineRule="auto"/>
              <w:jc w:val="center"/>
              <w:rPr>
                <w:color w:val="000000"/>
                <w:sz w:val="16"/>
                <w:szCs w:val="16"/>
              </w:rPr>
            </w:pPr>
          </w:p>
        </w:tc>
      </w:tr>
      <w:tr w:rsidR="008940B3" w:rsidRPr="003B5C8D" w14:paraId="36368C2B" w14:textId="77777777" w:rsidTr="00363CE1">
        <w:tblPrEx>
          <w:tblCellMar>
            <w:left w:w="0" w:type="dxa"/>
            <w:right w:w="0" w:type="dxa"/>
          </w:tblCellMar>
        </w:tblPrEx>
        <w:trPr>
          <w:trHeight w:val="175"/>
        </w:trPr>
        <w:tc>
          <w:tcPr>
            <w:tcW w:w="2187"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1F9C3321" w14:textId="77777777" w:rsidR="008940B3" w:rsidRPr="003B5C8D" w:rsidRDefault="008940B3" w:rsidP="00E858EF">
            <w:pPr>
              <w:suppressAutoHyphens/>
              <w:spacing w:line="276" w:lineRule="auto"/>
              <w:jc w:val="left"/>
              <w:rPr>
                <w:sz w:val="16"/>
                <w:szCs w:val="16"/>
              </w:rPr>
            </w:pPr>
            <w:r w:rsidRPr="003B5C8D">
              <w:rPr>
                <w:rFonts w:eastAsia="Times New Roman"/>
                <w:sz w:val="16"/>
                <w:szCs w:val="16"/>
              </w:rPr>
              <w:t>ANOPOLIS</w:t>
            </w:r>
          </w:p>
        </w:tc>
        <w:tc>
          <w:tcPr>
            <w:tcW w:w="1007" w:type="dxa"/>
            <w:tcBorders>
              <w:top w:val="single" w:sz="6" w:space="0" w:color="000000"/>
              <w:left w:val="single" w:sz="6" w:space="0" w:color="000000"/>
              <w:bottom w:val="single" w:sz="6" w:space="0" w:color="000000"/>
              <w:right w:val="single" w:sz="6" w:space="0" w:color="000000"/>
            </w:tcBorders>
            <w:shd w:val="clear" w:color="auto" w:fill="EFEFEF"/>
          </w:tcPr>
          <w:p w14:paraId="46622C77"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3F50A2E7"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EFEFEF"/>
          </w:tcPr>
          <w:p w14:paraId="1386514F" w14:textId="77777777" w:rsidR="008940B3" w:rsidRPr="003B5C8D" w:rsidRDefault="008940B3" w:rsidP="00E858EF">
            <w:pPr>
              <w:suppressAutoHyphens/>
              <w:spacing w:line="276" w:lineRule="auto"/>
              <w:jc w:val="center"/>
              <w:rPr>
                <w:sz w:val="16"/>
                <w:szCs w:val="16"/>
              </w:rPr>
            </w:pPr>
          </w:p>
        </w:tc>
        <w:tc>
          <w:tcPr>
            <w:tcW w:w="977" w:type="dxa"/>
            <w:tcBorders>
              <w:top w:val="single" w:sz="6" w:space="0" w:color="000000"/>
              <w:left w:val="single" w:sz="6" w:space="0" w:color="000000"/>
              <w:bottom w:val="single" w:sz="6" w:space="0" w:color="000000"/>
              <w:right w:val="single" w:sz="6" w:space="0" w:color="000000"/>
            </w:tcBorders>
            <w:shd w:val="clear" w:color="auto" w:fill="EFEFEF"/>
          </w:tcPr>
          <w:p w14:paraId="22EA11ED" w14:textId="77777777" w:rsidR="008940B3" w:rsidRPr="003B5C8D" w:rsidRDefault="008940B3" w:rsidP="00E858EF">
            <w:pPr>
              <w:suppressAutoHyphens/>
              <w:spacing w:line="276" w:lineRule="auto"/>
              <w:jc w:val="center"/>
              <w:rPr>
                <w:sz w:val="16"/>
                <w:szCs w:val="16"/>
              </w:rPr>
            </w:pPr>
          </w:p>
        </w:tc>
        <w:tc>
          <w:tcPr>
            <w:tcW w:w="663" w:type="dxa"/>
            <w:tcBorders>
              <w:top w:val="single" w:sz="6" w:space="0" w:color="000000"/>
              <w:left w:val="single" w:sz="6" w:space="0" w:color="000000"/>
              <w:bottom w:val="single" w:sz="6" w:space="0" w:color="000000"/>
              <w:right w:val="single" w:sz="6" w:space="0" w:color="000000"/>
            </w:tcBorders>
            <w:shd w:val="clear" w:color="auto" w:fill="EFEFEF"/>
          </w:tcPr>
          <w:p w14:paraId="08BE7CDB" w14:textId="77777777" w:rsidR="008940B3" w:rsidRPr="003B5C8D" w:rsidRDefault="008940B3" w:rsidP="00E858EF">
            <w:pPr>
              <w:suppressAutoHyphens/>
              <w:spacing w:line="276" w:lineRule="auto"/>
              <w:jc w:val="center"/>
              <w:rPr>
                <w:sz w:val="16"/>
                <w:szCs w:val="16"/>
              </w:rPr>
            </w:pPr>
          </w:p>
        </w:tc>
        <w:tc>
          <w:tcPr>
            <w:tcW w:w="978" w:type="dxa"/>
            <w:tcBorders>
              <w:top w:val="single" w:sz="6" w:space="0" w:color="000000"/>
              <w:left w:val="single" w:sz="6" w:space="0" w:color="000000"/>
              <w:bottom w:val="single" w:sz="6" w:space="0" w:color="000000"/>
              <w:right w:val="single" w:sz="6" w:space="0" w:color="000000"/>
            </w:tcBorders>
            <w:shd w:val="clear" w:color="auto" w:fill="EFEFEF"/>
          </w:tcPr>
          <w:p w14:paraId="0EC8832D" w14:textId="77777777" w:rsidR="008940B3" w:rsidRPr="003B5C8D" w:rsidRDefault="008940B3" w:rsidP="00E858EF">
            <w:pPr>
              <w:suppressAutoHyphens/>
              <w:spacing w:line="276" w:lineRule="auto"/>
              <w:jc w:val="center"/>
              <w:rPr>
                <w:sz w:val="16"/>
                <w:szCs w:val="16"/>
              </w:rPr>
            </w:pPr>
          </w:p>
        </w:tc>
        <w:tc>
          <w:tcPr>
            <w:tcW w:w="567" w:type="dxa"/>
            <w:tcBorders>
              <w:top w:val="single" w:sz="6" w:space="0" w:color="000000"/>
              <w:left w:val="single" w:sz="6" w:space="0" w:color="000000"/>
              <w:bottom w:val="single" w:sz="6" w:space="0" w:color="000000"/>
              <w:right w:val="single" w:sz="6" w:space="0" w:color="000000"/>
            </w:tcBorders>
            <w:shd w:val="clear" w:color="auto" w:fill="EFEFEF"/>
          </w:tcPr>
          <w:p w14:paraId="3D5D0FDE" w14:textId="77777777" w:rsidR="008940B3" w:rsidRPr="003B5C8D" w:rsidRDefault="008940B3" w:rsidP="00E858EF">
            <w:pPr>
              <w:suppressAutoHyphens/>
              <w:spacing w:line="276" w:lineRule="auto"/>
              <w:jc w:val="center"/>
              <w:rPr>
                <w:sz w:val="16"/>
                <w:szCs w:val="16"/>
              </w:rPr>
            </w:pPr>
          </w:p>
        </w:tc>
      </w:tr>
      <w:tr w:rsidR="008940B3" w:rsidRPr="003B5C8D" w14:paraId="4E4EE0F5" w14:textId="77777777" w:rsidTr="00363CE1">
        <w:tblPrEx>
          <w:tblCellMar>
            <w:left w:w="0" w:type="dxa"/>
            <w:right w:w="0" w:type="dxa"/>
          </w:tblCellMar>
        </w:tblPrEx>
        <w:trPr>
          <w:trHeight w:val="175"/>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5AC2343" w14:textId="77777777" w:rsidR="008940B3" w:rsidRPr="003B5C8D" w:rsidRDefault="008940B3" w:rsidP="00E858EF">
            <w:pPr>
              <w:suppressAutoHyphens/>
              <w:spacing w:line="276" w:lineRule="auto"/>
              <w:jc w:val="left"/>
              <w:rPr>
                <w:sz w:val="16"/>
                <w:szCs w:val="16"/>
              </w:rPr>
            </w:pPr>
            <w:r w:rsidRPr="003B5C8D">
              <w:rPr>
                <w:rFonts w:eastAsia="Times New Roman"/>
                <w:sz w:val="16"/>
                <w:szCs w:val="16"/>
              </w:rPr>
              <w:t>ARCHANES ANIPHOROS</w:t>
            </w:r>
          </w:p>
        </w:tc>
        <w:tc>
          <w:tcPr>
            <w:tcW w:w="1007" w:type="dxa"/>
            <w:tcBorders>
              <w:top w:val="single" w:sz="6" w:space="0" w:color="000000"/>
              <w:left w:val="single" w:sz="6" w:space="0" w:color="000000"/>
              <w:bottom w:val="single" w:sz="6" w:space="0" w:color="000000"/>
              <w:right w:val="single" w:sz="6" w:space="0" w:color="000000"/>
            </w:tcBorders>
          </w:tcPr>
          <w:p w14:paraId="17D1B2C9"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2C47CA5"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26EEA58D"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2C51E35F"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5C8C827C"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1576BA1F"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06CF0065" w14:textId="77777777" w:rsidR="008940B3" w:rsidRPr="003B5C8D" w:rsidRDefault="008940B3" w:rsidP="00E858EF">
            <w:pPr>
              <w:suppressAutoHyphens/>
              <w:spacing w:line="276" w:lineRule="auto"/>
              <w:jc w:val="center"/>
              <w:rPr>
                <w:color w:val="000000"/>
                <w:sz w:val="16"/>
                <w:szCs w:val="16"/>
              </w:rPr>
            </w:pPr>
          </w:p>
        </w:tc>
      </w:tr>
      <w:tr w:rsidR="008940B3" w:rsidRPr="003B5C8D" w14:paraId="3AC8DE06" w14:textId="77777777" w:rsidTr="00363CE1">
        <w:tblPrEx>
          <w:tblCellMar>
            <w:left w:w="0" w:type="dxa"/>
            <w:right w:w="0" w:type="dxa"/>
          </w:tblCellMar>
        </w:tblPrEx>
        <w:trPr>
          <w:trHeight w:val="175"/>
        </w:trPr>
        <w:tc>
          <w:tcPr>
            <w:tcW w:w="2187"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318EEAC" w14:textId="77777777" w:rsidR="008940B3" w:rsidRPr="003B5C8D" w:rsidRDefault="008940B3" w:rsidP="00E858EF">
            <w:pPr>
              <w:suppressAutoHyphens/>
              <w:spacing w:line="276" w:lineRule="auto"/>
              <w:jc w:val="left"/>
              <w:rPr>
                <w:sz w:val="16"/>
                <w:szCs w:val="16"/>
              </w:rPr>
            </w:pPr>
            <w:r w:rsidRPr="003B5C8D">
              <w:rPr>
                <w:rFonts w:eastAsia="Times New Roman"/>
                <w:sz w:val="16"/>
                <w:szCs w:val="16"/>
              </w:rPr>
              <w:t>ARCHANES KATSOPRINIAS</w:t>
            </w:r>
          </w:p>
        </w:tc>
        <w:tc>
          <w:tcPr>
            <w:tcW w:w="1007" w:type="dxa"/>
            <w:tcBorders>
              <w:top w:val="single" w:sz="6" w:space="0" w:color="000000"/>
              <w:left w:val="single" w:sz="6" w:space="0" w:color="000000"/>
              <w:bottom w:val="single" w:sz="6" w:space="0" w:color="000000"/>
              <w:right w:val="single" w:sz="6" w:space="0" w:color="000000"/>
            </w:tcBorders>
            <w:shd w:val="clear" w:color="auto" w:fill="EFEFEF"/>
          </w:tcPr>
          <w:p w14:paraId="2E8903E4"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59671FA3"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EFEFEF"/>
          </w:tcPr>
          <w:p w14:paraId="643599F0"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shd w:val="clear" w:color="auto" w:fill="EFEFEF"/>
          </w:tcPr>
          <w:p w14:paraId="775F7156"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shd w:val="clear" w:color="auto" w:fill="EFEFEF"/>
          </w:tcPr>
          <w:p w14:paraId="238BF8B0"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shd w:val="clear" w:color="auto" w:fill="EFEFEF"/>
          </w:tcPr>
          <w:p w14:paraId="4BD048EF"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shd w:val="clear" w:color="auto" w:fill="EFEFEF"/>
          </w:tcPr>
          <w:p w14:paraId="108AE03A" w14:textId="77777777" w:rsidR="008940B3" w:rsidRPr="003B5C8D" w:rsidRDefault="008940B3" w:rsidP="00E858EF">
            <w:pPr>
              <w:suppressAutoHyphens/>
              <w:spacing w:line="276" w:lineRule="auto"/>
              <w:jc w:val="center"/>
              <w:rPr>
                <w:color w:val="000000"/>
                <w:sz w:val="16"/>
                <w:szCs w:val="16"/>
              </w:rPr>
            </w:pPr>
          </w:p>
        </w:tc>
      </w:tr>
      <w:tr w:rsidR="008940B3" w:rsidRPr="003B5C8D" w14:paraId="3DC8FEAD" w14:textId="77777777" w:rsidTr="00363CE1">
        <w:tblPrEx>
          <w:tblCellMar>
            <w:left w:w="0" w:type="dxa"/>
            <w:right w:w="0" w:type="dxa"/>
          </w:tblCellMar>
        </w:tblPrEx>
        <w:trPr>
          <w:trHeight w:val="175"/>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6FA548F" w14:textId="77777777" w:rsidR="008940B3" w:rsidRPr="003B5C8D" w:rsidRDefault="008940B3" w:rsidP="00E858EF">
            <w:pPr>
              <w:suppressAutoHyphens/>
              <w:spacing w:line="276" w:lineRule="auto"/>
              <w:jc w:val="left"/>
              <w:rPr>
                <w:sz w:val="16"/>
                <w:szCs w:val="16"/>
              </w:rPr>
            </w:pPr>
            <w:r w:rsidRPr="003B5C8D">
              <w:rPr>
                <w:rFonts w:eastAsia="Times New Roman"/>
                <w:sz w:val="16"/>
                <w:szCs w:val="16"/>
              </w:rPr>
              <w:t>ARCHANES MESAMPELA</w:t>
            </w:r>
          </w:p>
        </w:tc>
        <w:tc>
          <w:tcPr>
            <w:tcW w:w="1007" w:type="dxa"/>
            <w:tcBorders>
              <w:top w:val="single" w:sz="6" w:space="0" w:color="000000"/>
              <w:left w:val="single" w:sz="6" w:space="0" w:color="000000"/>
              <w:bottom w:val="single" w:sz="6" w:space="0" w:color="000000"/>
              <w:right w:val="single" w:sz="6" w:space="0" w:color="000000"/>
            </w:tcBorders>
          </w:tcPr>
          <w:p w14:paraId="0C8ADDA0" w14:textId="77777777" w:rsidR="008940B3" w:rsidRPr="003B5C8D" w:rsidRDefault="008940B3" w:rsidP="00E858EF">
            <w:pPr>
              <w:suppressAutoHyphens/>
              <w:spacing w:line="276" w:lineRule="auto"/>
              <w:jc w:val="center"/>
              <w:rPr>
                <w:color w:val="000000"/>
                <w:sz w:val="16"/>
                <w:szCs w:val="16"/>
              </w:rPr>
            </w:pP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664F746"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2A6F2274"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048996CF"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2D6B2E6F"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03E12AC0"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7031B3BB"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r>
      <w:tr w:rsidR="008940B3" w:rsidRPr="003B5C8D" w14:paraId="086EE4B5" w14:textId="77777777" w:rsidTr="00363CE1">
        <w:tblPrEx>
          <w:tblCellMar>
            <w:left w:w="0" w:type="dxa"/>
            <w:right w:w="0" w:type="dxa"/>
          </w:tblCellMar>
        </w:tblPrEx>
        <w:trPr>
          <w:trHeight w:val="175"/>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2DF027F" w14:textId="77777777" w:rsidR="008940B3" w:rsidRPr="003B5C8D" w:rsidRDefault="008940B3" w:rsidP="00E858EF">
            <w:pPr>
              <w:suppressAutoHyphens/>
              <w:spacing w:line="276" w:lineRule="auto"/>
              <w:jc w:val="left"/>
              <w:rPr>
                <w:sz w:val="16"/>
                <w:szCs w:val="16"/>
              </w:rPr>
            </w:pPr>
            <w:r w:rsidRPr="003B5C8D">
              <w:rPr>
                <w:rFonts w:eastAsia="Times New Roman"/>
                <w:sz w:val="16"/>
                <w:szCs w:val="16"/>
              </w:rPr>
              <w:t>ARCHANES PHOURNI</w:t>
            </w:r>
          </w:p>
        </w:tc>
        <w:tc>
          <w:tcPr>
            <w:tcW w:w="1007" w:type="dxa"/>
            <w:tcBorders>
              <w:top w:val="single" w:sz="6" w:space="0" w:color="000000"/>
              <w:left w:val="single" w:sz="6" w:space="0" w:color="000000"/>
              <w:bottom w:val="single" w:sz="6" w:space="0" w:color="000000"/>
              <w:right w:val="single" w:sz="6" w:space="0" w:color="000000"/>
            </w:tcBorders>
          </w:tcPr>
          <w:p w14:paraId="206F9F33"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53B31EE"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0" w:type="auto"/>
            <w:tcBorders>
              <w:top w:val="single" w:sz="6" w:space="0" w:color="000000"/>
              <w:left w:val="single" w:sz="6" w:space="0" w:color="000000"/>
              <w:bottom w:val="single" w:sz="6" w:space="0" w:color="000000"/>
              <w:right w:val="single" w:sz="6" w:space="0" w:color="000000"/>
            </w:tcBorders>
          </w:tcPr>
          <w:p w14:paraId="7AF75F75"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977" w:type="dxa"/>
            <w:tcBorders>
              <w:top w:val="single" w:sz="6" w:space="0" w:color="000000"/>
              <w:left w:val="single" w:sz="6" w:space="0" w:color="000000"/>
              <w:bottom w:val="single" w:sz="6" w:space="0" w:color="000000"/>
              <w:right w:val="single" w:sz="6" w:space="0" w:color="000000"/>
            </w:tcBorders>
          </w:tcPr>
          <w:p w14:paraId="7F161033"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663" w:type="dxa"/>
            <w:tcBorders>
              <w:top w:val="single" w:sz="6" w:space="0" w:color="000000"/>
              <w:left w:val="single" w:sz="6" w:space="0" w:color="000000"/>
              <w:bottom w:val="single" w:sz="6" w:space="0" w:color="000000"/>
              <w:right w:val="single" w:sz="6" w:space="0" w:color="000000"/>
            </w:tcBorders>
          </w:tcPr>
          <w:p w14:paraId="0C7868BF"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978" w:type="dxa"/>
            <w:tcBorders>
              <w:top w:val="single" w:sz="6" w:space="0" w:color="000000"/>
              <w:left w:val="single" w:sz="6" w:space="0" w:color="000000"/>
              <w:bottom w:val="single" w:sz="6" w:space="0" w:color="000000"/>
              <w:right w:val="single" w:sz="6" w:space="0" w:color="000000"/>
            </w:tcBorders>
          </w:tcPr>
          <w:p w14:paraId="02571060"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611BF410" w14:textId="77777777" w:rsidR="008940B3" w:rsidRPr="003B5C8D" w:rsidRDefault="008940B3" w:rsidP="00E858EF">
            <w:pPr>
              <w:suppressAutoHyphens/>
              <w:spacing w:line="276" w:lineRule="auto"/>
              <w:jc w:val="center"/>
              <w:rPr>
                <w:color w:val="000000"/>
                <w:sz w:val="16"/>
                <w:szCs w:val="16"/>
              </w:rPr>
            </w:pPr>
          </w:p>
        </w:tc>
      </w:tr>
      <w:tr w:rsidR="008940B3" w:rsidRPr="003B5C8D" w14:paraId="4DB46A75" w14:textId="77777777" w:rsidTr="00363CE1">
        <w:tblPrEx>
          <w:tblCellMar>
            <w:left w:w="0" w:type="dxa"/>
            <w:right w:w="0" w:type="dxa"/>
          </w:tblCellMar>
        </w:tblPrEx>
        <w:trPr>
          <w:trHeight w:val="175"/>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148A489"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ARKALOCHORI</w:t>
            </w:r>
          </w:p>
        </w:tc>
        <w:tc>
          <w:tcPr>
            <w:tcW w:w="1007" w:type="dxa"/>
            <w:tcBorders>
              <w:top w:val="single" w:sz="6" w:space="0" w:color="000000"/>
              <w:left w:val="single" w:sz="6" w:space="0" w:color="000000"/>
              <w:bottom w:val="single" w:sz="6" w:space="0" w:color="000000"/>
              <w:right w:val="single" w:sz="6" w:space="0" w:color="000000"/>
            </w:tcBorders>
          </w:tcPr>
          <w:p w14:paraId="7ADCD8C2"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5748523"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62245087"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26322974"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6D6D1BE2"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0DD397A7"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096DA089" w14:textId="77777777" w:rsidR="008940B3" w:rsidRPr="003B5C8D" w:rsidRDefault="008940B3" w:rsidP="00E858EF">
            <w:pPr>
              <w:suppressAutoHyphens/>
              <w:spacing w:line="276" w:lineRule="auto"/>
              <w:jc w:val="center"/>
              <w:rPr>
                <w:color w:val="000000"/>
                <w:sz w:val="16"/>
                <w:szCs w:val="16"/>
              </w:rPr>
            </w:pPr>
          </w:p>
        </w:tc>
      </w:tr>
      <w:tr w:rsidR="008940B3" w:rsidRPr="003B5C8D" w14:paraId="069C85F4" w14:textId="77777777" w:rsidTr="00363CE1">
        <w:tblPrEx>
          <w:tblCellMar>
            <w:left w:w="0" w:type="dxa"/>
            <w:right w:w="0" w:type="dxa"/>
          </w:tblCellMar>
        </w:tblPrEx>
        <w:trPr>
          <w:trHeight w:val="175"/>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D64D74F"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ARTSA</w:t>
            </w:r>
          </w:p>
        </w:tc>
        <w:tc>
          <w:tcPr>
            <w:tcW w:w="1007" w:type="dxa"/>
            <w:tcBorders>
              <w:top w:val="single" w:sz="6" w:space="0" w:color="000000"/>
              <w:left w:val="single" w:sz="6" w:space="0" w:color="000000"/>
              <w:bottom w:val="single" w:sz="6" w:space="0" w:color="000000"/>
              <w:right w:val="single" w:sz="6" w:space="0" w:color="000000"/>
            </w:tcBorders>
          </w:tcPr>
          <w:p w14:paraId="40A4AC25"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86CD4FF"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5233EE09"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2D3FC056"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01C280C2"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1DD239F7"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25068802" w14:textId="77777777" w:rsidR="008940B3" w:rsidRPr="003B5C8D" w:rsidRDefault="008940B3" w:rsidP="00E858EF">
            <w:pPr>
              <w:suppressAutoHyphens/>
              <w:spacing w:line="276" w:lineRule="auto"/>
              <w:jc w:val="center"/>
              <w:rPr>
                <w:color w:val="000000"/>
                <w:sz w:val="16"/>
                <w:szCs w:val="16"/>
              </w:rPr>
            </w:pPr>
          </w:p>
        </w:tc>
      </w:tr>
      <w:tr w:rsidR="008940B3" w:rsidRPr="003B5C8D" w14:paraId="17742ECF" w14:textId="77777777" w:rsidTr="00363CE1">
        <w:tblPrEx>
          <w:tblCellMar>
            <w:left w:w="0" w:type="dxa"/>
            <w:right w:w="0" w:type="dxa"/>
          </w:tblCellMar>
        </w:tblPrEx>
        <w:trPr>
          <w:trHeight w:val="175"/>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DCB9138"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ATHANATOI POTAMOS</w:t>
            </w:r>
          </w:p>
        </w:tc>
        <w:tc>
          <w:tcPr>
            <w:tcW w:w="1007" w:type="dxa"/>
            <w:tcBorders>
              <w:top w:val="single" w:sz="6" w:space="0" w:color="000000"/>
              <w:left w:val="single" w:sz="6" w:space="0" w:color="000000"/>
              <w:bottom w:val="single" w:sz="6" w:space="0" w:color="000000"/>
              <w:right w:val="single" w:sz="6" w:space="0" w:color="000000"/>
            </w:tcBorders>
          </w:tcPr>
          <w:p w14:paraId="458EF84C"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8D8451E"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3BE04AA5"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269C5F01"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57F572A4"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7E3BF024"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5C788ADD" w14:textId="77777777" w:rsidR="008940B3" w:rsidRPr="003B5C8D" w:rsidRDefault="008940B3" w:rsidP="00E858EF">
            <w:pPr>
              <w:suppressAutoHyphens/>
              <w:spacing w:line="276" w:lineRule="auto"/>
              <w:jc w:val="center"/>
              <w:rPr>
                <w:color w:val="000000"/>
                <w:sz w:val="16"/>
                <w:szCs w:val="16"/>
              </w:rPr>
            </w:pPr>
          </w:p>
        </w:tc>
      </w:tr>
      <w:tr w:rsidR="008940B3" w:rsidRPr="003B5C8D" w14:paraId="184329EC" w14:textId="77777777" w:rsidTr="00363CE1">
        <w:tblPrEx>
          <w:tblCellMar>
            <w:left w:w="0" w:type="dxa"/>
            <w:right w:w="0" w:type="dxa"/>
          </w:tblCellMar>
        </w:tblPrEx>
        <w:trPr>
          <w:trHeight w:val="175"/>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F346B9A"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DAMANIA</w:t>
            </w:r>
          </w:p>
        </w:tc>
        <w:tc>
          <w:tcPr>
            <w:tcW w:w="1007" w:type="dxa"/>
            <w:tcBorders>
              <w:top w:val="single" w:sz="6" w:space="0" w:color="000000"/>
              <w:left w:val="single" w:sz="6" w:space="0" w:color="000000"/>
              <w:bottom w:val="single" w:sz="6" w:space="0" w:color="000000"/>
              <w:right w:val="single" w:sz="6" w:space="0" w:color="000000"/>
            </w:tcBorders>
          </w:tcPr>
          <w:p w14:paraId="7910D9D2" w14:textId="77777777" w:rsidR="008940B3" w:rsidRPr="003B5C8D" w:rsidRDefault="008940B3" w:rsidP="00E858EF">
            <w:pPr>
              <w:suppressAutoHyphens/>
              <w:spacing w:line="276" w:lineRule="auto"/>
              <w:jc w:val="center"/>
              <w:rPr>
                <w:sz w:val="16"/>
                <w:szCs w:val="16"/>
              </w:rPr>
            </w:pP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6813631"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0" w:type="auto"/>
            <w:tcBorders>
              <w:top w:val="single" w:sz="6" w:space="0" w:color="000000"/>
              <w:left w:val="single" w:sz="6" w:space="0" w:color="000000"/>
              <w:bottom w:val="single" w:sz="6" w:space="0" w:color="000000"/>
              <w:right w:val="single" w:sz="6" w:space="0" w:color="000000"/>
            </w:tcBorders>
          </w:tcPr>
          <w:p w14:paraId="7608B4AA"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4707C6CF"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1062C027"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3772608D"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39EEC688" w14:textId="77777777" w:rsidR="008940B3" w:rsidRPr="003B5C8D" w:rsidRDefault="008940B3" w:rsidP="00E858EF">
            <w:pPr>
              <w:suppressAutoHyphens/>
              <w:spacing w:line="276" w:lineRule="auto"/>
              <w:jc w:val="center"/>
              <w:rPr>
                <w:color w:val="000000"/>
                <w:sz w:val="16"/>
                <w:szCs w:val="16"/>
              </w:rPr>
            </w:pPr>
          </w:p>
        </w:tc>
      </w:tr>
      <w:tr w:rsidR="008940B3" w:rsidRPr="003B5C8D" w14:paraId="661610B7" w14:textId="77777777" w:rsidTr="00363CE1">
        <w:tblPrEx>
          <w:tblCellMar>
            <w:left w:w="0" w:type="dxa"/>
            <w:right w:w="0" w:type="dxa"/>
          </w:tblCellMar>
        </w:tblPrEx>
        <w:trPr>
          <w:trHeight w:val="175"/>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3AC0665"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EPISKOPI PEDIADA</w:t>
            </w:r>
          </w:p>
        </w:tc>
        <w:tc>
          <w:tcPr>
            <w:tcW w:w="1007" w:type="dxa"/>
            <w:tcBorders>
              <w:top w:val="single" w:sz="6" w:space="0" w:color="000000"/>
              <w:left w:val="single" w:sz="6" w:space="0" w:color="000000"/>
              <w:bottom w:val="single" w:sz="6" w:space="0" w:color="000000"/>
              <w:right w:val="single" w:sz="6" w:space="0" w:color="000000"/>
            </w:tcBorders>
          </w:tcPr>
          <w:p w14:paraId="597E2B5A"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85213A8"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5FC8E673"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393DC27D"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115B00CB"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978" w:type="dxa"/>
            <w:tcBorders>
              <w:top w:val="single" w:sz="6" w:space="0" w:color="000000"/>
              <w:left w:val="single" w:sz="6" w:space="0" w:color="000000"/>
              <w:bottom w:val="single" w:sz="6" w:space="0" w:color="000000"/>
              <w:right w:val="single" w:sz="6" w:space="0" w:color="000000"/>
            </w:tcBorders>
          </w:tcPr>
          <w:p w14:paraId="6B3A14E1"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2E3FF13A" w14:textId="77777777" w:rsidR="008940B3" w:rsidRPr="003B5C8D" w:rsidRDefault="008940B3" w:rsidP="00E858EF">
            <w:pPr>
              <w:suppressAutoHyphens/>
              <w:spacing w:line="276" w:lineRule="auto"/>
              <w:jc w:val="center"/>
              <w:rPr>
                <w:color w:val="000000"/>
                <w:sz w:val="16"/>
                <w:szCs w:val="16"/>
              </w:rPr>
            </w:pPr>
          </w:p>
        </w:tc>
      </w:tr>
      <w:tr w:rsidR="008940B3" w:rsidRPr="003B5C8D" w14:paraId="04856BF7" w14:textId="77777777" w:rsidTr="00363CE1">
        <w:tblPrEx>
          <w:tblCellMar>
            <w:left w:w="0" w:type="dxa"/>
            <w:right w:w="0" w:type="dxa"/>
          </w:tblCellMar>
        </w:tblPrEx>
        <w:trPr>
          <w:trHeight w:val="175"/>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78C23BB"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GAZI</w:t>
            </w:r>
          </w:p>
        </w:tc>
        <w:tc>
          <w:tcPr>
            <w:tcW w:w="1007" w:type="dxa"/>
            <w:tcBorders>
              <w:top w:val="single" w:sz="6" w:space="0" w:color="000000"/>
              <w:left w:val="single" w:sz="6" w:space="0" w:color="000000"/>
              <w:bottom w:val="single" w:sz="6" w:space="0" w:color="000000"/>
              <w:right w:val="single" w:sz="6" w:space="0" w:color="000000"/>
            </w:tcBorders>
          </w:tcPr>
          <w:p w14:paraId="5643A24F"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BB6A7C2"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294EAF5F"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4AAA8695"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0AF9EF61"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31610945"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72AD7C46" w14:textId="77777777" w:rsidR="008940B3" w:rsidRPr="003B5C8D" w:rsidRDefault="008940B3" w:rsidP="00E858EF">
            <w:pPr>
              <w:suppressAutoHyphens/>
              <w:spacing w:line="276" w:lineRule="auto"/>
              <w:jc w:val="center"/>
              <w:rPr>
                <w:color w:val="000000"/>
                <w:sz w:val="16"/>
                <w:szCs w:val="16"/>
              </w:rPr>
            </w:pPr>
          </w:p>
        </w:tc>
      </w:tr>
      <w:tr w:rsidR="008940B3" w:rsidRPr="003B5C8D" w14:paraId="02DD5251"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D8B90D1"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GIOPHYRAKIA</w:t>
            </w:r>
          </w:p>
        </w:tc>
        <w:tc>
          <w:tcPr>
            <w:tcW w:w="1007" w:type="dxa"/>
            <w:tcBorders>
              <w:top w:val="single" w:sz="6" w:space="0" w:color="000000"/>
              <w:left w:val="single" w:sz="6" w:space="0" w:color="000000"/>
              <w:bottom w:val="single" w:sz="6" w:space="0" w:color="000000"/>
              <w:right w:val="single" w:sz="6" w:space="0" w:color="000000"/>
            </w:tcBorders>
          </w:tcPr>
          <w:p w14:paraId="3E3F4A3D"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D0FD55D"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0379040A"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549CB066"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1A281ECF"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1032B84E"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04D5384B" w14:textId="77777777" w:rsidR="008940B3" w:rsidRPr="003B5C8D" w:rsidRDefault="008940B3" w:rsidP="00E858EF">
            <w:pPr>
              <w:suppressAutoHyphens/>
              <w:spacing w:line="276" w:lineRule="auto"/>
              <w:jc w:val="center"/>
              <w:rPr>
                <w:color w:val="000000"/>
                <w:sz w:val="16"/>
                <w:szCs w:val="16"/>
              </w:rPr>
            </w:pPr>
          </w:p>
        </w:tc>
      </w:tr>
      <w:tr w:rsidR="008940B3" w:rsidRPr="003B5C8D" w14:paraId="233A9E30"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FABA252"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GOURNES</w:t>
            </w:r>
          </w:p>
        </w:tc>
        <w:tc>
          <w:tcPr>
            <w:tcW w:w="1007" w:type="dxa"/>
            <w:tcBorders>
              <w:top w:val="single" w:sz="6" w:space="0" w:color="000000"/>
              <w:left w:val="single" w:sz="6" w:space="0" w:color="000000"/>
              <w:bottom w:val="single" w:sz="6" w:space="0" w:color="000000"/>
              <w:right w:val="single" w:sz="6" w:space="0" w:color="000000"/>
            </w:tcBorders>
          </w:tcPr>
          <w:p w14:paraId="767F2D22"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7F3602D"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1EBD4457"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5DF3749A"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5FCD1E39"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5B0D4839"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567" w:type="dxa"/>
            <w:tcBorders>
              <w:top w:val="single" w:sz="6" w:space="0" w:color="000000"/>
              <w:left w:val="single" w:sz="6" w:space="0" w:color="000000"/>
              <w:bottom w:val="single" w:sz="6" w:space="0" w:color="000000"/>
              <w:right w:val="single" w:sz="6" w:space="0" w:color="000000"/>
            </w:tcBorders>
          </w:tcPr>
          <w:p w14:paraId="2798928B"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r>
      <w:tr w:rsidR="008940B3" w:rsidRPr="003B5C8D" w14:paraId="2EC9A4E7"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AD35A0D"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GOUVES SYKIA</w:t>
            </w:r>
          </w:p>
        </w:tc>
        <w:tc>
          <w:tcPr>
            <w:tcW w:w="1007" w:type="dxa"/>
            <w:tcBorders>
              <w:top w:val="single" w:sz="6" w:space="0" w:color="000000"/>
              <w:left w:val="single" w:sz="6" w:space="0" w:color="000000"/>
              <w:bottom w:val="single" w:sz="6" w:space="0" w:color="000000"/>
              <w:right w:val="single" w:sz="6" w:space="0" w:color="000000"/>
            </w:tcBorders>
          </w:tcPr>
          <w:p w14:paraId="39326A8E"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E2EAE83"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3FE9CB21"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07228E47"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53B8F2BD"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7945184B"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6AC1FB11" w14:textId="77777777" w:rsidR="008940B3" w:rsidRPr="003B5C8D" w:rsidRDefault="008940B3" w:rsidP="00E858EF">
            <w:pPr>
              <w:suppressAutoHyphens/>
              <w:spacing w:line="276" w:lineRule="auto"/>
              <w:jc w:val="center"/>
              <w:rPr>
                <w:color w:val="000000"/>
                <w:sz w:val="16"/>
                <w:szCs w:val="16"/>
              </w:rPr>
            </w:pPr>
          </w:p>
        </w:tc>
      </w:tr>
      <w:tr w:rsidR="008940B3" w:rsidRPr="003B5C8D" w14:paraId="6F6B5DE0"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8C7F0B6"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KARNARI</w:t>
            </w:r>
          </w:p>
        </w:tc>
        <w:tc>
          <w:tcPr>
            <w:tcW w:w="1007" w:type="dxa"/>
            <w:tcBorders>
              <w:top w:val="single" w:sz="6" w:space="0" w:color="000000"/>
              <w:left w:val="single" w:sz="6" w:space="0" w:color="000000"/>
              <w:bottom w:val="single" w:sz="6" w:space="0" w:color="000000"/>
              <w:right w:val="single" w:sz="6" w:space="0" w:color="000000"/>
            </w:tcBorders>
          </w:tcPr>
          <w:p w14:paraId="796A31D5"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A06AFA9"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6D8DED30"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78D141F2"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0EDBD654"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22BA2045"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5974C30B" w14:textId="77777777" w:rsidR="008940B3" w:rsidRPr="003B5C8D" w:rsidRDefault="008940B3" w:rsidP="00E858EF">
            <w:pPr>
              <w:suppressAutoHyphens/>
              <w:spacing w:line="276" w:lineRule="auto"/>
              <w:jc w:val="center"/>
              <w:rPr>
                <w:color w:val="000000"/>
                <w:sz w:val="16"/>
                <w:szCs w:val="16"/>
              </w:rPr>
            </w:pPr>
          </w:p>
        </w:tc>
      </w:tr>
      <w:tr w:rsidR="008940B3" w:rsidRPr="003B5C8D" w14:paraId="7D7DDFDA"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4FD5543"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KASANOI</w:t>
            </w:r>
          </w:p>
        </w:tc>
        <w:tc>
          <w:tcPr>
            <w:tcW w:w="1007" w:type="dxa"/>
            <w:tcBorders>
              <w:top w:val="single" w:sz="6" w:space="0" w:color="000000"/>
              <w:left w:val="single" w:sz="6" w:space="0" w:color="000000"/>
              <w:bottom w:val="single" w:sz="6" w:space="0" w:color="000000"/>
              <w:right w:val="single" w:sz="6" w:space="0" w:color="000000"/>
            </w:tcBorders>
          </w:tcPr>
          <w:p w14:paraId="05BC9AA0"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F8490D7"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0BB56219"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48811254"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1AA8F1AA"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5E4BD5BB"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1E535202" w14:textId="77777777" w:rsidR="008940B3" w:rsidRPr="003B5C8D" w:rsidRDefault="008940B3" w:rsidP="00E858EF">
            <w:pPr>
              <w:suppressAutoHyphens/>
              <w:spacing w:line="276" w:lineRule="auto"/>
              <w:jc w:val="center"/>
              <w:rPr>
                <w:color w:val="000000"/>
                <w:sz w:val="16"/>
                <w:szCs w:val="16"/>
              </w:rPr>
            </w:pPr>
          </w:p>
        </w:tc>
      </w:tr>
      <w:tr w:rsidR="008940B3" w:rsidRPr="003B5C8D" w14:paraId="56067262"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101B930"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KAVROCHORI</w:t>
            </w:r>
          </w:p>
        </w:tc>
        <w:tc>
          <w:tcPr>
            <w:tcW w:w="1007" w:type="dxa"/>
            <w:tcBorders>
              <w:top w:val="single" w:sz="6" w:space="0" w:color="000000"/>
              <w:left w:val="single" w:sz="6" w:space="0" w:color="000000"/>
              <w:bottom w:val="single" w:sz="6" w:space="0" w:color="000000"/>
              <w:right w:val="single" w:sz="6" w:space="0" w:color="000000"/>
            </w:tcBorders>
          </w:tcPr>
          <w:p w14:paraId="1A2A3E2E"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1A03916"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5ABADAAE"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4D642F4F"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1777CB55"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69C0495A"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10CAFADC" w14:textId="77777777" w:rsidR="008940B3" w:rsidRPr="003B5C8D" w:rsidRDefault="008940B3" w:rsidP="00E858EF">
            <w:pPr>
              <w:suppressAutoHyphens/>
              <w:spacing w:line="276" w:lineRule="auto"/>
              <w:jc w:val="center"/>
              <w:rPr>
                <w:color w:val="000000"/>
                <w:sz w:val="16"/>
                <w:szCs w:val="16"/>
              </w:rPr>
            </w:pPr>
          </w:p>
        </w:tc>
      </w:tr>
      <w:tr w:rsidR="008940B3" w:rsidRPr="003B5C8D" w14:paraId="1869B599"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05EF6BD"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KYPARISSI VATHIA</w:t>
            </w:r>
          </w:p>
        </w:tc>
        <w:tc>
          <w:tcPr>
            <w:tcW w:w="1007" w:type="dxa"/>
            <w:tcBorders>
              <w:top w:val="single" w:sz="6" w:space="0" w:color="000000"/>
              <w:left w:val="single" w:sz="6" w:space="0" w:color="000000"/>
              <w:bottom w:val="single" w:sz="6" w:space="0" w:color="000000"/>
              <w:right w:val="single" w:sz="6" w:space="0" w:color="000000"/>
            </w:tcBorders>
          </w:tcPr>
          <w:p w14:paraId="662C8208"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48550C9"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19790DBB"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54108930"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196BD081"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582AA513"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770BBD4A" w14:textId="77777777" w:rsidR="008940B3" w:rsidRPr="003B5C8D" w:rsidRDefault="008940B3" w:rsidP="00E858EF">
            <w:pPr>
              <w:suppressAutoHyphens/>
              <w:spacing w:line="276" w:lineRule="auto"/>
              <w:jc w:val="center"/>
              <w:rPr>
                <w:color w:val="000000"/>
                <w:sz w:val="16"/>
                <w:szCs w:val="16"/>
              </w:rPr>
            </w:pPr>
          </w:p>
        </w:tc>
      </w:tr>
      <w:tr w:rsidR="008940B3" w:rsidRPr="003B5C8D" w14:paraId="176942A9"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A686FD9"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LIGORTYNO</w:t>
            </w:r>
          </w:p>
        </w:tc>
        <w:tc>
          <w:tcPr>
            <w:tcW w:w="1007" w:type="dxa"/>
            <w:tcBorders>
              <w:top w:val="single" w:sz="6" w:space="0" w:color="000000"/>
              <w:left w:val="single" w:sz="6" w:space="0" w:color="000000"/>
              <w:bottom w:val="single" w:sz="6" w:space="0" w:color="000000"/>
              <w:right w:val="single" w:sz="6" w:space="0" w:color="000000"/>
            </w:tcBorders>
          </w:tcPr>
          <w:p w14:paraId="03979354"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8FBB988"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1C098334"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33FB31D7"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46B3D7AD"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7C65E821"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6C87237C" w14:textId="77777777" w:rsidR="008940B3" w:rsidRPr="003B5C8D" w:rsidRDefault="008940B3" w:rsidP="00E858EF">
            <w:pPr>
              <w:suppressAutoHyphens/>
              <w:spacing w:line="276" w:lineRule="auto"/>
              <w:jc w:val="center"/>
              <w:rPr>
                <w:color w:val="000000"/>
                <w:sz w:val="16"/>
                <w:szCs w:val="16"/>
              </w:rPr>
            </w:pPr>
          </w:p>
        </w:tc>
      </w:tr>
      <w:tr w:rsidR="008940B3" w:rsidRPr="003B5C8D" w14:paraId="4B6B7BC7"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C2F158D"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MELESES</w:t>
            </w:r>
          </w:p>
        </w:tc>
        <w:tc>
          <w:tcPr>
            <w:tcW w:w="1007" w:type="dxa"/>
            <w:tcBorders>
              <w:top w:val="single" w:sz="6" w:space="0" w:color="000000"/>
              <w:left w:val="single" w:sz="6" w:space="0" w:color="000000"/>
              <w:bottom w:val="single" w:sz="6" w:space="0" w:color="000000"/>
              <w:right w:val="single" w:sz="6" w:space="0" w:color="000000"/>
            </w:tcBorders>
          </w:tcPr>
          <w:p w14:paraId="755A98FD" w14:textId="77777777" w:rsidR="008940B3" w:rsidRPr="003B5C8D" w:rsidRDefault="008940B3" w:rsidP="00E858EF">
            <w:pPr>
              <w:suppressAutoHyphens/>
              <w:spacing w:line="276" w:lineRule="auto"/>
              <w:jc w:val="center"/>
              <w:rPr>
                <w:color w:val="000000"/>
                <w:sz w:val="16"/>
                <w:szCs w:val="16"/>
              </w:rPr>
            </w:pP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FAC08CA"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75D9EFFE"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44D8CF78"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4C9C1386"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978" w:type="dxa"/>
            <w:tcBorders>
              <w:top w:val="single" w:sz="6" w:space="0" w:color="000000"/>
              <w:left w:val="single" w:sz="6" w:space="0" w:color="000000"/>
              <w:bottom w:val="single" w:sz="6" w:space="0" w:color="000000"/>
              <w:right w:val="single" w:sz="6" w:space="0" w:color="000000"/>
            </w:tcBorders>
          </w:tcPr>
          <w:p w14:paraId="1AA5C8DC"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651756D8" w14:textId="77777777" w:rsidR="008940B3" w:rsidRPr="003B5C8D" w:rsidRDefault="008940B3" w:rsidP="00E858EF">
            <w:pPr>
              <w:suppressAutoHyphens/>
              <w:spacing w:line="276" w:lineRule="auto"/>
              <w:jc w:val="center"/>
              <w:rPr>
                <w:color w:val="000000"/>
                <w:sz w:val="16"/>
                <w:szCs w:val="16"/>
              </w:rPr>
            </w:pPr>
          </w:p>
        </w:tc>
      </w:tr>
      <w:tr w:rsidR="008940B3" w:rsidRPr="003B5C8D" w14:paraId="74937F00"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5785CED"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METOCHI KALOU</w:t>
            </w:r>
          </w:p>
        </w:tc>
        <w:tc>
          <w:tcPr>
            <w:tcW w:w="1007" w:type="dxa"/>
            <w:tcBorders>
              <w:top w:val="single" w:sz="6" w:space="0" w:color="000000"/>
              <w:left w:val="single" w:sz="6" w:space="0" w:color="000000"/>
              <w:bottom w:val="single" w:sz="6" w:space="0" w:color="000000"/>
              <w:right w:val="single" w:sz="6" w:space="0" w:color="000000"/>
            </w:tcBorders>
          </w:tcPr>
          <w:p w14:paraId="2591F5EC"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B942218"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2CECD7E0"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1522683F"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6405F161"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530A14CB"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44CC8191" w14:textId="77777777" w:rsidR="008940B3" w:rsidRPr="003B5C8D" w:rsidRDefault="008940B3" w:rsidP="00E858EF">
            <w:pPr>
              <w:suppressAutoHyphens/>
              <w:spacing w:line="276" w:lineRule="auto"/>
              <w:jc w:val="center"/>
              <w:rPr>
                <w:color w:val="000000"/>
                <w:sz w:val="16"/>
                <w:szCs w:val="16"/>
              </w:rPr>
            </w:pPr>
          </w:p>
        </w:tc>
      </w:tr>
      <w:tr w:rsidR="008940B3" w:rsidRPr="003B5C8D" w14:paraId="59DA418C"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97C0F58"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MONI</w:t>
            </w:r>
          </w:p>
        </w:tc>
        <w:tc>
          <w:tcPr>
            <w:tcW w:w="1007" w:type="dxa"/>
            <w:tcBorders>
              <w:top w:val="single" w:sz="6" w:space="0" w:color="000000"/>
              <w:left w:val="single" w:sz="6" w:space="0" w:color="000000"/>
              <w:bottom w:val="single" w:sz="6" w:space="0" w:color="000000"/>
              <w:right w:val="single" w:sz="6" w:space="0" w:color="000000"/>
            </w:tcBorders>
          </w:tcPr>
          <w:p w14:paraId="076595FD"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F37B76A"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778459A9"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2B70A7C6"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1BE128AE"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27E25535"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30EB9C5C" w14:textId="77777777" w:rsidR="008940B3" w:rsidRPr="003B5C8D" w:rsidRDefault="008940B3" w:rsidP="00E858EF">
            <w:pPr>
              <w:suppressAutoHyphens/>
              <w:spacing w:line="276" w:lineRule="auto"/>
              <w:jc w:val="center"/>
              <w:rPr>
                <w:color w:val="000000"/>
                <w:sz w:val="16"/>
                <w:szCs w:val="16"/>
              </w:rPr>
            </w:pPr>
          </w:p>
        </w:tc>
      </w:tr>
      <w:tr w:rsidR="008940B3" w:rsidRPr="003B5C8D" w14:paraId="51F08C8F"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51186AE"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NIROU CHANI PHRANGOULI</w:t>
            </w:r>
          </w:p>
        </w:tc>
        <w:tc>
          <w:tcPr>
            <w:tcW w:w="1007" w:type="dxa"/>
            <w:tcBorders>
              <w:top w:val="single" w:sz="6" w:space="0" w:color="000000"/>
              <w:left w:val="single" w:sz="6" w:space="0" w:color="000000"/>
              <w:bottom w:val="single" w:sz="6" w:space="0" w:color="000000"/>
              <w:right w:val="single" w:sz="6" w:space="0" w:color="000000"/>
            </w:tcBorders>
          </w:tcPr>
          <w:p w14:paraId="2C688D7D" w14:textId="77777777" w:rsidR="008940B3" w:rsidRPr="003B5C8D" w:rsidRDefault="008940B3" w:rsidP="00E858EF">
            <w:pPr>
              <w:suppressAutoHyphens/>
              <w:spacing w:line="276" w:lineRule="auto"/>
              <w:jc w:val="center"/>
              <w:rPr>
                <w:color w:val="000000"/>
                <w:sz w:val="16"/>
                <w:szCs w:val="16"/>
              </w:rPr>
            </w:pP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208CACD"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665904DE"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001CB628"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6884D985"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4B99BDFA"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6419EEF1"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r>
      <w:tr w:rsidR="008940B3" w:rsidRPr="003B5C8D" w14:paraId="3F903BA5"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44D3134"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NIROU CHANI VATHEIANOS KAMPOS</w:t>
            </w:r>
          </w:p>
        </w:tc>
        <w:tc>
          <w:tcPr>
            <w:tcW w:w="1007" w:type="dxa"/>
            <w:tcBorders>
              <w:top w:val="single" w:sz="6" w:space="0" w:color="000000"/>
              <w:left w:val="single" w:sz="6" w:space="0" w:color="000000"/>
              <w:bottom w:val="single" w:sz="6" w:space="0" w:color="000000"/>
              <w:right w:val="single" w:sz="6" w:space="0" w:color="000000"/>
            </w:tcBorders>
          </w:tcPr>
          <w:p w14:paraId="706556E7"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AC3D2E7"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457ED2D7"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2D6B63BD"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0BDE1724"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622A6C82"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1091AC6B" w14:textId="77777777" w:rsidR="008940B3" w:rsidRPr="003B5C8D" w:rsidRDefault="008940B3" w:rsidP="00E858EF">
            <w:pPr>
              <w:suppressAutoHyphens/>
              <w:spacing w:line="276" w:lineRule="auto"/>
              <w:jc w:val="center"/>
              <w:rPr>
                <w:color w:val="000000"/>
                <w:sz w:val="16"/>
                <w:szCs w:val="16"/>
              </w:rPr>
            </w:pPr>
          </w:p>
        </w:tc>
      </w:tr>
      <w:tr w:rsidR="008940B3" w:rsidRPr="003B5C8D" w14:paraId="65868033"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B4CFA51"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PENTAMODI</w:t>
            </w:r>
          </w:p>
        </w:tc>
        <w:tc>
          <w:tcPr>
            <w:tcW w:w="1007" w:type="dxa"/>
            <w:tcBorders>
              <w:top w:val="single" w:sz="6" w:space="0" w:color="000000"/>
              <w:left w:val="single" w:sz="6" w:space="0" w:color="000000"/>
              <w:bottom w:val="single" w:sz="6" w:space="0" w:color="000000"/>
              <w:right w:val="single" w:sz="6" w:space="0" w:color="000000"/>
            </w:tcBorders>
          </w:tcPr>
          <w:p w14:paraId="732BB2F0" w14:textId="77777777" w:rsidR="008940B3" w:rsidRPr="003B5C8D" w:rsidRDefault="008940B3" w:rsidP="00E858EF">
            <w:pPr>
              <w:suppressAutoHyphens/>
              <w:spacing w:line="276" w:lineRule="auto"/>
              <w:jc w:val="center"/>
              <w:rPr>
                <w:color w:val="000000"/>
                <w:sz w:val="16"/>
                <w:szCs w:val="16"/>
              </w:rPr>
            </w:pP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E7CA642"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3F032298"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7652FB5B"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6881BF9A"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54A0665D"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2883DB73"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r>
      <w:tr w:rsidR="008940B3" w:rsidRPr="003B5C8D" w14:paraId="44955D36"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3F111EB"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PHOINIKIA</w:t>
            </w:r>
          </w:p>
        </w:tc>
        <w:tc>
          <w:tcPr>
            <w:tcW w:w="1007" w:type="dxa"/>
            <w:tcBorders>
              <w:top w:val="single" w:sz="6" w:space="0" w:color="000000"/>
              <w:left w:val="single" w:sz="6" w:space="0" w:color="000000"/>
              <w:bottom w:val="single" w:sz="6" w:space="0" w:color="000000"/>
              <w:right w:val="single" w:sz="6" w:space="0" w:color="000000"/>
            </w:tcBorders>
          </w:tcPr>
          <w:p w14:paraId="02496C12"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5C3A037"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4CE6483B"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396DDFA4"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4729791C"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1D17FB8B"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3C19CB34"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r>
      <w:tr w:rsidR="008940B3" w:rsidRPr="003B5C8D" w14:paraId="66DD919F"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125B9DC"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PREVELIANA</w:t>
            </w:r>
          </w:p>
        </w:tc>
        <w:tc>
          <w:tcPr>
            <w:tcW w:w="1007" w:type="dxa"/>
            <w:tcBorders>
              <w:top w:val="single" w:sz="6" w:space="0" w:color="000000"/>
              <w:left w:val="single" w:sz="6" w:space="0" w:color="000000"/>
              <w:bottom w:val="single" w:sz="6" w:space="0" w:color="000000"/>
              <w:right w:val="single" w:sz="6" w:space="0" w:color="000000"/>
            </w:tcBorders>
          </w:tcPr>
          <w:p w14:paraId="0F57ED37"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B34049D"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55A1C643"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3A3FE044"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3F8B6812"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62244C6F"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25952C9F" w14:textId="77777777" w:rsidR="008940B3" w:rsidRPr="003B5C8D" w:rsidRDefault="008940B3" w:rsidP="00E858EF">
            <w:pPr>
              <w:suppressAutoHyphens/>
              <w:spacing w:line="276" w:lineRule="auto"/>
              <w:jc w:val="center"/>
              <w:rPr>
                <w:color w:val="000000"/>
                <w:sz w:val="16"/>
                <w:szCs w:val="16"/>
              </w:rPr>
            </w:pPr>
          </w:p>
        </w:tc>
      </w:tr>
      <w:tr w:rsidR="008940B3" w:rsidRPr="003B5C8D" w14:paraId="00049D26"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D287400"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SIVA</w:t>
            </w:r>
          </w:p>
        </w:tc>
        <w:tc>
          <w:tcPr>
            <w:tcW w:w="1007" w:type="dxa"/>
            <w:tcBorders>
              <w:top w:val="single" w:sz="6" w:space="0" w:color="000000"/>
              <w:left w:val="single" w:sz="6" w:space="0" w:color="000000"/>
              <w:bottom w:val="single" w:sz="6" w:space="0" w:color="000000"/>
              <w:right w:val="single" w:sz="6" w:space="0" w:color="000000"/>
            </w:tcBorders>
          </w:tcPr>
          <w:p w14:paraId="73F70BC6"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78B9AB8"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71BB8558"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41F76E84"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4C578702"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54E33563"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2B83F2C1" w14:textId="77777777" w:rsidR="008940B3" w:rsidRPr="003B5C8D" w:rsidRDefault="008940B3" w:rsidP="00E858EF">
            <w:pPr>
              <w:suppressAutoHyphens/>
              <w:spacing w:line="276" w:lineRule="auto"/>
              <w:jc w:val="center"/>
              <w:rPr>
                <w:color w:val="000000"/>
                <w:sz w:val="16"/>
                <w:szCs w:val="16"/>
              </w:rPr>
            </w:pPr>
          </w:p>
        </w:tc>
      </w:tr>
      <w:tr w:rsidR="008940B3" w:rsidRPr="003B5C8D" w14:paraId="1CDA8011"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C0D75C6"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SKOTEINO</w:t>
            </w:r>
          </w:p>
        </w:tc>
        <w:tc>
          <w:tcPr>
            <w:tcW w:w="1007" w:type="dxa"/>
            <w:tcBorders>
              <w:top w:val="single" w:sz="6" w:space="0" w:color="000000"/>
              <w:left w:val="single" w:sz="6" w:space="0" w:color="000000"/>
              <w:bottom w:val="single" w:sz="6" w:space="0" w:color="000000"/>
              <w:right w:val="single" w:sz="6" w:space="0" w:color="000000"/>
            </w:tcBorders>
          </w:tcPr>
          <w:p w14:paraId="3B6C04E6" w14:textId="77777777" w:rsidR="008940B3" w:rsidRPr="003B5C8D" w:rsidRDefault="008940B3" w:rsidP="00E858EF">
            <w:pPr>
              <w:suppressAutoHyphens/>
              <w:spacing w:line="276" w:lineRule="auto"/>
              <w:jc w:val="center"/>
              <w:rPr>
                <w:color w:val="000000"/>
                <w:sz w:val="16"/>
                <w:szCs w:val="16"/>
              </w:rPr>
            </w:pP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A04B655"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61D3BF5B"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1360F628"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09D005D2"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0C7BFFFD"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0C185751"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r>
      <w:tr w:rsidR="008940B3" w:rsidRPr="003B5C8D" w14:paraId="32DC1053"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56FC427"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SMARI</w:t>
            </w:r>
          </w:p>
        </w:tc>
        <w:tc>
          <w:tcPr>
            <w:tcW w:w="1007" w:type="dxa"/>
            <w:tcBorders>
              <w:top w:val="single" w:sz="6" w:space="0" w:color="000000"/>
              <w:left w:val="single" w:sz="6" w:space="0" w:color="000000"/>
              <w:bottom w:val="single" w:sz="6" w:space="0" w:color="000000"/>
              <w:right w:val="single" w:sz="6" w:space="0" w:color="000000"/>
            </w:tcBorders>
          </w:tcPr>
          <w:p w14:paraId="2BC4B395"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42A2370"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0" w:type="auto"/>
            <w:tcBorders>
              <w:top w:val="single" w:sz="6" w:space="0" w:color="000000"/>
              <w:left w:val="single" w:sz="6" w:space="0" w:color="000000"/>
              <w:bottom w:val="single" w:sz="6" w:space="0" w:color="000000"/>
              <w:right w:val="single" w:sz="6" w:space="0" w:color="000000"/>
            </w:tcBorders>
          </w:tcPr>
          <w:p w14:paraId="4F9E3E07"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04BE712E"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1908B500"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7E1478D1"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726BF67D" w14:textId="77777777" w:rsidR="008940B3" w:rsidRPr="003B5C8D" w:rsidRDefault="008940B3" w:rsidP="00E858EF">
            <w:pPr>
              <w:suppressAutoHyphens/>
              <w:spacing w:line="276" w:lineRule="auto"/>
              <w:jc w:val="center"/>
              <w:rPr>
                <w:color w:val="000000"/>
                <w:sz w:val="16"/>
                <w:szCs w:val="16"/>
              </w:rPr>
            </w:pPr>
          </w:p>
        </w:tc>
      </w:tr>
      <w:tr w:rsidR="008940B3" w:rsidRPr="003B5C8D" w14:paraId="3130E92F"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F6AFDD2"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STAMNOI</w:t>
            </w:r>
          </w:p>
        </w:tc>
        <w:tc>
          <w:tcPr>
            <w:tcW w:w="1007" w:type="dxa"/>
            <w:tcBorders>
              <w:top w:val="single" w:sz="6" w:space="0" w:color="000000"/>
              <w:left w:val="single" w:sz="6" w:space="0" w:color="000000"/>
              <w:bottom w:val="single" w:sz="6" w:space="0" w:color="000000"/>
              <w:right w:val="single" w:sz="6" w:space="0" w:color="000000"/>
            </w:tcBorders>
          </w:tcPr>
          <w:p w14:paraId="06982793"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632F46B"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3BD76152"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50BD6652"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0D0B4856"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04E2B7FA"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08B8B629"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r>
      <w:tr w:rsidR="008940B3" w:rsidRPr="003B5C8D" w14:paraId="22877564"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C6E82F2"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STAVRAKIA XYLANGOURI</w:t>
            </w:r>
          </w:p>
        </w:tc>
        <w:tc>
          <w:tcPr>
            <w:tcW w:w="1007" w:type="dxa"/>
            <w:tcBorders>
              <w:top w:val="single" w:sz="6" w:space="0" w:color="000000"/>
              <w:left w:val="single" w:sz="6" w:space="0" w:color="000000"/>
              <w:bottom w:val="single" w:sz="6" w:space="0" w:color="000000"/>
              <w:right w:val="single" w:sz="6" w:space="0" w:color="000000"/>
            </w:tcBorders>
          </w:tcPr>
          <w:p w14:paraId="76A253B4"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C721FC5"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51399A50"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29E1CF6C"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56DF2C56"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4AB4D1BB"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15DEE1C1" w14:textId="77777777" w:rsidR="008940B3" w:rsidRPr="003B5C8D" w:rsidRDefault="008940B3" w:rsidP="00E858EF">
            <w:pPr>
              <w:suppressAutoHyphens/>
              <w:spacing w:line="276" w:lineRule="auto"/>
              <w:jc w:val="center"/>
              <w:rPr>
                <w:color w:val="000000"/>
                <w:sz w:val="16"/>
                <w:szCs w:val="16"/>
              </w:rPr>
            </w:pPr>
          </w:p>
        </w:tc>
      </w:tr>
      <w:tr w:rsidR="008940B3" w:rsidRPr="003B5C8D" w14:paraId="2025AE0B"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1AF53B8"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TEFELI KALYVORYAKAS</w:t>
            </w:r>
          </w:p>
        </w:tc>
        <w:tc>
          <w:tcPr>
            <w:tcW w:w="1007" w:type="dxa"/>
            <w:tcBorders>
              <w:top w:val="single" w:sz="6" w:space="0" w:color="000000"/>
              <w:left w:val="single" w:sz="6" w:space="0" w:color="000000"/>
              <w:bottom w:val="single" w:sz="6" w:space="0" w:color="000000"/>
              <w:right w:val="single" w:sz="6" w:space="0" w:color="000000"/>
            </w:tcBorders>
          </w:tcPr>
          <w:p w14:paraId="7E2BA43D"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B48B5AA"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5F6E1E30"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1E88F2C7"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06D67FE2"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6DF4AE6E"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5ED4AE0A" w14:textId="77777777" w:rsidR="008940B3" w:rsidRPr="003B5C8D" w:rsidRDefault="008940B3" w:rsidP="00E858EF">
            <w:pPr>
              <w:suppressAutoHyphens/>
              <w:spacing w:line="276" w:lineRule="auto"/>
              <w:jc w:val="center"/>
              <w:rPr>
                <w:color w:val="000000"/>
                <w:sz w:val="16"/>
                <w:szCs w:val="16"/>
              </w:rPr>
            </w:pPr>
          </w:p>
        </w:tc>
      </w:tr>
      <w:tr w:rsidR="008940B3" w:rsidRPr="003B5C8D" w14:paraId="1089D3F8"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092B1DD"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THRAPSANO</w:t>
            </w:r>
          </w:p>
        </w:tc>
        <w:tc>
          <w:tcPr>
            <w:tcW w:w="1007" w:type="dxa"/>
            <w:tcBorders>
              <w:top w:val="single" w:sz="6" w:space="0" w:color="000000"/>
              <w:left w:val="single" w:sz="6" w:space="0" w:color="000000"/>
              <w:bottom w:val="single" w:sz="6" w:space="0" w:color="000000"/>
              <w:right w:val="single" w:sz="6" w:space="0" w:color="000000"/>
            </w:tcBorders>
          </w:tcPr>
          <w:p w14:paraId="76BE4B44"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D5A63B0"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0FAF5E09"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55B745ED"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730279F3"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410D4BD9"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3623A551" w14:textId="77777777" w:rsidR="008940B3" w:rsidRPr="003B5C8D" w:rsidRDefault="008940B3" w:rsidP="00E858EF">
            <w:pPr>
              <w:suppressAutoHyphens/>
              <w:spacing w:line="276" w:lineRule="auto"/>
              <w:jc w:val="center"/>
              <w:rPr>
                <w:color w:val="000000"/>
                <w:sz w:val="16"/>
                <w:szCs w:val="16"/>
              </w:rPr>
            </w:pPr>
          </w:p>
        </w:tc>
      </w:tr>
      <w:tr w:rsidR="008940B3" w:rsidRPr="003B5C8D" w14:paraId="107EB103"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29585C5"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TYLISSOS</w:t>
            </w:r>
          </w:p>
        </w:tc>
        <w:tc>
          <w:tcPr>
            <w:tcW w:w="1007" w:type="dxa"/>
            <w:tcBorders>
              <w:top w:val="single" w:sz="6" w:space="0" w:color="000000"/>
              <w:left w:val="single" w:sz="6" w:space="0" w:color="000000"/>
              <w:bottom w:val="single" w:sz="6" w:space="0" w:color="000000"/>
              <w:right w:val="single" w:sz="6" w:space="0" w:color="000000"/>
            </w:tcBorders>
          </w:tcPr>
          <w:p w14:paraId="0D39A4A5"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76E0BC1"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53C5E5B2"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6A09BDCB"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12C316AD"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61499CF9"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6017EA27" w14:textId="77777777" w:rsidR="008940B3" w:rsidRPr="003B5C8D" w:rsidRDefault="008940B3" w:rsidP="00E858EF">
            <w:pPr>
              <w:suppressAutoHyphens/>
              <w:spacing w:line="276" w:lineRule="auto"/>
              <w:jc w:val="center"/>
              <w:rPr>
                <w:color w:val="000000"/>
                <w:sz w:val="16"/>
                <w:szCs w:val="16"/>
              </w:rPr>
            </w:pPr>
          </w:p>
        </w:tc>
      </w:tr>
      <w:tr w:rsidR="008940B3" w:rsidRPr="003B5C8D" w14:paraId="0C1B76A4"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7598792"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TZINGOUNAS</w:t>
            </w:r>
          </w:p>
        </w:tc>
        <w:tc>
          <w:tcPr>
            <w:tcW w:w="1007" w:type="dxa"/>
            <w:tcBorders>
              <w:top w:val="single" w:sz="6" w:space="0" w:color="000000"/>
              <w:left w:val="single" w:sz="6" w:space="0" w:color="000000"/>
              <w:bottom w:val="single" w:sz="6" w:space="0" w:color="000000"/>
              <w:right w:val="single" w:sz="6" w:space="0" w:color="000000"/>
            </w:tcBorders>
          </w:tcPr>
          <w:p w14:paraId="70B2D0D1" w14:textId="77777777" w:rsidR="008940B3" w:rsidRPr="003B5C8D" w:rsidRDefault="008940B3" w:rsidP="00E858EF">
            <w:pPr>
              <w:suppressAutoHyphens/>
              <w:spacing w:line="276" w:lineRule="auto"/>
              <w:jc w:val="center"/>
              <w:rPr>
                <w:color w:val="000000"/>
                <w:sz w:val="16"/>
                <w:szCs w:val="16"/>
              </w:rPr>
            </w:pP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701C788"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3A506B92"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3A3B9E99"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1C403644"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666E8AA5"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39C9C1C5"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r>
      <w:tr w:rsidR="008940B3" w:rsidRPr="003B5C8D" w14:paraId="5891D585"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4A31D6A"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TZORMPATZANA</w:t>
            </w:r>
          </w:p>
        </w:tc>
        <w:tc>
          <w:tcPr>
            <w:tcW w:w="1007" w:type="dxa"/>
            <w:tcBorders>
              <w:top w:val="single" w:sz="6" w:space="0" w:color="000000"/>
              <w:left w:val="single" w:sz="6" w:space="0" w:color="000000"/>
              <w:bottom w:val="single" w:sz="6" w:space="0" w:color="000000"/>
              <w:right w:val="single" w:sz="6" w:space="0" w:color="000000"/>
            </w:tcBorders>
          </w:tcPr>
          <w:p w14:paraId="50AC28F3" w14:textId="77777777" w:rsidR="008940B3" w:rsidRPr="003B5C8D" w:rsidRDefault="008940B3" w:rsidP="00E858EF">
            <w:pPr>
              <w:suppressAutoHyphens/>
              <w:spacing w:line="276" w:lineRule="auto"/>
              <w:jc w:val="center"/>
              <w:rPr>
                <w:color w:val="000000"/>
                <w:sz w:val="16"/>
                <w:szCs w:val="16"/>
              </w:rPr>
            </w:pP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7ABCA04"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1471F032"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721861A3"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2C66A240"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786B4AC9"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4721038B"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r>
      <w:tr w:rsidR="008940B3" w:rsidRPr="003B5C8D" w14:paraId="2098496B" w14:textId="77777777" w:rsidTr="00363CE1">
        <w:tblPrEx>
          <w:tblCellMar>
            <w:left w:w="0" w:type="dxa"/>
            <w:right w:w="0" w:type="dxa"/>
          </w:tblCellMar>
        </w:tblPrEx>
        <w:trPr>
          <w:trHeight w:val="16"/>
        </w:trPr>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DB929FA"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VORITSI</w:t>
            </w:r>
          </w:p>
        </w:tc>
        <w:tc>
          <w:tcPr>
            <w:tcW w:w="1007" w:type="dxa"/>
            <w:tcBorders>
              <w:top w:val="single" w:sz="6" w:space="0" w:color="000000"/>
              <w:left w:val="single" w:sz="6" w:space="0" w:color="000000"/>
              <w:bottom w:val="single" w:sz="6" w:space="0" w:color="000000"/>
              <w:right w:val="single" w:sz="6" w:space="0" w:color="000000"/>
            </w:tcBorders>
          </w:tcPr>
          <w:p w14:paraId="738C53C7" w14:textId="77777777" w:rsidR="008940B3" w:rsidRPr="003B5C8D" w:rsidRDefault="008940B3" w:rsidP="00E858EF">
            <w:pPr>
              <w:suppressAutoHyphens/>
              <w:spacing w:line="276" w:lineRule="auto"/>
              <w:jc w:val="center"/>
              <w:rPr>
                <w:color w:val="000000"/>
                <w:sz w:val="16"/>
                <w:szCs w:val="16"/>
              </w:rPr>
            </w:pPr>
          </w:p>
        </w:tc>
        <w:tc>
          <w:tcPr>
            <w:tcW w:w="11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976F226" w14:textId="77777777" w:rsidR="008940B3" w:rsidRPr="003B5C8D" w:rsidRDefault="008940B3" w:rsidP="00E858EF">
            <w:pPr>
              <w:suppressAutoHyphens/>
              <w:spacing w:line="276" w:lineRule="auto"/>
              <w:jc w:val="center"/>
              <w:rPr>
                <w:sz w:val="16"/>
                <w:szCs w:val="16"/>
              </w:rPr>
            </w:pPr>
          </w:p>
        </w:tc>
        <w:tc>
          <w:tcPr>
            <w:tcW w:w="0" w:type="auto"/>
            <w:tcBorders>
              <w:top w:val="single" w:sz="6" w:space="0" w:color="000000"/>
              <w:left w:val="single" w:sz="6" w:space="0" w:color="000000"/>
              <w:bottom w:val="single" w:sz="6" w:space="0" w:color="000000"/>
              <w:right w:val="single" w:sz="6" w:space="0" w:color="000000"/>
            </w:tcBorders>
          </w:tcPr>
          <w:p w14:paraId="13349B8F" w14:textId="77777777" w:rsidR="008940B3" w:rsidRPr="003B5C8D" w:rsidRDefault="008940B3" w:rsidP="00E858EF">
            <w:pPr>
              <w:suppressAutoHyphens/>
              <w:spacing w:line="276" w:lineRule="auto"/>
              <w:jc w:val="center"/>
              <w:rPr>
                <w:color w:val="000000"/>
                <w:sz w:val="16"/>
                <w:szCs w:val="16"/>
              </w:rPr>
            </w:pPr>
          </w:p>
        </w:tc>
        <w:tc>
          <w:tcPr>
            <w:tcW w:w="977" w:type="dxa"/>
            <w:tcBorders>
              <w:top w:val="single" w:sz="6" w:space="0" w:color="000000"/>
              <w:left w:val="single" w:sz="6" w:space="0" w:color="000000"/>
              <w:bottom w:val="single" w:sz="6" w:space="0" w:color="000000"/>
              <w:right w:val="single" w:sz="6" w:space="0" w:color="000000"/>
            </w:tcBorders>
          </w:tcPr>
          <w:p w14:paraId="64408B2C" w14:textId="77777777" w:rsidR="008940B3" w:rsidRPr="003B5C8D" w:rsidRDefault="008940B3" w:rsidP="00E858EF">
            <w:pPr>
              <w:suppressAutoHyphens/>
              <w:spacing w:line="276" w:lineRule="auto"/>
              <w:jc w:val="center"/>
              <w:rPr>
                <w:color w:val="000000"/>
                <w:sz w:val="16"/>
                <w:szCs w:val="16"/>
              </w:rPr>
            </w:pPr>
          </w:p>
        </w:tc>
        <w:tc>
          <w:tcPr>
            <w:tcW w:w="663" w:type="dxa"/>
            <w:tcBorders>
              <w:top w:val="single" w:sz="6" w:space="0" w:color="000000"/>
              <w:left w:val="single" w:sz="6" w:space="0" w:color="000000"/>
              <w:bottom w:val="single" w:sz="6" w:space="0" w:color="000000"/>
              <w:right w:val="single" w:sz="6" w:space="0" w:color="000000"/>
            </w:tcBorders>
          </w:tcPr>
          <w:p w14:paraId="1B28091A" w14:textId="77777777" w:rsidR="008940B3" w:rsidRPr="003B5C8D" w:rsidRDefault="008940B3" w:rsidP="00E858EF">
            <w:pPr>
              <w:suppressAutoHyphens/>
              <w:spacing w:line="276" w:lineRule="auto"/>
              <w:jc w:val="center"/>
              <w:rPr>
                <w:color w:val="000000"/>
                <w:sz w:val="16"/>
                <w:szCs w:val="16"/>
              </w:rPr>
            </w:pPr>
          </w:p>
        </w:tc>
        <w:tc>
          <w:tcPr>
            <w:tcW w:w="978" w:type="dxa"/>
            <w:tcBorders>
              <w:top w:val="single" w:sz="6" w:space="0" w:color="000000"/>
              <w:left w:val="single" w:sz="6" w:space="0" w:color="000000"/>
              <w:bottom w:val="single" w:sz="6" w:space="0" w:color="000000"/>
              <w:right w:val="single" w:sz="6" w:space="0" w:color="000000"/>
            </w:tcBorders>
          </w:tcPr>
          <w:p w14:paraId="69F1F66C" w14:textId="77777777" w:rsidR="008940B3" w:rsidRPr="003B5C8D" w:rsidRDefault="008940B3" w:rsidP="00E858EF">
            <w:pPr>
              <w:suppressAutoHyphens/>
              <w:spacing w:line="276" w:lineRule="auto"/>
              <w:jc w:val="center"/>
              <w:rPr>
                <w:color w:val="000000"/>
                <w:sz w:val="16"/>
                <w:szCs w:val="16"/>
              </w:rPr>
            </w:pPr>
          </w:p>
        </w:tc>
        <w:tc>
          <w:tcPr>
            <w:tcW w:w="567" w:type="dxa"/>
            <w:tcBorders>
              <w:top w:val="single" w:sz="6" w:space="0" w:color="000000"/>
              <w:left w:val="single" w:sz="6" w:space="0" w:color="000000"/>
              <w:bottom w:val="single" w:sz="6" w:space="0" w:color="000000"/>
              <w:right w:val="single" w:sz="6" w:space="0" w:color="000000"/>
            </w:tcBorders>
          </w:tcPr>
          <w:p w14:paraId="02876E1F"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r>
    </w:tbl>
    <w:p w14:paraId="0D456385"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16"/>
          <w:szCs w:val="16"/>
        </w:rPr>
      </w:pPr>
    </w:p>
    <w:p w14:paraId="3A07A109" w14:textId="77777777" w:rsidR="008940B3" w:rsidRPr="00D63757" w:rsidRDefault="008940B3" w:rsidP="00E858EF">
      <w:pPr>
        <w:pStyle w:val="Titolo4"/>
        <w:keepNext w:val="0"/>
        <w:keepLines w:val="0"/>
        <w:suppressAutoHyphens/>
        <w:ind w:left="864" w:hanging="864"/>
        <w:contextualSpacing w:val="0"/>
      </w:pPr>
      <w:bookmarkStart w:id="299" w:name="_Toc389131181"/>
      <w:bookmarkStart w:id="300" w:name="_Toc517876508"/>
      <w:r w:rsidRPr="00D63757">
        <w:t xml:space="preserve">Which deposition methods </w:t>
      </w:r>
      <w:r>
        <w:t>were</w:t>
      </w:r>
      <w:r w:rsidRPr="00D63757">
        <w:t xml:space="preserve"> adopted in these cemeteries?</w:t>
      </w:r>
      <w:bookmarkEnd w:id="299"/>
      <w:bookmarkEnd w:id="300"/>
      <w:r w:rsidRPr="00D63757">
        <w:t xml:space="preserve"> </w:t>
      </w:r>
    </w:p>
    <w:p w14:paraId="51B9A731" w14:textId="77777777" w:rsidR="008940B3" w:rsidRDefault="008940B3" w:rsidP="00F3490B">
      <w:r w:rsidRPr="003B5C8D">
        <w:t xml:space="preserve">Larnakes </w:t>
      </w:r>
      <w:r>
        <w:t>are</w:t>
      </w:r>
      <w:r w:rsidRPr="003B5C8D">
        <w:t xml:space="preserve"> associated with other type</w:t>
      </w:r>
      <w:r>
        <w:t>s</w:t>
      </w:r>
      <w:r w:rsidRPr="003B5C8D">
        <w:t xml:space="preserve"> of </w:t>
      </w:r>
      <w:r>
        <w:t>interment</w:t>
      </w:r>
      <w:r w:rsidRPr="003B5C8D">
        <w:t xml:space="preserve"> in 40% of the cemeteries. Almost all th</w:t>
      </w:r>
      <w:r>
        <w:t>e other types of interment occur.</w:t>
      </w:r>
      <w:r w:rsidRPr="003B5C8D">
        <w:t xml:space="preserve"> </w:t>
      </w:r>
      <w:r>
        <w:t>H</w:t>
      </w:r>
      <w:r w:rsidRPr="003B5C8D">
        <w:t>owever</w:t>
      </w:r>
      <w:r>
        <w:t>,</w:t>
      </w:r>
      <w:r w:rsidRPr="003B5C8D">
        <w:t xml:space="preserve"> body deposition</w:t>
      </w:r>
      <w:r>
        <w:t>s</w:t>
      </w:r>
      <w:r w:rsidRPr="003B5C8D">
        <w:t xml:space="preserve"> on the floor and i</w:t>
      </w:r>
      <w:r>
        <w:t>n</w:t>
      </w:r>
      <w:r w:rsidRPr="003B5C8D">
        <w:t xml:space="preserve"> pit</w:t>
      </w:r>
      <w:r>
        <w:t>s</w:t>
      </w:r>
      <w:r w:rsidRPr="003B5C8D">
        <w:t xml:space="preserve"> </w:t>
      </w:r>
      <w:r>
        <w:t>are most</w:t>
      </w:r>
      <w:r w:rsidRPr="003B5C8D">
        <w:t xml:space="preserve"> common, and possibl</w:t>
      </w:r>
      <w:r>
        <w:t>y</w:t>
      </w:r>
      <w:r w:rsidRPr="003B5C8D">
        <w:t xml:space="preserve"> connected to secondary burial deposition.</w:t>
      </w:r>
    </w:p>
    <w:p w14:paraId="5A4FE33B"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6EFE4404" w14:textId="1A8807F8" w:rsidR="008940B3" w:rsidRPr="00422526" w:rsidRDefault="008940B3" w:rsidP="00422526">
      <w:pPr>
        <w:pStyle w:val="Titolo3"/>
        <w:numPr>
          <w:ilvl w:val="0"/>
          <w:numId w:val="0"/>
        </w:numPr>
        <w:spacing w:line="240" w:lineRule="auto"/>
        <w:rPr>
          <w:sz w:val="20"/>
          <w:szCs w:val="20"/>
        </w:rPr>
      </w:pPr>
      <w:r w:rsidRPr="00422526">
        <w:rPr>
          <w:sz w:val="20"/>
          <w:szCs w:val="20"/>
        </w:rPr>
        <w:t>Table 3-4</w:t>
      </w:r>
      <w:r w:rsidR="007D1875" w:rsidRPr="00422526">
        <w:rPr>
          <w:sz w:val="20"/>
          <w:szCs w:val="20"/>
        </w:rPr>
        <w:t>6</w:t>
      </w:r>
      <w:r w:rsidRPr="00422526">
        <w:rPr>
          <w:sz w:val="20"/>
          <w:szCs w:val="20"/>
        </w:rPr>
        <w:t>. Deposition methods adopted in cemeteries with larnakes</w:t>
      </w:r>
      <w:r w:rsidR="005E1C18" w:rsidRPr="00422526">
        <w:rPr>
          <w:sz w:val="20"/>
          <w:szCs w:val="20"/>
        </w:rPr>
        <w:t>,</w:t>
      </w:r>
      <w:r w:rsidRPr="00422526">
        <w:rPr>
          <w:sz w:val="20"/>
          <w:szCs w:val="20"/>
        </w:rPr>
        <w:t xml:space="preserve"> Central area</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2"/>
        <w:gridCol w:w="1070"/>
        <w:gridCol w:w="955"/>
        <w:gridCol w:w="730"/>
        <w:gridCol w:w="522"/>
        <w:gridCol w:w="691"/>
        <w:gridCol w:w="816"/>
        <w:gridCol w:w="707"/>
        <w:gridCol w:w="753"/>
        <w:gridCol w:w="419"/>
      </w:tblGrid>
      <w:tr w:rsidR="008940B3" w:rsidRPr="003B5C8D" w14:paraId="4ECD0FEF" w14:textId="77777777" w:rsidTr="00363CE1">
        <w:trPr>
          <w:trHeight w:val="440"/>
        </w:trPr>
        <w:tc>
          <w:tcPr>
            <w:tcW w:w="2176" w:type="dxa"/>
          </w:tcPr>
          <w:p w14:paraId="2B843CA6" w14:textId="77777777" w:rsidR="008940B3" w:rsidRPr="003B5C8D" w:rsidRDefault="008940B3" w:rsidP="00E858EF">
            <w:pPr>
              <w:suppressAutoHyphens/>
              <w:jc w:val="left"/>
              <w:rPr>
                <w:color w:val="000000"/>
                <w:sz w:val="16"/>
                <w:szCs w:val="16"/>
              </w:rPr>
            </w:pPr>
            <w:r w:rsidRPr="003B5C8D">
              <w:rPr>
                <w:rFonts w:eastAsia="Times New Roman"/>
                <w:bCs/>
                <w:sz w:val="16"/>
                <w:szCs w:val="16"/>
              </w:rPr>
              <w:t>CEMETERIES</w:t>
            </w:r>
          </w:p>
        </w:tc>
        <w:tc>
          <w:tcPr>
            <w:tcW w:w="1070" w:type="dxa"/>
          </w:tcPr>
          <w:p w14:paraId="0B177510" w14:textId="77777777" w:rsidR="008940B3" w:rsidRPr="0013030E" w:rsidRDefault="008940B3" w:rsidP="00E858EF">
            <w:pPr>
              <w:suppressAutoHyphens/>
              <w:jc w:val="center"/>
              <w:rPr>
                <w:color w:val="000000"/>
                <w:sz w:val="14"/>
                <w:szCs w:val="16"/>
              </w:rPr>
            </w:pPr>
            <w:r w:rsidRPr="0013030E">
              <w:rPr>
                <w:color w:val="000000"/>
                <w:sz w:val="14"/>
                <w:szCs w:val="16"/>
              </w:rPr>
              <w:t>CLAY LARNAKES</w:t>
            </w:r>
          </w:p>
        </w:tc>
        <w:tc>
          <w:tcPr>
            <w:tcW w:w="973" w:type="dxa"/>
            <w:hideMark/>
          </w:tcPr>
          <w:p w14:paraId="1DF2A89A" w14:textId="77777777" w:rsidR="008940B3" w:rsidRPr="0013030E" w:rsidRDefault="008940B3" w:rsidP="00E858EF">
            <w:pPr>
              <w:suppressAutoHyphens/>
              <w:jc w:val="center"/>
              <w:rPr>
                <w:color w:val="000000"/>
                <w:sz w:val="14"/>
                <w:szCs w:val="16"/>
              </w:rPr>
            </w:pPr>
            <w:r w:rsidRPr="0013030E">
              <w:rPr>
                <w:color w:val="000000"/>
                <w:sz w:val="14"/>
                <w:szCs w:val="16"/>
              </w:rPr>
              <w:t>WOODEN BIER/</w:t>
            </w:r>
          </w:p>
          <w:p w14:paraId="013AE1DC" w14:textId="77777777" w:rsidR="008940B3" w:rsidRPr="0013030E" w:rsidRDefault="008940B3" w:rsidP="00E858EF">
            <w:pPr>
              <w:suppressAutoHyphens/>
              <w:jc w:val="center"/>
              <w:rPr>
                <w:sz w:val="14"/>
                <w:szCs w:val="16"/>
              </w:rPr>
            </w:pPr>
            <w:r w:rsidRPr="0013030E">
              <w:rPr>
                <w:color w:val="000000"/>
                <w:sz w:val="14"/>
                <w:szCs w:val="16"/>
              </w:rPr>
              <w:t>COFFIN</w:t>
            </w:r>
          </w:p>
        </w:tc>
        <w:tc>
          <w:tcPr>
            <w:tcW w:w="739" w:type="dxa"/>
            <w:hideMark/>
          </w:tcPr>
          <w:p w14:paraId="4AF75417" w14:textId="77777777" w:rsidR="008940B3" w:rsidRPr="0013030E" w:rsidRDefault="008940B3" w:rsidP="00E858EF">
            <w:pPr>
              <w:suppressAutoHyphens/>
              <w:jc w:val="center"/>
              <w:rPr>
                <w:sz w:val="14"/>
                <w:szCs w:val="16"/>
              </w:rPr>
            </w:pPr>
            <w:r w:rsidRPr="0013030E">
              <w:rPr>
                <w:color w:val="000000"/>
                <w:sz w:val="14"/>
                <w:szCs w:val="16"/>
              </w:rPr>
              <w:t>FLOOR</w:t>
            </w:r>
          </w:p>
        </w:tc>
        <w:tc>
          <w:tcPr>
            <w:tcW w:w="537" w:type="dxa"/>
          </w:tcPr>
          <w:p w14:paraId="0D61E5C7" w14:textId="77777777" w:rsidR="008940B3" w:rsidRPr="0013030E" w:rsidRDefault="008940B3" w:rsidP="00E858EF">
            <w:pPr>
              <w:suppressAutoHyphens/>
              <w:jc w:val="center"/>
              <w:rPr>
                <w:color w:val="000000"/>
                <w:sz w:val="14"/>
                <w:szCs w:val="16"/>
              </w:rPr>
            </w:pPr>
            <w:r w:rsidRPr="0013030E">
              <w:rPr>
                <w:color w:val="000000"/>
                <w:sz w:val="14"/>
                <w:szCs w:val="16"/>
              </w:rPr>
              <w:t>PIT</w:t>
            </w:r>
          </w:p>
        </w:tc>
        <w:tc>
          <w:tcPr>
            <w:tcW w:w="0" w:type="auto"/>
          </w:tcPr>
          <w:p w14:paraId="7FB8C60D" w14:textId="77777777" w:rsidR="008940B3" w:rsidRPr="0013030E" w:rsidRDefault="008940B3" w:rsidP="00E858EF">
            <w:pPr>
              <w:suppressAutoHyphens/>
              <w:jc w:val="center"/>
              <w:rPr>
                <w:color w:val="000000"/>
                <w:sz w:val="14"/>
                <w:szCs w:val="16"/>
              </w:rPr>
            </w:pPr>
            <w:r w:rsidRPr="0013030E">
              <w:rPr>
                <w:color w:val="000000"/>
                <w:sz w:val="14"/>
                <w:szCs w:val="16"/>
              </w:rPr>
              <w:t>BENCH</w:t>
            </w:r>
          </w:p>
        </w:tc>
        <w:tc>
          <w:tcPr>
            <w:tcW w:w="0" w:type="auto"/>
          </w:tcPr>
          <w:p w14:paraId="6E92DADA" w14:textId="77777777" w:rsidR="008940B3" w:rsidRPr="0013030E" w:rsidRDefault="008940B3" w:rsidP="00E858EF">
            <w:pPr>
              <w:suppressAutoHyphens/>
              <w:jc w:val="center"/>
              <w:rPr>
                <w:color w:val="000000"/>
                <w:sz w:val="14"/>
                <w:szCs w:val="16"/>
              </w:rPr>
            </w:pPr>
            <w:r w:rsidRPr="0013030E">
              <w:rPr>
                <w:color w:val="000000"/>
                <w:sz w:val="14"/>
                <w:szCs w:val="16"/>
              </w:rPr>
              <w:t>DROMOS</w:t>
            </w:r>
          </w:p>
        </w:tc>
        <w:tc>
          <w:tcPr>
            <w:tcW w:w="0" w:type="auto"/>
          </w:tcPr>
          <w:p w14:paraId="12E2E066" w14:textId="77777777" w:rsidR="008940B3" w:rsidRPr="0013030E" w:rsidRDefault="008940B3" w:rsidP="00E858EF">
            <w:pPr>
              <w:suppressAutoHyphens/>
              <w:jc w:val="center"/>
              <w:rPr>
                <w:color w:val="000000"/>
                <w:sz w:val="14"/>
                <w:szCs w:val="16"/>
              </w:rPr>
            </w:pPr>
            <w:r w:rsidRPr="0013030E">
              <w:rPr>
                <w:color w:val="000000"/>
                <w:sz w:val="14"/>
                <w:szCs w:val="16"/>
              </w:rPr>
              <w:t>PITHOS</w:t>
            </w:r>
          </w:p>
        </w:tc>
        <w:tc>
          <w:tcPr>
            <w:tcW w:w="0" w:type="auto"/>
          </w:tcPr>
          <w:p w14:paraId="24C75EA1" w14:textId="77777777" w:rsidR="008940B3" w:rsidRPr="0013030E" w:rsidRDefault="008940B3" w:rsidP="00E858EF">
            <w:pPr>
              <w:suppressAutoHyphens/>
              <w:jc w:val="center"/>
              <w:rPr>
                <w:sz w:val="14"/>
                <w:szCs w:val="16"/>
              </w:rPr>
            </w:pPr>
            <w:r w:rsidRPr="0013030E">
              <w:rPr>
                <w:sz w:val="14"/>
                <w:szCs w:val="16"/>
              </w:rPr>
              <w:t>VASE</w:t>
            </w:r>
          </w:p>
          <w:p w14:paraId="0F861B76" w14:textId="77777777" w:rsidR="008940B3" w:rsidRPr="0013030E" w:rsidRDefault="008940B3" w:rsidP="00E858EF">
            <w:pPr>
              <w:suppressAutoHyphens/>
              <w:jc w:val="center"/>
              <w:rPr>
                <w:sz w:val="14"/>
                <w:szCs w:val="16"/>
              </w:rPr>
            </w:pPr>
            <w:r w:rsidRPr="0013030E">
              <w:rPr>
                <w:sz w:val="14"/>
                <w:szCs w:val="16"/>
              </w:rPr>
              <w:t>(ASHES)</w:t>
            </w:r>
          </w:p>
        </w:tc>
        <w:tc>
          <w:tcPr>
            <w:tcW w:w="293" w:type="dxa"/>
            <w:hideMark/>
          </w:tcPr>
          <w:p w14:paraId="26D83098" w14:textId="77777777" w:rsidR="008940B3" w:rsidRPr="0013030E" w:rsidRDefault="008940B3" w:rsidP="00E858EF">
            <w:pPr>
              <w:suppressAutoHyphens/>
              <w:jc w:val="center"/>
              <w:rPr>
                <w:sz w:val="14"/>
                <w:szCs w:val="16"/>
              </w:rPr>
            </w:pPr>
            <w:r w:rsidRPr="0013030E">
              <w:rPr>
                <w:sz w:val="14"/>
                <w:szCs w:val="16"/>
              </w:rPr>
              <w:t>NA</w:t>
            </w:r>
          </w:p>
        </w:tc>
      </w:tr>
      <w:tr w:rsidR="008940B3" w:rsidRPr="003B5C8D" w14:paraId="2FC3F3C3" w14:textId="77777777" w:rsidTr="00363CE1">
        <w:trPr>
          <w:trHeight w:val="175"/>
        </w:trPr>
        <w:tc>
          <w:tcPr>
            <w:tcW w:w="2176" w:type="dxa"/>
          </w:tcPr>
          <w:p w14:paraId="2BE92010" w14:textId="77777777" w:rsidR="008940B3" w:rsidRPr="003B5C8D" w:rsidRDefault="008940B3" w:rsidP="00E858EF">
            <w:pPr>
              <w:suppressAutoHyphens/>
              <w:jc w:val="left"/>
              <w:rPr>
                <w:color w:val="000000"/>
                <w:sz w:val="16"/>
                <w:szCs w:val="16"/>
              </w:rPr>
            </w:pPr>
            <w:r w:rsidRPr="003B5C8D">
              <w:rPr>
                <w:rFonts w:eastAsia="Times New Roman"/>
                <w:sz w:val="16"/>
                <w:szCs w:val="16"/>
              </w:rPr>
              <w:t>AGIOS MYRON</w:t>
            </w:r>
          </w:p>
        </w:tc>
        <w:tc>
          <w:tcPr>
            <w:tcW w:w="1070" w:type="dxa"/>
          </w:tcPr>
          <w:p w14:paraId="297FD04B"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973" w:type="dxa"/>
            <w:hideMark/>
          </w:tcPr>
          <w:p w14:paraId="276695DA" w14:textId="77777777" w:rsidR="008940B3" w:rsidRPr="003B5C8D" w:rsidRDefault="008940B3" w:rsidP="00E858EF">
            <w:pPr>
              <w:suppressAutoHyphens/>
              <w:jc w:val="center"/>
              <w:rPr>
                <w:sz w:val="16"/>
                <w:szCs w:val="16"/>
              </w:rPr>
            </w:pPr>
          </w:p>
        </w:tc>
        <w:tc>
          <w:tcPr>
            <w:tcW w:w="739" w:type="dxa"/>
            <w:hideMark/>
          </w:tcPr>
          <w:p w14:paraId="258FA669" w14:textId="77777777" w:rsidR="008940B3" w:rsidRPr="003B5C8D" w:rsidRDefault="008940B3" w:rsidP="00E858EF">
            <w:pPr>
              <w:suppressAutoHyphens/>
              <w:jc w:val="center"/>
              <w:rPr>
                <w:sz w:val="16"/>
                <w:szCs w:val="16"/>
              </w:rPr>
            </w:pPr>
          </w:p>
        </w:tc>
        <w:tc>
          <w:tcPr>
            <w:tcW w:w="537" w:type="dxa"/>
          </w:tcPr>
          <w:p w14:paraId="12EFD84C" w14:textId="77777777" w:rsidR="008940B3" w:rsidRPr="003B5C8D" w:rsidRDefault="008940B3" w:rsidP="00E858EF">
            <w:pPr>
              <w:suppressAutoHyphens/>
              <w:jc w:val="center"/>
              <w:rPr>
                <w:sz w:val="16"/>
                <w:szCs w:val="16"/>
              </w:rPr>
            </w:pPr>
          </w:p>
        </w:tc>
        <w:tc>
          <w:tcPr>
            <w:tcW w:w="0" w:type="auto"/>
          </w:tcPr>
          <w:p w14:paraId="1649A065" w14:textId="77777777" w:rsidR="008940B3" w:rsidRPr="003B5C8D" w:rsidRDefault="008940B3" w:rsidP="00E858EF">
            <w:pPr>
              <w:suppressAutoHyphens/>
              <w:jc w:val="center"/>
              <w:rPr>
                <w:sz w:val="16"/>
                <w:szCs w:val="16"/>
              </w:rPr>
            </w:pPr>
          </w:p>
        </w:tc>
        <w:tc>
          <w:tcPr>
            <w:tcW w:w="0" w:type="auto"/>
          </w:tcPr>
          <w:p w14:paraId="219B12CB" w14:textId="77777777" w:rsidR="008940B3" w:rsidRPr="003B5C8D" w:rsidRDefault="008940B3" w:rsidP="00E858EF">
            <w:pPr>
              <w:suppressAutoHyphens/>
              <w:jc w:val="center"/>
              <w:rPr>
                <w:sz w:val="16"/>
                <w:szCs w:val="16"/>
              </w:rPr>
            </w:pPr>
          </w:p>
        </w:tc>
        <w:tc>
          <w:tcPr>
            <w:tcW w:w="0" w:type="auto"/>
          </w:tcPr>
          <w:p w14:paraId="552CAFE4" w14:textId="77777777" w:rsidR="008940B3" w:rsidRPr="003B5C8D" w:rsidRDefault="008940B3" w:rsidP="00E858EF">
            <w:pPr>
              <w:suppressAutoHyphens/>
              <w:jc w:val="center"/>
              <w:rPr>
                <w:sz w:val="16"/>
                <w:szCs w:val="16"/>
              </w:rPr>
            </w:pPr>
          </w:p>
        </w:tc>
        <w:tc>
          <w:tcPr>
            <w:tcW w:w="0" w:type="auto"/>
          </w:tcPr>
          <w:p w14:paraId="2E6495DF" w14:textId="77777777" w:rsidR="008940B3" w:rsidRPr="003B5C8D" w:rsidRDefault="008940B3" w:rsidP="00E858EF">
            <w:pPr>
              <w:suppressAutoHyphens/>
              <w:jc w:val="center"/>
              <w:rPr>
                <w:sz w:val="16"/>
                <w:szCs w:val="16"/>
              </w:rPr>
            </w:pPr>
          </w:p>
        </w:tc>
        <w:tc>
          <w:tcPr>
            <w:tcW w:w="293" w:type="dxa"/>
            <w:hideMark/>
          </w:tcPr>
          <w:p w14:paraId="63D64FE5" w14:textId="77777777" w:rsidR="008940B3" w:rsidRPr="003B5C8D" w:rsidRDefault="008940B3" w:rsidP="00E858EF">
            <w:pPr>
              <w:suppressAutoHyphens/>
              <w:jc w:val="center"/>
              <w:rPr>
                <w:sz w:val="16"/>
                <w:szCs w:val="16"/>
              </w:rPr>
            </w:pPr>
          </w:p>
        </w:tc>
      </w:tr>
      <w:tr w:rsidR="008940B3" w:rsidRPr="003B5C8D" w14:paraId="76F2A083" w14:textId="77777777" w:rsidTr="00363CE1">
        <w:trPr>
          <w:trHeight w:val="175"/>
        </w:trPr>
        <w:tc>
          <w:tcPr>
            <w:tcW w:w="2176" w:type="dxa"/>
          </w:tcPr>
          <w:p w14:paraId="0B6B4514" w14:textId="77777777" w:rsidR="008940B3" w:rsidRPr="003B5C8D" w:rsidRDefault="008940B3" w:rsidP="00E858EF">
            <w:pPr>
              <w:suppressAutoHyphens/>
              <w:jc w:val="left"/>
              <w:rPr>
                <w:rFonts w:eastAsia="Times New Roman"/>
                <w:sz w:val="16"/>
                <w:szCs w:val="16"/>
              </w:rPr>
            </w:pPr>
            <w:r>
              <w:rPr>
                <w:rFonts w:eastAsia="Times New Roman"/>
                <w:sz w:val="16"/>
                <w:szCs w:val="16"/>
              </w:rPr>
              <w:t>AGIA PELAGIA</w:t>
            </w:r>
          </w:p>
        </w:tc>
        <w:tc>
          <w:tcPr>
            <w:tcW w:w="1070" w:type="dxa"/>
          </w:tcPr>
          <w:p w14:paraId="2D45BD73" w14:textId="77777777" w:rsidR="008940B3" w:rsidRPr="003B5C8D" w:rsidRDefault="008940B3" w:rsidP="00E858EF">
            <w:pPr>
              <w:suppressAutoHyphens/>
              <w:jc w:val="center"/>
              <w:rPr>
                <w:rFonts w:ascii="Lucida Grande" w:hAnsi="Lucida Grande" w:cs="Lucida Grande"/>
                <w:color w:val="000000"/>
                <w:sz w:val="16"/>
                <w:szCs w:val="16"/>
              </w:rPr>
            </w:pPr>
            <w:r w:rsidRPr="003B5C8D">
              <w:rPr>
                <w:rFonts w:ascii="Lucida Grande" w:hAnsi="Lucida Grande" w:cs="Lucida Grande"/>
                <w:color w:val="000000"/>
                <w:sz w:val="16"/>
                <w:szCs w:val="16"/>
              </w:rPr>
              <w:t>✓</w:t>
            </w:r>
          </w:p>
        </w:tc>
        <w:tc>
          <w:tcPr>
            <w:tcW w:w="973" w:type="dxa"/>
          </w:tcPr>
          <w:p w14:paraId="6781AC8E" w14:textId="77777777" w:rsidR="008940B3" w:rsidRPr="003B5C8D" w:rsidRDefault="008940B3" w:rsidP="00E858EF">
            <w:pPr>
              <w:suppressAutoHyphens/>
              <w:jc w:val="center"/>
              <w:rPr>
                <w:sz w:val="16"/>
                <w:szCs w:val="16"/>
              </w:rPr>
            </w:pPr>
          </w:p>
        </w:tc>
        <w:tc>
          <w:tcPr>
            <w:tcW w:w="739" w:type="dxa"/>
          </w:tcPr>
          <w:p w14:paraId="74C5C43C" w14:textId="77777777" w:rsidR="008940B3" w:rsidRPr="003B5C8D" w:rsidRDefault="008940B3" w:rsidP="00E858EF">
            <w:pPr>
              <w:suppressAutoHyphens/>
              <w:jc w:val="center"/>
              <w:rPr>
                <w:rFonts w:ascii="Lucida Grande" w:hAnsi="Lucida Grande" w:cs="Lucida Grande"/>
                <w:color w:val="000000"/>
                <w:sz w:val="16"/>
                <w:szCs w:val="16"/>
              </w:rPr>
            </w:pPr>
          </w:p>
        </w:tc>
        <w:tc>
          <w:tcPr>
            <w:tcW w:w="537" w:type="dxa"/>
          </w:tcPr>
          <w:p w14:paraId="62062D47" w14:textId="77777777" w:rsidR="008940B3" w:rsidRPr="003B5C8D" w:rsidRDefault="008940B3" w:rsidP="00E858EF">
            <w:pPr>
              <w:suppressAutoHyphens/>
              <w:jc w:val="center"/>
              <w:rPr>
                <w:sz w:val="16"/>
                <w:szCs w:val="16"/>
              </w:rPr>
            </w:pPr>
          </w:p>
        </w:tc>
        <w:tc>
          <w:tcPr>
            <w:tcW w:w="0" w:type="auto"/>
          </w:tcPr>
          <w:p w14:paraId="2203E3D2" w14:textId="77777777" w:rsidR="008940B3" w:rsidRPr="003B5C8D" w:rsidRDefault="008940B3" w:rsidP="00E858EF">
            <w:pPr>
              <w:suppressAutoHyphens/>
              <w:jc w:val="center"/>
              <w:rPr>
                <w:sz w:val="16"/>
                <w:szCs w:val="16"/>
              </w:rPr>
            </w:pPr>
          </w:p>
        </w:tc>
        <w:tc>
          <w:tcPr>
            <w:tcW w:w="0" w:type="auto"/>
          </w:tcPr>
          <w:p w14:paraId="0A47BFC4" w14:textId="77777777" w:rsidR="008940B3" w:rsidRPr="003B5C8D" w:rsidRDefault="008940B3" w:rsidP="00E858EF">
            <w:pPr>
              <w:suppressAutoHyphens/>
              <w:jc w:val="center"/>
              <w:rPr>
                <w:sz w:val="16"/>
                <w:szCs w:val="16"/>
              </w:rPr>
            </w:pPr>
          </w:p>
        </w:tc>
        <w:tc>
          <w:tcPr>
            <w:tcW w:w="0" w:type="auto"/>
          </w:tcPr>
          <w:p w14:paraId="7D9478D3" w14:textId="77777777" w:rsidR="008940B3" w:rsidRPr="003B5C8D" w:rsidRDefault="008940B3" w:rsidP="00E858EF">
            <w:pPr>
              <w:suppressAutoHyphens/>
              <w:jc w:val="center"/>
              <w:rPr>
                <w:sz w:val="16"/>
                <w:szCs w:val="16"/>
              </w:rPr>
            </w:pPr>
          </w:p>
        </w:tc>
        <w:tc>
          <w:tcPr>
            <w:tcW w:w="0" w:type="auto"/>
          </w:tcPr>
          <w:p w14:paraId="43EC2074" w14:textId="77777777" w:rsidR="008940B3" w:rsidRPr="003B5C8D" w:rsidRDefault="008940B3" w:rsidP="00E858EF">
            <w:pPr>
              <w:suppressAutoHyphens/>
              <w:jc w:val="center"/>
              <w:rPr>
                <w:sz w:val="16"/>
                <w:szCs w:val="16"/>
              </w:rPr>
            </w:pPr>
          </w:p>
        </w:tc>
        <w:tc>
          <w:tcPr>
            <w:tcW w:w="293" w:type="dxa"/>
          </w:tcPr>
          <w:p w14:paraId="54A5C7E6" w14:textId="77777777" w:rsidR="008940B3" w:rsidRPr="003B5C8D" w:rsidRDefault="008940B3" w:rsidP="00E858EF">
            <w:pPr>
              <w:suppressAutoHyphens/>
              <w:jc w:val="center"/>
              <w:rPr>
                <w:sz w:val="16"/>
                <w:szCs w:val="16"/>
              </w:rPr>
            </w:pPr>
          </w:p>
        </w:tc>
      </w:tr>
      <w:tr w:rsidR="008940B3" w:rsidRPr="003B5C8D" w14:paraId="2CDD27B0" w14:textId="77777777" w:rsidTr="00363CE1">
        <w:trPr>
          <w:trHeight w:val="175"/>
        </w:trPr>
        <w:tc>
          <w:tcPr>
            <w:tcW w:w="2176" w:type="dxa"/>
          </w:tcPr>
          <w:p w14:paraId="5504B940" w14:textId="77777777" w:rsidR="008940B3" w:rsidRPr="003B5C8D" w:rsidRDefault="008940B3" w:rsidP="00E858EF">
            <w:pPr>
              <w:suppressAutoHyphens/>
              <w:jc w:val="left"/>
              <w:rPr>
                <w:color w:val="000000"/>
                <w:sz w:val="16"/>
                <w:szCs w:val="16"/>
              </w:rPr>
            </w:pPr>
            <w:r w:rsidRPr="003B5C8D">
              <w:rPr>
                <w:rFonts w:eastAsia="Times New Roman"/>
                <w:sz w:val="16"/>
                <w:szCs w:val="16"/>
              </w:rPr>
              <w:t>AGIOS SYLLAS</w:t>
            </w:r>
          </w:p>
        </w:tc>
        <w:tc>
          <w:tcPr>
            <w:tcW w:w="1070" w:type="dxa"/>
          </w:tcPr>
          <w:p w14:paraId="3143A93D"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hideMark/>
          </w:tcPr>
          <w:p w14:paraId="0BC04C99" w14:textId="77777777" w:rsidR="008940B3" w:rsidRPr="003B5C8D" w:rsidRDefault="008940B3" w:rsidP="00E858EF">
            <w:pPr>
              <w:suppressAutoHyphens/>
              <w:jc w:val="center"/>
              <w:rPr>
                <w:sz w:val="16"/>
                <w:szCs w:val="16"/>
              </w:rPr>
            </w:pPr>
          </w:p>
        </w:tc>
        <w:tc>
          <w:tcPr>
            <w:tcW w:w="739" w:type="dxa"/>
            <w:hideMark/>
          </w:tcPr>
          <w:p w14:paraId="6B474F57"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537" w:type="dxa"/>
          </w:tcPr>
          <w:p w14:paraId="29BB9A91" w14:textId="77777777" w:rsidR="008940B3" w:rsidRPr="003B5C8D" w:rsidRDefault="008940B3" w:rsidP="00E858EF">
            <w:pPr>
              <w:suppressAutoHyphens/>
              <w:jc w:val="center"/>
              <w:rPr>
                <w:sz w:val="16"/>
                <w:szCs w:val="16"/>
              </w:rPr>
            </w:pPr>
          </w:p>
        </w:tc>
        <w:tc>
          <w:tcPr>
            <w:tcW w:w="0" w:type="auto"/>
          </w:tcPr>
          <w:p w14:paraId="1D257E20" w14:textId="77777777" w:rsidR="008940B3" w:rsidRPr="003B5C8D" w:rsidRDefault="008940B3" w:rsidP="00E858EF">
            <w:pPr>
              <w:suppressAutoHyphens/>
              <w:jc w:val="center"/>
              <w:rPr>
                <w:sz w:val="16"/>
                <w:szCs w:val="16"/>
              </w:rPr>
            </w:pPr>
          </w:p>
        </w:tc>
        <w:tc>
          <w:tcPr>
            <w:tcW w:w="0" w:type="auto"/>
          </w:tcPr>
          <w:p w14:paraId="4264561C" w14:textId="77777777" w:rsidR="008940B3" w:rsidRPr="003B5C8D" w:rsidRDefault="008940B3" w:rsidP="00E858EF">
            <w:pPr>
              <w:suppressAutoHyphens/>
              <w:jc w:val="center"/>
              <w:rPr>
                <w:sz w:val="16"/>
                <w:szCs w:val="16"/>
              </w:rPr>
            </w:pPr>
          </w:p>
        </w:tc>
        <w:tc>
          <w:tcPr>
            <w:tcW w:w="0" w:type="auto"/>
          </w:tcPr>
          <w:p w14:paraId="1E484AC3" w14:textId="77777777" w:rsidR="008940B3" w:rsidRPr="003B5C8D" w:rsidRDefault="008940B3" w:rsidP="00E858EF">
            <w:pPr>
              <w:suppressAutoHyphens/>
              <w:jc w:val="center"/>
              <w:rPr>
                <w:sz w:val="16"/>
                <w:szCs w:val="16"/>
              </w:rPr>
            </w:pPr>
          </w:p>
        </w:tc>
        <w:tc>
          <w:tcPr>
            <w:tcW w:w="0" w:type="auto"/>
          </w:tcPr>
          <w:p w14:paraId="5668E578" w14:textId="77777777" w:rsidR="008940B3" w:rsidRPr="003B5C8D" w:rsidRDefault="008940B3" w:rsidP="00E858EF">
            <w:pPr>
              <w:suppressAutoHyphens/>
              <w:jc w:val="center"/>
              <w:rPr>
                <w:sz w:val="16"/>
                <w:szCs w:val="16"/>
              </w:rPr>
            </w:pPr>
          </w:p>
        </w:tc>
        <w:tc>
          <w:tcPr>
            <w:tcW w:w="293" w:type="dxa"/>
            <w:hideMark/>
          </w:tcPr>
          <w:p w14:paraId="11380324" w14:textId="77777777" w:rsidR="008940B3" w:rsidRPr="003B5C8D" w:rsidRDefault="008940B3" w:rsidP="00E858EF">
            <w:pPr>
              <w:suppressAutoHyphens/>
              <w:jc w:val="center"/>
              <w:rPr>
                <w:sz w:val="16"/>
                <w:szCs w:val="16"/>
              </w:rPr>
            </w:pPr>
          </w:p>
        </w:tc>
      </w:tr>
      <w:tr w:rsidR="008940B3" w:rsidRPr="003B5C8D" w14:paraId="20DCCE11" w14:textId="77777777" w:rsidTr="00363CE1">
        <w:trPr>
          <w:trHeight w:val="175"/>
        </w:trPr>
        <w:tc>
          <w:tcPr>
            <w:tcW w:w="2176" w:type="dxa"/>
          </w:tcPr>
          <w:p w14:paraId="3B4859D6" w14:textId="77777777" w:rsidR="008940B3" w:rsidRPr="003B5C8D" w:rsidRDefault="008940B3" w:rsidP="00E858EF">
            <w:pPr>
              <w:suppressAutoHyphens/>
              <w:jc w:val="left"/>
              <w:rPr>
                <w:color w:val="000000"/>
                <w:sz w:val="16"/>
                <w:szCs w:val="16"/>
              </w:rPr>
            </w:pPr>
            <w:r w:rsidRPr="003B5C8D">
              <w:rPr>
                <w:rFonts w:eastAsia="Times New Roman"/>
                <w:sz w:val="16"/>
                <w:szCs w:val="16"/>
              </w:rPr>
              <w:t>AMNISSOS KARTEROS</w:t>
            </w:r>
          </w:p>
        </w:tc>
        <w:tc>
          <w:tcPr>
            <w:tcW w:w="1070" w:type="dxa"/>
          </w:tcPr>
          <w:p w14:paraId="61AB4AD8"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973" w:type="dxa"/>
            <w:hideMark/>
          </w:tcPr>
          <w:p w14:paraId="03633416" w14:textId="77777777" w:rsidR="008940B3" w:rsidRPr="003B5C8D" w:rsidRDefault="008940B3" w:rsidP="00E858EF">
            <w:pPr>
              <w:suppressAutoHyphens/>
              <w:jc w:val="center"/>
              <w:rPr>
                <w:sz w:val="16"/>
                <w:szCs w:val="16"/>
              </w:rPr>
            </w:pPr>
          </w:p>
        </w:tc>
        <w:tc>
          <w:tcPr>
            <w:tcW w:w="739" w:type="dxa"/>
            <w:hideMark/>
          </w:tcPr>
          <w:p w14:paraId="0FD1EDE3" w14:textId="77777777" w:rsidR="008940B3" w:rsidRPr="003B5C8D" w:rsidRDefault="008940B3" w:rsidP="00E858EF">
            <w:pPr>
              <w:suppressAutoHyphens/>
              <w:jc w:val="center"/>
              <w:rPr>
                <w:sz w:val="16"/>
                <w:szCs w:val="16"/>
              </w:rPr>
            </w:pPr>
          </w:p>
        </w:tc>
        <w:tc>
          <w:tcPr>
            <w:tcW w:w="537" w:type="dxa"/>
          </w:tcPr>
          <w:p w14:paraId="039FD24B" w14:textId="77777777" w:rsidR="008940B3" w:rsidRPr="003B5C8D" w:rsidRDefault="008940B3" w:rsidP="00E858EF">
            <w:pPr>
              <w:suppressAutoHyphens/>
              <w:jc w:val="center"/>
              <w:rPr>
                <w:sz w:val="16"/>
                <w:szCs w:val="16"/>
              </w:rPr>
            </w:pPr>
          </w:p>
        </w:tc>
        <w:tc>
          <w:tcPr>
            <w:tcW w:w="0" w:type="auto"/>
          </w:tcPr>
          <w:p w14:paraId="25533CE6" w14:textId="77777777" w:rsidR="008940B3" w:rsidRPr="003B5C8D" w:rsidRDefault="008940B3" w:rsidP="00E858EF">
            <w:pPr>
              <w:suppressAutoHyphens/>
              <w:jc w:val="center"/>
              <w:rPr>
                <w:sz w:val="16"/>
                <w:szCs w:val="16"/>
              </w:rPr>
            </w:pPr>
          </w:p>
        </w:tc>
        <w:tc>
          <w:tcPr>
            <w:tcW w:w="0" w:type="auto"/>
          </w:tcPr>
          <w:p w14:paraId="0553F922" w14:textId="77777777" w:rsidR="008940B3" w:rsidRPr="003B5C8D" w:rsidRDefault="008940B3" w:rsidP="00E858EF">
            <w:pPr>
              <w:suppressAutoHyphens/>
              <w:jc w:val="center"/>
              <w:rPr>
                <w:sz w:val="16"/>
                <w:szCs w:val="16"/>
              </w:rPr>
            </w:pPr>
          </w:p>
        </w:tc>
        <w:tc>
          <w:tcPr>
            <w:tcW w:w="0" w:type="auto"/>
          </w:tcPr>
          <w:p w14:paraId="01893BF6" w14:textId="77777777" w:rsidR="008940B3" w:rsidRPr="003B5C8D" w:rsidRDefault="008940B3" w:rsidP="00E858EF">
            <w:pPr>
              <w:suppressAutoHyphens/>
              <w:jc w:val="center"/>
              <w:rPr>
                <w:sz w:val="16"/>
                <w:szCs w:val="16"/>
              </w:rPr>
            </w:pPr>
          </w:p>
        </w:tc>
        <w:tc>
          <w:tcPr>
            <w:tcW w:w="0" w:type="auto"/>
          </w:tcPr>
          <w:p w14:paraId="08CDFF19" w14:textId="77777777" w:rsidR="008940B3" w:rsidRPr="003B5C8D" w:rsidRDefault="008940B3" w:rsidP="00E858EF">
            <w:pPr>
              <w:suppressAutoHyphens/>
              <w:jc w:val="center"/>
              <w:rPr>
                <w:color w:val="000000"/>
                <w:sz w:val="16"/>
                <w:szCs w:val="16"/>
              </w:rPr>
            </w:pPr>
          </w:p>
        </w:tc>
        <w:tc>
          <w:tcPr>
            <w:tcW w:w="293" w:type="dxa"/>
            <w:hideMark/>
          </w:tcPr>
          <w:p w14:paraId="61C0146F" w14:textId="77777777" w:rsidR="008940B3" w:rsidRPr="003B5C8D" w:rsidRDefault="008940B3" w:rsidP="00E858EF">
            <w:pPr>
              <w:suppressAutoHyphens/>
              <w:jc w:val="center"/>
              <w:rPr>
                <w:sz w:val="16"/>
                <w:szCs w:val="16"/>
              </w:rPr>
            </w:pPr>
          </w:p>
        </w:tc>
      </w:tr>
      <w:tr w:rsidR="008940B3" w:rsidRPr="003B5C8D" w14:paraId="4CFD9047" w14:textId="77777777" w:rsidTr="00363CE1">
        <w:trPr>
          <w:trHeight w:val="175"/>
        </w:trPr>
        <w:tc>
          <w:tcPr>
            <w:tcW w:w="2176" w:type="dxa"/>
          </w:tcPr>
          <w:p w14:paraId="51DA14FA" w14:textId="77777777" w:rsidR="008940B3" w:rsidRPr="003B5C8D" w:rsidRDefault="008940B3" w:rsidP="00E858EF">
            <w:pPr>
              <w:suppressAutoHyphens/>
              <w:jc w:val="left"/>
              <w:rPr>
                <w:color w:val="000000"/>
                <w:sz w:val="16"/>
                <w:szCs w:val="16"/>
              </w:rPr>
            </w:pPr>
            <w:r w:rsidRPr="003B5C8D">
              <w:rPr>
                <w:rFonts w:eastAsia="Times New Roman"/>
                <w:sz w:val="16"/>
                <w:szCs w:val="16"/>
              </w:rPr>
              <w:t>ANO VATHIA</w:t>
            </w:r>
          </w:p>
        </w:tc>
        <w:tc>
          <w:tcPr>
            <w:tcW w:w="1070" w:type="dxa"/>
          </w:tcPr>
          <w:p w14:paraId="36639A81"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hideMark/>
          </w:tcPr>
          <w:p w14:paraId="262B1EFB"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739" w:type="dxa"/>
            <w:hideMark/>
          </w:tcPr>
          <w:p w14:paraId="5F504E09"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537" w:type="dxa"/>
          </w:tcPr>
          <w:p w14:paraId="26CE9AB8" w14:textId="77777777" w:rsidR="008940B3" w:rsidRPr="003B5C8D" w:rsidRDefault="008940B3" w:rsidP="00E858EF">
            <w:pPr>
              <w:suppressAutoHyphens/>
              <w:jc w:val="center"/>
              <w:rPr>
                <w:sz w:val="16"/>
                <w:szCs w:val="16"/>
              </w:rPr>
            </w:pPr>
          </w:p>
        </w:tc>
        <w:tc>
          <w:tcPr>
            <w:tcW w:w="0" w:type="auto"/>
          </w:tcPr>
          <w:p w14:paraId="5F124A73" w14:textId="77777777" w:rsidR="008940B3" w:rsidRPr="003B5C8D" w:rsidRDefault="008940B3" w:rsidP="00E858EF">
            <w:pPr>
              <w:suppressAutoHyphens/>
              <w:jc w:val="center"/>
              <w:rPr>
                <w:sz w:val="16"/>
                <w:szCs w:val="16"/>
              </w:rPr>
            </w:pPr>
          </w:p>
        </w:tc>
        <w:tc>
          <w:tcPr>
            <w:tcW w:w="0" w:type="auto"/>
          </w:tcPr>
          <w:p w14:paraId="5BBF142A" w14:textId="77777777" w:rsidR="008940B3" w:rsidRPr="003B5C8D" w:rsidRDefault="008940B3" w:rsidP="00E858EF">
            <w:pPr>
              <w:suppressAutoHyphens/>
              <w:jc w:val="center"/>
              <w:rPr>
                <w:sz w:val="16"/>
                <w:szCs w:val="16"/>
              </w:rPr>
            </w:pPr>
          </w:p>
        </w:tc>
        <w:tc>
          <w:tcPr>
            <w:tcW w:w="0" w:type="auto"/>
          </w:tcPr>
          <w:p w14:paraId="4C7568CC" w14:textId="77777777" w:rsidR="008940B3" w:rsidRPr="003B5C8D" w:rsidRDefault="008940B3" w:rsidP="00E858EF">
            <w:pPr>
              <w:suppressAutoHyphens/>
              <w:jc w:val="center"/>
              <w:rPr>
                <w:sz w:val="16"/>
                <w:szCs w:val="16"/>
              </w:rPr>
            </w:pPr>
          </w:p>
        </w:tc>
        <w:tc>
          <w:tcPr>
            <w:tcW w:w="0" w:type="auto"/>
          </w:tcPr>
          <w:p w14:paraId="4F423645" w14:textId="77777777" w:rsidR="008940B3" w:rsidRPr="003B5C8D" w:rsidRDefault="008940B3" w:rsidP="00E858EF">
            <w:pPr>
              <w:suppressAutoHyphens/>
              <w:jc w:val="center"/>
              <w:rPr>
                <w:sz w:val="16"/>
                <w:szCs w:val="16"/>
              </w:rPr>
            </w:pPr>
          </w:p>
        </w:tc>
        <w:tc>
          <w:tcPr>
            <w:tcW w:w="293" w:type="dxa"/>
            <w:hideMark/>
          </w:tcPr>
          <w:p w14:paraId="3A28DEF1" w14:textId="77777777" w:rsidR="008940B3" w:rsidRPr="003B5C8D" w:rsidRDefault="008940B3" w:rsidP="00E858EF">
            <w:pPr>
              <w:suppressAutoHyphens/>
              <w:jc w:val="center"/>
              <w:rPr>
                <w:sz w:val="16"/>
                <w:szCs w:val="16"/>
              </w:rPr>
            </w:pPr>
          </w:p>
        </w:tc>
      </w:tr>
      <w:tr w:rsidR="008940B3" w:rsidRPr="003B5C8D" w14:paraId="650C7F48" w14:textId="77777777" w:rsidTr="00363CE1">
        <w:trPr>
          <w:trHeight w:val="175"/>
        </w:trPr>
        <w:tc>
          <w:tcPr>
            <w:tcW w:w="2176" w:type="dxa"/>
          </w:tcPr>
          <w:p w14:paraId="3694CDA2" w14:textId="77777777" w:rsidR="008940B3" w:rsidRPr="003B5C8D" w:rsidRDefault="008940B3" w:rsidP="00E858EF">
            <w:pPr>
              <w:suppressAutoHyphens/>
              <w:jc w:val="left"/>
              <w:rPr>
                <w:color w:val="000000"/>
                <w:sz w:val="16"/>
                <w:szCs w:val="16"/>
              </w:rPr>
            </w:pPr>
            <w:r w:rsidRPr="003B5C8D">
              <w:rPr>
                <w:rFonts w:eastAsia="Times New Roman"/>
                <w:sz w:val="16"/>
                <w:szCs w:val="16"/>
              </w:rPr>
              <w:t>ANOPOLIS</w:t>
            </w:r>
          </w:p>
        </w:tc>
        <w:tc>
          <w:tcPr>
            <w:tcW w:w="1070" w:type="dxa"/>
          </w:tcPr>
          <w:p w14:paraId="05A19187"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hideMark/>
          </w:tcPr>
          <w:p w14:paraId="22589B12" w14:textId="77777777" w:rsidR="008940B3" w:rsidRPr="003B5C8D" w:rsidRDefault="008940B3" w:rsidP="00E858EF">
            <w:pPr>
              <w:suppressAutoHyphens/>
              <w:jc w:val="center"/>
              <w:rPr>
                <w:sz w:val="16"/>
                <w:szCs w:val="16"/>
              </w:rPr>
            </w:pPr>
          </w:p>
        </w:tc>
        <w:tc>
          <w:tcPr>
            <w:tcW w:w="739" w:type="dxa"/>
            <w:hideMark/>
          </w:tcPr>
          <w:p w14:paraId="3C41CFC4" w14:textId="77777777" w:rsidR="008940B3" w:rsidRPr="003B5C8D" w:rsidRDefault="008940B3" w:rsidP="00E858EF">
            <w:pPr>
              <w:suppressAutoHyphens/>
              <w:jc w:val="center"/>
              <w:rPr>
                <w:sz w:val="16"/>
                <w:szCs w:val="16"/>
              </w:rPr>
            </w:pPr>
          </w:p>
        </w:tc>
        <w:tc>
          <w:tcPr>
            <w:tcW w:w="537" w:type="dxa"/>
          </w:tcPr>
          <w:p w14:paraId="43CC5DF5"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0" w:type="auto"/>
          </w:tcPr>
          <w:p w14:paraId="123D4BFC" w14:textId="77777777" w:rsidR="008940B3" w:rsidRPr="003B5C8D" w:rsidRDefault="008940B3" w:rsidP="00E858EF">
            <w:pPr>
              <w:suppressAutoHyphens/>
              <w:jc w:val="center"/>
              <w:rPr>
                <w:sz w:val="16"/>
                <w:szCs w:val="16"/>
              </w:rPr>
            </w:pPr>
          </w:p>
        </w:tc>
        <w:tc>
          <w:tcPr>
            <w:tcW w:w="0" w:type="auto"/>
          </w:tcPr>
          <w:p w14:paraId="5498BD11" w14:textId="77777777" w:rsidR="008940B3" w:rsidRPr="003B5C8D" w:rsidRDefault="008940B3" w:rsidP="00E858EF">
            <w:pPr>
              <w:suppressAutoHyphens/>
              <w:jc w:val="center"/>
              <w:rPr>
                <w:sz w:val="16"/>
                <w:szCs w:val="16"/>
              </w:rPr>
            </w:pPr>
          </w:p>
        </w:tc>
        <w:tc>
          <w:tcPr>
            <w:tcW w:w="0" w:type="auto"/>
          </w:tcPr>
          <w:p w14:paraId="029A09B3" w14:textId="77777777" w:rsidR="008940B3" w:rsidRPr="003B5C8D" w:rsidRDefault="008940B3" w:rsidP="00E858EF">
            <w:pPr>
              <w:suppressAutoHyphens/>
              <w:jc w:val="center"/>
              <w:rPr>
                <w:sz w:val="16"/>
                <w:szCs w:val="16"/>
              </w:rPr>
            </w:pPr>
          </w:p>
        </w:tc>
        <w:tc>
          <w:tcPr>
            <w:tcW w:w="0" w:type="auto"/>
          </w:tcPr>
          <w:p w14:paraId="6A72C74E" w14:textId="77777777" w:rsidR="008940B3" w:rsidRPr="003B5C8D" w:rsidRDefault="008940B3" w:rsidP="00E858EF">
            <w:pPr>
              <w:suppressAutoHyphens/>
              <w:jc w:val="center"/>
              <w:rPr>
                <w:sz w:val="16"/>
                <w:szCs w:val="16"/>
              </w:rPr>
            </w:pPr>
          </w:p>
        </w:tc>
        <w:tc>
          <w:tcPr>
            <w:tcW w:w="293" w:type="dxa"/>
            <w:hideMark/>
          </w:tcPr>
          <w:p w14:paraId="5054ECC7" w14:textId="77777777" w:rsidR="008940B3" w:rsidRPr="003B5C8D" w:rsidRDefault="008940B3" w:rsidP="00E858EF">
            <w:pPr>
              <w:suppressAutoHyphens/>
              <w:jc w:val="center"/>
              <w:rPr>
                <w:sz w:val="16"/>
                <w:szCs w:val="16"/>
              </w:rPr>
            </w:pPr>
          </w:p>
        </w:tc>
      </w:tr>
      <w:tr w:rsidR="008940B3" w:rsidRPr="003B5C8D" w14:paraId="4A92AD4D" w14:textId="77777777" w:rsidTr="00363CE1">
        <w:trPr>
          <w:trHeight w:val="175"/>
        </w:trPr>
        <w:tc>
          <w:tcPr>
            <w:tcW w:w="2176" w:type="dxa"/>
          </w:tcPr>
          <w:p w14:paraId="2B7BEA10" w14:textId="77777777" w:rsidR="008940B3" w:rsidRPr="003B5C8D" w:rsidRDefault="008940B3" w:rsidP="00E858EF">
            <w:pPr>
              <w:suppressAutoHyphens/>
              <w:jc w:val="left"/>
              <w:rPr>
                <w:color w:val="000000"/>
                <w:sz w:val="16"/>
                <w:szCs w:val="16"/>
              </w:rPr>
            </w:pPr>
            <w:r w:rsidRPr="003B5C8D">
              <w:rPr>
                <w:rFonts w:eastAsia="Times New Roman"/>
                <w:sz w:val="16"/>
                <w:szCs w:val="16"/>
              </w:rPr>
              <w:t>ARCHANES ANIPHOROS</w:t>
            </w:r>
          </w:p>
        </w:tc>
        <w:tc>
          <w:tcPr>
            <w:tcW w:w="1070" w:type="dxa"/>
          </w:tcPr>
          <w:p w14:paraId="4BCF39C9"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hideMark/>
          </w:tcPr>
          <w:p w14:paraId="67E8A2EB" w14:textId="77777777" w:rsidR="008940B3" w:rsidRPr="003B5C8D" w:rsidRDefault="008940B3" w:rsidP="00E858EF">
            <w:pPr>
              <w:suppressAutoHyphens/>
              <w:jc w:val="center"/>
              <w:rPr>
                <w:sz w:val="16"/>
                <w:szCs w:val="16"/>
              </w:rPr>
            </w:pPr>
          </w:p>
        </w:tc>
        <w:tc>
          <w:tcPr>
            <w:tcW w:w="739" w:type="dxa"/>
            <w:hideMark/>
          </w:tcPr>
          <w:p w14:paraId="62BEF579" w14:textId="77777777" w:rsidR="008940B3" w:rsidRPr="003B5C8D" w:rsidRDefault="008940B3" w:rsidP="00E858EF">
            <w:pPr>
              <w:suppressAutoHyphens/>
              <w:jc w:val="center"/>
              <w:rPr>
                <w:sz w:val="16"/>
                <w:szCs w:val="16"/>
              </w:rPr>
            </w:pPr>
          </w:p>
        </w:tc>
        <w:tc>
          <w:tcPr>
            <w:tcW w:w="537" w:type="dxa"/>
          </w:tcPr>
          <w:p w14:paraId="52DC1692"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0" w:type="auto"/>
          </w:tcPr>
          <w:p w14:paraId="605AC34B" w14:textId="77777777" w:rsidR="008940B3" w:rsidRPr="003B5C8D" w:rsidRDefault="008940B3" w:rsidP="00E858EF">
            <w:pPr>
              <w:suppressAutoHyphens/>
              <w:jc w:val="center"/>
              <w:rPr>
                <w:sz w:val="16"/>
                <w:szCs w:val="16"/>
              </w:rPr>
            </w:pPr>
          </w:p>
        </w:tc>
        <w:tc>
          <w:tcPr>
            <w:tcW w:w="0" w:type="auto"/>
          </w:tcPr>
          <w:p w14:paraId="1502EF70" w14:textId="77777777" w:rsidR="008940B3" w:rsidRPr="003B5C8D" w:rsidRDefault="008940B3" w:rsidP="00E858EF">
            <w:pPr>
              <w:suppressAutoHyphens/>
              <w:jc w:val="center"/>
              <w:rPr>
                <w:sz w:val="16"/>
                <w:szCs w:val="16"/>
              </w:rPr>
            </w:pPr>
          </w:p>
        </w:tc>
        <w:tc>
          <w:tcPr>
            <w:tcW w:w="0" w:type="auto"/>
          </w:tcPr>
          <w:p w14:paraId="2CA85156" w14:textId="77777777" w:rsidR="008940B3" w:rsidRPr="003B5C8D" w:rsidRDefault="008940B3" w:rsidP="00E858EF">
            <w:pPr>
              <w:suppressAutoHyphens/>
              <w:jc w:val="center"/>
              <w:rPr>
                <w:sz w:val="16"/>
                <w:szCs w:val="16"/>
              </w:rPr>
            </w:pPr>
          </w:p>
        </w:tc>
        <w:tc>
          <w:tcPr>
            <w:tcW w:w="0" w:type="auto"/>
          </w:tcPr>
          <w:p w14:paraId="50452C2E" w14:textId="77777777" w:rsidR="008940B3" w:rsidRPr="003B5C8D" w:rsidRDefault="008940B3" w:rsidP="00E858EF">
            <w:pPr>
              <w:suppressAutoHyphens/>
              <w:jc w:val="center"/>
              <w:rPr>
                <w:sz w:val="16"/>
                <w:szCs w:val="16"/>
              </w:rPr>
            </w:pPr>
          </w:p>
        </w:tc>
        <w:tc>
          <w:tcPr>
            <w:tcW w:w="293" w:type="dxa"/>
            <w:hideMark/>
          </w:tcPr>
          <w:p w14:paraId="08BCB5AF" w14:textId="77777777" w:rsidR="008940B3" w:rsidRPr="003B5C8D" w:rsidRDefault="008940B3" w:rsidP="00E858EF">
            <w:pPr>
              <w:suppressAutoHyphens/>
              <w:jc w:val="center"/>
              <w:rPr>
                <w:sz w:val="16"/>
                <w:szCs w:val="16"/>
              </w:rPr>
            </w:pPr>
          </w:p>
        </w:tc>
      </w:tr>
      <w:tr w:rsidR="008940B3" w:rsidRPr="003B5C8D" w14:paraId="62CD71D1" w14:textId="77777777" w:rsidTr="00363CE1">
        <w:trPr>
          <w:trHeight w:val="175"/>
        </w:trPr>
        <w:tc>
          <w:tcPr>
            <w:tcW w:w="2176" w:type="dxa"/>
          </w:tcPr>
          <w:p w14:paraId="780F3BAF" w14:textId="77777777" w:rsidR="008940B3" w:rsidRPr="003B5C8D" w:rsidRDefault="008940B3" w:rsidP="00E858EF">
            <w:pPr>
              <w:suppressAutoHyphens/>
              <w:jc w:val="left"/>
              <w:rPr>
                <w:sz w:val="16"/>
                <w:szCs w:val="16"/>
              </w:rPr>
            </w:pPr>
            <w:r w:rsidRPr="003B5C8D">
              <w:rPr>
                <w:rFonts w:eastAsia="Times New Roman"/>
                <w:sz w:val="16"/>
                <w:szCs w:val="16"/>
              </w:rPr>
              <w:t>ARCHANES KATSOPRINIAS</w:t>
            </w:r>
          </w:p>
        </w:tc>
        <w:tc>
          <w:tcPr>
            <w:tcW w:w="1070" w:type="dxa"/>
          </w:tcPr>
          <w:p w14:paraId="7B71AB2C"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973" w:type="dxa"/>
            <w:hideMark/>
          </w:tcPr>
          <w:p w14:paraId="52C0A7E7" w14:textId="77777777" w:rsidR="008940B3" w:rsidRPr="003B5C8D" w:rsidRDefault="008940B3" w:rsidP="00E858EF">
            <w:pPr>
              <w:suppressAutoHyphens/>
              <w:jc w:val="center"/>
              <w:rPr>
                <w:sz w:val="16"/>
                <w:szCs w:val="16"/>
              </w:rPr>
            </w:pPr>
          </w:p>
        </w:tc>
        <w:tc>
          <w:tcPr>
            <w:tcW w:w="739" w:type="dxa"/>
            <w:hideMark/>
          </w:tcPr>
          <w:p w14:paraId="43F61891" w14:textId="77777777" w:rsidR="008940B3" w:rsidRPr="003B5C8D" w:rsidRDefault="008940B3" w:rsidP="00E858EF">
            <w:pPr>
              <w:suppressAutoHyphens/>
              <w:jc w:val="center"/>
              <w:rPr>
                <w:sz w:val="16"/>
                <w:szCs w:val="16"/>
              </w:rPr>
            </w:pPr>
          </w:p>
        </w:tc>
        <w:tc>
          <w:tcPr>
            <w:tcW w:w="537" w:type="dxa"/>
          </w:tcPr>
          <w:p w14:paraId="53194FBC" w14:textId="77777777" w:rsidR="008940B3" w:rsidRPr="003B5C8D" w:rsidRDefault="008940B3" w:rsidP="00E858EF">
            <w:pPr>
              <w:suppressAutoHyphens/>
              <w:jc w:val="center"/>
              <w:rPr>
                <w:sz w:val="16"/>
                <w:szCs w:val="16"/>
              </w:rPr>
            </w:pPr>
          </w:p>
        </w:tc>
        <w:tc>
          <w:tcPr>
            <w:tcW w:w="0" w:type="auto"/>
          </w:tcPr>
          <w:p w14:paraId="0D14D011" w14:textId="77777777" w:rsidR="008940B3" w:rsidRPr="003B5C8D" w:rsidRDefault="008940B3" w:rsidP="00E858EF">
            <w:pPr>
              <w:suppressAutoHyphens/>
              <w:jc w:val="center"/>
              <w:rPr>
                <w:sz w:val="16"/>
                <w:szCs w:val="16"/>
              </w:rPr>
            </w:pPr>
          </w:p>
        </w:tc>
        <w:tc>
          <w:tcPr>
            <w:tcW w:w="0" w:type="auto"/>
          </w:tcPr>
          <w:p w14:paraId="727EDDCF" w14:textId="77777777" w:rsidR="008940B3" w:rsidRPr="003B5C8D" w:rsidRDefault="008940B3" w:rsidP="00E858EF">
            <w:pPr>
              <w:suppressAutoHyphens/>
              <w:jc w:val="center"/>
              <w:rPr>
                <w:sz w:val="16"/>
                <w:szCs w:val="16"/>
              </w:rPr>
            </w:pPr>
          </w:p>
        </w:tc>
        <w:tc>
          <w:tcPr>
            <w:tcW w:w="0" w:type="auto"/>
          </w:tcPr>
          <w:p w14:paraId="081052E7" w14:textId="77777777" w:rsidR="008940B3" w:rsidRPr="003B5C8D" w:rsidRDefault="008940B3" w:rsidP="00E858EF">
            <w:pPr>
              <w:suppressAutoHyphens/>
              <w:jc w:val="center"/>
              <w:rPr>
                <w:sz w:val="16"/>
                <w:szCs w:val="16"/>
              </w:rPr>
            </w:pPr>
          </w:p>
        </w:tc>
        <w:tc>
          <w:tcPr>
            <w:tcW w:w="0" w:type="auto"/>
          </w:tcPr>
          <w:p w14:paraId="75490F67" w14:textId="77777777" w:rsidR="008940B3" w:rsidRPr="003B5C8D" w:rsidRDefault="008940B3" w:rsidP="00E858EF">
            <w:pPr>
              <w:suppressAutoHyphens/>
              <w:jc w:val="center"/>
              <w:rPr>
                <w:sz w:val="16"/>
                <w:szCs w:val="16"/>
              </w:rPr>
            </w:pPr>
          </w:p>
        </w:tc>
        <w:tc>
          <w:tcPr>
            <w:tcW w:w="293" w:type="dxa"/>
            <w:hideMark/>
          </w:tcPr>
          <w:p w14:paraId="0EE0D80F"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r>
      <w:tr w:rsidR="008940B3" w:rsidRPr="003B5C8D" w14:paraId="7B74DC53" w14:textId="77777777" w:rsidTr="00363CE1">
        <w:trPr>
          <w:trHeight w:val="175"/>
        </w:trPr>
        <w:tc>
          <w:tcPr>
            <w:tcW w:w="2176" w:type="dxa"/>
          </w:tcPr>
          <w:p w14:paraId="7E944BDE" w14:textId="77777777" w:rsidR="008940B3" w:rsidRPr="003B5C8D" w:rsidRDefault="008940B3" w:rsidP="00E858EF">
            <w:pPr>
              <w:suppressAutoHyphens/>
              <w:jc w:val="left"/>
              <w:rPr>
                <w:sz w:val="16"/>
                <w:szCs w:val="16"/>
              </w:rPr>
            </w:pPr>
            <w:r w:rsidRPr="003B5C8D">
              <w:rPr>
                <w:rFonts w:eastAsia="Times New Roman"/>
                <w:sz w:val="16"/>
                <w:szCs w:val="16"/>
              </w:rPr>
              <w:t>ARCHANES MESAMPELA</w:t>
            </w:r>
          </w:p>
        </w:tc>
        <w:tc>
          <w:tcPr>
            <w:tcW w:w="1070" w:type="dxa"/>
          </w:tcPr>
          <w:p w14:paraId="1A2F87E6"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2C7D4CF6" w14:textId="77777777" w:rsidR="008940B3" w:rsidRPr="003B5C8D" w:rsidRDefault="008940B3" w:rsidP="00E858EF">
            <w:pPr>
              <w:suppressAutoHyphens/>
              <w:jc w:val="center"/>
              <w:rPr>
                <w:sz w:val="16"/>
                <w:szCs w:val="16"/>
              </w:rPr>
            </w:pPr>
          </w:p>
        </w:tc>
        <w:tc>
          <w:tcPr>
            <w:tcW w:w="739" w:type="dxa"/>
          </w:tcPr>
          <w:p w14:paraId="5DFE3B01" w14:textId="77777777" w:rsidR="008940B3" w:rsidRPr="003B5C8D" w:rsidRDefault="008940B3" w:rsidP="00E858EF">
            <w:pPr>
              <w:suppressAutoHyphens/>
              <w:jc w:val="center"/>
              <w:rPr>
                <w:sz w:val="16"/>
                <w:szCs w:val="16"/>
              </w:rPr>
            </w:pPr>
          </w:p>
        </w:tc>
        <w:tc>
          <w:tcPr>
            <w:tcW w:w="537" w:type="dxa"/>
          </w:tcPr>
          <w:p w14:paraId="7D2A73B2" w14:textId="77777777" w:rsidR="008940B3" w:rsidRPr="003B5C8D" w:rsidRDefault="008940B3" w:rsidP="00E858EF">
            <w:pPr>
              <w:suppressAutoHyphens/>
              <w:jc w:val="center"/>
              <w:rPr>
                <w:sz w:val="16"/>
                <w:szCs w:val="16"/>
              </w:rPr>
            </w:pPr>
          </w:p>
        </w:tc>
        <w:tc>
          <w:tcPr>
            <w:tcW w:w="0" w:type="auto"/>
          </w:tcPr>
          <w:p w14:paraId="60A567CD" w14:textId="77777777" w:rsidR="008940B3" w:rsidRPr="003B5C8D" w:rsidRDefault="008940B3" w:rsidP="00E858EF">
            <w:pPr>
              <w:suppressAutoHyphens/>
              <w:jc w:val="center"/>
              <w:rPr>
                <w:sz w:val="16"/>
                <w:szCs w:val="16"/>
              </w:rPr>
            </w:pPr>
          </w:p>
        </w:tc>
        <w:tc>
          <w:tcPr>
            <w:tcW w:w="0" w:type="auto"/>
          </w:tcPr>
          <w:p w14:paraId="448C124B" w14:textId="77777777" w:rsidR="008940B3" w:rsidRPr="003B5C8D" w:rsidRDefault="008940B3" w:rsidP="00E858EF">
            <w:pPr>
              <w:suppressAutoHyphens/>
              <w:jc w:val="center"/>
              <w:rPr>
                <w:sz w:val="16"/>
                <w:szCs w:val="16"/>
              </w:rPr>
            </w:pPr>
          </w:p>
        </w:tc>
        <w:tc>
          <w:tcPr>
            <w:tcW w:w="0" w:type="auto"/>
          </w:tcPr>
          <w:p w14:paraId="4CA69386" w14:textId="77777777" w:rsidR="008940B3" w:rsidRPr="003B5C8D" w:rsidRDefault="008940B3" w:rsidP="00E858EF">
            <w:pPr>
              <w:suppressAutoHyphens/>
              <w:jc w:val="center"/>
              <w:rPr>
                <w:sz w:val="16"/>
                <w:szCs w:val="16"/>
              </w:rPr>
            </w:pPr>
          </w:p>
        </w:tc>
        <w:tc>
          <w:tcPr>
            <w:tcW w:w="0" w:type="auto"/>
          </w:tcPr>
          <w:p w14:paraId="2D765213" w14:textId="77777777" w:rsidR="008940B3" w:rsidRPr="003B5C8D" w:rsidRDefault="008940B3" w:rsidP="00E858EF">
            <w:pPr>
              <w:suppressAutoHyphens/>
              <w:jc w:val="center"/>
              <w:rPr>
                <w:color w:val="000000"/>
                <w:sz w:val="16"/>
                <w:szCs w:val="16"/>
              </w:rPr>
            </w:pPr>
          </w:p>
        </w:tc>
        <w:tc>
          <w:tcPr>
            <w:tcW w:w="293" w:type="dxa"/>
          </w:tcPr>
          <w:p w14:paraId="2F3766F0" w14:textId="77777777" w:rsidR="008940B3" w:rsidRPr="003B5C8D" w:rsidRDefault="008940B3" w:rsidP="00E858EF">
            <w:pPr>
              <w:suppressAutoHyphens/>
              <w:jc w:val="center"/>
              <w:rPr>
                <w:sz w:val="16"/>
                <w:szCs w:val="16"/>
              </w:rPr>
            </w:pPr>
          </w:p>
        </w:tc>
      </w:tr>
      <w:tr w:rsidR="008940B3" w:rsidRPr="003B5C8D" w14:paraId="4B694DE4" w14:textId="77777777" w:rsidTr="00363CE1">
        <w:trPr>
          <w:trHeight w:val="175"/>
        </w:trPr>
        <w:tc>
          <w:tcPr>
            <w:tcW w:w="2176" w:type="dxa"/>
          </w:tcPr>
          <w:p w14:paraId="4D3565DF" w14:textId="77777777" w:rsidR="008940B3" w:rsidRPr="003B5C8D" w:rsidRDefault="008940B3" w:rsidP="00E858EF">
            <w:pPr>
              <w:suppressAutoHyphens/>
              <w:jc w:val="left"/>
              <w:rPr>
                <w:sz w:val="16"/>
                <w:szCs w:val="16"/>
              </w:rPr>
            </w:pPr>
            <w:r w:rsidRPr="003B5C8D">
              <w:rPr>
                <w:rFonts w:eastAsia="Times New Roman"/>
                <w:sz w:val="16"/>
                <w:szCs w:val="16"/>
              </w:rPr>
              <w:t>ARCHANES PHOURNI</w:t>
            </w:r>
          </w:p>
        </w:tc>
        <w:tc>
          <w:tcPr>
            <w:tcW w:w="1070" w:type="dxa"/>
          </w:tcPr>
          <w:p w14:paraId="1491F075"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r w:rsidRPr="003B5C8D">
              <w:rPr>
                <w:color w:val="000000"/>
                <w:sz w:val="16"/>
                <w:szCs w:val="16"/>
              </w:rPr>
              <w:t xml:space="preserve"> LARNAKES IN PIT</w:t>
            </w:r>
          </w:p>
        </w:tc>
        <w:tc>
          <w:tcPr>
            <w:tcW w:w="973" w:type="dxa"/>
          </w:tcPr>
          <w:p w14:paraId="3DC2872E" w14:textId="77777777" w:rsidR="008940B3" w:rsidRPr="003B5C8D" w:rsidRDefault="008940B3" w:rsidP="00E858EF">
            <w:pPr>
              <w:suppressAutoHyphens/>
              <w:jc w:val="center"/>
              <w:rPr>
                <w:sz w:val="16"/>
                <w:szCs w:val="16"/>
              </w:rPr>
            </w:pPr>
          </w:p>
        </w:tc>
        <w:tc>
          <w:tcPr>
            <w:tcW w:w="739" w:type="dxa"/>
          </w:tcPr>
          <w:p w14:paraId="6AC8BEE8"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537" w:type="dxa"/>
          </w:tcPr>
          <w:p w14:paraId="3250CA43" w14:textId="77777777" w:rsidR="008940B3" w:rsidRPr="003B5C8D" w:rsidRDefault="008940B3" w:rsidP="00E858EF">
            <w:pPr>
              <w:suppressAutoHyphens/>
              <w:jc w:val="center"/>
              <w:rPr>
                <w:sz w:val="16"/>
                <w:szCs w:val="16"/>
              </w:rPr>
            </w:pPr>
          </w:p>
        </w:tc>
        <w:tc>
          <w:tcPr>
            <w:tcW w:w="0" w:type="auto"/>
          </w:tcPr>
          <w:p w14:paraId="606C291B" w14:textId="77777777" w:rsidR="008940B3" w:rsidRPr="003B5C8D" w:rsidRDefault="008940B3" w:rsidP="00E858EF">
            <w:pPr>
              <w:suppressAutoHyphens/>
              <w:jc w:val="center"/>
              <w:rPr>
                <w:sz w:val="16"/>
                <w:szCs w:val="16"/>
              </w:rPr>
            </w:pPr>
          </w:p>
        </w:tc>
        <w:tc>
          <w:tcPr>
            <w:tcW w:w="0" w:type="auto"/>
          </w:tcPr>
          <w:p w14:paraId="3071D690" w14:textId="77777777" w:rsidR="008940B3" w:rsidRPr="003B5C8D" w:rsidRDefault="008940B3" w:rsidP="00E858EF">
            <w:pPr>
              <w:suppressAutoHyphens/>
              <w:jc w:val="center"/>
              <w:rPr>
                <w:sz w:val="16"/>
                <w:szCs w:val="16"/>
              </w:rPr>
            </w:pPr>
          </w:p>
        </w:tc>
        <w:tc>
          <w:tcPr>
            <w:tcW w:w="0" w:type="auto"/>
          </w:tcPr>
          <w:p w14:paraId="1A411F6B" w14:textId="77777777" w:rsidR="008940B3" w:rsidRPr="003B5C8D" w:rsidRDefault="008940B3" w:rsidP="00E858EF">
            <w:pPr>
              <w:suppressAutoHyphens/>
              <w:jc w:val="center"/>
              <w:rPr>
                <w:sz w:val="16"/>
                <w:szCs w:val="16"/>
              </w:rPr>
            </w:pPr>
          </w:p>
        </w:tc>
        <w:tc>
          <w:tcPr>
            <w:tcW w:w="0" w:type="auto"/>
          </w:tcPr>
          <w:p w14:paraId="4F5EFBD3" w14:textId="77777777" w:rsidR="008940B3" w:rsidRPr="003B5C8D" w:rsidRDefault="008940B3" w:rsidP="00E858EF">
            <w:pPr>
              <w:suppressAutoHyphens/>
              <w:jc w:val="center"/>
              <w:rPr>
                <w:sz w:val="16"/>
                <w:szCs w:val="16"/>
              </w:rPr>
            </w:pPr>
          </w:p>
        </w:tc>
        <w:tc>
          <w:tcPr>
            <w:tcW w:w="293" w:type="dxa"/>
          </w:tcPr>
          <w:p w14:paraId="09EFB116"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r>
      <w:tr w:rsidR="008940B3" w:rsidRPr="003B5C8D" w14:paraId="77A39207" w14:textId="77777777" w:rsidTr="00363CE1">
        <w:trPr>
          <w:trHeight w:val="175"/>
        </w:trPr>
        <w:tc>
          <w:tcPr>
            <w:tcW w:w="2176" w:type="dxa"/>
          </w:tcPr>
          <w:p w14:paraId="21DE06D0" w14:textId="77777777" w:rsidR="008940B3" w:rsidRPr="003B5C8D" w:rsidRDefault="008940B3" w:rsidP="00E858EF">
            <w:pPr>
              <w:suppressAutoHyphens/>
              <w:jc w:val="left"/>
              <w:rPr>
                <w:rFonts w:eastAsia="Times New Roman"/>
                <w:color w:val="000000"/>
                <w:sz w:val="16"/>
                <w:szCs w:val="16"/>
              </w:rPr>
            </w:pPr>
            <w:r w:rsidRPr="003B5C8D">
              <w:rPr>
                <w:rFonts w:eastAsia="Times New Roman"/>
                <w:sz w:val="16"/>
                <w:szCs w:val="16"/>
              </w:rPr>
              <w:t>ARKALOCHORI</w:t>
            </w:r>
          </w:p>
        </w:tc>
        <w:tc>
          <w:tcPr>
            <w:tcW w:w="1070" w:type="dxa"/>
          </w:tcPr>
          <w:p w14:paraId="5DB80B04"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788B6DCB" w14:textId="77777777" w:rsidR="008940B3" w:rsidRPr="003B5C8D" w:rsidRDefault="008940B3" w:rsidP="00E858EF">
            <w:pPr>
              <w:suppressAutoHyphens/>
              <w:jc w:val="center"/>
              <w:rPr>
                <w:sz w:val="16"/>
                <w:szCs w:val="16"/>
              </w:rPr>
            </w:pPr>
          </w:p>
        </w:tc>
        <w:tc>
          <w:tcPr>
            <w:tcW w:w="739" w:type="dxa"/>
          </w:tcPr>
          <w:p w14:paraId="180000AE" w14:textId="77777777" w:rsidR="008940B3" w:rsidRPr="003B5C8D" w:rsidRDefault="008940B3" w:rsidP="00E858EF">
            <w:pPr>
              <w:suppressAutoHyphens/>
              <w:jc w:val="center"/>
              <w:rPr>
                <w:sz w:val="16"/>
                <w:szCs w:val="16"/>
              </w:rPr>
            </w:pPr>
          </w:p>
        </w:tc>
        <w:tc>
          <w:tcPr>
            <w:tcW w:w="537" w:type="dxa"/>
          </w:tcPr>
          <w:p w14:paraId="5326D778" w14:textId="77777777" w:rsidR="008940B3" w:rsidRPr="003B5C8D" w:rsidRDefault="008940B3" w:rsidP="00E858EF">
            <w:pPr>
              <w:suppressAutoHyphens/>
              <w:jc w:val="center"/>
              <w:rPr>
                <w:sz w:val="16"/>
                <w:szCs w:val="16"/>
              </w:rPr>
            </w:pPr>
          </w:p>
        </w:tc>
        <w:tc>
          <w:tcPr>
            <w:tcW w:w="0" w:type="auto"/>
          </w:tcPr>
          <w:p w14:paraId="142502A5" w14:textId="77777777" w:rsidR="008940B3" w:rsidRPr="003B5C8D" w:rsidRDefault="008940B3" w:rsidP="00E858EF">
            <w:pPr>
              <w:suppressAutoHyphens/>
              <w:jc w:val="center"/>
              <w:rPr>
                <w:sz w:val="16"/>
                <w:szCs w:val="16"/>
              </w:rPr>
            </w:pPr>
          </w:p>
        </w:tc>
        <w:tc>
          <w:tcPr>
            <w:tcW w:w="0" w:type="auto"/>
          </w:tcPr>
          <w:p w14:paraId="6AE32491" w14:textId="77777777" w:rsidR="008940B3" w:rsidRPr="003B5C8D" w:rsidRDefault="008940B3" w:rsidP="00E858EF">
            <w:pPr>
              <w:suppressAutoHyphens/>
              <w:jc w:val="center"/>
              <w:rPr>
                <w:sz w:val="16"/>
                <w:szCs w:val="16"/>
              </w:rPr>
            </w:pPr>
          </w:p>
        </w:tc>
        <w:tc>
          <w:tcPr>
            <w:tcW w:w="0" w:type="auto"/>
          </w:tcPr>
          <w:p w14:paraId="26FECA76" w14:textId="77777777" w:rsidR="008940B3" w:rsidRPr="003B5C8D" w:rsidRDefault="008940B3" w:rsidP="00E858EF">
            <w:pPr>
              <w:suppressAutoHyphens/>
              <w:jc w:val="center"/>
              <w:rPr>
                <w:sz w:val="16"/>
                <w:szCs w:val="16"/>
              </w:rPr>
            </w:pPr>
          </w:p>
        </w:tc>
        <w:tc>
          <w:tcPr>
            <w:tcW w:w="0" w:type="auto"/>
          </w:tcPr>
          <w:p w14:paraId="17A9C70B" w14:textId="77777777" w:rsidR="008940B3" w:rsidRPr="003B5C8D" w:rsidRDefault="008940B3" w:rsidP="00E858EF">
            <w:pPr>
              <w:suppressAutoHyphens/>
              <w:jc w:val="center"/>
              <w:rPr>
                <w:sz w:val="16"/>
                <w:szCs w:val="16"/>
              </w:rPr>
            </w:pPr>
          </w:p>
        </w:tc>
        <w:tc>
          <w:tcPr>
            <w:tcW w:w="293" w:type="dxa"/>
          </w:tcPr>
          <w:p w14:paraId="6745B0FC" w14:textId="77777777" w:rsidR="008940B3" w:rsidRPr="003B5C8D" w:rsidRDefault="008940B3" w:rsidP="00E858EF">
            <w:pPr>
              <w:suppressAutoHyphens/>
              <w:jc w:val="center"/>
              <w:rPr>
                <w:sz w:val="16"/>
                <w:szCs w:val="16"/>
              </w:rPr>
            </w:pPr>
          </w:p>
        </w:tc>
      </w:tr>
      <w:tr w:rsidR="008940B3" w:rsidRPr="003B5C8D" w14:paraId="66F64C81" w14:textId="77777777" w:rsidTr="00363CE1">
        <w:trPr>
          <w:trHeight w:val="175"/>
        </w:trPr>
        <w:tc>
          <w:tcPr>
            <w:tcW w:w="2176" w:type="dxa"/>
          </w:tcPr>
          <w:p w14:paraId="5926189E" w14:textId="77777777" w:rsidR="008940B3" w:rsidRPr="003B5C8D" w:rsidRDefault="008940B3" w:rsidP="00E858EF">
            <w:pPr>
              <w:suppressAutoHyphens/>
              <w:jc w:val="left"/>
              <w:rPr>
                <w:rFonts w:eastAsia="Times New Roman"/>
                <w:color w:val="000000"/>
                <w:sz w:val="16"/>
                <w:szCs w:val="16"/>
              </w:rPr>
            </w:pPr>
            <w:r w:rsidRPr="003B5C8D">
              <w:rPr>
                <w:rFonts w:eastAsia="Times New Roman"/>
                <w:sz w:val="16"/>
                <w:szCs w:val="16"/>
              </w:rPr>
              <w:t>ARTSA</w:t>
            </w:r>
          </w:p>
        </w:tc>
        <w:tc>
          <w:tcPr>
            <w:tcW w:w="1070" w:type="dxa"/>
          </w:tcPr>
          <w:p w14:paraId="258B4BD4"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6BE8C31A" w14:textId="77777777" w:rsidR="008940B3" w:rsidRPr="003B5C8D" w:rsidRDefault="008940B3" w:rsidP="00E858EF">
            <w:pPr>
              <w:suppressAutoHyphens/>
              <w:jc w:val="center"/>
              <w:rPr>
                <w:sz w:val="16"/>
                <w:szCs w:val="16"/>
              </w:rPr>
            </w:pPr>
          </w:p>
        </w:tc>
        <w:tc>
          <w:tcPr>
            <w:tcW w:w="739" w:type="dxa"/>
          </w:tcPr>
          <w:p w14:paraId="5B91BA66"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537" w:type="dxa"/>
          </w:tcPr>
          <w:p w14:paraId="00A8C1EF" w14:textId="77777777" w:rsidR="008940B3" w:rsidRPr="003B5C8D" w:rsidRDefault="008940B3" w:rsidP="00E858EF">
            <w:pPr>
              <w:suppressAutoHyphens/>
              <w:jc w:val="center"/>
              <w:rPr>
                <w:sz w:val="16"/>
                <w:szCs w:val="16"/>
              </w:rPr>
            </w:pPr>
          </w:p>
        </w:tc>
        <w:tc>
          <w:tcPr>
            <w:tcW w:w="0" w:type="auto"/>
          </w:tcPr>
          <w:p w14:paraId="6524B05C" w14:textId="77777777" w:rsidR="008940B3" w:rsidRPr="003B5C8D" w:rsidRDefault="008940B3" w:rsidP="00E858EF">
            <w:pPr>
              <w:suppressAutoHyphens/>
              <w:jc w:val="center"/>
              <w:rPr>
                <w:sz w:val="16"/>
                <w:szCs w:val="16"/>
              </w:rPr>
            </w:pPr>
          </w:p>
        </w:tc>
        <w:tc>
          <w:tcPr>
            <w:tcW w:w="0" w:type="auto"/>
          </w:tcPr>
          <w:p w14:paraId="4B8E9EA7" w14:textId="77777777" w:rsidR="008940B3" w:rsidRPr="003B5C8D" w:rsidRDefault="008940B3" w:rsidP="00E858EF">
            <w:pPr>
              <w:suppressAutoHyphens/>
              <w:jc w:val="center"/>
              <w:rPr>
                <w:sz w:val="16"/>
                <w:szCs w:val="16"/>
              </w:rPr>
            </w:pPr>
          </w:p>
        </w:tc>
        <w:tc>
          <w:tcPr>
            <w:tcW w:w="0" w:type="auto"/>
          </w:tcPr>
          <w:p w14:paraId="39693AD2" w14:textId="77777777" w:rsidR="008940B3" w:rsidRPr="003B5C8D" w:rsidRDefault="008940B3" w:rsidP="00E858EF">
            <w:pPr>
              <w:suppressAutoHyphens/>
              <w:jc w:val="center"/>
              <w:rPr>
                <w:sz w:val="16"/>
                <w:szCs w:val="16"/>
              </w:rPr>
            </w:pPr>
          </w:p>
        </w:tc>
        <w:tc>
          <w:tcPr>
            <w:tcW w:w="0" w:type="auto"/>
          </w:tcPr>
          <w:p w14:paraId="15024F14" w14:textId="77777777" w:rsidR="008940B3" w:rsidRPr="003B5C8D" w:rsidRDefault="008940B3" w:rsidP="00E858EF">
            <w:pPr>
              <w:suppressAutoHyphens/>
              <w:jc w:val="center"/>
              <w:rPr>
                <w:sz w:val="16"/>
                <w:szCs w:val="16"/>
              </w:rPr>
            </w:pPr>
          </w:p>
        </w:tc>
        <w:tc>
          <w:tcPr>
            <w:tcW w:w="293" w:type="dxa"/>
          </w:tcPr>
          <w:p w14:paraId="14A05C01" w14:textId="77777777" w:rsidR="008940B3" w:rsidRPr="003B5C8D" w:rsidRDefault="008940B3" w:rsidP="00E858EF">
            <w:pPr>
              <w:suppressAutoHyphens/>
              <w:jc w:val="center"/>
              <w:rPr>
                <w:sz w:val="16"/>
                <w:szCs w:val="16"/>
              </w:rPr>
            </w:pPr>
          </w:p>
        </w:tc>
      </w:tr>
      <w:tr w:rsidR="008940B3" w:rsidRPr="003B5C8D" w14:paraId="4669F5A9" w14:textId="77777777" w:rsidTr="00363CE1">
        <w:trPr>
          <w:trHeight w:val="175"/>
        </w:trPr>
        <w:tc>
          <w:tcPr>
            <w:tcW w:w="2176" w:type="dxa"/>
          </w:tcPr>
          <w:p w14:paraId="11E1EF45" w14:textId="77777777" w:rsidR="008940B3" w:rsidRPr="003B5C8D" w:rsidRDefault="008940B3" w:rsidP="00E858EF">
            <w:pPr>
              <w:suppressAutoHyphens/>
              <w:jc w:val="left"/>
              <w:rPr>
                <w:rFonts w:eastAsia="Times New Roman"/>
                <w:color w:val="000000"/>
                <w:sz w:val="16"/>
                <w:szCs w:val="16"/>
              </w:rPr>
            </w:pPr>
            <w:r w:rsidRPr="003B5C8D">
              <w:rPr>
                <w:rFonts w:eastAsia="Times New Roman"/>
                <w:sz w:val="16"/>
                <w:szCs w:val="16"/>
              </w:rPr>
              <w:t>ATHANATOI POTAMOS</w:t>
            </w:r>
          </w:p>
        </w:tc>
        <w:tc>
          <w:tcPr>
            <w:tcW w:w="1070" w:type="dxa"/>
          </w:tcPr>
          <w:p w14:paraId="23A4EDF4"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094972D9"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739" w:type="dxa"/>
          </w:tcPr>
          <w:p w14:paraId="61C7B410" w14:textId="77777777" w:rsidR="008940B3" w:rsidRPr="003B5C8D" w:rsidRDefault="008940B3" w:rsidP="00E858EF">
            <w:pPr>
              <w:suppressAutoHyphens/>
              <w:jc w:val="center"/>
              <w:rPr>
                <w:sz w:val="16"/>
                <w:szCs w:val="16"/>
              </w:rPr>
            </w:pPr>
          </w:p>
        </w:tc>
        <w:tc>
          <w:tcPr>
            <w:tcW w:w="537" w:type="dxa"/>
          </w:tcPr>
          <w:p w14:paraId="4553C3B9" w14:textId="77777777" w:rsidR="008940B3" w:rsidRPr="003B5C8D" w:rsidRDefault="008940B3" w:rsidP="00E858EF">
            <w:pPr>
              <w:suppressAutoHyphens/>
              <w:jc w:val="center"/>
              <w:rPr>
                <w:sz w:val="16"/>
                <w:szCs w:val="16"/>
              </w:rPr>
            </w:pPr>
          </w:p>
        </w:tc>
        <w:tc>
          <w:tcPr>
            <w:tcW w:w="0" w:type="auto"/>
          </w:tcPr>
          <w:p w14:paraId="398857FD" w14:textId="77777777" w:rsidR="008940B3" w:rsidRPr="003B5C8D" w:rsidRDefault="008940B3" w:rsidP="00E858EF">
            <w:pPr>
              <w:suppressAutoHyphens/>
              <w:jc w:val="center"/>
              <w:rPr>
                <w:sz w:val="16"/>
                <w:szCs w:val="16"/>
              </w:rPr>
            </w:pPr>
          </w:p>
        </w:tc>
        <w:tc>
          <w:tcPr>
            <w:tcW w:w="0" w:type="auto"/>
          </w:tcPr>
          <w:p w14:paraId="3EA45F33" w14:textId="77777777" w:rsidR="008940B3" w:rsidRPr="003B5C8D" w:rsidRDefault="008940B3" w:rsidP="00E858EF">
            <w:pPr>
              <w:suppressAutoHyphens/>
              <w:jc w:val="center"/>
              <w:rPr>
                <w:sz w:val="16"/>
                <w:szCs w:val="16"/>
              </w:rPr>
            </w:pPr>
          </w:p>
        </w:tc>
        <w:tc>
          <w:tcPr>
            <w:tcW w:w="0" w:type="auto"/>
          </w:tcPr>
          <w:p w14:paraId="42E4FCA5" w14:textId="77777777" w:rsidR="008940B3" w:rsidRPr="003B5C8D" w:rsidRDefault="008940B3" w:rsidP="00E858EF">
            <w:pPr>
              <w:suppressAutoHyphens/>
              <w:jc w:val="center"/>
              <w:rPr>
                <w:sz w:val="16"/>
                <w:szCs w:val="16"/>
              </w:rPr>
            </w:pPr>
          </w:p>
        </w:tc>
        <w:tc>
          <w:tcPr>
            <w:tcW w:w="0" w:type="auto"/>
          </w:tcPr>
          <w:p w14:paraId="65BD2CF7" w14:textId="77777777" w:rsidR="008940B3" w:rsidRPr="003B5C8D" w:rsidRDefault="008940B3" w:rsidP="00E858EF">
            <w:pPr>
              <w:suppressAutoHyphens/>
              <w:jc w:val="center"/>
              <w:rPr>
                <w:sz w:val="16"/>
                <w:szCs w:val="16"/>
              </w:rPr>
            </w:pPr>
          </w:p>
        </w:tc>
        <w:tc>
          <w:tcPr>
            <w:tcW w:w="293" w:type="dxa"/>
          </w:tcPr>
          <w:p w14:paraId="2572F692" w14:textId="77777777" w:rsidR="008940B3" w:rsidRPr="003B5C8D" w:rsidRDefault="008940B3" w:rsidP="00E858EF">
            <w:pPr>
              <w:suppressAutoHyphens/>
              <w:jc w:val="center"/>
              <w:rPr>
                <w:sz w:val="16"/>
                <w:szCs w:val="16"/>
              </w:rPr>
            </w:pPr>
          </w:p>
        </w:tc>
      </w:tr>
      <w:tr w:rsidR="008940B3" w:rsidRPr="003B5C8D" w14:paraId="74E95D57" w14:textId="77777777" w:rsidTr="00363CE1">
        <w:trPr>
          <w:trHeight w:val="175"/>
        </w:trPr>
        <w:tc>
          <w:tcPr>
            <w:tcW w:w="2176" w:type="dxa"/>
          </w:tcPr>
          <w:p w14:paraId="6A023E31" w14:textId="77777777" w:rsidR="008940B3" w:rsidRPr="003B5C8D" w:rsidRDefault="008940B3" w:rsidP="00E858EF">
            <w:pPr>
              <w:suppressAutoHyphens/>
              <w:jc w:val="left"/>
              <w:rPr>
                <w:rFonts w:eastAsia="Times New Roman"/>
                <w:color w:val="000000"/>
                <w:sz w:val="16"/>
                <w:szCs w:val="16"/>
              </w:rPr>
            </w:pPr>
            <w:r w:rsidRPr="003B5C8D">
              <w:rPr>
                <w:rFonts w:eastAsia="Times New Roman"/>
                <w:sz w:val="16"/>
                <w:szCs w:val="16"/>
              </w:rPr>
              <w:t>DAMANIA</w:t>
            </w:r>
          </w:p>
        </w:tc>
        <w:tc>
          <w:tcPr>
            <w:tcW w:w="1070" w:type="dxa"/>
          </w:tcPr>
          <w:p w14:paraId="7318C9EB"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190740B2" w14:textId="77777777" w:rsidR="008940B3" w:rsidRPr="003B5C8D" w:rsidRDefault="008940B3" w:rsidP="00E858EF">
            <w:pPr>
              <w:suppressAutoHyphens/>
              <w:jc w:val="center"/>
              <w:rPr>
                <w:sz w:val="16"/>
                <w:szCs w:val="16"/>
              </w:rPr>
            </w:pPr>
          </w:p>
        </w:tc>
        <w:tc>
          <w:tcPr>
            <w:tcW w:w="739" w:type="dxa"/>
          </w:tcPr>
          <w:p w14:paraId="4649BE1C" w14:textId="77777777" w:rsidR="008940B3" w:rsidRPr="003B5C8D" w:rsidRDefault="008940B3" w:rsidP="00E858EF">
            <w:pPr>
              <w:suppressAutoHyphens/>
              <w:jc w:val="center"/>
              <w:rPr>
                <w:color w:val="000000"/>
                <w:sz w:val="16"/>
                <w:szCs w:val="16"/>
              </w:rPr>
            </w:pPr>
          </w:p>
        </w:tc>
        <w:tc>
          <w:tcPr>
            <w:tcW w:w="537" w:type="dxa"/>
          </w:tcPr>
          <w:p w14:paraId="160F2306" w14:textId="77777777" w:rsidR="008940B3" w:rsidRPr="003B5C8D" w:rsidRDefault="008940B3" w:rsidP="00E858EF">
            <w:pPr>
              <w:suppressAutoHyphens/>
              <w:jc w:val="center"/>
              <w:rPr>
                <w:sz w:val="16"/>
                <w:szCs w:val="16"/>
              </w:rPr>
            </w:pPr>
          </w:p>
        </w:tc>
        <w:tc>
          <w:tcPr>
            <w:tcW w:w="0" w:type="auto"/>
          </w:tcPr>
          <w:p w14:paraId="5DBF5167" w14:textId="77777777" w:rsidR="008940B3" w:rsidRPr="003B5C8D" w:rsidRDefault="008940B3" w:rsidP="00E858EF">
            <w:pPr>
              <w:suppressAutoHyphens/>
              <w:jc w:val="center"/>
              <w:rPr>
                <w:sz w:val="16"/>
                <w:szCs w:val="16"/>
              </w:rPr>
            </w:pPr>
          </w:p>
        </w:tc>
        <w:tc>
          <w:tcPr>
            <w:tcW w:w="0" w:type="auto"/>
          </w:tcPr>
          <w:p w14:paraId="0FA2CD6A" w14:textId="77777777" w:rsidR="008940B3" w:rsidRPr="003B5C8D" w:rsidRDefault="008940B3" w:rsidP="00E858EF">
            <w:pPr>
              <w:suppressAutoHyphens/>
              <w:jc w:val="center"/>
              <w:rPr>
                <w:sz w:val="16"/>
                <w:szCs w:val="16"/>
              </w:rPr>
            </w:pPr>
          </w:p>
        </w:tc>
        <w:tc>
          <w:tcPr>
            <w:tcW w:w="0" w:type="auto"/>
          </w:tcPr>
          <w:p w14:paraId="73AF0BAF" w14:textId="77777777" w:rsidR="008940B3" w:rsidRPr="003B5C8D" w:rsidRDefault="008940B3" w:rsidP="00E858EF">
            <w:pPr>
              <w:suppressAutoHyphens/>
              <w:jc w:val="center"/>
              <w:rPr>
                <w:sz w:val="16"/>
                <w:szCs w:val="16"/>
              </w:rPr>
            </w:pPr>
          </w:p>
        </w:tc>
        <w:tc>
          <w:tcPr>
            <w:tcW w:w="0" w:type="auto"/>
          </w:tcPr>
          <w:p w14:paraId="1D6030E9" w14:textId="77777777" w:rsidR="008940B3" w:rsidRPr="003B5C8D" w:rsidRDefault="008940B3" w:rsidP="00E858EF">
            <w:pPr>
              <w:suppressAutoHyphens/>
              <w:jc w:val="center"/>
              <w:rPr>
                <w:sz w:val="16"/>
                <w:szCs w:val="16"/>
              </w:rPr>
            </w:pPr>
          </w:p>
        </w:tc>
        <w:tc>
          <w:tcPr>
            <w:tcW w:w="293" w:type="dxa"/>
          </w:tcPr>
          <w:p w14:paraId="0E4129B2" w14:textId="77777777" w:rsidR="008940B3" w:rsidRPr="003B5C8D" w:rsidRDefault="008940B3" w:rsidP="00E858EF">
            <w:pPr>
              <w:suppressAutoHyphens/>
              <w:jc w:val="center"/>
              <w:rPr>
                <w:color w:val="000000"/>
                <w:sz w:val="16"/>
                <w:szCs w:val="16"/>
              </w:rPr>
            </w:pPr>
          </w:p>
        </w:tc>
      </w:tr>
      <w:tr w:rsidR="008940B3" w:rsidRPr="003B5C8D" w14:paraId="5B736381" w14:textId="77777777" w:rsidTr="00363CE1">
        <w:trPr>
          <w:trHeight w:val="175"/>
        </w:trPr>
        <w:tc>
          <w:tcPr>
            <w:tcW w:w="2176" w:type="dxa"/>
          </w:tcPr>
          <w:p w14:paraId="37AEBDFB" w14:textId="77777777" w:rsidR="008940B3" w:rsidRPr="003B5C8D" w:rsidRDefault="008940B3" w:rsidP="00E858EF">
            <w:pPr>
              <w:suppressAutoHyphens/>
              <w:jc w:val="left"/>
              <w:rPr>
                <w:rFonts w:eastAsia="Times New Roman"/>
                <w:color w:val="000000"/>
                <w:sz w:val="16"/>
                <w:szCs w:val="16"/>
              </w:rPr>
            </w:pPr>
            <w:r w:rsidRPr="003B5C8D">
              <w:rPr>
                <w:rFonts w:eastAsia="Times New Roman"/>
                <w:sz w:val="16"/>
                <w:szCs w:val="16"/>
              </w:rPr>
              <w:t>EPISKOPI PEDIADA</w:t>
            </w:r>
          </w:p>
        </w:tc>
        <w:tc>
          <w:tcPr>
            <w:tcW w:w="1070" w:type="dxa"/>
          </w:tcPr>
          <w:p w14:paraId="45BB04E6"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r w:rsidRPr="003B5C8D">
              <w:rPr>
                <w:color w:val="000000"/>
                <w:sz w:val="16"/>
                <w:szCs w:val="16"/>
              </w:rPr>
              <w:t xml:space="preserve"> LARNAKES IN PIT</w:t>
            </w:r>
          </w:p>
        </w:tc>
        <w:tc>
          <w:tcPr>
            <w:tcW w:w="973" w:type="dxa"/>
          </w:tcPr>
          <w:p w14:paraId="32B7C6AB" w14:textId="77777777" w:rsidR="008940B3" w:rsidRPr="003B5C8D" w:rsidRDefault="008940B3" w:rsidP="00E858EF">
            <w:pPr>
              <w:suppressAutoHyphens/>
              <w:jc w:val="center"/>
              <w:rPr>
                <w:sz w:val="16"/>
                <w:szCs w:val="16"/>
              </w:rPr>
            </w:pPr>
          </w:p>
        </w:tc>
        <w:tc>
          <w:tcPr>
            <w:tcW w:w="739" w:type="dxa"/>
          </w:tcPr>
          <w:p w14:paraId="4F4D632A"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537" w:type="dxa"/>
          </w:tcPr>
          <w:p w14:paraId="66E22250"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0" w:type="auto"/>
          </w:tcPr>
          <w:p w14:paraId="0C4B5206" w14:textId="77777777" w:rsidR="008940B3" w:rsidRPr="003B5C8D" w:rsidRDefault="008940B3" w:rsidP="00E858EF">
            <w:pPr>
              <w:suppressAutoHyphens/>
              <w:jc w:val="center"/>
              <w:rPr>
                <w:sz w:val="16"/>
                <w:szCs w:val="16"/>
              </w:rPr>
            </w:pPr>
          </w:p>
        </w:tc>
        <w:tc>
          <w:tcPr>
            <w:tcW w:w="0" w:type="auto"/>
          </w:tcPr>
          <w:p w14:paraId="4096666E" w14:textId="77777777" w:rsidR="008940B3" w:rsidRPr="003B5C8D" w:rsidRDefault="008940B3" w:rsidP="00E858EF">
            <w:pPr>
              <w:suppressAutoHyphens/>
              <w:jc w:val="center"/>
              <w:rPr>
                <w:sz w:val="16"/>
                <w:szCs w:val="16"/>
              </w:rPr>
            </w:pPr>
          </w:p>
        </w:tc>
        <w:tc>
          <w:tcPr>
            <w:tcW w:w="0" w:type="auto"/>
          </w:tcPr>
          <w:p w14:paraId="64E450EB" w14:textId="77777777" w:rsidR="008940B3" w:rsidRPr="003B5C8D" w:rsidRDefault="008940B3" w:rsidP="00E858EF">
            <w:pPr>
              <w:suppressAutoHyphens/>
              <w:jc w:val="center"/>
              <w:rPr>
                <w:sz w:val="16"/>
                <w:szCs w:val="16"/>
              </w:rPr>
            </w:pPr>
          </w:p>
        </w:tc>
        <w:tc>
          <w:tcPr>
            <w:tcW w:w="0" w:type="auto"/>
          </w:tcPr>
          <w:p w14:paraId="260121BD" w14:textId="77777777" w:rsidR="008940B3" w:rsidRPr="003B5C8D" w:rsidRDefault="008940B3" w:rsidP="00E858EF">
            <w:pPr>
              <w:suppressAutoHyphens/>
              <w:jc w:val="center"/>
              <w:rPr>
                <w:sz w:val="16"/>
                <w:szCs w:val="16"/>
              </w:rPr>
            </w:pPr>
          </w:p>
        </w:tc>
        <w:tc>
          <w:tcPr>
            <w:tcW w:w="293" w:type="dxa"/>
          </w:tcPr>
          <w:p w14:paraId="14780563" w14:textId="77777777" w:rsidR="008940B3" w:rsidRPr="003B5C8D" w:rsidRDefault="008940B3" w:rsidP="00E858EF">
            <w:pPr>
              <w:suppressAutoHyphens/>
              <w:jc w:val="center"/>
              <w:rPr>
                <w:sz w:val="16"/>
                <w:szCs w:val="16"/>
              </w:rPr>
            </w:pPr>
          </w:p>
        </w:tc>
      </w:tr>
      <w:tr w:rsidR="008940B3" w:rsidRPr="003B5C8D" w14:paraId="5E42CDF1" w14:textId="77777777" w:rsidTr="00363CE1">
        <w:trPr>
          <w:trHeight w:val="175"/>
        </w:trPr>
        <w:tc>
          <w:tcPr>
            <w:tcW w:w="2176" w:type="dxa"/>
          </w:tcPr>
          <w:p w14:paraId="74BD4312" w14:textId="77777777" w:rsidR="008940B3" w:rsidRPr="003B5C8D" w:rsidRDefault="008940B3" w:rsidP="00E858EF">
            <w:pPr>
              <w:suppressAutoHyphens/>
              <w:jc w:val="left"/>
              <w:rPr>
                <w:rFonts w:eastAsia="Times New Roman"/>
                <w:color w:val="000000"/>
                <w:sz w:val="16"/>
                <w:szCs w:val="16"/>
              </w:rPr>
            </w:pPr>
            <w:r w:rsidRPr="003B5C8D">
              <w:rPr>
                <w:rFonts w:eastAsia="Times New Roman"/>
                <w:sz w:val="16"/>
                <w:szCs w:val="16"/>
              </w:rPr>
              <w:t>GAZI</w:t>
            </w:r>
          </w:p>
        </w:tc>
        <w:tc>
          <w:tcPr>
            <w:tcW w:w="1070" w:type="dxa"/>
          </w:tcPr>
          <w:p w14:paraId="1BC3095F"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244B307E" w14:textId="77777777" w:rsidR="008940B3" w:rsidRPr="003B5C8D" w:rsidRDefault="008940B3" w:rsidP="00E858EF">
            <w:pPr>
              <w:suppressAutoHyphens/>
              <w:jc w:val="center"/>
              <w:rPr>
                <w:sz w:val="16"/>
                <w:szCs w:val="16"/>
              </w:rPr>
            </w:pPr>
          </w:p>
        </w:tc>
        <w:tc>
          <w:tcPr>
            <w:tcW w:w="739" w:type="dxa"/>
          </w:tcPr>
          <w:p w14:paraId="73902757" w14:textId="77777777" w:rsidR="008940B3" w:rsidRPr="003B5C8D" w:rsidRDefault="008940B3" w:rsidP="00E858EF">
            <w:pPr>
              <w:suppressAutoHyphens/>
              <w:jc w:val="center"/>
              <w:rPr>
                <w:sz w:val="16"/>
                <w:szCs w:val="16"/>
              </w:rPr>
            </w:pPr>
          </w:p>
        </w:tc>
        <w:tc>
          <w:tcPr>
            <w:tcW w:w="537" w:type="dxa"/>
          </w:tcPr>
          <w:p w14:paraId="7C421F13" w14:textId="77777777" w:rsidR="008940B3" w:rsidRPr="003B5C8D" w:rsidRDefault="008940B3" w:rsidP="00E858EF">
            <w:pPr>
              <w:suppressAutoHyphens/>
              <w:jc w:val="center"/>
              <w:rPr>
                <w:sz w:val="16"/>
                <w:szCs w:val="16"/>
              </w:rPr>
            </w:pPr>
          </w:p>
        </w:tc>
        <w:tc>
          <w:tcPr>
            <w:tcW w:w="0" w:type="auto"/>
          </w:tcPr>
          <w:p w14:paraId="0FAF2074" w14:textId="77777777" w:rsidR="008940B3" w:rsidRPr="003B5C8D" w:rsidRDefault="008940B3" w:rsidP="00E858EF">
            <w:pPr>
              <w:suppressAutoHyphens/>
              <w:jc w:val="center"/>
              <w:rPr>
                <w:sz w:val="16"/>
                <w:szCs w:val="16"/>
              </w:rPr>
            </w:pPr>
          </w:p>
        </w:tc>
        <w:tc>
          <w:tcPr>
            <w:tcW w:w="0" w:type="auto"/>
          </w:tcPr>
          <w:p w14:paraId="4C7CC20E" w14:textId="77777777" w:rsidR="008940B3" w:rsidRPr="003B5C8D" w:rsidRDefault="008940B3" w:rsidP="00E858EF">
            <w:pPr>
              <w:suppressAutoHyphens/>
              <w:jc w:val="center"/>
              <w:rPr>
                <w:sz w:val="16"/>
                <w:szCs w:val="16"/>
              </w:rPr>
            </w:pPr>
          </w:p>
        </w:tc>
        <w:tc>
          <w:tcPr>
            <w:tcW w:w="0" w:type="auto"/>
          </w:tcPr>
          <w:p w14:paraId="692D6A9A"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0" w:type="auto"/>
          </w:tcPr>
          <w:p w14:paraId="0E5F75C8" w14:textId="77777777" w:rsidR="008940B3" w:rsidRPr="003B5C8D" w:rsidRDefault="008940B3" w:rsidP="00E858EF">
            <w:pPr>
              <w:suppressAutoHyphens/>
              <w:jc w:val="center"/>
              <w:rPr>
                <w:sz w:val="16"/>
                <w:szCs w:val="16"/>
              </w:rPr>
            </w:pPr>
          </w:p>
        </w:tc>
        <w:tc>
          <w:tcPr>
            <w:tcW w:w="293" w:type="dxa"/>
          </w:tcPr>
          <w:p w14:paraId="7F363957" w14:textId="77777777" w:rsidR="008940B3" w:rsidRPr="003B5C8D" w:rsidRDefault="008940B3" w:rsidP="00E858EF">
            <w:pPr>
              <w:suppressAutoHyphens/>
              <w:jc w:val="center"/>
              <w:rPr>
                <w:sz w:val="16"/>
                <w:szCs w:val="16"/>
              </w:rPr>
            </w:pPr>
          </w:p>
        </w:tc>
      </w:tr>
      <w:tr w:rsidR="008940B3" w:rsidRPr="003B5C8D" w14:paraId="57E28B04" w14:textId="77777777" w:rsidTr="00363CE1">
        <w:trPr>
          <w:trHeight w:val="175"/>
        </w:trPr>
        <w:tc>
          <w:tcPr>
            <w:tcW w:w="2176" w:type="dxa"/>
          </w:tcPr>
          <w:p w14:paraId="43E382D2" w14:textId="77777777" w:rsidR="008940B3" w:rsidRPr="003B5C8D" w:rsidRDefault="008940B3" w:rsidP="00E858EF">
            <w:pPr>
              <w:suppressAutoHyphens/>
              <w:jc w:val="left"/>
              <w:rPr>
                <w:rFonts w:eastAsia="Times New Roman"/>
                <w:color w:val="000000"/>
                <w:sz w:val="16"/>
                <w:szCs w:val="16"/>
              </w:rPr>
            </w:pPr>
            <w:r w:rsidRPr="003B5C8D">
              <w:rPr>
                <w:rFonts w:eastAsia="Times New Roman"/>
                <w:sz w:val="16"/>
                <w:szCs w:val="16"/>
              </w:rPr>
              <w:t>GIOPHYRAKIA</w:t>
            </w:r>
          </w:p>
        </w:tc>
        <w:tc>
          <w:tcPr>
            <w:tcW w:w="1070" w:type="dxa"/>
          </w:tcPr>
          <w:p w14:paraId="0A1E9E30"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53A7607E" w14:textId="77777777" w:rsidR="008940B3" w:rsidRPr="003B5C8D" w:rsidRDefault="008940B3" w:rsidP="00E858EF">
            <w:pPr>
              <w:suppressAutoHyphens/>
              <w:jc w:val="center"/>
              <w:rPr>
                <w:sz w:val="16"/>
                <w:szCs w:val="16"/>
              </w:rPr>
            </w:pPr>
          </w:p>
        </w:tc>
        <w:tc>
          <w:tcPr>
            <w:tcW w:w="739" w:type="dxa"/>
          </w:tcPr>
          <w:p w14:paraId="572D9F6F" w14:textId="77777777" w:rsidR="008940B3" w:rsidRPr="003B5C8D" w:rsidRDefault="008940B3" w:rsidP="00E858EF">
            <w:pPr>
              <w:suppressAutoHyphens/>
              <w:jc w:val="center"/>
              <w:rPr>
                <w:sz w:val="16"/>
                <w:szCs w:val="16"/>
              </w:rPr>
            </w:pPr>
          </w:p>
        </w:tc>
        <w:tc>
          <w:tcPr>
            <w:tcW w:w="537" w:type="dxa"/>
          </w:tcPr>
          <w:p w14:paraId="0C4A411D" w14:textId="77777777" w:rsidR="008940B3" w:rsidRPr="003B5C8D" w:rsidRDefault="008940B3" w:rsidP="00E858EF">
            <w:pPr>
              <w:suppressAutoHyphens/>
              <w:jc w:val="center"/>
              <w:rPr>
                <w:sz w:val="16"/>
                <w:szCs w:val="16"/>
              </w:rPr>
            </w:pPr>
          </w:p>
        </w:tc>
        <w:tc>
          <w:tcPr>
            <w:tcW w:w="0" w:type="auto"/>
          </w:tcPr>
          <w:p w14:paraId="17B0BC92" w14:textId="77777777" w:rsidR="008940B3" w:rsidRPr="003B5C8D" w:rsidRDefault="008940B3" w:rsidP="00E858EF">
            <w:pPr>
              <w:suppressAutoHyphens/>
              <w:jc w:val="center"/>
              <w:rPr>
                <w:sz w:val="16"/>
                <w:szCs w:val="16"/>
              </w:rPr>
            </w:pPr>
          </w:p>
        </w:tc>
        <w:tc>
          <w:tcPr>
            <w:tcW w:w="0" w:type="auto"/>
          </w:tcPr>
          <w:p w14:paraId="723EE801" w14:textId="77777777" w:rsidR="008940B3" w:rsidRPr="003B5C8D" w:rsidRDefault="008940B3" w:rsidP="00E858EF">
            <w:pPr>
              <w:suppressAutoHyphens/>
              <w:jc w:val="center"/>
              <w:rPr>
                <w:sz w:val="16"/>
                <w:szCs w:val="16"/>
              </w:rPr>
            </w:pPr>
          </w:p>
        </w:tc>
        <w:tc>
          <w:tcPr>
            <w:tcW w:w="0" w:type="auto"/>
          </w:tcPr>
          <w:p w14:paraId="72576CB1" w14:textId="77777777" w:rsidR="008940B3" w:rsidRPr="003B5C8D" w:rsidRDefault="008940B3" w:rsidP="00E858EF">
            <w:pPr>
              <w:suppressAutoHyphens/>
              <w:jc w:val="center"/>
              <w:rPr>
                <w:sz w:val="16"/>
                <w:szCs w:val="16"/>
              </w:rPr>
            </w:pPr>
          </w:p>
        </w:tc>
        <w:tc>
          <w:tcPr>
            <w:tcW w:w="0" w:type="auto"/>
          </w:tcPr>
          <w:p w14:paraId="1EF1A5BC" w14:textId="77777777" w:rsidR="008940B3" w:rsidRPr="003B5C8D" w:rsidRDefault="008940B3" w:rsidP="00E858EF">
            <w:pPr>
              <w:suppressAutoHyphens/>
              <w:jc w:val="center"/>
              <w:rPr>
                <w:sz w:val="16"/>
                <w:szCs w:val="16"/>
              </w:rPr>
            </w:pPr>
          </w:p>
        </w:tc>
        <w:tc>
          <w:tcPr>
            <w:tcW w:w="293" w:type="dxa"/>
          </w:tcPr>
          <w:p w14:paraId="376FD246" w14:textId="77777777" w:rsidR="008940B3" w:rsidRPr="003B5C8D" w:rsidRDefault="008940B3" w:rsidP="00E858EF">
            <w:pPr>
              <w:suppressAutoHyphens/>
              <w:jc w:val="center"/>
              <w:rPr>
                <w:sz w:val="16"/>
                <w:szCs w:val="16"/>
              </w:rPr>
            </w:pPr>
          </w:p>
        </w:tc>
      </w:tr>
      <w:tr w:rsidR="008940B3" w:rsidRPr="003B5C8D" w14:paraId="3435DA68" w14:textId="77777777" w:rsidTr="00363CE1">
        <w:trPr>
          <w:trHeight w:val="175"/>
        </w:trPr>
        <w:tc>
          <w:tcPr>
            <w:tcW w:w="2176" w:type="dxa"/>
          </w:tcPr>
          <w:p w14:paraId="28FBEC26" w14:textId="77777777" w:rsidR="008940B3" w:rsidRPr="003B5C8D" w:rsidRDefault="008940B3" w:rsidP="00E858EF">
            <w:pPr>
              <w:suppressAutoHyphens/>
              <w:jc w:val="left"/>
              <w:rPr>
                <w:rFonts w:eastAsia="Times New Roman"/>
                <w:color w:val="000000"/>
                <w:sz w:val="16"/>
                <w:szCs w:val="16"/>
              </w:rPr>
            </w:pPr>
            <w:r w:rsidRPr="003B5C8D">
              <w:rPr>
                <w:rFonts w:eastAsia="Times New Roman"/>
                <w:sz w:val="16"/>
                <w:szCs w:val="16"/>
              </w:rPr>
              <w:t>GOURNES</w:t>
            </w:r>
          </w:p>
        </w:tc>
        <w:tc>
          <w:tcPr>
            <w:tcW w:w="1070" w:type="dxa"/>
          </w:tcPr>
          <w:p w14:paraId="639F4385"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r w:rsidRPr="003B5C8D">
              <w:rPr>
                <w:color w:val="000000"/>
                <w:sz w:val="16"/>
                <w:szCs w:val="16"/>
              </w:rPr>
              <w:t xml:space="preserve"> LARNAKES IN PIT</w:t>
            </w:r>
          </w:p>
        </w:tc>
        <w:tc>
          <w:tcPr>
            <w:tcW w:w="973" w:type="dxa"/>
          </w:tcPr>
          <w:p w14:paraId="6FEE3DB9" w14:textId="77777777" w:rsidR="008940B3" w:rsidRPr="003B5C8D" w:rsidRDefault="008940B3" w:rsidP="00E858EF">
            <w:pPr>
              <w:suppressAutoHyphens/>
              <w:jc w:val="center"/>
              <w:rPr>
                <w:sz w:val="16"/>
                <w:szCs w:val="16"/>
              </w:rPr>
            </w:pPr>
          </w:p>
        </w:tc>
        <w:tc>
          <w:tcPr>
            <w:tcW w:w="739" w:type="dxa"/>
          </w:tcPr>
          <w:p w14:paraId="21C2DE71" w14:textId="77777777" w:rsidR="008940B3" w:rsidRPr="003B5C8D" w:rsidRDefault="008940B3" w:rsidP="00E858EF">
            <w:pPr>
              <w:suppressAutoHyphens/>
              <w:jc w:val="center"/>
              <w:rPr>
                <w:sz w:val="16"/>
                <w:szCs w:val="16"/>
              </w:rPr>
            </w:pPr>
          </w:p>
        </w:tc>
        <w:tc>
          <w:tcPr>
            <w:tcW w:w="537" w:type="dxa"/>
          </w:tcPr>
          <w:p w14:paraId="4BDC4ED2" w14:textId="77777777" w:rsidR="008940B3" w:rsidRPr="003B5C8D" w:rsidRDefault="008940B3" w:rsidP="00E858EF">
            <w:pPr>
              <w:suppressAutoHyphens/>
              <w:jc w:val="center"/>
              <w:rPr>
                <w:sz w:val="16"/>
                <w:szCs w:val="16"/>
              </w:rPr>
            </w:pPr>
          </w:p>
        </w:tc>
        <w:tc>
          <w:tcPr>
            <w:tcW w:w="0" w:type="auto"/>
          </w:tcPr>
          <w:p w14:paraId="5DC8A9DA" w14:textId="77777777" w:rsidR="008940B3" w:rsidRPr="003B5C8D" w:rsidRDefault="008940B3" w:rsidP="00E858EF">
            <w:pPr>
              <w:suppressAutoHyphens/>
              <w:jc w:val="center"/>
              <w:rPr>
                <w:sz w:val="16"/>
                <w:szCs w:val="16"/>
              </w:rPr>
            </w:pPr>
          </w:p>
        </w:tc>
        <w:tc>
          <w:tcPr>
            <w:tcW w:w="0" w:type="auto"/>
          </w:tcPr>
          <w:p w14:paraId="7628E8AF" w14:textId="77777777" w:rsidR="008940B3" w:rsidRPr="003B5C8D" w:rsidRDefault="008940B3" w:rsidP="00E858EF">
            <w:pPr>
              <w:suppressAutoHyphens/>
              <w:jc w:val="center"/>
              <w:rPr>
                <w:sz w:val="16"/>
                <w:szCs w:val="16"/>
              </w:rPr>
            </w:pPr>
          </w:p>
        </w:tc>
        <w:tc>
          <w:tcPr>
            <w:tcW w:w="0" w:type="auto"/>
          </w:tcPr>
          <w:p w14:paraId="1A736F46" w14:textId="77777777" w:rsidR="008940B3" w:rsidRPr="003B5C8D" w:rsidRDefault="008940B3" w:rsidP="00E858EF">
            <w:pPr>
              <w:suppressAutoHyphens/>
              <w:jc w:val="center"/>
              <w:rPr>
                <w:sz w:val="16"/>
                <w:szCs w:val="16"/>
              </w:rPr>
            </w:pPr>
          </w:p>
        </w:tc>
        <w:tc>
          <w:tcPr>
            <w:tcW w:w="0" w:type="auto"/>
          </w:tcPr>
          <w:p w14:paraId="598080E8" w14:textId="77777777" w:rsidR="008940B3" w:rsidRPr="003B5C8D" w:rsidRDefault="008940B3" w:rsidP="00E858EF">
            <w:pPr>
              <w:suppressAutoHyphens/>
              <w:jc w:val="center"/>
              <w:rPr>
                <w:sz w:val="16"/>
                <w:szCs w:val="16"/>
              </w:rPr>
            </w:pPr>
          </w:p>
        </w:tc>
        <w:tc>
          <w:tcPr>
            <w:tcW w:w="293" w:type="dxa"/>
          </w:tcPr>
          <w:p w14:paraId="31DE3221" w14:textId="77777777" w:rsidR="008940B3" w:rsidRPr="003B5C8D" w:rsidRDefault="008940B3" w:rsidP="00E858EF">
            <w:pPr>
              <w:suppressAutoHyphens/>
              <w:jc w:val="center"/>
              <w:rPr>
                <w:sz w:val="16"/>
                <w:szCs w:val="16"/>
              </w:rPr>
            </w:pPr>
          </w:p>
        </w:tc>
      </w:tr>
      <w:tr w:rsidR="008940B3" w:rsidRPr="003B5C8D" w14:paraId="43EBCC54" w14:textId="77777777" w:rsidTr="00363CE1">
        <w:trPr>
          <w:trHeight w:val="175"/>
        </w:trPr>
        <w:tc>
          <w:tcPr>
            <w:tcW w:w="2176" w:type="dxa"/>
          </w:tcPr>
          <w:p w14:paraId="11088706" w14:textId="77777777" w:rsidR="008940B3" w:rsidRPr="003B5C8D" w:rsidRDefault="008940B3" w:rsidP="00E858EF">
            <w:pPr>
              <w:suppressAutoHyphens/>
              <w:jc w:val="left"/>
              <w:rPr>
                <w:rFonts w:eastAsia="Times New Roman"/>
                <w:color w:val="000000"/>
                <w:sz w:val="16"/>
                <w:szCs w:val="16"/>
              </w:rPr>
            </w:pPr>
            <w:r w:rsidRPr="003B5C8D">
              <w:rPr>
                <w:rFonts w:eastAsia="Times New Roman"/>
                <w:sz w:val="16"/>
                <w:szCs w:val="16"/>
              </w:rPr>
              <w:t>GOUVES SYKIA</w:t>
            </w:r>
          </w:p>
        </w:tc>
        <w:tc>
          <w:tcPr>
            <w:tcW w:w="1070" w:type="dxa"/>
          </w:tcPr>
          <w:p w14:paraId="0F30B059"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59E9FE87" w14:textId="77777777" w:rsidR="008940B3" w:rsidRPr="003B5C8D" w:rsidRDefault="008940B3" w:rsidP="00E858EF">
            <w:pPr>
              <w:suppressAutoHyphens/>
              <w:jc w:val="center"/>
              <w:rPr>
                <w:sz w:val="16"/>
                <w:szCs w:val="16"/>
              </w:rPr>
            </w:pPr>
          </w:p>
        </w:tc>
        <w:tc>
          <w:tcPr>
            <w:tcW w:w="739" w:type="dxa"/>
          </w:tcPr>
          <w:p w14:paraId="00D663BA" w14:textId="77777777" w:rsidR="008940B3" w:rsidRPr="003B5C8D" w:rsidRDefault="008940B3" w:rsidP="00E858EF">
            <w:pPr>
              <w:suppressAutoHyphens/>
              <w:jc w:val="center"/>
              <w:rPr>
                <w:sz w:val="16"/>
                <w:szCs w:val="16"/>
              </w:rPr>
            </w:pPr>
          </w:p>
        </w:tc>
        <w:tc>
          <w:tcPr>
            <w:tcW w:w="537" w:type="dxa"/>
          </w:tcPr>
          <w:p w14:paraId="3BBC9283" w14:textId="77777777" w:rsidR="008940B3" w:rsidRPr="003B5C8D" w:rsidRDefault="008940B3" w:rsidP="00E858EF">
            <w:pPr>
              <w:suppressAutoHyphens/>
              <w:jc w:val="center"/>
              <w:rPr>
                <w:sz w:val="16"/>
                <w:szCs w:val="16"/>
              </w:rPr>
            </w:pPr>
          </w:p>
        </w:tc>
        <w:tc>
          <w:tcPr>
            <w:tcW w:w="0" w:type="auto"/>
          </w:tcPr>
          <w:p w14:paraId="4C4D916B" w14:textId="77777777" w:rsidR="008940B3" w:rsidRPr="003B5C8D" w:rsidRDefault="008940B3" w:rsidP="00E858EF">
            <w:pPr>
              <w:suppressAutoHyphens/>
              <w:jc w:val="center"/>
              <w:rPr>
                <w:sz w:val="16"/>
                <w:szCs w:val="16"/>
              </w:rPr>
            </w:pPr>
          </w:p>
        </w:tc>
        <w:tc>
          <w:tcPr>
            <w:tcW w:w="0" w:type="auto"/>
          </w:tcPr>
          <w:p w14:paraId="56D09567" w14:textId="77777777" w:rsidR="008940B3" w:rsidRPr="003B5C8D" w:rsidRDefault="008940B3" w:rsidP="00E858EF">
            <w:pPr>
              <w:suppressAutoHyphens/>
              <w:jc w:val="center"/>
              <w:rPr>
                <w:sz w:val="16"/>
                <w:szCs w:val="16"/>
              </w:rPr>
            </w:pPr>
          </w:p>
        </w:tc>
        <w:tc>
          <w:tcPr>
            <w:tcW w:w="0" w:type="auto"/>
          </w:tcPr>
          <w:p w14:paraId="1B0080F6" w14:textId="77777777" w:rsidR="008940B3" w:rsidRPr="003B5C8D" w:rsidRDefault="008940B3" w:rsidP="00E858EF">
            <w:pPr>
              <w:suppressAutoHyphens/>
              <w:jc w:val="center"/>
              <w:rPr>
                <w:sz w:val="16"/>
                <w:szCs w:val="16"/>
              </w:rPr>
            </w:pPr>
          </w:p>
        </w:tc>
        <w:tc>
          <w:tcPr>
            <w:tcW w:w="0" w:type="auto"/>
          </w:tcPr>
          <w:p w14:paraId="7D603076" w14:textId="77777777" w:rsidR="008940B3" w:rsidRPr="003B5C8D" w:rsidRDefault="008940B3" w:rsidP="00E858EF">
            <w:pPr>
              <w:suppressAutoHyphens/>
              <w:jc w:val="center"/>
              <w:rPr>
                <w:sz w:val="16"/>
                <w:szCs w:val="16"/>
              </w:rPr>
            </w:pPr>
          </w:p>
        </w:tc>
        <w:tc>
          <w:tcPr>
            <w:tcW w:w="293" w:type="dxa"/>
          </w:tcPr>
          <w:p w14:paraId="6E300990" w14:textId="77777777" w:rsidR="008940B3" w:rsidRPr="003B5C8D" w:rsidRDefault="008940B3" w:rsidP="00E858EF">
            <w:pPr>
              <w:suppressAutoHyphens/>
              <w:jc w:val="center"/>
              <w:rPr>
                <w:sz w:val="16"/>
                <w:szCs w:val="16"/>
              </w:rPr>
            </w:pPr>
          </w:p>
        </w:tc>
      </w:tr>
      <w:tr w:rsidR="008940B3" w:rsidRPr="003B5C8D" w14:paraId="38C54099" w14:textId="77777777" w:rsidTr="00363CE1">
        <w:trPr>
          <w:trHeight w:val="175"/>
        </w:trPr>
        <w:tc>
          <w:tcPr>
            <w:tcW w:w="2176" w:type="dxa"/>
          </w:tcPr>
          <w:p w14:paraId="480A8576" w14:textId="77777777" w:rsidR="008940B3" w:rsidRPr="003B5C8D" w:rsidRDefault="008940B3" w:rsidP="00E858EF">
            <w:pPr>
              <w:suppressAutoHyphens/>
              <w:jc w:val="left"/>
              <w:rPr>
                <w:rFonts w:eastAsia="Times New Roman"/>
                <w:color w:val="000000"/>
                <w:sz w:val="16"/>
                <w:szCs w:val="16"/>
              </w:rPr>
            </w:pPr>
            <w:r w:rsidRPr="003B5C8D">
              <w:rPr>
                <w:rFonts w:eastAsia="Times New Roman"/>
                <w:sz w:val="16"/>
                <w:szCs w:val="16"/>
              </w:rPr>
              <w:t>KARNARI</w:t>
            </w:r>
          </w:p>
        </w:tc>
        <w:tc>
          <w:tcPr>
            <w:tcW w:w="1070" w:type="dxa"/>
          </w:tcPr>
          <w:p w14:paraId="56AEDCA1"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0D52E163" w14:textId="77777777" w:rsidR="008940B3" w:rsidRPr="003B5C8D" w:rsidRDefault="008940B3" w:rsidP="00E858EF">
            <w:pPr>
              <w:suppressAutoHyphens/>
              <w:jc w:val="center"/>
              <w:rPr>
                <w:sz w:val="16"/>
                <w:szCs w:val="16"/>
              </w:rPr>
            </w:pPr>
          </w:p>
        </w:tc>
        <w:tc>
          <w:tcPr>
            <w:tcW w:w="739" w:type="dxa"/>
          </w:tcPr>
          <w:p w14:paraId="3F9D3EB9"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537" w:type="dxa"/>
          </w:tcPr>
          <w:p w14:paraId="0E7C1C0C" w14:textId="77777777" w:rsidR="008940B3" w:rsidRPr="003B5C8D" w:rsidRDefault="008940B3" w:rsidP="00E858EF">
            <w:pPr>
              <w:suppressAutoHyphens/>
              <w:jc w:val="center"/>
              <w:rPr>
                <w:sz w:val="16"/>
                <w:szCs w:val="16"/>
              </w:rPr>
            </w:pPr>
          </w:p>
        </w:tc>
        <w:tc>
          <w:tcPr>
            <w:tcW w:w="0" w:type="auto"/>
          </w:tcPr>
          <w:p w14:paraId="4A4CADDC" w14:textId="77777777" w:rsidR="008940B3" w:rsidRPr="003B5C8D" w:rsidRDefault="008940B3" w:rsidP="00E858EF">
            <w:pPr>
              <w:suppressAutoHyphens/>
              <w:jc w:val="center"/>
              <w:rPr>
                <w:sz w:val="16"/>
                <w:szCs w:val="16"/>
              </w:rPr>
            </w:pPr>
          </w:p>
        </w:tc>
        <w:tc>
          <w:tcPr>
            <w:tcW w:w="0" w:type="auto"/>
          </w:tcPr>
          <w:p w14:paraId="7AB69EEB" w14:textId="77777777" w:rsidR="008940B3" w:rsidRPr="003B5C8D" w:rsidRDefault="008940B3" w:rsidP="00E858EF">
            <w:pPr>
              <w:suppressAutoHyphens/>
              <w:jc w:val="center"/>
              <w:rPr>
                <w:sz w:val="16"/>
                <w:szCs w:val="16"/>
              </w:rPr>
            </w:pPr>
          </w:p>
        </w:tc>
        <w:tc>
          <w:tcPr>
            <w:tcW w:w="0" w:type="auto"/>
          </w:tcPr>
          <w:p w14:paraId="4AFBA0F2" w14:textId="77777777" w:rsidR="008940B3" w:rsidRPr="003B5C8D" w:rsidRDefault="008940B3" w:rsidP="00E858EF">
            <w:pPr>
              <w:suppressAutoHyphens/>
              <w:jc w:val="center"/>
              <w:rPr>
                <w:sz w:val="16"/>
                <w:szCs w:val="16"/>
              </w:rPr>
            </w:pPr>
          </w:p>
        </w:tc>
        <w:tc>
          <w:tcPr>
            <w:tcW w:w="0" w:type="auto"/>
          </w:tcPr>
          <w:p w14:paraId="325A3C41" w14:textId="77777777" w:rsidR="008940B3" w:rsidRPr="003B5C8D" w:rsidRDefault="008940B3" w:rsidP="00E858EF">
            <w:pPr>
              <w:suppressAutoHyphens/>
              <w:jc w:val="center"/>
              <w:rPr>
                <w:sz w:val="16"/>
                <w:szCs w:val="16"/>
              </w:rPr>
            </w:pPr>
          </w:p>
        </w:tc>
        <w:tc>
          <w:tcPr>
            <w:tcW w:w="293" w:type="dxa"/>
          </w:tcPr>
          <w:p w14:paraId="4AC6695F"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r>
      <w:tr w:rsidR="008940B3" w:rsidRPr="003B5C8D" w14:paraId="7E374B0D" w14:textId="77777777" w:rsidTr="00363CE1">
        <w:trPr>
          <w:trHeight w:val="175"/>
        </w:trPr>
        <w:tc>
          <w:tcPr>
            <w:tcW w:w="2176" w:type="dxa"/>
          </w:tcPr>
          <w:p w14:paraId="024BF452" w14:textId="77777777" w:rsidR="008940B3" w:rsidRPr="003B5C8D" w:rsidRDefault="008940B3" w:rsidP="00E858EF">
            <w:pPr>
              <w:suppressAutoHyphens/>
              <w:jc w:val="left"/>
              <w:rPr>
                <w:rFonts w:eastAsia="Times New Roman"/>
                <w:color w:val="000000"/>
                <w:sz w:val="16"/>
                <w:szCs w:val="16"/>
              </w:rPr>
            </w:pPr>
            <w:r w:rsidRPr="003B5C8D">
              <w:rPr>
                <w:rFonts w:eastAsia="Times New Roman"/>
                <w:sz w:val="16"/>
                <w:szCs w:val="16"/>
              </w:rPr>
              <w:t>KASANOI</w:t>
            </w:r>
          </w:p>
        </w:tc>
        <w:tc>
          <w:tcPr>
            <w:tcW w:w="1070" w:type="dxa"/>
          </w:tcPr>
          <w:p w14:paraId="36E88CE3"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1271A28F" w14:textId="77777777" w:rsidR="008940B3" w:rsidRPr="003B5C8D" w:rsidRDefault="008940B3" w:rsidP="00E858EF">
            <w:pPr>
              <w:suppressAutoHyphens/>
              <w:jc w:val="center"/>
              <w:rPr>
                <w:sz w:val="16"/>
                <w:szCs w:val="16"/>
              </w:rPr>
            </w:pPr>
          </w:p>
        </w:tc>
        <w:tc>
          <w:tcPr>
            <w:tcW w:w="739" w:type="dxa"/>
          </w:tcPr>
          <w:p w14:paraId="2C75F402" w14:textId="77777777" w:rsidR="008940B3" w:rsidRPr="003B5C8D" w:rsidRDefault="008940B3" w:rsidP="00E858EF">
            <w:pPr>
              <w:suppressAutoHyphens/>
              <w:jc w:val="center"/>
              <w:rPr>
                <w:sz w:val="16"/>
                <w:szCs w:val="16"/>
              </w:rPr>
            </w:pPr>
          </w:p>
        </w:tc>
        <w:tc>
          <w:tcPr>
            <w:tcW w:w="537" w:type="dxa"/>
          </w:tcPr>
          <w:p w14:paraId="441EC313" w14:textId="77777777" w:rsidR="008940B3" w:rsidRPr="003B5C8D" w:rsidRDefault="008940B3" w:rsidP="00E858EF">
            <w:pPr>
              <w:suppressAutoHyphens/>
              <w:jc w:val="center"/>
              <w:rPr>
                <w:sz w:val="16"/>
                <w:szCs w:val="16"/>
              </w:rPr>
            </w:pPr>
          </w:p>
        </w:tc>
        <w:tc>
          <w:tcPr>
            <w:tcW w:w="0" w:type="auto"/>
          </w:tcPr>
          <w:p w14:paraId="6B2E7B47" w14:textId="77777777" w:rsidR="008940B3" w:rsidRPr="003B5C8D" w:rsidRDefault="008940B3" w:rsidP="00E858EF">
            <w:pPr>
              <w:suppressAutoHyphens/>
              <w:jc w:val="center"/>
              <w:rPr>
                <w:sz w:val="16"/>
                <w:szCs w:val="16"/>
              </w:rPr>
            </w:pPr>
          </w:p>
        </w:tc>
        <w:tc>
          <w:tcPr>
            <w:tcW w:w="0" w:type="auto"/>
          </w:tcPr>
          <w:p w14:paraId="713C48A7" w14:textId="77777777" w:rsidR="008940B3" w:rsidRPr="003B5C8D" w:rsidRDefault="008940B3" w:rsidP="00E858EF">
            <w:pPr>
              <w:suppressAutoHyphens/>
              <w:jc w:val="center"/>
              <w:rPr>
                <w:sz w:val="16"/>
                <w:szCs w:val="16"/>
              </w:rPr>
            </w:pPr>
          </w:p>
        </w:tc>
        <w:tc>
          <w:tcPr>
            <w:tcW w:w="0" w:type="auto"/>
          </w:tcPr>
          <w:p w14:paraId="30BC243B" w14:textId="77777777" w:rsidR="008940B3" w:rsidRPr="003B5C8D" w:rsidRDefault="008940B3" w:rsidP="00E858EF">
            <w:pPr>
              <w:suppressAutoHyphens/>
              <w:jc w:val="center"/>
              <w:rPr>
                <w:sz w:val="16"/>
                <w:szCs w:val="16"/>
              </w:rPr>
            </w:pPr>
          </w:p>
        </w:tc>
        <w:tc>
          <w:tcPr>
            <w:tcW w:w="0" w:type="auto"/>
          </w:tcPr>
          <w:p w14:paraId="3CC6C520" w14:textId="77777777" w:rsidR="008940B3" w:rsidRPr="003B5C8D" w:rsidRDefault="008940B3" w:rsidP="00E858EF">
            <w:pPr>
              <w:suppressAutoHyphens/>
              <w:jc w:val="center"/>
              <w:rPr>
                <w:sz w:val="16"/>
                <w:szCs w:val="16"/>
              </w:rPr>
            </w:pPr>
          </w:p>
        </w:tc>
        <w:tc>
          <w:tcPr>
            <w:tcW w:w="293" w:type="dxa"/>
          </w:tcPr>
          <w:p w14:paraId="3085205D" w14:textId="77777777" w:rsidR="008940B3" w:rsidRPr="003B5C8D" w:rsidRDefault="008940B3" w:rsidP="00E858EF">
            <w:pPr>
              <w:suppressAutoHyphens/>
              <w:jc w:val="center"/>
              <w:rPr>
                <w:sz w:val="16"/>
                <w:szCs w:val="16"/>
              </w:rPr>
            </w:pPr>
          </w:p>
        </w:tc>
      </w:tr>
      <w:tr w:rsidR="008940B3" w:rsidRPr="003B5C8D" w14:paraId="6232CE59" w14:textId="77777777" w:rsidTr="00363CE1">
        <w:trPr>
          <w:trHeight w:val="175"/>
        </w:trPr>
        <w:tc>
          <w:tcPr>
            <w:tcW w:w="2176" w:type="dxa"/>
          </w:tcPr>
          <w:p w14:paraId="2A472590"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KAVROCHORI</w:t>
            </w:r>
          </w:p>
        </w:tc>
        <w:tc>
          <w:tcPr>
            <w:tcW w:w="1070" w:type="dxa"/>
          </w:tcPr>
          <w:p w14:paraId="0678D843"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650D38BC" w14:textId="77777777" w:rsidR="008940B3" w:rsidRPr="003B5C8D" w:rsidRDefault="008940B3" w:rsidP="00E858EF">
            <w:pPr>
              <w:suppressAutoHyphens/>
              <w:jc w:val="center"/>
              <w:rPr>
                <w:sz w:val="16"/>
                <w:szCs w:val="16"/>
              </w:rPr>
            </w:pPr>
          </w:p>
        </w:tc>
        <w:tc>
          <w:tcPr>
            <w:tcW w:w="739" w:type="dxa"/>
          </w:tcPr>
          <w:p w14:paraId="47467F8E"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537" w:type="dxa"/>
          </w:tcPr>
          <w:p w14:paraId="76983CB4" w14:textId="77777777" w:rsidR="008940B3" w:rsidRPr="003B5C8D" w:rsidRDefault="008940B3" w:rsidP="00E858EF">
            <w:pPr>
              <w:suppressAutoHyphens/>
              <w:jc w:val="center"/>
              <w:rPr>
                <w:sz w:val="16"/>
                <w:szCs w:val="16"/>
              </w:rPr>
            </w:pPr>
          </w:p>
        </w:tc>
        <w:tc>
          <w:tcPr>
            <w:tcW w:w="0" w:type="auto"/>
          </w:tcPr>
          <w:p w14:paraId="495DC897" w14:textId="77777777" w:rsidR="008940B3" w:rsidRPr="003B5C8D" w:rsidRDefault="008940B3" w:rsidP="00E858EF">
            <w:pPr>
              <w:suppressAutoHyphens/>
              <w:jc w:val="center"/>
              <w:rPr>
                <w:sz w:val="16"/>
                <w:szCs w:val="16"/>
              </w:rPr>
            </w:pPr>
          </w:p>
        </w:tc>
        <w:tc>
          <w:tcPr>
            <w:tcW w:w="0" w:type="auto"/>
          </w:tcPr>
          <w:p w14:paraId="2DE524CB" w14:textId="77777777" w:rsidR="008940B3" w:rsidRPr="003B5C8D" w:rsidRDefault="008940B3" w:rsidP="00E858EF">
            <w:pPr>
              <w:suppressAutoHyphens/>
              <w:jc w:val="center"/>
              <w:rPr>
                <w:sz w:val="16"/>
                <w:szCs w:val="16"/>
              </w:rPr>
            </w:pPr>
          </w:p>
        </w:tc>
        <w:tc>
          <w:tcPr>
            <w:tcW w:w="0" w:type="auto"/>
          </w:tcPr>
          <w:p w14:paraId="4AC154B7" w14:textId="77777777" w:rsidR="008940B3" w:rsidRPr="003B5C8D" w:rsidRDefault="008940B3" w:rsidP="00E858EF">
            <w:pPr>
              <w:suppressAutoHyphens/>
              <w:jc w:val="center"/>
              <w:rPr>
                <w:sz w:val="16"/>
                <w:szCs w:val="16"/>
              </w:rPr>
            </w:pPr>
          </w:p>
        </w:tc>
        <w:tc>
          <w:tcPr>
            <w:tcW w:w="0" w:type="auto"/>
          </w:tcPr>
          <w:p w14:paraId="75DBC991" w14:textId="77777777" w:rsidR="008940B3" w:rsidRPr="003B5C8D" w:rsidRDefault="008940B3" w:rsidP="00E858EF">
            <w:pPr>
              <w:suppressAutoHyphens/>
              <w:jc w:val="center"/>
              <w:rPr>
                <w:sz w:val="16"/>
                <w:szCs w:val="16"/>
              </w:rPr>
            </w:pPr>
          </w:p>
        </w:tc>
        <w:tc>
          <w:tcPr>
            <w:tcW w:w="293" w:type="dxa"/>
          </w:tcPr>
          <w:p w14:paraId="0BD0BEC2" w14:textId="77777777" w:rsidR="008940B3" w:rsidRPr="003B5C8D" w:rsidRDefault="008940B3" w:rsidP="00E858EF">
            <w:pPr>
              <w:suppressAutoHyphens/>
              <w:jc w:val="center"/>
              <w:rPr>
                <w:sz w:val="16"/>
                <w:szCs w:val="16"/>
              </w:rPr>
            </w:pPr>
          </w:p>
        </w:tc>
      </w:tr>
      <w:tr w:rsidR="008940B3" w:rsidRPr="003B5C8D" w14:paraId="6C9053C4" w14:textId="77777777" w:rsidTr="00363CE1">
        <w:trPr>
          <w:trHeight w:val="175"/>
        </w:trPr>
        <w:tc>
          <w:tcPr>
            <w:tcW w:w="2176" w:type="dxa"/>
          </w:tcPr>
          <w:p w14:paraId="52231D2C"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KYPARISSI VATHIA</w:t>
            </w:r>
          </w:p>
        </w:tc>
        <w:tc>
          <w:tcPr>
            <w:tcW w:w="1070" w:type="dxa"/>
          </w:tcPr>
          <w:p w14:paraId="28230FF4"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6427DDDA"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739" w:type="dxa"/>
          </w:tcPr>
          <w:p w14:paraId="6876E8B5" w14:textId="77777777" w:rsidR="008940B3" w:rsidRPr="003B5C8D" w:rsidRDefault="008940B3" w:rsidP="00E858EF">
            <w:pPr>
              <w:suppressAutoHyphens/>
              <w:jc w:val="center"/>
              <w:rPr>
                <w:sz w:val="16"/>
                <w:szCs w:val="16"/>
              </w:rPr>
            </w:pPr>
          </w:p>
        </w:tc>
        <w:tc>
          <w:tcPr>
            <w:tcW w:w="537" w:type="dxa"/>
          </w:tcPr>
          <w:p w14:paraId="34CA52E7"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0" w:type="auto"/>
          </w:tcPr>
          <w:p w14:paraId="50DB3804" w14:textId="77777777" w:rsidR="008940B3" w:rsidRPr="003B5C8D" w:rsidRDefault="008940B3" w:rsidP="00E858EF">
            <w:pPr>
              <w:suppressAutoHyphens/>
              <w:jc w:val="center"/>
              <w:rPr>
                <w:sz w:val="16"/>
                <w:szCs w:val="16"/>
              </w:rPr>
            </w:pPr>
          </w:p>
        </w:tc>
        <w:tc>
          <w:tcPr>
            <w:tcW w:w="0" w:type="auto"/>
          </w:tcPr>
          <w:p w14:paraId="0500D1F7" w14:textId="77777777" w:rsidR="008940B3" w:rsidRPr="003B5C8D" w:rsidRDefault="008940B3" w:rsidP="00E858EF">
            <w:pPr>
              <w:suppressAutoHyphens/>
              <w:jc w:val="center"/>
              <w:rPr>
                <w:sz w:val="16"/>
                <w:szCs w:val="16"/>
              </w:rPr>
            </w:pPr>
          </w:p>
        </w:tc>
        <w:tc>
          <w:tcPr>
            <w:tcW w:w="0" w:type="auto"/>
          </w:tcPr>
          <w:p w14:paraId="0B83A269" w14:textId="77777777" w:rsidR="008940B3" w:rsidRPr="003B5C8D" w:rsidRDefault="008940B3" w:rsidP="00E858EF">
            <w:pPr>
              <w:suppressAutoHyphens/>
              <w:jc w:val="center"/>
              <w:rPr>
                <w:sz w:val="16"/>
                <w:szCs w:val="16"/>
              </w:rPr>
            </w:pPr>
          </w:p>
        </w:tc>
        <w:tc>
          <w:tcPr>
            <w:tcW w:w="0" w:type="auto"/>
          </w:tcPr>
          <w:p w14:paraId="53FA5A07" w14:textId="77777777" w:rsidR="008940B3" w:rsidRPr="003B5C8D" w:rsidRDefault="008940B3" w:rsidP="00E858EF">
            <w:pPr>
              <w:suppressAutoHyphens/>
              <w:jc w:val="center"/>
              <w:rPr>
                <w:sz w:val="16"/>
                <w:szCs w:val="16"/>
              </w:rPr>
            </w:pPr>
          </w:p>
        </w:tc>
        <w:tc>
          <w:tcPr>
            <w:tcW w:w="293" w:type="dxa"/>
          </w:tcPr>
          <w:p w14:paraId="465CAE1C" w14:textId="77777777" w:rsidR="008940B3" w:rsidRPr="003B5C8D" w:rsidRDefault="008940B3" w:rsidP="00E858EF">
            <w:pPr>
              <w:suppressAutoHyphens/>
              <w:jc w:val="center"/>
              <w:rPr>
                <w:sz w:val="16"/>
                <w:szCs w:val="16"/>
              </w:rPr>
            </w:pPr>
          </w:p>
        </w:tc>
      </w:tr>
      <w:tr w:rsidR="008940B3" w:rsidRPr="003B5C8D" w14:paraId="79984E2C" w14:textId="77777777" w:rsidTr="00363CE1">
        <w:trPr>
          <w:trHeight w:val="175"/>
        </w:trPr>
        <w:tc>
          <w:tcPr>
            <w:tcW w:w="2176" w:type="dxa"/>
          </w:tcPr>
          <w:p w14:paraId="77EA801C"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LIGORTYNO</w:t>
            </w:r>
          </w:p>
        </w:tc>
        <w:tc>
          <w:tcPr>
            <w:tcW w:w="1070" w:type="dxa"/>
          </w:tcPr>
          <w:p w14:paraId="7A41A063"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42B2FDA9" w14:textId="77777777" w:rsidR="008940B3" w:rsidRPr="003B5C8D" w:rsidRDefault="008940B3" w:rsidP="00E858EF">
            <w:pPr>
              <w:suppressAutoHyphens/>
              <w:jc w:val="center"/>
              <w:rPr>
                <w:sz w:val="16"/>
                <w:szCs w:val="16"/>
              </w:rPr>
            </w:pPr>
          </w:p>
        </w:tc>
        <w:tc>
          <w:tcPr>
            <w:tcW w:w="739" w:type="dxa"/>
          </w:tcPr>
          <w:p w14:paraId="67BA146F" w14:textId="77777777" w:rsidR="008940B3" w:rsidRPr="003B5C8D" w:rsidRDefault="008940B3" w:rsidP="00E858EF">
            <w:pPr>
              <w:suppressAutoHyphens/>
              <w:jc w:val="center"/>
              <w:rPr>
                <w:sz w:val="16"/>
                <w:szCs w:val="16"/>
              </w:rPr>
            </w:pPr>
          </w:p>
        </w:tc>
        <w:tc>
          <w:tcPr>
            <w:tcW w:w="537" w:type="dxa"/>
          </w:tcPr>
          <w:p w14:paraId="68AED092" w14:textId="77777777" w:rsidR="008940B3" w:rsidRPr="003B5C8D" w:rsidRDefault="008940B3" w:rsidP="00E858EF">
            <w:pPr>
              <w:suppressAutoHyphens/>
              <w:jc w:val="center"/>
              <w:rPr>
                <w:sz w:val="16"/>
                <w:szCs w:val="16"/>
              </w:rPr>
            </w:pPr>
          </w:p>
        </w:tc>
        <w:tc>
          <w:tcPr>
            <w:tcW w:w="0" w:type="auto"/>
          </w:tcPr>
          <w:p w14:paraId="1584609C" w14:textId="77777777" w:rsidR="008940B3" w:rsidRPr="003B5C8D" w:rsidRDefault="008940B3" w:rsidP="00E858EF">
            <w:pPr>
              <w:suppressAutoHyphens/>
              <w:jc w:val="center"/>
              <w:rPr>
                <w:sz w:val="16"/>
                <w:szCs w:val="16"/>
              </w:rPr>
            </w:pPr>
          </w:p>
        </w:tc>
        <w:tc>
          <w:tcPr>
            <w:tcW w:w="0" w:type="auto"/>
          </w:tcPr>
          <w:p w14:paraId="127B05E9" w14:textId="77777777" w:rsidR="008940B3" w:rsidRPr="003B5C8D" w:rsidRDefault="008940B3" w:rsidP="00E858EF">
            <w:pPr>
              <w:suppressAutoHyphens/>
              <w:jc w:val="center"/>
              <w:rPr>
                <w:sz w:val="16"/>
                <w:szCs w:val="16"/>
              </w:rPr>
            </w:pPr>
          </w:p>
        </w:tc>
        <w:tc>
          <w:tcPr>
            <w:tcW w:w="0" w:type="auto"/>
          </w:tcPr>
          <w:p w14:paraId="149E68D4" w14:textId="77777777" w:rsidR="008940B3" w:rsidRPr="003B5C8D" w:rsidRDefault="008940B3" w:rsidP="00E858EF">
            <w:pPr>
              <w:suppressAutoHyphens/>
              <w:jc w:val="center"/>
              <w:rPr>
                <w:sz w:val="16"/>
                <w:szCs w:val="16"/>
              </w:rPr>
            </w:pPr>
          </w:p>
        </w:tc>
        <w:tc>
          <w:tcPr>
            <w:tcW w:w="0" w:type="auto"/>
          </w:tcPr>
          <w:p w14:paraId="1C2854CD" w14:textId="77777777" w:rsidR="008940B3" w:rsidRPr="003B5C8D" w:rsidRDefault="008940B3" w:rsidP="00E858EF">
            <w:pPr>
              <w:suppressAutoHyphens/>
              <w:jc w:val="center"/>
              <w:rPr>
                <w:sz w:val="16"/>
                <w:szCs w:val="16"/>
              </w:rPr>
            </w:pPr>
          </w:p>
        </w:tc>
        <w:tc>
          <w:tcPr>
            <w:tcW w:w="293" w:type="dxa"/>
          </w:tcPr>
          <w:p w14:paraId="5249F066" w14:textId="77777777" w:rsidR="008940B3" w:rsidRPr="003B5C8D" w:rsidRDefault="008940B3" w:rsidP="00E858EF">
            <w:pPr>
              <w:suppressAutoHyphens/>
              <w:jc w:val="center"/>
              <w:rPr>
                <w:sz w:val="16"/>
                <w:szCs w:val="16"/>
              </w:rPr>
            </w:pPr>
          </w:p>
        </w:tc>
      </w:tr>
      <w:tr w:rsidR="008940B3" w:rsidRPr="003B5C8D" w14:paraId="27C89FE1" w14:textId="77777777" w:rsidTr="00363CE1">
        <w:trPr>
          <w:trHeight w:val="175"/>
        </w:trPr>
        <w:tc>
          <w:tcPr>
            <w:tcW w:w="2176" w:type="dxa"/>
          </w:tcPr>
          <w:p w14:paraId="62FBD502"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MELESES</w:t>
            </w:r>
          </w:p>
        </w:tc>
        <w:tc>
          <w:tcPr>
            <w:tcW w:w="1070" w:type="dxa"/>
          </w:tcPr>
          <w:p w14:paraId="7227A4A3"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75E3E52B" w14:textId="77777777" w:rsidR="008940B3" w:rsidRPr="003B5C8D" w:rsidRDefault="008940B3" w:rsidP="00E858EF">
            <w:pPr>
              <w:suppressAutoHyphens/>
              <w:jc w:val="center"/>
              <w:rPr>
                <w:sz w:val="16"/>
                <w:szCs w:val="16"/>
              </w:rPr>
            </w:pPr>
          </w:p>
        </w:tc>
        <w:tc>
          <w:tcPr>
            <w:tcW w:w="739" w:type="dxa"/>
          </w:tcPr>
          <w:p w14:paraId="42DB8873" w14:textId="77777777" w:rsidR="008940B3" w:rsidRPr="003B5C8D" w:rsidRDefault="008940B3" w:rsidP="00E858EF">
            <w:pPr>
              <w:suppressAutoHyphens/>
              <w:jc w:val="center"/>
              <w:rPr>
                <w:sz w:val="16"/>
                <w:szCs w:val="16"/>
              </w:rPr>
            </w:pPr>
          </w:p>
        </w:tc>
        <w:tc>
          <w:tcPr>
            <w:tcW w:w="537" w:type="dxa"/>
          </w:tcPr>
          <w:p w14:paraId="7B0E77EB" w14:textId="77777777" w:rsidR="008940B3" w:rsidRPr="003B5C8D" w:rsidRDefault="008940B3" w:rsidP="00E858EF">
            <w:pPr>
              <w:suppressAutoHyphens/>
              <w:jc w:val="center"/>
              <w:rPr>
                <w:sz w:val="16"/>
                <w:szCs w:val="16"/>
              </w:rPr>
            </w:pPr>
          </w:p>
        </w:tc>
        <w:tc>
          <w:tcPr>
            <w:tcW w:w="0" w:type="auto"/>
          </w:tcPr>
          <w:p w14:paraId="751B71E5" w14:textId="77777777" w:rsidR="008940B3" w:rsidRPr="003B5C8D" w:rsidRDefault="008940B3" w:rsidP="00E858EF">
            <w:pPr>
              <w:suppressAutoHyphens/>
              <w:jc w:val="center"/>
              <w:rPr>
                <w:sz w:val="16"/>
                <w:szCs w:val="16"/>
              </w:rPr>
            </w:pPr>
          </w:p>
        </w:tc>
        <w:tc>
          <w:tcPr>
            <w:tcW w:w="0" w:type="auto"/>
          </w:tcPr>
          <w:p w14:paraId="38ED6464" w14:textId="77777777" w:rsidR="008940B3" w:rsidRPr="003B5C8D" w:rsidRDefault="008940B3" w:rsidP="00E858EF">
            <w:pPr>
              <w:suppressAutoHyphens/>
              <w:jc w:val="center"/>
              <w:rPr>
                <w:sz w:val="16"/>
                <w:szCs w:val="16"/>
              </w:rPr>
            </w:pPr>
          </w:p>
        </w:tc>
        <w:tc>
          <w:tcPr>
            <w:tcW w:w="0" w:type="auto"/>
          </w:tcPr>
          <w:p w14:paraId="06311019" w14:textId="77777777" w:rsidR="008940B3" w:rsidRPr="003B5C8D" w:rsidRDefault="008940B3" w:rsidP="00E858EF">
            <w:pPr>
              <w:suppressAutoHyphens/>
              <w:jc w:val="center"/>
              <w:rPr>
                <w:sz w:val="16"/>
                <w:szCs w:val="16"/>
              </w:rPr>
            </w:pPr>
          </w:p>
        </w:tc>
        <w:tc>
          <w:tcPr>
            <w:tcW w:w="0" w:type="auto"/>
          </w:tcPr>
          <w:p w14:paraId="2343324D" w14:textId="77777777" w:rsidR="008940B3" w:rsidRPr="003B5C8D" w:rsidRDefault="008940B3" w:rsidP="00E858EF">
            <w:pPr>
              <w:suppressAutoHyphens/>
              <w:jc w:val="center"/>
              <w:rPr>
                <w:sz w:val="16"/>
                <w:szCs w:val="16"/>
              </w:rPr>
            </w:pPr>
          </w:p>
        </w:tc>
        <w:tc>
          <w:tcPr>
            <w:tcW w:w="293" w:type="dxa"/>
          </w:tcPr>
          <w:p w14:paraId="63ED75AF" w14:textId="77777777" w:rsidR="008940B3" w:rsidRPr="003B5C8D" w:rsidRDefault="008940B3" w:rsidP="00E858EF">
            <w:pPr>
              <w:suppressAutoHyphens/>
              <w:jc w:val="center"/>
              <w:rPr>
                <w:sz w:val="16"/>
                <w:szCs w:val="16"/>
              </w:rPr>
            </w:pPr>
          </w:p>
        </w:tc>
      </w:tr>
      <w:tr w:rsidR="008940B3" w:rsidRPr="003B5C8D" w14:paraId="4FBBA132" w14:textId="77777777" w:rsidTr="00363CE1">
        <w:trPr>
          <w:trHeight w:val="175"/>
        </w:trPr>
        <w:tc>
          <w:tcPr>
            <w:tcW w:w="2176" w:type="dxa"/>
          </w:tcPr>
          <w:p w14:paraId="56AA4464"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METOCHI KALOU</w:t>
            </w:r>
          </w:p>
        </w:tc>
        <w:tc>
          <w:tcPr>
            <w:tcW w:w="1070" w:type="dxa"/>
          </w:tcPr>
          <w:p w14:paraId="5D0E9F5F"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1504E0B2" w14:textId="77777777" w:rsidR="008940B3" w:rsidRPr="003B5C8D" w:rsidRDefault="008940B3" w:rsidP="00E858EF">
            <w:pPr>
              <w:suppressAutoHyphens/>
              <w:jc w:val="center"/>
              <w:rPr>
                <w:sz w:val="16"/>
                <w:szCs w:val="16"/>
              </w:rPr>
            </w:pPr>
          </w:p>
        </w:tc>
        <w:tc>
          <w:tcPr>
            <w:tcW w:w="739" w:type="dxa"/>
          </w:tcPr>
          <w:p w14:paraId="772CD6B1" w14:textId="77777777" w:rsidR="008940B3" w:rsidRPr="003B5C8D" w:rsidRDefault="008940B3" w:rsidP="00E858EF">
            <w:pPr>
              <w:suppressAutoHyphens/>
              <w:jc w:val="center"/>
              <w:rPr>
                <w:sz w:val="16"/>
                <w:szCs w:val="16"/>
              </w:rPr>
            </w:pPr>
          </w:p>
        </w:tc>
        <w:tc>
          <w:tcPr>
            <w:tcW w:w="537" w:type="dxa"/>
          </w:tcPr>
          <w:p w14:paraId="0E352FD4"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0" w:type="auto"/>
          </w:tcPr>
          <w:p w14:paraId="29787E4E" w14:textId="77777777" w:rsidR="008940B3" w:rsidRPr="003B5C8D" w:rsidRDefault="008940B3" w:rsidP="00E858EF">
            <w:pPr>
              <w:suppressAutoHyphens/>
              <w:jc w:val="center"/>
              <w:rPr>
                <w:sz w:val="16"/>
                <w:szCs w:val="16"/>
              </w:rPr>
            </w:pPr>
          </w:p>
        </w:tc>
        <w:tc>
          <w:tcPr>
            <w:tcW w:w="0" w:type="auto"/>
          </w:tcPr>
          <w:p w14:paraId="0E924936" w14:textId="77777777" w:rsidR="008940B3" w:rsidRPr="003B5C8D" w:rsidRDefault="008940B3" w:rsidP="00E858EF">
            <w:pPr>
              <w:suppressAutoHyphens/>
              <w:jc w:val="center"/>
              <w:rPr>
                <w:sz w:val="16"/>
                <w:szCs w:val="16"/>
              </w:rPr>
            </w:pPr>
          </w:p>
        </w:tc>
        <w:tc>
          <w:tcPr>
            <w:tcW w:w="0" w:type="auto"/>
          </w:tcPr>
          <w:p w14:paraId="1D0F4C0D" w14:textId="77777777" w:rsidR="008940B3" w:rsidRPr="003B5C8D" w:rsidRDefault="008940B3" w:rsidP="00E858EF">
            <w:pPr>
              <w:suppressAutoHyphens/>
              <w:jc w:val="center"/>
              <w:rPr>
                <w:sz w:val="16"/>
                <w:szCs w:val="16"/>
              </w:rPr>
            </w:pPr>
          </w:p>
        </w:tc>
        <w:tc>
          <w:tcPr>
            <w:tcW w:w="0" w:type="auto"/>
          </w:tcPr>
          <w:p w14:paraId="6EE5415F" w14:textId="77777777" w:rsidR="008940B3" w:rsidRPr="003B5C8D" w:rsidRDefault="008940B3" w:rsidP="00E858EF">
            <w:pPr>
              <w:suppressAutoHyphens/>
              <w:jc w:val="center"/>
              <w:rPr>
                <w:sz w:val="16"/>
                <w:szCs w:val="16"/>
              </w:rPr>
            </w:pPr>
          </w:p>
        </w:tc>
        <w:tc>
          <w:tcPr>
            <w:tcW w:w="293" w:type="dxa"/>
          </w:tcPr>
          <w:p w14:paraId="6C09D19F" w14:textId="77777777" w:rsidR="008940B3" w:rsidRPr="003B5C8D" w:rsidRDefault="008940B3" w:rsidP="00E858EF">
            <w:pPr>
              <w:suppressAutoHyphens/>
              <w:jc w:val="center"/>
              <w:rPr>
                <w:sz w:val="16"/>
                <w:szCs w:val="16"/>
              </w:rPr>
            </w:pPr>
          </w:p>
        </w:tc>
      </w:tr>
      <w:tr w:rsidR="008940B3" w:rsidRPr="003B5C8D" w14:paraId="5795F200" w14:textId="77777777" w:rsidTr="00363CE1">
        <w:trPr>
          <w:trHeight w:val="175"/>
        </w:trPr>
        <w:tc>
          <w:tcPr>
            <w:tcW w:w="2176" w:type="dxa"/>
          </w:tcPr>
          <w:p w14:paraId="6C23CC4F"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MONI</w:t>
            </w:r>
          </w:p>
        </w:tc>
        <w:tc>
          <w:tcPr>
            <w:tcW w:w="1070" w:type="dxa"/>
          </w:tcPr>
          <w:p w14:paraId="3461E80A"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2B0F8C7E" w14:textId="77777777" w:rsidR="008940B3" w:rsidRPr="003B5C8D" w:rsidRDefault="008940B3" w:rsidP="00E858EF">
            <w:pPr>
              <w:suppressAutoHyphens/>
              <w:jc w:val="center"/>
              <w:rPr>
                <w:sz w:val="16"/>
                <w:szCs w:val="16"/>
              </w:rPr>
            </w:pPr>
          </w:p>
        </w:tc>
        <w:tc>
          <w:tcPr>
            <w:tcW w:w="739" w:type="dxa"/>
          </w:tcPr>
          <w:p w14:paraId="0E8D94D8" w14:textId="77777777" w:rsidR="008940B3" w:rsidRPr="003B5C8D" w:rsidRDefault="008940B3" w:rsidP="00E858EF">
            <w:pPr>
              <w:suppressAutoHyphens/>
              <w:jc w:val="center"/>
              <w:rPr>
                <w:sz w:val="16"/>
                <w:szCs w:val="16"/>
              </w:rPr>
            </w:pPr>
          </w:p>
        </w:tc>
        <w:tc>
          <w:tcPr>
            <w:tcW w:w="537" w:type="dxa"/>
          </w:tcPr>
          <w:p w14:paraId="6893D87D" w14:textId="77777777" w:rsidR="008940B3" w:rsidRPr="003B5C8D" w:rsidRDefault="008940B3" w:rsidP="00E858EF">
            <w:pPr>
              <w:suppressAutoHyphens/>
              <w:jc w:val="center"/>
              <w:rPr>
                <w:sz w:val="16"/>
                <w:szCs w:val="16"/>
              </w:rPr>
            </w:pPr>
          </w:p>
        </w:tc>
        <w:tc>
          <w:tcPr>
            <w:tcW w:w="0" w:type="auto"/>
          </w:tcPr>
          <w:p w14:paraId="0AE53231" w14:textId="77777777" w:rsidR="008940B3" w:rsidRPr="003B5C8D" w:rsidRDefault="008940B3" w:rsidP="00E858EF">
            <w:pPr>
              <w:suppressAutoHyphens/>
              <w:jc w:val="center"/>
              <w:rPr>
                <w:sz w:val="16"/>
                <w:szCs w:val="16"/>
              </w:rPr>
            </w:pPr>
          </w:p>
        </w:tc>
        <w:tc>
          <w:tcPr>
            <w:tcW w:w="0" w:type="auto"/>
          </w:tcPr>
          <w:p w14:paraId="15C3422B" w14:textId="77777777" w:rsidR="008940B3" w:rsidRPr="003B5C8D" w:rsidRDefault="008940B3" w:rsidP="00E858EF">
            <w:pPr>
              <w:suppressAutoHyphens/>
              <w:jc w:val="center"/>
              <w:rPr>
                <w:sz w:val="16"/>
                <w:szCs w:val="16"/>
              </w:rPr>
            </w:pPr>
          </w:p>
        </w:tc>
        <w:tc>
          <w:tcPr>
            <w:tcW w:w="0" w:type="auto"/>
          </w:tcPr>
          <w:p w14:paraId="7ECE2038" w14:textId="77777777" w:rsidR="008940B3" w:rsidRPr="003B5C8D" w:rsidRDefault="008940B3" w:rsidP="00E858EF">
            <w:pPr>
              <w:suppressAutoHyphens/>
              <w:jc w:val="center"/>
              <w:rPr>
                <w:sz w:val="16"/>
                <w:szCs w:val="16"/>
              </w:rPr>
            </w:pPr>
          </w:p>
        </w:tc>
        <w:tc>
          <w:tcPr>
            <w:tcW w:w="0" w:type="auto"/>
          </w:tcPr>
          <w:p w14:paraId="44B6F1D0" w14:textId="77777777" w:rsidR="008940B3" w:rsidRPr="003B5C8D" w:rsidRDefault="008940B3" w:rsidP="00E858EF">
            <w:pPr>
              <w:suppressAutoHyphens/>
              <w:jc w:val="center"/>
              <w:rPr>
                <w:sz w:val="16"/>
                <w:szCs w:val="16"/>
              </w:rPr>
            </w:pPr>
          </w:p>
        </w:tc>
        <w:tc>
          <w:tcPr>
            <w:tcW w:w="293" w:type="dxa"/>
          </w:tcPr>
          <w:p w14:paraId="3967A0F0" w14:textId="77777777" w:rsidR="008940B3" w:rsidRPr="003B5C8D" w:rsidRDefault="008940B3" w:rsidP="00E858EF">
            <w:pPr>
              <w:suppressAutoHyphens/>
              <w:jc w:val="center"/>
              <w:rPr>
                <w:sz w:val="16"/>
                <w:szCs w:val="16"/>
              </w:rPr>
            </w:pPr>
          </w:p>
        </w:tc>
      </w:tr>
      <w:tr w:rsidR="008940B3" w:rsidRPr="003B5C8D" w14:paraId="02181FA4" w14:textId="77777777" w:rsidTr="00363CE1">
        <w:trPr>
          <w:trHeight w:val="175"/>
        </w:trPr>
        <w:tc>
          <w:tcPr>
            <w:tcW w:w="2176" w:type="dxa"/>
          </w:tcPr>
          <w:p w14:paraId="2E71C989"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NIROU CHANI PHRANGOULI</w:t>
            </w:r>
          </w:p>
        </w:tc>
        <w:tc>
          <w:tcPr>
            <w:tcW w:w="1070" w:type="dxa"/>
          </w:tcPr>
          <w:p w14:paraId="5E4D56F2"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580D7B5F" w14:textId="77777777" w:rsidR="008940B3" w:rsidRPr="003B5C8D" w:rsidRDefault="008940B3" w:rsidP="00E858EF">
            <w:pPr>
              <w:suppressAutoHyphens/>
              <w:jc w:val="center"/>
              <w:rPr>
                <w:sz w:val="16"/>
                <w:szCs w:val="16"/>
              </w:rPr>
            </w:pPr>
          </w:p>
        </w:tc>
        <w:tc>
          <w:tcPr>
            <w:tcW w:w="739" w:type="dxa"/>
          </w:tcPr>
          <w:p w14:paraId="1842D636" w14:textId="77777777" w:rsidR="008940B3" w:rsidRPr="003B5C8D" w:rsidRDefault="008940B3" w:rsidP="00E858EF">
            <w:pPr>
              <w:suppressAutoHyphens/>
              <w:jc w:val="center"/>
              <w:rPr>
                <w:sz w:val="16"/>
                <w:szCs w:val="16"/>
              </w:rPr>
            </w:pPr>
          </w:p>
        </w:tc>
        <w:tc>
          <w:tcPr>
            <w:tcW w:w="537" w:type="dxa"/>
          </w:tcPr>
          <w:p w14:paraId="5720A245" w14:textId="77777777" w:rsidR="008940B3" w:rsidRPr="003B5C8D" w:rsidRDefault="008940B3" w:rsidP="00E858EF">
            <w:pPr>
              <w:suppressAutoHyphens/>
              <w:jc w:val="center"/>
              <w:rPr>
                <w:sz w:val="16"/>
                <w:szCs w:val="16"/>
              </w:rPr>
            </w:pPr>
          </w:p>
        </w:tc>
        <w:tc>
          <w:tcPr>
            <w:tcW w:w="0" w:type="auto"/>
          </w:tcPr>
          <w:p w14:paraId="19FE03F1" w14:textId="77777777" w:rsidR="008940B3" w:rsidRPr="003B5C8D" w:rsidRDefault="008940B3" w:rsidP="00E858EF">
            <w:pPr>
              <w:suppressAutoHyphens/>
              <w:jc w:val="center"/>
              <w:rPr>
                <w:sz w:val="16"/>
                <w:szCs w:val="16"/>
              </w:rPr>
            </w:pPr>
          </w:p>
        </w:tc>
        <w:tc>
          <w:tcPr>
            <w:tcW w:w="0" w:type="auto"/>
          </w:tcPr>
          <w:p w14:paraId="40E9E3FB" w14:textId="77777777" w:rsidR="008940B3" w:rsidRPr="003B5C8D" w:rsidRDefault="008940B3" w:rsidP="00E858EF">
            <w:pPr>
              <w:suppressAutoHyphens/>
              <w:jc w:val="center"/>
              <w:rPr>
                <w:sz w:val="16"/>
                <w:szCs w:val="16"/>
              </w:rPr>
            </w:pPr>
          </w:p>
        </w:tc>
        <w:tc>
          <w:tcPr>
            <w:tcW w:w="0" w:type="auto"/>
          </w:tcPr>
          <w:p w14:paraId="67DBED32" w14:textId="77777777" w:rsidR="008940B3" w:rsidRPr="003B5C8D" w:rsidRDefault="008940B3" w:rsidP="00E858EF">
            <w:pPr>
              <w:suppressAutoHyphens/>
              <w:jc w:val="center"/>
              <w:rPr>
                <w:sz w:val="16"/>
                <w:szCs w:val="16"/>
              </w:rPr>
            </w:pPr>
          </w:p>
        </w:tc>
        <w:tc>
          <w:tcPr>
            <w:tcW w:w="0" w:type="auto"/>
          </w:tcPr>
          <w:p w14:paraId="7B278F45" w14:textId="77777777" w:rsidR="008940B3" w:rsidRPr="003B5C8D" w:rsidRDefault="008940B3" w:rsidP="00E858EF">
            <w:pPr>
              <w:suppressAutoHyphens/>
              <w:jc w:val="center"/>
              <w:rPr>
                <w:sz w:val="16"/>
                <w:szCs w:val="16"/>
              </w:rPr>
            </w:pPr>
          </w:p>
        </w:tc>
        <w:tc>
          <w:tcPr>
            <w:tcW w:w="293" w:type="dxa"/>
          </w:tcPr>
          <w:p w14:paraId="37B050CA" w14:textId="77777777" w:rsidR="008940B3" w:rsidRPr="003B5C8D" w:rsidRDefault="008940B3" w:rsidP="00E858EF">
            <w:pPr>
              <w:suppressAutoHyphens/>
              <w:jc w:val="center"/>
              <w:rPr>
                <w:sz w:val="16"/>
                <w:szCs w:val="16"/>
              </w:rPr>
            </w:pPr>
          </w:p>
        </w:tc>
      </w:tr>
      <w:tr w:rsidR="008940B3" w:rsidRPr="003B5C8D" w14:paraId="67D7315E" w14:textId="77777777" w:rsidTr="00363CE1">
        <w:trPr>
          <w:trHeight w:val="175"/>
        </w:trPr>
        <w:tc>
          <w:tcPr>
            <w:tcW w:w="2176" w:type="dxa"/>
          </w:tcPr>
          <w:p w14:paraId="72828A47"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NIROU CHANI VATHEIANOS KAMPOS</w:t>
            </w:r>
          </w:p>
        </w:tc>
        <w:tc>
          <w:tcPr>
            <w:tcW w:w="1070" w:type="dxa"/>
          </w:tcPr>
          <w:p w14:paraId="14FFAC60"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2F849C8B" w14:textId="77777777" w:rsidR="008940B3" w:rsidRPr="003B5C8D" w:rsidRDefault="008940B3" w:rsidP="00E858EF">
            <w:pPr>
              <w:suppressAutoHyphens/>
              <w:jc w:val="center"/>
              <w:rPr>
                <w:sz w:val="16"/>
                <w:szCs w:val="16"/>
              </w:rPr>
            </w:pPr>
          </w:p>
        </w:tc>
        <w:tc>
          <w:tcPr>
            <w:tcW w:w="739" w:type="dxa"/>
          </w:tcPr>
          <w:p w14:paraId="0D7646C8" w14:textId="77777777" w:rsidR="008940B3" w:rsidRPr="003B5C8D" w:rsidRDefault="008940B3" w:rsidP="00E858EF">
            <w:pPr>
              <w:suppressAutoHyphens/>
              <w:jc w:val="center"/>
              <w:rPr>
                <w:sz w:val="16"/>
                <w:szCs w:val="16"/>
              </w:rPr>
            </w:pPr>
          </w:p>
        </w:tc>
        <w:tc>
          <w:tcPr>
            <w:tcW w:w="537" w:type="dxa"/>
          </w:tcPr>
          <w:p w14:paraId="0D8628AC" w14:textId="77777777" w:rsidR="008940B3" w:rsidRPr="003B5C8D" w:rsidRDefault="008940B3" w:rsidP="00E858EF">
            <w:pPr>
              <w:suppressAutoHyphens/>
              <w:jc w:val="center"/>
              <w:rPr>
                <w:sz w:val="16"/>
                <w:szCs w:val="16"/>
              </w:rPr>
            </w:pPr>
          </w:p>
        </w:tc>
        <w:tc>
          <w:tcPr>
            <w:tcW w:w="0" w:type="auto"/>
          </w:tcPr>
          <w:p w14:paraId="6ED302EF" w14:textId="77777777" w:rsidR="008940B3" w:rsidRPr="003B5C8D" w:rsidRDefault="008940B3" w:rsidP="00E858EF">
            <w:pPr>
              <w:suppressAutoHyphens/>
              <w:jc w:val="center"/>
              <w:rPr>
                <w:sz w:val="16"/>
                <w:szCs w:val="16"/>
              </w:rPr>
            </w:pPr>
          </w:p>
        </w:tc>
        <w:tc>
          <w:tcPr>
            <w:tcW w:w="0" w:type="auto"/>
          </w:tcPr>
          <w:p w14:paraId="30246A5C" w14:textId="77777777" w:rsidR="008940B3" w:rsidRPr="003B5C8D" w:rsidRDefault="008940B3" w:rsidP="00E858EF">
            <w:pPr>
              <w:suppressAutoHyphens/>
              <w:jc w:val="center"/>
              <w:rPr>
                <w:sz w:val="16"/>
                <w:szCs w:val="16"/>
              </w:rPr>
            </w:pPr>
          </w:p>
        </w:tc>
        <w:tc>
          <w:tcPr>
            <w:tcW w:w="0" w:type="auto"/>
          </w:tcPr>
          <w:p w14:paraId="001115AE" w14:textId="77777777" w:rsidR="008940B3" w:rsidRPr="003B5C8D" w:rsidRDefault="008940B3" w:rsidP="00E858EF">
            <w:pPr>
              <w:suppressAutoHyphens/>
              <w:jc w:val="center"/>
              <w:rPr>
                <w:sz w:val="16"/>
                <w:szCs w:val="16"/>
              </w:rPr>
            </w:pPr>
          </w:p>
        </w:tc>
        <w:tc>
          <w:tcPr>
            <w:tcW w:w="0" w:type="auto"/>
          </w:tcPr>
          <w:p w14:paraId="2A7967EA" w14:textId="77777777" w:rsidR="008940B3" w:rsidRPr="003B5C8D" w:rsidRDefault="008940B3" w:rsidP="00E858EF">
            <w:pPr>
              <w:suppressAutoHyphens/>
              <w:jc w:val="center"/>
              <w:rPr>
                <w:sz w:val="16"/>
                <w:szCs w:val="16"/>
              </w:rPr>
            </w:pPr>
          </w:p>
        </w:tc>
        <w:tc>
          <w:tcPr>
            <w:tcW w:w="293" w:type="dxa"/>
          </w:tcPr>
          <w:p w14:paraId="0E943C3A" w14:textId="77777777" w:rsidR="008940B3" w:rsidRPr="003B5C8D" w:rsidRDefault="008940B3" w:rsidP="00E858EF">
            <w:pPr>
              <w:suppressAutoHyphens/>
              <w:jc w:val="center"/>
              <w:rPr>
                <w:sz w:val="16"/>
                <w:szCs w:val="16"/>
              </w:rPr>
            </w:pPr>
          </w:p>
        </w:tc>
      </w:tr>
      <w:tr w:rsidR="008940B3" w:rsidRPr="003B5C8D" w14:paraId="591366FF" w14:textId="77777777" w:rsidTr="00363CE1">
        <w:trPr>
          <w:trHeight w:val="175"/>
        </w:trPr>
        <w:tc>
          <w:tcPr>
            <w:tcW w:w="2176" w:type="dxa"/>
          </w:tcPr>
          <w:p w14:paraId="458DDB1C"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PENTAMODI</w:t>
            </w:r>
          </w:p>
        </w:tc>
        <w:tc>
          <w:tcPr>
            <w:tcW w:w="1070" w:type="dxa"/>
          </w:tcPr>
          <w:p w14:paraId="6E1B9397"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32FA0091" w14:textId="77777777" w:rsidR="008940B3" w:rsidRPr="003B5C8D" w:rsidRDefault="008940B3" w:rsidP="00E858EF">
            <w:pPr>
              <w:suppressAutoHyphens/>
              <w:jc w:val="center"/>
              <w:rPr>
                <w:sz w:val="16"/>
                <w:szCs w:val="16"/>
              </w:rPr>
            </w:pPr>
          </w:p>
        </w:tc>
        <w:tc>
          <w:tcPr>
            <w:tcW w:w="739" w:type="dxa"/>
          </w:tcPr>
          <w:p w14:paraId="3BF48621" w14:textId="77777777" w:rsidR="008940B3" w:rsidRPr="003B5C8D" w:rsidRDefault="008940B3" w:rsidP="00E858EF">
            <w:pPr>
              <w:suppressAutoHyphens/>
              <w:jc w:val="center"/>
              <w:rPr>
                <w:sz w:val="16"/>
                <w:szCs w:val="16"/>
              </w:rPr>
            </w:pPr>
          </w:p>
        </w:tc>
        <w:tc>
          <w:tcPr>
            <w:tcW w:w="537" w:type="dxa"/>
          </w:tcPr>
          <w:p w14:paraId="2ECA7675" w14:textId="77777777" w:rsidR="008940B3" w:rsidRPr="003B5C8D" w:rsidRDefault="008940B3" w:rsidP="00E858EF">
            <w:pPr>
              <w:suppressAutoHyphens/>
              <w:jc w:val="center"/>
              <w:rPr>
                <w:sz w:val="16"/>
                <w:szCs w:val="16"/>
              </w:rPr>
            </w:pPr>
          </w:p>
        </w:tc>
        <w:tc>
          <w:tcPr>
            <w:tcW w:w="0" w:type="auto"/>
          </w:tcPr>
          <w:p w14:paraId="282F3182" w14:textId="77777777" w:rsidR="008940B3" w:rsidRPr="003B5C8D" w:rsidRDefault="008940B3" w:rsidP="00E858EF">
            <w:pPr>
              <w:suppressAutoHyphens/>
              <w:jc w:val="center"/>
              <w:rPr>
                <w:sz w:val="16"/>
                <w:szCs w:val="16"/>
              </w:rPr>
            </w:pPr>
          </w:p>
        </w:tc>
        <w:tc>
          <w:tcPr>
            <w:tcW w:w="0" w:type="auto"/>
          </w:tcPr>
          <w:p w14:paraId="358B1B40" w14:textId="77777777" w:rsidR="008940B3" w:rsidRPr="003B5C8D" w:rsidRDefault="008940B3" w:rsidP="00E858EF">
            <w:pPr>
              <w:suppressAutoHyphens/>
              <w:jc w:val="center"/>
              <w:rPr>
                <w:sz w:val="16"/>
                <w:szCs w:val="16"/>
              </w:rPr>
            </w:pPr>
          </w:p>
        </w:tc>
        <w:tc>
          <w:tcPr>
            <w:tcW w:w="0" w:type="auto"/>
          </w:tcPr>
          <w:p w14:paraId="34A1239E" w14:textId="77777777" w:rsidR="008940B3" w:rsidRPr="003B5C8D" w:rsidRDefault="008940B3" w:rsidP="00E858EF">
            <w:pPr>
              <w:suppressAutoHyphens/>
              <w:jc w:val="center"/>
              <w:rPr>
                <w:sz w:val="16"/>
                <w:szCs w:val="16"/>
              </w:rPr>
            </w:pPr>
          </w:p>
        </w:tc>
        <w:tc>
          <w:tcPr>
            <w:tcW w:w="0" w:type="auto"/>
          </w:tcPr>
          <w:p w14:paraId="24E0352C" w14:textId="77777777" w:rsidR="008940B3" w:rsidRPr="003B5C8D" w:rsidRDefault="008940B3" w:rsidP="00E858EF">
            <w:pPr>
              <w:suppressAutoHyphens/>
              <w:jc w:val="center"/>
              <w:rPr>
                <w:sz w:val="16"/>
                <w:szCs w:val="16"/>
              </w:rPr>
            </w:pPr>
          </w:p>
        </w:tc>
        <w:tc>
          <w:tcPr>
            <w:tcW w:w="293" w:type="dxa"/>
          </w:tcPr>
          <w:p w14:paraId="4864AB7B" w14:textId="77777777" w:rsidR="008940B3" w:rsidRPr="003B5C8D" w:rsidRDefault="008940B3" w:rsidP="00E858EF">
            <w:pPr>
              <w:suppressAutoHyphens/>
              <w:jc w:val="center"/>
              <w:rPr>
                <w:sz w:val="16"/>
                <w:szCs w:val="16"/>
              </w:rPr>
            </w:pPr>
          </w:p>
        </w:tc>
      </w:tr>
      <w:tr w:rsidR="008940B3" w:rsidRPr="003B5C8D" w14:paraId="404CE6CA" w14:textId="77777777" w:rsidTr="00363CE1">
        <w:trPr>
          <w:trHeight w:val="175"/>
        </w:trPr>
        <w:tc>
          <w:tcPr>
            <w:tcW w:w="2176" w:type="dxa"/>
          </w:tcPr>
          <w:p w14:paraId="58633241"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PHOINIKIA</w:t>
            </w:r>
          </w:p>
        </w:tc>
        <w:tc>
          <w:tcPr>
            <w:tcW w:w="1070" w:type="dxa"/>
          </w:tcPr>
          <w:p w14:paraId="708BDDD9"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40CABFCC" w14:textId="77777777" w:rsidR="008940B3" w:rsidRPr="003B5C8D" w:rsidRDefault="008940B3" w:rsidP="00E858EF">
            <w:pPr>
              <w:suppressAutoHyphens/>
              <w:jc w:val="center"/>
              <w:rPr>
                <w:sz w:val="16"/>
                <w:szCs w:val="16"/>
              </w:rPr>
            </w:pPr>
          </w:p>
        </w:tc>
        <w:tc>
          <w:tcPr>
            <w:tcW w:w="739" w:type="dxa"/>
          </w:tcPr>
          <w:p w14:paraId="3D2CD997"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537" w:type="dxa"/>
          </w:tcPr>
          <w:p w14:paraId="7CA43F95" w14:textId="77777777" w:rsidR="008940B3" w:rsidRPr="003B5C8D" w:rsidRDefault="008940B3" w:rsidP="00E858EF">
            <w:pPr>
              <w:suppressAutoHyphens/>
              <w:jc w:val="center"/>
              <w:rPr>
                <w:sz w:val="16"/>
                <w:szCs w:val="16"/>
              </w:rPr>
            </w:pPr>
          </w:p>
        </w:tc>
        <w:tc>
          <w:tcPr>
            <w:tcW w:w="0" w:type="auto"/>
          </w:tcPr>
          <w:p w14:paraId="44282D24" w14:textId="77777777" w:rsidR="008940B3" w:rsidRPr="003B5C8D" w:rsidRDefault="008940B3" w:rsidP="00E858EF">
            <w:pPr>
              <w:suppressAutoHyphens/>
              <w:jc w:val="center"/>
              <w:rPr>
                <w:sz w:val="16"/>
                <w:szCs w:val="16"/>
              </w:rPr>
            </w:pPr>
          </w:p>
        </w:tc>
        <w:tc>
          <w:tcPr>
            <w:tcW w:w="0" w:type="auto"/>
          </w:tcPr>
          <w:p w14:paraId="54589B37" w14:textId="77777777" w:rsidR="008940B3" w:rsidRPr="003B5C8D" w:rsidRDefault="008940B3" w:rsidP="00E858EF">
            <w:pPr>
              <w:suppressAutoHyphens/>
              <w:jc w:val="center"/>
              <w:rPr>
                <w:sz w:val="16"/>
                <w:szCs w:val="16"/>
              </w:rPr>
            </w:pPr>
          </w:p>
        </w:tc>
        <w:tc>
          <w:tcPr>
            <w:tcW w:w="0" w:type="auto"/>
          </w:tcPr>
          <w:p w14:paraId="66475E5A" w14:textId="77777777" w:rsidR="008940B3" w:rsidRPr="003B5C8D" w:rsidRDefault="008940B3" w:rsidP="00E858EF">
            <w:pPr>
              <w:suppressAutoHyphens/>
              <w:jc w:val="center"/>
              <w:rPr>
                <w:sz w:val="16"/>
                <w:szCs w:val="16"/>
              </w:rPr>
            </w:pPr>
          </w:p>
        </w:tc>
        <w:tc>
          <w:tcPr>
            <w:tcW w:w="0" w:type="auto"/>
          </w:tcPr>
          <w:p w14:paraId="5AFB8693" w14:textId="77777777" w:rsidR="008940B3" w:rsidRPr="003B5C8D" w:rsidRDefault="008940B3" w:rsidP="00E858EF">
            <w:pPr>
              <w:suppressAutoHyphens/>
              <w:jc w:val="center"/>
              <w:rPr>
                <w:sz w:val="16"/>
                <w:szCs w:val="16"/>
              </w:rPr>
            </w:pPr>
          </w:p>
        </w:tc>
        <w:tc>
          <w:tcPr>
            <w:tcW w:w="293" w:type="dxa"/>
          </w:tcPr>
          <w:p w14:paraId="7E66941C" w14:textId="77777777" w:rsidR="008940B3" w:rsidRPr="003B5C8D" w:rsidRDefault="008940B3" w:rsidP="00E858EF">
            <w:pPr>
              <w:suppressAutoHyphens/>
              <w:jc w:val="center"/>
              <w:rPr>
                <w:sz w:val="16"/>
                <w:szCs w:val="16"/>
              </w:rPr>
            </w:pPr>
          </w:p>
        </w:tc>
      </w:tr>
      <w:tr w:rsidR="008940B3" w:rsidRPr="003B5C8D" w14:paraId="5D3958C2" w14:textId="77777777" w:rsidTr="00363CE1">
        <w:trPr>
          <w:trHeight w:val="175"/>
        </w:trPr>
        <w:tc>
          <w:tcPr>
            <w:tcW w:w="2176" w:type="dxa"/>
          </w:tcPr>
          <w:p w14:paraId="613EAD85"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PREVELIANA</w:t>
            </w:r>
          </w:p>
        </w:tc>
        <w:tc>
          <w:tcPr>
            <w:tcW w:w="1070" w:type="dxa"/>
          </w:tcPr>
          <w:p w14:paraId="3C93B4DD"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098E4B32" w14:textId="77777777" w:rsidR="008940B3" w:rsidRPr="003B5C8D" w:rsidRDefault="008940B3" w:rsidP="00E858EF">
            <w:pPr>
              <w:suppressAutoHyphens/>
              <w:jc w:val="center"/>
              <w:rPr>
                <w:sz w:val="16"/>
                <w:szCs w:val="16"/>
              </w:rPr>
            </w:pPr>
          </w:p>
        </w:tc>
        <w:tc>
          <w:tcPr>
            <w:tcW w:w="739" w:type="dxa"/>
          </w:tcPr>
          <w:p w14:paraId="32E76687" w14:textId="77777777" w:rsidR="008940B3" w:rsidRPr="003B5C8D" w:rsidRDefault="008940B3" w:rsidP="00E858EF">
            <w:pPr>
              <w:suppressAutoHyphens/>
              <w:jc w:val="center"/>
              <w:rPr>
                <w:sz w:val="16"/>
                <w:szCs w:val="16"/>
              </w:rPr>
            </w:pPr>
          </w:p>
        </w:tc>
        <w:tc>
          <w:tcPr>
            <w:tcW w:w="537" w:type="dxa"/>
          </w:tcPr>
          <w:p w14:paraId="725506B5" w14:textId="77777777" w:rsidR="008940B3" w:rsidRPr="003B5C8D" w:rsidRDefault="008940B3" w:rsidP="00E858EF">
            <w:pPr>
              <w:suppressAutoHyphens/>
              <w:jc w:val="center"/>
              <w:rPr>
                <w:sz w:val="16"/>
                <w:szCs w:val="16"/>
              </w:rPr>
            </w:pPr>
          </w:p>
        </w:tc>
        <w:tc>
          <w:tcPr>
            <w:tcW w:w="0" w:type="auto"/>
          </w:tcPr>
          <w:p w14:paraId="42EF3A66" w14:textId="77777777" w:rsidR="008940B3" w:rsidRPr="003B5C8D" w:rsidRDefault="008940B3" w:rsidP="00E858EF">
            <w:pPr>
              <w:suppressAutoHyphens/>
              <w:jc w:val="center"/>
              <w:rPr>
                <w:sz w:val="16"/>
                <w:szCs w:val="16"/>
              </w:rPr>
            </w:pPr>
          </w:p>
        </w:tc>
        <w:tc>
          <w:tcPr>
            <w:tcW w:w="0" w:type="auto"/>
          </w:tcPr>
          <w:p w14:paraId="6EA04394" w14:textId="77777777" w:rsidR="008940B3" w:rsidRPr="003B5C8D" w:rsidRDefault="008940B3" w:rsidP="00E858EF">
            <w:pPr>
              <w:suppressAutoHyphens/>
              <w:jc w:val="center"/>
              <w:rPr>
                <w:sz w:val="16"/>
                <w:szCs w:val="16"/>
              </w:rPr>
            </w:pPr>
          </w:p>
        </w:tc>
        <w:tc>
          <w:tcPr>
            <w:tcW w:w="0" w:type="auto"/>
          </w:tcPr>
          <w:p w14:paraId="154D6D85" w14:textId="77777777" w:rsidR="008940B3" w:rsidRPr="003B5C8D" w:rsidRDefault="008940B3" w:rsidP="00E858EF">
            <w:pPr>
              <w:suppressAutoHyphens/>
              <w:jc w:val="center"/>
              <w:rPr>
                <w:sz w:val="16"/>
                <w:szCs w:val="16"/>
              </w:rPr>
            </w:pPr>
          </w:p>
        </w:tc>
        <w:tc>
          <w:tcPr>
            <w:tcW w:w="0" w:type="auto"/>
          </w:tcPr>
          <w:p w14:paraId="566F3865" w14:textId="77777777" w:rsidR="008940B3" w:rsidRPr="003B5C8D" w:rsidRDefault="008940B3" w:rsidP="00E858EF">
            <w:pPr>
              <w:suppressAutoHyphens/>
              <w:jc w:val="center"/>
              <w:rPr>
                <w:sz w:val="16"/>
                <w:szCs w:val="16"/>
              </w:rPr>
            </w:pPr>
          </w:p>
        </w:tc>
        <w:tc>
          <w:tcPr>
            <w:tcW w:w="293" w:type="dxa"/>
          </w:tcPr>
          <w:p w14:paraId="03D3538F" w14:textId="77777777" w:rsidR="008940B3" w:rsidRPr="003B5C8D" w:rsidRDefault="008940B3" w:rsidP="00E858EF">
            <w:pPr>
              <w:suppressAutoHyphens/>
              <w:jc w:val="center"/>
              <w:rPr>
                <w:sz w:val="16"/>
                <w:szCs w:val="16"/>
              </w:rPr>
            </w:pPr>
          </w:p>
        </w:tc>
      </w:tr>
      <w:tr w:rsidR="008940B3" w:rsidRPr="003B5C8D" w14:paraId="1B703712" w14:textId="77777777" w:rsidTr="00363CE1">
        <w:trPr>
          <w:trHeight w:val="175"/>
        </w:trPr>
        <w:tc>
          <w:tcPr>
            <w:tcW w:w="2176" w:type="dxa"/>
          </w:tcPr>
          <w:p w14:paraId="7C0EF313"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SIVA</w:t>
            </w:r>
          </w:p>
        </w:tc>
        <w:tc>
          <w:tcPr>
            <w:tcW w:w="1070" w:type="dxa"/>
          </w:tcPr>
          <w:p w14:paraId="64900F9E"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05B41A03" w14:textId="77777777" w:rsidR="008940B3" w:rsidRPr="003B5C8D" w:rsidRDefault="008940B3" w:rsidP="00E858EF">
            <w:pPr>
              <w:suppressAutoHyphens/>
              <w:jc w:val="center"/>
              <w:rPr>
                <w:sz w:val="16"/>
                <w:szCs w:val="16"/>
              </w:rPr>
            </w:pPr>
          </w:p>
        </w:tc>
        <w:tc>
          <w:tcPr>
            <w:tcW w:w="739" w:type="dxa"/>
          </w:tcPr>
          <w:p w14:paraId="695690FF" w14:textId="77777777" w:rsidR="008940B3" w:rsidRPr="003B5C8D" w:rsidRDefault="008940B3" w:rsidP="00E858EF">
            <w:pPr>
              <w:suppressAutoHyphens/>
              <w:jc w:val="center"/>
              <w:rPr>
                <w:sz w:val="16"/>
                <w:szCs w:val="16"/>
              </w:rPr>
            </w:pPr>
          </w:p>
        </w:tc>
        <w:tc>
          <w:tcPr>
            <w:tcW w:w="537" w:type="dxa"/>
          </w:tcPr>
          <w:p w14:paraId="39057169" w14:textId="77777777" w:rsidR="008940B3" w:rsidRPr="003B5C8D" w:rsidRDefault="008940B3" w:rsidP="00E858EF">
            <w:pPr>
              <w:suppressAutoHyphens/>
              <w:jc w:val="center"/>
              <w:rPr>
                <w:sz w:val="16"/>
                <w:szCs w:val="16"/>
              </w:rPr>
            </w:pPr>
          </w:p>
        </w:tc>
        <w:tc>
          <w:tcPr>
            <w:tcW w:w="0" w:type="auto"/>
          </w:tcPr>
          <w:p w14:paraId="20DC9CC4" w14:textId="77777777" w:rsidR="008940B3" w:rsidRPr="003B5C8D" w:rsidRDefault="008940B3" w:rsidP="00E858EF">
            <w:pPr>
              <w:suppressAutoHyphens/>
              <w:jc w:val="center"/>
              <w:rPr>
                <w:sz w:val="16"/>
                <w:szCs w:val="16"/>
              </w:rPr>
            </w:pPr>
          </w:p>
        </w:tc>
        <w:tc>
          <w:tcPr>
            <w:tcW w:w="0" w:type="auto"/>
          </w:tcPr>
          <w:p w14:paraId="4A76D9F4" w14:textId="77777777" w:rsidR="008940B3" w:rsidRPr="003B5C8D" w:rsidRDefault="008940B3" w:rsidP="00E858EF">
            <w:pPr>
              <w:suppressAutoHyphens/>
              <w:jc w:val="center"/>
              <w:rPr>
                <w:sz w:val="16"/>
                <w:szCs w:val="16"/>
              </w:rPr>
            </w:pPr>
          </w:p>
        </w:tc>
        <w:tc>
          <w:tcPr>
            <w:tcW w:w="0" w:type="auto"/>
          </w:tcPr>
          <w:p w14:paraId="4C943BCF" w14:textId="77777777" w:rsidR="008940B3" w:rsidRPr="003B5C8D" w:rsidRDefault="008940B3" w:rsidP="00E858EF">
            <w:pPr>
              <w:suppressAutoHyphens/>
              <w:jc w:val="center"/>
              <w:rPr>
                <w:sz w:val="16"/>
                <w:szCs w:val="16"/>
              </w:rPr>
            </w:pPr>
          </w:p>
        </w:tc>
        <w:tc>
          <w:tcPr>
            <w:tcW w:w="0" w:type="auto"/>
          </w:tcPr>
          <w:p w14:paraId="6DC749B1" w14:textId="77777777" w:rsidR="008940B3" w:rsidRPr="003B5C8D" w:rsidRDefault="008940B3" w:rsidP="00E858EF">
            <w:pPr>
              <w:suppressAutoHyphens/>
              <w:jc w:val="center"/>
              <w:rPr>
                <w:sz w:val="16"/>
                <w:szCs w:val="16"/>
              </w:rPr>
            </w:pPr>
          </w:p>
        </w:tc>
        <w:tc>
          <w:tcPr>
            <w:tcW w:w="293" w:type="dxa"/>
          </w:tcPr>
          <w:p w14:paraId="1162EECF" w14:textId="77777777" w:rsidR="008940B3" w:rsidRPr="003B5C8D" w:rsidRDefault="008940B3" w:rsidP="00E858EF">
            <w:pPr>
              <w:suppressAutoHyphens/>
              <w:jc w:val="center"/>
              <w:rPr>
                <w:sz w:val="16"/>
                <w:szCs w:val="16"/>
              </w:rPr>
            </w:pPr>
          </w:p>
        </w:tc>
      </w:tr>
      <w:tr w:rsidR="008940B3" w:rsidRPr="003B5C8D" w14:paraId="6530DA45" w14:textId="77777777" w:rsidTr="00363CE1">
        <w:trPr>
          <w:trHeight w:val="175"/>
        </w:trPr>
        <w:tc>
          <w:tcPr>
            <w:tcW w:w="2176" w:type="dxa"/>
          </w:tcPr>
          <w:p w14:paraId="3AFD6609"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SKOTEINO</w:t>
            </w:r>
          </w:p>
        </w:tc>
        <w:tc>
          <w:tcPr>
            <w:tcW w:w="1070" w:type="dxa"/>
          </w:tcPr>
          <w:p w14:paraId="26403F76"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09CF63B1" w14:textId="77777777" w:rsidR="008940B3" w:rsidRPr="003B5C8D" w:rsidRDefault="008940B3" w:rsidP="00E858EF">
            <w:pPr>
              <w:suppressAutoHyphens/>
              <w:jc w:val="center"/>
              <w:rPr>
                <w:sz w:val="16"/>
                <w:szCs w:val="16"/>
              </w:rPr>
            </w:pPr>
          </w:p>
        </w:tc>
        <w:tc>
          <w:tcPr>
            <w:tcW w:w="739" w:type="dxa"/>
          </w:tcPr>
          <w:p w14:paraId="74303E43" w14:textId="77777777" w:rsidR="008940B3" w:rsidRPr="003B5C8D" w:rsidRDefault="008940B3" w:rsidP="00E858EF">
            <w:pPr>
              <w:suppressAutoHyphens/>
              <w:jc w:val="center"/>
              <w:rPr>
                <w:sz w:val="16"/>
                <w:szCs w:val="16"/>
              </w:rPr>
            </w:pPr>
          </w:p>
        </w:tc>
        <w:tc>
          <w:tcPr>
            <w:tcW w:w="537" w:type="dxa"/>
          </w:tcPr>
          <w:p w14:paraId="79D17CAF" w14:textId="77777777" w:rsidR="008940B3" w:rsidRPr="003B5C8D" w:rsidRDefault="008940B3" w:rsidP="00E858EF">
            <w:pPr>
              <w:suppressAutoHyphens/>
              <w:jc w:val="center"/>
              <w:rPr>
                <w:sz w:val="16"/>
                <w:szCs w:val="16"/>
              </w:rPr>
            </w:pPr>
          </w:p>
        </w:tc>
        <w:tc>
          <w:tcPr>
            <w:tcW w:w="0" w:type="auto"/>
          </w:tcPr>
          <w:p w14:paraId="74A93896" w14:textId="77777777" w:rsidR="008940B3" w:rsidRPr="003B5C8D" w:rsidRDefault="008940B3" w:rsidP="00E858EF">
            <w:pPr>
              <w:suppressAutoHyphens/>
              <w:jc w:val="center"/>
              <w:rPr>
                <w:sz w:val="16"/>
                <w:szCs w:val="16"/>
              </w:rPr>
            </w:pPr>
          </w:p>
        </w:tc>
        <w:tc>
          <w:tcPr>
            <w:tcW w:w="0" w:type="auto"/>
          </w:tcPr>
          <w:p w14:paraId="1AECCBCE" w14:textId="77777777" w:rsidR="008940B3" w:rsidRPr="003B5C8D" w:rsidRDefault="008940B3" w:rsidP="00E858EF">
            <w:pPr>
              <w:suppressAutoHyphens/>
              <w:jc w:val="center"/>
              <w:rPr>
                <w:sz w:val="16"/>
                <w:szCs w:val="16"/>
              </w:rPr>
            </w:pPr>
          </w:p>
        </w:tc>
        <w:tc>
          <w:tcPr>
            <w:tcW w:w="0" w:type="auto"/>
          </w:tcPr>
          <w:p w14:paraId="09535450" w14:textId="77777777" w:rsidR="008940B3" w:rsidRPr="003B5C8D" w:rsidRDefault="008940B3" w:rsidP="00E858EF">
            <w:pPr>
              <w:suppressAutoHyphens/>
              <w:jc w:val="center"/>
              <w:rPr>
                <w:sz w:val="16"/>
                <w:szCs w:val="16"/>
              </w:rPr>
            </w:pPr>
          </w:p>
        </w:tc>
        <w:tc>
          <w:tcPr>
            <w:tcW w:w="0" w:type="auto"/>
          </w:tcPr>
          <w:p w14:paraId="5CD6368F" w14:textId="77777777" w:rsidR="008940B3" w:rsidRPr="003B5C8D" w:rsidRDefault="008940B3" w:rsidP="00E858EF">
            <w:pPr>
              <w:suppressAutoHyphens/>
              <w:jc w:val="center"/>
              <w:rPr>
                <w:sz w:val="16"/>
                <w:szCs w:val="16"/>
              </w:rPr>
            </w:pPr>
          </w:p>
        </w:tc>
        <w:tc>
          <w:tcPr>
            <w:tcW w:w="293" w:type="dxa"/>
          </w:tcPr>
          <w:p w14:paraId="20F80051" w14:textId="77777777" w:rsidR="008940B3" w:rsidRPr="003B5C8D" w:rsidRDefault="008940B3" w:rsidP="00E858EF">
            <w:pPr>
              <w:suppressAutoHyphens/>
              <w:jc w:val="center"/>
              <w:rPr>
                <w:sz w:val="16"/>
                <w:szCs w:val="16"/>
              </w:rPr>
            </w:pPr>
          </w:p>
        </w:tc>
      </w:tr>
      <w:tr w:rsidR="008940B3" w:rsidRPr="003B5C8D" w14:paraId="027C2047" w14:textId="77777777" w:rsidTr="00363CE1">
        <w:trPr>
          <w:trHeight w:val="175"/>
        </w:trPr>
        <w:tc>
          <w:tcPr>
            <w:tcW w:w="2176" w:type="dxa"/>
          </w:tcPr>
          <w:p w14:paraId="1E3287C6"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SMARI</w:t>
            </w:r>
          </w:p>
        </w:tc>
        <w:tc>
          <w:tcPr>
            <w:tcW w:w="1070" w:type="dxa"/>
          </w:tcPr>
          <w:p w14:paraId="138F7054"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00D4FF3E" w14:textId="77777777" w:rsidR="008940B3" w:rsidRPr="003B5C8D" w:rsidRDefault="008940B3" w:rsidP="00E858EF">
            <w:pPr>
              <w:suppressAutoHyphens/>
              <w:jc w:val="center"/>
              <w:rPr>
                <w:sz w:val="16"/>
                <w:szCs w:val="16"/>
              </w:rPr>
            </w:pPr>
          </w:p>
        </w:tc>
        <w:tc>
          <w:tcPr>
            <w:tcW w:w="739" w:type="dxa"/>
          </w:tcPr>
          <w:p w14:paraId="06508DE5" w14:textId="77777777" w:rsidR="008940B3" w:rsidRPr="003B5C8D" w:rsidRDefault="008940B3" w:rsidP="00E858EF">
            <w:pPr>
              <w:suppressAutoHyphens/>
              <w:jc w:val="center"/>
              <w:rPr>
                <w:sz w:val="16"/>
                <w:szCs w:val="16"/>
              </w:rPr>
            </w:pPr>
          </w:p>
        </w:tc>
        <w:tc>
          <w:tcPr>
            <w:tcW w:w="537" w:type="dxa"/>
          </w:tcPr>
          <w:p w14:paraId="5B604FA6" w14:textId="77777777" w:rsidR="008940B3" w:rsidRPr="003B5C8D" w:rsidRDefault="008940B3" w:rsidP="00E858EF">
            <w:pPr>
              <w:suppressAutoHyphens/>
              <w:jc w:val="center"/>
              <w:rPr>
                <w:sz w:val="16"/>
                <w:szCs w:val="16"/>
              </w:rPr>
            </w:pPr>
          </w:p>
        </w:tc>
        <w:tc>
          <w:tcPr>
            <w:tcW w:w="0" w:type="auto"/>
          </w:tcPr>
          <w:p w14:paraId="18DC8741" w14:textId="77777777" w:rsidR="008940B3" w:rsidRPr="003B5C8D" w:rsidRDefault="008940B3" w:rsidP="00E858EF">
            <w:pPr>
              <w:suppressAutoHyphens/>
              <w:jc w:val="center"/>
              <w:rPr>
                <w:sz w:val="16"/>
                <w:szCs w:val="16"/>
              </w:rPr>
            </w:pPr>
          </w:p>
        </w:tc>
        <w:tc>
          <w:tcPr>
            <w:tcW w:w="0" w:type="auto"/>
          </w:tcPr>
          <w:p w14:paraId="5F3D8B13" w14:textId="77777777" w:rsidR="008940B3" w:rsidRPr="003B5C8D" w:rsidRDefault="008940B3" w:rsidP="00E858EF">
            <w:pPr>
              <w:suppressAutoHyphens/>
              <w:jc w:val="center"/>
              <w:rPr>
                <w:sz w:val="16"/>
                <w:szCs w:val="16"/>
              </w:rPr>
            </w:pPr>
          </w:p>
        </w:tc>
        <w:tc>
          <w:tcPr>
            <w:tcW w:w="0" w:type="auto"/>
          </w:tcPr>
          <w:p w14:paraId="570D3629" w14:textId="77777777" w:rsidR="008940B3" w:rsidRPr="003B5C8D" w:rsidRDefault="008940B3" w:rsidP="00E858EF">
            <w:pPr>
              <w:suppressAutoHyphens/>
              <w:jc w:val="center"/>
              <w:rPr>
                <w:sz w:val="16"/>
                <w:szCs w:val="16"/>
              </w:rPr>
            </w:pPr>
          </w:p>
        </w:tc>
        <w:tc>
          <w:tcPr>
            <w:tcW w:w="0" w:type="auto"/>
          </w:tcPr>
          <w:p w14:paraId="30E3B011" w14:textId="77777777" w:rsidR="008940B3" w:rsidRPr="003B5C8D" w:rsidRDefault="008940B3" w:rsidP="00E858EF">
            <w:pPr>
              <w:suppressAutoHyphens/>
              <w:jc w:val="center"/>
              <w:rPr>
                <w:sz w:val="16"/>
                <w:szCs w:val="16"/>
              </w:rPr>
            </w:pPr>
          </w:p>
        </w:tc>
        <w:tc>
          <w:tcPr>
            <w:tcW w:w="293" w:type="dxa"/>
          </w:tcPr>
          <w:p w14:paraId="29E6489B"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r>
      <w:tr w:rsidR="008940B3" w:rsidRPr="003B5C8D" w14:paraId="56D90E5D" w14:textId="77777777" w:rsidTr="00363CE1">
        <w:trPr>
          <w:trHeight w:val="175"/>
        </w:trPr>
        <w:tc>
          <w:tcPr>
            <w:tcW w:w="2176" w:type="dxa"/>
          </w:tcPr>
          <w:p w14:paraId="6EEEFF95"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STAMNOI</w:t>
            </w:r>
          </w:p>
        </w:tc>
        <w:tc>
          <w:tcPr>
            <w:tcW w:w="1070" w:type="dxa"/>
          </w:tcPr>
          <w:p w14:paraId="61CFF562"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0205A3EC" w14:textId="77777777" w:rsidR="008940B3" w:rsidRPr="003B5C8D" w:rsidRDefault="008940B3" w:rsidP="00E858EF">
            <w:pPr>
              <w:suppressAutoHyphens/>
              <w:jc w:val="center"/>
              <w:rPr>
                <w:sz w:val="16"/>
                <w:szCs w:val="16"/>
              </w:rPr>
            </w:pPr>
          </w:p>
        </w:tc>
        <w:tc>
          <w:tcPr>
            <w:tcW w:w="739" w:type="dxa"/>
          </w:tcPr>
          <w:p w14:paraId="2D6E36C1" w14:textId="77777777" w:rsidR="008940B3" w:rsidRPr="003B5C8D" w:rsidRDefault="008940B3" w:rsidP="00E858EF">
            <w:pPr>
              <w:suppressAutoHyphens/>
              <w:jc w:val="center"/>
              <w:rPr>
                <w:sz w:val="16"/>
                <w:szCs w:val="16"/>
              </w:rPr>
            </w:pPr>
          </w:p>
        </w:tc>
        <w:tc>
          <w:tcPr>
            <w:tcW w:w="537" w:type="dxa"/>
          </w:tcPr>
          <w:p w14:paraId="78374F6C"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0" w:type="auto"/>
          </w:tcPr>
          <w:p w14:paraId="7CEED3BF" w14:textId="77777777" w:rsidR="008940B3" w:rsidRPr="003B5C8D" w:rsidRDefault="008940B3" w:rsidP="00E858EF">
            <w:pPr>
              <w:suppressAutoHyphens/>
              <w:jc w:val="center"/>
              <w:rPr>
                <w:sz w:val="16"/>
                <w:szCs w:val="16"/>
              </w:rPr>
            </w:pPr>
          </w:p>
        </w:tc>
        <w:tc>
          <w:tcPr>
            <w:tcW w:w="0" w:type="auto"/>
          </w:tcPr>
          <w:p w14:paraId="713E4DC8" w14:textId="77777777" w:rsidR="008940B3" w:rsidRPr="003B5C8D" w:rsidRDefault="008940B3" w:rsidP="00E858EF">
            <w:pPr>
              <w:suppressAutoHyphens/>
              <w:jc w:val="center"/>
              <w:rPr>
                <w:sz w:val="16"/>
                <w:szCs w:val="16"/>
              </w:rPr>
            </w:pPr>
          </w:p>
        </w:tc>
        <w:tc>
          <w:tcPr>
            <w:tcW w:w="0" w:type="auto"/>
          </w:tcPr>
          <w:p w14:paraId="7E3AD42F" w14:textId="77777777" w:rsidR="008940B3" w:rsidRPr="003B5C8D" w:rsidRDefault="008940B3" w:rsidP="00E858EF">
            <w:pPr>
              <w:suppressAutoHyphens/>
              <w:jc w:val="center"/>
              <w:rPr>
                <w:sz w:val="16"/>
                <w:szCs w:val="16"/>
              </w:rPr>
            </w:pPr>
          </w:p>
        </w:tc>
        <w:tc>
          <w:tcPr>
            <w:tcW w:w="0" w:type="auto"/>
          </w:tcPr>
          <w:p w14:paraId="31EB09E2" w14:textId="77777777" w:rsidR="008940B3" w:rsidRPr="003B5C8D" w:rsidRDefault="008940B3" w:rsidP="00E858EF">
            <w:pPr>
              <w:suppressAutoHyphens/>
              <w:jc w:val="center"/>
              <w:rPr>
                <w:sz w:val="16"/>
                <w:szCs w:val="16"/>
              </w:rPr>
            </w:pPr>
          </w:p>
        </w:tc>
        <w:tc>
          <w:tcPr>
            <w:tcW w:w="293" w:type="dxa"/>
          </w:tcPr>
          <w:p w14:paraId="20E6F1DA" w14:textId="77777777" w:rsidR="008940B3" w:rsidRPr="003B5C8D" w:rsidRDefault="008940B3" w:rsidP="00E858EF">
            <w:pPr>
              <w:suppressAutoHyphens/>
              <w:jc w:val="center"/>
              <w:rPr>
                <w:sz w:val="16"/>
                <w:szCs w:val="16"/>
              </w:rPr>
            </w:pPr>
          </w:p>
        </w:tc>
      </w:tr>
      <w:tr w:rsidR="008940B3" w:rsidRPr="003B5C8D" w14:paraId="1123A743" w14:textId="77777777" w:rsidTr="00363CE1">
        <w:trPr>
          <w:trHeight w:val="175"/>
        </w:trPr>
        <w:tc>
          <w:tcPr>
            <w:tcW w:w="2176" w:type="dxa"/>
          </w:tcPr>
          <w:p w14:paraId="6008DB47"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STAVRAKIA XYLANGOURI</w:t>
            </w:r>
          </w:p>
        </w:tc>
        <w:tc>
          <w:tcPr>
            <w:tcW w:w="1070" w:type="dxa"/>
          </w:tcPr>
          <w:p w14:paraId="4ED1164C"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465143D7" w14:textId="77777777" w:rsidR="008940B3" w:rsidRPr="003B5C8D" w:rsidRDefault="008940B3" w:rsidP="00E858EF">
            <w:pPr>
              <w:suppressAutoHyphens/>
              <w:jc w:val="center"/>
              <w:rPr>
                <w:sz w:val="16"/>
                <w:szCs w:val="16"/>
              </w:rPr>
            </w:pPr>
          </w:p>
        </w:tc>
        <w:tc>
          <w:tcPr>
            <w:tcW w:w="739" w:type="dxa"/>
          </w:tcPr>
          <w:p w14:paraId="36A46DF7" w14:textId="77777777" w:rsidR="008940B3" w:rsidRPr="003B5C8D" w:rsidRDefault="008940B3" w:rsidP="00E858EF">
            <w:pPr>
              <w:suppressAutoHyphens/>
              <w:jc w:val="center"/>
              <w:rPr>
                <w:sz w:val="16"/>
                <w:szCs w:val="16"/>
              </w:rPr>
            </w:pPr>
          </w:p>
        </w:tc>
        <w:tc>
          <w:tcPr>
            <w:tcW w:w="537" w:type="dxa"/>
          </w:tcPr>
          <w:p w14:paraId="5D1B74EB" w14:textId="77777777" w:rsidR="008940B3" w:rsidRPr="003B5C8D" w:rsidRDefault="008940B3" w:rsidP="00E858EF">
            <w:pPr>
              <w:suppressAutoHyphens/>
              <w:jc w:val="center"/>
              <w:rPr>
                <w:sz w:val="16"/>
                <w:szCs w:val="16"/>
              </w:rPr>
            </w:pPr>
          </w:p>
        </w:tc>
        <w:tc>
          <w:tcPr>
            <w:tcW w:w="0" w:type="auto"/>
          </w:tcPr>
          <w:p w14:paraId="0161538F" w14:textId="77777777" w:rsidR="008940B3" w:rsidRPr="003B5C8D" w:rsidRDefault="008940B3" w:rsidP="00E858EF">
            <w:pPr>
              <w:suppressAutoHyphens/>
              <w:jc w:val="center"/>
              <w:rPr>
                <w:sz w:val="16"/>
                <w:szCs w:val="16"/>
              </w:rPr>
            </w:pPr>
          </w:p>
        </w:tc>
        <w:tc>
          <w:tcPr>
            <w:tcW w:w="0" w:type="auto"/>
          </w:tcPr>
          <w:p w14:paraId="0DCF55EA" w14:textId="77777777" w:rsidR="008940B3" w:rsidRPr="003B5C8D" w:rsidRDefault="008940B3" w:rsidP="00E858EF">
            <w:pPr>
              <w:suppressAutoHyphens/>
              <w:jc w:val="center"/>
              <w:rPr>
                <w:sz w:val="16"/>
                <w:szCs w:val="16"/>
              </w:rPr>
            </w:pPr>
          </w:p>
        </w:tc>
        <w:tc>
          <w:tcPr>
            <w:tcW w:w="0" w:type="auto"/>
          </w:tcPr>
          <w:p w14:paraId="661FB7FD" w14:textId="77777777" w:rsidR="008940B3" w:rsidRPr="003B5C8D" w:rsidRDefault="008940B3" w:rsidP="00E858EF">
            <w:pPr>
              <w:suppressAutoHyphens/>
              <w:jc w:val="center"/>
              <w:rPr>
                <w:sz w:val="16"/>
                <w:szCs w:val="16"/>
              </w:rPr>
            </w:pPr>
          </w:p>
        </w:tc>
        <w:tc>
          <w:tcPr>
            <w:tcW w:w="0" w:type="auto"/>
          </w:tcPr>
          <w:p w14:paraId="69E26346" w14:textId="77777777" w:rsidR="008940B3" w:rsidRPr="003B5C8D" w:rsidRDefault="008940B3" w:rsidP="00E858EF">
            <w:pPr>
              <w:suppressAutoHyphens/>
              <w:jc w:val="center"/>
              <w:rPr>
                <w:sz w:val="16"/>
                <w:szCs w:val="16"/>
              </w:rPr>
            </w:pPr>
          </w:p>
        </w:tc>
        <w:tc>
          <w:tcPr>
            <w:tcW w:w="293" w:type="dxa"/>
          </w:tcPr>
          <w:p w14:paraId="2D076E6A" w14:textId="77777777" w:rsidR="008940B3" w:rsidRPr="003B5C8D" w:rsidRDefault="008940B3" w:rsidP="00E858EF">
            <w:pPr>
              <w:suppressAutoHyphens/>
              <w:jc w:val="center"/>
              <w:rPr>
                <w:sz w:val="16"/>
                <w:szCs w:val="16"/>
              </w:rPr>
            </w:pPr>
          </w:p>
        </w:tc>
      </w:tr>
      <w:tr w:rsidR="008940B3" w:rsidRPr="003B5C8D" w14:paraId="3D512812" w14:textId="77777777" w:rsidTr="00363CE1">
        <w:trPr>
          <w:trHeight w:val="175"/>
        </w:trPr>
        <w:tc>
          <w:tcPr>
            <w:tcW w:w="2176" w:type="dxa"/>
          </w:tcPr>
          <w:p w14:paraId="1FD46525"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TEFELI KALYVORYAKAS</w:t>
            </w:r>
          </w:p>
        </w:tc>
        <w:tc>
          <w:tcPr>
            <w:tcW w:w="1070" w:type="dxa"/>
          </w:tcPr>
          <w:p w14:paraId="323911F0"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5271E154" w14:textId="77777777" w:rsidR="008940B3" w:rsidRPr="003B5C8D" w:rsidRDefault="008940B3" w:rsidP="00E858EF">
            <w:pPr>
              <w:suppressAutoHyphens/>
              <w:jc w:val="center"/>
              <w:rPr>
                <w:sz w:val="16"/>
                <w:szCs w:val="16"/>
              </w:rPr>
            </w:pPr>
          </w:p>
        </w:tc>
        <w:tc>
          <w:tcPr>
            <w:tcW w:w="739" w:type="dxa"/>
          </w:tcPr>
          <w:p w14:paraId="75DE35BE" w14:textId="77777777" w:rsidR="008940B3" w:rsidRPr="003B5C8D" w:rsidRDefault="008940B3" w:rsidP="00E858EF">
            <w:pPr>
              <w:suppressAutoHyphens/>
              <w:jc w:val="center"/>
              <w:rPr>
                <w:sz w:val="16"/>
                <w:szCs w:val="16"/>
              </w:rPr>
            </w:pPr>
          </w:p>
        </w:tc>
        <w:tc>
          <w:tcPr>
            <w:tcW w:w="537" w:type="dxa"/>
          </w:tcPr>
          <w:p w14:paraId="68C0BF3E" w14:textId="77777777" w:rsidR="008940B3" w:rsidRPr="003B5C8D" w:rsidRDefault="008940B3" w:rsidP="00E858EF">
            <w:pPr>
              <w:suppressAutoHyphens/>
              <w:jc w:val="center"/>
              <w:rPr>
                <w:sz w:val="16"/>
                <w:szCs w:val="16"/>
              </w:rPr>
            </w:pPr>
          </w:p>
        </w:tc>
        <w:tc>
          <w:tcPr>
            <w:tcW w:w="0" w:type="auto"/>
          </w:tcPr>
          <w:p w14:paraId="4575AC3A" w14:textId="77777777" w:rsidR="008940B3" w:rsidRPr="003B5C8D" w:rsidRDefault="008940B3" w:rsidP="00E858EF">
            <w:pPr>
              <w:suppressAutoHyphens/>
              <w:jc w:val="center"/>
              <w:rPr>
                <w:sz w:val="16"/>
                <w:szCs w:val="16"/>
              </w:rPr>
            </w:pPr>
          </w:p>
        </w:tc>
        <w:tc>
          <w:tcPr>
            <w:tcW w:w="0" w:type="auto"/>
          </w:tcPr>
          <w:p w14:paraId="4E5D0CD4" w14:textId="77777777" w:rsidR="008940B3" w:rsidRPr="003B5C8D" w:rsidRDefault="008940B3" w:rsidP="00E858EF">
            <w:pPr>
              <w:suppressAutoHyphens/>
              <w:jc w:val="center"/>
              <w:rPr>
                <w:sz w:val="16"/>
                <w:szCs w:val="16"/>
              </w:rPr>
            </w:pPr>
          </w:p>
        </w:tc>
        <w:tc>
          <w:tcPr>
            <w:tcW w:w="0" w:type="auto"/>
          </w:tcPr>
          <w:p w14:paraId="62C20019" w14:textId="77777777" w:rsidR="008940B3" w:rsidRPr="003B5C8D" w:rsidRDefault="008940B3" w:rsidP="00E858EF">
            <w:pPr>
              <w:suppressAutoHyphens/>
              <w:jc w:val="center"/>
              <w:rPr>
                <w:sz w:val="16"/>
                <w:szCs w:val="16"/>
              </w:rPr>
            </w:pPr>
          </w:p>
        </w:tc>
        <w:tc>
          <w:tcPr>
            <w:tcW w:w="0" w:type="auto"/>
          </w:tcPr>
          <w:p w14:paraId="478AAC2D" w14:textId="77777777" w:rsidR="008940B3" w:rsidRPr="003B5C8D" w:rsidRDefault="008940B3" w:rsidP="00E858EF">
            <w:pPr>
              <w:suppressAutoHyphens/>
              <w:jc w:val="center"/>
              <w:rPr>
                <w:sz w:val="16"/>
                <w:szCs w:val="16"/>
              </w:rPr>
            </w:pPr>
          </w:p>
        </w:tc>
        <w:tc>
          <w:tcPr>
            <w:tcW w:w="293" w:type="dxa"/>
          </w:tcPr>
          <w:p w14:paraId="2DFC262C" w14:textId="77777777" w:rsidR="008940B3" w:rsidRPr="003B5C8D" w:rsidRDefault="008940B3" w:rsidP="00E858EF">
            <w:pPr>
              <w:suppressAutoHyphens/>
              <w:jc w:val="center"/>
              <w:rPr>
                <w:sz w:val="16"/>
                <w:szCs w:val="16"/>
              </w:rPr>
            </w:pPr>
          </w:p>
        </w:tc>
      </w:tr>
      <w:tr w:rsidR="008940B3" w:rsidRPr="003B5C8D" w14:paraId="3A7B1495" w14:textId="77777777" w:rsidTr="00363CE1">
        <w:trPr>
          <w:trHeight w:val="175"/>
        </w:trPr>
        <w:tc>
          <w:tcPr>
            <w:tcW w:w="2176" w:type="dxa"/>
          </w:tcPr>
          <w:p w14:paraId="6D7B1C51"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THRAPSANO</w:t>
            </w:r>
          </w:p>
        </w:tc>
        <w:tc>
          <w:tcPr>
            <w:tcW w:w="1070" w:type="dxa"/>
          </w:tcPr>
          <w:p w14:paraId="26FA5134"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6C0A0271" w14:textId="77777777" w:rsidR="008940B3" w:rsidRPr="003B5C8D" w:rsidRDefault="008940B3" w:rsidP="00E858EF">
            <w:pPr>
              <w:suppressAutoHyphens/>
              <w:jc w:val="center"/>
              <w:rPr>
                <w:sz w:val="16"/>
                <w:szCs w:val="16"/>
              </w:rPr>
            </w:pPr>
          </w:p>
        </w:tc>
        <w:tc>
          <w:tcPr>
            <w:tcW w:w="739" w:type="dxa"/>
          </w:tcPr>
          <w:p w14:paraId="570C9EFD" w14:textId="77777777" w:rsidR="008940B3" w:rsidRPr="003B5C8D" w:rsidRDefault="008940B3" w:rsidP="00E858EF">
            <w:pPr>
              <w:suppressAutoHyphens/>
              <w:jc w:val="center"/>
              <w:rPr>
                <w:sz w:val="16"/>
                <w:szCs w:val="16"/>
              </w:rPr>
            </w:pPr>
          </w:p>
        </w:tc>
        <w:tc>
          <w:tcPr>
            <w:tcW w:w="537" w:type="dxa"/>
          </w:tcPr>
          <w:p w14:paraId="1A3C2628" w14:textId="77777777" w:rsidR="008940B3" w:rsidRPr="003B5C8D" w:rsidRDefault="008940B3" w:rsidP="00E858EF">
            <w:pPr>
              <w:suppressAutoHyphens/>
              <w:jc w:val="center"/>
              <w:rPr>
                <w:sz w:val="16"/>
                <w:szCs w:val="16"/>
              </w:rPr>
            </w:pPr>
          </w:p>
        </w:tc>
        <w:tc>
          <w:tcPr>
            <w:tcW w:w="0" w:type="auto"/>
          </w:tcPr>
          <w:p w14:paraId="109082A2" w14:textId="77777777" w:rsidR="008940B3" w:rsidRPr="003B5C8D" w:rsidRDefault="008940B3" w:rsidP="00E858EF">
            <w:pPr>
              <w:suppressAutoHyphens/>
              <w:jc w:val="center"/>
              <w:rPr>
                <w:sz w:val="16"/>
                <w:szCs w:val="16"/>
              </w:rPr>
            </w:pPr>
          </w:p>
        </w:tc>
        <w:tc>
          <w:tcPr>
            <w:tcW w:w="0" w:type="auto"/>
          </w:tcPr>
          <w:p w14:paraId="12F039E0" w14:textId="77777777" w:rsidR="008940B3" w:rsidRPr="003B5C8D" w:rsidRDefault="008940B3" w:rsidP="00E858EF">
            <w:pPr>
              <w:suppressAutoHyphens/>
              <w:jc w:val="center"/>
              <w:rPr>
                <w:sz w:val="16"/>
                <w:szCs w:val="16"/>
              </w:rPr>
            </w:pPr>
          </w:p>
        </w:tc>
        <w:tc>
          <w:tcPr>
            <w:tcW w:w="0" w:type="auto"/>
          </w:tcPr>
          <w:p w14:paraId="24E9029F" w14:textId="77777777" w:rsidR="008940B3" w:rsidRPr="003B5C8D" w:rsidRDefault="008940B3" w:rsidP="00E858EF">
            <w:pPr>
              <w:suppressAutoHyphens/>
              <w:jc w:val="center"/>
              <w:rPr>
                <w:sz w:val="16"/>
                <w:szCs w:val="16"/>
              </w:rPr>
            </w:pPr>
          </w:p>
        </w:tc>
        <w:tc>
          <w:tcPr>
            <w:tcW w:w="0" w:type="auto"/>
          </w:tcPr>
          <w:p w14:paraId="1A1642BD" w14:textId="77777777" w:rsidR="008940B3" w:rsidRPr="003B5C8D" w:rsidRDefault="008940B3" w:rsidP="00E858EF">
            <w:pPr>
              <w:suppressAutoHyphens/>
              <w:jc w:val="center"/>
              <w:rPr>
                <w:sz w:val="16"/>
                <w:szCs w:val="16"/>
              </w:rPr>
            </w:pPr>
          </w:p>
        </w:tc>
        <w:tc>
          <w:tcPr>
            <w:tcW w:w="293" w:type="dxa"/>
          </w:tcPr>
          <w:p w14:paraId="630B103E" w14:textId="77777777" w:rsidR="008940B3" w:rsidRPr="003B5C8D" w:rsidRDefault="008940B3" w:rsidP="00E858EF">
            <w:pPr>
              <w:suppressAutoHyphens/>
              <w:jc w:val="center"/>
              <w:rPr>
                <w:sz w:val="16"/>
                <w:szCs w:val="16"/>
              </w:rPr>
            </w:pPr>
          </w:p>
        </w:tc>
      </w:tr>
      <w:tr w:rsidR="008940B3" w:rsidRPr="003B5C8D" w14:paraId="56F1524B" w14:textId="77777777" w:rsidTr="00363CE1">
        <w:trPr>
          <w:trHeight w:val="175"/>
        </w:trPr>
        <w:tc>
          <w:tcPr>
            <w:tcW w:w="2176" w:type="dxa"/>
          </w:tcPr>
          <w:p w14:paraId="1ED16DD9"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TYLISSOS</w:t>
            </w:r>
          </w:p>
        </w:tc>
        <w:tc>
          <w:tcPr>
            <w:tcW w:w="1070" w:type="dxa"/>
          </w:tcPr>
          <w:p w14:paraId="636FEFE0"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5852609B"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739" w:type="dxa"/>
          </w:tcPr>
          <w:p w14:paraId="6B50FA4A" w14:textId="77777777" w:rsidR="008940B3" w:rsidRPr="003B5C8D" w:rsidRDefault="008940B3" w:rsidP="00E858EF">
            <w:pPr>
              <w:suppressAutoHyphens/>
              <w:jc w:val="center"/>
              <w:rPr>
                <w:sz w:val="16"/>
                <w:szCs w:val="16"/>
              </w:rPr>
            </w:pPr>
          </w:p>
        </w:tc>
        <w:tc>
          <w:tcPr>
            <w:tcW w:w="537" w:type="dxa"/>
          </w:tcPr>
          <w:p w14:paraId="1C9EDCE0" w14:textId="77777777" w:rsidR="008940B3" w:rsidRPr="003B5C8D" w:rsidRDefault="008940B3" w:rsidP="00E858EF">
            <w:pPr>
              <w:suppressAutoHyphens/>
              <w:jc w:val="center"/>
              <w:rPr>
                <w:sz w:val="16"/>
                <w:szCs w:val="16"/>
              </w:rPr>
            </w:pPr>
          </w:p>
        </w:tc>
        <w:tc>
          <w:tcPr>
            <w:tcW w:w="0" w:type="auto"/>
          </w:tcPr>
          <w:p w14:paraId="158C37BF" w14:textId="77777777" w:rsidR="008940B3" w:rsidRPr="003B5C8D" w:rsidRDefault="008940B3" w:rsidP="00E858EF">
            <w:pPr>
              <w:suppressAutoHyphens/>
              <w:jc w:val="center"/>
              <w:rPr>
                <w:sz w:val="16"/>
                <w:szCs w:val="16"/>
              </w:rPr>
            </w:pPr>
          </w:p>
        </w:tc>
        <w:tc>
          <w:tcPr>
            <w:tcW w:w="0" w:type="auto"/>
          </w:tcPr>
          <w:p w14:paraId="3F4360F8" w14:textId="77777777" w:rsidR="008940B3" w:rsidRPr="003B5C8D" w:rsidRDefault="008940B3" w:rsidP="00E858EF">
            <w:pPr>
              <w:suppressAutoHyphens/>
              <w:jc w:val="center"/>
              <w:rPr>
                <w:sz w:val="16"/>
                <w:szCs w:val="16"/>
              </w:rPr>
            </w:pPr>
          </w:p>
        </w:tc>
        <w:tc>
          <w:tcPr>
            <w:tcW w:w="0" w:type="auto"/>
          </w:tcPr>
          <w:p w14:paraId="16EBE7FB" w14:textId="77777777" w:rsidR="008940B3" w:rsidRPr="003B5C8D" w:rsidRDefault="008940B3" w:rsidP="00E858EF">
            <w:pPr>
              <w:suppressAutoHyphens/>
              <w:jc w:val="center"/>
              <w:rPr>
                <w:sz w:val="16"/>
                <w:szCs w:val="16"/>
              </w:rPr>
            </w:pPr>
          </w:p>
        </w:tc>
        <w:tc>
          <w:tcPr>
            <w:tcW w:w="0" w:type="auto"/>
          </w:tcPr>
          <w:p w14:paraId="732F5282"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293" w:type="dxa"/>
          </w:tcPr>
          <w:p w14:paraId="797D4C9E" w14:textId="77777777" w:rsidR="008940B3" w:rsidRPr="003B5C8D" w:rsidRDefault="008940B3" w:rsidP="00E858EF">
            <w:pPr>
              <w:suppressAutoHyphens/>
              <w:jc w:val="center"/>
              <w:rPr>
                <w:sz w:val="16"/>
                <w:szCs w:val="16"/>
              </w:rPr>
            </w:pPr>
          </w:p>
        </w:tc>
      </w:tr>
      <w:tr w:rsidR="008940B3" w:rsidRPr="003B5C8D" w14:paraId="2CB0D5D0" w14:textId="77777777" w:rsidTr="00363CE1">
        <w:trPr>
          <w:trHeight w:val="175"/>
        </w:trPr>
        <w:tc>
          <w:tcPr>
            <w:tcW w:w="2176" w:type="dxa"/>
          </w:tcPr>
          <w:p w14:paraId="02EEDBB2"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TZINGOUNAS</w:t>
            </w:r>
          </w:p>
        </w:tc>
        <w:tc>
          <w:tcPr>
            <w:tcW w:w="1070" w:type="dxa"/>
          </w:tcPr>
          <w:p w14:paraId="206EE3FA"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592CBD05" w14:textId="77777777" w:rsidR="008940B3" w:rsidRPr="003B5C8D" w:rsidRDefault="008940B3" w:rsidP="00E858EF">
            <w:pPr>
              <w:suppressAutoHyphens/>
              <w:jc w:val="center"/>
              <w:rPr>
                <w:sz w:val="16"/>
                <w:szCs w:val="16"/>
              </w:rPr>
            </w:pPr>
          </w:p>
        </w:tc>
        <w:tc>
          <w:tcPr>
            <w:tcW w:w="739" w:type="dxa"/>
          </w:tcPr>
          <w:p w14:paraId="245C5970" w14:textId="77777777" w:rsidR="008940B3" w:rsidRPr="003B5C8D" w:rsidRDefault="008940B3" w:rsidP="00E858EF">
            <w:pPr>
              <w:suppressAutoHyphens/>
              <w:jc w:val="center"/>
              <w:rPr>
                <w:sz w:val="16"/>
                <w:szCs w:val="16"/>
              </w:rPr>
            </w:pPr>
          </w:p>
        </w:tc>
        <w:tc>
          <w:tcPr>
            <w:tcW w:w="537" w:type="dxa"/>
          </w:tcPr>
          <w:p w14:paraId="05DFD164" w14:textId="77777777" w:rsidR="008940B3" w:rsidRPr="003B5C8D" w:rsidRDefault="008940B3" w:rsidP="00E858EF">
            <w:pPr>
              <w:suppressAutoHyphens/>
              <w:jc w:val="center"/>
              <w:rPr>
                <w:sz w:val="16"/>
                <w:szCs w:val="16"/>
              </w:rPr>
            </w:pPr>
          </w:p>
        </w:tc>
        <w:tc>
          <w:tcPr>
            <w:tcW w:w="0" w:type="auto"/>
          </w:tcPr>
          <w:p w14:paraId="7670A98A" w14:textId="77777777" w:rsidR="008940B3" w:rsidRPr="003B5C8D" w:rsidRDefault="008940B3" w:rsidP="00E858EF">
            <w:pPr>
              <w:suppressAutoHyphens/>
              <w:jc w:val="center"/>
              <w:rPr>
                <w:sz w:val="16"/>
                <w:szCs w:val="16"/>
              </w:rPr>
            </w:pPr>
          </w:p>
        </w:tc>
        <w:tc>
          <w:tcPr>
            <w:tcW w:w="0" w:type="auto"/>
          </w:tcPr>
          <w:p w14:paraId="5B250685" w14:textId="77777777" w:rsidR="008940B3" w:rsidRPr="003B5C8D" w:rsidRDefault="008940B3" w:rsidP="00E858EF">
            <w:pPr>
              <w:suppressAutoHyphens/>
              <w:jc w:val="center"/>
              <w:rPr>
                <w:sz w:val="16"/>
                <w:szCs w:val="16"/>
              </w:rPr>
            </w:pPr>
          </w:p>
        </w:tc>
        <w:tc>
          <w:tcPr>
            <w:tcW w:w="0" w:type="auto"/>
          </w:tcPr>
          <w:p w14:paraId="36781208" w14:textId="77777777" w:rsidR="008940B3" w:rsidRPr="003B5C8D" w:rsidRDefault="008940B3" w:rsidP="00E858EF">
            <w:pPr>
              <w:suppressAutoHyphens/>
              <w:jc w:val="center"/>
              <w:rPr>
                <w:sz w:val="16"/>
                <w:szCs w:val="16"/>
              </w:rPr>
            </w:pPr>
          </w:p>
        </w:tc>
        <w:tc>
          <w:tcPr>
            <w:tcW w:w="0" w:type="auto"/>
          </w:tcPr>
          <w:p w14:paraId="37587E18" w14:textId="77777777" w:rsidR="008940B3" w:rsidRPr="003B5C8D" w:rsidRDefault="008940B3" w:rsidP="00E858EF">
            <w:pPr>
              <w:suppressAutoHyphens/>
              <w:jc w:val="center"/>
              <w:rPr>
                <w:sz w:val="16"/>
                <w:szCs w:val="16"/>
              </w:rPr>
            </w:pPr>
          </w:p>
        </w:tc>
        <w:tc>
          <w:tcPr>
            <w:tcW w:w="293" w:type="dxa"/>
          </w:tcPr>
          <w:p w14:paraId="58EA399B" w14:textId="77777777" w:rsidR="008940B3" w:rsidRPr="003B5C8D" w:rsidRDefault="008940B3" w:rsidP="00E858EF">
            <w:pPr>
              <w:suppressAutoHyphens/>
              <w:jc w:val="center"/>
              <w:rPr>
                <w:sz w:val="16"/>
                <w:szCs w:val="16"/>
              </w:rPr>
            </w:pPr>
          </w:p>
        </w:tc>
      </w:tr>
      <w:tr w:rsidR="008940B3" w:rsidRPr="003B5C8D" w14:paraId="56144676" w14:textId="77777777" w:rsidTr="00363CE1">
        <w:trPr>
          <w:trHeight w:val="175"/>
        </w:trPr>
        <w:tc>
          <w:tcPr>
            <w:tcW w:w="2176" w:type="dxa"/>
          </w:tcPr>
          <w:p w14:paraId="170752A0"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TZORMPATZANA</w:t>
            </w:r>
          </w:p>
        </w:tc>
        <w:tc>
          <w:tcPr>
            <w:tcW w:w="1070" w:type="dxa"/>
          </w:tcPr>
          <w:p w14:paraId="0EF9713C"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1279CB9D" w14:textId="77777777" w:rsidR="008940B3" w:rsidRPr="003B5C8D" w:rsidRDefault="008940B3" w:rsidP="00E858EF">
            <w:pPr>
              <w:suppressAutoHyphens/>
              <w:jc w:val="center"/>
              <w:rPr>
                <w:sz w:val="16"/>
                <w:szCs w:val="16"/>
              </w:rPr>
            </w:pPr>
          </w:p>
        </w:tc>
        <w:tc>
          <w:tcPr>
            <w:tcW w:w="739" w:type="dxa"/>
          </w:tcPr>
          <w:p w14:paraId="6584FE14" w14:textId="77777777" w:rsidR="008940B3" w:rsidRPr="003B5C8D" w:rsidRDefault="008940B3" w:rsidP="00E858EF">
            <w:pPr>
              <w:suppressAutoHyphens/>
              <w:jc w:val="center"/>
              <w:rPr>
                <w:sz w:val="16"/>
                <w:szCs w:val="16"/>
              </w:rPr>
            </w:pPr>
          </w:p>
        </w:tc>
        <w:tc>
          <w:tcPr>
            <w:tcW w:w="537" w:type="dxa"/>
          </w:tcPr>
          <w:p w14:paraId="3A144060" w14:textId="77777777" w:rsidR="008940B3" w:rsidRPr="003B5C8D" w:rsidRDefault="008940B3" w:rsidP="00E858EF">
            <w:pPr>
              <w:suppressAutoHyphens/>
              <w:jc w:val="center"/>
              <w:rPr>
                <w:sz w:val="16"/>
                <w:szCs w:val="16"/>
              </w:rPr>
            </w:pPr>
          </w:p>
        </w:tc>
        <w:tc>
          <w:tcPr>
            <w:tcW w:w="0" w:type="auto"/>
          </w:tcPr>
          <w:p w14:paraId="35F66710" w14:textId="77777777" w:rsidR="008940B3" w:rsidRPr="003B5C8D" w:rsidRDefault="008940B3" w:rsidP="00E858EF">
            <w:pPr>
              <w:suppressAutoHyphens/>
              <w:jc w:val="center"/>
              <w:rPr>
                <w:sz w:val="16"/>
                <w:szCs w:val="16"/>
              </w:rPr>
            </w:pPr>
          </w:p>
        </w:tc>
        <w:tc>
          <w:tcPr>
            <w:tcW w:w="0" w:type="auto"/>
          </w:tcPr>
          <w:p w14:paraId="48DC8F87" w14:textId="77777777" w:rsidR="008940B3" w:rsidRPr="003B5C8D" w:rsidRDefault="008940B3" w:rsidP="00E858EF">
            <w:pPr>
              <w:suppressAutoHyphens/>
              <w:jc w:val="center"/>
              <w:rPr>
                <w:sz w:val="16"/>
                <w:szCs w:val="16"/>
              </w:rPr>
            </w:pPr>
          </w:p>
        </w:tc>
        <w:tc>
          <w:tcPr>
            <w:tcW w:w="0" w:type="auto"/>
          </w:tcPr>
          <w:p w14:paraId="507B0928" w14:textId="77777777" w:rsidR="008940B3" w:rsidRPr="003B5C8D" w:rsidRDefault="008940B3" w:rsidP="00E858EF">
            <w:pPr>
              <w:suppressAutoHyphens/>
              <w:jc w:val="center"/>
              <w:rPr>
                <w:sz w:val="16"/>
                <w:szCs w:val="16"/>
              </w:rPr>
            </w:pPr>
          </w:p>
        </w:tc>
        <w:tc>
          <w:tcPr>
            <w:tcW w:w="0" w:type="auto"/>
          </w:tcPr>
          <w:p w14:paraId="1B1B1894" w14:textId="77777777" w:rsidR="008940B3" w:rsidRPr="003B5C8D" w:rsidRDefault="008940B3" w:rsidP="00E858EF">
            <w:pPr>
              <w:suppressAutoHyphens/>
              <w:jc w:val="center"/>
              <w:rPr>
                <w:sz w:val="16"/>
                <w:szCs w:val="16"/>
              </w:rPr>
            </w:pPr>
          </w:p>
        </w:tc>
        <w:tc>
          <w:tcPr>
            <w:tcW w:w="293" w:type="dxa"/>
          </w:tcPr>
          <w:p w14:paraId="798A9F75" w14:textId="77777777" w:rsidR="008940B3" w:rsidRPr="003B5C8D" w:rsidRDefault="008940B3" w:rsidP="00E858EF">
            <w:pPr>
              <w:suppressAutoHyphens/>
              <w:jc w:val="center"/>
              <w:rPr>
                <w:sz w:val="16"/>
                <w:szCs w:val="16"/>
              </w:rPr>
            </w:pPr>
          </w:p>
        </w:tc>
      </w:tr>
      <w:tr w:rsidR="008940B3" w:rsidRPr="003B5C8D" w14:paraId="0E515418" w14:textId="77777777" w:rsidTr="00363CE1">
        <w:trPr>
          <w:trHeight w:val="175"/>
        </w:trPr>
        <w:tc>
          <w:tcPr>
            <w:tcW w:w="2176" w:type="dxa"/>
          </w:tcPr>
          <w:p w14:paraId="62DFF98D" w14:textId="77777777" w:rsidR="008940B3" w:rsidRPr="003B5C8D" w:rsidRDefault="008940B3" w:rsidP="00E858EF">
            <w:pPr>
              <w:suppressAutoHyphens/>
              <w:jc w:val="left"/>
              <w:rPr>
                <w:rFonts w:eastAsia="Times New Roman"/>
                <w:sz w:val="16"/>
                <w:szCs w:val="16"/>
              </w:rPr>
            </w:pPr>
            <w:r w:rsidRPr="003B5C8D">
              <w:rPr>
                <w:rFonts w:eastAsia="Times New Roman"/>
                <w:sz w:val="16"/>
                <w:szCs w:val="16"/>
              </w:rPr>
              <w:t>VORITSI</w:t>
            </w:r>
          </w:p>
        </w:tc>
        <w:tc>
          <w:tcPr>
            <w:tcW w:w="1070" w:type="dxa"/>
          </w:tcPr>
          <w:p w14:paraId="45758A83"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73" w:type="dxa"/>
          </w:tcPr>
          <w:p w14:paraId="494F99D5" w14:textId="77777777" w:rsidR="008940B3" w:rsidRPr="003B5C8D" w:rsidRDefault="008940B3" w:rsidP="00E858EF">
            <w:pPr>
              <w:suppressAutoHyphens/>
              <w:jc w:val="center"/>
              <w:rPr>
                <w:sz w:val="16"/>
                <w:szCs w:val="16"/>
              </w:rPr>
            </w:pPr>
          </w:p>
        </w:tc>
        <w:tc>
          <w:tcPr>
            <w:tcW w:w="739" w:type="dxa"/>
          </w:tcPr>
          <w:p w14:paraId="0DCD5CD8" w14:textId="77777777" w:rsidR="008940B3" w:rsidRPr="003B5C8D" w:rsidRDefault="008940B3" w:rsidP="00E858EF">
            <w:pPr>
              <w:suppressAutoHyphens/>
              <w:jc w:val="center"/>
              <w:rPr>
                <w:sz w:val="16"/>
                <w:szCs w:val="16"/>
              </w:rPr>
            </w:pPr>
          </w:p>
        </w:tc>
        <w:tc>
          <w:tcPr>
            <w:tcW w:w="537" w:type="dxa"/>
          </w:tcPr>
          <w:p w14:paraId="1A6F837E" w14:textId="77777777" w:rsidR="008940B3" w:rsidRPr="003B5C8D" w:rsidRDefault="008940B3" w:rsidP="00E858EF">
            <w:pPr>
              <w:suppressAutoHyphens/>
              <w:jc w:val="center"/>
              <w:rPr>
                <w:sz w:val="16"/>
                <w:szCs w:val="16"/>
              </w:rPr>
            </w:pPr>
          </w:p>
        </w:tc>
        <w:tc>
          <w:tcPr>
            <w:tcW w:w="0" w:type="auto"/>
          </w:tcPr>
          <w:p w14:paraId="43143504" w14:textId="77777777" w:rsidR="008940B3" w:rsidRPr="003B5C8D" w:rsidRDefault="008940B3" w:rsidP="00E858EF">
            <w:pPr>
              <w:suppressAutoHyphens/>
              <w:jc w:val="center"/>
              <w:rPr>
                <w:sz w:val="16"/>
                <w:szCs w:val="16"/>
              </w:rPr>
            </w:pPr>
          </w:p>
        </w:tc>
        <w:tc>
          <w:tcPr>
            <w:tcW w:w="0" w:type="auto"/>
          </w:tcPr>
          <w:p w14:paraId="7942B5CA" w14:textId="77777777" w:rsidR="008940B3" w:rsidRPr="003B5C8D" w:rsidRDefault="008940B3" w:rsidP="00E858EF">
            <w:pPr>
              <w:suppressAutoHyphens/>
              <w:jc w:val="center"/>
              <w:rPr>
                <w:sz w:val="16"/>
                <w:szCs w:val="16"/>
              </w:rPr>
            </w:pPr>
          </w:p>
        </w:tc>
        <w:tc>
          <w:tcPr>
            <w:tcW w:w="0" w:type="auto"/>
          </w:tcPr>
          <w:p w14:paraId="0F44F056" w14:textId="77777777" w:rsidR="008940B3" w:rsidRPr="003B5C8D" w:rsidRDefault="008940B3" w:rsidP="00E858EF">
            <w:pPr>
              <w:suppressAutoHyphens/>
              <w:jc w:val="center"/>
              <w:rPr>
                <w:sz w:val="16"/>
                <w:szCs w:val="16"/>
              </w:rPr>
            </w:pPr>
          </w:p>
        </w:tc>
        <w:tc>
          <w:tcPr>
            <w:tcW w:w="0" w:type="auto"/>
          </w:tcPr>
          <w:p w14:paraId="62C4C0B9" w14:textId="77777777" w:rsidR="008940B3" w:rsidRPr="003B5C8D" w:rsidRDefault="008940B3" w:rsidP="00E858EF">
            <w:pPr>
              <w:suppressAutoHyphens/>
              <w:jc w:val="center"/>
              <w:rPr>
                <w:sz w:val="16"/>
                <w:szCs w:val="16"/>
              </w:rPr>
            </w:pPr>
          </w:p>
        </w:tc>
        <w:tc>
          <w:tcPr>
            <w:tcW w:w="293" w:type="dxa"/>
          </w:tcPr>
          <w:p w14:paraId="31225CDD" w14:textId="77777777" w:rsidR="008940B3" w:rsidRPr="003B5C8D" w:rsidRDefault="008940B3" w:rsidP="00E858EF">
            <w:pPr>
              <w:suppressAutoHyphens/>
              <w:jc w:val="center"/>
              <w:rPr>
                <w:sz w:val="16"/>
                <w:szCs w:val="16"/>
              </w:rPr>
            </w:pPr>
          </w:p>
        </w:tc>
      </w:tr>
    </w:tbl>
    <w:p w14:paraId="6113CCF9"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FAB4565" w14:textId="77777777" w:rsidR="008940B3" w:rsidRDefault="008940B3" w:rsidP="00E858EF">
      <w:pPr>
        <w:pStyle w:val="Titolo4"/>
        <w:keepNext w:val="0"/>
        <w:keepLines w:val="0"/>
        <w:suppressAutoHyphens/>
        <w:ind w:left="864" w:hanging="864"/>
        <w:contextualSpacing w:val="0"/>
      </w:pPr>
      <w:bookmarkStart w:id="301" w:name="_Toc389131182"/>
      <w:bookmarkStart w:id="302" w:name="_Toc517876509"/>
      <w:r w:rsidRPr="008A7BDE">
        <w:t>Wh</w:t>
      </w:r>
      <w:r>
        <w:t>at is the</w:t>
      </w:r>
      <w:r w:rsidRPr="008A7BDE">
        <w:t xml:space="preserve"> </w:t>
      </w:r>
      <w:r w:rsidRPr="00D63757">
        <w:t>proportion</w:t>
      </w:r>
      <w:r>
        <w:t xml:space="preserve"> </w:t>
      </w:r>
      <w:r>
        <w:rPr>
          <w:noProof/>
        </w:rPr>
        <w:t>throughout the region and within each cemetery of tombs with larnakes to tombs without larnakes</w:t>
      </w:r>
      <w:r w:rsidRPr="008A7BDE">
        <w:t>?</w:t>
      </w:r>
      <w:bookmarkEnd w:id="301"/>
      <w:bookmarkEnd w:id="302"/>
      <w:r w:rsidRPr="003B5C8D">
        <w:t xml:space="preserve"> </w:t>
      </w:r>
    </w:p>
    <w:p w14:paraId="789224D4" w14:textId="77777777" w:rsidR="008940B3" w:rsidRPr="003B5C8D" w:rsidRDefault="008940B3" w:rsidP="00F3490B">
      <w:r w:rsidRPr="003B5C8D">
        <w:t xml:space="preserve">In the </w:t>
      </w:r>
      <w:r>
        <w:t>C</w:t>
      </w:r>
      <w:r w:rsidRPr="003B5C8D">
        <w:t>entral area</w:t>
      </w:r>
      <w:r>
        <w:t>,</w:t>
      </w:r>
      <w:r w:rsidRPr="003B5C8D">
        <w:t xml:space="preserve"> only in the 24% of cemeteries with larnax burials </w:t>
      </w:r>
      <w:r>
        <w:t>were</w:t>
      </w:r>
      <w:r w:rsidRPr="003B5C8D">
        <w:t xml:space="preserve"> tombs without clay larnax use</w:t>
      </w:r>
      <w:r>
        <w:t xml:space="preserve"> found</w:t>
      </w:r>
      <w:r w:rsidRPr="003B5C8D">
        <w:t>. Th</w:t>
      </w:r>
      <w:r>
        <w:t>e data do not change if we consider</w:t>
      </w:r>
      <w:r w:rsidRPr="003B5C8D">
        <w:t xml:space="preserve"> the number of tombs instead </w:t>
      </w:r>
      <w:r>
        <w:t>of</w:t>
      </w:r>
      <w:r w:rsidRPr="003B5C8D">
        <w:t xml:space="preserve"> cemeteries. Tombs without larnakes </w:t>
      </w:r>
      <w:r>
        <w:t>exceed</w:t>
      </w:r>
      <w:r w:rsidRPr="003B5C8D">
        <w:t xml:space="preserve"> the number of tombs with larnax burial</w:t>
      </w:r>
      <w:r>
        <w:t>s</w:t>
      </w:r>
      <w:r w:rsidRPr="003B5C8D">
        <w:t xml:space="preserve"> only in the case of</w:t>
      </w:r>
      <w:r>
        <w:t xml:space="preserve"> the</w:t>
      </w:r>
      <w:r w:rsidRPr="003B5C8D">
        <w:t xml:space="preserve"> Agios Syllas and Stamnoi cemeteries. </w:t>
      </w:r>
      <w:r>
        <w:t>However,</w:t>
      </w:r>
      <w:r w:rsidRPr="003B5C8D">
        <w:t xml:space="preserve"> for Agios Syllas</w:t>
      </w:r>
      <w:r>
        <w:t>,</w:t>
      </w:r>
      <w:r w:rsidRPr="003B5C8D">
        <w:t xml:space="preserve"> unfortunately</w:t>
      </w:r>
      <w:r>
        <w:t>,</w:t>
      </w:r>
      <w:r w:rsidRPr="003B5C8D">
        <w:t xml:space="preserve"> </w:t>
      </w:r>
      <w:r>
        <w:t xml:space="preserve">the </w:t>
      </w:r>
      <w:r w:rsidRPr="003B5C8D">
        <w:t xml:space="preserve">publication records available are very poor and, in many cases, </w:t>
      </w:r>
      <w:r>
        <w:t>are only</w:t>
      </w:r>
      <w:r w:rsidRPr="003B5C8D">
        <w:t xml:space="preserve"> preliminary records (Karetsou 1975;</w:t>
      </w:r>
      <w:r>
        <w:t xml:space="preserve"> </w:t>
      </w:r>
      <w:r w:rsidRPr="0027642A">
        <w:rPr>
          <w:i/>
        </w:rPr>
        <w:t>ADelt</w:t>
      </w:r>
      <w:r>
        <w:t xml:space="preserve"> 33 1978: 352-353</w:t>
      </w:r>
      <w:r w:rsidRPr="003B5C8D">
        <w:t xml:space="preserve">; </w:t>
      </w:r>
      <w:r w:rsidRPr="0027642A">
        <w:rPr>
          <w:i/>
        </w:rPr>
        <w:t>BCH</w:t>
      </w:r>
      <w:r w:rsidRPr="003B5C8D">
        <w:t xml:space="preserve"> 111 1987: 575).</w:t>
      </w:r>
    </w:p>
    <w:p w14:paraId="199BE3DC"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0C8138BB"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sidRPr="003B5C8D">
        <w:rPr>
          <w:noProof/>
          <w:sz w:val="22"/>
          <w:szCs w:val="22"/>
          <w:lang w:val="it-IT"/>
        </w:rPr>
        <w:drawing>
          <wp:inline distT="0" distB="0" distL="0" distR="0" wp14:anchorId="58D5F9B7" wp14:editId="26446A39">
            <wp:extent cx="4680000" cy="2520000"/>
            <wp:effectExtent l="0" t="0" r="6350" b="13970"/>
            <wp:docPr id="12" name="Gra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46A0E30" w14:textId="6FA683D7" w:rsidR="008940B3" w:rsidRDefault="008940B3" w:rsidP="00E858EF">
      <w:pPr>
        <w:pStyle w:val="Didascalia"/>
        <w:suppressAutoHyphens/>
      </w:pPr>
      <w:bookmarkStart w:id="303" w:name="_Toc520212312"/>
      <w:r>
        <w:t>Figure 3-30.</w:t>
      </w:r>
      <w:r w:rsidRPr="00B03730">
        <w:t xml:space="preserve"> </w:t>
      </w:r>
      <w:r>
        <w:t>Larnax distribution by tomb</w:t>
      </w:r>
      <w:r w:rsidR="005E1C18">
        <w:t>,</w:t>
      </w:r>
      <w:r>
        <w:t xml:space="preserve"> Central area</w:t>
      </w:r>
      <w:bookmarkEnd w:id="303"/>
    </w:p>
    <w:p w14:paraId="03AF2062" w14:textId="77777777" w:rsidR="008940B3" w:rsidRDefault="008940B3" w:rsidP="00E858EF">
      <w:pPr>
        <w:pStyle w:val="Didascalia"/>
        <w:suppressAutoHyphens/>
      </w:pPr>
    </w:p>
    <w:p w14:paraId="7079F404"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751ED180" wp14:editId="3792A5BA">
            <wp:extent cx="5270500" cy="3133725"/>
            <wp:effectExtent l="0" t="0" r="6350" b="9525"/>
            <wp:docPr id="13" name="Gra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19321EF" w14:textId="621CCBA2" w:rsidR="008940B3" w:rsidRDefault="008940B3" w:rsidP="00E858EF">
      <w:pPr>
        <w:pStyle w:val="Didascalia"/>
        <w:suppressAutoHyphens/>
      </w:pPr>
      <w:bookmarkStart w:id="304" w:name="_Toc520212313"/>
      <w:r>
        <w:t>Figure 3-31. Tombs with larnax occurrence and tombs without larnakes</w:t>
      </w:r>
      <w:r w:rsidR="005E1C18">
        <w:t>,</w:t>
      </w:r>
      <w:r>
        <w:t xml:space="preserve"> Central area</w:t>
      </w:r>
      <w:bookmarkEnd w:id="304"/>
      <w:r w:rsidDel="004C2BC3">
        <w:t xml:space="preserve"> </w:t>
      </w:r>
    </w:p>
    <w:p w14:paraId="548997A1"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b/>
          <w:bCs/>
          <w:color w:val="000000"/>
          <w:sz w:val="22"/>
          <w:szCs w:val="22"/>
        </w:rPr>
      </w:pPr>
    </w:p>
    <w:p w14:paraId="3D8AD21B" w14:textId="77777777" w:rsidR="008940B3" w:rsidRPr="003B5C8D" w:rsidRDefault="008940B3" w:rsidP="00E858EF">
      <w:pPr>
        <w:pStyle w:val="Titolo3"/>
        <w:keepNext w:val="0"/>
        <w:keepLines w:val="0"/>
        <w:suppressAutoHyphens/>
      </w:pPr>
      <w:bookmarkStart w:id="305" w:name="_Toc519894628"/>
      <w:r w:rsidRPr="003B5C8D">
        <w:t>Tombs</w:t>
      </w:r>
      <w:bookmarkEnd w:id="305"/>
    </w:p>
    <w:p w14:paraId="11AB2EC0" w14:textId="77777777" w:rsidR="008940B3" w:rsidRPr="003B5C8D" w:rsidRDefault="008940B3" w:rsidP="00F3490B">
      <w:r w:rsidRPr="003B5C8D">
        <w:t xml:space="preserve">The secure tombs for </w:t>
      </w:r>
      <w:r>
        <w:t>the C</w:t>
      </w:r>
      <w:r w:rsidRPr="003B5C8D">
        <w:t>e</w:t>
      </w:r>
      <w:r>
        <w:t>ntral region total 94</w:t>
      </w:r>
      <w:r w:rsidRPr="003B5C8D">
        <w:t xml:space="preserve"> and constitute the sample </w:t>
      </w:r>
      <w:r>
        <w:t>in</w:t>
      </w:r>
      <w:r w:rsidRPr="003B5C8D">
        <w:t xml:space="preserve"> the following analysis.</w:t>
      </w:r>
    </w:p>
    <w:p w14:paraId="6F2D4687" w14:textId="77777777" w:rsidR="008940B3" w:rsidRPr="00FB533C" w:rsidRDefault="008940B3" w:rsidP="00E858EF">
      <w:pPr>
        <w:pStyle w:val="Titolo4"/>
        <w:keepNext w:val="0"/>
        <w:keepLines w:val="0"/>
        <w:suppressAutoHyphens/>
        <w:ind w:left="864" w:hanging="864"/>
        <w:contextualSpacing w:val="0"/>
      </w:pPr>
      <w:bookmarkStart w:id="306" w:name="_Toc389131183"/>
      <w:bookmarkStart w:id="307" w:name="_Toc517876510"/>
      <w:r>
        <w:t>Typology</w:t>
      </w:r>
      <w:r w:rsidRPr="007208DD">
        <w:t xml:space="preserve">: </w:t>
      </w:r>
      <w:r>
        <w:t>Which</w:t>
      </w:r>
      <w:r w:rsidRPr="007208DD">
        <w:t xml:space="preserve"> tomb types </w:t>
      </w:r>
      <w:r>
        <w:t>are</w:t>
      </w:r>
      <w:r w:rsidRPr="007208DD">
        <w:t xml:space="preserve"> associated </w:t>
      </w:r>
      <w:r>
        <w:t xml:space="preserve">with </w:t>
      </w:r>
      <w:r w:rsidRPr="007208DD">
        <w:t>larnakes?</w:t>
      </w:r>
      <w:bookmarkEnd w:id="306"/>
      <w:bookmarkEnd w:id="307"/>
    </w:p>
    <w:p w14:paraId="36F78D86" w14:textId="77777777" w:rsidR="008940B3" w:rsidRPr="003B5C8D" w:rsidRDefault="008940B3" w:rsidP="00F3490B">
      <w:r w:rsidRPr="003B5C8D">
        <w:t xml:space="preserve">In the </w:t>
      </w:r>
      <w:r>
        <w:t>C</w:t>
      </w:r>
      <w:r w:rsidRPr="003B5C8D">
        <w:t>entral area</w:t>
      </w:r>
      <w:r>
        <w:t>,</w:t>
      </w:r>
      <w:r w:rsidRPr="003B5C8D">
        <w:t xml:space="preserve"> larnakes </w:t>
      </w:r>
      <w:r>
        <w:t>are</w:t>
      </w:r>
      <w:r w:rsidRPr="003B5C8D">
        <w:t xml:space="preserve"> associated 72% </w:t>
      </w:r>
      <w:r>
        <w:t xml:space="preserve">of the time </w:t>
      </w:r>
      <w:r w:rsidRPr="003B5C8D">
        <w:t>with chambe</w:t>
      </w:r>
      <w:r>
        <w:t>r tombs. The other tomb typ</w:t>
      </w:r>
      <w:r w:rsidRPr="003B5C8D">
        <w:t>es adopted in this area for the LM III phase are corbel-vaulted tombs, shaft graves, built tomb</w:t>
      </w:r>
      <w:r>
        <w:t>s</w:t>
      </w:r>
      <w:r w:rsidRPr="003B5C8D">
        <w:t xml:space="preserve"> and pits. </w:t>
      </w:r>
      <w:r>
        <w:t xml:space="preserve">The </w:t>
      </w:r>
      <w:r w:rsidRPr="003B5C8D">
        <w:t xml:space="preserve">Archanes Phourni cemetery </w:t>
      </w:r>
      <w:r>
        <w:t>displays</w:t>
      </w:r>
      <w:r w:rsidRPr="003B5C8D">
        <w:t xml:space="preserve"> a high degree of </w:t>
      </w:r>
      <w:r>
        <w:t xml:space="preserve">typological </w:t>
      </w:r>
      <w:r w:rsidRPr="003B5C8D">
        <w:t xml:space="preserve">diversity. All the larnakes grouped in the burial enclosure </w:t>
      </w:r>
      <w:r>
        <w:t>are</w:t>
      </w:r>
      <w:r w:rsidRPr="003B5C8D">
        <w:t xml:space="preserve"> registered </w:t>
      </w:r>
      <w:r>
        <w:t xml:space="preserve">as </w:t>
      </w:r>
      <w:r w:rsidRPr="003B5C8D">
        <w:t>single pit tombs in the present analysis</w:t>
      </w:r>
      <w:r>
        <w:t>,</w:t>
      </w:r>
      <w:r w:rsidRPr="003B5C8D">
        <w:t xml:space="preserve"> </w:t>
      </w:r>
      <w:r>
        <w:t>despite being</w:t>
      </w:r>
      <w:r w:rsidRPr="003B5C8D">
        <w:t xml:space="preserve"> clustered clearly together in the same burial area.</w:t>
      </w:r>
      <w:r>
        <w:t xml:space="preserve"> The two larnakes found in the annex area of Tholos B are considered under the category of built tomb, because the two burials were found in built structures, which could be considered annexes of the tholos. The structures were probably previously built and reused spaces, considering the long-time use of this tholos (</w:t>
      </w:r>
      <w:r w:rsidRPr="003B5C8D">
        <w:t>Sakellarakis 1997</w:t>
      </w:r>
      <w:r>
        <w:t>: 169-179).</w:t>
      </w:r>
      <w:r w:rsidRPr="003B5C8D">
        <w:t xml:space="preserve"> The burial enclosure</w:t>
      </w:r>
      <w:r>
        <w:t>,</w:t>
      </w:r>
      <w:r w:rsidRPr="003B5C8D">
        <w:t xml:space="preserve"> a</w:t>
      </w:r>
      <w:r>
        <w:t>long with Burial Building 3 and the larnax burials found in two different annex areas of Tholos B (Area 11 and Area 5) are</w:t>
      </w:r>
      <w:r w:rsidRPr="003B5C8D">
        <w:t xml:space="preserve"> very peculiar tomb type</w:t>
      </w:r>
      <w:r>
        <w:t>s,</w:t>
      </w:r>
      <w:r w:rsidRPr="003B5C8D">
        <w:t xml:space="preserve"> </w:t>
      </w:r>
      <w:r>
        <w:t>without</w:t>
      </w:r>
      <w:r w:rsidRPr="003B5C8D">
        <w:t xml:space="preserve"> any exact correspondence els</w:t>
      </w:r>
      <w:r>
        <w:t>ewhere on the island (</w:t>
      </w:r>
      <w:r w:rsidRPr="003B5C8D">
        <w:t>Sakellarakis 1997; Langohr 2009: 65-67)</w:t>
      </w:r>
      <w:r>
        <w:t xml:space="preserve">. </w:t>
      </w:r>
    </w:p>
    <w:p w14:paraId="51FD177C"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757AC6A9"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5CE46B7C" wp14:editId="02A6C578">
            <wp:extent cx="4680000" cy="2520000"/>
            <wp:effectExtent l="0" t="0" r="19050" b="20320"/>
            <wp:docPr id="16" name="Gra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22440B4" w14:textId="77777777" w:rsidR="008940B3" w:rsidRDefault="008940B3" w:rsidP="00E858EF">
      <w:pPr>
        <w:pStyle w:val="Didascalia"/>
        <w:suppressAutoHyphens/>
      </w:pPr>
      <w:bookmarkStart w:id="308" w:name="_Toc520212314"/>
      <w:r>
        <w:t>Figure 3-32. Tomb types associated with larnax burials in the Central area</w:t>
      </w:r>
      <w:bookmarkEnd w:id="308"/>
    </w:p>
    <w:p w14:paraId="43D2DDE1"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29FBA64A" w14:textId="77777777" w:rsidR="00363CE1" w:rsidRDefault="00363CE1" w:rsidP="00E858EF">
      <w:pPr>
        <w:suppressAutoHyphens/>
        <w:spacing w:line="240" w:lineRule="auto"/>
        <w:contextualSpacing w:val="0"/>
        <w:jc w:val="left"/>
        <w:rPr>
          <w:rFonts w:cs="Lucida Grande"/>
          <w:b/>
          <w:sz w:val="20"/>
          <w:szCs w:val="18"/>
        </w:rPr>
      </w:pPr>
      <w:r>
        <w:br w:type="page"/>
      </w:r>
    </w:p>
    <w:p w14:paraId="0B96EC31" w14:textId="00E241DE" w:rsidR="008940B3" w:rsidRPr="003B5C8D" w:rsidRDefault="008940B3" w:rsidP="00E858EF">
      <w:pPr>
        <w:pStyle w:val="Testofumetto"/>
        <w:suppressAutoHyphens/>
      </w:pPr>
      <w:bookmarkStart w:id="309" w:name="_Toc520212534"/>
      <w:r>
        <w:t>Table 3-4</w:t>
      </w:r>
      <w:r w:rsidR="007D1875">
        <w:t>7</w:t>
      </w:r>
      <w:r>
        <w:t>. Tomb types associated with larnax by cemetery</w:t>
      </w:r>
      <w:r w:rsidR="005E1C18">
        <w:t>,</w:t>
      </w:r>
      <w:r>
        <w:t xml:space="preserve"> Central area</w:t>
      </w:r>
      <w:bookmarkEnd w:id="30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618"/>
        <w:gridCol w:w="619"/>
        <w:gridCol w:w="560"/>
        <w:gridCol w:w="590"/>
        <w:gridCol w:w="560"/>
        <w:gridCol w:w="560"/>
        <w:gridCol w:w="560"/>
        <w:gridCol w:w="590"/>
        <w:gridCol w:w="502"/>
        <w:gridCol w:w="510"/>
        <w:gridCol w:w="618"/>
        <w:gridCol w:w="58"/>
        <w:gridCol w:w="590"/>
      </w:tblGrid>
      <w:tr w:rsidR="008940B3" w:rsidRPr="003B5C8D" w14:paraId="4AE14D41" w14:textId="77777777" w:rsidTr="008940B3">
        <w:trPr>
          <w:trHeight w:val="405"/>
        </w:trPr>
        <w:tc>
          <w:tcPr>
            <w:tcW w:w="1453" w:type="dxa"/>
          </w:tcPr>
          <w:p w14:paraId="37EFCA0D" w14:textId="77777777" w:rsidR="008940B3" w:rsidRPr="003B5C8D" w:rsidRDefault="008940B3" w:rsidP="00E858EF">
            <w:pPr>
              <w:suppressAutoHyphens/>
              <w:rPr>
                <w:b/>
                <w:color w:val="000000"/>
                <w:sz w:val="16"/>
                <w:szCs w:val="16"/>
              </w:rPr>
            </w:pPr>
            <w:r w:rsidRPr="003B5C8D">
              <w:rPr>
                <w:rFonts w:eastAsia="Times New Roman"/>
                <w:b/>
                <w:bCs/>
                <w:sz w:val="16"/>
                <w:szCs w:val="16"/>
              </w:rPr>
              <w:t>CEMETERIES</w:t>
            </w:r>
          </w:p>
        </w:tc>
        <w:tc>
          <w:tcPr>
            <w:tcW w:w="1237" w:type="dxa"/>
            <w:gridSpan w:val="2"/>
            <w:vAlign w:val="bottom"/>
            <w:hideMark/>
          </w:tcPr>
          <w:p w14:paraId="05271BAF" w14:textId="77777777" w:rsidR="008940B3" w:rsidRPr="003B5C8D" w:rsidRDefault="008940B3" w:rsidP="00E858EF">
            <w:pPr>
              <w:suppressAutoHyphens/>
              <w:jc w:val="center"/>
              <w:rPr>
                <w:b/>
                <w:sz w:val="16"/>
                <w:szCs w:val="16"/>
              </w:rPr>
            </w:pPr>
            <w:r w:rsidRPr="003B5C8D">
              <w:rPr>
                <w:rFonts w:eastAsia="Times New Roman"/>
                <w:b/>
                <w:bCs/>
                <w:color w:val="000000"/>
                <w:sz w:val="16"/>
                <w:szCs w:val="16"/>
              </w:rPr>
              <w:t>CHAMBER TOMBS</w:t>
            </w:r>
          </w:p>
        </w:tc>
        <w:tc>
          <w:tcPr>
            <w:tcW w:w="1120" w:type="dxa"/>
            <w:gridSpan w:val="2"/>
          </w:tcPr>
          <w:p w14:paraId="485DBC93" w14:textId="77777777" w:rsidR="008940B3" w:rsidRPr="003B5C8D" w:rsidRDefault="008940B3" w:rsidP="00E858EF">
            <w:pPr>
              <w:suppressAutoHyphens/>
              <w:jc w:val="center"/>
              <w:rPr>
                <w:b/>
                <w:color w:val="000000"/>
                <w:sz w:val="16"/>
                <w:szCs w:val="16"/>
              </w:rPr>
            </w:pPr>
            <w:r w:rsidRPr="003B5C8D">
              <w:rPr>
                <w:b/>
                <w:color w:val="000000"/>
                <w:sz w:val="16"/>
                <w:szCs w:val="16"/>
              </w:rPr>
              <w:t>CORBEL VAULTED</w:t>
            </w:r>
          </w:p>
        </w:tc>
        <w:tc>
          <w:tcPr>
            <w:tcW w:w="1120" w:type="dxa"/>
            <w:gridSpan w:val="2"/>
          </w:tcPr>
          <w:p w14:paraId="4F182F7D" w14:textId="77777777" w:rsidR="008940B3" w:rsidRPr="003B5C8D" w:rsidRDefault="008940B3" w:rsidP="00E858EF">
            <w:pPr>
              <w:suppressAutoHyphens/>
              <w:jc w:val="center"/>
              <w:rPr>
                <w:b/>
                <w:color w:val="000000"/>
                <w:sz w:val="16"/>
                <w:szCs w:val="16"/>
              </w:rPr>
            </w:pPr>
            <w:r w:rsidRPr="003B5C8D">
              <w:rPr>
                <w:b/>
                <w:color w:val="000000"/>
                <w:sz w:val="16"/>
                <w:szCs w:val="16"/>
              </w:rPr>
              <w:t>SHAFT GRAVE</w:t>
            </w:r>
          </w:p>
        </w:tc>
        <w:tc>
          <w:tcPr>
            <w:tcW w:w="1120" w:type="dxa"/>
            <w:gridSpan w:val="2"/>
          </w:tcPr>
          <w:p w14:paraId="6DE2B150" w14:textId="77777777" w:rsidR="008940B3" w:rsidRPr="003B5C8D" w:rsidRDefault="008940B3" w:rsidP="00E858EF">
            <w:pPr>
              <w:suppressAutoHyphens/>
              <w:jc w:val="center"/>
              <w:rPr>
                <w:b/>
                <w:color w:val="000000"/>
                <w:sz w:val="16"/>
                <w:szCs w:val="16"/>
              </w:rPr>
            </w:pPr>
            <w:r w:rsidRPr="003B5C8D">
              <w:rPr>
                <w:b/>
                <w:color w:val="000000"/>
                <w:sz w:val="16"/>
                <w:szCs w:val="16"/>
              </w:rPr>
              <w:t>PIT</w:t>
            </w:r>
          </w:p>
        </w:tc>
        <w:tc>
          <w:tcPr>
            <w:tcW w:w="1004" w:type="dxa"/>
            <w:gridSpan w:val="2"/>
          </w:tcPr>
          <w:p w14:paraId="2CB94146" w14:textId="77777777" w:rsidR="008940B3" w:rsidRPr="003B5C8D" w:rsidRDefault="008940B3" w:rsidP="00E858EF">
            <w:pPr>
              <w:suppressAutoHyphens/>
              <w:jc w:val="center"/>
              <w:rPr>
                <w:b/>
                <w:color w:val="000000"/>
                <w:sz w:val="16"/>
                <w:szCs w:val="16"/>
              </w:rPr>
            </w:pPr>
            <w:r w:rsidRPr="003B5C8D">
              <w:rPr>
                <w:b/>
                <w:color w:val="000000"/>
                <w:sz w:val="16"/>
                <w:szCs w:val="16"/>
              </w:rPr>
              <w:t>BUILT TOMB</w:t>
            </w:r>
          </w:p>
        </w:tc>
        <w:tc>
          <w:tcPr>
            <w:tcW w:w="1236" w:type="dxa"/>
            <w:gridSpan w:val="3"/>
          </w:tcPr>
          <w:p w14:paraId="5A09F3F8" w14:textId="77777777" w:rsidR="008940B3" w:rsidRPr="003B5C8D" w:rsidRDefault="008940B3" w:rsidP="00E858EF">
            <w:pPr>
              <w:suppressAutoHyphens/>
              <w:jc w:val="center"/>
              <w:rPr>
                <w:b/>
                <w:color w:val="000000"/>
                <w:sz w:val="16"/>
                <w:szCs w:val="16"/>
              </w:rPr>
            </w:pPr>
            <w:r w:rsidRPr="003B5C8D">
              <w:rPr>
                <w:b/>
                <w:color w:val="000000"/>
                <w:sz w:val="16"/>
                <w:szCs w:val="16"/>
              </w:rPr>
              <w:t>N</w:t>
            </w:r>
            <w:r>
              <w:rPr>
                <w:b/>
                <w:color w:val="000000"/>
                <w:sz w:val="16"/>
                <w:szCs w:val="16"/>
              </w:rPr>
              <w:t>/</w:t>
            </w:r>
            <w:r w:rsidRPr="003B5C8D">
              <w:rPr>
                <w:b/>
                <w:color w:val="000000"/>
                <w:sz w:val="16"/>
                <w:szCs w:val="16"/>
              </w:rPr>
              <w:t>A</w:t>
            </w:r>
          </w:p>
        </w:tc>
      </w:tr>
      <w:tr w:rsidR="008940B3" w:rsidRPr="003B5C8D" w14:paraId="000CE652" w14:textId="77777777" w:rsidTr="008940B3">
        <w:trPr>
          <w:trHeight w:val="315"/>
        </w:trPr>
        <w:tc>
          <w:tcPr>
            <w:tcW w:w="1453" w:type="dxa"/>
            <w:vAlign w:val="bottom"/>
          </w:tcPr>
          <w:p w14:paraId="405DA07D" w14:textId="77777777" w:rsidR="008940B3" w:rsidRPr="003B5C8D" w:rsidRDefault="008940B3" w:rsidP="00E858EF">
            <w:pPr>
              <w:suppressAutoHyphens/>
              <w:rPr>
                <w:sz w:val="16"/>
                <w:szCs w:val="16"/>
              </w:rPr>
            </w:pPr>
            <w:r w:rsidRPr="003B5C8D">
              <w:rPr>
                <w:rFonts w:eastAsia="Times New Roman"/>
                <w:sz w:val="16"/>
                <w:szCs w:val="16"/>
              </w:rPr>
              <w:t>AGIOS MYRON</w:t>
            </w:r>
          </w:p>
        </w:tc>
        <w:tc>
          <w:tcPr>
            <w:tcW w:w="618" w:type="dxa"/>
            <w:vAlign w:val="bottom"/>
            <w:hideMark/>
          </w:tcPr>
          <w:p w14:paraId="62E2A823" w14:textId="77777777" w:rsidR="008940B3" w:rsidRPr="003B5C8D" w:rsidRDefault="008940B3" w:rsidP="00E858EF">
            <w:pPr>
              <w:suppressAutoHyphens/>
              <w:jc w:val="center"/>
              <w:rPr>
                <w:sz w:val="16"/>
                <w:szCs w:val="16"/>
              </w:rPr>
            </w:pPr>
            <w:r w:rsidRPr="003B5C8D">
              <w:rPr>
                <w:rFonts w:eastAsia="Times New Roman"/>
                <w:color w:val="000000"/>
                <w:sz w:val="16"/>
                <w:szCs w:val="16"/>
              </w:rPr>
              <w:t>1</w:t>
            </w:r>
          </w:p>
        </w:tc>
        <w:tc>
          <w:tcPr>
            <w:tcW w:w="619" w:type="dxa"/>
            <w:vAlign w:val="bottom"/>
          </w:tcPr>
          <w:p w14:paraId="2C59208E"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7242B941" w14:textId="77777777" w:rsidR="008940B3" w:rsidRPr="003B5C8D" w:rsidRDefault="008940B3" w:rsidP="00E858EF">
            <w:pPr>
              <w:suppressAutoHyphens/>
              <w:jc w:val="center"/>
              <w:rPr>
                <w:color w:val="000000"/>
                <w:sz w:val="16"/>
                <w:szCs w:val="16"/>
              </w:rPr>
            </w:pPr>
          </w:p>
        </w:tc>
        <w:tc>
          <w:tcPr>
            <w:tcW w:w="1120" w:type="dxa"/>
            <w:gridSpan w:val="2"/>
          </w:tcPr>
          <w:p w14:paraId="04C9F25F" w14:textId="77777777" w:rsidR="008940B3" w:rsidRPr="003B5C8D" w:rsidRDefault="008940B3" w:rsidP="00E858EF">
            <w:pPr>
              <w:suppressAutoHyphens/>
              <w:jc w:val="center"/>
              <w:rPr>
                <w:color w:val="000000"/>
                <w:sz w:val="16"/>
                <w:szCs w:val="16"/>
              </w:rPr>
            </w:pPr>
          </w:p>
        </w:tc>
        <w:tc>
          <w:tcPr>
            <w:tcW w:w="1120" w:type="dxa"/>
            <w:gridSpan w:val="2"/>
          </w:tcPr>
          <w:p w14:paraId="5263CE73" w14:textId="77777777" w:rsidR="008940B3" w:rsidRPr="003B5C8D" w:rsidRDefault="008940B3" w:rsidP="00E858EF">
            <w:pPr>
              <w:suppressAutoHyphens/>
              <w:jc w:val="center"/>
              <w:rPr>
                <w:color w:val="000000"/>
                <w:sz w:val="16"/>
                <w:szCs w:val="16"/>
              </w:rPr>
            </w:pPr>
          </w:p>
        </w:tc>
        <w:tc>
          <w:tcPr>
            <w:tcW w:w="1004" w:type="dxa"/>
            <w:gridSpan w:val="2"/>
          </w:tcPr>
          <w:p w14:paraId="59F3E47F" w14:textId="77777777" w:rsidR="008940B3" w:rsidRPr="003B5C8D" w:rsidRDefault="008940B3" w:rsidP="00E858EF">
            <w:pPr>
              <w:suppressAutoHyphens/>
              <w:jc w:val="center"/>
              <w:rPr>
                <w:color w:val="000000"/>
                <w:sz w:val="16"/>
                <w:szCs w:val="16"/>
              </w:rPr>
            </w:pPr>
          </w:p>
        </w:tc>
        <w:tc>
          <w:tcPr>
            <w:tcW w:w="1236" w:type="dxa"/>
            <w:gridSpan w:val="3"/>
          </w:tcPr>
          <w:p w14:paraId="7C91CA5A" w14:textId="77777777" w:rsidR="008940B3" w:rsidRPr="003B5C8D" w:rsidRDefault="008940B3" w:rsidP="00E858EF">
            <w:pPr>
              <w:suppressAutoHyphens/>
              <w:jc w:val="center"/>
              <w:rPr>
                <w:color w:val="000000"/>
                <w:sz w:val="16"/>
                <w:szCs w:val="16"/>
              </w:rPr>
            </w:pPr>
          </w:p>
        </w:tc>
      </w:tr>
      <w:tr w:rsidR="008940B3" w:rsidRPr="003B5C8D" w14:paraId="2B47D524" w14:textId="77777777" w:rsidTr="008940B3">
        <w:trPr>
          <w:trHeight w:val="315"/>
        </w:trPr>
        <w:tc>
          <w:tcPr>
            <w:tcW w:w="1453" w:type="dxa"/>
            <w:vAlign w:val="bottom"/>
          </w:tcPr>
          <w:p w14:paraId="09EC8294" w14:textId="77777777" w:rsidR="008940B3" w:rsidRPr="003B5C8D" w:rsidRDefault="008940B3" w:rsidP="00E858EF">
            <w:pPr>
              <w:suppressAutoHyphens/>
              <w:rPr>
                <w:rFonts w:eastAsia="Times New Roman"/>
                <w:sz w:val="16"/>
                <w:szCs w:val="16"/>
              </w:rPr>
            </w:pPr>
            <w:r>
              <w:rPr>
                <w:rFonts w:eastAsia="Times New Roman"/>
                <w:sz w:val="16"/>
                <w:szCs w:val="16"/>
              </w:rPr>
              <w:t>AGIA PELAGIA</w:t>
            </w:r>
          </w:p>
        </w:tc>
        <w:tc>
          <w:tcPr>
            <w:tcW w:w="618" w:type="dxa"/>
            <w:vAlign w:val="bottom"/>
          </w:tcPr>
          <w:p w14:paraId="515A1061" w14:textId="77777777" w:rsidR="008940B3" w:rsidRDefault="008940B3" w:rsidP="00E858EF">
            <w:pPr>
              <w:suppressAutoHyphens/>
              <w:jc w:val="center"/>
              <w:rPr>
                <w:rFonts w:eastAsia="Times New Roman"/>
                <w:color w:val="000000"/>
                <w:sz w:val="16"/>
                <w:szCs w:val="16"/>
              </w:rPr>
            </w:pPr>
            <w:r>
              <w:rPr>
                <w:rFonts w:eastAsia="Times New Roman"/>
                <w:color w:val="000000"/>
                <w:sz w:val="16"/>
                <w:szCs w:val="16"/>
              </w:rPr>
              <w:t>1</w:t>
            </w:r>
          </w:p>
        </w:tc>
        <w:tc>
          <w:tcPr>
            <w:tcW w:w="619" w:type="dxa"/>
            <w:vAlign w:val="bottom"/>
          </w:tcPr>
          <w:p w14:paraId="07332B9B"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511C9CD1" w14:textId="77777777" w:rsidR="008940B3" w:rsidRPr="003B5C8D" w:rsidRDefault="008940B3" w:rsidP="00E858EF">
            <w:pPr>
              <w:suppressAutoHyphens/>
              <w:jc w:val="center"/>
              <w:rPr>
                <w:color w:val="000000"/>
                <w:sz w:val="16"/>
                <w:szCs w:val="16"/>
              </w:rPr>
            </w:pPr>
          </w:p>
        </w:tc>
        <w:tc>
          <w:tcPr>
            <w:tcW w:w="1120" w:type="dxa"/>
            <w:gridSpan w:val="2"/>
          </w:tcPr>
          <w:p w14:paraId="51B8F104" w14:textId="77777777" w:rsidR="008940B3" w:rsidRPr="003B5C8D" w:rsidRDefault="008940B3" w:rsidP="00E858EF">
            <w:pPr>
              <w:suppressAutoHyphens/>
              <w:jc w:val="center"/>
              <w:rPr>
                <w:color w:val="000000"/>
                <w:sz w:val="16"/>
                <w:szCs w:val="16"/>
              </w:rPr>
            </w:pPr>
          </w:p>
        </w:tc>
        <w:tc>
          <w:tcPr>
            <w:tcW w:w="1120" w:type="dxa"/>
            <w:gridSpan w:val="2"/>
          </w:tcPr>
          <w:p w14:paraId="3F03004B" w14:textId="77777777" w:rsidR="008940B3" w:rsidRPr="003B5C8D" w:rsidRDefault="008940B3" w:rsidP="00E858EF">
            <w:pPr>
              <w:suppressAutoHyphens/>
              <w:jc w:val="center"/>
              <w:rPr>
                <w:color w:val="000000"/>
                <w:sz w:val="16"/>
                <w:szCs w:val="16"/>
              </w:rPr>
            </w:pPr>
          </w:p>
        </w:tc>
        <w:tc>
          <w:tcPr>
            <w:tcW w:w="1004" w:type="dxa"/>
            <w:gridSpan w:val="2"/>
          </w:tcPr>
          <w:p w14:paraId="712F0EEA" w14:textId="77777777" w:rsidR="008940B3" w:rsidRPr="003B5C8D" w:rsidRDefault="008940B3" w:rsidP="00E858EF">
            <w:pPr>
              <w:suppressAutoHyphens/>
              <w:jc w:val="center"/>
              <w:rPr>
                <w:color w:val="000000"/>
                <w:sz w:val="16"/>
                <w:szCs w:val="16"/>
              </w:rPr>
            </w:pPr>
          </w:p>
        </w:tc>
        <w:tc>
          <w:tcPr>
            <w:tcW w:w="1236" w:type="dxa"/>
            <w:gridSpan w:val="3"/>
          </w:tcPr>
          <w:p w14:paraId="355C26C3" w14:textId="77777777" w:rsidR="008940B3" w:rsidRPr="003B5C8D" w:rsidRDefault="008940B3" w:rsidP="00E858EF">
            <w:pPr>
              <w:suppressAutoHyphens/>
              <w:jc w:val="center"/>
              <w:rPr>
                <w:color w:val="000000"/>
                <w:sz w:val="16"/>
                <w:szCs w:val="16"/>
              </w:rPr>
            </w:pPr>
          </w:p>
        </w:tc>
      </w:tr>
      <w:tr w:rsidR="008940B3" w:rsidRPr="003B5C8D" w14:paraId="4E741894" w14:textId="77777777" w:rsidTr="008940B3">
        <w:trPr>
          <w:trHeight w:val="315"/>
        </w:trPr>
        <w:tc>
          <w:tcPr>
            <w:tcW w:w="1453" w:type="dxa"/>
            <w:vAlign w:val="bottom"/>
          </w:tcPr>
          <w:p w14:paraId="7DC898CC" w14:textId="77777777" w:rsidR="008940B3" w:rsidRPr="003B5C8D" w:rsidRDefault="008940B3" w:rsidP="00E858EF">
            <w:pPr>
              <w:suppressAutoHyphens/>
              <w:rPr>
                <w:sz w:val="16"/>
                <w:szCs w:val="16"/>
              </w:rPr>
            </w:pPr>
            <w:r w:rsidRPr="003B5C8D">
              <w:rPr>
                <w:rFonts w:eastAsia="Times New Roman"/>
                <w:sz w:val="16"/>
                <w:szCs w:val="16"/>
              </w:rPr>
              <w:t>AGIOS SYLLAS</w:t>
            </w:r>
          </w:p>
        </w:tc>
        <w:tc>
          <w:tcPr>
            <w:tcW w:w="618" w:type="dxa"/>
            <w:vAlign w:val="bottom"/>
            <w:hideMark/>
          </w:tcPr>
          <w:p w14:paraId="139AB855" w14:textId="77777777" w:rsidR="008940B3" w:rsidRPr="003B5C8D" w:rsidRDefault="008940B3" w:rsidP="00E858EF">
            <w:pPr>
              <w:suppressAutoHyphens/>
              <w:jc w:val="center"/>
              <w:rPr>
                <w:sz w:val="16"/>
                <w:szCs w:val="16"/>
              </w:rPr>
            </w:pPr>
            <w:r>
              <w:rPr>
                <w:rFonts w:eastAsia="Times New Roman"/>
                <w:color w:val="000000"/>
                <w:sz w:val="16"/>
                <w:szCs w:val="16"/>
              </w:rPr>
              <w:t>5</w:t>
            </w:r>
          </w:p>
        </w:tc>
        <w:tc>
          <w:tcPr>
            <w:tcW w:w="619" w:type="dxa"/>
            <w:vAlign w:val="bottom"/>
          </w:tcPr>
          <w:p w14:paraId="319E4FD9"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216A0FCD" w14:textId="77777777" w:rsidR="008940B3" w:rsidRPr="003B5C8D" w:rsidRDefault="008940B3" w:rsidP="00E858EF">
            <w:pPr>
              <w:suppressAutoHyphens/>
              <w:jc w:val="center"/>
              <w:rPr>
                <w:color w:val="000000"/>
                <w:sz w:val="16"/>
                <w:szCs w:val="16"/>
              </w:rPr>
            </w:pPr>
          </w:p>
        </w:tc>
        <w:tc>
          <w:tcPr>
            <w:tcW w:w="1120" w:type="dxa"/>
            <w:gridSpan w:val="2"/>
          </w:tcPr>
          <w:p w14:paraId="7CECE863" w14:textId="77777777" w:rsidR="008940B3" w:rsidRPr="003B5C8D" w:rsidRDefault="008940B3" w:rsidP="00E858EF">
            <w:pPr>
              <w:suppressAutoHyphens/>
              <w:jc w:val="center"/>
              <w:rPr>
                <w:color w:val="000000"/>
                <w:sz w:val="16"/>
                <w:szCs w:val="16"/>
              </w:rPr>
            </w:pPr>
          </w:p>
        </w:tc>
        <w:tc>
          <w:tcPr>
            <w:tcW w:w="1120" w:type="dxa"/>
            <w:gridSpan w:val="2"/>
          </w:tcPr>
          <w:p w14:paraId="279C11A8" w14:textId="77777777" w:rsidR="008940B3" w:rsidRPr="003B5C8D" w:rsidRDefault="008940B3" w:rsidP="00E858EF">
            <w:pPr>
              <w:suppressAutoHyphens/>
              <w:jc w:val="center"/>
              <w:rPr>
                <w:color w:val="000000"/>
                <w:sz w:val="16"/>
                <w:szCs w:val="16"/>
              </w:rPr>
            </w:pPr>
          </w:p>
        </w:tc>
        <w:tc>
          <w:tcPr>
            <w:tcW w:w="1004" w:type="dxa"/>
            <w:gridSpan w:val="2"/>
          </w:tcPr>
          <w:p w14:paraId="295E1EE4" w14:textId="77777777" w:rsidR="008940B3" w:rsidRPr="003B5C8D" w:rsidRDefault="008940B3" w:rsidP="00E858EF">
            <w:pPr>
              <w:suppressAutoHyphens/>
              <w:jc w:val="center"/>
              <w:rPr>
                <w:color w:val="000000"/>
                <w:sz w:val="16"/>
                <w:szCs w:val="16"/>
              </w:rPr>
            </w:pPr>
          </w:p>
        </w:tc>
        <w:tc>
          <w:tcPr>
            <w:tcW w:w="1236" w:type="dxa"/>
            <w:gridSpan w:val="3"/>
          </w:tcPr>
          <w:p w14:paraId="1AD3E7E6" w14:textId="77777777" w:rsidR="008940B3" w:rsidRPr="003B5C8D" w:rsidRDefault="008940B3" w:rsidP="00E858EF">
            <w:pPr>
              <w:suppressAutoHyphens/>
              <w:jc w:val="center"/>
              <w:rPr>
                <w:color w:val="000000"/>
                <w:sz w:val="16"/>
                <w:szCs w:val="16"/>
              </w:rPr>
            </w:pPr>
          </w:p>
        </w:tc>
      </w:tr>
      <w:tr w:rsidR="008940B3" w:rsidRPr="003B5C8D" w14:paraId="6D6AFEBE" w14:textId="77777777" w:rsidTr="008940B3">
        <w:trPr>
          <w:trHeight w:val="315"/>
        </w:trPr>
        <w:tc>
          <w:tcPr>
            <w:tcW w:w="1453" w:type="dxa"/>
            <w:vAlign w:val="bottom"/>
          </w:tcPr>
          <w:p w14:paraId="56DFBE2E" w14:textId="77777777" w:rsidR="008940B3" w:rsidRPr="003B5C8D" w:rsidRDefault="008940B3" w:rsidP="00E858EF">
            <w:pPr>
              <w:suppressAutoHyphens/>
              <w:rPr>
                <w:sz w:val="16"/>
                <w:szCs w:val="16"/>
              </w:rPr>
            </w:pPr>
            <w:r w:rsidRPr="003B5C8D">
              <w:rPr>
                <w:rFonts w:eastAsia="Times New Roman"/>
                <w:sz w:val="16"/>
                <w:szCs w:val="16"/>
              </w:rPr>
              <w:t>AMNISSOS KARTEROS</w:t>
            </w:r>
          </w:p>
        </w:tc>
        <w:tc>
          <w:tcPr>
            <w:tcW w:w="618" w:type="dxa"/>
            <w:vAlign w:val="bottom"/>
            <w:hideMark/>
          </w:tcPr>
          <w:p w14:paraId="608FD170" w14:textId="77777777" w:rsidR="008940B3" w:rsidRPr="003B5C8D" w:rsidRDefault="008940B3" w:rsidP="00E858EF">
            <w:pPr>
              <w:suppressAutoHyphens/>
              <w:jc w:val="center"/>
              <w:rPr>
                <w:sz w:val="16"/>
                <w:szCs w:val="16"/>
              </w:rPr>
            </w:pPr>
            <w:r w:rsidRPr="003B5C8D">
              <w:rPr>
                <w:rFonts w:eastAsia="Times New Roman"/>
                <w:color w:val="000000"/>
                <w:sz w:val="16"/>
                <w:szCs w:val="16"/>
              </w:rPr>
              <w:t>1</w:t>
            </w:r>
          </w:p>
        </w:tc>
        <w:tc>
          <w:tcPr>
            <w:tcW w:w="619" w:type="dxa"/>
            <w:vAlign w:val="bottom"/>
          </w:tcPr>
          <w:p w14:paraId="086290A7"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48541DC6" w14:textId="77777777" w:rsidR="008940B3" w:rsidRPr="003B5C8D" w:rsidRDefault="008940B3" w:rsidP="00E858EF">
            <w:pPr>
              <w:suppressAutoHyphens/>
              <w:jc w:val="center"/>
              <w:rPr>
                <w:sz w:val="16"/>
                <w:szCs w:val="16"/>
              </w:rPr>
            </w:pPr>
          </w:p>
        </w:tc>
        <w:tc>
          <w:tcPr>
            <w:tcW w:w="1120" w:type="dxa"/>
            <w:gridSpan w:val="2"/>
          </w:tcPr>
          <w:p w14:paraId="5E071D3A" w14:textId="77777777" w:rsidR="008940B3" w:rsidRPr="003B5C8D" w:rsidRDefault="008940B3" w:rsidP="00E858EF">
            <w:pPr>
              <w:suppressAutoHyphens/>
              <w:jc w:val="center"/>
              <w:rPr>
                <w:sz w:val="16"/>
                <w:szCs w:val="16"/>
              </w:rPr>
            </w:pPr>
          </w:p>
        </w:tc>
        <w:tc>
          <w:tcPr>
            <w:tcW w:w="1120" w:type="dxa"/>
            <w:gridSpan w:val="2"/>
          </w:tcPr>
          <w:p w14:paraId="51F93447" w14:textId="77777777" w:rsidR="008940B3" w:rsidRPr="003B5C8D" w:rsidRDefault="008940B3" w:rsidP="00E858EF">
            <w:pPr>
              <w:suppressAutoHyphens/>
              <w:jc w:val="center"/>
              <w:rPr>
                <w:sz w:val="16"/>
                <w:szCs w:val="16"/>
              </w:rPr>
            </w:pPr>
          </w:p>
        </w:tc>
        <w:tc>
          <w:tcPr>
            <w:tcW w:w="1004" w:type="dxa"/>
            <w:gridSpan w:val="2"/>
          </w:tcPr>
          <w:p w14:paraId="60576B72" w14:textId="77777777" w:rsidR="008940B3" w:rsidRPr="003B5C8D" w:rsidRDefault="008940B3" w:rsidP="00E858EF">
            <w:pPr>
              <w:suppressAutoHyphens/>
              <w:jc w:val="center"/>
              <w:rPr>
                <w:sz w:val="16"/>
                <w:szCs w:val="16"/>
              </w:rPr>
            </w:pPr>
          </w:p>
        </w:tc>
        <w:tc>
          <w:tcPr>
            <w:tcW w:w="1236" w:type="dxa"/>
            <w:gridSpan w:val="3"/>
          </w:tcPr>
          <w:p w14:paraId="14C1E496" w14:textId="77777777" w:rsidR="008940B3" w:rsidRPr="003B5C8D" w:rsidRDefault="008940B3" w:rsidP="00E858EF">
            <w:pPr>
              <w:suppressAutoHyphens/>
              <w:jc w:val="center"/>
              <w:rPr>
                <w:sz w:val="16"/>
                <w:szCs w:val="16"/>
              </w:rPr>
            </w:pPr>
          </w:p>
        </w:tc>
      </w:tr>
      <w:tr w:rsidR="008940B3" w:rsidRPr="003B5C8D" w14:paraId="3155DF40" w14:textId="77777777" w:rsidTr="008940B3">
        <w:trPr>
          <w:trHeight w:val="315"/>
        </w:trPr>
        <w:tc>
          <w:tcPr>
            <w:tcW w:w="1453" w:type="dxa"/>
            <w:vAlign w:val="bottom"/>
          </w:tcPr>
          <w:p w14:paraId="3CBBBE54" w14:textId="77777777" w:rsidR="008940B3" w:rsidRPr="003B5C8D" w:rsidRDefault="008940B3" w:rsidP="00E858EF">
            <w:pPr>
              <w:suppressAutoHyphens/>
              <w:rPr>
                <w:sz w:val="16"/>
                <w:szCs w:val="16"/>
              </w:rPr>
            </w:pPr>
            <w:r w:rsidRPr="003B5C8D">
              <w:rPr>
                <w:rFonts w:eastAsia="Times New Roman"/>
                <w:sz w:val="16"/>
                <w:szCs w:val="16"/>
              </w:rPr>
              <w:t>ANO VATHIA</w:t>
            </w:r>
          </w:p>
        </w:tc>
        <w:tc>
          <w:tcPr>
            <w:tcW w:w="618" w:type="dxa"/>
            <w:vAlign w:val="bottom"/>
            <w:hideMark/>
          </w:tcPr>
          <w:p w14:paraId="0981675F" w14:textId="77777777" w:rsidR="008940B3" w:rsidRPr="003B5C8D" w:rsidRDefault="008940B3" w:rsidP="00E858EF">
            <w:pPr>
              <w:suppressAutoHyphens/>
              <w:jc w:val="center"/>
              <w:rPr>
                <w:sz w:val="16"/>
                <w:szCs w:val="16"/>
              </w:rPr>
            </w:pPr>
            <w:r w:rsidRPr="003B5C8D">
              <w:rPr>
                <w:rFonts w:eastAsia="Times New Roman"/>
                <w:color w:val="000000"/>
                <w:sz w:val="16"/>
                <w:szCs w:val="16"/>
              </w:rPr>
              <w:t>1</w:t>
            </w:r>
          </w:p>
        </w:tc>
        <w:tc>
          <w:tcPr>
            <w:tcW w:w="619" w:type="dxa"/>
            <w:vAlign w:val="bottom"/>
          </w:tcPr>
          <w:p w14:paraId="44676C98"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4EBDEF31" w14:textId="77777777" w:rsidR="008940B3" w:rsidRPr="003B5C8D" w:rsidRDefault="008940B3" w:rsidP="00E858EF">
            <w:pPr>
              <w:suppressAutoHyphens/>
              <w:jc w:val="center"/>
              <w:rPr>
                <w:color w:val="000000"/>
                <w:sz w:val="16"/>
                <w:szCs w:val="16"/>
              </w:rPr>
            </w:pPr>
          </w:p>
        </w:tc>
        <w:tc>
          <w:tcPr>
            <w:tcW w:w="1120" w:type="dxa"/>
            <w:gridSpan w:val="2"/>
          </w:tcPr>
          <w:p w14:paraId="678DFAD2" w14:textId="77777777" w:rsidR="008940B3" w:rsidRPr="003B5C8D" w:rsidRDefault="008940B3" w:rsidP="00E858EF">
            <w:pPr>
              <w:suppressAutoHyphens/>
              <w:jc w:val="center"/>
              <w:rPr>
                <w:color w:val="000000"/>
                <w:sz w:val="16"/>
                <w:szCs w:val="16"/>
              </w:rPr>
            </w:pPr>
          </w:p>
        </w:tc>
        <w:tc>
          <w:tcPr>
            <w:tcW w:w="1120" w:type="dxa"/>
            <w:gridSpan w:val="2"/>
          </w:tcPr>
          <w:p w14:paraId="4CDC4A31" w14:textId="77777777" w:rsidR="008940B3" w:rsidRPr="003B5C8D" w:rsidRDefault="008940B3" w:rsidP="00E858EF">
            <w:pPr>
              <w:suppressAutoHyphens/>
              <w:jc w:val="center"/>
              <w:rPr>
                <w:color w:val="000000"/>
                <w:sz w:val="16"/>
                <w:szCs w:val="16"/>
              </w:rPr>
            </w:pPr>
          </w:p>
        </w:tc>
        <w:tc>
          <w:tcPr>
            <w:tcW w:w="1004" w:type="dxa"/>
            <w:gridSpan w:val="2"/>
          </w:tcPr>
          <w:p w14:paraId="3A1715F7" w14:textId="77777777" w:rsidR="008940B3" w:rsidRPr="003B5C8D" w:rsidRDefault="008940B3" w:rsidP="00E858EF">
            <w:pPr>
              <w:suppressAutoHyphens/>
              <w:jc w:val="center"/>
              <w:rPr>
                <w:color w:val="000000"/>
                <w:sz w:val="16"/>
                <w:szCs w:val="16"/>
              </w:rPr>
            </w:pPr>
          </w:p>
        </w:tc>
        <w:tc>
          <w:tcPr>
            <w:tcW w:w="1236" w:type="dxa"/>
            <w:gridSpan w:val="3"/>
          </w:tcPr>
          <w:p w14:paraId="22B2683E" w14:textId="77777777" w:rsidR="008940B3" w:rsidRPr="003B5C8D" w:rsidRDefault="008940B3" w:rsidP="00E858EF">
            <w:pPr>
              <w:suppressAutoHyphens/>
              <w:jc w:val="center"/>
              <w:rPr>
                <w:color w:val="000000"/>
                <w:sz w:val="16"/>
                <w:szCs w:val="16"/>
              </w:rPr>
            </w:pPr>
          </w:p>
        </w:tc>
      </w:tr>
      <w:tr w:rsidR="008940B3" w:rsidRPr="003B5C8D" w14:paraId="68E82EE3" w14:textId="77777777" w:rsidTr="008940B3">
        <w:trPr>
          <w:trHeight w:val="315"/>
        </w:trPr>
        <w:tc>
          <w:tcPr>
            <w:tcW w:w="1453" w:type="dxa"/>
            <w:vAlign w:val="bottom"/>
          </w:tcPr>
          <w:p w14:paraId="46627417" w14:textId="77777777" w:rsidR="008940B3" w:rsidRPr="003B5C8D" w:rsidRDefault="008940B3" w:rsidP="00E858EF">
            <w:pPr>
              <w:suppressAutoHyphens/>
              <w:rPr>
                <w:sz w:val="16"/>
                <w:szCs w:val="16"/>
              </w:rPr>
            </w:pPr>
            <w:r w:rsidRPr="003B5C8D">
              <w:rPr>
                <w:rFonts w:eastAsia="Times New Roman"/>
                <w:sz w:val="16"/>
                <w:szCs w:val="16"/>
              </w:rPr>
              <w:t>ANOPOLIS</w:t>
            </w:r>
          </w:p>
        </w:tc>
        <w:tc>
          <w:tcPr>
            <w:tcW w:w="618" w:type="dxa"/>
            <w:vAlign w:val="bottom"/>
            <w:hideMark/>
          </w:tcPr>
          <w:p w14:paraId="4A0C6807" w14:textId="77777777" w:rsidR="008940B3" w:rsidRPr="003B5C8D" w:rsidRDefault="008940B3" w:rsidP="00E858EF">
            <w:pPr>
              <w:suppressAutoHyphens/>
              <w:jc w:val="center"/>
              <w:rPr>
                <w:sz w:val="16"/>
                <w:szCs w:val="16"/>
              </w:rPr>
            </w:pPr>
            <w:r w:rsidRPr="003B5C8D">
              <w:rPr>
                <w:rFonts w:eastAsia="Times New Roman"/>
                <w:color w:val="000000"/>
                <w:sz w:val="16"/>
                <w:szCs w:val="16"/>
              </w:rPr>
              <w:t>2</w:t>
            </w:r>
          </w:p>
        </w:tc>
        <w:tc>
          <w:tcPr>
            <w:tcW w:w="619" w:type="dxa"/>
            <w:vAlign w:val="bottom"/>
          </w:tcPr>
          <w:p w14:paraId="58FFADEE"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63C0780C" w14:textId="77777777" w:rsidR="008940B3" w:rsidRPr="003B5C8D" w:rsidRDefault="008940B3" w:rsidP="00E858EF">
            <w:pPr>
              <w:suppressAutoHyphens/>
              <w:jc w:val="center"/>
              <w:rPr>
                <w:color w:val="000000"/>
                <w:sz w:val="16"/>
                <w:szCs w:val="16"/>
              </w:rPr>
            </w:pPr>
          </w:p>
        </w:tc>
        <w:tc>
          <w:tcPr>
            <w:tcW w:w="1120" w:type="dxa"/>
            <w:gridSpan w:val="2"/>
          </w:tcPr>
          <w:p w14:paraId="69CA5679" w14:textId="77777777" w:rsidR="008940B3" w:rsidRPr="003B5C8D" w:rsidRDefault="008940B3" w:rsidP="00E858EF">
            <w:pPr>
              <w:suppressAutoHyphens/>
              <w:jc w:val="center"/>
              <w:rPr>
                <w:color w:val="000000"/>
                <w:sz w:val="16"/>
                <w:szCs w:val="16"/>
              </w:rPr>
            </w:pPr>
          </w:p>
        </w:tc>
        <w:tc>
          <w:tcPr>
            <w:tcW w:w="1120" w:type="dxa"/>
            <w:gridSpan w:val="2"/>
          </w:tcPr>
          <w:p w14:paraId="1264524D" w14:textId="77777777" w:rsidR="008940B3" w:rsidRPr="003B5C8D" w:rsidRDefault="008940B3" w:rsidP="00E858EF">
            <w:pPr>
              <w:suppressAutoHyphens/>
              <w:jc w:val="center"/>
              <w:rPr>
                <w:color w:val="000000"/>
                <w:sz w:val="16"/>
                <w:szCs w:val="16"/>
              </w:rPr>
            </w:pPr>
          </w:p>
        </w:tc>
        <w:tc>
          <w:tcPr>
            <w:tcW w:w="1004" w:type="dxa"/>
            <w:gridSpan w:val="2"/>
          </w:tcPr>
          <w:p w14:paraId="2DB60E7E" w14:textId="77777777" w:rsidR="008940B3" w:rsidRPr="003B5C8D" w:rsidRDefault="008940B3" w:rsidP="00E858EF">
            <w:pPr>
              <w:suppressAutoHyphens/>
              <w:jc w:val="center"/>
              <w:rPr>
                <w:color w:val="000000"/>
                <w:sz w:val="16"/>
                <w:szCs w:val="16"/>
              </w:rPr>
            </w:pPr>
          </w:p>
        </w:tc>
        <w:tc>
          <w:tcPr>
            <w:tcW w:w="1236" w:type="dxa"/>
            <w:gridSpan w:val="3"/>
          </w:tcPr>
          <w:p w14:paraId="3C56CC4B" w14:textId="77777777" w:rsidR="008940B3" w:rsidRPr="003B5C8D" w:rsidRDefault="008940B3" w:rsidP="00E858EF">
            <w:pPr>
              <w:suppressAutoHyphens/>
              <w:jc w:val="center"/>
              <w:rPr>
                <w:color w:val="000000"/>
                <w:sz w:val="16"/>
                <w:szCs w:val="16"/>
              </w:rPr>
            </w:pPr>
          </w:p>
        </w:tc>
      </w:tr>
      <w:tr w:rsidR="008940B3" w:rsidRPr="003B5C8D" w14:paraId="447805B0" w14:textId="77777777" w:rsidTr="008940B3">
        <w:trPr>
          <w:trHeight w:val="278"/>
        </w:trPr>
        <w:tc>
          <w:tcPr>
            <w:tcW w:w="1453" w:type="dxa"/>
            <w:vAlign w:val="bottom"/>
          </w:tcPr>
          <w:p w14:paraId="2E5BABE8" w14:textId="77777777" w:rsidR="008940B3" w:rsidRPr="003B5C8D" w:rsidRDefault="008940B3" w:rsidP="00E858EF">
            <w:pPr>
              <w:suppressAutoHyphens/>
              <w:rPr>
                <w:sz w:val="16"/>
                <w:szCs w:val="16"/>
              </w:rPr>
            </w:pPr>
            <w:r w:rsidRPr="003B5C8D">
              <w:rPr>
                <w:rFonts w:eastAsia="Times New Roman"/>
                <w:sz w:val="16"/>
                <w:szCs w:val="16"/>
              </w:rPr>
              <w:t>ARCHANES ANIPHOROS</w:t>
            </w:r>
          </w:p>
        </w:tc>
        <w:tc>
          <w:tcPr>
            <w:tcW w:w="618" w:type="dxa"/>
            <w:vAlign w:val="bottom"/>
            <w:hideMark/>
          </w:tcPr>
          <w:p w14:paraId="0DDEBD46" w14:textId="77777777" w:rsidR="008940B3" w:rsidRPr="003B5C8D" w:rsidRDefault="008940B3" w:rsidP="00E858EF">
            <w:pPr>
              <w:suppressAutoHyphens/>
              <w:jc w:val="center"/>
              <w:rPr>
                <w:sz w:val="16"/>
                <w:szCs w:val="16"/>
              </w:rPr>
            </w:pPr>
            <w:r w:rsidRPr="003B5C8D">
              <w:rPr>
                <w:rFonts w:eastAsia="Times New Roman"/>
                <w:color w:val="000000"/>
                <w:sz w:val="16"/>
                <w:szCs w:val="16"/>
              </w:rPr>
              <w:t>2</w:t>
            </w:r>
          </w:p>
        </w:tc>
        <w:tc>
          <w:tcPr>
            <w:tcW w:w="619" w:type="dxa"/>
            <w:vAlign w:val="bottom"/>
          </w:tcPr>
          <w:p w14:paraId="350FDFAD"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3D04C0FF" w14:textId="77777777" w:rsidR="008940B3" w:rsidRPr="003B5C8D" w:rsidRDefault="008940B3" w:rsidP="00E858EF">
            <w:pPr>
              <w:suppressAutoHyphens/>
              <w:jc w:val="center"/>
              <w:rPr>
                <w:sz w:val="16"/>
                <w:szCs w:val="16"/>
              </w:rPr>
            </w:pPr>
          </w:p>
        </w:tc>
        <w:tc>
          <w:tcPr>
            <w:tcW w:w="1120" w:type="dxa"/>
            <w:gridSpan w:val="2"/>
          </w:tcPr>
          <w:p w14:paraId="7A6CC59C" w14:textId="77777777" w:rsidR="008940B3" w:rsidRPr="003B5C8D" w:rsidRDefault="008940B3" w:rsidP="00E858EF">
            <w:pPr>
              <w:suppressAutoHyphens/>
              <w:jc w:val="center"/>
              <w:rPr>
                <w:sz w:val="16"/>
                <w:szCs w:val="16"/>
              </w:rPr>
            </w:pPr>
          </w:p>
        </w:tc>
        <w:tc>
          <w:tcPr>
            <w:tcW w:w="1120" w:type="dxa"/>
            <w:gridSpan w:val="2"/>
          </w:tcPr>
          <w:p w14:paraId="39E5DCBF" w14:textId="77777777" w:rsidR="008940B3" w:rsidRPr="003B5C8D" w:rsidRDefault="008940B3" w:rsidP="00E858EF">
            <w:pPr>
              <w:suppressAutoHyphens/>
              <w:jc w:val="center"/>
              <w:rPr>
                <w:sz w:val="16"/>
                <w:szCs w:val="16"/>
              </w:rPr>
            </w:pPr>
          </w:p>
        </w:tc>
        <w:tc>
          <w:tcPr>
            <w:tcW w:w="1004" w:type="dxa"/>
            <w:gridSpan w:val="2"/>
          </w:tcPr>
          <w:p w14:paraId="42525498" w14:textId="77777777" w:rsidR="008940B3" w:rsidRPr="003B5C8D" w:rsidRDefault="008940B3" w:rsidP="00E858EF">
            <w:pPr>
              <w:suppressAutoHyphens/>
              <w:jc w:val="center"/>
              <w:rPr>
                <w:sz w:val="16"/>
                <w:szCs w:val="16"/>
              </w:rPr>
            </w:pPr>
          </w:p>
        </w:tc>
        <w:tc>
          <w:tcPr>
            <w:tcW w:w="1236" w:type="dxa"/>
            <w:gridSpan w:val="3"/>
          </w:tcPr>
          <w:p w14:paraId="6B841073" w14:textId="77777777" w:rsidR="008940B3" w:rsidRPr="003B5C8D" w:rsidRDefault="008940B3" w:rsidP="00E858EF">
            <w:pPr>
              <w:suppressAutoHyphens/>
              <w:jc w:val="center"/>
              <w:rPr>
                <w:sz w:val="16"/>
                <w:szCs w:val="16"/>
              </w:rPr>
            </w:pPr>
          </w:p>
        </w:tc>
      </w:tr>
      <w:tr w:rsidR="008940B3" w:rsidRPr="003B5C8D" w14:paraId="1B20041A" w14:textId="77777777" w:rsidTr="008940B3">
        <w:trPr>
          <w:trHeight w:val="268"/>
        </w:trPr>
        <w:tc>
          <w:tcPr>
            <w:tcW w:w="1453" w:type="dxa"/>
            <w:vAlign w:val="bottom"/>
          </w:tcPr>
          <w:p w14:paraId="4B7EF8CB" w14:textId="77777777" w:rsidR="008940B3" w:rsidRPr="003B5C8D" w:rsidRDefault="008940B3" w:rsidP="00E858EF">
            <w:pPr>
              <w:suppressAutoHyphens/>
              <w:rPr>
                <w:sz w:val="16"/>
                <w:szCs w:val="16"/>
              </w:rPr>
            </w:pPr>
            <w:r w:rsidRPr="003B5C8D">
              <w:rPr>
                <w:rFonts w:eastAsia="Times New Roman"/>
                <w:sz w:val="16"/>
                <w:szCs w:val="16"/>
              </w:rPr>
              <w:t>ARCHANES KATSOPRINIAS</w:t>
            </w:r>
          </w:p>
        </w:tc>
        <w:tc>
          <w:tcPr>
            <w:tcW w:w="618" w:type="dxa"/>
            <w:vAlign w:val="bottom"/>
            <w:hideMark/>
          </w:tcPr>
          <w:p w14:paraId="611B6500" w14:textId="77777777" w:rsidR="008940B3" w:rsidRPr="003B5C8D" w:rsidRDefault="008940B3" w:rsidP="00E858EF">
            <w:pPr>
              <w:suppressAutoHyphens/>
              <w:jc w:val="center"/>
              <w:rPr>
                <w:sz w:val="16"/>
                <w:szCs w:val="16"/>
              </w:rPr>
            </w:pPr>
            <w:r w:rsidRPr="003B5C8D">
              <w:rPr>
                <w:rFonts w:eastAsia="Times New Roman"/>
                <w:color w:val="000000"/>
                <w:sz w:val="16"/>
                <w:szCs w:val="16"/>
              </w:rPr>
              <w:t>1</w:t>
            </w:r>
          </w:p>
        </w:tc>
        <w:tc>
          <w:tcPr>
            <w:tcW w:w="619" w:type="dxa"/>
            <w:vAlign w:val="bottom"/>
          </w:tcPr>
          <w:p w14:paraId="72FEA85C"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2E8DB8D3" w14:textId="77777777" w:rsidR="008940B3" w:rsidRPr="003B5C8D" w:rsidRDefault="008940B3" w:rsidP="00E858EF">
            <w:pPr>
              <w:suppressAutoHyphens/>
              <w:jc w:val="center"/>
              <w:rPr>
                <w:color w:val="000000"/>
                <w:sz w:val="16"/>
                <w:szCs w:val="16"/>
              </w:rPr>
            </w:pPr>
          </w:p>
        </w:tc>
        <w:tc>
          <w:tcPr>
            <w:tcW w:w="1120" w:type="dxa"/>
            <w:gridSpan w:val="2"/>
          </w:tcPr>
          <w:p w14:paraId="0DF8439B" w14:textId="77777777" w:rsidR="008940B3" w:rsidRPr="003B5C8D" w:rsidRDefault="008940B3" w:rsidP="00E858EF">
            <w:pPr>
              <w:suppressAutoHyphens/>
              <w:jc w:val="center"/>
              <w:rPr>
                <w:color w:val="000000"/>
                <w:sz w:val="16"/>
                <w:szCs w:val="16"/>
              </w:rPr>
            </w:pPr>
          </w:p>
        </w:tc>
        <w:tc>
          <w:tcPr>
            <w:tcW w:w="1120" w:type="dxa"/>
            <w:gridSpan w:val="2"/>
          </w:tcPr>
          <w:p w14:paraId="084659B1" w14:textId="77777777" w:rsidR="008940B3" w:rsidRPr="003B5C8D" w:rsidRDefault="008940B3" w:rsidP="00E858EF">
            <w:pPr>
              <w:suppressAutoHyphens/>
              <w:jc w:val="center"/>
              <w:rPr>
                <w:color w:val="000000"/>
                <w:sz w:val="16"/>
                <w:szCs w:val="16"/>
              </w:rPr>
            </w:pPr>
          </w:p>
        </w:tc>
        <w:tc>
          <w:tcPr>
            <w:tcW w:w="1004" w:type="dxa"/>
            <w:gridSpan w:val="2"/>
          </w:tcPr>
          <w:p w14:paraId="0DEBA09D" w14:textId="77777777" w:rsidR="008940B3" w:rsidRPr="003B5C8D" w:rsidRDefault="008940B3" w:rsidP="00E858EF">
            <w:pPr>
              <w:suppressAutoHyphens/>
              <w:jc w:val="center"/>
              <w:rPr>
                <w:color w:val="000000"/>
                <w:sz w:val="16"/>
                <w:szCs w:val="16"/>
              </w:rPr>
            </w:pPr>
          </w:p>
        </w:tc>
        <w:tc>
          <w:tcPr>
            <w:tcW w:w="1236" w:type="dxa"/>
            <w:gridSpan w:val="3"/>
          </w:tcPr>
          <w:p w14:paraId="237D5B30" w14:textId="77777777" w:rsidR="008940B3" w:rsidRPr="003B5C8D" w:rsidRDefault="008940B3" w:rsidP="00E858EF">
            <w:pPr>
              <w:suppressAutoHyphens/>
              <w:jc w:val="center"/>
              <w:rPr>
                <w:color w:val="000000"/>
                <w:sz w:val="16"/>
                <w:szCs w:val="16"/>
              </w:rPr>
            </w:pPr>
          </w:p>
        </w:tc>
      </w:tr>
      <w:tr w:rsidR="008940B3" w:rsidRPr="003B5C8D" w14:paraId="2B8DE4A0" w14:textId="77777777" w:rsidTr="008940B3">
        <w:trPr>
          <w:trHeight w:val="300"/>
        </w:trPr>
        <w:tc>
          <w:tcPr>
            <w:tcW w:w="1453" w:type="dxa"/>
            <w:vAlign w:val="bottom"/>
          </w:tcPr>
          <w:p w14:paraId="364A0DBF" w14:textId="77777777" w:rsidR="008940B3" w:rsidRPr="003B5C8D" w:rsidRDefault="008940B3" w:rsidP="00E858EF">
            <w:pPr>
              <w:suppressAutoHyphens/>
              <w:rPr>
                <w:sz w:val="16"/>
                <w:szCs w:val="16"/>
              </w:rPr>
            </w:pPr>
            <w:r w:rsidRPr="003B5C8D">
              <w:rPr>
                <w:rFonts w:eastAsia="Times New Roman"/>
                <w:sz w:val="16"/>
                <w:szCs w:val="16"/>
              </w:rPr>
              <w:t>ARCHANES MESAMPELA</w:t>
            </w:r>
          </w:p>
        </w:tc>
        <w:tc>
          <w:tcPr>
            <w:tcW w:w="1237" w:type="dxa"/>
            <w:gridSpan w:val="2"/>
            <w:vAlign w:val="bottom"/>
            <w:hideMark/>
          </w:tcPr>
          <w:p w14:paraId="51FE29FC" w14:textId="77777777" w:rsidR="008940B3" w:rsidRPr="003B5C8D" w:rsidRDefault="008940B3" w:rsidP="00E858EF">
            <w:pPr>
              <w:suppressAutoHyphens/>
              <w:jc w:val="center"/>
              <w:rPr>
                <w:sz w:val="16"/>
                <w:szCs w:val="16"/>
              </w:rPr>
            </w:pPr>
          </w:p>
        </w:tc>
        <w:tc>
          <w:tcPr>
            <w:tcW w:w="1120" w:type="dxa"/>
            <w:gridSpan w:val="2"/>
          </w:tcPr>
          <w:p w14:paraId="1E9D7AF8" w14:textId="77777777" w:rsidR="008940B3" w:rsidRPr="003B5C8D" w:rsidRDefault="008940B3" w:rsidP="00E858EF">
            <w:pPr>
              <w:suppressAutoHyphens/>
              <w:jc w:val="center"/>
              <w:rPr>
                <w:sz w:val="16"/>
                <w:szCs w:val="16"/>
              </w:rPr>
            </w:pPr>
          </w:p>
        </w:tc>
        <w:tc>
          <w:tcPr>
            <w:tcW w:w="1120" w:type="dxa"/>
            <w:gridSpan w:val="2"/>
          </w:tcPr>
          <w:p w14:paraId="1A834E71" w14:textId="77777777" w:rsidR="008940B3" w:rsidRPr="003B5C8D" w:rsidRDefault="008940B3" w:rsidP="00E858EF">
            <w:pPr>
              <w:suppressAutoHyphens/>
              <w:jc w:val="center"/>
              <w:rPr>
                <w:sz w:val="16"/>
                <w:szCs w:val="16"/>
              </w:rPr>
            </w:pPr>
          </w:p>
        </w:tc>
        <w:tc>
          <w:tcPr>
            <w:tcW w:w="1120" w:type="dxa"/>
            <w:gridSpan w:val="2"/>
          </w:tcPr>
          <w:p w14:paraId="3A65106E" w14:textId="77777777" w:rsidR="008940B3" w:rsidRPr="003B5C8D" w:rsidRDefault="008940B3" w:rsidP="00E858EF">
            <w:pPr>
              <w:suppressAutoHyphens/>
              <w:jc w:val="center"/>
              <w:rPr>
                <w:sz w:val="16"/>
                <w:szCs w:val="16"/>
              </w:rPr>
            </w:pPr>
          </w:p>
        </w:tc>
        <w:tc>
          <w:tcPr>
            <w:tcW w:w="1004" w:type="dxa"/>
            <w:gridSpan w:val="2"/>
          </w:tcPr>
          <w:p w14:paraId="52341B76" w14:textId="77777777" w:rsidR="008940B3" w:rsidRPr="003B5C8D" w:rsidRDefault="008940B3" w:rsidP="00E858EF">
            <w:pPr>
              <w:suppressAutoHyphens/>
              <w:jc w:val="center"/>
              <w:rPr>
                <w:sz w:val="16"/>
                <w:szCs w:val="16"/>
              </w:rPr>
            </w:pPr>
          </w:p>
        </w:tc>
        <w:tc>
          <w:tcPr>
            <w:tcW w:w="618" w:type="dxa"/>
          </w:tcPr>
          <w:p w14:paraId="340E4CFE" w14:textId="77777777" w:rsidR="008940B3" w:rsidRPr="003B5C8D" w:rsidRDefault="008940B3" w:rsidP="00E858EF">
            <w:pPr>
              <w:suppressAutoHyphens/>
              <w:jc w:val="center"/>
              <w:rPr>
                <w:sz w:val="16"/>
                <w:szCs w:val="16"/>
              </w:rPr>
            </w:pPr>
            <w:r w:rsidRPr="003B5C8D">
              <w:rPr>
                <w:sz w:val="16"/>
                <w:szCs w:val="16"/>
              </w:rPr>
              <w:t>1</w:t>
            </w:r>
          </w:p>
        </w:tc>
        <w:tc>
          <w:tcPr>
            <w:tcW w:w="618" w:type="dxa"/>
            <w:gridSpan w:val="2"/>
          </w:tcPr>
          <w:p w14:paraId="23AC7EEC" w14:textId="77777777" w:rsidR="008940B3" w:rsidRPr="003B5C8D" w:rsidRDefault="008940B3" w:rsidP="00E858EF">
            <w:pPr>
              <w:suppressAutoHyphens/>
              <w:jc w:val="center"/>
              <w:rPr>
                <w:sz w:val="16"/>
                <w:szCs w:val="16"/>
              </w:rPr>
            </w:pPr>
            <w:r w:rsidRPr="003B5C8D">
              <w:rPr>
                <w:sz w:val="16"/>
                <w:szCs w:val="16"/>
              </w:rPr>
              <w:t>100%</w:t>
            </w:r>
          </w:p>
        </w:tc>
      </w:tr>
      <w:tr w:rsidR="008940B3" w:rsidRPr="003B5C8D" w14:paraId="64409769" w14:textId="77777777" w:rsidTr="008940B3">
        <w:trPr>
          <w:trHeight w:val="440"/>
        </w:trPr>
        <w:tc>
          <w:tcPr>
            <w:tcW w:w="1453" w:type="dxa"/>
            <w:vAlign w:val="bottom"/>
          </w:tcPr>
          <w:p w14:paraId="7D888D23" w14:textId="77777777" w:rsidR="008940B3" w:rsidRPr="003B5C8D" w:rsidRDefault="008940B3" w:rsidP="00E858EF">
            <w:pPr>
              <w:suppressAutoHyphens/>
              <w:rPr>
                <w:sz w:val="16"/>
                <w:szCs w:val="16"/>
              </w:rPr>
            </w:pPr>
            <w:r w:rsidRPr="003B5C8D">
              <w:rPr>
                <w:rFonts w:eastAsia="Times New Roman"/>
                <w:sz w:val="16"/>
                <w:szCs w:val="16"/>
              </w:rPr>
              <w:t>ARCHANES PHOURNI</w:t>
            </w:r>
          </w:p>
        </w:tc>
        <w:tc>
          <w:tcPr>
            <w:tcW w:w="618" w:type="dxa"/>
            <w:vAlign w:val="bottom"/>
            <w:hideMark/>
          </w:tcPr>
          <w:p w14:paraId="7A9B6EB3" w14:textId="77777777" w:rsidR="008940B3" w:rsidRPr="003B5C8D" w:rsidRDefault="008940B3" w:rsidP="00E858EF">
            <w:pPr>
              <w:suppressAutoHyphens/>
              <w:jc w:val="center"/>
              <w:rPr>
                <w:sz w:val="16"/>
                <w:szCs w:val="16"/>
              </w:rPr>
            </w:pPr>
            <w:r w:rsidRPr="003B5C8D">
              <w:rPr>
                <w:sz w:val="16"/>
                <w:szCs w:val="16"/>
              </w:rPr>
              <w:t>1</w:t>
            </w:r>
          </w:p>
        </w:tc>
        <w:tc>
          <w:tcPr>
            <w:tcW w:w="619" w:type="dxa"/>
            <w:vAlign w:val="bottom"/>
          </w:tcPr>
          <w:p w14:paraId="37F2B3F3" w14:textId="77777777" w:rsidR="008940B3" w:rsidRPr="003B5C8D" w:rsidRDefault="008940B3" w:rsidP="00E858EF">
            <w:pPr>
              <w:suppressAutoHyphens/>
              <w:jc w:val="center"/>
              <w:rPr>
                <w:sz w:val="16"/>
                <w:szCs w:val="16"/>
              </w:rPr>
            </w:pPr>
            <w:r>
              <w:rPr>
                <w:sz w:val="16"/>
                <w:szCs w:val="16"/>
              </w:rPr>
              <w:t>9</w:t>
            </w:r>
            <w:r w:rsidRPr="003B5C8D">
              <w:rPr>
                <w:sz w:val="16"/>
                <w:szCs w:val="16"/>
              </w:rPr>
              <w:t>%</w:t>
            </w:r>
          </w:p>
        </w:tc>
        <w:tc>
          <w:tcPr>
            <w:tcW w:w="560" w:type="dxa"/>
          </w:tcPr>
          <w:p w14:paraId="74EE52E8" w14:textId="77777777" w:rsidR="008940B3" w:rsidRPr="003B5C8D" w:rsidRDefault="008940B3" w:rsidP="00E858EF">
            <w:pPr>
              <w:suppressAutoHyphens/>
              <w:jc w:val="center"/>
              <w:rPr>
                <w:sz w:val="16"/>
                <w:szCs w:val="16"/>
              </w:rPr>
            </w:pPr>
            <w:r w:rsidRPr="003B5C8D">
              <w:rPr>
                <w:sz w:val="16"/>
                <w:szCs w:val="16"/>
              </w:rPr>
              <w:t>1</w:t>
            </w:r>
          </w:p>
        </w:tc>
        <w:tc>
          <w:tcPr>
            <w:tcW w:w="560" w:type="dxa"/>
          </w:tcPr>
          <w:p w14:paraId="75EF821E" w14:textId="77777777" w:rsidR="008940B3" w:rsidRPr="003B5C8D" w:rsidRDefault="008940B3" w:rsidP="00E858EF">
            <w:pPr>
              <w:suppressAutoHyphens/>
              <w:jc w:val="center"/>
              <w:rPr>
                <w:sz w:val="16"/>
                <w:szCs w:val="16"/>
              </w:rPr>
            </w:pPr>
            <w:r>
              <w:rPr>
                <w:sz w:val="16"/>
                <w:szCs w:val="16"/>
              </w:rPr>
              <w:t>9</w:t>
            </w:r>
            <w:r w:rsidRPr="003B5C8D">
              <w:rPr>
                <w:sz w:val="16"/>
                <w:szCs w:val="16"/>
              </w:rPr>
              <w:t>%</w:t>
            </w:r>
          </w:p>
        </w:tc>
        <w:tc>
          <w:tcPr>
            <w:tcW w:w="1120" w:type="dxa"/>
            <w:gridSpan w:val="2"/>
          </w:tcPr>
          <w:p w14:paraId="005FB236" w14:textId="77777777" w:rsidR="008940B3" w:rsidRPr="003B5C8D" w:rsidRDefault="008940B3" w:rsidP="00E858EF">
            <w:pPr>
              <w:suppressAutoHyphens/>
              <w:jc w:val="center"/>
              <w:rPr>
                <w:sz w:val="16"/>
                <w:szCs w:val="16"/>
              </w:rPr>
            </w:pPr>
          </w:p>
        </w:tc>
        <w:tc>
          <w:tcPr>
            <w:tcW w:w="560" w:type="dxa"/>
          </w:tcPr>
          <w:p w14:paraId="72447816" w14:textId="77777777" w:rsidR="008940B3" w:rsidRPr="003B5C8D" w:rsidRDefault="008940B3" w:rsidP="00E858EF">
            <w:pPr>
              <w:suppressAutoHyphens/>
              <w:jc w:val="center"/>
              <w:rPr>
                <w:sz w:val="16"/>
                <w:szCs w:val="16"/>
              </w:rPr>
            </w:pPr>
            <w:r w:rsidRPr="003B5C8D">
              <w:rPr>
                <w:sz w:val="16"/>
                <w:szCs w:val="16"/>
              </w:rPr>
              <w:t>7</w:t>
            </w:r>
          </w:p>
        </w:tc>
        <w:tc>
          <w:tcPr>
            <w:tcW w:w="560" w:type="dxa"/>
          </w:tcPr>
          <w:p w14:paraId="47BFE638" w14:textId="77777777" w:rsidR="008940B3" w:rsidRPr="003B5C8D" w:rsidRDefault="008940B3" w:rsidP="00E858EF">
            <w:pPr>
              <w:suppressAutoHyphens/>
              <w:jc w:val="center"/>
              <w:rPr>
                <w:sz w:val="16"/>
                <w:szCs w:val="16"/>
              </w:rPr>
            </w:pPr>
            <w:r>
              <w:rPr>
                <w:sz w:val="16"/>
                <w:szCs w:val="16"/>
              </w:rPr>
              <w:t>64</w:t>
            </w:r>
            <w:r w:rsidRPr="003B5C8D">
              <w:rPr>
                <w:sz w:val="16"/>
                <w:szCs w:val="16"/>
              </w:rPr>
              <w:t>%</w:t>
            </w:r>
          </w:p>
        </w:tc>
        <w:tc>
          <w:tcPr>
            <w:tcW w:w="502" w:type="dxa"/>
          </w:tcPr>
          <w:p w14:paraId="27EFCEBB" w14:textId="77777777" w:rsidR="008940B3" w:rsidRPr="003B5C8D" w:rsidRDefault="008940B3" w:rsidP="00E858EF">
            <w:pPr>
              <w:suppressAutoHyphens/>
              <w:jc w:val="center"/>
              <w:rPr>
                <w:sz w:val="16"/>
                <w:szCs w:val="16"/>
              </w:rPr>
            </w:pPr>
            <w:r>
              <w:rPr>
                <w:sz w:val="16"/>
                <w:szCs w:val="16"/>
              </w:rPr>
              <w:t>2</w:t>
            </w:r>
          </w:p>
        </w:tc>
        <w:tc>
          <w:tcPr>
            <w:tcW w:w="502" w:type="dxa"/>
          </w:tcPr>
          <w:p w14:paraId="35DAB45A" w14:textId="77777777" w:rsidR="008940B3" w:rsidRPr="003B5C8D" w:rsidRDefault="008940B3" w:rsidP="00E858EF">
            <w:pPr>
              <w:suppressAutoHyphens/>
              <w:jc w:val="center"/>
              <w:rPr>
                <w:sz w:val="16"/>
                <w:szCs w:val="16"/>
              </w:rPr>
            </w:pPr>
            <w:r>
              <w:rPr>
                <w:sz w:val="16"/>
                <w:szCs w:val="16"/>
              </w:rPr>
              <w:t>18</w:t>
            </w:r>
            <w:r w:rsidRPr="003B5C8D">
              <w:rPr>
                <w:sz w:val="16"/>
                <w:szCs w:val="16"/>
              </w:rPr>
              <w:t>%</w:t>
            </w:r>
          </w:p>
        </w:tc>
        <w:tc>
          <w:tcPr>
            <w:tcW w:w="1236" w:type="dxa"/>
            <w:gridSpan w:val="3"/>
          </w:tcPr>
          <w:p w14:paraId="2245A110" w14:textId="77777777" w:rsidR="008940B3" w:rsidRPr="003B5C8D" w:rsidRDefault="008940B3" w:rsidP="00E858EF">
            <w:pPr>
              <w:suppressAutoHyphens/>
              <w:jc w:val="center"/>
              <w:rPr>
                <w:b/>
                <w:sz w:val="16"/>
                <w:szCs w:val="16"/>
              </w:rPr>
            </w:pPr>
          </w:p>
        </w:tc>
      </w:tr>
      <w:tr w:rsidR="008940B3" w:rsidRPr="003B5C8D" w14:paraId="3B72A1F1" w14:textId="77777777" w:rsidTr="008940B3">
        <w:trPr>
          <w:trHeight w:val="228"/>
        </w:trPr>
        <w:tc>
          <w:tcPr>
            <w:tcW w:w="1453" w:type="dxa"/>
            <w:vAlign w:val="bottom"/>
          </w:tcPr>
          <w:p w14:paraId="1CFD849E" w14:textId="77777777" w:rsidR="008940B3" w:rsidRPr="003B5C8D" w:rsidRDefault="008940B3" w:rsidP="00E858EF">
            <w:pPr>
              <w:suppressAutoHyphens/>
              <w:rPr>
                <w:sz w:val="16"/>
                <w:szCs w:val="16"/>
              </w:rPr>
            </w:pPr>
            <w:r w:rsidRPr="003B5C8D">
              <w:rPr>
                <w:rFonts w:eastAsia="Times New Roman"/>
                <w:sz w:val="16"/>
                <w:szCs w:val="16"/>
              </w:rPr>
              <w:t>ARKALOCHORI</w:t>
            </w:r>
          </w:p>
        </w:tc>
        <w:tc>
          <w:tcPr>
            <w:tcW w:w="618" w:type="dxa"/>
            <w:vAlign w:val="bottom"/>
          </w:tcPr>
          <w:p w14:paraId="44D56356" w14:textId="77777777" w:rsidR="008940B3" w:rsidRPr="003B5C8D" w:rsidRDefault="008940B3" w:rsidP="00E858EF">
            <w:pPr>
              <w:suppressAutoHyphens/>
              <w:jc w:val="center"/>
              <w:rPr>
                <w:sz w:val="16"/>
                <w:szCs w:val="16"/>
              </w:rPr>
            </w:pPr>
            <w:r w:rsidRPr="003B5C8D">
              <w:rPr>
                <w:sz w:val="16"/>
                <w:szCs w:val="16"/>
              </w:rPr>
              <w:t>1</w:t>
            </w:r>
          </w:p>
        </w:tc>
        <w:tc>
          <w:tcPr>
            <w:tcW w:w="619" w:type="dxa"/>
            <w:vAlign w:val="bottom"/>
          </w:tcPr>
          <w:p w14:paraId="4950AE16"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373365A6" w14:textId="77777777" w:rsidR="008940B3" w:rsidRPr="003B5C8D" w:rsidRDefault="008940B3" w:rsidP="00E858EF">
            <w:pPr>
              <w:suppressAutoHyphens/>
              <w:jc w:val="center"/>
              <w:rPr>
                <w:sz w:val="16"/>
                <w:szCs w:val="16"/>
              </w:rPr>
            </w:pPr>
          </w:p>
        </w:tc>
        <w:tc>
          <w:tcPr>
            <w:tcW w:w="1120" w:type="dxa"/>
            <w:gridSpan w:val="2"/>
          </w:tcPr>
          <w:p w14:paraId="49CF5B1C" w14:textId="77777777" w:rsidR="008940B3" w:rsidRPr="003B5C8D" w:rsidRDefault="008940B3" w:rsidP="00E858EF">
            <w:pPr>
              <w:suppressAutoHyphens/>
              <w:jc w:val="center"/>
              <w:rPr>
                <w:sz w:val="16"/>
                <w:szCs w:val="16"/>
              </w:rPr>
            </w:pPr>
          </w:p>
        </w:tc>
        <w:tc>
          <w:tcPr>
            <w:tcW w:w="1120" w:type="dxa"/>
            <w:gridSpan w:val="2"/>
          </w:tcPr>
          <w:p w14:paraId="32E717CA" w14:textId="77777777" w:rsidR="008940B3" w:rsidRPr="003B5C8D" w:rsidRDefault="008940B3" w:rsidP="00E858EF">
            <w:pPr>
              <w:suppressAutoHyphens/>
              <w:jc w:val="center"/>
              <w:rPr>
                <w:sz w:val="16"/>
                <w:szCs w:val="16"/>
              </w:rPr>
            </w:pPr>
          </w:p>
        </w:tc>
        <w:tc>
          <w:tcPr>
            <w:tcW w:w="1004" w:type="dxa"/>
            <w:gridSpan w:val="2"/>
          </w:tcPr>
          <w:p w14:paraId="66887952" w14:textId="77777777" w:rsidR="008940B3" w:rsidRPr="003B5C8D" w:rsidRDefault="008940B3" w:rsidP="00E858EF">
            <w:pPr>
              <w:suppressAutoHyphens/>
              <w:jc w:val="center"/>
              <w:rPr>
                <w:sz w:val="16"/>
                <w:szCs w:val="16"/>
              </w:rPr>
            </w:pPr>
          </w:p>
        </w:tc>
        <w:tc>
          <w:tcPr>
            <w:tcW w:w="1236" w:type="dxa"/>
            <w:gridSpan w:val="3"/>
          </w:tcPr>
          <w:p w14:paraId="1CA32FEF" w14:textId="77777777" w:rsidR="008940B3" w:rsidRPr="003B5C8D" w:rsidRDefault="008940B3" w:rsidP="00E858EF">
            <w:pPr>
              <w:suppressAutoHyphens/>
              <w:jc w:val="center"/>
              <w:rPr>
                <w:sz w:val="16"/>
                <w:szCs w:val="16"/>
              </w:rPr>
            </w:pPr>
          </w:p>
        </w:tc>
      </w:tr>
      <w:tr w:rsidR="008940B3" w:rsidRPr="003B5C8D" w14:paraId="41E258C8" w14:textId="77777777" w:rsidTr="008940B3">
        <w:trPr>
          <w:trHeight w:val="274"/>
        </w:trPr>
        <w:tc>
          <w:tcPr>
            <w:tcW w:w="1453" w:type="dxa"/>
            <w:vAlign w:val="bottom"/>
          </w:tcPr>
          <w:p w14:paraId="37BB6448" w14:textId="77777777" w:rsidR="008940B3" w:rsidRPr="003B5C8D" w:rsidRDefault="008940B3" w:rsidP="00E858EF">
            <w:pPr>
              <w:suppressAutoHyphens/>
              <w:rPr>
                <w:sz w:val="16"/>
                <w:szCs w:val="16"/>
              </w:rPr>
            </w:pPr>
            <w:r w:rsidRPr="003B5C8D">
              <w:rPr>
                <w:rFonts w:eastAsia="Times New Roman"/>
                <w:sz w:val="16"/>
                <w:szCs w:val="16"/>
              </w:rPr>
              <w:t>ARTSA</w:t>
            </w:r>
          </w:p>
        </w:tc>
        <w:tc>
          <w:tcPr>
            <w:tcW w:w="618" w:type="dxa"/>
            <w:vAlign w:val="bottom"/>
          </w:tcPr>
          <w:p w14:paraId="2B02EDCE" w14:textId="77777777" w:rsidR="008940B3" w:rsidRPr="003B5C8D" w:rsidRDefault="008940B3" w:rsidP="00E858EF">
            <w:pPr>
              <w:suppressAutoHyphens/>
              <w:jc w:val="center"/>
              <w:rPr>
                <w:sz w:val="16"/>
                <w:szCs w:val="16"/>
              </w:rPr>
            </w:pPr>
            <w:r w:rsidRPr="003B5C8D">
              <w:rPr>
                <w:rFonts w:eastAsia="Times New Roman"/>
                <w:color w:val="000000"/>
                <w:sz w:val="16"/>
                <w:szCs w:val="16"/>
              </w:rPr>
              <w:t>1</w:t>
            </w:r>
          </w:p>
        </w:tc>
        <w:tc>
          <w:tcPr>
            <w:tcW w:w="619" w:type="dxa"/>
            <w:vAlign w:val="bottom"/>
          </w:tcPr>
          <w:p w14:paraId="2A69D4E6"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391945F6" w14:textId="77777777" w:rsidR="008940B3" w:rsidRPr="003B5C8D" w:rsidRDefault="008940B3" w:rsidP="00E858EF">
            <w:pPr>
              <w:suppressAutoHyphens/>
              <w:jc w:val="center"/>
              <w:rPr>
                <w:sz w:val="16"/>
                <w:szCs w:val="16"/>
              </w:rPr>
            </w:pPr>
          </w:p>
        </w:tc>
        <w:tc>
          <w:tcPr>
            <w:tcW w:w="1120" w:type="dxa"/>
            <w:gridSpan w:val="2"/>
          </w:tcPr>
          <w:p w14:paraId="199DB002" w14:textId="77777777" w:rsidR="008940B3" w:rsidRPr="003B5C8D" w:rsidRDefault="008940B3" w:rsidP="00E858EF">
            <w:pPr>
              <w:suppressAutoHyphens/>
              <w:jc w:val="center"/>
              <w:rPr>
                <w:sz w:val="16"/>
                <w:szCs w:val="16"/>
              </w:rPr>
            </w:pPr>
          </w:p>
        </w:tc>
        <w:tc>
          <w:tcPr>
            <w:tcW w:w="1120" w:type="dxa"/>
            <w:gridSpan w:val="2"/>
          </w:tcPr>
          <w:p w14:paraId="5175F4B2" w14:textId="77777777" w:rsidR="008940B3" w:rsidRPr="003B5C8D" w:rsidRDefault="008940B3" w:rsidP="00E858EF">
            <w:pPr>
              <w:suppressAutoHyphens/>
              <w:jc w:val="center"/>
              <w:rPr>
                <w:sz w:val="16"/>
                <w:szCs w:val="16"/>
              </w:rPr>
            </w:pPr>
          </w:p>
        </w:tc>
        <w:tc>
          <w:tcPr>
            <w:tcW w:w="1004" w:type="dxa"/>
            <w:gridSpan w:val="2"/>
          </w:tcPr>
          <w:p w14:paraId="353944CE" w14:textId="77777777" w:rsidR="008940B3" w:rsidRPr="003B5C8D" w:rsidRDefault="008940B3" w:rsidP="00E858EF">
            <w:pPr>
              <w:suppressAutoHyphens/>
              <w:jc w:val="center"/>
              <w:rPr>
                <w:sz w:val="16"/>
                <w:szCs w:val="16"/>
              </w:rPr>
            </w:pPr>
          </w:p>
        </w:tc>
        <w:tc>
          <w:tcPr>
            <w:tcW w:w="1236" w:type="dxa"/>
            <w:gridSpan w:val="3"/>
          </w:tcPr>
          <w:p w14:paraId="71115B24" w14:textId="77777777" w:rsidR="008940B3" w:rsidRPr="003B5C8D" w:rsidRDefault="008940B3" w:rsidP="00E858EF">
            <w:pPr>
              <w:suppressAutoHyphens/>
              <w:jc w:val="center"/>
              <w:rPr>
                <w:sz w:val="16"/>
                <w:szCs w:val="16"/>
              </w:rPr>
            </w:pPr>
          </w:p>
        </w:tc>
      </w:tr>
      <w:tr w:rsidR="008940B3" w:rsidRPr="003B5C8D" w14:paraId="270BC94D" w14:textId="77777777" w:rsidTr="008940B3">
        <w:trPr>
          <w:trHeight w:val="166"/>
        </w:trPr>
        <w:tc>
          <w:tcPr>
            <w:tcW w:w="1453" w:type="dxa"/>
            <w:vAlign w:val="bottom"/>
          </w:tcPr>
          <w:p w14:paraId="2374CF4B" w14:textId="77777777" w:rsidR="008940B3" w:rsidRPr="003B5C8D" w:rsidRDefault="008940B3" w:rsidP="00E858EF">
            <w:pPr>
              <w:suppressAutoHyphens/>
              <w:rPr>
                <w:sz w:val="16"/>
                <w:szCs w:val="16"/>
              </w:rPr>
            </w:pPr>
            <w:r w:rsidRPr="003B5C8D">
              <w:rPr>
                <w:rFonts w:eastAsia="Times New Roman"/>
                <w:sz w:val="16"/>
                <w:szCs w:val="16"/>
              </w:rPr>
              <w:t>ATHANATOI POTAMOS</w:t>
            </w:r>
          </w:p>
        </w:tc>
        <w:tc>
          <w:tcPr>
            <w:tcW w:w="618" w:type="dxa"/>
            <w:vAlign w:val="bottom"/>
          </w:tcPr>
          <w:p w14:paraId="53413388" w14:textId="77777777" w:rsidR="008940B3" w:rsidRPr="003B5C8D" w:rsidRDefault="008940B3" w:rsidP="00E858EF">
            <w:pPr>
              <w:suppressAutoHyphens/>
              <w:jc w:val="center"/>
              <w:rPr>
                <w:sz w:val="16"/>
                <w:szCs w:val="16"/>
              </w:rPr>
            </w:pPr>
            <w:r w:rsidRPr="003B5C8D">
              <w:rPr>
                <w:rFonts w:eastAsia="Times New Roman"/>
                <w:color w:val="000000"/>
                <w:sz w:val="16"/>
                <w:szCs w:val="16"/>
              </w:rPr>
              <w:t>1</w:t>
            </w:r>
          </w:p>
        </w:tc>
        <w:tc>
          <w:tcPr>
            <w:tcW w:w="619" w:type="dxa"/>
            <w:vAlign w:val="bottom"/>
          </w:tcPr>
          <w:p w14:paraId="0762C698"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7369750E" w14:textId="77777777" w:rsidR="008940B3" w:rsidRPr="003B5C8D" w:rsidRDefault="008940B3" w:rsidP="00E858EF">
            <w:pPr>
              <w:suppressAutoHyphens/>
              <w:jc w:val="center"/>
              <w:rPr>
                <w:sz w:val="16"/>
                <w:szCs w:val="16"/>
              </w:rPr>
            </w:pPr>
          </w:p>
        </w:tc>
        <w:tc>
          <w:tcPr>
            <w:tcW w:w="1120" w:type="dxa"/>
            <w:gridSpan w:val="2"/>
          </w:tcPr>
          <w:p w14:paraId="2FBC9100" w14:textId="77777777" w:rsidR="008940B3" w:rsidRPr="003B5C8D" w:rsidRDefault="008940B3" w:rsidP="00E858EF">
            <w:pPr>
              <w:suppressAutoHyphens/>
              <w:jc w:val="center"/>
              <w:rPr>
                <w:sz w:val="16"/>
                <w:szCs w:val="16"/>
              </w:rPr>
            </w:pPr>
          </w:p>
        </w:tc>
        <w:tc>
          <w:tcPr>
            <w:tcW w:w="1120" w:type="dxa"/>
            <w:gridSpan w:val="2"/>
          </w:tcPr>
          <w:p w14:paraId="70136AAA" w14:textId="77777777" w:rsidR="008940B3" w:rsidRPr="003B5C8D" w:rsidRDefault="008940B3" w:rsidP="00E858EF">
            <w:pPr>
              <w:suppressAutoHyphens/>
              <w:jc w:val="center"/>
              <w:rPr>
                <w:sz w:val="16"/>
                <w:szCs w:val="16"/>
              </w:rPr>
            </w:pPr>
          </w:p>
        </w:tc>
        <w:tc>
          <w:tcPr>
            <w:tcW w:w="1004" w:type="dxa"/>
            <w:gridSpan w:val="2"/>
          </w:tcPr>
          <w:p w14:paraId="33EFE868" w14:textId="77777777" w:rsidR="008940B3" w:rsidRPr="003B5C8D" w:rsidRDefault="008940B3" w:rsidP="00E858EF">
            <w:pPr>
              <w:suppressAutoHyphens/>
              <w:jc w:val="center"/>
              <w:rPr>
                <w:sz w:val="16"/>
                <w:szCs w:val="16"/>
              </w:rPr>
            </w:pPr>
          </w:p>
        </w:tc>
        <w:tc>
          <w:tcPr>
            <w:tcW w:w="1236" w:type="dxa"/>
            <w:gridSpan w:val="3"/>
          </w:tcPr>
          <w:p w14:paraId="15B39FF2" w14:textId="77777777" w:rsidR="008940B3" w:rsidRPr="003B5C8D" w:rsidRDefault="008940B3" w:rsidP="00E858EF">
            <w:pPr>
              <w:suppressAutoHyphens/>
              <w:jc w:val="center"/>
              <w:rPr>
                <w:sz w:val="16"/>
                <w:szCs w:val="16"/>
              </w:rPr>
            </w:pPr>
          </w:p>
        </w:tc>
      </w:tr>
      <w:tr w:rsidR="008940B3" w:rsidRPr="003B5C8D" w14:paraId="26ABAA1D" w14:textId="77777777" w:rsidTr="008940B3">
        <w:trPr>
          <w:trHeight w:val="272"/>
        </w:trPr>
        <w:tc>
          <w:tcPr>
            <w:tcW w:w="1453" w:type="dxa"/>
            <w:vAlign w:val="bottom"/>
          </w:tcPr>
          <w:p w14:paraId="0A366645" w14:textId="77777777" w:rsidR="008940B3" w:rsidRPr="003B5C8D" w:rsidRDefault="008940B3" w:rsidP="00E858EF">
            <w:pPr>
              <w:suppressAutoHyphens/>
              <w:rPr>
                <w:sz w:val="16"/>
                <w:szCs w:val="16"/>
              </w:rPr>
            </w:pPr>
            <w:r w:rsidRPr="003B5C8D">
              <w:rPr>
                <w:rFonts w:eastAsia="Times New Roman"/>
                <w:sz w:val="16"/>
                <w:szCs w:val="16"/>
              </w:rPr>
              <w:t>DAMANIA</w:t>
            </w:r>
          </w:p>
        </w:tc>
        <w:tc>
          <w:tcPr>
            <w:tcW w:w="1237" w:type="dxa"/>
            <w:gridSpan w:val="2"/>
            <w:vAlign w:val="bottom"/>
          </w:tcPr>
          <w:p w14:paraId="63FE09A1" w14:textId="77777777" w:rsidR="008940B3" w:rsidRPr="003B5C8D" w:rsidRDefault="008940B3" w:rsidP="00E858EF">
            <w:pPr>
              <w:suppressAutoHyphens/>
              <w:jc w:val="center"/>
              <w:rPr>
                <w:sz w:val="16"/>
                <w:szCs w:val="16"/>
              </w:rPr>
            </w:pPr>
          </w:p>
        </w:tc>
        <w:tc>
          <w:tcPr>
            <w:tcW w:w="560" w:type="dxa"/>
          </w:tcPr>
          <w:p w14:paraId="23C457E8" w14:textId="77777777" w:rsidR="008940B3" w:rsidRPr="003B5C8D" w:rsidRDefault="008940B3" w:rsidP="00E858EF">
            <w:pPr>
              <w:suppressAutoHyphens/>
              <w:jc w:val="center"/>
              <w:rPr>
                <w:sz w:val="16"/>
                <w:szCs w:val="16"/>
              </w:rPr>
            </w:pPr>
            <w:r w:rsidRPr="003B5C8D">
              <w:rPr>
                <w:sz w:val="16"/>
                <w:szCs w:val="16"/>
              </w:rPr>
              <w:t>1</w:t>
            </w:r>
          </w:p>
        </w:tc>
        <w:tc>
          <w:tcPr>
            <w:tcW w:w="560" w:type="dxa"/>
          </w:tcPr>
          <w:p w14:paraId="3E6D20C5"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7B8EF5F6" w14:textId="77777777" w:rsidR="008940B3" w:rsidRPr="003B5C8D" w:rsidRDefault="008940B3" w:rsidP="00E858EF">
            <w:pPr>
              <w:suppressAutoHyphens/>
              <w:jc w:val="center"/>
              <w:rPr>
                <w:sz w:val="16"/>
                <w:szCs w:val="16"/>
              </w:rPr>
            </w:pPr>
          </w:p>
        </w:tc>
        <w:tc>
          <w:tcPr>
            <w:tcW w:w="1120" w:type="dxa"/>
            <w:gridSpan w:val="2"/>
          </w:tcPr>
          <w:p w14:paraId="367EDAC0" w14:textId="77777777" w:rsidR="008940B3" w:rsidRPr="003B5C8D" w:rsidRDefault="008940B3" w:rsidP="00E858EF">
            <w:pPr>
              <w:suppressAutoHyphens/>
              <w:jc w:val="center"/>
              <w:rPr>
                <w:sz w:val="16"/>
                <w:szCs w:val="16"/>
              </w:rPr>
            </w:pPr>
          </w:p>
        </w:tc>
        <w:tc>
          <w:tcPr>
            <w:tcW w:w="1004" w:type="dxa"/>
            <w:gridSpan w:val="2"/>
          </w:tcPr>
          <w:p w14:paraId="3B9ABF4F" w14:textId="77777777" w:rsidR="008940B3" w:rsidRPr="003B5C8D" w:rsidRDefault="008940B3" w:rsidP="00E858EF">
            <w:pPr>
              <w:suppressAutoHyphens/>
              <w:jc w:val="center"/>
              <w:rPr>
                <w:sz w:val="16"/>
                <w:szCs w:val="16"/>
              </w:rPr>
            </w:pPr>
          </w:p>
        </w:tc>
        <w:tc>
          <w:tcPr>
            <w:tcW w:w="1236" w:type="dxa"/>
            <w:gridSpan w:val="3"/>
          </w:tcPr>
          <w:p w14:paraId="3AA9FF15" w14:textId="77777777" w:rsidR="008940B3" w:rsidRPr="003B5C8D" w:rsidRDefault="008940B3" w:rsidP="00E858EF">
            <w:pPr>
              <w:suppressAutoHyphens/>
              <w:jc w:val="center"/>
              <w:rPr>
                <w:sz w:val="16"/>
                <w:szCs w:val="16"/>
              </w:rPr>
            </w:pPr>
          </w:p>
        </w:tc>
      </w:tr>
      <w:tr w:rsidR="008940B3" w:rsidRPr="003B5C8D" w14:paraId="738906C6" w14:textId="77777777" w:rsidTr="008940B3">
        <w:trPr>
          <w:trHeight w:val="272"/>
        </w:trPr>
        <w:tc>
          <w:tcPr>
            <w:tcW w:w="1453" w:type="dxa"/>
            <w:vAlign w:val="bottom"/>
          </w:tcPr>
          <w:p w14:paraId="22A9DA14" w14:textId="77777777" w:rsidR="008940B3" w:rsidRPr="003B5C8D" w:rsidRDefault="008940B3" w:rsidP="00E858EF">
            <w:pPr>
              <w:suppressAutoHyphens/>
              <w:rPr>
                <w:sz w:val="16"/>
                <w:szCs w:val="16"/>
              </w:rPr>
            </w:pPr>
            <w:r w:rsidRPr="003B5C8D">
              <w:rPr>
                <w:rFonts w:eastAsia="Times New Roman"/>
                <w:sz w:val="16"/>
                <w:szCs w:val="16"/>
              </w:rPr>
              <w:t>EPISKOPI PEDIADA</w:t>
            </w:r>
          </w:p>
        </w:tc>
        <w:tc>
          <w:tcPr>
            <w:tcW w:w="618" w:type="dxa"/>
            <w:vAlign w:val="bottom"/>
          </w:tcPr>
          <w:p w14:paraId="691FE5F0" w14:textId="77777777" w:rsidR="008940B3" w:rsidRPr="003B5C8D" w:rsidRDefault="008940B3" w:rsidP="00E858EF">
            <w:pPr>
              <w:suppressAutoHyphens/>
              <w:jc w:val="center"/>
              <w:rPr>
                <w:sz w:val="16"/>
                <w:szCs w:val="16"/>
              </w:rPr>
            </w:pPr>
            <w:r w:rsidRPr="003B5C8D">
              <w:rPr>
                <w:rFonts w:eastAsia="Times New Roman"/>
                <w:color w:val="000000"/>
                <w:sz w:val="16"/>
                <w:szCs w:val="16"/>
              </w:rPr>
              <w:t>11</w:t>
            </w:r>
          </w:p>
        </w:tc>
        <w:tc>
          <w:tcPr>
            <w:tcW w:w="619" w:type="dxa"/>
            <w:vAlign w:val="bottom"/>
          </w:tcPr>
          <w:p w14:paraId="07C51CA1" w14:textId="77777777" w:rsidR="008940B3" w:rsidRPr="003B5C8D" w:rsidRDefault="008940B3" w:rsidP="00E858EF">
            <w:pPr>
              <w:suppressAutoHyphens/>
              <w:jc w:val="center"/>
              <w:rPr>
                <w:sz w:val="16"/>
                <w:szCs w:val="16"/>
              </w:rPr>
            </w:pPr>
            <w:r w:rsidRPr="003B5C8D">
              <w:rPr>
                <w:sz w:val="16"/>
                <w:szCs w:val="16"/>
              </w:rPr>
              <w:t>92%</w:t>
            </w:r>
          </w:p>
        </w:tc>
        <w:tc>
          <w:tcPr>
            <w:tcW w:w="1120" w:type="dxa"/>
            <w:gridSpan w:val="2"/>
          </w:tcPr>
          <w:p w14:paraId="2FE80A4E" w14:textId="77777777" w:rsidR="008940B3" w:rsidRPr="003B5C8D" w:rsidRDefault="008940B3" w:rsidP="00E858EF">
            <w:pPr>
              <w:suppressAutoHyphens/>
              <w:jc w:val="center"/>
              <w:rPr>
                <w:sz w:val="16"/>
                <w:szCs w:val="16"/>
              </w:rPr>
            </w:pPr>
          </w:p>
        </w:tc>
        <w:tc>
          <w:tcPr>
            <w:tcW w:w="1120" w:type="dxa"/>
            <w:gridSpan w:val="2"/>
          </w:tcPr>
          <w:p w14:paraId="73E0268D" w14:textId="77777777" w:rsidR="008940B3" w:rsidRPr="003B5C8D" w:rsidRDefault="008940B3" w:rsidP="00E858EF">
            <w:pPr>
              <w:suppressAutoHyphens/>
              <w:jc w:val="center"/>
              <w:rPr>
                <w:sz w:val="16"/>
                <w:szCs w:val="16"/>
              </w:rPr>
            </w:pPr>
          </w:p>
        </w:tc>
        <w:tc>
          <w:tcPr>
            <w:tcW w:w="560" w:type="dxa"/>
          </w:tcPr>
          <w:p w14:paraId="7933F5B7" w14:textId="77777777" w:rsidR="008940B3" w:rsidRPr="003B5C8D" w:rsidRDefault="008940B3" w:rsidP="00E858EF">
            <w:pPr>
              <w:suppressAutoHyphens/>
              <w:jc w:val="center"/>
              <w:rPr>
                <w:sz w:val="16"/>
                <w:szCs w:val="16"/>
              </w:rPr>
            </w:pPr>
            <w:r w:rsidRPr="003B5C8D">
              <w:rPr>
                <w:sz w:val="16"/>
                <w:szCs w:val="16"/>
              </w:rPr>
              <w:t>1</w:t>
            </w:r>
          </w:p>
        </w:tc>
        <w:tc>
          <w:tcPr>
            <w:tcW w:w="560" w:type="dxa"/>
          </w:tcPr>
          <w:p w14:paraId="59666F7B" w14:textId="77777777" w:rsidR="008940B3" w:rsidRPr="003B5C8D" w:rsidRDefault="008940B3" w:rsidP="00E858EF">
            <w:pPr>
              <w:suppressAutoHyphens/>
              <w:jc w:val="center"/>
              <w:rPr>
                <w:sz w:val="16"/>
                <w:szCs w:val="16"/>
              </w:rPr>
            </w:pPr>
            <w:r w:rsidRPr="003B5C8D">
              <w:rPr>
                <w:sz w:val="16"/>
                <w:szCs w:val="16"/>
              </w:rPr>
              <w:t>8%</w:t>
            </w:r>
          </w:p>
        </w:tc>
        <w:tc>
          <w:tcPr>
            <w:tcW w:w="1004" w:type="dxa"/>
            <w:gridSpan w:val="2"/>
          </w:tcPr>
          <w:p w14:paraId="49CFA138" w14:textId="77777777" w:rsidR="008940B3" w:rsidRPr="003B5C8D" w:rsidRDefault="008940B3" w:rsidP="00E858EF">
            <w:pPr>
              <w:suppressAutoHyphens/>
              <w:jc w:val="center"/>
              <w:rPr>
                <w:sz w:val="16"/>
                <w:szCs w:val="16"/>
              </w:rPr>
            </w:pPr>
          </w:p>
        </w:tc>
        <w:tc>
          <w:tcPr>
            <w:tcW w:w="1236" w:type="dxa"/>
            <w:gridSpan w:val="3"/>
          </w:tcPr>
          <w:p w14:paraId="3D68AB86" w14:textId="77777777" w:rsidR="008940B3" w:rsidRPr="003B5C8D" w:rsidRDefault="008940B3" w:rsidP="00E858EF">
            <w:pPr>
              <w:suppressAutoHyphens/>
              <w:jc w:val="center"/>
              <w:rPr>
                <w:sz w:val="16"/>
                <w:szCs w:val="16"/>
              </w:rPr>
            </w:pPr>
          </w:p>
        </w:tc>
      </w:tr>
      <w:tr w:rsidR="008940B3" w:rsidRPr="003B5C8D" w14:paraId="2D56C3FC" w14:textId="77777777" w:rsidTr="008940B3">
        <w:trPr>
          <w:trHeight w:val="328"/>
        </w:trPr>
        <w:tc>
          <w:tcPr>
            <w:tcW w:w="1453" w:type="dxa"/>
            <w:vAlign w:val="bottom"/>
          </w:tcPr>
          <w:p w14:paraId="6AD5C4A0" w14:textId="77777777" w:rsidR="008940B3" w:rsidRPr="003B5C8D" w:rsidRDefault="008940B3" w:rsidP="00E858EF">
            <w:pPr>
              <w:suppressAutoHyphens/>
              <w:rPr>
                <w:sz w:val="16"/>
                <w:szCs w:val="16"/>
              </w:rPr>
            </w:pPr>
            <w:r w:rsidRPr="003B5C8D">
              <w:rPr>
                <w:rFonts w:eastAsia="Times New Roman"/>
                <w:sz w:val="16"/>
                <w:szCs w:val="16"/>
              </w:rPr>
              <w:t>GAZI</w:t>
            </w:r>
          </w:p>
        </w:tc>
        <w:tc>
          <w:tcPr>
            <w:tcW w:w="618" w:type="dxa"/>
            <w:vAlign w:val="bottom"/>
          </w:tcPr>
          <w:p w14:paraId="25E52124" w14:textId="77777777" w:rsidR="008940B3" w:rsidRPr="003B5C8D" w:rsidRDefault="008940B3" w:rsidP="00E858EF">
            <w:pPr>
              <w:suppressAutoHyphens/>
              <w:jc w:val="center"/>
              <w:rPr>
                <w:sz w:val="16"/>
                <w:szCs w:val="16"/>
              </w:rPr>
            </w:pPr>
            <w:r w:rsidRPr="003B5C8D">
              <w:rPr>
                <w:sz w:val="16"/>
                <w:szCs w:val="16"/>
              </w:rPr>
              <w:t>4</w:t>
            </w:r>
          </w:p>
        </w:tc>
        <w:tc>
          <w:tcPr>
            <w:tcW w:w="619" w:type="dxa"/>
            <w:vAlign w:val="bottom"/>
          </w:tcPr>
          <w:p w14:paraId="62353506"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2E4003F1" w14:textId="77777777" w:rsidR="008940B3" w:rsidRPr="003B5C8D" w:rsidRDefault="008940B3" w:rsidP="00E858EF">
            <w:pPr>
              <w:suppressAutoHyphens/>
              <w:jc w:val="center"/>
              <w:rPr>
                <w:sz w:val="16"/>
                <w:szCs w:val="16"/>
              </w:rPr>
            </w:pPr>
          </w:p>
        </w:tc>
        <w:tc>
          <w:tcPr>
            <w:tcW w:w="1120" w:type="dxa"/>
            <w:gridSpan w:val="2"/>
          </w:tcPr>
          <w:p w14:paraId="68E40971" w14:textId="77777777" w:rsidR="008940B3" w:rsidRPr="003B5C8D" w:rsidRDefault="008940B3" w:rsidP="00E858EF">
            <w:pPr>
              <w:suppressAutoHyphens/>
              <w:jc w:val="center"/>
              <w:rPr>
                <w:sz w:val="16"/>
                <w:szCs w:val="16"/>
              </w:rPr>
            </w:pPr>
          </w:p>
        </w:tc>
        <w:tc>
          <w:tcPr>
            <w:tcW w:w="1120" w:type="dxa"/>
            <w:gridSpan w:val="2"/>
          </w:tcPr>
          <w:p w14:paraId="0F4B2C8A" w14:textId="77777777" w:rsidR="008940B3" w:rsidRPr="003B5C8D" w:rsidRDefault="008940B3" w:rsidP="00E858EF">
            <w:pPr>
              <w:suppressAutoHyphens/>
              <w:jc w:val="center"/>
              <w:rPr>
                <w:sz w:val="16"/>
                <w:szCs w:val="16"/>
              </w:rPr>
            </w:pPr>
          </w:p>
        </w:tc>
        <w:tc>
          <w:tcPr>
            <w:tcW w:w="1004" w:type="dxa"/>
            <w:gridSpan w:val="2"/>
          </w:tcPr>
          <w:p w14:paraId="51F8609B" w14:textId="77777777" w:rsidR="008940B3" w:rsidRPr="003B5C8D" w:rsidRDefault="008940B3" w:rsidP="00E858EF">
            <w:pPr>
              <w:suppressAutoHyphens/>
              <w:jc w:val="center"/>
              <w:rPr>
                <w:sz w:val="16"/>
                <w:szCs w:val="16"/>
              </w:rPr>
            </w:pPr>
          </w:p>
        </w:tc>
        <w:tc>
          <w:tcPr>
            <w:tcW w:w="1236" w:type="dxa"/>
            <w:gridSpan w:val="3"/>
          </w:tcPr>
          <w:p w14:paraId="409EF62C" w14:textId="77777777" w:rsidR="008940B3" w:rsidRPr="003B5C8D" w:rsidRDefault="008940B3" w:rsidP="00E858EF">
            <w:pPr>
              <w:suppressAutoHyphens/>
              <w:jc w:val="center"/>
              <w:rPr>
                <w:sz w:val="16"/>
                <w:szCs w:val="16"/>
              </w:rPr>
            </w:pPr>
          </w:p>
        </w:tc>
      </w:tr>
      <w:tr w:rsidR="008940B3" w:rsidRPr="003B5C8D" w14:paraId="7DA4A3BD" w14:textId="77777777" w:rsidTr="008940B3">
        <w:trPr>
          <w:trHeight w:val="276"/>
        </w:trPr>
        <w:tc>
          <w:tcPr>
            <w:tcW w:w="1453" w:type="dxa"/>
            <w:vAlign w:val="bottom"/>
          </w:tcPr>
          <w:p w14:paraId="74A977C1" w14:textId="77777777" w:rsidR="008940B3" w:rsidRPr="003B5C8D" w:rsidRDefault="008940B3" w:rsidP="00E858EF">
            <w:pPr>
              <w:suppressAutoHyphens/>
              <w:rPr>
                <w:sz w:val="16"/>
                <w:szCs w:val="16"/>
              </w:rPr>
            </w:pPr>
            <w:r w:rsidRPr="003B5C8D">
              <w:rPr>
                <w:rFonts w:eastAsia="Times New Roman"/>
                <w:sz w:val="16"/>
                <w:szCs w:val="16"/>
              </w:rPr>
              <w:t>GIOPHYRAKIA</w:t>
            </w:r>
          </w:p>
        </w:tc>
        <w:tc>
          <w:tcPr>
            <w:tcW w:w="618" w:type="dxa"/>
            <w:vAlign w:val="bottom"/>
          </w:tcPr>
          <w:p w14:paraId="246425D2" w14:textId="77777777" w:rsidR="008940B3" w:rsidRPr="003B5C8D" w:rsidRDefault="008940B3" w:rsidP="00E858EF">
            <w:pPr>
              <w:suppressAutoHyphens/>
              <w:jc w:val="center"/>
              <w:rPr>
                <w:sz w:val="16"/>
                <w:szCs w:val="16"/>
              </w:rPr>
            </w:pPr>
            <w:r w:rsidRPr="003B5C8D">
              <w:rPr>
                <w:rFonts w:eastAsia="Times New Roman"/>
                <w:color w:val="000000"/>
                <w:sz w:val="16"/>
                <w:szCs w:val="16"/>
              </w:rPr>
              <w:t>1</w:t>
            </w:r>
          </w:p>
        </w:tc>
        <w:tc>
          <w:tcPr>
            <w:tcW w:w="619" w:type="dxa"/>
            <w:vAlign w:val="bottom"/>
          </w:tcPr>
          <w:p w14:paraId="310BA2C3"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266FD288" w14:textId="77777777" w:rsidR="008940B3" w:rsidRPr="003B5C8D" w:rsidRDefault="008940B3" w:rsidP="00E858EF">
            <w:pPr>
              <w:suppressAutoHyphens/>
              <w:jc w:val="center"/>
              <w:rPr>
                <w:sz w:val="16"/>
                <w:szCs w:val="16"/>
              </w:rPr>
            </w:pPr>
          </w:p>
        </w:tc>
        <w:tc>
          <w:tcPr>
            <w:tcW w:w="1120" w:type="dxa"/>
            <w:gridSpan w:val="2"/>
          </w:tcPr>
          <w:p w14:paraId="2AEC6E05" w14:textId="77777777" w:rsidR="008940B3" w:rsidRPr="003B5C8D" w:rsidRDefault="008940B3" w:rsidP="00E858EF">
            <w:pPr>
              <w:suppressAutoHyphens/>
              <w:jc w:val="center"/>
              <w:rPr>
                <w:sz w:val="16"/>
                <w:szCs w:val="16"/>
              </w:rPr>
            </w:pPr>
          </w:p>
        </w:tc>
        <w:tc>
          <w:tcPr>
            <w:tcW w:w="1120" w:type="dxa"/>
            <w:gridSpan w:val="2"/>
          </w:tcPr>
          <w:p w14:paraId="4B457BA6" w14:textId="77777777" w:rsidR="008940B3" w:rsidRPr="003B5C8D" w:rsidRDefault="008940B3" w:rsidP="00E858EF">
            <w:pPr>
              <w:suppressAutoHyphens/>
              <w:jc w:val="center"/>
              <w:rPr>
                <w:sz w:val="16"/>
                <w:szCs w:val="16"/>
              </w:rPr>
            </w:pPr>
          </w:p>
        </w:tc>
        <w:tc>
          <w:tcPr>
            <w:tcW w:w="1004" w:type="dxa"/>
            <w:gridSpan w:val="2"/>
          </w:tcPr>
          <w:p w14:paraId="43A5743C" w14:textId="77777777" w:rsidR="008940B3" w:rsidRPr="003B5C8D" w:rsidRDefault="008940B3" w:rsidP="00E858EF">
            <w:pPr>
              <w:suppressAutoHyphens/>
              <w:jc w:val="center"/>
              <w:rPr>
                <w:sz w:val="16"/>
                <w:szCs w:val="16"/>
              </w:rPr>
            </w:pPr>
          </w:p>
        </w:tc>
        <w:tc>
          <w:tcPr>
            <w:tcW w:w="1236" w:type="dxa"/>
            <w:gridSpan w:val="3"/>
          </w:tcPr>
          <w:p w14:paraId="3D68EEF9" w14:textId="77777777" w:rsidR="008940B3" w:rsidRPr="003B5C8D" w:rsidRDefault="008940B3" w:rsidP="00E858EF">
            <w:pPr>
              <w:suppressAutoHyphens/>
              <w:jc w:val="center"/>
              <w:rPr>
                <w:sz w:val="16"/>
                <w:szCs w:val="16"/>
              </w:rPr>
            </w:pPr>
          </w:p>
        </w:tc>
      </w:tr>
      <w:tr w:rsidR="008940B3" w:rsidRPr="003B5C8D" w14:paraId="29BADE97" w14:textId="77777777" w:rsidTr="008940B3">
        <w:trPr>
          <w:trHeight w:val="240"/>
        </w:trPr>
        <w:tc>
          <w:tcPr>
            <w:tcW w:w="1453" w:type="dxa"/>
            <w:vAlign w:val="bottom"/>
          </w:tcPr>
          <w:p w14:paraId="302A8F55" w14:textId="77777777" w:rsidR="008940B3" w:rsidRPr="003B5C8D" w:rsidRDefault="008940B3" w:rsidP="00E858EF">
            <w:pPr>
              <w:suppressAutoHyphens/>
              <w:rPr>
                <w:sz w:val="16"/>
                <w:szCs w:val="16"/>
              </w:rPr>
            </w:pPr>
            <w:r w:rsidRPr="003B5C8D">
              <w:rPr>
                <w:rFonts w:eastAsia="Times New Roman"/>
                <w:sz w:val="16"/>
                <w:szCs w:val="16"/>
              </w:rPr>
              <w:t>GOURNES</w:t>
            </w:r>
          </w:p>
        </w:tc>
        <w:tc>
          <w:tcPr>
            <w:tcW w:w="618" w:type="dxa"/>
            <w:vAlign w:val="bottom"/>
          </w:tcPr>
          <w:p w14:paraId="6BC98B84" w14:textId="77777777" w:rsidR="008940B3" w:rsidRPr="003B5C8D" w:rsidRDefault="008940B3" w:rsidP="00E858EF">
            <w:pPr>
              <w:suppressAutoHyphens/>
              <w:jc w:val="center"/>
              <w:rPr>
                <w:sz w:val="16"/>
                <w:szCs w:val="16"/>
              </w:rPr>
            </w:pPr>
            <w:r w:rsidRPr="003B5C8D">
              <w:rPr>
                <w:sz w:val="16"/>
                <w:szCs w:val="16"/>
              </w:rPr>
              <w:t>3</w:t>
            </w:r>
          </w:p>
        </w:tc>
        <w:tc>
          <w:tcPr>
            <w:tcW w:w="619" w:type="dxa"/>
            <w:vAlign w:val="bottom"/>
          </w:tcPr>
          <w:p w14:paraId="2DFA266A" w14:textId="77777777" w:rsidR="008940B3" w:rsidRPr="003B5C8D" w:rsidRDefault="008940B3" w:rsidP="00E858EF">
            <w:pPr>
              <w:suppressAutoHyphens/>
              <w:jc w:val="center"/>
              <w:rPr>
                <w:sz w:val="16"/>
                <w:szCs w:val="16"/>
              </w:rPr>
            </w:pPr>
            <w:r w:rsidRPr="003B5C8D">
              <w:rPr>
                <w:sz w:val="16"/>
                <w:szCs w:val="16"/>
              </w:rPr>
              <w:t>50%</w:t>
            </w:r>
          </w:p>
        </w:tc>
        <w:tc>
          <w:tcPr>
            <w:tcW w:w="1120" w:type="dxa"/>
            <w:gridSpan w:val="2"/>
          </w:tcPr>
          <w:p w14:paraId="70A073DE" w14:textId="77777777" w:rsidR="008940B3" w:rsidRPr="003B5C8D" w:rsidRDefault="008940B3" w:rsidP="00E858EF">
            <w:pPr>
              <w:suppressAutoHyphens/>
              <w:jc w:val="center"/>
              <w:rPr>
                <w:sz w:val="16"/>
                <w:szCs w:val="16"/>
              </w:rPr>
            </w:pPr>
          </w:p>
        </w:tc>
        <w:tc>
          <w:tcPr>
            <w:tcW w:w="560" w:type="dxa"/>
          </w:tcPr>
          <w:p w14:paraId="5689F0CD" w14:textId="77777777" w:rsidR="008940B3" w:rsidRPr="003B5C8D" w:rsidRDefault="008940B3" w:rsidP="00E858EF">
            <w:pPr>
              <w:suppressAutoHyphens/>
              <w:jc w:val="center"/>
              <w:rPr>
                <w:sz w:val="16"/>
                <w:szCs w:val="16"/>
              </w:rPr>
            </w:pPr>
            <w:r w:rsidRPr="003B5C8D">
              <w:rPr>
                <w:sz w:val="16"/>
                <w:szCs w:val="16"/>
              </w:rPr>
              <w:t>2</w:t>
            </w:r>
          </w:p>
        </w:tc>
        <w:tc>
          <w:tcPr>
            <w:tcW w:w="560" w:type="dxa"/>
          </w:tcPr>
          <w:p w14:paraId="04E7CAB5" w14:textId="77777777" w:rsidR="008940B3" w:rsidRPr="003B5C8D" w:rsidRDefault="008940B3" w:rsidP="00E858EF">
            <w:pPr>
              <w:suppressAutoHyphens/>
              <w:jc w:val="center"/>
              <w:rPr>
                <w:sz w:val="16"/>
                <w:szCs w:val="16"/>
              </w:rPr>
            </w:pPr>
            <w:r w:rsidRPr="003B5C8D">
              <w:rPr>
                <w:sz w:val="16"/>
                <w:szCs w:val="16"/>
              </w:rPr>
              <w:t>17%</w:t>
            </w:r>
          </w:p>
        </w:tc>
        <w:tc>
          <w:tcPr>
            <w:tcW w:w="1120" w:type="dxa"/>
            <w:gridSpan w:val="2"/>
          </w:tcPr>
          <w:p w14:paraId="4B583A40" w14:textId="77777777" w:rsidR="008940B3" w:rsidRPr="003B5C8D" w:rsidRDefault="008940B3" w:rsidP="00E858EF">
            <w:pPr>
              <w:suppressAutoHyphens/>
              <w:jc w:val="center"/>
              <w:rPr>
                <w:sz w:val="16"/>
                <w:szCs w:val="16"/>
              </w:rPr>
            </w:pPr>
          </w:p>
        </w:tc>
        <w:tc>
          <w:tcPr>
            <w:tcW w:w="1004" w:type="dxa"/>
            <w:gridSpan w:val="2"/>
          </w:tcPr>
          <w:p w14:paraId="12BF8172" w14:textId="77777777" w:rsidR="008940B3" w:rsidRPr="003B5C8D" w:rsidRDefault="008940B3" w:rsidP="00E858EF">
            <w:pPr>
              <w:suppressAutoHyphens/>
              <w:jc w:val="center"/>
              <w:rPr>
                <w:sz w:val="16"/>
                <w:szCs w:val="16"/>
              </w:rPr>
            </w:pPr>
          </w:p>
        </w:tc>
        <w:tc>
          <w:tcPr>
            <w:tcW w:w="676" w:type="dxa"/>
            <w:gridSpan w:val="2"/>
          </w:tcPr>
          <w:p w14:paraId="57D59DDF" w14:textId="77777777" w:rsidR="008940B3" w:rsidRPr="003B5C8D" w:rsidRDefault="008940B3" w:rsidP="00E858EF">
            <w:pPr>
              <w:suppressAutoHyphens/>
              <w:jc w:val="center"/>
              <w:rPr>
                <w:sz w:val="16"/>
                <w:szCs w:val="16"/>
              </w:rPr>
            </w:pPr>
            <w:r w:rsidRPr="003B5C8D">
              <w:rPr>
                <w:sz w:val="16"/>
                <w:szCs w:val="16"/>
              </w:rPr>
              <w:t>1</w:t>
            </w:r>
          </w:p>
        </w:tc>
        <w:tc>
          <w:tcPr>
            <w:tcW w:w="560" w:type="dxa"/>
          </w:tcPr>
          <w:p w14:paraId="39165B57" w14:textId="77777777" w:rsidR="008940B3" w:rsidRPr="003B5C8D" w:rsidRDefault="008940B3" w:rsidP="00E858EF">
            <w:pPr>
              <w:suppressAutoHyphens/>
              <w:jc w:val="center"/>
              <w:rPr>
                <w:sz w:val="16"/>
                <w:szCs w:val="16"/>
              </w:rPr>
            </w:pPr>
            <w:r w:rsidRPr="003B5C8D">
              <w:rPr>
                <w:sz w:val="16"/>
                <w:szCs w:val="16"/>
              </w:rPr>
              <w:t>33%</w:t>
            </w:r>
          </w:p>
        </w:tc>
      </w:tr>
      <w:tr w:rsidR="008940B3" w:rsidRPr="003B5C8D" w14:paraId="7EDB462D" w14:textId="77777777" w:rsidTr="008940B3">
        <w:trPr>
          <w:trHeight w:val="272"/>
        </w:trPr>
        <w:tc>
          <w:tcPr>
            <w:tcW w:w="1453" w:type="dxa"/>
            <w:vAlign w:val="bottom"/>
          </w:tcPr>
          <w:p w14:paraId="00FA135D" w14:textId="77777777" w:rsidR="008940B3" w:rsidRPr="003B5C8D" w:rsidRDefault="008940B3" w:rsidP="00E858EF">
            <w:pPr>
              <w:suppressAutoHyphens/>
              <w:rPr>
                <w:sz w:val="16"/>
                <w:szCs w:val="16"/>
              </w:rPr>
            </w:pPr>
            <w:r w:rsidRPr="003B5C8D">
              <w:rPr>
                <w:rFonts w:eastAsia="Times New Roman"/>
                <w:sz w:val="16"/>
                <w:szCs w:val="16"/>
              </w:rPr>
              <w:t>GOUVES SYKIA</w:t>
            </w:r>
          </w:p>
        </w:tc>
        <w:tc>
          <w:tcPr>
            <w:tcW w:w="618" w:type="dxa"/>
            <w:vAlign w:val="bottom"/>
          </w:tcPr>
          <w:p w14:paraId="14C5755C" w14:textId="77777777" w:rsidR="008940B3" w:rsidRPr="003B5C8D" w:rsidRDefault="008940B3" w:rsidP="00E858EF">
            <w:pPr>
              <w:suppressAutoHyphens/>
              <w:jc w:val="center"/>
              <w:rPr>
                <w:sz w:val="16"/>
                <w:szCs w:val="16"/>
              </w:rPr>
            </w:pPr>
            <w:r w:rsidRPr="003B5C8D">
              <w:rPr>
                <w:rFonts w:eastAsia="Times New Roman"/>
                <w:color w:val="000000"/>
                <w:sz w:val="16"/>
                <w:szCs w:val="16"/>
              </w:rPr>
              <w:t>1</w:t>
            </w:r>
          </w:p>
        </w:tc>
        <w:tc>
          <w:tcPr>
            <w:tcW w:w="619" w:type="dxa"/>
            <w:vAlign w:val="bottom"/>
          </w:tcPr>
          <w:p w14:paraId="76340217"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4441367C" w14:textId="77777777" w:rsidR="008940B3" w:rsidRPr="003B5C8D" w:rsidRDefault="008940B3" w:rsidP="00E858EF">
            <w:pPr>
              <w:suppressAutoHyphens/>
              <w:jc w:val="center"/>
              <w:rPr>
                <w:sz w:val="16"/>
                <w:szCs w:val="16"/>
              </w:rPr>
            </w:pPr>
          </w:p>
        </w:tc>
        <w:tc>
          <w:tcPr>
            <w:tcW w:w="1120" w:type="dxa"/>
            <w:gridSpan w:val="2"/>
          </w:tcPr>
          <w:p w14:paraId="14D41A87" w14:textId="77777777" w:rsidR="008940B3" w:rsidRPr="003B5C8D" w:rsidRDefault="008940B3" w:rsidP="00E858EF">
            <w:pPr>
              <w:suppressAutoHyphens/>
              <w:jc w:val="center"/>
              <w:rPr>
                <w:sz w:val="16"/>
                <w:szCs w:val="16"/>
              </w:rPr>
            </w:pPr>
          </w:p>
        </w:tc>
        <w:tc>
          <w:tcPr>
            <w:tcW w:w="1120" w:type="dxa"/>
            <w:gridSpan w:val="2"/>
          </w:tcPr>
          <w:p w14:paraId="280A5A9A" w14:textId="77777777" w:rsidR="008940B3" w:rsidRPr="003B5C8D" w:rsidRDefault="008940B3" w:rsidP="00E858EF">
            <w:pPr>
              <w:suppressAutoHyphens/>
              <w:jc w:val="center"/>
              <w:rPr>
                <w:sz w:val="16"/>
                <w:szCs w:val="16"/>
              </w:rPr>
            </w:pPr>
          </w:p>
        </w:tc>
        <w:tc>
          <w:tcPr>
            <w:tcW w:w="1004" w:type="dxa"/>
            <w:gridSpan w:val="2"/>
          </w:tcPr>
          <w:p w14:paraId="30428A35" w14:textId="77777777" w:rsidR="008940B3" w:rsidRPr="003B5C8D" w:rsidRDefault="008940B3" w:rsidP="00E858EF">
            <w:pPr>
              <w:suppressAutoHyphens/>
              <w:jc w:val="center"/>
              <w:rPr>
                <w:sz w:val="16"/>
                <w:szCs w:val="16"/>
              </w:rPr>
            </w:pPr>
          </w:p>
        </w:tc>
        <w:tc>
          <w:tcPr>
            <w:tcW w:w="1236" w:type="dxa"/>
            <w:gridSpan w:val="3"/>
          </w:tcPr>
          <w:p w14:paraId="03BCD8F1" w14:textId="77777777" w:rsidR="008940B3" w:rsidRPr="003B5C8D" w:rsidRDefault="008940B3" w:rsidP="00E858EF">
            <w:pPr>
              <w:suppressAutoHyphens/>
              <w:jc w:val="center"/>
              <w:rPr>
                <w:sz w:val="16"/>
                <w:szCs w:val="16"/>
              </w:rPr>
            </w:pPr>
          </w:p>
        </w:tc>
      </w:tr>
      <w:tr w:rsidR="008940B3" w:rsidRPr="003B5C8D" w14:paraId="7AEF2344" w14:textId="77777777" w:rsidTr="008940B3">
        <w:trPr>
          <w:trHeight w:val="302"/>
        </w:trPr>
        <w:tc>
          <w:tcPr>
            <w:tcW w:w="1453" w:type="dxa"/>
            <w:vAlign w:val="bottom"/>
          </w:tcPr>
          <w:p w14:paraId="3D202821" w14:textId="77777777" w:rsidR="008940B3" w:rsidRPr="003B5C8D" w:rsidRDefault="008940B3" w:rsidP="00E858EF">
            <w:pPr>
              <w:suppressAutoHyphens/>
              <w:rPr>
                <w:sz w:val="16"/>
                <w:szCs w:val="16"/>
              </w:rPr>
            </w:pPr>
            <w:r w:rsidRPr="003B5C8D">
              <w:rPr>
                <w:rFonts w:eastAsia="Times New Roman"/>
                <w:sz w:val="16"/>
                <w:szCs w:val="16"/>
              </w:rPr>
              <w:t xml:space="preserve">KARNARI </w:t>
            </w:r>
          </w:p>
        </w:tc>
        <w:tc>
          <w:tcPr>
            <w:tcW w:w="618" w:type="dxa"/>
            <w:vAlign w:val="bottom"/>
          </w:tcPr>
          <w:p w14:paraId="15B05687" w14:textId="77777777" w:rsidR="008940B3" w:rsidRPr="003B5C8D" w:rsidRDefault="008940B3" w:rsidP="00E858EF">
            <w:pPr>
              <w:suppressAutoHyphens/>
              <w:jc w:val="center"/>
              <w:rPr>
                <w:sz w:val="16"/>
                <w:szCs w:val="16"/>
              </w:rPr>
            </w:pPr>
            <w:r w:rsidRPr="003B5C8D">
              <w:rPr>
                <w:rFonts w:eastAsia="Times New Roman"/>
                <w:color w:val="000000"/>
                <w:sz w:val="16"/>
                <w:szCs w:val="16"/>
              </w:rPr>
              <w:t>3</w:t>
            </w:r>
          </w:p>
        </w:tc>
        <w:tc>
          <w:tcPr>
            <w:tcW w:w="619" w:type="dxa"/>
            <w:vAlign w:val="bottom"/>
          </w:tcPr>
          <w:p w14:paraId="28F43909"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3C3CC664" w14:textId="77777777" w:rsidR="008940B3" w:rsidRPr="003B5C8D" w:rsidRDefault="008940B3" w:rsidP="00E858EF">
            <w:pPr>
              <w:suppressAutoHyphens/>
              <w:jc w:val="center"/>
              <w:rPr>
                <w:sz w:val="16"/>
                <w:szCs w:val="16"/>
              </w:rPr>
            </w:pPr>
          </w:p>
        </w:tc>
        <w:tc>
          <w:tcPr>
            <w:tcW w:w="1120" w:type="dxa"/>
            <w:gridSpan w:val="2"/>
          </w:tcPr>
          <w:p w14:paraId="0293C60B" w14:textId="77777777" w:rsidR="008940B3" w:rsidRPr="003B5C8D" w:rsidRDefault="008940B3" w:rsidP="00E858EF">
            <w:pPr>
              <w:suppressAutoHyphens/>
              <w:jc w:val="center"/>
              <w:rPr>
                <w:sz w:val="16"/>
                <w:szCs w:val="16"/>
              </w:rPr>
            </w:pPr>
          </w:p>
        </w:tc>
        <w:tc>
          <w:tcPr>
            <w:tcW w:w="1120" w:type="dxa"/>
            <w:gridSpan w:val="2"/>
          </w:tcPr>
          <w:p w14:paraId="7A21540E" w14:textId="77777777" w:rsidR="008940B3" w:rsidRPr="003B5C8D" w:rsidRDefault="008940B3" w:rsidP="00E858EF">
            <w:pPr>
              <w:suppressAutoHyphens/>
              <w:jc w:val="center"/>
              <w:rPr>
                <w:sz w:val="16"/>
                <w:szCs w:val="16"/>
              </w:rPr>
            </w:pPr>
          </w:p>
        </w:tc>
        <w:tc>
          <w:tcPr>
            <w:tcW w:w="1004" w:type="dxa"/>
            <w:gridSpan w:val="2"/>
          </w:tcPr>
          <w:p w14:paraId="6BA2A8E7" w14:textId="77777777" w:rsidR="008940B3" w:rsidRPr="003B5C8D" w:rsidRDefault="008940B3" w:rsidP="00E858EF">
            <w:pPr>
              <w:suppressAutoHyphens/>
              <w:jc w:val="center"/>
              <w:rPr>
                <w:sz w:val="16"/>
                <w:szCs w:val="16"/>
              </w:rPr>
            </w:pPr>
          </w:p>
        </w:tc>
        <w:tc>
          <w:tcPr>
            <w:tcW w:w="1236" w:type="dxa"/>
            <w:gridSpan w:val="3"/>
          </w:tcPr>
          <w:p w14:paraId="5A369496" w14:textId="77777777" w:rsidR="008940B3" w:rsidRPr="003B5C8D" w:rsidRDefault="008940B3" w:rsidP="00E858EF">
            <w:pPr>
              <w:suppressAutoHyphens/>
              <w:jc w:val="center"/>
              <w:rPr>
                <w:sz w:val="16"/>
                <w:szCs w:val="16"/>
              </w:rPr>
            </w:pPr>
          </w:p>
        </w:tc>
      </w:tr>
      <w:tr w:rsidR="008940B3" w:rsidRPr="003B5C8D" w14:paraId="5DB239F6" w14:textId="77777777" w:rsidTr="008940B3">
        <w:trPr>
          <w:trHeight w:val="264"/>
        </w:trPr>
        <w:tc>
          <w:tcPr>
            <w:tcW w:w="1453" w:type="dxa"/>
            <w:vAlign w:val="bottom"/>
          </w:tcPr>
          <w:p w14:paraId="4328F3AB" w14:textId="77777777" w:rsidR="008940B3" w:rsidRPr="003B5C8D" w:rsidRDefault="008940B3" w:rsidP="00E858EF">
            <w:pPr>
              <w:suppressAutoHyphens/>
              <w:rPr>
                <w:sz w:val="16"/>
                <w:szCs w:val="16"/>
              </w:rPr>
            </w:pPr>
            <w:r w:rsidRPr="003B5C8D">
              <w:rPr>
                <w:rFonts w:eastAsia="Times New Roman"/>
                <w:sz w:val="16"/>
                <w:szCs w:val="16"/>
              </w:rPr>
              <w:t>KASANOI</w:t>
            </w:r>
          </w:p>
        </w:tc>
        <w:tc>
          <w:tcPr>
            <w:tcW w:w="618" w:type="dxa"/>
            <w:vAlign w:val="bottom"/>
          </w:tcPr>
          <w:p w14:paraId="1518CCA7" w14:textId="77777777" w:rsidR="008940B3" w:rsidRPr="003B5C8D" w:rsidRDefault="008940B3" w:rsidP="00E858EF">
            <w:pPr>
              <w:suppressAutoHyphens/>
              <w:jc w:val="center"/>
              <w:rPr>
                <w:sz w:val="16"/>
                <w:szCs w:val="16"/>
              </w:rPr>
            </w:pPr>
            <w:r w:rsidRPr="003B5C8D">
              <w:rPr>
                <w:rFonts w:eastAsia="Times New Roman"/>
                <w:color w:val="000000"/>
                <w:sz w:val="16"/>
                <w:szCs w:val="16"/>
              </w:rPr>
              <w:t>3</w:t>
            </w:r>
          </w:p>
        </w:tc>
        <w:tc>
          <w:tcPr>
            <w:tcW w:w="619" w:type="dxa"/>
            <w:vAlign w:val="bottom"/>
          </w:tcPr>
          <w:p w14:paraId="736FDADD"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252C32F8" w14:textId="77777777" w:rsidR="008940B3" w:rsidRPr="003B5C8D" w:rsidRDefault="008940B3" w:rsidP="00E858EF">
            <w:pPr>
              <w:suppressAutoHyphens/>
              <w:jc w:val="center"/>
              <w:rPr>
                <w:sz w:val="16"/>
                <w:szCs w:val="16"/>
              </w:rPr>
            </w:pPr>
          </w:p>
        </w:tc>
        <w:tc>
          <w:tcPr>
            <w:tcW w:w="1120" w:type="dxa"/>
            <w:gridSpan w:val="2"/>
          </w:tcPr>
          <w:p w14:paraId="2BAC101D" w14:textId="77777777" w:rsidR="008940B3" w:rsidRPr="003B5C8D" w:rsidRDefault="008940B3" w:rsidP="00E858EF">
            <w:pPr>
              <w:suppressAutoHyphens/>
              <w:jc w:val="center"/>
              <w:rPr>
                <w:sz w:val="16"/>
                <w:szCs w:val="16"/>
              </w:rPr>
            </w:pPr>
          </w:p>
        </w:tc>
        <w:tc>
          <w:tcPr>
            <w:tcW w:w="1120" w:type="dxa"/>
            <w:gridSpan w:val="2"/>
          </w:tcPr>
          <w:p w14:paraId="02F2EEF9" w14:textId="77777777" w:rsidR="008940B3" w:rsidRPr="003B5C8D" w:rsidRDefault="008940B3" w:rsidP="00E858EF">
            <w:pPr>
              <w:suppressAutoHyphens/>
              <w:jc w:val="center"/>
              <w:rPr>
                <w:sz w:val="16"/>
                <w:szCs w:val="16"/>
              </w:rPr>
            </w:pPr>
          </w:p>
        </w:tc>
        <w:tc>
          <w:tcPr>
            <w:tcW w:w="1004" w:type="dxa"/>
            <w:gridSpan w:val="2"/>
          </w:tcPr>
          <w:p w14:paraId="3CC6700B" w14:textId="77777777" w:rsidR="008940B3" w:rsidRPr="003B5C8D" w:rsidRDefault="008940B3" w:rsidP="00E858EF">
            <w:pPr>
              <w:suppressAutoHyphens/>
              <w:jc w:val="center"/>
              <w:rPr>
                <w:sz w:val="16"/>
                <w:szCs w:val="16"/>
              </w:rPr>
            </w:pPr>
          </w:p>
        </w:tc>
        <w:tc>
          <w:tcPr>
            <w:tcW w:w="1236" w:type="dxa"/>
            <w:gridSpan w:val="3"/>
          </w:tcPr>
          <w:p w14:paraId="23C52892" w14:textId="77777777" w:rsidR="008940B3" w:rsidRPr="003B5C8D" w:rsidRDefault="008940B3" w:rsidP="00E858EF">
            <w:pPr>
              <w:suppressAutoHyphens/>
              <w:jc w:val="center"/>
              <w:rPr>
                <w:sz w:val="16"/>
                <w:szCs w:val="16"/>
              </w:rPr>
            </w:pPr>
          </w:p>
        </w:tc>
      </w:tr>
      <w:tr w:rsidR="008940B3" w:rsidRPr="003B5C8D" w14:paraId="18AD3B9F" w14:textId="77777777" w:rsidTr="008940B3">
        <w:trPr>
          <w:trHeight w:val="264"/>
        </w:trPr>
        <w:tc>
          <w:tcPr>
            <w:tcW w:w="1453" w:type="dxa"/>
            <w:vAlign w:val="bottom"/>
          </w:tcPr>
          <w:p w14:paraId="196672CD" w14:textId="77777777" w:rsidR="008940B3" w:rsidRPr="003B5C8D" w:rsidRDefault="008940B3" w:rsidP="00E858EF">
            <w:pPr>
              <w:suppressAutoHyphens/>
              <w:rPr>
                <w:rFonts w:eastAsia="Times New Roman"/>
                <w:sz w:val="16"/>
                <w:szCs w:val="16"/>
              </w:rPr>
            </w:pPr>
            <w:r w:rsidRPr="003B5C8D">
              <w:rPr>
                <w:rFonts w:eastAsia="Times New Roman"/>
                <w:sz w:val="16"/>
                <w:szCs w:val="16"/>
              </w:rPr>
              <w:t>KAVROCHORI</w:t>
            </w:r>
          </w:p>
        </w:tc>
        <w:tc>
          <w:tcPr>
            <w:tcW w:w="618" w:type="dxa"/>
            <w:vAlign w:val="bottom"/>
          </w:tcPr>
          <w:p w14:paraId="0A4EF38C" w14:textId="77777777" w:rsidR="008940B3" w:rsidRPr="003B5C8D" w:rsidRDefault="008940B3" w:rsidP="00E858EF">
            <w:pPr>
              <w:suppressAutoHyphens/>
              <w:jc w:val="center"/>
              <w:rPr>
                <w:sz w:val="16"/>
                <w:szCs w:val="16"/>
              </w:rPr>
            </w:pPr>
            <w:r w:rsidRPr="003B5C8D">
              <w:rPr>
                <w:rFonts w:eastAsia="Times New Roman"/>
                <w:color w:val="000000"/>
                <w:sz w:val="16"/>
                <w:szCs w:val="16"/>
              </w:rPr>
              <w:t>1</w:t>
            </w:r>
          </w:p>
        </w:tc>
        <w:tc>
          <w:tcPr>
            <w:tcW w:w="619" w:type="dxa"/>
            <w:vAlign w:val="bottom"/>
          </w:tcPr>
          <w:p w14:paraId="11E209DE"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27A1527B" w14:textId="77777777" w:rsidR="008940B3" w:rsidRPr="003B5C8D" w:rsidRDefault="008940B3" w:rsidP="00E858EF">
            <w:pPr>
              <w:suppressAutoHyphens/>
              <w:jc w:val="center"/>
              <w:rPr>
                <w:sz w:val="16"/>
                <w:szCs w:val="16"/>
              </w:rPr>
            </w:pPr>
          </w:p>
        </w:tc>
        <w:tc>
          <w:tcPr>
            <w:tcW w:w="1120" w:type="dxa"/>
            <w:gridSpan w:val="2"/>
          </w:tcPr>
          <w:p w14:paraId="72E60170" w14:textId="77777777" w:rsidR="008940B3" w:rsidRPr="003B5C8D" w:rsidRDefault="008940B3" w:rsidP="00E858EF">
            <w:pPr>
              <w:suppressAutoHyphens/>
              <w:jc w:val="center"/>
              <w:rPr>
                <w:sz w:val="16"/>
                <w:szCs w:val="16"/>
              </w:rPr>
            </w:pPr>
          </w:p>
        </w:tc>
        <w:tc>
          <w:tcPr>
            <w:tcW w:w="1120" w:type="dxa"/>
            <w:gridSpan w:val="2"/>
          </w:tcPr>
          <w:p w14:paraId="7CD20DD6" w14:textId="77777777" w:rsidR="008940B3" w:rsidRPr="003B5C8D" w:rsidRDefault="008940B3" w:rsidP="00E858EF">
            <w:pPr>
              <w:suppressAutoHyphens/>
              <w:jc w:val="center"/>
              <w:rPr>
                <w:sz w:val="16"/>
                <w:szCs w:val="16"/>
              </w:rPr>
            </w:pPr>
          </w:p>
        </w:tc>
        <w:tc>
          <w:tcPr>
            <w:tcW w:w="1004" w:type="dxa"/>
            <w:gridSpan w:val="2"/>
          </w:tcPr>
          <w:p w14:paraId="2169B72A" w14:textId="77777777" w:rsidR="008940B3" w:rsidRPr="003B5C8D" w:rsidRDefault="008940B3" w:rsidP="00E858EF">
            <w:pPr>
              <w:suppressAutoHyphens/>
              <w:jc w:val="center"/>
              <w:rPr>
                <w:sz w:val="16"/>
                <w:szCs w:val="16"/>
              </w:rPr>
            </w:pPr>
          </w:p>
        </w:tc>
        <w:tc>
          <w:tcPr>
            <w:tcW w:w="1236" w:type="dxa"/>
            <w:gridSpan w:val="3"/>
          </w:tcPr>
          <w:p w14:paraId="6FA499CD" w14:textId="77777777" w:rsidR="008940B3" w:rsidRPr="003B5C8D" w:rsidRDefault="008940B3" w:rsidP="00E858EF">
            <w:pPr>
              <w:suppressAutoHyphens/>
              <w:jc w:val="center"/>
              <w:rPr>
                <w:sz w:val="16"/>
                <w:szCs w:val="16"/>
              </w:rPr>
            </w:pPr>
          </w:p>
        </w:tc>
      </w:tr>
      <w:tr w:rsidR="008940B3" w:rsidRPr="003B5C8D" w14:paraId="2CD9472C" w14:textId="77777777" w:rsidTr="008940B3">
        <w:trPr>
          <w:trHeight w:val="264"/>
        </w:trPr>
        <w:tc>
          <w:tcPr>
            <w:tcW w:w="1453" w:type="dxa"/>
            <w:vAlign w:val="bottom"/>
          </w:tcPr>
          <w:p w14:paraId="48D4F6D6" w14:textId="77777777" w:rsidR="008940B3" w:rsidRPr="003B5C8D" w:rsidRDefault="008940B3" w:rsidP="00E858EF">
            <w:pPr>
              <w:suppressAutoHyphens/>
              <w:rPr>
                <w:rFonts w:eastAsia="Times New Roman"/>
                <w:sz w:val="16"/>
                <w:szCs w:val="16"/>
              </w:rPr>
            </w:pPr>
            <w:r w:rsidRPr="003B5C8D">
              <w:rPr>
                <w:rFonts w:eastAsia="Times New Roman"/>
                <w:sz w:val="16"/>
                <w:szCs w:val="16"/>
              </w:rPr>
              <w:t>KYPARISSI VATHIA</w:t>
            </w:r>
          </w:p>
        </w:tc>
        <w:tc>
          <w:tcPr>
            <w:tcW w:w="618" w:type="dxa"/>
            <w:vAlign w:val="bottom"/>
          </w:tcPr>
          <w:p w14:paraId="2D0E52CD" w14:textId="77777777" w:rsidR="008940B3" w:rsidRPr="003B5C8D" w:rsidRDefault="008940B3" w:rsidP="00E858EF">
            <w:pPr>
              <w:suppressAutoHyphens/>
              <w:jc w:val="center"/>
              <w:rPr>
                <w:sz w:val="16"/>
                <w:szCs w:val="16"/>
              </w:rPr>
            </w:pPr>
            <w:r w:rsidRPr="003B5C8D">
              <w:rPr>
                <w:rFonts w:eastAsia="Times New Roman"/>
                <w:color w:val="000000"/>
                <w:sz w:val="16"/>
                <w:szCs w:val="16"/>
              </w:rPr>
              <w:t>3</w:t>
            </w:r>
          </w:p>
        </w:tc>
        <w:tc>
          <w:tcPr>
            <w:tcW w:w="619" w:type="dxa"/>
            <w:vAlign w:val="bottom"/>
          </w:tcPr>
          <w:p w14:paraId="198B3AE5"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0D5F346B" w14:textId="77777777" w:rsidR="008940B3" w:rsidRPr="003B5C8D" w:rsidRDefault="008940B3" w:rsidP="00E858EF">
            <w:pPr>
              <w:suppressAutoHyphens/>
              <w:jc w:val="center"/>
              <w:rPr>
                <w:sz w:val="16"/>
                <w:szCs w:val="16"/>
              </w:rPr>
            </w:pPr>
          </w:p>
        </w:tc>
        <w:tc>
          <w:tcPr>
            <w:tcW w:w="1120" w:type="dxa"/>
            <w:gridSpan w:val="2"/>
          </w:tcPr>
          <w:p w14:paraId="186A9C74" w14:textId="77777777" w:rsidR="008940B3" w:rsidRPr="003B5C8D" w:rsidRDefault="008940B3" w:rsidP="00E858EF">
            <w:pPr>
              <w:suppressAutoHyphens/>
              <w:jc w:val="center"/>
              <w:rPr>
                <w:sz w:val="16"/>
                <w:szCs w:val="16"/>
              </w:rPr>
            </w:pPr>
          </w:p>
        </w:tc>
        <w:tc>
          <w:tcPr>
            <w:tcW w:w="1120" w:type="dxa"/>
            <w:gridSpan w:val="2"/>
          </w:tcPr>
          <w:p w14:paraId="4D00CEBA" w14:textId="77777777" w:rsidR="008940B3" w:rsidRPr="003B5C8D" w:rsidRDefault="008940B3" w:rsidP="00E858EF">
            <w:pPr>
              <w:suppressAutoHyphens/>
              <w:jc w:val="center"/>
              <w:rPr>
                <w:sz w:val="16"/>
                <w:szCs w:val="16"/>
              </w:rPr>
            </w:pPr>
          </w:p>
        </w:tc>
        <w:tc>
          <w:tcPr>
            <w:tcW w:w="1004" w:type="dxa"/>
            <w:gridSpan w:val="2"/>
          </w:tcPr>
          <w:p w14:paraId="3307A570" w14:textId="77777777" w:rsidR="008940B3" w:rsidRPr="003B5C8D" w:rsidRDefault="008940B3" w:rsidP="00E858EF">
            <w:pPr>
              <w:suppressAutoHyphens/>
              <w:jc w:val="center"/>
              <w:rPr>
                <w:sz w:val="16"/>
                <w:szCs w:val="16"/>
              </w:rPr>
            </w:pPr>
          </w:p>
        </w:tc>
        <w:tc>
          <w:tcPr>
            <w:tcW w:w="1236" w:type="dxa"/>
            <w:gridSpan w:val="3"/>
          </w:tcPr>
          <w:p w14:paraId="47629ACB" w14:textId="77777777" w:rsidR="008940B3" w:rsidRPr="003B5C8D" w:rsidRDefault="008940B3" w:rsidP="00E858EF">
            <w:pPr>
              <w:suppressAutoHyphens/>
              <w:jc w:val="center"/>
              <w:rPr>
                <w:sz w:val="16"/>
                <w:szCs w:val="16"/>
              </w:rPr>
            </w:pPr>
          </w:p>
        </w:tc>
      </w:tr>
      <w:tr w:rsidR="008940B3" w:rsidRPr="003B5C8D" w14:paraId="305B630B" w14:textId="77777777" w:rsidTr="008940B3">
        <w:trPr>
          <w:trHeight w:val="264"/>
        </w:trPr>
        <w:tc>
          <w:tcPr>
            <w:tcW w:w="1453" w:type="dxa"/>
            <w:vAlign w:val="bottom"/>
          </w:tcPr>
          <w:p w14:paraId="268C2C44" w14:textId="77777777" w:rsidR="008940B3" w:rsidRPr="003B5C8D" w:rsidRDefault="008940B3" w:rsidP="00E858EF">
            <w:pPr>
              <w:suppressAutoHyphens/>
              <w:rPr>
                <w:rFonts w:eastAsia="Times New Roman"/>
                <w:sz w:val="16"/>
                <w:szCs w:val="16"/>
              </w:rPr>
            </w:pPr>
            <w:r w:rsidRPr="003B5C8D">
              <w:rPr>
                <w:rFonts w:eastAsia="Times New Roman"/>
                <w:sz w:val="16"/>
                <w:szCs w:val="16"/>
              </w:rPr>
              <w:t>LIGORTYNO</w:t>
            </w:r>
          </w:p>
        </w:tc>
        <w:tc>
          <w:tcPr>
            <w:tcW w:w="618" w:type="dxa"/>
            <w:vAlign w:val="bottom"/>
          </w:tcPr>
          <w:p w14:paraId="6A8AF8E7" w14:textId="77777777" w:rsidR="008940B3" w:rsidRPr="003B5C8D" w:rsidRDefault="008940B3" w:rsidP="00E858EF">
            <w:pPr>
              <w:suppressAutoHyphens/>
              <w:jc w:val="center"/>
              <w:rPr>
                <w:sz w:val="16"/>
                <w:szCs w:val="16"/>
              </w:rPr>
            </w:pPr>
            <w:r w:rsidRPr="003B5C8D">
              <w:rPr>
                <w:rFonts w:eastAsia="Times New Roman"/>
                <w:color w:val="000000"/>
                <w:sz w:val="16"/>
                <w:szCs w:val="16"/>
              </w:rPr>
              <w:t>2</w:t>
            </w:r>
          </w:p>
        </w:tc>
        <w:tc>
          <w:tcPr>
            <w:tcW w:w="619" w:type="dxa"/>
            <w:vAlign w:val="bottom"/>
          </w:tcPr>
          <w:p w14:paraId="707BABB4"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537706E9" w14:textId="77777777" w:rsidR="008940B3" w:rsidRPr="003B5C8D" w:rsidRDefault="008940B3" w:rsidP="00E858EF">
            <w:pPr>
              <w:suppressAutoHyphens/>
              <w:jc w:val="center"/>
              <w:rPr>
                <w:sz w:val="16"/>
                <w:szCs w:val="16"/>
              </w:rPr>
            </w:pPr>
          </w:p>
        </w:tc>
        <w:tc>
          <w:tcPr>
            <w:tcW w:w="1120" w:type="dxa"/>
            <w:gridSpan w:val="2"/>
          </w:tcPr>
          <w:p w14:paraId="1850EF7D" w14:textId="77777777" w:rsidR="008940B3" w:rsidRPr="003B5C8D" w:rsidRDefault="008940B3" w:rsidP="00E858EF">
            <w:pPr>
              <w:suppressAutoHyphens/>
              <w:jc w:val="center"/>
              <w:rPr>
                <w:sz w:val="16"/>
                <w:szCs w:val="16"/>
              </w:rPr>
            </w:pPr>
          </w:p>
        </w:tc>
        <w:tc>
          <w:tcPr>
            <w:tcW w:w="1120" w:type="dxa"/>
            <w:gridSpan w:val="2"/>
          </w:tcPr>
          <w:p w14:paraId="740055E4" w14:textId="77777777" w:rsidR="008940B3" w:rsidRPr="003B5C8D" w:rsidRDefault="008940B3" w:rsidP="00E858EF">
            <w:pPr>
              <w:suppressAutoHyphens/>
              <w:jc w:val="center"/>
              <w:rPr>
                <w:sz w:val="16"/>
                <w:szCs w:val="16"/>
              </w:rPr>
            </w:pPr>
          </w:p>
        </w:tc>
        <w:tc>
          <w:tcPr>
            <w:tcW w:w="1004" w:type="dxa"/>
            <w:gridSpan w:val="2"/>
          </w:tcPr>
          <w:p w14:paraId="4BEBF09B" w14:textId="77777777" w:rsidR="008940B3" w:rsidRPr="003B5C8D" w:rsidRDefault="008940B3" w:rsidP="00E858EF">
            <w:pPr>
              <w:suppressAutoHyphens/>
              <w:jc w:val="center"/>
              <w:rPr>
                <w:sz w:val="16"/>
                <w:szCs w:val="16"/>
              </w:rPr>
            </w:pPr>
          </w:p>
        </w:tc>
        <w:tc>
          <w:tcPr>
            <w:tcW w:w="1236" w:type="dxa"/>
            <w:gridSpan w:val="3"/>
          </w:tcPr>
          <w:p w14:paraId="357A4FFD" w14:textId="77777777" w:rsidR="008940B3" w:rsidRPr="003B5C8D" w:rsidRDefault="008940B3" w:rsidP="00E858EF">
            <w:pPr>
              <w:suppressAutoHyphens/>
              <w:jc w:val="center"/>
              <w:rPr>
                <w:sz w:val="16"/>
                <w:szCs w:val="16"/>
              </w:rPr>
            </w:pPr>
          </w:p>
        </w:tc>
      </w:tr>
      <w:tr w:rsidR="008940B3" w:rsidRPr="003B5C8D" w14:paraId="2CBD1F44" w14:textId="77777777" w:rsidTr="008940B3">
        <w:trPr>
          <w:trHeight w:val="264"/>
        </w:trPr>
        <w:tc>
          <w:tcPr>
            <w:tcW w:w="1453" w:type="dxa"/>
            <w:vAlign w:val="bottom"/>
          </w:tcPr>
          <w:p w14:paraId="3CF3776F" w14:textId="77777777" w:rsidR="008940B3" w:rsidRPr="003B5C8D" w:rsidRDefault="008940B3" w:rsidP="00E858EF">
            <w:pPr>
              <w:suppressAutoHyphens/>
              <w:rPr>
                <w:rFonts w:eastAsia="Times New Roman"/>
                <w:sz w:val="16"/>
                <w:szCs w:val="16"/>
              </w:rPr>
            </w:pPr>
            <w:r w:rsidRPr="003B5C8D">
              <w:rPr>
                <w:rFonts w:eastAsia="Times New Roman"/>
                <w:sz w:val="16"/>
                <w:szCs w:val="16"/>
              </w:rPr>
              <w:t>MELESES</w:t>
            </w:r>
          </w:p>
        </w:tc>
        <w:tc>
          <w:tcPr>
            <w:tcW w:w="1237" w:type="dxa"/>
            <w:gridSpan w:val="2"/>
            <w:vAlign w:val="bottom"/>
          </w:tcPr>
          <w:p w14:paraId="6339C061" w14:textId="77777777" w:rsidR="008940B3" w:rsidRPr="003B5C8D" w:rsidRDefault="008940B3" w:rsidP="00E858EF">
            <w:pPr>
              <w:suppressAutoHyphens/>
              <w:jc w:val="center"/>
              <w:rPr>
                <w:sz w:val="16"/>
                <w:szCs w:val="16"/>
              </w:rPr>
            </w:pPr>
          </w:p>
        </w:tc>
        <w:tc>
          <w:tcPr>
            <w:tcW w:w="1120" w:type="dxa"/>
            <w:gridSpan w:val="2"/>
          </w:tcPr>
          <w:p w14:paraId="39962806" w14:textId="77777777" w:rsidR="008940B3" w:rsidRPr="003B5C8D" w:rsidRDefault="008940B3" w:rsidP="00E858EF">
            <w:pPr>
              <w:suppressAutoHyphens/>
              <w:jc w:val="center"/>
              <w:rPr>
                <w:sz w:val="16"/>
                <w:szCs w:val="16"/>
              </w:rPr>
            </w:pPr>
          </w:p>
        </w:tc>
        <w:tc>
          <w:tcPr>
            <w:tcW w:w="1120" w:type="dxa"/>
            <w:gridSpan w:val="2"/>
          </w:tcPr>
          <w:p w14:paraId="508A3F67" w14:textId="77777777" w:rsidR="008940B3" w:rsidRPr="003B5C8D" w:rsidRDefault="008940B3" w:rsidP="00E858EF">
            <w:pPr>
              <w:suppressAutoHyphens/>
              <w:jc w:val="center"/>
              <w:rPr>
                <w:sz w:val="16"/>
                <w:szCs w:val="16"/>
              </w:rPr>
            </w:pPr>
          </w:p>
        </w:tc>
        <w:tc>
          <w:tcPr>
            <w:tcW w:w="560" w:type="dxa"/>
          </w:tcPr>
          <w:p w14:paraId="62AF285C" w14:textId="77777777" w:rsidR="008940B3" w:rsidRPr="003B5C8D" w:rsidRDefault="008940B3" w:rsidP="00E858EF">
            <w:pPr>
              <w:suppressAutoHyphens/>
              <w:jc w:val="center"/>
              <w:rPr>
                <w:sz w:val="16"/>
                <w:szCs w:val="16"/>
              </w:rPr>
            </w:pPr>
            <w:r w:rsidRPr="003B5C8D">
              <w:rPr>
                <w:sz w:val="16"/>
                <w:szCs w:val="16"/>
              </w:rPr>
              <w:t>1</w:t>
            </w:r>
          </w:p>
        </w:tc>
        <w:tc>
          <w:tcPr>
            <w:tcW w:w="560" w:type="dxa"/>
          </w:tcPr>
          <w:p w14:paraId="74AC385F" w14:textId="77777777" w:rsidR="008940B3" w:rsidRPr="003B5C8D" w:rsidRDefault="008940B3" w:rsidP="00E858EF">
            <w:pPr>
              <w:suppressAutoHyphens/>
              <w:jc w:val="center"/>
              <w:rPr>
                <w:sz w:val="16"/>
                <w:szCs w:val="16"/>
              </w:rPr>
            </w:pPr>
            <w:r w:rsidRPr="003B5C8D">
              <w:rPr>
                <w:sz w:val="16"/>
                <w:szCs w:val="16"/>
              </w:rPr>
              <w:t>100%</w:t>
            </w:r>
          </w:p>
        </w:tc>
        <w:tc>
          <w:tcPr>
            <w:tcW w:w="1004" w:type="dxa"/>
            <w:gridSpan w:val="2"/>
          </w:tcPr>
          <w:p w14:paraId="0DFB8462" w14:textId="77777777" w:rsidR="008940B3" w:rsidRPr="003B5C8D" w:rsidRDefault="008940B3" w:rsidP="00E858EF">
            <w:pPr>
              <w:suppressAutoHyphens/>
              <w:jc w:val="center"/>
              <w:rPr>
                <w:sz w:val="16"/>
                <w:szCs w:val="16"/>
              </w:rPr>
            </w:pPr>
          </w:p>
        </w:tc>
        <w:tc>
          <w:tcPr>
            <w:tcW w:w="1236" w:type="dxa"/>
            <w:gridSpan w:val="3"/>
          </w:tcPr>
          <w:p w14:paraId="05125E6D" w14:textId="77777777" w:rsidR="008940B3" w:rsidRPr="003B5C8D" w:rsidRDefault="008940B3" w:rsidP="00E858EF">
            <w:pPr>
              <w:suppressAutoHyphens/>
              <w:jc w:val="center"/>
              <w:rPr>
                <w:sz w:val="16"/>
                <w:szCs w:val="16"/>
              </w:rPr>
            </w:pPr>
          </w:p>
        </w:tc>
      </w:tr>
      <w:tr w:rsidR="008940B3" w:rsidRPr="003B5C8D" w14:paraId="1D353C20" w14:textId="77777777" w:rsidTr="008940B3">
        <w:trPr>
          <w:trHeight w:val="264"/>
        </w:trPr>
        <w:tc>
          <w:tcPr>
            <w:tcW w:w="1453" w:type="dxa"/>
            <w:vAlign w:val="bottom"/>
          </w:tcPr>
          <w:p w14:paraId="6E6538DC" w14:textId="77777777" w:rsidR="008940B3" w:rsidRPr="003B5C8D" w:rsidRDefault="008940B3" w:rsidP="00E858EF">
            <w:pPr>
              <w:suppressAutoHyphens/>
              <w:rPr>
                <w:rFonts w:eastAsia="Times New Roman"/>
                <w:sz w:val="16"/>
                <w:szCs w:val="16"/>
              </w:rPr>
            </w:pPr>
            <w:r w:rsidRPr="003B5C8D">
              <w:rPr>
                <w:rFonts w:eastAsia="Times New Roman"/>
                <w:sz w:val="16"/>
                <w:szCs w:val="16"/>
              </w:rPr>
              <w:t>METOCHI KALOU</w:t>
            </w:r>
          </w:p>
        </w:tc>
        <w:tc>
          <w:tcPr>
            <w:tcW w:w="618" w:type="dxa"/>
            <w:vAlign w:val="bottom"/>
          </w:tcPr>
          <w:p w14:paraId="3C4342DD" w14:textId="77777777" w:rsidR="008940B3" w:rsidRPr="003B5C8D" w:rsidRDefault="008940B3" w:rsidP="00E858EF">
            <w:pPr>
              <w:suppressAutoHyphens/>
              <w:jc w:val="center"/>
              <w:rPr>
                <w:sz w:val="16"/>
                <w:szCs w:val="16"/>
              </w:rPr>
            </w:pPr>
            <w:r w:rsidRPr="003B5C8D">
              <w:rPr>
                <w:rFonts w:eastAsia="Times New Roman"/>
                <w:color w:val="000000"/>
                <w:sz w:val="16"/>
                <w:szCs w:val="16"/>
              </w:rPr>
              <w:t>5</w:t>
            </w:r>
          </w:p>
        </w:tc>
        <w:tc>
          <w:tcPr>
            <w:tcW w:w="619" w:type="dxa"/>
            <w:vAlign w:val="bottom"/>
          </w:tcPr>
          <w:p w14:paraId="7B68E456"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020C9F19" w14:textId="77777777" w:rsidR="008940B3" w:rsidRPr="003B5C8D" w:rsidRDefault="008940B3" w:rsidP="00E858EF">
            <w:pPr>
              <w:suppressAutoHyphens/>
              <w:jc w:val="center"/>
              <w:rPr>
                <w:sz w:val="16"/>
                <w:szCs w:val="16"/>
              </w:rPr>
            </w:pPr>
          </w:p>
        </w:tc>
        <w:tc>
          <w:tcPr>
            <w:tcW w:w="1120" w:type="dxa"/>
            <w:gridSpan w:val="2"/>
          </w:tcPr>
          <w:p w14:paraId="39402C44" w14:textId="77777777" w:rsidR="008940B3" w:rsidRPr="003B5C8D" w:rsidRDefault="008940B3" w:rsidP="00E858EF">
            <w:pPr>
              <w:suppressAutoHyphens/>
              <w:jc w:val="center"/>
              <w:rPr>
                <w:sz w:val="16"/>
                <w:szCs w:val="16"/>
              </w:rPr>
            </w:pPr>
          </w:p>
        </w:tc>
        <w:tc>
          <w:tcPr>
            <w:tcW w:w="1120" w:type="dxa"/>
            <w:gridSpan w:val="2"/>
          </w:tcPr>
          <w:p w14:paraId="6DEF10A8" w14:textId="77777777" w:rsidR="008940B3" w:rsidRPr="003B5C8D" w:rsidRDefault="008940B3" w:rsidP="00E858EF">
            <w:pPr>
              <w:suppressAutoHyphens/>
              <w:jc w:val="center"/>
              <w:rPr>
                <w:sz w:val="16"/>
                <w:szCs w:val="16"/>
              </w:rPr>
            </w:pPr>
          </w:p>
        </w:tc>
        <w:tc>
          <w:tcPr>
            <w:tcW w:w="1004" w:type="dxa"/>
            <w:gridSpan w:val="2"/>
          </w:tcPr>
          <w:p w14:paraId="075EF9B7" w14:textId="77777777" w:rsidR="008940B3" w:rsidRPr="003B5C8D" w:rsidRDefault="008940B3" w:rsidP="00E858EF">
            <w:pPr>
              <w:suppressAutoHyphens/>
              <w:jc w:val="center"/>
              <w:rPr>
                <w:sz w:val="16"/>
                <w:szCs w:val="16"/>
              </w:rPr>
            </w:pPr>
          </w:p>
        </w:tc>
        <w:tc>
          <w:tcPr>
            <w:tcW w:w="1236" w:type="dxa"/>
            <w:gridSpan w:val="3"/>
          </w:tcPr>
          <w:p w14:paraId="619E9E8C" w14:textId="77777777" w:rsidR="008940B3" w:rsidRPr="003B5C8D" w:rsidRDefault="008940B3" w:rsidP="00E858EF">
            <w:pPr>
              <w:suppressAutoHyphens/>
              <w:jc w:val="center"/>
              <w:rPr>
                <w:sz w:val="16"/>
                <w:szCs w:val="16"/>
              </w:rPr>
            </w:pPr>
          </w:p>
        </w:tc>
      </w:tr>
      <w:tr w:rsidR="008940B3" w:rsidRPr="003B5C8D" w14:paraId="10BBA15D" w14:textId="77777777" w:rsidTr="008940B3">
        <w:trPr>
          <w:trHeight w:val="264"/>
        </w:trPr>
        <w:tc>
          <w:tcPr>
            <w:tcW w:w="1453" w:type="dxa"/>
            <w:vAlign w:val="bottom"/>
          </w:tcPr>
          <w:p w14:paraId="1E50543F" w14:textId="77777777" w:rsidR="008940B3" w:rsidRPr="003B5C8D" w:rsidRDefault="008940B3" w:rsidP="00E858EF">
            <w:pPr>
              <w:suppressAutoHyphens/>
              <w:rPr>
                <w:rFonts w:eastAsia="Times New Roman"/>
                <w:sz w:val="16"/>
                <w:szCs w:val="16"/>
              </w:rPr>
            </w:pPr>
            <w:r w:rsidRPr="003B5C8D">
              <w:rPr>
                <w:rFonts w:eastAsia="Times New Roman"/>
                <w:sz w:val="16"/>
                <w:szCs w:val="16"/>
              </w:rPr>
              <w:t>MONI</w:t>
            </w:r>
          </w:p>
        </w:tc>
        <w:tc>
          <w:tcPr>
            <w:tcW w:w="618" w:type="dxa"/>
            <w:vAlign w:val="bottom"/>
          </w:tcPr>
          <w:p w14:paraId="0ABCA658" w14:textId="77777777" w:rsidR="008940B3" w:rsidRPr="003B5C8D" w:rsidRDefault="008940B3" w:rsidP="00E858EF">
            <w:pPr>
              <w:suppressAutoHyphens/>
              <w:jc w:val="center"/>
              <w:rPr>
                <w:sz w:val="16"/>
                <w:szCs w:val="16"/>
              </w:rPr>
            </w:pPr>
            <w:r w:rsidRPr="003B5C8D">
              <w:rPr>
                <w:rFonts w:eastAsia="Times New Roman"/>
                <w:color w:val="000000"/>
                <w:sz w:val="16"/>
                <w:szCs w:val="16"/>
              </w:rPr>
              <w:t>1</w:t>
            </w:r>
          </w:p>
        </w:tc>
        <w:tc>
          <w:tcPr>
            <w:tcW w:w="619" w:type="dxa"/>
            <w:vAlign w:val="bottom"/>
          </w:tcPr>
          <w:p w14:paraId="02462CF4"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59373BD8" w14:textId="77777777" w:rsidR="008940B3" w:rsidRPr="003B5C8D" w:rsidRDefault="008940B3" w:rsidP="00E858EF">
            <w:pPr>
              <w:suppressAutoHyphens/>
              <w:jc w:val="center"/>
              <w:rPr>
                <w:sz w:val="16"/>
                <w:szCs w:val="16"/>
              </w:rPr>
            </w:pPr>
          </w:p>
        </w:tc>
        <w:tc>
          <w:tcPr>
            <w:tcW w:w="1120" w:type="dxa"/>
            <w:gridSpan w:val="2"/>
          </w:tcPr>
          <w:p w14:paraId="36FFB7F2" w14:textId="77777777" w:rsidR="008940B3" w:rsidRPr="003B5C8D" w:rsidRDefault="008940B3" w:rsidP="00E858EF">
            <w:pPr>
              <w:suppressAutoHyphens/>
              <w:jc w:val="center"/>
              <w:rPr>
                <w:sz w:val="16"/>
                <w:szCs w:val="16"/>
              </w:rPr>
            </w:pPr>
          </w:p>
        </w:tc>
        <w:tc>
          <w:tcPr>
            <w:tcW w:w="1120" w:type="dxa"/>
            <w:gridSpan w:val="2"/>
          </w:tcPr>
          <w:p w14:paraId="0B408DAB" w14:textId="77777777" w:rsidR="008940B3" w:rsidRPr="003B5C8D" w:rsidRDefault="008940B3" w:rsidP="00E858EF">
            <w:pPr>
              <w:suppressAutoHyphens/>
              <w:jc w:val="center"/>
              <w:rPr>
                <w:sz w:val="16"/>
                <w:szCs w:val="16"/>
              </w:rPr>
            </w:pPr>
          </w:p>
        </w:tc>
        <w:tc>
          <w:tcPr>
            <w:tcW w:w="1004" w:type="dxa"/>
            <w:gridSpan w:val="2"/>
          </w:tcPr>
          <w:p w14:paraId="468788ED" w14:textId="77777777" w:rsidR="008940B3" w:rsidRPr="003B5C8D" w:rsidRDefault="008940B3" w:rsidP="00E858EF">
            <w:pPr>
              <w:suppressAutoHyphens/>
              <w:jc w:val="center"/>
              <w:rPr>
                <w:sz w:val="16"/>
                <w:szCs w:val="16"/>
              </w:rPr>
            </w:pPr>
          </w:p>
        </w:tc>
        <w:tc>
          <w:tcPr>
            <w:tcW w:w="1236" w:type="dxa"/>
            <w:gridSpan w:val="3"/>
          </w:tcPr>
          <w:p w14:paraId="589CC197" w14:textId="77777777" w:rsidR="008940B3" w:rsidRPr="003B5C8D" w:rsidRDefault="008940B3" w:rsidP="00E858EF">
            <w:pPr>
              <w:suppressAutoHyphens/>
              <w:jc w:val="center"/>
              <w:rPr>
                <w:sz w:val="16"/>
                <w:szCs w:val="16"/>
              </w:rPr>
            </w:pPr>
          </w:p>
        </w:tc>
      </w:tr>
      <w:tr w:rsidR="008940B3" w:rsidRPr="003B5C8D" w14:paraId="5B2252A3" w14:textId="77777777" w:rsidTr="008940B3">
        <w:trPr>
          <w:trHeight w:val="264"/>
        </w:trPr>
        <w:tc>
          <w:tcPr>
            <w:tcW w:w="1453" w:type="dxa"/>
            <w:vAlign w:val="bottom"/>
          </w:tcPr>
          <w:p w14:paraId="092A28A8" w14:textId="77777777" w:rsidR="008940B3" w:rsidRPr="003B5C8D" w:rsidRDefault="008940B3" w:rsidP="00E858EF">
            <w:pPr>
              <w:suppressAutoHyphens/>
              <w:rPr>
                <w:rFonts w:eastAsia="Times New Roman"/>
                <w:sz w:val="16"/>
                <w:szCs w:val="16"/>
              </w:rPr>
            </w:pPr>
            <w:r w:rsidRPr="003B5C8D">
              <w:rPr>
                <w:rFonts w:eastAsia="Times New Roman"/>
                <w:sz w:val="16"/>
                <w:szCs w:val="16"/>
              </w:rPr>
              <w:t>NIROU CHANI PHRANGOULI</w:t>
            </w:r>
          </w:p>
        </w:tc>
        <w:tc>
          <w:tcPr>
            <w:tcW w:w="618" w:type="dxa"/>
            <w:vAlign w:val="bottom"/>
          </w:tcPr>
          <w:p w14:paraId="31666D87" w14:textId="77777777" w:rsidR="008940B3" w:rsidRPr="003B5C8D" w:rsidRDefault="008940B3" w:rsidP="00E858EF">
            <w:pPr>
              <w:suppressAutoHyphens/>
              <w:jc w:val="center"/>
              <w:rPr>
                <w:sz w:val="16"/>
                <w:szCs w:val="16"/>
              </w:rPr>
            </w:pPr>
            <w:r w:rsidRPr="003B5C8D">
              <w:rPr>
                <w:rFonts w:eastAsia="Times New Roman"/>
                <w:color w:val="000000"/>
                <w:sz w:val="16"/>
                <w:szCs w:val="16"/>
              </w:rPr>
              <w:t>1</w:t>
            </w:r>
          </w:p>
        </w:tc>
        <w:tc>
          <w:tcPr>
            <w:tcW w:w="619" w:type="dxa"/>
            <w:vAlign w:val="bottom"/>
          </w:tcPr>
          <w:p w14:paraId="4184AC3C" w14:textId="77777777" w:rsidR="008940B3" w:rsidRPr="003B5C8D" w:rsidRDefault="008940B3" w:rsidP="00E858EF">
            <w:pPr>
              <w:suppressAutoHyphens/>
              <w:jc w:val="center"/>
              <w:rPr>
                <w:sz w:val="16"/>
                <w:szCs w:val="16"/>
              </w:rPr>
            </w:pPr>
            <w:r w:rsidRPr="003B5C8D">
              <w:rPr>
                <w:sz w:val="16"/>
                <w:szCs w:val="16"/>
              </w:rPr>
              <w:t>50%</w:t>
            </w:r>
          </w:p>
        </w:tc>
        <w:tc>
          <w:tcPr>
            <w:tcW w:w="1120" w:type="dxa"/>
            <w:gridSpan w:val="2"/>
          </w:tcPr>
          <w:p w14:paraId="19D04B9F" w14:textId="77777777" w:rsidR="008940B3" w:rsidRPr="003B5C8D" w:rsidRDefault="008940B3" w:rsidP="00E858EF">
            <w:pPr>
              <w:suppressAutoHyphens/>
              <w:jc w:val="center"/>
              <w:rPr>
                <w:sz w:val="16"/>
                <w:szCs w:val="16"/>
              </w:rPr>
            </w:pPr>
          </w:p>
        </w:tc>
        <w:tc>
          <w:tcPr>
            <w:tcW w:w="1120" w:type="dxa"/>
            <w:gridSpan w:val="2"/>
          </w:tcPr>
          <w:p w14:paraId="66F1D3B9" w14:textId="77777777" w:rsidR="008940B3" w:rsidRPr="003B5C8D" w:rsidRDefault="008940B3" w:rsidP="00E858EF">
            <w:pPr>
              <w:suppressAutoHyphens/>
              <w:jc w:val="center"/>
              <w:rPr>
                <w:sz w:val="16"/>
                <w:szCs w:val="16"/>
              </w:rPr>
            </w:pPr>
          </w:p>
        </w:tc>
        <w:tc>
          <w:tcPr>
            <w:tcW w:w="1120" w:type="dxa"/>
            <w:gridSpan w:val="2"/>
          </w:tcPr>
          <w:p w14:paraId="66544C8D" w14:textId="77777777" w:rsidR="008940B3" w:rsidRPr="003B5C8D" w:rsidRDefault="008940B3" w:rsidP="00E858EF">
            <w:pPr>
              <w:suppressAutoHyphens/>
              <w:jc w:val="center"/>
              <w:rPr>
                <w:sz w:val="16"/>
                <w:szCs w:val="16"/>
              </w:rPr>
            </w:pPr>
          </w:p>
        </w:tc>
        <w:tc>
          <w:tcPr>
            <w:tcW w:w="1004" w:type="dxa"/>
            <w:gridSpan w:val="2"/>
          </w:tcPr>
          <w:p w14:paraId="4B09B016" w14:textId="77777777" w:rsidR="008940B3" w:rsidRPr="003B5C8D" w:rsidRDefault="008940B3" w:rsidP="00E858EF">
            <w:pPr>
              <w:suppressAutoHyphens/>
              <w:jc w:val="center"/>
              <w:rPr>
                <w:sz w:val="16"/>
                <w:szCs w:val="16"/>
              </w:rPr>
            </w:pPr>
          </w:p>
        </w:tc>
        <w:tc>
          <w:tcPr>
            <w:tcW w:w="676" w:type="dxa"/>
            <w:gridSpan w:val="2"/>
          </w:tcPr>
          <w:p w14:paraId="4DB5274A" w14:textId="77777777" w:rsidR="008940B3" w:rsidRPr="003B5C8D" w:rsidRDefault="008940B3" w:rsidP="00E858EF">
            <w:pPr>
              <w:suppressAutoHyphens/>
              <w:jc w:val="center"/>
              <w:rPr>
                <w:sz w:val="16"/>
                <w:szCs w:val="16"/>
              </w:rPr>
            </w:pPr>
            <w:r w:rsidRPr="003B5C8D">
              <w:rPr>
                <w:sz w:val="16"/>
                <w:szCs w:val="16"/>
              </w:rPr>
              <w:t>1</w:t>
            </w:r>
          </w:p>
        </w:tc>
        <w:tc>
          <w:tcPr>
            <w:tcW w:w="560" w:type="dxa"/>
          </w:tcPr>
          <w:p w14:paraId="39B11FEB" w14:textId="77777777" w:rsidR="008940B3" w:rsidRPr="003B5C8D" w:rsidRDefault="008940B3" w:rsidP="00E858EF">
            <w:pPr>
              <w:suppressAutoHyphens/>
              <w:jc w:val="center"/>
              <w:rPr>
                <w:sz w:val="16"/>
                <w:szCs w:val="16"/>
              </w:rPr>
            </w:pPr>
            <w:r w:rsidRPr="003B5C8D">
              <w:rPr>
                <w:sz w:val="16"/>
                <w:szCs w:val="16"/>
              </w:rPr>
              <w:t>50%</w:t>
            </w:r>
          </w:p>
        </w:tc>
      </w:tr>
      <w:tr w:rsidR="008940B3" w:rsidRPr="003B5C8D" w14:paraId="5D3E7727" w14:textId="77777777" w:rsidTr="008940B3">
        <w:trPr>
          <w:trHeight w:val="264"/>
        </w:trPr>
        <w:tc>
          <w:tcPr>
            <w:tcW w:w="1453" w:type="dxa"/>
            <w:vAlign w:val="bottom"/>
          </w:tcPr>
          <w:p w14:paraId="4EC91001" w14:textId="77777777" w:rsidR="008940B3" w:rsidRPr="003B5C8D" w:rsidRDefault="008940B3" w:rsidP="00E858EF">
            <w:pPr>
              <w:suppressAutoHyphens/>
              <w:rPr>
                <w:rFonts w:eastAsia="Times New Roman"/>
                <w:sz w:val="16"/>
                <w:szCs w:val="16"/>
              </w:rPr>
            </w:pPr>
            <w:r w:rsidRPr="003B5C8D">
              <w:rPr>
                <w:rFonts w:eastAsia="Times New Roman"/>
                <w:sz w:val="16"/>
                <w:szCs w:val="16"/>
              </w:rPr>
              <w:t>NIROU CHANI VATHEIANOS KAMPOS</w:t>
            </w:r>
          </w:p>
        </w:tc>
        <w:tc>
          <w:tcPr>
            <w:tcW w:w="618" w:type="dxa"/>
            <w:vAlign w:val="bottom"/>
          </w:tcPr>
          <w:p w14:paraId="1277D992" w14:textId="77777777" w:rsidR="008940B3" w:rsidRPr="003B5C8D" w:rsidRDefault="008940B3" w:rsidP="00E858EF">
            <w:pPr>
              <w:suppressAutoHyphens/>
              <w:jc w:val="center"/>
              <w:rPr>
                <w:sz w:val="16"/>
                <w:szCs w:val="16"/>
              </w:rPr>
            </w:pPr>
            <w:r w:rsidRPr="003B5C8D">
              <w:rPr>
                <w:rFonts w:eastAsia="Times New Roman"/>
                <w:color w:val="000000"/>
                <w:sz w:val="16"/>
                <w:szCs w:val="16"/>
              </w:rPr>
              <w:t>3</w:t>
            </w:r>
          </w:p>
        </w:tc>
        <w:tc>
          <w:tcPr>
            <w:tcW w:w="619" w:type="dxa"/>
            <w:vAlign w:val="bottom"/>
          </w:tcPr>
          <w:p w14:paraId="1AE27C66"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7DCB1E08" w14:textId="77777777" w:rsidR="008940B3" w:rsidRPr="003B5C8D" w:rsidRDefault="008940B3" w:rsidP="00E858EF">
            <w:pPr>
              <w:suppressAutoHyphens/>
              <w:jc w:val="center"/>
              <w:rPr>
                <w:sz w:val="16"/>
                <w:szCs w:val="16"/>
              </w:rPr>
            </w:pPr>
          </w:p>
        </w:tc>
        <w:tc>
          <w:tcPr>
            <w:tcW w:w="1120" w:type="dxa"/>
            <w:gridSpan w:val="2"/>
          </w:tcPr>
          <w:p w14:paraId="744C15F5" w14:textId="77777777" w:rsidR="008940B3" w:rsidRPr="003B5C8D" w:rsidRDefault="008940B3" w:rsidP="00E858EF">
            <w:pPr>
              <w:suppressAutoHyphens/>
              <w:jc w:val="center"/>
              <w:rPr>
                <w:sz w:val="16"/>
                <w:szCs w:val="16"/>
              </w:rPr>
            </w:pPr>
          </w:p>
        </w:tc>
        <w:tc>
          <w:tcPr>
            <w:tcW w:w="1120" w:type="dxa"/>
            <w:gridSpan w:val="2"/>
          </w:tcPr>
          <w:p w14:paraId="25F35E5A" w14:textId="77777777" w:rsidR="008940B3" w:rsidRPr="003B5C8D" w:rsidRDefault="008940B3" w:rsidP="00E858EF">
            <w:pPr>
              <w:suppressAutoHyphens/>
              <w:jc w:val="center"/>
              <w:rPr>
                <w:sz w:val="16"/>
                <w:szCs w:val="16"/>
              </w:rPr>
            </w:pPr>
          </w:p>
        </w:tc>
        <w:tc>
          <w:tcPr>
            <w:tcW w:w="1004" w:type="dxa"/>
            <w:gridSpan w:val="2"/>
          </w:tcPr>
          <w:p w14:paraId="04777066" w14:textId="77777777" w:rsidR="008940B3" w:rsidRPr="003B5C8D" w:rsidRDefault="008940B3" w:rsidP="00E858EF">
            <w:pPr>
              <w:suppressAutoHyphens/>
              <w:jc w:val="center"/>
              <w:rPr>
                <w:sz w:val="16"/>
                <w:szCs w:val="16"/>
              </w:rPr>
            </w:pPr>
          </w:p>
        </w:tc>
        <w:tc>
          <w:tcPr>
            <w:tcW w:w="1236" w:type="dxa"/>
            <w:gridSpan w:val="3"/>
          </w:tcPr>
          <w:p w14:paraId="751FBA64" w14:textId="77777777" w:rsidR="008940B3" w:rsidRPr="003B5C8D" w:rsidRDefault="008940B3" w:rsidP="00E858EF">
            <w:pPr>
              <w:suppressAutoHyphens/>
              <w:jc w:val="center"/>
              <w:rPr>
                <w:sz w:val="16"/>
                <w:szCs w:val="16"/>
              </w:rPr>
            </w:pPr>
          </w:p>
        </w:tc>
      </w:tr>
      <w:tr w:rsidR="008940B3" w:rsidRPr="003B5C8D" w14:paraId="0C9E5E8E" w14:textId="77777777" w:rsidTr="008940B3">
        <w:trPr>
          <w:trHeight w:val="264"/>
        </w:trPr>
        <w:tc>
          <w:tcPr>
            <w:tcW w:w="1453" w:type="dxa"/>
            <w:vAlign w:val="bottom"/>
          </w:tcPr>
          <w:p w14:paraId="406DF181" w14:textId="77777777" w:rsidR="008940B3" w:rsidRPr="003B5C8D" w:rsidRDefault="008940B3" w:rsidP="00E858EF">
            <w:pPr>
              <w:suppressAutoHyphens/>
              <w:rPr>
                <w:rFonts w:eastAsia="Times New Roman"/>
                <w:sz w:val="16"/>
                <w:szCs w:val="16"/>
              </w:rPr>
            </w:pPr>
            <w:r w:rsidRPr="003B5C8D">
              <w:rPr>
                <w:rFonts w:eastAsia="Times New Roman"/>
                <w:sz w:val="16"/>
                <w:szCs w:val="16"/>
              </w:rPr>
              <w:t>PENTAMODI</w:t>
            </w:r>
          </w:p>
        </w:tc>
        <w:tc>
          <w:tcPr>
            <w:tcW w:w="1237" w:type="dxa"/>
            <w:gridSpan w:val="2"/>
            <w:vAlign w:val="bottom"/>
          </w:tcPr>
          <w:p w14:paraId="54D6AFA3" w14:textId="77777777" w:rsidR="008940B3" w:rsidRPr="003B5C8D" w:rsidRDefault="008940B3" w:rsidP="00E858EF">
            <w:pPr>
              <w:suppressAutoHyphens/>
              <w:jc w:val="center"/>
              <w:rPr>
                <w:sz w:val="16"/>
                <w:szCs w:val="16"/>
              </w:rPr>
            </w:pPr>
          </w:p>
        </w:tc>
        <w:tc>
          <w:tcPr>
            <w:tcW w:w="1120" w:type="dxa"/>
            <w:gridSpan w:val="2"/>
          </w:tcPr>
          <w:p w14:paraId="4B1CEEE2" w14:textId="77777777" w:rsidR="008940B3" w:rsidRPr="003B5C8D" w:rsidRDefault="008940B3" w:rsidP="00E858EF">
            <w:pPr>
              <w:suppressAutoHyphens/>
              <w:jc w:val="center"/>
              <w:rPr>
                <w:sz w:val="16"/>
                <w:szCs w:val="16"/>
              </w:rPr>
            </w:pPr>
          </w:p>
        </w:tc>
        <w:tc>
          <w:tcPr>
            <w:tcW w:w="1120" w:type="dxa"/>
            <w:gridSpan w:val="2"/>
          </w:tcPr>
          <w:p w14:paraId="300538CE" w14:textId="77777777" w:rsidR="008940B3" w:rsidRPr="003B5C8D" w:rsidRDefault="008940B3" w:rsidP="00E858EF">
            <w:pPr>
              <w:suppressAutoHyphens/>
              <w:jc w:val="center"/>
              <w:rPr>
                <w:sz w:val="16"/>
                <w:szCs w:val="16"/>
              </w:rPr>
            </w:pPr>
          </w:p>
        </w:tc>
        <w:tc>
          <w:tcPr>
            <w:tcW w:w="1120" w:type="dxa"/>
            <w:gridSpan w:val="2"/>
          </w:tcPr>
          <w:p w14:paraId="53611578" w14:textId="77777777" w:rsidR="008940B3" w:rsidRPr="003B5C8D" w:rsidRDefault="008940B3" w:rsidP="00E858EF">
            <w:pPr>
              <w:suppressAutoHyphens/>
              <w:jc w:val="center"/>
              <w:rPr>
                <w:sz w:val="16"/>
                <w:szCs w:val="16"/>
              </w:rPr>
            </w:pPr>
          </w:p>
        </w:tc>
        <w:tc>
          <w:tcPr>
            <w:tcW w:w="1004" w:type="dxa"/>
            <w:gridSpan w:val="2"/>
          </w:tcPr>
          <w:p w14:paraId="4E81863E" w14:textId="77777777" w:rsidR="008940B3" w:rsidRPr="003B5C8D" w:rsidRDefault="008940B3" w:rsidP="00E858EF">
            <w:pPr>
              <w:suppressAutoHyphens/>
              <w:jc w:val="center"/>
              <w:rPr>
                <w:sz w:val="16"/>
                <w:szCs w:val="16"/>
              </w:rPr>
            </w:pPr>
          </w:p>
        </w:tc>
        <w:tc>
          <w:tcPr>
            <w:tcW w:w="676" w:type="dxa"/>
            <w:gridSpan w:val="2"/>
          </w:tcPr>
          <w:p w14:paraId="5A07D6B5" w14:textId="77777777" w:rsidR="008940B3" w:rsidRPr="003B5C8D" w:rsidRDefault="008940B3" w:rsidP="00E858EF">
            <w:pPr>
              <w:suppressAutoHyphens/>
              <w:jc w:val="center"/>
              <w:rPr>
                <w:sz w:val="16"/>
                <w:szCs w:val="16"/>
              </w:rPr>
            </w:pPr>
            <w:r w:rsidRPr="003B5C8D">
              <w:rPr>
                <w:sz w:val="16"/>
                <w:szCs w:val="16"/>
              </w:rPr>
              <w:t>1</w:t>
            </w:r>
          </w:p>
        </w:tc>
        <w:tc>
          <w:tcPr>
            <w:tcW w:w="560" w:type="dxa"/>
          </w:tcPr>
          <w:p w14:paraId="79C4C3F4" w14:textId="77777777" w:rsidR="008940B3" w:rsidRPr="003B5C8D" w:rsidRDefault="008940B3" w:rsidP="00E858EF">
            <w:pPr>
              <w:suppressAutoHyphens/>
              <w:jc w:val="center"/>
              <w:rPr>
                <w:sz w:val="16"/>
                <w:szCs w:val="16"/>
              </w:rPr>
            </w:pPr>
            <w:r w:rsidRPr="003B5C8D">
              <w:rPr>
                <w:sz w:val="16"/>
                <w:szCs w:val="16"/>
              </w:rPr>
              <w:t>100%</w:t>
            </w:r>
          </w:p>
        </w:tc>
      </w:tr>
      <w:tr w:rsidR="008940B3" w:rsidRPr="003B5C8D" w14:paraId="18823A2C" w14:textId="77777777" w:rsidTr="008940B3">
        <w:trPr>
          <w:trHeight w:val="264"/>
        </w:trPr>
        <w:tc>
          <w:tcPr>
            <w:tcW w:w="1453" w:type="dxa"/>
            <w:vAlign w:val="bottom"/>
          </w:tcPr>
          <w:p w14:paraId="329E2B41" w14:textId="77777777" w:rsidR="008940B3" w:rsidRPr="003B5C8D" w:rsidRDefault="008940B3" w:rsidP="00E858EF">
            <w:pPr>
              <w:suppressAutoHyphens/>
              <w:rPr>
                <w:rFonts w:eastAsia="Times New Roman"/>
                <w:sz w:val="16"/>
                <w:szCs w:val="16"/>
              </w:rPr>
            </w:pPr>
            <w:r w:rsidRPr="003B5C8D">
              <w:rPr>
                <w:rFonts w:eastAsia="Times New Roman"/>
                <w:sz w:val="16"/>
                <w:szCs w:val="16"/>
              </w:rPr>
              <w:t>PHOINIKIA</w:t>
            </w:r>
          </w:p>
        </w:tc>
        <w:tc>
          <w:tcPr>
            <w:tcW w:w="618" w:type="dxa"/>
            <w:vAlign w:val="bottom"/>
          </w:tcPr>
          <w:p w14:paraId="78EE22E5" w14:textId="77777777" w:rsidR="008940B3" w:rsidRPr="003B5C8D" w:rsidRDefault="008940B3" w:rsidP="00E858EF">
            <w:pPr>
              <w:suppressAutoHyphens/>
              <w:jc w:val="center"/>
              <w:rPr>
                <w:sz w:val="16"/>
                <w:szCs w:val="16"/>
              </w:rPr>
            </w:pPr>
            <w:r w:rsidRPr="003B5C8D">
              <w:rPr>
                <w:rFonts w:eastAsia="Times New Roman"/>
                <w:color w:val="000000"/>
                <w:sz w:val="16"/>
                <w:szCs w:val="16"/>
              </w:rPr>
              <w:t>1</w:t>
            </w:r>
          </w:p>
        </w:tc>
        <w:tc>
          <w:tcPr>
            <w:tcW w:w="619" w:type="dxa"/>
            <w:vAlign w:val="bottom"/>
          </w:tcPr>
          <w:p w14:paraId="62BD9391" w14:textId="77777777" w:rsidR="008940B3" w:rsidRPr="003B5C8D" w:rsidRDefault="008940B3" w:rsidP="00E858EF">
            <w:pPr>
              <w:suppressAutoHyphens/>
              <w:jc w:val="center"/>
              <w:rPr>
                <w:sz w:val="16"/>
                <w:szCs w:val="16"/>
              </w:rPr>
            </w:pPr>
            <w:r w:rsidRPr="003B5C8D">
              <w:rPr>
                <w:sz w:val="16"/>
                <w:szCs w:val="16"/>
              </w:rPr>
              <w:t>50%</w:t>
            </w:r>
          </w:p>
        </w:tc>
        <w:tc>
          <w:tcPr>
            <w:tcW w:w="1120" w:type="dxa"/>
            <w:gridSpan w:val="2"/>
          </w:tcPr>
          <w:p w14:paraId="1DD2FC91" w14:textId="77777777" w:rsidR="008940B3" w:rsidRPr="003B5C8D" w:rsidRDefault="008940B3" w:rsidP="00E858EF">
            <w:pPr>
              <w:suppressAutoHyphens/>
              <w:jc w:val="center"/>
              <w:rPr>
                <w:sz w:val="16"/>
                <w:szCs w:val="16"/>
              </w:rPr>
            </w:pPr>
          </w:p>
        </w:tc>
        <w:tc>
          <w:tcPr>
            <w:tcW w:w="1120" w:type="dxa"/>
            <w:gridSpan w:val="2"/>
          </w:tcPr>
          <w:p w14:paraId="423006D1" w14:textId="77777777" w:rsidR="008940B3" w:rsidRPr="003B5C8D" w:rsidRDefault="008940B3" w:rsidP="00E858EF">
            <w:pPr>
              <w:suppressAutoHyphens/>
              <w:jc w:val="center"/>
              <w:rPr>
                <w:sz w:val="16"/>
                <w:szCs w:val="16"/>
              </w:rPr>
            </w:pPr>
          </w:p>
        </w:tc>
        <w:tc>
          <w:tcPr>
            <w:tcW w:w="1120" w:type="dxa"/>
            <w:gridSpan w:val="2"/>
          </w:tcPr>
          <w:p w14:paraId="478245FC" w14:textId="77777777" w:rsidR="008940B3" w:rsidRPr="003B5C8D" w:rsidRDefault="008940B3" w:rsidP="00E858EF">
            <w:pPr>
              <w:suppressAutoHyphens/>
              <w:jc w:val="center"/>
              <w:rPr>
                <w:sz w:val="16"/>
                <w:szCs w:val="16"/>
              </w:rPr>
            </w:pPr>
          </w:p>
        </w:tc>
        <w:tc>
          <w:tcPr>
            <w:tcW w:w="1004" w:type="dxa"/>
            <w:gridSpan w:val="2"/>
          </w:tcPr>
          <w:p w14:paraId="6BC3A804" w14:textId="77777777" w:rsidR="008940B3" w:rsidRPr="003B5C8D" w:rsidRDefault="008940B3" w:rsidP="00E858EF">
            <w:pPr>
              <w:suppressAutoHyphens/>
              <w:jc w:val="center"/>
              <w:rPr>
                <w:sz w:val="16"/>
                <w:szCs w:val="16"/>
              </w:rPr>
            </w:pPr>
          </w:p>
        </w:tc>
        <w:tc>
          <w:tcPr>
            <w:tcW w:w="676" w:type="dxa"/>
            <w:gridSpan w:val="2"/>
          </w:tcPr>
          <w:p w14:paraId="4C1188A1" w14:textId="77777777" w:rsidR="008940B3" w:rsidRPr="003B5C8D" w:rsidRDefault="008940B3" w:rsidP="00E858EF">
            <w:pPr>
              <w:suppressAutoHyphens/>
              <w:jc w:val="center"/>
              <w:rPr>
                <w:sz w:val="16"/>
                <w:szCs w:val="16"/>
              </w:rPr>
            </w:pPr>
            <w:r w:rsidRPr="003B5C8D">
              <w:rPr>
                <w:sz w:val="16"/>
                <w:szCs w:val="16"/>
              </w:rPr>
              <w:t>1</w:t>
            </w:r>
          </w:p>
        </w:tc>
        <w:tc>
          <w:tcPr>
            <w:tcW w:w="560" w:type="dxa"/>
          </w:tcPr>
          <w:p w14:paraId="57B366F9" w14:textId="77777777" w:rsidR="008940B3" w:rsidRPr="003B5C8D" w:rsidRDefault="008940B3" w:rsidP="00E858EF">
            <w:pPr>
              <w:suppressAutoHyphens/>
              <w:jc w:val="center"/>
              <w:rPr>
                <w:sz w:val="16"/>
                <w:szCs w:val="16"/>
              </w:rPr>
            </w:pPr>
            <w:r w:rsidRPr="003B5C8D">
              <w:rPr>
                <w:sz w:val="16"/>
                <w:szCs w:val="16"/>
              </w:rPr>
              <w:t>50%</w:t>
            </w:r>
          </w:p>
        </w:tc>
      </w:tr>
      <w:tr w:rsidR="008940B3" w:rsidRPr="003B5C8D" w14:paraId="50422C94" w14:textId="77777777" w:rsidTr="008940B3">
        <w:trPr>
          <w:trHeight w:val="264"/>
        </w:trPr>
        <w:tc>
          <w:tcPr>
            <w:tcW w:w="1453" w:type="dxa"/>
            <w:vAlign w:val="bottom"/>
          </w:tcPr>
          <w:p w14:paraId="56FE6A0C" w14:textId="77777777" w:rsidR="008940B3" w:rsidRPr="003B5C8D" w:rsidRDefault="008940B3" w:rsidP="00E858EF">
            <w:pPr>
              <w:suppressAutoHyphens/>
              <w:rPr>
                <w:rFonts w:eastAsia="Times New Roman"/>
                <w:sz w:val="16"/>
                <w:szCs w:val="16"/>
              </w:rPr>
            </w:pPr>
            <w:r w:rsidRPr="003B5C8D">
              <w:rPr>
                <w:rFonts w:eastAsia="Times New Roman"/>
                <w:sz w:val="16"/>
                <w:szCs w:val="16"/>
              </w:rPr>
              <w:t>PREVELIANA</w:t>
            </w:r>
          </w:p>
        </w:tc>
        <w:tc>
          <w:tcPr>
            <w:tcW w:w="618" w:type="dxa"/>
            <w:vAlign w:val="bottom"/>
          </w:tcPr>
          <w:p w14:paraId="793733CF" w14:textId="77777777" w:rsidR="008940B3" w:rsidRPr="003B5C8D" w:rsidRDefault="008940B3" w:rsidP="00E858EF">
            <w:pPr>
              <w:suppressAutoHyphens/>
              <w:jc w:val="center"/>
              <w:rPr>
                <w:sz w:val="16"/>
                <w:szCs w:val="16"/>
              </w:rPr>
            </w:pPr>
            <w:r w:rsidRPr="003B5C8D">
              <w:rPr>
                <w:rFonts w:eastAsia="Times New Roman"/>
                <w:color w:val="000000"/>
                <w:sz w:val="16"/>
                <w:szCs w:val="16"/>
              </w:rPr>
              <w:t>1</w:t>
            </w:r>
          </w:p>
        </w:tc>
        <w:tc>
          <w:tcPr>
            <w:tcW w:w="619" w:type="dxa"/>
            <w:vAlign w:val="bottom"/>
          </w:tcPr>
          <w:p w14:paraId="55CB8A27"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7C7FE10B" w14:textId="77777777" w:rsidR="008940B3" w:rsidRPr="003B5C8D" w:rsidRDefault="008940B3" w:rsidP="00E858EF">
            <w:pPr>
              <w:suppressAutoHyphens/>
              <w:jc w:val="center"/>
              <w:rPr>
                <w:sz w:val="16"/>
                <w:szCs w:val="16"/>
              </w:rPr>
            </w:pPr>
          </w:p>
        </w:tc>
        <w:tc>
          <w:tcPr>
            <w:tcW w:w="1120" w:type="dxa"/>
            <w:gridSpan w:val="2"/>
          </w:tcPr>
          <w:p w14:paraId="50E94BE5" w14:textId="77777777" w:rsidR="008940B3" w:rsidRPr="003B5C8D" w:rsidRDefault="008940B3" w:rsidP="00E858EF">
            <w:pPr>
              <w:suppressAutoHyphens/>
              <w:jc w:val="center"/>
              <w:rPr>
                <w:sz w:val="16"/>
                <w:szCs w:val="16"/>
              </w:rPr>
            </w:pPr>
          </w:p>
        </w:tc>
        <w:tc>
          <w:tcPr>
            <w:tcW w:w="1120" w:type="dxa"/>
            <w:gridSpan w:val="2"/>
          </w:tcPr>
          <w:p w14:paraId="2111756C" w14:textId="77777777" w:rsidR="008940B3" w:rsidRPr="003B5C8D" w:rsidRDefault="008940B3" w:rsidP="00E858EF">
            <w:pPr>
              <w:suppressAutoHyphens/>
              <w:jc w:val="center"/>
              <w:rPr>
                <w:sz w:val="16"/>
                <w:szCs w:val="16"/>
              </w:rPr>
            </w:pPr>
          </w:p>
        </w:tc>
        <w:tc>
          <w:tcPr>
            <w:tcW w:w="1004" w:type="dxa"/>
            <w:gridSpan w:val="2"/>
          </w:tcPr>
          <w:p w14:paraId="35D272EC" w14:textId="77777777" w:rsidR="008940B3" w:rsidRPr="003B5C8D" w:rsidRDefault="008940B3" w:rsidP="00E858EF">
            <w:pPr>
              <w:suppressAutoHyphens/>
              <w:jc w:val="center"/>
              <w:rPr>
                <w:sz w:val="16"/>
                <w:szCs w:val="16"/>
              </w:rPr>
            </w:pPr>
          </w:p>
        </w:tc>
        <w:tc>
          <w:tcPr>
            <w:tcW w:w="1236" w:type="dxa"/>
            <w:gridSpan w:val="3"/>
          </w:tcPr>
          <w:p w14:paraId="658F9489" w14:textId="77777777" w:rsidR="008940B3" w:rsidRPr="003B5C8D" w:rsidRDefault="008940B3" w:rsidP="00E858EF">
            <w:pPr>
              <w:suppressAutoHyphens/>
              <w:jc w:val="center"/>
              <w:rPr>
                <w:sz w:val="16"/>
                <w:szCs w:val="16"/>
              </w:rPr>
            </w:pPr>
          </w:p>
        </w:tc>
      </w:tr>
      <w:tr w:rsidR="008940B3" w:rsidRPr="003B5C8D" w14:paraId="3A4C9A10" w14:textId="77777777" w:rsidTr="008940B3">
        <w:trPr>
          <w:trHeight w:val="264"/>
        </w:trPr>
        <w:tc>
          <w:tcPr>
            <w:tcW w:w="1453" w:type="dxa"/>
            <w:vAlign w:val="bottom"/>
          </w:tcPr>
          <w:p w14:paraId="15B4F752" w14:textId="77777777" w:rsidR="008940B3" w:rsidRPr="003B5C8D" w:rsidRDefault="008940B3" w:rsidP="00E858EF">
            <w:pPr>
              <w:suppressAutoHyphens/>
              <w:rPr>
                <w:rFonts w:eastAsia="Times New Roman"/>
                <w:sz w:val="16"/>
                <w:szCs w:val="16"/>
              </w:rPr>
            </w:pPr>
            <w:r w:rsidRPr="003B5C8D">
              <w:rPr>
                <w:rFonts w:eastAsia="Times New Roman"/>
                <w:sz w:val="16"/>
                <w:szCs w:val="16"/>
              </w:rPr>
              <w:t>SIVA</w:t>
            </w:r>
          </w:p>
        </w:tc>
        <w:tc>
          <w:tcPr>
            <w:tcW w:w="618" w:type="dxa"/>
            <w:vAlign w:val="bottom"/>
          </w:tcPr>
          <w:p w14:paraId="5A80B830" w14:textId="77777777" w:rsidR="008940B3" w:rsidRPr="003B5C8D" w:rsidRDefault="008940B3" w:rsidP="00E858EF">
            <w:pPr>
              <w:suppressAutoHyphens/>
              <w:jc w:val="center"/>
              <w:rPr>
                <w:rFonts w:eastAsia="Times New Roman"/>
                <w:color w:val="000000"/>
                <w:sz w:val="16"/>
                <w:szCs w:val="16"/>
              </w:rPr>
            </w:pPr>
            <w:r w:rsidRPr="003B5C8D">
              <w:rPr>
                <w:rFonts w:eastAsia="Times New Roman"/>
                <w:color w:val="000000"/>
                <w:sz w:val="16"/>
                <w:szCs w:val="16"/>
              </w:rPr>
              <w:t>1</w:t>
            </w:r>
          </w:p>
        </w:tc>
        <w:tc>
          <w:tcPr>
            <w:tcW w:w="619" w:type="dxa"/>
            <w:vAlign w:val="bottom"/>
          </w:tcPr>
          <w:p w14:paraId="1726FA82" w14:textId="77777777" w:rsidR="008940B3" w:rsidRPr="003B5C8D" w:rsidRDefault="008940B3" w:rsidP="00E858EF">
            <w:pPr>
              <w:suppressAutoHyphens/>
              <w:jc w:val="center"/>
              <w:rPr>
                <w:rFonts w:eastAsia="Times New Roman"/>
                <w:color w:val="000000"/>
                <w:sz w:val="16"/>
                <w:szCs w:val="16"/>
              </w:rPr>
            </w:pPr>
            <w:r w:rsidRPr="003B5C8D">
              <w:rPr>
                <w:sz w:val="16"/>
                <w:szCs w:val="16"/>
              </w:rPr>
              <w:t>100%</w:t>
            </w:r>
          </w:p>
        </w:tc>
        <w:tc>
          <w:tcPr>
            <w:tcW w:w="1120" w:type="dxa"/>
            <w:gridSpan w:val="2"/>
          </w:tcPr>
          <w:p w14:paraId="4D650460" w14:textId="77777777" w:rsidR="008940B3" w:rsidRPr="003B5C8D" w:rsidRDefault="008940B3" w:rsidP="00E858EF">
            <w:pPr>
              <w:suppressAutoHyphens/>
              <w:jc w:val="center"/>
              <w:rPr>
                <w:sz w:val="16"/>
                <w:szCs w:val="16"/>
              </w:rPr>
            </w:pPr>
          </w:p>
        </w:tc>
        <w:tc>
          <w:tcPr>
            <w:tcW w:w="1120" w:type="dxa"/>
            <w:gridSpan w:val="2"/>
          </w:tcPr>
          <w:p w14:paraId="3765A4BA" w14:textId="77777777" w:rsidR="008940B3" w:rsidRPr="003B5C8D" w:rsidRDefault="008940B3" w:rsidP="00E858EF">
            <w:pPr>
              <w:suppressAutoHyphens/>
              <w:jc w:val="center"/>
              <w:rPr>
                <w:sz w:val="16"/>
                <w:szCs w:val="16"/>
              </w:rPr>
            </w:pPr>
          </w:p>
        </w:tc>
        <w:tc>
          <w:tcPr>
            <w:tcW w:w="1120" w:type="dxa"/>
            <w:gridSpan w:val="2"/>
          </w:tcPr>
          <w:p w14:paraId="516D42D8" w14:textId="77777777" w:rsidR="008940B3" w:rsidRPr="003B5C8D" w:rsidRDefault="008940B3" w:rsidP="00E858EF">
            <w:pPr>
              <w:suppressAutoHyphens/>
              <w:jc w:val="center"/>
              <w:rPr>
                <w:sz w:val="16"/>
                <w:szCs w:val="16"/>
              </w:rPr>
            </w:pPr>
          </w:p>
        </w:tc>
        <w:tc>
          <w:tcPr>
            <w:tcW w:w="1004" w:type="dxa"/>
            <w:gridSpan w:val="2"/>
          </w:tcPr>
          <w:p w14:paraId="67AA390D" w14:textId="77777777" w:rsidR="008940B3" w:rsidRPr="003B5C8D" w:rsidRDefault="008940B3" w:rsidP="00E858EF">
            <w:pPr>
              <w:suppressAutoHyphens/>
              <w:jc w:val="center"/>
              <w:rPr>
                <w:sz w:val="16"/>
                <w:szCs w:val="16"/>
              </w:rPr>
            </w:pPr>
          </w:p>
        </w:tc>
        <w:tc>
          <w:tcPr>
            <w:tcW w:w="1236" w:type="dxa"/>
            <w:gridSpan w:val="3"/>
          </w:tcPr>
          <w:p w14:paraId="085B86BC" w14:textId="77777777" w:rsidR="008940B3" w:rsidRPr="003B5C8D" w:rsidRDefault="008940B3" w:rsidP="00E858EF">
            <w:pPr>
              <w:suppressAutoHyphens/>
              <w:jc w:val="center"/>
              <w:rPr>
                <w:sz w:val="16"/>
                <w:szCs w:val="16"/>
              </w:rPr>
            </w:pPr>
          </w:p>
        </w:tc>
      </w:tr>
      <w:tr w:rsidR="008940B3" w:rsidRPr="003B5C8D" w14:paraId="1B16BCCE" w14:textId="77777777" w:rsidTr="008940B3">
        <w:trPr>
          <w:trHeight w:val="264"/>
        </w:trPr>
        <w:tc>
          <w:tcPr>
            <w:tcW w:w="1453" w:type="dxa"/>
            <w:vAlign w:val="bottom"/>
          </w:tcPr>
          <w:p w14:paraId="27BF2165" w14:textId="77777777" w:rsidR="008940B3" w:rsidRPr="003B5C8D" w:rsidRDefault="008940B3" w:rsidP="00E858EF">
            <w:pPr>
              <w:suppressAutoHyphens/>
              <w:rPr>
                <w:rFonts w:eastAsia="Times New Roman"/>
                <w:sz w:val="16"/>
                <w:szCs w:val="16"/>
              </w:rPr>
            </w:pPr>
            <w:r w:rsidRPr="003B5C8D">
              <w:rPr>
                <w:rFonts w:eastAsia="Times New Roman"/>
                <w:sz w:val="16"/>
                <w:szCs w:val="16"/>
              </w:rPr>
              <w:t>SKOTEINO</w:t>
            </w:r>
          </w:p>
        </w:tc>
        <w:tc>
          <w:tcPr>
            <w:tcW w:w="1237" w:type="dxa"/>
            <w:gridSpan w:val="2"/>
            <w:vAlign w:val="bottom"/>
          </w:tcPr>
          <w:p w14:paraId="6A70E167" w14:textId="77777777" w:rsidR="008940B3" w:rsidRPr="003B5C8D" w:rsidRDefault="008940B3" w:rsidP="00E858EF">
            <w:pPr>
              <w:suppressAutoHyphens/>
              <w:jc w:val="center"/>
              <w:rPr>
                <w:sz w:val="16"/>
                <w:szCs w:val="16"/>
              </w:rPr>
            </w:pPr>
          </w:p>
        </w:tc>
        <w:tc>
          <w:tcPr>
            <w:tcW w:w="1120" w:type="dxa"/>
            <w:gridSpan w:val="2"/>
          </w:tcPr>
          <w:p w14:paraId="078411BA" w14:textId="77777777" w:rsidR="008940B3" w:rsidRPr="003B5C8D" w:rsidRDefault="008940B3" w:rsidP="00E858EF">
            <w:pPr>
              <w:suppressAutoHyphens/>
              <w:jc w:val="center"/>
              <w:rPr>
                <w:sz w:val="16"/>
                <w:szCs w:val="16"/>
              </w:rPr>
            </w:pPr>
          </w:p>
        </w:tc>
        <w:tc>
          <w:tcPr>
            <w:tcW w:w="1120" w:type="dxa"/>
            <w:gridSpan w:val="2"/>
          </w:tcPr>
          <w:p w14:paraId="70A8AFDC" w14:textId="77777777" w:rsidR="008940B3" w:rsidRPr="003B5C8D" w:rsidRDefault="008940B3" w:rsidP="00E858EF">
            <w:pPr>
              <w:suppressAutoHyphens/>
              <w:jc w:val="center"/>
              <w:rPr>
                <w:sz w:val="16"/>
                <w:szCs w:val="16"/>
              </w:rPr>
            </w:pPr>
          </w:p>
        </w:tc>
        <w:tc>
          <w:tcPr>
            <w:tcW w:w="1120" w:type="dxa"/>
            <w:gridSpan w:val="2"/>
          </w:tcPr>
          <w:p w14:paraId="126F79F8" w14:textId="77777777" w:rsidR="008940B3" w:rsidRPr="003B5C8D" w:rsidRDefault="008940B3" w:rsidP="00E858EF">
            <w:pPr>
              <w:suppressAutoHyphens/>
              <w:jc w:val="center"/>
              <w:rPr>
                <w:sz w:val="16"/>
                <w:szCs w:val="16"/>
              </w:rPr>
            </w:pPr>
          </w:p>
        </w:tc>
        <w:tc>
          <w:tcPr>
            <w:tcW w:w="1004" w:type="dxa"/>
            <w:gridSpan w:val="2"/>
          </w:tcPr>
          <w:p w14:paraId="59A6DA10" w14:textId="77777777" w:rsidR="008940B3" w:rsidRPr="003B5C8D" w:rsidRDefault="008940B3" w:rsidP="00E858EF">
            <w:pPr>
              <w:suppressAutoHyphens/>
              <w:jc w:val="center"/>
              <w:rPr>
                <w:sz w:val="16"/>
                <w:szCs w:val="16"/>
              </w:rPr>
            </w:pPr>
          </w:p>
        </w:tc>
        <w:tc>
          <w:tcPr>
            <w:tcW w:w="676" w:type="dxa"/>
            <w:gridSpan w:val="2"/>
          </w:tcPr>
          <w:p w14:paraId="71086FC7" w14:textId="77777777" w:rsidR="008940B3" w:rsidRPr="003B5C8D" w:rsidRDefault="008940B3" w:rsidP="00E858EF">
            <w:pPr>
              <w:suppressAutoHyphens/>
              <w:jc w:val="center"/>
              <w:rPr>
                <w:sz w:val="16"/>
                <w:szCs w:val="16"/>
              </w:rPr>
            </w:pPr>
            <w:r w:rsidRPr="003B5C8D">
              <w:rPr>
                <w:sz w:val="16"/>
                <w:szCs w:val="16"/>
              </w:rPr>
              <w:t>1</w:t>
            </w:r>
          </w:p>
        </w:tc>
        <w:tc>
          <w:tcPr>
            <w:tcW w:w="560" w:type="dxa"/>
          </w:tcPr>
          <w:p w14:paraId="6BB50892" w14:textId="77777777" w:rsidR="008940B3" w:rsidRPr="003B5C8D" w:rsidRDefault="008940B3" w:rsidP="00E858EF">
            <w:pPr>
              <w:suppressAutoHyphens/>
              <w:jc w:val="center"/>
              <w:rPr>
                <w:sz w:val="16"/>
                <w:szCs w:val="16"/>
              </w:rPr>
            </w:pPr>
            <w:r w:rsidRPr="003B5C8D">
              <w:rPr>
                <w:sz w:val="16"/>
                <w:szCs w:val="16"/>
              </w:rPr>
              <w:t>100%</w:t>
            </w:r>
          </w:p>
        </w:tc>
      </w:tr>
      <w:tr w:rsidR="008940B3" w:rsidRPr="003B5C8D" w14:paraId="21678477" w14:textId="77777777" w:rsidTr="008940B3">
        <w:trPr>
          <w:trHeight w:val="264"/>
        </w:trPr>
        <w:tc>
          <w:tcPr>
            <w:tcW w:w="1453" w:type="dxa"/>
            <w:vAlign w:val="bottom"/>
          </w:tcPr>
          <w:p w14:paraId="5255F6BD" w14:textId="77777777" w:rsidR="008940B3" w:rsidRPr="003B5C8D" w:rsidRDefault="008940B3" w:rsidP="00E858EF">
            <w:pPr>
              <w:suppressAutoHyphens/>
              <w:rPr>
                <w:rFonts w:eastAsia="Times New Roman"/>
                <w:sz w:val="16"/>
                <w:szCs w:val="16"/>
              </w:rPr>
            </w:pPr>
            <w:r w:rsidRPr="003B5C8D">
              <w:rPr>
                <w:rFonts w:eastAsia="Times New Roman"/>
                <w:sz w:val="16"/>
                <w:szCs w:val="16"/>
              </w:rPr>
              <w:t>SMARI</w:t>
            </w:r>
          </w:p>
        </w:tc>
        <w:tc>
          <w:tcPr>
            <w:tcW w:w="1237" w:type="dxa"/>
            <w:gridSpan w:val="2"/>
            <w:vAlign w:val="bottom"/>
          </w:tcPr>
          <w:p w14:paraId="46E78A93" w14:textId="77777777" w:rsidR="008940B3" w:rsidRPr="003B5C8D" w:rsidRDefault="008940B3" w:rsidP="00E858EF">
            <w:pPr>
              <w:suppressAutoHyphens/>
              <w:jc w:val="center"/>
              <w:rPr>
                <w:sz w:val="16"/>
                <w:szCs w:val="16"/>
              </w:rPr>
            </w:pPr>
          </w:p>
        </w:tc>
        <w:tc>
          <w:tcPr>
            <w:tcW w:w="560" w:type="dxa"/>
          </w:tcPr>
          <w:p w14:paraId="3BBC020B" w14:textId="77777777" w:rsidR="008940B3" w:rsidRPr="003B5C8D" w:rsidRDefault="008940B3" w:rsidP="00E858EF">
            <w:pPr>
              <w:suppressAutoHyphens/>
              <w:jc w:val="center"/>
              <w:rPr>
                <w:sz w:val="16"/>
                <w:szCs w:val="16"/>
              </w:rPr>
            </w:pPr>
            <w:r w:rsidRPr="003B5C8D">
              <w:rPr>
                <w:sz w:val="16"/>
                <w:szCs w:val="16"/>
              </w:rPr>
              <w:t>1</w:t>
            </w:r>
          </w:p>
        </w:tc>
        <w:tc>
          <w:tcPr>
            <w:tcW w:w="560" w:type="dxa"/>
          </w:tcPr>
          <w:p w14:paraId="36A73544" w14:textId="77777777" w:rsidR="008940B3" w:rsidRPr="003B5C8D" w:rsidRDefault="008940B3" w:rsidP="00E858EF">
            <w:pPr>
              <w:suppressAutoHyphens/>
              <w:jc w:val="center"/>
              <w:rPr>
                <w:sz w:val="16"/>
                <w:szCs w:val="16"/>
              </w:rPr>
            </w:pPr>
            <w:r w:rsidRPr="003B5C8D">
              <w:rPr>
                <w:sz w:val="16"/>
                <w:szCs w:val="16"/>
              </w:rPr>
              <w:t>50%</w:t>
            </w:r>
          </w:p>
        </w:tc>
        <w:tc>
          <w:tcPr>
            <w:tcW w:w="1120" w:type="dxa"/>
            <w:gridSpan w:val="2"/>
          </w:tcPr>
          <w:p w14:paraId="47B3404E" w14:textId="77777777" w:rsidR="008940B3" w:rsidRPr="003B5C8D" w:rsidRDefault="008940B3" w:rsidP="00E858EF">
            <w:pPr>
              <w:suppressAutoHyphens/>
              <w:jc w:val="center"/>
              <w:rPr>
                <w:sz w:val="16"/>
                <w:szCs w:val="16"/>
              </w:rPr>
            </w:pPr>
          </w:p>
        </w:tc>
        <w:tc>
          <w:tcPr>
            <w:tcW w:w="1120" w:type="dxa"/>
            <w:gridSpan w:val="2"/>
          </w:tcPr>
          <w:p w14:paraId="42B6B891" w14:textId="77777777" w:rsidR="008940B3" w:rsidRPr="003B5C8D" w:rsidRDefault="008940B3" w:rsidP="00E858EF">
            <w:pPr>
              <w:suppressAutoHyphens/>
              <w:jc w:val="center"/>
              <w:rPr>
                <w:sz w:val="16"/>
                <w:szCs w:val="16"/>
              </w:rPr>
            </w:pPr>
          </w:p>
        </w:tc>
        <w:tc>
          <w:tcPr>
            <w:tcW w:w="1004" w:type="dxa"/>
            <w:gridSpan w:val="2"/>
          </w:tcPr>
          <w:p w14:paraId="76D37068" w14:textId="77777777" w:rsidR="008940B3" w:rsidRPr="003B5C8D" w:rsidRDefault="008940B3" w:rsidP="00E858EF">
            <w:pPr>
              <w:suppressAutoHyphens/>
              <w:jc w:val="center"/>
              <w:rPr>
                <w:sz w:val="16"/>
                <w:szCs w:val="16"/>
              </w:rPr>
            </w:pPr>
          </w:p>
        </w:tc>
        <w:tc>
          <w:tcPr>
            <w:tcW w:w="676" w:type="dxa"/>
            <w:gridSpan w:val="2"/>
          </w:tcPr>
          <w:p w14:paraId="288C4EE7" w14:textId="77777777" w:rsidR="008940B3" w:rsidRPr="003B5C8D" w:rsidRDefault="008940B3" w:rsidP="00E858EF">
            <w:pPr>
              <w:suppressAutoHyphens/>
              <w:jc w:val="center"/>
              <w:rPr>
                <w:sz w:val="16"/>
                <w:szCs w:val="16"/>
              </w:rPr>
            </w:pPr>
            <w:r w:rsidRPr="003B5C8D">
              <w:rPr>
                <w:sz w:val="16"/>
                <w:szCs w:val="16"/>
              </w:rPr>
              <w:t>1</w:t>
            </w:r>
          </w:p>
        </w:tc>
        <w:tc>
          <w:tcPr>
            <w:tcW w:w="560" w:type="dxa"/>
          </w:tcPr>
          <w:p w14:paraId="29BBB6FB" w14:textId="77777777" w:rsidR="008940B3" w:rsidRPr="003B5C8D" w:rsidRDefault="008940B3" w:rsidP="00E858EF">
            <w:pPr>
              <w:suppressAutoHyphens/>
              <w:jc w:val="center"/>
              <w:rPr>
                <w:sz w:val="16"/>
                <w:szCs w:val="16"/>
              </w:rPr>
            </w:pPr>
            <w:r w:rsidRPr="003B5C8D">
              <w:rPr>
                <w:sz w:val="16"/>
                <w:szCs w:val="16"/>
              </w:rPr>
              <w:t>50%</w:t>
            </w:r>
          </w:p>
        </w:tc>
      </w:tr>
      <w:tr w:rsidR="008940B3" w:rsidRPr="003B5C8D" w14:paraId="50D045F1" w14:textId="77777777" w:rsidTr="008940B3">
        <w:trPr>
          <w:trHeight w:val="264"/>
        </w:trPr>
        <w:tc>
          <w:tcPr>
            <w:tcW w:w="1453" w:type="dxa"/>
            <w:vAlign w:val="bottom"/>
          </w:tcPr>
          <w:p w14:paraId="1B51956F" w14:textId="77777777" w:rsidR="008940B3" w:rsidRPr="003B5C8D" w:rsidRDefault="008940B3" w:rsidP="00E858EF">
            <w:pPr>
              <w:suppressAutoHyphens/>
              <w:rPr>
                <w:rFonts w:eastAsia="Times New Roman"/>
                <w:sz w:val="16"/>
                <w:szCs w:val="16"/>
              </w:rPr>
            </w:pPr>
            <w:r w:rsidRPr="003B5C8D">
              <w:rPr>
                <w:rFonts w:eastAsia="Times New Roman"/>
                <w:sz w:val="16"/>
                <w:szCs w:val="16"/>
              </w:rPr>
              <w:t xml:space="preserve">STAMNOI </w:t>
            </w:r>
          </w:p>
        </w:tc>
        <w:tc>
          <w:tcPr>
            <w:tcW w:w="618" w:type="dxa"/>
            <w:vAlign w:val="bottom"/>
          </w:tcPr>
          <w:p w14:paraId="23DE92C0" w14:textId="77777777" w:rsidR="008940B3" w:rsidRPr="003B5C8D" w:rsidRDefault="008940B3" w:rsidP="00E858EF">
            <w:pPr>
              <w:suppressAutoHyphens/>
              <w:jc w:val="center"/>
              <w:rPr>
                <w:sz w:val="16"/>
                <w:szCs w:val="16"/>
              </w:rPr>
            </w:pPr>
            <w:r w:rsidRPr="003B5C8D">
              <w:rPr>
                <w:rFonts w:eastAsia="Times New Roman"/>
                <w:color w:val="000000"/>
                <w:sz w:val="16"/>
                <w:szCs w:val="16"/>
              </w:rPr>
              <w:t>1</w:t>
            </w:r>
          </w:p>
        </w:tc>
        <w:tc>
          <w:tcPr>
            <w:tcW w:w="619" w:type="dxa"/>
            <w:vAlign w:val="bottom"/>
          </w:tcPr>
          <w:p w14:paraId="2CB097E8" w14:textId="77777777" w:rsidR="008940B3" w:rsidRPr="003B5C8D" w:rsidRDefault="008940B3" w:rsidP="00E858EF">
            <w:pPr>
              <w:suppressAutoHyphens/>
              <w:jc w:val="center"/>
              <w:rPr>
                <w:sz w:val="16"/>
                <w:szCs w:val="16"/>
              </w:rPr>
            </w:pPr>
            <w:r w:rsidRPr="003B5C8D">
              <w:rPr>
                <w:sz w:val="16"/>
                <w:szCs w:val="16"/>
              </w:rPr>
              <w:t>50%</w:t>
            </w:r>
          </w:p>
        </w:tc>
        <w:tc>
          <w:tcPr>
            <w:tcW w:w="1120" w:type="dxa"/>
            <w:gridSpan w:val="2"/>
          </w:tcPr>
          <w:p w14:paraId="0DC0760D" w14:textId="77777777" w:rsidR="008940B3" w:rsidRPr="003B5C8D" w:rsidRDefault="008940B3" w:rsidP="00E858EF">
            <w:pPr>
              <w:suppressAutoHyphens/>
              <w:jc w:val="center"/>
              <w:rPr>
                <w:sz w:val="16"/>
                <w:szCs w:val="16"/>
              </w:rPr>
            </w:pPr>
          </w:p>
        </w:tc>
        <w:tc>
          <w:tcPr>
            <w:tcW w:w="1120" w:type="dxa"/>
            <w:gridSpan w:val="2"/>
          </w:tcPr>
          <w:p w14:paraId="2B7D913D" w14:textId="77777777" w:rsidR="008940B3" w:rsidRPr="003B5C8D" w:rsidRDefault="008940B3" w:rsidP="00E858EF">
            <w:pPr>
              <w:suppressAutoHyphens/>
              <w:jc w:val="center"/>
              <w:rPr>
                <w:sz w:val="16"/>
                <w:szCs w:val="16"/>
              </w:rPr>
            </w:pPr>
          </w:p>
        </w:tc>
        <w:tc>
          <w:tcPr>
            <w:tcW w:w="1120" w:type="dxa"/>
            <w:gridSpan w:val="2"/>
          </w:tcPr>
          <w:p w14:paraId="0B3993B3" w14:textId="77777777" w:rsidR="008940B3" w:rsidRPr="003B5C8D" w:rsidRDefault="008940B3" w:rsidP="00E858EF">
            <w:pPr>
              <w:suppressAutoHyphens/>
              <w:jc w:val="center"/>
              <w:rPr>
                <w:sz w:val="16"/>
                <w:szCs w:val="16"/>
              </w:rPr>
            </w:pPr>
          </w:p>
        </w:tc>
        <w:tc>
          <w:tcPr>
            <w:tcW w:w="1004" w:type="dxa"/>
            <w:gridSpan w:val="2"/>
          </w:tcPr>
          <w:p w14:paraId="3AE3F8E5" w14:textId="77777777" w:rsidR="008940B3" w:rsidRPr="003B5C8D" w:rsidRDefault="008940B3" w:rsidP="00E858EF">
            <w:pPr>
              <w:suppressAutoHyphens/>
              <w:jc w:val="center"/>
              <w:rPr>
                <w:sz w:val="16"/>
                <w:szCs w:val="16"/>
              </w:rPr>
            </w:pPr>
          </w:p>
        </w:tc>
        <w:tc>
          <w:tcPr>
            <w:tcW w:w="676" w:type="dxa"/>
            <w:gridSpan w:val="2"/>
          </w:tcPr>
          <w:p w14:paraId="56D02BE0" w14:textId="77777777" w:rsidR="008940B3" w:rsidRPr="003B5C8D" w:rsidRDefault="008940B3" w:rsidP="00E858EF">
            <w:pPr>
              <w:suppressAutoHyphens/>
              <w:jc w:val="center"/>
              <w:rPr>
                <w:sz w:val="16"/>
                <w:szCs w:val="16"/>
              </w:rPr>
            </w:pPr>
            <w:r w:rsidRPr="003B5C8D">
              <w:rPr>
                <w:sz w:val="16"/>
                <w:szCs w:val="16"/>
              </w:rPr>
              <w:t>1</w:t>
            </w:r>
          </w:p>
        </w:tc>
        <w:tc>
          <w:tcPr>
            <w:tcW w:w="560" w:type="dxa"/>
          </w:tcPr>
          <w:p w14:paraId="0B30238B" w14:textId="77777777" w:rsidR="008940B3" w:rsidRPr="003B5C8D" w:rsidRDefault="008940B3" w:rsidP="00E858EF">
            <w:pPr>
              <w:suppressAutoHyphens/>
              <w:jc w:val="center"/>
              <w:rPr>
                <w:sz w:val="16"/>
                <w:szCs w:val="16"/>
              </w:rPr>
            </w:pPr>
            <w:r w:rsidRPr="003B5C8D">
              <w:rPr>
                <w:sz w:val="16"/>
                <w:szCs w:val="16"/>
              </w:rPr>
              <w:t>50%</w:t>
            </w:r>
          </w:p>
        </w:tc>
      </w:tr>
      <w:tr w:rsidR="008940B3" w:rsidRPr="003B5C8D" w14:paraId="6729E144" w14:textId="77777777" w:rsidTr="008940B3">
        <w:trPr>
          <w:trHeight w:val="264"/>
        </w:trPr>
        <w:tc>
          <w:tcPr>
            <w:tcW w:w="1453" w:type="dxa"/>
            <w:vAlign w:val="bottom"/>
          </w:tcPr>
          <w:p w14:paraId="6117FC1A" w14:textId="77777777" w:rsidR="008940B3" w:rsidRPr="003B5C8D" w:rsidRDefault="008940B3" w:rsidP="00E858EF">
            <w:pPr>
              <w:suppressAutoHyphens/>
              <w:rPr>
                <w:rFonts w:eastAsia="Times New Roman"/>
                <w:sz w:val="16"/>
                <w:szCs w:val="16"/>
              </w:rPr>
            </w:pPr>
            <w:r w:rsidRPr="003B5C8D">
              <w:rPr>
                <w:rFonts w:eastAsia="Times New Roman"/>
                <w:sz w:val="16"/>
                <w:szCs w:val="16"/>
              </w:rPr>
              <w:t>STAVRAKIA XYLANGOURI</w:t>
            </w:r>
          </w:p>
        </w:tc>
        <w:tc>
          <w:tcPr>
            <w:tcW w:w="618" w:type="dxa"/>
            <w:vAlign w:val="bottom"/>
          </w:tcPr>
          <w:p w14:paraId="702F4B35" w14:textId="77777777" w:rsidR="008940B3" w:rsidRPr="003B5C8D" w:rsidRDefault="008940B3" w:rsidP="00E858EF">
            <w:pPr>
              <w:suppressAutoHyphens/>
              <w:jc w:val="center"/>
              <w:rPr>
                <w:sz w:val="16"/>
                <w:szCs w:val="16"/>
              </w:rPr>
            </w:pPr>
            <w:r w:rsidRPr="003B5C8D">
              <w:rPr>
                <w:sz w:val="16"/>
                <w:szCs w:val="16"/>
              </w:rPr>
              <w:t>1</w:t>
            </w:r>
          </w:p>
        </w:tc>
        <w:tc>
          <w:tcPr>
            <w:tcW w:w="619" w:type="dxa"/>
            <w:vAlign w:val="bottom"/>
          </w:tcPr>
          <w:p w14:paraId="61652152"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7FBC245F" w14:textId="77777777" w:rsidR="008940B3" w:rsidRPr="003B5C8D" w:rsidRDefault="008940B3" w:rsidP="00E858EF">
            <w:pPr>
              <w:suppressAutoHyphens/>
              <w:jc w:val="center"/>
              <w:rPr>
                <w:sz w:val="16"/>
                <w:szCs w:val="16"/>
              </w:rPr>
            </w:pPr>
          </w:p>
        </w:tc>
        <w:tc>
          <w:tcPr>
            <w:tcW w:w="1120" w:type="dxa"/>
            <w:gridSpan w:val="2"/>
          </w:tcPr>
          <w:p w14:paraId="6FCC4BB1" w14:textId="77777777" w:rsidR="008940B3" w:rsidRPr="003B5C8D" w:rsidRDefault="008940B3" w:rsidP="00E858EF">
            <w:pPr>
              <w:suppressAutoHyphens/>
              <w:jc w:val="center"/>
              <w:rPr>
                <w:sz w:val="16"/>
                <w:szCs w:val="16"/>
              </w:rPr>
            </w:pPr>
          </w:p>
        </w:tc>
        <w:tc>
          <w:tcPr>
            <w:tcW w:w="1120" w:type="dxa"/>
            <w:gridSpan w:val="2"/>
          </w:tcPr>
          <w:p w14:paraId="0B80B6D2" w14:textId="77777777" w:rsidR="008940B3" w:rsidRPr="003B5C8D" w:rsidRDefault="008940B3" w:rsidP="00E858EF">
            <w:pPr>
              <w:suppressAutoHyphens/>
              <w:jc w:val="center"/>
              <w:rPr>
                <w:sz w:val="16"/>
                <w:szCs w:val="16"/>
              </w:rPr>
            </w:pPr>
          </w:p>
        </w:tc>
        <w:tc>
          <w:tcPr>
            <w:tcW w:w="1004" w:type="dxa"/>
            <w:gridSpan w:val="2"/>
          </w:tcPr>
          <w:p w14:paraId="63F250F5" w14:textId="77777777" w:rsidR="008940B3" w:rsidRPr="003B5C8D" w:rsidRDefault="008940B3" w:rsidP="00E858EF">
            <w:pPr>
              <w:suppressAutoHyphens/>
              <w:jc w:val="center"/>
              <w:rPr>
                <w:sz w:val="16"/>
                <w:szCs w:val="16"/>
              </w:rPr>
            </w:pPr>
          </w:p>
        </w:tc>
        <w:tc>
          <w:tcPr>
            <w:tcW w:w="1236" w:type="dxa"/>
            <w:gridSpan w:val="3"/>
          </w:tcPr>
          <w:p w14:paraId="6218A975" w14:textId="77777777" w:rsidR="008940B3" w:rsidRPr="003B5C8D" w:rsidRDefault="008940B3" w:rsidP="00E858EF">
            <w:pPr>
              <w:suppressAutoHyphens/>
              <w:jc w:val="center"/>
              <w:rPr>
                <w:sz w:val="16"/>
                <w:szCs w:val="16"/>
              </w:rPr>
            </w:pPr>
          </w:p>
        </w:tc>
      </w:tr>
      <w:tr w:rsidR="008940B3" w:rsidRPr="003B5C8D" w14:paraId="7DBB4735" w14:textId="77777777" w:rsidTr="008940B3">
        <w:trPr>
          <w:trHeight w:val="264"/>
        </w:trPr>
        <w:tc>
          <w:tcPr>
            <w:tcW w:w="1453" w:type="dxa"/>
            <w:vAlign w:val="bottom"/>
          </w:tcPr>
          <w:p w14:paraId="4CB3DFE5" w14:textId="77777777" w:rsidR="008940B3" w:rsidRPr="003B5C8D" w:rsidRDefault="008940B3" w:rsidP="00E858EF">
            <w:pPr>
              <w:suppressAutoHyphens/>
              <w:rPr>
                <w:rFonts w:eastAsia="Times New Roman"/>
                <w:sz w:val="16"/>
                <w:szCs w:val="16"/>
              </w:rPr>
            </w:pPr>
            <w:r w:rsidRPr="003B5C8D">
              <w:rPr>
                <w:rFonts w:eastAsia="Times New Roman"/>
                <w:sz w:val="16"/>
                <w:szCs w:val="16"/>
              </w:rPr>
              <w:t>TEFELI KALYVORYAKAS</w:t>
            </w:r>
          </w:p>
        </w:tc>
        <w:tc>
          <w:tcPr>
            <w:tcW w:w="618" w:type="dxa"/>
            <w:vAlign w:val="bottom"/>
          </w:tcPr>
          <w:p w14:paraId="2BA12723" w14:textId="77777777" w:rsidR="008940B3" w:rsidRPr="003B5C8D" w:rsidRDefault="008940B3" w:rsidP="00E858EF">
            <w:pPr>
              <w:suppressAutoHyphens/>
              <w:jc w:val="center"/>
              <w:rPr>
                <w:sz w:val="16"/>
                <w:szCs w:val="16"/>
              </w:rPr>
            </w:pPr>
            <w:r w:rsidRPr="003B5C8D">
              <w:rPr>
                <w:rFonts w:eastAsia="Times New Roman"/>
                <w:color w:val="000000"/>
                <w:sz w:val="16"/>
                <w:szCs w:val="16"/>
              </w:rPr>
              <w:t>1</w:t>
            </w:r>
          </w:p>
        </w:tc>
        <w:tc>
          <w:tcPr>
            <w:tcW w:w="619" w:type="dxa"/>
            <w:vAlign w:val="bottom"/>
          </w:tcPr>
          <w:p w14:paraId="60674679"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75078B36" w14:textId="77777777" w:rsidR="008940B3" w:rsidRPr="003B5C8D" w:rsidRDefault="008940B3" w:rsidP="00E858EF">
            <w:pPr>
              <w:suppressAutoHyphens/>
              <w:jc w:val="center"/>
              <w:rPr>
                <w:sz w:val="16"/>
                <w:szCs w:val="16"/>
              </w:rPr>
            </w:pPr>
          </w:p>
        </w:tc>
        <w:tc>
          <w:tcPr>
            <w:tcW w:w="1120" w:type="dxa"/>
            <w:gridSpan w:val="2"/>
          </w:tcPr>
          <w:p w14:paraId="3D748F1A" w14:textId="77777777" w:rsidR="008940B3" w:rsidRPr="003B5C8D" w:rsidRDefault="008940B3" w:rsidP="00E858EF">
            <w:pPr>
              <w:suppressAutoHyphens/>
              <w:jc w:val="center"/>
              <w:rPr>
                <w:sz w:val="16"/>
                <w:szCs w:val="16"/>
              </w:rPr>
            </w:pPr>
          </w:p>
        </w:tc>
        <w:tc>
          <w:tcPr>
            <w:tcW w:w="1120" w:type="dxa"/>
            <w:gridSpan w:val="2"/>
          </w:tcPr>
          <w:p w14:paraId="3BA2B548" w14:textId="77777777" w:rsidR="008940B3" w:rsidRPr="003B5C8D" w:rsidRDefault="008940B3" w:rsidP="00E858EF">
            <w:pPr>
              <w:suppressAutoHyphens/>
              <w:jc w:val="center"/>
              <w:rPr>
                <w:sz w:val="16"/>
                <w:szCs w:val="16"/>
              </w:rPr>
            </w:pPr>
          </w:p>
        </w:tc>
        <w:tc>
          <w:tcPr>
            <w:tcW w:w="1004" w:type="dxa"/>
            <w:gridSpan w:val="2"/>
          </w:tcPr>
          <w:p w14:paraId="6C116704" w14:textId="77777777" w:rsidR="008940B3" w:rsidRPr="003B5C8D" w:rsidRDefault="008940B3" w:rsidP="00E858EF">
            <w:pPr>
              <w:suppressAutoHyphens/>
              <w:jc w:val="center"/>
              <w:rPr>
                <w:sz w:val="16"/>
                <w:szCs w:val="16"/>
              </w:rPr>
            </w:pPr>
          </w:p>
        </w:tc>
        <w:tc>
          <w:tcPr>
            <w:tcW w:w="1236" w:type="dxa"/>
            <w:gridSpan w:val="3"/>
          </w:tcPr>
          <w:p w14:paraId="72A9F8D0" w14:textId="77777777" w:rsidR="008940B3" w:rsidRPr="003B5C8D" w:rsidRDefault="008940B3" w:rsidP="00E858EF">
            <w:pPr>
              <w:suppressAutoHyphens/>
              <w:jc w:val="center"/>
              <w:rPr>
                <w:sz w:val="16"/>
                <w:szCs w:val="16"/>
              </w:rPr>
            </w:pPr>
          </w:p>
        </w:tc>
      </w:tr>
      <w:tr w:rsidR="008940B3" w:rsidRPr="003B5C8D" w14:paraId="6E50B273" w14:textId="77777777" w:rsidTr="008940B3">
        <w:trPr>
          <w:trHeight w:val="264"/>
        </w:trPr>
        <w:tc>
          <w:tcPr>
            <w:tcW w:w="1453" w:type="dxa"/>
            <w:vAlign w:val="bottom"/>
          </w:tcPr>
          <w:p w14:paraId="14A7C201" w14:textId="77777777" w:rsidR="008940B3" w:rsidRPr="003B5C8D" w:rsidRDefault="008940B3" w:rsidP="00E858EF">
            <w:pPr>
              <w:suppressAutoHyphens/>
              <w:rPr>
                <w:rFonts w:eastAsia="Times New Roman"/>
                <w:sz w:val="16"/>
                <w:szCs w:val="16"/>
              </w:rPr>
            </w:pPr>
            <w:r w:rsidRPr="003B5C8D">
              <w:rPr>
                <w:rFonts w:eastAsia="Times New Roman"/>
                <w:sz w:val="16"/>
                <w:szCs w:val="16"/>
              </w:rPr>
              <w:t>THRAPSANO</w:t>
            </w:r>
          </w:p>
        </w:tc>
        <w:tc>
          <w:tcPr>
            <w:tcW w:w="618" w:type="dxa"/>
            <w:vAlign w:val="bottom"/>
          </w:tcPr>
          <w:p w14:paraId="02CA5CAF" w14:textId="77777777" w:rsidR="008940B3" w:rsidRPr="003B5C8D" w:rsidRDefault="008940B3" w:rsidP="00E858EF">
            <w:pPr>
              <w:suppressAutoHyphens/>
              <w:jc w:val="center"/>
              <w:rPr>
                <w:sz w:val="16"/>
                <w:szCs w:val="16"/>
              </w:rPr>
            </w:pPr>
            <w:r w:rsidRPr="003B5C8D">
              <w:rPr>
                <w:rFonts w:eastAsia="Times New Roman"/>
                <w:color w:val="000000"/>
                <w:sz w:val="16"/>
                <w:szCs w:val="16"/>
              </w:rPr>
              <w:t>1</w:t>
            </w:r>
          </w:p>
        </w:tc>
        <w:tc>
          <w:tcPr>
            <w:tcW w:w="619" w:type="dxa"/>
            <w:vAlign w:val="bottom"/>
          </w:tcPr>
          <w:p w14:paraId="28526185" w14:textId="77777777" w:rsidR="008940B3" w:rsidRPr="003B5C8D" w:rsidRDefault="008940B3" w:rsidP="00E858EF">
            <w:pPr>
              <w:suppressAutoHyphens/>
              <w:jc w:val="center"/>
              <w:rPr>
                <w:b/>
                <w:sz w:val="16"/>
                <w:szCs w:val="16"/>
              </w:rPr>
            </w:pPr>
            <w:r w:rsidRPr="003B5C8D">
              <w:rPr>
                <w:sz w:val="16"/>
                <w:szCs w:val="16"/>
              </w:rPr>
              <w:t>100%</w:t>
            </w:r>
          </w:p>
        </w:tc>
        <w:tc>
          <w:tcPr>
            <w:tcW w:w="1120" w:type="dxa"/>
            <w:gridSpan w:val="2"/>
          </w:tcPr>
          <w:p w14:paraId="7B73EAC8" w14:textId="77777777" w:rsidR="008940B3" w:rsidRPr="003B5C8D" w:rsidRDefault="008940B3" w:rsidP="00E858EF">
            <w:pPr>
              <w:suppressAutoHyphens/>
              <w:jc w:val="center"/>
              <w:rPr>
                <w:sz w:val="16"/>
                <w:szCs w:val="16"/>
              </w:rPr>
            </w:pPr>
          </w:p>
        </w:tc>
        <w:tc>
          <w:tcPr>
            <w:tcW w:w="1120" w:type="dxa"/>
            <w:gridSpan w:val="2"/>
          </w:tcPr>
          <w:p w14:paraId="2902E5BB" w14:textId="77777777" w:rsidR="008940B3" w:rsidRPr="003B5C8D" w:rsidRDefault="008940B3" w:rsidP="00E858EF">
            <w:pPr>
              <w:suppressAutoHyphens/>
              <w:jc w:val="center"/>
              <w:rPr>
                <w:sz w:val="16"/>
                <w:szCs w:val="16"/>
              </w:rPr>
            </w:pPr>
          </w:p>
        </w:tc>
        <w:tc>
          <w:tcPr>
            <w:tcW w:w="1120" w:type="dxa"/>
            <w:gridSpan w:val="2"/>
          </w:tcPr>
          <w:p w14:paraId="6F340023" w14:textId="77777777" w:rsidR="008940B3" w:rsidRPr="003B5C8D" w:rsidRDefault="008940B3" w:rsidP="00E858EF">
            <w:pPr>
              <w:suppressAutoHyphens/>
              <w:jc w:val="center"/>
              <w:rPr>
                <w:sz w:val="16"/>
                <w:szCs w:val="16"/>
              </w:rPr>
            </w:pPr>
          </w:p>
        </w:tc>
        <w:tc>
          <w:tcPr>
            <w:tcW w:w="1004" w:type="dxa"/>
            <w:gridSpan w:val="2"/>
          </w:tcPr>
          <w:p w14:paraId="38F62A50" w14:textId="77777777" w:rsidR="008940B3" w:rsidRPr="003B5C8D" w:rsidRDefault="008940B3" w:rsidP="00E858EF">
            <w:pPr>
              <w:suppressAutoHyphens/>
              <w:jc w:val="center"/>
              <w:rPr>
                <w:sz w:val="16"/>
                <w:szCs w:val="16"/>
              </w:rPr>
            </w:pPr>
          </w:p>
        </w:tc>
        <w:tc>
          <w:tcPr>
            <w:tcW w:w="1236" w:type="dxa"/>
            <w:gridSpan w:val="3"/>
          </w:tcPr>
          <w:p w14:paraId="56C2129B" w14:textId="77777777" w:rsidR="008940B3" w:rsidRPr="003B5C8D" w:rsidRDefault="008940B3" w:rsidP="00E858EF">
            <w:pPr>
              <w:suppressAutoHyphens/>
              <w:jc w:val="center"/>
              <w:rPr>
                <w:sz w:val="16"/>
                <w:szCs w:val="16"/>
              </w:rPr>
            </w:pPr>
          </w:p>
        </w:tc>
      </w:tr>
      <w:tr w:rsidR="008940B3" w:rsidRPr="003B5C8D" w14:paraId="7D204948" w14:textId="77777777" w:rsidTr="008940B3">
        <w:trPr>
          <w:trHeight w:val="264"/>
        </w:trPr>
        <w:tc>
          <w:tcPr>
            <w:tcW w:w="1453" w:type="dxa"/>
            <w:vAlign w:val="bottom"/>
          </w:tcPr>
          <w:p w14:paraId="28DAE66E" w14:textId="77777777" w:rsidR="008940B3" w:rsidRPr="003B5C8D" w:rsidRDefault="008940B3" w:rsidP="00E858EF">
            <w:pPr>
              <w:suppressAutoHyphens/>
              <w:rPr>
                <w:rFonts w:eastAsia="Times New Roman"/>
                <w:sz w:val="16"/>
                <w:szCs w:val="16"/>
              </w:rPr>
            </w:pPr>
            <w:r w:rsidRPr="003B5C8D">
              <w:rPr>
                <w:rFonts w:eastAsia="Times New Roman"/>
                <w:sz w:val="16"/>
                <w:szCs w:val="16"/>
              </w:rPr>
              <w:t>TYLISSOS</w:t>
            </w:r>
          </w:p>
        </w:tc>
        <w:tc>
          <w:tcPr>
            <w:tcW w:w="618" w:type="dxa"/>
            <w:vAlign w:val="bottom"/>
          </w:tcPr>
          <w:p w14:paraId="70C6DF27" w14:textId="77777777" w:rsidR="008940B3" w:rsidRPr="003B5C8D" w:rsidRDefault="008940B3" w:rsidP="00E858EF">
            <w:pPr>
              <w:suppressAutoHyphens/>
              <w:jc w:val="center"/>
              <w:rPr>
                <w:sz w:val="16"/>
                <w:szCs w:val="16"/>
              </w:rPr>
            </w:pPr>
            <w:r w:rsidRPr="003B5C8D">
              <w:rPr>
                <w:sz w:val="16"/>
                <w:szCs w:val="16"/>
              </w:rPr>
              <w:t>1</w:t>
            </w:r>
          </w:p>
        </w:tc>
        <w:tc>
          <w:tcPr>
            <w:tcW w:w="619" w:type="dxa"/>
            <w:vAlign w:val="bottom"/>
          </w:tcPr>
          <w:p w14:paraId="186BC92A"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7A111C9B" w14:textId="77777777" w:rsidR="008940B3" w:rsidRPr="003B5C8D" w:rsidRDefault="008940B3" w:rsidP="00E858EF">
            <w:pPr>
              <w:suppressAutoHyphens/>
              <w:jc w:val="center"/>
              <w:rPr>
                <w:sz w:val="16"/>
                <w:szCs w:val="16"/>
              </w:rPr>
            </w:pPr>
          </w:p>
        </w:tc>
        <w:tc>
          <w:tcPr>
            <w:tcW w:w="1120" w:type="dxa"/>
            <w:gridSpan w:val="2"/>
          </w:tcPr>
          <w:p w14:paraId="7D836A07" w14:textId="77777777" w:rsidR="008940B3" w:rsidRPr="003B5C8D" w:rsidRDefault="008940B3" w:rsidP="00E858EF">
            <w:pPr>
              <w:suppressAutoHyphens/>
              <w:jc w:val="center"/>
              <w:rPr>
                <w:sz w:val="16"/>
                <w:szCs w:val="16"/>
              </w:rPr>
            </w:pPr>
          </w:p>
        </w:tc>
        <w:tc>
          <w:tcPr>
            <w:tcW w:w="1120" w:type="dxa"/>
            <w:gridSpan w:val="2"/>
          </w:tcPr>
          <w:p w14:paraId="35879B56" w14:textId="77777777" w:rsidR="008940B3" w:rsidRPr="003B5C8D" w:rsidRDefault="008940B3" w:rsidP="00E858EF">
            <w:pPr>
              <w:suppressAutoHyphens/>
              <w:jc w:val="center"/>
              <w:rPr>
                <w:sz w:val="16"/>
                <w:szCs w:val="16"/>
              </w:rPr>
            </w:pPr>
          </w:p>
        </w:tc>
        <w:tc>
          <w:tcPr>
            <w:tcW w:w="1004" w:type="dxa"/>
            <w:gridSpan w:val="2"/>
          </w:tcPr>
          <w:p w14:paraId="2E5EF168" w14:textId="77777777" w:rsidR="008940B3" w:rsidRPr="003B5C8D" w:rsidRDefault="008940B3" w:rsidP="00E858EF">
            <w:pPr>
              <w:suppressAutoHyphens/>
              <w:jc w:val="center"/>
              <w:rPr>
                <w:sz w:val="16"/>
                <w:szCs w:val="16"/>
              </w:rPr>
            </w:pPr>
          </w:p>
        </w:tc>
        <w:tc>
          <w:tcPr>
            <w:tcW w:w="1236" w:type="dxa"/>
            <w:gridSpan w:val="3"/>
          </w:tcPr>
          <w:p w14:paraId="0B600158" w14:textId="77777777" w:rsidR="008940B3" w:rsidRPr="003B5C8D" w:rsidRDefault="008940B3" w:rsidP="00E858EF">
            <w:pPr>
              <w:suppressAutoHyphens/>
              <w:jc w:val="center"/>
              <w:rPr>
                <w:sz w:val="16"/>
                <w:szCs w:val="16"/>
              </w:rPr>
            </w:pPr>
          </w:p>
        </w:tc>
      </w:tr>
      <w:tr w:rsidR="008940B3" w:rsidRPr="003B5C8D" w14:paraId="7AEB0C1A" w14:textId="77777777" w:rsidTr="008940B3">
        <w:trPr>
          <w:trHeight w:val="264"/>
        </w:trPr>
        <w:tc>
          <w:tcPr>
            <w:tcW w:w="1453" w:type="dxa"/>
            <w:vAlign w:val="bottom"/>
          </w:tcPr>
          <w:p w14:paraId="5AA857D3" w14:textId="77777777" w:rsidR="008940B3" w:rsidRPr="003B5C8D" w:rsidRDefault="008940B3" w:rsidP="00E858EF">
            <w:pPr>
              <w:suppressAutoHyphens/>
              <w:rPr>
                <w:rFonts w:eastAsia="Times New Roman"/>
                <w:sz w:val="16"/>
                <w:szCs w:val="16"/>
              </w:rPr>
            </w:pPr>
            <w:r w:rsidRPr="003B5C8D">
              <w:rPr>
                <w:rFonts w:eastAsia="Times New Roman"/>
                <w:sz w:val="16"/>
                <w:szCs w:val="16"/>
              </w:rPr>
              <w:t>TZINGOUNAS</w:t>
            </w:r>
          </w:p>
        </w:tc>
        <w:tc>
          <w:tcPr>
            <w:tcW w:w="618" w:type="dxa"/>
            <w:vAlign w:val="bottom"/>
          </w:tcPr>
          <w:p w14:paraId="073E1F7C" w14:textId="77777777" w:rsidR="008940B3" w:rsidRPr="003B5C8D" w:rsidRDefault="008940B3" w:rsidP="00E858EF">
            <w:pPr>
              <w:suppressAutoHyphens/>
              <w:jc w:val="center"/>
              <w:rPr>
                <w:sz w:val="16"/>
                <w:szCs w:val="16"/>
              </w:rPr>
            </w:pPr>
            <w:r w:rsidRPr="003B5C8D">
              <w:rPr>
                <w:rFonts w:eastAsia="Times New Roman"/>
                <w:color w:val="000000"/>
                <w:sz w:val="16"/>
                <w:szCs w:val="16"/>
              </w:rPr>
              <w:t>2</w:t>
            </w:r>
          </w:p>
        </w:tc>
        <w:tc>
          <w:tcPr>
            <w:tcW w:w="619" w:type="dxa"/>
            <w:vAlign w:val="bottom"/>
          </w:tcPr>
          <w:p w14:paraId="754A85C0" w14:textId="77777777" w:rsidR="008940B3" w:rsidRPr="003B5C8D" w:rsidRDefault="008940B3" w:rsidP="00E858EF">
            <w:pPr>
              <w:suppressAutoHyphens/>
              <w:jc w:val="center"/>
              <w:rPr>
                <w:sz w:val="16"/>
                <w:szCs w:val="16"/>
              </w:rPr>
            </w:pPr>
            <w:r w:rsidRPr="003B5C8D">
              <w:rPr>
                <w:sz w:val="16"/>
                <w:szCs w:val="16"/>
              </w:rPr>
              <w:t>100%</w:t>
            </w:r>
          </w:p>
        </w:tc>
        <w:tc>
          <w:tcPr>
            <w:tcW w:w="1120" w:type="dxa"/>
            <w:gridSpan w:val="2"/>
          </w:tcPr>
          <w:p w14:paraId="46FA0F4F" w14:textId="77777777" w:rsidR="008940B3" w:rsidRPr="003B5C8D" w:rsidRDefault="008940B3" w:rsidP="00E858EF">
            <w:pPr>
              <w:suppressAutoHyphens/>
              <w:jc w:val="center"/>
              <w:rPr>
                <w:sz w:val="16"/>
                <w:szCs w:val="16"/>
              </w:rPr>
            </w:pPr>
          </w:p>
        </w:tc>
        <w:tc>
          <w:tcPr>
            <w:tcW w:w="1120" w:type="dxa"/>
            <w:gridSpan w:val="2"/>
          </w:tcPr>
          <w:p w14:paraId="022A2D95" w14:textId="77777777" w:rsidR="008940B3" w:rsidRPr="003B5C8D" w:rsidRDefault="008940B3" w:rsidP="00E858EF">
            <w:pPr>
              <w:suppressAutoHyphens/>
              <w:jc w:val="center"/>
              <w:rPr>
                <w:sz w:val="16"/>
                <w:szCs w:val="16"/>
              </w:rPr>
            </w:pPr>
          </w:p>
        </w:tc>
        <w:tc>
          <w:tcPr>
            <w:tcW w:w="1120" w:type="dxa"/>
            <w:gridSpan w:val="2"/>
          </w:tcPr>
          <w:p w14:paraId="2723657A" w14:textId="77777777" w:rsidR="008940B3" w:rsidRPr="003B5C8D" w:rsidRDefault="008940B3" w:rsidP="00E858EF">
            <w:pPr>
              <w:suppressAutoHyphens/>
              <w:jc w:val="center"/>
              <w:rPr>
                <w:sz w:val="16"/>
                <w:szCs w:val="16"/>
              </w:rPr>
            </w:pPr>
          </w:p>
        </w:tc>
        <w:tc>
          <w:tcPr>
            <w:tcW w:w="1004" w:type="dxa"/>
            <w:gridSpan w:val="2"/>
          </w:tcPr>
          <w:p w14:paraId="13F8C394" w14:textId="77777777" w:rsidR="008940B3" w:rsidRPr="003B5C8D" w:rsidRDefault="008940B3" w:rsidP="00E858EF">
            <w:pPr>
              <w:suppressAutoHyphens/>
              <w:jc w:val="center"/>
              <w:rPr>
                <w:sz w:val="16"/>
                <w:szCs w:val="16"/>
              </w:rPr>
            </w:pPr>
          </w:p>
        </w:tc>
        <w:tc>
          <w:tcPr>
            <w:tcW w:w="1236" w:type="dxa"/>
            <w:gridSpan w:val="3"/>
          </w:tcPr>
          <w:p w14:paraId="4973CF78" w14:textId="77777777" w:rsidR="008940B3" w:rsidRPr="003B5C8D" w:rsidRDefault="008940B3" w:rsidP="00E858EF">
            <w:pPr>
              <w:suppressAutoHyphens/>
              <w:jc w:val="center"/>
              <w:rPr>
                <w:sz w:val="16"/>
                <w:szCs w:val="16"/>
              </w:rPr>
            </w:pPr>
          </w:p>
        </w:tc>
      </w:tr>
      <w:tr w:rsidR="008940B3" w:rsidRPr="003B5C8D" w14:paraId="6675110D" w14:textId="77777777" w:rsidTr="008940B3">
        <w:trPr>
          <w:trHeight w:val="264"/>
        </w:trPr>
        <w:tc>
          <w:tcPr>
            <w:tcW w:w="1453" w:type="dxa"/>
            <w:vAlign w:val="bottom"/>
          </w:tcPr>
          <w:p w14:paraId="263C35A9" w14:textId="77777777" w:rsidR="008940B3" w:rsidRPr="003B5C8D" w:rsidRDefault="008940B3" w:rsidP="00E858EF">
            <w:pPr>
              <w:suppressAutoHyphens/>
              <w:rPr>
                <w:rFonts w:eastAsia="Times New Roman"/>
                <w:sz w:val="16"/>
                <w:szCs w:val="16"/>
              </w:rPr>
            </w:pPr>
            <w:r w:rsidRPr="003B5C8D">
              <w:rPr>
                <w:rFonts w:eastAsia="Times New Roman"/>
                <w:sz w:val="16"/>
                <w:szCs w:val="16"/>
              </w:rPr>
              <w:t>TZORMPATZANA</w:t>
            </w:r>
          </w:p>
        </w:tc>
        <w:tc>
          <w:tcPr>
            <w:tcW w:w="1237" w:type="dxa"/>
            <w:gridSpan w:val="2"/>
            <w:vAlign w:val="bottom"/>
          </w:tcPr>
          <w:p w14:paraId="6EE363BE" w14:textId="77777777" w:rsidR="008940B3" w:rsidRPr="003B5C8D" w:rsidRDefault="008940B3" w:rsidP="00E858EF">
            <w:pPr>
              <w:suppressAutoHyphens/>
              <w:jc w:val="center"/>
              <w:rPr>
                <w:sz w:val="16"/>
                <w:szCs w:val="16"/>
              </w:rPr>
            </w:pPr>
          </w:p>
        </w:tc>
        <w:tc>
          <w:tcPr>
            <w:tcW w:w="1120" w:type="dxa"/>
            <w:gridSpan w:val="2"/>
          </w:tcPr>
          <w:p w14:paraId="24765794" w14:textId="77777777" w:rsidR="008940B3" w:rsidRPr="003B5C8D" w:rsidRDefault="008940B3" w:rsidP="00E858EF">
            <w:pPr>
              <w:suppressAutoHyphens/>
              <w:jc w:val="center"/>
              <w:rPr>
                <w:sz w:val="16"/>
                <w:szCs w:val="16"/>
              </w:rPr>
            </w:pPr>
          </w:p>
        </w:tc>
        <w:tc>
          <w:tcPr>
            <w:tcW w:w="1120" w:type="dxa"/>
            <w:gridSpan w:val="2"/>
          </w:tcPr>
          <w:p w14:paraId="6B0A7D70" w14:textId="77777777" w:rsidR="008940B3" w:rsidRPr="003B5C8D" w:rsidRDefault="008940B3" w:rsidP="00E858EF">
            <w:pPr>
              <w:suppressAutoHyphens/>
              <w:jc w:val="center"/>
              <w:rPr>
                <w:sz w:val="16"/>
                <w:szCs w:val="16"/>
              </w:rPr>
            </w:pPr>
          </w:p>
        </w:tc>
        <w:tc>
          <w:tcPr>
            <w:tcW w:w="1120" w:type="dxa"/>
            <w:gridSpan w:val="2"/>
          </w:tcPr>
          <w:p w14:paraId="0C7B2621" w14:textId="77777777" w:rsidR="008940B3" w:rsidRPr="003B5C8D" w:rsidRDefault="008940B3" w:rsidP="00E858EF">
            <w:pPr>
              <w:suppressAutoHyphens/>
              <w:jc w:val="center"/>
              <w:rPr>
                <w:sz w:val="16"/>
                <w:szCs w:val="16"/>
              </w:rPr>
            </w:pPr>
          </w:p>
        </w:tc>
        <w:tc>
          <w:tcPr>
            <w:tcW w:w="1004" w:type="dxa"/>
            <w:gridSpan w:val="2"/>
          </w:tcPr>
          <w:p w14:paraId="6B727DF4" w14:textId="77777777" w:rsidR="008940B3" w:rsidRPr="003B5C8D" w:rsidRDefault="008940B3" w:rsidP="00E858EF">
            <w:pPr>
              <w:suppressAutoHyphens/>
              <w:jc w:val="center"/>
              <w:rPr>
                <w:sz w:val="16"/>
                <w:szCs w:val="16"/>
              </w:rPr>
            </w:pPr>
          </w:p>
        </w:tc>
        <w:tc>
          <w:tcPr>
            <w:tcW w:w="676" w:type="dxa"/>
            <w:gridSpan w:val="2"/>
          </w:tcPr>
          <w:p w14:paraId="2256DBCD" w14:textId="77777777" w:rsidR="008940B3" w:rsidRPr="003B5C8D" w:rsidRDefault="008940B3" w:rsidP="00E858EF">
            <w:pPr>
              <w:suppressAutoHyphens/>
              <w:jc w:val="center"/>
              <w:rPr>
                <w:sz w:val="16"/>
                <w:szCs w:val="16"/>
              </w:rPr>
            </w:pPr>
            <w:r w:rsidRPr="003B5C8D">
              <w:rPr>
                <w:sz w:val="16"/>
                <w:szCs w:val="16"/>
              </w:rPr>
              <w:t>1</w:t>
            </w:r>
          </w:p>
        </w:tc>
        <w:tc>
          <w:tcPr>
            <w:tcW w:w="560" w:type="dxa"/>
          </w:tcPr>
          <w:p w14:paraId="793AF926" w14:textId="77777777" w:rsidR="008940B3" w:rsidRPr="003B5C8D" w:rsidRDefault="008940B3" w:rsidP="00E858EF">
            <w:pPr>
              <w:suppressAutoHyphens/>
              <w:jc w:val="center"/>
              <w:rPr>
                <w:sz w:val="16"/>
                <w:szCs w:val="16"/>
              </w:rPr>
            </w:pPr>
            <w:r w:rsidRPr="003B5C8D">
              <w:rPr>
                <w:sz w:val="16"/>
                <w:szCs w:val="16"/>
              </w:rPr>
              <w:t>100%</w:t>
            </w:r>
          </w:p>
        </w:tc>
      </w:tr>
      <w:tr w:rsidR="008940B3" w:rsidRPr="003B5C8D" w14:paraId="27CA089B" w14:textId="77777777" w:rsidTr="008940B3">
        <w:trPr>
          <w:trHeight w:val="264"/>
        </w:trPr>
        <w:tc>
          <w:tcPr>
            <w:tcW w:w="1453" w:type="dxa"/>
            <w:vAlign w:val="bottom"/>
          </w:tcPr>
          <w:p w14:paraId="341C0F71" w14:textId="77777777" w:rsidR="008940B3" w:rsidRPr="003B5C8D" w:rsidRDefault="008940B3" w:rsidP="00E858EF">
            <w:pPr>
              <w:suppressAutoHyphens/>
              <w:rPr>
                <w:rFonts w:eastAsia="Times New Roman"/>
                <w:sz w:val="16"/>
                <w:szCs w:val="16"/>
              </w:rPr>
            </w:pPr>
            <w:r w:rsidRPr="003B5C8D">
              <w:rPr>
                <w:rFonts w:eastAsia="Times New Roman"/>
                <w:sz w:val="16"/>
                <w:szCs w:val="16"/>
              </w:rPr>
              <w:t>VORITSI</w:t>
            </w:r>
          </w:p>
        </w:tc>
        <w:tc>
          <w:tcPr>
            <w:tcW w:w="1237" w:type="dxa"/>
            <w:gridSpan w:val="2"/>
            <w:vAlign w:val="bottom"/>
          </w:tcPr>
          <w:p w14:paraId="33893539" w14:textId="77777777" w:rsidR="008940B3" w:rsidRPr="003B5C8D" w:rsidRDefault="008940B3" w:rsidP="00E858EF">
            <w:pPr>
              <w:suppressAutoHyphens/>
              <w:jc w:val="center"/>
              <w:rPr>
                <w:sz w:val="16"/>
                <w:szCs w:val="16"/>
              </w:rPr>
            </w:pPr>
          </w:p>
        </w:tc>
        <w:tc>
          <w:tcPr>
            <w:tcW w:w="1120" w:type="dxa"/>
            <w:gridSpan w:val="2"/>
          </w:tcPr>
          <w:p w14:paraId="31CB9703" w14:textId="77777777" w:rsidR="008940B3" w:rsidRPr="003B5C8D" w:rsidRDefault="008940B3" w:rsidP="00E858EF">
            <w:pPr>
              <w:suppressAutoHyphens/>
              <w:jc w:val="center"/>
              <w:rPr>
                <w:sz w:val="16"/>
                <w:szCs w:val="16"/>
              </w:rPr>
            </w:pPr>
          </w:p>
        </w:tc>
        <w:tc>
          <w:tcPr>
            <w:tcW w:w="1120" w:type="dxa"/>
            <w:gridSpan w:val="2"/>
          </w:tcPr>
          <w:p w14:paraId="6A6D169E" w14:textId="77777777" w:rsidR="008940B3" w:rsidRPr="003B5C8D" w:rsidRDefault="008940B3" w:rsidP="00E858EF">
            <w:pPr>
              <w:suppressAutoHyphens/>
              <w:jc w:val="center"/>
              <w:rPr>
                <w:sz w:val="16"/>
                <w:szCs w:val="16"/>
              </w:rPr>
            </w:pPr>
          </w:p>
        </w:tc>
        <w:tc>
          <w:tcPr>
            <w:tcW w:w="1120" w:type="dxa"/>
            <w:gridSpan w:val="2"/>
          </w:tcPr>
          <w:p w14:paraId="7609A501" w14:textId="77777777" w:rsidR="008940B3" w:rsidRPr="003B5C8D" w:rsidRDefault="008940B3" w:rsidP="00E858EF">
            <w:pPr>
              <w:suppressAutoHyphens/>
              <w:jc w:val="center"/>
              <w:rPr>
                <w:sz w:val="16"/>
                <w:szCs w:val="16"/>
              </w:rPr>
            </w:pPr>
          </w:p>
        </w:tc>
        <w:tc>
          <w:tcPr>
            <w:tcW w:w="1004" w:type="dxa"/>
            <w:gridSpan w:val="2"/>
          </w:tcPr>
          <w:p w14:paraId="6B0C0FFF" w14:textId="77777777" w:rsidR="008940B3" w:rsidRPr="003B5C8D" w:rsidRDefault="008940B3" w:rsidP="00E858EF">
            <w:pPr>
              <w:suppressAutoHyphens/>
              <w:jc w:val="center"/>
              <w:rPr>
                <w:sz w:val="16"/>
                <w:szCs w:val="16"/>
              </w:rPr>
            </w:pPr>
          </w:p>
        </w:tc>
        <w:tc>
          <w:tcPr>
            <w:tcW w:w="676" w:type="dxa"/>
            <w:gridSpan w:val="2"/>
          </w:tcPr>
          <w:p w14:paraId="48CE948F" w14:textId="77777777" w:rsidR="008940B3" w:rsidRPr="003B5C8D" w:rsidRDefault="008940B3" w:rsidP="00E858EF">
            <w:pPr>
              <w:suppressAutoHyphens/>
              <w:jc w:val="center"/>
              <w:rPr>
                <w:sz w:val="16"/>
                <w:szCs w:val="16"/>
              </w:rPr>
            </w:pPr>
            <w:r w:rsidRPr="003B5C8D">
              <w:rPr>
                <w:sz w:val="16"/>
                <w:szCs w:val="16"/>
              </w:rPr>
              <w:t>1</w:t>
            </w:r>
          </w:p>
        </w:tc>
        <w:tc>
          <w:tcPr>
            <w:tcW w:w="560" w:type="dxa"/>
          </w:tcPr>
          <w:p w14:paraId="38261395" w14:textId="77777777" w:rsidR="008940B3" w:rsidRPr="003B5C8D" w:rsidRDefault="008940B3" w:rsidP="00E858EF">
            <w:pPr>
              <w:suppressAutoHyphens/>
              <w:jc w:val="center"/>
              <w:rPr>
                <w:sz w:val="16"/>
                <w:szCs w:val="16"/>
              </w:rPr>
            </w:pPr>
            <w:r w:rsidRPr="003B5C8D">
              <w:rPr>
                <w:sz w:val="16"/>
                <w:szCs w:val="16"/>
              </w:rPr>
              <w:t>100%</w:t>
            </w:r>
          </w:p>
        </w:tc>
      </w:tr>
    </w:tbl>
    <w:p w14:paraId="0CB8F51C"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2E9FDBA2" w14:textId="77777777" w:rsidR="008940B3" w:rsidRPr="00F0085F" w:rsidRDefault="008940B3" w:rsidP="00E858EF">
      <w:pPr>
        <w:pStyle w:val="Titolo4"/>
        <w:keepNext w:val="0"/>
        <w:keepLines w:val="0"/>
        <w:suppressAutoHyphens/>
        <w:ind w:left="864" w:hanging="864"/>
        <w:contextualSpacing w:val="0"/>
      </w:pPr>
      <w:bookmarkStart w:id="310" w:name="_Toc517876511"/>
      <w:bookmarkStart w:id="311" w:name="_Toc389131184"/>
      <w:bookmarkStart w:id="312" w:name="_Toc517876512"/>
      <w:bookmarkEnd w:id="310"/>
      <w:r w:rsidRPr="00F0085F">
        <w:t>Tomb dimension</w:t>
      </w:r>
      <w:r>
        <w:t>s</w:t>
      </w:r>
      <w:r w:rsidRPr="00F0085F">
        <w:t xml:space="preserve"> and architectural features: How </w:t>
      </w:r>
      <w:r>
        <w:t>large</w:t>
      </w:r>
      <w:r w:rsidRPr="00F0085F">
        <w:t xml:space="preserve"> and monumental are the tomb</w:t>
      </w:r>
      <w:r>
        <w:t>s</w:t>
      </w:r>
      <w:r w:rsidRPr="00F0085F">
        <w:t xml:space="preserve"> associated with larnakes?</w:t>
      </w:r>
      <w:bookmarkEnd w:id="311"/>
      <w:bookmarkEnd w:id="312"/>
    </w:p>
    <w:p w14:paraId="45B9B2FD" w14:textId="77777777" w:rsidR="008940B3" w:rsidRDefault="008940B3" w:rsidP="005F75D2">
      <w:r w:rsidRPr="003B5C8D">
        <w:t>For the Central region</w:t>
      </w:r>
      <w:r>
        <w:t>,</w:t>
      </w:r>
      <w:r w:rsidRPr="003B5C8D">
        <w:t xml:space="preserve"> the information available </w:t>
      </w:r>
      <w:r>
        <w:t>regarding</w:t>
      </w:r>
      <w:r w:rsidRPr="003B5C8D">
        <w:t xml:space="preserve"> tomb characteristi</w:t>
      </w:r>
      <w:r>
        <w:t>cs comes from a smaller sample</w:t>
      </w:r>
      <w:r w:rsidRPr="003B5C8D">
        <w:t xml:space="preserve"> due to </w:t>
      </w:r>
      <w:r>
        <w:t xml:space="preserve">a </w:t>
      </w:r>
      <w:r w:rsidRPr="003B5C8D">
        <w:t xml:space="preserve">lack </w:t>
      </w:r>
      <w:r>
        <w:t>of detailed</w:t>
      </w:r>
      <w:r w:rsidRPr="003B5C8D">
        <w:t xml:space="preserve"> records</w:t>
      </w:r>
      <w:r>
        <w:t>,</w:t>
      </w:r>
    </w:p>
    <w:p w14:paraId="00146549"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297E5F0A" w14:textId="030596DA" w:rsidR="008940B3" w:rsidRPr="003B5C8D" w:rsidRDefault="008940B3" w:rsidP="00E858EF">
      <w:pPr>
        <w:pStyle w:val="Testofumetto"/>
        <w:suppressAutoHyphens/>
      </w:pPr>
      <w:bookmarkStart w:id="313" w:name="_Toc520212535"/>
      <w:r>
        <w:t>Table 3-4</w:t>
      </w:r>
      <w:r w:rsidR="007D1875">
        <w:t>8</w:t>
      </w:r>
      <w:r>
        <w:t>. Tomb dimension</w:t>
      </w:r>
      <w:r w:rsidR="005F75D2">
        <w:t>s</w:t>
      </w:r>
      <w:r w:rsidR="005E1C18">
        <w:t>,</w:t>
      </w:r>
      <w:r>
        <w:t xml:space="preserve"> Central area</w:t>
      </w:r>
      <w:bookmarkEnd w:id="313"/>
    </w:p>
    <w:tbl>
      <w:tblPr>
        <w:tblW w:w="0" w:type="auto"/>
        <w:tblCellMar>
          <w:left w:w="0" w:type="dxa"/>
          <w:right w:w="0" w:type="dxa"/>
        </w:tblCellMar>
        <w:tblLook w:val="04A0" w:firstRow="1" w:lastRow="0" w:firstColumn="1" w:lastColumn="0" w:noHBand="0" w:noVBand="1"/>
      </w:tblPr>
      <w:tblGrid>
        <w:gridCol w:w="2060"/>
        <w:gridCol w:w="1330"/>
        <w:gridCol w:w="1275"/>
        <w:gridCol w:w="1275"/>
      </w:tblGrid>
      <w:tr w:rsidR="008940B3" w:rsidRPr="005F75D2" w14:paraId="3E1C5D56" w14:textId="77777777" w:rsidTr="00363CE1">
        <w:trPr>
          <w:trHeight w:val="40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7010BAFA" w14:textId="77777777" w:rsidR="008940B3" w:rsidRPr="005F75D2" w:rsidRDefault="008940B3" w:rsidP="00E858EF">
            <w:pPr>
              <w:suppressAutoHyphens/>
              <w:rPr>
                <w:sz w:val="20"/>
                <w:szCs w:val="16"/>
              </w:rPr>
            </w:pPr>
          </w:p>
        </w:tc>
        <w:tc>
          <w:tcPr>
            <w:tcW w:w="133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4CE20713" w14:textId="77777777" w:rsidR="008940B3" w:rsidRPr="005F75D2" w:rsidRDefault="008940B3" w:rsidP="00E858EF">
            <w:pPr>
              <w:suppressAutoHyphens/>
              <w:rPr>
                <w:sz w:val="20"/>
                <w:szCs w:val="16"/>
              </w:rPr>
            </w:pPr>
            <w:r w:rsidRPr="005F75D2">
              <w:rPr>
                <w:sz w:val="20"/>
                <w:szCs w:val="16"/>
              </w:rPr>
              <w:t>Mean</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636404B" w14:textId="77777777" w:rsidR="008940B3" w:rsidRPr="005F75D2" w:rsidRDefault="008940B3" w:rsidP="00E858EF">
            <w:pPr>
              <w:suppressAutoHyphens/>
              <w:rPr>
                <w:sz w:val="20"/>
                <w:szCs w:val="16"/>
              </w:rPr>
            </w:pPr>
            <w:r w:rsidRPr="005F75D2">
              <w:rPr>
                <w:sz w:val="20"/>
                <w:szCs w:val="16"/>
              </w:rPr>
              <w:t>Min.</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3A4D2F4D" w14:textId="77777777" w:rsidR="008940B3" w:rsidRPr="005F75D2" w:rsidRDefault="008940B3" w:rsidP="00E858EF">
            <w:pPr>
              <w:suppressAutoHyphens/>
              <w:rPr>
                <w:sz w:val="20"/>
                <w:szCs w:val="16"/>
              </w:rPr>
            </w:pPr>
            <w:r w:rsidRPr="005F75D2">
              <w:rPr>
                <w:sz w:val="20"/>
                <w:szCs w:val="16"/>
              </w:rPr>
              <w:t>Max.</w:t>
            </w:r>
          </w:p>
        </w:tc>
      </w:tr>
      <w:tr w:rsidR="008940B3" w:rsidRPr="005F75D2" w14:paraId="2E85D761" w14:textId="77777777" w:rsidTr="00363CE1">
        <w:trPr>
          <w:trHeight w:val="315"/>
        </w:trPr>
        <w:tc>
          <w:tcPr>
            <w:tcW w:w="206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61358734" w14:textId="77777777" w:rsidR="008940B3" w:rsidRPr="005F75D2" w:rsidRDefault="008940B3" w:rsidP="00E858EF">
            <w:pPr>
              <w:suppressAutoHyphens/>
              <w:rPr>
                <w:sz w:val="20"/>
                <w:szCs w:val="16"/>
              </w:rPr>
            </w:pPr>
            <w:r w:rsidRPr="005F75D2">
              <w:rPr>
                <w:color w:val="000000"/>
                <w:sz w:val="20"/>
                <w:szCs w:val="16"/>
              </w:rPr>
              <w:t>Chamber area in sq.m.</w:t>
            </w:r>
          </w:p>
        </w:tc>
        <w:tc>
          <w:tcPr>
            <w:tcW w:w="133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5D90C35C" w14:textId="77777777" w:rsidR="008940B3" w:rsidRPr="005F75D2" w:rsidRDefault="008940B3" w:rsidP="00E858EF">
            <w:pPr>
              <w:suppressAutoHyphens/>
              <w:rPr>
                <w:sz w:val="20"/>
                <w:szCs w:val="16"/>
              </w:rPr>
            </w:pPr>
            <w:r w:rsidRPr="005F75D2">
              <w:rPr>
                <w:sz w:val="20"/>
                <w:szCs w:val="16"/>
              </w:rPr>
              <w:t>5.4</w:t>
            </w:r>
          </w:p>
        </w:tc>
        <w:tc>
          <w:tcPr>
            <w:tcW w:w="127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15A388BA" w14:textId="77777777" w:rsidR="008940B3" w:rsidRPr="005F75D2" w:rsidRDefault="008940B3" w:rsidP="00E858EF">
            <w:pPr>
              <w:suppressAutoHyphens/>
              <w:rPr>
                <w:sz w:val="20"/>
                <w:szCs w:val="16"/>
              </w:rPr>
            </w:pPr>
            <w:r w:rsidRPr="005F75D2">
              <w:rPr>
                <w:sz w:val="20"/>
                <w:szCs w:val="16"/>
              </w:rPr>
              <w:t>1.5</w:t>
            </w:r>
          </w:p>
        </w:tc>
        <w:tc>
          <w:tcPr>
            <w:tcW w:w="127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3DC0F50D" w14:textId="77777777" w:rsidR="008940B3" w:rsidRPr="005F75D2" w:rsidRDefault="008940B3" w:rsidP="00E858EF">
            <w:pPr>
              <w:suppressAutoHyphens/>
              <w:rPr>
                <w:sz w:val="20"/>
                <w:szCs w:val="16"/>
              </w:rPr>
            </w:pPr>
            <w:r w:rsidRPr="005F75D2">
              <w:rPr>
                <w:color w:val="000000"/>
                <w:sz w:val="20"/>
                <w:szCs w:val="16"/>
              </w:rPr>
              <w:t> 14</w:t>
            </w:r>
          </w:p>
        </w:tc>
      </w:tr>
      <w:tr w:rsidR="008940B3" w:rsidRPr="005F75D2" w14:paraId="75576F8A" w14:textId="77777777" w:rsidTr="00363CE1">
        <w:trPr>
          <w:trHeight w:val="31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421E729D" w14:textId="56A69E11" w:rsidR="008940B3" w:rsidRPr="005F75D2" w:rsidRDefault="008940B3" w:rsidP="00E858EF">
            <w:pPr>
              <w:suppressAutoHyphens/>
              <w:rPr>
                <w:sz w:val="20"/>
                <w:szCs w:val="16"/>
              </w:rPr>
            </w:pPr>
            <w:r w:rsidRPr="005F75D2">
              <w:rPr>
                <w:sz w:val="20"/>
                <w:szCs w:val="16"/>
              </w:rPr>
              <w:t>Dromos length</w:t>
            </w:r>
            <w:r w:rsidR="00363CE1" w:rsidRPr="005F75D2">
              <w:rPr>
                <w:sz w:val="20"/>
                <w:szCs w:val="16"/>
              </w:rPr>
              <w:t xml:space="preserve"> </w:t>
            </w:r>
            <w:r w:rsidRPr="005F75D2">
              <w:rPr>
                <w:sz w:val="20"/>
                <w:szCs w:val="16"/>
              </w:rPr>
              <w:t>in m</w:t>
            </w:r>
          </w:p>
        </w:tc>
        <w:tc>
          <w:tcPr>
            <w:tcW w:w="133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251FC9FA" w14:textId="77777777" w:rsidR="008940B3" w:rsidRPr="005F75D2" w:rsidRDefault="008940B3" w:rsidP="00E858EF">
            <w:pPr>
              <w:suppressAutoHyphens/>
              <w:rPr>
                <w:sz w:val="20"/>
                <w:szCs w:val="16"/>
              </w:rPr>
            </w:pPr>
            <w:r w:rsidRPr="005F75D2">
              <w:rPr>
                <w:sz w:val="20"/>
                <w:szCs w:val="16"/>
              </w:rPr>
              <w:t>7.6</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4F944699" w14:textId="77777777" w:rsidR="008940B3" w:rsidRPr="005F75D2" w:rsidRDefault="008940B3" w:rsidP="00E858EF">
            <w:pPr>
              <w:suppressAutoHyphens/>
              <w:rPr>
                <w:sz w:val="20"/>
                <w:szCs w:val="16"/>
              </w:rPr>
            </w:pPr>
            <w:r w:rsidRPr="005F75D2">
              <w:rPr>
                <w:sz w:val="20"/>
                <w:szCs w:val="16"/>
              </w:rPr>
              <w:t>0.5</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06654011" w14:textId="77777777" w:rsidR="008940B3" w:rsidRPr="005F75D2" w:rsidRDefault="008940B3" w:rsidP="00E858EF">
            <w:pPr>
              <w:suppressAutoHyphens/>
              <w:rPr>
                <w:sz w:val="20"/>
                <w:szCs w:val="16"/>
              </w:rPr>
            </w:pPr>
            <w:r w:rsidRPr="005F75D2">
              <w:rPr>
                <w:color w:val="000000"/>
                <w:sz w:val="20"/>
                <w:szCs w:val="16"/>
              </w:rPr>
              <w:t> 19</w:t>
            </w:r>
          </w:p>
        </w:tc>
      </w:tr>
    </w:tbl>
    <w:p w14:paraId="365EF725"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16"/>
          <w:szCs w:val="16"/>
          <w:highlight w:val="green"/>
        </w:rPr>
      </w:pPr>
    </w:p>
    <w:p w14:paraId="743C2393"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color w:val="000000"/>
          <w:sz w:val="22"/>
          <w:szCs w:val="22"/>
        </w:rPr>
        <w:t>Based on</w:t>
      </w:r>
      <w:r w:rsidRPr="003B5C8D">
        <w:rPr>
          <w:color w:val="000000"/>
          <w:sz w:val="22"/>
          <w:szCs w:val="22"/>
        </w:rPr>
        <w:t xml:space="preserve"> the results of</w:t>
      </w:r>
      <w:r>
        <w:rPr>
          <w:color w:val="000000"/>
          <w:sz w:val="22"/>
          <w:szCs w:val="22"/>
        </w:rPr>
        <w:t xml:space="preserve"> the</w:t>
      </w:r>
      <w:r w:rsidRPr="003B5C8D">
        <w:rPr>
          <w:color w:val="000000"/>
          <w:sz w:val="22"/>
          <w:szCs w:val="22"/>
        </w:rPr>
        <w:t xml:space="preserve"> chamber dimension analysis, four groups have been identified. </w:t>
      </w:r>
    </w:p>
    <w:p w14:paraId="6EB140BE"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210DA5AC" w14:textId="0878DB54" w:rsidR="008940B3" w:rsidRPr="003B5C8D" w:rsidRDefault="008940B3" w:rsidP="00E858EF">
      <w:pPr>
        <w:pStyle w:val="Testofumetto"/>
        <w:suppressAutoHyphens/>
      </w:pPr>
      <w:bookmarkStart w:id="314" w:name="_Toc520212536"/>
      <w:r>
        <w:t>Table 3-4</w:t>
      </w:r>
      <w:r w:rsidR="007D1875">
        <w:t>9</w:t>
      </w:r>
      <w:r>
        <w:t>. Tomb size groups</w:t>
      </w:r>
      <w:r w:rsidR="005E1C18">
        <w:t>,</w:t>
      </w:r>
      <w:r>
        <w:t xml:space="preserve"> Central area</w:t>
      </w:r>
      <w:bookmarkEnd w:id="314"/>
    </w:p>
    <w:tbl>
      <w:tblPr>
        <w:tblW w:w="0" w:type="auto"/>
        <w:tblCellMar>
          <w:left w:w="0" w:type="dxa"/>
          <w:right w:w="0" w:type="dxa"/>
        </w:tblCellMar>
        <w:tblLook w:val="04A0" w:firstRow="1" w:lastRow="0" w:firstColumn="1" w:lastColumn="0" w:noHBand="0" w:noVBand="1"/>
      </w:tblPr>
      <w:tblGrid>
        <w:gridCol w:w="2060"/>
        <w:gridCol w:w="1276"/>
        <w:gridCol w:w="1417"/>
        <w:gridCol w:w="1418"/>
        <w:gridCol w:w="1559"/>
      </w:tblGrid>
      <w:tr w:rsidR="008940B3" w:rsidRPr="005F75D2" w14:paraId="146FDC6A" w14:textId="77777777" w:rsidTr="008940B3">
        <w:trPr>
          <w:trHeight w:val="40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239979A6" w14:textId="77777777" w:rsidR="008940B3" w:rsidRPr="005F75D2" w:rsidRDefault="008940B3" w:rsidP="00E858EF">
            <w:pPr>
              <w:suppressAutoHyphens/>
              <w:jc w:val="center"/>
              <w:rPr>
                <w:sz w:val="20"/>
                <w:szCs w:val="16"/>
              </w:rPr>
            </w:pP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1DC97B1" w14:textId="77777777" w:rsidR="008940B3" w:rsidRPr="005F75D2" w:rsidRDefault="008940B3" w:rsidP="00E858EF">
            <w:pPr>
              <w:suppressAutoHyphens/>
              <w:jc w:val="center"/>
              <w:rPr>
                <w:sz w:val="20"/>
                <w:szCs w:val="16"/>
              </w:rPr>
            </w:pPr>
            <w:r w:rsidRPr="005F75D2">
              <w:rPr>
                <w:sz w:val="20"/>
                <w:szCs w:val="16"/>
              </w:rPr>
              <w:t>Small</w:t>
            </w:r>
          </w:p>
        </w:tc>
        <w:tc>
          <w:tcPr>
            <w:tcW w:w="141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6B43898" w14:textId="77777777" w:rsidR="008940B3" w:rsidRPr="005F75D2" w:rsidRDefault="008940B3" w:rsidP="00E858EF">
            <w:pPr>
              <w:suppressAutoHyphens/>
              <w:jc w:val="center"/>
              <w:rPr>
                <w:sz w:val="20"/>
                <w:szCs w:val="16"/>
              </w:rPr>
            </w:pPr>
            <w:r w:rsidRPr="005F75D2">
              <w:rPr>
                <w:sz w:val="20"/>
                <w:szCs w:val="16"/>
              </w:rPr>
              <w:t>Medium</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AEBEA26" w14:textId="77777777" w:rsidR="008940B3" w:rsidRPr="005F75D2" w:rsidRDefault="008940B3" w:rsidP="00E858EF">
            <w:pPr>
              <w:suppressAutoHyphens/>
              <w:jc w:val="center"/>
              <w:rPr>
                <w:sz w:val="20"/>
                <w:szCs w:val="16"/>
              </w:rPr>
            </w:pPr>
            <w:r w:rsidRPr="005F75D2">
              <w:rPr>
                <w:sz w:val="20"/>
                <w:szCs w:val="16"/>
              </w:rPr>
              <w:t>Large</w:t>
            </w:r>
          </w:p>
        </w:tc>
        <w:tc>
          <w:tcPr>
            <w:tcW w:w="1559" w:type="dxa"/>
            <w:tcBorders>
              <w:top w:val="single" w:sz="6" w:space="0" w:color="000000"/>
              <w:left w:val="single" w:sz="6" w:space="0" w:color="000000"/>
              <w:bottom w:val="single" w:sz="6" w:space="0" w:color="000000"/>
              <w:right w:val="single" w:sz="6" w:space="0" w:color="000000"/>
            </w:tcBorders>
          </w:tcPr>
          <w:p w14:paraId="67827FDB" w14:textId="77777777" w:rsidR="008940B3" w:rsidRPr="005F75D2" w:rsidRDefault="008940B3" w:rsidP="00E858EF">
            <w:pPr>
              <w:suppressAutoHyphens/>
              <w:jc w:val="center"/>
              <w:rPr>
                <w:sz w:val="20"/>
                <w:szCs w:val="16"/>
              </w:rPr>
            </w:pPr>
            <w:r w:rsidRPr="005F75D2">
              <w:rPr>
                <w:sz w:val="20"/>
                <w:szCs w:val="16"/>
              </w:rPr>
              <w:t>Extra-Large</w:t>
            </w:r>
          </w:p>
        </w:tc>
      </w:tr>
      <w:tr w:rsidR="008940B3" w:rsidRPr="005F75D2" w14:paraId="5BDDD6FB" w14:textId="77777777" w:rsidTr="008940B3">
        <w:trPr>
          <w:trHeight w:val="315"/>
        </w:trPr>
        <w:tc>
          <w:tcPr>
            <w:tcW w:w="206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2267788B" w14:textId="77777777" w:rsidR="008940B3" w:rsidRPr="005F75D2" w:rsidRDefault="008940B3" w:rsidP="00E858EF">
            <w:pPr>
              <w:suppressAutoHyphens/>
              <w:jc w:val="left"/>
              <w:rPr>
                <w:sz w:val="20"/>
                <w:szCs w:val="16"/>
              </w:rPr>
            </w:pPr>
            <w:r w:rsidRPr="005F75D2">
              <w:rPr>
                <w:color w:val="000000"/>
                <w:sz w:val="20"/>
                <w:szCs w:val="16"/>
              </w:rPr>
              <w:t>Chamber area in sq.m.</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76884283" w14:textId="77777777" w:rsidR="008940B3" w:rsidRPr="005F75D2" w:rsidRDefault="008940B3" w:rsidP="00E858EF">
            <w:pPr>
              <w:suppressAutoHyphens/>
              <w:jc w:val="center"/>
              <w:rPr>
                <w:sz w:val="20"/>
                <w:szCs w:val="16"/>
              </w:rPr>
            </w:pPr>
            <w:r w:rsidRPr="005F75D2">
              <w:rPr>
                <w:sz w:val="20"/>
                <w:szCs w:val="16"/>
              </w:rPr>
              <w:t>0-6</w:t>
            </w:r>
          </w:p>
        </w:tc>
        <w:tc>
          <w:tcPr>
            <w:tcW w:w="1417"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646C8982" w14:textId="77777777" w:rsidR="008940B3" w:rsidRPr="005F75D2" w:rsidRDefault="008940B3" w:rsidP="00E858EF">
            <w:pPr>
              <w:suppressAutoHyphens/>
              <w:jc w:val="center"/>
              <w:rPr>
                <w:sz w:val="20"/>
                <w:szCs w:val="16"/>
              </w:rPr>
            </w:pPr>
            <w:r w:rsidRPr="005F75D2">
              <w:rPr>
                <w:sz w:val="20"/>
                <w:szCs w:val="16"/>
              </w:rPr>
              <w:t>7-12</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32E42C0D" w14:textId="77777777" w:rsidR="008940B3" w:rsidRPr="005F75D2" w:rsidRDefault="008940B3" w:rsidP="00E858EF">
            <w:pPr>
              <w:suppressAutoHyphens/>
              <w:jc w:val="center"/>
              <w:rPr>
                <w:sz w:val="20"/>
                <w:szCs w:val="16"/>
              </w:rPr>
            </w:pPr>
            <w:r w:rsidRPr="005F75D2">
              <w:rPr>
                <w:color w:val="000000"/>
                <w:sz w:val="20"/>
                <w:szCs w:val="16"/>
              </w:rPr>
              <w:t>13-18</w:t>
            </w:r>
          </w:p>
        </w:tc>
        <w:tc>
          <w:tcPr>
            <w:tcW w:w="1559" w:type="dxa"/>
            <w:tcBorders>
              <w:top w:val="single" w:sz="6" w:space="0" w:color="000000"/>
              <w:left w:val="single" w:sz="6" w:space="0" w:color="000000"/>
              <w:bottom w:val="single" w:sz="6" w:space="0" w:color="000000"/>
              <w:right w:val="single" w:sz="6" w:space="0" w:color="000000"/>
            </w:tcBorders>
            <w:shd w:val="clear" w:color="auto" w:fill="EFEFEF"/>
          </w:tcPr>
          <w:p w14:paraId="767AB0CE" w14:textId="77777777" w:rsidR="008940B3" w:rsidRPr="005F75D2" w:rsidRDefault="008940B3" w:rsidP="00E858EF">
            <w:pPr>
              <w:suppressAutoHyphens/>
              <w:jc w:val="center"/>
              <w:rPr>
                <w:color w:val="000000"/>
                <w:sz w:val="20"/>
                <w:szCs w:val="16"/>
              </w:rPr>
            </w:pPr>
            <w:r w:rsidRPr="005F75D2">
              <w:rPr>
                <w:color w:val="000000"/>
                <w:sz w:val="20"/>
                <w:szCs w:val="16"/>
              </w:rPr>
              <w:t>19-24</w:t>
            </w:r>
          </w:p>
        </w:tc>
      </w:tr>
      <w:tr w:rsidR="008940B3" w:rsidRPr="005F75D2" w14:paraId="23E43394" w14:textId="77777777" w:rsidTr="008940B3">
        <w:trPr>
          <w:trHeight w:val="31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88D36AB" w14:textId="77777777" w:rsidR="008940B3" w:rsidRPr="005F75D2" w:rsidRDefault="008940B3" w:rsidP="00E858EF">
            <w:pPr>
              <w:suppressAutoHyphens/>
              <w:jc w:val="left"/>
              <w:rPr>
                <w:sz w:val="20"/>
                <w:szCs w:val="16"/>
              </w:rPr>
            </w:pPr>
            <w:r w:rsidRPr="005F75D2">
              <w:rPr>
                <w:sz w:val="20"/>
                <w:szCs w:val="16"/>
              </w:rPr>
              <w:t>Number of tombs within each group</w:t>
            </w: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C773603" w14:textId="77777777" w:rsidR="008940B3" w:rsidRPr="005F75D2" w:rsidRDefault="008940B3" w:rsidP="00E858EF">
            <w:pPr>
              <w:suppressAutoHyphens/>
              <w:jc w:val="center"/>
              <w:rPr>
                <w:sz w:val="20"/>
                <w:szCs w:val="16"/>
              </w:rPr>
            </w:pPr>
            <w:r w:rsidRPr="005F75D2">
              <w:rPr>
                <w:sz w:val="20"/>
                <w:szCs w:val="16"/>
              </w:rPr>
              <w:t>21</w:t>
            </w:r>
          </w:p>
        </w:tc>
        <w:tc>
          <w:tcPr>
            <w:tcW w:w="141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45FB62E" w14:textId="77777777" w:rsidR="008940B3" w:rsidRPr="005F75D2" w:rsidRDefault="008940B3" w:rsidP="00E858EF">
            <w:pPr>
              <w:suppressAutoHyphens/>
              <w:jc w:val="center"/>
              <w:rPr>
                <w:sz w:val="20"/>
                <w:szCs w:val="16"/>
              </w:rPr>
            </w:pPr>
            <w:r w:rsidRPr="005F75D2">
              <w:rPr>
                <w:sz w:val="20"/>
                <w:szCs w:val="16"/>
              </w:rPr>
              <w:t>11</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76DCD92D" w14:textId="77777777" w:rsidR="008940B3" w:rsidRPr="005F75D2" w:rsidRDefault="008940B3" w:rsidP="00E858EF">
            <w:pPr>
              <w:suppressAutoHyphens/>
              <w:jc w:val="center"/>
              <w:rPr>
                <w:sz w:val="20"/>
                <w:szCs w:val="16"/>
              </w:rPr>
            </w:pPr>
            <w:r w:rsidRPr="005F75D2">
              <w:rPr>
                <w:color w:val="000000"/>
                <w:sz w:val="20"/>
                <w:szCs w:val="16"/>
              </w:rPr>
              <w:t>1</w:t>
            </w:r>
          </w:p>
        </w:tc>
        <w:tc>
          <w:tcPr>
            <w:tcW w:w="1559" w:type="dxa"/>
            <w:tcBorders>
              <w:top w:val="single" w:sz="6" w:space="0" w:color="000000"/>
              <w:left w:val="single" w:sz="6" w:space="0" w:color="000000"/>
              <w:bottom w:val="single" w:sz="6" w:space="0" w:color="000000"/>
              <w:right w:val="single" w:sz="6" w:space="0" w:color="000000"/>
            </w:tcBorders>
          </w:tcPr>
          <w:p w14:paraId="118484B8" w14:textId="77777777" w:rsidR="008940B3" w:rsidRPr="005F75D2" w:rsidRDefault="008940B3" w:rsidP="00E858EF">
            <w:pPr>
              <w:suppressAutoHyphens/>
              <w:jc w:val="center"/>
              <w:rPr>
                <w:color w:val="000000"/>
                <w:sz w:val="20"/>
                <w:szCs w:val="16"/>
              </w:rPr>
            </w:pPr>
            <w:r w:rsidRPr="005F75D2">
              <w:rPr>
                <w:color w:val="000000"/>
                <w:sz w:val="20"/>
                <w:szCs w:val="16"/>
              </w:rPr>
              <w:t>0</w:t>
            </w:r>
          </w:p>
        </w:tc>
      </w:tr>
    </w:tbl>
    <w:p w14:paraId="049B791B"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5B81A718" w14:textId="77777777" w:rsidR="008940B3" w:rsidRDefault="008940B3" w:rsidP="005F75D2">
      <w:r w:rsidRPr="003B5C8D">
        <w:t>From the data collected from the tombs</w:t>
      </w:r>
      <w:r>
        <w:t>,</w:t>
      </w:r>
      <w:r w:rsidRPr="003B5C8D">
        <w:t xml:space="preserve"> for which both values are registered, </w:t>
      </w:r>
      <w:r>
        <w:t xml:space="preserve">the </w:t>
      </w:r>
      <w:r w:rsidRPr="003B5C8D">
        <w:t>chamber and dromos dimension</w:t>
      </w:r>
      <w:r>
        <w:t>s cannot be considered proportional.</w:t>
      </w:r>
    </w:p>
    <w:p w14:paraId="17F43CF5"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0FD33270" w14:textId="39C1A7E7" w:rsidR="008940B3" w:rsidRPr="003B5C8D" w:rsidRDefault="008940B3" w:rsidP="00E858EF">
      <w:pPr>
        <w:pStyle w:val="Testofumetto"/>
        <w:suppressAutoHyphens/>
      </w:pPr>
      <w:bookmarkStart w:id="315" w:name="_Toc520212537"/>
      <w:r>
        <w:t>Table 3-</w:t>
      </w:r>
      <w:r w:rsidR="007D1875">
        <w:t>50</w:t>
      </w:r>
      <w:r w:rsidR="005B2899">
        <w:t>.</w:t>
      </w:r>
      <w:r>
        <w:t xml:space="preserve"> Tomb size and dromos length comparison</w:t>
      </w:r>
      <w:r w:rsidR="005E1C18">
        <w:t>,</w:t>
      </w:r>
      <w:r>
        <w:t xml:space="preserve"> Central area</w:t>
      </w:r>
      <w:bookmarkEnd w:id="315"/>
    </w:p>
    <w:tbl>
      <w:tblPr>
        <w:tblW w:w="0" w:type="auto"/>
        <w:tblCellMar>
          <w:left w:w="0" w:type="dxa"/>
          <w:right w:w="0" w:type="dxa"/>
        </w:tblCellMar>
        <w:tblLook w:val="04A0" w:firstRow="1" w:lastRow="0" w:firstColumn="1" w:lastColumn="0" w:noHBand="0" w:noVBand="1"/>
      </w:tblPr>
      <w:tblGrid>
        <w:gridCol w:w="2060"/>
        <w:gridCol w:w="1330"/>
      </w:tblGrid>
      <w:tr w:rsidR="008940B3" w:rsidRPr="005F75D2" w14:paraId="2125790E" w14:textId="77777777" w:rsidTr="00363CE1">
        <w:trPr>
          <w:trHeight w:val="40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3442A557" w14:textId="77777777" w:rsidR="008940B3" w:rsidRPr="005F75D2" w:rsidRDefault="008940B3" w:rsidP="00E858EF">
            <w:pPr>
              <w:suppressAutoHyphens/>
              <w:rPr>
                <w:sz w:val="20"/>
                <w:szCs w:val="16"/>
              </w:rPr>
            </w:pPr>
          </w:p>
        </w:tc>
        <w:tc>
          <w:tcPr>
            <w:tcW w:w="133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7BCDCC59" w14:textId="77777777" w:rsidR="008940B3" w:rsidRPr="005F75D2" w:rsidRDefault="008940B3" w:rsidP="00E858EF">
            <w:pPr>
              <w:suppressAutoHyphens/>
              <w:jc w:val="center"/>
              <w:rPr>
                <w:sz w:val="20"/>
                <w:szCs w:val="16"/>
              </w:rPr>
            </w:pPr>
            <w:r w:rsidRPr="005F75D2">
              <w:rPr>
                <w:sz w:val="20"/>
                <w:szCs w:val="16"/>
              </w:rPr>
              <w:t>Mean</w:t>
            </w:r>
          </w:p>
        </w:tc>
      </w:tr>
      <w:tr w:rsidR="008940B3" w:rsidRPr="005F75D2" w14:paraId="0BCA95B4" w14:textId="77777777" w:rsidTr="00363CE1">
        <w:trPr>
          <w:trHeight w:val="315"/>
        </w:trPr>
        <w:tc>
          <w:tcPr>
            <w:tcW w:w="206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35A1D857" w14:textId="77777777" w:rsidR="008940B3" w:rsidRPr="005F75D2" w:rsidRDefault="008940B3" w:rsidP="00E858EF">
            <w:pPr>
              <w:suppressAutoHyphens/>
              <w:rPr>
                <w:sz w:val="20"/>
                <w:szCs w:val="16"/>
              </w:rPr>
            </w:pPr>
            <w:r w:rsidRPr="005F75D2">
              <w:rPr>
                <w:color w:val="000000"/>
                <w:sz w:val="20"/>
                <w:szCs w:val="16"/>
              </w:rPr>
              <w:t>Chamber area in sq.m.</w:t>
            </w:r>
          </w:p>
        </w:tc>
        <w:tc>
          <w:tcPr>
            <w:tcW w:w="133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1CF55BAC" w14:textId="77777777" w:rsidR="008940B3" w:rsidRPr="005F75D2" w:rsidRDefault="008940B3" w:rsidP="00E858EF">
            <w:pPr>
              <w:suppressAutoHyphens/>
              <w:jc w:val="center"/>
              <w:rPr>
                <w:sz w:val="20"/>
                <w:szCs w:val="16"/>
              </w:rPr>
            </w:pPr>
            <w:r w:rsidRPr="005F75D2">
              <w:rPr>
                <w:sz w:val="20"/>
                <w:szCs w:val="16"/>
              </w:rPr>
              <w:t>6.1</w:t>
            </w:r>
          </w:p>
        </w:tc>
      </w:tr>
      <w:tr w:rsidR="008940B3" w:rsidRPr="005F75D2" w14:paraId="4E5AFE22" w14:textId="77777777" w:rsidTr="00363CE1">
        <w:trPr>
          <w:trHeight w:val="31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5744056F" w14:textId="2F0D2A9D" w:rsidR="008940B3" w:rsidRPr="005F75D2" w:rsidRDefault="008940B3" w:rsidP="00E858EF">
            <w:pPr>
              <w:suppressAutoHyphens/>
              <w:rPr>
                <w:sz w:val="20"/>
                <w:szCs w:val="16"/>
              </w:rPr>
            </w:pPr>
            <w:r w:rsidRPr="005F75D2">
              <w:rPr>
                <w:sz w:val="20"/>
                <w:szCs w:val="16"/>
              </w:rPr>
              <w:t>Dromos length</w:t>
            </w:r>
            <w:r w:rsidR="00363CE1" w:rsidRPr="005F75D2">
              <w:rPr>
                <w:sz w:val="20"/>
                <w:szCs w:val="16"/>
              </w:rPr>
              <w:t xml:space="preserve"> </w:t>
            </w:r>
            <w:r w:rsidRPr="005F75D2">
              <w:rPr>
                <w:sz w:val="20"/>
                <w:szCs w:val="16"/>
              </w:rPr>
              <w:t>in m</w:t>
            </w:r>
          </w:p>
        </w:tc>
        <w:tc>
          <w:tcPr>
            <w:tcW w:w="133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67915AF3" w14:textId="77777777" w:rsidR="008940B3" w:rsidRPr="005F75D2" w:rsidRDefault="008940B3" w:rsidP="00E858EF">
            <w:pPr>
              <w:suppressAutoHyphens/>
              <w:jc w:val="center"/>
              <w:rPr>
                <w:sz w:val="20"/>
                <w:szCs w:val="16"/>
              </w:rPr>
            </w:pPr>
            <w:r w:rsidRPr="005F75D2">
              <w:rPr>
                <w:sz w:val="20"/>
                <w:szCs w:val="16"/>
              </w:rPr>
              <w:t>7.6</w:t>
            </w:r>
          </w:p>
        </w:tc>
      </w:tr>
    </w:tbl>
    <w:p w14:paraId="13D440BC"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FBE42C6" w14:textId="77777777" w:rsidR="005F75D2" w:rsidRDefault="005F75D2">
      <w:pPr>
        <w:widowControl/>
        <w:spacing w:line="240" w:lineRule="auto"/>
        <w:contextualSpacing w:val="0"/>
        <w:jc w:val="left"/>
        <w:rPr>
          <w:rFonts w:cs="Lucida Grande"/>
          <w:b/>
          <w:sz w:val="20"/>
          <w:szCs w:val="18"/>
        </w:rPr>
      </w:pPr>
      <w:r>
        <w:br w:type="page"/>
      </w:r>
    </w:p>
    <w:p w14:paraId="50C432BB" w14:textId="78BE7F0A" w:rsidR="008940B3" w:rsidRPr="003B5C8D" w:rsidRDefault="008940B3" w:rsidP="00E858EF">
      <w:pPr>
        <w:pStyle w:val="Testofumetto"/>
        <w:suppressAutoHyphens/>
      </w:pPr>
      <w:bookmarkStart w:id="316" w:name="_Toc520212538"/>
      <w:r>
        <w:t>Table 3-</w:t>
      </w:r>
      <w:r w:rsidR="007D1875">
        <w:t>51</w:t>
      </w:r>
      <w:r>
        <w:t>. Tomb size and dromos length comparison according to tomb size groups</w:t>
      </w:r>
      <w:r w:rsidR="005E1C18">
        <w:t>,</w:t>
      </w:r>
      <w:r>
        <w:t xml:space="preserve"> Central area</w:t>
      </w:r>
      <w:bookmarkEnd w:id="316"/>
    </w:p>
    <w:tbl>
      <w:tblPr>
        <w:tblW w:w="0" w:type="auto"/>
        <w:tblCellMar>
          <w:left w:w="0" w:type="dxa"/>
          <w:right w:w="0" w:type="dxa"/>
        </w:tblCellMar>
        <w:tblLook w:val="04A0" w:firstRow="1" w:lastRow="0" w:firstColumn="1" w:lastColumn="0" w:noHBand="0" w:noVBand="1"/>
      </w:tblPr>
      <w:tblGrid>
        <w:gridCol w:w="2060"/>
        <w:gridCol w:w="1276"/>
        <w:gridCol w:w="1418"/>
        <w:gridCol w:w="1418"/>
      </w:tblGrid>
      <w:tr w:rsidR="008940B3" w:rsidRPr="005F75D2" w14:paraId="15E6E6A4" w14:textId="77777777" w:rsidTr="008940B3">
        <w:trPr>
          <w:trHeight w:val="40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1DAFFE3" w14:textId="77777777" w:rsidR="008940B3" w:rsidRPr="005F75D2" w:rsidRDefault="008940B3" w:rsidP="00E858EF">
            <w:pPr>
              <w:suppressAutoHyphens/>
              <w:rPr>
                <w:sz w:val="20"/>
                <w:szCs w:val="16"/>
              </w:rPr>
            </w:pP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99753AD" w14:textId="77777777" w:rsidR="008940B3" w:rsidRPr="005F75D2" w:rsidRDefault="008940B3" w:rsidP="00E858EF">
            <w:pPr>
              <w:suppressAutoHyphens/>
              <w:jc w:val="center"/>
              <w:rPr>
                <w:sz w:val="20"/>
                <w:szCs w:val="16"/>
              </w:rPr>
            </w:pPr>
            <w:r w:rsidRPr="005F75D2">
              <w:rPr>
                <w:b/>
                <w:sz w:val="20"/>
                <w:szCs w:val="16"/>
              </w:rPr>
              <w:t>Small</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D71CDC4" w14:textId="77777777" w:rsidR="008940B3" w:rsidRPr="005F75D2" w:rsidRDefault="008940B3" w:rsidP="00E858EF">
            <w:pPr>
              <w:suppressAutoHyphens/>
              <w:jc w:val="center"/>
              <w:rPr>
                <w:sz w:val="20"/>
                <w:szCs w:val="16"/>
              </w:rPr>
            </w:pPr>
            <w:r w:rsidRPr="005F75D2">
              <w:rPr>
                <w:b/>
                <w:sz w:val="20"/>
                <w:szCs w:val="16"/>
              </w:rPr>
              <w:t>Medium</w:t>
            </w:r>
          </w:p>
        </w:tc>
        <w:tc>
          <w:tcPr>
            <w:tcW w:w="1418" w:type="dxa"/>
            <w:tcBorders>
              <w:top w:val="single" w:sz="6" w:space="0" w:color="000000"/>
              <w:left w:val="single" w:sz="6" w:space="0" w:color="000000"/>
              <w:bottom w:val="single" w:sz="6" w:space="0" w:color="000000"/>
              <w:right w:val="single" w:sz="6" w:space="0" w:color="000000"/>
            </w:tcBorders>
          </w:tcPr>
          <w:p w14:paraId="71EFC1B3" w14:textId="77777777" w:rsidR="008940B3" w:rsidRPr="005F75D2" w:rsidRDefault="008940B3" w:rsidP="00E858EF">
            <w:pPr>
              <w:suppressAutoHyphens/>
              <w:jc w:val="center"/>
              <w:rPr>
                <w:sz w:val="20"/>
                <w:szCs w:val="16"/>
              </w:rPr>
            </w:pPr>
            <w:r w:rsidRPr="005F75D2">
              <w:rPr>
                <w:b/>
                <w:sz w:val="20"/>
                <w:szCs w:val="16"/>
              </w:rPr>
              <w:t>Large</w:t>
            </w:r>
          </w:p>
        </w:tc>
      </w:tr>
      <w:tr w:rsidR="008940B3" w:rsidRPr="005F75D2" w14:paraId="532D12F8" w14:textId="77777777" w:rsidTr="008940B3">
        <w:trPr>
          <w:trHeight w:val="315"/>
        </w:trPr>
        <w:tc>
          <w:tcPr>
            <w:tcW w:w="206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562AE9BC" w14:textId="77777777" w:rsidR="008940B3" w:rsidRPr="005F75D2" w:rsidRDefault="008940B3" w:rsidP="00E858EF">
            <w:pPr>
              <w:suppressAutoHyphens/>
              <w:rPr>
                <w:sz w:val="20"/>
                <w:szCs w:val="16"/>
              </w:rPr>
            </w:pPr>
            <w:r w:rsidRPr="005F75D2">
              <w:rPr>
                <w:color w:val="000000"/>
                <w:sz w:val="20"/>
                <w:szCs w:val="16"/>
              </w:rPr>
              <w:t>Chamber area in sq.m.</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4755A810" w14:textId="77777777" w:rsidR="008940B3" w:rsidRPr="005F75D2" w:rsidRDefault="008940B3" w:rsidP="00E858EF">
            <w:pPr>
              <w:suppressAutoHyphens/>
              <w:jc w:val="center"/>
              <w:rPr>
                <w:sz w:val="20"/>
                <w:szCs w:val="16"/>
              </w:rPr>
            </w:pPr>
            <w:r w:rsidRPr="005F75D2">
              <w:rPr>
                <w:b/>
                <w:sz w:val="20"/>
                <w:szCs w:val="16"/>
              </w:rPr>
              <w:t>0-6</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3C1D54B1" w14:textId="77777777" w:rsidR="008940B3" w:rsidRPr="005F75D2" w:rsidRDefault="008940B3" w:rsidP="00E858EF">
            <w:pPr>
              <w:suppressAutoHyphens/>
              <w:jc w:val="center"/>
              <w:rPr>
                <w:sz w:val="20"/>
                <w:szCs w:val="16"/>
              </w:rPr>
            </w:pPr>
            <w:r w:rsidRPr="005F75D2">
              <w:rPr>
                <w:b/>
                <w:sz w:val="20"/>
                <w:szCs w:val="16"/>
              </w:rPr>
              <w:t>7-12</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Pr>
          <w:p w14:paraId="4C46CCD6" w14:textId="77777777" w:rsidR="008940B3" w:rsidRPr="005F75D2" w:rsidRDefault="008940B3" w:rsidP="00E858EF">
            <w:pPr>
              <w:suppressAutoHyphens/>
              <w:jc w:val="center"/>
              <w:rPr>
                <w:color w:val="000000"/>
                <w:sz w:val="20"/>
                <w:szCs w:val="16"/>
              </w:rPr>
            </w:pPr>
            <w:r w:rsidRPr="005F75D2">
              <w:rPr>
                <w:b/>
                <w:color w:val="000000"/>
                <w:sz w:val="20"/>
                <w:szCs w:val="16"/>
              </w:rPr>
              <w:t>13-18</w:t>
            </w:r>
          </w:p>
        </w:tc>
      </w:tr>
      <w:tr w:rsidR="008940B3" w:rsidRPr="005F75D2" w14:paraId="6C1077E4" w14:textId="77777777" w:rsidTr="008940B3">
        <w:trPr>
          <w:trHeight w:val="31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033D9D26" w14:textId="77777777" w:rsidR="008940B3" w:rsidRPr="005F75D2" w:rsidRDefault="008940B3" w:rsidP="00E858EF">
            <w:pPr>
              <w:suppressAutoHyphens/>
              <w:rPr>
                <w:sz w:val="20"/>
                <w:szCs w:val="16"/>
              </w:rPr>
            </w:pPr>
            <w:r w:rsidRPr="005F75D2">
              <w:rPr>
                <w:sz w:val="20"/>
                <w:szCs w:val="16"/>
              </w:rPr>
              <w:t>Dromos</w:t>
            </w: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6DC2613E" w14:textId="77777777" w:rsidR="008940B3" w:rsidRPr="005F75D2" w:rsidRDefault="008940B3" w:rsidP="00E858EF">
            <w:pPr>
              <w:suppressAutoHyphens/>
              <w:jc w:val="center"/>
              <w:rPr>
                <w:sz w:val="20"/>
                <w:szCs w:val="16"/>
              </w:rPr>
            </w:pPr>
            <w:r w:rsidRPr="005F75D2">
              <w:rPr>
                <w:sz w:val="20"/>
                <w:szCs w:val="16"/>
              </w:rPr>
              <w:t>≤18.4</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55196855" w14:textId="27289637" w:rsidR="008940B3" w:rsidRPr="005F75D2" w:rsidRDefault="008940B3" w:rsidP="00E858EF">
            <w:pPr>
              <w:suppressAutoHyphens/>
              <w:jc w:val="center"/>
              <w:rPr>
                <w:sz w:val="20"/>
                <w:szCs w:val="16"/>
              </w:rPr>
            </w:pPr>
            <w:r w:rsidRPr="005F75D2">
              <w:rPr>
                <w:sz w:val="20"/>
                <w:szCs w:val="16"/>
              </w:rPr>
              <w:t>≤10</w:t>
            </w:r>
          </w:p>
        </w:tc>
        <w:tc>
          <w:tcPr>
            <w:tcW w:w="1418" w:type="dxa"/>
            <w:tcBorders>
              <w:top w:val="single" w:sz="6" w:space="0" w:color="000000"/>
              <w:left w:val="single" w:sz="6" w:space="0" w:color="000000"/>
              <w:bottom w:val="single" w:sz="6" w:space="0" w:color="000000"/>
              <w:right w:val="single" w:sz="6" w:space="0" w:color="000000"/>
            </w:tcBorders>
          </w:tcPr>
          <w:p w14:paraId="4AC46982" w14:textId="77777777" w:rsidR="008940B3" w:rsidRPr="005F75D2" w:rsidRDefault="008940B3" w:rsidP="00E858EF">
            <w:pPr>
              <w:suppressAutoHyphens/>
              <w:jc w:val="center"/>
              <w:rPr>
                <w:color w:val="000000"/>
                <w:sz w:val="20"/>
                <w:szCs w:val="16"/>
              </w:rPr>
            </w:pPr>
            <w:r w:rsidRPr="005F75D2">
              <w:rPr>
                <w:sz w:val="20"/>
                <w:szCs w:val="16"/>
              </w:rPr>
              <w:t>≤19</w:t>
            </w:r>
          </w:p>
        </w:tc>
      </w:tr>
    </w:tbl>
    <w:p w14:paraId="4ED45399"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297F278" w14:textId="77777777" w:rsidR="008940B3" w:rsidRPr="005F75D2"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5F75D2">
        <w:rPr>
          <w:color w:val="000000"/>
        </w:rPr>
        <w:t>The following architectural features are present on the tombs of the Central region:</w:t>
      </w:r>
    </w:p>
    <w:p w14:paraId="5A3DAFEC" w14:textId="77777777" w:rsidR="008940B3" w:rsidRPr="005F75D2"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5F75D2">
        <w:rPr>
          <w:color w:val="000000"/>
        </w:rPr>
        <w:t>Pits or niches in the chamber and/or dromos</w:t>
      </w:r>
    </w:p>
    <w:p w14:paraId="0B92D1C5" w14:textId="77777777" w:rsidR="008940B3" w:rsidRPr="005F75D2"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5F75D2">
        <w:rPr>
          <w:color w:val="000000"/>
        </w:rPr>
        <w:t xml:space="preserve">Monumental </w:t>
      </w:r>
      <w:r w:rsidRPr="005F75D2">
        <w:rPr>
          <w:i/>
          <w:color w:val="000000"/>
        </w:rPr>
        <w:t>stomion</w:t>
      </w:r>
      <w:r w:rsidRPr="005F75D2">
        <w:rPr>
          <w:color w:val="000000"/>
        </w:rPr>
        <w:t xml:space="preserve"> or hall</w:t>
      </w:r>
    </w:p>
    <w:p w14:paraId="1A862EA9" w14:textId="77777777" w:rsidR="008940B3" w:rsidRPr="005F75D2"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5F75D2">
        <w:rPr>
          <w:color w:val="000000"/>
        </w:rPr>
        <w:t>Monumental dromos with stairs</w:t>
      </w:r>
    </w:p>
    <w:p w14:paraId="28B8D6CC" w14:textId="77777777" w:rsidR="008940B3" w:rsidRPr="005F75D2"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5F75D2">
        <w:rPr>
          <w:color w:val="000000"/>
        </w:rPr>
        <w:t>Presence of annex to the tomb chamber</w:t>
      </w:r>
    </w:p>
    <w:p w14:paraId="56151BF0" w14:textId="77777777" w:rsidR="008940B3" w:rsidRPr="005F75D2"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5F75D2">
        <w:rPr>
          <w:color w:val="000000"/>
        </w:rPr>
        <w:t>These features occur in 18 tombs from the sample. For some cemeteries or tombs, as with other regions, no specific information is available.</w:t>
      </w:r>
    </w:p>
    <w:p w14:paraId="02DD9923" w14:textId="77777777" w:rsidR="008940B3" w:rsidRPr="005F75D2"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0A488A1E" w14:textId="0FF920D9" w:rsidR="008940B3" w:rsidRPr="003B5C8D" w:rsidRDefault="008940B3" w:rsidP="00E858EF">
      <w:pPr>
        <w:pStyle w:val="Testofumetto"/>
        <w:suppressAutoHyphens/>
      </w:pPr>
      <w:bookmarkStart w:id="317" w:name="_Toc520212539"/>
      <w:r>
        <w:t>Table 3-5</w:t>
      </w:r>
      <w:r w:rsidR="00D5122E">
        <w:t>1a</w:t>
      </w:r>
      <w:r>
        <w:t>. Occurrence of monumental features in Central area</w:t>
      </w:r>
      <w:bookmarkEnd w:id="317"/>
    </w:p>
    <w:tbl>
      <w:tblPr>
        <w:tblW w:w="0" w:type="auto"/>
        <w:tblCellMar>
          <w:left w:w="0" w:type="dxa"/>
          <w:right w:w="0" w:type="dxa"/>
        </w:tblCellMar>
        <w:tblLook w:val="04A0" w:firstRow="1" w:lastRow="0" w:firstColumn="1" w:lastColumn="0" w:noHBand="0" w:noVBand="1"/>
      </w:tblPr>
      <w:tblGrid>
        <w:gridCol w:w="1275"/>
        <w:gridCol w:w="2344"/>
        <w:gridCol w:w="1701"/>
        <w:gridCol w:w="1985"/>
        <w:gridCol w:w="992"/>
      </w:tblGrid>
      <w:tr w:rsidR="008940B3" w:rsidRPr="005F75D2" w14:paraId="05D77774" w14:textId="77777777" w:rsidTr="008940B3">
        <w:trPr>
          <w:trHeight w:val="405"/>
        </w:trPr>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BE74F6F" w14:textId="77777777" w:rsidR="008940B3" w:rsidRPr="005F75D2" w:rsidRDefault="008940B3" w:rsidP="00E858EF">
            <w:pPr>
              <w:suppressAutoHyphens/>
              <w:jc w:val="center"/>
              <w:rPr>
                <w:sz w:val="20"/>
                <w:szCs w:val="16"/>
              </w:rPr>
            </w:pPr>
          </w:p>
        </w:tc>
        <w:tc>
          <w:tcPr>
            <w:tcW w:w="234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3DF1814" w14:textId="77777777" w:rsidR="008940B3" w:rsidRPr="005F75D2" w:rsidRDefault="008940B3" w:rsidP="00E858EF">
            <w:pPr>
              <w:suppressAutoHyphens/>
              <w:jc w:val="center"/>
              <w:rPr>
                <w:sz w:val="20"/>
                <w:szCs w:val="16"/>
              </w:rPr>
            </w:pPr>
            <w:r w:rsidRPr="005F75D2">
              <w:rPr>
                <w:sz w:val="20"/>
                <w:szCs w:val="16"/>
              </w:rPr>
              <w:t>No architectural features</w:t>
            </w:r>
          </w:p>
        </w:tc>
        <w:tc>
          <w:tcPr>
            <w:tcW w:w="1701"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70AB7BC9" w14:textId="77777777" w:rsidR="008940B3" w:rsidRPr="005F75D2" w:rsidRDefault="008940B3" w:rsidP="00E858EF">
            <w:pPr>
              <w:suppressAutoHyphens/>
              <w:jc w:val="center"/>
              <w:rPr>
                <w:sz w:val="20"/>
                <w:szCs w:val="16"/>
              </w:rPr>
            </w:pPr>
            <w:r w:rsidRPr="005F75D2">
              <w:rPr>
                <w:sz w:val="20"/>
                <w:szCs w:val="16"/>
              </w:rPr>
              <w:t>1 arch. feature</w:t>
            </w:r>
          </w:p>
        </w:tc>
        <w:tc>
          <w:tcPr>
            <w:tcW w:w="198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7DB8BF45" w14:textId="77777777" w:rsidR="008940B3" w:rsidRPr="005F75D2" w:rsidRDefault="008940B3" w:rsidP="00E858EF">
            <w:pPr>
              <w:suppressAutoHyphens/>
              <w:jc w:val="center"/>
              <w:rPr>
                <w:sz w:val="20"/>
                <w:szCs w:val="16"/>
              </w:rPr>
            </w:pPr>
            <w:r w:rsidRPr="005F75D2">
              <w:rPr>
                <w:rFonts w:eastAsia="MS Gothic"/>
                <w:color w:val="000000"/>
                <w:sz w:val="20"/>
                <w:szCs w:val="16"/>
              </w:rPr>
              <w:t xml:space="preserve">≥2 </w:t>
            </w:r>
            <w:r w:rsidRPr="005F75D2">
              <w:rPr>
                <w:sz w:val="20"/>
                <w:szCs w:val="16"/>
              </w:rPr>
              <w:t>arch. features</w:t>
            </w:r>
          </w:p>
        </w:tc>
        <w:tc>
          <w:tcPr>
            <w:tcW w:w="992" w:type="dxa"/>
            <w:tcBorders>
              <w:top w:val="single" w:sz="6" w:space="0" w:color="000000"/>
              <w:left w:val="single" w:sz="6" w:space="0" w:color="000000"/>
              <w:bottom w:val="single" w:sz="6" w:space="0" w:color="000000"/>
              <w:right w:val="single" w:sz="6" w:space="0" w:color="000000"/>
            </w:tcBorders>
          </w:tcPr>
          <w:p w14:paraId="338EBC38" w14:textId="77777777" w:rsidR="008940B3" w:rsidRPr="005F75D2" w:rsidRDefault="008940B3" w:rsidP="00E858EF">
            <w:pPr>
              <w:suppressAutoHyphens/>
              <w:jc w:val="center"/>
              <w:rPr>
                <w:sz w:val="20"/>
                <w:szCs w:val="16"/>
              </w:rPr>
            </w:pPr>
            <w:r w:rsidRPr="005F75D2">
              <w:rPr>
                <w:sz w:val="20"/>
                <w:szCs w:val="16"/>
              </w:rPr>
              <w:t>Total</w:t>
            </w:r>
          </w:p>
        </w:tc>
      </w:tr>
      <w:tr w:rsidR="008940B3" w:rsidRPr="005F75D2" w14:paraId="6A4D1038" w14:textId="77777777" w:rsidTr="008940B3">
        <w:trPr>
          <w:trHeight w:val="315"/>
        </w:trPr>
        <w:tc>
          <w:tcPr>
            <w:tcW w:w="127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360E5F14" w14:textId="77777777" w:rsidR="008940B3" w:rsidRPr="005F75D2" w:rsidRDefault="008940B3" w:rsidP="00E858EF">
            <w:pPr>
              <w:suppressAutoHyphens/>
              <w:jc w:val="center"/>
              <w:rPr>
                <w:sz w:val="20"/>
                <w:szCs w:val="16"/>
              </w:rPr>
            </w:pPr>
            <w:r w:rsidRPr="005F75D2">
              <w:rPr>
                <w:color w:val="000000"/>
                <w:sz w:val="20"/>
                <w:szCs w:val="16"/>
              </w:rPr>
              <w:t>No. of tombs</w:t>
            </w:r>
          </w:p>
        </w:tc>
        <w:tc>
          <w:tcPr>
            <w:tcW w:w="2344"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6062561C" w14:textId="77777777" w:rsidR="008940B3" w:rsidRPr="005F75D2" w:rsidRDefault="008940B3" w:rsidP="00E858EF">
            <w:pPr>
              <w:suppressAutoHyphens/>
              <w:jc w:val="center"/>
              <w:rPr>
                <w:sz w:val="20"/>
                <w:szCs w:val="16"/>
              </w:rPr>
            </w:pPr>
            <w:r w:rsidRPr="005F75D2">
              <w:rPr>
                <w:sz w:val="20"/>
                <w:szCs w:val="16"/>
              </w:rPr>
              <w:t>73</w:t>
            </w:r>
          </w:p>
        </w:tc>
        <w:tc>
          <w:tcPr>
            <w:tcW w:w="1701"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378E53D4" w14:textId="77777777" w:rsidR="008940B3" w:rsidRPr="005F75D2" w:rsidRDefault="008940B3" w:rsidP="00E858EF">
            <w:pPr>
              <w:suppressAutoHyphens/>
              <w:jc w:val="center"/>
              <w:rPr>
                <w:sz w:val="20"/>
                <w:szCs w:val="16"/>
              </w:rPr>
            </w:pPr>
            <w:r w:rsidRPr="005F75D2">
              <w:rPr>
                <w:sz w:val="20"/>
                <w:szCs w:val="16"/>
              </w:rPr>
              <w:t>15</w:t>
            </w:r>
          </w:p>
        </w:tc>
        <w:tc>
          <w:tcPr>
            <w:tcW w:w="198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6A32B5D1" w14:textId="77777777" w:rsidR="008940B3" w:rsidRPr="005F75D2" w:rsidRDefault="008940B3" w:rsidP="00E858EF">
            <w:pPr>
              <w:suppressAutoHyphens/>
              <w:jc w:val="center"/>
              <w:rPr>
                <w:sz w:val="20"/>
                <w:szCs w:val="16"/>
              </w:rPr>
            </w:pPr>
            <w:r w:rsidRPr="005F75D2">
              <w:rPr>
                <w:color w:val="000000"/>
                <w:sz w:val="20"/>
                <w:szCs w:val="16"/>
              </w:rPr>
              <w:t>3</w:t>
            </w:r>
          </w:p>
        </w:tc>
        <w:tc>
          <w:tcPr>
            <w:tcW w:w="992" w:type="dxa"/>
            <w:tcBorders>
              <w:top w:val="single" w:sz="6" w:space="0" w:color="000000"/>
              <w:left w:val="single" w:sz="6" w:space="0" w:color="000000"/>
              <w:bottom w:val="single" w:sz="6" w:space="0" w:color="000000"/>
              <w:right w:val="single" w:sz="6" w:space="0" w:color="000000"/>
            </w:tcBorders>
            <w:shd w:val="clear" w:color="auto" w:fill="EFEFEF"/>
          </w:tcPr>
          <w:p w14:paraId="36760FE8" w14:textId="77777777" w:rsidR="008940B3" w:rsidRPr="005F75D2" w:rsidRDefault="008940B3" w:rsidP="00E858EF">
            <w:pPr>
              <w:suppressAutoHyphens/>
              <w:jc w:val="center"/>
              <w:rPr>
                <w:color w:val="000000"/>
                <w:sz w:val="20"/>
                <w:szCs w:val="16"/>
              </w:rPr>
            </w:pPr>
            <w:r w:rsidRPr="005F75D2">
              <w:rPr>
                <w:color w:val="000000"/>
                <w:sz w:val="20"/>
                <w:szCs w:val="16"/>
              </w:rPr>
              <w:t>91</w:t>
            </w:r>
          </w:p>
        </w:tc>
      </w:tr>
    </w:tbl>
    <w:p w14:paraId="2974257D" w14:textId="77777777" w:rsidR="008940B3"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2"/>
          <w:szCs w:val="22"/>
        </w:rPr>
      </w:pPr>
    </w:p>
    <w:p w14:paraId="67CEEA86" w14:textId="3632FCF9" w:rsidR="008940B3" w:rsidRPr="003B5C8D" w:rsidRDefault="008940B3" w:rsidP="005F75D2">
      <w:pPr>
        <w:rPr>
          <w:color w:val="000000"/>
        </w:rPr>
      </w:pPr>
      <w:r w:rsidRPr="003B5C8D">
        <w:rPr>
          <w:color w:val="000000"/>
        </w:rPr>
        <w:t>One of the monumentality features</w:t>
      </w:r>
      <w:r>
        <w:rPr>
          <w:color w:val="000000"/>
        </w:rPr>
        <w:t xml:space="preserve"> that</w:t>
      </w:r>
      <w:r w:rsidRPr="003B5C8D">
        <w:rPr>
          <w:color w:val="000000"/>
        </w:rPr>
        <w:t xml:space="preserve"> </w:t>
      </w:r>
      <w:r w:rsidRPr="00CB46FE">
        <w:t>occur</w:t>
      </w:r>
      <w:r>
        <w:t>s</w:t>
      </w:r>
      <w:r w:rsidRPr="00CB46FE">
        <w:t xml:space="preserve"> most in this region is the presence of niches or pits within the chamber. In some cases, the</w:t>
      </w:r>
      <w:r>
        <w:t>se</w:t>
      </w:r>
      <w:r w:rsidRPr="00CB46FE">
        <w:t xml:space="preserve"> </w:t>
      </w:r>
      <w:r>
        <w:t>are</w:t>
      </w:r>
      <w:r w:rsidRPr="00CB46FE">
        <w:t xml:space="preserve"> associated with larnax burials (Gournes </w:t>
      </w:r>
      <w:r>
        <w:t>T</w:t>
      </w:r>
      <w:r w:rsidRPr="00CB46FE">
        <w:t>omb 1</w:t>
      </w:r>
      <w:r>
        <w:t xml:space="preserve">: Hatzidakis </w:t>
      </w:r>
      <w:r w:rsidRPr="00CB46FE">
        <w:t>1918: 63-87)</w:t>
      </w:r>
      <w:r>
        <w:t>, and</w:t>
      </w:r>
      <w:r w:rsidRPr="00CB46FE">
        <w:t xml:space="preserve"> in </w:t>
      </w:r>
      <w:r w:rsidRPr="003B5C8D">
        <w:rPr>
          <w:color w:val="000000"/>
        </w:rPr>
        <w:t xml:space="preserve">other cases with secondary burial depositions (Metochi Kalou </w:t>
      </w:r>
      <w:r>
        <w:rPr>
          <w:color w:val="000000"/>
        </w:rPr>
        <w:t>T</w:t>
      </w:r>
      <w:r w:rsidRPr="003B5C8D">
        <w:rPr>
          <w:color w:val="000000"/>
        </w:rPr>
        <w:t>omb 3</w:t>
      </w:r>
      <w:r>
        <w:rPr>
          <w:color w:val="000000"/>
        </w:rPr>
        <w:t>:</w:t>
      </w:r>
      <w:r w:rsidRPr="003B5C8D">
        <w:rPr>
          <w:color w:val="000000"/>
        </w:rPr>
        <w:t xml:space="preserve"> </w:t>
      </w:r>
      <w:r w:rsidR="00D5702D">
        <w:rPr>
          <w:color w:val="000000"/>
        </w:rPr>
        <w:t>Dimopoulou</w:t>
      </w:r>
      <w:r>
        <w:rPr>
          <w:color w:val="000000"/>
        </w:rPr>
        <w:t xml:space="preserve"> and</w:t>
      </w:r>
      <w:r w:rsidRPr="003B5C8D">
        <w:rPr>
          <w:color w:val="000000"/>
        </w:rPr>
        <w:t xml:space="preserve"> Rethemiotakis</w:t>
      </w:r>
      <w:r>
        <w:rPr>
          <w:color w:val="000000"/>
        </w:rPr>
        <w:t xml:space="preserve"> </w:t>
      </w:r>
      <w:r w:rsidRPr="003B5C8D">
        <w:rPr>
          <w:color w:val="000000"/>
        </w:rPr>
        <w:t>1978</w:t>
      </w:r>
      <w:r>
        <w:rPr>
          <w:color w:val="000000"/>
        </w:rPr>
        <w:t>:</w:t>
      </w:r>
      <w:r w:rsidRPr="003B5C8D">
        <w:rPr>
          <w:color w:val="000000"/>
        </w:rPr>
        <w:t xml:space="preserve"> 40), and the</w:t>
      </w:r>
      <w:r>
        <w:rPr>
          <w:color w:val="000000"/>
        </w:rPr>
        <w:t>re</w:t>
      </w:r>
      <w:r w:rsidRPr="003B5C8D">
        <w:rPr>
          <w:color w:val="000000"/>
        </w:rPr>
        <w:t xml:space="preserve"> can be more than one in a single tomb (Archanes Aniphoros three pits</w:t>
      </w:r>
      <w:r>
        <w:rPr>
          <w:color w:val="000000"/>
        </w:rPr>
        <w:t>:</w:t>
      </w:r>
      <w:r w:rsidRPr="003B5C8D">
        <w:rPr>
          <w:color w:val="000000"/>
        </w:rPr>
        <w:t xml:space="preserve"> Sakellaraki 1990:</w:t>
      </w:r>
      <w:r>
        <w:rPr>
          <w:color w:val="000000"/>
        </w:rPr>
        <w:t xml:space="preserve"> </w:t>
      </w:r>
      <w:r w:rsidRPr="003B5C8D">
        <w:rPr>
          <w:color w:val="000000"/>
        </w:rPr>
        <w:t>69-72).</w:t>
      </w:r>
    </w:p>
    <w:p w14:paraId="080806C7" w14:textId="5B1772E7" w:rsidR="008940B3" w:rsidRPr="003B5C8D" w:rsidRDefault="00363CE1" w:rsidP="005F75D2">
      <w:r>
        <w:tab/>
      </w:r>
      <w:r w:rsidR="008940B3">
        <w:t>In</w:t>
      </w:r>
      <w:r w:rsidR="008940B3" w:rsidRPr="003B5C8D">
        <w:t xml:space="preserve"> </w:t>
      </w:r>
      <w:r w:rsidR="008940B3">
        <w:t>T</w:t>
      </w:r>
      <w:r w:rsidR="008940B3" w:rsidRPr="003B5C8D">
        <w:t>holos A at Archa</w:t>
      </w:r>
      <w:r w:rsidR="008940B3">
        <w:t>nes Phourni, a side room</w:t>
      </w:r>
      <w:r w:rsidR="008940B3" w:rsidRPr="003B5C8D">
        <w:t xml:space="preserve"> </w:t>
      </w:r>
      <w:r w:rsidR="008940B3">
        <w:t xml:space="preserve">was found, </w:t>
      </w:r>
      <w:r w:rsidR="008940B3" w:rsidRPr="003B5C8D">
        <w:t xml:space="preserve">and this is the tomb with the highest </w:t>
      </w:r>
      <w:r w:rsidR="008940B3">
        <w:t>number</w:t>
      </w:r>
      <w:r w:rsidR="008940B3" w:rsidRPr="003B5C8D">
        <w:t xml:space="preserve"> of monumental features, for example</w:t>
      </w:r>
      <w:r w:rsidR="008940B3">
        <w:t>,</w:t>
      </w:r>
      <w:r w:rsidR="008940B3" w:rsidRPr="003B5C8D">
        <w:t xml:space="preserve"> the m</w:t>
      </w:r>
      <w:r w:rsidR="008940B3">
        <w:t xml:space="preserve">onumental stomion (Sakellarakis and Sakellaraki 1997: </w:t>
      </w:r>
      <w:r w:rsidR="008940B3" w:rsidRPr="003B5C8D">
        <w:t xml:space="preserve">478-487, </w:t>
      </w:r>
      <w:r w:rsidR="008940B3">
        <w:t>F</w:t>
      </w:r>
      <w:r w:rsidR="008940B3" w:rsidRPr="003B5C8D">
        <w:t>ig</w:t>
      </w:r>
      <w:r w:rsidR="008940B3">
        <w:t>s.</w:t>
      </w:r>
      <w:r w:rsidR="008940B3" w:rsidRPr="003B5C8D">
        <w:t xml:space="preserve"> 462-464).</w:t>
      </w:r>
      <w:r w:rsidR="008940B3">
        <w:t xml:space="preserve"> A great level of monumentality occurs also in Tholos B, which is a previously built tomb with a very large area of annexes where Late Minoan burials have been found, between these burials are two larnakes. However, because these built annex areas were probably constructed in a previous period, we have not included them in the statistics above about the architectural features of Tholos B. (Sakellarakis 1997: 169-179).</w:t>
      </w:r>
    </w:p>
    <w:p w14:paraId="36F8A994" w14:textId="77777777" w:rsidR="008940B3" w:rsidRDefault="008940B3" w:rsidP="00E858EF">
      <w:pPr>
        <w:pStyle w:val="Titolo4"/>
        <w:keepNext w:val="0"/>
        <w:keepLines w:val="0"/>
        <w:suppressAutoHyphens/>
        <w:ind w:left="864" w:hanging="864"/>
        <w:contextualSpacing w:val="0"/>
      </w:pPr>
      <w:bookmarkStart w:id="318" w:name="_Toc389131185"/>
      <w:bookmarkStart w:id="319" w:name="_Toc517876513"/>
      <w:r w:rsidRPr="00F0085F">
        <w:t>Tombs and larnakes: Is there an increase</w:t>
      </w:r>
      <w:r w:rsidRPr="008A342F">
        <w:rPr>
          <w:noProof/>
        </w:rPr>
        <w:t xml:space="preserve"> </w:t>
      </w:r>
      <w:r>
        <w:rPr>
          <w:noProof/>
        </w:rPr>
        <w:t>in larnax numbers according to tomb size</w:t>
      </w:r>
      <w:r w:rsidRPr="00F0085F">
        <w:t>?</w:t>
      </w:r>
      <w:bookmarkEnd w:id="318"/>
      <w:bookmarkEnd w:id="319"/>
      <w:r w:rsidRPr="00F0085F">
        <w:t xml:space="preserve"> </w:t>
      </w:r>
    </w:p>
    <w:p w14:paraId="7C8E6FD3" w14:textId="77777777" w:rsidR="008940B3" w:rsidRDefault="008940B3" w:rsidP="005F75D2">
      <w:r>
        <w:t>The data in the above table reveal that the number of larnakes deposited in tombs is not linked to the size of the chamber.</w:t>
      </w:r>
    </w:p>
    <w:p w14:paraId="76D5D00C" w14:textId="77777777" w:rsidR="005F75D2" w:rsidRDefault="005F75D2" w:rsidP="00E858EF">
      <w:pPr>
        <w:pStyle w:val="Testofumetto"/>
        <w:suppressAutoHyphens/>
      </w:pPr>
    </w:p>
    <w:p w14:paraId="5C4F0AF2" w14:textId="3F1CA934" w:rsidR="008940B3" w:rsidRPr="003B5C8D" w:rsidRDefault="008940B3" w:rsidP="00E858EF">
      <w:pPr>
        <w:pStyle w:val="Testofumetto"/>
        <w:suppressAutoHyphens/>
      </w:pPr>
      <w:bookmarkStart w:id="320" w:name="_Toc520212540"/>
      <w:r>
        <w:t>Table 3-5</w:t>
      </w:r>
      <w:r w:rsidR="00D5122E">
        <w:t>2</w:t>
      </w:r>
      <w:r>
        <w:t>. Larnax number</w:t>
      </w:r>
      <w:r w:rsidR="005F75D2">
        <w:t>s</w:t>
      </w:r>
      <w:r>
        <w:t xml:space="preserve"> in relation to tomb size</w:t>
      </w:r>
      <w:r w:rsidR="005E1C18">
        <w:t>,</w:t>
      </w:r>
      <w:r>
        <w:t xml:space="preserve"> Central area</w:t>
      </w:r>
      <w:bookmarkEnd w:id="320"/>
    </w:p>
    <w:tbl>
      <w:tblPr>
        <w:tblW w:w="0" w:type="auto"/>
        <w:tblCellMar>
          <w:left w:w="0" w:type="dxa"/>
          <w:right w:w="0" w:type="dxa"/>
        </w:tblCellMar>
        <w:tblLook w:val="04A0" w:firstRow="1" w:lastRow="0" w:firstColumn="1" w:lastColumn="0" w:noHBand="0" w:noVBand="1"/>
      </w:tblPr>
      <w:tblGrid>
        <w:gridCol w:w="2343"/>
        <w:gridCol w:w="1276"/>
        <w:gridCol w:w="1418"/>
        <w:gridCol w:w="1418"/>
      </w:tblGrid>
      <w:tr w:rsidR="008940B3" w:rsidRPr="005F75D2" w14:paraId="104C1118" w14:textId="77777777" w:rsidTr="005F75D2">
        <w:trPr>
          <w:trHeight w:val="40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F63CB4A" w14:textId="77777777" w:rsidR="008940B3" w:rsidRPr="005F75D2" w:rsidRDefault="008940B3" w:rsidP="00E858EF">
            <w:pPr>
              <w:suppressAutoHyphens/>
              <w:jc w:val="center"/>
              <w:rPr>
                <w:sz w:val="20"/>
                <w:szCs w:val="16"/>
              </w:rPr>
            </w:pP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27ACCDF" w14:textId="77777777" w:rsidR="008940B3" w:rsidRPr="005F75D2" w:rsidRDefault="008940B3" w:rsidP="00E858EF">
            <w:pPr>
              <w:suppressAutoHyphens/>
              <w:jc w:val="center"/>
              <w:rPr>
                <w:sz w:val="20"/>
                <w:szCs w:val="16"/>
              </w:rPr>
            </w:pPr>
            <w:r w:rsidRPr="005F75D2">
              <w:rPr>
                <w:sz w:val="20"/>
                <w:szCs w:val="16"/>
              </w:rPr>
              <w:t>Small</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C124B93" w14:textId="77777777" w:rsidR="008940B3" w:rsidRPr="005F75D2" w:rsidRDefault="008940B3" w:rsidP="00E858EF">
            <w:pPr>
              <w:suppressAutoHyphens/>
              <w:jc w:val="center"/>
              <w:rPr>
                <w:sz w:val="20"/>
                <w:szCs w:val="16"/>
              </w:rPr>
            </w:pPr>
            <w:r w:rsidRPr="005F75D2">
              <w:rPr>
                <w:sz w:val="20"/>
                <w:szCs w:val="16"/>
              </w:rPr>
              <w:t>Medium</w:t>
            </w:r>
          </w:p>
        </w:tc>
        <w:tc>
          <w:tcPr>
            <w:tcW w:w="1418" w:type="dxa"/>
            <w:tcBorders>
              <w:top w:val="single" w:sz="6" w:space="0" w:color="000000"/>
              <w:left w:val="single" w:sz="6" w:space="0" w:color="000000"/>
              <w:bottom w:val="single" w:sz="6" w:space="0" w:color="000000"/>
              <w:right w:val="single" w:sz="6" w:space="0" w:color="000000"/>
            </w:tcBorders>
          </w:tcPr>
          <w:p w14:paraId="34EA0199" w14:textId="77777777" w:rsidR="008940B3" w:rsidRPr="005F75D2" w:rsidRDefault="008940B3" w:rsidP="00E858EF">
            <w:pPr>
              <w:suppressAutoHyphens/>
              <w:jc w:val="center"/>
              <w:rPr>
                <w:sz w:val="20"/>
                <w:szCs w:val="16"/>
              </w:rPr>
            </w:pPr>
            <w:r w:rsidRPr="005F75D2">
              <w:rPr>
                <w:sz w:val="20"/>
                <w:szCs w:val="16"/>
              </w:rPr>
              <w:t>Large</w:t>
            </w:r>
          </w:p>
        </w:tc>
      </w:tr>
      <w:tr w:rsidR="008940B3" w:rsidRPr="005F75D2" w14:paraId="14F74EDF" w14:textId="77777777" w:rsidTr="005F75D2">
        <w:trPr>
          <w:trHeight w:val="315"/>
        </w:trPr>
        <w:tc>
          <w:tcPr>
            <w:tcW w:w="2343"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51387646" w14:textId="77777777" w:rsidR="008940B3" w:rsidRPr="005F75D2" w:rsidRDefault="008940B3" w:rsidP="00E858EF">
            <w:pPr>
              <w:suppressAutoHyphens/>
              <w:jc w:val="left"/>
              <w:rPr>
                <w:sz w:val="20"/>
                <w:szCs w:val="16"/>
              </w:rPr>
            </w:pPr>
            <w:r w:rsidRPr="005F75D2">
              <w:rPr>
                <w:color w:val="000000"/>
                <w:sz w:val="20"/>
                <w:szCs w:val="16"/>
              </w:rPr>
              <w:t>Chamber area in sq.m.</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7E1E29E0" w14:textId="77777777" w:rsidR="008940B3" w:rsidRPr="005F75D2" w:rsidRDefault="008940B3" w:rsidP="00E858EF">
            <w:pPr>
              <w:suppressAutoHyphens/>
              <w:jc w:val="center"/>
              <w:rPr>
                <w:sz w:val="20"/>
                <w:szCs w:val="16"/>
              </w:rPr>
            </w:pPr>
            <w:r w:rsidRPr="005F75D2">
              <w:rPr>
                <w:sz w:val="20"/>
                <w:szCs w:val="16"/>
              </w:rPr>
              <w:t>0-6</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66397D65" w14:textId="77777777" w:rsidR="008940B3" w:rsidRPr="005F75D2" w:rsidRDefault="008940B3" w:rsidP="00E858EF">
            <w:pPr>
              <w:suppressAutoHyphens/>
              <w:jc w:val="center"/>
              <w:rPr>
                <w:sz w:val="20"/>
                <w:szCs w:val="16"/>
              </w:rPr>
            </w:pPr>
            <w:r w:rsidRPr="005F75D2">
              <w:rPr>
                <w:sz w:val="20"/>
                <w:szCs w:val="16"/>
              </w:rPr>
              <w:t>7-12</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Pr>
          <w:p w14:paraId="468C71D2" w14:textId="77777777" w:rsidR="008940B3" w:rsidRPr="005F75D2" w:rsidRDefault="008940B3" w:rsidP="00E858EF">
            <w:pPr>
              <w:suppressAutoHyphens/>
              <w:jc w:val="center"/>
              <w:rPr>
                <w:color w:val="000000"/>
                <w:sz w:val="20"/>
                <w:szCs w:val="16"/>
              </w:rPr>
            </w:pPr>
            <w:r w:rsidRPr="005F75D2">
              <w:rPr>
                <w:color w:val="000000"/>
                <w:sz w:val="20"/>
                <w:szCs w:val="16"/>
              </w:rPr>
              <w:t>13-18</w:t>
            </w:r>
          </w:p>
        </w:tc>
      </w:tr>
      <w:tr w:rsidR="008940B3" w:rsidRPr="005F75D2" w14:paraId="1AFA8BDC" w14:textId="77777777" w:rsidTr="005F75D2">
        <w:trPr>
          <w:trHeight w:val="31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6E9982B9" w14:textId="3A74B8F5" w:rsidR="008940B3" w:rsidRPr="005F75D2" w:rsidRDefault="008940B3" w:rsidP="00E858EF">
            <w:pPr>
              <w:suppressAutoHyphens/>
              <w:jc w:val="left"/>
              <w:rPr>
                <w:sz w:val="20"/>
                <w:szCs w:val="16"/>
              </w:rPr>
            </w:pPr>
            <w:r w:rsidRPr="005F75D2">
              <w:rPr>
                <w:sz w:val="20"/>
                <w:szCs w:val="16"/>
              </w:rPr>
              <w:t>Range of larnax number</w:t>
            </w:r>
            <w:r w:rsidR="005F75D2">
              <w:rPr>
                <w:sz w:val="20"/>
                <w:szCs w:val="16"/>
              </w:rPr>
              <w:t>s</w:t>
            </w: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1238D883" w14:textId="77777777" w:rsidR="008940B3" w:rsidRPr="005F75D2" w:rsidRDefault="008940B3" w:rsidP="00E858EF">
            <w:pPr>
              <w:suppressAutoHyphens/>
              <w:jc w:val="center"/>
              <w:rPr>
                <w:sz w:val="20"/>
                <w:szCs w:val="16"/>
              </w:rPr>
            </w:pPr>
            <w:r w:rsidRPr="005F75D2">
              <w:rPr>
                <w:sz w:val="20"/>
                <w:szCs w:val="16"/>
              </w:rPr>
              <w:t>1-5</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29D6E33F" w14:textId="77777777" w:rsidR="008940B3" w:rsidRPr="005F75D2" w:rsidRDefault="008940B3" w:rsidP="00E858EF">
            <w:pPr>
              <w:suppressAutoHyphens/>
              <w:jc w:val="center"/>
              <w:rPr>
                <w:color w:val="000000"/>
                <w:sz w:val="20"/>
                <w:szCs w:val="16"/>
              </w:rPr>
            </w:pPr>
            <w:r w:rsidRPr="005F75D2">
              <w:rPr>
                <w:color w:val="000000"/>
                <w:sz w:val="20"/>
                <w:szCs w:val="16"/>
              </w:rPr>
              <w:t>1-8</w:t>
            </w:r>
          </w:p>
        </w:tc>
        <w:tc>
          <w:tcPr>
            <w:tcW w:w="1418" w:type="dxa"/>
            <w:tcBorders>
              <w:top w:val="single" w:sz="6" w:space="0" w:color="000000"/>
              <w:left w:val="single" w:sz="6" w:space="0" w:color="000000"/>
              <w:bottom w:val="single" w:sz="6" w:space="0" w:color="000000"/>
              <w:right w:val="single" w:sz="6" w:space="0" w:color="000000"/>
            </w:tcBorders>
          </w:tcPr>
          <w:p w14:paraId="33D8B091" w14:textId="77777777" w:rsidR="008940B3" w:rsidRPr="005F75D2" w:rsidRDefault="008940B3" w:rsidP="00E858EF">
            <w:pPr>
              <w:suppressAutoHyphens/>
              <w:jc w:val="center"/>
              <w:rPr>
                <w:sz w:val="20"/>
                <w:szCs w:val="16"/>
              </w:rPr>
            </w:pPr>
            <w:r w:rsidRPr="005F75D2">
              <w:rPr>
                <w:sz w:val="20"/>
                <w:szCs w:val="16"/>
              </w:rPr>
              <w:t>2</w:t>
            </w:r>
          </w:p>
        </w:tc>
      </w:tr>
    </w:tbl>
    <w:p w14:paraId="18D440F4"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21CC95CD" w14:textId="77777777" w:rsidR="008940B3" w:rsidRDefault="008940B3" w:rsidP="005F75D2">
      <w:r w:rsidRPr="00121984">
        <w:t xml:space="preserve">The mean space reserved </w:t>
      </w:r>
      <w:r>
        <w:t>for</w:t>
      </w:r>
      <w:r w:rsidRPr="00121984">
        <w:t xml:space="preserve"> a larnax within a tomb in the </w:t>
      </w:r>
      <w:r>
        <w:t>C</w:t>
      </w:r>
      <w:r w:rsidRPr="00121984">
        <w:t xml:space="preserve">entral region </w:t>
      </w:r>
      <w:r>
        <w:t>is</w:t>
      </w:r>
      <w:r w:rsidRPr="00121984">
        <w:t xml:space="preserve"> ap</w:t>
      </w:r>
      <w:r>
        <w:t>proximately 2</w:t>
      </w:r>
      <w:r w:rsidRPr="00121984">
        <w:t xml:space="preserve"> </w:t>
      </w:r>
      <w:r>
        <w:t>sq.m.</w:t>
      </w:r>
      <w:r w:rsidRPr="00121984">
        <w:t xml:space="preserve"> (data</w:t>
      </w:r>
      <w:r>
        <w:t xml:space="preserve"> calculated based on 33</w:t>
      </w:r>
      <w:r w:rsidRPr="00121984">
        <w:t xml:space="preserve"> tombs for which information about the chamber area is available)</w:t>
      </w:r>
      <w:r>
        <w:t>.</w:t>
      </w:r>
      <w:r w:rsidRPr="00121984">
        <w:t xml:space="preserve"> </w:t>
      </w:r>
      <w:r>
        <w:t>Regarding</w:t>
      </w:r>
      <w:r w:rsidRPr="00121984">
        <w:t xml:space="preserve"> the number of larnakes per </w:t>
      </w:r>
      <w:r>
        <w:t xml:space="preserve">tomb, the mean is two </w:t>
      </w:r>
      <w:r w:rsidRPr="00121984">
        <w:t xml:space="preserve">sarcophagi per tomb, with a maximum </w:t>
      </w:r>
      <w:r w:rsidRPr="0025291E">
        <w:t xml:space="preserve">of 11 </w:t>
      </w:r>
      <w:r w:rsidRPr="00121984">
        <w:t>larnakes.</w:t>
      </w:r>
    </w:p>
    <w:p w14:paraId="409BA60D" w14:textId="77777777" w:rsidR="008940B3" w:rsidRPr="00121984"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2E3E0CA0" w14:textId="4994126C" w:rsidR="008940B3" w:rsidRPr="00282B67" w:rsidRDefault="008940B3" w:rsidP="00E858EF">
      <w:pPr>
        <w:pStyle w:val="Testofumetto"/>
        <w:suppressAutoHyphens/>
        <w:rPr>
          <w:highlight w:val="red"/>
        </w:rPr>
      </w:pPr>
      <w:bookmarkStart w:id="321" w:name="_Toc520212541"/>
      <w:r w:rsidRPr="0059713B">
        <w:t>Table 3-</w:t>
      </w:r>
      <w:r>
        <w:t>52</w:t>
      </w:r>
      <w:r w:rsidR="00D5122E">
        <w:t>a</w:t>
      </w:r>
      <w:r>
        <w:t xml:space="preserve">. </w:t>
      </w:r>
      <w:r w:rsidRPr="00497DE4">
        <w:rPr>
          <w:rStyle w:val="TestofumettoCarattere"/>
          <w:b/>
        </w:rPr>
        <w:t>Space reserved to a larnax within a tomb</w:t>
      </w:r>
      <w:r w:rsidR="005E1C18">
        <w:rPr>
          <w:rStyle w:val="TestofumettoCarattere"/>
          <w:b/>
        </w:rPr>
        <w:t>,</w:t>
      </w:r>
      <w:r w:rsidRPr="00497DE4">
        <w:rPr>
          <w:rStyle w:val="TestofumettoCarattere"/>
          <w:b/>
        </w:rPr>
        <w:t xml:space="preserve"> Central area</w:t>
      </w:r>
      <w:bookmarkEnd w:id="321"/>
    </w:p>
    <w:tbl>
      <w:tblPr>
        <w:tblW w:w="0" w:type="auto"/>
        <w:tblCellMar>
          <w:left w:w="0" w:type="dxa"/>
          <w:right w:w="0" w:type="dxa"/>
        </w:tblCellMar>
        <w:tblLook w:val="04A0" w:firstRow="1" w:lastRow="0" w:firstColumn="1" w:lastColumn="0" w:noHBand="0" w:noVBand="1"/>
      </w:tblPr>
      <w:tblGrid>
        <w:gridCol w:w="1209"/>
        <w:gridCol w:w="4111"/>
      </w:tblGrid>
      <w:tr w:rsidR="008940B3" w:rsidRPr="005F75D2" w14:paraId="0161FAB4" w14:textId="77777777" w:rsidTr="00631B99">
        <w:trPr>
          <w:trHeight w:val="410"/>
        </w:trPr>
        <w:tc>
          <w:tcPr>
            <w:tcW w:w="1209"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D77300B" w14:textId="77777777" w:rsidR="008940B3" w:rsidRPr="005F75D2" w:rsidRDefault="008940B3" w:rsidP="00E858EF">
            <w:pPr>
              <w:suppressAutoHyphens/>
              <w:rPr>
                <w:sz w:val="20"/>
                <w:szCs w:val="16"/>
              </w:rPr>
            </w:pPr>
          </w:p>
        </w:tc>
        <w:tc>
          <w:tcPr>
            <w:tcW w:w="4111"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007AC847" w14:textId="303BA893" w:rsidR="008940B3" w:rsidRPr="005F75D2" w:rsidRDefault="008940B3" w:rsidP="00E858EF">
            <w:pPr>
              <w:suppressAutoHyphens/>
              <w:jc w:val="center"/>
              <w:rPr>
                <w:b/>
                <w:sz w:val="20"/>
                <w:szCs w:val="16"/>
              </w:rPr>
            </w:pPr>
            <w:r w:rsidRPr="005F75D2">
              <w:rPr>
                <w:b/>
                <w:sz w:val="20"/>
                <w:szCs w:val="16"/>
              </w:rPr>
              <w:t>Proportion of space per larnax in sq.m.</w:t>
            </w:r>
          </w:p>
        </w:tc>
      </w:tr>
      <w:tr w:rsidR="008940B3" w:rsidRPr="005F75D2" w14:paraId="46EE28B9" w14:textId="77777777" w:rsidTr="00631B99">
        <w:trPr>
          <w:trHeight w:val="320"/>
        </w:trPr>
        <w:tc>
          <w:tcPr>
            <w:tcW w:w="1209"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26DB73A1" w14:textId="77777777" w:rsidR="008940B3" w:rsidRPr="005F75D2" w:rsidRDefault="008940B3" w:rsidP="00E858EF">
            <w:pPr>
              <w:suppressAutoHyphens/>
              <w:rPr>
                <w:sz w:val="20"/>
                <w:szCs w:val="16"/>
              </w:rPr>
            </w:pPr>
            <w:r w:rsidRPr="005F75D2">
              <w:rPr>
                <w:sz w:val="20"/>
                <w:szCs w:val="16"/>
              </w:rPr>
              <w:t>Mean</w:t>
            </w:r>
          </w:p>
        </w:tc>
        <w:tc>
          <w:tcPr>
            <w:tcW w:w="4111"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4BEFBB38" w14:textId="77777777" w:rsidR="008940B3" w:rsidRPr="005F75D2" w:rsidRDefault="008940B3" w:rsidP="005F75D2">
            <w:pPr>
              <w:suppressAutoHyphens/>
              <w:jc w:val="left"/>
              <w:rPr>
                <w:sz w:val="20"/>
                <w:szCs w:val="16"/>
              </w:rPr>
            </w:pPr>
            <w:r w:rsidRPr="005F75D2">
              <w:rPr>
                <w:sz w:val="20"/>
                <w:szCs w:val="16"/>
              </w:rPr>
              <w:t>2</w:t>
            </w:r>
          </w:p>
        </w:tc>
      </w:tr>
      <w:tr w:rsidR="008940B3" w:rsidRPr="005F75D2" w14:paraId="027DFC83" w14:textId="77777777" w:rsidTr="00631B99">
        <w:trPr>
          <w:trHeight w:val="320"/>
        </w:trPr>
        <w:tc>
          <w:tcPr>
            <w:tcW w:w="1209"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399D2D67" w14:textId="77777777" w:rsidR="008940B3" w:rsidRPr="005F75D2" w:rsidRDefault="008940B3" w:rsidP="00E858EF">
            <w:pPr>
              <w:suppressAutoHyphens/>
              <w:rPr>
                <w:sz w:val="20"/>
                <w:szCs w:val="16"/>
              </w:rPr>
            </w:pPr>
            <w:r w:rsidRPr="005F75D2">
              <w:rPr>
                <w:sz w:val="20"/>
                <w:szCs w:val="16"/>
              </w:rPr>
              <w:t>Max</w:t>
            </w:r>
          </w:p>
        </w:tc>
        <w:tc>
          <w:tcPr>
            <w:tcW w:w="4111"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5DE3AD58" w14:textId="77777777" w:rsidR="008940B3" w:rsidRPr="005F75D2" w:rsidRDefault="008940B3" w:rsidP="005F75D2">
            <w:pPr>
              <w:suppressAutoHyphens/>
              <w:jc w:val="left"/>
              <w:rPr>
                <w:sz w:val="20"/>
                <w:szCs w:val="16"/>
              </w:rPr>
            </w:pPr>
            <w:r w:rsidRPr="005F75D2">
              <w:rPr>
                <w:sz w:val="20"/>
                <w:szCs w:val="16"/>
              </w:rPr>
              <w:t>11 (Ano Vathia Sopata)</w:t>
            </w:r>
          </w:p>
        </w:tc>
      </w:tr>
      <w:tr w:rsidR="008940B3" w:rsidRPr="005F75D2" w14:paraId="4BB0EE32" w14:textId="77777777" w:rsidTr="00631B99">
        <w:trPr>
          <w:trHeight w:val="313"/>
        </w:trPr>
        <w:tc>
          <w:tcPr>
            <w:tcW w:w="1209"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364CE483" w14:textId="77777777" w:rsidR="008940B3" w:rsidRPr="005F75D2" w:rsidRDefault="008940B3" w:rsidP="00E858EF">
            <w:pPr>
              <w:suppressAutoHyphens/>
              <w:rPr>
                <w:sz w:val="20"/>
                <w:szCs w:val="16"/>
              </w:rPr>
            </w:pPr>
            <w:r w:rsidRPr="005F75D2">
              <w:rPr>
                <w:sz w:val="20"/>
                <w:szCs w:val="16"/>
              </w:rPr>
              <w:t>Min</w:t>
            </w:r>
          </w:p>
        </w:tc>
        <w:tc>
          <w:tcPr>
            <w:tcW w:w="4111"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3EE754E7" w14:textId="77777777" w:rsidR="008940B3" w:rsidRPr="005F75D2" w:rsidRDefault="008940B3" w:rsidP="005F75D2">
            <w:pPr>
              <w:suppressAutoHyphens/>
              <w:jc w:val="left"/>
              <w:rPr>
                <w:sz w:val="20"/>
                <w:szCs w:val="16"/>
              </w:rPr>
            </w:pPr>
            <w:r w:rsidRPr="005F75D2">
              <w:rPr>
                <w:sz w:val="20"/>
                <w:szCs w:val="16"/>
              </w:rPr>
              <w:t>0.8 (Arkalochori)</w:t>
            </w:r>
          </w:p>
        </w:tc>
      </w:tr>
    </w:tbl>
    <w:p w14:paraId="5DAECA8E" w14:textId="77777777" w:rsidR="008940B3" w:rsidRDefault="008940B3" w:rsidP="00E858EF">
      <w:pPr>
        <w:pStyle w:val="Testofumetto"/>
        <w:suppressAutoHyphens/>
      </w:pPr>
    </w:p>
    <w:p w14:paraId="159D93FD" w14:textId="50938D9A" w:rsidR="008940B3" w:rsidRPr="008A23A2" w:rsidRDefault="008940B3" w:rsidP="00E858EF">
      <w:pPr>
        <w:pStyle w:val="Testofumetto"/>
        <w:suppressAutoHyphens/>
      </w:pPr>
      <w:bookmarkStart w:id="322" w:name="_Toc520212542"/>
      <w:r>
        <w:t>Table 3-53. Number of larnakes per tomb</w:t>
      </w:r>
      <w:r w:rsidR="005E1C18">
        <w:t>,</w:t>
      </w:r>
      <w:r>
        <w:t xml:space="preserve"> Central area</w:t>
      </w:r>
      <w:bookmarkEnd w:id="322"/>
    </w:p>
    <w:tbl>
      <w:tblPr>
        <w:tblStyle w:val="Grigliatabella"/>
        <w:tblW w:w="0" w:type="auto"/>
        <w:tblLook w:val="04A0" w:firstRow="1" w:lastRow="0" w:firstColumn="1" w:lastColumn="0" w:noHBand="0" w:noVBand="1"/>
      </w:tblPr>
      <w:tblGrid>
        <w:gridCol w:w="1242"/>
        <w:gridCol w:w="4111"/>
      </w:tblGrid>
      <w:tr w:rsidR="008940B3" w:rsidRPr="005F75D2" w14:paraId="18A6318B" w14:textId="77777777" w:rsidTr="00631B99">
        <w:trPr>
          <w:trHeight w:val="290"/>
        </w:trPr>
        <w:tc>
          <w:tcPr>
            <w:tcW w:w="1242" w:type="dxa"/>
          </w:tcPr>
          <w:p w14:paraId="594301B0" w14:textId="77777777" w:rsidR="008940B3" w:rsidRPr="005F75D2"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sz w:val="20"/>
                <w:szCs w:val="22"/>
              </w:rPr>
            </w:pPr>
          </w:p>
        </w:tc>
        <w:tc>
          <w:tcPr>
            <w:tcW w:w="4111" w:type="dxa"/>
          </w:tcPr>
          <w:p w14:paraId="7AA4A04A" w14:textId="7BFF3929" w:rsidR="008940B3" w:rsidRPr="005F75D2"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16"/>
              </w:rPr>
            </w:pPr>
            <w:r w:rsidRPr="005F75D2">
              <w:rPr>
                <w:b/>
                <w:color w:val="000000"/>
                <w:sz w:val="20"/>
                <w:szCs w:val="16"/>
              </w:rPr>
              <w:t>Number of larnakes per tomb</w:t>
            </w:r>
          </w:p>
        </w:tc>
      </w:tr>
      <w:tr w:rsidR="008940B3" w:rsidRPr="005F75D2" w14:paraId="15CEB9EB" w14:textId="77777777" w:rsidTr="00631B99">
        <w:trPr>
          <w:trHeight w:val="290"/>
        </w:trPr>
        <w:tc>
          <w:tcPr>
            <w:tcW w:w="1242" w:type="dxa"/>
          </w:tcPr>
          <w:p w14:paraId="3AC7624F" w14:textId="77777777" w:rsidR="008940B3" w:rsidRPr="005F75D2"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5F75D2">
              <w:rPr>
                <w:color w:val="000000"/>
                <w:sz w:val="20"/>
                <w:szCs w:val="16"/>
              </w:rPr>
              <w:t>Mean</w:t>
            </w:r>
          </w:p>
        </w:tc>
        <w:tc>
          <w:tcPr>
            <w:tcW w:w="4111" w:type="dxa"/>
          </w:tcPr>
          <w:p w14:paraId="0E134F1D" w14:textId="77777777" w:rsidR="008940B3" w:rsidRPr="005F75D2" w:rsidRDefault="008940B3" w:rsidP="005F75D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hanging="106"/>
              <w:jc w:val="left"/>
              <w:rPr>
                <w:color w:val="000000"/>
                <w:sz w:val="20"/>
                <w:szCs w:val="16"/>
              </w:rPr>
            </w:pPr>
            <w:r w:rsidRPr="005F75D2">
              <w:rPr>
                <w:color w:val="000000"/>
                <w:sz w:val="20"/>
                <w:szCs w:val="16"/>
              </w:rPr>
              <w:t>2.3</w:t>
            </w:r>
          </w:p>
        </w:tc>
      </w:tr>
      <w:tr w:rsidR="008940B3" w:rsidRPr="005F75D2" w14:paraId="7BA500DE" w14:textId="77777777" w:rsidTr="00631B99">
        <w:trPr>
          <w:trHeight w:val="303"/>
        </w:trPr>
        <w:tc>
          <w:tcPr>
            <w:tcW w:w="1242" w:type="dxa"/>
          </w:tcPr>
          <w:p w14:paraId="36BF308F" w14:textId="77777777" w:rsidR="008940B3" w:rsidRPr="005F75D2"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5F75D2">
              <w:rPr>
                <w:color w:val="000000"/>
                <w:sz w:val="20"/>
                <w:szCs w:val="16"/>
              </w:rPr>
              <w:t>Max</w:t>
            </w:r>
          </w:p>
        </w:tc>
        <w:tc>
          <w:tcPr>
            <w:tcW w:w="4111" w:type="dxa"/>
          </w:tcPr>
          <w:p w14:paraId="5FB69CAA" w14:textId="77777777" w:rsidR="008940B3" w:rsidRPr="005F75D2" w:rsidRDefault="008940B3" w:rsidP="005F75D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hanging="106"/>
              <w:jc w:val="left"/>
              <w:rPr>
                <w:color w:val="000000"/>
                <w:sz w:val="20"/>
                <w:szCs w:val="16"/>
              </w:rPr>
            </w:pPr>
            <w:r w:rsidRPr="005F75D2">
              <w:rPr>
                <w:color w:val="000000"/>
                <w:sz w:val="20"/>
                <w:szCs w:val="16"/>
              </w:rPr>
              <w:t>8 (Episkopi Pediada Christos and Methochi Kalou Tomb 4)</w:t>
            </w:r>
          </w:p>
        </w:tc>
      </w:tr>
      <w:tr w:rsidR="008940B3" w:rsidRPr="005F75D2" w14:paraId="3744F4E8" w14:textId="77777777" w:rsidTr="00631B99">
        <w:trPr>
          <w:trHeight w:val="303"/>
        </w:trPr>
        <w:tc>
          <w:tcPr>
            <w:tcW w:w="1242" w:type="dxa"/>
          </w:tcPr>
          <w:p w14:paraId="041F400F" w14:textId="77777777" w:rsidR="008940B3" w:rsidRPr="005F75D2"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5F75D2">
              <w:rPr>
                <w:color w:val="000000"/>
                <w:sz w:val="20"/>
                <w:szCs w:val="16"/>
              </w:rPr>
              <w:t>Min</w:t>
            </w:r>
          </w:p>
        </w:tc>
        <w:tc>
          <w:tcPr>
            <w:tcW w:w="4111" w:type="dxa"/>
          </w:tcPr>
          <w:p w14:paraId="3DE93938" w14:textId="77777777" w:rsidR="008940B3" w:rsidRPr="005F75D2" w:rsidRDefault="008940B3" w:rsidP="005F75D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hanging="106"/>
              <w:jc w:val="left"/>
              <w:rPr>
                <w:color w:val="000000"/>
                <w:sz w:val="20"/>
                <w:szCs w:val="16"/>
              </w:rPr>
            </w:pPr>
            <w:r w:rsidRPr="005F75D2">
              <w:rPr>
                <w:color w:val="000000"/>
                <w:sz w:val="20"/>
                <w:szCs w:val="16"/>
              </w:rPr>
              <w:t>1</w:t>
            </w:r>
          </w:p>
        </w:tc>
      </w:tr>
    </w:tbl>
    <w:p w14:paraId="6B7440C5" w14:textId="77777777" w:rsidR="008940B3" w:rsidRPr="003B5C8D"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2"/>
          <w:szCs w:val="22"/>
        </w:rPr>
      </w:pPr>
    </w:p>
    <w:p w14:paraId="65E5B342" w14:textId="77777777" w:rsidR="008940B3" w:rsidRPr="00AB66FA" w:rsidRDefault="008940B3" w:rsidP="00E858EF">
      <w:pPr>
        <w:pStyle w:val="Titolo4"/>
        <w:keepNext w:val="0"/>
        <w:keepLines w:val="0"/>
        <w:suppressAutoHyphens/>
        <w:ind w:left="864" w:hanging="864"/>
        <w:contextualSpacing w:val="0"/>
      </w:pPr>
      <w:bookmarkStart w:id="323" w:name="_Toc389131186"/>
      <w:bookmarkStart w:id="324" w:name="_Toc517876514"/>
      <w:r>
        <w:t xml:space="preserve">Tombs and larnakes: </w:t>
      </w:r>
      <w:r w:rsidRPr="00AB66FA">
        <w:t>Other deposition methods associated with larnakes within the same tomb</w:t>
      </w:r>
      <w:bookmarkEnd w:id="323"/>
      <w:bookmarkEnd w:id="324"/>
    </w:p>
    <w:p w14:paraId="381AE82F" w14:textId="77777777" w:rsidR="008940B3" w:rsidRPr="003B5C8D" w:rsidRDefault="008940B3" w:rsidP="005C18DE">
      <w:r w:rsidRPr="003B5C8D">
        <w:t xml:space="preserve">In the </w:t>
      </w:r>
      <w:r>
        <w:t>C</w:t>
      </w:r>
      <w:r w:rsidRPr="003B5C8D">
        <w:t>entral region</w:t>
      </w:r>
      <w:r>
        <w:t>,</w:t>
      </w:r>
      <w:r w:rsidRPr="003B5C8D">
        <w:t xml:space="preserve"> larnakes </w:t>
      </w:r>
      <w:r>
        <w:t>are</w:t>
      </w:r>
      <w:r w:rsidRPr="003B5C8D">
        <w:t xml:space="preserve"> associated with wooden coffin</w:t>
      </w:r>
      <w:r>
        <w:t>s</w:t>
      </w:r>
      <w:r w:rsidRPr="003B5C8D">
        <w:t>/bier</w:t>
      </w:r>
      <w:r>
        <w:t>s</w:t>
      </w:r>
      <w:r w:rsidRPr="003B5C8D">
        <w:t xml:space="preserve"> only in one case</w:t>
      </w:r>
      <w:r>
        <w:t>,</w:t>
      </w:r>
      <w:r w:rsidRPr="003B5C8D">
        <w:t xml:space="preserve"> in one chamber tomb at Kyparissi Vatheia (</w:t>
      </w:r>
      <w:r w:rsidRPr="00EE456A">
        <w:rPr>
          <w:i/>
        </w:rPr>
        <w:t>ADelt</w:t>
      </w:r>
      <w:r>
        <w:t xml:space="preserve"> 40 </w:t>
      </w:r>
      <w:r w:rsidRPr="003B5C8D">
        <w:t>1985</w:t>
      </w:r>
      <w:r>
        <w:t>: 293</w:t>
      </w:r>
      <w:r w:rsidRPr="003B5C8D">
        <w:t xml:space="preserve">; </w:t>
      </w:r>
      <w:r>
        <w:t>Löwe 1996</w:t>
      </w:r>
      <w:r w:rsidRPr="003B5C8D">
        <w:t>: 234 n 682). In all the other tombs, according to the data available, skeleton/bones on the floor or in a pit</w:t>
      </w:r>
      <w:r>
        <w:t xml:space="preserve"> or in the dromos were </w:t>
      </w:r>
      <w:r w:rsidRPr="003B5C8D">
        <w:t xml:space="preserve">found in the same tomb with clay larnakes, representing </w:t>
      </w:r>
      <w:r>
        <w:t>perhaps</w:t>
      </w:r>
      <w:r w:rsidRPr="003B5C8D">
        <w:t xml:space="preserve"> secondary depositions. In one of the three tombs found at Episkopi Malathres</w:t>
      </w:r>
      <w:r>
        <w:t>,</w:t>
      </w:r>
      <w:r w:rsidRPr="003B5C8D">
        <w:t xml:space="preserve"> a</w:t>
      </w:r>
      <w:r>
        <w:t>n</w:t>
      </w:r>
      <w:r w:rsidRPr="003B5C8D">
        <w:t xml:space="preserve"> MM larnax was reused for a LM III </w:t>
      </w:r>
      <w:r>
        <w:t>interment</w:t>
      </w:r>
      <w:r w:rsidRPr="003B5C8D">
        <w:t xml:space="preserve"> (Kanta 1980: 60; Langohr 2009: 70)</w:t>
      </w:r>
      <w:r>
        <w:t>, and at Archanes Aniphoros, where one burial was covered with an MM larnax, and the lid of an MM larnax was used for another deposition</w:t>
      </w:r>
      <w:r w:rsidRPr="003B5C8D">
        <w:t xml:space="preserve"> (</w:t>
      </w:r>
      <w:r>
        <w:t>Preston 2000: appendix O).</w:t>
      </w:r>
    </w:p>
    <w:p w14:paraId="7B4A1A8D" w14:textId="1D935EE0" w:rsidR="008940B3" w:rsidRDefault="008940B3" w:rsidP="005C18DE">
      <w:r>
        <w:tab/>
        <w:t>Regarding</w:t>
      </w:r>
      <w:r w:rsidRPr="003B5C8D">
        <w:t xml:space="preserve"> the </w:t>
      </w:r>
      <w:r>
        <w:t>custom</w:t>
      </w:r>
      <w:r w:rsidRPr="003B5C8D">
        <w:t xml:space="preserve"> of p</w:t>
      </w:r>
      <w:r>
        <w:t>lacing</w:t>
      </w:r>
      <w:r w:rsidRPr="003B5C8D">
        <w:t xml:space="preserve"> a larnax in a pit</w:t>
      </w:r>
      <w:r>
        <w:t>,</w:t>
      </w:r>
      <w:r w:rsidRPr="003B5C8D">
        <w:t xml:space="preserve"> </w:t>
      </w:r>
      <w:r>
        <w:t xml:space="preserve">this seems </w:t>
      </w:r>
      <w:r w:rsidR="005C18DE">
        <w:t xml:space="preserve">to have been </w:t>
      </w:r>
      <w:r>
        <w:t>popular in this region and has been observed</w:t>
      </w:r>
      <w:r w:rsidRPr="003B5C8D">
        <w:t xml:space="preserve"> at Archanes Phourni for all the larnakes of the burial enclosure</w:t>
      </w:r>
      <w:r>
        <w:t>,</w:t>
      </w:r>
      <w:r w:rsidRPr="003B5C8D">
        <w:t xml:space="preserve"> and one of the two larnakes found in </w:t>
      </w:r>
      <w:r>
        <w:t>Tholos A (Sakellarakis and</w:t>
      </w:r>
      <w:r w:rsidRPr="003B5C8D">
        <w:t xml:space="preserve"> Sakellaraki 1997)</w:t>
      </w:r>
      <w:r>
        <w:t>, and</w:t>
      </w:r>
      <w:r w:rsidRPr="003B5C8D">
        <w:t xml:space="preserve"> at Episkopi Pediada Kephala </w:t>
      </w:r>
      <w:r>
        <w:t>in</w:t>
      </w:r>
      <w:r w:rsidRPr="003B5C8D">
        <w:t xml:space="preserve"> </w:t>
      </w:r>
      <w:r>
        <w:t>C</w:t>
      </w:r>
      <w:r w:rsidRPr="003B5C8D">
        <w:t xml:space="preserve">hamber </w:t>
      </w:r>
      <w:r>
        <w:t>T</w:t>
      </w:r>
      <w:r w:rsidRPr="003B5C8D">
        <w:t xml:space="preserve">omb </w:t>
      </w:r>
      <w:r w:rsidR="006F31C5">
        <w:rPr>
          <w:lang w:val="el-GR"/>
        </w:rPr>
        <w:t>D</w:t>
      </w:r>
      <w:r w:rsidRPr="003B5C8D">
        <w:t xml:space="preserve">elta (Platon 1952: 619-630), </w:t>
      </w:r>
      <w:r>
        <w:t xml:space="preserve">and </w:t>
      </w:r>
      <w:r w:rsidRPr="003B5C8D">
        <w:t>in three tombs at Gournes (Hatzidakis 1918: 63-87; Kanta 1980, 47-50)</w:t>
      </w:r>
      <w:r>
        <w:t>.</w:t>
      </w:r>
    </w:p>
    <w:p w14:paraId="08842DF2" w14:textId="77777777" w:rsidR="005C18DE" w:rsidRDefault="005C18DE" w:rsidP="005C18DE"/>
    <w:p w14:paraId="64E99E5D"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08DFDCA6" wp14:editId="781F7FFE">
            <wp:extent cx="4680000" cy="2520000"/>
            <wp:effectExtent l="0" t="0" r="6350" b="13970"/>
            <wp:docPr id="27" name="Gra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16D3B76" w14:textId="47AC3B04" w:rsidR="008940B3" w:rsidRDefault="008940B3" w:rsidP="00E858EF">
      <w:pPr>
        <w:pStyle w:val="Didascalia"/>
        <w:suppressAutoHyphens/>
      </w:pPr>
      <w:bookmarkStart w:id="325" w:name="_Toc520212315"/>
      <w:r>
        <w:t>Figure 3-33. Interment types per tomb</w:t>
      </w:r>
      <w:r w:rsidR="005E1C18">
        <w:t>,</w:t>
      </w:r>
      <w:r>
        <w:t xml:space="preserve"> Central area</w:t>
      </w:r>
      <w:bookmarkEnd w:id="325"/>
    </w:p>
    <w:p w14:paraId="068F0A5E"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388D6C39" w14:textId="77777777" w:rsidR="008940B3" w:rsidRPr="003B5C8D" w:rsidRDefault="008940B3" w:rsidP="00E858EF">
      <w:pPr>
        <w:pStyle w:val="Testofumetto"/>
        <w:suppressAutoHyphens/>
      </w:pPr>
      <w:bookmarkStart w:id="326" w:name="_Toc520212543"/>
      <w:r>
        <w:t>Table 3-54. Occurrence of interment types in Central area</w:t>
      </w:r>
      <w:bookmarkEnd w:id="326"/>
    </w:p>
    <w:tbl>
      <w:tblPr>
        <w:tblW w:w="0" w:type="auto"/>
        <w:tblInd w:w="10" w:type="dxa"/>
        <w:tblCellMar>
          <w:left w:w="70" w:type="dxa"/>
          <w:right w:w="70" w:type="dxa"/>
        </w:tblCellMar>
        <w:tblLook w:val="04A0" w:firstRow="1" w:lastRow="0" w:firstColumn="1" w:lastColumn="0" w:noHBand="0" w:noVBand="1"/>
      </w:tblPr>
      <w:tblGrid>
        <w:gridCol w:w="1265"/>
        <w:gridCol w:w="1241"/>
        <w:gridCol w:w="998"/>
        <w:gridCol w:w="671"/>
        <w:gridCol w:w="751"/>
        <w:gridCol w:w="911"/>
        <w:gridCol w:w="771"/>
        <w:gridCol w:w="1130"/>
        <w:gridCol w:w="890"/>
      </w:tblGrid>
      <w:tr w:rsidR="008940B3" w:rsidRPr="005C18DE" w14:paraId="4C681783" w14:textId="77777777" w:rsidTr="008940B3">
        <w:trPr>
          <w:trHeight w:val="440"/>
        </w:trPr>
        <w:tc>
          <w:tcPr>
            <w:tcW w:w="1307" w:type="dxa"/>
            <w:tcBorders>
              <w:top w:val="single" w:sz="6" w:space="0" w:color="000000"/>
              <w:left w:val="single" w:sz="6" w:space="0" w:color="000000"/>
              <w:bottom w:val="single" w:sz="6" w:space="0" w:color="000000"/>
              <w:right w:val="single" w:sz="6" w:space="0" w:color="000000"/>
            </w:tcBorders>
            <w:hideMark/>
          </w:tcPr>
          <w:p w14:paraId="247DA9C4" w14:textId="77777777" w:rsidR="008940B3" w:rsidRPr="005C18DE" w:rsidRDefault="008940B3" w:rsidP="005C18DE">
            <w:pPr>
              <w:suppressAutoHyphens/>
              <w:spacing w:line="276" w:lineRule="auto"/>
              <w:rPr>
                <w:sz w:val="20"/>
                <w:szCs w:val="16"/>
              </w:rPr>
            </w:pPr>
          </w:p>
        </w:tc>
        <w:tc>
          <w:tcPr>
            <w:tcW w:w="1122" w:type="dxa"/>
            <w:tcBorders>
              <w:top w:val="single" w:sz="6" w:space="0" w:color="000000"/>
              <w:left w:val="single" w:sz="6" w:space="0" w:color="000000"/>
              <w:bottom w:val="single" w:sz="6" w:space="0" w:color="000000"/>
              <w:right w:val="single" w:sz="6" w:space="0" w:color="000000"/>
            </w:tcBorders>
            <w:hideMark/>
          </w:tcPr>
          <w:p w14:paraId="03E67CA1" w14:textId="77777777" w:rsidR="008940B3" w:rsidRPr="005C18DE" w:rsidRDefault="008940B3" w:rsidP="005C18DE">
            <w:pPr>
              <w:suppressAutoHyphens/>
              <w:spacing w:line="276" w:lineRule="auto"/>
              <w:jc w:val="center"/>
              <w:rPr>
                <w:sz w:val="18"/>
                <w:szCs w:val="16"/>
              </w:rPr>
            </w:pPr>
            <w:r w:rsidRPr="005C18DE">
              <w:rPr>
                <w:color w:val="000000"/>
                <w:sz w:val="18"/>
                <w:szCs w:val="16"/>
              </w:rPr>
              <w:t>WOODEN BIER/COFFIN</w:t>
            </w:r>
          </w:p>
        </w:tc>
        <w:tc>
          <w:tcPr>
            <w:tcW w:w="1035" w:type="dxa"/>
            <w:tcBorders>
              <w:top w:val="single" w:sz="6" w:space="0" w:color="000000"/>
              <w:left w:val="single" w:sz="6" w:space="0" w:color="000000"/>
              <w:bottom w:val="single" w:sz="6" w:space="0" w:color="000000"/>
              <w:right w:val="single" w:sz="6" w:space="0" w:color="000000"/>
            </w:tcBorders>
            <w:hideMark/>
          </w:tcPr>
          <w:p w14:paraId="3C47D759" w14:textId="77777777" w:rsidR="008940B3" w:rsidRPr="005C18DE" w:rsidRDefault="008940B3" w:rsidP="005C18DE">
            <w:pPr>
              <w:suppressAutoHyphens/>
              <w:spacing w:line="276" w:lineRule="auto"/>
              <w:jc w:val="center"/>
              <w:rPr>
                <w:sz w:val="18"/>
                <w:szCs w:val="16"/>
              </w:rPr>
            </w:pPr>
            <w:r w:rsidRPr="005C18DE">
              <w:rPr>
                <w:color w:val="000000"/>
                <w:sz w:val="18"/>
                <w:szCs w:val="16"/>
              </w:rPr>
              <w:t>FLOOR</w:t>
            </w:r>
          </w:p>
        </w:tc>
        <w:tc>
          <w:tcPr>
            <w:tcW w:w="708" w:type="dxa"/>
            <w:tcBorders>
              <w:top w:val="single" w:sz="6" w:space="0" w:color="000000"/>
              <w:left w:val="single" w:sz="6" w:space="0" w:color="000000"/>
              <w:bottom w:val="single" w:sz="6" w:space="0" w:color="000000"/>
              <w:right w:val="single" w:sz="6" w:space="0" w:color="000000"/>
            </w:tcBorders>
          </w:tcPr>
          <w:p w14:paraId="2B1D4747" w14:textId="3A85D9D0" w:rsidR="008940B3" w:rsidRPr="005C18DE" w:rsidRDefault="008940B3" w:rsidP="005C18DE">
            <w:pPr>
              <w:suppressAutoHyphens/>
              <w:spacing w:line="276" w:lineRule="auto"/>
              <w:jc w:val="center"/>
              <w:rPr>
                <w:color w:val="000000"/>
                <w:sz w:val="18"/>
                <w:szCs w:val="16"/>
              </w:rPr>
            </w:pPr>
            <w:r w:rsidRPr="005C18DE">
              <w:rPr>
                <w:color w:val="000000"/>
                <w:sz w:val="18"/>
                <w:szCs w:val="16"/>
              </w:rPr>
              <w:t>PIT</w:t>
            </w:r>
          </w:p>
        </w:tc>
        <w:tc>
          <w:tcPr>
            <w:tcW w:w="709" w:type="dxa"/>
            <w:tcBorders>
              <w:top w:val="single" w:sz="6" w:space="0" w:color="000000"/>
              <w:left w:val="single" w:sz="6" w:space="0" w:color="000000"/>
              <w:bottom w:val="single" w:sz="6" w:space="0" w:color="000000"/>
              <w:right w:val="single" w:sz="6" w:space="0" w:color="000000"/>
            </w:tcBorders>
          </w:tcPr>
          <w:p w14:paraId="1D442F62" w14:textId="77777777" w:rsidR="008940B3" w:rsidRPr="005C18DE" w:rsidRDefault="008940B3" w:rsidP="005C18DE">
            <w:pPr>
              <w:suppressAutoHyphens/>
              <w:spacing w:line="276" w:lineRule="auto"/>
              <w:jc w:val="center"/>
              <w:rPr>
                <w:color w:val="000000"/>
                <w:sz w:val="18"/>
                <w:szCs w:val="16"/>
              </w:rPr>
            </w:pPr>
            <w:r w:rsidRPr="005C18DE">
              <w:rPr>
                <w:color w:val="000000"/>
                <w:sz w:val="18"/>
                <w:szCs w:val="16"/>
              </w:rPr>
              <w:t>BENCH</w:t>
            </w:r>
          </w:p>
        </w:tc>
        <w:tc>
          <w:tcPr>
            <w:tcW w:w="906" w:type="dxa"/>
            <w:tcBorders>
              <w:top w:val="single" w:sz="6" w:space="0" w:color="000000"/>
              <w:left w:val="single" w:sz="6" w:space="0" w:color="000000"/>
              <w:bottom w:val="single" w:sz="6" w:space="0" w:color="000000"/>
              <w:right w:val="single" w:sz="6" w:space="0" w:color="000000"/>
            </w:tcBorders>
          </w:tcPr>
          <w:p w14:paraId="5BDA8C1B" w14:textId="77777777" w:rsidR="008940B3" w:rsidRPr="005C18DE" w:rsidRDefault="008940B3" w:rsidP="005C18DE">
            <w:pPr>
              <w:suppressAutoHyphens/>
              <w:spacing w:line="276" w:lineRule="auto"/>
              <w:jc w:val="center"/>
              <w:rPr>
                <w:color w:val="000000"/>
                <w:sz w:val="18"/>
                <w:szCs w:val="16"/>
              </w:rPr>
            </w:pPr>
            <w:r w:rsidRPr="005C18DE">
              <w:rPr>
                <w:color w:val="000000"/>
                <w:sz w:val="18"/>
                <w:szCs w:val="16"/>
              </w:rPr>
              <w:t>DROMOS</w:t>
            </w:r>
          </w:p>
        </w:tc>
        <w:tc>
          <w:tcPr>
            <w:tcW w:w="701" w:type="dxa"/>
            <w:tcBorders>
              <w:top w:val="single" w:sz="6" w:space="0" w:color="000000"/>
              <w:left w:val="single" w:sz="6" w:space="0" w:color="000000"/>
              <w:bottom w:val="single" w:sz="6" w:space="0" w:color="000000"/>
              <w:right w:val="single" w:sz="6" w:space="0" w:color="000000"/>
            </w:tcBorders>
            <w:hideMark/>
          </w:tcPr>
          <w:p w14:paraId="6A3DC8EA" w14:textId="77777777" w:rsidR="008940B3" w:rsidRPr="005C18DE" w:rsidRDefault="008940B3" w:rsidP="005C18DE">
            <w:pPr>
              <w:suppressAutoHyphens/>
              <w:spacing w:line="276" w:lineRule="auto"/>
              <w:jc w:val="center"/>
              <w:rPr>
                <w:sz w:val="18"/>
                <w:szCs w:val="16"/>
              </w:rPr>
            </w:pPr>
            <w:r w:rsidRPr="005C18DE">
              <w:rPr>
                <w:color w:val="000000"/>
                <w:sz w:val="18"/>
                <w:szCs w:val="16"/>
              </w:rPr>
              <w:t>PITHOS</w:t>
            </w:r>
          </w:p>
        </w:tc>
        <w:tc>
          <w:tcPr>
            <w:tcW w:w="1020" w:type="dxa"/>
            <w:tcBorders>
              <w:top w:val="single" w:sz="6" w:space="0" w:color="000000"/>
              <w:left w:val="single" w:sz="6" w:space="0" w:color="000000"/>
              <w:bottom w:val="single" w:sz="6" w:space="0" w:color="000000"/>
              <w:right w:val="single" w:sz="6" w:space="0" w:color="000000"/>
            </w:tcBorders>
          </w:tcPr>
          <w:p w14:paraId="5F51A26E" w14:textId="77777777" w:rsidR="008940B3" w:rsidRPr="005C18DE" w:rsidRDefault="008940B3" w:rsidP="005C18DE">
            <w:pPr>
              <w:suppressAutoHyphens/>
              <w:spacing w:line="276" w:lineRule="auto"/>
              <w:jc w:val="center"/>
              <w:rPr>
                <w:color w:val="000000"/>
                <w:sz w:val="18"/>
                <w:szCs w:val="16"/>
              </w:rPr>
            </w:pPr>
            <w:r w:rsidRPr="005C18DE">
              <w:rPr>
                <w:color w:val="000000"/>
                <w:sz w:val="18"/>
                <w:szCs w:val="16"/>
              </w:rPr>
              <w:t>VASE WITH CREMATED BONES</w:t>
            </w:r>
          </w:p>
        </w:tc>
        <w:tc>
          <w:tcPr>
            <w:tcW w:w="807" w:type="dxa"/>
            <w:tcBorders>
              <w:top w:val="single" w:sz="6" w:space="0" w:color="000000"/>
              <w:left w:val="single" w:sz="6" w:space="0" w:color="000000"/>
              <w:bottom w:val="single" w:sz="6" w:space="0" w:color="000000"/>
              <w:right w:val="single" w:sz="6" w:space="0" w:color="000000"/>
            </w:tcBorders>
          </w:tcPr>
          <w:p w14:paraId="59D1459A" w14:textId="77777777" w:rsidR="008940B3" w:rsidRPr="005C18DE" w:rsidRDefault="008940B3" w:rsidP="005C18DE">
            <w:pPr>
              <w:suppressAutoHyphens/>
              <w:spacing w:line="276" w:lineRule="auto"/>
              <w:jc w:val="center"/>
              <w:rPr>
                <w:color w:val="000000"/>
                <w:sz w:val="18"/>
                <w:szCs w:val="16"/>
              </w:rPr>
            </w:pPr>
            <w:r w:rsidRPr="005C18DE">
              <w:rPr>
                <w:color w:val="000000"/>
                <w:sz w:val="18"/>
                <w:szCs w:val="16"/>
              </w:rPr>
              <w:t>REUSED MM LARNAX</w:t>
            </w:r>
          </w:p>
        </w:tc>
      </w:tr>
      <w:tr w:rsidR="008940B3" w:rsidRPr="005C18DE" w14:paraId="271D4EBD" w14:textId="77777777" w:rsidTr="008940B3">
        <w:tblPrEx>
          <w:tblCellMar>
            <w:left w:w="0" w:type="dxa"/>
            <w:right w:w="0" w:type="dxa"/>
          </w:tblCellMar>
        </w:tblPrEx>
        <w:trPr>
          <w:trHeight w:val="175"/>
        </w:trPr>
        <w:tc>
          <w:tcPr>
            <w:tcW w:w="130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05ACC03" w14:textId="3A6E74DB" w:rsidR="008940B3" w:rsidRPr="005C18DE" w:rsidRDefault="008940B3" w:rsidP="005C18DE">
            <w:pPr>
              <w:suppressAutoHyphens/>
              <w:spacing w:line="276" w:lineRule="auto"/>
              <w:jc w:val="left"/>
              <w:rPr>
                <w:sz w:val="20"/>
                <w:szCs w:val="16"/>
              </w:rPr>
            </w:pPr>
            <w:r w:rsidRPr="005C18DE">
              <w:rPr>
                <w:color w:val="000000"/>
                <w:sz w:val="20"/>
                <w:szCs w:val="16"/>
              </w:rPr>
              <w:t>No</w:t>
            </w:r>
            <w:r w:rsidR="00631B99" w:rsidRPr="005C18DE">
              <w:rPr>
                <w:color w:val="000000"/>
                <w:sz w:val="20"/>
                <w:szCs w:val="16"/>
              </w:rPr>
              <w:t>. of tombs with other interments</w:t>
            </w:r>
          </w:p>
        </w:tc>
        <w:tc>
          <w:tcPr>
            <w:tcW w:w="112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6517D9C" w14:textId="3C01DBC0" w:rsidR="008940B3" w:rsidRPr="005C18DE" w:rsidRDefault="008940B3" w:rsidP="005C18DE">
            <w:pPr>
              <w:suppressAutoHyphens/>
              <w:spacing w:line="276" w:lineRule="auto"/>
              <w:jc w:val="center"/>
              <w:rPr>
                <w:sz w:val="20"/>
                <w:szCs w:val="16"/>
              </w:rPr>
            </w:pPr>
            <w:r w:rsidRPr="005C18DE">
              <w:rPr>
                <w:sz w:val="20"/>
                <w:szCs w:val="16"/>
              </w:rPr>
              <w:t>2</w:t>
            </w:r>
          </w:p>
        </w:tc>
        <w:tc>
          <w:tcPr>
            <w:tcW w:w="103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F4CA070" w14:textId="77777777" w:rsidR="008940B3" w:rsidRPr="005C18DE" w:rsidRDefault="008940B3" w:rsidP="005C18DE">
            <w:pPr>
              <w:suppressAutoHyphens/>
              <w:spacing w:line="276" w:lineRule="auto"/>
              <w:jc w:val="center"/>
              <w:rPr>
                <w:sz w:val="20"/>
                <w:szCs w:val="16"/>
              </w:rPr>
            </w:pPr>
            <w:r w:rsidRPr="005C18DE">
              <w:rPr>
                <w:sz w:val="20"/>
                <w:szCs w:val="16"/>
              </w:rPr>
              <w:t>15</w:t>
            </w:r>
          </w:p>
        </w:tc>
        <w:tc>
          <w:tcPr>
            <w:tcW w:w="708" w:type="dxa"/>
            <w:tcBorders>
              <w:top w:val="single" w:sz="6" w:space="0" w:color="000000"/>
              <w:left w:val="single" w:sz="6" w:space="0" w:color="000000"/>
              <w:bottom w:val="single" w:sz="6" w:space="0" w:color="000000"/>
              <w:right w:val="single" w:sz="6" w:space="0" w:color="000000"/>
            </w:tcBorders>
          </w:tcPr>
          <w:p w14:paraId="79B3CF90" w14:textId="77777777" w:rsidR="008940B3" w:rsidRPr="005C18DE" w:rsidRDefault="008940B3" w:rsidP="005C18DE">
            <w:pPr>
              <w:suppressAutoHyphens/>
              <w:spacing w:line="276" w:lineRule="auto"/>
              <w:jc w:val="center"/>
              <w:rPr>
                <w:sz w:val="20"/>
                <w:szCs w:val="16"/>
              </w:rPr>
            </w:pPr>
            <w:r w:rsidRPr="005C18DE">
              <w:rPr>
                <w:sz w:val="20"/>
                <w:szCs w:val="16"/>
              </w:rPr>
              <w:t>6</w:t>
            </w:r>
          </w:p>
        </w:tc>
        <w:tc>
          <w:tcPr>
            <w:tcW w:w="709" w:type="dxa"/>
            <w:tcBorders>
              <w:top w:val="single" w:sz="6" w:space="0" w:color="000000"/>
              <w:left w:val="single" w:sz="6" w:space="0" w:color="000000"/>
              <w:bottom w:val="single" w:sz="6" w:space="0" w:color="000000"/>
              <w:right w:val="single" w:sz="6" w:space="0" w:color="000000"/>
            </w:tcBorders>
          </w:tcPr>
          <w:p w14:paraId="022EB037" w14:textId="2E5830C3" w:rsidR="008940B3" w:rsidRPr="005C18DE" w:rsidRDefault="008940B3" w:rsidP="005C18DE">
            <w:pPr>
              <w:suppressAutoHyphens/>
              <w:spacing w:line="276" w:lineRule="auto"/>
              <w:jc w:val="center"/>
              <w:rPr>
                <w:sz w:val="20"/>
                <w:szCs w:val="16"/>
              </w:rPr>
            </w:pPr>
            <w:r w:rsidRPr="005C18DE">
              <w:rPr>
                <w:sz w:val="20"/>
                <w:szCs w:val="16"/>
              </w:rPr>
              <w:t>-</w:t>
            </w:r>
          </w:p>
        </w:tc>
        <w:tc>
          <w:tcPr>
            <w:tcW w:w="906" w:type="dxa"/>
            <w:tcBorders>
              <w:top w:val="single" w:sz="6" w:space="0" w:color="000000"/>
              <w:left w:val="single" w:sz="6" w:space="0" w:color="000000"/>
              <w:bottom w:val="single" w:sz="6" w:space="0" w:color="000000"/>
              <w:right w:val="single" w:sz="6" w:space="0" w:color="000000"/>
            </w:tcBorders>
          </w:tcPr>
          <w:p w14:paraId="542AECD8" w14:textId="085384C8" w:rsidR="008940B3" w:rsidRPr="005C18DE" w:rsidRDefault="008940B3" w:rsidP="005C18DE">
            <w:pPr>
              <w:suppressAutoHyphens/>
              <w:spacing w:line="276" w:lineRule="auto"/>
              <w:jc w:val="center"/>
              <w:rPr>
                <w:sz w:val="20"/>
                <w:szCs w:val="16"/>
              </w:rPr>
            </w:pPr>
            <w:r w:rsidRPr="005C18DE">
              <w:rPr>
                <w:sz w:val="20"/>
                <w:szCs w:val="16"/>
              </w:rPr>
              <w:t>1</w:t>
            </w:r>
          </w:p>
        </w:tc>
        <w:tc>
          <w:tcPr>
            <w:tcW w:w="70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DCD0386" w14:textId="07199B44" w:rsidR="008940B3" w:rsidRPr="005C18DE" w:rsidRDefault="008940B3" w:rsidP="005C18DE">
            <w:pPr>
              <w:suppressAutoHyphens/>
              <w:spacing w:line="276" w:lineRule="auto"/>
              <w:jc w:val="center"/>
              <w:rPr>
                <w:sz w:val="20"/>
                <w:szCs w:val="16"/>
              </w:rPr>
            </w:pPr>
            <w:r w:rsidRPr="005C18DE">
              <w:rPr>
                <w:sz w:val="20"/>
                <w:szCs w:val="16"/>
              </w:rPr>
              <w:t>-</w:t>
            </w:r>
          </w:p>
        </w:tc>
        <w:tc>
          <w:tcPr>
            <w:tcW w:w="1020" w:type="dxa"/>
            <w:tcBorders>
              <w:top w:val="single" w:sz="6" w:space="0" w:color="000000"/>
              <w:left w:val="single" w:sz="6" w:space="0" w:color="000000"/>
              <w:bottom w:val="single" w:sz="6" w:space="0" w:color="000000"/>
              <w:right w:val="single" w:sz="6" w:space="0" w:color="000000"/>
            </w:tcBorders>
          </w:tcPr>
          <w:p w14:paraId="0D0CE920" w14:textId="77777777" w:rsidR="008940B3" w:rsidRPr="005C18DE" w:rsidRDefault="008940B3" w:rsidP="005C18DE">
            <w:pPr>
              <w:suppressAutoHyphens/>
              <w:spacing w:line="276" w:lineRule="auto"/>
              <w:jc w:val="center"/>
              <w:rPr>
                <w:sz w:val="20"/>
                <w:szCs w:val="16"/>
              </w:rPr>
            </w:pPr>
            <w:r w:rsidRPr="005C18DE">
              <w:rPr>
                <w:sz w:val="20"/>
                <w:szCs w:val="16"/>
              </w:rPr>
              <w:t>-</w:t>
            </w:r>
          </w:p>
        </w:tc>
        <w:tc>
          <w:tcPr>
            <w:tcW w:w="807" w:type="dxa"/>
            <w:tcBorders>
              <w:top w:val="single" w:sz="6" w:space="0" w:color="000000"/>
              <w:left w:val="single" w:sz="6" w:space="0" w:color="000000"/>
              <w:bottom w:val="single" w:sz="6" w:space="0" w:color="000000"/>
              <w:right w:val="single" w:sz="6" w:space="0" w:color="000000"/>
            </w:tcBorders>
          </w:tcPr>
          <w:p w14:paraId="43582201" w14:textId="77777777" w:rsidR="008940B3" w:rsidRPr="005C18DE" w:rsidRDefault="008940B3" w:rsidP="005C18DE">
            <w:pPr>
              <w:suppressAutoHyphens/>
              <w:spacing w:line="276" w:lineRule="auto"/>
              <w:jc w:val="center"/>
              <w:rPr>
                <w:sz w:val="20"/>
                <w:szCs w:val="16"/>
              </w:rPr>
            </w:pPr>
            <w:r w:rsidRPr="005C18DE">
              <w:rPr>
                <w:sz w:val="20"/>
                <w:szCs w:val="16"/>
              </w:rPr>
              <w:t>2</w:t>
            </w:r>
          </w:p>
        </w:tc>
      </w:tr>
    </w:tbl>
    <w:p w14:paraId="2A62825A" w14:textId="77777777" w:rsidR="008940B3" w:rsidRPr="001746DE"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202F7A6F" w14:textId="77777777" w:rsidR="008940B3" w:rsidRPr="001746DE" w:rsidRDefault="008940B3" w:rsidP="00E858EF">
      <w:pPr>
        <w:pStyle w:val="Titolo3"/>
        <w:keepNext w:val="0"/>
        <w:keepLines w:val="0"/>
        <w:suppressAutoHyphens/>
      </w:pPr>
      <w:bookmarkStart w:id="327" w:name="_Toc389131187"/>
      <w:bookmarkStart w:id="328" w:name="_Toc517876515"/>
      <w:bookmarkStart w:id="329" w:name="_Toc519894629"/>
      <w:r w:rsidRPr="001746DE">
        <w:t>Clay larnakes in no</w:t>
      </w:r>
      <w:r>
        <w:t>n-</w:t>
      </w:r>
      <w:r w:rsidRPr="001746DE">
        <w:t>burial context</w:t>
      </w:r>
      <w:bookmarkEnd w:id="327"/>
      <w:bookmarkEnd w:id="328"/>
      <w:bookmarkEnd w:id="329"/>
      <w:r w:rsidRPr="001746DE">
        <w:t xml:space="preserve"> </w:t>
      </w:r>
    </w:p>
    <w:p w14:paraId="5878AF97" w14:textId="77777777" w:rsidR="008940B3" w:rsidRPr="003B5C8D" w:rsidRDefault="008940B3" w:rsidP="005C18DE">
      <w:r>
        <w:t>No larnakes have been reported</w:t>
      </w:r>
      <w:r w:rsidRPr="003B5C8D">
        <w:t xml:space="preserve"> in settlements in the </w:t>
      </w:r>
      <w:r>
        <w:t>C</w:t>
      </w:r>
      <w:r w:rsidRPr="003B5C8D">
        <w:t xml:space="preserve">entral area. </w:t>
      </w:r>
    </w:p>
    <w:p w14:paraId="28F527B2" w14:textId="77777777" w:rsidR="008940B3" w:rsidRPr="001746DE" w:rsidRDefault="008940B3" w:rsidP="00E858EF">
      <w:pPr>
        <w:pStyle w:val="Titolo3"/>
        <w:keepNext w:val="0"/>
        <w:keepLines w:val="0"/>
        <w:suppressAutoHyphens/>
      </w:pPr>
      <w:bookmarkStart w:id="330" w:name="_Toc389131188"/>
      <w:bookmarkStart w:id="331" w:name="_Toc517876516"/>
      <w:bookmarkStart w:id="332" w:name="_Toc519894630"/>
      <w:r w:rsidRPr="001746DE">
        <w:t>Chronological remarks</w:t>
      </w:r>
      <w:bookmarkEnd w:id="330"/>
      <w:bookmarkEnd w:id="331"/>
      <w:bookmarkEnd w:id="332"/>
      <w:r w:rsidRPr="001746DE">
        <w:t xml:space="preserve"> </w:t>
      </w:r>
    </w:p>
    <w:p w14:paraId="6000AA75" w14:textId="1A168862" w:rsidR="008940B3" w:rsidRPr="003B5C8D" w:rsidRDefault="008940B3" w:rsidP="005C18DE">
      <w:r>
        <w:t>Regarding</w:t>
      </w:r>
      <w:r w:rsidRPr="003B5C8D">
        <w:t xml:space="preserve"> </w:t>
      </w:r>
      <w:r w:rsidRPr="003B5C8D">
        <w:rPr>
          <w:b/>
        </w:rPr>
        <w:t>chronological distribution</w:t>
      </w:r>
      <w:r w:rsidRPr="003B5C8D">
        <w:t xml:space="preserve">, for 82% of tombs it is possible to retrieve a relatively detailed chronology </w:t>
      </w:r>
      <w:r>
        <w:t>concerning</w:t>
      </w:r>
      <w:r w:rsidRPr="003B5C8D">
        <w:t xml:space="preserve"> phase of use. Generally, the chronological distribution of larnax burial</w:t>
      </w:r>
      <w:r>
        <w:t>s</w:t>
      </w:r>
      <w:r w:rsidRPr="003B5C8D">
        <w:t xml:space="preserve"> in </w:t>
      </w:r>
      <w:r>
        <w:t>the C</w:t>
      </w:r>
      <w:r w:rsidRPr="003B5C8D">
        <w:t>entral</w:t>
      </w:r>
      <w:r>
        <w:t xml:space="preserve"> area</w:t>
      </w:r>
      <w:r w:rsidRPr="003B5C8D">
        <w:t xml:space="preserve"> </w:t>
      </w:r>
      <w:r>
        <w:t>indicates</w:t>
      </w:r>
      <w:r w:rsidRPr="003B5C8D">
        <w:t xml:space="preserve"> that </w:t>
      </w:r>
      <w:r>
        <w:t>they</w:t>
      </w:r>
      <w:r w:rsidRPr="003B5C8D">
        <w:t xml:space="preserve"> became more common during LM IIIA2-B. The peak of </w:t>
      </w:r>
      <w:r>
        <w:t>larnax</w:t>
      </w:r>
      <w:r w:rsidRPr="003B5C8D">
        <w:t xml:space="preserve"> use corresponds in general to </w:t>
      </w:r>
      <w:r>
        <w:t xml:space="preserve">the </w:t>
      </w:r>
      <w:r w:rsidRPr="003B5C8D">
        <w:t>LM IIIB phase. However, in this region</w:t>
      </w:r>
      <w:r>
        <w:t>,</w:t>
      </w:r>
      <w:r w:rsidRPr="003B5C8D">
        <w:t xml:space="preserve"> the use of clay coffin</w:t>
      </w:r>
      <w:r>
        <w:t>s</w:t>
      </w:r>
      <w:r w:rsidRPr="003B5C8D">
        <w:t xml:space="preserve"> in the first phase</w:t>
      </w:r>
      <w:r>
        <w:t xml:space="preserve"> of LM IIIA is </w:t>
      </w:r>
      <w:r w:rsidR="000F3761">
        <w:t xml:space="preserve">probably </w:t>
      </w:r>
      <w:r>
        <w:t xml:space="preserve">attested (larnax </w:t>
      </w:r>
      <w:r w:rsidRPr="003B5C8D">
        <w:t xml:space="preserve">from Voritsi, dated by Kanta </w:t>
      </w:r>
      <w:r>
        <w:t>based on</w:t>
      </w:r>
      <w:r w:rsidRPr="003B5C8D">
        <w:t xml:space="preserve"> the pottery associated </w:t>
      </w:r>
      <w:r>
        <w:t>with the</w:t>
      </w:r>
      <w:r w:rsidRPr="003B5C8D">
        <w:t xml:space="preserve"> early stage of LMIIIA</w:t>
      </w:r>
      <w:r w:rsidR="000F3761">
        <w:t xml:space="preserve">, although the tomb was not excavated and </w:t>
      </w:r>
      <w:r w:rsidR="00431A8D">
        <w:t xml:space="preserve">so it </w:t>
      </w:r>
      <w:r w:rsidR="000F3761">
        <w:t xml:space="preserve">is </w:t>
      </w:r>
      <w:r w:rsidR="00431A8D">
        <w:t>uncertain</w:t>
      </w:r>
      <w:r w:rsidR="000F3761">
        <w:t xml:space="preserve"> </w:t>
      </w:r>
      <w:r w:rsidR="00431A8D">
        <w:t>whether</w:t>
      </w:r>
      <w:r w:rsidR="000F3761">
        <w:t xml:space="preserve"> the larnax too was </w:t>
      </w:r>
      <w:r w:rsidR="00431A8D">
        <w:t xml:space="preserve">of </w:t>
      </w:r>
      <w:r w:rsidR="000F3761">
        <w:t>LM IIIA1 date</w:t>
      </w:r>
      <w:r w:rsidRPr="003B5C8D">
        <w:t>) and the LM III larnax burials of Archanes Phourni cemetery are almost all dated to LM IIIA2</w:t>
      </w:r>
      <w:r>
        <w:t>,</w:t>
      </w:r>
      <w:r w:rsidRPr="003B5C8D">
        <w:t xml:space="preserve"> except for the </w:t>
      </w:r>
      <w:r>
        <w:t>c</w:t>
      </w:r>
      <w:r w:rsidRPr="003B5C8D">
        <w:t>enotaph</w:t>
      </w:r>
      <w:r>
        <w:t>,</w:t>
      </w:r>
      <w:r w:rsidRPr="003B5C8D">
        <w:t xml:space="preserve"> which is dated to LM IIIA2-B (Sakellarakis, Sakellaraki 1997).</w:t>
      </w:r>
      <w:r>
        <w:t xml:space="preserve"> The cemetery of Archanes Phourni and Tomb G</w:t>
      </w:r>
      <w:r w:rsidRPr="003B5C8D">
        <w:t>amma at Episkopi Pediada Kephala</w:t>
      </w:r>
      <w:r>
        <w:t xml:space="preserve"> are </w:t>
      </w:r>
      <w:r w:rsidRPr="003B5C8D">
        <w:t xml:space="preserve">the only two cases in this region </w:t>
      </w:r>
      <w:r>
        <w:t>in which</w:t>
      </w:r>
      <w:r w:rsidRPr="003B5C8D">
        <w:t xml:space="preserve"> LM III larnakes </w:t>
      </w:r>
      <w:r>
        <w:t>are</w:t>
      </w:r>
      <w:r w:rsidRPr="003B5C8D">
        <w:t xml:space="preserve"> associa</w:t>
      </w:r>
      <w:r>
        <w:t>ted with previously existing tombs (Tholos B Archanes Phourni; Episkopi Kephala Tomb G). Another interesting phenomenon is the reuse of MM larnakes for new interments in LM III (e.g. Episkopi Pediada Malathres Tomb 2; Archanes Aniphoros Tomb 1).</w:t>
      </w:r>
    </w:p>
    <w:p w14:paraId="14983FB2"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2FD04670"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sidRPr="003B5C8D">
        <w:rPr>
          <w:color w:val="000000"/>
          <w:sz w:val="22"/>
          <w:szCs w:val="22"/>
        </w:rPr>
        <w:t xml:space="preserve"> </w:t>
      </w:r>
      <w:r>
        <w:rPr>
          <w:noProof/>
          <w:lang w:val="it-IT"/>
        </w:rPr>
        <w:drawing>
          <wp:inline distT="0" distB="0" distL="0" distR="0" wp14:anchorId="6AADE607" wp14:editId="6CEA1377">
            <wp:extent cx="5334000" cy="2603500"/>
            <wp:effectExtent l="0" t="0" r="0" b="6350"/>
            <wp:docPr id="17" name="Gra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42B080F" w14:textId="3560DBC6" w:rsidR="008940B3" w:rsidRDefault="008940B3" w:rsidP="00E858EF">
      <w:pPr>
        <w:pStyle w:val="Didascalia"/>
        <w:suppressAutoHyphens/>
      </w:pPr>
      <w:bookmarkStart w:id="333" w:name="_Toc520212316"/>
      <w:r>
        <w:t>Figure 3- 34. Chronological distribution of tomb with larnakes</w:t>
      </w:r>
      <w:r w:rsidR="005E1C18">
        <w:t>,</w:t>
      </w:r>
      <w:r>
        <w:t xml:space="preserve"> Central area</w:t>
      </w:r>
      <w:bookmarkEnd w:id="333"/>
    </w:p>
    <w:p w14:paraId="61E10B54" w14:textId="77777777" w:rsidR="008940B3" w:rsidRPr="001746DE"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117C743A" w14:textId="7B7AFEBA" w:rsidR="008940B3" w:rsidRPr="001746DE" w:rsidRDefault="008940B3" w:rsidP="00E858EF">
      <w:pPr>
        <w:pStyle w:val="Titolo3"/>
        <w:keepNext w:val="0"/>
        <w:keepLines w:val="0"/>
        <w:suppressAutoHyphens/>
      </w:pPr>
      <w:bookmarkStart w:id="334" w:name="_Toc389131189"/>
      <w:bookmarkStart w:id="335" w:name="_Toc517876517"/>
      <w:bookmarkStart w:id="336" w:name="_Toc519894631"/>
      <w:r w:rsidRPr="001746DE">
        <w:t>Conclusions</w:t>
      </w:r>
      <w:r w:rsidR="005C18DE">
        <w:t>,</w:t>
      </w:r>
      <w:r w:rsidRPr="001746DE">
        <w:t xml:space="preserve"> Central area</w:t>
      </w:r>
      <w:bookmarkEnd w:id="334"/>
      <w:bookmarkEnd w:id="335"/>
      <w:bookmarkEnd w:id="336"/>
      <w:r w:rsidRPr="001746DE">
        <w:t xml:space="preserve"> </w:t>
      </w:r>
    </w:p>
    <w:p w14:paraId="6E839F52" w14:textId="77777777" w:rsidR="008940B3" w:rsidRPr="003B5C8D" w:rsidRDefault="008940B3" w:rsidP="005C18DE">
      <w:r w:rsidRPr="003B5C8D">
        <w:t>Summari</w:t>
      </w:r>
      <w:r>
        <w:t>s</w:t>
      </w:r>
      <w:r w:rsidRPr="003B5C8D">
        <w:t>ing all the results</w:t>
      </w:r>
      <w:r>
        <w:t>,</w:t>
      </w:r>
      <w:r w:rsidRPr="003B5C8D">
        <w:t xml:space="preserve"> </w:t>
      </w:r>
      <w:r>
        <w:t>larnax</w:t>
      </w:r>
      <w:r w:rsidRPr="003B5C8D">
        <w:t xml:space="preserve"> burials are the most common </w:t>
      </w:r>
      <w:r>
        <w:t>interment</w:t>
      </w:r>
      <w:r w:rsidRPr="003B5C8D">
        <w:t xml:space="preserve"> typology adopted in </w:t>
      </w:r>
      <w:r>
        <w:t>the C</w:t>
      </w:r>
      <w:r w:rsidRPr="003B5C8D">
        <w:t>entral area. Considering also the burial location</w:t>
      </w:r>
      <w:r>
        <w:t>s</w:t>
      </w:r>
      <w:r w:rsidRPr="003B5C8D">
        <w:t xml:space="preserve"> with possible larnax finds, the </w:t>
      </w:r>
      <w:r>
        <w:t>lack</w:t>
      </w:r>
      <w:r w:rsidRPr="003B5C8D">
        <w:t xml:space="preserve"> of sarcophagi for </w:t>
      </w:r>
      <w:r>
        <w:t xml:space="preserve">the </w:t>
      </w:r>
      <w:r w:rsidRPr="003B5C8D">
        <w:t>LM III period in this area is limited to a very small percentage of burial location</w:t>
      </w:r>
      <w:r>
        <w:t>s</w:t>
      </w:r>
      <w:r w:rsidRPr="003B5C8D">
        <w:t>. Th</w:t>
      </w:r>
      <w:r>
        <w:t>e</w:t>
      </w:r>
      <w:r w:rsidRPr="003B5C8D">
        <w:t xml:space="preserve"> data do</w:t>
      </w:r>
      <w:r>
        <w:t xml:space="preserve"> no</w:t>
      </w:r>
      <w:r w:rsidRPr="003B5C8D">
        <w:t>t change if we analyse larnax distribution considering tomb number</w:t>
      </w:r>
      <w:r>
        <w:t>s: larnakes</w:t>
      </w:r>
      <w:r w:rsidRPr="003B5C8D">
        <w:t xml:space="preserve"> </w:t>
      </w:r>
      <w:r>
        <w:t>are</w:t>
      </w:r>
      <w:r w:rsidRPr="003B5C8D">
        <w:t xml:space="preserve"> securely attested in 74% of tombs in </w:t>
      </w:r>
      <w:r>
        <w:t>the Central</w:t>
      </w:r>
      <w:r w:rsidRPr="003B5C8D">
        <w:t xml:space="preserve"> region.</w:t>
      </w:r>
    </w:p>
    <w:p w14:paraId="4A840D37" w14:textId="77777777" w:rsidR="008940B3" w:rsidRPr="003B5C8D" w:rsidRDefault="008940B3" w:rsidP="005C18DE">
      <w:r>
        <w:tab/>
        <w:t>Larnakes</w:t>
      </w:r>
      <w:r w:rsidRPr="003B5C8D">
        <w:t xml:space="preserve"> </w:t>
      </w:r>
      <w:r>
        <w:t>are</w:t>
      </w:r>
      <w:r w:rsidRPr="003B5C8D">
        <w:t xml:space="preserve"> mainly associated with new</w:t>
      </w:r>
      <w:r>
        <w:t>ly</w:t>
      </w:r>
      <w:r w:rsidRPr="003B5C8D">
        <w:t xml:space="preserve"> built chamber tombs of small and medium dimensions. No </w:t>
      </w:r>
      <w:r>
        <w:t>extra-large</w:t>
      </w:r>
      <w:r w:rsidRPr="003B5C8D">
        <w:t xml:space="preserve"> tombs have been found in this region, although some of the tombs with small chamber</w:t>
      </w:r>
      <w:r>
        <w:t>s</w:t>
      </w:r>
      <w:r w:rsidRPr="003B5C8D">
        <w:t xml:space="preserve"> </w:t>
      </w:r>
      <w:r>
        <w:t>have</w:t>
      </w:r>
      <w:r w:rsidRPr="003B5C8D">
        <w:t xml:space="preserve"> a long dromos (</w:t>
      </w:r>
      <w:r>
        <w:t>e.g. C</w:t>
      </w:r>
      <w:r w:rsidRPr="003B5C8D">
        <w:t xml:space="preserve">hamber </w:t>
      </w:r>
      <w:r>
        <w:t>T</w:t>
      </w:r>
      <w:r w:rsidRPr="003B5C8D">
        <w:t>omb 2 at Gournes</w:t>
      </w:r>
      <w:r>
        <w:t>:</w:t>
      </w:r>
      <w:r w:rsidRPr="003B5C8D">
        <w:t xml:space="preserve"> Hatzidakis 1918: 63-87). The </w:t>
      </w:r>
      <w:r>
        <w:t>largest tomb</w:t>
      </w:r>
      <w:r w:rsidRPr="003B5C8D">
        <w:t xml:space="preserve"> is the corbel-vaulted tomb at Archanes Phourni, which </w:t>
      </w:r>
      <w:r>
        <w:t>is also</w:t>
      </w:r>
      <w:r w:rsidRPr="003B5C8D">
        <w:t xml:space="preserve"> the tomb with the highest </w:t>
      </w:r>
      <w:r>
        <w:t>occur</w:t>
      </w:r>
      <w:r w:rsidRPr="003B5C8D">
        <w:t>rence of monumental feature</w:t>
      </w:r>
      <w:r>
        <w:t>s</w:t>
      </w:r>
      <w:r w:rsidRPr="003B5C8D">
        <w:t xml:space="preserve"> in the region (</w:t>
      </w:r>
      <w:r>
        <w:t xml:space="preserve">a </w:t>
      </w:r>
      <w:r w:rsidRPr="003B5C8D">
        <w:t>very long</w:t>
      </w:r>
      <w:r>
        <w:t>,</w:t>
      </w:r>
      <w:r w:rsidRPr="003B5C8D">
        <w:t xml:space="preserve"> stepped dromos, monumental entrance, side chamber; </w:t>
      </w:r>
      <w:r>
        <w:t>T</w:t>
      </w:r>
      <w:r w:rsidRPr="003B5C8D">
        <w:t>holos A Sakellar</w:t>
      </w:r>
      <w:r>
        <w:t>akis and Sakellaraki 1997: 158-169). Also, the monumentality of Tholos B and its annexes must be considered even if its construction is dated to a previous period (</w:t>
      </w:r>
      <w:r w:rsidRPr="003B5C8D">
        <w:t>Sakellar</w:t>
      </w:r>
      <w:r>
        <w:t>akis and Sakellaraki 1997: 169-168).</w:t>
      </w:r>
    </w:p>
    <w:p w14:paraId="46FBDDB5" w14:textId="77777777" w:rsidR="008940B3" w:rsidRPr="003B5C8D" w:rsidRDefault="008940B3" w:rsidP="005C18DE">
      <w:r>
        <w:tab/>
        <w:t>Regarding</w:t>
      </w:r>
      <w:r w:rsidRPr="003B5C8D">
        <w:t xml:space="preserve"> other </w:t>
      </w:r>
      <w:r>
        <w:t>interment</w:t>
      </w:r>
      <w:r w:rsidRPr="003B5C8D">
        <w:t xml:space="preserve"> typologies associated with clay larnakes, only in one case </w:t>
      </w:r>
      <w:r>
        <w:t>are larnakes</w:t>
      </w:r>
      <w:r w:rsidRPr="003B5C8D">
        <w:t xml:space="preserve"> associated with wooden bier</w:t>
      </w:r>
      <w:r>
        <w:t>s</w:t>
      </w:r>
      <w:r w:rsidRPr="003B5C8D">
        <w:t>/coffin</w:t>
      </w:r>
      <w:r>
        <w:t>s,</w:t>
      </w:r>
      <w:r w:rsidRPr="003B5C8D">
        <w:t xml:space="preserve"> at Kyparissi Vatheia </w:t>
      </w:r>
      <w:r>
        <w:t>T</w:t>
      </w:r>
      <w:r w:rsidRPr="003B5C8D">
        <w:t>omb 2 (Rethemiotakis 1987</w:t>
      </w:r>
      <w:r>
        <w:t xml:space="preserve">: </w:t>
      </w:r>
      <w:r w:rsidRPr="003B5C8D">
        <w:t>235-243). In all the other cases</w:t>
      </w:r>
      <w:r>
        <w:t>,</w:t>
      </w:r>
      <w:r w:rsidRPr="003B5C8D">
        <w:t xml:space="preserve"> the other </w:t>
      </w:r>
      <w:r>
        <w:t>interment</w:t>
      </w:r>
      <w:r w:rsidRPr="003B5C8D">
        <w:t xml:space="preserve">s consist </w:t>
      </w:r>
      <w:r>
        <w:t>of</w:t>
      </w:r>
      <w:r w:rsidRPr="003B5C8D">
        <w:t xml:space="preserve"> deposition</w:t>
      </w:r>
      <w:r>
        <w:t>s</w:t>
      </w:r>
      <w:r w:rsidRPr="003B5C8D">
        <w:t xml:space="preserve"> on the floor or in a pit, </w:t>
      </w:r>
      <w:r>
        <w:t>which</w:t>
      </w:r>
      <w:r w:rsidRPr="003B5C8D">
        <w:t xml:space="preserve"> possibl</w:t>
      </w:r>
      <w:r>
        <w:t>y represent</w:t>
      </w:r>
      <w:r w:rsidRPr="003B5C8D">
        <w:t xml:space="preserve"> secondary burial depositions. In </w:t>
      </w:r>
      <w:r>
        <w:t xml:space="preserve">a </w:t>
      </w:r>
      <w:r w:rsidRPr="003B5C8D">
        <w:t>few cemeteries</w:t>
      </w:r>
      <w:r>
        <w:t>,</w:t>
      </w:r>
      <w:r w:rsidRPr="003B5C8D">
        <w:t xml:space="preserve"> larnakes </w:t>
      </w:r>
      <w:r>
        <w:t>were</w:t>
      </w:r>
      <w:r w:rsidRPr="003B5C8D">
        <w:t xml:space="preserve"> found in pits excavated inside the tombs (</w:t>
      </w:r>
      <w:r>
        <w:t>C</w:t>
      </w:r>
      <w:r w:rsidRPr="003B5C8D">
        <w:t>orbel</w:t>
      </w:r>
      <w:r>
        <w:t>-</w:t>
      </w:r>
      <w:r w:rsidRPr="003B5C8D">
        <w:t>vaulted A</w:t>
      </w:r>
      <w:r>
        <w:t>,</w:t>
      </w:r>
      <w:r w:rsidRPr="003B5C8D">
        <w:t xml:space="preserve"> Archanes Phourni</w:t>
      </w:r>
      <w:r>
        <w:t>;</w:t>
      </w:r>
      <w:r w:rsidRPr="003B5C8D">
        <w:t xml:space="preserve"> Episkopi Pediada Kephala </w:t>
      </w:r>
      <w:r>
        <w:t>T</w:t>
      </w:r>
      <w:r w:rsidRPr="003B5C8D">
        <w:t>omb D</w:t>
      </w:r>
      <w:r>
        <w:t>;</w:t>
      </w:r>
      <w:r w:rsidRPr="003B5C8D">
        <w:t xml:space="preserve"> Gournes tombs 1,</w:t>
      </w:r>
      <w:r>
        <w:t xml:space="preserve"> </w:t>
      </w:r>
      <w:r w:rsidRPr="003B5C8D">
        <w:t>2,</w:t>
      </w:r>
      <w:r>
        <w:t xml:space="preserve"> </w:t>
      </w:r>
      <w:r w:rsidRPr="003B5C8D">
        <w:t>4).</w:t>
      </w:r>
      <w:r>
        <w:t xml:space="preserve"> The reuse of MM larnakes, even if registered in two isolated tombs (Episkopi Pediada Malathres Tomb 2; Archanes Aniphoros Tomb 1), </w:t>
      </w:r>
      <w:r w:rsidRPr="00093B2C">
        <w:t xml:space="preserve">represents a very important phenomenon because it demonstrates a </w:t>
      </w:r>
      <w:r>
        <w:t xml:space="preserve">form </w:t>
      </w:r>
      <w:r w:rsidRPr="00093B2C">
        <w:t xml:space="preserve">of continuity in the use of clay coffins from earlier phases </w:t>
      </w:r>
      <w:r>
        <w:t xml:space="preserve">until </w:t>
      </w:r>
      <w:r w:rsidRPr="00093B2C">
        <w:t>LM III. The</w:t>
      </w:r>
      <w:r>
        <w:t xml:space="preserve"> people who reused the larnakes</w:t>
      </w:r>
      <w:r w:rsidRPr="00093B2C">
        <w:t xml:space="preserve"> </w:t>
      </w:r>
      <w:r>
        <w:t xml:space="preserve">must have been aware </w:t>
      </w:r>
      <w:r w:rsidRPr="00093B2C">
        <w:t>of the</w:t>
      </w:r>
      <w:r>
        <w:t>ir</w:t>
      </w:r>
      <w:r w:rsidRPr="00093B2C">
        <w:t xml:space="preserve"> use as a burial receptacle in the past.</w:t>
      </w:r>
      <w:r>
        <w:t xml:space="preserve"> </w:t>
      </w:r>
      <w:r w:rsidRPr="00093B2C">
        <w:t>Overall</w:t>
      </w:r>
      <w:r>
        <w:t>,</w:t>
      </w:r>
      <w:r w:rsidRPr="00093B2C">
        <w:t xml:space="preserve"> two cemeteries stand out in</w:t>
      </w:r>
      <w:r w:rsidRPr="003B5C8D">
        <w:t xml:space="preserve"> this region:</w:t>
      </w:r>
    </w:p>
    <w:p w14:paraId="477543B7" w14:textId="77777777" w:rsidR="008940B3" w:rsidRPr="005C18DE" w:rsidRDefault="008940B3" w:rsidP="00E858EF">
      <w:pPr>
        <w:pStyle w:val="Paragrafoelenco"/>
        <w:numPr>
          <w:ilvl w:val="0"/>
          <w:numId w:val="17"/>
        </w:numPr>
        <w:suppressAutoHyphens/>
        <w:rPr>
          <w:color w:val="000000"/>
          <w:szCs w:val="22"/>
        </w:rPr>
      </w:pPr>
      <w:r w:rsidRPr="00093B2C">
        <w:rPr>
          <w:color w:val="000000"/>
          <w:sz w:val="22"/>
          <w:szCs w:val="22"/>
        </w:rPr>
        <w:t>A</w:t>
      </w:r>
      <w:r w:rsidRPr="005C18DE">
        <w:rPr>
          <w:color w:val="000000"/>
          <w:szCs w:val="22"/>
        </w:rPr>
        <w:t>rchanes Phourni, for the variety of tomb typologies and the monumentality of burial structures associated with larnakes. Furthermore, the cemetery has elements of strong continuity through the reuse of pre-existing structures for LM III burials and, conversely, elements of discontinuity with the addition of new tombs in the cemetery during LM III (Grave enclosure, and Tholos A, cenotaph) (consider also the similarities between Archanes Phourni and Kalyvia, although no larnakes have been found there, and Knossos cemeteries see: Cucuzza 2003, Preston 2004).</w:t>
      </w:r>
    </w:p>
    <w:p w14:paraId="78B3B0F3" w14:textId="1ABF170B" w:rsidR="008940B3" w:rsidRDefault="008940B3" w:rsidP="00E858EF">
      <w:pPr>
        <w:pStyle w:val="Paragrafoelenco"/>
        <w:numPr>
          <w:ilvl w:val="0"/>
          <w:numId w:val="17"/>
        </w:numPr>
        <w:suppressAutoHyphens/>
        <w:rPr>
          <w:color w:val="000000"/>
          <w:szCs w:val="22"/>
        </w:rPr>
      </w:pPr>
      <w:r w:rsidRPr="005C18DE">
        <w:rPr>
          <w:color w:val="000000"/>
          <w:szCs w:val="22"/>
        </w:rPr>
        <w:t>Episkopi Pediada cemetery, formed by eight different burial locations across which a high concentration of larnax burials was distributed (Kanta 1980: 58-67; Langohr 2009: 69-70). Furthermore, as at Archanes, this cemetery has elements of continuity with the reuse of earlier burials (Episkopi Kephala Tomb Gamma) and of Middle Minoan larnakes reused for LM III deposition (Kanta 1980:60; Langohr 2009: 70).</w:t>
      </w:r>
    </w:p>
    <w:p w14:paraId="2FE3C628" w14:textId="77777777" w:rsidR="005C18DE" w:rsidRPr="005C18DE" w:rsidRDefault="005C18DE" w:rsidP="005C18DE">
      <w:pPr>
        <w:pStyle w:val="Paragrafoelenco"/>
        <w:suppressAutoHyphens/>
        <w:rPr>
          <w:color w:val="000000"/>
          <w:szCs w:val="22"/>
        </w:rPr>
      </w:pPr>
    </w:p>
    <w:p w14:paraId="20984294" w14:textId="77777777" w:rsidR="008940B3" w:rsidRPr="00450198" w:rsidRDefault="008940B3" w:rsidP="00E858EF">
      <w:pPr>
        <w:pStyle w:val="Titolo2"/>
        <w:keepNext w:val="0"/>
        <w:keepLines w:val="0"/>
        <w:suppressAutoHyphens/>
      </w:pPr>
      <w:bookmarkStart w:id="337" w:name="_Toc389131190"/>
      <w:bookmarkStart w:id="338" w:name="_Toc517876518"/>
      <w:bookmarkStart w:id="339" w:name="_Toc519894632"/>
      <w:r>
        <w:t>Mid-East</w:t>
      </w:r>
      <w:r w:rsidRPr="00450198">
        <w:t xml:space="preserve"> area</w:t>
      </w:r>
      <w:bookmarkEnd w:id="337"/>
      <w:bookmarkEnd w:id="338"/>
      <w:bookmarkEnd w:id="339"/>
    </w:p>
    <w:p w14:paraId="0C3EFB9D" w14:textId="77777777" w:rsidR="008940B3" w:rsidRPr="005478D8" w:rsidRDefault="008940B3" w:rsidP="00D84C94">
      <w:r w:rsidRPr="00450198">
        <w:rPr>
          <w:bCs/>
        </w:rPr>
        <w:t>The</w:t>
      </w:r>
      <w:r>
        <w:rPr>
          <w:b/>
          <w:bCs/>
        </w:rPr>
        <w:t xml:space="preserve"> Mid-East area</w:t>
      </w:r>
      <w:r w:rsidRPr="003B5C8D">
        <w:t xml:space="preserve"> is formed by the area of </w:t>
      </w:r>
      <w:r>
        <w:t xml:space="preserve">the </w:t>
      </w:r>
      <w:r w:rsidRPr="003B5C8D">
        <w:t xml:space="preserve">Lasithi plateau and </w:t>
      </w:r>
      <w:r>
        <w:t xml:space="preserve">has </w:t>
      </w:r>
      <w:r w:rsidRPr="003B5C8D">
        <w:t xml:space="preserve">the Ierapetra isthmus </w:t>
      </w:r>
      <w:r>
        <w:t>as its</w:t>
      </w:r>
      <w:r w:rsidRPr="003B5C8D">
        <w:t xml:space="preserve"> eastern border. Burial evidence for the LM III period in this region</w:t>
      </w:r>
      <w:r>
        <w:t xml:space="preserve"> is sparse, but there are two relatively large </w:t>
      </w:r>
      <w:r w:rsidRPr="003B5C8D">
        <w:t xml:space="preserve">cemeteries </w:t>
      </w:r>
      <w:r>
        <w:t>along</w:t>
      </w:r>
      <w:r w:rsidRPr="003B5C8D">
        <w:t xml:space="preserve"> the north co</w:t>
      </w:r>
      <w:r>
        <w:t>a</w:t>
      </w:r>
      <w:r w:rsidRPr="003B5C8D">
        <w:t>st (Malia and Elounda).</w:t>
      </w:r>
    </w:p>
    <w:p w14:paraId="67477353" w14:textId="77777777" w:rsidR="008940B3" w:rsidRPr="005C568A" w:rsidRDefault="008940B3" w:rsidP="00E858EF">
      <w:pPr>
        <w:pStyle w:val="Titolo3"/>
        <w:keepNext w:val="0"/>
        <w:keepLines w:val="0"/>
        <w:suppressAutoHyphens/>
      </w:pPr>
      <w:bookmarkStart w:id="340" w:name="_Toc389131191"/>
      <w:bookmarkStart w:id="341" w:name="_Toc517876519"/>
      <w:bookmarkStart w:id="342" w:name="_Toc519894633"/>
      <w:r w:rsidRPr="005C568A">
        <w:t>Burial locations and cemeteries</w:t>
      </w:r>
      <w:bookmarkEnd w:id="340"/>
      <w:bookmarkEnd w:id="341"/>
      <w:bookmarkEnd w:id="342"/>
    </w:p>
    <w:p w14:paraId="3B202752" w14:textId="77777777" w:rsidR="008940B3" w:rsidRPr="00AB66FA" w:rsidRDefault="008940B3" w:rsidP="00E858EF">
      <w:pPr>
        <w:pStyle w:val="Titolo4"/>
        <w:keepNext w:val="0"/>
        <w:keepLines w:val="0"/>
        <w:suppressAutoHyphens/>
        <w:ind w:left="864" w:hanging="864"/>
        <w:contextualSpacing w:val="0"/>
      </w:pPr>
      <w:bookmarkStart w:id="343" w:name="_Toc389131192"/>
      <w:bookmarkStart w:id="344" w:name="_Toc517876520"/>
      <w:r w:rsidRPr="005C568A">
        <w:t>Wh</w:t>
      </w:r>
      <w:r>
        <w:t>at</w:t>
      </w:r>
      <w:r w:rsidRPr="005C568A">
        <w:t xml:space="preserve"> is the </w:t>
      </w:r>
      <w:r w:rsidRPr="00AB66FA">
        <w:t>proportion</w:t>
      </w:r>
      <w:r>
        <w:t xml:space="preserve"> of cemeteries with larnakes to</w:t>
      </w:r>
      <w:r w:rsidRPr="005C568A">
        <w:t xml:space="preserve"> cemeteries without larnakes?</w:t>
      </w:r>
      <w:bookmarkEnd w:id="343"/>
      <w:bookmarkEnd w:id="344"/>
    </w:p>
    <w:p w14:paraId="5B914B68" w14:textId="77777777" w:rsidR="008940B3" w:rsidRDefault="008940B3" w:rsidP="00D84C94">
      <w:r w:rsidRPr="003B5C8D">
        <w:t>Clay larnax use</w:t>
      </w:r>
      <w:r>
        <w:t xml:space="preserve"> is attested securely for 47</w:t>
      </w:r>
      <w:r w:rsidRPr="003B5C8D">
        <w:t xml:space="preserve">% of the total number of burial locations in use during LM III. </w:t>
      </w:r>
    </w:p>
    <w:p w14:paraId="7006ADB8" w14:textId="77777777" w:rsidR="008940B3" w:rsidRPr="003B5C8D" w:rsidRDefault="008940B3" w:rsidP="00E858EF">
      <w:pPr>
        <w:suppressAutoHyphens/>
        <w:rPr>
          <w:color w:val="000000"/>
          <w:sz w:val="22"/>
          <w:szCs w:val="22"/>
        </w:rPr>
      </w:pPr>
    </w:p>
    <w:p w14:paraId="4B435CFC"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418C23C7" wp14:editId="36C9F2C8">
            <wp:extent cx="4680000" cy="2520000"/>
            <wp:effectExtent l="0" t="0" r="6350" b="13970"/>
            <wp:docPr id="18" name="Gra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253142C" w14:textId="77777777" w:rsidR="008940B3" w:rsidRDefault="008940B3" w:rsidP="00E858EF">
      <w:pPr>
        <w:pStyle w:val="Didascalia"/>
        <w:suppressAutoHyphens/>
      </w:pPr>
      <w:r w:rsidRPr="003B5C8D">
        <w:rPr>
          <w:color w:val="000000"/>
          <w:sz w:val="22"/>
          <w:szCs w:val="22"/>
        </w:rPr>
        <w:t xml:space="preserve"> </w:t>
      </w:r>
      <w:bookmarkStart w:id="345" w:name="_Toc520212317"/>
      <w:r w:rsidRPr="002B077F">
        <w:t>Figure 3-35. LM III burial locations in the Mid-East area</w:t>
      </w:r>
      <w:bookmarkEnd w:id="345"/>
      <w:r w:rsidDel="008E0995">
        <w:t xml:space="preserve"> </w:t>
      </w:r>
    </w:p>
    <w:p w14:paraId="7839DA03"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5E6D9302"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color w:val="000000"/>
          <w:sz w:val="22"/>
          <w:szCs w:val="22"/>
          <w:lang w:val="it-IT"/>
        </w:rPr>
        <w:drawing>
          <wp:inline distT="0" distB="0" distL="0" distR="0" wp14:anchorId="59ED3608" wp14:editId="7C3EA546">
            <wp:extent cx="5397500" cy="3816350"/>
            <wp:effectExtent l="0" t="0" r="12700" b="0"/>
            <wp:docPr id="37" name="Immagine 37" descr="Macintosh HD:Users:angela:Desktop:180716_6_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gela:Desktop:180716_6_ME.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97500" cy="3816350"/>
                    </a:xfrm>
                    <a:prstGeom prst="rect">
                      <a:avLst/>
                    </a:prstGeom>
                    <a:noFill/>
                    <a:ln>
                      <a:noFill/>
                    </a:ln>
                  </pic:spPr>
                </pic:pic>
              </a:graphicData>
            </a:graphic>
          </wp:inline>
        </w:drawing>
      </w:r>
    </w:p>
    <w:p w14:paraId="2CAD9F8D" w14:textId="77777777" w:rsidR="008940B3" w:rsidRDefault="008940B3" w:rsidP="00E858EF">
      <w:pPr>
        <w:pStyle w:val="Didascalia"/>
        <w:suppressAutoHyphens/>
      </w:pPr>
      <w:bookmarkStart w:id="346" w:name="_Toc520212318"/>
      <w:r>
        <w:t>Figure 3-36. Distribution of LMIII b</w:t>
      </w:r>
      <w:r w:rsidRPr="00FF04E9">
        <w:t xml:space="preserve">urial locations </w:t>
      </w:r>
      <w:r>
        <w:t>in the Mid-East a</w:t>
      </w:r>
      <w:r w:rsidRPr="00895FF7">
        <w:t>rea</w:t>
      </w:r>
      <w:r>
        <w:t xml:space="preserve"> (Source: Author)</w:t>
      </w:r>
      <w:bookmarkEnd w:id="346"/>
    </w:p>
    <w:p w14:paraId="1BCEA650"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61CF067B" w14:textId="18FE9C47" w:rsidR="008940B3" w:rsidRPr="003B5C8D" w:rsidRDefault="008940B3" w:rsidP="00E858EF">
      <w:pPr>
        <w:pStyle w:val="Testofumetto"/>
        <w:suppressAutoHyphens/>
      </w:pPr>
      <w:bookmarkStart w:id="347" w:name="_Toc520212544"/>
      <w:r>
        <w:t>Table 3-55. LM III burial locations</w:t>
      </w:r>
      <w:r w:rsidR="005E1C18">
        <w:t>,</w:t>
      </w:r>
      <w:r>
        <w:t xml:space="preserve"> Mid-East area</w:t>
      </w:r>
      <w:r w:rsidR="005E1C18">
        <w:t>,</w:t>
      </w:r>
      <w:r>
        <w:t xml:space="preserve"> in detail</w:t>
      </w:r>
      <w:bookmarkEnd w:id="347"/>
    </w:p>
    <w:tbl>
      <w:tblPr>
        <w:tblW w:w="0" w:type="auto"/>
        <w:tblInd w:w="60" w:type="dxa"/>
        <w:tblCellMar>
          <w:left w:w="0" w:type="dxa"/>
          <w:right w:w="0" w:type="dxa"/>
        </w:tblCellMar>
        <w:tblLook w:val="04A0" w:firstRow="1" w:lastRow="0" w:firstColumn="1" w:lastColumn="0" w:noHBand="0" w:noVBand="1"/>
      </w:tblPr>
      <w:tblGrid>
        <w:gridCol w:w="3969"/>
        <w:gridCol w:w="3101"/>
      </w:tblGrid>
      <w:tr w:rsidR="008940B3" w:rsidRPr="00D84C94" w14:paraId="176B39CB" w14:textId="77777777" w:rsidTr="00D84C94">
        <w:trPr>
          <w:trHeight w:val="195"/>
        </w:trPr>
        <w:tc>
          <w:tcPr>
            <w:tcW w:w="39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E387818" w14:textId="77777777" w:rsidR="008940B3" w:rsidRPr="00D84C94" w:rsidRDefault="008940B3" w:rsidP="00E858EF">
            <w:pPr>
              <w:suppressAutoHyphens/>
              <w:rPr>
                <w:sz w:val="20"/>
                <w:szCs w:val="16"/>
              </w:rPr>
            </w:pPr>
            <w:r w:rsidRPr="00D84C94">
              <w:rPr>
                <w:color w:val="000000"/>
                <w:sz w:val="20"/>
                <w:szCs w:val="16"/>
              </w:rPr>
              <w:t>Burial locations with secure larnax interment</w:t>
            </w:r>
          </w:p>
        </w:tc>
        <w:tc>
          <w:tcPr>
            <w:tcW w:w="310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76421A3" w14:textId="77777777" w:rsidR="008940B3" w:rsidRPr="00D84C94" w:rsidRDefault="008940B3" w:rsidP="00E858EF">
            <w:pPr>
              <w:suppressAutoHyphens/>
              <w:jc w:val="center"/>
              <w:rPr>
                <w:sz w:val="20"/>
                <w:szCs w:val="16"/>
              </w:rPr>
            </w:pPr>
            <w:r w:rsidRPr="00D84C94">
              <w:rPr>
                <w:sz w:val="20"/>
                <w:szCs w:val="16"/>
              </w:rPr>
              <w:t>17</w:t>
            </w:r>
          </w:p>
        </w:tc>
      </w:tr>
      <w:tr w:rsidR="008940B3" w:rsidRPr="00D84C94" w14:paraId="14239419" w14:textId="77777777" w:rsidTr="00D84C94">
        <w:trPr>
          <w:trHeight w:val="195"/>
        </w:trPr>
        <w:tc>
          <w:tcPr>
            <w:tcW w:w="3969"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794D07B" w14:textId="77777777" w:rsidR="008940B3" w:rsidRPr="00D84C94" w:rsidRDefault="008940B3" w:rsidP="00E858EF">
            <w:pPr>
              <w:suppressAutoHyphens/>
              <w:rPr>
                <w:sz w:val="20"/>
                <w:szCs w:val="16"/>
              </w:rPr>
            </w:pPr>
            <w:r w:rsidRPr="00D84C94">
              <w:rPr>
                <w:color w:val="000000"/>
                <w:sz w:val="20"/>
                <w:szCs w:val="16"/>
              </w:rPr>
              <w:t>Burial locations with possible larnax interment</w:t>
            </w:r>
          </w:p>
        </w:tc>
        <w:tc>
          <w:tcPr>
            <w:tcW w:w="3101"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730EA6D8" w14:textId="77777777" w:rsidR="008940B3" w:rsidRPr="00D84C94" w:rsidRDefault="008940B3" w:rsidP="00E858EF">
            <w:pPr>
              <w:suppressAutoHyphens/>
              <w:jc w:val="center"/>
              <w:rPr>
                <w:sz w:val="20"/>
                <w:szCs w:val="16"/>
              </w:rPr>
            </w:pPr>
            <w:r w:rsidRPr="00D84C94">
              <w:rPr>
                <w:color w:val="000000"/>
                <w:sz w:val="20"/>
                <w:szCs w:val="16"/>
              </w:rPr>
              <w:t>9</w:t>
            </w:r>
          </w:p>
        </w:tc>
      </w:tr>
      <w:tr w:rsidR="008940B3" w:rsidRPr="00D84C94" w14:paraId="3009A258" w14:textId="77777777" w:rsidTr="00D84C94">
        <w:trPr>
          <w:trHeight w:val="195"/>
        </w:trPr>
        <w:tc>
          <w:tcPr>
            <w:tcW w:w="39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3F53EA7" w14:textId="77777777" w:rsidR="008940B3" w:rsidRPr="00D84C94" w:rsidRDefault="008940B3" w:rsidP="00E858EF">
            <w:pPr>
              <w:suppressAutoHyphens/>
              <w:rPr>
                <w:sz w:val="20"/>
                <w:szCs w:val="16"/>
              </w:rPr>
            </w:pPr>
            <w:r w:rsidRPr="00D84C94">
              <w:rPr>
                <w:color w:val="000000"/>
                <w:sz w:val="20"/>
                <w:szCs w:val="16"/>
              </w:rPr>
              <w:t>Burial locations without larnakes</w:t>
            </w:r>
          </w:p>
        </w:tc>
        <w:tc>
          <w:tcPr>
            <w:tcW w:w="310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2714FA7" w14:textId="77777777" w:rsidR="008940B3" w:rsidRPr="00D84C94" w:rsidRDefault="008940B3" w:rsidP="00E858EF">
            <w:pPr>
              <w:suppressAutoHyphens/>
              <w:jc w:val="center"/>
              <w:rPr>
                <w:sz w:val="20"/>
                <w:szCs w:val="16"/>
              </w:rPr>
            </w:pPr>
            <w:r w:rsidRPr="00D84C94">
              <w:rPr>
                <w:color w:val="000000"/>
                <w:sz w:val="20"/>
                <w:szCs w:val="16"/>
              </w:rPr>
              <w:t>10</w:t>
            </w:r>
          </w:p>
        </w:tc>
      </w:tr>
    </w:tbl>
    <w:p w14:paraId="7CA5DA4A"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01B43E4D" w14:textId="77777777" w:rsidR="008940B3" w:rsidRPr="00D84C94"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D84C94">
        <w:rPr>
          <w:color w:val="000000"/>
          <w:szCs w:val="22"/>
        </w:rPr>
        <w:t xml:space="preserve">The following burial locations can be grouped together as one cemetery: </w:t>
      </w:r>
    </w:p>
    <w:p w14:paraId="7AC6B55C" w14:textId="77777777" w:rsidR="008940B3" w:rsidRPr="00D84C94"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D84C94">
        <w:rPr>
          <w:color w:val="000000"/>
          <w:szCs w:val="22"/>
        </w:rPr>
        <w:t xml:space="preserve">Tombs located around the village of Kritsa (Tsipopoulou and Vagnetti 2006: 202, 207-208) </w:t>
      </w:r>
    </w:p>
    <w:p w14:paraId="34287CC4" w14:textId="77777777" w:rsidR="008940B3" w:rsidRPr="00D84C94"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D84C94">
        <w:rPr>
          <w:color w:val="000000"/>
          <w:szCs w:val="22"/>
        </w:rPr>
        <w:t>All the different burial locations around Malia (Langohr 2009: 81-82)</w:t>
      </w:r>
    </w:p>
    <w:p w14:paraId="10473CCE" w14:textId="77777777" w:rsidR="008940B3" w:rsidRPr="00D84C94"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D84C94">
        <w:rPr>
          <w:color w:val="000000"/>
          <w:szCs w:val="22"/>
        </w:rPr>
        <w:t>The tombs found at Elounda at Stous Traphous (Van Effenterre 1948: 7-13, 45-59) and the burial cave at Schisma (Van Effenterre 1948: 1)</w:t>
      </w:r>
    </w:p>
    <w:p w14:paraId="17F456E6" w14:textId="77777777" w:rsidR="008940B3" w:rsidRPr="00D84C94"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szCs w:val="22"/>
        </w:rPr>
      </w:pPr>
      <w:r w:rsidRPr="00D84C94">
        <w:rPr>
          <w:szCs w:val="22"/>
        </w:rPr>
        <w:t>The total number of cemeteries with larnax use for Mid-East area is eight.</w:t>
      </w:r>
    </w:p>
    <w:p w14:paraId="13B6618A" w14:textId="77777777" w:rsidR="008940B3" w:rsidRDefault="008940B3" w:rsidP="00E858EF">
      <w:pPr>
        <w:pStyle w:val="Titolo4"/>
        <w:keepNext w:val="0"/>
        <w:keepLines w:val="0"/>
        <w:suppressAutoHyphens/>
        <w:ind w:left="864" w:hanging="864"/>
        <w:contextualSpacing w:val="0"/>
      </w:pPr>
      <w:bookmarkStart w:id="348" w:name="_Toc389131193"/>
      <w:bookmarkStart w:id="349" w:name="_Toc517876521"/>
      <w:r w:rsidRPr="005C568A">
        <w:t xml:space="preserve">Are larnakes </w:t>
      </w:r>
      <w:r w:rsidRPr="00AB66FA">
        <w:t>located</w:t>
      </w:r>
      <w:r w:rsidRPr="005C568A">
        <w:t xml:space="preserve"> in new built cemeteries or reused ones?</w:t>
      </w:r>
      <w:bookmarkEnd w:id="348"/>
      <w:bookmarkEnd w:id="349"/>
    </w:p>
    <w:p w14:paraId="56C8B682" w14:textId="77777777" w:rsidR="008940B3" w:rsidRPr="003B5C8D" w:rsidRDefault="008940B3" w:rsidP="00D84C94">
      <w:r>
        <w:t>Regarding</w:t>
      </w:r>
      <w:r w:rsidRPr="003B5C8D">
        <w:t xml:space="preserve"> continuity and discontinuity in the use of </w:t>
      </w:r>
      <w:r>
        <w:t xml:space="preserve">pre-existing burial sites, </w:t>
      </w:r>
      <w:r w:rsidRPr="003B5C8D">
        <w:t>at Malia two burial location</w:t>
      </w:r>
      <w:r>
        <w:t>s</w:t>
      </w:r>
      <w:r w:rsidRPr="003B5C8D">
        <w:t xml:space="preserve"> already in use since EM/MM</w:t>
      </w:r>
      <w:r>
        <w:t xml:space="preserve"> have been found</w:t>
      </w:r>
      <w:r w:rsidRPr="003B5C8D">
        <w:t xml:space="preserve"> (</w:t>
      </w:r>
      <w:r>
        <w:t>‘</w:t>
      </w:r>
      <w:r w:rsidRPr="003B5C8D">
        <w:t>House of the Dead</w:t>
      </w:r>
      <w:r>
        <w:t>’</w:t>
      </w:r>
      <w:r w:rsidRPr="003B5C8D">
        <w:t>, Van Effenterre and Van Effenterre 1963: 88-99; Kanta 1980, 51</w:t>
      </w:r>
      <w:r>
        <w:t>;</w:t>
      </w:r>
      <w:r w:rsidRPr="003B5C8D">
        <w:t xml:space="preserve"> Farnoux 1989-1990: 28, Farnoux 1990: 233; also, a burial locati</w:t>
      </w:r>
      <w:r>
        <w:t>on situated north of the palace:</w:t>
      </w:r>
      <w:r w:rsidRPr="003B5C8D">
        <w:t xml:space="preserve"> Damargne 1945: 13-24; Farnoux 1997: 142).</w:t>
      </w:r>
      <w:r>
        <w:t xml:space="preserve"> In one tomb, severely disturbed by looters, found at Psari Phorada in 1986, probably a chamber tomb, pottery dated from MMII-III to LM IIIA2 was found, which proves that the tomb was in use for a very long period (Banou and Rethemiotakis 1997: 27).</w:t>
      </w:r>
    </w:p>
    <w:p w14:paraId="6D0E8F16"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6294347A" w14:textId="7ABDFD6C" w:rsidR="008940B3" w:rsidRPr="003B5C8D" w:rsidRDefault="008940B3" w:rsidP="00E858EF">
      <w:pPr>
        <w:pStyle w:val="Testofumetto"/>
        <w:suppressAutoHyphens/>
      </w:pPr>
      <w:bookmarkStart w:id="350" w:name="_Toc520212545"/>
      <w:r>
        <w:t>Table 3-56. Percentage of pre-existing cemeteries reused in LM III with larnax burials</w:t>
      </w:r>
      <w:r w:rsidR="005E1C18">
        <w:t>,</w:t>
      </w:r>
      <w:r>
        <w:t xml:space="preserve"> Mid-East area</w:t>
      </w:r>
      <w:bookmarkEnd w:id="350"/>
    </w:p>
    <w:tbl>
      <w:tblPr>
        <w:tblW w:w="0" w:type="auto"/>
        <w:tblCellMar>
          <w:left w:w="0" w:type="dxa"/>
          <w:right w:w="0" w:type="dxa"/>
        </w:tblCellMar>
        <w:tblLook w:val="04A0" w:firstRow="1" w:lastRow="0" w:firstColumn="1" w:lastColumn="0" w:noHBand="0" w:noVBand="1"/>
      </w:tblPr>
      <w:tblGrid>
        <w:gridCol w:w="3480"/>
        <w:gridCol w:w="3480"/>
      </w:tblGrid>
      <w:tr w:rsidR="008940B3" w:rsidRPr="00D84C94" w14:paraId="2B06BA95" w14:textId="77777777" w:rsidTr="008940B3">
        <w:trPr>
          <w:trHeight w:val="195"/>
        </w:trPr>
        <w:tc>
          <w:tcPr>
            <w:tcW w:w="34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AAE2554" w14:textId="77777777" w:rsidR="008940B3" w:rsidRPr="00D84C94" w:rsidRDefault="008940B3" w:rsidP="00E858EF">
            <w:pPr>
              <w:suppressAutoHyphens/>
              <w:rPr>
                <w:color w:val="000000"/>
                <w:sz w:val="20"/>
                <w:szCs w:val="16"/>
              </w:rPr>
            </w:pPr>
            <w:r w:rsidRPr="00D84C94">
              <w:rPr>
                <w:color w:val="000000"/>
                <w:sz w:val="20"/>
                <w:szCs w:val="16"/>
              </w:rPr>
              <w:t>Pre-existing cemeteries</w:t>
            </w:r>
          </w:p>
        </w:tc>
        <w:tc>
          <w:tcPr>
            <w:tcW w:w="34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5DAEEC5" w14:textId="77777777" w:rsidR="008940B3" w:rsidRPr="00D84C94" w:rsidRDefault="008940B3" w:rsidP="00E858EF">
            <w:pPr>
              <w:suppressAutoHyphens/>
              <w:jc w:val="center"/>
              <w:rPr>
                <w:sz w:val="20"/>
                <w:szCs w:val="16"/>
              </w:rPr>
            </w:pPr>
            <w:r w:rsidRPr="00D84C94">
              <w:rPr>
                <w:sz w:val="20"/>
                <w:szCs w:val="16"/>
              </w:rPr>
              <w:t>2   22%</w:t>
            </w:r>
          </w:p>
        </w:tc>
      </w:tr>
      <w:tr w:rsidR="008940B3" w:rsidRPr="00D84C94" w14:paraId="2C087E0B" w14:textId="77777777" w:rsidTr="008940B3">
        <w:trPr>
          <w:trHeight w:val="195"/>
        </w:trPr>
        <w:tc>
          <w:tcPr>
            <w:tcW w:w="34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C30B6C1" w14:textId="77777777" w:rsidR="008940B3" w:rsidRPr="00D84C94" w:rsidRDefault="008940B3" w:rsidP="00E858EF">
            <w:pPr>
              <w:suppressAutoHyphens/>
              <w:rPr>
                <w:sz w:val="20"/>
                <w:szCs w:val="16"/>
              </w:rPr>
            </w:pPr>
            <w:r w:rsidRPr="00D84C94">
              <w:rPr>
                <w:color w:val="000000"/>
                <w:sz w:val="20"/>
                <w:szCs w:val="16"/>
              </w:rPr>
              <w:t>LM III cemeteries</w:t>
            </w:r>
          </w:p>
        </w:tc>
        <w:tc>
          <w:tcPr>
            <w:tcW w:w="34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3DFCEAC" w14:textId="77777777" w:rsidR="008940B3" w:rsidRPr="00D84C94" w:rsidRDefault="008940B3" w:rsidP="00E858EF">
            <w:pPr>
              <w:suppressAutoHyphens/>
              <w:jc w:val="center"/>
              <w:rPr>
                <w:sz w:val="20"/>
                <w:szCs w:val="16"/>
              </w:rPr>
            </w:pPr>
            <w:r w:rsidRPr="00D84C94">
              <w:rPr>
                <w:sz w:val="20"/>
                <w:szCs w:val="16"/>
              </w:rPr>
              <w:t>7   78%</w:t>
            </w:r>
          </w:p>
        </w:tc>
      </w:tr>
    </w:tbl>
    <w:p w14:paraId="5CD83281" w14:textId="77777777" w:rsidR="008940B3" w:rsidRPr="005C568A"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sz w:val="22"/>
          <w:szCs w:val="22"/>
        </w:rPr>
      </w:pPr>
    </w:p>
    <w:p w14:paraId="6D1655C7" w14:textId="77777777" w:rsidR="008940B3" w:rsidRDefault="008940B3" w:rsidP="00E858EF">
      <w:pPr>
        <w:pStyle w:val="Titolo4"/>
        <w:keepNext w:val="0"/>
        <w:keepLines w:val="0"/>
        <w:suppressAutoHyphens/>
        <w:ind w:left="864" w:hanging="864"/>
        <w:contextualSpacing w:val="0"/>
      </w:pPr>
      <w:bookmarkStart w:id="351" w:name="_Toc389131194"/>
      <w:bookmarkStart w:id="352" w:name="_Toc517876522"/>
      <w:r w:rsidRPr="005C568A">
        <w:t xml:space="preserve">Where </w:t>
      </w:r>
      <w:r>
        <w:t>in</w:t>
      </w:r>
      <w:r w:rsidRPr="005C568A">
        <w:t xml:space="preserve"> the region</w:t>
      </w:r>
      <w:r>
        <w:t xml:space="preserve"> are</w:t>
      </w:r>
      <w:r w:rsidRPr="005C568A">
        <w:t xml:space="preserve"> the cemeteries with larnax use?</w:t>
      </w:r>
      <w:bookmarkEnd w:id="351"/>
      <w:bookmarkEnd w:id="352"/>
    </w:p>
    <w:p w14:paraId="0CE5A81C" w14:textId="77777777" w:rsidR="008940B3" w:rsidRPr="003B5C8D" w:rsidRDefault="008940B3" w:rsidP="00D31977">
      <w:r>
        <w:t>Regarding</w:t>
      </w:r>
      <w:r w:rsidRPr="003B5C8D">
        <w:t xml:space="preserve"> spatial distribution</w:t>
      </w:r>
      <w:r>
        <w:t>,</w:t>
      </w:r>
      <w:r w:rsidRPr="003B5C8D">
        <w:t xml:space="preserve"> the </w:t>
      </w:r>
      <w:r>
        <w:t>largest</w:t>
      </w:r>
      <w:r w:rsidRPr="003B5C8D">
        <w:t xml:space="preserve"> cemeteries are </w:t>
      </w:r>
      <w:r>
        <w:t>along</w:t>
      </w:r>
      <w:r w:rsidRPr="003B5C8D">
        <w:t xml:space="preserve"> the north coast (Elounda, Malia and Milatos). Karphi, Plati and Tzermiadon are on the inner part of the Lasithi plateau</w:t>
      </w:r>
      <w:r>
        <w:t>,</w:t>
      </w:r>
      <w:r w:rsidRPr="003B5C8D">
        <w:t xml:space="preserve"> while Kritsa is east of the plateau. Ter</w:t>
      </w:r>
      <w:r>
        <w:t>t</w:t>
      </w:r>
      <w:r w:rsidRPr="003B5C8D">
        <w:t xml:space="preserve">sa </w:t>
      </w:r>
      <w:r>
        <w:t>and Psari Phorada are two tombs with larnakes along</w:t>
      </w:r>
      <w:r w:rsidRPr="003B5C8D">
        <w:t xml:space="preserve"> the south coast</w:t>
      </w:r>
      <w:r>
        <w:t>, in the Viannos area (Banou and Rethemiotakis 1997)</w:t>
      </w:r>
      <w:r w:rsidRPr="003B5C8D">
        <w:t>.</w:t>
      </w:r>
    </w:p>
    <w:p w14:paraId="78A83F13" w14:textId="77777777" w:rsidR="008940B3" w:rsidRDefault="008940B3" w:rsidP="00E858EF">
      <w:pPr>
        <w:pStyle w:val="Titolo4"/>
        <w:keepNext w:val="0"/>
        <w:keepLines w:val="0"/>
        <w:suppressAutoHyphens/>
        <w:ind w:left="864" w:hanging="864"/>
        <w:contextualSpacing w:val="0"/>
      </w:pPr>
      <w:bookmarkStart w:id="353" w:name="_Toc389131195"/>
      <w:bookmarkStart w:id="354" w:name="_Toc517876523"/>
      <w:r>
        <w:t>Which</w:t>
      </w:r>
      <w:r w:rsidRPr="005C568A">
        <w:t xml:space="preserve"> are the largest cemeteries and the smallest in terms of tom</w:t>
      </w:r>
      <w:r>
        <w:t>b</w:t>
      </w:r>
      <w:r w:rsidRPr="005C568A">
        <w:t xml:space="preserve"> number</w:t>
      </w:r>
      <w:r>
        <w:t>s</w:t>
      </w:r>
      <w:r w:rsidRPr="005C568A">
        <w:t>?</w:t>
      </w:r>
      <w:bookmarkEnd w:id="353"/>
      <w:bookmarkEnd w:id="354"/>
    </w:p>
    <w:p w14:paraId="6988C026" w14:textId="77777777" w:rsidR="008940B3" w:rsidRPr="003B5C8D" w:rsidRDefault="008940B3" w:rsidP="00D31977">
      <w:r>
        <w:t>Regarding the</w:t>
      </w:r>
      <w:r w:rsidRPr="003B5C8D">
        <w:t xml:space="preserve"> number of tombs per cemetery</w:t>
      </w:r>
      <w:r>
        <w:t>,</w:t>
      </w:r>
      <w:r w:rsidRPr="003B5C8D">
        <w:t xml:space="preserve"> the </w:t>
      </w:r>
      <w:r>
        <w:t>largest</w:t>
      </w:r>
      <w:r w:rsidRPr="003B5C8D">
        <w:t xml:space="preserve"> cemetery is </w:t>
      </w:r>
      <w:r>
        <w:t xml:space="preserve">at Elounda, </w:t>
      </w:r>
      <w:r w:rsidRPr="003B5C8D">
        <w:t xml:space="preserve">followed by </w:t>
      </w:r>
      <w:r>
        <w:t xml:space="preserve">the </w:t>
      </w:r>
      <w:r w:rsidRPr="003B5C8D">
        <w:t xml:space="preserve">Karphi (although Karphi cemetery is dated LM IIIC/SM) and Malia cemeteries. Milatos and Karphi have a number of tombs between 7 and 5. All the other cemeteries </w:t>
      </w:r>
      <w:r>
        <w:t>have</w:t>
      </w:r>
      <w:r w:rsidRPr="003B5C8D">
        <w:t xml:space="preserve"> a single tomb</w:t>
      </w:r>
    </w:p>
    <w:p w14:paraId="4712630A" w14:textId="77777777" w:rsidR="008940B3" w:rsidRDefault="008940B3" w:rsidP="00E858EF">
      <w:pPr>
        <w:pStyle w:val="Titolo4"/>
        <w:keepNext w:val="0"/>
        <w:keepLines w:val="0"/>
        <w:suppressAutoHyphens/>
        <w:ind w:left="864" w:hanging="864"/>
        <w:contextualSpacing w:val="0"/>
      </w:pPr>
      <w:bookmarkStart w:id="355" w:name="_Toc389131196"/>
      <w:bookmarkStart w:id="356" w:name="_Toc517876524"/>
      <w:r w:rsidRPr="00B72C93">
        <w:t>Wh</w:t>
      </w:r>
      <w:r>
        <w:t>ich are the tomb types</w:t>
      </w:r>
      <w:r w:rsidRPr="00B72C93">
        <w:t xml:space="preserve"> in the cemeter</w:t>
      </w:r>
      <w:r>
        <w:t>ies</w:t>
      </w:r>
      <w:r w:rsidRPr="00B72C93">
        <w:t xml:space="preserve"> with larnakes?</w:t>
      </w:r>
      <w:bookmarkEnd w:id="355"/>
      <w:bookmarkEnd w:id="356"/>
      <w:r w:rsidRPr="00B72C93">
        <w:t xml:space="preserve"> </w:t>
      </w:r>
    </w:p>
    <w:p w14:paraId="276E54F8" w14:textId="77777777" w:rsidR="008940B3" w:rsidRDefault="008940B3" w:rsidP="00D31977">
      <w:r>
        <w:t>Regarding</w:t>
      </w:r>
      <w:r w:rsidRPr="003B5C8D">
        <w:t xml:space="preserve"> </w:t>
      </w:r>
      <w:r>
        <w:rPr>
          <w:b/>
        </w:rPr>
        <w:t>tomb typ</w:t>
      </w:r>
      <w:r w:rsidRPr="003B5C8D">
        <w:rPr>
          <w:b/>
        </w:rPr>
        <w:t xml:space="preserve">es </w:t>
      </w:r>
      <w:r w:rsidRPr="003B5C8D">
        <w:t>adopted</w:t>
      </w:r>
      <w:r>
        <w:t>,</w:t>
      </w:r>
      <w:r w:rsidRPr="003B5C8D">
        <w:t xml:space="preserve"> chamber tombs are the most common if we </w:t>
      </w:r>
      <w:r>
        <w:t>consider</w:t>
      </w:r>
      <w:r w:rsidRPr="003B5C8D">
        <w:t xml:space="preserve"> the number of cemeteries in which they are adopted, fol</w:t>
      </w:r>
      <w:r>
        <w:t>lo</w:t>
      </w:r>
      <w:r w:rsidRPr="003B5C8D">
        <w:t>wed by corbel</w:t>
      </w:r>
      <w:r>
        <w:t>-</w:t>
      </w:r>
      <w:r w:rsidRPr="003B5C8D">
        <w:t xml:space="preserve">vaulted tombs, which </w:t>
      </w:r>
      <w:r>
        <w:t>occur</w:t>
      </w:r>
      <w:r w:rsidRPr="003B5C8D">
        <w:t xml:space="preserve"> alone (Karphi and Plati) or in association with chamber tombs (Kritsa). Malia </w:t>
      </w:r>
      <w:r>
        <w:t>cemetery has</w:t>
      </w:r>
      <w:r w:rsidRPr="003B5C8D">
        <w:t xml:space="preserve"> a remarkable variety of tomb typologies</w:t>
      </w:r>
      <w:r>
        <w:t>,</w:t>
      </w:r>
      <w:r w:rsidRPr="003B5C8D">
        <w:t xml:space="preserve"> but not all </w:t>
      </w:r>
      <w:r>
        <w:t>are</w:t>
      </w:r>
      <w:r w:rsidRPr="003B5C8D">
        <w:t xml:space="preserve"> associated with</w:t>
      </w:r>
      <w:r>
        <w:t xml:space="preserve"> larnax burials (Van Effenterre and</w:t>
      </w:r>
      <w:r w:rsidRPr="003B5C8D">
        <w:t xml:space="preserve"> Van Effenterre 1963; Langohr 2009: 81-82).</w:t>
      </w:r>
    </w:p>
    <w:p w14:paraId="4EBE7BDE"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7CA2E250"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0A575C81" wp14:editId="6CC3CD48">
            <wp:extent cx="5289550" cy="2550795"/>
            <wp:effectExtent l="0" t="0" r="6350" b="1905"/>
            <wp:docPr id="38" name="Gra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FD12222" w14:textId="65B009D3" w:rsidR="008940B3" w:rsidRDefault="008940B3" w:rsidP="00E858EF">
      <w:pPr>
        <w:pStyle w:val="Didascalia"/>
        <w:suppressAutoHyphens/>
      </w:pPr>
      <w:bookmarkStart w:id="357" w:name="_Toc520212319"/>
      <w:r>
        <w:t xml:space="preserve">Figure 3-37. </w:t>
      </w:r>
      <w:r w:rsidRPr="005C16F5">
        <w:t xml:space="preserve">Number of tombs </w:t>
      </w:r>
      <w:r>
        <w:t>by</w:t>
      </w:r>
      <w:r w:rsidRPr="005C16F5">
        <w:t xml:space="preserve"> cemetery</w:t>
      </w:r>
      <w:r w:rsidR="005E1C18">
        <w:t>,</w:t>
      </w:r>
      <w:r>
        <w:t xml:space="preserve"> Mid-East area</w:t>
      </w:r>
      <w:bookmarkEnd w:id="357"/>
    </w:p>
    <w:p w14:paraId="7C740130" w14:textId="77777777" w:rsidR="00D31977" w:rsidRDefault="00D31977" w:rsidP="00D31977"/>
    <w:p w14:paraId="3AB53D54" w14:textId="63640B57" w:rsidR="008940B3" w:rsidRPr="003B5C8D" w:rsidRDefault="008940B3" w:rsidP="00E858EF">
      <w:pPr>
        <w:pStyle w:val="Testofumetto"/>
        <w:suppressAutoHyphens/>
      </w:pPr>
      <w:bookmarkStart w:id="358" w:name="_Toc520212546"/>
      <w:r>
        <w:t>Table 3-5</w:t>
      </w:r>
      <w:r w:rsidR="00176760">
        <w:t>7</w:t>
      </w:r>
      <w:r>
        <w:t>. Tomb types per cemetery</w:t>
      </w:r>
      <w:r w:rsidR="00527309">
        <w:t>,</w:t>
      </w:r>
      <w:r>
        <w:t xml:space="preserve"> Mid-East area</w:t>
      </w:r>
      <w:bookmarkEnd w:id="358"/>
    </w:p>
    <w:tbl>
      <w:tblPr>
        <w:tblW w:w="0" w:type="auto"/>
        <w:tblInd w:w="10" w:type="dxa"/>
        <w:tblCellMar>
          <w:left w:w="70" w:type="dxa"/>
          <w:right w:w="70" w:type="dxa"/>
        </w:tblCellMar>
        <w:tblLook w:val="04A0" w:firstRow="1" w:lastRow="0" w:firstColumn="1" w:lastColumn="0" w:noHBand="0" w:noVBand="1"/>
      </w:tblPr>
      <w:tblGrid>
        <w:gridCol w:w="1782"/>
        <w:gridCol w:w="1033"/>
        <w:gridCol w:w="1099"/>
        <w:gridCol w:w="1055"/>
        <w:gridCol w:w="1154"/>
        <w:gridCol w:w="710"/>
        <w:gridCol w:w="1074"/>
        <w:gridCol w:w="721"/>
      </w:tblGrid>
      <w:tr w:rsidR="008940B3" w:rsidRPr="003B5C8D" w14:paraId="4C5A6522" w14:textId="77777777" w:rsidTr="008940B3">
        <w:trPr>
          <w:trHeight w:val="792"/>
        </w:trPr>
        <w:tc>
          <w:tcPr>
            <w:tcW w:w="2039" w:type="dxa"/>
            <w:tcBorders>
              <w:top w:val="single" w:sz="6" w:space="0" w:color="000000"/>
              <w:left w:val="single" w:sz="6" w:space="0" w:color="000000"/>
              <w:bottom w:val="single" w:sz="6" w:space="0" w:color="000000"/>
              <w:right w:val="single" w:sz="6" w:space="0" w:color="000000"/>
            </w:tcBorders>
            <w:hideMark/>
          </w:tcPr>
          <w:p w14:paraId="55FEA5B8" w14:textId="77777777" w:rsidR="008940B3" w:rsidRPr="003B5C8D" w:rsidRDefault="008940B3" w:rsidP="00E858EF">
            <w:pPr>
              <w:suppressAutoHyphens/>
              <w:jc w:val="left"/>
              <w:rPr>
                <w:sz w:val="16"/>
                <w:szCs w:val="16"/>
              </w:rPr>
            </w:pPr>
            <w:r w:rsidRPr="003B5C8D">
              <w:rPr>
                <w:rFonts w:eastAsia="Times New Roman"/>
                <w:bCs/>
                <w:sz w:val="16"/>
                <w:szCs w:val="16"/>
              </w:rPr>
              <w:t>CEMETERIES</w:t>
            </w:r>
          </w:p>
        </w:tc>
        <w:tc>
          <w:tcPr>
            <w:tcW w:w="1076" w:type="dxa"/>
            <w:tcBorders>
              <w:top w:val="single" w:sz="6" w:space="0" w:color="000000"/>
              <w:left w:val="single" w:sz="6" w:space="0" w:color="000000"/>
              <w:bottom w:val="single" w:sz="6" w:space="0" w:color="000000"/>
              <w:right w:val="single" w:sz="6" w:space="0" w:color="000000"/>
            </w:tcBorders>
          </w:tcPr>
          <w:p w14:paraId="25285465" w14:textId="77777777" w:rsidR="008940B3" w:rsidRPr="003B5C8D" w:rsidRDefault="008940B3" w:rsidP="00E858EF">
            <w:pPr>
              <w:suppressAutoHyphens/>
              <w:jc w:val="center"/>
              <w:rPr>
                <w:color w:val="000000"/>
                <w:sz w:val="16"/>
                <w:szCs w:val="16"/>
              </w:rPr>
            </w:pPr>
            <w:r w:rsidRPr="003B5C8D">
              <w:rPr>
                <w:color w:val="000000"/>
                <w:sz w:val="16"/>
                <w:szCs w:val="16"/>
              </w:rPr>
              <w:t>CHAMBER TOMB</w:t>
            </w:r>
          </w:p>
        </w:tc>
        <w:tc>
          <w:tcPr>
            <w:tcW w:w="1186" w:type="dxa"/>
            <w:tcBorders>
              <w:top w:val="single" w:sz="6" w:space="0" w:color="000000"/>
              <w:left w:val="single" w:sz="6" w:space="0" w:color="000000"/>
              <w:bottom w:val="single" w:sz="6" w:space="0" w:color="000000"/>
              <w:right w:val="single" w:sz="6" w:space="0" w:color="000000"/>
            </w:tcBorders>
            <w:hideMark/>
          </w:tcPr>
          <w:p w14:paraId="173A6449" w14:textId="77777777" w:rsidR="008940B3" w:rsidRPr="003B5C8D" w:rsidRDefault="008940B3" w:rsidP="00E858EF">
            <w:pPr>
              <w:suppressAutoHyphens/>
              <w:jc w:val="center"/>
              <w:rPr>
                <w:sz w:val="16"/>
                <w:szCs w:val="16"/>
              </w:rPr>
            </w:pPr>
            <w:r w:rsidRPr="003B5C8D">
              <w:rPr>
                <w:color w:val="000000"/>
                <w:sz w:val="16"/>
                <w:szCs w:val="16"/>
              </w:rPr>
              <w:t>CORBEL VAULTED</w:t>
            </w:r>
          </w:p>
        </w:tc>
        <w:tc>
          <w:tcPr>
            <w:tcW w:w="1146" w:type="dxa"/>
            <w:tcBorders>
              <w:top w:val="single" w:sz="6" w:space="0" w:color="000000"/>
              <w:left w:val="single" w:sz="6" w:space="0" w:color="000000"/>
              <w:bottom w:val="single" w:sz="6" w:space="0" w:color="000000"/>
              <w:right w:val="single" w:sz="6" w:space="0" w:color="000000"/>
            </w:tcBorders>
          </w:tcPr>
          <w:p w14:paraId="362603D6" w14:textId="77777777" w:rsidR="008940B3" w:rsidRPr="003B5C8D" w:rsidRDefault="008940B3" w:rsidP="00E858EF">
            <w:pPr>
              <w:suppressAutoHyphens/>
              <w:jc w:val="center"/>
              <w:rPr>
                <w:color w:val="000000"/>
                <w:sz w:val="16"/>
                <w:szCs w:val="16"/>
              </w:rPr>
            </w:pPr>
            <w:r w:rsidRPr="003B5C8D">
              <w:rPr>
                <w:color w:val="000000"/>
                <w:sz w:val="16"/>
                <w:szCs w:val="16"/>
              </w:rPr>
              <w:t>CAVE/ ROCK SHELTER</w:t>
            </w:r>
          </w:p>
        </w:tc>
        <w:tc>
          <w:tcPr>
            <w:tcW w:w="992" w:type="dxa"/>
            <w:tcBorders>
              <w:top w:val="single" w:sz="6" w:space="0" w:color="000000"/>
              <w:left w:val="single" w:sz="6" w:space="0" w:color="000000"/>
              <w:bottom w:val="single" w:sz="6" w:space="0" w:color="000000"/>
              <w:right w:val="single" w:sz="6" w:space="0" w:color="000000"/>
            </w:tcBorders>
          </w:tcPr>
          <w:p w14:paraId="6B6DEEDF" w14:textId="77777777" w:rsidR="008940B3" w:rsidRPr="003B5C8D" w:rsidRDefault="008940B3" w:rsidP="00E858EF">
            <w:pPr>
              <w:suppressAutoHyphens/>
              <w:jc w:val="center"/>
              <w:rPr>
                <w:color w:val="000000"/>
                <w:sz w:val="16"/>
                <w:szCs w:val="16"/>
              </w:rPr>
            </w:pPr>
            <w:r>
              <w:rPr>
                <w:color w:val="000000"/>
                <w:sz w:val="16"/>
                <w:szCs w:val="16"/>
              </w:rPr>
              <w:t xml:space="preserve">RECEPTACLE </w:t>
            </w:r>
            <w:r w:rsidRPr="003B5C8D">
              <w:rPr>
                <w:color w:val="000000"/>
                <w:sz w:val="16"/>
                <w:szCs w:val="16"/>
              </w:rPr>
              <w:t>BURIAL</w:t>
            </w:r>
          </w:p>
        </w:tc>
        <w:tc>
          <w:tcPr>
            <w:tcW w:w="851" w:type="dxa"/>
            <w:tcBorders>
              <w:top w:val="single" w:sz="6" w:space="0" w:color="000000"/>
              <w:left w:val="single" w:sz="6" w:space="0" w:color="000000"/>
              <w:bottom w:val="single" w:sz="6" w:space="0" w:color="000000"/>
              <w:right w:val="single" w:sz="6" w:space="0" w:color="000000"/>
            </w:tcBorders>
          </w:tcPr>
          <w:p w14:paraId="7371E1D0" w14:textId="77777777" w:rsidR="008940B3" w:rsidRPr="003B5C8D" w:rsidRDefault="008940B3" w:rsidP="00E858EF">
            <w:pPr>
              <w:suppressAutoHyphens/>
              <w:jc w:val="center"/>
              <w:rPr>
                <w:color w:val="000000"/>
                <w:sz w:val="16"/>
                <w:szCs w:val="16"/>
              </w:rPr>
            </w:pPr>
            <w:r w:rsidRPr="003B5C8D">
              <w:rPr>
                <w:color w:val="000000"/>
                <w:sz w:val="16"/>
                <w:szCs w:val="16"/>
              </w:rPr>
              <w:t>PIT</w:t>
            </w:r>
          </w:p>
        </w:tc>
        <w:tc>
          <w:tcPr>
            <w:tcW w:w="851" w:type="dxa"/>
            <w:tcBorders>
              <w:top w:val="single" w:sz="6" w:space="0" w:color="000000"/>
              <w:left w:val="single" w:sz="6" w:space="0" w:color="000000"/>
              <w:bottom w:val="single" w:sz="6" w:space="0" w:color="000000"/>
              <w:right w:val="single" w:sz="6" w:space="0" w:color="000000"/>
            </w:tcBorders>
          </w:tcPr>
          <w:p w14:paraId="72F0CBB1" w14:textId="77777777" w:rsidR="008940B3" w:rsidRPr="003B5C8D" w:rsidRDefault="008940B3" w:rsidP="00E858EF">
            <w:pPr>
              <w:suppressAutoHyphens/>
              <w:jc w:val="center"/>
              <w:rPr>
                <w:color w:val="000000"/>
                <w:sz w:val="16"/>
                <w:szCs w:val="16"/>
              </w:rPr>
            </w:pPr>
            <w:r w:rsidRPr="003B5C8D">
              <w:rPr>
                <w:color w:val="000000"/>
                <w:sz w:val="16"/>
                <w:szCs w:val="16"/>
              </w:rPr>
              <w:t>DISUSED STRUCTURE</w:t>
            </w:r>
          </w:p>
        </w:tc>
        <w:tc>
          <w:tcPr>
            <w:tcW w:w="851" w:type="dxa"/>
            <w:tcBorders>
              <w:top w:val="single" w:sz="6" w:space="0" w:color="000000"/>
              <w:left w:val="single" w:sz="6" w:space="0" w:color="000000"/>
              <w:bottom w:val="single" w:sz="6" w:space="0" w:color="000000"/>
              <w:right w:val="single" w:sz="6" w:space="0" w:color="000000"/>
            </w:tcBorders>
          </w:tcPr>
          <w:p w14:paraId="1AC32B22" w14:textId="77777777" w:rsidR="008940B3" w:rsidRPr="003B5C8D" w:rsidRDefault="008940B3" w:rsidP="00E858EF">
            <w:pPr>
              <w:suppressAutoHyphens/>
              <w:jc w:val="center"/>
              <w:rPr>
                <w:color w:val="000000"/>
                <w:sz w:val="16"/>
                <w:szCs w:val="16"/>
              </w:rPr>
            </w:pPr>
            <w:r w:rsidRPr="003B5C8D">
              <w:rPr>
                <w:color w:val="000000"/>
                <w:sz w:val="16"/>
                <w:szCs w:val="16"/>
              </w:rPr>
              <w:t>N</w:t>
            </w:r>
            <w:r>
              <w:rPr>
                <w:color w:val="000000"/>
                <w:sz w:val="16"/>
                <w:szCs w:val="16"/>
              </w:rPr>
              <w:t>/</w:t>
            </w:r>
            <w:r w:rsidRPr="003B5C8D">
              <w:rPr>
                <w:color w:val="000000"/>
                <w:sz w:val="16"/>
                <w:szCs w:val="16"/>
              </w:rPr>
              <w:t>A</w:t>
            </w:r>
          </w:p>
        </w:tc>
      </w:tr>
      <w:tr w:rsidR="008940B3" w:rsidRPr="003B5C8D" w14:paraId="7131614C" w14:textId="77777777" w:rsidTr="008940B3">
        <w:tblPrEx>
          <w:tblCellMar>
            <w:left w:w="0" w:type="dxa"/>
            <w:right w:w="0" w:type="dxa"/>
          </w:tblCellMar>
        </w:tblPrEx>
        <w:trPr>
          <w:trHeight w:val="175"/>
        </w:trPr>
        <w:tc>
          <w:tcPr>
            <w:tcW w:w="2039"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2E6A284" w14:textId="77777777" w:rsidR="008940B3" w:rsidRPr="003B5C8D" w:rsidRDefault="008940B3" w:rsidP="00E858EF">
            <w:pPr>
              <w:suppressAutoHyphens/>
              <w:jc w:val="left"/>
              <w:rPr>
                <w:sz w:val="16"/>
                <w:szCs w:val="16"/>
              </w:rPr>
            </w:pPr>
            <w:r w:rsidRPr="003B5C8D">
              <w:rPr>
                <w:rFonts w:eastAsia="Times New Roman"/>
                <w:sz w:val="16"/>
                <w:szCs w:val="16"/>
              </w:rPr>
              <w:t>ELOUNDA</w:t>
            </w:r>
          </w:p>
        </w:tc>
        <w:tc>
          <w:tcPr>
            <w:tcW w:w="1076" w:type="dxa"/>
            <w:tcBorders>
              <w:top w:val="single" w:sz="6" w:space="0" w:color="000000"/>
              <w:left w:val="single" w:sz="6" w:space="0" w:color="000000"/>
              <w:bottom w:val="single" w:sz="6" w:space="0" w:color="000000"/>
              <w:right w:val="single" w:sz="6" w:space="0" w:color="000000"/>
            </w:tcBorders>
            <w:shd w:val="clear" w:color="auto" w:fill="EFEFEF"/>
          </w:tcPr>
          <w:p w14:paraId="24F581A3" w14:textId="77777777" w:rsidR="008940B3" w:rsidRPr="003B5C8D" w:rsidRDefault="008940B3" w:rsidP="00E858EF">
            <w:pPr>
              <w:suppressAutoHyphens/>
              <w:jc w:val="center"/>
              <w:rPr>
                <w:sz w:val="16"/>
                <w:szCs w:val="16"/>
              </w:rPr>
            </w:pPr>
          </w:p>
        </w:tc>
        <w:tc>
          <w:tcPr>
            <w:tcW w:w="1186"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797B2254" w14:textId="77777777" w:rsidR="008940B3" w:rsidRPr="003B5C8D" w:rsidRDefault="008940B3" w:rsidP="00E858EF">
            <w:pPr>
              <w:suppressAutoHyphens/>
              <w:jc w:val="center"/>
              <w:rPr>
                <w:sz w:val="16"/>
                <w:szCs w:val="16"/>
              </w:rPr>
            </w:pPr>
          </w:p>
        </w:tc>
        <w:tc>
          <w:tcPr>
            <w:tcW w:w="1146" w:type="dxa"/>
            <w:tcBorders>
              <w:top w:val="single" w:sz="6" w:space="0" w:color="000000"/>
              <w:left w:val="single" w:sz="6" w:space="0" w:color="000000"/>
              <w:bottom w:val="single" w:sz="6" w:space="0" w:color="000000"/>
              <w:right w:val="single" w:sz="6" w:space="0" w:color="000000"/>
            </w:tcBorders>
            <w:shd w:val="clear" w:color="auto" w:fill="EFEFEF"/>
          </w:tcPr>
          <w:p w14:paraId="03E0E1BC"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992" w:type="dxa"/>
            <w:tcBorders>
              <w:top w:val="single" w:sz="6" w:space="0" w:color="000000"/>
              <w:left w:val="single" w:sz="6" w:space="0" w:color="000000"/>
              <w:bottom w:val="single" w:sz="6" w:space="0" w:color="000000"/>
              <w:right w:val="single" w:sz="6" w:space="0" w:color="000000"/>
            </w:tcBorders>
            <w:shd w:val="clear" w:color="auto" w:fill="EFEFEF"/>
          </w:tcPr>
          <w:p w14:paraId="6540AE74"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shd w:val="clear" w:color="auto" w:fill="EFEFEF"/>
          </w:tcPr>
          <w:p w14:paraId="7D718B14"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shd w:val="clear" w:color="auto" w:fill="EFEFEF"/>
          </w:tcPr>
          <w:p w14:paraId="07F17089"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shd w:val="clear" w:color="auto" w:fill="EFEFEF"/>
          </w:tcPr>
          <w:p w14:paraId="5476EB65" w14:textId="77777777" w:rsidR="008940B3" w:rsidRPr="003B5C8D" w:rsidRDefault="008940B3" w:rsidP="00E858EF">
            <w:pPr>
              <w:suppressAutoHyphens/>
              <w:jc w:val="center"/>
              <w:rPr>
                <w:color w:val="000000"/>
                <w:sz w:val="16"/>
                <w:szCs w:val="16"/>
              </w:rPr>
            </w:pPr>
          </w:p>
        </w:tc>
      </w:tr>
      <w:tr w:rsidR="008940B3" w:rsidRPr="003B5C8D" w14:paraId="20DB5D81" w14:textId="77777777" w:rsidTr="008940B3">
        <w:tblPrEx>
          <w:tblCellMar>
            <w:left w:w="0" w:type="dxa"/>
            <w:right w:w="0" w:type="dxa"/>
          </w:tblCellMar>
        </w:tblPrEx>
        <w:trPr>
          <w:trHeight w:val="175"/>
        </w:trPr>
        <w:tc>
          <w:tcPr>
            <w:tcW w:w="203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E6E9820" w14:textId="77777777" w:rsidR="008940B3" w:rsidRPr="003B5C8D" w:rsidRDefault="008940B3" w:rsidP="00E858EF">
            <w:pPr>
              <w:suppressAutoHyphens/>
              <w:jc w:val="left"/>
              <w:rPr>
                <w:sz w:val="16"/>
                <w:szCs w:val="16"/>
              </w:rPr>
            </w:pPr>
            <w:r w:rsidRPr="003B5C8D">
              <w:rPr>
                <w:rFonts w:eastAsia="Times New Roman"/>
                <w:sz w:val="16"/>
                <w:szCs w:val="16"/>
              </w:rPr>
              <w:t>KARPHI</w:t>
            </w:r>
          </w:p>
        </w:tc>
        <w:tc>
          <w:tcPr>
            <w:tcW w:w="1076" w:type="dxa"/>
            <w:tcBorders>
              <w:top w:val="single" w:sz="6" w:space="0" w:color="000000"/>
              <w:left w:val="single" w:sz="6" w:space="0" w:color="000000"/>
              <w:bottom w:val="single" w:sz="6" w:space="0" w:color="000000"/>
              <w:right w:val="single" w:sz="6" w:space="0" w:color="000000"/>
            </w:tcBorders>
          </w:tcPr>
          <w:p w14:paraId="43CEAC50" w14:textId="77777777" w:rsidR="008940B3" w:rsidRPr="003B5C8D" w:rsidRDefault="008940B3" w:rsidP="00E858EF">
            <w:pPr>
              <w:suppressAutoHyphens/>
              <w:jc w:val="center"/>
              <w:rPr>
                <w:sz w:val="16"/>
                <w:szCs w:val="16"/>
              </w:rPr>
            </w:pPr>
          </w:p>
        </w:tc>
        <w:tc>
          <w:tcPr>
            <w:tcW w:w="118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AB544BD"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1146" w:type="dxa"/>
            <w:tcBorders>
              <w:top w:val="single" w:sz="6" w:space="0" w:color="000000"/>
              <w:left w:val="single" w:sz="6" w:space="0" w:color="000000"/>
              <w:bottom w:val="single" w:sz="6" w:space="0" w:color="000000"/>
              <w:right w:val="single" w:sz="6" w:space="0" w:color="000000"/>
            </w:tcBorders>
          </w:tcPr>
          <w:p w14:paraId="471AF208" w14:textId="77777777" w:rsidR="008940B3" w:rsidRPr="003B5C8D" w:rsidRDefault="008940B3" w:rsidP="00E858EF">
            <w:pPr>
              <w:suppressAutoHyphens/>
              <w:jc w:val="center"/>
              <w:rPr>
                <w:color w:val="000000"/>
                <w:sz w:val="16"/>
                <w:szCs w:val="16"/>
              </w:rPr>
            </w:pPr>
          </w:p>
        </w:tc>
        <w:tc>
          <w:tcPr>
            <w:tcW w:w="992" w:type="dxa"/>
            <w:tcBorders>
              <w:top w:val="single" w:sz="6" w:space="0" w:color="000000"/>
              <w:left w:val="single" w:sz="6" w:space="0" w:color="000000"/>
              <w:bottom w:val="single" w:sz="6" w:space="0" w:color="000000"/>
              <w:right w:val="single" w:sz="6" w:space="0" w:color="000000"/>
            </w:tcBorders>
          </w:tcPr>
          <w:p w14:paraId="6FC401E8"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tcPr>
          <w:p w14:paraId="4D8A1BCA"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tcPr>
          <w:p w14:paraId="4658ED9F"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tcPr>
          <w:p w14:paraId="5CA0D369" w14:textId="77777777" w:rsidR="008940B3" w:rsidRPr="003B5C8D" w:rsidRDefault="008940B3" w:rsidP="00E858EF">
            <w:pPr>
              <w:suppressAutoHyphens/>
              <w:jc w:val="center"/>
              <w:rPr>
                <w:color w:val="000000"/>
                <w:sz w:val="16"/>
                <w:szCs w:val="16"/>
              </w:rPr>
            </w:pPr>
          </w:p>
        </w:tc>
      </w:tr>
      <w:tr w:rsidR="008940B3" w:rsidRPr="003B5C8D" w14:paraId="2E76396C" w14:textId="77777777" w:rsidTr="008940B3">
        <w:tblPrEx>
          <w:tblCellMar>
            <w:left w:w="0" w:type="dxa"/>
            <w:right w:w="0" w:type="dxa"/>
          </w:tblCellMar>
        </w:tblPrEx>
        <w:trPr>
          <w:trHeight w:val="175"/>
        </w:trPr>
        <w:tc>
          <w:tcPr>
            <w:tcW w:w="2039"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1A9EE918" w14:textId="77777777" w:rsidR="008940B3" w:rsidRPr="003B5C8D" w:rsidRDefault="008940B3" w:rsidP="00E858EF">
            <w:pPr>
              <w:suppressAutoHyphens/>
              <w:jc w:val="left"/>
              <w:rPr>
                <w:sz w:val="16"/>
                <w:szCs w:val="16"/>
              </w:rPr>
            </w:pPr>
            <w:r w:rsidRPr="003B5C8D">
              <w:rPr>
                <w:rFonts w:eastAsia="Times New Roman"/>
                <w:sz w:val="16"/>
                <w:szCs w:val="16"/>
              </w:rPr>
              <w:t>KRITSA</w:t>
            </w:r>
          </w:p>
        </w:tc>
        <w:tc>
          <w:tcPr>
            <w:tcW w:w="1076" w:type="dxa"/>
            <w:tcBorders>
              <w:top w:val="single" w:sz="6" w:space="0" w:color="000000"/>
              <w:left w:val="single" w:sz="6" w:space="0" w:color="000000"/>
              <w:bottom w:val="single" w:sz="6" w:space="0" w:color="000000"/>
              <w:right w:val="single" w:sz="6" w:space="0" w:color="000000"/>
            </w:tcBorders>
            <w:shd w:val="clear" w:color="auto" w:fill="EFEFEF"/>
          </w:tcPr>
          <w:p w14:paraId="5D60FF48"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1186"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6D2E4485"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1146" w:type="dxa"/>
            <w:tcBorders>
              <w:top w:val="single" w:sz="6" w:space="0" w:color="000000"/>
              <w:left w:val="single" w:sz="6" w:space="0" w:color="000000"/>
              <w:bottom w:val="single" w:sz="6" w:space="0" w:color="000000"/>
              <w:right w:val="single" w:sz="6" w:space="0" w:color="000000"/>
            </w:tcBorders>
            <w:shd w:val="clear" w:color="auto" w:fill="EFEFEF"/>
          </w:tcPr>
          <w:p w14:paraId="23079A94" w14:textId="77777777" w:rsidR="008940B3" w:rsidRPr="003B5C8D" w:rsidRDefault="008940B3" w:rsidP="00E858EF">
            <w:pPr>
              <w:suppressAutoHyphens/>
              <w:jc w:val="center"/>
              <w:rPr>
                <w:color w:val="000000"/>
                <w:sz w:val="16"/>
                <w:szCs w:val="16"/>
              </w:rPr>
            </w:pPr>
          </w:p>
        </w:tc>
        <w:tc>
          <w:tcPr>
            <w:tcW w:w="992" w:type="dxa"/>
            <w:tcBorders>
              <w:top w:val="single" w:sz="6" w:space="0" w:color="000000"/>
              <w:left w:val="single" w:sz="6" w:space="0" w:color="000000"/>
              <w:bottom w:val="single" w:sz="6" w:space="0" w:color="000000"/>
              <w:right w:val="single" w:sz="6" w:space="0" w:color="000000"/>
            </w:tcBorders>
            <w:shd w:val="clear" w:color="auto" w:fill="EFEFEF"/>
          </w:tcPr>
          <w:p w14:paraId="75C1E7C5"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shd w:val="clear" w:color="auto" w:fill="EFEFEF"/>
          </w:tcPr>
          <w:p w14:paraId="2AE55FC3"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shd w:val="clear" w:color="auto" w:fill="EFEFEF"/>
          </w:tcPr>
          <w:p w14:paraId="3C978499"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shd w:val="clear" w:color="auto" w:fill="EFEFEF"/>
          </w:tcPr>
          <w:p w14:paraId="1BC6A35F" w14:textId="77777777" w:rsidR="008940B3" w:rsidRPr="003B5C8D" w:rsidRDefault="008940B3" w:rsidP="00E858EF">
            <w:pPr>
              <w:suppressAutoHyphens/>
              <w:jc w:val="center"/>
              <w:rPr>
                <w:color w:val="000000"/>
                <w:sz w:val="16"/>
                <w:szCs w:val="16"/>
              </w:rPr>
            </w:pPr>
          </w:p>
        </w:tc>
      </w:tr>
      <w:tr w:rsidR="008940B3" w:rsidRPr="003B5C8D" w14:paraId="28117D0E" w14:textId="77777777" w:rsidTr="008940B3">
        <w:tblPrEx>
          <w:tblCellMar>
            <w:left w:w="0" w:type="dxa"/>
            <w:right w:w="0" w:type="dxa"/>
          </w:tblCellMar>
        </w:tblPrEx>
        <w:trPr>
          <w:trHeight w:val="175"/>
        </w:trPr>
        <w:tc>
          <w:tcPr>
            <w:tcW w:w="203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885A9C6" w14:textId="77777777" w:rsidR="008940B3" w:rsidRPr="003B5C8D" w:rsidRDefault="008940B3" w:rsidP="00E858EF">
            <w:pPr>
              <w:suppressAutoHyphens/>
              <w:jc w:val="left"/>
              <w:rPr>
                <w:sz w:val="16"/>
                <w:szCs w:val="16"/>
              </w:rPr>
            </w:pPr>
            <w:r w:rsidRPr="003B5C8D">
              <w:rPr>
                <w:rFonts w:eastAsia="Times New Roman"/>
                <w:sz w:val="16"/>
                <w:szCs w:val="16"/>
              </w:rPr>
              <w:t>MALIA</w:t>
            </w:r>
          </w:p>
        </w:tc>
        <w:tc>
          <w:tcPr>
            <w:tcW w:w="1076" w:type="dxa"/>
            <w:tcBorders>
              <w:top w:val="single" w:sz="6" w:space="0" w:color="000000"/>
              <w:left w:val="single" w:sz="6" w:space="0" w:color="000000"/>
              <w:bottom w:val="single" w:sz="6" w:space="0" w:color="000000"/>
              <w:right w:val="single" w:sz="6" w:space="0" w:color="000000"/>
            </w:tcBorders>
          </w:tcPr>
          <w:p w14:paraId="0ACEB3A0"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118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6CDB86C" w14:textId="77777777" w:rsidR="008940B3" w:rsidRPr="003B5C8D" w:rsidRDefault="008940B3" w:rsidP="00E858EF">
            <w:pPr>
              <w:suppressAutoHyphens/>
              <w:jc w:val="center"/>
              <w:rPr>
                <w:sz w:val="16"/>
                <w:szCs w:val="16"/>
              </w:rPr>
            </w:pPr>
          </w:p>
        </w:tc>
        <w:tc>
          <w:tcPr>
            <w:tcW w:w="1146" w:type="dxa"/>
            <w:tcBorders>
              <w:top w:val="single" w:sz="6" w:space="0" w:color="000000"/>
              <w:left w:val="single" w:sz="6" w:space="0" w:color="000000"/>
              <w:bottom w:val="single" w:sz="6" w:space="0" w:color="000000"/>
              <w:right w:val="single" w:sz="6" w:space="0" w:color="000000"/>
            </w:tcBorders>
          </w:tcPr>
          <w:p w14:paraId="0D28E306" w14:textId="77777777" w:rsidR="008940B3" w:rsidRPr="003B5C8D" w:rsidRDefault="008940B3" w:rsidP="00E858EF">
            <w:pPr>
              <w:suppressAutoHyphens/>
              <w:jc w:val="center"/>
              <w:rPr>
                <w:color w:val="000000"/>
                <w:sz w:val="16"/>
                <w:szCs w:val="16"/>
              </w:rPr>
            </w:pPr>
          </w:p>
        </w:tc>
        <w:tc>
          <w:tcPr>
            <w:tcW w:w="992" w:type="dxa"/>
            <w:tcBorders>
              <w:top w:val="single" w:sz="6" w:space="0" w:color="000000"/>
              <w:left w:val="single" w:sz="6" w:space="0" w:color="000000"/>
              <w:bottom w:val="single" w:sz="6" w:space="0" w:color="000000"/>
              <w:right w:val="single" w:sz="6" w:space="0" w:color="000000"/>
            </w:tcBorders>
          </w:tcPr>
          <w:p w14:paraId="749A2435"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851" w:type="dxa"/>
            <w:tcBorders>
              <w:top w:val="single" w:sz="6" w:space="0" w:color="000000"/>
              <w:left w:val="single" w:sz="6" w:space="0" w:color="000000"/>
              <w:bottom w:val="single" w:sz="6" w:space="0" w:color="000000"/>
              <w:right w:val="single" w:sz="6" w:space="0" w:color="000000"/>
            </w:tcBorders>
          </w:tcPr>
          <w:p w14:paraId="586C0CF3"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tcPr>
          <w:p w14:paraId="44399E51"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851" w:type="dxa"/>
            <w:tcBorders>
              <w:top w:val="single" w:sz="6" w:space="0" w:color="000000"/>
              <w:left w:val="single" w:sz="6" w:space="0" w:color="000000"/>
              <w:bottom w:val="single" w:sz="6" w:space="0" w:color="000000"/>
              <w:right w:val="single" w:sz="6" w:space="0" w:color="000000"/>
            </w:tcBorders>
          </w:tcPr>
          <w:p w14:paraId="717B73AC" w14:textId="77777777" w:rsidR="008940B3" w:rsidRPr="003B5C8D" w:rsidRDefault="008940B3" w:rsidP="00E858EF">
            <w:pPr>
              <w:suppressAutoHyphens/>
              <w:jc w:val="center"/>
              <w:rPr>
                <w:color w:val="000000"/>
                <w:sz w:val="16"/>
                <w:szCs w:val="16"/>
              </w:rPr>
            </w:pPr>
          </w:p>
        </w:tc>
      </w:tr>
      <w:tr w:rsidR="008940B3" w:rsidRPr="003B5C8D" w14:paraId="4264469C" w14:textId="77777777" w:rsidTr="008940B3">
        <w:tblPrEx>
          <w:tblCellMar>
            <w:left w:w="0" w:type="dxa"/>
            <w:right w:w="0" w:type="dxa"/>
          </w:tblCellMar>
        </w:tblPrEx>
        <w:trPr>
          <w:trHeight w:val="175"/>
        </w:trPr>
        <w:tc>
          <w:tcPr>
            <w:tcW w:w="2039"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1F74765" w14:textId="77777777" w:rsidR="008940B3" w:rsidRPr="003B5C8D" w:rsidRDefault="008940B3" w:rsidP="00E858EF">
            <w:pPr>
              <w:suppressAutoHyphens/>
              <w:jc w:val="left"/>
              <w:rPr>
                <w:sz w:val="16"/>
                <w:szCs w:val="16"/>
              </w:rPr>
            </w:pPr>
            <w:r w:rsidRPr="003B5C8D">
              <w:rPr>
                <w:rFonts w:eastAsia="Times New Roman"/>
                <w:sz w:val="16"/>
                <w:szCs w:val="16"/>
              </w:rPr>
              <w:t>MILATOS</w:t>
            </w:r>
          </w:p>
        </w:tc>
        <w:tc>
          <w:tcPr>
            <w:tcW w:w="1076" w:type="dxa"/>
            <w:tcBorders>
              <w:top w:val="single" w:sz="6" w:space="0" w:color="000000"/>
              <w:left w:val="single" w:sz="6" w:space="0" w:color="000000"/>
              <w:bottom w:val="single" w:sz="6" w:space="0" w:color="000000"/>
              <w:right w:val="single" w:sz="6" w:space="0" w:color="000000"/>
            </w:tcBorders>
            <w:shd w:val="clear" w:color="auto" w:fill="EFEFEF"/>
          </w:tcPr>
          <w:p w14:paraId="467AC834"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1186"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6F5F5CE9" w14:textId="77777777" w:rsidR="008940B3" w:rsidRPr="003B5C8D" w:rsidRDefault="008940B3" w:rsidP="00E858EF">
            <w:pPr>
              <w:suppressAutoHyphens/>
              <w:jc w:val="center"/>
              <w:rPr>
                <w:sz w:val="16"/>
                <w:szCs w:val="16"/>
              </w:rPr>
            </w:pPr>
          </w:p>
        </w:tc>
        <w:tc>
          <w:tcPr>
            <w:tcW w:w="1146" w:type="dxa"/>
            <w:tcBorders>
              <w:top w:val="single" w:sz="6" w:space="0" w:color="000000"/>
              <w:left w:val="single" w:sz="6" w:space="0" w:color="000000"/>
              <w:bottom w:val="single" w:sz="6" w:space="0" w:color="000000"/>
              <w:right w:val="single" w:sz="6" w:space="0" w:color="000000"/>
            </w:tcBorders>
            <w:shd w:val="clear" w:color="auto" w:fill="EFEFEF"/>
          </w:tcPr>
          <w:p w14:paraId="387C57AC" w14:textId="77777777" w:rsidR="008940B3" w:rsidRPr="003B5C8D" w:rsidRDefault="008940B3" w:rsidP="00E858EF">
            <w:pPr>
              <w:suppressAutoHyphens/>
              <w:jc w:val="center"/>
              <w:rPr>
                <w:sz w:val="16"/>
                <w:szCs w:val="16"/>
              </w:rPr>
            </w:pPr>
          </w:p>
        </w:tc>
        <w:tc>
          <w:tcPr>
            <w:tcW w:w="992" w:type="dxa"/>
            <w:tcBorders>
              <w:top w:val="single" w:sz="6" w:space="0" w:color="000000"/>
              <w:left w:val="single" w:sz="6" w:space="0" w:color="000000"/>
              <w:bottom w:val="single" w:sz="6" w:space="0" w:color="000000"/>
              <w:right w:val="single" w:sz="6" w:space="0" w:color="000000"/>
            </w:tcBorders>
            <w:shd w:val="clear" w:color="auto" w:fill="EFEFEF"/>
          </w:tcPr>
          <w:p w14:paraId="153C333C" w14:textId="77777777" w:rsidR="008940B3" w:rsidRPr="003B5C8D" w:rsidRDefault="008940B3" w:rsidP="00E858EF">
            <w:pPr>
              <w:suppressAutoHyphens/>
              <w:jc w:val="center"/>
              <w:rPr>
                <w:sz w:val="16"/>
                <w:szCs w:val="16"/>
              </w:rPr>
            </w:pPr>
          </w:p>
        </w:tc>
        <w:tc>
          <w:tcPr>
            <w:tcW w:w="851" w:type="dxa"/>
            <w:tcBorders>
              <w:top w:val="single" w:sz="6" w:space="0" w:color="000000"/>
              <w:left w:val="single" w:sz="6" w:space="0" w:color="000000"/>
              <w:bottom w:val="single" w:sz="6" w:space="0" w:color="000000"/>
              <w:right w:val="single" w:sz="6" w:space="0" w:color="000000"/>
            </w:tcBorders>
            <w:shd w:val="clear" w:color="auto" w:fill="EFEFEF"/>
          </w:tcPr>
          <w:p w14:paraId="41863ECB" w14:textId="77777777" w:rsidR="008940B3" w:rsidRPr="003B5C8D" w:rsidRDefault="008940B3" w:rsidP="00E858EF">
            <w:pPr>
              <w:suppressAutoHyphens/>
              <w:jc w:val="center"/>
              <w:rPr>
                <w:sz w:val="16"/>
                <w:szCs w:val="16"/>
              </w:rPr>
            </w:pPr>
          </w:p>
        </w:tc>
        <w:tc>
          <w:tcPr>
            <w:tcW w:w="851" w:type="dxa"/>
            <w:tcBorders>
              <w:top w:val="single" w:sz="6" w:space="0" w:color="000000"/>
              <w:left w:val="single" w:sz="6" w:space="0" w:color="000000"/>
              <w:bottom w:val="single" w:sz="6" w:space="0" w:color="000000"/>
              <w:right w:val="single" w:sz="6" w:space="0" w:color="000000"/>
            </w:tcBorders>
            <w:shd w:val="clear" w:color="auto" w:fill="EFEFEF"/>
          </w:tcPr>
          <w:p w14:paraId="5623BBD9" w14:textId="77777777" w:rsidR="008940B3" w:rsidRPr="003B5C8D" w:rsidRDefault="008940B3" w:rsidP="00E858EF">
            <w:pPr>
              <w:suppressAutoHyphens/>
              <w:jc w:val="center"/>
              <w:rPr>
                <w:sz w:val="16"/>
                <w:szCs w:val="16"/>
              </w:rPr>
            </w:pPr>
          </w:p>
        </w:tc>
        <w:tc>
          <w:tcPr>
            <w:tcW w:w="851" w:type="dxa"/>
            <w:tcBorders>
              <w:top w:val="single" w:sz="6" w:space="0" w:color="000000"/>
              <w:left w:val="single" w:sz="6" w:space="0" w:color="000000"/>
              <w:bottom w:val="single" w:sz="6" w:space="0" w:color="000000"/>
              <w:right w:val="single" w:sz="6" w:space="0" w:color="000000"/>
            </w:tcBorders>
            <w:shd w:val="clear" w:color="auto" w:fill="EFEFEF"/>
          </w:tcPr>
          <w:p w14:paraId="33EA6653" w14:textId="77777777" w:rsidR="008940B3" w:rsidRPr="003B5C8D" w:rsidRDefault="008940B3" w:rsidP="00E858EF">
            <w:pPr>
              <w:suppressAutoHyphens/>
              <w:jc w:val="center"/>
              <w:rPr>
                <w:sz w:val="16"/>
                <w:szCs w:val="16"/>
              </w:rPr>
            </w:pPr>
          </w:p>
        </w:tc>
      </w:tr>
      <w:tr w:rsidR="008940B3" w:rsidRPr="003B5C8D" w14:paraId="286F92ED" w14:textId="77777777" w:rsidTr="008940B3">
        <w:tblPrEx>
          <w:tblCellMar>
            <w:left w:w="0" w:type="dxa"/>
            <w:right w:w="0" w:type="dxa"/>
          </w:tblCellMar>
        </w:tblPrEx>
        <w:trPr>
          <w:trHeight w:val="175"/>
        </w:trPr>
        <w:tc>
          <w:tcPr>
            <w:tcW w:w="203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BF59AF4" w14:textId="77777777" w:rsidR="008940B3" w:rsidRPr="003B5C8D" w:rsidRDefault="008940B3" w:rsidP="00E858EF">
            <w:pPr>
              <w:suppressAutoHyphens/>
              <w:jc w:val="left"/>
              <w:rPr>
                <w:sz w:val="16"/>
                <w:szCs w:val="16"/>
              </w:rPr>
            </w:pPr>
            <w:r w:rsidRPr="003B5C8D">
              <w:rPr>
                <w:rFonts w:eastAsia="Times New Roman"/>
                <w:sz w:val="16"/>
                <w:szCs w:val="16"/>
              </w:rPr>
              <w:t>PLATI</w:t>
            </w:r>
          </w:p>
        </w:tc>
        <w:tc>
          <w:tcPr>
            <w:tcW w:w="1076" w:type="dxa"/>
            <w:tcBorders>
              <w:top w:val="single" w:sz="6" w:space="0" w:color="000000"/>
              <w:left w:val="single" w:sz="6" w:space="0" w:color="000000"/>
              <w:bottom w:val="single" w:sz="6" w:space="0" w:color="000000"/>
              <w:right w:val="single" w:sz="6" w:space="0" w:color="000000"/>
            </w:tcBorders>
          </w:tcPr>
          <w:p w14:paraId="384632AC" w14:textId="77777777" w:rsidR="008940B3" w:rsidRPr="003B5C8D" w:rsidRDefault="008940B3" w:rsidP="00E858EF">
            <w:pPr>
              <w:suppressAutoHyphens/>
              <w:jc w:val="center"/>
              <w:rPr>
                <w:sz w:val="16"/>
                <w:szCs w:val="16"/>
              </w:rPr>
            </w:pPr>
          </w:p>
        </w:tc>
        <w:tc>
          <w:tcPr>
            <w:tcW w:w="118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812B484" w14:textId="77777777" w:rsidR="008940B3" w:rsidRPr="003B5C8D" w:rsidRDefault="008940B3" w:rsidP="00E858EF">
            <w:pPr>
              <w:suppressAutoHyphens/>
              <w:jc w:val="center"/>
              <w:rPr>
                <w:sz w:val="16"/>
                <w:szCs w:val="16"/>
              </w:rPr>
            </w:pPr>
            <w:r w:rsidRPr="003B5C8D">
              <w:rPr>
                <w:rFonts w:ascii="Lucida Grande" w:hAnsi="Lucida Grande" w:cs="Lucida Grande"/>
                <w:color w:val="000000"/>
                <w:sz w:val="16"/>
                <w:szCs w:val="16"/>
              </w:rPr>
              <w:t>✓</w:t>
            </w:r>
          </w:p>
        </w:tc>
        <w:tc>
          <w:tcPr>
            <w:tcW w:w="1146" w:type="dxa"/>
            <w:tcBorders>
              <w:top w:val="single" w:sz="6" w:space="0" w:color="000000"/>
              <w:left w:val="single" w:sz="6" w:space="0" w:color="000000"/>
              <w:bottom w:val="single" w:sz="6" w:space="0" w:color="000000"/>
              <w:right w:val="single" w:sz="6" w:space="0" w:color="000000"/>
            </w:tcBorders>
          </w:tcPr>
          <w:p w14:paraId="00A42976" w14:textId="77777777" w:rsidR="008940B3" w:rsidRPr="003B5C8D" w:rsidRDefault="008940B3" w:rsidP="00E858EF">
            <w:pPr>
              <w:suppressAutoHyphens/>
              <w:jc w:val="center"/>
              <w:rPr>
                <w:color w:val="000000"/>
                <w:sz w:val="16"/>
                <w:szCs w:val="16"/>
              </w:rPr>
            </w:pPr>
          </w:p>
        </w:tc>
        <w:tc>
          <w:tcPr>
            <w:tcW w:w="992" w:type="dxa"/>
            <w:tcBorders>
              <w:top w:val="single" w:sz="6" w:space="0" w:color="000000"/>
              <w:left w:val="single" w:sz="6" w:space="0" w:color="000000"/>
              <w:bottom w:val="single" w:sz="6" w:space="0" w:color="000000"/>
              <w:right w:val="single" w:sz="6" w:space="0" w:color="000000"/>
            </w:tcBorders>
          </w:tcPr>
          <w:p w14:paraId="34D750EF"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tcPr>
          <w:p w14:paraId="4348BC17"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tcPr>
          <w:p w14:paraId="58648679"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tcPr>
          <w:p w14:paraId="2387B676" w14:textId="77777777" w:rsidR="008940B3" w:rsidRPr="003B5C8D" w:rsidRDefault="008940B3" w:rsidP="00E858EF">
            <w:pPr>
              <w:suppressAutoHyphens/>
              <w:jc w:val="center"/>
              <w:rPr>
                <w:color w:val="000000"/>
                <w:sz w:val="16"/>
                <w:szCs w:val="16"/>
              </w:rPr>
            </w:pPr>
          </w:p>
        </w:tc>
      </w:tr>
      <w:tr w:rsidR="008940B3" w:rsidRPr="003B5C8D" w14:paraId="3B7A558C" w14:textId="77777777" w:rsidTr="008940B3">
        <w:tblPrEx>
          <w:tblCellMar>
            <w:left w:w="0" w:type="dxa"/>
            <w:right w:w="0" w:type="dxa"/>
          </w:tblCellMar>
        </w:tblPrEx>
        <w:trPr>
          <w:trHeight w:val="175"/>
        </w:trPr>
        <w:tc>
          <w:tcPr>
            <w:tcW w:w="203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B646191" w14:textId="77777777" w:rsidR="008940B3" w:rsidRPr="003B5C8D" w:rsidRDefault="008940B3" w:rsidP="00E858EF">
            <w:pPr>
              <w:suppressAutoHyphens/>
              <w:jc w:val="left"/>
              <w:rPr>
                <w:rFonts w:eastAsia="Times New Roman"/>
                <w:sz w:val="16"/>
                <w:szCs w:val="16"/>
              </w:rPr>
            </w:pPr>
            <w:r>
              <w:rPr>
                <w:rFonts w:eastAsia="Times New Roman"/>
                <w:sz w:val="16"/>
                <w:szCs w:val="16"/>
              </w:rPr>
              <w:t>PSARI PHORADA</w:t>
            </w:r>
          </w:p>
        </w:tc>
        <w:tc>
          <w:tcPr>
            <w:tcW w:w="1076" w:type="dxa"/>
            <w:tcBorders>
              <w:top w:val="single" w:sz="6" w:space="0" w:color="000000"/>
              <w:left w:val="single" w:sz="6" w:space="0" w:color="000000"/>
              <w:bottom w:val="single" w:sz="6" w:space="0" w:color="000000"/>
              <w:right w:val="single" w:sz="6" w:space="0" w:color="000000"/>
            </w:tcBorders>
          </w:tcPr>
          <w:p w14:paraId="34FFDEDA" w14:textId="77777777" w:rsidR="008940B3" w:rsidRPr="003B5C8D" w:rsidRDefault="008940B3" w:rsidP="00E858EF">
            <w:pPr>
              <w:suppressAutoHyphens/>
              <w:jc w:val="center"/>
              <w:rPr>
                <w:rFonts w:ascii="Lucida Grande" w:hAnsi="Lucida Grande" w:cs="Lucida Grande"/>
                <w:color w:val="000000"/>
                <w:sz w:val="16"/>
                <w:szCs w:val="16"/>
              </w:rPr>
            </w:pPr>
            <w:r w:rsidRPr="003B5C8D">
              <w:rPr>
                <w:rFonts w:ascii="Lucida Grande" w:hAnsi="Lucida Grande" w:cs="Lucida Grande"/>
                <w:color w:val="000000"/>
                <w:sz w:val="16"/>
                <w:szCs w:val="16"/>
              </w:rPr>
              <w:t>✓</w:t>
            </w:r>
          </w:p>
        </w:tc>
        <w:tc>
          <w:tcPr>
            <w:tcW w:w="118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7152F9B" w14:textId="77777777" w:rsidR="008940B3" w:rsidRPr="003B5C8D" w:rsidRDefault="008940B3" w:rsidP="00E858EF">
            <w:pPr>
              <w:suppressAutoHyphens/>
              <w:jc w:val="center"/>
              <w:rPr>
                <w:sz w:val="16"/>
                <w:szCs w:val="16"/>
              </w:rPr>
            </w:pPr>
          </w:p>
        </w:tc>
        <w:tc>
          <w:tcPr>
            <w:tcW w:w="1146" w:type="dxa"/>
            <w:tcBorders>
              <w:top w:val="single" w:sz="6" w:space="0" w:color="000000"/>
              <w:left w:val="single" w:sz="6" w:space="0" w:color="000000"/>
              <w:bottom w:val="single" w:sz="6" w:space="0" w:color="000000"/>
              <w:right w:val="single" w:sz="6" w:space="0" w:color="000000"/>
            </w:tcBorders>
          </w:tcPr>
          <w:p w14:paraId="62D0220D" w14:textId="77777777" w:rsidR="008940B3" w:rsidRPr="003B5C8D" w:rsidRDefault="008940B3" w:rsidP="00E858EF">
            <w:pPr>
              <w:suppressAutoHyphens/>
              <w:jc w:val="center"/>
              <w:rPr>
                <w:color w:val="000000"/>
                <w:sz w:val="16"/>
                <w:szCs w:val="16"/>
              </w:rPr>
            </w:pPr>
          </w:p>
        </w:tc>
        <w:tc>
          <w:tcPr>
            <w:tcW w:w="992" w:type="dxa"/>
            <w:tcBorders>
              <w:top w:val="single" w:sz="6" w:space="0" w:color="000000"/>
              <w:left w:val="single" w:sz="6" w:space="0" w:color="000000"/>
              <w:bottom w:val="single" w:sz="6" w:space="0" w:color="000000"/>
              <w:right w:val="single" w:sz="6" w:space="0" w:color="000000"/>
            </w:tcBorders>
          </w:tcPr>
          <w:p w14:paraId="65B73745"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tcPr>
          <w:p w14:paraId="40D03725"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tcPr>
          <w:p w14:paraId="0EE0618F"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tcPr>
          <w:p w14:paraId="510B59A1" w14:textId="77777777" w:rsidR="008940B3" w:rsidRPr="003B5C8D" w:rsidRDefault="008940B3" w:rsidP="00E858EF">
            <w:pPr>
              <w:tabs>
                <w:tab w:val="left" w:pos="587"/>
              </w:tabs>
              <w:suppressAutoHyphens/>
              <w:jc w:val="center"/>
              <w:rPr>
                <w:color w:val="000000"/>
                <w:sz w:val="16"/>
                <w:szCs w:val="16"/>
              </w:rPr>
            </w:pPr>
          </w:p>
        </w:tc>
      </w:tr>
      <w:tr w:rsidR="008940B3" w:rsidRPr="003B5C8D" w14:paraId="12A4A4FC" w14:textId="77777777" w:rsidTr="008940B3">
        <w:tblPrEx>
          <w:tblCellMar>
            <w:left w:w="0" w:type="dxa"/>
            <w:right w:w="0" w:type="dxa"/>
          </w:tblCellMar>
        </w:tblPrEx>
        <w:trPr>
          <w:trHeight w:val="175"/>
        </w:trPr>
        <w:tc>
          <w:tcPr>
            <w:tcW w:w="203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F30B074" w14:textId="77777777" w:rsidR="008940B3" w:rsidRPr="003B5C8D" w:rsidRDefault="008940B3" w:rsidP="00E858EF">
            <w:pPr>
              <w:suppressAutoHyphens/>
              <w:jc w:val="left"/>
              <w:rPr>
                <w:sz w:val="16"/>
                <w:szCs w:val="16"/>
              </w:rPr>
            </w:pPr>
            <w:r w:rsidRPr="003B5C8D">
              <w:rPr>
                <w:rFonts w:eastAsia="Times New Roman"/>
                <w:sz w:val="16"/>
                <w:szCs w:val="16"/>
              </w:rPr>
              <w:t>TERTSA</w:t>
            </w:r>
          </w:p>
        </w:tc>
        <w:tc>
          <w:tcPr>
            <w:tcW w:w="1076" w:type="dxa"/>
            <w:tcBorders>
              <w:top w:val="single" w:sz="6" w:space="0" w:color="000000"/>
              <w:left w:val="single" w:sz="6" w:space="0" w:color="000000"/>
              <w:bottom w:val="single" w:sz="6" w:space="0" w:color="000000"/>
              <w:right w:val="single" w:sz="6" w:space="0" w:color="000000"/>
            </w:tcBorders>
          </w:tcPr>
          <w:p w14:paraId="69EE2EC0"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118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1846911" w14:textId="77777777" w:rsidR="008940B3" w:rsidRPr="003B5C8D" w:rsidRDefault="008940B3" w:rsidP="00E858EF">
            <w:pPr>
              <w:suppressAutoHyphens/>
              <w:jc w:val="center"/>
              <w:rPr>
                <w:sz w:val="16"/>
                <w:szCs w:val="16"/>
              </w:rPr>
            </w:pPr>
          </w:p>
        </w:tc>
        <w:tc>
          <w:tcPr>
            <w:tcW w:w="1146" w:type="dxa"/>
            <w:tcBorders>
              <w:top w:val="single" w:sz="6" w:space="0" w:color="000000"/>
              <w:left w:val="single" w:sz="6" w:space="0" w:color="000000"/>
              <w:bottom w:val="single" w:sz="6" w:space="0" w:color="000000"/>
              <w:right w:val="single" w:sz="6" w:space="0" w:color="000000"/>
            </w:tcBorders>
          </w:tcPr>
          <w:p w14:paraId="7FBFB1E6" w14:textId="77777777" w:rsidR="008940B3" w:rsidRPr="003B5C8D" w:rsidRDefault="008940B3" w:rsidP="00E858EF">
            <w:pPr>
              <w:suppressAutoHyphens/>
              <w:jc w:val="center"/>
              <w:rPr>
                <w:color w:val="000000"/>
                <w:sz w:val="16"/>
                <w:szCs w:val="16"/>
              </w:rPr>
            </w:pPr>
          </w:p>
        </w:tc>
        <w:tc>
          <w:tcPr>
            <w:tcW w:w="992" w:type="dxa"/>
            <w:tcBorders>
              <w:top w:val="single" w:sz="6" w:space="0" w:color="000000"/>
              <w:left w:val="single" w:sz="6" w:space="0" w:color="000000"/>
              <w:bottom w:val="single" w:sz="6" w:space="0" w:color="000000"/>
              <w:right w:val="single" w:sz="6" w:space="0" w:color="000000"/>
            </w:tcBorders>
          </w:tcPr>
          <w:p w14:paraId="7818C727"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tcPr>
          <w:p w14:paraId="699D1415"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tcPr>
          <w:p w14:paraId="4A185FA4"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tcPr>
          <w:p w14:paraId="2419F3A4" w14:textId="77777777" w:rsidR="008940B3" w:rsidRPr="003B5C8D" w:rsidRDefault="008940B3" w:rsidP="00E858EF">
            <w:pPr>
              <w:tabs>
                <w:tab w:val="left" w:pos="587"/>
              </w:tabs>
              <w:suppressAutoHyphens/>
              <w:jc w:val="center"/>
              <w:rPr>
                <w:color w:val="000000"/>
                <w:sz w:val="16"/>
                <w:szCs w:val="16"/>
              </w:rPr>
            </w:pPr>
          </w:p>
        </w:tc>
      </w:tr>
      <w:tr w:rsidR="008940B3" w:rsidRPr="003B5C8D" w14:paraId="2345425C" w14:textId="77777777" w:rsidTr="008940B3">
        <w:tblPrEx>
          <w:tblCellMar>
            <w:left w:w="0" w:type="dxa"/>
            <w:right w:w="0" w:type="dxa"/>
          </w:tblCellMar>
        </w:tblPrEx>
        <w:trPr>
          <w:trHeight w:val="175"/>
        </w:trPr>
        <w:tc>
          <w:tcPr>
            <w:tcW w:w="203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15A192F" w14:textId="77777777" w:rsidR="008940B3" w:rsidRPr="003B5C8D" w:rsidRDefault="008940B3" w:rsidP="00E858EF">
            <w:pPr>
              <w:suppressAutoHyphens/>
              <w:jc w:val="left"/>
              <w:rPr>
                <w:sz w:val="16"/>
                <w:szCs w:val="16"/>
              </w:rPr>
            </w:pPr>
            <w:r w:rsidRPr="003B5C8D">
              <w:rPr>
                <w:rFonts w:eastAsia="Times New Roman"/>
                <w:sz w:val="16"/>
                <w:szCs w:val="16"/>
              </w:rPr>
              <w:t>TZERMIADON</w:t>
            </w:r>
          </w:p>
        </w:tc>
        <w:tc>
          <w:tcPr>
            <w:tcW w:w="1076" w:type="dxa"/>
            <w:tcBorders>
              <w:top w:val="single" w:sz="6" w:space="0" w:color="000000"/>
              <w:left w:val="single" w:sz="6" w:space="0" w:color="000000"/>
              <w:bottom w:val="single" w:sz="6" w:space="0" w:color="000000"/>
              <w:right w:val="single" w:sz="6" w:space="0" w:color="000000"/>
            </w:tcBorders>
          </w:tcPr>
          <w:p w14:paraId="0884FE6A" w14:textId="77777777" w:rsidR="008940B3" w:rsidRPr="003B5C8D" w:rsidRDefault="008940B3" w:rsidP="00E858EF">
            <w:pPr>
              <w:suppressAutoHyphens/>
              <w:jc w:val="center"/>
              <w:rPr>
                <w:sz w:val="16"/>
                <w:szCs w:val="16"/>
              </w:rPr>
            </w:pPr>
          </w:p>
        </w:tc>
        <w:tc>
          <w:tcPr>
            <w:tcW w:w="118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120CFEB" w14:textId="77777777" w:rsidR="008940B3" w:rsidRPr="003B5C8D" w:rsidRDefault="008940B3" w:rsidP="00E858EF">
            <w:pPr>
              <w:suppressAutoHyphens/>
              <w:jc w:val="center"/>
              <w:rPr>
                <w:sz w:val="16"/>
                <w:szCs w:val="16"/>
              </w:rPr>
            </w:pPr>
          </w:p>
        </w:tc>
        <w:tc>
          <w:tcPr>
            <w:tcW w:w="1146" w:type="dxa"/>
            <w:tcBorders>
              <w:top w:val="single" w:sz="6" w:space="0" w:color="000000"/>
              <w:left w:val="single" w:sz="6" w:space="0" w:color="000000"/>
              <w:bottom w:val="single" w:sz="6" w:space="0" w:color="000000"/>
              <w:right w:val="single" w:sz="6" w:space="0" w:color="000000"/>
            </w:tcBorders>
          </w:tcPr>
          <w:p w14:paraId="12D5590B" w14:textId="77777777" w:rsidR="008940B3" w:rsidRPr="003B5C8D" w:rsidRDefault="008940B3" w:rsidP="00E858EF">
            <w:pPr>
              <w:suppressAutoHyphens/>
              <w:jc w:val="center"/>
              <w:rPr>
                <w:color w:val="000000"/>
                <w:sz w:val="16"/>
                <w:szCs w:val="16"/>
              </w:rPr>
            </w:pPr>
          </w:p>
        </w:tc>
        <w:tc>
          <w:tcPr>
            <w:tcW w:w="992" w:type="dxa"/>
            <w:tcBorders>
              <w:top w:val="single" w:sz="6" w:space="0" w:color="000000"/>
              <w:left w:val="single" w:sz="6" w:space="0" w:color="000000"/>
              <w:bottom w:val="single" w:sz="6" w:space="0" w:color="000000"/>
              <w:right w:val="single" w:sz="6" w:space="0" w:color="000000"/>
            </w:tcBorders>
          </w:tcPr>
          <w:p w14:paraId="1DC5B96A"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tcPr>
          <w:p w14:paraId="4566D6BF" w14:textId="77777777" w:rsidR="008940B3" w:rsidRPr="003B5C8D" w:rsidRDefault="008940B3" w:rsidP="00E858EF">
            <w:pPr>
              <w:suppressAutoHyphens/>
              <w:jc w:val="center"/>
              <w:rPr>
                <w:color w:val="000000"/>
                <w:sz w:val="16"/>
                <w:szCs w:val="16"/>
              </w:rPr>
            </w:pPr>
            <w:r w:rsidRPr="003B5C8D">
              <w:rPr>
                <w:rFonts w:ascii="Lucida Grande" w:hAnsi="Lucida Grande" w:cs="Lucida Grande"/>
                <w:color w:val="000000"/>
                <w:sz w:val="16"/>
                <w:szCs w:val="16"/>
              </w:rPr>
              <w:t>✓</w:t>
            </w:r>
          </w:p>
        </w:tc>
        <w:tc>
          <w:tcPr>
            <w:tcW w:w="851" w:type="dxa"/>
            <w:tcBorders>
              <w:top w:val="single" w:sz="6" w:space="0" w:color="000000"/>
              <w:left w:val="single" w:sz="6" w:space="0" w:color="000000"/>
              <w:bottom w:val="single" w:sz="6" w:space="0" w:color="000000"/>
              <w:right w:val="single" w:sz="6" w:space="0" w:color="000000"/>
            </w:tcBorders>
          </w:tcPr>
          <w:p w14:paraId="154942EB" w14:textId="77777777" w:rsidR="008940B3" w:rsidRPr="003B5C8D" w:rsidRDefault="008940B3" w:rsidP="00E858EF">
            <w:pPr>
              <w:suppressAutoHyphens/>
              <w:jc w:val="center"/>
              <w:rPr>
                <w:color w:val="000000"/>
                <w:sz w:val="16"/>
                <w:szCs w:val="16"/>
              </w:rPr>
            </w:pPr>
          </w:p>
        </w:tc>
        <w:tc>
          <w:tcPr>
            <w:tcW w:w="851" w:type="dxa"/>
            <w:tcBorders>
              <w:top w:val="single" w:sz="6" w:space="0" w:color="000000"/>
              <w:left w:val="single" w:sz="6" w:space="0" w:color="000000"/>
              <w:bottom w:val="single" w:sz="6" w:space="0" w:color="000000"/>
              <w:right w:val="single" w:sz="6" w:space="0" w:color="000000"/>
            </w:tcBorders>
          </w:tcPr>
          <w:p w14:paraId="3698E991" w14:textId="77777777" w:rsidR="008940B3" w:rsidRPr="003B5C8D" w:rsidRDefault="008940B3" w:rsidP="00E858EF">
            <w:pPr>
              <w:suppressAutoHyphens/>
              <w:jc w:val="center"/>
              <w:rPr>
                <w:color w:val="000000"/>
                <w:sz w:val="16"/>
                <w:szCs w:val="16"/>
              </w:rPr>
            </w:pPr>
          </w:p>
        </w:tc>
      </w:tr>
    </w:tbl>
    <w:p w14:paraId="330F7F5E" w14:textId="095E9862"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7495F89C" w14:textId="77777777" w:rsidR="008940B3" w:rsidRDefault="008940B3" w:rsidP="00E858EF">
      <w:pPr>
        <w:pStyle w:val="Titolo4"/>
        <w:keepNext w:val="0"/>
        <w:keepLines w:val="0"/>
        <w:suppressAutoHyphens/>
        <w:ind w:left="864" w:hanging="864"/>
        <w:contextualSpacing w:val="0"/>
      </w:pPr>
      <w:bookmarkStart w:id="359" w:name="_Toc389131197"/>
      <w:bookmarkStart w:id="360" w:name="_Toc517876525"/>
      <w:r>
        <w:t>W</w:t>
      </w:r>
      <w:r w:rsidRPr="00B72C93">
        <w:t xml:space="preserve">hich deposition methods </w:t>
      </w:r>
      <w:r>
        <w:t>were</w:t>
      </w:r>
      <w:r w:rsidRPr="00B72C93">
        <w:t xml:space="preserve"> adopted in these cemeteries?</w:t>
      </w:r>
      <w:bookmarkEnd w:id="359"/>
      <w:bookmarkEnd w:id="360"/>
      <w:r w:rsidRPr="00B72C93">
        <w:t xml:space="preserve"> </w:t>
      </w:r>
    </w:p>
    <w:p w14:paraId="386F731B" w14:textId="77777777" w:rsidR="008940B3" w:rsidRDefault="008940B3" w:rsidP="00D31977">
      <w:r w:rsidRPr="003B5C8D">
        <w:t xml:space="preserve">Larnakes </w:t>
      </w:r>
      <w:r>
        <w:t>are</w:t>
      </w:r>
      <w:r w:rsidRPr="003B5C8D">
        <w:t xml:space="preserve"> associated with other type</w:t>
      </w:r>
      <w:r>
        <w:t>s</w:t>
      </w:r>
      <w:r w:rsidRPr="003B5C8D">
        <w:t xml:space="preserve"> of </w:t>
      </w:r>
      <w:r>
        <w:t>interment</w:t>
      </w:r>
      <w:r w:rsidRPr="003B5C8D">
        <w:t xml:space="preserve"> in 40% of the cemeteries. Deposition</w:t>
      </w:r>
      <w:r>
        <w:t>s i</w:t>
      </w:r>
      <w:r w:rsidRPr="003B5C8D">
        <w:t xml:space="preserve">n pithoi are the most common </w:t>
      </w:r>
      <w:r>
        <w:t>interment</w:t>
      </w:r>
      <w:r w:rsidRPr="003B5C8D">
        <w:t>, together with deposition</w:t>
      </w:r>
      <w:r>
        <w:t>s</w:t>
      </w:r>
      <w:r w:rsidRPr="003B5C8D">
        <w:t xml:space="preserve"> on the floor</w:t>
      </w:r>
      <w:r>
        <w:t xml:space="preserve">. Wooden biers/coffins are probably attested at Elounda </w:t>
      </w:r>
      <w:r w:rsidRPr="003B5C8D">
        <w:t>in tombs</w:t>
      </w:r>
      <w:r>
        <w:t xml:space="preserve"> with no larnakes. At Elounda, three different types of interment are attested, although not in the same tomb. Pyxides</w:t>
      </w:r>
      <w:r w:rsidRPr="003B5C8D">
        <w:t xml:space="preserve"> with cremated burials inside </w:t>
      </w:r>
      <w:r>
        <w:t>were</w:t>
      </w:r>
      <w:r w:rsidRPr="003B5C8D">
        <w:t xml:space="preserve"> found at Malia </w:t>
      </w:r>
      <w:r w:rsidRPr="00B04544">
        <w:rPr>
          <w:i/>
        </w:rPr>
        <w:t>Maison des Mortes</w:t>
      </w:r>
      <w:r w:rsidRPr="003B5C8D">
        <w:t xml:space="preserve"> (</w:t>
      </w:r>
      <w:r>
        <w:t>Löwe 1996</w:t>
      </w:r>
      <w:r w:rsidRPr="003B5C8D">
        <w:t>: 237 n. 496; Langohr 2009: 81-82).</w:t>
      </w:r>
      <w:r>
        <w:t xml:space="preserve"> In Tomb B at Kritsa Katharos, two large pyxides with the cremated bones of four individuals were found together with an inhumation in a clay bier, which has no parallels within other burial contexts in Crete (Tsipopoulou and Vagnetti 2006: 207). </w:t>
      </w:r>
    </w:p>
    <w:p w14:paraId="269FA528"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558FBAE8" w14:textId="2D75CB94" w:rsidR="008940B3" w:rsidRPr="003B5C8D" w:rsidRDefault="008940B3" w:rsidP="00E858EF">
      <w:pPr>
        <w:pStyle w:val="Testofumetto"/>
        <w:suppressAutoHyphens/>
      </w:pPr>
      <w:bookmarkStart w:id="361" w:name="_Toc520212547"/>
      <w:r>
        <w:t>Table 3-58. Deposition methods adopted in the cemeteries with larnakes</w:t>
      </w:r>
      <w:r w:rsidR="005E1C18">
        <w:t>,</w:t>
      </w:r>
      <w:r>
        <w:t xml:space="preserve"> Mid-East area</w:t>
      </w:r>
      <w:bookmarkEnd w:id="361"/>
    </w:p>
    <w:tbl>
      <w:tblPr>
        <w:tblW w:w="8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992"/>
        <w:gridCol w:w="851"/>
        <w:gridCol w:w="730"/>
        <w:gridCol w:w="687"/>
        <w:gridCol w:w="426"/>
        <w:gridCol w:w="708"/>
        <w:gridCol w:w="851"/>
        <w:gridCol w:w="709"/>
        <w:gridCol w:w="1134"/>
        <w:gridCol w:w="423"/>
      </w:tblGrid>
      <w:tr w:rsidR="008940B3" w:rsidRPr="00D31977" w14:paraId="07C0EDFA" w14:textId="77777777" w:rsidTr="00D31977">
        <w:trPr>
          <w:trHeight w:val="440"/>
        </w:trPr>
        <w:tc>
          <w:tcPr>
            <w:tcW w:w="1384" w:type="dxa"/>
          </w:tcPr>
          <w:p w14:paraId="06024C26" w14:textId="77777777" w:rsidR="008940B3" w:rsidRPr="00D31977" w:rsidRDefault="008940B3" w:rsidP="00E858EF">
            <w:pPr>
              <w:suppressAutoHyphens/>
              <w:jc w:val="left"/>
              <w:rPr>
                <w:color w:val="000000"/>
                <w:sz w:val="14"/>
                <w:szCs w:val="18"/>
              </w:rPr>
            </w:pPr>
            <w:r w:rsidRPr="00D31977">
              <w:rPr>
                <w:rFonts w:eastAsia="Times New Roman"/>
                <w:bCs/>
                <w:sz w:val="14"/>
                <w:szCs w:val="18"/>
              </w:rPr>
              <w:t>CEMETERIES</w:t>
            </w:r>
          </w:p>
        </w:tc>
        <w:tc>
          <w:tcPr>
            <w:tcW w:w="992" w:type="dxa"/>
          </w:tcPr>
          <w:p w14:paraId="212FF691" w14:textId="77777777" w:rsidR="008940B3" w:rsidRPr="00D31977" w:rsidRDefault="008940B3" w:rsidP="00E858EF">
            <w:pPr>
              <w:suppressAutoHyphens/>
              <w:jc w:val="left"/>
              <w:rPr>
                <w:color w:val="000000"/>
                <w:sz w:val="14"/>
                <w:szCs w:val="18"/>
              </w:rPr>
            </w:pPr>
            <w:r w:rsidRPr="00D31977">
              <w:rPr>
                <w:color w:val="000000"/>
                <w:sz w:val="14"/>
                <w:szCs w:val="18"/>
              </w:rPr>
              <w:t>CLAY LARNAKES</w:t>
            </w:r>
          </w:p>
        </w:tc>
        <w:tc>
          <w:tcPr>
            <w:tcW w:w="851" w:type="dxa"/>
            <w:hideMark/>
          </w:tcPr>
          <w:p w14:paraId="4812EB52" w14:textId="77777777" w:rsidR="008940B3" w:rsidRPr="00D31977" w:rsidRDefault="008940B3" w:rsidP="00E858EF">
            <w:pPr>
              <w:suppressAutoHyphens/>
              <w:jc w:val="left"/>
              <w:rPr>
                <w:color w:val="000000"/>
                <w:sz w:val="14"/>
                <w:szCs w:val="18"/>
              </w:rPr>
            </w:pPr>
            <w:r w:rsidRPr="00D31977">
              <w:rPr>
                <w:color w:val="000000"/>
                <w:sz w:val="14"/>
                <w:szCs w:val="18"/>
              </w:rPr>
              <w:t>WOODEN BIER/</w:t>
            </w:r>
          </w:p>
          <w:p w14:paraId="18DA900B" w14:textId="77777777" w:rsidR="008940B3" w:rsidRPr="00D31977" w:rsidRDefault="008940B3" w:rsidP="00E858EF">
            <w:pPr>
              <w:suppressAutoHyphens/>
              <w:jc w:val="left"/>
              <w:rPr>
                <w:sz w:val="14"/>
                <w:szCs w:val="18"/>
              </w:rPr>
            </w:pPr>
            <w:r w:rsidRPr="00D31977">
              <w:rPr>
                <w:color w:val="000000"/>
                <w:sz w:val="14"/>
                <w:szCs w:val="18"/>
              </w:rPr>
              <w:t>COFFIN</w:t>
            </w:r>
          </w:p>
        </w:tc>
        <w:tc>
          <w:tcPr>
            <w:tcW w:w="730" w:type="dxa"/>
          </w:tcPr>
          <w:p w14:paraId="13D4B504" w14:textId="77777777" w:rsidR="008940B3" w:rsidRPr="00D31977" w:rsidRDefault="008940B3" w:rsidP="00E858EF">
            <w:pPr>
              <w:suppressAutoHyphens/>
              <w:jc w:val="left"/>
              <w:rPr>
                <w:color w:val="000000"/>
                <w:sz w:val="14"/>
                <w:szCs w:val="18"/>
              </w:rPr>
            </w:pPr>
            <w:r w:rsidRPr="00D31977">
              <w:rPr>
                <w:color w:val="000000"/>
                <w:sz w:val="14"/>
                <w:szCs w:val="18"/>
              </w:rPr>
              <w:t>CLAY BIER</w:t>
            </w:r>
          </w:p>
        </w:tc>
        <w:tc>
          <w:tcPr>
            <w:tcW w:w="687" w:type="dxa"/>
            <w:hideMark/>
          </w:tcPr>
          <w:p w14:paraId="623104B6" w14:textId="77777777" w:rsidR="008940B3" w:rsidRPr="00D31977" w:rsidRDefault="008940B3" w:rsidP="00E858EF">
            <w:pPr>
              <w:suppressAutoHyphens/>
              <w:jc w:val="left"/>
              <w:rPr>
                <w:sz w:val="14"/>
                <w:szCs w:val="18"/>
              </w:rPr>
            </w:pPr>
            <w:r w:rsidRPr="00D31977">
              <w:rPr>
                <w:color w:val="000000"/>
                <w:sz w:val="14"/>
                <w:szCs w:val="18"/>
              </w:rPr>
              <w:t>FLOOR</w:t>
            </w:r>
          </w:p>
        </w:tc>
        <w:tc>
          <w:tcPr>
            <w:tcW w:w="426" w:type="dxa"/>
          </w:tcPr>
          <w:p w14:paraId="0D8EA50B" w14:textId="77777777" w:rsidR="008940B3" w:rsidRPr="00D31977" w:rsidRDefault="008940B3" w:rsidP="00E858EF">
            <w:pPr>
              <w:suppressAutoHyphens/>
              <w:jc w:val="left"/>
              <w:rPr>
                <w:color w:val="000000"/>
                <w:sz w:val="14"/>
                <w:szCs w:val="18"/>
              </w:rPr>
            </w:pPr>
            <w:r w:rsidRPr="00D31977">
              <w:rPr>
                <w:color w:val="000000"/>
                <w:sz w:val="14"/>
                <w:szCs w:val="18"/>
              </w:rPr>
              <w:t>PIT</w:t>
            </w:r>
          </w:p>
        </w:tc>
        <w:tc>
          <w:tcPr>
            <w:tcW w:w="708" w:type="dxa"/>
          </w:tcPr>
          <w:p w14:paraId="345E5231" w14:textId="77777777" w:rsidR="008940B3" w:rsidRPr="00D31977" w:rsidRDefault="008940B3" w:rsidP="00E858EF">
            <w:pPr>
              <w:suppressAutoHyphens/>
              <w:jc w:val="left"/>
              <w:rPr>
                <w:color w:val="000000"/>
                <w:sz w:val="14"/>
                <w:szCs w:val="18"/>
              </w:rPr>
            </w:pPr>
            <w:r w:rsidRPr="00D31977">
              <w:rPr>
                <w:color w:val="000000"/>
                <w:sz w:val="14"/>
                <w:szCs w:val="18"/>
              </w:rPr>
              <w:t>BENCH</w:t>
            </w:r>
          </w:p>
        </w:tc>
        <w:tc>
          <w:tcPr>
            <w:tcW w:w="851" w:type="dxa"/>
          </w:tcPr>
          <w:p w14:paraId="2183E84F" w14:textId="77777777" w:rsidR="008940B3" w:rsidRPr="00D31977" w:rsidRDefault="008940B3" w:rsidP="00E858EF">
            <w:pPr>
              <w:suppressAutoHyphens/>
              <w:jc w:val="left"/>
              <w:rPr>
                <w:color w:val="000000"/>
                <w:sz w:val="14"/>
                <w:szCs w:val="18"/>
              </w:rPr>
            </w:pPr>
            <w:r w:rsidRPr="00D31977">
              <w:rPr>
                <w:color w:val="000000"/>
                <w:sz w:val="14"/>
                <w:szCs w:val="18"/>
              </w:rPr>
              <w:t>DROMOS</w:t>
            </w:r>
          </w:p>
        </w:tc>
        <w:tc>
          <w:tcPr>
            <w:tcW w:w="709" w:type="dxa"/>
          </w:tcPr>
          <w:p w14:paraId="5C73F59D" w14:textId="77777777" w:rsidR="008940B3" w:rsidRPr="00D31977" w:rsidRDefault="008940B3" w:rsidP="00E858EF">
            <w:pPr>
              <w:suppressAutoHyphens/>
              <w:jc w:val="left"/>
              <w:rPr>
                <w:color w:val="000000"/>
                <w:sz w:val="14"/>
                <w:szCs w:val="18"/>
              </w:rPr>
            </w:pPr>
            <w:r w:rsidRPr="00D31977">
              <w:rPr>
                <w:color w:val="000000"/>
                <w:sz w:val="14"/>
                <w:szCs w:val="18"/>
              </w:rPr>
              <w:t>PITHOS</w:t>
            </w:r>
          </w:p>
        </w:tc>
        <w:tc>
          <w:tcPr>
            <w:tcW w:w="1134" w:type="dxa"/>
          </w:tcPr>
          <w:p w14:paraId="1A0AFDB8" w14:textId="77777777" w:rsidR="00D31977" w:rsidRDefault="008940B3" w:rsidP="00E858EF">
            <w:pPr>
              <w:suppressAutoHyphens/>
              <w:jc w:val="left"/>
              <w:rPr>
                <w:sz w:val="14"/>
                <w:szCs w:val="18"/>
              </w:rPr>
            </w:pPr>
            <w:r w:rsidRPr="00D31977">
              <w:rPr>
                <w:sz w:val="14"/>
                <w:szCs w:val="18"/>
              </w:rPr>
              <w:t>VASE</w:t>
            </w:r>
            <w:r w:rsidR="00B50C69" w:rsidRPr="00D31977">
              <w:rPr>
                <w:sz w:val="14"/>
                <w:szCs w:val="18"/>
              </w:rPr>
              <w:t xml:space="preserve">  </w:t>
            </w:r>
          </w:p>
          <w:p w14:paraId="74C8D792" w14:textId="3BD94A7A" w:rsidR="00B50C69" w:rsidRPr="00D31977" w:rsidRDefault="008940B3" w:rsidP="00E858EF">
            <w:pPr>
              <w:suppressAutoHyphens/>
              <w:jc w:val="left"/>
              <w:rPr>
                <w:sz w:val="14"/>
                <w:szCs w:val="18"/>
              </w:rPr>
            </w:pPr>
            <w:r w:rsidRPr="00D31977">
              <w:rPr>
                <w:sz w:val="14"/>
                <w:szCs w:val="18"/>
              </w:rPr>
              <w:t>(ASHES)/</w:t>
            </w:r>
          </w:p>
          <w:p w14:paraId="5F9C717D" w14:textId="2B22E571" w:rsidR="008940B3" w:rsidRPr="00D31977" w:rsidRDefault="008940B3" w:rsidP="00E858EF">
            <w:pPr>
              <w:suppressAutoHyphens/>
              <w:jc w:val="left"/>
              <w:rPr>
                <w:sz w:val="14"/>
                <w:szCs w:val="18"/>
              </w:rPr>
            </w:pPr>
            <w:r w:rsidRPr="00D31977">
              <w:rPr>
                <w:sz w:val="14"/>
                <w:szCs w:val="18"/>
              </w:rPr>
              <w:t>CREMATION</w:t>
            </w:r>
          </w:p>
        </w:tc>
        <w:tc>
          <w:tcPr>
            <w:tcW w:w="423" w:type="dxa"/>
            <w:hideMark/>
          </w:tcPr>
          <w:p w14:paraId="0FBAAE64" w14:textId="77777777" w:rsidR="008940B3" w:rsidRPr="00D31977" w:rsidRDefault="008940B3" w:rsidP="00E858EF">
            <w:pPr>
              <w:suppressAutoHyphens/>
              <w:jc w:val="left"/>
              <w:rPr>
                <w:sz w:val="14"/>
                <w:szCs w:val="18"/>
              </w:rPr>
            </w:pPr>
            <w:r w:rsidRPr="00D31977">
              <w:rPr>
                <w:sz w:val="14"/>
                <w:szCs w:val="18"/>
              </w:rPr>
              <w:t>N/A</w:t>
            </w:r>
          </w:p>
        </w:tc>
      </w:tr>
      <w:tr w:rsidR="008940B3" w:rsidRPr="00D31977" w14:paraId="49B81A13" w14:textId="77777777" w:rsidTr="00D31977">
        <w:trPr>
          <w:trHeight w:val="175"/>
        </w:trPr>
        <w:tc>
          <w:tcPr>
            <w:tcW w:w="1384" w:type="dxa"/>
          </w:tcPr>
          <w:p w14:paraId="0F76336A" w14:textId="77777777" w:rsidR="008940B3" w:rsidRPr="00D31977" w:rsidRDefault="008940B3" w:rsidP="00E858EF">
            <w:pPr>
              <w:suppressAutoHyphens/>
              <w:jc w:val="left"/>
              <w:rPr>
                <w:color w:val="000000"/>
                <w:sz w:val="16"/>
                <w:szCs w:val="18"/>
              </w:rPr>
            </w:pPr>
            <w:r w:rsidRPr="00D31977">
              <w:rPr>
                <w:rFonts w:eastAsia="Times New Roman"/>
                <w:sz w:val="16"/>
                <w:szCs w:val="18"/>
              </w:rPr>
              <w:t>ELOUNDA</w:t>
            </w:r>
          </w:p>
        </w:tc>
        <w:tc>
          <w:tcPr>
            <w:tcW w:w="992" w:type="dxa"/>
          </w:tcPr>
          <w:p w14:paraId="449F27B3" w14:textId="77777777" w:rsidR="008940B3" w:rsidRPr="00D31977" w:rsidRDefault="008940B3" w:rsidP="00E858EF">
            <w:pPr>
              <w:suppressAutoHyphens/>
              <w:jc w:val="left"/>
              <w:rPr>
                <w:sz w:val="16"/>
                <w:szCs w:val="18"/>
              </w:rPr>
            </w:pPr>
            <w:r w:rsidRPr="00D31977">
              <w:rPr>
                <w:rFonts w:ascii="Lucida Grande" w:hAnsi="Lucida Grande" w:cs="Lucida Grande"/>
                <w:color w:val="000000"/>
                <w:sz w:val="16"/>
                <w:szCs w:val="18"/>
              </w:rPr>
              <w:t>✓</w:t>
            </w:r>
          </w:p>
        </w:tc>
        <w:tc>
          <w:tcPr>
            <w:tcW w:w="851" w:type="dxa"/>
            <w:hideMark/>
          </w:tcPr>
          <w:p w14:paraId="28C2CEBA" w14:textId="77777777" w:rsidR="008940B3" w:rsidRPr="00D31977" w:rsidRDefault="008940B3" w:rsidP="00E858EF">
            <w:pPr>
              <w:suppressAutoHyphens/>
              <w:jc w:val="left"/>
              <w:rPr>
                <w:sz w:val="16"/>
                <w:szCs w:val="18"/>
              </w:rPr>
            </w:pPr>
            <w:r w:rsidRPr="00D31977">
              <w:rPr>
                <w:rFonts w:ascii="Lucida Grande" w:hAnsi="Lucida Grande" w:cs="Lucida Grande"/>
                <w:color w:val="000000"/>
                <w:sz w:val="16"/>
                <w:szCs w:val="18"/>
              </w:rPr>
              <w:t>✓</w:t>
            </w:r>
          </w:p>
        </w:tc>
        <w:tc>
          <w:tcPr>
            <w:tcW w:w="730" w:type="dxa"/>
          </w:tcPr>
          <w:p w14:paraId="54818119" w14:textId="77777777" w:rsidR="008940B3" w:rsidRPr="00D31977" w:rsidRDefault="008940B3" w:rsidP="00E858EF">
            <w:pPr>
              <w:suppressAutoHyphens/>
              <w:jc w:val="left"/>
              <w:rPr>
                <w:sz w:val="16"/>
                <w:szCs w:val="18"/>
              </w:rPr>
            </w:pPr>
          </w:p>
        </w:tc>
        <w:tc>
          <w:tcPr>
            <w:tcW w:w="687" w:type="dxa"/>
            <w:hideMark/>
          </w:tcPr>
          <w:p w14:paraId="07427985" w14:textId="77777777" w:rsidR="008940B3" w:rsidRPr="00D31977" w:rsidRDefault="008940B3" w:rsidP="00E858EF">
            <w:pPr>
              <w:suppressAutoHyphens/>
              <w:jc w:val="left"/>
              <w:rPr>
                <w:sz w:val="16"/>
                <w:szCs w:val="18"/>
              </w:rPr>
            </w:pPr>
          </w:p>
        </w:tc>
        <w:tc>
          <w:tcPr>
            <w:tcW w:w="426" w:type="dxa"/>
          </w:tcPr>
          <w:p w14:paraId="1C3CAA33" w14:textId="77777777" w:rsidR="008940B3" w:rsidRPr="00D31977" w:rsidRDefault="008940B3" w:rsidP="00E858EF">
            <w:pPr>
              <w:suppressAutoHyphens/>
              <w:jc w:val="left"/>
              <w:rPr>
                <w:sz w:val="16"/>
                <w:szCs w:val="18"/>
              </w:rPr>
            </w:pPr>
          </w:p>
        </w:tc>
        <w:tc>
          <w:tcPr>
            <w:tcW w:w="708" w:type="dxa"/>
          </w:tcPr>
          <w:p w14:paraId="5E5A39EC" w14:textId="77777777" w:rsidR="008940B3" w:rsidRPr="00D31977" w:rsidRDefault="008940B3" w:rsidP="00E858EF">
            <w:pPr>
              <w:suppressAutoHyphens/>
              <w:jc w:val="left"/>
              <w:rPr>
                <w:sz w:val="16"/>
                <w:szCs w:val="18"/>
              </w:rPr>
            </w:pPr>
          </w:p>
        </w:tc>
        <w:tc>
          <w:tcPr>
            <w:tcW w:w="851" w:type="dxa"/>
          </w:tcPr>
          <w:p w14:paraId="466CF2F1" w14:textId="77777777" w:rsidR="008940B3" w:rsidRPr="00D31977" w:rsidRDefault="008940B3" w:rsidP="00E858EF">
            <w:pPr>
              <w:suppressAutoHyphens/>
              <w:jc w:val="left"/>
              <w:rPr>
                <w:sz w:val="16"/>
                <w:szCs w:val="18"/>
              </w:rPr>
            </w:pPr>
          </w:p>
        </w:tc>
        <w:tc>
          <w:tcPr>
            <w:tcW w:w="709" w:type="dxa"/>
          </w:tcPr>
          <w:p w14:paraId="5CB0EA14" w14:textId="77777777" w:rsidR="008940B3" w:rsidRPr="00D31977" w:rsidRDefault="008940B3" w:rsidP="00E858EF">
            <w:pPr>
              <w:suppressAutoHyphens/>
              <w:jc w:val="left"/>
              <w:rPr>
                <w:sz w:val="16"/>
                <w:szCs w:val="18"/>
              </w:rPr>
            </w:pPr>
            <w:r w:rsidRPr="00D31977">
              <w:rPr>
                <w:rFonts w:ascii="Lucida Grande" w:hAnsi="Lucida Grande" w:cs="Lucida Grande"/>
                <w:color w:val="000000"/>
                <w:sz w:val="16"/>
                <w:szCs w:val="18"/>
              </w:rPr>
              <w:t>✓</w:t>
            </w:r>
          </w:p>
        </w:tc>
        <w:tc>
          <w:tcPr>
            <w:tcW w:w="1134" w:type="dxa"/>
          </w:tcPr>
          <w:p w14:paraId="0A10FC00" w14:textId="77777777" w:rsidR="008940B3" w:rsidRPr="00D31977" w:rsidRDefault="008940B3" w:rsidP="00E858EF">
            <w:pPr>
              <w:suppressAutoHyphens/>
              <w:jc w:val="left"/>
              <w:rPr>
                <w:sz w:val="16"/>
                <w:szCs w:val="18"/>
              </w:rPr>
            </w:pPr>
          </w:p>
        </w:tc>
        <w:tc>
          <w:tcPr>
            <w:tcW w:w="423" w:type="dxa"/>
            <w:hideMark/>
          </w:tcPr>
          <w:p w14:paraId="48A053B5" w14:textId="77777777" w:rsidR="008940B3" w:rsidRPr="00D31977" w:rsidRDefault="008940B3" w:rsidP="00E858EF">
            <w:pPr>
              <w:suppressAutoHyphens/>
              <w:jc w:val="left"/>
              <w:rPr>
                <w:sz w:val="16"/>
                <w:szCs w:val="18"/>
              </w:rPr>
            </w:pPr>
          </w:p>
        </w:tc>
      </w:tr>
      <w:tr w:rsidR="008940B3" w:rsidRPr="00D31977" w14:paraId="0F2B64FF" w14:textId="77777777" w:rsidTr="00D31977">
        <w:trPr>
          <w:trHeight w:val="175"/>
        </w:trPr>
        <w:tc>
          <w:tcPr>
            <w:tcW w:w="1384" w:type="dxa"/>
          </w:tcPr>
          <w:p w14:paraId="36CD2425" w14:textId="77777777" w:rsidR="008940B3" w:rsidRPr="00D31977" w:rsidRDefault="008940B3" w:rsidP="00E858EF">
            <w:pPr>
              <w:suppressAutoHyphens/>
              <w:jc w:val="left"/>
              <w:rPr>
                <w:color w:val="000000"/>
                <w:sz w:val="16"/>
                <w:szCs w:val="18"/>
              </w:rPr>
            </w:pPr>
            <w:r w:rsidRPr="00D31977">
              <w:rPr>
                <w:rFonts w:eastAsia="Times New Roman"/>
                <w:sz w:val="16"/>
                <w:szCs w:val="18"/>
              </w:rPr>
              <w:t>KARPHI</w:t>
            </w:r>
          </w:p>
        </w:tc>
        <w:tc>
          <w:tcPr>
            <w:tcW w:w="992" w:type="dxa"/>
          </w:tcPr>
          <w:p w14:paraId="76F05FBA" w14:textId="77777777" w:rsidR="008940B3" w:rsidRPr="00D31977" w:rsidRDefault="008940B3" w:rsidP="00E858EF">
            <w:pPr>
              <w:suppressAutoHyphens/>
              <w:jc w:val="left"/>
              <w:rPr>
                <w:color w:val="000000"/>
                <w:sz w:val="16"/>
                <w:szCs w:val="18"/>
              </w:rPr>
            </w:pPr>
            <w:r w:rsidRPr="00D31977">
              <w:rPr>
                <w:rFonts w:ascii="Lucida Grande" w:hAnsi="Lucida Grande" w:cs="Lucida Grande"/>
                <w:color w:val="000000"/>
                <w:sz w:val="16"/>
                <w:szCs w:val="18"/>
              </w:rPr>
              <w:t>✓</w:t>
            </w:r>
          </w:p>
        </w:tc>
        <w:tc>
          <w:tcPr>
            <w:tcW w:w="851" w:type="dxa"/>
            <w:hideMark/>
          </w:tcPr>
          <w:p w14:paraId="7E955CED" w14:textId="77777777" w:rsidR="008940B3" w:rsidRPr="00D31977" w:rsidRDefault="008940B3" w:rsidP="00E858EF">
            <w:pPr>
              <w:suppressAutoHyphens/>
              <w:jc w:val="left"/>
              <w:rPr>
                <w:sz w:val="16"/>
                <w:szCs w:val="18"/>
              </w:rPr>
            </w:pPr>
          </w:p>
        </w:tc>
        <w:tc>
          <w:tcPr>
            <w:tcW w:w="730" w:type="dxa"/>
          </w:tcPr>
          <w:p w14:paraId="431AE1C4" w14:textId="77777777" w:rsidR="008940B3" w:rsidRPr="00D31977" w:rsidRDefault="008940B3" w:rsidP="00E858EF">
            <w:pPr>
              <w:suppressAutoHyphens/>
              <w:jc w:val="left"/>
              <w:rPr>
                <w:sz w:val="16"/>
                <w:szCs w:val="18"/>
              </w:rPr>
            </w:pPr>
          </w:p>
        </w:tc>
        <w:tc>
          <w:tcPr>
            <w:tcW w:w="687" w:type="dxa"/>
            <w:hideMark/>
          </w:tcPr>
          <w:p w14:paraId="7953E4CE" w14:textId="77777777" w:rsidR="008940B3" w:rsidRPr="00D31977" w:rsidRDefault="008940B3" w:rsidP="00E858EF">
            <w:pPr>
              <w:suppressAutoHyphens/>
              <w:jc w:val="left"/>
              <w:rPr>
                <w:sz w:val="16"/>
                <w:szCs w:val="18"/>
              </w:rPr>
            </w:pPr>
          </w:p>
        </w:tc>
        <w:tc>
          <w:tcPr>
            <w:tcW w:w="426" w:type="dxa"/>
          </w:tcPr>
          <w:p w14:paraId="227DB36A" w14:textId="77777777" w:rsidR="008940B3" w:rsidRPr="00D31977" w:rsidRDefault="008940B3" w:rsidP="00E858EF">
            <w:pPr>
              <w:suppressAutoHyphens/>
              <w:jc w:val="left"/>
              <w:rPr>
                <w:sz w:val="16"/>
                <w:szCs w:val="18"/>
              </w:rPr>
            </w:pPr>
          </w:p>
        </w:tc>
        <w:tc>
          <w:tcPr>
            <w:tcW w:w="708" w:type="dxa"/>
          </w:tcPr>
          <w:p w14:paraId="4B58B7A8" w14:textId="77777777" w:rsidR="008940B3" w:rsidRPr="00D31977" w:rsidRDefault="008940B3" w:rsidP="00E858EF">
            <w:pPr>
              <w:suppressAutoHyphens/>
              <w:jc w:val="left"/>
              <w:rPr>
                <w:sz w:val="16"/>
                <w:szCs w:val="18"/>
              </w:rPr>
            </w:pPr>
          </w:p>
        </w:tc>
        <w:tc>
          <w:tcPr>
            <w:tcW w:w="851" w:type="dxa"/>
          </w:tcPr>
          <w:p w14:paraId="258A932E" w14:textId="77777777" w:rsidR="008940B3" w:rsidRPr="00D31977" w:rsidRDefault="008940B3" w:rsidP="00E858EF">
            <w:pPr>
              <w:suppressAutoHyphens/>
              <w:jc w:val="left"/>
              <w:rPr>
                <w:sz w:val="16"/>
                <w:szCs w:val="18"/>
              </w:rPr>
            </w:pPr>
          </w:p>
        </w:tc>
        <w:tc>
          <w:tcPr>
            <w:tcW w:w="709" w:type="dxa"/>
          </w:tcPr>
          <w:p w14:paraId="503D1BCF" w14:textId="77777777" w:rsidR="008940B3" w:rsidRPr="00D31977" w:rsidRDefault="008940B3" w:rsidP="00E858EF">
            <w:pPr>
              <w:suppressAutoHyphens/>
              <w:jc w:val="left"/>
              <w:rPr>
                <w:sz w:val="16"/>
                <w:szCs w:val="18"/>
              </w:rPr>
            </w:pPr>
          </w:p>
        </w:tc>
        <w:tc>
          <w:tcPr>
            <w:tcW w:w="1134" w:type="dxa"/>
          </w:tcPr>
          <w:p w14:paraId="5360B4B5" w14:textId="77777777" w:rsidR="008940B3" w:rsidRPr="00D31977" w:rsidRDefault="008940B3" w:rsidP="00E858EF">
            <w:pPr>
              <w:suppressAutoHyphens/>
              <w:jc w:val="left"/>
              <w:rPr>
                <w:sz w:val="16"/>
                <w:szCs w:val="18"/>
              </w:rPr>
            </w:pPr>
          </w:p>
        </w:tc>
        <w:tc>
          <w:tcPr>
            <w:tcW w:w="423" w:type="dxa"/>
            <w:hideMark/>
          </w:tcPr>
          <w:p w14:paraId="40015BCC" w14:textId="77777777" w:rsidR="008940B3" w:rsidRPr="00D31977" w:rsidRDefault="008940B3" w:rsidP="00E858EF">
            <w:pPr>
              <w:suppressAutoHyphens/>
              <w:jc w:val="left"/>
              <w:rPr>
                <w:sz w:val="16"/>
                <w:szCs w:val="18"/>
              </w:rPr>
            </w:pPr>
          </w:p>
        </w:tc>
      </w:tr>
      <w:tr w:rsidR="008940B3" w:rsidRPr="00D31977" w14:paraId="740EACB7" w14:textId="77777777" w:rsidTr="00D31977">
        <w:trPr>
          <w:trHeight w:val="175"/>
        </w:trPr>
        <w:tc>
          <w:tcPr>
            <w:tcW w:w="1384" w:type="dxa"/>
          </w:tcPr>
          <w:p w14:paraId="0ECE53D8" w14:textId="77777777" w:rsidR="008940B3" w:rsidRPr="00D31977" w:rsidRDefault="008940B3" w:rsidP="00E858EF">
            <w:pPr>
              <w:suppressAutoHyphens/>
              <w:jc w:val="left"/>
              <w:rPr>
                <w:color w:val="000000"/>
                <w:sz w:val="16"/>
                <w:szCs w:val="18"/>
              </w:rPr>
            </w:pPr>
            <w:r w:rsidRPr="00D31977">
              <w:rPr>
                <w:rFonts w:eastAsia="Times New Roman"/>
                <w:sz w:val="16"/>
                <w:szCs w:val="18"/>
              </w:rPr>
              <w:t>KRITSA</w:t>
            </w:r>
          </w:p>
        </w:tc>
        <w:tc>
          <w:tcPr>
            <w:tcW w:w="992" w:type="dxa"/>
          </w:tcPr>
          <w:p w14:paraId="1C734AB4" w14:textId="77777777" w:rsidR="008940B3" w:rsidRPr="00D31977" w:rsidRDefault="008940B3" w:rsidP="00E858EF">
            <w:pPr>
              <w:suppressAutoHyphens/>
              <w:jc w:val="left"/>
              <w:rPr>
                <w:sz w:val="16"/>
                <w:szCs w:val="18"/>
              </w:rPr>
            </w:pPr>
            <w:r w:rsidRPr="00D31977">
              <w:rPr>
                <w:rFonts w:ascii="Lucida Grande" w:hAnsi="Lucida Grande" w:cs="Lucida Grande"/>
                <w:color w:val="000000"/>
                <w:sz w:val="16"/>
                <w:szCs w:val="18"/>
              </w:rPr>
              <w:t>✓</w:t>
            </w:r>
          </w:p>
        </w:tc>
        <w:tc>
          <w:tcPr>
            <w:tcW w:w="851" w:type="dxa"/>
            <w:hideMark/>
          </w:tcPr>
          <w:p w14:paraId="0E05AEF0" w14:textId="77777777" w:rsidR="008940B3" w:rsidRPr="00D31977" w:rsidRDefault="008940B3" w:rsidP="00E858EF">
            <w:pPr>
              <w:suppressAutoHyphens/>
              <w:jc w:val="left"/>
              <w:rPr>
                <w:sz w:val="16"/>
                <w:szCs w:val="18"/>
              </w:rPr>
            </w:pPr>
          </w:p>
        </w:tc>
        <w:tc>
          <w:tcPr>
            <w:tcW w:w="730" w:type="dxa"/>
          </w:tcPr>
          <w:p w14:paraId="0B14F4F9" w14:textId="77777777" w:rsidR="008940B3" w:rsidRPr="00D31977" w:rsidRDefault="008940B3" w:rsidP="00E858EF">
            <w:pPr>
              <w:suppressAutoHyphens/>
              <w:jc w:val="left"/>
              <w:rPr>
                <w:rFonts w:ascii="Lucida Grande" w:hAnsi="Lucida Grande" w:cs="Lucida Grande"/>
                <w:color w:val="000000"/>
                <w:sz w:val="16"/>
                <w:szCs w:val="18"/>
              </w:rPr>
            </w:pPr>
            <w:r w:rsidRPr="00D31977">
              <w:rPr>
                <w:rFonts w:ascii="Lucida Grande" w:hAnsi="Lucida Grande" w:cs="Lucida Grande"/>
                <w:color w:val="000000"/>
                <w:sz w:val="16"/>
                <w:szCs w:val="18"/>
              </w:rPr>
              <w:t>✓</w:t>
            </w:r>
          </w:p>
        </w:tc>
        <w:tc>
          <w:tcPr>
            <w:tcW w:w="687" w:type="dxa"/>
            <w:hideMark/>
          </w:tcPr>
          <w:p w14:paraId="3E06A862" w14:textId="77777777" w:rsidR="008940B3" w:rsidRPr="00D31977" w:rsidRDefault="008940B3" w:rsidP="00E858EF">
            <w:pPr>
              <w:suppressAutoHyphens/>
              <w:jc w:val="left"/>
              <w:rPr>
                <w:sz w:val="16"/>
                <w:szCs w:val="18"/>
              </w:rPr>
            </w:pPr>
            <w:r w:rsidRPr="00D31977">
              <w:rPr>
                <w:rFonts w:ascii="Lucida Grande" w:hAnsi="Lucida Grande" w:cs="Lucida Grande"/>
                <w:color w:val="000000"/>
                <w:sz w:val="16"/>
                <w:szCs w:val="18"/>
              </w:rPr>
              <w:t>✓</w:t>
            </w:r>
          </w:p>
        </w:tc>
        <w:tc>
          <w:tcPr>
            <w:tcW w:w="426" w:type="dxa"/>
          </w:tcPr>
          <w:p w14:paraId="20768CB9" w14:textId="77777777" w:rsidR="008940B3" w:rsidRPr="00D31977" w:rsidRDefault="008940B3" w:rsidP="00E858EF">
            <w:pPr>
              <w:suppressAutoHyphens/>
              <w:jc w:val="left"/>
              <w:rPr>
                <w:sz w:val="16"/>
                <w:szCs w:val="18"/>
              </w:rPr>
            </w:pPr>
          </w:p>
        </w:tc>
        <w:tc>
          <w:tcPr>
            <w:tcW w:w="708" w:type="dxa"/>
          </w:tcPr>
          <w:p w14:paraId="7F0155DE" w14:textId="77777777" w:rsidR="008940B3" w:rsidRPr="00D31977" w:rsidRDefault="008940B3" w:rsidP="00E858EF">
            <w:pPr>
              <w:suppressAutoHyphens/>
              <w:jc w:val="left"/>
              <w:rPr>
                <w:sz w:val="16"/>
                <w:szCs w:val="18"/>
              </w:rPr>
            </w:pPr>
          </w:p>
        </w:tc>
        <w:tc>
          <w:tcPr>
            <w:tcW w:w="851" w:type="dxa"/>
          </w:tcPr>
          <w:p w14:paraId="71481C7B" w14:textId="77777777" w:rsidR="008940B3" w:rsidRPr="00D31977" w:rsidRDefault="008940B3" w:rsidP="00E858EF">
            <w:pPr>
              <w:suppressAutoHyphens/>
              <w:jc w:val="left"/>
              <w:rPr>
                <w:sz w:val="16"/>
                <w:szCs w:val="18"/>
              </w:rPr>
            </w:pPr>
          </w:p>
        </w:tc>
        <w:tc>
          <w:tcPr>
            <w:tcW w:w="709" w:type="dxa"/>
          </w:tcPr>
          <w:p w14:paraId="76799E2E" w14:textId="77777777" w:rsidR="008940B3" w:rsidRPr="00D31977" w:rsidRDefault="008940B3" w:rsidP="00E858EF">
            <w:pPr>
              <w:suppressAutoHyphens/>
              <w:jc w:val="left"/>
              <w:rPr>
                <w:sz w:val="16"/>
                <w:szCs w:val="18"/>
              </w:rPr>
            </w:pPr>
            <w:r w:rsidRPr="00D31977">
              <w:rPr>
                <w:rFonts w:ascii="Lucida Grande" w:hAnsi="Lucida Grande" w:cs="Lucida Grande"/>
                <w:color w:val="000000"/>
                <w:sz w:val="16"/>
                <w:szCs w:val="18"/>
              </w:rPr>
              <w:t>✓</w:t>
            </w:r>
          </w:p>
        </w:tc>
        <w:tc>
          <w:tcPr>
            <w:tcW w:w="1134" w:type="dxa"/>
          </w:tcPr>
          <w:p w14:paraId="32B64286" w14:textId="77777777" w:rsidR="008940B3" w:rsidRPr="00D31977" w:rsidRDefault="008940B3" w:rsidP="00E858EF">
            <w:pPr>
              <w:suppressAutoHyphens/>
              <w:jc w:val="left"/>
              <w:rPr>
                <w:color w:val="000000"/>
                <w:sz w:val="16"/>
                <w:szCs w:val="18"/>
              </w:rPr>
            </w:pPr>
            <w:r w:rsidRPr="00D31977">
              <w:rPr>
                <w:rFonts w:ascii="Lucida Grande" w:hAnsi="Lucida Grande" w:cs="Lucida Grande"/>
                <w:color w:val="000000"/>
                <w:sz w:val="16"/>
                <w:szCs w:val="18"/>
              </w:rPr>
              <w:t>✓</w:t>
            </w:r>
          </w:p>
        </w:tc>
        <w:tc>
          <w:tcPr>
            <w:tcW w:w="423" w:type="dxa"/>
            <w:hideMark/>
          </w:tcPr>
          <w:p w14:paraId="1522D33E" w14:textId="77777777" w:rsidR="008940B3" w:rsidRPr="00D31977" w:rsidRDefault="008940B3" w:rsidP="00E858EF">
            <w:pPr>
              <w:suppressAutoHyphens/>
              <w:jc w:val="left"/>
              <w:rPr>
                <w:sz w:val="16"/>
                <w:szCs w:val="18"/>
              </w:rPr>
            </w:pPr>
            <w:r w:rsidRPr="00D31977">
              <w:rPr>
                <w:rFonts w:ascii="Lucida Grande" w:hAnsi="Lucida Grande" w:cs="Lucida Grande"/>
                <w:color w:val="000000"/>
                <w:sz w:val="16"/>
                <w:szCs w:val="18"/>
              </w:rPr>
              <w:t>✓</w:t>
            </w:r>
          </w:p>
        </w:tc>
      </w:tr>
      <w:tr w:rsidR="008940B3" w:rsidRPr="00D31977" w14:paraId="3B6FF36D" w14:textId="77777777" w:rsidTr="00D31977">
        <w:trPr>
          <w:trHeight w:val="175"/>
        </w:trPr>
        <w:tc>
          <w:tcPr>
            <w:tcW w:w="1384" w:type="dxa"/>
          </w:tcPr>
          <w:p w14:paraId="7204D559" w14:textId="77777777" w:rsidR="008940B3" w:rsidRPr="00D31977" w:rsidRDefault="008940B3" w:rsidP="00E858EF">
            <w:pPr>
              <w:suppressAutoHyphens/>
              <w:jc w:val="left"/>
              <w:rPr>
                <w:color w:val="000000"/>
                <w:sz w:val="16"/>
                <w:szCs w:val="18"/>
              </w:rPr>
            </w:pPr>
            <w:r w:rsidRPr="00D31977">
              <w:rPr>
                <w:rFonts w:eastAsia="Times New Roman"/>
                <w:sz w:val="16"/>
                <w:szCs w:val="18"/>
              </w:rPr>
              <w:t>MALIA</w:t>
            </w:r>
          </w:p>
        </w:tc>
        <w:tc>
          <w:tcPr>
            <w:tcW w:w="992" w:type="dxa"/>
          </w:tcPr>
          <w:p w14:paraId="3E79B4B0" w14:textId="77777777" w:rsidR="008940B3" w:rsidRPr="00D31977" w:rsidRDefault="008940B3" w:rsidP="00E858EF">
            <w:pPr>
              <w:suppressAutoHyphens/>
              <w:jc w:val="left"/>
              <w:rPr>
                <w:color w:val="000000"/>
                <w:sz w:val="16"/>
                <w:szCs w:val="18"/>
              </w:rPr>
            </w:pPr>
            <w:r w:rsidRPr="00D31977">
              <w:rPr>
                <w:rFonts w:ascii="Lucida Grande" w:hAnsi="Lucida Grande" w:cs="Lucida Grande"/>
                <w:color w:val="000000"/>
                <w:sz w:val="16"/>
                <w:szCs w:val="18"/>
              </w:rPr>
              <w:t>✓</w:t>
            </w:r>
          </w:p>
        </w:tc>
        <w:tc>
          <w:tcPr>
            <w:tcW w:w="851" w:type="dxa"/>
            <w:hideMark/>
          </w:tcPr>
          <w:p w14:paraId="5E15996E" w14:textId="77777777" w:rsidR="008940B3" w:rsidRPr="00D31977" w:rsidRDefault="008940B3" w:rsidP="00E858EF">
            <w:pPr>
              <w:suppressAutoHyphens/>
              <w:jc w:val="left"/>
              <w:rPr>
                <w:sz w:val="16"/>
                <w:szCs w:val="18"/>
              </w:rPr>
            </w:pPr>
          </w:p>
        </w:tc>
        <w:tc>
          <w:tcPr>
            <w:tcW w:w="730" w:type="dxa"/>
          </w:tcPr>
          <w:p w14:paraId="7DABF476" w14:textId="77777777" w:rsidR="008940B3" w:rsidRPr="00D31977" w:rsidRDefault="008940B3" w:rsidP="00E858EF">
            <w:pPr>
              <w:suppressAutoHyphens/>
              <w:jc w:val="left"/>
              <w:rPr>
                <w:rFonts w:ascii="Lucida Grande" w:hAnsi="Lucida Grande" w:cs="Lucida Grande"/>
                <w:color w:val="000000"/>
                <w:sz w:val="16"/>
                <w:szCs w:val="18"/>
              </w:rPr>
            </w:pPr>
          </w:p>
        </w:tc>
        <w:tc>
          <w:tcPr>
            <w:tcW w:w="687" w:type="dxa"/>
            <w:hideMark/>
          </w:tcPr>
          <w:p w14:paraId="48CE5B76" w14:textId="77777777" w:rsidR="008940B3" w:rsidRPr="00D31977" w:rsidRDefault="008940B3" w:rsidP="00E858EF">
            <w:pPr>
              <w:suppressAutoHyphens/>
              <w:jc w:val="left"/>
              <w:rPr>
                <w:sz w:val="16"/>
                <w:szCs w:val="18"/>
              </w:rPr>
            </w:pPr>
            <w:r w:rsidRPr="00D31977">
              <w:rPr>
                <w:rFonts w:ascii="Lucida Grande" w:hAnsi="Lucida Grande" w:cs="Lucida Grande"/>
                <w:color w:val="000000"/>
                <w:sz w:val="16"/>
                <w:szCs w:val="18"/>
              </w:rPr>
              <w:t>✓</w:t>
            </w:r>
          </w:p>
        </w:tc>
        <w:tc>
          <w:tcPr>
            <w:tcW w:w="426" w:type="dxa"/>
          </w:tcPr>
          <w:p w14:paraId="2F979CCD" w14:textId="77777777" w:rsidR="008940B3" w:rsidRPr="00D31977" w:rsidRDefault="008940B3" w:rsidP="00E858EF">
            <w:pPr>
              <w:suppressAutoHyphens/>
              <w:jc w:val="left"/>
              <w:rPr>
                <w:sz w:val="16"/>
                <w:szCs w:val="18"/>
              </w:rPr>
            </w:pPr>
            <w:r w:rsidRPr="00D31977">
              <w:rPr>
                <w:rFonts w:ascii="Lucida Grande" w:hAnsi="Lucida Grande" w:cs="Lucida Grande"/>
                <w:color w:val="000000"/>
                <w:sz w:val="16"/>
                <w:szCs w:val="18"/>
              </w:rPr>
              <w:t>✓</w:t>
            </w:r>
          </w:p>
        </w:tc>
        <w:tc>
          <w:tcPr>
            <w:tcW w:w="708" w:type="dxa"/>
          </w:tcPr>
          <w:p w14:paraId="666743A1" w14:textId="77777777" w:rsidR="008940B3" w:rsidRPr="00D31977" w:rsidRDefault="008940B3" w:rsidP="00E858EF">
            <w:pPr>
              <w:suppressAutoHyphens/>
              <w:jc w:val="left"/>
              <w:rPr>
                <w:sz w:val="16"/>
                <w:szCs w:val="18"/>
              </w:rPr>
            </w:pPr>
          </w:p>
        </w:tc>
        <w:tc>
          <w:tcPr>
            <w:tcW w:w="851" w:type="dxa"/>
          </w:tcPr>
          <w:p w14:paraId="229A6B8E" w14:textId="77777777" w:rsidR="008940B3" w:rsidRPr="00D31977" w:rsidRDefault="008940B3" w:rsidP="00E858EF">
            <w:pPr>
              <w:suppressAutoHyphens/>
              <w:jc w:val="left"/>
              <w:rPr>
                <w:sz w:val="16"/>
                <w:szCs w:val="18"/>
              </w:rPr>
            </w:pPr>
          </w:p>
        </w:tc>
        <w:tc>
          <w:tcPr>
            <w:tcW w:w="709" w:type="dxa"/>
          </w:tcPr>
          <w:p w14:paraId="191CE7ED" w14:textId="77777777" w:rsidR="008940B3" w:rsidRPr="00D31977" w:rsidRDefault="008940B3" w:rsidP="00E858EF">
            <w:pPr>
              <w:suppressAutoHyphens/>
              <w:jc w:val="left"/>
              <w:rPr>
                <w:sz w:val="16"/>
                <w:szCs w:val="18"/>
              </w:rPr>
            </w:pPr>
            <w:r w:rsidRPr="00D31977">
              <w:rPr>
                <w:rFonts w:ascii="Lucida Grande" w:hAnsi="Lucida Grande" w:cs="Lucida Grande"/>
                <w:color w:val="000000"/>
                <w:sz w:val="16"/>
                <w:szCs w:val="18"/>
              </w:rPr>
              <w:t>✓</w:t>
            </w:r>
          </w:p>
        </w:tc>
        <w:tc>
          <w:tcPr>
            <w:tcW w:w="1134" w:type="dxa"/>
          </w:tcPr>
          <w:p w14:paraId="04FA3190" w14:textId="77777777" w:rsidR="008940B3" w:rsidRPr="00D31977" w:rsidRDefault="008940B3" w:rsidP="00E858EF">
            <w:pPr>
              <w:suppressAutoHyphens/>
              <w:jc w:val="left"/>
              <w:rPr>
                <w:sz w:val="16"/>
                <w:szCs w:val="18"/>
              </w:rPr>
            </w:pPr>
            <w:r w:rsidRPr="00D31977">
              <w:rPr>
                <w:rFonts w:ascii="Lucida Grande" w:hAnsi="Lucida Grande" w:cs="Lucida Grande"/>
                <w:color w:val="000000"/>
                <w:sz w:val="16"/>
                <w:szCs w:val="18"/>
              </w:rPr>
              <w:t>✓</w:t>
            </w:r>
          </w:p>
        </w:tc>
        <w:tc>
          <w:tcPr>
            <w:tcW w:w="423" w:type="dxa"/>
            <w:hideMark/>
          </w:tcPr>
          <w:p w14:paraId="0D4C1936" w14:textId="77777777" w:rsidR="008940B3" w:rsidRPr="00D31977" w:rsidRDefault="008940B3" w:rsidP="00E858EF">
            <w:pPr>
              <w:suppressAutoHyphens/>
              <w:jc w:val="left"/>
              <w:rPr>
                <w:sz w:val="16"/>
                <w:szCs w:val="18"/>
              </w:rPr>
            </w:pPr>
          </w:p>
        </w:tc>
      </w:tr>
      <w:tr w:rsidR="008940B3" w:rsidRPr="00D31977" w14:paraId="186BC006" w14:textId="77777777" w:rsidTr="00D31977">
        <w:trPr>
          <w:trHeight w:val="175"/>
        </w:trPr>
        <w:tc>
          <w:tcPr>
            <w:tcW w:w="1384" w:type="dxa"/>
          </w:tcPr>
          <w:p w14:paraId="50DA6906" w14:textId="77777777" w:rsidR="008940B3" w:rsidRPr="00D31977" w:rsidRDefault="008940B3" w:rsidP="00E858EF">
            <w:pPr>
              <w:suppressAutoHyphens/>
              <w:jc w:val="left"/>
              <w:rPr>
                <w:color w:val="000000"/>
                <w:sz w:val="16"/>
                <w:szCs w:val="18"/>
              </w:rPr>
            </w:pPr>
            <w:r w:rsidRPr="00D31977">
              <w:rPr>
                <w:rFonts w:eastAsia="Times New Roman"/>
                <w:sz w:val="16"/>
                <w:szCs w:val="18"/>
              </w:rPr>
              <w:t>MILATOS</w:t>
            </w:r>
          </w:p>
        </w:tc>
        <w:tc>
          <w:tcPr>
            <w:tcW w:w="992" w:type="dxa"/>
          </w:tcPr>
          <w:p w14:paraId="65FBEF82" w14:textId="77777777" w:rsidR="008940B3" w:rsidRPr="00D31977" w:rsidRDefault="008940B3" w:rsidP="00E858EF">
            <w:pPr>
              <w:suppressAutoHyphens/>
              <w:jc w:val="left"/>
              <w:rPr>
                <w:color w:val="000000"/>
                <w:sz w:val="16"/>
                <w:szCs w:val="18"/>
              </w:rPr>
            </w:pPr>
            <w:r w:rsidRPr="00D31977">
              <w:rPr>
                <w:rFonts w:ascii="Lucida Grande" w:hAnsi="Lucida Grande" w:cs="Lucida Grande"/>
                <w:color w:val="000000"/>
                <w:sz w:val="16"/>
                <w:szCs w:val="18"/>
              </w:rPr>
              <w:t>✓</w:t>
            </w:r>
          </w:p>
        </w:tc>
        <w:tc>
          <w:tcPr>
            <w:tcW w:w="851" w:type="dxa"/>
            <w:hideMark/>
          </w:tcPr>
          <w:p w14:paraId="0D203063" w14:textId="77777777" w:rsidR="008940B3" w:rsidRPr="00D31977" w:rsidRDefault="008940B3" w:rsidP="00E858EF">
            <w:pPr>
              <w:suppressAutoHyphens/>
              <w:jc w:val="left"/>
              <w:rPr>
                <w:sz w:val="16"/>
                <w:szCs w:val="18"/>
              </w:rPr>
            </w:pPr>
          </w:p>
        </w:tc>
        <w:tc>
          <w:tcPr>
            <w:tcW w:w="730" w:type="dxa"/>
          </w:tcPr>
          <w:p w14:paraId="26ECF77F" w14:textId="77777777" w:rsidR="008940B3" w:rsidRPr="00D31977" w:rsidRDefault="008940B3" w:rsidP="00E858EF">
            <w:pPr>
              <w:suppressAutoHyphens/>
              <w:jc w:val="left"/>
              <w:rPr>
                <w:sz w:val="16"/>
                <w:szCs w:val="18"/>
              </w:rPr>
            </w:pPr>
          </w:p>
        </w:tc>
        <w:tc>
          <w:tcPr>
            <w:tcW w:w="687" w:type="dxa"/>
            <w:hideMark/>
          </w:tcPr>
          <w:p w14:paraId="6BDF7915" w14:textId="77777777" w:rsidR="008940B3" w:rsidRPr="00D31977" w:rsidRDefault="008940B3" w:rsidP="00E858EF">
            <w:pPr>
              <w:suppressAutoHyphens/>
              <w:jc w:val="left"/>
              <w:rPr>
                <w:sz w:val="16"/>
                <w:szCs w:val="18"/>
              </w:rPr>
            </w:pPr>
          </w:p>
        </w:tc>
        <w:tc>
          <w:tcPr>
            <w:tcW w:w="426" w:type="dxa"/>
          </w:tcPr>
          <w:p w14:paraId="77351270" w14:textId="77777777" w:rsidR="008940B3" w:rsidRPr="00D31977" w:rsidRDefault="008940B3" w:rsidP="00E858EF">
            <w:pPr>
              <w:suppressAutoHyphens/>
              <w:jc w:val="left"/>
              <w:rPr>
                <w:sz w:val="16"/>
                <w:szCs w:val="18"/>
              </w:rPr>
            </w:pPr>
          </w:p>
        </w:tc>
        <w:tc>
          <w:tcPr>
            <w:tcW w:w="708" w:type="dxa"/>
          </w:tcPr>
          <w:p w14:paraId="4A113D9C" w14:textId="77777777" w:rsidR="008940B3" w:rsidRPr="00D31977" w:rsidRDefault="008940B3" w:rsidP="00E858EF">
            <w:pPr>
              <w:suppressAutoHyphens/>
              <w:jc w:val="left"/>
              <w:rPr>
                <w:sz w:val="16"/>
                <w:szCs w:val="18"/>
              </w:rPr>
            </w:pPr>
          </w:p>
        </w:tc>
        <w:tc>
          <w:tcPr>
            <w:tcW w:w="851" w:type="dxa"/>
          </w:tcPr>
          <w:p w14:paraId="12756B4E" w14:textId="77777777" w:rsidR="008940B3" w:rsidRPr="00D31977" w:rsidRDefault="008940B3" w:rsidP="00E858EF">
            <w:pPr>
              <w:suppressAutoHyphens/>
              <w:jc w:val="left"/>
              <w:rPr>
                <w:sz w:val="16"/>
                <w:szCs w:val="18"/>
              </w:rPr>
            </w:pPr>
          </w:p>
        </w:tc>
        <w:tc>
          <w:tcPr>
            <w:tcW w:w="709" w:type="dxa"/>
          </w:tcPr>
          <w:p w14:paraId="3DA25CD0" w14:textId="77777777" w:rsidR="008940B3" w:rsidRPr="00D31977" w:rsidRDefault="008940B3" w:rsidP="00E858EF">
            <w:pPr>
              <w:suppressAutoHyphens/>
              <w:jc w:val="left"/>
              <w:rPr>
                <w:sz w:val="16"/>
                <w:szCs w:val="18"/>
              </w:rPr>
            </w:pPr>
          </w:p>
        </w:tc>
        <w:tc>
          <w:tcPr>
            <w:tcW w:w="1134" w:type="dxa"/>
          </w:tcPr>
          <w:p w14:paraId="18CF6A5C" w14:textId="77777777" w:rsidR="008940B3" w:rsidRPr="00D31977" w:rsidRDefault="008940B3" w:rsidP="00E858EF">
            <w:pPr>
              <w:suppressAutoHyphens/>
              <w:jc w:val="left"/>
              <w:rPr>
                <w:sz w:val="16"/>
                <w:szCs w:val="18"/>
              </w:rPr>
            </w:pPr>
          </w:p>
        </w:tc>
        <w:tc>
          <w:tcPr>
            <w:tcW w:w="423" w:type="dxa"/>
            <w:hideMark/>
          </w:tcPr>
          <w:p w14:paraId="68301A3F" w14:textId="77777777" w:rsidR="008940B3" w:rsidRPr="00D31977" w:rsidRDefault="008940B3" w:rsidP="00E858EF">
            <w:pPr>
              <w:suppressAutoHyphens/>
              <w:jc w:val="left"/>
              <w:rPr>
                <w:sz w:val="16"/>
                <w:szCs w:val="18"/>
              </w:rPr>
            </w:pPr>
          </w:p>
        </w:tc>
      </w:tr>
      <w:tr w:rsidR="008940B3" w:rsidRPr="00D31977" w14:paraId="17B6EAA5" w14:textId="77777777" w:rsidTr="00D31977">
        <w:trPr>
          <w:trHeight w:val="175"/>
        </w:trPr>
        <w:tc>
          <w:tcPr>
            <w:tcW w:w="1384" w:type="dxa"/>
          </w:tcPr>
          <w:p w14:paraId="78B2778C" w14:textId="77777777" w:rsidR="008940B3" w:rsidRPr="00D31977" w:rsidRDefault="008940B3" w:rsidP="00E858EF">
            <w:pPr>
              <w:suppressAutoHyphens/>
              <w:jc w:val="left"/>
              <w:rPr>
                <w:color w:val="000000"/>
                <w:sz w:val="16"/>
                <w:szCs w:val="18"/>
              </w:rPr>
            </w:pPr>
            <w:r w:rsidRPr="00D31977">
              <w:rPr>
                <w:rFonts w:eastAsia="Times New Roman"/>
                <w:sz w:val="16"/>
                <w:szCs w:val="18"/>
              </w:rPr>
              <w:t>PLATI</w:t>
            </w:r>
          </w:p>
        </w:tc>
        <w:tc>
          <w:tcPr>
            <w:tcW w:w="992" w:type="dxa"/>
          </w:tcPr>
          <w:p w14:paraId="71A14019" w14:textId="77777777" w:rsidR="008940B3" w:rsidRPr="00D31977" w:rsidRDefault="008940B3" w:rsidP="00E858EF">
            <w:pPr>
              <w:suppressAutoHyphens/>
              <w:jc w:val="left"/>
              <w:rPr>
                <w:color w:val="000000"/>
                <w:sz w:val="16"/>
                <w:szCs w:val="18"/>
              </w:rPr>
            </w:pPr>
            <w:r w:rsidRPr="00D31977">
              <w:rPr>
                <w:rFonts w:ascii="Lucida Grande" w:hAnsi="Lucida Grande" w:cs="Lucida Grande"/>
                <w:color w:val="000000"/>
                <w:sz w:val="16"/>
                <w:szCs w:val="18"/>
              </w:rPr>
              <w:t>✓</w:t>
            </w:r>
          </w:p>
        </w:tc>
        <w:tc>
          <w:tcPr>
            <w:tcW w:w="851" w:type="dxa"/>
            <w:hideMark/>
          </w:tcPr>
          <w:p w14:paraId="5225043B" w14:textId="77777777" w:rsidR="008940B3" w:rsidRPr="00D31977" w:rsidRDefault="008940B3" w:rsidP="00E858EF">
            <w:pPr>
              <w:suppressAutoHyphens/>
              <w:jc w:val="left"/>
              <w:rPr>
                <w:sz w:val="16"/>
                <w:szCs w:val="18"/>
              </w:rPr>
            </w:pPr>
          </w:p>
        </w:tc>
        <w:tc>
          <w:tcPr>
            <w:tcW w:w="730" w:type="dxa"/>
          </w:tcPr>
          <w:p w14:paraId="71201CBA" w14:textId="77777777" w:rsidR="008940B3" w:rsidRPr="00D31977" w:rsidRDefault="008940B3" w:rsidP="00E858EF">
            <w:pPr>
              <w:suppressAutoHyphens/>
              <w:jc w:val="left"/>
              <w:rPr>
                <w:rFonts w:ascii="Lucida Grande" w:hAnsi="Lucida Grande" w:cs="Lucida Grande"/>
                <w:color w:val="000000"/>
                <w:sz w:val="16"/>
                <w:szCs w:val="18"/>
              </w:rPr>
            </w:pPr>
          </w:p>
        </w:tc>
        <w:tc>
          <w:tcPr>
            <w:tcW w:w="687" w:type="dxa"/>
            <w:hideMark/>
          </w:tcPr>
          <w:p w14:paraId="77FB0ED7" w14:textId="77777777" w:rsidR="008940B3" w:rsidRPr="00D31977" w:rsidRDefault="008940B3" w:rsidP="00E858EF">
            <w:pPr>
              <w:suppressAutoHyphens/>
              <w:jc w:val="left"/>
              <w:rPr>
                <w:sz w:val="16"/>
                <w:szCs w:val="18"/>
              </w:rPr>
            </w:pPr>
            <w:r w:rsidRPr="00D31977">
              <w:rPr>
                <w:rFonts w:ascii="Lucida Grande" w:hAnsi="Lucida Grande" w:cs="Lucida Grande"/>
                <w:color w:val="000000"/>
                <w:sz w:val="16"/>
                <w:szCs w:val="18"/>
              </w:rPr>
              <w:t>✓</w:t>
            </w:r>
          </w:p>
        </w:tc>
        <w:tc>
          <w:tcPr>
            <w:tcW w:w="426" w:type="dxa"/>
          </w:tcPr>
          <w:p w14:paraId="7575574C" w14:textId="77777777" w:rsidR="008940B3" w:rsidRPr="00D31977" w:rsidRDefault="008940B3" w:rsidP="00E858EF">
            <w:pPr>
              <w:suppressAutoHyphens/>
              <w:jc w:val="left"/>
              <w:rPr>
                <w:sz w:val="16"/>
                <w:szCs w:val="18"/>
              </w:rPr>
            </w:pPr>
          </w:p>
        </w:tc>
        <w:tc>
          <w:tcPr>
            <w:tcW w:w="708" w:type="dxa"/>
          </w:tcPr>
          <w:p w14:paraId="31A2EEEE" w14:textId="77777777" w:rsidR="008940B3" w:rsidRPr="00D31977" w:rsidRDefault="008940B3" w:rsidP="00E858EF">
            <w:pPr>
              <w:suppressAutoHyphens/>
              <w:jc w:val="left"/>
              <w:rPr>
                <w:sz w:val="16"/>
                <w:szCs w:val="18"/>
              </w:rPr>
            </w:pPr>
          </w:p>
        </w:tc>
        <w:tc>
          <w:tcPr>
            <w:tcW w:w="851" w:type="dxa"/>
          </w:tcPr>
          <w:p w14:paraId="52B4DEBA" w14:textId="77777777" w:rsidR="008940B3" w:rsidRPr="00D31977" w:rsidRDefault="008940B3" w:rsidP="00E858EF">
            <w:pPr>
              <w:suppressAutoHyphens/>
              <w:jc w:val="left"/>
              <w:rPr>
                <w:sz w:val="16"/>
                <w:szCs w:val="18"/>
              </w:rPr>
            </w:pPr>
          </w:p>
        </w:tc>
        <w:tc>
          <w:tcPr>
            <w:tcW w:w="709" w:type="dxa"/>
          </w:tcPr>
          <w:p w14:paraId="7FD15D3C" w14:textId="77777777" w:rsidR="008940B3" w:rsidRPr="00D31977" w:rsidRDefault="008940B3" w:rsidP="00E858EF">
            <w:pPr>
              <w:suppressAutoHyphens/>
              <w:jc w:val="left"/>
              <w:rPr>
                <w:sz w:val="16"/>
                <w:szCs w:val="18"/>
              </w:rPr>
            </w:pPr>
          </w:p>
        </w:tc>
        <w:tc>
          <w:tcPr>
            <w:tcW w:w="1134" w:type="dxa"/>
          </w:tcPr>
          <w:p w14:paraId="1DF2B492" w14:textId="77777777" w:rsidR="008940B3" w:rsidRPr="00D31977" w:rsidRDefault="008940B3" w:rsidP="00E858EF">
            <w:pPr>
              <w:suppressAutoHyphens/>
              <w:jc w:val="left"/>
              <w:rPr>
                <w:sz w:val="16"/>
                <w:szCs w:val="18"/>
              </w:rPr>
            </w:pPr>
          </w:p>
        </w:tc>
        <w:tc>
          <w:tcPr>
            <w:tcW w:w="423" w:type="dxa"/>
            <w:hideMark/>
          </w:tcPr>
          <w:p w14:paraId="0305FC91" w14:textId="77777777" w:rsidR="008940B3" w:rsidRPr="00D31977" w:rsidRDefault="008940B3" w:rsidP="00E858EF">
            <w:pPr>
              <w:suppressAutoHyphens/>
              <w:jc w:val="left"/>
              <w:rPr>
                <w:sz w:val="16"/>
                <w:szCs w:val="18"/>
              </w:rPr>
            </w:pPr>
          </w:p>
        </w:tc>
      </w:tr>
      <w:tr w:rsidR="008940B3" w:rsidRPr="00D31977" w14:paraId="2A39CA57" w14:textId="77777777" w:rsidTr="00D31977">
        <w:trPr>
          <w:trHeight w:val="175"/>
        </w:trPr>
        <w:tc>
          <w:tcPr>
            <w:tcW w:w="1384" w:type="dxa"/>
          </w:tcPr>
          <w:p w14:paraId="5F54769C" w14:textId="77777777" w:rsidR="008940B3" w:rsidRPr="00D31977" w:rsidRDefault="008940B3" w:rsidP="00E858EF">
            <w:pPr>
              <w:suppressAutoHyphens/>
              <w:jc w:val="left"/>
              <w:rPr>
                <w:rFonts w:eastAsia="Times New Roman"/>
                <w:sz w:val="16"/>
                <w:szCs w:val="18"/>
              </w:rPr>
            </w:pPr>
            <w:r w:rsidRPr="00D31977">
              <w:rPr>
                <w:rFonts w:eastAsia="Times New Roman"/>
                <w:sz w:val="16"/>
                <w:szCs w:val="18"/>
              </w:rPr>
              <w:t>PSARI PHORADA</w:t>
            </w:r>
          </w:p>
        </w:tc>
        <w:tc>
          <w:tcPr>
            <w:tcW w:w="992" w:type="dxa"/>
          </w:tcPr>
          <w:p w14:paraId="46573821" w14:textId="77777777" w:rsidR="008940B3" w:rsidRPr="00D31977" w:rsidRDefault="008940B3" w:rsidP="00E858EF">
            <w:pPr>
              <w:suppressAutoHyphens/>
              <w:jc w:val="left"/>
              <w:rPr>
                <w:rFonts w:ascii="Lucida Grande" w:hAnsi="Lucida Grande" w:cs="Lucida Grande"/>
                <w:color w:val="000000"/>
                <w:sz w:val="16"/>
                <w:szCs w:val="18"/>
              </w:rPr>
            </w:pPr>
            <w:r w:rsidRPr="00D31977">
              <w:rPr>
                <w:rFonts w:ascii="Lucida Grande" w:hAnsi="Lucida Grande" w:cs="Lucida Grande"/>
                <w:color w:val="000000"/>
                <w:sz w:val="16"/>
                <w:szCs w:val="18"/>
              </w:rPr>
              <w:t>✓</w:t>
            </w:r>
          </w:p>
        </w:tc>
        <w:tc>
          <w:tcPr>
            <w:tcW w:w="851" w:type="dxa"/>
          </w:tcPr>
          <w:p w14:paraId="1B1134B0" w14:textId="77777777" w:rsidR="008940B3" w:rsidRPr="00D31977" w:rsidRDefault="008940B3" w:rsidP="00E858EF">
            <w:pPr>
              <w:suppressAutoHyphens/>
              <w:jc w:val="left"/>
              <w:rPr>
                <w:sz w:val="16"/>
                <w:szCs w:val="18"/>
              </w:rPr>
            </w:pPr>
          </w:p>
        </w:tc>
        <w:tc>
          <w:tcPr>
            <w:tcW w:w="730" w:type="dxa"/>
          </w:tcPr>
          <w:p w14:paraId="7E1F1096" w14:textId="77777777" w:rsidR="008940B3" w:rsidRPr="00D31977" w:rsidRDefault="008940B3" w:rsidP="00E858EF">
            <w:pPr>
              <w:suppressAutoHyphens/>
              <w:jc w:val="left"/>
              <w:rPr>
                <w:sz w:val="16"/>
                <w:szCs w:val="18"/>
              </w:rPr>
            </w:pPr>
          </w:p>
        </w:tc>
        <w:tc>
          <w:tcPr>
            <w:tcW w:w="687" w:type="dxa"/>
          </w:tcPr>
          <w:p w14:paraId="08CC43BB" w14:textId="77777777" w:rsidR="008940B3" w:rsidRPr="00D31977" w:rsidRDefault="008940B3" w:rsidP="00E858EF">
            <w:pPr>
              <w:suppressAutoHyphens/>
              <w:jc w:val="left"/>
              <w:rPr>
                <w:sz w:val="16"/>
                <w:szCs w:val="18"/>
              </w:rPr>
            </w:pPr>
          </w:p>
        </w:tc>
        <w:tc>
          <w:tcPr>
            <w:tcW w:w="426" w:type="dxa"/>
          </w:tcPr>
          <w:p w14:paraId="1F4F0C84" w14:textId="77777777" w:rsidR="008940B3" w:rsidRPr="00D31977" w:rsidRDefault="008940B3" w:rsidP="00E858EF">
            <w:pPr>
              <w:suppressAutoHyphens/>
              <w:jc w:val="left"/>
              <w:rPr>
                <w:sz w:val="16"/>
                <w:szCs w:val="18"/>
              </w:rPr>
            </w:pPr>
          </w:p>
        </w:tc>
        <w:tc>
          <w:tcPr>
            <w:tcW w:w="708" w:type="dxa"/>
          </w:tcPr>
          <w:p w14:paraId="369FE48B" w14:textId="77777777" w:rsidR="008940B3" w:rsidRPr="00D31977" w:rsidRDefault="008940B3" w:rsidP="00E858EF">
            <w:pPr>
              <w:suppressAutoHyphens/>
              <w:jc w:val="left"/>
              <w:rPr>
                <w:sz w:val="16"/>
                <w:szCs w:val="18"/>
              </w:rPr>
            </w:pPr>
          </w:p>
        </w:tc>
        <w:tc>
          <w:tcPr>
            <w:tcW w:w="851" w:type="dxa"/>
          </w:tcPr>
          <w:p w14:paraId="2F0F7201" w14:textId="77777777" w:rsidR="008940B3" w:rsidRPr="00D31977" w:rsidRDefault="008940B3" w:rsidP="00E858EF">
            <w:pPr>
              <w:suppressAutoHyphens/>
              <w:jc w:val="left"/>
              <w:rPr>
                <w:sz w:val="16"/>
                <w:szCs w:val="18"/>
              </w:rPr>
            </w:pPr>
          </w:p>
        </w:tc>
        <w:tc>
          <w:tcPr>
            <w:tcW w:w="709" w:type="dxa"/>
          </w:tcPr>
          <w:p w14:paraId="7E954B1B" w14:textId="77777777" w:rsidR="008940B3" w:rsidRPr="00D31977" w:rsidRDefault="008940B3" w:rsidP="00E858EF">
            <w:pPr>
              <w:suppressAutoHyphens/>
              <w:jc w:val="left"/>
              <w:rPr>
                <w:sz w:val="16"/>
                <w:szCs w:val="18"/>
              </w:rPr>
            </w:pPr>
            <w:r w:rsidRPr="00D31977">
              <w:rPr>
                <w:rFonts w:ascii="Lucida Grande" w:hAnsi="Lucida Grande" w:cs="Lucida Grande"/>
                <w:color w:val="000000"/>
                <w:sz w:val="16"/>
                <w:szCs w:val="18"/>
              </w:rPr>
              <w:t>✓</w:t>
            </w:r>
          </w:p>
        </w:tc>
        <w:tc>
          <w:tcPr>
            <w:tcW w:w="1134" w:type="dxa"/>
          </w:tcPr>
          <w:p w14:paraId="406F343C" w14:textId="77777777" w:rsidR="008940B3" w:rsidRPr="00D31977" w:rsidRDefault="008940B3" w:rsidP="00E858EF">
            <w:pPr>
              <w:suppressAutoHyphens/>
              <w:jc w:val="left"/>
              <w:rPr>
                <w:color w:val="000000"/>
                <w:sz w:val="16"/>
                <w:szCs w:val="18"/>
              </w:rPr>
            </w:pPr>
          </w:p>
        </w:tc>
        <w:tc>
          <w:tcPr>
            <w:tcW w:w="423" w:type="dxa"/>
          </w:tcPr>
          <w:p w14:paraId="0533AB28" w14:textId="77777777" w:rsidR="008940B3" w:rsidRPr="00D31977" w:rsidRDefault="008940B3" w:rsidP="00E858EF">
            <w:pPr>
              <w:suppressAutoHyphens/>
              <w:jc w:val="left"/>
              <w:rPr>
                <w:sz w:val="16"/>
                <w:szCs w:val="18"/>
              </w:rPr>
            </w:pPr>
          </w:p>
        </w:tc>
      </w:tr>
      <w:tr w:rsidR="008940B3" w:rsidRPr="00D31977" w14:paraId="72951359" w14:textId="77777777" w:rsidTr="00D31977">
        <w:trPr>
          <w:trHeight w:val="175"/>
        </w:trPr>
        <w:tc>
          <w:tcPr>
            <w:tcW w:w="1384" w:type="dxa"/>
          </w:tcPr>
          <w:p w14:paraId="061436EA" w14:textId="77777777" w:rsidR="008940B3" w:rsidRPr="00D31977" w:rsidRDefault="008940B3" w:rsidP="00E858EF">
            <w:pPr>
              <w:suppressAutoHyphens/>
              <w:jc w:val="left"/>
              <w:rPr>
                <w:sz w:val="16"/>
                <w:szCs w:val="18"/>
              </w:rPr>
            </w:pPr>
            <w:r w:rsidRPr="00D31977">
              <w:rPr>
                <w:rFonts w:eastAsia="Times New Roman"/>
                <w:sz w:val="16"/>
                <w:szCs w:val="18"/>
              </w:rPr>
              <w:t>TERTSA</w:t>
            </w:r>
          </w:p>
        </w:tc>
        <w:tc>
          <w:tcPr>
            <w:tcW w:w="992" w:type="dxa"/>
          </w:tcPr>
          <w:p w14:paraId="508B512D" w14:textId="77777777" w:rsidR="008940B3" w:rsidRPr="00D31977" w:rsidRDefault="008940B3" w:rsidP="00E858EF">
            <w:pPr>
              <w:suppressAutoHyphens/>
              <w:jc w:val="left"/>
              <w:rPr>
                <w:color w:val="000000"/>
                <w:sz w:val="16"/>
                <w:szCs w:val="18"/>
              </w:rPr>
            </w:pPr>
            <w:r w:rsidRPr="00D31977">
              <w:rPr>
                <w:rFonts w:ascii="Lucida Grande" w:hAnsi="Lucida Grande" w:cs="Lucida Grande"/>
                <w:color w:val="000000"/>
                <w:sz w:val="16"/>
                <w:szCs w:val="18"/>
              </w:rPr>
              <w:t>✓</w:t>
            </w:r>
          </w:p>
        </w:tc>
        <w:tc>
          <w:tcPr>
            <w:tcW w:w="851" w:type="dxa"/>
          </w:tcPr>
          <w:p w14:paraId="0BB5FE99" w14:textId="77777777" w:rsidR="008940B3" w:rsidRPr="00D31977" w:rsidRDefault="008940B3" w:rsidP="00E858EF">
            <w:pPr>
              <w:suppressAutoHyphens/>
              <w:jc w:val="left"/>
              <w:rPr>
                <w:sz w:val="16"/>
                <w:szCs w:val="18"/>
              </w:rPr>
            </w:pPr>
          </w:p>
        </w:tc>
        <w:tc>
          <w:tcPr>
            <w:tcW w:w="730" w:type="dxa"/>
          </w:tcPr>
          <w:p w14:paraId="5FF4DF7D" w14:textId="77777777" w:rsidR="008940B3" w:rsidRPr="00D31977" w:rsidRDefault="008940B3" w:rsidP="00E858EF">
            <w:pPr>
              <w:suppressAutoHyphens/>
              <w:jc w:val="left"/>
              <w:rPr>
                <w:sz w:val="16"/>
                <w:szCs w:val="18"/>
              </w:rPr>
            </w:pPr>
          </w:p>
        </w:tc>
        <w:tc>
          <w:tcPr>
            <w:tcW w:w="687" w:type="dxa"/>
          </w:tcPr>
          <w:p w14:paraId="502EA92F" w14:textId="77777777" w:rsidR="008940B3" w:rsidRPr="00D31977" w:rsidRDefault="008940B3" w:rsidP="00E858EF">
            <w:pPr>
              <w:suppressAutoHyphens/>
              <w:jc w:val="left"/>
              <w:rPr>
                <w:sz w:val="16"/>
                <w:szCs w:val="18"/>
              </w:rPr>
            </w:pPr>
          </w:p>
        </w:tc>
        <w:tc>
          <w:tcPr>
            <w:tcW w:w="426" w:type="dxa"/>
          </w:tcPr>
          <w:p w14:paraId="291D43B2" w14:textId="77777777" w:rsidR="008940B3" w:rsidRPr="00D31977" w:rsidRDefault="008940B3" w:rsidP="00E858EF">
            <w:pPr>
              <w:suppressAutoHyphens/>
              <w:jc w:val="left"/>
              <w:rPr>
                <w:sz w:val="16"/>
                <w:szCs w:val="18"/>
              </w:rPr>
            </w:pPr>
          </w:p>
        </w:tc>
        <w:tc>
          <w:tcPr>
            <w:tcW w:w="708" w:type="dxa"/>
          </w:tcPr>
          <w:p w14:paraId="62BAD269" w14:textId="77777777" w:rsidR="008940B3" w:rsidRPr="00D31977" w:rsidRDefault="008940B3" w:rsidP="00E858EF">
            <w:pPr>
              <w:suppressAutoHyphens/>
              <w:jc w:val="left"/>
              <w:rPr>
                <w:sz w:val="16"/>
                <w:szCs w:val="18"/>
              </w:rPr>
            </w:pPr>
          </w:p>
        </w:tc>
        <w:tc>
          <w:tcPr>
            <w:tcW w:w="851" w:type="dxa"/>
          </w:tcPr>
          <w:p w14:paraId="342702AD" w14:textId="77777777" w:rsidR="008940B3" w:rsidRPr="00D31977" w:rsidRDefault="008940B3" w:rsidP="00E858EF">
            <w:pPr>
              <w:suppressAutoHyphens/>
              <w:jc w:val="left"/>
              <w:rPr>
                <w:sz w:val="16"/>
                <w:szCs w:val="18"/>
              </w:rPr>
            </w:pPr>
          </w:p>
        </w:tc>
        <w:tc>
          <w:tcPr>
            <w:tcW w:w="709" w:type="dxa"/>
          </w:tcPr>
          <w:p w14:paraId="579E7C57" w14:textId="77777777" w:rsidR="008940B3" w:rsidRPr="00D31977" w:rsidRDefault="008940B3" w:rsidP="00E858EF">
            <w:pPr>
              <w:suppressAutoHyphens/>
              <w:jc w:val="left"/>
              <w:rPr>
                <w:sz w:val="16"/>
                <w:szCs w:val="18"/>
              </w:rPr>
            </w:pPr>
          </w:p>
        </w:tc>
        <w:tc>
          <w:tcPr>
            <w:tcW w:w="1134" w:type="dxa"/>
          </w:tcPr>
          <w:p w14:paraId="7614F91B" w14:textId="77777777" w:rsidR="008940B3" w:rsidRPr="00D31977" w:rsidRDefault="008940B3" w:rsidP="00E858EF">
            <w:pPr>
              <w:suppressAutoHyphens/>
              <w:jc w:val="left"/>
              <w:rPr>
                <w:color w:val="000000"/>
                <w:sz w:val="16"/>
                <w:szCs w:val="18"/>
              </w:rPr>
            </w:pPr>
          </w:p>
        </w:tc>
        <w:tc>
          <w:tcPr>
            <w:tcW w:w="423" w:type="dxa"/>
          </w:tcPr>
          <w:p w14:paraId="1DA58968" w14:textId="77777777" w:rsidR="008940B3" w:rsidRPr="00D31977" w:rsidRDefault="008940B3" w:rsidP="00E858EF">
            <w:pPr>
              <w:suppressAutoHyphens/>
              <w:jc w:val="left"/>
              <w:rPr>
                <w:sz w:val="16"/>
                <w:szCs w:val="18"/>
              </w:rPr>
            </w:pPr>
          </w:p>
        </w:tc>
      </w:tr>
      <w:tr w:rsidR="008940B3" w:rsidRPr="00D31977" w14:paraId="7D88A2E4" w14:textId="77777777" w:rsidTr="00D31977">
        <w:trPr>
          <w:trHeight w:val="175"/>
        </w:trPr>
        <w:tc>
          <w:tcPr>
            <w:tcW w:w="1384" w:type="dxa"/>
          </w:tcPr>
          <w:p w14:paraId="5C1442DA" w14:textId="77777777" w:rsidR="008940B3" w:rsidRPr="00D31977" w:rsidRDefault="008940B3" w:rsidP="00E858EF">
            <w:pPr>
              <w:suppressAutoHyphens/>
              <w:jc w:val="left"/>
              <w:rPr>
                <w:rFonts w:eastAsia="Times New Roman"/>
                <w:sz w:val="16"/>
                <w:szCs w:val="18"/>
              </w:rPr>
            </w:pPr>
            <w:r w:rsidRPr="00D31977">
              <w:rPr>
                <w:rFonts w:eastAsia="Times New Roman"/>
                <w:sz w:val="16"/>
                <w:szCs w:val="18"/>
              </w:rPr>
              <w:t>TZERMIADON</w:t>
            </w:r>
          </w:p>
        </w:tc>
        <w:tc>
          <w:tcPr>
            <w:tcW w:w="992" w:type="dxa"/>
          </w:tcPr>
          <w:p w14:paraId="1055996A" w14:textId="77777777" w:rsidR="008940B3" w:rsidRPr="00D31977" w:rsidRDefault="008940B3" w:rsidP="00E858EF">
            <w:pPr>
              <w:suppressAutoHyphens/>
              <w:jc w:val="left"/>
              <w:rPr>
                <w:color w:val="000000"/>
                <w:sz w:val="16"/>
                <w:szCs w:val="18"/>
              </w:rPr>
            </w:pPr>
            <w:r w:rsidRPr="00D31977">
              <w:rPr>
                <w:rFonts w:ascii="Lucida Grande" w:hAnsi="Lucida Grande" w:cs="Lucida Grande"/>
                <w:color w:val="000000"/>
                <w:sz w:val="16"/>
                <w:szCs w:val="18"/>
              </w:rPr>
              <w:t>✓</w:t>
            </w:r>
          </w:p>
        </w:tc>
        <w:tc>
          <w:tcPr>
            <w:tcW w:w="851" w:type="dxa"/>
          </w:tcPr>
          <w:p w14:paraId="3EEB206B" w14:textId="77777777" w:rsidR="008940B3" w:rsidRPr="00D31977" w:rsidRDefault="008940B3" w:rsidP="00E858EF">
            <w:pPr>
              <w:suppressAutoHyphens/>
              <w:jc w:val="left"/>
              <w:rPr>
                <w:sz w:val="16"/>
                <w:szCs w:val="18"/>
              </w:rPr>
            </w:pPr>
          </w:p>
        </w:tc>
        <w:tc>
          <w:tcPr>
            <w:tcW w:w="730" w:type="dxa"/>
          </w:tcPr>
          <w:p w14:paraId="5D478974" w14:textId="77777777" w:rsidR="008940B3" w:rsidRPr="00D31977" w:rsidRDefault="008940B3" w:rsidP="00E858EF">
            <w:pPr>
              <w:suppressAutoHyphens/>
              <w:jc w:val="left"/>
              <w:rPr>
                <w:sz w:val="16"/>
                <w:szCs w:val="18"/>
              </w:rPr>
            </w:pPr>
          </w:p>
        </w:tc>
        <w:tc>
          <w:tcPr>
            <w:tcW w:w="687" w:type="dxa"/>
          </w:tcPr>
          <w:p w14:paraId="1C710627" w14:textId="77777777" w:rsidR="008940B3" w:rsidRPr="00D31977" w:rsidRDefault="008940B3" w:rsidP="00E858EF">
            <w:pPr>
              <w:suppressAutoHyphens/>
              <w:jc w:val="left"/>
              <w:rPr>
                <w:sz w:val="16"/>
                <w:szCs w:val="18"/>
              </w:rPr>
            </w:pPr>
          </w:p>
        </w:tc>
        <w:tc>
          <w:tcPr>
            <w:tcW w:w="426" w:type="dxa"/>
          </w:tcPr>
          <w:p w14:paraId="3705C5EF" w14:textId="77777777" w:rsidR="008940B3" w:rsidRPr="00D31977" w:rsidRDefault="008940B3" w:rsidP="00E858EF">
            <w:pPr>
              <w:suppressAutoHyphens/>
              <w:jc w:val="left"/>
              <w:rPr>
                <w:sz w:val="16"/>
                <w:szCs w:val="18"/>
              </w:rPr>
            </w:pPr>
          </w:p>
        </w:tc>
        <w:tc>
          <w:tcPr>
            <w:tcW w:w="708" w:type="dxa"/>
          </w:tcPr>
          <w:p w14:paraId="73872B67" w14:textId="77777777" w:rsidR="008940B3" w:rsidRPr="00D31977" w:rsidRDefault="008940B3" w:rsidP="00E858EF">
            <w:pPr>
              <w:suppressAutoHyphens/>
              <w:jc w:val="left"/>
              <w:rPr>
                <w:sz w:val="16"/>
                <w:szCs w:val="18"/>
              </w:rPr>
            </w:pPr>
          </w:p>
        </w:tc>
        <w:tc>
          <w:tcPr>
            <w:tcW w:w="851" w:type="dxa"/>
          </w:tcPr>
          <w:p w14:paraId="2398F67F" w14:textId="77777777" w:rsidR="008940B3" w:rsidRPr="00D31977" w:rsidRDefault="008940B3" w:rsidP="00E858EF">
            <w:pPr>
              <w:suppressAutoHyphens/>
              <w:jc w:val="left"/>
              <w:rPr>
                <w:sz w:val="16"/>
                <w:szCs w:val="18"/>
              </w:rPr>
            </w:pPr>
          </w:p>
        </w:tc>
        <w:tc>
          <w:tcPr>
            <w:tcW w:w="709" w:type="dxa"/>
          </w:tcPr>
          <w:p w14:paraId="3E352527" w14:textId="77777777" w:rsidR="008940B3" w:rsidRPr="00D31977" w:rsidRDefault="008940B3" w:rsidP="00E858EF">
            <w:pPr>
              <w:suppressAutoHyphens/>
              <w:jc w:val="left"/>
              <w:rPr>
                <w:sz w:val="16"/>
                <w:szCs w:val="18"/>
              </w:rPr>
            </w:pPr>
          </w:p>
        </w:tc>
        <w:tc>
          <w:tcPr>
            <w:tcW w:w="1134" w:type="dxa"/>
          </w:tcPr>
          <w:p w14:paraId="17DF19CB" w14:textId="77777777" w:rsidR="008940B3" w:rsidRPr="00D31977" w:rsidRDefault="008940B3" w:rsidP="00E858EF">
            <w:pPr>
              <w:suppressAutoHyphens/>
              <w:jc w:val="left"/>
              <w:rPr>
                <w:color w:val="000000"/>
                <w:sz w:val="16"/>
                <w:szCs w:val="18"/>
              </w:rPr>
            </w:pPr>
          </w:p>
        </w:tc>
        <w:tc>
          <w:tcPr>
            <w:tcW w:w="423" w:type="dxa"/>
          </w:tcPr>
          <w:p w14:paraId="64ED454E" w14:textId="77777777" w:rsidR="008940B3" w:rsidRPr="00D31977" w:rsidRDefault="008940B3" w:rsidP="00E858EF">
            <w:pPr>
              <w:suppressAutoHyphens/>
              <w:jc w:val="left"/>
              <w:rPr>
                <w:sz w:val="16"/>
                <w:szCs w:val="18"/>
              </w:rPr>
            </w:pPr>
          </w:p>
        </w:tc>
      </w:tr>
    </w:tbl>
    <w:p w14:paraId="7DDDF1B2"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68E3705" w14:textId="77777777" w:rsidR="008940B3" w:rsidRDefault="008940B3" w:rsidP="00E858EF">
      <w:pPr>
        <w:pStyle w:val="Titolo4"/>
        <w:keepNext w:val="0"/>
        <w:keepLines w:val="0"/>
        <w:suppressAutoHyphens/>
        <w:ind w:left="864" w:hanging="864"/>
        <w:contextualSpacing w:val="0"/>
      </w:pPr>
      <w:bookmarkStart w:id="362" w:name="_Toc389131198"/>
      <w:bookmarkStart w:id="363" w:name="_Toc517876526"/>
      <w:r>
        <w:rPr>
          <w:noProof/>
        </w:rPr>
        <w:t>What is the proportion throughout the region and within each cemetery of tombs with larnakes to tombs without larnakes</w:t>
      </w:r>
      <w:r w:rsidRPr="00B72C93">
        <w:t>?</w:t>
      </w:r>
      <w:bookmarkEnd w:id="362"/>
      <w:bookmarkEnd w:id="363"/>
      <w:r w:rsidRPr="003B5C8D">
        <w:t xml:space="preserve"> </w:t>
      </w:r>
    </w:p>
    <w:p w14:paraId="58E1904F" w14:textId="77777777" w:rsidR="008940B3" w:rsidRPr="003B5C8D" w:rsidRDefault="008940B3" w:rsidP="008041D1">
      <w:r w:rsidRPr="003B5C8D">
        <w:t xml:space="preserve">In the </w:t>
      </w:r>
      <w:r>
        <w:t>Mid-East</w:t>
      </w:r>
      <w:r w:rsidRPr="003B5C8D">
        <w:t xml:space="preserve"> area 50% of cemeteries with larnax burials </w:t>
      </w:r>
      <w:r>
        <w:t>were</w:t>
      </w:r>
      <w:r w:rsidRPr="003B5C8D">
        <w:t xml:space="preserve"> found tombs without clay larnax use. Th</w:t>
      </w:r>
      <w:r>
        <w:t>e</w:t>
      </w:r>
      <w:r w:rsidRPr="003B5C8D">
        <w:t xml:space="preserve"> data do</w:t>
      </w:r>
      <w:r>
        <w:t xml:space="preserve"> no</w:t>
      </w:r>
      <w:r w:rsidRPr="003B5C8D">
        <w:t xml:space="preserve">t change </w:t>
      </w:r>
      <w:r>
        <w:t>much if</w:t>
      </w:r>
      <w:r w:rsidRPr="003B5C8D">
        <w:t xml:space="preserve"> we </w:t>
      </w:r>
      <w:r>
        <w:t>consider</w:t>
      </w:r>
      <w:r w:rsidRPr="003B5C8D">
        <w:t xml:space="preserve"> the number of tombs </w:t>
      </w:r>
      <w:r>
        <w:t>rather than</w:t>
      </w:r>
      <w:r w:rsidRPr="003B5C8D">
        <w:t xml:space="preserve"> cemeteries. Tombs without larnakes generally </w:t>
      </w:r>
      <w:r>
        <w:t>exceed</w:t>
      </w:r>
      <w:r w:rsidRPr="003B5C8D">
        <w:t xml:space="preserve"> the number of tombs with larnax burials</w:t>
      </w:r>
      <w:r>
        <w:t>, for example, at</w:t>
      </w:r>
      <w:r w:rsidRPr="003B5C8D">
        <w:t xml:space="preserve"> the cemeter</w:t>
      </w:r>
      <w:r>
        <w:t>ies</w:t>
      </w:r>
      <w:r w:rsidRPr="003B5C8D">
        <w:t xml:space="preserve"> </w:t>
      </w:r>
      <w:r>
        <w:t>at</w:t>
      </w:r>
      <w:r w:rsidRPr="003B5C8D">
        <w:t xml:space="preserve"> Elounda (Van Effenterre 1948:</w:t>
      </w:r>
      <w:r>
        <w:t xml:space="preserve"> </w:t>
      </w:r>
      <w:r w:rsidRPr="003B5C8D">
        <w:t>7-13, 45-59), Karphi (</w:t>
      </w:r>
      <w:r>
        <w:t>Pendleb</w:t>
      </w:r>
      <w:r w:rsidRPr="003B5C8D">
        <w:t xml:space="preserve">ury </w:t>
      </w:r>
      <w:r w:rsidRPr="002B5BD6">
        <w:rPr>
          <w:iCs/>
        </w:rPr>
        <w:t>et al.</w:t>
      </w:r>
      <w:r w:rsidRPr="003B5C8D">
        <w:t xml:space="preserve"> 1937-8b:</w:t>
      </w:r>
      <w:r>
        <w:t xml:space="preserve"> </w:t>
      </w:r>
      <w:r w:rsidRPr="003B5C8D">
        <w:t>1</w:t>
      </w:r>
      <w:r>
        <w:t>00-112) and Kritsa (Tsipopoulou and</w:t>
      </w:r>
      <w:r w:rsidRPr="003B5C8D">
        <w:t xml:space="preserve"> Vagnetti 2006).</w:t>
      </w:r>
    </w:p>
    <w:p w14:paraId="5F164F1F"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7778CA65" wp14:editId="404483F6">
            <wp:extent cx="4679950" cy="2247900"/>
            <wp:effectExtent l="0" t="0" r="6350" b="0"/>
            <wp:docPr id="54" name="Gra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5E6371E" w14:textId="1B0FC422" w:rsidR="008940B3" w:rsidRDefault="008940B3" w:rsidP="00E858EF">
      <w:pPr>
        <w:pStyle w:val="Didascalia"/>
        <w:suppressAutoHyphens/>
      </w:pPr>
      <w:bookmarkStart w:id="364" w:name="_Toc520212320"/>
      <w:r>
        <w:t>Figure 3- 38. Larnax distribution by tomb</w:t>
      </w:r>
      <w:r w:rsidR="005E1C18">
        <w:t>,</w:t>
      </w:r>
      <w:r>
        <w:t xml:space="preserve"> Mid-East area</w:t>
      </w:r>
      <w:bookmarkEnd w:id="364"/>
      <w:r w:rsidDel="00255D08">
        <w:t xml:space="preserve"> </w:t>
      </w:r>
    </w:p>
    <w:p w14:paraId="1BDD7874" w14:textId="77777777" w:rsidR="008940B3" w:rsidRPr="003B5C8D" w:rsidRDefault="008940B3" w:rsidP="00E858EF">
      <w:pPr>
        <w:pStyle w:val="Didascalia"/>
        <w:suppressAutoHyphens/>
        <w:rPr>
          <w:color w:val="000000"/>
          <w:sz w:val="22"/>
          <w:szCs w:val="22"/>
        </w:rPr>
      </w:pPr>
      <w:bookmarkStart w:id="365" w:name="_Toc519814593"/>
      <w:bookmarkStart w:id="366" w:name="_Toc519894780"/>
      <w:bookmarkStart w:id="367" w:name="_Toc520212321"/>
      <w:r>
        <w:rPr>
          <w:noProof/>
          <w:lang w:val="it-IT"/>
        </w:rPr>
        <w:drawing>
          <wp:inline distT="0" distB="0" distL="0" distR="0" wp14:anchorId="53B987EF" wp14:editId="43798BB8">
            <wp:extent cx="5362575" cy="2390775"/>
            <wp:effectExtent l="0" t="0" r="9525" b="9525"/>
            <wp:docPr id="55" name="Gra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bookmarkEnd w:id="365"/>
      <w:bookmarkEnd w:id="366"/>
      <w:bookmarkEnd w:id="367"/>
    </w:p>
    <w:p w14:paraId="1A62CC0A" w14:textId="2C41D35F" w:rsidR="008940B3" w:rsidRDefault="008940B3" w:rsidP="00E858EF">
      <w:pPr>
        <w:pStyle w:val="Didascalia"/>
        <w:suppressAutoHyphens/>
      </w:pPr>
      <w:bookmarkStart w:id="368" w:name="_Toc520212322"/>
      <w:r>
        <w:t>Figure 3-39. Tombs with</w:t>
      </w:r>
      <w:r w:rsidR="00761573">
        <w:t xml:space="preserve"> </w:t>
      </w:r>
      <w:r w:rsidR="00B4246A">
        <w:t>larnax</w:t>
      </w:r>
      <w:r>
        <w:t xml:space="preserve"> occurrence and tombs without larnakes</w:t>
      </w:r>
      <w:r w:rsidR="005E1C18">
        <w:t>,</w:t>
      </w:r>
      <w:r>
        <w:t xml:space="preserve"> Mid-East area</w:t>
      </w:r>
      <w:bookmarkEnd w:id="368"/>
      <w:r w:rsidDel="00471660">
        <w:t xml:space="preserve"> </w:t>
      </w:r>
    </w:p>
    <w:p w14:paraId="5B3A6390"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b/>
          <w:bCs/>
          <w:color w:val="000000"/>
          <w:sz w:val="22"/>
          <w:szCs w:val="22"/>
        </w:rPr>
      </w:pPr>
    </w:p>
    <w:p w14:paraId="6A0A7389" w14:textId="77777777" w:rsidR="008940B3" w:rsidRPr="003B5C8D" w:rsidRDefault="008940B3" w:rsidP="00E858EF">
      <w:pPr>
        <w:pStyle w:val="Titolo3"/>
        <w:keepNext w:val="0"/>
        <w:keepLines w:val="0"/>
        <w:suppressAutoHyphens/>
      </w:pPr>
      <w:bookmarkStart w:id="369" w:name="_Toc389131199"/>
      <w:bookmarkStart w:id="370" w:name="_Toc517876527"/>
      <w:bookmarkStart w:id="371" w:name="_Toc519894634"/>
      <w:r w:rsidRPr="005478D8">
        <w:t>Tombs</w:t>
      </w:r>
      <w:bookmarkEnd w:id="369"/>
      <w:bookmarkEnd w:id="370"/>
      <w:bookmarkEnd w:id="371"/>
    </w:p>
    <w:p w14:paraId="2DFF4203" w14:textId="77777777" w:rsidR="008940B3" w:rsidRPr="003B5C8D" w:rsidRDefault="008940B3" w:rsidP="00841E86">
      <w:r w:rsidRPr="003B5C8D">
        <w:t xml:space="preserve">The </w:t>
      </w:r>
      <w:r>
        <w:t xml:space="preserve">number of </w:t>
      </w:r>
      <w:r w:rsidRPr="003B5C8D">
        <w:t xml:space="preserve">secure tombs for </w:t>
      </w:r>
      <w:r>
        <w:t xml:space="preserve">the Mid-East </w:t>
      </w:r>
      <w:r w:rsidRPr="003B5C8D">
        <w:t xml:space="preserve">region </w:t>
      </w:r>
      <w:r>
        <w:t>is</w:t>
      </w:r>
      <w:r w:rsidRPr="003B5C8D">
        <w:rPr>
          <w:b/>
        </w:rPr>
        <w:t xml:space="preserve"> </w:t>
      </w:r>
      <w:r w:rsidRPr="002B5BD6">
        <w:t>44</w:t>
      </w:r>
      <w:r>
        <w:t>,</w:t>
      </w:r>
      <w:r w:rsidRPr="003B5C8D">
        <w:rPr>
          <w:b/>
        </w:rPr>
        <w:t xml:space="preserve"> </w:t>
      </w:r>
      <w:r w:rsidRPr="003B5C8D">
        <w:t xml:space="preserve">and </w:t>
      </w:r>
      <w:r>
        <w:t>this</w:t>
      </w:r>
      <w:r w:rsidRPr="003B5C8D">
        <w:t xml:space="preserve"> constitute</w:t>
      </w:r>
      <w:r>
        <w:t>s</w:t>
      </w:r>
      <w:r w:rsidRPr="003B5C8D">
        <w:t xml:space="preserve"> the sample </w:t>
      </w:r>
      <w:r>
        <w:t>in</w:t>
      </w:r>
      <w:r w:rsidRPr="003B5C8D">
        <w:t xml:space="preserve"> the following analysis.</w:t>
      </w:r>
    </w:p>
    <w:p w14:paraId="34942E81" w14:textId="77777777" w:rsidR="008940B3" w:rsidRPr="00AB66FA" w:rsidRDefault="008940B3" w:rsidP="00E858EF">
      <w:pPr>
        <w:pStyle w:val="Titolo4"/>
        <w:keepNext w:val="0"/>
        <w:keepLines w:val="0"/>
        <w:suppressAutoHyphens/>
        <w:ind w:left="864" w:hanging="864"/>
        <w:contextualSpacing w:val="0"/>
      </w:pPr>
      <w:bookmarkStart w:id="372" w:name="_Toc389131200"/>
      <w:bookmarkStart w:id="373" w:name="_Toc517876528"/>
      <w:r>
        <w:t>Typology</w:t>
      </w:r>
      <w:r w:rsidRPr="00AB66FA">
        <w:t xml:space="preserve">: </w:t>
      </w:r>
      <w:r>
        <w:t>W</w:t>
      </w:r>
      <w:r w:rsidRPr="00AB66FA">
        <w:t xml:space="preserve">hich tomb types </w:t>
      </w:r>
      <w:r>
        <w:t>are</w:t>
      </w:r>
      <w:r w:rsidRPr="00AB66FA">
        <w:t xml:space="preserve"> associated </w:t>
      </w:r>
      <w:r>
        <w:t xml:space="preserve">with </w:t>
      </w:r>
      <w:r w:rsidRPr="00AB66FA">
        <w:t>larnakes?</w:t>
      </w:r>
      <w:bookmarkEnd w:id="372"/>
      <w:bookmarkEnd w:id="373"/>
    </w:p>
    <w:p w14:paraId="33C8D44B" w14:textId="77777777" w:rsidR="008940B3" w:rsidRPr="003B5C8D" w:rsidRDefault="008940B3" w:rsidP="00841E86">
      <w:r w:rsidRPr="003B5C8D">
        <w:t xml:space="preserve">In the </w:t>
      </w:r>
      <w:r>
        <w:t>Mid-East</w:t>
      </w:r>
      <w:r w:rsidRPr="003B5C8D">
        <w:t xml:space="preserve"> area</w:t>
      </w:r>
      <w:r>
        <w:t>, the most common tomb type</w:t>
      </w:r>
      <w:r w:rsidRPr="003B5C8D">
        <w:t xml:space="preserve"> associated with larnakes is</w:t>
      </w:r>
      <w:r>
        <w:t xml:space="preserve"> the</w:t>
      </w:r>
      <w:r w:rsidRPr="003B5C8D">
        <w:t xml:space="preserve"> cave/rock shelter (48%). All cave/rock</w:t>
      </w:r>
      <w:r>
        <w:t>-</w:t>
      </w:r>
      <w:r w:rsidRPr="003B5C8D">
        <w:t>shelter tombs come from</w:t>
      </w:r>
      <w:r>
        <w:t xml:space="preserve"> the</w:t>
      </w:r>
      <w:r w:rsidRPr="003B5C8D">
        <w:t xml:space="preserve"> Elounda cemetery, the </w:t>
      </w:r>
      <w:r>
        <w:t>largest</w:t>
      </w:r>
      <w:r w:rsidRPr="003B5C8D">
        <w:t xml:space="preserve"> cemetery in terms of number of tombs. Chamber tombs are the second </w:t>
      </w:r>
      <w:r>
        <w:t>most</w:t>
      </w:r>
      <w:r w:rsidRPr="003B5C8D">
        <w:t xml:space="preserve"> adopted type in the area (38%). </w:t>
      </w:r>
      <w:r>
        <w:t>Regarding the other tomb typ</w:t>
      </w:r>
      <w:r w:rsidRPr="003B5C8D">
        <w:t>es</w:t>
      </w:r>
      <w:r>
        <w:t>,</w:t>
      </w:r>
      <w:r w:rsidRPr="003B5C8D">
        <w:t xml:space="preserve"> their presence is limited to small percentage</w:t>
      </w:r>
      <w:r>
        <w:t>s</w:t>
      </w:r>
      <w:r w:rsidRPr="003B5C8D">
        <w:t>. At Malia</w:t>
      </w:r>
      <w:r>
        <w:t>, there are four tomb typ</w:t>
      </w:r>
      <w:r w:rsidRPr="003B5C8D">
        <w:t xml:space="preserve">es, </w:t>
      </w:r>
      <w:r>
        <w:t>among</w:t>
      </w:r>
      <w:r w:rsidRPr="003B5C8D">
        <w:t xml:space="preserve"> which there is also the burial building of the</w:t>
      </w:r>
      <w:r w:rsidRPr="00BA19C1">
        <w:t xml:space="preserve"> </w:t>
      </w:r>
      <w:r w:rsidRPr="00921208">
        <w:rPr>
          <w:i/>
        </w:rPr>
        <w:t>Maison des Mortes</w:t>
      </w:r>
      <w:r>
        <w:t>.</w:t>
      </w:r>
    </w:p>
    <w:p w14:paraId="3A851B63"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277C5D5B" wp14:editId="66896A8D">
            <wp:extent cx="4680000" cy="2520000"/>
            <wp:effectExtent l="0" t="0" r="6350" b="13970"/>
            <wp:docPr id="74" name="Grafico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3B5C8D" w:rsidDel="00E6674B">
        <w:rPr>
          <w:noProof/>
          <w:sz w:val="22"/>
          <w:szCs w:val="22"/>
        </w:rPr>
        <w:t xml:space="preserve"> </w:t>
      </w:r>
    </w:p>
    <w:p w14:paraId="1F786C26" w14:textId="77777777" w:rsidR="008940B3" w:rsidRDefault="008940B3" w:rsidP="00E858EF">
      <w:pPr>
        <w:pStyle w:val="Didascalia"/>
        <w:suppressAutoHyphens/>
      </w:pPr>
      <w:bookmarkStart w:id="374" w:name="_Toc520212323"/>
      <w:r>
        <w:t>Figure 3-40. Tomb types associated with larnax burials in the Mid-East area</w:t>
      </w:r>
      <w:bookmarkEnd w:id="374"/>
      <w:r w:rsidDel="00FD17A0">
        <w:t xml:space="preserve"> </w:t>
      </w:r>
      <w:r>
        <w:t xml:space="preserve"> </w:t>
      </w:r>
    </w:p>
    <w:p w14:paraId="69D9B6B5" w14:textId="3869452F" w:rsidR="008940B3" w:rsidRPr="003B5C8D" w:rsidRDefault="008940B3" w:rsidP="00E858EF">
      <w:pPr>
        <w:pStyle w:val="Testofumetto"/>
        <w:suppressAutoHyphens/>
      </w:pPr>
      <w:bookmarkStart w:id="375" w:name="_Toc520212548"/>
      <w:r>
        <w:t>Table 3-59. Tomb types associated with larnax by cemetery</w:t>
      </w:r>
      <w:r w:rsidR="005E1C18">
        <w:t>,</w:t>
      </w:r>
      <w:r>
        <w:t xml:space="preserve"> Mid-East area</w:t>
      </w:r>
      <w:bookmarkEnd w:id="37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9"/>
        <w:gridCol w:w="406"/>
        <w:gridCol w:w="608"/>
        <w:gridCol w:w="387"/>
        <w:gridCol w:w="590"/>
        <w:gridCol w:w="526"/>
        <w:gridCol w:w="616"/>
        <w:gridCol w:w="547"/>
        <w:gridCol w:w="684"/>
        <w:gridCol w:w="303"/>
        <w:gridCol w:w="590"/>
        <w:gridCol w:w="537"/>
        <w:gridCol w:w="615"/>
        <w:gridCol w:w="513"/>
        <w:gridCol w:w="513"/>
      </w:tblGrid>
      <w:tr w:rsidR="008940B3" w:rsidRPr="00841E86" w14:paraId="176C27AC" w14:textId="77777777" w:rsidTr="008940B3">
        <w:trPr>
          <w:trHeight w:val="405"/>
        </w:trPr>
        <w:tc>
          <w:tcPr>
            <w:tcW w:w="1445" w:type="dxa"/>
          </w:tcPr>
          <w:p w14:paraId="604333D7" w14:textId="77777777" w:rsidR="008940B3" w:rsidRPr="00841E86" w:rsidRDefault="008940B3" w:rsidP="00E858EF">
            <w:pPr>
              <w:suppressAutoHyphens/>
              <w:jc w:val="left"/>
              <w:rPr>
                <w:rFonts w:eastAsia="Times New Roman"/>
                <w:b/>
                <w:bCs/>
                <w:sz w:val="16"/>
                <w:szCs w:val="12"/>
              </w:rPr>
            </w:pPr>
            <w:r w:rsidRPr="00841E86">
              <w:rPr>
                <w:rFonts w:eastAsia="Times New Roman"/>
                <w:bCs/>
                <w:sz w:val="16"/>
                <w:szCs w:val="12"/>
              </w:rPr>
              <w:t>CEMETERIES</w:t>
            </w:r>
          </w:p>
        </w:tc>
        <w:tc>
          <w:tcPr>
            <w:tcW w:w="1229" w:type="dxa"/>
            <w:gridSpan w:val="2"/>
            <w:hideMark/>
          </w:tcPr>
          <w:p w14:paraId="0D28A323" w14:textId="77777777" w:rsidR="008940B3" w:rsidRPr="00841E86" w:rsidRDefault="008940B3" w:rsidP="00E858EF">
            <w:pPr>
              <w:suppressAutoHyphens/>
              <w:jc w:val="center"/>
              <w:rPr>
                <w:sz w:val="16"/>
                <w:szCs w:val="12"/>
              </w:rPr>
            </w:pPr>
            <w:r w:rsidRPr="00841E86">
              <w:rPr>
                <w:rFonts w:eastAsia="Times New Roman"/>
                <w:bCs/>
                <w:color w:val="000000"/>
                <w:sz w:val="16"/>
                <w:szCs w:val="12"/>
              </w:rPr>
              <w:t>CHAMBER TOMBS</w:t>
            </w:r>
          </w:p>
        </w:tc>
        <w:tc>
          <w:tcPr>
            <w:tcW w:w="1171" w:type="dxa"/>
            <w:gridSpan w:val="2"/>
          </w:tcPr>
          <w:p w14:paraId="6B073BFF" w14:textId="77777777" w:rsidR="008940B3" w:rsidRPr="00841E86" w:rsidRDefault="008940B3" w:rsidP="00E858EF">
            <w:pPr>
              <w:suppressAutoHyphens/>
              <w:jc w:val="center"/>
              <w:rPr>
                <w:color w:val="000000"/>
                <w:sz w:val="16"/>
                <w:szCs w:val="12"/>
              </w:rPr>
            </w:pPr>
            <w:r w:rsidRPr="00841E86">
              <w:rPr>
                <w:color w:val="000000"/>
                <w:sz w:val="16"/>
                <w:szCs w:val="12"/>
              </w:rPr>
              <w:t>CORBEL VAULTED</w:t>
            </w:r>
          </w:p>
        </w:tc>
        <w:tc>
          <w:tcPr>
            <w:tcW w:w="1117" w:type="dxa"/>
            <w:gridSpan w:val="2"/>
          </w:tcPr>
          <w:p w14:paraId="0F958E04" w14:textId="77777777" w:rsidR="008940B3" w:rsidRPr="00841E86" w:rsidRDefault="008940B3" w:rsidP="00E858EF">
            <w:pPr>
              <w:suppressAutoHyphens/>
              <w:jc w:val="center"/>
              <w:rPr>
                <w:color w:val="000000"/>
                <w:sz w:val="16"/>
                <w:szCs w:val="12"/>
              </w:rPr>
            </w:pPr>
            <w:r w:rsidRPr="00841E86">
              <w:rPr>
                <w:color w:val="000000"/>
                <w:sz w:val="16"/>
                <w:szCs w:val="12"/>
              </w:rPr>
              <w:t>CAVE/ROCK SHELTER</w:t>
            </w:r>
          </w:p>
        </w:tc>
        <w:tc>
          <w:tcPr>
            <w:tcW w:w="1168" w:type="dxa"/>
            <w:gridSpan w:val="2"/>
          </w:tcPr>
          <w:p w14:paraId="7775E3FA" w14:textId="77777777" w:rsidR="008940B3" w:rsidRPr="00841E86" w:rsidRDefault="008940B3" w:rsidP="00E858EF">
            <w:pPr>
              <w:suppressAutoHyphens/>
              <w:jc w:val="center"/>
              <w:rPr>
                <w:color w:val="000000"/>
                <w:sz w:val="16"/>
                <w:szCs w:val="12"/>
              </w:rPr>
            </w:pPr>
            <w:r w:rsidRPr="00841E86">
              <w:rPr>
                <w:color w:val="000000"/>
                <w:sz w:val="16"/>
                <w:szCs w:val="12"/>
              </w:rPr>
              <w:t>RECEPTACLE BURIAL</w:t>
            </w:r>
          </w:p>
        </w:tc>
        <w:tc>
          <w:tcPr>
            <w:tcW w:w="1171" w:type="dxa"/>
            <w:gridSpan w:val="2"/>
          </w:tcPr>
          <w:p w14:paraId="00B7D454" w14:textId="77777777" w:rsidR="008940B3" w:rsidRPr="00841E86" w:rsidRDefault="008940B3" w:rsidP="00E858EF">
            <w:pPr>
              <w:suppressAutoHyphens/>
              <w:jc w:val="center"/>
              <w:rPr>
                <w:color w:val="000000"/>
                <w:sz w:val="16"/>
                <w:szCs w:val="12"/>
              </w:rPr>
            </w:pPr>
            <w:r w:rsidRPr="00841E86">
              <w:rPr>
                <w:color w:val="000000"/>
                <w:sz w:val="16"/>
                <w:szCs w:val="12"/>
              </w:rPr>
              <w:t>PIT</w:t>
            </w:r>
          </w:p>
        </w:tc>
        <w:tc>
          <w:tcPr>
            <w:tcW w:w="1265" w:type="dxa"/>
            <w:gridSpan w:val="2"/>
          </w:tcPr>
          <w:p w14:paraId="27593A36" w14:textId="77777777" w:rsidR="008940B3" w:rsidRPr="00841E86" w:rsidRDefault="008940B3" w:rsidP="00E858EF">
            <w:pPr>
              <w:suppressAutoHyphens/>
              <w:jc w:val="center"/>
              <w:rPr>
                <w:color w:val="000000"/>
                <w:sz w:val="16"/>
                <w:szCs w:val="12"/>
              </w:rPr>
            </w:pPr>
            <w:r w:rsidRPr="00841E86">
              <w:rPr>
                <w:color w:val="000000"/>
                <w:sz w:val="16"/>
                <w:szCs w:val="12"/>
              </w:rPr>
              <w:t>DISUSED STRUCTURE</w:t>
            </w:r>
          </w:p>
        </w:tc>
        <w:tc>
          <w:tcPr>
            <w:tcW w:w="1282" w:type="dxa"/>
            <w:gridSpan w:val="2"/>
          </w:tcPr>
          <w:p w14:paraId="251AFD17" w14:textId="77777777" w:rsidR="008940B3" w:rsidRPr="00841E86" w:rsidRDefault="008940B3" w:rsidP="00E858EF">
            <w:pPr>
              <w:suppressAutoHyphens/>
              <w:jc w:val="center"/>
              <w:rPr>
                <w:color w:val="000000"/>
                <w:sz w:val="16"/>
                <w:szCs w:val="12"/>
              </w:rPr>
            </w:pPr>
            <w:r w:rsidRPr="00841E86">
              <w:rPr>
                <w:color w:val="000000"/>
                <w:sz w:val="16"/>
                <w:szCs w:val="12"/>
              </w:rPr>
              <w:t>N/A</w:t>
            </w:r>
          </w:p>
        </w:tc>
      </w:tr>
      <w:tr w:rsidR="008940B3" w:rsidRPr="00841E86" w14:paraId="4B18B518" w14:textId="77777777" w:rsidTr="008940B3">
        <w:trPr>
          <w:trHeight w:val="315"/>
        </w:trPr>
        <w:tc>
          <w:tcPr>
            <w:tcW w:w="1445" w:type="dxa"/>
          </w:tcPr>
          <w:p w14:paraId="2B3AB82E" w14:textId="77777777" w:rsidR="008940B3" w:rsidRPr="00841E86" w:rsidRDefault="008940B3" w:rsidP="00E858EF">
            <w:pPr>
              <w:suppressAutoHyphens/>
              <w:jc w:val="left"/>
              <w:rPr>
                <w:sz w:val="16"/>
                <w:szCs w:val="12"/>
              </w:rPr>
            </w:pPr>
            <w:r w:rsidRPr="00841E86">
              <w:rPr>
                <w:rFonts w:eastAsia="Times New Roman"/>
                <w:sz w:val="16"/>
                <w:szCs w:val="12"/>
              </w:rPr>
              <w:t>ELOUNDA</w:t>
            </w:r>
          </w:p>
        </w:tc>
        <w:tc>
          <w:tcPr>
            <w:tcW w:w="1229" w:type="dxa"/>
            <w:gridSpan w:val="2"/>
            <w:hideMark/>
          </w:tcPr>
          <w:p w14:paraId="06B891DF" w14:textId="77777777" w:rsidR="008940B3" w:rsidRPr="00841E86" w:rsidRDefault="008940B3" w:rsidP="00E858EF">
            <w:pPr>
              <w:suppressAutoHyphens/>
              <w:jc w:val="center"/>
              <w:rPr>
                <w:sz w:val="16"/>
                <w:szCs w:val="12"/>
              </w:rPr>
            </w:pPr>
          </w:p>
        </w:tc>
        <w:tc>
          <w:tcPr>
            <w:tcW w:w="1171" w:type="dxa"/>
            <w:gridSpan w:val="2"/>
          </w:tcPr>
          <w:p w14:paraId="71C0C8FA" w14:textId="77777777" w:rsidR="008940B3" w:rsidRPr="00841E86" w:rsidRDefault="008940B3" w:rsidP="00E858EF">
            <w:pPr>
              <w:suppressAutoHyphens/>
              <w:jc w:val="center"/>
              <w:rPr>
                <w:color w:val="000000"/>
                <w:sz w:val="16"/>
                <w:szCs w:val="12"/>
              </w:rPr>
            </w:pPr>
          </w:p>
        </w:tc>
        <w:tc>
          <w:tcPr>
            <w:tcW w:w="557" w:type="dxa"/>
          </w:tcPr>
          <w:p w14:paraId="0BEB006B" w14:textId="77777777" w:rsidR="008940B3" w:rsidRPr="00841E86" w:rsidRDefault="008940B3" w:rsidP="00E858EF">
            <w:pPr>
              <w:suppressAutoHyphens/>
              <w:jc w:val="center"/>
              <w:rPr>
                <w:color w:val="000000"/>
                <w:sz w:val="16"/>
                <w:szCs w:val="12"/>
              </w:rPr>
            </w:pPr>
            <w:r w:rsidRPr="00841E86">
              <w:rPr>
                <w:color w:val="000000"/>
                <w:sz w:val="16"/>
                <w:szCs w:val="12"/>
              </w:rPr>
              <w:t>21</w:t>
            </w:r>
          </w:p>
        </w:tc>
        <w:tc>
          <w:tcPr>
            <w:tcW w:w="560" w:type="dxa"/>
          </w:tcPr>
          <w:p w14:paraId="517BBFCB" w14:textId="77777777" w:rsidR="008940B3" w:rsidRPr="00841E86" w:rsidRDefault="008940B3" w:rsidP="00E858EF">
            <w:pPr>
              <w:suppressAutoHyphens/>
              <w:jc w:val="center"/>
              <w:rPr>
                <w:color w:val="000000"/>
                <w:sz w:val="16"/>
                <w:szCs w:val="12"/>
              </w:rPr>
            </w:pPr>
            <w:r w:rsidRPr="00841E86">
              <w:rPr>
                <w:color w:val="000000"/>
                <w:sz w:val="16"/>
                <w:szCs w:val="12"/>
              </w:rPr>
              <w:t>1005</w:t>
            </w:r>
          </w:p>
        </w:tc>
        <w:tc>
          <w:tcPr>
            <w:tcW w:w="1168" w:type="dxa"/>
            <w:gridSpan w:val="2"/>
          </w:tcPr>
          <w:p w14:paraId="1379AE0F" w14:textId="77777777" w:rsidR="008940B3" w:rsidRPr="00841E86" w:rsidRDefault="008940B3" w:rsidP="00E858EF">
            <w:pPr>
              <w:suppressAutoHyphens/>
              <w:jc w:val="center"/>
              <w:rPr>
                <w:color w:val="000000"/>
                <w:sz w:val="16"/>
                <w:szCs w:val="12"/>
              </w:rPr>
            </w:pPr>
          </w:p>
        </w:tc>
        <w:tc>
          <w:tcPr>
            <w:tcW w:w="1171" w:type="dxa"/>
            <w:gridSpan w:val="2"/>
          </w:tcPr>
          <w:p w14:paraId="3E172AB9" w14:textId="77777777" w:rsidR="008940B3" w:rsidRPr="00841E86" w:rsidRDefault="008940B3" w:rsidP="00E858EF">
            <w:pPr>
              <w:suppressAutoHyphens/>
              <w:jc w:val="center"/>
              <w:rPr>
                <w:color w:val="000000"/>
                <w:sz w:val="16"/>
                <w:szCs w:val="12"/>
              </w:rPr>
            </w:pPr>
          </w:p>
        </w:tc>
        <w:tc>
          <w:tcPr>
            <w:tcW w:w="1265" w:type="dxa"/>
            <w:gridSpan w:val="2"/>
          </w:tcPr>
          <w:p w14:paraId="19CEDAAB" w14:textId="77777777" w:rsidR="008940B3" w:rsidRPr="00841E86" w:rsidRDefault="008940B3" w:rsidP="00E858EF">
            <w:pPr>
              <w:suppressAutoHyphens/>
              <w:jc w:val="center"/>
              <w:rPr>
                <w:color w:val="000000"/>
                <w:sz w:val="16"/>
                <w:szCs w:val="12"/>
              </w:rPr>
            </w:pPr>
          </w:p>
        </w:tc>
        <w:tc>
          <w:tcPr>
            <w:tcW w:w="1282" w:type="dxa"/>
            <w:gridSpan w:val="2"/>
          </w:tcPr>
          <w:p w14:paraId="2FA79555" w14:textId="77777777" w:rsidR="008940B3" w:rsidRPr="00841E86" w:rsidRDefault="008940B3" w:rsidP="00E858EF">
            <w:pPr>
              <w:suppressAutoHyphens/>
              <w:jc w:val="center"/>
              <w:rPr>
                <w:color w:val="000000"/>
                <w:sz w:val="16"/>
                <w:szCs w:val="12"/>
              </w:rPr>
            </w:pPr>
          </w:p>
        </w:tc>
      </w:tr>
      <w:tr w:rsidR="008940B3" w:rsidRPr="00841E86" w14:paraId="61652217" w14:textId="77777777" w:rsidTr="008940B3">
        <w:trPr>
          <w:trHeight w:val="315"/>
        </w:trPr>
        <w:tc>
          <w:tcPr>
            <w:tcW w:w="1445" w:type="dxa"/>
          </w:tcPr>
          <w:p w14:paraId="0DE8440C" w14:textId="77777777" w:rsidR="008940B3" w:rsidRPr="00841E86" w:rsidRDefault="008940B3" w:rsidP="00E858EF">
            <w:pPr>
              <w:suppressAutoHyphens/>
              <w:jc w:val="left"/>
              <w:rPr>
                <w:rFonts w:eastAsia="Times New Roman"/>
                <w:sz w:val="16"/>
                <w:szCs w:val="12"/>
              </w:rPr>
            </w:pPr>
            <w:r w:rsidRPr="00841E86">
              <w:rPr>
                <w:rFonts w:eastAsia="Times New Roman"/>
                <w:sz w:val="16"/>
                <w:szCs w:val="12"/>
              </w:rPr>
              <w:t>KARPHI</w:t>
            </w:r>
          </w:p>
        </w:tc>
        <w:tc>
          <w:tcPr>
            <w:tcW w:w="1229" w:type="dxa"/>
            <w:gridSpan w:val="2"/>
            <w:hideMark/>
          </w:tcPr>
          <w:p w14:paraId="22872A2C" w14:textId="77777777" w:rsidR="008940B3" w:rsidRPr="00841E86" w:rsidRDefault="008940B3" w:rsidP="00E858EF">
            <w:pPr>
              <w:suppressAutoHyphens/>
              <w:jc w:val="center"/>
              <w:rPr>
                <w:sz w:val="16"/>
                <w:szCs w:val="12"/>
              </w:rPr>
            </w:pPr>
          </w:p>
        </w:tc>
        <w:tc>
          <w:tcPr>
            <w:tcW w:w="581" w:type="dxa"/>
          </w:tcPr>
          <w:p w14:paraId="36699B19" w14:textId="77777777" w:rsidR="008940B3" w:rsidRPr="00841E86" w:rsidRDefault="008940B3" w:rsidP="00E858EF">
            <w:pPr>
              <w:suppressAutoHyphens/>
              <w:jc w:val="center"/>
              <w:rPr>
                <w:color w:val="000000"/>
                <w:sz w:val="16"/>
                <w:szCs w:val="12"/>
              </w:rPr>
            </w:pPr>
            <w:r w:rsidRPr="00841E86">
              <w:rPr>
                <w:color w:val="000000"/>
                <w:sz w:val="16"/>
                <w:szCs w:val="12"/>
              </w:rPr>
              <w:t>2</w:t>
            </w:r>
          </w:p>
        </w:tc>
        <w:tc>
          <w:tcPr>
            <w:tcW w:w="590" w:type="dxa"/>
          </w:tcPr>
          <w:p w14:paraId="0C6FE201" w14:textId="77777777" w:rsidR="008940B3" w:rsidRPr="00841E86" w:rsidRDefault="008940B3" w:rsidP="00E858EF">
            <w:pPr>
              <w:suppressAutoHyphens/>
              <w:jc w:val="center"/>
              <w:rPr>
                <w:color w:val="000000"/>
                <w:sz w:val="16"/>
                <w:szCs w:val="12"/>
              </w:rPr>
            </w:pPr>
            <w:r w:rsidRPr="00841E86">
              <w:rPr>
                <w:color w:val="000000"/>
                <w:sz w:val="16"/>
                <w:szCs w:val="12"/>
              </w:rPr>
              <w:t>100%</w:t>
            </w:r>
          </w:p>
        </w:tc>
        <w:tc>
          <w:tcPr>
            <w:tcW w:w="1117" w:type="dxa"/>
            <w:gridSpan w:val="2"/>
          </w:tcPr>
          <w:p w14:paraId="3B3E04A0" w14:textId="77777777" w:rsidR="008940B3" w:rsidRPr="00841E86" w:rsidRDefault="008940B3" w:rsidP="00E858EF">
            <w:pPr>
              <w:suppressAutoHyphens/>
              <w:jc w:val="center"/>
              <w:rPr>
                <w:color w:val="000000"/>
                <w:sz w:val="16"/>
                <w:szCs w:val="12"/>
              </w:rPr>
            </w:pPr>
          </w:p>
        </w:tc>
        <w:tc>
          <w:tcPr>
            <w:tcW w:w="1168" w:type="dxa"/>
            <w:gridSpan w:val="2"/>
          </w:tcPr>
          <w:p w14:paraId="554433CF" w14:textId="77777777" w:rsidR="008940B3" w:rsidRPr="00841E86" w:rsidRDefault="008940B3" w:rsidP="00E858EF">
            <w:pPr>
              <w:suppressAutoHyphens/>
              <w:jc w:val="center"/>
              <w:rPr>
                <w:color w:val="000000"/>
                <w:sz w:val="16"/>
                <w:szCs w:val="12"/>
              </w:rPr>
            </w:pPr>
          </w:p>
        </w:tc>
        <w:tc>
          <w:tcPr>
            <w:tcW w:w="1171" w:type="dxa"/>
            <w:gridSpan w:val="2"/>
          </w:tcPr>
          <w:p w14:paraId="34846331" w14:textId="77777777" w:rsidR="008940B3" w:rsidRPr="00841E86" w:rsidRDefault="008940B3" w:rsidP="00E858EF">
            <w:pPr>
              <w:suppressAutoHyphens/>
              <w:jc w:val="center"/>
              <w:rPr>
                <w:color w:val="000000"/>
                <w:sz w:val="16"/>
                <w:szCs w:val="12"/>
              </w:rPr>
            </w:pPr>
          </w:p>
        </w:tc>
        <w:tc>
          <w:tcPr>
            <w:tcW w:w="1265" w:type="dxa"/>
            <w:gridSpan w:val="2"/>
          </w:tcPr>
          <w:p w14:paraId="55DE2438" w14:textId="77777777" w:rsidR="008940B3" w:rsidRPr="00841E86" w:rsidRDefault="008940B3" w:rsidP="00E858EF">
            <w:pPr>
              <w:suppressAutoHyphens/>
              <w:jc w:val="center"/>
              <w:rPr>
                <w:color w:val="000000"/>
                <w:sz w:val="16"/>
                <w:szCs w:val="12"/>
              </w:rPr>
            </w:pPr>
          </w:p>
        </w:tc>
        <w:tc>
          <w:tcPr>
            <w:tcW w:w="1282" w:type="dxa"/>
            <w:gridSpan w:val="2"/>
          </w:tcPr>
          <w:p w14:paraId="462054E1" w14:textId="77777777" w:rsidR="008940B3" w:rsidRPr="00841E86" w:rsidRDefault="008940B3" w:rsidP="00E858EF">
            <w:pPr>
              <w:suppressAutoHyphens/>
              <w:jc w:val="center"/>
              <w:rPr>
                <w:color w:val="000000"/>
                <w:sz w:val="16"/>
                <w:szCs w:val="12"/>
              </w:rPr>
            </w:pPr>
          </w:p>
        </w:tc>
      </w:tr>
      <w:tr w:rsidR="008940B3" w:rsidRPr="00841E86" w14:paraId="779767CD" w14:textId="77777777" w:rsidTr="008940B3">
        <w:trPr>
          <w:trHeight w:val="315"/>
        </w:trPr>
        <w:tc>
          <w:tcPr>
            <w:tcW w:w="1445" w:type="dxa"/>
          </w:tcPr>
          <w:p w14:paraId="7FD9AAD6" w14:textId="77777777" w:rsidR="008940B3" w:rsidRPr="00841E86" w:rsidRDefault="008940B3" w:rsidP="00E858EF">
            <w:pPr>
              <w:suppressAutoHyphens/>
              <w:jc w:val="left"/>
              <w:rPr>
                <w:rFonts w:eastAsia="Times New Roman"/>
                <w:sz w:val="16"/>
                <w:szCs w:val="12"/>
              </w:rPr>
            </w:pPr>
            <w:r w:rsidRPr="00841E86">
              <w:rPr>
                <w:rFonts w:eastAsia="Times New Roman"/>
                <w:sz w:val="16"/>
                <w:szCs w:val="12"/>
              </w:rPr>
              <w:t>KRITSA</w:t>
            </w:r>
          </w:p>
        </w:tc>
        <w:tc>
          <w:tcPr>
            <w:tcW w:w="610" w:type="dxa"/>
            <w:hideMark/>
          </w:tcPr>
          <w:p w14:paraId="5C7BD5D1" w14:textId="77777777" w:rsidR="008940B3" w:rsidRPr="00841E86" w:rsidRDefault="008940B3" w:rsidP="00E858EF">
            <w:pPr>
              <w:suppressAutoHyphens/>
              <w:jc w:val="center"/>
              <w:rPr>
                <w:sz w:val="16"/>
                <w:szCs w:val="12"/>
              </w:rPr>
            </w:pPr>
            <w:r w:rsidRPr="00841E86">
              <w:rPr>
                <w:rFonts w:eastAsia="Times New Roman"/>
                <w:color w:val="000000"/>
                <w:sz w:val="16"/>
                <w:szCs w:val="12"/>
              </w:rPr>
              <w:t>2</w:t>
            </w:r>
          </w:p>
        </w:tc>
        <w:tc>
          <w:tcPr>
            <w:tcW w:w="619" w:type="dxa"/>
          </w:tcPr>
          <w:p w14:paraId="15C6995B" w14:textId="77777777" w:rsidR="008940B3" w:rsidRPr="00841E86" w:rsidRDefault="008940B3" w:rsidP="00E858EF">
            <w:pPr>
              <w:suppressAutoHyphens/>
              <w:jc w:val="center"/>
              <w:rPr>
                <w:sz w:val="16"/>
                <w:szCs w:val="12"/>
              </w:rPr>
            </w:pPr>
            <w:r w:rsidRPr="00841E86">
              <w:rPr>
                <w:sz w:val="16"/>
                <w:szCs w:val="12"/>
              </w:rPr>
              <w:t>100%</w:t>
            </w:r>
          </w:p>
        </w:tc>
        <w:tc>
          <w:tcPr>
            <w:tcW w:w="1171" w:type="dxa"/>
            <w:gridSpan w:val="2"/>
          </w:tcPr>
          <w:p w14:paraId="7EF5F725" w14:textId="77777777" w:rsidR="008940B3" w:rsidRPr="00841E86" w:rsidRDefault="008940B3" w:rsidP="00E858EF">
            <w:pPr>
              <w:suppressAutoHyphens/>
              <w:jc w:val="center"/>
              <w:rPr>
                <w:sz w:val="16"/>
                <w:szCs w:val="12"/>
              </w:rPr>
            </w:pPr>
          </w:p>
        </w:tc>
        <w:tc>
          <w:tcPr>
            <w:tcW w:w="1117" w:type="dxa"/>
            <w:gridSpan w:val="2"/>
          </w:tcPr>
          <w:p w14:paraId="3D174465" w14:textId="77777777" w:rsidR="008940B3" w:rsidRPr="00841E86" w:rsidRDefault="008940B3" w:rsidP="00E858EF">
            <w:pPr>
              <w:suppressAutoHyphens/>
              <w:jc w:val="center"/>
              <w:rPr>
                <w:sz w:val="16"/>
                <w:szCs w:val="12"/>
              </w:rPr>
            </w:pPr>
          </w:p>
        </w:tc>
        <w:tc>
          <w:tcPr>
            <w:tcW w:w="1168" w:type="dxa"/>
            <w:gridSpan w:val="2"/>
          </w:tcPr>
          <w:p w14:paraId="40A7BD91" w14:textId="77777777" w:rsidR="008940B3" w:rsidRPr="00841E86" w:rsidRDefault="008940B3" w:rsidP="00E858EF">
            <w:pPr>
              <w:suppressAutoHyphens/>
              <w:jc w:val="center"/>
              <w:rPr>
                <w:sz w:val="16"/>
                <w:szCs w:val="12"/>
              </w:rPr>
            </w:pPr>
          </w:p>
        </w:tc>
        <w:tc>
          <w:tcPr>
            <w:tcW w:w="1171" w:type="dxa"/>
            <w:gridSpan w:val="2"/>
          </w:tcPr>
          <w:p w14:paraId="7E204C92" w14:textId="77777777" w:rsidR="008940B3" w:rsidRPr="00841E86" w:rsidRDefault="008940B3" w:rsidP="00E858EF">
            <w:pPr>
              <w:suppressAutoHyphens/>
              <w:jc w:val="center"/>
              <w:rPr>
                <w:sz w:val="16"/>
                <w:szCs w:val="12"/>
              </w:rPr>
            </w:pPr>
          </w:p>
        </w:tc>
        <w:tc>
          <w:tcPr>
            <w:tcW w:w="1265" w:type="dxa"/>
            <w:gridSpan w:val="2"/>
          </w:tcPr>
          <w:p w14:paraId="382688A2" w14:textId="77777777" w:rsidR="008940B3" w:rsidRPr="00841E86" w:rsidRDefault="008940B3" w:rsidP="00E858EF">
            <w:pPr>
              <w:suppressAutoHyphens/>
              <w:jc w:val="center"/>
              <w:rPr>
                <w:sz w:val="16"/>
                <w:szCs w:val="12"/>
              </w:rPr>
            </w:pPr>
          </w:p>
        </w:tc>
        <w:tc>
          <w:tcPr>
            <w:tcW w:w="1282" w:type="dxa"/>
            <w:gridSpan w:val="2"/>
          </w:tcPr>
          <w:p w14:paraId="3954719D" w14:textId="77777777" w:rsidR="008940B3" w:rsidRPr="00841E86" w:rsidRDefault="008940B3" w:rsidP="00E858EF">
            <w:pPr>
              <w:suppressAutoHyphens/>
              <w:jc w:val="center"/>
              <w:rPr>
                <w:sz w:val="16"/>
                <w:szCs w:val="12"/>
              </w:rPr>
            </w:pPr>
          </w:p>
        </w:tc>
      </w:tr>
      <w:tr w:rsidR="008940B3" w:rsidRPr="00841E86" w14:paraId="0C7C57B4" w14:textId="77777777" w:rsidTr="008940B3">
        <w:trPr>
          <w:trHeight w:val="315"/>
        </w:trPr>
        <w:tc>
          <w:tcPr>
            <w:tcW w:w="1445" w:type="dxa"/>
          </w:tcPr>
          <w:p w14:paraId="06762687" w14:textId="77777777" w:rsidR="008940B3" w:rsidRPr="00841E86" w:rsidRDefault="008940B3" w:rsidP="00E858EF">
            <w:pPr>
              <w:suppressAutoHyphens/>
              <w:jc w:val="left"/>
              <w:rPr>
                <w:rFonts w:eastAsia="Times New Roman"/>
                <w:sz w:val="16"/>
                <w:szCs w:val="12"/>
              </w:rPr>
            </w:pPr>
            <w:r w:rsidRPr="00841E86">
              <w:rPr>
                <w:rFonts w:eastAsia="Times New Roman"/>
                <w:sz w:val="16"/>
                <w:szCs w:val="12"/>
              </w:rPr>
              <w:t>MALIA</w:t>
            </w:r>
          </w:p>
        </w:tc>
        <w:tc>
          <w:tcPr>
            <w:tcW w:w="610" w:type="dxa"/>
            <w:hideMark/>
          </w:tcPr>
          <w:p w14:paraId="7DB0B0AD" w14:textId="77777777" w:rsidR="008940B3" w:rsidRPr="00841E86" w:rsidRDefault="008940B3" w:rsidP="00E858EF">
            <w:pPr>
              <w:suppressAutoHyphens/>
              <w:jc w:val="center"/>
              <w:rPr>
                <w:sz w:val="16"/>
                <w:szCs w:val="12"/>
              </w:rPr>
            </w:pPr>
            <w:r w:rsidRPr="00841E86">
              <w:rPr>
                <w:rFonts w:eastAsia="Times New Roman"/>
                <w:color w:val="000000"/>
                <w:sz w:val="16"/>
                <w:szCs w:val="12"/>
              </w:rPr>
              <w:t>6</w:t>
            </w:r>
          </w:p>
        </w:tc>
        <w:tc>
          <w:tcPr>
            <w:tcW w:w="619" w:type="dxa"/>
          </w:tcPr>
          <w:p w14:paraId="7E76E06B" w14:textId="77777777" w:rsidR="008940B3" w:rsidRPr="00841E86" w:rsidRDefault="008940B3" w:rsidP="00E858EF">
            <w:pPr>
              <w:suppressAutoHyphens/>
              <w:jc w:val="center"/>
              <w:rPr>
                <w:sz w:val="16"/>
                <w:szCs w:val="12"/>
              </w:rPr>
            </w:pPr>
            <w:r w:rsidRPr="00841E86">
              <w:rPr>
                <w:sz w:val="16"/>
                <w:szCs w:val="12"/>
              </w:rPr>
              <w:t>60%</w:t>
            </w:r>
          </w:p>
        </w:tc>
        <w:tc>
          <w:tcPr>
            <w:tcW w:w="1171" w:type="dxa"/>
            <w:gridSpan w:val="2"/>
          </w:tcPr>
          <w:p w14:paraId="318C6793" w14:textId="77777777" w:rsidR="008940B3" w:rsidRPr="00841E86" w:rsidRDefault="008940B3" w:rsidP="00E858EF">
            <w:pPr>
              <w:suppressAutoHyphens/>
              <w:jc w:val="center"/>
              <w:rPr>
                <w:color w:val="000000"/>
                <w:sz w:val="16"/>
                <w:szCs w:val="12"/>
              </w:rPr>
            </w:pPr>
          </w:p>
        </w:tc>
        <w:tc>
          <w:tcPr>
            <w:tcW w:w="1117" w:type="dxa"/>
            <w:gridSpan w:val="2"/>
          </w:tcPr>
          <w:p w14:paraId="726E523C" w14:textId="77777777" w:rsidR="008940B3" w:rsidRPr="00841E86" w:rsidRDefault="008940B3" w:rsidP="00E858EF">
            <w:pPr>
              <w:suppressAutoHyphens/>
              <w:jc w:val="center"/>
              <w:rPr>
                <w:color w:val="000000"/>
                <w:sz w:val="16"/>
                <w:szCs w:val="12"/>
              </w:rPr>
            </w:pPr>
          </w:p>
        </w:tc>
        <w:tc>
          <w:tcPr>
            <w:tcW w:w="581" w:type="dxa"/>
          </w:tcPr>
          <w:p w14:paraId="0D55ADDA" w14:textId="77777777" w:rsidR="008940B3" w:rsidRPr="00841E86" w:rsidRDefault="008940B3" w:rsidP="00E858EF">
            <w:pPr>
              <w:suppressAutoHyphens/>
              <w:jc w:val="center"/>
              <w:rPr>
                <w:color w:val="000000"/>
                <w:sz w:val="16"/>
                <w:szCs w:val="12"/>
              </w:rPr>
            </w:pPr>
            <w:r w:rsidRPr="00841E86">
              <w:rPr>
                <w:color w:val="000000"/>
                <w:sz w:val="16"/>
                <w:szCs w:val="12"/>
              </w:rPr>
              <w:t>2</w:t>
            </w:r>
          </w:p>
        </w:tc>
        <w:tc>
          <w:tcPr>
            <w:tcW w:w="587" w:type="dxa"/>
          </w:tcPr>
          <w:p w14:paraId="2AFB46F5" w14:textId="77777777" w:rsidR="008940B3" w:rsidRPr="00841E86" w:rsidRDefault="008940B3" w:rsidP="00E858EF">
            <w:pPr>
              <w:suppressAutoHyphens/>
              <w:jc w:val="center"/>
              <w:rPr>
                <w:color w:val="000000"/>
                <w:sz w:val="16"/>
                <w:szCs w:val="12"/>
              </w:rPr>
            </w:pPr>
            <w:r w:rsidRPr="00841E86">
              <w:rPr>
                <w:color w:val="000000"/>
                <w:sz w:val="16"/>
                <w:szCs w:val="12"/>
              </w:rPr>
              <w:t>20%</w:t>
            </w:r>
          </w:p>
        </w:tc>
        <w:tc>
          <w:tcPr>
            <w:tcW w:w="1171" w:type="dxa"/>
            <w:gridSpan w:val="2"/>
          </w:tcPr>
          <w:p w14:paraId="04DDF8C7" w14:textId="77777777" w:rsidR="008940B3" w:rsidRPr="00841E86" w:rsidRDefault="008940B3" w:rsidP="00E858EF">
            <w:pPr>
              <w:suppressAutoHyphens/>
              <w:jc w:val="center"/>
              <w:rPr>
                <w:color w:val="000000"/>
                <w:sz w:val="16"/>
                <w:szCs w:val="12"/>
              </w:rPr>
            </w:pPr>
          </w:p>
        </w:tc>
        <w:tc>
          <w:tcPr>
            <w:tcW w:w="632" w:type="dxa"/>
          </w:tcPr>
          <w:p w14:paraId="529DA09D" w14:textId="77777777" w:rsidR="008940B3" w:rsidRPr="00841E86" w:rsidRDefault="008940B3" w:rsidP="00E858EF">
            <w:pPr>
              <w:suppressAutoHyphens/>
              <w:jc w:val="center"/>
              <w:rPr>
                <w:color w:val="000000"/>
                <w:sz w:val="16"/>
                <w:szCs w:val="12"/>
              </w:rPr>
            </w:pPr>
            <w:r w:rsidRPr="00841E86">
              <w:rPr>
                <w:color w:val="000000"/>
                <w:sz w:val="16"/>
                <w:szCs w:val="12"/>
              </w:rPr>
              <w:t>1</w:t>
            </w:r>
          </w:p>
        </w:tc>
        <w:tc>
          <w:tcPr>
            <w:tcW w:w="633" w:type="dxa"/>
          </w:tcPr>
          <w:p w14:paraId="04279B54" w14:textId="77777777" w:rsidR="008940B3" w:rsidRPr="00841E86" w:rsidRDefault="008940B3" w:rsidP="00E858EF">
            <w:pPr>
              <w:suppressAutoHyphens/>
              <w:jc w:val="center"/>
              <w:rPr>
                <w:color w:val="000000"/>
                <w:sz w:val="16"/>
                <w:szCs w:val="12"/>
              </w:rPr>
            </w:pPr>
            <w:r w:rsidRPr="00841E86">
              <w:rPr>
                <w:color w:val="000000"/>
                <w:sz w:val="16"/>
                <w:szCs w:val="12"/>
              </w:rPr>
              <w:t>100%</w:t>
            </w:r>
          </w:p>
        </w:tc>
        <w:tc>
          <w:tcPr>
            <w:tcW w:w="638" w:type="dxa"/>
          </w:tcPr>
          <w:p w14:paraId="7E7E9564" w14:textId="77777777" w:rsidR="008940B3" w:rsidRPr="00841E86" w:rsidRDefault="008940B3" w:rsidP="00E858EF">
            <w:pPr>
              <w:suppressAutoHyphens/>
              <w:jc w:val="center"/>
              <w:rPr>
                <w:color w:val="000000"/>
                <w:sz w:val="16"/>
                <w:szCs w:val="12"/>
              </w:rPr>
            </w:pPr>
            <w:r w:rsidRPr="00841E86">
              <w:rPr>
                <w:color w:val="000000"/>
                <w:sz w:val="16"/>
                <w:szCs w:val="12"/>
              </w:rPr>
              <w:t>10%</w:t>
            </w:r>
          </w:p>
        </w:tc>
        <w:tc>
          <w:tcPr>
            <w:tcW w:w="644" w:type="dxa"/>
          </w:tcPr>
          <w:p w14:paraId="59362027" w14:textId="77777777" w:rsidR="008940B3" w:rsidRPr="00841E86" w:rsidRDefault="008940B3" w:rsidP="00E858EF">
            <w:pPr>
              <w:suppressAutoHyphens/>
              <w:jc w:val="center"/>
              <w:rPr>
                <w:color w:val="000000"/>
                <w:sz w:val="16"/>
                <w:szCs w:val="12"/>
              </w:rPr>
            </w:pPr>
            <w:r w:rsidRPr="00841E86">
              <w:rPr>
                <w:color w:val="000000"/>
                <w:sz w:val="16"/>
                <w:szCs w:val="12"/>
              </w:rPr>
              <w:t>10%</w:t>
            </w:r>
          </w:p>
        </w:tc>
      </w:tr>
      <w:tr w:rsidR="008940B3" w:rsidRPr="00841E86" w14:paraId="43339054" w14:textId="77777777" w:rsidTr="008940B3">
        <w:trPr>
          <w:trHeight w:val="315"/>
        </w:trPr>
        <w:tc>
          <w:tcPr>
            <w:tcW w:w="1445" w:type="dxa"/>
          </w:tcPr>
          <w:p w14:paraId="193D5E93" w14:textId="77777777" w:rsidR="008940B3" w:rsidRPr="00841E86" w:rsidRDefault="008940B3" w:rsidP="00E858EF">
            <w:pPr>
              <w:suppressAutoHyphens/>
              <w:jc w:val="left"/>
              <w:rPr>
                <w:rFonts w:eastAsia="Times New Roman"/>
                <w:sz w:val="16"/>
                <w:szCs w:val="12"/>
              </w:rPr>
            </w:pPr>
            <w:r w:rsidRPr="00841E86">
              <w:rPr>
                <w:rFonts w:eastAsia="Times New Roman"/>
                <w:sz w:val="16"/>
                <w:szCs w:val="12"/>
              </w:rPr>
              <w:t>MILATOS</w:t>
            </w:r>
          </w:p>
        </w:tc>
        <w:tc>
          <w:tcPr>
            <w:tcW w:w="610" w:type="dxa"/>
            <w:hideMark/>
          </w:tcPr>
          <w:p w14:paraId="6261DA22" w14:textId="77777777" w:rsidR="008940B3" w:rsidRPr="00841E86" w:rsidRDefault="008940B3" w:rsidP="00E858EF">
            <w:pPr>
              <w:suppressAutoHyphens/>
              <w:jc w:val="center"/>
              <w:rPr>
                <w:sz w:val="16"/>
                <w:szCs w:val="12"/>
              </w:rPr>
            </w:pPr>
            <w:r w:rsidRPr="00841E86">
              <w:rPr>
                <w:rFonts w:eastAsia="Times New Roman"/>
                <w:color w:val="000000"/>
                <w:sz w:val="16"/>
                <w:szCs w:val="12"/>
              </w:rPr>
              <w:t>7</w:t>
            </w:r>
          </w:p>
        </w:tc>
        <w:tc>
          <w:tcPr>
            <w:tcW w:w="619" w:type="dxa"/>
          </w:tcPr>
          <w:p w14:paraId="5EFA350C" w14:textId="77777777" w:rsidR="008940B3" w:rsidRPr="00841E86" w:rsidRDefault="008940B3" w:rsidP="00E858EF">
            <w:pPr>
              <w:suppressAutoHyphens/>
              <w:jc w:val="center"/>
              <w:rPr>
                <w:sz w:val="16"/>
                <w:szCs w:val="12"/>
              </w:rPr>
            </w:pPr>
            <w:r w:rsidRPr="00841E86">
              <w:rPr>
                <w:sz w:val="16"/>
                <w:szCs w:val="12"/>
              </w:rPr>
              <w:t>100%</w:t>
            </w:r>
          </w:p>
        </w:tc>
        <w:tc>
          <w:tcPr>
            <w:tcW w:w="1171" w:type="dxa"/>
            <w:gridSpan w:val="2"/>
          </w:tcPr>
          <w:p w14:paraId="3FD20060" w14:textId="77777777" w:rsidR="008940B3" w:rsidRPr="00841E86" w:rsidRDefault="008940B3" w:rsidP="00E858EF">
            <w:pPr>
              <w:suppressAutoHyphens/>
              <w:jc w:val="center"/>
              <w:rPr>
                <w:color w:val="000000"/>
                <w:sz w:val="16"/>
                <w:szCs w:val="12"/>
              </w:rPr>
            </w:pPr>
          </w:p>
        </w:tc>
        <w:tc>
          <w:tcPr>
            <w:tcW w:w="1117" w:type="dxa"/>
            <w:gridSpan w:val="2"/>
          </w:tcPr>
          <w:p w14:paraId="766535BE" w14:textId="77777777" w:rsidR="008940B3" w:rsidRPr="00841E86" w:rsidRDefault="008940B3" w:rsidP="00E858EF">
            <w:pPr>
              <w:suppressAutoHyphens/>
              <w:jc w:val="center"/>
              <w:rPr>
                <w:color w:val="000000"/>
                <w:sz w:val="16"/>
                <w:szCs w:val="12"/>
              </w:rPr>
            </w:pPr>
          </w:p>
        </w:tc>
        <w:tc>
          <w:tcPr>
            <w:tcW w:w="1168" w:type="dxa"/>
            <w:gridSpan w:val="2"/>
          </w:tcPr>
          <w:p w14:paraId="23CBB62F" w14:textId="77777777" w:rsidR="008940B3" w:rsidRPr="00841E86" w:rsidRDefault="008940B3" w:rsidP="00E858EF">
            <w:pPr>
              <w:suppressAutoHyphens/>
              <w:jc w:val="center"/>
              <w:rPr>
                <w:color w:val="000000"/>
                <w:sz w:val="16"/>
                <w:szCs w:val="12"/>
              </w:rPr>
            </w:pPr>
          </w:p>
        </w:tc>
        <w:tc>
          <w:tcPr>
            <w:tcW w:w="1171" w:type="dxa"/>
            <w:gridSpan w:val="2"/>
          </w:tcPr>
          <w:p w14:paraId="5918DBCD" w14:textId="77777777" w:rsidR="008940B3" w:rsidRPr="00841E86" w:rsidRDefault="008940B3" w:rsidP="00E858EF">
            <w:pPr>
              <w:suppressAutoHyphens/>
              <w:jc w:val="center"/>
              <w:rPr>
                <w:color w:val="000000"/>
                <w:sz w:val="16"/>
                <w:szCs w:val="12"/>
              </w:rPr>
            </w:pPr>
          </w:p>
        </w:tc>
        <w:tc>
          <w:tcPr>
            <w:tcW w:w="1265" w:type="dxa"/>
            <w:gridSpan w:val="2"/>
          </w:tcPr>
          <w:p w14:paraId="29B52030" w14:textId="77777777" w:rsidR="008940B3" w:rsidRPr="00841E86" w:rsidRDefault="008940B3" w:rsidP="00E858EF">
            <w:pPr>
              <w:suppressAutoHyphens/>
              <w:jc w:val="center"/>
              <w:rPr>
                <w:color w:val="000000"/>
                <w:sz w:val="16"/>
                <w:szCs w:val="12"/>
              </w:rPr>
            </w:pPr>
          </w:p>
        </w:tc>
        <w:tc>
          <w:tcPr>
            <w:tcW w:w="1282" w:type="dxa"/>
            <w:gridSpan w:val="2"/>
          </w:tcPr>
          <w:p w14:paraId="24A0ADAD" w14:textId="77777777" w:rsidR="008940B3" w:rsidRPr="00841E86" w:rsidRDefault="008940B3" w:rsidP="00E858EF">
            <w:pPr>
              <w:suppressAutoHyphens/>
              <w:jc w:val="center"/>
              <w:rPr>
                <w:color w:val="000000"/>
                <w:sz w:val="16"/>
                <w:szCs w:val="12"/>
              </w:rPr>
            </w:pPr>
          </w:p>
        </w:tc>
      </w:tr>
      <w:tr w:rsidR="008940B3" w:rsidRPr="00841E86" w14:paraId="24DA53EC" w14:textId="77777777" w:rsidTr="008940B3">
        <w:trPr>
          <w:trHeight w:val="278"/>
        </w:trPr>
        <w:tc>
          <w:tcPr>
            <w:tcW w:w="1445" w:type="dxa"/>
          </w:tcPr>
          <w:p w14:paraId="2C34AF1F" w14:textId="77777777" w:rsidR="008940B3" w:rsidRPr="00841E86" w:rsidRDefault="008940B3" w:rsidP="00E858EF">
            <w:pPr>
              <w:suppressAutoHyphens/>
              <w:jc w:val="left"/>
              <w:rPr>
                <w:rFonts w:eastAsia="Times New Roman"/>
                <w:sz w:val="16"/>
                <w:szCs w:val="12"/>
              </w:rPr>
            </w:pPr>
            <w:r w:rsidRPr="00841E86">
              <w:rPr>
                <w:rFonts w:eastAsia="Times New Roman"/>
                <w:sz w:val="16"/>
                <w:szCs w:val="12"/>
              </w:rPr>
              <w:t>PLATI</w:t>
            </w:r>
          </w:p>
        </w:tc>
        <w:tc>
          <w:tcPr>
            <w:tcW w:w="1229" w:type="dxa"/>
            <w:gridSpan w:val="2"/>
            <w:hideMark/>
          </w:tcPr>
          <w:p w14:paraId="7C2F1279" w14:textId="77777777" w:rsidR="008940B3" w:rsidRPr="00841E86" w:rsidRDefault="008940B3" w:rsidP="00E858EF">
            <w:pPr>
              <w:suppressAutoHyphens/>
              <w:jc w:val="center"/>
              <w:rPr>
                <w:sz w:val="16"/>
                <w:szCs w:val="12"/>
              </w:rPr>
            </w:pPr>
          </w:p>
        </w:tc>
        <w:tc>
          <w:tcPr>
            <w:tcW w:w="581" w:type="dxa"/>
          </w:tcPr>
          <w:p w14:paraId="34E4A079" w14:textId="77777777" w:rsidR="008940B3" w:rsidRPr="00841E86" w:rsidRDefault="008940B3" w:rsidP="00E858EF">
            <w:pPr>
              <w:suppressAutoHyphens/>
              <w:jc w:val="center"/>
              <w:rPr>
                <w:sz w:val="16"/>
                <w:szCs w:val="12"/>
              </w:rPr>
            </w:pPr>
            <w:r w:rsidRPr="00841E86">
              <w:rPr>
                <w:sz w:val="16"/>
                <w:szCs w:val="12"/>
              </w:rPr>
              <w:t>1</w:t>
            </w:r>
          </w:p>
        </w:tc>
        <w:tc>
          <w:tcPr>
            <w:tcW w:w="590" w:type="dxa"/>
          </w:tcPr>
          <w:p w14:paraId="41ED06D1" w14:textId="77777777" w:rsidR="008940B3" w:rsidRPr="00841E86" w:rsidRDefault="008940B3" w:rsidP="00E858EF">
            <w:pPr>
              <w:suppressAutoHyphens/>
              <w:jc w:val="center"/>
              <w:rPr>
                <w:sz w:val="16"/>
                <w:szCs w:val="12"/>
              </w:rPr>
            </w:pPr>
            <w:r w:rsidRPr="00841E86">
              <w:rPr>
                <w:sz w:val="16"/>
                <w:szCs w:val="12"/>
              </w:rPr>
              <w:t>100%</w:t>
            </w:r>
          </w:p>
        </w:tc>
        <w:tc>
          <w:tcPr>
            <w:tcW w:w="1117" w:type="dxa"/>
            <w:gridSpan w:val="2"/>
          </w:tcPr>
          <w:p w14:paraId="3D2B56FE" w14:textId="77777777" w:rsidR="008940B3" w:rsidRPr="00841E86" w:rsidRDefault="008940B3" w:rsidP="00E858EF">
            <w:pPr>
              <w:suppressAutoHyphens/>
              <w:jc w:val="center"/>
              <w:rPr>
                <w:sz w:val="16"/>
                <w:szCs w:val="12"/>
              </w:rPr>
            </w:pPr>
          </w:p>
        </w:tc>
        <w:tc>
          <w:tcPr>
            <w:tcW w:w="1168" w:type="dxa"/>
            <w:gridSpan w:val="2"/>
          </w:tcPr>
          <w:p w14:paraId="42B52AA9" w14:textId="77777777" w:rsidR="008940B3" w:rsidRPr="00841E86" w:rsidRDefault="008940B3" w:rsidP="00E858EF">
            <w:pPr>
              <w:suppressAutoHyphens/>
              <w:jc w:val="center"/>
              <w:rPr>
                <w:sz w:val="16"/>
                <w:szCs w:val="12"/>
              </w:rPr>
            </w:pPr>
          </w:p>
        </w:tc>
        <w:tc>
          <w:tcPr>
            <w:tcW w:w="1171" w:type="dxa"/>
            <w:gridSpan w:val="2"/>
          </w:tcPr>
          <w:p w14:paraId="3B326DCF" w14:textId="77777777" w:rsidR="008940B3" w:rsidRPr="00841E86" w:rsidRDefault="008940B3" w:rsidP="00E858EF">
            <w:pPr>
              <w:suppressAutoHyphens/>
              <w:jc w:val="center"/>
              <w:rPr>
                <w:sz w:val="16"/>
                <w:szCs w:val="12"/>
              </w:rPr>
            </w:pPr>
          </w:p>
        </w:tc>
        <w:tc>
          <w:tcPr>
            <w:tcW w:w="1265" w:type="dxa"/>
            <w:gridSpan w:val="2"/>
          </w:tcPr>
          <w:p w14:paraId="18AB84EE" w14:textId="77777777" w:rsidR="008940B3" w:rsidRPr="00841E86" w:rsidRDefault="008940B3" w:rsidP="00E858EF">
            <w:pPr>
              <w:suppressAutoHyphens/>
              <w:jc w:val="center"/>
              <w:rPr>
                <w:sz w:val="16"/>
                <w:szCs w:val="12"/>
              </w:rPr>
            </w:pPr>
          </w:p>
        </w:tc>
        <w:tc>
          <w:tcPr>
            <w:tcW w:w="1282" w:type="dxa"/>
            <w:gridSpan w:val="2"/>
          </w:tcPr>
          <w:p w14:paraId="07175310" w14:textId="77777777" w:rsidR="008940B3" w:rsidRPr="00841E86" w:rsidRDefault="008940B3" w:rsidP="00E858EF">
            <w:pPr>
              <w:suppressAutoHyphens/>
              <w:jc w:val="center"/>
              <w:rPr>
                <w:sz w:val="16"/>
                <w:szCs w:val="12"/>
              </w:rPr>
            </w:pPr>
          </w:p>
        </w:tc>
      </w:tr>
      <w:tr w:rsidR="008940B3" w:rsidRPr="00841E86" w14:paraId="3237D295" w14:textId="77777777" w:rsidTr="008940B3">
        <w:trPr>
          <w:trHeight w:val="268"/>
        </w:trPr>
        <w:tc>
          <w:tcPr>
            <w:tcW w:w="1445" w:type="dxa"/>
          </w:tcPr>
          <w:p w14:paraId="66D246AB" w14:textId="77777777" w:rsidR="008940B3" w:rsidRPr="00841E86" w:rsidRDefault="008940B3" w:rsidP="00E858EF">
            <w:pPr>
              <w:suppressAutoHyphens/>
              <w:jc w:val="left"/>
              <w:rPr>
                <w:rFonts w:eastAsia="Times New Roman"/>
                <w:sz w:val="16"/>
                <w:szCs w:val="12"/>
              </w:rPr>
            </w:pPr>
            <w:r w:rsidRPr="00841E86">
              <w:rPr>
                <w:rFonts w:eastAsia="Times New Roman"/>
                <w:sz w:val="16"/>
                <w:szCs w:val="12"/>
              </w:rPr>
              <w:t>PSARI PHORADA</w:t>
            </w:r>
          </w:p>
        </w:tc>
        <w:tc>
          <w:tcPr>
            <w:tcW w:w="610" w:type="dxa"/>
          </w:tcPr>
          <w:p w14:paraId="2BEE0855" w14:textId="77777777" w:rsidR="008940B3" w:rsidRPr="00841E86" w:rsidRDefault="008940B3" w:rsidP="00E858EF">
            <w:pPr>
              <w:suppressAutoHyphens/>
              <w:jc w:val="center"/>
              <w:rPr>
                <w:rFonts w:eastAsia="Times New Roman"/>
                <w:color w:val="000000"/>
                <w:sz w:val="16"/>
                <w:szCs w:val="12"/>
              </w:rPr>
            </w:pPr>
            <w:r w:rsidRPr="00841E86">
              <w:rPr>
                <w:rFonts w:eastAsia="Times New Roman"/>
                <w:color w:val="000000"/>
                <w:sz w:val="16"/>
                <w:szCs w:val="12"/>
              </w:rPr>
              <w:t>1</w:t>
            </w:r>
          </w:p>
        </w:tc>
        <w:tc>
          <w:tcPr>
            <w:tcW w:w="619" w:type="dxa"/>
          </w:tcPr>
          <w:p w14:paraId="65C2622B" w14:textId="77777777" w:rsidR="008940B3" w:rsidRPr="00841E86" w:rsidRDefault="008940B3" w:rsidP="00E858EF">
            <w:pPr>
              <w:suppressAutoHyphens/>
              <w:jc w:val="center"/>
              <w:rPr>
                <w:sz w:val="16"/>
                <w:szCs w:val="12"/>
              </w:rPr>
            </w:pPr>
            <w:r w:rsidRPr="00841E86">
              <w:rPr>
                <w:sz w:val="16"/>
                <w:szCs w:val="12"/>
              </w:rPr>
              <w:t>100%</w:t>
            </w:r>
          </w:p>
        </w:tc>
        <w:tc>
          <w:tcPr>
            <w:tcW w:w="1171" w:type="dxa"/>
            <w:gridSpan w:val="2"/>
          </w:tcPr>
          <w:p w14:paraId="6D3CFBC9" w14:textId="77777777" w:rsidR="008940B3" w:rsidRPr="00841E86" w:rsidRDefault="008940B3" w:rsidP="00E858EF">
            <w:pPr>
              <w:suppressAutoHyphens/>
              <w:jc w:val="center"/>
              <w:rPr>
                <w:color w:val="000000"/>
                <w:sz w:val="16"/>
                <w:szCs w:val="12"/>
              </w:rPr>
            </w:pPr>
          </w:p>
        </w:tc>
        <w:tc>
          <w:tcPr>
            <w:tcW w:w="1117" w:type="dxa"/>
            <w:gridSpan w:val="2"/>
          </w:tcPr>
          <w:p w14:paraId="57944B00" w14:textId="77777777" w:rsidR="008940B3" w:rsidRPr="00841E86" w:rsidRDefault="008940B3" w:rsidP="00E858EF">
            <w:pPr>
              <w:suppressAutoHyphens/>
              <w:jc w:val="center"/>
              <w:rPr>
                <w:color w:val="000000"/>
                <w:sz w:val="16"/>
                <w:szCs w:val="12"/>
              </w:rPr>
            </w:pPr>
          </w:p>
        </w:tc>
        <w:tc>
          <w:tcPr>
            <w:tcW w:w="1168" w:type="dxa"/>
            <w:gridSpan w:val="2"/>
          </w:tcPr>
          <w:p w14:paraId="6F0E17F0" w14:textId="77777777" w:rsidR="008940B3" w:rsidRPr="00841E86" w:rsidRDefault="008940B3" w:rsidP="00E858EF">
            <w:pPr>
              <w:suppressAutoHyphens/>
              <w:jc w:val="center"/>
              <w:rPr>
                <w:color w:val="000000"/>
                <w:sz w:val="16"/>
                <w:szCs w:val="12"/>
              </w:rPr>
            </w:pPr>
          </w:p>
        </w:tc>
        <w:tc>
          <w:tcPr>
            <w:tcW w:w="1171" w:type="dxa"/>
            <w:gridSpan w:val="2"/>
          </w:tcPr>
          <w:p w14:paraId="0AB94355" w14:textId="77777777" w:rsidR="008940B3" w:rsidRPr="00841E86" w:rsidRDefault="008940B3" w:rsidP="00E858EF">
            <w:pPr>
              <w:suppressAutoHyphens/>
              <w:jc w:val="center"/>
              <w:rPr>
                <w:color w:val="000000"/>
                <w:sz w:val="16"/>
                <w:szCs w:val="12"/>
              </w:rPr>
            </w:pPr>
          </w:p>
        </w:tc>
        <w:tc>
          <w:tcPr>
            <w:tcW w:w="1265" w:type="dxa"/>
            <w:gridSpan w:val="2"/>
          </w:tcPr>
          <w:p w14:paraId="0058D226" w14:textId="77777777" w:rsidR="008940B3" w:rsidRPr="00841E86" w:rsidRDefault="008940B3" w:rsidP="00E858EF">
            <w:pPr>
              <w:suppressAutoHyphens/>
              <w:jc w:val="center"/>
              <w:rPr>
                <w:color w:val="000000"/>
                <w:sz w:val="16"/>
                <w:szCs w:val="12"/>
              </w:rPr>
            </w:pPr>
          </w:p>
        </w:tc>
        <w:tc>
          <w:tcPr>
            <w:tcW w:w="1282" w:type="dxa"/>
            <w:gridSpan w:val="2"/>
          </w:tcPr>
          <w:p w14:paraId="6A82AD1B" w14:textId="77777777" w:rsidR="008940B3" w:rsidRPr="00841E86" w:rsidRDefault="008940B3" w:rsidP="00E858EF">
            <w:pPr>
              <w:suppressAutoHyphens/>
              <w:jc w:val="center"/>
              <w:rPr>
                <w:color w:val="000000"/>
                <w:sz w:val="16"/>
                <w:szCs w:val="12"/>
              </w:rPr>
            </w:pPr>
          </w:p>
        </w:tc>
      </w:tr>
      <w:tr w:rsidR="008940B3" w:rsidRPr="00841E86" w14:paraId="1ACBA90E" w14:textId="77777777" w:rsidTr="008940B3">
        <w:trPr>
          <w:trHeight w:val="268"/>
        </w:trPr>
        <w:tc>
          <w:tcPr>
            <w:tcW w:w="1445" w:type="dxa"/>
          </w:tcPr>
          <w:p w14:paraId="229663F7" w14:textId="77777777" w:rsidR="008940B3" w:rsidRPr="00841E86" w:rsidRDefault="008940B3" w:rsidP="00E858EF">
            <w:pPr>
              <w:suppressAutoHyphens/>
              <w:jc w:val="left"/>
              <w:rPr>
                <w:rFonts w:eastAsia="Times New Roman"/>
                <w:sz w:val="16"/>
                <w:szCs w:val="12"/>
              </w:rPr>
            </w:pPr>
            <w:r w:rsidRPr="00841E86">
              <w:rPr>
                <w:rFonts w:eastAsia="Times New Roman"/>
                <w:sz w:val="16"/>
                <w:szCs w:val="12"/>
              </w:rPr>
              <w:t>TERTSA</w:t>
            </w:r>
          </w:p>
        </w:tc>
        <w:tc>
          <w:tcPr>
            <w:tcW w:w="610" w:type="dxa"/>
            <w:hideMark/>
          </w:tcPr>
          <w:p w14:paraId="7E85B94B" w14:textId="77777777" w:rsidR="008940B3" w:rsidRPr="00841E86" w:rsidRDefault="008940B3" w:rsidP="00E858EF">
            <w:pPr>
              <w:suppressAutoHyphens/>
              <w:jc w:val="center"/>
              <w:rPr>
                <w:sz w:val="16"/>
                <w:szCs w:val="12"/>
              </w:rPr>
            </w:pPr>
            <w:r w:rsidRPr="00841E86">
              <w:rPr>
                <w:rFonts w:eastAsia="Times New Roman"/>
                <w:color w:val="000000"/>
                <w:sz w:val="16"/>
                <w:szCs w:val="12"/>
              </w:rPr>
              <w:t>1</w:t>
            </w:r>
          </w:p>
        </w:tc>
        <w:tc>
          <w:tcPr>
            <w:tcW w:w="619" w:type="dxa"/>
          </w:tcPr>
          <w:p w14:paraId="6B2265C9" w14:textId="77777777" w:rsidR="008940B3" w:rsidRPr="00841E86" w:rsidRDefault="008940B3" w:rsidP="00E858EF">
            <w:pPr>
              <w:suppressAutoHyphens/>
              <w:jc w:val="center"/>
              <w:rPr>
                <w:sz w:val="16"/>
                <w:szCs w:val="12"/>
              </w:rPr>
            </w:pPr>
            <w:r w:rsidRPr="00841E86">
              <w:rPr>
                <w:sz w:val="16"/>
                <w:szCs w:val="12"/>
              </w:rPr>
              <w:t>100%</w:t>
            </w:r>
          </w:p>
        </w:tc>
        <w:tc>
          <w:tcPr>
            <w:tcW w:w="1171" w:type="dxa"/>
            <w:gridSpan w:val="2"/>
          </w:tcPr>
          <w:p w14:paraId="21A7AD75" w14:textId="77777777" w:rsidR="008940B3" w:rsidRPr="00841E86" w:rsidRDefault="008940B3" w:rsidP="00E858EF">
            <w:pPr>
              <w:suppressAutoHyphens/>
              <w:jc w:val="center"/>
              <w:rPr>
                <w:color w:val="000000"/>
                <w:sz w:val="16"/>
                <w:szCs w:val="12"/>
              </w:rPr>
            </w:pPr>
          </w:p>
        </w:tc>
        <w:tc>
          <w:tcPr>
            <w:tcW w:w="1117" w:type="dxa"/>
            <w:gridSpan w:val="2"/>
          </w:tcPr>
          <w:p w14:paraId="38B62876" w14:textId="77777777" w:rsidR="008940B3" w:rsidRPr="00841E86" w:rsidRDefault="008940B3" w:rsidP="00E858EF">
            <w:pPr>
              <w:suppressAutoHyphens/>
              <w:jc w:val="center"/>
              <w:rPr>
                <w:color w:val="000000"/>
                <w:sz w:val="16"/>
                <w:szCs w:val="12"/>
              </w:rPr>
            </w:pPr>
          </w:p>
        </w:tc>
        <w:tc>
          <w:tcPr>
            <w:tcW w:w="1168" w:type="dxa"/>
            <w:gridSpan w:val="2"/>
          </w:tcPr>
          <w:p w14:paraId="3F3B113B" w14:textId="77777777" w:rsidR="008940B3" w:rsidRPr="00841E86" w:rsidRDefault="008940B3" w:rsidP="00E858EF">
            <w:pPr>
              <w:suppressAutoHyphens/>
              <w:jc w:val="center"/>
              <w:rPr>
                <w:color w:val="000000"/>
                <w:sz w:val="16"/>
                <w:szCs w:val="12"/>
              </w:rPr>
            </w:pPr>
          </w:p>
        </w:tc>
        <w:tc>
          <w:tcPr>
            <w:tcW w:w="1171" w:type="dxa"/>
            <w:gridSpan w:val="2"/>
          </w:tcPr>
          <w:p w14:paraId="5810E085" w14:textId="77777777" w:rsidR="008940B3" w:rsidRPr="00841E86" w:rsidRDefault="008940B3" w:rsidP="00E858EF">
            <w:pPr>
              <w:suppressAutoHyphens/>
              <w:jc w:val="center"/>
              <w:rPr>
                <w:color w:val="000000"/>
                <w:sz w:val="16"/>
                <w:szCs w:val="12"/>
              </w:rPr>
            </w:pPr>
          </w:p>
        </w:tc>
        <w:tc>
          <w:tcPr>
            <w:tcW w:w="1265" w:type="dxa"/>
            <w:gridSpan w:val="2"/>
          </w:tcPr>
          <w:p w14:paraId="1A823139" w14:textId="77777777" w:rsidR="008940B3" w:rsidRPr="00841E86" w:rsidRDefault="008940B3" w:rsidP="00E858EF">
            <w:pPr>
              <w:suppressAutoHyphens/>
              <w:jc w:val="center"/>
              <w:rPr>
                <w:color w:val="000000"/>
                <w:sz w:val="16"/>
                <w:szCs w:val="12"/>
              </w:rPr>
            </w:pPr>
          </w:p>
        </w:tc>
        <w:tc>
          <w:tcPr>
            <w:tcW w:w="1282" w:type="dxa"/>
            <w:gridSpan w:val="2"/>
          </w:tcPr>
          <w:p w14:paraId="0FA7288F" w14:textId="77777777" w:rsidR="008940B3" w:rsidRPr="00841E86" w:rsidRDefault="008940B3" w:rsidP="00E858EF">
            <w:pPr>
              <w:suppressAutoHyphens/>
              <w:jc w:val="center"/>
              <w:rPr>
                <w:color w:val="000000"/>
                <w:sz w:val="16"/>
                <w:szCs w:val="12"/>
              </w:rPr>
            </w:pPr>
          </w:p>
        </w:tc>
      </w:tr>
      <w:tr w:rsidR="008940B3" w:rsidRPr="00841E86" w14:paraId="725659E1" w14:textId="77777777" w:rsidTr="008940B3">
        <w:trPr>
          <w:trHeight w:val="300"/>
        </w:trPr>
        <w:tc>
          <w:tcPr>
            <w:tcW w:w="1445" w:type="dxa"/>
          </w:tcPr>
          <w:p w14:paraId="12212CEB" w14:textId="77777777" w:rsidR="008940B3" w:rsidRPr="00841E86" w:rsidRDefault="008940B3" w:rsidP="00E858EF">
            <w:pPr>
              <w:suppressAutoHyphens/>
              <w:jc w:val="left"/>
              <w:rPr>
                <w:rFonts w:eastAsia="Times New Roman"/>
                <w:sz w:val="16"/>
                <w:szCs w:val="12"/>
              </w:rPr>
            </w:pPr>
            <w:r w:rsidRPr="00841E86">
              <w:rPr>
                <w:rFonts w:eastAsia="Times New Roman"/>
                <w:sz w:val="16"/>
                <w:szCs w:val="12"/>
              </w:rPr>
              <w:t>TZERMIADON</w:t>
            </w:r>
          </w:p>
        </w:tc>
        <w:tc>
          <w:tcPr>
            <w:tcW w:w="1229" w:type="dxa"/>
            <w:gridSpan w:val="2"/>
            <w:hideMark/>
          </w:tcPr>
          <w:p w14:paraId="1DC4FB01" w14:textId="77777777" w:rsidR="008940B3" w:rsidRPr="00841E86" w:rsidRDefault="008940B3" w:rsidP="00E858EF">
            <w:pPr>
              <w:suppressAutoHyphens/>
              <w:jc w:val="center"/>
              <w:rPr>
                <w:sz w:val="16"/>
                <w:szCs w:val="12"/>
              </w:rPr>
            </w:pPr>
          </w:p>
        </w:tc>
        <w:tc>
          <w:tcPr>
            <w:tcW w:w="1171" w:type="dxa"/>
            <w:gridSpan w:val="2"/>
          </w:tcPr>
          <w:p w14:paraId="28DE21B8" w14:textId="77777777" w:rsidR="008940B3" w:rsidRPr="00841E86" w:rsidRDefault="008940B3" w:rsidP="00E858EF">
            <w:pPr>
              <w:suppressAutoHyphens/>
              <w:jc w:val="center"/>
              <w:rPr>
                <w:sz w:val="16"/>
                <w:szCs w:val="12"/>
              </w:rPr>
            </w:pPr>
          </w:p>
        </w:tc>
        <w:tc>
          <w:tcPr>
            <w:tcW w:w="1117" w:type="dxa"/>
            <w:gridSpan w:val="2"/>
          </w:tcPr>
          <w:p w14:paraId="6CC046D7" w14:textId="77777777" w:rsidR="008940B3" w:rsidRPr="00841E86" w:rsidRDefault="008940B3" w:rsidP="00E858EF">
            <w:pPr>
              <w:suppressAutoHyphens/>
              <w:jc w:val="center"/>
              <w:rPr>
                <w:sz w:val="16"/>
                <w:szCs w:val="12"/>
              </w:rPr>
            </w:pPr>
          </w:p>
        </w:tc>
        <w:tc>
          <w:tcPr>
            <w:tcW w:w="1168" w:type="dxa"/>
            <w:gridSpan w:val="2"/>
          </w:tcPr>
          <w:p w14:paraId="276A8C62" w14:textId="77777777" w:rsidR="008940B3" w:rsidRPr="00841E86" w:rsidRDefault="008940B3" w:rsidP="00E858EF">
            <w:pPr>
              <w:suppressAutoHyphens/>
              <w:jc w:val="center"/>
              <w:rPr>
                <w:sz w:val="16"/>
                <w:szCs w:val="12"/>
              </w:rPr>
            </w:pPr>
          </w:p>
        </w:tc>
        <w:tc>
          <w:tcPr>
            <w:tcW w:w="581" w:type="dxa"/>
          </w:tcPr>
          <w:p w14:paraId="3D986331" w14:textId="77777777" w:rsidR="008940B3" w:rsidRPr="00841E86" w:rsidRDefault="008940B3" w:rsidP="00E858EF">
            <w:pPr>
              <w:suppressAutoHyphens/>
              <w:jc w:val="center"/>
              <w:rPr>
                <w:sz w:val="16"/>
                <w:szCs w:val="12"/>
              </w:rPr>
            </w:pPr>
            <w:r w:rsidRPr="00841E86">
              <w:rPr>
                <w:sz w:val="16"/>
                <w:szCs w:val="12"/>
              </w:rPr>
              <w:t>1</w:t>
            </w:r>
          </w:p>
        </w:tc>
        <w:tc>
          <w:tcPr>
            <w:tcW w:w="590" w:type="dxa"/>
          </w:tcPr>
          <w:p w14:paraId="1A22359B" w14:textId="77777777" w:rsidR="008940B3" w:rsidRPr="00841E86" w:rsidRDefault="008940B3" w:rsidP="00E858EF">
            <w:pPr>
              <w:suppressAutoHyphens/>
              <w:jc w:val="center"/>
              <w:rPr>
                <w:sz w:val="16"/>
                <w:szCs w:val="12"/>
              </w:rPr>
            </w:pPr>
            <w:r w:rsidRPr="00841E86">
              <w:rPr>
                <w:sz w:val="16"/>
                <w:szCs w:val="12"/>
              </w:rPr>
              <w:t>100%</w:t>
            </w:r>
          </w:p>
        </w:tc>
        <w:tc>
          <w:tcPr>
            <w:tcW w:w="1265" w:type="dxa"/>
            <w:gridSpan w:val="2"/>
          </w:tcPr>
          <w:p w14:paraId="2D6F36E1" w14:textId="77777777" w:rsidR="008940B3" w:rsidRPr="00841E86" w:rsidRDefault="008940B3" w:rsidP="00E858EF">
            <w:pPr>
              <w:suppressAutoHyphens/>
              <w:jc w:val="center"/>
              <w:rPr>
                <w:sz w:val="16"/>
                <w:szCs w:val="12"/>
              </w:rPr>
            </w:pPr>
          </w:p>
        </w:tc>
        <w:tc>
          <w:tcPr>
            <w:tcW w:w="1282" w:type="dxa"/>
            <w:gridSpan w:val="2"/>
          </w:tcPr>
          <w:p w14:paraId="1E9918BA" w14:textId="77777777" w:rsidR="008940B3" w:rsidRPr="00841E86" w:rsidRDefault="008940B3" w:rsidP="00E858EF">
            <w:pPr>
              <w:suppressAutoHyphens/>
              <w:jc w:val="center"/>
              <w:rPr>
                <w:sz w:val="16"/>
                <w:szCs w:val="12"/>
              </w:rPr>
            </w:pPr>
          </w:p>
        </w:tc>
      </w:tr>
    </w:tbl>
    <w:p w14:paraId="75C3036C"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55673BA5" w14:textId="77777777" w:rsidR="008940B3" w:rsidRPr="00AB66FA" w:rsidRDefault="008940B3" w:rsidP="00E858EF">
      <w:pPr>
        <w:pStyle w:val="Titolo4"/>
        <w:keepNext w:val="0"/>
        <w:keepLines w:val="0"/>
        <w:suppressAutoHyphens/>
        <w:ind w:left="864" w:hanging="864"/>
        <w:contextualSpacing w:val="0"/>
      </w:pPr>
      <w:bookmarkStart w:id="376" w:name="_Toc389131201"/>
      <w:bookmarkStart w:id="377" w:name="_Toc517876529"/>
      <w:r w:rsidRPr="00AB66FA">
        <w:t>Tomb dimension</w:t>
      </w:r>
      <w:r>
        <w:t>s</w:t>
      </w:r>
      <w:r w:rsidRPr="00AB66FA">
        <w:t xml:space="preserve"> and architectural features: How </w:t>
      </w:r>
      <w:r>
        <w:t>large</w:t>
      </w:r>
      <w:r w:rsidRPr="00AB66FA">
        <w:t xml:space="preserve"> and monumental are the tomb</w:t>
      </w:r>
      <w:r>
        <w:t>s</w:t>
      </w:r>
      <w:r w:rsidRPr="00AB66FA">
        <w:t xml:space="preserve"> associated with larnakes?</w:t>
      </w:r>
      <w:bookmarkEnd w:id="376"/>
      <w:bookmarkEnd w:id="377"/>
    </w:p>
    <w:p w14:paraId="74681B0E" w14:textId="40C98FCB" w:rsidR="008940B3" w:rsidRDefault="008940B3" w:rsidP="00841E86">
      <w:r>
        <w:t>Information f</w:t>
      </w:r>
      <w:r w:rsidRPr="003B5C8D">
        <w:t xml:space="preserve">or the </w:t>
      </w:r>
      <w:r>
        <w:t>Mid-East</w:t>
      </w:r>
      <w:r w:rsidRPr="003B5C8D">
        <w:t xml:space="preserve"> region</w:t>
      </w:r>
      <w:r>
        <w:t>,</w:t>
      </w:r>
      <w:r w:rsidRPr="003B5C8D">
        <w:t xml:space="preserve"> as well the information available </w:t>
      </w:r>
      <w:r>
        <w:t>regarding</w:t>
      </w:r>
      <w:r w:rsidRPr="003B5C8D">
        <w:t xml:space="preserve"> tomb characteristics</w:t>
      </w:r>
      <w:r>
        <w:t>, comes</w:t>
      </w:r>
      <w:r w:rsidRPr="003B5C8D">
        <w:t xml:space="preserve"> from different samples due to </w:t>
      </w:r>
      <w:r>
        <w:t>limited information</w:t>
      </w:r>
      <w:r w:rsidRPr="003B5C8D">
        <w:t xml:space="preserve">. The sample is particularly small </w:t>
      </w:r>
      <w:r>
        <w:t>regarding</w:t>
      </w:r>
      <w:r w:rsidRPr="003B5C8D">
        <w:t xml:space="preserve"> tomb dimension</w:t>
      </w:r>
      <w:r>
        <w:t>s</w:t>
      </w:r>
      <w:r w:rsidRPr="003B5C8D">
        <w:t xml:space="preserve">: chamber tomb dimensions are available only for </w:t>
      </w:r>
      <w:r>
        <w:t>nine</w:t>
      </w:r>
      <w:r w:rsidRPr="003B5C8D">
        <w:t xml:space="preserve"> tombs</w:t>
      </w:r>
      <w:r>
        <w:t>,</w:t>
      </w:r>
      <w:r w:rsidRPr="003B5C8D">
        <w:t xml:space="preserve"> and dromos length only for two tombs</w:t>
      </w:r>
      <w:r>
        <w:t>.</w:t>
      </w:r>
    </w:p>
    <w:p w14:paraId="0F9E4028" w14:textId="77777777" w:rsidR="00841E86" w:rsidRDefault="00841E86" w:rsidP="00841E86">
      <w:pPr>
        <w:rPr>
          <w:rFonts w:cs="Lucida Grande"/>
          <w:b/>
          <w:sz w:val="20"/>
          <w:szCs w:val="18"/>
        </w:rPr>
      </w:pPr>
    </w:p>
    <w:p w14:paraId="58E2DA6D" w14:textId="398FDDF0" w:rsidR="008940B3" w:rsidRPr="003B5C8D" w:rsidRDefault="008940B3" w:rsidP="00E858EF">
      <w:pPr>
        <w:pStyle w:val="Testofumetto"/>
        <w:suppressAutoHyphens/>
      </w:pPr>
      <w:bookmarkStart w:id="378" w:name="_Toc520212549"/>
      <w:r>
        <w:t>Table 3-60. Tombs dimension</w:t>
      </w:r>
      <w:r w:rsidR="005E1C18">
        <w:t>,</w:t>
      </w:r>
      <w:r>
        <w:t xml:space="preserve"> Mid-East area</w:t>
      </w:r>
      <w:bookmarkEnd w:id="378"/>
    </w:p>
    <w:tbl>
      <w:tblPr>
        <w:tblW w:w="0" w:type="auto"/>
        <w:tblCellMar>
          <w:left w:w="0" w:type="dxa"/>
          <w:right w:w="0" w:type="dxa"/>
        </w:tblCellMar>
        <w:tblLook w:val="04A0" w:firstRow="1" w:lastRow="0" w:firstColumn="1" w:lastColumn="0" w:noHBand="0" w:noVBand="1"/>
      </w:tblPr>
      <w:tblGrid>
        <w:gridCol w:w="2060"/>
        <w:gridCol w:w="1330"/>
        <w:gridCol w:w="1275"/>
        <w:gridCol w:w="1275"/>
      </w:tblGrid>
      <w:tr w:rsidR="008940B3" w:rsidRPr="00841E86" w14:paraId="31AAAE8F" w14:textId="77777777" w:rsidTr="00B50C69">
        <w:trPr>
          <w:trHeight w:val="40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1E268A2" w14:textId="77777777" w:rsidR="008940B3" w:rsidRPr="00841E86" w:rsidRDefault="008940B3" w:rsidP="00E858EF">
            <w:pPr>
              <w:suppressAutoHyphens/>
              <w:rPr>
                <w:sz w:val="20"/>
                <w:szCs w:val="16"/>
              </w:rPr>
            </w:pPr>
          </w:p>
        </w:tc>
        <w:tc>
          <w:tcPr>
            <w:tcW w:w="133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35D4CAF2" w14:textId="77777777" w:rsidR="008940B3" w:rsidRPr="00841E86" w:rsidRDefault="008940B3" w:rsidP="00E858EF">
            <w:pPr>
              <w:suppressAutoHyphens/>
              <w:jc w:val="center"/>
              <w:rPr>
                <w:sz w:val="20"/>
                <w:szCs w:val="16"/>
              </w:rPr>
            </w:pPr>
            <w:r w:rsidRPr="00841E86">
              <w:rPr>
                <w:sz w:val="20"/>
                <w:szCs w:val="16"/>
              </w:rPr>
              <w:t>Mean</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3F7A7351" w14:textId="77777777" w:rsidR="008940B3" w:rsidRPr="00841E86" w:rsidRDefault="008940B3" w:rsidP="00E858EF">
            <w:pPr>
              <w:suppressAutoHyphens/>
              <w:jc w:val="center"/>
              <w:rPr>
                <w:sz w:val="20"/>
                <w:szCs w:val="16"/>
              </w:rPr>
            </w:pPr>
            <w:r w:rsidRPr="00841E86">
              <w:rPr>
                <w:sz w:val="20"/>
                <w:szCs w:val="16"/>
              </w:rPr>
              <w:t>Min.</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57A6B641" w14:textId="77777777" w:rsidR="008940B3" w:rsidRPr="00841E86" w:rsidRDefault="008940B3" w:rsidP="00E858EF">
            <w:pPr>
              <w:suppressAutoHyphens/>
              <w:jc w:val="center"/>
              <w:rPr>
                <w:sz w:val="20"/>
                <w:szCs w:val="16"/>
              </w:rPr>
            </w:pPr>
            <w:r w:rsidRPr="00841E86">
              <w:rPr>
                <w:sz w:val="20"/>
                <w:szCs w:val="16"/>
              </w:rPr>
              <w:t>Max.</w:t>
            </w:r>
          </w:p>
        </w:tc>
      </w:tr>
      <w:tr w:rsidR="008940B3" w:rsidRPr="00841E86" w14:paraId="68057FE4" w14:textId="77777777" w:rsidTr="00B50C69">
        <w:trPr>
          <w:trHeight w:val="315"/>
        </w:trPr>
        <w:tc>
          <w:tcPr>
            <w:tcW w:w="206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7BF780B5" w14:textId="77777777" w:rsidR="008940B3" w:rsidRPr="00841E86" w:rsidRDefault="008940B3" w:rsidP="00E858EF">
            <w:pPr>
              <w:suppressAutoHyphens/>
              <w:rPr>
                <w:sz w:val="20"/>
                <w:szCs w:val="16"/>
              </w:rPr>
            </w:pPr>
            <w:r w:rsidRPr="00841E86">
              <w:rPr>
                <w:color w:val="000000"/>
                <w:sz w:val="20"/>
                <w:szCs w:val="16"/>
              </w:rPr>
              <w:t>Chamber area in sq.m.</w:t>
            </w:r>
          </w:p>
        </w:tc>
        <w:tc>
          <w:tcPr>
            <w:tcW w:w="133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61119B02" w14:textId="77777777" w:rsidR="008940B3" w:rsidRPr="00841E86" w:rsidRDefault="008940B3" w:rsidP="00E858EF">
            <w:pPr>
              <w:suppressAutoHyphens/>
              <w:jc w:val="center"/>
              <w:rPr>
                <w:sz w:val="20"/>
                <w:szCs w:val="16"/>
              </w:rPr>
            </w:pPr>
            <w:r w:rsidRPr="00841E86">
              <w:rPr>
                <w:sz w:val="20"/>
                <w:szCs w:val="16"/>
              </w:rPr>
              <w:t>4</w:t>
            </w:r>
          </w:p>
        </w:tc>
        <w:tc>
          <w:tcPr>
            <w:tcW w:w="127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7B749448" w14:textId="77777777" w:rsidR="008940B3" w:rsidRPr="00841E86" w:rsidRDefault="008940B3" w:rsidP="00E858EF">
            <w:pPr>
              <w:suppressAutoHyphens/>
              <w:jc w:val="center"/>
              <w:rPr>
                <w:sz w:val="20"/>
                <w:szCs w:val="16"/>
              </w:rPr>
            </w:pPr>
            <w:r w:rsidRPr="00841E86">
              <w:rPr>
                <w:sz w:val="20"/>
                <w:szCs w:val="16"/>
              </w:rPr>
              <w:t>1.5</w:t>
            </w:r>
          </w:p>
        </w:tc>
        <w:tc>
          <w:tcPr>
            <w:tcW w:w="127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42699853" w14:textId="2D346C11" w:rsidR="008940B3" w:rsidRPr="00841E86" w:rsidRDefault="008940B3" w:rsidP="00E858EF">
            <w:pPr>
              <w:suppressAutoHyphens/>
              <w:jc w:val="center"/>
              <w:rPr>
                <w:sz w:val="20"/>
                <w:szCs w:val="16"/>
              </w:rPr>
            </w:pPr>
            <w:r w:rsidRPr="00841E86">
              <w:rPr>
                <w:color w:val="000000"/>
                <w:sz w:val="20"/>
                <w:szCs w:val="16"/>
              </w:rPr>
              <w:t>7.7</w:t>
            </w:r>
          </w:p>
        </w:tc>
      </w:tr>
      <w:tr w:rsidR="008940B3" w:rsidRPr="00841E86" w14:paraId="48AC15BA" w14:textId="77777777" w:rsidTr="00B50C69">
        <w:trPr>
          <w:trHeight w:val="31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75EE8E5D" w14:textId="78295760" w:rsidR="008940B3" w:rsidRPr="00841E86" w:rsidRDefault="008940B3" w:rsidP="00E858EF">
            <w:pPr>
              <w:suppressAutoHyphens/>
              <w:rPr>
                <w:sz w:val="20"/>
                <w:szCs w:val="16"/>
              </w:rPr>
            </w:pPr>
            <w:r w:rsidRPr="00841E86">
              <w:rPr>
                <w:sz w:val="20"/>
                <w:szCs w:val="16"/>
              </w:rPr>
              <w:t>Dromos length</w:t>
            </w:r>
            <w:r w:rsidR="00B50C69" w:rsidRPr="00841E86">
              <w:rPr>
                <w:sz w:val="20"/>
                <w:szCs w:val="16"/>
              </w:rPr>
              <w:t xml:space="preserve"> </w:t>
            </w:r>
            <w:r w:rsidRPr="00841E86">
              <w:rPr>
                <w:sz w:val="20"/>
                <w:szCs w:val="16"/>
              </w:rPr>
              <w:t>in m</w:t>
            </w:r>
          </w:p>
        </w:tc>
        <w:tc>
          <w:tcPr>
            <w:tcW w:w="133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5BD86FE2" w14:textId="77777777" w:rsidR="008940B3" w:rsidRPr="00841E86" w:rsidRDefault="008940B3" w:rsidP="00E858EF">
            <w:pPr>
              <w:suppressAutoHyphens/>
              <w:jc w:val="center"/>
              <w:rPr>
                <w:sz w:val="20"/>
                <w:szCs w:val="16"/>
              </w:rPr>
            </w:pPr>
            <w:r w:rsidRPr="00841E86">
              <w:rPr>
                <w:sz w:val="20"/>
                <w:szCs w:val="16"/>
              </w:rPr>
              <w:t>4</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94912BC" w14:textId="77777777" w:rsidR="008940B3" w:rsidRPr="00841E86" w:rsidRDefault="008940B3" w:rsidP="00E858EF">
            <w:pPr>
              <w:suppressAutoHyphens/>
              <w:jc w:val="center"/>
              <w:rPr>
                <w:sz w:val="20"/>
                <w:szCs w:val="16"/>
              </w:rPr>
            </w:pPr>
            <w:r w:rsidRPr="00841E86">
              <w:rPr>
                <w:sz w:val="20"/>
                <w:szCs w:val="16"/>
              </w:rPr>
              <w:t>1.5</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236083C6" w14:textId="4F2290C8" w:rsidR="008940B3" w:rsidRPr="00841E86" w:rsidRDefault="008940B3" w:rsidP="00E858EF">
            <w:pPr>
              <w:suppressAutoHyphens/>
              <w:jc w:val="center"/>
              <w:rPr>
                <w:sz w:val="20"/>
                <w:szCs w:val="16"/>
              </w:rPr>
            </w:pPr>
            <w:r w:rsidRPr="00841E86">
              <w:rPr>
                <w:color w:val="000000"/>
                <w:sz w:val="20"/>
                <w:szCs w:val="16"/>
              </w:rPr>
              <w:t>7</w:t>
            </w:r>
          </w:p>
        </w:tc>
      </w:tr>
    </w:tbl>
    <w:p w14:paraId="0CCA4F66"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highlight w:val="green"/>
        </w:rPr>
      </w:pPr>
    </w:p>
    <w:p w14:paraId="4854B2D4"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color w:val="000000"/>
          <w:sz w:val="22"/>
          <w:szCs w:val="22"/>
        </w:rPr>
        <w:t>Based on</w:t>
      </w:r>
      <w:r w:rsidRPr="003B5C8D">
        <w:rPr>
          <w:color w:val="000000"/>
          <w:sz w:val="22"/>
          <w:szCs w:val="22"/>
        </w:rPr>
        <w:t xml:space="preserve"> the results of </w:t>
      </w:r>
      <w:r>
        <w:rPr>
          <w:color w:val="000000"/>
          <w:sz w:val="22"/>
          <w:szCs w:val="22"/>
        </w:rPr>
        <w:t xml:space="preserve">the </w:t>
      </w:r>
      <w:r w:rsidRPr="003B5C8D">
        <w:rPr>
          <w:color w:val="000000"/>
          <w:sz w:val="22"/>
          <w:szCs w:val="22"/>
        </w:rPr>
        <w:t xml:space="preserve">chamber dimension analysis, two groups have been identified. </w:t>
      </w:r>
    </w:p>
    <w:p w14:paraId="745D4063"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387BF9D8" w14:textId="5F420D10" w:rsidR="008940B3" w:rsidRPr="003B5C8D" w:rsidRDefault="008940B3" w:rsidP="00E858EF">
      <w:pPr>
        <w:pStyle w:val="Testofumetto"/>
        <w:suppressAutoHyphens/>
      </w:pPr>
      <w:bookmarkStart w:id="379" w:name="_Toc520212550"/>
      <w:r>
        <w:t>Table 3-61. Tomb size groups</w:t>
      </w:r>
      <w:r w:rsidR="005E1C18">
        <w:t>,</w:t>
      </w:r>
      <w:r>
        <w:t xml:space="preserve"> Mid-East area</w:t>
      </w:r>
      <w:bookmarkEnd w:id="379"/>
    </w:p>
    <w:tbl>
      <w:tblPr>
        <w:tblStyle w:val="Grigliatabella"/>
        <w:tblW w:w="0" w:type="auto"/>
        <w:tblLook w:val="04A0" w:firstRow="1" w:lastRow="0" w:firstColumn="1" w:lastColumn="0" w:noHBand="0" w:noVBand="1"/>
      </w:tblPr>
      <w:tblGrid>
        <w:gridCol w:w="2093"/>
        <w:gridCol w:w="1062"/>
        <w:gridCol w:w="1216"/>
        <w:gridCol w:w="1009"/>
        <w:gridCol w:w="1144"/>
      </w:tblGrid>
      <w:tr w:rsidR="008940B3" w:rsidRPr="00841E86" w14:paraId="560DAAF7" w14:textId="77777777" w:rsidTr="00B50C69">
        <w:trPr>
          <w:trHeight w:val="405"/>
        </w:trPr>
        <w:tc>
          <w:tcPr>
            <w:tcW w:w="2093" w:type="dxa"/>
            <w:hideMark/>
          </w:tcPr>
          <w:p w14:paraId="072CB242" w14:textId="77777777" w:rsidR="008940B3" w:rsidRPr="00841E86" w:rsidRDefault="008940B3" w:rsidP="00E858EF">
            <w:pPr>
              <w:suppressAutoHyphens/>
              <w:spacing w:line="240" w:lineRule="auto"/>
              <w:jc w:val="center"/>
              <w:rPr>
                <w:sz w:val="20"/>
                <w:szCs w:val="16"/>
              </w:rPr>
            </w:pPr>
          </w:p>
        </w:tc>
        <w:tc>
          <w:tcPr>
            <w:tcW w:w="1062" w:type="dxa"/>
            <w:hideMark/>
          </w:tcPr>
          <w:p w14:paraId="58BF38D6" w14:textId="77777777" w:rsidR="008940B3" w:rsidRPr="00841E86" w:rsidRDefault="008940B3" w:rsidP="00E858EF">
            <w:pPr>
              <w:suppressAutoHyphens/>
              <w:spacing w:line="240" w:lineRule="auto"/>
              <w:jc w:val="center"/>
              <w:rPr>
                <w:sz w:val="20"/>
                <w:szCs w:val="16"/>
              </w:rPr>
            </w:pPr>
            <w:r w:rsidRPr="00841E86">
              <w:rPr>
                <w:sz w:val="20"/>
                <w:szCs w:val="16"/>
              </w:rPr>
              <w:t>Small</w:t>
            </w:r>
          </w:p>
        </w:tc>
        <w:tc>
          <w:tcPr>
            <w:tcW w:w="1216" w:type="dxa"/>
            <w:hideMark/>
          </w:tcPr>
          <w:p w14:paraId="3AF43FB0" w14:textId="77777777" w:rsidR="008940B3" w:rsidRPr="00841E86" w:rsidRDefault="008940B3" w:rsidP="00E858EF">
            <w:pPr>
              <w:suppressAutoHyphens/>
              <w:spacing w:line="240" w:lineRule="auto"/>
              <w:jc w:val="center"/>
              <w:rPr>
                <w:sz w:val="20"/>
                <w:szCs w:val="16"/>
              </w:rPr>
            </w:pPr>
            <w:r w:rsidRPr="00841E86">
              <w:rPr>
                <w:sz w:val="20"/>
                <w:szCs w:val="16"/>
              </w:rPr>
              <w:t>Medium</w:t>
            </w:r>
          </w:p>
        </w:tc>
        <w:tc>
          <w:tcPr>
            <w:tcW w:w="1009" w:type="dxa"/>
          </w:tcPr>
          <w:p w14:paraId="473C0387" w14:textId="77777777" w:rsidR="008940B3" w:rsidRPr="00841E86" w:rsidRDefault="008940B3" w:rsidP="00E858EF">
            <w:pPr>
              <w:tabs>
                <w:tab w:val="left" w:pos="400"/>
              </w:tabs>
              <w:suppressAutoHyphens/>
              <w:spacing w:line="240" w:lineRule="auto"/>
              <w:jc w:val="center"/>
              <w:rPr>
                <w:sz w:val="20"/>
                <w:szCs w:val="16"/>
              </w:rPr>
            </w:pPr>
            <w:r w:rsidRPr="00841E86">
              <w:rPr>
                <w:sz w:val="20"/>
                <w:szCs w:val="16"/>
              </w:rPr>
              <w:t>Large</w:t>
            </w:r>
          </w:p>
        </w:tc>
        <w:tc>
          <w:tcPr>
            <w:tcW w:w="1144" w:type="dxa"/>
          </w:tcPr>
          <w:p w14:paraId="64601B8C" w14:textId="77777777" w:rsidR="008940B3" w:rsidRPr="00841E86" w:rsidRDefault="008940B3" w:rsidP="00E858EF">
            <w:pPr>
              <w:suppressAutoHyphens/>
              <w:spacing w:line="240" w:lineRule="auto"/>
              <w:jc w:val="center"/>
              <w:rPr>
                <w:sz w:val="20"/>
                <w:szCs w:val="16"/>
              </w:rPr>
            </w:pPr>
            <w:r w:rsidRPr="00841E86">
              <w:rPr>
                <w:sz w:val="20"/>
                <w:szCs w:val="16"/>
              </w:rPr>
              <w:t>Extra-Large</w:t>
            </w:r>
          </w:p>
        </w:tc>
      </w:tr>
      <w:tr w:rsidR="008940B3" w:rsidRPr="00841E86" w14:paraId="7B0543C8" w14:textId="77777777" w:rsidTr="00B50C69">
        <w:trPr>
          <w:trHeight w:val="315"/>
        </w:trPr>
        <w:tc>
          <w:tcPr>
            <w:tcW w:w="2093" w:type="dxa"/>
            <w:shd w:val="clear" w:color="auto" w:fill="F2F2F2" w:themeFill="background1" w:themeFillShade="F2"/>
            <w:hideMark/>
          </w:tcPr>
          <w:p w14:paraId="6564AF27" w14:textId="77777777" w:rsidR="008940B3" w:rsidRPr="00841E86" w:rsidRDefault="008940B3" w:rsidP="00E858EF">
            <w:pPr>
              <w:suppressAutoHyphens/>
              <w:spacing w:line="240" w:lineRule="auto"/>
              <w:jc w:val="left"/>
              <w:rPr>
                <w:sz w:val="20"/>
                <w:szCs w:val="16"/>
              </w:rPr>
            </w:pPr>
            <w:r w:rsidRPr="00841E86">
              <w:rPr>
                <w:color w:val="000000"/>
                <w:sz w:val="20"/>
                <w:szCs w:val="16"/>
              </w:rPr>
              <w:t>Chamber area in sq.m.</w:t>
            </w:r>
          </w:p>
        </w:tc>
        <w:tc>
          <w:tcPr>
            <w:tcW w:w="1062" w:type="dxa"/>
            <w:shd w:val="clear" w:color="auto" w:fill="F2F2F2" w:themeFill="background1" w:themeFillShade="F2"/>
            <w:hideMark/>
          </w:tcPr>
          <w:p w14:paraId="62A05ACF" w14:textId="77777777" w:rsidR="008940B3" w:rsidRPr="00841E86" w:rsidRDefault="008940B3" w:rsidP="00E858EF">
            <w:pPr>
              <w:suppressAutoHyphens/>
              <w:spacing w:line="240" w:lineRule="auto"/>
              <w:jc w:val="center"/>
              <w:rPr>
                <w:sz w:val="20"/>
                <w:szCs w:val="16"/>
              </w:rPr>
            </w:pPr>
            <w:r w:rsidRPr="00841E86">
              <w:rPr>
                <w:sz w:val="20"/>
                <w:szCs w:val="16"/>
              </w:rPr>
              <w:t>0-6</w:t>
            </w:r>
          </w:p>
        </w:tc>
        <w:tc>
          <w:tcPr>
            <w:tcW w:w="1216" w:type="dxa"/>
            <w:shd w:val="clear" w:color="auto" w:fill="F2F2F2" w:themeFill="background1" w:themeFillShade="F2"/>
            <w:hideMark/>
          </w:tcPr>
          <w:p w14:paraId="3CC8A9C4" w14:textId="77777777" w:rsidR="008940B3" w:rsidRPr="00841E86" w:rsidRDefault="008940B3" w:rsidP="00E858EF">
            <w:pPr>
              <w:suppressAutoHyphens/>
              <w:spacing w:line="240" w:lineRule="auto"/>
              <w:jc w:val="center"/>
              <w:rPr>
                <w:sz w:val="20"/>
                <w:szCs w:val="16"/>
              </w:rPr>
            </w:pPr>
            <w:r w:rsidRPr="00841E86">
              <w:rPr>
                <w:sz w:val="20"/>
                <w:szCs w:val="16"/>
              </w:rPr>
              <w:t>7-12</w:t>
            </w:r>
          </w:p>
        </w:tc>
        <w:tc>
          <w:tcPr>
            <w:tcW w:w="1009" w:type="dxa"/>
            <w:shd w:val="clear" w:color="auto" w:fill="F2F2F2" w:themeFill="background1" w:themeFillShade="F2"/>
          </w:tcPr>
          <w:p w14:paraId="792593A0" w14:textId="77777777" w:rsidR="008940B3" w:rsidRPr="00841E86" w:rsidRDefault="008940B3" w:rsidP="00E858EF">
            <w:pPr>
              <w:suppressAutoHyphens/>
              <w:spacing w:line="240" w:lineRule="auto"/>
              <w:jc w:val="center"/>
              <w:rPr>
                <w:color w:val="000000"/>
                <w:sz w:val="20"/>
                <w:szCs w:val="16"/>
              </w:rPr>
            </w:pPr>
            <w:r w:rsidRPr="00841E86">
              <w:rPr>
                <w:color w:val="000000"/>
                <w:sz w:val="20"/>
                <w:szCs w:val="16"/>
              </w:rPr>
              <w:t>13-18</w:t>
            </w:r>
          </w:p>
        </w:tc>
        <w:tc>
          <w:tcPr>
            <w:tcW w:w="1144" w:type="dxa"/>
            <w:shd w:val="clear" w:color="auto" w:fill="F2F2F2" w:themeFill="background1" w:themeFillShade="F2"/>
          </w:tcPr>
          <w:p w14:paraId="319D4FA5" w14:textId="77777777" w:rsidR="008940B3" w:rsidRPr="00841E86" w:rsidRDefault="008940B3" w:rsidP="00E858EF">
            <w:pPr>
              <w:suppressAutoHyphens/>
              <w:spacing w:line="240" w:lineRule="auto"/>
              <w:jc w:val="center"/>
              <w:rPr>
                <w:color w:val="000000"/>
                <w:sz w:val="20"/>
                <w:szCs w:val="16"/>
              </w:rPr>
            </w:pPr>
            <w:r w:rsidRPr="00841E86">
              <w:rPr>
                <w:color w:val="000000"/>
                <w:sz w:val="20"/>
                <w:szCs w:val="16"/>
              </w:rPr>
              <w:t>19-24</w:t>
            </w:r>
          </w:p>
        </w:tc>
      </w:tr>
      <w:tr w:rsidR="008940B3" w:rsidRPr="00841E86" w14:paraId="70C51A55" w14:textId="77777777" w:rsidTr="00B50C69">
        <w:trPr>
          <w:trHeight w:val="315"/>
        </w:trPr>
        <w:tc>
          <w:tcPr>
            <w:tcW w:w="2093" w:type="dxa"/>
            <w:hideMark/>
          </w:tcPr>
          <w:p w14:paraId="14063D81" w14:textId="77777777" w:rsidR="008940B3" w:rsidRPr="00841E86" w:rsidRDefault="008940B3" w:rsidP="00E858EF">
            <w:pPr>
              <w:suppressAutoHyphens/>
              <w:spacing w:line="240" w:lineRule="auto"/>
              <w:jc w:val="left"/>
              <w:rPr>
                <w:sz w:val="20"/>
                <w:szCs w:val="16"/>
              </w:rPr>
            </w:pPr>
            <w:r w:rsidRPr="00841E86">
              <w:rPr>
                <w:sz w:val="20"/>
                <w:szCs w:val="16"/>
              </w:rPr>
              <w:t>Number of tombs within each group</w:t>
            </w:r>
          </w:p>
        </w:tc>
        <w:tc>
          <w:tcPr>
            <w:tcW w:w="1062" w:type="dxa"/>
            <w:hideMark/>
          </w:tcPr>
          <w:p w14:paraId="4E723C6E" w14:textId="77777777" w:rsidR="008940B3" w:rsidRPr="00841E86" w:rsidRDefault="008940B3" w:rsidP="00E858EF">
            <w:pPr>
              <w:suppressAutoHyphens/>
              <w:spacing w:line="240" w:lineRule="auto"/>
              <w:jc w:val="center"/>
              <w:rPr>
                <w:sz w:val="20"/>
                <w:szCs w:val="16"/>
              </w:rPr>
            </w:pPr>
            <w:r w:rsidRPr="00841E86">
              <w:rPr>
                <w:sz w:val="20"/>
                <w:szCs w:val="16"/>
              </w:rPr>
              <w:t>8</w:t>
            </w:r>
          </w:p>
        </w:tc>
        <w:tc>
          <w:tcPr>
            <w:tcW w:w="1216" w:type="dxa"/>
            <w:hideMark/>
          </w:tcPr>
          <w:p w14:paraId="0F851524" w14:textId="77777777" w:rsidR="008940B3" w:rsidRPr="00841E86" w:rsidRDefault="008940B3" w:rsidP="00E858EF">
            <w:pPr>
              <w:suppressAutoHyphens/>
              <w:spacing w:line="240" w:lineRule="auto"/>
              <w:jc w:val="center"/>
              <w:rPr>
                <w:sz w:val="20"/>
                <w:szCs w:val="16"/>
              </w:rPr>
            </w:pPr>
            <w:r w:rsidRPr="00841E86">
              <w:rPr>
                <w:sz w:val="20"/>
                <w:szCs w:val="16"/>
              </w:rPr>
              <w:t>1</w:t>
            </w:r>
          </w:p>
        </w:tc>
        <w:tc>
          <w:tcPr>
            <w:tcW w:w="1009" w:type="dxa"/>
          </w:tcPr>
          <w:p w14:paraId="7F88BCFF" w14:textId="77777777" w:rsidR="008940B3" w:rsidRPr="00841E86" w:rsidRDefault="008940B3" w:rsidP="00E858EF">
            <w:pPr>
              <w:suppressAutoHyphens/>
              <w:spacing w:line="240" w:lineRule="auto"/>
              <w:jc w:val="center"/>
              <w:rPr>
                <w:sz w:val="20"/>
                <w:szCs w:val="16"/>
              </w:rPr>
            </w:pPr>
            <w:r w:rsidRPr="00841E86">
              <w:rPr>
                <w:sz w:val="20"/>
                <w:szCs w:val="16"/>
              </w:rPr>
              <w:t>0</w:t>
            </w:r>
          </w:p>
        </w:tc>
        <w:tc>
          <w:tcPr>
            <w:tcW w:w="1144" w:type="dxa"/>
          </w:tcPr>
          <w:p w14:paraId="3BC7884F" w14:textId="77777777" w:rsidR="008940B3" w:rsidRPr="00841E86" w:rsidRDefault="008940B3" w:rsidP="00E858EF">
            <w:pPr>
              <w:suppressAutoHyphens/>
              <w:spacing w:line="240" w:lineRule="auto"/>
              <w:jc w:val="center"/>
              <w:rPr>
                <w:sz w:val="20"/>
                <w:szCs w:val="16"/>
              </w:rPr>
            </w:pPr>
            <w:r w:rsidRPr="00841E86">
              <w:rPr>
                <w:sz w:val="20"/>
                <w:szCs w:val="16"/>
              </w:rPr>
              <w:t>0</w:t>
            </w:r>
          </w:p>
        </w:tc>
      </w:tr>
    </w:tbl>
    <w:p w14:paraId="549034B3"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3B42A0C0"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color w:val="000000"/>
          <w:sz w:val="22"/>
          <w:szCs w:val="22"/>
        </w:rPr>
        <w:t>Unfortunately, it is not possible to determine whether dromos length is proportional to the chamber size because there are not enough data available.</w:t>
      </w:r>
    </w:p>
    <w:p w14:paraId="061DCAE8" w14:textId="77777777" w:rsidR="008940B3" w:rsidRDefault="008940B3" w:rsidP="00E858EF">
      <w:pPr>
        <w:pStyle w:val="Testofumetto"/>
        <w:suppressAutoHyphens/>
      </w:pPr>
    </w:p>
    <w:p w14:paraId="1479D36E" w14:textId="77777777" w:rsidR="00841E86" w:rsidRDefault="00841E86">
      <w:pPr>
        <w:widowControl/>
        <w:spacing w:line="240" w:lineRule="auto"/>
        <w:contextualSpacing w:val="0"/>
        <w:jc w:val="left"/>
        <w:rPr>
          <w:rFonts w:cs="Lucida Grande"/>
          <w:b/>
          <w:sz w:val="20"/>
          <w:szCs w:val="18"/>
        </w:rPr>
      </w:pPr>
      <w:r>
        <w:br w:type="page"/>
      </w:r>
    </w:p>
    <w:p w14:paraId="3FFDE200" w14:textId="08E07DB9" w:rsidR="008940B3" w:rsidRPr="003B5C8D" w:rsidRDefault="008940B3" w:rsidP="00E858EF">
      <w:pPr>
        <w:pStyle w:val="Testofumetto"/>
        <w:suppressAutoHyphens/>
      </w:pPr>
      <w:bookmarkStart w:id="380" w:name="_Toc520212551"/>
      <w:r>
        <w:t>Table 3-62. Tombs size and dromos length comparison</w:t>
      </w:r>
      <w:r w:rsidR="005E1C18">
        <w:t>,</w:t>
      </w:r>
      <w:r>
        <w:t xml:space="preserve"> Mid-East area</w:t>
      </w:r>
      <w:bookmarkEnd w:id="380"/>
    </w:p>
    <w:tbl>
      <w:tblPr>
        <w:tblW w:w="0" w:type="auto"/>
        <w:tblCellMar>
          <w:left w:w="0" w:type="dxa"/>
          <w:right w:w="0" w:type="dxa"/>
        </w:tblCellMar>
        <w:tblLook w:val="04A0" w:firstRow="1" w:lastRow="0" w:firstColumn="1" w:lastColumn="0" w:noHBand="0" w:noVBand="1"/>
      </w:tblPr>
      <w:tblGrid>
        <w:gridCol w:w="2060"/>
        <w:gridCol w:w="1330"/>
      </w:tblGrid>
      <w:tr w:rsidR="008940B3" w:rsidRPr="00C540C5" w14:paraId="65F282B1" w14:textId="77777777" w:rsidTr="00B50C69">
        <w:trPr>
          <w:trHeight w:val="40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09D3EAED" w14:textId="77777777" w:rsidR="008940B3" w:rsidRPr="00C540C5" w:rsidRDefault="008940B3" w:rsidP="00E858EF">
            <w:pPr>
              <w:suppressAutoHyphens/>
              <w:rPr>
                <w:sz w:val="20"/>
                <w:szCs w:val="16"/>
              </w:rPr>
            </w:pPr>
          </w:p>
        </w:tc>
        <w:tc>
          <w:tcPr>
            <w:tcW w:w="133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21E8402B" w14:textId="77777777" w:rsidR="008940B3" w:rsidRPr="00C540C5" w:rsidRDefault="008940B3" w:rsidP="00E858EF">
            <w:pPr>
              <w:suppressAutoHyphens/>
              <w:jc w:val="center"/>
              <w:rPr>
                <w:sz w:val="20"/>
                <w:szCs w:val="16"/>
              </w:rPr>
            </w:pPr>
            <w:r w:rsidRPr="00C540C5">
              <w:rPr>
                <w:sz w:val="20"/>
                <w:szCs w:val="16"/>
              </w:rPr>
              <w:t>Mean</w:t>
            </w:r>
          </w:p>
        </w:tc>
      </w:tr>
      <w:tr w:rsidR="008940B3" w:rsidRPr="00C540C5" w14:paraId="493F7D2E" w14:textId="77777777" w:rsidTr="00B50C69">
        <w:trPr>
          <w:trHeight w:val="315"/>
        </w:trPr>
        <w:tc>
          <w:tcPr>
            <w:tcW w:w="206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238CAEAC" w14:textId="77777777" w:rsidR="008940B3" w:rsidRPr="00C540C5" w:rsidRDefault="008940B3" w:rsidP="00E858EF">
            <w:pPr>
              <w:suppressAutoHyphens/>
              <w:rPr>
                <w:sz w:val="20"/>
                <w:szCs w:val="16"/>
              </w:rPr>
            </w:pPr>
            <w:r w:rsidRPr="00C540C5">
              <w:rPr>
                <w:color w:val="000000"/>
                <w:sz w:val="20"/>
                <w:szCs w:val="16"/>
              </w:rPr>
              <w:t>Chamber area in sq.m.</w:t>
            </w:r>
          </w:p>
        </w:tc>
        <w:tc>
          <w:tcPr>
            <w:tcW w:w="133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6715C550" w14:textId="77777777" w:rsidR="008940B3" w:rsidRPr="00C540C5" w:rsidRDefault="008940B3" w:rsidP="00E858EF">
            <w:pPr>
              <w:suppressAutoHyphens/>
              <w:jc w:val="center"/>
              <w:rPr>
                <w:sz w:val="20"/>
                <w:szCs w:val="16"/>
              </w:rPr>
            </w:pPr>
            <w:r w:rsidRPr="00C540C5">
              <w:rPr>
                <w:sz w:val="20"/>
                <w:szCs w:val="16"/>
              </w:rPr>
              <w:t>4</w:t>
            </w:r>
          </w:p>
        </w:tc>
      </w:tr>
      <w:tr w:rsidR="008940B3" w:rsidRPr="00C540C5" w14:paraId="62B50015" w14:textId="77777777" w:rsidTr="00B50C69">
        <w:trPr>
          <w:trHeight w:val="31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06C92532" w14:textId="6B5B9329" w:rsidR="008940B3" w:rsidRPr="00C540C5" w:rsidRDefault="008940B3" w:rsidP="00E858EF">
            <w:pPr>
              <w:suppressAutoHyphens/>
              <w:rPr>
                <w:sz w:val="20"/>
                <w:szCs w:val="16"/>
              </w:rPr>
            </w:pPr>
            <w:r w:rsidRPr="00C540C5">
              <w:rPr>
                <w:sz w:val="20"/>
                <w:szCs w:val="16"/>
              </w:rPr>
              <w:t>Dromos length</w:t>
            </w:r>
            <w:r w:rsidR="00B50C69" w:rsidRPr="00C540C5">
              <w:rPr>
                <w:sz w:val="20"/>
                <w:szCs w:val="16"/>
              </w:rPr>
              <w:t xml:space="preserve"> </w:t>
            </w:r>
            <w:r w:rsidRPr="00C540C5">
              <w:rPr>
                <w:sz w:val="20"/>
                <w:szCs w:val="16"/>
              </w:rPr>
              <w:t>in m</w:t>
            </w:r>
          </w:p>
        </w:tc>
        <w:tc>
          <w:tcPr>
            <w:tcW w:w="133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6DA4B4B2" w14:textId="77777777" w:rsidR="008940B3" w:rsidRPr="00C540C5" w:rsidRDefault="008940B3" w:rsidP="00E858EF">
            <w:pPr>
              <w:suppressAutoHyphens/>
              <w:jc w:val="center"/>
              <w:rPr>
                <w:sz w:val="20"/>
                <w:szCs w:val="16"/>
              </w:rPr>
            </w:pPr>
            <w:r w:rsidRPr="00C540C5">
              <w:rPr>
                <w:sz w:val="20"/>
                <w:szCs w:val="16"/>
              </w:rPr>
              <w:t>4</w:t>
            </w:r>
          </w:p>
        </w:tc>
      </w:tr>
    </w:tbl>
    <w:p w14:paraId="54D1035D"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717AE98A" w14:textId="2743E917" w:rsidR="008940B3" w:rsidRPr="003B5C8D" w:rsidRDefault="008940B3" w:rsidP="00E858EF">
      <w:pPr>
        <w:pStyle w:val="Testofumetto"/>
        <w:suppressAutoHyphens/>
      </w:pPr>
      <w:bookmarkStart w:id="381" w:name="_Toc520212552"/>
      <w:r>
        <w:t>Table 3-63. Tomb size and dromos length comparison according to tomb size groups</w:t>
      </w:r>
      <w:r w:rsidR="005E1C18">
        <w:t>,</w:t>
      </w:r>
      <w:r>
        <w:t xml:space="preserve"> Mid-East area</w:t>
      </w:r>
      <w:bookmarkEnd w:id="381"/>
    </w:p>
    <w:tbl>
      <w:tblPr>
        <w:tblW w:w="0" w:type="auto"/>
        <w:tblCellMar>
          <w:left w:w="0" w:type="dxa"/>
          <w:right w:w="0" w:type="dxa"/>
        </w:tblCellMar>
        <w:tblLook w:val="04A0" w:firstRow="1" w:lastRow="0" w:firstColumn="1" w:lastColumn="0" w:noHBand="0" w:noVBand="1"/>
      </w:tblPr>
      <w:tblGrid>
        <w:gridCol w:w="2060"/>
        <w:gridCol w:w="1276"/>
        <w:gridCol w:w="1418"/>
      </w:tblGrid>
      <w:tr w:rsidR="008940B3" w:rsidRPr="00C540C5" w14:paraId="1D109820" w14:textId="77777777" w:rsidTr="008940B3">
        <w:trPr>
          <w:trHeight w:val="40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35E3C69" w14:textId="77777777" w:rsidR="008940B3" w:rsidRPr="00C540C5" w:rsidRDefault="008940B3" w:rsidP="00E858EF">
            <w:pPr>
              <w:suppressAutoHyphens/>
              <w:rPr>
                <w:sz w:val="20"/>
                <w:szCs w:val="16"/>
              </w:rPr>
            </w:pP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21404391" w14:textId="77777777" w:rsidR="008940B3" w:rsidRPr="00C540C5" w:rsidRDefault="008940B3" w:rsidP="00E858EF">
            <w:pPr>
              <w:suppressAutoHyphens/>
              <w:jc w:val="center"/>
              <w:rPr>
                <w:sz w:val="20"/>
                <w:szCs w:val="16"/>
              </w:rPr>
            </w:pPr>
            <w:r w:rsidRPr="00C540C5">
              <w:rPr>
                <w:sz w:val="20"/>
                <w:szCs w:val="16"/>
              </w:rPr>
              <w:t>Small</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96CC6BA" w14:textId="77777777" w:rsidR="008940B3" w:rsidRPr="00C540C5" w:rsidRDefault="008940B3" w:rsidP="00E858EF">
            <w:pPr>
              <w:suppressAutoHyphens/>
              <w:jc w:val="center"/>
              <w:rPr>
                <w:sz w:val="20"/>
                <w:szCs w:val="16"/>
              </w:rPr>
            </w:pPr>
            <w:r w:rsidRPr="00C540C5">
              <w:rPr>
                <w:sz w:val="20"/>
                <w:szCs w:val="16"/>
              </w:rPr>
              <w:t>Medium</w:t>
            </w:r>
          </w:p>
        </w:tc>
      </w:tr>
      <w:tr w:rsidR="008940B3" w:rsidRPr="00C540C5" w14:paraId="3FBC9B25" w14:textId="77777777" w:rsidTr="008940B3">
        <w:trPr>
          <w:trHeight w:val="315"/>
        </w:trPr>
        <w:tc>
          <w:tcPr>
            <w:tcW w:w="206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20A8D333" w14:textId="77777777" w:rsidR="008940B3" w:rsidRPr="00C540C5" w:rsidRDefault="008940B3" w:rsidP="00E858EF">
            <w:pPr>
              <w:suppressAutoHyphens/>
              <w:rPr>
                <w:sz w:val="20"/>
                <w:szCs w:val="16"/>
              </w:rPr>
            </w:pPr>
            <w:r w:rsidRPr="00C540C5">
              <w:rPr>
                <w:color w:val="000000"/>
                <w:sz w:val="20"/>
                <w:szCs w:val="16"/>
              </w:rPr>
              <w:t>Chamber area in sq.m.</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07BB21A0" w14:textId="77777777" w:rsidR="008940B3" w:rsidRPr="00C540C5" w:rsidRDefault="008940B3" w:rsidP="00E858EF">
            <w:pPr>
              <w:suppressAutoHyphens/>
              <w:jc w:val="center"/>
              <w:rPr>
                <w:sz w:val="20"/>
                <w:szCs w:val="16"/>
              </w:rPr>
            </w:pPr>
            <w:r w:rsidRPr="00C540C5">
              <w:rPr>
                <w:sz w:val="20"/>
                <w:szCs w:val="16"/>
              </w:rPr>
              <w:t>0-6</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31059F4A" w14:textId="77777777" w:rsidR="008940B3" w:rsidRPr="00C540C5" w:rsidRDefault="008940B3" w:rsidP="00E858EF">
            <w:pPr>
              <w:suppressAutoHyphens/>
              <w:jc w:val="center"/>
              <w:rPr>
                <w:sz w:val="20"/>
                <w:szCs w:val="16"/>
              </w:rPr>
            </w:pPr>
            <w:r w:rsidRPr="00C540C5">
              <w:rPr>
                <w:sz w:val="20"/>
                <w:szCs w:val="16"/>
              </w:rPr>
              <w:t>7-12</w:t>
            </w:r>
          </w:p>
        </w:tc>
      </w:tr>
      <w:tr w:rsidR="008940B3" w:rsidRPr="00C540C5" w14:paraId="433E86B4" w14:textId="77777777" w:rsidTr="008940B3">
        <w:trPr>
          <w:trHeight w:val="31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4198BC4C" w14:textId="77777777" w:rsidR="008940B3" w:rsidRPr="00C540C5" w:rsidRDefault="008940B3" w:rsidP="00E858EF">
            <w:pPr>
              <w:suppressAutoHyphens/>
              <w:rPr>
                <w:sz w:val="20"/>
                <w:szCs w:val="16"/>
              </w:rPr>
            </w:pPr>
            <w:r w:rsidRPr="00C540C5">
              <w:rPr>
                <w:sz w:val="20"/>
                <w:szCs w:val="16"/>
              </w:rPr>
              <w:t>Dromos</w:t>
            </w: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B7C91FE" w14:textId="77777777" w:rsidR="008940B3" w:rsidRPr="00C540C5" w:rsidRDefault="008940B3" w:rsidP="00E858EF">
            <w:pPr>
              <w:suppressAutoHyphens/>
              <w:jc w:val="center"/>
              <w:rPr>
                <w:sz w:val="20"/>
                <w:szCs w:val="16"/>
              </w:rPr>
            </w:pPr>
            <w:r w:rsidRPr="00C540C5">
              <w:rPr>
                <w:sz w:val="20"/>
                <w:szCs w:val="16"/>
              </w:rPr>
              <w:t>≤7</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4F983B6" w14:textId="3329771E" w:rsidR="008940B3" w:rsidRPr="00C540C5" w:rsidRDefault="008940B3" w:rsidP="00E858EF">
            <w:pPr>
              <w:suppressAutoHyphens/>
              <w:jc w:val="center"/>
              <w:rPr>
                <w:sz w:val="20"/>
                <w:szCs w:val="16"/>
              </w:rPr>
            </w:pPr>
            <w:r w:rsidRPr="00C540C5">
              <w:rPr>
                <w:sz w:val="20"/>
                <w:szCs w:val="16"/>
              </w:rPr>
              <w:t>≤NA</w:t>
            </w:r>
          </w:p>
        </w:tc>
      </w:tr>
    </w:tbl>
    <w:p w14:paraId="50C279F6"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FCDB2A6" w14:textId="77777777" w:rsidR="008940B3" w:rsidRPr="003B5C8D" w:rsidRDefault="008940B3" w:rsidP="00C540C5">
      <w:r w:rsidRPr="003B5C8D">
        <w:t xml:space="preserve">The following architectural features are present </w:t>
      </w:r>
      <w:r>
        <w:t>i</w:t>
      </w:r>
      <w:r w:rsidRPr="003B5C8D">
        <w:t xml:space="preserve">n the tombs of the </w:t>
      </w:r>
      <w:r>
        <w:t>Mid-East</w:t>
      </w:r>
      <w:r w:rsidRPr="003B5C8D">
        <w:t xml:space="preserve"> region:</w:t>
      </w:r>
    </w:p>
    <w:p w14:paraId="214B73CE" w14:textId="77777777" w:rsidR="008940B3" w:rsidRPr="00C540C5"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C540C5">
        <w:rPr>
          <w:color w:val="000000"/>
          <w:szCs w:val="22"/>
        </w:rPr>
        <w:t>Pits or niches in the chamber and/or dromos</w:t>
      </w:r>
    </w:p>
    <w:p w14:paraId="66A67615" w14:textId="77777777" w:rsidR="008940B3" w:rsidRPr="00C540C5"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C540C5">
        <w:rPr>
          <w:color w:val="000000"/>
          <w:szCs w:val="22"/>
        </w:rPr>
        <w:t>The only monumental feature registered for this region is a pit in which a larnax was found. This pit was in the corbel-vaulted tomb in Plati. Even if corbel-vaulted tombs have been found in this region, at Karphi and Plati, these tombs are relatively small both in terms of dimensions and monumental characteristics reported in the publication records.</w:t>
      </w:r>
    </w:p>
    <w:p w14:paraId="1B0CF213"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5AAF92B3" w14:textId="77777777" w:rsidR="008940B3" w:rsidRPr="003B5C8D" w:rsidRDefault="008940B3" w:rsidP="00E858EF">
      <w:pPr>
        <w:pStyle w:val="Testofumetto"/>
        <w:suppressAutoHyphens/>
      </w:pPr>
      <w:bookmarkStart w:id="382" w:name="_Toc520212553"/>
      <w:r>
        <w:t>Table 3-64. Occurrence of monumental features in Mid-East area</w:t>
      </w:r>
      <w:bookmarkEnd w:id="382"/>
    </w:p>
    <w:tbl>
      <w:tblPr>
        <w:tblW w:w="0" w:type="auto"/>
        <w:tblInd w:w="75" w:type="dxa"/>
        <w:tblCellMar>
          <w:left w:w="0" w:type="dxa"/>
          <w:right w:w="0" w:type="dxa"/>
        </w:tblCellMar>
        <w:tblLook w:val="04A0" w:firstRow="1" w:lastRow="0" w:firstColumn="1" w:lastColumn="0" w:noHBand="0" w:noVBand="1"/>
      </w:tblPr>
      <w:tblGrid>
        <w:gridCol w:w="1275"/>
        <w:gridCol w:w="1998"/>
        <w:gridCol w:w="1684"/>
        <w:gridCol w:w="1693"/>
        <w:gridCol w:w="992"/>
      </w:tblGrid>
      <w:tr w:rsidR="008940B3" w:rsidRPr="00C540C5" w14:paraId="202D221B" w14:textId="77777777" w:rsidTr="00C45C77">
        <w:trPr>
          <w:trHeight w:val="405"/>
        </w:trPr>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C9BC807" w14:textId="77777777" w:rsidR="008940B3" w:rsidRPr="00C540C5" w:rsidRDefault="008940B3" w:rsidP="00C540C5">
            <w:pPr>
              <w:rPr>
                <w:sz w:val="20"/>
              </w:rPr>
            </w:pPr>
          </w:p>
        </w:tc>
        <w:tc>
          <w:tcPr>
            <w:tcW w:w="199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F5576B5" w14:textId="77777777" w:rsidR="008940B3" w:rsidRPr="00C540C5" w:rsidRDefault="008940B3" w:rsidP="00C45C77">
            <w:pPr>
              <w:jc w:val="center"/>
              <w:rPr>
                <w:sz w:val="20"/>
              </w:rPr>
            </w:pPr>
            <w:r w:rsidRPr="00C540C5">
              <w:rPr>
                <w:sz w:val="20"/>
              </w:rPr>
              <w:t>No. of architectural features</w:t>
            </w:r>
          </w:p>
        </w:tc>
        <w:tc>
          <w:tcPr>
            <w:tcW w:w="168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2CB7C024" w14:textId="77777777" w:rsidR="008940B3" w:rsidRPr="00C540C5" w:rsidRDefault="008940B3" w:rsidP="00C45C77">
            <w:pPr>
              <w:jc w:val="center"/>
              <w:rPr>
                <w:sz w:val="20"/>
              </w:rPr>
            </w:pPr>
            <w:r w:rsidRPr="00C540C5">
              <w:rPr>
                <w:sz w:val="20"/>
              </w:rPr>
              <w:t>1 arch. feature</w:t>
            </w:r>
          </w:p>
        </w:tc>
        <w:tc>
          <w:tcPr>
            <w:tcW w:w="169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2052FC5F" w14:textId="58CB910A" w:rsidR="008940B3" w:rsidRPr="00C540C5" w:rsidRDefault="008940B3" w:rsidP="00C45C77">
            <w:pPr>
              <w:jc w:val="center"/>
              <w:rPr>
                <w:sz w:val="20"/>
              </w:rPr>
            </w:pPr>
            <w:r w:rsidRPr="00C540C5">
              <w:rPr>
                <w:rFonts w:eastAsia="MS Gothic"/>
                <w:color w:val="000000"/>
                <w:sz w:val="20"/>
              </w:rPr>
              <w:t xml:space="preserve">≥2 </w:t>
            </w:r>
            <w:r w:rsidRPr="00C540C5">
              <w:rPr>
                <w:sz w:val="20"/>
              </w:rPr>
              <w:t>arch. features</w:t>
            </w:r>
          </w:p>
        </w:tc>
        <w:tc>
          <w:tcPr>
            <w:tcW w:w="992" w:type="dxa"/>
            <w:tcBorders>
              <w:top w:val="single" w:sz="6" w:space="0" w:color="000000"/>
              <w:left w:val="single" w:sz="6" w:space="0" w:color="000000"/>
              <w:bottom w:val="single" w:sz="6" w:space="0" w:color="000000"/>
              <w:right w:val="single" w:sz="6" w:space="0" w:color="000000"/>
            </w:tcBorders>
          </w:tcPr>
          <w:p w14:paraId="2AA89371" w14:textId="77777777" w:rsidR="008940B3" w:rsidRPr="00C540C5" w:rsidRDefault="008940B3" w:rsidP="00C45C77">
            <w:pPr>
              <w:jc w:val="center"/>
              <w:rPr>
                <w:sz w:val="20"/>
              </w:rPr>
            </w:pPr>
            <w:r w:rsidRPr="00C540C5">
              <w:rPr>
                <w:sz w:val="20"/>
              </w:rPr>
              <w:t>Total</w:t>
            </w:r>
          </w:p>
        </w:tc>
      </w:tr>
      <w:tr w:rsidR="008940B3" w:rsidRPr="00C540C5" w14:paraId="24FC294C" w14:textId="77777777" w:rsidTr="00C45C77">
        <w:trPr>
          <w:trHeight w:val="315"/>
        </w:trPr>
        <w:tc>
          <w:tcPr>
            <w:tcW w:w="127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7E82274B" w14:textId="77777777" w:rsidR="008940B3" w:rsidRPr="00C540C5" w:rsidRDefault="008940B3" w:rsidP="00C540C5">
            <w:pPr>
              <w:rPr>
                <w:sz w:val="20"/>
              </w:rPr>
            </w:pPr>
            <w:r w:rsidRPr="00C540C5">
              <w:rPr>
                <w:color w:val="000000"/>
                <w:sz w:val="20"/>
              </w:rPr>
              <w:t>No. of tombs</w:t>
            </w:r>
          </w:p>
        </w:tc>
        <w:tc>
          <w:tcPr>
            <w:tcW w:w="199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622A5F01" w14:textId="77777777" w:rsidR="008940B3" w:rsidRPr="00C540C5" w:rsidRDefault="008940B3" w:rsidP="00C45C77">
            <w:pPr>
              <w:jc w:val="center"/>
              <w:rPr>
                <w:sz w:val="20"/>
              </w:rPr>
            </w:pPr>
            <w:r w:rsidRPr="00C540C5">
              <w:rPr>
                <w:sz w:val="20"/>
              </w:rPr>
              <w:t>43</w:t>
            </w:r>
          </w:p>
        </w:tc>
        <w:tc>
          <w:tcPr>
            <w:tcW w:w="1684"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0E8BA5D3" w14:textId="77777777" w:rsidR="008940B3" w:rsidRPr="00C540C5" w:rsidRDefault="008940B3" w:rsidP="00C45C77">
            <w:pPr>
              <w:jc w:val="center"/>
              <w:rPr>
                <w:sz w:val="20"/>
              </w:rPr>
            </w:pPr>
            <w:r w:rsidRPr="00C540C5">
              <w:rPr>
                <w:sz w:val="20"/>
              </w:rPr>
              <w:t>1</w:t>
            </w:r>
          </w:p>
        </w:tc>
        <w:tc>
          <w:tcPr>
            <w:tcW w:w="1693"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1E6537D1" w14:textId="14880FFE" w:rsidR="008940B3" w:rsidRPr="00C540C5" w:rsidRDefault="008940B3" w:rsidP="00C45C77">
            <w:pPr>
              <w:jc w:val="center"/>
              <w:rPr>
                <w:sz w:val="20"/>
              </w:rPr>
            </w:pPr>
            <w:r w:rsidRPr="00C540C5">
              <w:rPr>
                <w:color w:val="000000"/>
                <w:sz w:val="20"/>
              </w:rPr>
              <w:t>0</w:t>
            </w:r>
          </w:p>
        </w:tc>
        <w:tc>
          <w:tcPr>
            <w:tcW w:w="992" w:type="dxa"/>
            <w:tcBorders>
              <w:top w:val="single" w:sz="6" w:space="0" w:color="000000"/>
              <w:left w:val="single" w:sz="6" w:space="0" w:color="000000"/>
              <w:bottom w:val="single" w:sz="6" w:space="0" w:color="000000"/>
              <w:right w:val="single" w:sz="6" w:space="0" w:color="000000"/>
            </w:tcBorders>
            <w:shd w:val="clear" w:color="auto" w:fill="EFEFEF"/>
          </w:tcPr>
          <w:p w14:paraId="2C1B0E31" w14:textId="77777777" w:rsidR="008940B3" w:rsidRPr="00C540C5" w:rsidRDefault="008940B3" w:rsidP="00C45C77">
            <w:pPr>
              <w:jc w:val="center"/>
              <w:rPr>
                <w:color w:val="000000"/>
                <w:sz w:val="20"/>
              </w:rPr>
            </w:pPr>
            <w:r w:rsidRPr="00C540C5">
              <w:rPr>
                <w:color w:val="000000"/>
                <w:sz w:val="20"/>
              </w:rPr>
              <w:t>44</w:t>
            </w:r>
          </w:p>
        </w:tc>
      </w:tr>
    </w:tbl>
    <w:p w14:paraId="78C904A0"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52C35AEC" w14:textId="77777777" w:rsidR="008940B3" w:rsidRPr="007F5212" w:rsidRDefault="008940B3" w:rsidP="00C45C77">
      <w:r w:rsidRPr="007F5212">
        <w:t xml:space="preserve">The data concerning tomb size and the occurrence of monumental features </w:t>
      </w:r>
      <w:r>
        <w:t>reveal</w:t>
      </w:r>
      <w:r w:rsidRPr="007F5212">
        <w:t xml:space="preserve"> a lack of monumentality for tombs with larnakes in the </w:t>
      </w:r>
      <w:r>
        <w:t>Mid-East</w:t>
      </w:r>
      <w:r w:rsidRPr="007F5212">
        <w:t xml:space="preserve"> area.</w:t>
      </w:r>
      <w:r>
        <w:t xml:space="preserve"> Furthermore, the association of clay larnakes with cave/rock-shelter burials (Elounda cemetery) is further evidence that confirms this tendency.</w:t>
      </w:r>
    </w:p>
    <w:p w14:paraId="7D290F24" w14:textId="77777777" w:rsidR="008940B3" w:rsidRPr="0012200B" w:rsidRDefault="008940B3" w:rsidP="00E858EF">
      <w:pPr>
        <w:pStyle w:val="Titolo4"/>
        <w:keepNext w:val="0"/>
        <w:keepLines w:val="0"/>
        <w:suppressAutoHyphens/>
        <w:ind w:left="864" w:hanging="864"/>
        <w:contextualSpacing w:val="0"/>
      </w:pPr>
      <w:r w:rsidRPr="003B5C8D">
        <w:rPr>
          <w:i w:val="0"/>
          <w:sz w:val="22"/>
          <w:szCs w:val="22"/>
        </w:rPr>
        <w:t>Tombs and larnakes</w:t>
      </w:r>
      <w:r>
        <w:rPr>
          <w:i w:val="0"/>
          <w:sz w:val="22"/>
          <w:szCs w:val="22"/>
        </w:rPr>
        <w:t xml:space="preserve">: </w:t>
      </w:r>
      <w:r>
        <w:rPr>
          <w:noProof/>
        </w:rPr>
        <w:t>is there an increase in larnax numbers according to tomb size</w:t>
      </w:r>
      <w:r w:rsidRPr="00AB66FA">
        <w:t>?</w:t>
      </w:r>
    </w:p>
    <w:p w14:paraId="2B36DEBA" w14:textId="77777777" w:rsidR="008940B3" w:rsidRPr="00431A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431A8D">
        <w:rPr>
          <w:color w:val="000000"/>
        </w:rPr>
        <w:t>From the data available, the number of larnakes deposited in tombs varies according to the size of the chamber (although the dataset is very small).</w:t>
      </w:r>
    </w:p>
    <w:p w14:paraId="531F7089" w14:textId="77777777" w:rsidR="00C45C77" w:rsidRDefault="00C45C77">
      <w:pPr>
        <w:widowControl/>
        <w:spacing w:line="240" w:lineRule="auto"/>
        <w:contextualSpacing w:val="0"/>
        <w:jc w:val="left"/>
        <w:rPr>
          <w:rFonts w:cs="Lucida Grande"/>
          <w:b/>
          <w:sz w:val="20"/>
          <w:szCs w:val="18"/>
        </w:rPr>
      </w:pPr>
      <w:r>
        <w:br w:type="page"/>
      </w:r>
    </w:p>
    <w:p w14:paraId="12F3F7E0" w14:textId="7351EABF" w:rsidR="008940B3" w:rsidRPr="003B5C8D" w:rsidRDefault="008940B3" w:rsidP="00E858EF">
      <w:pPr>
        <w:pStyle w:val="Testofumetto"/>
        <w:suppressAutoHyphens/>
      </w:pPr>
      <w:bookmarkStart w:id="383" w:name="_Toc520212554"/>
      <w:r>
        <w:t>Table 3-65. Larnax number</w:t>
      </w:r>
      <w:r w:rsidR="00C45C77">
        <w:t>s</w:t>
      </w:r>
      <w:r>
        <w:t xml:space="preserve"> in relation to tomb size</w:t>
      </w:r>
      <w:r w:rsidR="005E1C18">
        <w:t>,</w:t>
      </w:r>
      <w:r>
        <w:t xml:space="preserve"> Mid-East area</w:t>
      </w:r>
      <w:bookmarkEnd w:id="383"/>
    </w:p>
    <w:tbl>
      <w:tblPr>
        <w:tblW w:w="0" w:type="auto"/>
        <w:tblCellMar>
          <w:left w:w="0" w:type="dxa"/>
          <w:right w:w="0" w:type="dxa"/>
        </w:tblCellMar>
        <w:tblLook w:val="04A0" w:firstRow="1" w:lastRow="0" w:firstColumn="1" w:lastColumn="0" w:noHBand="0" w:noVBand="1"/>
      </w:tblPr>
      <w:tblGrid>
        <w:gridCol w:w="2343"/>
        <w:gridCol w:w="1276"/>
        <w:gridCol w:w="1418"/>
      </w:tblGrid>
      <w:tr w:rsidR="008940B3" w:rsidRPr="00C45C77" w14:paraId="52AF7777" w14:textId="77777777" w:rsidTr="00C45C77">
        <w:trPr>
          <w:trHeight w:val="40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34791056" w14:textId="77777777" w:rsidR="008940B3" w:rsidRPr="00C45C77" w:rsidRDefault="008940B3" w:rsidP="00E858EF">
            <w:pPr>
              <w:suppressAutoHyphens/>
              <w:rPr>
                <w:sz w:val="20"/>
                <w:szCs w:val="16"/>
              </w:rPr>
            </w:pP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2374836B" w14:textId="77777777" w:rsidR="008940B3" w:rsidRPr="00C45C77" w:rsidRDefault="008940B3" w:rsidP="00E858EF">
            <w:pPr>
              <w:suppressAutoHyphens/>
              <w:jc w:val="center"/>
              <w:rPr>
                <w:sz w:val="20"/>
                <w:szCs w:val="16"/>
              </w:rPr>
            </w:pPr>
            <w:r w:rsidRPr="00C45C77">
              <w:rPr>
                <w:sz w:val="20"/>
                <w:szCs w:val="16"/>
              </w:rPr>
              <w:t>Small</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47E260FC" w14:textId="77777777" w:rsidR="008940B3" w:rsidRPr="00C45C77" w:rsidRDefault="008940B3" w:rsidP="00E858EF">
            <w:pPr>
              <w:suppressAutoHyphens/>
              <w:jc w:val="center"/>
              <w:rPr>
                <w:sz w:val="20"/>
                <w:szCs w:val="16"/>
              </w:rPr>
            </w:pPr>
            <w:r w:rsidRPr="00C45C77">
              <w:rPr>
                <w:sz w:val="20"/>
                <w:szCs w:val="16"/>
              </w:rPr>
              <w:t>Medium</w:t>
            </w:r>
          </w:p>
        </w:tc>
      </w:tr>
      <w:tr w:rsidR="008940B3" w:rsidRPr="00C45C77" w14:paraId="574A0B5F" w14:textId="77777777" w:rsidTr="00C45C77">
        <w:trPr>
          <w:trHeight w:val="315"/>
        </w:trPr>
        <w:tc>
          <w:tcPr>
            <w:tcW w:w="2343"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3086FADB" w14:textId="77777777" w:rsidR="008940B3" w:rsidRPr="00C45C77" w:rsidRDefault="008940B3" w:rsidP="00E858EF">
            <w:pPr>
              <w:suppressAutoHyphens/>
              <w:rPr>
                <w:sz w:val="20"/>
                <w:szCs w:val="16"/>
              </w:rPr>
            </w:pPr>
            <w:r w:rsidRPr="00C45C77">
              <w:rPr>
                <w:color w:val="000000"/>
                <w:sz w:val="20"/>
                <w:szCs w:val="16"/>
              </w:rPr>
              <w:t>Chamber area in sq.m.</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4552693E" w14:textId="77777777" w:rsidR="008940B3" w:rsidRPr="00C45C77" w:rsidRDefault="008940B3" w:rsidP="00E858EF">
            <w:pPr>
              <w:suppressAutoHyphens/>
              <w:jc w:val="center"/>
              <w:rPr>
                <w:sz w:val="20"/>
                <w:szCs w:val="16"/>
              </w:rPr>
            </w:pPr>
            <w:r w:rsidRPr="00C45C77">
              <w:rPr>
                <w:sz w:val="20"/>
                <w:szCs w:val="16"/>
              </w:rPr>
              <w:t>0-6</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059C4685" w14:textId="77777777" w:rsidR="008940B3" w:rsidRPr="00C45C77" w:rsidRDefault="008940B3" w:rsidP="00E858EF">
            <w:pPr>
              <w:suppressAutoHyphens/>
              <w:jc w:val="center"/>
              <w:rPr>
                <w:sz w:val="20"/>
                <w:szCs w:val="16"/>
              </w:rPr>
            </w:pPr>
            <w:r w:rsidRPr="00C45C77">
              <w:rPr>
                <w:sz w:val="20"/>
                <w:szCs w:val="16"/>
              </w:rPr>
              <w:t>7-12</w:t>
            </w:r>
          </w:p>
        </w:tc>
      </w:tr>
      <w:tr w:rsidR="008940B3" w:rsidRPr="00C45C77" w14:paraId="0FF43DA9" w14:textId="77777777" w:rsidTr="00C45C77">
        <w:trPr>
          <w:trHeight w:val="31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4EA3180C" w14:textId="2D77B52F" w:rsidR="008940B3" w:rsidRPr="00C45C77" w:rsidRDefault="008940B3" w:rsidP="00E858EF">
            <w:pPr>
              <w:suppressAutoHyphens/>
              <w:rPr>
                <w:sz w:val="20"/>
                <w:szCs w:val="16"/>
              </w:rPr>
            </w:pPr>
            <w:r w:rsidRPr="00C45C77">
              <w:rPr>
                <w:sz w:val="20"/>
                <w:szCs w:val="16"/>
              </w:rPr>
              <w:t>Range of larnax number</w:t>
            </w:r>
            <w:r w:rsidR="00C45C77">
              <w:rPr>
                <w:sz w:val="20"/>
                <w:szCs w:val="16"/>
              </w:rPr>
              <w:t>s</w:t>
            </w: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61DE6AB6" w14:textId="77777777" w:rsidR="008940B3" w:rsidRPr="00C45C77" w:rsidRDefault="008940B3" w:rsidP="00E858EF">
            <w:pPr>
              <w:suppressAutoHyphens/>
              <w:jc w:val="center"/>
              <w:rPr>
                <w:sz w:val="20"/>
                <w:szCs w:val="16"/>
              </w:rPr>
            </w:pPr>
            <w:r w:rsidRPr="00C45C77">
              <w:rPr>
                <w:sz w:val="20"/>
                <w:szCs w:val="16"/>
              </w:rPr>
              <w:t>1-3</w:t>
            </w:r>
          </w:p>
        </w:tc>
        <w:tc>
          <w:tcPr>
            <w:tcW w:w="1418"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2CB0A69A" w14:textId="77777777" w:rsidR="008940B3" w:rsidRPr="00C45C77" w:rsidRDefault="008940B3" w:rsidP="00E858EF">
            <w:pPr>
              <w:suppressAutoHyphens/>
              <w:jc w:val="center"/>
              <w:rPr>
                <w:color w:val="000000"/>
                <w:sz w:val="20"/>
                <w:szCs w:val="16"/>
              </w:rPr>
            </w:pPr>
            <w:r w:rsidRPr="00C45C77">
              <w:rPr>
                <w:color w:val="000000"/>
                <w:sz w:val="20"/>
                <w:szCs w:val="16"/>
              </w:rPr>
              <w:t>4</w:t>
            </w:r>
          </w:p>
        </w:tc>
      </w:tr>
    </w:tbl>
    <w:p w14:paraId="27EE3C76"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799239F4" w14:textId="782D10A2" w:rsidR="008940B3" w:rsidRPr="00431A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431A8D">
        <w:rPr>
          <w:color w:val="000000"/>
        </w:rPr>
        <w:t>The mean space reserved for a larnax within a tomb in the Mid-East region is approximately 2 sq.m. (calculated on nine tombs for which information about the chamber area is available). The mean number of larnakes per tomb is approximately two, with a maximum of five.</w:t>
      </w:r>
    </w:p>
    <w:p w14:paraId="73E40106" w14:textId="77777777" w:rsidR="00C45C77" w:rsidRPr="009E6CAD" w:rsidRDefault="00C45C77"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79C64398" w14:textId="28A7A7F6" w:rsidR="008940B3" w:rsidRPr="00D5122E" w:rsidRDefault="008940B3" w:rsidP="00D5122E">
      <w:pPr>
        <w:pStyle w:val="Testofumetto"/>
      </w:pPr>
      <w:r w:rsidRPr="00D5122E">
        <w:t xml:space="preserve">Table 3-66. </w:t>
      </w:r>
      <w:r w:rsidRPr="00D5122E">
        <w:rPr>
          <w:rStyle w:val="TestofumettoCarattere"/>
          <w:b/>
        </w:rPr>
        <w:t>Space reserved to a larnax within a tomb</w:t>
      </w:r>
      <w:r w:rsidR="005E1C18">
        <w:rPr>
          <w:rStyle w:val="TestofumettoCarattere"/>
          <w:b/>
        </w:rPr>
        <w:t>,</w:t>
      </w:r>
      <w:r w:rsidRPr="00D5122E">
        <w:rPr>
          <w:rStyle w:val="TestofumettoCarattere"/>
          <w:b/>
        </w:rPr>
        <w:t xml:space="preserve"> Mid-East area</w:t>
      </w:r>
    </w:p>
    <w:tbl>
      <w:tblPr>
        <w:tblW w:w="0" w:type="auto"/>
        <w:tblCellMar>
          <w:left w:w="0" w:type="dxa"/>
          <w:right w:w="0" w:type="dxa"/>
        </w:tblCellMar>
        <w:tblLook w:val="04A0" w:firstRow="1" w:lastRow="0" w:firstColumn="1" w:lastColumn="0" w:noHBand="0" w:noVBand="1"/>
      </w:tblPr>
      <w:tblGrid>
        <w:gridCol w:w="1351"/>
        <w:gridCol w:w="3544"/>
      </w:tblGrid>
      <w:tr w:rsidR="008940B3" w:rsidRPr="00C45C77" w14:paraId="59FD3C7F" w14:textId="77777777" w:rsidTr="00F232F8">
        <w:trPr>
          <w:trHeight w:val="410"/>
        </w:trPr>
        <w:tc>
          <w:tcPr>
            <w:tcW w:w="1351"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461C0518" w14:textId="77777777" w:rsidR="008940B3" w:rsidRPr="00C45C77" w:rsidRDefault="008940B3" w:rsidP="00E858EF">
            <w:pPr>
              <w:suppressAutoHyphens/>
              <w:rPr>
                <w:sz w:val="20"/>
                <w:szCs w:val="16"/>
              </w:rPr>
            </w:pPr>
          </w:p>
        </w:tc>
        <w:tc>
          <w:tcPr>
            <w:tcW w:w="354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3BFC52B2" w14:textId="0C2E497F" w:rsidR="008940B3" w:rsidRPr="00C45C77" w:rsidRDefault="008940B3" w:rsidP="00E858EF">
            <w:pPr>
              <w:suppressAutoHyphens/>
              <w:jc w:val="center"/>
              <w:rPr>
                <w:b/>
                <w:sz w:val="20"/>
                <w:szCs w:val="16"/>
              </w:rPr>
            </w:pPr>
            <w:r w:rsidRPr="00C45C77">
              <w:rPr>
                <w:b/>
                <w:sz w:val="20"/>
                <w:szCs w:val="16"/>
              </w:rPr>
              <w:t>Proportion of space per larnax in sq.m.</w:t>
            </w:r>
          </w:p>
        </w:tc>
      </w:tr>
      <w:tr w:rsidR="008940B3" w:rsidRPr="00C45C77" w14:paraId="74BFEFFA" w14:textId="77777777" w:rsidTr="00F232F8">
        <w:trPr>
          <w:trHeight w:val="320"/>
        </w:trPr>
        <w:tc>
          <w:tcPr>
            <w:tcW w:w="1351"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6306B910" w14:textId="77777777" w:rsidR="008940B3" w:rsidRPr="00C45C77" w:rsidRDefault="008940B3" w:rsidP="00E858EF">
            <w:pPr>
              <w:suppressAutoHyphens/>
              <w:rPr>
                <w:sz w:val="20"/>
                <w:szCs w:val="16"/>
              </w:rPr>
            </w:pPr>
            <w:r w:rsidRPr="00C45C77">
              <w:rPr>
                <w:sz w:val="20"/>
                <w:szCs w:val="16"/>
              </w:rPr>
              <w:t>Mean</w:t>
            </w:r>
          </w:p>
        </w:tc>
        <w:tc>
          <w:tcPr>
            <w:tcW w:w="3544"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13F68E5B" w14:textId="66C6366C" w:rsidR="008940B3" w:rsidRPr="00C45C77" w:rsidRDefault="008940B3" w:rsidP="00C45C77">
            <w:pPr>
              <w:suppressAutoHyphens/>
              <w:jc w:val="left"/>
              <w:rPr>
                <w:sz w:val="20"/>
                <w:szCs w:val="16"/>
              </w:rPr>
            </w:pPr>
            <w:r w:rsidRPr="00C45C77">
              <w:rPr>
                <w:sz w:val="20"/>
                <w:szCs w:val="16"/>
              </w:rPr>
              <w:t>1.9</w:t>
            </w:r>
          </w:p>
        </w:tc>
      </w:tr>
      <w:tr w:rsidR="008940B3" w:rsidRPr="00C45C77" w14:paraId="07594B9C" w14:textId="77777777" w:rsidTr="00F232F8">
        <w:trPr>
          <w:trHeight w:val="320"/>
        </w:trPr>
        <w:tc>
          <w:tcPr>
            <w:tcW w:w="1351"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02664F7F" w14:textId="77777777" w:rsidR="008940B3" w:rsidRPr="00C45C77" w:rsidRDefault="008940B3" w:rsidP="00E858EF">
            <w:pPr>
              <w:suppressAutoHyphens/>
              <w:rPr>
                <w:sz w:val="20"/>
                <w:szCs w:val="16"/>
              </w:rPr>
            </w:pPr>
            <w:r w:rsidRPr="00C45C77">
              <w:rPr>
                <w:sz w:val="20"/>
                <w:szCs w:val="16"/>
              </w:rPr>
              <w:t>Max</w:t>
            </w:r>
          </w:p>
        </w:tc>
        <w:tc>
          <w:tcPr>
            <w:tcW w:w="354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2A04706A" w14:textId="77777777" w:rsidR="008940B3" w:rsidRPr="00C45C77" w:rsidRDefault="008940B3" w:rsidP="00C45C77">
            <w:pPr>
              <w:suppressAutoHyphens/>
              <w:jc w:val="left"/>
              <w:rPr>
                <w:sz w:val="20"/>
                <w:szCs w:val="16"/>
              </w:rPr>
            </w:pPr>
            <w:r w:rsidRPr="00C45C77">
              <w:rPr>
                <w:sz w:val="20"/>
                <w:szCs w:val="16"/>
              </w:rPr>
              <w:t>13.5 (Plati tomb)</w:t>
            </w:r>
          </w:p>
        </w:tc>
      </w:tr>
      <w:tr w:rsidR="008940B3" w:rsidRPr="00C45C77" w14:paraId="6E18F529" w14:textId="77777777" w:rsidTr="00F232F8">
        <w:trPr>
          <w:trHeight w:val="313"/>
        </w:trPr>
        <w:tc>
          <w:tcPr>
            <w:tcW w:w="1351"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07B65387" w14:textId="77777777" w:rsidR="008940B3" w:rsidRPr="00C45C77" w:rsidRDefault="008940B3" w:rsidP="00E858EF">
            <w:pPr>
              <w:suppressAutoHyphens/>
              <w:rPr>
                <w:sz w:val="20"/>
                <w:szCs w:val="16"/>
              </w:rPr>
            </w:pPr>
            <w:r w:rsidRPr="00C45C77">
              <w:rPr>
                <w:sz w:val="20"/>
                <w:szCs w:val="16"/>
              </w:rPr>
              <w:t>Min</w:t>
            </w:r>
          </w:p>
        </w:tc>
        <w:tc>
          <w:tcPr>
            <w:tcW w:w="354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78AF09D4" w14:textId="77777777" w:rsidR="008940B3" w:rsidRPr="00C45C77" w:rsidRDefault="008940B3" w:rsidP="00C45C77">
            <w:pPr>
              <w:suppressAutoHyphens/>
              <w:jc w:val="left"/>
              <w:rPr>
                <w:sz w:val="20"/>
                <w:szCs w:val="16"/>
              </w:rPr>
            </w:pPr>
            <w:r w:rsidRPr="00C45C77">
              <w:rPr>
                <w:sz w:val="20"/>
                <w:szCs w:val="16"/>
              </w:rPr>
              <w:t>1.1 (Milatos tomb 6.3 larnakes)</w:t>
            </w:r>
          </w:p>
        </w:tc>
      </w:tr>
    </w:tbl>
    <w:p w14:paraId="4E821C81"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sz w:val="22"/>
          <w:szCs w:val="22"/>
          <w:highlight w:val="red"/>
        </w:rPr>
      </w:pPr>
    </w:p>
    <w:p w14:paraId="708C6F61" w14:textId="42E34489" w:rsidR="008940B3" w:rsidRPr="00282B67" w:rsidRDefault="008940B3" w:rsidP="00E858EF">
      <w:pPr>
        <w:pStyle w:val="Testofumetto"/>
        <w:suppressAutoHyphens/>
        <w:rPr>
          <w:highlight w:val="red"/>
        </w:rPr>
      </w:pPr>
      <w:bookmarkStart w:id="384" w:name="_Toc520212555"/>
      <w:r w:rsidRPr="002F6166">
        <w:t>Table 3-</w:t>
      </w:r>
      <w:r>
        <w:t>67. Number of larnakes per tomb</w:t>
      </w:r>
      <w:r w:rsidR="005E1C18">
        <w:t>,</w:t>
      </w:r>
      <w:r>
        <w:t xml:space="preserve"> Mid-East area</w:t>
      </w:r>
      <w:bookmarkEnd w:id="384"/>
    </w:p>
    <w:tbl>
      <w:tblPr>
        <w:tblStyle w:val="Grigliatabella"/>
        <w:tblW w:w="0" w:type="auto"/>
        <w:tblLook w:val="04A0" w:firstRow="1" w:lastRow="0" w:firstColumn="1" w:lastColumn="0" w:noHBand="0" w:noVBand="1"/>
      </w:tblPr>
      <w:tblGrid>
        <w:gridCol w:w="1384"/>
        <w:gridCol w:w="3544"/>
      </w:tblGrid>
      <w:tr w:rsidR="008940B3" w:rsidRPr="00C45C77" w14:paraId="706FD8D1" w14:textId="77777777" w:rsidTr="00F232F8">
        <w:trPr>
          <w:trHeight w:val="290"/>
        </w:trPr>
        <w:tc>
          <w:tcPr>
            <w:tcW w:w="1384" w:type="dxa"/>
          </w:tcPr>
          <w:p w14:paraId="5699D95E" w14:textId="77777777" w:rsidR="008940B3" w:rsidRPr="00C45C77"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sz w:val="20"/>
                <w:szCs w:val="22"/>
              </w:rPr>
            </w:pPr>
          </w:p>
        </w:tc>
        <w:tc>
          <w:tcPr>
            <w:tcW w:w="3544" w:type="dxa"/>
          </w:tcPr>
          <w:p w14:paraId="6734D22C" w14:textId="77777777" w:rsidR="008940B3" w:rsidRPr="00C45C77"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16"/>
              </w:rPr>
            </w:pPr>
            <w:r w:rsidRPr="00C45C77">
              <w:rPr>
                <w:b/>
                <w:color w:val="000000"/>
                <w:sz w:val="20"/>
                <w:szCs w:val="16"/>
              </w:rPr>
              <w:t>Number of larnakes per tomb</w:t>
            </w:r>
          </w:p>
        </w:tc>
      </w:tr>
      <w:tr w:rsidR="008940B3" w:rsidRPr="00C45C77" w14:paraId="0261DD11" w14:textId="77777777" w:rsidTr="00F232F8">
        <w:trPr>
          <w:trHeight w:val="290"/>
        </w:trPr>
        <w:tc>
          <w:tcPr>
            <w:tcW w:w="1384" w:type="dxa"/>
          </w:tcPr>
          <w:p w14:paraId="0DDDCD47" w14:textId="77777777" w:rsidR="008940B3" w:rsidRPr="00C45C77"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C45C77">
              <w:rPr>
                <w:color w:val="000000"/>
                <w:sz w:val="20"/>
                <w:szCs w:val="16"/>
              </w:rPr>
              <w:t>Mean</w:t>
            </w:r>
          </w:p>
        </w:tc>
        <w:tc>
          <w:tcPr>
            <w:tcW w:w="3544" w:type="dxa"/>
          </w:tcPr>
          <w:p w14:paraId="1118E04E" w14:textId="77777777" w:rsidR="008940B3" w:rsidRPr="00C45C77" w:rsidRDefault="008940B3" w:rsidP="00C45C7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16"/>
              </w:rPr>
            </w:pPr>
            <w:r w:rsidRPr="00C45C77">
              <w:rPr>
                <w:color w:val="000000"/>
                <w:sz w:val="20"/>
                <w:szCs w:val="16"/>
              </w:rPr>
              <w:t>1.7</w:t>
            </w:r>
          </w:p>
        </w:tc>
      </w:tr>
      <w:tr w:rsidR="008940B3" w:rsidRPr="00C45C77" w14:paraId="3EF63A13" w14:textId="77777777" w:rsidTr="00F232F8">
        <w:trPr>
          <w:trHeight w:val="303"/>
        </w:trPr>
        <w:tc>
          <w:tcPr>
            <w:tcW w:w="1384" w:type="dxa"/>
          </w:tcPr>
          <w:p w14:paraId="7F6A88A6" w14:textId="77777777" w:rsidR="008940B3" w:rsidRPr="00C45C77"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C45C77">
              <w:rPr>
                <w:color w:val="000000"/>
                <w:sz w:val="20"/>
                <w:szCs w:val="16"/>
              </w:rPr>
              <w:t>Max</w:t>
            </w:r>
          </w:p>
        </w:tc>
        <w:tc>
          <w:tcPr>
            <w:tcW w:w="3544" w:type="dxa"/>
          </w:tcPr>
          <w:p w14:paraId="35094058" w14:textId="77777777" w:rsidR="008940B3" w:rsidRPr="00C45C77" w:rsidRDefault="008940B3" w:rsidP="00C45C7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16"/>
              </w:rPr>
            </w:pPr>
            <w:r w:rsidRPr="00C45C77">
              <w:rPr>
                <w:color w:val="000000"/>
                <w:sz w:val="20"/>
                <w:szCs w:val="16"/>
              </w:rPr>
              <w:t>5 (Malia Agios Dimitrios and Malia Agia Pelagia)</w:t>
            </w:r>
          </w:p>
        </w:tc>
      </w:tr>
      <w:tr w:rsidR="008940B3" w:rsidRPr="00C45C77" w14:paraId="4FA99A10" w14:textId="77777777" w:rsidTr="00F232F8">
        <w:trPr>
          <w:trHeight w:val="303"/>
        </w:trPr>
        <w:tc>
          <w:tcPr>
            <w:tcW w:w="1384" w:type="dxa"/>
          </w:tcPr>
          <w:p w14:paraId="071EB709" w14:textId="77777777" w:rsidR="008940B3" w:rsidRPr="00C45C77"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C45C77">
              <w:rPr>
                <w:color w:val="000000"/>
                <w:sz w:val="20"/>
                <w:szCs w:val="16"/>
              </w:rPr>
              <w:t>Min</w:t>
            </w:r>
          </w:p>
        </w:tc>
        <w:tc>
          <w:tcPr>
            <w:tcW w:w="3544" w:type="dxa"/>
          </w:tcPr>
          <w:p w14:paraId="4060765D" w14:textId="77777777" w:rsidR="008940B3" w:rsidRPr="00C45C77" w:rsidRDefault="008940B3" w:rsidP="00C45C7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16"/>
              </w:rPr>
            </w:pPr>
            <w:r w:rsidRPr="00C45C77">
              <w:rPr>
                <w:color w:val="000000"/>
                <w:sz w:val="20"/>
                <w:szCs w:val="16"/>
              </w:rPr>
              <w:t>1</w:t>
            </w:r>
          </w:p>
        </w:tc>
      </w:tr>
    </w:tbl>
    <w:p w14:paraId="38882E35" w14:textId="77777777" w:rsidR="008940B3" w:rsidRPr="003B5C8D"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2"/>
          <w:szCs w:val="22"/>
        </w:rPr>
      </w:pPr>
    </w:p>
    <w:p w14:paraId="5B616B4A" w14:textId="77777777" w:rsidR="008940B3" w:rsidRDefault="008940B3" w:rsidP="00E858EF">
      <w:pPr>
        <w:pStyle w:val="Titolo4"/>
        <w:keepNext w:val="0"/>
        <w:keepLines w:val="0"/>
        <w:suppressAutoHyphens/>
        <w:ind w:left="864" w:hanging="864"/>
        <w:contextualSpacing w:val="0"/>
      </w:pPr>
      <w:bookmarkStart w:id="385" w:name="_Toc389131202"/>
      <w:bookmarkStart w:id="386" w:name="_Toc517876530"/>
      <w:r>
        <w:t xml:space="preserve">Tombs and larnakes: </w:t>
      </w:r>
      <w:r w:rsidRPr="003B5C8D">
        <w:t>Other deposition methods associated with larnakes within the same tomb</w:t>
      </w:r>
      <w:bookmarkEnd w:id="385"/>
      <w:bookmarkEnd w:id="386"/>
    </w:p>
    <w:p w14:paraId="435DCD06" w14:textId="12EC47D7" w:rsidR="008940B3" w:rsidRDefault="008940B3" w:rsidP="00C45C77">
      <w:r w:rsidRPr="003B5C8D">
        <w:t xml:space="preserve">In the </w:t>
      </w:r>
      <w:r>
        <w:t>Mid-East</w:t>
      </w:r>
      <w:r w:rsidRPr="003B5C8D">
        <w:t xml:space="preserve"> region</w:t>
      </w:r>
      <w:r>
        <w:t>,</w:t>
      </w:r>
      <w:r w:rsidRPr="003B5C8D">
        <w:t xml:space="preserve"> larnakes </w:t>
      </w:r>
      <w:r>
        <w:t>are</w:t>
      </w:r>
      <w:r w:rsidRPr="003B5C8D">
        <w:t xml:space="preserve"> associated with pithos burials in one tomb</w:t>
      </w:r>
      <w:r>
        <w:t>,</w:t>
      </w:r>
      <w:r w:rsidRPr="003B5C8D">
        <w:t xml:space="preserve"> at Kritsa</w:t>
      </w:r>
      <w:r>
        <w:t xml:space="preserve"> Lakkoi, and two pithos depositions with larnakes at Psari Phorada.</w:t>
      </w:r>
      <w:r w:rsidRPr="003B5C8D">
        <w:t xml:space="preserve"> The other pithos burial associated with a larnax </w:t>
      </w:r>
      <w:r>
        <w:t xml:space="preserve">is </w:t>
      </w:r>
      <w:r w:rsidRPr="003B5C8D">
        <w:t xml:space="preserve">at </w:t>
      </w:r>
      <w:r w:rsidR="00F7367B" w:rsidRPr="007E1ED2">
        <w:t>Malia</w:t>
      </w:r>
      <w:r w:rsidRPr="002F6166">
        <w:rPr>
          <w:i/>
        </w:rPr>
        <w:t xml:space="preserve"> Maison des Mortes</w:t>
      </w:r>
      <w:r>
        <w:t xml:space="preserve"> and</w:t>
      </w:r>
      <w:r w:rsidRPr="003B5C8D">
        <w:t xml:space="preserve"> </w:t>
      </w:r>
      <w:r>
        <w:t>dates from</w:t>
      </w:r>
      <w:r w:rsidRPr="003B5C8D">
        <w:t xml:space="preserve"> an earlier MM deposition. In the same tomb</w:t>
      </w:r>
      <w:r>
        <w:t>,</w:t>
      </w:r>
      <w:r w:rsidRPr="003B5C8D">
        <w:t xml:space="preserve"> a pyxis with sign</w:t>
      </w:r>
      <w:r>
        <w:t>s</w:t>
      </w:r>
      <w:r w:rsidRPr="003B5C8D">
        <w:t xml:space="preserve"> of cremated bones </w:t>
      </w:r>
      <w:r>
        <w:t>was</w:t>
      </w:r>
      <w:r w:rsidRPr="003B5C8D">
        <w:t xml:space="preserve"> found (Van Effenterre 1963: 85; Kanta 1980: 51; </w:t>
      </w:r>
      <w:r>
        <w:t>Löwe 1996</w:t>
      </w:r>
      <w:r w:rsidRPr="003B5C8D">
        <w:t>: 237 n. 695).</w:t>
      </w:r>
    </w:p>
    <w:p w14:paraId="681C2943" w14:textId="77777777" w:rsidR="00F232F8" w:rsidRDefault="00F232F8" w:rsidP="00E858EF">
      <w:pPr>
        <w:suppressAutoHyphens/>
        <w:rPr>
          <w:color w:val="000000"/>
          <w:sz w:val="22"/>
          <w:szCs w:val="22"/>
        </w:rPr>
      </w:pPr>
    </w:p>
    <w:p w14:paraId="008F428A" w14:textId="77777777" w:rsidR="008940B3" w:rsidRDefault="008940B3" w:rsidP="00E858EF">
      <w:pPr>
        <w:suppressAutoHyphens/>
        <w:rPr>
          <w:color w:val="000000"/>
          <w:sz w:val="22"/>
          <w:szCs w:val="22"/>
        </w:rPr>
      </w:pPr>
      <w:r>
        <w:rPr>
          <w:noProof/>
          <w:lang w:val="it-IT"/>
        </w:rPr>
        <w:drawing>
          <wp:inline distT="0" distB="0" distL="0" distR="0" wp14:anchorId="15DDA1BB" wp14:editId="238A0A0C">
            <wp:extent cx="4680000" cy="2520000"/>
            <wp:effectExtent l="0" t="0" r="6350" b="13970"/>
            <wp:docPr id="39" name="Gra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2F85611" w14:textId="23C91024" w:rsidR="008940B3" w:rsidRDefault="008940B3" w:rsidP="00E858EF">
      <w:pPr>
        <w:pStyle w:val="Didascalia"/>
        <w:suppressAutoHyphens/>
      </w:pPr>
      <w:bookmarkStart w:id="387" w:name="_Toc520212324"/>
      <w:r>
        <w:t>Figure 3-41. Interment type per tomb</w:t>
      </w:r>
      <w:r w:rsidR="005E1C18">
        <w:t>,</w:t>
      </w:r>
      <w:r>
        <w:t xml:space="preserve"> Mid-East area</w:t>
      </w:r>
      <w:bookmarkEnd w:id="387"/>
      <w:r w:rsidDel="00FD17A0">
        <w:t xml:space="preserve"> </w:t>
      </w:r>
      <w:r>
        <w:t xml:space="preserve"> </w:t>
      </w:r>
    </w:p>
    <w:p w14:paraId="5C0A8AEA" w14:textId="77777777" w:rsidR="008940B3" w:rsidRDefault="008940B3" w:rsidP="00E858EF">
      <w:pPr>
        <w:suppressAutoHyphens/>
        <w:rPr>
          <w:color w:val="000000"/>
          <w:sz w:val="22"/>
          <w:szCs w:val="22"/>
        </w:rPr>
      </w:pPr>
    </w:p>
    <w:p w14:paraId="1B8015F4" w14:textId="737CFCC8" w:rsidR="008940B3" w:rsidRPr="00427B94" w:rsidRDefault="008940B3" w:rsidP="00E858EF">
      <w:pPr>
        <w:pStyle w:val="Testofumetto"/>
        <w:suppressAutoHyphens/>
      </w:pPr>
      <w:bookmarkStart w:id="388" w:name="_Toc520212556"/>
      <w:r>
        <w:t>Table 3-68. Interment type occurrence</w:t>
      </w:r>
      <w:r w:rsidR="005E1C18">
        <w:t>,</w:t>
      </w:r>
      <w:r>
        <w:t xml:space="preserve"> Mid-East area</w:t>
      </w:r>
      <w:bookmarkEnd w:id="388"/>
    </w:p>
    <w:tbl>
      <w:tblPr>
        <w:tblW w:w="8565" w:type="dxa"/>
        <w:tblInd w:w="10" w:type="dxa"/>
        <w:tblLayout w:type="fixed"/>
        <w:tblCellMar>
          <w:left w:w="70" w:type="dxa"/>
          <w:right w:w="70" w:type="dxa"/>
        </w:tblCellMar>
        <w:tblLook w:val="04A0" w:firstRow="1" w:lastRow="0" w:firstColumn="1" w:lastColumn="0" w:noHBand="0" w:noVBand="1"/>
      </w:tblPr>
      <w:tblGrid>
        <w:gridCol w:w="1478"/>
        <w:gridCol w:w="1417"/>
        <w:gridCol w:w="1012"/>
        <w:gridCol w:w="689"/>
        <w:gridCol w:w="851"/>
        <w:gridCol w:w="850"/>
        <w:gridCol w:w="830"/>
        <w:gridCol w:w="1438"/>
      </w:tblGrid>
      <w:tr w:rsidR="008940B3" w:rsidRPr="003B5C8D" w14:paraId="7558714B" w14:textId="77777777" w:rsidTr="00F232F8">
        <w:trPr>
          <w:trHeight w:val="440"/>
        </w:trPr>
        <w:tc>
          <w:tcPr>
            <w:tcW w:w="1478" w:type="dxa"/>
            <w:tcBorders>
              <w:top w:val="single" w:sz="6" w:space="0" w:color="000000"/>
              <w:left w:val="single" w:sz="6" w:space="0" w:color="000000"/>
              <w:bottom w:val="single" w:sz="6" w:space="0" w:color="000000"/>
              <w:right w:val="single" w:sz="6" w:space="0" w:color="000000"/>
            </w:tcBorders>
            <w:hideMark/>
          </w:tcPr>
          <w:p w14:paraId="1BD6F2D5" w14:textId="77777777" w:rsidR="008940B3" w:rsidRPr="003B5C8D" w:rsidRDefault="008940B3" w:rsidP="00E858EF">
            <w:pPr>
              <w:suppressAutoHyphens/>
              <w:rPr>
                <w:sz w:val="16"/>
                <w:szCs w:val="16"/>
              </w:rPr>
            </w:pPr>
          </w:p>
        </w:tc>
        <w:tc>
          <w:tcPr>
            <w:tcW w:w="1417" w:type="dxa"/>
            <w:tcBorders>
              <w:top w:val="single" w:sz="6" w:space="0" w:color="000000"/>
              <w:left w:val="single" w:sz="6" w:space="0" w:color="000000"/>
              <w:bottom w:val="single" w:sz="6" w:space="0" w:color="000000"/>
              <w:right w:val="single" w:sz="6" w:space="0" w:color="000000"/>
            </w:tcBorders>
            <w:hideMark/>
          </w:tcPr>
          <w:p w14:paraId="5024C10E" w14:textId="77777777" w:rsidR="00F232F8" w:rsidRDefault="008940B3" w:rsidP="00E858EF">
            <w:pPr>
              <w:suppressAutoHyphens/>
              <w:jc w:val="center"/>
              <w:rPr>
                <w:color w:val="000000"/>
                <w:sz w:val="16"/>
                <w:szCs w:val="16"/>
              </w:rPr>
            </w:pPr>
            <w:r w:rsidRPr="003B5C8D">
              <w:rPr>
                <w:color w:val="000000"/>
                <w:sz w:val="16"/>
                <w:szCs w:val="16"/>
              </w:rPr>
              <w:t>WOODEN BIER/</w:t>
            </w:r>
          </w:p>
          <w:p w14:paraId="202E89E8" w14:textId="7A7AB2A8" w:rsidR="008940B3" w:rsidRPr="003B5C8D" w:rsidRDefault="008940B3" w:rsidP="00E858EF">
            <w:pPr>
              <w:suppressAutoHyphens/>
              <w:jc w:val="center"/>
              <w:rPr>
                <w:sz w:val="16"/>
                <w:szCs w:val="16"/>
              </w:rPr>
            </w:pPr>
            <w:r w:rsidRPr="003B5C8D">
              <w:rPr>
                <w:color w:val="000000"/>
                <w:sz w:val="16"/>
                <w:szCs w:val="16"/>
              </w:rPr>
              <w:t>COFFIN</w:t>
            </w:r>
          </w:p>
        </w:tc>
        <w:tc>
          <w:tcPr>
            <w:tcW w:w="1012" w:type="dxa"/>
            <w:tcBorders>
              <w:top w:val="single" w:sz="6" w:space="0" w:color="000000"/>
              <w:left w:val="single" w:sz="6" w:space="0" w:color="000000"/>
              <w:bottom w:val="single" w:sz="6" w:space="0" w:color="000000"/>
              <w:right w:val="single" w:sz="6" w:space="0" w:color="000000"/>
            </w:tcBorders>
            <w:hideMark/>
          </w:tcPr>
          <w:p w14:paraId="346D496C" w14:textId="77777777" w:rsidR="008940B3" w:rsidRPr="003B5C8D" w:rsidRDefault="008940B3" w:rsidP="00E858EF">
            <w:pPr>
              <w:suppressAutoHyphens/>
              <w:jc w:val="center"/>
              <w:rPr>
                <w:sz w:val="16"/>
                <w:szCs w:val="16"/>
              </w:rPr>
            </w:pPr>
            <w:r w:rsidRPr="003B5C8D">
              <w:rPr>
                <w:color w:val="000000"/>
                <w:sz w:val="16"/>
                <w:szCs w:val="16"/>
              </w:rPr>
              <w:t>FLOOR</w:t>
            </w:r>
          </w:p>
        </w:tc>
        <w:tc>
          <w:tcPr>
            <w:tcW w:w="689" w:type="dxa"/>
            <w:tcBorders>
              <w:top w:val="single" w:sz="6" w:space="0" w:color="000000"/>
              <w:left w:val="single" w:sz="6" w:space="0" w:color="000000"/>
              <w:bottom w:val="single" w:sz="6" w:space="0" w:color="000000"/>
              <w:right w:val="single" w:sz="6" w:space="0" w:color="000000"/>
            </w:tcBorders>
          </w:tcPr>
          <w:p w14:paraId="5FA67A4A" w14:textId="0C034771" w:rsidR="008940B3" w:rsidRPr="003B5C8D" w:rsidRDefault="008940B3" w:rsidP="00E858EF">
            <w:pPr>
              <w:suppressAutoHyphens/>
              <w:jc w:val="center"/>
              <w:rPr>
                <w:color w:val="000000"/>
                <w:sz w:val="16"/>
                <w:szCs w:val="16"/>
              </w:rPr>
            </w:pPr>
            <w:r w:rsidRPr="003B5C8D">
              <w:rPr>
                <w:color w:val="000000"/>
                <w:sz w:val="16"/>
                <w:szCs w:val="16"/>
              </w:rPr>
              <w:t>PIT</w:t>
            </w:r>
          </w:p>
        </w:tc>
        <w:tc>
          <w:tcPr>
            <w:tcW w:w="851" w:type="dxa"/>
            <w:tcBorders>
              <w:top w:val="single" w:sz="6" w:space="0" w:color="000000"/>
              <w:left w:val="single" w:sz="6" w:space="0" w:color="000000"/>
              <w:bottom w:val="single" w:sz="6" w:space="0" w:color="000000"/>
              <w:right w:val="single" w:sz="6" w:space="0" w:color="000000"/>
            </w:tcBorders>
          </w:tcPr>
          <w:p w14:paraId="10AE62B8" w14:textId="77777777" w:rsidR="008940B3" w:rsidRPr="003B5C8D" w:rsidRDefault="008940B3" w:rsidP="00E858EF">
            <w:pPr>
              <w:suppressAutoHyphens/>
              <w:jc w:val="center"/>
              <w:rPr>
                <w:color w:val="000000"/>
                <w:sz w:val="16"/>
                <w:szCs w:val="16"/>
              </w:rPr>
            </w:pPr>
            <w:r w:rsidRPr="003B5C8D">
              <w:rPr>
                <w:color w:val="000000"/>
                <w:sz w:val="16"/>
                <w:szCs w:val="16"/>
              </w:rPr>
              <w:t>BENCH</w:t>
            </w:r>
          </w:p>
        </w:tc>
        <w:tc>
          <w:tcPr>
            <w:tcW w:w="850" w:type="dxa"/>
            <w:tcBorders>
              <w:top w:val="single" w:sz="6" w:space="0" w:color="000000"/>
              <w:left w:val="single" w:sz="6" w:space="0" w:color="000000"/>
              <w:bottom w:val="single" w:sz="6" w:space="0" w:color="000000"/>
              <w:right w:val="single" w:sz="6" w:space="0" w:color="000000"/>
            </w:tcBorders>
          </w:tcPr>
          <w:p w14:paraId="0D0DEDA9" w14:textId="77777777" w:rsidR="008940B3" w:rsidRPr="003B5C8D" w:rsidRDefault="008940B3" w:rsidP="00E858EF">
            <w:pPr>
              <w:suppressAutoHyphens/>
              <w:jc w:val="center"/>
              <w:rPr>
                <w:color w:val="000000"/>
                <w:sz w:val="16"/>
                <w:szCs w:val="16"/>
              </w:rPr>
            </w:pPr>
            <w:r w:rsidRPr="003B5C8D">
              <w:rPr>
                <w:color w:val="000000"/>
                <w:sz w:val="16"/>
                <w:szCs w:val="16"/>
              </w:rPr>
              <w:t>DROMOS</w:t>
            </w:r>
          </w:p>
        </w:tc>
        <w:tc>
          <w:tcPr>
            <w:tcW w:w="830" w:type="dxa"/>
            <w:tcBorders>
              <w:top w:val="single" w:sz="6" w:space="0" w:color="000000"/>
              <w:left w:val="single" w:sz="6" w:space="0" w:color="000000"/>
              <w:bottom w:val="single" w:sz="6" w:space="0" w:color="000000"/>
              <w:right w:val="single" w:sz="6" w:space="0" w:color="000000"/>
            </w:tcBorders>
            <w:hideMark/>
          </w:tcPr>
          <w:p w14:paraId="6A632470" w14:textId="77777777" w:rsidR="008940B3" w:rsidRPr="003B5C8D" w:rsidRDefault="008940B3" w:rsidP="00E858EF">
            <w:pPr>
              <w:suppressAutoHyphens/>
              <w:jc w:val="center"/>
              <w:rPr>
                <w:sz w:val="16"/>
                <w:szCs w:val="16"/>
              </w:rPr>
            </w:pPr>
            <w:r w:rsidRPr="003B5C8D">
              <w:rPr>
                <w:color w:val="000000"/>
                <w:sz w:val="16"/>
                <w:szCs w:val="16"/>
              </w:rPr>
              <w:t>PITHOS</w:t>
            </w:r>
          </w:p>
        </w:tc>
        <w:tc>
          <w:tcPr>
            <w:tcW w:w="1438" w:type="dxa"/>
            <w:tcBorders>
              <w:top w:val="single" w:sz="6" w:space="0" w:color="000000"/>
              <w:left w:val="single" w:sz="6" w:space="0" w:color="000000"/>
              <w:bottom w:val="single" w:sz="6" w:space="0" w:color="000000"/>
              <w:right w:val="single" w:sz="6" w:space="0" w:color="000000"/>
            </w:tcBorders>
          </w:tcPr>
          <w:p w14:paraId="7879D7CB" w14:textId="77777777" w:rsidR="008940B3" w:rsidRPr="003B5C8D" w:rsidRDefault="008940B3" w:rsidP="00E858EF">
            <w:pPr>
              <w:suppressAutoHyphens/>
              <w:jc w:val="center"/>
              <w:rPr>
                <w:color w:val="000000"/>
                <w:sz w:val="16"/>
                <w:szCs w:val="16"/>
              </w:rPr>
            </w:pPr>
            <w:r w:rsidRPr="003B5C8D">
              <w:rPr>
                <w:color w:val="000000"/>
                <w:sz w:val="16"/>
                <w:szCs w:val="16"/>
              </w:rPr>
              <w:t>VASE WITH CREMATED BONES</w:t>
            </w:r>
          </w:p>
        </w:tc>
      </w:tr>
      <w:tr w:rsidR="008940B3" w:rsidRPr="003B5C8D" w14:paraId="28D6E432" w14:textId="77777777" w:rsidTr="00F232F8">
        <w:tblPrEx>
          <w:tblCellMar>
            <w:left w:w="0" w:type="dxa"/>
            <w:right w:w="0" w:type="dxa"/>
          </w:tblCellMar>
        </w:tblPrEx>
        <w:trPr>
          <w:trHeight w:val="175"/>
        </w:trPr>
        <w:tc>
          <w:tcPr>
            <w:tcW w:w="147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CFF2F79" w14:textId="45AD4B2B" w:rsidR="008940B3" w:rsidRPr="00C45C77" w:rsidRDefault="008940B3" w:rsidP="00E858EF">
            <w:pPr>
              <w:suppressAutoHyphens/>
              <w:jc w:val="left"/>
              <w:rPr>
                <w:sz w:val="20"/>
                <w:szCs w:val="16"/>
              </w:rPr>
            </w:pPr>
            <w:r w:rsidRPr="00C45C77">
              <w:rPr>
                <w:color w:val="000000"/>
                <w:sz w:val="20"/>
                <w:szCs w:val="16"/>
              </w:rPr>
              <w:t>No.</w:t>
            </w:r>
            <w:r w:rsidR="00F232F8" w:rsidRPr="00C45C77">
              <w:rPr>
                <w:color w:val="000000"/>
                <w:sz w:val="20"/>
                <w:szCs w:val="16"/>
              </w:rPr>
              <w:t xml:space="preserve"> of tombs with other interments</w:t>
            </w:r>
          </w:p>
        </w:tc>
        <w:tc>
          <w:tcPr>
            <w:tcW w:w="141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4CD1E15" w14:textId="74D871DF" w:rsidR="008940B3" w:rsidRPr="00C45C77" w:rsidRDefault="008940B3" w:rsidP="00E858EF">
            <w:pPr>
              <w:suppressAutoHyphens/>
              <w:jc w:val="center"/>
              <w:rPr>
                <w:sz w:val="20"/>
                <w:szCs w:val="16"/>
              </w:rPr>
            </w:pPr>
          </w:p>
        </w:tc>
        <w:tc>
          <w:tcPr>
            <w:tcW w:w="10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C07DF67" w14:textId="77777777" w:rsidR="008940B3" w:rsidRPr="00C45C77" w:rsidRDefault="008940B3" w:rsidP="00E858EF">
            <w:pPr>
              <w:suppressAutoHyphens/>
              <w:jc w:val="center"/>
              <w:rPr>
                <w:sz w:val="20"/>
                <w:szCs w:val="16"/>
              </w:rPr>
            </w:pPr>
            <w:r w:rsidRPr="00C45C77">
              <w:rPr>
                <w:sz w:val="20"/>
                <w:szCs w:val="16"/>
              </w:rPr>
              <w:t>1</w:t>
            </w:r>
          </w:p>
        </w:tc>
        <w:tc>
          <w:tcPr>
            <w:tcW w:w="689" w:type="dxa"/>
            <w:tcBorders>
              <w:top w:val="single" w:sz="6" w:space="0" w:color="000000"/>
              <w:left w:val="single" w:sz="6" w:space="0" w:color="000000"/>
              <w:bottom w:val="single" w:sz="6" w:space="0" w:color="000000"/>
              <w:right w:val="single" w:sz="6" w:space="0" w:color="000000"/>
            </w:tcBorders>
          </w:tcPr>
          <w:p w14:paraId="251228BE" w14:textId="77777777" w:rsidR="008940B3" w:rsidRPr="00C45C77" w:rsidRDefault="008940B3" w:rsidP="00E858EF">
            <w:pPr>
              <w:suppressAutoHyphens/>
              <w:jc w:val="center"/>
              <w:rPr>
                <w:sz w:val="20"/>
                <w:szCs w:val="16"/>
              </w:rPr>
            </w:pPr>
          </w:p>
        </w:tc>
        <w:tc>
          <w:tcPr>
            <w:tcW w:w="851" w:type="dxa"/>
            <w:tcBorders>
              <w:top w:val="single" w:sz="6" w:space="0" w:color="000000"/>
              <w:left w:val="single" w:sz="6" w:space="0" w:color="000000"/>
              <w:bottom w:val="single" w:sz="6" w:space="0" w:color="000000"/>
              <w:right w:val="single" w:sz="6" w:space="0" w:color="000000"/>
            </w:tcBorders>
          </w:tcPr>
          <w:p w14:paraId="44B1CEF3" w14:textId="2E955E37" w:rsidR="008940B3" w:rsidRPr="00C45C77" w:rsidRDefault="008940B3" w:rsidP="00E858EF">
            <w:pPr>
              <w:suppressAutoHyphens/>
              <w:jc w:val="center"/>
              <w:rPr>
                <w:sz w:val="20"/>
                <w:szCs w:val="16"/>
              </w:rPr>
            </w:pPr>
            <w:r w:rsidRPr="00C45C77">
              <w:rPr>
                <w:sz w:val="20"/>
                <w:szCs w:val="16"/>
              </w:rPr>
              <w:t>-</w:t>
            </w:r>
          </w:p>
        </w:tc>
        <w:tc>
          <w:tcPr>
            <w:tcW w:w="850" w:type="dxa"/>
            <w:tcBorders>
              <w:top w:val="single" w:sz="6" w:space="0" w:color="000000"/>
              <w:left w:val="single" w:sz="6" w:space="0" w:color="000000"/>
              <w:bottom w:val="single" w:sz="6" w:space="0" w:color="000000"/>
              <w:right w:val="single" w:sz="6" w:space="0" w:color="000000"/>
            </w:tcBorders>
          </w:tcPr>
          <w:p w14:paraId="745D1684" w14:textId="334C3488" w:rsidR="008940B3" w:rsidRPr="00C45C77" w:rsidRDefault="008940B3" w:rsidP="00E858EF">
            <w:pPr>
              <w:suppressAutoHyphens/>
              <w:jc w:val="center"/>
              <w:rPr>
                <w:sz w:val="20"/>
                <w:szCs w:val="16"/>
              </w:rPr>
            </w:pPr>
            <w:r w:rsidRPr="00C45C77">
              <w:rPr>
                <w:sz w:val="20"/>
                <w:szCs w:val="16"/>
              </w:rPr>
              <w:t>-</w:t>
            </w:r>
          </w:p>
        </w:tc>
        <w:tc>
          <w:tcPr>
            <w:tcW w:w="83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235C8C7" w14:textId="0D880300" w:rsidR="008940B3" w:rsidRPr="00C45C77" w:rsidRDefault="008940B3" w:rsidP="00E858EF">
            <w:pPr>
              <w:suppressAutoHyphens/>
              <w:jc w:val="center"/>
              <w:rPr>
                <w:sz w:val="20"/>
                <w:szCs w:val="16"/>
              </w:rPr>
            </w:pPr>
            <w:r w:rsidRPr="00C45C77">
              <w:rPr>
                <w:sz w:val="20"/>
                <w:szCs w:val="16"/>
              </w:rPr>
              <w:t>3</w:t>
            </w:r>
          </w:p>
        </w:tc>
        <w:tc>
          <w:tcPr>
            <w:tcW w:w="1438" w:type="dxa"/>
            <w:tcBorders>
              <w:top w:val="single" w:sz="6" w:space="0" w:color="000000"/>
              <w:left w:val="single" w:sz="6" w:space="0" w:color="000000"/>
              <w:bottom w:val="single" w:sz="6" w:space="0" w:color="000000"/>
              <w:right w:val="single" w:sz="6" w:space="0" w:color="000000"/>
            </w:tcBorders>
          </w:tcPr>
          <w:p w14:paraId="546459D3" w14:textId="77777777" w:rsidR="008940B3" w:rsidRPr="00C45C77" w:rsidRDefault="008940B3" w:rsidP="00E858EF">
            <w:pPr>
              <w:suppressAutoHyphens/>
              <w:jc w:val="center"/>
              <w:rPr>
                <w:sz w:val="20"/>
                <w:szCs w:val="16"/>
              </w:rPr>
            </w:pPr>
            <w:r w:rsidRPr="00C45C77">
              <w:rPr>
                <w:sz w:val="20"/>
                <w:szCs w:val="16"/>
              </w:rPr>
              <w:t>1</w:t>
            </w:r>
          </w:p>
        </w:tc>
      </w:tr>
    </w:tbl>
    <w:p w14:paraId="56FD2542"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sz w:val="22"/>
          <w:szCs w:val="22"/>
          <w:highlight w:val="green"/>
        </w:rPr>
      </w:pPr>
    </w:p>
    <w:p w14:paraId="488B3FAD" w14:textId="77777777" w:rsidR="008940B3" w:rsidRPr="003B5C8D" w:rsidRDefault="008940B3" w:rsidP="00E858EF">
      <w:pPr>
        <w:pStyle w:val="Titolo3"/>
        <w:keepNext w:val="0"/>
        <w:keepLines w:val="0"/>
        <w:suppressAutoHyphens/>
      </w:pPr>
      <w:bookmarkStart w:id="389" w:name="_Toc389131203"/>
      <w:bookmarkStart w:id="390" w:name="_Toc517876531"/>
      <w:bookmarkStart w:id="391" w:name="_Toc519894635"/>
      <w:r w:rsidRPr="003B5C8D">
        <w:t xml:space="preserve">Clay </w:t>
      </w:r>
      <w:r w:rsidRPr="005478D8">
        <w:t>larnakes</w:t>
      </w:r>
      <w:r w:rsidRPr="003B5C8D">
        <w:t xml:space="preserve"> in no</w:t>
      </w:r>
      <w:r>
        <w:t>n-</w:t>
      </w:r>
      <w:r w:rsidRPr="003B5C8D">
        <w:t>burial context</w:t>
      </w:r>
      <w:bookmarkEnd w:id="389"/>
      <w:bookmarkEnd w:id="390"/>
      <w:bookmarkEnd w:id="391"/>
      <w:r w:rsidRPr="003B5C8D">
        <w:t xml:space="preserve"> </w:t>
      </w:r>
    </w:p>
    <w:p w14:paraId="21169C80" w14:textId="1B67DF36" w:rsidR="008940B3" w:rsidRDefault="008940B3" w:rsidP="00C45C77">
      <w:r w:rsidRPr="003B5C8D">
        <w:t xml:space="preserve">Larnax fragments </w:t>
      </w:r>
      <w:r>
        <w:t>were</w:t>
      </w:r>
      <w:r w:rsidRPr="003B5C8D">
        <w:t xml:space="preserve"> found in a settlement context at Malia in the Quartier Nu (Langohr 2009: 79)</w:t>
      </w:r>
      <w:r>
        <w:t>.</w:t>
      </w:r>
      <w:r w:rsidRPr="003B5C8D">
        <w:t xml:space="preserve"> </w:t>
      </w:r>
    </w:p>
    <w:p w14:paraId="7B7EAD5E" w14:textId="77777777" w:rsidR="008940B3" w:rsidRPr="005478D8" w:rsidRDefault="008940B3" w:rsidP="00E858EF">
      <w:pPr>
        <w:pStyle w:val="Titolo3"/>
        <w:keepNext w:val="0"/>
        <w:keepLines w:val="0"/>
        <w:suppressAutoHyphens/>
      </w:pPr>
      <w:bookmarkStart w:id="392" w:name="_Toc389131204"/>
      <w:bookmarkStart w:id="393" w:name="_Toc517876532"/>
      <w:bookmarkStart w:id="394" w:name="_Toc519894636"/>
      <w:r w:rsidRPr="005478D8">
        <w:t>Chronological remarks</w:t>
      </w:r>
      <w:bookmarkEnd w:id="392"/>
      <w:bookmarkEnd w:id="393"/>
      <w:bookmarkEnd w:id="394"/>
      <w:r w:rsidRPr="005478D8">
        <w:t xml:space="preserve"> </w:t>
      </w:r>
    </w:p>
    <w:p w14:paraId="45CDEB4E" w14:textId="07FF3379" w:rsidR="008940B3" w:rsidRPr="003B5C8D" w:rsidRDefault="008940B3" w:rsidP="00C45C77">
      <w:r>
        <w:t>Regarding</w:t>
      </w:r>
      <w:r w:rsidRPr="003B5C8D">
        <w:t xml:space="preserve"> </w:t>
      </w:r>
      <w:r w:rsidRPr="003B5C8D">
        <w:rPr>
          <w:b/>
        </w:rPr>
        <w:t>chronological distribution</w:t>
      </w:r>
      <w:r w:rsidRPr="003B5C8D">
        <w:t xml:space="preserve">, </w:t>
      </w:r>
      <w:r>
        <w:t xml:space="preserve">for </w:t>
      </w:r>
      <w:r w:rsidRPr="003B5C8D">
        <w:t xml:space="preserve">66% of tombs it is possible to retrieve a detailed chronology </w:t>
      </w:r>
      <w:r>
        <w:t xml:space="preserve">concerning </w:t>
      </w:r>
      <w:r w:rsidRPr="003B5C8D">
        <w:t xml:space="preserve">their phase of use. In </w:t>
      </w:r>
      <w:r>
        <w:t>Mid-East</w:t>
      </w:r>
      <w:r w:rsidRPr="003B5C8D">
        <w:t xml:space="preserve"> Crete</w:t>
      </w:r>
      <w:r>
        <w:t>,</w:t>
      </w:r>
      <w:r w:rsidRPr="003B5C8D">
        <w:t xml:space="preserve"> larnax burials became more common during LM IIIB. </w:t>
      </w:r>
      <w:r>
        <w:t>There are a f</w:t>
      </w:r>
      <w:r w:rsidRPr="003B5C8D">
        <w:t xml:space="preserve">ew tombs at Tertza, Tzermiadon Trapeza, </w:t>
      </w:r>
      <w:r>
        <w:t xml:space="preserve">with </w:t>
      </w:r>
      <w:r w:rsidRPr="003B5C8D">
        <w:t>one burial at Milatos and two burials in the area of Elounda</w:t>
      </w:r>
      <w:r>
        <w:t>,</w:t>
      </w:r>
      <w:r w:rsidRPr="003B5C8D">
        <w:t xml:space="preserve"> </w:t>
      </w:r>
      <w:r>
        <w:t xml:space="preserve">which </w:t>
      </w:r>
      <w:r w:rsidRPr="003B5C8D">
        <w:t xml:space="preserve">belong to </w:t>
      </w:r>
      <w:r>
        <w:t xml:space="preserve">the </w:t>
      </w:r>
      <w:r w:rsidRPr="003B5C8D">
        <w:t xml:space="preserve">LM IIIA phase. </w:t>
      </w:r>
      <w:r>
        <w:t xml:space="preserve">The tomb at Psari Phorada and the tomb at </w:t>
      </w:r>
      <w:r w:rsidRPr="000A798C">
        <w:rPr>
          <w:i/>
        </w:rPr>
        <w:t xml:space="preserve">Malia Maisons des Mortes </w:t>
      </w:r>
      <w:r>
        <w:t xml:space="preserve">are two reused burial locations. In the case of Psari Phorada, it is very difficult to assign any precise chronology to the pithos and the larnax fragments found there because, in this tomb, there is no stratigraphy available due to the destruction caused by looting activity. All the pottery material and the pithoi and larnakes were consequently dated based on typology (Banou and Rethemiotakis 1997). </w:t>
      </w:r>
      <w:r w:rsidRPr="003B5C8D">
        <w:t xml:space="preserve">Larnax burials </w:t>
      </w:r>
      <w:r>
        <w:t>were</w:t>
      </w:r>
      <w:r w:rsidRPr="003B5C8D">
        <w:t xml:space="preserve"> found also in tombs dated to LM IIIC, </w:t>
      </w:r>
      <w:r>
        <w:t>for example,</w:t>
      </w:r>
      <w:r w:rsidRPr="003B5C8D">
        <w:t xml:space="preserve"> the corbel-vaulted</w:t>
      </w:r>
      <w:r>
        <w:t xml:space="preserve"> tombs at</w:t>
      </w:r>
      <w:r w:rsidRPr="003B5C8D">
        <w:t xml:space="preserve"> Karp</w:t>
      </w:r>
      <w:r>
        <w:t xml:space="preserve">hi and Plati. However, in both these cases, the LM IIIC date for larnax deposition is not fully secure. In the cases of </w:t>
      </w:r>
      <w:r w:rsidRPr="003B5C8D">
        <w:t xml:space="preserve">Karphi Mnemata and Karphi Astividero, </w:t>
      </w:r>
      <w:r>
        <w:t>the</w:t>
      </w:r>
      <w:r w:rsidRPr="003B5C8D">
        <w:t xml:space="preserve"> cemeter</w:t>
      </w:r>
      <w:r>
        <w:t>ies</w:t>
      </w:r>
      <w:r w:rsidRPr="003B5C8D">
        <w:t xml:space="preserve"> </w:t>
      </w:r>
      <w:r>
        <w:t>were</w:t>
      </w:r>
      <w:r w:rsidRPr="003B5C8D">
        <w:t xml:space="preserve"> robbed</w:t>
      </w:r>
      <w:r>
        <w:t>;</w:t>
      </w:r>
      <w:r w:rsidRPr="003B5C8D">
        <w:t xml:space="preserve"> consequently</w:t>
      </w:r>
      <w:r>
        <w:t>,</w:t>
      </w:r>
      <w:r w:rsidRPr="003B5C8D">
        <w:t xml:space="preserve"> the date of th</w:t>
      </w:r>
      <w:r>
        <w:t>ese tombs is highly problematic</w:t>
      </w:r>
      <w:r w:rsidRPr="003B5C8D">
        <w:t xml:space="preserve"> </w:t>
      </w:r>
      <w:r>
        <w:t>(</w:t>
      </w:r>
      <w:r w:rsidRPr="003B5C8D">
        <w:t xml:space="preserve">Pendlebury </w:t>
      </w:r>
      <w:r w:rsidRPr="000A798C">
        <w:rPr>
          <w:iCs/>
        </w:rPr>
        <w:t>et al.</w:t>
      </w:r>
      <w:r>
        <w:t xml:space="preserve"> 1937-38</w:t>
      </w:r>
      <w:r w:rsidRPr="003B5C8D">
        <w:t>)</w:t>
      </w:r>
      <w:r>
        <w:t>. Regarding the corbel-vaulted tomb found at Plati, the larnax burial was located in a pit. According to the excavator, the pit and the larnax burial in it date to the first phase of the tomb. The remaining tomb structure and the dromos were built in a subsequent phase (Dawkins 1913-14: 15). Consequently, it is possible that even if the larnax belongs to a later phase of LM III, this could correspond with the final phase of LM IIIB.</w:t>
      </w:r>
      <w:r w:rsidRPr="003B5C8D">
        <w:t xml:space="preserve"> </w:t>
      </w:r>
      <w:r>
        <w:t xml:space="preserve">Furthermore, to this group must be added </w:t>
      </w:r>
      <w:r w:rsidRPr="003B5C8D">
        <w:t xml:space="preserve">a tomb from Kritsa Lakkoi dated LM IIIB-C. Consequently, LM IIIC corresponds to the </w:t>
      </w:r>
      <w:r>
        <w:t>final</w:t>
      </w:r>
      <w:r w:rsidRPr="003B5C8D">
        <w:t xml:space="preserve"> phase of use for this tomb and it is not possible to relate th</w:t>
      </w:r>
      <w:r>
        <w:t>e use of the larnax to the earlier</w:t>
      </w:r>
      <w:r w:rsidRPr="003B5C8D">
        <w:t xml:space="preserve"> or later phase of use of the tomb (Tsipopoulou</w:t>
      </w:r>
      <w:r>
        <w:t xml:space="preserve"> and </w:t>
      </w:r>
      <w:r w:rsidRPr="003B5C8D">
        <w:t>Vagnetti 2006</w:t>
      </w:r>
      <w:r>
        <w:t>:</w:t>
      </w:r>
      <w:r w:rsidRPr="003B5C8D">
        <w:t xml:space="preserve"> 201-210).</w:t>
      </w:r>
    </w:p>
    <w:p w14:paraId="07C8E86E"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1897650"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sidRPr="003B5C8D">
        <w:rPr>
          <w:color w:val="000000"/>
          <w:sz w:val="22"/>
          <w:szCs w:val="22"/>
        </w:rPr>
        <w:t xml:space="preserve"> </w:t>
      </w:r>
      <w:r>
        <w:rPr>
          <w:noProof/>
          <w:lang w:val="it-IT"/>
        </w:rPr>
        <w:drawing>
          <wp:inline distT="0" distB="0" distL="0" distR="0" wp14:anchorId="6F801D54" wp14:editId="3B925C40">
            <wp:extent cx="5286375" cy="2584450"/>
            <wp:effectExtent l="0" t="0" r="9525" b="6350"/>
            <wp:docPr id="58" name="Gra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18CB74C" w14:textId="1CFA7E58" w:rsidR="008940B3" w:rsidRDefault="008940B3" w:rsidP="00E858EF">
      <w:pPr>
        <w:pStyle w:val="Didascalia"/>
        <w:suppressAutoHyphens/>
      </w:pPr>
      <w:bookmarkStart w:id="395" w:name="_Toc520212325"/>
      <w:r>
        <w:t>Figure 3-42. Chronological distribution of tombs with larnakes</w:t>
      </w:r>
      <w:r w:rsidR="005E1C18">
        <w:t>,</w:t>
      </w:r>
      <w:r>
        <w:t xml:space="preserve"> Mid-East area</w:t>
      </w:r>
      <w:bookmarkEnd w:id="395"/>
      <w:r w:rsidDel="007B36F0">
        <w:t xml:space="preserve"> </w:t>
      </w:r>
    </w:p>
    <w:p w14:paraId="405A7B70" w14:textId="77777777" w:rsidR="00C45C77" w:rsidRPr="00C45C77" w:rsidRDefault="00C45C77" w:rsidP="00C45C77"/>
    <w:p w14:paraId="03035DC0" w14:textId="75FDE05D" w:rsidR="008940B3" w:rsidRPr="005478D8" w:rsidRDefault="008940B3" w:rsidP="00E858EF">
      <w:pPr>
        <w:pStyle w:val="Titolo3"/>
        <w:keepNext w:val="0"/>
        <w:keepLines w:val="0"/>
        <w:suppressAutoHyphens/>
      </w:pPr>
      <w:bookmarkStart w:id="396" w:name="_Toc389131205"/>
      <w:bookmarkStart w:id="397" w:name="_Toc517876533"/>
      <w:bookmarkStart w:id="398" w:name="_Toc519894637"/>
      <w:r w:rsidRPr="005478D8">
        <w:t>Conclusions</w:t>
      </w:r>
      <w:r w:rsidR="00C45C77">
        <w:t>,</w:t>
      </w:r>
      <w:r w:rsidRPr="005478D8">
        <w:t xml:space="preserve"> </w:t>
      </w:r>
      <w:r>
        <w:t>Mid-East</w:t>
      </w:r>
      <w:r w:rsidRPr="005478D8">
        <w:t xml:space="preserve"> area</w:t>
      </w:r>
      <w:bookmarkEnd w:id="396"/>
      <w:bookmarkEnd w:id="397"/>
      <w:bookmarkEnd w:id="398"/>
      <w:r w:rsidRPr="005478D8">
        <w:t xml:space="preserve"> </w:t>
      </w:r>
    </w:p>
    <w:p w14:paraId="3330429A" w14:textId="77777777" w:rsidR="008940B3" w:rsidRPr="003B5C8D" w:rsidRDefault="008940B3" w:rsidP="00C45C77">
      <w:r w:rsidRPr="003B5C8D">
        <w:t xml:space="preserve">From </w:t>
      </w:r>
      <w:r>
        <w:t xml:space="preserve">the </w:t>
      </w:r>
      <w:r w:rsidRPr="003B5C8D">
        <w:t>data available</w:t>
      </w:r>
      <w:r>
        <w:t>,</w:t>
      </w:r>
      <w:r w:rsidRPr="003B5C8D">
        <w:t xml:space="preserve"> clay larnax burials </w:t>
      </w:r>
      <w:r>
        <w:t>were</w:t>
      </w:r>
      <w:r w:rsidRPr="003B5C8D">
        <w:t xml:space="preserve"> adopted along with other </w:t>
      </w:r>
      <w:r>
        <w:t>interment</w:t>
      </w:r>
      <w:r w:rsidRPr="003B5C8D">
        <w:t xml:space="preserve"> type</w:t>
      </w:r>
      <w:r>
        <w:t>s</w:t>
      </w:r>
      <w:r w:rsidRPr="003B5C8D">
        <w:t xml:space="preserve"> in </w:t>
      </w:r>
      <w:r>
        <w:t>the Mid-East</w:t>
      </w:r>
      <w:r w:rsidRPr="003B5C8D">
        <w:t xml:space="preserve"> region. The</w:t>
      </w:r>
      <w:r>
        <w:t>se types</w:t>
      </w:r>
      <w:r w:rsidRPr="003B5C8D">
        <w:t xml:space="preserve"> </w:t>
      </w:r>
      <w:r>
        <w:t>were</w:t>
      </w:r>
      <w:r w:rsidRPr="003B5C8D">
        <w:t xml:space="preserve"> adopted in almost half of the burial location</w:t>
      </w:r>
      <w:r>
        <w:t>s</w:t>
      </w:r>
      <w:r w:rsidRPr="003B5C8D">
        <w:t xml:space="preserve"> in use during LM III, usually associated with cave tombs or chamber tombs.</w:t>
      </w:r>
    </w:p>
    <w:p w14:paraId="5D77DC19" w14:textId="77777777" w:rsidR="008940B3" w:rsidRDefault="008940B3" w:rsidP="00C45C77">
      <w:r>
        <w:tab/>
      </w:r>
      <w:r w:rsidRPr="003B5C8D">
        <w:t xml:space="preserve">The other </w:t>
      </w:r>
      <w:r>
        <w:t>interment typ</w:t>
      </w:r>
      <w:r w:rsidRPr="003B5C8D">
        <w:t>es found in tombs with no larnax</w:t>
      </w:r>
      <w:r>
        <w:t xml:space="preserve"> burials</w:t>
      </w:r>
      <w:r w:rsidRPr="003B5C8D">
        <w:t xml:space="preserve"> are </w:t>
      </w:r>
      <w:r>
        <w:t xml:space="preserve">often pithos burials, </w:t>
      </w:r>
      <w:r w:rsidRPr="003B5C8D">
        <w:t>simpl</w:t>
      </w:r>
      <w:r>
        <w:t>e</w:t>
      </w:r>
      <w:r w:rsidRPr="003B5C8D">
        <w:t xml:space="preserve"> deposition</w:t>
      </w:r>
      <w:r>
        <w:t>s</w:t>
      </w:r>
      <w:r w:rsidRPr="003B5C8D">
        <w:t xml:space="preserve"> on the floor</w:t>
      </w:r>
      <w:r>
        <w:t>, and wooden bier/coffin burials, as well as cremated bones in pyxides in a few cemeteries</w:t>
      </w:r>
      <w:r w:rsidRPr="003B5C8D">
        <w:t xml:space="preserve">. Three cemeteries </w:t>
      </w:r>
      <w:r>
        <w:t>are</w:t>
      </w:r>
      <w:r w:rsidRPr="003B5C8D">
        <w:t xml:space="preserve"> the most interesting </w:t>
      </w:r>
      <w:r>
        <w:t>regarding</w:t>
      </w:r>
      <w:r w:rsidRPr="003B5C8D">
        <w:t xml:space="preserve"> the analysis of deposition methods</w:t>
      </w:r>
      <w:r>
        <w:t>:</w:t>
      </w:r>
      <w:r w:rsidRPr="003B5C8D">
        <w:t xml:space="preserve"> Elounda, Kritsa and Malia. At Elounda</w:t>
      </w:r>
      <w:r>
        <w:t>,</w:t>
      </w:r>
      <w:r w:rsidRPr="003B5C8D">
        <w:t xml:space="preserve"> burial</w:t>
      </w:r>
      <w:r>
        <w:t>s</w:t>
      </w:r>
      <w:r w:rsidRPr="003B5C8D">
        <w:t xml:space="preserve"> in larnakes </w:t>
      </w:r>
      <w:r>
        <w:t>were</w:t>
      </w:r>
      <w:r w:rsidRPr="003B5C8D">
        <w:t xml:space="preserve"> </w:t>
      </w:r>
      <w:r>
        <w:t>not</w:t>
      </w:r>
      <w:r w:rsidRPr="003B5C8D">
        <w:t xml:space="preserve"> associated with any other type of </w:t>
      </w:r>
      <w:r>
        <w:t>interment</w:t>
      </w:r>
      <w:r w:rsidRPr="003B5C8D">
        <w:t>, while pithos burials and wooden coffin</w:t>
      </w:r>
      <w:r>
        <w:t>s</w:t>
      </w:r>
      <w:r w:rsidRPr="003B5C8D">
        <w:t>/bier</w:t>
      </w:r>
      <w:r>
        <w:t>s</w:t>
      </w:r>
      <w:r w:rsidRPr="003B5C8D">
        <w:t xml:space="preserve"> </w:t>
      </w:r>
      <w:r>
        <w:t>were</w:t>
      </w:r>
      <w:r w:rsidRPr="003B5C8D">
        <w:t xml:space="preserve"> used as depositio</w:t>
      </w:r>
      <w:r>
        <w:t xml:space="preserve">n methods in all the remaining </w:t>
      </w:r>
      <w:r w:rsidRPr="003B5C8D">
        <w:t>tombs without larnakes (Van Effenterre 1948:</w:t>
      </w:r>
      <w:r>
        <w:t xml:space="preserve"> </w:t>
      </w:r>
      <w:r w:rsidRPr="003B5C8D">
        <w:t xml:space="preserve">7-13, 45-59). </w:t>
      </w:r>
    </w:p>
    <w:p w14:paraId="5A4386DE" w14:textId="77777777" w:rsidR="008940B3" w:rsidRPr="003B5C8D" w:rsidRDefault="008940B3" w:rsidP="00C45C77">
      <w:r>
        <w:tab/>
        <w:t>In the three tombs in the area of Kritsa, different interment types (clay bier; pithoi; larnakes) and cremations in pyxides were found in addition to larnakes (Tsipopoulou and Vagnetti 2006).</w:t>
      </w:r>
    </w:p>
    <w:p w14:paraId="6B99E00B" w14:textId="77777777" w:rsidR="008940B3" w:rsidRPr="003B5C8D" w:rsidRDefault="008940B3" w:rsidP="00C45C77">
      <w:r>
        <w:tab/>
      </w:r>
      <w:r w:rsidRPr="003B5C8D">
        <w:t xml:space="preserve">Traces of cremated bones </w:t>
      </w:r>
      <w:r>
        <w:t>were</w:t>
      </w:r>
      <w:r w:rsidRPr="003B5C8D">
        <w:t xml:space="preserve"> found in </w:t>
      </w:r>
      <w:r>
        <w:t xml:space="preserve">a </w:t>
      </w:r>
      <w:r w:rsidRPr="003B5C8D">
        <w:t xml:space="preserve">pyxis together with a larnax and a reused MM pithos burial at Malia in the burial building </w:t>
      </w:r>
      <w:r w:rsidRPr="000A798C">
        <w:rPr>
          <w:i/>
        </w:rPr>
        <w:t>Maison des Mortes</w:t>
      </w:r>
      <w:r>
        <w:t>,</w:t>
      </w:r>
      <w:r w:rsidRPr="003B5C8D">
        <w:t xml:space="preserve"> and an empty pyxis of the type used for cremated burial</w:t>
      </w:r>
      <w:r>
        <w:t>s</w:t>
      </w:r>
      <w:r w:rsidRPr="003B5C8D">
        <w:t xml:space="preserve"> was found in a larnax in </w:t>
      </w:r>
      <w:r>
        <w:t>T</w:t>
      </w:r>
      <w:r w:rsidRPr="003B5C8D">
        <w:t>om</w:t>
      </w:r>
      <w:r>
        <w:t>b</w:t>
      </w:r>
      <w:r w:rsidRPr="003B5C8D">
        <w:t xml:space="preserve"> A Kritsa Katharos (Tsipopoulou</w:t>
      </w:r>
      <w:r>
        <w:t xml:space="preserve"> and </w:t>
      </w:r>
      <w:r w:rsidRPr="003B5C8D">
        <w:t xml:space="preserve">Vagnetti 2006: 207). </w:t>
      </w:r>
      <w:r>
        <w:t xml:space="preserve">However, because </w:t>
      </w:r>
      <w:r w:rsidRPr="003B5C8D">
        <w:t>nothing was found inside this pyxis, it has</w:t>
      </w:r>
      <w:r>
        <w:t xml:space="preserve"> no</w:t>
      </w:r>
      <w:r w:rsidRPr="003B5C8D">
        <w:t xml:space="preserve">t been considered in the analysis of the </w:t>
      </w:r>
      <w:r>
        <w:t>interment</w:t>
      </w:r>
      <w:r w:rsidRPr="003B5C8D">
        <w:t xml:space="preserve"> associations.</w:t>
      </w:r>
    </w:p>
    <w:p w14:paraId="0934E755" w14:textId="77777777" w:rsidR="008940B3" w:rsidRPr="00392750" w:rsidRDefault="008940B3" w:rsidP="00C45C77">
      <w:pPr>
        <w:rPr>
          <w:i/>
        </w:rPr>
      </w:pPr>
      <w:r>
        <w:tab/>
      </w:r>
      <w:r w:rsidRPr="003B5C8D">
        <w:t>At Malia</w:t>
      </w:r>
      <w:r>
        <w:t>,</w:t>
      </w:r>
      <w:r w:rsidRPr="003B5C8D">
        <w:t xml:space="preserve"> larnax burials are usually not associated with other </w:t>
      </w:r>
      <w:r>
        <w:t>types</w:t>
      </w:r>
      <w:r w:rsidRPr="003B5C8D">
        <w:t xml:space="preserve"> of </w:t>
      </w:r>
      <w:r>
        <w:t>interment</w:t>
      </w:r>
      <w:r w:rsidRPr="003B5C8D">
        <w:t xml:space="preserve">, except for one pit at </w:t>
      </w:r>
      <w:r w:rsidRPr="000A798C">
        <w:rPr>
          <w:i/>
        </w:rPr>
        <w:t>Maison des Mortes</w:t>
      </w:r>
      <w:r>
        <w:t>,</w:t>
      </w:r>
      <w:r w:rsidRPr="003B5C8D">
        <w:t xml:space="preserve"> where</w:t>
      </w:r>
      <w:r>
        <w:t>,</w:t>
      </w:r>
      <w:r w:rsidRPr="003B5C8D">
        <w:t xml:space="preserve"> </w:t>
      </w:r>
      <w:r>
        <w:t>in addition to</w:t>
      </w:r>
      <w:r w:rsidRPr="003B5C8D">
        <w:t xml:space="preserve"> a clay larnax</w:t>
      </w:r>
      <w:r>
        <w:t>,</w:t>
      </w:r>
      <w:r w:rsidRPr="003B5C8D">
        <w:t xml:space="preserve"> a burial in a reused pithos and cremated bones in a pyxis</w:t>
      </w:r>
      <w:r>
        <w:t xml:space="preserve"> were found</w:t>
      </w:r>
      <w:r w:rsidRPr="003B5C8D">
        <w:t xml:space="preserve"> (Van Effenterre and Van Effenterre 196</w:t>
      </w:r>
      <w:r>
        <w:t>3: 88-99, Farnoux 1989-1990: 28;</w:t>
      </w:r>
      <w:r w:rsidRPr="003B5C8D">
        <w:t xml:space="preserve"> 1990a: 233; Winch 2005: 218).</w:t>
      </w:r>
    </w:p>
    <w:p w14:paraId="4D9B598E" w14:textId="77777777" w:rsidR="008940B3" w:rsidRPr="003B5C8D" w:rsidRDefault="008940B3" w:rsidP="00C45C77">
      <w:r>
        <w:tab/>
      </w:r>
      <w:r w:rsidRPr="003B5C8D">
        <w:t>Data concerning tomb dimension</w:t>
      </w:r>
      <w:r>
        <w:t>s</w:t>
      </w:r>
      <w:r w:rsidRPr="003B5C8D">
        <w:t xml:space="preserve"> come from a very small sample. However, tombs in this area are small or medium</w:t>
      </w:r>
      <w:r>
        <w:t xml:space="preserve"> and</w:t>
      </w:r>
      <w:r w:rsidRPr="003B5C8D">
        <w:t xml:space="preserve"> </w:t>
      </w:r>
      <w:r>
        <w:t>display</w:t>
      </w:r>
      <w:r w:rsidRPr="003B5C8D">
        <w:t xml:space="preserve"> no sign of monumentality.</w:t>
      </w:r>
    </w:p>
    <w:p w14:paraId="5BC786D5" w14:textId="5C791CE7" w:rsidR="008940B3" w:rsidRPr="00BC3C8B" w:rsidRDefault="008940B3" w:rsidP="00C45C77">
      <w:r>
        <w:tab/>
        <w:t>After</w:t>
      </w:r>
      <w:r w:rsidRPr="003B5C8D">
        <w:t xml:space="preserve"> the Elounda cemetery, Malia </w:t>
      </w:r>
      <w:r>
        <w:t>is</w:t>
      </w:r>
      <w:r w:rsidRPr="003B5C8D">
        <w:t xml:space="preserve"> the second </w:t>
      </w:r>
      <w:r>
        <w:t>largest</w:t>
      </w:r>
      <w:r w:rsidRPr="003B5C8D">
        <w:t xml:space="preserve"> necropolis in the </w:t>
      </w:r>
      <w:r>
        <w:t>Mid-East</w:t>
      </w:r>
      <w:r w:rsidRPr="003B5C8D">
        <w:t xml:space="preserve"> area. A total of 14 secure tombs are distributed in </w:t>
      </w:r>
      <w:r>
        <w:t>eight</w:t>
      </w:r>
      <w:r w:rsidRPr="003B5C8D">
        <w:t xml:space="preserve"> burial locations. All of the</w:t>
      </w:r>
      <w:r>
        <w:t xml:space="preserve"> tombs</w:t>
      </w:r>
      <w:r w:rsidRPr="003B5C8D">
        <w:t xml:space="preserve"> </w:t>
      </w:r>
      <w:r>
        <w:t>are</w:t>
      </w:r>
      <w:r w:rsidRPr="003B5C8D">
        <w:t xml:space="preserve"> associated with larnax burials</w:t>
      </w:r>
      <w:r>
        <w:t>,</w:t>
      </w:r>
      <w:r w:rsidRPr="003B5C8D">
        <w:t xml:space="preserve"> except for a burial north of the palace (Damargne 1945: 13-24; Farnoux 1997: 142). The total number of larnakes is 28, and the vast majority of the burials correspond to</w:t>
      </w:r>
      <w:r>
        <w:t xml:space="preserve"> the</w:t>
      </w:r>
      <w:r w:rsidRPr="003B5C8D">
        <w:t xml:space="preserve"> LM IIIA2-LM IIIB phase. The predominant type of tomb at Malia is </w:t>
      </w:r>
      <w:r>
        <w:t>a</w:t>
      </w:r>
      <w:r w:rsidRPr="003B5C8D">
        <w:t xml:space="preserve"> chamber tomb carved into the rock and preceded by a dromos. These </w:t>
      </w:r>
      <w:r>
        <w:t>t</w:t>
      </w:r>
      <w:r w:rsidRPr="003B5C8D">
        <w:t xml:space="preserve">ombs </w:t>
      </w:r>
      <w:r>
        <w:t>were</w:t>
      </w:r>
      <w:r w:rsidRPr="003B5C8D">
        <w:t xml:space="preserve"> reused several times (Farnoux 1990a: 232). It is interesting to note the use of the </w:t>
      </w:r>
      <w:r w:rsidRPr="000A798C">
        <w:rPr>
          <w:i/>
        </w:rPr>
        <w:t>Maison des Mortes</w:t>
      </w:r>
      <w:r>
        <w:t>, a p</w:t>
      </w:r>
      <w:r w:rsidRPr="003B5C8D">
        <w:t>roto</w:t>
      </w:r>
      <w:r>
        <w:t>-p</w:t>
      </w:r>
      <w:r w:rsidRPr="003B5C8D">
        <w:t xml:space="preserve">alatial house that </w:t>
      </w:r>
      <w:r>
        <w:t>was</w:t>
      </w:r>
      <w:r w:rsidRPr="003B5C8D">
        <w:t xml:space="preserve"> reused for burial purposes in the LM III period</w:t>
      </w:r>
      <w:r>
        <w:t>, in which,</w:t>
      </w:r>
      <w:r w:rsidRPr="003B5C8D">
        <w:t xml:space="preserve"> along with </w:t>
      </w:r>
      <w:r>
        <w:t>the</w:t>
      </w:r>
      <w:r w:rsidRPr="003B5C8D">
        <w:t xml:space="preserve"> pit larnax </w:t>
      </w:r>
      <w:r>
        <w:t>interment</w:t>
      </w:r>
      <w:r w:rsidRPr="003B5C8D">
        <w:t xml:space="preserve"> mentioned </w:t>
      </w:r>
      <w:r>
        <w:t>previously</w:t>
      </w:r>
      <w:r w:rsidRPr="003B5C8D">
        <w:t xml:space="preserve">, </w:t>
      </w:r>
      <w:r>
        <w:t>11</w:t>
      </w:r>
      <w:r w:rsidRPr="003B5C8D">
        <w:t xml:space="preserve"> small cist burials have been identified. The</w:t>
      </w:r>
      <w:r>
        <w:t xml:space="preserve"> cist burials</w:t>
      </w:r>
      <w:r w:rsidRPr="003B5C8D">
        <w:t xml:space="preserve"> </w:t>
      </w:r>
      <w:r>
        <w:t>comprise</w:t>
      </w:r>
      <w:r w:rsidRPr="003B5C8D">
        <w:t xml:space="preserve"> four or six slabs and</w:t>
      </w:r>
      <w:r>
        <w:t xml:space="preserve"> are</w:t>
      </w:r>
      <w:r w:rsidRPr="003B5C8D">
        <w:t xml:space="preserve"> covered by slabs</w:t>
      </w:r>
      <w:r>
        <w:t xml:space="preserve"> also</w:t>
      </w:r>
      <w:r w:rsidRPr="003B5C8D">
        <w:t>. Six of the</w:t>
      </w:r>
      <w:r>
        <w:t xml:space="preserve"> cist burials</w:t>
      </w:r>
      <w:r w:rsidRPr="003B5C8D">
        <w:t xml:space="preserve"> </w:t>
      </w:r>
      <w:r>
        <w:t>were</w:t>
      </w:r>
      <w:r w:rsidRPr="003B5C8D">
        <w:t xml:space="preserve"> found completely empty. It seems that three of these tombs were used for </w:t>
      </w:r>
      <w:r>
        <w:t xml:space="preserve">the </w:t>
      </w:r>
      <w:r w:rsidRPr="003B5C8D">
        <w:t xml:space="preserve">burial of children, but two others </w:t>
      </w:r>
      <w:r>
        <w:t>were the</w:t>
      </w:r>
      <w:r w:rsidRPr="003B5C8D">
        <w:t xml:space="preserve"> tombs of adults</w:t>
      </w:r>
      <w:r>
        <w:t xml:space="preserve">, (Winch 2005: 218), while there is no information about the other tombs (for skeletal remains analysis see </w:t>
      </w:r>
      <w:r w:rsidR="00C45C77">
        <w:t>C</w:t>
      </w:r>
      <w:r>
        <w:t>hapter 4).</w:t>
      </w:r>
    </w:p>
    <w:p w14:paraId="108C88F3" w14:textId="77777777" w:rsidR="008940B3" w:rsidRPr="000A798C" w:rsidRDefault="008940B3" w:rsidP="00E858EF">
      <w:pPr>
        <w:pStyle w:val="Titolo2"/>
        <w:keepNext w:val="0"/>
        <w:keepLines w:val="0"/>
        <w:numPr>
          <w:ilvl w:val="1"/>
          <w:numId w:val="4"/>
        </w:numPr>
        <w:suppressAutoHyphens/>
        <w:contextualSpacing w:val="0"/>
      </w:pPr>
      <w:bookmarkStart w:id="399" w:name="_Toc389131206"/>
      <w:bookmarkStart w:id="400" w:name="_Toc517876534"/>
      <w:bookmarkStart w:id="401" w:name="_Toc519894638"/>
      <w:r>
        <w:t>Far-East</w:t>
      </w:r>
      <w:r w:rsidRPr="000A798C">
        <w:t xml:space="preserve"> area</w:t>
      </w:r>
      <w:bookmarkEnd w:id="399"/>
      <w:bookmarkEnd w:id="400"/>
      <w:bookmarkEnd w:id="401"/>
    </w:p>
    <w:p w14:paraId="7A6E9782" w14:textId="77777777" w:rsidR="008940B3" w:rsidRPr="003B5C8D" w:rsidRDefault="008940B3" w:rsidP="00C45C77">
      <w:r w:rsidRPr="00183AAD">
        <w:rPr>
          <w:bCs/>
        </w:rPr>
        <w:t xml:space="preserve">The area east of Mirabello bay and </w:t>
      </w:r>
      <w:r>
        <w:rPr>
          <w:bCs/>
        </w:rPr>
        <w:t xml:space="preserve">the </w:t>
      </w:r>
      <w:r w:rsidRPr="00183AAD">
        <w:rPr>
          <w:bCs/>
        </w:rPr>
        <w:t>Ierapetra isthmus forms</w:t>
      </w:r>
      <w:r>
        <w:rPr>
          <w:bCs/>
        </w:rPr>
        <w:t xml:space="preserve"> the</w:t>
      </w:r>
      <w:r w:rsidRPr="003B5C8D">
        <w:rPr>
          <w:b/>
          <w:bCs/>
        </w:rPr>
        <w:t xml:space="preserve"> </w:t>
      </w:r>
      <w:r>
        <w:rPr>
          <w:b/>
          <w:bCs/>
        </w:rPr>
        <w:t>Far-East</w:t>
      </w:r>
      <w:r w:rsidRPr="003B5C8D">
        <w:rPr>
          <w:b/>
          <w:bCs/>
        </w:rPr>
        <w:t xml:space="preserve"> </w:t>
      </w:r>
      <w:r>
        <w:rPr>
          <w:b/>
          <w:bCs/>
        </w:rPr>
        <w:t>area</w:t>
      </w:r>
      <w:r w:rsidRPr="003B5C8D">
        <w:t>. Here</w:t>
      </w:r>
      <w:r>
        <w:t>,</w:t>
      </w:r>
      <w:r w:rsidRPr="003B5C8D">
        <w:t xml:space="preserve"> </w:t>
      </w:r>
      <w:r>
        <w:t>a</w:t>
      </w:r>
      <w:r w:rsidRPr="003B5C8D">
        <w:t xml:space="preserve"> number </w:t>
      </w:r>
      <w:r>
        <w:t xml:space="preserve">of </w:t>
      </w:r>
      <w:r w:rsidRPr="003B5C8D">
        <w:t xml:space="preserve">mortuary sites are concentrated along the northern coast </w:t>
      </w:r>
      <w:r>
        <w:t xml:space="preserve">and </w:t>
      </w:r>
      <w:r w:rsidRPr="003B5C8D">
        <w:t>into the plain around Siteia and the</w:t>
      </w:r>
      <w:r>
        <w:t xml:space="preserve"> surrounding</w:t>
      </w:r>
      <w:r w:rsidRPr="003B5C8D">
        <w:t xml:space="preserve"> foothills. Some cemeteries are located in the area of </w:t>
      </w:r>
      <w:r>
        <w:t xml:space="preserve">the </w:t>
      </w:r>
      <w:r w:rsidRPr="003B5C8D">
        <w:t xml:space="preserve">Ierapetra </w:t>
      </w:r>
      <w:r>
        <w:t>i</w:t>
      </w:r>
      <w:r w:rsidRPr="003B5C8D">
        <w:t xml:space="preserve">sthmus </w:t>
      </w:r>
      <w:r>
        <w:t>along</w:t>
      </w:r>
      <w:r w:rsidRPr="003B5C8D">
        <w:t xml:space="preserve"> the coast (Gournia and Pachyammos)</w:t>
      </w:r>
      <w:r>
        <w:t>,</w:t>
      </w:r>
      <w:r w:rsidRPr="003B5C8D">
        <w:t xml:space="preserve"> pr</w:t>
      </w:r>
      <w:r>
        <w:t>o</w:t>
      </w:r>
      <w:r w:rsidRPr="003B5C8D">
        <w:t>c</w:t>
      </w:r>
      <w:r>
        <w:t>e</w:t>
      </w:r>
      <w:r w:rsidRPr="003B5C8D">
        <w:t xml:space="preserve">eding down to the south coast (inland Episkopi and almost </w:t>
      </w:r>
      <w:r>
        <w:t>on</w:t>
      </w:r>
      <w:r w:rsidRPr="003B5C8D">
        <w:t xml:space="preserve"> the south coast Gra Lygia).</w:t>
      </w:r>
    </w:p>
    <w:p w14:paraId="7FB75022" w14:textId="77777777" w:rsidR="008940B3" w:rsidRPr="003B5C8D" w:rsidRDefault="008940B3" w:rsidP="00E858EF">
      <w:pPr>
        <w:pStyle w:val="Titolo3"/>
        <w:keepNext w:val="0"/>
        <w:keepLines w:val="0"/>
        <w:suppressAutoHyphens/>
      </w:pPr>
      <w:bookmarkStart w:id="402" w:name="_Toc389131207"/>
      <w:bookmarkStart w:id="403" w:name="_Toc517876535"/>
      <w:bookmarkStart w:id="404" w:name="_Toc519894639"/>
      <w:r w:rsidRPr="003B5C8D">
        <w:t>Burial locations and cemeteries</w:t>
      </w:r>
      <w:bookmarkEnd w:id="402"/>
      <w:bookmarkEnd w:id="403"/>
      <w:bookmarkEnd w:id="404"/>
    </w:p>
    <w:p w14:paraId="368A1692" w14:textId="77777777" w:rsidR="008940B3" w:rsidRDefault="008940B3" w:rsidP="00E858EF">
      <w:pPr>
        <w:pStyle w:val="Titolo4"/>
        <w:keepNext w:val="0"/>
        <w:keepLines w:val="0"/>
        <w:suppressAutoHyphens/>
        <w:ind w:left="864" w:hanging="864"/>
        <w:contextualSpacing w:val="0"/>
      </w:pPr>
      <w:bookmarkStart w:id="405" w:name="_Toc389131208"/>
      <w:bookmarkStart w:id="406" w:name="_Toc517876536"/>
      <w:r w:rsidRPr="004A355F">
        <w:t>Wh</w:t>
      </w:r>
      <w:r>
        <w:t>at is the proportion of cemeteries with larnakes to</w:t>
      </w:r>
      <w:r w:rsidRPr="004A355F">
        <w:t xml:space="preserve"> cemeteries without larnakes?</w:t>
      </w:r>
      <w:bookmarkEnd w:id="405"/>
      <w:bookmarkEnd w:id="406"/>
    </w:p>
    <w:p w14:paraId="6A90C05E" w14:textId="77777777" w:rsidR="008940B3" w:rsidRPr="003B5C8D" w:rsidRDefault="008940B3" w:rsidP="00C45C77">
      <w:r w:rsidRPr="003B5C8D">
        <w:t xml:space="preserve">Clay larnax use is attested securely for 58% of the total number of burial locations in use during LM III. </w:t>
      </w:r>
    </w:p>
    <w:p w14:paraId="4E30D47A"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2542F9A"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sidRPr="003B5C8D">
        <w:rPr>
          <w:color w:val="000000"/>
          <w:sz w:val="22"/>
          <w:szCs w:val="22"/>
        </w:rPr>
        <w:t xml:space="preserve"> </w:t>
      </w:r>
      <w:r>
        <w:rPr>
          <w:noProof/>
          <w:lang w:val="it-IT"/>
        </w:rPr>
        <w:drawing>
          <wp:inline distT="0" distB="0" distL="0" distR="0" wp14:anchorId="037E2A2E" wp14:editId="46F35A09">
            <wp:extent cx="4679950" cy="2520000"/>
            <wp:effectExtent l="0" t="0" r="6350" b="13970"/>
            <wp:docPr id="26" name="Gra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2B2F446" w14:textId="77777777" w:rsidR="008940B3" w:rsidRDefault="008940B3" w:rsidP="00E858EF">
      <w:pPr>
        <w:pStyle w:val="Didascalia"/>
        <w:suppressAutoHyphens/>
      </w:pPr>
      <w:bookmarkStart w:id="407" w:name="_Toc520212326"/>
      <w:r w:rsidRPr="00602641">
        <w:t>Figure 3-43. LM III burial locations in the Far-East area</w:t>
      </w:r>
      <w:bookmarkEnd w:id="407"/>
    </w:p>
    <w:p w14:paraId="1651E64B"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color w:val="000000"/>
          <w:sz w:val="22"/>
          <w:szCs w:val="22"/>
          <w:lang w:val="it-IT"/>
        </w:rPr>
        <w:drawing>
          <wp:inline distT="0" distB="0" distL="0" distR="0" wp14:anchorId="14A7C008" wp14:editId="027EB8BE">
            <wp:extent cx="5397500" cy="3816350"/>
            <wp:effectExtent l="0" t="0" r="12700" b="0"/>
            <wp:docPr id="40" name="Immagine 40" descr="Macintosh HD:Users:angela:Desktop:180716_7_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gela:Desktop:180716_7_FE.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97500" cy="3816350"/>
                    </a:xfrm>
                    <a:prstGeom prst="rect">
                      <a:avLst/>
                    </a:prstGeom>
                    <a:noFill/>
                    <a:ln>
                      <a:noFill/>
                    </a:ln>
                  </pic:spPr>
                </pic:pic>
              </a:graphicData>
            </a:graphic>
          </wp:inline>
        </w:drawing>
      </w:r>
    </w:p>
    <w:p w14:paraId="5EFC7BF3" w14:textId="53FF7AEA" w:rsidR="008940B3" w:rsidRDefault="008940B3" w:rsidP="00E858EF">
      <w:pPr>
        <w:pStyle w:val="Didascalia"/>
        <w:suppressAutoHyphens/>
      </w:pPr>
      <w:bookmarkStart w:id="408" w:name="_Toc520212327"/>
      <w:r>
        <w:t>Figure 3-44. D</w:t>
      </w:r>
      <w:r w:rsidRPr="00FF04E9">
        <w:t>istribution</w:t>
      </w:r>
      <w:r>
        <w:t xml:space="preserve"> of LMIII b</w:t>
      </w:r>
      <w:r w:rsidRPr="00FF04E9">
        <w:t>urial locations</w:t>
      </w:r>
      <w:r>
        <w:t xml:space="preserve"> in the</w:t>
      </w:r>
      <w:r w:rsidRPr="00FF04E9">
        <w:t xml:space="preserve"> </w:t>
      </w:r>
      <w:r>
        <w:t>Far-East a</w:t>
      </w:r>
      <w:r w:rsidRPr="00895FF7">
        <w:t>rea</w:t>
      </w:r>
      <w:r>
        <w:t xml:space="preserve"> (Source: Author)</w:t>
      </w:r>
      <w:bookmarkEnd w:id="408"/>
    </w:p>
    <w:p w14:paraId="7A20437C" w14:textId="77777777" w:rsidR="00175938" w:rsidRPr="00175938" w:rsidRDefault="00175938" w:rsidP="00E858EF">
      <w:pPr>
        <w:suppressAutoHyphens/>
      </w:pPr>
    </w:p>
    <w:p w14:paraId="172BF5AB" w14:textId="7CD34D1E" w:rsidR="008940B3" w:rsidRPr="003B5C8D" w:rsidRDefault="008940B3" w:rsidP="00E858EF">
      <w:pPr>
        <w:pStyle w:val="Testofumetto"/>
        <w:suppressAutoHyphens/>
      </w:pPr>
      <w:bookmarkStart w:id="409" w:name="_Toc520212557"/>
      <w:r>
        <w:t>Table 3-69. LM III burial locations</w:t>
      </w:r>
      <w:r w:rsidR="005E1C18">
        <w:t>,</w:t>
      </w:r>
      <w:r>
        <w:t xml:space="preserve"> Far-East</w:t>
      </w:r>
      <w:r w:rsidRPr="00895FF7">
        <w:t xml:space="preserve"> </w:t>
      </w:r>
      <w:r>
        <w:t>area</w:t>
      </w:r>
      <w:r w:rsidR="005E1C18">
        <w:t>,</w:t>
      </w:r>
      <w:r>
        <w:t xml:space="preserve"> in detail</w:t>
      </w:r>
      <w:bookmarkEnd w:id="409"/>
    </w:p>
    <w:tbl>
      <w:tblPr>
        <w:tblW w:w="0" w:type="auto"/>
        <w:tblInd w:w="60" w:type="dxa"/>
        <w:tblCellMar>
          <w:left w:w="0" w:type="dxa"/>
          <w:right w:w="0" w:type="dxa"/>
        </w:tblCellMar>
        <w:tblLook w:val="04A0" w:firstRow="1" w:lastRow="0" w:firstColumn="1" w:lastColumn="0" w:noHBand="0" w:noVBand="1"/>
      </w:tblPr>
      <w:tblGrid>
        <w:gridCol w:w="3969"/>
        <w:gridCol w:w="3101"/>
      </w:tblGrid>
      <w:tr w:rsidR="008940B3" w:rsidRPr="00C45C77" w14:paraId="59D51214" w14:textId="77777777" w:rsidTr="00C45C77">
        <w:trPr>
          <w:trHeight w:val="195"/>
        </w:trPr>
        <w:tc>
          <w:tcPr>
            <w:tcW w:w="39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C7C532D" w14:textId="77777777" w:rsidR="008940B3" w:rsidRPr="00C45C77" w:rsidRDefault="008940B3" w:rsidP="00E858EF">
            <w:pPr>
              <w:suppressAutoHyphens/>
              <w:rPr>
                <w:sz w:val="20"/>
                <w:szCs w:val="16"/>
              </w:rPr>
            </w:pPr>
            <w:r w:rsidRPr="00C45C77">
              <w:rPr>
                <w:color w:val="000000"/>
                <w:sz w:val="20"/>
                <w:szCs w:val="16"/>
              </w:rPr>
              <w:t>Burial locations with secure larnax interment</w:t>
            </w:r>
          </w:p>
        </w:tc>
        <w:tc>
          <w:tcPr>
            <w:tcW w:w="310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88FA5B7" w14:textId="77777777" w:rsidR="008940B3" w:rsidRPr="00C45C77" w:rsidRDefault="008940B3" w:rsidP="00E858EF">
            <w:pPr>
              <w:suppressAutoHyphens/>
              <w:jc w:val="center"/>
              <w:rPr>
                <w:sz w:val="20"/>
                <w:szCs w:val="16"/>
              </w:rPr>
            </w:pPr>
            <w:r w:rsidRPr="00C45C77">
              <w:rPr>
                <w:sz w:val="20"/>
                <w:szCs w:val="16"/>
              </w:rPr>
              <w:t>39</w:t>
            </w:r>
          </w:p>
        </w:tc>
      </w:tr>
      <w:tr w:rsidR="008940B3" w:rsidRPr="00C45C77" w14:paraId="33FDAB6E" w14:textId="77777777" w:rsidTr="00C45C77">
        <w:trPr>
          <w:trHeight w:val="195"/>
        </w:trPr>
        <w:tc>
          <w:tcPr>
            <w:tcW w:w="3969"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5E2376BC" w14:textId="77777777" w:rsidR="008940B3" w:rsidRPr="00C45C77" w:rsidRDefault="008940B3" w:rsidP="00E858EF">
            <w:pPr>
              <w:suppressAutoHyphens/>
              <w:rPr>
                <w:sz w:val="20"/>
                <w:szCs w:val="16"/>
              </w:rPr>
            </w:pPr>
            <w:r w:rsidRPr="00C45C77">
              <w:rPr>
                <w:color w:val="000000"/>
                <w:sz w:val="20"/>
                <w:szCs w:val="16"/>
              </w:rPr>
              <w:t>Burial locations with possible larnax interment</w:t>
            </w:r>
          </w:p>
        </w:tc>
        <w:tc>
          <w:tcPr>
            <w:tcW w:w="3101"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118EF29A" w14:textId="77777777" w:rsidR="008940B3" w:rsidRPr="00C45C77" w:rsidRDefault="008940B3" w:rsidP="00E858EF">
            <w:pPr>
              <w:suppressAutoHyphens/>
              <w:jc w:val="center"/>
              <w:rPr>
                <w:sz w:val="20"/>
                <w:szCs w:val="16"/>
              </w:rPr>
            </w:pPr>
            <w:r w:rsidRPr="00C45C77">
              <w:rPr>
                <w:color w:val="000000"/>
                <w:sz w:val="20"/>
                <w:szCs w:val="16"/>
              </w:rPr>
              <w:t>15</w:t>
            </w:r>
          </w:p>
        </w:tc>
      </w:tr>
      <w:tr w:rsidR="008940B3" w:rsidRPr="00C45C77" w14:paraId="50E9027D" w14:textId="77777777" w:rsidTr="00C45C77">
        <w:trPr>
          <w:trHeight w:val="195"/>
        </w:trPr>
        <w:tc>
          <w:tcPr>
            <w:tcW w:w="39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5A65841" w14:textId="77777777" w:rsidR="008940B3" w:rsidRPr="00C45C77" w:rsidRDefault="008940B3" w:rsidP="00E858EF">
            <w:pPr>
              <w:suppressAutoHyphens/>
              <w:rPr>
                <w:sz w:val="20"/>
                <w:szCs w:val="16"/>
              </w:rPr>
            </w:pPr>
            <w:r w:rsidRPr="00C45C77">
              <w:rPr>
                <w:color w:val="000000"/>
                <w:sz w:val="20"/>
                <w:szCs w:val="16"/>
              </w:rPr>
              <w:t>Burial locations without larnakes</w:t>
            </w:r>
          </w:p>
        </w:tc>
        <w:tc>
          <w:tcPr>
            <w:tcW w:w="310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9947F6A" w14:textId="77777777" w:rsidR="008940B3" w:rsidRPr="00C45C77" w:rsidRDefault="008940B3" w:rsidP="00E858EF">
            <w:pPr>
              <w:suppressAutoHyphens/>
              <w:jc w:val="center"/>
              <w:rPr>
                <w:sz w:val="20"/>
                <w:szCs w:val="16"/>
              </w:rPr>
            </w:pPr>
            <w:r w:rsidRPr="00C45C77">
              <w:rPr>
                <w:color w:val="000000"/>
                <w:sz w:val="20"/>
                <w:szCs w:val="16"/>
              </w:rPr>
              <w:t>15</w:t>
            </w:r>
          </w:p>
        </w:tc>
      </w:tr>
    </w:tbl>
    <w:p w14:paraId="16114E5A"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30F79D7A" w14:textId="77777777" w:rsidR="008940B3" w:rsidRPr="00C45C77"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C45C77">
        <w:rPr>
          <w:color w:val="000000"/>
          <w:szCs w:val="22"/>
        </w:rPr>
        <w:t xml:space="preserve">Some burial locations can be grouped together: </w:t>
      </w:r>
    </w:p>
    <w:p w14:paraId="26610F70" w14:textId="77777777" w:rsidR="008940B3" w:rsidRPr="00C45C77"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C45C77">
        <w:rPr>
          <w:color w:val="000000"/>
          <w:szCs w:val="22"/>
        </w:rPr>
        <w:t>A chamber tomb found by chance and then destroyed at Achladia Kimouriotis and a looted corbel-vaulted tomb, but almost completely preserved, at Achladia (Tsipopoulou and Vagnetti 1995).</w:t>
      </w:r>
    </w:p>
    <w:p w14:paraId="749A056A" w14:textId="77777777" w:rsidR="008940B3" w:rsidRPr="00C45C77"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C45C77">
        <w:rPr>
          <w:color w:val="000000"/>
          <w:szCs w:val="22"/>
        </w:rPr>
        <w:t>The tombs found on the hill of Alazzomouri, near the village of Pachyammos (Boyd 1908; Alexiou 1954) and the chamber tomb discovered by Sakellarakis at Kateri Koumos, near Seager's Villa in Pachyammos (</w:t>
      </w:r>
      <w:r w:rsidRPr="00C45C77">
        <w:rPr>
          <w:i/>
          <w:color w:val="000000"/>
          <w:szCs w:val="22"/>
        </w:rPr>
        <w:t xml:space="preserve">ADelt </w:t>
      </w:r>
      <w:r w:rsidRPr="00C45C77">
        <w:rPr>
          <w:color w:val="000000"/>
          <w:szCs w:val="22"/>
        </w:rPr>
        <w:t>19 1964: 441).</w:t>
      </w:r>
      <w:r w:rsidRPr="00C45C77" w:rsidDel="008F39E7">
        <w:rPr>
          <w:color w:val="000000"/>
          <w:szCs w:val="22"/>
        </w:rPr>
        <w:t xml:space="preserve"> </w:t>
      </w:r>
    </w:p>
    <w:p w14:paraId="53CEA985" w14:textId="02BB4D6A" w:rsidR="008940B3" w:rsidRPr="00C45C77"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C45C77">
        <w:rPr>
          <w:color w:val="000000"/>
          <w:szCs w:val="22"/>
        </w:rPr>
        <w:t xml:space="preserve">Tombs found in 12 different burial locations distributed around the site of Palaikastro (Bosanquet and Dawkins 1923: 111, 154, 15) some of which have recently been found at Mesonisi: </w:t>
      </w:r>
      <w:r w:rsidRPr="00C45C77">
        <w:rPr>
          <w:i/>
          <w:color w:val="000000"/>
          <w:szCs w:val="22"/>
        </w:rPr>
        <w:t>ADelt</w:t>
      </w:r>
      <w:r w:rsidRPr="00C45C77">
        <w:rPr>
          <w:color w:val="000000"/>
          <w:szCs w:val="22"/>
        </w:rPr>
        <w:t xml:space="preserve"> 56-59 2001-2004 B5, 495, </w:t>
      </w:r>
      <w:r w:rsidRPr="00F013A4">
        <w:rPr>
          <w:color w:val="000000"/>
          <w:szCs w:val="22"/>
        </w:rPr>
        <w:t>Mavrokoukou</w:t>
      </w:r>
      <w:r w:rsidR="002434EC" w:rsidRPr="00422526">
        <w:rPr>
          <w:color w:val="000000"/>
          <w:szCs w:val="22"/>
        </w:rPr>
        <w:t>l</w:t>
      </w:r>
      <w:r w:rsidRPr="009E6C29">
        <w:rPr>
          <w:color w:val="000000"/>
          <w:szCs w:val="22"/>
        </w:rPr>
        <w:t xml:space="preserve">aki plot: </w:t>
      </w:r>
      <w:r w:rsidRPr="00481267">
        <w:rPr>
          <w:i/>
          <w:color w:val="000000"/>
          <w:szCs w:val="22"/>
        </w:rPr>
        <w:t>ADelt</w:t>
      </w:r>
      <w:r w:rsidRPr="00397C23">
        <w:rPr>
          <w:color w:val="000000"/>
          <w:szCs w:val="22"/>
        </w:rPr>
        <w:t xml:space="preserve"> 64 2009: 923</w:t>
      </w:r>
      <w:r w:rsidRPr="00C45C77">
        <w:rPr>
          <w:color w:val="000000"/>
          <w:szCs w:val="22"/>
        </w:rPr>
        <w:t xml:space="preserve"> and at Kastri Chionas: </w:t>
      </w:r>
      <w:r w:rsidRPr="00C45C77">
        <w:rPr>
          <w:i/>
          <w:color w:val="000000"/>
          <w:szCs w:val="22"/>
        </w:rPr>
        <w:t xml:space="preserve">ADelt </w:t>
      </w:r>
      <w:r w:rsidRPr="00C45C77">
        <w:rPr>
          <w:color w:val="000000"/>
          <w:szCs w:val="22"/>
        </w:rPr>
        <w:t>60 2005:</w:t>
      </w:r>
      <w:r w:rsidR="00431A8D">
        <w:rPr>
          <w:color w:val="000000"/>
          <w:szCs w:val="22"/>
        </w:rPr>
        <w:t xml:space="preserve"> </w:t>
      </w:r>
      <w:r w:rsidRPr="00C45C77">
        <w:rPr>
          <w:color w:val="000000"/>
          <w:szCs w:val="22"/>
        </w:rPr>
        <w:t>1058).</w:t>
      </w:r>
    </w:p>
    <w:p w14:paraId="3A4A3074" w14:textId="77777777" w:rsidR="008940B3" w:rsidRPr="00C45C77" w:rsidRDefault="008940B3" w:rsidP="00E858EF">
      <w:pPr>
        <w:pStyle w:val="Paragrafoelenco"/>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C45C77">
        <w:rPr>
          <w:color w:val="000000"/>
          <w:szCs w:val="22"/>
        </w:rPr>
        <w:t>Three different burial locations around the area of Praisos: a corbel-vaulted tomb found at Praisos Fotoula (</w:t>
      </w:r>
      <w:r w:rsidRPr="00C45C77">
        <w:rPr>
          <w:i/>
          <w:iCs/>
          <w:color w:val="000000"/>
          <w:szCs w:val="22"/>
        </w:rPr>
        <w:t>KChr</w:t>
      </w:r>
      <w:r w:rsidRPr="00C45C77">
        <w:rPr>
          <w:color w:val="000000"/>
          <w:szCs w:val="22"/>
        </w:rPr>
        <w:t xml:space="preserve"> 14 1960: 514-15); two chamber tombs found at Praisos Kapsalos (Platon 1960: 301-303); fragments of larnakes collected by Bosanquet at Sto Mavriki, not far from Tzani Metochi, and the fragments found in Tholos B (Bosanquet 1901-1902, 245-248; Bosanquet and Dawkins 1923, 153 fn. 1).</w:t>
      </w:r>
    </w:p>
    <w:p w14:paraId="4B31A383" w14:textId="3D8FA0E9" w:rsidR="008940B3" w:rsidRPr="00C45C77" w:rsidRDefault="00C45C77"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Cs w:val="22"/>
        </w:rPr>
      </w:pPr>
      <w:r>
        <w:rPr>
          <w:szCs w:val="22"/>
        </w:rPr>
        <w:tab/>
      </w:r>
      <w:r w:rsidR="008940B3" w:rsidRPr="00C45C77">
        <w:rPr>
          <w:szCs w:val="22"/>
        </w:rPr>
        <w:t>The total number of cemeteries with larnax use in the Far-East area is 25.</w:t>
      </w:r>
    </w:p>
    <w:p w14:paraId="4A5ABC78" w14:textId="77777777" w:rsidR="008940B3" w:rsidRDefault="008940B3" w:rsidP="00E858EF">
      <w:pPr>
        <w:pStyle w:val="Titolo4"/>
        <w:keepNext w:val="0"/>
        <w:keepLines w:val="0"/>
        <w:suppressAutoHyphens/>
        <w:ind w:left="864" w:hanging="864"/>
        <w:contextualSpacing w:val="0"/>
      </w:pPr>
      <w:bookmarkStart w:id="410" w:name="_Toc389131209"/>
      <w:bookmarkStart w:id="411" w:name="_Toc517876537"/>
      <w:r w:rsidRPr="004A355F">
        <w:t>Are larnakes located in new</w:t>
      </w:r>
      <w:r>
        <w:t>ly</w:t>
      </w:r>
      <w:r w:rsidRPr="004A355F">
        <w:t xml:space="preserve"> built cemeteries or reused ones?</w:t>
      </w:r>
      <w:bookmarkEnd w:id="410"/>
      <w:bookmarkEnd w:id="411"/>
    </w:p>
    <w:p w14:paraId="15FD264E" w14:textId="77777777" w:rsidR="008940B3" w:rsidRPr="003B5C8D" w:rsidRDefault="008940B3" w:rsidP="00C45C77">
      <w:r>
        <w:t>Regarding</w:t>
      </w:r>
      <w:r w:rsidRPr="003B5C8D">
        <w:t xml:space="preserve"> continuity and discontinuity in the use of pre-existing burial sites, all the </w:t>
      </w:r>
      <w:r>
        <w:t>cemeteries seem to have been established</w:t>
      </w:r>
      <w:r w:rsidRPr="003B5C8D">
        <w:t xml:space="preserve"> during LM III; however, the </w:t>
      </w:r>
      <w:r>
        <w:t xml:space="preserve">larnax </w:t>
      </w:r>
      <w:r w:rsidRPr="003B5C8D">
        <w:t>burial found at Gournia inside the settle</w:t>
      </w:r>
      <w:r>
        <w:t>ment was inserted into a destroyed neo-palatial</w:t>
      </w:r>
      <w:r w:rsidRPr="003B5C8D">
        <w:t xml:space="preserve"> house (Boyd</w:t>
      </w:r>
      <w:r>
        <w:t>-</w:t>
      </w:r>
      <w:r w:rsidRPr="003B5C8D">
        <w:t>Hawes 1908: 46; pl. X:</w:t>
      </w:r>
      <w:r>
        <w:t xml:space="preserve"> </w:t>
      </w:r>
      <w:r w:rsidRPr="003B5C8D">
        <w:t>6 and 11; Langohr 2009: 91) (</w:t>
      </w:r>
      <w:r>
        <w:t xml:space="preserve">the </w:t>
      </w:r>
      <w:r w:rsidRPr="003B5C8D">
        <w:t>same thing happen</w:t>
      </w:r>
      <w:r>
        <w:t>ed in Mid east region</w:t>
      </w:r>
      <w:r w:rsidRPr="003B5C8D">
        <w:t xml:space="preserve"> at </w:t>
      </w:r>
      <w:r>
        <w:t xml:space="preserve">Malia, in the </w:t>
      </w:r>
      <w:r w:rsidRPr="00675C3E">
        <w:rPr>
          <w:i/>
        </w:rPr>
        <w:t>Maison des Mortes</w:t>
      </w:r>
      <w:r w:rsidRPr="003B5C8D">
        <w:t>)</w:t>
      </w:r>
      <w:r>
        <w:t>.</w:t>
      </w:r>
    </w:p>
    <w:p w14:paraId="2BB34897" w14:textId="77777777" w:rsidR="008940B3" w:rsidRDefault="008940B3" w:rsidP="00E858EF">
      <w:pPr>
        <w:pStyle w:val="Titolo4"/>
        <w:keepNext w:val="0"/>
        <w:keepLines w:val="0"/>
        <w:suppressAutoHyphens/>
        <w:ind w:left="864" w:hanging="864"/>
        <w:contextualSpacing w:val="0"/>
      </w:pPr>
      <w:bookmarkStart w:id="412" w:name="_Toc517876538"/>
      <w:bookmarkStart w:id="413" w:name="_Toc517876545"/>
      <w:bookmarkStart w:id="414" w:name="_Toc389131210"/>
      <w:bookmarkStart w:id="415" w:name="_Toc517876546"/>
      <w:bookmarkEnd w:id="412"/>
      <w:bookmarkEnd w:id="413"/>
      <w:r w:rsidRPr="004A355F">
        <w:t>Where</w:t>
      </w:r>
      <w:r>
        <w:t xml:space="preserve"> in</w:t>
      </w:r>
      <w:r w:rsidRPr="004A355F">
        <w:t xml:space="preserve"> the region</w:t>
      </w:r>
      <w:r>
        <w:t xml:space="preserve"> are</w:t>
      </w:r>
      <w:r w:rsidRPr="004A355F">
        <w:t xml:space="preserve"> the cemeteries with larnax use?</w:t>
      </w:r>
      <w:bookmarkEnd w:id="414"/>
      <w:bookmarkEnd w:id="415"/>
    </w:p>
    <w:p w14:paraId="17F4A2EC" w14:textId="77777777" w:rsidR="008940B3" w:rsidRPr="003B5C8D" w:rsidRDefault="008940B3" w:rsidP="00C45C77">
      <w:r>
        <w:t>Regarding</w:t>
      </w:r>
      <w:r w:rsidRPr="003B5C8D">
        <w:t xml:space="preserve"> spatial distribution</w:t>
      </w:r>
      <w:r>
        <w:t>, the</w:t>
      </w:r>
      <w:r w:rsidRPr="003B5C8D">
        <w:t xml:space="preserve"> cemeteries are distributed </w:t>
      </w:r>
      <w:r>
        <w:t>as follows:</w:t>
      </w:r>
    </w:p>
    <w:p w14:paraId="1F1AF7F3" w14:textId="77777777" w:rsidR="008940B3" w:rsidRPr="00C45C77" w:rsidRDefault="008940B3" w:rsidP="00E858EF">
      <w:pPr>
        <w:pStyle w:val="Paragrafoelenco"/>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C45C77">
        <w:rPr>
          <w:color w:val="000000"/>
          <w:szCs w:val="22"/>
        </w:rPr>
        <w:t>On the east side of the gulf of Mirabello around the site of Gournia (Kalo Chorio, Gournia Pachyammos, Kavousi) and along the Ierapetra isthmus (Episkopi, Gra Lygia)</w:t>
      </w:r>
    </w:p>
    <w:p w14:paraId="68A6F24D" w14:textId="77777777" w:rsidR="008940B3" w:rsidRPr="00C45C77" w:rsidRDefault="008940B3" w:rsidP="00E858EF">
      <w:pPr>
        <w:pStyle w:val="Paragrafoelenco"/>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C45C77">
        <w:rPr>
          <w:color w:val="000000"/>
          <w:szCs w:val="22"/>
        </w:rPr>
        <w:t>In the area between Mochlos Petras and Praisos</w:t>
      </w:r>
    </w:p>
    <w:p w14:paraId="67AA69AF" w14:textId="77777777" w:rsidR="008940B3" w:rsidRPr="00C45C77"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C45C77">
        <w:rPr>
          <w:color w:val="000000"/>
          <w:szCs w:val="22"/>
        </w:rPr>
        <w:t>Palaikastro is the only cemetery at the Far-East edge of the island. Except for Gra Lygia and Stavrochori, no LM III burials have been found on the southern coast area.</w:t>
      </w:r>
    </w:p>
    <w:p w14:paraId="0FA54621" w14:textId="77777777" w:rsidR="008940B3" w:rsidRDefault="008940B3" w:rsidP="00E858EF">
      <w:pPr>
        <w:pStyle w:val="Titolo4"/>
        <w:keepNext w:val="0"/>
        <w:keepLines w:val="0"/>
        <w:suppressAutoHyphens/>
        <w:ind w:left="864" w:hanging="864"/>
        <w:contextualSpacing w:val="0"/>
      </w:pPr>
      <w:bookmarkStart w:id="416" w:name="_Toc389131211"/>
      <w:bookmarkStart w:id="417" w:name="_Toc517876547"/>
      <w:r w:rsidRPr="004A355F">
        <w:t>Which are the largest cemeteries and the smallest in terms of tomb number</w:t>
      </w:r>
      <w:r>
        <w:t>s</w:t>
      </w:r>
      <w:r w:rsidRPr="004A355F">
        <w:t>?</w:t>
      </w:r>
      <w:bookmarkEnd w:id="416"/>
      <w:bookmarkEnd w:id="417"/>
    </w:p>
    <w:p w14:paraId="52801483" w14:textId="77777777" w:rsidR="008940B3" w:rsidRDefault="008940B3" w:rsidP="00C45C77">
      <w:r>
        <w:t>Regarding the number of</w:t>
      </w:r>
      <w:r w:rsidRPr="003B5C8D">
        <w:t xml:space="preserve"> tombs per cemetery and extension in the </w:t>
      </w:r>
      <w:r>
        <w:t>Far-East</w:t>
      </w:r>
      <w:r w:rsidRPr="003B5C8D">
        <w:t xml:space="preserve"> region</w:t>
      </w:r>
      <w:r>
        <w:t>,</w:t>
      </w:r>
      <w:r w:rsidRPr="003B5C8D">
        <w:t xml:space="preserve"> the cemeteries of Mochlos Limenaria and Palaikastro </w:t>
      </w:r>
      <w:r>
        <w:t>have more than</w:t>
      </w:r>
      <w:r w:rsidRPr="003B5C8D">
        <w:t xml:space="preserve"> </w:t>
      </w:r>
      <w:r>
        <w:t>20</w:t>
      </w:r>
      <w:r w:rsidRPr="003B5C8D">
        <w:t xml:space="preserve"> </w:t>
      </w:r>
      <w:r>
        <w:t xml:space="preserve">preserved </w:t>
      </w:r>
      <w:r w:rsidRPr="003B5C8D">
        <w:t xml:space="preserve">tombs. </w:t>
      </w:r>
      <w:r>
        <w:t>A f</w:t>
      </w:r>
      <w:r w:rsidRPr="003B5C8D">
        <w:t>ew other</w:t>
      </w:r>
      <w:r>
        <w:t xml:space="preserve"> cemeteries have</w:t>
      </w:r>
      <w:r w:rsidRPr="003B5C8D">
        <w:t xml:space="preserve"> more than five</w:t>
      </w:r>
      <w:r>
        <w:t xml:space="preserve"> preserved</w:t>
      </w:r>
      <w:r w:rsidRPr="003B5C8D">
        <w:t xml:space="preserve"> tombs (Myrsini Praisos and Episkopi). The vast majority of cemeteries (76%) have </w:t>
      </w:r>
      <w:r>
        <w:t xml:space="preserve">a </w:t>
      </w:r>
      <w:r w:rsidRPr="003B5C8D">
        <w:t>maximum</w:t>
      </w:r>
      <w:r>
        <w:t xml:space="preserve"> of</w:t>
      </w:r>
      <w:r w:rsidRPr="003B5C8D">
        <w:t xml:space="preserve"> five tombs.</w:t>
      </w:r>
    </w:p>
    <w:p w14:paraId="169FCC18"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0B657AC8"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52820F96" wp14:editId="1D18ABEF">
            <wp:extent cx="5419725" cy="2362200"/>
            <wp:effectExtent l="0" t="0" r="9525" b="0"/>
            <wp:docPr id="36" name="Gra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F23F7C3" w14:textId="51427241" w:rsidR="008940B3" w:rsidRDefault="008940B3" w:rsidP="00E858EF">
      <w:pPr>
        <w:pStyle w:val="Didascalia"/>
        <w:suppressAutoHyphens/>
      </w:pPr>
      <w:bookmarkStart w:id="418" w:name="_Toc520212328"/>
      <w:r>
        <w:t xml:space="preserve">Figure 3-45. </w:t>
      </w:r>
      <w:r w:rsidRPr="00FF04E9">
        <w:t>Number of tombs</w:t>
      </w:r>
      <w:r>
        <w:t xml:space="preserve"> by</w:t>
      </w:r>
      <w:r w:rsidRPr="00FF04E9">
        <w:t xml:space="preserve"> cemetery</w:t>
      </w:r>
      <w:r w:rsidR="005E1C18">
        <w:t>,</w:t>
      </w:r>
      <w:r>
        <w:t xml:space="preserve"> Far-East area</w:t>
      </w:r>
      <w:bookmarkEnd w:id="418"/>
    </w:p>
    <w:p w14:paraId="4FBE6E81" w14:textId="77777777" w:rsidR="00C45C77" w:rsidRPr="00C45C77" w:rsidRDefault="00C45C77" w:rsidP="00C45C77"/>
    <w:p w14:paraId="761B2107" w14:textId="77777777" w:rsidR="008940B3" w:rsidRPr="00676C76" w:rsidRDefault="008940B3" w:rsidP="00E858EF">
      <w:pPr>
        <w:pStyle w:val="Titolo4"/>
        <w:keepNext w:val="0"/>
        <w:keepLines w:val="0"/>
        <w:suppressAutoHyphens/>
        <w:ind w:left="864" w:hanging="864"/>
        <w:contextualSpacing w:val="0"/>
      </w:pPr>
      <w:bookmarkStart w:id="419" w:name="_Toc389131212"/>
      <w:bookmarkStart w:id="420" w:name="_Toc517876548"/>
      <w:r w:rsidRPr="00676C76">
        <w:t>Wh</w:t>
      </w:r>
      <w:r>
        <w:t xml:space="preserve">ich are the tomb types </w:t>
      </w:r>
      <w:r w:rsidRPr="00676C76">
        <w:t>in the cemeter</w:t>
      </w:r>
      <w:r>
        <w:t>ies</w:t>
      </w:r>
      <w:r w:rsidRPr="00676C76">
        <w:t xml:space="preserve"> with larnakes?</w:t>
      </w:r>
      <w:bookmarkEnd w:id="419"/>
      <w:bookmarkEnd w:id="420"/>
      <w:r w:rsidRPr="00676C76">
        <w:t xml:space="preserve"> </w:t>
      </w:r>
    </w:p>
    <w:p w14:paraId="09CEF418" w14:textId="77777777" w:rsidR="008940B3" w:rsidRPr="003B5C8D" w:rsidRDefault="008940B3" w:rsidP="00C45C77">
      <w:r w:rsidRPr="003B5C8D">
        <w:t>Chamber tomb</w:t>
      </w:r>
      <w:r>
        <w:t>s</w:t>
      </w:r>
      <w:r w:rsidRPr="003B5C8D">
        <w:t xml:space="preserve"> </w:t>
      </w:r>
      <w:r>
        <w:t>are</w:t>
      </w:r>
      <w:r w:rsidRPr="003B5C8D">
        <w:t xml:space="preserve"> the most common typology adopted </w:t>
      </w:r>
      <w:r>
        <w:t>(</w:t>
      </w:r>
      <w:r w:rsidRPr="003B5C8D">
        <w:t>72%</w:t>
      </w:r>
      <w:r>
        <w:t>)</w:t>
      </w:r>
      <w:r w:rsidRPr="003B5C8D">
        <w:t xml:space="preserve"> </w:t>
      </w:r>
      <w:r>
        <w:t>in the</w:t>
      </w:r>
      <w:r w:rsidRPr="003B5C8D">
        <w:t xml:space="preserve"> cemeteries, fol</w:t>
      </w:r>
      <w:r>
        <w:t>lo</w:t>
      </w:r>
      <w:r w:rsidRPr="003B5C8D">
        <w:t>wed by corbel</w:t>
      </w:r>
      <w:r>
        <w:t>-</w:t>
      </w:r>
      <w:r w:rsidRPr="003B5C8D">
        <w:t xml:space="preserve">vaulted tombs and rock shelters. The presence of pit burials </w:t>
      </w:r>
      <w:r>
        <w:t>is noted</w:t>
      </w:r>
      <w:r w:rsidRPr="003B5C8D">
        <w:t xml:space="preserve"> at Palaikastro and Mochlos Limenaria (</w:t>
      </w:r>
      <w:r>
        <w:t>though</w:t>
      </w:r>
      <w:r w:rsidRPr="003B5C8D">
        <w:t xml:space="preserve"> not associated with larnax burials</w:t>
      </w:r>
      <w:r>
        <w:t xml:space="preserve"> for the latter</w:t>
      </w:r>
      <w:r w:rsidRPr="003B5C8D">
        <w:t>). At Gournia</w:t>
      </w:r>
      <w:r>
        <w:t>,</w:t>
      </w:r>
      <w:r w:rsidRPr="003B5C8D">
        <w:t xml:space="preserve"> a </w:t>
      </w:r>
      <w:r>
        <w:t>neo-palatial</w:t>
      </w:r>
      <w:r w:rsidRPr="003B5C8D">
        <w:t xml:space="preserve"> house was reused for a larnax burial (Boyd</w:t>
      </w:r>
      <w:r>
        <w:t>-</w:t>
      </w:r>
      <w:r w:rsidRPr="003B5C8D">
        <w:t>Hawes 1908: 46; Langohr 2009:91)</w:t>
      </w:r>
    </w:p>
    <w:p w14:paraId="6376FB95"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66A8ED83" w14:textId="7D261947" w:rsidR="008940B3" w:rsidRPr="00C45C77" w:rsidRDefault="008940B3" w:rsidP="00C45C77">
      <w:pPr>
        <w:pStyle w:val="Testofumetto"/>
      </w:pPr>
      <w:bookmarkStart w:id="421" w:name="_Toc520212558"/>
      <w:r w:rsidRPr="00C45C77">
        <w:t>Table 3</w:t>
      </w:r>
      <w:r w:rsidR="00C45C77">
        <w:t>-</w:t>
      </w:r>
      <w:r w:rsidRPr="00C45C77">
        <w:t>70. Tomb types per cemetery</w:t>
      </w:r>
      <w:r w:rsidR="005E1C18">
        <w:t>,</w:t>
      </w:r>
      <w:r w:rsidRPr="00C45C77">
        <w:t xml:space="preserve"> Far-East area</w:t>
      </w:r>
      <w:bookmarkEnd w:id="421"/>
    </w:p>
    <w:tbl>
      <w:tblPr>
        <w:tblW w:w="8744" w:type="dxa"/>
        <w:tblInd w:w="10" w:type="dxa"/>
        <w:tblCellMar>
          <w:left w:w="70" w:type="dxa"/>
          <w:right w:w="70" w:type="dxa"/>
        </w:tblCellMar>
        <w:tblLook w:val="04A0" w:firstRow="1" w:lastRow="0" w:firstColumn="1" w:lastColumn="0" w:noHBand="0" w:noVBand="1"/>
      </w:tblPr>
      <w:tblGrid>
        <w:gridCol w:w="2045"/>
        <w:gridCol w:w="1046"/>
        <w:gridCol w:w="1126"/>
        <w:gridCol w:w="1129"/>
        <w:gridCol w:w="1074"/>
        <w:gridCol w:w="754"/>
        <w:gridCol w:w="818"/>
        <w:gridCol w:w="752"/>
      </w:tblGrid>
      <w:tr w:rsidR="008940B3" w:rsidRPr="003B5C8D" w14:paraId="1A496BDE" w14:textId="77777777" w:rsidTr="00175938">
        <w:trPr>
          <w:trHeight w:val="20"/>
        </w:trPr>
        <w:tc>
          <w:tcPr>
            <w:tcW w:w="2045" w:type="dxa"/>
            <w:tcBorders>
              <w:top w:val="single" w:sz="6" w:space="0" w:color="000000"/>
              <w:left w:val="single" w:sz="6" w:space="0" w:color="000000"/>
              <w:bottom w:val="single" w:sz="6" w:space="0" w:color="000000"/>
              <w:right w:val="single" w:sz="6" w:space="0" w:color="000000"/>
            </w:tcBorders>
            <w:hideMark/>
          </w:tcPr>
          <w:p w14:paraId="79AC9B65" w14:textId="77777777" w:rsidR="008940B3" w:rsidRPr="003B5C8D" w:rsidRDefault="008940B3" w:rsidP="00E858EF">
            <w:pPr>
              <w:suppressAutoHyphens/>
              <w:spacing w:line="276" w:lineRule="auto"/>
              <w:jc w:val="left"/>
              <w:rPr>
                <w:sz w:val="16"/>
                <w:szCs w:val="16"/>
              </w:rPr>
            </w:pPr>
            <w:r w:rsidRPr="003B5C8D">
              <w:rPr>
                <w:rFonts w:eastAsia="Times New Roman"/>
                <w:b/>
                <w:bCs/>
                <w:color w:val="000000"/>
                <w:sz w:val="16"/>
                <w:szCs w:val="16"/>
              </w:rPr>
              <w:t>CEMETERIES</w:t>
            </w:r>
          </w:p>
        </w:tc>
        <w:tc>
          <w:tcPr>
            <w:tcW w:w="1046" w:type="dxa"/>
            <w:tcBorders>
              <w:top w:val="single" w:sz="6" w:space="0" w:color="000000"/>
              <w:left w:val="single" w:sz="6" w:space="0" w:color="000000"/>
              <w:bottom w:val="single" w:sz="6" w:space="0" w:color="000000"/>
              <w:right w:val="single" w:sz="6" w:space="0" w:color="000000"/>
            </w:tcBorders>
          </w:tcPr>
          <w:p w14:paraId="6DD2659A" w14:textId="77777777" w:rsidR="008940B3" w:rsidRPr="003B5C8D" w:rsidRDefault="008940B3" w:rsidP="00E858EF">
            <w:pPr>
              <w:suppressAutoHyphens/>
              <w:spacing w:line="276" w:lineRule="auto"/>
              <w:jc w:val="center"/>
              <w:rPr>
                <w:color w:val="000000"/>
                <w:sz w:val="16"/>
                <w:szCs w:val="16"/>
              </w:rPr>
            </w:pPr>
            <w:r w:rsidRPr="003B5C8D">
              <w:rPr>
                <w:color w:val="000000"/>
                <w:sz w:val="16"/>
                <w:szCs w:val="16"/>
              </w:rPr>
              <w:t>CHAMBER TOMB</w:t>
            </w:r>
          </w:p>
        </w:tc>
        <w:tc>
          <w:tcPr>
            <w:tcW w:w="1126" w:type="dxa"/>
            <w:tcBorders>
              <w:top w:val="single" w:sz="6" w:space="0" w:color="000000"/>
              <w:left w:val="single" w:sz="6" w:space="0" w:color="000000"/>
              <w:bottom w:val="single" w:sz="6" w:space="0" w:color="000000"/>
              <w:right w:val="single" w:sz="6" w:space="0" w:color="000000"/>
            </w:tcBorders>
            <w:hideMark/>
          </w:tcPr>
          <w:p w14:paraId="3B90C526" w14:textId="77777777" w:rsidR="008940B3" w:rsidRPr="003B5C8D" w:rsidRDefault="008940B3" w:rsidP="00E858EF">
            <w:pPr>
              <w:suppressAutoHyphens/>
              <w:spacing w:line="276" w:lineRule="auto"/>
              <w:jc w:val="center"/>
              <w:rPr>
                <w:sz w:val="16"/>
                <w:szCs w:val="16"/>
              </w:rPr>
            </w:pPr>
            <w:r w:rsidRPr="003B5C8D">
              <w:rPr>
                <w:color w:val="000000"/>
                <w:sz w:val="16"/>
                <w:szCs w:val="16"/>
              </w:rPr>
              <w:t>CORBEL VAULTED</w:t>
            </w:r>
          </w:p>
        </w:tc>
        <w:tc>
          <w:tcPr>
            <w:tcW w:w="1129" w:type="dxa"/>
            <w:tcBorders>
              <w:top w:val="single" w:sz="6" w:space="0" w:color="000000"/>
              <w:left w:val="single" w:sz="6" w:space="0" w:color="000000"/>
              <w:bottom w:val="single" w:sz="6" w:space="0" w:color="000000"/>
              <w:right w:val="single" w:sz="6" w:space="0" w:color="000000"/>
            </w:tcBorders>
          </w:tcPr>
          <w:p w14:paraId="3BE8148D" w14:textId="77777777" w:rsidR="008940B3" w:rsidRPr="003B5C8D" w:rsidRDefault="008940B3" w:rsidP="00E858EF">
            <w:pPr>
              <w:suppressAutoHyphens/>
              <w:spacing w:line="276" w:lineRule="auto"/>
              <w:jc w:val="center"/>
              <w:rPr>
                <w:color w:val="000000"/>
                <w:sz w:val="16"/>
                <w:szCs w:val="16"/>
              </w:rPr>
            </w:pPr>
            <w:r w:rsidRPr="003B5C8D">
              <w:rPr>
                <w:color w:val="000000"/>
                <w:sz w:val="16"/>
                <w:szCs w:val="16"/>
              </w:rPr>
              <w:t>CAVE/ROCK SHELTER</w:t>
            </w:r>
          </w:p>
        </w:tc>
        <w:tc>
          <w:tcPr>
            <w:tcW w:w="1074" w:type="dxa"/>
            <w:tcBorders>
              <w:top w:val="single" w:sz="6" w:space="0" w:color="000000"/>
              <w:left w:val="single" w:sz="6" w:space="0" w:color="000000"/>
              <w:bottom w:val="single" w:sz="6" w:space="0" w:color="000000"/>
              <w:right w:val="single" w:sz="6" w:space="0" w:color="000000"/>
            </w:tcBorders>
          </w:tcPr>
          <w:p w14:paraId="51694594" w14:textId="77777777" w:rsidR="008940B3" w:rsidRPr="003B5C8D" w:rsidRDefault="008940B3" w:rsidP="00E858EF">
            <w:pPr>
              <w:suppressAutoHyphens/>
              <w:spacing w:line="276" w:lineRule="auto"/>
              <w:jc w:val="center"/>
              <w:rPr>
                <w:color w:val="000000"/>
                <w:sz w:val="16"/>
                <w:szCs w:val="16"/>
              </w:rPr>
            </w:pPr>
            <w:r w:rsidRPr="003B5C8D">
              <w:rPr>
                <w:color w:val="000000"/>
                <w:sz w:val="16"/>
                <w:szCs w:val="16"/>
              </w:rPr>
              <w:t>DISUSED STRUCTURE</w:t>
            </w:r>
          </w:p>
        </w:tc>
        <w:tc>
          <w:tcPr>
            <w:tcW w:w="754" w:type="dxa"/>
            <w:tcBorders>
              <w:top w:val="single" w:sz="6" w:space="0" w:color="000000"/>
              <w:left w:val="single" w:sz="6" w:space="0" w:color="000000"/>
              <w:bottom w:val="single" w:sz="6" w:space="0" w:color="000000"/>
              <w:right w:val="single" w:sz="6" w:space="0" w:color="000000"/>
            </w:tcBorders>
          </w:tcPr>
          <w:p w14:paraId="4E9F2F3C" w14:textId="77777777" w:rsidR="008940B3" w:rsidRPr="003B5C8D" w:rsidRDefault="008940B3" w:rsidP="00E858EF">
            <w:pPr>
              <w:suppressAutoHyphens/>
              <w:spacing w:line="276" w:lineRule="auto"/>
              <w:jc w:val="center"/>
              <w:rPr>
                <w:color w:val="000000"/>
                <w:sz w:val="16"/>
                <w:szCs w:val="16"/>
              </w:rPr>
            </w:pPr>
            <w:r w:rsidRPr="003B5C8D">
              <w:rPr>
                <w:color w:val="000000"/>
                <w:sz w:val="16"/>
                <w:szCs w:val="16"/>
              </w:rPr>
              <w:t>PIT</w:t>
            </w:r>
          </w:p>
        </w:tc>
        <w:tc>
          <w:tcPr>
            <w:tcW w:w="818" w:type="dxa"/>
            <w:tcBorders>
              <w:top w:val="single" w:sz="6" w:space="0" w:color="000000"/>
              <w:left w:val="single" w:sz="6" w:space="0" w:color="000000"/>
              <w:bottom w:val="single" w:sz="6" w:space="0" w:color="000000"/>
              <w:right w:val="single" w:sz="6" w:space="0" w:color="000000"/>
            </w:tcBorders>
          </w:tcPr>
          <w:p w14:paraId="4BE3DCEC" w14:textId="77777777" w:rsidR="008940B3" w:rsidRPr="003B5C8D" w:rsidRDefault="008940B3" w:rsidP="00E858EF">
            <w:pPr>
              <w:suppressAutoHyphens/>
              <w:spacing w:line="276" w:lineRule="auto"/>
              <w:jc w:val="center"/>
              <w:rPr>
                <w:color w:val="000000"/>
                <w:sz w:val="16"/>
                <w:szCs w:val="16"/>
              </w:rPr>
            </w:pPr>
            <w:r w:rsidRPr="003B5C8D">
              <w:rPr>
                <w:color w:val="000000"/>
                <w:sz w:val="16"/>
                <w:szCs w:val="16"/>
              </w:rPr>
              <w:t>SHAFT GRAVE</w:t>
            </w:r>
          </w:p>
        </w:tc>
        <w:tc>
          <w:tcPr>
            <w:tcW w:w="752" w:type="dxa"/>
            <w:tcBorders>
              <w:top w:val="single" w:sz="6" w:space="0" w:color="000000"/>
              <w:left w:val="single" w:sz="6" w:space="0" w:color="000000"/>
              <w:bottom w:val="single" w:sz="6" w:space="0" w:color="000000"/>
              <w:right w:val="single" w:sz="6" w:space="0" w:color="000000"/>
            </w:tcBorders>
          </w:tcPr>
          <w:p w14:paraId="7F9F388D" w14:textId="77777777" w:rsidR="008940B3" w:rsidRPr="003B5C8D" w:rsidRDefault="008940B3" w:rsidP="00E858EF">
            <w:pPr>
              <w:suppressAutoHyphens/>
              <w:spacing w:line="276" w:lineRule="auto"/>
              <w:jc w:val="center"/>
              <w:rPr>
                <w:color w:val="000000"/>
                <w:sz w:val="16"/>
                <w:szCs w:val="16"/>
              </w:rPr>
            </w:pPr>
            <w:r w:rsidRPr="003B5C8D">
              <w:rPr>
                <w:color w:val="000000"/>
                <w:sz w:val="16"/>
                <w:szCs w:val="16"/>
              </w:rPr>
              <w:t>NA</w:t>
            </w:r>
          </w:p>
        </w:tc>
      </w:tr>
      <w:tr w:rsidR="008940B3" w:rsidRPr="003B5C8D" w14:paraId="57DFAAB8"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DBBD3D5" w14:textId="77777777" w:rsidR="008940B3" w:rsidRPr="003B5C8D" w:rsidRDefault="008940B3" w:rsidP="00E858EF">
            <w:pPr>
              <w:suppressAutoHyphens/>
              <w:spacing w:line="276" w:lineRule="auto"/>
              <w:jc w:val="left"/>
              <w:rPr>
                <w:sz w:val="16"/>
                <w:szCs w:val="16"/>
              </w:rPr>
            </w:pPr>
            <w:r w:rsidRPr="003B5C8D">
              <w:rPr>
                <w:rFonts w:eastAsia="Times New Roman"/>
                <w:color w:val="000000"/>
                <w:sz w:val="16"/>
                <w:szCs w:val="16"/>
              </w:rPr>
              <w:t>ACHLADIA</w:t>
            </w:r>
          </w:p>
        </w:tc>
        <w:tc>
          <w:tcPr>
            <w:tcW w:w="1046" w:type="dxa"/>
            <w:tcBorders>
              <w:top w:val="single" w:sz="6" w:space="0" w:color="000000"/>
              <w:left w:val="single" w:sz="6" w:space="0" w:color="000000"/>
              <w:bottom w:val="single" w:sz="6" w:space="0" w:color="000000"/>
              <w:right w:val="single" w:sz="6" w:space="0" w:color="000000"/>
            </w:tcBorders>
            <w:shd w:val="clear" w:color="auto" w:fill="EFEFEF"/>
          </w:tcPr>
          <w:p w14:paraId="79BA3DFC"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78E8E1CE"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9" w:type="dxa"/>
            <w:tcBorders>
              <w:top w:val="single" w:sz="6" w:space="0" w:color="000000"/>
              <w:left w:val="single" w:sz="6" w:space="0" w:color="000000"/>
              <w:bottom w:val="single" w:sz="6" w:space="0" w:color="000000"/>
              <w:right w:val="single" w:sz="6" w:space="0" w:color="000000"/>
            </w:tcBorders>
            <w:shd w:val="clear" w:color="auto" w:fill="EFEFEF"/>
          </w:tcPr>
          <w:p w14:paraId="192BA662"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shd w:val="clear" w:color="auto" w:fill="EFEFEF"/>
          </w:tcPr>
          <w:p w14:paraId="3A9AAB89"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shd w:val="clear" w:color="auto" w:fill="EFEFEF"/>
          </w:tcPr>
          <w:p w14:paraId="5AB36782"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shd w:val="clear" w:color="auto" w:fill="EFEFEF"/>
          </w:tcPr>
          <w:p w14:paraId="2F96BDAB"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shd w:val="clear" w:color="auto" w:fill="EFEFEF"/>
          </w:tcPr>
          <w:p w14:paraId="44F721FC" w14:textId="77777777" w:rsidR="008940B3" w:rsidRPr="003B5C8D" w:rsidRDefault="008940B3" w:rsidP="00E858EF">
            <w:pPr>
              <w:suppressAutoHyphens/>
              <w:spacing w:line="276" w:lineRule="auto"/>
              <w:jc w:val="center"/>
              <w:rPr>
                <w:color w:val="000000"/>
                <w:sz w:val="16"/>
                <w:szCs w:val="16"/>
              </w:rPr>
            </w:pPr>
          </w:p>
        </w:tc>
      </w:tr>
      <w:tr w:rsidR="008940B3" w:rsidRPr="003B5C8D" w14:paraId="7211FBD6"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AA53D72" w14:textId="77777777" w:rsidR="008940B3" w:rsidRPr="003B5C8D" w:rsidRDefault="008940B3" w:rsidP="00E858EF">
            <w:pPr>
              <w:suppressAutoHyphens/>
              <w:spacing w:line="276" w:lineRule="auto"/>
              <w:jc w:val="left"/>
              <w:rPr>
                <w:sz w:val="16"/>
                <w:szCs w:val="16"/>
              </w:rPr>
            </w:pPr>
            <w:r w:rsidRPr="003B5C8D">
              <w:rPr>
                <w:rFonts w:eastAsia="Times New Roman"/>
                <w:color w:val="000000"/>
                <w:sz w:val="16"/>
                <w:szCs w:val="16"/>
              </w:rPr>
              <w:t>ADROMYLOI</w:t>
            </w:r>
          </w:p>
        </w:tc>
        <w:tc>
          <w:tcPr>
            <w:tcW w:w="1046" w:type="dxa"/>
            <w:tcBorders>
              <w:top w:val="single" w:sz="6" w:space="0" w:color="000000"/>
              <w:left w:val="single" w:sz="6" w:space="0" w:color="000000"/>
              <w:bottom w:val="single" w:sz="6" w:space="0" w:color="000000"/>
              <w:right w:val="single" w:sz="6" w:space="0" w:color="000000"/>
            </w:tcBorders>
          </w:tcPr>
          <w:p w14:paraId="703307C4"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0BDE3BC"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tcPr>
          <w:p w14:paraId="3FD6951D"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tcPr>
          <w:p w14:paraId="26235014"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33C3E13D"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7CA4B00E"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5503138D"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sz w:val="16"/>
                <w:szCs w:val="16"/>
              </w:rPr>
              <w:t>✓</w:t>
            </w:r>
          </w:p>
        </w:tc>
      </w:tr>
      <w:tr w:rsidR="008940B3" w:rsidRPr="003B5C8D" w14:paraId="36774207"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36F724FF" w14:textId="77777777" w:rsidR="008940B3" w:rsidRPr="003B5C8D" w:rsidRDefault="008940B3" w:rsidP="00E858EF">
            <w:pPr>
              <w:suppressAutoHyphens/>
              <w:spacing w:line="276" w:lineRule="auto"/>
              <w:jc w:val="left"/>
              <w:rPr>
                <w:sz w:val="16"/>
                <w:szCs w:val="16"/>
              </w:rPr>
            </w:pPr>
            <w:r w:rsidRPr="003B5C8D">
              <w:rPr>
                <w:rFonts w:eastAsia="Times New Roman"/>
                <w:color w:val="000000"/>
                <w:sz w:val="16"/>
                <w:szCs w:val="16"/>
              </w:rPr>
              <w:t>BERATI PISKOKEPHALO</w:t>
            </w:r>
          </w:p>
        </w:tc>
        <w:tc>
          <w:tcPr>
            <w:tcW w:w="1046" w:type="dxa"/>
            <w:tcBorders>
              <w:top w:val="single" w:sz="6" w:space="0" w:color="000000"/>
              <w:left w:val="single" w:sz="6" w:space="0" w:color="000000"/>
              <w:bottom w:val="single" w:sz="6" w:space="0" w:color="000000"/>
              <w:right w:val="single" w:sz="6" w:space="0" w:color="000000"/>
            </w:tcBorders>
            <w:shd w:val="clear" w:color="auto" w:fill="EFEFEF"/>
          </w:tcPr>
          <w:p w14:paraId="425325F9"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AE4AB69"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shd w:val="clear" w:color="auto" w:fill="EFEFEF"/>
          </w:tcPr>
          <w:p w14:paraId="0190887B"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shd w:val="clear" w:color="auto" w:fill="EFEFEF"/>
          </w:tcPr>
          <w:p w14:paraId="20D0860A"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shd w:val="clear" w:color="auto" w:fill="EFEFEF"/>
          </w:tcPr>
          <w:p w14:paraId="7AB2FFAD"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shd w:val="clear" w:color="auto" w:fill="EFEFEF"/>
          </w:tcPr>
          <w:p w14:paraId="40079795"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shd w:val="clear" w:color="auto" w:fill="EFEFEF"/>
          </w:tcPr>
          <w:p w14:paraId="7E4EF76E" w14:textId="77777777" w:rsidR="008940B3" w:rsidRPr="003B5C8D" w:rsidRDefault="008940B3" w:rsidP="00E858EF">
            <w:pPr>
              <w:suppressAutoHyphens/>
              <w:spacing w:line="276" w:lineRule="auto"/>
              <w:jc w:val="center"/>
              <w:rPr>
                <w:color w:val="000000"/>
                <w:sz w:val="16"/>
                <w:szCs w:val="16"/>
              </w:rPr>
            </w:pPr>
          </w:p>
        </w:tc>
      </w:tr>
      <w:tr w:rsidR="008940B3" w:rsidRPr="003B5C8D" w14:paraId="789B414D"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82CE52E" w14:textId="77777777" w:rsidR="008940B3" w:rsidRPr="003B5C8D" w:rsidRDefault="008940B3" w:rsidP="00E858EF">
            <w:pPr>
              <w:suppressAutoHyphens/>
              <w:spacing w:line="276" w:lineRule="auto"/>
              <w:jc w:val="left"/>
              <w:rPr>
                <w:sz w:val="16"/>
                <w:szCs w:val="16"/>
              </w:rPr>
            </w:pPr>
            <w:r w:rsidRPr="003B5C8D">
              <w:rPr>
                <w:rFonts w:eastAsia="Times New Roman"/>
                <w:color w:val="000000"/>
                <w:sz w:val="16"/>
                <w:szCs w:val="16"/>
              </w:rPr>
              <w:t>CHALEPA</w:t>
            </w:r>
          </w:p>
        </w:tc>
        <w:tc>
          <w:tcPr>
            <w:tcW w:w="1046" w:type="dxa"/>
            <w:tcBorders>
              <w:top w:val="single" w:sz="6" w:space="0" w:color="000000"/>
              <w:left w:val="single" w:sz="6" w:space="0" w:color="000000"/>
              <w:bottom w:val="single" w:sz="6" w:space="0" w:color="000000"/>
              <w:right w:val="single" w:sz="6" w:space="0" w:color="000000"/>
            </w:tcBorders>
          </w:tcPr>
          <w:p w14:paraId="0D60D900"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7718CD2"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tcPr>
          <w:p w14:paraId="3A343A7E"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tcPr>
          <w:p w14:paraId="00B4C453"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31DC61BF"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6E9E9BB3"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55C81A06" w14:textId="77777777" w:rsidR="008940B3" w:rsidRPr="003B5C8D" w:rsidRDefault="008940B3" w:rsidP="00E858EF">
            <w:pPr>
              <w:suppressAutoHyphens/>
              <w:spacing w:line="276" w:lineRule="auto"/>
              <w:jc w:val="center"/>
              <w:rPr>
                <w:color w:val="000000"/>
                <w:sz w:val="16"/>
                <w:szCs w:val="16"/>
              </w:rPr>
            </w:pPr>
          </w:p>
        </w:tc>
      </w:tr>
      <w:tr w:rsidR="008940B3" w:rsidRPr="003B5C8D" w14:paraId="22EAC41B"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7725211A" w14:textId="77777777" w:rsidR="008940B3" w:rsidRPr="003B5C8D" w:rsidRDefault="008940B3" w:rsidP="00E858EF">
            <w:pPr>
              <w:suppressAutoHyphens/>
              <w:spacing w:line="276" w:lineRule="auto"/>
              <w:jc w:val="left"/>
              <w:rPr>
                <w:sz w:val="16"/>
                <w:szCs w:val="16"/>
              </w:rPr>
            </w:pPr>
            <w:r w:rsidRPr="003B5C8D">
              <w:rPr>
                <w:rFonts w:eastAsia="Times New Roman"/>
                <w:color w:val="000000"/>
                <w:sz w:val="16"/>
                <w:szCs w:val="16"/>
              </w:rPr>
              <w:t>ELLINIKA</w:t>
            </w:r>
          </w:p>
        </w:tc>
        <w:tc>
          <w:tcPr>
            <w:tcW w:w="1046" w:type="dxa"/>
            <w:tcBorders>
              <w:top w:val="single" w:sz="6" w:space="0" w:color="000000"/>
              <w:left w:val="single" w:sz="6" w:space="0" w:color="000000"/>
              <w:bottom w:val="single" w:sz="6" w:space="0" w:color="000000"/>
              <w:right w:val="single" w:sz="6" w:space="0" w:color="000000"/>
            </w:tcBorders>
            <w:shd w:val="clear" w:color="auto" w:fill="EFEFEF"/>
          </w:tcPr>
          <w:p w14:paraId="6673E5A5"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73DC6E2"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shd w:val="clear" w:color="auto" w:fill="EFEFEF"/>
          </w:tcPr>
          <w:p w14:paraId="68037AB4" w14:textId="77777777" w:rsidR="008940B3" w:rsidRPr="003B5C8D" w:rsidRDefault="008940B3" w:rsidP="00E858EF">
            <w:pPr>
              <w:suppressAutoHyphens/>
              <w:spacing w:line="276" w:lineRule="auto"/>
              <w:jc w:val="center"/>
              <w:rPr>
                <w:sz w:val="16"/>
                <w:szCs w:val="16"/>
              </w:rPr>
            </w:pPr>
          </w:p>
        </w:tc>
        <w:tc>
          <w:tcPr>
            <w:tcW w:w="1074" w:type="dxa"/>
            <w:tcBorders>
              <w:top w:val="single" w:sz="6" w:space="0" w:color="000000"/>
              <w:left w:val="single" w:sz="6" w:space="0" w:color="000000"/>
              <w:bottom w:val="single" w:sz="6" w:space="0" w:color="000000"/>
              <w:right w:val="single" w:sz="6" w:space="0" w:color="000000"/>
            </w:tcBorders>
            <w:shd w:val="clear" w:color="auto" w:fill="EFEFEF"/>
          </w:tcPr>
          <w:p w14:paraId="68874AD7" w14:textId="77777777" w:rsidR="008940B3" w:rsidRPr="003B5C8D" w:rsidRDefault="008940B3" w:rsidP="00E858EF">
            <w:pPr>
              <w:suppressAutoHyphens/>
              <w:spacing w:line="276" w:lineRule="auto"/>
              <w:jc w:val="center"/>
              <w:rPr>
                <w:sz w:val="16"/>
                <w:szCs w:val="16"/>
              </w:rPr>
            </w:pPr>
          </w:p>
        </w:tc>
        <w:tc>
          <w:tcPr>
            <w:tcW w:w="754" w:type="dxa"/>
            <w:tcBorders>
              <w:top w:val="single" w:sz="6" w:space="0" w:color="000000"/>
              <w:left w:val="single" w:sz="6" w:space="0" w:color="000000"/>
              <w:bottom w:val="single" w:sz="6" w:space="0" w:color="000000"/>
              <w:right w:val="single" w:sz="6" w:space="0" w:color="000000"/>
            </w:tcBorders>
            <w:shd w:val="clear" w:color="auto" w:fill="EFEFEF"/>
          </w:tcPr>
          <w:p w14:paraId="294F1930" w14:textId="77777777" w:rsidR="008940B3" w:rsidRPr="003B5C8D" w:rsidRDefault="008940B3" w:rsidP="00E858EF">
            <w:pPr>
              <w:suppressAutoHyphens/>
              <w:spacing w:line="276" w:lineRule="auto"/>
              <w:jc w:val="center"/>
              <w:rPr>
                <w:sz w:val="16"/>
                <w:szCs w:val="16"/>
              </w:rPr>
            </w:pPr>
          </w:p>
        </w:tc>
        <w:tc>
          <w:tcPr>
            <w:tcW w:w="818" w:type="dxa"/>
            <w:tcBorders>
              <w:top w:val="single" w:sz="6" w:space="0" w:color="000000"/>
              <w:left w:val="single" w:sz="6" w:space="0" w:color="000000"/>
              <w:bottom w:val="single" w:sz="6" w:space="0" w:color="000000"/>
              <w:right w:val="single" w:sz="6" w:space="0" w:color="000000"/>
            </w:tcBorders>
            <w:shd w:val="clear" w:color="auto" w:fill="EFEFEF"/>
          </w:tcPr>
          <w:p w14:paraId="5A85FC4F" w14:textId="77777777" w:rsidR="008940B3" w:rsidRPr="003B5C8D" w:rsidRDefault="008940B3" w:rsidP="00E858EF">
            <w:pPr>
              <w:suppressAutoHyphens/>
              <w:spacing w:line="276" w:lineRule="auto"/>
              <w:jc w:val="center"/>
              <w:rPr>
                <w:sz w:val="16"/>
                <w:szCs w:val="16"/>
              </w:rPr>
            </w:pPr>
          </w:p>
        </w:tc>
        <w:tc>
          <w:tcPr>
            <w:tcW w:w="752" w:type="dxa"/>
            <w:tcBorders>
              <w:top w:val="single" w:sz="6" w:space="0" w:color="000000"/>
              <w:left w:val="single" w:sz="6" w:space="0" w:color="000000"/>
              <w:bottom w:val="single" w:sz="6" w:space="0" w:color="000000"/>
              <w:right w:val="single" w:sz="6" w:space="0" w:color="000000"/>
            </w:tcBorders>
            <w:shd w:val="clear" w:color="auto" w:fill="EFEFEF"/>
          </w:tcPr>
          <w:p w14:paraId="612D538A" w14:textId="77777777" w:rsidR="008940B3" w:rsidRPr="003B5C8D" w:rsidRDefault="008940B3" w:rsidP="00E858EF">
            <w:pPr>
              <w:suppressAutoHyphens/>
              <w:spacing w:line="276" w:lineRule="auto"/>
              <w:jc w:val="center"/>
              <w:rPr>
                <w:sz w:val="16"/>
                <w:szCs w:val="16"/>
              </w:rPr>
            </w:pPr>
          </w:p>
        </w:tc>
      </w:tr>
      <w:tr w:rsidR="008940B3" w:rsidRPr="003B5C8D" w14:paraId="31724437"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371F3A9" w14:textId="77777777" w:rsidR="008940B3" w:rsidRPr="003B5C8D" w:rsidRDefault="008940B3" w:rsidP="00E858EF">
            <w:pPr>
              <w:suppressAutoHyphens/>
              <w:spacing w:line="276" w:lineRule="auto"/>
              <w:jc w:val="left"/>
              <w:rPr>
                <w:sz w:val="16"/>
                <w:szCs w:val="16"/>
              </w:rPr>
            </w:pPr>
            <w:r w:rsidRPr="003B5C8D">
              <w:rPr>
                <w:rFonts w:eastAsia="Times New Roman"/>
                <w:color w:val="000000"/>
                <w:sz w:val="16"/>
                <w:szCs w:val="16"/>
              </w:rPr>
              <w:t>EPISKOPI IERAPETRA</w:t>
            </w:r>
          </w:p>
        </w:tc>
        <w:tc>
          <w:tcPr>
            <w:tcW w:w="1046" w:type="dxa"/>
            <w:tcBorders>
              <w:top w:val="single" w:sz="6" w:space="0" w:color="000000"/>
              <w:left w:val="single" w:sz="6" w:space="0" w:color="000000"/>
              <w:bottom w:val="single" w:sz="6" w:space="0" w:color="000000"/>
              <w:right w:val="single" w:sz="6" w:space="0" w:color="000000"/>
            </w:tcBorders>
          </w:tcPr>
          <w:p w14:paraId="659D688B"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2C087A4" w14:textId="77777777" w:rsidR="008940B3" w:rsidRPr="003B5C8D" w:rsidRDefault="008940B3" w:rsidP="00E858EF">
            <w:pPr>
              <w:suppressAutoHyphens/>
              <w:spacing w:line="276" w:lineRule="auto"/>
              <w:jc w:val="center"/>
              <w:rPr>
                <w:sz w:val="16"/>
                <w:szCs w:val="16"/>
                <w:highlight w:val="yellow"/>
              </w:rPr>
            </w:pPr>
          </w:p>
        </w:tc>
        <w:tc>
          <w:tcPr>
            <w:tcW w:w="1129" w:type="dxa"/>
            <w:tcBorders>
              <w:top w:val="single" w:sz="6" w:space="0" w:color="000000"/>
              <w:left w:val="single" w:sz="6" w:space="0" w:color="000000"/>
              <w:bottom w:val="single" w:sz="6" w:space="0" w:color="000000"/>
              <w:right w:val="single" w:sz="6" w:space="0" w:color="000000"/>
            </w:tcBorders>
          </w:tcPr>
          <w:p w14:paraId="0F20950B" w14:textId="77777777" w:rsidR="008940B3" w:rsidRPr="003B5C8D" w:rsidRDefault="008940B3" w:rsidP="00E858EF">
            <w:pPr>
              <w:suppressAutoHyphens/>
              <w:spacing w:line="276" w:lineRule="auto"/>
              <w:jc w:val="center"/>
              <w:rPr>
                <w:color w:val="000000"/>
                <w:sz w:val="16"/>
                <w:szCs w:val="16"/>
                <w:highlight w:val="yellow"/>
              </w:rPr>
            </w:pPr>
          </w:p>
        </w:tc>
        <w:tc>
          <w:tcPr>
            <w:tcW w:w="1074" w:type="dxa"/>
            <w:tcBorders>
              <w:top w:val="single" w:sz="6" w:space="0" w:color="000000"/>
              <w:left w:val="single" w:sz="6" w:space="0" w:color="000000"/>
              <w:bottom w:val="single" w:sz="6" w:space="0" w:color="000000"/>
              <w:right w:val="single" w:sz="6" w:space="0" w:color="000000"/>
            </w:tcBorders>
          </w:tcPr>
          <w:p w14:paraId="70028123"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2B211A1F"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2FF3DB39"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392DE9E2"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r>
      <w:tr w:rsidR="008940B3" w:rsidRPr="003B5C8D" w14:paraId="6DB6BF47"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07AFC5E7" w14:textId="77777777" w:rsidR="008940B3" w:rsidRPr="003B5C8D" w:rsidRDefault="008940B3" w:rsidP="00E858EF">
            <w:pPr>
              <w:suppressAutoHyphens/>
              <w:spacing w:line="276" w:lineRule="auto"/>
              <w:jc w:val="left"/>
              <w:rPr>
                <w:sz w:val="16"/>
                <w:szCs w:val="16"/>
              </w:rPr>
            </w:pPr>
            <w:r w:rsidRPr="003B5C8D">
              <w:rPr>
                <w:rFonts w:eastAsia="Times New Roman"/>
                <w:color w:val="000000"/>
                <w:sz w:val="16"/>
                <w:szCs w:val="16"/>
              </w:rPr>
              <w:t>GOURNIA</w:t>
            </w:r>
          </w:p>
        </w:tc>
        <w:tc>
          <w:tcPr>
            <w:tcW w:w="1046" w:type="dxa"/>
            <w:tcBorders>
              <w:top w:val="single" w:sz="6" w:space="0" w:color="000000"/>
              <w:left w:val="single" w:sz="6" w:space="0" w:color="000000"/>
              <w:bottom w:val="single" w:sz="6" w:space="0" w:color="000000"/>
              <w:right w:val="single" w:sz="6" w:space="0" w:color="000000"/>
            </w:tcBorders>
            <w:shd w:val="clear" w:color="auto" w:fill="EFEFEF"/>
          </w:tcPr>
          <w:p w14:paraId="7D47F32D"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shd w:val="clear" w:color="auto" w:fill="EFEFEF"/>
            <w:tcMar>
              <w:top w:w="60" w:type="dxa"/>
              <w:left w:w="60" w:type="dxa"/>
              <w:bottom w:w="60" w:type="dxa"/>
              <w:right w:w="60" w:type="dxa"/>
            </w:tcMar>
            <w:hideMark/>
          </w:tcPr>
          <w:p w14:paraId="4C48F165"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shd w:val="clear" w:color="auto" w:fill="EFEFEF"/>
          </w:tcPr>
          <w:p w14:paraId="256186D6"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shd w:val="clear" w:color="auto" w:fill="EFEFEF"/>
          </w:tcPr>
          <w:p w14:paraId="297E7CBC"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754" w:type="dxa"/>
            <w:tcBorders>
              <w:top w:val="single" w:sz="6" w:space="0" w:color="000000"/>
              <w:left w:val="single" w:sz="6" w:space="0" w:color="000000"/>
              <w:bottom w:val="single" w:sz="6" w:space="0" w:color="000000"/>
              <w:right w:val="single" w:sz="6" w:space="0" w:color="000000"/>
            </w:tcBorders>
            <w:shd w:val="clear" w:color="auto" w:fill="EFEFEF"/>
          </w:tcPr>
          <w:p w14:paraId="74840C97"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shd w:val="clear" w:color="auto" w:fill="EFEFEF"/>
          </w:tcPr>
          <w:p w14:paraId="08E3E3F6"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shd w:val="clear" w:color="auto" w:fill="EFEFEF"/>
          </w:tcPr>
          <w:p w14:paraId="29AD0572"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r>
      <w:tr w:rsidR="008940B3" w:rsidRPr="003B5C8D" w14:paraId="1AD45D97"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6D4F0F8" w14:textId="77777777" w:rsidR="008940B3" w:rsidRPr="003B5C8D" w:rsidRDefault="008940B3" w:rsidP="00E858EF">
            <w:pPr>
              <w:suppressAutoHyphens/>
              <w:spacing w:line="276" w:lineRule="auto"/>
              <w:jc w:val="left"/>
              <w:rPr>
                <w:sz w:val="16"/>
                <w:szCs w:val="16"/>
              </w:rPr>
            </w:pPr>
            <w:r w:rsidRPr="003B5C8D">
              <w:rPr>
                <w:rFonts w:eastAsia="Times New Roman"/>
                <w:color w:val="000000"/>
                <w:sz w:val="16"/>
                <w:szCs w:val="16"/>
              </w:rPr>
              <w:t>GRA LYGIA</w:t>
            </w:r>
          </w:p>
        </w:tc>
        <w:tc>
          <w:tcPr>
            <w:tcW w:w="1046" w:type="dxa"/>
            <w:tcBorders>
              <w:top w:val="single" w:sz="6" w:space="0" w:color="000000"/>
              <w:left w:val="single" w:sz="6" w:space="0" w:color="000000"/>
              <w:bottom w:val="single" w:sz="6" w:space="0" w:color="000000"/>
              <w:right w:val="single" w:sz="6" w:space="0" w:color="000000"/>
            </w:tcBorders>
          </w:tcPr>
          <w:p w14:paraId="022D1C69"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7A7921B"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tcPr>
          <w:p w14:paraId="129CE4DD"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tcPr>
          <w:p w14:paraId="2804AE9B"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56AB2C40"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7FCD7913"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08AAC857" w14:textId="77777777" w:rsidR="008940B3" w:rsidRPr="003B5C8D" w:rsidRDefault="008940B3" w:rsidP="00E858EF">
            <w:pPr>
              <w:suppressAutoHyphens/>
              <w:spacing w:line="276" w:lineRule="auto"/>
              <w:jc w:val="center"/>
              <w:rPr>
                <w:color w:val="000000"/>
                <w:sz w:val="16"/>
                <w:szCs w:val="16"/>
              </w:rPr>
            </w:pPr>
          </w:p>
        </w:tc>
      </w:tr>
      <w:tr w:rsidR="008940B3" w:rsidRPr="003B5C8D" w14:paraId="24E9B248"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017353B" w14:textId="77777777" w:rsidR="008940B3" w:rsidRPr="003B5C8D" w:rsidRDefault="008940B3" w:rsidP="00E858EF">
            <w:pPr>
              <w:suppressAutoHyphens/>
              <w:spacing w:line="276" w:lineRule="auto"/>
              <w:jc w:val="left"/>
              <w:rPr>
                <w:sz w:val="16"/>
                <w:szCs w:val="16"/>
              </w:rPr>
            </w:pPr>
            <w:r w:rsidRPr="003B5C8D">
              <w:rPr>
                <w:rFonts w:eastAsia="Times New Roman"/>
                <w:color w:val="000000"/>
                <w:sz w:val="16"/>
                <w:szCs w:val="16"/>
              </w:rPr>
              <w:t>KALO CHORIO GOULA</w:t>
            </w:r>
          </w:p>
        </w:tc>
        <w:tc>
          <w:tcPr>
            <w:tcW w:w="1046" w:type="dxa"/>
            <w:tcBorders>
              <w:top w:val="single" w:sz="6" w:space="0" w:color="000000"/>
              <w:left w:val="single" w:sz="6" w:space="0" w:color="000000"/>
              <w:bottom w:val="single" w:sz="6" w:space="0" w:color="000000"/>
              <w:right w:val="single" w:sz="6" w:space="0" w:color="000000"/>
            </w:tcBorders>
          </w:tcPr>
          <w:p w14:paraId="75620E4B" w14:textId="77777777" w:rsidR="008940B3" w:rsidRPr="003B5C8D" w:rsidRDefault="008940B3" w:rsidP="00E858EF">
            <w:pPr>
              <w:suppressAutoHyphens/>
              <w:spacing w:line="276" w:lineRule="auto"/>
              <w:jc w:val="center"/>
              <w:rPr>
                <w:sz w:val="16"/>
                <w:szCs w:val="16"/>
              </w:rPr>
            </w:pP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DCB48BC"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tcPr>
          <w:p w14:paraId="0AB226F2"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tcPr>
          <w:p w14:paraId="6F8CD2CD"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087FE7DB"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2DEE66E5"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2DEE2AB8"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r>
      <w:tr w:rsidR="008940B3" w:rsidRPr="003B5C8D" w14:paraId="2F8F9630"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4693B0A"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color w:val="000000"/>
                <w:sz w:val="16"/>
                <w:szCs w:val="16"/>
              </w:rPr>
              <w:t>KAVOUSI RIDOPOULIA II</w:t>
            </w:r>
          </w:p>
        </w:tc>
        <w:tc>
          <w:tcPr>
            <w:tcW w:w="1046" w:type="dxa"/>
            <w:tcBorders>
              <w:top w:val="single" w:sz="6" w:space="0" w:color="000000"/>
              <w:left w:val="single" w:sz="6" w:space="0" w:color="000000"/>
              <w:bottom w:val="single" w:sz="6" w:space="0" w:color="000000"/>
              <w:right w:val="single" w:sz="6" w:space="0" w:color="000000"/>
            </w:tcBorders>
          </w:tcPr>
          <w:p w14:paraId="440AC207" w14:textId="77777777" w:rsidR="008940B3" w:rsidRPr="003B5C8D" w:rsidRDefault="008940B3" w:rsidP="00E858EF">
            <w:pPr>
              <w:suppressAutoHyphens/>
              <w:spacing w:line="276" w:lineRule="auto"/>
              <w:jc w:val="center"/>
              <w:rPr>
                <w:sz w:val="16"/>
                <w:szCs w:val="16"/>
              </w:rPr>
            </w:pP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BC266C0"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tcPr>
          <w:p w14:paraId="1BECB649"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074" w:type="dxa"/>
            <w:tcBorders>
              <w:top w:val="single" w:sz="6" w:space="0" w:color="000000"/>
              <w:left w:val="single" w:sz="6" w:space="0" w:color="000000"/>
              <w:bottom w:val="single" w:sz="6" w:space="0" w:color="000000"/>
              <w:right w:val="single" w:sz="6" w:space="0" w:color="000000"/>
            </w:tcBorders>
          </w:tcPr>
          <w:p w14:paraId="6319BC99"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6D652E9E"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5DBA58F6"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50F3AF0E" w14:textId="77777777" w:rsidR="008940B3" w:rsidRPr="003B5C8D" w:rsidRDefault="008940B3" w:rsidP="00E858EF">
            <w:pPr>
              <w:suppressAutoHyphens/>
              <w:spacing w:line="276" w:lineRule="auto"/>
              <w:jc w:val="center"/>
              <w:rPr>
                <w:color w:val="000000"/>
                <w:sz w:val="16"/>
                <w:szCs w:val="16"/>
              </w:rPr>
            </w:pPr>
          </w:p>
        </w:tc>
      </w:tr>
      <w:tr w:rsidR="008940B3" w:rsidRPr="003B5C8D" w14:paraId="7BF6C48F"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2816AB5"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color w:val="000000"/>
                <w:sz w:val="16"/>
                <w:szCs w:val="16"/>
              </w:rPr>
              <w:t>KOUTSOULIANOU ZIROU</w:t>
            </w:r>
          </w:p>
        </w:tc>
        <w:tc>
          <w:tcPr>
            <w:tcW w:w="1046" w:type="dxa"/>
            <w:tcBorders>
              <w:top w:val="single" w:sz="6" w:space="0" w:color="000000"/>
              <w:left w:val="single" w:sz="6" w:space="0" w:color="000000"/>
              <w:bottom w:val="single" w:sz="6" w:space="0" w:color="000000"/>
              <w:right w:val="single" w:sz="6" w:space="0" w:color="000000"/>
            </w:tcBorders>
          </w:tcPr>
          <w:p w14:paraId="29E76F3B" w14:textId="77777777" w:rsidR="008940B3" w:rsidRPr="003B5C8D" w:rsidRDefault="008940B3" w:rsidP="00E858EF">
            <w:pPr>
              <w:suppressAutoHyphens/>
              <w:spacing w:line="276" w:lineRule="auto"/>
              <w:jc w:val="center"/>
              <w:rPr>
                <w:sz w:val="16"/>
                <w:szCs w:val="16"/>
              </w:rPr>
            </w:pP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EA2FD3B"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9" w:type="dxa"/>
            <w:tcBorders>
              <w:top w:val="single" w:sz="6" w:space="0" w:color="000000"/>
              <w:left w:val="single" w:sz="6" w:space="0" w:color="000000"/>
              <w:bottom w:val="single" w:sz="6" w:space="0" w:color="000000"/>
              <w:right w:val="single" w:sz="6" w:space="0" w:color="000000"/>
            </w:tcBorders>
          </w:tcPr>
          <w:p w14:paraId="3DD98F42"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tcPr>
          <w:p w14:paraId="5E59B41C"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325F8DE9"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16D3E12A"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5971C09A" w14:textId="77777777" w:rsidR="008940B3" w:rsidRPr="003B5C8D" w:rsidRDefault="008940B3" w:rsidP="00E858EF">
            <w:pPr>
              <w:suppressAutoHyphens/>
              <w:spacing w:line="276" w:lineRule="auto"/>
              <w:jc w:val="center"/>
              <w:rPr>
                <w:color w:val="000000"/>
                <w:sz w:val="16"/>
                <w:szCs w:val="16"/>
              </w:rPr>
            </w:pPr>
          </w:p>
        </w:tc>
      </w:tr>
      <w:tr w:rsidR="008940B3" w:rsidRPr="003B5C8D" w14:paraId="558C1C3B"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4DFA260"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color w:val="000000"/>
                <w:sz w:val="16"/>
                <w:szCs w:val="16"/>
              </w:rPr>
              <w:t>MOCHLOS LIMENARIA</w:t>
            </w:r>
          </w:p>
        </w:tc>
        <w:tc>
          <w:tcPr>
            <w:tcW w:w="1046" w:type="dxa"/>
            <w:tcBorders>
              <w:top w:val="single" w:sz="6" w:space="0" w:color="000000"/>
              <w:left w:val="single" w:sz="6" w:space="0" w:color="000000"/>
              <w:bottom w:val="single" w:sz="6" w:space="0" w:color="000000"/>
              <w:right w:val="single" w:sz="6" w:space="0" w:color="000000"/>
            </w:tcBorders>
          </w:tcPr>
          <w:p w14:paraId="5265239A"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D13A5E9"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tcPr>
          <w:p w14:paraId="45D0A2C0"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tcPr>
          <w:p w14:paraId="7000880C"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5F702E91"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818" w:type="dxa"/>
            <w:tcBorders>
              <w:top w:val="single" w:sz="6" w:space="0" w:color="000000"/>
              <w:left w:val="single" w:sz="6" w:space="0" w:color="000000"/>
              <w:bottom w:val="single" w:sz="6" w:space="0" w:color="000000"/>
              <w:right w:val="single" w:sz="6" w:space="0" w:color="000000"/>
            </w:tcBorders>
          </w:tcPr>
          <w:p w14:paraId="6DB75467"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2D2DEA8E" w14:textId="77777777" w:rsidR="008940B3" w:rsidRPr="003B5C8D" w:rsidRDefault="008940B3" w:rsidP="00E858EF">
            <w:pPr>
              <w:suppressAutoHyphens/>
              <w:spacing w:line="276" w:lineRule="auto"/>
              <w:jc w:val="center"/>
              <w:rPr>
                <w:color w:val="000000"/>
                <w:sz w:val="16"/>
                <w:szCs w:val="16"/>
              </w:rPr>
            </w:pPr>
          </w:p>
        </w:tc>
      </w:tr>
      <w:tr w:rsidR="008940B3" w:rsidRPr="003B5C8D" w14:paraId="111DB5B5"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B23EAAE"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color w:val="000000"/>
                <w:sz w:val="16"/>
                <w:szCs w:val="16"/>
              </w:rPr>
              <w:t>MOULIANA SELLADES</w:t>
            </w:r>
          </w:p>
        </w:tc>
        <w:tc>
          <w:tcPr>
            <w:tcW w:w="1046" w:type="dxa"/>
            <w:tcBorders>
              <w:top w:val="single" w:sz="6" w:space="0" w:color="000000"/>
              <w:left w:val="single" w:sz="6" w:space="0" w:color="000000"/>
              <w:bottom w:val="single" w:sz="6" w:space="0" w:color="000000"/>
              <w:right w:val="single" w:sz="6" w:space="0" w:color="000000"/>
            </w:tcBorders>
          </w:tcPr>
          <w:p w14:paraId="2BEF20F4"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FD00157"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9" w:type="dxa"/>
            <w:tcBorders>
              <w:top w:val="single" w:sz="6" w:space="0" w:color="000000"/>
              <w:left w:val="single" w:sz="6" w:space="0" w:color="000000"/>
              <w:bottom w:val="single" w:sz="6" w:space="0" w:color="000000"/>
              <w:right w:val="single" w:sz="6" w:space="0" w:color="000000"/>
            </w:tcBorders>
          </w:tcPr>
          <w:p w14:paraId="39D03222"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tcPr>
          <w:p w14:paraId="03201FCB"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02704F45"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299DB71A"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2286314A" w14:textId="77777777" w:rsidR="008940B3" w:rsidRPr="003B5C8D" w:rsidRDefault="008940B3" w:rsidP="00E858EF">
            <w:pPr>
              <w:suppressAutoHyphens/>
              <w:spacing w:line="276" w:lineRule="auto"/>
              <w:jc w:val="center"/>
              <w:rPr>
                <w:color w:val="000000"/>
                <w:sz w:val="16"/>
                <w:szCs w:val="16"/>
              </w:rPr>
            </w:pPr>
          </w:p>
        </w:tc>
      </w:tr>
      <w:tr w:rsidR="008940B3" w:rsidRPr="003B5C8D" w14:paraId="581E5923"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BD0A1B8"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color w:val="000000"/>
                <w:sz w:val="16"/>
                <w:szCs w:val="16"/>
              </w:rPr>
              <w:t>MYRSINI</w:t>
            </w:r>
          </w:p>
        </w:tc>
        <w:tc>
          <w:tcPr>
            <w:tcW w:w="1046" w:type="dxa"/>
            <w:tcBorders>
              <w:top w:val="single" w:sz="6" w:space="0" w:color="000000"/>
              <w:left w:val="single" w:sz="6" w:space="0" w:color="000000"/>
              <w:bottom w:val="single" w:sz="6" w:space="0" w:color="000000"/>
              <w:right w:val="single" w:sz="6" w:space="0" w:color="000000"/>
            </w:tcBorders>
          </w:tcPr>
          <w:p w14:paraId="4DD8D5D4"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28FF285"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tcPr>
          <w:p w14:paraId="37579D40"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tcPr>
          <w:p w14:paraId="37387E49"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0D518ECA"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0CDF8DD0"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77502167" w14:textId="77777777" w:rsidR="008940B3" w:rsidRPr="003B5C8D" w:rsidRDefault="008940B3" w:rsidP="00E858EF">
            <w:pPr>
              <w:suppressAutoHyphens/>
              <w:spacing w:line="276" w:lineRule="auto"/>
              <w:jc w:val="center"/>
              <w:rPr>
                <w:color w:val="000000"/>
                <w:sz w:val="16"/>
                <w:szCs w:val="16"/>
              </w:rPr>
            </w:pPr>
          </w:p>
        </w:tc>
      </w:tr>
      <w:tr w:rsidR="008940B3" w:rsidRPr="003B5C8D" w14:paraId="583AD46F"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F4E8323"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color w:val="000000"/>
                <w:sz w:val="16"/>
                <w:szCs w:val="16"/>
              </w:rPr>
              <w:t>PACHYAMMOS</w:t>
            </w:r>
          </w:p>
        </w:tc>
        <w:tc>
          <w:tcPr>
            <w:tcW w:w="1046" w:type="dxa"/>
            <w:tcBorders>
              <w:top w:val="single" w:sz="6" w:space="0" w:color="000000"/>
              <w:left w:val="single" w:sz="6" w:space="0" w:color="000000"/>
              <w:bottom w:val="single" w:sz="6" w:space="0" w:color="000000"/>
              <w:right w:val="single" w:sz="6" w:space="0" w:color="000000"/>
            </w:tcBorders>
          </w:tcPr>
          <w:p w14:paraId="22098D04"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37387E0"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tcPr>
          <w:p w14:paraId="623089C5"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074" w:type="dxa"/>
            <w:tcBorders>
              <w:top w:val="single" w:sz="6" w:space="0" w:color="000000"/>
              <w:left w:val="single" w:sz="6" w:space="0" w:color="000000"/>
              <w:bottom w:val="single" w:sz="6" w:space="0" w:color="000000"/>
              <w:right w:val="single" w:sz="6" w:space="0" w:color="000000"/>
            </w:tcBorders>
          </w:tcPr>
          <w:p w14:paraId="7B222BE5"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68FAEE85"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7D9D47BE"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15D645A7" w14:textId="77777777" w:rsidR="008940B3" w:rsidRPr="003B5C8D" w:rsidRDefault="008940B3" w:rsidP="00E858EF">
            <w:pPr>
              <w:suppressAutoHyphens/>
              <w:spacing w:line="276" w:lineRule="auto"/>
              <w:jc w:val="center"/>
              <w:rPr>
                <w:color w:val="000000"/>
                <w:sz w:val="16"/>
                <w:szCs w:val="16"/>
              </w:rPr>
            </w:pPr>
          </w:p>
        </w:tc>
      </w:tr>
      <w:tr w:rsidR="008940B3" w:rsidRPr="003B5C8D" w14:paraId="63D82919"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3F48C13"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color w:val="000000"/>
                <w:sz w:val="16"/>
                <w:szCs w:val="16"/>
              </w:rPr>
              <w:t>PALAIKASTRO</w:t>
            </w:r>
          </w:p>
        </w:tc>
        <w:tc>
          <w:tcPr>
            <w:tcW w:w="1046" w:type="dxa"/>
            <w:tcBorders>
              <w:top w:val="single" w:sz="6" w:space="0" w:color="000000"/>
              <w:left w:val="single" w:sz="6" w:space="0" w:color="000000"/>
              <w:bottom w:val="single" w:sz="6" w:space="0" w:color="000000"/>
              <w:right w:val="single" w:sz="6" w:space="0" w:color="000000"/>
            </w:tcBorders>
          </w:tcPr>
          <w:p w14:paraId="37AEA85E"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27DF477"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tcPr>
          <w:p w14:paraId="75185CA8"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074" w:type="dxa"/>
            <w:tcBorders>
              <w:top w:val="single" w:sz="6" w:space="0" w:color="000000"/>
              <w:left w:val="single" w:sz="6" w:space="0" w:color="000000"/>
              <w:bottom w:val="single" w:sz="6" w:space="0" w:color="000000"/>
              <w:right w:val="single" w:sz="6" w:space="0" w:color="000000"/>
            </w:tcBorders>
          </w:tcPr>
          <w:p w14:paraId="42A79AA8"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32E5022A"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818" w:type="dxa"/>
            <w:tcBorders>
              <w:top w:val="single" w:sz="6" w:space="0" w:color="000000"/>
              <w:left w:val="single" w:sz="6" w:space="0" w:color="000000"/>
              <w:bottom w:val="single" w:sz="6" w:space="0" w:color="000000"/>
              <w:right w:val="single" w:sz="6" w:space="0" w:color="000000"/>
            </w:tcBorders>
          </w:tcPr>
          <w:p w14:paraId="1690C4A6"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4AD4E168" w14:textId="77777777" w:rsidR="008940B3" w:rsidRPr="003B5C8D" w:rsidRDefault="008940B3" w:rsidP="00E858EF">
            <w:pPr>
              <w:suppressAutoHyphens/>
              <w:spacing w:line="276" w:lineRule="auto"/>
              <w:jc w:val="center"/>
              <w:rPr>
                <w:color w:val="000000"/>
                <w:sz w:val="16"/>
                <w:szCs w:val="16"/>
              </w:rPr>
            </w:pPr>
          </w:p>
        </w:tc>
      </w:tr>
      <w:tr w:rsidR="008940B3" w:rsidRPr="003B5C8D" w14:paraId="3B74BF2F"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6AD8782"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color w:val="000000"/>
                <w:sz w:val="16"/>
                <w:szCs w:val="16"/>
              </w:rPr>
              <w:t>PETRAS PAPOURES</w:t>
            </w:r>
          </w:p>
        </w:tc>
        <w:tc>
          <w:tcPr>
            <w:tcW w:w="1046" w:type="dxa"/>
            <w:tcBorders>
              <w:top w:val="single" w:sz="6" w:space="0" w:color="000000"/>
              <w:left w:val="single" w:sz="6" w:space="0" w:color="000000"/>
              <w:bottom w:val="single" w:sz="6" w:space="0" w:color="000000"/>
              <w:right w:val="single" w:sz="6" w:space="0" w:color="000000"/>
            </w:tcBorders>
          </w:tcPr>
          <w:p w14:paraId="7A3487D9"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C4C9953"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tcPr>
          <w:p w14:paraId="31A2EAFB"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tcPr>
          <w:p w14:paraId="521D7341"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4EDB56CF"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4F9E2701"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014B291C" w14:textId="77777777" w:rsidR="008940B3" w:rsidRPr="003B5C8D" w:rsidRDefault="008940B3" w:rsidP="00E858EF">
            <w:pPr>
              <w:suppressAutoHyphens/>
              <w:spacing w:line="276" w:lineRule="auto"/>
              <w:jc w:val="center"/>
              <w:rPr>
                <w:color w:val="000000"/>
                <w:sz w:val="16"/>
                <w:szCs w:val="16"/>
              </w:rPr>
            </w:pPr>
          </w:p>
        </w:tc>
      </w:tr>
      <w:tr w:rsidR="008940B3" w:rsidRPr="003B5C8D" w14:paraId="241AFC3B"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8D747C5"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color w:val="000000"/>
                <w:sz w:val="16"/>
                <w:szCs w:val="16"/>
              </w:rPr>
              <w:t>PRAISOS</w:t>
            </w:r>
          </w:p>
        </w:tc>
        <w:tc>
          <w:tcPr>
            <w:tcW w:w="1046" w:type="dxa"/>
            <w:tcBorders>
              <w:top w:val="single" w:sz="6" w:space="0" w:color="000000"/>
              <w:left w:val="single" w:sz="6" w:space="0" w:color="000000"/>
              <w:bottom w:val="single" w:sz="6" w:space="0" w:color="000000"/>
              <w:right w:val="single" w:sz="6" w:space="0" w:color="000000"/>
            </w:tcBorders>
          </w:tcPr>
          <w:p w14:paraId="45E8F967"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5B4BE09"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9" w:type="dxa"/>
            <w:tcBorders>
              <w:top w:val="single" w:sz="6" w:space="0" w:color="000000"/>
              <w:left w:val="single" w:sz="6" w:space="0" w:color="000000"/>
              <w:bottom w:val="single" w:sz="6" w:space="0" w:color="000000"/>
              <w:right w:val="single" w:sz="6" w:space="0" w:color="000000"/>
            </w:tcBorders>
          </w:tcPr>
          <w:p w14:paraId="51EB1C09"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tcPr>
          <w:p w14:paraId="439F6B06"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55D99248"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16CDAA7A"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6B11C762" w14:textId="77777777" w:rsidR="008940B3" w:rsidRPr="003B5C8D" w:rsidRDefault="008940B3" w:rsidP="00E858EF">
            <w:pPr>
              <w:suppressAutoHyphens/>
              <w:spacing w:line="276" w:lineRule="auto"/>
              <w:jc w:val="center"/>
              <w:rPr>
                <w:color w:val="000000"/>
                <w:sz w:val="16"/>
                <w:szCs w:val="16"/>
              </w:rPr>
            </w:pPr>
          </w:p>
        </w:tc>
      </w:tr>
      <w:tr w:rsidR="008940B3" w:rsidRPr="003B5C8D" w14:paraId="35FF56CC"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A4B2033"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color w:val="000000"/>
                <w:sz w:val="16"/>
                <w:szCs w:val="16"/>
              </w:rPr>
              <w:t>SITIA MODERN VILLAGE</w:t>
            </w:r>
          </w:p>
        </w:tc>
        <w:tc>
          <w:tcPr>
            <w:tcW w:w="1046" w:type="dxa"/>
            <w:tcBorders>
              <w:top w:val="single" w:sz="6" w:space="0" w:color="000000"/>
              <w:left w:val="single" w:sz="6" w:space="0" w:color="000000"/>
              <w:bottom w:val="single" w:sz="6" w:space="0" w:color="000000"/>
              <w:right w:val="single" w:sz="6" w:space="0" w:color="000000"/>
            </w:tcBorders>
          </w:tcPr>
          <w:p w14:paraId="6F1F2A47"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9A5D943"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tcPr>
          <w:p w14:paraId="0A8C8F5F"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tcPr>
          <w:p w14:paraId="4D64F38C"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34E01901"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142BF85C"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75E38F5A" w14:textId="77777777" w:rsidR="008940B3" w:rsidRPr="003B5C8D" w:rsidRDefault="008940B3" w:rsidP="00E858EF">
            <w:pPr>
              <w:suppressAutoHyphens/>
              <w:spacing w:line="276" w:lineRule="auto"/>
              <w:jc w:val="center"/>
              <w:rPr>
                <w:color w:val="000000"/>
                <w:sz w:val="16"/>
                <w:szCs w:val="16"/>
              </w:rPr>
            </w:pPr>
          </w:p>
        </w:tc>
      </w:tr>
      <w:tr w:rsidR="008940B3" w:rsidRPr="003B5C8D" w14:paraId="037037A1"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FB1A78E"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SPHAKA</w:t>
            </w:r>
          </w:p>
        </w:tc>
        <w:tc>
          <w:tcPr>
            <w:tcW w:w="1046" w:type="dxa"/>
            <w:tcBorders>
              <w:top w:val="single" w:sz="6" w:space="0" w:color="000000"/>
              <w:left w:val="single" w:sz="6" w:space="0" w:color="000000"/>
              <w:bottom w:val="single" w:sz="6" w:space="0" w:color="000000"/>
              <w:right w:val="single" w:sz="6" w:space="0" w:color="000000"/>
            </w:tcBorders>
          </w:tcPr>
          <w:p w14:paraId="7D75A516"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54B272B"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tcPr>
          <w:p w14:paraId="4F2A5EEF"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tcPr>
          <w:p w14:paraId="2788C726"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454CCBDB"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2E355C3D"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5020552B" w14:textId="77777777" w:rsidR="008940B3" w:rsidRPr="003B5C8D" w:rsidRDefault="008940B3" w:rsidP="00E858EF">
            <w:pPr>
              <w:suppressAutoHyphens/>
              <w:spacing w:line="276" w:lineRule="auto"/>
              <w:jc w:val="center"/>
              <w:rPr>
                <w:color w:val="000000"/>
                <w:sz w:val="16"/>
                <w:szCs w:val="16"/>
              </w:rPr>
            </w:pPr>
          </w:p>
        </w:tc>
      </w:tr>
      <w:tr w:rsidR="008940B3" w:rsidRPr="003B5C8D" w14:paraId="49A7CCD8"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312C946"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sz w:val="16"/>
                <w:szCs w:val="16"/>
              </w:rPr>
              <w:t>SPHAKIA</w:t>
            </w:r>
          </w:p>
        </w:tc>
        <w:tc>
          <w:tcPr>
            <w:tcW w:w="1046" w:type="dxa"/>
            <w:tcBorders>
              <w:top w:val="single" w:sz="6" w:space="0" w:color="000000"/>
              <w:left w:val="single" w:sz="6" w:space="0" w:color="000000"/>
              <w:bottom w:val="single" w:sz="6" w:space="0" w:color="000000"/>
              <w:right w:val="single" w:sz="6" w:space="0" w:color="000000"/>
            </w:tcBorders>
          </w:tcPr>
          <w:p w14:paraId="02C0353C" w14:textId="77777777" w:rsidR="008940B3" w:rsidRPr="003B5C8D" w:rsidRDefault="008940B3" w:rsidP="00E858EF">
            <w:pPr>
              <w:suppressAutoHyphens/>
              <w:spacing w:line="276" w:lineRule="auto"/>
              <w:jc w:val="center"/>
              <w:rPr>
                <w:color w:val="000000"/>
                <w:sz w:val="16"/>
                <w:szCs w:val="16"/>
              </w:rPr>
            </w:pP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2C6F81F"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9" w:type="dxa"/>
            <w:tcBorders>
              <w:top w:val="single" w:sz="6" w:space="0" w:color="000000"/>
              <w:left w:val="single" w:sz="6" w:space="0" w:color="000000"/>
              <w:bottom w:val="single" w:sz="6" w:space="0" w:color="000000"/>
              <w:right w:val="single" w:sz="6" w:space="0" w:color="000000"/>
            </w:tcBorders>
          </w:tcPr>
          <w:p w14:paraId="46298603"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tcPr>
          <w:p w14:paraId="42070199"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21D522A0"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089E1804"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340BF44C" w14:textId="77777777" w:rsidR="008940B3" w:rsidRPr="003B5C8D" w:rsidRDefault="008940B3" w:rsidP="00E858EF">
            <w:pPr>
              <w:suppressAutoHyphens/>
              <w:spacing w:line="276" w:lineRule="auto"/>
              <w:jc w:val="center"/>
              <w:rPr>
                <w:color w:val="000000"/>
                <w:sz w:val="16"/>
                <w:szCs w:val="16"/>
              </w:rPr>
            </w:pPr>
          </w:p>
        </w:tc>
      </w:tr>
      <w:tr w:rsidR="008940B3" w:rsidRPr="003B5C8D" w14:paraId="30BFD74E"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56A4E04"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color w:val="000000"/>
                <w:sz w:val="16"/>
                <w:szCs w:val="16"/>
              </w:rPr>
              <w:t>STAVROCHORI</w:t>
            </w:r>
          </w:p>
        </w:tc>
        <w:tc>
          <w:tcPr>
            <w:tcW w:w="1046" w:type="dxa"/>
            <w:tcBorders>
              <w:top w:val="single" w:sz="6" w:space="0" w:color="000000"/>
              <w:left w:val="single" w:sz="6" w:space="0" w:color="000000"/>
              <w:bottom w:val="single" w:sz="6" w:space="0" w:color="000000"/>
              <w:right w:val="single" w:sz="6" w:space="0" w:color="000000"/>
            </w:tcBorders>
          </w:tcPr>
          <w:p w14:paraId="1A3FB73D"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9655317"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tcPr>
          <w:p w14:paraId="5F31481C"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tcPr>
          <w:p w14:paraId="00A84134"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51DA1200"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35F166FD"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0908C6D0" w14:textId="77777777" w:rsidR="008940B3" w:rsidRPr="003B5C8D" w:rsidRDefault="008940B3" w:rsidP="00E858EF">
            <w:pPr>
              <w:suppressAutoHyphens/>
              <w:spacing w:line="276" w:lineRule="auto"/>
              <w:jc w:val="center"/>
              <w:rPr>
                <w:color w:val="000000"/>
                <w:sz w:val="16"/>
                <w:szCs w:val="16"/>
              </w:rPr>
            </w:pPr>
          </w:p>
        </w:tc>
      </w:tr>
      <w:tr w:rsidR="008940B3" w:rsidRPr="003B5C8D" w14:paraId="3B9EA379"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AB39896"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color w:val="000000"/>
                <w:sz w:val="16"/>
                <w:szCs w:val="16"/>
              </w:rPr>
              <w:t>VASILIKI AG. THEODOROS</w:t>
            </w:r>
          </w:p>
        </w:tc>
        <w:tc>
          <w:tcPr>
            <w:tcW w:w="1046" w:type="dxa"/>
            <w:tcBorders>
              <w:top w:val="single" w:sz="6" w:space="0" w:color="000000"/>
              <w:left w:val="single" w:sz="6" w:space="0" w:color="000000"/>
              <w:bottom w:val="single" w:sz="6" w:space="0" w:color="000000"/>
              <w:right w:val="single" w:sz="6" w:space="0" w:color="000000"/>
            </w:tcBorders>
          </w:tcPr>
          <w:p w14:paraId="66F196BF" w14:textId="77777777" w:rsidR="008940B3" w:rsidRPr="003B5C8D" w:rsidRDefault="008940B3" w:rsidP="00E858EF">
            <w:pPr>
              <w:suppressAutoHyphens/>
              <w:spacing w:line="276" w:lineRule="auto"/>
              <w:jc w:val="center"/>
              <w:rPr>
                <w:color w:val="000000"/>
                <w:sz w:val="16"/>
                <w:szCs w:val="16"/>
              </w:rPr>
            </w:pP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D30F893" w14:textId="77777777" w:rsidR="008940B3" w:rsidRPr="003B5C8D" w:rsidRDefault="008940B3" w:rsidP="00E858EF">
            <w:pPr>
              <w:suppressAutoHyphens/>
              <w:spacing w:line="276" w:lineRule="auto"/>
              <w:jc w:val="center"/>
              <w:rPr>
                <w:sz w:val="16"/>
                <w:szCs w:val="16"/>
              </w:rPr>
            </w:pPr>
            <w:r w:rsidRPr="003B5C8D">
              <w:rPr>
                <w:rFonts w:ascii="Lucida Grande" w:hAnsi="Lucida Grande" w:cs="Lucida Grande"/>
                <w:color w:val="000000"/>
                <w:sz w:val="16"/>
                <w:szCs w:val="16"/>
              </w:rPr>
              <w:t>✓</w:t>
            </w:r>
          </w:p>
        </w:tc>
        <w:tc>
          <w:tcPr>
            <w:tcW w:w="1129" w:type="dxa"/>
            <w:tcBorders>
              <w:top w:val="single" w:sz="6" w:space="0" w:color="000000"/>
              <w:left w:val="single" w:sz="6" w:space="0" w:color="000000"/>
              <w:bottom w:val="single" w:sz="6" w:space="0" w:color="000000"/>
              <w:right w:val="single" w:sz="6" w:space="0" w:color="000000"/>
            </w:tcBorders>
          </w:tcPr>
          <w:p w14:paraId="3ABCFB6A"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tcPr>
          <w:p w14:paraId="7F05ED71"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21730363"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54559FD7"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73E1E1C1" w14:textId="77777777" w:rsidR="008940B3" w:rsidRPr="003B5C8D" w:rsidRDefault="008940B3" w:rsidP="00E858EF">
            <w:pPr>
              <w:suppressAutoHyphens/>
              <w:spacing w:line="276" w:lineRule="auto"/>
              <w:jc w:val="center"/>
              <w:rPr>
                <w:color w:val="000000"/>
                <w:sz w:val="16"/>
                <w:szCs w:val="16"/>
              </w:rPr>
            </w:pPr>
          </w:p>
        </w:tc>
      </w:tr>
      <w:tr w:rsidR="008940B3" w:rsidRPr="003B5C8D" w14:paraId="76BEB217"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FF22442"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color w:val="000000"/>
                <w:sz w:val="16"/>
                <w:szCs w:val="16"/>
              </w:rPr>
              <w:t>XEROKAMARA</w:t>
            </w:r>
          </w:p>
        </w:tc>
        <w:tc>
          <w:tcPr>
            <w:tcW w:w="1046" w:type="dxa"/>
            <w:tcBorders>
              <w:top w:val="single" w:sz="6" w:space="0" w:color="000000"/>
              <w:left w:val="single" w:sz="6" w:space="0" w:color="000000"/>
              <w:bottom w:val="single" w:sz="6" w:space="0" w:color="000000"/>
              <w:right w:val="single" w:sz="6" w:space="0" w:color="000000"/>
            </w:tcBorders>
          </w:tcPr>
          <w:p w14:paraId="1765E6E0" w14:textId="77777777" w:rsidR="008940B3" w:rsidRPr="003B5C8D" w:rsidRDefault="008940B3" w:rsidP="00E858EF">
            <w:pPr>
              <w:suppressAutoHyphens/>
              <w:spacing w:line="276" w:lineRule="auto"/>
              <w:jc w:val="center"/>
              <w:rPr>
                <w:color w:val="000000"/>
                <w:sz w:val="16"/>
                <w:szCs w:val="16"/>
              </w:rPr>
            </w:pP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B56CC42"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tcPr>
          <w:p w14:paraId="0BE6D240" w14:textId="77777777" w:rsidR="008940B3" w:rsidRPr="003B5C8D" w:rsidRDefault="008940B3" w:rsidP="00E858EF">
            <w:pPr>
              <w:suppressAutoHyphens/>
              <w:spacing w:line="276" w:lineRule="auto"/>
              <w:jc w:val="center"/>
              <w:rPr>
                <w:color w:val="000000"/>
                <w:sz w:val="16"/>
                <w:szCs w:val="16"/>
              </w:rPr>
            </w:pPr>
          </w:p>
        </w:tc>
        <w:tc>
          <w:tcPr>
            <w:tcW w:w="1074" w:type="dxa"/>
            <w:tcBorders>
              <w:top w:val="single" w:sz="6" w:space="0" w:color="000000"/>
              <w:left w:val="single" w:sz="6" w:space="0" w:color="000000"/>
              <w:bottom w:val="single" w:sz="6" w:space="0" w:color="000000"/>
              <w:right w:val="single" w:sz="6" w:space="0" w:color="000000"/>
            </w:tcBorders>
          </w:tcPr>
          <w:p w14:paraId="311CA5A9"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330C1804"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72022033"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569A410F"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r>
      <w:tr w:rsidR="008940B3" w:rsidRPr="003B5C8D" w14:paraId="2A31E609" w14:textId="77777777" w:rsidTr="00175938">
        <w:tblPrEx>
          <w:tblCellMar>
            <w:left w:w="0" w:type="dxa"/>
            <w:right w:w="0" w:type="dxa"/>
          </w:tblCellMar>
        </w:tblPrEx>
        <w:trPr>
          <w:trHeight w:val="20"/>
        </w:trPr>
        <w:tc>
          <w:tcPr>
            <w:tcW w:w="20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CC30DCD" w14:textId="77777777" w:rsidR="008940B3" w:rsidRPr="003B5C8D" w:rsidRDefault="008940B3" w:rsidP="00E858EF">
            <w:pPr>
              <w:suppressAutoHyphens/>
              <w:spacing w:line="276" w:lineRule="auto"/>
              <w:jc w:val="left"/>
              <w:rPr>
                <w:rFonts w:eastAsia="Times New Roman"/>
                <w:sz w:val="16"/>
                <w:szCs w:val="16"/>
              </w:rPr>
            </w:pPr>
            <w:r w:rsidRPr="003B5C8D">
              <w:rPr>
                <w:rFonts w:eastAsia="Times New Roman"/>
                <w:color w:val="000000"/>
                <w:sz w:val="16"/>
                <w:szCs w:val="16"/>
              </w:rPr>
              <w:t>ZAKRO ELLINIKA</w:t>
            </w:r>
          </w:p>
        </w:tc>
        <w:tc>
          <w:tcPr>
            <w:tcW w:w="1046" w:type="dxa"/>
            <w:tcBorders>
              <w:top w:val="single" w:sz="6" w:space="0" w:color="000000"/>
              <w:left w:val="single" w:sz="6" w:space="0" w:color="000000"/>
              <w:bottom w:val="single" w:sz="6" w:space="0" w:color="000000"/>
              <w:right w:val="single" w:sz="6" w:space="0" w:color="000000"/>
            </w:tcBorders>
          </w:tcPr>
          <w:p w14:paraId="31F52540" w14:textId="77777777" w:rsidR="008940B3" w:rsidRPr="003B5C8D" w:rsidRDefault="008940B3" w:rsidP="00E858EF">
            <w:pPr>
              <w:suppressAutoHyphens/>
              <w:spacing w:line="276" w:lineRule="auto"/>
              <w:jc w:val="center"/>
              <w:rPr>
                <w:color w:val="000000"/>
                <w:sz w:val="16"/>
                <w:szCs w:val="16"/>
              </w:rPr>
            </w:pPr>
          </w:p>
        </w:tc>
        <w:tc>
          <w:tcPr>
            <w:tcW w:w="11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4A2CF6F" w14:textId="77777777" w:rsidR="008940B3" w:rsidRPr="003B5C8D" w:rsidRDefault="008940B3" w:rsidP="00E858EF">
            <w:pPr>
              <w:suppressAutoHyphens/>
              <w:spacing w:line="276" w:lineRule="auto"/>
              <w:jc w:val="center"/>
              <w:rPr>
                <w:sz w:val="16"/>
                <w:szCs w:val="16"/>
              </w:rPr>
            </w:pPr>
          </w:p>
        </w:tc>
        <w:tc>
          <w:tcPr>
            <w:tcW w:w="1129" w:type="dxa"/>
            <w:tcBorders>
              <w:top w:val="single" w:sz="6" w:space="0" w:color="000000"/>
              <w:left w:val="single" w:sz="6" w:space="0" w:color="000000"/>
              <w:bottom w:val="single" w:sz="6" w:space="0" w:color="000000"/>
              <w:right w:val="single" w:sz="6" w:space="0" w:color="000000"/>
            </w:tcBorders>
          </w:tcPr>
          <w:p w14:paraId="14FC9E3B" w14:textId="77777777" w:rsidR="008940B3" w:rsidRPr="003B5C8D" w:rsidRDefault="008940B3" w:rsidP="00E858EF">
            <w:pPr>
              <w:suppressAutoHyphens/>
              <w:spacing w:line="276" w:lineRule="auto"/>
              <w:jc w:val="center"/>
              <w:rPr>
                <w:color w:val="000000"/>
                <w:sz w:val="16"/>
                <w:szCs w:val="16"/>
              </w:rPr>
            </w:pPr>
            <w:r w:rsidRPr="003B5C8D">
              <w:rPr>
                <w:rFonts w:ascii="Lucida Grande" w:hAnsi="Lucida Grande" w:cs="Lucida Grande"/>
                <w:color w:val="000000"/>
                <w:sz w:val="16"/>
                <w:szCs w:val="16"/>
              </w:rPr>
              <w:t>✓</w:t>
            </w:r>
          </w:p>
        </w:tc>
        <w:tc>
          <w:tcPr>
            <w:tcW w:w="1074" w:type="dxa"/>
            <w:tcBorders>
              <w:top w:val="single" w:sz="6" w:space="0" w:color="000000"/>
              <w:left w:val="single" w:sz="6" w:space="0" w:color="000000"/>
              <w:bottom w:val="single" w:sz="6" w:space="0" w:color="000000"/>
              <w:right w:val="single" w:sz="6" w:space="0" w:color="000000"/>
            </w:tcBorders>
          </w:tcPr>
          <w:p w14:paraId="3A4F0D28" w14:textId="77777777" w:rsidR="008940B3" w:rsidRPr="003B5C8D" w:rsidRDefault="008940B3" w:rsidP="00E858EF">
            <w:pPr>
              <w:suppressAutoHyphens/>
              <w:spacing w:line="276" w:lineRule="auto"/>
              <w:jc w:val="center"/>
              <w:rPr>
                <w:color w:val="000000"/>
                <w:sz w:val="16"/>
                <w:szCs w:val="16"/>
              </w:rPr>
            </w:pPr>
          </w:p>
        </w:tc>
        <w:tc>
          <w:tcPr>
            <w:tcW w:w="754" w:type="dxa"/>
            <w:tcBorders>
              <w:top w:val="single" w:sz="6" w:space="0" w:color="000000"/>
              <w:left w:val="single" w:sz="6" w:space="0" w:color="000000"/>
              <w:bottom w:val="single" w:sz="6" w:space="0" w:color="000000"/>
              <w:right w:val="single" w:sz="6" w:space="0" w:color="000000"/>
            </w:tcBorders>
          </w:tcPr>
          <w:p w14:paraId="05B89B90" w14:textId="77777777" w:rsidR="008940B3" w:rsidRPr="003B5C8D" w:rsidRDefault="008940B3" w:rsidP="00E858EF">
            <w:pPr>
              <w:suppressAutoHyphens/>
              <w:spacing w:line="276" w:lineRule="auto"/>
              <w:jc w:val="center"/>
              <w:rPr>
                <w:color w:val="000000"/>
                <w:sz w:val="16"/>
                <w:szCs w:val="16"/>
              </w:rPr>
            </w:pPr>
          </w:p>
        </w:tc>
        <w:tc>
          <w:tcPr>
            <w:tcW w:w="818" w:type="dxa"/>
            <w:tcBorders>
              <w:top w:val="single" w:sz="6" w:space="0" w:color="000000"/>
              <w:left w:val="single" w:sz="6" w:space="0" w:color="000000"/>
              <w:bottom w:val="single" w:sz="6" w:space="0" w:color="000000"/>
              <w:right w:val="single" w:sz="6" w:space="0" w:color="000000"/>
            </w:tcBorders>
          </w:tcPr>
          <w:p w14:paraId="1634A999" w14:textId="77777777" w:rsidR="008940B3" w:rsidRPr="003B5C8D" w:rsidRDefault="008940B3" w:rsidP="00E858EF">
            <w:pPr>
              <w:suppressAutoHyphens/>
              <w:spacing w:line="276" w:lineRule="auto"/>
              <w:jc w:val="center"/>
              <w:rPr>
                <w:color w:val="000000"/>
                <w:sz w:val="16"/>
                <w:szCs w:val="16"/>
              </w:rPr>
            </w:pPr>
          </w:p>
        </w:tc>
        <w:tc>
          <w:tcPr>
            <w:tcW w:w="752" w:type="dxa"/>
            <w:tcBorders>
              <w:top w:val="single" w:sz="6" w:space="0" w:color="000000"/>
              <w:left w:val="single" w:sz="6" w:space="0" w:color="000000"/>
              <w:bottom w:val="single" w:sz="6" w:space="0" w:color="000000"/>
              <w:right w:val="single" w:sz="6" w:space="0" w:color="000000"/>
            </w:tcBorders>
          </w:tcPr>
          <w:p w14:paraId="7D5B1497" w14:textId="77777777" w:rsidR="008940B3" w:rsidRPr="003B5C8D" w:rsidRDefault="008940B3" w:rsidP="00E858EF">
            <w:pPr>
              <w:suppressAutoHyphens/>
              <w:spacing w:line="276" w:lineRule="auto"/>
              <w:jc w:val="center"/>
              <w:rPr>
                <w:color w:val="000000"/>
                <w:sz w:val="16"/>
                <w:szCs w:val="16"/>
              </w:rPr>
            </w:pPr>
          </w:p>
        </w:tc>
      </w:tr>
    </w:tbl>
    <w:p w14:paraId="5752A070"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17E1D93C" w14:textId="77777777" w:rsidR="008940B3" w:rsidRDefault="008940B3" w:rsidP="00E858EF">
      <w:pPr>
        <w:pStyle w:val="Titolo4"/>
        <w:keepNext w:val="0"/>
        <w:keepLines w:val="0"/>
        <w:suppressAutoHyphens/>
        <w:ind w:left="864" w:hanging="864"/>
        <w:contextualSpacing w:val="0"/>
      </w:pPr>
      <w:bookmarkStart w:id="422" w:name="_Toc389131213"/>
      <w:bookmarkStart w:id="423" w:name="_Toc517876549"/>
      <w:r>
        <w:t>W</w:t>
      </w:r>
      <w:r w:rsidRPr="004A355F">
        <w:t xml:space="preserve">hich deposition methods </w:t>
      </w:r>
      <w:r>
        <w:t>were</w:t>
      </w:r>
      <w:r w:rsidRPr="004A355F">
        <w:t xml:space="preserve"> adopted in these cemeteries?</w:t>
      </w:r>
      <w:bookmarkEnd w:id="422"/>
      <w:bookmarkEnd w:id="423"/>
      <w:r w:rsidRPr="004A355F">
        <w:t xml:space="preserve"> </w:t>
      </w:r>
    </w:p>
    <w:p w14:paraId="4E577F87" w14:textId="77777777" w:rsidR="008940B3" w:rsidRDefault="008940B3" w:rsidP="00C45C77">
      <w:r>
        <w:t>In addition to</w:t>
      </w:r>
      <w:r w:rsidRPr="003B5C8D">
        <w:t xml:space="preserve"> larnakes</w:t>
      </w:r>
      <w:r>
        <w:t>,</w:t>
      </w:r>
      <w:r w:rsidRPr="003B5C8D">
        <w:t xml:space="preserve"> other type</w:t>
      </w:r>
      <w:r>
        <w:t>s</w:t>
      </w:r>
      <w:r w:rsidRPr="003B5C8D">
        <w:t xml:space="preserve"> of burial</w:t>
      </w:r>
      <w:r>
        <w:t xml:space="preserve"> have been found</w:t>
      </w:r>
      <w:r w:rsidRPr="003B5C8D">
        <w:t xml:space="preserve"> in 52% of the cemeteries. Unfortunately</w:t>
      </w:r>
      <w:r>
        <w:t>,</w:t>
      </w:r>
      <w:r w:rsidRPr="003B5C8D">
        <w:t xml:space="preserve"> for some cemeteries there </w:t>
      </w:r>
      <w:r>
        <w:t>is</w:t>
      </w:r>
      <w:r w:rsidRPr="003B5C8D">
        <w:t xml:space="preserve"> no information about the other </w:t>
      </w:r>
      <w:r>
        <w:t>interment</w:t>
      </w:r>
      <w:r w:rsidRPr="003B5C8D">
        <w:t xml:space="preserve"> methods. However, pithos burials </w:t>
      </w:r>
      <w:r>
        <w:t>are</w:t>
      </w:r>
      <w:r w:rsidRPr="003B5C8D">
        <w:t xml:space="preserve"> a common </w:t>
      </w:r>
      <w:r>
        <w:t>interment</w:t>
      </w:r>
      <w:r w:rsidRPr="003B5C8D">
        <w:t xml:space="preserve"> </w:t>
      </w:r>
      <w:r>
        <w:t>form in the</w:t>
      </w:r>
      <w:r w:rsidRPr="003B5C8D">
        <w:t xml:space="preserve"> </w:t>
      </w:r>
      <w:r>
        <w:t>Far-East</w:t>
      </w:r>
      <w:r w:rsidRPr="003B5C8D">
        <w:t xml:space="preserve"> area. Vases with cremated bones inside have also been found in this area</w:t>
      </w:r>
      <w:r>
        <w:t>,</w:t>
      </w:r>
      <w:r w:rsidRPr="003B5C8D">
        <w:t xml:space="preserve"> in the cemeter</w:t>
      </w:r>
      <w:r>
        <w:t>ies</w:t>
      </w:r>
      <w:r w:rsidRPr="003B5C8D">
        <w:t xml:space="preserve"> of Berati Piskokephalo, Mouliana Sellades, Myrsini, Pachyammos, and Praisos</w:t>
      </w:r>
      <w:r>
        <w:t>,</w:t>
      </w:r>
      <w:r w:rsidRPr="003B5C8D">
        <w:t xml:space="preserve"> and </w:t>
      </w:r>
      <w:r>
        <w:t>are</w:t>
      </w:r>
      <w:r w:rsidRPr="003B5C8D">
        <w:t xml:space="preserve"> associated in the same tomb</w:t>
      </w:r>
      <w:r>
        <w:t>s</w:t>
      </w:r>
      <w:r w:rsidRPr="003B5C8D">
        <w:t xml:space="preserve"> </w:t>
      </w:r>
      <w:r>
        <w:t>as</w:t>
      </w:r>
      <w:r w:rsidRPr="003B5C8D">
        <w:t xml:space="preserve"> larna</w:t>
      </w:r>
      <w:r>
        <w:t>kes</w:t>
      </w:r>
      <w:r w:rsidRPr="003B5C8D">
        <w:t xml:space="preserve"> in three cases.</w:t>
      </w:r>
    </w:p>
    <w:p w14:paraId="0DC448BF"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3E276DAD" w14:textId="39A4A7B0" w:rsidR="008940B3" w:rsidRPr="003B5C8D" w:rsidRDefault="008940B3" w:rsidP="00E858EF">
      <w:pPr>
        <w:pStyle w:val="Testofumetto"/>
        <w:suppressAutoHyphens/>
      </w:pPr>
      <w:bookmarkStart w:id="424" w:name="_Toc520212559"/>
      <w:r>
        <w:t>Table 3-71. Deposition methods adopted in the cemeteries with larnakes</w:t>
      </w:r>
      <w:r w:rsidR="005E1C18">
        <w:t>,</w:t>
      </w:r>
      <w:r>
        <w:t xml:space="preserve"> Far-East area</w:t>
      </w:r>
      <w:bookmarkEnd w:id="424"/>
    </w:p>
    <w:tbl>
      <w:tblPr>
        <w:tblW w:w="8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134"/>
        <w:gridCol w:w="992"/>
        <w:gridCol w:w="675"/>
        <w:gridCol w:w="426"/>
        <w:gridCol w:w="691"/>
        <w:gridCol w:w="816"/>
        <w:gridCol w:w="707"/>
        <w:gridCol w:w="753"/>
        <w:gridCol w:w="458"/>
      </w:tblGrid>
      <w:tr w:rsidR="008940B3" w:rsidRPr="00175938" w14:paraId="615E3066" w14:textId="77777777" w:rsidTr="00175938">
        <w:trPr>
          <w:trHeight w:val="440"/>
        </w:trPr>
        <w:tc>
          <w:tcPr>
            <w:tcW w:w="1951" w:type="dxa"/>
          </w:tcPr>
          <w:p w14:paraId="09A758B9" w14:textId="77777777" w:rsidR="008940B3" w:rsidRPr="00175938" w:rsidRDefault="008940B3" w:rsidP="00E858EF">
            <w:pPr>
              <w:suppressAutoHyphens/>
              <w:jc w:val="left"/>
              <w:rPr>
                <w:rFonts w:eastAsia="Times New Roman"/>
                <w:bCs/>
                <w:sz w:val="14"/>
                <w:szCs w:val="12"/>
              </w:rPr>
            </w:pPr>
            <w:r w:rsidRPr="00175938">
              <w:rPr>
                <w:rFonts w:eastAsia="Times New Roman"/>
                <w:b/>
                <w:bCs/>
                <w:color w:val="000000"/>
                <w:sz w:val="14"/>
                <w:szCs w:val="12"/>
              </w:rPr>
              <w:t>CEMETERIES</w:t>
            </w:r>
          </w:p>
        </w:tc>
        <w:tc>
          <w:tcPr>
            <w:tcW w:w="1134" w:type="dxa"/>
          </w:tcPr>
          <w:p w14:paraId="740360A2" w14:textId="77777777" w:rsidR="008940B3" w:rsidRPr="00175938" w:rsidRDefault="008940B3" w:rsidP="00E858EF">
            <w:pPr>
              <w:suppressAutoHyphens/>
              <w:jc w:val="center"/>
              <w:rPr>
                <w:color w:val="000000"/>
                <w:sz w:val="14"/>
                <w:szCs w:val="12"/>
              </w:rPr>
            </w:pPr>
            <w:r w:rsidRPr="00175938">
              <w:rPr>
                <w:color w:val="000000"/>
                <w:sz w:val="14"/>
                <w:szCs w:val="12"/>
              </w:rPr>
              <w:t>CLAY LARNAKES</w:t>
            </w:r>
          </w:p>
        </w:tc>
        <w:tc>
          <w:tcPr>
            <w:tcW w:w="992" w:type="dxa"/>
            <w:hideMark/>
          </w:tcPr>
          <w:p w14:paraId="409F263B" w14:textId="77777777" w:rsidR="008940B3" w:rsidRPr="00175938" w:rsidRDefault="008940B3" w:rsidP="00E858EF">
            <w:pPr>
              <w:suppressAutoHyphens/>
              <w:jc w:val="center"/>
              <w:rPr>
                <w:color w:val="000000"/>
                <w:sz w:val="14"/>
                <w:szCs w:val="12"/>
              </w:rPr>
            </w:pPr>
            <w:r w:rsidRPr="00175938">
              <w:rPr>
                <w:color w:val="000000"/>
                <w:sz w:val="14"/>
                <w:szCs w:val="12"/>
              </w:rPr>
              <w:t>WOODEN BIER/</w:t>
            </w:r>
          </w:p>
          <w:p w14:paraId="348A772E" w14:textId="77777777" w:rsidR="008940B3" w:rsidRPr="00175938" w:rsidRDefault="008940B3" w:rsidP="00E858EF">
            <w:pPr>
              <w:suppressAutoHyphens/>
              <w:jc w:val="center"/>
              <w:rPr>
                <w:sz w:val="14"/>
                <w:szCs w:val="12"/>
              </w:rPr>
            </w:pPr>
            <w:r w:rsidRPr="00175938">
              <w:rPr>
                <w:color w:val="000000"/>
                <w:sz w:val="14"/>
                <w:szCs w:val="12"/>
              </w:rPr>
              <w:t>COFFIN</w:t>
            </w:r>
          </w:p>
        </w:tc>
        <w:tc>
          <w:tcPr>
            <w:tcW w:w="0" w:type="auto"/>
            <w:hideMark/>
          </w:tcPr>
          <w:p w14:paraId="3F0B0012" w14:textId="77777777" w:rsidR="008940B3" w:rsidRPr="00175938" w:rsidRDefault="008940B3" w:rsidP="00E858EF">
            <w:pPr>
              <w:suppressAutoHyphens/>
              <w:jc w:val="center"/>
              <w:rPr>
                <w:sz w:val="14"/>
                <w:szCs w:val="12"/>
              </w:rPr>
            </w:pPr>
            <w:r w:rsidRPr="00175938">
              <w:rPr>
                <w:color w:val="000000"/>
                <w:sz w:val="14"/>
                <w:szCs w:val="12"/>
              </w:rPr>
              <w:t>FLOOR</w:t>
            </w:r>
          </w:p>
        </w:tc>
        <w:tc>
          <w:tcPr>
            <w:tcW w:w="0" w:type="auto"/>
          </w:tcPr>
          <w:p w14:paraId="240E7CA5" w14:textId="77777777" w:rsidR="008940B3" w:rsidRPr="00175938" w:rsidRDefault="008940B3" w:rsidP="00E858EF">
            <w:pPr>
              <w:suppressAutoHyphens/>
              <w:jc w:val="center"/>
              <w:rPr>
                <w:color w:val="000000"/>
                <w:sz w:val="14"/>
                <w:szCs w:val="12"/>
              </w:rPr>
            </w:pPr>
            <w:r w:rsidRPr="00175938">
              <w:rPr>
                <w:color w:val="000000"/>
                <w:sz w:val="14"/>
                <w:szCs w:val="12"/>
              </w:rPr>
              <w:t>PIT</w:t>
            </w:r>
          </w:p>
        </w:tc>
        <w:tc>
          <w:tcPr>
            <w:tcW w:w="0" w:type="auto"/>
          </w:tcPr>
          <w:p w14:paraId="5AD09211" w14:textId="77777777" w:rsidR="008940B3" w:rsidRPr="00175938" w:rsidRDefault="008940B3" w:rsidP="00E858EF">
            <w:pPr>
              <w:suppressAutoHyphens/>
              <w:jc w:val="center"/>
              <w:rPr>
                <w:color w:val="000000"/>
                <w:sz w:val="14"/>
                <w:szCs w:val="12"/>
              </w:rPr>
            </w:pPr>
            <w:r w:rsidRPr="00175938">
              <w:rPr>
                <w:color w:val="000000"/>
                <w:sz w:val="14"/>
                <w:szCs w:val="12"/>
              </w:rPr>
              <w:t>BENCH</w:t>
            </w:r>
          </w:p>
        </w:tc>
        <w:tc>
          <w:tcPr>
            <w:tcW w:w="0" w:type="auto"/>
          </w:tcPr>
          <w:p w14:paraId="0E808500" w14:textId="77777777" w:rsidR="008940B3" w:rsidRPr="00175938" w:rsidRDefault="008940B3" w:rsidP="00E858EF">
            <w:pPr>
              <w:suppressAutoHyphens/>
              <w:jc w:val="center"/>
              <w:rPr>
                <w:color w:val="000000"/>
                <w:sz w:val="14"/>
                <w:szCs w:val="12"/>
              </w:rPr>
            </w:pPr>
            <w:r w:rsidRPr="00175938">
              <w:rPr>
                <w:color w:val="000000"/>
                <w:sz w:val="14"/>
                <w:szCs w:val="12"/>
              </w:rPr>
              <w:t>DROMOS</w:t>
            </w:r>
          </w:p>
        </w:tc>
        <w:tc>
          <w:tcPr>
            <w:tcW w:w="0" w:type="auto"/>
          </w:tcPr>
          <w:p w14:paraId="737AF6E9" w14:textId="77777777" w:rsidR="008940B3" w:rsidRPr="00175938" w:rsidRDefault="008940B3" w:rsidP="00E858EF">
            <w:pPr>
              <w:suppressAutoHyphens/>
              <w:jc w:val="center"/>
              <w:rPr>
                <w:color w:val="000000"/>
                <w:sz w:val="14"/>
                <w:szCs w:val="12"/>
              </w:rPr>
            </w:pPr>
            <w:r w:rsidRPr="00175938">
              <w:rPr>
                <w:color w:val="000000"/>
                <w:sz w:val="14"/>
                <w:szCs w:val="12"/>
              </w:rPr>
              <w:t>PITHOS</w:t>
            </w:r>
          </w:p>
        </w:tc>
        <w:tc>
          <w:tcPr>
            <w:tcW w:w="0" w:type="auto"/>
          </w:tcPr>
          <w:p w14:paraId="4F5F4566" w14:textId="77777777" w:rsidR="008940B3" w:rsidRPr="00175938" w:rsidRDefault="008940B3" w:rsidP="00E858EF">
            <w:pPr>
              <w:suppressAutoHyphens/>
              <w:jc w:val="center"/>
              <w:rPr>
                <w:sz w:val="14"/>
                <w:szCs w:val="12"/>
              </w:rPr>
            </w:pPr>
            <w:r w:rsidRPr="00175938">
              <w:rPr>
                <w:sz w:val="14"/>
                <w:szCs w:val="12"/>
              </w:rPr>
              <w:t>VASE</w:t>
            </w:r>
          </w:p>
          <w:p w14:paraId="14F64488" w14:textId="77777777" w:rsidR="008940B3" w:rsidRPr="00175938" w:rsidRDefault="008940B3" w:rsidP="00E858EF">
            <w:pPr>
              <w:suppressAutoHyphens/>
              <w:jc w:val="center"/>
              <w:rPr>
                <w:sz w:val="14"/>
                <w:szCs w:val="12"/>
              </w:rPr>
            </w:pPr>
            <w:r w:rsidRPr="00175938">
              <w:rPr>
                <w:sz w:val="14"/>
                <w:szCs w:val="12"/>
              </w:rPr>
              <w:t>(ASHES)</w:t>
            </w:r>
          </w:p>
        </w:tc>
        <w:tc>
          <w:tcPr>
            <w:tcW w:w="0" w:type="auto"/>
            <w:hideMark/>
          </w:tcPr>
          <w:p w14:paraId="46AFCD27" w14:textId="77777777" w:rsidR="008940B3" w:rsidRPr="00175938" w:rsidRDefault="008940B3" w:rsidP="00E858EF">
            <w:pPr>
              <w:suppressAutoHyphens/>
              <w:jc w:val="center"/>
              <w:rPr>
                <w:sz w:val="14"/>
                <w:szCs w:val="12"/>
              </w:rPr>
            </w:pPr>
            <w:r w:rsidRPr="00175938">
              <w:rPr>
                <w:sz w:val="14"/>
                <w:szCs w:val="12"/>
              </w:rPr>
              <w:t>N/A</w:t>
            </w:r>
          </w:p>
        </w:tc>
      </w:tr>
      <w:tr w:rsidR="008940B3" w:rsidRPr="00175938" w14:paraId="61B98234" w14:textId="77777777" w:rsidTr="00175938">
        <w:trPr>
          <w:trHeight w:val="175"/>
        </w:trPr>
        <w:tc>
          <w:tcPr>
            <w:tcW w:w="1951" w:type="dxa"/>
          </w:tcPr>
          <w:p w14:paraId="7573B416"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ACHLADIA</w:t>
            </w:r>
          </w:p>
        </w:tc>
        <w:tc>
          <w:tcPr>
            <w:tcW w:w="1134" w:type="dxa"/>
          </w:tcPr>
          <w:p w14:paraId="72D09392"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c>
          <w:tcPr>
            <w:tcW w:w="992" w:type="dxa"/>
            <w:hideMark/>
          </w:tcPr>
          <w:p w14:paraId="46BA3150" w14:textId="77777777" w:rsidR="008940B3" w:rsidRPr="00175938" w:rsidRDefault="008940B3" w:rsidP="00E858EF">
            <w:pPr>
              <w:suppressAutoHyphens/>
              <w:jc w:val="center"/>
              <w:rPr>
                <w:sz w:val="14"/>
                <w:szCs w:val="12"/>
              </w:rPr>
            </w:pPr>
          </w:p>
        </w:tc>
        <w:tc>
          <w:tcPr>
            <w:tcW w:w="0" w:type="auto"/>
            <w:hideMark/>
          </w:tcPr>
          <w:p w14:paraId="7002ABD7" w14:textId="77777777" w:rsidR="008940B3" w:rsidRPr="00175938" w:rsidRDefault="008940B3" w:rsidP="00E858EF">
            <w:pPr>
              <w:suppressAutoHyphens/>
              <w:jc w:val="center"/>
              <w:rPr>
                <w:sz w:val="14"/>
                <w:szCs w:val="12"/>
              </w:rPr>
            </w:pPr>
          </w:p>
        </w:tc>
        <w:tc>
          <w:tcPr>
            <w:tcW w:w="0" w:type="auto"/>
          </w:tcPr>
          <w:p w14:paraId="318758E2" w14:textId="77777777" w:rsidR="008940B3" w:rsidRPr="00175938" w:rsidRDefault="008940B3" w:rsidP="00E858EF">
            <w:pPr>
              <w:suppressAutoHyphens/>
              <w:jc w:val="center"/>
              <w:rPr>
                <w:sz w:val="14"/>
                <w:szCs w:val="12"/>
              </w:rPr>
            </w:pPr>
          </w:p>
        </w:tc>
        <w:tc>
          <w:tcPr>
            <w:tcW w:w="0" w:type="auto"/>
          </w:tcPr>
          <w:p w14:paraId="3069A0A8" w14:textId="77777777" w:rsidR="008940B3" w:rsidRPr="00175938" w:rsidRDefault="008940B3" w:rsidP="00E858EF">
            <w:pPr>
              <w:suppressAutoHyphens/>
              <w:jc w:val="center"/>
              <w:rPr>
                <w:sz w:val="14"/>
                <w:szCs w:val="12"/>
              </w:rPr>
            </w:pPr>
          </w:p>
        </w:tc>
        <w:tc>
          <w:tcPr>
            <w:tcW w:w="0" w:type="auto"/>
          </w:tcPr>
          <w:p w14:paraId="5F451C9A" w14:textId="77777777" w:rsidR="008940B3" w:rsidRPr="00175938" w:rsidRDefault="008940B3" w:rsidP="00E858EF">
            <w:pPr>
              <w:suppressAutoHyphens/>
              <w:jc w:val="center"/>
              <w:rPr>
                <w:sz w:val="14"/>
                <w:szCs w:val="12"/>
              </w:rPr>
            </w:pPr>
          </w:p>
        </w:tc>
        <w:tc>
          <w:tcPr>
            <w:tcW w:w="0" w:type="auto"/>
          </w:tcPr>
          <w:p w14:paraId="79673C66" w14:textId="77777777" w:rsidR="008940B3" w:rsidRPr="00175938" w:rsidRDefault="008940B3" w:rsidP="00E858EF">
            <w:pPr>
              <w:suppressAutoHyphens/>
              <w:jc w:val="center"/>
              <w:rPr>
                <w:sz w:val="14"/>
                <w:szCs w:val="12"/>
              </w:rPr>
            </w:pPr>
          </w:p>
        </w:tc>
        <w:tc>
          <w:tcPr>
            <w:tcW w:w="0" w:type="auto"/>
          </w:tcPr>
          <w:p w14:paraId="088509F2" w14:textId="77777777" w:rsidR="008940B3" w:rsidRPr="00175938" w:rsidRDefault="008940B3" w:rsidP="00E858EF">
            <w:pPr>
              <w:suppressAutoHyphens/>
              <w:jc w:val="center"/>
              <w:rPr>
                <w:sz w:val="14"/>
                <w:szCs w:val="12"/>
              </w:rPr>
            </w:pPr>
          </w:p>
        </w:tc>
        <w:tc>
          <w:tcPr>
            <w:tcW w:w="0" w:type="auto"/>
            <w:hideMark/>
          </w:tcPr>
          <w:p w14:paraId="72DB4A2D" w14:textId="77777777" w:rsidR="008940B3" w:rsidRPr="00175938" w:rsidRDefault="008940B3" w:rsidP="00E858EF">
            <w:pPr>
              <w:suppressAutoHyphens/>
              <w:jc w:val="center"/>
              <w:rPr>
                <w:sz w:val="14"/>
                <w:szCs w:val="12"/>
              </w:rPr>
            </w:pPr>
          </w:p>
        </w:tc>
      </w:tr>
      <w:tr w:rsidR="008940B3" w:rsidRPr="00175938" w14:paraId="001D5B20" w14:textId="77777777" w:rsidTr="00175938">
        <w:trPr>
          <w:trHeight w:val="175"/>
        </w:trPr>
        <w:tc>
          <w:tcPr>
            <w:tcW w:w="1951" w:type="dxa"/>
          </w:tcPr>
          <w:p w14:paraId="24C4E76C"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ADROMYLOI</w:t>
            </w:r>
          </w:p>
        </w:tc>
        <w:tc>
          <w:tcPr>
            <w:tcW w:w="1134" w:type="dxa"/>
          </w:tcPr>
          <w:p w14:paraId="30EEEE9B"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hideMark/>
          </w:tcPr>
          <w:p w14:paraId="59447804" w14:textId="77777777" w:rsidR="008940B3" w:rsidRPr="00175938" w:rsidRDefault="008940B3" w:rsidP="00E858EF">
            <w:pPr>
              <w:suppressAutoHyphens/>
              <w:jc w:val="center"/>
              <w:rPr>
                <w:sz w:val="14"/>
                <w:szCs w:val="12"/>
              </w:rPr>
            </w:pPr>
          </w:p>
        </w:tc>
        <w:tc>
          <w:tcPr>
            <w:tcW w:w="0" w:type="auto"/>
            <w:hideMark/>
          </w:tcPr>
          <w:p w14:paraId="32BD04C6" w14:textId="77777777" w:rsidR="008940B3" w:rsidRPr="00175938" w:rsidRDefault="008940B3" w:rsidP="00E858EF">
            <w:pPr>
              <w:suppressAutoHyphens/>
              <w:jc w:val="center"/>
              <w:rPr>
                <w:sz w:val="14"/>
                <w:szCs w:val="12"/>
              </w:rPr>
            </w:pPr>
          </w:p>
        </w:tc>
        <w:tc>
          <w:tcPr>
            <w:tcW w:w="0" w:type="auto"/>
          </w:tcPr>
          <w:p w14:paraId="186CF92C" w14:textId="77777777" w:rsidR="008940B3" w:rsidRPr="00175938" w:rsidRDefault="008940B3" w:rsidP="00E858EF">
            <w:pPr>
              <w:suppressAutoHyphens/>
              <w:jc w:val="center"/>
              <w:rPr>
                <w:sz w:val="14"/>
                <w:szCs w:val="12"/>
              </w:rPr>
            </w:pPr>
          </w:p>
        </w:tc>
        <w:tc>
          <w:tcPr>
            <w:tcW w:w="0" w:type="auto"/>
          </w:tcPr>
          <w:p w14:paraId="279FCD46" w14:textId="77777777" w:rsidR="008940B3" w:rsidRPr="00175938" w:rsidRDefault="008940B3" w:rsidP="00E858EF">
            <w:pPr>
              <w:suppressAutoHyphens/>
              <w:jc w:val="center"/>
              <w:rPr>
                <w:sz w:val="14"/>
                <w:szCs w:val="12"/>
              </w:rPr>
            </w:pPr>
          </w:p>
        </w:tc>
        <w:tc>
          <w:tcPr>
            <w:tcW w:w="0" w:type="auto"/>
          </w:tcPr>
          <w:p w14:paraId="3892CA6D" w14:textId="77777777" w:rsidR="008940B3" w:rsidRPr="00175938" w:rsidRDefault="008940B3" w:rsidP="00E858EF">
            <w:pPr>
              <w:suppressAutoHyphens/>
              <w:jc w:val="center"/>
              <w:rPr>
                <w:sz w:val="14"/>
                <w:szCs w:val="12"/>
              </w:rPr>
            </w:pPr>
          </w:p>
        </w:tc>
        <w:tc>
          <w:tcPr>
            <w:tcW w:w="0" w:type="auto"/>
          </w:tcPr>
          <w:p w14:paraId="726C82D3" w14:textId="77777777" w:rsidR="008940B3" w:rsidRPr="00175938" w:rsidRDefault="008940B3" w:rsidP="00E858EF">
            <w:pPr>
              <w:suppressAutoHyphens/>
              <w:jc w:val="center"/>
              <w:rPr>
                <w:sz w:val="14"/>
                <w:szCs w:val="12"/>
              </w:rPr>
            </w:pPr>
          </w:p>
        </w:tc>
        <w:tc>
          <w:tcPr>
            <w:tcW w:w="0" w:type="auto"/>
          </w:tcPr>
          <w:p w14:paraId="47E3C094" w14:textId="77777777" w:rsidR="008940B3" w:rsidRPr="00175938" w:rsidRDefault="008940B3" w:rsidP="00E858EF">
            <w:pPr>
              <w:suppressAutoHyphens/>
              <w:jc w:val="center"/>
              <w:rPr>
                <w:sz w:val="14"/>
                <w:szCs w:val="12"/>
              </w:rPr>
            </w:pPr>
          </w:p>
        </w:tc>
        <w:tc>
          <w:tcPr>
            <w:tcW w:w="0" w:type="auto"/>
            <w:hideMark/>
          </w:tcPr>
          <w:p w14:paraId="075FC536"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r>
      <w:tr w:rsidR="008940B3" w:rsidRPr="00175938" w14:paraId="138D2CAF" w14:textId="77777777" w:rsidTr="00175938">
        <w:trPr>
          <w:trHeight w:val="175"/>
        </w:trPr>
        <w:tc>
          <w:tcPr>
            <w:tcW w:w="1951" w:type="dxa"/>
          </w:tcPr>
          <w:p w14:paraId="013D7813"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BERATI PISKOKEPHALO</w:t>
            </w:r>
          </w:p>
        </w:tc>
        <w:tc>
          <w:tcPr>
            <w:tcW w:w="1134" w:type="dxa"/>
          </w:tcPr>
          <w:p w14:paraId="2E343324"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c>
          <w:tcPr>
            <w:tcW w:w="992" w:type="dxa"/>
            <w:hideMark/>
          </w:tcPr>
          <w:p w14:paraId="239AC3CF" w14:textId="77777777" w:rsidR="008940B3" w:rsidRPr="00175938" w:rsidRDefault="008940B3" w:rsidP="00E858EF">
            <w:pPr>
              <w:suppressAutoHyphens/>
              <w:jc w:val="center"/>
              <w:rPr>
                <w:sz w:val="14"/>
                <w:szCs w:val="12"/>
              </w:rPr>
            </w:pPr>
          </w:p>
        </w:tc>
        <w:tc>
          <w:tcPr>
            <w:tcW w:w="0" w:type="auto"/>
            <w:hideMark/>
          </w:tcPr>
          <w:p w14:paraId="03569F30" w14:textId="77777777" w:rsidR="008940B3" w:rsidRPr="00175938" w:rsidRDefault="008940B3" w:rsidP="00E858EF">
            <w:pPr>
              <w:suppressAutoHyphens/>
              <w:jc w:val="center"/>
              <w:rPr>
                <w:sz w:val="14"/>
                <w:szCs w:val="12"/>
              </w:rPr>
            </w:pPr>
          </w:p>
        </w:tc>
        <w:tc>
          <w:tcPr>
            <w:tcW w:w="0" w:type="auto"/>
          </w:tcPr>
          <w:p w14:paraId="2D25B6C0" w14:textId="77777777" w:rsidR="008940B3" w:rsidRPr="00175938" w:rsidRDefault="008940B3" w:rsidP="00E858EF">
            <w:pPr>
              <w:suppressAutoHyphens/>
              <w:jc w:val="center"/>
              <w:rPr>
                <w:sz w:val="14"/>
                <w:szCs w:val="12"/>
              </w:rPr>
            </w:pPr>
          </w:p>
        </w:tc>
        <w:tc>
          <w:tcPr>
            <w:tcW w:w="0" w:type="auto"/>
          </w:tcPr>
          <w:p w14:paraId="1AE0B413" w14:textId="77777777" w:rsidR="008940B3" w:rsidRPr="00175938" w:rsidRDefault="008940B3" w:rsidP="00E858EF">
            <w:pPr>
              <w:suppressAutoHyphens/>
              <w:jc w:val="center"/>
              <w:rPr>
                <w:sz w:val="14"/>
                <w:szCs w:val="12"/>
              </w:rPr>
            </w:pPr>
          </w:p>
        </w:tc>
        <w:tc>
          <w:tcPr>
            <w:tcW w:w="0" w:type="auto"/>
          </w:tcPr>
          <w:p w14:paraId="39690BF4" w14:textId="77777777" w:rsidR="008940B3" w:rsidRPr="00175938" w:rsidRDefault="008940B3" w:rsidP="00E858EF">
            <w:pPr>
              <w:suppressAutoHyphens/>
              <w:jc w:val="center"/>
              <w:rPr>
                <w:sz w:val="14"/>
                <w:szCs w:val="12"/>
              </w:rPr>
            </w:pPr>
          </w:p>
        </w:tc>
        <w:tc>
          <w:tcPr>
            <w:tcW w:w="0" w:type="auto"/>
          </w:tcPr>
          <w:p w14:paraId="0DFC5B52"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c>
          <w:tcPr>
            <w:tcW w:w="0" w:type="auto"/>
          </w:tcPr>
          <w:p w14:paraId="25481DCD"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0" w:type="auto"/>
            <w:hideMark/>
          </w:tcPr>
          <w:p w14:paraId="5AAC001D" w14:textId="77777777" w:rsidR="008940B3" w:rsidRPr="00175938" w:rsidRDefault="008940B3" w:rsidP="00E858EF">
            <w:pPr>
              <w:suppressAutoHyphens/>
              <w:jc w:val="center"/>
              <w:rPr>
                <w:sz w:val="14"/>
                <w:szCs w:val="12"/>
              </w:rPr>
            </w:pPr>
          </w:p>
        </w:tc>
      </w:tr>
      <w:tr w:rsidR="008940B3" w:rsidRPr="00175938" w14:paraId="2F73171D" w14:textId="77777777" w:rsidTr="00175938">
        <w:trPr>
          <w:trHeight w:val="175"/>
        </w:trPr>
        <w:tc>
          <w:tcPr>
            <w:tcW w:w="1951" w:type="dxa"/>
          </w:tcPr>
          <w:p w14:paraId="29F7E861"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CHALEPA</w:t>
            </w:r>
          </w:p>
        </w:tc>
        <w:tc>
          <w:tcPr>
            <w:tcW w:w="1134" w:type="dxa"/>
          </w:tcPr>
          <w:p w14:paraId="269A8A8F"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hideMark/>
          </w:tcPr>
          <w:p w14:paraId="11C26811" w14:textId="77777777" w:rsidR="008940B3" w:rsidRPr="00175938" w:rsidRDefault="008940B3" w:rsidP="00E858EF">
            <w:pPr>
              <w:suppressAutoHyphens/>
              <w:jc w:val="center"/>
              <w:rPr>
                <w:sz w:val="14"/>
                <w:szCs w:val="12"/>
              </w:rPr>
            </w:pPr>
          </w:p>
        </w:tc>
        <w:tc>
          <w:tcPr>
            <w:tcW w:w="0" w:type="auto"/>
            <w:hideMark/>
          </w:tcPr>
          <w:p w14:paraId="6A1F1F07" w14:textId="77777777" w:rsidR="008940B3" w:rsidRPr="00175938" w:rsidRDefault="008940B3" w:rsidP="00E858EF">
            <w:pPr>
              <w:suppressAutoHyphens/>
              <w:jc w:val="center"/>
              <w:rPr>
                <w:sz w:val="14"/>
                <w:szCs w:val="12"/>
              </w:rPr>
            </w:pPr>
          </w:p>
        </w:tc>
        <w:tc>
          <w:tcPr>
            <w:tcW w:w="0" w:type="auto"/>
          </w:tcPr>
          <w:p w14:paraId="46F63AFD" w14:textId="77777777" w:rsidR="008940B3" w:rsidRPr="00175938" w:rsidRDefault="008940B3" w:rsidP="00E858EF">
            <w:pPr>
              <w:suppressAutoHyphens/>
              <w:jc w:val="center"/>
              <w:rPr>
                <w:sz w:val="14"/>
                <w:szCs w:val="12"/>
              </w:rPr>
            </w:pPr>
          </w:p>
        </w:tc>
        <w:tc>
          <w:tcPr>
            <w:tcW w:w="0" w:type="auto"/>
          </w:tcPr>
          <w:p w14:paraId="6F41E7E1" w14:textId="77777777" w:rsidR="008940B3" w:rsidRPr="00175938" w:rsidRDefault="008940B3" w:rsidP="00E858EF">
            <w:pPr>
              <w:suppressAutoHyphens/>
              <w:jc w:val="center"/>
              <w:rPr>
                <w:sz w:val="14"/>
                <w:szCs w:val="12"/>
              </w:rPr>
            </w:pPr>
          </w:p>
        </w:tc>
        <w:tc>
          <w:tcPr>
            <w:tcW w:w="0" w:type="auto"/>
          </w:tcPr>
          <w:p w14:paraId="4E699920" w14:textId="77777777" w:rsidR="008940B3" w:rsidRPr="00175938" w:rsidRDefault="008940B3" w:rsidP="00E858EF">
            <w:pPr>
              <w:suppressAutoHyphens/>
              <w:jc w:val="center"/>
              <w:rPr>
                <w:sz w:val="14"/>
                <w:szCs w:val="12"/>
              </w:rPr>
            </w:pPr>
          </w:p>
        </w:tc>
        <w:tc>
          <w:tcPr>
            <w:tcW w:w="0" w:type="auto"/>
          </w:tcPr>
          <w:p w14:paraId="44243A2A" w14:textId="77777777" w:rsidR="008940B3" w:rsidRPr="00175938" w:rsidRDefault="008940B3" w:rsidP="00E858EF">
            <w:pPr>
              <w:suppressAutoHyphens/>
              <w:jc w:val="center"/>
              <w:rPr>
                <w:sz w:val="14"/>
                <w:szCs w:val="12"/>
              </w:rPr>
            </w:pPr>
          </w:p>
        </w:tc>
        <w:tc>
          <w:tcPr>
            <w:tcW w:w="0" w:type="auto"/>
          </w:tcPr>
          <w:p w14:paraId="3CD8396C" w14:textId="77777777" w:rsidR="008940B3" w:rsidRPr="00175938" w:rsidRDefault="008940B3" w:rsidP="00E858EF">
            <w:pPr>
              <w:suppressAutoHyphens/>
              <w:jc w:val="center"/>
              <w:rPr>
                <w:sz w:val="14"/>
                <w:szCs w:val="12"/>
              </w:rPr>
            </w:pPr>
          </w:p>
        </w:tc>
        <w:tc>
          <w:tcPr>
            <w:tcW w:w="0" w:type="auto"/>
            <w:hideMark/>
          </w:tcPr>
          <w:p w14:paraId="4E1FA7BF" w14:textId="77777777" w:rsidR="008940B3" w:rsidRPr="00175938" w:rsidRDefault="008940B3" w:rsidP="00E858EF">
            <w:pPr>
              <w:suppressAutoHyphens/>
              <w:jc w:val="center"/>
              <w:rPr>
                <w:sz w:val="14"/>
                <w:szCs w:val="12"/>
              </w:rPr>
            </w:pPr>
          </w:p>
        </w:tc>
      </w:tr>
      <w:tr w:rsidR="008940B3" w:rsidRPr="00175938" w14:paraId="12B2E676" w14:textId="77777777" w:rsidTr="00175938">
        <w:trPr>
          <w:trHeight w:val="175"/>
        </w:trPr>
        <w:tc>
          <w:tcPr>
            <w:tcW w:w="1951" w:type="dxa"/>
          </w:tcPr>
          <w:p w14:paraId="6D4A8D5F"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ELLINIKA</w:t>
            </w:r>
          </w:p>
        </w:tc>
        <w:tc>
          <w:tcPr>
            <w:tcW w:w="1134" w:type="dxa"/>
          </w:tcPr>
          <w:p w14:paraId="601E6D8C"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hideMark/>
          </w:tcPr>
          <w:p w14:paraId="0A5D6D67" w14:textId="77777777" w:rsidR="008940B3" w:rsidRPr="00175938" w:rsidRDefault="008940B3" w:rsidP="00E858EF">
            <w:pPr>
              <w:suppressAutoHyphens/>
              <w:jc w:val="center"/>
              <w:rPr>
                <w:sz w:val="14"/>
                <w:szCs w:val="12"/>
              </w:rPr>
            </w:pPr>
          </w:p>
        </w:tc>
        <w:tc>
          <w:tcPr>
            <w:tcW w:w="0" w:type="auto"/>
            <w:hideMark/>
          </w:tcPr>
          <w:p w14:paraId="3D3ABE38" w14:textId="77777777" w:rsidR="008940B3" w:rsidRPr="00175938" w:rsidRDefault="008940B3" w:rsidP="00E858EF">
            <w:pPr>
              <w:suppressAutoHyphens/>
              <w:jc w:val="center"/>
              <w:rPr>
                <w:sz w:val="14"/>
                <w:szCs w:val="12"/>
              </w:rPr>
            </w:pPr>
          </w:p>
        </w:tc>
        <w:tc>
          <w:tcPr>
            <w:tcW w:w="0" w:type="auto"/>
          </w:tcPr>
          <w:p w14:paraId="11A02DDB" w14:textId="77777777" w:rsidR="008940B3" w:rsidRPr="00175938" w:rsidRDefault="008940B3" w:rsidP="00E858EF">
            <w:pPr>
              <w:suppressAutoHyphens/>
              <w:jc w:val="center"/>
              <w:rPr>
                <w:sz w:val="14"/>
                <w:szCs w:val="12"/>
              </w:rPr>
            </w:pPr>
          </w:p>
        </w:tc>
        <w:tc>
          <w:tcPr>
            <w:tcW w:w="0" w:type="auto"/>
          </w:tcPr>
          <w:p w14:paraId="490BF749" w14:textId="77777777" w:rsidR="008940B3" w:rsidRPr="00175938" w:rsidRDefault="008940B3" w:rsidP="00E858EF">
            <w:pPr>
              <w:suppressAutoHyphens/>
              <w:jc w:val="center"/>
              <w:rPr>
                <w:sz w:val="14"/>
                <w:szCs w:val="12"/>
              </w:rPr>
            </w:pPr>
          </w:p>
        </w:tc>
        <w:tc>
          <w:tcPr>
            <w:tcW w:w="0" w:type="auto"/>
          </w:tcPr>
          <w:p w14:paraId="6B1A855B" w14:textId="77777777" w:rsidR="008940B3" w:rsidRPr="00175938" w:rsidRDefault="008940B3" w:rsidP="00E858EF">
            <w:pPr>
              <w:suppressAutoHyphens/>
              <w:jc w:val="center"/>
              <w:rPr>
                <w:sz w:val="14"/>
                <w:szCs w:val="12"/>
              </w:rPr>
            </w:pPr>
          </w:p>
        </w:tc>
        <w:tc>
          <w:tcPr>
            <w:tcW w:w="0" w:type="auto"/>
          </w:tcPr>
          <w:p w14:paraId="737AEC17" w14:textId="77777777" w:rsidR="008940B3" w:rsidRPr="00175938" w:rsidRDefault="008940B3" w:rsidP="00E858EF">
            <w:pPr>
              <w:suppressAutoHyphens/>
              <w:jc w:val="center"/>
              <w:rPr>
                <w:sz w:val="14"/>
                <w:szCs w:val="12"/>
              </w:rPr>
            </w:pPr>
          </w:p>
        </w:tc>
        <w:tc>
          <w:tcPr>
            <w:tcW w:w="0" w:type="auto"/>
          </w:tcPr>
          <w:p w14:paraId="4DC02E42" w14:textId="77777777" w:rsidR="008940B3" w:rsidRPr="00175938" w:rsidRDefault="008940B3" w:rsidP="00E858EF">
            <w:pPr>
              <w:suppressAutoHyphens/>
              <w:jc w:val="center"/>
              <w:rPr>
                <w:sz w:val="14"/>
                <w:szCs w:val="12"/>
              </w:rPr>
            </w:pPr>
          </w:p>
        </w:tc>
        <w:tc>
          <w:tcPr>
            <w:tcW w:w="0" w:type="auto"/>
            <w:hideMark/>
          </w:tcPr>
          <w:p w14:paraId="60BB7636" w14:textId="77777777" w:rsidR="008940B3" w:rsidRPr="00175938" w:rsidRDefault="008940B3" w:rsidP="00E858EF">
            <w:pPr>
              <w:suppressAutoHyphens/>
              <w:jc w:val="center"/>
              <w:rPr>
                <w:sz w:val="14"/>
                <w:szCs w:val="12"/>
              </w:rPr>
            </w:pPr>
          </w:p>
        </w:tc>
      </w:tr>
      <w:tr w:rsidR="008940B3" w:rsidRPr="00175938" w14:paraId="06D072AB" w14:textId="77777777" w:rsidTr="00175938">
        <w:trPr>
          <w:trHeight w:val="175"/>
        </w:trPr>
        <w:tc>
          <w:tcPr>
            <w:tcW w:w="1951" w:type="dxa"/>
          </w:tcPr>
          <w:p w14:paraId="74400578"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EPISKOPI IERAPETRA</w:t>
            </w:r>
          </w:p>
        </w:tc>
        <w:tc>
          <w:tcPr>
            <w:tcW w:w="1134" w:type="dxa"/>
          </w:tcPr>
          <w:p w14:paraId="571ECD2B"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hideMark/>
          </w:tcPr>
          <w:p w14:paraId="53B1DF22" w14:textId="77777777" w:rsidR="008940B3" w:rsidRPr="00175938" w:rsidRDefault="008940B3" w:rsidP="00E858EF">
            <w:pPr>
              <w:suppressAutoHyphens/>
              <w:jc w:val="center"/>
              <w:rPr>
                <w:sz w:val="14"/>
                <w:szCs w:val="12"/>
              </w:rPr>
            </w:pPr>
          </w:p>
        </w:tc>
        <w:tc>
          <w:tcPr>
            <w:tcW w:w="0" w:type="auto"/>
            <w:hideMark/>
          </w:tcPr>
          <w:p w14:paraId="69CA067F" w14:textId="77777777" w:rsidR="008940B3" w:rsidRPr="00175938" w:rsidRDefault="008940B3" w:rsidP="00E858EF">
            <w:pPr>
              <w:suppressAutoHyphens/>
              <w:jc w:val="center"/>
              <w:rPr>
                <w:sz w:val="14"/>
                <w:szCs w:val="12"/>
              </w:rPr>
            </w:pPr>
          </w:p>
        </w:tc>
        <w:tc>
          <w:tcPr>
            <w:tcW w:w="0" w:type="auto"/>
          </w:tcPr>
          <w:p w14:paraId="06682C9A" w14:textId="77777777" w:rsidR="008940B3" w:rsidRPr="00175938" w:rsidRDefault="008940B3" w:rsidP="00E858EF">
            <w:pPr>
              <w:suppressAutoHyphens/>
              <w:jc w:val="center"/>
              <w:rPr>
                <w:sz w:val="14"/>
                <w:szCs w:val="12"/>
              </w:rPr>
            </w:pPr>
          </w:p>
        </w:tc>
        <w:tc>
          <w:tcPr>
            <w:tcW w:w="0" w:type="auto"/>
          </w:tcPr>
          <w:p w14:paraId="6583CA16" w14:textId="77777777" w:rsidR="008940B3" w:rsidRPr="00175938" w:rsidRDefault="008940B3" w:rsidP="00E858EF">
            <w:pPr>
              <w:suppressAutoHyphens/>
              <w:jc w:val="center"/>
              <w:rPr>
                <w:sz w:val="14"/>
                <w:szCs w:val="12"/>
              </w:rPr>
            </w:pPr>
          </w:p>
        </w:tc>
        <w:tc>
          <w:tcPr>
            <w:tcW w:w="0" w:type="auto"/>
          </w:tcPr>
          <w:p w14:paraId="0BECAC66" w14:textId="77777777" w:rsidR="008940B3" w:rsidRPr="00175938" w:rsidRDefault="008940B3" w:rsidP="00E858EF">
            <w:pPr>
              <w:suppressAutoHyphens/>
              <w:jc w:val="center"/>
              <w:rPr>
                <w:sz w:val="14"/>
                <w:szCs w:val="12"/>
              </w:rPr>
            </w:pPr>
          </w:p>
        </w:tc>
        <w:tc>
          <w:tcPr>
            <w:tcW w:w="0" w:type="auto"/>
          </w:tcPr>
          <w:p w14:paraId="119E88F1" w14:textId="77777777" w:rsidR="008940B3" w:rsidRPr="00175938" w:rsidRDefault="008940B3" w:rsidP="00E858EF">
            <w:pPr>
              <w:suppressAutoHyphens/>
              <w:jc w:val="center"/>
              <w:rPr>
                <w:sz w:val="14"/>
                <w:szCs w:val="12"/>
              </w:rPr>
            </w:pPr>
          </w:p>
        </w:tc>
        <w:tc>
          <w:tcPr>
            <w:tcW w:w="0" w:type="auto"/>
          </w:tcPr>
          <w:p w14:paraId="09F84EC2" w14:textId="77777777" w:rsidR="008940B3" w:rsidRPr="00175938" w:rsidRDefault="008940B3" w:rsidP="00E858EF">
            <w:pPr>
              <w:suppressAutoHyphens/>
              <w:jc w:val="center"/>
              <w:rPr>
                <w:sz w:val="14"/>
                <w:szCs w:val="12"/>
              </w:rPr>
            </w:pPr>
          </w:p>
        </w:tc>
        <w:tc>
          <w:tcPr>
            <w:tcW w:w="0" w:type="auto"/>
            <w:hideMark/>
          </w:tcPr>
          <w:p w14:paraId="15F22DB7"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r>
      <w:tr w:rsidR="008940B3" w:rsidRPr="00175938" w14:paraId="76C9598A" w14:textId="77777777" w:rsidTr="00175938">
        <w:trPr>
          <w:trHeight w:val="175"/>
        </w:trPr>
        <w:tc>
          <w:tcPr>
            <w:tcW w:w="1951" w:type="dxa"/>
          </w:tcPr>
          <w:p w14:paraId="05CBAB8B"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GOURNIA</w:t>
            </w:r>
          </w:p>
        </w:tc>
        <w:tc>
          <w:tcPr>
            <w:tcW w:w="1134" w:type="dxa"/>
          </w:tcPr>
          <w:p w14:paraId="7180A76B"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c>
          <w:tcPr>
            <w:tcW w:w="992" w:type="dxa"/>
            <w:hideMark/>
          </w:tcPr>
          <w:p w14:paraId="6FA3AF5A" w14:textId="77777777" w:rsidR="008940B3" w:rsidRPr="00175938" w:rsidRDefault="008940B3" w:rsidP="00E858EF">
            <w:pPr>
              <w:suppressAutoHyphens/>
              <w:jc w:val="center"/>
              <w:rPr>
                <w:sz w:val="14"/>
                <w:szCs w:val="12"/>
              </w:rPr>
            </w:pPr>
          </w:p>
        </w:tc>
        <w:tc>
          <w:tcPr>
            <w:tcW w:w="0" w:type="auto"/>
            <w:hideMark/>
          </w:tcPr>
          <w:p w14:paraId="758AF6B8" w14:textId="77777777" w:rsidR="008940B3" w:rsidRPr="00175938" w:rsidRDefault="008940B3" w:rsidP="00E858EF">
            <w:pPr>
              <w:suppressAutoHyphens/>
              <w:jc w:val="center"/>
              <w:rPr>
                <w:sz w:val="14"/>
                <w:szCs w:val="12"/>
              </w:rPr>
            </w:pPr>
          </w:p>
        </w:tc>
        <w:tc>
          <w:tcPr>
            <w:tcW w:w="0" w:type="auto"/>
          </w:tcPr>
          <w:p w14:paraId="6F27E7C1" w14:textId="77777777" w:rsidR="008940B3" w:rsidRPr="00175938" w:rsidRDefault="008940B3" w:rsidP="00E858EF">
            <w:pPr>
              <w:suppressAutoHyphens/>
              <w:jc w:val="center"/>
              <w:rPr>
                <w:sz w:val="14"/>
                <w:szCs w:val="12"/>
              </w:rPr>
            </w:pPr>
          </w:p>
        </w:tc>
        <w:tc>
          <w:tcPr>
            <w:tcW w:w="0" w:type="auto"/>
          </w:tcPr>
          <w:p w14:paraId="68F2BB24" w14:textId="77777777" w:rsidR="008940B3" w:rsidRPr="00175938" w:rsidRDefault="008940B3" w:rsidP="00E858EF">
            <w:pPr>
              <w:suppressAutoHyphens/>
              <w:jc w:val="center"/>
              <w:rPr>
                <w:sz w:val="14"/>
                <w:szCs w:val="12"/>
              </w:rPr>
            </w:pPr>
          </w:p>
        </w:tc>
        <w:tc>
          <w:tcPr>
            <w:tcW w:w="0" w:type="auto"/>
          </w:tcPr>
          <w:p w14:paraId="430240CD" w14:textId="77777777" w:rsidR="008940B3" w:rsidRPr="00175938" w:rsidRDefault="008940B3" w:rsidP="00E858EF">
            <w:pPr>
              <w:suppressAutoHyphens/>
              <w:jc w:val="center"/>
              <w:rPr>
                <w:sz w:val="14"/>
                <w:szCs w:val="12"/>
              </w:rPr>
            </w:pPr>
          </w:p>
        </w:tc>
        <w:tc>
          <w:tcPr>
            <w:tcW w:w="0" w:type="auto"/>
          </w:tcPr>
          <w:p w14:paraId="487CC174"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c>
          <w:tcPr>
            <w:tcW w:w="0" w:type="auto"/>
          </w:tcPr>
          <w:p w14:paraId="751655D4" w14:textId="77777777" w:rsidR="008940B3" w:rsidRPr="00175938" w:rsidRDefault="008940B3" w:rsidP="00E858EF">
            <w:pPr>
              <w:suppressAutoHyphens/>
              <w:jc w:val="center"/>
              <w:rPr>
                <w:sz w:val="14"/>
                <w:szCs w:val="12"/>
              </w:rPr>
            </w:pPr>
          </w:p>
        </w:tc>
        <w:tc>
          <w:tcPr>
            <w:tcW w:w="0" w:type="auto"/>
            <w:hideMark/>
          </w:tcPr>
          <w:p w14:paraId="74E7AC49" w14:textId="77777777" w:rsidR="008940B3" w:rsidRPr="00175938" w:rsidRDefault="008940B3" w:rsidP="00E858EF">
            <w:pPr>
              <w:suppressAutoHyphens/>
              <w:jc w:val="center"/>
              <w:rPr>
                <w:sz w:val="14"/>
                <w:szCs w:val="12"/>
              </w:rPr>
            </w:pPr>
          </w:p>
        </w:tc>
      </w:tr>
      <w:tr w:rsidR="008940B3" w:rsidRPr="00175938" w14:paraId="3E124981" w14:textId="77777777" w:rsidTr="00175938">
        <w:trPr>
          <w:trHeight w:val="175"/>
        </w:trPr>
        <w:tc>
          <w:tcPr>
            <w:tcW w:w="1951" w:type="dxa"/>
          </w:tcPr>
          <w:p w14:paraId="257CE810"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GRA LYGIA</w:t>
            </w:r>
          </w:p>
        </w:tc>
        <w:tc>
          <w:tcPr>
            <w:tcW w:w="1134" w:type="dxa"/>
          </w:tcPr>
          <w:p w14:paraId="43DF7B10"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6F80F910" w14:textId="77777777" w:rsidR="008940B3" w:rsidRPr="00175938" w:rsidRDefault="008940B3" w:rsidP="00E858EF">
            <w:pPr>
              <w:suppressAutoHyphens/>
              <w:jc w:val="center"/>
              <w:rPr>
                <w:sz w:val="14"/>
                <w:szCs w:val="12"/>
              </w:rPr>
            </w:pPr>
          </w:p>
        </w:tc>
        <w:tc>
          <w:tcPr>
            <w:tcW w:w="0" w:type="auto"/>
          </w:tcPr>
          <w:p w14:paraId="41DFDC5D" w14:textId="77777777" w:rsidR="008940B3" w:rsidRPr="00175938" w:rsidRDefault="008940B3" w:rsidP="00E858EF">
            <w:pPr>
              <w:suppressAutoHyphens/>
              <w:jc w:val="center"/>
              <w:rPr>
                <w:sz w:val="14"/>
                <w:szCs w:val="12"/>
              </w:rPr>
            </w:pPr>
          </w:p>
        </w:tc>
        <w:tc>
          <w:tcPr>
            <w:tcW w:w="0" w:type="auto"/>
          </w:tcPr>
          <w:p w14:paraId="4415B7DF" w14:textId="77777777" w:rsidR="008940B3" w:rsidRPr="00175938" w:rsidRDefault="008940B3" w:rsidP="00E858EF">
            <w:pPr>
              <w:suppressAutoHyphens/>
              <w:jc w:val="center"/>
              <w:rPr>
                <w:sz w:val="14"/>
                <w:szCs w:val="12"/>
              </w:rPr>
            </w:pPr>
          </w:p>
        </w:tc>
        <w:tc>
          <w:tcPr>
            <w:tcW w:w="0" w:type="auto"/>
          </w:tcPr>
          <w:p w14:paraId="103BC8EC" w14:textId="77777777" w:rsidR="008940B3" w:rsidRPr="00175938" w:rsidRDefault="008940B3" w:rsidP="00E858EF">
            <w:pPr>
              <w:suppressAutoHyphens/>
              <w:jc w:val="center"/>
              <w:rPr>
                <w:sz w:val="14"/>
                <w:szCs w:val="12"/>
              </w:rPr>
            </w:pPr>
          </w:p>
        </w:tc>
        <w:tc>
          <w:tcPr>
            <w:tcW w:w="0" w:type="auto"/>
          </w:tcPr>
          <w:p w14:paraId="6097B038" w14:textId="77777777" w:rsidR="008940B3" w:rsidRPr="00175938" w:rsidRDefault="008940B3" w:rsidP="00E858EF">
            <w:pPr>
              <w:suppressAutoHyphens/>
              <w:jc w:val="center"/>
              <w:rPr>
                <w:sz w:val="14"/>
                <w:szCs w:val="12"/>
              </w:rPr>
            </w:pPr>
          </w:p>
        </w:tc>
        <w:tc>
          <w:tcPr>
            <w:tcW w:w="0" w:type="auto"/>
          </w:tcPr>
          <w:p w14:paraId="36502DCF" w14:textId="77777777" w:rsidR="008940B3" w:rsidRPr="00175938" w:rsidRDefault="008940B3" w:rsidP="00E858EF">
            <w:pPr>
              <w:suppressAutoHyphens/>
              <w:jc w:val="center"/>
              <w:rPr>
                <w:sz w:val="14"/>
                <w:szCs w:val="12"/>
              </w:rPr>
            </w:pPr>
          </w:p>
        </w:tc>
        <w:tc>
          <w:tcPr>
            <w:tcW w:w="0" w:type="auto"/>
          </w:tcPr>
          <w:p w14:paraId="3CFA3365" w14:textId="77777777" w:rsidR="008940B3" w:rsidRPr="00175938" w:rsidRDefault="008940B3" w:rsidP="00E858EF">
            <w:pPr>
              <w:suppressAutoHyphens/>
              <w:jc w:val="center"/>
              <w:rPr>
                <w:color w:val="000000"/>
                <w:sz w:val="14"/>
                <w:szCs w:val="12"/>
              </w:rPr>
            </w:pPr>
          </w:p>
        </w:tc>
        <w:tc>
          <w:tcPr>
            <w:tcW w:w="0" w:type="auto"/>
          </w:tcPr>
          <w:p w14:paraId="65927152" w14:textId="77777777" w:rsidR="008940B3" w:rsidRPr="00175938" w:rsidRDefault="008940B3" w:rsidP="00E858EF">
            <w:pPr>
              <w:suppressAutoHyphens/>
              <w:jc w:val="center"/>
              <w:rPr>
                <w:sz w:val="14"/>
                <w:szCs w:val="12"/>
              </w:rPr>
            </w:pPr>
          </w:p>
        </w:tc>
      </w:tr>
      <w:tr w:rsidR="008940B3" w:rsidRPr="00175938" w14:paraId="0AA44860" w14:textId="77777777" w:rsidTr="00175938">
        <w:trPr>
          <w:trHeight w:val="175"/>
        </w:trPr>
        <w:tc>
          <w:tcPr>
            <w:tcW w:w="1951" w:type="dxa"/>
          </w:tcPr>
          <w:p w14:paraId="5E9AB739"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KALO CHORIO GOULA</w:t>
            </w:r>
          </w:p>
        </w:tc>
        <w:tc>
          <w:tcPr>
            <w:tcW w:w="1134" w:type="dxa"/>
          </w:tcPr>
          <w:p w14:paraId="7073EBFB"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2A30FA11" w14:textId="77777777" w:rsidR="008940B3" w:rsidRPr="00175938" w:rsidRDefault="008940B3" w:rsidP="00E858EF">
            <w:pPr>
              <w:suppressAutoHyphens/>
              <w:jc w:val="center"/>
              <w:rPr>
                <w:sz w:val="14"/>
                <w:szCs w:val="12"/>
              </w:rPr>
            </w:pPr>
          </w:p>
        </w:tc>
        <w:tc>
          <w:tcPr>
            <w:tcW w:w="0" w:type="auto"/>
          </w:tcPr>
          <w:p w14:paraId="33F617A6" w14:textId="77777777" w:rsidR="008940B3" w:rsidRPr="00175938" w:rsidRDefault="008940B3" w:rsidP="00E858EF">
            <w:pPr>
              <w:suppressAutoHyphens/>
              <w:jc w:val="center"/>
              <w:rPr>
                <w:sz w:val="14"/>
                <w:szCs w:val="12"/>
              </w:rPr>
            </w:pPr>
          </w:p>
        </w:tc>
        <w:tc>
          <w:tcPr>
            <w:tcW w:w="0" w:type="auto"/>
          </w:tcPr>
          <w:p w14:paraId="02F5FAFF" w14:textId="77777777" w:rsidR="008940B3" w:rsidRPr="00175938" w:rsidRDefault="008940B3" w:rsidP="00E858EF">
            <w:pPr>
              <w:suppressAutoHyphens/>
              <w:jc w:val="center"/>
              <w:rPr>
                <w:sz w:val="14"/>
                <w:szCs w:val="12"/>
              </w:rPr>
            </w:pPr>
          </w:p>
        </w:tc>
        <w:tc>
          <w:tcPr>
            <w:tcW w:w="0" w:type="auto"/>
          </w:tcPr>
          <w:p w14:paraId="31AACB40" w14:textId="77777777" w:rsidR="008940B3" w:rsidRPr="00175938" w:rsidRDefault="008940B3" w:rsidP="00E858EF">
            <w:pPr>
              <w:suppressAutoHyphens/>
              <w:jc w:val="center"/>
              <w:rPr>
                <w:sz w:val="14"/>
                <w:szCs w:val="12"/>
              </w:rPr>
            </w:pPr>
          </w:p>
        </w:tc>
        <w:tc>
          <w:tcPr>
            <w:tcW w:w="0" w:type="auto"/>
          </w:tcPr>
          <w:p w14:paraId="00441C17" w14:textId="77777777" w:rsidR="008940B3" w:rsidRPr="00175938" w:rsidRDefault="008940B3" w:rsidP="00E858EF">
            <w:pPr>
              <w:suppressAutoHyphens/>
              <w:jc w:val="center"/>
              <w:rPr>
                <w:sz w:val="14"/>
                <w:szCs w:val="12"/>
              </w:rPr>
            </w:pPr>
          </w:p>
        </w:tc>
        <w:tc>
          <w:tcPr>
            <w:tcW w:w="0" w:type="auto"/>
          </w:tcPr>
          <w:p w14:paraId="4FF64D8F" w14:textId="77777777" w:rsidR="008940B3" w:rsidRPr="00175938" w:rsidRDefault="008940B3" w:rsidP="00E858EF">
            <w:pPr>
              <w:suppressAutoHyphens/>
              <w:jc w:val="center"/>
              <w:rPr>
                <w:sz w:val="14"/>
                <w:szCs w:val="12"/>
              </w:rPr>
            </w:pPr>
          </w:p>
        </w:tc>
        <w:tc>
          <w:tcPr>
            <w:tcW w:w="0" w:type="auto"/>
          </w:tcPr>
          <w:p w14:paraId="370A516D" w14:textId="77777777" w:rsidR="008940B3" w:rsidRPr="00175938" w:rsidRDefault="008940B3" w:rsidP="00E858EF">
            <w:pPr>
              <w:suppressAutoHyphens/>
              <w:jc w:val="center"/>
              <w:rPr>
                <w:sz w:val="14"/>
                <w:szCs w:val="12"/>
              </w:rPr>
            </w:pPr>
          </w:p>
        </w:tc>
        <w:tc>
          <w:tcPr>
            <w:tcW w:w="0" w:type="auto"/>
          </w:tcPr>
          <w:p w14:paraId="21E288BC"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r>
      <w:tr w:rsidR="008940B3" w:rsidRPr="00175938" w14:paraId="23C0AF88" w14:textId="77777777" w:rsidTr="00175938">
        <w:trPr>
          <w:trHeight w:val="175"/>
        </w:trPr>
        <w:tc>
          <w:tcPr>
            <w:tcW w:w="1951" w:type="dxa"/>
          </w:tcPr>
          <w:p w14:paraId="5B794791"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KAVOUSI RIDOPOULIA II</w:t>
            </w:r>
          </w:p>
        </w:tc>
        <w:tc>
          <w:tcPr>
            <w:tcW w:w="1134" w:type="dxa"/>
          </w:tcPr>
          <w:p w14:paraId="56BB6476"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6E09D416" w14:textId="77777777" w:rsidR="008940B3" w:rsidRPr="00175938" w:rsidRDefault="008940B3" w:rsidP="00E858EF">
            <w:pPr>
              <w:suppressAutoHyphens/>
              <w:jc w:val="center"/>
              <w:rPr>
                <w:sz w:val="14"/>
                <w:szCs w:val="12"/>
              </w:rPr>
            </w:pPr>
          </w:p>
        </w:tc>
        <w:tc>
          <w:tcPr>
            <w:tcW w:w="0" w:type="auto"/>
          </w:tcPr>
          <w:p w14:paraId="0A1A4C4D" w14:textId="77777777" w:rsidR="008940B3" w:rsidRPr="00175938" w:rsidRDefault="008940B3" w:rsidP="00E858EF">
            <w:pPr>
              <w:suppressAutoHyphens/>
              <w:jc w:val="center"/>
              <w:rPr>
                <w:sz w:val="14"/>
                <w:szCs w:val="12"/>
              </w:rPr>
            </w:pPr>
          </w:p>
        </w:tc>
        <w:tc>
          <w:tcPr>
            <w:tcW w:w="0" w:type="auto"/>
          </w:tcPr>
          <w:p w14:paraId="2DEDE6A3" w14:textId="77777777" w:rsidR="008940B3" w:rsidRPr="00175938" w:rsidRDefault="008940B3" w:rsidP="00E858EF">
            <w:pPr>
              <w:suppressAutoHyphens/>
              <w:jc w:val="center"/>
              <w:rPr>
                <w:sz w:val="14"/>
                <w:szCs w:val="12"/>
              </w:rPr>
            </w:pPr>
          </w:p>
        </w:tc>
        <w:tc>
          <w:tcPr>
            <w:tcW w:w="0" w:type="auto"/>
          </w:tcPr>
          <w:p w14:paraId="1AB5CBB1" w14:textId="77777777" w:rsidR="008940B3" w:rsidRPr="00175938" w:rsidRDefault="008940B3" w:rsidP="00E858EF">
            <w:pPr>
              <w:suppressAutoHyphens/>
              <w:jc w:val="center"/>
              <w:rPr>
                <w:sz w:val="14"/>
                <w:szCs w:val="12"/>
              </w:rPr>
            </w:pPr>
          </w:p>
        </w:tc>
        <w:tc>
          <w:tcPr>
            <w:tcW w:w="0" w:type="auto"/>
          </w:tcPr>
          <w:p w14:paraId="4B53FBEC" w14:textId="77777777" w:rsidR="008940B3" w:rsidRPr="00175938" w:rsidRDefault="008940B3" w:rsidP="00E858EF">
            <w:pPr>
              <w:suppressAutoHyphens/>
              <w:jc w:val="center"/>
              <w:rPr>
                <w:sz w:val="14"/>
                <w:szCs w:val="12"/>
              </w:rPr>
            </w:pPr>
          </w:p>
        </w:tc>
        <w:tc>
          <w:tcPr>
            <w:tcW w:w="0" w:type="auto"/>
          </w:tcPr>
          <w:p w14:paraId="6FF47688" w14:textId="77777777" w:rsidR="008940B3" w:rsidRPr="00175938" w:rsidRDefault="008940B3" w:rsidP="00E858EF">
            <w:pPr>
              <w:suppressAutoHyphens/>
              <w:jc w:val="center"/>
              <w:rPr>
                <w:sz w:val="14"/>
                <w:szCs w:val="12"/>
              </w:rPr>
            </w:pPr>
          </w:p>
        </w:tc>
        <w:tc>
          <w:tcPr>
            <w:tcW w:w="0" w:type="auto"/>
          </w:tcPr>
          <w:p w14:paraId="10742B88" w14:textId="77777777" w:rsidR="008940B3" w:rsidRPr="00175938" w:rsidRDefault="008940B3" w:rsidP="00E858EF">
            <w:pPr>
              <w:suppressAutoHyphens/>
              <w:jc w:val="center"/>
              <w:rPr>
                <w:sz w:val="14"/>
                <w:szCs w:val="12"/>
              </w:rPr>
            </w:pPr>
          </w:p>
        </w:tc>
        <w:tc>
          <w:tcPr>
            <w:tcW w:w="0" w:type="auto"/>
          </w:tcPr>
          <w:p w14:paraId="53B6B814"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r>
      <w:tr w:rsidR="008940B3" w:rsidRPr="00175938" w14:paraId="118DA560" w14:textId="77777777" w:rsidTr="00175938">
        <w:trPr>
          <w:trHeight w:val="175"/>
        </w:trPr>
        <w:tc>
          <w:tcPr>
            <w:tcW w:w="1951" w:type="dxa"/>
          </w:tcPr>
          <w:p w14:paraId="321ACD33"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KOUTSOULIANOU ZIROU</w:t>
            </w:r>
          </w:p>
        </w:tc>
        <w:tc>
          <w:tcPr>
            <w:tcW w:w="1134" w:type="dxa"/>
          </w:tcPr>
          <w:p w14:paraId="493EDA5E"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0B4C34DF" w14:textId="77777777" w:rsidR="008940B3" w:rsidRPr="00175938" w:rsidRDefault="008940B3" w:rsidP="00E858EF">
            <w:pPr>
              <w:suppressAutoHyphens/>
              <w:jc w:val="center"/>
              <w:rPr>
                <w:sz w:val="14"/>
                <w:szCs w:val="12"/>
              </w:rPr>
            </w:pPr>
          </w:p>
        </w:tc>
        <w:tc>
          <w:tcPr>
            <w:tcW w:w="0" w:type="auto"/>
          </w:tcPr>
          <w:p w14:paraId="059517FF" w14:textId="77777777" w:rsidR="008940B3" w:rsidRPr="00175938" w:rsidRDefault="008940B3" w:rsidP="00E858EF">
            <w:pPr>
              <w:suppressAutoHyphens/>
              <w:jc w:val="center"/>
              <w:rPr>
                <w:sz w:val="14"/>
                <w:szCs w:val="12"/>
              </w:rPr>
            </w:pPr>
          </w:p>
        </w:tc>
        <w:tc>
          <w:tcPr>
            <w:tcW w:w="0" w:type="auto"/>
          </w:tcPr>
          <w:p w14:paraId="43C641F7" w14:textId="77777777" w:rsidR="008940B3" w:rsidRPr="00175938" w:rsidRDefault="008940B3" w:rsidP="00E858EF">
            <w:pPr>
              <w:suppressAutoHyphens/>
              <w:jc w:val="center"/>
              <w:rPr>
                <w:sz w:val="14"/>
                <w:szCs w:val="12"/>
              </w:rPr>
            </w:pPr>
          </w:p>
        </w:tc>
        <w:tc>
          <w:tcPr>
            <w:tcW w:w="0" w:type="auto"/>
          </w:tcPr>
          <w:p w14:paraId="27DD80A4" w14:textId="77777777" w:rsidR="008940B3" w:rsidRPr="00175938" w:rsidRDefault="008940B3" w:rsidP="00E858EF">
            <w:pPr>
              <w:suppressAutoHyphens/>
              <w:jc w:val="center"/>
              <w:rPr>
                <w:sz w:val="14"/>
                <w:szCs w:val="12"/>
              </w:rPr>
            </w:pPr>
          </w:p>
        </w:tc>
        <w:tc>
          <w:tcPr>
            <w:tcW w:w="0" w:type="auto"/>
          </w:tcPr>
          <w:p w14:paraId="779CDA3C" w14:textId="77777777" w:rsidR="008940B3" w:rsidRPr="00175938" w:rsidRDefault="008940B3" w:rsidP="00E858EF">
            <w:pPr>
              <w:suppressAutoHyphens/>
              <w:jc w:val="center"/>
              <w:rPr>
                <w:sz w:val="14"/>
                <w:szCs w:val="12"/>
              </w:rPr>
            </w:pPr>
          </w:p>
        </w:tc>
        <w:tc>
          <w:tcPr>
            <w:tcW w:w="0" w:type="auto"/>
          </w:tcPr>
          <w:p w14:paraId="576D14A6" w14:textId="77777777" w:rsidR="008940B3" w:rsidRPr="00175938" w:rsidRDefault="008940B3" w:rsidP="00E858EF">
            <w:pPr>
              <w:suppressAutoHyphens/>
              <w:jc w:val="center"/>
              <w:rPr>
                <w:sz w:val="14"/>
                <w:szCs w:val="12"/>
              </w:rPr>
            </w:pPr>
          </w:p>
        </w:tc>
        <w:tc>
          <w:tcPr>
            <w:tcW w:w="0" w:type="auto"/>
          </w:tcPr>
          <w:p w14:paraId="0EBE1107" w14:textId="77777777" w:rsidR="008940B3" w:rsidRPr="00175938" w:rsidRDefault="008940B3" w:rsidP="00E858EF">
            <w:pPr>
              <w:suppressAutoHyphens/>
              <w:jc w:val="center"/>
              <w:rPr>
                <w:sz w:val="14"/>
                <w:szCs w:val="12"/>
              </w:rPr>
            </w:pPr>
          </w:p>
        </w:tc>
        <w:tc>
          <w:tcPr>
            <w:tcW w:w="0" w:type="auto"/>
          </w:tcPr>
          <w:p w14:paraId="2CA00286" w14:textId="77777777" w:rsidR="008940B3" w:rsidRPr="00175938" w:rsidRDefault="008940B3" w:rsidP="00E858EF">
            <w:pPr>
              <w:suppressAutoHyphens/>
              <w:jc w:val="center"/>
              <w:rPr>
                <w:sz w:val="14"/>
                <w:szCs w:val="12"/>
              </w:rPr>
            </w:pPr>
          </w:p>
        </w:tc>
      </w:tr>
      <w:tr w:rsidR="008940B3" w:rsidRPr="00175938" w14:paraId="2C9ACE9A" w14:textId="77777777" w:rsidTr="00175938">
        <w:trPr>
          <w:trHeight w:val="175"/>
        </w:trPr>
        <w:tc>
          <w:tcPr>
            <w:tcW w:w="1951" w:type="dxa"/>
          </w:tcPr>
          <w:p w14:paraId="020E0D6D"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MOCHLOS LIMENARIA</w:t>
            </w:r>
          </w:p>
        </w:tc>
        <w:tc>
          <w:tcPr>
            <w:tcW w:w="1134" w:type="dxa"/>
          </w:tcPr>
          <w:p w14:paraId="7025AEE4"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70B345AE" w14:textId="77777777" w:rsidR="008940B3" w:rsidRPr="00175938" w:rsidRDefault="008940B3" w:rsidP="00E858EF">
            <w:pPr>
              <w:suppressAutoHyphens/>
              <w:jc w:val="center"/>
              <w:rPr>
                <w:sz w:val="14"/>
                <w:szCs w:val="12"/>
              </w:rPr>
            </w:pPr>
          </w:p>
        </w:tc>
        <w:tc>
          <w:tcPr>
            <w:tcW w:w="0" w:type="auto"/>
          </w:tcPr>
          <w:p w14:paraId="288527DD" w14:textId="77777777" w:rsidR="008940B3" w:rsidRPr="00175938" w:rsidRDefault="008940B3" w:rsidP="00E858EF">
            <w:pPr>
              <w:suppressAutoHyphens/>
              <w:jc w:val="center"/>
              <w:rPr>
                <w:sz w:val="14"/>
                <w:szCs w:val="12"/>
              </w:rPr>
            </w:pPr>
          </w:p>
        </w:tc>
        <w:tc>
          <w:tcPr>
            <w:tcW w:w="0" w:type="auto"/>
          </w:tcPr>
          <w:p w14:paraId="1757024F" w14:textId="77777777" w:rsidR="008940B3" w:rsidRPr="00175938" w:rsidRDefault="008940B3" w:rsidP="00E858EF">
            <w:pPr>
              <w:suppressAutoHyphens/>
              <w:jc w:val="center"/>
              <w:rPr>
                <w:sz w:val="14"/>
                <w:szCs w:val="12"/>
              </w:rPr>
            </w:pPr>
          </w:p>
        </w:tc>
        <w:tc>
          <w:tcPr>
            <w:tcW w:w="0" w:type="auto"/>
          </w:tcPr>
          <w:p w14:paraId="00004CF2" w14:textId="77777777" w:rsidR="008940B3" w:rsidRPr="00175938" w:rsidRDefault="008940B3" w:rsidP="00E858EF">
            <w:pPr>
              <w:suppressAutoHyphens/>
              <w:jc w:val="center"/>
              <w:rPr>
                <w:sz w:val="14"/>
                <w:szCs w:val="12"/>
              </w:rPr>
            </w:pPr>
          </w:p>
        </w:tc>
        <w:tc>
          <w:tcPr>
            <w:tcW w:w="0" w:type="auto"/>
          </w:tcPr>
          <w:p w14:paraId="269494E4" w14:textId="77777777" w:rsidR="008940B3" w:rsidRPr="00175938" w:rsidRDefault="008940B3" w:rsidP="00E858EF">
            <w:pPr>
              <w:suppressAutoHyphens/>
              <w:jc w:val="center"/>
              <w:rPr>
                <w:sz w:val="14"/>
                <w:szCs w:val="12"/>
              </w:rPr>
            </w:pPr>
          </w:p>
        </w:tc>
        <w:tc>
          <w:tcPr>
            <w:tcW w:w="0" w:type="auto"/>
          </w:tcPr>
          <w:p w14:paraId="2D20B26B"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c>
          <w:tcPr>
            <w:tcW w:w="0" w:type="auto"/>
          </w:tcPr>
          <w:p w14:paraId="5A696DFD" w14:textId="77777777" w:rsidR="008940B3" w:rsidRPr="00175938" w:rsidRDefault="008940B3" w:rsidP="00E858EF">
            <w:pPr>
              <w:suppressAutoHyphens/>
              <w:jc w:val="center"/>
              <w:rPr>
                <w:sz w:val="14"/>
                <w:szCs w:val="12"/>
              </w:rPr>
            </w:pPr>
          </w:p>
        </w:tc>
        <w:tc>
          <w:tcPr>
            <w:tcW w:w="0" w:type="auto"/>
          </w:tcPr>
          <w:p w14:paraId="19AD68D1" w14:textId="77777777" w:rsidR="008940B3" w:rsidRPr="00175938" w:rsidRDefault="008940B3" w:rsidP="00E858EF">
            <w:pPr>
              <w:suppressAutoHyphens/>
              <w:jc w:val="center"/>
              <w:rPr>
                <w:sz w:val="14"/>
                <w:szCs w:val="12"/>
              </w:rPr>
            </w:pPr>
          </w:p>
        </w:tc>
      </w:tr>
      <w:tr w:rsidR="008940B3" w:rsidRPr="00175938" w14:paraId="66CE8D9E" w14:textId="77777777" w:rsidTr="00175938">
        <w:trPr>
          <w:trHeight w:val="175"/>
        </w:trPr>
        <w:tc>
          <w:tcPr>
            <w:tcW w:w="1951" w:type="dxa"/>
          </w:tcPr>
          <w:p w14:paraId="49F4B805"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MOULIANA SELLADES</w:t>
            </w:r>
          </w:p>
        </w:tc>
        <w:tc>
          <w:tcPr>
            <w:tcW w:w="1134" w:type="dxa"/>
          </w:tcPr>
          <w:p w14:paraId="4C447BFF"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7A55B9DA" w14:textId="77777777" w:rsidR="008940B3" w:rsidRPr="00175938" w:rsidRDefault="008940B3" w:rsidP="00E858EF">
            <w:pPr>
              <w:suppressAutoHyphens/>
              <w:jc w:val="center"/>
              <w:rPr>
                <w:sz w:val="14"/>
                <w:szCs w:val="12"/>
              </w:rPr>
            </w:pPr>
          </w:p>
        </w:tc>
        <w:tc>
          <w:tcPr>
            <w:tcW w:w="0" w:type="auto"/>
          </w:tcPr>
          <w:p w14:paraId="45C7E6B1"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0" w:type="auto"/>
          </w:tcPr>
          <w:p w14:paraId="20E9EFF1" w14:textId="77777777" w:rsidR="008940B3" w:rsidRPr="00175938" w:rsidRDefault="008940B3" w:rsidP="00E858EF">
            <w:pPr>
              <w:suppressAutoHyphens/>
              <w:jc w:val="center"/>
              <w:rPr>
                <w:sz w:val="14"/>
                <w:szCs w:val="12"/>
              </w:rPr>
            </w:pPr>
          </w:p>
        </w:tc>
        <w:tc>
          <w:tcPr>
            <w:tcW w:w="0" w:type="auto"/>
          </w:tcPr>
          <w:p w14:paraId="49A6A9A5" w14:textId="77777777" w:rsidR="008940B3" w:rsidRPr="00175938" w:rsidRDefault="008940B3" w:rsidP="00E858EF">
            <w:pPr>
              <w:suppressAutoHyphens/>
              <w:jc w:val="center"/>
              <w:rPr>
                <w:sz w:val="14"/>
                <w:szCs w:val="12"/>
              </w:rPr>
            </w:pPr>
          </w:p>
        </w:tc>
        <w:tc>
          <w:tcPr>
            <w:tcW w:w="0" w:type="auto"/>
          </w:tcPr>
          <w:p w14:paraId="19C70885" w14:textId="77777777" w:rsidR="008940B3" w:rsidRPr="00175938" w:rsidRDefault="008940B3" w:rsidP="00E858EF">
            <w:pPr>
              <w:suppressAutoHyphens/>
              <w:jc w:val="center"/>
              <w:rPr>
                <w:sz w:val="14"/>
                <w:szCs w:val="12"/>
              </w:rPr>
            </w:pPr>
          </w:p>
        </w:tc>
        <w:tc>
          <w:tcPr>
            <w:tcW w:w="0" w:type="auto"/>
          </w:tcPr>
          <w:p w14:paraId="039E872C" w14:textId="77777777" w:rsidR="008940B3" w:rsidRPr="00175938" w:rsidRDefault="008940B3" w:rsidP="00E858EF">
            <w:pPr>
              <w:suppressAutoHyphens/>
              <w:jc w:val="center"/>
              <w:rPr>
                <w:sz w:val="14"/>
                <w:szCs w:val="12"/>
              </w:rPr>
            </w:pPr>
          </w:p>
        </w:tc>
        <w:tc>
          <w:tcPr>
            <w:tcW w:w="0" w:type="auto"/>
          </w:tcPr>
          <w:p w14:paraId="73B466F1"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c>
          <w:tcPr>
            <w:tcW w:w="0" w:type="auto"/>
          </w:tcPr>
          <w:p w14:paraId="6ADE2216" w14:textId="77777777" w:rsidR="008940B3" w:rsidRPr="00175938" w:rsidRDefault="008940B3" w:rsidP="00E858EF">
            <w:pPr>
              <w:suppressAutoHyphens/>
              <w:jc w:val="center"/>
              <w:rPr>
                <w:color w:val="000000"/>
                <w:sz w:val="14"/>
                <w:szCs w:val="12"/>
              </w:rPr>
            </w:pPr>
          </w:p>
        </w:tc>
      </w:tr>
      <w:tr w:rsidR="008940B3" w:rsidRPr="00175938" w14:paraId="6D609784" w14:textId="77777777" w:rsidTr="00175938">
        <w:trPr>
          <w:trHeight w:val="175"/>
        </w:trPr>
        <w:tc>
          <w:tcPr>
            <w:tcW w:w="1951" w:type="dxa"/>
          </w:tcPr>
          <w:p w14:paraId="1D1BC855"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MYRSINI</w:t>
            </w:r>
          </w:p>
        </w:tc>
        <w:tc>
          <w:tcPr>
            <w:tcW w:w="1134" w:type="dxa"/>
          </w:tcPr>
          <w:p w14:paraId="4DE127DD"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51C331F6" w14:textId="77777777" w:rsidR="008940B3" w:rsidRPr="00175938" w:rsidRDefault="008940B3" w:rsidP="00E858EF">
            <w:pPr>
              <w:suppressAutoHyphens/>
              <w:jc w:val="center"/>
              <w:rPr>
                <w:sz w:val="14"/>
                <w:szCs w:val="12"/>
              </w:rPr>
            </w:pPr>
          </w:p>
        </w:tc>
        <w:tc>
          <w:tcPr>
            <w:tcW w:w="0" w:type="auto"/>
          </w:tcPr>
          <w:p w14:paraId="48607AB1" w14:textId="77777777" w:rsidR="008940B3" w:rsidRPr="00175938" w:rsidRDefault="008940B3" w:rsidP="00E858EF">
            <w:pPr>
              <w:suppressAutoHyphens/>
              <w:jc w:val="center"/>
              <w:rPr>
                <w:sz w:val="14"/>
                <w:szCs w:val="12"/>
              </w:rPr>
            </w:pPr>
          </w:p>
        </w:tc>
        <w:tc>
          <w:tcPr>
            <w:tcW w:w="0" w:type="auto"/>
          </w:tcPr>
          <w:p w14:paraId="384FA75A" w14:textId="77777777" w:rsidR="008940B3" w:rsidRPr="00175938" w:rsidRDefault="008940B3" w:rsidP="00E858EF">
            <w:pPr>
              <w:suppressAutoHyphens/>
              <w:jc w:val="center"/>
              <w:rPr>
                <w:sz w:val="14"/>
                <w:szCs w:val="12"/>
              </w:rPr>
            </w:pPr>
          </w:p>
        </w:tc>
        <w:tc>
          <w:tcPr>
            <w:tcW w:w="0" w:type="auto"/>
          </w:tcPr>
          <w:p w14:paraId="62D3F35F" w14:textId="77777777" w:rsidR="008940B3" w:rsidRPr="00175938" w:rsidRDefault="008940B3" w:rsidP="00E858EF">
            <w:pPr>
              <w:suppressAutoHyphens/>
              <w:jc w:val="center"/>
              <w:rPr>
                <w:sz w:val="14"/>
                <w:szCs w:val="12"/>
              </w:rPr>
            </w:pPr>
          </w:p>
        </w:tc>
        <w:tc>
          <w:tcPr>
            <w:tcW w:w="0" w:type="auto"/>
          </w:tcPr>
          <w:p w14:paraId="782C6EE1" w14:textId="77777777" w:rsidR="008940B3" w:rsidRPr="00175938" w:rsidRDefault="008940B3" w:rsidP="00E858EF">
            <w:pPr>
              <w:suppressAutoHyphens/>
              <w:jc w:val="center"/>
              <w:rPr>
                <w:sz w:val="14"/>
                <w:szCs w:val="12"/>
              </w:rPr>
            </w:pPr>
          </w:p>
        </w:tc>
        <w:tc>
          <w:tcPr>
            <w:tcW w:w="0" w:type="auto"/>
          </w:tcPr>
          <w:p w14:paraId="5BA6B91B"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c>
          <w:tcPr>
            <w:tcW w:w="0" w:type="auto"/>
          </w:tcPr>
          <w:p w14:paraId="261814F4"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c>
          <w:tcPr>
            <w:tcW w:w="0" w:type="auto"/>
          </w:tcPr>
          <w:p w14:paraId="04E8ADCF" w14:textId="77777777" w:rsidR="008940B3" w:rsidRPr="00175938" w:rsidRDefault="008940B3" w:rsidP="00E858EF">
            <w:pPr>
              <w:suppressAutoHyphens/>
              <w:jc w:val="center"/>
              <w:rPr>
                <w:sz w:val="14"/>
                <w:szCs w:val="12"/>
              </w:rPr>
            </w:pPr>
          </w:p>
        </w:tc>
      </w:tr>
      <w:tr w:rsidR="008940B3" w:rsidRPr="00175938" w14:paraId="73F12F19" w14:textId="77777777" w:rsidTr="00175938">
        <w:trPr>
          <w:trHeight w:val="175"/>
        </w:trPr>
        <w:tc>
          <w:tcPr>
            <w:tcW w:w="1951" w:type="dxa"/>
          </w:tcPr>
          <w:p w14:paraId="2DA1A16F"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PACHYAMMOS</w:t>
            </w:r>
          </w:p>
        </w:tc>
        <w:tc>
          <w:tcPr>
            <w:tcW w:w="1134" w:type="dxa"/>
          </w:tcPr>
          <w:p w14:paraId="2CBAEA2E"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19B6ABCC" w14:textId="77777777" w:rsidR="008940B3" w:rsidRPr="00175938" w:rsidRDefault="008940B3" w:rsidP="00E858EF">
            <w:pPr>
              <w:suppressAutoHyphens/>
              <w:jc w:val="center"/>
              <w:rPr>
                <w:sz w:val="14"/>
                <w:szCs w:val="12"/>
              </w:rPr>
            </w:pPr>
          </w:p>
        </w:tc>
        <w:tc>
          <w:tcPr>
            <w:tcW w:w="0" w:type="auto"/>
          </w:tcPr>
          <w:p w14:paraId="0FE976B9" w14:textId="77777777" w:rsidR="008940B3" w:rsidRPr="00175938" w:rsidRDefault="008940B3" w:rsidP="00E858EF">
            <w:pPr>
              <w:suppressAutoHyphens/>
              <w:jc w:val="center"/>
              <w:rPr>
                <w:sz w:val="14"/>
                <w:szCs w:val="12"/>
              </w:rPr>
            </w:pPr>
          </w:p>
        </w:tc>
        <w:tc>
          <w:tcPr>
            <w:tcW w:w="0" w:type="auto"/>
          </w:tcPr>
          <w:p w14:paraId="0A7C40DF"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c>
          <w:tcPr>
            <w:tcW w:w="0" w:type="auto"/>
          </w:tcPr>
          <w:p w14:paraId="5BD15E30" w14:textId="77777777" w:rsidR="008940B3" w:rsidRPr="00175938" w:rsidRDefault="008940B3" w:rsidP="00E858EF">
            <w:pPr>
              <w:suppressAutoHyphens/>
              <w:jc w:val="center"/>
              <w:rPr>
                <w:sz w:val="14"/>
                <w:szCs w:val="12"/>
              </w:rPr>
            </w:pPr>
          </w:p>
        </w:tc>
        <w:tc>
          <w:tcPr>
            <w:tcW w:w="0" w:type="auto"/>
          </w:tcPr>
          <w:p w14:paraId="0A17339A" w14:textId="77777777" w:rsidR="008940B3" w:rsidRPr="00175938" w:rsidRDefault="008940B3" w:rsidP="00E858EF">
            <w:pPr>
              <w:suppressAutoHyphens/>
              <w:jc w:val="center"/>
              <w:rPr>
                <w:sz w:val="14"/>
                <w:szCs w:val="12"/>
              </w:rPr>
            </w:pPr>
          </w:p>
        </w:tc>
        <w:tc>
          <w:tcPr>
            <w:tcW w:w="0" w:type="auto"/>
          </w:tcPr>
          <w:p w14:paraId="37235E75"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c>
          <w:tcPr>
            <w:tcW w:w="0" w:type="auto"/>
          </w:tcPr>
          <w:p w14:paraId="62EB7B3B"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c>
          <w:tcPr>
            <w:tcW w:w="0" w:type="auto"/>
          </w:tcPr>
          <w:p w14:paraId="7EE36045"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r>
      <w:tr w:rsidR="008940B3" w:rsidRPr="00175938" w14:paraId="68E33E4D" w14:textId="77777777" w:rsidTr="00175938">
        <w:trPr>
          <w:trHeight w:val="175"/>
        </w:trPr>
        <w:tc>
          <w:tcPr>
            <w:tcW w:w="1951" w:type="dxa"/>
          </w:tcPr>
          <w:p w14:paraId="06A8D1FD"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PALAIKASTRO</w:t>
            </w:r>
          </w:p>
        </w:tc>
        <w:tc>
          <w:tcPr>
            <w:tcW w:w="1134" w:type="dxa"/>
          </w:tcPr>
          <w:p w14:paraId="158C8CC9"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4C01C57F" w14:textId="77777777" w:rsidR="008940B3" w:rsidRPr="00175938" w:rsidRDefault="008940B3" w:rsidP="00E858EF">
            <w:pPr>
              <w:suppressAutoHyphens/>
              <w:jc w:val="center"/>
              <w:rPr>
                <w:sz w:val="14"/>
                <w:szCs w:val="12"/>
              </w:rPr>
            </w:pPr>
          </w:p>
        </w:tc>
        <w:tc>
          <w:tcPr>
            <w:tcW w:w="0" w:type="auto"/>
          </w:tcPr>
          <w:p w14:paraId="7B02881A"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c>
          <w:tcPr>
            <w:tcW w:w="0" w:type="auto"/>
          </w:tcPr>
          <w:p w14:paraId="2B2C4E06" w14:textId="77777777" w:rsidR="008940B3" w:rsidRPr="00175938" w:rsidRDefault="008940B3" w:rsidP="00E858EF">
            <w:pPr>
              <w:suppressAutoHyphens/>
              <w:jc w:val="center"/>
              <w:rPr>
                <w:sz w:val="14"/>
                <w:szCs w:val="12"/>
              </w:rPr>
            </w:pPr>
          </w:p>
        </w:tc>
        <w:tc>
          <w:tcPr>
            <w:tcW w:w="0" w:type="auto"/>
          </w:tcPr>
          <w:p w14:paraId="5DBA0A54" w14:textId="77777777" w:rsidR="008940B3" w:rsidRPr="00175938" w:rsidRDefault="008940B3" w:rsidP="00E858EF">
            <w:pPr>
              <w:suppressAutoHyphens/>
              <w:jc w:val="center"/>
              <w:rPr>
                <w:sz w:val="14"/>
                <w:szCs w:val="12"/>
              </w:rPr>
            </w:pPr>
          </w:p>
        </w:tc>
        <w:tc>
          <w:tcPr>
            <w:tcW w:w="0" w:type="auto"/>
          </w:tcPr>
          <w:p w14:paraId="452B23AA" w14:textId="77777777" w:rsidR="008940B3" w:rsidRPr="00175938" w:rsidRDefault="008940B3" w:rsidP="00E858EF">
            <w:pPr>
              <w:suppressAutoHyphens/>
              <w:jc w:val="center"/>
              <w:rPr>
                <w:sz w:val="14"/>
                <w:szCs w:val="12"/>
              </w:rPr>
            </w:pPr>
          </w:p>
        </w:tc>
        <w:tc>
          <w:tcPr>
            <w:tcW w:w="0" w:type="auto"/>
          </w:tcPr>
          <w:p w14:paraId="230400DC" w14:textId="77777777" w:rsidR="008940B3" w:rsidRPr="00175938" w:rsidRDefault="008940B3" w:rsidP="00E858EF">
            <w:pPr>
              <w:suppressAutoHyphens/>
              <w:jc w:val="center"/>
              <w:rPr>
                <w:sz w:val="14"/>
                <w:szCs w:val="12"/>
              </w:rPr>
            </w:pPr>
          </w:p>
        </w:tc>
        <w:tc>
          <w:tcPr>
            <w:tcW w:w="0" w:type="auto"/>
          </w:tcPr>
          <w:p w14:paraId="6BA1B210"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c>
          <w:tcPr>
            <w:tcW w:w="0" w:type="auto"/>
          </w:tcPr>
          <w:p w14:paraId="35390E38" w14:textId="77777777" w:rsidR="008940B3" w:rsidRPr="00175938" w:rsidRDefault="008940B3" w:rsidP="00E858EF">
            <w:pPr>
              <w:suppressAutoHyphens/>
              <w:jc w:val="center"/>
              <w:rPr>
                <w:sz w:val="14"/>
                <w:szCs w:val="12"/>
              </w:rPr>
            </w:pPr>
          </w:p>
        </w:tc>
      </w:tr>
      <w:tr w:rsidR="008940B3" w:rsidRPr="00175938" w14:paraId="0BB35D4D" w14:textId="77777777" w:rsidTr="00175938">
        <w:trPr>
          <w:trHeight w:val="175"/>
        </w:trPr>
        <w:tc>
          <w:tcPr>
            <w:tcW w:w="1951" w:type="dxa"/>
          </w:tcPr>
          <w:p w14:paraId="70DA0682"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PETRAS PAPOURES</w:t>
            </w:r>
          </w:p>
        </w:tc>
        <w:tc>
          <w:tcPr>
            <w:tcW w:w="1134" w:type="dxa"/>
          </w:tcPr>
          <w:p w14:paraId="773890B3"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50141D62" w14:textId="77777777" w:rsidR="008940B3" w:rsidRPr="00175938" w:rsidRDefault="008940B3" w:rsidP="00E858EF">
            <w:pPr>
              <w:suppressAutoHyphens/>
              <w:jc w:val="center"/>
              <w:rPr>
                <w:sz w:val="14"/>
                <w:szCs w:val="12"/>
              </w:rPr>
            </w:pPr>
          </w:p>
        </w:tc>
        <w:tc>
          <w:tcPr>
            <w:tcW w:w="0" w:type="auto"/>
          </w:tcPr>
          <w:p w14:paraId="2EB82A45" w14:textId="77777777" w:rsidR="008940B3" w:rsidRPr="00175938" w:rsidRDefault="008940B3" w:rsidP="00E858EF">
            <w:pPr>
              <w:suppressAutoHyphens/>
              <w:jc w:val="center"/>
              <w:rPr>
                <w:sz w:val="14"/>
                <w:szCs w:val="12"/>
              </w:rPr>
            </w:pPr>
          </w:p>
        </w:tc>
        <w:tc>
          <w:tcPr>
            <w:tcW w:w="0" w:type="auto"/>
          </w:tcPr>
          <w:p w14:paraId="6A3A6198" w14:textId="77777777" w:rsidR="008940B3" w:rsidRPr="00175938" w:rsidRDefault="008940B3" w:rsidP="00E858EF">
            <w:pPr>
              <w:suppressAutoHyphens/>
              <w:jc w:val="center"/>
              <w:rPr>
                <w:sz w:val="14"/>
                <w:szCs w:val="12"/>
              </w:rPr>
            </w:pPr>
          </w:p>
        </w:tc>
        <w:tc>
          <w:tcPr>
            <w:tcW w:w="0" w:type="auto"/>
          </w:tcPr>
          <w:p w14:paraId="5CBEFDD3" w14:textId="77777777" w:rsidR="008940B3" w:rsidRPr="00175938" w:rsidRDefault="008940B3" w:rsidP="00E858EF">
            <w:pPr>
              <w:suppressAutoHyphens/>
              <w:jc w:val="center"/>
              <w:rPr>
                <w:sz w:val="14"/>
                <w:szCs w:val="12"/>
              </w:rPr>
            </w:pPr>
          </w:p>
        </w:tc>
        <w:tc>
          <w:tcPr>
            <w:tcW w:w="0" w:type="auto"/>
          </w:tcPr>
          <w:p w14:paraId="261C804A" w14:textId="77777777" w:rsidR="008940B3" w:rsidRPr="00175938" w:rsidRDefault="008940B3" w:rsidP="00E858EF">
            <w:pPr>
              <w:suppressAutoHyphens/>
              <w:jc w:val="center"/>
              <w:rPr>
                <w:sz w:val="14"/>
                <w:szCs w:val="12"/>
              </w:rPr>
            </w:pPr>
          </w:p>
        </w:tc>
        <w:tc>
          <w:tcPr>
            <w:tcW w:w="0" w:type="auto"/>
          </w:tcPr>
          <w:p w14:paraId="2E725B4B" w14:textId="77777777" w:rsidR="008940B3" w:rsidRPr="00175938" w:rsidRDefault="008940B3" w:rsidP="00E858EF">
            <w:pPr>
              <w:suppressAutoHyphens/>
              <w:jc w:val="center"/>
              <w:rPr>
                <w:sz w:val="14"/>
                <w:szCs w:val="12"/>
              </w:rPr>
            </w:pPr>
          </w:p>
        </w:tc>
        <w:tc>
          <w:tcPr>
            <w:tcW w:w="0" w:type="auto"/>
          </w:tcPr>
          <w:p w14:paraId="74251FDD" w14:textId="77777777" w:rsidR="008940B3" w:rsidRPr="00175938" w:rsidRDefault="008940B3" w:rsidP="00E858EF">
            <w:pPr>
              <w:suppressAutoHyphens/>
              <w:jc w:val="center"/>
              <w:rPr>
                <w:sz w:val="14"/>
                <w:szCs w:val="12"/>
              </w:rPr>
            </w:pPr>
          </w:p>
        </w:tc>
        <w:tc>
          <w:tcPr>
            <w:tcW w:w="0" w:type="auto"/>
          </w:tcPr>
          <w:p w14:paraId="4F445666"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r>
      <w:tr w:rsidR="008940B3" w:rsidRPr="00175938" w14:paraId="16962A2C" w14:textId="77777777" w:rsidTr="00175938">
        <w:trPr>
          <w:trHeight w:val="175"/>
        </w:trPr>
        <w:tc>
          <w:tcPr>
            <w:tcW w:w="1951" w:type="dxa"/>
          </w:tcPr>
          <w:p w14:paraId="7B0F0911"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PRAISOS</w:t>
            </w:r>
          </w:p>
        </w:tc>
        <w:tc>
          <w:tcPr>
            <w:tcW w:w="1134" w:type="dxa"/>
          </w:tcPr>
          <w:p w14:paraId="0ADBD6ED"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2ED0FE6B" w14:textId="77777777" w:rsidR="008940B3" w:rsidRPr="00175938" w:rsidRDefault="008940B3" w:rsidP="00E858EF">
            <w:pPr>
              <w:suppressAutoHyphens/>
              <w:jc w:val="center"/>
              <w:rPr>
                <w:sz w:val="14"/>
                <w:szCs w:val="12"/>
              </w:rPr>
            </w:pPr>
          </w:p>
        </w:tc>
        <w:tc>
          <w:tcPr>
            <w:tcW w:w="0" w:type="auto"/>
          </w:tcPr>
          <w:p w14:paraId="22BD0AD1"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c>
          <w:tcPr>
            <w:tcW w:w="0" w:type="auto"/>
          </w:tcPr>
          <w:p w14:paraId="4954B364" w14:textId="77777777" w:rsidR="008940B3" w:rsidRPr="00175938" w:rsidRDefault="008940B3" w:rsidP="00E858EF">
            <w:pPr>
              <w:suppressAutoHyphens/>
              <w:jc w:val="center"/>
              <w:rPr>
                <w:sz w:val="14"/>
                <w:szCs w:val="12"/>
              </w:rPr>
            </w:pPr>
          </w:p>
        </w:tc>
        <w:tc>
          <w:tcPr>
            <w:tcW w:w="0" w:type="auto"/>
          </w:tcPr>
          <w:p w14:paraId="5172D766" w14:textId="77777777" w:rsidR="008940B3" w:rsidRPr="00175938" w:rsidRDefault="008940B3" w:rsidP="00E858EF">
            <w:pPr>
              <w:suppressAutoHyphens/>
              <w:jc w:val="center"/>
              <w:rPr>
                <w:sz w:val="14"/>
                <w:szCs w:val="12"/>
              </w:rPr>
            </w:pPr>
          </w:p>
        </w:tc>
        <w:tc>
          <w:tcPr>
            <w:tcW w:w="0" w:type="auto"/>
          </w:tcPr>
          <w:p w14:paraId="3DBE3640" w14:textId="77777777" w:rsidR="008940B3" w:rsidRPr="00175938" w:rsidRDefault="008940B3" w:rsidP="00E858EF">
            <w:pPr>
              <w:suppressAutoHyphens/>
              <w:jc w:val="center"/>
              <w:rPr>
                <w:sz w:val="14"/>
                <w:szCs w:val="12"/>
              </w:rPr>
            </w:pPr>
          </w:p>
        </w:tc>
        <w:tc>
          <w:tcPr>
            <w:tcW w:w="0" w:type="auto"/>
          </w:tcPr>
          <w:p w14:paraId="4534190E" w14:textId="77777777" w:rsidR="008940B3" w:rsidRPr="00175938" w:rsidRDefault="008940B3" w:rsidP="00E858EF">
            <w:pPr>
              <w:suppressAutoHyphens/>
              <w:jc w:val="center"/>
              <w:rPr>
                <w:sz w:val="14"/>
                <w:szCs w:val="12"/>
              </w:rPr>
            </w:pPr>
          </w:p>
        </w:tc>
        <w:tc>
          <w:tcPr>
            <w:tcW w:w="0" w:type="auto"/>
          </w:tcPr>
          <w:p w14:paraId="7AB205D3" w14:textId="77777777" w:rsidR="008940B3" w:rsidRPr="00175938" w:rsidRDefault="008940B3" w:rsidP="00E858EF">
            <w:pPr>
              <w:suppressAutoHyphens/>
              <w:jc w:val="center"/>
              <w:rPr>
                <w:sz w:val="14"/>
                <w:szCs w:val="12"/>
              </w:rPr>
            </w:pPr>
          </w:p>
        </w:tc>
        <w:tc>
          <w:tcPr>
            <w:tcW w:w="0" w:type="auto"/>
          </w:tcPr>
          <w:p w14:paraId="1A966465" w14:textId="77777777" w:rsidR="008940B3" w:rsidRPr="00175938" w:rsidRDefault="008940B3" w:rsidP="00E858EF">
            <w:pPr>
              <w:suppressAutoHyphens/>
              <w:jc w:val="center"/>
              <w:rPr>
                <w:sz w:val="14"/>
                <w:szCs w:val="12"/>
              </w:rPr>
            </w:pPr>
            <w:r w:rsidRPr="00175938">
              <w:rPr>
                <w:rFonts w:ascii="Lucida Grande" w:hAnsi="Lucida Grande" w:cs="Lucida Grande"/>
                <w:color w:val="000000"/>
                <w:sz w:val="14"/>
                <w:szCs w:val="12"/>
              </w:rPr>
              <w:t>✓</w:t>
            </w:r>
          </w:p>
        </w:tc>
      </w:tr>
      <w:tr w:rsidR="008940B3" w:rsidRPr="00175938" w14:paraId="79936C90" w14:textId="77777777" w:rsidTr="00175938">
        <w:trPr>
          <w:trHeight w:val="175"/>
        </w:trPr>
        <w:tc>
          <w:tcPr>
            <w:tcW w:w="1951" w:type="dxa"/>
          </w:tcPr>
          <w:p w14:paraId="19DC854C"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SITIA MODERN VILLAGE</w:t>
            </w:r>
          </w:p>
        </w:tc>
        <w:tc>
          <w:tcPr>
            <w:tcW w:w="1134" w:type="dxa"/>
          </w:tcPr>
          <w:p w14:paraId="3BF267A3"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5D7EA670" w14:textId="77777777" w:rsidR="008940B3" w:rsidRPr="00175938" w:rsidRDefault="008940B3" w:rsidP="00E858EF">
            <w:pPr>
              <w:suppressAutoHyphens/>
              <w:jc w:val="center"/>
              <w:rPr>
                <w:sz w:val="14"/>
                <w:szCs w:val="12"/>
              </w:rPr>
            </w:pPr>
          </w:p>
        </w:tc>
        <w:tc>
          <w:tcPr>
            <w:tcW w:w="0" w:type="auto"/>
          </w:tcPr>
          <w:p w14:paraId="5EC408CD" w14:textId="77777777" w:rsidR="008940B3" w:rsidRPr="00175938" w:rsidRDefault="008940B3" w:rsidP="00E858EF">
            <w:pPr>
              <w:suppressAutoHyphens/>
              <w:jc w:val="center"/>
              <w:rPr>
                <w:sz w:val="14"/>
                <w:szCs w:val="12"/>
              </w:rPr>
            </w:pPr>
          </w:p>
        </w:tc>
        <w:tc>
          <w:tcPr>
            <w:tcW w:w="0" w:type="auto"/>
          </w:tcPr>
          <w:p w14:paraId="219292D1" w14:textId="77777777" w:rsidR="008940B3" w:rsidRPr="00175938" w:rsidRDefault="008940B3" w:rsidP="00E858EF">
            <w:pPr>
              <w:suppressAutoHyphens/>
              <w:jc w:val="center"/>
              <w:rPr>
                <w:sz w:val="14"/>
                <w:szCs w:val="12"/>
              </w:rPr>
            </w:pPr>
          </w:p>
        </w:tc>
        <w:tc>
          <w:tcPr>
            <w:tcW w:w="0" w:type="auto"/>
          </w:tcPr>
          <w:p w14:paraId="0F171673" w14:textId="77777777" w:rsidR="008940B3" w:rsidRPr="00175938" w:rsidRDefault="008940B3" w:rsidP="00E858EF">
            <w:pPr>
              <w:suppressAutoHyphens/>
              <w:jc w:val="center"/>
              <w:rPr>
                <w:sz w:val="14"/>
                <w:szCs w:val="12"/>
              </w:rPr>
            </w:pPr>
          </w:p>
        </w:tc>
        <w:tc>
          <w:tcPr>
            <w:tcW w:w="0" w:type="auto"/>
          </w:tcPr>
          <w:p w14:paraId="03C4E7F0" w14:textId="77777777" w:rsidR="008940B3" w:rsidRPr="00175938" w:rsidRDefault="008940B3" w:rsidP="00E858EF">
            <w:pPr>
              <w:suppressAutoHyphens/>
              <w:jc w:val="center"/>
              <w:rPr>
                <w:sz w:val="14"/>
                <w:szCs w:val="12"/>
              </w:rPr>
            </w:pPr>
          </w:p>
        </w:tc>
        <w:tc>
          <w:tcPr>
            <w:tcW w:w="0" w:type="auto"/>
          </w:tcPr>
          <w:p w14:paraId="34029178" w14:textId="77777777" w:rsidR="008940B3" w:rsidRPr="00175938" w:rsidRDefault="008940B3" w:rsidP="00E858EF">
            <w:pPr>
              <w:suppressAutoHyphens/>
              <w:jc w:val="center"/>
              <w:rPr>
                <w:sz w:val="14"/>
                <w:szCs w:val="12"/>
              </w:rPr>
            </w:pPr>
          </w:p>
        </w:tc>
        <w:tc>
          <w:tcPr>
            <w:tcW w:w="0" w:type="auto"/>
          </w:tcPr>
          <w:p w14:paraId="619373AC" w14:textId="77777777" w:rsidR="008940B3" w:rsidRPr="00175938" w:rsidRDefault="008940B3" w:rsidP="00E858EF">
            <w:pPr>
              <w:suppressAutoHyphens/>
              <w:jc w:val="center"/>
              <w:rPr>
                <w:sz w:val="14"/>
                <w:szCs w:val="12"/>
              </w:rPr>
            </w:pPr>
          </w:p>
        </w:tc>
        <w:tc>
          <w:tcPr>
            <w:tcW w:w="0" w:type="auto"/>
          </w:tcPr>
          <w:p w14:paraId="70C96778" w14:textId="77777777" w:rsidR="008940B3" w:rsidRPr="00175938" w:rsidRDefault="008940B3" w:rsidP="00E858EF">
            <w:pPr>
              <w:suppressAutoHyphens/>
              <w:jc w:val="center"/>
              <w:rPr>
                <w:sz w:val="14"/>
                <w:szCs w:val="12"/>
              </w:rPr>
            </w:pPr>
          </w:p>
        </w:tc>
      </w:tr>
      <w:tr w:rsidR="008940B3" w:rsidRPr="00175938" w14:paraId="47417466" w14:textId="77777777" w:rsidTr="00175938">
        <w:trPr>
          <w:trHeight w:val="175"/>
        </w:trPr>
        <w:tc>
          <w:tcPr>
            <w:tcW w:w="1951" w:type="dxa"/>
          </w:tcPr>
          <w:p w14:paraId="27B8C7D3" w14:textId="77777777" w:rsidR="008940B3" w:rsidRPr="00175938" w:rsidRDefault="008940B3" w:rsidP="00E858EF">
            <w:pPr>
              <w:suppressAutoHyphens/>
              <w:jc w:val="left"/>
              <w:rPr>
                <w:rFonts w:eastAsia="Times New Roman"/>
                <w:sz w:val="14"/>
                <w:szCs w:val="12"/>
              </w:rPr>
            </w:pPr>
            <w:r w:rsidRPr="00175938">
              <w:rPr>
                <w:rFonts w:eastAsia="Times New Roman"/>
                <w:sz w:val="14"/>
                <w:szCs w:val="12"/>
              </w:rPr>
              <w:t>SPHAKA</w:t>
            </w:r>
          </w:p>
        </w:tc>
        <w:tc>
          <w:tcPr>
            <w:tcW w:w="1134" w:type="dxa"/>
          </w:tcPr>
          <w:p w14:paraId="76D6B8B3"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26789D12" w14:textId="77777777" w:rsidR="008940B3" w:rsidRPr="00175938" w:rsidRDefault="008940B3" w:rsidP="00E858EF">
            <w:pPr>
              <w:suppressAutoHyphens/>
              <w:jc w:val="center"/>
              <w:rPr>
                <w:sz w:val="14"/>
                <w:szCs w:val="12"/>
              </w:rPr>
            </w:pPr>
          </w:p>
        </w:tc>
        <w:tc>
          <w:tcPr>
            <w:tcW w:w="0" w:type="auto"/>
          </w:tcPr>
          <w:p w14:paraId="7C2E80B2" w14:textId="77777777" w:rsidR="008940B3" w:rsidRPr="00175938" w:rsidRDefault="008940B3" w:rsidP="00E858EF">
            <w:pPr>
              <w:suppressAutoHyphens/>
              <w:jc w:val="center"/>
              <w:rPr>
                <w:sz w:val="14"/>
                <w:szCs w:val="12"/>
              </w:rPr>
            </w:pPr>
          </w:p>
        </w:tc>
        <w:tc>
          <w:tcPr>
            <w:tcW w:w="0" w:type="auto"/>
          </w:tcPr>
          <w:p w14:paraId="1F0C1F9B" w14:textId="77777777" w:rsidR="008940B3" w:rsidRPr="00175938" w:rsidRDefault="008940B3" w:rsidP="00E858EF">
            <w:pPr>
              <w:suppressAutoHyphens/>
              <w:jc w:val="center"/>
              <w:rPr>
                <w:sz w:val="14"/>
                <w:szCs w:val="12"/>
              </w:rPr>
            </w:pPr>
          </w:p>
        </w:tc>
        <w:tc>
          <w:tcPr>
            <w:tcW w:w="0" w:type="auto"/>
          </w:tcPr>
          <w:p w14:paraId="2F25495D" w14:textId="77777777" w:rsidR="008940B3" w:rsidRPr="00175938" w:rsidRDefault="008940B3" w:rsidP="00E858EF">
            <w:pPr>
              <w:suppressAutoHyphens/>
              <w:jc w:val="center"/>
              <w:rPr>
                <w:sz w:val="14"/>
                <w:szCs w:val="12"/>
              </w:rPr>
            </w:pPr>
          </w:p>
        </w:tc>
        <w:tc>
          <w:tcPr>
            <w:tcW w:w="0" w:type="auto"/>
          </w:tcPr>
          <w:p w14:paraId="447C3646" w14:textId="77777777" w:rsidR="008940B3" w:rsidRPr="00175938" w:rsidRDefault="008940B3" w:rsidP="00E858EF">
            <w:pPr>
              <w:suppressAutoHyphens/>
              <w:jc w:val="center"/>
              <w:rPr>
                <w:sz w:val="14"/>
                <w:szCs w:val="12"/>
              </w:rPr>
            </w:pPr>
          </w:p>
        </w:tc>
        <w:tc>
          <w:tcPr>
            <w:tcW w:w="0" w:type="auto"/>
          </w:tcPr>
          <w:p w14:paraId="6C3AEBD3" w14:textId="77777777" w:rsidR="008940B3" w:rsidRPr="00175938" w:rsidRDefault="008940B3" w:rsidP="00E858EF">
            <w:pPr>
              <w:suppressAutoHyphens/>
              <w:jc w:val="center"/>
              <w:rPr>
                <w:sz w:val="14"/>
                <w:szCs w:val="12"/>
              </w:rPr>
            </w:pPr>
          </w:p>
        </w:tc>
        <w:tc>
          <w:tcPr>
            <w:tcW w:w="0" w:type="auto"/>
          </w:tcPr>
          <w:p w14:paraId="2B75FA09" w14:textId="77777777" w:rsidR="008940B3" w:rsidRPr="00175938" w:rsidRDefault="008940B3" w:rsidP="00E858EF">
            <w:pPr>
              <w:suppressAutoHyphens/>
              <w:jc w:val="center"/>
              <w:rPr>
                <w:sz w:val="14"/>
                <w:szCs w:val="12"/>
              </w:rPr>
            </w:pPr>
          </w:p>
        </w:tc>
        <w:tc>
          <w:tcPr>
            <w:tcW w:w="0" w:type="auto"/>
          </w:tcPr>
          <w:p w14:paraId="6805F2D3" w14:textId="77777777" w:rsidR="008940B3" w:rsidRPr="00175938" w:rsidRDefault="008940B3" w:rsidP="00E858EF">
            <w:pPr>
              <w:suppressAutoHyphens/>
              <w:jc w:val="center"/>
              <w:rPr>
                <w:sz w:val="14"/>
                <w:szCs w:val="12"/>
              </w:rPr>
            </w:pPr>
          </w:p>
        </w:tc>
      </w:tr>
      <w:tr w:rsidR="008940B3" w:rsidRPr="00175938" w14:paraId="38B0A178" w14:textId="77777777" w:rsidTr="00175938">
        <w:trPr>
          <w:trHeight w:val="175"/>
        </w:trPr>
        <w:tc>
          <w:tcPr>
            <w:tcW w:w="1951" w:type="dxa"/>
          </w:tcPr>
          <w:p w14:paraId="351B4E8A" w14:textId="77777777" w:rsidR="008940B3" w:rsidRPr="00175938" w:rsidRDefault="008940B3" w:rsidP="00E858EF">
            <w:pPr>
              <w:suppressAutoHyphens/>
              <w:jc w:val="left"/>
              <w:rPr>
                <w:rFonts w:eastAsia="Times New Roman"/>
                <w:sz w:val="14"/>
                <w:szCs w:val="12"/>
              </w:rPr>
            </w:pPr>
            <w:r w:rsidRPr="00175938">
              <w:rPr>
                <w:rFonts w:eastAsia="Times New Roman"/>
                <w:sz w:val="14"/>
                <w:szCs w:val="12"/>
              </w:rPr>
              <w:t>SPHAKIA</w:t>
            </w:r>
          </w:p>
        </w:tc>
        <w:tc>
          <w:tcPr>
            <w:tcW w:w="1134" w:type="dxa"/>
          </w:tcPr>
          <w:p w14:paraId="73A0C3AB"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797F7885" w14:textId="77777777" w:rsidR="008940B3" w:rsidRPr="00175938" w:rsidRDefault="008940B3" w:rsidP="00E858EF">
            <w:pPr>
              <w:suppressAutoHyphens/>
              <w:jc w:val="center"/>
              <w:rPr>
                <w:sz w:val="14"/>
                <w:szCs w:val="12"/>
              </w:rPr>
            </w:pPr>
          </w:p>
        </w:tc>
        <w:tc>
          <w:tcPr>
            <w:tcW w:w="0" w:type="auto"/>
          </w:tcPr>
          <w:p w14:paraId="2A3F7AD5" w14:textId="77777777" w:rsidR="008940B3" w:rsidRPr="00175938" w:rsidRDefault="008940B3" w:rsidP="00E858EF">
            <w:pPr>
              <w:suppressAutoHyphens/>
              <w:jc w:val="center"/>
              <w:rPr>
                <w:sz w:val="14"/>
                <w:szCs w:val="12"/>
              </w:rPr>
            </w:pPr>
          </w:p>
        </w:tc>
        <w:tc>
          <w:tcPr>
            <w:tcW w:w="0" w:type="auto"/>
          </w:tcPr>
          <w:p w14:paraId="6058023D" w14:textId="77777777" w:rsidR="008940B3" w:rsidRPr="00175938" w:rsidRDefault="008940B3" w:rsidP="00E858EF">
            <w:pPr>
              <w:suppressAutoHyphens/>
              <w:jc w:val="center"/>
              <w:rPr>
                <w:sz w:val="14"/>
                <w:szCs w:val="12"/>
              </w:rPr>
            </w:pPr>
          </w:p>
        </w:tc>
        <w:tc>
          <w:tcPr>
            <w:tcW w:w="0" w:type="auto"/>
          </w:tcPr>
          <w:p w14:paraId="2B5AB53A" w14:textId="77777777" w:rsidR="008940B3" w:rsidRPr="00175938" w:rsidRDefault="008940B3" w:rsidP="00E858EF">
            <w:pPr>
              <w:suppressAutoHyphens/>
              <w:jc w:val="center"/>
              <w:rPr>
                <w:sz w:val="14"/>
                <w:szCs w:val="12"/>
              </w:rPr>
            </w:pPr>
          </w:p>
        </w:tc>
        <w:tc>
          <w:tcPr>
            <w:tcW w:w="0" w:type="auto"/>
          </w:tcPr>
          <w:p w14:paraId="51E74E75" w14:textId="77777777" w:rsidR="008940B3" w:rsidRPr="00175938" w:rsidRDefault="008940B3" w:rsidP="00E858EF">
            <w:pPr>
              <w:suppressAutoHyphens/>
              <w:jc w:val="center"/>
              <w:rPr>
                <w:sz w:val="14"/>
                <w:szCs w:val="12"/>
              </w:rPr>
            </w:pPr>
          </w:p>
        </w:tc>
        <w:tc>
          <w:tcPr>
            <w:tcW w:w="0" w:type="auto"/>
          </w:tcPr>
          <w:p w14:paraId="31B9B6EC" w14:textId="77777777" w:rsidR="008940B3" w:rsidRPr="00175938" w:rsidRDefault="008940B3" w:rsidP="00E858EF">
            <w:pPr>
              <w:suppressAutoHyphens/>
              <w:jc w:val="center"/>
              <w:rPr>
                <w:sz w:val="14"/>
                <w:szCs w:val="12"/>
              </w:rPr>
            </w:pPr>
          </w:p>
        </w:tc>
        <w:tc>
          <w:tcPr>
            <w:tcW w:w="0" w:type="auto"/>
          </w:tcPr>
          <w:p w14:paraId="3CAB3C19" w14:textId="77777777" w:rsidR="008940B3" w:rsidRPr="00175938" w:rsidRDefault="008940B3" w:rsidP="00E858EF">
            <w:pPr>
              <w:suppressAutoHyphens/>
              <w:jc w:val="center"/>
              <w:rPr>
                <w:sz w:val="14"/>
                <w:szCs w:val="12"/>
              </w:rPr>
            </w:pPr>
          </w:p>
        </w:tc>
        <w:tc>
          <w:tcPr>
            <w:tcW w:w="0" w:type="auto"/>
          </w:tcPr>
          <w:p w14:paraId="102D660C" w14:textId="77777777" w:rsidR="008940B3" w:rsidRPr="00175938" w:rsidRDefault="008940B3" w:rsidP="00E858EF">
            <w:pPr>
              <w:suppressAutoHyphens/>
              <w:jc w:val="center"/>
              <w:rPr>
                <w:sz w:val="14"/>
                <w:szCs w:val="12"/>
              </w:rPr>
            </w:pPr>
          </w:p>
        </w:tc>
      </w:tr>
      <w:tr w:rsidR="008940B3" w:rsidRPr="00175938" w14:paraId="110076DB" w14:textId="77777777" w:rsidTr="00175938">
        <w:trPr>
          <w:trHeight w:val="175"/>
        </w:trPr>
        <w:tc>
          <w:tcPr>
            <w:tcW w:w="1951" w:type="dxa"/>
          </w:tcPr>
          <w:p w14:paraId="6B2F3A87"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STAVROCHORI</w:t>
            </w:r>
          </w:p>
        </w:tc>
        <w:tc>
          <w:tcPr>
            <w:tcW w:w="1134" w:type="dxa"/>
          </w:tcPr>
          <w:p w14:paraId="0DE54741"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2FEB45FB" w14:textId="77777777" w:rsidR="008940B3" w:rsidRPr="00175938" w:rsidRDefault="008940B3" w:rsidP="00E858EF">
            <w:pPr>
              <w:suppressAutoHyphens/>
              <w:jc w:val="center"/>
              <w:rPr>
                <w:sz w:val="14"/>
                <w:szCs w:val="12"/>
              </w:rPr>
            </w:pPr>
          </w:p>
        </w:tc>
        <w:tc>
          <w:tcPr>
            <w:tcW w:w="0" w:type="auto"/>
          </w:tcPr>
          <w:p w14:paraId="6FE87EF4" w14:textId="77777777" w:rsidR="008940B3" w:rsidRPr="00175938" w:rsidRDefault="008940B3" w:rsidP="00E858EF">
            <w:pPr>
              <w:suppressAutoHyphens/>
              <w:jc w:val="center"/>
              <w:rPr>
                <w:sz w:val="14"/>
                <w:szCs w:val="12"/>
              </w:rPr>
            </w:pPr>
          </w:p>
        </w:tc>
        <w:tc>
          <w:tcPr>
            <w:tcW w:w="0" w:type="auto"/>
          </w:tcPr>
          <w:p w14:paraId="455B4F80" w14:textId="77777777" w:rsidR="008940B3" w:rsidRPr="00175938" w:rsidRDefault="008940B3" w:rsidP="00E858EF">
            <w:pPr>
              <w:suppressAutoHyphens/>
              <w:jc w:val="center"/>
              <w:rPr>
                <w:sz w:val="14"/>
                <w:szCs w:val="12"/>
              </w:rPr>
            </w:pPr>
          </w:p>
        </w:tc>
        <w:tc>
          <w:tcPr>
            <w:tcW w:w="0" w:type="auto"/>
          </w:tcPr>
          <w:p w14:paraId="5B05BAE3" w14:textId="77777777" w:rsidR="008940B3" w:rsidRPr="00175938" w:rsidRDefault="008940B3" w:rsidP="00E858EF">
            <w:pPr>
              <w:suppressAutoHyphens/>
              <w:jc w:val="center"/>
              <w:rPr>
                <w:sz w:val="14"/>
                <w:szCs w:val="12"/>
              </w:rPr>
            </w:pPr>
          </w:p>
        </w:tc>
        <w:tc>
          <w:tcPr>
            <w:tcW w:w="0" w:type="auto"/>
          </w:tcPr>
          <w:p w14:paraId="05DF8B0F" w14:textId="77777777" w:rsidR="008940B3" w:rsidRPr="00175938" w:rsidRDefault="008940B3" w:rsidP="00E858EF">
            <w:pPr>
              <w:suppressAutoHyphens/>
              <w:jc w:val="center"/>
              <w:rPr>
                <w:sz w:val="14"/>
                <w:szCs w:val="12"/>
              </w:rPr>
            </w:pPr>
          </w:p>
        </w:tc>
        <w:tc>
          <w:tcPr>
            <w:tcW w:w="0" w:type="auto"/>
          </w:tcPr>
          <w:p w14:paraId="6BE663D6" w14:textId="77777777" w:rsidR="008940B3" w:rsidRPr="00175938" w:rsidRDefault="008940B3" w:rsidP="00E858EF">
            <w:pPr>
              <w:suppressAutoHyphens/>
              <w:jc w:val="center"/>
              <w:rPr>
                <w:sz w:val="14"/>
                <w:szCs w:val="12"/>
              </w:rPr>
            </w:pPr>
          </w:p>
        </w:tc>
        <w:tc>
          <w:tcPr>
            <w:tcW w:w="0" w:type="auto"/>
          </w:tcPr>
          <w:p w14:paraId="0090FB16" w14:textId="77777777" w:rsidR="008940B3" w:rsidRPr="00175938" w:rsidRDefault="008940B3" w:rsidP="00E858EF">
            <w:pPr>
              <w:suppressAutoHyphens/>
              <w:jc w:val="center"/>
              <w:rPr>
                <w:sz w:val="14"/>
                <w:szCs w:val="12"/>
              </w:rPr>
            </w:pPr>
          </w:p>
        </w:tc>
        <w:tc>
          <w:tcPr>
            <w:tcW w:w="0" w:type="auto"/>
          </w:tcPr>
          <w:p w14:paraId="54FD35A9" w14:textId="77777777" w:rsidR="008940B3" w:rsidRPr="00175938" w:rsidRDefault="008940B3" w:rsidP="00E858EF">
            <w:pPr>
              <w:suppressAutoHyphens/>
              <w:jc w:val="center"/>
              <w:rPr>
                <w:sz w:val="14"/>
                <w:szCs w:val="12"/>
              </w:rPr>
            </w:pPr>
          </w:p>
        </w:tc>
      </w:tr>
      <w:tr w:rsidR="008940B3" w:rsidRPr="00175938" w14:paraId="28C5EF73" w14:textId="77777777" w:rsidTr="00175938">
        <w:trPr>
          <w:trHeight w:val="175"/>
        </w:trPr>
        <w:tc>
          <w:tcPr>
            <w:tcW w:w="1951" w:type="dxa"/>
          </w:tcPr>
          <w:p w14:paraId="59DC620F"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VASILIKI AG. THEODOROS</w:t>
            </w:r>
          </w:p>
        </w:tc>
        <w:tc>
          <w:tcPr>
            <w:tcW w:w="1134" w:type="dxa"/>
          </w:tcPr>
          <w:p w14:paraId="76AAC39F"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101F935D" w14:textId="77777777" w:rsidR="008940B3" w:rsidRPr="00175938" w:rsidRDefault="008940B3" w:rsidP="00E858EF">
            <w:pPr>
              <w:suppressAutoHyphens/>
              <w:jc w:val="center"/>
              <w:rPr>
                <w:sz w:val="14"/>
                <w:szCs w:val="12"/>
                <w:highlight w:val="yellow"/>
              </w:rPr>
            </w:pPr>
          </w:p>
        </w:tc>
        <w:tc>
          <w:tcPr>
            <w:tcW w:w="0" w:type="auto"/>
          </w:tcPr>
          <w:p w14:paraId="26652024" w14:textId="77777777" w:rsidR="008940B3" w:rsidRPr="00175938" w:rsidRDefault="008940B3" w:rsidP="00E858EF">
            <w:pPr>
              <w:suppressAutoHyphens/>
              <w:jc w:val="center"/>
              <w:rPr>
                <w:sz w:val="14"/>
                <w:szCs w:val="12"/>
                <w:highlight w:val="yellow"/>
              </w:rPr>
            </w:pPr>
          </w:p>
        </w:tc>
        <w:tc>
          <w:tcPr>
            <w:tcW w:w="0" w:type="auto"/>
          </w:tcPr>
          <w:p w14:paraId="108ED840" w14:textId="77777777" w:rsidR="008940B3" w:rsidRPr="00175938" w:rsidRDefault="008940B3" w:rsidP="00E858EF">
            <w:pPr>
              <w:suppressAutoHyphens/>
              <w:jc w:val="center"/>
              <w:rPr>
                <w:sz w:val="14"/>
                <w:szCs w:val="12"/>
                <w:highlight w:val="yellow"/>
              </w:rPr>
            </w:pPr>
          </w:p>
        </w:tc>
        <w:tc>
          <w:tcPr>
            <w:tcW w:w="0" w:type="auto"/>
          </w:tcPr>
          <w:p w14:paraId="530ADA8D" w14:textId="77777777" w:rsidR="008940B3" w:rsidRPr="00175938" w:rsidRDefault="008940B3" w:rsidP="00E858EF">
            <w:pPr>
              <w:suppressAutoHyphens/>
              <w:jc w:val="center"/>
              <w:rPr>
                <w:sz w:val="14"/>
                <w:szCs w:val="12"/>
                <w:highlight w:val="yellow"/>
              </w:rPr>
            </w:pPr>
          </w:p>
        </w:tc>
        <w:tc>
          <w:tcPr>
            <w:tcW w:w="0" w:type="auto"/>
          </w:tcPr>
          <w:p w14:paraId="626F421D" w14:textId="77777777" w:rsidR="008940B3" w:rsidRPr="00175938" w:rsidRDefault="008940B3" w:rsidP="00E858EF">
            <w:pPr>
              <w:suppressAutoHyphens/>
              <w:jc w:val="center"/>
              <w:rPr>
                <w:sz w:val="14"/>
                <w:szCs w:val="12"/>
                <w:highlight w:val="yellow"/>
              </w:rPr>
            </w:pPr>
          </w:p>
        </w:tc>
        <w:tc>
          <w:tcPr>
            <w:tcW w:w="0" w:type="auto"/>
          </w:tcPr>
          <w:p w14:paraId="61484C24" w14:textId="77777777" w:rsidR="008940B3" w:rsidRPr="00175938" w:rsidRDefault="008940B3" w:rsidP="00E858EF">
            <w:pPr>
              <w:suppressAutoHyphens/>
              <w:jc w:val="center"/>
              <w:rPr>
                <w:sz w:val="14"/>
                <w:szCs w:val="12"/>
                <w:highlight w:val="yellow"/>
              </w:rPr>
            </w:pPr>
          </w:p>
        </w:tc>
        <w:tc>
          <w:tcPr>
            <w:tcW w:w="0" w:type="auto"/>
          </w:tcPr>
          <w:p w14:paraId="2D9DF9B7" w14:textId="77777777" w:rsidR="008940B3" w:rsidRPr="00175938" w:rsidRDefault="008940B3" w:rsidP="00E858EF">
            <w:pPr>
              <w:suppressAutoHyphens/>
              <w:jc w:val="center"/>
              <w:rPr>
                <w:sz w:val="14"/>
                <w:szCs w:val="12"/>
                <w:highlight w:val="yellow"/>
              </w:rPr>
            </w:pPr>
          </w:p>
        </w:tc>
        <w:tc>
          <w:tcPr>
            <w:tcW w:w="0" w:type="auto"/>
          </w:tcPr>
          <w:p w14:paraId="2081A5E4" w14:textId="77777777" w:rsidR="008940B3" w:rsidRPr="00175938" w:rsidRDefault="008940B3" w:rsidP="00E858EF">
            <w:pPr>
              <w:suppressAutoHyphens/>
              <w:jc w:val="center"/>
              <w:rPr>
                <w:sz w:val="14"/>
                <w:szCs w:val="12"/>
                <w:highlight w:val="yellow"/>
              </w:rPr>
            </w:pPr>
          </w:p>
        </w:tc>
      </w:tr>
      <w:tr w:rsidR="008940B3" w:rsidRPr="00175938" w14:paraId="5C071C0B" w14:textId="77777777" w:rsidTr="00175938">
        <w:trPr>
          <w:trHeight w:val="175"/>
        </w:trPr>
        <w:tc>
          <w:tcPr>
            <w:tcW w:w="1951" w:type="dxa"/>
          </w:tcPr>
          <w:p w14:paraId="4C7FDD87"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XEROKAMARA</w:t>
            </w:r>
          </w:p>
        </w:tc>
        <w:tc>
          <w:tcPr>
            <w:tcW w:w="1134" w:type="dxa"/>
          </w:tcPr>
          <w:p w14:paraId="60625A35"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382B9F1C" w14:textId="77777777" w:rsidR="008940B3" w:rsidRPr="00175938" w:rsidRDefault="008940B3" w:rsidP="00E858EF">
            <w:pPr>
              <w:suppressAutoHyphens/>
              <w:jc w:val="center"/>
              <w:rPr>
                <w:sz w:val="14"/>
                <w:szCs w:val="12"/>
              </w:rPr>
            </w:pPr>
          </w:p>
        </w:tc>
        <w:tc>
          <w:tcPr>
            <w:tcW w:w="0" w:type="auto"/>
          </w:tcPr>
          <w:p w14:paraId="7C83D8AC" w14:textId="77777777" w:rsidR="008940B3" w:rsidRPr="00175938" w:rsidRDefault="008940B3" w:rsidP="00E858EF">
            <w:pPr>
              <w:suppressAutoHyphens/>
              <w:jc w:val="center"/>
              <w:rPr>
                <w:sz w:val="14"/>
                <w:szCs w:val="12"/>
              </w:rPr>
            </w:pPr>
          </w:p>
        </w:tc>
        <w:tc>
          <w:tcPr>
            <w:tcW w:w="0" w:type="auto"/>
          </w:tcPr>
          <w:p w14:paraId="691C4714" w14:textId="77777777" w:rsidR="008940B3" w:rsidRPr="00175938" w:rsidRDefault="008940B3" w:rsidP="00E858EF">
            <w:pPr>
              <w:suppressAutoHyphens/>
              <w:jc w:val="center"/>
              <w:rPr>
                <w:sz w:val="14"/>
                <w:szCs w:val="12"/>
              </w:rPr>
            </w:pPr>
          </w:p>
        </w:tc>
        <w:tc>
          <w:tcPr>
            <w:tcW w:w="0" w:type="auto"/>
          </w:tcPr>
          <w:p w14:paraId="7CDFA932" w14:textId="77777777" w:rsidR="008940B3" w:rsidRPr="00175938" w:rsidRDefault="008940B3" w:rsidP="00E858EF">
            <w:pPr>
              <w:suppressAutoHyphens/>
              <w:jc w:val="center"/>
              <w:rPr>
                <w:sz w:val="14"/>
                <w:szCs w:val="12"/>
              </w:rPr>
            </w:pPr>
          </w:p>
        </w:tc>
        <w:tc>
          <w:tcPr>
            <w:tcW w:w="0" w:type="auto"/>
          </w:tcPr>
          <w:p w14:paraId="2B6AE8B0" w14:textId="77777777" w:rsidR="008940B3" w:rsidRPr="00175938" w:rsidRDefault="008940B3" w:rsidP="00E858EF">
            <w:pPr>
              <w:suppressAutoHyphens/>
              <w:jc w:val="center"/>
              <w:rPr>
                <w:sz w:val="14"/>
                <w:szCs w:val="12"/>
              </w:rPr>
            </w:pPr>
          </w:p>
        </w:tc>
        <w:tc>
          <w:tcPr>
            <w:tcW w:w="0" w:type="auto"/>
          </w:tcPr>
          <w:p w14:paraId="3F6D75CA" w14:textId="77777777" w:rsidR="008940B3" w:rsidRPr="00175938" w:rsidRDefault="008940B3" w:rsidP="00E858EF">
            <w:pPr>
              <w:suppressAutoHyphens/>
              <w:jc w:val="center"/>
              <w:rPr>
                <w:sz w:val="14"/>
                <w:szCs w:val="12"/>
              </w:rPr>
            </w:pPr>
          </w:p>
        </w:tc>
        <w:tc>
          <w:tcPr>
            <w:tcW w:w="0" w:type="auto"/>
          </w:tcPr>
          <w:p w14:paraId="654C95A8" w14:textId="77777777" w:rsidR="008940B3" w:rsidRPr="00175938" w:rsidRDefault="008940B3" w:rsidP="00E858EF">
            <w:pPr>
              <w:suppressAutoHyphens/>
              <w:jc w:val="center"/>
              <w:rPr>
                <w:sz w:val="14"/>
                <w:szCs w:val="12"/>
              </w:rPr>
            </w:pPr>
          </w:p>
        </w:tc>
        <w:tc>
          <w:tcPr>
            <w:tcW w:w="0" w:type="auto"/>
          </w:tcPr>
          <w:p w14:paraId="46162E9D" w14:textId="77777777" w:rsidR="008940B3" w:rsidRPr="00175938" w:rsidRDefault="008940B3" w:rsidP="00E858EF">
            <w:pPr>
              <w:suppressAutoHyphens/>
              <w:jc w:val="center"/>
              <w:rPr>
                <w:sz w:val="14"/>
                <w:szCs w:val="12"/>
              </w:rPr>
            </w:pPr>
          </w:p>
        </w:tc>
      </w:tr>
      <w:tr w:rsidR="008940B3" w:rsidRPr="00175938" w14:paraId="5C4D998A" w14:textId="77777777" w:rsidTr="00175938">
        <w:trPr>
          <w:trHeight w:val="175"/>
        </w:trPr>
        <w:tc>
          <w:tcPr>
            <w:tcW w:w="1951" w:type="dxa"/>
          </w:tcPr>
          <w:p w14:paraId="17CBB820" w14:textId="77777777" w:rsidR="008940B3" w:rsidRPr="00175938" w:rsidRDefault="008940B3" w:rsidP="00E858EF">
            <w:pPr>
              <w:suppressAutoHyphens/>
              <w:jc w:val="left"/>
              <w:rPr>
                <w:rFonts w:eastAsia="Times New Roman"/>
                <w:sz w:val="14"/>
                <w:szCs w:val="12"/>
              </w:rPr>
            </w:pPr>
            <w:r w:rsidRPr="00175938">
              <w:rPr>
                <w:rFonts w:eastAsia="Times New Roman"/>
                <w:color w:val="000000"/>
                <w:sz w:val="14"/>
                <w:szCs w:val="12"/>
              </w:rPr>
              <w:t>ZAKRO ELLINIKA</w:t>
            </w:r>
          </w:p>
        </w:tc>
        <w:tc>
          <w:tcPr>
            <w:tcW w:w="1134" w:type="dxa"/>
          </w:tcPr>
          <w:p w14:paraId="7D636D33" w14:textId="77777777" w:rsidR="008940B3" w:rsidRPr="00175938" w:rsidRDefault="008940B3" w:rsidP="00E858EF">
            <w:pPr>
              <w:suppressAutoHyphens/>
              <w:jc w:val="center"/>
              <w:rPr>
                <w:color w:val="000000"/>
                <w:sz w:val="14"/>
                <w:szCs w:val="12"/>
              </w:rPr>
            </w:pPr>
            <w:r w:rsidRPr="00175938">
              <w:rPr>
                <w:rFonts w:ascii="Lucida Grande" w:hAnsi="Lucida Grande" w:cs="Lucida Grande"/>
                <w:color w:val="000000"/>
                <w:sz w:val="14"/>
                <w:szCs w:val="12"/>
              </w:rPr>
              <w:t>✓</w:t>
            </w:r>
          </w:p>
        </w:tc>
        <w:tc>
          <w:tcPr>
            <w:tcW w:w="992" w:type="dxa"/>
          </w:tcPr>
          <w:p w14:paraId="6A614BF7" w14:textId="77777777" w:rsidR="008940B3" w:rsidRPr="00175938" w:rsidRDefault="008940B3" w:rsidP="00E858EF">
            <w:pPr>
              <w:suppressAutoHyphens/>
              <w:jc w:val="center"/>
              <w:rPr>
                <w:sz w:val="14"/>
                <w:szCs w:val="12"/>
              </w:rPr>
            </w:pPr>
          </w:p>
        </w:tc>
        <w:tc>
          <w:tcPr>
            <w:tcW w:w="0" w:type="auto"/>
          </w:tcPr>
          <w:p w14:paraId="31AC281C" w14:textId="77777777" w:rsidR="008940B3" w:rsidRPr="00175938" w:rsidRDefault="008940B3" w:rsidP="00E858EF">
            <w:pPr>
              <w:suppressAutoHyphens/>
              <w:jc w:val="center"/>
              <w:rPr>
                <w:sz w:val="14"/>
                <w:szCs w:val="12"/>
              </w:rPr>
            </w:pPr>
          </w:p>
        </w:tc>
        <w:tc>
          <w:tcPr>
            <w:tcW w:w="0" w:type="auto"/>
          </w:tcPr>
          <w:p w14:paraId="348B8ACC" w14:textId="77777777" w:rsidR="008940B3" w:rsidRPr="00175938" w:rsidRDefault="008940B3" w:rsidP="00E858EF">
            <w:pPr>
              <w:suppressAutoHyphens/>
              <w:jc w:val="center"/>
              <w:rPr>
                <w:sz w:val="14"/>
                <w:szCs w:val="12"/>
              </w:rPr>
            </w:pPr>
          </w:p>
        </w:tc>
        <w:tc>
          <w:tcPr>
            <w:tcW w:w="0" w:type="auto"/>
          </w:tcPr>
          <w:p w14:paraId="685878AB" w14:textId="77777777" w:rsidR="008940B3" w:rsidRPr="00175938" w:rsidRDefault="008940B3" w:rsidP="00E858EF">
            <w:pPr>
              <w:suppressAutoHyphens/>
              <w:jc w:val="center"/>
              <w:rPr>
                <w:sz w:val="14"/>
                <w:szCs w:val="12"/>
              </w:rPr>
            </w:pPr>
          </w:p>
        </w:tc>
        <w:tc>
          <w:tcPr>
            <w:tcW w:w="0" w:type="auto"/>
          </w:tcPr>
          <w:p w14:paraId="251A19AE" w14:textId="77777777" w:rsidR="008940B3" w:rsidRPr="00175938" w:rsidRDefault="008940B3" w:rsidP="00E858EF">
            <w:pPr>
              <w:suppressAutoHyphens/>
              <w:jc w:val="center"/>
              <w:rPr>
                <w:sz w:val="14"/>
                <w:szCs w:val="12"/>
              </w:rPr>
            </w:pPr>
          </w:p>
        </w:tc>
        <w:tc>
          <w:tcPr>
            <w:tcW w:w="0" w:type="auto"/>
          </w:tcPr>
          <w:p w14:paraId="7557EEB7" w14:textId="77777777" w:rsidR="008940B3" w:rsidRPr="00175938" w:rsidRDefault="008940B3" w:rsidP="00E858EF">
            <w:pPr>
              <w:suppressAutoHyphens/>
              <w:jc w:val="center"/>
              <w:rPr>
                <w:sz w:val="14"/>
                <w:szCs w:val="12"/>
              </w:rPr>
            </w:pPr>
          </w:p>
        </w:tc>
        <w:tc>
          <w:tcPr>
            <w:tcW w:w="0" w:type="auto"/>
          </w:tcPr>
          <w:p w14:paraId="496DDFC3" w14:textId="77777777" w:rsidR="008940B3" w:rsidRPr="00175938" w:rsidRDefault="008940B3" w:rsidP="00E858EF">
            <w:pPr>
              <w:suppressAutoHyphens/>
              <w:jc w:val="center"/>
              <w:rPr>
                <w:sz w:val="14"/>
                <w:szCs w:val="12"/>
              </w:rPr>
            </w:pPr>
          </w:p>
        </w:tc>
        <w:tc>
          <w:tcPr>
            <w:tcW w:w="0" w:type="auto"/>
          </w:tcPr>
          <w:p w14:paraId="172E0A4B" w14:textId="77777777" w:rsidR="008940B3" w:rsidRPr="00175938" w:rsidRDefault="008940B3" w:rsidP="00E858EF">
            <w:pPr>
              <w:suppressAutoHyphens/>
              <w:jc w:val="center"/>
              <w:rPr>
                <w:sz w:val="14"/>
                <w:szCs w:val="12"/>
              </w:rPr>
            </w:pPr>
          </w:p>
        </w:tc>
      </w:tr>
    </w:tbl>
    <w:p w14:paraId="2808291D"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5C1DF92D" w14:textId="77777777" w:rsidR="008940B3" w:rsidRDefault="008940B3" w:rsidP="00E858EF">
      <w:pPr>
        <w:pStyle w:val="Titolo4"/>
        <w:keepNext w:val="0"/>
        <w:keepLines w:val="0"/>
        <w:suppressAutoHyphens/>
        <w:ind w:left="864" w:hanging="864"/>
        <w:contextualSpacing w:val="0"/>
      </w:pPr>
      <w:bookmarkStart w:id="425" w:name="_Toc389131214"/>
      <w:bookmarkStart w:id="426" w:name="_Toc517876550"/>
      <w:r w:rsidRPr="002A3EF8">
        <w:t>Wh</w:t>
      </w:r>
      <w:r>
        <w:t xml:space="preserve">at </w:t>
      </w:r>
      <w:r>
        <w:rPr>
          <w:noProof/>
        </w:rPr>
        <w:t>is the proportion throughout the region and within each cemetery of tombs with larnakes to tombs without larnakes</w:t>
      </w:r>
      <w:r w:rsidRPr="002A3EF8">
        <w:t>?</w:t>
      </w:r>
      <w:bookmarkEnd w:id="425"/>
      <w:bookmarkEnd w:id="426"/>
      <w:r w:rsidRPr="003B5C8D">
        <w:t xml:space="preserve"> </w:t>
      </w:r>
    </w:p>
    <w:p w14:paraId="04ED23AB" w14:textId="77777777" w:rsidR="008940B3" w:rsidRPr="003B5C8D" w:rsidRDefault="008940B3" w:rsidP="00C45C77">
      <w:r w:rsidRPr="003B5C8D">
        <w:t xml:space="preserve">In the </w:t>
      </w:r>
      <w:r>
        <w:t>Far-East</w:t>
      </w:r>
      <w:r w:rsidRPr="003B5C8D">
        <w:t xml:space="preserve"> area</w:t>
      </w:r>
      <w:r>
        <w:t>,</w:t>
      </w:r>
      <w:r w:rsidRPr="003B5C8D">
        <w:t xml:space="preserve"> in 45% of cemeteries with larnax burials</w:t>
      </w:r>
      <w:r>
        <w:t xml:space="preserve">, </w:t>
      </w:r>
      <w:r w:rsidRPr="003B5C8D">
        <w:t>tombs without clay larnax use</w:t>
      </w:r>
      <w:r>
        <w:t xml:space="preserve"> have been found</w:t>
      </w:r>
      <w:r w:rsidRPr="003B5C8D">
        <w:t>. Th</w:t>
      </w:r>
      <w:r>
        <w:t>e</w:t>
      </w:r>
      <w:r w:rsidRPr="003B5C8D">
        <w:t xml:space="preserve"> data slightly change if we </w:t>
      </w:r>
      <w:r>
        <w:t>consider</w:t>
      </w:r>
      <w:r w:rsidRPr="003B5C8D">
        <w:t xml:space="preserve"> t</w:t>
      </w:r>
      <w:r>
        <w:t>he number of tombs instead of</w:t>
      </w:r>
      <w:r w:rsidRPr="003B5C8D">
        <w:t xml:space="preserve"> cemeteries. Tombs without larnakes </w:t>
      </w:r>
      <w:r>
        <w:t>exceed</w:t>
      </w:r>
      <w:r w:rsidRPr="003B5C8D">
        <w:t xml:space="preserve"> the number of tombs with larnax burial</w:t>
      </w:r>
      <w:r>
        <w:t>s</w:t>
      </w:r>
      <w:r w:rsidRPr="003B5C8D">
        <w:t xml:space="preserve"> only </w:t>
      </w:r>
      <w:r>
        <w:t>at</w:t>
      </w:r>
      <w:r w:rsidRPr="003B5C8D">
        <w:t xml:space="preserve"> Mochlos Limenaria (Soles </w:t>
      </w:r>
      <w:r>
        <w:t xml:space="preserve">et al. </w:t>
      </w:r>
      <w:r w:rsidRPr="003B5C8D">
        <w:t>2008).</w:t>
      </w:r>
    </w:p>
    <w:p w14:paraId="187E1550"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38046EC3"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sidRPr="003B5C8D">
        <w:rPr>
          <w:noProof/>
          <w:sz w:val="22"/>
          <w:szCs w:val="22"/>
          <w:lang w:val="it-IT"/>
        </w:rPr>
        <w:drawing>
          <wp:inline distT="0" distB="0" distL="0" distR="0" wp14:anchorId="3771E432" wp14:editId="31A26D3D">
            <wp:extent cx="4680000" cy="2520000"/>
            <wp:effectExtent l="0" t="0" r="6350" b="13970"/>
            <wp:docPr id="61" name="Gra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D19FA5F" w14:textId="7CC1DE2E" w:rsidR="008940B3" w:rsidRDefault="008940B3" w:rsidP="00E858EF">
      <w:pPr>
        <w:pStyle w:val="Didascalia"/>
        <w:suppressAutoHyphens/>
      </w:pPr>
      <w:bookmarkStart w:id="427" w:name="_Toc520212329"/>
      <w:r>
        <w:t>Figure 3-46. Larnax distribution by tomb</w:t>
      </w:r>
      <w:r w:rsidR="005E1C18">
        <w:t>,</w:t>
      </w:r>
      <w:r>
        <w:t xml:space="preserve"> Far-East area</w:t>
      </w:r>
      <w:bookmarkEnd w:id="427"/>
    </w:p>
    <w:p w14:paraId="00F6D261"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sidRPr="003B5C8D">
        <w:rPr>
          <w:noProof/>
          <w:sz w:val="22"/>
          <w:szCs w:val="22"/>
          <w:lang w:val="it-IT"/>
        </w:rPr>
        <w:drawing>
          <wp:inline distT="0" distB="0" distL="0" distR="0" wp14:anchorId="2FB6FA3E" wp14:editId="127061B6">
            <wp:extent cx="5353050" cy="2257425"/>
            <wp:effectExtent l="0" t="0" r="0" b="9525"/>
            <wp:docPr id="62" name="Gra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17F18046" w14:textId="34758359" w:rsidR="008940B3" w:rsidRDefault="008940B3" w:rsidP="00E858EF">
      <w:pPr>
        <w:pStyle w:val="Didascalia"/>
        <w:suppressAutoHyphens/>
      </w:pPr>
      <w:bookmarkStart w:id="428" w:name="_Toc520212330"/>
      <w:r>
        <w:t>Figure 3-47. Tombs with larnax occurrence and tombs without larnax</w:t>
      </w:r>
      <w:r w:rsidR="005E1C18">
        <w:t>,</w:t>
      </w:r>
      <w:r>
        <w:t xml:space="preserve"> Far-East area</w:t>
      </w:r>
      <w:bookmarkEnd w:id="428"/>
      <w:r w:rsidDel="00471660">
        <w:t xml:space="preserve"> </w:t>
      </w:r>
    </w:p>
    <w:p w14:paraId="26D2B747" w14:textId="77777777" w:rsidR="008940B3" w:rsidRPr="00BC3C8B"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7CCDE675" w14:textId="77777777" w:rsidR="008940B3" w:rsidRPr="003B5C8D" w:rsidRDefault="008940B3" w:rsidP="00E858EF">
      <w:pPr>
        <w:pStyle w:val="Titolo3"/>
        <w:keepNext w:val="0"/>
        <w:keepLines w:val="0"/>
        <w:suppressAutoHyphens/>
        <w:rPr>
          <w:rFonts w:cs="Times New Roman"/>
          <w:color w:val="000000"/>
          <w:sz w:val="22"/>
          <w:szCs w:val="22"/>
        </w:rPr>
      </w:pPr>
      <w:bookmarkStart w:id="429" w:name="_Toc389131215"/>
      <w:bookmarkStart w:id="430" w:name="_Toc517876551"/>
      <w:bookmarkStart w:id="431" w:name="_Toc519894640"/>
      <w:r w:rsidRPr="00BC3C8B">
        <w:t>Tombs</w:t>
      </w:r>
      <w:bookmarkEnd w:id="429"/>
      <w:bookmarkEnd w:id="430"/>
      <w:bookmarkEnd w:id="431"/>
    </w:p>
    <w:p w14:paraId="020F1FE4" w14:textId="77777777" w:rsidR="008940B3" w:rsidRPr="003B5C8D" w:rsidRDefault="008940B3" w:rsidP="00264743">
      <w:r w:rsidRPr="003B5C8D">
        <w:t xml:space="preserve">The </w:t>
      </w:r>
      <w:r>
        <w:t xml:space="preserve">number of </w:t>
      </w:r>
      <w:r w:rsidRPr="003B5C8D">
        <w:t xml:space="preserve">secure tombs </w:t>
      </w:r>
      <w:r>
        <w:t>in the</w:t>
      </w:r>
      <w:r w:rsidRPr="003B5C8D">
        <w:t xml:space="preserve"> </w:t>
      </w:r>
      <w:r>
        <w:t>Far-East</w:t>
      </w:r>
      <w:r w:rsidRPr="003B5C8D">
        <w:t xml:space="preserve"> </w:t>
      </w:r>
      <w:r>
        <w:t>area</w:t>
      </w:r>
      <w:r w:rsidRPr="003B5C8D">
        <w:t xml:space="preserve"> </w:t>
      </w:r>
      <w:r>
        <w:t>is</w:t>
      </w:r>
      <w:r w:rsidRPr="003B5C8D">
        <w:t xml:space="preserve"> </w:t>
      </w:r>
      <w:r>
        <w:t>77,</w:t>
      </w:r>
      <w:r w:rsidRPr="003B5C8D">
        <w:t xml:space="preserve"> and </w:t>
      </w:r>
      <w:r>
        <w:t>these</w:t>
      </w:r>
      <w:r w:rsidRPr="003B5C8D">
        <w:t xml:space="preserve"> constitute the sample </w:t>
      </w:r>
      <w:r>
        <w:t>in</w:t>
      </w:r>
      <w:r w:rsidRPr="003B5C8D">
        <w:t xml:space="preserve"> the following analysis.</w:t>
      </w:r>
    </w:p>
    <w:p w14:paraId="19470FA0" w14:textId="77777777" w:rsidR="008940B3" w:rsidRDefault="008940B3" w:rsidP="00E858EF">
      <w:pPr>
        <w:pStyle w:val="Titolo4"/>
        <w:keepNext w:val="0"/>
        <w:keepLines w:val="0"/>
        <w:suppressAutoHyphens/>
        <w:ind w:left="864" w:hanging="864"/>
        <w:contextualSpacing w:val="0"/>
      </w:pPr>
      <w:bookmarkStart w:id="432" w:name="_Toc389131216"/>
      <w:bookmarkStart w:id="433" w:name="_Toc517876552"/>
      <w:r>
        <w:t>Typology: W</w:t>
      </w:r>
      <w:r w:rsidRPr="002A3EF8">
        <w:t xml:space="preserve">hich tomb types </w:t>
      </w:r>
      <w:r>
        <w:t>are</w:t>
      </w:r>
      <w:r w:rsidRPr="002A3EF8">
        <w:t xml:space="preserve"> associated </w:t>
      </w:r>
      <w:r>
        <w:t xml:space="preserve">with </w:t>
      </w:r>
      <w:r w:rsidRPr="002A3EF8">
        <w:t>larnakes?</w:t>
      </w:r>
      <w:bookmarkEnd w:id="432"/>
      <w:bookmarkEnd w:id="433"/>
    </w:p>
    <w:p w14:paraId="562F1D88" w14:textId="77777777" w:rsidR="008940B3" w:rsidRDefault="008940B3" w:rsidP="00264743">
      <w:r w:rsidRPr="00A432A4">
        <w:t xml:space="preserve">In the </w:t>
      </w:r>
      <w:r>
        <w:t>Far-East</w:t>
      </w:r>
      <w:r w:rsidRPr="00A432A4">
        <w:t xml:space="preserve"> area</w:t>
      </w:r>
      <w:r>
        <w:t>,</w:t>
      </w:r>
      <w:r w:rsidRPr="00A432A4">
        <w:t xml:space="preserve"> </w:t>
      </w:r>
      <w:r>
        <w:t xml:space="preserve">51% of </w:t>
      </w:r>
      <w:r w:rsidRPr="00A432A4">
        <w:t xml:space="preserve">larnakes </w:t>
      </w:r>
      <w:r>
        <w:t>are</w:t>
      </w:r>
      <w:r w:rsidRPr="00A432A4">
        <w:t xml:space="preserve"> associated with chamber tombs</w:t>
      </w:r>
      <w:r>
        <w:t>. The types registered for t</w:t>
      </w:r>
      <w:r w:rsidRPr="00A432A4">
        <w:t xml:space="preserve">he remaining </w:t>
      </w:r>
      <w:r>
        <w:t xml:space="preserve">tombs are cave/rock shelters (13%), pits (11%) and corbel-vaulted tombs (9%). At Gournia, a larnax was found in a </w:t>
      </w:r>
      <w:r w:rsidRPr="00B24BEB">
        <w:t xml:space="preserve">disused structure inside the settlement area (Boyd-Hawes 1908: 46; Kanta 1980: 140; Langohr 2008: 150). </w:t>
      </w:r>
      <w:r>
        <w:t>There is no information available about 15% of the tomb types.</w:t>
      </w:r>
    </w:p>
    <w:p w14:paraId="688CC1EC" w14:textId="77777777" w:rsidR="008940B3" w:rsidRPr="000F2073" w:rsidRDefault="008940B3" w:rsidP="00E858EF">
      <w:pPr>
        <w:suppressAutoHyphens/>
        <w:rPr>
          <w:color w:val="FF0000"/>
          <w:sz w:val="22"/>
          <w:szCs w:val="22"/>
        </w:rPr>
      </w:pPr>
    </w:p>
    <w:p w14:paraId="24B752BB"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sidRPr="003B5C8D">
        <w:rPr>
          <w:noProof/>
          <w:sz w:val="22"/>
          <w:szCs w:val="22"/>
          <w:lang w:val="it-IT"/>
        </w:rPr>
        <w:drawing>
          <wp:inline distT="0" distB="0" distL="0" distR="0" wp14:anchorId="4F8ED5E3" wp14:editId="56E546D5">
            <wp:extent cx="4680000" cy="2520000"/>
            <wp:effectExtent l="0" t="0" r="6350" b="13970"/>
            <wp:docPr id="64" name="Grafico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7ED92B2" w14:textId="77777777" w:rsidR="008940B3" w:rsidRDefault="008940B3" w:rsidP="00E858EF">
      <w:pPr>
        <w:pStyle w:val="Didascalia"/>
        <w:suppressAutoHyphens/>
      </w:pPr>
      <w:r w:rsidRPr="008266CF">
        <w:t xml:space="preserve"> </w:t>
      </w:r>
      <w:bookmarkStart w:id="434" w:name="_Toc520212331"/>
      <w:r>
        <w:t>Figure 3-48. Tomb types associated with larnax burials in the Far-East area</w:t>
      </w:r>
      <w:bookmarkEnd w:id="434"/>
    </w:p>
    <w:p w14:paraId="60218A6F"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01C8A104" w14:textId="1B3CB1E5" w:rsidR="008940B3" w:rsidRPr="003B5C8D" w:rsidRDefault="008940B3" w:rsidP="00E858EF">
      <w:pPr>
        <w:pStyle w:val="Testofumetto"/>
        <w:suppressAutoHyphens/>
      </w:pPr>
      <w:bookmarkStart w:id="435" w:name="_Toc520212560"/>
      <w:r>
        <w:t>Table 3-72. Tomb types associated with larnax by cemetery</w:t>
      </w:r>
      <w:r w:rsidR="005E1C18">
        <w:t>,</w:t>
      </w:r>
      <w:r>
        <w:t xml:space="preserve"> Far-East area</w:t>
      </w:r>
      <w:bookmarkEnd w:id="43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589"/>
        <w:gridCol w:w="617"/>
        <w:gridCol w:w="533"/>
        <w:gridCol w:w="25"/>
        <w:gridCol w:w="590"/>
        <w:gridCol w:w="554"/>
        <w:gridCol w:w="7"/>
        <w:gridCol w:w="661"/>
        <w:gridCol w:w="539"/>
        <w:gridCol w:w="576"/>
        <w:gridCol w:w="528"/>
        <w:gridCol w:w="675"/>
        <w:gridCol w:w="587"/>
        <w:gridCol w:w="638"/>
      </w:tblGrid>
      <w:tr w:rsidR="008940B3" w:rsidRPr="003B5C8D" w14:paraId="005ED70B" w14:textId="77777777" w:rsidTr="008940B3">
        <w:trPr>
          <w:trHeight w:val="405"/>
        </w:trPr>
        <w:tc>
          <w:tcPr>
            <w:tcW w:w="1526" w:type="dxa"/>
          </w:tcPr>
          <w:p w14:paraId="08D5BE05" w14:textId="77777777" w:rsidR="008940B3" w:rsidRPr="003B5C8D" w:rsidRDefault="008940B3" w:rsidP="00E858EF">
            <w:pPr>
              <w:suppressAutoHyphens/>
              <w:jc w:val="left"/>
              <w:rPr>
                <w:rFonts w:eastAsia="Times New Roman"/>
                <w:b/>
                <w:bCs/>
                <w:color w:val="000000"/>
                <w:sz w:val="16"/>
                <w:szCs w:val="16"/>
              </w:rPr>
            </w:pPr>
            <w:r w:rsidRPr="003B5C8D">
              <w:rPr>
                <w:rFonts w:eastAsia="Times New Roman"/>
                <w:b/>
                <w:bCs/>
                <w:color w:val="000000"/>
                <w:sz w:val="16"/>
                <w:szCs w:val="16"/>
              </w:rPr>
              <w:t>CEMETERIES</w:t>
            </w:r>
          </w:p>
        </w:tc>
        <w:tc>
          <w:tcPr>
            <w:tcW w:w="1237" w:type="dxa"/>
            <w:gridSpan w:val="2"/>
            <w:vAlign w:val="bottom"/>
            <w:hideMark/>
          </w:tcPr>
          <w:p w14:paraId="0AE775B4" w14:textId="77777777" w:rsidR="008940B3" w:rsidRPr="003B5C8D" w:rsidRDefault="008940B3" w:rsidP="00E858EF">
            <w:pPr>
              <w:suppressAutoHyphens/>
              <w:rPr>
                <w:b/>
                <w:sz w:val="16"/>
                <w:szCs w:val="16"/>
              </w:rPr>
            </w:pPr>
            <w:r w:rsidRPr="003B5C8D">
              <w:rPr>
                <w:rFonts w:eastAsia="Times New Roman"/>
                <w:b/>
                <w:bCs/>
                <w:color w:val="000000"/>
                <w:sz w:val="16"/>
                <w:szCs w:val="16"/>
              </w:rPr>
              <w:t>CHAMBER TOMBS</w:t>
            </w:r>
          </w:p>
        </w:tc>
        <w:tc>
          <w:tcPr>
            <w:tcW w:w="1179" w:type="dxa"/>
            <w:gridSpan w:val="3"/>
          </w:tcPr>
          <w:p w14:paraId="6C9B211E" w14:textId="77777777" w:rsidR="008940B3" w:rsidRPr="003B5C8D" w:rsidRDefault="008940B3" w:rsidP="00E858EF">
            <w:pPr>
              <w:suppressAutoHyphens/>
              <w:rPr>
                <w:b/>
                <w:color w:val="000000"/>
                <w:sz w:val="16"/>
                <w:szCs w:val="16"/>
              </w:rPr>
            </w:pPr>
            <w:r w:rsidRPr="003B5C8D">
              <w:rPr>
                <w:b/>
                <w:color w:val="000000"/>
                <w:sz w:val="16"/>
                <w:szCs w:val="16"/>
              </w:rPr>
              <w:t>CORBEL VAULTED</w:t>
            </w:r>
          </w:p>
        </w:tc>
        <w:tc>
          <w:tcPr>
            <w:tcW w:w="1134" w:type="dxa"/>
            <w:gridSpan w:val="3"/>
          </w:tcPr>
          <w:p w14:paraId="16526953" w14:textId="77777777" w:rsidR="008940B3" w:rsidRPr="003B5C8D" w:rsidRDefault="008940B3" w:rsidP="00E858EF">
            <w:pPr>
              <w:suppressAutoHyphens/>
              <w:rPr>
                <w:b/>
                <w:color w:val="000000"/>
                <w:sz w:val="16"/>
                <w:szCs w:val="16"/>
              </w:rPr>
            </w:pPr>
            <w:r w:rsidRPr="003B5C8D">
              <w:rPr>
                <w:b/>
                <w:color w:val="000000"/>
                <w:sz w:val="16"/>
                <w:szCs w:val="16"/>
              </w:rPr>
              <w:t>CAVE/ROCK SHELTER</w:t>
            </w:r>
          </w:p>
        </w:tc>
        <w:tc>
          <w:tcPr>
            <w:tcW w:w="1179" w:type="dxa"/>
            <w:gridSpan w:val="2"/>
          </w:tcPr>
          <w:p w14:paraId="729F579C" w14:textId="77777777" w:rsidR="008940B3" w:rsidRPr="003B5C8D" w:rsidRDefault="008940B3" w:rsidP="00E858EF">
            <w:pPr>
              <w:suppressAutoHyphens/>
              <w:rPr>
                <w:b/>
                <w:color w:val="000000"/>
                <w:sz w:val="16"/>
                <w:szCs w:val="16"/>
              </w:rPr>
            </w:pPr>
            <w:r w:rsidRPr="003B5C8D">
              <w:rPr>
                <w:b/>
                <w:color w:val="000000"/>
                <w:sz w:val="16"/>
                <w:szCs w:val="16"/>
              </w:rPr>
              <w:t>PIT</w:t>
            </w:r>
          </w:p>
        </w:tc>
        <w:tc>
          <w:tcPr>
            <w:tcW w:w="1004" w:type="dxa"/>
            <w:gridSpan w:val="2"/>
          </w:tcPr>
          <w:p w14:paraId="65F1004B" w14:textId="77777777" w:rsidR="008940B3" w:rsidRPr="003B5C8D" w:rsidRDefault="008940B3" w:rsidP="00E858EF">
            <w:pPr>
              <w:suppressAutoHyphens/>
              <w:rPr>
                <w:b/>
                <w:color w:val="000000"/>
                <w:sz w:val="16"/>
                <w:szCs w:val="16"/>
              </w:rPr>
            </w:pPr>
            <w:r w:rsidRPr="003B5C8D">
              <w:rPr>
                <w:b/>
                <w:color w:val="000000"/>
                <w:sz w:val="16"/>
                <w:szCs w:val="16"/>
              </w:rPr>
              <w:t>DISUSED STRUCTURE</w:t>
            </w:r>
          </w:p>
        </w:tc>
        <w:tc>
          <w:tcPr>
            <w:tcW w:w="1295" w:type="dxa"/>
            <w:gridSpan w:val="2"/>
          </w:tcPr>
          <w:p w14:paraId="69A52A90" w14:textId="77777777" w:rsidR="008940B3" w:rsidRPr="003B5C8D" w:rsidRDefault="008940B3" w:rsidP="00E858EF">
            <w:pPr>
              <w:suppressAutoHyphens/>
              <w:rPr>
                <w:b/>
                <w:color w:val="000000"/>
                <w:sz w:val="16"/>
                <w:szCs w:val="16"/>
              </w:rPr>
            </w:pPr>
            <w:r w:rsidRPr="003B5C8D">
              <w:rPr>
                <w:b/>
                <w:color w:val="000000"/>
                <w:sz w:val="16"/>
                <w:szCs w:val="16"/>
              </w:rPr>
              <w:t>N</w:t>
            </w:r>
            <w:r>
              <w:rPr>
                <w:b/>
                <w:color w:val="000000"/>
                <w:sz w:val="16"/>
                <w:szCs w:val="16"/>
              </w:rPr>
              <w:t>/</w:t>
            </w:r>
            <w:r w:rsidRPr="003B5C8D">
              <w:rPr>
                <w:b/>
                <w:color w:val="000000"/>
                <w:sz w:val="16"/>
                <w:szCs w:val="16"/>
              </w:rPr>
              <w:t>A</w:t>
            </w:r>
          </w:p>
        </w:tc>
      </w:tr>
      <w:tr w:rsidR="008940B3" w:rsidRPr="003B5C8D" w14:paraId="21B1B342" w14:textId="77777777" w:rsidTr="008940B3">
        <w:trPr>
          <w:trHeight w:val="315"/>
        </w:trPr>
        <w:tc>
          <w:tcPr>
            <w:tcW w:w="1526" w:type="dxa"/>
            <w:vAlign w:val="bottom"/>
          </w:tcPr>
          <w:p w14:paraId="516C76B8" w14:textId="77777777" w:rsidR="008940B3" w:rsidRPr="003B5C8D" w:rsidRDefault="008940B3" w:rsidP="00E858EF">
            <w:pPr>
              <w:suppressAutoHyphens/>
              <w:jc w:val="left"/>
              <w:rPr>
                <w:rFonts w:eastAsia="Times New Roman"/>
                <w:color w:val="000000"/>
                <w:sz w:val="16"/>
                <w:szCs w:val="16"/>
              </w:rPr>
            </w:pPr>
            <w:r w:rsidRPr="003B5C8D">
              <w:rPr>
                <w:rFonts w:eastAsia="Times New Roman"/>
                <w:color w:val="000000"/>
                <w:sz w:val="16"/>
                <w:szCs w:val="16"/>
              </w:rPr>
              <w:t>ACHLADIA</w:t>
            </w:r>
          </w:p>
        </w:tc>
        <w:tc>
          <w:tcPr>
            <w:tcW w:w="618" w:type="dxa"/>
            <w:vAlign w:val="bottom"/>
            <w:hideMark/>
          </w:tcPr>
          <w:p w14:paraId="491353C0" w14:textId="77777777" w:rsidR="008940B3" w:rsidRPr="003B5C8D" w:rsidRDefault="008940B3" w:rsidP="00E858EF">
            <w:pPr>
              <w:suppressAutoHyphens/>
              <w:rPr>
                <w:sz w:val="16"/>
                <w:szCs w:val="16"/>
              </w:rPr>
            </w:pPr>
            <w:r w:rsidRPr="003B5C8D">
              <w:rPr>
                <w:sz w:val="16"/>
                <w:szCs w:val="16"/>
              </w:rPr>
              <w:t>1</w:t>
            </w:r>
          </w:p>
        </w:tc>
        <w:tc>
          <w:tcPr>
            <w:tcW w:w="619" w:type="dxa"/>
            <w:vAlign w:val="bottom"/>
          </w:tcPr>
          <w:p w14:paraId="0580CBFD" w14:textId="77777777" w:rsidR="008940B3" w:rsidRPr="003B5C8D" w:rsidRDefault="008940B3" w:rsidP="00E858EF">
            <w:pPr>
              <w:suppressAutoHyphens/>
              <w:rPr>
                <w:sz w:val="16"/>
                <w:szCs w:val="16"/>
              </w:rPr>
            </w:pPr>
            <w:r w:rsidRPr="003B5C8D">
              <w:rPr>
                <w:sz w:val="16"/>
                <w:szCs w:val="16"/>
              </w:rPr>
              <w:t>50%</w:t>
            </w:r>
          </w:p>
        </w:tc>
        <w:tc>
          <w:tcPr>
            <w:tcW w:w="589" w:type="dxa"/>
            <w:gridSpan w:val="2"/>
          </w:tcPr>
          <w:p w14:paraId="391E5737" w14:textId="77777777" w:rsidR="008940B3" w:rsidRPr="003B5C8D" w:rsidRDefault="008940B3" w:rsidP="00E858EF">
            <w:pPr>
              <w:suppressAutoHyphens/>
              <w:rPr>
                <w:color w:val="000000"/>
                <w:sz w:val="16"/>
                <w:szCs w:val="16"/>
              </w:rPr>
            </w:pPr>
            <w:r w:rsidRPr="003B5C8D">
              <w:rPr>
                <w:color w:val="000000"/>
                <w:sz w:val="16"/>
                <w:szCs w:val="16"/>
              </w:rPr>
              <w:t>1</w:t>
            </w:r>
          </w:p>
        </w:tc>
        <w:tc>
          <w:tcPr>
            <w:tcW w:w="590" w:type="dxa"/>
          </w:tcPr>
          <w:p w14:paraId="5C04BC8F" w14:textId="77777777" w:rsidR="008940B3" w:rsidRPr="003B5C8D" w:rsidRDefault="008940B3" w:rsidP="00E858EF">
            <w:pPr>
              <w:suppressAutoHyphens/>
              <w:rPr>
                <w:color w:val="000000"/>
                <w:sz w:val="16"/>
                <w:szCs w:val="16"/>
              </w:rPr>
            </w:pPr>
            <w:r w:rsidRPr="003B5C8D">
              <w:rPr>
                <w:color w:val="000000"/>
                <w:sz w:val="16"/>
                <w:szCs w:val="16"/>
              </w:rPr>
              <w:t>50%</w:t>
            </w:r>
          </w:p>
        </w:tc>
        <w:tc>
          <w:tcPr>
            <w:tcW w:w="1134" w:type="dxa"/>
            <w:gridSpan w:val="3"/>
          </w:tcPr>
          <w:p w14:paraId="3CC2A326" w14:textId="77777777" w:rsidR="008940B3" w:rsidRPr="003B5C8D" w:rsidRDefault="008940B3" w:rsidP="00E858EF">
            <w:pPr>
              <w:suppressAutoHyphens/>
              <w:rPr>
                <w:color w:val="000000"/>
                <w:sz w:val="16"/>
                <w:szCs w:val="16"/>
              </w:rPr>
            </w:pPr>
          </w:p>
        </w:tc>
        <w:tc>
          <w:tcPr>
            <w:tcW w:w="1179" w:type="dxa"/>
            <w:gridSpan w:val="2"/>
          </w:tcPr>
          <w:p w14:paraId="11F9C38C" w14:textId="77777777" w:rsidR="008940B3" w:rsidRPr="003B5C8D" w:rsidRDefault="008940B3" w:rsidP="00E858EF">
            <w:pPr>
              <w:suppressAutoHyphens/>
              <w:rPr>
                <w:color w:val="000000"/>
                <w:sz w:val="16"/>
                <w:szCs w:val="16"/>
              </w:rPr>
            </w:pPr>
          </w:p>
        </w:tc>
        <w:tc>
          <w:tcPr>
            <w:tcW w:w="1004" w:type="dxa"/>
            <w:gridSpan w:val="2"/>
          </w:tcPr>
          <w:p w14:paraId="35CF8410" w14:textId="77777777" w:rsidR="008940B3" w:rsidRPr="003B5C8D" w:rsidRDefault="008940B3" w:rsidP="00E858EF">
            <w:pPr>
              <w:suppressAutoHyphens/>
              <w:rPr>
                <w:color w:val="000000"/>
                <w:sz w:val="16"/>
                <w:szCs w:val="16"/>
              </w:rPr>
            </w:pPr>
          </w:p>
        </w:tc>
        <w:tc>
          <w:tcPr>
            <w:tcW w:w="1295" w:type="dxa"/>
            <w:gridSpan w:val="2"/>
          </w:tcPr>
          <w:p w14:paraId="750A281C" w14:textId="77777777" w:rsidR="008940B3" w:rsidRPr="003B5C8D" w:rsidRDefault="008940B3" w:rsidP="00E858EF">
            <w:pPr>
              <w:suppressAutoHyphens/>
              <w:rPr>
                <w:color w:val="000000"/>
                <w:sz w:val="16"/>
                <w:szCs w:val="16"/>
              </w:rPr>
            </w:pPr>
          </w:p>
        </w:tc>
      </w:tr>
      <w:tr w:rsidR="008940B3" w:rsidRPr="003B5C8D" w14:paraId="7700BAAA" w14:textId="77777777" w:rsidTr="008940B3">
        <w:trPr>
          <w:trHeight w:val="315"/>
        </w:trPr>
        <w:tc>
          <w:tcPr>
            <w:tcW w:w="1526" w:type="dxa"/>
            <w:vAlign w:val="bottom"/>
          </w:tcPr>
          <w:p w14:paraId="3936B2D5" w14:textId="77777777" w:rsidR="008940B3" w:rsidRPr="003B5C8D" w:rsidRDefault="008940B3" w:rsidP="00E858EF">
            <w:pPr>
              <w:suppressAutoHyphens/>
              <w:jc w:val="left"/>
              <w:rPr>
                <w:rFonts w:eastAsia="Times New Roman"/>
                <w:color w:val="000000"/>
                <w:sz w:val="16"/>
                <w:szCs w:val="16"/>
              </w:rPr>
            </w:pPr>
            <w:r w:rsidRPr="003B5C8D">
              <w:rPr>
                <w:rFonts w:eastAsia="Times New Roman"/>
                <w:color w:val="000000"/>
                <w:sz w:val="16"/>
                <w:szCs w:val="16"/>
              </w:rPr>
              <w:t>ADROMYLOI</w:t>
            </w:r>
          </w:p>
        </w:tc>
        <w:tc>
          <w:tcPr>
            <w:tcW w:w="618" w:type="dxa"/>
            <w:vAlign w:val="bottom"/>
            <w:hideMark/>
          </w:tcPr>
          <w:p w14:paraId="027776A4" w14:textId="77777777" w:rsidR="008940B3" w:rsidRPr="003B5C8D" w:rsidRDefault="008940B3" w:rsidP="00E858EF">
            <w:pPr>
              <w:suppressAutoHyphens/>
              <w:rPr>
                <w:sz w:val="16"/>
                <w:szCs w:val="16"/>
              </w:rPr>
            </w:pPr>
            <w:r w:rsidRPr="003B5C8D">
              <w:rPr>
                <w:rFonts w:eastAsia="Times New Roman"/>
                <w:color w:val="000000"/>
                <w:sz w:val="16"/>
                <w:szCs w:val="16"/>
              </w:rPr>
              <w:t>1</w:t>
            </w:r>
          </w:p>
        </w:tc>
        <w:tc>
          <w:tcPr>
            <w:tcW w:w="619" w:type="dxa"/>
            <w:vAlign w:val="bottom"/>
          </w:tcPr>
          <w:p w14:paraId="3C0F1C37" w14:textId="77777777" w:rsidR="008940B3" w:rsidRPr="003B5C8D" w:rsidRDefault="008940B3" w:rsidP="00E858EF">
            <w:pPr>
              <w:suppressAutoHyphens/>
              <w:rPr>
                <w:sz w:val="16"/>
                <w:szCs w:val="16"/>
              </w:rPr>
            </w:pPr>
            <w:r w:rsidRPr="003B5C8D">
              <w:rPr>
                <w:sz w:val="16"/>
                <w:szCs w:val="16"/>
              </w:rPr>
              <w:t>100%</w:t>
            </w:r>
          </w:p>
        </w:tc>
        <w:tc>
          <w:tcPr>
            <w:tcW w:w="1179" w:type="dxa"/>
            <w:gridSpan w:val="3"/>
          </w:tcPr>
          <w:p w14:paraId="2ABA2B06" w14:textId="77777777" w:rsidR="008940B3" w:rsidRPr="003B5C8D" w:rsidRDefault="008940B3" w:rsidP="00E858EF">
            <w:pPr>
              <w:suppressAutoHyphens/>
              <w:rPr>
                <w:color w:val="000000"/>
                <w:sz w:val="16"/>
                <w:szCs w:val="16"/>
              </w:rPr>
            </w:pPr>
          </w:p>
        </w:tc>
        <w:tc>
          <w:tcPr>
            <w:tcW w:w="1134" w:type="dxa"/>
            <w:gridSpan w:val="3"/>
          </w:tcPr>
          <w:p w14:paraId="431142C5" w14:textId="77777777" w:rsidR="008940B3" w:rsidRPr="003B5C8D" w:rsidRDefault="008940B3" w:rsidP="00E858EF">
            <w:pPr>
              <w:suppressAutoHyphens/>
              <w:rPr>
                <w:color w:val="000000"/>
                <w:sz w:val="16"/>
                <w:szCs w:val="16"/>
              </w:rPr>
            </w:pPr>
          </w:p>
        </w:tc>
        <w:tc>
          <w:tcPr>
            <w:tcW w:w="1179" w:type="dxa"/>
            <w:gridSpan w:val="2"/>
          </w:tcPr>
          <w:p w14:paraId="083B653F" w14:textId="77777777" w:rsidR="008940B3" w:rsidRPr="003B5C8D" w:rsidRDefault="008940B3" w:rsidP="00E858EF">
            <w:pPr>
              <w:suppressAutoHyphens/>
              <w:rPr>
                <w:color w:val="000000"/>
                <w:sz w:val="16"/>
                <w:szCs w:val="16"/>
              </w:rPr>
            </w:pPr>
          </w:p>
        </w:tc>
        <w:tc>
          <w:tcPr>
            <w:tcW w:w="1004" w:type="dxa"/>
            <w:gridSpan w:val="2"/>
          </w:tcPr>
          <w:p w14:paraId="69A7E804" w14:textId="77777777" w:rsidR="008940B3" w:rsidRPr="003B5C8D" w:rsidRDefault="008940B3" w:rsidP="00E858EF">
            <w:pPr>
              <w:suppressAutoHyphens/>
              <w:rPr>
                <w:color w:val="000000"/>
                <w:sz w:val="16"/>
                <w:szCs w:val="16"/>
              </w:rPr>
            </w:pPr>
          </w:p>
        </w:tc>
        <w:tc>
          <w:tcPr>
            <w:tcW w:w="1295" w:type="dxa"/>
            <w:gridSpan w:val="2"/>
          </w:tcPr>
          <w:p w14:paraId="697CE241" w14:textId="77777777" w:rsidR="008940B3" w:rsidRPr="003B5C8D" w:rsidRDefault="008940B3" w:rsidP="00E858EF">
            <w:pPr>
              <w:suppressAutoHyphens/>
              <w:rPr>
                <w:color w:val="000000"/>
                <w:sz w:val="16"/>
                <w:szCs w:val="16"/>
              </w:rPr>
            </w:pPr>
          </w:p>
        </w:tc>
      </w:tr>
      <w:tr w:rsidR="008940B3" w:rsidRPr="003B5C8D" w14:paraId="10E0F06D" w14:textId="77777777" w:rsidTr="008940B3">
        <w:trPr>
          <w:trHeight w:val="315"/>
        </w:trPr>
        <w:tc>
          <w:tcPr>
            <w:tcW w:w="1526" w:type="dxa"/>
            <w:vAlign w:val="bottom"/>
          </w:tcPr>
          <w:p w14:paraId="720610E7" w14:textId="77777777" w:rsidR="008940B3" w:rsidRPr="003B5C8D" w:rsidRDefault="008940B3" w:rsidP="00E858EF">
            <w:pPr>
              <w:suppressAutoHyphens/>
              <w:jc w:val="left"/>
              <w:rPr>
                <w:rFonts w:eastAsia="Times New Roman"/>
                <w:color w:val="000000"/>
                <w:sz w:val="16"/>
                <w:szCs w:val="16"/>
              </w:rPr>
            </w:pPr>
            <w:r w:rsidRPr="003B5C8D">
              <w:rPr>
                <w:rFonts w:eastAsia="Times New Roman"/>
                <w:color w:val="000000"/>
                <w:sz w:val="16"/>
                <w:szCs w:val="16"/>
              </w:rPr>
              <w:t>BERATI PISKOKEPHALO</w:t>
            </w:r>
          </w:p>
        </w:tc>
        <w:tc>
          <w:tcPr>
            <w:tcW w:w="1237" w:type="dxa"/>
            <w:gridSpan w:val="2"/>
            <w:vAlign w:val="bottom"/>
            <w:hideMark/>
          </w:tcPr>
          <w:p w14:paraId="6DC36593" w14:textId="77777777" w:rsidR="008940B3" w:rsidRPr="003B5C8D" w:rsidRDefault="008940B3" w:rsidP="00E858EF">
            <w:pPr>
              <w:suppressAutoHyphens/>
              <w:rPr>
                <w:sz w:val="16"/>
                <w:szCs w:val="16"/>
              </w:rPr>
            </w:pPr>
          </w:p>
        </w:tc>
        <w:tc>
          <w:tcPr>
            <w:tcW w:w="1179" w:type="dxa"/>
            <w:gridSpan w:val="3"/>
          </w:tcPr>
          <w:p w14:paraId="7C1CBBC0" w14:textId="77777777" w:rsidR="008940B3" w:rsidRPr="003B5C8D" w:rsidRDefault="008940B3" w:rsidP="00E858EF">
            <w:pPr>
              <w:suppressAutoHyphens/>
              <w:rPr>
                <w:sz w:val="16"/>
                <w:szCs w:val="16"/>
              </w:rPr>
            </w:pPr>
          </w:p>
        </w:tc>
        <w:tc>
          <w:tcPr>
            <w:tcW w:w="560" w:type="dxa"/>
          </w:tcPr>
          <w:p w14:paraId="755B9E9F" w14:textId="77777777" w:rsidR="008940B3" w:rsidRPr="003B5C8D" w:rsidRDefault="008940B3" w:rsidP="00E858EF">
            <w:pPr>
              <w:suppressAutoHyphens/>
              <w:rPr>
                <w:sz w:val="16"/>
                <w:szCs w:val="16"/>
              </w:rPr>
            </w:pPr>
            <w:r w:rsidRPr="003B5C8D">
              <w:rPr>
                <w:sz w:val="16"/>
                <w:szCs w:val="16"/>
              </w:rPr>
              <w:t>1</w:t>
            </w:r>
          </w:p>
        </w:tc>
        <w:tc>
          <w:tcPr>
            <w:tcW w:w="574" w:type="dxa"/>
            <w:gridSpan w:val="2"/>
          </w:tcPr>
          <w:p w14:paraId="56E12CED" w14:textId="77777777" w:rsidR="008940B3" w:rsidRPr="003B5C8D" w:rsidRDefault="008940B3" w:rsidP="00E858EF">
            <w:pPr>
              <w:suppressAutoHyphens/>
              <w:rPr>
                <w:sz w:val="16"/>
                <w:szCs w:val="16"/>
              </w:rPr>
            </w:pPr>
            <w:r w:rsidRPr="003B5C8D">
              <w:rPr>
                <w:sz w:val="16"/>
                <w:szCs w:val="16"/>
              </w:rPr>
              <w:t>100%</w:t>
            </w:r>
          </w:p>
        </w:tc>
        <w:tc>
          <w:tcPr>
            <w:tcW w:w="1179" w:type="dxa"/>
            <w:gridSpan w:val="2"/>
          </w:tcPr>
          <w:p w14:paraId="178560FC" w14:textId="77777777" w:rsidR="008940B3" w:rsidRPr="003B5C8D" w:rsidRDefault="008940B3" w:rsidP="00E858EF">
            <w:pPr>
              <w:suppressAutoHyphens/>
              <w:rPr>
                <w:sz w:val="16"/>
                <w:szCs w:val="16"/>
              </w:rPr>
            </w:pPr>
          </w:p>
        </w:tc>
        <w:tc>
          <w:tcPr>
            <w:tcW w:w="1004" w:type="dxa"/>
            <w:gridSpan w:val="2"/>
          </w:tcPr>
          <w:p w14:paraId="72E651B3" w14:textId="77777777" w:rsidR="008940B3" w:rsidRPr="003B5C8D" w:rsidRDefault="008940B3" w:rsidP="00E858EF">
            <w:pPr>
              <w:suppressAutoHyphens/>
              <w:rPr>
                <w:sz w:val="16"/>
                <w:szCs w:val="16"/>
              </w:rPr>
            </w:pPr>
          </w:p>
        </w:tc>
        <w:tc>
          <w:tcPr>
            <w:tcW w:w="1295" w:type="dxa"/>
            <w:gridSpan w:val="2"/>
          </w:tcPr>
          <w:p w14:paraId="08D93C0A" w14:textId="77777777" w:rsidR="008940B3" w:rsidRPr="003B5C8D" w:rsidRDefault="008940B3" w:rsidP="00E858EF">
            <w:pPr>
              <w:suppressAutoHyphens/>
              <w:rPr>
                <w:sz w:val="16"/>
                <w:szCs w:val="16"/>
              </w:rPr>
            </w:pPr>
          </w:p>
        </w:tc>
      </w:tr>
      <w:tr w:rsidR="008940B3" w:rsidRPr="003B5C8D" w14:paraId="204C1FBE" w14:textId="77777777" w:rsidTr="008940B3">
        <w:trPr>
          <w:trHeight w:val="315"/>
        </w:trPr>
        <w:tc>
          <w:tcPr>
            <w:tcW w:w="1526" w:type="dxa"/>
            <w:vAlign w:val="bottom"/>
          </w:tcPr>
          <w:p w14:paraId="20744032" w14:textId="77777777" w:rsidR="008940B3" w:rsidRPr="003B5C8D" w:rsidRDefault="008940B3" w:rsidP="00E858EF">
            <w:pPr>
              <w:suppressAutoHyphens/>
              <w:jc w:val="left"/>
              <w:rPr>
                <w:rFonts w:eastAsia="Times New Roman"/>
                <w:color w:val="000000"/>
                <w:sz w:val="16"/>
                <w:szCs w:val="16"/>
              </w:rPr>
            </w:pPr>
            <w:r w:rsidRPr="003B5C8D">
              <w:rPr>
                <w:rFonts w:eastAsia="Times New Roman"/>
                <w:color w:val="000000"/>
                <w:sz w:val="16"/>
                <w:szCs w:val="16"/>
              </w:rPr>
              <w:t>CHALEPA</w:t>
            </w:r>
          </w:p>
        </w:tc>
        <w:tc>
          <w:tcPr>
            <w:tcW w:w="618" w:type="dxa"/>
            <w:vAlign w:val="bottom"/>
            <w:hideMark/>
          </w:tcPr>
          <w:p w14:paraId="26CF734A" w14:textId="77777777" w:rsidR="008940B3" w:rsidRPr="003B5C8D" w:rsidRDefault="008940B3" w:rsidP="00E858EF">
            <w:pPr>
              <w:suppressAutoHyphens/>
              <w:rPr>
                <w:sz w:val="16"/>
                <w:szCs w:val="16"/>
              </w:rPr>
            </w:pPr>
            <w:r w:rsidRPr="003B5C8D">
              <w:rPr>
                <w:sz w:val="16"/>
                <w:szCs w:val="16"/>
              </w:rPr>
              <w:t>1</w:t>
            </w:r>
          </w:p>
        </w:tc>
        <w:tc>
          <w:tcPr>
            <w:tcW w:w="619" w:type="dxa"/>
            <w:vAlign w:val="bottom"/>
          </w:tcPr>
          <w:p w14:paraId="7F86AF67" w14:textId="77777777" w:rsidR="008940B3" w:rsidRPr="003B5C8D" w:rsidRDefault="008940B3" w:rsidP="00E858EF">
            <w:pPr>
              <w:suppressAutoHyphens/>
              <w:rPr>
                <w:sz w:val="16"/>
                <w:szCs w:val="16"/>
              </w:rPr>
            </w:pPr>
            <w:r w:rsidRPr="003B5C8D">
              <w:rPr>
                <w:sz w:val="16"/>
                <w:szCs w:val="16"/>
              </w:rPr>
              <w:t>100%</w:t>
            </w:r>
          </w:p>
        </w:tc>
        <w:tc>
          <w:tcPr>
            <w:tcW w:w="1179" w:type="dxa"/>
            <w:gridSpan w:val="3"/>
          </w:tcPr>
          <w:p w14:paraId="6D03F43B" w14:textId="77777777" w:rsidR="008940B3" w:rsidRPr="003B5C8D" w:rsidRDefault="008940B3" w:rsidP="00E858EF">
            <w:pPr>
              <w:suppressAutoHyphens/>
              <w:rPr>
                <w:color w:val="000000"/>
                <w:sz w:val="16"/>
                <w:szCs w:val="16"/>
              </w:rPr>
            </w:pPr>
          </w:p>
        </w:tc>
        <w:tc>
          <w:tcPr>
            <w:tcW w:w="1134" w:type="dxa"/>
            <w:gridSpan w:val="3"/>
          </w:tcPr>
          <w:p w14:paraId="4BBD7857" w14:textId="77777777" w:rsidR="008940B3" w:rsidRPr="003B5C8D" w:rsidRDefault="008940B3" w:rsidP="00E858EF">
            <w:pPr>
              <w:suppressAutoHyphens/>
              <w:rPr>
                <w:color w:val="000000"/>
                <w:sz w:val="16"/>
                <w:szCs w:val="16"/>
              </w:rPr>
            </w:pPr>
          </w:p>
        </w:tc>
        <w:tc>
          <w:tcPr>
            <w:tcW w:w="1179" w:type="dxa"/>
            <w:gridSpan w:val="2"/>
          </w:tcPr>
          <w:p w14:paraId="3EBE73A7" w14:textId="77777777" w:rsidR="008940B3" w:rsidRPr="003B5C8D" w:rsidRDefault="008940B3" w:rsidP="00E858EF">
            <w:pPr>
              <w:suppressAutoHyphens/>
              <w:rPr>
                <w:color w:val="000000"/>
                <w:sz w:val="16"/>
                <w:szCs w:val="16"/>
              </w:rPr>
            </w:pPr>
          </w:p>
        </w:tc>
        <w:tc>
          <w:tcPr>
            <w:tcW w:w="1004" w:type="dxa"/>
            <w:gridSpan w:val="2"/>
          </w:tcPr>
          <w:p w14:paraId="2B67A38A" w14:textId="77777777" w:rsidR="008940B3" w:rsidRPr="003B5C8D" w:rsidRDefault="008940B3" w:rsidP="00E858EF">
            <w:pPr>
              <w:suppressAutoHyphens/>
              <w:rPr>
                <w:color w:val="000000"/>
                <w:sz w:val="16"/>
                <w:szCs w:val="16"/>
              </w:rPr>
            </w:pPr>
          </w:p>
        </w:tc>
        <w:tc>
          <w:tcPr>
            <w:tcW w:w="1295" w:type="dxa"/>
            <w:gridSpan w:val="2"/>
          </w:tcPr>
          <w:p w14:paraId="41F99EC1" w14:textId="77777777" w:rsidR="008940B3" w:rsidRPr="003B5C8D" w:rsidRDefault="008940B3" w:rsidP="00E858EF">
            <w:pPr>
              <w:suppressAutoHyphens/>
              <w:rPr>
                <w:color w:val="000000"/>
                <w:sz w:val="16"/>
                <w:szCs w:val="16"/>
              </w:rPr>
            </w:pPr>
          </w:p>
        </w:tc>
      </w:tr>
      <w:tr w:rsidR="008940B3" w:rsidRPr="003B5C8D" w14:paraId="637E4D1B" w14:textId="77777777" w:rsidTr="008940B3">
        <w:trPr>
          <w:trHeight w:val="315"/>
        </w:trPr>
        <w:tc>
          <w:tcPr>
            <w:tcW w:w="1526" w:type="dxa"/>
            <w:vAlign w:val="bottom"/>
          </w:tcPr>
          <w:p w14:paraId="236A7665" w14:textId="77777777" w:rsidR="008940B3" w:rsidRPr="003B5C8D" w:rsidRDefault="008940B3" w:rsidP="00E858EF">
            <w:pPr>
              <w:suppressAutoHyphens/>
              <w:jc w:val="left"/>
              <w:rPr>
                <w:rFonts w:eastAsia="Times New Roman"/>
                <w:color w:val="000000"/>
                <w:sz w:val="16"/>
                <w:szCs w:val="16"/>
              </w:rPr>
            </w:pPr>
            <w:r w:rsidRPr="003B5C8D">
              <w:rPr>
                <w:rFonts w:eastAsia="Times New Roman"/>
                <w:color w:val="000000"/>
                <w:sz w:val="16"/>
                <w:szCs w:val="16"/>
              </w:rPr>
              <w:t>ELLINIKA</w:t>
            </w:r>
          </w:p>
        </w:tc>
        <w:tc>
          <w:tcPr>
            <w:tcW w:w="618" w:type="dxa"/>
            <w:vAlign w:val="bottom"/>
            <w:hideMark/>
          </w:tcPr>
          <w:p w14:paraId="464CC746" w14:textId="77777777" w:rsidR="008940B3" w:rsidRPr="003B5C8D" w:rsidRDefault="008940B3" w:rsidP="00E858EF">
            <w:pPr>
              <w:suppressAutoHyphens/>
              <w:rPr>
                <w:sz w:val="16"/>
                <w:szCs w:val="16"/>
              </w:rPr>
            </w:pPr>
          </w:p>
        </w:tc>
        <w:tc>
          <w:tcPr>
            <w:tcW w:w="619" w:type="dxa"/>
            <w:vAlign w:val="bottom"/>
          </w:tcPr>
          <w:p w14:paraId="0A85A652" w14:textId="77777777" w:rsidR="008940B3" w:rsidRPr="003B5C8D" w:rsidRDefault="008940B3" w:rsidP="00E858EF">
            <w:pPr>
              <w:suppressAutoHyphens/>
              <w:rPr>
                <w:sz w:val="16"/>
                <w:szCs w:val="16"/>
              </w:rPr>
            </w:pPr>
            <w:r w:rsidRPr="003B5C8D">
              <w:rPr>
                <w:sz w:val="16"/>
                <w:szCs w:val="16"/>
              </w:rPr>
              <w:t>100%</w:t>
            </w:r>
          </w:p>
        </w:tc>
        <w:tc>
          <w:tcPr>
            <w:tcW w:w="1179" w:type="dxa"/>
            <w:gridSpan w:val="3"/>
          </w:tcPr>
          <w:p w14:paraId="444A3BC1" w14:textId="77777777" w:rsidR="008940B3" w:rsidRPr="003B5C8D" w:rsidRDefault="008940B3" w:rsidP="00E858EF">
            <w:pPr>
              <w:suppressAutoHyphens/>
              <w:rPr>
                <w:color w:val="000000"/>
                <w:sz w:val="16"/>
                <w:szCs w:val="16"/>
              </w:rPr>
            </w:pPr>
          </w:p>
        </w:tc>
        <w:tc>
          <w:tcPr>
            <w:tcW w:w="1134" w:type="dxa"/>
            <w:gridSpan w:val="3"/>
          </w:tcPr>
          <w:p w14:paraId="6EE33C25" w14:textId="77777777" w:rsidR="008940B3" w:rsidRPr="003B5C8D" w:rsidRDefault="008940B3" w:rsidP="00E858EF">
            <w:pPr>
              <w:suppressAutoHyphens/>
              <w:rPr>
                <w:color w:val="000000"/>
                <w:sz w:val="16"/>
                <w:szCs w:val="16"/>
              </w:rPr>
            </w:pPr>
          </w:p>
        </w:tc>
        <w:tc>
          <w:tcPr>
            <w:tcW w:w="1179" w:type="dxa"/>
            <w:gridSpan w:val="2"/>
          </w:tcPr>
          <w:p w14:paraId="1E8739E6" w14:textId="77777777" w:rsidR="008940B3" w:rsidRPr="003B5C8D" w:rsidRDefault="008940B3" w:rsidP="00E858EF">
            <w:pPr>
              <w:suppressAutoHyphens/>
              <w:rPr>
                <w:color w:val="000000"/>
                <w:sz w:val="16"/>
                <w:szCs w:val="16"/>
              </w:rPr>
            </w:pPr>
          </w:p>
        </w:tc>
        <w:tc>
          <w:tcPr>
            <w:tcW w:w="1004" w:type="dxa"/>
            <w:gridSpan w:val="2"/>
          </w:tcPr>
          <w:p w14:paraId="44C4FA1B" w14:textId="77777777" w:rsidR="008940B3" w:rsidRPr="003B5C8D" w:rsidRDefault="008940B3" w:rsidP="00E858EF">
            <w:pPr>
              <w:suppressAutoHyphens/>
              <w:rPr>
                <w:color w:val="000000"/>
                <w:sz w:val="16"/>
                <w:szCs w:val="16"/>
              </w:rPr>
            </w:pPr>
          </w:p>
        </w:tc>
        <w:tc>
          <w:tcPr>
            <w:tcW w:w="1295" w:type="dxa"/>
            <w:gridSpan w:val="2"/>
          </w:tcPr>
          <w:p w14:paraId="53BBB792" w14:textId="77777777" w:rsidR="008940B3" w:rsidRPr="003B5C8D" w:rsidRDefault="008940B3" w:rsidP="00E858EF">
            <w:pPr>
              <w:suppressAutoHyphens/>
              <w:rPr>
                <w:color w:val="000000"/>
                <w:sz w:val="16"/>
                <w:szCs w:val="16"/>
              </w:rPr>
            </w:pPr>
          </w:p>
        </w:tc>
      </w:tr>
      <w:tr w:rsidR="008940B3" w:rsidRPr="003B5C8D" w14:paraId="73245F91" w14:textId="77777777" w:rsidTr="008940B3">
        <w:trPr>
          <w:trHeight w:val="278"/>
        </w:trPr>
        <w:tc>
          <w:tcPr>
            <w:tcW w:w="1526" w:type="dxa"/>
            <w:vAlign w:val="bottom"/>
          </w:tcPr>
          <w:p w14:paraId="7F60E251" w14:textId="77777777" w:rsidR="008940B3" w:rsidRPr="003B5C8D" w:rsidRDefault="008940B3" w:rsidP="00E858EF">
            <w:pPr>
              <w:suppressAutoHyphens/>
              <w:jc w:val="left"/>
              <w:rPr>
                <w:rFonts w:eastAsia="Times New Roman"/>
                <w:color w:val="000000"/>
                <w:sz w:val="16"/>
                <w:szCs w:val="16"/>
              </w:rPr>
            </w:pPr>
            <w:r w:rsidRPr="003B5C8D">
              <w:rPr>
                <w:rFonts w:eastAsia="Times New Roman"/>
                <w:color w:val="000000"/>
                <w:sz w:val="16"/>
                <w:szCs w:val="16"/>
              </w:rPr>
              <w:t>EPISKOPI IERAPETRA</w:t>
            </w:r>
          </w:p>
        </w:tc>
        <w:tc>
          <w:tcPr>
            <w:tcW w:w="618" w:type="dxa"/>
            <w:vAlign w:val="bottom"/>
            <w:hideMark/>
          </w:tcPr>
          <w:p w14:paraId="42D731A4" w14:textId="77777777" w:rsidR="008940B3" w:rsidRPr="003B5C8D" w:rsidRDefault="008940B3" w:rsidP="00E858EF">
            <w:pPr>
              <w:suppressAutoHyphens/>
              <w:rPr>
                <w:sz w:val="16"/>
                <w:szCs w:val="16"/>
              </w:rPr>
            </w:pPr>
            <w:r w:rsidRPr="003B5C8D">
              <w:rPr>
                <w:sz w:val="16"/>
                <w:szCs w:val="16"/>
              </w:rPr>
              <w:t>1</w:t>
            </w:r>
          </w:p>
        </w:tc>
        <w:tc>
          <w:tcPr>
            <w:tcW w:w="619" w:type="dxa"/>
            <w:vAlign w:val="bottom"/>
          </w:tcPr>
          <w:p w14:paraId="54982FED" w14:textId="77777777" w:rsidR="008940B3" w:rsidRPr="003B5C8D" w:rsidRDefault="008940B3" w:rsidP="00E858EF">
            <w:pPr>
              <w:suppressAutoHyphens/>
              <w:rPr>
                <w:sz w:val="16"/>
                <w:szCs w:val="16"/>
              </w:rPr>
            </w:pPr>
            <w:r w:rsidRPr="003B5C8D">
              <w:rPr>
                <w:sz w:val="16"/>
                <w:szCs w:val="16"/>
              </w:rPr>
              <w:t>100%</w:t>
            </w:r>
          </w:p>
        </w:tc>
        <w:tc>
          <w:tcPr>
            <w:tcW w:w="1179" w:type="dxa"/>
            <w:gridSpan w:val="3"/>
          </w:tcPr>
          <w:p w14:paraId="6D737EA5" w14:textId="77777777" w:rsidR="008940B3" w:rsidRPr="003B5C8D" w:rsidRDefault="008940B3" w:rsidP="00E858EF">
            <w:pPr>
              <w:suppressAutoHyphens/>
              <w:rPr>
                <w:sz w:val="16"/>
                <w:szCs w:val="16"/>
              </w:rPr>
            </w:pPr>
          </w:p>
        </w:tc>
        <w:tc>
          <w:tcPr>
            <w:tcW w:w="1134" w:type="dxa"/>
            <w:gridSpan w:val="3"/>
          </w:tcPr>
          <w:p w14:paraId="02CE8132" w14:textId="77777777" w:rsidR="008940B3" w:rsidRPr="003B5C8D" w:rsidRDefault="008940B3" w:rsidP="00E858EF">
            <w:pPr>
              <w:suppressAutoHyphens/>
              <w:rPr>
                <w:sz w:val="16"/>
                <w:szCs w:val="16"/>
              </w:rPr>
            </w:pPr>
          </w:p>
        </w:tc>
        <w:tc>
          <w:tcPr>
            <w:tcW w:w="1179" w:type="dxa"/>
            <w:gridSpan w:val="2"/>
          </w:tcPr>
          <w:p w14:paraId="473F1B61" w14:textId="77777777" w:rsidR="008940B3" w:rsidRPr="003B5C8D" w:rsidRDefault="008940B3" w:rsidP="00E858EF">
            <w:pPr>
              <w:suppressAutoHyphens/>
              <w:rPr>
                <w:sz w:val="16"/>
                <w:szCs w:val="16"/>
              </w:rPr>
            </w:pPr>
          </w:p>
        </w:tc>
        <w:tc>
          <w:tcPr>
            <w:tcW w:w="1004" w:type="dxa"/>
            <w:gridSpan w:val="2"/>
          </w:tcPr>
          <w:p w14:paraId="5B0A2544" w14:textId="77777777" w:rsidR="008940B3" w:rsidRPr="003B5C8D" w:rsidRDefault="008940B3" w:rsidP="00E858EF">
            <w:pPr>
              <w:suppressAutoHyphens/>
              <w:rPr>
                <w:sz w:val="16"/>
                <w:szCs w:val="16"/>
              </w:rPr>
            </w:pPr>
          </w:p>
        </w:tc>
        <w:tc>
          <w:tcPr>
            <w:tcW w:w="1295" w:type="dxa"/>
            <w:gridSpan w:val="2"/>
          </w:tcPr>
          <w:p w14:paraId="2F44880E" w14:textId="77777777" w:rsidR="008940B3" w:rsidRPr="003B5C8D" w:rsidRDefault="008940B3" w:rsidP="00E858EF">
            <w:pPr>
              <w:suppressAutoHyphens/>
              <w:rPr>
                <w:sz w:val="16"/>
                <w:szCs w:val="16"/>
              </w:rPr>
            </w:pPr>
          </w:p>
        </w:tc>
      </w:tr>
      <w:tr w:rsidR="008940B3" w:rsidRPr="003B5C8D" w14:paraId="353FF047" w14:textId="77777777" w:rsidTr="008940B3">
        <w:trPr>
          <w:trHeight w:val="268"/>
        </w:trPr>
        <w:tc>
          <w:tcPr>
            <w:tcW w:w="1526" w:type="dxa"/>
            <w:vAlign w:val="bottom"/>
          </w:tcPr>
          <w:p w14:paraId="55733FC0" w14:textId="77777777" w:rsidR="008940B3" w:rsidRPr="003B5C8D" w:rsidRDefault="008940B3" w:rsidP="00E858EF">
            <w:pPr>
              <w:suppressAutoHyphens/>
              <w:jc w:val="left"/>
              <w:rPr>
                <w:rFonts w:eastAsia="Times New Roman"/>
                <w:color w:val="000000"/>
                <w:sz w:val="16"/>
                <w:szCs w:val="16"/>
              </w:rPr>
            </w:pPr>
            <w:r w:rsidRPr="003B5C8D">
              <w:rPr>
                <w:rFonts w:eastAsia="Times New Roman"/>
                <w:color w:val="000000"/>
                <w:sz w:val="16"/>
                <w:szCs w:val="16"/>
              </w:rPr>
              <w:t>GOURNIA</w:t>
            </w:r>
          </w:p>
        </w:tc>
        <w:tc>
          <w:tcPr>
            <w:tcW w:w="1237" w:type="dxa"/>
            <w:gridSpan w:val="2"/>
            <w:vAlign w:val="bottom"/>
            <w:hideMark/>
          </w:tcPr>
          <w:p w14:paraId="41618F2D" w14:textId="77777777" w:rsidR="008940B3" w:rsidRPr="003B5C8D" w:rsidRDefault="008940B3" w:rsidP="00E858EF">
            <w:pPr>
              <w:suppressAutoHyphens/>
              <w:rPr>
                <w:sz w:val="16"/>
                <w:szCs w:val="16"/>
              </w:rPr>
            </w:pPr>
          </w:p>
        </w:tc>
        <w:tc>
          <w:tcPr>
            <w:tcW w:w="1179" w:type="dxa"/>
            <w:gridSpan w:val="3"/>
          </w:tcPr>
          <w:p w14:paraId="56BE96CD" w14:textId="77777777" w:rsidR="008940B3" w:rsidRPr="003B5C8D" w:rsidRDefault="008940B3" w:rsidP="00E858EF">
            <w:pPr>
              <w:suppressAutoHyphens/>
              <w:rPr>
                <w:color w:val="000000"/>
                <w:sz w:val="16"/>
                <w:szCs w:val="16"/>
              </w:rPr>
            </w:pPr>
          </w:p>
        </w:tc>
        <w:tc>
          <w:tcPr>
            <w:tcW w:w="560" w:type="dxa"/>
          </w:tcPr>
          <w:p w14:paraId="68AC0E10" w14:textId="77777777" w:rsidR="008940B3" w:rsidRPr="003B5C8D" w:rsidRDefault="008940B3" w:rsidP="00E858EF">
            <w:pPr>
              <w:suppressAutoHyphens/>
              <w:rPr>
                <w:color w:val="000000"/>
                <w:sz w:val="16"/>
                <w:szCs w:val="16"/>
              </w:rPr>
            </w:pPr>
            <w:r w:rsidRPr="003B5C8D">
              <w:rPr>
                <w:color w:val="000000"/>
                <w:sz w:val="16"/>
                <w:szCs w:val="16"/>
              </w:rPr>
              <w:t>1</w:t>
            </w:r>
          </w:p>
        </w:tc>
        <w:tc>
          <w:tcPr>
            <w:tcW w:w="574" w:type="dxa"/>
            <w:gridSpan w:val="2"/>
          </w:tcPr>
          <w:p w14:paraId="2BA4629E" w14:textId="77777777" w:rsidR="008940B3" w:rsidRPr="003B5C8D" w:rsidRDefault="008940B3" w:rsidP="00E858EF">
            <w:pPr>
              <w:suppressAutoHyphens/>
              <w:rPr>
                <w:color w:val="000000"/>
                <w:sz w:val="16"/>
                <w:szCs w:val="16"/>
              </w:rPr>
            </w:pPr>
            <w:r w:rsidRPr="003B5C8D">
              <w:rPr>
                <w:color w:val="000000"/>
                <w:sz w:val="16"/>
                <w:szCs w:val="16"/>
              </w:rPr>
              <w:t>34%</w:t>
            </w:r>
          </w:p>
        </w:tc>
        <w:tc>
          <w:tcPr>
            <w:tcW w:w="1179" w:type="dxa"/>
            <w:gridSpan w:val="2"/>
          </w:tcPr>
          <w:p w14:paraId="5C6802F7" w14:textId="77777777" w:rsidR="008940B3" w:rsidRPr="003B5C8D" w:rsidRDefault="008940B3" w:rsidP="00E858EF">
            <w:pPr>
              <w:suppressAutoHyphens/>
              <w:rPr>
                <w:color w:val="000000"/>
                <w:sz w:val="16"/>
                <w:szCs w:val="16"/>
              </w:rPr>
            </w:pPr>
          </w:p>
        </w:tc>
        <w:tc>
          <w:tcPr>
            <w:tcW w:w="502" w:type="dxa"/>
          </w:tcPr>
          <w:p w14:paraId="1D46A715" w14:textId="77777777" w:rsidR="008940B3" w:rsidRPr="003B5C8D" w:rsidRDefault="008940B3" w:rsidP="00E858EF">
            <w:pPr>
              <w:suppressAutoHyphens/>
              <w:rPr>
                <w:color w:val="000000"/>
                <w:sz w:val="16"/>
                <w:szCs w:val="16"/>
              </w:rPr>
            </w:pPr>
            <w:r w:rsidRPr="003B5C8D">
              <w:rPr>
                <w:color w:val="000000"/>
                <w:sz w:val="16"/>
                <w:szCs w:val="16"/>
              </w:rPr>
              <w:t>1</w:t>
            </w:r>
          </w:p>
        </w:tc>
        <w:tc>
          <w:tcPr>
            <w:tcW w:w="502" w:type="dxa"/>
          </w:tcPr>
          <w:p w14:paraId="3A8492F1" w14:textId="77777777" w:rsidR="008940B3" w:rsidRPr="003B5C8D" w:rsidRDefault="008940B3" w:rsidP="00E858EF">
            <w:pPr>
              <w:suppressAutoHyphens/>
              <w:rPr>
                <w:color w:val="000000"/>
                <w:sz w:val="16"/>
                <w:szCs w:val="16"/>
              </w:rPr>
            </w:pPr>
            <w:r w:rsidRPr="003B5C8D">
              <w:rPr>
                <w:color w:val="000000"/>
                <w:sz w:val="16"/>
                <w:szCs w:val="16"/>
              </w:rPr>
              <w:t>33%</w:t>
            </w:r>
          </w:p>
        </w:tc>
        <w:tc>
          <w:tcPr>
            <w:tcW w:w="647" w:type="dxa"/>
          </w:tcPr>
          <w:p w14:paraId="0B05F7E1" w14:textId="77777777" w:rsidR="008940B3" w:rsidRPr="003B5C8D" w:rsidRDefault="008940B3" w:rsidP="00E858EF">
            <w:pPr>
              <w:suppressAutoHyphens/>
              <w:rPr>
                <w:color w:val="000000"/>
                <w:sz w:val="16"/>
                <w:szCs w:val="16"/>
              </w:rPr>
            </w:pPr>
            <w:r w:rsidRPr="003B5C8D">
              <w:rPr>
                <w:color w:val="000000"/>
                <w:sz w:val="16"/>
                <w:szCs w:val="16"/>
              </w:rPr>
              <w:t>1</w:t>
            </w:r>
          </w:p>
        </w:tc>
        <w:tc>
          <w:tcPr>
            <w:tcW w:w="648" w:type="dxa"/>
          </w:tcPr>
          <w:p w14:paraId="7F031B6C" w14:textId="77777777" w:rsidR="008940B3" w:rsidRPr="003B5C8D" w:rsidRDefault="008940B3" w:rsidP="00E858EF">
            <w:pPr>
              <w:suppressAutoHyphens/>
              <w:rPr>
                <w:color w:val="000000"/>
                <w:sz w:val="16"/>
                <w:szCs w:val="16"/>
              </w:rPr>
            </w:pPr>
            <w:r w:rsidRPr="003B5C8D">
              <w:rPr>
                <w:color w:val="000000"/>
                <w:sz w:val="16"/>
                <w:szCs w:val="16"/>
              </w:rPr>
              <w:t>33%</w:t>
            </w:r>
          </w:p>
        </w:tc>
      </w:tr>
      <w:tr w:rsidR="008940B3" w:rsidRPr="003B5C8D" w14:paraId="1AE8A73F" w14:textId="77777777" w:rsidTr="008940B3">
        <w:trPr>
          <w:trHeight w:val="300"/>
        </w:trPr>
        <w:tc>
          <w:tcPr>
            <w:tcW w:w="1526" w:type="dxa"/>
            <w:vAlign w:val="bottom"/>
          </w:tcPr>
          <w:p w14:paraId="70F198F3" w14:textId="77777777" w:rsidR="008940B3" w:rsidRPr="003B5C8D" w:rsidRDefault="008940B3" w:rsidP="00E858EF">
            <w:pPr>
              <w:suppressAutoHyphens/>
              <w:jc w:val="left"/>
              <w:rPr>
                <w:sz w:val="16"/>
                <w:szCs w:val="16"/>
              </w:rPr>
            </w:pPr>
            <w:r w:rsidRPr="003B5C8D">
              <w:rPr>
                <w:rFonts w:eastAsia="Times New Roman"/>
                <w:color w:val="000000"/>
                <w:sz w:val="16"/>
                <w:szCs w:val="16"/>
              </w:rPr>
              <w:t>GRA LYGIA</w:t>
            </w:r>
          </w:p>
        </w:tc>
        <w:tc>
          <w:tcPr>
            <w:tcW w:w="618" w:type="dxa"/>
            <w:vAlign w:val="bottom"/>
            <w:hideMark/>
          </w:tcPr>
          <w:p w14:paraId="7F859537" w14:textId="77777777" w:rsidR="008940B3" w:rsidRPr="003B5C8D" w:rsidRDefault="008940B3" w:rsidP="00E858EF">
            <w:pPr>
              <w:suppressAutoHyphens/>
              <w:rPr>
                <w:sz w:val="16"/>
                <w:szCs w:val="16"/>
              </w:rPr>
            </w:pPr>
            <w:r w:rsidRPr="003B5C8D">
              <w:rPr>
                <w:sz w:val="16"/>
                <w:szCs w:val="16"/>
              </w:rPr>
              <w:t>2</w:t>
            </w:r>
          </w:p>
        </w:tc>
        <w:tc>
          <w:tcPr>
            <w:tcW w:w="619" w:type="dxa"/>
            <w:vAlign w:val="bottom"/>
          </w:tcPr>
          <w:p w14:paraId="42BA5165" w14:textId="77777777" w:rsidR="008940B3" w:rsidRPr="003B5C8D" w:rsidRDefault="008940B3" w:rsidP="00E858EF">
            <w:pPr>
              <w:suppressAutoHyphens/>
              <w:rPr>
                <w:sz w:val="16"/>
                <w:szCs w:val="16"/>
              </w:rPr>
            </w:pPr>
            <w:r w:rsidRPr="003B5C8D">
              <w:rPr>
                <w:sz w:val="16"/>
                <w:szCs w:val="16"/>
              </w:rPr>
              <w:t>100%</w:t>
            </w:r>
          </w:p>
        </w:tc>
        <w:tc>
          <w:tcPr>
            <w:tcW w:w="1179" w:type="dxa"/>
            <w:gridSpan w:val="3"/>
          </w:tcPr>
          <w:p w14:paraId="00D1779F" w14:textId="77777777" w:rsidR="008940B3" w:rsidRPr="003B5C8D" w:rsidRDefault="008940B3" w:rsidP="00E858EF">
            <w:pPr>
              <w:suppressAutoHyphens/>
              <w:rPr>
                <w:sz w:val="16"/>
                <w:szCs w:val="16"/>
              </w:rPr>
            </w:pPr>
          </w:p>
        </w:tc>
        <w:tc>
          <w:tcPr>
            <w:tcW w:w="1134" w:type="dxa"/>
            <w:gridSpan w:val="3"/>
          </w:tcPr>
          <w:p w14:paraId="7EE6BFC3" w14:textId="77777777" w:rsidR="008940B3" w:rsidRPr="003B5C8D" w:rsidRDefault="008940B3" w:rsidP="00E858EF">
            <w:pPr>
              <w:suppressAutoHyphens/>
              <w:rPr>
                <w:sz w:val="16"/>
                <w:szCs w:val="16"/>
              </w:rPr>
            </w:pPr>
          </w:p>
        </w:tc>
        <w:tc>
          <w:tcPr>
            <w:tcW w:w="1179" w:type="dxa"/>
            <w:gridSpan w:val="2"/>
          </w:tcPr>
          <w:p w14:paraId="75579419" w14:textId="77777777" w:rsidR="008940B3" w:rsidRPr="003B5C8D" w:rsidRDefault="008940B3" w:rsidP="00E858EF">
            <w:pPr>
              <w:suppressAutoHyphens/>
              <w:rPr>
                <w:sz w:val="16"/>
                <w:szCs w:val="16"/>
              </w:rPr>
            </w:pPr>
          </w:p>
        </w:tc>
        <w:tc>
          <w:tcPr>
            <w:tcW w:w="1004" w:type="dxa"/>
            <w:gridSpan w:val="2"/>
          </w:tcPr>
          <w:p w14:paraId="3BD97CFE" w14:textId="77777777" w:rsidR="008940B3" w:rsidRPr="003B5C8D" w:rsidRDefault="008940B3" w:rsidP="00E858EF">
            <w:pPr>
              <w:suppressAutoHyphens/>
              <w:rPr>
                <w:sz w:val="16"/>
                <w:szCs w:val="16"/>
              </w:rPr>
            </w:pPr>
          </w:p>
        </w:tc>
        <w:tc>
          <w:tcPr>
            <w:tcW w:w="1295" w:type="dxa"/>
            <w:gridSpan w:val="2"/>
          </w:tcPr>
          <w:p w14:paraId="219CE422" w14:textId="77777777" w:rsidR="008940B3" w:rsidRPr="003B5C8D" w:rsidRDefault="008940B3" w:rsidP="00E858EF">
            <w:pPr>
              <w:suppressAutoHyphens/>
              <w:rPr>
                <w:sz w:val="16"/>
                <w:szCs w:val="16"/>
              </w:rPr>
            </w:pPr>
          </w:p>
        </w:tc>
      </w:tr>
      <w:tr w:rsidR="008940B3" w:rsidRPr="003B5C8D" w14:paraId="3FB65242" w14:textId="77777777" w:rsidTr="008940B3">
        <w:trPr>
          <w:trHeight w:val="440"/>
        </w:trPr>
        <w:tc>
          <w:tcPr>
            <w:tcW w:w="1526" w:type="dxa"/>
            <w:vAlign w:val="bottom"/>
          </w:tcPr>
          <w:p w14:paraId="6A64ECE2" w14:textId="77777777" w:rsidR="008940B3" w:rsidRPr="003B5C8D" w:rsidRDefault="008940B3" w:rsidP="00E858EF">
            <w:pPr>
              <w:suppressAutoHyphens/>
              <w:jc w:val="left"/>
              <w:rPr>
                <w:sz w:val="16"/>
                <w:szCs w:val="16"/>
              </w:rPr>
            </w:pPr>
            <w:r w:rsidRPr="003B5C8D">
              <w:rPr>
                <w:rFonts w:eastAsia="Times New Roman"/>
                <w:color w:val="000000"/>
                <w:sz w:val="16"/>
                <w:szCs w:val="16"/>
              </w:rPr>
              <w:t>KALO CHORIO GOULA</w:t>
            </w:r>
          </w:p>
        </w:tc>
        <w:tc>
          <w:tcPr>
            <w:tcW w:w="1237" w:type="dxa"/>
            <w:gridSpan w:val="2"/>
            <w:vAlign w:val="bottom"/>
            <w:hideMark/>
          </w:tcPr>
          <w:p w14:paraId="3CE08181" w14:textId="77777777" w:rsidR="008940B3" w:rsidRPr="003B5C8D" w:rsidRDefault="008940B3" w:rsidP="00E858EF">
            <w:pPr>
              <w:suppressAutoHyphens/>
              <w:rPr>
                <w:sz w:val="16"/>
                <w:szCs w:val="16"/>
              </w:rPr>
            </w:pPr>
          </w:p>
        </w:tc>
        <w:tc>
          <w:tcPr>
            <w:tcW w:w="1179" w:type="dxa"/>
            <w:gridSpan w:val="3"/>
          </w:tcPr>
          <w:p w14:paraId="0BD4FED1" w14:textId="77777777" w:rsidR="008940B3" w:rsidRPr="003B5C8D" w:rsidRDefault="008940B3" w:rsidP="00E858EF">
            <w:pPr>
              <w:suppressAutoHyphens/>
              <w:rPr>
                <w:sz w:val="16"/>
                <w:szCs w:val="16"/>
              </w:rPr>
            </w:pPr>
          </w:p>
        </w:tc>
        <w:tc>
          <w:tcPr>
            <w:tcW w:w="1134" w:type="dxa"/>
            <w:gridSpan w:val="3"/>
          </w:tcPr>
          <w:p w14:paraId="0540604F" w14:textId="77777777" w:rsidR="008940B3" w:rsidRPr="003B5C8D" w:rsidRDefault="008940B3" w:rsidP="00E858EF">
            <w:pPr>
              <w:suppressAutoHyphens/>
              <w:rPr>
                <w:sz w:val="16"/>
                <w:szCs w:val="16"/>
              </w:rPr>
            </w:pPr>
          </w:p>
        </w:tc>
        <w:tc>
          <w:tcPr>
            <w:tcW w:w="1179" w:type="dxa"/>
            <w:gridSpan w:val="2"/>
          </w:tcPr>
          <w:p w14:paraId="11BB7C03" w14:textId="77777777" w:rsidR="008940B3" w:rsidRPr="003B5C8D" w:rsidRDefault="008940B3" w:rsidP="00E858EF">
            <w:pPr>
              <w:suppressAutoHyphens/>
              <w:rPr>
                <w:sz w:val="16"/>
                <w:szCs w:val="16"/>
              </w:rPr>
            </w:pPr>
          </w:p>
        </w:tc>
        <w:tc>
          <w:tcPr>
            <w:tcW w:w="1004" w:type="dxa"/>
            <w:gridSpan w:val="2"/>
          </w:tcPr>
          <w:p w14:paraId="6091333D" w14:textId="77777777" w:rsidR="008940B3" w:rsidRPr="003B5C8D" w:rsidRDefault="008940B3" w:rsidP="00E858EF">
            <w:pPr>
              <w:suppressAutoHyphens/>
              <w:rPr>
                <w:sz w:val="16"/>
                <w:szCs w:val="16"/>
              </w:rPr>
            </w:pPr>
          </w:p>
        </w:tc>
        <w:tc>
          <w:tcPr>
            <w:tcW w:w="647" w:type="dxa"/>
          </w:tcPr>
          <w:p w14:paraId="3D67952F" w14:textId="77777777" w:rsidR="008940B3" w:rsidRPr="003B5C8D" w:rsidRDefault="008940B3" w:rsidP="00E858EF">
            <w:pPr>
              <w:suppressAutoHyphens/>
              <w:rPr>
                <w:sz w:val="16"/>
                <w:szCs w:val="16"/>
              </w:rPr>
            </w:pPr>
            <w:r w:rsidRPr="003B5C8D">
              <w:rPr>
                <w:sz w:val="16"/>
                <w:szCs w:val="16"/>
              </w:rPr>
              <w:t>1</w:t>
            </w:r>
          </w:p>
        </w:tc>
        <w:tc>
          <w:tcPr>
            <w:tcW w:w="648" w:type="dxa"/>
          </w:tcPr>
          <w:p w14:paraId="49D306BD" w14:textId="77777777" w:rsidR="008940B3" w:rsidRPr="003B5C8D" w:rsidRDefault="008940B3" w:rsidP="00E858EF">
            <w:pPr>
              <w:suppressAutoHyphens/>
              <w:rPr>
                <w:sz w:val="16"/>
                <w:szCs w:val="16"/>
              </w:rPr>
            </w:pPr>
            <w:r w:rsidRPr="003B5C8D">
              <w:rPr>
                <w:sz w:val="16"/>
                <w:szCs w:val="16"/>
              </w:rPr>
              <w:t>100%</w:t>
            </w:r>
          </w:p>
        </w:tc>
      </w:tr>
      <w:tr w:rsidR="008940B3" w:rsidRPr="003B5C8D" w14:paraId="6AF2A8E1" w14:textId="77777777" w:rsidTr="008940B3">
        <w:trPr>
          <w:trHeight w:val="228"/>
        </w:trPr>
        <w:tc>
          <w:tcPr>
            <w:tcW w:w="1526" w:type="dxa"/>
            <w:vAlign w:val="bottom"/>
          </w:tcPr>
          <w:p w14:paraId="507E8066" w14:textId="77777777" w:rsidR="008940B3" w:rsidRPr="003B5C8D" w:rsidRDefault="008940B3" w:rsidP="00E858EF">
            <w:pPr>
              <w:suppressAutoHyphens/>
              <w:jc w:val="left"/>
              <w:rPr>
                <w:sz w:val="16"/>
                <w:szCs w:val="16"/>
              </w:rPr>
            </w:pPr>
            <w:r w:rsidRPr="003B5C8D">
              <w:rPr>
                <w:rFonts w:eastAsia="Times New Roman"/>
                <w:color w:val="000000"/>
                <w:sz w:val="16"/>
                <w:szCs w:val="16"/>
              </w:rPr>
              <w:t>KAVOUSI RIDOPOULIA II</w:t>
            </w:r>
          </w:p>
        </w:tc>
        <w:tc>
          <w:tcPr>
            <w:tcW w:w="1237" w:type="dxa"/>
            <w:gridSpan w:val="2"/>
            <w:vAlign w:val="bottom"/>
          </w:tcPr>
          <w:p w14:paraId="20109B67" w14:textId="77777777" w:rsidR="008940B3" w:rsidRPr="003B5C8D" w:rsidRDefault="008940B3" w:rsidP="00E858EF">
            <w:pPr>
              <w:suppressAutoHyphens/>
              <w:rPr>
                <w:sz w:val="16"/>
                <w:szCs w:val="16"/>
              </w:rPr>
            </w:pPr>
          </w:p>
        </w:tc>
        <w:tc>
          <w:tcPr>
            <w:tcW w:w="1179" w:type="dxa"/>
            <w:gridSpan w:val="3"/>
          </w:tcPr>
          <w:p w14:paraId="382689CC" w14:textId="77777777" w:rsidR="008940B3" w:rsidRPr="003B5C8D" w:rsidRDefault="008940B3" w:rsidP="00E858EF">
            <w:pPr>
              <w:suppressAutoHyphens/>
              <w:rPr>
                <w:sz w:val="16"/>
                <w:szCs w:val="16"/>
              </w:rPr>
            </w:pPr>
          </w:p>
        </w:tc>
        <w:tc>
          <w:tcPr>
            <w:tcW w:w="560" w:type="dxa"/>
          </w:tcPr>
          <w:p w14:paraId="3981269C" w14:textId="77777777" w:rsidR="008940B3" w:rsidRPr="003B5C8D" w:rsidRDefault="008940B3" w:rsidP="00E858EF">
            <w:pPr>
              <w:suppressAutoHyphens/>
              <w:rPr>
                <w:sz w:val="16"/>
                <w:szCs w:val="16"/>
              </w:rPr>
            </w:pPr>
            <w:r w:rsidRPr="003B5C8D">
              <w:rPr>
                <w:sz w:val="16"/>
                <w:szCs w:val="16"/>
              </w:rPr>
              <w:t>1</w:t>
            </w:r>
          </w:p>
        </w:tc>
        <w:tc>
          <w:tcPr>
            <w:tcW w:w="574" w:type="dxa"/>
            <w:gridSpan w:val="2"/>
          </w:tcPr>
          <w:p w14:paraId="2AB2FDCC" w14:textId="77777777" w:rsidR="008940B3" w:rsidRPr="003B5C8D" w:rsidRDefault="008940B3" w:rsidP="00E858EF">
            <w:pPr>
              <w:suppressAutoHyphens/>
              <w:rPr>
                <w:sz w:val="16"/>
                <w:szCs w:val="16"/>
              </w:rPr>
            </w:pPr>
            <w:r w:rsidRPr="003B5C8D">
              <w:rPr>
                <w:sz w:val="16"/>
                <w:szCs w:val="16"/>
              </w:rPr>
              <w:t>100%</w:t>
            </w:r>
          </w:p>
        </w:tc>
        <w:tc>
          <w:tcPr>
            <w:tcW w:w="1179" w:type="dxa"/>
            <w:gridSpan w:val="2"/>
          </w:tcPr>
          <w:p w14:paraId="2FBF4DC2" w14:textId="77777777" w:rsidR="008940B3" w:rsidRPr="003B5C8D" w:rsidRDefault="008940B3" w:rsidP="00E858EF">
            <w:pPr>
              <w:suppressAutoHyphens/>
              <w:rPr>
                <w:sz w:val="16"/>
                <w:szCs w:val="16"/>
              </w:rPr>
            </w:pPr>
          </w:p>
        </w:tc>
        <w:tc>
          <w:tcPr>
            <w:tcW w:w="1004" w:type="dxa"/>
            <w:gridSpan w:val="2"/>
          </w:tcPr>
          <w:p w14:paraId="5916CC5D" w14:textId="77777777" w:rsidR="008940B3" w:rsidRPr="003B5C8D" w:rsidRDefault="008940B3" w:rsidP="00E858EF">
            <w:pPr>
              <w:suppressAutoHyphens/>
              <w:rPr>
                <w:sz w:val="16"/>
                <w:szCs w:val="16"/>
              </w:rPr>
            </w:pPr>
          </w:p>
        </w:tc>
        <w:tc>
          <w:tcPr>
            <w:tcW w:w="1295" w:type="dxa"/>
            <w:gridSpan w:val="2"/>
          </w:tcPr>
          <w:p w14:paraId="5AAAF129" w14:textId="77777777" w:rsidR="008940B3" w:rsidRPr="003B5C8D" w:rsidRDefault="008940B3" w:rsidP="00E858EF">
            <w:pPr>
              <w:suppressAutoHyphens/>
              <w:rPr>
                <w:sz w:val="16"/>
                <w:szCs w:val="16"/>
              </w:rPr>
            </w:pPr>
          </w:p>
        </w:tc>
      </w:tr>
      <w:tr w:rsidR="008940B3" w:rsidRPr="003B5C8D" w14:paraId="5A06A1B0" w14:textId="77777777" w:rsidTr="008940B3">
        <w:trPr>
          <w:trHeight w:val="274"/>
        </w:trPr>
        <w:tc>
          <w:tcPr>
            <w:tcW w:w="1526" w:type="dxa"/>
            <w:vAlign w:val="bottom"/>
          </w:tcPr>
          <w:p w14:paraId="7A45AAA8" w14:textId="77777777" w:rsidR="008940B3" w:rsidRPr="003B5C8D" w:rsidRDefault="008940B3" w:rsidP="00E858EF">
            <w:pPr>
              <w:suppressAutoHyphens/>
              <w:jc w:val="left"/>
              <w:rPr>
                <w:rFonts w:eastAsia="Times New Roman"/>
                <w:color w:val="000000"/>
                <w:sz w:val="16"/>
                <w:szCs w:val="16"/>
              </w:rPr>
            </w:pPr>
            <w:r w:rsidRPr="003B5C8D">
              <w:rPr>
                <w:rFonts w:eastAsia="Times New Roman"/>
                <w:color w:val="000000"/>
                <w:sz w:val="16"/>
                <w:szCs w:val="16"/>
              </w:rPr>
              <w:t>KOUTSOULIANOU ZIROU</w:t>
            </w:r>
          </w:p>
        </w:tc>
        <w:tc>
          <w:tcPr>
            <w:tcW w:w="1237" w:type="dxa"/>
            <w:gridSpan w:val="2"/>
            <w:vAlign w:val="bottom"/>
          </w:tcPr>
          <w:p w14:paraId="5DB0F706" w14:textId="77777777" w:rsidR="008940B3" w:rsidRPr="003B5C8D" w:rsidRDefault="008940B3" w:rsidP="00E858EF">
            <w:pPr>
              <w:suppressAutoHyphens/>
              <w:rPr>
                <w:sz w:val="16"/>
                <w:szCs w:val="16"/>
              </w:rPr>
            </w:pPr>
          </w:p>
        </w:tc>
        <w:tc>
          <w:tcPr>
            <w:tcW w:w="589" w:type="dxa"/>
            <w:gridSpan w:val="2"/>
          </w:tcPr>
          <w:p w14:paraId="69019517" w14:textId="77777777" w:rsidR="008940B3" w:rsidRPr="003B5C8D" w:rsidRDefault="008940B3" w:rsidP="00E858EF">
            <w:pPr>
              <w:suppressAutoHyphens/>
              <w:rPr>
                <w:sz w:val="16"/>
                <w:szCs w:val="16"/>
              </w:rPr>
            </w:pPr>
            <w:r w:rsidRPr="003B5C8D">
              <w:rPr>
                <w:sz w:val="16"/>
                <w:szCs w:val="16"/>
              </w:rPr>
              <w:t>1</w:t>
            </w:r>
          </w:p>
        </w:tc>
        <w:tc>
          <w:tcPr>
            <w:tcW w:w="590" w:type="dxa"/>
          </w:tcPr>
          <w:p w14:paraId="7CC1937B" w14:textId="77777777" w:rsidR="008940B3" w:rsidRPr="003B5C8D" w:rsidRDefault="008940B3" w:rsidP="00E858EF">
            <w:pPr>
              <w:suppressAutoHyphens/>
              <w:rPr>
                <w:sz w:val="16"/>
                <w:szCs w:val="16"/>
              </w:rPr>
            </w:pPr>
            <w:r w:rsidRPr="003B5C8D">
              <w:rPr>
                <w:sz w:val="16"/>
                <w:szCs w:val="16"/>
              </w:rPr>
              <w:t>100%</w:t>
            </w:r>
          </w:p>
        </w:tc>
        <w:tc>
          <w:tcPr>
            <w:tcW w:w="1134" w:type="dxa"/>
            <w:gridSpan w:val="3"/>
          </w:tcPr>
          <w:p w14:paraId="2943C6C1" w14:textId="77777777" w:rsidR="008940B3" w:rsidRPr="003B5C8D" w:rsidRDefault="008940B3" w:rsidP="00E858EF">
            <w:pPr>
              <w:suppressAutoHyphens/>
              <w:rPr>
                <w:sz w:val="16"/>
                <w:szCs w:val="16"/>
              </w:rPr>
            </w:pPr>
          </w:p>
        </w:tc>
        <w:tc>
          <w:tcPr>
            <w:tcW w:w="1179" w:type="dxa"/>
            <w:gridSpan w:val="2"/>
          </w:tcPr>
          <w:p w14:paraId="282C9156" w14:textId="77777777" w:rsidR="008940B3" w:rsidRPr="003B5C8D" w:rsidRDefault="008940B3" w:rsidP="00E858EF">
            <w:pPr>
              <w:suppressAutoHyphens/>
              <w:rPr>
                <w:sz w:val="16"/>
                <w:szCs w:val="16"/>
              </w:rPr>
            </w:pPr>
          </w:p>
        </w:tc>
        <w:tc>
          <w:tcPr>
            <w:tcW w:w="1004" w:type="dxa"/>
            <w:gridSpan w:val="2"/>
          </w:tcPr>
          <w:p w14:paraId="50D0650F" w14:textId="77777777" w:rsidR="008940B3" w:rsidRPr="003B5C8D" w:rsidRDefault="008940B3" w:rsidP="00E858EF">
            <w:pPr>
              <w:suppressAutoHyphens/>
              <w:rPr>
                <w:sz w:val="16"/>
                <w:szCs w:val="16"/>
              </w:rPr>
            </w:pPr>
          </w:p>
        </w:tc>
        <w:tc>
          <w:tcPr>
            <w:tcW w:w="1295" w:type="dxa"/>
            <w:gridSpan w:val="2"/>
          </w:tcPr>
          <w:p w14:paraId="65C1E1F7" w14:textId="77777777" w:rsidR="008940B3" w:rsidRPr="003B5C8D" w:rsidRDefault="008940B3" w:rsidP="00E858EF">
            <w:pPr>
              <w:suppressAutoHyphens/>
              <w:rPr>
                <w:sz w:val="16"/>
                <w:szCs w:val="16"/>
              </w:rPr>
            </w:pPr>
          </w:p>
        </w:tc>
      </w:tr>
      <w:tr w:rsidR="008940B3" w:rsidRPr="003B5C8D" w14:paraId="39DBA209" w14:textId="77777777" w:rsidTr="008940B3">
        <w:trPr>
          <w:trHeight w:val="166"/>
        </w:trPr>
        <w:tc>
          <w:tcPr>
            <w:tcW w:w="1526" w:type="dxa"/>
            <w:vAlign w:val="bottom"/>
          </w:tcPr>
          <w:p w14:paraId="4B75B86D" w14:textId="77777777" w:rsidR="008940B3" w:rsidRPr="003B5C8D" w:rsidRDefault="008940B3" w:rsidP="00E858EF">
            <w:pPr>
              <w:suppressAutoHyphens/>
              <w:jc w:val="left"/>
              <w:rPr>
                <w:rFonts w:eastAsia="Times New Roman"/>
                <w:color w:val="000000"/>
                <w:sz w:val="16"/>
                <w:szCs w:val="16"/>
              </w:rPr>
            </w:pPr>
            <w:r w:rsidRPr="003B5C8D">
              <w:rPr>
                <w:rFonts w:eastAsia="Times New Roman"/>
                <w:color w:val="000000"/>
                <w:sz w:val="16"/>
                <w:szCs w:val="16"/>
              </w:rPr>
              <w:t>MOCHLOS LIMENARIA</w:t>
            </w:r>
          </w:p>
        </w:tc>
        <w:tc>
          <w:tcPr>
            <w:tcW w:w="618" w:type="dxa"/>
            <w:vAlign w:val="bottom"/>
          </w:tcPr>
          <w:p w14:paraId="7E30FF1E" w14:textId="77777777" w:rsidR="008940B3" w:rsidRPr="003B5C8D" w:rsidRDefault="008940B3" w:rsidP="00E858EF">
            <w:pPr>
              <w:suppressAutoHyphens/>
              <w:rPr>
                <w:sz w:val="16"/>
                <w:szCs w:val="16"/>
              </w:rPr>
            </w:pPr>
            <w:r w:rsidRPr="003B5C8D">
              <w:rPr>
                <w:sz w:val="16"/>
                <w:szCs w:val="16"/>
              </w:rPr>
              <w:t>9</w:t>
            </w:r>
          </w:p>
        </w:tc>
        <w:tc>
          <w:tcPr>
            <w:tcW w:w="619" w:type="dxa"/>
            <w:vAlign w:val="bottom"/>
          </w:tcPr>
          <w:p w14:paraId="38B813B7" w14:textId="77777777" w:rsidR="008940B3" w:rsidRPr="003B5C8D" w:rsidRDefault="008940B3" w:rsidP="00E858EF">
            <w:pPr>
              <w:suppressAutoHyphens/>
              <w:rPr>
                <w:sz w:val="16"/>
                <w:szCs w:val="16"/>
              </w:rPr>
            </w:pPr>
            <w:r w:rsidRPr="003B5C8D">
              <w:rPr>
                <w:sz w:val="16"/>
                <w:szCs w:val="16"/>
              </w:rPr>
              <w:t>100%</w:t>
            </w:r>
          </w:p>
        </w:tc>
        <w:tc>
          <w:tcPr>
            <w:tcW w:w="1179" w:type="dxa"/>
            <w:gridSpan w:val="3"/>
          </w:tcPr>
          <w:p w14:paraId="08D92A07" w14:textId="77777777" w:rsidR="008940B3" w:rsidRPr="003B5C8D" w:rsidRDefault="008940B3" w:rsidP="00E858EF">
            <w:pPr>
              <w:suppressAutoHyphens/>
              <w:rPr>
                <w:sz w:val="16"/>
                <w:szCs w:val="16"/>
              </w:rPr>
            </w:pPr>
          </w:p>
        </w:tc>
        <w:tc>
          <w:tcPr>
            <w:tcW w:w="1134" w:type="dxa"/>
            <w:gridSpan w:val="3"/>
          </w:tcPr>
          <w:p w14:paraId="0E2DFA28" w14:textId="77777777" w:rsidR="008940B3" w:rsidRPr="003B5C8D" w:rsidRDefault="008940B3" w:rsidP="00E858EF">
            <w:pPr>
              <w:suppressAutoHyphens/>
              <w:rPr>
                <w:sz w:val="16"/>
                <w:szCs w:val="16"/>
              </w:rPr>
            </w:pPr>
          </w:p>
        </w:tc>
        <w:tc>
          <w:tcPr>
            <w:tcW w:w="1179" w:type="dxa"/>
            <w:gridSpan w:val="2"/>
          </w:tcPr>
          <w:p w14:paraId="14E27912" w14:textId="77777777" w:rsidR="008940B3" w:rsidRPr="003B5C8D" w:rsidRDefault="008940B3" w:rsidP="00E858EF">
            <w:pPr>
              <w:suppressAutoHyphens/>
              <w:rPr>
                <w:sz w:val="16"/>
                <w:szCs w:val="16"/>
              </w:rPr>
            </w:pPr>
          </w:p>
        </w:tc>
        <w:tc>
          <w:tcPr>
            <w:tcW w:w="1004" w:type="dxa"/>
            <w:gridSpan w:val="2"/>
          </w:tcPr>
          <w:p w14:paraId="4F4B6548" w14:textId="77777777" w:rsidR="008940B3" w:rsidRPr="003B5C8D" w:rsidRDefault="008940B3" w:rsidP="00E858EF">
            <w:pPr>
              <w:suppressAutoHyphens/>
              <w:rPr>
                <w:sz w:val="16"/>
                <w:szCs w:val="16"/>
              </w:rPr>
            </w:pPr>
          </w:p>
        </w:tc>
        <w:tc>
          <w:tcPr>
            <w:tcW w:w="1295" w:type="dxa"/>
            <w:gridSpan w:val="2"/>
          </w:tcPr>
          <w:p w14:paraId="1A794869" w14:textId="77777777" w:rsidR="008940B3" w:rsidRPr="003B5C8D" w:rsidRDefault="008940B3" w:rsidP="00E858EF">
            <w:pPr>
              <w:suppressAutoHyphens/>
              <w:rPr>
                <w:sz w:val="16"/>
                <w:szCs w:val="16"/>
              </w:rPr>
            </w:pPr>
          </w:p>
        </w:tc>
      </w:tr>
      <w:tr w:rsidR="008940B3" w:rsidRPr="003B5C8D" w14:paraId="2812F878" w14:textId="77777777" w:rsidTr="008940B3">
        <w:trPr>
          <w:trHeight w:val="272"/>
        </w:trPr>
        <w:tc>
          <w:tcPr>
            <w:tcW w:w="1526" w:type="dxa"/>
            <w:vAlign w:val="bottom"/>
          </w:tcPr>
          <w:p w14:paraId="39E40E75" w14:textId="77777777" w:rsidR="008940B3" w:rsidRPr="003B5C8D" w:rsidRDefault="008940B3" w:rsidP="00E858EF">
            <w:pPr>
              <w:suppressAutoHyphens/>
              <w:jc w:val="left"/>
              <w:rPr>
                <w:sz w:val="16"/>
                <w:szCs w:val="16"/>
              </w:rPr>
            </w:pPr>
            <w:r w:rsidRPr="003B5C8D">
              <w:rPr>
                <w:rFonts w:eastAsia="Times New Roman"/>
                <w:color w:val="000000"/>
                <w:sz w:val="16"/>
                <w:szCs w:val="16"/>
              </w:rPr>
              <w:t>MOULIANA SELLADES</w:t>
            </w:r>
          </w:p>
        </w:tc>
        <w:tc>
          <w:tcPr>
            <w:tcW w:w="1237" w:type="dxa"/>
            <w:gridSpan w:val="2"/>
            <w:vAlign w:val="bottom"/>
          </w:tcPr>
          <w:p w14:paraId="7D0B7A83" w14:textId="77777777" w:rsidR="008940B3" w:rsidRPr="003B5C8D" w:rsidRDefault="008940B3" w:rsidP="00E858EF">
            <w:pPr>
              <w:suppressAutoHyphens/>
              <w:rPr>
                <w:sz w:val="16"/>
                <w:szCs w:val="16"/>
              </w:rPr>
            </w:pPr>
          </w:p>
        </w:tc>
        <w:tc>
          <w:tcPr>
            <w:tcW w:w="560" w:type="dxa"/>
          </w:tcPr>
          <w:p w14:paraId="3C67F5E4" w14:textId="77777777" w:rsidR="008940B3" w:rsidRPr="003B5C8D" w:rsidRDefault="008940B3" w:rsidP="00E858EF">
            <w:pPr>
              <w:suppressAutoHyphens/>
              <w:rPr>
                <w:sz w:val="16"/>
                <w:szCs w:val="16"/>
              </w:rPr>
            </w:pPr>
            <w:r w:rsidRPr="003B5C8D">
              <w:rPr>
                <w:sz w:val="16"/>
                <w:szCs w:val="16"/>
              </w:rPr>
              <w:t>1</w:t>
            </w:r>
          </w:p>
        </w:tc>
        <w:tc>
          <w:tcPr>
            <w:tcW w:w="619" w:type="dxa"/>
            <w:gridSpan w:val="2"/>
          </w:tcPr>
          <w:p w14:paraId="7B5100DE" w14:textId="77777777" w:rsidR="008940B3" w:rsidRPr="003B5C8D" w:rsidRDefault="008940B3" w:rsidP="00E858EF">
            <w:pPr>
              <w:suppressAutoHyphens/>
              <w:rPr>
                <w:sz w:val="16"/>
                <w:szCs w:val="16"/>
              </w:rPr>
            </w:pPr>
            <w:r w:rsidRPr="003B5C8D">
              <w:rPr>
                <w:sz w:val="16"/>
                <w:szCs w:val="16"/>
              </w:rPr>
              <w:t>100%</w:t>
            </w:r>
          </w:p>
        </w:tc>
        <w:tc>
          <w:tcPr>
            <w:tcW w:w="1134" w:type="dxa"/>
            <w:gridSpan w:val="3"/>
          </w:tcPr>
          <w:p w14:paraId="6D9B4B11" w14:textId="77777777" w:rsidR="008940B3" w:rsidRPr="003B5C8D" w:rsidRDefault="008940B3" w:rsidP="00E858EF">
            <w:pPr>
              <w:suppressAutoHyphens/>
              <w:rPr>
                <w:sz w:val="16"/>
                <w:szCs w:val="16"/>
              </w:rPr>
            </w:pPr>
          </w:p>
        </w:tc>
        <w:tc>
          <w:tcPr>
            <w:tcW w:w="1179" w:type="dxa"/>
            <w:gridSpan w:val="2"/>
          </w:tcPr>
          <w:p w14:paraId="799BC648" w14:textId="77777777" w:rsidR="008940B3" w:rsidRPr="003B5C8D" w:rsidRDefault="008940B3" w:rsidP="00E858EF">
            <w:pPr>
              <w:suppressAutoHyphens/>
              <w:rPr>
                <w:sz w:val="16"/>
                <w:szCs w:val="16"/>
              </w:rPr>
            </w:pPr>
          </w:p>
        </w:tc>
        <w:tc>
          <w:tcPr>
            <w:tcW w:w="1004" w:type="dxa"/>
            <w:gridSpan w:val="2"/>
          </w:tcPr>
          <w:p w14:paraId="6812A2C7" w14:textId="77777777" w:rsidR="008940B3" w:rsidRPr="003B5C8D" w:rsidRDefault="008940B3" w:rsidP="00E858EF">
            <w:pPr>
              <w:suppressAutoHyphens/>
              <w:rPr>
                <w:sz w:val="16"/>
                <w:szCs w:val="16"/>
              </w:rPr>
            </w:pPr>
          </w:p>
        </w:tc>
        <w:tc>
          <w:tcPr>
            <w:tcW w:w="1295" w:type="dxa"/>
            <w:gridSpan w:val="2"/>
          </w:tcPr>
          <w:p w14:paraId="2DFB986A" w14:textId="77777777" w:rsidR="008940B3" w:rsidRPr="003B5C8D" w:rsidRDefault="008940B3" w:rsidP="00E858EF">
            <w:pPr>
              <w:suppressAutoHyphens/>
              <w:rPr>
                <w:sz w:val="16"/>
                <w:szCs w:val="16"/>
              </w:rPr>
            </w:pPr>
          </w:p>
        </w:tc>
      </w:tr>
      <w:tr w:rsidR="008940B3" w:rsidRPr="003B5C8D" w14:paraId="4B8CBA7C" w14:textId="77777777" w:rsidTr="008940B3">
        <w:trPr>
          <w:trHeight w:val="272"/>
        </w:trPr>
        <w:tc>
          <w:tcPr>
            <w:tcW w:w="1526" w:type="dxa"/>
            <w:vAlign w:val="bottom"/>
          </w:tcPr>
          <w:p w14:paraId="7AD2E4E3" w14:textId="77777777" w:rsidR="008940B3" w:rsidRPr="003B5C8D" w:rsidRDefault="008940B3" w:rsidP="00E858EF">
            <w:pPr>
              <w:suppressAutoHyphens/>
              <w:jc w:val="left"/>
              <w:rPr>
                <w:rFonts w:eastAsia="Times New Roman"/>
                <w:color w:val="000000"/>
                <w:sz w:val="16"/>
                <w:szCs w:val="16"/>
              </w:rPr>
            </w:pPr>
            <w:r w:rsidRPr="003B5C8D">
              <w:rPr>
                <w:rFonts w:eastAsia="Times New Roman"/>
                <w:color w:val="000000"/>
                <w:sz w:val="16"/>
                <w:szCs w:val="16"/>
              </w:rPr>
              <w:t>MYRSINI</w:t>
            </w:r>
          </w:p>
        </w:tc>
        <w:tc>
          <w:tcPr>
            <w:tcW w:w="618" w:type="dxa"/>
            <w:vAlign w:val="bottom"/>
          </w:tcPr>
          <w:p w14:paraId="07A3DBBE" w14:textId="77777777" w:rsidR="008940B3" w:rsidRPr="003B5C8D" w:rsidRDefault="008940B3" w:rsidP="00E858EF">
            <w:pPr>
              <w:suppressAutoHyphens/>
              <w:rPr>
                <w:sz w:val="16"/>
                <w:szCs w:val="16"/>
              </w:rPr>
            </w:pPr>
            <w:r w:rsidRPr="003B5C8D">
              <w:rPr>
                <w:sz w:val="16"/>
                <w:szCs w:val="16"/>
              </w:rPr>
              <w:t>6</w:t>
            </w:r>
          </w:p>
        </w:tc>
        <w:tc>
          <w:tcPr>
            <w:tcW w:w="619" w:type="dxa"/>
            <w:vAlign w:val="bottom"/>
          </w:tcPr>
          <w:p w14:paraId="3431C47E" w14:textId="77777777" w:rsidR="008940B3" w:rsidRPr="003B5C8D" w:rsidRDefault="008940B3" w:rsidP="00E858EF">
            <w:pPr>
              <w:suppressAutoHyphens/>
              <w:rPr>
                <w:sz w:val="16"/>
                <w:szCs w:val="16"/>
              </w:rPr>
            </w:pPr>
            <w:r w:rsidRPr="003B5C8D">
              <w:rPr>
                <w:sz w:val="16"/>
                <w:szCs w:val="16"/>
              </w:rPr>
              <w:t>100%</w:t>
            </w:r>
          </w:p>
        </w:tc>
        <w:tc>
          <w:tcPr>
            <w:tcW w:w="1179" w:type="dxa"/>
            <w:gridSpan w:val="3"/>
          </w:tcPr>
          <w:p w14:paraId="744BDFA6" w14:textId="77777777" w:rsidR="008940B3" w:rsidRPr="003B5C8D" w:rsidRDefault="008940B3" w:rsidP="00E858EF">
            <w:pPr>
              <w:suppressAutoHyphens/>
              <w:rPr>
                <w:sz w:val="16"/>
                <w:szCs w:val="16"/>
              </w:rPr>
            </w:pPr>
          </w:p>
        </w:tc>
        <w:tc>
          <w:tcPr>
            <w:tcW w:w="1134" w:type="dxa"/>
            <w:gridSpan w:val="3"/>
          </w:tcPr>
          <w:p w14:paraId="1DCFE741" w14:textId="77777777" w:rsidR="008940B3" w:rsidRPr="003B5C8D" w:rsidRDefault="008940B3" w:rsidP="00E858EF">
            <w:pPr>
              <w:suppressAutoHyphens/>
              <w:rPr>
                <w:sz w:val="16"/>
                <w:szCs w:val="16"/>
              </w:rPr>
            </w:pPr>
          </w:p>
        </w:tc>
        <w:tc>
          <w:tcPr>
            <w:tcW w:w="1179" w:type="dxa"/>
            <w:gridSpan w:val="2"/>
          </w:tcPr>
          <w:p w14:paraId="4BE77D82" w14:textId="77777777" w:rsidR="008940B3" w:rsidRPr="003B5C8D" w:rsidRDefault="008940B3" w:rsidP="00E858EF">
            <w:pPr>
              <w:suppressAutoHyphens/>
              <w:rPr>
                <w:sz w:val="16"/>
                <w:szCs w:val="16"/>
              </w:rPr>
            </w:pPr>
          </w:p>
        </w:tc>
        <w:tc>
          <w:tcPr>
            <w:tcW w:w="1004" w:type="dxa"/>
            <w:gridSpan w:val="2"/>
          </w:tcPr>
          <w:p w14:paraId="0AC6B65A" w14:textId="77777777" w:rsidR="008940B3" w:rsidRPr="003B5C8D" w:rsidRDefault="008940B3" w:rsidP="00E858EF">
            <w:pPr>
              <w:suppressAutoHyphens/>
              <w:rPr>
                <w:sz w:val="16"/>
                <w:szCs w:val="16"/>
              </w:rPr>
            </w:pPr>
          </w:p>
        </w:tc>
        <w:tc>
          <w:tcPr>
            <w:tcW w:w="1295" w:type="dxa"/>
            <w:gridSpan w:val="2"/>
          </w:tcPr>
          <w:p w14:paraId="044E512C" w14:textId="77777777" w:rsidR="008940B3" w:rsidRPr="003B5C8D" w:rsidRDefault="008940B3" w:rsidP="00E858EF">
            <w:pPr>
              <w:suppressAutoHyphens/>
              <w:rPr>
                <w:sz w:val="16"/>
                <w:szCs w:val="16"/>
              </w:rPr>
            </w:pPr>
          </w:p>
        </w:tc>
      </w:tr>
      <w:tr w:rsidR="008940B3" w:rsidRPr="003B5C8D" w14:paraId="758E2FC4" w14:textId="77777777" w:rsidTr="008940B3">
        <w:trPr>
          <w:trHeight w:val="328"/>
        </w:trPr>
        <w:tc>
          <w:tcPr>
            <w:tcW w:w="1526" w:type="dxa"/>
            <w:vAlign w:val="bottom"/>
          </w:tcPr>
          <w:p w14:paraId="70DAF50B" w14:textId="77777777" w:rsidR="008940B3" w:rsidRPr="003B5C8D" w:rsidRDefault="008940B3" w:rsidP="00E858EF">
            <w:pPr>
              <w:suppressAutoHyphens/>
              <w:jc w:val="left"/>
              <w:rPr>
                <w:sz w:val="16"/>
                <w:szCs w:val="16"/>
              </w:rPr>
            </w:pPr>
            <w:r w:rsidRPr="003B5C8D">
              <w:rPr>
                <w:rFonts w:eastAsia="Times New Roman"/>
                <w:color w:val="000000"/>
                <w:sz w:val="16"/>
                <w:szCs w:val="16"/>
              </w:rPr>
              <w:t xml:space="preserve">PACHYAMMOS </w:t>
            </w:r>
          </w:p>
        </w:tc>
        <w:tc>
          <w:tcPr>
            <w:tcW w:w="618" w:type="dxa"/>
            <w:vAlign w:val="bottom"/>
          </w:tcPr>
          <w:p w14:paraId="1AF7AA93" w14:textId="77777777" w:rsidR="008940B3" w:rsidRPr="003B5C8D" w:rsidRDefault="008940B3" w:rsidP="00E858EF">
            <w:pPr>
              <w:suppressAutoHyphens/>
              <w:rPr>
                <w:sz w:val="16"/>
                <w:szCs w:val="16"/>
              </w:rPr>
            </w:pPr>
            <w:r w:rsidRPr="003B5C8D">
              <w:rPr>
                <w:sz w:val="16"/>
                <w:szCs w:val="16"/>
              </w:rPr>
              <w:t>1</w:t>
            </w:r>
          </w:p>
        </w:tc>
        <w:tc>
          <w:tcPr>
            <w:tcW w:w="619" w:type="dxa"/>
            <w:vAlign w:val="bottom"/>
          </w:tcPr>
          <w:p w14:paraId="2A577B62" w14:textId="77777777" w:rsidR="008940B3" w:rsidRPr="003B5C8D" w:rsidRDefault="008940B3" w:rsidP="00E858EF">
            <w:pPr>
              <w:suppressAutoHyphens/>
              <w:rPr>
                <w:sz w:val="16"/>
                <w:szCs w:val="16"/>
              </w:rPr>
            </w:pPr>
            <w:r w:rsidRPr="003B5C8D">
              <w:rPr>
                <w:sz w:val="16"/>
                <w:szCs w:val="16"/>
              </w:rPr>
              <w:t>25%</w:t>
            </w:r>
          </w:p>
        </w:tc>
        <w:tc>
          <w:tcPr>
            <w:tcW w:w="1179" w:type="dxa"/>
            <w:gridSpan w:val="3"/>
          </w:tcPr>
          <w:p w14:paraId="792517FE" w14:textId="77777777" w:rsidR="008940B3" w:rsidRPr="003B5C8D" w:rsidRDefault="008940B3" w:rsidP="00E858EF">
            <w:pPr>
              <w:suppressAutoHyphens/>
              <w:rPr>
                <w:sz w:val="16"/>
                <w:szCs w:val="16"/>
              </w:rPr>
            </w:pPr>
          </w:p>
        </w:tc>
        <w:tc>
          <w:tcPr>
            <w:tcW w:w="567" w:type="dxa"/>
            <w:gridSpan w:val="2"/>
          </w:tcPr>
          <w:p w14:paraId="1F1670B9" w14:textId="77777777" w:rsidR="008940B3" w:rsidRPr="003B5C8D" w:rsidRDefault="008940B3" w:rsidP="00E858EF">
            <w:pPr>
              <w:suppressAutoHyphens/>
              <w:rPr>
                <w:sz w:val="16"/>
                <w:szCs w:val="16"/>
              </w:rPr>
            </w:pPr>
            <w:r w:rsidRPr="003B5C8D">
              <w:rPr>
                <w:sz w:val="16"/>
                <w:szCs w:val="16"/>
              </w:rPr>
              <w:t>3</w:t>
            </w:r>
          </w:p>
        </w:tc>
        <w:tc>
          <w:tcPr>
            <w:tcW w:w="567" w:type="dxa"/>
          </w:tcPr>
          <w:p w14:paraId="3AEF3004" w14:textId="77777777" w:rsidR="008940B3" w:rsidRPr="003B5C8D" w:rsidRDefault="008940B3" w:rsidP="00E858EF">
            <w:pPr>
              <w:suppressAutoHyphens/>
              <w:rPr>
                <w:sz w:val="16"/>
                <w:szCs w:val="16"/>
              </w:rPr>
            </w:pPr>
            <w:r w:rsidRPr="003B5C8D">
              <w:rPr>
                <w:sz w:val="16"/>
                <w:szCs w:val="16"/>
              </w:rPr>
              <w:t>75%</w:t>
            </w:r>
          </w:p>
        </w:tc>
        <w:tc>
          <w:tcPr>
            <w:tcW w:w="1179" w:type="dxa"/>
            <w:gridSpan w:val="2"/>
          </w:tcPr>
          <w:p w14:paraId="0511D5E2" w14:textId="77777777" w:rsidR="008940B3" w:rsidRPr="003B5C8D" w:rsidRDefault="008940B3" w:rsidP="00E858EF">
            <w:pPr>
              <w:suppressAutoHyphens/>
              <w:rPr>
                <w:sz w:val="16"/>
                <w:szCs w:val="16"/>
              </w:rPr>
            </w:pPr>
          </w:p>
        </w:tc>
        <w:tc>
          <w:tcPr>
            <w:tcW w:w="1004" w:type="dxa"/>
            <w:gridSpan w:val="2"/>
          </w:tcPr>
          <w:p w14:paraId="1846FD12" w14:textId="77777777" w:rsidR="008940B3" w:rsidRPr="003B5C8D" w:rsidRDefault="008940B3" w:rsidP="00E858EF">
            <w:pPr>
              <w:suppressAutoHyphens/>
              <w:rPr>
                <w:sz w:val="16"/>
                <w:szCs w:val="16"/>
              </w:rPr>
            </w:pPr>
          </w:p>
        </w:tc>
        <w:tc>
          <w:tcPr>
            <w:tcW w:w="1295" w:type="dxa"/>
            <w:gridSpan w:val="2"/>
          </w:tcPr>
          <w:p w14:paraId="76675754" w14:textId="77777777" w:rsidR="008940B3" w:rsidRPr="003B5C8D" w:rsidRDefault="008940B3" w:rsidP="00E858EF">
            <w:pPr>
              <w:suppressAutoHyphens/>
              <w:rPr>
                <w:sz w:val="16"/>
                <w:szCs w:val="16"/>
              </w:rPr>
            </w:pPr>
          </w:p>
        </w:tc>
      </w:tr>
      <w:tr w:rsidR="008940B3" w:rsidRPr="003B5C8D" w14:paraId="74A6DE04" w14:textId="77777777" w:rsidTr="008940B3">
        <w:trPr>
          <w:trHeight w:val="276"/>
        </w:trPr>
        <w:tc>
          <w:tcPr>
            <w:tcW w:w="1526" w:type="dxa"/>
            <w:vAlign w:val="bottom"/>
          </w:tcPr>
          <w:p w14:paraId="6ACB74F3" w14:textId="77777777" w:rsidR="008940B3" w:rsidRPr="003B5C8D" w:rsidRDefault="008940B3" w:rsidP="00E858EF">
            <w:pPr>
              <w:suppressAutoHyphens/>
              <w:jc w:val="left"/>
              <w:rPr>
                <w:rFonts w:eastAsia="Times New Roman"/>
                <w:color w:val="000000"/>
                <w:sz w:val="16"/>
                <w:szCs w:val="16"/>
              </w:rPr>
            </w:pPr>
            <w:r w:rsidRPr="003B5C8D">
              <w:rPr>
                <w:rFonts w:eastAsia="Times New Roman"/>
                <w:color w:val="000000"/>
                <w:sz w:val="16"/>
                <w:szCs w:val="16"/>
              </w:rPr>
              <w:t>PALAIKASTRO</w:t>
            </w:r>
          </w:p>
        </w:tc>
        <w:tc>
          <w:tcPr>
            <w:tcW w:w="618" w:type="dxa"/>
            <w:vAlign w:val="bottom"/>
          </w:tcPr>
          <w:p w14:paraId="1A528D22" w14:textId="77777777" w:rsidR="008940B3" w:rsidRPr="003B5C8D" w:rsidRDefault="008940B3" w:rsidP="00E858EF">
            <w:pPr>
              <w:suppressAutoHyphens/>
              <w:rPr>
                <w:sz w:val="16"/>
                <w:szCs w:val="16"/>
              </w:rPr>
            </w:pPr>
            <w:r w:rsidRPr="003B5C8D">
              <w:rPr>
                <w:sz w:val="16"/>
                <w:szCs w:val="16"/>
              </w:rPr>
              <w:t>5</w:t>
            </w:r>
          </w:p>
        </w:tc>
        <w:tc>
          <w:tcPr>
            <w:tcW w:w="619" w:type="dxa"/>
            <w:vAlign w:val="bottom"/>
          </w:tcPr>
          <w:p w14:paraId="6BFD18C2" w14:textId="77777777" w:rsidR="008940B3" w:rsidRPr="003B5C8D" w:rsidRDefault="008940B3" w:rsidP="00E858EF">
            <w:pPr>
              <w:suppressAutoHyphens/>
              <w:rPr>
                <w:sz w:val="16"/>
                <w:szCs w:val="16"/>
              </w:rPr>
            </w:pPr>
            <w:r w:rsidRPr="003B5C8D">
              <w:rPr>
                <w:sz w:val="16"/>
                <w:szCs w:val="16"/>
              </w:rPr>
              <w:t>22%</w:t>
            </w:r>
          </w:p>
        </w:tc>
        <w:tc>
          <w:tcPr>
            <w:tcW w:w="1179" w:type="dxa"/>
            <w:gridSpan w:val="3"/>
          </w:tcPr>
          <w:p w14:paraId="67ABA849" w14:textId="77777777" w:rsidR="008940B3" w:rsidRPr="003B5C8D" w:rsidRDefault="008940B3" w:rsidP="00E858EF">
            <w:pPr>
              <w:suppressAutoHyphens/>
              <w:rPr>
                <w:sz w:val="16"/>
                <w:szCs w:val="16"/>
              </w:rPr>
            </w:pPr>
          </w:p>
        </w:tc>
        <w:tc>
          <w:tcPr>
            <w:tcW w:w="567" w:type="dxa"/>
            <w:gridSpan w:val="2"/>
          </w:tcPr>
          <w:p w14:paraId="3F63E23E" w14:textId="77777777" w:rsidR="008940B3" w:rsidRPr="003B5C8D" w:rsidRDefault="008940B3" w:rsidP="00E858EF">
            <w:pPr>
              <w:suppressAutoHyphens/>
              <w:rPr>
                <w:sz w:val="16"/>
                <w:szCs w:val="16"/>
              </w:rPr>
            </w:pPr>
            <w:r w:rsidRPr="003B5C8D">
              <w:rPr>
                <w:sz w:val="16"/>
                <w:szCs w:val="16"/>
              </w:rPr>
              <w:t>3</w:t>
            </w:r>
          </w:p>
        </w:tc>
        <w:tc>
          <w:tcPr>
            <w:tcW w:w="567" w:type="dxa"/>
          </w:tcPr>
          <w:p w14:paraId="75EB49AC" w14:textId="77777777" w:rsidR="008940B3" w:rsidRPr="003B5C8D" w:rsidRDefault="008940B3" w:rsidP="00E858EF">
            <w:pPr>
              <w:suppressAutoHyphens/>
              <w:rPr>
                <w:sz w:val="16"/>
                <w:szCs w:val="16"/>
              </w:rPr>
            </w:pPr>
            <w:r w:rsidRPr="003B5C8D">
              <w:rPr>
                <w:sz w:val="16"/>
                <w:szCs w:val="16"/>
              </w:rPr>
              <w:t>13%</w:t>
            </w:r>
          </w:p>
        </w:tc>
        <w:tc>
          <w:tcPr>
            <w:tcW w:w="589" w:type="dxa"/>
          </w:tcPr>
          <w:p w14:paraId="5E7653ED" w14:textId="77777777" w:rsidR="008940B3" w:rsidRPr="003B5C8D" w:rsidRDefault="008940B3" w:rsidP="00E858EF">
            <w:pPr>
              <w:suppressAutoHyphens/>
              <w:rPr>
                <w:sz w:val="16"/>
                <w:szCs w:val="16"/>
              </w:rPr>
            </w:pPr>
            <w:r w:rsidRPr="003B5C8D">
              <w:rPr>
                <w:sz w:val="16"/>
                <w:szCs w:val="16"/>
              </w:rPr>
              <w:t>8</w:t>
            </w:r>
          </w:p>
        </w:tc>
        <w:tc>
          <w:tcPr>
            <w:tcW w:w="590" w:type="dxa"/>
          </w:tcPr>
          <w:p w14:paraId="7C7EA274" w14:textId="77777777" w:rsidR="008940B3" w:rsidRPr="003B5C8D" w:rsidRDefault="008940B3" w:rsidP="00E858EF">
            <w:pPr>
              <w:suppressAutoHyphens/>
              <w:rPr>
                <w:sz w:val="16"/>
                <w:szCs w:val="16"/>
              </w:rPr>
            </w:pPr>
            <w:r w:rsidRPr="003B5C8D">
              <w:rPr>
                <w:sz w:val="16"/>
                <w:szCs w:val="16"/>
              </w:rPr>
              <w:t>35%</w:t>
            </w:r>
          </w:p>
        </w:tc>
        <w:tc>
          <w:tcPr>
            <w:tcW w:w="1004" w:type="dxa"/>
            <w:gridSpan w:val="2"/>
          </w:tcPr>
          <w:p w14:paraId="212B49E8" w14:textId="77777777" w:rsidR="008940B3" w:rsidRPr="003B5C8D" w:rsidRDefault="008940B3" w:rsidP="00E858EF">
            <w:pPr>
              <w:suppressAutoHyphens/>
              <w:rPr>
                <w:sz w:val="16"/>
                <w:szCs w:val="16"/>
              </w:rPr>
            </w:pPr>
          </w:p>
        </w:tc>
        <w:tc>
          <w:tcPr>
            <w:tcW w:w="647" w:type="dxa"/>
          </w:tcPr>
          <w:p w14:paraId="14BF163C" w14:textId="77777777" w:rsidR="008940B3" w:rsidRPr="003B5C8D" w:rsidRDefault="008940B3" w:rsidP="00E858EF">
            <w:pPr>
              <w:suppressAutoHyphens/>
              <w:rPr>
                <w:sz w:val="16"/>
                <w:szCs w:val="16"/>
              </w:rPr>
            </w:pPr>
            <w:r w:rsidRPr="003B5C8D">
              <w:rPr>
                <w:sz w:val="16"/>
                <w:szCs w:val="16"/>
              </w:rPr>
              <w:t>7</w:t>
            </w:r>
          </w:p>
        </w:tc>
        <w:tc>
          <w:tcPr>
            <w:tcW w:w="648" w:type="dxa"/>
          </w:tcPr>
          <w:p w14:paraId="01C4C42F" w14:textId="77777777" w:rsidR="008940B3" w:rsidRPr="003B5C8D" w:rsidRDefault="008940B3" w:rsidP="00E858EF">
            <w:pPr>
              <w:suppressAutoHyphens/>
              <w:rPr>
                <w:sz w:val="16"/>
                <w:szCs w:val="16"/>
              </w:rPr>
            </w:pPr>
            <w:r w:rsidRPr="003B5C8D">
              <w:rPr>
                <w:sz w:val="16"/>
                <w:szCs w:val="16"/>
              </w:rPr>
              <w:t>30%</w:t>
            </w:r>
          </w:p>
        </w:tc>
      </w:tr>
      <w:tr w:rsidR="008940B3" w:rsidRPr="003B5C8D" w14:paraId="6C10AD93" w14:textId="77777777" w:rsidTr="008940B3">
        <w:trPr>
          <w:trHeight w:val="240"/>
        </w:trPr>
        <w:tc>
          <w:tcPr>
            <w:tcW w:w="1526" w:type="dxa"/>
            <w:vAlign w:val="bottom"/>
          </w:tcPr>
          <w:p w14:paraId="40A04055" w14:textId="77777777" w:rsidR="008940B3" w:rsidRPr="003B5C8D" w:rsidRDefault="008940B3" w:rsidP="00E858EF">
            <w:pPr>
              <w:suppressAutoHyphens/>
              <w:jc w:val="left"/>
              <w:rPr>
                <w:sz w:val="16"/>
                <w:szCs w:val="16"/>
              </w:rPr>
            </w:pPr>
            <w:r w:rsidRPr="003B5C8D">
              <w:rPr>
                <w:rFonts w:eastAsia="Times New Roman"/>
                <w:color w:val="000000"/>
                <w:sz w:val="16"/>
                <w:szCs w:val="16"/>
              </w:rPr>
              <w:t>PETRAS PAPOURES</w:t>
            </w:r>
          </w:p>
        </w:tc>
        <w:tc>
          <w:tcPr>
            <w:tcW w:w="618" w:type="dxa"/>
            <w:vAlign w:val="bottom"/>
          </w:tcPr>
          <w:p w14:paraId="5ED0D79E" w14:textId="77777777" w:rsidR="008940B3" w:rsidRPr="003B5C8D" w:rsidRDefault="008940B3" w:rsidP="00E858EF">
            <w:pPr>
              <w:suppressAutoHyphens/>
              <w:rPr>
                <w:sz w:val="16"/>
                <w:szCs w:val="16"/>
              </w:rPr>
            </w:pPr>
          </w:p>
        </w:tc>
        <w:tc>
          <w:tcPr>
            <w:tcW w:w="619" w:type="dxa"/>
            <w:vAlign w:val="bottom"/>
          </w:tcPr>
          <w:p w14:paraId="0CECA0F8" w14:textId="77777777" w:rsidR="008940B3" w:rsidRPr="003B5C8D" w:rsidRDefault="008940B3" w:rsidP="00E858EF">
            <w:pPr>
              <w:suppressAutoHyphens/>
              <w:rPr>
                <w:sz w:val="16"/>
                <w:szCs w:val="16"/>
              </w:rPr>
            </w:pPr>
            <w:r w:rsidRPr="003B5C8D">
              <w:rPr>
                <w:sz w:val="16"/>
                <w:szCs w:val="16"/>
              </w:rPr>
              <w:t>100%</w:t>
            </w:r>
          </w:p>
        </w:tc>
        <w:tc>
          <w:tcPr>
            <w:tcW w:w="1179" w:type="dxa"/>
            <w:gridSpan w:val="3"/>
          </w:tcPr>
          <w:p w14:paraId="6CE7F207" w14:textId="77777777" w:rsidR="008940B3" w:rsidRPr="003B5C8D" w:rsidRDefault="008940B3" w:rsidP="00E858EF">
            <w:pPr>
              <w:suppressAutoHyphens/>
              <w:rPr>
                <w:sz w:val="16"/>
                <w:szCs w:val="16"/>
              </w:rPr>
            </w:pPr>
          </w:p>
        </w:tc>
        <w:tc>
          <w:tcPr>
            <w:tcW w:w="1134" w:type="dxa"/>
            <w:gridSpan w:val="3"/>
          </w:tcPr>
          <w:p w14:paraId="193CEFA1" w14:textId="77777777" w:rsidR="008940B3" w:rsidRPr="003B5C8D" w:rsidRDefault="008940B3" w:rsidP="00E858EF">
            <w:pPr>
              <w:suppressAutoHyphens/>
              <w:rPr>
                <w:sz w:val="16"/>
                <w:szCs w:val="16"/>
              </w:rPr>
            </w:pPr>
          </w:p>
        </w:tc>
        <w:tc>
          <w:tcPr>
            <w:tcW w:w="1179" w:type="dxa"/>
            <w:gridSpan w:val="2"/>
          </w:tcPr>
          <w:p w14:paraId="51C1BB58" w14:textId="77777777" w:rsidR="008940B3" w:rsidRPr="003B5C8D" w:rsidRDefault="008940B3" w:rsidP="00E858EF">
            <w:pPr>
              <w:suppressAutoHyphens/>
              <w:rPr>
                <w:sz w:val="16"/>
                <w:szCs w:val="16"/>
              </w:rPr>
            </w:pPr>
          </w:p>
        </w:tc>
        <w:tc>
          <w:tcPr>
            <w:tcW w:w="1004" w:type="dxa"/>
            <w:gridSpan w:val="2"/>
          </w:tcPr>
          <w:p w14:paraId="103D003B" w14:textId="77777777" w:rsidR="008940B3" w:rsidRPr="003B5C8D" w:rsidRDefault="008940B3" w:rsidP="00E858EF">
            <w:pPr>
              <w:suppressAutoHyphens/>
              <w:rPr>
                <w:sz w:val="16"/>
                <w:szCs w:val="16"/>
              </w:rPr>
            </w:pPr>
          </w:p>
        </w:tc>
        <w:tc>
          <w:tcPr>
            <w:tcW w:w="1295" w:type="dxa"/>
            <w:gridSpan w:val="2"/>
          </w:tcPr>
          <w:p w14:paraId="0F3E8212" w14:textId="77777777" w:rsidR="008940B3" w:rsidRPr="003B5C8D" w:rsidRDefault="008940B3" w:rsidP="00E858EF">
            <w:pPr>
              <w:suppressAutoHyphens/>
              <w:rPr>
                <w:sz w:val="16"/>
                <w:szCs w:val="16"/>
              </w:rPr>
            </w:pPr>
          </w:p>
        </w:tc>
      </w:tr>
      <w:tr w:rsidR="008940B3" w:rsidRPr="003B5C8D" w14:paraId="25638C63" w14:textId="77777777" w:rsidTr="008940B3">
        <w:trPr>
          <w:trHeight w:val="272"/>
        </w:trPr>
        <w:tc>
          <w:tcPr>
            <w:tcW w:w="1526" w:type="dxa"/>
            <w:vAlign w:val="bottom"/>
          </w:tcPr>
          <w:p w14:paraId="56DFD3B7" w14:textId="77777777" w:rsidR="008940B3" w:rsidRPr="003B5C8D" w:rsidRDefault="008940B3" w:rsidP="00E858EF">
            <w:pPr>
              <w:suppressAutoHyphens/>
              <w:jc w:val="left"/>
              <w:rPr>
                <w:rFonts w:eastAsia="Times New Roman"/>
                <w:color w:val="000000"/>
                <w:sz w:val="16"/>
                <w:szCs w:val="16"/>
              </w:rPr>
            </w:pPr>
            <w:r w:rsidRPr="003B5C8D">
              <w:rPr>
                <w:rFonts w:eastAsia="Times New Roman"/>
                <w:color w:val="000000"/>
                <w:sz w:val="16"/>
                <w:szCs w:val="16"/>
              </w:rPr>
              <w:t>PRAISOS</w:t>
            </w:r>
          </w:p>
        </w:tc>
        <w:tc>
          <w:tcPr>
            <w:tcW w:w="618" w:type="dxa"/>
            <w:vAlign w:val="bottom"/>
          </w:tcPr>
          <w:p w14:paraId="63CA024C" w14:textId="77777777" w:rsidR="008940B3" w:rsidRPr="003B5C8D" w:rsidRDefault="008940B3" w:rsidP="00E858EF">
            <w:pPr>
              <w:suppressAutoHyphens/>
              <w:rPr>
                <w:sz w:val="16"/>
                <w:szCs w:val="16"/>
              </w:rPr>
            </w:pPr>
            <w:r w:rsidRPr="003B5C8D">
              <w:rPr>
                <w:sz w:val="16"/>
                <w:szCs w:val="16"/>
              </w:rPr>
              <w:t>2</w:t>
            </w:r>
          </w:p>
        </w:tc>
        <w:tc>
          <w:tcPr>
            <w:tcW w:w="619" w:type="dxa"/>
            <w:vAlign w:val="bottom"/>
          </w:tcPr>
          <w:p w14:paraId="57C71040" w14:textId="77777777" w:rsidR="008940B3" w:rsidRPr="003B5C8D" w:rsidRDefault="008940B3" w:rsidP="00E858EF">
            <w:pPr>
              <w:suppressAutoHyphens/>
              <w:rPr>
                <w:sz w:val="16"/>
                <w:szCs w:val="16"/>
              </w:rPr>
            </w:pPr>
            <w:r w:rsidRPr="003B5C8D">
              <w:rPr>
                <w:sz w:val="16"/>
                <w:szCs w:val="16"/>
              </w:rPr>
              <w:t>50%</w:t>
            </w:r>
          </w:p>
        </w:tc>
        <w:tc>
          <w:tcPr>
            <w:tcW w:w="589" w:type="dxa"/>
            <w:gridSpan w:val="2"/>
          </w:tcPr>
          <w:p w14:paraId="0AC73DA5" w14:textId="77777777" w:rsidR="008940B3" w:rsidRPr="003B5C8D" w:rsidRDefault="008940B3" w:rsidP="00E858EF">
            <w:pPr>
              <w:suppressAutoHyphens/>
              <w:rPr>
                <w:sz w:val="16"/>
                <w:szCs w:val="16"/>
              </w:rPr>
            </w:pPr>
            <w:r w:rsidRPr="003B5C8D">
              <w:rPr>
                <w:sz w:val="16"/>
                <w:szCs w:val="16"/>
              </w:rPr>
              <w:t>2</w:t>
            </w:r>
          </w:p>
        </w:tc>
        <w:tc>
          <w:tcPr>
            <w:tcW w:w="590" w:type="dxa"/>
          </w:tcPr>
          <w:p w14:paraId="1894A6FB" w14:textId="77777777" w:rsidR="008940B3" w:rsidRPr="003B5C8D" w:rsidRDefault="008940B3" w:rsidP="00E858EF">
            <w:pPr>
              <w:suppressAutoHyphens/>
              <w:rPr>
                <w:sz w:val="16"/>
                <w:szCs w:val="16"/>
              </w:rPr>
            </w:pPr>
            <w:r w:rsidRPr="003B5C8D">
              <w:rPr>
                <w:sz w:val="16"/>
                <w:szCs w:val="16"/>
              </w:rPr>
              <w:t>50%</w:t>
            </w:r>
          </w:p>
        </w:tc>
        <w:tc>
          <w:tcPr>
            <w:tcW w:w="1134" w:type="dxa"/>
            <w:gridSpan w:val="3"/>
          </w:tcPr>
          <w:p w14:paraId="19D69BF7" w14:textId="77777777" w:rsidR="008940B3" w:rsidRPr="003B5C8D" w:rsidRDefault="008940B3" w:rsidP="00E858EF">
            <w:pPr>
              <w:suppressAutoHyphens/>
              <w:rPr>
                <w:sz w:val="16"/>
                <w:szCs w:val="16"/>
              </w:rPr>
            </w:pPr>
          </w:p>
        </w:tc>
        <w:tc>
          <w:tcPr>
            <w:tcW w:w="1179" w:type="dxa"/>
            <w:gridSpan w:val="2"/>
          </w:tcPr>
          <w:p w14:paraId="592A0FB9" w14:textId="77777777" w:rsidR="008940B3" w:rsidRPr="003B5C8D" w:rsidRDefault="008940B3" w:rsidP="00E858EF">
            <w:pPr>
              <w:suppressAutoHyphens/>
              <w:rPr>
                <w:sz w:val="16"/>
                <w:szCs w:val="16"/>
              </w:rPr>
            </w:pPr>
          </w:p>
        </w:tc>
        <w:tc>
          <w:tcPr>
            <w:tcW w:w="1004" w:type="dxa"/>
            <w:gridSpan w:val="2"/>
          </w:tcPr>
          <w:p w14:paraId="3DAA0080" w14:textId="77777777" w:rsidR="008940B3" w:rsidRPr="003B5C8D" w:rsidRDefault="008940B3" w:rsidP="00E858EF">
            <w:pPr>
              <w:suppressAutoHyphens/>
              <w:rPr>
                <w:sz w:val="16"/>
                <w:szCs w:val="16"/>
              </w:rPr>
            </w:pPr>
          </w:p>
        </w:tc>
        <w:tc>
          <w:tcPr>
            <w:tcW w:w="1295" w:type="dxa"/>
            <w:gridSpan w:val="2"/>
          </w:tcPr>
          <w:p w14:paraId="3DE2159A" w14:textId="77777777" w:rsidR="008940B3" w:rsidRPr="003B5C8D" w:rsidRDefault="008940B3" w:rsidP="00E858EF">
            <w:pPr>
              <w:suppressAutoHyphens/>
              <w:rPr>
                <w:sz w:val="16"/>
                <w:szCs w:val="16"/>
              </w:rPr>
            </w:pPr>
          </w:p>
        </w:tc>
      </w:tr>
      <w:tr w:rsidR="008940B3" w:rsidRPr="003B5C8D" w14:paraId="149F0A60" w14:textId="77777777" w:rsidTr="008940B3">
        <w:trPr>
          <w:trHeight w:val="302"/>
        </w:trPr>
        <w:tc>
          <w:tcPr>
            <w:tcW w:w="1526" w:type="dxa"/>
            <w:vAlign w:val="bottom"/>
          </w:tcPr>
          <w:p w14:paraId="770D8AD4" w14:textId="77777777" w:rsidR="008940B3" w:rsidRPr="003B5C8D" w:rsidRDefault="008940B3" w:rsidP="00E858EF">
            <w:pPr>
              <w:suppressAutoHyphens/>
              <w:jc w:val="left"/>
              <w:rPr>
                <w:rFonts w:eastAsia="Times New Roman"/>
                <w:color w:val="000000"/>
                <w:sz w:val="16"/>
                <w:szCs w:val="16"/>
              </w:rPr>
            </w:pPr>
            <w:r w:rsidRPr="003B5C8D">
              <w:rPr>
                <w:rFonts w:eastAsia="Times New Roman"/>
                <w:color w:val="000000"/>
                <w:sz w:val="16"/>
                <w:szCs w:val="16"/>
              </w:rPr>
              <w:t>SITIA MODERN VILLAGE</w:t>
            </w:r>
          </w:p>
        </w:tc>
        <w:tc>
          <w:tcPr>
            <w:tcW w:w="618" w:type="dxa"/>
            <w:vAlign w:val="bottom"/>
          </w:tcPr>
          <w:p w14:paraId="5D93D130" w14:textId="77777777" w:rsidR="008940B3" w:rsidRPr="003B5C8D" w:rsidRDefault="008940B3" w:rsidP="00E858EF">
            <w:pPr>
              <w:suppressAutoHyphens/>
              <w:rPr>
                <w:sz w:val="16"/>
                <w:szCs w:val="16"/>
              </w:rPr>
            </w:pPr>
            <w:r w:rsidRPr="003B5C8D">
              <w:rPr>
                <w:sz w:val="16"/>
                <w:szCs w:val="16"/>
              </w:rPr>
              <w:t>2</w:t>
            </w:r>
          </w:p>
        </w:tc>
        <w:tc>
          <w:tcPr>
            <w:tcW w:w="619" w:type="dxa"/>
            <w:vAlign w:val="bottom"/>
          </w:tcPr>
          <w:p w14:paraId="0ACD071E" w14:textId="77777777" w:rsidR="008940B3" w:rsidRPr="003B5C8D" w:rsidRDefault="008940B3" w:rsidP="00E858EF">
            <w:pPr>
              <w:suppressAutoHyphens/>
              <w:rPr>
                <w:sz w:val="16"/>
                <w:szCs w:val="16"/>
              </w:rPr>
            </w:pPr>
            <w:r w:rsidRPr="003B5C8D">
              <w:rPr>
                <w:sz w:val="16"/>
                <w:szCs w:val="16"/>
              </w:rPr>
              <w:t>67%</w:t>
            </w:r>
          </w:p>
        </w:tc>
        <w:tc>
          <w:tcPr>
            <w:tcW w:w="1179" w:type="dxa"/>
            <w:gridSpan w:val="3"/>
          </w:tcPr>
          <w:p w14:paraId="7696B3DB" w14:textId="77777777" w:rsidR="008940B3" w:rsidRPr="003B5C8D" w:rsidRDefault="008940B3" w:rsidP="00E858EF">
            <w:pPr>
              <w:suppressAutoHyphens/>
              <w:rPr>
                <w:sz w:val="16"/>
                <w:szCs w:val="16"/>
              </w:rPr>
            </w:pPr>
          </w:p>
        </w:tc>
        <w:tc>
          <w:tcPr>
            <w:tcW w:w="1134" w:type="dxa"/>
            <w:gridSpan w:val="3"/>
          </w:tcPr>
          <w:p w14:paraId="0E7ECDF9" w14:textId="77777777" w:rsidR="008940B3" w:rsidRPr="003B5C8D" w:rsidRDefault="008940B3" w:rsidP="00E858EF">
            <w:pPr>
              <w:suppressAutoHyphens/>
              <w:rPr>
                <w:sz w:val="16"/>
                <w:szCs w:val="16"/>
              </w:rPr>
            </w:pPr>
          </w:p>
        </w:tc>
        <w:tc>
          <w:tcPr>
            <w:tcW w:w="1179" w:type="dxa"/>
            <w:gridSpan w:val="2"/>
          </w:tcPr>
          <w:p w14:paraId="31B09536" w14:textId="77777777" w:rsidR="008940B3" w:rsidRPr="003B5C8D" w:rsidRDefault="008940B3" w:rsidP="00E858EF">
            <w:pPr>
              <w:suppressAutoHyphens/>
              <w:rPr>
                <w:sz w:val="16"/>
                <w:szCs w:val="16"/>
              </w:rPr>
            </w:pPr>
          </w:p>
        </w:tc>
        <w:tc>
          <w:tcPr>
            <w:tcW w:w="1004" w:type="dxa"/>
            <w:gridSpan w:val="2"/>
          </w:tcPr>
          <w:p w14:paraId="5E590498" w14:textId="77777777" w:rsidR="008940B3" w:rsidRPr="003B5C8D" w:rsidRDefault="008940B3" w:rsidP="00E858EF">
            <w:pPr>
              <w:suppressAutoHyphens/>
              <w:rPr>
                <w:sz w:val="16"/>
                <w:szCs w:val="16"/>
              </w:rPr>
            </w:pPr>
          </w:p>
        </w:tc>
        <w:tc>
          <w:tcPr>
            <w:tcW w:w="647" w:type="dxa"/>
          </w:tcPr>
          <w:p w14:paraId="18121C1B" w14:textId="77777777" w:rsidR="008940B3" w:rsidRPr="003B5C8D" w:rsidRDefault="008940B3" w:rsidP="00E858EF">
            <w:pPr>
              <w:suppressAutoHyphens/>
              <w:rPr>
                <w:sz w:val="16"/>
                <w:szCs w:val="16"/>
              </w:rPr>
            </w:pPr>
            <w:r w:rsidRPr="003B5C8D">
              <w:rPr>
                <w:sz w:val="16"/>
                <w:szCs w:val="16"/>
              </w:rPr>
              <w:t>1</w:t>
            </w:r>
          </w:p>
        </w:tc>
        <w:tc>
          <w:tcPr>
            <w:tcW w:w="648" w:type="dxa"/>
          </w:tcPr>
          <w:p w14:paraId="09CCE5F8" w14:textId="77777777" w:rsidR="008940B3" w:rsidRPr="003B5C8D" w:rsidRDefault="008940B3" w:rsidP="00E858EF">
            <w:pPr>
              <w:suppressAutoHyphens/>
              <w:rPr>
                <w:sz w:val="16"/>
                <w:szCs w:val="16"/>
              </w:rPr>
            </w:pPr>
            <w:r w:rsidRPr="003B5C8D">
              <w:rPr>
                <w:sz w:val="16"/>
                <w:szCs w:val="16"/>
              </w:rPr>
              <w:t>33%</w:t>
            </w:r>
          </w:p>
        </w:tc>
      </w:tr>
      <w:tr w:rsidR="008940B3" w:rsidRPr="003B5C8D" w14:paraId="68206757" w14:textId="77777777" w:rsidTr="008940B3">
        <w:trPr>
          <w:trHeight w:val="264"/>
        </w:trPr>
        <w:tc>
          <w:tcPr>
            <w:tcW w:w="1526" w:type="dxa"/>
            <w:vAlign w:val="bottom"/>
          </w:tcPr>
          <w:p w14:paraId="345DCFF4" w14:textId="77777777" w:rsidR="008940B3" w:rsidRPr="003B5C8D" w:rsidRDefault="008940B3" w:rsidP="00E858EF">
            <w:pPr>
              <w:suppressAutoHyphens/>
              <w:jc w:val="left"/>
              <w:rPr>
                <w:rFonts w:eastAsia="Times New Roman"/>
                <w:color w:val="000000"/>
                <w:sz w:val="16"/>
                <w:szCs w:val="16"/>
              </w:rPr>
            </w:pPr>
            <w:r w:rsidRPr="003B5C8D">
              <w:rPr>
                <w:rFonts w:eastAsia="Times New Roman"/>
                <w:sz w:val="16"/>
                <w:szCs w:val="16"/>
              </w:rPr>
              <w:t>SPHAKA</w:t>
            </w:r>
          </w:p>
        </w:tc>
        <w:tc>
          <w:tcPr>
            <w:tcW w:w="618" w:type="dxa"/>
            <w:vAlign w:val="bottom"/>
          </w:tcPr>
          <w:p w14:paraId="0DFF9DA2" w14:textId="77777777" w:rsidR="008940B3" w:rsidRPr="003B5C8D" w:rsidRDefault="008940B3" w:rsidP="00E858EF">
            <w:pPr>
              <w:suppressAutoHyphens/>
              <w:rPr>
                <w:sz w:val="16"/>
                <w:szCs w:val="16"/>
              </w:rPr>
            </w:pPr>
            <w:r w:rsidRPr="003B5C8D">
              <w:rPr>
                <w:sz w:val="16"/>
                <w:szCs w:val="16"/>
              </w:rPr>
              <w:t>1</w:t>
            </w:r>
          </w:p>
        </w:tc>
        <w:tc>
          <w:tcPr>
            <w:tcW w:w="619" w:type="dxa"/>
            <w:vAlign w:val="bottom"/>
          </w:tcPr>
          <w:p w14:paraId="224F0919" w14:textId="77777777" w:rsidR="008940B3" w:rsidRPr="003B5C8D" w:rsidRDefault="008940B3" w:rsidP="00E858EF">
            <w:pPr>
              <w:suppressAutoHyphens/>
              <w:rPr>
                <w:sz w:val="16"/>
                <w:szCs w:val="16"/>
              </w:rPr>
            </w:pPr>
            <w:r w:rsidRPr="003B5C8D">
              <w:rPr>
                <w:sz w:val="16"/>
                <w:szCs w:val="16"/>
              </w:rPr>
              <w:t>100%</w:t>
            </w:r>
          </w:p>
        </w:tc>
        <w:tc>
          <w:tcPr>
            <w:tcW w:w="1179" w:type="dxa"/>
            <w:gridSpan w:val="3"/>
          </w:tcPr>
          <w:p w14:paraId="4D1CD53B" w14:textId="77777777" w:rsidR="008940B3" w:rsidRPr="003B5C8D" w:rsidRDefault="008940B3" w:rsidP="00E858EF">
            <w:pPr>
              <w:suppressAutoHyphens/>
              <w:rPr>
                <w:sz w:val="16"/>
                <w:szCs w:val="16"/>
              </w:rPr>
            </w:pPr>
          </w:p>
        </w:tc>
        <w:tc>
          <w:tcPr>
            <w:tcW w:w="1134" w:type="dxa"/>
            <w:gridSpan w:val="3"/>
          </w:tcPr>
          <w:p w14:paraId="662D0768" w14:textId="77777777" w:rsidR="008940B3" w:rsidRPr="003B5C8D" w:rsidRDefault="008940B3" w:rsidP="00E858EF">
            <w:pPr>
              <w:suppressAutoHyphens/>
              <w:rPr>
                <w:sz w:val="16"/>
                <w:szCs w:val="16"/>
              </w:rPr>
            </w:pPr>
          </w:p>
        </w:tc>
        <w:tc>
          <w:tcPr>
            <w:tcW w:w="1179" w:type="dxa"/>
            <w:gridSpan w:val="2"/>
          </w:tcPr>
          <w:p w14:paraId="68820BDA" w14:textId="77777777" w:rsidR="008940B3" w:rsidRPr="003B5C8D" w:rsidRDefault="008940B3" w:rsidP="00E858EF">
            <w:pPr>
              <w:suppressAutoHyphens/>
              <w:rPr>
                <w:sz w:val="16"/>
                <w:szCs w:val="16"/>
              </w:rPr>
            </w:pPr>
          </w:p>
        </w:tc>
        <w:tc>
          <w:tcPr>
            <w:tcW w:w="1004" w:type="dxa"/>
            <w:gridSpan w:val="2"/>
          </w:tcPr>
          <w:p w14:paraId="600D99B0" w14:textId="77777777" w:rsidR="008940B3" w:rsidRPr="003B5C8D" w:rsidRDefault="008940B3" w:rsidP="00E858EF">
            <w:pPr>
              <w:suppressAutoHyphens/>
              <w:rPr>
                <w:sz w:val="16"/>
                <w:szCs w:val="16"/>
              </w:rPr>
            </w:pPr>
          </w:p>
        </w:tc>
        <w:tc>
          <w:tcPr>
            <w:tcW w:w="1295" w:type="dxa"/>
            <w:gridSpan w:val="2"/>
          </w:tcPr>
          <w:p w14:paraId="04CDD992" w14:textId="77777777" w:rsidR="008940B3" w:rsidRPr="003B5C8D" w:rsidRDefault="008940B3" w:rsidP="00E858EF">
            <w:pPr>
              <w:suppressAutoHyphens/>
              <w:rPr>
                <w:sz w:val="16"/>
                <w:szCs w:val="16"/>
              </w:rPr>
            </w:pPr>
          </w:p>
        </w:tc>
      </w:tr>
      <w:tr w:rsidR="008940B3" w:rsidRPr="003B5C8D" w14:paraId="519FBF14" w14:textId="77777777" w:rsidTr="008940B3">
        <w:trPr>
          <w:trHeight w:val="264"/>
        </w:trPr>
        <w:tc>
          <w:tcPr>
            <w:tcW w:w="1526" w:type="dxa"/>
            <w:vAlign w:val="bottom"/>
          </w:tcPr>
          <w:p w14:paraId="3E296260" w14:textId="77777777" w:rsidR="008940B3" w:rsidRPr="003B5C8D" w:rsidRDefault="008940B3" w:rsidP="00E858EF">
            <w:pPr>
              <w:suppressAutoHyphens/>
              <w:jc w:val="left"/>
              <w:rPr>
                <w:rFonts w:eastAsia="Times New Roman"/>
                <w:color w:val="000000"/>
                <w:sz w:val="16"/>
                <w:szCs w:val="16"/>
              </w:rPr>
            </w:pPr>
            <w:r w:rsidRPr="003B5C8D">
              <w:rPr>
                <w:rFonts w:eastAsia="Times New Roman"/>
                <w:sz w:val="16"/>
                <w:szCs w:val="16"/>
              </w:rPr>
              <w:t>SPHAKIA</w:t>
            </w:r>
          </w:p>
        </w:tc>
        <w:tc>
          <w:tcPr>
            <w:tcW w:w="1237" w:type="dxa"/>
            <w:gridSpan w:val="2"/>
            <w:vAlign w:val="bottom"/>
          </w:tcPr>
          <w:p w14:paraId="54AFDAAF" w14:textId="77777777" w:rsidR="008940B3" w:rsidRPr="003B5C8D" w:rsidRDefault="008940B3" w:rsidP="00E858EF">
            <w:pPr>
              <w:suppressAutoHyphens/>
              <w:rPr>
                <w:sz w:val="16"/>
                <w:szCs w:val="16"/>
              </w:rPr>
            </w:pPr>
          </w:p>
        </w:tc>
        <w:tc>
          <w:tcPr>
            <w:tcW w:w="589" w:type="dxa"/>
            <w:gridSpan w:val="2"/>
          </w:tcPr>
          <w:p w14:paraId="7965554B" w14:textId="77777777" w:rsidR="008940B3" w:rsidRPr="003B5C8D" w:rsidRDefault="008940B3" w:rsidP="00E858EF">
            <w:pPr>
              <w:suppressAutoHyphens/>
              <w:rPr>
                <w:sz w:val="16"/>
                <w:szCs w:val="16"/>
              </w:rPr>
            </w:pPr>
            <w:r w:rsidRPr="003B5C8D">
              <w:rPr>
                <w:sz w:val="16"/>
                <w:szCs w:val="16"/>
              </w:rPr>
              <w:t>1</w:t>
            </w:r>
          </w:p>
        </w:tc>
        <w:tc>
          <w:tcPr>
            <w:tcW w:w="590" w:type="dxa"/>
          </w:tcPr>
          <w:p w14:paraId="3F8629C3" w14:textId="77777777" w:rsidR="008940B3" w:rsidRPr="003B5C8D" w:rsidRDefault="008940B3" w:rsidP="00E858EF">
            <w:pPr>
              <w:suppressAutoHyphens/>
              <w:rPr>
                <w:sz w:val="16"/>
                <w:szCs w:val="16"/>
              </w:rPr>
            </w:pPr>
            <w:r w:rsidRPr="003B5C8D">
              <w:rPr>
                <w:sz w:val="16"/>
                <w:szCs w:val="16"/>
              </w:rPr>
              <w:t>100%</w:t>
            </w:r>
          </w:p>
        </w:tc>
        <w:tc>
          <w:tcPr>
            <w:tcW w:w="1134" w:type="dxa"/>
            <w:gridSpan w:val="3"/>
          </w:tcPr>
          <w:p w14:paraId="18FD0013" w14:textId="77777777" w:rsidR="008940B3" w:rsidRPr="003B5C8D" w:rsidRDefault="008940B3" w:rsidP="00E858EF">
            <w:pPr>
              <w:suppressAutoHyphens/>
              <w:rPr>
                <w:sz w:val="16"/>
                <w:szCs w:val="16"/>
              </w:rPr>
            </w:pPr>
          </w:p>
        </w:tc>
        <w:tc>
          <w:tcPr>
            <w:tcW w:w="1179" w:type="dxa"/>
            <w:gridSpan w:val="2"/>
          </w:tcPr>
          <w:p w14:paraId="3CF89166" w14:textId="77777777" w:rsidR="008940B3" w:rsidRPr="003B5C8D" w:rsidRDefault="008940B3" w:rsidP="00E858EF">
            <w:pPr>
              <w:suppressAutoHyphens/>
              <w:rPr>
                <w:sz w:val="16"/>
                <w:szCs w:val="16"/>
              </w:rPr>
            </w:pPr>
          </w:p>
        </w:tc>
        <w:tc>
          <w:tcPr>
            <w:tcW w:w="1004" w:type="dxa"/>
            <w:gridSpan w:val="2"/>
          </w:tcPr>
          <w:p w14:paraId="26EECE3F" w14:textId="77777777" w:rsidR="008940B3" w:rsidRPr="003B5C8D" w:rsidRDefault="008940B3" w:rsidP="00E858EF">
            <w:pPr>
              <w:suppressAutoHyphens/>
              <w:rPr>
                <w:sz w:val="16"/>
                <w:szCs w:val="16"/>
              </w:rPr>
            </w:pPr>
          </w:p>
        </w:tc>
        <w:tc>
          <w:tcPr>
            <w:tcW w:w="1295" w:type="dxa"/>
            <w:gridSpan w:val="2"/>
          </w:tcPr>
          <w:p w14:paraId="326B18B6" w14:textId="77777777" w:rsidR="008940B3" w:rsidRPr="003B5C8D" w:rsidRDefault="008940B3" w:rsidP="00E858EF">
            <w:pPr>
              <w:suppressAutoHyphens/>
              <w:rPr>
                <w:sz w:val="16"/>
                <w:szCs w:val="16"/>
              </w:rPr>
            </w:pPr>
          </w:p>
        </w:tc>
      </w:tr>
      <w:tr w:rsidR="008940B3" w:rsidRPr="003B5C8D" w14:paraId="2C36FFE0" w14:textId="77777777" w:rsidTr="008940B3">
        <w:trPr>
          <w:trHeight w:val="264"/>
        </w:trPr>
        <w:tc>
          <w:tcPr>
            <w:tcW w:w="1526" w:type="dxa"/>
            <w:vAlign w:val="bottom"/>
          </w:tcPr>
          <w:p w14:paraId="78724E9C" w14:textId="77777777" w:rsidR="008940B3" w:rsidRPr="003B5C8D" w:rsidRDefault="008940B3" w:rsidP="00E858EF">
            <w:pPr>
              <w:suppressAutoHyphens/>
              <w:jc w:val="left"/>
              <w:rPr>
                <w:rFonts w:eastAsia="Times New Roman"/>
                <w:color w:val="000000"/>
                <w:sz w:val="16"/>
                <w:szCs w:val="16"/>
              </w:rPr>
            </w:pPr>
            <w:r w:rsidRPr="003B5C8D">
              <w:rPr>
                <w:rFonts w:eastAsia="Times New Roman"/>
                <w:color w:val="000000"/>
                <w:sz w:val="16"/>
                <w:szCs w:val="16"/>
              </w:rPr>
              <w:t>STAVROCHORI</w:t>
            </w:r>
          </w:p>
        </w:tc>
        <w:tc>
          <w:tcPr>
            <w:tcW w:w="618" w:type="dxa"/>
            <w:vAlign w:val="bottom"/>
          </w:tcPr>
          <w:p w14:paraId="543EA989" w14:textId="77777777" w:rsidR="008940B3" w:rsidRPr="003B5C8D" w:rsidRDefault="008940B3" w:rsidP="00E858EF">
            <w:pPr>
              <w:suppressAutoHyphens/>
              <w:rPr>
                <w:sz w:val="16"/>
                <w:szCs w:val="16"/>
              </w:rPr>
            </w:pPr>
            <w:r w:rsidRPr="003B5C8D">
              <w:rPr>
                <w:sz w:val="16"/>
                <w:szCs w:val="16"/>
              </w:rPr>
              <w:t>2</w:t>
            </w:r>
          </w:p>
        </w:tc>
        <w:tc>
          <w:tcPr>
            <w:tcW w:w="619" w:type="dxa"/>
            <w:vAlign w:val="bottom"/>
          </w:tcPr>
          <w:p w14:paraId="02FAD825" w14:textId="77777777" w:rsidR="008940B3" w:rsidRPr="003B5C8D" w:rsidRDefault="008940B3" w:rsidP="00E858EF">
            <w:pPr>
              <w:suppressAutoHyphens/>
              <w:rPr>
                <w:sz w:val="16"/>
                <w:szCs w:val="16"/>
              </w:rPr>
            </w:pPr>
            <w:r w:rsidRPr="003B5C8D">
              <w:rPr>
                <w:sz w:val="16"/>
                <w:szCs w:val="16"/>
              </w:rPr>
              <w:t>100%</w:t>
            </w:r>
          </w:p>
        </w:tc>
        <w:tc>
          <w:tcPr>
            <w:tcW w:w="1179" w:type="dxa"/>
            <w:gridSpan w:val="3"/>
          </w:tcPr>
          <w:p w14:paraId="6C42C214" w14:textId="77777777" w:rsidR="008940B3" w:rsidRPr="003B5C8D" w:rsidRDefault="008940B3" w:rsidP="00E858EF">
            <w:pPr>
              <w:suppressAutoHyphens/>
              <w:rPr>
                <w:sz w:val="16"/>
                <w:szCs w:val="16"/>
              </w:rPr>
            </w:pPr>
          </w:p>
        </w:tc>
        <w:tc>
          <w:tcPr>
            <w:tcW w:w="1134" w:type="dxa"/>
            <w:gridSpan w:val="3"/>
          </w:tcPr>
          <w:p w14:paraId="581C73C6" w14:textId="77777777" w:rsidR="008940B3" w:rsidRPr="003B5C8D" w:rsidRDefault="008940B3" w:rsidP="00E858EF">
            <w:pPr>
              <w:suppressAutoHyphens/>
              <w:rPr>
                <w:sz w:val="16"/>
                <w:szCs w:val="16"/>
              </w:rPr>
            </w:pPr>
          </w:p>
        </w:tc>
        <w:tc>
          <w:tcPr>
            <w:tcW w:w="1179" w:type="dxa"/>
            <w:gridSpan w:val="2"/>
          </w:tcPr>
          <w:p w14:paraId="56926319" w14:textId="77777777" w:rsidR="008940B3" w:rsidRPr="003B5C8D" w:rsidRDefault="008940B3" w:rsidP="00E858EF">
            <w:pPr>
              <w:suppressAutoHyphens/>
              <w:rPr>
                <w:sz w:val="16"/>
                <w:szCs w:val="16"/>
              </w:rPr>
            </w:pPr>
          </w:p>
        </w:tc>
        <w:tc>
          <w:tcPr>
            <w:tcW w:w="1004" w:type="dxa"/>
            <w:gridSpan w:val="2"/>
          </w:tcPr>
          <w:p w14:paraId="48F08CB3" w14:textId="77777777" w:rsidR="008940B3" w:rsidRPr="003B5C8D" w:rsidRDefault="008940B3" w:rsidP="00E858EF">
            <w:pPr>
              <w:suppressAutoHyphens/>
              <w:rPr>
                <w:sz w:val="16"/>
                <w:szCs w:val="16"/>
              </w:rPr>
            </w:pPr>
          </w:p>
        </w:tc>
        <w:tc>
          <w:tcPr>
            <w:tcW w:w="1295" w:type="dxa"/>
            <w:gridSpan w:val="2"/>
          </w:tcPr>
          <w:p w14:paraId="4F5287F7" w14:textId="77777777" w:rsidR="008940B3" w:rsidRPr="003B5C8D" w:rsidRDefault="008940B3" w:rsidP="00E858EF">
            <w:pPr>
              <w:suppressAutoHyphens/>
              <w:rPr>
                <w:sz w:val="16"/>
                <w:szCs w:val="16"/>
              </w:rPr>
            </w:pPr>
          </w:p>
        </w:tc>
      </w:tr>
      <w:tr w:rsidR="008940B3" w:rsidRPr="003B5C8D" w14:paraId="25363EBA" w14:textId="77777777" w:rsidTr="008940B3">
        <w:trPr>
          <w:trHeight w:val="264"/>
        </w:trPr>
        <w:tc>
          <w:tcPr>
            <w:tcW w:w="1526" w:type="dxa"/>
            <w:vAlign w:val="bottom"/>
          </w:tcPr>
          <w:p w14:paraId="5502F27D" w14:textId="77777777" w:rsidR="008940B3" w:rsidRPr="003B5C8D" w:rsidRDefault="008940B3" w:rsidP="00E858EF">
            <w:pPr>
              <w:suppressAutoHyphens/>
              <w:jc w:val="left"/>
              <w:rPr>
                <w:rFonts w:eastAsia="Times New Roman"/>
                <w:color w:val="000000"/>
                <w:sz w:val="16"/>
                <w:szCs w:val="16"/>
              </w:rPr>
            </w:pPr>
            <w:r w:rsidRPr="003B5C8D">
              <w:rPr>
                <w:rFonts w:eastAsia="Times New Roman"/>
                <w:color w:val="000000"/>
                <w:sz w:val="16"/>
                <w:szCs w:val="16"/>
              </w:rPr>
              <w:t>VASILIKI AG. THEODOROS</w:t>
            </w:r>
          </w:p>
        </w:tc>
        <w:tc>
          <w:tcPr>
            <w:tcW w:w="1237" w:type="dxa"/>
            <w:gridSpan w:val="2"/>
            <w:vAlign w:val="bottom"/>
          </w:tcPr>
          <w:p w14:paraId="6D1D9580" w14:textId="77777777" w:rsidR="008940B3" w:rsidRPr="003373D4" w:rsidRDefault="008940B3" w:rsidP="00E858EF">
            <w:pPr>
              <w:suppressAutoHyphens/>
              <w:rPr>
                <w:sz w:val="16"/>
                <w:szCs w:val="16"/>
              </w:rPr>
            </w:pPr>
          </w:p>
        </w:tc>
        <w:tc>
          <w:tcPr>
            <w:tcW w:w="589" w:type="dxa"/>
            <w:gridSpan w:val="2"/>
          </w:tcPr>
          <w:p w14:paraId="22FD4584" w14:textId="77777777" w:rsidR="008940B3" w:rsidRPr="003373D4" w:rsidRDefault="008940B3" w:rsidP="00E858EF">
            <w:pPr>
              <w:suppressAutoHyphens/>
              <w:rPr>
                <w:sz w:val="16"/>
                <w:szCs w:val="16"/>
              </w:rPr>
            </w:pPr>
            <w:r w:rsidRPr="003373D4">
              <w:rPr>
                <w:sz w:val="16"/>
                <w:szCs w:val="16"/>
              </w:rPr>
              <w:t>2</w:t>
            </w:r>
          </w:p>
        </w:tc>
        <w:tc>
          <w:tcPr>
            <w:tcW w:w="590" w:type="dxa"/>
          </w:tcPr>
          <w:p w14:paraId="69608FB9" w14:textId="77777777" w:rsidR="008940B3" w:rsidRPr="003373D4" w:rsidRDefault="008940B3" w:rsidP="00E858EF">
            <w:pPr>
              <w:suppressAutoHyphens/>
              <w:rPr>
                <w:sz w:val="16"/>
                <w:szCs w:val="16"/>
              </w:rPr>
            </w:pPr>
            <w:r w:rsidRPr="003373D4">
              <w:rPr>
                <w:sz w:val="16"/>
                <w:szCs w:val="16"/>
              </w:rPr>
              <w:t>100%</w:t>
            </w:r>
          </w:p>
        </w:tc>
        <w:tc>
          <w:tcPr>
            <w:tcW w:w="1134" w:type="dxa"/>
            <w:gridSpan w:val="3"/>
          </w:tcPr>
          <w:p w14:paraId="3876A3F1" w14:textId="77777777" w:rsidR="008940B3" w:rsidRPr="003B5C8D" w:rsidRDefault="008940B3" w:rsidP="00E858EF">
            <w:pPr>
              <w:suppressAutoHyphens/>
              <w:rPr>
                <w:sz w:val="16"/>
                <w:szCs w:val="16"/>
              </w:rPr>
            </w:pPr>
          </w:p>
        </w:tc>
        <w:tc>
          <w:tcPr>
            <w:tcW w:w="1179" w:type="dxa"/>
            <w:gridSpan w:val="2"/>
          </w:tcPr>
          <w:p w14:paraId="3A7C386E" w14:textId="77777777" w:rsidR="008940B3" w:rsidRPr="003B5C8D" w:rsidRDefault="008940B3" w:rsidP="00E858EF">
            <w:pPr>
              <w:suppressAutoHyphens/>
              <w:rPr>
                <w:sz w:val="16"/>
                <w:szCs w:val="16"/>
              </w:rPr>
            </w:pPr>
          </w:p>
        </w:tc>
        <w:tc>
          <w:tcPr>
            <w:tcW w:w="1004" w:type="dxa"/>
            <w:gridSpan w:val="2"/>
          </w:tcPr>
          <w:p w14:paraId="4A8DB2AC" w14:textId="77777777" w:rsidR="008940B3" w:rsidRPr="003B5C8D" w:rsidRDefault="008940B3" w:rsidP="00E858EF">
            <w:pPr>
              <w:suppressAutoHyphens/>
              <w:rPr>
                <w:sz w:val="16"/>
                <w:szCs w:val="16"/>
              </w:rPr>
            </w:pPr>
          </w:p>
        </w:tc>
        <w:tc>
          <w:tcPr>
            <w:tcW w:w="1295" w:type="dxa"/>
            <w:gridSpan w:val="2"/>
          </w:tcPr>
          <w:p w14:paraId="390C3ABD" w14:textId="77777777" w:rsidR="008940B3" w:rsidRPr="003B5C8D" w:rsidRDefault="008940B3" w:rsidP="00E858EF">
            <w:pPr>
              <w:suppressAutoHyphens/>
              <w:rPr>
                <w:sz w:val="16"/>
                <w:szCs w:val="16"/>
              </w:rPr>
            </w:pPr>
          </w:p>
        </w:tc>
      </w:tr>
      <w:tr w:rsidR="008940B3" w:rsidRPr="003B5C8D" w14:paraId="089EA770" w14:textId="77777777" w:rsidTr="008940B3">
        <w:trPr>
          <w:trHeight w:val="264"/>
        </w:trPr>
        <w:tc>
          <w:tcPr>
            <w:tcW w:w="1526" w:type="dxa"/>
            <w:vAlign w:val="bottom"/>
          </w:tcPr>
          <w:p w14:paraId="2D1125C9" w14:textId="77777777" w:rsidR="008940B3" w:rsidRPr="003B5C8D" w:rsidRDefault="008940B3" w:rsidP="00E858EF">
            <w:pPr>
              <w:suppressAutoHyphens/>
              <w:jc w:val="left"/>
              <w:rPr>
                <w:sz w:val="16"/>
                <w:szCs w:val="16"/>
              </w:rPr>
            </w:pPr>
            <w:r w:rsidRPr="003B5C8D">
              <w:rPr>
                <w:rFonts w:eastAsia="Times New Roman"/>
                <w:color w:val="000000"/>
                <w:sz w:val="16"/>
                <w:szCs w:val="16"/>
              </w:rPr>
              <w:t>XEROKAMARA</w:t>
            </w:r>
          </w:p>
        </w:tc>
        <w:tc>
          <w:tcPr>
            <w:tcW w:w="1237" w:type="dxa"/>
            <w:gridSpan w:val="2"/>
            <w:vAlign w:val="bottom"/>
          </w:tcPr>
          <w:p w14:paraId="05E35D0D" w14:textId="77777777" w:rsidR="008940B3" w:rsidRPr="003B5C8D" w:rsidRDefault="008940B3" w:rsidP="00E858EF">
            <w:pPr>
              <w:suppressAutoHyphens/>
              <w:rPr>
                <w:sz w:val="16"/>
                <w:szCs w:val="16"/>
              </w:rPr>
            </w:pPr>
          </w:p>
        </w:tc>
        <w:tc>
          <w:tcPr>
            <w:tcW w:w="1179" w:type="dxa"/>
            <w:gridSpan w:val="3"/>
          </w:tcPr>
          <w:p w14:paraId="7E7564B4" w14:textId="77777777" w:rsidR="008940B3" w:rsidRPr="003B5C8D" w:rsidRDefault="008940B3" w:rsidP="00E858EF">
            <w:pPr>
              <w:suppressAutoHyphens/>
              <w:rPr>
                <w:sz w:val="16"/>
                <w:szCs w:val="16"/>
              </w:rPr>
            </w:pPr>
          </w:p>
        </w:tc>
        <w:tc>
          <w:tcPr>
            <w:tcW w:w="1134" w:type="dxa"/>
            <w:gridSpan w:val="3"/>
          </w:tcPr>
          <w:p w14:paraId="78A55B4D" w14:textId="77777777" w:rsidR="008940B3" w:rsidRPr="003B5C8D" w:rsidRDefault="008940B3" w:rsidP="00E858EF">
            <w:pPr>
              <w:suppressAutoHyphens/>
              <w:rPr>
                <w:sz w:val="16"/>
                <w:szCs w:val="16"/>
              </w:rPr>
            </w:pPr>
          </w:p>
        </w:tc>
        <w:tc>
          <w:tcPr>
            <w:tcW w:w="1179" w:type="dxa"/>
            <w:gridSpan w:val="2"/>
          </w:tcPr>
          <w:p w14:paraId="7AAC9A5F" w14:textId="77777777" w:rsidR="008940B3" w:rsidRPr="003B5C8D" w:rsidRDefault="008940B3" w:rsidP="00E858EF">
            <w:pPr>
              <w:suppressAutoHyphens/>
              <w:rPr>
                <w:sz w:val="16"/>
                <w:szCs w:val="16"/>
              </w:rPr>
            </w:pPr>
          </w:p>
        </w:tc>
        <w:tc>
          <w:tcPr>
            <w:tcW w:w="1004" w:type="dxa"/>
            <w:gridSpan w:val="2"/>
          </w:tcPr>
          <w:p w14:paraId="4AAB2306" w14:textId="77777777" w:rsidR="008940B3" w:rsidRPr="003B5C8D" w:rsidRDefault="008940B3" w:rsidP="00E858EF">
            <w:pPr>
              <w:suppressAutoHyphens/>
              <w:rPr>
                <w:sz w:val="16"/>
                <w:szCs w:val="16"/>
              </w:rPr>
            </w:pPr>
          </w:p>
        </w:tc>
        <w:tc>
          <w:tcPr>
            <w:tcW w:w="647" w:type="dxa"/>
          </w:tcPr>
          <w:p w14:paraId="226B8867" w14:textId="77777777" w:rsidR="008940B3" w:rsidRPr="003B5C8D" w:rsidRDefault="008940B3" w:rsidP="00E858EF">
            <w:pPr>
              <w:suppressAutoHyphens/>
              <w:rPr>
                <w:sz w:val="16"/>
                <w:szCs w:val="16"/>
              </w:rPr>
            </w:pPr>
            <w:r w:rsidRPr="003B5C8D">
              <w:rPr>
                <w:sz w:val="16"/>
                <w:szCs w:val="16"/>
              </w:rPr>
              <w:t>1</w:t>
            </w:r>
          </w:p>
        </w:tc>
        <w:tc>
          <w:tcPr>
            <w:tcW w:w="648" w:type="dxa"/>
          </w:tcPr>
          <w:p w14:paraId="125CAE7D" w14:textId="77777777" w:rsidR="008940B3" w:rsidRPr="003B5C8D" w:rsidRDefault="008940B3" w:rsidP="00E858EF">
            <w:pPr>
              <w:suppressAutoHyphens/>
              <w:rPr>
                <w:sz w:val="16"/>
                <w:szCs w:val="16"/>
              </w:rPr>
            </w:pPr>
            <w:r w:rsidRPr="003B5C8D">
              <w:rPr>
                <w:sz w:val="16"/>
                <w:szCs w:val="16"/>
              </w:rPr>
              <w:t>100%</w:t>
            </w:r>
          </w:p>
        </w:tc>
      </w:tr>
      <w:tr w:rsidR="008940B3" w:rsidRPr="003B5C8D" w14:paraId="2A4E9F0D" w14:textId="77777777" w:rsidTr="008940B3">
        <w:trPr>
          <w:trHeight w:val="264"/>
        </w:trPr>
        <w:tc>
          <w:tcPr>
            <w:tcW w:w="1526" w:type="dxa"/>
            <w:vAlign w:val="bottom"/>
          </w:tcPr>
          <w:p w14:paraId="498A25BD" w14:textId="77777777" w:rsidR="008940B3" w:rsidRPr="003B5C8D" w:rsidRDefault="008940B3" w:rsidP="00E858EF">
            <w:pPr>
              <w:suppressAutoHyphens/>
              <w:jc w:val="left"/>
              <w:rPr>
                <w:rFonts w:eastAsia="Times New Roman"/>
                <w:color w:val="000000"/>
                <w:sz w:val="16"/>
                <w:szCs w:val="16"/>
              </w:rPr>
            </w:pPr>
            <w:r w:rsidRPr="003B5C8D">
              <w:rPr>
                <w:rFonts w:eastAsia="Times New Roman"/>
                <w:color w:val="000000"/>
                <w:sz w:val="16"/>
                <w:szCs w:val="16"/>
              </w:rPr>
              <w:t>ZAKRO ELLINIKA</w:t>
            </w:r>
          </w:p>
        </w:tc>
        <w:tc>
          <w:tcPr>
            <w:tcW w:w="1237" w:type="dxa"/>
            <w:gridSpan w:val="2"/>
            <w:vAlign w:val="bottom"/>
          </w:tcPr>
          <w:p w14:paraId="53D6AA63" w14:textId="77777777" w:rsidR="008940B3" w:rsidRPr="003B5C8D" w:rsidRDefault="008940B3" w:rsidP="00E858EF">
            <w:pPr>
              <w:suppressAutoHyphens/>
              <w:rPr>
                <w:sz w:val="16"/>
                <w:szCs w:val="16"/>
              </w:rPr>
            </w:pPr>
          </w:p>
        </w:tc>
        <w:tc>
          <w:tcPr>
            <w:tcW w:w="1179" w:type="dxa"/>
            <w:gridSpan w:val="3"/>
          </w:tcPr>
          <w:p w14:paraId="6D5372ED" w14:textId="77777777" w:rsidR="008940B3" w:rsidRPr="003B5C8D" w:rsidRDefault="008940B3" w:rsidP="00E858EF">
            <w:pPr>
              <w:suppressAutoHyphens/>
              <w:rPr>
                <w:sz w:val="16"/>
                <w:szCs w:val="16"/>
              </w:rPr>
            </w:pPr>
          </w:p>
        </w:tc>
        <w:tc>
          <w:tcPr>
            <w:tcW w:w="560" w:type="dxa"/>
          </w:tcPr>
          <w:p w14:paraId="356CDB92" w14:textId="77777777" w:rsidR="008940B3" w:rsidRPr="003B5C8D" w:rsidRDefault="008940B3" w:rsidP="00E858EF">
            <w:pPr>
              <w:suppressAutoHyphens/>
              <w:rPr>
                <w:sz w:val="16"/>
                <w:szCs w:val="16"/>
              </w:rPr>
            </w:pPr>
            <w:r w:rsidRPr="003B5C8D">
              <w:rPr>
                <w:sz w:val="16"/>
                <w:szCs w:val="16"/>
              </w:rPr>
              <w:t>1</w:t>
            </w:r>
          </w:p>
        </w:tc>
        <w:tc>
          <w:tcPr>
            <w:tcW w:w="574" w:type="dxa"/>
            <w:gridSpan w:val="2"/>
          </w:tcPr>
          <w:p w14:paraId="2C30320D" w14:textId="77777777" w:rsidR="008940B3" w:rsidRPr="003B5C8D" w:rsidRDefault="008940B3" w:rsidP="00E858EF">
            <w:pPr>
              <w:suppressAutoHyphens/>
              <w:rPr>
                <w:sz w:val="16"/>
                <w:szCs w:val="16"/>
              </w:rPr>
            </w:pPr>
            <w:r w:rsidRPr="003B5C8D">
              <w:rPr>
                <w:sz w:val="16"/>
                <w:szCs w:val="16"/>
              </w:rPr>
              <w:t>100%</w:t>
            </w:r>
          </w:p>
        </w:tc>
        <w:tc>
          <w:tcPr>
            <w:tcW w:w="1179" w:type="dxa"/>
            <w:gridSpan w:val="2"/>
          </w:tcPr>
          <w:p w14:paraId="4FFCF789" w14:textId="77777777" w:rsidR="008940B3" w:rsidRPr="003B5C8D" w:rsidRDefault="008940B3" w:rsidP="00E858EF">
            <w:pPr>
              <w:suppressAutoHyphens/>
              <w:rPr>
                <w:sz w:val="16"/>
                <w:szCs w:val="16"/>
              </w:rPr>
            </w:pPr>
          </w:p>
        </w:tc>
        <w:tc>
          <w:tcPr>
            <w:tcW w:w="1004" w:type="dxa"/>
            <w:gridSpan w:val="2"/>
          </w:tcPr>
          <w:p w14:paraId="36B1224E" w14:textId="77777777" w:rsidR="008940B3" w:rsidRPr="003B5C8D" w:rsidRDefault="008940B3" w:rsidP="00E858EF">
            <w:pPr>
              <w:suppressAutoHyphens/>
              <w:rPr>
                <w:sz w:val="16"/>
                <w:szCs w:val="16"/>
              </w:rPr>
            </w:pPr>
          </w:p>
        </w:tc>
        <w:tc>
          <w:tcPr>
            <w:tcW w:w="1295" w:type="dxa"/>
            <w:gridSpan w:val="2"/>
          </w:tcPr>
          <w:p w14:paraId="447DD484" w14:textId="77777777" w:rsidR="008940B3" w:rsidRPr="003B5C8D" w:rsidRDefault="008940B3" w:rsidP="00E858EF">
            <w:pPr>
              <w:suppressAutoHyphens/>
              <w:rPr>
                <w:sz w:val="16"/>
                <w:szCs w:val="16"/>
              </w:rPr>
            </w:pPr>
          </w:p>
        </w:tc>
      </w:tr>
    </w:tbl>
    <w:p w14:paraId="25387A0F"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02AF5E1B" w14:textId="77777777" w:rsidR="008940B3" w:rsidRDefault="008940B3" w:rsidP="00E858EF">
      <w:pPr>
        <w:pStyle w:val="Titolo4"/>
        <w:keepNext w:val="0"/>
        <w:keepLines w:val="0"/>
        <w:suppressAutoHyphens/>
        <w:ind w:left="864" w:hanging="864"/>
        <w:contextualSpacing w:val="0"/>
      </w:pPr>
      <w:bookmarkStart w:id="436" w:name="_Toc389131217"/>
      <w:bookmarkStart w:id="437" w:name="_Toc517876553"/>
      <w:r w:rsidRPr="003B5C8D">
        <w:t>Tomb dimension</w:t>
      </w:r>
      <w:r>
        <w:t>s</w:t>
      </w:r>
      <w:r w:rsidRPr="003B5C8D">
        <w:t xml:space="preserve"> and architectural features</w:t>
      </w:r>
      <w:r>
        <w:t xml:space="preserve">: </w:t>
      </w:r>
      <w:r w:rsidRPr="00D67636">
        <w:t xml:space="preserve">How </w:t>
      </w:r>
      <w:r>
        <w:t>large</w:t>
      </w:r>
      <w:r w:rsidRPr="00D67636">
        <w:t xml:space="preserve"> and monumental are the tomb</w:t>
      </w:r>
      <w:r>
        <w:t>s</w:t>
      </w:r>
      <w:r w:rsidRPr="00D67636">
        <w:t xml:space="preserve"> associated with larnakes?</w:t>
      </w:r>
      <w:bookmarkEnd w:id="436"/>
      <w:bookmarkEnd w:id="437"/>
    </w:p>
    <w:p w14:paraId="1CB9DE52" w14:textId="77777777" w:rsidR="008940B3" w:rsidRDefault="008940B3" w:rsidP="00264743">
      <w:r w:rsidRPr="003B5C8D">
        <w:t xml:space="preserve">For the </w:t>
      </w:r>
      <w:r>
        <w:t>Far-East</w:t>
      </w:r>
      <w:r w:rsidRPr="003B5C8D">
        <w:t xml:space="preserve"> </w:t>
      </w:r>
      <w:r>
        <w:t>area</w:t>
      </w:r>
      <w:r w:rsidRPr="003B5C8D">
        <w:t xml:space="preserve"> </w:t>
      </w:r>
      <w:r>
        <w:t>also</w:t>
      </w:r>
      <w:r w:rsidRPr="003B5C8D">
        <w:t xml:space="preserve">, the information available </w:t>
      </w:r>
      <w:r>
        <w:t>regarding</w:t>
      </w:r>
      <w:r w:rsidRPr="003B5C8D">
        <w:t xml:space="preserve"> tomb characteristics come</w:t>
      </w:r>
      <w:r>
        <w:t>s</w:t>
      </w:r>
      <w:r w:rsidRPr="003B5C8D">
        <w:t xml:space="preserve"> from </w:t>
      </w:r>
      <w:r>
        <w:t xml:space="preserve">limited </w:t>
      </w:r>
      <w:r w:rsidRPr="003B5C8D">
        <w:t xml:space="preserve">samples due to </w:t>
      </w:r>
      <w:r>
        <w:t xml:space="preserve">a </w:t>
      </w:r>
      <w:r w:rsidRPr="003B5C8D">
        <w:t xml:space="preserve">lack </w:t>
      </w:r>
      <w:r>
        <w:t>of detailed</w:t>
      </w:r>
      <w:r w:rsidRPr="003B5C8D">
        <w:t xml:space="preserve"> records</w:t>
      </w:r>
      <w:r>
        <w:t>.</w:t>
      </w:r>
    </w:p>
    <w:p w14:paraId="21929F39"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5AF1FE5D" w14:textId="77777777" w:rsidR="00264743" w:rsidRDefault="00264743">
      <w:pPr>
        <w:widowControl/>
        <w:spacing w:line="240" w:lineRule="auto"/>
        <w:contextualSpacing w:val="0"/>
        <w:jc w:val="left"/>
        <w:rPr>
          <w:rFonts w:cs="Lucida Grande"/>
          <w:b/>
          <w:sz w:val="20"/>
          <w:szCs w:val="18"/>
        </w:rPr>
      </w:pPr>
      <w:r>
        <w:br w:type="page"/>
      </w:r>
    </w:p>
    <w:p w14:paraId="10F3175D" w14:textId="02815964" w:rsidR="008940B3" w:rsidRPr="003B5C8D" w:rsidRDefault="008940B3" w:rsidP="00E858EF">
      <w:pPr>
        <w:pStyle w:val="Testofumetto"/>
        <w:suppressAutoHyphens/>
      </w:pPr>
      <w:bookmarkStart w:id="438" w:name="_Toc520212561"/>
      <w:r>
        <w:t>Table 3-73. Tomb dimension</w:t>
      </w:r>
      <w:r w:rsidR="00264743">
        <w:t>s</w:t>
      </w:r>
      <w:r w:rsidR="005E1C18">
        <w:t>,</w:t>
      </w:r>
      <w:r>
        <w:t xml:space="preserve"> Far-East area</w:t>
      </w:r>
      <w:bookmarkEnd w:id="438"/>
    </w:p>
    <w:tbl>
      <w:tblPr>
        <w:tblW w:w="0" w:type="auto"/>
        <w:tblCellMar>
          <w:left w:w="0" w:type="dxa"/>
          <w:right w:w="0" w:type="dxa"/>
        </w:tblCellMar>
        <w:tblLook w:val="04A0" w:firstRow="1" w:lastRow="0" w:firstColumn="1" w:lastColumn="0" w:noHBand="0" w:noVBand="1"/>
      </w:tblPr>
      <w:tblGrid>
        <w:gridCol w:w="2060"/>
        <w:gridCol w:w="1330"/>
        <w:gridCol w:w="1275"/>
        <w:gridCol w:w="1275"/>
      </w:tblGrid>
      <w:tr w:rsidR="008940B3" w:rsidRPr="00264743" w14:paraId="7661EDD2" w14:textId="77777777" w:rsidTr="00C17E32">
        <w:trPr>
          <w:trHeight w:val="40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58D41377" w14:textId="77777777" w:rsidR="008940B3" w:rsidRPr="00264743" w:rsidRDefault="008940B3" w:rsidP="00E858EF">
            <w:pPr>
              <w:suppressAutoHyphens/>
              <w:rPr>
                <w:sz w:val="20"/>
                <w:szCs w:val="16"/>
              </w:rPr>
            </w:pPr>
          </w:p>
        </w:tc>
        <w:tc>
          <w:tcPr>
            <w:tcW w:w="133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5AFB9D69" w14:textId="77777777" w:rsidR="008940B3" w:rsidRPr="00264743" w:rsidRDefault="008940B3" w:rsidP="00264743">
            <w:pPr>
              <w:suppressAutoHyphens/>
              <w:jc w:val="center"/>
              <w:rPr>
                <w:sz w:val="20"/>
                <w:szCs w:val="16"/>
              </w:rPr>
            </w:pPr>
            <w:r w:rsidRPr="00264743">
              <w:rPr>
                <w:sz w:val="20"/>
                <w:szCs w:val="16"/>
              </w:rPr>
              <w:t>Mean</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01D2B58B" w14:textId="77777777" w:rsidR="008940B3" w:rsidRPr="00264743" w:rsidRDefault="008940B3" w:rsidP="00264743">
            <w:pPr>
              <w:suppressAutoHyphens/>
              <w:jc w:val="center"/>
              <w:rPr>
                <w:sz w:val="20"/>
                <w:szCs w:val="16"/>
              </w:rPr>
            </w:pPr>
            <w:r w:rsidRPr="00264743">
              <w:rPr>
                <w:sz w:val="20"/>
                <w:szCs w:val="16"/>
              </w:rPr>
              <w:t>Min.</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0B8B344C" w14:textId="77777777" w:rsidR="008940B3" w:rsidRPr="00264743" w:rsidRDefault="008940B3" w:rsidP="00264743">
            <w:pPr>
              <w:suppressAutoHyphens/>
              <w:jc w:val="center"/>
              <w:rPr>
                <w:sz w:val="20"/>
                <w:szCs w:val="16"/>
              </w:rPr>
            </w:pPr>
            <w:r w:rsidRPr="00264743">
              <w:rPr>
                <w:sz w:val="20"/>
                <w:szCs w:val="16"/>
              </w:rPr>
              <w:t>Max.</w:t>
            </w:r>
          </w:p>
        </w:tc>
      </w:tr>
      <w:tr w:rsidR="008940B3" w:rsidRPr="00264743" w14:paraId="421F7B9F" w14:textId="77777777" w:rsidTr="00C17E32">
        <w:trPr>
          <w:trHeight w:val="315"/>
        </w:trPr>
        <w:tc>
          <w:tcPr>
            <w:tcW w:w="206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25ED9A8D" w14:textId="77777777" w:rsidR="008940B3" w:rsidRPr="00264743" w:rsidRDefault="008940B3" w:rsidP="00E858EF">
            <w:pPr>
              <w:suppressAutoHyphens/>
              <w:rPr>
                <w:sz w:val="20"/>
                <w:szCs w:val="16"/>
              </w:rPr>
            </w:pPr>
            <w:r w:rsidRPr="00264743">
              <w:rPr>
                <w:color w:val="000000"/>
                <w:sz w:val="20"/>
                <w:szCs w:val="16"/>
              </w:rPr>
              <w:t>Chamber area in sq.m.</w:t>
            </w:r>
          </w:p>
        </w:tc>
        <w:tc>
          <w:tcPr>
            <w:tcW w:w="133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274ED4F0" w14:textId="77777777" w:rsidR="008940B3" w:rsidRPr="00264743" w:rsidRDefault="008940B3" w:rsidP="00264743">
            <w:pPr>
              <w:suppressAutoHyphens/>
              <w:jc w:val="center"/>
              <w:rPr>
                <w:sz w:val="20"/>
                <w:szCs w:val="16"/>
              </w:rPr>
            </w:pPr>
            <w:r w:rsidRPr="00264743">
              <w:rPr>
                <w:sz w:val="20"/>
                <w:szCs w:val="16"/>
              </w:rPr>
              <w:t>3.7</w:t>
            </w:r>
          </w:p>
        </w:tc>
        <w:tc>
          <w:tcPr>
            <w:tcW w:w="127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164BBA21" w14:textId="77777777" w:rsidR="008940B3" w:rsidRPr="00264743" w:rsidRDefault="008940B3" w:rsidP="00264743">
            <w:pPr>
              <w:suppressAutoHyphens/>
              <w:jc w:val="center"/>
              <w:rPr>
                <w:sz w:val="20"/>
                <w:szCs w:val="16"/>
              </w:rPr>
            </w:pPr>
            <w:r w:rsidRPr="00264743">
              <w:rPr>
                <w:sz w:val="20"/>
                <w:szCs w:val="16"/>
              </w:rPr>
              <w:t>1.6</w:t>
            </w:r>
          </w:p>
        </w:tc>
        <w:tc>
          <w:tcPr>
            <w:tcW w:w="127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72304DA4" w14:textId="5ECC09DE" w:rsidR="008940B3" w:rsidRPr="00264743" w:rsidRDefault="008940B3" w:rsidP="00264743">
            <w:pPr>
              <w:suppressAutoHyphens/>
              <w:jc w:val="center"/>
              <w:rPr>
                <w:sz w:val="20"/>
                <w:szCs w:val="16"/>
              </w:rPr>
            </w:pPr>
            <w:r w:rsidRPr="00264743">
              <w:rPr>
                <w:color w:val="000000"/>
                <w:sz w:val="20"/>
                <w:szCs w:val="16"/>
              </w:rPr>
              <w:t>12.6</w:t>
            </w:r>
          </w:p>
        </w:tc>
      </w:tr>
      <w:tr w:rsidR="008940B3" w:rsidRPr="00264743" w14:paraId="3E6EEA38" w14:textId="77777777" w:rsidTr="00C17E32">
        <w:trPr>
          <w:trHeight w:val="31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57CAC4AF" w14:textId="310877A8" w:rsidR="008940B3" w:rsidRPr="00264743" w:rsidRDefault="008940B3" w:rsidP="00E858EF">
            <w:pPr>
              <w:suppressAutoHyphens/>
              <w:rPr>
                <w:sz w:val="20"/>
                <w:szCs w:val="16"/>
              </w:rPr>
            </w:pPr>
            <w:r w:rsidRPr="00264743">
              <w:rPr>
                <w:sz w:val="20"/>
                <w:szCs w:val="16"/>
              </w:rPr>
              <w:t>Dromos lengthin m</w:t>
            </w:r>
          </w:p>
        </w:tc>
        <w:tc>
          <w:tcPr>
            <w:tcW w:w="133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18E850DB" w14:textId="77777777" w:rsidR="008940B3" w:rsidRPr="00264743" w:rsidRDefault="008940B3" w:rsidP="00264743">
            <w:pPr>
              <w:suppressAutoHyphens/>
              <w:jc w:val="center"/>
              <w:rPr>
                <w:sz w:val="20"/>
                <w:szCs w:val="16"/>
              </w:rPr>
            </w:pPr>
            <w:r w:rsidRPr="00264743">
              <w:rPr>
                <w:sz w:val="20"/>
                <w:szCs w:val="16"/>
              </w:rPr>
              <w:t>3.2</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2372AEE3" w14:textId="77777777" w:rsidR="008940B3" w:rsidRPr="00264743" w:rsidRDefault="008940B3" w:rsidP="00264743">
            <w:pPr>
              <w:suppressAutoHyphens/>
              <w:jc w:val="center"/>
              <w:rPr>
                <w:sz w:val="20"/>
                <w:szCs w:val="16"/>
              </w:rPr>
            </w:pPr>
            <w:r w:rsidRPr="00264743">
              <w:rPr>
                <w:sz w:val="20"/>
                <w:szCs w:val="16"/>
              </w:rPr>
              <w:t>1.1</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01ABFF54" w14:textId="54A370AD" w:rsidR="008940B3" w:rsidRPr="00264743" w:rsidRDefault="008940B3" w:rsidP="00264743">
            <w:pPr>
              <w:suppressAutoHyphens/>
              <w:jc w:val="center"/>
              <w:rPr>
                <w:sz w:val="20"/>
                <w:szCs w:val="16"/>
              </w:rPr>
            </w:pPr>
            <w:r w:rsidRPr="00264743">
              <w:rPr>
                <w:color w:val="000000"/>
                <w:sz w:val="20"/>
                <w:szCs w:val="16"/>
              </w:rPr>
              <w:t>9</w:t>
            </w:r>
          </w:p>
        </w:tc>
      </w:tr>
    </w:tbl>
    <w:p w14:paraId="401C42BC"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highlight w:val="green"/>
        </w:rPr>
      </w:pPr>
    </w:p>
    <w:p w14:paraId="1738EF5B" w14:textId="77777777" w:rsidR="008940B3" w:rsidRDefault="008940B3" w:rsidP="00264743">
      <w:r>
        <w:t>Based on</w:t>
      </w:r>
      <w:r w:rsidRPr="003B5C8D">
        <w:t xml:space="preserve"> the results of</w:t>
      </w:r>
      <w:r>
        <w:t xml:space="preserve"> the</w:t>
      </w:r>
      <w:r w:rsidRPr="003B5C8D">
        <w:t xml:space="preserve"> chamber dimension analysis, four different groups have been identified. </w:t>
      </w:r>
      <w:r>
        <w:t>Tombs in the Far-East area belong only to two of these groups.</w:t>
      </w:r>
    </w:p>
    <w:p w14:paraId="7E432D5A"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722FD7D8" w14:textId="374EF179" w:rsidR="008940B3" w:rsidRPr="003B5C8D" w:rsidRDefault="008940B3" w:rsidP="00E858EF">
      <w:pPr>
        <w:pStyle w:val="Testofumetto"/>
        <w:suppressAutoHyphens/>
      </w:pPr>
      <w:bookmarkStart w:id="439" w:name="_Toc520212562"/>
      <w:r>
        <w:t>Table 3-74. Tomb size groups</w:t>
      </w:r>
      <w:r w:rsidR="005E1C18">
        <w:t>,</w:t>
      </w:r>
      <w:r>
        <w:t xml:space="preserve"> Far-East area</w:t>
      </w:r>
      <w:bookmarkEnd w:id="439"/>
    </w:p>
    <w:tbl>
      <w:tblPr>
        <w:tblW w:w="0" w:type="auto"/>
        <w:tblCellMar>
          <w:left w:w="0" w:type="dxa"/>
          <w:right w:w="0" w:type="dxa"/>
        </w:tblCellMar>
        <w:tblLook w:val="04A0" w:firstRow="1" w:lastRow="0" w:firstColumn="1" w:lastColumn="0" w:noHBand="0" w:noVBand="1"/>
      </w:tblPr>
      <w:tblGrid>
        <w:gridCol w:w="2627"/>
        <w:gridCol w:w="1276"/>
        <w:gridCol w:w="1418"/>
        <w:gridCol w:w="1559"/>
        <w:gridCol w:w="1559"/>
      </w:tblGrid>
      <w:tr w:rsidR="008940B3" w:rsidRPr="00264743" w14:paraId="67EA6A25" w14:textId="77777777" w:rsidTr="00C17E32">
        <w:trPr>
          <w:trHeight w:val="405"/>
        </w:trPr>
        <w:tc>
          <w:tcPr>
            <w:tcW w:w="262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07866F1" w14:textId="77777777" w:rsidR="008940B3" w:rsidRPr="00264743" w:rsidRDefault="008940B3" w:rsidP="00E858EF">
            <w:pPr>
              <w:suppressAutoHyphens/>
              <w:jc w:val="center"/>
              <w:rPr>
                <w:sz w:val="20"/>
                <w:szCs w:val="16"/>
              </w:rPr>
            </w:pP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611ED91" w14:textId="77777777" w:rsidR="008940B3" w:rsidRPr="00264743" w:rsidRDefault="008940B3" w:rsidP="00E858EF">
            <w:pPr>
              <w:suppressAutoHyphens/>
              <w:jc w:val="center"/>
              <w:rPr>
                <w:sz w:val="20"/>
                <w:szCs w:val="16"/>
              </w:rPr>
            </w:pPr>
            <w:r w:rsidRPr="00264743">
              <w:rPr>
                <w:sz w:val="20"/>
                <w:szCs w:val="16"/>
              </w:rPr>
              <w:t>Small</w:t>
            </w:r>
          </w:p>
        </w:tc>
        <w:tc>
          <w:tcPr>
            <w:tcW w:w="1418" w:type="dxa"/>
            <w:tcBorders>
              <w:top w:val="single" w:sz="6" w:space="0" w:color="000000"/>
              <w:left w:val="single" w:sz="6" w:space="0" w:color="000000"/>
              <w:bottom w:val="single" w:sz="6" w:space="0" w:color="000000"/>
              <w:right w:val="single" w:sz="4" w:space="0" w:color="auto"/>
            </w:tcBorders>
            <w:tcMar>
              <w:top w:w="0" w:type="dxa"/>
              <w:left w:w="75" w:type="dxa"/>
              <w:bottom w:w="0" w:type="dxa"/>
              <w:right w:w="75" w:type="dxa"/>
            </w:tcMar>
            <w:hideMark/>
          </w:tcPr>
          <w:p w14:paraId="48D38820" w14:textId="77777777" w:rsidR="008940B3" w:rsidRPr="00264743" w:rsidRDefault="008940B3" w:rsidP="00E858EF">
            <w:pPr>
              <w:suppressAutoHyphens/>
              <w:jc w:val="center"/>
              <w:rPr>
                <w:sz w:val="20"/>
                <w:szCs w:val="16"/>
              </w:rPr>
            </w:pPr>
            <w:r w:rsidRPr="00264743">
              <w:rPr>
                <w:sz w:val="20"/>
                <w:szCs w:val="16"/>
              </w:rPr>
              <w:t>Medium</w:t>
            </w:r>
          </w:p>
        </w:tc>
        <w:tc>
          <w:tcPr>
            <w:tcW w:w="1559" w:type="dxa"/>
            <w:tcBorders>
              <w:top w:val="single" w:sz="4" w:space="0" w:color="auto"/>
              <w:left w:val="single" w:sz="4" w:space="0" w:color="auto"/>
              <w:bottom w:val="single" w:sz="4" w:space="0" w:color="auto"/>
              <w:right w:val="single" w:sz="4" w:space="0" w:color="auto"/>
            </w:tcBorders>
          </w:tcPr>
          <w:p w14:paraId="761A1328" w14:textId="77777777" w:rsidR="008940B3" w:rsidRPr="00264743" w:rsidRDefault="008940B3" w:rsidP="00E858EF">
            <w:pPr>
              <w:suppressAutoHyphens/>
              <w:spacing w:line="240" w:lineRule="auto"/>
              <w:jc w:val="center"/>
              <w:rPr>
                <w:sz w:val="20"/>
              </w:rPr>
            </w:pPr>
            <w:r w:rsidRPr="00264743">
              <w:rPr>
                <w:sz w:val="20"/>
                <w:szCs w:val="16"/>
              </w:rPr>
              <w:t>Large</w:t>
            </w:r>
          </w:p>
        </w:tc>
        <w:tc>
          <w:tcPr>
            <w:tcW w:w="1559" w:type="dxa"/>
            <w:tcBorders>
              <w:top w:val="single" w:sz="4" w:space="0" w:color="auto"/>
              <w:left w:val="single" w:sz="4" w:space="0" w:color="auto"/>
              <w:bottom w:val="single" w:sz="4" w:space="0" w:color="auto"/>
              <w:right w:val="single" w:sz="4" w:space="0" w:color="auto"/>
            </w:tcBorders>
          </w:tcPr>
          <w:p w14:paraId="615DD612" w14:textId="77777777" w:rsidR="008940B3" w:rsidRPr="00264743" w:rsidRDefault="008940B3" w:rsidP="00E858EF">
            <w:pPr>
              <w:suppressAutoHyphens/>
              <w:spacing w:line="240" w:lineRule="auto"/>
              <w:jc w:val="center"/>
              <w:rPr>
                <w:sz w:val="20"/>
              </w:rPr>
            </w:pPr>
            <w:r w:rsidRPr="00264743">
              <w:rPr>
                <w:sz w:val="20"/>
                <w:szCs w:val="16"/>
              </w:rPr>
              <w:t>Extra-Large</w:t>
            </w:r>
          </w:p>
        </w:tc>
      </w:tr>
      <w:tr w:rsidR="008940B3" w:rsidRPr="00264743" w14:paraId="78E65D34" w14:textId="77777777" w:rsidTr="00C17E32">
        <w:trPr>
          <w:trHeight w:val="315"/>
        </w:trPr>
        <w:tc>
          <w:tcPr>
            <w:tcW w:w="2627"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26F70614" w14:textId="77777777" w:rsidR="008940B3" w:rsidRPr="00264743" w:rsidRDefault="008940B3" w:rsidP="00E858EF">
            <w:pPr>
              <w:suppressAutoHyphens/>
              <w:jc w:val="left"/>
              <w:rPr>
                <w:sz w:val="20"/>
                <w:szCs w:val="16"/>
              </w:rPr>
            </w:pPr>
            <w:r w:rsidRPr="00264743">
              <w:rPr>
                <w:color w:val="000000"/>
                <w:sz w:val="20"/>
                <w:szCs w:val="16"/>
              </w:rPr>
              <w:t>Chamber area in sq.m.</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6DB0F1AC" w14:textId="77777777" w:rsidR="008940B3" w:rsidRPr="00264743" w:rsidRDefault="008940B3" w:rsidP="00E858EF">
            <w:pPr>
              <w:suppressAutoHyphens/>
              <w:jc w:val="center"/>
              <w:rPr>
                <w:sz w:val="20"/>
                <w:szCs w:val="16"/>
              </w:rPr>
            </w:pPr>
            <w:r w:rsidRPr="00264743">
              <w:rPr>
                <w:sz w:val="20"/>
                <w:szCs w:val="16"/>
              </w:rPr>
              <w:t>0-6</w:t>
            </w:r>
          </w:p>
        </w:tc>
        <w:tc>
          <w:tcPr>
            <w:tcW w:w="1418" w:type="dxa"/>
            <w:tcBorders>
              <w:top w:val="single" w:sz="6" w:space="0" w:color="000000"/>
              <w:left w:val="single" w:sz="6" w:space="0" w:color="000000"/>
              <w:bottom w:val="single" w:sz="6" w:space="0" w:color="000000"/>
              <w:right w:val="single" w:sz="4" w:space="0" w:color="auto"/>
            </w:tcBorders>
            <w:shd w:val="clear" w:color="auto" w:fill="EFEFEF"/>
            <w:tcMar>
              <w:top w:w="0" w:type="dxa"/>
              <w:left w:w="75" w:type="dxa"/>
              <w:bottom w:w="0" w:type="dxa"/>
              <w:right w:w="75" w:type="dxa"/>
            </w:tcMar>
            <w:hideMark/>
          </w:tcPr>
          <w:p w14:paraId="38344D78" w14:textId="77777777" w:rsidR="008940B3" w:rsidRPr="00264743" w:rsidRDefault="008940B3" w:rsidP="00E858EF">
            <w:pPr>
              <w:suppressAutoHyphens/>
              <w:jc w:val="center"/>
              <w:rPr>
                <w:sz w:val="20"/>
                <w:szCs w:val="16"/>
              </w:rPr>
            </w:pPr>
            <w:r w:rsidRPr="00264743">
              <w:rPr>
                <w:sz w:val="20"/>
                <w:szCs w:val="16"/>
              </w:rPr>
              <w:t>7-12</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98CC358" w14:textId="77777777" w:rsidR="008940B3" w:rsidRPr="00264743" w:rsidRDefault="008940B3" w:rsidP="00E858EF">
            <w:pPr>
              <w:suppressAutoHyphens/>
              <w:spacing w:line="240" w:lineRule="auto"/>
              <w:jc w:val="center"/>
              <w:rPr>
                <w:sz w:val="20"/>
              </w:rPr>
            </w:pPr>
            <w:r w:rsidRPr="00264743">
              <w:rPr>
                <w:color w:val="000000"/>
                <w:sz w:val="20"/>
                <w:szCs w:val="16"/>
              </w:rPr>
              <w:t>13-18</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82EDD23" w14:textId="77777777" w:rsidR="008940B3" w:rsidRPr="00264743" w:rsidRDefault="008940B3" w:rsidP="00E858EF">
            <w:pPr>
              <w:suppressAutoHyphens/>
              <w:spacing w:line="240" w:lineRule="auto"/>
              <w:jc w:val="center"/>
              <w:rPr>
                <w:sz w:val="20"/>
              </w:rPr>
            </w:pPr>
            <w:r w:rsidRPr="00264743">
              <w:rPr>
                <w:color w:val="000000"/>
                <w:sz w:val="20"/>
                <w:szCs w:val="16"/>
              </w:rPr>
              <w:t>19-24</w:t>
            </w:r>
          </w:p>
        </w:tc>
      </w:tr>
      <w:tr w:rsidR="008940B3" w:rsidRPr="00264743" w14:paraId="7A3819CE" w14:textId="77777777" w:rsidTr="00C17E32">
        <w:trPr>
          <w:trHeight w:val="315"/>
        </w:trPr>
        <w:tc>
          <w:tcPr>
            <w:tcW w:w="2627" w:type="dxa"/>
            <w:tcBorders>
              <w:top w:val="single" w:sz="4" w:space="0" w:color="auto"/>
              <w:left w:val="single" w:sz="6" w:space="0" w:color="000000"/>
              <w:bottom w:val="single" w:sz="6" w:space="0" w:color="000000"/>
              <w:right w:val="single" w:sz="6" w:space="0" w:color="000000"/>
            </w:tcBorders>
            <w:tcMar>
              <w:top w:w="0" w:type="dxa"/>
              <w:left w:w="75" w:type="dxa"/>
              <w:bottom w:w="0" w:type="dxa"/>
              <w:right w:w="75" w:type="dxa"/>
            </w:tcMar>
            <w:hideMark/>
          </w:tcPr>
          <w:p w14:paraId="38929DC2" w14:textId="77777777" w:rsidR="008940B3" w:rsidRPr="00264743" w:rsidRDefault="008940B3" w:rsidP="00E858EF">
            <w:pPr>
              <w:suppressAutoHyphens/>
              <w:jc w:val="left"/>
              <w:rPr>
                <w:sz w:val="20"/>
                <w:szCs w:val="16"/>
              </w:rPr>
            </w:pPr>
            <w:r w:rsidRPr="00264743">
              <w:rPr>
                <w:sz w:val="20"/>
                <w:szCs w:val="16"/>
              </w:rPr>
              <w:t>Number of tombs within each group</w:t>
            </w:r>
          </w:p>
        </w:tc>
        <w:tc>
          <w:tcPr>
            <w:tcW w:w="1276" w:type="dxa"/>
            <w:tcBorders>
              <w:top w:val="single" w:sz="4" w:space="0" w:color="auto"/>
              <w:left w:val="single" w:sz="6" w:space="0" w:color="000000"/>
              <w:bottom w:val="single" w:sz="6" w:space="0" w:color="000000"/>
              <w:right w:val="single" w:sz="6" w:space="0" w:color="000000"/>
            </w:tcBorders>
            <w:tcMar>
              <w:top w:w="0" w:type="dxa"/>
              <w:left w:w="75" w:type="dxa"/>
              <w:bottom w:w="0" w:type="dxa"/>
              <w:right w:w="75" w:type="dxa"/>
            </w:tcMar>
            <w:hideMark/>
          </w:tcPr>
          <w:p w14:paraId="6BBAFDB5" w14:textId="77777777" w:rsidR="008940B3" w:rsidRPr="00264743" w:rsidRDefault="008940B3" w:rsidP="00E858EF">
            <w:pPr>
              <w:suppressAutoHyphens/>
              <w:jc w:val="center"/>
              <w:rPr>
                <w:sz w:val="20"/>
                <w:szCs w:val="16"/>
              </w:rPr>
            </w:pPr>
            <w:r w:rsidRPr="00264743">
              <w:rPr>
                <w:sz w:val="20"/>
                <w:szCs w:val="16"/>
              </w:rPr>
              <w:t>17</w:t>
            </w:r>
          </w:p>
        </w:tc>
        <w:tc>
          <w:tcPr>
            <w:tcW w:w="1418" w:type="dxa"/>
            <w:tcBorders>
              <w:top w:val="single" w:sz="4" w:space="0" w:color="auto"/>
              <w:left w:val="single" w:sz="6" w:space="0" w:color="000000"/>
              <w:bottom w:val="single" w:sz="6" w:space="0" w:color="000000"/>
              <w:right w:val="single" w:sz="4" w:space="0" w:color="auto"/>
            </w:tcBorders>
            <w:tcMar>
              <w:top w:w="0" w:type="dxa"/>
              <w:left w:w="75" w:type="dxa"/>
              <w:bottom w:w="0" w:type="dxa"/>
              <w:right w:w="75" w:type="dxa"/>
            </w:tcMar>
            <w:hideMark/>
          </w:tcPr>
          <w:p w14:paraId="7FA3E79C" w14:textId="77777777" w:rsidR="008940B3" w:rsidRPr="00264743" w:rsidRDefault="008940B3" w:rsidP="00E858EF">
            <w:pPr>
              <w:suppressAutoHyphens/>
              <w:jc w:val="center"/>
              <w:rPr>
                <w:sz w:val="20"/>
                <w:szCs w:val="16"/>
              </w:rPr>
            </w:pPr>
            <w:r w:rsidRPr="00264743">
              <w:rPr>
                <w:sz w:val="20"/>
                <w:szCs w:val="16"/>
              </w:rPr>
              <w:t>1</w:t>
            </w:r>
          </w:p>
        </w:tc>
        <w:tc>
          <w:tcPr>
            <w:tcW w:w="1559" w:type="dxa"/>
            <w:tcBorders>
              <w:top w:val="single" w:sz="4" w:space="0" w:color="auto"/>
              <w:left w:val="single" w:sz="4" w:space="0" w:color="auto"/>
              <w:bottom w:val="single" w:sz="4" w:space="0" w:color="auto"/>
              <w:right w:val="single" w:sz="4" w:space="0" w:color="auto"/>
            </w:tcBorders>
          </w:tcPr>
          <w:p w14:paraId="4DF94A60" w14:textId="77777777" w:rsidR="008940B3" w:rsidRPr="00264743" w:rsidRDefault="008940B3" w:rsidP="00E858EF">
            <w:pPr>
              <w:suppressAutoHyphens/>
              <w:spacing w:line="240" w:lineRule="auto"/>
              <w:jc w:val="center"/>
              <w:rPr>
                <w:sz w:val="20"/>
              </w:rPr>
            </w:pPr>
            <w:r w:rsidRPr="00264743">
              <w:rPr>
                <w:color w:val="000000"/>
                <w:sz w:val="20"/>
                <w:szCs w:val="16"/>
              </w:rPr>
              <w:t>0</w:t>
            </w:r>
          </w:p>
        </w:tc>
        <w:tc>
          <w:tcPr>
            <w:tcW w:w="1559" w:type="dxa"/>
            <w:tcBorders>
              <w:top w:val="single" w:sz="4" w:space="0" w:color="auto"/>
              <w:left w:val="single" w:sz="4" w:space="0" w:color="auto"/>
              <w:bottom w:val="single" w:sz="4" w:space="0" w:color="auto"/>
              <w:right w:val="single" w:sz="4" w:space="0" w:color="auto"/>
            </w:tcBorders>
          </w:tcPr>
          <w:p w14:paraId="6FA724B5" w14:textId="77777777" w:rsidR="008940B3" w:rsidRPr="00264743" w:rsidRDefault="008940B3" w:rsidP="00E858EF">
            <w:pPr>
              <w:suppressAutoHyphens/>
              <w:spacing w:line="240" w:lineRule="auto"/>
              <w:jc w:val="center"/>
              <w:rPr>
                <w:sz w:val="20"/>
              </w:rPr>
            </w:pPr>
            <w:r w:rsidRPr="00264743">
              <w:rPr>
                <w:color w:val="000000"/>
                <w:sz w:val="20"/>
                <w:szCs w:val="16"/>
              </w:rPr>
              <w:t>0</w:t>
            </w:r>
          </w:p>
        </w:tc>
      </w:tr>
    </w:tbl>
    <w:p w14:paraId="5542DCF6"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01239D37" w14:textId="77777777" w:rsidR="008940B3" w:rsidRDefault="008940B3" w:rsidP="00264743">
      <w:r w:rsidRPr="003B5C8D">
        <w:t xml:space="preserve">From the data collected from the tombs for which both values are registered, </w:t>
      </w:r>
      <w:r>
        <w:t xml:space="preserve">the </w:t>
      </w:r>
      <w:r w:rsidRPr="003B5C8D">
        <w:t>chamber and dromos dimension</w:t>
      </w:r>
      <w:r>
        <w:t>s are proportional.</w:t>
      </w:r>
    </w:p>
    <w:p w14:paraId="4E530445"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61D7BB3C" w14:textId="6A9285E0" w:rsidR="008940B3" w:rsidRPr="003B5C8D" w:rsidRDefault="008940B3" w:rsidP="00E858EF">
      <w:pPr>
        <w:pStyle w:val="Testofumetto"/>
        <w:suppressAutoHyphens/>
      </w:pPr>
      <w:bookmarkStart w:id="440" w:name="_Toc520212563"/>
      <w:r>
        <w:t>Table 3-75. Tomb size and dromos length comparison</w:t>
      </w:r>
      <w:r w:rsidR="005E1C18">
        <w:t>,</w:t>
      </w:r>
      <w:r>
        <w:t xml:space="preserve"> Far-East area</w:t>
      </w:r>
      <w:bookmarkEnd w:id="440"/>
    </w:p>
    <w:tbl>
      <w:tblPr>
        <w:tblW w:w="0" w:type="auto"/>
        <w:tblCellMar>
          <w:left w:w="0" w:type="dxa"/>
          <w:right w:w="0" w:type="dxa"/>
        </w:tblCellMar>
        <w:tblLook w:val="04A0" w:firstRow="1" w:lastRow="0" w:firstColumn="1" w:lastColumn="0" w:noHBand="0" w:noVBand="1"/>
      </w:tblPr>
      <w:tblGrid>
        <w:gridCol w:w="2060"/>
        <w:gridCol w:w="1330"/>
      </w:tblGrid>
      <w:tr w:rsidR="008940B3" w:rsidRPr="00264743" w14:paraId="425B59D4" w14:textId="77777777" w:rsidTr="00C17E32">
        <w:trPr>
          <w:trHeight w:val="40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2C36CEE1" w14:textId="77777777" w:rsidR="008940B3" w:rsidRPr="00264743" w:rsidRDefault="008940B3" w:rsidP="00E858EF">
            <w:pPr>
              <w:suppressAutoHyphens/>
              <w:rPr>
                <w:sz w:val="20"/>
                <w:szCs w:val="16"/>
              </w:rPr>
            </w:pPr>
          </w:p>
        </w:tc>
        <w:tc>
          <w:tcPr>
            <w:tcW w:w="133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4DAB5EA9" w14:textId="77777777" w:rsidR="008940B3" w:rsidRPr="00264743" w:rsidRDefault="008940B3" w:rsidP="00E858EF">
            <w:pPr>
              <w:suppressAutoHyphens/>
              <w:jc w:val="center"/>
              <w:rPr>
                <w:sz w:val="20"/>
                <w:szCs w:val="16"/>
              </w:rPr>
            </w:pPr>
            <w:r w:rsidRPr="00264743">
              <w:rPr>
                <w:sz w:val="20"/>
                <w:szCs w:val="16"/>
              </w:rPr>
              <w:t>Mean</w:t>
            </w:r>
          </w:p>
        </w:tc>
      </w:tr>
      <w:tr w:rsidR="008940B3" w:rsidRPr="00264743" w14:paraId="07AC4D9F" w14:textId="77777777" w:rsidTr="00C17E32">
        <w:trPr>
          <w:trHeight w:val="315"/>
        </w:trPr>
        <w:tc>
          <w:tcPr>
            <w:tcW w:w="206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4591EB17" w14:textId="77777777" w:rsidR="008940B3" w:rsidRPr="00264743" w:rsidRDefault="008940B3" w:rsidP="00E858EF">
            <w:pPr>
              <w:suppressAutoHyphens/>
              <w:rPr>
                <w:sz w:val="20"/>
                <w:szCs w:val="16"/>
              </w:rPr>
            </w:pPr>
            <w:r w:rsidRPr="00264743">
              <w:rPr>
                <w:color w:val="000000"/>
                <w:sz w:val="20"/>
                <w:szCs w:val="16"/>
              </w:rPr>
              <w:t>Chamber area in sq.m.</w:t>
            </w:r>
          </w:p>
        </w:tc>
        <w:tc>
          <w:tcPr>
            <w:tcW w:w="133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09F4995D" w14:textId="77777777" w:rsidR="008940B3" w:rsidRPr="00264743" w:rsidRDefault="008940B3" w:rsidP="00E858EF">
            <w:pPr>
              <w:suppressAutoHyphens/>
              <w:jc w:val="center"/>
              <w:rPr>
                <w:sz w:val="20"/>
                <w:szCs w:val="16"/>
              </w:rPr>
            </w:pPr>
            <w:r w:rsidRPr="00264743">
              <w:rPr>
                <w:sz w:val="20"/>
                <w:szCs w:val="16"/>
              </w:rPr>
              <w:t>4</w:t>
            </w:r>
          </w:p>
        </w:tc>
      </w:tr>
      <w:tr w:rsidR="008940B3" w:rsidRPr="00264743" w14:paraId="0186B64E" w14:textId="77777777" w:rsidTr="00C17E32">
        <w:trPr>
          <w:trHeight w:val="31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0EF71352" w14:textId="4BAC1362" w:rsidR="008940B3" w:rsidRPr="00264743" w:rsidRDefault="008940B3" w:rsidP="00E858EF">
            <w:pPr>
              <w:suppressAutoHyphens/>
              <w:rPr>
                <w:sz w:val="20"/>
                <w:szCs w:val="16"/>
              </w:rPr>
            </w:pPr>
            <w:r w:rsidRPr="00264743">
              <w:rPr>
                <w:sz w:val="20"/>
                <w:szCs w:val="16"/>
              </w:rPr>
              <w:t>Dromos length</w:t>
            </w:r>
            <w:r w:rsidR="00C17E32" w:rsidRPr="00264743">
              <w:rPr>
                <w:sz w:val="20"/>
                <w:szCs w:val="16"/>
              </w:rPr>
              <w:t xml:space="preserve"> </w:t>
            </w:r>
            <w:r w:rsidRPr="00264743">
              <w:rPr>
                <w:sz w:val="20"/>
                <w:szCs w:val="16"/>
              </w:rPr>
              <w:t>in m</w:t>
            </w:r>
          </w:p>
        </w:tc>
        <w:tc>
          <w:tcPr>
            <w:tcW w:w="133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37ACF6D9" w14:textId="77777777" w:rsidR="008940B3" w:rsidRPr="00264743" w:rsidRDefault="008940B3" w:rsidP="00E858EF">
            <w:pPr>
              <w:suppressAutoHyphens/>
              <w:jc w:val="center"/>
              <w:rPr>
                <w:sz w:val="20"/>
                <w:szCs w:val="16"/>
              </w:rPr>
            </w:pPr>
            <w:r w:rsidRPr="00264743">
              <w:rPr>
                <w:sz w:val="20"/>
                <w:szCs w:val="16"/>
              </w:rPr>
              <w:t>3.2</w:t>
            </w:r>
          </w:p>
        </w:tc>
      </w:tr>
    </w:tbl>
    <w:p w14:paraId="2A1821ED" w14:textId="77777777" w:rsidR="00C17E32" w:rsidRDefault="00C17E32" w:rsidP="00E858EF">
      <w:pPr>
        <w:pStyle w:val="Testofumetto"/>
        <w:suppressAutoHyphens/>
      </w:pPr>
    </w:p>
    <w:p w14:paraId="280C8F27" w14:textId="1226C7D5" w:rsidR="008940B3" w:rsidRPr="003B5C8D" w:rsidRDefault="008940B3" w:rsidP="00E858EF">
      <w:pPr>
        <w:pStyle w:val="Testofumetto"/>
        <w:suppressAutoHyphens/>
      </w:pPr>
      <w:bookmarkStart w:id="441" w:name="_Toc520212564"/>
      <w:r>
        <w:t>Table 3-76. Tomb size and dromos length comparison according to tomb size groups</w:t>
      </w:r>
      <w:r w:rsidR="005E1C18">
        <w:t>,</w:t>
      </w:r>
      <w:r>
        <w:t xml:space="preserve"> Far-East area</w:t>
      </w:r>
      <w:bookmarkEnd w:id="441"/>
    </w:p>
    <w:tbl>
      <w:tblPr>
        <w:tblW w:w="0" w:type="auto"/>
        <w:tblCellMar>
          <w:left w:w="0" w:type="dxa"/>
          <w:right w:w="0" w:type="dxa"/>
        </w:tblCellMar>
        <w:tblLook w:val="04A0" w:firstRow="1" w:lastRow="0" w:firstColumn="1" w:lastColumn="0" w:noHBand="0" w:noVBand="1"/>
      </w:tblPr>
      <w:tblGrid>
        <w:gridCol w:w="2060"/>
        <w:gridCol w:w="1417"/>
        <w:gridCol w:w="1277"/>
      </w:tblGrid>
      <w:tr w:rsidR="008940B3" w:rsidRPr="00264743" w14:paraId="37D33769" w14:textId="77777777" w:rsidTr="00C17E32">
        <w:trPr>
          <w:trHeight w:val="40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04DC8338" w14:textId="77777777" w:rsidR="008940B3" w:rsidRPr="00264743" w:rsidRDefault="008940B3" w:rsidP="00E858EF">
            <w:pPr>
              <w:suppressAutoHyphens/>
              <w:rPr>
                <w:sz w:val="20"/>
                <w:szCs w:val="16"/>
              </w:rPr>
            </w:pPr>
          </w:p>
        </w:tc>
        <w:tc>
          <w:tcPr>
            <w:tcW w:w="141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AA2B53A" w14:textId="77777777" w:rsidR="008940B3" w:rsidRPr="00264743" w:rsidRDefault="008940B3" w:rsidP="00E858EF">
            <w:pPr>
              <w:suppressAutoHyphens/>
              <w:jc w:val="center"/>
              <w:rPr>
                <w:sz w:val="20"/>
                <w:szCs w:val="16"/>
              </w:rPr>
            </w:pPr>
            <w:r w:rsidRPr="00264743">
              <w:rPr>
                <w:sz w:val="20"/>
                <w:szCs w:val="16"/>
              </w:rPr>
              <w:t>Small</w:t>
            </w:r>
          </w:p>
        </w:tc>
        <w:tc>
          <w:tcPr>
            <w:tcW w:w="1277" w:type="dxa"/>
            <w:tcBorders>
              <w:top w:val="single" w:sz="6" w:space="0" w:color="000000"/>
              <w:left w:val="single" w:sz="6" w:space="0" w:color="000000"/>
              <w:bottom w:val="single" w:sz="6" w:space="0" w:color="000000"/>
              <w:right w:val="single" w:sz="6" w:space="0" w:color="000000"/>
            </w:tcBorders>
          </w:tcPr>
          <w:p w14:paraId="6F0F44E7" w14:textId="77777777" w:rsidR="008940B3" w:rsidRPr="00264743" w:rsidRDefault="008940B3" w:rsidP="00E858EF">
            <w:pPr>
              <w:suppressAutoHyphens/>
              <w:jc w:val="center"/>
              <w:rPr>
                <w:sz w:val="20"/>
                <w:szCs w:val="16"/>
              </w:rPr>
            </w:pPr>
            <w:r w:rsidRPr="00264743">
              <w:rPr>
                <w:sz w:val="20"/>
                <w:szCs w:val="16"/>
              </w:rPr>
              <w:t>Large</w:t>
            </w:r>
          </w:p>
        </w:tc>
      </w:tr>
      <w:tr w:rsidR="008940B3" w:rsidRPr="00264743" w14:paraId="7F3B6056" w14:textId="77777777" w:rsidTr="00C17E32">
        <w:trPr>
          <w:trHeight w:val="315"/>
        </w:trPr>
        <w:tc>
          <w:tcPr>
            <w:tcW w:w="2060"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3D017F27" w14:textId="77777777" w:rsidR="008940B3" w:rsidRPr="00264743" w:rsidRDefault="008940B3" w:rsidP="00E858EF">
            <w:pPr>
              <w:suppressAutoHyphens/>
              <w:rPr>
                <w:sz w:val="20"/>
                <w:szCs w:val="16"/>
              </w:rPr>
            </w:pPr>
            <w:r w:rsidRPr="00264743">
              <w:rPr>
                <w:color w:val="000000"/>
                <w:sz w:val="20"/>
                <w:szCs w:val="16"/>
              </w:rPr>
              <w:t>Chamber area in sq.m.</w:t>
            </w:r>
          </w:p>
        </w:tc>
        <w:tc>
          <w:tcPr>
            <w:tcW w:w="1417"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7D77C3FF" w14:textId="77777777" w:rsidR="008940B3" w:rsidRPr="00264743" w:rsidRDefault="008940B3" w:rsidP="00E858EF">
            <w:pPr>
              <w:suppressAutoHyphens/>
              <w:jc w:val="center"/>
              <w:rPr>
                <w:sz w:val="20"/>
                <w:szCs w:val="16"/>
              </w:rPr>
            </w:pPr>
            <w:r w:rsidRPr="00264743">
              <w:rPr>
                <w:sz w:val="20"/>
                <w:szCs w:val="16"/>
              </w:rPr>
              <w:t>0-6</w:t>
            </w:r>
          </w:p>
        </w:tc>
        <w:tc>
          <w:tcPr>
            <w:tcW w:w="1277" w:type="dxa"/>
            <w:tcBorders>
              <w:top w:val="single" w:sz="6" w:space="0" w:color="000000"/>
              <w:left w:val="single" w:sz="6" w:space="0" w:color="000000"/>
              <w:bottom w:val="single" w:sz="6" w:space="0" w:color="000000"/>
              <w:right w:val="single" w:sz="6" w:space="0" w:color="000000"/>
            </w:tcBorders>
            <w:shd w:val="clear" w:color="auto" w:fill="EFEFEF"/>
          </w:tcPr>
          <w:p w14:paraId="76A6FCC1" w14:textId="77777777" w:rsidR="008940B3" w:rsidRPr="00264743" w:rsidRDefault="008940B3" w:rsidP="00E858EF">
            <w:pPr>
              <w:suppressAutoHyphens/>
              <w:jc w:val="center"/>
              <w:rPr>
                <w:color w:val="000000"/>
                <w:sz w:val="20"/>
                <w:szCs w:val="16"/>
              </w:rPr>
            </w:pPr>
            <w:r w:rsidRPr="00264743">
              <w:rPr>
                <w:color w:val="000000"/>
                <w:sz w:val="20"/>
                <w:szCs w:val="16"/>
              </w:rPr>
              <w:t>13-18</w:t>
            </w:r>
          </w:p>
        </w:tc>
      </w:tr>
      <w:tr w:rsidR="008940B3" w:rsidRPr="00264743" w14:paraId="606FA3D7" w14:textId="77777777" w:rsidTr="00C17E32">
        <w:trPr>
          <w:trHeight w:val="315"/>
        </w:trPr>
        <w:tc>
          <w:tcPr>
            <w:tcW w:w="2060"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23EBB68F" w14:textId="77777777" w:rsidR="008940B3" w:rsidRPr="00264743" w:rsidRDefault="008940B3" w:rsidP="00E858EF">
            <w:pPr>
              <w:suppressAutoHyphens/>
              <w:rPr>
                <w:sz w:val="20"/>
                <w:szCs w:val="16"/>
              </w:rPr>
            </w:pPr>
            <w:r w:rsidRPr="00264743">
              <w:rPr>
                <w:sz w:val="20"/>
                <w:szCs w:val="16"/>
              </w:rPr>
              <w:t>Dromos</w:t>
            </w:r>
          </w:p>
        </w:tc>
        <w:tc>
          <w:tcPr>
            <w:tcW w:w="141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24C75468" w14:textId="77777777" w:rsidR="008940B3" w:rsidRPr="00264743" w:rsidRDefault="008940B3" w:rsidP="00E858EF">
            <w:pPr>
              <w:suppressAutoHyphens/>
              <w:jc w:val="center"/>
              <w:rPr>
                <w:sz w:val="20"/>
                <w:szCs w:val="16"/>
              </w:rPr>
            </w:pPr>
            <w:r w:rsidRPr="00264743">
              <w:rPr>
                <w:sz w:val="20"/>
                <w:szCs w:val="16"/>
              </w:rPr>
              <w:t>≤3.8</w:t>
            </w:r>
          </w:p>
        </w:tc>
        <w:tc>
          <w:tcPr>
            <w:tcW w:w="1277" w:type="dxa"/>
            <w:tcBorders>
              <w:top w:val="single" w:sz="6" w:space="0" w:color="000000"/>
              <w:left w:val="single" w:sz="6" w:space="0" w:color="000000"/>
              <w:bottom w:val="single" w:sz="6" w:space="0" w:color="000000"/>
              <w:right w:val="single" w:sz="6" w:space="0" w:color="000000"/>
            </w:tcBorders>
          </w:tcPr>
          <w:p w14:paraId="0DFDE610" w14:textId="77777777" w:rsidR="008940B3" w:rsidRPr="00264743" w:rsidRDefault="008940B3" w:rsidP="00E858EF">
            <w:pPr>
              <w:suppressAutoHyphens/>
              <w:jc w:val="center"/>
              <w:rPr>
                <w:color w:val="000000"/>
                <w:sz w:val="20"/>
                <w:szCs w:val="16"/>
              </w:rPr>
            </w:pPr>
            <w:r w:rsidRPr="00264743">
              <w:rPr>
                <w:sz w:val="20"/>
                <w:szCs w:val="16"/>
              </w:rPr>
              <w:t>9</w:t>
            </w:r>
          </w:p>
        </w:tc>
      </w:tr>
    </w:tbl>
    <w:p w14:paraId="35ED5981"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6D8F8101" w14:textId="77777777" w:rsidR="008940B3" w:rsidRPr="0026474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264743">
        <w:rPr>
          <w:color w:val="000000"/>
          <w:szCs w:val="22"/>
        </w:rPr>
        <w:t>The following architectural features are present in the tombs in the Far-East area:</w:t>
      </w:r>
    </w:p>
    <w:p w14:paraId="3554E6B8" w14:textId="77777777" w:rsidR="008940B3" w:rsidRPr="00264743"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264743">
        <w:rPr>
          <w:color w:val="000000"/>
          <w:szCs w:val="22"/>
        </w:rPr>
        <w:t>Pits or niches in the chamber and/or dromos</w:t>
      </w:r>
    </w:p>
    <w:p w14:paraId="1523F54A" w14:textId="77777777" w:rsidR="008940B3" w:rsidRPr="00264743"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264743">
        <w:rPr>
          <w:color w:val="000000"/>
          <w:szCs w:val="22"/>
        </w:rPr>
        <w:t xml:space="preserve">Monumental </w:t>
      </w:r>
      <w:r w:rsidRPr="00264743">
        <w:rPr>
          <w:i/>
          <w:color w:val="000000"/>
          <w:szCs w:val="22"/>
        </w:rPr>
        <w:t>stomion</w:t>
      </w:r>
      <w:r w:rsidRPr="00264743">
        <w:rPr>
          <w:color w:val="000000"/>
          <w:szCs w:val="22"/>
        </w:rPr>
        <w:t xml:space="preserve"> or hall</w:t>
      </w:r>
    </w:p>
    <w:p w14:paraId="1F85E68F" w14:textId="77777777" w:rsidR="008940B3" w:rsidRPr="00264743" w:rsidRDefault="008940B3" w:rsidP="00E858EF">
      <w:pPr>
        <w:pStyle w:val="Paragrafoelenco"/>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264743">
        <w:rPr>
          <w:color w:val="000000"/>
          <w:szCs w:val="22"/>
        </w:rPr>
        <w:t>Monumental dromos with stairs</w:t>
      </w:r>
    </w:p>
    <w:p w14:paraId="6EEACB25"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sidRPr="00264743">
        <w:rPr>
          <w:color w:val="000000"/>
          <w:szCs w:val="22"/>
        </w:rPr>
        <w:t xml:space="preserve">These features occur in nine tombs from the above sample. </w:t>
      </w:r>
    </w:p>
    <w:p w14:paraId="40804A6B"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1125364F" w14:textId="77777777" w:rsidR="00264743" w:rsidRDefault="00264743">
      <w:pPr>
        <w:widowControl/>
        <w:spacing w:line="240" w:lineRule="auto"/>
        <w:contextualSpacing w:val="0"/>
        <w:jc w:val="left"/>
        <w:rPr>
          <w:rFonts w:cs="Lucida Grande"/>
          <w:b/>
          <w:sz w:val="20"/>
          <w:szCs w:val="18"/>
        </w:rPr>
      </w:pPr>
      <w:r>
        <w:br w:type="page"/>
      </w:r>
    </w:p>
    <w:p w14:paraId="14B3CE01" w14:textId="404E266F" w:rsidR="008940B3" w:rsidRPr="003B5C8D" w:rsidRDefault="008940B3" w:rsidP="00E858EF">
      <w:pPr>
        <w:pStyle w:val="Testofumetto"/>
        <w:suppressAutoHyphens/>
      </w:pPr>
      <w:bookmarkStart w:id="442" w:name="_Toc520212565"/>
      <w:r>
        <w:t>Table 3-77. Occurrence of monumental features in Far-East area</w:t>
      </w:r>
      <w:bookmarkEnd w:id="442"/>
    </w:p>
    <w:tbl>
      <w:tblPr>
        <w:tblW w:w="0" w:type="auto"/>
        <w:jc w:val="center"/>
        <w:tblCellMar>
          <w:left w:w="0" w:type="dxa"/>
          <w:right w:w="0" w:type="dxa"/>
        </w:tblCellMar>
        <w:tblLook w:val="04A0" w:firstRow="1" w:lastRow="0" w:firstColumn="1" w:lastColumn="0" w:noHBand="0" w:noVBand="1"/>
      </w:tblPr>
      <w:tblGrid>
        <w:gridCol w:w="1275"/>
        <w:gridCol w:w="2344"/>
        <w:gridCol w:w="1701"/>
        <w:gridCol w:w="1985"/>
        <w:gridCol w:w="992"/>
      </w:tblGrid>
      <w:tr w:rsidR="008940B3" w:rsidRPr="00264743" w14:paraId="19D3110C" w14:textId="77777777" w:rsidTr="00264743">
        <w:trPr>
          <w:trHeight w:val="405"/>
          <w:jc w:val="center"/>
        </w:trPr>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0F2BBC0" w14:textId="77777777" w:rsidR="008940B3" w:rsidRPr="00264743" w:rsidRDefault="008940B3" w:rsidP="00264743">
            <w:pPr>
              <w:jc w:val="center"/>
              <w:rPr>
                <w:sz w:val="20"/>
              </w:rPr>
            </w:pPr>
          </w:p>
        </w:tc>
        <w:tc>
          <w:tcPr>
            <w:tcW w:w="234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B19A838" w14:textId="77777777" w:rsidR="008940B3" w:rsidRPr="00264743" w:rsidRDefault="008940B3" w:rsidP="00264743">
            <w:pPr>
              <w:spacing w:line="276" w:lineRule="auto"/>
              <w:jc w:val="center"/>
              <w:rPr>
                <w:sz w:val="20"/>
              </w:rPr>
            </w:pPr>
            <w:r w:rsidRPr="00264743">
              <w:rPr>
                <w:sz w:val="20"/>
              </w:rPr>
              <w:t>No. of architectural features</w:t>
            </w:r>
          </w:p>
        </w:tc>
        <w:tc>
          <w:tcPr>
            <w:tcW w:w="1701"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72571C4C" w14:textId="77777777" w:rsidR="008940B3" w:rsidRPr="00264743" w:rsidRDefault="008940B3" w:rsidP="00264743">
            <w:pPr>
              <w:spacing w:line="276" w:lineRule="auto"/>
              <w:jc w:val="center"/>
              <w:rPr>
                <w:sz w:val="20"/>
              </w:rPr>
            </w:pPr>
            <w:r w:rsidRPr="00264743">
              <w:rPr>
                <w:sz w:val="20"/>
              </w:rPr>
              <w:t>1 arch. feature</w:t>
            </w:r>
          </w:p>
        </w:tc>
        <w:tc>
          <w:tcPr>
            <w:tcW w:w="198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2E5730B" w14:textId="705D68A0" w:rsidR="008940B3" w:rsidRPr="00264743" w:rsidRDefault="008940B3" w:rsidP="00264743">
            <w:pPr>
              <w:spacing w:line="276" w:lineRule="auto"/>
              <w:jc w:val="center"/>
              <w:rPr>
                <w:sz w:val="20"/>
              </w:rPr>
            </w:pPr>
            <w:r w:rsidRPr="00264743">
              <w:rPr>
                <w:rFonts w:eastAsia="MS Gothic"/>
                <w:color w:val="000000"/>
                <w:sz w:val="20"/>
              </w:rPr>
              <w:t xml:space="preserve">≥2 </w:t>
            </w:r>
            <w:r w:rsidRPr="00264743">
              <w:rPr>
                <w:sz w:val="20"/>
              </w:rPr>
              <w:t>arch. features</w:t>
            </w:r>
          </w:p>
        </w:tc>
        <w:tc>
          <w:tcPr>
            <w:tcW w:w="992" w:type="dxa"/>
            <w:tcBorders>
              <w:top w:val="single" w:sz="6" w:space="0" w:color="000000"/>
              <w:left w:val="single" w:sz="6" w:space="0" w:color="000000"/>
              <w:bottom w:val="single" w:sz="6" w:space="0" w:color="000000"/>
              <w:right w:val="single" w:sz="6" w:space="0" w:color="000000"/>
            </w:tcBorders>
          </w:tcPr>
          <w:p w14:paraId="077B21F9" w14:textId="77777777" w:rsidR="008940B3" w:rsidRPr="00264743" w:rsidRDefault="008940B3" w:rsidP="00264743">
            <w:pPr>
              <w:spacing w:line="276" w:lineRule="auto"/>
              <w:jc w:val="center"/>
              <w:rPr>
                <w:sz w:val="20"/>
              </w:rPr>
            </w:pPr>
            <w:r w:rsidRPr="00264743">
              <w:rPr>
                <w:sz w:val="20"/>
              </w:rPr>
              <w:t>Total</w:t>
            </w:r>
          </w:p>
        </w:tc>
      </w:tr>
      <w:tr w:rsidR="008940B3" w:rsidRPr="00264743" w14:paraId="70CE7088" w14:textId="77777777" w:rsidTr="00264743">
        <w:trPr>
          <w:trHeight w:val="315"/>
          <w:jc w:val="center"/>
        </w:trPr>
        <w:tc>
          <w:tcPr>
            <w:tcW w:w="127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5141A6B1" w14:textId="77777777" w:rsidR="008940B3" w:rsidRPr="00264743" w:rsidRDefault="008940B3" w:rsidP="00264743">
            <w:pPr>
              <w:jc w:val="left"/>
              <w:rPr>
                <w:sz w:val="20"/>
              </w:rPr>
            </w:pPr>
            <w:r w:rsidRPr="00264743">
              <w:rPr>
                <w:color w:val="000000"/>
                <w:sz w:val="20"/>
              </w:rPr>
              <w:t>No. of tombs</w:t>
            </w:r>
          </w:p>
        </w:tc>
        <w:tc>
          <w:tcPr>
            <w:tcW w:w="2344"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5EA4AA04" w14:textId="77777777" w:rsidR="008940B3" w:rsidRPr="00264743" w:rsidRDefault="008940B3" w:rsidP="00264743">
            <w:pPr>
              <w:jc w:val="center"/>
              <w:rPr>
                <w:sz w:val="20"/>
              </w:rPr>
            </w:pPr>
            <w:r w:rsidRPr="00264743">
              <w:rPr>
                <w:sz w:val="20"/>
              </w:rPr>
              <w:t>65</w:t>
            </w:r>
          </w:p>
        </w:tc>
        <w:tc>
          <w:tcPr>
            <w:tcW w:w="1701"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6E1B53DC" w14:textId="77777777" w:rsidR="008940B3" w:rsidRPr="00264743" w:rsidRDefault="008940B3" w:rsidP="00264743">
            <w:pPr>
              <w:jc w:val="center"/>
              <w:rPr>
                <w:sz w:val="20"/>
              </w:rPr>
            </w:pPr>
            <w:r w:rsidRPr="00264743">
              <w:rPr>
                <w:sz w:val="20"/>
              </w:rPr>
              <w:t>9</w:t>
            </w:r>
          </w:p>
        </w:tc>
        <w:tc>
          <w:tcPr>
            <w:tcW w:w="1985"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296D1B28" w14:textId="4A83BF1B" w:rsidR="008940B3" w:rsidRPr="00264743" w:rsidRDefault="008940B3" w:rsidP="00264743">
            <w:pPr>
              <w:jc w:val="center"/>
              <w:rPr>
                <w:sz w:val="20"/>
              </w:rPr>
            </w:pPr>
            <w:r w:rsidRPr="00264743">
              <w:rPr>
                <w:color w:val="000000"/>
                <w:sz w:val="20"/>
              </w:rPr>
              <w:t>1</w:t>
            </w:r>
          </w:p>
        </w:tc>
        <w:tc>
          <w:tcPr>
            <w:tcW w:w="992" w:type="dxa"/>
            <w:tcBorders>
              <w:top w:val="single" w:sz="6" w:space="0" w:color="000000"/>
              <w:left w:val="single" w:sz="6" w:space="0" w:color="000000"/>
              <w:bottom w:val="single" w:sz="6" w:space="0" w:color="000000"/>
              <w:right w:val="single" w:sz="6" w:space="0" w:color="000000"/>
            </w:tcBorders>
            <w:shd w:val="clear" w:color="auto" w:fill="EFEFEF"/>
          </w:tcPr>
          <w:p w14:paraId="59B7874D" w14:textId="77777777" w:rsidR="008940B3" w:rsidRPr="00264743" w:rsidRDefault="008940B3" w:rsidP="00264743">
            <w:pPr>
              <w:jc w:val="center"/>
              <w:rPr>
                <w:color w:val="000000"/>
                <w:sz w:val="20"/>
              </w:rPr>
            </w:pPr>
            <w:r w:rsidRPr="00264743">
              <w:rPr>
                <w:color w:val="000000"/>
                <w:sz w:val="20"/>
              </w:rPr>
              <w:t>76</w:t>
            </w:r>
          </w:p>
        </w:tc>
      </w:tr>
    </w:tbl>
    <w:p w14:paraId="3AC01043" w14:textId="77777777" w:rsidR="008940B3"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2"/>
          <w:szCs w:val="22"/>
        </w:rPr>
      </w:pPr>
    </w:p>
    <w:p w14:paraId="753CA1BE" w14:textId="3B4747C0" w:rsidR="008940B3" w:rsidRPr="003B5C8D" w:rsidRDefault="008940B3" w:rsidP="00264743">
      <w:r w:rsidRPr="003B5C8D">
        <w:t xml:space="preserve">The </w:t>
      </w:r>
      <w:r>
        <w:t>monumentality feature that occur</w:t>
      </w:r>
      <w:r w:rsidRPr="003B5C8D">
        <w:t>s most in this region is the presence of excavated pit</w:t>
      </w:r>
      <w:r>
        <w:t>s</w:t>
      </w:r>
      <w:r w:rsidRPr="003B5C8D">
        <w:t xml:space="preserve"> within the chamber</w:t>
      </w:r>
      <w:r>
        <w:t>s</w:t>
      </w:r>
      <w:r w:rsidRPr="003B5C8D">
        <w:t xml:space="preserve">. The corbel-vaulted tomb </w:t>
      </w:r>
      <w:r>
        <w:t>at</w:t>
      </w:r>
      <w:r w:rsidRPr="003B5C8D">
        <w:t xml:space="preserve"> Achladia </w:t>
      </w:r>
      <w:r>
        <w:t>displays</w:t>
      </w:r>
      <w:r w:rsidRPr="003B5C8D">
        <w:t xml:space="preserve"> a high range of monumentality, both </w:t>
      </w:r>
      <w:r>
        <w:t>in</w:t>
      </w:r>
      <w:r w:rsidRPr="003B5C8D">
        <w:t xml:space="preserve"> its dimensions (long dromos and </w:t>
      </w:r>
      <w:r>
        <w:t>large</w:t>
      </w:r>
      <w:r w:rsidRPr="003B5C8D">
        <w:t xml:space="preserve"> chamber</w:t>
      </w:r>
      <w:r>
        <w:t>; it</w:t>
      </w:r>
      <w:r w:rsidRPr="003B5C8D">
        <w:t xml:space="preserve"> is also the only </w:t>
      </w:r>
      <w:r>
        <w:t xml:space="preserve">large </w:t>
      </w:r>
      <w:r w:rsidRPr="003B5C8D">
        <w:t>tomb in the region) and for the presence of a monumental stomion and pit (Tsipopoulou</w:t>
      </w:r>
      <w:r>
        <w:t xml:space="preserve"> and </w:t>
      </w:r>
      <w:r w:rsidRPr="003B5C8D">
        <w:t>Vagnetti 1995)</w:t>
      </w:r>
      <w:r>
        <w:t>.</w:t>
      </w:r>
    </w:p>
    <w:p w14:paraId="3215FA33" w14:textId="77777777" w:rsidR="008940B3" w:rsidRDefault="008940B3" w:rsidP="00E858EF">
      <w:pPr>
        <w:pStyle w:val="Titolo4"/>
        <w:keepNext w:val="0"/>
        <w:keepLines w:val="0"/>
        <w:suppressAutoHyphens/>
        <w:ind w:left="864" w:hanging="864"/>
        <w:contextualSpacing w:val="0"/>
      </w:pPr>
      <w:bookmarkStart w:id="443" w:name="_Toc389131218"/>
      <w:bookmarkStart w:id="444" w:name="_Toc517876554"/>
      <w:r w:rsidRPr="003B5C8D">
        <w:t>Tombs and larnakes</w:t>
      </w:r>
      <w:r>
        <w:t xml:space="preserve">: Is </w:t>
      </w:r>
      <w:r w:rsidRPr="0044312C">
        <w:t xml:space="preserve">there an increase </w:t>
      </w:r>
      <w:r>
        <w:t>in</w:t>
      </w:r>
      <w:r w:rsidRPr="0044312C">
        <w:t xml:space="preserve"> larn</w:t>
      </w:r>
      <w:r>
        <w:t>ax numbers according to tomb size</w:t>
      </w:r>
      <w:r w:rsidRPr="0044312C">
        <w:t>?</w:t>
      </w:r>
      <w:bookmarkEnd w:id="443"/>
      <w:bookmarkEnd w:id="444"/>
      <w:r w:rsidRPr="003B5C8D">
        <w:t xml:space="preserve"> </w:t>
      </w:r>
    </w:p>
    <w:p w14:paraId="102C39E4" w14:textId="77777777" w:rsidR="008940B3" w:rsidRPr="003B5C8D" w:rsidRDefault="008940B3" w:rsidP="00264743">
      <w:r>
        <w:t>The data in the table below reveal that the number of larnakes deposited in tombs is not linked to the size of the chamber.</w:t>
      </w:r>
    </w:p>
    <w:p w14:paraId="0BB59E9F"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5192F57B" w14:textId="1F1D5E47" w:rsidR="008940B3" w:rsidRPr="003B5C8D" w:rsidRDefault="008940B3" w:rsidP="00E858EF">
      <w:pPr>
        <w:pStyle w:val="Testofumetto"/>
        <w:suppressAutoHyphens/>
      </w:pPr>
      <w:bookmarkStart w:id="445" w:name="_Toc520212566"/>
      <w:r>
        <w:t>Table 3-78. Larnax number in relation to tomb size</w:t>
      </w:r>
      <w:r w:rsidR="00431A8D">
        <w:t>,</w:t>
      </w:r>
      <w:r>
        <w:t xml:space="preserve"> Far-East area</w:t>
      </w:r>
      <w:bookmarkEnd w:id="445"/>
    </w:p>
    <w:tbl>
      <w:tblPr>
        <w:tblW w:w="0" w:type="auto"/>
        <w:tblInd w:w="75" w:type="dxa"/>
        <w:tblCellMar>
          <w:left w:w="0" w:type="dxa"/>
          <w:right w:w="0" w:type="dxa"/>
        </w:tblCellMar>
        <w:tblLook w:val="04A0" w:firstRow="1" w:lastRow="0" w:firstColumn="1" w:lastColumn="0" w:noHBand="0" w:noVBand="1"/>
      </w:tblPr>
      <w:tblGrid>
        <w:gridCol w:w="2343"/>
        <w:gridCol w:w="1276"/>
        <w:gridCol w:w="1418"/>
      </w:tblGrid>
      <w:tr w:rsidR="008940B3" w:rsidRPr="00264743" w14:paraId="2DF8133D" w14:textId="77777777" w:rsidTr="005E1471">
        <w:trPr>
          <w:trHeight w:val="40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DE0409C" w14:textId="77777777" w:rsidR="008940B3" w:rsidRPr="00264743" w:rsidRDefault="008940B3" w:rsidP="00E858EF">
            <w:pPr>
              <w:suppressAutoHyphens/>
              <w:jc w:val="center"/>
              <w:rPr>
                <w:sz w:val="20"/>
                <w:szCs w:val="16"/>
              </w:rPr>
            </w:pP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F1B5ABD" w14:textId="77777777" w:rsidR="008940B3" w:rsidRPr="00264743" w:rsidRDefault="008940B3" w:rsidP="00E858EF">
            <w:pPr>
              <w:suppressAutoHyphens/>
              <w:jc w:val="center"/>
              <w:rPr>
                <w:sz w:val="20"/>
                <w:szCs w:val="16"/>
              </w:rPr>
            </w:pPr>
            <w:r w:rsidRPr="00264743">
              <w:rPr>
                <w:sz w:val="20"/>
                <w:szCs w:val="16"/>
              </w:rPr>
              <w:t>Small</w:t>
            </w:r>
          </w:p>
        </w:tc>
        <w:tc>
          <w:tcPr>
            <w:tcW w:w="1418" w:type="dxa"/>
            <w:tcBorders>
              <w:top w:val="single" w:sz="6" w:space="0" w:color="000000"/>
              <w:left w:val="single" w:sz="6" w:space="0" w:color="000000"/>
              <w:bottom w:val="single" w:sz="6" w:space="0" w:color="000000"/>
              <w:right w:val="single" w:sz="6" w:space="0" w:color="000000"/>
            </w:tcBorders>
          </w:tcPr>
          <w:p w14:paraId="0774FC1A" w14:textId="77777777" w:rsidR="008940B3" w:rsidRPr="00264743" w:rsidRDefault="008940B3" w:rsidP="00E858EF">
            <w:pPr>
              <w:suppressAutoHyphens/>
              <w:jc w:val="center"/>
              <w:rPr>
                <w:sz w:val="20"/>
                <w:szCs w:val="16"/>
              </w:rPr>
            </w:pPr>
            <w:r w:rsidRPr="00264743">
              <w:rPr>
                <w:sz w:val="20"/>
                <w:szCs w:val="16"/>
              </w:rPr>
              <w:t>Large</w:t>
            </w:r>
          </w:p>
        </w:tc>
      </w:tr>
      <w:tr w:rsidR="008940B3" w:rsidRPr="00264743" w14:paraId="15FEDC4A" w14:textId="77777777" w:rsidTr="005E1471">
        <w:trPr>
          <w:trHeight w:val="315"/>
        </w:trPr>
        <w:tc>
          <w:tcPr>
            <w:tcW w:w="2343"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2106E1EE" w14:textId="77777777" w:rsidR="008940B3" w:rsidRPr="00264743" w:rsidRDefault="008940B3" w:rsidP="00E858EF">
            <w:pPr>
              <w:suppressAutoHyphens/>
              <w:jc w:val="left"/>
              <w:rPr>
                <w:sz w:val="20"/>
                <w:szCs w:val="16"/>
              </w:rPr>
            </w:pPr>
            <w:r w:rsidRPr="00264743">
              <w:rPr>
                <w:color w:val="000000"/>
                <w:sz w:val="20"/>
                <w:szCs w:val="16"/>
              </w:rPr>
              <w:t>Chamber area in sq.m.</w:t>
            </w:r>
          </w:p>
        </w:tc>
        <w:tc>
          <w:tcPr>
            <w:tcW w:w="127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hideMark/>
          </w:tcPr>
          <w:p w14:paraId="201627FA" w14:textId="77777777" w:rsidR="008940B3" w:rsidRPr="00264743" w:rsidRDefault="008940B3" w:rsidP="00E858EF">
            <w:pPr>
              <w:suppressAutoHyphens/>
              <w:jc w:val="center"/>
              <w:rPr>
                <w:sz w:val="20"/>
                <w:szCs w:val="16"/>
              </w:rPr>
            </w:pPr>
            <w:r w:rsidRPr="00264743">
              <w:rPr>
                <w:sz w:val="20"/>
                <w:szCs w:val="16"/>
              </w:rPr>
              <w:t>0-6</w:t>
            </w:r>
          </w:p>
        </w:tc>
        <w:tc>
          <w:tcPr>
            <w:tcW w:w="1418" w:type="dxa"/>
            <w:tcBorders>
              <w:top w:val="single" w:sz="6" w:space="0" w:color="000000"/>
              <w:left w:val="single" w:sz="6" w:space="0" w:color="000000"/>
              <w:bottom w:val="single" w:sz="6" w:space="0" w:color="000000"/>
              <w:right w:val="single" w:sz="6" w:space="0" w:color="000000"/>
            </w:tcBorders>
            <w:shd w:val="clear" w:color="auto" w:fill="EFEFEF"/>
          </w:tcPr>
          <w:p w14:paraId="0D08645C" w14:textId="77777777" w:rsidR="008940B3" w:rsidRPr="00264743" w:rsidRDefault="008940B3" w:rsidP="00E858EF">
            <w:pPr>
              <w:suppressAutoHyphens/>
              <w:jc w:val="center"/>
              <w:rPr>
                <w:color w:val="000000"/>
                <w:sz w:val="20"/>
                <w:szCs w:val="16"/>
              </w:rPr>
            </w:pPr>
            <w:r w:rsidRPr="00264743">
              <w:rPr>
                <w:color w:val="000000"/>
                <w:sz w:val="20"/>
                <w:szCs w:val="16"/>
              </w:rPr>
              <w:t>13-18</w:t>
            </w:r>
          </w:p>
        </w:tc>
      </w:tr>
      <w:tr w:rsidR="008940B3" w:rsidRPr="00264743" w14:paraId="2AAC246E" w14:textId="77777777" w:rsidTr="005E1471">
        <w:trPr>
          <w:trHeight w:val="315"/>
        </w:trPr>
        <w:tc>
          <w:tcPr>
            <w:tcW w:w="2343"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6D55C591" w14:textId="77777777" w:rsidR="008940B3" w:rsidRPr="00264743" w:rsidRDefault="008940B3" w:rsidP="00E858EF">
            <w:pPr>
              <w:suppressAutoHyphens/>
              <w:jc w:val="left"/>
              <w:rPr>
                <w:sz w:val="20"/>
                <w:szCs w:val="16"/>
              </w:rPr>
            </w:pPr>
            <w:r w:rsidRPr="00264743">
              <w:rPr>
                <w:sz w:val="20"/>
                <w:szCs w:val="16"/>
              </w:rPr>
              <w:t>Range of larnax number</w:t>
            </w:r>
          </w:p>
        </w:tc>
        <w:tc>
          <w:tcPr>
            <w:tcW w:w="127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0E893ED8" w14:textId="77777777" w:rsidR="008940B3" w:rsidRPr="00264743" w:rsidRDefault="008940B3" w:rsidP="00E858EF">
            <w:pPr>
              <w:suppressAutoHyphens/>
              <w:jc w:val="center"/>
              <w:rPr>
                <w:sz w:val="20"/>
                <w:szCs w:val="16"/>
              </w:rPr>
            </w:pPr>
            <w:r w:rsidRPr="00264743">
              <w:rPr>
                <w:sz w:val="20"/>
                <w:szCs w:val="16"/>
              </w:rPr>
              <w:t>1-5</w:t>
            </w:r>
          </w:p>
        </w:tc>
        <w:tc>
          <w:tcPr>
            <w:tcW w:w="1418" w:type="dxa"/>
            <w:tcBorders>
              <w:top w:val="single" w:sz="6" w:space="0" w:color="000000"/>
              <w:left w:val="single" w:sz="6" w:space="0" w:color="000000"/>
              <w:bottom w:val="single" w:sz="6" w:space="0" w:color="000000"/>
              <w:right w:val="single" w:sz="6" w:space="0" w:color="000000"/>
            </w:tcBorders>
          </w:tcPr>
          <w:p w14:paraId="423C9EFD" w14:textId="77777777" w:rsidR="008940B3" w:rsidRPr="00264743" w:rsidRDefault="008940B3" w:rsidP="00E858EF">
            <w:pPr>
              <w:suppressAutoHyphens/>
              <w:jc w:val="center"/>
              <w:rPr>
                <w:sz w:val="20"/>
                <w:szCs w:val="16"/>
              </w:rPr>
            </w:pPr>
            <w:r w:rsidRPr="00264743">
              <w:rPr>
                <w:sz w:val="20"/>
                <w:szCs w:val="16"/>
              </w:rPr>
              <w:t>3</w:t>
            </w:r>
          </w:p>
        </w:tc>
      </w:tr>
    </w:tbl>
    <w:p w14:paraId="28FE659B"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28CB663" w14:textId="03174077" w:rsidR="008940B3" w:rsidRDefault="008940B3" w:rsidP="00264743">
      <w:r w:rsidRPr="00FC3788">
        <w:t xml:space="preserve">The mean space reserved </w:t>
      </w:r>
      <w:r>
        <w:t>for</w:t>
      </w:r>
      <w:r w:rsidRPr="00FC3788">
        <w:t xml:space="preserve"> a larnax in a tomb in the </w:t>
      </w:r>
      <w:r>
        <w:t>Far-East</w:t>
      </w:r>
      <w:r w:rsidRPr="00FC3788">
        <w:t xml:space="preserve"> region </w:t>
      </w:r>
      <w:r>
        <w:t>is approximately 2.5 sq.m.</w:t>
      </w:r>
      <w:r w:rsidRPr="00FC3788">
        <w:t xml:space="preserve"> (dat</w:t>
      </w:r>
      <w:r>
        <w:t>a calculated based on 18</w:t>
      </w:r>
      <w:r w:rsidRPr="00FC3788">
        <w:t xml:space="preserve"> tombs for which information about the chamber area is available)</w:t>
      </w:r>
      <w:r>
        <w:t>.</w:t>
      </w:r>
      <w:r w:rsidRPr="00FC3788">
        <w:t xml:space="preserve"> </w:t>
      </w:r>
      <w:r>
        <w:t>Regarding</w:t>
      </w:r>
      <w:r w:rsidRPr="00FC3788">
        <w:t xml:space="preserve"> the number of larnakes per </w:t>
      </w:r>
      <w:r>
        <w:t>tomb, the mean is approximately two</w:t>
      </w:r>
      <w:r w:rsidRPr="00FC3788">
        <w:t xml:space="preserve"> </w:t>
      </w:r>
      <w:r>
        <w:t>larnakes, with a maximum of eight</w:t>
      </w:r>
      <w:r w:rsidRPr="00FC3788">
        <w:t>.</w:t>
      </w:r>
    </w:p>
    <w:p w14:paraId="6607BC33" w14:textId="77777777" w:rsidR="00094268" w:rsidRPr="00FC3788" w:rsidRDefault="00094268"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598B0D65" w14:textId="44B699BE" w:rsidR="008940B3" w:rsidRPr="00282B67" w:rsidRDefault="008940B3" w:rsidP="00E858EF">
      <w:pPr>
        <w:pStyle w:val="Testofumetto"/>
        <w:suppressAutoHyphens/>
        <w:rPr>
          <w:highlight w:val="red"/>
        </w:rPr>
      </w:pPr>
      <w:bookmarkStart w:id="446" w:name="_Toc520212567"/>
      <w:r w:rsidRPr="00675C3E">
        <w:t>Table 3-</w:t>
      </w:r>
      <w:r>
        <w:t xml:space="preserve">79. </w:t>
      </w:r>
      <w:r w:rsidRPr="002B4A9F">
        <w:rPr>
          <w:rStyle w:val="TestofumettoCarattere"/>
          <w:b/>
        </w:rPr>
        <w:t>Space reserved to a larnax within a tomb</w:t>
      </w:r>
      <w:r w:rsidR="00431A8D">
        <w:rPr>
          <w:rStyle w:val="TestofumettoCarattere"/>
          <w:b/>
        </w:rPr>
        <w:t>,</w:t>
      </w:r>
      <w:r w:rsidRPr="002B4A9F">
        <w:rPr>
          <w:rStyle w:val="TestofumettoCarattere"/>
          <w:b/>
        </w:rPr>
        <w:t xml:space="preserve"> Far-East area</w:t>
      </w:r>
      <w:bookmarkEnd w:id="446"/>
    </w:p>
    <w:tbl>
      <w:tblPr>
        <w:tblW w:w="0" w:type="auto"/>
        <w:tblCellMar>
          <w:left w:w="0" w:type="dxa"/>
          <w:right w:w="0" w:type="dxa"/>
        </w:tblCellMar>
        <w:tblLook w:val="04A0" w:firstRow="1" w:lastRow="0" w:firstColumn="1" w:lastColumn="0" w:noHBand="0" w:noVBand="1"/>
      </w:tblPr>
      <w:tblGrid>
        <w:gridCol w:w="1351"/>
        <w:gridCol w:w="3686"/>
      </w:tblGrid>
      <w:tr w:rsidR="008940B3" w:rsidRPr="00264743" w14:paraId="77CDB46B" w14:textId="77777777" w:rsidTr="00264743">
        <w:trPr>
          <w:trHeight w:val="410"/>
        </w:trPr>
        <w:tc>
          <w:tcPr>
            <w:tcW w:w="1351"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468DD11B" w14:textId="77777777" w:rsidR="008940B3" w:rsidRPr="00264743" w:rsidRDefault="008940B3" w:rsidP="00E858EF">
            <w:pPr>
              <w:suppressAutoHyphens/>
              <w:rPr>
                <w:sz w:val="20"/>
                <w:szCs w:val="16"/>
              </w:rPr>
            </w:pPr>
          </w:p>
        </w:tc>
        <w:tc>
          <w:tcPr>
            <w:tcW w:w="368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hideMark/>
          </w:tcPr>
          <w:p w14:paraId="499BC47C" w14:textId="324162C7" w:rsidR="008940B3" w:rsidRPr="00264743" w:rsidRDefault="008940B3" w:rsidP="00E858EF">
            <w:pPr>
              <w:suppressAutoHyphens/>
              <w:jc w:val="center"/>
              <w:rPr>
                <w:sz w:val="20"/>
                <w:szCs w:val="16"/>
              </w:rPr>
            </w:pPr>
            <w:r w:rsidRPr="00264743">
              <w:rPr>
                <w:sz w:val="20"/>
                <w:szCs w:val="16"/>
              </w:rPr>
              <w:t>Proportion of space per larnax in sq.m.</w:t>
            </w:r>
          </w:p>
        </w:tc>
      </w:tr>
      <w:tr w:rsidR="008940B3" w:rsidRPr="00264743" w14:paraId="3D4D117B" w14:textId="77777777" w:rsidTr="00264743">
        <w:trPr>
          <w:trHeight w:val="320"/>
        </w:trPr>
        <w:tc>
          <w:tcPr>
            <w:tcW w:w="1351"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298F51E0" w14:textId="77777777" w:rsidR="008940B3" w:rsidRPr="00264743" w:rsidRDefault="008940B3" w:rsidP="00E858EF">
            <w:pPr>
              <w:suppressAutoHyphens/>
              <w:rPr>
                <w:sz w:val="20"/>
                <w:szCs w:val="16"/>
              </w:rPr>
            </w:pPr>
            <w:r w:rsidRPr="00264743">
              <w:rPr>
                <w:sz w:val="20"/>
                <w:szCs w:val="16"/>
              </w:rPr>
              <w:t>Mean</w:t>
            </w:r>
          </w:p>
        </w:tc>
        <w:tc>
          <w:tcPr>
            <w:tcW w:w="3686" w:type="dxa"/>
            <w:tcBorders>
              <w:top w:val="single" w:sz="6" w:space="0" w:color="000000"/>
              <w:left w:val="single" w:sz="6" w:space="0" w:color="000000"/>
              <w:bottom w:val="single" w:sz="6" w:space="0" w:color="000000"/>
              <w:right w:val="single" w:sz="6" w:space="0" w:color="000000"/>
            </w:tcBorders>
            <w:shd w:val="clear" w:color="auto" w:fill="EFEFEF"/>
            <w:tcMar>
              <w:top w:w="0" w:type="dxa"/>
              <w:left w:w="75" w:type="dxa"/>
              <w:bottom w:w="0" w:type="dxa"/>
              <w:right w:w="75" w:type="dxa"/>
            </w:tcMar>
            <w:vAlign w:val="center"/>
            <w:hideMark/>
          </w:tcPr>
          <w:p w14:paraId="7A44D284" w14:textId="77777777" w:rsidR="008940B3" w:rsidRPr="00264743" w:rsidRDefault="008940B3" w:rsidP="00264743">
            <w:pPr>
              <w:suppressAutoHyphens/>
              <w:jc w:val="left"/>
              <w:rPr>
                <w:sz w:val="20"/>
                <w:szCs w:val="16"/>
              </w:rPr>
            </w:pPr>
            <w:r w:rsidRPr="00264743">
              <w:rPr>
                <w:sz w:val="20"/>
                <w:szCs w:val="16"/>
              </w:rPr>
              <w:t>2.6</w:t>
            </w:r>
          </w:p>
        </w:tc>
      </w:tr>
      <w:tr w:rsidR="008940B3" w:rsidRPr="00264743" w14:paraId="54B3D856" w14:textId="77777777" w:rsidTr="00264743">
        <w:trPr>
          <w:trHeight w:val="320"/>
        </w:trPr>
        <w:tc>
          <w:tcPr>
            <w:tcW w:w="1351"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50A47B84" w14:textId="77777777" w:rsidR="008940B3" w:rsidRPr="00264743" w:rsidRDefault="008940B3" w:rsidP="00E858EF">
            <w:pPr>
              <w:suppressAutoHyphens/>
              <w:rPr>
                <w:sz w:val="20"/>
                <w:szCs w:val="16"/>
              </w:rPr>
            </w:pPr>
            <w:r w:rsidRPr="00264743">
              <w:rPr>
                <w:sz w:val="20"/>
                <w:szCs w:val="16"/>
              </w:rPr>
              <w:t>Max</w:t>
            </w:r>
          </w:p>
        </w:tc>
        <w:tc>
          <w:tcPr>
            <w:tcW w:w="368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51235D01" w14:textId="77777777" w:rsidR="008940B3" w:rsidRPr="00264743" w:rsidRDefault="008940B3" w:rsidP="00264743">
            <w:pPr>
              <w:suppressAutoHyphens/>
              <w:jc w:val="left"/>
              <w:rPr>
                <w:sz w:val="20"/>
                <w:szCs w:val="16"/>
              </w:rPr>
            </w:pPr>
            <w:r w:rsidRPr="00264743">
              <w:rPr>
                <w:sz w:val="20"/>
                <w:szCs w:val="16"/>
              </w:rPr>
              <w:t>5.8 (Mochlos Limenaria Tomb 7)</w:t>
            </w:r>
          </w:p>
        </w:tc>
      </w:tr>
      <w:tr w:rsidR="008940B3" w:rsidRPr="00264743" w14:paraId="52F41293" w14:textId="77777777" w:rsidTr="00264743">
        <w:trPr>
          <w:trHeight w:val="313"/>
        </w:trPr>
        <w:tc>
          <w:tcPr>
            <w:tcW w:w="1351"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127F4771" w14:textId="77777777" w:rsidR="008940B3" w:rsidRPr="00264743" w:rsidRDefault="008940B3" w:rsidP="00E858EF">
            <w:pPr>
              <w:suppressAutoHyphens/>
              <w:rPr>
                <w:sz w:val="20"/>
                <w:szCs w:val="16"/>
              </w:rPr>
            </w:pPr>
            <w:r w:rsidRPr="00264743">
              <w:rPr>
                <w:sz w:val="20"/>
                <w:szCs w:val="16"/>
              </w:rPr>
              <w:t>Min</w:t>
            </w:r>
          </w:p>
        </w:tc>
        <w:tc>
          <w:tcPr>
            <w:tcW w:w="3686"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vAlign w:val="center"/>
          </w:tcPr>
          <w:p w14:paraId="37E4789E" w14:textId="77777777" w:rsidR="008940B3" w:rsidRPr="00264743" w:rsidRDefault="008940B3" w:rsidP="00264743">
            <w:pPr>
              <w:suppressAutoHyphens/>
              <w:jc w:val="left"/>
              <w:rPr>
                <w:sz w:val="20"/>
                <w:szCs w:val="16"/>
              </w:rPr>
            </w:pPr>
            <w:r w:rsidRPr="00264743">
              <w:rPr>
                <w:sz w:val="20"/>
                <w:szCs w:val="16"/>
              </w:rPr>
              <w:t>0.6 (Pachyammos Kateri Koumos)</w:t>
            </w:r>
          </w:p>
        </w:tc>
      </w:tr>
    </w:tbl>
    <w:p w14:paraId="78796EAF" w14:textId="77777777" w:rsidR="008940B3" w:rsidRDefault="008940B3" w:rsidP="00E858EF">
      <w:pPr>
        <w:pStyle w:val="Testofumetto"/>
        <w:suppressAutoHyphens/>
      </w:pPr>
    </w:p>
    <w:p w14:paraId="6598353F" w14:textId="2C34E099" w:rsidR="008940B3" w:rsidRPr="00282B67" w:rsidRDefault="008940B3" w:rsidP="00E858EF">
      <w:pPr>
        <w:pStyle w:val="Testofumetto"/>
        <w:suppressAutoHyphens/>
        <w:rPr>
          <w:highlight w:val="red"/>
        </w:rPr>
      </w:pPr>
      <w:bookmarkStart w:id="447" w:name="_Toc520212568"/>
      <w:r w:rsidRPr="00675C3E">
        <w:t>Table 3-</w:t>
      </w:r>
      <w:r>
        <w:t>80. Number of larnakes per tomb</w:t>
      </w:r>
      <w:r w:rsidR="00431A8D">
        <w:t>,</w:t>
      </w:r>
      <w:r>
        <w:t xml:space="preserve"> Far-East area</w:t>
      </w:r>
      <w:bookmarkEnd w:id="447"/>
    </w:p>
    <w:tbl>
      <w:tblPr>
        <w:tblStyle w:val="Grigliatabella"/>
        <w:tblW w:w="0" w:type="auto"/>
        <w:tblLook w:val="04A0" w:firstRow="1" w:lastRow="0" w:firstColumn="1" w:lastColumn="0" w:noHBand="0" w:noVBand="1"/>
      </w:tblPr>
      <w:tblGrid>
        <w:gridCol w:w="1384"/>
        <w:gridCol w:w="3402"/>
      </w:tblGrid>
      <w:tr w:rsidR="008940B3" w:rsidRPr="00264743" w14:paraId="5D41814A" w14:textId="77777777" w:rsidTr="00094268">
        <w:trPr>
          <w:trHeight w:val="290"/>
        </w:trPr>
        <w:tc>
          <w:tcPr>
            <w:tcW w:w="1384" w:type="dxa"/>
          </w:tcPr>
          <w:p w14:paraId="1B3F8D87" w14:textId="77777777" w:rsidR="008940B3" w:rsidRPr="0026474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sz w:val="20"/>
                <w:szCs w:val="22"/>
              </w:rPr>
            </w:pPr>
          </w:p>
        </w:tc>
        <w:tc>
          <w:tcPr>
            <w:tcW w:w="3402" w:type="dxa"/>
          </w:tcPr>
          <w:p w14:paraId="70252D23" w14:textId="77777777" w:rsidR="008940B3" w:rsidRPr="0026474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16"/>
              </w:rPr>
            </w:pPr>
            <w:r w:rsidRPr="00264743">
              <w:rPr>
                <w:color w:val="000000"/>
                <w:sz w:val="20"/>
                <w:szCs w:val="16"/>
              </w:rPr>
              <w:t>Number of larnakes per tomb</w:t>
            </w:r>
          </w:p>
        </w:tc>
      </w:tr>
      <w:tr w:rsidR="008940B3" w:rsidRPr="00264743" w14:paraId="2C1597D9" w14:textId="77777777" w:rsidTr="00094268">
        <w:trPr>
          <w:trHeight w:val="290"/>
        </w:trPr>
        <w:tc>
          <w:tcPr>
            <w:tcW w:w="1384" w:type="dxa"/>
          </w:tcPr>
          <w:p w14:paraId="3509CB2D" w14:textId="77777777" w:rsidR="008940B3" w:rsidRPr="0026474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264743">
              <w:rPr>
                <w:color w:val="000000"/>
                <w:sz w:val="20"/>
                <w:szCs w:val="16"/>
              </w:rPr>
              <w:t>Mean</w:t>
            </w:r>
          </w:p>
        </w:tc>
        <w:tc>
          <w:tcPr>
            <w:tcW w:w="3402" w:type="dxa"/>
          </w:tcPr>
          <w:p w14:paraId="53C44846" w14:textId="77777777" w:rsidR="008940B3" w:rsidRPr="00264743" w:rsidRDefault="008940B3" w:rsidP="0026474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16"/>
              </w:rPr>
            </w:pPr>
            <w:r w:rsidRPr="00264743">
              <w:rPr>
                <w:color w:val="000000"/>
                <w:sz w:val="20"/>
                <w:szCs w:val="16"/>
              </w:rPr>
              <w:t>1.7</w:t>
            </w:r>
          </w:p>
        </w:tc>
      </w:tr>
      <w:tr w:rsidR="008940B3" w:rsidRPr="00264743" w14:paraId="59AC6274" w14:textId="77777777" w:rsidTr="00094268">
        <w:trPr>
          <w:trHeight w:val="303"/>
        </w:trPr>
        <w:tc>
          <w:tcPr>
            <w:tcW w:w="1384" w:type="dxa"/>
          </w:tcPr>
          <w:p w14:paraId="536F2152" w14:textId="77777777" w:rsidR="008940B3" w:rsidRPr="0026474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264743">
              <w:rPr>
                <w:color w:val="000000"/>
                <w:sz w:val="20"/>
                <w:szCs w:val="16"/>
              </w:rPr>
              <w:t>Max</w:t>
            </w:r>
          </w:p>
        </w:tc>
        <w:tc>
          <w:tcPr>
            <w:tcW w:w="3402" w:type="dxa"/>
          </w:tcPr>
          <w:p w14:paraId="695E172F" w14:textId="03990781" w:rsidR="008940B3" w:rsidRPr="00264743" w:rsidRDefault="008940B3" w:rsidP="0026474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16"/>
              </w:rPr>
            </w:pPr>
            <w:r w:rsidRPr="00264743">
              <w:rPr>
                <w:color w:val="000000"/>
                <w:sz w:val="20"/>
                <w:szCs w:val="16"/>
              </w:rPr>
              <w:t>8 (Palaikastro A</w:t>
            </w:r>
            <w:r w:rsidR="00F67E62">
              <w:rPr>
                <w:color w:val="000000"/>
                <w:sz w:val="20"/>
                <w:szCs w:val="16"/>
              </w:rPr>
              <w:t>spa</w:t>
            </w:r>
            <w:r w:rsidRPr="00264743">
              <w:rPr>
                <w:color w:val="000000"/>
                <w:sz w:val="20"/>
                <w:szCs w:val="16"/>
              </w:rPr>
              <w:t>)</w:t>
            </w:r>
          </w:p>
        </w:tc>
      </w:tr>
      <w:tr w:rsidR="008940B3" w:rsidRPr="00264743" w14:paraId="3EC3B8A5" w14:textId="77777777" w:rsidTr="00094268">
        <w:trPr>
          <w:trHeight w:val="303"/>
        </w:trPr>
        <w:tc>
          <w:tcPr>
            <w:tcW w:w="1384" w:type="dxa"/>
          </w:tcPr>
          <w:p w14:paraId="4549EA0F" w14:textId="77777777" w:rsidR="008940B3" w:rsidRPr="0026474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16"/>
              </w:rPr>
            </w:pPr>
            <w:r w:rsidRPr="00264743">
              <w:rPr>
                <w:color w:val="000000"/>
                <w:sz w:val="20"/>
                <w:szCs w:val="16"/>
              </w:rPr>
              <w:t>Min</w:t>
            </w:r>
          </w:p>
        </w:tc>
        <w:tc>
          <w:tcPr>
            <w:tcW w:w="3402" w:type="dxa"/>
          </w:tcPr>
          <w:p w14:paraId="3FA52D32" w14:textId="77777777" w:rsidR="008940B3" w:rsidRPr="00264743" w:rsidRDefault="008940B3" w:rsidP="0026474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16"/>
              </w:rPr>
            </w:pPr>
            <w:r w:rsidRPr="00264743">
              <w:rPr>
                <w:color w:val="000000"/>
                <w:sz w:val="20"/>
                <w:szCs w:val="16"/>
              </w:rPr>
              <w:t>1</w:t>
            </w:r>
          </w:p>
        </w:tc>
      </w:tr>
    </w:tbl>
    <w:p w14:paraId="758F77D7" w14:textId="77777777" w:rsidR="008940B3" w:rsidRPr="003B5C8D" w:rsidRDefault="008940B3"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2"/>
          <w:szCs w:val="22"/>
        </w:rPr>
      </w:pPr>
    </w:p>
    <w:p w14:paraId="1BF57482" w14:textId="68556DD8" w:rsidR="008940B3" w:rsidRPr="0096625C" w:rsidRDefault="003058D3" w:rsidP="00264743">
      <w:pPr>
        <w:rPr>
          <w:iCs/>
        </w:rPr>
      </w:pPr>
      <w:r>
        <w:t xml:space="preserve">At </w:t>
      </w:r>
      <w:r w:rsidR="008940B3">
        <w:t>Palaikastro Aspa eight larnakes</w:t>
      </w:r>
      <w:r w:rsidR="00431A8D">
        <w:t>,</w:t>
      </w:r>
      <w:r w:rsidR="007D1B44">
        <w:t xml:space="preserve"> each placed in a single pit, are </w:t>
      </w:r>
      <w:r w:rsidR="008940B3" w:rsidRPr="00AC48D6">
        <w:t>grouped</w:t>
      </w:r>
      <w:r w:rsidR="007D1B44">
        <w:t xml:space="preserve"> together</w:t>
      </w:r>
      <w:r w:rsidR="008940B3" w:rsidRPr="00AC48D6">
        <w:t xml:space="preserve"> (</w:t>
      </w:r>
      <w:r w:rsidR="008940B3">
        <w:t xml:space="preserve">Dawkins and </w:t>
      </w:r>
      <w:r w:rsidR="008940B3" w:rsidRPr="007C03ED">
        <w:rPr>
          <w:iCs/>
        </w:rPr>
        <w:t>Currelly</w:t>
      </w:r>
      <w:r w:rsidR="008940B3">
        <w:rPr>
          <w:iCs/>
        </w:rPr>
        <w:t xml:space="preserve"> </w:t>
      </w:r>
      <w:r w:rsidR="008940B3" w:rsidRPr="007C03ED">
        <w:rPr>
          <w:iCs/>
        </w:rPr>
        <w:t>1903-1904: 227)</w:t>
      </w:r>
      <w:r w:rsidR="008940B3">
        <w:rPr>
          <w:iCs/>
        </w:rPr>
        <w:t>.</w:t>
      </w:r>
    </w:p>
    <w:p w14:paraId="32836D61" w14:textId="77777777" w:rsidR="008940B3" w:rsidRPr="003B5C8D" w:rsidRDefault="008940B3" w:rsidP="00E858EF">
      <w:pPr>
        <w:pStyle w:val="Titolo4"/>
        <w:keepNext w:val="0"/>
        <w:keepLines w:val="0"/>
        <w:suppressAutoHyphens/>
        <w:ind w:left="864" w:hanging="864"/>
        <w:contextualSpacing w:val="0"/>
      </w:pPr>
      <w:bookmarkStart w:id="448" w:name="_Toc517876555"/>
      <w:bookmarkStart w:id="449" w:name="_Toc389131219"/>
      <w:r>
        <w:t xml:space="preserve">Tombs and larnakes: </w:t>
      </w:r>
      <w:r w:rsidRPr="006031A2">
        <w:t>Other deposition methods associated with larnakes within th</w:t>
      </w:r>
      <w:r>
        <w:t>e same tomb</w:t>
      </w:r>
      <w:bookmarkEnd w:id="448"/>
      <w:bookmarkEnd w:id="449"/>
      <w:r w:rsidRPr="003B5C8D">
        <w:t xml:space="preserve"> </w:t>
      </w:r>
    </w:p>
    <w:p w14:paraId="7707E705" w14:textId="77777777" w:rsidR="008940B3" w:rsidRPr="003B5C8D" w:rsidRDefault="008940B3" w:rsidP="00264743">
      <w:r w:rsidRPr="003B5C8D">
        <w:t xml:space="preserve">For the </w:t>
      </w:r>
      <w:r>
        <w:t>Far-East area, the most common inter</w:t>
      </w:r>
      <w:r w:rsidRPr="003B5C8D">
        <w:t xml:space="preserve">ment found in the same tomb </w:t>
      </w:r>
      <w:r>
        <w:t>as</w:t>
      </w:r>
      <w:r w:rsidRPr="003B5C8D">
        <w:t xml:space="preserve"> larnakes is deposition</w:t>
      </w:r>
      <w:r>
        <w:t>s</w:t>
      </w:r>
      <w:r w:rsidRPr="003B5C8D">
        <w:t xml:space="preserve"> on the floor. Only in one tomb (Pachyammos Alazzomouri </w:t>
      </w:r>
      <w:r>
        <w:t>T</w:t>
      </w:r>
      <w:r w:rsidRPr="003B5C8D">
        <w:t xml:space="preserve">omb 2) </w:t>
      </w:r>
      <w:r>
        <w:t>was</w:t>
      </w:r>
      <w:r w:rsidRPr="003B5C8D">
        <w:t xml:space="preserve"> a skeleton</w:t>
      </w:r>
      <w:r>
        <w:t xml:space="preserve"> found</w:t>
      </w:r>
      <w:r w:rsidRPr="003B5C8D">
        <w:t xml:space="preserve"> </w:t>
      </w:r>
      <w:r>
        <w:t>i</w:t>
      </w:r>
      <w:r w:rsidRPr="003B5C8D">
        <w:t xml:space="preserve">n a pit. </w:t>
      </w:r>
      <w:r>
        <w:t>Regarding</w:t>
      </w:r>
      <w:r w:rsidRPr="003B5C8D">
        <w:t xml:space="preserve"> the small dimension</w:t>
      </w:r>
      <w:r>
        <w:t>s</w:t>
      </w:r>
      <w:r w:rsidRPr="003B5C8D">
        <w:t xml:space="preserve"> of the chamber</w:t>
      </w:r>
      <w:r>
        <w:t>s,</w:t>
      </w:r>
      <w:r w:rsidRPr="003B5C8D">
        <w:t xml:space="preserve"> it is highly possible that these are all secondary burials. A peculiar secondary burial deposition </w:t>
      </w:r>
      <w:r>
        <w:t>was</w:t>
      </w:r>
      <w:r w:rsidRPr="003B5C8D">
        <w:t xml:space="preserve"> found at Mochlos </w:t>
      </w:r>
      <w:r>
        <w:t>T</w:t>
      </w:r>
      <w:r w:rsidRPr="003B5C8D">
        <w:t>omb 13</w:t>
      </w:r>
      <w:r>
        <w:t>,</w:t>
      </w:r>
      <w:r w:rsidRPr="003B5C8D">
        <w:t xml:space="preserve"> where a skeleton was moved in a pyxis to make room for the </w:t>
      </w:r>
      <w:r>
        <w:t xml:space="preserve">final </w:t>
      </w:r>
      <w:r w:rsidRPr="003B5C8D">
        <w:t xml:space="preserve">burials </w:t>
      </w:r>
      <w:r>
        <w:t>i</w:t>
      </w:r>
      <w:r w:rsidRPr="003B5C8D">
        <w:t xml:space="preserve">n the larnax (Soles </w:t>
      </w:r>
      <w:r>
        <w:t xml:space="preserve">et al. </w:t>
      </w:r>
      <w:r w:rsidRPr="003B5C8D">
        <w:t>2008: 153).</w:t>
      </w:r>
    </w:p>
    <w:p w14:paraId="0536A148" w14:textId="79D442E0" w:rsidR="008940B3" w:rsidRDefault="008940B3" w:rsidP="00264743">
      <w:r>
        <w:tab/>
      </w:r>
      <w:r w:rsidRPr="003B5C8D">
        <w:t>In three tombs</w:t>
      </w:r>
      <w:r>
        <w:t>,</w:t>
      </w:r>
      <w:r w:rsidRPr="003B5C8D">
        <w:t xml:space="preserve"> </w:t>
      </w:r>
      <w:r>
        <w:t>in addition to</w:t>
      </w:r>
      <w:r w:rsidRPr="003B5C8D">
        <w:t xml:space="preserve"> larnakes</w:t>
      </w:r>
      <w:r>
        <w:t>,</w:t>
      </w:r>
      <w:r w:rsidRPr="003B5C8D">
        <w:t xml:space="preserve"> </w:t>
      </w:r>
      <w:r>
        <w:t>there are</w:t>
      </w:r>
      <w:r w:rsidRPr="003B5C8D">
        <w:t xml:space="preserve"> pyxi</w:t>
      </w:r>
      <w:r>
        <w:t>des</w:t>
      </w:r>
      <w:r w:rsidRPr="003B5C8D">
        <w:t xml:space="preserve"> with trace</w:t>
      </w:r>
      <w:r>
        <w:t>s</w:t>
      </w:r>
      <w:r w:rsidRPr="003B5C8D">
        <w:t xml:space="preserve"> of cremated bones (Berati Piskokephalo</w:t>
      </w:r>
      <w:r>
        <w:t>:</w:t>
      </w:r>
      <w:r w:rsidRPr="003B5C8D">
        <w:t xml:space="preserve"> Platon 1952: 639-643; Pach</w:t>
      </w:r>
      <w:r>
        <w:t>yammos Alazzomouri Tomb 1: Boyd-H</w:t>
      </w:r>
      <w:r w:rsidRPr="003B5C8D">
        <w:t xml:space="preserve">awes 1908 </w:t>
      </w:r>
      <w:r>
        <w:t>46;</w:t>
      </w:r>
      <w:r w:rsidRPr="003B5C8D">
        <w:t xml:space="preserve"> Praissos Fotoula</w:t>
      </w:r>
      <w:r>
        <w:t>:</w:t>
      </w:r>
      <w:r w:rsidRPr="003B5C8D">
        <w:t xml:space="preserve"> Platon 1960: 303-307).</w:t>
      </w:r>
    </w:p>
    <w:p w14:paraId="5F1694CB" w14:textId="77777777" w:rsidR="00094268" w:rsidRPr="003B5C8D" w:rsidRDefault="00094268"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1BD60161"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45B2E26C" wp14:editId="3204000D">
            <wp:extent cx="4680000" cy="2520000"/>
            <wp:effectExtent l="0" t="0" r="6350" b="13970"/>
            <wp:docPr id="25" name="Gra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BFF9EE1" w14:textId="74CCE79B" w:rsidR="008940B3" w:rsidRDefault="008940B3" w:rsidP="00E858EF">
      <w:pPr>
        <w:pStyle w:val="Didascalia"/>
        <w:suppressAutoHyphens/>
      </w:pPr>
      <w:bookmarkStart w:id="450" w:name="_Toc520212332"/>
      <w:r>
        <w:t>Figure 3-49. Interment type per tomb</w:t>
      </w:r>
      <w:r w:rsidR="005E1C18">
        <w:t>,</w:t>
      </w:r>
      <w:r>
        <w:t xml:space="preserve"> Far-East area</w:t>
      </w:r>
      <w:bookmarkEnd w:id="450"/>
    </w:p>
    <w:p w14:paraId="187F2A3B"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6183E316" w14:textId="73DE0C1B" w:rsidR="008940B3" w:rsidRPr="003B5C8D" w:rsidRDefault="008940B3" w:rsidP="00E858EF">
      <w:pPr>
        <w:pStyle w:val="Testofumetto"/>
        <w:suppressAutoHyphens/>
      </w:pPr>
      <w:bookmarkStart w:id="451" w:name="_Toc520212569"/>
      <w:r>
        <w:t>Table 3-81. Interment types occurrence</w:t>
      </w:r>
      <w:r w:rsidR="005E1C18">
        <w:t>,</w:t>
      </w:r>
      <w:r>
        <w:t xml:space="preserve"> Far-East area</w:t>
      </w:r>
      <w:bookmarkEnd w:id="451"/>
    </w:p>
    <w:tbl>
      <w:tblPr>
        <w:tblW w:w="0" w:type="auto"/>
        <w:tblInd w:w="10" w:type="dxa"/>
        <w:tblCellMar>
          <w:left w:w="70" w:type="dxa"/>
          <w:right w:w="70" w:type="dxa"/>
        </w:tblCellMar>
        <w:tblLook w:val="04A0" w:firstRow="1" w:lastRow="0" w:firstColumn="1" w:lastColumn="0" w:noHBand="0" w:noVBand="1"/>
      </w:tblPr>
      <w:tblGrid>
        <w:gridCol w:w="1120"/>
        <w:gridCol w:w="1241"/>
        <w:gridCol w:w="869"/>
        <w:gridCol w:w="545"/>
        <w:gridCol w:w="751"/>
        <w:gridCol w:w="911"/>
        <w:gridCol w:w="771"/>
        <w:gridCol w:w="1130"/>
        <w:gridCol w:w="731"/>
        <w:gridCol w:w="559"/>
      </w:tblGrid>
      <w:tr w:rsidR="008940B3" w:rsidRPr="00E31325" w14:paraId="532031F0" w14:textId="77777777" w:rsidTr="008940B3">
        <w:trPr>
          <w:trHeight w:val="440"/>
        </w:trPr>
        <w:tc>
          <w:tcPr>
            <w:tcW w:w="1307" w:type="dxa"/>
            <w:tcBorders>
              <w:top w:val="single" w:sz="6" w:space="0" w:color="000000"/>
              <w:left w:val="single" w:sz="6" w:space="0" w:color="000000"/>
              <w:bottom w:val="single" w:sz="6" w:space="0" w:color="000000"/>
              <w:right w:val="single" w:sz="6" w:space="0" w:color="000000"/>
            </w:tcBorders>
            <w:hideMark/>
          </w:tcPr>
          <w:p w14:paraId="1BABB20A" w14:textId="77777777" w:rsidR="008940B3" w:rsidRPr="00E31325" w:rsidRDefault="008940B3" w:rsidP="00E858EF">
            <w:pPr>
              <w:suppressAutoHyphens/>
              <w:rPr>
                <w:sz w:val="18"/>
                <w:szCs w:val="16"/>
              </w:rPr>
            </w:pPr>
          </w:p>
        </w:tc>
        <w:tc>
          <w:tcPr>
            <w:tcW w:w="1122" w:type="dxa"/>
            <w:tcBorders>
              <w:top w:val="single" w:sz="6" w:space="0" w:color="000000"/>
              <w:left w:val="single" w:sz="6" w:space="0" w:color="000000"/>
              <w:bottom w:val="single" w:sz="6" w:space="0" w:color="000000"/>
              <w:right w:val="single" w:sz="6" w:space="0" w:color="000000"/>
            </w:tcBorders>
            <w:hideMark/>
          </w:tcPr>
          <w:p w14:paraId="24D9E474" w14:textId="77777777" w:rsidR="008940B3" w:rsidRPr="00E31325" w:rsidRDefault="008940B3" w:rsidP="00E858EF">
            <w:pPr>
              <w:suppressAutoHyphens/>
              <w:jc w:val="center"/>
              <w:rPr>
                <w:sz w:val="18"/>
                <w:szCs w:val="16"/>
              </w:rPr>
            </w:pPr>
            <w:r w:rsidRPr="00E31325">
              <w:rPr>
                <w:color w:val="000000"/>
                <w:sz w:val="18"/>
                <w:szCs w:val="16"/>
              </w:rPr>
              <w:t>WOODEN BIER/COFFIN</w:t>
            </w:r>
          </w:p>
        </w:tc>
        <w:tc>
          <w:tcPr>
            <w:tcW w:w="1035" w:type="dxa"/>
            <w:tcBorders>
              <w:top w:val="single" w:sz="6" w:space="0" w:color="000000"/>
              <w:left w:val="single" w:sz="6" w:space="0" w:color="000000"/>
              <w:bottom w:val="single" w:sz="6" w:space="0" w:color="000000"/>
              <w:right w:val="single" w:sz="6" w:space="0" w:color="000000"/>
            </w:tcBorders>
            <w:hideMark/>
          </w:tcPr>
          <w:p w14:paraId="561E002B" w14:textId="77777777" w:rsidR="008940B3" w:rsidRPr="00E31325" w:rsidRDefault="008940B3" w:rsidP="00E858EF">
            <w:pPr>
              <w:suppressAutoHyphens/>
              <w:jc w:val="center"/>
              <w:rPr>
                <w:sz w:val="18"/>
                <w:szCs w:val="16"/>
              </w:rPr>
            </w:pPr>
            <w:r w:rsidRPr="00E31325">
              <w:rPr>
                <w:color w:val="000000"/>
                <w:sz w:val="18"/>
                <w:szCs w:val="16"/>
              </w:rPr>
              <w:t>FLOOR</w:t>
            </w:r>
          </w:p>
        </w:tc>
        <w:tc>
          <w:tcPr>
            <w:tcW w:w="708" w:type="dxa"/>
            <w:tcBorders>
              <w:top w:val="single" w:sz="6" w:space="0" w:color="000000"/>
              <w:left w:val="single" w:sz="6" w:space="0" w:color="000000"/>
              <w:bottom w:val="single" w:sz="6" w:space="0" w:color="000000"/>
              <w:right w:val="single" w:sz="6" w:space="0" w:color="000000"/>
            </w:tcBorders>
          </w:tcPr>
          <w:p w14:paraId="57F95D24" w14:textId="2ABD2AFE" w:rsidR="008940B3" w:rsidRPr="00E31325" w:rsidRDefault="008940B3" w:rsidP="00E858EF">
            <w:pPr>
              <w:suppressAutoHyphens/>
              <w:jc w:val="center"/>
              <w:rPr>
                <w:color w:val="000000"/>
                <w:sz w:val="18"/>
                <w:szCs w:val="16"/>
              </w:rPr>
            </w:pPr>
            <w:r w:rsidRPr="00E31325">
              <w:rPr>
                <w:color w:val="000000"/>
                <w:sz w:val="18"/>
                <w:szCs w:val="16"/>
              </w:rPr>
              <w:t>PIT</w:t>
            </w:r>
          </w:p>
        </w:tc>
        <w:tc>
          <w:tcPr>
            <w:tcW w:w="709" w:type="dxa"/>
            <w:tcBorders>
              <w:top w:val="single" w:sz="6" w:space="0" w:color="000000"/>
              <w:left w:val="single" w:sz="6" w:space="0" w:color="000000"/>
              <w:bottom w:val="single" w:sz="6" w:space="0" w:color="000000"/>
              <w:right w:val="single" w:sz="6" w:space="0" w:color="000000"/>
            </w:tcBorders>
          </w:tcPr>
          <w:p w14:paraId="14772105" w14:textId="77777777" w:rsidR="008940B3" w:rsidRPr="00E31325" w:rsidRDefault="008940B3" w:rsidP="00E858EF">
            <w:pPr>
              <w:suppressAutoHyphens/>
              <w:jc w:val="center"/>
              <w:rPr>
                <w:color w:val="000000"/>
                <w:sz w:val="18"/>
                <w:szCs w:val="16"/>
              </w:rPr>
            </w:pPr>
            <w:r w:rsidRPr="00E31325">
              <w:rPr>
                <w:color w:val="000000"/>
                <w:sz w:val="18"/>
                <w:szCs w:val="16"/>
              </w:rPr>
              <w:t>BENCH</w:t>
            </w:r>
          </w:p>
        </w:tc>
        <w:tc>
          <w:tcPr>
            <w:tcW w:w="906" w:type="dxa"/>
            <w:tcBorders>
              <w:top w:val="single" w:sz="6" w:space="0" w:color="000000"/>
              <w:left w:val="single" w:sz="6" w:space="0" w:color="000000"/>
              <w:bottom w:val="single" w:sz="6" w:space="0" w:color="000000"/>
              <w:right w:val="single" w:sz="6" w:space="0" w:color="000000"/>
            </w:tcBorders>
          </w:tcPr>
          <w:p w14:paraId="393A88B8" w14:textId="77777777" w:rsidR="008940B3" w:rsidRPr="00E31325" w:rsidRDefault="008940B3" w:rsidP="00E858EF">
            <w:pPr>
              <w:suppressAutoHyphens/>
              <w:jc w:val="center"/>
              <w:rPr>
                <w:color w:val="000000"/>
                <w:sz w:val="18"/>
                <w:szCs w:val="16"/>
              </w:rPr>
            </w:pPr>
            <w:r w:rsidRPr="00E31325">
              <w:rPr>
                <w:color w:val="000000"/>
                <w:sz w:val="18"/>
                <w:szCs w:val="16"/>
              </w:rPr>
              <w:t>DROMOS</w:t>
            </w:r>
          </w:p>
        </w:tc>
        <w:tc>
          <w:tcPr>
            <w:tcW w:w="696" w:type="dxa"/>
            <w:tcBorders>
              <w:top w:val="single" w:sz="6" w:space="0" w:color="000000"/>
              <w:left w:val="single" w:sz="6" w:space="0" w:color="000000"/>
              <w:bottom w:val="single" w:sz="6" w:space="0" w:color="000000"/>
              <w:right w:val="single" w:sz="6" w:space="0" w:color="000000"/>
            </w:tcBorders>
            <w:hideMark/>
          </w:tcPr>
          <w:p w14:paraId="159BD4C3" w14:textId="77777777" w:rsidR="008940B3" w:rsidRPr="00E31325" w:rsidRDefault="008940B3" w:rsidP="00E858EF">
            <w:pPr>
              <w:suppressAutoHyphens/>
              <w:jc w:val="center"/>
              <w:rPr>
                <w:sz w:val="18"/>
                <w:szCs w:val="16"/>
              </w:rPr>
            </w:pPr>
            <w:r w:rsidRPr="00E31325">
              <w:rPr>
                <w:color w:val="000000"/>
                <w:sz w:val="18"/>
                <w:szCs w:val="16"/>
              </w:rPr>
              <w:t>PITHOS</w:t>
            </w:r>
          </w:p>
        </w:tc>
        <w:tc>
          <w:tcPr>
            <w:tcW w:w="978" w:type="dxa"/>
            <w:tcBorders>
              <w:top w:val="single" w:sz="6" w:space="0" w:color="000000"/>
              <w:left w:val="single" w:sz="6" w:space="0" w:color="000000"/>
              <w:bottom w:val="single" w:sz="6" w:space="0" w:color="000000"/>
              <w:right w:val="single" w:sz="6" w:space="0" w:color="000000"/>
            </w:tcBorders>
          </w:tcPr>
          <w:p w14:paraId="163DEF1F" w14:textId="77777777" w:rsidR="008940B3" w:rsidRPr="00E31325" w:rsidRDefault="008940B3" w:rsidP="00E858EF">
            <w:pPr>
              <w:suppressAutoHyphens/>
              <w:jc w:val="center"/>
              <w:rPr>
                <w:color w:val="000000"/>
                <w:sz w:val="18"/>
                <w:szCs w:val="16"/>
              </w:rPr>
            </w:pPr>
            <w:r w:rsidRPr="00E31325">
              <w:rPr>
                <w:color w:val="000000"/>
                <w:sz w:val="18"/>
                <w:szCs w:val="16"/>
              </w:rPr>
              <w:t>VASE WITH CREMATED BONES</w:t>
            </w:r>
          </w:p>
        </w:tc>
        <w:tc>
          <w:tcPr>
            <w:tcW w:w="696" w:type="dxa"/>
            <w:tcBorders>
              <w:top w:val="single" w:sz="6" w:space="0" w:color="000000"/>
              <w:left w:val="single" w:sz="6" w:space="0" w:color="000000"/>
              <w:bottom w:val="single" w:sz="6" w:space="0" w:color="000000"/>
              <w:right w:val="single" w:sz="6" w:space="0" w:color="000000"/>
            </w:tcBorders>
          </w:tcPr>
          <w:p w14:paraId="610B272A" w14:textId="77777777" w:rsidR="008940B3" w:rsidRPr="00E31325" w:rsidRDefault="008940B3" w:rsidP="00E858EF">
            <w:pPr>
              <w:suppressAutoHyphens/>
              <w:jc w:val="center"/>
              <w:rPr>
                <w:color w:val="000000"/>
                <w:sz w:val="18"/>
                <w:szCs w:val="16"/>
              </w:rPr>
            </w:pPr>
            <w:r w:rsidRPr="00E31325">
              <w:rPr>
                <w:color w:val="000000"/>
                <w:sz w:val="18"/>
                <w:szCs w:val="16"/>
              </w:rPr>
              <w:t>VASE WITH BONES</w:t>
            </w:r>
          </w:p>
        </w:tc>
        <w:tc>
          <w:tcPr>
            <w:tcW w:w="696" w:type="dxa"/>
            <w:tcBorders>
              <w:top w:val="single" w:sz="6" w:space="0" w:color="000000"/>
              <w:left w:val="single" w:sz="6" w:space="0" w:color="000000"/>
              <w:bottom w:val="single" w:sz="6" w:space="0" w:color="000000"/>
              <w:right w:val="single" w:sz="6" w:space="0" w:color="000000"/>
            </w:tcBorders>
          </w:tcPr>
          <w:p w14:paraId="03EA6B3A" w14:textId="77777777" w:rsidR="008940B3" w:rsidRPr="00E31325" w:rsidRDefault="008940B3" w:rsidP="00E858EF">
            <w:pPr>
              <w:suppressAutoHyphens/>
              <w:jc w:val="center"/>
              <w:rPr>
                <w:color w:val="000000"/>
                <w:sz w:val="18"/>
                <w:szCs w:val="16"/>
              </w:rPr>
            </w:pPr>
            <w:r w:rsidRPr="00E31325">
              <w:rPr>
                <w:color w:val="000000"/>
                <w:sz w:val="18"/>
                <w:szCs w:val="16"/>
              </w:rPr>
              <w:t>N.A</w:t>
            </w:r>
          </w:p>
        </w:tc>
      </w:tr>
      <w:tr w:rsidR="008940B3" w:rsidRPr="00E31325" w14:paraId="46AD78A2" w14:textId="77777777" w:rsidTr="008940B3">
        <w:tblPrEx>
          <w:tblCellMar>
            <w:left w:w="0" w:type="dxa"/>
            <w:right w:w="0" w:type="dxa"/>
          </w:tblCellMar>
        </w:tblPrEx>
        <w:trPr>
          <w:trHeight w:val="175"/>
        </w:trPr>
        <w:tc>
          <w:tcPr>
            <w:tcW w:w="130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528A1ED" w14:textId="18C3CDDC" w:rsidR="008940B3" w:rsidRPr="00E31325" w:rsidRDefault="008940B3" w:rsidP="00E31325">
            <w:pPr>
              <w:suppressAutoHyphens/>
              <w:spacing w:line="240" w:lineRule="auto"/>
              <w:jc w:val="left"/>
              <w:rPr>
                <w:sz w:val="20"/>
                <w:szCs w:val="16"/>
              </w:rPr>
            </w:pPr>
            <w:r w:rsidRPr="00E31325">
              <w:rPr>
                <w:color w:val="000000"/>
                <w:sz w:val="20"/>
                <w:szCs w:val="16"/>
              </w:rPr>
              <w:t xml:space="preserve">No. </w:t>
            </w:r>
            <w:r w:rsidR="00094268" w:rsidRPr="00E31325">
              <w:rPr>
                <w:color w:val="000000"/>
                <w:sz w:val="20"/>
                <w:szCs w:val="16"/>
              </w:rPr>
              <w:t>of tombs with other interments</w:t>
            </w:r>
          </w:p>
        </w:tc>
        <w:tc>
          <w:tcPr>
            <w:tcW w:w="112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2D8BD7D" w14:textId="36272359" w:rsidR="008940B3" w:rsidRPr="00E31325" w:rsidRDefault="008940B3" w:rsidP="00E31325">
            <w:pPr>
              <w:suppressAutoHyphens/>
              <w:spacing w:line="240" w:lineRule="auto"/>
              <w:jc w:val="center"/>
              <w:rPr>
                <w:sz w:val="20"/>
                <w:szCs w:val="16"/>
              </w:rPr>
            </w:pPr>
            <w:r w:rsidRPr="00E31325">
              <w:rPr>
                <w:sz w:val="20"/>
                <w:szCs w:val="16"/>
              </w:rPr>
              <w:t>-</w:t>
            </w:r>
          </w:p>
        </w:tc>
        <w:tc>
          <w:tcPr>
            <w:tcW w:w="103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FEA4DAF" w14:textId="77777777" w:rsidR="008940B3" w:rsidRPr="00E31325" w:rsidRDefault="008940B3" w:rsidP="00E858EF">
            <w:pPr>
              <w:suppressAutoHyphens/>
              <w:jc w:val="center"/>
              <w:rPr>
                <w:sz w:val="20"/>
                <w:szCs w:val="16"/>
              </w:rPr>
            </w:pPr>
            <w:r w:rsidRPr="00E31325">
              <w:rPr>
                <w:sz w:val="20"/>
                <w:szCs w:val="16"/>
              </w:rPr>
              <w:t>8</w:t>
            </w:r>
          </w:p>
        </w:tc>
        <w:tc>
          <w:tcPr>
            <w:tcW w:w="708" w:type="dxa"/>
            <w:tcBorders>
              <w:top w:val="single" w:sz="6" w:space="0" w:color="000000"/>
              <w:left w:val="single" w:sz="6" w:space="0" w:color="000000"/>
              <w:bottom w:val="single" w:sz="6" w:space="0" w:color="000000"/>
              <w:right w:val="single" w:sz="6" w:space="0" w:color="000000"/>
            </w:tcBorders>
          </w:tcPr>
          <w:p w14:paraId="3AB31448" w14:textId="77777777" w:rsidR="008940B3" w:rsidRPr="00E31325" w:rsidRDefault="008940B3" w:rsidP="00E858EF">
            <w:pPr>
              <w:suppressAutoHyphens/>
              <w:jc w:val="center"/>
              <w:rPr>
                <w:sz w:val="20"/>
                <w:szCs w:val="16"/>
              </w:rPr>
            </w:pPr>
            <w:r w:rsidRPr="00E31325">
              <w:rPr>
                <w:sz w:val="20"/>
                <w:szCs w:val="16"/>
              </w:rPr>
              <w:t>1</w:t>
            </w:r>
          </w:p>
        </w:tc>
        <w:tc>
          <w:tcPr>
            <w:tcW w:w="709" w:type="dxa"/>
            <w:tcBorders>
              <w:top w:val="single" w:sz="6" w:space="0" w:color="000000"/>
              <w:left w:val="single" w:sz="6" w:space="0" w:color="000000"/>
              <w:bottom w:val="single" w:sz="6" w:space="0" w:color="000000"/>
              <w:right w:val="single" w:sz="6" w:space="0" w:color="000000"/>
            </w:tcBorders>
          </w:tcPr>
          <w:p w14:paraId="031DE29B" w14:textId="1683D557" w:rsidR="008940B3" w:rsidRPr="00E31325" w:rsidRDefault="008940B3" w:rsidP="00E858EF">
            <w:pPr>
              <w:suppressAutoHyphens/>
              <w:jc w:val="center"/>
              <w:rPr>
                <w:sz w:val="20"/>
                <w:szCs w:val="16"/>
              </w:rPr>
            </w:pPr>
            <w:r w:rsidRPr="00E31325">
              <w:rPr>
                <w:sz w:val="20"/>
                <w:szCs w:val="16"/>
              </w:rPr>
              <w:t>-</w:t>
            </w:r>
          </w:p>
        </w:tc>
        <w:tc>
          <w:tcPr>
            <w:tcW w:w="906" w:type="dxa"/>
            <w:tcBorders>
              <w:top w:val="single" w:sz="6" w:space="0" w:color="000000"/>
              <w:left w:val="single" w:sz="6" w:space="0" w:color="000000"/>
              <w:bottom w:val="single" w:sz="6" w:space="0" w:color="000000"/>
              <w:right w:val="single" w:sz="6" w:space="0" w:color="000000"/>
            </w:tcBorders>
          </w:tcPr>
          <w:p w14:paraId="2C8AFC9F" w14:textId="5A9C336F" w:rsidR="008940B3" w:rsidRPr="00E31325" w:rsidRDefault="008940B3" w:rsidP="00E858EF">
            <w:pPr>
              <w:suppressAutoHyphens/>
              <w:jc w:val="center"/>
              <w:rPr>
                <w:sz w:val="20"/>
                <w:szCs w:val="16"/>
              </w:rPr>
            </w:pPr>
            <w:r w:rsidRPr="00E31325">
              <w:rPr>
                <w:sz w:val="20"/>
                <w:szCs w:val="16"/>
              </w:rPr>
              <w:t>-</w:t>
            </w:r>
          </w:p>
        </w:tc>
        <w:tc>
          <w:tcPr>
            <w:tcW w:w="69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B0A2EF6" w14:textId="356E1872" w:rsidR="008940B3" w:rsidRPr="00E31325" w:rsidRDefault="008940B3" w:rsidP="00E858EF">
            <w:pPr>
              <w:suppressAutoHyphens/>
              <w:jc w:val="center"/>
              <w:rPr>
                <w:sz w:val="20"/>
                <w:szCs w:val="16"/>
              </w:rPr>
            </w:pPr>
            <w:r w:rsidRPr="00E31325">
              <w:rPr>
                <w:sz w:val="20"/>
                <w:szCs w:val="16"/>
              </w:rPr>
              <w:t>-</w:t>
            </w:r>
          </w:p>
        </w:tc>
        <w:tc>
          <w:tcPr>
            <w:tcW w:w="978" w:type="dxa"/>
            <w:tcBorders>
              <w:top w:val="single" w:sz="6" w:space="0" w:color="000000"/>
              <w:left w:val="single" w:sz="6" w:space="0" w:color="000000"/>
              <w:bottom w:val="single" w:sz="6" w:space="0" w:color="000000"/>
              <w:right w:val="single" w:sz="6" w:space="0" w:color="000000"/>
            </w:tcBorders>
          </w:tcPr>
          <w:p w14:paraId="00B883FD" w14:textId="77777777" w:rsidR="008940B3" w:rsidRPr="00E31325" w:rsidRDefault="008940B3" w:rsidP="00E858EF">
            <w:pPr>
              <w:suppressAutoHyphens/>
              <w:jc w:val="center"/>
              <w:rPr>
                <w:sz w:val="20"/>
                <w:szCs w:val="16"/>
              </w:rPr>
            </w:pPr>
            <w:r w:rsidRPr="00E31325">
              <w:rPr>
                <w:sz w:val="20"/>
                <w:szCs w:val="16"/>
              </w:rPr>
              <w:t>3</w:t>
            </w:r>
          </w:p>
        </w:tc>
        <w:tc>
          <w:tcPr>
            <w:tcW w:w="696" w:type="dxa"/>
            <w:tcBorders>
              <w:top w:val="single" w:sz="6" w:space="0" w:color="000000"/>
              <w:left w:val="single" w:sz="6" w:space="0" w:color="000000"/>
              <w:bottom w:val="single" w:sz="6" w:space="0" w:color="000000"/>
              <w:right w:val="single" w:sz="6" w:space="0" w:color="000000"/>
            </w:tcBorders>
          </w:tcPr>
          <w:p w14:paraId="41AC34B0" w14:textId="77777777" w:rsidR="008940B3" w:rsidRPr="00E31325" w:rsidRDefault="008940B3" w:rsidP="00E858EF">
            <w:pPr>
              <w:suppressAutoHyphens/>
              <w:jc w:val="center"/>
              <w:rPr>
                <w:sz w:val="20"/>
                <w:szCs w:val="16"/>
              </w:rPr>
            </w:pPr>
            <w:r w:rsidRPr="00E31325">
              <w:rPr>
                <w:sz w:val="20"/>
                <w:szCs w:val="16"/>
              </w:rPr>
              <w:t>1</w:t>
            </w:r>
          </w:p>
        </w:tc>
        <w:tc>
          <w:tcPr>
            <w:tcW w:w="696" w:type="dxa"/>
            <w:tcBorders>
              <w:top w:val="single" w:sz="6" w:space="0" w:color="000000"/>
              <w:left w:val="single" w:sz="6" w:space="0" w:color="000000"/>
              <w:bottom w:val="single" w:sz="6" w:space="0" w:color="000000"/>
              <w:right w:val="single" w:sz="6" w:space="0" w:color="000000"/>
            </w:tcBorders>
          </w:tcPr>
          <w:p w14:paraId="066E0B20" w14:textId="77777777" w:rsidR="008940B3" w:rsidRPr="00E31325" w:rsidRDefault="008940B3" w:rsidP="00E858EF">
            <w:pPr>
              <w:suppressAutoHyphens/>
              <w:jc w:val="center"/>
              <w:rPr>
                <w:sz w:val="20"/>
                <w:szCs w:val="16"/>
              </w:rPr>
            </w:pPr>
            <w:r w:rsidRPr="00E31325">
              <w:rPr>
                <w:sz w:val="20"/>
                <w:szCs w:val="16"/>
              </w:rPr>
              <w:t>3</w:t>
            </w:r>
          </w:p>
        </w:tc>
      </w:tr>
    </w:tbl>
    <w:p w14:paraId="07F9A690" w14:textId="5BAC8F33"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0F778F46" w14:textId="77777777" w:rsidR="008940B3" w:rsidRPr="00961795" w:rsidRDefault="008940B3" w:rsidP="00E858EF">
      <w:pPr>
        <w:pStyle w:val="Titolo3"/>
        <w:keepNext w:val="0"/>
        <w:keepLines w:val="0"/>
        <w:suppressAutoHyphens/>
      </w:pPr>
      <w:bookmarkStart w:id="452" w:name="_Toc389131220"/>
      <w:bookmarkStart w:id="453" w:name="_Toc517876556"/>
      <w:bookmarkStart w:id="454" w:name="_Toc519894641"/>
      <w:r w:rsidRPr="00961795">
        <w:t>Clay larnakes in no</w:t>
      </w:r>
      <w:r>
        <w:t>n-</w:t>
      </w:r>
      <w:r w:rsidRPr="00961795">
        <w:t>burial context</w:t>
      </w:r>
      <w:bookmarkEnd w:id="452"/>
      <w:bookmarkEnd w:id="453"/>
      <w:bookmarkEnd w:id="454"/>
      <w:r w:rsidRPr="00961795">
        <w:t xml:space="preserve"> </w:t>
      </w:r>
    </w:p>
    <w:p w14:paraId="78C0234E" w14:textId="77777777" w:rsidR="008940B3" w:rsidRPr="00E31325"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E31325">
        <w:rPr>
          <w:color w:val="000000"/>
          <w:szCs w:val="22"/>
        </w:rPr>
        <w:t xml:space="preserve">Larnakes have been found in settlements at Palaikastro: </w:t>
      </w:r>
    </w:p>
    <w:p w14:paraId="7E174DFC" w14:textId="77777777" w:rsidR="008940B3" w:rsidRPr="00E31325" w:rsidRDefault="008940B3" w:rsidP="00E858EF">
      <w:pPr>
        <w:pStyle w:val="Paragrafoelenco"/>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E31325">
        <w:rPr>
          <w:color w:val="000000"/>
          <w:szCs w:val="22"/>
        </w:rPr>
        <w:t>A bathtub larnax in the porch of House γ (Dawkins 1902-1903: 290)</w:t>
      </w:r>
    </w:p>
    <w:p w14:paraId="5F17B70E" w14:textId="77777777" w:rsidR="008940B3" w:rsidRPr="00E31325" w:rsidRDefault="008940B3" w:rsidP="00E858EF">
      <w:pPr>
        <w:pStyle w:val="Paragrafoelenco"/>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Cs w:val="22"/>
        </w:rPr>
      </w:pPr>
      <w:r w:rsidRPr="00E31325">
        <w:rPr>
          <w:color w:val="000000"/>
          <w:szCs w:val="22"/>
        </w:rPr>
        <w:t>A bathtub larnax in House ε4 (Dawkins 1902-1903: 294)</w:t>
      </w:r>
    </w:p>
    <w:p w14:paraId="2BD66D54" w14:textId="3063DFFF" w:rsidR="008940B3" w:rsidRPr="00E31325" w:rsidRDefault="008940B3" w:rsidP="00E858EF">
      <w:pPr>
        <w:pStyle w:val="Paragrafoelenco"/>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rPr>
          <w:color w:val="000000"/>
          <w:szCs w:val="22"/>
        </w:rPr>
      </w:pPr>
      <w:r w:rsidRPr="00E31325">
        <w:rPr>
          <w:color w:val="000000"/>
          <w:szCs w:val="22"/>
        </w:rPr>
        <w:t xml:space="preserve">A bathtub in House Π18 (Dawkins 1903-1904: 213); Evans reported by mistake this larnax as from </w:t>
      </w:r>
      <w:r w:rsidR="0006359E">
        <w:rPr>
          <w:color w:val="000000"/>
          <w:szCs w:val="22"/>
        </w:rPr>
        <w:t>Zafer</w:t>
      </w:r>
      <w:r w:rsidRPr="00E31325">
        <w:rPr>
          <w:color w:val="000000"/>
          <w:szCs w:val="22"/>
        </w:rPr>
        <w:t xml:space="preserve"> Papoura (Evans PM  1935: 329, 272 a)</w:t>
      </w:r>
    </w:p>
    <w:p w14:paraId="5C2CEFCD" w14:textId="77777777" w:rsidR="008940B3" w:rsidRPr="00E31325" w:rsidRDefault="008940B3" w:rsidP="00E858EF">
      <w:pPr>
        <w:pStyle w:val="Paragrafoelenco"/>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rPr>
          <w:color w:val="000000"/>
          <w:szCs w:val="22"/>
        </w:rPr>
      </w:pPr>
      <w:r w:rsidRPr="00E31325">
        <w:rPr>
          <w:color w:val="000000"/>
          <w:szCs w:val="22"/>
        </w:rPr>
        <w:t>A lid recently found in a settlement context at Palaikastro</w:t>
      </w:r>
    </w:p>
    <w:p w14:paraId="42F885D5" w14:textId="77777777" w:rsidR="008940B3" w:rsidRPr="003B5C8D" w:rsidRDefault="008940B3" w:rsidP="00E858EF">
      <w:pPr>
        <w:pStyle w:val="Titolo3"/>
        <w:keepNext w:val="0"/>
        <w:keepLines w:val="0"/>
        <w:suppressAutoHyphens/>
        <w:rPr>
          <w:sz w:val="22"/>
          <w:szCs w:val="22"/>
        </w:rPr>
      </w:pPr>
      <w:bookmarkStart w:id="455" w:name="_Toc389131221"/>
      <w:bookmarkStart w:id="456" w:name="_Toc517876557"/>
      <w:bookmarkStart w:id="457" w:name="_Toc519894642"/>
      <w:r w:rsidRPr="00961795">
        <w:t>Chronological</w:t>
      </w:r>
      <w:r w:rsidRPr="003B5C8D">
        <w:rPr>
          <w:sz w:val="22"/>
          <w:szCs w:val="22"/>
        </w:rPr>
        <w:t xml:space="preserve"> </w:t>
      </w:r>
      <w:r w:rsidRPr="00675C3E">
        <w:rPr>
          <w:sz w:val="22"/>
          <w:szCs w:val="22"/>
        </w:rPr>
        <w:t>remarks</w:t>
      </w:r>
      <w:bookmarkEnd w:id="455"/>
      <w:bookmarkEnd w:id="456"/>
      <w:bookmarkEnd w:id="457"/>
      <w:r w:rsidRPr="003B5C8D">
        <w:rPr>
          <w:sz w:val="22"/>
          <w:szCs w:val="22"/>
        </w:rPr>
        <w:t xml:space="preserve"> </w:t>
      </w:r>
    </w:p>
    <w:p w14:paraId="5333079B" w14:textId="77777777" w:rsidR="008940B3" w:rsidRPr="003B5C8D" w:rsidRDefault="008940B3" w:rsidP="00E31325">
      <w:r>
        <w:t>Regarding</w:t>
      </w:r>
      <w:r w:rsidRPr="003B5C8D">
        <w:t xml:space="preserve"> </w:t>
      </w:r>
      <w:r w:rsidRPr="003B5C8D">
        <w:rPr>
          <w:b/>
        </w:rPr>
        <w:t>chronological distribution</w:t>
      </w:r>
      <w:r w:rsidRPr="003B5C8D">
        <w:t>, for 56% of tombs</w:t>
      </w:r>
      <w:r>
        <w:t>, it is possible to assign</w:t>
      </w:r>
      <w:r w:rsidRPr="003B5C8D">
        <w:t xml:space="preserve"> a relatively detailed chronology </w:t>
      </w:r>
      <w:r>
        <w:t>regarding</w:t>
      </w:r>
      <w:r w:rsidRPr="003B5C8D">
        <w:t xml:space="preserve"> their phase of use. Generally, the chronological distribution of larnax burial</w:t>
      </w:r>
      <w:r>
        <w:t>s</w:t>
      </w:r>
      <w:r w:rsidRPr="003B5C8D">
        <w:t xml:space="preserve"> in </w:t>
      </w:r>
      <w:r>
        <w:t>Far-East</w:t>
      </w:r>
      <w:r w:rsidRPr="003B5C8D">
        <w:t xml:space="preserve"> Crete </w:t>
      </w:r>
      <w:r>
        <w:t>reveals</w:t>
      </w:r>
      <w:r w:rsidRPr="003B5C8D">
        <w:t xml:space="preserve"> that larnax burials became more common during LM IIIA2-B. The peak of their use </w:t>
      </w:r>
      <w:r>
        <w:t>is in</w:t>
      </w:r>
      <w:r w:rsidRPr="003B5C8D">
        <w:t xml:space="preserve"> LM IIIB. For a quite high percentage of burials</w:t>
      </w:r>
      <w:r>
        <w:t>,</w:t>
      </w:r>
      <w:r w:rsidRPr="003B5C8D">
        <w:t xml:space="preserve"> a general LM IIIA-B phase is reported.</w:t>
      </w:r>
    </w:p>
    <w:p w14:paraId="67B7AD3B" w14:textId="77777777" w:rsidR="008940B3" w:rsidRPr="003B5C8D" w:rsidRDefault="008940B3" w:rsidP="00E31325">
      <w:r>
        <w:tab/>
        <w:t xml:space="preserve">The </w:t>
      </w:r>
      <w:r w:rsidRPr="003B5C8D">
        <w:t xml:space="preserve">LM IIIC phase </w:t>
      </w:r>
      <w:r>
        <w:t>is</w:t>
      </w:r>
      <w:r w:rsidRPr="003B5C8D">
        <w:t xml:space="preserve"> registered for four tombs, and it interesting to observe that</w:t>
      </w:r>
      <w:r>
        <w:t>,</w:t>
      </w:r>
      <w:r w:rsidRPr="003B5C8D">
        <w:t xml:space="preserve"> in two of them (Berati Piskokephalo and Praisos Fotoula)</w:t>
      </w:r>
      <w:r>
        <w:t>,</w:t>
      </w:r>
      <w:r w:rsidRPr="003B5C8D">
        <w:t xml:space="preserve"> </w:t>
      </w:r>
      <w:r>
        <w:t xml:space="preserve">larnax </w:t>
      </w:r>
      <w:r w:rsidRPr="003B5C8D">
        <w:t>deposition</w:t>
      </w:r>
      <w:r>
        <w:t>s</w:t>
      </w:r>
      <w:r w:rsidRPr="003B5C8D">
        <w:t xml:space="preserve"> </w:t>
      </w:r>
      <w:r>
        <w:t>are</w:t>
      </w:r>
      <w:r w:rsidRPr="003B5C8D">
        <w:t xml:space="preserve"> associated with the burial practice of cremation</w:t>
      </w:r>
      <w:r>
        <w:t>,</w:t>
      </w:r>
      <w:r w:rsidRPr="003B5C8D">
        <w:t xml:space="preserve"> which </w:t>
      </w:r>
      <w:r>
        <w:t xml:space="preserve">began </w:t>
      </w:r>
      <w:r w:rsidRPr="003B5C8D">
        <w:t xml:space="preserve">to be adopted in Crete </w:t>
      </w:r>
      <w:r>
        <w:t>during</w:t>
      </w:r>
      <w:r w:rsidRPr="003B5C8D">
        <w:t xml:space="preserve"> this phase and became more common in </w:t>
      </w:r>
      <w:r>
        <w:t>s</w:t>
      </w:r>
      <w:r w:rsidRPr="003B5C8D">
        <w:t>ub</w:t>
      </w:r>
      <w:r>
        <w:t>-Minoan</w:t>
      </w:r>
      <w:r w:rsidRPr="003B5C8D">
        <w:t xml:space="preserve"> burials (Perna 2011: 128)</w:t>
      </w:r>
      <w:r>
        <w:t>.</w:t>
      </w:r>
    </w:p>
    <w:p w14:paraId="0C7DAE2B" w14:textId="77777777" w:rsidR="008940B3" w:rsidRPr="003B5C8D"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4C8F5327"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r>
        <w:rPr>
          <w:noProof/>
          <w:lang w:val="it-IT"/>
        </w:rPr>
        <w:drawing>
          <wp:inline distT="0" distB="0" distL="0" distR="0" wp14:anchorId="2B53AC2E" wp14:editId="508D7BBD">
            <wp:extent cx="5324475" cy="2559050"/>
            <wp:effectExtent l="0" t="0" r="9525" b="12700"/>
            <wp:docPr id="65" name="Grafico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175ED77" w14:textId="2883701B" w:rsidR="008940B3" w:rsidRDefault="008940B3" w:rsidP="00E858EF">
      <w:pPr>
        <w:pStyle w:val="Didascalia"/>
        <w:suppressAutoHyphens/>
      </w:pPr>
      <w:bookmarkStart w:id="458" w:name="_Toc520212333"/>
      <w:r>
        <w:t xml:space="preserve">Figure 3-50. </w:t>
      </w:r>
      <w:r w:rsidRPr="0067277B">
        <w:t>Chronological distribu</w:t>
      </w:r>
      <w:r>
        <w:t>tion of tombs with larnakes</w:t>
      </w:r>
      <w:r w:rsidR="005E1C18">
        <w:t>,</w:t>
      </w:r>
      <w:r>
        <w:t xml:space="preserve"> Far-East</w:t>
      </w:r>
      <w:r w:rsidRPr="0067277B">
        <w:t xml:space="preserve"> area</w:t>
      </w:r>
      <w:bookmarkEnd w:id="458"/>
    </w:p>
    <w:p w14:paraId="1423B018" w14:textId="77777777" w:rsidR="008940B3" w:rsidRDefault="008940B3"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2"/>
          <w:szCs w:val="22"/>
        </w:rPr>
      </w:pPr>
    </w:p>
    <w:p w14:paraId="38275599" w14:textId="53886B4A" w:rsidR="008940B3" w:rsidRPr="00961795" w:rsidRDefault="008940B3" w:rsidP="00E858EF">
      <w:pPr>
        <w:pStyle w:val="Titolo3"/>
        <w:keepNext w:val="0"/>
        <w:keepLines w:val="0"/>
        <w:suppressAutoHyphens/>
      </w:pPr>
      <w:bookmarkStart w:id="459" w:name="_Toc517876558"/>
      <w:bookmarkStart w:id="460" w:name="_Toc389131222"/>
      <w:bookmarkStart w:id="461" w:name="_Toc517876559"/>
      <w:bookmarkStart w:id="462" w:name="_Toc519894643"/>
      <w:bookmarkEnd w:id="459"/>
      <w:r w:rsidRPr="00961795">
        <w:t>Conclusions</w:t>
      </w:r>
      <w:r w:rsidR="00E31325">
        <w:t>,</w:t>
      </w:r>
      <w:r w:rsidRPr="00961795">
        <w:t xml:space="preserve"> </w:t>
      </w:r>
      <w:r>
        <w:t>Far-East</w:t>
      </w:r>
      <w:r w:rsidRPr="00961795">
        <w:t xml:space="preserve"> area</w:t>
      </w:r>
      <w:bookmarkEnd w:id="460"/>
      <w:bookmarkEnd w:id="461"/>
      <w:bookmarkEnd w:id="462"/>
      <w:r w:rsidRPr="00961795">
        <w:t xml:space="preserve"> </w:t>
      </w:r>
    </w:p>
    <w:p w14:paraId="580B8FFE" w14:textId="77777777" w:rsidR="008940B3" w:rsidRPr="003B5C8D" w:rsidRDefault="008940B3" w:rsidP="005B5E84">
      <w:r w:rsidRPr="003B5C8D">
        <w:t>Summari</w:t>
      </w:r>
      <w:r>
        <w:t>s</w:t>
      </w:r>
      <w:r w:rsidRPr="003B5C8D">
        <w:t>ing all the results</w:t>
      </w:r>
      <w:r>
        <w:t>,</w:t>
      </w:r>
      <w:r w:rsidRPr="003B5C8D">
        <w:t xml:space="preserve"> larna</w:t>
      </w:r>
      <w:r>
        <w:t>x</w:t>
      </w:r>
      <w:r w:rsidRPr="003B5C8D">
        <w:t xml:space="preserve"> burials </w:t>
      </w:r>
      <w:r>
        <w:t>were a</w:t>
      </w:r>
      <w:r w:rsidRPr="003B5C8D">
        <w:t xml:space="preserve"> common</w:t>
      </w:r>
      <w:r>
        <w:t xml:space="preserve"> form of</w:t>
      </w:r>
      <w:r w:rsidRPr="003B5C8D">
        <w:t xml:space="preserve"> </w:t>
      </w:r>
      <w:r>
        <w:t>interment</w:t>
      </w:r>
      <w:r w:rsidRPr="003B5C8D">
        <w:t xml:space="preserve"> in LM III burials in</w:t>
      </w:r>
      <w:r>
        <w:t xml:space="preserve"> the</w:t>
      </w:r>
      <w:r w:rsidRPr="003B5C8D">
        <w:t xml:space="preserve"> </w:t>
      </w:r>
      <w:r>
        <w:t>Far-East</w:t>
      </w:r>
      <w:r w:rsidRPr="003B5C8D">
        <w:t xml:space="preserve"> region.</w:t>
      </w:r>
      <w:r>
        <w:t xml:space="preserve"> </w:t>
      </w:r>
      <w:r w:rsidRPr="003B5C8D">
        <w:t>Larnax burials have been found in new</w:t>
      </w:r>
      <w:r>
        <w:t>ly</w:t>
      </w:r>
      <w:r w:rsidRPr="003B5C8D">
        <w:t xml:space="preserve"> built LM III cemeter</w:t>
      </w:r>
      <w:r>
        <w:t>ies and are</w:t>
      </w:r>
      <w:r w:rsidRPr="003B5C8D">
        <w:t xml:space="preserve"> mainly associated with chamber tombs. However, in this region it is possible to observe the use of cave/rock</w:t>
      </w:r>
      <w:r>
        <w:t>-</w:t>
      </w:r>
      <w:r w:rsidRPr="003B5C8D">
        <w:t>shelter tombs</w:t>
      </w:r>
      <w:r>
        <w:t>,</w:t>
      </w:r>
      <w:r w:rsidRPr="003B5C8D">
        <w:t xml:space="preserve"> </w:t>
      </w:r>
      <w:r>
        <w:t xml:space="preserve">even if the number of tombs belonging to this typology is lower than in the Mid-East region, </w:t>
      </w:r>
      <w:r w:rsidRPr="003B5C8D">
        <w:t>and corbel</w:t>
      </w:r>
      <w:r>
        <w:t>-</w:t>
      </w:r>
      <w:r w:rsidRPr="003B5C8D">
        <w:t>vaulted tombs. Corbel</w:t>
      </w:r>
      <w:r>
        <w:t>-</w:t>
      </w:r>
      <w:r w:rsidRPr="003B5C8D">
        <w:t xml:space="preserve">vaulted tombs and tombs in general in this region are not very </w:t>
      </w:r>
      <w:r>
        <w:t>large</w:t>
      </w:r>
      <w:r w:rsidRPr="003B5C8D">
        <w:t xml:space="preserve"> or monumental, with the exception of the corbel-vaulted tomb </w:t>
      </w:r>
      <w:r>
        <w:t>at</w:t>
      </w:r>
      <w:r w:rsidRPr="003B5C8D">
        <w:t xml:space="preserve"> Achladia. </w:t>
      </w:r>
    </w:p>
    <w:p w14:paraId="4E9FF311" w14:textId="77777777" w:rsidR="008940B3" w:rsidRPr="003B5C8D" w:rsidRDefault="008940B3" w:rsidP="005B5E84">
      <w:r>
        <w:tab/>
      </w:r>
      <w:r w:rsidRPr="003B5C8D">
        <w:t xml:space="preserve">Pithos burials </w:t>
      </w:r>
      <w:r>
        <w:t>are</w:t>
      </w:r>
      <w:r w:rsidRPr="003B5C8D">
        <w:t xml:space="preserve"> the other common </w:t>
      </w:r>
      <w:r>
        <w:t>interment</w:t>
      </w:r>
      <w:r w:rsidRPr="003B5C8D">
        <w:t xml:space="preserve"> type in this area (Preston 2004), but they have</w:t>
      </w:r>
      <w:r>
        <w:t xml:space="preserve"> no</w:t>
      </w:r>
      <w:r w:rsidRPr="003B5C8D">
        <w:t>t been found in associati</w:t>
      </w:r>
      <w:r>
        <w:t xml:space="preserve">on with larnakes in the same tomb (Preston 2000: 231). </w:t>
      </w:r>
      <w:r w:rsidRPr="003B5C8D">
        <w:t>The introduction</w:t>
      </w:r>
      <w:r>
        <w:t xml:space="preserve"> of cremation</w:t>
      </w:r>
      <w:r w:rsidRPr="003B5C8D">
        <w:t xml:space="preserve">, </w:t>
      </w:r>
      <w:r>
        <w:t xml:space="preserve">a </w:t>
      </w:r>
      <w:r w:rsidRPr="003B5C8D">
        <w:t>new type of deposition method in this region</w:t>
      </w:r>
      <w:r>
        <w:t>,</w:t>
      </w:r>
      <w:r w:rsidRPr="003B5C8D">
        <w:t xml:space="preserve"> is particularly relevant because of </w:t>
      </w:r>
      <w:r>
        <w:t>its</w:t>
      </w:r>
      <w:r w:rsidRPr="003B5C8D">
        <w:t xml:space="preserve"> relative</w:t>
      </w:r>
      <w:r>
        <w:t>ly</w:t>
      </w:r>
      <w:r w:rsidRPr="003B5C8D">
        <w:t xml:space="preserve"> high </w:t>
      </w:r>
      <w:r>
        <w:t>occur</w:t>
      </w:r>
      <w:r w:rsidRPr="003B5C8D">
        <w:t>rence. The ashes from cremated burials were usually stored in a pyxis</w:t>
      </w:r>
      <w:r>
        <w:t>. However, this practice represents a new custom introduced in a later phase and, consequently, is interpreted as a variation that could be attributed to change of burial methods through time.</w:t>
      </w:r>
    </w:p>
    <w:p w14:paraId="693CAD50" w14:textId="77777777" w:rsidR="008940B3" w:rsidRDefault="008940B3" w:rsidP="005B5E84">
      <w:r>
        <w:tab/>
      </w:r>
      <w:r w:rsidRPr="003B5C8D">
        <w:t xml:space="preserve">The cemetery of Palaikastro </w:t>
      </w:r>
      <w:r>
        <w:t>displays</w:t>
      </w:r>
      <w:r w:rsidRPr="003B5C8D">
        <w:t xml:space="preserve"> a high </w:t>
      </w:r>
      <w:r>
        <w:t>occur</w:t>
      </w:r>
      <w:r w:rsidRPr="003B5C8D">
        <w:t xml:space="preserve">rence </w:t>
      </w:r>
      <w:r>
        <w:t>of</w:t>
      </w:r>
      <w:r w:rsidRPr="003B5C8D">
        <w:t xml:space="preserve"> larnax burials. </w:t>
      </w:r>
      <w:r>
        <w:t>The cemetery</w:t>
      </w:r>
      <w:r w:rsidRPr="003B5C8D">
        <w:t xml:space="preserve"> </w:t>
      </w:r>
      <w:r>
        <w:t>comprises</w:t>
      </w:r>
      <w:r w:rsidRPr="003B5C8D">
        <w:t xml:space="preserve"> several tombs of different types distributed in various burial locations around the settle</w:t>
      </w:r>
      <w:r>
        <w:t>me</w:t>
      </w:r>
      <w:r w:rsidRPr="003B5C8D">
        <w:t>nt.</w:t>
      </w:r>
    </w:p>
    <w:p w14:paraId="254A0094" w14:textId="72B4CCFD" w:rsidR="008940B3" w:rsidRPr="00675C3E" w:rsidRDefault="008940B3" w:rsidP="005B5E84">
      <w:pPr>
        <w:pStyle w:val="Titolo2"/>
      </w:pPr>
      <w:bookmarkStart w:id="463" w:name="_Toc517876560"/>
      <w:bookmarkStart w:id="464" w:name="_Toc517876561"/>
      <w:bookmarkStart w:id="465" w:name="_Toc519894644"/>
      <w:bookmarkEnd w:id="463"/>
      <w:r w:rsidRPr="00675C3E">
        <w:t>Conclusions</w:t>
      </w:r>
      <w:bookmarkEnd w:id="464"/>
      <w:bookmarkEnd w:id="465"/>
    </w:p>
    <w:p w14:paraId="2304FD7E" w14:textId="77777777" w:rsidR="008940B3" w:rsidRDefault="008940B3" w:rsidP="00E858EF">
      <w:pPr>
        <w:suppressAutoHyphens/>
      </w:pPr>
      <w:r>
        <w:t>From the analysis of larnax distribution, the following points emerge:</w:t>
      </w:r>
    </w:p>
    <w:p w14:paraId="117D8871" w14:textId="77777777" w:rsidR="008940B3" w:rsidRDefault="008940B3" w:rsidP="00E858EF">
      <w:pPr>
        <w:pStyle w:val="Paragrafoelenco"/>
        <w:numPr>
          <w:ilvl w:val="0"/>
          <w:numId w:val="28"/>
        </w:numPr>
        <w:suppressAutoHyphens/>
      </w:pPr>
      <w:r>
        <w:t>Larnakes were adopted in the vast majority of LM III burial locations, everywhere except for Far-West Crete.</w:t>
      </w:r>
    </w:p>
    <w:p w14:paraId="17E81D56" w14:textId="77777777" w:rsidR="008940B3" w:rsidRDefault="008940B3" w:rsidP="00E858EF">
      <w:pPr>
        <w:pStyle w:val="Paragrafoelenco"/>
        <w:numPr>
          <w:ilvl w:val="0"/>
          <w:numId w:val="28"/>
        </w:numPr>
        <w:suppressAutoHyphens/>
      </w:pPr>
      <w:r>
        <w:t>Regarding</w:t>
      </w:r>
      <w:r w:rsidRPr="00BE67F1">
        <w:t xml:space="preserve"> larnax distribution</w:t>
      </w:r>
      <w:r>
        <w:t>,</w:t>
      </w:r>
      <w:r w:rsidRPr="00BE67F1">
        <w:t xml:space="preserve"> </w:t>
      </w:r>
      <w:r>
        <w:t>and considering</w:t>
      </w:r>
      <w:r w:rsidRPr="00BE67F1">
        <w:t xml:space="preserve"> the number of tombs, </w:t>
      </w:r>
      <w:r>
        <w:t>these</w:t>
      </w:r>
      <w:r w:rsidRPr="00BE67F1">
        <w:t xml:space="preserve"> data </w:t>
      </w:r>
      <w:r>
        <w:t>vary, because not</w:t>
      </w:r>
      <w:r w:rsidRPr="00BE67F1">
        <w:t xml:space="preserve"> every region </w:t>
      </w:r>
      <w:r>
        <w:t xml:space="preserve">has a higher percentage of </w:t>
      </w:r>
      <w:r w:rsidRPr="00BE67F1">
        <w:t>tomb</w:t>
      </w:r>
      <w:r>
        <w:t>s</w:t>
      </w:r>
      <w:r w:rsidRPr="00BE67F1">
        <w:t xml:space="preserve"> with larnakes than tomb</w:t>
      </w:r>
      <w:r>
        <w:t>s</w:t>
      </w:r>
      <w:r w:rsidRPr="00BE67F1">
        <w:t xml:space="preserve"> without</w:t>
      </w:r>
      <w:r>
        <w:t xml:space="preserve"> :</w:t>
      </w:r>
    </w:p>
    <w:p w14:paraId="3EBA2E41" w14:textId="77777777" w:rsidR="008940B3" w:rsidRDefault="008940B3" w:rsidP="00E858EF">
      <w:pPr>
        <w:pStyle w:val="Paragrafoelenco"/>
        <w:suppressAutoHyphens/>
      </w:pPr>
    </w:p>
    <w:p w14:paraId="078D4E6E" w14:textId="77777777" w:rsidR="008940B3" w:rsidRDefault="008940B3" w:rsidP="00E858EF">
      <w:pPr>
        <w:pStyle w:val="Paragrafoelenco"/>
        <w:suppressAutoHyphens/>
        <w:ind w:hanging="720"/>
      </w:pPr>
      <w:r>
        <w:rPr>
          <w:noProof/>
          <w:lang w:val="it-IT"/>
        </w:rPr>
        <w:drawing>
          <wp:inline distT="0" distB="0" distL="0" distR="0" wp14:anchorId="7D051257" wp14:editId="4C770F35">
            <wp:extent cx="5060950" cy="2781300"/>
            <wp:effectExtent l="0" t="0" r="6350" b="0"/>
            <wp:docPr id="45" name="Gra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Pr="00BE67F1">
        <w:t xml:space="preserve"> </w:t>
      </w:r>
    </w:p>
    <w:p w14:paraId="53068B21" w14:textId="77777777" w:rsidR="008940B3" w:rsidRDefault="008940B3" w:rsidP="00E858EF">
      <w:pPr>
        <w:pStyle w:val="Didascalia"/>
        <w:suppressAutoHyphens/>
      </w:pPr>
      <w:bookmarkStart w:id="466" w:name="_Toc520212334"/>
      <w:r>
        <w:t>Figure 3-51. General comparison of tombs without larnakes and tombs with larnakes by region</w:t>
      </w:r>
      <w:bookmarkEnd w:id="466"/>
    </w:p>
    <w:p w14:paraId="3D146188" w14:textId="77777777" w:rsidR="008940B3" w:rsidRDefault="008940B3" w:rsidP="00E858EF">
      <w:pPr>
        <w:suppressAutoHyphens/>
      </w:pPr>
    </w:p>
    <w:p w14:paraId="51EE7180" w14:textId="77777777" w:rsidR="008940B3" w:rsidRDefault="008940B3" w:rsidP="00E858EF">
      <w:pPr>
        <w:pStyle w:val="Paragrafoelenco"/>
        <w:numPr>
          <w:ilvl w:val="0"/>
          <w:numId w:val="29"/>
        </w:numPr>
        <w:suppressAutoHyphens/>
      </w:pPr>
      <w:r>
        <w:t>Larnakes are generally associated with newly-built cemeteries, although in some regions the number of already existing cemeteries associated with larnakes is higher than in others (e.g. the Mesara region and the Knossos region).</w:t>
      </w:r>
    </w:p>
    <w:p w14:paraId="43852633" w14:textId="77777777" w:rsidR="008940B3" w:rsidRDefault="008940B3" w:rsidP="00E858EF">
      <w:pPr>
        <w:pStyle w:val="Paragrafoelenco"/>
        <w:numPr>
          <w:ilvl w:val="0"/>
          <w:numId w:val="29"/>
        </w:numPr>
        <w:suppressAutoHyphens/>
      </w:pPr>
      <w:r>
        <w:t>Usually, larnakes are associated with cemeteries of small or medium size, except for Armenoi and Knossos Zafer Papoura (large cemeteries in LM III are generally rare)</w:t>
      </w:r>
    </w:p>
    <w:p w14:paraId="66173F2D" w14:textId="77777777" w:rsidR="008940B3" w:rsidRDefault="008940B3" w:rsidP="005B5E84">
      <w:pPr>
        <w:pStyle w:val="Paragrafoelenco"/>
        <w:suppressAutoHyphens/>
        <w:ind w:left="0" w:firstLine="360"/>
      </w:pPr>
      <w:r>
        <w:t>From the analysis of tombs (i.e. types and architectural features) the following points emerge:</w:t>
      </w:r>
    </w:p>
    <w:p w14:paraId="24DF9A95" w14:textId="77777777" w:rsidR="008940B3" w:rsidRDefault="008940B3" w:rsidP="00E858EF">
      <w:pPr>
        <w:pStyle w:val="Paragrafoelenco"/>
        <w:numPr>
          <w:ilvl w:val="0"/>
          <w:numId w:val="30"/>
        </w:numPr>
        <w:suppressAutoHyphens/>
      </w:pPr>
      <w:r>
        <w:t>The most common tomb types with which larnakes are associated is the chamber tomb (a relatively standardised pattern). This tomb is the most common type found in association with larnakes across all regions, except for the Mid-East, where cave/rock-shelter tombs are more prevalent (due to the high concentration of cave/rock-shelters at Elounda).</w:t>
      </w:r>
    </w:p>
    <w:p w14:paraId="313A1BEC" w14:textId="77777777" w:rsidR="008940B3" w:rsidRDefault="008940B3" w:rsidP="00E858EF">
      <w:pPr>
        <w:pStyle w:val="Paragrafoelenco"/>
        <w:numPr>
          <w:ilvl w:val="0"/>
          <w:numId w:val="30"/>
        </w:numPr>
        <w:suppressAutoHyphens/>
      </w:pPr>
      <w:r>
        <w:t>It is possible to document greater homogeneity in the distribution of tomb types in the Mid-West and Central area as shown in Fig. 3.59</w:t>
      </w:r>
    </w:p>
    <w:p w14:paraId="1D4E05C0" w14:textId="77777777" w:rsidR="008940B3" w:rsidRDefault="008940B3" w:rsidP="00E858EF">
      <w:pPr>
        <w:pStyle w:val="Paragrafoelenco"/>
        <w:numPr>
          <w:ilvl w:val="0"/>
          <w:numId w:val="30"/>
        </w:numPr>
        <w:suppressAutoHyphens/>
      </w:pPr>
      <w:r>
        <w:t>A high variety of tomb typologies associated with larnakes is a pattern that clustered in some cemeteries (e.g. Agia Triada, Archanes, Palaikastro), but, generally, a higher variety of tomb types is registered in the Far-East area.</w:t>
      </w:r>
    </w:p>
    <w:p w14:paraId="553F687F" w14:textId="77777777" w:rsidR="008940B3" w:rsidRDefault="008940B3" w:rsidP="00E858EF">
      <w:pPr>
        <w:pStyle w:val="Paragrafoelenco"/>
        <w:suppressAutoHyphens/>
      </w:pPr>
    </w:p>
    <w:p w14:paraId="7C98B07E" w14:textId="77777777" w:rsidR="008940B3" w:rsidRDefault="008940B3" w:rsidP="00E858EF">
      <w:pPr>
        <w:suppressAutoHyphens/>
        <w:ind w:left="360" w:hanging="360"/>
      </w:pPr>
      <w:r w:rsidRPr="005C16F5">
        <w:rPr>
          <w:noProof/>
          <w:lang w:val="it-IT"/>
        </w:rPr>
        <w:drawing>
          <wp:inline distT="0" distB="0" distL="0" distR="0" wp14:anchorId="2727F358" wp14:editId="42AF384E">
            <wp:extent cx="5493716" cy="3889933"/>
            <wp:effectExtent l="0" t="0" r="0" b="0"/>
            <wp:docPr id="51" name="Immagine 48" descr="Macintosh HD:Users:angela:Desktop:maps for thesis draft + chapters with illustrations:3.distribuzione tipologie tomba_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ela:Desktop:maps for thesis draft + chapters with illustrations:3.distribuzione tipologie tomba_v4.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01872" cy="3895708"/>
                    </a:xfrm>
                    <a:prstGeom prst="rect">
                      <a:avLst/>
                    </a:prstGeom>
                    <a:noFill/>
                    <a:ln>
                      <a:noFill/>
                    </a:ln>
                  </pic:spPr>
                </pic:pic>
              </a:graphicData>
            </a:graphic>
          </wp:inline>
        </w:drawing>
      </w:r>
    </w:p>
    <w:p w14:paraId="08B7C23F" w14:textId="77777777" w:rsidR="008940B3" w:rsidRDefault="008940B3" w:rsidP="00E858EF">
      <w:pPr>
        <w:pStyle w:val="Didascalia"/>
        <w:suppressAutoHyphens/>
      </w:pPr>
      <w:bookmarkStart w:id="467" w:name="_Toc520212335"/>
      <w:r>
        <w:t>Figure 3-52. Tomb type distribution through Crete</w:t>
      </w:r>
      <w:bookmarkEnd w:id="467"/>
    </w:p>
    <w:p w14:paraId="0CA390BB" w14:textId="77777777" w:rsidR="008940B3" w:rsidRDefault="008940B3" w:rsidP="00E858EF">
      <w:pPr>
        <w:suppressAutoHyphens/>
        <w:ind w:left="360"/>
      </w:pPr>
    </w:p>
    <w:p w14:paraId="79F3FEFE" w14:textId="77777777" w:rsidR="008940B3" w:rsidRDefault="008940B3" w:rsidP="00E858EF">
      <w:pPr>
        <w:suppressAutoHyphens/>
        <w:ind w:left="360" w:hanging="360"/>
      </w:pPr>
      <w:r>
        <w:rPr>
          <w:noProof/>
          <w:lang w:val="it-IT"/>
        </w:rPr>
        <w:drawing>
          <wp:inline distT="0" distB="0" distL="0" distR="0" wp14:anchorId="570FF129" wp14:editId="19A39028">
            <wp:extent cx="5465199" cy="3869741"/>
            <wp:effectExtent l="0" t="0" r="2540" b="0"/>
            <wp:docPr id="59" name="Immagine 59" descr="Macintosh HD:Users:angela:Desktop:maps for thesis draft + chapters with illustrations:GENERAL CRETE MAPS:3.distribuzione tipologie tomba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gela:Desktop:maps for thesis draft + chapters with illustrations:GENERAL CRETE MAPS:3.distribuzione tipologie tomba_v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69162" cy="3872547"/>
                    </a:xfrm>
                    <a:prstGeom prst="rect">
                      <a:avLst/>
                    </a:prstGeom>
                    <a:noFill/>
                    <a:ln>
                      <a:noFill/>
                    </a:ln>
                  </pic:spPr>
                </pic:pic>
              </a:graphicData>
            </a:graphic>
          </wp:inline>
        </w:drawing>
      </w:r>
    </w:p>
    <w:p w14:paraId="208A44CB" w14:textId="1FA62BC4" w:rsidR="008940B3" w:rsidRDefault="008940B3" w:rsidP="00E858EF">
      <w:pPr>
        <w:pStyle w:val="Didascalia"/>
        <w:suppressAutoHyphens/>
      </w:pPr>
      <w:bookmarkStart w:id="468" w:name="_Toc520212336"/>
      <w:r>
        <w:t>Figure 3-53</w:t>
      </w:r>
      <w:r w:rsidR="00C35895">
        <w:t>.</w:t>
      </w:r>
      <w:r>
        <w:t xml:space="preserve"> Cemeteries that show occurrence of different types of tombs (Agia Triada; Archanes Phourni, Malia, Palaikastro).</w:t>
      </w:r>
      <w:bookmarkEnd w:id="468"/>
    </w:p>
    <w:p w14:paraId="4269C656" w14:textId="77777777" w:rsidR="008940B3" w:rsidRDefault="008940B3" w:rsidP="00E858EF">
      <w:pPr>
        <w:pStyle w:val="Paragrafoelenco"/>
        <w:numPr>
          <w:ilvl w:val="0"/>
          <w:numId w:val="30"/>
        </w:numPr>
        <w:suppressAutoHyphens/>
      </w:pPr>
      <w:r>
        <w:t>The adoption of some specific types of tomb is a regional pattern (e.g. reused tholoi in the Mesara, cave/rock-shelters in the Mid-East and Far-East areas).</w:t>
      </w:r>
    </w:p>
    <w:p w14:paraId="6EEAB62B" w14:textId="77777777" w:rsidR="008940B3" w:rsidRDefault="008940B3" w:rsidP="00E858EF">
      <w:pPr>
        <w:pStyle w:val="Paragrafoelenco"/>
        <w:numPr>
          <w:ilvl w:val="0"/>
          <w:numId w:val="30"/>
        </w:numPr>
        <w:suppressAutoHyphens/>
      </w:pPr>
      <w:r>
        <w:t>Larnakes are generally associated with tombs of small size and with no monumental features.</w:t>
      </w:r>
    </w:p>
    <w:p w14:paraId="3D5B8329" w14:textId="77777777" w:rsidR="008940B3" w:rsidRPr="008F39E7" w:rsidRDefault="008940B3" w:rsidP="00E858EF">
      <w:pPr>
        <w:pStyle w:val="Paragrafoelenco"/>
        <w:numPr>
          <w:ilvl w:val="0"/>
          <w:numId w:val="30"/>
        </w:numPr>
        <w:suppressAutoHyphens/>
      </w:pPr>
      <w:r>
        <w:t>The association of larnakes with large or extra-large and monumental tombs is an isolated/local pattern (e.g., tomb 159 and tomb 24 at Armenoi, Katsambas tomb H, Archanes);</w:t>
      </w:r>
    </w:p>
    <w:p w14:paraId="7AC39954" w14:textId="77777777" w:rsidR="008940B3" w:rsidRDefault="008940B3" w:rsidP="00E858EF">
      <w:pPr>
        <w:pStyle w:val="Paragrafoelenco"/>
        <w:numPr>
          <w:ilvl w:val="0"/>
          <w:numId w:val="30"/>
        </w:numPr>
        <w:suppressAutoHyphens/>
      </w:pPr>
      <w:r>
        <w:t>Generally the space reserved for a larnax is greater in the Mid-West area and both smaller and relatively homogenous in other areas.</w:t>
      </w:r>
    </w:p>
    <w:p w14:paraId="3CDE18C3" w14:textId="77777777" w:rsidR="008940B3" w:rsidRPr="00B22355" w:rsidRDefault="008940B3" w:rsidP="00E858EF">
      <w:pPr>
        <w:suppressAutoHyphens/>
        <w:ind w:left="360"/>
      </w:pPr>
    </w:p>
    <w:p w14:paraId="2F68C463" w14:textId="77777777" w:rsidR="008940B3" w:rsidRDefault="008940B3" w:rsidP="00E858EF">
      <w:pPr>
        <w:pStyle w:val="Paragrafoelenco"/>
        <w:suppressAutoHyphens/>
        <w:ind w:left="0"/>
      </w:pPr>
      <w:r>
        <w:rPr>
          <w:noProof/>
          <w:lang w:val="it-IT"/>
        </w:rPr>
        <w:drawing>
          <wp:inline distT="0" distB="0" distL="0" distR="0" wp14:anchorId="32DE1557" wp14:editId="2415C40B">
            <wp:extent cx="5292000" cy="2664000"/>
            <wp:effectExtent l="0" t="0" r="4445" b="3175"/>
            <wp:docPr id="52" name="Gra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142D1BF" w14:textId="7D2AE225" w:rsidR="008940B3" w:rsidRDefault="008940B3" w:rsidP="00E858EF">
      <w:pPr>
        <w:pStyle w:val="Didascalia"/>
        <w:suppressAutoHyphens/>
      </w:pPr>
      <w:bookmarkStart w:id="469" w:name="_Toc520212337"/>
      <w:r>
        <w:t xml:space="preserve">Figure 3-54. Space reserved to a larnax in a tomb and mean number of larnakes per tomb </w:t>
      </w:r>
      <w:r w:rsidR="00597723">
        <w:t xml:space="preserve">by region of </w:t>
      </w:r>
      <w:r>
        <w:t>Cret</w:t>
      </w:r>
      <w:r w:rsidR="00597723">
        <w:t>e</w:t>
      </w:r>
      <w:r>
        <w:t xml:space="preserve"> (Far-West excluded).</w:t>
      </w:r>
      <w:bookmarkEnd w:id="469"/>
    </w:p>
    <w:p w14:paraId="5B7566AD" w14:textId="77777777" w:rsidR="008940B3" w:rsidRDefault="008940B3" w:rsidP="00E858EF">
      <w:pPr>
        <w:pStyle w:val="Paragrafoelenco"/>
        <w:suppressAutoHyphens/>
        <w:ind w:left="0"/>
      </w:pPr>
    </w:p>
    <w:p w14:paraId="41F0CFF7" w14:textId="77777777" w:rsidR="008940B3" w:rsidRPr="00B53BD1" w:rsidRDefault="008940B3" w:rsidP="00E858EF">
      <w:pPr>
        <w:suppressAutoHyphens/>
        <w:rPr>
          <w:b/>
        </w:rPr>
      </w:pPr>
    </w:p>
    <w:bookmarkEnd w:id="0"/>
    <w:p w14:paraId="6B7F3A5E" w14:textId="12C58E89" w:rsidR="009536C0" w:rsidRDefault="009536C0" w:rsidP="00E858EF">
      <w:pPr>
        <w:suppressAutoHyphens/>
        <w:spacing w:line="240" w:lineRule="auto"/>
        <w:contextualSpacing w:val="0"/>
        <w:jc w:val="left"/>
        <w:rPr>
          <w:highlight w:val="lightGray"/>
        </w:rPr>
      </w:pPr>
      <w:r>
        <w:rPr>
          <w:highlight w:val="lightGray"/>
        </w:rPr>
        <w:br w:type="page"/>
      </w:r>
    </w:p>
    <w:p w14:paraId="5B9A2C09" w14:textId="44982B36" w:rsidR="00F71C84" w:rsidRDefault="00F71C84" w:rsidP="00E858EF">
      <w:pPr>
        <w:suppressAutoHyphens/>
        <w:spacing w:line="240" w:lineRule="auto"/>
        <w:contextualSpacing w:val="0"/>
        <w:jc w:val="left"/>
        <w:rPr>
          <w:b/>
          <w:color w:val="000000"/>
        </w:rPr>
      </w:pPr>
      <w:r>
        <w:rPr>
          <w:b/>
          <w:color w:val="000000"/>
        </w:rPr>
        <w:br w:type="page"/>
      </w:r>
    </w:p>
    <w:p w14:paraId="1CBE9D92" w14:textId="77777777" w:rsidR="00F71C84" w:rsidRDefault="00F71C84" w:rsidP="00E858EF">
      <w:pPr>
        <w:suppressAutoHyphens/>
        <w:rPr>
          <w:b/>
          <w:color w:val="000000"/>
        </w:rPr>
      </w:pPr>
    </w:p>
    <w:p w14:paraId="334EB07A" w14:textId="77777777" w:rsidR="001A4F1A" w:rsidRPr="00EF451A" w:rsidRDefault="001A4F1A" w:rsidP="00E858EF">
      <w:pPr>
        <w:pStyle w:val="Titolo1"/>
        <w:keepNext w:val="0"/>
        <w:keepLines w:val="0"/>
        <w:suppressAutoHyphens/>
      </w:pPr>
      <w:bookmarkStart w:id="470" w:name="_Toc517744405"/>
      <w:bookmarkStart w:id="471" w:name="_Toc517744406"/>
      <w:bookmarkStart w:id="472" w:name="_Toc517744408"/>
      <w:bookmarkStart w:id="473" w:name="_Toc517744409"/>
      <w:bookmarkStart w:id="474" w:name="_Toc517744411"/>
      <w:bookmarkStart w:id="475" w:name="_Toc517744412"/>
      <w:bookmarkStart w:id="476" w:name="_Toc517744413"/>
      <w:bookmarkStart w:id="477" w:name="_Toc517744414"/>
      <w:bookmarkStart w:id="478" w:name="_Toc517744416"/>
      <w:bookmarkStart w:id="479" w:name="_Toc517744418"/>
      <w:bookmarkStart w:id="480" w:name="_Toc517744419"/>
      <w:bookmarkStart w:id="481" w:name="_Toc517744420"/>
      <w:bookmarkStart w:id="482" w:name="_Toc517744421"/>
      <w:bookmarkStart w:id="483" w:name="_Toc517744423"/>
      <w:bookmarkStart w:id="484" w:name="_Toc517744426"/>
      <w:bookmarkStart w:id="485" w:name="_Toc517744427"/>
      <w:bookmarkStart w:id="486" w:name="_Toc517744428"/>
      <w:bookmarkStart w:id="487" w:name="_Toc517744429"/>
      <w:bookmarkStart w:id="488" w:name="_Toc517744430"/>
      <w:bookmarkStart w:id="489" w:name="_Toc517744431"/>
      <w:bookmarkStart w:id="490" w:name="_Toc517744436"/>
      <w:bookmarkStart w:id="491" w:name="_Toc517744439"/>
      <w:bookmarkStart w:id="492" w:name="_Toc517744440"/>
      <w:bookmarkStart w:id="493" w:name="_Toc517744441"/>
      <w:bookmarkStart w:id="494" w:name="_Toc517744442"/>
      <w:bookmarkStart w:id="495" w:name="_Toc517744443"/>
      <w:bookmarkStart w:id="496" w:name="_Toc517744444"/>
      <w:bookmarkStart w:id="497" w:name="_Toc517744446"/>
      <w:bookmarkStart w:id="498" w:name="_Toc517744447"/>
      <w:bookmarkStart w:id="499" w:name="_Toc517744450"/>
      <w:bookmarkStart w:id="500" w:name="_Toc517744451"/>
      <w:bookmarkStart w:id="501" w:name="_Toc517744452"/>
      <w:bookmarkStart w:id="502" w:name="_Toc517744454"/>
      <w:bookmarkStart w:id="503" w:name="_Toc517744456"/>
      <w:bookmarkStart w:id="504" w:name="_Toc517744457"/>
      <w:bookmarkStart w:id="505" w:name="_Toc517744458"/>
      <w:bookmarkStart w:id="506" w:name="_Toc517744459"/>
      <w:bookmarkStart w:id="507" w:name="_Toc517744462"/>
      <w:bookmarkStart w:id="508" w:name="_Toc517744463"/>
      <w:bookmarkStart w:id="509" w:name="_Toc517744465"/>
      <w:bookmarkStart w:id="510" w:name="_Toc517744478"/>
      <w:bookmarkStart w:id="511" w:name="_Toc517744480"/>
      <w:bookmarkStart w:id="512" w:name="_Toc517744484"/>
      <w:bookmarkStart w:id="513" w:name="_Toc517744491"/>
      <w:bookmarkStart w:id="514" w:name="_Toc517744492"/>
      <w:bookmarkStart w:id="515" w:name="_Toc517744495"/>
      <w:bookmarkStart w:id="516" w:name="_Toc517744497"/>
      <w:bookmarkStart w:id="517" w:name="_Toc517744498"/>
      <w:bookmarkStart w:id="518" w:name="_Toc517744513"/>
      <w:bookmarkStart w:id="519" w:name="_Toc517744514"/>
      <w:bookmarkStart w:id="520" w:name="_Toc517744518"/>
      <w:bookmarkStart w:id="521" w:name="_Toc517744519"/>
      <w:bookmarkStart w:id="522" w:name="_Toc517744521"/>
      <w:bookmarkStart w:id="523" w:name="_Toc517744550"/>
      <w:bookmarkStart w:id="524" w:name="_Toc517744582"/>
      <w:bookmarkStart w:id="525" w:name="_Toc517744589"/>
      <w:bookmarkStart w:id="526" w:name="_Toc517744590"/>
      <w:bookmarkStart w:id="527" w:name="_Toc517744592"/>
      <w:bookmarkStart w:id="528" w:name="_Toc517744596"/>
      <w:bookmarkStart w:id="529" w:name="_Toc517744597"/>
      <w:bookmarkStart w:id="530" w:name="_Toc517744598"/>
      <w:bookmarkStart w:id="531" w:name="_Toc517744599"/>
      <w:bookmarkStart w:id="532" w:name="_Toc517744600"/>
      <w:bookmarkStart w:id="533" w:name="_Toc517744601"/>
      <w:bookmarkStart w:id="534" w:name="_Toc517744612"/>
      <w:bookmarkStart w:id="535" w:name="_Toc517744627"/>
      <w:bookmarkStart w:id="536" w:name="_Toc517744628"/>
      <w:bookmarkStart w:id="537" w:name="_Toc517744629"/>
      <w:bookmarkStart w:id="538" w:name="_Toc517744630"/>
      <w:bookmarkStart w:id="539" w:name="_Toc517744631"/>
      <w:bookmarkStart w:id="540" w:name="_Toc517744632"/>
      <w:bookmarkStart w:id="541" w:name="_Toc517744633"/>
      <w:bookmarkStart w:id="542" w:name="_Toc517744634"/>
      <w:bookmarkStart w:id="543" w:name="_Toc517744635"/>
      <w:bookmarkStart w:id="544" w:name="_Toc517744636"/>
      <w:bookmarkStart w:id="545" w:name="_Toc517744639"/>
      <w:bookmarkStart w:id="546" w:name="_Toc517744644"/>
      <w:bookmarkStart w:id="547" w:name="_Toc517744645"/>
      <w:bookmarkStart w:id="548" w:name="_Toc517744647"/>
      <w:bookmarkStart w:id="549" w:name="_Toc517744648"/>
      <w:bookmarkStart w:id="550" w:name="_Toc517744650"/>
      <w:bookmarkStart w:id="551" w:name="_Toc517744665"/>
      <w:bookmarkStart w:id="552" w:name="_Toc517744667"/>
      <w:bookmarkStart w:id="553" w:name="_Toc517744668"/>
      <w:bookmarkStart w:id="554" w:name="_Toc517744670"/>
      <w:bookmarkStart w:id="555" w:name="_Toc517744671"/>
      <w:bookmarkStart w:id="556" w:name="_Toc517744681"/>
      <w:bookmarkStart w:id="557" w:name="_Toc517744686"/>
      <w:bookmarkStart w:id="558" w:name="_Toc517744688"/>
      <w:bookmarkStart w:id="559" w:name="_Toc517744756"/>
      <w:bookmarkStart w:id="560" w:name="_Toc517744766"/>
      <w:bookmarkStart w:id="561" w:name="_Toc517744767"/>
      <w:bookmarkStart w:id="562" w:name="_Toc517744768"/>
      <w:bookmarkStart w:id="563" w:name="_Toc517744769"/>
      <w:bookmarkStart w:id="564" w:name="_Toc517744774"/>
      <w:bookmarkStart w:id="565" w:name="_Toc517744775"/>
      <w:bookmarkStart w:id="566" w:name="_Toc517744777"/>
      <w:bookmarkStart w:id="567" w:name="_Toc517744798"/>
      <w:bookmarkStart w:id="568" w:name="_Toc517744809"/>
      <w:bookmarkStart w:id="569" w:name="_Toc517744810"/>
      <w:bookmarkStart w:id="570" w:name="_Toc517744823"/>
      <w:bookmarkStart w:id="571" w:name="_Toc517744824"/>
      <w:bookmarkStart w:id="572" w:name="_Toc517744825"/>
      <w:bookmarkStart w:id="573" w:name="_Toc517744826"/>
      <w:bookmarkStart w:id="574" w:name="_Toc517744835"/>
      <w:bookmarkStart w:id="575" w:name="_Toc517744836"/>
      <w:bookmarkStart w:id="576" w:name="_Toc517744838"/>
      <w:bookmarkStart w:id="577" w:name="_Toc517744840"/>
      <w:bookmarkStart w:id="578" w:name="_Toc517744855"/>
      <w:bookmarkStart w:id="579" w:name="_Toc517744860"/>
      <w:bookmarkStart w:id="580" w:name="_Toc517744861"/>
      <w:bookmarkStart w:id="581" w:name="_Toc517744862"/>
      <w:bookmarkStart w:id="582" w:name="_Toc517744868"/>
      <w:bookmarkStart w:id="583" w:name="_Toc517744871"/>
      <w:bookmarkStart w:id="584" w:name="_Toc517744893"/>
      <w:bookmarkStart w:id="585" w:name="_Toc517744929"/>
      <w:bookmarkStart w:id="586" w:name="_Toc517744937"/>
      <w:bookmarkStart w:id="587" w:name="_Toc517744938"/>
      <w:bookmarkStart w:id="588" w:name="_Toc517744939"/>
      <w:bookmarkStart w:id="589" w:name="_Toc517744940"/>
      <w:bookmarkStart w:id="590" w:name="_Toc517744941"/>
      <w:bookmarkStart w:id="591" w:name="_Toc517744942"/>
      <w:bookmarkStart w:id="592" w:name="_Toc517744949"/>
      <w:bookmarkStart w:id="593" w:name="_Toc517744950"/>
      <w:bookmarkStart w:id="594" w:name="_Toc517744951"/>
      <w:bookmarkStart w:id="595" w:name="_Toc517744955"/>
      <w:bookmarkStart w:id="596" w:name="_Toc517744956"/>
      <w:bookmarkStart w:id="597" w:name="_Toc517744957"/>
      <w:bookmarkStart w:id="598" w:name="_Toc517744968"/>
      <w:bookmarkStart w:id="599" w:name="_Toc517744981"/>
      <w:bookmarkStart w:id="600" w:name="_Toc517744982"/>
      <w:bookmarkStart w:id="601" w:name="_Toc517744983"/>
      <w:bookmarkStart w:id="602" w:name="_Toc517744984"/>
      <w:bookmarkStart w:id="603" w:name="_Toc517744985"/>
      <w:bookmarkStart w:id="604" w:name="_Toc517744989"/>
      <w:bookmarkStart w:id="605" w:name="_Toc517744997"/>
      <w:bookmarkStart w:id="606" w:name="_Toc517744999"/>
      <w:bookmarkStart w:id="607" w:name="_Toc517745014"/>
      <w:bookmarkStart w:id="608" w:name="_Toc517745016"/>
      <w:bookmarkStart w:id="609" w:name="_Toc517745018"/>
      <w:bookmarkStart w:id="610" w:name="_Toc517745021"/>
      <w:bookmarkStart w:id="611" w:name="_Toc517745022"/>
      <w:bookmarkStart w:id="612" w:name="_Toc517745030"/>
      <w:bookmarkStart w:id="613" w:name="_Toc517745033"/>
      <w:bookmarkStart w:id="614" w:name="_Toc517745054"/>
      <w:bookmarkStart w:id="615" w:name="_Toc517745088"/>
      <w:bookmarkStart w:id="616" w:name="_Toc517745096"/>
      <w:bookmarkStart w:id="617" w:name="_Toc517745097"/>
      <w:bookmarkStart w:id="618" w:name="_Toc517745098"/>
      <w:bookmarkStart w:id="619" w:name="_Toc517745099"/>
      <w:bookmarkStart w:id="620" w:name="_Toc517745114"/>
      <w:bookmarkStart w:id="621" w:name="_Toc517745115"/>
      <w:bookmarkStart w:id="622" w:name="_Toc517745116"/>
      <w:bookmarkStart w:id="623" w:name="_Toc517745117"/>
      <w:bookmarkStart w:id="624" w:name="_Toc517745118"/>
      <w:bookmarkStart w:id="625" w:name="_Toc517745120"/>
      <w:bookmarkStart w:id="626" w:name="_Toc517745121"/>
      <w:bookmarkStart w:id="627" w:name="_Toc517745122"/>
      <w:bookmarkStart w:id="628" w:name="_Toc517745133"/>
      <w:bookmarkStart w:id="629" w:name="_Toc517745148"/>
      <w:bookmarkStart w:id="630" w:name="_Toc517745149"/>
      <w:bookmarkStart w:id="631" w:name="_Toc517745150"/>
      <w:bookmarkStart w:id="632" w:name="_Toc517745151"/>
      <w:bookmarkStart w:id="633" w:name="_Toc517745152"/>
      <w:bookmarkStart w:id="634" w:name="_Toc517745162"/>
      <w:bookmarkStart w:id="635" w:name="_Toc517745165"/>
      <w:bookmarkStart w:id="636" w:name="_Toc517745167"/>
      <w:bookmarkStart w:id="637" w:name="_Toc517745182"/>
      <w:bookmarkStart w:id="638" w:name="_Toc517745187"/>
      <w:bookmarkStart w:id="639" w:name="_Toc517745194"/>
      <w:bookmarkStart w:id="640" w:name="_Toc517745195"/>
      <w:bookmarkStart w:id="641" w:name="_Toc517745196"/>
      <w:bookmarkStart w:id="642" w:name="_Toc517745202"/>
      <w:bookmarkStart w:id="643" w:name="_Toc517745204"/>
      <w:bookmarkStart w:id="644" w:name="_Toc517745218"/>
      <w:bookmarkStart w:id="645" w:name="_Toc517745240"/>
      <w:bookmarkStart w:id="646" w:name="_Toc517745246"/>
      <w:bookmarkStart w:id="647" w:name="_Toc517745247"/>
      <w:bookmarkStart w:id="648" w:name="_Toc517745248"/>
      <w:bookmarkStart w:id="649" w:name="_Toc517745249"/>
      <w:bookmarkStart w:id="650" w:name="_Toc517745259"/>
      <w:bookmarkStart w:id="651" w:name="_Toc517745260"/>
      <w:bookmarkStart w:id="652" w:name="_Toc517745261"/>
      <w:bookmarkStart w:id="653" w:name="_Toc517745262"/>
      <w:bookmarkStart w:id="654" w:name="_Toc517745263"/>
      <w:bookmarkStart w:id="655" w:name="_Toc517745264"/>
      <w:bookmarkStart w:id="656" w:name="_Toc517745266"/>
      <w:bookmarkStart w:id="657" w:name="_Toc517745267"/>
      <w:bookmarkStart w:id="658" w:name="_Toc517745268"/>
      <w:bookmarkStart w:id="659" w:name="_Toc517745279"/>
      <w:bookmarkStart w:id="660" w:name="_Toc519894645"/>
      <w:bookmarkStart w:id="661" w:name="_Toc517745292"/>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r w:rsidRPr="00EF451A">
        <w:t>LARNAKES: SKELETAL REMAINS, GRAVE GOODS ASSEMBLAGES</w:t>
      </w:r>
      <w:bookmarkEnd w:id="660"/>
      <w:r w:rsidRPr="00EF451A">
        <w:t xml:space="preserve"> </w:t>
      </w:r>
      <w:bookmarkEnd w:id="661"/>
    </w:p>
    <w:p w14:paraId="6CD513A8" w14:textId="77777777" w:rsidR="001A4F1A" w:rsidRPr="00041BE8" w:rsidRDefault="001A4F1A" w:rsidP="00E858EF">
      <w:pPr>
        <w:pStyle w:val="Titolo2"/>
        <w:keepNext w:val="0"/>
        <w:keepLines w:val="0"/>
        <w:suppressAutoHyphens/>
      </w:pPr>
      <w:bookmarkStart w:id="662" w:name="_Toc517745293"/>
      <w:bookmarkStart w:id="663" w:name="_Toc519894646"/>
      <w:r w:rsidRPr="00041BE8">
        <w:t>Introduction</w:t>
      </w:r>
      <w:bookmarkEnd w:id="662"/>
      <w:bookmarkEnd w:id="663"/>
      <w:r w:rsidRPr="00041BE8">
        <w:t xml:space="preserve"> </w:t>
      </w:r>
    </w:p>
    <w:p w14:paraId="455FFDFB" w14:textId="77777777" w:rsidR="001A4F1A" w:rsidRPr="00D6101B" w:rsidRDefault="001A4F1A" w:rsidP="005B5E84">
      <w:r w:rsidRPr="00D6101B">
        <w:t xml:space="preserve">This section </w:t>
      </w:r>
      <w:r>
        <w:t>is</w:t>
      </w:r>
      <w:r w:rsidRPr="00D6101B">
        <w:t xml:space="preserve"> divided in</w:t>
      </w:r>
      <w:r>
        <w:t>to</w:t>
      </w:r>
      <w:r w:rsidRPr="00D6101B">
        <w:t xml:space="preserve"> two parts:</w:t>
      </w:r>
    </w:p>
    <w:p w14:paraId="0E9F5A08" w14:textId="79880B59" w:rsidR="001A4F1A" w:rsidRDefault="00EF451A"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rPr>
      </w:pPr>
      <w:r>
        <w:rPr>
          <w:color w:val="000000"/>
        </w:rPr>
        <w:t xml:space="preserve">1. </w:t>
      </w:r>
      <w:r w:rsidR="001A4F1A">
        <w:rPr>
          <w:color w:val="000000"/>
        </w:rPr>
        <w:t>T</w:t>
      </w:r>
      <w:r w:rsidR="001A4F1A" w:rsidRPr="00D6101B">
        <w:rPr>
          <w:color w:val="000000"/>
        </w:rPr>
        <w:t xml:space="preserve">he first </w:t>
      </w:r>
      <w:r w:rsidR="001A4F1A">
        <w:rPr>
          <w:color w:val="000000"/>
        </w:rPr>
        <w:t>part</w:t>
      </w:r>
      <w:r w:rsidR="001A4F1A" w:rsidRPr="00D6101B">
        <w:rPr>
          <w:color w:val="000000"/>
        </w:rPr>
        <w:t xml:space="preserve"> examine</w:t>
      </w:r>
      <w:r w:rsidR="001A4F1A">
        <w:rPr>
          <w:color w:val="000000"/>
        </w:rPr>
        <w:t>s</w:t>
      </w:r>
      <w:r w:rsidR="001A4F1A" w:rsidRPr="00D6101B">
        <w:rPr>
          <w:color w:val="000000"/>
        </w:rPr>
        <w:t xml:space="preserve"> data concerning</w:t>
      </w:r>
      <w:r w:rsidR="001A4F1A">
        <w:rPr>
          <w:color w:val="000000"/>
        </w:rPr>
        <w:t xml:space="preserve"> the following:</w:t>
      </w:r>
    </w:p>
    <w:p w14:paraId="124DA233" w14:textId="77777777" w:rsidR="001A4F1A" w:rsidRDefault="001A4F1A" w:rsidP="00E858EF">
      <w:pPr>
        <w:pStyle w:val="Paragrafoelenco"/>
        <w:numPr>
          <w:ilvl w:val="1"/>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1134" w:hanging="567"/>
        <w:rPr>
          <w:color w:val="000000"/>
        </w:rPr>
      </w:pPr>
      <w:r>
        <w:rPr>
          <w:color w:val="000000"/>
        </w:rPr>
        <w:t>The m</w:t>
      </w:r>
      <w:r w:rsidRPr="00D6101B">
        <w:rPr>
          <w:color w:val="000000"/>
        </w:rPr>
        <w:t>inimum number of individual</w:t>
      </w:r>
      <w:r>
        <w:rPr>
          <w:color w:val="000000"/>
        </w:rPr>
        <w:t>s</w:t>
      </w:r>
      <w:r w:rsidRPr="00D6101B">
        <w:rPr>
          <w:color w:val="000000"/>
        </w:rPr>
        <w:t xml:space="preserve"> associated </w:t>
      </w:r>
      <w:r>
        <w:rPr>
          <w:color w:val="000000"/>
        </w:rPr>
        <w:t>with each tomb with larnakes</w:t>
      </w:r>
    </w:p>
    <w:p w14:paraId="47544855" w14:textId="77777777" w:rsidR="001A4F1A" w:rsidRDefault="001A4F1A" w:rsidP="00E858EF">
      <w:pPr>
        <w:pStyle w:val="Paragrafoelenco"/>
        <w:numPr>
          <w:ilvl w:val="1"/>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1134" w:hanging="567"/>
        <w:rPr>
          <w:color w:val="000000"/>
        </w:rPr>
      </w:pPr>
      <w:r>
        <w:rPr>
          <w:color w:val="000000"/>
        </w:rPr>
        <w:t>O</w:t>
      </w:r>
      <w:r w:rsidRPr="00D6101B">
        <w:rPr>
          <w:color w:val="000000"/>
        </w:rPr>
        <w:t>ther interment methods in the same tomb with larnakes</w:t>
      </w:r>
    </w:p>
    <w:p w14:paraId="0767BB80" w14:textId="77777777" w:rsidR="001A4F1A" w:rsidRDefault="001A4F1A" w:rsidP="00E858EF">
      <w:pPr>
        <w:tabs>
          <w:tab w:val="left" w:pos="56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7"/>
        <w:rPr>
          <w:color w:val="000000"/>
        </w:rPr>
      </w:pPr>
      <w:r>
        <w:rPr>
          <w:color w:val="000000"/>
        </w:rPr>
        <w:t>Based on</w:t>
      </w:r>
      <w:r w:rsidRPr="00C80ADD">
        <w:rPr>
          <w:color w:val="000000"/>
        </w:rPr>
        <w:t xml:space="preserve"> the information available from published records</w:t>
      </w:r>
      <w:r>
        <w:rPr>
          <w:color w:val="000000"/>
        </w:rPr>
        <w:t>, there are isolated</w:t>
      </w:r>
      <w:r w:rsidRPr="00C80ADD">
        <w:rPr>
          <w:color w:val="000000"/>
        </w:rPr>
        <w:t xml:space="preserve"> tombs for which there </w:t>
      </w:r>
      <w:r>
        <w:rPr>
          <w:color w:val="000000"/>
        </w:rPr>
        <w:t>is</w:t>
      </w:r>
      <w:r w:rsidRPr="00C80ADD">
        <w:rPr>
          <w:color w:val="000000"/>
        </w:rPr>
        <w:t xml:space="preserve"> evidence of</w:t>
      </w:r>
      <w:r>
        <w:rPr>
          <w:color w:val="000000"/>
        </w:rPr>
        <w:t xml:space="preserve"> the following:</w:t>
      </w:r>
    </w:p>
    <w:p w14:paraId="3190D014" w14:textId="77777777" w:rsidR="001A4F1A" w:rsidRDefault="001A4F1A" w:rsidP="00E858EF">
      <w:pPr>
        <w:pStyle w:val="Paragrafoelenco"/>
        <w:numPr>
          <w:ilvl w:val="1"/>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1134" w:hanging="567"/>
        <w:rPr>
          <w:color w:val="000000"/>
        </w:rPr>
      </w:pPr>
      <w:r>
        <w:rPr>
          <w:color w:val="000000"/>
        </w:rPr>
        <w:t>S</w:t>
      </w:r>
      <w:r w:rsidRPr="00CF3002">
        <w:rPr>
          <w:color w:val="000000"/>
        </w:rPr>
        <w:t xml:space="preserve">keletal remains retrieved </w:t>
      </w:r>
    </w:p>
    <w:p w14:paraId="1B8B5A0C" w14:textId="77777777" w:rsidR="001A4F1A" w:rsidRDefault="001A4F1A" w:rsidP="00E858EF">
      <w:pPr>
        <w:pStyle w:val="Paragrafoelenco"/>
        <w:numPr>
          <w:ilvl w:val="1"/>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1134" w:hanging="567"/>
        <w:rPr>
          <w:color w:val="000000"/>
        </w:rPr>
      </w:pPr>
      <w:r>
        <w:rPr>
          <w:color w:val="000000"/>
        </w:rPr>
        <w:t>Burial stage</w:t>
      </w:r>
      <w:r w:rsidRPr="00CF3002">
        <w:rPr>
          <w:color w:val="000000"/>
        </w:rPr>
        <w:t xml:space="preserve"> (primary or secondary deposition) </w:t>
      </w:r>
    </w:p>
    <w:p w14:paraId="4C0A3C79" w14:textId="77777777" w:rsidR="001A4F1A" w:rsidRDefault="001A4F1A" w:rsidP="00E858EF">
      <w:pPr>
        <w:pStyle w:val="Paragrafoelenco"/>
        <w:numPr>
          <w:ilvl w:val="1"/>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1134" w:hanging="567"/>
        <w:rPr>
          <w:color w:val="000000"/>
        </w:rPr>
      </w:pPr>
      <w:r>
        <w:rPr>
          <w:color w:val="000000"/>
        </w:rPr>
        <w:t>G</w:t>
      </w:r>
      <w:r w:rsidRPr="00CF3002">
        <w:rPr>
          <w:color w:val="000000"/>
        </w:rPr>
        <w:t>ender and age</w:t>
      </w:r>
    </w:p>
    <w:p w14:paraId="3FBEDE0D" w14:textId="77777777" w:rsidR="001A4F1A" w:rsidRPr="00A32EE4" w:rsidRDefault="001A4F1A" w:rsidP="00E858EF">
      <w:pPr>
        <w:tabs>
          <w:tab w:val="left" w:pos="56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7"/>
        <w:rPr>
          <w:color w:val="000000"/>
        </w:rPr>
      </w:pPr>
      <w:r>
        <w:rPr>
          <w:color w:val="000000"/>
        </w:rPr>
        <w:t>The main aim is to understand whether it is possible to identify customs regarding burial deposition practices associated with larnakes; how tombs with larnakes were used to dispose of the deceased; and to understand the mortuary behaviour of the communities that decided to adopt larnax burials in LM III Crete.</w:t>
      </w:r>
    </w:p>
    <w:p w14:paraId="18596860" w14:textId="507138B9" w:rsidR="001A4F1A" w:rsidRDefault="00EF451A"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rPr>
      </w:pPr>
      <w:r>
        <w:rPr>
          <w:color w:val="000000"/>
        </w:rPr>
        <w:t xml:space="preserve">2. </w:t>
      </w:r>
      <w:r w:rsidR="001A4F1A">
        <w:rPr>
          <w:color w:val="000000"/>
        </w:rPr>
        <w:t>T</w:t>
      </w:r>
      <w:r w:rsidR="001A4F1A" w:rsidRPr="00D6101B">
        <w:rPr>
          <w:color w:val="000000"/>
        </w:rPr>
        <w:t xml:space="preserve">he second </w:t>
      </w:r>
      <w:r w:rsidR="001A4F1A">
        <w:rPr>
          <w:color w:val="000000"/>
        </w:rPr>
        <w:t>part</w:t>
      </w:r>
      <w:r w:rsidR="001A4F1A" w:rsidRPr="00D6101B">
        <w:rPr>
          <w:color w:val="000000"/>
        </w:rPr>
        <w:t xml:space="preserve"> analyse</w:t>
      </w:r>
      <w:r w:rsidR="001A4F1A">
        <w:rPr>
          <w:color w:val="000000"/>
        </w:rPr>
        <w:t>s</w:t>
      </w:r>
      <w:r w:rsidR="001A4F1A" w:rsidRPr="00D6101B">
        <w:rPr>
          <w:color w:val="000000"/>
        </w:rPr>
        <w:t xml:space="preserve"> information </w:t>
      </w:r>
      <w:r w:rsidR="001A4F1A">
        <w:rPr>
          <w:color w:val="000000"/>
        </w:rPr>
        <w:t>regarding grave goods assemblages; in particular, the occurrence of:</w:t>
      </w:r>
    </w:p>
    <w:p w14:paraId="3905E193" w14:textId="77777777" w:rsidR="001A4F1A" w:rsidRDefault="001A4F1A" w:rsidP="00E858EF">
      <w:pPr>
        <w:pStyle w:val="Paragrafoelenco"/>
        <w:numPr>
          <w:ilvl w:val="1"/>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1134" w:hanging="567"/>
        <w:rPr>
          <w:color w:val="000000"/>
        </w:rPr>
      </w:pPr>
      <w:r>
        <w:rPr>
          <w:color w:val="000000"/>
        </w:rPr>
        <w:t>Different types of material</w:t>
      </w:r>
    </w:p>
    <w:p w14:paraId="31AB8ECF" w14:textId="77777777" w:rsidR="001A4F1A" w:rsidRDefault="001A4F1A" w:rsidP="00E858EF">
      <w:pPr>
        <w:pStyle w:val="Paragrafoelenco"/>
        <w:numPr>
          <w:ilvl w:val="1"/>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1134" w:hanging="567"/>
        <w:rPr>
          <w:color w:val="000000"/>
        </w:rPr>
      </w:pPr>
      <w:r>
        <w:rPr>
          <w:color w:val="000000"/>
        </w:rPr>
        <w:t>Types of non-ceramic items (e.g. rings, swords, stone vases, seals)</w:t>
      </w:r>
    </w:p>
    <w:p w14:paraId="1D925CD7" w14:textId="77777777" w:rsidR="001A4F1A" w:rsidRPr="00F25165" w:rsidRDefault="001A4F1A" w:rsidP="00E858EF">
      <w:pPr>
        <w:pStyle w:val="Paragrafoelenco"/>
        <w:numPr>
          <w:ilvl w:val="1"/>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1134" w:hanging="567"/>
        <w:rPr>
          <w:color w:val="000000"/>
        </w:rPr>
      </w:pPr>
      <w:r>
        <w:rPr>
          <w:color w:val="000000"/>
        </w:rPr>
        <w:t>Pottery types (e.g. stirrup jars, kraters, cups, incense burners)</w:t>
      </w:r>
    </w:p>
    <w:p w14:paraId="13005C14" w14:textId="77777777" w:rsidR="001A4F1A" w:rsidRDefault="001A4F1A" w:rsidP="00E858EF">
      <w:pPr>
        <w:pStyle w:val="Paragrafoelenco"/>
        <w:tabs>
          <w:tab w:val="left" w:pos="56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7"/>
        <w:rPr>
          <w:color w:val="000000"/>
        </w:rPr>
      </w:pPr>
      <w:r>
        <w:rPr>
          <w:color w:val="000000"/>
        </w:rPr>
        <w:t>The main aims are to identify whether the pattern of grave goods associated with larnax burials was standardised or variable; to understand whether there are patterns that can be explained as regional/local customs in terms of assemblage composition; and whether it is possible to isolate single tombs that display peculiar features in this respect (e.g. concentration of precious materials, occurrence of high numbers of a certain pottery typology). These aims help to identify whether different identities were expressed in LM III burials with larnakes.</w:t>
      </w:r>
    </w:p>
    <w:p w14:paraId="0FD9390B" w14:textId="77777777" w:rsidR="001A4F1A"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In both parts,</w:t>
      </w:r>
      <w:r w:rsidRPr="00D6101B">
        <w:rPr>
          <w:color w:val="000000"/>
        </w:rPr>
        <w:t xml:space="preserve"> the analys</w:t>
      </w:r>
      <w:r>
        <w:rPr>
          <w:color w:val="000000"/>
        </w:rPr>
        <w:t>is follows the regional distribution</w:t>
      </w:r>
      <w:r w:rsidRPr="00D6101B">
        <w:rPr>
          <w:color w:val="000000"/>
        </w:rPr>
        <w:t xml:space="preserve"> to underline the presence of regional patterns, as</w:t>
      </w:r>
      <w:r>
        <w:rPr>
          <w:color w:val="000000"/>
        </w:rPr>
        <w:t xml:space="preserve"> already carried out with the analysis of </w:t>
      </w:r>
      <w:r w:rsidRPr="00D6101B">
        <w:rPr>
          <w:color w:val="000000"/>
        </w:rPr>
        <w:t xml:space="preserve">cemeteries and </w:t>
      </w:r>
      <w:r>
        <w:rPr>
          <w:color w:val="000000"/>
        </w:rPr>
        <w:t>tombs with larnakes in the previous chapter.</w:t>
      </w:r>
    </w:p>
    <w:p w14:paraId="356C0FEF" w14:textId="18F4D054" w:rsidR="00030E55" w:rsidRDefault="00030E55" w:rsidP="00942894">
      <w:pPr>
        <w:suppressAutoHyphens/>
        <w:ind w:firstLine="708"/>
      </w:pPr>
      <w:r>
        <w:t>In this chapter</w:t>
      </w:r>
      <w:r w:rsidR="00942894">
        <w:t>,</w:t>
      </w:r>
      <w:r>
        <w:t xml:space="preserve"> the analysis and the results concerning skeletal remains and grave goods found in LM III tombs with larnakes are presented together, even though study of them in the present work does not reveal any connection. Nevertheless, the two classes of data are both linked to the tomb and to larnax/larnakes or to the other types of interment methods: skeletal remains and grave goods are found inside a tomb; skeletal remains and grave goods items can be linked to a larnax, </w:t>
      </w:r>
      <w:r w:rsidR="00942894">
        <w:t>which</w:t>
      </w:r>
      <w:r>
        <w:t xml:space="preserve"> means they can be found in association with a larnax. Therefore, the initial motivation of the present work was to analyse them together and </w:t>
      </w:r>
      <w:r w:rsidR="00942894">
        <w:t xml:space="preserve">to </w:t>
      </w:r>
      <w:r>
        <w:t xml:space="preserve">try to understand if their association </w:t>
      </w:r>
      <w:r w:rsidR="00942894">
        <w:t>might</w:t>
      </w:r>
      <w:r>
        <w:t xml:space="preserve"> add information about the identities expressed through larnakes (see the analysis proposed by D’Agata in the case of Ligortyno tomb: D’Agata 2015). </w:t>
      </w:r>
    </w:p>
    <w:p w14:paraId="0DAC1E44" w14:textId="03BC4CBC" w:rsidR="00030E55" w:rsidRDefault="00030E55" w:rsidP="00030E55">
      <w:pPr>
        <w:suppressAutoHyphens/>
        <w:ind w:firstLine="708"/>
      </w:pPr>
      <w:r>
        <w:t xml:space="preserve">However, it has not been possible to find a sufficient sample of tombs in which the information about skeletal remains, grave goods and larnakes could </w:t>
      </w:r>
      <w:r w:rsidR="00942894">
        <w:t>be</w:t>
      </w:r>
      <w:r>
        <w:t xml:space="preserve"> analysed contextually. This is mainly due to data reliability problems highlighted in respect of skeletal remains (4.2.1) and grave goods (4.3.2), </w:t>
      </w:r>
      <w:r w:rsidR="00942894">
        <w:t>due</w:t>
      </w:r>
      <w:r>
        <w:t xml:space="preserve"> </w:t>
      </w:r>
      <w:r w:rsidR="00942894">
        <w:t>to</w:t>
      </w:r>
      <w:r>
        <w:t xml:space="preserve"> the reuse of the tombs and </w:t>
      </w:r>
      <w:r w:rsidR="00942894">
        <w:t xml:space="preserve">availability of </w:t>
      </w:r>
      <w:r>
        <w:t>only from preliminary reports.</w:t>
      </w:r>
    </w:p>
    <w:p w14:paraId="5B57D85F" w14:textId="77777777" w:rsidR="00030E55" w:rsidRPr="00D6101B" w:rsidRDefault="00030E55"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1B6E234E" w14:textId="77777777" w:rsidR="001A4F1A" w:rsidRPr="00D81620" w:rsidRDefault="001A4F1A" w:rsidP="00E858EF">
      <w:pPr>
        <w:pStyle w:val="Titolo2"/>
        <w:keepNext w:val="0"/>
        <w:keepLines w:val="0"/>
        <w:suppressAutoHyphens/>
      </w:pPr>
      <w:bookmarkStart w:id="664" w:name="_Toc517745294"/>
      <w:bookmarkStart w:id="665" w:name="_Toc519894647"/>
      <w:r w:rsidRPr="008322D1">
        <w:t>Tombs with larnakes and skeletal remains</w:t>
      </w:r>
      <w:bookmarkEnd w:id="664"/>
      <w:bookmarkEnd w:id="665"/>
    </w:p>
    <w:p w14:paraId="6B4D25AD" w14:textId="69D1F130" w:rsidR="001A4F1A" w:rsidRPr="00D6101B" w:rsidRDefault="001A4F1A" w:rsidP="00E858EF">
      <w:pPr>
        <w:pStyle w:val="Titolo3"/>
        <w:keepNext w:val="0"/>
        <w:keepLines w:val="0"/>
        <w:suppressAutoHyphens/>
      </w:pPr>
      <w:bookmarkStart w:id="666" w:name="_Toc517745295"/>
      <w:bookmarkStart w:id="667" w:name="_Toc519894648"/>
      <w:r w:rsidRPr="00D6101B">
        <w:t>Data limit</w:t>
      </w:r>
      <w:r w:rsidR="002F399A">
        <w:t>ations</w:t>
      </w:r>
      <w:bookmarkEnd w:id="666"/>
      <w:bookmarkEnd w:id="667"/>
    </w:p>
    <w:p w14:paraId="09AB3C7C" w14:textId="77777777" w:rsidR="001A4F1A"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 xml:space="preserve">Although </w:t>
      </w:r>
      <w:r w:rsidRPr="00D6101B">
        <w:rPr>
          <w:color w:val="000000"/>
        </w:rPr>
        <w:t xml:space="preserve">the number of tombs with larnakes is relatively high, </w:t>
      </w:r>
      <w:r>
        <w:rPr>
          <w:color w:val="000000"/>
        </w:rPr>
        <w:t>the available data from the</w:t>
      </w:r>
      <w:r w:rsidRPr="00D6101B">
        <w:rPr>
          <w:color w:val="000000"/>
        </w:rPr>
        <w:t xml:space="preserve"> related skeletal assemblage</w:t>
      </w:r>
      <w:r>
        <w:rPr>
          <w:color w:val="000000"/>
        </w:rPr>
        <w:t>s is more limited. The general poor quality of data regarding mortuary practices and the manipulation of the dead is a problem for the entire Bronze Age period in Crete (Nafplioti 2015: 277); it also affects tombs with larnakes in the Early/Middle Minoan period (Triantaphyllou 2005: 70).</w:t>
      </w:r>
    </w:p>
    <w:p w14:paraId="093C2469" w14:textId="7C8C01F9"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In particular, all the information considered in the following section is affected by this lack of info</w:t>
      </w:r>
      <w:r w:rsidR="008322D1">
        <w:rPr>
          <w:color w:val="000000"/>
        </w:rPr>
        <w:t>rmation</w:t>
      </w:r>
      <w:r>
        <w:rPr>
          <w:color w:val="000000"/>
        </w:rPr>
        <w:t xml:space="preserve">: i.e. the </w:t>
      </w:r>
      <w:r w:rsidRPr="00D6101B">
        <w:rPr>
          <w:color w:val="000000"/>
        </w:rPr>
        <w:t>minimum number o</w:t>
      </w:r>
      <w:r>
        <w:rPr>
          <w:color w:val="000000"/>
        </w:rPr>
        <w:t>f individuals per tomb/cemetery, the numbers and places of the depositions within the tomb; for example, number of individuals within the larnax on the floor or in the pit;</w:t>
      </w:r>
      <w:r w:rsidRPr="00D6101B">
        <w:rPr>
          <w:color w:val="000000"/>
        </w:rPr>
        <w:t xml:space="preserve"> </w:t>
      </w:r>
      <w:r>
        <w:rPr>
          <w:color w:val="000000"/>
        </w:rPr>
        <w:t>the identification of skeletal remains; the burial stages and the occurrence of secondary treatments of the deceased; the</w:t>
      </w:r>
      <w:r w:rsidRPr="00D6101B">
        <w:rPr>
          <w:color w:val="000000"/>
        </w:rPr>
        <w:t xml:space="preserve"> </w:t>
      </w:r>
      <w:r>
        <w:rPr>
          <w:color w:val="000000"/>
        </w:rPr>
        <w:t>deceased’s gender and age; and also</w:t>
      </w:r>
      <w:r w:rsidRPr="00D6101B">
        <w:rPr>
          <w:color w:val="000000"/>
        </w:rPr>
        <w:t xml:space="preserve"> more complex information </w:t>
      </w:r>
      <w:r>
        <w:rPr>
          <w:color w:val="000000"/>
        </w:rPr>
        <w:t>such as</w:t>
      </w:r>
      <w:r w:rsidRPr="00D6101B">
        <w:rPr>
          <w:color w:val="000000"/>
        </w:rPr>
        <w:t xml:space="preserve"> health or oral status</w:t>
      </w:r>
      <w:r>
        <w:rPr>
          <w:color w:val="000000"/>
        </w:rPr>
        <w:t xml:space="preserve"> of the deceased</w:t>
      </w:r>
      <w:r w:rsidRPr="00D6101B">
        <w:rPr>
          <w:color w:val="000000"/>
        </w:rPr>
        <w:t xml:space="preserve">. </w:t>
      </w:r>
    </w:p>
    <w:p w14:paraId="634D8EEF" w14:textId="2D2EC6D4" w:rsidR="001A4F1A" w:rsidRPr="00D6101B" w:rsidRDefault="00EF45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001A4F1A" w:rsidRPr="00D6101B">
        <w:rPr>
          <w:color w:val="000000"/>
        </w:rPr>
        <w:t>Th</w:t>
      </w:r>
      <w:r w:rsidR="001A4F1A">
        <w:rPr>
          <w:color w:val="000000"/>
        </w:rPr>
        <w:t>e lack of information is due to several factors,</w:t>
      </w:r>
      <w:r w:rsidR="001A4F1A" w:rsidRPr="00D6101B">
        <w:rPr>
          <w:color w:val="000000"/>
        </w:rPr>
        <w:t xml:space="preserve"> </w:t>
      </w:r>
      <w:r w:rsidR="001A4F1A">
        <w:rPr>
          <w:color w:val="000000"/>
        </w:rPr>
        <w:t>which</w:t>
      </w:r>
      <w:r w:rsidR="001A4F1A" w:rsidRPr="00D6101B">
        <w:rPr>
          <w:color w:val="000000"/>
        </w:rPr>
        <w:t xml:space="preserve"> </w:t>
      </w:r>
      <w:r w:rsidR="001A4F1A">
        <w:rPr>
          <w:color w:val="000000"/>
        </w:rPr>
        <w:t>are</w:t>
      </w:r>
      <w:r w:rsidR="001A4F1A" w:rsidRPr="00D6101B">
        <w:rPr>
          <w:color w:val="000000"/>
        </w:rPr>
        <w:t xml:space="preserve"> summarised in the following point</w:t>
      </w:r>
      <w:r w:rsidR="001A4F1A">
        <w:rPr>
          <w:color w:val="000000"/>
        </w:rPr>
        <w:t>s</w:t>
      </w:r>
      <w:r w:rsidR="001A4F1A" w:rsidRPr="00D6101B">
        <w:rPr>
          <w:color w:val="000000"/>
        </w:rPr>
        <w:t>:</w:t>
      </w:r>
    </w:p>
    <w:p w14:paraId="317148E8" w14:textId="77777777" w:rsidR="001A4F1A" w:rsidRPr="004A5B86" w:rsidRDefault="001A4F1A" w:rsidP="00E858EF">
      <w:pPr>
        <w:pStyle w:val="Paragrafoelenco"/>
        <w:numPr>
          <w:ilvl w:val="0"/>
          <w:numId w:val="3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b/>
          <w:bCs/>
          <w:color w:val="000000"/>
        </w:rPr>
      </w:pPr>
      <w:r>
        <w:rPr>
          <w:bCs/>
          <w:color w:val="000000"/>
        </w:rPr>
        <w:t xml:space="preserve"> The first reason</w:t>
      </w:r>
      <w:r w:rsidRPr="00D6101B">
        <w:rPr>
          <w:bCs/>
          <w:color w:val="000000"/>
        </w:rPr>
        <w:t xml:space="preserve"> concern</w:t>
      </w:r>
      <w:r>
        <w:rPr>
          <w:bCs/>
          <w:color w:val="000000"/>
        </w:rPr>
        <w:t>s</w:t>
      </w:r>
      <w:r w:rsidRPr="00D6101B">
        <w:rPr>
          <w:bCs/>
          <w:color w:val="000000"/>
        </w:rPr>
        <w:t xml:space="preserve"> burial prac</w:t>
      </w:r>
      <w:r>
        <w:rPr>
          <w:bCs/>
          <w:color w:val="000000"/>
        </w:rPr>
        <w:t xml:space="preserve">tices themselves: </w:t>
      </w:r>
      <w:r w:rsidRPr="00D6101B">
        <w:rPr>
          <w:bCs/>
          <w:color w:val="000000"/>
        </w:rPr>
        <w:t>tombs with larnakes and larnakes</w:t>
      </w:r>
      <w:r>
        <w:rPr>
          <w:bCs/>
          <w:color w:val="000000"/>
        </w:rPr>
        <w:t xml:space="preserve"> themselves,</w:t>
      </w:r>
      <w:r w:rsidRPr="00D6101B">
        <w:rPr>
          <w:bCs/>
          <w:color w:val="000000"/>
        </w:rPr>
        <w:t xml:space="preserve"> in the vast majority of cases</w:t>
      </w:r>
      <w:r>
        <w:rPr>
          <w:bCs/>
          <w:color w:val="000000"/>
        </w:rPr>
        <w:t>,</w:t>
      </w:r>
      <w:r w:rsidRPr="00D6101B">
        <w:rPr>
          <w:bCs/>
          <w:color w:val="000000"/>
        </w:rPr>
        <w:t xml:space="preserve"> were continuously reopened and reused. This is demonstrated by th</w:t>
      </w:r>
      <w:r>
        <w:rPr>
          <w:bCs/>
          <w:color w:val="000000"/>
        </w:rPr>
        <w:t>e chronological span of use of the tombs (Chapter 3)</w:t>
      </w:r>
      <w:r w:rsidRPr="00D6101B">
        <w:rPr>
          <w:bCs/>
          <w:color w:val="000000"/>
        </w:rPr>
        <w:t>. Therefore</w:t>
      </w:r>
      <w:r>
        <w:rPr>
          <w:bCs/>
          <w:color w:val="000000"/>
        </w:rPr>
        <w:t>,</w:t>
      </w:r>
      <w:r w:rsidRPr="00D6101B">
        <w:rPr>
          <w:bCs/>
          <w:color w:val="000000"/>
        </w:rPr>
        <w:t xml:space="preserve"> </w:t>
      </w:r>
      <w:r>
        <w:rPr>
          <w:bCs/>
          <w:color w:val="000000"/>
        </w:rPr>
        <w:t>often, after a certain period, the</w:t>
      </w:r>
      <w:r w:rsidRPr="00D6101B">
        <w:rPr>
          <w:bCs/>
          <w:color w:val="000000"/>
        </w:rPr>
        <w:t xml:space="preserve"> first individual buried in the larnax</w:t>
      </w:r>
      <w:r>
        <w:rPr>
          <w:bCs/>
          <w:color w:val="000000"/>
        </w:rPr>
        <w:t>, or using another interment method (e.g. wooden bier/chest, pithos, floor burial),</w:t>
      </w:r>
      <w:r w:rsidRPr="00D6101B">
        <w:rPr>
          <w:bCs/>
          <w:color w:val="000000"/>
        </w:rPr>
        <w:t xml:space="preserve"> along with the</w:t>
      </w:r>
      <w:r>
        <w:rPr>
          <w:bCs/>
          <w:color w:val="000000"/>
        </w:rPr>
        <w:t xml:space="preserve"> associated </w:t>
      </w:r>
      <w:r w:rsidRPr="00D6101B">
        <w:rPr>
          <w:bCs/>
          <w:color w:val="000000"/>
        </w:rPr>
        <w:t xml:space="preserve">grave goods, </w:t>
      </w:r>
      <w:r>
        <w:rPr>
          <w:bCs/>
          <w:color w:val="000000"/>
        </w:rPr>
        <w:t>were manipulated and possibly also relocated elsewhere in tomb context (e.g. i</w:t>
      </w:r>
      <w:r w:rsidRPr="00D6101B">
        <w:rPr>
          <w:bCs/>
          <w:color w:val="000000"/>
        </w:rPr>
        <w:t>n</w:t>
      </w:r>
      <w:r>
        <w:rPr>
          <w:bCs/>
          <w:color w:val="000000"/>
        </w:rPr>
        <w:t xml:space="preserve"> another location on</w:t>
      </w:r>
      <w:r w:rsidRPr="00D6101B">
        <w:rPr>
          <w:bCs/>
          <w:color w:val="000000"/>
        </w:rPr>
        <w:t xml:space="preserve"> the floor</w:t>
      </w:r>
      <w:r>
        <w:rPr>
          <w:bCs/>
          <w:color w:val="000000"/>
        </w:rPr>
        <w:t>, or in a pit in</w:t>
      </w:r>
      <w:r w:rsidRPr="00D6101B">
        <w:rPr>
          <w:bCs/>
          <w:color w:val="000000"/>
        </w:rPr>
        <w:t xml:space="preserve"> the tomb</w:t>
      </w:r>
      <w:r>
        <w:rPr>
          <w:bCs/>
          <w:color w:val="000000"/>
        </w:rPr>
        <w:t>,</w:t>
      </w:r>
      <w:r w:rsidRPr="00D6101B">
        <w:rPr>
          <w:bCs/>
          <w:color w:val="000000"/>
        </w:rPr>
        <w:t xml:space="preserve"> or in a niche</w:t>
      </w:r>
      <w:r>
        <w:rPr>
          <w:bCs/>
          <w:color w:val="000000"/>
        </w:rPr>
        <w:t>, or in another larnax, or accumulated in one larnax</w:t>
      </w:r>
      <w:r w:rsidRPr="00D6101B">
        <w:rPr>
          <w:bCs/>
          <w:color w:val="000000"/>
        </w:rPr>
        <w:t>)</w:t>
      </w:r>
      <w:r>
        <w:rPr>
          <w:bCs/>
          <w:color w:val="000000"/>
        </w:rPr>
        <w:t xml:space="preserve"> to make space for a new burial within the larnax. This process of ‘emptying the larnax’ or generally manipulating the body of the deceased following a certain period and reusing the tomb (the larnax or any other burial container, or the space within the tomb) </w:t>
      </w:r>
      <w:r w:rsidRPr="004A5B86">
        <w:rPr>
          <w:bCs/>
          <w:color w:val="000000"/>
        </w:rPr>
        <w:t xml:space="preserve">could happen many times or not at all. </w:t>
      </w:r>
    </w:p>
    <w:p w14:paraId="6206BD34" w14:textId="77777777" w:rsidR="001A4F1A" w:rsidRPr="00B27FA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708"/>
        <w:rPr>
          <w:b/>
          <w:bCs/>
          <w:color w:val="000000"/>
        </w:rPr>
      </w:pPr>
      <w:r>
        <w:rPr>
          <w:bCs/>
          <w:color w:val="000000"/>
        </w:rPr>
        <w:tab/>
      </w:r>
      <w:r w:rsidRPr="00B27FA4">
        <w:rPr>
          <w:bCs/>
          <w:color w:val="000000"/>
        </w:rPr>
        <w:t xml:space="preserve">This </w:t>
      </w:r>
      <w:r>
        <w:rPr>
          <w:bCs/>
          <w:color w:val="000000"/>
        </w:rPr>
        <w:t>suggests</w:t>
      </w:r>
      <w:r w:rsidRPr="00B27FA4">
        <w:rPr>
          <w:bCs/>
          <w:color w:val="000000"/>
        </w:rPr>
        <w:t xml:space="preserve"> that it is </w:t>
      </w:r>
      <w:r>
        <w:rPr>
          <w:bCs/>
          <w:color w:val="000000"/>
        </w:rPr>
        <w:t>very</w:t>
      </w:r>
      <w:r w:rsidRPr="00B27FA4">
        <w:rPr>
          <w:bCs/>
          <w:color w:val="000000"/>
        </w:rPr>
        <w:t xml:space="preserve"> difficult to</w:t>
      </w:r>
      <w:r>
        <w:rPr>
          <w:bCs/>
          <w:color w:val="000000"/>
        </w:rPr>
        <w:t xml:space="preserve"> strictly</w:t>
      </w:r>
      <w:r w:rsidRPr="00B27FA4">
        <w:rPr>
          <w:bCs/>
          <w:color w:val="000000"/>
        </w:rPr>
        <w:t xml:space="preserve"> associate a specific larnax with</w:t>
      </w:r>
      <w:r>
        <w:rPr>
          <w:bCs/>
          <w:color w:val="000000"/>
        </w:rPr>
        <w:t xml:space="preserve"> a single individual within the tomb, especially when there is evidence of secondary treatment of the deceased and of skeletal remains being placed elsewhere in the tomb</w:t>
      </w:r>
      <w:r w:rsidRPr="00B27FA4">
        <w:rPr>
          <w:bCs/>
          <w:color w:val="000000"/>
        </w:rPr>
        <w:t xml:space="preserve">. </w:t>
      </w:r>
      <w:r>
        <w:rPr>
          <w:bCs/>
          <w:color w:val="000000"/>
        </w:rPr>
        <w:t>If</w:t>
      </w:r>
      <w:r w:rsidRPr="00B27FA4">
        <w:rPr>
          <w:bCs/>
          <w:color w:val="000000"/>
        </w:rPr>
        <w:t xml:space="preserve"> there </w:t>
      </w:r>
      <w:r>
        <w:rPr>
          <w:bCs/>
          <w:color w:val="000000"/>
        </w:rPr>
        <w:t>is</w:t>
      </w:r>
      <w:r w:rsidRPr="00B27FA4">
        <w:rPr>
          <w:bCs/>
          <w:color w:val="000000"/>
        </w:rPr>
        <w:t xml:space="preserve"> no evidence of such practice</w:t>
      </w:r>
      <w:r>
        <w:rPr>
          <w:bCs/>
          <w:color w:val="000000"/>
        </w:rPr>
        <w:t xml:space="preserve">s and a </w:t>
      </w:r>
      <w:r w:rsidRPr="00B27FA4">
        <w:rPr>
          <w:bCs/>
          <w:color w:val="000000"/>
        </w:rPr>
        <w:t>primary deposition</w:t>
      </w:r>
      <w:r>
        <w:rPr>
          <w:bCs/>
          <w:color w:val="000000"/>
        </w:rPr>
        <w:t xml:space="preserve"> is</w:t>
      </w:r>
      <w:r w:rsidRPr="00B27FA4">
        <w:rPr>
          <w:bCs/>
          <w:color w:val="000000"/>
        </w:rPr>
        <w:t xml:space="preserve"> found within the larnax (</w:t>
      </w:r>
      <w:r>
        <w:rPr>
          <w:bCs/>
          <w:color w:val="000000"/>
        </w:rPr>
        <w:t>e.g</w:t>
      </w:r>
      <w:r w:rsidRPr="00B27FA4">
        <w:rPr>
          <w:bCs/>
          <w:color w:val="000000"/>
        </w:rPr>
        <w:t xml:space="preserve">. </w:t>
      </w:r>
      <w:r>
        <w:rPr>
          <w:bCs/>
          <w:color w:val="000000"/>
        </w:rPr>
        <w:t xml:space="preserve">at </w:t>
      </w:r>
      <w:r w:rsidRPr="00B27FA4">
        <w:rPr>
          <w:bCs/>
          <w:color w:val="000000"/>
        </w:rPr>
        <w:t>Pankalochori</w:t>
      </w:r>
      <w:r>
        <w:rPr>
          <w:bCs/>
          <w:color w:val="000000"/>
        </w:rPr>
        <w:t>:</w:t>
      </w:r>
      <w:r w:rsidRPr="00B27FA4">
        <w:rPr>
          <w:bCs/>
          <w:color w:val="000000"/>
        </w:rPr>
        <w:t xml:space="preserve"> Baxevani</w:t>
      </w:r>
      <w:r>
        <w:rPr>
          <w:bCs/>
          <w:color w:val="000000"/>
        </w:rPr>
        <w:t xml:space="preserve"> and</w:t>
      </w:r>
      <w:r w:rsidRPr="00B27FA4">
        <w:rPr>
          <w:bCs/>
          <w:color w:val="000000"/>
        </w:rPr>
        <w:t xml:space="preserve"> </w:t>
      </w:r>
      <w:r>
        <w:rPr>
          <w:bCs/>
          <w:color w:val="000000"/>
        </w:rPr>
        <w:t>Markoulaki 1996: 646), it is quite likely</w:t>
      </w:r>
      <w:r w:rsidRPr="00B27FA4">
        <w:rPr>
          <w:bCs/>
          <w:color w:val="000000"/>
        </w:rPr>
        <w:t xml:space="preserve"> that this</w:t>
      </w:r>
      <w:r>
        <w:rPr>
          <w:bCs/>
          <w:color w:val="000000"/>
        </w:rPr>
        <w:t xml:space="preserve"> burial was the first and only use of the larnax</w:t>
      </w:r>
      <w:r w:rsidRPr="00B27FA4">
        <w:rPr>
          <w:bCs/>
          <w:color w:val="000000"/>
        </w:rPr>
        <w:t>.</w:t>
      </w:r>
    </w:p>
    <w:p w14:paraId="37955453" w14:textId="77777777" w:rsidR="001A4F1A" w:rsidRPr="00D6101B" w:rsidRDefault="001A4F1A" w:rsidP="00E858EF">
      <w:pPr>
        <w:pStyle w:val="Paragrafoelenco"/>
        <w:numPr>
          <w:ilvl w:val="0"/>
          <w:numId w:val="3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b/>
          <w:bCs/>
          <w:color w:val="000000"/>
        </w:rPr>
      </w:pPr>
      <w:r>
        <w:rPr>
          <w:bCs/>
          <w:color w:val="000000"/>
        </w:rPr>
        <w:t xml:space="preserve"> Tomb</w:t>
      </w:r>
      <w:r w:rsidRPr="00D6101B">
        <w:rPr>
          <w:bCs/>
          <w:color w:val="000000"/>
        </w:rPr>
        <w:t xml:space="preserve"> assemblages have been affected also by external disturbance</w:t>
      </w:r>
      <w:r>
        <w:rPr>
          <w:bCs/>
          <w:color w:val="000000"/>
        </w:rPr>
        <w:t>,</w:t>
      </w:r>
      <w:r w:rsidRPr="00D6101B">
        <w:rPr>
          <w:bCs/>
          <w:color w:val="000000"/>
        </w:rPr>
        <w:t xml:space="preserve"> </w:t>
      </w:r>
      <w:r>
        <w:rPr>
          <w:bCs/>
          <w:color w:val="000000"/>
        </w:rPr>
        <w:t>such as</w:t>
      </w:r>
      <w:r w:rsidRPr="00D6101B">
        <w:rPr>
          <w:bCs/>
          <w:color w:val="000000"/>
        </w:rPr>
        <w:t xml:space="preserve"> robbery and environmental conditions. </w:t>
      </w:r>
      <w:r>
        <w:rPr>
          <w:bCs/>
          <w:color w:val="000000"/>
        </w:rPr>
        <w:t>Such</w:t>
      </w:r>
      <w:r w:rsidRPr="00D6101B">
        <w:rPr>
          <w:bCs/>
          <w:color w:val="000000"/>
        </w:rPr>
        <w:t xml:space="preserve"> factors have caused problem</w:t>
      </w:r>
      <w:r>
        <w:rPr>
          <w:bCs/>
          <w:color w:val="000000"/>
        </w:rPr>
        <w:t>s</w:t>
      </w:r>
      <w:r w:rsidRPr="00D6101B">
        <w:rPr>
          <w:bCs/>
          <w:color w:val="000000"/>
        </w:rPr>
        <w:t xml:space="preserve"> </w:t>
      </w:r>
      <w:r>
        <w:rPr>
          <w:bCs/>
          <w:color w:val="000000"/>
        </w:rPr>
        <w:t>for</w:t>
      </w:r>
      <w:r w:rsidRPr="00D6101B">
        <w:rPr>
          <w:bCs/>
          <w:color w:val="000000"/>
        </w:rPr>
        <w:t xml:space="preserve"> the preservation of skeletal remains</w:t>
      </w:r>
      <w:r>
        <w:rPr>
          <w:bCs/>
          <w:color w:val="000000"/>
        </w:rPr>
        <w:t xml:space="preserve"> (e.g. removal of information by thieves at </w:t>
      </w:r>
      <w:r w:rsidRPr="00D6101B">
        <w:rPr>
          <w:bCs/>
          <w:color w:val="000000"/>
        </w:rPr>
        <w:t>Marou</w:t>
      </w:r>
      <w:r>
        <w:rPr>
          <w:bCs/>
          <w:color w:val="000000"/>
        </w:rPr>
        <w:t>las Mezaria: see Papadopoulou 2017; rodent interference in skeletal remains preservation at Limenaria cemetery at Mochlos:</w:t>
      </w:r>
      <w:r w:rsidRPr="00D6101B">
        <w:rPr>
          <w:bCs/>
          <w:color w:val="000000"/>
        </w:rPr>
        <w:t xml:space="preserve"> </w:t>
      </w:r>
      <w:r>
        <w:rPr>
          <w:bCs/>
          <w:color w:val="000000"/>
        </w:rPr>
        <w:t xml:space="preserve">see </w:t>
      </w:r>
      <w:r w:rsidRPr="00D6101B">
        <w:rPr>
          <w:bCs/>
          <w:color w:val="000000"/>
        </w:rPr>
        <w:t>Triantaphyllou 2011: 4).</w:t>
      </w:r>
    </w:p>
    <w:p w14:paraId="76D0C539" w14:textId="77777777" w:rsidR="001A4F1A" w:rsidRPr="00E772DC" w:rsidRDefault="001A4F1A" w:rsidP="00E858EF">
      <w:pPr>
        <w:pStyle w:val="Paragrafoelenco"/>
        <w:numPr>
          <w:ilvl w:val="0"/>
          <w:numId w:val="3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b/>
          <w:bCs/>
          <w:color w:val="000000"/>
        </w:rPr>
      </w:pPr>
      <w:r>
        <w:rPr>
          <w:bCs/>
          <w:color w:val="000000"/>
        </w:rPr>
        <w:t xml:space="preserve"> A further factor</w:t>
      </w:r>
      <w:r w:rsidRPr="00D6101B">
        <w:rPr>
          <w:bCs/>
          <w:color w:val="000000"/>
        </w:rPr>
        <w:t xml:space="preserve"> that contributes to the lack of information concerning skeletal remains </w:t>
      </w:r>
      <w:r>
        <w:rPr>
          <w:bCs/>
          <w:color w:val="000000"/>
        </w:rPr>
        <w:t>is</w:t>
      </w:r>
      <w:r w:rsidRPr="00D6101B">
        <w:rPr>
          <w:bCs/>
          <w:color w:val="000000"/>
        </w:rPr>
        <w:t xml:space="preserve"> recovery bias and </w:t>
      </w:r>
      <w:r>
        <w:rPr>
          <w:bCs/>
          <w:color w:val="000000"/>
        </w:rPr>
        <w:t xml:space="preserve">the </w:t>
      </w:r>
      <w:r w:rsidRPr="00D6101B">
        <w:rPr>
          <w:bCs/>
          <w:color w:val="000000"/>
        </w:rPr>
        <w:t xml:space="preserve">lack of study of the skeletal remains. A considerable number of tombs </w:t>
      </w:r>
      <w:r>
        <w:rPr>
          <w:bCs/>
          <w:color w:val="000000"/>
        </w:rPr>
        <w:t>were</w:t>
      </w:r>
      <w:r w:rsidRPr="00D6101B">
        <w:rPr>
          <w:bCs/>
          <w:color w:val="000000"/>
        </w:rPr>
        <w:t xml:space="preserve"> excavated in the first half of the </w:t>
      </w:r>
      <w:r>
        <w:rPr>
          <w:bCs/>
          <w:color w:val="000000"/>
        </w:rPr>
        <w:t>20</w:t>
      </w:r>
      <w:r w:rsidRPr="00722DA7">
        <w:rPr>
          <w:bCs/>
          <w:color w:val="000000"/>
          <w:vertAlign w:val="superscript"/>
        </w:rPr>
        <w:t>th</w:t>
      </w:r>
      <w:r w:rsidRPr="00D6101B">
        <w:rPr>
          <w:bCs/>
          <w:color w:val="000000"/>
        </w:rPr>
        <w:t xml:space="preserve"> century with a lack of attention for the skeletal assemblage</w:t>
      </w:r>
      <w:r>
        <w:rPr>
          <w:bCs/>
          <w:color w:val="000000"/>
        </w:rPr>
        <w:t>s (Nafplioti 2015: 277)</w:t>
      </w:r>
      <w:r w:rsidRPr="00D6101B">
        <w:rPr>
          <w:bCs/>
          <w:color w:val="000000"/>
        </w:rPr>
        <w:t>.</w:t>
      </w:r>
      <w:r>
        <w:rPr>
          <w:bCs/>
          <w:color w:val="000000"/>
        </w:rPr>
        <w:t xml:space="preserve"> This suggests a very low reliability for detecting the occurrence of evidence regarding wooden bier/chest deposition that might have been inaccurately registered as floor burials.</w:t>
      </w:r>
    </w:p>
    <w:p w14:paraId="422B0A14" w14:textId="77777777" w:rsidR="001A4F1A" w:rsidRPr="00E772DC"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708"/>
        <w:rPr>
          <w:b/>
          <w:bCs/>
          <w:color w:val="000000"/>
        </w:rPr>
      </w:pPr>
      <w:r>
        <w:rPr>
          <w:bCs/>
          <w:color w:val="000000"/>
        </w:rPr>
        <w:tab/>
      </w:r>
      <w:r w:rsidRPr="00E772DC">
        <w:rPr>
          <w:bCs/>
          <w:color w:val="000000"/>
        </w:rPr>
        <w:t>Therefore</w:t>
      </w:r>
      <w:r>
        <w:rPr>
          <w:bCs/>
          <w:color w:val="000000"/>
        </w:rPr>
        <w:t xml:space="preserve">, excluding </w:t>
      </w:r>
      <w:r w:rsidRPr="00E772DC">
        <w:rPr>
          <w:bCs/>
          <w:color w:val="000000"/>
        </w:rPr>
        <w:t>general studies discussing specific issues</w:t>
      </w:r>
      <w:r>
        <w:rPr>
          <w:bCs/>
          <w:color w:val="000000"/>
        </w:rPr>
        <w:t xml:space="preserve"> and </w:t>
      </w:r>
      <w:r w:rsidRPr="00E772DC">
        <w:rPr>
          <w:bCs/>
          <w:color w:val="000000"/>
        </w:rPr>
        <w:t>the systematic stud</w:t>
      </w:r>
      <w:r>
        <w:rPr>
          <w:bCs/>
          <w:color w:val="000000"/>
        </w:rPr>
        <w:t>y of</w:t>
      </w:r>
      <w:r w:rsidRPr="00E772DC">
        <w:rPr>
          <w:bCs/>
          <w:color w:val="000000"/>
        </w:rPr>
        <w:t xml:space="preserve"> the skeletal remains </w:t>
      </w:r>
      <w:r>
        <w:rPr>
          <w:bCs/>
          <w:color w:val="000000"/>
        </w:rPr>
        <w:t xml:space="preserve">of some LM III cemeteries </w:t>
      </w:r>
      <w:r w:rsidRPr="00E772DC">
        <w:rPr>
          <w:bCs/>
          <w:color w:val="000000"/>
        </w:rPr>
        <w:t>there is a</w:t>
      </w:r>
      <w:r>
        <w:rPr>
          <w:bCs/>
          <w:color w:val="000000"/>
        </w:rPr>
        <w:t xml:space="preserve"> significant gap</w:t>
      </w:r>
      <w:r w:rsidRPr="00E772DC">
        <w:rPr>
          <w:bCs/>
          <w:color w:val="000000"/>
        </w:rPr>
        <w:t xml:space="preserve"> </w:t>
      </w:r>
      <w:r>
        <w:rPr>
          <w:bCs/>
          <w:color w:val="000000"/>
        </w:rPr>
        <w:t>in the</w:t>
      </w:r>
      <w:r w:rsidRPr="00E772DC">
        <w:rPr>
          <w:bCs/>
          <w:color w:val="000000"/>
        </w:rPr>
        <w:t xml:space="preserve"> systematic recording of </w:t>
      </w:r>
      <w:r>
        <w:rPr>
          <w:bCs/>
          <w:color w:val="000000"/>
        </w:rPr>
        <w:t xml:space="preserve">information of human </w:t>
      </w:r>
      <w:r w:rsidRPr="00E772DC">
        <w:rPr>
          <w:bCs/>
          <w:color w:val="000000"/>
        </w:rPr>
        <w:t>skeletal</w:t>
      </w:r>
      <w:r>
        <w:rPr>
          <w:bCs/>
          <w:color w:val="000000"/>
        </w:rPr>
        <w:t xml:space="preserve"> remains in LM III tombs (e.g. study</w:t>
      </w:r>
      <w:r w:rsidRPr="00E772DC">
        <w:rPr>
          <w:bCs/>
          <w:color w:val="000000"/>
        </w:rPr>
        <w:t xml:space="preserve"> physical anthropology concerning the Mi</w:t>
      </w:r>
      <w:r>
        <w:rPr>
          <w:bCs/>
          <w:color w:val="000000"/>
        </w:rPr>
        <w:t xml:space="preserve">noans in general: McGeorge 1988; 1990; study on </w:t>
      </w:r>
      <w:r w:rsidRPr="00E772DC">
        <w:rPr>
          <w:bCs/>
          <w:color w:val="000000"/>
        </w:rPr>
        <w:t xml:space="preserve">demography in Crete and </w:t>
      </w:r>
      <w:r>
        <w:rPr>
          <w:bCs/>
          <w:color w:val="000000"/>
        </w:rPr>
        <w:t>m</w:t>
      </w:r>
      <w:r w:rsidRPr="00E772DC">
        <w:rPr>
          <w:bCs/>
          <w:color w:val="000000"/>
        </w:rPr>
        <w:t>ainland Greece during</w:t>
      </w:r>
      <w:r>
        <w:rPr>
          <w:bCs/>
          <w:color w:val="000000"/>
        </w:rPr>
        <w:t xml:space="preserve"> the Bronze Age: Halstead 1977; </w:t>
      </w:r>
      <w:r w:rsidRPr="00E772DC">
        <w:rPr>
          <w:bCs/>
          <w:color w:val="000000"/>
        </w:rPr>
        <w:t>systematic stud</w:t>
      </w:r>
      <w:r>
        <w:rPr>
          <w:bCs/>
          <w:color w:val="000000"/>
        </w:rPr>
        <w:t>y of</w:t>
      </w:r>
      <w:r w:rsidRPr="00E772DC">
        <w:rPr>
          <w:bCs/>
          <w:color w:val="000000"/>
        </w:rPr>
        <w:t xml:space="preserve"> the skeletal remains in</w:t>
      </w:r>
      <w:r>
        <w:rPr>
          <w:bCs/>
          <w:color w:val="000000"/>
        </w:rPr>
        <w:t xml:space="preserve"> the LM III cemeteries of Chania: Hallager and McGeorge 1992; </w:t>
      </w:r>
      <w:r w:rsidRPr="00E772DC">
        <w:rPr>
          <w:bCs/>
          <w:color w:val="000000"/>
        </w:rPr>
        <w:t>systematic stud</w:t>
      </w:r>
      <w:r>
        <w:rPr>
          <w:bCs/>
          <w:color w:val="000000"/>
        </w:rPr>
        <w:t>y of</w:t>
      </w:r>
      <w:r w:rsidRPr="00E772DC">
        <w:rPr>
          <w:bCs/>
          <w:color w:val="000000"/>
        </w:rPr>
        <w:t xml:space="preserve"> the skeletal remains</w:t>
      </w:r>
      <w:r>
        <w:rPr>
          <w:bCs/>
          <w:color w:val="000000"/>
        </w:rPr>
        <w:t xml:space="preserve"> in the</w:t>
      </w:r>
      <w:r w:rsidRPr="00E772DC">
        <w:rPr>
          <w:bCs/>
          <w:color w:val="000000"/>
        </w:rPr>
        <w:t xml:space="preserve"> Mochlos</w:t>
      </w:r>
      <w:r>
        <w:rPr>
          <w:bCs/>
          <w:color w:val="000000"/>
        </w:rPr>
        <w:t xml:space="preserve">’ Artisan’s Quarter cemetery: Soles and Walker 2003; in the Mochlos Limenaria cemetery: Triantaphyllou 2011; in the </w:t>
      </w:r>
      <w:r w:rsidRPr="00E772DC">
        <w:rPr>
          <w:bCs/>
          <w:color w:val="000000"/>
        </w:rPr>
        <w:t>Kalochoraphitis</w:t>
      </w:r>
      <w:r>
        <w:rPr>
          <w:bCs/>
          <w:color w:val="000000"/>
        </w:rPr>
        <w:t xml:space="preserve"> cemetery: </w:t>
      </w:r>
      <w:r w:rsidRPr="00E772DC">
        <w:rPr>
          <w:bCs/>
          <w:color w:val="000000"/>
        </w:rPr>
        <w:t>Nafplioti 2015</w:t>
      </w:r>
      <w:r>
        <w:rPr>
          <w:bCs/>
          <w:color w:val="000000"/>
        </w:rPr>
        <w:t>)</w:t>
      </w:r>
      <w:r w:rsidRPr="00E772DC">
        <w:rPr>
          <w:bCs/>
          <w:color w:val="000000"/>
        </w:rPr>
        <w:t xml:space="preserve">. </w:t>
      </w:r>
    </w:p>
    <w:p w14:paraId="77ABE9B4" w14:textId="361EAD7B" w:rsidR="001A4F1A" w:rsidRPr="00A537AE" w:rsidRDefault="001A4F1A" w:rsidP="00E858EF">
      <w:pPr>
        <w:pStyle w:val="Titolo4"/>
        <w:keepNext w:val="0"/>
        <w:keepLines w:val="0"/>
        <w:suppressAutoHyphens/>
      </w:pPr>
      <w:bookmarkStart w:id="668" w:name="_Toc517745296"/>
      <w:r w:rsidRPr="00A537AE">
        <w:t>A way to overcome data limit</w:t>
      </w:r>
      <w:r w:rsidR="002F399A">
        <w:t>ations</w:t>
      </w:r>
      <w:bookmarkEnd w:id="668"/>
      <w:r w:rsidRPr="00A537AE">
        <w:t xml:space="preserve"> </w:t>
      </w:r>
    </w:p>
    <w:p w14:paraId="1931A8C9" w14:textId="77777777" w:rsidR="001A4F1A" w:rsidRPr="00D6101B" w:rsidRDefault="001A4F1A"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bCs/>
          <w:color w:val="000000"/>
        </w:rPr>
      </w:pPr>
      <w:r w:rsidRPr="00D6101B">
        <w:rPr>
          <w:bCs/>
          <w:color w:val="000000"/>
        </w:rPr>
        <w:t>Even if</w:t>
      </w:r>
      <w:r>
        <w:rPr>
          <w:bCs/>
          <w:color w:val="000000"/>
        </w:rPr>
        <w:t>,</w:t>
      </w:r>
      <w:r w:rsidRPr="00D6101B">
        <w:rPr>
          <w:bCs/>
          <w:color w:val="000000"/>
        </w:rPr>
        <w:t xml:space="preserve"> for all the reasons </w:t>
      </w:r>
      <w:r>
        <w:rPr>
          <w:bCs/>
          <w:color w:val="000000"/>
        </w:rPr>
        <w:t>stated above,</w:t>
      </w:r>
      <w:r w:rsidRPr="00D6101B">
        <w:rPr>
          <w:bCs/>
          <w:color w:val="000000"/>
        </w:rPr>
        <w:t xml:space="preserve"> the dataset concerning skeletal assemblage</w:t>
      </w:r>
      <w:r>
        <w:rPr>
          <w:bCs/>
          <w:color w:val="000000"/>
        </w:rPr>
        <w:t>s</w:t>
      </w:r>
      <w:r w:rsidRPr="00D6101B">
        <w:rPr>
          <w:bCs/>
          <w:color w:val="000000"/>
        </w:rPr>
        <w:t xml:space="preserve"> is </w:t>
      </w:r>
      <w:r>
        <w:rPr>
          <w:bCs/>
          <w:color w:val="000000"/>
        </w:rPr>
        <w:t xml:space="preserve">very limited </w:t>
      </w:r>
      <w:r w:rsidRPr="00D6101B">
        <w:rPr>
          <w:bCs/>
          <w:color w:val="000000"/>
        </w:rPr>
        <w:t xml:space="preserve">and </w:t>
      </w:r>
      <w:r>
        <w:rPr>
          <w:bCs/>
          <w:color w:val="000000"/>
        </w:rPr>
        <w:t>heterogenous, n</w:t>
      </w:r>
      <w:r w:rsidRPr="00D6101B">
        <w:rPr>
          <w:bCs/>
          <w:color w:val="000000"/>
        </w:rPr>
        <w:t>evertheless</w:t>
      </w:r>
      <w:r>
        <w:rPr>
          <w:bCs/>
          <w:color w:val="000000"/>
        </w:rPr>
        <w:t>,</w:t>
      </w:r>
      <w:r w:rsidRPr="00D6101B">
        <w:rPr>
          <w:bCs/>
          <w:color w:val="000000"/>
        </w:rPr>
        <w:t xml:space="preserve"> the collection of all the information </w:t>
      </w:r>
      <w:r>
        <w:rPr>
          <w:bCs/>
          <w:color w:val="000000"/>
        </w:rPr>
        <w:t>regarding</w:t>
      </w:r>
      <w:r w:rsidRPr="00D6101B">
        <w:rPr>
          <w:bCs/>
          <w:color w:val="000000"/>
        </w:rPr>
        <w:t xml:space="preserve"> skeletal remains</w:t>
      </w:r>
      <w:r>
        <w:rPr>
          <w:bCs/>
          <w:color w:val="000000"/>
        </w:rPr>
        <w:t xml:space="preserve"> </w:t>
      </w:r>
      <w:r w:rsidRPr="00D6101B">
        <w:rPr>
          <w:bCs/>
          <w:color w:val="000000"/>
        </w:rPr>
        <w:t>available from the publication records</w:t>
      </w:r>
      <w:r>
        <w:rPr>
          <w:bCs/>
          <w:color w:val="000000"/>
        </w:rPr>
        <w:t xml:space="preserve"> </w:t>
      </w:r>
      <w:r w:rsidRPr="00D6101B">
        <w:rPr>
          <w:bCs/>
          <w:color w:val="000000"/>
        </w:rPr>
        <w:t>allow</w:t>
      </w:r>
      <w:r>
        <w:rPr>
          <w:bCs/>
          <w:color w:val="000000"/>
        </w:rPr>
        <w:t>s us</w:t>
      </w:r>
      <w:r w:rsidRPr="00D6101B">
        <w:rPr>
          <w:bCs/>
          <w:color w:val="000000"/>
        </w:rPr>
        <w:t xml:space="preserve"> to trace the existence of possible patterns of larnax use</w:t>
      </w:r>
      <w:r>
        <w:rPr>
          <w:bCs/>
          <w:color w:val="000000"/>
        </w:rPr>
        <w:t>.</w:t>
      </w:r>
      <w:r w:rsidRPr="00D6101B">
        <w:rPr>
          <w:bCs/>
          <w:color w:val="000000"/>
        </w:rPr>
        <w:t xml:space="preserve"> </w:t>
      </w:r>
      <w:r>
        <w:rPr>
          <w:bCs/>
          <w:color w:val="000000"/>
        </w:rPr>
        <w:t>These patterns may be regional, local, or change</w:t>
      </w:r>
      <w:r w:rsidRPr="00D6101B">
        <w:rPr>
          <w:bCs/>
          <w:color w:val="000000"/>
        </w:rPr>
        <w:t xml:space="preserve"> within the same group</w:t>
      </w:r>
      <w:r>
        <w:rPr>
          <w:bCs/>
          <w:color w:val="000000"/>
        </w:rPr>
        <w:t>,</w:t>
      </w:r>
      <w:r w:rsidRPr="00D6101B">
        <w:rPr>
          <w:bCs/>
          <w:color w:val="000000"/>
        </w:rPr>
        <w:t xml:space="preserve"> or they could be homogenous through</w:t>
      </w:r>
      <w:r>
        <w:rPr>
          <w:bCs/>
          <w:color w:val="000000"/>
        </w:rPr>
        <w:t>out</w:t>
      </w:r>
      <w:r w:rsidRPr="00D6101B">
        <w:rPr>
          <w:bCs/>
          <w:color w:val="000000"/>
        </w:rPr>
        <w:t xml:space="preserve"> the island</w:t>
      </w:r>
      <w:r>
        <w:rPr>
          <w:bCs/>
          <w:color w:val="000000"/>
        </w:rPr>
        <w:t>.</w:t>
      </w:r>
      <w:r w:rsidRPr="00D6101B">
        <w:rPr>
          <w:bCs/>
          <w:color w:val="000000"/>
        </w:rPr>
        <w:t xml:space="preserve"> </w:t>
      </w:r>
      <w:r>
        <w:rPr>
          <w:bCs/>
          <w:color w:val="000000"/>
        </w:rPr>
        <w:t>F</w:t>
      </w:r>
      <w:r w:rsidRPr="00D6101B">
        <w:rPr>
          <w:bCs/>
          <w:color w:val="000000"/>
        </w:rPr>
        <w:t>urthermore</w:t>
      </w:r>
      <w:r>
        <w:rPr>
          <w:bCs/>
          <w:color w:val="000000"/>
        </w:rPr>
        <w:t>,</w:t>
      </w:r>
      <w:r w:rsidRPr="00D6101B">
        <w:rPr>
          <w:bCs/>
          <w:color w:val="000000"/>
        </w:rPr>
        <w:t xml:space="preserve"> </w:t>
      </w:r>
      <w:r>
        <w:rPr>
          <w:bCs/>
          <w:color w:val="000000"/>
        </w:rPr>
        <w:t>the records</w:t>
      </w:r>
      <w:r w:rsidRPr="00D6101B">
        <w:rPr>
          <w:bCs/>
          <w:color w:val="000000"/>
        </w:rPr>
        <w:t xml:space="preserve"> allow</w:t>
      </w:r>
      <w:r>
        <w:rPr>
          <w:bCs/>
          <w:color w:val="000000"/>
        </w:rPr>
        <w:t xml:space="preserve"> us</w:t>
      </w:r>
      <w:r w:rsidRPr="00D6101B">
        <w:rPr>
          <w:bCs/>
          <w:color w:val="000000"/>
        </w:rPr>
        <w:t xml:space="preserve"> to isolate the tombs with the best published dataset and </w:t>
      </w:r>
      <w:r>
        <w:rPr>
          <w:bCs/>
          <w:color w:val="000000"/>
        </w:rPr>
        <w:t>thus</w:t>
      </w:r>
      <w:r w:rsidRPr="00D6101B">
        <w:rPr>
          <w:bCs/>
          <w:color w:val="000000"/>
        </w:rPr>
        <w:t xml:space="preserve"> see if we </w:t>
      </w:r>
      <w:r>
        <w:rPr>
          <w:bCs/>
          <w:color w:val="000000"/>
        </w:rPr>
        <w:t>can more accurately</w:t>
      </w:r>
      <w:r w:rsidRPr="00D6101B">
        <w:rPr>
          <w:bCs/>
          <w:color w:val="000000"/>
        </w:rPr>
        <w:t xml:space="preserve"> reconstruct identity</w:t>
      </w:r>
      <w:r>
        <w:rPr>
          <w:bCs/>
          <w:color w:val="000000"/>
        </w:rPr>
        <w:t xml:space="preserve"> by</w:t>
      </w:r>
      <w:r w:rsidRPr="00D6101B">
        <w:rPr>
          <w:bCs/>
          <w:color w:val="000000"/>
        </w:rPr>
        <w:t xml:space="preserve"> analysing </w:t>
      </w:r>
      <w:r>
        <w:rPr>
          <w:bCs/>
          <w:color w:val="000000"/>
        </w:rPr>
        <w:t>whether</w:t>
      </w:r>
      <w:r w:rsidRPr="00D6101B">
        <w:rPr>
          <w:bCs/>
          <w:color w:val="000000"/>
        </w:rPr>
        <w:t xml:space="preserve"> the sample available </w:t>
      </w:r>
      <w:r>
        <w:rPr>
          <w:bCs/>
          <w:color w:val="000000"/>
        </w:rPr>
        <w:t>displays</w:t>
      </w:r>
      <w:r w:rsidRPr="00D6101B">
        <w:rPr>
          <w:bCs/>
          <w:color w:val="000000"/>
        </w:rPr>
        <w:t xml:space="preserve"> any particular connection between larnax type</w:t>
      </w:r>
      <w:r>
        <w:rPr>
          <w:bCs/>
          <w:color w:val="000000"/>
        </w:rPr>
        <w:t>,</w:t>
      </w:r>
      <w:r w:rsidRPr="00D6101B">
        <w:rPr>
          <w:bCs/>
          <w:color w:val="000000"/>
        </w:rPr>
        <w:t xml:space="preserve"> gender and</w:t>
      </w:r>
      <w:r>
        <w:rPr>
          <w:bCs/>
          <w:color w:val="000000"/>
        </w:rPr>
        <w:t>/or</w:t>
      </w:r>
      <w:r w:rsidRPr="00D6101B">
        <w:rPr>
          <w:bCs/>
          <w:color w:val="000000"/>
        </w:rPr>
        <w:t xml:space="preserve"> age.</w:t>
      </w:r>
    </w:p>
    <w:p w14:paraId="2124ED61" w14:textId="77777777" w:rsidR="001A4F1A" w:rsidRPr="00D6101B" w:rsidRDefault="001A4F1A"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bCs/>
          <w:color w:val="000000"/>
        </w:rPr>
      </w:pPr>
      <w:r>
        <w:rPr>
          <w:bCs/>
          <w:color w:val="000000"/>
        </w:rPr>
        <w:tab/>
        <w:t>T</w:t>
      </w:r>
      <w:r w:rsidRPr="00D6101B">
        <w:rPr>
          <w:bCs/>
          <w:color w:val="000000"/>
        </w:rPr>
        <w:t>o do that</w:t>
      </w:r>
      <w:r>
        <w:rPr>
          <w:bCs/>
          <w:color w:val="000000"/>
        </w:rPr>
        <w:t>,</w:t>
      </w:r>
      <w:r w:rsidRPr="00D6101B">
        <w:rPr>
          <w:bCs/>
          <w:color w:val="000000"/>
        </w:rPr>
        <w:t xml:space="preserve"> the information collected in the stud</w:t>
      </w:r>
      <w:r>
        <w:rPr>
          <w:bCs/>
          <w:color w:val="000000"/>
        </w:rPr>
        <w:t>ies</w:t>
      </w:r>
      <w:r w:rsidRPr="00D6101B">
        <w:rPr>
          <w:bCs/>
          <w:color w:val="000000"/>
        </w:rPr>
        <w:t xml:space="preserve"> </w:t>
      </w:r>
      <w:r>
        <w:rPr>
          <w:bCs/>
          <w:color w:val="000000"/>
        </w:rPr>
        <w:t>by</w:t>
      </w:r>
      <w:r w:rsidRPr="00D6101B">
        <w:rPr>
          <w:bCs/>
          <w:color w:val="000000"/>
        </w:rPr>
        <w:t xml:space="preserve"> Wanda Löwe</w:t>
      </w:r>
      <w:r>
        <w:rPr>
          <w:bCs/>
          <w:color w:val="000000"/>
        </w:rPr>
        <w:t xml:space="preserve"> (1996)</w:t>
      </w:r>
      <w:r w:rsidRPr="00D6101B">
        <w:rPr>
          <w:bCs/>
          <w:color w:val="000000"/>
        </w:rPr>
        <w:t xml:space="preserve"> and Laura Preston</w:t>
      </w:r>
      <w:r>
        <w:rPr>
          <w:bCs/>
          <w:color w:val="000000"/>
        </w:rPr>
        <w:t xml:space="preserve"> (2000)</w:t>
      </w:r>
      <w:r w:rsidRPr="00D6101B">
        <w:rPr>
          <w:bCs/>
          <w:color w:val="000000"/>
        </w:rPr>
        <w:t xml:space="preserve"> are</w:t>
      </w:r>
      <w:r>
        <w:rPr>
          <w:bCs/>
          <w:color w:val="000000"/>
        </w:rPr>
        <w:t>,</w:t>
      </w:r>
      <w:r w:rsidRPr="00D6101B">
        <w:rPr>
          <w:bCs/>
          <w:color w:val="000000"/>
        </w:rPr>
        <w:t xml:space="preserve"> once more</w:t>
      </w:r>
      <w:r>
        <w:rPr>
          <w:bCs/>
          <w:color w:val="000000"/>
        </w:rPr>
        <w:t>,</w:t>
      </w:r>
      <w:r w:rsidRPr="00D6101B">
        <w:rPr>
          <w:bCs/>
          <w:color w:val="000000"/>
        </w:rPr>
        <w:t xml:space="preserve"> very useful, because they carefully registered all </w:t>
      </w:r>
      <w:r>
        <w:rPr>
          <w:bCs/>
          <w:color w:val="000000"/>
        </w:rPr>
        <w:t xml:space="preserve">the evidence regarding burial deposition </w:t>
      </w:r>
      <w:r w:rsidRPr="00D6101B">
        <w:rPr>
          <w:bCs/>
          <w:color w:val="000000"/>
        </w:rPr>
        <w:t>and p</w:t>
      </w:r>
      <w:r>
        <w:rPr>
          <w:bCs/>
          <w:color w:val="000000"/>
        </w:rPr>
        <w:t>laced</w:t>
      </w:r>
      <w:r w:rsidRPr="00D6101B">
        <w:rPr>
          <w:bCs/>
          <w:color w:val="000000"/>
        </w:rPr>
        <w:t xml:space="preserve"> them in context, </w:t>
      </w:r>
      <w:r>
        <w:rPr>
          <w:bCs/>
          <w:color w:val="000000"/>
        </w:rPr>
        <w:t>providing</w:t>
      </w:r>
      <w:r w:rsidRPr="00D6101B">
        <w:rPr>
          <w:bCs/>
          <w:color w:val="000000"/>
        </w:rPr>
        <w:t xml:space="preserve"> a</w:t>
      </w:r>
      <w:r>
        <w:rPr>
          <w:bCs/>
          <w:color w:val="000000"/>
        </w:rPr>
        <w:t>n accurate</w:t>
      </w:r>
      <w:r w:rsidRPr="00D6101B">
        <w:rPr>
          <w:bCs/>
          <w:color w:val="000000"/>
        </w:rPr>
        <w:t xml:space="preserve"> picture of each tomb and its burials as </w:t>
      </w:r>
      <w:r>
        <w:rPr>
          <w:bCs/>
          <w:color w:val="000000"/>
        </w:rPr>
        <w:t>possible</w:t>
      </w:r>
      <w:r w:rsidRPr="00D6101B">
        <w:rPr>
          <w:bCs/>
          <w:color w:val="000000"/>
        </w:rPr>
        <w:t xml:space="preserve"> from </w:t>
      </w:r>
      <w:r>
        <w:rPr>
          <w:bCs/>
          <w:color w:val="000000"/>
        </w:rPr>
        <w:t xml:space="preserve">the </w:t>
      </w:r>
      <w:r w:rsidRPr="00D6101B">
        <w:rPr>
          <w:bCs/>
          <w:color w:val="000000"/>
        </w:rPr>
        <w:t>publication records.</w:t>
      </w:r>
    </w:p>
    <w:p w14:paraId="20B36B38" w14:textId="77777777" w:rsidR="001A4F1A" w:rsidRPr="00EF451A" w:rsidRDefault="001A4F1A" w:rsidP="00E858EF">
      <w:pPr>
        <w:pStyle w:val="Titolo3"/>
        <w:keepNext w:val="0"/>
        <w:keepLines w:val="0"/>
        <w:suppressAutoHyphens/>
      </w:pPr>
      <w:bookmarkStart w:id="669" w:name="_Toc517745297"/>
      <w:bookmarkStart w:id="670" w:name="_Toc519894649"/>
      <w:r w:rsidRPr="00EF451A">
        <w:t>Methodology</w:t>
      </w:r>
      <w:bookmarkEnd w:id="669"/>
      <w:bookmarkEnd w:id="670"/>
      <w:r w:rsidRPr="00EF451A">
        <w:t xml:space="preserve"> </w:t>
      </w:r>
    </w:p>
    <w:p w14:paraId="1E251A0A"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 xml:space="preserve">The sample of tombs from which information has been collected about the minimum number of individuals buried coincides with the sample of secure tombs per region. This evidence is always deduced from the published records. The data reported in the analysis are the result of two possible scenarios: </w:t>
      </w:r>
    </w:p>
    <w:p w14:paraId="1064AB2E" w14:textId="77777777" w:rsidR="001A4F1A" w:rsidRPr="00D6101B" w:rsidRDefault="001A4F1A" w:rsidP="00E858EF">
      <w:pPr>
        <w:pStyle w:val="Paragrafoelenco"/>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In</w:t>
      </w:r>
      <w:r w:rsidRPr="00D6101B">
        <w:rPr>
          <w:color w:val="000000"/>
        </w:rPr>
        <w:t xml:space="preserve"> cases in which there </w:t>
      </w:r>
      <w:r>
        <w:rPr>
          <w:color w:val="000000"/>
        </w:rPr>
        <w:t>is</w:t>
      </w:r>
      <w:r w:rsidRPr="00D6101B">
        <w:rPr>
          <w:color w:val="000000"/>
        </w:rPr>
        <w:t xml:space="preserve"> no information about the skeletal assemblage within a tomb, </w:t>
      </w:r>
      <w:r>
        <w:rPr>
          <w:color w:val="000000"/>
        </w:rPr>
        <w:t>the data have</w:t>
      </w:r>
      <w:r w:rsidRPr="00D6101B">
        <w:rPr>
          <w:color w:val="000000"/>
        </w:rPr>
        <w:t xml:space="preserve"> been deduced from the number of larnakes considered as the minimum number of burial</w:t>
      </w:r>
      <w:r>
        <w:rPr>
          <w:color w:val="000000"/>
        </w:rPr>
        <w:t>s</w:t>
      </w:r>
      <w:r w:rsidRPr="00D6101B">
        <w:rPr>
          <w:color w:val="000000"/>
        </w:rPr>
        <w:t xml:space="preserve"> (Preston 2000: 223)</w:t>
      </w:r>
      <w:r>
        <w:rPr>
          <w:color w:val="000000"/>
        </w:rPr>
        <w:t>.</w:t>
      </w:r>
      <w:r w:rsidRPr="00D6101B">
        <w:rPr>
          <w:color w:val="000000"/>
        </w:rPr>
        <w:t xml:space="preserve"> </w:t>
      </w:r>
    </w:p>
    <w:p w14:paraId="0107CA5F" w14:textId="77777777" w:rsidR="001A4F1A" w:rsidRPr="00D6101B" w:rsidRDefault="001A4F1A" w:rsidP="00E858EF">
      <w:pPr>
        <w:pStyle w:val="Paragrafoelenco"/>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 xml:space="preserve">In </w:t>
      </w:r>
      <w:r w:rsidRPr="00D6101B">
        <w:rPr>
          <w:color w:val="000000"/>
        </w:rPr>
        <w:t>case</w:t>
      </w:r>
      <w:r>
        <w:rPr>
          <w:color w:val="000000"/>
        </w:rPr>
        <w:t>s</w:t>
      </w:r>
      <w:r w:rsidRPr="00D6101B">
        <w:rPr>
          <w:color w:val="000000"/>
        </w:rPr>
        <w:t xml:space="preserve"> in which there </w:t>
      </w:r>
      <w:r>
        <w:rPr>
          <w:color w:val="000000"/>
        </w:rPr>
        <w:t xml:space="preserve">is </w:t>
      </w:r>
      <w:r w:rsidRPr="00D6101B">
        <w:rPr>
          <w:color w:val="000000"/>
        </w:rPr>
        <w:t xml:space="preserve">information </w:t>
      </w:r>
      <w:r>
        <w:rPr>
          <w:color w:val="000000"/>
        </w:rPr>
        <w:t xml:space="preserve">available </w:t>
      </w:r>
      <w:r w:rsidRPr="00D6101B">
        <w:rPr>
          <w:color w:val="000000"/>
        </w:rPr>
        <w:t>about the</w:t>
      </w:r>
      <w:r>
        <w:rPr>
          <w:color w:val="000000"/>
        </w:rPr>
        <w:t xml:space="preserve"> number of individuals from </w:t>
      </w:r>
      <w:r w:rsidRPr="00D6101B">
        <w:rPr>
          <w:color w:val="000000"/>
        </w:rPr>
        <w:t>skeletal remains both from larna</w:t>
      </w:r>
      <w:r>
        <w:rPr>
          <w:color w:val="000000"/>
        </w:rPr>
        <w:t>kes</w:t>
      </w:r>
      <w:r w:rsidRPr="00D6101B">
        <w:rPr>
          <w:color w:val="000000"/>
        </w:rPr>
        <w:t xml:space="preserve"> and from other types of interment, the two </w:t>
      </w:r>
      <w:r>
        <w:rPr>
          <w:color w:val="000000"/>
        </w:rPr>
        <w:t xml:space="preserve">sources of </w:t>
      </w:r>
      <w:r w:rsidRPr="00D6101B">
        <w:rPr>
          <w:color w:val="000000"/>
        </w:rPr>
        <w:t xml:space="preserve">information </w:t>
      </w:r>
      <w:r>
        <w:rPr>
          <w:color w:val="000000"/>
        </w:rPr>
        <w:t>are combined: i.e. the number</w:t>
      </w:r>
      <w:r w:rsidRPr="00D6101B">
        <w:rPr>
          <w:color w:val="000000"/>
        </w:rPr>
        <w:t xml:space="preserve"> of individual</w:t>
      </w:r>
      <w:r>
        <w:rPr>
          <w:color w:val="000000"/>
        </w:rPr>
        <w:t>s</w:t>
      </w:r>
      <w:r w:rsidRPr="00D6101B">
        <w:rPr>
          <w:color w:val="000000"/>
        </w:rPr>
        <w:t xml:space="preserve"> buried on the floor or in a pit </w:t>
      </w:r>
      <w:r>
        <w:rPr>
          <w:color w:val="000000"/>
        </w:rPr>
        <w:t>is added</w:t>
      </w:r>
      <w:r w:rsidRPr="00D6101B">
        <w:rPr>
          <w:color w:val="000000"/>
        </w:rPr>
        <w:t xml:space="preserve"> to the number of </w:t>
      </w:r>
      <w:r>
        <w:rPr>
          <w:color w:val="000000"/>
        </w:rPr>
        <w:t>individuals buried in the larnakes. When there are no data available about the individuals buried within larnakes registered in a tomb, this is considered an individual burial. Thus, if the only information concerns the presence of four larnakes and no burials associated with them, the minimum number of individuals reported is four; if one individual is buried on the floor and there are four larnakes with no information about the burials associated with them, the minimum number of individuals reported is five, etc</w:t>
      </w:r>
      <w:r w:rsidRPr="00D6101B">
        <w:rPr>
          <w:color w:val="000000"/>
        </w:rPr>
        <w:t xml:space="preserve">. </w:t>
      </w:r>
    </w:p>
    <w:p w14:paraId="22EB5D01" w14:textId="77777777" w:rsidR="001A4F1A"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Th</w:t>
      </w:r>
      <w:r>
        <w:rPr>
          <w:color w:val="000000"/>
        </w:rPr>
        <w:t>e</w:t>
      </w:r>
      <w:r w:rsidRPr="00D6101B">
        <w:rPr>
          <w:color w:val="000000"/>
        </w:rPr>
        <w:t xml:space="preserve"> data provide only the minimum number of burials, but </w:t>
      </w:r>
      <w:r>
        <w:rPr>
          <w:color w:val="000000"/>
        </w:rPr>
        <w:t>do</w:t>
      </w:r>
      <w:r w:rsidRPr="00D6101B">
        <w:rPr>
          <w:color w:val="000000"/>
        </w:rPr>
        <w:t xml:space="preserve"> not present any reliable statistics </w:t>
      </w:r>
      <w:r>
        <w:rPr>
          <w:color w:val="000000"/>
        </w:rPr>
        <w:t>regarding</w:t>
      </w:r>
      <w:r w:rsidRPr="00D6101B">
        <w:rPr>
          <w:color w:val="000000"/>
        </w:rPr>
        <w:t xml:space="preserve"> population or group size</w:t>
      </w:r>
      <w:r>
        <w:rPr>
          <w:color w:val="000000"/>
        </w:rPr>
        <w:t>:</w:t>
      </w:r>
      <w:r w:rsidRPr="00D6101B">
        <w:rPr>
          <w:color w:val="000000"/>
        </w:rPr>
        <w:t xml:space="preserve"> </w:t>
      </w:r>
      <w:r>
        <w:rPr>
          <w:color w:val="000000"/>
        </w:rPr>
        <w:t>f</w:t>
      </w:r>
      <w:r w:rsidRPr="00D6101B">
        <w:rPr>
          <w:color w:val="000000"/>
        </w:rPr>
        <w:t>irst, because of reuse and looting activities</w:t>
      </w:r>
      <w:r>
        <w:rPr>
          <w:color w:val="000000"/>
        </w:rPr>
        <w:t>;</w:t>
      </w:r>
      <w:r w:rsidRPr="00D6101B">
        <w:rPr>
          <w:color w:val="000000"/>
        </w:rPr>
        <w:t xml:space="preserve"> second</w:t>
      </w:r>
      <w:r>
        <w:rPr>
          <w:color w:val="000000"/>
        </w:rPr>
        <w:t>,</w:t>
      </w:r>
      <w:r w:rsidRPr="00D6101B">
        <w:rPr>
          <w:color w:val="000000"/>
        </w:rPr>
        <w:t xml:space="preserve"> because</w:t>
      </w:r>
      <w:r>
        <w:rPr>
          <w:color w:val="000000"/>
        </w:rPr>
        <w:t>,</w:t>
      </w:r>
      <w:r w:rsidRPr="00D6101B">
        <w:rPr>
          <w:color w:val="000000"/>
        </w:rPr>
        <w:t xml:space="preserve"> in many cases</w:t>
      </w:r>
      <w:r>
        <w:rPr>
          <w:color w:val="000000"/>
        </w:rPr>
        <w:t>,</w:t>
      </w:r>
      <w:r w:rsidRPr="00D6101B">
        <w:rPr>
          <w:color w:val="000000"/>
        </w:rPr>
        <w:t xml:space="preserve"> it is not possible to recognise </w:t>
      </w:r>
      <w:r>
        <w:rPr>
          <w:color w:val="000000"/>
        </w:rPr>
        <w:t>whether</w:t>
      </w:r>
      <w:r w:rsidRPr="00D6101B">
        <w:rPr>
          <w:color w:val="000000"/>
        </w:rPr>
        <w:t xml:space="preserve"> floor/pit burials constitute previous receptacle burials, removed from the larnax to make room for the latest interment, or </w:t>
      </w:r>
      <w:r>
        <w:rPr>
          <w:color w:val="000000"/>
        </w:rPr>
        <w:t xml:space="preserve">whether </w:t>
      </w:r>
      <w:r w:rsidRPr="00D6101B">
        <w:rPr>
          <w:color w:val="000000"/>
        </w:rPr>
        <w:t>they are genuine primary burials (Preston 2000: 224)</w:t>
      </w:r>
      <w:r>
        <w:rPr>
          <w:color w:val="000000"/>
        </w:rPr>
        <w:t>;</w:t>
      </w:r>
      <w:r w:rsidRPr="00D6101B">
        <w:rPr>
          <w:color w:val="000000"/>
        </w:rPr>
        <w:t xml:space="preserve"> </w:t>
      </w:r>
      <w:r>
        <w:rPr>
          <w:color w:val="000000"/>
        </w:rPr>
        <w:t>t</w:t>
      </w:r>
      <w:r w:rsidRPr="00D6101B">
        <w:rPr>
          <w:color w:val="000000"/>
        </w:rPr>
        <w:t>hird</w:t>
      </w:r>
      <w:r>
        <w:rPr>
          <w:color w:val="000000"/>
        </w:rPr>
        <w:t>,</w:t>
      </w:r>
      <w:r w:rsidRPr="00D6101B">
        <w:rPr>
          <w:color w:val="000000"/>
        </w:rPr>
        <w:t xml:space="preserve"> because </w:t>
      </w:r>
      <w:r>
        <w:rPr>
          <w:color w:val="000000"/>
        </w:rPr>
        <w:t>the data</w:t>
      </w:r>
      <w:r w:rsidRPr="00D6101B">
        <w:rPr>
          <w:color w:val="000000"/>
        </w:rPr>
        <w:t xml:space="preserve"> analyse only a portion of the entire burial dataset available for the LM III</w:t>
      </w:r>
      <w:r>
        <w:rPr>
          <w:color w:val="000000"/>
        </w:rPr>
        <w:t xml:space="preserve"> because </w:t>
      </w:r>
      <w:r w:rsidRPr="00D6101B">
        <w:rPr>
          <w:color w:val="000000"/>
        </w:rPr>
        <w:t>the aim of the present work is to</w:t>
      </w:r>
      <w:r>
        <w:rPr>
          <w:color w:val="000000"/>
        </w:rPr>
        <w:t xml:space="preserve"> focus on</w:t>
      </w:r>
      <w:r w:rsidRPr="00D6101B">
        <w:rPr>
          <w:color w:val="000000"/>
        </w:rPr>
        <w:t xml:space="preserve"> data related</w:t>
      </w:r>
      <w:r>
        <w:rPr>
          <w:color w:val="000000"/>
        </w:rPr>
        <w:t xml:space="preserve"> only to</w:t>
      </w:r>
      <w:r w:rsidRPr="00D6101B">
        <w:rPr>
          <w:color w:val="000000"/>
        </w:rPr>
        <w:t xml:space="preserve"> larna</w:t>
      </w:r>
      <w:r>
        <w:rPr>
          <w:color w:val="000000"/>
        </w:rPr>
        <w:t>kes</w:t>
      </w:r>
      <w:r w:rsidRPr="00D6101B">
        <w:rPr>
          <w:color w:val="000000"/>
        </w:rPr>
        <w:t xml:space="preserve">. </w:t>
      </w:r>
    </w:p>
    <w:p w14:paraId="3A5BB593" w14:textId="51F228DD" w:rsidR="001A4F1A"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 xml:space="preserve">Instead, the sample of tombs </w:t>
      </w:r>
      <w:r w:rsidRPr="00836E4C">
        <w:rPr>
          <w:color w:val="000000"/>
        </w:rPr>
        <w:t>for which information about skeletal remains</w:t>
      </w:r>
      <w:r>
        <w:rPr>
          <w:color w:val="000000"/>
        </w:rPr>
        <w:t xml:space="preserve"> is available is smaller because the evidence is not always available (see Data limit</w:t>
      </w:r>
      <w:r w:rsidR="009E47D2">
        <w:rPr>
          <w:color w:val="000000"/>
        </w:rPr>
        <w:t>ations</w:t>
      </w:r>
      <w:r>
        <w:rPr>
          <w:color w:val="000000"/>
        </w:rPr>
        <w:t xml:space="preserve"> 4.2.1). However, from this sample, the following information has been recorded:</w:t>
      </w:r>
    </w:p>
    <w:p w14:paraId="6B518EF2" w14:textId="77777777" w:rsidR="001A4F1A" w:rsidRDefault="001A4F1A" w:rsidP="00E858EF">
      <w:pPr>
        <w:pStyle w:val="Paragrafoelenco"/>
        <w:numPr>
          <w:ilvl w:val="0"/>
          <w:numId w:val="7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P</w:t>
      </w:r>
      <w:r w:rsidRPr="002F5632">
        <w:rPr>
          <w:color w:val="000000"/>
        </w:rPr>
        <w:t>osition of the burials</w:t>
      </w:r>
      <w:r>
        <w:rPr>
          <w:color w:val="000000"/>
        </w:rPr>
        <w:t xml:space="preserve"> within the tomb</w:t>
      </w:r>
      <w:r w:rsidRPr="002F5632">
        <w:rPr>
          <w:color w:val="000000"/>
        </w:rPr>
        <w:t xml:space="preserve"> (i.e. </w:t>
      </w:r>
      <w:r>
        <w:rPr>
          <w:color w:val="000000"/>
        </w:rPr>
        <w:t xml:space="preserve">larnax, </w:t>
      </w:r>
      <w:r w:rsidRPr="002F5632">
        <w:rPr>
          <w:color w:val="000000"/>
        </w:rPr>
        <w:t xml:space="preserve">floor, </w:t>
      </w:r>
      <w:r>
        <w:rPr>
          <w:color w:val="000000"/>
        </w:rPr>
        <w:t xml:space="preserve">pit, </w:t>
      </w:r>
      <w:r w:rsidRPr="002F5632">
        <w:rPr>
          <w:color w:val="000000"/>
        </w:rPr>
        <w:t>wooden bier</w:t>
      </w:r>
      <w:r>
        <w:rPr>
          <w:color w:val="000000"/>
        </w:rPr>
        <w:t xml:space="preserve">, </w:t>
      </w:r>
      <w:r w:rsidRPr="002F5632">
        <w:rPr>
          <w:color w:val="000000"/>
        </w:rPr>
        <w:t xml:space="preserve">pithos, </w:t>
      </w:r>
      <w:r>
        <w:rPr>
          <w:color w:val="000000"/>
        </w:rPr>
        <w:t>bench, dromos, pyxis/vase, stone sarcophagus, or MM reused larnax</w:t>
      </w:r>
      <w:r w:rsidRPr="002F5632">
        <w:rPr>
          <w:color w:val="000000"/>
        </w:rPr>
        <w:t xml:space="preserve">) </w:t>
      </w:r>
    </w:p>
    <w:p w14:paraId="32E5C776" w14:textId="77777777" w:rsidR="001A4F1A" w:rsidRDefault="001A4F1A" w:rsidP="00E858EF">
      <w:pPr>
        <w:pStyle w:val="Paragrafoelenco"/>
        <w:numPr>
          <w:ilvl w:val="0"/>
          <w:numId w:val="7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B</w:t>
      </w:r>
      <w:r w:rsidRPr="002F5632">
        <w:rPr>
          <w:color w:val="000000"/>
        </w:rPr>
        <w:t>urial stage</w:t>
      </w:r>
      <w:r>
        <w:rPr>
          <w:color w:val="000000"/>
        </w:rPr>
        <w:t xml:space="preserve"> (i.e. primary deposition, secondary deposition, n/a when the burial stage is unknown or at least unreported in the published records)</w:t>
      </w:r>
    </w:p>
    <w:p w14:paraId="3421C2EC" w14:textId="77777777" w:rsidR="001A4F1A" w:rsidRDefault="001A4F1A" w:rsidP="00E858EF">
      <w:pPr>
        <w:pStyle w:val="Paragrafoelenco"/>
        <w:numPr>
          <w:ilvl w:val="0"/>
          <w:numId w:val="7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Gender and/or age (when reported in the publication)</w:t>
      </w:r>
    </w:p>
    <w:p w14:paraId="0E3FB566" w14:textId="77777777" w:rsidR="001A4F1A" w:rsidRPr="00182098" w:rsidRDefault="001A4F1A" w:rsidP="00E858EF">
      <w:pPr>
        <w:suppressAutoHyphens/>
      </w:pPr>
      <w:r>
        <w:rPr>
          <w:bCs/>
          <w:color w:val="000000"/>
        </w:rPr>
        <w:tab/>
      </w:r>
      <w:r w:rsidRPr="00FF7F95">
        <w:rPr>
          <w:bCs/>
          <w:color w:val="000000"/>
        </w:rPr>
        <w:t xml:space="preserve">The information </w:t>
      </w:r>
      <w:r>
        <w:rPr>
          <w:bCs/>
          <w:color w:val="000000"/>
        </w:rPr>
        <w:t>regarding the</w:t>
      </w:r>
      <w:r w:rsidRPr="00FF7F95">
        <w:rPr>
          <w:bCs/>
          <w:color w:val="000000"/>
        </w:rPr>
        <w:t xml:space="preserve"> gender and age of </w:t>
      </w:r>
      <w:r>
        <w:rPr>
          <w:bCs/>
          <w:color w:val="000000"/>
        </w:rPr>
        <w:t>an</w:t>
      </w:r>
      <w:r w:rsidRPr="00FF7F95">
        <w:rPr>
          <w:bCs/>
          <w:color w:val="000000"/>
        </w:rPr>
        <w:t xml:space="preserve"> individual is </w:t>
      </w:r>
      <w:r>
        <w:rPr>
          <w:bCs/>
          <w:color w:val="000000"/>
        </w:rPr>
        <w:t xml:space="preserve">registered when explicitly reported in a publication and based on </w:t>
      </w:r>
      <w:r w:rsidRPr="00FF7F95">
        <w:rPr>
          <w:bCs/>
          <w:color w:val="000000"/>
        </w:rPr>
        <w:t>anthropological features (unfortunately</w:t>
      </w:r>
      <w:r>
        <w:rPr>
          <w:bCs/>
          <w:color w:val="000000"/>
        </w:rPr>
        <w:t xml:space="preserve"> there are</w:t>
      </w:r>
      <w:r w:rsidRPr="00FF7F95">
        <w:rPr>
          <w:bCs/>
          <w:color w:val="000000"/>
        </w:rPr>
        <w:t xml:space="preserve"> few proper anthropological studies). </w:t>
      </w:r>
      <w:r>
        <w:rPr>
          <w:bCs/>
          <w:color w:val="000000"/>
        </w:rPr>
        <w:t>C</w:t>
      </w:r>
      <w:r w:rsidRPr="00FF7F95">
        <w:rPr>
          <w:bCs/>
          <w:color w:val="000000"/>
        </w:rPr>
        <w:t>ase</w:t>
      </w:r>
      <w:r>
        <w:rPr>
          <w:bCs/>
          <w:color w:val="000000"/>
        </w:rPr>
        <w:t>s</w:t>
      </w:r>
      <w:r w:rsidRPr="00FF7F95">
        <w:rPr>
          <w:bCs/>
          <w:color w:val="000000"/>
        </w:rPr>
        <w:t xml:space="preserve"> in which the gender of </w:t>
      </w:r>
      <w:r>
        <w:rPr>
          <w:bCs/>
          <w:color w:val="000000"/>
        </w:rPr>
        <w:t xml:space="preserve">an </w:t>
      </w:r>
      <w:r w:rsidRPr="00FF7F95">
        <w:rPr>
          <w:bCs/>
          <w:color w:val="000000"/>
        </w:rPr>
        <w:t xml:space="preserve">individual has been determined </w:t>
      </w:r>
      <w:r>
        <w:rPr>
          <w:bCs/>
          <w:color w:val="000000"/>
        </w:rPr>
        <w:t>based</w:t>
      </w:r>
      <w:r w:rsidRPr="00FF7F95">
        <w:rPr>
          <w:bCs/>
          <w:color w:val="000000"/>
        </w:rPr>
        <w:t xml:space="preserve"> </w:t>
      </w:r>
      <w:r>
        <w:rPr>
          <w:bCs/>
          <w:color w:val="000000"/>
        </w:rPr>
        <w:t xml:space="preserve">on an associated </w:t>
      </w:r>
      <w:r w:rsidRPr="00FF7F95">
        <w:rPr>
          <w:bCs/>
          <w:color w:val="000000"/>
        </w:rPr>
        <w:t xml:space="preserve">grave goods assemblage </w:t>
      </w:r>
      <w:r>
        <w:rPr>
          <w:bCs/>
          <w:color w:val="000000"/>
        </w:rPr>
        <w:t>have</w:t>
      </w:r>
      <w:r w:rsidRPr="00FF7F95">
        <w:rPr>
          <w:bCs/>
          <w:color w:val="000000"/>
        </w:rPr>
        <w:t xml:space="preserve"> not been considered </w:t>
      </w:r>
      <w:r>
        <w:rPr>
          <w:bCs/>
          <w:color w:val="000000"/>
        </w:rPr>
        <w:t>in the analysis</w:t>
      </w:r>
      <w:r w:rsidRPr="00FF7F95">
        <w:rPr>
          <w:bCs/>
          <w:color w:val="000000"/>
        </w:rPr>
        <w:t xml:space="preserve"> (</w:t>
      </w:r>
      <w:r>
        <w:rPr>
          <w:bCs/>
          <w:color w:val="000000"/>
        </w:rPr>
        <w:t>e.g. Goudies and Agia Triada:</w:t>
      </w:r>
      <w:r w:rsidRPr="00FF7F95">
        <w:rPr>
          <w:bCs/>
          <w:color w:val="000000"/>
        </w:rPr>
        <w:t xml:space="preserve"> Cucuzza 2002).</w:t>
      </w:r>
      <w:r>
        <w:t xml:space="preserve"> </w:t>
      </w:r>
      <w:r>
        <w:rPr>
          <w:color w:val="000000"/>
        </w:rPr>
        <w:t>For example:</w:t>
      </w:r>
      <w:r>
        <w:t xml:space="preserve"> </w:t>
      </w:r>
      <w:r>
        <w:rPr>
          <w:color w:val="000000"/>
        </w:rPr>
        <w:t xml:space="preserve">Agios Syllas Tomb Alpha (T303; </w:t>
      </w:r>
      <w:r w:rsidRPr="007C4F07">
        <w:rPr>
          <w:i/>
          <w:color w:val="000000"/>
        </w:rPr>
        <w:t>ADelt</w:t>
      </w:r>
      <w:r>
        <w:rPr>
          <w:color w:val="000000"/>
        </w:rPr>
        <w:t xml:space="preserve"> 33 1978:</w:t>
      </w:r>
      <w:r w:rsidRPr="00A43ABA">
        <w:rPr>
          <w:color w:val="000000"/>
        </w:rPr>
        <w:t xml:space="preserve"> 352-353, pl. 179</w:t>
      </w:r>
      <w:r>
        <w:rPr>
          <w:color w:val="000000"/>
        </w:rPr>
        <w:t>)</w:t>
      </w:r>
      <w:r w:rsidRPr="001C3629">
        <w:rPr>
          <w:color w:val="000000"/>
        </w:rPr>
        <w:t xml:space="preserve">: </w:t>
      </w:r>
      <w:r>
        <w:rPr>
          <w:color w:val="000000"/>
        </w:rPr>
        <w:t>two</w:t>
      </w:r>
      <w:r w:rsidRPr="001C3629">
        <w:rPr>
          <w:color w:val="000000"/>
        </w:rPr>
        <w:t xml:space="preserve"> skulls in </w:t>
      </w:r>
      <w:r>
        <w:rPr>
          <w:color w:val="000000"/>
        </w:rPr>
        <w:t>one</w:t>
      </w:r>
      <w:r w:rsidRPr="001C3629">
        <w:rPr>
          <w:color w:val="000000"/>
        </w:rPr>
        <w:t xml:space="preserve"> chest, uncertain number of bodies on the floor, probably re</w:t>
      </w:r>
      <w:r>
        <w:rPr>
          <w:color w:val="000000"/>
        </w:rPr>
        <w:t>moved from the other five larnakes. In this case, the information regarding skeletal remains from this tomb has been registered as follows:</w:t>
      </w:r>
    </w:p>
    <w:p w14:paraId="3D1EBF7B" w14:textId="77777777" w:rsidR="001A4F1A" w:rsidRPr="00FD2C8B" w:rsidRDefault="001A4F1A" w:rsidP="00E858EF">
      <w:pPr>
        <w:pStyle w:val="Paragrafoelenco"/>
        <w:numPr>
          <w:ilvl w:val="0"/>
          <w:numId w:val="7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two</w:t>
      </w:r>
      <w:r w:rsidRPr="00FD2C8B">
        <w:rPr>
          <w:color w:val="000000"/>
        </w:rPr>
        <w:t xml:space="preserve"> secondary burials in larnax</w:t>
      </w:r>
    </w:p>
    <w:p w14:paraId="5FA498B7" w14:textId="77777777" w:rsidR="001A4F1A" w:rsidRPr="00FD2C8B" w:rsidRDefault="001A4F1A" w:rsidP="00E858EF">
      <w:pPr>
        <w:pStyle w:val="Paragrafoelenco"/>
        <w:numPr>
          <w:ilvl w:val="0"/>
          <w:numId w:val="7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four</w:t>
      </w:r>
      <w:r w:rsidRPr="00FD2C8B">
        <w:rPr>
          <w:color w:val="000000"/>
        </w:rPr>
        <w:t xml:space="preserve"> burials in larna</w:t>
      </w:r>
      <w:r>
        <w:rPr>
          <w:color w:val="000000"/>
        </w:rPr>
        <w:t>kes</w:t>
      </w:r>
      <w:r w:rsidRPr="00FD2C8B">
        <w:rPr>
          <w:color w:val="000000"/>
        </w:rPr>
        <w:t xml:space="preserve"> with no information (n</w:t>
      </w:r>
      <w:r>
        <w:rPr>
          <w:color w:val="000000"/>
        </w:rPr>
        <w:t>/</w:t>
      </w:r>
      <w:r w:rsidRPr="00FD2C8B">
        <w:rPr>
          <w:color w:val="000000"/>
        </w:rPr>
        <w:t>a)</w:t>
      </w:r>
    </w:p>
    <w:p w14:paraId="488385D0" w14:textId="77777777" w:rsidR="001A4F1A" w:rsidRDefault="001A4F1A" w:rsidP="00E858EF">
      <w:pPr>
        <w:pStyle w:val="Paragrafoelenco"/>
        <w:numPr>
          <w:ilvl w:val="0"/>
          <w:numId w:val="7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one</w:t>
      </w:r>
      <w:r w:rsidRPr="00FD2C8B">
        <w:rPr>
          <w:color w:val="000000"/>
        </w:rPr>
        <w:t xml:space="preserve"> secondary burial on the floor</w:t>
      </w:r>
    </w:p>
    <w:p w14:paraId="78B15486" w14:textId="77777777" w:rsidR="001A4F1A" w:rsidRPr="001612BE" w:rsidRDefault="001A4F1A" w:rsidP="00E858EF">
      <w:pPr>
        <w:pStyle w:val="Paragrafoelenco"/>
        <w:numPr>
          <w:ilvl w:val="0"/>
          <w:numId w:val="7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no information registered regarding gender or age</w:t>
      </w:r>
    </w:p>
    <w:p w14:paraId="4604A253" w14:textId="77777777" w:rsidR="001A4F1A"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As illustrated in this example, when no information is available about one or more depositions, only the burial method is registered. When no specific information is reported about the number of skeletons found, only one is conventionally registered.</w:t>
      </w:r>
    </w:p>
    <w:p w14:paraId="3AD4178E"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 xml:space="preserve">The results from this analysis </w:t>
      </w:r>
      <w:r>
        <w:rPr>
          <w:color w:val="000000"/>
        </w:rPr>
        <w:t>illustrate</w:t>
      </w:r>
      <w:r w:rsidRPr="00D6101B">
        <w:rPr>
          <w:color w:val="000000"/>
        </w:rPr>
        <w:t xml:space="preserve"> various aspect</w:t>
      </w:r>
      <w:r>
        <w:rPr>
          <w:color w:val="000000"/>
        </w:rPr>
        <w:t>s</w:t>
      </w:r>
      <w:r w:rsidRPr="00D6101B">
        <w:rPr>
          <w:color w:val="000000"/>
        </w:rPr>
        <w:t xml:space="preserve"> of the burial customs connected to deposition</w:t>
      </w:r>
      <w:r>
        <w:rPr>
          <w:color w:val="000000"/>
        </w:rPr>
        <w:t>al</w:t>
      </w:r>
      <w:r w:rsidRPr="00D6101B">
        <w:rPr>
          <w:color w:val="000000"/>
        </w:rPr>
        <w:t xml:space="preserve"> practice and larnax use:</w:t>
      </w:r>
    </w:p>
    <w:p w14:paraId="75986E69" w14:textId="77777777" w:rsidR="001A4F1A" w:rsidRPr="00D6101B" w:rsidRDefault="001A4F1A" w:rsidP="00E858EF">
      <w:pPr>
        <w:pStyle w:val="Paragrafoelenco"/>
        <w:numPr>
          <w:ilvl w:val="0"/>
          <w:numId w:val="3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First, </w:t>
      </w:r>
      <w:r>
        <w:rPr>
          <w:color w:val="000000"/>
        </w:rPr>
        <w:t>the analysis</w:t>
      </w:r>
      <w:r w:rsidRPr="00D6101B">
        <w:rPr>
          <w:color w:val="000000"/>
        </w:rPr>
        <w:t xml:space="preserve"> </w:t>
      </w:r>
      <w:r>
        <w:rPr>
          <w:color w:val="000000"/>
        </w:rPr>
        <w:t>provides</w:t>
      </w:r>
      <w:r w:rsidRPr="00D6101B">
        <w:rPr>
          <w:color w:val="000000"/>
        </w:rPr>
        <w:t xml:space="preserve"> a general </w:t>
      </w:r>
      <w:r>
        <w:rPr>
          <w:color w:val="000000"/>
        </w:rPr>
        <w:t>estimation</w:t>
      </w:r>
      <w:r w:rsidRPr="00D6101B">
        <w:rPr>
          <w:color w:val="000000"/>
        </w:rPr>
        <w:t xml:space="preserve"> of the minimum number of burials that occur in tombs with larnakes per region. This </w:t>
      </w:r>
      <w:r>
        <w:rPr>
          <w:color w:val="000000"/>
        </w:rPr>
        <w:t>number</w:t>
      </w:r>
      <w:r w:rsidRPr="00D6101B">
        <w:rPr>
          <w:color w:val="000000"/>
        </w:rPr>
        <w:t xml:space="preserve"> </w:t>
      </w:r>
      <w:r>
        <w:rPr>
          <w:color w:val="000000"/>
        </w:rPr>
        <w:t>provides</w:t>
      </w:r>
      <w:r w:rsidRPr="00D6101B">
        <w:rPr>
          <w:color w:val="000000"/>
        </w:rPr>
        <w:t xml:space="preserve"> an idea of the </w:t>
      </w:r>
      <w:r>
        <w:rPr>
          <w:color w:val="000000"/>
        </w:rPr>
        <w:t>‘</w:t>
      </w:r>
      <w:r w:rsidRPr="00D6101B">
        <w:rPr>
          <w:color w:val="000000"/>
        </w:rPr>
        <w:t>intensity</w:t>
      </w:r>
      <w:r>
        <w:rPr>
          <w:color w:val="000000"/>
        </w:rPr>
        <w:t>’</w:t>
      </w:r>
      <w:r w:rsidRPr="00D6101B">
        <w:rPr>
          <w:color w:val="000000"/>
        </w:rPr>
        <w:t xml:space="preserve"> of use of these tombs and</w:t>
      </w:r>
      <w:r>
        <w:rPr>
          <w:color w:val="000000"/>
        </w:rPr>
        <w:t>,</w:t>
      </w:r>
      <w:r w:rsidRPr="00D6101B">
        <w:rPr>
          <w:color w:val="000000"/>
        </w:rPr>
        <w:t xml:space="preserve"> consequently</w:t>
      </w:r>
      <w:r>
        <w:rPr>
          <w:color w:val="000000"/>
        </w:rPr>
        <w:t xml:space="preserve">, of larnakes as a receptacle </w:t>
      </w:r>
      <w:r w:rsidRPr="00D6101B">
        <w:rPr>
          <w:color w:val="000000"/>
        </w:rPr>
        <w:t>within the chronological span of the tomb</w:t>
      </w:r>
      <w:r>
        <w:rPr>
          <w:color w:val="000000"/>
        </w:rPr>
        <w:t>.</w:t>
      </w:r>
      <w:r w:rsidRPr="00D6101B">
        <w:rPr>
          <w:color w:val="000000"/>
        </w:rPr>
        <w:t xml:space="preserve"> </w:t>
      </w:r>
      <w:r>
        <w:rPr>
          <w:color w:val="000000"/>
        </w:rPr>
        <w:t>Furthermore, this idea helps to understand</w:t>
      </w:r>
      <w:r w:rsidRPr="00D6101B">
        <w:rPr>
          <w:color w:val="000000"/>
        </w:rPr>
        <w:t xml:space="preserve"> </w:t>
      </w:r>
      <w:r>
        <w:rPr>
          <w:color w:val="000000"/>
        </w:rPr>
        <w:t>whether</w:t>
      </w:r>
      <w:r w:rsidRPr="00D6101B">
        <w:rPr>
          <w:color w:val="000000"/>
        </w:rPr>
        <w:t xml:space="preserve"> there are</w:t>
      </w:r>
      <w:r>
        <w:rPr>
          <w:color w:val="000000"/>
        </w:rPr>
        <w:t xml:space="preserve"> any</w:t>
      </w:r>
      <w:r w:rsidRPr="00D6101B">
        <w:rPr>
          <w:color w:val="000000"/>
        </w:rPr>
        <w:t xml:space="preserve"> diffe</w:t>
      </w:r>
      <w:r>
        <w:rPr>
          <w:color w:val="000000"/>
        </w:rPr>
        <w:t>rences between the regions regarding</w:t>
      </w:r>
      <w:r w:rsidRPr="00D6101B">
        <w:rPr>
          <w:color w:val="000000"/>
        </w:rPr>
        <w:t xml:space="preserve"> burial numbe</w:t>
      </w:r>
      <w:r>
        <w:rPr>
          <w:color w:val="000000"/>
        </w:rPr>
        <w:t xml:space="preserve">rs per tomb/intensity of use: </w:t>
      </w:r>
      <w:r w:rsidRPr="00D6101B">
        <w:rPr>
          <w:color w:val="000000"/>
        </w:rPr>
        <w:t>e.</w:t>
      </w:r>
      <w:r>
        <w:rPr>
          <w:color w:val="000000"/>
        </w:rPr>
        <w:t>g.</w:t>
      </w:r>
      <w:r w:rsidRPr="00D6101B">
        <w:rPr>
          <w:color w:val="000000"/>
        </w:rPr>
        <w:t xml:space="preserve"> </w:t>
      </w:r>
      <w:r>
        <w:rPr>
          <w:color w:val="000000"/>
        </w:rPr>
        <w:t>whether</w:t>
      </w:r>
      <w:r w:rsidRPr="00D6101B">
        <w:rPr>
          <w:color w:val="000000"/>
        </w:rPr>
        <w:t xml:space="preserve"> there are regions, area</w:t>
      </w:r>
      <w:r>
        <w:rPr>
          <w:color w:val="000000"/>
        </w:rPr>
        <w:t>s, or cemeteries</w:t>
      </w:r>
      <w:r w:rsidRPr="00D6101B">
        <w:rPr>
          <w:color w:val="000000"/>
        </w:rPr>
        <w:t xml:space="preserve"> where tomb with larnakes have been used principally for individual burials</w:t>
      </w:r>
      <w:r>
        <w:rPr>
          <w:color w:val="000000"/>
        </w:rPr>
        <w:t>, or vice versa, where tombs with larnakes have been systematically used for more than a single burial.</w:t>
      </w:r>
    </w:p>
    <w:p w14:paraId="73D0AB73" w14:textId="77777777" w:rsidR="001A4F1A" w:rsidRPr="00D6101B" w:rsidRDefault="001A4F1A" w:rsidP="00E858EF">
      <w:pPr>
        <w:pStyle w:val="Paragrafoelenco"/>
        <w:numPr>
          <w:ilvl w:val="0"/>
          <w:numId w:val="3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Second</w:t>
      </w:r>
      <w:r>
        <w:rPr>
          <w:color w:val="000000"/>
        </w:rPr>
        <w:t>,</w:t>
      </w:r>
      <w:r w:rsidRPr="00D6101B">
        <w:rPr>
          <w:color w:val="000000"/>
        </w:rPr>
        <w:t xml:space="preserve"> </w:t>
      </w:r>
      <w:r>
        <w:rPr>
          <w:color w:val="000000"/>
        </w:rPr>
        <w:t>the analysis</w:t>
      </w:r>
      <w:r w:rsidRPr="00D6101B">
        <w:rPr>
          <w:color w:val="000000"/>
        </w:rPr>
        <w:t xml:space="preserve"> </w:t>
      </w:r>
      <w:r>
        <w:rPr>
          <w:color w:val="000000"/>
        </w:rPr>
        <w:t>allows for</w:t>
      </w:r>
      <w:r w:rsidRPr="00D6101B">
        <w:rPr>
          <w:color w:val="000000"/>
        </w:rPr>
        <w:t xml:space="preserve"> </w:t>
      </w:r>
      <w:r>
        <w:rPr>
          <w:color w:val="000000"/>
        </w:rPr>
        <w:t>an</w:t>
      </w:r>
      <w:r w:rsidRPr="00D6101B">
        <w:rPr>
          <w:color w:val="000000"/>
        </w:rPr>
        <w:t xml:space="preserve"> understand</w:t>
      </w:r>
      <w:r>
        <w:rPr>
          <w:color w:val="000000"/>
        </w:rPr>
        <w:t>ing</w:t>
      </w:r>
      <w:r w:rsidRPr="00D6101B">
        <w:rPr>
          <w:color w:val="000000"/>
        </w:rPr>
        <w:t xml:space="preserve"> </w:t>
      </w:r>
      <w:r>
        <w:rPr>
          <w:color w:val="000000"/>
        </w:rPr>
        <w:t>of whether</w:t>
      </w:r>
      <w:r w:rsidRPr="00D6101B">
        <w:rPr>
          <w:color w:val="000000"/>
        </w:rPr>
        <w:t xml:space="preserve"> the burial practices documented in tombs with larnakes follow an</w:t>
      </w:r>
      <w:r>
        <w:rPr>
          <w:color w:val="000000"/>
        </w:rPr>
        <w:t xml:space="preserve">y regional pattern in terms of mortuary practice and body manipulation (Preston 2000: 238-241): </w:t>
      </w:r>
      <w:r w:rsidRPr="00D6101B">
        <w:rPr>
          <w:color w:val="000000"/>
        </w:rPr>
        <w:t xml:space="preserve">i.e. how primary and secondary burials are distributed within the tombs and </w:t>
      </w:r>
      <w:r>
        <w:rPr>
          <w:color w:val="000000"/>
        </w:rPr>
        <w:t>whether</w:t>
      </w:r>
      <w:r w:rsidRPr="00D6101B">
        <w:rPr>
          <w:color w:val="000000"/>
        </w:rPr>
        <w:t xml:space="preserve"> larnakes were used for primary or secondary burials, or if</w:t>
      </w:r>
      <w:r>
        <w:rPr>
          <w:color w:val="000000"/>
        </w:rPr>
        <w:t xml:space="preserve"> and how they were reused</w:t>
      </w:r>
      <w:r w:rsidRPr="00D6101B">
        <w:rPr>
          <w:color w:val="000000"/>
        </w:rPr>
        <w:t xml:space="preserve">. Furthermore, this </w:t>
      </w:r>
      <w:r>
        <w:rPr>
          <w:color w:val="000000"/>
        </w:rPr>
        <w:t>understanding</w:t>
      </w:r>
      <w:r w:rsidRPr="00D6101B">
        <w:rPr>
          <w:color w:val="000000"/>
        </w:rPr>
        <w:t xml:space="preserve"> help</w:t>
      </w:r>
      <w:r>
        <w:rPr>
          <w:color w:val="000000"/>
        </w:rPr>
        <w:t>s</w:t>
      </w:r>
      <w:r w:rsidRPr="00D6101B">
        <w:rPr>
          <w:color w:val="000000"/>
        </w:rPr>
        <w:t xml:space="preserve"> to reconstruct the funerary practices concerning larnax deposition, at least</w:t>
      </w:r>
      <w:r>
        <w:rPr>
          <w:color w:val="000000"/>
        </w:rPr>
        <w:t xml:space="preserve"> to</w:t>
      </w:r>
      <w:r w:rsidRPr="00D6101B">
        <w:rPr>
          <w:color w:val="000000"/>
        </w:rPr>
        <w:t xml:space="preserve"> identify if and where it is possible to discern practices linked to the deposition process.</w:t>
      </w:r>
    </w:p>
    <w:p w14:paraId="274E5DFB" w14:textId="77777777" w:rsidR="001A4F1A" w:rsidRPr="00D6101B" w:rsidRDefault="001A4F1A" w:rsidP="00E858EF">
      <w:pPr>
        <w:pStyle w:val="Paragrafoelenco"/>
        <w:numPr>
          <w:ilvl w:val="0"/>
          <w:numId w:val="3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Third</w:t>
      </w:r>
      <w:r>
        <w:rPr>
          <w:color w:val="000000"/>
        </w:rPr>
        <w:t>,</w:t>
      </w:r>
      <w:r w:rsidRPr="00D6101B">
        <w:rPr>
          <w:color w:val="000000"/>
        </w:rPr>
        <w:t xml:space="preserve"> </w:t>
      </w:r>
      <w:r>
        <w:rPr>
          <w:color w:val="000000"/>
        </w:rPr>
        <w:t>the analysis</w:t>
      </w:r>
      <w:r w:rsidRPr="00D6101B">
        <w:rPr>
          <w:color w:val="000000"/>
        </w:rPr>
        <w:t xml:space="preserve"> help</w:t>
      </w:r>
      <w:r>
        <w:rPr>
          <w:color w:val="000000"/>
        </w:rPr>
        <w:t>s</w:t>
      </w:r>
      <w:r w:rsidRPr="00D6101B">
        <w:rPr>
          <w:color w:val="000000"/>
        </w:rPr>
        <w:t xml:space="preserve"> to understand </w:t>
      </w:r>
      <w:r>
        <w:rPr>
          <w:color w:val="000000"/>
        </w:rPr>
        <w:t>whether</w:t>
      </w:r>
      <w:r w:rsidRPr="00D6101B">
        <w:rPr>
          <w:color w:val="000000"/>
        </w:rPr>
        <w:t xml:space="preserve"> it is possible to isolate a sample of tombs for which information concerning gender and age </w:t>
      </w:r>
      <w:r>
        <w:rPr>
          <w:color w:val="000000"/>
        </w:rPr>
        <w:t>is</w:t>
      </w:r>
      <w:r w:rsidRPr="00D6101B">
        <w:rPr>
          <w:color w:val="000000"/>
        </w:rPr>
        <w:t xml:space="preserve"> available, and </w:t>
      </w:r>
      <w:r>
        <w:rPr>
          <w:color w:val="000000"/>
        </w:rPr>
        <w:t>whether,</w:t>
      </w:r>
      <w:r w:rsidRPr="00D6101B">
        <w:rPr>
          <w:color w:val="000000"/>
        </w:rPr>
        <w:t xml:space="preserve"> from this sample</w:t>
      </w:r>
      <w:r>
        <w:rPr>
          <w:color w:val="000000"/>
        </w:rPr>
        <w:t>,</w:t>
      </w:r>
      <w:r w:rsidRPr="00D6101B">
        <w:rPr>
          <w:color w:val="000000"/>
        </w:rPr>
        <w:t xml:space="preserve"> </w:t>
      </w:r>
      <w:r>
        <w:rPr>
          <w:color w:val="000000"/>
        </w:rPr>
        <w:t>it is</w:t>
      </w:r>
      <w:r w:rsidRPr="00D6101B">
        <w:rPr>
          <w:color w:val="000000"/>
        </w:rPr>
        <w:t xml:space="preserve"> possible to understand </w:t>
      </w:r>
      <w:r>
        <w:rPr>
          <w:color w:val="000000"/>
        </w:rPr>
        <w:t>whether</w:t>
      </w:r>
      <w:r w:rsidRPr="00D6101B">
        <w:rPr>
          <w:color w:val="000000"/>
        </w:rPr>
        <w:t xml:space="preserve"> the use of specific larna</w:t>
      </w:r>
      <w:r>
        <w:rPr>
          <w:color w:val="000000"/>
        </w:rPr>
        <w:t>kes</w:t>
      </w:r>
      <w:r w:rsidRPr="00D6101B">
        <w:rPr>
          <w:color w:val="000000"/>
        </w:rPr>
        <w:t xml:space="preserve"> (i.e. bathtub or chest</w:t>
      </w:r>
      <w:r>
        <w:rPr>
          <w:color w:val="000000"/>
        </w:rPr>
        <w:t>-shaped</w:t>
      </w:r>
      <w:r w:rsidRPr="00D6101B">
        <w:rPr>
          <w:color w:val="000000"/>
        </w:rPr>
        <w:t>, decorated/undecorated)</w:t>
      </w:r>
      <w:r>
        <w:rPr>
          <w:color w:val="000000"/>
        </w:rPr>
        <w:t xml:space="preserve"> </w:t>
      </w:r>
      <w:r w:rsidRPr="00D6101B">
        <w:rPr>
          <w:color w:val="000000"/>
        </w:rPr>
        <w:t>or other burial method</w:t>
      </w:r>
      <w:r>
        <w:rPr>
          <w:color w:val="000000"/>
        </w:rPr>
        <w:t>s</w:t>
      </w:r>
      <w:r w:rsidRPr="00D6101B">
        <w:rPr>
          <w:color w:val="000000"/>
        </w:rPr>
        <w:t xml:space="preserve"> attested in tombs with larnakes </w:t>
      </w:r>
      <w:r>
        <w:rPr>
          <w:color w:val="000000"/>
        </w:rPr>
        <w:t>are</w:t>
      </w:r>
      <w:r w:rsidRPr="00D6101B">
        <w:rPr>
          <w:color w:val="000000"/>
        </w:rPr>
        <w:t xml:space="preserve"> associated </w:t>
      </w:r>
      <w:r>
        <w:rPr>
          <w:color w:val="000000"/>
        </w:rPr>
        <w:t>with</w:t>
      </w:r>
      <w:r w:rsidRPr="00D6101B">
        <w:rPr>
          <w:color w:val="000000"/>
        </w:rPr>
        <w:t xml:space="preserve"> a particular gender or age. </w:t>
      </w:r>
      <w:r>
        <w:rPr>
          <w:color w:val="000000"/>
        </w:rPr>
        <w:t>An exploration of this aspect has been attempted</w:t>
      </w:r>
      <w:r w:rsidRPr="00D6101B">
        <w:rPr>
          <w:color w:val="000000"/>
        </w:rPr>
        <w:t xml:space="preserve"> already by Laura Preston (2000: 232), although it </w:t>
      </w:r>
      <w:r>
        <w:rPr>
          <w:color w:val="000000"/>
        </w:rPr>
        <w:t>is</w:t>
      </w:r>
      <w:r w:rsidRPr="00D6101B">
        <w:rPr>
          <w:color w:val="000000"/>
        </w:rPr>
        <w:t xml:space="preserve"> worth explor</w:t>
      </w:r>
      <w:r>
        <w:rPr>
          <w:color w:val="000000"/>
        </w:rPr>
        <w:t>ing again</w:t>
      </w:r>
      <w:r w:rsidRPr="00D6101B">
        <w:rPr>
          <w:color w:val="000000"/>
        </w:rPr>
        <w:t xml:space="preserve"> </w:t>
      </w:r>
      <w:r>
        <w:rPr>
          <w:color w:val="000000"/>
        </w:rPr>
        <w:t>via</w:t>
      </w:r>
      <w:r w:rsidRPr="00D6101B">
        <w:rPr>
          <w:color w:val="000000"/>
        </w:rPr>
        <w:t xml:space="preserve"> a systema</w:t>
      </w:r>
      <w:r>
        <w:rPr>
          <w:color w:val="000000"/>
        </w:rPr>
        <w:t>tic investigation considering</w:t>
      </w:r>
      <w:r w:rsidRPr="00D6101B">
        <w:rPr>
          <w:color w:val="000000"/>
        </w:rPr>
        <w:t xml:space="preserve"> new complete anthropological studies (Mochlos Limenaria</w:t>
      </w:r>
      <w:r>
        <w:rPr>
          <w:color w:val="000000"/>
        </w:rPr>
        <w:t>:</w:t>
      </w:r>
      <w:r w:rsidRPr="00D6101B">
        <w:rPr>
          <w:color w:val="000000"/>
        </w:rPr>
        <w:t xml:space="preserve"> </w:t>
      </w:r>
      <w:r w:rsidRPr="00D6101B">
        <w:rPr>
          <w:bCs/>
          <w:color w:val="000000"/>
        </w:rPr>
        <w:t xml:space="preserve">Triantaphyllou 2011; Kalochoraphitis Anevolema </w:t>
      </w:r>
      <w:r>
        <w:rPr>
          <w:bCs/>
          <w:color w:val="000000"/>
        </w:rPr>
        <w:t xml:space="preserve">Tomb B: </w:t>
      </w:r>
      <w:r w:rsidRPr="00D6101B">
        <w:rPr>
          <w:bCs/>
          <w:color w:val="000000"/>
        </w:rPr>
        <w:t>Nafplioti 2015)</w:t>
      </w:r>
      <w:r>
        <w:rPr>
          <w:bCs/>
          <w:color w:val="000000"/>
        </w:rPr>
        <w:t xml:space="preserve"> and</w:t>
      </w:r>
      <w:r w:rsidRPr="00D6101B">
        <w:rPr>
          <w:bCs/>
          <w:color w:val="000000"/>
        </w:rPr>
        <w:t xml:space="preserve"> more recent </w:t>
      </w:r>
      <w:r>
        <w:rPr>
          <w:bCs/>
          <w:color w:val="000000"/>
        </w:rPr>
        <w:t>discoveries of tombs (e.g.</w:t>
      </w:r>
      <w:r w:rsidRPr="00D6101B">
        <w:rPr>
          <w:bCs/>
          <w:color w:val="000000"/>
        </w:rPr>
        <w:t xml:space="preserve"> </w:t>
      </w:r>
      <w:r>
        <w:rPr>
          <w:bCs/>
          <w:color w:val="000000"/>
        </w:rPr>
        <w:t xml:space="preserve">finds of </w:t>
      </w:r>
      <w:r w:rsidRPr="00D6101B">
        <w:rPr>
          <w:bCs/>
          <w:color w:val="000000"/>
        </w:rPr>
        <w:t>tombs with larnakes</w:t>
      </w:r>
      <w:r>
        <w:rPr>
          <w:bCs/>
          <w:color w:val="000000"/>
        </w:rPr>
        <w:t xml:space="preserve"> found</w:t>
      </w:r>
      <w:r w:rsidRPr="00D6101B">
        <w:rPr>
          <w:bCs/>
          <w:color w:val="000000"/>
        </w:rPr>
        <w:t xml:space="preserve"> after 2000) </w:t>
      </w:r>
      <w:r>
        <w:rPr>
          <w:bCs/>
          <w:color w:val="000000"/>
        </w:rPr>
        <w:t xml:space="preserve">while </w:t>
      </w:r>
      <w:r w:rsidRPr="00D6101B">
        <w:rPr>
          <w:bCs/>
          <w:color w:val="000000"/>
        </w:rPr>
        <w:t>focusing on the systematic study of the available</w:t>
      </w:r>
      <w:r>
        <w:rPr>
          <w:bCs/>
          <w:color w:val="000000"/>
        </w:rPr>
        <w:t xml:space="preserve"> information about</w:t>
      </w:r>
      <w:r w:rsidRPr="00D6101B">
        <w:rPr>
          <w:bCs/>
          <w:color w:val="000000"/>
        </w:rPr>
        <w:t xml:space="preserve"> skeletal remain</w:t>
      </w:r>
      <w:r>
        <w:rPr>
          <w:bCs/>
          <w:color w:val="000000"/>
        </w:rPr>
        <w:t>s</w:t>
      </w:r>
      <w:r w:rsidRPr="00D6101B">
        <w:rPr>
          <w:bCs/>
          <w:color w:val="000000"/>
        </w:rPr>
        <w:t xml:space="preserve"> </w:t>
      </w:r>
      <w:r>
        <w:rPr>
          <w:bCs/>
          <w:color w:val="000000"/>
        </w:rPr>
        <w:t xml:space="preserve">in </w:t>
      </w:r>
      <w:r w:rsidRPr="00D6101B">
        <w:rPr>
          <w:bCs/>
          <w:color w:val="000000"/>
        </w:rPr>
        <w:t>tombs with larnax use.</w:t>
      </w:r>
    </w:p>
    <w:p w14:paraId="04781BC3" w14:textId="77777777" w:rsidR="001A4F1A" w:rsidRPr="00D6101B" w:rsidRDefault="001A4F1A" w:rsidP="00E858EF">
      <w:pPr>
        <w:pStyle w:val="Paragrafoelenco"/>
        <w:numPr>
          <w:ilvl w:val="0"/>
          <w:numId w:val="3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Finally, a</w:t>
      </w:r>
      <w:r>
        <w:rPr>
          <w:color w:val="000000"/>
        </w:rPr>
        <w:t>n outcome of this analysis could</w:t>
      </w:r>
      <w:r w:rsidRPr="00D6101B">
        <w:rPr>
          <w:color w:val="000000"/>
        </w:rPr>
        <w:t xml:space="preserve"> </w:t>
      </w:r>
      <w:r>
        <w:rPr>
          <w:color w:val="000000"/>
        </w:rPr>
        <w:t xml:space="preserve">help </w:t>
      </w:r>
      <w:r w:rsidRPr="00D6101B">
        <w:rPr>
          <w:color w:val="000000"/>
        </w:rPr>
        <w:t xml:space="preserve">understand </w:t>
      </w:r>
      <w:r>
        <w:rPr>
          <w:color w:val="000000"/>
        </w:rPr>
        <w:t>whether</w:t>
      </w:r>
      <w:r w:rsidRPr="00D6101B">
        <w:rPr>
          <w:color w:val="000000"/>
        </w:rPr>
        <w:t xml:space="preserve"> there is any specific association between a larnax and the individual buried in </w:t>
      </w:r>
      <w:r>
        <w:rPr>
          <w:color w:val="000000"/>
        </w:rPr>
        <w:t>it</w:t>
      </w:r>
      <w:r w:rsidRPr="00D6101B">
        <w:rPr>
          <w:color w:val="000000"/>
        </w:rPr>
        <w:t>, or if</w:t>
      </w:r>
      <w:r>
        <w:rPr>
          <w:color w:val="000000"/>
        </w:rPr>
        <w:t xml:space="preserve"> the larnax can be considered an object</w:t>
      </w:r>
      <w:r w:rsidRPr="00D6101B">
        <w:rPr>
          <w:color w:val="000000"/>
        </w:rPr>
        <w:t xml:space="preserve"> belonging to families</w:t>
      </w:r>
      <w:r>
        <w:rPr>
          <w:color w:val="000000"/>
        </w:rPr>
        <w:t xml:space="preserve"> or</w:t>
      </w:r>
      <w:r w:rsidRPr="00D6101B">
        <w:rPr>
          <w:color w:val="000000"/>
        </w:rPr>
        <w:t xml:space="preserve"> groups/communities</w:t>
      </w:r>
      <w:r>
        <w:rPr>
          <w:color w:val="000000"/>
        </w:rPr>
        <w:t xml:space="preserve"> rather than being the personal possession of an individual.</w:t>
      </w:r>
    </w:p>
    <w:p w14:paraId="0ECDB673" w14:textId="77777777" w:rsidR="001A4F1A" w:rsidRPr="00D6101B" w:rsidRDefault="001A4F1A" w:rsidP="00E858EF">
      <w:pPr>
        <w:pStyle w:val="Titolo3"/>
        <w:keepNext w:val="0"/>
        <w:keepLines w:val="0"/>
        <w:suppressAutoHyphens/>
      </w:pPr>
      <w:bookmarkStart w:id="671" w:name="_Toc517745298"/>
      <w:bookmarkStart w:id="672" w:name="_Toc519894650"/>
      <w:r>
        <w:t>Far-West</w:t>
      </w:r>
      <w:r w:rsidRPr="00D6101B">
        <w:t xml:space="preserve"> area (skeletal remains)</w:t>
      </w:r>
      <w:bookmarkEnd w:id="671"/>
      <w:bookmarkEnd w:id="672"/>
    </w:p>
    <w:p w14:paraId="04DD0C82" w14:textId="55707EDE" w:rsidR="001A4F1A" w:rsidRPr="00D6101B" w:rsidRDefault="001A4F1A" w:rsidP="00E858EF">
      <w:pPr>
        <w:pStyle w:val="Titolo4"/>
        <w:keepNext w:val="0"/>
        <w:keepLines w:val="0"/>
        <w:suppressAutoHyphens/>
      </w:pPr>
      <w:bookmarkStart w:id="673" w:name="_Toc517745299"/>
      <w:r>
        <w:t>Far-West</w:t>
      </w:r>
      <w:r w:rsidRPr="00D6101B">
        <w:t xml:space="preserve"> </w:t>
      </w:r>
      <w:r w:rsidR="005E1C18">
        <w:t xml:space="preserve">area </w:t>
      </w:r>
      <w:r w:rsidRPr="00D6101B">
        <w:t>analysis</w:t>
      </w:r>
      <w:bookmarkEnd w:id="673"/>
    </w:p>
    <w:p w14:paraId="2F358994" w14:textId="77777777" w:rsidR="001A4F1A" w:rsidRPr="00D6101B" w:rsidRDefault="001A4F1A"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bCs/>
          <w:color w:val="000000"/>
        </w:rPr>
      </w:pPr>
      <w:r w:rsidRPr="00D6101B">
        <w:rPr>
          <w:bCs/>
          <w:color w:val="000000"/>
        </w:rPr>
        <w:t xml:space="preserve">Data concerning larnax distribution in the </w:t>
      </w:r>
      <w:r>
        <w:rPr>
          <w:bCs/>
          <w:color w:val="000000"/>
        </w:rPr>
        <w:t>Far-West</w:t>
      </w:r>
      <w:r w:rsidRPr="00D6101B">
        <w:rPr>
          <w:bCs/>
          <w:color w:val="000000"/>
        </w:rPr>
        <w:t xml:space="preserve"> area </w:t>
      </w:r>
      <w:r>
        <w:rPr>
          <w:bCs/>
          <w:color w:val="000000"/>
        </w:rPr>
        <w:t>indicates</w:t>
      </w:r>
      <w:r w:rsidRPr="00D6101B">
        <w:rPr>
          <w:bCs/>
          <w:color w:val="000000"/>
        </w:rPr>
        <w:t xml:space="preserve"> that the adoption of larnax burials </w:t>
      </w:r>
      <w:r>
        <w:rPr>
          <w:bCs/>
          <w:color w:val="000000"/>
        </w:rPr>
        <w:t>was</w:t>
      </w:r>
      <w:r w:rsidRPr="00D6101B">
        <w:rPr>
          <w:bCs/>
          <w:color w:val="000000"/>
        </w:rPr>
        <w:t xml:space="preserve"> almost completely avoided in in the region. Consequently, the sample for the analysis of </w:t>
      </w:r>
      <w:r>
        <w:rPr>
          <w:bCs/>
          <w:color w:val="000000"/>
        </w:rPr>
        <w:t xml:space="preserve">the </w:t>
      </w:r>
      <w:r w:rsidRPr="00D6101B">
        <w:rPr>
          <w:bCs/>
          <w:color w:val="000000"/>
        </w:rPr>
        <w:t xml:space="preserve">skeletal assemblage for the present study </w:t>
      </w:r>
      <w:r>
        <w:rPr>
          <w:bCs/>
          <w:color w:val="000000"/>
        </w:rPr>
        <w:t>includes</w:t>
      </w:r>
      <w:r w:rsidRPr="00D6101B">
        <w:rPr>
          <w:bCs/>
          <w:color w:val="000000"/>
        </w:rPr>
        <w:t xml:space="preserve"> only the skeletal remains found in </w:t>
      </w:r>
      <w:r>
        <w:rPr>
          <w:bCs/>
          <w:color w:val="000000"/>
        </w:rPr>
        <w:t xml:space="preserve">the </w:t>
      </w:r>
      <w:r w:rsidRPr="00D6101B">
        <w:rPr>
          <w:bCs/>
          <w:color w:val="000000"/>
        </w:rPr>
        <w:t xml:space="preserve">tomb at Chania Koumpes, the only tomb containing a burial in a bathtub </w:t>
      </w:r>
      <w:r w:rsidRPr="00D6101B">
        <w:rPr>
          <w:color w:val="000000"/>
        </w:rPr>
        <w:t>(</w:t>
      </w:r>
      <w:r>
        <w:rPr>
          <w:color w:val="000000"/>
        </w:rPr>
        <w:t>see</w:t>
      </w:r>
      <w:r w:rsidRPr="00D6101B">
        <w:rPr>
          <w:color w:val="000000"/>
        </w:rPr>
        <w:t xml:space="preserve"> </w:t>
      </w:r>
      <w:r>
        <w:rPr>
          <w:color w:val="000000"/>
        </w:rPr>
        <w:t>C</w:t>
      </w:r>
      <w:r w:rsidRPr="00D6101B">
        <w:rPr>
          <w:color w:val="000000"/>
        </w:rPr>
        <w:t>hap</w:t>
      </w:r>
      <w:r>
        <w:rPr>
          <w:color w:val="000000"/>
        </w:rPr>
        <w:t>ter</w:t>
      </w:r>
      <w:r w:rsidRPr="00D6101B">
        <w:rPr>
          <w:color w:val="000000"/>
        </w:rPr>
        <w:t xml:space="preserve"> </w:t>
      </w:r>
      <w:r>
        <w:rPr>
          <w:color w:val="000000"/>
        </w:rPr>
        <w:t>3.5.1.2)</w:t>
      </w:r>
      <w:r w:rsidRPr="00D6101B">
        <w:rPr>
          <w:color w:val="000000"/>
        </w:rPr>
        <w:t>.</w:t>
      </w:r>
    </w:p>
    <w:p w14:paraId="33EBCF01" w14:textId="77777777" w:rsidR="001A4F1A" w:rsidRDefault="001A4F1A"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bCs/>
          <w:color w:val="000000"/>
        </w:rPr>
      </w:pPr>
      <w:r>
        <w:rPr>
          <w:bCs/>
          <w:color w:val="000000"/>
        </w:rPr>
        <w:tab/>
      </w:r>
      <w:r w:rsidRPr="00D6101B">
        <w:rPr>
          <w:bCs/>
          <w:color w:val="000000"/>
        </w:rPr>
        <w:t>In this tomb</w:t>
      </w:r>
      <w:r>
        <w:rPr>
          <w:bCs/>
          <w:color w:val="000000"/>
        </w:rPr>
        <w:t>,</w:t>
      </w:r>
      <w:r w:rsidRPr="00D6101B">
        <w:rPr>
          <w:bCs/>
          <w:color w:val="000000"/>
        </w:rPr>
        <w:t xml:space="preserve"> a burial in a bathtub </w:t>
      </w:r>
      <w:r>
        <w:rPr>
          <w:bCs/>
          <w:color w:val="000000"/>
        </w:rPr>
        <w:t xml:space="preserve">larnax </w:t>
      </w:r>
      <w:r w:rsidRPr="00D6101B">
        <w:rPr>
          <w:bCs/>
          <w:color w:val="000000"/>
        </w:rPr>
        <w:t>coexist</w:t>
      </w:r>
      <w:r>
        <w:rPr>
          <w:bCs/>
          <w:color w:val="000000"/>
        </w:rPr>
        <w:t>ed</w:t>
      </w:r>
      <w:r w:rsidRPr="00D6101B">
        <w:rPr>
          <w:bCs/>
          <w:color w:val="000000"/>
        </w:rPr>
        <w:t xml:space="preserve"> with a deposition on the floor. The two burials correspond to two different phases of use of the tomb: the deposition on the floor (first phase) </w:t>
      </w:r>
      <w:r>
        <w:rPr>
          <w:bCs/>
          <w:color w:val="000000"/>
        </w:rPr>
        <w:t>was</w:t>
      </w:r>
      <w:r w:rsidRPr="00D6101B">
        <w:rPr>
          <w:bCs/>
          <w:color w:val="000000"/>
        </w:rPr>
        <w:t xml:space="preserve"> moved </w:t>
      </w:r>
      <w:r>
        <w:rPr>
          <w:bCs/>
          <w:color w:val="000000"/>
        </w:rPr>
        <w:t>to</w:t>
      </w:r>
      <w:r w:rsidRPr="00D6101B">
        <w:rPr>
          <w:bCs/>
          <w:color w:val="000000"/>
        </w:rPr>
        <w:t xml:space="preserve"> the eastern side of the chamber to make room for the most recent larnax deposition (second and </w:t>
      </w:r>
      <w:r>
        <w:rPr>
          <w:bCs/>
          <w:color w:val="000000"/>
        </w:rPr>
        <w:t>final</w:t>
      </w:r>
      <w:r w:rsidRPr="00D6101B">
        <w:rPr>
          <w:bCs/>
          <w:color w:val="000000"/>
        </w:rPr>
        <w:t xml:space="preserve"> phase). Consequently, the deposition on the floor is a secondary burial, while the inhumation within the larnax </w:t>
      </w:r>
      <w:r>
        <w:rPr>
          <w:bCs/>
          <w:color w:val="000000"/>
        </w:rPr>
        <w:t xml:space="preserve">is probably a </w:t>
      </w:r>
      <w:r w:rsidRPr="00D6101B">
        <w:rPr>
          <w:bCs/>
          <w:color w:val="000000"/>
        </w:rPr>
        <w:t>primary burial. However</w:t>
      </w:r>
      <w:r>
        <w:rPr>
          <w:bCs/>
          <w:color w:val="000000"/>
        </w:rPr>
        <w:t>,</w:t>
      </w:r>
      <w:r w:rsidRPr="00D6101B">
        <w:rPr>
          <w:bCs/>
          <w:color w:val="000000"/>
        </w:rPr>
        <w:t xml:space="preserve"> no specific information is </w:t>
      </w:r>
      <w:r>
        <w:rPr>
          <w:bCs/>
          <w:color w:val="000000"/>
        </w:rPr>
        <w:t>provided</w:t>
      </w:r>
      <w:r w:rsidRPr="00D6101B">
        <w:rPr>
          <w:bCs/>
          <w:color w:val="000000"/>
        </w:rPr>
        <w:t xml:space="preserve"> </w:t>
      </w:r>
      <w:r>
        <w:rPr>
          <w:bCs/>
          <w:color w:val="000000"/>
        </w:rPr>
        <w:t>regarding</w:t>
      </w:r>
      <w:r w:rsidRPr="00D6101B">
        <w:rPr>
          <w:bCs/>
          <w:color w:val="000000"/>
        </w:rPr>
        <w:t xml:space="preserve"> the skeletal remains found inside the larnax, so it is not possible to state securely</w:t>
      </w:r>
      <w:r>
        <w:rPr>
          <w:bCs/>
          <w:color w:val="000000"/>
        </w:rPr>
        <w:t xml:space="preserve"> whether</w:t>
      </w:r>
      <w:r w:rsidRPr="00D6101B">
        <w:rPr>
          <w:bCs/>
          <w:color w:val="000000"/>
        </w:rPr>
        <w:t xml:space="preserve"> this is a primary or secondary deposition.</w:t>
      </w:r>
    </w:p>
    <w:p w14:paraId="787123D7" w14:textId="77777777" w:rsidR="001A4F1A" w:rsidRPr="00D6101B" w:rsidRDefault="001A4F1A"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bCs/>
          <w:color w:val="000000"/>
        </w:rPr>
      </w:pPr>
    </w:p>
    <w:p w14:paraId="2778DE13" w14:textId="521696AD" w:rsidR="001A4F1A" w:rsidRPr="00D6101B" w:rsidRDefault="001A4F1A" w:rsidP="00E858EF">
      <w:pPr>
        <w:pStyle w:val="Testofumetto"/>
        <w:suppressAutoHyphens/>
        <w:rPr>
          <w:rFonts w:cs="Times New Roman"/>
          <w:bCs/>
          <w:color w:val="000000"/>
        </w:rPr>
      </w:pPr>
      <w:bookmarkStart w:id="674" w:name="_Toc520212570"/>
      <w:r w:rsidRPr="001D7167">
        <w:t>Ta</w:t>
      </w:r>
      <w:r>
        <w:t>ble</w:t>
      </w:r>
      <w:r w:rsidRPr="001D7167">
        <w:t xml:space="preserve"> 4</w:t>
      </w:r>
      <w:r>
        <w:t>-</w:t>
      </w:r>
      <w:r w:rsidRPr="001D7167">
        <w:t>1</w:t>
      </w:r>
      <w:r w:rsidR="0013668E">
        <w:t>.</w:t>
      </w:r>
      <w:r>
        <w:t xml:space="preserve"> Information on number of burials in tombs with </w:t>
      </w:r>
      <w:r w:rsidRPr="00D11200">
        <w:t>larnakes</w:t>
      </w:r>
      <w:r w:rsidR="00F02B7C">
        <w:t>,</w:t>
      </w:r>
      <w:r w:rsidRPr="00D11200">
        <w:t xml:space="preserve"> </w:t>
      </w:r>
      <w:r w:rsidR="00203BF0" w:rsidRPr="00D11200">
        <w:t>Far</w:t>
      </w:r>
      <w:r w:rsidRPr="00D11200">
        <w:t xml:space="preserve">-West </w:t>
      </w:r>
      <w:r w:rsidR="0013668E">
        <w:t>area</w:t>
      </w:r>
      <w:bookmarkEnd w:id="674"/>
    </w:p>
    <w:tbl>
      <w:tblPr>
        <w:tblW w:w="0" w:type="auto"/>
        <w:jc w:val="center"/>
        <w:tblCellMar>
          <w:left w:w="70" w:type="dxa"/>
          <w:right w:w="70" w:type="dxa"/>
        </w:tblCellMar>
        <w:tblLook w:val="04A0" w:firstRow="1" w:lastRow="0" w:firstColumn="1" w:lastColumn="0" w:noHBand="0" w:noVBand="1"/>
      </w:tblPr>
      <w:tblGrid>
        <w:gridCol w:w="1771"/>
        <w:gridCol w:w="1875"/>
        <w:gridCol w:w="1540"/>
        <w:gridCol w:w="1772"/>
        <w:gridCol w:w="1680"/>
      </w:tblGrid>
      <w:tr w:rsidR="001A4F1A" w:rsidRPr="008322D1" w14:paraId="44DF44B8" w14:textId="77777777" w:rsidTr="008322D1">
        <w:trPr>
          <w:trHeight w:val="974"/>
          <w:jc w:val="center"/>
        </w:trPr>
        <w:tc>
          <w:tcPr>
            <w:tcW w:w="2108" w:type="dxa"/>
            <w:tcBorders>
              <w:top w:val="single" w:sz="6" w:space="0" w:color="000000"/>
              <w:left w:val="single" w:sz="6" w:space="0" w:color="000000"/>
              <w:bottom w:val="single" w:sz="6" w:space="0" w:color="000000"/>
              <w:right w:val="single" w:sz="6" w:space="0" w:color="000000"/>
            </w:tcBorders>
            <w:hideMark/>
          </w:tcPr>
          <w:p w14:paraId="62EC5930" w14:textId="77777777" w:rsidR="001A4F1A" w:rsidRPr="008322D1" w:rsidRDefault="001A4F1A" w:rsidP="008322D1">
            <w:pPr>
              <w:suppressAutoHyphens/>
              <w:jc w:val="center"/>
              <w:rPr>
                <w:sz w:val="20"/>
              </w:rPr>
            </w:pPr>
            <w:r w:rsidRPr="008322D1">
              <w:rPr>
                <w:color w:val="000000"/>
                <w:sz w:val="20"/>
              </w:rPr>
              <w:t>Min. number of burials found in tombs with clay larnax use</w:t>
            </w:r>
          </w:p>
        </w:tc>
        <w:tc>
          <w:tcPr>
            <w:tcW w:w="2238" w:type="dxa"/>
            <w:tcBorders>
              <w:top w:val="single" w:sz="6" w:space="0" w:color="000000"/>
              <w:left w:val="single" w:sz="6" w:space="0" w:color="000000"/>
              <w:bottom w:val="single" w:sz="6" w:space="0" w:color="000000"/>
              <w:right w:val="single" w:sz="6" w:space="0" w:color="000000"/>
            </w:tcBorders>
            <w:hideMark/>
          </w:tcPr>
          <w:p w14:paraId="202681EC" w14:textId="77777777" w:rsidR="001A4F1A" w:rsidRPr="008322D1" w:rsidRDefault="001A4F1A" w:rsidP="008322D1">
            <w:pPr>
              <w:suppressAutoHyphens/>
              <w:jc w:val="center"/>
              <w:rPr>
                <w:sz w:val="20"/>
              </w:rPr>
            </w:pPr>
            <w:r w:rsidRPr="008322D1">
              <w:rPr>
                <w:sz w:val="20"/>
              </w:rPr>
              <w:t>Total primary burials in larnax</w:t>
            </w:r>
          </w:p>
        </w:tc>
        <w:tc>
          <w:tcPr>
            <w:tcW w:w="1735" w:type="dxa"/>
            <w:tcBorders>
              <w:top w:val="single" w:sz="6" w:space="0" w:color="000000"/>
              <w:left w:val="single" w:sz="6" w:space="0" w:color="000000"/>
              <w:bottom w:val="single" w:sz="6" w:space="0" w:color="000000"/>
              <w:right w:val="single" w:sz="6" w:space="0" w:color="000000"/>
            </w:tcBorders>
            <w:hideMark/>
          </w:tcPr>
          <w:p w14:paraId="0052FB67" w14:textId="77777777" w:rsidR="001A4F1A" w:rsidRPr="008322D1" w:rsidRDefault="001A4F1A" w:rsidP="008322D1">
            <w:pPr>
              <w:suppressAutoHyphens/>
              <w:jc w:val="center"/>
              <w:rPr>
                <w:sz w:val="20"/>
              </w:rPr>
            </w:pPr>
            <w:r w:rsidRPr="008322D1">
              <w:rPr>
                <w:sz w:val="20"/>
              </w:rPr>
              <w:t>Total secondary burials in larnax</w:t>
            </w:r>
          </w:p>
        </w:tc>
        <w:tc>
          <w:tcPr>
            <w:tcW w:w="2101" w:type="dxa"/>
            <w:tcBorders>
              <w:top w:val="single" w:sz="6" w:space="0" w:color="000000"/>
              <w:left w:val="single" w:sz="6" w:space="0" w:color="000000"/>
              <w:bottom w:val="single" w:sz="6" w:space="0" w:color="000000"/>
              <w:right w:val="single" w:sz="6" w:space="0" w:color="000000"/>
            </w:tcBorders>
            <w:hideMark/>
          </w:tcPr>
          <w:p w14:paraId="0A834888" w14:textId="77777777" w:rsidR="001A4F1A" w:rsidRPr="008322D1" w:rsidRDefault="001A4F1A" w:rsidP="008322D1">
            <w:pPr>
              <w:suppressAutoHyphens/>
              <w:jc w:val="center"/>
              <w:rPr>
                <w:sz w:val="20"/>
              </w:rPr>
            </w:pPr>
            <w:r w:rsidRPr="008322D1">
              <w:rPr>
                <w:color w:val="000000"/>
                <w:sz w:val="20"/>
              </w:rPr>
              <w:t>Total primary burials on the floor</w:t>
            </w:r>
          </w:p>
        </w:tc>
        <w:tc>
          <w:tcPr>
            <w:tcW w:w="1920" w:type="dxa"/>
            <w:tcBorders>
              <w:top w:val="single" w:sz="6" w:space="0" w:color="000000"/>
              <w:left w:val="single" w:sz="6" w:space="0" w:color="000000"/>
              <w:bottom w:val="single" w:sz="6" w:space="0" w:color="000000"/>
              <w:right w:val="single" w:sz="6" w:space="0" w:color="000000"/>
            </w:tcBorders>
          </w:tcPr>
          <w:p w14:paraId="69824007" w14:textId="77777777" w:rsidR="001A4F1A" w:rsidRPr="008322D1" w:rsidRDefault="001A4F1A" w:rsidP="008322D1">
            <w:pPr>
              <w:suppressAutoHyphens/>
              <w:jc w:val="center"/>
              <w:rPr>
                <w:color w:val="000000"/>
                <w:sz w:val="20"/>
              </w:rPr>
            </w:pPr>
            <w:r w:rsidRPr="008322D1">
              <w:rPr>
                <w:sz w:val="20"/>
              </w:rPr>
              <w:t>Total secondary burials on the floor</w:t>
            </w:r>
          </w:p>
        </w:tc>
      </w:tr>
      <w:tr w:rsidR="001A4F1A" w:rsidRPr="008322D1" w14:paraId="2B027557" w14:textId="77777777" w:rsidTr="008322D1">
        <w:tblPrEx>
          <w:tblCellMar>
            <w:left w:w="0" w:type="dxa"/>
            <w:right w:w="0" w:type="dxa"/>
          </w:tblCellMar>
        </w:tblPrEx>
        <w:trPr>
          <w:trHeight w:val="175"/>
          <w:jc w:val="center"/>
        </w:trPr>
        <w:tc>
          <w:tcPr>
            <w:tcW w:w="2108" w:type="dxa"/>
            <w:tcBorders>
              <w:top w:val="single" w:sz="6" w:space="0" w:color="000000"/>
              <w:left w:val="single" w:sz="6" w:space="0" w:color="000000"/>
              <w:bottom w:val="single" w:sz="6" w:space="0" w:color="000000"/>
              <w:right w:val="single" w:sz="6" w:space="0" w:color="000000"/>
            </w:tcBorders>
            <w:shd w:val="clear" w:color="auto" w:fill="F2F2F2" w:themeFill="background1" w:themeFillShade="F2"/>
            <w:tcMar>
              <w:top w:w="60" w:type="dxa"/>
              <w:left w:w="60" w:type="dxa"/>
              <w:bottom w:w="60" w:type="dxa"/>
              <w:right w:w="60" w:type="dxa"/>
            </w:tcMar>
            <w:hideMark/>
          </w:tcPr>
          <w:p w14:paraId="445C1EE2" w14:textId="77777777" w:rsidR="001A4F1A" w:rsidRPr="008322D1" w:rsidRDefault="001A4F1A" w:rsidP="008322D1">
            <w:pPr>
              <w:suppressAutoHyphens/>
              <w:jc w:val="center"/>
              <w:rPr>
                <w:b/>
                <w:sz w:val="20"/>
              </w:rPr>
            </w:pPr>
            <w:r w:rsidRPr="008322D1">
              <w:rPr>
                <w:b/>
                <w:color w:val="000000"/>
                <w:sz w:val="20"/>
              </w:rPr>
              <w:t>2</w:t>
            </w:r>
          </w:p>
        </w:tc>
        <w:tc>
          <w:tcPr>
            <w:tcW w:w="2238" w:type="dxa"/>
            <w:tcBorders>
              <w:top w:val="single" w:sz="6" w:space="0" w:color="000000"/>
              <w:left w:val="single" w:sz="6" w:space="0" w:color="000000"/>
              <w:bottom w:val="single" w:sz="6" w:space="0" w:color="000000"/>
              <w:right w:val="single" w:sz="6" w:space="0" w:color="000000"/>
            </w:tcBorders>
            <w:shd w:val="clear" w:color="auto" w:fill="F2F2F2" w:themeFill="background1" w:themeFillShade="F2"/>
            <w:tcMar>
              <w:top w:w="60" w:type="dxa"/>
              <w:left w:w="60" w:type="dxa"/>
              <w:bottom w:w="60" w:type="dxa"/>
              <w:right w:w="60" w:type="dxa"/>
            </w:tcMar>
            <w:hideMark/>
          </w:tcPr>
          <w:p w14:paraId="1D19AE5A" w14:textId="77777777" w:rsidR="001A4F1A" w:rsidRPr="008322D1" w:rsidRDefault="001A4F1A" w:rsidP="008322D1">
            <w:pPr>
              <w:suppressAutoHyphens/>
              <w:jc w:val="center"/>
              <w:rPr>
                <w:sz w:val="20"/>
              </w:rPr>
            </w:pPr>
            <w:r w:rsidRPr="008322D1">
              <w:rPr>
                <w:color w:val="000000"/>
                <w:sz w:val="20"/>
              </w:rPr>
              <w:t>1 (?)</w:t>
            </w:r>
          </w:p>
        </w:tc>
        <w:tc>
          <w:tcPr>
            <w:tcW w:w="1735" w:type="dxa"/>
            <w:tcBorders>
              <w:top w:val="single" w:sz="6" w:space="0" w:color="000000"/>
              <w:left w:val="single" w:sz="6" w:space="0" w:color="000000"/>
              <w:bottom w:val="single" w:sz="6" w:space="0" w:color="000000"/>
              <w:right w:val="single" w:sz="6" w:space="0" w:color="000000"/>
            </w:tcBorders>
            <w:shd w:val="clear" w:color="auto" w:fill="F2F2F2" w:themeFill="background1" w:themeFillShade="F2"/>
            <w:tcMar>
              <w:top w:w="60" w:type="dxa"/>
              <w:left w:w="60" w:type="dxa"/>
              <w:bottom w:w="60" w:type="dxa"/>
              <w:right w:w="60" w:type="dxa"/>
            </w:tcMar>
            <w:hideMark/>
          </w:tcPr>
          <w:p w14:paraId="7D427BE6" w14:textId="2234B3E1" w:rsidR="001A4F1A" w:rsidRPr="008322D1" w:rsidRDefault="001A4F1A" w:rsidP="008322D1">
            <w:pPr>
              <w:suppressAutoHyphens/>
              <w:jc w:val="center"/>
              <w:rPr>
                <w:sz w:val="20"/>
              </w:rPr>
            </w:pPr>
            <w:r w:rsidRPr="008322D1">
              <w:rPr>
                <w:color w:val="000000"/>
                <w:sz w:val="20"/>
              </w:rPr>
              <w:t>0</w:t>
            </w:r>
          </w:p>
        </w:tc>
        <w:tc>
          <w:tcPr>
            <w:tcW w:w="2101" w:type="dxa"/>
            <w:tcBorders>
              <w:top w:val="single" w:sz="6" w:space="0" w:color="000000"/>
              <w:left w:val="single" w:sz="6" w:space="0" w:color="000000"/>
              <w:bottom w:val="single" w:sz="6" w:space="0" w:color="000000"/>
              <w:right w:val="single" w:sz="6" w:space="0" w:color="000000"/>
            </w:tcBorders>
            <w:shd w:val="clear" w:color="auto" w:fill="F2F2F2" w:themeFill="background1" w:themeFillShade="F2"/>
            <w:tcMar>
              <w:top w:w="60" w:type="dxa"/>
              <w:left w:w="60" w:type="dxa"/>
              <w:bottom w:w="60" w:type="dxa"/>
              <w:right w:w="60" w:type="dxa"/>
            </w:tcMar>
            <w:hideMark/>
          </w:tcPr>
          <w:p w14:paraId="7A981226" w14:textId="77777777" w:rsidR="001A4F1A" w:rsidRPr="008322D1" w:rsidRDefault="001A4F1A" w:rsidP="008322D1">
            <w:pPr>
              <w:suppressAutoHyphens/>
              <w:jc w:val="center"/>
              <w:rPr>
                <w:sz w:val="20"/>
              </w:rPr>
            </w:pPr>
            <w:r w:rsidRPr="008322D1">
              <w:rPr>
                <w:color w:val="000000"/>
                <w:sz w:val="20"/>
              </w:rPr>
              <w:t>0</w:t>
            </w:r>
          </w:p>
        </w:tc>
        <w:tc>
          <w:tcPr>
            <w:tcW w:w="1920" w:type="dxa"/>
            <w:tcBorders>
              <w:top w:val="single" w:sz="6" w:space="0" w:color="000000"/>
              <w:left w:val="single" w:sz="6" w:space="0" w:color="000000"/>
              <w:bottom w:val="single" w:sz="6" w:space="0" w:color="000000"/>
              <w:right w:val="single" w:sz="6" w:space="0" w:color="000000"/>
            </w:tcBorders>
            <w:shd w:val="clear" w:color="auto" w:fill="F2F2F2" w:themeFill="background1" w:themeFillShade="F2"/>
          </w:tcPr>
          <w:p w14:paraId="36FD35B7" w14:textId="77777777" w:rsidR="001A4F1A" w:rsidRPr="008322D1" w:rsidRDefault="001A4F1A" w:rsidP="008322D1">
            <w:pPr>
              <w:suppressAutoHyphens/>
              <w:jc w:val="center"/>
              <w:rPr>
                <w:color w:val="000000"/>
                <w:sz w:val="20"/>
              </w:rPr>
            </w:pPr>
            <w:r w:rsidRPr="008322D1">
              <w:rPr>
                <w:color w:val="000000"/>
                <w:sz w:val="20"/>
              </w:rPr>
              <w:t>1</w:t>
            </w:r>
          </w:p>
        </w:tc>
      </w:tr>
    </w:tbl>
    <w:p w14:paraId="185C4580" w14:textId="77777777" w:rsidR="001A4F1A" w:rsidRPr="001D7167" w:rsidRDefault="001A4F1A" w:rsidP="00E858EF">
      <w:pPr>
        <w:pStyle w:val="Testofumetto"/>
        <w:suppressAutoHyphens/>
      </w:pPr>
    </w:p>
    <w:p w14:paraId="26E31080"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Unfortunately, no information is available </w:t>
      </w:r>
      <w:r>
        <w:rPr>
          <w:color w:val="000000"/>
        </w:rPr>
        <w:t>regarding the</w:t>
      </w:r>
      <w:r w:rsidRPr="00D6101B">
        <w:rPr>
          <w:color w:val="000000"/>
        </w:rPr>
        <w:t xml:space="preserve"> gender and the age of the two individuals buried in this tomb (</w:t>
      </w:r>
      <w:r w:rsidRPr="007C4F07">
        <w:rPr>
          <w:i/>
          <w:color w:val="000000"/>
        </w:rPr>
        <w:t>ADelt</w:t>
      </w:r>
      <w:r w:rsidRPr="00D6101B">
        <w:rPr>
          <w:color w:val="000000"/>
        </w:rPr>
        <w:t xml:space="preserve"> 38 1983: 360).</w:t>
      </w:r>
    </w:p>
    <w:p w14:paraId="4E4CDE15" w14:textId="3457C03C" w:rsidR="001A4F1A" w:rsidRPr="00D6101B" w:rsidRDefault="001A4F1A" w:rsidP="00E858EF">
      <w:pPr>
        <w:pStyle w:val="Titolo4"/>
        <w:keepNext w:val="0"/>
        <w:keepLines w:val="0"/>
        <w:suppressAutoHyphens/>
      </w:pPr>
      <w:bookmarkStart w:id="675" w:name="_Toc517745300"/>
      <w:r w:rsidRPr="00D6101B">
        <w:t>Conclusions</w:t>
      </w:r>
      <w:bookmarkEnd w:id="675"/>
      <w:r w:rsidR="008322D1">
        <w:t>,</w:t>
      </w:r>
      <w:r w:rsidR="000F1DC9">
        <w:t xml:space="preserve"> Far West area</w:t>
      </w:r>
      <w:r w:rsidR="00EF451A">
        <w:t xml:space="preserve"> </w:t>
      </w:r>
      <w:r w:rsidRPr="00D6101B">
        <w:t xml:space="preserve"> </w:t>
      </w:r>
    </w:p>
    <w:p w14:paraId="75F0BA72"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The choice to be buried in a bathtub larnax could be considered an isolated and peculiar </w:t>
      </w:r>
      <w:r>
        <w:rPr>
          <w:color w:val="000000"/>
        </w:rPr>
        <w:t>one</w:t>
      </w:r>
      <w:r w:rsidRPr="00D6101B">
        <w:rPr>
          <w:color w:val="000000"/>
        </w:rPr>
        <w:t xml:space="preserve"> within the broad western area</w:t>
      </w:r>
      <w:r>
        <w:rPr>
          <w:color w:val="000000"/>
        </w:rPr>
        <w:t xml:space="preserve">; </w:t>
      </w:r>
      <w:r w:rsidRPr="00D6101B">
        <w:rPr>
          <w:color w:val="000000"/>
        </w:rPr>
        <w:t xml:space="preserve">bathtub larnax burials are absent from the </w:t>
      </w:r>
      <w:r>
        <w:rPr>
          <w:color w:val="000000"/>
        </w:rPr>
        <w:t>Far-West</w:t>
      </w:r>
      <w:r w:rsidRPr="00D6101B">
        <w:rPr>
          <w:color w:val="000000"/>
        </w:rPr>
        <w:t xml:space="preserve"> area</w:t>
      </w:r>
      <w:r>
        <w:rPr>
          <w:color w:val="000000"/>
        </w:rPr>
        <w:t>,</w:t>
      </w:r>
      <w:r w:rsidRPr="00D6101B">
        <w:rPr>
          <w:color w:val="000000"/>
        </w:rPr>
        <w:t xml:space="preserve"> as previously stated in</w:t>
      </w:r>
      <w:r>
        <w:rPr>
          <w:color w:val="000000"/>
        </w:rPr>
        <w:t xml:space="preserve"> the</w:t>
      </w:r>
      <w:r w:rsidRPr="00D6101B">
        <w:rPr>
          <w:color w:val="000000"/>
        </w:rPr>
        <w:t xml:space="preserve"> section concerning the regional distribution of larnakes. Unfortunately, the scar</w:t>
      </w:r>
      <w:r>
        <w:rPr>
          <w:color w:val="000000"/>
        </w:rPr>
        <w:t>c</w:t>
      </w:r>
      <w:r w:rsidRPr="00D6101B">
        <w:rPr>
          <w:color w:val="000000"/>
        </w:rPr>
        <w:t>e sample of data available for this region</w:t>
      </w:r>
      <w:r>
        <w:rPr>
          <w:color w:val="000000"/>
        </w:rPr>
        <w:t xml:space="preserve"> (</w:t>
      </w:r>
      <w:r w:rsidRPr="00D6101B">
        <w:rPr>
          <w:color w:val="000000"/>
        </w:rPr>
        <w:t>only one tomb</w:t>
      </w:r>
      <w:r>
        <w:rPr>
          <w:color w:val="000000"/>
        </w:rPr>
        <w:t>)</w:t>
      </w:r>
      <w:r w:rsidRPr="00D6101B">
        <w:rPr>
          <w:color w:val="000000"/>
        </w:rPr>
        <w:t xml:space="preserve"> does not allow </w:t>
      </w:r>
      <w:r>
        <w:rPr>
          <w:color w:val="000000"/>
        </w:rPr>
        <w:t xml:space="preserve">us </w:t>
      </w:r>
      <w:r w:rsidRPr="00D6101B">
        <w:rPr>
          <w:color w:val="000000"/>
        </w:rPr>
        <w:t xml:space="preserve">to </w:t>
      </w:r>
      <w:r>
        <w:rPr>
          <w:color w:val="000000"/>
        </w:rPr>
        <w:t>develop</w:t>
      </w:r>
      <w:r w:rsidRPr="00D6101B">
        <w:rPr>
          <w:color w:val="000000"/>
        </w:rPr>
        <w:t xml:space="preserve"> a hypothesis </w:t>
      </w:r>
      <w:r>
        <w:rPr>
          <w:color w:val="000000"/>
        </w:rPr>
        <w:t>regarding</w:t>
      </w:r>
      <w:r w:rsidRPr="00D6101B">
        <w:rPr>
          <w:color w:val="000000"/>
        </w:rPr>
        <w:t xml:space="preserve"> the identity of the person buried in this</w:t>
      </w:r>
      <w:r>
        <w:rPr>
          <w:color w:val="000000"/>
        </w:rPr>
        <w:t xml:space="preserve"> single</w:t>
      </w:r>
      <w:r w:rsidRPr="00D6101B">
        <w:rPr>
          <w:color w:val="000000"/>
        </w:rPr>
        <w:t xml:space="preserve"> larnax or to understand further if the reason </w:t>
      </w:r>
      <w:r>
        <w:rPr>
          <w:color w:val="000000"/>
        </w:rPr>
        <w:t xml:space="preserve">for </w:t>
      </w:r>
      <w:r w:rsidRPr="00D6101B">
        <w:rPr>
          <w:color w:val="000000"/>
        </w:rPr>
        <w:t>this choice is connect</w:t>
      </w:r>
      <w:r>
        <w:rPr>
          <w:color w:val="000000"/>
        </w:rPr>
        <w:t>ed</w:t>
      </w:r>
      <w:r w:rsidRPr="00D6101B">
        <w:rPr>
          <w:color w:val="000000"/>
        </w:rPr>
        <w:t xml:space="preserve"> to aspect</w:t>
      </w:r>
      <w:r>
        <w:rPr>
          <w:color w:val="000000"/>
        </w:rPr>
        <w:t>s</w:t>
      </w:r>
      <w:r w:rsidRPr="00D6101B">
        <w:rPr>
          <w:color w:val="000000"/>
        </w:rPr>
        <w:t xml:space="preserve"> </w:t>
      </w:r>
      <w:r>
        <w:rPr>
          <w:color w:val="000000"/>
        </w:rPr>
        <w:t>such as</w:t>
      </w:r>
      <w:r w:rsidRPr="00D6101B">
        <w:rPr>
          <w:color w:val="000000"/>
        </w:rPr>
        <w:t xml:space="preserve"> gender or age.</w:t>
      </w:r>
    </w:p>
    <w:p w14:paraId="2F2D9A0E" w14:textId="77777777" w:rsidR="001A4F1A"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The identification of two clear</w:t>
      </w:r>
      <w:r>
        <w:rPr>
          <w:color w:val="000000"/>
        </w:rPr>
        <w:t>ly</w:t>
      </w:r>
      <w:r w:rsidRPr="00D6101B">
        <w:rPr>
          <w:color w:val="000000"/>
        </w:rPr>
        <w:t xml:space="preserve"> diffe</w:t>
      </w:r>
      <w:r>
        <w:rPr>
          <w:color w:val="000000"/>
        </w:rPr>
        <w:t xml:space="preserve">rent phases of use of the tomb </w:t>
      </w:r>
      <w:r w:rsidRPr="00D6101B">
        <w:rPr>
          <w:color w:val="000000"/>
        </w:rPr>
        <w:t>belong</w:t>
      </w:r>
      <w:r>
        <w:rPr>
          <w:color w:val="000000"/>
        </w:rPr>
        <w:t>ing</w:t>
      </w:r>
      <w:r w:rsidRPr="00D6101B">
        <w:rPr>
          <w:color w:val="000000"/>
        </w:rPr>
        <w:t xml:space="preserve"> </w:t>
      </w:r>
      <w:r>
        <w:rPr>
          <w:color w:val="000000"/>
        </w:rPr>
        <w:t xml:space="preserve">to </w:t>
      </w:r>
      <w:r w:rsidRPr="00D6101B">
        <w:rPr>
          <w:color w:val="000000"/>
        </w:rPr>
        <w:t>each burial, demonstrates that</w:t>
      </w:r>
      <w:r>
        <w:rPr>
          <w:color w:val="000000"/>
        </w:rPr>
        <w:t>,</w:t>
      </w:r>
      <w:r w:rsidRPr="00D6101B">
        <w:rPr>
          <w:color w:val="000000"/>
        </w:rPr>
        <w:t xml:space="preserve"> in both cases</w:t>
      </w:r>
      <w:r>
        <w:rPr>
          <w:color w:val="000000"/>
        </w:rPr>
        <w:t>,</w:t>
      </w:r>
      <w:r w:rsidRPr="00D6101B">
        <w:rPr>
          <w:color w:val="000000"/>
        </w:rPr>
        <w:t xml:space="preserve"> these are individual burials. It is highly possible that the first burial on the floor was not originally placed inside the larnax and then moved to the floor, but </w:t>
      </w:r>
      <w:r>
        <w:rPr>
          <w:color w:val="000000"/>
        </w:rPr>
        <w:t xml:space="preserve">that </w:t>
      </w:r>
      <w:r w:rsidRPr="00D6101B">
        <w:rPr>
          <w:color w:val="000000"/>
        </w:rPr>
        <w:t xml:space="preserve">it </w:t>
      </w:r>
      <w:r>
        <w:rPr>
          <w:color w:val="000000"/>
        </w:rPr>
        <w:t>was</w:t>
      </w:r>
      <w:r w:rsidRPr="00D6101B">
        <w:rPr>
          <w:color w:val="000000"/>
        </w:rPr>
        <w:t xml:space="preserve"> a floor deposition moved from its original position during the second phase of use of the tomb (i.e. when the larnax burial was placed in the tomb) to make space for the larnax deposition, as specified in the excavation report (</w:t>
      </w:r>
      <w:r w:rsidRPr="007C4F07">
        <w:rPr>
          <w:i/>
          <w:color w:val="000000"/>
        </w:rPr>
        <w:t>ADelt</w:t>
      </w:r>
      <w:r w:rsidRPr="00D6101B">
        <w:rPr>
          <w:color w:val="000000"/>
        </w:rPr>
        <w:t xml:space="preserve"> 38 1983: 360). The bathtub larnax burial </w:t>
      </w:r>
      <w:r>
        <w:rPr>
          <w:color w:val="000000"/>
        </w:rPr>
        <w:t>would then be from</w:t>
      </w:r>
      <w:r w:rsidRPr="00D6101B">
        <w:rPr>
          <w:color w:val="000000"/>
        </w:rPr>
        <w:t xml:space="preserve"> the foll</w:t>
      </w:r>
      <w:r>
        <w:rPr>
          <w:color w:val="000000"/>
        </w:rPr>
        <w:t>owing and final phase of use of the tomb</w:t>
      </w:r>
      <w:r w:rsidRPr="00D6101B">
        <w:rPr>
          <w:color w:val="000000"/>
        </w:rPr>
        <w:t>. According to this hypothesis</w:t>
      </w:r>
      <w:r>
        <w:rPr>
          <w:color w:val="000000"/>
        </w:rPr>
        <w:t>,</w:t>
      </w:r>
      <w:r w:rsidRPr="00D6101B">
        <w:rPr>
          <w:color w:val="000000"/>
        </w:rPr>
        <w:t xml:space="preserve"> the tomb </w:t>
      </w:r>
      <w:r>
        <w:rPr>
          <w:color w:val="000000"/>
        </w:rPr>
        <w:t>was</w:t>
      </w:r>
      <w:r w:rsidRPr="00D6101B">
        <w:rPr>
          <w:color w:val="000000"/>
        </w:rPr>
        <w:t xml:space="preserve"> re</w:t>
      </w:r>
      <w:r>
        <w:rPr>
          <w:color w:val="000000"/>
        </w:rPr>
        <w:t>opened</w:t>
      </w:r>
      <w:r w:rsidRPr="00D6101B">
        <w:rPr>
          <w:color w:val="000000"/>
        </w:rPr>
        <w:t xml:space="preserve"> in this second phase and re</w:t>
      </w:r>
      <w:r>
        <w:rPr>
          <w:color w:val="000000"/>
        </w:rPr>
        <w:t>used</w:t>
      </w:r>
      <w:r w:rsidRPr="00D6101B">
        <w:rPr>
          <w:color w:val="000000"/>
        </w:rPr>
        <w:t xml:space="preserve"> with another type of burial.</w:t>
      </w:r>
    </w:p>
    <w:p w14:paraId="037BE1A2"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428BAF76" w14:textId="2D83FF02" w:rsidR="001A4F1A" w:rsidRPr="00D6101B" w:rsidRDefault="001A4F1A" w:rsidP="00E858EF">
      <w:pPr>
        <w:pStyle w:val="Testofumetto"/>
        <w:suppressAutoHyphens/>
      </w:pPr>
      <w:bookmarkStart w:id="676" w:name="_Toc520212571"/>
      <w:r w:rsidRPr="008D4087">
        <w:t>Ta</w:t>
      </w:r>
      <w:r>
        <w:t>ble</w:t>
      </w:r>
      <w:r w:rsidRPr="008D4087">
        <w:t xml:space="preserve"> 4</w:t>
      </w:r>
      <w:r>
        <w:t>-</w:t>
      </w:r>
      <w:r w:rsidRPr="008D4087">
        <w:t>2</w:t>
      </w:r>
      <w:r w:rsidR="0013668E">
        <w:t>.</w:t>
      </w:r>
      <w:r>
        <w:t xml:space="preserve"> Phases of tomb use with larnax burial at Chania Koumpes</w:t>
      </w:r>
      <w:bookmarkEnd w:id="676"/>
    </w:p>
    <w:tbl>
      <w:tblPr>
        <w:tblStyle w:val="Grigliatabella"/>
        <w:tblW w:w="0" w:type="auto"/>
        <w:tblLook w:val="04A0" w:firstRow="1" w:lastRow="0" w:firstColumn="1" w:lastColumn="0" w:noHBand="0" w:noVBand="1"/>
      </w:tblPr>
      <w:tblGrid>
        <w:gridCol w:w="3257"/>
        <w:gridCol w:w="3257"/>
      </w:tblGrid>
      <w:tr w:rsidR="001A4F1A" w:rsidRPr="008322D1" w14:paraId="7A108AF2" w14:textId="77777777" w:rsidTr="009D5FBB">
        <w:tc>
          <w:tcPr>
            <w:tcW w:w="3257" w:type="dxa"/>
          </w:tcPr>
          <w:p w14:paraId="03D710C5"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8322D1">
              <w:rPr>
                <w:color w:val="000000"/>
                <w:sz w:val="20"/>
              </w:rPr>
              <w:t>Phase 1</w:t>
            </w:r>
          </w:p>
        </w:tc>
        <w:tc>
          <w:tcPr>
            <w:tcW w:w="3257" w:type="dxa"/>
          </w:tcPr>
          <w:p w14:paraId="6CAB134E"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8322D1">
              <w:rPr>
                <w:color w:val="000000"/>
                <w:sz w:val="20"/>
              </w:rPr>
              <w:t>Deposition on the floor</w:t>
            </w:r>
          </w:p>
        </w:tc>
      </w:tr>
      <w:tr w:rsidR="001A4F1A" w:rsidRPr="008322D1" w14:paraId="51D6A8FE" w14:textId="77777777" w:rsidTr="009D5FBB">
        <w:tc>
          <w:tcPr>
            <w:tcW w:w="3257" w:type="dxa"/>
          </w:tcPr>
          <w:p w14:paraId="67AF709B"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8322D1">
              <w:rPr>
                <w:color w:val="000000"/>
                <w:sz w:val="20"/>
              </w:rPr>
              <w:t>Phase 2</w:t>
            </w:r>
          </w:p>
        </w:tc>
        <w:tc>
          <w:tcPr>
            <w:tcW w:w="3257" w:type="dxa"/>
          </w:tcPr>
          <w:p w14:paraId="507FCC8A"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8322D1">
              <w:rPr>
                <w:color w:val="000000"/>
                <w:sz w:val="20"/>
              </w:rPr>
              <w:t>Larnax burial</w:t>
            </w:r>
          </w:p>
        </w:tc>
      </w:tr>
    </w:tbl>
    <w:p w14:paraId="331DF077" w14:textId="77777777" w:rsidR="001A4F1A" w:rsidRPr="008D4087" w:rsidRDefault="001A4F1A"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bCs/>
          <w:color w:val="000000"/>
          <w:sz w:val="20"/>
          <w:szCs w:val="20"/>
        </w:rPr>
      </w:pPr>
    </w:p>
    <w:p w14:paraId="4EACF50C" w14:textId="69D86A16" w:rsidR="001A4F1A" w:rsidRPr="00D6101B" w:rsidRDefault="001A4F1A" w:rsidP="00E858EF">
      <w:pPr>
        <w:pStyle w:val="Titolo3"/>
        <w:keepNext w:val="0"/>
        <w:keepLines w:val="0"/>
        <w:suppressAutoHyphens/>
      </w:pPr>
      <w:bookmarkStart w:id="677" w:name="_Toc517745301"/>
      <w:bookmarkStart w:id="678" w:name="_Toc519894651"/>
      <w:r>
        <w:t>Mid-West</w:t>
      </w:r>
      <w:r w:rsidR="00942894">
        <w:t xml:space="preserve"> area</w:t>
      </w:r>
      <w:r w:rsidRPr="00D6101B">
        <w:t xml:space="preserve"> (skeletal remains)</w:t>
      </w:r>
      <w:bookmarkEnd w:id="677"/>
      <w:bookmarkEnd w:id="678"/>
    </w:p>
    <w:p w14:paraId="5C41B9B4" w14:textId="69F375C9" w:rsidR="001A4F1A" w:rsidRPr="00D6101B" w:rsidRDefault="001A4F1A" w:rsidP="00E858EF">
      <w:pPr>
        <w:pStyle w:val="Titolo4"/>
        <w:keepNext w:val="0"/>
        <w:keepLines w:val="0"/>
        <w:suppressAutoHyphens/>
      </w:pPr>
      <w:bookmarkStart w:id="679" w:name="_Toc517745302"/>
      <w:r>
        <w:t>Mid-West</w:t>
      </w:r>
      <w:r w:rsidRPr="00D6101B">
        <w:t xml:space="preserve"> </w:t>
      </w:r>
      <w:r w:rsidR="00D02AAA">
        <w:t xml:space="preserve">area </w:t>
      </w:r>
      <w:r w:rsidRPr="00D6101B">
        <w:t>analysis</w:t>
      </w:r>
      <w:bookmarkEnd w:id="679"/>
    </w:p>
    <w:p w14:paraId="607E2141" w14:textId="2E6ACB20" w:rsidR="001A4F1A" w:rsidRPr="00D6101B" w:rsidRDefault="001A4F1A" w:rsidP="00E858EF">
      <w:pPr>
        <w:suppressAutoHyphens/>
        <w:rPr>
          <w:color w:val="000000"/>
        </w:rPr>
      </w:pPr>
      <w:r w:rsidRPr="00D6101B">
        <w:rPr>
          <w:color w:val="000000"/>
        </w:rPr>
        <w:t xml:space="preserve">The minimum number of burials estimated for the sample of tombs with larnakes considered secure </w:t>
      </w:r>
      <w:r>
        <w:rPr>
          <w:color w:val="000000"/>
        </w:rPr>
        <w:t>is</w:t>
      </w:r>
      <w:r w:rsidRPr="00D6101B">
        <w:rPr>
          <w:color w:val="000000"/>
        </w:rPr>
        <w:t xml:space="preserve"> 19</w:t>
      </w:r>
      <w:r w:rsidR="00F67E62">
        <w:rPr>
          <w:color w:val="000000"/>
        </w:rPr>
        <w:t>3</w:t>
      </w:r>
      <w:r w:rsidRPr="00D6101B">
        <w:rPr>
          <w:color w:val="000000"/>
        </w:rPr>
        <w:t>. The mean number of interment</w:t>
      </w:r>
      <w:r>
        <w:rPr>
          <w:color w:val="000000"/>
        </w:rPr>
        <w:t>s</w:t>
      </w:r>
      <w:r w:rsidRPr="00D6101B">
        <w:rPr>
          <w:color w:val="000000"/>
        </w:rPr>
        <w:t xml:space="preserve"> </w:t>
      </w:r>
      <w:r>
        <w:rPr>
          <w:color w:val="000000"/>
        </w:rPr>
        <w:t>in</w:t>
      </w:r>
      <w:r w:rsidRPr="00D6101B">
        <w:rPr>
          <w:color w:val="000000"/>
        </w:rPr>
        <w:t xml:space="preserve"> tomb</w:t>
      </w:r>
      <w:r>
        <w:rPr>
          <w:color w:val="000000"/>
        </w:rPr>
        <w:t>s</w:t>
      </w:r>
      <w:r w:rsidRPr="00D6101B">
        <w:rPr>
          <w:color w:val="000000"/>
        </w:rPr>
        <w:t xml:space="preserve"> with larnakes </w:t>
      </w:r>
      <w:r>
        <w:rPr>
          <w:color w:val="000000"/>
        </w:rPr>
        <w:t>is</w:t>
      </w:r>
      <w:r w:rsidRPr="00D6101B">
        <w:rPr>
          <w:color w:val="000000"/>
        </w:rPr>
        <w:t xml:space="preserve"> approximately </w:t>
      </w:r>
      <w:r>
        <w:rPr>
          <w:color w:val="000000"/>
        </w:rPr>
        <w:t>three</w:t>
      </w:r>
      <w:r w:rsidRPr="00D6101B">
        <w:rPr>
          <w:color w:val="000000"/>
        </w:rPr>
        <w:t xml:space="preserve">, and for more than half of the sample of tombs, the minimum number of interment </w:t>
      </w:r>
      <w:r>
        <w:rPr>
          <w:color w:val="000000"/>
        </w:rPr>
        <w:t>is</w:t>
      </w:r>
      <w:r w:rsidRPr="00D6101B">
        <w:rPr>
          <w:color w:val="000000"/>
        </w:rPr>
        <w:t xml:space="preserve"> one or two. </w:t>
      </w:r>
    </w:p>
    <w:p w14:paraId="61CEA5E9" w14:textId="77777777" w:rsidR="001A4F1A"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715283FD" w14:textId="77777777" w:rsidR="0013668E" w:rsidRPr="00D6101B" w:rsidRDefault="0013668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4FBFB9AE" w14:textId="059E85E9" w:rsidR="001A4F1A" w:rsidRPr="00D6101B" w:rsidRDefault="001A4F1A" w:rsidP="00E858EF">
      <w:pPr>
        <w:pStyle w:val="Testofumetto"/>
        <w:suppressAutoHyphens/>
      </w:pPr>
      <w:bookmarkStart w:id="680" w:name="_Toc520212572"/>
      <w:r w:rsidRPr="00D93F8B">
        <w:t>Ta</w:t>
      </w:r>
      <w:r>
        <w:t>ble</w:t>
      </w:r>
      <w:r w:rsidRPr="00D93F8B">
        <w:t xml:space="preserve"> 4</w:t>
      </w:r>
      <w:r>
        <w:t>-</w:t>
      </w:r>
      <w:r w:rsidRPr="00D93F8B">
        <w:t>3</w:t>
      </w:r>
      <w:r w:rsidR="0013668E">
        <w:t>.</w:t>
      </w:r>
      <w:r>
        <w:t xml:space="preserve"> Information concerning number of burials in tombs with larnakes</w:t>
      </w:r>
      <w:r w:rsidR="00A26920">
        <w:t>,</w:t>
      </w:r>
      <w:r>
        <w:t xml:space="preserve"> Mid-West </w:t>
      </w:r>
      <w:bookmarkEnd w:id="680"/>
      <w:r w:rsidR="00A26920">
        <w:t>area</w:t>
      </w:r>
    </w:p>
    <w:tbl>
      <w:tblPr>
        <w:tblStyle w:val="Grigliatabella"/>
        <w:tblW w:w="0" w:type="auto"/>
        <w:tblLook w:val="04A0" w:firstRow="1" w:lastRow="0" w:firstColumn="1" w:lastColumn="0" w:noHBand="0" w:noVBand="1"/>
      </w:tblPr>
      <w:tblGrid>
        <w:gridCol w:w="1463"/>
        <w:gridCol w:w="1646"/>
        <w:gridCol w:w="1562"/>
        <w:gridCol w:w="1414"/>
        <w:gridCol w:w="1414"/>
        <w:gridCol w:w="1215"/>
      </w:tblGrid>
      <w:tr w:rsidR="001A4F1A" w:rsidRPr="008322D1" w14:paraId="13192846" w14:textId="77777777" w:rsidTr="008322D1">
        <w:tc>
          <w:tcPr>
            <w:tcW w:w="1774" w:type="dxa"/>
          </w:tcPr>
          <w:p w14:paraId="0943207B" w14:textId="2FF0366F" w:rsidR="001A4F1A" w:rsidRPr="008322D1" w:rsidRDefault="001A4F1A" w:rsidP="008322D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Total number of secure tombs</w:t>
            </w:r>
          </w:p>
        </w:tc>
        <w:tc>
          <w:tcPr>
            <w:tcW w:w="1900" w:type="dxa"/>
          </w:tcPr>
          <w:p w14:paraId="6F41C11C" w14:textId="77777777" w:rsidR="001A4F1A" w:rsidRPr="008322D1" w:rsidRDefault="001A4F1A" w:rsidP="008322D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Minimum number of estimated depositions</w:t>
            </w:r>
          </w:p>
        </w:tc>
        <w:tc>
          <w:tcPr>
            <w:tcW w:w="1773" w:type="dxa"/>
          </w:tcPr>
          <w:p w14:paraId="489A3260" w14:textId="77777777" w:rsidR="001A4F1A" w:rsidRPr="008322D1" w:rsidRDefault="001A4F1A" w:rsidP="008322D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Mean of number of depositions per tomb</w:t>
            </w:r>
          </w:p>
        </w:tc>
        <w:tc>
          <w:tcPr>
            <w:tcW w:w="1553" w:type="dxa"/>
          </w:tcPr>
          <w:p w14:paraId="5E8B7998" w14:textId="77777777" w:rsidR="001A4F1A" w:rsidRPr="008322D1" w:rsidRDefault="001A4F1A" w:rsidP="008322D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Minimum number of estimated depositions per tomb</w:t>
            </w:r>
          </w:p>
        </w:tc>
        <w:tc>
          <w:tcPr>
            <w:tcW w:w="1553" w:type="dxa"/>
          </w:tcPr>
          <w:p w14:paraId="27C4AB90" w14:textId="77777777" w:rsidR="001A4F1A" w:rsidRPr="008322D1" w:rsidRDefault="001A4F1A" w:rsidP="008322D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Maximum number of estimated depositions per tomb</w:t>
            </w:r>
          </w:p>
        </w:tc>
        <w:tc>
          <w:tcPr>
            <w:tcW w:w="1295" w:type="dxa"/>
          </w:tcPr>
          <w:p w14:paraId="3EF68A01" w14:textId="77777777" w:rsidR="001A4F1A" w:rsidRPr="008322D1" w:rsidRDefault="001A4F1A" w:rsidP="008322D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Maximum number of larnakes per tomb</w:t>
            </w:r>
          </w:p>
        </w:tc>
      </w:tr>
      <w:tr w:rsidR="001A4F1A" w:rsidRPr="008322D1" w14:paraId="5A83BE71" w14:textId="77777777" w:rsidTr="008322D1">
        <w:tc>
          <w:tcPr>
            <w:tcW w:w="1774" w:type="dxa"/>
            <w:shd w:val="clear" w:color="auto" w:fill="F2F2F2" w:themeFill="background1" w:themeFillShade="F2"/>
          </w:tcPr>
          <w:p w14:paraId="472ACC16" w14:textId="77777777" w:rsidR="001A4F1A" w:rsidRPr="008322D1" w:rsidRDefault="001A4F1A" w:rsidP="008322D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8322D1">
              <w:rPr>
                <w:b/>
                <w:color w:val="000000"/>
                <w:sz w:val="20"/>
                <w:szCs w:val="20"/>
              </w:rPr>
              <w:t>57</w:t>
            </w:r>
          </w:p>
        </w:tc>
        <w:tc>
          <w:tcPr>
            <w:tcW w:w="1900" w:type="dxa"/>
            <w:shd w:val="clear" w:color="auto" w:fill="F2F2F2" w:themeFill="background1" w:themeFillShade="F2"/>
          </w:tcPr>
          <w:p w14:paraId="4FE44CD8" w14:textId="77777777" w:rsidR="001A4F1A" w:rsidRPr="008322D1" w:rsidRDefault="001A4F1A" w:rsidP="008322D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193</w:t>
            </w:r>
          </w:p>
        </w:tc>
        <w:tc>
          <w:tcPr>
            <w:tcW w:w="1773" w:type="dxa"/>
            <w:shd w:val="clear" w:color="auto" w:fill="F2F2F2" w:themeFill="background1" w:themeFillShade="F2"/>
          </w:tcPr>
          <w:p w14:paraId="0464E70B" w14:textId="77777777" w:rsidR="001A4F1A" w:rsidRPr="008322D1" w:rsidRDefault="001A4F1A" w:rsidP="008322D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3.4</w:t>
            </w:r>
          </w:p>
        </w:tc>
        <w:tc>
          <w:tcPr>
            <w:tcW w:w="1553" w:type="dxa"/>
            <w:shd w:val="clear" w:color="auto" w:fill="F2F2F2" w:themeFill="background1" w:themeFillShade="F2"/>
          </w:tcPr>
          <w:p w14:paraId="2E004C0A" w14:textId="77777777" w:rsidR="001A4F1A" w:rsidRPr="008322D1" w:rsidRDefault="001A4F1A" w:rsidP="008322D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1</w:t>
            </w:r>
          </w:p>
        </w:tc>
        <w:tc>
          <w:tcPr>
            <w:tcW w:w="1553" w:type="dxa"/>
            <w:shd w:val="clear" w:color="auto" w:fill="F2F2F2" w:themeFill="background1" w:themeFillShade="F2"/>
          </w:tcPr>
          <w:p w14:paraId="5C71FA91" w14:textId="77777777" w:rsidR="001A4F1A" w:rsidRPr="008322D1" w:rsidRDefault="001A4F1A" w:rsidP="008322D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13</w:t>
            </w:r>
          </w:p>
        </w:tc>
        <w:tc>
          <w:tcPr>
            <w:tcW w:w="1295" w:type="dxa"/>
            <w:shd w:val="clear" w:color="auto" w:fill="F2F2F2" w:themeFill="background1" w:themeFillShade="F2"/>
          </w:tcPr>
          <w:p w14:paraId="1BA66BD6" w14:textId="77777777" w:rsidR="001A4F1A" w:rsidRPr="008322D1" w:rsidRDefault="001A4F1A" w:rsidP="008322D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10</w:t>
            </w:r>
          </w:p>
        </w:tc>
      </w:tr>
    </w:tbl>
    <w:p w14:paraId="0B2DDCC1" w14:textId="77777777" w:rsidR="001A4F1A" w:rsidRPr="00D93F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p w14:paraId="797A9A92"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For the Mid-West</w:t>
      </w:r>
      <w:r w:rsidRPr="00D6101B">
        <w:rPr>
          <w:color w:val="000000"/>
        </w:rPr>
        <w:t xml:space="preserve"> area</w:t>
      </w:r>
      <w:r>
        <w:rPr>
          <w:color w:val="000000"/>
        </w:rPr>
        <w:t>,</w:t>
      </w:r>
      <w:r w:rsidRPr="00D6101B">
        <w:rPr>
          <w:color w:val="000000"/>
        </w:rPr>
        <w:t xml:space="preserve"> </w:t>
      </w:r>
      <w:r>
        <w:rPr>
          <w:color w:val="000000"/>
        </w:rPr>
        <w:t>regarding</w:t>
      </w:r>
      <w:r w:rsidRPr="00D6101B">
        <w:rPr>
          <w:color w:val="000000"/>
        </w:rPr>
        <w:t xml:space="preserve"> the sample of tombs with larnakes considered secure, information about burials and skeletal remains </w:t>
      </w:r>
      <w:r>
        <w:rPr>
          <w:color w:val="000000"/>
        </w:rPr>
        <w:t>is</w:t>
      </w:r>
      <w:r w:rsidRPr="00D6101B">
        <w:rPr>
          <w:color w:val="000000"/>
        </w:rPr>
        <w:t xml:space="preserve"> available for 63% of </w:t>
      </w:r>
      <w:r>
        <w:rPr>
          <w:color w:val="000000"/>
        </w:rPr>
        <w:t xml:space="preserve">the </w:t>
      </w:r>
      <w:r w:rsidRPr="00D6101B">
        <w:rPr>
          <w:color w:val="000000"/>
        </w:rPr>
        <w:t>tombs. Within this sample</w:t>
      </w:r>
      <w:r>
        <w:rPr>
          <w:color w:val="000000"/>
        </w:rPr>
        <w:t>,</w:t>
      </w:r>
      <w:r w:rsidRPr="00D6101B">
        <w:rPr>
          <w:color w:val="000000"/>
        </w:rPr>
        <w:t xml:space="preserve"> </w:t>
      </w:r>
      <w:r>
        <w:rPr>
          <w:color w:val="000000"/>
        </w:rPr>
        <w:t xml:space="preserve">the percentage of </w:t>
      </w:r>
      <w:r w:rsidRPr="00D6101B">
        <w:rPr>
          <w:color w:val="000000"/>
        </w:rPr>
        <w:t xml:space="preserve">tombs </w:t>
      </w:r>
      <w:r>
        <w:rPr>
          <w:color w:val="000000"/>
        </w:rPr>
        <w:t>in which</w:t>
      </w:r>
      <w:r w:rsidRPr="00D6101B">
        <w:rPr>
          <w:color w:val="000000"/>
        </w:rPr>
        <w:t xml:space="preserve"> skeletal remains have been found exclusively inside the larnax and nowhere else in the tomb </w:t>
      </w:r>
      <w:r>
        <w:rPr>
          <w:color w:val="000000"/>
        </w:rPr>
        <w:t>is</w:t>
      </w:r>
      <w:r w:rsidRPr="00D6101B">
        <w:rPr>
          <w:color w:val="000000"/>
        </w:rPr>
        <w:t xml:space="preserve"> 27%. Of course, it is important to </w:t>
      </w:r>
      <w:r>
        <w:rPr>
          <w:color w:val="000000"/>
        </w:rPr>
        <w:t>remember</w:t>
      </w:r>
      <w:r w:rsidRPr="00D6101B">
        <w:rPr>
          <w:color w:val="000000"/>
        </w:rPr>
        <w:t xml:space="preserve"> that the evid</w:t>
      </w:r>
      <w:r>
        <w:rPr>
          <w:color w:val="000000"/>
        </w:rPr>
        <w:t>ence concerning skeletal remain is,</w:t>
      </w:r>
      <w:r w:rsidRPr="00D6101B">
        <w:rPr>
          <w:color w:val="000000"/>
        </w:rPr>
        <w:t xml:space="preserve"> in many cases</w:t>
      </w:r>
      <w:r>
        <w:rPr>
          <w:color w:val="000000"/>
        </w:rPr>
        <w:t>,</w:t>
      </w:r>
      <w:r w:rsidRPr="00D6101B">
        <w:rPr>
          <w:color w:val="000000"/>
        </w:rPr>
        <w:t xml:space="preserve"> partial. </w:t>
      </w:r>
    </w:p>
    <w:p w14:paraId="6F88D7A9"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From the sample available</w:t>
      </w:r>
      <w:r>
        <w:rPr>
          <w:color w:val="000000"/>
        </w:rPr>
        <w:t>,</w:t>
      </w:r>
      <w:r w:rsidRPr="00D6101B">
        <w:rPr>
          <w:color w:val="000000"/>
        </w:rPr>
        <w:t xml:space="preserve"> only in two cases </w:t>
      </w:r>
      <w:r>
        <w:rPr>
          <w:color w:val="000000"/>
        </w:rPr>
        <w:t xml:space="preserve">are </w:t>
      </w:r>
      <w:r w:rsidRPr="00D6101B">
        <w:rPr>
          <w:color w:val="000000"/>
        </w:rPr>
        <w:t xml:space="preserve">larnax burials associated with other receptacle burials: at Armenoi in </w:t>
      </w:r>
      <w:r>
        <w:rPr>
          <w:color w:val="000000"/>
        </w:rPr>
        <w:t>T</w:t>
      </w:r>
      <w:r w:rsidRPr="00D6101B">
        <w:rPr>
          <w:color w:val="000000"/>
        </w:rPr>
        <w:t>omb 159</w:t>
      </w:r>
      <w:r>
        <w:rPr>
          <w:color w:val="000000"/>
        </w:rPr>
        <w:t>,</w:t>
      </w:r>
      <w:r w:rsidRPr="00D6101B">
        <w:rPr>
          <w:color w:val="000000"/>
        </w:rPr>
        <w:t xml:space="preserve"> where remains of </w:t>
      </w:r>
      <w:r>
        <w:rPr>
          <w:color w:val="000000"/>
        </w:rPr>
        <w:t xml:space="preserve">a </w:t>
      </w:r>
      <w:r w:rsidRPr="00D6101B">
        <w:rPr>
          <w:color w:val="000000"/>
        </w:rPr>
        <w:t xml:space="preserve">wooden chest/bier </w:t>
      </w:r>
      <w:r>
        <w:rPr>
          <w:color w:val="000000"/>
        </w:rPr>
        <w:t>were</w:t>
      </w:r>
      <w:r w:rsidRPr="00D6101B">
        <w:rPr>
          <w:color w:val="000000"/>
        </w:rPr>
        <w:t xml:space="preserve"> found </w:t>
      </w:r>
      <w:r>
        <w:rPr>
          <w:color w:val="000000"/>
        </w:rPr>
        <w:t>(</w:t>
      </w:r>
      <w:r w:rsidRPr="00D6101B">
        <w:rPr>
          <w:color w:val="000000"/>
        </w:rPr>
        <w:t xml:space="preserve">although no information is available for this tomb </w:t>
      </w:r>
      <w:r>
        <w:rPr>
          <w:color w:val="000000"/>
        </w:rPr>
        <w:t>regarding</w:t>
      </w:r>
      <w:r w:rsidRPr="00D6101B">
        <w:rPr>
          <w:color w:val="000000"/>
        </w:rPr>
        <w:t xml:space="preserve"> skeletal remains</w:t>
      </w:r>
      <w:r>
        <w:rPr>
          <w:color w:val="000000"/>
        </w:rPr>
        <w:t>),</w:t>
      </w:r>
      <w:r w:rsidRPr="00D6101B">
        <w:rPr>
          <w:color w:val="000000"/>
        </w:rPr>
        <w:t xml:space="preserve"> and in the chamber tomb at Angeliana Plagaki</w:t>
      </w:r>
      <w:r>
        <w:rPr>
          <w:color w:val="000000"/>
        </w:rPr>
        <w:t>, where</w:t>
      </w:r>
      <w:r w:rsidRPr="00D6101B">
        <w:rPr>
          <w:color w:val="000000"/>
        </w:rPr>
        <w:t xml:space="preserve"> a child inhumation in a stamnos</w:t>
      </w:r>
      <w:r>
        <w:rPr>
          <w:color w:val="000000"/>
        </w:rPr>
        <w:t xml:space="preserve"> was found</w:t>
      </w:r>
      <w:r w:rsidRPr="00D6101B">
        <w:rPr>
          <w:color w:val="000000"/>
        </w:rPr>
        <w:t>. In all other cases</w:t>
      </w:r>
      <w:r>
        <w:rPr>
          <w:color w:val="000000"/>
        </w:rPr>
        <w:t xml:space="preserve">, burials or simply </w:t>
      </w:r>
      <w:r w:rsidRPr="00D6101B">
        <w:rPr>
          <w:color w:val="000000"/>
        </w:rPr>
        <w:t xml:space="preserve">remains of bones </w:t>
      </w:r>
      <w:r>
        <w:rPr>
          <w:color w:val="000000"/>
        </w:rPr>
        <w:t>were</w:t>
      </w:r>
      <w:r w:rsidRPr="00D6101B">
        <w:rPr>
          <w:color w:val="000000"/>
        </w:rPr>
        <w:t xml:space="preserve"> found somewhere else in the tomb. </w:t>
      </w:r>
    </w:p>
    <w:p w14:paraId="6FC65BB6"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Regarding</w:t>
      </w:r>
      <w:r w:rsidRPr="00D6101B">
        <w:rPr>
          <w:color w:val="000000"/>
        </w:rPr>
        <w:t xml:space="preserve"> an estimate of the number of skeletal</w:t>
      </w:r>
      <w:r>
        <w:rPr>
          <w:color w:val="000000"/>
        </w:rPr>
        <w:t xml:space="preserve"> remains</w:t>
      </w:r>
      <w:r w:rsidRPr="00D6101B">
        <w:rPr>
          <w:color w:val="000000"/>
        </w:rPr>
        <w:t xml:space="preserve">/burials found in larnakes and the number of burials for which other interment methods </w:t>
      </w:r>
      <w:r>
        <w:rPr>
          <w:color w:val="000000"/>
        </w:rPr>
        <w:t>were</w:t>
      </w:r>
      <w:r w:rsidRPr="00D6101B">
        <w:rPr>
          <w:color w:val="000000"/>
        </w:rPr>
        <w:t xml:space="preserve"> used, the data can be summarised in the following table</w:t>
      </w:r>
      <w:r>
        <w:rPr>
          <w:color w:val="000000"/>
        </w:rPr>
        <w:t>s:</w:t>
      </w:r>
    </w:p>
    <w:p w14:paraId="5A1466F9" w14:textId="77777777" w:rsidR="009E6C29" w:rsidRDefault="009E6C29" w:rsidP="00E858EF">
      <w:pPr>
        <w:suppressAutoHyphens/>
        <w:autoSpaceDE w:val="0"/>
        <w:autoSpaceDN w:val="0"/>
        <w:adjustRightInd w:val="0"/>
        <w:rPr>
          <w:color w:val="000000"/>
        </w:rPr>
        <w:sectPr w:rsidR="009E6C29" w:rsidSect="00F4682D">
          <w:pgSz w:w="11900" w:h="16840"/>
          <w:pgMar w:top="1418" w:right="1134" w:bottom="1134" w:left="2268" w:header="708" w:footer="708" w:gutter="0"/>
          <w:cols w:space="708"/>
          <w:titlePg/>
          <w:docGrid w:linePitch="360"/>
        </w:sectPr>
      </w:pPr>
    </w:p>
    <w:p w14:paraId="27B955EC" w14:textId="5BBF4136" w:rsidR="001A4F1A" w:rsidRPr="00D6101B" w:rsidRDefault="001A4F1A" w:rsidP="00E858EF">
      <w:pPr>
        <w:suppressAutoHyphens/>
        <w:autoSpaceDE w:val="0"/>
        <w:autoSpaceDN w:val="0"/>
        <w:adjustRightInd w:val="0"/>
        <w:rPr>
          <w:color w:val="000000"/>
        </w:rPr>
      </w:pPr>
    </w:p>
    <w:p w14:paraId="5057A7DC" w14:textId="2C48B305" w:rsidR="000F1DC9" w:rsidRDefault="001A4F1A" w:rsidP="00E858EF">
      <w:pPr>
        <w:pStyle w:val="Testofumetto"/>
        <w:suppressAutoHyphens/>
      </w:pPr>
      <w:bookmarkStart w:id="681" w:name="_Toc520212573"/>
      <w:r>
        <w:t>Table 4-4a</w:t>
      </w:r>
      <w:r w:rsidR="00651250">
        <w:t>.</w:t>
      </w:r>
      <w:r>
        <w:t xml:space="preserve"> Interment methods and burial stage of skeletal remains in tombs with larnakes and information about skeletal remains</w:t>
      </w:r>
      <w:r w:rsidR="00A26920">
        <w:t>,</w:t>
      </w:r>
      <w:r>
        <w:t xml:space="preserve"> Mid-West </w:t>
      </w:r>
      <w:bookmarkEnd w:id="681"/>
      <w:r w:rsidR="00A26920">
        <w:t xml:space="preserve">area </w:t>
      </w:r>
    </w:p>
    <w:p w14:paraId="0C21FB81" w14:textId="2A809ED6" w:rsidR="001A4F1A" w:rsidRDefault="001A4F1A" w:rsidP="00E858EF">
      <w:pPr>
        <w:suppressAutoHyphens/>
        <w:spacing w:line="240" w:lineRule="auto"/>
        <w:rPr>
          <w:sz w:val="20"/>
        </w:rPr>
      </w:pPr>
      <w:r w:rsidRPr="000F1DC9">
        <w:rPr>
          <w:sz w:val="20"/>
        </w:rPr>
        <w:t>(p= primary deposition; s= secondary deposition; No info= no information about the burial stage/skeletal remains)</w:t>
      </w:r>
    </w:p>
    <w:p w14:paraId="235A478B" w14:textId="77777777" w:rsidR="000F1DC9" w:rsidRPr="00D6101B" w:rsidRDefault="000F1DC9" w:rsidP="00E858EF">
      <w:pPr>
        <w:suppressAutoHyphens/>
        <w:spacing w:line="240" w:lineRule="auto"/>
      </w:pPr>
    </w:p>
    <w:tbl>
      <w:tblPr>
        <w:tblStyle w:val="Grigliatabella"/>
        <w:tblW w:w="8330" w:type="dxa"/>
        <w:tblLayout w:type="fixed"/>
        <w:tblLook w:val="04A0" w:firstRow="1" w:lastRow="0" w:firstColumn="1" w:lastColumn="0" w:noHBand="0" w:noVBand="1"/>
      </w:tblPr>
      <w:tblGrid>
        <w:gridCol w:w="1242"/>
        <w:gridCol w:w="539"/>
        <w:gridCol w:w="709"/>
        <w:gridCol w:w="312"/>
        <w:gridCol w:w="567"/>
        <w:gridCol w:w="567"/>
        <w:gridCol w:w="425"/>
        <w:gridCol w:w="782"/>
        <w:gridCol w:w="635"/>
        <w:gridCol w:w="1134"/>
        <w:gridCol w:w="1418"/>
      </w:tblGrid>
      <w:tr w:rsidR="001A4F1A" w:rsidRPr="008322D1" w14:paraId="67FD9BB5" w14:textId="77777777" w:rsidTr="008322D1">
        <w:trPr>
          <w:trHeight w:val="831"/>
        </w:trPr>
        <w:tc>
          <w:tcPr>
            <w:tcW w:w="1242" w:type="dxa"/>
          </w:tcPr>
          <w:p w14:paraId="0EBA4342"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tc>
        <w:tc>
          <w:tcPr>
            <w:tcW w:w="1560" w:type="dxa"/>
            <w:gridSpan w:val="3"/>
          </w:tcPr>
          <w:p w14:paraId="1AB2E1B8" w14:textId="59776421"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Larnax burials</w:t>
            </w:r>
          </w:p>
          <w:p w14:paraId="5B89FFCC"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p>
        </w:tc>
        <w:tc>
          <w:tcPr>
            <w:tcW w:w="1559" w:type="dxa"/>
            <w:gridSpan w:val="3"/>
          </w:tcPr>
          <w:p w14:paraId="5827188A"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Floor burials</w:t>
            </w:r>
          </w:p>
          <w:p w14:paraId="6EE54165"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p>
        </w:tc>
        <w:tc>
          <w:tcPr>
            <w:tcW w:w="1417" w:type="dxa"/>
            <w:gridSpan w:val="2"/>
          </w:tcPr>
          <w:p w14:paraId="6C0AA2AB"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Pit burials</w:t>
            </w:r>
          </w:p>
          <w:p w14:paraId="6F0F785F"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p>
        </w:tc>
        <w:tc>
          <w:tcPr>
            <w:tcW w:w="1134" w:type="dxa"/>
          </w:tcPr>
          <w:p w14:paraId="3F89D743"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Stamnos burial</w:t>
            </w:r>
          </w:p>
        </w:tc>
        <w:tc>
          <w:tcPr>
            <w:tcW w:w="1418" w:type="dxa"/>
          </w:tcPr>
          <w:p w14:paraId="2613FDD5"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Wooden bier/chest</w:t>
            </w:r>
          </w:p>
        </w:tc>
      </w:tr>
      <w:tr w:rsidR="001A4F1A" w:rsidRPr="008322D1" w14:paraId="55AF3832" w14:textId="77777777" w:rsidTr="008322D1">
        <w:trPr>
          <w:trHeight w:val="387"/>
        </w:trPr>
        <w:tc>
          <w:tcPr>
            <w:tcW w:w="1242" w:type="dxa"/>
          </w:tcPr>
          <w:p w14:paraId="074B6BF6" w14:textId="6B6359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r w:rsidRPr="008322D1">
              <w:rPr>
                <w:color w:val="000000"/>
                <w:sz w:val="20"/>
                <w:szCs w:val="20"/>
              </w:rPr>
              <w:t xml:space="preserve">Total </w:t>
            </w:r>
            <w:r w:rsidR="008322D1">
              <w:rPr>
                <w:color w:val="000000"/>
                <w:sz w:val="20"/>
                <w:szCs w:val="20"/>
              </w:rPr>
              <w:t>n</w:t>
            </w:r>
            <w:r w:rsidRPr="008322D1">
              <w:rPr>
                <w:color w:val="000000"/>
                <w:sz w:val="20"/>
                <w:szCs w:val="20"/>
              </w:rPr>
              <w:t xml:space="preserve">o. of tombs </w:t>
            </w:r>
          </w:p>
        </w:tc>
        <w:tc>
          <w:tcPr>
            <w:tcW w:w="1560" w:type="dxa"/>
            <w:gridSpan w:val="3"/>
            <w:vAlign w:val="center"/>
          </w:tcPr>
          <w:p w14:paraId="737983D9"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39</w:t>
            </w:r>
          </w:p>
        </w:tc>
        <w:tc>
          <w:tcPr>
            <w:tcW w:w="1559" w:type="dxa"/>
            <w:gridSpan w:val="3"/>
            <w:vAlign w:val="center"/>
          </w:tcPr>
          <w:p w14:paraId="17C4009D"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23</w:t>
            </w:r>
          </w:p>
        </w:tc>
        <w:tc>
          <w:tcPr>
            <w:tcW w:w="1417" w:type="dxa"/>
            <w:gridSpan w:val="2"/>
            <w:vAlign w:val="center"/>
          </w:tcPr>
          <w:p w14:paraId="55584659"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5</w:t>
            </w:r>
          </w:p>
        </w:tc>
        <w:tc>
          <w:tcPr>
            <w:tcW w:w="1134" w:type="dxa"/>
            <w:vAlign w:val="center"/>
          </w:tcPr>
          <w:p w14:paraId="368FB0D4"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1</w:t>
            </w:r>
          </w:p>
        </w:tc>
        <w:tc>
          <w:tcPr>
            <w:tcW w:w="1418" w:type="dxa"/>
            <w:vAlign w:val="center"/>
          </w:tcPr>
          <w:p w14:paraId="417F8F74"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1</w:t>
            </w:r>
          </w:p>
        </w:tc>
      </w:tr>
      <w:tr w:rsidR="001A4F1A" w:rsidRPr="008322D1" w14:paraId="6ECFCE98" w14:textId="77777777" w:rsidTr="008322D1">
        <w:trPr>
          <w:trHeight w:val="387"/>
        </w:trPr>
        <w:tc>
          <w:tcPr>
            <w:tcW w:w="1242" w:type="dxa"/>
            <w:tcBorders>
              <w:bottom w:val="thinThickSmallGap" w:sz="24" w:space="0" w:color="auto"/>
            </w:tcBorders>
          </w:tcPr>
          <w:p w14:paraId="3E0BB4F3"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r w:rsidRPr="008322D1">
              <w:rPr>
                <w:color w:val="000000"/>
                <w:sz w:val="20"/>
                <w:szCs w:val="20"/>
              </w:rPr>
              <w:t>Burial stage</w:t>
            </w:r>
          </w:p>
        </w:tc>
        <w:tc>
          <w:tcPr>
            <w:tcW w:w="539" w:type="dxa"/>
          </w:tcPr>
          <w:p w14:paraId="62299F7F"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p</w:t>
            </w:r>
          </w:p>
        </w:tc>
        <w:tc>
          <w:tcPr>
            <w:tcW w:w="709" w:type="dxa"/>
          </w:tcPr>
          <w:p w14:paraId="71D8C771"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s</w:t>
            </w:r>
          </w:p>
        </w:tc>
        <w:tc>
          <w:tcPr>
            <w:tcW w:w="312" w:type="dxa"/>
          </w:tcPr>
          <w:p w14:paraId="24682101"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No info</w:t>
            </w:r>
          </w:p>
        </w:tc>
        <w:tc>
          <w:tcPr>
            <w:tcW w:w="567" w:type="dxa"/>
          </w:tcPr>
          <w:p w14:paraId="49C6ED04"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p</w:t>
            </w:r>
          </w:p>
        </w:tc>
        <w:tc>
          <w:tcPr>
            <w:tcW w:w="567" w:type="dxa"/>
          </w:tcPr>
          <w:p w14:paraId="6F7FA17F"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s</w:t>
            </w:r>
          </w:p>
        </w:tc>
        <w:tc>
          <w:tcPr>
            <w:tcW w:w="425" w:type="dxa"/>
          </w:tcPr>
          <w:p w14:paraId="0E636652"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No info</w:t>
            </w:r>
          </w:p>
        </w:tc>
        <w:tc>
          <w:tcPr>
            <w:tcW w:w="782" w:type="dxa"/>
          </w:tcPr>
          <w:p w14:paraId="165921E5"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p</w:t>
            </w:r>
          </w:p>
        </w:tc>
        <w:tc>
          <w:tcPr>
            <w:tcW w:w="635" w:type="dxa"/>
          </w:tcPr>
          <w:p w14:paraId="74761A51"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s</w:t>
            </w:r>
          </w:p>
        </w:tc>
        <w:tc>
          <w:tcPr>
            <w:tcW w:w="1134" w:type="dxa"/>
          </w:tcPr>
          <w:p w14:paraId="71DC843E"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p</w:t>
            </w:r>
          </w:p>
        </w:tc>
        <w:tc>
          <w:tcPr>
            <w:tcW w:w="1418" w:type="dxa"/>
          </w:tcPr>
          <w:p w14:paraId="33CA313D"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No info</w:t>
            </w:r>
          </w:p>
        </w:tc>
      </w:tr>
      <w:tr w:rsidR="001A4F1A" w:rsidRPr="008322D1" w14:paraId="62DD7B63" w14:textId="77777777" w:rsidTr="008322D1">
        <w:tc>
          <w:tcPr>
            <w:tcW w:w="1242" w:type="dxa"/>
            <w:tcBorders>
              <w:top w:val="thinThickSmallGap" w:sz="24" w:space="0" w:color="auto"/>
            </w:tcBorders>
          </w:tcPr>
          <w:p w14:paraId="35358A77"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r w:rsidRPr="008322D1">
              <w:rPr>
                <w:color w:val="000000"/>
                <w:sz w:val="20"/>
                <w:szCs w:val="20"/>
              </w:rPr>
              <w:t>MNEB</w:t>
            </w:r>
          </w:p>
        </w:tc>
        <w:tc>
          <w:tcPr>
            <w:tcW w:w="539" w:type="dxa"/>
            <w:tcBorders>
              <w:top w:val="thinThickSmallGap" w:sz="24" w:space="0" w:color="auto"/>
            </w:tcBorders>
          </w:tcPr>
          <w:p w14:paraId="620DCAC6"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34</w:t>
            </w:r>
          </w:p>
        </w:tc>
        <w:tc>
          <w:tcPr>
            <w:tcW w:w="709" w:type="dxa"/>
            <w:tcBorders>
              <w:top w:val="thinThickSmallGap" w:sz="24" w:space="0" w:color="auto"/>
            </w:tcBorders>
          </w:tcPr>
          <w:p w14:paraId="4628FC13"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12</w:t>
            </w:r>
          </w:p>
        </w:tc>
        <w:tc>
          <w:tcPr>
            <w:tcW w:w="312" w:type="dxa"/>
            <w:tcBorders>
              <w:top w:val="thinThickSmallGap" w:sz="24" w:space="0" w:color="auto"/>
              <w:bottom w:val="thinThickSmallGap" w:sz="24" w:space="0" w:color="auto"/>
            </w:tcBorders>
          </w:tcPr>
          <w:p w14:paraId="2D5B3F31"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40</w:t>
            </w:r>
          </w:p>
        </w:tc>
        <w:tc>
          <w:tcPr>
            <w:tcW w:w="567" w:type="dxa"/>
            <w:tcBorders>
              <w:top w:val="thinThickSmallGap" w:sz="24" w:space="0" w:color="auto"/>
            </w:tcBorders>
          </w:tcPr>
          <w:p w14:paraId="20940FEC"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18</w:t>
            </w:r>
          </w:p>
        </w:tc>
        <w:tc>
          <w:tcPr>
            <w:tcW w:w="567" w:type="dxa"/>
            <w:tcBorders>
              <w:top w:val="thinThickSmallGap" w:sz="24" w:space="0" w:color="auto"/>
            </w:tcBorders>
          </w:tcPr>
          <w:p w14:paraId="6B339165"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31</w:t>
            </w:r>
          </w:p>
        </w:tc>
        <w:tc>
          <w:tcPr>
            <w:tcW w:w="425" w:type="dxa"/>
            <w:tcBorders>
              <w:top w:val="thinThickSmallGap" w:sz="24" w:space="0" w:color="auto"/>
            </w:tcBorders>
          </w:tcPr>
          <w:p w14:paraId="345DC687"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8</w:t>
            </w:r>
          </w:p>
        </w:tc>
        <w:tc>
          <w:tcPr>
            <w:tcW w:w="782" w:type="dxa"/>
            <w:tcBorders>
              <w:top w:val="thinThickSmallGap" w:sz="24" w:space="0" w:color="auto"/>
            </w:tcBorders>
          </w:tcPr>
          <w:p w14:paraId="0C96062F"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0</w:t>
            </w:r>
          </w:p>
        </w:tc>
        <w:tc>
          <w:tcPr>
            <w:tcW w:w="635" w:type="dxa"/>
            <w:tcBorders>
              <w:top w:val="thinThickSmallGap" w:sz="24" w:space="0" w:color="auto"/>
            </w:tcBorders>
          </w:tcPr>
          <w:p w14:paraId="7277E415"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10</w:t>
            </w:r>
          </w:p>
        </w:tc>
        <w:tc>
          <w:tcPr>
            <w:tcW w:w="1134" w:type="dxa"/>
            <w:tcBorders>
              <w:top w:val="thinThickSmallGap" w:sz="24" w:space="0" w:color="auto"/>
            </w:tcBorders>
          </w:tcPr>
          <w:p w14:paraId="7C75DD81"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1</w:t>
            </w:r>
          </w:p>
        </w:tc>
        <w:tc>
          <w:tcPr>
            <w:tcW w:w="1418" w:type="dxa"/>
            <w:tcBorders>
              <w:top w:val="thinThickSmallGap" w:sz="24" w:space="0" w:color="auto"/>
            </w:tcBorders>
          </w:tcPr>
          <w:p w14:paraId="50BFA303"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8322D1">
              <w:rPr>
                <w:color w:val="000000"/>
                <w:sz w:val="20"/>
                <w:szCs w:val="20"/>
              </w:rPr>
              <w:t>1</w:t>
            </w:r>
          </w:p>
        </w:tc>
      </w:tr>
      <w:tr w:rsidR="001A4F1A" w:rsidRPr="008322D1" w14:paraId="0070112E" w14:textId="77777777" w:rsidTr="008322D1">
        <w:trPr>
          <w:trHeight w:val="1522"/>
        </w:trPr>
        <w:tc>
          <w:tcPr>
            <w:tcW w:w="1242" w:type="dxa"/>
            <w:tcBorders>
              <w:top w:val="thinThickSmallGap" w:sz="24" w:space="0" w:color="auto"/>
              <w:bottom w:val="single" w:sz="4" w:space="0" w:color="auto"/>
            </w:tcBorders>
          </w:tcPr>
          <w:p w14:paraId="65D361E0" w14:textId="199656CC"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r w:rsidRPr="008322D1">
              <w:rPr>
                <w:color w:val="000000"/>
                <w:sz w:val="20"/>
                <w:szCs w:val="20"/>
              </w:rPr>
              <w:t>Tot</w:t>
            </w:r>
            <w:r w:rsidR="008322D1">
              <w:rPr>
                <w:color w:val="000000"/>
                <w:sz w:val="20"/>
                <w:szCs w:val="20"/>
              </w:rPr>
              <w:t>al</w:t>
            </w:r>
            <w:r w:rsidRPr="008322D1">
              <w:rPr>
                <w:color w:val="000000"/>
                <w:sz w:val="20"/>
                <w:szCs w:val="20"/>
              </w:rPr>
              <w:t xml:space="preserve"> </w:t>
            </w:r>
            <w:r w:rsidR="008322D1">
              <w:rPr>
                <w:color w:val="000000"/>
                <w:sz w:val="20"/>
                <w:szCs w:val="20"/>
              </w:rPr>
              <w:t>n</w:t>
            </w:r>
            <w:r w:rsidRPr="008322D1">
              <w:rPr>
                <w:color w:val="000000"/>
                <w:sz w:val="20"/>
                <w:szCs w:val="20"/>
              </w:rPr>
              <w:t>o. of individuals per interment type</w:t>
            </w:r>
          </w:p>
        </w:tc>
        <w:tc>
          <w:tcPr>
            <w:tcW w:w="1560" w:type="dxa"/>
            <w:gridSpan w:val="3"/>
            <w:tcBorders>
              <w:top w:val="thinThickSmallGap" w:sz="24" w:space="0" w:color="auto"/>
              <w:bottom w:val="single" w:sz="4" w:space="0" w:color="auto"/>
            </w:tcBorders>
            <w:vAlign w:val="center"/>
          </w:tcPr>
          <w:p w14:paraId="795EB134"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8322D1">
              <w:rPr>
                <w:b/>
                <w:color w:val="000000"/>
                <w:sz w:val="20"/>
                <w:szCs w:val="20"/>
              </w:rPr>
              <w:t>86</w:t>
            </w:r>
          </w:p>
        </w:tc>
        <w:tc>
          <w:tcPr>
            <w:tcW w:w="1559" w:type="dxa"/>
            <w:gridSpan w:val="3"/>
            <w:tcBorders>
              <w:top w:val="thinThickSmallGap" w:sz="24" w:space="0" w:color="auto"/>
              <w:bottom w:val="single" w:sz="4" w:space="0" w:color="auto"/>
            </w:tcBorders>
            <w:vAlign w:val="center"/>
          </w:tcPr>
          <w:p w14:paraId="40C10822"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8322D1">
              <w:rPr>
                <w:b/>
                <w:color w:val="000000"/>
                <w:sz w:val="20"/>
                <w:szCs w:val="20"/>
              </w:rPr>
              <w:t>57</w:t>
            </w:r>
          </w:p>
        </w:tc>
        <w:tc>
          <w:tcPr>
            <w:tcW w:w="1417" w:type="dxa"/>
            <w:gridSpan w:val="2"/>
            <w:tcBorders>
              <w:top w:val="thinThickSmallGap" w:sz="24" w:space="0" w:color="auto"/>
              <w:bottom w:val="single" w:sz="4" w:space="0" w:color="auto"/>
            </w:tcBorders>
            <w:vAlign w:val="center"/>
          </w:tcPr>
          <w:p w14:paraId="4861DE16"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8322D1">
              <w:rPr>
                <w:b/>
                <w:color w:val="000000"/>
                <w:sz w:val="20"/>
                <w:szCs w:val="20"/>
              </w:rPr>
              <w:t>10</w:t>
            </w:r>
          </w:p>
        </w:tc>
        <w:tc>
          <w:tcPr>
            <w:tcW w:w="1134" w:type="dxa"/>
            <w:tcBorders>
              <w:top w:val="thinThickSmallGap" w:sz="24" w:space="0" w:color="auto"/>
              <w:bottom w:val="single" w:sz="4" w:space="0" w:color="auto"/>
            </w:tcBorders>
            <w:vAlign w:val="center"/>
          </w:tcPr>
          <w:p w14:paraId="6D91D4BF"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8322D1">
              <w:rPr>
                <w:b/>
                <w:color w:val="000000"/>
                <w:sz w:val="20"/>
                <w:szCs w:val="20"/>
              </w:rPr>
              <w:t>1</w:t>
            </w:r>
          </w:p>
        </w:tc>
        <w:tc>
          <w:tcPr>
            <w:tcW w:w="1418" w:type="dxa"/>
            <w:tcBorders>
              <w:top w:val="thinThickSmallGap" w:sz="24" w:space="0" w:color="auto"/>
              <w:bottom w:val="single" w:sz="4" w:space="0" w:color="auto"/>
            </w:tcBorders>
            <w:vAlign w:val="center"/>
          </w:tcPr>
          <w:p w14:paraId="0E9B8CAA"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8322D1">
              <w:rPr>
                <w:b/>
                <w:color w:val="000000"/>
                <w:sz w:val="20"/>
                <w:szCs w:val="20"/>
              </w:rPr>
              <w:t>1</w:t>
            </w:r>
          </w:p>
        </w:tc>
      </w:tr>
      <w:tr w:rsidR="001A4F1A" w:rsidRPr="008322D1" w14:paraId="3A98C4A2" w14:textId="77777777" w:rsidTr="008322D1">
        <w:trPr>
          <w:trHeight w:val="577"/>
        </w:trPr>
        <w:tc>
          <w:tcPr>
            <w:tcW w:w="1242" w:type="dxa"/>
            <w:tcBorders>
              <w:top w:val="single" w:sz="4" w:space="0" w:color="auto"/>
            </w:tcBorders>
          </w:tcPr>
          <w:p w14:paraId="664FC6C2"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tc>
        <w:tc>
          <w:tcPr>
            <w:tcW w:w="1560" w:type="dxa"/>
            <w:gridSpan w:val="3"/>
            <w:tcBorders>
              <w:top w:val="single" w:sz="4" w:space="0" w:color="auto"/>
            </w:tcBorders>
          </w:tcPr>
          <w:p w14:paraId="1D88F166"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8322D1">
              <w:rPr>
                <w:b/>
                <w:color w:val="000000"/>
                <w:sz w:val="20"/>
                <w:szCs w:val="20"/>
              </w:rPr>
              <w:t>55%</w:t>
            </w:r>
          </w:p>
        </w:tc>
        <w:tc>
          <w:tcPr>
            <w:tcW w:w="1559" w:type="dxa"/>
            <w:gridSpan w:val="3"/>
            <w:tcBorders>
              <w:top w:val="single" w:sz="4" w:space="0" w:color="auto"/>
            </w:tcBorders>
          </w:tcPr>
          <w:p w14:paraId="29A18ABB"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8322D1">
              <w:rPr>
                <w:b/>
                <w:color w:val="000000"/>
                <w:sz w:val="20"/>
                <w:szCs w:val="20"/>
              </w:rPr>
              <w:t>37%</w:t>
            </w:r>
          </w:p>
        </w:tc>
        <w:tc>
          <w:tcPr>
            <w:tcW w:w="1417" w:type="dxa"/>
            <w:gridSpan w:val="2"/>
            <w:tcBorders>
              <w:top w:val="single" w:sz="4" w:space="0" w:color="auto"/>
            </w:tcBorders>
          </w:tcPr>
          <w:p w14:paraId="3553F603"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8322D1">
              <w:rPr>
                <w:b/>
                <w:color w:val="000000"/>
                <w:sz w:val="20"/>
                <w:szCs w:val="20"/>
              </w:rPr>
              <w:t>6%</w:t>
            </w:r>
          </w:p>
        </w:tc>
        <w:tc>
          <w:tcPr>
            <w:tcW w:w="1134" w:type="dxa"/>
            <w:tcBorders>
              <w:top w:val="single" w:sz="4" w:space="0" w:color="auto"/>
            </w:tcBorders>
          </w:tcPr>
          <w:p w14:paraId="71118EE7"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8322D1">
              <w:rPr>
                <w:b/>
                <w:color w:val="000000"/>
                <w:sz w:val="20"/>
                <w:szCs w:val="20"/>
              </w:rPr>
              <w:t>1%</w:t>
            </w:r>
          </w:p>
        </w:tc>
        <w:tc>
          <w:tcPr>
            <w:tcW w:w="1418" w:type="dxa"/>
            <w:tcBorders>
              <w:top w:val="single" w:sz="4" w:space="0" w:color="auto"/>
            </w:tcBorders>
          </w:tcPr>
          <w:p w14:paraId="49A42E80"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8322D1">
              <w:rPr>
                <w:b/>
                <w:color w:val="000000"/>
                <w:sz w:val="20"/>
                <w:szCs w:val="20"/>
              </w:rPr>
              <w:t>1%</w:t>
            </w:r>
          </w:p>
        </w:tc>
      </w:tr>
    </w:tbl>
    <w:p w14:paraId="11BC566B" w14:textId="77777777" w:rsidR="001A4F1A" w:rsidRDefault="001A4F1A" w:rsidP="00E858EF">
      <w:pPr>
        <w:suppressAutoHyphens/>
      </w:pPr>
    </w:p>
    <w:p w14:paraId="7422483F" w14:textId="77777777" w:rsidR="00481267" w:rsidRDefault="00481267" w:rsidP="00E858EF">
      <w:pPr>
        <w:suppressAutoHyphens/>
        <w:sectPr w:rsidR="00481267" w:rsidSect="00F4682D">
          <w:pgSz w:w="11900" w:h="16840"/>
          <w:pgMar w:top="1418" w:right="1134" w:bottom="1134" w:left="2268" w:header="708" w:footer="708" w:gutter="0"/>
          <w:cols w:space="708"/>
          <w:titlePg/>
          <w:docGrid w:linePitch="360"/>
        </w:sectPr>
      </w:pPr>
    </w:p>
    <w:p w14:paraId="5AAB1263" w14:textId="77777777" w:rsidR="001A4F1A" w:rsidRDefault="001A4F1A" w:rsidP="00E858EF">
      <w:pPr>
        <w:suppressAutoHyphens/>
      </w:pPr>
    </w:p>
    <w:p w14:paraId="168A4058" w14:textId="479F565F" w:rsidR="000F1DC9" w:rsidRDefault="001A4F1A" w:rsidP="00E858EF">
      <w:pPr>
        <w:pStyle w:val="Testofumetto"/>
        <w:suppressAutoHyphens/>
        <w:jc w:val="both"/>
      </w:pPr>
      <w:bookmarkStart w:id="682" w:name="_Toc520212574"/>
      <w:r>
        <w:t>Table 4-4b</w:t>
      </w:r>
      <w:r w:rsidR="00651250">
        <w:t>.</w:t>
      </w:r>
      <w:r>
        <w:t xml:space="preserve"> Interment methods and burial stage of skeletal remains in tombs with larnakes</w:t>
      </w:r>
      <w:r w:rsidRPr="008618B5">
        <w:t xml:space="preserve"> </w:t>
      </w:r>
      <w:r>
        <w:t>and information about skeletal remains</w:t>
      </w:r>
      <w:r w:rsidR="00D02AAA">
        <w:t>,</w:t>
      </w:r>
      <w:r>
        <w:t xml:space="preserve"> Mid-West </w:t>
      </w:r>
      <w:r w:rsidR="00651250">
        <w:t>area</w:t>
      </w:r>
      <w:r>
        <w:t>:</w:t>
      </w:r>
      <w:r w:rsidRPr="00D544F7">
        <w:t xml:space="preserve"> </w:t>
      </w:r>
      <w:r>
        <w:t>burial stage related to number of tombs</w:t>
      </w:r>
      <w:bookmarkEnd w:id="682"/>
      <w:r>
        <w:t xml:space="preserve"> </w:t>
      </w:r>
    </w:p>
    <w:p w14:paraId="479CD4F8" w14:textId="50D320E5" w:rsidR="001A4F1A" w:rsidRDefault="001A4F1A" w:rsidP="00E858EF">
      <w:pPr>
        <w:suppressAutoHyphens/>
        <w:spacing w:line="240" w:lineRule="auto"/>
      </w:pPr>
      <w:r w:rsidRPr="000F1DC9">
        <w:rPr>
          <w:sz w:val="20"/>
        </w:rPr>
        <w:t xml:space="preserve">(p= primary deposition; s= secondary deposition; No info= no information about the burial stage/skeletal remains). </w:t>
      </w:r>
    </w:p>
    <w:p w14:paraId="4EA1E27B" w14:textId="77777777" w:rsidR="000F1DC9" w:rsidRPr="00145071" w:rsidRDefault="000F1DC9" w:rsidP="00E858EF">
      <w:pPr>
        <w:pStyle w:val="Testofumetto"/>
        <w:suppressAutoHyphens/>
        <w:jc w:val="both"/>
      </w:pPr>
    </w:p>
    <w:tbl>
      <w:tblPr>
        <w:tblStyle w:val="Grigliatabella"/>
        <w:tblW w:w="8468" w:type="dxa"/>
        <w:tblInd w:w="108" w:type="dxa"/>
        <w:tblLayout w:type="fixed"/>
        <w:tblLook w:val="04A0" w:firstRow="1" w:lastRow="0" w:firstColumn="1" w:lastColumn="0" w:noHBand="0" w:noVBand="1"/>
      </w:tblPr>
      <w:tblGrid>
        <w:gridCol w:w="1060"/>
        <w:gridCol w:w="539"/>
        <w:gridCol w:w="494"/>
        <w:gridCol w:w="995"/>
        <w:gridCol w:w="567"/>
        <w:gridCol w:w="555"/>
        <w:gridCol w:w="576"/>
        <w:gridCol w:w="709"/>
        <w:gridCol w:w="635"/>
        <w:gridCol w:w="7"/>
        <w:gridCol w:w="1121"/>
        <w:gridCol w:w="7"/>
        <w:gridCol w:w="1196"/>
        <w:gridCol w:w="7"/>
      </w:tblGrid>
      <w:tr w:rsidR="001A4F1A" w:rsidRPr="008322D1" w14:paraId="3F4F9A4A" w14:textId="77777777" w:rsidTr="008322D1">
        <w:trPr>
          <w:trHeight w:val="387"/>
        </w:trPr>
        <w:tc>
          <w:tcPr>
            <w:tcW w:w="1060" w:type="dxa"/>
          </w:tcPr>
          <w:p w14:paraId="66A2F653"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p>
        </w:tc>
        <w:tc>
          <w:tcPr>
            <w:tcW w:w="2028" w:type="dxa"/>
            <w:gridSpan w:val="3"/>
          </w:tcPr>
          <w:p w14:paraId="14D0ABE4"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8322D1">
              <w:rPr>
                <w:color w:val="000000"/>
                <w:sz w:val="20"/>
              </w:rPr>
              <w:t>Larnax interment</w:t>
            </w:r>
          </w:p>
        </w:tc>
        <w:tc>
          <w:tcPr>
            <w:tcW w:w="1698" w:type="dxa"/>
            <w:gridSpan w:val="3"/>
          </w:tcPr>
          <w:p w14:paraId="245F0639"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8322D1">
              <w:rPr>
                <w:color w:val="000000"/>
                <w:sz w:val="20"/>
              </w:rPr>
              <w:t>Floor burials</w:t>
            </w:r>
          </w:p>
        </w:tc>
        <w:tc>
          <w:tcPr>
            <w:tcW w:w="1351" w:type="dxa"/>
            <w:gridSpan w:val="3"/>
          </w:tcPr>
          <w:p w14:paraId="6C7E7B9E"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8322D1">
              <w:rPr>
                <w:color w:val="000000"/>
                <w:sz w:val="20"/>
              </w:rPr>
              <w:t>Pit burials</w:t>
            </w:r>
          </w:p>
        </w:tc>
        <w:tc>
          <w:tcPr>
            <w:tcW w:w="1128" w:type="dxa"/>
            <w:gridSpan w:val="2"/>
          </w:tcPr>
          <w:p w14:paraId="4B593E1B"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8322D1">
              <w:rPr>
                <w:color w:val="000000"/>
                <w:sz w:val="20"/>
              </w:rPr>
              <w:t>Stamnos</w:t>
            </w:r>
          </w:p>
        </w:tc>
        <w:tc>
          <w:tcPr>
            <w:tcW w:w="1203" w:type="dxa"/>
            <w:gridSpan w:val="2"/>
          </w:tcPr>
          <w:p w14:paraId="39B06641"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8322D1">
              <w:rPr>
                <w:color w:val="000000"/>
                <w:sz w:val="20"/>
              </w:rPr>
              <w:t>Wooden bier/chest</w:t>
            </w:r>
          </w:p>
        </w:tc>
      </w:tr>
      <w:tr w:rsidR="001A4F1A" w:rsidRPr="008322D1" w14:paraId="0B15280A" w14:textId="77777777" w:rsidTr="008322D1">
        <w:trPr>
          <w:gridAfter w:val="1"/>
          <w:wAfter w:w="7" w:type="dxa"/>
          <w:trHeight w:val="387"/>
        </w:trPr>
        <w:tc>
          <w:tcPr>
            <w:tcW w:w="1060" w:type="dxa"/>
            <w:tcBorders>
              <w:bottom w:val="thinThickSmallGap" w:sz="24" w:space="0" w:color="auto"/>
            </w:tcBorders>
          </w:tcPr>
          <w:p w14:paraId="6BDED814"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rPr>
            </w:pPr>
            <w:r w:rsidRPr="008322D1">
              <w:rPr>
                <w:color w:val="000000"/>
                <w:sz w:val="20"/>
              </w:rPr>
              <w:t>Burial stage</w:t>
            </w:r>
          </w:p>
        </w:tc>
        <w:tc>
          <w:tcPr>
            <w:tcW w:w="539" w:type="dxa"/>
            <w:tcBorders>
              <w:bottom w:val="thinThickSmallGap" w:sz="24" w:space="0" w:color="auto"/>
            </w:tcBorders>
          </w:tcPr>
          <w:p w14:paraId="5F14773E"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p</w:t>
            </w:r>
          </w:p>
        </w:tc>
        <w:tc>
          <w:tcPr>
            <w:tcW w:w="494" w:type="dxa"/>
            <w:tcBorders>
              <w:bottom w:val="thinThickSmallGap" w:sz="24" w:space="0" w:color="auto"/>
            </w:tcBorders>
          </w:tcPr>
          <w:p w14:paraId="2F2F68A8"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s</w:t>
            </w:r>
          </w:p>
        </w:tc>
        <w:tc>
          <w:tcPr>
            <w:tcW w:w="995" w:type="dxa"/>
            <w:tcBorders>
              <w:bottom w:val="thinThickSmallGap" w:sz="24" w:space="0" w:color="auto"/>
            </w:tcBorders>
          </w:tcPr>
          <w:p w14:paraId="48CEB46C"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No info</w:t>
            </w:r>
          </w:p>
        </w:tc>
        <w:tc>
          <w:tcPr>
            <w:tcW w:w="567" w:type="dxa"/>
            <w:tcBorders>
              <w:bottom w:val="thinThickSmallGap" w:sz="24" w:space="0" w:color="auto"/>
            </w:tcBorders>
          </w:tcPr>
          <w:p w14:paraId="3CEC6056"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p</w:t>
            </w:r>
          </w:p>
        </w:tc>
        <w:tc>
          <w:tcPr>
            <w:tcW w:w="555" w:type="dxa"/>
            <w:tcBorders>
              <w:bottom w:val="thinThickSmallGap" w:sz="24" w:space="0" w:color="auto"/>
            </w:tcBorders>
          </w:tcPr>
          <w:p w14:paraId="5338998F"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s</w:t>
            </w:r>
          </w:p>
        </w:tc>
        <w:tc>
          <w:tcPr>
            <w:tcW w:w="576" w:type="dxa"/>
            <w:tcBorders>
              <w:bottom w:val="thinThickSmallGap" w:sz="24" w:space="0" w:color="auto"/>
            </w:tcBorders>
          </w:tcPr>
          <w:p w14:paraId="3D67E661"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No info</w:t>
            </w:r>
          </w:p>
        </w:tc>
        <w:tc>
          <w:tcPr>
            <w:tcW w:w="709" w:type="dxa"/>
            <w:tcBorders>
              <w:bottom w:val="thinThickSmallGap" w:sz="24" w:space="0" w:color="auto"/>
            </w:tcBorders>
          </w:tcPr>
          <w:p w14:paraId="55FDF280"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p</w:t>
            </w:r>
          </w:p>
        </w:tc>
        <w:tc>
          <w:tcPr>
            <w:tcW w:w="635" w:type="dxa"/>
            <w:tcBorders>
              <w:bottom w:val="thinThickSmallGap" w:sz="24" w:space="0" w:color="auto"/>
            </w:tcBorders>
          </w:tcPr>
          <w:p w14:paraId="0A4CFB7C"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s</w:t>
            </w:r>
          </w:p>
        </w:tc>
        <w:tc>
          <w:tcPr>
            <w:tcW w:w="1128" w:type="dxa"/>
            <w:gridSpan w:val="2"/>
            <w:tcBorders>
              <w:bottom w:val="thinThickSmallGap" w:sz="24" w:space="0" w:color="auto"/>
            </w:tcBorders>
          </w:tcPr>
          <w:p w14:paraId="46587580"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p</w:t>
            </w:r>
          </w:p>
        </w:tc>
        <w:tc>
          <w:tcPr>
            <w:tcW w:w="1203" w:type="dxa"/>
            <w:gridSpan w:val="2"/>
            <w:tcBorders>
              <w:bottom w:val="thinThickSmallGap" w:sz="24" w:space="0" w:color="auto"/>
            </w:tcBorders>
          </w:tcPr>
          <w:p w14:paraId="4AA084D8"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No info</w:t>
            </w:r>
          </w:p>
        </w:tc>
      </w:tr>
      <w:tr w:rsidR="001A4F1A" w:rsidRPr="008322D1" w14:paraId="73985A86" w14:textId="77777777" w:rsidTr="008322D1">
        <w:trPr>
          <w:gridAfter w:val="1"/>
          <w:wAfter w:w="7" w:type="dxa"/>
        </w:trPr>
        <w:tc>
          <w:tcPr>
            <w:tcW w:w="1060" w:type="dxa"/>
            <w:tcBorders>
              <w:top w:val="thinThickSmallGap" w:sz="24" w:space="0" w:color="auto"/>
              <w:bottom w:val="thinThickSmallGap" w:sz="24" w:space="0" w:color="auto"/>
            </w:tcBorders>
          </w:tcPr>
          <w:p w14:paraId="45ADCBBE"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rPr>
            </w:pPr>
            <w:r w:rsidRPr="008322D1">
              <w:rPr>
                <w:color w:val="000000"/>
                <w:sz w:val="20"/>
              </w:rPr>
              <w:t>MNEB</w:t>
            </w:r>
          </w:p>
          <w:p w14:paraId="376E1622"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b/>
                <w:color w:val="000000"/>
                <w:sz w:val="20"/>
              </w:rPr>
            </w:pPr>
          </w:p>
        </w:tc>
        <w:tc>
          <w:tcPr>
            <w:tcW w:w="539" w:type="dxa"/>
            <w:tcBorders>
              <w:top w:val="thinThickSmallGap" w:sz="24" w:space="0" w:color="auto"/>
              <w:bottom w:val="thinThickSmallGap" w:sz="24" w:space="0" w:color="auto"/>
            </w:tcBorders>
          </w:tcPr>
          <w:p w14:paraId="1553F597"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34</w:t>
            </w:r>
          </w:p>
        </w:tc>
        <w:tc>
          <w:tcPr>
            <w:tcW w:w="494" w:type="dxa"/>
            <w:tcBorders>
              <w:top w:val="thinThickSmallGap" w:sz="24" w:space="0" w:color="auto"/>
              <w:bottom w:val="thinThickSmallGap" w:sz="24" w:space="0" w:color="auto"/>
            </w:tcBorders>
          </w:tcPr>
          <w:p w14:paraId="51015029"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12</w:t>
            </w:r>
          </w:p>
        </w:tc>
        <w:tc>
          <w:tcPr>
            <w:tcW w:w="995" w:type="dxa"/>
            <w:tcBorders>
              <w:top w:val="thinThickSmallGap" w:sz="24" w:space="0" w:color="auto"/>
              <w:bottom w:val="thinThickSmallGap" w:sz="24" w:space="0" w:color="auto"/>
            </w:tcBorders>
          </w:tcPr>
          <w:p w14:paraId="3A6D187A"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40</w:t>
            </w:r>
          </w:p>
        </w:tc>
        <w:tc>
          <w:tcPr>
            <w:tcW w:w="567" w:type="dxa"/>
            <w:tcBorders>
              <w:top w:val="thinThickSmallGap" w:sz="24" w:space="0" w:color="auto"/>
              <w:bottom w:val="thinThickSmallGap" w:sz="24" w:space="0" w:color="auto"/>
            </w:tcBorders>
          </w:tcPr>
          <w:p w14:paraId="0650C329"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18</w:t>
            </w:r>
          </w:p>
        </w:tc>
        <w:tc>
          <w:tcPr>
            <w:tcW w:w="555" w:type="dxa"/>
            <w:tcBorders>
              <w:top w:val="thinThickSmallGap" w:sz="24" w:space="0" w:color="auto"/>
              <w:bottom w:val="thinThickSmallGap" w:sz="24" w:space="0" w:color="auto"/>
            </w:tcBorders>
          </w:tcPr>
          <w:p w14:paraId="635BB045"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31</w:t>
            </w:r>
          </w:p>
        </w:tc>
        <w:tc>
          <w:tcPr>
            <w:tcW w:w="576" w:type="dxa"/>
            <w:tcBorders>
              <w:top w:val="thinThickSmallGap" w:sz="24" w:space="0" w:color="auto"/>
              <w:bottom w:val="thinThickSmallGap" w:sz="24" w:space="0" w:color="auto"/>
            </w:tcBorders>
          </w:tcPr>
          <w:p w14:paraId="4F861FA2"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8</w:t>
            </w:r>
          </w:p>
        </w:tc>
        <w:tc>
          <w:tcPr>
            <w:tcW w:w="709" w:type="dxa"/>
            <w:tcBorders>
              <w:top w:val="thinThickSmallGap" w:sz="24" w:space="0" w:color="auto"/>
              <w:bottom w:val="thinThickSmallGap" w:sz="24" w:space="0" w:color="auto"/>
            </w:tcBorders>
          </w:tcPr>
          <w:p w14:paraId="67785826"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0</w:t>
            </w:r>
          </w:p>
        </w:tc>
        <w:tc>
          <w:tcPr>
            <w:tcW w:w="635" w:type="dxa"/>
            <w:tcBorders>
              <w:top w:val="thinThickSmallGap" w:sz="24" w:space="0" w:color="auto"/>
              <w:bottom w:val="thinThickSmallGap" w:sz="24" w:space="0" w:color="auto"/>
            </w:tcBorders>
          </w:tcPr>
          <w:p w14:paraId="0EDAA2E4"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10</w:t>
            </w:r>
          </w:p>
        </w:tc>
        <w:tc>
          <w:tcPr>
            <w:tcW w:w="1128" w:type="dxa"/>
            <w:gridSpan w:val="2"/>
            <w:tcBorders>
              <w:top w:val="thinThickSmallGap" w:sz="24" w:space="0" w:color="auto"/>
              <w:bottom w:val="thinThickSmallGap" w:sz="24" w:space="0" w:color="auto"/>
            </w:tcBorders>
          </w:tcPr>
          <w:p w14:paraId="74A7CCAE"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1</w:t>
            </w:r>
          </w:p>
        </w:tc>
        <w:tc>
          <w:tcPr>
            <w:tcW w:w="1203" w:type="dxa"/>
            <w:gridSpan w:val="2"/>
            <w:tcBorders>
              <w:top w:val="thinThickSmallGap" w:sz="24" w:space="0" w:color="auto"/>
              <w:bottom w:val="thinThickSmallGap" w:sz="24" w:space="0" w:color="auto"/>
            </w:tcBorders>
          </w:tcPr>
          <w:p w14:paraId="646436D4"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1</w:t>
            </w:r>
          </w:p>
        </w:tc>
      </w:tr>
      <w:tr w:rsidR="001A4F1A" w:rsidRPr="008322D1" w14:paraId="7B0CEB39" w14:textId="77777777" w:rsidTr="008322D1">
        <w:trPr>
          <w:gridAfter w:val="1"/>
          <w:wAfter w:w="7" w:type="dxa"/>
        </w:trPr>
        <w:tc>
          <w:tcPr>
            <w:tcW w:w="1060" w:type="dxa"/>
            <w:tcBorders>
              <w:top w:val="thinThickSmallGap" w:sz="24" w:space="0" w:color="auto"/>
            </w:tcBorders>
          </w:tcPr>
          <w:p w14:paraId="36D5BC05"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rPr>
            </w:pPr>
            <w:r w:rsidRPr="008322D1">
              <w:rPr>
                <w:color w:val="000000"/>
                <w:sz w:val="20"/>
              </w:rPr>
              <w:t>No. of tombs in which they occur</w:t>
            </w:r>
          </w:p>
        </w:tc>
        <w:tc>
          <w:tcPr>
            <w:tcW w:w="539" w:type="dxa"/>
            <w:tcBorders>
              <w:top w:val="thinThickSmallGap" w:sz="24" w:space="0" w:color="auto"/>
            </w:tcBorders>
          </w:tcPr>
          <w:p w14:paraId="409AD0AD"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24</w:t>
            </w:r>
          </w:p>
        </w:tc>
        <w:tc>
          <w:tcPr>
            <w:tcW w:w="494" w:type="dxa"/>
            <w:tcBorders>
              <w:top w:val="thinThickSmallGap" w:sz="24" w:space="0" w:color="auto"/>
            </w:tcBorders>
          </w:tcPr>
          <w:p w14:paraId="0E4453EB"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2</w:t>
            </w:r>
          </w:p>
        </w:tc>
        <w:tc>
          <w:tcPr>
            <w:tcW w:w="995" w:type="dxa"/>
            <w:tcBorders>
              <w:top w:val="thinThickSmallGap" w:sz="24" w:space="0" w:color="auto"/>
            </w:tcBorders>
          </w:tcPr>
          <w:p w14:paraId="6E541464"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16</w:t>
            </w:r>
          </w:p>
        </w:tc>
        <w:tc>
          <w:tcPr>
            <w:tcW w:w="567" w:type="dxa"/>
            <w:tcBorders>
              <w:top w:val="thinThickSmallGap" w:sz="24" w:space="0" w:color="auto"/>
            </w:tcBorders>
          </w:tcPr>
          <w:p w14:paraId="2A9F3F1C"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11</w:t>
            </w:r>
          </w:p>
        </w:tc>
        <w:tc>
          <w:tcPr>
            <w:tcW w:w="555" w:type="dxa"/>
            <w:tcBorders>
              <w:top w:val="thinThickSmallGap" w:sz="24" w:space="0" w:color="auto"/>
            </w:tcBorders>
          </w:tcPr>
          <w:p w14:paraId="3A44D589"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13</w:t>
            </w:r>
          </w:p>
        </w:tc>
        <w:tc>
          <w:tcPr>
            <w:tcW w:w="576" w:type="dxa"/>
            <w:tcBorders>
              <w:top w:val="thinThickSmallGap" w:sz="24" w:space="0" w:color="auto"/>
            </w:tcBorders>
          </w:tcPr>
          <w:p w14:paraId="7DC0C3BB"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3</w:t>
            </w:r>
          </w:p>
        </w:tc>
        <w:tc>
          <w:tcPr>
            <w:tcW w:w="709" w:type="dxa"/>
            <w:tcBorders>
              <w:top w:val="thinThickSmallGap" w:sz="24" w:space="0" w:color="auto"/>
            </w:tcBorders>
          </w:tcPr>
          <w:p w14:paraId="6721CA67"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p>
        </w:tc>
        <w:tc>
          <w:tcPr>
            <w:tcW w:w="635" w:type="dxa"/>
            <w:tcBorders>
              <w:top w:val="thinThickSmallGap" w:sz="24" w:space="0" w:color="auto"/>
            </w:tcBorders>
          </w:tcPr>
          <w:p w14:paraId="165EB9CC"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5</w:t>
            </w:r>
          </w:p>
        </w:tc>
        <w:tc>
          <w:tcPr>
            <w:tcW w:w="1128" w:type="dxa"/>
            <w:gridSpan w:val="2"/>
            <w:tcBorders>
              <w:top w:val="thinThickSmallGap" w:sz="24" w:space="0" w:color="auto"/>
            </w:tcBorders>
          </w:tcPr>
          <w:p w14:paraId="4B0A7B8F"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1</w:t>
            </w:r>
          </w:p>
        </w:tc>
        <w:tc>
          <w:tcPr>
            <w:tcW w:w="1203" w:type="dxa"/>
            <w:gridSpan w:val="2"/>
            <w:tcBorders>
              <w:top w:val="thinThickSmallGap" w:sz="24" w:space="0" w:color="auto"/>
            </w:tcBorders>
          </w:tcPr>
          <w:p w14:paraId="6C32FC7B" w14:textId="77777777" w:rsidR="001A4F1A" w:rsidRPr="008322D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8322D1">
              <w:rPr>
                <w:color w:val="000000"/>
                <w:sz w:val="20"/>
              </w:rPr>
              <w:t>1</w:t>
            </w:r>
          </w:p>
        </w:tc>
      </w:tr>
    </w:tbl>
    <w:p w14:paraId="39A8E351" w14:textId="77777777" w:rsidR="001A4F1A" w:rsidRPr="00D6101B" w:rsidRDefault="001A4F1A" w:rsidP="00E858EF">
      <w:pPr>
        <w:suppressAutoHyphens/>
        <w:autoSpaceDE w:val="0"/>
        <w:autoSpaceDN w:val="0"/>
        <w:adjustRightInd w:val="0"/>
        <w:rPr>
          <w:color w:val="000000"/>
        </w:rPr>
      </w:pPr>
    </w:p>
    <w:p w14:paraId="1F256CC6" w14:textId="77777777" w:rsidR="001A4F1A" w:rsidRDefault="001A4F1A" w:rsidP="00E858EF">
      <w:pPr>
        <w:suppressAutoHyphens/>
        <w:autoSpaceDE w:val="0"/>
        <w:autoSpaceDN w:val="0"/>
        <w:adjustRightInd w:val="0"/>
        <w:rPr>
          <w:b/>
          <w:color w:val="000000"/>
        </w:rPr>
      </w:pPr>
      <w:r>
        <w:rPr>
          <w:noProof/>
          <w:lang w:val="it-IT"/>
        </w:rPr>
        <w:drawing>
          <wp:inline distT="0" distB="0" distL="0" distR="0" wp14:anchorId="49106BA8" wp14:editId="19BE9D40">
            <wp:extent cx="4680000" cy="2520000"/>
            <wp:effectExtent l="0" t="0" r="6350" b="13970"/>
            <wp:docPr id="50" name="Gra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9CAB34E" w14:textId="46C14717" w:rsidR="001A4F1A" w:rsidRPr="00182098" w:rsidRDefault="001A4F1A" w:rsidP="00E858EF">
      <w:pPr>
        <w:pStyle w:val="Didascalia"/>
        <w:suppressAutoHyphens/>
      </w:pPr>
      <w:bookmarkStart w:id="683" w:name="_Toc520212338"/>
      <w:r w:rsidRPr="00182098">
        <w:t>Figure 4</w:t>
      </w:r>
      <w:r>
        <w:t>-</w:t>
      </w:r>
      <w:r w:rsidRPr="00182098">
        <w:t>1</w:t>
      </w:r>
      <w:r w:rsidR="005539B9">
        <w:t>.</w:t>
      </w:r>
      <w:r>
        <w:t xml:space="preserve"> Deposition methods present </w:t>
      </w:r>
      <w:r w:rsidRPr="008772F1">
        <w:t>in tomb</w:t>
      </w:r>
      <w:r>
        <w:t>s</w:t>
      </w:r>
      <w:r w:rsidRPr="008772F1">
        <w:t xml:space="preserve"> with larnakes</w:t>
      </w:r>
      <w:r w:rsidR="00D02AAA">
        <w:t>,</w:t>
      </w:r>
      <w:r w:rsidRPr="008772F1">
        <w:t xml:space="preserve"> </w:t>
      </w:r>
      <w:r>
        <w:t>Mid-West</w:t>
      </w:r>
      <w:r w:rsidR="005539B9">
        <w:t xml:space="preserve"> area</w:t>
      </w:r>
      <w:bookmarkEnd w:id="683"/>
    </w:p>
    <w:p w14:paraId="704DAD32" w14:textId="77777777" w:rsidR="001A4F1A" w:rsidRPr="00E27E5C" w:rsidRDefault="001A4F1A" w:rsidP="00E858EF">
      <w:pPr>
        <w:suppressAutoHyphens/>
      </w:pPr>
    </w:p>
    <w:p w14:paraId="6EFA4CB9"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 xml:space="preserve">Depositions in larnakes and on the floor </w:t>
      </w:r>
      <w:r>
        <w:rPr>
          <w:color w:val="000000"/>
        </w:rPr>
        <w:t>are</w:t>
      </w:r>
      <w:r w:rsidRPr="00D6101B">
        <w:rPr>
          <w:color w:val="000000"/>
        </w:rPr>
        <w:t xml:space="preserve"> the most common burial methods, but while larnakes </w:t>
      </w:r>
      <w:r>
        <w:rPr>
          <w:color w:val="000000"/>
        </w:rPr>
        <w:t>(at least in the sample with available information)</w:t>
      </w:r>
      <w:r w:rsidRPr="00D6101B">
        <w:rPr>
          <w:color w:val="000000"/>
        </w:rPr>
        <w:t xml:space="preserve"> are mainly used for primary burial depositions (secondary deposition</w:t>
      </w:r>
      <w:r>
        <w:rPr>
          <w:color w:val="000000"/>
        </w:rPr>
        <w:t>s</w:t>
      </w:r>
      <w:r w:rsidRPr="00D6101B">
        <w:rPr>
          <w:color w:val="000000"/>
        </w:rPr>
        <w:t xml:space="preserve"> in larnakes have been registered only in two tombs at Armenoi, with </w:t>
      </w:r>
      <w:r>
        <w:rPr>
          <w:color w:val="000000"/>
        </w:rPr>
        <w:t>six</w:t>
      </w:r>
      <w:r w:rsidRPr="00D6101B">
        <w:rPr>
          <w:color w:val="000000"/>
        </w:rPr>
        <w:t xml:space="preserve"> individu</w:t>
      </w:r>
      <w:r>
        <w:rPr>
          <w:color w:val="000000"/>
        </w:rPr>
        <w:t>als per larnax:</w:t>
      </w:r>
      <w:r w:rsidRPr="00D6101B">
        <w:rPr>
          <w:color w:val="000000"/>
        </w:rPr>
        <w:t xml:space="preserve"> </w:t>
      </w:r>
      <w:r>
        <w:rPr>
          <w:color w:val="000000"/>
        </w:rPr>
        <w:t>T</w:t>
      </w:r>
      <w:r w:rsidRPr="00D6101B">
        <w:rPr>
          <w:color w:val="000000"/>
        </w:rPr>
        <w:t>omb 139 and 211), depositions on the floor are preferred for secondary burials. In this region</w:t>
      </w:r>
      <w:r>
        <w:rPr>
          <w:color w:val="000000"/>
        </w:rPr>
        <w:t>,</w:t>
      </w:r>
      <w:r w:rsidRPr="00D6101B">
        <w:rPr>
          <w:color w:val="000000"/>
        </w:rPr>
        <w:t xml:space="preserve"> the use of pit</w:t>
      </w:r>
      <w:r>
        <w:rPr>
          <w:color w:val="000000"/>
        </w:rPr>
        <w:t>s</w:t>
      </w:r>
      <w:r w:rsidRPr="00D6101B">
        <w:rPr>
          <w:color w:val="000000"/>
        </w:rPr>
        <w:t xml:space="preserve"> in tombs with larnakes seems to have been confined only to secondary burials, while other type</w:t>
      </w:r>
      <w:r>
        <w:rPr>
          <w:color w:val="000000"/>
        </w:rPr>
        <w:t>s</w:t>
      </w:r>
      <w:r w:rsidRPr="00D6101B">
        <w:rPr>
          <w:color w:val="000000"/>
        </w:rPr>
        <w:t xml:space="preserve"> of container</w:t>
      </w:r>
      <w:r>
        <w:rPr>
          <w:color w:val="000000"/>
        </w:rPr>
        <w:t xml:space="preserve">s used for </w:t>
      </w:r>
      <w:r w:rsidRPr="00D6101B">
        <w:rPr>
          <w:color w:val="000000"/>
        </w:rPr>
        <w:t xml:space="preserve">deposition associated with larnakes are almost absent. </w:t>
      </w:r>
      <w:r>
        <w:rPr>
          <w:color w:val="000000"/>
        </w:rPr>
        <w:t xml:space="preserve">The only </w:t>
      </w:r>
      <w:r w:rsidRPr="00FF04E9">
        <w:rPr>
          <w:color w:val="000000"/>
        </w:rPr>
        <w:t>wooden bier/chest burial</w:t>
      </w:r>
      <w:r>
        <w:rPr>
          <w:color w:val="000000"/>
        </w:rPr>
        <w:t xml:space="preserve"> comes</w:t>
      </w:r>
      <w:r w:rsidRPr="00FF04E9">
        <w:rPr>
          <w:color w:val="000000"/>
        </w:rPr>
        <w:t xml:space="preserve"> from Armeno</w:t>
      </w:r>
      <w:r>
        <w:rPr>
          <w:color w:val="000000"/>
        </w:rPr>
        <w:t>i Tomb 159 (Godart and Tzedakis 1992</w:t>
      </w:r>
      <w:r w:rsidRPr="00FF04E9">
        <w:rPr>
          <w:color w:val="000000"/>
        </w:rPr>
        <w:t>: 88-87), for which there is no information reported about the skeletal remains</w:t>
      </w:r>
      <w:r>
        <w:rPr>
          <w:color w:val="000000"/>
        </w:rPr>
        <w:t>. A primary deposition of a child in a stamnos has been found in association with larnakes and floor burials at Angeliana Plagaki tomb (</w:t>
      </w:r>
      <w:r w:rsidRPr="007C4F07">
        <w:rPr>
          <w:i/>
          <w:color w:val="000000"/>
        </w:rPr>
        <w:t>ADelt</w:t>
      </w:r>
      <w:r>
        <w:rPr>
          <w:color w:val="000000"/>
        </w:rPr>
        <w:t xml:space="preserve"> 38 1983: </w:t>
      </w:r>
      <w:r w:rsidRPr="001677E5">
        <w:rPr>
          <w:color w:val="000000"/>
        </w:rPr>
        <w:t>370-371</w:t>
      </w:r>
      <w:r>
        <w:rPr>
          <w:color w:val="000000"/>
        </w:rPr>
        <w:t>).</w:t>
      </w:r>
    </w:p>
    <w:p w14:paraId="135E5543"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 xml:space="preserve">The </w:t>
      </w:r>
      <w:r>
        <w:rPr>
          <w:color w:val="000000"/>
        </w:rPr>
        <w:t>percentage</w:t>
      </w:r>
      <w:r w:rsidRPr="00D6101B">
        <w:rPr>
          <w:color w:val="000000"/>
        </w:rPr>
        <w:t xml:space="preserve"> of tombs for which information about gender and age </w:t>
      </w:r>
      <w:r>
        <w:rPr>
          <w:color w:val="000000"/>
        </w:rPr>
        <w:t>is</w:t>
      </w:r>
      <w:r w:rsidRPr="00D6101B">
        <w:rPr>
          <w:color w:val="000000"/>
        </w:rPr>
        <w:t xml:space="preserve"> available </w:t>
      </w:r>
      <w:r>
        <w:rPr>
          <w:color w:val="000000"/>
        </w:rPr>
        <w:t>is</w:t>
      </w:r>
      <w:r w:rsidRPr="00D6101B">
        <w:rPr>
          <w:color w:val="000000"/>
        </w:rPr>
        <w:t xml:space="preserve"> 1</w:t>
      </w:r>
      <w:r>
        <w:rPr>
          <w:color w:val="000000"/>
        </w:rPr>
        <w:t>8</w:t>
      </w:r>
      <w:r w:rsidRPr="00D6101B">
        <w:rPr>
          <w:color w:val="000000"/>
        </w:rPr>
        <w:t xml:space="preserve">% </w:t>
      </w:r>
      <w:r>
        <w:rPr>
          <w:color w:val="000000"/>
        </w:rPr>
        <w:t xml:space="preserve">of </w:t>
      </w:r>
      <w:r w:rsidRPr="00D6101B">
        <w:rPr>
          <w:color w:val="000000"/>
        </w:rPr>
        <w:t xml:space="preserve">the sample of tombs considered secure (only </w:t>
      </w:r>
      <w:r>
        <w:rPr>
          <w:color w:val="000000"/>
        </w:rPr>
        <w:t xml:space="preserve">10 </w:t>
      </w:r>
      <w:r w:rsidRPr="00D6101B">
        <w:rPr>
          <w:color w:val="000000"/>
        </w:rPr>
        <w:t xml:space="preserve">tombs </w:t>
      </w:r>
      <w:r>
        <w:rPr>
          <w:color w:val="000000"/>
        </w:rPr>
        <w:t>of the</w:t>
      </w:r>
      <w:r w:rsidRPr="00D6101B">
        <w:rPr>
          <w:color w:val="000000"/>
        </w:rPr>
        <w:t xml:space="preserve"> 57), and </w:t>
      </w:r>
      <w:r>
        <w:rPr>
          <w:color w:val="000000"/>
        </w:rPr>
        <w:t>for</w:t>
      </w:r>
      <w:r w:rsidRPr="00D6101B">
        <w:rPr>
          <w:color w:val="000000"/>
        </w:rPr>
        <w:t xml:space="preserve"> the minimum number of individual</w:t>
      </w:r>
      <w:r>
        <w:rPr>
          <w:color w:val="000000"/>
        </w:rPr>
        <w:t>s,</w:t>
      </w:r>
      <w:r w:rsidRPr="00D6101B">
        <w:rPr>
          <w:color w:val="000000"/>
        </w:rPr>
        <w:t xml:space="preserve"> the percentage </w:t>
      </w:r>
      <w:r>
        <w:rPr>
          <w:color w:val="000000"/>
        </w:rPr>
        <w:t xml:space="preserve">is </w:t>
      </w:r>
      <w:r w:rsidRPr="00D6101B">
        <w:rPr>
          <w:color w:val="000000"/>
        </w:rPr>
        <w:t>1</w:t>
      </w:r>
      <w:r>
        <w:rPr>
          <w:color w:val="000000"/>
        </w:rPr>
        <w:t>3</w:t>
      </w:r>
      <w:r w:rsidRPr="00D6101B">
        <w:rPr>
          <w:color w:val="000000"/>
        </w:rPr>
        <w:t xml:space="preserve">%. </w:t>
      </w:r>
      <w:r>
        <w:rPr>
          <w:color w:val="000000"/>
        </w:rPr>
        <w:t xml:space="preserve">However </w:t>
      </w:r>
      <w:r w:rsidRPr="00D6101B">
        <w:rPr>
          <w:color w:val="000000"/>
        </w:rPr>
        <w:t xml:space="preserve">there are tombs for which the information about gender and age </w:t>
      </w:r>
      <w:r>
        <w:rPr>
          <w:color w:val="000000"/>
        </w:rPr>
        <w:t>is</w:t>
      </w:r>
      <w:r w:rsidRPr="00D6101B">
        <w:rPr>
          <w:color w:val="000000"/>
        </w:rPr>
        <w:t xml:space="preserve"> available</w:t>
      </w:r>
      <w:r>
        <w:rPr>
          <w:color w:val="000000"/>
        </w:rPr>
        <w:t>, but</w:t>
      </w:r>
      <w:r w:rsidRPr="00D6101B">
        <w:rPr>
          <w:color w:val="000000"/>
        </w:rPr>
        <w:t xml:space="preserve"> only for some of the individuals found</w:t>
      </w:r>
      <w:r>
        <w:rPr>
          <w:color w:val="000000"/>
        </w:rPr>
        <w:t>;</w:t>
      </w:r>
      <w:r w:rsidRPr="00D6101B">
        <w:rPr>
          <w:color w:val="000000"/>
        </w:rPr>
        <w:t xml:space="preserve"> </w:t>
      </w:r>
      <w:r>
        <w:rPr>
          <w:color w:val="000000"/>
        </w:rPr>
        <w:t>f</w:t>
      </w:r>
      <w:r w:rsidRPr="00D6101B">
        <w:rPr>
          <w:color w:val="000000"/>
        </w:rPr>
        <w:t>or example</w:t>
      </w:r>
      <w:r>
        <w:rPr>
          <w:color w:val="000000"/>
        </w:rPr>
        <w:t>,</w:t>
      </w:r>
      <w:r w:rsidRPr="00D6101B">
        <w:rPr>
          <w:color w:val="000000"/>
        </w:rPr>
        <w:t xml:space="preserve"> in the chamber tomb at Pankalochori, there is information only about one burial out of three larnakes (one of the three larnakes contains the skeleton</w:t>
      </w:r>
      <w:r>
        <w:rPr>
          <w:color w:val="000000"/>
        </w:rPr>
        <w:t>s</w:t>
      </w:r>
      <w:r w:rsidRPr="00D6101B">
        <w:rPr>
          <w:color w:val="000000"/>
        </w:rPr>
        <w:t xml:space="preserve"> of a woman and a foetus, while in the other two larnakes only the presenc</w:t>
      </w:r>
      <w:r>
        <w:rPr>
          <w:color w:val="000000"/>
        </w:rPr>
        <w:t>e of bone fragments is reported: see Baxevani and</w:t>
      </w:r>
      <w:r w:rsidRPr="00D6101B">
        <w:rPr>
          <w:color w:val="000000"/>
        </w:rPr>
        <w:t xml:space="preserve"> Markoulaki 1996: 646).</w:t>
      </w:r>
    </w:p>
    <w:p w14:paraId="24F9AF27" w14:textId="77777777" w:rsidR="001A4F1A" w:rsidRDefault="001A4F1A" w:rsidP="00E858EF">
      <w:pPr>
        <w:suppressAutoHyphens/>
        <w:autoSpaceDE w:val="0"/>
        <w:autoSpaceDN w:val="0"/>
        <w:adjustRightInd w:val="0"/>
        <w:rPr>
          <w:color w:val="000000"/>
        </w:rPr>
      </w:pPr>
      <w:r>
        <w:rPr>
          <w:color w:val="000000"/>
        </w:rPr>
        <w:tab/>
      </w:r>
      <w:r w:rsidRPr="00D6101B">
        <w:rPr>
          <w:color w:val="000000"/>
        </w:rPr>
        <w:t>From th</w:t>
      </w:r>
      <w:r>
        <w:rPr>
          <w:color w:val="000000"/>
        </w:rPr>
        <w:t>is</w:t>
      </w:r>
      <w:r w:rsidRPr="00D6101B">
        <w:rPr>
          <w:color w:val="000000"/>
        </w:rPr>
        <w:t xml:space="preserve"> very small sample of tombs </w:t>
      </w:r>
      <w:r>
        <w:rPr>
          <w:color w:val="000000"/>
        </w:rPr>
        <w:t>with info on</w:t>
      </w:r>
      <w:r w:rsidRPr="00D6101B">
        <w:rPr>
          <w:color w:val="000000"/>
        </w:rPr>
        <w:t xml:space="preserve"> gender and age</w:t>
      </w:r>
      <w:r>
        <w:rPr>
          <w:color w:val="000000"/>
        </w:rPr>
        <w:t>,</w:t>
      </w:r>
      <w:r w:rsidRPr="00D6101B">
        <w:rPr>
          <w:color w:val="000000"/>
        </w:rPr>
        <w:t xml:space="preserve"> </w:t>
      </w:r>
      <w:r>
        <w:rPr>
          <w:color w:val="000000"/>
        </w:rPr>
        <w:t>no</w:t>
      </w:r>
      <w:r w:rsidRPr="00D6101B">
        <w:rPr>
          <w:color w:val="000000"/>
        </w:rPr>
        <w:t xml:space="preserve"> specific gender association</w:t>
      </w:r>
      <w:r>
        <w:rPr>
          <w:color w:val="000000"/>
        </w:rPr>
        <w:t xml:space="preserve"> emerges</w:t>
      </w:r>
      <w:r w:rsidRPr="00D6101B">
        <w:rPr>
          <w:color w:val="000000"/>
        </w:rPr>
        <w:t xml:space="preserve">. </w:t>
      </w:r>
      <w:r>
        <w:rPr>
          <w:color w:val="000000"/>
        </w:rPr>
        <w:t>Regarding</w:t>
      </w:r>
      <w:r w:rsidRPr="00D6101B">
        <w:rPr>
          <w:color w:val="000000"/>
        </w:rPr>
        <w:t xml:space="preserve"> the age</w:t>
      </w:r>
      <w:r>
        <w:rPr>
          <w:color w:val="000000"/>
        </w:rPr>
        <w:t xml:space="preserve"> of</w:t>
      </w:r>
      <w:r w:rsidRPr="00D6101B">
        <w:rPr>
          <w:color w:val="000000"/>
        </w:rPr>
        <w:t xml:space="preserve"> adult</w:t>
      </w:r>
      <w:r>
        <w:rPr>
          <w:color w:val="000000"/>
        </w:rPr>
        <w:t>s,</w:t>
      </w:r>
      <w:r w:rsidRPr="00D6101B">
        <w:rPr>
          <w:color w:val="000000"/>
        </w:rPr>
        <w:t xml:space="preserve"> </w:t>
      </w:r>
      <w:r>
        <w:rPr>
          <w:color w:val="000000"/>
        </w:rPr>
        <w:t>there does not seem</w:t>
      </w:r>
      <w:r w:rsidRPr="00D6101B">
        <w:rPr>
          <w:color w:val="000000"/>
        </w:rPr>
        <w:t xml:space="preserve"> </w:t>
      </w:r>
      <w:r>
        <w:rPr>
          <w:color w:val="000000"/>
        </w:rPr>
        <w:t>to be</w:t>
      </w:r>
      <w:r w:rsidRPr="00D6101B">
        <w:rPr>
          <w:color w:val="000000"/>
        </w:rPr>
        <w:t xml:space="preserve"> any </w:t>
      </w:r>
      <w:r>
        <w:rPr>
          <w:color w:val="000000"/>
        </w:rPr>
        <w:t>preference either</w:t>
      </w:r>
      <w:r w:rsidRPr="00D6101B">
        <w:rPr>
          <w:color w:val="000000"/>
        </w:rPr>
        <w:t xml:space="preserve"> on the floor </w:t>
      </w:r>
      <w:r>
        <w:rPr>
          <w:color w:val="000000"/>
        </w:rPr>
        <w:t>or</w:t>
      </w:r>
      <w:r w:rsidRPr="00D6101B">
        <w:rPr>
          <w:color w:val="000000"/>
        </w:rPr>
        <w:t xml:space="preserve"> within larnakes. The three child burials </w:t>
      </w:r>
      <w:r>
        <w:rPr>
          <w:color w:val="000000"/>
        </w:rPr>
        <w:t>were</w:t>
      </w:r>
      <w:r w:rsidRPr="00D6101B">
        <w:rPr>
          <w:color w:val="000000"/>
        </w:rPr>
        <w:t xml:space="preserve"> found in a stamnos (Angeliana Plagaki), on the floor (Armenoi </w:t>
      </w:r>
      <w:r>
        <w:rPr>
          <w:color w:val="000000"/>
        </w:rPr>
        <w:t>T</w:t>
      </w:r>
      <w:r w:rsidRPr="00D6101B">
        <w:rPr>
          <w:color w:val="000000"/>
        </w:rPr>
        <w:t xml:space="preserve">omb 118) and in a larnax (Maroulas Mezaria </w:t>
      </w:r>
      <w:r>
        <w:rPr>
          <w:color w:val="000000"/>
        </w:rPr>
        <w:t>T</w:t>
      </w:r>
      <w:r w:rsidRPr="00D6101B">
        <w:rPr>
          <w:color w:val="000000"/>
        </w:rPr>
        <w:t xml:space="preserve">omb 5), while two of the three baby/foetus </w:t>
      </w:r>
      <w:r>
        <w:rPr>
          <w:color w:val="000000"/>
        </w:rPr>
        <w:t>burials were</w:t>
      </w:r>
      <w:r w:rsidRPr="00D6101B">
        <w:rPr>
          <w:color w:val="000000"/>
        </w:rPr>
        <w:t xml:space="preserve"> part of a secondary deposition in a larnax in </w:t>
      </w:r>
      <w:r>
        <w:rPr>
          <w:color w:val="000000"/>
        </w:rPr>
        <w:t>T</w:t>
      </w:r>
      <w:r w:rsidRPr="00D6101B">
        <w:rPr>
          <w:color w:val="000000"/>
        </w:rPr>
        <w:t>omb 139 at Armenoi and associat</w:t>
      </w:r>
      <w:r>
        <w:rPr>
          <w:color w:val="000000"/>
        </w:rPr>
        <w:t>ed</w:t>
      </w:r>
      <w:r w:rsidRPr="00D6101B">
        <w:rPr>
          <w:color w:val="000000"/>
        </w:rPr>
        <w:t xml:space="preserve"> with the female (mother) in one of the three larnakes at Pankalochori.</w:t>
      </w:r>
    </w:p>
    <w:p w14:paraId="22F7B823" w14:textId="77777777" w:rsidR="001A4F1A" w:rsidRDefault="001A4F1A" w:rsidP="00E858EF">
      <w:pPr>
        <w:suppressAutoHyphens/>
        <w:autoSpaceDE w:val="0"/>
        <w:autoSpaceDN w:val="0"/>
        <w:adjustRightInd w:val="0"/>
        <w:rPr>
          <w:color w:val="000000"/>
        </w:rPr>
      </w:pPr>
      <w:r>
        <w:rPr>
          <w:noProof/>
          <w:lang w:val="it-IT"/>
        </w:rPr>
        <w:drawing>
          <wp:inline distT="0" distB="0" distL="0" distR="0" wp14:anchorId="6CA905FF" wp14:editId="5919BB48">
            <wp:extent cx="4716000" cy="2520000"/>
            <wp:effectExtent l="0" t="0" r="8890" b="13970"/>
            <wp:docPr id="56" name="Gra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45FE9E3" w14:textId="41AEC499" w:rsidR="001A4F1A" w:rsidRPr="00722DA7" w:rsidRDefault="001A4F1A" w:rsidP="00E858EF">
      <w:pPr>
        <w:pStyle w:val="Didascalia"/>
        <w:suppressAutoHyphens/>
      </w:pPr>
      <w:bookmarkStart w:id="684" w:name="_Toc520212339"/>
      <w:r w:rsidRPr="00722DA7">
        <w:t>Fig</w:t>
      </w:r>
      <w:r>
        <w:t xml:space="preserve">ure </w:t>
      </w:r>
      <w:r w:rsidRPr="00722DA7">
        <w:t xml:space="preserve"> 4</w:t>
      </w:r>
      <w:r>
        <w:t>-</w:t>
      </w:r>
      <w:r w:rsidRPr="00722DA7">
        <w:t>2</w:t>
      </w:r>
      <w:r w:rsidR="005539B9">
        <w:t>.</w:t>
      </w:r>
      <w:r>
        <w:t xml:space="preserve"> Percentage of tombs with information </w:t>
      </w:r>
      <w:r w:rsidR="00A4231C">
        <w:t xml:space="preserve">on </w:t>
      </w:r>
      <w:r>
        <w:t>gender and age</w:t>
      </w:r>
      <w:r w:rsidR="00942894">
        <w:t>,</w:t>
      </w:r>
      <w:r>
        <w:t xml:space="preserve"> Mid-West </w:t>
      </w:r>
      <w:bookmarkEnd w:id="684"/>
      <w:r w:rsidR="00D02AAA">
        <w:t>area</w:t>
      </w:r>
    </w:p>
    <w:p w14:paraId="3E9C74C5" w14:textId="77777777" w:rsidR="001A4F1A" w:rsidRPr="00D6101B" w:rsidRDefault="001A4F1A" w:rsidP="00E858EF">
      <w:pPr>
        <w:suppressAutoHyphens/>
        <w:autoSpaceDE w:val="0"/>
        <w:autoSpaceDN w:val="0"/>
        <w:adjustRightInd w:val="0"/>
        <w:rPr>
          <w:color w:val="000000"/>
        </w:rPr>
      </w:pPr>
      <w:r w:rsidRPr="00D6101B">
        <w:rPr>
          <w:color w:val="000000"/>
        </w:rPr>
        <w:t xml:space="preserve"> </w:t>
      </w:r>
      <w:r>
        <w:rPr>
          <w:noProof/>
          <w:lang w:val="it-IT"/>
        </w:rPr>
        <w:drawing>
          <wp:inline distT="0" distB="0" distL="0" distR="0" wp14:anchorId="66800AE9" wp14:editId="2512E5F3">
            <wp:extent cx="4680000" cy="2520000"/>
            <wp:effectExtent l="0" t="0" r="6350" b="13970"/>
            <wp:docPr id="57" name="Gra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338721A" w14:textId="68B8FAF8" w:rsidR="001A4F1A" w:rsidRPr="00722DA7" w:rsidRDefault="001A4F1A" w:rsidP="008322D1">
      <w:pPr>
        <w:pStyle w:val="Didascalia"/>
      </w:pPr>
      <w:bookmarkStart w:id="685" w:name="_Toc520212340"/>
      <w:r w:rsidRPr="00722DA7">
        <w:t>Fig</w:t>
      </w:r>
      <w:r>
        <w:t>ure</w:t>
      </w:r>
      <w:r w:rsidRPr="00722DA7">
        <w:t xml:space="preserve"> 4</w:t>
      </w:r>
      <w:r>
        <w:t>-</w:t>
      </w:r>
      <w:r w:rsidRPr="00722DA7">
        <w:t>3</w:t>
      </w:r>
      <w:r w:rsidR="005539B9">
        <w:t>.</w:t>
      </w:r>
      <w:r>
        <w:t xml:space="preserve"> Percentage of individuals with information </w:t>
      </w:r>
      <w:r w:rsidR="00A4231C">
        <w:t xml:space="preserve">on </w:t>
      </w:r>
      <w:r>
        <w:t>gender and age</w:t>
      </w:r>
      <w:r w:rsidR="00942894">
        <w:t>,</w:t>
      </w:r>
      <w:r>
        <w:t xml:space="preserve"> Mid-West </w:t>
      </w:r>
      <w:bookmarkEnd w:id="685"/>
      <w:r w:rsidR="00D02AAA">
        <w:t>area</w:t>
      </w:r>
    </w:p>
    <w:p w14:paraId="777DFC53" w14:textId="77777777" w:rsidR="001A4F1A" w:rsidRDefault="001A4F1A" w:rsidP="00E858EF">
      <w:pPr>
        <w:suppressAutoHyphens/>
        <w:rPr>
          <w:rFonts w:cs="Lucida Grande"/>
          <w:b/>
          <w:sz w:val="20"/>
          <w:szCs w:val="18"/>
        </w:rPr>
      </w:pPr>
    </w:p>
    <w:p w14:paraId="3745F4CA" w14:textId="10618751" w:rsidR="001A4F1A" w:rsidRPr="00D6101B" w:rsidRDefault="001A4F1A" w:rsidP="00E858EF">
      <w:pPr>
        <w:pStyle w:val="Testofumetto"/>
        <w:suppressAutoHyphens/>
      </w:pPr>
      <w:bookmarkStart w:id="686" w:name="_Toc520212575"/>
      <w:r>
        <w:t xml:space="preserve">Table 4-5. </w:t>
      </w:r>
      <w:r w:rsidRPr="00BC186A">
        <w:t>Number of skeletal remains</w:t>
      </w:r>
      <w:r>
        <w:t xml:space="preserve"> with</w:t>
      </w:r>
      <w:r w:rsidRPr="00BC186A">
        <w:t xml:space="preserve"> information </w:t>
      </w:r>
      <w:r w:rsidR="00A4231C">
        <w:t>on</w:t>
      </w:r>
      <w:r w:rsidR="00A4231C" w:rsidRPr="00BC186A">
        <w:t xml:space="preserve"> </w:t>
      </w:r>
      <w:r w:rsidRPr="00BC186A">
        <w:t>gender</w:t>
      </w:r>
      <w:r w:rsidR="00942894">
        <w:t>,</w:t>
      </w:r>
      <w:r>
        <w:t xml:space="preserve"> Mid-West area</w:t>
      </w:r>
      <w:bookmarkEnd w:id="686"/>
    </w:p>
    <w:tbl>
      <w:tblPr>
        <w:tblStyle w:val="Grigliatabella"/>
        <w:tblW w:w="0" w:type="auto"/>
        <w:tblInd w:w="250" w:type="dxa"/>
        <w:tblLook w:val="04A0" w:firstRow="1" w:lastRow="0" w:firstColumn="1" w:lastColumn="0" w:noHBand="0" w:noVBand="1"/>
      </w:tblPr>
      <w:tblGrid>
        <w:gridCol w:w="2977"/>
        <w:gridCol w:w="1069"/>
        <w:gridCol w:w="1069"/>
        <w:gridCol w:w="1193"/>
      </w:tblGrid>
      <w:tr w:rsidR="001A4F1A" w:rsidRPr="008322D1" w14:paraId="0C3F9250" w14:textId="77777777" w:rsidTr="008322D1">
        <w:tc>
          <w:tcPr>
            <w:tcW w:w="2977" w:type="dxa"/>
          </w:tcPr>
          <w:p w14:paraId="11CCADF2" w14:textId="0067BB6E" w:rsidR="001A4F1A" w:rsidRPr="008322D1" w:rsidRDefault="008322D1" w:rsidP="008322D1">
            <w:pPr>
              <w:suppressAutoHyphens/>
              <w:autoSpaceDE w:val="0"/>
              <w:autoSpaceDN w:val="0"/>
              <w:adjustRightInd w:val="0"/>
              <w:jc w:val="center"/>
              <w:rPr>
                <w:color w:val="000000"/>
                <w:sz w:val="20"/>
              </w:rPr>
            </w:pPr>
            <w:r w:rsidRPr="008322D1">
              <w:rPr>
                <w:color w:val="000000"/>
                <w:sz w:val="20"/>
              </w:rPr>
              <w:t>Total number of skeletal remains</w:t>
            </w:r>
          </w:p>
        </w:tc>
        <w:tc>
          <w:tcPr>
            <w:tcW w:w="1069" w:type="dxa"/>
          </w:tcPr>
          <w:p w14:paraId="7439D81B" w14:textId="334F9617" w:rsidR="001A4F1A" w:rsidRPr="008322D1" w:rsidRDefault="008322D1" w:rsidP="008322D1">
            <w:pPr>
              <w:suppressAutoHyphens/>
              <w:autoSpaceDE w:val="0"/>
              <w:autoSpaceDN w:val="0"/>
              <w:adjustRightInd w:val="0"/>
              <w:jc w:val="center"/>
              <w:rPr>
                <w:color w:val="000000"/>
                <w:sz w:val="20"/>
              </w:rPr>
            </w:pPr>
            <w:r w:rsidRPr="008322D1">
              <w:rPr>
                <w:color w:val="000000"/>
                <w:sz w:val="20"/>
              </w:rPr>
              <w:t>No info</w:t>
            </w:r>
          </w:p>
        </w:tc>
        <w:tc>
          <w:tcPr>
            <w:tcW w:w="1069" w:type="dxa"/>
          </w:tcPr>
          <w:p w14:paraId="6A2470AD" w14:textId="4D1E98E4" w:rsidR="001A4F1A" w:rsidRPr="008322D1" w:rsidRDefault="008322D1" w:rsidP="008322D1">
            <w:pPr>
              <w:suppressAutoHyphens/>
              <w:autoSpaceDE w:val="0"/>
              <w:autoSpaceDN w:val="0"/>
              <w:adjustRightInd w:val="0"/>
              <w:jc w:val="center"/>
              <w:rPr>
                <w:color w:val="000000"/>
                <w:sz w:val="20"/>
              </w:rPr>
            </w:pPr>
            <w:r w:rsidRPr="008322D1">
              <w:rPr>
                <w:color w:val="000000"/>
                <w:sz w:val="20"/>
              </w:rPr>
              <w:t>Male</w:t>
            </w:r>
          </w:p>
        </w:tc>
        <w:tc>
          <w:tcPr>
            <w:tcW w:w="1193" w:type="dxa"/>
          </w:tcPr>
          <w:p w14:paraId="13039A35" w14:textId="0388A158" w:rsidR="001A4F1A" w:rsidRPr="008322D1" w:rsidRDefault="008322D1" w:rsidP="008322D1">
            <w:pPr>
              <w:suppressAutoHyphens/>
              <w:autoSpaceDE w:val="0"/>
              <w:autoSpaceDN w:val="0"/>
              <w:adjustRightInd w:val="0"/>
              <w:jc w:val="center"/>
              <w:rPr>
                <w:color w:val="000000"/>
                <w:sz w:val="20"/>
              </w:rPr>
            </w:pPr>
            <w:r w:rsidRPr="008322D1">
              <w:rPr>
                <w:color w:val="000000"/>
                <w:sz w:val="20"/>
              </w:rPr>
              <w:t>Female</w:t>
            </w:r>
          </w:p>
        </w:tc>
      </w:tr>
      <w:tr w:rsidR="001A4F1A" w:rsidRPr="008322D1" w14:paraId="02013C95" w14:textId="77777777" w:rsidTr="008322D1">
        <w:tc>
          <w:tcPr>
            <w:tcW w:w="2977" w:type="dxa"/>
          </w:tcPr>
          <w:p w14:paraId="7DDCBD3B" w14:textId="1BF881A5" w:rsidR="001A4F1A" w:rsidRPr="008322D1" w:rsidRDefault="001A4F1A" w:rsidP="008322D1">
            <w:pPr>
              <w:suppressAutoHyphens/>
              <w:autoSpaceDE w:val="0"/>
              <w:autoSpaceDN w:val="0"/>
              <w:adjustRightInd w:val="0"/>
              <w:jc w:val="center"/>
              <w:rPr>
                <w:color w:val="000000"/>
                <w:sz w:val="20"/>
              </w:rPr>
            </w:pPr>
            <w:r w:rsidRPr="008322D1">
              <w:rPr>
                <w:color w:val="000000"/>
                <w:sz w:val="20"/>
              </w:rPr>
              <w:t>134</w:t>
            </w:r>
          </w:p>
        </w:tc>
        <w:tc>
          <w:tcPr>
            <w:tcW w:w="1069" w:type="dxa"/>
          </w:tcPr>
          <w:p w14:paraId="18548D27" w14:textId="77777777" w:rsidR="001A4F1A" w:rsidRPr="008322D1" w:rsidRDefault="001A4F1A" w:rsidP="008322D1">
            <w:pPr>
              <w:suppressAutoHyphens/>
              <w:autoSpaceDE w:val="0"/>
              <w:autoSpaceDN w:val="0"/>
              <w:adjustRightInd w:val="0"/>
              <w:jc w:val="center"/>
              <w:rPr>
                <w:color w:val="000000"/>
                <w:sz w:val="20"/>
              </w:rPr>
            </w:pPr>
            <w:r w:rsidRPr="008322D1">
              <w:rPr>
                <w:color w:val="000000"/>
                <w:sz w:val="20"/>
              </w:rPr>
              <w:t>126</w:t>
            </w:r>
          </w:p>
        </w:tc>
        <w:tc>
          <w:tcPr>
            <w:tcW w:w="1069" w:type="dxa"/>
          </w:tcPr>
          <w:p w14:paraId="7EB7C970" w14:textId="77777777" w:rsidR="001A4F1A" w:rsidRPr="008322D1" w:rsidRDefault="001A4F1A" w:rsidP="008322D1">
            <w:pPr>
              <w:suppressAutoHyphens/>
              <w:autoSpaceDE w:val="0"/>
              <w:autoSpaceDN w:val="0"/>
              <w:adjustRightInd w:val="0"/>
              <w:jc w:val="center"/>
              <w:rPr>
                <w:color w:val="000000"/>
                <w:sz w:val="20"/>
              </w:rPr>
            </w:pPr>
            <w:r w:rsidRPr="008322D1">
              <w:rPr>
                <w:color w:val="000000"/>
                <w:sz w:val="20"/>
              </w:rPr>
              <w:t>5</w:t>
            </w:r>
          </w:p>
        </w:tc>
        <w:tc>
          <w:tcPr>
            <w:tcW w:w="1193" w:type="dxa"/>
          </w:tcPr>
          <w:p w14:paraId="6BB7B756" w14:textId="77777777" w:rsidR="001A4F1A" w:rsidRPr="008322D1" w:rsidRDefault="001A4F1A" w:rsidP="008322D1">
            <w:pPr>
              <w:suppressAutoHyphens/>
              <w:autoSpaceDE w:val="0"/>
              <w:autoSpaceDN w:val="0"/>
              <w:adjustRightInd w:val="0"/>
              <w:jc w:val="center"/>
              <w:rPr>
                <w:color w:val="000000"/>
                <w:sz w:val="20"/>
              </w:rPr>
            </w:pPr>
            <w:r w:rsidRPr="008322D1">
              <w:rPr>
                <w:color w:val="000000"/>
                <w:sz w:val="20"/>
              </w:rPr>
              <w:t>3</w:t>
            </w:r>
          </w:p>
        </w:tc>
      </w:tr>
    </w:tbl>
    <w:p w14:paraId="047DC79F" w14:textId="77777777" w:rsidR="001A4F1A" w:rsidRDefault="001A4F1A" w:rsidP="00E858EF">
      <w:pPr>
        <w:pStyle w:val="Testofumetto"/>
        <w:suppressAutoHyphens/>
      </w:pPr>
    </w:p>
    <w:p w14:paraId="685FC7AC" w14:textId="38B2F28A" w:rsidR="001A4F1A" w:rsidRPr="00722DA7" w:rsidRDefault="001A4F1A" w:rsidP="00E858EF">
      <w:pPr>
        <w:pStyle w:val="Testofumetto"/>
        <w:suppressAutoHyphens/>
      </w:pPr>
      <w:bookmarkStart w:id="687" w:name="_Toc520212576"/>
      <w:r w:rsidRPr="00722DA7">
        <w:t>Table 4</w:t>
      </w:r>
      <w:r>
        <w:t xml:space="preserve">-6 </w:t>
      </w:r>
      <w:r w:rsidRPr="00BC186A">
        <w:t xml:space="preserve">Number of skeletal </w:t>
      </w:r>
      <w:r>
        <w:t xml:space="preserve">remains with information </w:t>
      </w:r>
      <w:r w:rsidR="00A4231C">
        <w:t xml:space="preserve">on </w:t>
      </w:r>
      <w:r>
        <w:t>age</w:t>
      </w:r>
      <w:r w:rsidR="00942894">
        <w:t>,</w:t>
      </w:r>
      <w:r>
        <w:t xml:space="preserve"> Mid-West area</w:t>
      </w:r>
      <w:bookmarkEnd w:id="687"/>
    </w:p>
    <w:tbl>
      <w:tblPr>
        <w:tblStyle w:val="Grigliatabella"/>
        <w:tblW w:w="8222" w:type="dxa"/>
        <w:tblInd w:w="250" w:type="dxa"/>
        <w:tblLook w:val="04A0" w:firstRow="1" w:lastRow="0" w:firstColumn="1" w:lastColumn="0" w:noHBand="0" w:noVBand="1"/>
      </w:tblPr>
      <w:tblGrid>
        <w:gridCol w:w="2376"/>
        <w:gridCol w:w="1096"/>
        <w:gridCol w:w="1118"/>
        <w:gridCol w:w="1118"/>
        <w:gridCol w:w="1118"/>
        <w:gridCol w:w="1396"/>
      </w:tblGrid>
      <w:tr w:rsidR="001A4F1A" w:rsidRPr="008322D1" w14:paraId="56E47FA3" w14:textId="77777777" w:rsidTr="008322D1">
        <w:tc>
          <w:tcPr>
            <w:tcW w:w="2376" w:type="dxa"/>
          </w:tcPr>
          <w:p w14:paraId="3D7C0910" w14:textId="606A6161" w:rsidR="001A4F1A" w:rsidRPr="008322D1" w:rsidRDefault="008322D1" w:rsidP="008322D1">
            <w:pPr>
              <w:suppressAutoHyphens/>
              <w:autoSpaceDE w:val="0"/>
              <w:autoSpaceDN w:val="0"/>
              <w:adjustRightInd w:val="0"/>
              <w:jc w:val="center"/>
              <w:rPr>
                <w:color w:val="000000"/>
                <w:sz w:val="20"/>
              </w:rPr>
            </w:pPr>
            <w:r w:rsidRPr="008322D1">
              <w:rPr>
                <w:color w:val="000000"/>
                <w:sz w:val="20"/>
              </w:rPr>
              <w:t>Total number of skeletal remains</w:t>
            </w:r>
          </w:p>
        </w:tc>
        <w:tc>
          <w:tcPr>
            <w:tcW w:w="1096" w:type="dxa"/>
          </w:tcPr>
          <w:p w14:paraId="5A747178" w14:textId="213C8C6A" w:rsidR="001A4F1A" w:rsidRPr="008322D1" w:rsidRDefault="008322D1" w:rsidP="008322D1">
            <w:pPr>
              <w:suppressAutoHyphens/>
              <w:autoSpaceDE w:val="0"/>
              <w:autoSpaceDN w:val="0"/>
              <w:adjustRightInd w:val="0"/>
              <w:jc w:val="center"/>
              <w:rPr>
                <w:color w:val="000000"/>
                <w:sz w:val="20"/>
              </w:rPr>
            </w:pPr>
            <w:r w:rsidRPr="008322D1">
              <w:rPr>
                <w:color w:val="000000"/>
                <w:sz w:val="20"/>
              </w:rPr>
              <w:t>No info</w:t>
            </w:r>
          </w:p>
        </w:tc>
        <w:tc>
          <w:tcPr>
            <w:tcW w:w="1118" w:type="dxa"/>
          </w:tcPr>
          <w:p w14:paraId="4031ED73" w14:textId="73EBD2F5" w:rsidR="001A4F1A" w:rsidRPr="008322D1" w:rsidRDefault="008322D1" w:rsidP="008322D1">
            <w:pPr>
              <w:suppressAutoHyphens/>
              <w:autoSpaceDE w:val="0"/>
              <w:autoSpaceDN w:val="0"/>
              <w:adjustRightInd w:val="0"/>
              <w:jc w:val="center"/>
              <w:rPr>
                <w:color w:val="000000"/>
                <w:sz w:val="20"/>
              </w:rPr>
            </w:pPr>
            <w:r w:rsidRPr="008322D1">
              <w:rPr>
                <w:color w:val="000000"/>
                <w:sz w:val="20"/>
              </w:rPr>
              <w:t>Adult</w:t>
            </w:r>
          </w:p>
        </w:tc>
        <w:tc>
          <w:tcPr>
            <w:tcW w:w="1118" w:type="dxa"/>
          </w:tcPr>
          <w:p w14:paraId="566F1AFC" w14:textId="258C4D86" w:rsidR="001A4F1A" w:rsidRPr="008322D1" w:rsidRDefault="008322D1" w:rsidP="008322D1">
            <w:pPr>
              <w:suppressAutoHyphens/>
              <w:autoSpaceDE w:val="0"/>
              <w:autoSpaceDN w:val="0"/>
              <w:adjustRightInd w:val="0"/>
              <w:jc w:val="center"/>
              <w:rPr>
                <w:color w:val="000000"/>
                <w:sz w:val="20"/>
              </w:rPr>
            </w:pPr>
            <w:r w:rsidRPr="008322D1">
              <w:rPr>
                <w:color w:val="000000"/>
                <w:sz w:val="20"/>
              </w:rPr>
              <w:t>Young</w:t>
            </w:r>
          </w:p>
        </w:tc>
        <w:tc>
          <w:tcPr>
            <w:tcW w:w="1118" w:type="dxa"/>
          </w:tcPr>
          <w:p w14:paraId="7F6B16F3" w14:textId="5C52CC27" w:rsidR="001A4F1A" w:rsidRPr="008322D1" w:rsidRDefault="008322D1" w:rsidP="008322D1">
            <w:pPr>
              <w:suppressAutoHyphens/>
              <w:autoSpaceDE w:val="0"/>
              <w:autoSpaceDN w:val="0"/>
              <w:adjustRightInd w:val="0"/>
              <w:jc w:val="center"/>
              <w:rPr>
                <w:color w:val="000000"/>
                <w:sz w:val="20"/>
              </w:rPr>
            </w:pPr>
            <w:r w:rsidRPr="008322D1">
              <w:rPr>
                <w:color w:val="000000"/>
                <w:sz w:val="20"/>
              </w:rPr>
              <w:t>Child</w:t>
            </w:r>
          </w:p>
        </w:tc>
        <w:tc>
          <w:tcPr>
            <w:tcW w:w="1396" w:type="dxa"/>
          </w:tcPr>
          <w:p w14:paraId="1DE46C66" w14:textId="089FD760" w:rsidR="000F1DC9" w:rsidRPr="008322D1" w:rsidRDefault="008322D1" w:rsidP="008322D1">
            <w:pPr>
              <w:suppressAutoHyphens/>
              <w:autoSpaceDE w:val="0"/>
              <w:autoSpaceDN w:val="0"/>
              <w:adjustRightInd w:val="0"/>
              <w:jc w:val="center"/>
              <w:rPr>
                <w:color w:val="000000"/>
                <w:sz w:val="20"/>
              </w:rPr>
            </w:pPr>
            <w:r w:rsidRPr="008322D1">
              <w:rPr>
                <w:color w:val="000000"/>
                <w:sz w:val="20"/>
              </w:rPr>
              <w:t>Baby/</w:t>
            </w:r>
          </w:p>
          <w:p w14:paraId="4A5C6D93" w14:textId="2C167CD9" w:rsidR="001A4F1A" w:rsidRPr="008322D1" w:rsidRDefault="008322D1" w:rsidP="008322D1">
            <w:pPr>
              <w:suppressAutoHyphens/>
              <w:autoSpaceDE w:val="0"/>
              <w:autoSpaceDN w:val="0"/>
              <w:adjustRightInd w:val="0"/>
              <w:jc w:val="center"/>
              <w:rPr>
                <w:color w:val="000000"/>
                <w:sz w:val="20"/>
              </w:rPr>
            </w:pPr>
            <w:r w:rsidRPr="008322D1">
              <w:rPr>
                <w:color w:val="000000"/>
                <w:sz w:val="20"/>
              </w:rPr>
              <w:t>Embryo</w:t>
            </w:r>
          </w:p>
        </w:tc>
      </w:tr>
      <w:tr w:rsidR="001A4F1A" w:rsidRPr="008322D1" w14:paraId="25CFF8F5" w14:textId="77777777" w:rsidTr="008322D1">
        <w:tc>
          <w:tcPr>
            <w:tcW w:w="2376" w:type="dxa"/>
          </w:tcPr>
          <w:p w14:paraId="170164E3" w14:textId="75C05CE2" w:rsidR="001A4F1A" w:rsidRPr="008322D1" w:rsidRDefault="001A4F1A" w:rsidP="008322D1">
            <w:pPr>
              <w:suppressAutoHyphens/>
              <w:autoSpaceDE w:val="0"/>
              <w:autoSpaceDN w:val="0"/>
              <w:adjustRightInd w:val="0"/>
              <w:jc w:val="center"/>
              <w:rPr>
                <w:color w:val="000000"/>
                <w:sz w:val="20"/>
              </w:rPr>
            </w:pPr>
            <w:r w:rsidRPr="008322D1">
              <w:rPr>
                <w:color w:val="000000"/>
                <w:sz w:val="20"/>
              </w:rPr>
              <w:t>134</w:t>
            </w:r>
          </w:p>
        </w:tc>
        <w:tc>
          <w:tcPr>
            <w:tcW w:w="1096" w:type="dxa"/>
          </w:tcPr>
          <w:p w14:paraId="2B8815AF" w14:textId="77777777" w:rsidR="001A4F1A" w:rsidRPr="008322D1" w:rsidRDefault="001A4F1A" w:rsidP="008322D1">
            <w:pPr>
              <w:suppressAutoHyphens/>
              <w:autoSpaceDE w:val="0"/>
              <w:autoSpaceDN w:val="0"/>
              <w:adjustRightInd w:val="0"/>
              <w:jc w:val="center"/>
              <w:rPr>
                <w:color w:val="000000"/>
                <w:sz w:val="20"/>
              </w:rPr>
            </w:pPr>
            <w:r w:rsidRPr="008322D1">
              <w:rPr>
                <w:color w:val="000000"/>
                <w:sz w:val="20"/>
              </w:rPr>
              <w:t>119</w:t>
            </w:r>
          </w:p>
        </w:tc>
        <w:tc>
          <w:tcPr>
            <w:tcW w:w="1118" w:type="dxa"/>
          </w:tcPr>
          <w:p w14:paraId="1EB49D6A" w14:textId="77777777" w:rsidR="001A4F1A" w:rsidRPr="008322D1" w:rsidRDefault="001A4F1A" w:rsidP="008322D1">
            <w:pPr>
              <w:suppressAutoHyphens/>
              <w:autoSpaceDE w:val="0"/>
              <w:autoSpaceDN w:val="0"/>
              <w:adjustRightInd w:val="0"/>
              <w:jc w:val="center"/>
              <w:rPr>
                <w:color w:val="000000"/>
                <w:sz w:val="20"/>
              </w:rPr>
            </w:pPr>
            <w:r w:rsidRPr="008322D1">
              <w:rPr>
                <w:color w:val="000000"/>
                <w:sz w:val="20"/>
              </w:rPr>
              <w:t>8</w:t>
            </w:r>
          </w:p>
        </w:tc>
        <w:tc>
          <w:tcPr>
            <w:tcW w:w="1118" w:type="dxa"/>
          </w:tcPr>
          <w:p w14:paraId="12079FE3" w14:textId="77777777" w:rsidR="001A4F1A" w:rsidRPr="008322D1" w:rsidRDefault="001A4F1A" w:rsidP="008322D1">
            <w:pPr>
              <w:suppressAutoHyphens/>
              <w:autoSpaceDE w:val="0"/>
              <w:autoSpaceDN w:val="0"/>
              <w:adjustRightInd w:val="0"/>
              <w:jc w:val="center"/>
              <w:rPr>
                <w:color w:val="000000"/>
                <w:sz w:val="20"/>
              </w:rPr>
            </w:pPr>
            <w:r w:rsidRPr="008322D1">
              <w:rPr>
                <w:color w:val="000000"/>
                <w:sz w:val="20"/>
              </w:rPr>
              <w:t>1</w:t>
            </w:r>
          </w:p>
        </w:tc>
        <w:tc>
          <w:tcPr>
            <w:tcW w:w="1118" w:type="dxa"/>
          </w:tcPr>
          <w:p w14:paraId="498D79AB" w14:textId="77777777" w:rsidR="001A4F1A" w:rsidRPr="008322D1" w:rsidRDefault="001A4F1A" w:rsidP="008322D1">
            <w:pPr>
              <w:suppressAutoHyphens/>
              <w:autoSpaceDE w:val="0"/>
              <w:autoSpaceDN w:val="0"/>
              <w:adjustRightInd w:val="0"/>
              <w:jc w:val="center"/>
              <w:rPr>
                <w:color w:val="000000"/>
                <w:sz w:val="20"/>
              </w:rPr>
            </w:pPr>
            <w:r w:rsidRPr="008322D1">
              <w:rPr>
                <w:color w:val="000000"/>
                <w:sz w:val="20"/>
              </w:rPr>
              <w:t>3</w:t>
            </w:r>
          </w:p>
        </w:tc>
        <w:tc>
          <w:tcPr>
            <w:tcW w:w="1396" w:type="dxa"/>
          </w:tcPr>
          <w:p w14:paraId="5381636C" w14:textId="77777777" w:rsidR="001A4F1A" w:rsidRPr="008322D1" w:rsidRDefault="001A4F1A" w:rsidP="008322D1">
            <w:pPr>
              <w:suppressAutoHyphens/>
              <w:autoSpaceDE w:val="0"/>
              <w:autoSpaceDN w:val="0"/>
              <w:adjustRightInd w:val="0"/>
              <w:jc w:val="center"/>
              <w:rPr>
                <w:color w:val="000000"/>
                <w:sz w:val="20"/>
              </w:rPr>
            </w:pPr>
            <w:r w:rsidRPr="008322D1">
              <w:rPr>
                <w:color w:val="000000"/>
                <w:sz w:val="20"/>
              </w:rPr>
              <w:t>3</w:t>
            </w:r>
          </w:p>
        </w:tc>
      </w:tr>
    </w:tbl>
    <w:p w14:paraId="368E96DC" w14:textId="77777777" w:rsidR="001A4F1A" w:rsidRPr="00722DA7" w:rsidRDefault="001A4F1A" w:rsidP="00E858EF">
      <w:pPr>
        <w:suppressAutoHyphens/>
        <w:autoSpaceDE w:val="0"/>
        <w:autoSpaceDN w:val="0"/>
        <w:adjustRightInd w:val="0"/>
        <w:rPr>
          <w:color w:val="000000"/>
          <w:sz w:val="20"/>
          <w:szCs w:val="20"/>
        </w:rPr>
      </w:pPr>
    </w:p>
    <w:p w14:paraId="173E572E" w14:textId="77777777" w:rsidR="001A4F1A" w:rsidRPr="00D6101B" w:rsidRDefault="001A4F1A" w:rsidP="00E858EF">
      <w:pPr>
        <w:suppressAutoHyphens/>
        <w:autoSpaceDE w:val="0"/>
        <w:autoSpaceDN w:val="0"/>
        <w:adjustRightInd w:val="0"/>
        <w:rPr>
          <w:color w:val="000000"/>
        </w:rPr>
      </w:pPr>
    </w:p>
    <w:p w14:paraId="4DA350B5" w14:textId="77777777" w:rsidR="001A4F1A" w:rsidRPr="00D6101B" w:rsidRDefault="001A4F1A" w:rsidP="00E858EF">
      <w:pPr>
        <w:suppressAutoHyphens/>
        <w:autoSpaceDE w:val="0"/>
        <w:autoSpaceDN w:val="0"/>
        <w:adjustRightInd w:val="0"/>
        <w:rPr>
          <w:color w:val="000000"/>
        </w:rPr>
      </w:pPr>
      <w:r w:rsidRPr="001A5329">
        <w:rPr>
          <w:noProof/>
        </w:rPr>
        <w:t xml:space="preserve"> </w:t>
      </w:r>
      <w:r>
        <w:rPr>
          <w:noProof/>
          <w:lang w:val="it-IT"/>
        </w:rPr>
        <w:drawing>
          <wp:inline distT="0" distB="0" distL="0" distR="0" wp14:anchorId="0AE5CFF0" wp14:editId="000ABD9F">
            <wp:extent cx="5295331" cy="2519680"/>
            <wp:effectExtent l="0" t="0" r="635" b="13970"/>
            <wp:docPr id="63" name="Gra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D5C1729" w14:textId="1B80F0AF" w:rsidR="001A4F1A" w:rsidRDefault="001A4F1A" w:rsidP="00E858EF">
      <w:pPr>
        <w:pStyle w:val="Didascalia"/>
        <w:suppressAutoHyphens/>
      </w:pPr>
      <w:bookmarkStart w:id="688" w:name="_Toc520212341"/>
      <w:r w:rsidRPr="00722DA7">
        <w:t>Fig</w:t>
      </w:r>
      <w:r>
        <w:t>ure</w:t>
      </w:r>
      <w:r w:rsidRPr="00722DA7">
        <w:t xml:space="preserve"> 4</w:t>
      </w:r>
      <w:r>
        <w:t>-</w:t>
      </w:r>
      <w:r w:rsidRPr="00722DA7">
        <w:t>4</w:t>
      </w:r>
      <w:r w:rsidR="005539B9">
        <w:t>.</w:t>
      </w:r>
      <w:r>
        <w:t xml:space="preserve"> Number of skeletal remains with information </w:t>
      </w:r>
      <w:r w:rsidR="00A4231C">
        <w:t xml:space="preserve">on </w:t>
      </w:r>
      <w:r>
        <w:t>gender</w:t>
      </w:r>
      <w:r w:rsidR="00942894">
        <w:t>,</w:t>
      </w:r>
      <w:r>
        <w:t xml:space="preserve"> Mid-West area</w:t>
      </w:r>
      <w:bookmarkEnd w:id="688"/>
    </w:p>
    <w:p w14:paraId="23CE7776" w14:textId="77777777" w:rsidR="000F1DC9" w:rsidRPr="000F1DC9" w:rsidRDefault="000F1DC9" w:rsidP="00E858EF">
      <w:pPr>
        <w:suppressAutoHyphens/>
      </w:pPr>
    </w:p>
    <w:p w14:paraId="20F1267C" w14:textId="77777777" w:rsidR="001A4F1A" w:rsidRDefault="001A4F1A" w:rsidP="00E858EF">
      <w:pPr>
        <w:suppressAutoHyphens/>
        <w:autoSpaceDE w:val="0"/>
        <w:autoSpaceDN w:val="0"/>
        <w:adjustRightInd w:val="0"/>
        <w:rPr>
          <w:color w:val="000000"/>
        </w:rPr>
      </w:pPr>
      <w:r>
        <w:rPr>
          <w:noProof/>
          <w:lang w:val="it-IT"/>
        </w:rPr>
        <w:drawing>
          <wp:inline distT="0" distB="0" distL="0" distR="0" wp14:anchorId="5E66B386" wp14:editId="34C8452C">
            <wp:extent cx="5104262" cy="2519680"/>
            <wp:effectExtent l="0" t="0" r="1270" b="13970"/>
            <wp:docPr id="66" name="Gra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Del="001A5329">
        <w:rPr>
          <w:noProof/>
        </w:rPr>
        <w:t xml:space="preserve"> </w:t>
      </w:r>
    </w:p>
    <w:p w14:paraId="5E5E2B6D" w14:textId="3C9E3554" w:rsidR="001A4F1A" w:rsidRPr="00722DA7" w:rsidRDefault="001A4F1A" w:rsidP="00E858EF">
      <w:pPr>
        <w:pStyle w:val="Didascalia"/>
        <w:suppressAutoHyphens/>
      </w:pPr>
      <w:bookmarkStart w:id="689" w:name="_Toc520212342"/>
      <w:r>
        <w:t>Figure</w:t>
      </w:r>
      <w:r w:rsidRPr="00722DA7">
        <w:t xml:space="preserve"> 4</w:t>
      </w:r>
      <w:r>
        <w:t>-5</w:t>
      </w:r>
      <w:r w:rsidR="005539B9">
        <w:t>.</w:t>
      </w:r>
      <w:r>
        <w:t xml:space="preserve"> Number of skeletal remains with information </w:t>
      </w:r>
      <w:r w:rsidR="00A4231C">
        <w:t xml:space="preserve">on </w:t>
      </w:r>
      <w:r>
        <w:t>age</w:t>
      </w:r>
      <w:r w:rsidR="00942894">
        <w:t>,</w:t>
      </w:r>
      <w:r>
        <w:t xml:space="preserve"> Mid-West area</w:t>
      </w:r>
      <w:bookmarkEnd w:id="689"/>
    </w:p>
    <w:p w14:paraId="5DB4E045" w14:textId="77777777" w:rsidR="001A4F1A" w:rsidRDefault="001A4F1A" w:rsidP="00E858EF">
      <w:pPr>
        <w:suppressAutoHyphens/>
        <w:autoSpaceDE w:val="0"/>
        <w:autoSpaceDN w:val="0"/>
        <w:adjustRightInd w:val="0"/>
      </w:pPr>
    </w:p>
    <w:p w14:paraId="2039C4CB" w14:textId="695B6736" w:rsidR="001A4F1A" w:rsidRPr="00D6101B" w:rsidRDefault="001A4F1A" w:rsidP="00E858EF">
      <w:pPr>
        <w:pStyle w:val="Titolo4"/>
        <w:keepNext w:val="0"/>
        <w:keepLines w:val="0"/>
        <w:suppressAutoHyphens/>
        <w:rPr>
          <w:color w:val="000000"/>
        </w:rPr>
      </w:pPr>
      <w:bookmarkStart w:id="690" w:name="_Toc517745303"/>
      <w:r w:rsidRPr="00D6101B">
        <w:t>Conclusions</w:t>
      </w:r>
      <w:bookmarkEnd w:id="690"/>
      <w:r w:rsidR="00CF7083">
        <w:t>,</w:t>
      </w:r>
      <w:r w:rsidR="000F1DC9">
        <w:t xml:space="preserve"> Mid-West </w:t>
      </w:r>
      <w:r w:rsidR="00D02AAA">
        <w:t>area</w:t>
      </w:r>
    </w:p>
    <w:p w14:paraId="633F541F" w14:textId="77777777" w:rsidR="001A4F1A" w:rsidRPr="00D6101B" w:rsidRDefault="001A4F1A" w:rsidP="00E858EF">
      <w:pPr>
        <w:suppressAutoHyphens/>
        <w:autoSpaceDE w:val="0"/>
        <w:autoSpaceDN w:val="0"/>
        <w:adjustRightInd w:val="0"/>
        <w:rPr>
          <w:color w:val="000000"/>
        </w:rPr>
      </w:pPr>
      <w:r>
        <w:rPr>
          <w:color w:val="000000"/>
        </w:rPr>
        <w:t>Based on</w:t>
      </w:r>
      <w:r w:rsidRPr="00D6101B">
        <w:rPr>
          <w:color w:val="000000"/>
        </w:rPr>
        <w:t xml:space="preserve"> the information about burial depositio</w:t>
      </w:r>
      <w:r>
        <w:rPr>
          <w:color w:val="000000"/>
        </w:rPr>
        <w:t>ns and skeletal remains in the Mid-West</w:t>
      </w:r>
      <w:r w:rsidRPr="00D6101B">
        <w:rPr>
          <w:color w:val="000000"/>
        </w:rPr>
        <w:t xml:space="preserve"> region</w:t>
      </w:r>
      <w:r>
        <w:rPr>
          <w:color w:val="000000"/>
        </w:rPr>
        <w:t>,</w:t>
      </w:r>
      <w:r w:rsidRPr="00D6101B">
        <w:rPr>
          <w:color w:val="000000"/>
        </w:rPr>
        <w:t xml:space="preserve"> it </w:t>
      </w:r>
      <w:r>
        <w:rPr>
          <w:color w:val="000000"/>
        </w:rPr>
        <w:t>is</w:t>
      </w:r>
      <w:r w:rsidRPr="00D6101B">
        <w:rPr>
          <w:color w:val="000000"/>
        </w:rPr>
        <w:t xml:space="preserve"> worth try</w:t>
      </w:r>
      <w:r>
        <w:rPr>
          <w:color w:val="000000"/>
        </w:rPr>
        <w:t>ing</w:t>
      </w:r>
      <w:r w:rsidRPr="00D6101B">
        <w:rPr>
          <w:color w:val="000000"/>
        </w:rPr>
        <w:t xml:space="preserve"> to reconstruct a possible general pattern in terms of burial practices. The association of larnakes with primary burials, and floor and pit deposition</w:t>
      </w:r>
      <w:r>
        <w:rPr>
          <w:color w:val="000000"/>
        </w:rPr>
        <w:t>s mainly</w:t>
      </w:r>
      <w:r w:rsidRPr="00D6101B">
        <w:rPr>
          <w:color w:val="000000"/>
        </w:rPr>
        <w:t xml:space="preserve"> with secondary burials, </w:t>
      </w:r>
      <w:r>
        <w:rPr>
          <w:color w:val="000000"/>
        </w:rPr>
        <w:t xml:space="preserve">suggests an interpretation that </w:t>
      </w:r>
      <w:r w:rsidRPr="00D6101B">
        <w:rPr>
          <w:color w:val="000000"/>
        </w:rPr>
        <w:t xml:space="preserve">larnakes </w:t>
      </w:r>
      <w:r>
        <w:rPr>
          <w:color w:val="000000"/>
        </w:rPr>
        <w:t xml:space="preserve">were </w:t>
      </w:r>
      <w:r w:rsidRPr="00D6101B">
        <w:rPr>
          <w:color w:val="000000"/>
        </w:rPr>
        <w:t xml:space="preserve">used either for </w:t>
      </w:r>
      <w:r>
        <w:rPr>
          <w:color w:val="000000"/>
        </w:rPr>
        <w:t>single burials (e.g</w:t>
      </w:r>
      <w:r w:rsidRPr="00D6101B">
        <w:rPr>
          <w:color w:val="000000"/>
        </w:rPr>
        <w:t>. Maroulas</w:t>
      </w:r>
      <w:r>
        <w:rPr>
          <w:color w:val="000000"/>
        </w:rPr>
        <w:t>: Papadopoulou 2017</w:t>
      </w:r>
      <w:r w:rsidRPr="00D6101B">
        <w:rPr>
          <w:color w:val="000000"/>
        </w:rPr>
        <w:t xml:space="preserve">) </w:t>
      </w:r>
      <w:r>
        <w:rPr>
          <w:color w:val="000000"/>
        </w:rPr>
        <w:t xml:space="preserve">or being </w:t>
      </w:r>
      <w:r w:rsidRPr="00D6101B">
        <w:rPr>
          <w:color w:val="000000"/>
        </w:rPr>
        <w:t xml:space="preserve">reused for more than a single burial. </w:t>
      </w:r>
      <w:r>
        <w:rPr>
          <w:color w:val="000000"/>
        </w:rPr>
        <w:t>Thus</w:t>
      </w:r>
      <w:r w:rsidRPr="00D6101B">
        <w:rPr>
          <w:color w:val="000000"/>
        </w:rPr>
        <w:t>, it is possible that</w:t>
      </w:r>
      <w:r>
        <w:rPr>
          <w:color w:val="000000"/>
        </w:rPr>
        <w:t>,</w:t>
      </w:r>
      <w:r w:rsidRPr="00D6101B">
        <w:rPr>
          <w:color w:val="000000"/>
        </w:rPr>
        <w:t xml:space="preserve"> when needed</w:t>
      </w:r>
      <w:r>
        <w:rPr>
          <w:color w:val="000000"/>
        </w:rPr>
        <w:t>,</w:t>
      </w:r>
      <w:r w:rsidRPr="00D6101B">
        <w:rPr>
          <w:color w:val="000000"/>
        </w:rPr>
        <w:t xml:space="preserve"> the larnax was emptied, reused and the bones of the previous burials deposited on the floor or in </w:t>
      </w:r>
      <w:r>
        <w:rPr>
          <w:color w:val="000000"/>
        </w:rPr>
        <w:t xml:space="preserve">a </w:t>
      </w:r>
      <w:r w:rsidRPr="00D6101B">
        <w:rPr>
          <w:color w:val="000000"/>
        </w:rPr>
        <w:t>pit. This means that</w:t>
      </w:r>
      <w:r>
        <w:rPr>
          <w:color w:val="000000"/>
        </w:rPr>
        <w:t>,</w:t>
      </w:r>
      <w:r w:rsidRPr="00D6101B">
        <w:rPr>
          <w:color w:val="000000"/>
        </w:rPr>
        <w:t xml:space="preserve"> in some cases</w:t>
      </w:r>
      <w:r>
        <w:rPr>
          <w:color w:val="000000"/>
        </w:rPr>
        <w:t>,</w:t>
      </w:r>
      <w:r w:rsidRPr="00D6101B">
        <w:rPr>
          <w:color w:val="000000"/>
        </w:rPr>
        <w:t xml:space="preserve"> the tomb was reopened many times, and</w:t>
      </w:r>
      <w:r>
        <w:rPr>
          <w:color w:val="000000"/>
        </w:rPr>
        <w:t>,</w:t>
      </w:r>
      <w:r w:rsidRPr="00D6101B">
        <w:rPr>
          <w:color w:val="000000"/>
        </w:rPr>
        <w:t xml:space="preserve"> furthermore</w:t>
      </w:r>
      <w:r>
        <w:rPr>
          <w:color w:val="000000"/>
        </w:rPr>
        <w:t>,</w:t>
      </w:r>
      <w:r w:rsidRPr="00D6101B">
        <w:rPr>
          <w:color w:val="000000"/>
        </w:rPr>
        <w:t xml:space="preserve"> the larnax itself and </w:t>
      </w:r>
      <w:r>
        <w:rPr>
          <w:color w:val="000000"/>
        </w:rPr>
        <w:t xml:space="preserve">the </w:t>
      </w:r>
      <w:r w:rsidRPr="00D6101B">
        <w:rPr>
          <w:color w:val="000000"/>
        </w:rPr>
        <w:t>skeletal remains and relat</w:t>
      </w:r>
      <w:r>
        <w:rPr>
          <w:color w:val="000000"/>
        </w:rPr>
        <w:t>ed</w:t>
      </w:r>
      <w:r w:rsidRPr="00D6101B">
        <w:rPr>
          <w:color w:val="000000"/>
        </w:rPr>
        <w:t xml:space="preserve"> grave goods assemblage were rearranged and moved within the tomb. Consequently, it is possible that</w:t>
      </w:r>
      <w:r>
        <w:rPr>
          <w:color w:val="000000"/>
        </w:rPr>
        <w:t>,</w:t>
      </w:r>
      <w:r w:rsidRPr="00D6101B">
        <w:rPr>
          <w:color w:val="000000"/>
        </w:rPr>
        <w:t xml:space="preserve"> in the vast majority of cases</w:t>
      </w:r>
      <w:r>
        <w:rPr>
          <w:color w:val="000000"/>
        </w:rPr>
        <w:t>,</w:t>
      </w:r>
      <w:r w:rsidRPr="00D6101B">
        <w:rPr>
          <w:color w:val="000000"/>
        </w:rPr>
        <w:t xml:space="preserve"> the burial that we </w:t>
      </w:r>
      <w:r>
        <w:rPr>
          <w:color w:val="000000"/>
        </w:rPr>
        <w:t xml:space="preserve">have </w:t>
      </w:r>
      <w:r w:rsidRPr="00D6101B">
        <w:rPr>
          <w:color w:val="000000"/>
        </w:rPr>
        <w:t>found associated with larna</w:t>
      </w:r>
      <w:r>
        <w:rPr>
          <w:color w:val="000000"/>
        </w:rPr>
        <w:t>kes</w:t>
      </w:r>
      <w:r w:rsidRPr="00D6101B">
        <w:rPr>
          <w:color w:val="000000"/>
        </w:rPr>
        <w:t xml:space="preserve"> represent the </w:t>
      </w:r>
      <w:r>
        <w:rPr>
          <w:color w:val="000000"/>
        </w:rPr>
        <w:t>final</w:t>
      </w:r>
      <w:r w:rsidRPr="00D6101B">
        <w:rPr>
          <w:color w:val="000000"/>
        </w:rPr>
        <w:t xml:space="preserve"> deposition wi</w:t>
      </w:r>
      <w:r>
        <w:rPr>
          <w:color w:val="000000"/>
        </w:rPr>
        <w:t>thin the chronological sequence.</w:t>
      </w:r>
    </w:p>
    <w:p w14:paraId="0F8B01D5" w14:textId="77777777" w:rsidR="001A4F1A" w:rsidRPr="00D6101B" w:rsidRDefault="001A4F1A" w:rsidP="00E858EF">
      <w:pPr>
        <w:suppressAutoHyphens/>
        <w:autoSpaceDE w:val="0"/>
        <w:autoSpaceDN w:val="0"/>
        <w:adjustRightInd w:val="0"/>
        <w:rPr>
          <w:color w:val="000000"/>
        </w:rPr>
      </w:pPr>
      <w:r>
        <w:rPr>
          <w:color w:val="000000"/>
        </w:rPr>
        <w:tab/>
        <w:t>However,</w:t>
      </w:r>
      <w:r w:rsidRPr="00D6101B">
        <w:rPr>
          <w:color w:val="000000"/>
        </w:rPr>
        <w:t xml:space="preserve"> </w:t>
      </w:r>
      <w:r>
        <w:rPr>
          <w:color w:val="000000"/>
        </w:rPr>
        <w:t>this may</w:t>
      </w:r>
      <w:r w:rsidRPr="00D6101B">
        <w:rPr>
          <w:color w:val="000000"/>
        </w:rPr>
        <w:t xml:space="preserve"> not be the case, and the </w:t>
      </w:r>
      <w:r>
        <w:rPr>
          <w:color w:val="000000"/>
        </w:rPr>
        <w:t>final</w:t>
      </w:r>
      <w:r w:rsidRPr="00D6101B">
        <w:rPr>
          <w:color w:val="000000"/>
        </w:rPr>
        <w:t xml:space="preserve"> burial deposited within the tomb could be a floor burial, as happen</w:t>
      </w:r>
      <w:r>
        <w:rPr>
          <w:color w:val="000000"/>
        </w:rPr>
        <w:t>ed</w:t>
      </w:r>
      <w:r w:rsidRPr="00D6101B">
        <w:rPr>
          <w:color w:val="000000"/>
        </w:rPr>
        <w:t xml:space="preserve"> in </w:t>
      </w:r>
      <w:r>
        <w:rPr>
          <w:color w:val="000000"/>
        </w:rPr>
        <w:t>T</w:t>
      </w:r>
      <w:r w:rsidRPr="00D6101B">
        <w:rPr>
          <w:color w:val="000000"/>
        </w:rPr>
        <w:t>omb 6 at Armenoi</w:t>
      </w:r>
      <w:r>
        <w:rPr>
          <w:color w:val="000000"/>
        </w:rPr>
        <w:t xml:space="preserve"> (</w:t>
      </w:r>
      <w:r w:rsidRPr="007C4F07">
        <w:rPr>
          <w:i/>
          <w:color w:val="000000"/>
        </w:rPr>
        <w:t>ADelt</w:t>
      </w:r>
      <w:r w:rsidRPr="0084498E">
        <w:rPr>
          <w:color w:val="000000"/>
        </w:rPr>
        <w:t xml:space="preserve"> 25 1970: 277; </w:t>
      </w:r>
      <w:r w:rsidRPr="007C4F07">
        <w:rPr>
          <w:i/>
          <w:color w:val="000000"/>
        </w:rPr>
        <w:t>ADelt</w:t>
      </w:r>
      <w:r w:rsidRPr="0084498E">
        <w:rPr>
          <w:color w:val="000000"/>
        </w:rPr>
        <w:t xml:space="preserve"> 26 1971: 513; Löwe 1996: 262 n.813</w:t>
      </w:r>
      <w:r>
        <w:rPr>
          <w:color w:val="000000"/>
        </w:rPr>
        <w:t>)</w:t>
      </w:r>
      <w:r w:rsidRPr="00D6101B">
        <w:rPr>
          <w:color w:val="000000"/>
        </w:rPr>
        <w:t>. In</w:t>
      </w:r>
      <w:r>
        <w:rPr>
          <w:color w:val="000000"/>
        </w:rPr>
        <w:t xml:space="preserve"> this tomb, the secondary depositions</w:t>
      </w:r>
      <w:r w:rsidRPr="00D6101B">
        <w:rPr>
          <w:color w:val="000000"/>
        </w:rPr>
        <w:t xml:space="preserve"> in the larnax (fragmented bones) belong to </w:t>
      </w:r>
      <w:r>
        <w:rPr>
          <w:color w:val="000000"/>
        </w:rPr>
        <w:t xml:space="preserve">the </w:t>
      </w:r>
      <w:r w:rsidRPr="00D6101B">
        <w:rPr>
          <w:color w:val="000000"/>
        </w:rPr>
        <w:t>first phase of use (LM IIIB1)</w:t>
      </w:r>
      <w:r>
        <w:rPr>
          <w:color w:val="000000"/>
        </w:rPr>
        <w:t>.</w:t>
      </w:r>
      <w:r w:rsidRPr="00D6101B">
        <w:rPr>
          <w:color w:val="000000"/>
        </w:rPr>
        <w:t xml:space="preserve"> </w:t>
      </w:r>
      <w:r>
        <w:rPr>
          <w:color w:val="000000"/>
        </w:rPr>
        <w:t>T</w:t>
      </w:r>
      <w:r w:rsidRPr="00D6101B">
        <w:rPr>
          <w:color w:val="000000"/>
        </w:rPr>
        <w:t xml:space="preserve">o the following and </w:t>
      </w:r>
      <w:r>
        <w:rPr>
          <w:color w:val="000000"/>
        </w:rPr>
        <w:t>final</w:t>
      </w:r>
      <w:r w:rsidRPr="00D6101B">
        <w:rPr>
          <w:color w:val="000000"/>
        </w:rPr>
        <w:t xml:space="preserve"> phase belong the primary burials found on the floor and</w:t>
      </w:r>
      <w:r>
        <w:rPr>
          <w:color w:val="000000"/>
        </w:rPr>
        <w:t>,</w:t>
      </w:r>
      <w:r w:rsidRPr="00D6101B">
        <w:rPr>
          <w:color w:val="000000"/>
        </w:rPr>
        <w:t xml:space="preserve"> partially</w:t>
      </w:r>
      <w:r>
        <w:rPr>
          <w:color w:val="000000"/>
        </w:rPr>
        <w:t>,</w:t>
      </w:r>
      <w:r w:rsidRPr="00D6101B">
        <w:rPr>
          <w:color w:val="000000"/>
        </w:rPr>
        <w:t xml:space="preserve"> above the larnax (LM IIIB mature). </w:t>
      </w:r>
    </w:p>
    <w:p w14:paraId="62D1F050"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 xml:space="preserve">Tombs that </w:t>
      </w:r>
      <w:r>
        <w:rPr>
          <w:color w:val="000000"/>
        </w:rPr>
        <w:t>display</w:t>
      </w:r>
      <w:r w:rsidRPr="00D6101B">
        <w:rPr>
          <w:color w:val="000000"/>
        </w:rPr>
        <w:t xml:space="preserve"> evidence of single use (</w:t>
      </w:r>
      <w:r>
        <w:rPr>
          <w:color w:val="000000"/>
        </w:rPr>
        <w:t xml:space="preserve">i.e. they were </w:t>
      </w:r>
      <w:r w:rsidRPr="00D6101B">
        <w:rPr>
          <w:color w:val="000000"/>
        </w:rPr>
        <w:t xml:space="preserve">probably used only for one burial) are </w:t>
      </w:r>
      <w:r>
        <w:rPr>
          <w:color w:val="000000"/>
        </w:rPr>
        <w:t>highly</w:t>
      </w:r>
      <w:r w:rsidRPr="00D6101B">
        <w:rPr>
          <w:color w:val="000000"/>
        </w:rPr>
        <w:t xml:space="preserve"> important </w:t>
      </w:r>
      <w:r>
        <w:rPr>
          <w:color w:val="000000"/>
        </w:rPr>
        <w:t>for</w:t>
      </w:r>
      <w:r w:rsidRPr="00D6101B">
        <w:rPr>
          <w:color w:val="000000"/>
        </w:rPr>
        <w:t xml:space="preserve"> reconstruct</w:t>
      </w:r>
      <w:r>
        <w:rPr>
          <w:color w:val="000000"/>
        </w:rPr>
        <w:t>ing</w:t>
      </w:r>
      <w:r w:rsidRPr="00D6101B">
        <w:rPr>
          <w:color w:val="000000"/>
        </w:rPr>
        <w:t xml:space="preserve"> burial customs, because they </w:t>
      </w:r>
      <w:r>
        <w:rPr>
          <w:color w:val="000000"/>
        </w:rPr>
        <w:t>contain</w:t>
      </w:r>
      <w:r w:rsidRPr="00D6101B">
        <w:rPr>
          <w:color w:val="000000"/>
        </w:rPr>
        <w:t xml:space="preserve"> evidence of a context very similar </w:t>
      </w:r>
      <w:r>
        <w:rPr>
          <w:color w:val="000000"/>
        </w:rPr>
        <w:t>to that</w:t>
      </w:r>
      <w:r w:rsidRPr="00D6101B">
        <w:rPr>
          <w:color w:val="000000"/>
        </w:rPr>
        <w:t xml:space="preserve"> at the time of the funeral (Boyd 2014: 195; Papadopoulou</w:t>
      </w:r>
      <w:r>
        <w:rPr>
          <w:color w:val="000000"/>
        </w:rPr>
        <w:t xml:space="preserve"> 2017: 136). For the Mid-West</w:t>
      </w:r>
      <w:r w:rsidRPr="00D6101B">
        <w:rPr>
          <w:color w:val="000000"/>
        </w:rPr>
        <w:t xml:space="preserve"> region</w:t>
      </w:r>
      <w:r>
        <w:rPr>
          <w:color w:val="000000"/>
        </w:rPr>
        <w:t>,</w:t>
      </w:r>
      <w:r w:rsidRPr="00D6101B">
        <w:rPr>
          <w:color w:val="000000"/>
        </w:rPr>
        <w:t xml:space="preserve"> these tombs are</w:t>
      </w:r>
      <w:r>
        <w:rPr>
          <w:color w:val="000000"/>
        </w:rPr>
        <w:t xml:space="preserve"> as follows</w:t>
      </w:r>
      <w:r w:rsidRPr="00D6101B">
        <w:rPr>
          <w:color w:val="000000"/>
        </w:rPr>
        <w:t>:</w:t>
      </w:r>
    </w:p>
    <w:p w14:paraId="2AFD2626" w14:textId="77777777" w:rsidR="001A4F1A" w:rsidRPr="00D6101B" w:rsidRDefault="001A4F1A" w:rsidP="00E858EF">
      <w:pPr>
        <w:pStyle w:val="Paragrafoelenco"/>
        <w:numPr>
          <w:ilvl w:val="0"/>
          <w:numId w:val="59"/>
        </w:numPr>
        <w:suppressAutoHyphens/>
        <w:autoSpaceDE w:val="0"/>
        <w:autoSpaceDN w:val="0"/>
        <w:adjustRightInd w:val="0"/>
        <w:rPr>
          <w:color w:val="000000"/>
        </w:rPr>
      </w:pPr>
      <w:r>
        <w:rPr>
          <w:color w:val="000000"/>
        </w:rPr>
        <w:t>The c</w:t>
      </w:r>
      <w:r w:rsidRPr="00D6101B">
        <w:rPr>
          <w:color w:val="000000"/>
        </w:rPr>
        <w:t>hamber tomb at Apostoli</w:t>
      </w:r>
      <w:r>
        <w:rPr>
          <w:color w:val="000000"/>
        </w:rPr>
        <w:t xml:space="preserve"> (Gavrilakis 1994:</w:t>
      </w:r>
      <w:r w:rsidRPr="00B16595">
        <w:rPr>
          <w:color w:val="000000"/>
        </w:rPr>
        <w:t xml:space="preserve"> 31-59</w:t>
      </w:r>
      <w:r>
        <w:rPr>
          <w:color w:val="000000"/>
        </w:rPr>
        <w:t>)</w:t>
      </w:r>
      <w:r w:rsidRPr="00D6101B">
        <w:rPr>
          <w:color w:val="000000"/>
        </w:rPr>
        <w:t xml:space="preserve"> </w:t>
      </w:r>
    </w:p>
    <w:p w14:paraId="4CAD47A9" w14:textId="77777777" w:rsidR="001A4F1A" w:rsidRPr="00D6101B" w:rsidRDefault="001A4F1A" w:rsidP="00E858EF">
      <w:pPr>
        <w:pStyle w:val="Paragrafoelenco"/>
        <w:numPr>
          <w:ilvl w:val="0"/>
          <w:numId w:val="59"/>
        </w:numPr>
        <w:suppressAutoHyphens/>
        <w:autoSpaceDE w:val="0"/>
        <w:autoSpaceDN w:val="0"/>
        <w:adjustRightInd w:val="0"/>
        <w:rPr>
          <w:color w:val="000000"/>
        </w:rPr>
      </w:pPr>
      <w:r w:rsidRPr="00D6101B">
        <w:rPr>
          <w:color w:val="000000"/>
        </w:rPr>
        <w:t>Four chamber tombs at Maroulas Mezaria (tomb</w:t>
      </w:r>
      <w:r>
        <w:rPr>
          <w:color w:val="000000"/>
        </w:rPr>
        <w:t>s</w:t>
      </w:r>
      <w:r w:rsidRPr="00D6101B">
        <w:rPr>
          <w:color w:val="000000"/>
        </w:rPr>
        <w:t xml:space="preserve"> 1, 4, 7, 8, although tomb</w:t>
      </w:r>
      <w:r>
        <w:rPr>
          <w:color w:val="000000"/>
        </w:rPr>
        <w:t>s</w:t>
      </w:r>
      <w:r w:rsidRPr="00D6101B">
        <w:rPr>
          <w:color w:val="000000"/>
        </w:rPr>
        <w:t xml:space="preserve"> 1</w:t>
      </w:r>
      <w:r>
        <w:rPr>
          <w:color w:val="000000"/>
        </w:rPr>
        <w:t xml:space="preserve"> </w:t>
      </w:r>
      <w:r w:rsidRPr="00D6101B">
        <w:rPr>
          <w:color w:val="000000"/>
        </w:rPr>
        <w:t xml:space="preserve">and 4 </w:t>
      </w:r>
      <w:r>
        <w:rPr>
          <w:color w:val="000000"/>
        </w:rPr>
        <w:t>were</w:t>
      </w:r>
      <w:r w:rsidRPr="00D6101B">
        <w:rPr>
          <w:color w:val="000000"/>
        </w:rPr>
        <w:t xml:space="preserve"> disturbed</w:t>
      </w:r>
      <w:r>
        <w:rPr>
          <w:color w:val="000000"/>
        </w:rPr>
        <w:t>: see</w:t>
      </w:r>
      <w:r w:rsidRPr="00D6101B">
        <w:rPr>
          <w:color w:val="000000"/>
        </w:rPr>
        <w:t xml:space="preserve"> Papadopoulou 2017: 136 </w:t>
      </w:r>
      <w:r>
        <w:rPr>
          <w:color w:val="000000"/>
        </w:rPr>
        <w:t>T</w:t>
      </w:r>
      <w:r w:rsidRPr="00D6101B">
        <w:rPr>
          <w:color w:val="000000"/>
        </w:rPr>
        <w:t>able 2)</w:t>
      </w:r>
    </w:p>
    <w:p w14:paraId="2EA2FFA7" w14:textId="5D96ED67" w:rsidR="001A4F1A" w:rsidRDefault="001A4F1A"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rPr>
      </w:pPr>
      <w:r>
        <w:rPr>
          <w:color w:val="000000"/>
        </w:rPr>
        <w:tab/>
        <w:t>As yet, based on</w:t>
      </w:r>
      <w:r w:rsidRPr="00D6101B">
        <w:rPr>
          <w:color w:val="000000"/>
        </w:rPr>
        <w:t xml:space="preserve"> the sample available</w:t>
      </w:r>
      <w:r>
        <w:rPr>
          <w:color w:val="000000"/>
        </w:rPr>
        <w:t>,</w:t>
      </w:r>
      <w:r w:rsidRPr="00D6101B">
        <w:rPr>
          <w:color w:val="000000"/>
        </w:rPr>
        <w:t xml:space="preserve"> it is very difficult to formulate any hypothesis concerning the use of </w:t>
      </w:r>
      <w:r>
        <w:rPr>
          <w:color w:val="000000"/>
        </w:rPr>
        <w:t>larnakes</w:t>
      </w:r>
      <w:r w:rsidRPr="00D6101B">
        <w:rPr>
          <w:color w:val="000000"/>
        </w:rPr>
        <w:t xml:space="preserve"> in respect of </w:t>
      </w:r>
      <w:r>
        <w:rPr>
          <w:color w:val="000000"/>
        </w:rPr>
        <w:t xml:space="preserve">the </w:t>
      </w:r>
      <w:r w:rsidRPr="00D6101B">
        <w:rPr>
          <w:color w:val="000000"/>
        </w:rPr>
        <w:t>gender and</w:t>
      </w:r>
      <w:r>
        <w:rPr>
          <w:color w:val="000000"/>
        </w:rPr>
        <w:t xml:space="preserve"> </w:t>
      </w:r>
      <w:r w:rsidRPr="00D6101B">
        <w:rPr>
          <w:color w:val="000000"/>
        </w:rPr>
        <w:t>age of the individual buried</w:t>
      </w:r>
      <w:r>
        <w:rPr>
          <w:color w:val="000000"/>
        </w:rPr>
        <w:t>;</w:t>
      </w:r>
      <w:r w:rsidRPr="00D6101B">
        <w:rPr>
          <w:color w:val="000000"/>
        </w:rPr>
        <w:t xml:space="preserve"> </w:t>
      </w:r>
      <w:r>
        <w:rPr>
          <w:color w:val="000000"/>
        </w:rPr>
        <w:t>t</w:t>
      </w:r>
      <w:r w:rsidRPr="00D6101B">
        <w:rPr>
          <w:color w:val="000000"/>
        </w:rPr>
        <w:t xml:space="preserve">he frequent reuse of the coffins suggests that they possibly </w:t>
      </w:r>
      <w:r>
        <w:rPr>
          <w:color w:val="000000"/>
        </w:rPr>
        <w:t>do</w:t>
      </w:r>
      <w:r w:rsidRPr="00D6101B">
        <w:rPr>
          <w:color w:val="000000"/>
        </w:rPr>
        <w:t xml:space="preserve"> not have any close relation</w:t>
      </w:r>
      <w:r>
        <w:rPr>
          <w:color w:val="000000"/>
        </w:rPr>
        <w:t>ship</w:t>
      </w:r>
      <w:r w:rsidRPr="00D6101B">
        <w:rPr>
          <w:color w:val="000000"/>
        </w:rPr>
        <w:t>.</w:t>
      </w:r>
    </w:p>
    <w:p w14:paraId="4B0CB329" w14:textId="0CCD40B4" w:rsidR="001A4F1A" w:rsidRPr="00D6101B" w:rsidRDefault="001A4F1A" w:rsidP="00E858EF">
      <w:pPr>
        <w:pStyle w:val="Titolo3"/>
        <w:keepNext w:val="0"/>
        <w:keepLines w:val="0"/>
        <w:suppressAutoHyphens/>
      </w:pPr>
      <w:bookmarkStart w:id="691" w:name="_Toc517745304"/>
      <w:bookmarkStart w:id="692" w:name="_Toc519894652"/>
      <w:r w:rsidRPr="00D6101B">
        <w:t>Mesara</w:t>
      </w:r>
      <w:bookmarkEnd w:id="691"/>
      <w:bookmarkEnd w:id="692"/>
      <w:r w:rsidR="00942894">
        <w:t xml:space="preserve"> area</w:t>
      </w:r>
      <w:r w:rsidR="00D433EC">
        <w:t xml:space="preserve"> (skeletal remains)</w:t>
      </w:r>
    </w:p>
    <w:p w14:paraId="4141F8D9" w14:textId="32B8BE8D" w:rsidR="001A4F1A" w:rsidRPr="00D6101B" w:rsidRDefault="001A4F1A" w:rsidP="00E858EF">
      <w:pPr>
        <w:pStyle w:val="Titolo4"/>
        <w:keepNext w:val="0"/>
        <w:keepLines w:val="0"/>
        <w:suppressAutoHyphens/>
      </w:pPr>
      <w:bookmarkStart w:id="693" w:name="_Toc517745305"/>
      <w:r w:rsidRPr="00D6101B">
        <w:t xml:space="preserve">Mesara </w:t>
      </w:r>
      <w:r w:rsidR="00D02AAA">
        <w:t xml:space="preserve">area </w:t>
      </w:r>
      <w:r w:rsidRPr="00D6101B">
        <w:t>analysis</w:t>
      </w:r>
      <w:bookmarkEnd w:id="693"/>
      <w:r w:rsidRPr="00D6101B">
        <w:t xml:space="preserve"> </w:t>
      </w:r>
    </w:p>
    <w:p w14:paraId="1AF46537"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The minimum number of </w:t>
      </w:r>
      <w:r>
        <w:rPr>
          <w:color w:val="000000"/>
        </w:rPr>
        <w:t xml:space="preserve">secure </w:t>
      </w:r>
      <w:r w:rsidRPr="00D6101B">
        <w:rPr>
          <w:color w:val="000000"/>
        </w:rPr>
        <w:t xml:space="preserve">burials estimated for the sample of tombs with larnakes </w:t>
      </w:r>
      <w:r>
        <w:rPr>
          <w:color w:val="000000"/>
        </w:rPr>
        <w:t>is</w:t>
      </w:r>
      <w:r w:rsidRPr="00D6101B">
        <w:rPr>
          <w:color w:val="000000"/>
        </w:rPr>
        <w:t xml:space="preserve"> 180. </w:t>
      </w:r>
    </w:p>
    <w:p w14:paraId="03A05566" w14:textId="5DAB60CC" w:rsidR="001A4F1A" w:rsidRPr="00D6101B" w:rsidRDefault="001A4F1A" w:rsidP="00E858EF">
      <w:pPr>
        <w:pStyle w:val="Testofumetto"/>
        <w:suppressAutoHyphens/>
      </w:pPr>
      <w:bookmarkStart w:id="694" w:name="_Toc520212577"/>
      <w:r>
        <w:t>Table 4-7</w:t>
      </w:r>
      <w:r w:rsidR="00076F7A">
        <w:t>.</w:t>
      </w:r>
      <w:r>
        <w:t xml:space="preserve"> Information concerning number of burials in tombs with larnakes</w:t>
      </w:r>
      <w:r w:rsidR="00D433EC">
        <w:t>,</w:t>
      </w:r>
      <w:r>
        <w:t xml:space="preserve"> Mesara </w:t>
      </w:r>
      <w:bookmarkEnd w:id="694"/>
      <w:r w:rsidR="00D02AAA">
        <w:t>area</w:t>
      </w:r>
    </w:p>
    <w:tbl>
      <w:tblPr>
        <w:tblW w:w="836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3"/>
        <w:gridCol w:w="1394"/>
        <w:gridCol w:w="1394"/>
        <w:gridCol w:w="1394"/>
        <w:gridCol w:w="1394"/>
        <w:gridCol w:w="1394"/>
      </w:tblGrid>
      <w:tr w:rsidR="001A4F1A" w:rsidRPr="00CF7083" w14:paraId="41494BE4" w14:textId="77777777" w:rsidTr="00CF7083">
        <w:tc>
          <w:tcPr>
            <w:tcW w:w="1393" w:type="dxa"/>
          </w:tcPr>
          <w:p w14:paraId="38F8EDB7" w14:textId="1960E741" w:rsidR="001A4F1A" w:rsidRPr="00CF7083" w:rsidRDefault="001A4F1A" w:rsidP="00CF70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CF7083">
              <w:rPr>
                <w:color w:val="000000"/>
                <w:sz w:val="20"/>
              </w:rPr>
              <w:t>Total number of secure tombs with larnax</w:t>
            </w:r>
          </w:p>
        </w:tc>
        <w:tc>
          <w:tcPr>
            <w:tcW w:w="1394" w:type="dxa"/>
          </w:tcPr>
          <w:p w14:paraId="40C46025" w14:textId="77777777" w:rsidR="001A4F1A" w:rsidRPr="00CF7083" w:rsidRDefault="001A4F1A" w:rsidP="00CF70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CF7083">
              <w:rPr>
                <w:color w:val="000000"/>
                <w:sz w:val="20"/>
              </w:rPr>
              <w:t>Minimum number of estimated depositions</w:t>
            </w:r>
          </w:p>
        </w:tc>
        <w:tc>
          <w:tcPr>
            <w:tcW w:w="1394" w:type="dxa"/>
          </w:tcPr>
          <w:p w14:paraId="48A93D0A" w14:textId="77777777" w:rsidR="001A4F1A" w:rsidRPr="00CF7083" w:rsidRDefault="001A4F1A" w:rsidP="00CF70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CF7083">
              <w:rPr>
                <w:color w:val="000000"/>
                <w:sz w:val="20"/>
              </w:rPr>
              <w:t>Mean number of depositions per tomb</w:t>
            </w:r>
          </w:p>
        </w:tc>
        <w:tc>
          <w:tcPr>
            <w:tcW w:w="1394" w:type="dxa"/>
          </w:tcPr>
          <w:p w14:paraId="1F977B0E" w14:textId="77777777" w:rsidR="001A4F1A" w:rsidRPr="00CF7083" w:rsidRDefault="001A4F1A" w:rsidP="00CF70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CF7083">
              <w:rPr>
                <w:color w:val="000000"/>
                <w:sz w:val="20"/>
              </w:rPr>
              <w:t>Minimum number of estimated depositions per tomb</w:t>
            </w:r>
          </w:p>
        </w:tc>
        <w:tc>
          <w:tcPr>
            <w:tcW w:w="1394" w:type="dxa"/>
          </w:tcPr>
          <w:p w14:paraId="11589A6F" w14:textId="77777777" w:rsidR="001A4F1A" w:rsidRPr="00CF7083" w:rsidRDefault="001A4F1A" w:rsidP="00CF70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CF7083">
              <w:rPr>
                <w:color w:val="000000"/>
                <w:sz w:val="20"/>
              </w:rPr>
              <w:t>Maximum number of estimated depositions per tomb</w:t>
            </w:r>
          </w:p>
        </w:tc>
        <w:tc>
          <w:tcPr>
            <w:tcW w:w="1394" w:type="dxa"/>
          </w:tcPr>
          <w:p w14:paraId="0F295FB5" w14:textId="77777777" w:rsidR="001A4F1A" w:rsidRPr="00CF7083" w:rsidRDefault="001A4F1A" w:rsidP="00CF70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CF7083">
              <w:rPr>
                <w:color w:val="000000"/>
                <w:sz w:val="20"/>
              </w:rPr>
              <w:t>Maximum number of larnakes per tomb</w:t>
            </w:r>
          </w:p>
        </w:tc>
      </w:tr>
      <w:tr w:rsidR="001A4F1A" w:rsidRPr="00CF7083" w14:paraId="5EE3A7BF" w14:textId="77777777" w:rsidTr="00CF7083">
        <w:tc>
          <w:tcPr>
            <w:tcW w:w="1393" w:type="dxa"/>
          </w:tcPr>
          <w:p w14:paraId="33F138F4" w14:textId="77777777" w:rsidR="001A4F1A" w:rsidRPr="00CF7083" w:rsidRDefault="001A4F1A" w:rsidP="00CF70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rPr>
            </w:pPr>
            <w:r w:rsidRPr="00CF7083">
              <w:rPr>
                <w:b/>
                <w:color w:val="000000"/>
                <w:sz w:val="20"/>
              </w:rPr>
              <w:t>41</w:t>
            </w:r>
          </w:p>
        </w:tc>
        <w:tc>
          <w:tcPr>
            <w:tcW w:w="1394" w:type="dxa"/>
          </w:tcPr>
          <w:p w14:paraId="4822BB49" w14:textId="77777777" w:rsidR="001A4F1A" w:rsidRPr="00CF7083" w:rsidRDefault="001A4F1A" w:rsidP="00CF70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CF7083">
              <w:rPr>
                <w:color w:val="000000"/>
                <w:sz w:val="20"/>
              </w:rPr>
              <w:t>180</w:t>
            </w:r>
          </w:p>
        </w:tc>
        <w:tc>
          <w:tcPr>
            <w:tcW w:w="1394" w:type="dxa"/>
          </w:tcPr>
          <w:p w14:paraId="7777C6C5" w14:textId="77777777" w:rsidR="001A4F1A" w:rsidRPr="00CF7083" w:rsidRDefault="001A4F1A" w:rsidP="00CF70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CF7083">
              <w:rPr>
                <w:color w:val="000000"/>
                <w:sz w:val="20"/>
              </w:rPr>
              <w:t>4.4</w:t>
            </w:r>
          </w:p>
        </w:tc>
        <w:tc>
          <w:tcPr>
            <w:tcW w:w="1394" w:type="dxa"/>
          </w:tcPr>
          <w:p w14:paraId="491158F2" w14:textId="77777777" w:rsidR="001A4F1A" w:rsidRPr="00CF7083" w:rsidRDefault="001A4F1A" w:rsidP="00CF70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CF7083">
              <w:rPr>
                <w:color w:val="000000"/>
                <w:sz w:val="20"/>
              </w:rPr>
              <w:t>1</w:t>
            </w:r>
          </w:p>
        </w:tc>
        <w:tc>
          <w:tcPr>
            <w:tcW w:w="1394" w:type="dxa"/>
          </w:tcPr>
          <w:p w14:paraId="398E0C9D" w14:textId="77777777" w:rsidR="001A4F1A" w:rsidRPr="00CF7083" w:rsidRDefault="001A4F1A" w:rsidP="00CF70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CF7083">
              <w:rPr>
                <w:color w:val="000000"/>
                <w:sz w:val="20"/>
              </w:rPr>
              <w:t>17</w:t>
            </w:r>
          </w:p>
        </w:tc>
        <w:tc>
          <w:tcPr>
            <w:tcW w:w="1394" w:type="dxa"/>
          </w:tcPr>
          <w:p w14:paraId="1986AE91" w14:textId="77777777" w:rsidR="001A4F1A" w:rsidRPr="00CF7083" w:rsidRDefault="001A4F1A" w:rsidP="00CF70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CF7083">
              <w:rPr>
                <w:color w:val="000000"/>
                <w:sz w:val="20"/>
              </w:rPr>
              <w:t>15</w:t>
            </w:r>
          </w:p>
        </w:tc>
      </w:tr>
    </w:tbl>
    <w:p w14:paraId="5EA737A1"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500E153F"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In the </w:t>
      </w:r>
      <w:r>
        <w:rPr>
          <w:color w:val="000000"/>
        </w:rPr>
        <w:t>above</w:t>
      </w:r>
      <w:r w:rsidRPr="00D6101B">
        <w:rPr>
          <w:color w:val="000000"/>
        </w:rPr>
        <w:t xml:space="preserve"> table</w:t>
      </w:r>
      <w:r>
        <w:rPr>
          <w:color w:val="000000"/>
        </w:rPr>
        <w:t>,</w:t>
      </w:r>
      <w:r w:rsidRPr="00D6101B">
        <w:rPr>
          <w:color w:val="000000"/>
        </w:rPr>
        <w:t xml:space="preserve"> data concerning the maximum number of larnakes per tomb come from the reused tholos </w:t>
      </w:r>
      <w:r>
        <w:rPr>
          <w:color w:val="000000"/>
        </w:rPr>
        <w:t>at</w:t>
      </w:r>
      <w:r w:rsidRPr="00D6101B">
        <w:rPr>
          <w:color w:val="000000"/>
        </w:rPr>
        <w:t xml:space="preserve"> Valis, where there is no information about the burials within larnakes. The only information provided refer</w:t>
      </w:r>
      <w:r>
        <w:rPr>
          <w:color w:val="000000"/>
        </w:rPr>
        <w:t>s to the fragmentary</w:t>
      </w:r>
      <w:r w:rsidRPr="00D6101B">
        <w:rPr>
          <w:color w:val="000000"/>
        </w:rPr>
        <w:t xml:space="preserve"> condition in which they were found (</w:t>
      </w:r>
      <w:r>
        <w:rPr>
          <w:color w:val="000000"/>
        </w:rPr>
        <w:t>‘</w:t>
      </w:r>
      <w:r w:rsidRPr="00D6101B">
        <w:rPr>
          <w:color w:val="000000"/>
        </w:rPr>
        <w:t>fragments scattered on the floor</w:t>
      </w:r>
      <w:r>
        <w:rPr>
          <w:color w:val="000000"/>
        </w:rPr>
        <w:t>’:</w:t>
      </w:r>
      <w:r w:rsidRPr="00D6101B">
        <w:rPr>
          <w:color w:val="000000"/>
        </w:rPr>
        <w:t xml:space="preserve"> Marinatos 1926: 579) and the presence in the same tholos of a pithos and a pyxis with </w:t>
      </w:r>
      <w:r>
        <w:rPr>
          <w:color w:val="000000"/>
        </w:rPr>
        <w:t xml:space="preserve">the </w:t>
      </w:r>
      <w:r w:rsidRPr="00D6101B">
        <w:rPr>
          <w:color w:val="000000"/>
        </w:rPr>
        <w:t>cremated bones of a child dated to the Sub</w:t>
      </w:r>
      <w:r>
        <w:rPr>
          <w:color w:val="000000"/>
        </w:rPr>
        <w:t>-</w:t>
      </w:r>
      <w:r w:rsidRPr="00D6101B">
        <w:rPr>
          <w:color w:val="000000"/>
        </w:rPr>
        <w:t>Minoan period (Davaras 1973: 164; Perna 2011: 142). More precise</w:t>
      </w:r>
      <w:r>
        <w:rPr>
          <w:color w:val="000000"/>
        </w:rPr>
        <w:t>ly,</w:t>
      </w:r>
      <w:r w:rsidRPr="00D6101B">
        <w:rPr>
          <w:color w:val="000000"/>
        </w:rPr>
        <w:t xml:space="preserve"> information is available for the eight larna</w:t>
      </w:r>
      <w:r>
        <w:rPr>
          <w:color w:val="000000"/>
        </w:rPr>
        <w:t>x</w:t>
      </w:r>
      <w:r w:rsidRPr="00D6101B">
        <w:rPr>
          <w:color w:val="000000"/>
        </w:rPr>
        <w:t xml:space="preserve"> burials stored in the chamber at Kalochorafitis Anevolema </w:t>
      </w:r>
      <w:r>
        <w:rPr>
          <w:color w:val="000000"/>
        </w:rPr>
        <w:t>T</w:t>
      </w:r>
      <w:r w:rsidRPr="00D6101B">
        <w:rPr>
          <w:color w:val="000000"/>
        </w:rPr>
        <w:t xml:space="preserve">omb B, which </w:t>
      </w:r>
      <w:r>
        <w:rPr>
          <w:color w:val="000000"/>
        </w:rPr>
        <w:t>is</w:t>
      </w:r>
      <w:r w:rsidRPr="00D6101B">
        <w:rPr>
          <w:color w:val="000000"/>
        </w:rPr>
        <w:t xml:space="preserve"> the tomb with the highest number of larnakes after Valis (Karetsou</w:t>
      </w:r>
      <w:r>
        <w:rPr>
          <w:color w:val="000000"/>
        </w:rPr>
        <w:t xml:space="preserve"> and</w:t>
      </w:r>
      <w:r w:rsidRPr="00D6101B">
        <w:rPr>
          <w:color w:val="000000"/>
        </w:rPr>
        <w:t xml:space="preserve"> Girella 2015).</w:t>
      </w:r>
      <w:r>
        <w:rPr>
          <w:color w:val="000000"/>
        </w:rPr>
        <w:t xml:space="preserve"> The maximum number of depositions is 17, found at Liliana Tomb A (Savignoni 1904).</w:t>
      </w:r>
    </w:p>
    <w:p w14:paraId="4751F218"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For the Mesara area</w:t>
      </w:r>
      <w:r>
        <w:rPr>
          <w:color w:val="000000"/>
        </w:rPr>
        <w:t>,</w:t>
      </w:r>
      <w:r w:rsidRPr="00D6101B">
        <w:rPr>
          <w:color w:val="000000"/>
        </w:rPr>
        <w:t xml:space="preserve"> </w:t>
      </w:r>
      <w:r>
        <w:rPr>
          <w:color w:val="000000"/>
        </w:rPr>
        <w:t>regarding</w:t>
      </w:r>
      <w:r w:rsidRPr="00D6101B">
        <w:rPr>
          <w:color w:val="000000"/>
        </w:rPr>
        <w:t xml:space="preserve"> the sample of tombs with larnakes considered secure, information about burials and skeletal remains </w:t>
      </w:r>
      <w:r>
        <w:rPr>
          <w:color w:val="000000"/>
        </w:rPr>
        <w:t>is</w:t>
      </w:r>
      <w:r w:rsidRPr="00D6101B">
        <w:rPr>
          <w:color w:val="000000"/>
        </w:rPr>
        <w:t xml:space="preserve"> available for roughly half of the sample (51%). Within this sample</w:t>
      </w:r>
      <w:r>
        <w:rPr>
          <w:color w:val="000000"/>
        </w:rPr>
        <w:t>,</w:t>
      </w:r>
      <w:r w:rsidRPr="00D6101B">
        <w:rPr>
          <w:color w:val="000000"/>
        </w:rPr>
        <w:t xml:space="preserve"> tombs </w:t>
      </w:r>
      <w:r>
        <w:rPr>
          <w:color w:val="000000"/>
        </w:rPr>
        <w:t>in which</w:t>
      </w:r>
      <w:r w:rsidRPr="00D6101B">
        <w:rPr>
          <w:color w:val="000000"/>
        </w:rPr>
        <w:t xml:space="preserve"> skeletal remains </w:t>
      </w:r>
      <w:r>
        <w:rPr>
          <w:color w:val="000000"/>
        </w:rPr>
        <w:t>were</w:t>
      </w:r>
      <w:r w:rsidRPr="00D6101B">
        <w:rPr>
          <w:color w:val="000000"/>
        </w:rPr>
        <w:t xml:space="preserve"> found inside the larnax and nowhere else in the tomb </w:t>
      </w:r>
      <w:r>
        <w:rPr>
          <w:color w:val="000000"/>
        </w:rPr>
        <w:t>amount to</w:t>
      </w:r>
      <w:r w:rsidRPr="00D6101B">
        <w:rPr>
          <w:color w:val="000000"/>
        </w:rPr>
        <w:t xml:space="preserve"> 49%</w:t>
      </w:r>
      <w:r>
        <w:rPr>
          <w:color w:val="000000"/>
        </w:rPr>
        <w:t>; however,</w:t>
      </w:r>
      <w:r w:rsidRPr="00D6101B">
        <w:rPr>
          <w:color w:val="000000"/>
        </w:rPr>
        <w:t xml:space="preserve"> considering that for a high number of tombs in these regions only </w:t>
      </w:r>
      <w:r>
        <w:rPr>
          <w:color w:val="000000"/>
        </w:rPr>
        <w:t xml:space="preserve">short </w:t>
      </w:r>
      <w:r w:rsidRPr="00D6101B">
        <w:rPr>
          <w:color w:val="000000"/>
        </w:rPr>
        <w:t xml:space="preserve">reports are available, it is highly possible that </w:t>
      </w:r>
      <w:r>
        <w:rPr>
          <w:color w:val="000000"/>
        </w:rPr>
        <w:t>this figure</w:t>
      </w:r>
      <w:r w:rsidRPr="00D6101B">
        <w:rPr>
          <w:color w:val="000000"/>
        </w:rPr>
        <w:t xml:space="preserve"> is not fully reliable. A variety of other types of interment are associated </w:t>
      </w:r>
      <w:r>
        <w:rPr>
          <w:color w:val="000000"/>
        </w:rPr>
        <w:t>with</w:t>
      </w:r>
      <w:r w:rsidRPr="00D6101B">
        <w:rPr>
          <w:color w:val="000000"/>
        </w:rPr>
        <w:t xml:space="preserve"> the remaining 51% of tombs with larnakes. </w:t>
      </w:r>
      <w:r>
        <w:rPr>
          <w:color w:val="000000"/>
        </w:rPr>
        <w:t>Regarding</w:t>
      </w:r>
      <w:r w:rsidRPr="00D6101B">
        <w:rPr>
          <w:color w:val="000000"/>
        </w:rPr>
        <w:t xml:space="preserve"> other types of burial receptacle found in association with larnakes:</w:t>
      </w:r>
    </w:p>
    <w:p w14:paraId="2DC16540" w14:textId="77777777" w:rsidR="001A4F1A"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6F561C9E" w14:textId="741ED3AC" w:rsidR="001A4F1A" w:rsidRPr="00D6101B" w:rsidRDefault="001A4F1A" w:rsidP="00E858EF">
      <w:pPr>
        <w:pStyle w:val="Testofumetto"/>
        <w:suppressAutoHyphens/>
      </w:pPr>
      <w:bookmarkStart w:id="695" w:name="_Toc520212578"/>
      <w:r>
        <w:t>Table 4-8</w:t>
      </w:r>
      <w:r w:rsidR="00076F7A">
        <w:t>.</w:t>
      </w:r>
      <w:r>
        <w:t xml:space="preserve"> Depositions in other types of burial receptacle associated with larnax burials</w:t>
      </w:r>
      <w:r w:rsidR="00D433EC">
        <w:t>,</w:t>
      </w:r>
      <w:r>
        <w:t xml:space="preserve"> Mesara </w:t>
      </w:r>
      <w:bookmarkEnd w:id="695"/>
      <w:r w:rsidR="00D02AAA">
        <w:t>area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4"/>
        <w:gridCol w:w="1954"/>
        <w:gridCol w:w="1955"/>
        <w:gridCol w:w="1955"/>
      </w:tblGrid>
      <w:tr w:rsidR="001A4F1A" w:rsidRPr="00CF7083" w14:paraId="11E7A455" w14:textId="77777777" w:rsidTr="00240B38">
        <w:tc>
          <w:tcPr>
            <w:tcW w:w="1954" w:type="dxa"/>
          </w:tcPr>
          <w:p w14:paraId="5594C778" w14:textId="77777777" w:rsidR="001A4F1A" w:rsidRPr="00CF708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tc>
        <w:tc>
          <w:tcPr>
            <w:tcW w:w="1954" w:type="dxa"/>
          </w:tcPr>
          <w:p w14:paraId="47B519FD" w14:textId="77777777" w:rsidR="001A4F1A" w:rsidRPr="00CF708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CF7083">
              <w:rPr>
                <w:color w:val="000000"/>
                <w:sz w:val="20"/>
                <w:szCs w:val="20"/>
              </w:rPr>
              <w:t>Pithos</w:t>
            </w:r>
          </w:p>
        </w:tc>
        <w:tc>
          <w:tcPr>
            <w:tcW w:w="1955" w:type="dxa"/>
          </w:tcPr>
          <w:p w14:paraId="09B2DF1F" w14:textId="77777777" w:rsidR="001A4F1A" w:rsidRPr="00CF708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CF7083">
              <w:rPr>
                <w:color w:val="000000"/>
                <w:sz w:val="20"/>
                <w:szCs w:val="20"/>
              </w:rPr>
              <w:t>Wooden bier/coffin</w:t>
            </w:r>
          </w:p>
        </w:tc>
        <w:tc>
          <w:tcPr>
            <w:tcW w:w="1955" w:type="dxa"/>
          </w:tcPr>
          <w:p w14:paraId="2E26646E" w14:textId="77777777" w:rsidR="001A4F1A" w:rsidRPr="00CF708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CF7083">
              <w:rPr>
                <w:color w:val="000000"/>
                <w:sz w:val="20"/>
                <w:szCs w:val="20"/>
              </w:rPr>
              <w:t>Stone sarcophagus</w:t>
            </w:r>
          </w:p>
        </w:tc>
      </w:tr>
      <w:tr w:rsidR="001A4F1A" w:rsidRPr="00CF7083" w14:paraId="62B39F9E" w14:textId="77777777" w:rsidTr="00240B38">
        <w:tc>
          <w:tcPr>
            <w:tcW w:w="1954" w:type="dxa"/>
          </w:tcPr>
          <w:p w14:paraId="7E981895" w14:textId="77777777" w:rsidR="001A4F1A" w:rsidRPr="00CF708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CF7083">
              <w:rPr>
                <w:color w:val="000000"/>
                <w:sz w:val="20"/>
                <w:szCs w:val="20"/>
              </w:rPr>
              <w:t>No. of interments</w:t>
            </w:r>
          </w:p>
        </w:tc>
        <w:tc>
          <w:tcPr>
            <w:tcW w:w="1954" w:type="dxa"/>
          </w:tcPr>
          <w:p w14:paraId="2BF405D0" w14:textId="77777777" w:rsidR="001A4F1A" w:rsidRPr="00CF708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CF7083">
              <w:rPr>
                <w:color w:val="000000"/>
                <w:sz w:val="20"/>
                <w:szCs w:val="20"/>
              </w:rPr>
              <w:t>n/a</w:t>
            </w:r>
          </w:p>
        </w:tc>
        <w:tc>
          <w:tcPr>
            <w:tcW w:w="1955" w:type="dxa"/>
          </w:tcPr>
          <w:p w14:paraId="4B8FD5CD" w14:textId="77777777" w:rsidR="001A4F1A" w:rsidRPr="00CF708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CF7083">
              <w:rPr>
                <w:color w:val="000000"/>
                <w:sz w:val="20"/>
                <w:szCs w:val="20"/>
              </w:rPr>
              <w:t>2 (primary male burials)</w:t>
            </w:r>
          </w:p>
        </w:tc>
        <w:tc>
          <w:tcPr>
            <w:tcW w:w="1955" w:type="dxa"/>
          </w:tcPr>
          <w:p w14:paraId="680A001F" w14:textId="77777777" w:rsidR="001A4F1A" w:rsidRPr="00CF708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CF7083">
              <w:rPr>
                <w:color w:val="000000"/>
                <w:sz w:val="20"/>
                <w:szCs w:val="20"/>
              </w:rPr>
              <w:t>2</w:t>
            </w:r>
          </w:p>
        </w:tc>
      </w:tr>
    </w:tbl>
    <w:p w14:paraId="1FFF61FE"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235F0ED6"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 xml:space="preserve">Unfortunately, </w:t>
      </w:r>
      <w:r>
        <w:rPr>
          <w:color w:val="000000"/>
        </w:rPr>
        <w:t xml:space="preserve">there is only </w:t>
      </w:r>
      <w:r w:rsidRPr="00D6101B">
        <w:rPr>
          <w:color w:val="000000"/>
        </w:rPr>
        <w:t xml:space="preserve">scant information available </w:t>
      </w:r>
      <w:r>
        <w:rPr>
          <w:color w:val="000000"/>
        </w:rPr>
        <w:t>about</w:t>
      </w:r>
      <w:r w:rsidRPr="00D6101B">
        <w:rPr>
          <w:color w:val="000000"/>
        </w:rPr>
        <w:t xml:space="preserve"> the tombs </w:t>
      </w:r>
      <w:r>
        <w:rPr>
          <w:color w:val="000000"/>
        </w:rPr>
        <w:t xml:space="preserve">in which </w:t>
      </w:r>
      <w:r w:rsidRPr="00D6101B">
        <w:rPr>
          <w:color w:val="000000"/>
        </w:rPr>
        <w:t xml:space="preserve">pithoi </w:t>
      </w:r>
      <w:r>
        <w:rPr>
          <w:color w:val="000000"/>
        </w:rPr>
        <w:t>were</w:t>
      </w:r>
      <w:r w:rsidRPr="00D6101B">
        <w:rPr>
          <w:color w:val="000000"/>
        </w:rPr>
        <w:t xml:space="preserve"> found (Kouses and Valis). Two wooden bier/coffin burials </w:t>
      </w:r>
      <w:r>
        <w:rPr>
          <w:color w:val="000000"/>
        </w:rPr>
        <w:t>were</w:t>
      </w:r>
      <w:r w:rsidRPr="00D6101B">
        <w:rPr>
          <w:color w:val="000000"/>
        </w:rPr>
        <w:t xml:space="preserve"> found in a chamber tomb at Stavros Galias</w:t>
      </w:r>
      <w:r>
        <w:rPr>
          <w:color w:val="000000"/>
        </w:rPr>
        <w:t xml:space="preserve"> </w:t>
      </w:r>
      <w:r w:rsidRPr="00D6101B">
        <w:rPr>
          <w:color w:val="000000"/>
        </w:rPr>
        <w:t xml:space="preserve">associated with primary male burials (Karetsou 1975: 522-523); two bodies </w:t>
      </w:r>
      <w:r>
        <w:rPr>
          <w:color w:val="000000"/>
        </w:rPr>
        <w:t>were</w:t>
      </w:r>
      <w:r w:rsidRPr="00D6101B">
        <w:rPr>
          <w:color w:val="000000"/>
        </w:rPr>
        <w:t xml:space="preserve"> associated with the </w:t>
      </w:r>
      <w:r>
        <w:rPr>
          <w:color w:val="000000"/>
        </w:rPr>
        <w:t>A</w:t>
      </w:r>
      <w:r w:rsidRPr="00D6101B">
        <w:rPr>
          <w:color w:val="000000"/>
        </w:rPr>
        <w:t>gia Triada sarcophagus</w:t>
      </w:r>
      <w:r>
        <w:rPr>
          <w:color w:val="000000"/>
        </w:rPr>
        <w:t>,</w:t>
      </w:r>
      <w:r w:rsidRPr="00D6101B">
        <w:rPr>
          <w:color w:val="000000"/>
        </w:rPr>
        <w:t xml:space="preserve"> but there is no information </w:t>
      </w:r>
      <w:r>
        <w:rPr>
          <w:color w:val="000000"/>
        </w:rPr>
        <w:t>regarding</w:t>
      </w:r>
      <w:r w:rsidRPr="00D6101B">
        <w:rPr>
          <w:color w:val="000000"/>
        </w:rPr>
        <w:t xml:space="preserve"> the gender or </w:t>
      </w:r>
      <w:r>
        <w:rPr>
          <w:color w:val="000000"/>
        </w:rPr>
        <w:t xml:space="preserve">the </w:t>
      </w:r>
      <w:r w:rsidRPr="00D6101B">
        <w:rPr>
          <w:color w:val="000000"/>
        </w:rPr>
        <w:t>age or the burial stage.</w:t>
      </w:r>
    </w:p>
    <w:p w14:paraId="10C8FF1D"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In all other cases</w:t>
      </w:r>
      <w:r>
        <w:rPr>
          <w:color w:val="000000"/>
        </w:rPr>
        <w:t>,</w:t>
      </w:r>
      <w:r w:rsidRPr="00D6101B">
        <w:rPr>
          <w:color w:val="000000"/>
        </w:rPr>
        <w:t xml:space="preserve"> burials or simply</w:t>
      </w:r>
      <w:r>
        <w:rPr>
          <w:color w:val="000000"/>
        </w:rPr>
        <w:t xml:space="preserve"> the</w:t>
      </w:r>
      <w:r w:rsidRPr="00D6101B">
        <w:rPr>
          <w:color w:val="000000"/>
        </w:rPr>
        <w:t xml:space="preserve"> remains of bones have been found somewhere else within the tomb, the vast majority of them </w:t>
      </w:r>
      <w:r>
        <w:rPr>
          <w:color w:val="000000"/>
        </w:rPr>
        <w:t>on</w:t>
      </w:r>
      <w:r w:rsidRPr="00D6101B">
        <w:rPr>
          <w:color w:val="000000"/>
        </w:rPr>
        <w:t xml:space="preserve"> floor</w:t>
      </w:r>
      <w:r>
        <w:rPr>
          <w:color w:val="000000"/>
        </w:rPr>
        <w:t>s</w:t>
      </w:r>
      <w:r w:rsidRPr="00D6101B">
        <w:rPr>
          <w:color w:val="000000"/>
        </w:rPr>
        <w:t xml:space="preserve"> and </w:t>
      </w:r>
      <w:r>
        <w:rPr>
          <w:color w:val="000000"/>
        </w:rPr>
        <w:t xml:space="preserve">in </w:t>
      </w:r>
      <w:r w:rsidRPr="00D6101B">
        <w:rPr>
          <w:color w:val="000000"/>
        </w:rPr>
        <w:t>pit</w:t>
      </w:r>
      <w:r>
        <w:rPr>
          <w:color w:val="000000"/>
        </w:rPr>
        <w:t>s</w:t>
      </w:r>
      <w:r w:rsidRPr="00D6101B">
        <w:rPr>
          <w:color w:val="000000"/>
        </w:rPr>
        <w:t xml:space="preserve">, and in </w:t>
      </w:r>
      <w:r>
        <w:rPr>
          <w:color w:val="000000"/>
        </w:rPr>
        <w:t>T</w:t>
      </w:r>
      <w:r w:rsidRPr="00D6101B">
        <w:rPr>
          <w:color w:val="000000"/>
        </w:rPr>
        <w:t>omb D at Liliana</w:t>
      </w:r>
      <w:r>
        <w:rPr>
          <w:color w:val="000000"/>
        </w:rPr>
        <w:t>,</w:t>
      </w:r>
      <w:r w:rsidRPr="00D6101B">
        <w:rPr>
          <w:color w:val="000000"/>
        </w:rPr>
        <w:t xml:space="preserve"> a p</w:t>
      </w:r>
      <w:r>
        <w:rPr>
          <w:color w:val="000000"/>
        </w:rPr>
        <w:t>rimary burial was found lying on</w:t>
      </w:r>
      <w:r w:rsidRPr="00D6101B">
        <w:rPr>
          <w:color w:val="000000"/>
        </w:rPr>
        <w:t xml:space="preserve"> a bench.</w:t>
      </w:r>
    </w:p>
    <w:p w14:paraId="09EFA712"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In this region</w:t>
      </w:r>
      <w:r>
        <w:rPr>
          <w:color w:val="000000"/>
        </w:rPr>
        <w:t>,</w:t>
      </w:r>
      <w:r w:rsidRPr="00D6101B">
        <w:rPr>
          <w:color w:val="000000"/>
        </w:rPr>
        <w:t xml:space="preserve"> cremated burials have been found in association with larnakes</w:t>
      </w:r>
      <w:r>
        <w:rPr>
          <w:color w:val="000000"/>
        </w:rPr>
        <w:t>, too</w:t>
      </w:r>
      <w:r w:rsidRPr="00D6101B">
        <w:rPr>
          <w:color w:val="000000"/>
        </w:rPr>
        <w:t>: pyx</w:t>
      </w:r>
      <w:r>
        <w:rPr>
          <w:color w:val="000000"/>
        </w:rPr>
        <w:t>ides containing cremated child burials were</w:t>
      </w:r>
      <w:r w:rsidRPr="00D6101B">
        <w:rPr>
          <w:color w:val="000000"/>
        </w:rPr>
        <w:t xml:space="preserve"> found both at Liliana </w:t>
      </w:r>
      <w:r>
        <w:rPr>
          <w:color w:val="000000"/>
        </w:rPr>
        <w:t>T</w:t>
      </w:r>
      <w:r w:rsidRPr="00D6101B">
        <w:rPr>
          <w:color w:val="000000"/>
        </w:rPr>
        <w:t xml:space="preserve">omb D and in the tholos at Valis. It is highly possible that these burials belong to the </w:t>
      </w:r>
      <w:r>
        <w:rPr>
          <w:color w:val="000000"/>
        </w:rPr>
        <w:t>final</w:t>
      </w:r>
      <w:r w:rsidRPr="00D6101B">
        <w:rPr>
          <w:color w:val="000000"/>
        </w:rPr>
        <w:t xml:space="preserve"> phase of use of the two tombs (LM IIIC for Liliana and SM for Valis), considering that cremation was introduced </w:t>
      </w:r>
      <w:r>
        <w:rPr>
          <w:color w:val="000000"/>
        </w:rPr>
        <w:t>during a</w:t>
      </w:r>
      <w:r w:rsidRPr="00D6101B">
        <w:rPr>
          <w:color w:val="000000"/>
        </w:rPr>
        <w:t xml:space="preserve"> later phase (Perna 2011:</w:t>
      </w:r>
      <w:r>
        <w:rPr>
          <w:color w:val="000000"/>
        </w:rPr>
        <w:t xml:space="preserve"> </w:t>
      </w:r>
      <w:r w:rsidRPr="00D6101B">
        <w:rPr>
          <w:color w:val="000000"/>
        </w:rPr>
        <w:t>140, 142). The finding of remains of cremated burials in tomb</w:t>
      </w:r>
      <w:r>
        <w:rPr>
          <w:color w:val="000000"/>
        </w:rPr>
        <w:t>s</w:t>
      </w:r>
      <w:r w:rsidRPr="00D6101B">
        <w:rPr>
          <w:color w:val="000000"/>
        </w:rPr>
        <w:t xml:space="preserve"> with larnakes </w:t>
      </w:r>
      <w:r>
        <w:rPr>
          <w:color w:val="000000"/>
        </w:rPr>
        <w:t>indicates</w:t>
      </w:r>
      <w:r w:rsidRPr="00D6101B">
        <w:rPr>
          <w:color w:val="000000"/>
        </w:rPr>
        <w:t xml:space="preserve"> a long </w:t>
      </w:r>
      <w:r>
        <w:rPr>
          <w:color w:val="000000"/>
        </w:rPr>
        <w:t>period</w:t>
      </w:r>
      <w:r w:rsidRPr="00D6101B">
        <w:rPr>
          <w:color w:val="000000"/>
        </w:rPr>
        <w:t xml:space="preserve"> of use for these two tombs (especially for the tholos of Valis, already in use since EM/MM)</w:t>
      </w:r>
      <w:r>
        <w:rPr>
          <w:color w:val="000000"/>
        </w:rPr>
        <w:t>,</w:t>
      </w:r>
      <w:r w:rsidRPr="00D6101B">
        <w:rPr>
          <w:color w:val="000000"/>
        </w:rPr>
        <w:t xml:space="preserve"> along with the habit of re</w:t>
      </w:r>
      <w:r>
        <w:rPr>
          <w:color w:val="000000"/>
        </w:rPr>
        <w:t>using</w:t>
      </w:r>
      <w:r w:rsidRPr="00D6101B">
        <w:rPr>
          <w:color w:val="000000"/>
        </w:rPr>
        <w:t xml:space="preserve"> previous existing </w:t>
      </w:r>
      <w:r>
        <w:rPr>
          <w:color w:val="000000"/>
        </w:rPr>
        <w:t>burial structures for new deposition</w:t>
      </w:r>
      <w:r w:rsidRPr="00D6101B">
        <w:rPr>
          <w:color w:val="000000"/>
        </w:rPr>
        <w:t>s</w:t>
      </w:r>
      <w:r>
        <w:rPr>
          <w:color w:val="000000"/>
        </w:rPr>
        <w:t xml:space="preserve"> and</w:t>
      </w:r>
      <w:r w:rsidRPr="00D6101B">
        <w:rPr>
          <w:color w:val="000000"/>
        </w:rPr>
        <w:t xml:space="preserve"> associating new burial methods</w:t>
      </w:r>
      <w:r>
        <w:rPr>
          <w:color w:val="000000"/>
        </w:rPr>
        <w:t xml:space="preserve"> with pre-existing tombs</w:t>
      </w:r>
      <w:r w:rsidRPr="00D6101B">
        <w:rPr>
          <w:color w:val="000000"/>
        </w:rPr>
        <w:t xml:space="preserve">, </w:t>
      </w:r>
      <w:r>
        <w:rPr>
          <w:color w:val="000000"/>
        </w:rPr>
        <w:t xml:space="preserve">a </w:t>
      </w:r>
      <w:r w:rsidRPr="00D6101B">
        <w:rPr>
          <w:color w:val="000000"/>
        </w:rPr>
        <w:t xml:space="preserve">custom already </w:t>
      </w:r>
      <w:r>
        <w:rPr>
          <w:color w:val="000000"/>
        </w:rPr>
        <w:t>indicated</w:t>
      </w:r>
      <w:r w:rsidRPr="00D6101B">
        <w:rPr>
          <w:color w:val="000000"/>
        </w:rPr>
        <w:t xml:space="preserve"> in this region by the re</w:t>
      </w:r>
      <w:r>
        <w:rPr>
          <w:color w:val="000000"/>
        </w:rPr>
        <w:t>use</w:t>
      </w:r>
      <w:r w:rsidRPr="00D6101B">
        <w:rPr>
          <w:color w:val="000000"/>
        </w:rPr>
        <w:t xml:space="preserve"> of MM tholo</w:t>
      </w:r>
      <w:r>
        <w:rPr>
          <w:color w:val="000000"/>
        </w:rPr>
        <w:t>i</w:t>
      </w:r>
      <w:r w:rsidRPr="00D6101B">
        <w:rPr>
          <w:color w:val="000000"/>
        </w:rPr>
        <w:t xml:space="preserve"> for larna</w:t>
      </w:r>
      <w:r>
        <w:rPr>
          <w:color w:val="000000"/>
        </w:rPr>
        <w:t>x</w:t>
      </w:r>
      <w:r w:rsidRPr="00D6101B">
        <w:rPr>
          <w:color w:val="000000"/>
        </w:rPr>
        <w:t xml:space="preserve"> burials.</w:t>
      </w:r>
    </w:p>
    <w:p w14:paraId="49E92578"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To form an approximate estimation</w:t>
      </w:r>
      <w:r w:rsidRPr="00D6101B">
        <w:rPr>
          <w:color w:val="000000"/>
        </w:rPr>
        <w:t xml:space="preserve"> of the number of skeletal</w:t>
      </w:r>
      <w:r>
        <w:rPr>
          <w:color w:val="000000"/>
        </w:rPr>
        <w:t xml:space="preserve"> remains</w:t>
      </w:r>
      <w:r w:rsidRPr="00D6101B">
        <w:rPr>
          <w:color w:val="000000"/>
        </w:rPr>
        <w:t xml:space="preserve">/burials found in larnakes and the number of burials for which other interment methods </w:t>
      </w:r>
      <w:r>
        <w:rPr>
          <w:color w:val="000000"/>
        </w:rPr>
        <w:t>were</w:t>
      </w:r>
      <w:r w:rsidRPr="00D6101B">
        <w:rPr>
          <w:color w:val="000000"/>
        </w:rPr>
        <w:t xml:space="preserve"> used, the data </w:t>
      </w:r>
      <w:r>
        <w:rPr>
          <w:color w:val="000000"/>
        </w:rPr>
        <w:t>are</w:t>
      </w:r>
      <w:r w:rsidRPr="00D6101B">
        <w:rPr>
          <w:color w:val="000000"/>
        </w:rPr>
        <w:t xml:space="preserve"> summarised in the following table (pithos burials are not considered because there is no information about the burials)</w:t>
      </w:r>
      <w:r>
        <w:rPr>
          <w:color w:val="000000"/>
        </w:rPr>
        <w:t>:</w:t>
      </w:r>
    </w:p>
    <w:p w14:paraId="104F54D2" w14:textId="77777777" w:rsidR="001A4F1A" w:rsidRDefault="001A4F1A" w:rsidP="00E858EF">
      <w:pPr>
        <w:suppressAutoHyphens/>
        <w:autoSpaceDE w:val="0"/>
        <w:autoSpaceDN w:val="0"/>
        <w:adjustRightInd w:val="0"/>
        <w:rPr>
          <w:color w:val="000000"/>
        </w:rPr>
      </w:pPr>
    </w:p>
    <w:p w14:paraId="04A17843" w14:textId="12AD60EE" w:rsidR="00240B38" w:rsidRDefault="001A4F1A" w:rsidP="00E858EF">
      <w:pPr>
        <w:pStyle w:val="Testofumetto"/>
        <w:suppressAutoHyphens/>
      </w:pPr>
      <w:bookmarkStart w:id="696" w:name="_Toc520212579"/>
      <w:r>
        <w:t>Table 4-9a</w:t>
      </w:r>
      <w:r w:rsidR="00076F7A">
        <w:t>.</w:t>
      </w:r>
      <w:r>
        <w:t xml:space="preserve"> Interment methods and burial stage of skeletal remains in tombs with larnakes and information about skeletal remains</w:t>
      </w:r>
      <w:r w:rsidR="00D433EC">
        <w:t>,</w:t>
      </w:r>
      <w:r>
        <w:t xml:space="preserve"> Mesara </w:t>
      </w:r>
      <w:bookmarkEnd w:id="696"/>
      <w:r w:rsidR="00D02AAA">
        <w:t xml:space="preserve">area </w:t>
      </w:r>
    </w:p>
    <w:p w14:paraId="40DCA058" w14:textId="0705CD4B" w:rsidR="001A4F1A" w:rsidRPr="00240B38" w:rsidRDefault="001A4F1A" w:rsidP="00E858EF">
      <w:pPr>
        <w:suppressAutoHyphens/>
        <w:spacing w:line="240" w:lineRule="auto"/>
      </w:pPr>
      <w:r w:rsidRPr="00240B38">
        <w:rPr>
          <w:sz w:val="20"/>
        </w:rPr>
        <w:t>(p= primary deposition; s= secondary deposition; No info= no information about the burial stage/skeletal remains)</w:t>
      </w:r>
    </w:p>
    <w:tbl>
      <w:tblPr>
        <w:tblStyle w:val="Grigliatabella"/>
        <w:tblW w:w="9038" w:type="dxa"/>
        <w:tblLayout w:type="fixed"/>
        <w:tblLook w:val="04A0" w:firstRow="1" w:lastRow="0" w:firstColumn="1" w:lastColumn="0" w:noHBand="0" w:noVBand="1"/>
      </w:tblPr>
      <w:tblGrid>
        <w:gridCol w:w="1060"/>
        <w:gridCol w:w="466"/>
        <w:gridCol w:w="567"/>
        <w:gridCol w:w="567"/>
        <w:gridCol w:w="283"/>
        <w:gridCol w:w="567"/>
        <w:gridCol w:w="709"/>
        <w:gridCol w:w="425"/>
        <w:gridCol w:w="709"/>
        <w:gridCol w:w="992"/>
        <w:gridCol w:w="1134"/>
        <w:gridCol w:w="850"/>
        <w:gridCol w:w="709"/>
      </w:tblGrid>
      <w:tr w:rsidR="001A4F1A" w:rsidRPr="00240B38" w14:paraId="74FD1B82" w14:textId="77777777" w:rsidTr="00240B38">
        <w:trPr>
          <w:trHeight w:val="831"/>
        </w:trPr>
        <w:tc>
          <w:tcPr>
            <w:tcW w:w="1060" w:type="dxa"/>
          </w:tcPr>
          <w:p w14:paraId="6B0034D3"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2"/>
              </w:rPr>
            </w:pPr>
          </w:p>
        </w:tc>
        <w:tc>
          <w:tcPr>
            <w:tcW w:w="1600" w:type="dxa"/>
            <w:gridSpan w:val="3"/>
          </w:tcPr>
          <w:p w14:paraId="01F75FDE"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 xml:space="preserve">Larnax burials </w:t>
            </w:r>
          </w:p>
          <w:p w14:paraId="0A2579A1"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p>
        </w:tc>
        <w:tc>
          <w:tcPr>
            <w:tcW w:w="1559" w:type="dxa"/>
            <w:gridSpan w:val="3"/>
          </w:tcPr>
          <w:p w14:paraId="5AB7CEE2"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Floor burials</w:t>
            </w:r>
          </w:p>
          <w:p w14:paraId="5888AA2E"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p>
        </w:tc>
        <w:tc>
          <w:tcPr>
            <w:tcW w:w="1134" w:type="dxa"/>
            <w:gridSpan w:val="2"/>
          </w:tcPr>
          <w:p w14:paraId="0DF57B75"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Pit burials</w:t>
            </w:r>
          </w:p>
          <w:p w14:paraId="1D8DFBB1"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p>
        </w:tc>
        <w:tc>
          <w:tcPr>
            <w:tcW w:w="992" w:type="dxa"/>
          </w:tcPr>
          <w:p w14:paraId="6AFD7403"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2"/>
              </w:rPr>
            </w:pPr>
            <w:r w:rsidRPr="00240B38">
              <w:rPr>
                <w:color w:val="000000"/>
                <w:sz w:val="20"/>
                <w:szCs w:val="22"/>
              </w:rPr>
              <w:t>Bench burials</w:t>
            </w:r>
          </w:p>
        </w:tc>
        <w:tc>
          <w:tcPr>
            <w:tcW w:w="1134" w:type="dxa"/>
          </w:tcPr>
          <w:p w14:paraId="64BFE893" w14:textId="77777777" w:rsidR="00240B38"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2"/>
              </w:rPr>
            </w:pPr>
            <w:r w:rsidRPr="00240B38">
              <w:rPr>
                <w:color w:val="000000"/>
                <w:sz w:val="20"/>
                <w:szCs w:val="22"/>
              </w:rPr>
              <w:t>Wooden bier/</w:t>
            </w:r>
          </w:p>
          <w:p w14:paraId="18589892" w14:textId="6975BC26"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2"/>
              </w:rPr>
            </w:pPr>
            <w:r w:rsidRPr="00240B38">
              <w:rPr>
                <w:color w:val="000000"/>
                <w:sz w:val="20"/>
                <w:szCs w:val="22"/>
              </w:rPr>
              <w:t>coffins</w:t>
            </w:r>
          </w:p>
        </w:tc>
        <w:tc>
          <w:tcPr>
            <w:tcW w:w="850" w:type="dxa"/>
          </w:tcPr>
          <w:p w14:paraId="19E1C7B9"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2"/>
              </w:rPr>
            </w:pPr>
            <w:r w:rsidRPr="00240B38">
              <w:rPr>
                <w:color w:val="000000"/>
                <w:sz w:val="20"/>
                <w:szCs w:val="22"/>
              </w:rPr>
              <w:t>Stone sarcophagus</w:t>
            </w:r>
          </w:p>
        </w:tc>
        <w:tc>
          <w:tcPr>
            <w:tcW w:w="709" w:type="dxa"/>
          </w:tcPr>
          <w:p w14:paraId="05B7BDE8"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2"/>
              </w:rPr>
            </w:pPr>
            <w:r w:rsidRPr="00240B38">
              <w:rPr>
                <w:color w:val="000000"/>
                <w:sz w:val="20"/>
                <w:szCs w:val="22"/>
              </w:rPr>
              <w:t>Pyxis cremation</w:t>
            </w:r>
          </w:p>
        </w:tc>
      </w:tr>
      <w:tr w:rsidR="001A4F1A" w:rsidRPr="00240B38" w14:paraId="76E69A32" w14:textId="77777777" w:rsidTr="00240B38">
        <w:trPr>
          <w:trHeight w:val="387"/>
        </w:trPr>
        <w:tc>
          <w:tcPr>
            <w:tcW w:w="1060" w:type="dxa"/>
          </w:tcPr>
          <w:p w14:paraId="2D154D34"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2"/>
              </w:rPr>
            </w:pPr>
            <w:r w:rsidRPr="00240B38">
              <w:rPr>
                <w:color w:val="000000"/>
                <w:sz w:val="20"/>
                <w:szCs w:val="22"/>
              </w:rPr>
              <w:t>Total No. of tombs</w:t>
            </w:r>
          </w:p>
        </w:tc>
        <w:tc>
          <w:tcPr>
            <w:tcW w:w="1600" w:type="dxa"/>
            <w:gridSpan w:val="3"/>
            <w:vAlign w:val="center"/>
          </w:tcPr>
          <w:p w14:paraId="253F8ADA"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21</w:t>
            </w:r>
          </w:p>
        </w:tc>
        <w:tc>
          <w:tcPr>
            <w:tcW w:w="1559" w:type="dxa"/>
            <w:gridSpan w:val="3"/>
            <w:vAlign w:val="center"/>
          </w:tcPr>
          <w:p w14:paraId="11BE8133"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9</w:t>
            </w:r>
          </w:p>
        </w:tc>
        <w:tc>
          <w:tcPr>
            <w:tcW w:w="1134" w:type="dxa"/>
            <w:gridSpan w:val="2"/>
            <w:vAlign w:val="center"/>
          </w:tcPr>
          <w:p w14:paraId="546F3740"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2</w:t>
            </w:r>
          </w:p>
        </w:tc>
        <w:tc>
          <w:tcPr>
            <w:tcW w:w="992" w:type="dxa"/>
            <w:vAlign w:val="center"/>
          </w:tcPr>
          <w:p w14:paraId="49A77528"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1</w:t>
            </w:r>
          </w:p>
        </w:tc>
        <w:tc>
          <w:tcPr>
            <w:tcW w:w="1134" w:type="dxa"/>
            <w:vAlign w:val="center"/>
          </w:tcPr>
          <w:p w14:paraId="38465061"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1</w:t>
            </w:r>
          </w:p>
        </w:tc>
        <w:tc>
          <w:tcPr>
            <w:tcW w:w="850" w:type="dxa"/>
            <w:vAlign w:val="center"/>
          </w:tcPr>
          <w:p w14:paraId="7C8672B3"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1</w:t>
            </w:r>
          </w:p>
        </w:tc>
        <w:tc>
          <w:tcPr>
            <w:tcW w:w="709" w:type="dxa"/>
            <w:vAlign w:val="center"/>
          </w:tcPr>
          <w:p w14:paraId="4CEB3895"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1</w:t>
            </w:r>
          </w:p>
        </w:tc>
      </w:tr>
      <w:tr w:rsidR="001A4F1A" w:rsidRPr="00240B38" w14:paraId="3B296B3E" w14:textId="77777777" w:rsidTr="00240B38">
        <w:trPr>
          <w:trHeight w:val="387"/>
        </w:trPr>
        <w:tc>
          <w:tcPr>
            <w:tcW w:w="1060" w:type="dxa"/>
            <w:tcBorders>
              <w:bottom w:val="thinThickSmallGap" w:sz="24" w:space="0" w:color="auto"/>
            </w:tcBorders>
          </w:tcPr>
          <w:p w14:paraId="07B669DA"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2"/>
              </w:rPr>
            </w:pPr>
            <w:r w:rsidRPr="00240B38">
              <w:rPr>
                <w:color w:val="000000"/>
                <w:sz w:val="20"/>
                <w:szCs w:val="22"/>
              </w:rPr>
              <w:t>Burial stage</w:t>
            </w:r>
          </w:p>
        </w:tc>
        <w:tc>
          <w:tcPr>
            <w:tcW w:w="466" w:type="dxa"/>
          </w:tcPr>
          <w:p w14:paraId="7C078311"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p</w:t>
            </w:r>
          </w:p>
        </w:tc>
        <w:tc>
          <w:tcPr>
            <w:tcW w:w="567" w:type="dxa"/>
          </w:tcPr>
          <w:p w14:paraId="473C3031"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s</w:t>
            </w:r>
          </w:p>
        </w:tc>
        <w:tc>
          <w:tcPr>
            <w:tcW w:w="567" w:type="dxa"/>
          </w:tcPr>
          <w:p w14:paraId="6B119BF1"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No info</w:t>
            </w:r>
          </w:p>
        </w:tc>
        <w:tc>
          <w:tcPr>
            <w:tcW w:w="283" w:type="dxa"/>
          </w:tcPr>
          <w:p w14:paraId="1D986C15"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p</w:t>
            </w:r>
          </w:p>
        </w:tc>
        <w:tc>
          <w:tcPr>
            <w:tcW w:w="567" w:type="dxa"/>
          </w:tcPr>
          <w:p w14:paraId="7B771B18"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s</w:t>
            </w:r>
          </w:p>
        </w:tc>
        <w:tc>
          <w:tcPr>
            <w:tcW w:w="709" w:type="dxa"/>
          </w:tcPr>
          <w:p w14:paraId="23577423"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No info</w:t>
            </w:r>
          </w:p>
        </w:tc>
        <w:tc>
          <w:tcPr>
            <w:tcW w:w="425" w:type="dxa"/>
          </w:tcPr>
          <w:p w14:paraId="6D0F2579"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s</w:t>
            </w:r>
          </w:p>
        </w:tc>
        <w:tc>
          <w:tcPr>
            <w:tcW w:w="709" w:type="dxa"/>
          </w:tcPr>
          <w:p w14:paraId="791D8D16"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No info</w:t>
            </w:r>
          </w:p>
        </w:tc>
        <w:tc>
          <w:tcPr>
            <w:tcW w:w="992" w:type="dxa"/>
          </w:tcPr>
          <w:p w14:paraId="7DBA8830"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p</w:t>
            </w:r>
          </w:p>
        </w:tc>
        <w:tc>
          <w:tcPr>
            <w:tcW w:w="1134" w:type="dxa"/>
          </w:tcPr>
          <w:p w14:paraId="78079BBC"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No info</w:t>
            </w:r>
          </w:p>
        </w:tc>
        <w:tc>
          <w:tcPr>
            <w:tcW w:w="850" w:type="dxa"/>
          </w:tcPr>
          <w:p w14:paraId="56EE76B4"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No info</w:t>
            </w:r>
          </w:p>
        </w:tc>
        <w:tc>
          <w:tcPr>
            <w:tcW w:w="709" w:type="dxa"/>
          </w:tcPr>
          <w:p w14:paraId="154CB787"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No info</w:t>
            </w:r>
          </w:p>
        </w:tc>
      </w:tr>
      <w:tr w:rsidR="001A4F1A" w:rsidRPr="00240B38" w14:paraId="7976E49C" w14:textId="77777777" w:rsidTr="00240B38">
        <w:tc>
          <w:tcPr>
            <w:tcW w:w="1060" w:type="dxa"/>
            <w:tcBorders>
              <w:top w:val="thinThickSmallGap" w:sz="24" w:space="0" w:color="auto"/>
            </w:tcBorders>
          </w:tcPr>
          <w:p w14:paraId="3F040204"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2"/>
              </w:rPr>
            </w:pPr>
            <w:r w:rsidRPr="00240B38">
              <w:rPr>
                <w:color w:val="000000"/>
                <w:sz w:val="20"/>
                <w:szCs w:val="22"/>
              </w:rPr>
              <w:t>MNEB</w:t>
            </w:r>
          </w:p>
        </w:tc>
        <w:tc>
          <w:tcPr>
            <w:tcW w:w="466" w:type="dxa"/>
            <w:tcBorders>
              <w:top w:val="thinThickSmallGap" w:sz="24" w:space="0" w:color="auto"/>
            </w:tcBorders>
          </w:tcPr>
          <w:p w14:paraId="17CE1ACA"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21</w:t>
            </w:r>
          </w:p>
        </w:tc>
        <w:tc>
          <w:tcPr>
            <w:tcW w:w="567" w:type="dxa"/>
            <w:tcBorders>
              <w:top w:val="thinThickSmallGap" w:sz="24" w:space="0" w:color="auto"/>
            </w:tcBorders>
          </w:tcPr>
          <w:p w14:paraId="58E667DC"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26</w:t>
            </w:r>
          </w:p>
        </w:tc>
        <w:tc>
          <w:tcPr>
            <w:tcW w:w="567" w:type="dxa"/>
            <w:tcBorders>
              <w:top w:val="thinThickSmallGap" w:sz="24" w:space="0" w:color="auto"/>
              <w:bottom w:val="thinThickSmallGap" w:sz="24" w:space="0" w:color="auto"/>
            </w:tcBorders>
          </w:tcPr>
          <w:p w14:paraId="1A2B50C5"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39</w:t>
            </w:r>
          </w:p>
        </w:tc>
        <w:tc>
          <w:tcPr>
            <w:tcW w:w="283" w:type="dxa"/>
            <w:tcBorders>
              <w:top w:val="thinThickSmallGap" w:sz="24" w:space="0" w:color="auto"/>
            </w:tcBorders>
          </w:tcPr>
          <w:p w14:paraId="0AC653FC"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1</w:t>
            </w:r>
          </w:p>
        </w:tc>
        <w:tc>
          <w:tcPr>
            <w:tcW w:w="567" w:type="dxa"/>
            <w:tcBorders>
              <w:top w:val="thinThickSmallGap" w:sz="24" w:space="0" w:color="auto"/>
            </w:tcBorders>
          </w:tcPr>
          <w:p w14:paraId="7590A9C9"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15</w:t>
            </w:r>
          </w:p>
        </w:tc>
        <w:tc>
          <w:tcPr>
            <w:tcW w:w="709" w:type="dxa"/>
            <w:tcBorders>
              <w:top w:val="thinThickSmallGap" w:sz="24" w:space="0" w:color="auto"/>
            </w:tcBorders>
          </w:tcPr>
          <w:p w14:paraId="49CE698C"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10</w:t>
            </w:r>
          </w:p>
        </w:tc>
        <w:tc>
          <w:tcPr>
            <w:tcW w:w="425" w:type="dxa"/>
            <w:tcBorders>
              <w:top w:val="thinThickSmallGap" w:sz="24" w:space="0" w:color="auto"/>
            </w:tcBorders>
          </w:tcPr>
          <w:p w14:paraId="0EB3FE7F"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3</w:t>
            </w:r>
          </w:p>
        </w:tc>
        <w:tc>
          <w:tcPr>
            <w:tcW w:w="709" w:type="dxa"/>
            <w:tcBorders>
              <w:top w:val="thinThickSmallGap" w:sz="24" w:space="0" w:color="auto"/>
            </w:tcBorders>
          </w:tcPr>
          <w:p w14:paraId="2A37116D"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1</w:t>
            </w:r>
          </w:p>
        </w:tc>
        <w:tc>
          <w:tcPr>
            <w:tcW w:w="992" w:type="dxa"/>
            <w:tcBorders>
              <w:top w:val="thinThickSmallGap" w:sz="24" w:space="0" w:color="auto"/>
            </w:tcBorders>
          </w:tcPr>
          <w:p w14:paraId="1DA43A6C"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1</w:t>
            </w:r>
          </w:p>
        </w:tc>
        <w:tc>
          <w:tcPr>
            <w:tcW w:w="1134" w:type="dxa"/>
            <w:tcBorders>
              <w:top w:val="thinThickSmallGap" w:sz="24" w:space="0" w:color="auto"/>
            </w:tcBorders>
          </w:tcPr>
          <w:p w14:paraId="40620113"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2</w:t>
            </w:r>
          </w:p>
        </w:tc>
        <w:tc>
          <w:tcPr>
            <w:tcW w:w="850" w:type="dxa"/>
            <w:tcBorders>
              <w:top w:val="thinThickSmallGap" w:sz="24" w:space="0" w:color="auto"/>
            </w:tcBorders>
          </w:tcPr>
          <w:p w14:paraId="0AD00674"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2</w:t>
            </w:r>
          </w:p>
        </w:tc>
        <w:tc>
          <w:tcPr>
            <w:tcW w:w="709" w:type="dxa"/>
            <w:tcBorders>
              <w:top w:val="thinThickSmallGap" w:sz="24" w:space="0" w:color="auto"/>
            </w:tcBorders>
          </w:tcPr>
          <w:p w14:paraId="69944DBB"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2"/>
              </w:rPr>
            </w:pPr>
            <w:r w:rsidRPr="00240B38">
              <w:rPr>
                <w:color w:val="000000"/>
                <w:sz w:val="20"/>
                <w:szCs w:val="22"/>
              </w:rPr>
              <w:t>1</w:t>
            </w:r>
          </w:p>
        </w:tc>
      </w:tr>
      <w:tr w:rsidR="001A4F1A" w:rsidRPr="00240B38" w14:paraId="2A8BB037" w14:textId="77777777" w:rsidTr="00240B38">
        <w:trPr>
          <w:trHeight w:val="1522"/>
        </w:trPr>
        <w:tc>
          <w:tcPr>
            <w:tcW w:w="1060" w:type="dxa"/>
            <w:tcBorders>
              <w:top w:val="thinThickSmallGap" w:sz="24" w:space="0" w:color="auto"/>
              <w:bottom w:val="single" w:sz="4" w:space="0" w:color="auto"/>
            </w:tcBorders>
          </w:tcPr>
          <w:p w14:paraId="612D212B"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2"/>
              </w:rPr>
            </w:pPr>
            <w:r w:rsidRPr="00240B38">
              <w:rPr>
                <w:color w:val="000000"/>
                <w:sz w:val="20"/>
                <w:szCs w:val="22"/>
              </w:rPr>
              <w:t>Total No. of individuals per interment type</w:t>
            </w:r>
          </w:p>
        </w:tc>
        <w:tc>
          <w:tcPr>
            <w:tcW w:w="1600" w:type="dxa"/>
            <w:gridSpan w:val="3"/>
            <w:tcBorders>
              <w:top w:val="thinThickSmallGap" w:sz="24" w:space="0" w:color="auto"/>
              <w:bottom w:val="single" w:sz="4" w:space="0" w:color="auto"/>
            </w:tcBorders>
            <w:vAlign w:val="center"/>
          </w:tcPr>
          <w:p w14:paraId="1B5E4910"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2"/>
              </w:rPr>
            </w:pPr>
            <w:r w:rsidRPr="00240B38">
              <w:rPr>
                <w:b/>
                <w:color w:val="000000"/>
                <w:sz w:val="20"/>
                <w:szCs w:val="22"/>
              </w:rPr>
              <w:t>86</w:t>
            </w:r>
          </w:p>
        </w:tc>
        <w:tc>
          <w:tcPr>
            <w:tcW w:w="1559" w:type="dxa"/>
            <w:gridSpan w:val="3"/>
            <w:tcBorders>
              <w:top w:val="thinThickSmallGap" w:sz="24" w:space="0" w:color="auto"/>
              <w:bottom w:val="single" w:sz="4" w:space="0" w:color="auto"/>
            </w:tcBorders>
            <w:vAlign w:val="center"/>
          </w:tcPr>
          <w:p w14:paraId="0B25A782"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2"/>
              </w:rPr>
            </w:pPr>
            <w:r w:rsidRPr="00240B38">
              <w:rPr>
                <w:b/>
                <w:color w:val="000000"/>
                <w:sz w:val="20"/>
                <w:szCs w:val="22"/>
              </w:rPr>
              <w:t>26</w:t>
            </w:r>
          </w:p>
        </w:tc>
        <w:tc>
          <w:tcPr>
            <w:tcW w:w="1134" w:type="dxa"/>
            <w:gridSpan w:val="2"/>
            <w:tcBorders>
              <w:top w:val="thinThickSmallGap" w:sz="24" w:space="0" w:color="auto"/>
              <w:bottom w:val="single" w:sz="4" w:space="0" w:color="auto"/>
            </w:tcBorders>
            <w:vAlign w:val="center"/>
          </w:tcPr>
          <w:p w14:paraId="3E97DEA6"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2"/>
              </w:rPr>
            </w:pPr>
            <w:r w:rsidRPr="00240B38">
              <w:rPr>
                <w:b/>
                <w:color w:val="000000"/>
                <w:sz w:val="20"/>
                <w:szCs w:val="22"/>
              </w:rPr>
              <w:t>4</w:t>
            </w:r>
          </w:p>
        </w:tc>
        <w:tc>
          <w:tcPr>
            <w:tcW w:w="992" w:type="dxa"/>
            <w:tcBorders>
              <w:top w:val="thinThickSmallGap" w:sz="24" w:space="0" w:color="auto"/>
              <w:bottom w:val="single" w:sz="4" w:space="0" w:color="auto"/>
            </w:tcBorders>
            <w:vAlign w:val="center"/>
          </w:tcPr>
          <w:p w14:paraId="63455786"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2"/>
              </w:rPr>
            </w:pPr>
            <w:r w:rsidRPr="00240B38">
              <w:rPr>
                <w:b/>
                <w:color w:val="000000"/>
                <w:sz w:val="20"/>
                <w:szCs w:val="22"/>
              </w:rPr>
              <w:t>1</w:t>
            </w:r>
          </w:p>
        </w:tc>
        <w:tc>
          <w:tcPr>
            <w:tcW w:w="1134" w:type="dxa"/>
            <w:tcBorders>
              <w:top w:val="thinThickSmallGap" w:sz="24" w:space="0" w:color="auto"/>
              <w:bottom w:val="single" w:sz="4" w:space="0" w:color="auto"/>
            </w:tcBorders>
            <w:vAlign w:val="center"/>
          </w:tcPr>
          <w:p w14:paraId="763BABFC"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2"/>
              </w:rPr>
            </w:pPr>
            <w:r w:rsidRPr="00240B38">
              <w:rPr>
                <w:b/>
                <w:color w:val="000000"/>
                <w:sz w:val="20"/>
                <w:szCs w:val="22"/>
              </w:rPr>
              <w:t>2</w:t>
            </w:r>
          </w:p>
        </w:tc>
        <w:tc>
          <w:tcPr>
            <w:tcW w:w="850" w:type="dxa"/>
            <w:tcBorders>
              <w:top w:val="thinThickSmallGap" w:sz="24" w:space="0" w:color="auto"/>
              <w:bottom w:val="single" w:sz="4" w:space="0" w:color="auto"/>
            </w:tcBorders>
            <w:vAlign w:val="center"/>
          </w:tcPr>
          <w:p w14:paraId="6A41C97F"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2"/>
              </w:rPr>
            </w:pPr>
            <w:r w:rsidRPr="00240B38">
              <w:rPr>
                <w:b/>
                <w:color w:val="000000"/>
                <w:sz w:val="20"/>
                <w:szCs w:val="22"/>
              </w:rPr>
              <w:t>2</w:t>
            </w:r>
          </w:p>
        </w:tc>
        <w:tc>
          <w:tcPr>
            <w:tcW w:w="709" w:type="dxa"/>
            <w:tcBorders>
              <w:top w:val="thinThickSmallGap" w:sz="24" w:space="0" w:color="auto"/>
              <w:bottom w:val="single" w:sz="4" w:space="0" w:color="auto"/>
            </w:tcBorders>
            <w:vAlign w:val="center"/>
          </w:tcPr>
          <w:p w14:paraId="78DBFD27"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2"/>
              </w:rPr>
            </w:pPr>
            <w:r w:rsidRPr="00240B38">
              <w:rPr>
                <w:b/>
                <w:color w:val="000000"/>
                <w:sz w:val="20"/>
                <w:szCs w:val="22"/>
              </w:rPr>
              <w:t>1</w:t>
            </w:r>
          </w:p>
        </w:tc>
      </w:tr>
      <w:tr w:rsidR="001A4F1A" w:rsidRPr="00240B38" w14:paraId="0CE97200" w14:textId="77777777" w:rsidTr="00240B38">
        <w:trPr>
          <w:trHeight w:val="577"/>
        </w:trPr>
        <w:tc>
          <w:tcPr>
            <w:tcW w:w="1060" w:type="dxa"/>
            <w:tcBorders>
              <w:top w:val="single" w:sz="4" w:space="0" w:color="auto"/>
            </w:tcBorders>
          </w:tcPr>
          <w:p w14:paraId="4BF3E8F3"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2"/>
              </w:rPr>
            </w:pPr>
          </w:p>
        </w:tc>
        <w:tc>
          <w:tcPr>
            <w:tcW w:w="1600" w:type="dxa"/>
            <w:gridSpan w:val="3"/>
            <w:tcBorders>
              <w:top w:val="single" w:sz="4" w:space="0" w:color="auto"/>
            </w:tcBorders>
          </w:tcPr>
          <w:p w14:paraId="673C8A3E"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2"/>
              </w:rPr>
            </w:pPr>
            <w:r w:rsidRPr="00240B38">
              <w:rPr>
                <w:b/>
                <w:color w:val="000000"/>
                <w:sz w:val="20"/>
                <w:szCs w:val="22"/>
              </w:rPr>
              <w:t>70%</w:t>
            </w:r>
          </w:p>
        </w:tc>
        <w:tc>
          <w:tcPr>
            <w:tcW w:w="1559" w:type="dxa"/>
            <w:gridSpan w:val="3"/>
            <w:tcBorders>
              <w:top w:val="single" w:sz="4" w:space="0" w:color="auto"/>
            </w:tcBorders>
          </w:tcPr>
          <w:p w14:paraId="18904FCE"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2"/>
              </w:rPr>
            </w:pPr>
            <w:r w:rsidRPr="00240B38">
              <w:rPr>
                <w:b/>
                <w:color w:val="000000"/>
                <w:sz w:val="20"/>
                <w:szCs w:val="22"/>
              </w:rPr>
              <w:t>21%</w:t>
            </w:r>
          </w:p>
        </w:tc>
        <w:tc>
          <w:tcPr>
            <w:tcW w:w="1134" w:type="dxa"/>
            <w:gridSpan w:val="2"/>
            <w:tcBorders>
              <w:top w:val="single" w:sz="4" w:space="0" w:color="auto"/>
            </w:tcBorders>
          </w:tcPr>
          <w:p w14:paraId="73525F29"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2"/>
              </w:rPr>
            </w:pPr>
            <w:r w:rsidRPr="00240B38">
              <w:rPr>
                <w:b/>
                <w:color w:val="000000"/>
                <w:sz w:val="20"/>
                <w:szCs w:val="22"/>
              </w:rPr>
              <w:t>3%</w:t>
            </w:r>
          </w:p>
        </w:tc>
        <w:tc>
          <w:tcPr>
            <w:tcW w:w="992" w:type="dxa"/>
            <w:tcBorders>
              <w:top w:val="single" w:sz="4" w:space="0" w:color="auto"/>
            </w:tcBorders>
          </w:tcPr>
          <w:p w14:paraId="3A19931E"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2"/>
              </w:rPr>
            </w:pPr>
            <w:r w:rsidRPr="00240B38">
              <w:rPr>
                <w:b/>
                <w:color w:val="000000"/>
                <w:sz w:val="20"/>
                <w:szCs w:val="22"/>
              </w:rPr>
              <w:t>1%</w:t>
            </w:r>
          </w:p>
        </w:tc>
        <w:tc>
          <w:tcPr>
            <w:tcW w:w="1134" w:type="dxa"/>
            <w:tcBorders>
              <w:top w:val="single" w:sz="4" w:space="0" w:color="auto"/>
            </w:tcBorders>
          </w:tcPr>
          <w:p w14:paraId="022DBD0B"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2"/>
              </w:rPr>
            </w:pPr>
            <w:r w:rsidRPr="00240B38">
              <w:rPr>
                <w:b/>
                <w:color w:val="000000"/>
                <w:sz w:val="20"/>
                <w:szCs w:val="22"/>
              </w:rPr>
              <w:t>2%</w:t>
            </w:r>
          </w:p>
        </w:tc>
        <w:tc>
          <w:tcPr>
            <w:tcW w:w="850" w:type="dxa"/>
            <w:tcBorders>
              <w:top w:val="single" w:sz="4" w:space="0" w:color="auto"/>
            </w:tcBorders>
          </w:tcPr>
          <w:p w14:paraId="2FBA0BFD"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2"/>
              </w:rPr>
            </w:pPr>
            <w:r w:rsidRPr="00240B38">
              <w:rPr>
                <w:b/>
                <w:color w:val="000000"/>
                <w:sz w:val="20"/>
                <w:szCs w:val="22"/>
              </w:rPr>
              <w:t>2%</w:t>
            </w:r>
          </w:p>
        </w:tc>
        <w:tc>
          <w:tcPr>
            <w:tcW w:w="709" w:type="dxa"/>
            <w:tcBorders>
              <w:top w:val="single" w:sz="4" w:space="0" w:color="auto"/>
            </w:tcBorders>
          </w:tcPr>
          <w:p w14:paraId="0F6ABD36"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2"/>
              </w:rPr>
            </w:pPr>
            <w:r w:rsidRPr="00240B38">
              <w:rPr>
                <w:b/>
                <w:color w:val="000000"/>
                <w:sz w:val="20"/>
                <w:szCs w:val="22"/>
              </w:rPr>
              <w:t>1%</w:t>
            </w:r>
          </w:p>
        </w:tc>
      </w:tr>
    </w:tbl>
    <w:p w14:paraId="72C71202" w14:textId="77777777" w:rsidR="001A4F1A" w:rsidRDefault="001A4F1A" w:rsidP="00E858EF">
      <w:pPr>
        <w:suppressAutoHyphens/>
      </w:pPr>
    </w:p>
    <w:p w14:paraId="6150EFE6" w14:textId="206C56BD" w:rsidR="00240B38" w:rsidRDefault="001A4F1A" w:rsidP="00E858EF">
      <w:pPr>
        <w:pStyle w:val="Testofumetto"/>
        <w:suppressAutoHyphens/>
        <w:jc w:val="both"/>
      </w:pPr>
      <w:bookmarkStart w:id="697" w:name="_Toc520212580"/>
      <w:r>
        <w:t>Table 4-9b</w:t>
      </w:r>
      <w:r w:rsidR="00076F7A">
        <w:t>.</w:t>
      </w:r>
      <w:r>
        <w:t xml:space="preserve"> Interment methods and burial stage of skeletal remains in tombs with larnakes</w:t>
      </w:r>
      <w:r w:rsidRPr="008618B5">
        <w:t xml:space="preserve"> </w:t>
      </w:r>
      <w:r>
        <w:t>and information about skeletal remains</w:t>
      </w:r>
      <w:r w:rsidR="00D433EC">
        <w:t>,</w:t>
      </w:r>
      <w:r>
        <w:t xml:space="preserve"> Mesara </w:t>
      </w:r>
      <w:r w:rsidR="00D02AAA">
        <w:t>area</w:t>
      </w:r>
      <w:r>
        <w:t>:</w:t>
      </w:r>
      <w:r w:rsidRPr="00D544F7">
        <w:t xml:space="preserve"> </w:t>
      </w:r>
      <w:r>
        <w:t>burial stage related to number of tombs</w:t>
      </w:r>
      <w:bookmarkEnd w:id="697"/>
      <w:r>
        <w:t xml:space="preserve"> </w:t>
      </w:r>
    </w:p>
    <w:p w14:paraId="5A0AD6C7" w14:textId="2CB61BB0" w:rsidR="001A4F1A" w:rsidRPr="00240B38" w:rsidRDefault="001A4F1A" w:rsidP="00E858EF">
      <w:pPr>
        <w:suppressAutoHyphens/>
        <w:spacing w:line="240" w:lineRule="auto"/>
      </w:pPr>
      <w:r w:rsidRPr="00240B38">
        <w:rPr>
          <w:sz w:val="20"/>
        </w:rPr>
        <w:t xml:space="preserve">(p= primary deposition; s= secondary deposition; No info= no information about the burial stage/skeletal remains). </w:t>
      </w:r>
    </w:p>
    <w:tbl>
      <w:tblPr>
        <w:tblStyle w:val="Grigliatabella"/>
        <w:tblW w:w="9038" w:type="dxa"/>
        <w:tblLayout w:type="fixed"/>
        <w:tblLook w:val="04A0" w:firstRow="1" w:lastRow="0" w:firstColumn="1" w:lastColumn="0" w:noHBand="0" w:noVBand="1"/>
      </w:tblPr>
      <w:tblGrid>
        <w:gridCol w:w="1060"/>
        <w:gridCol w:w="466"/>
        <w:gridCol w:w="567"/>
        <w:gridCol w:w="709"/>
        <w:gridCol w:w="425"/>
        <w:gridCol w:w="425"/>
        <w:gridCol w:w="709"/>
        <w:gridCol w:w="425"/>
        <w:gridCol w:w="709"/>
        <w:gridCol w:w="992"/>
        <w:gridCol w:w="992"/>
        <w:gridCol w:w="850"/>
        <w:gridCol w:w="709"/>
      </w:tblGrid>
      <w:tr w:rsidR="001A4F1A" w:rsidRPr="00240B38" w14:paraId="43304F6E" w14:textId="77777777" w:rsidTr="00240B38">
        <w:trPr>
          <w:trHeight w:val="831"/>
        </w:trPr>
        <w:tc>
          <w:tcPr>
            <w:tcW w:w="1060" w:type="dxa"/>
          </w:tcPr>
          <w:p w14:paraId="6CDE7A77"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p>
        </w:tc>
        <w:tc>
          <w:tcPr>
            <w:tcW w:w="1742" w:type="dxa"/>
            <w:gridSpan w:val="3"/>
          </w:tcPr>
          <w:p w14:paraId="2E0D0FD5"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 xml:space="preserve">Larnax burials </w:t>
            </w:r>
          </w:p>
          <w:p w14:paraId="462527BC"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p>
        </w:tc>
        <w:tc>
          <w:tcPr>
            <w:tcW w:w="1559" w:type="dxa"/>
            <w:gridSpan w:val="3"/>
          </w:tcPr>
          <w:p w14:paraId="1A722A78"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Floor burials</w:t>
            </w:r>
          </w:p>
          <w:p w14:paraId="28D408E6"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p>
        </w:tc>
        <w:tc>
          <w:tcPr>
            <w:tcW w:w="1134" w:type="dxa"/>
            <w:gridSpan w:val="2"/>
          </w:tcPr>
          <w:p w14:paraId="69662815"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Pit burials</w:t>
            </w:r>
          </w:p>
          <w:p w14:paraId="0F1CA73E"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p>
        </w:tc>
        <w:tc>
          <w:tcPr>
            <w:tcW w:w="992" w:type="dxa"/>
          </w:tcPr>
          <w:p w14:paraId="5948A16E"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240B38">
              <w:rPr>
                <w:color w:val="000000"/>
                <w:sz w:val="20"/>
                <w:szCs w:val="20"/>
              </w:rPr>
              <w:t>Bench burials</w:t>
            </w:r>
          </w:p>
        </w:tc>
        <w:tc>
          <w:tcPr>
            <w:tcW w:w="992" w:type="dxa"/>
          </w:tcPr>
          <w:p w14:paraId="1C78237F" w14:textId="77777777" w:rsidR="00240B38"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240B38">
              <w:rPr>
                <w:color w:val="000000"/>
                <w:sz w:val="20"/>
                <w:szCs w:val="20"/>
              </w:rPr>
              <w:t>Wooden bier/</w:t>
            </w:r>
          </w:p>
          <w:p w14:paraId="5265E3BC" w14:textId="68F5101D"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240B38">
              <w:rPr>
                <w:color w:val="000000"/>
                <w:sz w:val="20"/>
                <w:szCs w:val="20"/>
              </w:rPr>
              <w:t>coffins</w:t>
            </w:r>
          </w:p>
        </w:tc>
        <w:tc>
          <w:tcPr>
            <w:tcW w:w="850" w:type="dxa"/>
          </w:tcPr>
          <w:p w14:paraId="29DE76EB"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240B38">
              <w:rPr>
                <w:color w:val="000000"/>
                <w:sz w:val="20"/>
                <w:szCs w:val="20"/>
              </w:rPr>
              <w:t>Stone sarcophagus</w:t>
            </w:r>
          </w:p>
        </w:tc>
        <w:tc>
          <w:tcPr>
            <w:tcW w:w="709" w:type="dxa"/>
          </w:tcPr>
          <w:p w14:paraId="5684E41F"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240B38">
              <w:rPr>
                <w:color w:val="000000"/>
                <w:sz w:val="20"/>
                <w:szCs w:val="20"/>
              </w:rPr>
              <w:t>Pyxis cremation</w:t>
            </w:r>
          </w:p>
        </w:tc>
      </w:tr>
      <w:tr w:rsidR="001A4F1A" w:rsidRPr="00240B38" w14:paraId="339A5CBE" w14:textId="77777777" w:rsidTr="00240B38">
        <w:trPr>
          <w:trHeight w:val="387"/>
        </w:trPr>
        <w:tc>
          <w:tcPr>
            <w:tcW w:w="1060" w:type="dxa"/>
            <w:tcBorders>
              <w:bottom w:val="thinThickSmallGap" w:sz="24" w:space="0" w:color="auto"/>
            </w:tcBorders>
          </w:tcPr>
          <w:p w14:paraId="2F640475"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r w:rsidRPr="00240B38">
              <w:rPr>
                <w:color w:val="000000"/>
                <w:sz w:val="20"/>
                <w:szCs w:val="20"/>
              </w:rPr>
              <w:t>Burial stage</w:t>
            </w:r>
          </w:p>
        </w:tc>
        <w:tc>
          <w:tcPr>
            <w:tcW w:w="466" w:type="dxa"/>
          </w:tcPr>
          <w:p w14:paraId="2B0BB9A6"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p</w:t>
            </w:r>
          </w:p>
        </w:tc>
        <w:tc>
          <w:tcPr>
            <w:tcW w:w="567" w:type="dxa"/>
          </w:tcPr>
          <w:p w14:paraId="7BDDD12B"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s</w:t>
            </w:r>
          </w:p>
        </w:tc>
        <w:tc>
          <w:tcPr>
            <w:tcW w:w="709" w:type="dxa"/>
          </w:tcPr>
          <w:p w14:paraId="07AE63D9"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No info</w:t>
            </w:r>
          </w:p>
        </w:tc>
        <w:tc>
          <w:tcPr>
            <w:tcW w:w="425" w:type="dxa"/>
          </w:tcPr>
          <w:p w14:paraId="48392DCF"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p</w:t>
            </w:r>
          </w:p>
        </w:tc>
        <w:tc>
          <w:tcPr>
            <w:tcW w:w="425" w:type="dxa"/>
          </w:tcPr>
          <w:p w14:paraId="549F3DF5"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s</w:t>
            </w:r>
          </w:p>
        </w:tc>
        <w:tc>
          <w:tcPr>
            <w:tcW w:w="709" w:type="dxa"/>
          </w:tcPr>
          <w:p w14:paraId="7C18BF16"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No info</w:t>
            </w:r>
          </w:p>
        </w:tc>
        <w:tc>
          <w:tcPr>
            <w:tcW w:w="425" w:type="dxa"/>
          </w:tcPr>
          <w:p w14:paraId="5C679C16"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s</w:t>
            </w:r>
          </w:p>
        </w:tc>
        <w:tc>
          <w:tcPr>
            <w:tcW w:w="709" w:type="dxa"/>
          </w:tcPr>
          <w:p w14:paraId="0DDBE3D1"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No info</w:t>
            </w:r>
          </w:p>
        </w:tc>
        <w:tc>
          <w:tcPr>
            <w:tcW w:w="992" w:type="dxa"/>
          </w:tcPr>
          <w:p w14:paraId="47BF8B03"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p</w:t>
            </w:r>
          </w:p>
        </w:tc>
        <w:tc>
          <w:tcPr>
            <w:tcW w:w="992" w:type="dxa"/>
          </w:tcPr>
          <w:p w14:paraId="1A44D3E0"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No info</w:t>
            </w:r>
          </w:p>
        </w:tc>
        <w:tc>
          <w:tcPr>
            <w:tcW w:w="850" w:type="dxa"/>
          </w:tcPr>
          <w:p w14:paraId="5D80ED6C"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No info</w:t>
            </w:r>
          </w:p>
        </w:tc>
        <w:tc>
          <w:tcPr>
            <w:tcW w:w="709" w:type="dxa"/>
          </w:tcPr>
          <w:p w14:paraId="36213927"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No info</w:t>
            </w:r>
          </w:p>
        </w:tc>
      </w:tr>
      <w:tr w:rsidR="001A4F1A" w:rsidRPr="00240B38" w14:paraId="56120A37" w14:textId="77777777" w:rsidTr="00240B38">
        <w:tc>
          <w:tcPr>
            <w:tcW w:w="1060" w:type="dxa"/>
            <w:tcBorders>
              <w:top w:val="thinThickSmallGap" w:sz="24" w:space="0" w:color="auto"/>
            </w:tcBorders>
          </w:tcPr>
          <w:p w14:paraId="43E4BB1E"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r w:rsidRPr="00240B38">
              <w:rPr>
                <w:color w:val="000000"/>
                <w:sz w:val="20"/>
                <w:szCs w:val="20"/>
              </w:rPr>
              <w:t>MNEB</w:t>
            </w:r>
          </w:p>
        </w:tc>
        <w:tc>
          <w:tcPr>
            <w:tcW w:w="466" w:type="dxa"/>
            <w:tcBorders>
              <w:top w:val="thinThickSmallGap" w:sz="24" w:space="0" w:color="auto"/>
            </w:tcBorders>
          </w:tcPr>
          <w:p w14:paraId="38EB3C6D"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21</w:t>
            </w:r>
          </w:p>
        </w:tc>
        <w:tc>
          <w:tcPr>
            <w:tcW w:w="567" w:type="dxa"/>
            <w:tcBorders>
              <w:top w:val="thinThickSmallGap" w:sz="24" w:space="0" w:color="auto"/>
            </w:tcBorders>
          </w:tcPr>
          <w:p w14:paraId="3379E2DC"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26</w:t>
            </w:r>
          </w:p>
        </w:tc>
        <w:tc>
          <w:tcPr>
            <w:tcW w:w="709" w:type="dxa"/>
            <w:tcBorders>
              <w:top w:val="thinThickSmallGap" w:sz="24" w:space="0" w:color="auto"/>
              <w:bottom w:val="thinThickSmallGap" w:sz="24" w:space="0" w:color="auto"/>
            </w:tcBorders>
          </w:tcPr>
          <w:p w14:paraId="6600F3C7"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39</w:t>
            </w:r>
          </w:p>
        </w:tc>
        <w:tc>
          <w:tcPr>
            <w:tcW w:w="425" w:type="dxa"/>
            <w:tcBorders>
              <w:top w:val="thinThickSmallGap" w:sz="24" w:space="0" w:color="auto"/>
            </w:tcBorders>
          </w:tcPr>
          <w:p w14:paraId="4D94FBAC"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1</w:t>
            </w:r>
          </w:p>
        </w:tc>
        <w:tc>
          <w:tcPr>
            <w:tcW w:w="425" w:type="dxa"/>
            <w:tcBorders>
              <w:top w:val="thinThickSmallGap" w:sz="24" w:space="0" w:color="auto"/>
            </w:tcBorders>
          </w:tcPr>
          <w:p w14:paraId="6787E247"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15</w:t>
            </w:r>
          </w:p>
        </w:tc>
        <w:tc>
          <w:tcPr>
            <w:tcW w:w="709" w:type="dxa"/>
            <w:tcBorders>
              <w:top w:val="thinThickSmallGap" w:sz="24" w:space="0" w:color="auto"/>
            </w:tcBorders>
          </w:tcPr>
          <w:p w14:paraId="6300B41A"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10</w:t>
            </w:r>
          </w:p>
        </w:tc>
        <w:tc>
          <w:tcPr>
            <w:tcW w:w="425" w:type="dxa"/>
            <w:tcBorders>
              <w:top w:val="thinThickSmallGap" w:sz="24" w:space="0" w:color="auto"/>
            </w:tcBorders>
          </w:tcPr>
          <w:p w14:paraId="2D0A4262"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3</w:t>
            </w:r>
          </w:p>
        </w:tc>
        <w:tc>
          <w:tcPr>
            <w:tcW w:w="709" w:type="dxa"/>
            <w:tcBorders>
              <w:top w:val="thinThickSmallGap" w:sz="24" w:space="0" w:color="auto"/>
            </w:tcBorders>
          </w:tcPr>
          <w:p w14:paraId="7DA16385"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1</w:t>
            </w:r>
          </w:p>
        </w:tc>
        <w:tc>
          <w:tcPr>
            <w:tcW w:w="992" w:type="dxa"/>
            <w:tcBorders>
              <w:top w:val="thinThickSmallGap" w:sz="24" w:space="0" w:color="auto"/>
            </w:tcBorders>
          </w:tcPr>
          <w:p w14:paraId="3373CED1"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1</w:t>
            </w:r>
          </w:p>
        </w:tc>
        <w:tc>
          <w:tcPr>
            <w:tcW w:w="992" w:type="dxa"/>
            <w:tcBorders>
              <w:top w:val="thinThickSmallGap" w:sz="24" w:space="0" w:color="auto"/>
            </w:tcBorders>
          </w:tcPr>
          <w:p w14:paraId="7CD1F82C"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2</w:t>
            </w:r>
          </w:p>
        </w:tc>
        <w:tc>
          <w:tcPr>
            <w:tcW w:w="850" w:type="dxa"/>
            <w:tcBorders>
              <w:top w:val="thinThickSmallGap" w:sz="24" w:space="0" w:color="auto"/>
            </w:tcBorders>
          </w:tcPr>
          <w:p w14:paraId="1E2A9E6E"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2</w:t>
            </w:r>
          </w:p>
        </w:tc>
        <w:tc>
          <w:tcPr>
            <w:tcW w:w="709" w:type="dxa"/>
            <w:tcBorders>
              <w:top w:val="thinThickSmallGap" w:sz="24" w:space="0" w:color="auto"/>
            </w:tcBorders>
          </w:tcPr>
          <w:p w14:paraId="640CB1E8"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240B38">
              <w:rPr>
                <w:color w:val="000000"/>
                <w:sz w:val="20"/>
                <w:szCs w:val="20"/>
              </w:rPr>
              <w:t>1</w:t>
            </w:r>
          </w:p>
        </w:tc>
      </w:tr>
      <w:tr w:rsidR="001A4F1A" w:rsidRPr="00240B38" w14:paraId="6319F4DF" w14:textId="77777777" w:rsidTr="00240B38">
        <w:trPr>
          <w:trHeight w:val="1522"/>
        </w:trPr>
        <w:tc>
          <w:tcPr>
            <w:tcW w:w="1060" w:type="dxa"/>
            <w:tcBorders>
              <w:top w:val="thinThickSmallGap" w:sz="24" w:space="0" w:color="auto"/>
              <w:bottom w:val="thinThickSmallGap" w:sz="24" w:space="0" w:color="auto"/>
            </w:tcBorders>
          </w:tcPr>
          <w:p w14:paraId="0D1EC044"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r w:rsidRPr="00240B38">
              <w:rPr>
                <w:color w:val="000000"/>
                <w:sz w:val="20"/>
                <w:szCs w:val="20"/>
              </w:rPr>
              <w:t>No. of tombs in which they occur</w:t>
            </w:r>
          </w:p>
        </w:tc>
        <w:tc>
          <w:tcPr>
            <w:tcW w:w="466" w:type="dxa"/>
            <w:tcBorders>
              <w:top w:val="thinThickSmallGap" w:sz="24" w:space="0" w:color="auto"/>
              <w:bottom w:val="thinThickSmallGap" w:sz="24" w:space="0" w:color="auto"/>
            </w:tcBorders>
            <w:vAlign w:val="center"/>
          </w:tcPr>
          <w:p w14:paraId="6FC2B3D6"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240B38">
              <w:rPr>
                <w:b/>
                <w:color w:val="000000"/>
                <w:sz w:val="20"/>
                <w:szCs w:val="20"/>
              </w:rPr>
              <w:t>10</w:t>
            </w:r>
          </w:p>
        </w:tc>
        <w:tc>
          <w:tcPr>
            <w:tcW w:w="567" w:type="dxa"/>
            <w:tcBorders>
              <w:top w:val="thinThickSmallGap" w:sz="24" w:space="0" w:color="auto"/>
              <w:bottom w:val="thinThickSmallGap" w:sz="24" w:space="0" w:color="auto"/>
            </w:tcBorders>
            <w:vAlign w:val="center"/>
          </w:tcPr>
          <w:p w14:paraId="1B7A0F5B"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240B38">
              <w:rPr>
                <w:b/>
                <w:color w:val="000000"/>
                <w:sz w:val="20"/>
                <w:szCs w:val="20"/>
              </w:rPr>
              <w:t>7</w:t>
            </w:r>
          </w:p>
        </w:tc>
        <w:tc>
          <w:tcPr>
            <w:tcW w:w="709" w:type="dxa"/>
            <w:tcBorders>
              <w:top w:val="thinThickSmallGap" w:sz="24" w:space="0" w:color="auto"/>
              <w:bottom w:val="thinThickSmallGap" w:sz="24" w:space="0" w:color="auto"/>
            </w:tcBorders>
            <w:vAlign w:val="center"/>
          </w:tcPr>
          <w:p w14:paraId="34ABDE37"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240B38">
              <w:rPr>
                <w:b/>
                <w:color w:val="000000"/>
                <w:sz w:val="20"/>
                <w:szCs w:val="20"/>
              </w:rPr>
              <w:t>11</w:t>
            </w:r>
          </w:p>
        </w:tc>
        <w:tc>
          <w:tcPr>
            <w:tcW w:w="425" w:type="dxa"/>
            <w:tcBorders>
              <w:top w:val="thinThickSmallGap" w:sz="24" w:space="0" w:color="auto"/>
              <w:bottom w:val="thinThickSmallGap" w:sz="24" w:space="0" w:color="auto"/>
            </w:tcBorders>
            <w:vAlign w:val="center"/>
          </w:tcPr>
          <w:p w14:paraId="4078BABF"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240B38">
              <w:rPr>
                <w:b/>
                <w:color w:val="000000"/>
                <w:sz w:val="20"/>
                <w:szCs w:val="20"/>
              </w:rPr>
              <w:t>1</w:t>
            </w:r>
          </w:p>
        </w:tc>
        <w:tc>
          <w:tcPr>
            <w:tcW w:w="425" w:type="dxa"/>
            <w:tcBorders>
              <w:top w:val="thinThickSmallGap" w:sz="24" w:space="0" w:color="auto"/>
              <w:bottom w:val="thinThickSmallGap" w:sz="24" w:space="0" w:color="auto"/>
            </w:tcBorders>
            <w:vAlign w:val="center"/>
          </w:tcPr>
          <w:p w14:paraId="72A11843"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240B38">
              <w:rPr>
                <w:b/>
                <w:color w:val="000000"/>
                <w:sz w:val="20"/>
                <w:szCs w:val="20"/>
              </w:rPr>
              <w:t>4</w:t>
            </w:r>
          </w:p>
        </w:tc>
        <w:tc>
          <w:tcPr>
            <w:tcW w:w="709" w:type="dxa"/>
            <w:tcBorders>
              <w:top w:val="thinThickSmallGap" w:sz="24" w:space="0" w:color="auto"/>
              <w:bottom w:val="thinThickSmallGap" w:sz="24" w:space="0" w:color="auto"/>
            </w:tcBorders>
            <w:vAlign w:val="center"/>
          </w:tcPr>
          <w:p w14:paraId="292CAB3E"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240B38">
              <w:rPr>
                <w:b/>
                <w:color w:val="000000"/>
                <w:sz w:val="20"/>
                <w:szCs w:val="20"/>
              </w:rPr>
              <w:t>4</w:t>
            </w:r>
          </w:p>
        </w:tc>
        <w:tc>
          <w:tcPr>
            <w:tcW w:w="425" w:type="dxa"/>
            <w:tcBorders>
              <w:top w:val="thinThickSmallGap" w:sz="24" w:space="0" w:color="auto"/>
              <w:bottom w:val="thinThickSmallGap" w:sz="24" w:space="0" w:color="auto"/>
            </w:tcBorders>
            <w:vAlign w:val="center"/>
          </w:tcPr>
          <w:p w14:paraId="31B22864"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240B38">
              <w:rPr>
                <w:b/>
                <w:color w:val="000000"/>
                <w:sz w:val="20"/>
                <w:szCs w:val="20"/>
              </w:rPr>
              <w:t>2</w:t>
            </w:r>
          </w:p>
        </w:tc>
        <w:tc>
          <w:tcPr>
            <w:tcW w:w="709" w:type="dxa"/>
            <w:tcBorders>
              <w:top w:val="thinThickSmallGap" w:sz="24" w:space="0" w:color="auto"/>
              <w:bottom w:val="thinThickSmallGap" w:sz="24" w:space="0" w:color="auto"/>
            </w:tcBorders>
            <w:vAlign w:val="center"/>
          </w:tcPr>
          <w:p w14:paraId="1AC44704"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240B38">
              <w:rPr>
                <w:b/>
                <w:color w:val="000000"/>
                <w:sz w:val="20"/>
                <w:szCs w:val="20"/>
              </w:rPr>
              <w:t>1</w:t>
            </w:r>
          </w:p>
        </w:tc>
        <w:tc>
          <w:tcPr>
            <w:tcW w:w="992" w:type="dxa"/>
            <w:tcBorders>
              <w:top w:val="thinThickSmallGap" w:sz="24" w:space="0" w:color="auto"/>
              <w:bottom w:val="thinThickSmallGap" w:sz="24" w:space="0" w:color="auto"/>
            </w:tcBorders>
            <w:vAlign w:val="center"/>
          </w:tcPr>
          <w:p w14:paraId="76E53140"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240B38">
              <w:rPr>
                <w:b/>
                <w:color w:val="000000"/>
                <w:sz w:val="20"/>
                <w:szCs w:val="20"/>
              </w:rPr>
              <w:t>1</w:t>
            </w:r>
          </w:p>
        </w:tc>
        <w:tc>
          <w:tcPr>
            <w:tcW w:w="992" w:type="dxa"/>
            <w:tcBorders>
              <w:top w:val="thinThickSmallGap" w:sz="24" w:space="0" w:color="auto"/>
              <w:bottom w:val="thinThickSmallGap" w:sz="24" w:space="0" w:color="auto"/>
            </w:tcBorders>
            <w:vAlign w:val="center"/>
          </w:tcPr>
          <w:p w14:paraId="519F6B6B"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240B38">
              <w:rPr>
                <w:b/>
                <w:color w:val="000000"/>
                <w:sz w:val="20"/>
                <w:szCs w:val="20"/>
              </w:rPr>
              <w:t>1</w:t>
            </w:r>
          </w:p>
        </w:tc>
        <w:tc>
          <w:tcPr>
            <w:tcW w:w="850" w:type="dxa"/>
            <w:tcBorders>
              <w:top w:val="thinThickSmallGap" w:sz="24" w:space="0" w:color="auto"/>
              <w:bottom w:val="thinThickSmallGap" w:sz="24" w:space="0" w:color="auto"/>
            </w:tcBorders>
            <w:vAlign w:val="center"/>
          </w:tcPr>
          <w:p w14:paraId="6BE8DBC8"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240B38">
              <w:rPr>
                <w:b/>
                <w:color w:val="000000"/>
                <w:sz w:val="20"/>
                <w:szCs w:val="20"/>
              </w:rPr>
              <w:t>1</w:t>
            </w:r>
          </w:p>
        </w:tc>
        <w:tc>
          <w:tcPr>
            <w:tcW w:w="709" w:type="dxa"/>
            <w:tcBorders>
              <w:top w:val="thinThickSmallGap" w:sz="24" w:space="0" w:color="auto"/>
              <w:bottom w:val="thinThickSmallGap" w:sz="24" w:space="0" w:color="auto"/>
            </w:tcBorders>
            <w:vAlign w:val="center"/>
          </w:tcPr>
          <w:p w14:paraId="5F4487C8" w14:textId="77777777" w:rsidR="001A4F1A" w:rsidRPr="00240B38"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240B38">
              <w:rPr>
                <w:b/>
                <w:color w:val="000000"/>
                <w:sz w:val="20"/>
                <w:szCs w:val="20"/>
              </w:rPr>
              <w:t>1</w:t>
            </w:r>
          </w:p>
        </w:tc>
      </w:tr>
    </w:tbl>
    <w:p w14:paraId="75D3FA75" w14:textId="77777777" w:rsidR="001A4F1A" w:rsidRDefault="001A4F1A" w:rsidP="00E858EF">
      <w:pPr>
        <w:suppressAutoHyphens/>
      </w:pPr>
    </w:p>
    <w:p w14:paraId="603C4679" w14:textId="77777777" w:rsidR="001A4F1A" w:rsidRDefault="001A4F1A" w:rsidP="00E858EF">
      <w:pPr>
        <w:suppressAutoHyphens/>
      </w:pPr>
    </w:p>
    <w:p w14:paraId="0368866C" w14:textId="77777777" w:rsidR="001A4F1A" w:rsidRDefault="001A4F1A" w:rsidP="00E858EF">
      <w:pPr>
        <w:suppressAutoHyphens/>
      </w:pPr>
    </w:p>
    <w:p w14:paraId="5BF99761" w14:textId="77777777" w:rsidR="001A4F1A" w:rsidRPr="00D6101B" w:rsidRDefault="001A4F1A" w:rsidP="00E858EF">
      <w:pPr>
        <w:suppressAutoHyphens/>
        <w:autoSpaceDE w:val="0"/>
        <w:autoSpaceDN w:val="0"/>
        <w:adjustRightInd w:val="0"/>
        <w:rPr>
          <w:color w:val="000000"/>
        </w:rPr>
      </w:pPr>
    </w:p>
    <w:p w14:paraId="11313C48" w14:textId="77777777" w:rsidR="001A4F1A" w:rsidRPr="00D6101B" w:rsidRDefault="001A4F1A" w:rsidP="00CF7083">
      <w:pPr>
        <w:suppressAutoHyphens/>
        <w:autoSpaceDE w:val="0"/>
        <w:autoSpaceDN w:val="0"/>
        <w:adjustRightInd w:val="0"/>
        <w:jc w:val="left"/>
        <w:rPr>
          <w:color w:val="000000"/>
        </w:rPr>
      </w:pPr>
      <w:r>
        <w:rPr>
          <w:noProof/>
          <w:lang w:val="it-IT"/>
        </w:rPr>
        <w:drawing>
          <wp:inline distT="0" distB="0" distL="0" distR="0" wp14:anchorId="58909157" wp14:editId="723A9A62">
            <wp:extent cx="4716000" cy="2520000"/>
            <wp:effectExtent l="0" t="0" r="8890" b="13970"/>
            <wp:docPr id="67" name="Gra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8E25A0B" w14:textId="1C70A37F" w:rsidR="001A4F1A" w:rsidRDefault="001A4F1A" w:rsidP="00E858EF">
      <w:pPr>
        <w:pStyle w:val="Didascalia"/>
        <w:suppressAutoHyphens/>
      </w:pPr>
      <w:bookmarkStart w:id="698" w:name="_Toc520212343"/>
      <w:r>
        <w:t>Figure 4-6</w:t>
      </w:r>
      <w:r w:rsidR="005539B9">
        <w:t>.</w:t>
      </w:r>
      <w:r>
        <w:t xml:space="preserve"> Deposition methods </w:t>
      </w:r>
      <w:r w:rsidRPr="008772F1">
        <w:t>associated in t</w:t>
      </w:r>
      <w:r>
        <w:t>omb with larnakes</w:t>
      </w:r>
      <w:r w:rsidR="00D433EC">
        <w:t>,</w:t>
      </w:r>
      <w:r>
        <w:t xml:space="preserve"> Mesara </w:t>
      </w:r>
      <w:bookmarkEnd w:id="698"/>
      <w:r w:rsidR="00D02AAA">
        <w:t>area</w:t>
      </w:r>
    </w:p>
    <w:p w14:paraId="4A4EB3AF" w14:textId="77777777" w:rsidR="00CF7083" w:rsidRPr="00CF7083" w:rsidRDefault="00CF7083" w:rsidP="00CF7083"/>
    <w:p w14:paraId="0EA52134" w14:textId="02AC0C9B" w:rsidR="001A4F1A" w:rsidRPr="00D6101B" w:rsidRDefault="001A4F1A" w:rsidP="00E858EF">
      <w:pPr>
        <w:suppressAutoHyphens/>
        <w:autoSpaceDE w:val="0"/>
        <w:autoSpaceDN w:val="0"/>
        <w:adjustRightInd w:val="0"/>
        <w:rPr>
          <w:color w:val="000000"/>
        </w:rPr>
      </w:pPr>
      <w:r>
        <w:rPr>
          <w:color w:val="000000"/>
        </w:rPr>
        <w:tab/>
      </w:r>
      <w:r w:rsidRPr="00D6101B">
        <w:rPr>
          <w:color w:val="000000"/>
        </w:rPr>
        <w:t>Even if the range of interment methods registered in the M</w:t>
      </w:r>
      <w:r>
        <w:rPr>
          <w:color w:val="000000"/>
        </w:rPr>
        <w:t>esara area is high</w:t>
      </w:r>
      <w:r w:rsidRPr="00D6101B">
        <w:rPr>
          <w:color w:val="000000"/>
        </w:rPr>
        <w:t xml:space="preserve"> </w:t>
      </w:r>
      <w:r>
        <w:rPr>
          <w:color w:val="000000"/>
        </w:rPr>
        <w:t>(</w:t>
      </w:r>
      <w:r w:rsidRPr="00D6101B">
        <w:rPr>
          <w:color w:val="000000"/>
        </w:rPr>
        <w:t>seven different interment types fou</w:t>
      </w:r>
      <w:r>
        <w:rPr>
          <w:color w:val="000000"/>
        </w:rPr>
        <w:t>nd in association with larnakes),</w:t>
      </w:r>
      <w:r w:rsidRPr="00D6101B">
        <w:rPr>
          <w:color w:val="000000"/>
        </w:rPr>
        <w:t xml:space="preserve"> </w:t>
      </w:r>
      <w:r>
        <w:rPr>
          <w:color w:val="000000"/>
        </w:rPr>
        <w:t>five</w:t>
      </w:r>
      <w:r w:rsidRPr="00D6101B">
        <w:rPr>
          <w:color w:val="000000"/>
        </w:rPr>
        <w:t xml:space="preserve"> of them (pit burials, bench burials, stone sarcophagus, wooden bier, cremated burial in pyxis) </w:t>
      </w:r>
      <w:r>
        <w:rPr>
          <w:color w:val="000000"/>
        </w:rPr>
        <w:t>occur</w:t>
      </w:r>
      <w:r w:rsidRPr="00D6101B">
        <w:rPr>
          <w:color w:val="000000"/>
        </w:rPr>
        <w:t xml:space="preserve"> in one or two tombs</w:t>
      </w:r>
      <w:r>
        <w:rPr>
          <w:color w:val="000000"/>
        </w:rPr>
        <w:t xml:space="preserve"> (e.g. bench burial tomb D at Liliana only),</w:t>
      </w:r>
      <w:r w:rsidRPr="00D6101B">
        <w:rPr>
          <w:color w:val="000000"/>
        </w:rPr>
        <w:t xml:space="preserve"> and the number of individual</w:t>
      </w:r>
      <w:r>
        <w:rPr>
          <w:color w:val="000000"/>
        </w:rPr>
        <w:t>s</w:t>
      </w:r>
      <w:r w:rsidRPr="00D6101B">
        <w:rPr>
          <w:color w:val="000000"/>
        </w:rPr>
        <w:t xml:space="preserve"> associated </w:t>
      </w:r>
      <w:r>
        <w:rPr>
          <w:color w:val="000000"/>
        </w:rPr>
        <w:t xml:space="preserve">with them </w:t>
      </w:r>
      <w:r w:rsidRPr="00D6101B">
        <w:rPr>
          <w:color w:val="000000"/>
        </w:rPr>
        <w:t xml:space="preserve">vary from </w:t>
      </w:r>
      <w:r>
        <w:rPr>
          <w:color w:val="000000"/>
        </w:rPr>
        <w:t>one</w:t>
      </w:r>
      <w:r w:rsidRPr="00D6101B">
        <w:rPr>
          <w:color w:val="000000"/>
        </w:rPr>
        <w:t xml:space="preserve"> to </w:t>
      </w:r>
      <w:r>
        <w:rPr>
          <w:color w:val="000000"/>
        </w:rPr>
        <w:t>a maximum of three</w:t>
      </w:r>
      <w:r w:rsidRPr="00D6101B">
        <w:rPr>
          <w:color w:val="000000"/>
        </w:rPr>
        <w:t>. Burials in pit</w:t>
      </w:r>
      <w:r>
        <w:rPr>
          <w:color w:val="000000"/>
        </w:rPr>
        <w:t xml:space="preserve">s have been found in two tombs - </w:t>
      </w:r>
      <w:r w:rsidRPr="00D6101B">
        <w:rPr>
          <w:color w:val="000000"/>
        </w:rPr>
        <w:t>one at Kalochorafitis Anevolema (</w:t>
      </w:r>
      <w:r>
        <w:rPr>
          <w:color w:val="000000"/>
        </w:rPr>
        <w:t>T</w:t>
      </w:r>
      <w:r w:rsidRPr="00D6101B">
        <w:rPr>
          <w:color w:val="000000"/>
        </w:rPr>
        <w:t>omb D) and the o</w:t>
      </w:r>
      <w:r>
        <w:rPr>
          <w:color w:val="000000"/>
        </w:rPr>
        <w:t>ther at Kalochorafitis Prinar</w:t>
      </w:r>
      <w:r w:rsidR="0006359E">
        <w:rPr>
          <w:color w:val="000000"/>
        </w:rPr>
        <w:t>i</w:t>
      </w:r>
      <w:r>
        <w:rPr>
          <w:color w:val="000000"/>
        </w:rPr>
        <w:t>a -</w:t>
      </w:r>
      <w:r w:rsidRPr="00D6101B">
        <w:rPr>
          <w:color w:val="000000"/>
        </w:rPr>
        <w:t xml:space="preserve"> and it is highly possible that in both cases the skeletal remains found in pits are secondary burial depositions.</w:t>
      </w:r>
      <w:r>
        <w:rPr>
          <w:color w:val="000000"/>
        </w:rPr>
        <w:t xml:space="preserve"> </w:t>
      </w:r>
      <w:r w:rsidRPr="00D6101B">
        <w:rPr>
          <w:color w:val="000000"/>
        </w:rPr>
        <w:t>Therefore, the two types of interment mainly in use in the sample of tombs analysed are larnakes and floor deposition</w:t>
      </w:r>
      <w:r>
        <w:rPr>
          <w:color w:val="000000"/>
        </w:rPr>
        <w:t>s</w:t>
      </w:r>
      <w:r w:rsidRPr="00D6101B">
        <w:rPr>
          <w:color w:val="000000"/>
        </w:rPr>
        <w:t>, with larnakes being preferred (7</w:t>
      </w:r>
      <w:r>
        <w:rPr>
          <w:color w:val="000000"/>
        </w:rPr>
        <w:t>0</w:t>
      </w:r>
      <w:r w:rsidRPr="00D6101B">
        <w:rPr>
          <w:color w:val="000000"/>
        </w:rPr>
        <w:t xml:space="preserve">%). </w:t>
      </w:r>
    </w:p>
    <w:p w14:paraId="6FF78D1F" w14:textId="3937EBE5" w:rsidR="001A4F1A" w:rsidRPr="00D6101B" w:rsidRDefault="001A4F1A" w:rsidP="00E858EF">
      <w:pPr>
        <w:suppressAutoHyphens/>
        <w:autoSpaceDE w:val="0"/>
        <w:autoSpaceDN w:val="0"/>
        <w:adjustRightInd w:val="0"/>
        <w:rPr>
          <w:color w:val="000000"/>
        </w:rPr>
      </w:pPr>
      <w:r>
        <w:rPr>
          <w:color w:val="000000"/>
        </w:rPr>
        <w:tab/>
      </w:r>
      <w:r w:rsidRPr="00D6101B">
        <w:rPr>
          <w:color w:val="000000"/>
        </w:rPr>
        <w:t>Floor deposition seems to have been preferred for secondary burial purposes (except</w:t>
      </w:r>
      <w:r>
        <w:rPr>
          <w:color w:val="000000"/>
        </w:rPr>
        <w:t xml:space="preserve"> for</w:t>
      </w:r>
      <w:r w:rsidRPr="00D6101B">
        <w:rPr>
          <w:color w:val="000000"/>
        </w:rPr>
        <w:t xml:space="preserve"> a deliberate primary deposition on the floor </w:t>
      </w:r>
      <w:r>
        <w:rPr>
          <w:color w:val="000000"/>
        </w:rPr>
        <w:t xml:space="preserve">in </w:t>
      </w:r>
      <w:r w:rsidRPr="00D6101B">
        <w:rPr>
          <w:color w:val="000000"/>
        </w:rPr>
        <w:t xml:space="preserve">Apodoulou </w:t>
      </w:r>
      <w:r w:rsidR="0006359E">
        <w:rPr>
          <w:color w:val="000000"/>
        </w:rPr>
        <w:t>Ph</w:t>
      </w:r>
      <w:r w:rsidRPr="00D6101B">
        <w:rPr>
          <w:color w:val="000000"/>
        </w:rPr>
        <w:t>rangou to</w:t>
      </w:r>
      <w:r>
        <w:rPr>
          <w:color w:val="000000"/>
        </w:rPr>
        <w:t xml:space="preserve"> Louri), even if for a significant</w:t>
      </w:r>
      <w:r w:rsidRPr="00D6101B">
        <w:rPr>
          <w:color w:val="000000"/>
        </w:rPr>
        <w:t xml:space="preserve"> number of floor burials there </w:t>
      </w:r>
      <w:r>
        <w:rPr>
          <w:color w:val="000000"/>
        </w:rPr>
        <w:t>is</w:t>
      </w:r>
      <w:r w:rsidRPr="00D6101B">
        <w:rPr>
          <w:color w:val="000000"/>
        </w:rPr>
        <w:t xml:space="preserve"> no information about</w:t>
      </w:r>
      <w:r>
        <w:rPr>
          <w:color w:val="000000"/>
        </w:rPr>
        <w:t xml:space="preserve"> the</w:t>
      </w:r>
      <w:r w:rsidRPr="00D6101B">
        <w:rPr>
          <w:color w:val="000000"/>
        </w:rPr>
        <w:t xml:space="preserve"> burial stage. Larnakes seem to be equally used for primary and secondary depositions, </w:t>
      </w:r>
      <w:r>
        <w:rPr>
          <w:color w:val="000000"/>
        </w:rPr>
        <w:t>even though</w:t>
      </w:r>
      <w:r w:rsidRPr="00D6101B">
        <w:rPr>
          <w:color w:val="000000"/>
        </w:rPr>
        <w:t xml:space="preserve"> there is a high number of burials for which there </w:t>
      </w:r>
      <w:r>
        <w:rPr>
          <w:color w:val="000000"/>
        </w:rPr>
        <w:t>is</w:t>
      </w:r>
      <w:r w:rsidRPr="00D6101B">
        <w:rPr>
          <w:color w:val="000000"/>
        </w:rPr>
        <w:t xml:space="preserve"> no information about </w:t>
      </w:r>
      <w:r>
        <w:rPr>
          <w:color w:val="000000"/>
        </w:rPr>
        <w:t xml:space="preserve">the </w:t>
      </w:r>
      <w:r w:rsidRPr="00D6101B">
        <w:rPr>
          <w:color w:val="000000"/>
        </w:rPr>
        <w:t>burial stage.</w:t>
      </w:r>
    </w:p>
    <w:p w14:paraId="06EDD82D" w14:textId="77777777" w:rsidR="001A4F1A" w:rsidRPr="00D6101B" w:rsidRDefault="001A4F1A" w:rsidP="00E858EF">
      <w:pPr>
        <w:suppressAutoHyphens/>
        <w:autoSpaceDE w:val="0"/>
        <w:autoSpaceDN w:val="0"/>
        <w:adjustRightInd w:val="0"/>
        <w:rPr>
          <w:color w:val="000000"/>
        </w:rPr>
      </w:pPr>
      <w:r>
        <w:rPr>
          <w:color w:val="000000"/>
        </w:rPr>
        <w:tab/>
        <w:t>Regarding</w:t>
      </w:r>
      <w:r w:rsidRPr="00D6101B">
        <w:rPr>
          <w:color w:val="000000"/>
        </w:rPr>
        <w:t xml:space="preserve"> gender and age</w:t>
      </w:r>
      <w:r>
        <w:rPr>
          <w:color w:val="000000"/>
        </w:rPr>
        <w:t>,</w:t>
      </w:r>
      <w:r w:rsidRPr="00D6101B">
        <w:rPr>
          <w:color w:val="000000"/>
        </w:rPr>
        <w:t xml:space="preserve"> information is available for a small sample </w:t>
      </w:r>
      <w:r>
        <w:rPr>
          <w:color w:val="000000"/>
        </w:rPr>
        <w:t>of</w:t>
      </w:r>
      <w:r w:rsidRPr="00D6101B">
        <w:rPr>
          <w:color w:val="000000"/>
        </w:rPr>
        <w:t xml:space="preserve"> </w:t>
      </w:r>
      <w:r>
        <w:rPr>
          <w:color w:val="000000"/>
        </w:rPr>
        <w:t>four</w:t>
      </w:r>
      <w:r w:rsidRPr="00D6101B">
        <w:rPr>
          <w:color w:val="000000"/>
        </w:rPr>
        <w:t xml:space="preserve"> tombs</w:t>
      </w:r>
      <w:r>
        <w:rPr>
          <w:color w:val="000000"/>
        </w:rPr>
        <w:t xml:space="preserve"> (</w:t>
      </w:r>
      <w:r w:rsidRPr="00D6101B">
        <w:rPr>
          <w:color w:val="000000"/>
        </w:rPr>
        <w:t>1</w:t>
      </w:r>
      <w:r>
        <w:rPr>
          <w:color w:val="000000"/>
        </w:rPr>
        <w:t>0</w:t>
      </w:r>
      <w:r w:rsidRPr="00D6101B">
        <w:rPr>
          <w:color w:val="000000"/>
        </w:rPr>
        <w:t>%</w:t>
      </w:r>
      <w:r>
        <w:rPr>
          <w:color w:val="000000"/>
        </w:rPr>
        <w:t xml:space="preserve"> of the total number of secure tombs with larnax from the region)</w:t>
      </w:r>
      <w:r w:rsidRPr="00D6101B">
        <w:rPr>
          <w:color w:val="000000"/>
        </w:rPr>
        <w:t xml:space="preserve">. The proportion of the sample </w:t>
      </w:r>
      <w:r>
        <w:rPr>
          <w:color w:val="000000"/>
        </w:rPr>
        <w:t xml:space="preserve">changes when </w:t>
      </w:r>
      <w:r w:rsidRPr="00D6101B">
        <w:rPr>
          <w:color w:val="000000"/>
        </w:rPr>
        <w:t>th</w:t>
      </w:r>
      <w:r>
        <w:rPr>
          <w:color w:val="000000"/>
        </w:rPr>
        <w:t>e</w:t>
      </w:r>
      <w:r w:rsidRPr="00D6101B">
        <w:rPr>
          <w:color w:val="000000"/>
        </w:rPr>
        <w:t xml:space="preserve"> data </w:t>
      </w:r>
      <w:r>
        <w:rPr>
          <w:color w:val="000000"/>
        </w:rPr>
        <w:t>refer</w:t>
      </w:r>
      <w:r w:rsidRPr="00D6101B">
        <w:rPr>
          <w:color w:val="000000"/>
        </w:rPr>
        <w:t xml:space="preserve"> to the number of individual</w:t>
      </w:r>
      <w:r>
        <w:rPr>
          <w:color w:val="000000"/>
        </w:rPr>
        <w:t>s</w:t>
      </w:r>
      <w:r w:rsidRPr="00D6101B">
        <w:rPr>
          <w:color w:val="000000"/>
        </w:rPr>
        <w:t xml:space="preserve">: </w:t>
      </w:r>
      <w:r>
        <w:rPr>
          <w:color w:val="000000"/>
        </w:rPr>
        <w:t>from</w:t>
      </w:r>
      <w:r w:rsidRPr="00D6101B">
        <w:rPr>
          <w:color w:val="000000"/>
        </w:rPr>
        <w:t xml:space="preserve"> a total number of 110 individual</w:t>
      </w:r>
      <w:r>
        <w:rPr>
          <w:color w:val="000000"/>
        </w:rPr>
        <w:t>s</w:t>
      </w:r>
      <w:r w:rsidRPr="00D6101B">
        <w:rPr>
          <w:color w:val="000000"/>
        </w:rPr>
        <w:t xml:space="preserve"> (</w:t>
      </w:r>
      <w:r>
        <w:rPr>
          <w:color w:val="000000"/>
        </w:rPr>
        <w:t>based</w:t>
      </w:r>
      <w:r w:rsidRPr="00D6101B">
        <w:rPr>
          <w:color w:val="000000"/>
        </w:rPr>
        <w:t xml:space="preserve"> </w:t>
      </w:r>
      <w:r>
        <w:rPr>
          <w:color w:val="000000"/>
        </w:rPr>
        <w:t xml:space="preserve">on </w:t>
      </w:r>
      <w:r w:rsidRPr="00D6101B">
        <w:rPr>
          <w:color w:val="000000"/>
        </w:rPr>
        <w:t>skeletal remain</w:t>
      </w:r>
      <w:r>
        <w:rPr>
          <w:color w:val="000000"/>
        </w:rPr>
        <w:t>s</w:t>
      </w:r>
      <w:r w:rsidRPr="00D6101B">
        <w:rPr>
          <w:color w:val="000000"/>
        </w:rPr>
        <w:t xml:space="preserve"> recovered), information about gender and age </w:t>
      </w:r>
      <w:r>
        <w:rPr>
          <w:color w:val="000000"/>
        </w:rPr>
        <w:t>is</w:t>
      </w:r>
      <w:r w:rsidRPr="00D6101B">
        <w:rPr>
          <w:color w:val="000000"/>
        </w:rPr>
        <w:t xml:space="preserve"> available </w:t>
      </w:r>
      <w:r>
        <w:rPr>
          <w:color w:val="000000"/>
        </w:rPr>
        <w:t>for</w:t>
      </w:r>
      <w:r w:rsidRPr="00D6101B">
        <w:rPr>
          <w:color w:val="000000"/>
        </w:rPr>
        <w:t xml:space="preserve"> 22 %.</w:t>
      </w:r>
    </w:p>
    <w:p w14:paraId="6D8AD7D7" w14:textId="77777777" w:rsidR="001A4F1A" w:rsidRPr="00D6101B" w:rsidRDefault="001A4F1A" w:rsidP="00E858EF">
      <w:pPr>
        <w:suppressAutoHyphens/>
      </w:pPr>
    </w:p>
    <w:p w14:paraId="0287345E" w14:textId="77777777" w:rsidR="001A4F1A" w:rsidRDefault="001A4F1A" w:rsidP="00E858EF">
      <w:pPr>
        <w:suppressAutoHyphens/>
        <w:autoSpaceDE w:val="0"/>
        <w:autoSpaceDN w:val="0"/>
        <w:adjustRightInd w:val="0"/>
        <w:rPr>
          <w:color w:val="000000"/>
        </w:rPr>
      </w:pPr>
      <w:r>
        <w:rPr>
          <w:noProof/>
          <w:lang w:val="it-IT"/>
        </w:rPr>
        <w:drawing>
          <wp:inline distT="0" distB="0" distL="0" distR="0" wp14:anchorId="3EB7D7BC" wp14:editId="5638362F">
            <wp:extent cx="4680000" cy="2484000"/>
            <wp:effectExtent l="0" t="0" r="6350" b="12065"/>
            <wp:docPr id="69" name="Gra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7F0A4EF" w14:textId="7ECAD4DD" w:rsidR="001A4F1A" w:rsidRPr="00BE692F" w:rsidRDefault="001A4F1A" w:rsidP="00E858EF">
      <w:pPr>
        <w:pStyle w:val="Didascalia"/>
        <w:suppressAutoHyphens/>
      </w:pPr>
      <w:bookmarkStart w:id="699" w:name="_Toc520212344"/>
      <w:r w:rsidRPr="005B6D06">
        <w:t>Figure 4-</w:t>
      </w:r>
      <w:r>
        <w:t>7</w:t>
      </w:r>
      <w:r w:rsidR="003C4641">
        <w:t>.</w:t>
      </w:r>
      <w:r>
        <w:t xml:space="preserve"> Percentage of tombs with information </w:t>
      </w:r>
      <w:r w:rsidR="00466FB3">
        <w:t xml:space="preserve">on </w:t>
      </w:r>
      <w:r>
        <w:t>gender and age</w:t>
      </w:r>
      <w:r w:rsidR="00676506">
        <w:t>,</w:t>
      </w:r>
      <w:r>
        <w:t xml:space="preserve"> Mesara </w:t>
      </w:r>
      <w:bookmarkEnd w:id="699"/>
      <w:r w:rsidR="00D02AAA">
        <w:t>area</w:t>
      </w:r>
    </w:p>
    <w:p w14:paraId="05F433CE" w14:textId="77777777" w:rsidR="001A4F1A" w:rsidRDefault="001A4F1A" w:rsidP="00E858EF">
      <w:pPr>
        <w:suppressAutoHyphens/>
        <w:autoSpaceDE w:val="0"/>
        <w:autoSpaceDN w:val="0"/>
        <w:adjustRightInd w:val="0"/>
        <w:rPr>
          <w:color w:val="000000"/>
        </w:rPr>
      </w:pPr>
    </w:p>
    <w:p w14:paraId="04741B30" w14:textId="77777777" w:rsidR="001A4F1A" w:rsidRDefault="001A4F1A" w:rsidP="00E858EF">
      <w:pPr>
        <w:suppressAutoHyphens/>
        <w:autoSpaceDE w:val="0"/>
        <w:autoSpaceDN w:val="0"/>
        <w:adjustRightInd w:val="0"/>
        <w:rPr>
          <w:color w:val="000000"/>
        </w:rPr>
      </w:pPr>
      <w:r>
        <w:rPr>
          <w:noProof/>
          <w:lang w:val="it-IT"/>
        </w:rPr>
        <w:drawing>
          <wp:inline distT="0" distB="0" distL="0" distR="0" wp14:anchorId="6E358CCF" wp14:editId="616F474F">
            <wp:extent cx="4644000" cy="2520000"/>
            <wp:effectExtent l="0" t="0" r="4445" b="13970"/>
            <wp:docPr id="71" name="Gra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543C080" w14:textId="465513BA" w:rsidR="001A4F1A" w:rsidRPr="00D6101B" w:rsidRDefault="001A4F1A" w:rsidP="00E858EF">
      <w:pPr>
        <w:pStyle w:val="Didascalia"/>
        <w:suppressAutoHyphens/>
      </w:pPr>
      <w:bookmarkStart w:id="700" w:name="_Toc520212345"/>
      <w:r>
        <w:t>Figure 4-8</w:t>
      </w:r>
      <w:r w:rsidR="003C4641">
        <w:t>.</w:t>
      </w:r>
      <w:r>
        <w:t xml:space="preserve"> Percentage of individuals with information </w:t>
      </w:r>
      <w:r w:rsidR="00466FB3">
        <w:t xml:space="preserve">on </w:t>
      </w:r>
      <w:r>
        <w:t>gender and age</w:t>
      </w:r>
      <w:r w:rsidR="00D433EC">
        <w:t>,</w:t>
      </w:r>
      <w:r>
        <w:t xml:space="preserve"> Mesara </w:t>
      </w:r>
      <w:bookmarkEnd w:id="700"/>
      <w:r w:rsidR="00D02AAA">
        <w:t>area</w:t>
      </w:r>
    </w:p>
    <w:p w14:paraId="433CD3F4" w14:textId="77777777" w:rsidR="001A4F1A" w:rsidRDefault="001A4F1A" w:rsidP="00E858EF">
      <w:pPr>
        <w:suppressAutoHyphens/>
        <w:autoSpaceDE w:val="0"/>
        <w:autoSpaceDN w:val="0"/>
        <w:adjustRightInd w:val="0"/>
        <w:rPr>
          <w:color w:val="000000"/>
        </w:rPr>
      </w:pPr>
      <w:r>
        <w:rPr>
          <w:color w:val="000000"/>
        </w:rPr>
        <w:tab/>
      </w:r>
    </w:p>
    <w:p w14:paraId="0F9C0F63" w14:textId="77777777" w:rsidR="001A4F1A" w:rsidRPr="00D6101B" w:rsidRDefault="001A4F1A" w:rsidP="00E858EF">
      <w:pPr>
        <w:suppressAutoHyphens/>
        <w:autoSpaceDE w:val="0"/>
        <w:autoSpaceDN w:val="0"/>
        <w:adjustRightInd w:val="0"/>
        <w:ind w:firstLine="708"/>
        <w:rPr>
          <w:color w:val="000000"/>
        </w:rPr>
      </w:pPr>
      <w:r>
        <w:rPr>
          <w:color w:val="000000"/>
        </w:rPr>
        <w:t>Two of these tombs are at</w:t>
      </w:r>
      <w:r w:rsidRPr="00D6101B">
        <w:rPr>
          <w:color w:val="000000"/>
        </w:rPr>
        <w:t xml:space="preserve"> Kalochorafitis Anevolema</w:t>
      </w:r>
      <w:r>
        <w:rPr>
          <w:color w:val="000000"/>
        </w:rPr>
        <w:t>,</w:t>
      </w:r>
      <w:r w:rsidRPr="00D6101B">
        <w:rPr>
          <w:color w:val="000000"/>
        </w:rPr>
        <w:t xml:space="preserve"> where anthropological studies on the skeletal remains have been conducted, and the other two tombs </w:t>
      </w:r>
      <w:r>
        <w:rPr>
          <w:color w:val="000000"/>
        </w:rPr>
        <w:t>(</w:t>
      </w:r>
      <w:r w:rsidRPr="00D6101B">
        <w:rPr>
          <w:color w:val="000000"/>
        </w:rPr>
        <w:t>although no anthropological studies have been conducted</w:t>
      </w:r>
      <w:r>
        <w:rPr>
          <w:color w:val="000000"/>
        </w:rPr>
        <w:t>)</w:t>
      </w:r>
      <w:r w:rsidRPr="00D6101B">
        <w:rPr>
          <w:color w:val="000000"/>
        </w:rPr>
        <w:t xml:space="preserve"> are </w:t>
      </w:r>
      <w:r>
        <w:rPr>
          <w:color w:val="000000"/>
        </w:rPr>
        <w:t>Tomb A at Liliana and a chamber tomb at</w:t>
      </w:r>
      <w:r w:rsidRPr="00D6101B">
        <w:rPr>
          <w:color w:val="000000"/>
        </w:rPr>
        <w:t xml:space="preserve"> Stavros Galias. From </w:t>
      </w:r>
      <w:r>
        <w:rPr>
          <w:color w:val="000000"/>
        </w:rPr>
        <w:t>T</w:t>
      </w:r>
      <w:r w:rsidRPr="00D6101B">
        <w:rPr>
          <w:color w:val="000000"/>
        </w:rPr>
        <w:t>omb A at Liliana</w:t>
      </w:r>
      <w:r>
        <w:rPr>
          <w:color w:val="000000"/>
        </w:rPr>
        <w:t>,</w:t>
      </w:r>
      <w:r w:rsidRPr="00D6101B">
        <w:rPr>
          <w:color w:val="000000"/>
        </w:rPr>
        <w:t xml:space="preserve"> the information about gender and age </w:t>
      </w:r>
      <w:r>
        <w:rPr>
          <w:color w:val="000000"/>
        </w:rPr>
        <w:t>is</w:t>
      </w:r>
      <w:r w:rsidRPr="00D6101B">
        <w:rPr>
          <w:color w:val="000000"/>
        </w:rPr>
        <w:t xml:space="preserve"> reported only for two of the three primary burials found within the five larnakes.</w:t>
      </w:r>
      <w:r>
        <w:rPr>
          <w:color w:val="000000"/>
        </w:rPr>
        <w:t xml:space="preserve"> Three larnakes contained individual burials</w:t>
      </w:r>
      <w:r w:rsidRPr="00D6101B">
        <w:rPr>
          <w:color w:val="000000"/>
        </w:rPr>
        <w:t xml:space="preserve"> </w:t>
      </w:r>
      <w:r>
        <w:rPr>
          <w:color w:val="000000"/>
        </w:rPr>
        <w:t>and between them</w:t>
      </w:r>
      <w:r w:rsidRPr="00D6101B">
        <w:rPr>
          <w:color w:val="000000"/>
        </w:rPr>
        <w:t xml:space="preserve"> </w:t>
      </w:r>
      <w:r>
        <w:rPr>
          <w:color w:val="000000"/>
        </w:rPr>
        <w:t xml:space="preserve">in </w:t>
      </w:r>
      <w:r w:rsidRPr="00D6101B">
        <w:rPr>
          <w:color w:val="000000"/>
        </w:rPr>
        <w:t>one larnax was buried a female and in another a</w:t>
      </w:r>
      <w:r>
        <w:rPr>
          <w:color w:val="000000"/>
        </w:rPr>
        <w:t xml:space="preserve"> male individual</w:t>
      </w:r>
      <w:r w:rsidRPr="00D6101B">
        <w:rPr>
          <w:color w:val="000000"/>
        </w:rPr>
        <w:t xml:space="preserve">. The remaining two larnakes </w:t>
      </w:r>
      <w:r>
        <w:rPr>
          <w:color w:val="000000"/>
        </w:rPr>
        <w:t xml:space="preserve">are associated with </w:t>
      </w:r>
      <w:r w:rsidRPr="00D6101B">
        <w:rPr>
          <w:color w:val="000000"/>
        </w:rPr>
        <w:t xml:space="preserve">four secondary burials each. Five secondary depositions </w:t>
      </w:r>
      <w:r>
        <w:rPr>
          <w:color w:val="000000"/>
        </w:rPr>
        <w:t>were also</w:t>
      </w:r>
      <w:r w:rsidRPr="00D6101B">
        <w:rPr>
          <w:color w:val="000000"/>
        </w:rPr>
        <w:t xml:space="preserve"> found on the floor (Savignoni 1904: 628-639).</w:t>
      </w:r>
      <w:r>
        <w:rPr>
          <w:color w:val="000000"/>
        </w:rPr>
        <w:t xml:space="preserve"> </w:t>
      </w:r>
    </w:p>
    <w:p w14:paraId="7106F0F9"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 xml:space="preserve">The report from the chamber tomb found in 1975 at Stavros Galias (Karetsou 1975) refers to the gender of the two primary burials on the floor (male) and of the deposition within the larnax (female). No information is available </w:t>
      </w:r>
      <w:r>
        <w:rPr>
          <w:color w:val="000000"/>
        </w:rPr>
        <w:t>regarding</w:t>
      </w:r>
      <w:r w:rsidRPr="00D6101B">
        <w:rPr>
          <w:color w:val="000000"/>
        </w:rPr>
        <w:t xml:space="preserve"> the secondary burial on the floor located between the larnax and one of the two wooden chests. </w:t>
      </w:r>
    </w:p>
    <w:p w14:paraId="32578083"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 xml:space="preserve">Skeletal remains from </w:t>
      </w:r>
      <w:r>
        <w:rPr>
          <w:color w:val="000000"/>
        </w:rPr>
        <w:t>T</w:t>
      </w:r>
      <w:r w:rsidRPr="00D6101B">
        <w:rPr>
          <w:color w:val="000000"/>
        </w:rPr>
        <w:t xml:space="preserve">omb D </w:t>
      </w:r>
      <w:r>
        <w:rPr>
          <w:color w:val="000000"/>
        </w:rPr>
        <w:t>at</w:t>
      </w:r>
      <w:r w:rsidRPr="00D6101B">
        <w:rPr>
          <w:color w:val="000000"/>
        </w:rPr>
        <w:t xml:space="preserve"> Kalochorafitis Anevolema have been carefully e</w:t>
      </w:r>
      <w:r>
        <w:rPr>
          <w:color w:val="000000"/>
        </w:rPr>
        <w:t xml:space="preserve">xcavated, studied and published, </w:t>
      </w:r>
      <w:r w:rsidRPr="00D6101B">
        <w:rPr>
          <w:color w:val="000000"/>
        </w:rPr>
        <w:t xml:space="preserve">and the same careful study </w:t>
      </w:r>
      <w:r>
        <w:rPr>
          <w:color w:val="000000"/>
        </w:rPr>
        <w:t>was</w:t>
      </w:r>
      <w:r w:rsidRPr="00D6101B">
        <w:rPr>
          <w:color w:val="000000"/>
        </w:rPr>
        <w:t xml:space="preserve"> conducted for the bones from </w:t>
      </w:r>
      <w:r>
        <w:rPr>
          <w:color w:val="000000"/>
        </w:rPr>
        <w:t>T</w:t>
      </w:r>
      <w:r w:rsidRPr="00D6101B">
        <w:rPr>
          <w:color w:val="000000"/>
        </w:rPr>
        <w:t xml:space="preserve">omb B from the same burial location excavated almost </w:t>
      </w:r>
      <w:r>
        <w:rPr>
          <w:color w:val="000000"/>
        </w:rPr>
        <w:t>40</w:t>
      </w:r>
      <w:r w:rsidRPr="00D6101B">
        <w:rPr>
          <w:color w:val="000000"/>
        </w:rPr>
        <w:t xml:space="preserve"> years ago (Nafplioti 2015). </w:t>
      </w:r>
      <w:r>
        <w:rPr>
          <w:color w:val="000000"/>
        </w:rPr>
        <w:t>Regarding the</w:t>
      </w:r>
      <w:r w:rsidRPr="00D6101B">
        <w:rPr>
          <w:color w:val="000000"/>
        </w:rPr>
        <w:t xml:space="preserve"> anthropological remains found in </w:t>
      </w:r>
      <w:r>
        <w:rPr>
          <w:color w:val="000000"/>
        </w:rPr>
        <w:t>T</w:t>
      </w:r>
      <w:r w:rsidRPr="00D6101B">
        <w:rPr>
          <w:color w:val="000000"/>
        </w:rPr>
        <w:t>omb B</w:t>
      </w:r>
      <w:r>
        <w:rPr>
          <w:color w:val="000000"/>
        </w:rPr>
        <w:t>,</w:t>
      </w:r>
      <w:r w:rsidRPr="00D6101B">
        <w:rPr>
          <w:color w:val="000000"/>
        </w:rPr>
        <w:t xml:space="preserve"> they </w:t>
      </w:r>
      <w:r>
        <w:rPr>
          <w:color w:val="000000"/>
        </w:rPr>
        <w:t>are</w:t>
      </w:r>
      <w:r w:rsidRPr="00D6101B">
        <w:rPr>
          <w:color w:val="000000"/>
        </w:rPr>
        <w:t xml:space="preserve"> fragment</w:t>
      </w:r>
      <w:r>
        <w:rPr>
          <w:color w:val="000000"/>
        </w:rPr>
        <w:t>s</w:t>
      </w:r>
      <w:r w:rsidRPr="00D6101B">
        <w:rPr>
          <w:color w:val="000000"/>
        </w:rPr>
        <w:t xml:space="preserve"> of non-human bone that </w:t>
      </w:r>
      <w:r>
        <w:rPr>
          <w:color w:val="000000"/>
        </w:rPr>
        <w:t>were</w:t>
      </w:r>
      <w:r w:rsidRPr="00D6101B">
        <w:rPr>
          <w:color w:val="000000"/>
        </w:rPr>
        <w:t xml:space="preserve"> found in the dromos (probably sheep/goat, Nafplioti 2015: 282). The collapse of the roof and walls of the tomb damage</w:t>
      </w:r>
      <w:r>
        <w:rPr>
          <w:color w:val="000000"/>
        </w:rPr>
        <w:t xml:space="preserve">d </w:t>
      </w:r>
      <w:r w:rsidRPr="00D6101B">
        <w:rPr>
          <w:color w:val="000000"/>
        </w:rPr>
        <w:t xml:space="preserve">the skeletal materials and larnakes found in fragments on the floor (only </w:t>
      </w:r>
      <w:r>
        <w:rPr>
          <w:color w:val="000000"/>
        </w:rPr>
        <w:t>six</w:t>
      </w:r>
      <w:r w:rsidRPr="00D6101B">
        <w:rPr>
          <w:color w:val="000000"/>
        </w:rPr>
        <w:t xml:space="preserve"> </w:t>
      </w:r>
      <w:r>
        <w:rPr>
          <w:color w:val="000000"/>
        </w:rPr>
        <w:t>out of eight</w:t>
      </w:r>
      <w:r w:rsidRPr="00D6101B">
        <w:rPr>
          <w:color w:val="000000"/>
        </w:rPr>
        <w:t xml:space="preserve"> have been reconstructed). The skeletal remains recovered from the floor are poorly preserved and belong to one adult, probably female, and to a child (Nafplioti 2015: 281). These skeletal remains </w:t>
      </w:r>
      <w:r>
        <w:rPr>
          <w:color w:val="000000"/>
        </w:rPr>
        <w:t xml:space="preserve">only partially </w:t>
      </w:r>
      <w:r w:rsidRPr="00D6101B">
        <w:rPr>
          <w:color w:val="000000"/>
        </w:rPr>
        <w:t xml:space="preserve">represent the group of burials in this tomb (Nafplioti 2015: 300). The number of depositions </w:t>
      </w:r>
      <w:r>
        <w:rPr>
          <w:color w:val="000000"/>
        </w:rPr>
        <w:t>is probably ten individuals</w:t>
      </w:r>
      <w:r w:rsidRPr="00D6101B">
        <w:rPr>
          <w:color w:val="000000"/>
        </w:rPr>
        <w:t xml:space="preserve"> </w:t>
      </w:r>
      <w:r>
        <w:rPr>
          <w:color w:val="000000"/>
        </w:rPr>
        <w:t>(</w:t>
      </w:r>
      <w:r w:rsidRPr="00D6101B">
        <w:rPr>
          <w:color w:val="000000"/>
        </w:rPr>
        <w:t>considering the minimum number of eight individuals one per each larnax plus the two depositions on the floor represent</w:t>
      </w:r>
      <w:r>
        <w:rPr>
          <w:color w:val="000000"/>
        </w:rPr>
        <w:t>ing</w:t>
      </w:r>
      <w:r w:rsidRPr="00D6101B">
        <w:rPr>
          <w:color w:val="000000"/>
        </w:rPr>
        <w:t xml:space="preserve"> secondary burial depositions</w:t>
      </w:r>
      <w:r>
        <w:rPr>
          <w:color w:val="000000"/>
        </w:rPr>
        <w:t>)</w:t>
      </w:r>
      <w:r w:rsidRPr="00D6101B">
        <w:rPr>
          <w:color w:val="000000"/>
        </w:rPr>
        <w:t xml:space="preserve">. Although </w:t>
      </w:r>
      <w:r>
        <w:rPr>
          <w:color w:val="000000"/>
        </w:rPr>
        <w:t xml:space="preserve">it </w:t>
      </w:r>
      <w:r w:rsidRPr="00D6101B">
        <w:rPr>
          <w:color w:val="000000"/>
        </w:rPr>
        <w:t xml:space="preserve">is not possible to determine which of the eight larnakes </w:t>
      </w:r>
      <w:r>
        <w:rPr>
          <w:color w:val="000000"/>
        </w:rPr>
        <w:t>were</w:t>
      </w:r>
      <w:r w:rsidRPr="00D6101B">
        <w:rPr>
          <w:color w:val="000000"/>
        </w:rPr>
        <w:t xml:space="preserve"> reused more than once (except for </w:t>
      </w:r>
      <w:r>
        <w:rPr>
          <w:color w:val="000000"/>
        </w:rPr>
        <w:t>L</w:t>
      </w:r>
      <w:r w:rsidRPr="00D6101B">
        <w:rPr>
          <w:color w:val="000000"/>
        </w:rPr>
        <w:t>arnax 8</w:t>
      </w:r>
      <w:r>
        <w:rPr>
          <w:color w:val="000000"/>
        </w:rPr>
        <w:t>,</w:t>
      </w:r>
      <w:r w:rsidRPr="00D6101B">
        <w:rPr>
          <w:color w:val="000000"/>
        </w:rPr>
        <w:t xml:space="preserve"> which</w:t>
      </w:r>
      <w:r>
        <w:rPr>
          <w:color w:val="000000"/>
        </w:rPr>
        <w:t>,</w:t>
      </w:r>
      <w:r w:rsidRPr="00D6101B">
        <w:rPr>
          <w:color w:val="000000"/>
        </w:rPr>
        <w:t xml:space="preserve"> according to Alexandra Karetsou</w:t>
      </w:r>
      <w:r>
        <w:rPr>
          <w:color w:val="000000"/>
        </w:rPr>
        <w:t>,</w:t>
      </w:r>
      <w:r w:rsidRPr="00D6101B">
        <w:rPr>
          <w:color w:val="000000"/>
        </w:rPr>
        <w:t xml:space="preserve"> belong</w:t>
      </w:r>
      <w:r>
        <w:rPr>
          <w:color w:val="000000"/>
        </w:rPr>
        <w:t>s</w:t>
      </w:r>
      <w:r w:rsidRPr="00D6101B">
        <w:rPr>
          <w:color w:val="000000"/>
        </w:rPr>
        <w:t xml:space="preserve"> to LM IIIA2, so to the first phase of the tomb, which was in use for a long period </w:t>
      </w:r>
      <w:r>
        <w:rPr>
          <w:color w:val="000000"/>
        </w:rPr>
        <w:t>from LM IIIA2 to LM IIIB: see</w:t>
      </w:r>
      <w:r w:rsidRPr="00D6101B">
        <w:rPr>
          <w:color w:val="000000"/>
        </w:rPr>
        <w:t xml:space="preserve"> Karetsou 2015: 45)</w:t>
      </w:r>
      <w:r>
        <w:rPr>
          <w:color w:val="000000"/>
        </w:rPr>
        <w:t>,</w:t>
      </w:r>
      <w:r w:rsidRPr="00D6101B">
        <w:rPr>
          <w:color w:val="000000"/>
        </w:rPr>
        <w:t xml:space="preserve"> </w:t>
      </w:r>
      <w:r>
        <w:rPr>
          <w:color w:val="000000"/>
        </w:rPr>
        <w:t>i</w:t>
      </w:r>
      <w:r w:rsidRPr="00D6101B">
        <w:rPr>
          <w:color w:val="000000"/>
        </w:rPr>
        <w:t>t is highly possible that the vast majority of skeletal materials from this tomb have completely disintegrated. From the anthropological study</w:t>
      </w:r>
      <w:r>
        <w:rPr>
          <w:color w:val="000000"/>
        </w:rPr>
        <w:t>, it</w:t>
      </w:r>
      <w:r w:rsidRPr="00D6101B">
        <w:rPr>
          <w:color w:val="000000"/>
        </w:rPr>
        <w:t xml:space="preserve"> is not possible to retrieve any connection between </w:t>
      </w:r>
      <w:r>
        <w:rPr>
          <w:color w:val="000000"/>
        </w:rPr>
        <w:t xml:space="preserve">the </w:t>
      </w:r>
      <w:r w:rsidRPr="00D6101B">
        <w:rPr>
          <w:color w:val="000000"/>
        </w:rPr>
        <w:t>larnakes</w:t>
      </w:r>
      <w:r>
        <w:rPr>
          <w:color w:val="000000"/>
        </w:rPr>
        <w:t xml:space="preserve"> and</w:t>
      </w:r>
      <w:r w:rsidRPr="00D6101B">
        <w:rPr>
          <w:color w:val="000000"/>
        </w:rPr>
        <w:t xml:space="preserve"> gender or age.</w:t>
      </w:r>
    </w:p>
    <w:p w14:paraId="61E9E566"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 xml:space="preserve">The careful excavation and study of skeletal remains </w:t>
      </w:r>
      <w:r>
        <w:rPr>
          <w:color w:val="000000"/>
        </w:rPr>
        <w:t>from T</w:t>
      </w:r>
      <w:r w:rsidRPr="00D6101B">
        <w:rPr>
          <w:color w:val="000000"/>
        </w:rPr>
        <w:t xml:space="preserve">omb D, conducted </w:t>
      </w:r>
      <w:r>
        <w:rPr>
          <w:color w:val="000000"/>
        </w:rPr>
        <w:t>relatively</w:t>
      </w:r>
      <w:r w:rsidRPr="00D6101B">
        <w:rPr>
          <w:color w:val="000000"/>
        </w:rPr>
        <w:t xml:space="preserve"> recently (</w:t>
      </w:r>
      <w:r>
        <w:rPr>
          <w:color w:val="000000"/>
        </w:rPr>
        <w:t>in 2010: see Karetsou and Girella 2015: 117</w:t>
      </w:r>
      <w:r w:rsidRPr="00D6101B">
        <w:rPr>
          <w:color w:val="000000"/>
        </w:rPr>
        <w:t>), provide</w:t>
      </w:r>
      <w:r>
        <w:rPr>
          <w:color w:val="000000"/>
        </w:rPr>
        <w:t>s</w:t>
      </w:r>
      <w:r w:rsidRPr="00D6101B">
        <w:rPr>
          <w:color w:val="000000"/>
        </w:rPr>
        <w:t xml:space="preserve"> information not only about the minimum number of individuals buried</w:t>
      </w:r>
      <w:r>
        <w:rPr>
          <w:color w:val="000000"/>
        </w:rPr>
        <w:t xml:space="preserve"> and their</w:t>
      </w:r>
      <w:r w:rsidRPr="00D6101B">
        <w:rPr>
          <w:color w:val="000000"/>
        </w:rPr>
        <w:t xml:space="preserve"> gender and age, but also </w:t>
      </w:r>
      <w:r>
        <w:rPr>
          <w:color w:val="000000"/>
        </w:rPr>
        <w:t>about</w:t>
      </w:r>
      <w:r w:rsidRPr="00D6101B">
        <w:rPr>
          <w:color w:val="000000"/>
        </w:rPr>
        <w:t xml:space="preserve"> the stage of the burials in </w:t>
      </w:r>
      <w:r>
        <w:rPr>
          <w:color w:val="000000"/>
        </w:rPr>
        <w:t xml:space="preserve">the </w:t>
      </w:r>
      <w:r w:rsidRPr="00D6101B">
        <w:rPr>
          <w:color w:val="000000"/>
        </w:rPr>
        <w:t xml:space="preserve">larnakes and on the floor. </w:t>
      </w:r>
      <w:r>
        <w:rPr>
          <w:color w:val="000000"/>
        </w:rPr>
        <w:t>Of</w:t>
      </w:r>
      <w:r w:rsidRPr="00D6101B">
        <w:rPr>
          <w:color w:val="000000"/>
        </w:rPr>
        <w:t xml:space="preserve"> the four larnakes found, only one was used for secondary burial purposes</w:t>
      </w:r>
      <w:r>
        <w:rPr>
          <w:color w:val="000000"/>
        </w:rPr>
        <w:t xml:space="preserve"> and</w:t>
      </w:r>
      <w:r w:rsidRPr="00D6101B">
        <w:rPr>
          <w:color w:val="000000"/>
        </w:rPr>
        <w:t xml:space="preserve"> contain</w:t>
      </w:r>
      <w:r>
        <w:rPr>
          <w:color w:val="000000"/>
        </w:rPr>
        <w:t>ed</w:t>
      </w:r>
      <w:r w:rsidRPr="00D6101B">
        <w:rPr>
          <w:color w:val="000000"/>
        </w:rPr>
        <w:t xml:space="preserve"> four individuals of both genders </w:t>
      </w:r>
      <w:r>
        <w:rPr>
          <w:color w:val="000000"/>
        </w:rPr>
        <w:t>with</w:t>
      </w:r>
      <w:r w:rsidRPr="00D6101B">
        <w:rPr>
          <w:color w:val="000000"/>
        </w:rPr>
        <w:t xml:space="preserve"> a wide range of ages: </w:t>
      </w:r>
    </w:p>
    <w:p w14:paraId="651262A7" w14:textId="77777777" w:rsidR="001A4F1A" w:rsidRPr="00D6101B" w:rsidRDefault="001A4F1A" w:rsidP="00E858EF">
      <w:pPr>
        <w:pStyle w:val="Paragrafoelenco"/>
        <w:numPr>
          <w:ilvl w:val="0"/>
          <w:numId w:val="56"/>
        </w:numPr>
        <w:suppressAutoHyphens/>
        <w:autoSpaceDE w:val="0"/>
        <w:autoSpaceDN w:val="0"/>
        <w:adjustRightInd w:val="0"/>
        <w:rPr>
          <w:color w:val="000000"/>
        </w:rPr>
      </w:pPr>
      <w:r w:rsidRPr="00D6101B">
        <w:rPr>
          <w:color w:val="000000"/>
        </w:rPr>
        <w:t>Larnax A: two adults</w:t>
      </w:r>
      <w:r>
        <w:rPr>
          <w:color w:val="000000"/>
        </w:rPr>
        <w:t xml:space="preserve"> –</w:t>
      </w:r>
      <w:r w:rsidRPr="00D6101B">
        <w:rPr>
          <w:color w:val="000000"/>
        </w:rPr>
        <w:t xml:space="preserve"> one male, one female</w:t>
      </w:r>
      <w:r>
        <w:rPr>
          <w:color w:val="000000"/>
        </w:rPr>
        <w:t xml:space="preserve"> –</w:t>
      </w:r>
      <w:r w:rsidRPr="00D6101B">
        <w:rPr>
          <w:color w:val="000000"/>
        </w:rPr>
        <w:t xml:space="preserve"> one adolescent and one child (Nafplioti 2015: 279). From </w:t>
      </w:r>
      <w:r>
        <w:rPr>
          <w:color w:val="000000"/>
        </w:rPr>
        <w:t xml:space="preserve">the </w:t>
      </w:r>
      <w:r w:rsidRPr="00D6101B">
        <w:rPr>
          <w:color w:val="000000"/>
        </w:rPr>
        <w:t xml:space="preserve">grave goods associated with </w:t>
      </w:r>
      <w:r>
        <w:rPr>
          <w:color w:val="000000"/>
        </w:rPr>
        <w:t>it</w:t>
      </w:r>
      <w:r w:rsidRPr="00D6101B">
        <w:rPr>
          <w:color w:val="000000"/>
        </w:rPr>
        <w:t xml:space="preserve"> (all LM IIIA2 in date</w:t>
      </w:r>
      <w:r>
        <w:rPr>
          <w:color w:val="000000"/>
        </w:rPr>
        <w:t>: see</w:t>
      </w:r>
      <w:r w:rsidRPr="00D6101B">
        <w:rPr>
          <w:color w:val="000000"/>
        </w:rPr>
        <w:t xml:space="preserve"> Karetsou 2015: 119; Girella 2015: </w:t>
      </w:r>
      <w:r>
        <w:rPr>
          <w:color w:val="000000"/>
        </w:rPr>
        <w:t>C</w:t>
      </w:r>
      <w:r w:rsidRPr="00D6101B">
        <w:rPr>
          <w:color w:val="000000"/>
        </w:rPr>
        <w:t>hap</w:t>
      </w:r>
      <w:r>
        <w:rPr>
          <w:color w:val="000000"/>
        </w:rPr>
        <w:t>ter 6) and because</w:t>
      </w:r>
      <w:r w:rsidRPr="00D6101B">
        <w:rPr>
          <w:color w:val="000000"/>
        </w:rPr>
        <w:t xml:space="preserve"> it was used for secondary burial purposes</w:t>
      </w:r>
      <w:r>
        <w:rPr>
          <w:color w:val="000000"/>
        </w:rPr>
        <w:t>,</w:t>
      </w:r>
      <w:r w:rsidRPr="00D6101B">
        <w:rPr>
          <w:color w:val="000000"/>
        </w:rPr>
        <w:t xml:space="preserve"> it is possible that this larnax constitutes one of the oldest depositions </w:t>
      </w:r>
      <w:r>
        <w:rPr>
          <w:color w:val="000000"/>
        </w:rPr>
        <w:t>in this</w:t>
      </w:r>
      <w:r w:rsidRPr="00D6101B">
        <w:rPr>
          <w:color w:val="000000"/>
        </w:rPr>
        <w:t xml:space="preserve"> tomb, belonging to its first phase of use (LM IIIA2). </w:t>
      </w:r>
    </w:p>
    <w:p w14:paraId="0D5F9064" w14:textId="77777777" w:rsidR="001A4F1A" w:rsidRPr="00D6101B" w:rsidRDefault="001A4F1A" w:rsidP="00E858EF">
      <w:pPr>
        <w:pStyle w:val="Paragrafoelenco"/>
        <w:numPr>
          <w:ilvl w:val="0"/>
          <w:numId w:val="56"/>
        </w:numPr>
        <w:suppressAutoHyphens/>
        <w:autoSpaceDE w:val="0"/>
        <w:autoSpaceDN w:val="0"/>
        <w:adjustRightInd w:val="0"/>
        <w:rPr>
          <w:color w:val="000000"/>
        </w:rPr>
      </w:pPr>
      <w:r>
        <w:rPr>
          <w:color w:val="000000"/>
        </w:rPr>
        <w:t>The s</w:t>
      </w:r>
      <w:r w:rsidRPr="00D6101B">
        <w:rPr>
          <w:color w:val="000000"/>
        </w:rPr>
        <w:t xml:space="preserve">keletal remains retrieved from </w:t>
      </w:r>
      <w:r>
        <w:rPr>
          <w:color w:val="000000"/>
        </w:rPr>
        <w:t>L</w:t>
      </w:r>
      <w:r w:rsidRPr="00D6101B">
        <w:rPr>
          <w:color w:val="000000"/>
        </w:rPr>
        <w:t xml:space="preserve">arnax B belong to an adult male individual. </w:t>
      </w:r>
      <w:r>
        <w:rPr>
          <w:color w:val="000000"/>
        </w:rPr>
        <w:t>B</w:t>
      </w:r>
      <w:r w:rsidRPr="00D6101B">
        <w:rPr>
          <w:color w:val="000000"/>
        </w:rPr>
        <w:t xml:space="preserve">oth the small size of the larnax and the disturbed and disarticulated condition in which the burial was found </w:t>
      </w:r>
      <w:r>
        <w:rPr>
          <w:color w:val="000000"/>
        </w:rPr>
        <w:t>are</w:t>
      </w:r>
      <w:r w:rsidRPr="00D6101B">
        <w:rPr>
          <w:color w:val="000000"/>
        </w:rPr>
        <w:t xml:space="preserve"> explained </w:t>
      </w:r>
      <w:r>
        <w:rPr>
          <w:color w:val="000000"/>
        </w:rPr>
        <w:t>by</w:t>
      </w:r>
      <w:r w:rsidRPr="00D6101B">
        <w:rPr>
          <w:color w:val="000000"/>
        </w:rPr>
        <w:t xml:space="preserve"> a contracted deposition or with the exclusive use of this larnax for secondary deposition (Nafplioti 2015: 289). </w:t>
      </w:r>
    </w:p>
    <w:p w14:paraId="2632F923" w14:textId="77777777" w:rsidR="001A4F1A" w:rsidRPr="00D6101B" w:rsidRDefault="001A4F1A" w:rsidP="00E858EF">
      <w:pPr>
        <w:pStyle w:val="Paragrafoelenco"/>
        <w:numPr>
          <w:ilvl w:val="0"/>
          <w:numId w:val="56"/>
        </w:numPr>
        <w:suppressAutoHyphens/>
        <w:autoSpaceDE w:val="0"/>
        <w:autoSpaceDN w:val="0"/>
        <w:adjustRightInd w:val="0"/>
        <w:rPr>
          <w:color w:val="000000"/>
        </w:rPr>
      </w:pPr>
      <w:r>
        <w:rPr>
          <w:color w:val="000000"/>
        </w:rPr>
        <w:t>From</w:t>
      </w:r>
      <w:r w:rsidRPr="00D6101B">
        <w:rPr>
          <w:color w:val="000000"/>
        </w:rPr>
        <w:t xml:space="preserve"> </w:t>
      </w:r>
      <w:r>
        <w:rPr>
          <w:color w:val="000000"/>
        </w:rPr>
        <w:t>L</w:t>
      </w:r>
      <w:r w:rsidRPr="00D6101B">
        <w:rPr>
          <w:color w:val="000000"/>
        </w:rPr>
        <w:t xml:space="preserve">arnax C </w:t>
      </w:r>
      <w:r>
        <w:rPr>
          <w:color w:val="000000"/>
        </w:rPr>
        <w:t>were</w:t>
      </w:r>
      <w:r w:rsidRPr="00D6101B">
        <w:rPr>
          <w:color w:val="000000"/>
        </w:rPr>
        <w:t xml:space="preserve"> recovered the bones of at least two individuals, one adult male and </w:t>
      </w:r>
      <w:r>
        <w:rPr>
          <w:color w:val="000000"/>
        </w:rPr>
        <w:t xml:space="preserve">a </w:t>
      </w:r>
      <w:r w:rsidRPr="00D6101B">
        <w:rPr>
          <w:color w:val="000000"/>
        </w:rPr>
        <w:t>very young adult female. From the same context</w:t>
      </w:r>
      <w:r>
        <w:rPr>
          <w:color w:val="000000"/>
        </w:rPr>
        <w:t>,</w:t>
      </w:r>
      <w:r w:rsidRPr="00D6101B">
        <w:rPr>
          <w:color w:val="000000"/>
        </w:rPr>
        <w:t xml:space="preserve"> there is evidence for a third individual. </w:t>
      </w:r>
      <w:r>
        <w:rPr>
          <w:color w:val="000000"/>
        </w:rPr>
        <w:t>An animal bone (probably sheep or goat) was found a</w:t>
      </w:r>
      <w:r w:rsidRPr="00D6101B">
        <w:rPr>
          <w:color w:val="000000"/>
        </w:rPr>
        <w:t xml:space="preserve">mong the human skeletal remains from this larnax. </w:t>
      </w:r>
      <w:r>
        <w:rPr>
          <w:color w:val="000000"/>
        </w:rPr>
        <w:t>Regarding the skeletal material</w:t>
      </w:r>
      <w:r w:rsidRPr="00D6101B">
        <w:rPr>
          <w:color w:val="000000"/>
        </w:rPr>
        <w:t xml:space="preserve"> found in this larnax</w:t>
      </w:r>
      <w:r>
        <w:rPr>
          <w:color w:val="000000"/>
        </w:rPr>
        <w:t>,</w:t>
      </w:r>
      <w:r w:rsidRPr="00D6101B">
        <w:rPr>
          <w:color w:val="000000"/>
        </w:rPr>
        <w:t xml:space="preserve"> there is evidence </w:t>
      </w:r>
      <w:r>
        <w:rPr>
          <w:color w:val="000000"/>
        </w:rPr>
        <w:t xml:space="preserve">for </w:t>
      </w:r>
      <w:r w:rsidRPr="00D6101B">
        <w:rPr>
          <w:color w:val="000000"/>
        </w:rPr>
        <w:t>manipulation and post-depositional mixing (Nafplioti 2015: 294).</w:t>
      </w:r>
    </w:p>
    <w:p w14:paraId="0C8C7F05" w14:textId="77777777" w:rsidR="001A4F1A" w:rsidRPr="00D6101B" w:rsidRDefault="001A4F1A" w:rsidP="00E858EF">
      <w:pPr>
        <w:pStyle w:val="Paragrafoelenco"/>
        <w:numPr>
          <w:ilvl w:val="0"/>
          <w:numId w:val="56"/>
        </w:numPr>
        <w:suppressAutoHyphens/>
        <w:autoSpaceDE w:val="0"/>
        <w:autoSpaceDN w:val="0"/>
        <w:adjustRightInd w:val="0"/>
        <w:rPr>
          <w:color w:val="000000"/>
        </w:rPr>
      </w:pPr>
      <w:r w:rsidRPr="00D6101B">
        <w:rPr>
          <w:color w:val="000000"/>
        </w:rPr>
        <w:t xml:space="preserve">Larnax D was used for the deposition of two primary contracted burials: two young adult females. </w:t>
      </w:r>
    </w:p>
    <w:p w14:paraId="04F1AB5A" w14:textId="77777777" w:rsidR="001A4F1A" w:rsidRPr="00D6101B" w:rsidRDefault="001A4F1A" w:rsidP="00E858EF">
      <w:pPr>
        <w:suppressAutoHyphens/>
        <w:autoSpaceDE w:val="0"/>
        <w:autoSpaceDN w:val="0"/>
        <w:adjustRightInd w:val="0"/>
        <w:rPr>
          <w:color w:val="000000"/>
        </w:rPr>
      </w:pPr>
      <w:r w:rsidRPr="00D6101B">
        <w:rPr>
          <w:color w:val="000000"/>
        </w:rPr>
        <w:t>Four different contexts have been found on the floor of the tomb:</w:t>
      </w:r>
    </w:p>
    <w:p w14:paraId="46474894" w14:textId="77777777" w:rsidR="001A4F1A" w:rsidRPr="00D6101B" w:rsidRDefault="001A4F1A" w:rsidP="00E858EF">
      <w:pPr>
        <w:pStyle w:val="Paragrafoelenco"/>
        <w:numPr>
          <w:ilvl w:val="0"/>
          <w:numId w:val="35"/>
        </w:numPr>
        <w:suppressAutoHyphens/>
        <w:autoSpaceDE w:val="0"/>
        <w:autoSpaceDN w:val="0"/>
        <w:adjustRightInd w:val="0"/>
        <w:rPr>
          <w:color w:val="000000"/>
        </w:rPr>
      </w:pPr>
      <w:r w:rsidRPr="00D6101B">
        <w:rPr>
          <w:color w:val="000000"/>
        </w:rPr>
        <w:t xml:space="preserve">In a pit under </w:t>
      </w:r>
      <w:r>
        <w:rPr>
          <w:color w:val="000000"/>
        </w:rPr>
        <w:t>L</w:t>
      </w:r>
      <w:r w:rsidRPr="00D6101B">
        <w:rPr>
          <w:color w:val="000000"/>
        </w:rPr>
        <w:t xml:space="preserve">arnax A, fragments of bones from </w:t>
      </w:r>
      <w:r>
        <w:rPr>
          <w:color w:val="000000"/>
        </w:rPr>
        <w:t>three</w:t>
      </w:r>
      <w:r w:rsidRPr="00D6101B">
        <w:rPr>
          <w:color w:val="000000"/>
        </w:rPr>
        <w:t xml:space="preserve"> individuals </w:t>
      </w:r>
      <w:r>
        <w:rPr>
          <w:color w:val="000000"/>
        </w:rPr>
        <w:t>were</w:t>
      </w:r>
      <w:r w:rsidRPr="00D6101B">
        <w:rPr>
          <w:color w:val="000000"/>
        </w:rPr>
        <w:t xml:space="preserve"> found </w:t>
      </w:r>
      <w:r>
        <w:rPr>
          <w:color w:val="000000"/>
        </w:rPr>
        <w:t xml:space="preserve">from </w:t>
      </w:r>
      <w:r w:rsidRPr="00D6101B">
        <w:rPr>
          <w:color w:val="000000"/>
        </w:rPr>
        <w:t xml:space="preserve">secondary probably burials: </w:t>
      </w:r>
      <w:r>
        <w:rPr>
          <w:color w:val="000000"/>
        </w:rPr>
        <w:t>I</w:t>
      </w:r>
      <w:r w:rsidRPr="00D6101B">
        <w:rPr>
          <w:color w:val="000000"/>
        </w:rPr>
        <w:t>ndividual E</w:t>
      </w:r>
      <w:r>
        <w:rPr>
          <w:color w:val="000000"/>
        </w:rPr>
        <w:t>,</w:t>
      </w:r>
      <w:r w:rsidRPr="00D6101B">
        <w:rPr>
          <w:color w:val="000000"/>
        </w:rPr>
        <w:t xml:space="preserve"> young adult/adult, </w:t>
      </w:r>
      <w:r>
        <w:rPr>
          <w:color w:val="000000"/>
        </w:rPr>
        <w:t xml:space="preserve">whose </w:t>
      </w:r>
      <w:r w:rsidRPr="00D6101B">
        <w:rPr>
          <w:color w:val="000000"/>
        </w:rPr>
        <w:t>bones</w:t>
      </w:r>
      <w:r>
        <w:rPr>
          <w:color w:val="000000"/>
        </w:rPr>
        <w:t xml:space="preserve"> were</w:t>
      </w:r>
      <w:r w:rsidRPr="00D6101B">
        <w:rPr>
          <w:color w:val="000000"/>
        </w:rPr>
        <w:t xml:space="preserve"> found also within the </w:t>
      </w:r>
      <w:r>
        <w:rPr>
          <w:color w:val="000000"/>
        </w:rPr>
        <w:t>L</w:t>
      </w:r>
      <w:r w:rsidRPr="00D6101B">
        <w:rPr>
          <w:color w:val="000000"/>
        </w:rPr>
        <w:t xml:space="preserve">arnax A and in the pit; </w:t>
      </w:r>
      <w:r>
        <w:rPr>
          <w:color w:val="000000"/>
        </w:rPr>
        <w:t>I</w:t>
      </w:r>
      <w:r w:rsidRPr="00D6101B">
        <w:rPr>
          <w:color w:val="000000"/>
        </w:rPr>
        <w:t>ndividual F</w:t>
      </w:r>
      <w:r>
        <w:rPr>
          <w:color w:val="000000"/>
        </w:rPr>
        <w:t>,</w:t>
      </w:r>
      <w:r w:rsidRPr="00D6101B">
        <w:rPr>
          <w:color w:val="000000"/>
        </w:rPr>
        <w:t xml:space="preserve"> young female</w:t>
      </w:r>
      <w:r>
        <w:rPr>
          <w:color w:val="000000"/>
        </w:rPr>
        <w:t>;</w:t>
      </w:r>
      <w:r w:rsidRPr="00D6101B">
        <w:rPr>
          <w:color w:val="000000"/>
        </w:rPr>
        <w:t xml:space="preserve"> and </w:t>
      </w:r>
      <w:r>
        <w:rPr>
          <w:color w:val="000000"/>
        </w:rPr>
        <w:t xml:space="preserve">Individual </w:t>
      </w:r>
      <w:r w:rsidRPr="00D6101B">
        <w:rPr>
          <w:color w:val="000000"/>
        </w:rPr>
        <w:t>G</w:t>
      </w:r>
      <w:r>
        <w:rPr>
          <w:color w:val="000000"/>
        </w:rPr>
        <w:t>, an</w:t>
      </w:r>
      <w:r w:rsidRPr="00D6101B">
        <w:rPr>
          <w:color w:val="000000"/>
        </w:rPr>
        <w:t xml:space="preserve"> adult male in the pit.</w:t>
      </w:r>
    </w:p>
    <w:p w14:paraId="37B8280A" w14:textId="77777777" w:rsidR="001A4F1A" w:rsidRPr="00D6101B" w:rsidRDefault="001A4F1A" w:rsidP="00E858EF">
      <w:pPr>
        <w:pStyle w:val="Paragrafoelenco"/>
        <w:numPr>
          <w:ilvl w:val="0"/>
          <w:numId w:val="35"/>
        </w:numPr>
        <w:suppressAutoHyphens/>
        <w:autoSpaceDE w:val="0"/>
        <w:autoSpaceDN w:val="0"/>
        <w:adjustRightInd w:val="0"/>
        <w:rPr>
          <w:color w:val="000000"/>
        </w:rPr>
      </w:pPr>
      <w:r w:rsidRPr="00D6101B">
        <w:rPr>
          <w:color w:val="000000"/>
        </w:rPr>
        <w:t xml:space="preserve">The remains of three </w:t>
      </w:r>
      <w:r>
        <w:rPr>
          <w:color w:val="000000"/>
        </w:rPr>
        <w:t xml:space="preserve">other </w:t>
      </w:r>
      <w:r w:rsidRPr="00D6101B">
        <w:rPr>
          <w:color w:val="000000"/>
        </w:rPr>
        <w:t>individuals were found on the floor in the corner between larna</w:t>
      </w:r>
      <w:r>
        <w:rPr>
          <w:color w:val="000000"/>
        </w:rPr>
        <w:t>kes</w:t>
      </w:r>
      <w:r w:rsidRPr="00D6101B">
        <w:rPr>
          <w:color w:val="000000"/>
        </w:rPr>
        <w:t xml:space="preserve"> A and B, two </w:t>
      </w:r>
      <w:r>
        <w:rPr>
          <w:color w:val="000000"/>
        </w:rPr>
        <w:t xml:space="preserve">of which </w:t>
      </w:r>
      <w:r w:rsidRPr="00D6101B">
        <w:rPr>
          <w:color w:val="000000"/>
        </w:rPr>
        <w:t>probably belong</w:t>
      </w:r>
      <w:r>
        <w:rPr>
          <w:color w:val="000000"/>
        </w:rPr>
        <w:t>ed</w:t>
      </w:r>
      <w:r w:rsidRPr="00D6101B">
        <w:rPr>
          <w:color w:val="000000"/>
        </w:rPr>
        <w:t xml:space="preserve"> to adult male</w:t>
      </w:r>
      <w:r>
        <w:rPr>
          <w:color w:val="000000"/>
        </w:rPr>
        <w:t>s</w:t>
      </w:r>
      <w:r w:rsidRPr="00D6101B">
        <w:rPr>
          <w:color w:val="000000"/>
        </w:rPr>
        <w:t xml:space="preserve">. </w:t>
      </w:r>
    </w:p>
    <w:p w14:paraId="2EE4CC0B" w14:textId="77777777" w:rsidR="001A4F1A" w:rsidRPr="00D6101B" w:rsidRDefault="001A4F1A" w:rsidP="00E858EF">
      <w:pPr>
        <w:pStyle w:val="Paragrafoelenco"/>
        <w:numPr>
          <w:ilvl w:val="0"/>
          <w:numId w:val="35"/>
        </w:numPr>
        <w:suppressAutoHyphens/>
        <w:autoSpaceDE w:val="0"/>
        <w:autoSpaceDN w:val="0"/>
        <w:adjustRightInd w:val="0"/>
        <w:rPr>
          <w:color w:val="000000"/>
        </w:rPr>
      </w:pPr>
      <w:r w:rsidRPr="00D6101B">
        <w:rPr>
          <w:color w:val="000000"/>
        </w:rPr>
        <w:t xml:space="preserve">On the south side of </w:t>
      </w:r>
      <w:r>
        <w:rPr>
          <w:color w:val="000000"/>
        </w:rPr>
        <w:t>L</w:t>
      </w:r>
      <w:r w:rsidRPr="00D6101B">
        <w:rPr>
          <w:color w:val="000000"/>
        </w:rPr>
        <w:t>arnax B on the floor were found the bones of a young adult</w:t>
      </w:r>
      <w:r>
        <w:rPr>
          <w:color w:val="000000"/>
        </w:rPr>
        <w:t>.</w:t>
      </w:r>
    </w:p>
    <w:p w14:paraId="1A74959E" w14:textId="77777777" w:rsidR="001A4F1A" w:rsidRPr="00D6101B" w:rsidRDefault="001A4F1A" w:rsidP="00E858EF">
      <w:pPr>
        <w:pStyle w:val="Paragrafoelenco"/>
        <w:numPr>
          <w:ilvl w:val="0"/>
          <w:numId w:val="35"/>
        </w:numPr>
        <w:suppressAutoHyphens/>
        <w:autoSpaceDE w:val="0"/>
        <w:autoSpaceDN w:val="0"/>
        <w:adjustRightInd w:val="0"/>
        <w:rPr>
          <w:color w:val="000000"/>
        </w:rPr>
      </w:pPr>
      <w:r w:rsidRPr="00D6101B">
        <w:rPr>
          <w:color w:val="000000"/>
        </w:rPr>
        <w:t xml:space="preserve">Outside </w:t>
      </w:r>
      <w:r>
        <w:rPr>
          <w:color w:val="000000"/>
        </w:rPr>
        <w:t>L</w:t>
      </w:r>
      <w:r w:rsidRPr="00D6101B">
        <w:rPr>
          <w:color w:val="000000"/>
        </w:rPr>
        <w:t xml:space="preserve">arnax C </w:t>
      </w:r>
      <w:r>
        <w:rPr>
          <w:color w:val="000000"/>
        </w:rPr>
        <w:t xml:space="preserve">were found a </w:t>
      </w:r>
      <w:r w:rsidRPr="00D6101B">
        <w:rPr>
          <w:color w:val="000000"/>
        </w:rPr>
        <w:t xml:space="preserve">few skeletal remains, </w:t>
      </w:r>
      <w:r>
        <w:rPr>
          <w:color w:val="000000"/>
        </w:rPr>
        <w:t>one of</w:t>
      </w:r>
      <w:r w:rsidRPr="00D6101B">
        <w:rPr>
          <w:color w:val="000000"/>
        </w:rPr>
        <w:t xml:space="preserve"> which </w:t>
      </w:r>
      <w:r>
        <w:rPr>
          <w:color w:val="000000"/>
        </w:rPr>
        <w:t xml:space="preserve">was </w:t>
      </w:r>
      <w:r w:rsidRPr="00D6101B">
        <w:rPr>
          <w:color w:val="000000"/>
        </w:rPr>
        <w:t>of an adult individual</w:t>
      </w:r>
      <w:r>
        <w:rPr>
          <w:color w:val="000000"/>
        </w:rPr>
        <w:t>.</w:t>
      </w:r>
    </w:p>
    <w:p w14:paraId="059C9D27"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The distribution of gender within th</w:t>
      </w:r>
      <w:r>
        <w:rPr>
          <w:color w:val="000000"/>
        </w:rPr>
        <w:t>e</w:t>
      </w:r>
      <w:r w:rsidRPr="00D6101B">
        <w:rPr>
          <w:color w:val="000000"/>
        </w:rPr>
        <w:t xml:space="preserve"> tomb seems to be balanced (</w:t>
      </w:r>
      <w:r>
        <w:rPr>
          <w:color w:val="000000"/>
        </w:rPr>
        <w:t>five</w:t>
      </w:r>
      <w:r w:rsidRPr="00D6101B">
        <w:rPr>
          <w:color w:val="000000"/>
        </w:rPr>
        <w:t xml:space="preserve"> female and </w:t>
      </w:r>
      <w:r>
        <w:rPr>
          <w:color w:val="000000"/>
        </w:rPr>
        <w:t>six</w:t>
      </w:r>
      <w:r w:rsidRPr="00D6101B">
        <w:rPr>
          <w:color w:val="000000"/>
        </w:rPr>
        <w:t xml:space="preserve"> male)</w:t>
      </w:r>
      <w:r>
        <w:rPr>
          <w:color w:val="000000"/>
        </w:rPr>
        <w:t>,</w:t>
      </w:r>
      <w:r w:rsidRPr="00D6101B">
        <w:rPr>
          <w:color w:val="000000"/>
        </w:rPr>
        <w:t xml:space="preserve"> as </w:t>
      </w:r>
      <w:r>
        <w:rPr>
          <w:color w:val="000000"/>
        </w:rPr>
        <w:t>is</w:t>
      </w:r>
      <w:r w:rsidRPr="00D6101B">
        <w:rPr>
          <w:color w:val="000000"/>
        </w:rPr>
        <w:t xml:space="preserve"> the distribution of age groups. This </w:t>
      </w:r>
      <w:r>
        <w:rPr>
          <w:color w:val="000000"/>
        </w:rPr>
        <w:t xml:space="preserve">balance </w:t>
      </w:r>
      <w:r w:rsidRPr="00D6101B">
        <w:rPr>
          <w:color w:val="000000"/>
        </w:rPr>
        <w:t xml:space="preserve">could </w:t>
      </w:r>
      <w:r>
        <w:rPr>
          <w:color w:val="000000"/>
        </w:rPr>
        <w:t xml:space="preserve">support </w:t>
      </w:r>
      <w:r w:rsidRPr="00D6101B">
        <w:rPr>
          <w:color w:val="000000"/>
        </w:rPr>
        <w:t xml:space="preserve">the hypothesis that larnax burials should not be associated </w:t>
      </w:r>
      <w:r>
        <w:rPr>
          <w:color w:val="000000"/>
        </w:rPr>
        <w:t>with</w:t>
      </w:r>
      <w:r w:rsidRPr="00D6101B">
        <w:rPr>
          <w:color w:val="000000"/>
        </w:rPr>
        <w:t xml:space="preserve"> a specific gender or age in this tomb.</w:t>
      </w:r>
    </w:p>
    <w:p w14:paraId="644590F8"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 xml:space="preserve">In </w:t>
      </w:r>
      <w:r>
        <w:rPr>
          <w:color w:val="000000"/>
        </w:rPr>
        <w:t>T</w:t>
      </w:r>
      <w:r w:rsidRPr="00D6101B">
        <w:rPr>
          <w:color w:val="000000"/>
        </w:rPr>
        <w:t>omb D</w:t>
      </w:r>
      <w:r>
        <w:rPr>
          <w:color w:val="000000"/>
        </w:rPr>
        <w:t>,</w:t>
      </w:r>
      <w:r w:rsidRPr="00D6101B">
        <w:rPr>
          <w:color w:val="000000"/>
        </w:rPr>
        <w:t xml:space="preserve"> at the time of the excavation</w:t>
      </w:r>
      <w:r>
        <w:rPr>
          <w:color w:val="000000"/>
        </w:rPr>
        <w:t>,</w:t>
      </w:r>
      <w:r w:rsidRPr="00D6101B">
        <w:rPr>
          <w:color w:val="000000"/>
        </w:rPr>
        <w:t xml:space="preserve"> all the larnax burials seem</w:t>
      </w:r>
      <w:r>
        <w:rPr>
          <w:color w:val="000000"/>
        </w:rPr>
        <w:t>ed to have been</w:t>
      </w:r>
      <w:r w:rsidRPr="00D6101B">
        <w:rPr>
          <w:color w:val="000000"/>
        </w:rPr>
        <w:t xml:space="preserve"> disturbed</w:t>
      </w:r>
      <w:r>
        <w:rPr>
          <w:color w:val="000000"/>
        </w:rPr>
        <w:t>,</w:t>
      </w:r>
      <w:r w:rsidRPr="00D6101B">
        <w:rPr>
          <w:color w:val="000000"/>
        </w:rPr>
        <w:t xml:space="preserve"> and </w:t>
      </w:r>
      <w:r>
        <w:rPr>
          <w:color w:val="000000"/>
        </w:rPr>
        <w:t xml:space="preserve">this </w:t>
      </w:r>
      <w:r w:rsidRPr="00D6101B">
        <w:rPr>
          <w:color w:val="000000"/>
        </w:rPr>
        <w:t>could be attributed to post-depositional manipulation</w:t>
      </w:r>
      <w:r>
        <w:rPr>
          <w:color w:val="000000"/>
        </w:rPr>
        <w:t xml:space="preserve"> practices</w:t>
      </w:r>
      <w:r w:rsidRPr="00D6101B">
        <w:rPr>
          <w:color w:val="000000"/>
        </w:rPr>
        <w:t xml:space="preserve"> of the dead</w:t>
      </w:r>
      <w:r>
        <w:rPr>
          <w:color w:val="000000"/>
        </w:rPr>
        <w:t xml:space="preserve"> </w:t>
      </w:r>
      <w:r w:rsidRPr="00D6101B">
        <w:rPr>
          <w:color w:val="000000"/>
        </w:rPr>
        <w:t>(Nafplioti 2015: 303, 308). The analysis of bones provides some more information about mortuary behaviour and larnax use in this tomb: larnakes B, C and D were probably used for primary contracted burials (complete representatio</w:t>
      </w:r>
      <w:r>
        <w:rPr>
          <w:color w:val="000000"/>
        </w:rPr>
        <w:t>n of the major anatomical parts and</w:t>
      </w:r>
      <w:r w:rsidRPr="00D6101B">
        <w:rPr>
          <w:color w:val="000000"/>
        </w:rPr>
        <w:t xml:space="preserve"> presence of small bones</w:t>
      </w:r>
      <w:r>
        <w:rPr>
          <w:color w:val="000000"/>
        </w:rPr>
        <w:t>: see</w:t>
      </w:r>
      <w:r w:rsidRPr="00D6101B">
        <w:rPr>
          <w:color w:val="000000"/>
        </w:rPr>
        <w:t xml:space="preserve"> Nafplioti 2015: 309; larnakes B and D </w:t>
      </w:r>
      <w:r>
        <w:rPr>
          <w:color w:val="000000"/>
        </w:rPr>
        <w:t xml:space="preserve">are </w:t>
      </w:r>
      <w:r w:rsidRPr="00D6101B">
        <w:rPr>
          <w:color w:val="000000"/>
        </w:rPr>
        <w:t xml:space="preserve">quite small, </w:t>
      </w:r>
      <w:r>
        <w:rPr>
          <w:color w:val="000000"/>
        </w:rPr>
        <w:t xml:space="preserve">possibly used for </w:t>
      </w:r>
      <w:r w:rsidRPr="00D6101B">
        <w:rPr>
          <w:color w:val="000000"/>
        </w:rPr>
        <w:t>only contracted burials)</w:t>
      </w:r>
      <w:r>
        <w:rPr>
          <w:color w:val="000000"/>
        </w:rPr>
        <w:t>,</w:t>
      </w:r>
      <w:r w:rsidRPr="00D6101B">
        <w:rPr>
          <w:color w:val="000000"/>
        </w:rPr>
        <w:t xml:space="preserve"> while </w:t>
      </w:r>
      <w:r>
        <w:rPr>
          <w:color w:val="000000"/>
        </w:rPr>
        <w:t>L</w:t>
      </w:r>
      <w:r w:rsidRPr="00D6101B">
        <w:rPr>
          <w:color w:val="000000"/>
        </w:rPr>
        <w:t>arnax A was used for secondary burial deposition. From the data</w:t>
      </w:r>
      <w:r>
        <w:rPr>
          <w:color w:val="000000"/>
        </w:rPr>
        <w:t>,</w:t>
      </w:r>
      <w:r w:rsidRPr="00D6101B">
        <w:rPr>
          <w:color w:val="000000"/>
        </w:rPr>
        <w:t xml:space="preserve"> </w:t>
      </w:r>
      <w:r>
        <w:rPr>
          <w:color w:val="000000"/>
        </w:rPr>
        <w:t>it seems</w:t>
      </w:r>
      <w:r w:rsidRPr="00D6101B">
        <w:rPr>
          <w:color w:val="000000"/>
        </w:rPr>
        <w:t xml:space="preserve"> that in </w:t>
      </w:r>
      <w:r>
        <w:rPr>
          <w:color w:val="000000"/>
        </w:rPr>
        <w:t>T</w:t>
      </w:r>
      <w:r w:rsidRPr="00D6101B">
        <w:rPr>
          <w:color w:val="000000"/>
        </w:rPr>
        <w:t>omb D not all larnakes were used in the same way.</w:t>
      </w:r>
    </w:p>
    <w:p w14:paraId="5BD775F3" w14:textId="77777777" w:rsidR="001A4F1A" w:rsidRPr="00D6101B" w:rsidRDefault="001A4F1A" w:rsidP="00E858EF">
      <w:pPr>
        <w:suppressAutoHyphens/>
        <w:autoSpaceDE w:val="0"/>
        <w:autoSpaceDN w:val="0"/>
        <w:adjustRightInd w:val="0"/>
        <w:rPr>
          <w:color w:val="000000"/>
        </w:rPr>
      </w:pPr>
      <w:r>
        <w:rPr>
          <w:color w:val="000000"/>
        </w:rPr>
        <w:tab/>
        <w:t>Based on the assignment of gender based on form of</w:t>
      </w:r>
      <w:r w:rsidRPr="00D6101B">
        <w:rPr>
          <w:color w:val="000000"/>
        </w:rPr>
        <w:t xml:space="preserve"> grave goods</w:t>
      </w:r>
      <w:r>
        <w:rPr>
          <w:color w:val="000000"/>
        </w:rPr>
        <w:t>,</w:t>
      </w:r>
      <w:r w:rsidRPr="00D6101B">
        <w:rPr>
          <w:color w:val="000000"/>
        </w:rPr>
        <w:t xml:space="preserve"> </w:t>
      </w:r>
      <w:r>
        <w:rPr>
          <w:color w:val="000000"/>
        </w:rPr>
        <w:t>this applies in</w:t>
      </w:r>
      <w:r w:rsidRPr="00D6101B">
        <w:rPr>
          <w:color w:val="000000"/>
        </w:rPr>
        <w:t xml:space="preserve"> other tombs</w:t>
      </w:r>
      <w:r>
        <w:rPr>
          <w:color w:val="000000"/>
        </w:rPr>
        <w:t xml:space="preserve"> also, including the following</w:t>
      </w:r>
      <w:r w:rsidRPr="00D6101B">
        <w:rPr>
          <w:color w:val="000000"/>
        </w:rPr>
        <w:t>:</w:t>
      </w:r>
    </w:p>
    <w:p w14:paraId="73D4CEC7" w14:textId="77777777" w:rsidR="001A4F1A" w:rsidRPr="00D6101B" w:rsidRDefault="001A4F1A" w:rsidP="00E858EF">
      <w:pPr>
        <w:suppressAutoHyphens/>
        <w:autoSpaceDE w:val="0"/>
        <w:autoSpaceDN w:val="0"/>
        <w:adjustRightInd w:val="0"/>
        <w:rPr>
          <w:color w:val="000000"/>
        </w:rPr>
      </w:pPr>
      <w:r w:rsidRPr="00D6101B">
        <w:rPr>
          <w:color w:val="000000"/>
        </w:rPr>
        <w:t>-</w:t>
      </w:r>
      <w:r>
        <w:rPr>
          <w:color w:val="000000"/>
        </w:rPr>
        <w:t xml:space="preserve"> The A</w:t>
      </w:r>
      <w:r w:rsidRPr="00D6101B">
        <w:rPr>
          <w:color w:val="000000"/>
        </w:rPr>
        <w:t>gia Triada</w:t>
      </w:r>
      <w:r>
        <w:rPr>
          <w:color w:val="000000"/>
        </w:rPr>
        <w:t xml:space="preserve"> male</w:t>
      </w:r>
      <w:r w:rsidRPr="00D6101B">
        <w:rPr>
          <w:color w:val="000000"/>
        </w:rPr>
        <w:t xml:space="preserve"> individual in the larnax in the pit (Long 1974: 13)</w:t>
      </w:r>
      <w:r>
        <w:rPr>
          <w:color w:val="000000"/>
        </w:rPr>
        <w:t>.</w:t>
      </w:r>
      <w:r w:rsidRPr="00D6101B">
        <w:rPr>
          <w:color w:val="000000"/>
        </w:rPr>
        <w:t xml:space="preserve"> </w:t>
      </w:r>
    </w:p>
    <w:p w14:paraId="460DB0E3" w14:textId="07ABD54B" w:rsidR="001A4F1A" w:rsidRPr="00D6101B" w:rsidRDefault="001A4F1A" w:rsidP="00E858EF">
      <w:pPr>
        <w:suppressAutoHyphens/>
        <w:autoSpaceDE w:val="0"/>
        <w:autoSpaceDN w:val="0"/>
        <w:adjustRightInd w:val="0"/>
        <w:rPr>
          <w:color w:val="000000"/>
        </w:rPr>
      </w:pPr>
      <w:r w:rsidRPr="00D6101B">
        <w:rPr>
          <w:color w:val="000000"/>
        </w:rPr>
        <w:t>-</w:t>
      </w:r>
      <w:r>
        <w:rPr>
          <w:color w:val="000000"/>
        </w:rPr>
        <w:t xml:space="preserve"> The </w:t>
      </w:r>
      <w:r w:rsidRPr="00D6101B">
        <w:rPr>
          <w:color w:val="000000"/>
        </w:rPr>
        <w:t>Goudies male and female</w:t>
      </w:r>
      <w:r w:rsidR="004E5FF0">
        <w:rPr>
          <w:color w:val="000000"/>
        </w:rPr>
        <w:t xml:space="preserve"> </w:t>
      </w:r>
      <w:r w:rsidRPr="00D6101B">
        <w:rPr>
          <w:color w:val="000000"/>
        </w:rPr>
        <w:t>burial</w:t>
      </w:r>
      <w:r>
        <w:rPr>
          <w:color w:val="000000"/>
        </w:rPr>
        <w:t>s</w:t>
      </w:r>
      <w:r w:rsidRPr="00D6101B">
        <w:rPr>
          <w:color w:val="000000"/>
        </w:rPr>
        <w:t xml:space="preserve"> in the two larnakes</w:t>
      </w:r>
      <w:r w:rsidR="00942894">
        <w:rPr>
          <w:color w:val="000000"/>
        </w:rPr>
        <w:t>,</w:t>
      </w:r>
      <w:r w:rsidRPr="00D6101B">
        <w:rPr>
          <w:color w:val="000000"/>
        </w:rPr>
        <w:t xml:space="preserve"> </w:t>
      </w:r>
      <w:r w:rsidR="007D403C">
        <w:rPr>
          <w:color w:val="000000"/>
        </w:rPr>
        <w:t xml:space="preserve">the latter identified as female on the </w:t>
      </w:r>
      <w:r>
        <w:rPr>
          <w:color w:val="000000"/>
        </w:rPr>
        <w:t>bas</w:t>
      </w:r>
      <w:r w:rsidR="007D403C">
        <w:rPr>
          <w:color w:val="000000"/>
        </w:rPr>
        <w:t>is</w:t>
      </w:r>
      <w:r>
        <w:rPr>
          <w:color w:val="000000"/>
        </w:rPr>
        <w:t xml:space="preserve"> </w:t>
      </w:r>
      <w:r w:rsidR="007D403C">
        <w:rPr>
          <w:color w:val="000000"/>
        </w:rPr>
        <w:t>of</w:t>
      </w:r>
      <w:r w:rsidR="007D403C" w:rsidRPr="00D6101B">
        <w:rPr>
          <w:color w:val="000000"/>
        </w:rPr>
        <w:t xml:space="preserve"> </w:t>
      </w:r>
      <w:r w:rsidRPr="00D6101B">
        <w:rPr>
          <w:color w:val="000000"/>
        </w:rPr>
        <w:t xml:space="preserve">the </w:t>
      </w:r>
      <w:r w:rsidR="007D403C">
        <w:rPr>
          <w:color w:val="000000"/>
        </w:rPr>
        <w:t>presence</w:t>
      </w:r>
      <w:r w:rsidR="007D403C" w:rsidRPr="00D6101B">
        <w:rPr>
          <w:color w:val="000000"/>
        </w:rPr>
        <w:t xml:space="preserve"> </w:t>
      </w:r>
      <w:r w:rsidRPr="00D6101B">
        <w:rPr>
          <w:color w:val="000000"/>
        </w:rPr>
        <w:t xml:space="preserve">of </w:t>
      </w:r>
      <w:r w:rsidR="007D403C">
        <w:rPr>
          <w:color w:val="000000"/>
        </w:rPr>
        <w:t>a</w:t>
      </w:r>
      <w:r w:rsidR="007D403C" w:rsidRPr="00D6101B">
        <w:rPr>
          <w:color w:val="000000"/>
        </w:rPr>
        <w:t xml:space="preserve"> </w:t>
      </w:r>
      <w:r w:rsidRPr="00D6101B">
        <w:rPr>
          <w:color w:val="000000"/>
        </w:rPr>
        <w:t>mirror (</w:t>
      </w:r>
      <w:r w:rsidR="007D403C">
        <w:rPr>
          <w:color w:val="000000"/>
        </w:rPr>
        <w:t>justified by</w:t>
      </w:r>
      <w:r w:rsidRPr="00D6101B">
        <w:rPr>
          <w:color w:val="000000"/>
        </w:rPr>
        <w:t xml:space="preserve"> comparison with the assemblage </w:t>
      </w:r>
      <w:r w:rsidR="007D403C">
        <w:rPr>
          <w:color w:val="000000"/>
        </w:rPr>
        <w:t>accompanying</w:t>
      </w:r>
      <w:r w:rsidRPr="00D6101B">
        <w:rPr>
          <w:color w:val="000000"/>
        </w:rPr>
        <w:t xml:space="preserve"> the female burial at Pankalochori</w:t>
      </w:r>
      <w:r>
        <w:rPr>
          <w:color w:val="000000"/>
        </w:rPr>
        <w:t>, see</w:t>
      </w:r>
      <w:r w:rsidRPr="00D6101B">
        <w:rPr>
          <w:color w:val="000000"/>
        </w:rPr>
        <w:t xml:space="preserve"> Cucuzza 2002: 146</w:t>
      </w:r>
      <w:r>
        <w:rPr>
          <w:color w:val="000000"/>
        </w:rPr>
        <w:t>)</w:t>
      </w:r>
      <w:r w:rsidRPr="00D6101B">
        <w:rPr>
          <w:color w:val="000000"/>
        </w:rPr>
        <w:t xml:space="preserve">; </w:t>
      </w:r>
      <w:r w:rsidR="00415D90">
        <w:rPr>
          <w:color w:val="000000"/>
        </w:rPr>
        <w:t xml:space="preserve">this </w:t>
      </w:r>
      <w:r w:rsidR="007D403C">
        <w:rPr>
          <w:color w:val="000000"/>
        </w:rPr>
        <w:t>uncertain assumption</w:t>
      </w:r>
      <w:r w:rsidR="00415D90">
        <w:rPr>
          <w:color w:val="000000"/>
        </w:rPr>
        <w:t xml:space="preserve"> (mirror </w:t>
      </w:r>
      <w:r w:rsidR="007D403C">
        <w:rPr>
          <w:color w:val="000000"/>
        </w:rPr>
        <w:t>=</w:t>
      </w:r>
      <w:r w:rsidR="00415D90">
        <w:rPr>
          <w:color w:val="000000"/>
        </w:rPr>
        <w:t xml:space="preserve"> female deposition) </w:t>
      </w:r>
      <w:r w:rsidR="007D403C">
        <w:rPr>
          <w:color w:val="000000"/>
        </w:rPr>
        <w:t>underpins</w:t>
      </w:r>
      <w:r w:rsidR="00E7506E">
        <w:rPr>
          <w:color w:val="000000"/>
        </w:rPr>
        <w:t xml:space="preserve"> the hypothesis of the </w:t>
      </w:r>
      <w:r w:rsidR="007D403C">
        <w:rPr>
          <w:color w:val="000000"/>
        </w:rPr>
        <w:t xml:space="preserve">gendered </w:t>
      </w:r>
      <w:r w:rsidRPr="00D6101B">
        <w:rPr>
          <w:color w:val="000000"/>
        </w:rPr>
        <w:t xml:space="preserve">association of </w:t>
      </w:r>
      <w:r>
        <w:rPr>
          <w:color w:val="000000"/>
        </w:rPr>
        <w:t>a specific tomb type</w:t>
      </w:r>
      <w:r w:rsidRPr="00D6101B">
        <w:rPr>
          <w:color w:val="000000"/>
        </w:rPr>
        <w:t xml:space="preserve"> (</w:t>
      </w:r>
      <w:r>
        <w:rPr>
          <w:color w:val="000000"/>
        </w:rPr>
        <w:t xml:space="preserve">e.g. </w:t>
      </w:r>
      <w:r w:rsidRPr="00D6101B">
        <w:rPr>
          <w:color w:val="000000"/>
        </w:rPr>
        <w:t>re</w:t>
      </w:r>
      <w:r>
        <w:rPr>
          <w:color w:val="000000"/>
        </w:rPr>
        <w:t>use</w:t>
      </w:r>
      <w:r w:rsidRPr="00D6101B">
        <w:rPr>
          <w:color w:val="000000"/>
        </w:rPr>
        <w:t xml:space="preserve"> of tholos</w:t>
      </w:r>
      <w:r>
        <w:rPr>
          <w:color w:val="000000"/>
        </w:rPr>
        <w:t xml:space="preserve"> for</w:t>
      </w:r>
      <w:r w:rsidRPr="00D6101B">
        <w:rPr>
          <w:color w:val="000000"/>
        </w:rPr>
        <w:t xml:space="preserve"> female)</w:t>
      </w:r>
      <w:r>
        <w:rPr>
          <w:color w:val="000000"/>
        </w:rPr>
        <w:t>.</w:t>
      </w:r>
      <w:r w:rsidRPr="00D6101B">
        <w:rPr>
          <w:color w:val="000000"/>
        </w:rPr>
        <w:t xml:space="preserve"> </w:t>
      </w:r>
      <w:r>
        <w:rPr>
          <w:color w:val="000000"/>
        </w:rPr>
        <w:t>However,</w:t>
      </w:r>
      <w:r w:rsidRPr="00D6101B">
        <w:rPr>
          <w:color w:val="000000"/>
        </w:rPr>
        <w:t xml:space="preserve"> according to this hypothesis</w:t>
      </w:r>
      <w:r>
        <w:rPr>
          <w:color w:val="000000"/>
        </w:rPr>
        <w:t>, a</w:t>
      </w:r>
      <w:r w:rsidRPr="00D6101B">
        <w:rPr>
          <w:color w:val="000000"/>
        </w:rPr>
        <w:t xml:space="preserve"> lar</w:t>
      </w:r>
      <w:r>
        <w:rPr>
          <w:color w:val="000000"/>
        </w:rPr>
        <w:t>nax would have been indiscriminatily</w:t>
      </w:r>
      <w:r w:rsidRPr="00D6101B">
        <w:rPr>
          <w:color w:val="000000"/>
        </w:rPr>
        <w:t xml:space="preserve"> used </w:t>
      </w:r>
      <w:r>
        <w:rPr>
          <w:color w:val="000000"/>
        </w:rPr>
        <w:t>for</w:t>
      </w:r>
      <w:r w:rsidRPr="00D6101B">
        <w:rPr>
          <w:color w:val="000000"/>
        </w:rPr>
        <w:t xml:space="preserve"> individual</w:t>
      </w:r>
      <w:r>
        <w:rPr>
          <w:color w:val="000000"/>
        </w:rPr>
        <w:t>s</w:t>
      </w:r>
      <w:r w:rsidRPr="00D6101B">
        <w:rPr>
          <w:color w:val="000000"/>
        </w:rPr>
        <w:t xml:space="preserve"> belonging to both gender</w:t>
      </w:r>
      <w:r>
        <w:rPr>
          <w:color w:val="000000"/>
        </w:rPr>
        <w:t>s</w:t>
      </w:r>
      <w:r w:rsidRPr="00D6101B">
        <w:rPr>
          <w:color w:val="000000"/>
        </w:rPr>
        <w:t xml:space="preserve"> (Cucuzza 2002: 146).</w:t>
      </w:r>
    </w:p>
    <w:p w14:paraId="1647D367" w14:textId="67DBC63B" w:rsidR="001A4F1A" w:rsidRDefault="001A4F1A" w:rsidP="00E858EF">
      <w:pPr>
        <w:suppressAutoHyphens/>
        <w:autoSpaceDE w:val="0"/>
        <w:autoSpaceDN w:val="0"/>
        <w:adjustRightInd w:val="0"/>
        <w:rPr>
          <w:color w:val="000000"/>
        </w:rPr>
      </w:pPr>
      <w:r>
        <w:rPr>
          <w:color w:val="000000"/>
        </w:rPr>
        <w:tab/>
        <w:t>F</w:t>
      </w:r>
      <w:r w:rsidRPr="00D6101B">
        <w:rPr>
          <w:color w:val="000000"/>
        </w:rPr>
        <w:t xml:space="preserve">urther data from anthropological studies </w:t>
      </w:r>
      <w:r>
        <w:rPr>
          <w:color w:val="000000"/>
        </w:rPr>
        <w:t>need to</w:t>
      </w:r>
      <w:r w:rsidRPr="00D6101B">
        <w:rPr>
          <w:color w:val="000000"/>
        </w:rPr>
        <w:t xml:space="preserve"> be presented before </w:t>
      </w:r>
      <w:r>
        <w:rPr>
          <w:color w:val="000000"/>
        </w:rPr>
        <w:t xml:space="preserve">drawing </w:t>
      </w:r>
      <w:r w:rsidRPr="00D6101B">
        <w:rPr>
          <w:color w:val="000000"/>
        </w:rPr>
        <w:t>conclusion</w:t>
      </w:r>
      <w:r>
        <w:rPr>
          <w:color w:val="000000"/>
        </w:rPr>
        <w:t>s</w:t>
      </w:r>
      <w:r w:rsidRPr="00D6101B">
        <w:rPr>
          <w:color w:val="000000"/>
        </w:rPr>
        <w:t xml:space="preserve"> about gender associat</w:t>
      </w:r>
      <w:r>
        <w:rPr>
          <w:color w:val="000000"/>
        </w:rPr>
        <w:t>ion with</w:t>
      </w:r>
      <w:r w:rsidRPr="00D6101B">
        <w:rPr>
          <w:color w:val="000000"/>
        </w:rPr>
        <w:t xml:space="preserve"> grave goods typology.</w:t>
      </w:r>
    </w:p>
    <w:p w14:paraId="7550A56A" w14:textId="77777777" w:rsidR="00240B38" w:rsidRPr="00D6101B" w:rsidRDefault="00240B38" w:rsidP="00E858EF">
      <w:pPr>
        <w:suppressAutoHyphens/>
        <w:autoSpaceDE w:val="0"/>
        <w:autoSpaceDN w:val="0"/>
        <w:adjustRightInd w:val="0"/>
        <w:rPr>
          <w:color w:val="000000"/>
        </w:rPr>
      </w:pPr>
    </w:p>
    <w:p w14:paraId="5C85CF36" w14:textId="66226068" w:rsidR="001A4F1A" w:rsidRPr="00D6101B" w:rsidRDefault="001A4F1A" w:rsidP="00E858EF">
      <w:pPr>
        <w:pStyle w:val="Testofumetto"/>
        <w:suppressAutoHyphens/>
      </w:pPr>
      <w:bookmarkStart w:id="701" w:name="_Toc520212581"/>
      <w:r>
        <w:t xml:space="preserve">Table 4-10 </w:t>
      </w:r>
      <w:r w:rsidRPr="00BC186A">
        <w:t>Number of skeletal remains</w:t>
      </w:r>
      <w:r>
        <w:t xml:space="preserve"> with</w:t>
      </w:r>
      <w:r w:rsidRPr="00BC186A">
        <w:t xml:space="preserve"> information </w:t>
      </w:r>
      <w:r w:rsidR="00466FB3">
        <w:t>on</w:t>
      </w:r>
      <w:r w:rsidR="00466FB3" w:rsidRPr="00BC186A">
        <w:t xml:space="preserve"> </w:t>
      </w:r>
      <w:r w:rsidRPr="00BC186A">
        <w:t>gender</w:t>
      </w:r>
      <w:r w:rsidR="00676506">
        <w:t>,</w:t>
      </w:r>
      <w:r>
        <w:t xml:space="preserve"> Mesara area</w:t>
      </w:r>
      <w:bookmarkEnd w:id="70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9"/>
        <w:gridCol w:w="1026"/>
        <w:gridCol w:w="1042"/>
        <w:gridCol w:w="1188"/>
      </w:tblGrid>
      <w:tr w:rsidR="001A4F1A" w:rsidRPr="0057700B" w14:paraId="3881783D" w14:textId="77777777" w:rsidTr="0057700B">
        <w:tc>
          <w:tcPr>
            <w:tcW w:w="1549" w:type="dxa"/>
          </w:tcPr>
          <w:p w14:paraId="146B3EAF" w14:textId="41F9E127" w:rsidR="001A4F1A" w:rsidRPr="0057700B" w:rsidRDefault="0057700B" w:rsidP="0057700B">
            <w:pPr>
              <w:suppressAutoHyphens/>
              <w:autoSpaceDE w:val="0"/>
              <w:autoSpaceDN w:val="0"/>
              <w:adjustRightInd w:val="0"/>
              <w:jc w:val="center"/>
              <w:rPr>
                <w:color w:val="000000"/>
                <w:sz w:val="20"/>
              </w:rPr>
            </w:pPr>
            <w:r w:rsidRPr="0057700B">
              <w:rPr>
                <w:color w:val="000000"/>
                <w:sz w:val="20"/>
              </w:rPr>
              <w:t>Total number of skeletal remains</w:t>
            </w:r>
          </w:p>
        </w:tc>
        <w:tc>
          <w:tcPr>
            <w:tcW w:w="1026" w:type="dxa"/>
          </w:tcPr>
          <w:p w14:paraId="715080E9" w14:textId="5EF70CDF" w:rsidR="001A4F1A" w:rsidRPr="0057700B" w:rsidRDefault="0057700B" w:rsidP="0057700B">
            <w:pPr>
              <w:suppressAutoHyphens/>
              <w:autoSpaceDE w:val="0"/>
              <w:autoSpaceDN w:val="0"/>
              <w:adjustRightInd w:val="0"/>
              <w:jc w:val="center"/>
              <w:rPr>
                <w:color w:val="000000"/>
                <w:sz w:val="20"/>
              </w:rPr>
            </w:pPr>
            <w:r w:rsidRPr="0057700B">
              <w:rPr>
                <w:color w:val="000000"/>
                <w:sz w:val="20"/>
              </w:rPr>
              <w:t>No info</w:t>
            </w:r>
          </w:p>
        </w:tc>
        <w:tc>
          <w:tcPr>
            <w:tcW w:w="1042" w:type="dxa"/>
          </w:tcPr>
          <w:p w14:paraId="386E5378" w14:textId="4238EDBC" w:rsidR="001A4F1A" w:rsidRPr="0057700B" w:rsidRDefault="0057700B" w:rsidP="0057700B">
            <w:pPr>
              <w:suppressAutoHyphens/>
              <w:autoSpaceDE w:val="0"/>
              <w:autoSpaceDN w:val="0"/>
              <w:adjustRightInd w:val="0"/>
              <w:jc w:val="center"/>
              <w:rPr>
                <w:color w:val="000000"/>
                <w:sz w:val="20"/>
              </w:rPr>
            </w:pPr>
            <w:r w:rsidRPr="0057700B">
              <w:rPr>
                <w:color w:val="000000"/>
                <w:sz w:val="20"/>
              </w:rPr>
              <w:t>Male</w:t>
            </w:r>
          </w:p>
        </w:tc>
        <w:tc>
          <w:tcPr>
            <w:tcW w:w="1188" w:type="dxa"/>
          </w:tcPr>
          <w:p w14:paraId="7B8500ED" w14:textId="6AF25794" w:rsidR="001A4F1A" w:rsidRPr="0057700B" w:rsidRDefault="0057700B" w:rsidP="0057700B">
            <w:pPr>
              <w:suppressAutoHyphens/>
              <w:autoSpaceDE w:val="0"/>
              <w:autoSpaceDN w:val="0"/>
              <w:adjustRightInd w:val="0"/>
              <w:jc w:val="center"/>
              <w:rPr>
                <w:color w:val="000000"/>
                <w:sz w:val="20"/>
              </w:rPr>
            </w:pPr>
            <w:r w:rsidRPr="0057700B">
              <w:rPr>
                <w:color w:val="000000"/>
                <w:sz w:val="20"/>
              </w:rPr>
              <w:t>Female</w:t>
            </w:r>
          </w:p>
        </w:tc>
      </w:tr>
      <w:tr w:rsidR="001A4F1A" w:rsidRPr="0057700B" w14:paraId="48B39717" w14:textId="77777777" w:rsidTr="0057700B">
        <w:tc>
          <w:tcPr>
            <w:tcW w:w="1549" w:type="dxa"/>
          </w:tcPr>
          <w:p w14:paraId="59EE849D" w14:textId="77777777" w:rsidR="001A4F1A" w:rsidRPr="0057700B" w:rsidRDefault="001A4F1A" w:rsidP="0057700B">
            <w:pPr>
              <w:suppressAutoHyphens/>
              <w:autoSpaceDE w:val="0"/>
              <w:autoSpaceDN w:val="0"/>
              <w:adjustRightInd w:val="0"/>
              <w:jc w:val="center"/>
              <w:rPr>
                <w:color w:val="000000"/>
                <w:sz w:val="20"/>
              </w:rPr>
            </w:pPr>
            <w:r w:rsidRPr="0057700B">
              <w:rPr>
                <w:color w:val="000000"/>
                <w:sz w:val="20"/>
              </w:rPr>
              <w:t>109</w:t>
            </w:r>
          </w:p>
        </w:tc>
        <w:tc>
          <w:tcPr>
            <w:tcW w:w="1026" w:type="dxa"/>
          </w:tcPr>
          <w:p w14:paraId="2E626DAD" w14:textId="77777777" w:rsidR="001A4F1A" w:rsidRPr="0057700B" w:rsidRDefault="001A4F1A" w:rsidP="0057700B">
            <w:pPr>
              <w:suppressAutoHyphens/>
              <w:autoSpaceDE w:val="0"/>
              <w:autoSpaceDN w:val="0"/>
              <w:adjustRightInd w:val="0"/>
              <w:jc w:val="center"/>
              <w:rPr>
                <w:color w:val="000000"/>
                <w:sz w:val="20"/>
              </w:rPr>
            </w:pPr>
            <w:r w:rsidRPr="0057700B">
              <w:rPr>
                <w:color w:val="000000"/>
                <w:sz w:val="20"/>
              </w:rPr>
              <w:t>90</w:t>
            </w:r>
          </w:p>
        </w:tc>
        <w:tc>
          <w:tcPr>
            <w:tcW w:w="1042" w:type="dxa"/>
          </w:tcPr>
          <w:p w14:paraId="11165C3E" w14:textId="77777777" w:rsidR="001A4F1A" w:rsidRPr="0057700B" w:rsidRDefault="001A4F1A" w:rsidP="0057700B">
            <w:pPr>
              <w:suppressAutoHyphens/>
              <w:autoSpaceDE w:val="0"/>
              <w:autoSpaceDN w:val="0"/>
              <w:adjustRightInd w:val="0"/>
              <w:jc w:val="center"/>
              <w:rPr>
                <w:color w:val="000000"/>
                <w:sz w:val="20"/>
              </w:rPr>
            </w:pPr>
            <w:r w:rsidRPr="0057700B">
              <w:rPr>
                <w:color w:val="000000"/>
                <w:sz w:val="20"/>
              </w:rPr>
              <w:t>10</w:t>
            </w:r>
          </w:p>
        </w:tc>
        <w:tc>
          <w:tcPr>
            <w:tcW w:w="1188" w:type="dxa"/>
          </w:tcPr>
          <w:p w14:paraId="21DD7A8F" w14:textId="77777777" w:rsidR="001A4F1A" w:rsidRPr="0057700B" w:rsidRDefault="001A4F1A" w:rsidP="0057700B">
            <w:pPr>
              <w:suppressAutoHyphens/>
              <w:autoSpaceDE w:val="0"/>
              <w:autoSpaceDN w:val="0"/>
              <w:adjustRightInd w:val="0"/>
              <w:jc w:val="center"/>
              <w:rPr>
                <w:color w:val="000000"/>
                <w:sz w:val="20"/>
              </w:rPr>
            </w:pPr>
            <w:r w:rsidRPr="0057700B">
              <w:rPr>
                <w:color w:val="000000"/>
                <w:sz w:val="20"/>
              </w:rPr>
              <w:t>9</w:t>
            </w:r>
          </w:p>
        </w:tc>
      </w:tr>
    </w:tbl>
    <w:p w14:paraId="2CB830B6" w14:textId="77777777" w:rsidR="001A4F1A" w:rsidRPr="00D6101B" w:rsidRDefault="001A4F1A" w:rsidP="00E858EF">
      <w:pPr>
        <w:suppressAutoHyphens/>
        <w:autoSpaceDE w:val="0"/>
        <w:autoSpaceDN w:val="0"/>
        <w:adjustRightInd w:val="0"/>
        <w:rPr>
          <w:color w:val="000000"/>
        </w:rPr>
      </w:pPr>
    </w:p>
    <w:p w14:paraId="31318A6A" w14:textId="4FD95E88" w:rsidR="001A4F1A" w:rsidRPr="00D6101B" w:rsidRDefault="001A4F1A" w:rsidP="00E858EF">
      <w:pPr>
        <w:pStyle w:val="Testofumetto"/>
        <w:suppressAutoHyphens/>
      </w:pPr>
      <w:bookmarkStart w:id="702" w:name="_Toc520212582"/>
      <w:r>
        <w:t xml:space="preserve">Table 4-11 Number of skeletal remains with information </w:t>
      </w:r>
      <w:r w:rsidR="00466FB3">
        <w:t xml:space="preserve">on </w:t>
      </w:r>
      <w:r>
        <w:t>age</w:t>
      </w:r>
      <w:r w:rsidR="00676506">
        <w:t>,</w:t>
      </w:r>
      <w:r>
        <w:t xml:space="preserve"> Mesara area</w:t>
      </w:r>
      <w:bookmarkEnd w:id="702"/>
    </w:p>
    <w:tbl>
      <w:tblPr>
        <w:tblW w:w="80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2"/>
        <w:gridCol w:w="1008"/>
        <w:gridCol w:w="1134"/>
        <w:gridCol w:w="1701"/>
        <w:gridCol w:w="1134"/>
        <w:gridCol w:w="1417"/>
      </w:tblGrid>
      <w:tr w:rsidR="001A4F1A" w:rsidRPr="00D6101B" w14:paraId="65CF6603" w14:textId="77777777" w:rsidTr="0057700B">
        <w:tc>
          <w:tcPr>
            <w:tcW w:w="1652" w:type="dxa"/>
          </w:tcPr>
          <w:p w14:paraId="5497C53F" w14:textId="1D2534B4" w:rsidR="001A4F1A" w:rsidRPr="00D6101B" w:rsidRDefault="0057700B" w:rsidP="0057700B">
            <w:pPr>
              <w:suppressAutoHyphens/>
              <w:autoSpaceDE w:val="0"/>
              <w:autoSpaceDN w:val="0"/>
              <w:adjustRightInd w:val="0"/>
              <w:jc w:val="center"/>
              <w:rPr>
                <w:b/>
                <w:color w:val="000000"/>
              </w:rPr>
            </w:pPr>
            <w:r w:rsidRPr="00D6101B">
              <w:rPr>
                <w:color w:val="000000"/>
              </w:rPr>
              <w:t>Tot</w:t>
            </w:r>
            <w:r>
              <w:rPr>
                <w:color w:val="000000"/>
              </w:rPr>
              <w:t>al</w:t>
            </w:r>
            <w:r w:rsidRPr="00D6101B">
              <w:rPr>
                <w:color w:val="000000"/>
              </w:rPr>
              <w:t xml:space="preserve"> number of skeletal remains</w:t>
            </w:r>
          </w:p>
        </w:tc>
        <w:tc>
          <w:tcPr>
            <w:tcW w:w="1008" w:type="dxa"/>
          </w:tcPr>
          <w:p w14:paraId="5D76D954" w14:textId="022F4106" w:rsidR="001A4F1A" w:rsidRPr="005B6D06" w:rsidRDefault="0057700B" w:rsidP="0057700B">
            <w:pPr>
              <w:suppressAutoHyphens/>
              <w:autoSpaceDE w:val="0"/>
              <w:autoSpaceDN w:val="0"/>
              <w:adjustRightInd w:val="0"/>
              <w:jc w:val="center"/>
              <w:rPr>
                <w:color w:val="000000"/>
                <w:sz w:val="22"/>
              </w:rPr>
            </w:pPr>
            <w:r>
              <w:rPr>
                <w:color w:val="000000"/>
                <w:sz w:val="22"/>
              </w:rPr>
              <w:t>No info</w:t>
            </w:r>
          </w:p>
        </w:tc>
        <w:tc>
          <w:tcPr>
            <w:tcW w:w="1134" w:type="dxa"/>
          </w:tcPr>
          <w:p w14:paraId="337C4462" w14:textId="0A7F5841" w:rsidR="001A4F1A" w:rsidRPr="005B6D06" w:rsidRDefault="0057700B" w:rsidP="0057700B">
            <w:pPr>
              <w:suppressAutoHyphens/>
              <w:autoSpaceDE w:val="0"/>
              <w:autoSpaceDN w:val="0"/>
              <w:adjustRightInd w:val="0"/>
              <w:jc w:val="center"/>
              <w:rPr>
                <w:color w:val="000000"/>
                <w:sz w:val="22"/>
              </w:rPr>
            </w:pPr>
            <w:r w:rsidRPr="005B6D06">
              <w:rPr>
                <w:color w:val="000000"/>
                <w:sz w:val="22"/>
              </w:rPr>
              <w:t>Adult</w:t>
            </w:r>
          </w:p>
        </w:tc>
        <w:tc>
          <w:tcPr>
            <w:tcW w:w="1701" w:type="dxa"/>
          </w:tcPr>
          <w:p w14:paraId="41582769" w14:textId="33A349FD" w:rsidR="001A4F1A" w:rsidRPr="005B6D06" w:rsidRDefault="0057700B" w:rsidP="0057700B">
            <w:pPr>
              <w:suppressAutoHyphens/>
              <w:autoSpaceDE w:val="0"/>
              <w:autoSpaceDN w:val="0"/>
              <w:adjustRightInd w:val="0"/>
              <w:jc w:val="center"/>
              <w:rPr>
                <w:color w:val="000000"/>
                <w:sz w:val="22"/>
              </w:rPr>
            </w:pPr>
            <w:r w:rsidRPr="005B6D06">
              <w:rPr>
                <w:color w:val="000000"/>
                <w:sz w:val="22"/>
              </w:rPr>
              <w:t>Young/</w:t>
            </w:r>
          </w:p>
          <w:p w14:paraId="6DECCFBE" w14:textId="15D671B7" w:rsidR="001A4F1A" w:rsidRPr="005B6D06" w:rsidRDefault="0057700B" w:rsidP="0057700B">
            <w:pPr>
              <w:suppressAutoHyphens/>
              <w:autoSpaceDE w:val="0"/>
              <w:autoSpaceDN w:val="0"/>
              <w:adjustRightInd w:val="0"/>
              <w:jc w:val="center"/>
              <w:rPr>
                <w:color w:val="000000"/>
                <w:sz w:val="22"/>
              </w:rPr>
            </w:pPr>
            <w:r w:rsidRPr="005B6D06">
              <w:rPr>
                <w:color w:val="000000"/>
                <w:sz w:val="22"/>
              </w:rPr>
              <w:t>Adolescent</w:t>
            </w:r>
          </w:p>
        </w:tc>
        <w:tc>
          <w:tcPr>
            <w:tcW w:w="1134" w:type="dxa"/>
          </w:tcPr>
          <w:p w14:paraId="30EA9BBE" w14:textId="369FDCD8" w:rsidR="001A4F1A" w:rsidRPr="005B6D06" w:rsidRDefault="0057700B" w:rsidP="0057700B">
            <w:pPr>
              <w:suppressAutoHyphens/>
              <w:autoSpaceDE w:val="0"/>
              <w:autoSpaceDN w:val="0"/>
              <w:adjustRightInd w:val="0"/>
              <w:jc w:val="center"/>
              <w:rPr>
                <w:color w:val="000000"/>
                <w:sz w:val="22"/>
              </w:rPr>
            </w:pPr>
            <w:r w:rsidRPr="005B6D06">
              <w:rPr>
                <w:color w:val="000000"/>
                <w:sz w:val="22"/>
              </w:rPr>
              <w:t>Child</w:t>
            </w:r>
          </w:p>
        </w:tc>
        <w:tc>
          <w:tcPr>
            <w:tcW w:w="1417" w:type="dxa"/>
          </w:tcPr>
          <w:p w14:paraId="33659B45" w14:textId="3D3602D6" w:rsidR="001A4F1A" w:rsidRPr="005B6D06" w:rsidRDefault="0057700B" w:rsidP="0057700B">
            <w:pPr>
              <w:suppressAutoHyphens/>
              <w:autoSpaceDE w:val="0"/>
              <w:autoSpaceDN w:val="0"/>
              <w:adjustRightInd w:val="0"/>
              <w:jc w:val="center"/>
              <w:rPr>
                <w:color w:val="000000"/>
                <w:sz w:val="22"/>
              </w:rPr>
            </w:pPr>
            <w:r w:rsidRPr="005B6D06">
              <w:rPr>
                <w:color w:val="000000"/>
                <w:sz w:val="22"/>
              </w:rPr>
              <w:t>Baby/</w:t>
            </w:r>
          </w:p>
          <w:p w14:paraId="5C027856" w14:textId="1448FF02" w:rsidR="001A4F1A" w:rsidRPr="005B6D06" w:rsidRDefault="0057700B" w:rsidP="0057700B">
            <w:pPr>
              <w:suppressAutoHyphens/>
              <w:autoSpaceDE w:val="0"/>
              <w:autoSpaceDN w:val="0"/>
              <w:adjustRightInd w:val="0"/>
              <w:jc w:val="center"/>
              <w:rPr>
                <w:color w:val="000000"/>
                <w:sz w:val="22"/>
              </w:rPr>
            </w:pPr>
            <w:r w:rsidRPr="005B6D06">
              <w:rPr>
                <w:color w:val="000000"/>
                <w:sz w:val="22"/>
              </w:rPr>
              <w:t>Embryo</w:t>
            </w:r>
          </w:p>
        </w:tc>
      </w:tr>
      <w:tr w:rsidR="001A4F1A" w:rsidRPr="00D6101B" w14:paraId="5A8A4BD3" w14:textId="77777777" w:rsidTr="0057700B">
        <w:tc>
          <w:tcPr>
            <w:tcW w:w="1652" w:type="dxa"/>
          </w:tcPr>
          <w:p w14:paraId="60897B12" w14:textId="77777777" w:rsidR="001A4F1A" w:rsidRPr="00D6101B" w:rsidRDefault="001A4F1A" w:rsidP="0057700B">
            <w:pPr>
              <w:suppressAutoHyphens/>
              <w:autoSpaceDE w:val="0"/>
              <w:autoSpaceDN w:val="0"/>
              <w:adjustRightInd w:val="0"/>
              <w:jc w:val="center"/>
              <w:rPr>
                <w:b/>
                <w:color w:val="000000"/>
              </w:rPr>
            </w:pPr>
            <w:r w:rsidRPr="00D6101B">
              <w:rPr>
                <w:color w:val="000000"/>
              </w:rPr>
              <w:t>109</w:t>
            </w:r>
          </w:p>
        </w:tc>
        <w:tc>
          <w:tcPr>
            <w:tcW w:w="1008" w:type="dxa"/>
          </w:tcPr>
          <w:p w14:paraId="154356A8" w14:textId="77777777" w:rsidR="001A4F1A" w:rsidRDefault="001A4F1A" w:rsidP="0057700B">
            <w:pPr>
              <w:suppressAutoHyphens/>
              <w:autoSpaceDE w:val="0"/>
              <w:autoSpaceDN w:val="0"/>
              <w:adjustRightInd w:val="0"/>
              <w:jc w:val="center"/>
              <w:rPr>
                <w:color w:val="000000"/>
              </w:rPr>
            </w:pPr>
            <w:r>
              <w:rPr>
                <w:color w:val="000000"/>
              </w:rPr>
              <w:t>89</w:t>
            </w:r>
          </w:p>
        </w:tc>
        <w:tc>
          <w:tcPr>
            <w:tcW w:w="1134" w:type="dxa"/>
          </w:tcPr>
          <w:p w14:paraId="53601AD6" w14:textId="77777777" w:rsidR="001A4F1A" w:rsidRPr="00D6101B" w:rsidRDefault="001A4F1A" w:rsidP="0057700B">
            <w:pPr>
              <w:suppressAutoHyphens/>
              <w:autoSpaceDE w:val="0"/>
              <w:autoSpaceDN w:val="0"/>
              <w:adjustRightInd w:val="0"/>
              <w:jc w:val="center"/>
              <w:rPr>
                <w:color w:val="000000"/>
              </w:rPr>
            </w:pPr>
            <w:r w:rsidRPr="00D6101B">
              <w:rPr>
                <w:color w:val="000000"/>
              </w:rPr>
              <w:t>14</w:t>
            </w:r>
          </w:p>
        </w:tc>
        <w:tc>
          <w:tcPr>
            <w:tcW w:w="1701" w:type="dxa"/>
          </w:tcPr>
          <w:p w14:paraId="28F2593D" w14:textId="77777777" w:rsidR="001A4F1A" w:rsidRPr="00D6101B" w:rsidRDefault="001A4F1A" w:rsidP="0057700B">
            <w:pPr>
              <w:suppressAutoHyphens/>
              <w:autoSpaceDE w:val="0"/>
              <w:autoSpaceDN w:val="0"/>
              <w:adjustRightInd w:val="0"/>
              <w:jc w:val="center"/>
              <w:rPr>
                <w:color w:val="000000"/>
              </w:rPr>
            </w:pPr>
            <w:r w:rsidRPr="00D6101B">
              <w:rPr>
                <w:color w:val="000000"/>
              </w:rPr>
              <w:t>1</w:t>
            </w:r>
          </w:p>
        </w:tc>
        <w:tc>
          <w:tcPr>
            <w:tcW w:w="1134" w:type="dxa"/>
          </w:tcPr>
          <w:p w14:paraId="7456364C" w14:textId="77777777" w:rsidR="001A4F1A" w:rsidRPr="00D6101B" w:rsidRDefault="001A4F1A" w:rsidP="0057700B">
            <w:pPr>
              <w:suppressAutoHyphens/>
              <w:autoSpaceDE w:val="0"/>
              <w:autoSpaceDN w:val="0"/>
              <w:adjustRightInd w:val="0"/>
              <w:jc w:val="center"/>
              <w:rPr>
                <w:color w:val="000000"/>
              </w:rPr>
            </w:pPr>
            <w:r w:rsidRPr="00D6101B">
              <w:rPr>
                <w:color w:val="000000"/>
              </w:rPr>
              <w:t>4</w:t>
            </w:r>
          </w:p>
        </w:tc>
        <w:tc>
          <w:tcPr>
            <w:tcW w:w="1417" w:type="dxa"/>
          </w:tcPr>
          <w:p w14:paraId="2A6E0A35" w14:textId="77777777" w:rsidR="001A4F1A" w:rsidRPr="00D6101B" w:rsidRDefault="001A4F1A" w:rsidP="0057700B">
            <w:pPr>
              <w:suppressAutoHyphens/>
              <w:autoSpaceDE w:val="0"/>
              <w:autoSpaceDN w:val="0"/>
              <w:adjustRightInd w:val="0"/>
              <w:jc w:val="center"/>
              <w:rPr>
                <w:color w:val="000000"/>
              </w:rPr>
            </w:pPr>
            <w:r>
              <w:rPr>
                <w:color w:val="000000"/>
              </w:rPr>
              <w:t>1</w:t>
            </w:r>
          </w:p>
        </w:tc>
      </w:tr>
    </w:tbl>
    <w:p w14:paraId="068BBCD1" w14:textId="77777777" w:rsidR="001A4F1A" w:rsidRPr="00D6101B" w:rsidRDefault="001A4F1A" w:rsidP="00E858EF">
      <w:pPr>
        <w:suppressAutoHyphens/>
        <w:autoSpaceDE w:val="0"/>
        <w:autoSpaceDN w:val="0"/>
        <w:adjustRightInd w:val="0"/>
        <w:rPr>
          <w:b/>
          <w:color w:val="000000"/>
        </w:rPr>
      </w:pPr>
    </w:p>
    <w:p w14:paraId="39D74544" w14:textId="77777777" w:rsidR="001A4F1A" w:rsidRDefault="001A4F1A" w:rsidP="00E858EF">
      <w:pPr>
        <w:suppressAutoHyphens/>
        <w:autoSpaceDE w:val="0"/>
        <w:autoSpaceDN w:val="0"/>
        <w:adjustRightInd w:val="0"/>
        <w:rPr>
          <w:color w:val="000000"/>
        </w:rPr>
      </w:pPr>
      <w:r w:rsidRPr="00EE1A67">
        <w:rPr>
          <w:noProof/>
        </w:rPr>
        <w:t xml:space="preserve"> </w:t>
      </w:r>
      <w:r>
        <w:rPr>
          <w:noProof/>
          <w:lang w:val="it-IT"/>
        </w:rPr>
        <w:drawing>
          <wp:inline distT="0" distB="0" distL="0" distR="0" wp14:anchorId="07C6182A" wp14:editId="59959300">
            <wp:extent cx="5191125" cy="2695575"/>
            <wp:effectExtent l="0" t="0" r="9525" b="9525"/>
            <wp:docPr id="72" name="Gra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289030B" w14:textId="48E2A0B5" w:rsidR="001A4F1A" w:rsidRPr="00722DA7" w:rsidRDefault="001A4F1A" w:rsidP="00E858EF">
      <w:pPr>
        <w:pStyle w:val="Didascalia"/>
        <w:suppressAutoHyphens/>
      </w:pPr>
      <w:bookmarkStart w:id="703" w:name="_Toc520212346"/>
      <w:r>
        <w:t>Figure 4-9</w:t>
      </w:r>
      <w:r w:rsidR="003C4641">
        <w:t>.</w:t>
      </w:r>
      <w:r>
        <w:t xml:space="preserve"> Number of skeletal remains information </w:t>
      </w:r>
      <w:r w:rsidR="00466FB3">
        <w:t xml:space="preserve">on </w:t>
      </w:r>
      <w:r>
        <w:t>gender</w:t>
      </w:r>
      <w:r w:rsidR="00466FB3">
        <w:t>,</w:t>
      </w:r>
      <w:r>
        <w:t xml:space="preserve"> Mesara area</w:t>
      </w:r>
      <w:bookmarkEnd w:id="703"/>
    </w:p>
    <w:p w14:paraId="2D467F75" w14:textId="77777777" w:rsidR="001A4F1A" w:rsidRDefault="001A4F1A" w:rsidP="00E858EF">
      <w:pPr>
        <w:pStyle w:val="Didascalia"/>
        <w:suppressAutoHyphens/>
      </w:pPr>
    </w:p>
    <w:p w14:paraId="049489C5" w14:textId="0884B4EA" w:rsidR="001A4F1A" w:rsidRPr="00D6101B" w:rsidRDefault="001A4F1A" w:rsidP="00E858EF">
      <w:pPr>
        <w:suppressAutoHyphens/>
        <w:autoSpaceDE w:val="0"/>
        <w:autoSpaceDN w:val="0"/>
        <w:adjustRightInd w:val="0"/>
        <w:rPr>
          <w:color w:val="000000"/>
        </w:rPr>
      </w:pPr>
      <w:r w:rsidRPr="000D30D9">
        <w:rPr>
          <w:noProof/>
        </w:rPr>
        <w:t xml:space="preserve"> </w:t>
      </w:r>
      <w:r w:rsidR="00722BC4">
        <w:rPr>
          <w:noProof/>
          <w:lang w:val="it-IT"/>
        </w:rPr>
        <w:drawing>
          <wp:inline distT="0" distB="0" distL="0" distR="0" wp14:anchorId="661D1F01" wp14:editId="3591F227">
            <wp:extent cx="5215890" cy="2843530"/>
            <wp:effectExtent l="0" t="0" r="16510" b="26670"/>
            <wp:docPr id="21" name="Gra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175EB02" w14:textId="393C2D4D" w:rsidR="001A4F1A" w:rsidRDefault="001A4F1A" w:rsidP="00E858EF">
      <w:pPr>
        <w:pStyle w:val="Didascalia"/>
        <w:suppressAutoHyphens/>
      </w:pPr>
      <w:bookmarkStart w:id="704" w:name="_Toc520212347"/>
      <w:r>
        <w:t>Figure 4-10</w:t>
      </w:r>
      <w:r w:rsidR="003C4641">
        <w:t>.</w:t>
      </w:r>
      <w:r>
        <w:t xml:space="preserve"> Number of skeletal remains information </w:t>
      </w:r>
      <w:r w:rsidR="00466FB3">
        <w:t xml:space="preserve">on </w:t>
      </w:r>
      <w:r>
        <w:t>age</w:t>
      </w:r>
      <w:r w:rsidR="00466FB3">
        <w:t>,</w:t>
      </w:r>
      <w:r>
        <w:t xml:space="preserve"> Mesara area</w:t>
      </w:r>
      <w:bookmarkEnd w:id="704"/>
    </w:p>
    <w:p w14:paraId="33C59E85" w14:textId="77777777" w:rsidR="001A4F1A" w:rsidRPr="00EB483F" w:rsidRDefault="001A4F1A" w:rsidP="00E858EF">
      <w:pPr>
        <w:suppressAutoHyphens/>
      </w:pPr>
    </w:p>
    <w:p w14:paraId="3F5F1248" w14:textId="47DFEB75" w:rsidR="001A4F1A" w:rsidRPr="00D6101B" w:rsidRDefault="001A4F1A" w:rsidP="0057700B">
      <w:pPr>
        <w:pStyle w:val="Titolo4"/>
        <w:rPr>
          <w:color w:val="000000"/>
        </w:rPr>
      </w:pPr>
      <w:bookmarkStart w:id="705" w:name="_Toc517745306"/>
      <w:r w:rsidRPr="00D6101B">
        <w:t>Conclusions</w:t>
      </w:r>
      <w:bookmarkEnd w:id="705"/>
      <w:r w:rsidR="0057700B">
        <w:t>,</w:t>
      </w:r>
      <w:r w:rsidR="00240B38">
        <w:t xml:space="preserve"> Mesara area</w:t>
      </w:r>
    </w:p>
    <w:p w14:paraId="3D4D3650" w14:textId="77777777" w:rsidR="001A4F1A" w:rsidRPr="00D6101B" w:rsidRDefault="001A4F1A" w:rsidP="00E858EF">
      <w:pPr>
        <w:suppressAutoHyphens/>
        <w:autoSpaceDE w:val="0"/>
        <w:autoSpaceDN w:val="0"/>
        <w:adjustRightInd w:val="0"/>
        <w:rPr>
          <w:color w:val="000000"/>
        </w:rPr>
      </w:pPr>
      <w:r w:rsidRPr="00D6101B">
        <w:rPr>
          <w:color w:val="000000"/>
        </w:rPr>
        <w:t xml:space="preserve">The analysis of </w:t>
      </w:r>
      <w:r>
        <w:rPr>
          <w:color w:val="000000"/>
        </w:rPr>
        <w:t xml:space="preserve">the </w:t>
      </w:r>
      <w:r w:rsidRPr="00D6101B">
        <w:rPr>
          <w:color w:val="000000"/>
        </w:rPr>
        <w:t>data concerning skeletal remains and burial deposition practices from the Mesara area provide</w:t>
      </w:r>
      <w:r>
        <w:rPr>
          <w:color w:val="000000"/>
        </w:rPr>
        <w:t>s</w:t>
      </w:r>
      <w:r w:rsidRPr="00D6101B">
        <w:rPr>
          <w:color w:val="000000"/>
        </w:rPr>
        <w:t xml:space="preserve"> a good </w:t>
      </w:r>
      <w:r>
        <w:rPr>
          <w:color w:val="000000"/>
        </w:rPr>
        <w:t xml:space="preserve">quantity </w:t>
      </w:r>
      <w:r w:rsidRPr="00D6101B">
        <w:rPr>
          <w:color w:val="000000"/>
        </w:rPr>
        <w:t xml:space="preserve">of information </w:t>
      </w:r>
      <w:r>
        <w:rPr>
          <w:color w:val="000000"/>
        </w:rPr>
        <w:t>regarding</w:t>
      </w:r>
      <w:r w:rsidRPr="00D6101B">
        <w:rPr>
          <w:color w:val="000000"/>
        </w:rPr>
        <w:t xml:space="preserve"> mortuary behaviour and larnax use. </w:t>
      </w:r>
      <w:r>
        <w:rPr>
          <w:color w:val="000000"/>
        </w:rPr>
        <w:t>L</w:t>
      </w:r>
      <w:r w:rsidRPr="00D6101B">
        <w:rPr>
          <w:color w:val="000000"/>
        </w:rPr>
        <w:t>arna</w:t>
      </w:r>
      <w:r>
        <w:rPr>
          <w:color w:val="000000"/>
        </w:rPr>
        <w:t>kes</w:t>
      </w:r>
      <w:r w:rsidRPr="00D6101B">
        <w:rPr>
          <w:color w:val="000000"/>
        </w:rPr>
        <w:t xml:space="preserve"> and floor deposition</w:t>
      </w:r>
      <w:r>
        <w:rPr>
          <w:color w:val="000000"/>
        </w:rPr>
        <w:t>s</w:t>
      </w:r>
      <w:r w:rsidRPr="00D6101B">
        <w:rPr>
          <w:color w:val="000000"/>
        </w:rPr>
        <w:t xml:space="preserve"> </w:t>
      </w:r>
      <w:r>
        <w:rPr>
          <w:color w:val="000000"/>
        </w:rPr>
        <w:t>were</w:t>
      </w:r>
      <w:r w:rsidRPr="00D6101B">
        <w:rPr>
          <w:color w:val="000000"/>
        </w:rPr>
        <w:t xml:space="preserve"> the most popular</w:t>
      </w:r>
      <w:r>
        <w:rPr>
          <w:color w:val="000000"/>
        </w:rPr>
        <w:t xml:space="preserve"> interment methods</w:t>
      </w:r>
      <w:r w:rsidRPr="00D6101B">
        <w:rPr>
          <w:color w:val="000000"/>
        </w:rPr>
        <w:t>. The</w:t>
      </w:r>
      <w:r>
        <w:rPr>
          <w:color w:val="000000"/>
        </w:rPr>
        <w:t>se methods</w:t>
      </w:r>
      <w:r w:rsidRPr="00D6101B">
        <w:rPr>
          <w:color w:val="000000"/>
        </w:rPr>
        <w:t xml:space="preserve"> were probably indiscriminately used both for primary and secondary burials</w:t>
      </w:r>
      <w:r>
        <w:rPr>
          <w:color w:val="000000"/>
        </w:rPr>
        <w:t>,</w:t>
      </w:r>
      <w:r w:rsidRPr="00D6101B">
        <w:rPr>
          <w:color w:val="000000"/>
        </w:rPr>
        <w:t xml:space="preserve"> and their original use could have changed during the period in which the tomb was actively used, as proved </w:t>
      </w:r>
      <w:r>
        <w:rPr>
          <w:color w:val="000000"/>
        </w:rPr>
        <w:t>by</w:t>
      </w:r>
      <w:r w:rsidRPr="00D6101B">
        <w:rPr>
          <w:color w:val="000000"/>
        </w:rPr>
        <w:t xml:space="preserve"> the evidence from </w:t>
      </w:r>
      <w:r>
        <w:rPr>
          <w:color w:val="000000"/>
        </w:rPr>
        <w:t xml:space="preserve">the </w:t>
      </w:r>
      <w:r w:rsidRPr="00D6101B">
        <w:rPr>
          <w:color w:val="000000"/>
        </w:rPr>
        <w:t xml:space="preserve">anthropological studies of skeletal remains found in </w:t>
      </w:r>
      <w:r>
        <w:rPr>
          <w:color w:val="000000"/>
        </w:rPr>
        <w:t>T</w:t>
      </w:r>
      <w:r w:rsidRPr="00D6101B">
        <w:rPr>
          <w:color w:val="000000"/>
        </w:rPr>
        <w:t xml:space="preserve">omb D at Kalochoraphitis. </w:t>
      </w:r>
    </w:p>
    <w:p w14:paraId="562972F4"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Depositions in other types of container</w:t>
      </w:r>
      <w:r>
        <w:rPr>
          <w:color w:val="000000"/>
        </w:rPr>
        <w:t>s</w:t>
      </w:r>
      <w:r w:rsidRPr="00D6101B">
        <w:rPr>
          <w:color w:val="000000"/>
        </w:rPr>
        <w:t xml:space="preserve"> associated with larnakes </w:t>
      </w:r>
      <w:r>
        <w:rPr>
          <w:color w:val="000000"/>
        </w:rPr>
        <w:t>comprise</w:t>
      </w:r>
      <w:r w:rsidRPr="00D6101B">
        <w:rPr>
          <w:color w:val="000000"/>
        </w:rPr>
        <w:t xml:space="preserve"> pithos burials, wooden/coffins and stone sarcophag</w:t>
      </w:r>
      <w:r>
        <w:rPr>
          <w:color w:val="000000"/>
        </w:rPr>
        <w:t>i</w:t>
      </w:r>
      <w:r w:rsidRPr="00D6101B">
        <w:rPr>
          <w:color w:val="000000"/>
        </w:rPr>
        <w:t xml:space="preserve">: in one case with the stone sarcophagus of </w:t>
      </w:r>
      <w:r>
        <w:rPr>
          <w:color w:val="000000"/>
        </w:rPr>
        <w:t>A</w:t>
      </w:r>
      <w:r w:rsidRPr="00D6101B">
        <w:rPr>
          <w:color w:val="000000"/>
        </w:rPr>
        <w:t xml:space="preserve">gia Triada, and in the other case with </w:t>
      </w:r>
      <w:r>
        <w:rPr>
          <w:color w:val="000000"/>
        </w:rPr>
        <w:t xml:space="preserve">a </w:t>
      </w:r>
      <w:r w:rsidRPr="00D6101B">
        <w:rPr>
          <w:color w:val="000000"/>
        </w:rPr>
        <w:t xml:space="preserve">wooden bier in a chamber tomb at Stavros Galias. </w:t>
      </w:r>
      <w:r>
        <w:rPr>
          <w:color w:val="000000"/>
        </w:rPr>
        <w:t>Regarding</w:t>
      </w:r>
      <w:r w:rsidRPr="00D6101B">
        <w:rPr>
          <w:color w:val="000000"/>
        </w:rPr>
        <w:t xml:space="preserve"> gender</w:t>
      </w:r>
      <w:r>
        <w:rPr>
          <w:color w:val="000000"/>
        </w:rPr>
        <w:t>,</w:t>
      </w:r>
      <w:r w:rsidRPr="00D6101B">
        <w:rPr>
          <w:color w:val="000000"/>
        </w:rPr>
        <w:t xml:space="preserve"> the larnax in the pit in the tomb of the sarcophagus </w:t>
      </w:r>
      <w:r>
        <w:rPr>
          <w:color w:val="000000"/>
        </w:rPr>
        <w:t xml:space="preserve">at Agia Triada </w:t>
      </w:r>
      <w:r w:rsidRPr="00D6101B">
        <w:rPr>
          <w:color w:val="000000"/>
        </w:rPr>
        <w:t xml:space="preserve">was </w:t>
      </w:r>
      <w:r>
        <w:rPr>
          <w:color w:val="000000"/>
        </w:rPr>
        <w:t xml:space="preserve">probably </w:t>
      </w:r>
      <w:r w:rsidRPr="00D6101B">
        <w:rPr>
          <w:color w:val="000000"/>
        </w:rPr>
        <w:t xml:space="preserve">used for a male burial </w:t>
      </w:r>
      <w:r>
        <w:rPr>
          <w:color w:val="000000"/>
        </w:rPr>
        <w:t>based on</w:t>
      </w:r>
      <w:r w:rsidRPr="00D6101B">
        <w:rPr>
          <w:color w:val="000000"/>
        </w:rPr>
        <w:t xml:space="preserve"> the object found there</w:t>
      </w:r>
      <w:r>
        <w:rPr>
          <w:color w:val="000000"/>
        </w:rPr>
        <w:t xml:space="preserve">; </w:t>
      </w:r>
      <w:r w:rsidRPr="00D6101B">
        <w:rPr>
          <w:color w:val="000000"/>
        </w:rPr>
        <w:t xml:space="preserve">while in the tomb </w:t>
      </w:r>
      <w:r>
        <w:rPr>
          <w:color w:val="000000"/>
        </w:rPr>
        <w:t>at</w:t>
      </w:r>
      <w:r w:rsidRPr="00D6101B">
        <w:rPr>
          <w:color w:val="000000"/>
        </w:rPr>
        <w:t xml:space="preserve"> Stavros Galias</w:t>
      </w:r>
      <w:r>
        <w:rPr>
          <w:color w:val="000000"/>
        </w:rPr>
        <w:t xml:space="preserve">, </w:t>
      </w:r>
      <w:r w:rsidRPr="00D6101B">
        <w:rPr>
          <w:color w:val="000000"/>
        </w:rPr>
        <w:t>male</w:t>
      </w:r>
      <w:r>
        <w:rPr>
          <w:color w:val="000000"/>
        </w:rPr>
        <w:t>s</w:t>
      </w:r>
      <w:r w:rsidRPr="00D6101B">
        <w:rPr>
          <w:color w:val="000000"/>
        </w:rPr>
        <w:t xml:space="preserve"> </w:t>
      </w:r>
      <w:r>
        <w:rPr>
          <w:color w:val="000000"/>
        </w:rPr>
        <w:t>were</w:t>
      </w:r>
      <w:r w:rsidRPr="00D6101B">
        <w:rPr>
          <w:color w:val="000000"/>
        </w:rPr>
        <w:t xml:space="preserve"> buried in wooden biers, </w:t>
      </w:r>
      <w:r>
        <w:rPr>
          <w:color w:val="000000"/>
        </w:rPr>
        <w:t>and</w:t>
      </w:r>
      <w:r w:rsidRPr="00D6101B">
        <w:rPr>
          <w:color w:val="000000"/>
        </w:rPr>
        <w:t xml:space="preserve"> a female individual in the clay chest. </w:t>
      </w:r>
      <w:r>
        <w:rPr>
          <w:color w:val="000000"/>
        </w:rPr>
        <w:t>However,</w:t>
      </w:r>
      <w:r w:rsidRPr="00D6101B">
        <w:rPr>
          <w:color w:val="000000"/>
        </w:rPr>
        <w:t xml:space="preserve"> due to the</w:t>
      </w:r>
      <w:r>
        <w:rPr>
          <w:color w:val="000000"/>
        </w:rPr>
        <w:t>re only being a</w:t>
      </w:r>
      <w:r w:rsidRPr="00D6101B">
        <w:rPr>
          <w:color w:val="000000"/>
        </w:rPr>
        <w:t xml:space="preserve"> single occurrence of the association of other type</w:t>
      </w:r>
      <w:r>
        <w:rPr>
          <w:color w:val="000000"/>
        </w:rPr>
        <w:t>s</w:t>
      </w:r>
      <w:r w:rsidRPr="00D6101B">
        <w:rPr>
          <w:color w:val="000000"/>
        </w:rPr>
        <w:t xml:space="preserve"> of containers with larnakes, this information concerning gender cannot be interpreted </w:t>
      </w:r>
      <w:r>
        <w:rPr>
          <w:color w:val="000000"/>
        </w:rPr>
        <w:t>as</w:t>
      </w:r>
      <w:r w:rsidRPr="00D6101B">
        <w:rPr>
          <w:color w:val="000000"/>
        </w:rPr>
        <w:t xml:space="preserve"> </w:t>
      </w:r>
      <w:r>
        <w:rPr>
          <w:color w:val="000000"/>
        </w:rPr>
        <w:t xml:space="preserve">a clear </w:t>
      </w:r>
      <w:r w:rsidRPr="00D6101B">
        <w:rPr>
          <w:color w:val="000000"/>
        </w:rPr>
        <w:t>gender-container association.</w:t>
      </w:r>
    </w:p>
    <w:p w14:paraId="0F2BD6F5"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The two cremated burials in pyxi</w:t>
      </w:r>
      <w:r>
        <w:rPr>
          <w:color w:val="000000"/>
        </w:rPr>
        <w:t>des</w:t>
      </w:r>
      <w:r w:rsidRPr="00D6101B">
        <w:rPr>
          <w:color w:val="000000"/>
        </w:rPr>
        <w:t xml:space="preserve"> possibly represent the </w:t>
      </w:r>
      <w:r>
        <w:rPr>
          <w:color w:val="000000"/>
        </w:rPr>
        <w:t>final</w:t>
      </w:r>
      <w:r w:rsidRPr="00D6101B">
        <w:rPr>
          <w:color w:val="000000"/>
        </w:rPr>
        <w:t xml:space="preserve"> phase of use of the two tombs to which they belong. Cremated burials represent a c new burial </w:t>
      </w:r>
      <w:r>
        <w:rPr>
          <w:color w:val="000000"/>
        </w:rPr>
        <w:t>custom,</w:t>
      </w:r>
      <w:r w:rsidRPr="00D6101B">
        <w:rPr>
          <w:color w:val="000000"/>
        </w:rPr>
        <w:t xml:space="preserve"> and these two</w:t>
      </w:r>
      <w:r>
        <w:rPr>
          <w:color w:val="000000"/>
        </w:rPr>
        <w:t xml:space="preserve"> burials</w:t>
      </w:r>
      <w:r w:rsidRPr="00D6101B">
        <w:rPr>
          <w:color w:val="000000"/>
        </w:rPr>
        <w:t xml:space="preserve"> represent (in particular the one found in </w:t>
      </w:r>
      <w:r>
        <w:rPr>
          <w:color w:val="000000"/>
        </w:rPr>
        <w:t>T</w:t>
      </w:r>
      <w:r w:rsidRPr="00D6101B">
        <w:rPr>
          <w:color w:val="000000"/>
        </w:rPr>
        <w:t>omb D at Liliana) the earliest example</w:t>
      </w:r>
      <w:r>
        <w:rPr>
          <w:color w:val="000000"/>
        </w:rPr>
        <w:t>s</w:t>
      </w:r>
      <w:r w:rsidRPr="00D6101B">
        <w:rPr>
          <w:color w:val="000000"/>
        </w:rPr>
        <w:t>. Their association in tombs with larnax burials</w:t>
      </w:r>
      <w:r>
        <w:rPr>
          <w:color w:val="000000"/>
        </w:rPr>
        <w:t>,</w:t>
      </w:r>
      <w:r w:rsidRPr="00D6101B">
        <w:rPr>
          <w:color w:val="000000"/>
        </w:rPr>
        <w:t xml:space="preserve"> along with the long use of early burial structure</w:t>
      </w:r>
      <w:r>
        <w:rPr>
          <w:color w:val="000000"/>
        </w:rPr>
        <w:t>s,</w:t>
      </w:r>
      <w:r w:rsidRPr="00D6101B">
        <w:rPr>
          <w:color w:val="000000"/>
        </w:rPr>
        <w:t xml:space="preserve"> </w:t>
      </w:r>
      <w:r>
        <w:rPr>
          <w:color w:val="000000"/>
        </w:rPr>
        <w:t>can</w:t>
      </w:r>
      <w:r w:rsidRPr="00D6101B">
        <w:rPr>
          <w:color w:val="000000"/>
        </w:rPr>
        <w:t xml:space="preserve"> be interpreted as an indication </w:t>
      </w:r>
      <w:r>
        <w:rPr>
          <w:color w:val="000000"/>
        </w:rPr>
        <w:t>of</w:t>
      </w:r>
      <w:r w:rsidRPr="00D6101B">
        <w:rPr>
          <w:color w:val="000000"/>
        </w:rPr>
        <w:t xml:space="preserve"> changes </w:t>
      </w:r>
      <w:r>
        <w:rPr>
          <w:color w:val="000000"/>
        </w:rPr>
        <w:t xml:space="preserve"> over time </w:t>
      </w:r>
      <w:r w:rsidRPr="00D6101B">
        <w:rPr>
          <w:color w:val="000000"/>
        </w:rPr>
        <w:t>within the burial sphere in these regions</w:t>
      </w:r>
      <w:r>
        <w:rPr>
          <w:color w:val="000000"/>
        </w:rPr>
        <w:t>,</w:t>
      </w:r>
      <w:r w:rsidRPr="00D6101B">
        <w:rPr>
          <w:color w:val="000000"/>
        </w:rPr>
        <w:t xml:space="preserve"> which were probably expressed through differences in burial practices (</w:t>
      </w:r>
      <w:r>
        <w:rPr>
          <w:color w:val="000000"/>
        </w:rPr>
        <w:t xml:space="preserve">e.g. a </w:t>
      </w:r>
      <w:r w:rsidRPr="00D6101B">
        <w:rPr>
          <w:color w:val="000000"/>
        </w:rPr>
        <w:t>switch from the second phase of LM IIIC and SM) and in the burial containers used (LM IIIA1: wooden biers</w:t>
      </w:r>
      <w:r>
        <w:rPr>
          <w:color w:val="000000"/>
        </w:rPr>
        <w:t>, see</w:t>
      </w:r>
      <w:r w:rsidRPr="00D6101B">
        <w:rPr>
          <w:color w:val="000000"/>
        </w:rPr>
        <w:t xml:space="preserve"> Kalyvia; LM IIIA2- LM III B: larnakes; LM IIIC/SM cremation Prinias). </w:t>
      </w:r>
    </w:p>
    <w:p w14:paraId="1FE22017" w14:textId="77777777" w:rsidR="001A4F1A" w:rsidRPr="00C67E83" w:rsidRDefault="001A4F1A" w:rsidP="00E858EF">
      <w:pPr>
        <w:suppressAutoHyphens/>
        <w:autoSpaceDE w:val="0"/>
        <w:autoSpaceDN w:val="0"/>
        <w:adjustRightInd w:val="0"/>
        <w:rPr>
          <w:color w:val="000000"/>
        </w:rPr>
      </w:pPr>
      <w:r>
        <w:rPr>
          <w:color w:val="000000"/>
        </w:rPr>
        <w:tab/>
      </w:r>
      <w:r w:rsidRPr="00D6101B">
        <w:rPr>
          <w:color w:val="000000"/>
        </w:rPr>
        <w:t xml:space="preserve">The vast majority of </w:t>
      </w:r>
      <w:r>
        <w:rPr>
          <w:color w:val="000000"/>
        </w:rPr>
        <w:t xml:space="preserve">the </w:t>
      </w:r>
      <w:r w:rsidRPr="00D6101B">
        <w:rPr>
          <w:color w:val="000000"/>
        </w:rPr>
        <w:t>information on gender and age come</w:t>
      </w:r>
      <w:r>
        <w:rPr>
          <w:color w:val="000000"/>
        </w:rPr>
        <w:t>s</w:t>
      </w:r>
      <w:r w:rsidRPr="00D6101B">
        <w:rPr>
          <w:color w:val="000000"/>
        </w:rPr>
        <w:t xml:space="preserve"> from the skeletal materials </w:t>
      </w:r>
      <w:r>
        <w:rPr>
          <w:color w:val="000000"/>
        </w:rPr>
        <w:t>from T</w:t>
      </w:r>
      <w:r w:rsidRPr="00D6101B">
        <w:rPr>
          <w:color w:val="000000"/>
        </w:rPr>
        <w:t>omb D at Kalochorafitis. From the results</w:t>
      </w:r>
      <w:r>
        <w:rPr>
          <w:color w:val="000000"/>
        </w:rPr>
        <w:t>,</w:t>
      </w:r>
      <w:r w:rsidRPr="00D6101B">
        <w:rPr>
          <w:color w:val="000000"/>
        </w:rPr>
        <w:t xml:space="preserve"> </w:t>
      </w:r>
      <w:r>
        <w:rPr>
          <w:color w:val="000000"/>
        </w:rPr>
        <w:t>it seems</w:t>
      </w:r>
      <w:r w:rsidRPr="00D6101B">
        <w:rPr>
          <w:color w:val="000000"/>
        </w:rPr>
        <w:t xml:space="preserve"> that there </w:t>
      </w:r>
      <w:r>
        <w:rPr>
          <w:color w:val="000000"/>
        </w:rPr>
        <w:t>is</w:t>
      </w:r>
      <w:r w:rsidRPr="00D6101B">
        <w:rPr>
          <w:color w:val="000000"/>
        </w:rPr>
        <w:t xml:space="preserve"> no specific association between larna</w:t>
      </w:r>
      <w:r>
        <w:rPr>
          <w:color w:val="000000"/>
        </w:rPr>
        <w:t>kes,</w:t>
      </w:r>
      <w:r w:rsidRPr="00D6101B">
        <w:rPr>
          <w:color w:val="000000"/>
        </w:rPr>
        <w:t xml:space="preserve"> gender and age</w:t>
      </w:r>
      <w:r>
        <w:rPr>
          <w:color w:val="000000"/>
        </w:rPr>
        <w:t>,</w:t>
      </w:r>
      <w:r w:rsidRPr="00D6101B">
        <w:rPr>
          <w:color w:val="000000"/>
        </w:rPr>
        <w:t xml:space="preserve"> and that </w:t>
      </w:r>
      <w:r>
        <w:rPr>
          <w:color w:val="000000"/>
        </w:rPr>
        <w:t>certainly</w:t>
      </w:r>
      <w:r w:rsidRPr="00D6101B">
        <w:rPr>
          <w:color w:val="000000"/>
        </w:rPr>
        <w:t xml:space="preserve"> the burials </w:t>
      </w:r>
      <w:r>
        <w:rPr>
          <w:color w:val="000000"/>
        </w:rPr>
        <w:t>were</w:t>
      </w:r>
      <w:r w:rsidRPr="00D6101B">
        <w:rPr>
          <w:color w:val="000000"/>
        </w:rPr>
        <w:t xml:space="preserve"> manipulated after deposition, and </w:t>
      </w:r>
      <w:r>
        <w:rPr>
          <w:color w:val="000000"/>
        </w:rPr>
        <w:t xml:space="preserve">the </w:t>
      </w:r>
      <w:r w:rsidRPr="00D6101B">
        <w:rPr>
          <w:color w:val="000000"/>
        </w:rPr>
        <w:t xml:space="preserve">larnax container </w:t>
      </w:r>
      <w:r>
        <w:rPr>
          <w:color w:val="000000"/>
        </w:rPr>
        <w:t xml:space="preserve">was </w:t>
      </w:r>
      <w:r w:rsidRPr="00D6101B">
        <w:rPr>
          <w:color w:val="000000"/>
        </w:rPr>
        <w:t xml:space="preserve">used many times </w:t>
      </w:r>
      <w:r>
        <w:rPr>
          <w:color w:val="000000"/>
        </w:rPr>
        <w:t>for both</w:t>
      </w:r>
      <w:r w:rsidRPr="00D6101B">
        <w:rPr>
          <w:color w:val="000000"/>
        </w:rPr>
        <w:t xml:space="preserve"> primary burials and secondary burials.</w:t>
      </w:r>
      <w:r>
        <w:rPr>
          <w:color w:val="000000"/>
        </w:rPr>
        <w:t xml:space="preserve"> Based on</w:t>
      </w:r>
      <w:r w:rsidRPr="00D6101B">
        <w:rPr>
          <w:color w:val="000000"/>
        </w:rPr>
        <w:t xml:space="preserve"> this analysis</w:t>
      </w:r>
      <w:r>
        <w:rPr>
          <w:color w:val="000000"/>
        </w:rPr>
        <w:t>,</w:t>
      </w:r>
      <w:r w:rsidRPr="00D6101B">
        <w:rPr>
          <w:color w:val="000000"/>
        </w:rPr>
        <w:t xml:space="preserve"> the best sample of tombs in terms of</w:t>
      </w:r>
      <w:r>
        <w:rPr>
          <w:color w:val="000000"/>
        </w:rPr>
        <w:t xml:space="preserve"> data about</w:t>
      </w:r>
      <w:r w:rsidRPr="00D6101B">
        <w:rPr>
          <w:color w:val="000000"/>
        </w:rPr>
        <w:t xml:space="preserve"> skeletal remains </w:t>
      </w:r>
      <w:r>
        <w:rPr>
          <w:color w:val="000000"/>
        </w:rPr>
        <w:t xml:space="preserve">involves </w:t>
      </w:r>
      <w:r w:rsidRPr="00C67E83">
        <w:rPr>
          <w:color w:val="000000"/>
        </w:rPr>
        <w:t xml:space="preserve">Kalochoraphitis Anevolema Tomb D </w:t>
      </w:r>
      <w:r>
        <w:rPr>
          <w:color w:val="000000"/>
        </w:rPr>
        <w:t xml:space="preserve">and </w:t>
      </w:r>
      <w:r w:rsidRPr="00C67E83">
        <w:rPr>
          <w:color w:val="000000"/>
        </w:rPr>
        <w:t>Stavros Galias tomb (1975)</w:t>
      </w:r>
      <w:r>
        <w:rPr>
          <w:color w:val="000000"/>
        </w:rPr>
        <w:t>.</w:t>
      </w:r>
    </w:p>
    <w:p w14:paraId="323FD0B2" w14:textId="77777777" w:rsidR="001A4F1A" w:rsidRPr="00D6101B" w:rsidRDefault="001A4F1A" w:rsidP="00E858EF">
      <w:pPr>
        <w:pStyle w:val="Titolo3"/>
        <w:keepNext w:val="0"/>
        <w:keepLines w:val="0"/>
        <w:suppressAutoHyphens/>
      </w:pPr>
      <w:bookmarkStart w:id="706" w:name="_Toc517745307"/>
      <w:bookmarkStart w:id="707" w:name="_Toc519894653"/>
      <w:r w:rsidRPr="00D6101B">
        <w:t>Knossos (skeletal remains)</w:t>
      </w:r>
      <w:bookmarkEnd w:id="706"/>
      <w:bookmarkEnd w:id="707"/>
    </w:p>
    <w:p w14:paraId="5536074B" w14:textId="77777777" w:rsidR="001A4F1A" w:rsidRPr="00D6101B" w:rsidRDefault="001A4F1A" w:rsidP="00E858EF">
      <w:pPr>
        <w:pStyle w:val="Titolo4"/>
        <w:keepNext w:val="0"/>
        <w:keepLines w:val="0"/>
        <w:suppressAutoHyphens/>
      </w:pPr>
      <w:bookmarkStart w:id="708" w:name="_Toc517745308"/>
      <w:r w:rsidRPr="00D6101B">
        <w:t>Knossos analysis</w:t>
      </w:r>
      <w:bookmarkEnd w:id="708"/>
      <w:r w:rsidRPr="00D6101B">
        <w:t xml:space="preserve"> </w:t>
      </w:r>
    </w:p>
    <w:p w14:paraId="14C29ECB"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The minimum number of burials estimated for the sample of </w:t>
      </w:r>
      <w:r>
        <w:rPr>
          <w:color w:val="000000"/>
        </w:rPr>
        <w:t xml:space="preserve">secure </w:t>
      </w:r>
      <w:r w:rsidRPr="00D6101B">
        <w:rPr>
          <w:color w:val="000000"/>
        </w:rPr>
        <w:t xml:space="preserve">tombs with larnakes </w:t>
      </w:r>
      <w:r>
        <w:rPr>
          <w:color w:val="000000"/>
        </w:rPr>
        <w:t>in the</w:t>
      </w:r>
      <w:r w:rsidRPr="00D6101B">
        <w:rPr>
          <w:color w:val="000000"/>
        </w:rPr>
        <w:t xml:space="preserve"> Knossos area </w:t>
      </w:r>
      <w:r>
        <w:rPr>
          <w:color w:val="000000"/>
        </w:rPr>
        <w:t>is</w:t>
      </w:r>
      <w:r w:rsidRPr="00D6101B">
        <w:rPr>
          <w:color w:val="000000"/>
        </w:rPr>
        <w:t xml:space="preserve"> 1</w:t>
      </w:r>
      <w:r>
        <w:rPr>
          <w:color w:val="000000"/>
        </w:rPr>
        <w:t>3</w:t>
      </w:r>
      <w:r w:rsidRPr="00D6101B">
        <w:rPr>
          <w:color w:val="000000"/>
        </w:rPr>
        <w:t xml:space="preserve">6. </w:t>
      </w:r>
    </w:p>
    <w:p w14:paraId="09527D5C" w14:textId="77777777" w:rsidR="001A4F1A"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0B8A8460" w14:textId="77777777" w:rsidR="00240B38" w:rsidRDefault="00240B38" w:rsidP="00E858EF">
      <w:pPr>
        <w:suppressAutoHyphens/>
        <w:spacing w:line="240" w:lineRule="auto"/>
        <w:contextualSpacing w:val="0"/>
        <w:jc w:val="left"/>
        <w:rPr>
          <w:rFonts w:cs="Lucida Grande"/>
          <w:b/>
          <w:sz w:val="20"/>
          <w:szCs w:val="18"/>
        </w:rPr>
      </w:pPr>
      <w:r>
        <w:br w:type="page"/>
      </w:r>
    </w:p>
    <w:p w14:paraId="3C9FDAF5" w14:textId="68203D18" w:rsidR="001A4F1A" w:rsidRPr="00D6101B" w:rsidRDefault="001A4F1A" w:rsidP="00E858EF">
      <w:pPr>
        <w:pStyle w:val="Testofumetto"/>
        <w:suppressAutoHyphens/>
      </w:pPr>
      <w:bookmarkStart w:id="709" w:name="_Toc520212583"/>
      <w:r>
        <w:t>Table 4-12 Information concerning number of burials in tombs with larnakes</w:t>
      </w:r>
      <w:r w:rsidR="00466FB3">
        <w:t>,</w:t>
      </w:r>
      <w:r>
        <w:t xml:space="preserve"> Knossos </w:t>
      </w:r>
      <w:bookmarkEnd w:id="709"/>
      <w:r w:rsidR="00D02AAA">
        <w:t>area</w:t>
      </w:r>
    </w:p>
    <w:tbl>
      <w:tblPr>
        <w:tblW w:w="83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1642"/>
        <w:gridCol w:w="1381"/>
        <w:gridCol w:w="1396"/>
        <w:gridCol w:w="1407"/>
        <w:gridCol w:w="1050"/>
      </w:tblGrid>
      <w:tr w:rsidR="001A4F1A" w:rsidRPr="0057700B" w14:paraId="250F6480" w14:textId="77777777" w:rsidTr="0057700B">
        <w:tc>
          <w:tcPr>
            <w:tcW w:w="1513" w:type="dxa"/>
          </w:tcPr>
          <w:p w14:paraId="5B9FCD1B" w14:textId="7458D01A"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57700B">
              <w:rPr>
                <w:color w:val="000000"/>
                <w:sz w:val="20"/>
              </w:rPr>
              <w:t>Total number of secure tombs with larnakes</w:t>
            </w:r>
          </w:p>
        </w:tc>
        <w:tc>
          <w:tcPr>
            <w:tcW w:w="1642" w:type="dxa"/>
          </w:tcPr>
          <w:p w14:paraId="1C8C786D"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57700B">
              <w:rPr>
                <w:color w:val="000000"/>
                <w:sz w:val="20"/>
              </w:rPr>
              <w:t>Minimum number of estimated burials</w:t>
            </w:r>
          </w:p>
        </w:tc>
        <w:tc>
          <w:tcPr>
            <w:tcW w:w="1381" w:type="dxa"/>
          </w:tcPr>
          <w:p w14:paraId="53F4AB7D"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57700B">
              <w:rPr>
                <w:color w:val="000000"/>
                <w:sz w:val="20"/>
              </w:rPr>
              <w:t>Mean number of burials per tomb</w:t>
            </w:r>
          </w:p>
        </w:tc>
        <w:tc>
          <w:tcPr>
            <w:tcW w:w="1396" w:type="dxa"/>
          </w:tcPr>
          <w:p w14:paraId="6C63B598"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57700B">
              <w:rPr>
                <w:color w:val="000000"/>
                <w:sz w:val="20"/>
              </w:rPr>
              <w:t>Minimum number of estimated burials per tomb</w:t>
            </w:r>
          </w:p>
        </w:tc>
        <w:tc>
          <w:tcPr>
            <w:tcW w:w="1407" w:type="dxa"/>
          </w:tcPr>
          <w:p w14:paraId="483A8A98"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57700B">
              <w:rPr>
                <w:color w:val="000000"/>
                <w:sz w:val="20"/>
              </w:rPr>
              <w:t>Maximum number of estimated burials per tomb</w:t>
            </w:r>
          </w:p>
        </w:tc>
        <w:tc>
          <w:tcPr>
            <w:tcW w:w="1050" w:type="dxa"/>
          </w:tcPr>
          <w:p w14:paraId="08E3C529"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57700B">
              <w:rPr>
                <w:color w:val="000000"/>
                <w:sz w:val="20"/>
              </w:rPr>
              <w:t>Maximum number of larnakes per tomb</w:t>
            </w:r>
          </w:p>
        </w:tc>
      </w:tr>
      <w:tr w:rsidR="001A4F1A" w:rsidRPr="0057700B" w14:paraId="7D3D3B32" w14:textId="77777777" w:rsidTr="0057700B">
        <w:tc>
          <w:tcPr>
            <w:tcW w:w="1513" w:type="dxa"/>
          </w:tcPr>
          <w:p w14:paraId="5A8F5B97"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rPr>
            </w:pPr>
            <w:r w:rsidRPr="0057700B">
              <w:rPr>
                <w:b/>
                <w:color w:val="000000"/>
                <w:sz w:val="20"/>
              </w:rPr>
              <w:t>53</w:t>
            </w:r>
          </w:p>
        </w:tc>
        <w:tc>
          <w:tcPr>
            <w:tcW w:w="1642" w:type="dxa"/>
          </w:tcPr>
          <w:p w14:paraId="48B98892"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57700B">
              <w:rPr>
                <w:color w:val="000000"/>
                <w:sz w:val="20"/>
              </w:rPr>
              <w:t>136</w:t>
            </w:r>
          </w:p>
        </w:tc>
        <w:tc>
          <w:tcPr>
            <w:tcW w:w="1381" w:type="dxa"/>
          </w:tcPr>
          <w:p w14:paraId="10B92547"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57700B">
              <w:rPr>
                <w:color w:val="000000"/>
                <w:sz w:val="20"/>
              </w:rPr>
              <w:t>2.6</w:t>
            </w:r>
          </w:p>
        </w:tc>
        <w:tc>
          <w:tcPr>
            <w:tcW w:w="1396" w:type="dxa"/>
          </w:tcPr>
          <w:p w14:paraId="29D7DF46"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57700B">
              <w:rPr>
                <w:color w:val="000000"/>
                <w:sz w:val="20"/>
              </w:rPr>
              <w:t>1</w:t>
            </w:r>
          </w:p>
        </w:tc>
        <w:tc>
          <w:tcPr>
            <w:tcW w:w="1407" w:type="dxa"/>
          </w:tcPr>
          <w:p w14:paraId="599D4909"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57700B">
              <w:rPr>
                <w:color w:val="000000"/>
                <w:sz w:val="20"/>
              </w:rPr>
              <w:t>13</w:t>
            </w:r>
          </w:p>
        </w:tc>
        <w:tc>
          <w:tcPr>
            <w:tcW w:w="1050" w:type="dxa"/>
          </w:tcPr>
          <w:p w14:paraId="0207B87D"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57700B">
              <w:rPr>
                <w:color w:val="000000"/>
                <w:sz w:val="20"/>
              </w:rPr>
              <w:t>13</w:t>
            </w:r>
          </w:p>
        </w:tc>
      </w:tr>
    </w:tbl>
    <w:p w14:paraId="3114D851"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07BB5C3E"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In the table</w:t>
      </w:r>
      <w:r>
        <w:rPr>
          <w:color w:val="000000"/>
        </w:rPr>
        <w:t>, above,</w:t>
      </w:r>
      <w:r w:rsidRPr="00D6101B">
        <w:rPr>
          <w:color w:val="000000"/>
        </w:rPr>
        <w:t xml:space="preserve"> the data concerning the maximum number of estimated burials per tomb (13) coincides with the maximum of larnakes per tomb (13). Both </w:t>
      </w:r>
      <w:r>
        <w:rPr>
          <w:color w:val="000000"/>
        </w:rPr>
        <w:t>statistics</w:t>
      </w:r>
      <w:r w:rsidRPr="00D6101B">
        <w:rPr>
          <w:color w:val="000000"/>
        </w:rPr>
        <w:t xml:space="preserve"> come from the same tomb: </w:t>
      </w:r>
      <w:r>
        <w:rPr>
          <w:color w:val="000000"/>
        </w:rPr>
        <w:t>T</w:t>
      </w:r>
      <w:r w:rsidRPr="00D6101B">
        <w:rPr>
          <w:color w:val="000000"/>
        </w:rPr>
        <w:t xml:space="preserve">omb V at </w:t>
      </w:r>
      <w:r>
        <w:rPr>
          <w:color w:val="000000"/>
        </w:rPr>
        <w:t xml:space="preserve">the </w:t>
      </w:r>
      <w:r w:rsidRPr="00D6101B">
        <w:rPr>
          <w:color w:val="000000"/>
        </w:rPr>
        <w:t>Mavro Spelio cemetery</w:t>
      </w:r>
      <w:r>
        <w:rPr>
          <w:color w:val="000000"/>
        </w:rPr>
        <w:t>.</w:t>
      </w:r>
      <w:r w:rsidRPr="00D6101B">
        <w:rPr>
          <w:color w:val="000000"/>
        </w:rPr>
        <w:t xml:space="preserve"> </w:t>
      </w:r>
      <w:r>
        <w:rPr>
          <w:color w:val="000000"/>
        </w:rPr>
        <w:t>This</w:t>
      </w:r>
      <w:r w:rsidRPr="00D6101B">
        <w:rPr>
          <w:color w:val="000000"/>
        </w:rPr>
        <w:t xml:space="preserve"> is a triple tomb w</w:t>
      </w:r>
      <w:r>
        <w:rPr>
          <w:color w:val="000000"/>
        </w:rPr>
        <w:t>h</w:t>
      </w:r>
      <w:r w:rsidRPr="00D6101B">
        <w:rPr>
          <w:color w:val="000000"/>
        </w:rPr>
        <w:t>ere at least 13 larnakes (</w:t>
      </w:r>
      <w:r>
        <w:rPr>
          <w:color w:val="000000"/>
        </w:rPr>
        <w:t xml:space="preserve">and </w:t>
      </w:r>
      <w:r w:rsidRPr="00D6101B">
        <w:rPr>
          <w:color w:val="000000"/>
        </w:rPr>
        <w:t>lid</w:t>
      </w:r>
      <w:r>
        <w:rPr>
          <w:color w:val="000000"/>
        </w:rPr>
        <w:t>s</w:t>
      </w:r>
      <w:r w:rsidRPr="00D6101B">
        <w:rPr>
          <w:color w:val="000000"/>
        </w:rPr>
        <w:t xml:space="preserve"> of larnakes) </w:t>
      </w:r>
      <w:r>
        <w:rPr>
          <w:color w:val="000000"/>
        </w:rPr>
        <w:t>were</w:t>
      </w:r>
      <w:r w:rsidRPr="00D6101B">
        <w:rPr>
          <w:color w:val="000000"/>
        </w:rPr>
        <w:t xml:space="preserve"> found, distributed in each of the three chambers. Certainly, the number of chest</w:t>
      </w:r>
      <w:r>
        <w:rPr>
          <w:color w:val="000000"/>
        </w:rPr>
        <w:t>s</w:t>
      </w:r>
      <w:r w:rsidRPr="00D6101B">
        <w:rPr>
          <w:color w:val="000000"/>
        </w:rPr>
        <w:t xml:space="preserve"> was higher. Nevertheless, further information about </w:t>
      </w:r>
      <w:r>
        <w:rPr>
          <w:color w:val="000000"/>
        </w:rPr>
        <w:t xml:space="preserve">the </w:t>
      </w:r>
      <w:r w:rsidRPr="00D6101B">
        <w:rPr>
          <w:color w:val="000000"/>
        </w:rPr>
        <w:t xml:space="preserve">burials and skeletal materials </w:t>
      </w:r>
      <w:r>
        <w:rPr>
          <w:color w:val="000000"/>
        </w:rPr>
        <w:t>is</w:t>
      </w:r>
      <w:r w:rsidRPr="00D6101B">
        <w:rPr>
          <w:color w:val="000000"/>
        </w:rPr>
        <w:t xml:space="preserve"> not available because of the deep disturbance of the tomb. The reuse of </w:t>
      </w:r>
      <w:r>
        <w:rPr>
          <w:color w:val="000000"/>
        </w:rPr>
        <w:t xml:space="preserve">the </w:t>
      </w:r>
      <w:r w:rsidRPr="00D6101B">
        <w:rPr>
          <w:color w:val="000000"/>
        </w:rPr>
        <w:t>coffin</w:t>
      </w:r>
      <w:r>
        <w:rPr>
          <w:color w:val="000000"/>
        </w:rPr>
        <w:t>s</w:t>
      </w:r>
      <w:r w:rsidRPr="00D6101B">
        <w:rPr>
          <w:color w:val="000000"/>
        </w:rPr>
        <w:t xml:space="preserve"> is quite </w:t>
      </w:r>
      <w:r>
        <w:rPr>
          <w:color w:val="000000"/>
        </w:rPr>
        <w:t>certain</w:t>
      </w:r>
      <w:r w:rsidRPr="00D6101B">
        <w:rPr>
          <w:color w:val="000000"/>
        </w:rPr>
        <w:t xml:space="preserve">, </w:t>
      </w:r>
      <w:r>
        <w:rPr>
          <w:color w:val="000000"/>
        </w:rPr>
        <w:t>based on</w:t>
      </w:r>
      <w:r w:rsidRPr="00D6101B">
        <w:rPr>
          <w:color w:val="000000"/>
        </w:rPr>
        <w:t xml:space="preserve"> the larnax (the better preserved one) that was covered with the base of another larnax used as a lid (Forsdyke 1926/27: 257). Furthermore, this tomb was built</w:t>
      </w:r>
      <w:r>
        <w:rPr>
          <w:color w:val="000000"/>
        </w:rPr>
        <w:t xml:space="preserve"> in</w:t>
      </w:r>
      <w:r w:rsidRPr="00D6101B">
        <w:rPr>
          <w:color w:val="000000"/>
        </w:rPr>
        <w:t xml:space="preserve"> and used since LM I, and the larnax burials belong to </w:t>
      </w:r>
      <w:r>
        <w:rPr>
          <w:color w:val="000000"/>
        </w:rPr>
        <w:t xml:space="preserve">the </w:t>
      </w:r>
      <w:r w:rsidRPr="00D6101B">
        <w:rPr>
          <w:color w:val="000000"/>
        </w:rPr>
        <w:t>LM IIIA-B phase.</w:t>
      </w:r>
    </w:p>
    <w:p w14:paraId="39CE6E92"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For the present analysis</w:t>
      </w:r>
      <w:r>
        <w:rPr>
          <w:color w:val="000000"/>
        </w:rPr>
        <w:t>, the</w:t>
      </w:r>
      <w:r w:rsidRPr="00D6101B">
        <w:rPr>
          <w:color w:val="000000"/>
        </w:rPr>
        <w:t xml:space="preserve"> tombs at </w:t>
      </w:r>
      <w:r>
        <w:rPr>
          <w:color w:val="000000"/>
        </w:rPr>
        <w:t>KNC</w:t>
      </w:r>
      <w:r w:rsidRPr="00D6101B">
        <w:rPr>
          <w:color w:val="000000"/>
        </w:rPr>
        <w:t xml:space="preserve"> and Fortetsa</w:t>
      </w:r>
      <w:r>
        <w:rPr>
          <w:color w:val="000000"/>
        </w:rPr>
        <w:t xml:space="preserve"> that </w:t>
      </w:r>
      <w:r w:rsidRPr="00D6101B">
        <w:rPr>
          <w:color w:val="000000"/>
        </w:rPr>
        <w:t xml:space="preserve">have not </w:t>
      </w:r>
      <w:r>
        <w:rPr>
          <w:color w:val="000000"/>
        </w:rPr>
        <w:t xml:space="preserve">been </w:t>
      </w:r>
      <w:r w:rsidRPr="00D6101B">
        <w:rPr>
          <w:color w:val="000000"/>
        </w:rPr>
        <w:t>previously included within the sample of secure burial locations with larnakes</w:t>
      </w:r>
      <w:r>
        <w:rPr>
          <w:color w:val="000000"/>
        </w:rPr>
        <w:t>, have also not been included here because the tomb construction and main phase of use do not correspond to LM III, but to a later phase</w:t>
      </w:r>
      <w:r w:rsidRPr="00D6101B">
        <w:rPr>
          <w:color w:val="000000"/>
        </w:rPr>
        <w:t xml:space="preserve">. </w:t>
      </w:r>
      <w:r>
        <w:rPr>
          <w:color w:val="000000"/>
        </w:rPr>
        <w:t>T</w:t>
      </w:r>
      <w:r w:rsidRPr="00D6101B">
        <w:rPr>
          <w:color w:val="000000"/>
        </w:rPr>
        <w:t xml:space="preserve">here is practically no information available </w:t>
      </w:r>
      <w:r>
        <w:rPr>
          <w:color w:val="000000"/>
        </w:rPr>
        <w:t>concerning</w:t>
      </w:r>
      <w:r w:rsidRPr="00D6101B">
        <w:rPr>
          <w:color w:val="000000"/>
        </w:rPr>
        <w:t xml:space="preserve"> burials and skeletal remains coinciding with the Minoan phase of the cemetery (Coldstream</w:t>
      </w:r>
      <w:r>
        <w:rPr>
          <w:color w:val="000000"/>
        </w:rPr>
        <w:t xml:space="preserve"> and</w:t>
      </w:r>
      <w:r w:rsidRPr="00D6101B">
        <w:rPr>
          <w:color w:val="000000"/>
        </w:rPr>
        <w:t xml:space="preserve"> Catling 1996). In </w:t>
      </w:r>
      <w:r>
        <w:rPr>
          <w:color w:val="000000"/>
        </w:rPr>
        <w:t>KNC,</w:t>
      </w:r>
      <w:r w:rsidRPr="00D6101B">
        <w:rPr>
          <w:color w:val="000000"/>
        </w:rPr>
        <w:t xml:space="preserve"> the general poor state of preservation of materials concerning inhumation</w:t>
      </w:r>
      <w:r>
        <w:rPr>
          <w:color w:val="000000"/>
        </w:rPr>
        <w:t>s</w:t>
      </w:r>
      <w:r w:rsidRPr="00D6101B">
        <w:rPr>
          <w:color w:val="000000"/>
        </w:rPr>
        <w:t xml:space="preserve"> do</w:t>
      </w:r>
      <w:r>
        <w:rPr>
          <w:color w:val="000000"/>
        </w:rPr>
        <w:t>es</w:t>
      </w:r>
      <w:r w:rsidRPr="00D6101B">
        <w:rPr>
          <w:color w:val="000000"/>
        </w:rPr>
        <w:t xml:space="preserve"> not allow</w:t>
      </w:r>
      <w:r>
        <w:rPr>
          <w:color w:val="000000"/>
        </w:rPr>
        <w:t xml:space="preserve"> us</w:t>
      </w:r>
      <w:r w:rsidRPr="00D6101B">
        <w:rPr>
          <w:color w:val="000000"/>
        </w:rPr>
        <w:t xml:space="preserve"> to associate any of the larnakes with individual burials</w:t>
      </w:r>
      <w:r>
        <w:rPr>
          <w:color w:val="000000"/>
        </w:rPr>
        <w:t xml:space="preserve"> because</w:t>
      </w:r>
      <w:r w:rsidRPr="00D6101B">
        <w:rPr>
          <w:color w:val="000000"/>
        </w:rPr>
        <w:t xml:space="preserve"> </w:t>
      </w:r>
      <w:r>
        <w:rPr>
          <w:color w:val="000000"/>
        </w:rPr>
        <w:t>many</w:t>
      </w:r>
      <w:r w:rsidRPr="00D6101B">
        <w:rPr>
          <w:color w:val="000000"/>
        </w:rPr>
        <w:t xml:space="preserve"> larnakes </w:t>
      </w:r>
      <w:r>
        <w:rPr>
          <w:color w:val="000000"/>
        </w:rPr>
        <w:t xml:space="preserve">were </w:t>
      </w:r>
      <w:r w:rsidRPr="00D6101B">
        <w:rPr>
          <w:color w:val="000000"/>
        </w:rPr>
        <w:t>found broken, in niche</w:t>
      </w:r>
      <w:r>
        <w:rPr>
          <w:color w:val="000000"/>
        </w:rPr>
        <w:t>s</w:t>
      </w:r>
      <w:r w:rsidRPr="00D6101B">
        <w:rPr>
          <w:color w:val="000000"/>
        </w:rPr>
        <w:t xml:space="preserve"> or pit</w:t>
      </w:r>
      <w:r>
        <w:rPr>
          <w:color w:val="000000"/>
        </w:rPr>
        <w:t xml:space="preserve">s, and only in fragments </w:t>
      </w:r>
      <w:r w:rsidRPr="00D6101B">
        <w:rPr>
          <w:color w:val="000000"/>
        </w:rPr>
        <w:t>(Musgrave: 1996)</w:t>
      </w:r>
      <w:r>
        <w:rPr>
          <w:color w:val="000000"/>
        </w:rPr>
        <w:t>.</w:t>
      </w:r>
    </w:p>
    <w:p w14:paraId="3F74ABC9" w14:textId="77777777" w:rsidR="001A4F1A" w:rsidRPr="00D6101B" w:rsidRDefault="001A4F1A" w:rsidP="00E858EF">
      <w:pPr>
        <w:suppressAutoHyphens/>
        <w:autoSpaceDE w:val="0"/>
        <w:autoSpaceDN w:val="0"/>
        <w:adjustRightInd w:val="0"/>
        <w:rPr>
          <w:color w:val="000000"/>
        </w:rPr>
      </w:pPr>
      <w:r>
        <w:rPr>
          <w:color w:val="000000"/>
        </w:rPr>
        <w:tab/>
        <w:t>Regarding</w:t>
      </w:r>
      <w:r w:rsidRPr="00D6101B">
        <w:rPr>
          <w:color w:val="000000"/>
        </w:rPr>
        <w:t xml:space="preserve"> the sample of secure tombs with larnakes considered</w:t>
      </w:r>
      <w:r>
        <w:rPr>
          <w:color w:val="000000"/>
        </w:rPr>
        <w:t>,</w:t>
      </w:r>
      <w:r w:rsidRPr="00D6101B">
        <w:rPr>
          <w:color w:val="000000"/>
        </w:rPr>
        <w:t xml:space="preserve"> it is possible to retrieve only the minimum number of burials </w:t>
      </w:r>
      <w:r>
        <w:rPr>
          <w:color w:val="000000"/>
        </w:rPr>
        <w:t>based on</w:t>
      </w:r>
      <w:r w:rsidRPr="00D6101B">
        <w:rPr>
          <w:color w:val="000000"/>
        </w:rPr>
        <w:t xml:space="preserve"> the number of larnakes, because no information is available about the burials (</w:t>
      </w:r>
      <w:r>
        <w:rPr>
          <w:color w:val="000000"/>
        </w:rPr>
        <w:t>e.g.</w:t>
      </w:r>
      <w:r w:rsidRPr="00D6101B">
        <w:rPr>
          <w:color w:val="000000"/>
        </w:rPr>
        <w:t xml:space="preserve"> Sellopoulo, Mastambas and other isolate</w:t>
      </w:r>
      <w:r>
        <w:rPr>
          <w:color w:val="000000"/>
        </w:rPr>
        <w:t>d</w:t>
      </w:r>
      <w:r w:rsidRPr="00D6101B">
        <w:rPr>
          <w:color w:val="000000"/>
        </w:rPr>
        <w:t xml:space="preserve"> to</w:t>
      </w:r>
      <w:r>
        <w:rPr>
          <w:color w:val="000000"/>
        </w:rPr>
        <w:t>mbs that form part of larger cemeteries, such as</w:t>
      </w:r>
      <w:r w:rsidRPr="00D6101B">
        <w:rPr>
          <w:color w:val="000000"/>
        </w:rPr>
        <w:t xml:space="preserve"> Zafer Papoura).</w:t>
      </w:r>
    </w:p>
    <w:p w14:paraId="79EF0233"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Within the Knossos area</w:t>
      </w:r>
      <w:r>
        <w:rPr>
          <w:color w:val="000000"/>
        </w:rPr>
        <w:t>,</w:t>
      </w:r>
      <w:r w:rsidRPr="00D6101B">
        <w:rPr>
          <w:color w:val="000000"/>
        </w:rPr>
        <w:t xml:space="preserve"> information about burials and skeletal remains </w:t>
      </w:r>
      <w:r>
        <w:rPr>
          <w:color w:val="000000"/>
        </w:rPr>
        <w:t>is</w:t>
      </w:r>
      <w:r w:rsidRPr="00D6101B">
        <w:rPr>
          <w:color w:val="000000"/>
        </w:rPr>
        <w:t xml:space="preserve"> available for 68% of the sample of tombs with larnakes</w:t>
      </w:r>
      <w:r>
        <w:rPr>
          <w:color w:val="000000"/>
        </w:rPr>
        <w:t xml:space="preserve"> that are</w:t>
      </w:r>
      <w:r w:rsidRPr="00D6101B">
        <w:rPr>
          <w:color w:val="000000"/>
        </w:rPr>
        <w:t xml:space="preserve"> considered secure. Within this sample</w:t>
      </w:r>
      <w:r>
        <w:rPr>
          <w:color w:val="000000"/>
        </w:rPr>
        <w:t>,</w:t>
      </w:r>
      <w:r w:rsidRPr="00D6101B">
        <w:rPr>
          <w:color w:val="000000"/>
        </w:rPr>
        <w:t xml:space="preserve"> tombs where skeletal remains </w:t>
      </w:r>
      <w:r>
        <w:rPr>
          <w:color w:val="000000"/>
        </w:rPr>
        <w:t>were</w:t>
      </w:r>
      <w:r w:rsidRPr="00D6101B">
        <w:rPr>
          <w:color w:val="000000"/>
        </w:rPr>
        <w:t xml:space="preserve"> found inside the larnax and nowhere else in the tomb </w:t>
      </w:r>
      <w:r>
        <w:rPr>
          <w:color w:val="000000"/>
        </w:rPr>
        <w:t>comprise</w:t>
      </w:r>
      <w:r w:rsidRPr="00D6101B">
        <w:rPr>
          <w:color w:val="000000"/>
        </w:rPr>
        <w:t xml:space="preserve"> 64%, but th</w:t>
      </w:r>
      <w:r>
        <w:rPr>
          <w:color w:val="000000"/>
        </w:rPr>
        <w:t>ese</w:t>
      </w:r>
      <w:r w:rsidRPr="00D6101B">
        <w:rPr>
          <w:color w:val="000000"/>
        </w:rPr>
        <w:t xml:space="preserve"> data </w:t>
      </w:r>
      <w:r>
        <w:rPr>
          <w:color w:val="000000"/>
        </w:rPr>
        <w:t>must be reviewed</w:t>
      </w:r>
      <w:r w:rsidRPr="00D6101B">
        <w:rPr>
          <w:color w:val="000000"/>
        </w:rPr>
        <w:t xml:space="preserve"> with caution because </w:t>
      </w:r>
      <w:r>
        <w:rPr>
          <w:color w:val="000000"/>
        </w:rPr>
        <w:t>they are</w:t>
      </w:r>
      <w:r w:rsidRPr="00D6101B">
        <w:rPr>
          <w:color w:val="000000"/>
        </w:rPr>
        <w:t xml:space="preserve"> based only on the information reported and</w:t>
      </w:r>
      <w:r>
        <w:rPr>
          <w:color w:val="000000"/>
        </w:rPr>
        <w:t>,</w:t>
      </w:r>
      <w:r w:rsidRPr="00D6101B">
        <w:rPr>
          <w:color w:val="000000"/>
        </w:rPr>
        <w:t xml:space="preserve"> in particular in this region</w:t>
      </w:r>
      <w:r>
        <w:rPr>
          <w:color w:val="000000"/>
        </w:rPr>
        <w:t>,</w:t>
      </w:r>
      <w:r w:rsidRPr="00D6101B">
        <w:rPr>
          <w:color w:val="000000"/>
        </w:rPr>
        <w:t xml:space="preserve"> the vast majority of cemeteries </w:t>
      </w:r>
      <w:r>
        <w:rPr>
          <w:color w:val="000000"/>
        </w:rPr>
        <w:t>considered</w:t>
      </w:r>
      <w:r w:rsidRPr="00D6101B">
        <w:rPr>
          <w:color w:val="000000"/>
        </w:rPr>
        <w:t xml:space="preserve"> in the present study </w:t>
      </w:r>
      <w:r>
        <w:rPr>
          <w:color w:val="000000"/>
        </w:rPr>
        <w:t>were</w:t>
      </w:r>
      <w:r w:rsidRPr="00D6101B">
        <w:rPr>
          <w:color w:val="000000"/>
        </w:rPr>
        <w:t xml:space="preserve"> excavated almost </w:t>
      </w:r>
      <w:r>
        <w:rPr>
          <w:color w:val="000000"/>
        </w:rPr>
        <w:t xml:space="preserve">a century </w:t>
      </w:r>
      <w:r w:rsidRPr="00D6101B">
        <w:rPr>
          <w:color w:val="000000"/>
        </w:rPr>
        <w:t>ago</w:t>
      </w:r>
      <w:r>
        <w:rPr>
          <w:color w:val="000000"/>
        </w:rPr>
        <w:t>.</w:t>
      </w:r>
      <w:r w:rsidRPr="00D6101B">
        <w:rPr>
          <w:color w:val="000000"/>
        </w:rPr>
        <w:t xml:space="preserve"> </w:t>
      </w:r>
      <w:r>
        <w:rPr>
          <w:color w:val="000000"/>
        </w:rPr>
        <w:t>Thus,</w:t>
      </w:r>
      <w:r w:rsidRPr="00D6101B">
        <w:rPr>
          <w:color w:val="000000"/>
        </w:rPr>
        <w:t xml:space="preserve"> there is the possibility that skeletal materials </w:t>
      </w:r>
      <w:r>
        <w:rPr>
          <w:color w:val="000000"/>
        </w:rPr>
        <w:t>were</w:t>
      </w:r>
      <w:r w:rsidRPr="00D6101B">
        <w:rPr>
          <w:color w:val="000000"/>
        </w:rPr>
        <w:t xml:space="preserve"> not properly recorded.</w:t>
      </w:r>
    </w:p>
    <w:p w14:paraId="613469F8"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Regarding other interment types adopted</w:t>
      </w:r>
      <w:r w:rsidRPr="00D6101B">
        <w:rPr>
          <w:color w:val="000000"/>
        </w:rPr>
        <w:t xml:space="preserve"> along with larnakes in the remaining </w:t>
      </w:r>
      <w:r>
        <w:rPr>
          <w:color w:val="000000"/>
        </w:rPr>
        <w:t>36</w:t>
      </w:r>
      <w:r w:rsidRPr="00D6101B">
        <w:rPr>
          <w:color w:val="000000"/>
        </w:rPr>
        <w:t xml:space="preserve">% of tombs, the only other container associated is </w:t>
      </w:r>
      <w:r>
        <w:rPr>
          <w:color w:val="000000"/>
        </w:rPr>
        <w:t>a</w:t>
      </w:r>
      <w:r w:rsidRPr="00D6101B">
        <w:rPr>
          <w:color w:val="000000"/>
        </w:rPr>
        <w:t xml:space="preserve"> wooden larnax/bier found in Tomb H at Katsambas</w:t>
      </w:r>
      <w:r>
        <w:rPr>
          <w:color w:val="000000"/>
        </w:rPr>
        <w:t xml:space="preserve"> (although no skeletal remains have been reported in association with the trace of the wooden bier/coffin (Alexiou 1967a; Preston 2000: 651, appendix O)</w:t>
      </w:r>
      <w:r w:rsidRPr="00D6101B">
        <w:rPr>
          <w:color w:val="000000"/>
        </w:rPr>
        <w:t xml:space="preserve">. In the cemetery </w:t>
      </w:r>
      <w:r>
        <w:rPr>
          <w:color w:val="000000"/>
        </w:rPr>
        <w:t>at</w:t>
      </w:r>
      <w:r w:rsidRPr="00D6101B">
        <w:rPr>
          <w:color w:val="000000"/>
        </w:rPr>
        <w:t xml:space="preserve"> Katsambas</w:t>
      </w:r>
      <w:r>
        <w:rPr>
          <w:color w:val="000000"/>
        </w:rPr>
        <w:t>,</w:t>
      </w:r>
      <w:r w:rsidRPr="00D6101B">
        <w:rPr>
          <w:color w:val="000000"/>
        </w:rPr>
        <w:t xml:space="preserve"> deposition in </w:t>
      </w:r>
      <w:r>
        <w:rPr>
          <w:color w:val="000000"/>
        </w:rPr>
        <w:t xml:space="preserve">a </w:t>
      </w:r>
      <w:r w:rsidRPr="00D6101B">
        <w:rPr>
          <w:color w:val="000000"/>
        </w:rPr>
        <w:t xml:space="preserve">wooden larnax </w:t>
      </w:r>
      <w:r>
        <w:rPr>
          <w:color w:val="000000"/>
        </w:rPr>
        <w:t xml:space="preserve">was probably the practice </w:t>
      </w:r>
      <w:r w:rsidRPr="00D6101B">
        <w:rPr>
          <w:color w:val="000000"/>
        </w:rPr>
        <w:t>in all the other seven tombs without larnakes (Alexiou 1967</w:t>
      </w:r>
      <w:r>
        <w:rPr>
          <w:color w:val="000000"/>
        </w:rPr>
        <w:t>a; L</w:t>
      </w:r>
      <w:r>
        <w:rPr>
          <w:color w:val="000000"/>
          <w:lang w:val="de-DE"/>
        </w:rPr>
        <w:t>ö</w:t>
      </w:r>
      <w:r>
        <w:rPr>
          <w:color w:val="000000"/>
        </w:rPr>
        <w:t>we 1996</w:t>
      </w:r>
      <w:r w:rsidRPr="00D6101B">
        <w:rPr>
          <w:color w:val="000000"/>
        </w:rPr>
        <w:t>: 189-191 nn. 442-450)</w:t>
      </w:r>
      <w:r>
        <w:rPr>
          <w:color w:val="000000"/>
        </w:rPr>
        <w:t>.</w:t>
      </w:r>
      <w:r w:rsidRPr="00D6101B">
        <w:rPr>
          <w:color w:val="000000"/>
        </w:rPr>
        <w:t xml:space="preserve"> </w:t>
      </w:r>
      <w:r>
        <w:rPr>
          <w:color w:val="000000"/>
        </w:rPr>
        <w:t>Also,</w:t>
      </w:r>
      <w:r w:rsidRPr="00D6101B">
        <w:rPr>
          <w:color w:val="000000"/>
        </w:rPr>
        <w:t xml:space="preserve"> larnax burials </w:t>
      </w:r>
      <w:r>
        <w:rPr>
          <w:color w:val="000000"/>
        </w:rPr>
        <w:t>were</w:t>
      </w:r>
      <w:r w:rsidRPr="00D6101B">
        <w:rPr>
          <w:color w:val="000000"/>
        </w:rPr>
        <w:t xml:space="preserve"> found only in </w:t>
      </w:r>
      <w:r>
        <w:rPr>
          <w:color w:val="000000"/>
        </w:rPr>
        <w:t>T</w:t>
      </w:r>
      <w:r w:rsidRPr="00D6101B">
        <w:rPr>
          <w:color w:val="000000"/>
        </w:rPr>
        <w:t>omb H</w:t>
      </w:r>
      <w:r>
        <w:rPr>
          <w:color w:val="000000"/>
        </w:rPr>
        <w:t>,</w:t>
      </w:r>
      <w:r w:rsidRPr="00D6101B">
        <w:rPr>
          <w:color w:val="000000"/>
        </w:rPr>
        <w:t xml:space="preserve"> together with </w:t>
      </w:r>
      <w:r>
        <w:rPr>
          <w:color w:val="000000"/>
        </w:rPr>
        <w:t xml:space="preserve">a </w:t>
      </w:r>
      <w:r w:rsidRPr="00D6101B">
        <w:rPr>
          <w:color w:val="000000"/>
        </w:rPr>
        <w:t>wooden larnax and a deposition on the floor</w:t>
      </w:r>
      <w:r>
        <w:rPr>
          <w:color w:val="000000"/>
        </w:rPr>
        <w:t xml:space="preserve"> of the</w:t>
      </w:r>
      <w:r w:rsidRPr="00D6101B">
        <w:rPr>
          <w:color w:val="000000"/>
        </w:rPr>
        <w:t xml:space="preserve"> dromos. Unfortunately, there is no information about skeletal remains in this tomb, although </w:t>
      </w:r>
      <w:r>
        <w:rPr>
          <w:color w:val="000000"/>
        </w:rPr>
        <w:t xml:space="preserve">there </w:t>
      </w:r>
      <w:r w:rsidRPr="00D6101B">
        <w:rPr>
          <w:color w:val="000000"/>
        </w:rPr>
        <w:t xml:space="preserve">is </w:t>
      </w:r>
      <w:r>
        <w:rPr>
          <w:color w:val="000000"/>
        </w:rPr>
        <w:t xml:space="preserve">a </w:t>
      </w:r>
      <w:r w:rsidRPr="00D6101B">
        <w:rPr>
          <w:color w:val="000000"/>
        </w:rPr>
        <w:t xml:space="preserve">reported deposition </w:t>
      </w:r>
      <w:r>
        <w:rPr>
          <w:color w:val="000000"/>
        </w:rPr>
        <w:t>o</w:t>
      </w:r>
      <w:r w:rsidRPr="00D6101B">
        <w:rPr>
          <w:color w:val="000000"/>
        </w:rPr>
        <w:t xml:space="preserve">n the dromos floor, and three skulls </w:t>
      </w:r>
      <w:r>
        <w:rPr>
          <w:color w:val="000000"/>
        </w:rPr>
        <w:t xml:space="preserve">were found on the </w:t>
      </w:r>
      <w:r w:rsidRPr="00D6101B">
        <w:rPr>
          <w:color w:val="000000"/>
        </w:rPr>
        <w:t>chamber</w:t>
      </w:r>
      <w:r>
        <w:rPr>
          <w:color w:val="000000"/>
        </w:rPr>
        <w:t xml:space="preserve"> floor</w:t>
      </w:r>
      <w:r w:rsidRPr="00D6101B">
        <w:rPr>
          <w:color w:val="000000"/>
        </w:rPr>
        <w:t>, which probably belong to burials previously in the larnakes (Alexiou 1967</w:t>
      </w:r>
      <w:r>
        <w:rPr>
          <w:color w:val="000000"/>
        </w:rPr>
        <w:t>a</w:t>
      </w:r>
      <w:r w:rsidRPr="00D6101B">
        <w:rPr>
          <w:color w:val="000000"/>
        </w:rPr>
        <w:t>; Preston 2000</w:t>
      </w:r>
      <w:r>
        <w:rPr>
          <w:color w:val="000000"/>
        </w:rPr>
        <w:t>:</w:t>
      </w:r>
      <w:r w:rsidRPr="00D6101B">
        <w:rPr>
          <w:color w:val="000000"/>
        </w:rPr>
        <w:t xml:space="preserve"> </w:t>
      </w:r>
      <w:r>
        <w:rPr>
          <w:color w:val="000000"/>
        </w:rPr>
        <w:t>A</w:t>
      </w:r>
      <w:r w:rsidRPr="00D6101B">
        <w:rPr>
          <w:color w:val="000000"/>
        </w:rPr>
        <w:t xml:space="preserve">ppendix O). </w:t>
      </w:r>
      <w:r>
        <w:rPr>
          <w:color w:val="000000"/>
        </w:rPr>
        <w:t xml:space="preserve"> Consequently, </w:t>
      </w:r>
      <w:r w:rsidRPr="00D6101B">
        <w:rPr>
          <w:color w:val="000000"/>
        </w:rPr>
        <w:t xml:space="preserve">the two larnax burials probably represent the </w:t>
      </w:r>
      <w:r>
        <w:rPr>
          <w:color w:val="000000"/>
        </w:rPr>
        <w:t>final</w:t>
      </w:r>
      <w:r w:rsidRPr="00D6101B">
        <w:rPr>
          <w:color w:val="000000"/>
        </w:rPr>
        <w:t xml:space="preserve"> phase of use (or </w:t>
      </w:r>
      <w:r>
        <w:rPr>
          <w:color w:val="000000"/>
        </w:rPr>
        <w:t>the</w:t>
      </w:r>
      <w:r w:rsidRPr="00D6101B">
        <w:rPr>
          <w:color w:val="000000"/>
        </w:rPr>
        <w:t xml:space="preserve"> re</w:t>
      </w:r>
      <w:r>
        <w:rPr>
          <w:color w:val="000000"/>
        </w:rPr>
        <w:t>use</w:t>
      </w:r>
      <w:r w:rsidRPr="00D6101B">
        <w:rPr>
          <w:color w:val="000000"/>
        </w:rPr>
        <w:t xml:space="preserve"> of a single tomb in this cemetery) adopting </w:t>
      </w:r>
      <w:r>
        <w:rPr>
          <w:color w:val="000000"/>
        </w:rPr>
        <w:t xml:space="preserve">this </w:t>
      </w:r>
      <w:r w:rsidRPr="00D6101B">
        <w:rPr>
          <w:color w:val="000000"/>
        </w:rPr>
        <w:t xml:space="preserve">new receptacle method </w:t>
      </w:r>
      <w:r>
        <w:rPr>
          <w:color w:val="000000"/>
        </w:rPr>
        <w:t>from LM IIIA2 onwards.</w:t>
      </w:r>
    </w:p>
    <w:p w14:paraId="43ACE82B" w14:textId="77777777" w:rsidR="001A4F1A" w:rsidRDefault="001A4F1A" w:rsidP="00E858EF">
      <w:pPr>
        <w:suppressAutoHyphens/>
        <w:autoSpaceDE w:val="0"/>
        <w:autoSpaceDN w:val="0"/>
        <w:adjustRightInd w:val="0"/>
        <w:rPr>
          <w:color w:val="000000"/>
        </w:rPr>
      </w:pPr>
      <w:r>
        <w:rPr>
          <w:color w:val="000000"/>
        </w:rPr>
        <w:tab/>
      </w:r>
      <w:r w:rsidRPr="00D6101B">
        <w:rPr>
          <w:color w:val="000000"/>
        </w:rPr>
        <w:t xml:space="preserve">Except for the possible wooden coffin burial at Katsambas, all the other </w:t>
      </w:r>
      <w:r>
        <w:rPr>
          <w:color w:val="000000"/>
        </w:rPr>
        <w:t>types</w:t>
      </w:r>
      <w:r w:rsidRPr="00D6101B">
        <w:rPr>
          <w:color w:val="000000"/>
        </w:rPr>
        <w:t xml:space="preserve"> of interment associated with larnakes in </w:t>
      </w:r>
      <w:r>
        <w:rPr>
          <w:color w:val="000000"/>
        </w:rPr>
        <w:t xml:space="preserve">the </w:t>
      </w:r>
      <w:r w:rsidRPr="00D6101B">
        <w:rPr>
          <w:color w:val="000000"/>
        </w:rPr>
        <w:t>Knossos region are distributed between deposition</w:t>
      </w:r>
      <w:r>
        <w:rPr>
          <w:color w:val="000000"/>
        </w:rPr>
        <w:t>s</w:t>
      </w:r>
      <w:r w:rsidRPr="00D6101B">
        <w:rPr>
          <w:color w:val="000000"/>
        </w:rPr>
        <w:t xml:space="preserve"> on the floor and in pit</w:t>
      </w:r>
      <w:r>
        <w:rPr>
          <w:color w:val="000000"/>
        </w:rPr>
        <w:t>s</w:t>
      </w:r>
      <w:r w:rsidRPr="00D6101B">
        <w:rPr>
          <w:color w:val="000000"/>
        </w:rPr>
        <w:t>.</w:t>
      </w:r>
    </w:p>
    <w:p w14:paraId="6EEC9E18" w14:textId="6D94E6C5" w:rsidR="00240B38" w:rsidRDefault="001A4F1A" w:rsidP="00E858EF">
      <w:pPr>
        <w:pStyle w:val="Testofumetto"/>
        <w:suppressAutoHyphens/>
      </w:pPr>
      <w:bookmarkStart w:id="710" w:name="_Toc520212584"/>
      <w:r>
        <w:t>Table 4-</w:t>
      </w:r>
      <w:r w:rsidRPr="00D6101B">
        <w:tab/>
      </w:r>
      <w:r>
        <w:t>13a</w:t>
      </w:r>
      <w:r w:rsidR="00472FA5">
        <w:t>.</w:t>
      </w:r>
      <w:r>
        <w:t xml:space="preserve"> Interments methods and burial stage of skeletal remains in tombs with larnakes with information </w:t>
      </w:r>
      <w:r w:rsidR="00466FB3">
        <w:t xml:space="preserve">on </w:t>
      </w:r>
      <w:r>
        <w:t>skeletal remains</w:t>
      </w:r>
      <w:r w:rsidR="00466FB3">
        <w:t>,</w:t>
      </w:r>
      <w:r>
        <w:t xml:space="preserve"> Knossos </w:t>
      </w:r>
      <w:bookmarkEnd w:id="710"/>
      <w:r w:rsidR="00D02AAA">
        <w:t xml:space="preserve">area </w:t>
      </w:r>
    </w:p>
    <w:p w14:paraId="309D63EB" w14:textId="013F27F5" w:rsidR="001A4F1A" w:rsidRPr="00240B38" w:rsidRDefault="001A4F1A" w:rsidP="00E858EF">
      <w:pPr>
        <w:suppressAutoHyphens/>
        <w:spacing w:line="240" w:lineRule="auto"/>
      </w:pPr>
      <w:r w:rsidRPr="00240B38">
        <w:rPr>
          <w:sz w:val="20"/>
        </w:rPr>
        <w:t>(p= primary deposition; s= secondary deposition; No info= no information about the burial stage/skeletal remains)</w:t>
      </w:r>
    </w:p>
    <w:tbl>
      <w:tblPr>
        <w:tblStyle w:val="Grigliatabella"/>
        <w:tblW w:w="9079" w:type="dxa"/>
        <w:tblLayout w:type="fixed"/>
        <w:tblLook w:val="04A0" w:firstRow="1" w:lastRow="0" w:firstColumn="1" w:lastColumn="0" w:noHBand="0" w:noVBand="1"/>
      </w:tblPr>
      <w:tblGrid>
        <w:gridCol w:w="1384"/>
        <w:gridCol w:w="539"/>
        <w:gridCol w:w="709"/>
        <w:gridCol w:w="777"/>
        <w:gridCol w:w="567"/>
        <w:gridCol w:w="567"/>
        <w:gridCol w:w="709"/>
        <w:gridCol w:w="425"/>
        <w:gridCol w:w="425"/>
        <w:gridCol w:w="782"/>
        <w:gridCol w:w="1061"/>
        <w:gridCol w:w="1134"/>
      </w:tblGrid>
      <w:tr w:rsidR="001A4F1A" w:rsidRPr="0057700B" w14:paraId="4FD7D42E" w14:textId="77777777" w:rsidTr="0057700B">
        <w:trPr>
          <w:trHeight w:val="567"/>
        </w:trPr>
        <w:tc>
          <w:tcPr>
            <w:tcW w:w="1384" w:type="dxa"/>
          </w:tcPr>
          <w:p w14:paraId="210F0777"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left"/>
              <w:rPr>
                <w:color w:val="000000"/>
                <w:sz w:val="20"/>
                <w:szCs w:val="20"/>
              </w:rPr>
            </w:pPr>
          </w:p>
        </w:tc>
        <w:tc>
          <w:tcPr>
            <w:tcW w:w="2025" w:type="dxa"/>
            <w:gridSpan w:val="3"/>
          </w:tcPr>
          <w:p w14:paraId="589E1295"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 xml:space="preserve">Larnax burials </w:t>
            </w:r>
          </w:p>
          <w:p w14:paraId="433BBA5E"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p>
        </w:tc>
        <w:tc>
          <w:tcPr>
            <w:tcW w:w="1843" w:type="dxa"/>
            <w:gridSpan w:val="3"/>
          </w:tcPr>
          <w:p w14:paraId="656972A0"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Floor burials</w:t>
            </w:r>
          </w:p>
          <w:p w14:paraId="195F5319"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p>
        </w:tc>
        <w:tc>
          <w:tcPr>
            <w:tcW w:w="1632" w:type="dxa"/>
            <w:gridSpan w:val="3"/>
          </w:tcPr>
          <w:p w14:paraId="790399EE"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Pit burials</w:t>
            </w:r>
          </w:p>
          <w:p w14:paraId="1A3533FA"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p>
        </w:tc>
        <w:tc>
          <w:tcPr>
            <w:tcW w:w="1061" w:type="dxa"/>
          </w:tcPr>
          <w:p w14:paraId="0617C2AF"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rPr>
                <w:color w:val="000000"/>
                <w:sz w:val="20"/>
                <w:szCs w:val="20"/>
              </w:rPr>
            </w:pPr>
            <w:r w:rsidRPr="0057700B">
              <w:rPr>
                <w:color w:val="000000"/>
                <w:sz w:val="20"/>
                <w:szCs w:val="20"/>
              </w:rPr>
              <w:t>Dromos burial</w:t>
            </w:r>
          </w:p>
        </w:tc>
        <w:tc>
          <w:tcPr>
            <w:tcW w:w="1134" w:type="dxa"/>
          </w:tcPr>
          <w:p w14:paraId="58946447"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rPr>
                <w:color w:val="000000"/>
                <w:sz w:val="20"/>
                <w:szCs w:val="20"/>
              </w:rPr>
            </w:pPr>
            <w:r w:rsidRPr="0057700B">
              <w:rPr>
                <w:color w:val="000000"/>
                <w:sz w:val="20"/>
                <w:szCs w:val="20"/>
              </w:rPr>
              <w:t>Wooden bier/chest</w:t>
            </w:r>
          </w:p>
        </w:tc>
      </w:tr>
      <w:tr w:rsidR="001A4F1A" w:rsidRPr="0057700B" w14:paraId="3B6A5515" w14:textId="77777777" w:rsidTr="0057700B">
        <w:trPr>
          <w:trHeight w:val="387"/>
        </w:trPr>
        <w:tc>
          <w:tcPr>
            <w:tcW w:w="1384" w:type="dxa"/>
          </w:tcPr>
          <w:p w14:paraId="25F3C121" w14:textId="1DE9AEB9"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left"/>
              <w:rPr>
                <w:color w:val="000000"/>
                <w:sz w:val="20"/>
                <w:szCs w:val="20"/>
              </w:rPr>
            </w:pPr>
            <w:r w:rsidRPr="0057700B">
              <w:rPr>
                <w:color w:val="000000"/>
                <w:sz w:val="20"/>
                <w:szCs w:val="20"/>
              </w:rPr>
              <w:t xml:space="preserve">Total </w:t>
            </w:r>
            <w:r w:rsidR="0057700B">
              <w:rPr>
                <w:color w:val="000000"/>
                <w:sz w:val="20"/>
                <w:szCs w:val="20"/>
              </w:rPr>
              <w:t>n</w:t>
            </w:r>
            <w:r w:rsidRPr="0057700B">
              <w:rPr>
                <w:color w:val="000000"/>
                <w:sz w:val="20"/>
                <w:szCs w:val="20"/>
              </w:rPr>
              <w:t>o. of tombs</w:t>
            </w:r>
          </w:p>
        </w:tc>
        <w:tc>
          <w:tcPr>
            <w:tcW w:w="2025" w:type="dxa"/>
            <w:gridSpan w:val="3"/>
            <w:vAlign w:val="center"/>
          </w:tcPr>
          <w:p w14:paraId="1344CF5B"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36</w:t>
            </w:r>
          </w:p>
        </w:tc>
        <w:tc>
          <w:tcPr>
            <w:tcW w:w="1843" w:type="dxa"/>
            <w:gridSpan w:val="3"/>
            <w:vAlign w:val="center"/>
          </w:tcPr>
          <w:p w14:paraId="51D38AA8"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9</w:t>
            </w:r>
          </w:p>
        </w:tc>
        <w:tc>
          <w:tcPr>
            <w:tcW w:w="1632" w:type="dxa"/>
            <w:gridSpan w:val="3"/>
            <w:vAlign w:val="center"/>
          </w:tcPr>
          <w:p w14:paraId="3B7B3C81"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5</w:t>
            </w:r>
          </w:p>
        </w:tc>
        <w:tc>
          <w:tcPr>
            <w:tcW w:w="1061" w:type="dxa"/>
            <w:vAlign w:val="center"/>
          </w:tcPr>
          <w:p w14:paraId="01CCE2CE"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1</w:t>
            </w:r>
          </w:p>
        </w:tc>
        <w:tc>
          <w:tcPr>
            <w:tcW w:w="1134" w:type="dxa"/>
            <w:vAlign w:val="center"/>
          </w:tcPr>
          <w:p w14:paraId="2C25A652"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1</w:t>
            </w:r>
          </w:p>
        </w:tc>
      </w:tr>
      <w:tr w:rsidR="001A4F1A" w:rsidRPr="0057700B" w14:paraId="293360BF" w14:textId="77777777" w:rsidTr="0057700B">
        <w:trPr>
          <w:trHeight w:val="387"/>
        </w:trPr>
        <w:tc>
          <w:tcPr>
            <w:tcW w:w="1384" w:type="dxa"/>
            <w:tcBorders>
              <w:bottom w:val="thinThickSmallGap" w:sz="24" w:space="0" w:color="auto"/>
            </w:tcBorders>
          </w:tcPr>
          <w:p w14:paraId="794EE76F"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left"/>
              <w:rPr>
                <w:color w:val="000000"/>
                <w:sz w:val="20"/>
                <w:szCs w:val="20"/>
              </w:rPr>
            </w:pPr>
            <w:r w:rsidRPr="0057700B">
              <w:rPr>
                <w:color w:val="000000"/>
                <w:sz w:val="20"/>
                <w:szCs w:val="20"/>
              </w:rPr>
              <w:t>Burial stage</w:t>
            </w:r>
          </w:p>
        </w:tc>
        <w:tc>
          <w:tcPr>
            <w:tcW w:w="539" w:type="dxa"/>
          </w:tcPr>
          <w:p w14:paraId="6311813D"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p</w:t>
            </w:r>
          </w:p>
        </w:tc>
        <w:tc>
          <w:tcPr>
            <w:tcW w:w="709" w:type="dxa"/>
          </w:tcPr>
          <w:p w14:paraId="3197DB00"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s</w:t>
            </w:r>
          </w:p>
        </w:tc>
        <w:tc>
          <w:tcPr>
            <w:tcW w:w="777" w:type="dxa"/>
          </w:tcPr>
          <w:p w14:paraId="29B960AC"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No info</w:t>
            </w:r>
          </w:p>
        </w:tc>
        <w:tc>
          <w:tcPr>
            <w:tcW w:w="567" w:type="dxa"/>
          </w:tcPr>
          <w:p w14:paraId="47BE7FE0"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p</w:t>
            </w:r>
          </w:p>
        </w:tc>
        <w:tc>
          <w:tcPr>
            <w:tcW w:w="567" w:type="dxa"/>
          </w:tcPr>
          <w:p w14:paraId="723C8299"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s</w:t>
            </w:r>
          </w:p>
        </w:tc>
        <w:tc>
          <w:tcPr>
            <w:tcW w:w="709" w:type="dxa"/>
          </w:tcPr>
          <w:p w14:paraId="166B19B3"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No info</w:t>
            </w:r>
          </w:p>
        </w:tc>
        <w:tc>
          <w:tcPr>
            <w:tcW w:w="425" w:type="dxa"/>
          </w:tcPr>
          <w:p w14:paraId="25C5B415"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p</w:t>
            </w:r>
          </w:p>
        </w:tc>
        <w:tc>
          <w:tcPr>
            <w:tcW w:w="425" w:type="dxa"/>
          </w:tcPr>
          <w:p w14:paraId="2C9A4B1E"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s</w:t>
            </w:r>
          </w:p>
        </w:tc>
        <w:tc>
          <w:tcPr>
            <w:tcW w:w="782" w:type="dxa"/>
          </w:tcPr>
          <w:p w14:paraId="36408E4C"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No info</w:t>
            </w:r>
          </w:p>
        </w:tc>
        <w:tc>
          <w:tcPr>
            <w:tcW w:w="1061" w:type="dxa"/>
          </w:tcPr>
          <w:p w14:paraId="659FCFA0"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No info</w:t>
            </w:r>
          </w:p>
        </w:tc>
        <w:tc>
          <w:tcPr>
            <w:tcW w:w="1134" w:type="dxa"/>
          </w:tcPr>
          <w:p w14:paraId="3EED1B0C"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No info</w:t>
            </w:r>
          </w:p>
        </w:tc>
      </w:tr>
      <w:tr w:rsidR="001A4F1A" w:rsidRPr="0057700B" w14:paraId="196E5A5F" w14:textId="77777777" w:rsidTr="0057700B">
        <w:tc>
          <w:tcPr>
            <w:tcW w:w="1384" w:type="dxa"/>
            <w:tcBorders>
              <w:top w:val="thinThickSmallGap" w:sz="24" w:space="0" w:color="auto"/>
            </w:tcBorders>
          </w:tcPr>
          <w:p w14:paraId="33133A82"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left"/>
              <w:rPr>
                <w:color w:val="000000"/>
                <w:sz w:val="20"/>
                <w:szCs w:val="20"/>
              </w:rPr>
            </w:pPr>
            <w:r w:rsidRPr="0057700B">
              <w:rPr>
                <w:color w:val="000000"/>
                <w:sz w:val="20"/>
                <w:szCs w:val="20"/>
              </w:rPr>
              <w:t>MNEB</w:t>
            </w:r>
          </w:p>
        </w:tc>
        <w:tc>
          <w:tcPr>
            <w:tcW w:w="539" w:type="dxa"/>
            <w:tcBorders>
              <w:top w:val="thinThickSmallGap" w:sz="24" w:space="0" w:color="auto"/>
            </w:tcBorders>
          </w:tcPr>
          <w:p w14:paraId="03B84CC5"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28</w:t>
            </w:r>
          </w:p>
        </w:tc>
        <w:tc>
          <w:tcPr>
            <w:tcW w:w="709" w:type="dxa"/>
            <w:tcBorders>
              <w:top w:val="thinThickSmallGap" w:sz="24" w:space="0" w:color="auto"/>
            </w:tcBorders>
          </w:tcPr>
          <w:p w14:paraId="5065D63E"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9</w:t>
            </w:r>
          </w:p>
        </w:tc>
        <w:tc>
          <w:tcPr>
            <w:tcW w:w="777" w:type="dxa"/>
            <w:tcBorders>
              <w:top w:val="thinThickSmallGap" w:sz="24" w:space="0" w:color="auto"/>
              <w:bottom w:val="thinThickSmallGap" w:sz="24" w:space="0" w:color="auto"/>
            </w:tcBorders>
          </w:tcPr>
          <w:p w14:paraId="6DD8D699"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33</w:t>
            </w:r>
          </w:p>
        </w:tc>
        <w:tc>
          <w:tcPr>
            <w:tcW w:w="567" w:type="dxa"/>
            <w:tcBorders>
              <w:top w:val="thinThickSmallGap" w:sz="24" w:space="0" w:color="auto"/>
            </w:tcBorders>
          </w:tcPr>
          <w:p w14:paraId="32AD8FC3"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7</w:t>
            </w:r>
          </w:p>
        </w:tc>
        <w:tc>
          <w:tcPr>
            <w:tcW w:w="567" w:type="dxa"/>
            <w:tcBorders>
              <w:top w:val="thinThickSmallGap" w:sz="24" w:space="0" w:color="auto"/>
            </w:tcBorders>
          </w:tcPr>
          <w:p w14:paraId="47710022"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3</w:t>
            </w:r>
          </w:p>
        </w:tc>
        <w:tc>
          <w:tcPr>
            <w:tcW w:w="709" w:type="dxa"/>
            <w:tcBorders>
              <w:top w:val="thinThickSmallGap" w:sz="24" w:space="0" w:color="auto"/>
            </w:tcBorders>
          </w:tcPr>
          <w:p w14:paraId="551EFF74"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1</w:t>
            </w:r>
          </w:p>
        </w:tc>
        <w:tc>
          <w:tcPr>
            <w:tcW w:w="425" w:type="dxa"/>
            <w:tcBorders>
              <w:top w:val="thinThickSmallGap" w:sz="24" w:space="0" w:color="auto"/>
            </w:tcBorders>
          </w:tcPr>
          <w:p w14:paraId="213ADC96"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3</w:t>
            </w:r>
          </w:p>
        </w:tc>
        <w:tc>
          <w:tcPr>
            <w:tcW w:w="425" w:type="dxa"/>
            <w:tcBorders>
              <w:top w:val="thinThickSmallGap" w:sz="24" w:space="0" w:color="auto"/>
            </w:tcBorders>
          </w:tcPr>
          <w:p w14:paraId="6A2D18FE"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2</w:t>
            </w:r>
          </w:p>
        </w:tc>
        <w:tc>
          <w:tcPr>
            <w:tcW w:w="782" w:type="dxa"/>
            <w:tcBorders>
              <w:top w:val="thinThickSmallGap" w:sz="24" w:space="0" w:color="auto"/>
            </w:tcBorders>
          </w:tcPr>
          <w:p w14:paraId="5F24B272"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1</w:t>
            </w:r>
          </w:p>
        </w:tc>
        <w:tc>
          <w:tcPr>
            <w:tcW w:w="1061" w:type="dxa"/>
            <w:tcBorders>
              <w:top w:val="thinThickSmallGap" w:sz="24" w:space="0" w:color="auto"/>
            </w:tcBorders>
          </w:tcPr>
          <w:p w14:paraId="1DDEA804"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1</w:t>
            </w:r>
          </w:p>
        </w:tc>
        <w:tc>
          <w:tcPr>
            <w:tcW w:w="1134" w:type="dxa"/>
            <w:tcBorders>
              <w:top w:val="thinThickSmallGap" w:sz="24" w:space="0" w:color="auto"/>
            </w:tcBorders>
          </w:tcPr>
          <w:p w14:paraId="01E06AD0"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szCs w:val="20"/>
              </w:rPr>
            </w:pPr>
            <w:r w:rsidRPr="0057700B">
              <w:rPr>
                <w:color w:val="000000"/>
                <w:sz w:val="20"/>
                <w:szCs w:val="20"/>
              </w:rPr>
              <w:t>1</w:t>
            </w:r>
          </w:p>
        </w:tc>
      </w:tr>
      <w:tr w:rsidR="001A4F1A" w:rsidRPr="0057700B" w14:paraId="591F5759" w14:textId="77777777" w:rsidTr="0057700B">
        <w:trPr>
          <w:trHeight w:val="1077"/>
        </w:trPr>
        <w:tc>
          <w:tcPr>
            <w:tcW w:w="1384" w:type="dxa"/>
            <w:tcBorders>
              <w:top w:val="thinThickSmallGap" w:sz="24" w:space="0" w:color="auto"/>
              <w:bottom w:val="single" w:sz="4" w:space="0" w:color="auto"/>
            </w:tcBorders>
          </w:tcPr>
          <w:p w14:paraId="398DB9D1" w14:textId="5E5C62CC"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left"/>
              <w:rPr>
                <w:color w:val="000000"/>
                <w:sz w:val="20"/>
                <w:szCs w:val="20"/>
              </w:rPr>
            </w:pPr>
            <w:r w:rsidRPr="0057700B">
              <w:rPr>
                <w:color w:val="000000"/>
                <w:sz w:val="20"/>
                <w:szCs w:val="20"/>
              </w:rPr>
              <w:t xml:space="preserve">Total </w:t>
            </w:r>
            <w:r w:rsidR="0057700B">
              <w:rPr>
                <w:color w:val="000000"/>
                <w:sz w:val="20"/>
                <w:szCs w:val="20"/>
              </w:rPr>
              <w:t>n</w:t>
            </w:r>
            <w:r w:rsidRPr="0057700B">
              <w:rPr>
                <w:color w:val="000000"/>
                <w:sz w:val="20"/>
                <w:szCs w:val="20"/>
              </w:rPr>
              <w:t>o. of individual</w:t>
            </w:r>
            <w:r w:rsidR="0057700B">
              <w:rPr>
                <w:color w:val="000000"/>
                <w:sz w:val="20"/>
                <w:szCs w:val="20"/>
              </w:rPr>
              <w:t>s</w:t>
            </w:r>
            <w:r w:rsidRPr="0057700B">
              <w:rPr>
                <w:color w:val="000000"/>
                <w:sz w:val="20"/>
                <w:szCs w:val="20"/>
              </w:rPr>
              <w:t xml:space="preserve"> per interment type</w:t>
            </w:r>
          </w:p>
        </w:tc>
        <w:tc>
          <w:tcPr>
            <w:tcW w:w="2025" w:type="dxa"/>
            <w:gridSpan w:val="3"/>
            <w:tcBorders>
              <w:top w:val="thinThickSmallGap" w:sz="24" w:space="0" w:color="auto"/>
              <w:bottom w:val="single" w:sz="4" w:space="0" w:color="auto"/>
            </w:tcBorders>
            <w:vAlign w:val="center"/>
          </w:tcPr>
          <w:p w14:paraId="0D1E6676"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b/>
                <w:color w:val="000000"/>
                <w:sz w:val="20"/>
                <w:szCs w:val="20"/>
              </w:rPr>
            </w:pPr>
            <w:r w:rsidRPr="0057700B">
              <w:rPr>
                <w:b/>
                <w:color w:val="000000"/>
                <w:sz w:val="20"/>
                <w:szCs w:val="20"/>
              </w:rPr>
              <w:t>70</w:t>
            </w:r>
          </w:p>
        </w:tc>
        <w:tc>
          <w:tcPr>
            <w:tcW w:w="1843" w:type="dxa"/>
            <w:gridSpan w:val="3"/>
            <w:tcBorders>
              <w:top w:val="thinThickSmallGap" w:sz="24" w:space="0" w:color="auto"/>
              <w:bottom w:val="single" w:sz="4" w:space="0" w:color="auto"/>
            </w:tcBorders>
            <w:vAlign w:val="center"/>
          </w:tcPr>
          <w:p w14:paraId="624D870B"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b/>
                <w:color w:val="000000"/>
                <w:sz w:val="20"/>
                <w:szCs w:val="20"/>
              </w:rPr>
            </w:pPr>
            <w:r w:rsidRPr="0057700B">
              <w:rPr>
                <w:b/>
                <w:color w:val="000000"/>
                <w:sz w:val="20"/>
                <w:szCs w:val="20"/>
              </w:rPr>
              <w:t>11</w:t>
            </w:r>
          </w:p>
        </w:tc>
        <w:tc>
          <w:tcPr>
            <w:tcW w:w="1632" w:type="dxa"/>
            <w:gridSpan w:val="3"/>
            <w:tcBorders>
              <w:top w:val="thinThickSmallGap" w:sz="24" w:space="0" w:color="auto"/>
              <w:bottom w:val="single" w:sz="4" w:space="0" w:color="auto"/>
            </w:tcBorders>
            <w:vAlign w:val="center"/>
          </w:tcPr>
          <w:p w14:paraId="5342AA74"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b/>
                <w:color w:val="000000"/>
                <w:sz w:val="20"/>
                <w:szCs w:val="20"/>
              </w:rPr>
            </w:pPr>
            <w:r w:rsidRPr="0057700B">
              <w:rPr>
                <w:b/>
                <w:color w:val="000000"/>
                <w:sz w:val="20"/>
                <w:szCs w:val="20"/>
              </w:rPr>
              <w:t>6</w:t>
            </w:r>
          </w:p>
        </w:tc>
        <w:tc>
          <w:tcPr>
            <w:tcW w:w="1061" w:type="dxa"/>
            <w:tcBorders>
              <w:top w:val="thinThickSmallGap" w:sz="24" w:space="0" w:color="auto"/>
              <w:bottom w:val="single" w:sz="4" w:space="0" w:color="auto"/>
            </w:tcBorders>
            <w:vAlign w:val="center"/>
          </w:tcPr>
          <w:p w14:paraId="3F920ED7"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b/>
                <w:color w:val="000000"/>
                <w:sz w:val="20"/>
                <w:szCs w:val="20"/>
              </w:rPr>
            </w:pPr>
            <w:r w:rsidRPr="0057700B">
              <w:rPr>
                <w:b/>
                <w:color w:val="000000"/>
                <w:sz w:val="20"/>
                <w:szCs w:val="20"/>
              </w:rPr>
              <w:t>1</w:t>
            </w:r>
          </w:p>
        </w:tc>
        <w:tc>
          <w:tcPr>
            <w:tcW w:w="1134" w:type="dxa"/>
            <w:tcBorders>
              <w:top w:val="thinThickSmallGap" w:sz="24" w:space="0" w:color="auto"/>
              <w:bottom w:val="single" w:sz="4" w:space="0" w:color="auto"/>
            </w:tcBorders>
            <w:vAlign w:val="center"/>
          </w:tcPr>
          <w:p w14:paraId="61501AC1"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b/>
                <w:color w:val="000000"/>
                <w:sz w:val="20"/>
                <w:szCs w:val="20"/>
              </w:rPr>
            </w:pPr>
            <w:r w:rsidRPr="0057700B">
              <w:rPr>
                <w:b/>
                <w:color w:val="000000"/>
                <w:sz w:val="20"/>
                <w:szCs w:val="20"/>
              </w:rPr>
              <w:t>1</w:t>
            </w:r>
          </w:p>
        </w:tc>
      </w:tr>
      <w:tr w:rsidR="001A4F1A" w:rsidRPr="0057700B" w14:paraId="10F8EAFC" w14:textId="77777777" w:rsidTr="0057700B">
        <w:trPr>
          <w:trHeight w:val="577"/>
        </w:trPr>
        <w:tc>
          <w:tcPr>
            <w:tcW w:w="1384" w:type="dxa"/>
          </w:tcPr>
          <w:p w14:paraId="2266C721"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rPr>
                <w:color w:val="000000"/>
                <w:sz w:val="20"/>
                <w:szCs w:val="20"/>
              </w:rPr>
            </w:pPr>
          </w:p>
        </w:tc>
        <w:tc>
          <w:tcPr>
            <w:tcW w:w="2025" w:type="dxa"/>
            <w:gridSpan w:val="3"/>
          </w:tcPr>
          <w:p w14:paraId="5BF1EFA3"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b/>
                <w:color w:val="000000"/>
                <w:sz w:val="20"/>
                <w:szCs w:val="20"/>
              </w:rPr>
            </w:pPr>
            <w:r w:rsidRPr="0057700B">
              <w:rPr>
                <w:b/>
                <w:color w:val="000000"/>
                <w:sz w:val="20"/>
                <w:szCs w:val="20"/>
              </w:rPr>
              <w:t>79%</w:t>
            </w:r>
          </w:p>
        </w:tc>
        <w:tc>
          <w:tcPr>
            <w:tcW w:w="1843" w:type="dxa"/>
            <w:gridSpan w:val="3"/>
          </w:tcPr>
          <w:p w14:paraId="6B833853"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b/>
                <w:color w:val="000000"/>
                <w:sz w:val="20"/>
                <w:szCs w:val="20"/>
              </w:rPr>
            </w:pPr>
            <w:r w:rsidRPr="0057700B">
              <w:rPr>
                <w:b/>
                <w:color w:val="000000"/>
                <w:sz w:val="20"/>
                <w:szCs w:val="20"/>
              </w:rPr>
              <w:t>12%</w:t>
            </w:r>
          </w:p>
        </w:tc>
        <w:tc>
          <w:tcPr>
            <w:tcW w:w="1632" w:type="dxa"/>
            <w:gridSpan w:val="3"/>
          </w:tcPr>
          <w:p w14:paraId="2414A883"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b/>
                <w:color w:val="000000"/>
                <w:sz w:val="20"/>
                <w:szCs w:val="20"/>
              </w:rPr>
            </w:pPr>
            <w:r w:rsidRPr="0057700B">
              <w:rPr>
                <w:b/>
                <w:color w:val="000000"/>
                <w:sz w:val="20"/>
                <w:szCs w:val="20"/>
              </w:rPr>
              <w:t>7%</w:t>
            </w:r>
          </w:p>
        </w:tc>
        <w:tc>
          <w:tcPr>
            <w:tcW w:w="1061" w:type="dxa"/>
          </w:tcPr>
          <w:p w14:paraId="479173D8"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b/>
                <w:color w:val="000000"/>
                <w:sz w:val="20"/>
                <w:szCs w:val="20"/>
              </w:rPr>
            </w:pPr>
            <w:r w:rsidRPr="0057700B">
              <w:rPr>
                <w:b/>
                <w:color w:val="000000"/>
                <w:sz w:val="20"/>
                <w:szCs w:val="20"/>
              </w:rPr>
              <w:t>1%</w:t>
            </w:r>
          </w:p>
        </w:tc>
        <w:tc>
          <w:tcPr>
            <w:tcW w:w="1134" w:type="dxa"/>
          </w:tcPr>
          <w:p w14:paraId="3215FF89" w14:textId="77777777" w:rsidR="001A4F1A" w:rsidRPr="0057700B"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b/>
                <w:color w:val="000000"/>
                <w:sz w:val="20"/>
                <w:szCs w:val="20"/>
              </w:rPr>
            </w:pPr>
            <w:r w:rsidRPr="0057700B">
              <w:rPr>
                <w:b/>
                <w:color w:val="000000"/>
                <w:sz w:val="20"/>
                <w:szCs w:val="20"/>
              </w:rPr>
              <w:t>1%</w:t>
            </w:r>
          </w:p>
        </w:tc>
      </w:tr>
    </w:tbl>
    <w:p w14:paraId="385B9293" w14:textId="77777777" w:rsidR="001A4F1A" w:rsidRDefault="001A4F1A" w:rsidP="00E858EF">
      <w:pPr>
        <w:suppressAutoHyphens/>
        <w:autoSpaceDE w:val="0"/>
        <w:autoSpaceDN w:val="0"/>
        <w:adjustRightInd w:val="0"/>
        <w:rPr>
          <w:color w:val="000000"/>
        </w:rPr>
      </w:pPr>
    </w:p>
    <w:p w14:paraId="739E43CC" w14:textId="77777777" w:rsidR="0057700B" w:rsidRDefault="0057700B">
      <w:pPr>
        <w:widowControl/>
        <w:spacing w:line="240" w:lineRule="auto"/>
        <w:contextualSpacing w:val="0"/>
        <w:jc w:val="left"/>
        <w:rPr>
          <w:rFonts w:cs="Lucida Grande"/>
          <w:b/>
          <w:sz w:val="20"/>
          <w:szCs w:val="18"/>
        </w:rPr>
      </w:pPr>
      <w:r>
        <w:br w:type="page"/>
      </w:r>
    </w:p>
    <w:p w14:paraId="1D24881E" w14:textId="1929A468" w:rsidR="003870B8" w:rsidRDefault="001A4F1A" w:rsidP="00E858EF">
      <w:pPr>
        <w:pStyle w:val="Testofumetto"/>
        <w:suppressAutoHyphens/>
        <w:jc w:val="both"/>
      </w:pPr>
      <w:bookmarkStart w:id="711" w:name="_Toc520212585"/>
      <w:r>
        <w:t>Table 4-13b</w:t>
      </w:r>
      <w:r w:rsidR="00472FA5">
        <w:t>.</w:t>
      </w:r>
      <w:r>
        <w:t xml:space="preserve"> Interments methods and burial stage of skeletal remains in tombs with larnakes</w:t>
      </w:r>
      <w:r w:rsidRPr="008618B5">
        <w:t xml:space="preserve"> </w:t>
      </w:r>
      <w:r>
        <w:t xml:space="preserve">with information </w:t>
      </w:r>
      <w:r w:rsidR="00466FB3">
        <w:t xml:space="preserve">on </w:t>
      </w:r>
      <w:r>
        <w:t>skeletal remains</w:t>
      </w:r>
      <w:r w:rsidR="00466FB3">
        <w:t>,</w:t>
      </w:r>
      <w:r>
        <w:t xml:space="preserve"> Knossos </w:t>
      </w:r>
      <w:r w:rsidR="00D02AAA">
        <w:t>area</w:t>
      </w:r>
      <w:r>
        <w:t>:</w:t>
      </w:r>
      <w:r w:rsidRPr="00D544F7">
        <w:t xml:space="preserve"> </w:t>
      </w:r>
      <w:r>
        <w:t>burial stage related to number of tombs</w:t>
      </w:r>
      <w:bookmarkEnd w:id="711"/>
      <w:r>
        <w:t xml:space="preserve"> </w:t>
      </w:r>
    </w:p>
    <w:p w14:paraId="2C12E0C1" w14:textId="07AD445E" w:rsidR="001A4F1A" w:rsidRPr="003870B8" w:rsidRDefault="001A4F1A" w:rsidP="00E858EF">
      <w:pPr>
        <w:suppressAutoHyphens/>
        <w:spacing w:line="240" w:lineRule="auto"/>
      </w:pPr>
      <w:r w:rsidRPr="003870B8">
        <w:rPr>
          <w:sz w:val="20"/>
        </w:rPr>
        <w:t>(p= primary deposition; s= secondary deposition; No info= no information about the burial stage/skeletal remains).</w:t>
      </w:r>
    </w:p>
    <w:tbl>
      <w:tblPr>
        <w:tblStyle w:val="Grigliatabella"/>
        <w:tblW w:w="8647" w:type="dxa"/>
        <w:tblInd w:w="108" w:type="dxa"/>
        <w:tblLayout w:type="fixed"/>
        <w:tblLook w:val="04A0" w:firstRow="1" w:lastRow="0" w:firstColumn="1" w:lastColumn="0" w:noHBand="0" w:noVBand="1"/>
      </w:tblPr>
      <w:tblGrid>
        <w:gridCol w:w="1060"/>
        <w:gridCol w:w="466"/>
        <w:gridCol w:w="709"/>
        <w:gridCol w:w="850"/>
        <w:gridCol w:w="494"/>
        <w:gridCol w:w="567"/>
        <w:gridCol w:w="73"/>
        <w:gridCol w:w="709"/>
        <w:gridCol w:w="425"/>
        <w:gridCol w:w="425"/>
        <w:gridCol w:w="776"/>
        <w:gridCol w:w="1067"/>
        <w:gridCol w:w="1026"/>
      </w:tblGrid>
      <w:tr w:rsidR="001A4F1A" w:rsidRPr="003870B8" w14:paraId="461D78B3" w14:textId="77777777" w:rsidTr="0057700B">
        <w:trPr>
          <w:trHeight w:val="831"/>
        </w:trPr>
        <w:tc>
          <w:tcPr>
            <w:tcW w:w="1060" w:type="dxa"/>
          </w:tcPr>
          <w:p w14:paraId="6B450D4C"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left"/>
              <w:rPr>
                <w:color w:val="000000"/>
                <w:sz w:val="20"/>
              </w:rPr>
            </w:pPr>
          </w:p>
        </w:tc>
        <w:tc>
          <w:tcPr>
            <w:tcW w:w="2025" w:type="dxa"/>
            <w:gridSpan w:val="3"/>
          </w:tcPr>
          <w:p w14:paraId="531C1DDC"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 xml:space="preserve">Larnax burials </w:t>
            </w:r>
          </w:p>
          <w:p w14:paraId="78B2677F"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p>
        </w:tc>
        <w:tc>
          <w:tcPr>
            <w:tcW w:w="1843" w:type="dxa"/>
            <w:gridSpan w:val="4"/>
          </w:tcPr>
          <w:p w14:paraId="6F396686"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Floor burials</w:t>
            </w:r>
          </w:p>
          <w:p w14:paraId="081F1865"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p>
        </w:tc>
        <w:tc>
          <w:tcPr>
            <w:tcW w:w="1626" w:type="dxa"/>
            <w:gridSpan w:val="3"/>
          </w:tcPr>
          <w:p w14:paraId="2BF79BF5"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Pit burials</w:t>
            </w:r>
          </w:p>
          <w:p w14:paraId="5526C17F"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p>
        </w:tc>
        <w:tc>
          <w:tcPr>
            <w:tcW w:w="1067" w:type="dxa"/>
          </w:tcPr>
          <w:p w14:paraId="4ADA0784"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rPr>
                <w:color w:val="000000"/>
                <w:sz w:val="20"/>
              </w:rPr>
            </w:pPr>
            <w:r w:rsidRPr="003870B8">
              <w:rPr>
                <w:color w:val="000000"/>
                <w:sz w:val="20"/>
              </w:rPr>
              <w:t>Dromos burial</w:t>
            </w:r>
          </w:p>
        </w:tc>
        <w:tc>
          <w:tcPr>
            <w:tcW w:w="1026" w:type="dxa"/>
          </w:tcPr>
          <w:p w14:paraId="295F3FC0"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rPr>
                <w:color w:val="000000"/>
                <w:sz w:val="20"/>
              </w:rPr>
            </w:pPr>
            <w:r w:rsidRPr="003870B8">
              <w:rPr>
                <w:color w:val="000000"/>
                <w:sz w:val="20"/>
              </w:rPr>
              <w:t>Wooden bier/chest</w:t>
            </w:r>
          </w:p>
        </w:tc>
      </w:tr>
      <w:tr w:rsidR="001A4F1A" w:rsidRPr="003870B8" w14:paraId="7DDC2F7F" w14:textId="77777777" w:rsidTr="0057700B">
        <w:trPr>
          <w:trHeight w:val="387"/>
        </w:trPr>
        <w:tc>
          <w:tcPr>
            <w:tcW w:w="1060" w:type="dxa"/>
            <w:tcBorders>
              <w:bottom w:val="thinThickSmallGap" w:sz="24" w:space="0" w:color="auto"/>
            </w:tcBorders>
          </w:tcPr>
          <w:p w14:paraId="73AC3D98"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left"/>
              <w:rPr>
                <w:color w:val="000000"/>
                <w:sz w:val="20"/>
              </w:rPr>
            </w:pPr>
            <w:r w:rsidRPr="003870B8">
              <w:rPr>
                <w:color w:val="000000"/>
                <w:sz w:val="20"/>
              </w:rPr>
              <w:t>Burial stage</w:t>
            </w:r>
          </w:p>
        </w:tc>
        <w:tc>
          <w:tcPr>
            <w:tcW w:w="466" w:type="dxa"/>
          </w:tcPr>
          <w:p w14:paraId="31C3F6DE"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p</w:t>
            </w:r>
          </w:p>
        </w:tc>
        <w:tc>
          <w:tcPr>
            <w:tcW w:w="709" w:type="dxa"/>
          </w:tcPr>
          <w:p w14:paraId="45E265DC"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s</w:t>
            </w:r>
          </w:p>
        </w:tc>
        <w:tc>
          <w:tcPr>
            <w:tcW w:w="850" w:type="dxa"/>
          </w:tcPr>
          <w:p w14:paraId="196A8024"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No info</w:t>
            </w:r>
          </w:p>
        </w:tc>
        <w:tc>
          <w:tcPr>
            <w:tcW w:w="494" w:type="dxa"/>
          </w:tcPr>
          <w:p w14:paraId="25C2A90A"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p</w:t>
            </w:r>
          </w:p>
        </w:tc>
        <w:tc>
          <w:tcPr>
            <w:tcW w:w="640" w:type="dxa"/>
            <w:gridSpan w:val="2"/>
          </w:tcPr>
          <w:p w14:paraId="37DBB4CF"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s</w:t>
            </w:r>
          </w:p>
        </w:tc>
        <w:tc>
          <w:tcPr>
            <w:tcW w:w="709" w:type="dxa"/>
          </w:tcPr>
          <w:p w14:paraId="02B42A51"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No info</w:t>
            </w:r>
          </w:p>
        </w:tc>
        <w:tc>
          <w:tcPr>
            <w:tcW w:w="425" w:type="dxa"/>
          </w:tcPr>
          <w:p w14:paraId="54C812FB"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p</w:t>
            </w:r>
          </w:p>
        </w:tc>
        <w:tc>
          <w:tcPr>
            <w:tcW w:w="425" w:type="dxa"/>
          </w:tcPr>
          <w:p w14:paraId="1A8D11D0"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s</w:t>
            </w:r>
          </w:p>
        </w:tc>
        <w:tc>
          <w:tcPr>
            <w:tcW w:w="776" w:type="dxa"/>
          </w:tcPr>
          <w:p w14:paraId="30F10EE3"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No info</w:t>
            </w:r>
          </w:p>
        </w:tc>
        <w:tc>
          <w:tcPr>
            <w:tcW w:w="1067" w:type="dxa"/>
          </w:tcPr>
          <w:p w14:paraId="2AD4E864"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No info</w:t>
            </w:r>
          </w:p>
        </w:tc>
        <w:tc>
          <w:tcPr>
            <w:tcW w:w="1026" w:type="dxa"/>
          </w:tcPr>
          <w:p w14:paraId="44E41A92"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No info</w:t>
            </w:r>
          </w:p>
        </w:tc>
      </w:tr>
      <w:tr w:rsidR="001A4F1A" w:rsidRPr="003870B8" w14:paraId="3E313A7F" w14:textId="77777777" w:rsidTr="0057700B">
        <w:tc>
          <w:tcPr>
            <w:tcW w:w="1060" w:type="dxa"/>
            <w:tcBorders>
              <w:top w:val="thinThickSmallGap" w:sz="24" w:space="0" w:color="auto"/>
            </w:tcBorders>
          </w:tcPr>
          <w:p w14:paraId="031720E3"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left"/>
              <w:rPr>
                <w:color w:val="000000"/>
                <w:sz w:val="20"/>
              </w:rPr>
            </w:pPr>
            <w:r w:rsidRPr="003870B8">
              <w:rPr>
                <w:color w:val="000000"/>
                <w:sz w:val="20"/>
              </w:rPr>
              <w:t>MNEB</w:t>
            </w:r>
          </w:p>
        </w:tc>
        <w:tc>
          <w:tcPr>
            <w:tcW w:w="466" w:type="dxa"/>
            <w:tcBorders>
              <w:top w:val="thinThickSmallGap" w:sz="24" w:space="0" w:color="auto"/>
            </w:tcBorders>
          </w:tcPr>
          <w:p w14:paraId="295560C9"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28</w:t>
            </w:r>
          </w:p>
        </w:tc>
        <w:tc>
          <w:tcPr>
            <w:tcW w:w="709" w:type="dxa"/>
            <w:tcBorders>
              <w:top w:val="thinThickSmallGap" w:sz="24" w:space="0" w:color="auto"/>
            </w:tcBorders>
          </w:tcPr>
          <w:p w14:paraId="4B6EBAF7"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9</w:t>
            </w:r>
          </w:p>
        </w:tc>
        <w:tc>
          <w:tcPr>
            <w:tcW w:w="850" w:type="dxa"/>
            <w:tcBorders>
              <w:top w:val="thinThickSmallGap" w:sz="24" w:space="0" w:color="auto"/>
              <w:bottom w:val="thinThickSmallGap" w:sz="24" w:space="0" w:color="auto"/>
            </w:tcBorders>
          </w:tcPr>
          <w:p w14:paraId="72076C32"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33</w:t>
            </w:r>
          </w:p>
        </w:tc>
        <w:tc>
          <w:tcPr>
            <w:tcW w:w="494" w:type="dxa"/>
            <w:tcBorders>
              <w:top w:val="thinThickSmallGap" w:sz="24" w:space="0" w:color="auto"/>
            </w:tcBorders>
          </w:tcPr>
          <w:p w14:paraId="21CEAB88"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7</w:t>
            </w:r>
          </w:p>
        </w:tc>
        <w:tc>
          <w:tcPr>
            <w:tcW w:w="567" w:type="dxa"/>
            <w:tcBorders>
              <w:top w:val="thinThickSmallGap" w:sz="24" w:space="0" w:color="auto"/>
            </w:tcBorders>
          </w:tcPr>
          <w:p w14:paraId="10975381"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3</w:t>
            </w:r>
          </w:p>
        </w:tc>
        <w:tc>
          <w:tcPr>
            <w:tcW w:w="782" w:type="dxa"/>
            <w:gridSpan w:val="2"/>
            <w:tcBorders>
              <w:top w:val="thinThickSmallGap" w:sz="24" w:space="0" w:color="auto"/>
            </w:tcBorders>
          </w:tcPr>
          <w:p w14:paraId="186B4033"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1</w:t>
            </w:r>
          </w:p>
        </w:tc>
        <w:tc>
          <w:tcPr>
            <w:tcW w:w="425" w:type="dxa"/>
            <w:tcBorders>
              <w:top w:val="thinThickSmallGap" w:sz="24" w:space="0" w:color="auto"/>
            </w:tcBorders>
          </w:tcPr>
          <w:p w14:paraId="658AB12D"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3</w:t>
            </w:r>
          </w:p>
        </w:tc>
        <w:tc>
          <w:tcPr>
            <w:tcW w:w="425" w:type="dxa"/>
            <w:tcBorders>
              <w:top w:val="thinThickSmallGap" w:sz="24" w:space="0" w:color="auto"/>
            </w:tcBorders>
          </w:tcPr>
          <w:p w14:paraId="14BC0496"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2</w:t>
            </w:r>
          </w:p>
        </w:tc>
        <w:tc>
          <w:tcPr>
            <w:tcW w:w="776" w:type="dxa"/>
            <w:tcBorders>
              <w:top w:val="thinThickSmallGap" w:sz="24" w:space="0" w:color="auto"/>
            </w:tcBorders>
          </w:tcPr>
          <w:p w14:paraId="0C089DED"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1</w:t>
            </w:r>
          </w:p>
        </w:tc>
        <w:tc>
          <w:tcPr>
            <w:tcW w:w="1067" w:type="dxa"/>
            <w:tcBorders>
              <w:top w:val="thinThickSmallGap" w:sz="24" w:space="0" w:color="auto"/>
            </w:tcBorders>
          </w:tcPr>
          <w:p w14:paraId="419F3FC0"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1</w:t>
            </w:r>
          </w:p>
        </w:tc>
        <w:tc>
          <w:tcPr>
            <w:tcW w:w="1026" w:type="dxa"/>
            <w:tcBorders>
              <w:top w:val="thinThickSmallGap" w:sz="24" w:space="0" w:color="auto"/>
            </w:tcBorders>
          </w:tcPr>
          <w:p w14:paraId="155D7A80"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1</w:t>
            </w:r>
          </w:p>
        </w:tc>
      </w:tr>
      <w:tr w:rsidR="001A4F1A" w:rsidRPr="003870B8" w14:paraId="2558607B" w14:textId="77777777" w:rsidTr="0057700B">
        <w:trPr>
          <w:trHeight w:val="1522"/>
        </w:trPr>
        <w:tc>
          <w:tcPr>
            <w:tcW w:w="1060" w:type="dxa"/>
            <w:tcBorders>
              <w:top w:val="thinThickSmallGap" w:sz="24" w:space="0" w:color="auto"/>
              <w:bottom w:val="single" w:sz="4" w:space="0" w:color="auto"/>
            </w:tcBorders>
          </w:tcPr>
          <w:p w14:paraId="019DE43F"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left"/>
              <w:rPr>
                <w:color w:val="000000"/>
                <w:sz w:val="20"/>
              </w:rPr>
            </w:pPr>
            <w:r w:rsidRPr="003870B8">
              <w:rPr>
                <w:color w:val="000000"/>
                <w:sz w:val="20"/>
              </w:rPr>
              <w:t>No. of tombs in which they occur</w:t>
            </w:r>
          </w:p>
        </w:tc>
        <w:tc>
          <w:tcPr>
            <w:tcW w:w="466" w:type="dxa"/>
            <w:tcBorders>
              <w:top w:val="thinThickSmallGap" w:sz="24" w:space="0" w:color="auto"/>
              <w:bottom w:val="single" w:sz="4" w:space="0" w:color="auto"/>
            </w:tcBorders>
            <w:vAlign w:val="center"/>
          </w:tcPr>
          <w:p w14:paraId="2149EAA7"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19</w:t>
            </w:r>
          </w:p>
        </w:tc>
        <w:tc>
          <w:tcPr>
            <w:tcW w:w="709" w:type="dxa"/>
            <w:tcBorders>
              <w:top w:val="thinThickSmallGap" w:sz="24" w:space="0" w:color="auto"/>
              <w:bottom w:val="single" w:sz="4" w:space="0" w:color="auto"/>
            </w:tcBorders>
            <w:vAlign w:val="center"/>
          </w:tcPr>
          <w:p w14:paraId="2BBBD120"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5</w:t>
            </w:r>
          </w:p>
        </w:tc>
        <w:tc>
          <w:tcPr>
            <w:tcW w:w="850" w:type="dxa"/>
            <w:tcBorders>
              <w:top w:val="thinThickSmallGap" w:sz="24" w:space="0" w:color="auto"/>
              <w:bottom w:val="single" w:sz="4" w:space="0" w:color="auto"/>
            </w:tcBorders>
            <w:vAlign w:val="center"/>
          </w:tcPr>
          <w:p w14:paraId="5F529067"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15</w:t>
            </w:r>
          </w:p>
        </w:tc>
        <w:tc>
          <w:tcPr>
            <w:tcW w:w="494" w:type="dxa"/>
            <w:tcBorders>
              <w:top w:val="thinThickSmallGap" w:sz="24" w:space="0" w:color="auto"/>
              <w:bottom w:val="single" w:sz="4" w:space="0" w:color="auto"/>
            </w:tcBorders>
            <w:vAlign w:val="center"/>
          </w:tcPr>
          <w:p w14:paraId="7D7AA475"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5</w:t>
            </w:r>
          </w:p>
        </w:tc>
        <w:tc>
          <w:tcPr>
            <w:tcW w:w="567" w:type="dxa"/>
            <w:tcBorders>
              <w:top w:val="thinThickSmallGap" w:sz="24" w:space="0" w:color="auto"/>
              <w:bottom w:val="single" w:sz="4" w:space="0" w:color="auto"/>
            </w:tcBorders>
            <w:vAlign w:val="center"/>
          </w:tcPr>
          <w:p w14:paraId="6504075A"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3</w:t>
            </w:r>
          </w:p>
        </w:tc>
        <w:tc>
          <w:tcPr>
            <w:tcW w:w="782" w:type="dxa"/>
            <w:gridSpan w:val="2"/>
            <w:tcBorders>
              <w:top w:val="thinThickSmallGap" w:sz="24" w:space="0" w:color="auto"/>
              <w:bottom w:val="single" w:sz="4" w:space="0" w:color="auto"/>
            </w:tcBorders>
            <w:vAlign w:val="center"/>
          </w:tcPr>
          <w:p w14:paraId="669AE26E"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1</w:t>
            </w:r>
          </w:p>
        </w:tc>
        <w:tc>
          <w:tcPr>
            <w:tcW w:w="425" w:type="dxa"/>
            <w:tcBorders>
              <w:top w:val="thinThickSmallGap" w:sz="24" w:space="0" w:color="auto"/>
              <w:bottom w:val="single" w:sz="4" w:space="0" w:color="auto"/>
            </w:tcBorders>
            <w:vAlign w:val="center"/>
          </w:tcPr>
          <w:p w14:paraId="5EED94E3"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3</w:t>
            </w:r>
          </w:p>
        </w:tc>
        <w:tc>
          <w:tcPr>
            <w:tcW w:w="425" w:type="dxa"/>
            <w:tcBorders>
              <w:top w:val="thinThickSmallGap" w:sz="24" w:space="0" w:color="auto"/>
              <w:bottom w:val="single" w:sz="4" w:space="0" w:color="auto"/>
            </w:tcBorders>
            <w:vAlign w:val="center"/>
          </w:tcPr>
          <w:p w14:paraId="5B75BD20"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1</w:t>
            </w:r>
          </w:p>
        </w:tc>
        <w:tc>
          <w:tcPr>
            <w:tcW w:w="776" w:type="dxa"/>
            <w:tcBorders>
              <w:top w:val="thinThickSmallGap" w:sz="24" w:space="0" w:color="auto"/>
              <w:bottom w:val="single" w:sz="4" w:space="0" w:color="auto"/>
            </w:tcBorders>
            <w:vAlign w:val="center"/>
          </w:tcPr>
          <w:p w14:paraId="4EE56DB5"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1</w:t>
            </w:r>
          </w:p>
        </w:tc>
        <w:tc>
          <w:tcPr>
            <w:tcW w:w="1067" w:type="dxa"/>
            <w:tcBorders>
              <w:top w:val="thinThickSmallGap" w:sz="24" w:space="0" w:color="auto"/>
              <w:bottom w:val="single" w:sz="4" w:space="0" w:color="auto"/>
            </w:tcBorders>
            <w:vAlign w:val="center"/>
          </w:tcPr>
          <w:p w14:paraId="52AEA6F9"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1</w:t>
            </w:r>
          </w:p>
        </w:tc>
        <w:tc>
          <w:tcPr>
            <w:tcW w:w="1026" w:type="dxa"/>
            <w:tcBorders>
              <w:top w:val="thinThickSmallGap" w:sz="24" w:space="0" w:color="auto"/>
              <w:bottom w:val="single" w:sz="4" w:space="0" w:color="auto"/>
            </w:tcBorders>
            <w:vAlign w:val="center"/>
          </w:tcPr>
          <w:p w14:paraId="11487FB8" w14:textId="77777777" w:rsidR="001A4F1A" w:rsidRPr="003870B8" w:rsidRDefault="001A4F1A" w:rsidP="005770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3870B8">
              <w:rPr>
                <w:color w:val="000000"/>
                <w:sz w:val="20"/>
              </w:rPr>
              <w:t>1</w:t>
            </w:r>
          </w:p>
        </w:tc>
      </w:tr>
    </w:tbl>
    <w:p w14:paraId="4A7A0FB9" w14:textId="77777777" w:rsidR="001A4F1A" w:rsidRPr="00D6101B" w:rsidRDefault="001A4F1A" w:rsidP="00E858EF">
      <w:pPr>
        <w:suppressAutoHyphens/>
        <w:autoSpaceDE w:val="0"/>
        <w:autoSpaceDN w:val="0"/>
        <w:adjustRightInd w:val="0"/>
        <w:rPr>
          <w:color w:val="000000"/>
        </w:rPr>
      </w:pPr>
    </w:p>
    <w:p w14:paraId="47B9F929" w14:textId="77777777" w:rsidR="001A4F1A" w:rsidRPr="00D6101B" w:rsidRDefault="001A4F1A" w:rsidP="00E858EF">
      <w:pPr>
        <w:suppressAutoHyphens/>
        <w:autoSpaceDE w:val="0"/>
        <w:autoSpaceDN w:val="0"/>
        <w:adjustRightInd w:val="0"/>
        <w:rPr>
          <w:color w:val="000000"/>
        </w:rPr>
      </w:pPr>
      <w:r>
        <w:rPr>
          <w:noProof/>
          <w:lang w:val="it-IT"/>
        </w:rPr>
        <w:drawing>
          <wp:inline distT="0" distB="0" distL="0" distR="0" wp14:anchorId="05193CB4" wp14:editId="68D94B10">
            <wp:extent cx="4680000" cy="2520000"/>
            <wp:effectExtent l="0" t="0" r="19050" b="20320"/>
            <wp:docPr id="73" name="Gra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4986246" w14:textId="54A2ABE0" w:rsidR="001A4F1A" w:rsidRPr="00D6101B" w:rsidRDefault="001A4F1A" w:rsidP="00E858EF">
      <w:pPr>
        <w:pStyle w:val="Didascalia"/>
        <w:suppressAutoHyphens/>
      </w:pPr>
      <w:bookmarkStart w:id="712" w:name="_Toc520212348"/>
      <w:r>
        <w:t>Figure 4-11</w:t>
      </w:r>
      <w:r w:rsidR="003C4641">
        <w:t>.</w:t>
      </w:r>
      <w:r>
        <w:t xml:space="preserve"> Deposition methods </w:t>
      </w:r>
      <w:r w:rsidRPr="008772F1">
        <w:t>associated in t</w:t>
      </w:r>
      <w:r>
        <w:t>ombs with larnakes</w:t>
      </w:r>
      <w:r w:rsidR="00466FB3">
        <w:t>,</w:t>
      </w:r>
      <w:r>
        <w:t xml:space="preserve"> Knossos</w:t>
      </w:r>
      <w:r w:rsidRPr="008772F1">
        <w:t xml:space="preserve"> </w:t>
      </w:r>
      <w:bookmarkEnd w:id="712"/>
      <w:r w:rsidR="00D02AAA">
        <w:t>area</w:t>
      </w:r>
    </w:p>
    <w:p w14:paraId="24FF031B" w14:textId="77777777" w:rsidR="001A4F1A" w:rsidRPr="00D6101B" w:rsidRDefault="001A4F1A" w:rsidP="00E858EF">
      <w:pPr>
        <w:suppressAutoHyphens/>
        <w:autoSpaceDE w:val="0"/>
        <w:autoSpaceDN w:val="0"/>
        <w:adjustRightInd w:val="0"/>
        <w:jc w:val="center"/>
        <w:rPr>
          <w:b/>
          <w:color w:val="000000"/>
        </w:rPr>
      </w:pPr>
    </w:p>
    <w:p w14:paraId="6626D6F5"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In</w:t>
      </w:r>
      <w:r>
        <w:rPr>
          <w:color w:val="000000"/>
        </w:rPr>
        <w:t xml:space="preserve"> the</w:t>
      </w:r>
      <w:r w:rsidRPr="00D6101B">
        <w:rPr>
          <w:color w:val="000000"/>
        </w:rPr>
        <w:t xml:space="preserve"> Knossos area</w:t>
      </w:r>
      <w:r>
        <w:rPr>
          <w:color w:val="000000"/>
        </w:rPr>
        <w:t>,</w:t>
      </w:r>
      <w:r w:rsidRPr="00D6101B">
        <w:rPr>
          <w:color w:val="000000"/>
        </w:rPr>
        <w:t xml:space="preserve"> the percentage of larnax burials in comparison with floor</w:t>
      </w:r>
      <w:r>
        <w:rPr>
          <w:color w:val="000000"/>
        </w:rPr>
        <w:t xml:space="preserve"> and</w:t>
      </w:r>
      <w:r w:rsidRPr="00D6101B">
        <w:rPr>
          <w:color w:val="000000"/>
        </w:rPr>
        <w:t xml:space="preserve"> pit burials </w:t>
      </w:r>
      <w:r>
        <w:rPr>
          <w:color w:val="000000"/>
        </w:rPr>
        <w:t>is</w:t>
      </w:r>
      <w:r w:rsidRPr="00D6101B">
        <w:rPr>
          <w:color w:val="000000"/>
        </w:rPr>
        <w:t xml:space="preserve"> high (79%). In the region</w:t>
      </w:r>
      <w:r>
        <w:rPr>
          <w:color w:val="000000"/>
        </w:rPr>
        <w:t>, it</w:t>
      </w:r>
      <w:r w:rsidRPr="00D6101B">
        <w:rPr>
          <w:color w:val="000000"/>
        </w:rPr>
        <w:t xml:space="preserve"> seems that the practice of emptying the larnakes </w:t>
      </w:r>
      <w:r>
        <w:rPr>
          <w:color w:val="000000"/>
        </w:rPr>
        <w:t>of</w:t>
      </w:r>
      <w:r w:rsidRPr="00D6101B">
        <w:rPr>
          <w:color w:val="000000"/>
        </w:rPr>
        <w:t xml:space="preserve"> old burials and depositing them on the floor or in </w:t>
      </w:r>
      <w:r>
        <w:rPr>
          <w:color w:val="000000"/>
        </w:rPr>
        <w:t xml:space="preserve">a </w:t>
      </w:r>
      <w:r w:rsidRPr="00D6101B">
        <w:rPr>
          <w:color w:val="000000"/>
        </w:rPr>
        <w:t xml:space="preserve">pit is attested only in a few tombs (the ones in which secondary floor or </w:t>
      </w:r>
      <w:r>
        <w:rPr>
          <w:color w:val="000000"/>
        </w:rPr>
        <w:t>pit burials have been recorded</w:t>
      </w:r>
      <w:r w:rsidRPr="00D6101B">
        <w:rPr>
          <w:color w:val="000000"/>
        </w:rPr>
        <w:t xml:space="preserve">). </w:t>
      </w:r>
      <w:r>
        <w:rPr>
          <w:color w:val="000000"/>
        </w:rPr>
        <w:t>However,</w:t>
      </w:r>
      <w:r w:rsidRPr="00D6101B">
        <w:rPr>
          <w:color w:val="000000"/>
        </w:rPr>
        <w:t xml:space="preserve"> it is possible that th</w:t>
      </w:r>
      <w:r>
        <w:rPr>
          <w:color w:val="000000"/>
        </w:rPr>
        <w:t>e</w:t>
      </w:r>
      <w:r w:rsidRPr="00D6101B">
        <w:rPr>
          <w:color w:val="000000"/>
        </w:rPr>
        <w:t xml:space="preserve"> data </w:t>
      </w:r>
      <w:r>
        <w:rPr>
          <w:color w:val="000000"/>
        </w:rPr>
        <w:t>are</w:t>
      </w:r>
      <w:r w:rsidRPr="00D6101B">
        <w:rPr>
          <w:color w:val="000000"/>
        </w:rPr>
        <w:t xml:space="preserve"> affected by bias </w:t>
      </w:r>
      <w:r>
        <w:rPr>
          <w:color w:val="000000"/>
        </w:rPr>
        <w:t>when</w:t>
      </w:r>
      <w:r w:rsidRPr="00D6101B">
        <w:rPr>
          <w:color w:val="000000"/>
        </w:rPr>
        <w:t xml:space="preserve"> collecting bones during the excavations, because the data here </w:t>
      </w:r>
      <w:r>
        <w:rPr>
          <w:color w:val="000000"/>
        </w:rPr>
        <w:t>are from</w:t>
      </w:r>
      <w:r w:rsidRPr="00D6101B">
        <w:rPr>
          <w:color w:val="000000"/>
        </w:rPr>
        <w:t xml:space="preserve"> cemeteries excavated and published more than </w:t>
      </w:r>
      <w:r>
        <w:rPr>
          <w:color w:val="000000"/>
        </w:rPr>
        <w:t>50</w:t>
      </w:r>
      <w:r w:rsidRPr="00D6101B">
        <w:rPr>
          <w:color w:val="000000"/>
        </w:rPr>
        <w:t xml:space="preserve"> years ago (i.e. Zafer Papoura</w:t>
      </w:r>
      <w:r>
        <w:rPr>
          <w:color w:val="000000"/>
        </w:rPr>
        <w:t>: Evans 1906</w:t>
      </w:r>
      <w:r w:rsidRPr="00D6101B">
        <w:rPr>
          <w:color w:val="000000"/>
        </w:rPr>
        <w:t>; Mavro Spelio</w:t>
      </w:r>
      <w:r>
        <w:rPr>
          <w:color w:val="000000"/>
        </w:rPr>
        <w:t>:</w:t>
      </w:r>
      <w:r w:rsidRPr="00D6101B">
        <w:rPr>
          <w:color w:val="000000"/>
        </w:rPr>
        <w:t xml:space="preserve"> Forsdyke 1926/27; Sellopoulo</w:t>
      </w:r>
      <w:r>
        <w:rPr>
          <w:color w:val="000000"/>
        </w:rPr>
        <w:t>:</w:t>
      </w:r>
      <w:r w:rsidRPr="00D6101B">
        <w:rPr>
          <w:color w:val="000000"/>
        </w:rPr>
        <w:t xml:space="preserve"> Hogarth 1</w:t>
      </w:r>
      <w:r>
        <w:rPr>
          <w:color w:val="000000"/>
        </w:rPr>
        <w:t>899/1900; Katsambas: Alexiou 1967a</w:t>
      </w:r>
      <w:r w:rsidRPr="00D6101B">
        <w:rPr>
          <w:color w:val="000000"/>
        </w:rPr>
        <w:t xml:space="preserve">). </w:t>
      </w:r>
    </w:p>
    <w:p w14:paraId="7B115F06" w14:textId="77777777" w:rsidR="001A4F1A" w:rsidRPr="00D6101B" w:rsidRDefault="001A4F1A" w:rsidP="00E858EF">
      <w:pPr>
        <w:suppressAutoHyphens/>
        <w:autoSpaceDE w:val="0"/>
        <w:autoSpaceDN w:val="0"/>
        <w:adjustRightInd w:val="0"/>
        <w:rPr>
          <w:color w:val="000000"/>
        </w:rPr>
      </w:pPr>
      <w:r>
        <w:rPr>
          <w:color w:val="000000"/>
        </w:rPr>
        <w:tab/>
        <w:t>Regarding</w:t>
      </w:r>
      <w:r w:rsidRPr="00D6101B">
        <w:rPr>
          <w:color w:val="000000"/>
        </w:rPr>
        <w:t xml:space="preserve"> larnax use</w:t>
      </w:r>
      <w:r>
        <w:rPr>
          <w:color w:val="000000"/>
        </w:rPr>
        <w:t>,</w:t>
      </w:r>
      <w:r w:rsidRPr="00D6101B">
        <w:rPr>
          <w:color w:val="000000"/>
        </w:rPr>
        <w:t xml:space="preserve"> the number of burial</w:t>
      </w:r>
      <w:r>
        <w:rPr>
          <w:color w:val="000000"/>
        </w:rPr>
        <w:t>s</w:t>
      </w:r>
      <w:r w:rsidRPr="00D6101B">
        <w:rPr>
          <w:color w:val="000000"/>
        </w:rPr>
        <w:t xml:space="preserve"> associated</w:t>
      </w:r>
      <w:r>
        <w:rPr>
          <w:color w:val="000000"/>
        </w:rPr>
        <w:t xml:space="preserve"> with larnakes</w:t>
      </w:r>
      <w:r w:rsidRPr="00D6101B">
        <w:rPr>
          <w:color w:val="000000"/>
        </w:rPr>
        <w:t xml:space="preserve"> for which there </w:t>
      </w:r>
      <w:r>
        <w:rPr>
          <w:color w:val="000000"/>
        </w:rPr>
        <w:t>is</w:t>
      </w:r>
      <w:r w:rsidRPr="00D6101B">
        <w:rPr>
          <w:color w:val="000000"/>
        </w:rPr>
        <w:t xml:space="preserve"> no information about the burial stage is high (33); </w:t>
      </w:r>
      <w:r>
        <w:rPr>
          <w:color w:val="000000"/>
        </w:rPr>
        <w:t>larnax</w:t>
      </w:r>
      <w:r w:rsidRPr="00D6101B">
        <w:rPr>
          <w:color w:val="000000"/>
        </w:rPr>
        <w:t xml:space="preserve"> use as secondary burial deposition container</w:t>
      </w:r>
      <w:r>
        <w:rPr>
          <w:color w:val="000000"/>
        </w:rPr>
        <w:t>s</w:t>
      </w:r>
      <w:r w:rsidRPr="00D6101B">
        <w:rPr>
          <w:color w:val="000000"/>
        </w:rPr>
        <w:t xml:space="preserve"> is attested in five tombs. </w:t>
      </w:r>
    </w:p>
    <w:p w14:paraId="64776A34"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The association with floor primary burials is attested</w:t>
      </w:r>
      <w:r>
        <w:rPr>
          <w:color w:val="000000"/>
        </w:rPr>
        <w:t>,</w:t>
      </w:r>
      <w:r w:rsidRPr="00D6101B">
        <w:rPr>
          <w:color w:val="000000"/>
        </w:rPr>
        <w:t xml:space="preserve"> in particular</w:t>
      </w:r>
      <w:r>
        <w:rPr>
          <w:color w:val="000000"/>
        </w:rPr>
        <w:t>,</w:t>
      </w:r>
      <w:r w:rsidRPr="00D6101B">
        <w:rPr>
          <w:color w:val="000000"/>
        </w:rPr>
        <w:t xml:space="preserve"> at Zafer Pap</w:t>
      </w:r>
      <w:r>
        <w:rPr>
          <w:color w:val="000000"/>
        </w:rPr>
        <w:t>o</w:t>
      </w:r>
      <w:r w:rsidRPr="00D6101B">
        <w:rPr>
          <w:color w:val="000000"/>
        </w:rPr>
        <w:t>ura, where</w:t>
      </w:r>
      <w:r>
        <w:rPr>
          <w:color w:val="000000"/>
        </w:rPr>
        <w:t>,</w:t>
      </w:r>
      <w:r w:rsidRPr="00D6101B">
        <w:rPr>
          <w:color w:val="000000"/>
        </w:rPr>
        <w:t xml:space="preserve"> alon</w:t>
      </w:r>
      <w:r>
        <w:rPr>
          <w:color w:val="000000"/>
        </w:rPr>
        <w:t>g with pit burials, they are</w:t>
      </w:r>
      <w:r w:rsidRPr="00D6101B">
        <w:rPr>
          <w:color w:val="000000"/>
        </w:rPr>
        <w:t xml:space="preserve"> the other deposition method adopted in the tombs without larnakes, which </w:t>
      </w:r>
      <w:r>
        <w:rPr>
          <w:color w:val="000000"/>
        </w:rPr>
        <w:t>are</w:t>
      </w:r>
      <w:r w:rsidRPr="00D6101B">
        <w:rPr>
          <w:color w:val="000000"/>
        </w:rPr>
        <w:t xml:space="preserve"> the vast percentage of tombs </w:t>
      </w:r>
      <w:r>
        <w:rPr>
          <w:color w:val="000000"/>
        </w:rPr>
        <w:t>in</w:t>
      </w:r>
      <w:r w:rsidRPr="00D6101B">
        <w:rPr>
          <w:color w:val="000000"/>
        </w:rPr>
        <w:t xml:space="preserve"> the cemetery. At Zafer Papoura</w:t>
      </w:r>
      <w:r>
        <w:rPr>
          <w:color w:val="000000"/>
        </w:rPr>
        <w:t>,</w:t>
      </w:r>
      <w:r w:rsidRPr="00D6101B">
        <w:rPr>
          <w:color w:val="000000"/>
        </w:rPr>
        <w:t xml:space="preserve"> deposition</w:t>
      </w:r>
      <w:r>
        <w:rPr>
          <w:color w:val="000000"/>
        </w:rPr>
        <w:t>s</w:t>
      </w:r>
      <w:r w:rsidRPr="00D6101B">
        <w:rPr>
          <w:color w:val="000000"/>
        </w:rPr>
        <w:t xml:space="preserve"> on the floor and in pit</w:t>
      </w:r>
      <w:r>
        <w:rPr>
          <w:color w:val="000000"/>
        </w:rPr>
        <w:t>s</w:t>
      </w:r>
      <w:r w:rsidRPr="00D6101B">
        <w:rPr>
          <w:color w:val="000000"/>
        </w:rPr>
        <w:t xml:space="preserve"> are attested both in elongated and contracted position</w:t>
      </w:r>
      <w:r>
        <w:rPr>
          <w:color w:val="000000"/>
        </w:rPr>
        <w:t>s</w:t>
      </w:r>
      <w:r w:rsidRPr="00D6101B">
        <w:rPr>
          <w:color w:val="000000"/>
        </w:rPr>
        <w:t xml:space="preserve">, while in larnakes </w:t>
      </w:r>
      <w:r>
        <w:rPr>
          <w:color w:val="000000"/>
        </w:rPr>
        <w:t xml:space="preserve">they are </w:t>
      </w:r>
      <w:r w:rsidRPr="00D6101B">
        <w:rPr>
          <w:color w:val="000000"/>
        </w:rPr>
        <w:t xml:space="preserve">only contracted (due to </w:t>
      </w:r>
      <w:r>
        <w:rPr>
          <w:color w:val="000000"/>
        </w:rPr>
        <w:t xml:space="preserve">the </w:t>
      </w:r>
      <w:r w:rsidRPr="00D6101B">
        <w:rPr>
          <w:color w:val="000000"/>
        </w:rPr>
        <w:t>larnax dimension</w:t>
      </w:r>
      <w:r>
        <w:rPr>
          <w:color w:val="000000"/>
        </w:rPr>
        <w:t>s</w:t>
      </w:r>
      <w:r w:rsidRPr="00D6101B">
        <w:rPr>
          <w:color w:val="000000"/>
        </w:rPr>
        <w:t>).</w:t>
      </w:r>
    </w:p>
    <w:p w14:paraId="54324500" w14:textId="77777777" w:rsidR="001A4F1A" w:rsidRPr="00E004C7" w:rsidRDefault="001A4F1A" w:rsidP="00E858EF">
      <w:pPr>
        <w:suppressAutoHyphens/>
        <w:autoSpaceDE w:val="0"/>
        <w:autoSpaceDN w:val="0"/>
        <w:adjustRightInd w:val="0"/>
        <w:rPr>
          <w:color w:val="000000"/>
        </w:rPr>
      </w:pPr>
      <w:r>
        <w:rPr>
          <w:color w:val="000000"/>
        </w:rPr>
        <w:tab/>
      </w:r>
      <w:r w:rsidRPr="00D6101B">
        <w:rPr>
          <w:color w:val="000000"/>
        </w:rPr>
        <w:t xml:space="preserve">Primary floor and pit burials are attested also at Upper Gypsades. Unfortunately, a specific chronological sequence of the burials is not </w:t>
      </w:r>
      <w:r>
        <w:rPr>
          <w:color w:val="000000"/>
        </w:rPr>
        <w:t>provided</w:t>
      </w:r>
      <w:r w:rsidRPr="00D6101B">
        <w:rPr>
          <w:color w:val="000000"/>
        </w:rPr>
        <w:t xml:space="preserve"> for the vast majority of Zafer Papoura tombs with larnakes, which generally </w:t>
      </w:r>
      <w:r>
        <w:rPr>
          <w:color w:val="000000"/>
        </w:rPr>
        <w:t>date to</w:t>
      </w:r>
      <w:r w:rsidRPr="00D6101B">
        <w:rPr>
          <w:color w:val="000000"/>
        </w:rPr>
        <w:t xml:space="preserve"> the broad LM III phase. The tomb with larnax burials found at </w:t>
      </w:r>
      <w:r>
        <w:rPr>
          <w:color w:val="000000"/>
        </w:rPr>
        <w:t xml:space="preserve">Lower </w:t>
      </w:r>
      <w:r w:rsidRPr="00D6101B">
        <w:rPr>
          <w:color w:val="000000"/>
        </w:rPr>
        <w:t xml:space="preserve">Gypsades </w:t>
      </w:r>
      <w:r>
        <w:rPr>
          <w:color w:val="000000"/>
        </w:rPr>
        <w:t>is</w:t>
      </w:r>
      <w:r w:rsidRPr="00D6101B">
        <w:rPr>
          <w:color w:val="000000"/>
        </w:rPr>
        <w:t xml:space="preserve"> one of the best </w:t>
      </w:r>
      <w:r>
        <w:rPr>
          <w:color w:val="000000"/>
        </w:rPr>
        <w:t>examples</w:t>
      </w:r>
      <w:r w:rsidRPr="00D6101B">
        <w:rPr>
          <w:color w:val="000000"/>
        </w:rPr>
        <w:t xml:space="preserve"> in terms of burial deposition sequence. From the excavation reports</w:t>
      </w:r>
      <w:r>
        <w:rPr>
          <w:color w:val="000000"/>
        </w:rPr>
        <w:t>,</w:t>
      </w:r>
      <w:r w:rsidRPr="00D6101B">
        <w:rPr>
          <w:color w:val="000000"/>
        </w:rPr>
        <w:t xml:space="preserve"> three of the five larnakes </w:t>
      </w:r>
      <w:r>
        <w:rPr>
          <w:color w:val="000000"/>
        </w:rPr>
        <w:t>had been</w:t>
      </w:r>
      <w:r w:rsidRPr="00D6101B">
        <w:rPr>
          <w:color w:val="000000"/>
        </w:rPr>
        <w:t xml:space="preserve"> smashed to make space for the latest two larna</w:t>
      </w:r>
      <w:r>
        <w:rPr>
          <w:color w:val="000000"/>
        </w:rPr>
        <w:t>x</w:t>
      </w:r>
      <w:r w:rsidRPr="00D6101B">
        <w:rPr>
          <w:color w:val="000000"/>
        </w:rPr>
        <w:t xml:space="preserve"> depositions (Coldstream 1963</w:t>
      </w:r>
      <w:r>
        <w:rPr>
          <w:color w:val="000000"/>
        </w:rPr>
        <w:t>: 30</w:t>
      </w:r>
      <w:r w:rsidRPr="00D6101B">
        <w:rPr>
          <w:color w:val="000000"/>
        </w:rPr>
        <w:t>).</w:t>
      </w:r>
    </w:p>
    <w:p w14:paraId="278DF15C" w14:textId="77777777" w:rsidR="001A4F1A" w:rsidRPr="00D6101B" w:rsidRDefault="001A4F1A" w:rsidP="00E858EF">
      <w:pPr>
        <w:suppressAutoHyphens/>
        <w:autoSpaceDE w:val="0"/>
        <w:autoSpaceDN w:val="0"/>
        <w:adjustRightInd w:val="0"/>
        <w:rPr>
          <w:color w:val="000000"/>
        </w:rPr>
      </w:pPr>
      <w:r>
        <w:rPr>
          <w:color w:val="000000"/>
        </w:rPr>
        <w:tab/>
        <w:t>Regarding</w:t>
      </w:r>
      <w:r w:rsidRPr="00D6101B">
        <w:rPr>
          <w:color w:val="000000"/>
        </w:rPr>
        <w:t xml:space="preserve"> gender and age</w:t>
      </w:r>
      <w:r>
        <w:rPr>
          <w:color w:val="000000"/>
        </w:rPr>
        <w:t>,</w:t>
      </w:r>
      <w:r w:rsidRPr="00D6101B">
        <w:rPr>
          <w:color w:val="000000"/>
        </w:rPr>
        <w:t xml:space="preserve"> information </w:t>
      </w:r>
      <w:r>
        <w:rPr>
          <w:color w:val="000000"/>
        </w:rPr>
        <w:t>is</w:t>
      </w:r>
      <w:r w:rsidRPr="00D6101B">
        <w:rPr>
          <w:color w:val="000000"/>
        </w:rPr>
        <w:t xml:space="preserve"> available only f</w:t>
      </w:r>
      <w:r>
        <w:rPr>
          <w:color w:val="000000"/>
        </w:rPr>
        <w:t>or</w:t>
      </w:r>
      <w:r w:rsidRPr="00D6101B">
        <w:rPr>
          <w:color w:val="000000"/>
        </w:rPr>
        <w:t xml:space="preserve"> a sample o</w:t>
      </w:r>
      <w:r>
        <w:rPr>
          <w:color w:val="000000"/>
        </w:rPr>
        <w:t>f</w:t>
      </w:r>
      <w:r w:rsidRPr="00D6101B">
        <w:rPr>
          <w:color w:val="000000"/>
        </w:rPr>
        <w:t xml:space="preserve"> five tombs</w:t>
      </w:r>
      <w:r>
        <w:rPr>
          <w:color w:val="000000"/>
        </w:rPr>
        <w:t>,</w:t>
      </w:r>
      <w:r w:rsidRPr="00D6101B">
        <w:rPr>
          <w:color w:val="000000"/>
        </w:rPr>
        <w:t xml:space="preserve"> </w:t>
      </w:r>
      <w:r>
        <w:rPr>
          <w:color w:val="000000"/>
        </w:rPr>
        <w:t>in which</w:t>
      </w:r>
      <w:r w:rsidRPr="00D6101B">
        <w:rPr>
          <w:color w:val="000000"/>
        </w:rPr>
        <w:t xml:space="preserve"> both genders and all the broad age groups are present. </w:t>
      </w:r>
      <w:r>
        <w:rPr>
          <w:color w:val="000000"/>
        </w:rPr>
        <w:t>Regarding</w:t>
      </w:r>
      <w:r w:rsidRPr="00D6101B">
        <w:rPr>
          <w:color w:val="000000"/>
        </w:rPr>
        <w:t xml:space="preserve"> gender</w:t>
      </w:r>
      <w:r>
        <w:rPr>
          <w:color w:val="000000"/>
        </w:rPr>
        <w:t>,</w:t>
      </w:r>
      <w:r w:rsidRPr="00D6101B">
        <w:rPr>
          <w:color w:val="000000"/>
        </w:rPr>
        <w:t xml:space="preserve"> the information comes from</w:t>
      </w:r>
      <w:r>
        <w:rPr>
          <w:color w:val="000000"/>
        </w:rPr>
        <w:t xml:space="preserve"> the following sources</w:t>
      </w:r>
      <w:r w:rsidRPr="00D6101B">
        <w:rPr>
          <w:color w:val="000000"/>
        </w:rPr>
        <w:t>:</w:t>
      </w:r>
    </w:p>
    <w:p w14:paraId="0B712088" w14:textId="77777777" w:rsidR="001A4F1A" w:rsidRPr="00D6101B" w:rsidRDefault="001A4F1A" w:rsidP="00E858EF">
      <w:pPr>
        <w:pStyle w:val="Paragrafoelenco"/>
        <w:numPr>
          <w:ilvl w:val="0"/>
          <w:numId w:val="37"/>
        </w:numPr>
        <w:suppressAutoHyphens/>
        <w:autoSpaceDE w:val="0"/>
        <w:autoSpaceDN w:val="0"/>
        <w:adjustRightInd w:val="0"/>
        <w:rPr>
          <w:color w:val="000000"/>
        </w:rPr>
      </w:pPr>
      <w:r w:rsidRPr="00D6101B">
        <w:rPr>
          <w:color w:val="000000"/>
        </w:rPr>
        <w:t xml:space="preserve">Upper Gypsades </w:t>
      </w:r>
      <w:r>
        <w:rPr>
          <w:color w:val="000000"/>
        </w:rPr>
        <w:t>T</w:t>
      </w:r>
      <w:r w:rsidRPr="00D6101B">
        <w:rPr>
          <w:color w:val="000000"/>
        </w:rPr>
        <w:t>omb IV, where between the secondary burials</w:t>
      </w:r>
      <w:r>
        <w:rPr>
          <w:color w:val="000000"/>
        </w:rPr>
        <w:t>,</w:t>
      </w:r>
      <w:r w:rsidRPr="00D6101B">
        <w:rPr>
          <w:color w:val="000000"/>
        </w:rPr>
        <w:t xml:space="preserve"> found in the pit</w:t>
      </w:r>
      <w:r>
        <w:rPr>
          <w:color w:val="000000"/>
        </w:rPr>
        <w:t>,</w:t>
      </w:r>
      <w:r w:rsidRPr="00D6101B">
        <w:rPr>
          <w:color w:val="000000"/>
        </w:rPr>
        <w:t xml:space="preserve"> there </w:t>
      </w:r>
      <w:r>
        <w:rPr>
          <w:color w:val="000000"/>
        </w:rPr>
        <w:t>was</w:t>
      </w:r>
      <w:r w:rsidRPr="00D6101B">
        <w:rPr>
          <w:color w:val="000000"/>
        </w:rPr>
        <w:t xml:space="preserve"> at least one adult female and one young man </w:t>
      </w:r>
      <w:r>
        <w:rPr>
          <w:color w:val="000000"/>
        </w:rPr>
        <w:t>(</w:t>
      </w:r>
      <w:r w:rsidRPr="00D6101B">
        <w:rPr>
          <w:color w:val="000000"/>
        </w:rPr>
        <w:t>Huxeley, Sandars and Werner 1958/1959</w:t>
      </w:r>
      <w:r>
        <w:rPr>
          <w:color w:val="000000"/>
        </w:rPr>
        <w:t>)</w:t>
      </w:r>
    </w:p>
    <w:p w14:paraId="0DF9A72C" w14:textId="77777777" w:rsidR="001A4F1A" w:rsidRPr="003F7590" w:rsidRDefault="001A4F1A" w:rsidP="00E858EF">
      <w:pPr>
        <w:pStyle w:val="Paragrafoelenco"/>
        <w:numPr>
          <w:ilvl w:val="0"/>
          <w:numId w:val="37"/>
        </w:numPr>
        <w:suppressAutoHyphens/>
        <w:autoSpaceDE w:val="0"/>
        <w:autoSpaceDN w:val="0"/>
        <w:adjustRightInd w:val="0"/>
        <w:rPr>
          <w:color w:val="000000"/>
        </w:rPr>
      </w:pPr>
      <w:r w:rsidRPr="00D6101B">
        <w:rPr>
          <w:color w:val="000000"/>
        </w:rPr>
        <w:t xml:space="preserve">Upper Gypsades </w:t>
      </w:r>
      <w:r>
        <w:rPr>
          <w:color w:val="000000"/>
        </w:rPr>
        <w:t>T</w:t>
      </w:r>
      <w:r w:rsidRPr="00D6101B">
        <w:rPr>
          <w:color w:val="000000"/>
        </w:rPr>
        <w:t>omb XI</w:t>
      </w:r>
      <w:r>
        <w:rPr>
          <w:color w:val="000000"/>
        </w:rPr>
        <w:t>,</w:t>
      </w:r>
      <w:r w:rsidRPr="00D6101B">
        <w:rPr>
          <w:color w:val="000000"/>
        </w:rPr>
        <w:t xml:space="preserve"> one of the two contracted burials in the larnax was a female. In the same tomb was a young</w:t>
      </w:r>
      <w:r>
        <w:rPr>
          <w:color w:val="000000"/>
        </w:rPr>
        <w:t>,</w:t>
      </w:r>
      <w:r w:rsidRPr="00D6101B">
        <w:rPr>
          <w:color w:val="000000"/>
        </w:rPr>
        <w:t xml:space="preserve"> contracted burial in a pit</w:t>
      </w:r>
      <w:r>
        <w:rPr>
          <w:color w:val="000000"/>
        </w:rPr>
        <w:t xml:space="preserve"> (</w:t>
      </w:r>
      <w:r w:rsidRPr="00D6101B">
        <w:rPr>
          <w:color w:val="000000"/>
        </w:rPr>
        <w:t>Huxeley, Sandars and Werner</w:t>
      </w:r>
      <w:r>
        <w:rPr>
          <w:color w:val="000000"/>
        </w:rPr>
        <w:t xml:space="preserve"> </w:t>
      </w:r>
      <w:r w:rsidRPr="00D6101B">
        <w:rPr>
          <w:color w:val="000000"/>
        </w:rPr>
        <w:t>1958/1959</w:t>
      </w:r>
      <w:r>
        <w:rPr>
          <w:color w:val="000000"/>
        </w:rPr>
        <w:t>)</w:t>
      </w:r>
    </w:p>
    <w:p w14:paraId="3D8F0B71" w14:textId="77777777" w:rsidR="001A4F1A" w:rsidRPr="00D6101B" w:rsidRDefault="001A4F1A" w:rsidP="00E858EF">
      <w:pPr>
        <w:pStyle w:val="Paragrafoelenco"/>
        <w:numPr>
          <w:ilvl w:val="0"/>
          <w:numId w:val="37"/>
        </w:numPr>
        <w:suppressAutoHyphens/>
        <w:autoSpaceDE w:val="0"/>
        <w:autoSpaceDN w:val="0"/>
        <w:adjustRightInd w:val="0"/>
        <w:rPr>
          <w:color w:val="000000"/>
        </w:rPr>
      </w:pPr>
      <w:r w:rsidRPr="00D6101B">
        <w:rPr>
          <w:color w:val="000000"/>
        </w:rPr>
        <w:t xml:space="preserve">Zafer Papoura </w:t>
      </w:r>
      <w:r>
        <w:rPr>
          <w:color w:val="000000"/>
        </w:rPr>
        <w:t>T</w:t>
      </w:r>
      <w:r w:rsidRPr="00D6101B">
        <w:rPr>
          <w:color w:val="000000"/>
        </w:rPr>
        <w:t>omb 11, female primary deposition on the floor along with another primary burial within a larnax</w:t>
      </w:r>
      <w:r>
        <w:rPr>
          <w:color w:val="000000"/>
        </w:rPr>
        <w:t>,</w:t>
      </w:r>
      <w:r w:rsidRPr="00D6101B">
        <w:rPr>
          <w:color w:val="000000"/>
        </w:rPr>
        <w:t xml:space="preserve"> for which there </w:t>
      </w:r>
      <w:r>
        <w:rPr>
          <w:color w:val="000000"/>
        </w:rPr>
        <w:t>is</w:t>
      </w:r>
      <w:r w:rsidRPr="00D6101B">
        <w:rPr>
          <w:color w:val="000000"/>
        </w:rPr>
        <w:t xml:space="preserve"> no information</w:t>
      </w:r>
      <w:r>
        <w:rPr>
          <w:color w:val="000000"/>
        </w:rPr>
        <w:t xml:space="preserve"> (Evans 1906)</w:t>
      </w:r>
    </w:p>
    <w:p w14:paraId="33B6BA54" w14:textId="77777777" w:rsidR="001A4F1A" w:rsidRPr="00D6101B" w:rsidRDefault="001A4F1A" w:rsidP="00E858EF">
      <w:pPr>
        <w:suppressAutoHyphens/>
        <w:autoSpaceDE w:val="0"/>
        <w:autoSpaceDN w:val="0"/>
        <w:adjustRightInd w:val="0"/>
        <w:ind w:left="51"/>
        <w:rPr>
          <w:color w:val="000000"/>
        </w:rPr>
      </w:pPr>
      <w:r>
        <w:rPr>
          <w:color w:val="000000"/>
        </w:rPr>
        <w:t>Regarding</w:t>
      </w:r>
      <w:r w:rsidRPr="00D6101B">
        <w:rPr>
          <w:color w:val="000000"/>
        </w:rPr>
        <w:t xml:space="preserve"> age</w:t>
      </w:r>
      <w:r>
        <w:rPr>
          <w:color w:val="000000"/>
        </w:rPr>
        <w:t>,</w:t>
      </w:r>
      <w:r w:rsidRPr="00D6101B">
        <w:rPr>
          <w:color w:val="000000"/>
        </w:rPr>
        <w:t xml:space="preserve"> </w:t>
      </w:r>
      <w:r>
        <w:rPr>
          <w:color w:val="000000"/>
        </w:rPr>
        <w:t>there is the additional following</w:t>
      </w:r>
      <w:r w:rsidRPr="00D6101B">
        <w:rPr>
          <w:color w:val="000000"/>
        </w:rPr>
        <w:t xml:space="preserve"> information from</w:t>
      </w:r>
      <w:r>
        <w:rPr>
          <w:color w:val="000000"/>
        </w:rPr>
        <w:t xml:space="preserve"> the</w:t>
      </w:r>
      <w:r w:rsidRPr="00D6101B">
        <w:rPr>
          <w:color w:val="000000"/>
        </w:rPr>
        <w:t xml:space="preserve"> other two tombs:</w:t>
      </w:r>
    </w:p>
    <w:p w14:paraId="0416FEE9" w14:textId="77777777" w:rsidR="001A4F1A" w:rsidRPr="00D6101B" w:rsidRDefault="001A4F1A" w:rsidP="00E858EF">
      <w:pPr>
        <w:pStyle w:val="Paragrafoelenco"/>
        <w:numPr>
          <w:ilvl w:val="0"/>
          <w:numId w:val="36"/>
        </w:numPr>
        <w:suppressAutoHyphens/>
        <w:autoSpaceDE w:val="0"/>
        <w:autoSpaceDN w:val="0"/>
        <w:adjustRightInd w:val="0"/>
        <w:rPr>
          <w:color w:val="000000"/>
        </w:rPr>
      </w:pPr>
      <w:r w:rsidRPr="00D6101B">
        <w:rPr>
          <w:color w:val="000000"/>
        </w:rPr>
        <w:t xml:space="preserve">A chamber tomb at Lower Gypsades where three child burials and an adult </w:t>
      </w:r>
      <w:r>
        <w:rPr>
          <w:color w:val="000000"/>
        </w:rPr>
        <w:t>were</w:t>
      </w:r>
      <w:r w:rsidRPr="00D6101B">
        <w:rPr>
          <w:color w:val="000000"/>
        </w:rPr>
        <w:t xml:space="preserve"> found between the secondary burials within </w:t>
      </w:r>
      <w:r>
        <w:rPr>
          <w:color w:val="000000"/>
        </w:rPr>
        <w:t>L</w:t>
      </w:r>
      <w:r w:rsidRPr="00D6101B">
        <w:rPr>
          <w:color w:val="000000"/>
        </w:rPr>
        <w:t>arnax IV</w:t>
      </w:r>
      <w:r>
        <w:rPr>
          <w:color w:val="000000"/>
        </w:rPr>
        <w:t>, which</w:t>
      </w:r>
      <w:r w:rsidRPr="00D6101B">
        <w:rPr>
          <w:color w:val="000000"/>
        </w:rPr>
        <w:t xml:space="preserve"> belong</w:t>
      </w:r>
      <w:r>
        <w:rPr>
          <w:color w:val="000000"/>
        </w:rPr>
        <w:t>s</w:t>
      </w:r>
      <w:r w:rsidRPr="00D6101B">
        <w:rPr>
          <w:color w:val="000000"/>
        </w:rPr>
        <w:t xml:space="preserve"> to the </w:t>
      </w:r>
      <w:r>
        <w:rPr>
          <w:color w:val="000000"/>
        </w:rPr>
        <w:t>final</w:t>
      </w:r>
      <w:r w:rsidRPr="00D6101B">
        <w:rPr>
          <w:color w:val="000000"/>
        </w:rPr>
        <w:t xml:space="preserve"> phase of use of the tomb</w:t>
      </w:r>
      <w:r>
        <w:rPr>
          <w:color w:val="000000"/>
        </w:rPr>
        <w:t>,</w:t>
      </w:r>
      <w:r w:rsidRPr="00D6101B">
        <w:rPr>
          <w:color w:val="000000"/>
        </w:rPr>
        <w:t xml:space="preserve"> along with </w:t>
      </w:r>
      <w:r>
        <w:rPr>
          <w:color w:val="000000"/>
        </w:rPr>
        <w:t>L</w:t>
      </w:r>
      <w:r w:rsidRPr="00D6101B">
        <w:rPr>
          <w:color w:val="000000"/>
        </w:rPr>
        <w:t>arnax III</w:t>
      </w:r>
      <w:r>
        <w:rPr>
          <w:color w:val="000000"/>
        </w:rPr>
        <w:t>,</w:t>
      </w:r>
      <w:r w:rsidRPr="00D6101B">
        <w:rPr>
          <w:color w:val="000000"/>
        </w:rPr>
        <w:t xml:space="preserve"> </w:t>
      </w:r>
      <w:r>
        <w:rPr>
          <w:color w:val="000000"/>
        </w:rPr>
        <w:t>in which</w:t>
      </w:r>
      <w:r w:rsidRPr="00D6101B">
        <w:rPr>
          <w:color w:val="000000"/>
        </w:rPr>
        <w:t xml:space="preserve"> an adult individual was found</w:t>
      </w:r>
    </w:p>
    <w:p w14:paraId="013DF4AF" w14:textId="0503D9EA" w:rsidR="001A4F1A" w:rsidRPr="00D6101B" w:rsidRDefault="001A4F1A" w:rsidP="00E858EF">
      <w:pPr>
        <w:pStyle w:val="Paragrafoelenco"/>
        <w:numPr>
          <w:ilvl w:val="0"/>
          <w:numId w:val="36"/>
        </w:numPr>
        <w:suppressAutoHyphens/>
        <w:autoSpaceDE w:val="0"/>
        <w:autoSpaceDN w:val="0"/>
        <w:adjustRightInd w:val="0"/>
        <w:rPr>
          <w:color w:val="000000"/>
        </w:rPr>
      </w:pPr>
      <w:r w:rsidRPr="00D6101B">
        <w:rPr>
          <w:color w:val="000000"/>
        </w:rPr>
        <w:t xml:space="preserve">At Upper Gypsades </w:t>
      </w:r>
      <w:r>
        <w:rPr>
          <w:color w:val="000000"/>
        </w:rPr>
        <w:t>T</w:t>
      </w:r>
      <w:r w:rsidRPr="00D6101B">
        <w:rPr>
          <w:color w:val="000000"/>
        </w:rPr>
        <w:t>omb XVI on the floor</w:t>
      </w:r>
      <w:r>
        <w:rPr>
          <w:color w:val="000000"/>
        </w:rPr>
        <w:t>,</w:t>
      </w:r>
      <w:r w:rsidRPr="00D6101B">
        <w:rPr>
          <w:color w:val="000000"/>
        </w:rPr>
        <w:t xml:space="preserve"> where the remains of two young individuals</w:t>
      </w:r>
      <w:r>
        <w:rPr>
          <w:color w:val="000000"/>
        </w:rPr>
        <w:t xml:space="preserve"> were found</w:t>
      </w:r>
      <w:r w:rsidR="003A3731">
        <w:rPr>
          <w:color w:val="000000"/>
        </w:rPr>
        <w:t>.</w:t>
      </w:r>
    </w:p>
    <w:p w14:paraId="40E08E5A" w14:textId="77777777" w:rsidR="001A4F1A" w:rsidRPr="00D6101B" w:rsidRDefault="001A4F1A" w:rsidP="00E858EF">
      <w:pPr>
        <w:suppressAutoHyphens/>
      </w:pPr>
    </w:p>
    <w:p w14:paraId="01C1F60E" w14:textId="7818B10B" w:rsidR="001A4F1A" w:rsidRDefault="001A4F1A" w:rsidP="001806F8">
      <w:pPr>
        <w:suppressAutoHyphens/>
        <w:autoSpaceDE w:val="0"/>
        <w:autoSpaceDN w:val="0"/>
        <w:adjustRightInd w:val="0"/>
        <w:jc w:val="left"/>
        <w:rPr>
          <w:color w:val="000000"/>
        </w:rPr>
      </w:pPr>
      <w:r>
        <w:rPr>
          <w:noProof/>
          <w:lang w:val="it-IT"/>
        </w:rPr>
        <w:drawing>
          <wp:inline distT="0" distB="0" distL="0" distR="0" wp14:anchorId="448EB38D" wp14:editId="076A2075">
            <wp:extent cx="4680000" cy="2520000"/>
            <wp:effectExtent l="0" t="0" r="6350" b="13970"/>
            <wp:docPr id="75" name="Gra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909307C" w14:textId="7FA8A675" w:rsidR="001A4F1A" w:rsidRDefault="001A4F1A" w:rsidP="00E858EF">
      <w:pPr>
        <w:pStyle w:val="Didascalia"/>
        <w:suppressAutoHyphens/>
      </w:pPr>
      <w:bookmarkStart w:id="713" w:name="_Toc520212349"/>
      <w:r>
        <w:t>Figure 4-12</w:t>
      </w:r>
      <w:r w:rsidR="003C4641">
        <w:t>.</w:t>
      </w:r>
      <w:r>
        <w:t xml:space="preserve"> Percentage of tombs with information </w:t>
      </w:r>
      <w:r w:rsidR="00466FB3">
        <w:t xml:space="preserve">on </w:t>
      </w:r>
      <w:r>
        <w:t>gender and age</w:t>
      </w:r>
      <w:r w:rsidR="00466FB3">
        <w:t>,</w:t>
      </w:r>
      <w:r>
        <w:t xml:space="preserve"> Knossos </w:t>
      </w:r>
      <w:bookmarkEnd w:id="713"/>
      <w:r w:rsidR="00466FB3">
        <w:t>area</w:t>
      </w:r>
    </w:p>
    <w:p w14:paraId="4095BDC5" w14:textId="77777777" w:rsidR="001A4F1A" w:rsidRPr="00B11765" w:rsidRDefault="001A4F1A" w:rsidP="00E858EF">
      <w:pPr>
        <w:suppressAutoHyphens/>
      </w:pPr>
    </w:p>
    <w:p w14:paraId="4B9E0C4B" w14:textId="664CFD50" w:rsidR="001A4F1A" w:rsidRDefault="001A4F1A" w:rsidP="001806F8">
      <w:pPr>
        <w:suppressAutoHyphens/>
        <w:autoSpaceDE w:val="0"/>
        <w:autoSpaceDN w:val="0"/>
        <w:adjustRightInd w:val="0"/>
        <w:rPr>
          <w:color w:val="000000"/>
        </w:rPr>
      </w:pPr>
      <w:r>
        <w:rPr>
          <w:noProof/>
          <w:lang w:val="it-IT"/>
        </w:rPr>
        <w:drawing>
          <wp:inline distT="0" distB="0" distL="0" distR="0" wp14:anchorId="3B6DE1E9" wp14:editId="53F11692">
            <wp:extent cx="4680000" cy="2520000"/>
            <wp:effectExtent l="0" t="0" r="6350" b="13970"/>
            <wp:docPr id="76" name="Gra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94A6CB8" w14:textId="5B2CE2FD" w:rsidR="001A4F1A" w:rsidRPr="00D6101B" w:rsidRDefault="001A4F1A" w:rsidP="00E858EF">
      <w:pPr>
        <w:pStyle w:val="Didascalia"/>
        <w:suppressAutoHyphens/>
      </w:pPr>
      <w:bookmarkStart w:id="714" w:name="_Toc520212350"/>
      <w:r>
        <w:t>Figure 4-13</w:t>
      </w:r>
      <w:r w:rsidR="000616EE">
        <w:t>.</w:t>
      </w:r>
      <w:r>
        <w:t xml:space="preserve"> Percentage of individuals with information </w:t>
      </w:r>
      <w:r w:rsidR="00466FB3">
        <w:t xml:space="preserve">on </w:t>
      </w:r>
      <w:r>
        <w:t>gender and age</w:t>
      </w:r>
      <w:r w:rsidR="00466FB3">
        <w:t>,</w:t>
      </w:r>
      <w:r>
        <w:t xml:space="preserve"> Knossos </w:t>
      </w:r>
      <w:bookmarkEnd w:id="714"/>
      <w:r w:rsidR="00466FB3">
        <w:t>area</w:t>
      </w:r>
    </w:p>
    <w:p w14:paraId="07398FA9" w14:textId="77777777" w:rsidR="001A4F1A" w:rsidRDefault="001A4F1A" w:rsidP="00E858EF">
      <w:pPr>
        <w:suppressAutoHyphens/>
        <w:autoSpaceDE w:val="0"/>
        <w:autoSpaceDN w:val="0"/>
        <w:adjustRightInd w:val="0"/>
        <w:rPr>
          <w:color w:val="000000"/>
        </w:rPr>
      </w:pPr>
    </w:p>
    <w:p w14:paraId="795609CB" w14:textId="04660E3A" w:rsidR="001A4F1A" w:rsidRPr="00D6101B" w:rsidRDefault="001A4F1A" w:rsidP="00E858EF">
      <w:pPr>
        <w:pStyle w:val="Testofumetto"/>
        <w:suppressAutoHyphens/>
      </w:pPr>
      <w:bookmarkStart w:id="715" w:name="_Toc520212586"/>
      <w:r>
        <w:t>Table 4-14</w:t>
      </w:r>
      <w:r w:rsidR="00472FA5">
        <w:t>.</w:t>
      </w:r>
      <w:r>
        <w:t xml:space="preserve"> </w:t>
      </w:r>
      <w:r w:rsidRPr="00BC186A">
        <w:t>Number of skeletal remains</w:t>
      </w:r>
      <w:r>
        <w:t xml:space="preserve"> with</w:t>
      </w:r>
      <w:r w:rsidRPr="00BC186A">
        <w:t xml:space="preserve"> information </w:t>
      </w:r>
      <w:r w:rsidR="00466FB3">
        <w:t>on</w:t>
      </w:r>
      <w:r w:rsidR="00466FB3" w:rsidRPr="00BC186A">
        <w:t xml:space="preserve"> </w:t>
      </w:r>
      <w:r w:rsidRPr="00BC186A">
        <w:t>gender</w:t>
      </w:r>
      <w:r w:rsidR="00466FB3">
        <w:t>,</w:t>
      </w:r>
      <w:r>
        <w:t xml:space="preserve"> Knossos area</w:t>
      </w:r>
      <w:bookmarkEnd w:id="71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417"/>
        <w:gridCol w:w="1042"/>
        <w:gridCol w:w="1188"/>
      </w:tblGrid>
      <w:tr w:rsidR="001A4F1A" w:rsidRPr="001806F8" w14:paraId="21A472BE" w14:textId="77777777" w:rsidTr="001806F8">
        <w:tc>
          <w:tcPr>
            <w:tcW w:w="3544" w:type="dxa"/>
          </w:tcPr>
          <w:p w14:paraId="74C29B4B" w14:textId="252D12E5" w:rsidR="001A4F1A" w:rsidRPr="001806F8" w:rsidRDefault="001806F8" w:rsidP="00E858EF">
            <w:pPr>
              <w:suppressAutoHyphens/>
              <w:autoSpaceDE w:val="0"/>
              <w:autoSpaceDN w:val="0"/>
              <w:adjustRightInd w:val="0"/>
              <w:jc w:val="center"/>
              <w:rPr>
                <w:color w:val="000000"/>
                <w:sz w:val="20"/>
                <w:szCs w:val="20"/>
              </w:rPr>
            </w:pPr>
            <w:r w:rsidRPr="001806F8">
              <w:rPr>
                <w:color w:val="000000"/>
                <w:sz w:val="20"/>
                <w:szCs w:val="20"/>
              </w:rPr>
              <w:t>Total number of skeletal remains</w:t>
            </w:r>
          </w:p>
        </w:tc>
        <w:tc>
          <w:tcPr>
            <w:tcW w:w="1417" w:type="dxa"/>
          </w:tcPr>
          <w:p w14:paraId="68CC7179" w14:textId="5A7A480D" w:rsidR="001A4F1A" w:rsidRPr="001806F8" w:rsidRDefault="001806F8" w:rsidP="00E858EF">
            <w:pPr>
              <w:suppressAutoHyphens/>
              <w:autoSpaceDE w:val="0"/>
              <w:autoSpaceDN w:val="0"/>
              <w:adjustRightInd w:val="0"/>
              <w:jc w:val="center"/>
              <w:rPr>
                <w:color w:val="000000"/>
                <w:sz w:val="20"/>
                <w:szCs w:val="20"/>
              </w:rPr>
            </w:pPr>
            <w:r w:rsidRPr="001806F8">
              <w:rPr>
                <w:color w:val="000000"/>
                <w:sz w:val="20"/>
                <w:szCs w:val="20"/>
              </w:rPr>
              <w:t>No info</w:t>
            </w:r>
          </w:p>
        </w:tc>
        <w:tc>
          <w:tcPr>
            <w:tcW w:w="1042" w:type="dxa"/>
          </w:tcPr>
          <w:p w14:paraId="062A1816" w14:textId="2C1FFC89" w:rsidR="001A4F1A" w:rsidRPr="001806F8" w:rsidRDefault="001806F8" w:rsidP="00E858EF">
            <w:pPr>
              <w:suppressAutoHyphens/>
              <w:autoSpaceDE w:val="0"/>
              <w:autoSpaceDN w:val="0"/>
              <w:adjustRightInd w:val="0"/>
              <w:jc w:val="center"/>
              <w:rPr>
                <w:color w:val="000000"/>
                <w:sz w:val="20"/>
                <w:szCs w:val="20"/>
              </w:rPr>
            </w:pPr>
            <w:r w:rsidRPr="001806F8">
              <w:rPr>
                <w:color w:val="000000"/>
                <w:sz w:val="20"/>
                <w:szCs w:val="20"/>
              </w:rPr>
              <w:t>Male</w:t>
            </w:r>
          </w:p>
        </w:tc>
        <w:tc>
          <w:tcPr>
            <w:tcW w:w="1188" w:type="dxa"/>
          </w:tcPr>
          <w:p w14:paraId="17EAB167" w14:textId="2FC51780" w:rsidR="001A4F1A" w:rsidRPr="001806F8" w:rsidRDefault="001806F8" w:rsidP="00E858EF">
            <w:pPr>
              <w:suppressAutoHyphens/>
              <w:autoSpaceDE w:val="0"/>
              <w:autoSpaceDN w:val="0"/>
              <w:adjustRightInd w:val="0"/>
              <w:jc w:val="center"/>
              <w:rPr>
                <w:color w:val="000000"/>
                <w:sz w:val="20"/>
                <w:szCs w:val="20"/>
              </w:rPr>
            </w:pPr>
            <w:r w:rsidRPr="001806F8">
              <w:rPr>
                <w:color w:val="000000"/>
                <w:sz w:val="20"/>
                <w:szCs w:val="20"/>
              </w:rPr>
              <w:t>Female</w:t>
            </w:r>
          </w:p>
        </w:tc>
      </w:tr>
      <w:tr w:rsidR="001A4F1A" w:rsidRPr="001806F8" w14:paraId="369D6632" w14:textId="77777777" w:rsidTr="001806F8">
        <w:tc>
          <w:tcPr>
            <w:tcW w:w="3544" w:type="dxa"/>
          </w:tcPr>
          <w:p w14:paraId="3CD2B0F3" w14:textId="77777777" w:rsidR="001A4F1A" w:rsidRPr="001806F8" w:rsidRDefault="001A4F1A" w:rsidP="00E858EF">
            <w:pPr>
              <w:suppressAutoHyphens/>
              <w:autoSpaceDE w:val="0"/>
              <w:autoSpaceDN w:val="0"/>
              <w:adjustRightInd w:val="0"/>
              <w:jc w:val="center"/>
              <w:rPr>
                <w:color w:val="000000"/>
                <w:sz w:val="20"/>
                <w:szCs w:val="20"/>
              </w:rPr>
            </w:pPr>
            <w:r w:rsidRPr="001806F8">
              <w:rPr>
                <w:color w:val="000000"/>
                <w:sz w:val="20"/>
                <w:szCs w:val="20"/>
              </w:rPr>
              <w:t>88</w:t>
            </w:r>
          </w:p>
        </w:tc>
        <w:tc>
          <w:tcPr>
            <w:tcW w:w="1417" w:type="dxa"/>
          </w:tcPr>
          <w:p w14:paraId="79DB3084" w14:textId="77777777" w:rsidR="001A4F1A" w:rsidRPr="001806F8" w:rsidRDefault="001A4F1A" w:rsidP="00E858EF">
            <w:pPr>
              <w:suppressAutoHyphens/>
              <w:autoSpaceDE w:val="0"/>
              <w:autoSpaceDN w:val="0"/>
              <w:adjustRightInd w:val="0"/>
              <w:jc w:val="center"/>
              <w:rPr>
                <w:color w:val="000000"/>
                <w:sz w:val="20"/>
                <w:szCs w:val="20"/>
              </w:rPr>
            </w:pPr>
            <w:r w:rsidRPr="001806F8">
              <w:rPr>
                <w:color w:val="000000"/>
                <w:sz w:val="20"/>
                <w:szCs w:val="20"/>
              </w:rPr>
              <w:t>84</w:t>
            </w:r>
          </w:p>
        </w:tc>
        <w:tc>
          <w:tcPr>
            <w:tcW w:w="1042" w:type="dxa"/>
          </w:tcPr>
          <w:p w14:paraId="68E13AC7" w14:textId="77777777" w:rsidR="001A4F1A" w:rsidRPr="001806F8" w:rsidRDefault="001A4F1A" w:rsidP="00E858EF">
            <w:pPr>
              <w:suppressAutoHyphens/>
              <w:autoSpaceDE w:val="0"/>
              <w:autoSpaceDN w:val="0"/>
              <w:adjustRightInd w:val="0"/>
              <w:jc w:val="center"/>
              <w:rPr>
                <w:color w:val="000000"/>
                <w:sz w:val="20"/>
                <w:szCs w:val="20"/>
              </w:rPr>
            </w:pPr>
            <w:r w:rsidRPr="001806F8">
              <w:rPr>
                <w:color w:val="000000"/>
                <w:sz w:val="20"/>
                <w:szCs w:val="20"/>
              </w:rPr>
              <w:t>1</w:t>
            </w:r>
          </w:p>
        </w:tc>
        <w:tc>
          <w:tcPr>
            <w:tcW w:w="1188" w:type="dxa"/>
          </w:tcPr>
          <w:p w14:paraId="2398C3D4" w14:textId="77777777" w:rsidR="001A4F1A" w:rsidRPr="001806F8" w:rsidRDefault="001A4F1A" w:rsidP="00E858EF">
            <w:pPr>
              <w:suppressAutoHyphens/>
              <w:autoSpaceDE w:val="0"/>
              <w:autoSpaceDN w:val="0"/>
              <w:adjustRightInd w:val="0"/>
              <w:jc w:val="center"/>
              <w:rPr>
                <w:color w:val="000000"/>
                <w:sz w:val="20"/>
                <w:szCs w:val="20"/>
              </w:rPr>
            </w:pPr>
            <w:r w:rsidRPr="001806F8">
              <w:rPr>
                <w:color w:val="000000"/>
                <w:sz w:val="20"/>
                <w:szCs w:val="20"/>
              </w:rPr>
              <w:t>3</w:t>
            </w:r>
          </w:p>
        </w:tc>
      </w:tr>
    </w:tbl>
    <w:p w14:paraId="4F665F42" w14:textId="77777777" w:rsidR="001A4F1A" w:rsidRDefault="001A4F1A" w:rsidP="00E858EF">
      <w:pPr>
        <w:suppressAutoHyphens/>
        <w:autoSpaceDE w:val="0"/>
        <w:autoSpaceDN w:val="0"/>
        <w:adjustRightInd w:val="0"/>
        <w:rPr>
          <w:color w:val="000000"/>
        </w:rPr>
      </w:pPr>
    </w:p>
    <w:p w14:paraId="256151AD" w14:textId="5A3C87E2" w:rsidR="001A4F1A" w:rsidRPr="00F46A41" w:rsidRDefault="001A4F1A" w:rsidP="00F46A41">
      <w:pPr>
        <w:pStyle w:val="Testofumetto"/>
      </w:pPr>
      <w:bookmarkStart w:id="716" w:name="_Toc520212587"/>
      <w:r w:rsidRPr="00F46A41">
        <w:t>Table 4-15</w:t>
      </w:r>
      <w:r w:rsidR="00472FA5">
        <w:t>.</w:t>
      </w:r>
      <w:r w:rsidRPr="00F46A41">
        <w:t xml:space="preserve"> Number of skeletal remains with information </w:t>
      </w:r>
      <w:r w:rsidR="00466FB3">
        <w:t>on</w:t>
      </w:r>
      <w:r w:rsidR="00466FB3" w:rsidRPr="00F46A41">
        <w:t xml:space="preserve"> </w:t>
      </w:r>
      <w:r w:rsidRPr="00F46A41">
        <w:t>age</w:t>
      </w:r>
      <w:r w:rsidR="00466FB3">
        <w:t>,</w:t>
      </w:r>
      <w:r w:rsidRPr="00F46A41">
        <w:t xml:space="preserve"> Knossos area</w:t>
      </w:r>
      <w:bookmarkEnd w:id="716"/>
    </w:p>
    <w:tbl>
      <w:tblPr>
        <w:tblW w:w="83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4"/>
        <w:gridCol w:w="1018"/>
        <w:gridCol w:w="1134"/>
        <w:gridCol w:w="1734"/>
        <w:gridCol w:w="1418"/>
        <w:gridCol w:w="1309"/>
      </w:tblGrid>
      <w:tr w:rsidR="001A4F1A" w:rsidRPr="001806F8" w14:paraId="2000C9B2" w14:textId="77777777" w:rsidTr="001806F8">
        <w:tc>
          <w:tcPr>
            <w:tcW w:w="1784" w:type="dxa"/>
          </w:tcPr>
          <w:p w14:paraId="21872680" w14:textId="199EE6E0" w:rsidR="001A4F1A" w:rsidRPr="001806F8" w:rsidRDefault="001806F8" w:rsidP="001806F8">
            <w:pPr>
              <w:suppressAutoHyphens/>
              <w:autoSpaceDE w:val="0"/>
              <w:autoSpaceDN w:val="0"/>
              <w:adjustRightInd w:val="0"/>
              <w:jc w:val="center"/>
              <w:rPr>
                <w:b/>
                <w:color w:val="000000"/>
                <w:sz w:val="20"/>
              </w:rPr>
            </w:pPr>
            <w:r w:rsidRPr="001806F8">
              <w:rPr>
                <w:color w:val="000000"/>
                <w:sz w:val="20"/>
              </w:rPr>
              <w:t>Total number of skeletal remains</w:t>
            </w:r>
          </w:p>
        </w:tc>
        <w:tc>
          <w:tcPr>
            <w:tcW w:w="1018" w:type="dxa"/>
          </w:tcPr>
          <w:p w14:paraId="58DCCF5F" w14:textId="6398C4DA" w:rsidR="001A4F1A" w:rsidRPr="001806F8" w:rsidRDefault="001806F8" w:rsidP="001806F8">
            <w:pPr>
              <w:suppressAutoHyphens/>
              <w:autoSpaceDE w:val="0"/>
              <w:autoSpaceDN w:val="0"/>
              <w:adjustRightInd w:val="0"/>
              <w:jc w:val="center"/>
              <w:rPr>
                <w:color w:val="000000"/>
                <w:sz w:val="20"/>
              </w:rPr>
            </w:pPr>
            <w:r w:rsidRPr="001806F8">
              <w:rPr>
                <w:color w:val="000000"/>
                <w:sz w:val="20"/>
              </w:rPr>
              <w:t>No info</w:t>
            </w:r>
          </w:p>
        </w:tc>
        <w:tc>
          <w:tcPr>
            <w:tcW w:w="1134" w:type="dxa"/>
          </w:tcPr>
          <w:p w14:paraId="2A0C454E" w14:textId="78371CD2" w:rsidR="001A4F1A" w:rsidRPr="001806F8" w:rsidRDefault="001806F8" w:rsidP="001806F8">
            <w:pPr>
              <w:suppressAutoHyphens/>
              <w:autoSpaceDE w:val="0"/>
              <w:autoSpaceDN w:val="0"/>
              <w:adjustRightInd w:val="0"/>
              <w:jc w:val="center"/>
              <w:rPr>
                <w:color w:val="000000"/>
                <w:sz w:val="20"/>
              </w:rPr>
            </w:pPr>
            <w:r w:rsidRPr="001806F8">
              <w:rPr>
                <w:color w:val="000000"/>
                <w:sz w:val="20"/>
              </w:rPr>
              <w:t>Adult</w:t>
            </w:r>
          </w:p>
        </w:tc>
        <w:tc>
          <w:tcPr>
            <w:tcW w:w="1734" w:type="dxa"/>
          </w:tcPr>
          <w:p w14:paraId="33CB9A5A" w14:textId="08732545" w:rsidR="001A4F1A" w:rsidRPr="001806F8" w:rsidRDefault="001806F8" w:rsidP="001806F8">
            <w:pPr>
              <w:suppressAutoHyphens/>
              <w:autoSpaceDE w:val="0"/>
              <w:autoSpaceDN w:val="0"/>
              <w:adjustRightInd w:val="0"/>
              <w:jc w:val="center"/>
              <w:rPr>
                <w:color w:val="000000"/>
                <w:sz w:val="20"/>
              </w:rPr>
            </w:pPr>
            <w:r w:rsidRPr="001806F8">
              <w:rPr>
                <w:color w:val="000000"/>
                <w:sz w:val="20"/>
              </w:rPr>
              <w:t>Young/</w:t>
            </w:r>
          </w:p>
          <w:p w14:paraId="24ED4072" w14:textId="1FD6D0BF" w:rsidR="001A4F1A" w:rsidRPr="001806F8" w:rsidRDefault="001806F8" w:rsidP="001806F8">
            <w:pPr>
              <w:suppressAutoHyphens/>
              <w:autoSpaceDE w:val="0"/>
              <w:autoSpaceDN w:val="0"/>
              <w:adjustRightInd w:val="0"/>
              <w:jc w:val="center"/>
              <w:rPr>
                <w:color w:val="000000"/>
                <w:sz w:val="20"/>
              </w:rPr>
            </w:pPr>
            <w:r w:rsidRPr="001806F8">
              <w:rPr>
                <w:color w:val="000000"/>
                <w:sz w:val="20"/>
              </w:rPr>
              <w:t>Adolescent</w:t>
            </w:r>
          </w:p>
        </w:tc>
        <w:tc>
          <w:tcPr>
            <w:tcW w:w="1418" w:type="dxa"/>
          </w:tcPr>
          <w:p w14:paraId="3CCE0F69" w14:textId="6473347D" w:rsidR="001A4F1A" w:rsidRPr="001806F8" w:rsidRDefault="001806F8" w:rsidP="001806F8">
            <w:pPr>
              <w:suppressAutoHyphens/>
              <w:autoSpaceDE w:val="0"/>
              <w:autoSpaceDN w:val="0"/>
              <w:adjustRightInd w:val="0"/>
              <w:jc w:val="center"/>
              <w:rPr>
                <w:color w:val="000000"/>
                <w:sz w:val="20"/>
              </w:rPr>
            </w:pPr>
            <w:r w:rsidRPr="001806F8">
              <w:rPr>
                <w:color w:val="000000"/>
                <w:sz w:val="20"/>
              </w:rPr>
              <w:t>Child</w:t>
            </w:r>
          </w:p>
        </w:tc>
        <w:tc>
          <w:tcPr>
            <w:tcW w:w="1309" w:type="dxa"/>
          </w:tcPr>
          <w:p w14:paraId="4831F940" w14:textId="5E6B5393" w:rsidR="001A4F1A" w:rsidRPr="001806F8" w:rsidRDefault="001806F8" w:rsidP="001806F8">
            <w:pPr>
              <w:suppressAutoHyphens/>
              <w:autoSpaceDE w:val="0"/>
              <w:autoSpaceDN w:val="0"/>
              <w:adjustRightInd w:val="0"/>
              <w:jc w:val="center"/>
              <w:rPr>
                <w:color w:val="000000"/>
                <w:sz w:val="20"/>
              </w:rPr>
            </w:pPr>
            <w:r w:rsidRPr="001806F8">
              <w:rPr>
                <w:color w:val="000000"/>
                <w:sz w:val="20"/>
              </w:rPr>
              <w:t>Baby/</w:t>
            </w:r>
          </w:p>
          <w:p w14:paraId="4033D861" w14:textId="71F7AA12" w:rsidR="001A4F1A" w:rsidRPr="001806F8" w:rsidRDefault="001806F8" w:rsidP="001806F8">
            <w:pPr>
              <w:suppressAutoHyphens/>
              <w:autoSpaceDE w:val="0"/>
              <w:autoSpaceDN w:val="0"/>
              <w:adjustRightInd w:val="0"/>
              <w:jc w:val="center"/>
              <w:rPr>
                <w:color w:val="000000"/>
                <w:sz w:val="20"/>
              </w:rPr>
            </w:pPr>
            <w:r w:rsidRPr="001806F8">
              <w:rPr>
                <w:color w:val="000000"/>
                <w:sz w:val="20"/>
              </w:rPr>
              <w:t>Embryo</w:t>
            </w:r>
          </w:p>
        </w:tc>
      </w:tr>
      <w:tr w:rsidR="001A4F1A" w:rsidRPr="001806F8" w14:paraId="2A3806F8" w14:textId="77777777" w:rsidTr="001806F8">
        <w:tc>
          <w:tcPr>
            <w:tcW w:w="1784" w:type="dxa"/>
          </w:tcPr>
          <w:p w14:paraId="59467DF1" w14:textId="77777777" w:rsidR="001A4F1A" w:rsidRPr="001806F8" w:rsidRDefault="001A4F1A" w:rsidP="001806F8">
            <w:pPr>
              <w:suppressAutoHyphens/>
              <w:autoSpaceDE w:val="0"/>
              <w:autoSpaceDN w:val="0"/>
              <w:adjustRightInd w:val="0"/>
              <w:jc w:val="center"/>
              <w:rPr>
                <w:color w:val="000000"/>
                <w:sz w:val="20"/>
              </w:rPr>
            </w:pPr>
            <w:r w:rsidRPr="001806F8">
              <w:rPr>
                <w:color w:val="000000"/>
                <w:sz w:val="20"/>
              </w:rPr>
              <w:t>88</w:t>
            </w:r>
          </w:p>
        </w:tc>
        <w:tc>
          <w:tcPr>
            <w:tcW w:w="1018" w:type="dxa"/>
          </w:tcPr>
          <w:p w14:paraId="005A5CF3" w14:textId="77777777" w:rsidR="001A4F1A" w:rsidRPr="001806F8" w:rsidRDefault="001A4F1A" w:rsidP="001806F8">
            <w:pPr>
              <w:suppressAutoHyphens/>
              <w:autoSpaceDE w:val="0"/>
              <w:autoSpaceDN w:val="0"/>
              <w:adjustRightInd w:val="0"/>
              <w:jc w:val="center"/>
              <w:rPr>
                <w:color w:val="000000"/>
                <w:sz w:val="20"/>
              </w:rPr>
            </w:pPr>
            <w:r w:rsidRPr="001806F8">
              <w:rPr>
                <w:color w:val="000000"/>
                <w:sz w:val="20"/>
              </w:rPr>
              <w:t>78</w:t>
            </w:r>
          </w:p>
        </w:tc>
        <w:tc>
          <w:tcPr>
            <w:tcW w:w="1134" w:type="dxa"/>
          </w:tcPr>
          <w:p w14:paraId="25AC73F3" w14:textId="77777777" w:rsidR="001A4F1A" w:rsidRPr="001806F8" w:rsidRDefault="001A4F1A" w:rsidP="001806F8">
            <w:pPr>
              <w:suppressAutoHyphens/>
              <w:autoSpaceDE w:val="0"/>
              <w:autoSpaceDN w:val="0"/>
              <w:adjustRightInd w:val="0"/>
              <w:jc w:val="center"/>
              <w:rPr>
                <w:color w:val="000000"/>
                <w:sz w:val="20"/>
              </w:rPr>
            </w:pPr>
            <w:r w:rsidRPr="001806F8">
              <w:rPr>
                <w:color w:val="000000"/>
                <w:sz w:val="20"/>
              </w:rPr>
              <w:t>4</w:t>
            </w:r>
          </w:p>
        </w:tc>
        <w:tc>
          <w:tcPr>
            <w:tcW w:w="1734" w:type="dxa"/>
          </w:tcPr>
          <w:p w14:paraId="63E9086B" w14:textId="77777777" w:rsidR="001A4F1A" w:rsidRPr="001806F8" w:rsidRDefault="001A4F1A" w:rsidP="001806F8">
            <w:pPr>
              <w:suppressAutoHyphens/>
              <w:autoSpaceDE w:val="0"/>
              <w:autoSpaceDN w:val="0"/>
              <w:adjustRightInd w:val="0"/>
              <w:jc w:val="center"/>
              <w:rPr>
                <w:color w:val="000000"/>
                <w:sz w:val="20"/>
              </w:rPr>
            </w:pPr>
            <w:r w:rsidRPr="001806F8">
              <w:rPr>
                <w:color w:val="000000"/>
                <w:sz w:val="20"/>
              </w:rPr>
              <w:t>4</w:t>
            </w:r>
          </w:p>
        </w:tc>
        <w:tc>
          <w:tcPr>
            <w:tcW w:w="1418" w:type="dxa"/>
          </w:tcPr>
          <w:p w14:paraId="7DF4E29C" w14:textId="77777777" w:rsidR="001A4F1A" w:rsidRPr="001806F8" w:rsidRDefault="001A4F1A" w:rsidP="001806F8">
            <w:pPr>
              <w:suppressAutoHyphens/>
              <w:autoSpaceDE w:val="0"/>
              <w:autoSpaceDN w:val="0"/>
              <w:adjustRightInd w:val="0"/>
              <w:jc w:val="center"/>
              <w:rPr>
                <w:color w:val="000000"/>
                <w:sz w:val="20"/>
              </w:rPr>
            </w:pPr>
            <w:r w:rsidRPr="001806F8">
              <w:rPr>
                <w:color w:val="000000"/>
                <w:sz w:val="20"/>
              </w:rPr>
              <w:t>2</w:t>
            </w:r>
          </w:p>
        </w:tc>
        <w:tc>
          <w:tcPr>
            <w:tcW w:w="1309" w:type="dxa"/>
          </w:tcPr>
          <w:p w14:paraId="36A67089" w14:textId="77777777" w:rsidR="001A4F1A" w:rsidRPr="001806F8" w:rsidRDefault="001A4F1A" w:rsidP="001806F8">
            <w:pPr>
              <w:suppressAutoHyphens/>
              <w:autoSpaceDE w:val="0"/>
              <w:autoSpaceDN w:val="0"/>
              <w:adjustRightInd w:val="0"/>
              <w:jc w:val="center"/>
              <w:rPr>
                <w:color w:val="000000"/>
                <w:sz w:val="20"/>
              </w:rPr>
            </w:pPr>
            <w:r w:rsidRPr="001806F8">
              <w:rPr>
                <w:color w:val="000000"/>
                <w:sz w:val="20"/>
              </w:rPr>
              <w:t>0</w:t>
            </w:r>
          </w:p>
        </w:tc>
      </w:tr>
    </w:tbl>
    <w:p w14:paraId="427031B5" w14:textId="77777777" w:rsidR="001A4F1A" w:rsidRPr="00D6101B" w:rsidRDefault="001A4F1A" w:rsidP="00E858EF">
      <w:pPr>
        <w:suppressAutoHyphens/>
        <w:autoSpaceDE w:val="0"/>
        <w:autoSpaceDN w:val="0"/>
        <w:adjustRightInd w:val="0"/>
        <w:rPr>
          <w:color w:val="000000"/>
        </w:rPr>
      </w:pPr>
    </w:p>
    <w:p w14:paraId="7646F6DA" w14:textId="178A9F50" w:rsidR="001A4F1A" w:rsidRDefault="001A4F1A" w:rsidP="00E858EF">
      <w:pPr>
        <w:suppressAutoHyphens/>
        <w:autoSpaceDE w:val="0"/>
        <w:autoSpaceDN w:val="0"/>
        <w:adjustRightInd w:val="0"/>
        <w:rPr>
          <w:color w:val="000000"/>
        </w:rPr>
      </w:pPr>
      <w:r w:rsidRPr="00D6101B">
        <w:rPr>
          <w:noProof/>
        </w:rPr>
        <w:t xml:space="preserve"> </w:t>
      </w:r>
      <w:r>
        <w:rPr>
          <w:noProof/>
          <w:lang w:val="it-IT"/>
        </w:rPr>
        <w:drawing>
          <wp:inline distT="0" distB="0" distL="0" distR="0" wp14:anchorId="37D4FC2A" wp14:editId="6F3899C6">
            <wp:extent cx="5398618" cy="2626156"/>
            <wp:effectExtent l="0" t="0" r="12065" b="3175"/>
            <wp:docPr id="48" name="Gra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B78FCAA" w14:textId="640CDA9A" w:rsidR="001A4F1A" w:rsidRDefault="001A4F1A" w:rsidP="00E858EF">
      <w:pPr>
        <w:pStyle w:val="Didascalia"/>
        <w:suppressAutoHyphens/>
      </w:pPr>
      <w:bookmarkStart w:id="717" w:name="_Toc520212351"/>
      <w:r>
        <w:t>Figure 4-14</w:t>
      </w:r>
      <w:r w:rsidR="000616EE">
        <w:t>.</w:t>
      </w:r>
      <w:r>
        <w:t xml:space="preserve"> Number of skeletal remains with </w:t>
      </w:r>
      <w:r w:rsidRPr="00BC186A">
        <w:t xml:space="preserve">information </w:t>
      </w:r>
      <w:r w:rsidR="00466FB3">
        <w:t>on</w:t>
      </w:r>
      <w:r w:rsidR="00466FB3" w:rsidRPr="00BC186A">
        <w:t xml:space="preserve"> </w:t>
      </w:r>
      <w:r w:rsidRPr="00BC186A">
        <w:t>gender</w:t>
      </w:r>
      <w:r w:rsidR="00466FB3">
        <w:t>,</w:t>
      </w:r>
      <w:r>
        <w:t xml:space="preserve"> Knossos area</w:t>
      </w:r>
      <w:bookmarkEnd w:id="717"/>
    </w:p>
    <w:p w14:paraId="15169CE8" w14:textId="77777777" w:rsidR="003A3731" w:rsidRPr="003A3731" w:rsidRDefault="003A3731" w:rsidP="00E858EF">
      <w:pPr>
        <w:suppressAutoHyphens/>
      </w:pPr>
    </w:p>
    <w:p w14:paraId="0B81B5CA" w14:textId="3298BAB2" w:rsidR="001A4F1A" w:rsidRPr="00D6101B" w:rsidRDefault="001A4F1A" w:rsidP="00E858EF">
      <w:pPr>
        <w:suppressAutoHyphens/>
        <w:autoSpaceDE w:val="0"/>
        <w:autoSpaceDN w:val="0"/>
        <w:adjustRightInd w:val="0"/>
        <w:rPr>
          <w:color w:val="000000"/>
        </w:rPr>
      </w:pPr>
      <w:r>
        <w:rPr>
          <w:noProof/>
          <w:lang w:val="it-IT"/>
        </w:rPr>
        <w:drawing>
          <wp:inline distT="0" distB="0" distL="0" distR="0" wp14:anchorId="5CB57829" wp14:editId="2E63750B">
            <wp:extent cx="5427879" cy="2479853"/>
            <wp:effectExtent l="0" t="0" r="1905" b="15875"/>
            <wp:docPr id="89" name="Grafico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0A27CA6C" w14:textId="5C2B25DA" w:rsidR="001A4F1A" w:rsidRPr="00F46A41" w:rsidRDefault="001A4F1A" w:rsidP="00F46A41">
      <w:pPr>
        <w:pStyle w:val="Didascalia"/>
      </w:pPr>
      <w:bookmarkStart w:id="718" w:name="_Toc520212352"/>
      <w:r w:rsidRPr="00F46A41">
        <w:t>Figure 4-15</w:t>
      </w:r>
      <w:r w:rsidR="000616EE">
        <w:t>.</w:t>
      </w:r>
      <w:r w:rsidRPr="00F46A41">
        <w:t xml:space="preserve"> Number of skeletal remains with information </w:t>
      </w:r>
      <w:r w:rsidR="00466FB3">
        <w:t>on</w:t>
      </w:r>
      <w:r w:rsidR="00466FB3" w:rsidRPr="00F46A41">
        <w:t xml:space="preserve"> </w:t>
      </w:r>
      <w:r w:rsidRPr="00F46A41">
        <w:t>age</w:t>
      </w:r>
      <w:r w:rsidR="00466FB3">
        <w:t>,</w:t>
      </w:r>
      <w:r w:rsidRPr="00F46A41">
        <w:t xml:space="preserve"> Knossos area</w:t>
      </w:r>
      <w:bookmarkEnd w:id="718"/>
    </w:p>
    <w:p w14:paraId="338D4204" w14:textId="77777777" w:rsidR="001A4F1A" w:rsidRPr="00D6101B" w:rsidRDefault="001A4F1A" w:rsidP="00E858EF">
      <w:pPr>
        <w:pStyle w:val="Didascalia"/>
        <w:suppressAutoHyphens/>
      </w:pPr>
    </w:p>
    <w:p w14:paraId="4D2A5072" w14:textId="17ED56FC" w:rsidR="001A4F1A" w:rsidRPr="00D6101B" w:rsidRDefault="001A4F1A" w:rsidP="00E858EF">
      <w:pPr>
        <w:pStyle w:val="Titolo4"/>
        <w:keepNext w:val="0"/>
        <w:keepLines w:val="0"/>
        <w:suppressAutoHyphens/>
        <w:rPr>
          <w:color w:val="000000"/>
        </w:rPr>
      </w:pPr>
      <w:bookmarkStart w:id="719" w:name="_Toc517745309"/>
      <w:r w:rsidRPr="00D6101B">
        <w:t>Conclusions</w:t>
      </w:r>
      <w:bookmarkEnd w:id="719"/>
      <w:r w:rsidR="001806F8">
        <w:t>,</w:t>
      </w:r>
      <w:r w:rsidR="003A3731">
        <w:t xml:space="preserve"> Knossos</w:t>
      </w:r>
      <w:r w:rsidR="00D02AAA">
        <w:t xml:space="preserve"> area</w:t>
      </w:r>
    </w:p>
    <w:p w14:paraId="6B5CF9B5" w14:textId="77777777" w:rsidR="001A4F1A" w:rsidRPr="00D6101B" w:rsidRDefault="001A4F1A" w:rsidP="00E858EF">
      <w:pPr>
        <w:suppressAutoHyphens/>
        <w:autoSpaceDE w:val="0"/>
        <w:autoSpaceDN w:val="0"/>
        <w:adjustRightInd w:val="0"/>
        <w:rPr>
          <w:color w:val="000000"/>
        </w:rPr>
      </w:pPr>
      <w:r>
        <w:rPr>
          <w:color w:val="000000"/>
        </w:rPr>
        <w:t>From the analysis of</w:t>
      </w:r>
      <w:r w:rsidRPr="00D6101B">
        <w:rPr>
          <w:color w:val="000000"/>
        </w:rPr>
        <w:t xml:space="preserve"> skeletal remains and burial deposition practices in the Knossos area, unfortunately</w:t>
      </w:r>
      <w:r>
        <w:rPr>
          <w:color w:val="000000"/>
        </w:rPr>
        <w:t>,</w:t>
      </w:r>
      <w:r w:rsidRPr="00D6101B">
        <w:rPr>
          <w:color w:val="000000"/>
        </w:rPr>
        <w:t xml:space="preserve"> little information </w:t>
      </w:r>
      <w:r>
        <w:rPr>
          <w:color w:val="000000"/>
        </w:rPr>
        <w:t>is</w:t>
      </w:r>
      <w:r w:rsidRPr="00D6101B">
        <w:rPr>
          <w:color w:val="000000"/>
        </w:rPr>
        <w:t xml:space="preserve"> available </w:t>
      </w:r>
      <w:r>
        <w:rPr>
          <w:color w:val="000000"/>
        </w:rPr>
        <w:t>regarding the</w:t>
      </w:r>
      <w:r w:rsidRPr="00D6101B">
        <w:rPr>
          <w:color w:val="000000"/>
        </w:rPr>
        <w:t xml:space="preserve"> burial stage</w:t>
      </w:r>
      <w:r>
        <w:rPr>
          <w:color w:val="000000"/>
        </w:rPr>
        <w:t>s</w:t>
      </w:r>
      <w:r w:rsidRPr="00D6101B">
        <w:rPr>
          <w:color w:val="000000"/>
        </w:rPr>
        <w:t xml:space="preserve"> (</w:t>
      </w:r>
      <w:r>
        <w:rPr>
          <w:color w:val="000000"/>
        </w:rPr>
        <w:t xml:space="preserve">i.e. </w:t>
      </w:r>
      <w:r w:rsidRPr="00D6101B">
        <w:rPr>
          <w:color w:val="000000"/>
        </w:rPr>
        <w:t>how primary and secondary deposition</w:t>
      </w:r>
      <w:r>
        <w:rPr>
          <w:color w:val="000000"/>
        </w:rPr>
        <w:t>s</w:t>
      </w:r>
      <w:r w:rsidRPr="00D6101B">
        <w:rPr>
          <w:color w:val="000000"/>
        </w:rPr>
        <w:t xml:space="preserve"> </w:t>
      </w:r>
      <w:r>
        <w:rPr>
          <w:color w:val="000000"/>
        </w:rPr>
        <w:t>were</w:t>
      </w:r>
      <w:r w:rsidRPr="00D6101B">
        <w:rPr>
          <w:color w:val="000000"/>
        </w:rPr>
        <w:t xml:space="preserve"> distributed in the tomb</w:t>
      </w:r>
      <w:r>
        <w:rPr>
          <w:color w:val="000000"/>
        </w:rPr>
        <w:t>s</w:t>
      </w:r>
      <w:r w:rsidRPr="00D6101B">
        <w:rPr>
          <w:color w:val="000000"/>
        </w:rPr>
        <w:t xml:space="preserve">) </w:t>
      </w:r>
      <w:r>
        <w:rPr>
          <w:color w:val="000000"/>
        </w:rPr>
        <w:t>nor the</w:t>
      </w:r>
      <w:r w:rsidRPr="00D6101B">
        <w:rPr>
          <w:color w:val="000000"/>
        </w:rPr>
        <w:t xml:space="preserve"> gender and age of the individual</w:t>
      </w:r>
      <w:r>
        <w:rPr>
          <w:color w:val="000000"/>
        </w:rPr>
        <w:t>s</w:t>
      </w:r>
      <w:r w:rsidRPr="00D6101B">
        <w:rPr>
          <w:color w:val="000000"/>
        </w:rPr>
        <w:t xml:space="preserve"> buried in tombs with larnakes.</w:t>
      </w:r>
    </w:p>
    <w:p w14:paraId="68E47BDA" w14:textId="77777777" w:rsidR="001A4F1A" w:rsidRPr="00D6101B" w:rsidRDefault="001A4F1A" w:rsidP="00E858EF">
      <w:pPr>
        <w:suppressAutoHyphens/>
        <w:autoSpaceDE w:val="0"/>
        <w:autoSpaceDN w:val="0"/>
        <w:adjustRightInd w:val="0"/>
        <w:rPr>
          <w:color w:val="000000"/>
        </w:rPr>
      </w:pPr>
      <w:r>
        <w:rPr>
          <w:color w:val="000000"/>
        </w:rPr>
        <w:tab/>
        <w:t>KNC</w:t>
      </w:r>
      <w:r w:rsidRPr="00D6101B">
        <w:rPr>
          <w:color w:val="000000"/>
        </w:rPr>
        <w:t xml:space="preserve"> and Fortetsa have not provided any data for the study of skeletal remains associated with larnakes, due to their late re</w:t>
      </w:r>
      <w:r>
        <w:rPr>
          <w:color w:val="000000"/>
        </w:rPr>
        <w:t>use</w:t>
      </w:r>
      <w:r w:rsidRPr="00D6101B">
        <w:rPr>
          <w:color w:val="000000"/>
        </w:rPr>
        <w:t>. From the secure sample</w:t>
      </w:r>
      <w:r>
        <w:rPr>
          <w:color w:val="000000"/>
        </w:rPr>
        <w:t>, the</w:t>
      </w:r>
      <w:r w:rsidRPr="00D6101B">
        <w:rPr>
          <w:color w:val="000000"/>
        </w:rPr>
        <w:t xml:space="preserve"> lack of information </w:t>
      </w:r>
      <w:r>
        <w:rPr>
          <w:color w:val="000000"/>
        </w:rPr>
        <w:t xml:space="preserve">affects </w:t>
      </w:r>
      <w:r w:rsidRPr="00D6101B">
        <w:rPr>
          <w:color w:val="000000"/>
        </w:rPr>
        <w:t>other tombs</w:t>
      </w:r>
      <w:r>
        <w:rPr>
          <w:color w:val="000000"/>
        </w:rPr>
        <w:t>,</w:t>
      </w:r>
      <w:r w:rsidRPr="00D6101B">
        <w:rPr>
          <w:color w:val="000000"/>
        </w:rPr>
        <w:t xml:space="preserve"> </w:t>
      </w:r>
      <w:r>
        <w:rPr>
          <w:color w:val="000000"/>
        </w:rPr>
        <w:t>such as</w:t>
      </w:r>
      <w:r w:rsidRPr="00D6101B">
        <w:rPr>
          <w:color w:val="000000"/>
        </w:rPr>
        <w:t xml:space="preserve"> the chamber</w:t>
      </w:r>
      <w:r>
        <w:rPr>
          <w:color w:val="000000"/>
        </w:rPr>
        <w:t xml:space="preserve"> tomb at Mastambas </w:t>
      </w:r>
      <w:r w:rsidRPr="008C6CAB">
        <w:rPr>
          <w:i/>
          <w:color w:val="000000"/>
        </w:rPr>
        <w:t>(KChr</w:t>
      </w:r>
      <w:r>
        <w:rPr>
          <w:color w:val="000000"/>
        </w:rPr>
        <w:t xml:space="preserve"> 3 1949: 594</w:t>
      </w:r>
      <w:r w:rsidRPr="00D6101B">
        <w:rPr>
          <w:color w:val="000000"/>
        </w:rPr>
        <w:t xml:space="preserve">) and the only tombs </w:t>
      </w:r>
      <w:r>
        <w:rPr>
          <w:color w:val="000000"/>
        </w:rPr>
        <w:t>with clay larnax use attested in the</w:t>
      </w:r>
      <w:r w:rsidRPr="00D6101B">
        <w:rPr>
          <w:color w:val="000000"/>
        </w:rPr>
        <w:t xml:space="preserve"> Sellopoulo cemetery (Hogarth 1899/1900: 81).</w:t>
      </w:r>
    </w:p>
    <w:p w14:paraId="20705801" w14:textId="77777777" w:rsidR="001A4F1A" w:rsidRPr="00D6101B" w:rsidRDefault="001A4F1A" w:rsidP="00E858EF">
      <w:pPr>
        <w:suppressAutoHyphens/>
        <w:autoSpaceDE w:val="0"/>
        <w:autoSpaceDN w:val="0"/>
        <w:adjustRightInd w:val="0"/>
        <w:rPr>
          <w:color w:val="000000"/>
        </w:rPr>
      </w:pPr>
      <w:r>
        <w:rPr>
          <w:color w:val="000000"/>
        </w:rPr>
        <w:tab/>
        <w:t>The only picture</w:t>
      </w:r>
      <w:r w:rsidRPr="00D6101B">
        <w:rPr>
          <w:color w:val="000000"/>
        </w:rPr>
        <w:t xml:space="preserve"> that clearly emerge</w:t>
      </w:r>
      <w:r>
        <w:rPr>
          <w:color w:val="000000"/>
        </w:rPr>
        <w:t>s</w:t>
      </w:r>
      <w:r w:rsidRPr="00D6101B">
        <w:rPr>
          <w:color w:val="000000"/>
        </w:rPr>
        <w:t xml:space="preserve"> is the tendency not </w:t>
      </w:r>
      <w:r>
        <w:rPr>
          <w:color w:val="000000"/>
        </w:rPr>
        <w:t xml:space="preserve">to </w:t>
      </w:r>
      <w:r w:rsidRPr="00D6101B">
        <w:rPr>
          <w:color w:val="000000"/>
        </w:rPr>
        <w:t>associate deposition</w:t>
      </w:r>
      <w:r>
        <w:rPr>
          <w:color w:val="000000"/>
        </w:rPr>
        <w:t>s</w:t>
      </w:r>
      <w:r w:rsidRPr="00D6101B">
        <w:rPr>
          <w:color w:val="000000"/>
        </w:rPr>
        <w:t xml:space="preserve"> in larna</w:t>
      </w:r>
      <w:r>
        <w:rPr>
          <w:color w:val="000000"/>
        </w:rPr>
        <w:t>kes</w:t>
      </w:r>
      <w:r w:rsidRPr="00D6101B">
        <w:rPr>
          <w:color w:val="000000"/>
        </w:rPr>
        <w:t xml:space="preserve"> with any other type of container and</w:t>
      </w:r>
      <w:r>
        <w:rPr>
          <w:color w:val="000000"/>
        </w:rPr>
        <w:t>,</w:t>
      </w:r>
      <w:r w:rsidRPr="00D6101B">
        <w:rPr>
          <w:color w:val="000000"/>
        </w:rPr>
        <w:t xml:space="preserve"> in a small percentage of cases</w:t>
      </w:r>
      <w:r>
        <w:rPr>
          <w:color w:val="000000"/>
        </w:rPr>
        <w:t>,</w:t>
      </w:r>
      <w:r w:rsidRPr="00D6101B">
        <w:rPr>
          <w:color w:val="000000"/>
        </w:rPr>
        <w:t xml:space="preserve"> eventually associat</w:t>
      </w:r>
      <w:r>
        <w:rPr>
          <w:color w:val="000000"/>
        </w:rPr>
        <w:t>ing</w:t>
      </w:r>
      <w:r w:rsidRPr="00D6101B">
        <w:rPr>
          <w:color w:val="000000"/>
        </w:rPr>
        <w:t xml:space="preserve"> larnax burial</w:t>
      </w:r>
      <w:r>
        <w:rPr>
          <w:color w:val="000000"/>
        </w:rPr>
        <w:t>s</w:t>
      </w:r>
      <w:r w:rsidRPr="00D6101B">
        <w:rPr>
          <w:color w:val="000000"/>
        </w:rPr>
        <w:t xml:space="preserve"> </w:t>
      </w:r>
      <w:r>
        <w:rPr>
          <w:color w:val="000000"/>
        </w:rPr>
        <w:t>with</w:t>
      </w:r>
      <w:r w:rsidRPr="00D6101B">
        <w:rPr>
          <w:color w:val="000000"/>
        </w:rPr>
        <w:t xml:space="preserve"> floor or pit depositions. The only other burial container type in use in </w:t>
      </w:r>
      <w:r>
        <w:rPr>
          <w:color w:val="000000"/>
        </w:rPr>
        <w:t xml:space="preserve">the </w:t>
      </w:r>
      <w:r w:rsidRPr="00D6101B">
        <w:rPr>
          <w:color w:val="000000"/>
        </w:rPr>
        <w:t>Knossos area, either in association</w:t>
      </w:r>
      <w:r>
        <w:rPr>
          <w:color w:val="000000"/>
        </w:rPr>
        <w:t xml:space="preserve"> with larnakes in the same tomb or </w:t>
      </w:r>
      <w:r w:rsidRPr="00D6101B">
        <w:rPr>
          <w:color w:val="000000"/>
        </w:rPr>
        <w:t>in the same cemetery or in other burial location</w:t>
      </w:r>
      <w:r>
        <w:rPr>
          <w:color w:val="000000"/>
        </w:rPr>
        <w:t>, is the wooden bier</w:t>
      </w:r>
      <w:r w:rsidRPr="00D6101B">
        <w:rPr>
          <w:color w:val="000000"/>
        </w:rPr>
        <w:t xml:space="preserve">/chest receptacle. Indeed, wooden bier chests </w:t>
      </w:r>
      <w:r>
        <w:rPr>
          <w:color w:val="000000"/>
        </w:rPr>
        <w:t>were</w:t>
      </w:r>
      <w:r w:rsidRPr="00D6101B">
        <w:rPr>
          <w:color w:val="000000"/>
        </w:rPr>
        <w:t xml:space="preserve"> in use since</w:t>
      </w:r>
      <w:r>
        <w:rPr>
          <w:color w:val="000000"/>
        </w:rPr>
        <w:t xml:space="preserve"> the</w:t>
      </w:r>
      <w:r w:rsidRPr="00D6101B">
        <w:rPr>
          <w:color w:val="000000"/>
        </w:rPr>
        <w:t xml:space="preserve"> LM II period at Knossos (Preston 2004; </w:t>
      </w:r>
      <w:r>
        <w:rPr>
          <w:color w:val="000000"/>
        </w:rPr>
        <w:t>see</w:t>
      </w:r>
      <w:r w:rsidRPr="00D6101B">
        <w:rPr>
          <w:color w:val="000000"/>
        </w:rPr>
        <w:t xml:space="preserve"> also Katsambas). </w:t>
      </w:r>
      <w:r>
        <w:rPr>
          <w:color w:val="000000"/>
        </w:rPr>
        <w:t>There are</w:t>
      </w:r>
      <w:r w:rsidRPr="00D6101B">
        <w:rPr>
          <w:color w:val="000000"/>
        </w:rPr>
        <w:t xml:space="preserve"> tombs in which wooden receptacle</w:t>
      </w:r>
      <w:r>
        <w:rPr>
          <w:color w:val="000000"/>
        </w:rPr>
        <w:t>s</w:t>
      </w:r>
      <w:r w:rsidRPr="00D6101B">
        <w:rPr>
          <w:color w:val="000000"/>
        </w:rPr>
        <w:t xml:space="preserve"> have been found with clay larnakes</w:t>
      </w:r>
      <w:r>
        <w:rPr>
          <w:color w:val="000000"/>
        </w:rPr>
        <w:t>.</w:t>
      </w:r>
      <w:r w:rsidRPr="00D6101B">
        <w:rPr>
          <w:color w:val="000000"/>
        </w:rPr>
        <w:t xml:space="preserve"> </w:t>
      </w:r>
      <w:r>
        <w:rPr>
          <w:color w:val="000000"/>
        </w:rPr>
        <w:t>E</w:t>
      </w:r>
      <w:r w:rsidRPr="00D6101B">
        <w:rPr>
          <w:color w:val="000000"/>
        </w:rPr>
        <w:t xml:space="preserve">ven though it is difficult to understand </w:t>
      </w:r>
      <w:r>
        <w:rPr>
          <w:color w:val="000000"/>
        </w:rPr>
        <w:t>whether</w:t>
      </w:r>
      <w:r w:rsidRPr="00D6101B">
        <w:rPr>
          <w:color w:val="000000"/>
        </w:rPr>
        <w:t xml:space="preserve"> they have been substituted </w:t>
      </w:r>
      <w:r>
        <w:rPr>
          <w:color w:val="000000"/>
        </w:rPr>
        <w:t>for</w:t>
      </w:r>
      <w:r w:rsidRPr="00D6101B">
        <w:rPr>
          <w:color w:val="000000"/>
        </w:rPr>
        <w:t xml:space="preserve"> clay larnakes, it is possible that the use of the two different receptacle type</w:t>
      </w:r>
      <w:r>
        <w:rPr>
          <w:color w:val="000000"/>
        </w:rPr>
        <w:t>s</w:t>
      </w:r>
      <w:r w:rsidRPr="00D6101B">
        <w:rPr>
          <w:color w:val="000000"/>
        </w:rPr>
        <w:t xml:space="preserve"> represent</w:t>
      </w:r>
      <w:r>
        <w:rPr>
          <w:color w:val="000000"/>
        </w:rPr>
        <w:t>s</w:t>
      </w:r>
      <w:r w:rsidRPr="00D6101B">
        <w:rPr>
          <w:color w:val="000000"/>
        </w:rPr>
        <w:t xml:space="preserve"> a </w:t>
      </w:r>
      <w:r>
        <w:rPr>
          <w:color w:val="000000"/>
        </w:rPr>
        <w:t>real different choice linked to different identities (e.g. status)</w:t>
      </w:r>
      <w:r w:rsidRPr="00222F1F">
        <w:rPr>
          <w:color w:val="000000"/>
        </w:rPr>
        <w:t xml:space="preserve"> more</w:t>
      </w:r>
      <w:r>
        <w:rPr>
          <w:color w:val="000000"/>
        </w:rPr>
        <w:t xml:space="preserve"> than an overtime</w:t>
      </w:r>
      <w:r w:rsidRPr="00D6101B">
        <w:rPr>
          <w:color w:val="000000"/>
        </w:rPr>
        <w:t xml:space="preserve"> variation in </w:t>
      </w:r>
      <w:r>
        <w:rPr>
          <w:color w:val="000000"/>
        </w:rPr>
        <w:t xml:space="preserve">the </w:t>
      </w:r>
      <w:r w:rsidRPr="00D6101B">
        <w:rPr>
          <w:color w:val="000000"/>
        </w:rPr>
        <w:t xml:space="preserve">Knossos area. </w:t>
      </w:r>
      <w:r>
        <w:rPr>
          <w:color w:val="000000"/>
        </w:rPr>
        <w:t>Although</w:t>
      </w:r>
      <w:r w:rsidRPr="00D6101B">
        <w:rPr>
          <w:color w:val="000000"/>
        </w:rPr>
        <w:t xml:space="preserve"> it is important to underline th</w:t>
      </w:r>
      <w:r>
        <w:rPr>
          <w:color w:val="000000"/>
        </w:rPr>
        <w:t>e</w:t>
      </w:r>
      <w:r w:rsidRPr="00D6101B">
        <w:rPr>
          <w:color w:val="000000"/>
        </w:rPr>
        <w:t xml:space="preserve"> data reliability problems </w:t>
      </w:r>
      <w:r>
        <w:rPr>
          <w:color w:val="000000"/>
        </w:rPr>
        <w:t>regarding</w:t>
      </w:r>
      <w:r w:rsidRPr="00D6101B">
        <w:rPr>
          <w:color w:val="000000"/>
        </w:rPr>
        <w:t xml:space="preserve"> skeletal remains</w:t>
      </w:r>
      <w:r>
        <w:rPr>
          <w:color w:val="000000"/>
        </w:rPr>
        <w:t xml:space="preserve"> </w:t>
      </w:r>
      <w:r w:rsidRPr="00D6101B">
        <w:rPr>
          <w:color w:val="000000"/>
        </w:rPr>
        <w:t>(deeply disturbed context</w:t>
      </w:r>
      <w:r>
        <w:rPr>
          <w:color w:val="000000"/>
        </w:rPr>
        <w:t>s</w:t>
      </w:r>
      <w:r w:rsidRPr="00D6101B">
        <w:rPr>
          <w:color w:val="000000"/>
        </w:rPr>
        <w:t xml:space="preserve"> du</w:t>
      </w:r>
      <w:r>
        <w:rPr>
          <w:color w:val="000000"/>
        </w:rPr>
        <w:t>e to reuse and looting; probable</w:t>
      </w:r>
      <w:r w:rsidRPr="00D6101B">
        <w:rPr>
          <w:color w:val="000000"/>
        </w:rPr>
        <w:t xml:space="preserve"> bias in the excavations)</w:t>
      </w:r>
      <w:r>
        <w:rPr>
          <w:color w:val="000000"/>
        </w:rPr>
        <w:t>,</w:t>
      </w:r>
      <w:r w:rsidRPr="00D6101B">
        <w:rPr>
          <w:color w:val="000000"/>
        </w:rPr>
        <w:t xml:space="preserve"> assemblage</w:t>
      </w:r>
      <w:r>
        <w:rPr>
          <w:color w:val="000000"/>
        </w:rPr>
        <w:t>s</w:t>
      </w:r>
      <w:r w:rsidRPr="00D6101B">
        <w:rPr>
          <w:color w:val="000000"/>
        </w:rPr>
        <w:t xml:space="preserve"> </w:t>
      </w:r>
      <w:r>
        <w:rPr>
          <w:color w:val="000000"/>
        </w:rPr>
        <w:t>from the</w:t>
      </w:r>
      <w:r w:rsidRPr="00D6101B">
        <w:rPr>
          <w:color w:val="000000"/>
        </w:rPr>
        <w:t xml:space="preserve"> Knossos area </w:t>
      </w:r>
      <w:r>
        <w:rPr>
          <w:color w:val="000000"/>
        </w:rPr>
        <w:t>are</w:t>
      </w:r>
      <w:r w:rsidRPr="00D6101B">
        <w:rPr>
          <w:color w:val="000000"/>
        </w:rPr>
        <w:t xml:space="preserve"> important</w:t>
      </w:r>
      <w:r>
        <w:rPr>
          <w:color w:val="000000"/>
        </w:rPr>
        <w:t xml:space="preserve"> and</w:t>
      </w:r>
      <w:r w:rsidRPr="00D6101B">
        <w:rPr>
          <w:color w:val="000000"/>
        </w:rPr>
        <w:t xml:space="preserve"> relevan</w:t>
      </w:r>
      <w:r>
        <w:rPr>
          <w:color w:val="000000"/>
        </w:rPr>
        <w:t>t</w:t>
      </w:r>
      <w:r w:rsidRPr="00D6101B">
        <w:rPr>
          <w:color w:val="000000"/>
        </w:rPr>
        <w:t>.</w:t>
      </w:r>
    </w:p>
    <w:p w14:paraId="10ECD0DE" w14:textId="77777777" w:rsidR="001A4F1A" w:rsidRPr="00D6101B" w:rsidRDefault="001A4F1A" w:rsidP="00E858EF">
      <w:pPr>
        <w:suppressAutoHyphens/>
        <w:autoSpaceDE w:val="0"/>
        <w:autoSpaceDN w:val="0"/>
        <w:adjustRightInd w:val="0"/>
        <w:rPr>
          <w:color w:val="000000"/>
        </w:rPr>
      </w:pPr>
      <w:r>
        <w:rPr>
          <w:color w:val="000000"/>
        </w:rPr>
        <w:tab/>
      </w:r>
      <w:r w:rsidRPr="00510AC9">
        <w:rPr>
          <w:color w:val="000000"/>
        </w:rPr>
        <w:t xml:space="preserve">Two phases of use are clearly distinct in the tomb </w:t>
      </w:r>
      <w:r>
        <w:rPr>
          <w:color w:val="000000"/>
        </w:rPr>
        <w:t>at</w:t>
      </w:r>
      <w:r w:rsidRPr="00510AC9">
        <w:rPr>
          <w:color w:val="000000"/>
        </w:rPr>
        <w:t xml:space="preserve"> Lower Gypsades, where previous larnakes </w:t>
      </w:r>
      <w:r>
        <w:rPr>
          <w:color w:val="000000"/>
        </w:rPr>
        <w:t>were</w:t>
      </w:r>
      <w:r w:rsidRPr="00510AC9">
        <w:rPr>
          <w:color w:val="000000"/>
        </w:rPr>
        <w:t xml:space="preserve"> broken to make space for the new larnax burials. The </w:t>
      </w:r>
      <w:r>
        <w:rPr>
          <w:color w:val="000000"/>
        </w:rPr>
        <w:t>custom</w:t>
      </w:r>
      <w:r w:rsidRPr="00510AC9">
        <w:rPr>
          <w:color w:val="000000"/>
        </w:rPr>
        <w:t xml:space="preserve"> of breaking larnakes or reusing them is also visible in </w:t>
      </w:r>
      <w:r>
        <w:rPr>
          <w:color w:val="000000"/>
        </w:rPr>
        <w:t>T</w:t>
      </w:r>
      <w:r w:rsidRPr="00510AC9">
        <w:rPr>
          <w:color w:val="000000"/>
        </w:rPr>
        <w:t>omb XIII at Mavro Spelio, where the base of a larnax was used as a lid</w:t>
      </w:r>
      <w:r>
        <w:rPr>
          <w:color w:val="000000"/>
        </w:rPr>
        <w:t>.</w:t>
      </w:r>
      <w:r w:rsidRPr="00510AC9">
        <w:rPr>
          <w:color w:val="000000"/>
        </w:rPr>
        <w:t xml:space="preserve"> (</w:t>
      </w:r>
      <w:r>
        <w:rPr>
          <w:color w:val="000000"/>
        </w:rPr>
        <w:t xml:space="preserve">In these two tombs can be observed the custom of </w:t>
      </w:r>
      <w:r w:rsidRPr="00510AC9">
        <w:rPr>
          <w:color w:val="000000"/>
        </w:rPr>
        <w:t xml:space="preserve">breaking </w:t>
      </w:r>
      <w:r>
        <w:rPr>
          <w:color w:val="000000"/>
        </w:rPr>
        <w:t>pre-existing larnakes</w:t>
      </w:r>
      <w:r w:rsidRPr="00510AC9">
        <w:rPr>
          <w:color w:val="000000"/>
        </w:rPr>
        <w:t xml:space="preserve"> and adding new ones</w:t>
      </w:r>
      <w:r>
        <w:rPr>
          <w:color w:val="000000"/>
        </w:rPr>
        <w:t>, instead of emptying them</w:t>
      </w:r>
      <w:r w:rsidRPr="00510AC9">
        <w:rPr>
          <w:color w:val="000000"/>
        </w:rPr>
        <w:t>)</w:t>
      </w:r>
      <w:r>
        <w:rPr>
          <w:color w:val="000000"/>
        </w:rPr>
        <w:t xml:space="preserve">, </w:t>
      </w:r>
    </w:p>
    <w:p w14:paraId="68159875" w14:textId="77777777" w:rsidR="001A4F1A" w:rsidRPr="00101847" w:rsidRDefault="001A4F1A" w:rsidP="00E858EF">
      <w:pPr>
        <w:suppressAutoHyphens/>
        <w:autoSpaceDE w:val="0"/>
        <w:autoSpaceDN w:val="0"/>
        <w:adjustRightInd w:val="0"/>
        <w:rPr>
          <w:color w:val="000000"/>
        </w:rPr>
      </w:pPr>
      <w:r>
        <w:rPr>
          <w:color w:val="000000"/>
        </w:rPr>
        <w:tab/>
      </w:r>
      <w:r w:rsidRPr="00D6101B">
        <w:rPr>
          <w:color w:val="000000"/>
        </w:rPr>
        <w:t xml:space="preserve">Data </w:t>
      </w:r>
      <w:r>
        <w:rPr>
          <w:color w:val="000000"/>
        </w:rPr>
        <w:t>regarding</w:t>
      </w:r>
      <w:r w:rsidRPr="00D6101B">
        <w:rPr>
          <w:color w:val="000000"/>
        </w:rPr>
        <w:t xml:space="preserve"> gender and age come from a very small sample and</w:t>
      </w:r>
      <w:r>
        <w:rPr>
          <w:color w:val="000000"/>
        </w:rPr>
        <w:t xml:space="preserve"> cannot</w:t>
      </w:r>
      <w:r w:rsidRPr="00D6101B">
        <w:rPr>
          <w:color w:val="000000"/>
        </w:rPr>
        <w:t xml:space="preserve"> be considered indicative</w:t>
      </w:r>
      <w:r>
        <w:rPr>
          <w:color w:val="000000"/>
        </w:rPr>
        <w:t>.</w:t>
      </w:r>
      <w:r w:rsidRPr="00D6101B">
        <w:rPr>
          <w:color w:val="000000"/>
        </w:rPr>
        <w:t xml:space="preserve"> </w:t>
      </w:r>
      <w:r>
        <w:rPr>
          <w:color w:val="000000"/>
        </w:rPr>
        <w:t>N</w:t>
      </w:r>
      <w:r w:rsidRPr="00D6101B">
        <w:rPr>
          <w:color w:val="000000"/>
        </w:rPr>
        <w:t>evertheless</w:t>
      </w:r>
      <w:r>
        <w:rPr>
          <w:color w:val="000000"/>
        </w:rPr>
        <w:t>, there is no discernible</w:t>
      </w:r>
      <w:r w:rsidRPr="00D6101B">
        <w:rPr>
          <w:color w:val="000000"/>
        </w:rPr>
        <w:t xml:space="preserve"> specific association even in this small sample, </w:t>
      </w:r>
      <w:r>
        <w:rPr>
          <w:color w:val="000000"/>
        </w:rPr>
        <w:t>in which</w:t>
      </w:r>
      <w:r w:rsidRPr="00D6101B">
        <w:rPr>
          <w:color w:val="000000"/>
        </w:rPr>
        <w:t xml:space="preserve"> both gender</w:t>
      </w:r>
      <w:r>
        <w:rPr>
          <w:color w:val="000000"/>
        </w:rPr>
        <w:t>s</w:t>
      </w:r>
      <w:r w:rsidRPr="00D6101B">
        <w:rPr>
          <w:color w:val="000000"/>
        </w:rPr>
        <w:t xml:space="preserve"> and all the main age groups </w:t>
      </w:r>
      <w:r>
        <w:rPr>
          <w:color w:val="000000"/>
        </w:rPr>
        <w:t>are</w:t>
      </w:r>
      <w:r w:rsidRPr="00D6101B">
        <w:rPr>
          <w:color w:val="000000"/>
        </w:rPr>
        <w:t xml:space="preserve"> attested in association with larnakes.</w:t>
      </w:r>
      <w:r>
        <w:rPr>
          <w:color w:val="000000"/>
        </w:rPr>
        <w:t xml:space="preserve"> </w:t>
      </w:r>
      <w:r w:rsidRPr="00D6101B">
        <w:rPr>
          <w:color w:val="000000"/>
        </w:rPr>
        <w:t xml:space="preserve">Information </w:t>
      </w:r>
      <w:r>
        <w:rPr>
          <w:color w:val="000000"/>
        </w:rPr>
        <w:t>regarding</w:t>
      </w:r>
      <w:r w:rsidRPr="00D6101B">
        <w:rPr>
          <w:color w:val="000000"/>
        </w:rPr>
        <w:t xml:space="preserve"> </w:t>
      </w:r>
      <w:r>
        <w:rPr>
          <w:color w:val="000000"/>
        </w:rPr>
        <w:t xml:space="preserve">the </w:t>
      </w:r>
      <w:r w:rsidRPr="00D6101B">
        <w:rPr>
          <w:color w:val="000000"/>
        </w:rPr>
        <w:t>gender or</w:t>
      </w:r>
      <w:r>
        <w:rPr>
          <w:color w:val="000000"/>
        </w:rPr>
        <w:t xml:space="preserve"> the</w:t>
      </w:r>
      <w:r w:rsidRPr="00D6101B">
        <w:rPr>
          <w:color w:val="000000"/>
        </w:rPr>
        <w:t xml:space="preserve"> identity of the individual buried </w:t>
      </w:r>
      <w:r>
        <w:rPr>
          <w:color w:val="000000"/>
        </w:rPr>
        <w:t xml:space="preserve">has, </w:t>
      </w:r>
      <w:r w:rsidRPr="00D6101B">
        <w:rPr>
          <w:color w:val="000000"/>
        </w:rPr>
        <w:t>in some cases</w:t>
      </w:r>
      <w:r>
        <w:rPr>
          <w:color w:val="000000"/>
        </w:rPr>
        <w:t>,</w:t>
      </w:r>
      <w:r w:rsidRPr="00D6101B">
        <w:rPr>
          <w:color w:val="000000"/>
        </w:rPr>
        <w:t xml:space="preserve"> been reported </w:t>
      </w:r>
      <w:r>
        <w:rPr>
          <w:color w:val="000000"/>
        </w:rPr>
        <w:t>based on</w:t>
      </w:r>
      <w:r w:rsidRPr="00D6101B">
        <w:rPr>
          <w:color w:val="000000"/>
        </w:rPr>
        <w:t xml:space="preserve"> the grave good</w:t>
      </w:r>
      <w:r>
        <w:rPr>
          <w:color w:val="000000"/>
        </w:rPr>
        <w:t>s</w:t>
      </w:r>
      <w:r w:rsidRPr="00D6101B">
        <w:rPr>
          <w:color w:val="000000"/>
        </w:rPr>
        <w:t xml:space="preserve"> assemblage (</w:t>
      </w:r>
      <w:r>
        <w:rPr>
          <w:color w:val="000000"/>
        </w:rPr>
        <w:t>e.g.</w:t>
      </w:r>
      <w:r w:rsidRPr="00D6101B">
        <w:rPr>
          <w:color w:val="000000"/>
        </w:rPr>
        <w:t xml:space="preserve"> </w:t>
      </w:r>
      <w:r>
        <w:rPr>
          <w:color w:val="000000"/>
        </w:rPr>
        <w:t xml:space="preserve">the </w:t>
      </w:r>
      <w:r w:rsidRPr="00D6101B">
        <w:rPr>
          <w:color w:val="000000"/>
        </w:rPr>
        <w:t>so-called Hunter’s grave at Zafer Papoura; Tomb 4 Upper Gypsades excavation 1993)</w:t>
      </w:r>
      <w:r>
        <w:rPr>
          <w:color w:val="000000"/>
        </w:rPr>
        <w:t xml:space="preserve">. </w:t>
      </w:r>
      <w:r w:rsidRPr="00D6101B">
        <w:rPr>
          <w:color w:val="000000"/>
        </w:rPr>
        <w:t>The best sample of tombs in terms of skeletal remains data available</w:t>
      </w:r>
      <w:r>
        <w:rPr>
          <w:color w:val="000000"/>
        </w:rPr>
        <w:t xml:space="preserve"> is offered by </w:t>
      </w:r>
      <w:r w:rsidRPr="00D6101B">
        <w:rPr>
          <w:color w:val="000000"/>
        </w:rPr>
        <w:t>the following tombs:</w:t>
      </w:r>
      <w:r>
        <w:rPr>
          <w:color w:val="000000"/>
        </w:rPr>
        <w:t xml:space="preserve"> </w:t>
      </w:r>
      <w:r w:rsidRPr="00101847">
        <w:rPr>
          <w:color w:val="000000"/>
        </w:rPr>
        <w:t>Lower Gypsades</w:t>
      </w:r>
      <w:r>
        <w:rPr>
          <w:color w:val="000000"/>
        </w:rPr>
        <w:t xml:space="preserve"> tomb</w:t>
      </w:r>
      <w:r w:rsidRPr="00101847">
        <w:rPr>
          <w:color w:val="000000"/>
        </w:rPr>
        <w:t xml:space="preserve"> D </w:t>
      </w:r>
      <w:r>
        <w:rPr>
          <w:color w:val="000000"/>
        </w:rPr>
        <w:t xml:space="preserve">and </w:t>
      </w:r>
      <w:r w:rsidRPr="00101847">
        <w:rPr>
          <w:color w:val="000000"/>
        </w:rPr>
        <w:t>Tomb IV Upper Gypsades</w:t>
      </w:r>
      <w:r>
        <w:rPr>
          <w:color w:val="000000"/>
        </w:rPr>
        <w:t>.</w:t>
      </w:r>
    </w:p>
    <w:p w14:paraId="0C123A2B" w14:textId="7F4EF172" w:rsidR="001A4F1A" w:rsidRPr="00D6101B" w:rsidRDefault="001A4F1A" w:rsidP="00E858EF">
      <w:pPr>
        <w:pStyle w:val="Titolo3"/>
        <w:keepNext w:val="0"/>
        <w:keepLines w:val="0"/>
        <w:suppressAutoHyphens/>
      </w:pPr>
      <w:bookmarkStart w:id="720" w:name="_Toc517745310"/>
      <w:bookmarkStart w:id="721" w:name="_Toc519894654"/>
      <w:r w:rsidRPr="00D6101B">
        <w:t>Centr</w:t>
      </w:r>
      <w:r w:rsidR="00D433EC">
        <w:t>al area</w:t>
      </w:r>
      <w:r w:rsidRPr="00D6101B">
        <w:t xml:space="preserve"> (skeletal remains)</w:t>
      </w:r>
      <w:bookmarkEnd w:id="720"/>
      <w:bookmarkEnd w:id="721"/>
    </w:p>
    <w:p w14:paraId="324E306E" w14:textId="1291AAF0" w:rsidR="001A4F1A" w:rsidRPr="00D6101B" w:rsidRDefault="001A4F1A" w:rsidP="00E858EF">
      <w:pPr>
        <w:pStyle w:val="Titolo4"/>
        <w:keepNext w:val="0"/>
        <w:keepLines w:val="0"/>
        <w:suppressAutoHyphens/>
      </w:pPr>
      <w:bookmarkStart w:id="722" w:name="_Toc517745311"/>
      <w:r w:rsidRPr="00D6101B">
        <w:t>Centr</w:t>
      </w:r>
      <w:r w:rsidR="00D433EC">
        <w:t>al area</w:t>
      </w:r>
      <w:r w:rsidRPr="00D6101B">
        <w:t xml:space="preserve"> analysis</w:t>
      </w:r>
      <w:bookmarkEnd w:id="722"/>
      <w:r w:rsidRPr="00D6101B">
        <w:t xml:space="preserve"> </w:t>
      </w:r>
    </w:p>
    <w:p w14:paraId="7CA4B743"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The minimum number of burials estimated for the sample of </w:t>
      </w:r>
      <w:r>
        <w:rPr>
          <w:color w:val="000000"/>
        </w:rPr>
        <w:t xml:space="preserve">secure </w:t>
      </w:r>
      <w:r w:rsidRPr="00D6101B">
        <w:rPr>
          <w:color w:val="000000"/>
        </w:rPr>
        <w:t xml:space="preserve">tombs with larnakes for </w:t>
      </w:r>
      <w:r>
        <w:rPr>
          <w:color w:val="000000"/>
        </w:rPr>
        <w:t>the C</w:t>
      </w:r>
      <w:r w:rsidRPr="00D6101B">
        <w:rPr>
          <w:color w:val="000000"/>
        </w:rPr>
        <w:t xml:space="preserve">entral area </w:t>
      </w:r>
      <w:r>
        <w:rPr>
          <w:color w:val="000000"/>
        </w:rPr>
        <w:t>is 299.</w:t>
      </w:r>
    </w:p>
    <w:p w14:paraId="5617743C" w14:textId="77777777" w:rsidR="001A4F1A"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5CD2F50A" w14:textId="358CC46E" w:rsidR="001A4F1A" w:rsidRPr="00D6101B" w:rsidRDefault="001A4F1A" w:rsidP="00E858EF">
      <w:pPr>
        <w:pStyle w:val="Testofumetto"/>
        <w:suppressAutoHyphens/>
      </w:pPr>
      <w:bookmarkStart w:id="723" w:name="_Toc520212588"/>
      <w:r>
        <w:t>Table 4-16</w:t>
      </w:r>
      <w:r w:rsidR="00352D33">
        <w:t>.</w:t>
      </w:r>
      <w:r>
        <w:t xml:space="preserve"> Information concerning number of burials in tombs with larnakes</w:t>
      </w:r>
      <w:r w:rsidR="00466FB3">
        <w:t>,</w:t>
      </w:r>
      <w:r>
        <w:t xml:space="preserve"> Central </w:t>
      </w:r>
      <w:bookmarkEnd w:id="723"/>
      <w:r w:rsidR="00466FB3">
        <w:t>area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9"/>
        <w:gridCol w:w="1576"/>
        <w:gridCol w:w="1509"/>
        <w:gridCol w:w="1249"/>
        <w:gridCol w:w="1413"/>
        <w:gridCol w:w="1126"/>
      </w:tblGrid>
      <w:tr w:rsidR="001A4F1A" w:rsidRPr="00BA3A3F" w14:paraId="1A17F6D1" w14:textId="77777777" w:rsidTr="00F46A41">
        <w:tc>
          <w:tcPr>
            <w:tcW w:w="1509" w:type="dxa"/>
          </w:tcPr>
          <w:p w14:paraId="240F7945" w14:textId="77777777" w:rsidR="001A4F1A" w:rsidRPr="00BA3A3F" w:rsidRDefault="001A4F1A" w:rsidP="00BA3A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BA3A3F">
              <w:rPr>
                <w:color w:val="000000"/>
                <w:sz w:val="20"/>
              </w:rPr>
              <w:t>Total number of secure tombs with larnax</w:t>
            </w:r>
          </w:p>
        </w:tc>
        <w:tc>
          <w:tcPr>
            <w:tcW w:w="1576" w:type="dxa"/>
          </w:tcPr>
          <w:p w14:paraId="00AC107B" w14:textId="77777777" w:rsidR="001A4F1A" w:rsidRPr="00BA3A3F" w:rsidRDefault="001A4F1A" w:rsidP="00BA3A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BA3A3F">
              <w:rPr>
                <w:color w:val="000000"/>
                <w:sz w:val="20"/>
              </w:rPr>
              <w:t>Minimum number of estimated burials</w:t>
            </w:r>
          </w:p>
        </w:tc>
        <w:tc>
          <w:tcPr>
            <w:tcW w:w="1509" w:type="dxa"/>
          </w:tcPr>
          <w:p w14:paraId="6400EBF0" w14:textId="77777777" w:rsidR="001A4F1A" w:rsidRPr="00BA3A3F" w:rsidRDefault="001A4F1A" w:rsidP="00BA3A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BA3A3F">
              <w:rPr>
                <w:color w:val="000000"/>
                <w:sz w:val="20"/>
              </w:rPr>
              <w:t>Mean number of burials per tomb</w:t>
            </w:r>
          </w:p>
        </w:tc>
        <w:tc>
          <w:tcPr>
            <w:tcW w:w="1249" w:type="dxa"/>
          </w:tcPr>
          <w:p w14:paraId="12684B4E" w14:textId="77777777" w:rsidR="001A4F1A" w:rsidRPr="00BA3A3F" w:rsidRDefault="001A4F1A" w:rsidP="00BA3A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BA3A3F">
              <w:rPr>
                <w:color w:val="000000"/>
                <w:sz w:val="20"/>
              </w:rPr>
              <w:t>Minimum number of estimated burials per tomb</w:t>
            </w:r>
          </w:p>
        </w:tc>
        <w:tc>
          <w:tcPr>
            <w:tcW w:w="1413" w:type="dxa"/>
          </w:tcPr>
          <w:p w14:paraId="461DAA9B" w14:textId="77777777" w:rsidR="001A4F1A" w:rsidRPr="00BA3A3F" w:rsidRDefault="001A4F1A" w:rsidP="00BA3A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BA3A3F">
              <w:rPr>
                <w:color w:val="000000"/>
                <w:sz w:val="20"/>
              </w:rPr>
              <w:t>Maximum number of estimated burials per tomb</w:t>
            </w:r>
          </w:p>
        </w:tc>
        <w:tc>
          <w:tcPr>
            <w:tcW w:w="1126" w:type="dxa"/>
          </w:tcPr>
          <w:p w14:paraId="7B26C9C8" w14:textId="77777777" w:rsidR="001A4F1A" w:rsidRPr="00BA3A3F" w:rsidRDefault="001A4F1A" w:rsidP="00BA3A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BA3A3F">
              <w:rPr>
                <w:color w:val="000000"/>
                <w:sz w:val="20"/>
              </w:rPr>
              <w:t>Maximum number of larnakes per tomb</w:t>
            </w:r>
          </w:p>
        </w:tc>
      </w:tr>
      <w:tr w:rsidR="001A4F1A" w:rsidRPr="00BA3A3F" w14:paraId="7A9505C7" w14:textId="77777777" w:rsidTr="00F46A41">
        <w:tc>
          <w:tcPr>
            <w:tcW w:w="1509" w:type="dxa"/>
          </w:tcPr>
          <w:p w14:paraId="24647ED4" w14:textId="77777777" w:rsidR="001A4F1A" w:rsidRPr="00BA3A3F" w:rsidRDefault="001A4F1A" w:rsidP="00BA3A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rPr>
            </w:pPr>
            <w:r w:rsidRPr="00BA3A3F">
              <w:rPr>
                <w:b/>
                <w:color w:val="000000"/>
                <w:sz w:val="20"/>
              </w:rPr>
              <w:t>94</w:t>
            </w:r>
          </w:p>
        </w:tc>
        <w:tc>
          <w:tcPr>
            <w:tcW w:w="1576" w:type="dxa"/>
          </w:tcPr>
          <w:p w14:paraId="3E6248C2" w14:textId="77777777" w:rsidR="001A4F1A" w:rsidRPr="00BA3A3F" w:rsidRDefault="001A4F1A" w:rsidP="00BA3A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BA3A3F">
              <w:rPr>
                <w:color w:val="000000"/>
                <w:sz w:val="20"/>
              </w:rPr>
              <w:t>299</w:t>
            </w:r>
          </w:p>
        </w:tc>
        <w:tc>
          <w:tcPr>
            <w:tcW w:w="1509" w:type="dxa"/>
          </w:tcPr>
          <w:p w14:paraId="5B8E07BA" w14:textId="77777777" w:rsidR="001A4F1A" w:rsidRPr="00BA3A3F" w:rsidRDefault="001A4F1A" w:rsidP="00BA3A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BA3A3F">
              <w:rPr>
                <w:color w:val="000000"/>
                <w:sz w:val="20"/>
              </w:rPr>
              <w:t>3.2</w:t>
            </w:r>
          </w:p>
        </w:tc>
        <w:tc>
          <w:tcPr>
            <w:tcW w:w="1249" w:type="dxa"/>
          </w:tcPr>
          <w:p w14:paraId="72CB4ED2" w14:textId="77777777" w:rsidR="001A4F1A" w:rsidRPr="00BA3A3F" w:rsidRDefault="001A4F1A" w:rsidP="00BA3A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BA3A3F">
              <w:rPr>
                <w:color w:val="000000"/>
                <w:sz w:val="20"/>
              </w:rPr>
              <w:t>1</w:t>
            </w:r>
          </w:p>
        </w:tc>
        <w:tc>
          <w:tcPr>
            <w:tcW w:w="1413" w:type="dxa"/>
          </w:tcPr>
          <w:p w14:paraId="7C9BCFD6" w14:textId="77777777" w:rsidR="001A4F1A" w:rsidRPr="00BA3A3F" w:rsidRDefault="001A4F1A" w:rsidP="00BA3A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BA3A3F">
              <w:rPr>
                <w:color w:val="000000"/>
                <w:sz w:val="20"/>
              </w:rPr>
              <w:t>23</w:t>
            </w:r>
          </w:p>
        </w:tc>
        <w:tc>
          <w:tcPr>
            <w:tcW w:w="1126" w:type="dxa"/>
          </w:tcPr>
          <w:p w14:paraId="00814732" w14:textId="77777777" w:rsidR="001A4F1A" w:rsidRPr="00BA3A3F" w:rsidRDefault="001A4F1A" w:rsidP="00BA3A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BA3A3F">
              <w:rPr>
                <w:color w:val="000000"/>
                <w:sz w:val="20"/>
              </w:rPr>
              <w:t>8</w:t>
            </w:r>
          </w:p>
        </w:tc>
      </w:tr>
    </w:tbl>
    <w:p w14:paraId="420BA179"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533E7FD7"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Regarding</w:t>
      </w:r>
      <w:r w:rsidRPr="00D6101B">
        <w:rPr>
          <w:color w:val="000000"/>
        </w:rPr>
        <w:t xml:space="preserve"> th</w:t>
      </w:r>
      <w:r>
        <w:rPr>
          <w:color w:val="000000"/>
        </w:rPr>
        <w:t>ese</w:t>
      </w:r>
      <w:r w:rsidRPr="00D6101B">
        <w:rPr>
          <w:color w:val="000000"/>
        </w:rPr>
        <w:t xml:space="preserve"> data</w:t>
      </w:r>
      <w:r>
        <w:rPr>
          <w:color w:val="000000"/>
        </w:rPr>
        <w:t>,</w:t>
      </w:r>
      <w:r w:rsidRPr="00D6101B">
        <w:rPr>
          <w:color w:val="000000"/>
        </w:rPr>
        <w:t xml:space="preserve"> it is important to note that</w:t>
      </w:r>
      <w:r>
        <w:rPr>
          <w:color w:val="000000"/>
        </w:rPr>
        <w:t>,</w:t>
      </w:r>
      <w:r w:rsidRPr="00D6101B">
        <w:rPr>
          <w:color w:val="000000"/>
        </w:rPr>
        <w:t xml:space="preserve"> in the case of </w:t>
      </w:r>
      <w:r>
        <w:rPr>
          <w:color w:val="000000"/>
        </w:rPr>
        <w:t>the t</w:t>
      </w:r>
      <w:r w:rsidRPr="00D6101B">
        <w:rPr>
          <w:color w:val="000000"/>
        </w:rPr>
        <w:t xml:space="preserve">wo tombs at Kyparissi Vathia, the larnakes </w:t>
      </w:r>
      <w:r>
        <w:rPr>
          <w:color w:val="000000"/>
        </w:rPr>
        <w:t>that</w:t>
      </w:r>
      <w:r w:rsidRPr="00D6101B">
        <w:rPr>
          <w:color w:val="000000"/>
        </w:rPr>
        <w:t xml:space="preserve"> were reconstructed from the fragments found in the tomb are</w:t>
      </w:r>
      <w:r>
        <w:rPr>
          <w:color w:val="000000"/>
        </w:rPr>
        <w:t xml:space="preserve"> estimated at</w:t>
      </w:r>
      <w:r w:rsidRPr="00D6101B">
        <w:rPr>
          <w:color w:val="000000"/>
        </w:rPr>
        <w:t xml:space="preserve"> six (Rethemiotakis 2013)</w:t>
      </w:r>
      <w:r>
        <w:rPr>
          <w:color w:val="000000"/>
        </w:rPr>
        <w:t>,</w:t>
      </w:r>
      <w:r w:rsidRPr="00D6101B">
        <w:rPr>
          <w:color w:val="000000"/>
        </w:rPr>
        <w:t xml:space="preserve"> but the </w:t>
      </w:r>
      <w:r>
        <w:rPr>
          <w:color w:val="000000"/>
        </w:rPr>
        <w:t xml:space="preserve">actual </w:t>
      </w:r>
      <w:r w:rsidRPr="00D6101B">
        <w:rPr>
          <w:color w:val="000000"/>
        </w:rPr>
        <w:t>number of larnakes was much higher (Preston reports a total of 15 larnakes for these two tombs</w:t>
      </w:r>
      <w:r>
        <w:rPr>
          <w:color w:val="000000"/>
        </w:rPr>
        <w:t xml:space="preserve"> (Preston 2000: 657, appendix O</w:t>
      </w:r>
      <w:r w:rsidRPr="00D6101B">
        <w:rPr>
          <w:color w:val="000000"/>
        </w:rPr>
        <w:t>).</w:t>
      </w:r>
    </w:p>
    <w:p w14:paraId="1FBB2FA0"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FF0000"/>
        </w:rPr>
      </w:pPr>
      <w:r>
        <w:rPr>
          <w:color w:val="000000"/>
        </w:rPr>
        <w:tab/>
      </w:r>
      <w:r w:rsidRPr="00D6101B">
        <w:rPr>
          <w:color w:val="000000"/>
        </w:rPr>
        <w:t xml:space="preserve">The data concerning the maximum number of estimated burials per tomb (23) comes from </w:t>
      </w:r>
      <w:r>
        <w:rPr>
          <w:color w:val="000000"/>
        </w:rPr>
        <w:t>Tholos B at Archanes. There</w:t>
      </w:r>
      <w:r w:rsidRPr="00D6101B">
        <w:rPr>
          <w:color w:val="000000"/>
        </w:rPr>
        <w:t xml:space="preserve"> a larnax</w:t>
      </w:r>
      <w:r>
        <w:rPr>
          <w:color w:val="000000"/>
        </w:rPr>
        <w:t xml:space="preserve"> was found, within which</w:t>
      </w:r>
      <w:r w:rsidRPr="00D6101B">
        <w:rPr>
          <w:color w:val="000000"/>
        </w:rPr>
        <w:t xml:space="preserve"> </w:t>
      </w:r>
      <w:r>
        <w:rPr>
          <w:color w:val="000000"/>
        </w:rPr>
        <w:t xml:space="preserve">were skeletal remains of </w:t>
      </w:r>
      <w:r w:rsidRPr="00D6101B">
        <w:rPr>
          <w:color w:val="000000"/>
        </w:rPr>
        <w:t xml:space="preserve">19 individuals </w:t>
      </w:r>
      <w:r>
        <w:rPr>
          <w:color w:val="000000"/>
        </w:rPr>
        <w:t>from</w:t>
      </w:r>
      <w:r w:rsidRPr="00D6101B">
        <w:rPr>
          <w:color w:val="000000"/>
        </w:rPr>
        <w:t xml:space="preserve"> secondary burials depositions. </w:t>
      </w:r>
      <w:r>
        <w:rPr>
          <w:color w:val="000000"/>
        </w:rPr>
        <w:t>P</w:t>
      </w:r>
      <w:r w:rsidRPr="00D6101B">
        <w:rPr>
          <w:color w:val="000000"/>
        </w:rPr>
        <w:t>robably</w:t>
      </w:r>
      <w:r>
        <w:rPr>
          <w:color w:val="000000"/>
        </w:rPr>
        <w:t>,</w:t>
      </w:r>
      <w:r w:rsidRPr="00D6101B">
        <w:rPr>
          <w:color w:val="000000"/>
        </w:rPr>
        <w:t xml:space="preserve"> the larnax </w:t>
      </w:r>
      <w:r>
        <w:rPr>
          <w:color w:val="000000"/>
        </w:rPr>
        <w:t xml:space="preserve">was </w:t>
      </w:r>
      <w:r w:rsidRPr="00D6101B">
        <w:rPr>
          <w:color w:val="000000"/>
        </w:rPr>
        <w:t>u</w:t>
      </w:r>
      <w:r>
        <w:rPr>
          <w:color w:val="000000"/>
        </w:rPr>
        <w:t>sed as an ossuary (Sakellarakis and</w:t>
      </w:r>
      <w:r w:rsidRPr="00D6101B">
        <w:rPr>
          <w:color w:val="000000"/>
        </w:rPr>
        <w:t xml:space="preserve"> Sakellaraki 1997:</w:t>
      </w:r>
      <w:r>
        <w:t xml:space="preserve"> 169-180, Figure 126</w:t>
      </w:r>
      <w:r w:rsidRPr="00D6101B">
        <w:t xml:space="preserve">). The other tomb with a minimum number of burials above 10 is </w:t>
      </w:r>
      <w:r>
        <w:t>T</w:t>
      </w:r>
      <w:r w:rsidRPr="00D6101B">
        <w:t>omb 4 at Metochi Kalou</w:t>
      </w:r>
      <w:r>
        <w:t xml:space="preserve">: </w:t>
      </w:r>
      <w:r w:rsidRPr="00D6101B">
        <w:t>the tomb was used for a minimum of 12 burials. In this tomb</w:t>
      </w:r>
      <w:r>
        <w:t>,</w:t>
      </w:r>
      <w:r w:rsidRPr="00D6101B">
        <w:t xml:space="preserve"> eight burials </w:t>
      </w:r>
      <w:r>
        <w:t>were</w:t>
      </w:r>
      <w:r w:rsidRPr="00D6101B">
        <w:t xml:space="preserve"> associated with larnakes (although there is no information about </w:t>
      </w:r>
      <w:r>
        <w:t xml:space="preserve">the </w:t>
      </w:r>
      <w:r w:rsidRPr="00D6101B">
        <w:t xml:space="preserve">skeletal remains) and </w:t>
      </w:r>
      <w:r>
        <w:t>four other</w:t>
      </w:r>
      <w:r w:rsidRPr="00D6101B">
        <w:t xml:space="preserve"> primary depositions </w:t>
      </w:r>
      <w:r>
        <w:t xml:space="preserve">were </w:t>
      </w:r>
      <w:r w:rsidRPr="00D6101B">
        <w:t xml:space="preserve">recovered </w:t>
      </w:r>
      <w:r>
        <w:t>from</w:t>
      </w:r>
      <w:r w:rsidRPr="00D6101B">
        <w:t xml:space="preserve"> the two pits on the floor (</w:t>
      </w:r>
      <w:r>
        <w:t>two</w:t>
      </w:r>
      <w:r w:rsidRPr="00D6101B">
        <w:t xml:space="preserve"> burials </w:t>
      </w:r>
      <w:r>
        <w:t>in</w:t>
      </w:r>
      <w:r w:rsidRPr="00D6101B">
        <w:t xml:space="preserve"> each pit). </w:t>
      </w:r>
      <w:r>
        <w:t>T</w:t>
      </w:r>
      <w:r w:rsidRPr="00D6101B">
        <w:t xml:space="preserve">his tomb </w:t>
      </w:r>
      <w:r>
        <w:t xml:space="preserve">contained </w:t>
      </w:r>
      <w:r w:rsidRPr="00D6101B">
        <w:t xml:space="preserve">the maximum number of larnakes per tomb (8) in the </w:t>
      </w:r>
      <w:r>
        <w:t>C</w:t>
      </w:r>
      <w:r w:rsidRPr="00D6101B">
        <w:t>entral region.</w:t>
      </w:r>
    </w:p>
    <w:p w14:paraId="6B1EE2C4"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I</w:t>
      </w:r>
      <w:r w:rsidRPr="00D6101B">
        <w:rPr>
          <w:color w:val="000000"/>
        </w:rPr>
        <w:t xml:space="preserve">n the </w:t>
      </w:r>
      <w:r>
        <w:rPr>
          <w:color w:val="000000"/>
        </w:rPr>
        <w:t>C</w:t>
      </w:r>
      <w:r w:rsidRPr="00D6101B">
        <w:rPr>
          <w:color w:val="000000"/>
        </w:rPr>
        <w:t>entral area</w:t>
      </w:r>
      <w:r>
        <w:rPr>
          <w:color w:val="000000"/>
        </w:rPr>
        <w:t>,</w:t>
      </w:r>
      <w:r w:rsidRPr="00D6101B">
        <w:rPr>
          <w:color w:val="000000"/>
        </w:rPr>
        <w:t xml:space="preserve"> information about burials and skeletal remains </w:t>
      </w:r>
      <w:r>
        <w:rPr>
          <w:color w:val="000000"/>
        </w:rPr>
        <w:t>is</w:t>
      </w:r>
      <w:r w:rsidRPr="00D6101B">
        <w:rPr>
          <w:color w:val="000000"/>
        </w:rPr>
        <w:t xml:space="preserve"> available for 36% of the sample of </w:t>
      </w:r>
      <w:r>
        <w:rPr>
          <w:color w:val="000000"/>
        </w:rPr>
        <w:t xml:space="preserve">secure </w:t>
      </w:r>
      <w:r w:rsidRPr="00D6101B">
        <w:rPr>
          <w:color w:val="000000"/>
        </w:rPr>
        <w:t>tombs with larnakes. Within this sample</w:t>
      </w:r>
      <w:r>
        <w:rPr>
          <w:color w:val="000000"/>
        </w:rPr>
        <w:t>,</w:t>
      </w:r>
      <w:r w:rsidRPr="00D6101B">
        <w:rPr>
          <w:color w:val="000000"/>
        </w:rPr>
        <w:t xml:space="preserve"> </w:t>
      </w:r>
      <w:r>
        <w:rPr>
          <w:color w:val="000000"/>
        </w:rPr>
        <w:t xml:space="preserve">the percentage of </w:t>
      </w:r>
      <w:r w:rsidRPr="00D6101B">
        <w:rPr>
          <w:color w:val="000000"/>
        </w:rPr>
        <w:t xml:space="preserve">tombs where skeletal remains have been reported in association only with larnakes and no other deposition methods have been found </w:t>
      </w:r>
      <w:r>
        <w:rPr>
          <w:color w:val="000000"/>
        </w:rPr>
        <w:t>is</w:t>
      </w:r>
      <w:r w:rsidRPr="00D6101B">
        <w:rPr>
          <w:color w:val="000000"/>
        </w:rPr>
        <w:t xml:space="preserve"> 26%.</w:t>
      </w:r>
    </w:p>
    <w:p w14:paraId="1AEE6AA6"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I</w:t>
      </w:r>
      <w:r w:rsidRPr="00D6101B">
        <w:rPr>
          <w:color w:val="000000"/>
        </w:rPr>
        <w:t>n the remaining 74% of tombs</w:t>
      </w:r>
      <w:r>
        <w:rPr>
          <w:color w:val="000000"/>
        </w:rPr>
        <w:t>,</w:t>
      </w:r>
      <w:r w:rsidRPr="00D6101B">
        <w:rPr>
          <w:color w:val="000000"/>
        </w:rPr>
        <w:t xml:space="preserve"> </w:t>
      </w:r>
      <w:r>
        <w:rPr>
          <w:color w:val="000000"/>
        </w:rPr>
        <w:t>regarding</w:t>
      </w:r>
      <w:r w:rsidRPr="00D6101B">
        <w:rPr>
          <w:color w:val="000000"/>
        </w:rPr>
        <w:t xml:space="preserve"> other interment type</w:t>
      </w:r>
      <w:r>
        <w:rPr>
          <w:color w:val="000000"/>
        </w:rPr>
        <w:t>s</w:t>
      </w:r>
      <w:r w:rsidRPr="00D6101B">
        <w:rPr>
          <w:color w:val="000000"/>
        </w:rPr>
        <w:t xml:space="preserve"> used with larnakes, the other type</w:t>
      </w:r>
      <w:r>
        <w:rPr>
          <w:color w:val="000000"/>
        </w:rPr>
        <w:t>s</w:t>
      </w:r>
      <w:r w:rsidRPr="00D6101B">
        <w:rPr>
          <w:color w:val="000000"/>
        </w:rPr>
        <w:t xml:space="preserve"> of container associated </w:t>
      </w:r>
      <w:r>
        <w:rPr>
          <w:color w:val="000000"/>
        </w:rPr>
        <w:t>are</w:t>
      </w:r>
      <w:r w:rsidRPr="00D6101B">
        <w:rPr>
          <w:color w:val="000000"/>
        </w:rPr>
        <w:t xml:space="preserve"> wooden larna</w:t>
      </w:r>
      <w:r>
        <w:rPr>
          <w:color w:val="000000"/>
        </w:rPr>
        <w:t>kes</w:t>
      </w:r>
      <w:r w:rsidRPr="00D6101B">
        <w:rPr>
          <w:color w:val="000000"/>
        </w:rPr>
        <w:t>/biers found</w:t>
      </w:r>
      <w:r>
        <w:rPr>
          <w:color w:val="000000"/>
        </w:rPr>
        <w:t>,</w:t>
      </w:r>
      <w:r w:rsidRPr="00D6101B">
        <w:rPr>
          <w:color w:val="000000"/>
        </w:rPr>
        <w:t xml:space="preserve"> in a tomb at Ano Vathia Sopatakia and Kyparissi Vathia </w:t>
      </w:r>
      <w:r>
        <w:rPr>
          <w:color w:val="000000"/>
        </w:rPr>
        <w:t>T</w:t>
      </w:r>
      <w:r w:rsidRPr="00D6101B">
        <w:rPr>
          <w:color w:val="000000"/>
        </w:rPr>
        <w:t>omb 3. In the chamber tomb at Ano Vathia Sopatakia</w:t>
      </w:r>
      <w:r>
        <w:rPr>
          <w:color w:val="000000"/>
        </w:rPr>
        <w:t>,</w:t>
      </w:r>
      <w:r w:rsidRPr="00D6101B">
        <w:rPr>
          <w:color w:val="000000"/>
        </w:rPr>
        <w:t xml:space="preserve"> only one larnax </w:t>
      </w:r>
      <w:r>
        <w:rPr>
          <w:color w:val="000000"/>
        </w:rPr>
        <w:t>was found, without any mention of</w:t>
      </w:r>
      <w:r w:rsidRPr="00D6101B">
        <w:rPr>
          <w:color w:val="000000"/>
        </w:rPr>
        <w:t xml:space="preserve"> skeletal remains</w:t>
      </w:r>
      <w:r>
        <w:rPr>
          <w:color w:val="000000"/>
        </w:rPr>
        <w:t>,</w:t>
      </w:r>
      <w:r w:rsidRPr="00D6101B">
        <w:rPr>
          <w:color w:val="000000"/>
        </w:rPr>
        <w:t xml:space="preserve"> and the other six bodies found within the chamber were probably l</w:t>
      </w:r>
      <w:r>
        <w:rPr>
          <w:color w:val="000000"/>
        </w:rPr>
        <w:t>ying</w:t>
      </w:r>
      <w:r w:rsidRPr="00D6101B">
        <w:rPr>
          <w:color w:val="000000"/>
        </w:rPr>
        <w:t xml:space="preserve"> on wooden bier</w:t>
      </w:r>
      <w:r>
        <w:rPr>
          <w:color w:val="000000"/>
        </w:rPr>
        <w:t>s</w:t>
      </w:r>
      <w:r w:rsidRPr="00D6101B">
        <w:rPr>
          <w:color w:val="000000"/>
        </w:rPr>
        <w:t>/coffins (</w:t>
      </w:r>
      <w:r w:rsidRPr="009A0442">
        <w:rPr>
          <w:i/>
          <w:color w:val="000000"/>
        </w:rPr>
        <w:t xml:space="preserve">ADelt </w:t>
      </w:r>
      <w:r>
        <w:rPr>
          <w:color w:val="000000"/>
        </w:rPr>
        <w:t>38</w:t>
      </w:r>
      <w:r w:rsidRPr="00D6101B">
        <w:rPr>
          <w:color w:val="000000"/>
        </w:rPr>
        <w:t xml:space="preserve"> 1</w:t>
      </w:r>
      <w:r>
        <w:rPr>
          <w:color w:val="000000"/>
        </w:rPr>
        <w:t>98</w:t>
      </w:r>
      <w:r w:rsidRPr="00D6101B">
        <w:rPr>
          <w:color w:val="000000"/>
        </w:rPr>
        <w:t>3: 356</w:t>
      </w:r>
      <w:r>
        <w:rPr>
          <w:color w:val="000000"/>
        </w:rPr>
        <w:t xml:space="preserve">-357; </w:t>
      </w:r>
      <w:r w:rsidRPr="00D6101B">
        <w:rPr>
          <w:color w:val="000000"/>
        </w:rPr>
        <w:t>L</w:t>
      </w:r>
      <w:r>
        <w:rPr>
          <w:color w:val="000000"/>
        </w:rPr>
        <w:t>ö</w:t>
      </w:r>
      <w:r w:rsidRPr="00D6101B">
        <w:rPr>
          <w:color w:val="000000"/>
        </w:rPr>
        <w:t>we 199</w:t>
      </w:r>
      <w:r>
        <w:rPr>
          <w:color w:val="000000"/>
        </w:rPr>
        <w:t>6</w:t>
      </w:r>
      <w:r w:rsidRPr="00D6101B">
        <w:rPr>
          <w:color w:val="000000"/>
        </w:rPr>
        <w:t>: 255 n. 783). In one of the three chamber tombs at Kyparissi Vathia (</w:t>
      </w:r>
      <w:r>
        <w:rPr>
          <w:color w:val="000000"/>
        </w:rPr>
        <w:t>T</w:t>
      </w:r>
      <w:r w:rsidRPr="00D6101B">
        <w:rPr>
          <w:color w:val="000000"/>
        </w:rPr>
        <w:t>omb 3)</w:t>
      </w:r>
      <w:r>
        <w:rPr>
          <w:color w:val="000000"/>
        </w:rPr>
        <w:t>,</w:t>
      </w:r>
      <w:r w:rsidRPr="00D6101B">
        <w:rPr>
          <w:color w:val="000000"/>
        </w:rPr>
        <w:t xml:space="preserve"> </w:t>
      </w:r>
      <w:r>
        <w:rPr>
          <w:color w:val="000000"/>
        </w:rPr>
        <w:t>in addition to</w:t>
      </w:r>
      <w:r w:rsidRPr="00D6101B">
        <w:rPr>
          <w:color w:val="000000"/>
        </w:rPr>
        <w:t xml:space="preserve"> a primary burial in a chest larnax and a number of secondary burials in the pit (</w:t>
      </w:r>
      <w:r>
        <w:rPr>
          <w:color w:val="000000"/>
        </w:rPr>
        <w:t>un</w:t>
      </w:r>
      <w:r w:rsidRPr="00D6101B">
        <w:rPr>
          <w:color w:val="000000"/>
        </w:rPr>
        <w:t>specified)</w:t>
      </w:r>
      <w:r>
        <w:rPr>
          <w:color w:val="000000"/>
        </w:rPr>
        <w:t>,</w:t>
      </w:r>
      <w:r w:rsidRPr="00D6101B">
        <w:rPr>
          <w:color w:val="000000"/>
        </w:rPr>
        <w:t xml:space="preserve"> an uncertain number of disturbed burials </w:t>
      </w:r>
      <w:r>
        <w:rPr>
          <w:color w:val="000000"/>
        </w:rPr>
        <w:t>was</w:t>
      </w:r>
      <w:r w:rsidRPr="00D6101B">
        <w:rPr>
          <w:color w:val="000000"/>
        </w:rPr>
        <w:t xml:space="preserve"> </w:t>
      </w:r>
      <w:r>
        <w:rPr>
          <w:color w:val="000000"/>
        </w:rPr>
        <w:t xml:space="preserve">probably </w:t>
      </w:r>
      <w:r w:rsidRPr="00D6101B">
        <w:rPr>
          <w:color w:val="000000"/>
        </w:rPr>
        <w:t>associated with wooden receptacles (Rethemi</w:t>
      </w:r>
      <w:r>
        <w:rPr>
          <w:color w:val="000000"/>
        </w:rPr>
        <w:t>otakis 1987: 235-243; L</w:t>
      </w:r>
      <w:r>
        <w:rPr>
          <w:color w:val="000000"/>
          <w:lang w:val="de-DE"/>
        </w:rPr>
        <w:t>ö</w:t>
      </w:r>
      <w:r>
        <w:rPr>
          <w:color w:val="000000"/>
        </w:rPr>
        <w:t>we 1996: 234</w:t>
      </w:r>
      <w:r w:rsidRPr="00D6101B">
        <w:rPr>
          <w:color w:val="000000"/>
        </w:rPr>
        <w:t xml:space="preserve"> n. 682). Consequently, the minimum number </w:t>
      </w:r>
      <w:r>
        <w:rPr>
          <w:color w:val="000000"/>
        </w:rPr>
        <w:t xml:space="preserve">of </w:t>
      </w:r>
      <w:r w:rsidRPr="00D6101B">
        <w:rPr>
          <w:color w:val="000000"/>
        </w:rPr>
        <w:t xml:space="preserve">wooden receptacle burials probably associated with larnakes in </w:t>
      </w:r>
      <w:r>
        <w:rPr>
          <w:color w:val="000000"/>
        </w:rPr>
        <w:t>the Central</w:t>
      </w:r>
      <w:r w:rsidRPr="00D6101B">
        <w:rPr>
          <w:color w:val="000000"/>
        </w:rPr>
        <w:t xml:space="preserve"> area </w:t>
      </w:r>
      <w:r>
        <w:rPr>
          <w:color w:val="000000"/>
        </w:rPr>
        <w:t>is</w:t>
      </w:r>
      <w:r w:rsidRPr="00D6101B">
        <w:rPr>
          <w:color w:val="000000"/>
        </w:rPr>
        <w:t xml:space="preserve"> at least </w:t>
      </w:r>
      <w:r>
        <w:rPr>
          <w:color w:val="000000"/>
        </w:rPr>
        <w:t>seven</w:t>
      </w:r>
      <w:r w:rsidRPr="00D6101B">
        <w:rPr>
          <w:color w:val="000000"/>
        </w:rPr>
        <w:t xml:space="preserve"> (considering the minimum number of </w:t>
      </w:r>
      <w:r>
        <w:rPr>
          <w:color w:val="000000"/>
        </w:rPr>
        <w:t>one</w:t>
      </w:r>
      <w:r w:rsidRPr="00D6101B">
        <w:rPr>
          <w:color w:val="000000"/>
        </w:rPr>
        <w:t xml:space="preserve"> burial in </w:t>
      </w:r>
      <w:r>
        <w:rPr>
          <w:color w:val="000000"/>
        </w:rPr>
        <w:t xml:space="preserve">a </w:t>
      </w:r>
      <w:r w:rsidRPr="00D6101B">
        <w:rPr>
          <w:color w:val="000000"/>
        </w:rPr>
        <w:t xml:space="preserve">wooden coffin from </w:t>
      </w:r>
      <w:r>
        <w:rPr>
          <w:color w:val="000000"/>
        </w:rPr>
        <w:t>T</w:t>
      </w:r>
      <w:r w:rsidRPr="00D6101B">
        <w:rPr>
          <w:color w:val="000000"/>
        </w:rPr>
        <w:t>omb 3 at Kyparissi Vathia).</w:t>
      </w:r>
    </w:p>
    <w:p w14:paraId="477E1614" w14:textId="77777777" w:rsidR="001A4F1A" w:rsidRPr="004F5582"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The re</w:t>
      </w:r>
      <w:r>
        <w:rPr>
          <w:color w:val="000000"/>
        </w:rPr>
        <w:t>use</w:t>
      </w:r>
      <w:r w:rsidRPr="00D6101B">
        <w:rPr>
          <w:color w:val="000000"/>
        </w:rPr>
        <w:t xml:space="preserve"> of MM chests and lid</w:t>
      </w:r>
      <w:r>
        <w:rPr>
          <w:color w:val="000000"/>
        </w:rPr>
        <w:t>s</w:t>
      </w:r>
      <w:r w:rsidRPr="00D6101B">
        <w:rPr>
          <w:color w:val="000000"/>
        </w:rPr>
        <w:t xml:space="preserve"> for LM III burials has been </w:t>
      </w:r>
      <w:r>
        <w:rPr>
          <w:color w:val="000000"/>
        </w:rPr>
        <w:t>found</w:t>
      </w:r>
      <w:r w:rsidRPr="00D6101B">
        <w:rPr>
          <w:color w:val="000000"/>
        </w:rPr>
        <w:t xml:space="preserve"> in only </w:t>
      </w:r>
      <w:r>
        <w:rPr>
          <w:color w:val="000000"/>
        </w:rPr>
        <w:t xml:space="preserve">one </w:t>
      </w:r>
      <w:r w:rsidRPr="00D6101B">
        <w:rPr>
          <w:color w:val="000000"/>
        </w:rPr>
        <w:t xml:space="preserve">tomb at Archanes Aniphoros </w:t>
      </w:r>
      <w:r>
        <w:rPr>
          <w:color w:val="000000"/>
        </w:rPr>
        <w:t>T</w:t>
      </w:r>
      <w:r w:rsidRPr="00D6101B">
        <w:rPr>
          <w:color w:val="000000"/>
        </w:rPr>
        <w:t>omb 1, where two of the primary burials in the pit were respectively covered with an MM larnax and lying on a</w:t>
      </w:r>
      <w:r>
        <w:rPr>
          <w:color w:val="000000"/>
        </w:rPr>
        <w:t>n</w:t>
      </w:r>
      <w:r w:rsidRPr="00D6101B">
        <w:rPr>
          <w:color w:val="000000"/>
        </w:rPr>
        <w:t xml:space="preserve"> MM larnax lid (</w:t>
      </w:r>
      <w:r w:rsidRPr="00D6101B">
        <w:rPr>
          <w:i/>
          <w:iCs/>
          <w:color w:val="000000"/>
        </w:rPr>
        <w:t>KChr</w:t>
      </w:r>
      <w:r w:rsidRPr="00D6101B">
        <w:rPr>
          <w:color w:val="000000"/>
        </w:rPr>
        <w:t xml:space="preserve"> 14 1960: 507; </w:t>
      </w:r>
      <w:r w:rsidRPr="00D6101B">
        <w:rPr>
          <w:i/>
          <w:iCs/>
          <w:color w:val="000000"/>
        </w:rPr>
        <w:t>ADelt</w:t>
      </w:r>
      <w:r w:rsidRPr="00D6101B">
        <w:rPr>
          <w:color w:val="000000"/>
        </w:rPr>
        <w:t xml:space="preserve"> 20 1965: 558; Kanta 1980:</w:t>
      </w:r>
      <w:r>
        <w:rPr>
          <w:color w:val="000000"/>
        </w:rPr>
        <w:t xml:space="preserve"> </w:t>
      </w:r>
      <w:r w:rsidRPr="00D6101B">
        <w:rPr>
          <w:color w:val="000000"/>
        </w:rPr>
        <w:t>31-32; Sapouna-Sakellaraki 1990:</w:t>
      </w:r>
      <w:r>
        <w:rPr>
          <w:color w:val="000000"/>
        </w:rPr>
        <w:t xml:space="preserve"> </w:t>
      </w:r>
      <w:r w:rsidRPr="00D6101B">
        <w:rPr>
          <w:color w:val="000000"/>
        </w:rPr>
        <w:t>69-72, figs. 2 [4], 4-5)</w:t>
      </w:r>
      <w:r>
        <w:rPr>
          <w:color w:val="000000"/>
        </w:rPr>
        <w:t>,</w:t>
      </w:r>
      <w:r w:rsidRPr="00D6101B">
        <w:rPr>
          <w:color w:val="000000"/>
        </w:rPr>
        <w:t xml:space="preserve"> and at Episkopi Pediada Malathres </w:t>
      </w:r>
      <w:r>
        <w:rPr>
          <w:color w:val="000000"/>
        </w:rPr>
        <w:t>T</w:t>
      </w:r>
      <w:r w:rsidRPr="00D6101B">
        <w:rPr>
          <w:color w:val="000000"/>
        </w:rPr>
        <w:t>omb 2, where a</w:t>
      </w:r>
      <w:r>
        <w:rPr>
          <w:color w:val="000000"/>
        </w:rPr>
        <w:t>n</w:t>
      </w:r>
      <w:r w:rsidRPr="00D6101B">
        <w:rPr>
          <w:color w:val="000000"/>
        </w:rPr>
        <w:t xml:space="preserve"> MM larnax was used for secondary burial depositions (</w:t>
      </w:r>
      <w:r w:rsidRPr="00D6101B">
        <w:rPr>
          <w:i/>
          <w:iCs/>
          <w:color w:val="000000"/>
        </w:rPr>
        <w:t>KChr</w:t>
      </w:r>
      <w:r w:rsidRPr="007147F4">
        <w:rPr>
          <w:color w:val="000000"/>
        </w:rPr>
        <w:t xml:space="preserve"> 17 1963</w:t>
      </w:r>
      <w:r>
        <w:rPr>
          <w:color w:val="000000"/>
        </w:rPr>
        <w:t>: 385</w:t>
      </w:r>
      <w:r w:rsidRPr="00D6101B">
        <w:rPr>
          <w:color w:val="000000"/>
        </w:rPr>
        <w:t xml:space="preserve">; </w:t>
      </w:r>
      <w:r w:rsidRPr="00E41066">
        <w:rPr>
          <w:i/>
          <w:color w:val="000000"/>
        </w:rPr>
        <w:t>ADelt</w:t>
      </w:r>
      <w:r w:rsidRPr="00D6101B">
        <w:rPr>
          <w:color w:val="000000"/>
        </w:rPr>
        <w:t xml:space="preserve"> 1961-2: 284; Kanta 1980: 60;</w:t>
      </w:r>
      <w:r>
        <w:rPr>
          <w:color w:val="000000"/>
        </w:rPr>
        <w:t xml:space="preserve"> L</w:t>
      </w:r>
      <w:r>
        <w:rPr>
          <w:color w:val="000000"/>
          <w:lang w:val="de-DE"/>
        </w:rPr>
        <w:t>ö</w:t>
      </w:r>
      <w:r>
        <w:rPr>
          <w:color w:val="000000"/>
        </w:rPr>
        <w:t>we 1996</w:t>
      </w:r>
      <w:r w:rsidRPr="00503311">
        <w:rPr>
          <w:color w:val="000000"/>
        </w:rPr>
        <w:t>: 184 n.</w:t>
      </w:r>
      <w:r w:rsidRPr="00D6101B">
        <w:rPr>
          <w:color w:val="000000"/>
        </w:rPr>
        <w:t xml:space="preserve"> 419).</w:t>
      </w:r>
      <w:r>
        <w:rPr>
          <w:color w:val="000000"/>
        </w:rPr>
        <w:t xml:space="preserve"> </w:t>
      </w:r>
      <w:r w:rsidRPr="00D6101B">
        <w:rPr>
          <w:color w:val="000000"/>
        </w:rPr>
        <w:t xml:space="preserve">In </w:t>
      </w:r>
      <w:r>
        <w:rPr>
          <w:color w:val="000000"/>
        </w:rPr>
        <w:t>neither case is there</w:t>
      </w:r>
      <w:r w:rsidRPr="00D6101B">
        <w:rPr>
          <w:color w:val="000000"/>
        </w:rPr>
        <w:t xml:space="preserve"> information about </w:t>
      </w:r>
      <w:r>
        <w:rPr>
          <w:color w:val="000000"/>
        </w:rPr>
        <w:t xml:space="preserve">the </w:t>
      </w:r>
      <w:r w:rsidRPr="00D6101B">
        <w:rPr>
          <w:color w:val="000000"/>
        </w:rPr>
        <w:t xml:space="preserve">gender and age of </w:t>
      </w:r>
      <w:r>
        <w:rPr>
          <w:color w:val="000000"/>
        </w:rPr>
        <w:t xml:space="preserve">the </w:t>
      </w:r>
      <w:r w:rsidRPr="00D6101B">
        <w:rPr>
          <w:color w:val="000000"/>
        </w:rPr>
        <w:t>skeletal remains.</w:t>
      </w:r>
    </w:p>
    <w:p w14:paraId="4B21EACF" w14:textId="77777777" w:rsidR="001A4F1A"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6F39F677" w14:textId="74586EAC" w:rsidR="001A4F1A" w:rsidRPr="00D6101B" w:rsidRDefault="001A4F1A" w:rsidP="00E858EF">
      <w:pPr>
        <w:pStyle w:val="Testofumetto"/>
        <w:suppressAutoHyphens/>
      </w:pPr>
      <w:bookmarkStart w:id="724" w:name="_Toc520212589"/>
      <w:r>
        <w:t>Table 4-17</w:t>
      </w:r>
      <w:r w:rsidR="00352D33">
        <w:t>.</w:t>
      </w:r>
      <w:r>
        <w:t xml:space="preserve"> Depositions in other types of burial receptacle associated with larnax burials</w:t>
      </w:r>
      <w:r w:rsidR="00466FB3">
        <w:t>,</w:t>
      </w:r>
      <w:r>
        <w:t xml:space="preserve"> Central </w:t>
      </w:r>
      <w:bookmarkEnd w:id="724"/>
      <w:r w:rsidR="00466FB3">
        <w:t>area</w:t>
      </w:r>
      <w:r w:rsidR="00466FB3" w:rsidDel="00D9368E">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4"/>
        <w:gridCol w:w="1955"/>
        <w:gridCol w:w="1955"/>
      </w:tblGrid>
      <w:tr w:rsidR="001A4F1A" w:rsidRPr="00F46A41" w14:paraId="3610A965" w14:textId="77777777" w:rsidTr="001D0E8B">
        <w:tc>
          <w:tcPr>
            <w:tcW w:w="1954" w:type="dxa"/>
          </w:tcPr>
          <w:p w14:paraId="1DB12952"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p>
        </w:tc>
        <w:tc>
          <w:tcPr>
            <w:tcW w:w="1955" w:type="dxa"/>
          </w:tcPr>
          <w:p w14:paraId="308AEC75"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Wooden bier/coffin</w:t>
            </w:r>
          </w:p>
        </w:tc>
        <w:tc>
          <w:tcPr>
            <w:tcW w:w="1955" w:type="dxa"/>
          </w:tcPr>
          <w:p w14:paraId="5C9E0AC9"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MM larnakes reused</w:t>
            </w:r>
          </w:p>
        </w:tc>
      </w:tr>
      <w:tr w:rsidR="001A4F1A" w:rsidRPr="00F46A41" w14:paraId="6194760A" w14:textId="77777777" w:rsidTr="001D0E8B">
        <w:tc>
          <w:tcPr>
            <w:tcW w:w="1954" w:type="dxa"/>
          </w:tcPr>
          <w:p w14:paraId="383F6281"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rPr>
            </w:pPr>
            <w:r w:rsidRPr="00F46A41">
              <w:rPr>
                <w:color w:val="000000"/>
                <w:sz w:val="20"/>
              </w:rPr>
              <w:t>No. interments (minimum)</w:t>
            </w:r>
          </w:p>
        </w:tc>
        <w:tc>
          <w:tcPr>
            <w:tcW w:w="1955" w:type="dxa"/>
          </w:tcPr>
          <w:p w14:paraId="72B2CE65"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7</w:t>
            </w:r>
          </w:p>
        </w:tc>
        <w:tc>
          <w:tcPr>
            <w:tcW w:w="1955" w:type="dxa"/>
          </w:tcPr>
          <w:p w14:paraId="50A4E93C"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3</w:t>
            </w:r>
          </w:p>
        </w:tc>
      </w:tr>
    </w:tbl>
    <w:p w14:paraId="17815645"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57D7597A" w14:textId="590FEABE" w:rsidR="001A4F1A" w:rsidRDefault="001A4F1A" w:rsidP="00E858EF">
      <w:pPr>
        <w:suppressAutoHyphens/>
        <w:autoSpaceDE w:val="0"/>
        <w:autoSpaceDN w:val="0"/>
        <w:adjustRightInd w:val="0"/>
        <w:rPr>
          <w:color w:val="000000"/>
        </w:rPr>
      </w:pPr>
      <w:r>
        <w:rPr>
          <w:color w:val="000000"/>
        </w:rPr>
        <w:tab/>
        <w:t>In addition to</w:t>
      </w:r>
      <w:r w:rsidRPr="00D6101B">
        <w:rPr>
          <w:color w:val="000000"/>
        </w:rPr>
        <w:t xml:space="preserve"> wooden coffin burials and the reuse of MM larnakes, fragments of bone </w:t>
      </w:r>
      <w:r>
        <w:rPr>
          <w:color w:val="000000"/>
        </w:rPr>
        <w:t>were found</w:t>
      </w:r>
      <w:r w:rsidRPr="00D6101B">
        <w:rPr>
          <w:color w:val="000000"/>
        </w:rPr>
        <w:t xml:space="preserve"> in the dromos of </w:t>
      </w:r>
      <w:r>
        <w:rPr>
          <w:color w:val="000000"/>
        </w:rPr>
        <w:t>T</w:t>
      </w:r>
      <w:r w:rsidRPr="00D6101B">
        <w:rPr>
          <w:color w:val="000000"/>
        </w:rPr>
        <w:t>omb 1 at Gournes (</w:t>
      </w:r>
      <w:r>
        <w:rPr>
          <w:color w:val="000000"/>
        </w:rPr>
        <w:t xml:space="preserve">Hatzidakis </w:t>
      </w:r>
      <w:r w:rsidRPr="00D6101B">
        <w:rPr>
          <w:color w:val="000000"/>
        </w:rPr>
        <w:t>1918: 63-87), while larna</w:t>
      </w:r>
      <w:r>
        <w:rPr>
          <w:color w:val="000000"/>
        </w:rPr>
        <w:t>x</w:t>
      </w:r>
      <w:r w:rsidRPr="00D6101B">
        <w:rPr>
          <w:color w:val="000000"/>
        </w:rPr>
        <w:t xml:space="preserve"> burials themselves have been found in pits (Archanes Phourni </w:t>
      </w:r>
      <w:r>
        <w:rPr>
          <w:color w:val="000000"/>
        </w:rPr>
        <w:t>T</w:t>
      </w:r>
      <w:r w:rsidRPr="00D6101B">
        <w:rPr>
          <w:color w:val="000000"/>
        </w:rPr>
        <w:t xml:space="preserve">holos A; Episkopi Pediada Kephala </w:t>
      </w:r>
      <w:r>
        <w:rPr>
          <w:color w:val="000000"/>
        </w:rPr>
        <w:t>T</w:t>
      </w:r>
      <w:r w:rsidRPr="00D6101B">
        <w:rPr>
          <w:color w:val="000000"/>
        </w:rPr>
        <w:t xml:space="preserve">omb </w:t>
      </w:r>
      <w:r>
        <w:rPr>
          <w:color w:val="000000"/>
        </w:rPr>
        <w:t>D</w:t>
      </w:r>
      <w:r w:rsidRPr="00D6101B">
        <w:rPr>
          <w:color w:val="000000"/>
        </w:rPr>
        <w:t>elta; Gournes tombs 1,</w:t>
      </w:r>
      <w:r>
        <w:rPr>
          <w:color w:val="000000"/>
        </w:rPr>
        <w:t xml:space="preserve"> </w:t>
      </w:r>
      <w:r w:rsidRPr="00D6101B">
        <w:rPr>
          <w:color w:val="000000"/>
        </w:rPr>
        <w:t>2 and 4).</w:t>
      </w:r>
    </w:p>
    <w:p w14:paraId="52AD64F9" w14:textId="77777777" w:rsidR="001D0E8B" w:rsidRDefault="001D0E8B" w:rsidP="00E858EF">
      <w:pPr>
        <w:suppressAutoHyphens/>
        <w:autoSpaceDE w:val="0"/>
        <w:autoSpaceDN w:val="0"/>
        <w:adjustRightInd w:val="0"/>
        <w:rPr>
          <w:color w:val="000000"/>
        </w:rPr>
      </w:pPr>
    </w:p>
    <w:p w14:paraId="2345373A" w14:textId="77777777" w:rsidR="00F46A41" w:rsidRDefault="00F46A41">
      <w:pPr>
        <w:widowControl/>
        <w:spacing w:line="240" w:lineRule="auto"/>
        <w:contextualSpacing w:val="0"/>
        <w:jc w:val="left"/>
        <w:rPr>
          <w:rFonts w:cs="Lucida Grande"/>
          <w:b/>
          <w:sz w:val="20"/>
          <w:szCs w:val="18"/>
        </w:rPr>
      </w:pPr>
      <w:r>
        <w:br w:type="page"/>
      </w:r>
    </w:p>
    <w:p w14:paraId="769945E2" w14:textId="7F9ABDF5" w:rsidR="001D0E8B" w:rsidRDefault="001A4F1A" w:rsidP="00E858EF">
      <w:pPr>
        <w:pStyle w:val="Testofumetto"/>
        <w:suppressAutoHyphens/>
      </w:pPr>
      <w:bookmarkStart w:id="725" w:name="_Toc520212590"/>
      <w:r>
        <w:t>Table 4-18a</w:t>
      </w:r>
      <w:r w:rsidR="00352D33">
        <w:t>.</w:t>
      </w:r>
      <w:r>
        <w:t xml:space="preserve"> Interment methods and burial stage of skeletal remains in tombs with larnakes and information </w:t>
      </w:r>
      <w:r w:rsidR="00D433EC">
        <w:t xml:space="preserve">on </w:t>
      </w:r>
      <w:r>
        <w:t>skeletal remains</w:t>
      </w:r>
      <w:r w:rsidR="00466FB3">
        <w:t>,</w:t>
      </w:r>
      <w:r>
        <w:t xml:space="preserve"> Central </w:t>
      </w:r>
      <w:bookmarkEnd w:id="725"/>
      <w:r w:rsidR="00466FB3">
        <w:t xml:space="preserve">area </w:t>
      </w:r>
    </w:p>
    <w:p w14:paraId="75FE0C36" w14:textId="61077826" w:rsidR="001A4F1A" w:rsidRPr="001D0E8B" w:rsidRDefault="001A4F1A" w:rsidP="00E858EF">
      <w:pPr>
        <w:suppressAutoHyphens/>
        <w:spacing w:line="240" w:lineRule="auto"/>
      </w:pPr>
      <w:r w:rsidRPr="001D0E8B">
        <w:rPr>
          <w:sz w:val="20"/>
        </w:rPr>
        <w:t>(p= primary deposition; s= secondary deposition; No info= no information about the burial stage/skeletal remains)</w:t>
      </w:r>
    </w:p>
    <w:tbl>
      <w:tblPr>
        <w:tblStyle w:val="Grigliatabella"/>
        <w:tblW w:w="8886" w:type="dxa"/>
        <w:tblLayout w:type="fixed"/>
        <w:tblLook w:val="04A0" w:firstRow="1" w:lastRow="0" w:firstColumn="1" w:lastColumn="0" w:noHBand="0" w:noVBand="1"/>
      </w:tblPr>
      <w:tblGrid>
        <w:gridCol w:w="1242"/>
        <w:gridCol w:w="539"/>
        <w:gridCol w:w="494"/>
        <w:gridCol w:w="557"/>
        <w:gridCol w:w="567"/>
        <w:gridCol w:w="567"/>
        <w:gridCol w:w="668"/>
        <w:gridCol w:w="709"/>
        <w:gridCol w:w="566"/>
        <w:gridCol w:w="992"/>
        <w:gridCol w:w="1135"/>
        <w:gridCol w:w="850"/>
      </w:tblGrid>
      <w:tr w:rsidR="001A4F1A" w:rsidRPr="00F46A41" w14:paraId="478672AA" w14:textId="77777777" w:rsidTr="001D0E8B">
        <w:trPr>
          <w:trHeight w:val="831"/>
        </w:trPr>
        <w:tc>
          <w:tcPr>
            <w:tcW w:w="1242" w:type="dxa"/>
          </w:tcPr>
          <w:p w14:paraId="2E277685"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p>
        </w:tc>
        <w:tc>
          <w:tcPr>
            <w:tcW w:w="1590" w:type="dxa"/>
            <w:gridSpan w:val="3"/>
          </w:tcPr>
          <w:p w14:paraId="3AFA8C61"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 xml:space="preserve">Larnax burials </w:t>
            </w:r>
          </w:p>
          <w:p w14:paraId="38E84AB1"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p>
        </w:tc>
        <w:tc>
          <w:tcPr>
            <w:tcW w:w="1802" w:type="dxa"/>
            <w:gridSpan w:val="3"/>
          </w:tcPr>
          <w:p w14:paraId="42863FE4"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Floor burials</w:t>
            </w:r>
          </w:p>
          <w:p w14:paraId="334DF4A1"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p>
        </w:tc>
        <w:tc>
          <w:tcPr>
            <w:tcW w:w="1275" w:type="dxa"/>
            <w:gridSpan w:val="2"/>
          </w:tcPr>
          <w:p w14:paraId="50AEA66B"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Pit burials</w:t>
            </w:r>
          </w:p>
          <w:p w14:paraId="57334038"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p>
        </w:tc>
        <w:tc>
          <w:tcPr>
            <w:tcW w:w="992" w:type="dxa"/>
          </w:tcPr>
          <w:p w14:paraId="64338D04"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F46A41">
              <w:rPr>
                <w:color w:val="000000"/>
                <w:sz w:val="20"/>
                <w:szCs w:val="20"/>
              </w:rPr>
              <w:t>Dromos burial</w:t>
            </w:r>
          </w:p>
        </w:tc>
        <w:tc>
          <w:tcPr>
            <w:tcW w:w="1135" w:type="dxa"/>
          </w:tcPr>
          <w:p w14:paraId="5580E28D" w14:textId="77777777" w:rsidR="001D0E8B"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F46A41">
              <w:rPr>
                <w:color w:val="000000"/>
                <w:sz w:val="20"/>
                <w:szCs w:val="20"/>
              </w:rPr>
              <w:t>Wooden bier/</w:t>
            </w:r>
          </w:p>
          <w:p w14:paraId="28B5C924" w14:textId="3712562E"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F46A41">
              <w:rPr>
                <w:color w:val="000000"/>
                <w:sz w:val="20"/>
                <w:szCs w:val="20"/>
              </w:rPr>
              <w:t>chest</w:t>
            </w:r>
          </w:p>
        </w:tc>
        <w:tc>
          <w:tcPr>
            <w:tcW w:w="850" w:type="dxa"/>
          </w:tcPr>
          <w:p w14:paraId="60F23920"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F46A41">
              <w:rPr>
                <w:color w:val="000000"/>
                <w:sz w:val="20"/>
                <w:szCs w:val="20"/>
              </w:rPr>
              <w:t>MM reused coffins</w:t>
            </w:r>
          </w:p>
        </w:tc>
      </w:tr>
      <w:tr w:rsidR="001A4F1A" w:rsidRPr="00F46A41" w14:paraId="660BA271" w14:textId="77777777" w:rsidTr="001D0E8B">
        <w:trPr>
          <w:trHeight w:val="387"/>
        </w:trPr>
        <w:tc>
          <w:tcPr>
            <w:tcW w:w="1242" w:type="dxa"/>
          </w:tcPr>
          <w:p w14:paraId="0BE9CF22"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r w:rsidRPr="00F46A41">
              <w:rPr>
                <w:color w:val="000000"/>
                <w:sz w:val="20"/>
                <w:szCs w:val="20"/>
              </w:rPr>
              <w:t>Total No. of tombs</w:t>
            </w:r>
          </w:p>
        </w:tc>
        <w:tc>
          <w:tcPr>
            <w:tcW w:w="1590" w:type="dxa"/>
            <w:gridSpan w:val="3"/>
            <w:vAlign w:val="center"/>
          </w:tcPr>
          <w:p w14:paraId="23BC09FE"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34</w:t>
            </w:r>
          </w:p>
        </w:tc>
        <w:tc>
          <w:tcPr>
            <w:tcW w:w="1802" w:type="dxa"/>
            <w:gridSpan w:val="3"/>
            <w:vAlign w:val="center"/>
          </w:tcPr>
          <w:p w14:paraId="7FD8296A"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11</w:t>
            </w:r>
          </w:p>
        </w:tc>
        <w:tc>
          <w:tcPr>
            <w:tcW w:w="1275" w:type="dxa"/>
            <w:gridSpan w:val="2"/>
            <w:vAlign w:val="center"/>
          </w:tcPr>
          <w:p w14:paraId="22B9C70A"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5</w:t>
            </w:r>
          </w:p>
        </w:tc>
        <w:tc>
          <w:tcPr>
            <w:tcW w:w="992" w:type="dxa"/>
            <w:vAlign w:val="center"/>
          </w:tcPr>
          <w:p w14:paraId="4C15841A"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1</w:t>
            </w:r>
          </w:p>
        </w:tc>
        <w:tc>
          <w:tcPr>
            <w:tcW w:w="1135" w:type="dxa"/>
            <w:vAlign w:val="center"/>
          </w:tcPr>
          <w:p w14:paraId="7079BF7F"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2</w:t>
            </w:r>
          </w:p>
        </w:tc>
        <w:tc>
          <w:tcPr>
            <w:tcW w:w="850" w:type="dxa"/>
            <w:vAlign w:val="center"/>
          </w:tcPr>
          <w:p w14:paraId="09B4541D"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2</w:t>
            </w:r>
          </w:p>
        </w:tc>
      </w:tr>
      <w:tr w:rsidR="001A4F1A" w:rsidRPr="00F46A41" w14:paraId="3D7D9CCE" w14:textId="77777777" w:rsidTr="001D0E8B">
        <w:trPr>
          <w:trHeight w:val="387"/>
        </w:trPr>
        <w:tc>
          <w:tcPr>
            <w:tcW w:w="1242" w:type="dxa"/>
            <w:tcBorders>
              <w:bottom w:val="thinThickSmallGap" w:sz="24" w:space="0" w:color="auto"/>
            </w:tcBorders>
          </w:tcPr>
          <w:p w14:paraId="6763B4F2"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r w:rsidRPr="00F46A41">
              <w:rPr>
                <w:color w:val="000000"/>
                <w:sz w:val="20"/>
                <w:szCs w:val="20"/>
              </w:rPr>
              <w:t>Burial stage</w:t>
            </w:r>
          </w:p>
        </w:tc>
        <w:tc>
          <w:tcPr>
            <w:tcW w:w="539" w:type="dxa"/>
          </w:tcPr>
          <w:p w14:paraId="77219754"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p</w:t>
            </w:r>
          </w:p>
        </w:tc>
        <w:tc>
          <w:tcPr>
            <w:tcW w:w="494" w:type="dxa"/>
          </w:tcPr>
          <w:p w14:paraId="5EB7758A"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s</w:t>
            </w:r>
          </w:p>
        </w:tc>
        <w:tc>
          <w:tcPr>
            <w:tcW w:w="557" w:type="dxa"/>
          </w:tcPr>
          <w:p w14:paraId="3F250B12"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No info</w:t>
            </w:r>
          </w:p>
        </w:tc>
        <w:tc>
          <w:tcPr>
            <w:tcW w:w="567" w:type="dxa"/>
          </w:tcPr>
          <w:p w14:paraId="0B268683"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p</w:t>
            </w:r>
          </w:p>
        </w:tc>
        <w:tc>
          <w:tcPr>
            <w:tcW w:w="567" w:type="dxa"/>
          </w:tcPr>
          <w:p w14:paraId="60030251"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s</w:t>
            </w:r>
          </w:p>
        </w:tc>
        <w:tc>
          <w:tcPr>
            <w:tcW w:w="668" w:type="dxa"/>
          </w:tcPr>
          <w:p w14:paraId="6E7CB623"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No info</w:t>
            </w:r>
          </w:p>
        </w:tc>
        <w:tc>
          <w:tcPr>
            <w:tcW w:w="709" w:type="dxa"/>
          </w:tcPr>
          <w:p w14:paraId="41645F51"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p</w:t>
            </w:r>
          </w:p>
        </w:tc>
        <w:tc>
          <w:tcPr>
            <w:tcW w:w="566" w:type="dxa"/>
          </w:tcPr>
          <w:p w14:paraId="42A970FB"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s</w:t>
            </w:r>
          </w:p>
          <w:p w14:paraId="79601CC1"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p>
        </w:tc>
        <w:tc>
          <w:tcPr>
            <w:tcW w:w="992" w:type="dxa"/>
          </w:tcPr>
          <w:p w14:paraId="773C1491"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No info</w:t>
            </w:r>
          </w:p>
        </w:tc>
        <w:tc>
          <w:tcPr>
            <w:tcW w:w="1135" w:type="dxa"/>
          </w:tcPr>
          <w:p w14:paraId="56EDF3A3"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No info</w:t>
            </w:r>
          </w:p>
        </w:tc>
        <w:tc>
          <w:tcPr>
            <w:tcW w:w="850" w:type="dxa"/>
          </w:tcPr>
          <w:p w14:paraId="01A8A2E3"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No info</w:t>
            </w:r>
          </w:p>
        </w:tc>
      </w:tr>
      <w:tr w:rsidR="001A4F1A" w:rsidRPr="00F46A41" w14:paraId="5B11A91E" w14:textId="77777777" w:rsidTr="001D0E8B">
        <w:tc>
          <w:tcPr>
            <w:tcW w:w="1242" w:type="dxa"/>
            <w:tcBorders>
              <w:top w:val="thinThickSmallGap" w:sz="24" w:space="0" w:color="auto"/>
            </w:tcBorders>
          </w:tcPr>
          <w:p w14:paraId="16F56979"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r w:rsidRPr="00F46A41">
              <w:rPr>
                <w:color w:val="000000"/>
                <w:sz w:val="20"/>
                <w:szCs w:val="20"/>
              </w:rPr>
              <w:t>MNEB</w:t>
            </w:r>
          </w:p>
        </w:tc>
        <w:tc>
          <w:tcPr>
            <w:tcW w:w="539" w:type="dxa"/>
            <w:tcBorders>
              <w:top w:val="thinThickSmallGap" w:sz="24" w:space="0" w:color="auto"/>
            </w:tcBorders>
          </w:tcPr>
          <w:p w14:paraId="5FDC15B4"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F46A41">
              <w:rPr>
                <w:color w:val="000000"/>
                <w:sz w:val="20"/>
                <w:szCs w:val="20"/>
              </w:rPr>
              <w:t>38</w:t>
            </w:r>
          </w:p>
        </w:tc>
        <w:tc>
          <w:tcPr>
            <w:tcW w:w="494" w:type="dxa"/>
            <w:tcBorders>
              <w:top w:val="thinThickSmallGap" w:sz="24" w:space="0" w:color="auto"/>
            </w:tcBorders>
          </w:tcPr>
          <w:p w14:paraId="193996ED"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F46A41">
              <w:rPr>
                <w:color w:val="000000"/>
                <w:sz w:val="20"/>
                <w:szCs w:val="20"/>
              </w:rPr>
              <w:t>23</w:t>
            </w:r>
          </w:p>
        </w:tc>
        <w:tc>
          <w:tcPr>
            <w:tcW w:w="557" w:type="dxa"/>
            <w:tcBorders>
              <w:top w:val="thinThickSmallGap" w:sz="24" w:space="0" w:color="auto"/>
              <w:bottom w:val="thinThickSmallGap" w:sz="24" w:space="0" w:color="auto"/>
            </w:tcBorders>
          </w:tcPr>
          <w:p w14:paraId="515FB13A"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39</w:t>
            </w:r>
          </w:p>
        </w:tc>
        <w:tc>
          <w:tcPr>
            <w:tcW w:w="567" w:type="dxa"/>
            <w:tcBorders>
              <w:top w:val="thinThickSmallGap" w:sz="24" w:space="0" w:color="auto"/>
            </w:tcBorders>
          </w:tcPr>
          <w:p w14:paraId="5F1EE193"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r w:rsidRPr="00F46A41">
              <w:rPr>
                <w:color w:val="000000"/>
                <w:sz w:val="20"/>
                <w:szCs w:val="20"/>
              </w:rPr>
              <w:t>8</w:t>
            </w:r>
          </w:p>
        </w:tc>
        <w:tc>
          <w:tcPr>
            <w:tcW w:w="567" w:type="dxa"/>
            <w:tcBorders>
              <w:top w:val="thinThickSmallGap" w:sz="24" w:space="0" w:color="auto"/>
            </w:tcBorders>
          </w:tcPr>
          <w:p w14:paraId="3EC0A6A2"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14</w:t>
            </w:r>
          </w:p>
        </w:tc>
        <w:tc>
          <w:tcPr>
            <w:tcW w:w="668" w:type="dxa"/>
            <w:tcBorders>
              <w:top w:val="thinThickSmallGap" w:sz="24" w:space="0" w:color="auto"/>
            </w:tcBorders>
          </w:tcPr>
          <w:p w14:paraId="7FC573B5"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6</w:t>
            </w:r>
          </w:p>
        </w:tc>
        <w:tc>
          <w:tcPr>
            <w:tcW w:w="709" w:type="dxa"/>
            <w:tcBorders>
              <w:top w:val="thinThickSmallGap" w:sz="24" w:space="0" w:color="auto"/>
            </w:tcBorders>
          </w:tcPr>
          <w:p w14:paraId="54F4E54F"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8</w:t>
            </w:r>
          </w:p>
        </w:tc>
        <w:tc>
          <w:tcPr>
            <w:tcW w:w="566" w:type="dxa"/>
            <w:tcBorders>
              <w:top w:val="thinThickSmallGap" w:sz="24" w:space="0" w:color="auto"/>
            </w:tcBorders>
          </w:tcPr>
          <w:p w14:paraId="520DD998"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2</w:t>
            </w:r>
          </w:p>
        </w:tc>
        <w:tc>
          <w:tcPr>
            <w:tcW w:w="992" w:type="dxa"/>
            <w:tcBorders>
              <w:top w:val="thinThickSmallGap" w:sz="24" w:space="0" w:color="auto"/>
            </w:tcBorders>
          </w:tcPr>
          <w:p w14:paraId="78618A83"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1</w:t>
            </w:r>
          </w:p>
        </w:tc>
        <w:tc>
          <w:tcPr>
            <w:tcW w:w="1135" w:type="dxa"/>
            <w:tcBorders>
              <w:top w:val="thinThickSmallGap" w:sz="24" w:space="0" w:color="auto"/>
            </w:tcBorders>
          </w:tcPr>
          <w:p w14:paraId="510BABD0"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7</w:t>
            </w:r>
          </w:p>
        </w:tc>
        <w:tc>
          <w:tcPr>
            <w:tcW w:w="850" w:type="dxa"/>
            <w:tcBorders>
              <w:top w:val="thinThickSmallGap" w:sz="24" w:space="0" w:color="auto"/>
            </w:tcBorders>
          </w:tcPr>
          <w:p w14:paraId="47CB3DE1"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46A41">
              <w:rPr>
                <w:color w:val="000000"/>
                <w:sz w:val="20"/>
                <w:szCs w:val="20"/>
              </w:rPr>
              <w:t>3</w:t>
            </w:r>
          </w:p>
        </w:tc>
      </w:tr>
      <w:tr w:rsidR="001A4F1A" w:rsidRPr="00F46A41" w14:paraId="4684D49C" w14:textId="77777777" w:rsidTr="001D0E8B">
        <w:trPr>
          <w:trHeight w:val="1522"/>
        </w:trPr>
        <w:tc>
          <w:tcPr>
            <w:tcW w:w="1242" w:type="dxa"/>
            <w:tcBorders>
              <w:top w:val="thinThickSmallGap" w:sz="24" w:space="0" w:color="auto"/>
              <w:bottom w:val="single" w:sz="4" w:space="0" w:color="auto"/>
            </w:tcBorders>
          </w:tcPr>
          <w:p w14:paraId="4F91CF92" w14:textId="12C69BFF"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r w:rsidRPr="00F46A41">
              <w:rPr>
                <w:color w:val="000000"/>
                <w:sz w:val="20"/>
                <w:szCs w:val="20"/>
              </w:rPr>
              <w:t>Total No. of individual</w:t>
            </w:r>
            <w:r w:rsidR="001D0E8B" w:rsidRPr="00F46A41">
              <w:rPr>
                <w:color w:val="000000"/>
                <w:sz w:val="20"/>
                <w:szCs w:val="20"/>
              </w:rPr>
              <w:t>s</w:t>
            </w:r>
            <w:r w:rsidRPr="00F46A41">
              <w:rPr>
                <w:color w:val="000000"/>
                <w:sz w:val="20"/>
                <w:szCs w:val="20"/>
              </w:rPr>
              <w:t xml:space="preserve"> per interment type</w:t>
            </w:r>
          </w:p>
        </w:tc>
        <w:tc>
          <w:tcPr>
            <w:tcW w:w="1590" w:type="dxa"/>
            <w:gridSpan w:val="3"/>
            <w:tcBorders>
              <w:top w:val="thinThickSmallGap" w:sz="24" w:space="0" w:color="auto"/>
              <w:bottom w:val="single" w:sz="4" w:space="0" w:color="auto"/>
            </w:tcBorders>
            <w:vAlign w:val="center"/>
          </w:tcPr>
          <w:p w14:paraId="27D4EE8E"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46A41">
              <w:rPr>
                <w:b/>
                <w:color w:val="000000"/>
                <w:sz w:val="20"/>
                <w:szCs w:val="20"/>
              </w:rPr>
              <w:t>100</w:t>
            </w:r>
          </w:p>
        </w:tc>
        <w:tc>
          <w:tcPr>
            <w:tcW w:w="1802" w:type="dxa"/>
            <w:gridSpan w:val="3"/>
            <w:tcBorders>
              <w:top w:val="thinThickSmallGap" w:sz="24" w:space="0" w:color="auto"/>
              <w:bottom w:val="single" w:sz="4" w:space="0" w:color="auto"/>
            </w:tcBorders>
            <w:vAlign w:val="center"/>
          </w:tcPr>
          <w:p w14:paraId="2ED0813F"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46A41">
              <w:rPr>
                <w:b/>
                <w:color w:val="000000"/>
                <w:sz w:val="20"/>
                <w:szCs w:val="20"/>
              </w:rPr>
              <w:t>28</w:t>
            </w:r>
          </w:p>
        </w:tc>
        <w:tc>
          <w:tcPr>
            <w:tcW w:w="1275" w:type="dxa"/>
            <w:gridSpan w:val="2"/>
            <w:tcBorders>
              <w:top w:val="thinThickSmallGap" w:sz="24" w:space="0" w:color="auto"/>
              <w:bottom w:val="single" w:sz="4" w:space="0" w:color="auto"/>
            </w:tcBorders>
            <w:vAlign w:val="center"/>
          </w:tcPr>
          <w:p w14:paraId="0FFB288E"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46A41">
              <w:rPr>
                <w:b/>
                <w:color w:val="000000"/>
                <w:sz w:val="20"/>
                <w:szCs w:val="20"/>
              </w:rPr>
              <w:t>10</w:t>
            </w:r>
          </w:p>
        </w:tc>
        <w:tc>
          <w:tcPr>
            <w:tcW w:w="992" w:type="dxa"/>
            <w:tcBorders>
              <w:top w:val="thinThickSmallGap" w:sz="24" w:space="0" w:color="auto"/>
              <w:bottom w:val="single" w:sz="4" w:space="0" w:color="auto"/>
            </w:tcBorders>
            <w:vAlign w:val="center"/>
          </w:tcPr>
          <w:p w14:paraId="314F7AD2"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46A41">
              <w:rPr>
                <w:b/>
                <w:color w:val="000000"/>
                <w:sz w:val="20"/>
                <w:szCs w:val="20"/>
              </w:rPr>
              <w:t>1</w:t>
            </w:r>
          </w:p>
        </w:tc>
        <w:tc>
          <w:tcPr>
            <w:tcW w:w="1135" w:type="dxa"/>
            <w:tcBorders>
              <w:top w:val="thinThickSmallGap" w:sz="24" w:space="0" w:color="auto"/>
              <w:bottom w:val="single" w:sz="4" w:space="0" w:color="auto"/>
            </w:tcBorders>
            <w:vAlign w:val="center"/>
          </w:tcPr>
          <w:p w14:paraId="51279CB6"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46A41">
              <w:rPr>
                <w:b/>
                <w:color w:val="000000"/>
                <w:sz w:val="20"/>
                <w:szCs w:val="20"/>
              </w:rPr>
              <w:t>7</w:t>
            </w:r>
          </w:p>
        </w:tc>
        <w:tc>
          <w:tcPr>
            <w:tcW w:w="850" w:type="dxa"/>
            <w:tcBorders>
              <w:top w:val="thinThickSmallGap" w:sz="24" w:space="0" w:color="auto"/>
              <w:bottom w:val="single" w:sz="4" w:space="0" w:color="auto"/>
            </w:tcBorders>
            <w:vAlign w:val="center"/>
          </w:tcPr>
          <w:p w14:paraId="77B3C476"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46A41">
              <w:rPr>
                <w:b/>
                <w:color w:val="000000"/>
                <w:sz w:val="20"/>
                <w:szCs w:val="20"/>
              </w:rPr>
              <w:t>3</w:t>
            </w:r>
          </w:p>
        </w:tc>
      </w:tr>
      <w:tr w:rsidR="001A4F1A" w:rsidRPr="00F46A41" w14:paraId="55FD1AA9" w14:textId="77777777" w:rsidTr="001D0E8B">
        <w:tc>
          <w:tcPr>
            <w:tcW w:w="1242" w:type="dxa"/>
          </w:tcPr>
          <w:p w14:paraId="70DD3451"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p>
        </w:tc>
        <w:tc>
          <w:tcPr>
            <w:tcW w:w="1590" w:type="dxa"/>
            <w:gridSpan w:val="3"/>
          </w:tcPr>
          <w:p w14:paraId="712D0AD9"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46A41">
              <w:rPr>
                <w:b/>
                <w:color w:val="000000"/>
                <w:sz w:val="20"/>
                <w:szCs w:val="20"/>
              </w:rPr>
              <w:t>67%</w:t>
            </w:r>
          </w:p>
        </w:tc>
        <w:tc>
          <w:tcPr>
            <w:tcW w:w="1802" w:type="dxa"/>
            <w:gridSpan w:val="3"/>
          </w:tcPr>
          <w:p w14:paraId="680617BF"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46A41">
              <w:rPr>
                <w:b/>
                <w:color w:val="000000"/>
                <w:sz w:val="20"/>
                <w:szCs w:val="20"/>
              </w:rPr>
              <w:t>19%</w:t>
            </w:r>
          </w:p>
        </w:tc>
        <w:tc>
          <w:tcPr>
            <w:tcW w:w="1275" w:type="dxa"/>
            <w:gridSpan w:val="2"/>
          </w:tcPr>
          <w:p w14:paraId="4CC9F066"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46A41">
              <w:rPr>
                <w:b/>
                <w:color w:val="000000"/>
                <w:sz w:val="20"/>
                <w:szCs w:val="20"/>
              </w:rPr>
              <w:t>7%</w:t>
            </w:r>
          </w:p>
        </w:tc>
        <w:tc>
          <w:tcPr>
            <w:tcW w:w="992" w:type="dxa"/>
          </w:tcPr>
          <w:p w14:paraId="7A18561D"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46A41">
              <w:rPr>
                <w:b/>
                <w:color w:val="000000"/>
                <w:sz w:val="20"/>
                <w:szCs w:val="20"/>
              </w:rPr>
              <w:t>1%</w:t>
            </w:r>
          </w:p>
        </w:tc>
        <w:tc>
          <w:tcPr>
            <w:tcW w:w="1135" w:type="dxa"/>
          </w:tcPr>
          <w:p w14:paraId="12AC874E"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46A41">
              <w:rPr>
                <w:b/>
                <w:color w:val="000000"/>
                <w:sz w:val="20"/>
                <w:szCs w:val="20"/>
              </w:rPr>
              <w:t>5%</w:t>
            </w:r>
          </w:p>
        </w:tc>
        <w:tc>
          <w:tcPr>
            <w:tcW w:w="850" w:type="dxa"/>
          </w:tcPr>
          <w:p w14:paraId="7FCF7D0B"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46A41">
              <w:rPr>
                <w:b/>
                <w:color w:val="000000"/>
                <w:sz w:val="20"/>
                <w:szCs w:val="20"/>
              </w:rPr>
              <w:t>2%</w:t>
            </w:r>
          </w:p>
        </w:tc>
      </w:tr>
    </w:tbl>
    <w:p w14:paraId="69F4B569" w14:textId="77777777" w:rsidR="001A4F1A" w:rsidRDefault="001A4F1A" w:rsidP="00E858EF">
      <w:pPr>
        <w:pStyle w:val="Testofumetto"/>
        <w:suppressAutoHyphens/>
      </w:pPr>
    </w:p>
    <w:p w14:paraId="414E13D2" w14:textId="6E765B69" w:rsidR="001D0E8B" w:rsidRDefault="001A4F1A" w:rsidP="00E858EF">
      <w:pPr>
        <w:pStyle w:val="Testofumetto"/>
        <w:suppressAutoHyphens/>
        <w:jc w:val="both"/>
      </w:pPr>
      <w:bookmarkStart w:id="726" w:name="_Toc520212591"/>
      <w:r>
        <w:t>Table 4-18b</w:t>
      </w:r>
      <w:r w:rsidR="00352D33">
        <w:t>.</w:t>
      </w:r>
      <w:r>
        <w:t xml:space="preserve"> Interments methods and burial stage of skeletal remains in tombs with larnakes</w:t>
      </w:r>
      <w:r w:rsidRPr="008618B5">
        <w:t xml:space="preserve"> </w:t>
      </w:r>
      <w:r>
        <w:t xml:space="preserve">and information </w:t>
      </w:r>
      <w:r w:rsidR="00466FB3">
        <w:t xml:space="preserve">on </w:t>
      </w:r>
      <w:r>
        <w:t>skeletal remains</w:t>
      </w:r>
      <w:r w:rsidR="00466FB3">
        <w:t>,</w:t>
      </w:r>
      <w:r>
        <w:t xml:space="preserve"> Central </w:t>
      </w:r>
      <w:r w:rsidR="00D433EC">
        <w:t>area</w:t>
      </w:r>
      <w:r>
        <w:t>:</w:t>
      </w:r>
      <w:r w:rsidRPr="00D544F7">
        <w:t xml:space="preserve"> </w:t>
      </w:r>
      <w:r>
        <w:t>burial stage related to number of tombs</w:t>
      </w:r>
      <w:bookmarkEnd w:id="726"/>
      <w:r>
        <w:t xml:space="preserve"> </w:t>
      </w:r>
    </w:p>
    <w:p w14:paraId="630BF3DD" w14:textId="74B43B26" w:rsidR="001A4F1A" w:rsidRPr="001D0E8B" w:rsidRDefault="001A4F1A" w:rsidP="00E858EF">
      <w:pPr>
        <w:suppressAutoHyphens/>
        <w:spacing w:line="240" w:lineRule="auto"/>
      </w:pPr>
      <w:r w:rsidRPr="001D0E8B">
        <w:rPr>
          <w:sz w:val="20"/>
        </w:rPr>
        <w:t>(p= primary deposition; s= secondary deposition; No info= no information about the burial stage/skeletal remains).</w:t>
      </w:r>
    </w:p>
    <w:tbl>
      <w:tblPr>
        <w:tblStyle w:val="Grigliatabella"/>
        <w:tblW w:w="9038" w:type="dxa"/>
        <w:tblLayout w:type="fixed"/>
        <w:tblLook w:val="04A0" w:firstRow="1" w:lastRow="0" w:firstColumn="1" w:lastColumn="0" w:noHBand="0" w:noVBand="1"/>
      </w:tblPr>
      <w:tblGrid>
        <w:gridCol w:w="1242"/>
        <w:gridCol w:w="466"/>
        <w:gridCol w:w="567"/>
        <w:gridCol w:w="567"/>
        <w:gridCol w:w="567"/>
        <w:gridCol w:w="567"/>
        <w:gridCol w:w="527"/>
        <w:gridCol w:w="709"/>
        <w:gridCol w:w="708"/>
        <w:gridCol w:w="992"/>
        <w:gridCol w:w="1275"/>
        <w:gridCol w:w="851"/>
      </w:tblGrid>
      <w:tr w:rsidR="001A4F1A" w:rsidRPr="001D0E8B" w14:paraId="2394F1FC" w14:textId="77777777" w:rsidTr="001D0E8B">
        <w:trPr>
          <w:trHeight w:val="831"/>
        </w:trPr>
        <w:tc>
          <w:tcPr>
            <w:tcW w:w="1242" w:type="dxa"/>
          </w:tcPr>
          <w:p w14:paraId="5C9757C6"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rPr>
            </w:pPr>
          </w:p>
        </w:tc>
        <w:tc>
          <w:tcPr>
            <w:tcW w:w="1600" w:type="dxa"/>
            <w:gridSpan w:val="3"/>
          </w:tcPr>
          <w:p w14:paraId="350F35C0"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 xml:space="preserve">Larnax burials </w:t>
            </w:r>
          </w:p>
          <w:p w14:paraId="238DD307"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p>
        </w:tc>
        <w:tc>
          <w:tcPr>
            <w:tcW w:w="1661" w:type="dxa"/>
            <w:gridSpan w:val="3"/>
          </w:tcPr>
          <w:p w14:paraId="12E589F0"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Floor burials</w:t>
            </w:r>
          </w:p>
          <w:p w14:paraId="0AE9803A"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p>
        </w:tc>
        <w:tc>
          <w:tcPr>
            <w:tcW w:w="1417" w:type="dxa"/>
            <w:gridSpan w:val="2"/>
          </w:tcPr>
          <w:p w14:paraId="3AE8E1D9"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Pit burials</w:t>
            </w:r>
          </w:p>
          <w:p w14:paraId="132D2531"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p>
        </w:tc>
        <w:tc>
          <w:tcPr>
            <w:tcW w:w="992" w:type="dxa"/>
          </w:tcPr>
          <w:p w14:paraId="45F876BB"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1D0E8B">
              <w:rPr>
                <w:color w:val="000000"/>
                <w:sz w:val="20"/>
              </w:rPr>
              <w:t>Dromos burial</w:t>
            </w:r>
          </w:p>
        </w:tc>
        <w:tc>
          <w:tcPr>
            <w:tcW w:w="1275" w:type="dxa"/>
          </w:tcPr>
          <w:p w14:paraId="098FF5DC" w14:textId="77777777" w:rsid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1D0E8B">
              <w:rPr>
                <w:color w:val="000000"/>
                <w:sz w:val="20"/>
              </w:rPr>
              <w:t>Wooden bier</w:t>
            </w:r>
            <w:r w:rsidR="001D0E8B">
              <w:rPr>
                <w:color w:val="000000"/>
                <w:sz w:val="20"/>
              </w:rPr>
              <w:t>/</w:t>
            </w:r>
          </w:p>
          <w:p w14:paraId="67EFCB08" w14:textId="1EFDCC36"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1D0E8B">
              <w:rPr>
                <w:color w:val="000000"/>
                <w:sz w:val="20"/>
              </w:rPr>
              <w:t>chest</w:t>
            </w:r>
          </w:p>
        </w:tc>
        <w:tc>
          <w:tcPr>
            <w:tcW w:w="851" w:type="dxa"/>
          </w:tcPr>
          <w:p w14:paraId="754CEFB5"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1D0E8B">
              <w:rPr>
                <w:color w:val="000000"/>
                <w:sz w:val="20"/>
              </w:rPr>
              <w:t>MM reused coffins</w:t>
            </w:r>
          </w:p>
        </w:tc>
      </w:tr>
      <w:tr w:rsidR="001A4F1A" w:rsidRPr="001D0E8B" w14:paraId="68C59046" w14:textId="77777777" w:rsidTr="001D0E8B">
        <w:trPr>
          <w:trHeight w:val="387"/>
        </w:trPr>
        <w:tc>
          <w:tcPr>
            <w:tcW w:w="1242" w:type="dxa"/>
            <w:tcBorders>
              <w:bottom w:val="thinThickSmallGap" w:sz="24" w:space="0" w:color="auto"/>
            </w:tcBorders>
          </w:tcPr>
          <w:p w14:paraId="24141482"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rPr>
            </w:pPr>
            <w:r w:rsidRPr="001D0E8B">
              <w:rPr>
                <w:color w:val="000000"/>
                <w:sz w:val="20"/>
              </w:rPr>
              <w:t>Burial stage</w:t>
            </w:r>
          </w:p>
        </w:tc>
        <w:tc>
          <w:tcPr>
            <w:tcW w:w="466" w:type="dxa"/>
          </w:tcPr>
          <w:p w14:paraId="31638F67"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p</w:t>
            </w:r>
          </w:p>
        </w:tc>
        <w:tc>
          <w:tcPr>
            <w:tcW w:w="567" w:type="dxa"/>
          </w:tcPr>
          <w:p w14:paraId="53812388"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s</w:t>
            </w:r>
          </w:p>
        </w:tc>
        <w:tc>
          <w:tcPr>
            <w:tcW w:w="567" w:type="dxa"/>
          </w:tcPr>
          <w:p w14:paraId="1C3CEC54"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No info</w:t>
            </w:r>
          </w:p>
        </w:tc>
        <w:tc>
          <w:tcPr>
            <w:tcW w:w="567" w:type="dxa"/>
          </w:tcPr>
          <w:p w14:paraId="684316C6"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p</w:t>
            </w:r>
          </w:p>
        </w:tc>
        <w:tc>
          <w:tcPr>
            <w:tcW w:w="567" w:type="dxa"/>
          </w:tcPr>
          <w:p w14:paraId="70CD95F9"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s</w:t>
            </w:r>
          </w:p>
        </w:tc>
        <w:tc>
          <w:tcPr>
            <w:tcW w:w="527" w:type="dxa"/>
          </w:tcPr>
          <w:p w14:paraId="19FF6ED1"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No info</w:t>
            </w:r>
          </w:p>
        </w:tc>
        <w:tc>
          <w:tcPr>
            <w:tcW w:w="709" w:type="dxa"/>
          </w:tcPr>
          <w:p w14:paraId="774AF70D"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p</w:t>
            </w:r>
          </w:p>
        </w:tc>
        <w:tc>
          <w:tcPr>
            <w:tcW w:w="708" w:type="dxa"/>
          </w:tcPr>
          <w:p w14:paraId="11F4B798"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s</w:t>
            </w:r>
          </w:p>
          <w:p w14:paraId="7433FE15"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p>
        </w:tc>
        <w:tc>
          <w:tcPr>
            <w:tcW w:w="992" w:type="dxa"/>
          </w:tcPr>
          <w:p w14:paraId="09A770DB"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No info</w:t>
            </w:r>
          </w:p>
        </w:tc>
        <w:tc>
          <w:tcPr>
            <w:tcW w:w="1275" w:type="dxa"/>
          </w:tcPr>
          <w:p w14:paraId="77A13388"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No info</w:t>
            </w:r>
          </w:p>
        </w:tc>
        <w:tc>
          <w:tcPr>
            <w:tcW w:w="851" w:type="dxa"/>
          </w:tcPr>
          <w:p w14:paraId="7E42EE86"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No info</w:t>
            </w:r>
          </w:p>
        </w:tc>
      </w:tr>
      <w:tr w:rsidR="001A4F1A" w:rsidRPr="001D0E8B" w14:paraId="7957D4D5" w14:textId="77777777" w:rsidTr="001D0E8B">
        <w:tc>
          <w:tcPr>
            <w:tcW w:w="1242" w:type="dxa"/>
            <w:tcBorders>
              <w:top w:val="thinThickSmallGap" w:sz="24" w:space="0" w:color="auto"/>
            </w:tcBorders>
          </w:tcPr>
          <w:p w14:paraId="7E3CC889"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rPr>
            </w:pPr>
            <w:r w:rsidRPr="001D0E8B">
              <w:rPr>
                <w:color w:val="000000"/>
                <w:sz w:val="20"/>
              </w:rPr>
              <w:t>MNEB</w:t>
            </w:r>
          </w:p>
        </w:tc>
        <w:tc>
          <w:tcPr>
            <w:tcW w:w="466" w:type="dxa"/>
            <w:tcBorders>
              <w:top w:val="thinThickSmallGap" w:sz="24" w:space="0" w:color="auto"/>
            </w:tcBorders>
          </w:tcPr>
          <w:p w14:paraId="7CE61A50"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38</w:t>
            </w:r>
          </w:p>
        </w:tc>
        <w:tc>
          <w:tcPr>
            <w:tcW w:w="567" w:type="dxa"/>
            <w:tcBorders>
              <w:top w:val="thinThickSmallGap" w:sz="24" w:space="0" w:color="auto"/>
            </w:tcBorders>
          </w:tcPr>
          <w:p w14:paraId="228C7AA8"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23</w:t>
            </w:r>
          </w:p>
        </w:tc>
        <w:tc>
          <w:tcPr>
            <w:tcW w:w="567" w:type="dxa"/>
            <w:tcBorders>
              <w:top w:val="thinThickSmallGap" w:sz="24" w:space="0" w:color="auto"/>
              <w:bottom w:val="thinThickSmallGap" w:sz="24" w:space="0" w:color="auto"/>
            </w:tcBorders>
          </w:tcPr>
          <w:p w14:paraId="024A41CC"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39</w:t>
            </w:r>
          </w:p>
        </w:tc>
        <w:tc>
          <w:tcPr>
            <w:tcW w:w="567" w:type="dxa"/>
            <w:tcBorders>
              <w:top w:val="thinThickSmallGap" w:sz="24" w:space="0" w:color="auto"/>
            </w:tcBorders>
          </w:tcPr>
          <w:p w14:paraId="75CADC83"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8</w:t>
            </w:r>
          </w:p>
        </w:tc>
        <w:tc>
          <w:tcPr>
            <w:tcW w:w="567" w:type="dxa"/>
            <w:tcBorders>
              <w:top w:val="thinThickSmallGap" w:sz="24" w:space="0" w:color="auto"/>
            </w:tcBorders>
          </w:tcPr>
          <w:p w14:paraId="027A90A5"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14</w:t>
            </w:r>
          </w:p>
        </w:tc>
        <w:tc>
          <w:tcPr>
            <w:tcW w:w="527" w:type="dxa"/>
            <w:tcBorders>
              <w:top w:val="thinThickSmallGap" w:sz="24" w:space="0" w:color="auto"/>
            </w:tcBorders>
          </w:tcPr>
          <w:p w14:paraId="330BC882"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6</w:t>
            </w:r>
          </w:p>
        </w:tc>
        <w:tc>
          <w:tcPr>
            <w:tcW w:w="709" w:type="dxa"/>
            <w:tcBorders>
              <w:top w:val="thinThickSmallGap" w:sz="24" w:space="0" w:color="auto"/>
            </w:tcBorders>
          </w:tcPr>
          <w:p w14:paraId="6617F067"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8</w:t>
            </w:r>
          </w:p>
        </w:tc>
        <w:tc>
          <w:tcPr>
            <w:tcW w:w="708" w:type="dxa"/>
            <w:tcBorders>
              <w:top w:val="thinThickSmallGap" w:sz="24" w:space="0" w:color="auto"/>
            </w:tcBorders>
          </w:tcPr>
          <w:p w14:paraId="3F6E93B5"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2</w:t>
            </w:r>
          </w:p>
        </w:tc>
        <w:tc>
          <w:tcPr>
            <w:tcW w:w="992" w:type="dxa"/>
            <w:tcBorders>
              <w:top w:val="thinThickSmallGap" w:sz="24" w:space="0" w:color="auto"/>
            </w:tcBorders>
          </w:tcPr>
          <w:p w14:paraId="10255D00"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1</w:t>
            </w:r>
          </w:p>
        </w:tc>
        <w:tc>
          <w:tcPr>
            <w:tcW w:w="1275" w:type="dxa"/>
            <w:tcBorders>
              <w:top w:val="thinThickSmallGap" w:sz="24" w:space="0" w:color="auto"/>
            </w:tcBorders>
          </w:tcPr>
          <w:p w14:paraId="046D7F1A"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7</w:t>
            </w:r>
          </w:p>
        </w:tc>
        <w:tc>
          <w:tcPr>
            <w:tcW w:w="851" w:type="dxa"/>
            <w:tcBorders>
              <w:top w:val="thinThickSmallGap" w:sz="24" w:space="0" w:color="auto"/>
            </w:tcBorders>
          </w:tcPr>
          <w:p w14:paraId="77B1C176"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3</w:t>
            </w:r>
          </w:p>
        </w:tc>
      </w:tr>
      <w:tr w:rsidR="001A4F1A" w:rsidRPr="001D0E8B" w14:paraId="121CD2FA" w14:textId="77777777" w:rsidTr="001D0E8B">
        <w:trPr>
          <w:trHeight w:val="1522"/>
        </w:trPr>
        <w:tc>
          <w:tcPr>
            <w:tcW w:w="1242" w:type="dxa"/>
            <w:tcBorders>
              <w:top w:val="thinThickSmallGap" w:sz="24" w:space="0" w:color="auto"/>
              <w:bottom w:val="single" w:sz="4" w:space="0" w:color="auto"/>
            </w:tcBorders>
          </w:tcPr>
          <w:p w14:paraId="398CF115"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rPr>
            </w:pPr>
            <w:r w:rsidRPr="001D0E8B">
              <w:rPr>
                <w:color w:val="000000"/>
                <w:sz w:val="20"/>
              </w:rPr>
              <w:t>No. of tombs in which they occur</w:t>
            </w:r>
          </w:p>
        </w:tc>
        <w:tc>
          <w:tcPr>
            <w:tcW w:w="466" w:type="dxa"/>
            <w:tcBorders>
              <w:top w:val="thinThickSmallGap" w:sz="24" w:space="0" w:color="auto"/>
              <w:bottom w:val="single" w:sz="4" w:space="0" w:color="auto"/>
            </w:tcBorders>
            <w:vAlign w:val="center"/>
          </w:tcPr>
          <w:p w14:paraId="6F097649"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21</w:t>
            </w:r>
          </w:p>
        </w:tc>
        <w:tc>
          <w:tcPr>
            <w:tcW w:w="567" w:type="dxa"/>
            <w:tcBorders>
              <w:top w:val="thinThickSmallGap" w:sz="24" w:space="0" w:color="auto"/>
              <w:bottom w:val="single" w:sz="4" w:space="0" w:color="auto"/>
            </w:tcBorders>
            <w:vAlign w:val="center"/>
          </w:tcPr>
          <w:p w14:paraId="590BCF8B"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4</w:t>
            </w:r>
          </w:p>
        </w:tc>
        <w:tc>
          <w:tcPr>
            <w:tcW w:w="567" w:type="dxa"/>
            <w:tcBorders>
              <w:top w:val="thinThickSmallGap" w:sz="24" w:space="0" w:color="auto"/>
              <w:bottom w:val="single" w:sz="4" w:space="0" w:color="auto"/>
            </w:tcBorders>
            <w:vAlign w:val="center"/>
          </w:tcPr>
          <w:p w14:paraId="3525FF9B"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18</w:t>
            </w:r>
          </w:p>
        </w:tc>
        <w:tc>
          <w:tcPr>
            <w:tcW w:w="567" w:type="dxa"/>
            <w:tcBorders>
              <w:top w:val="thinThickSmallGap" w:sz="24" w:space="0" w:color="auto"/>
              <w:bottom w:val="single" w:sz="4" w:space="0" w:color="auto"/>
            </w:tcBorders>
            <w:vAlign w:val="center"/>
          </w:tcPr>
          <w:p w14:paraId="0DCBBDAB"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5</w:t>
            </w:r>
          </w:p>
        </w:tc>
        <w:tc>
          <w:tcPr>
            <w:tcW w:w="567" w:type="dxa"/>
            <w:tcBorders>
              <w:top w:val="thinThickSmallGap" w:sz="24" w:space="0" w:color="auto"/>
              <w:bottom w:val="single" w:sz="4" w:space="0" w:color="auto"/>
            </w:tcBorders>
            <w:vAlign w:val="center"/>
          </w:tcPr>
          <w:p w14:paraId="5C381339"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6</w:t>
            </w:r>
          </w:p>
        </w:tc>
        <w:tc>
          <w:tcPr>
            <w:tcW w:w="527" w:type="dxa"/>
            <w:tcBorders>
              <w:top w:val="thinThickSmallGap" w:sz="24" w:space="0" w:color="auto"/>
              <w:bottom w:val="single" w:sz="4" w:space="0" w:color="auto"/>
            </w:tcBorders>
            <w:vAlign w:val="center"/>
          </w:tcPr>
          <w:p w14:paraId="6E466432"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4</w:t>
            </w:r>
          </w:p>
        </w:tc>
        <w:tc>
          <w:tcPr>
            <w:tcW w:w="709" w:type="dxa"/>
            <w:tcBorders>
              <w:top w:val="thinThickSmallGap" w:sz="24" w:space="0" w:color="auto"/>
              <w:bottom w:val="single" w:sz="4" w:space="0" w:color="auto"/>
            </w:tcBorders>
            <w:vAlign w:val="center"/>
          </w:tcPr>
          <w:p w14:paraId="1D7EC0FC"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3</w:t>
            </w:r>
          </w:p>
        </w:tc>
        <w:tc>
          <w:tcPr>
            <w:tcW w:w="708" w:type="dxa"/>
            <w:tcBorders>
              <w:top w:val="thinThickSmallGap" w:sz="24" w:space="0" w:color="auto"/>
              <w:bottom w:val="single" w:sz="4" w:space="0" w:color="auto"/>
            </w:tcBorders>
            <w:vAlign w:val="center"/>
          </w:tcPr>
          <w:p w14:paraId="22BE4FE7"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2</w:t>
            </w:r>
          </w:p>
        </w:tc>
        <w:tc>
          <w:tcPr>
            <w:tcW w:w="992" w:type="dxa"/>
            <w:tcBorders>
              <w:top w:val="thinThickSmallGap" w:sz="24" w:space="0" w:color="auto"/>
              <w:bottom w:val="single" w:sz="4" w:space="0" w:color="auto"/>
            </w:tcBorders>
            <w:vAlign w:val="center"/>
          </w:tcPr>
          <w:p w14:paraId="7A0C07EA"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1</w:t>
            </w:r>
          </w:p>
        </w:tc>
        <w:tc>
          <w:tcPr>
            <w:tcW w:w="1275" w:type="dxa"/>
            <w:tcBorders>
              <w:top w:val="thinThickSmallGap" w:sz="24" w:space="0" w:color="auto"/>
              <w:bottom w:val="single" w:sz="4" w:space="0" w:color="auto"/>
            </w:tcBorders>
            <w:vAlign w:val="center"/>
          </w:tcPr>
          <w:p w14:paraId="3A988249"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2</w:t>
            </w:r>
          </w:p>
        </w:tc>
        <w:tc>
          <w:tcPr>
            <w:tcW w:w="851" w:type="dxa"/>
            <w:tcBorders>
              <w:top w:val="thinThickSmallGap" w:sz="24" w:space="0" w:color="auto"/>
              <w:bottom w:val="single" w:sz="4" w:space="0" w:color="auto"/>
            </w:tcBorders>
            <w:vAlign w:val="center"/>
          </w:tcPr>
          <w:p w14:paraId="07CB021D" w14:textId="77777777" w:rsidR="001A4F1A" w:rsidRPr="001D0E8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D0E8B">
              <w:rPr>
                <w:color w:val="000000"/>
                <w:sz w:val="20"/>
              </w:rPr>
              <w:t>1</w:t>
            </w:r>
          </w:p>
        </w:tc>
      </w:tr>
    </w:tbl>
    <w:p w14:paraId="1D6ECB51" w14:textId="77777777" w:rsidR="001A4F1A" w:rsidRPr="00D6101B" w:rsidRDefault="001A4F1A" w:rsidP="00E858EF">
      <w:pPr>
        <w:suppressAutoHyphens/>
        <w:autoSpaceDE w:val="0"/>
        <w:autoSpaceDN w:val="0"/>
        <w:adjustRightInd w:val="0"/>
        <w:rPr>
          <w:color w:val="000000"/>
        </w:rPr>
      </w:pPr>
    </w:p>
    <w:p w14:paraId="3E7AA4E3" w14:textId="77777777" w:rsidR="001A4F1A" w:rsidRPr="00D6101B" w:rsidRDefault="001A4F1A" w:rsidP="00E858EF">
      <w:pPr>
        <w:suppressAutoHyphens/>
        <w:autoSpaceDE w:val="0"/>
        <w:autoSpaceDN w:val="0"/>
        <w:adjustRightInd w:val="0"/>
        <w:rPr>
          <w:color w:val="000000"/>
        </w:rPr>
      </w:pPr>
      <w:r>
        <w:rPr>
          <w:noProof/>
          <w:lang w:val="it-IT"/>
        </w:rPr>
        <w:drawing>
          <wp:inline distT="0" distB="0" distL="0" distR="0" wp14:anchorId="1348D439" wp14:editId="033A2578">
            <wp:extent cx="4680000" cy="2520000"/>
            <wp:effectExtent l="0" t="0" r="19050" b="20320"/>
            <wp:docPr id="77" name="Gra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021476BB" w14:textId="7E580936" w:rsidR="001A4F1A" w:rsidRPr="00D6101B" w:rsidRDefault="001A4F1A" w:rsidP="00E858EF">
      <w:pPr>
        <w:pStyle w:val="Didascalia"/>
        <w:suppressAutoHyphens/>
      </w:pPr>
      <w:bookmarkStart w:id="727" w:name="_Toc520212353"/>
      <w:r>
        <w:t>Figure 4-16</w:t>
      </w:r>
      <w:r w:rsidR="000616EE">
        <w:t>.</w:t>
      </w:r>
      <w:r>
        <w:t xml:space="preserve"> Deposition methods </w:t>
      </w:r>
      <w:r w:rsidRPr="008772F1">
        <w:t>associated in t</w:t>
      </w:r>
      <w:r>
        <w:t>ombs with larnakes</w:t>
      </w:r>
      <w:r w:rsidR="00466FB3">
        <w:t>,</w:t>
      </w:r>
      <w:r>
        <w:t xml:space="preserve"> Central</w:t>
      </w:r>
      <w:r w:rsidRPr="008772F1">
        <w:t xml:space="preserve"> </w:t>
      </w:r>
      <w:bookmarkEnd w:id="727"/>
      <w:r w:rsidR="00466FB3">
        <w:t>area</w:t>
      </w:r>
    </w:p>
    <w:p w14:paraId="661B8460" w14:textId="77777777" w:rsidR="001A4F1A" w:rsidRPr="00D6101B" w:rsidRDefault="001A4F1A" w:rsidP="00E858EF">
      <w:pPr>
        <w:suppressAutoHyphens/>
        <w:autoSpaceDE w:val="0"/>
        <w:autoSpaceDN w:val="0"/>
        <w:adjustRightInd w:val="0"/>
        <w:spacing w:line="240" w:lineRule="auto"/>
        <w:jc w:val="center"/>
        <w:rPr>
          <w:b/>
          <w:color w:val="000000"/>
        </w:rPr>
      </w:pPr>
    </w:p>
    <w:p w14:paraId="48B249AB"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 xml:space="preserve">The remaining types of deposition associated with larnakes are </w:t>
      </w:r>
      <w:r>
        <w:rPr>
          <w:color w:val="000000"/>
        </w:rPr>
        <w:t>those</w:t>
      </w:r>
      <w:r w:rsidRPr="00D6101B">
        <w:rPr>
          <w:color w:val="000000"/>
        </w:rPr>
        <w:t xml:space="preserve"> on the floor and in pit</w:t>
      </w:r>
      <w:r>
        <w:rPr>
          <w:color w:val="000000"/>
        </w:rPr>
        <w:t>s</w:t>
      </w:r>
      <w:r w:rsidRPr="00D6101B">
        <w:rPr>
          <w:color w:val="000000"/>
        </w:rPr>
        <w:t xml:space="preserve">. </w:t>
      </w:r>
    </w:p>
    <w:p w14:paraId="7AC0FA16" w14:textId="77777777" w:rsidR="001A4F1A" w:rsidRPr="00295BF9" w:rsidRDefault="001A4F1A" w:rsidP="00E858EF">
      <w:pPr>
        <w:suppressAutoHyphens/>
        <w:autoSpaceDE w:val="0"/>
        <w:autoSpaceDN w:val="0"/>
        <w:adjustRightInd w:val="0"/>
        <w:ind w:firstLine="708"/>
        <w:rPr>
          <w:color w:val="000000"/>
        </w:rPr>
      </w:pPr>
      <w:r w:rsidRPr="00D6101B">
        <w:rPr>
          <w:color w:val="000000"/>
        </w:rPr>
        <w:t>It seems that deposition</w:t>
      </w:r>
      <w:r>
        <w:rPr>
          <w:color w:val="000000"/>
        </w:rPr>
        <w:t>s</w:t>
      </w:r>
      <w:r w:rsidRPr="00D6101B">
        <w:rPr>
          <w:color w:val="000000"/>
        </w:rPr>
        <w:t xml:space="preserve"> on the floor </w:t>
      </w:r>
      <w:r>
        <w:rPr>
          <w:color w:val="000000"/>
        </w:rPr>
        <w:t>were often</w:t>
      </w:r>
      <w:r w:rsidRPr="00D6101B">
        <w:rPr>
          <w:color w:val="000000"/>
        </w:rPr>
        <w:t xml:space="preserve"> associated with secondary burial depositions (attested in six tombs for a total of 14 individuals)</w:t>
      </w:r>
      <w:r>
        <w:rPr>
          <w:color w:val="000000"/>
        </w:rPr>
        <w:t>.</w:t>
      </w:r>
      <w:r w:rsidRPr="00D6101B">
        <w:rPr>
          <w:color w:val="000000"/>
        </w:rPr>
        <w:t xml:space="preserve"> </w:t>
      </w:r>
      <w:r>
        <w:rPr>
          <w:color w:val="000000"/>
        </w:rPr>
        <w:t>T</w:t>
      </w:r>
      <w:r w:rsidRPr="00D6101B">
        <w:rPr>
          <w:color w:val="000000"/>
        </w:rPr>
        <w:t xml:space="preserve">here are cases in which no bones have been associated with larnakes and </w:t>
      </w:r>
      <w:r>
        <w:rPr>
          <w:color w:val="000000"/>
        </w:rPr>
        <w:t>only bones or fragments of bone</w:t>
      </w:r>
      <w:r w:rsidRPr="00D6101B">
        <w:rPr>
          <w:color w:val="000000"/>
        </w:rPr>
        <w:t xml:space="preserve"> have been found on the floor (</w:t>
      </w:r>
      <w:r>
        <w:rPr>
          <w:color w:val="000000"/>
        </w:rPr>
        <w:t>e.g.</w:t>
      </w:r>
      <w:r w:rsidRPr="00D6101B">
        <w:rPr>
          <w:color w:val="000000"/>
        </w:rPr>
        <w:t xml:space="preserve"> Karnari Tragomandra, where three or four bodies </w:t>
      </w:r>
      <w:r>
        <w:rPr>
          <w:color w:val="000000"/>
        </w:rPr>
        <w:t>were</w:t>
      </w:r>
      <w:r w:rsidRPr="00D6101B">
        <w:rPr>
          <w:color w:val="000000"/>
        </w:rPr>
        <w:t xml:space="preserve"> found under or among the larnakes</w:t>
      </w:r>
      <w:r>
        <w:rPr>
          <w:color w:val="000000"/>
        </w:rPr>
        <w:t>: see</w:t>
      </w:r>
      <w:r w:rsidRPr="00D6101B">
        <w:rPr>
          <w:color w:val="000000"/>
        </w:rPr>
        <w:t xml:space="preserve"> </w:t>
      </w:r>
      <w:r w:rsidRPr="00D6101B">
        <w:rPr>
          <w:i/>
          <w:iCs/>
          <w:color w:val="000000"/>
        </w:rPr>
        <w:t>KChr</w:t>
      </w:r>
      <w:r w:rsidRPr="00D6101B">
        <w:rPr>
          <w:color w:val="000000"/>
        </w:rPr>
        <w:t xml:space="preserve"> </w:t>
      </w:r>
      <w:r>
        <w:rPr>
          <w:color w:val="000000"/>
        </w:rPr>
        <w:t xml:space="preserve">1 </w:t>
      </w:r>
      <w:r w:rsidRPr="00D6101B">
        <w:rPr>
          <w:color w:val="000000"/>
        </w:rPr>
        <w:t>1947: 633)</w:t>
      </w:r>
      <w:r>
        <w:rPr>
          <w:color w:val="000000"/>
        </w:rPr>
        <w:t>.</w:t>
      </w:r>
      <w:r w:rsidRPr="00D6101B">
        <w:rPr>
          <w:color w:val="000000"/>
        </w:rPr>
        <w:t xml:space="preserve"> </w:t>
      </w:r>
      <w:r>
        <w:rPr>
          <w:color w:val="000000"/>
        </w:rPr>
        <w:t>Also, there are</w:t>
      </w:r>
      <w:r w:rsidRPr="00D6101B">
        <w:rPr>
          <w:color w:val="000000"/>
        </w:rPr>
        <w:t xml:space="preserve"> case</w:t>
      </w:r>
      <w:r>
        <w:rPr>
          <w:color w:val="000000"/>
        </w:rPr>
        <w:t>s</w:t>
      </w:r>
      <w:r w:rsidRPr="00D6101B">
        <w:rPr>
          <w:color w:val="000000"/>
        </w:rPr>
        <w:t xml:space="preserve"> in which primary burials </w:t>
      </w:r>
      <w:r>
        <w:rPr>
          <w:color w:val="000000"/>
        </w:rPr>
        <w:t>were</w:t>
      </w:r>
      <w:r w:rsidRPr="00D6101B">
        <w:rPr>
          <w:color w:val="000000"/>
        </w:rPr>
        <w:t xml:space="preserve"> associated with larnakes</w:t>
      </w:r>
      <w:r>
        <w:rPr>
          <w:color w:val="000000"/>
        </w:rPr>
        <w:t>,</w:t>
      </w:r>
      <w:r w:rsidRPr="00D6101B">
        <w:rPr>
          <w:color w:val="000000"/>
        </w:rPr>
        <w:t xml:space="preserve"> </w:t>
      </w:r>
      <w:r>
        <w:rPr>
          <w:color w:val="000000"/>
        </w:rPr>
        <w:t>with</w:t>
      </w:r>
      <w:r w:rsidRPr="00D6101B">
        <w:rPr>
          <w:color w:val="000000"/>
        </w:rPr>
        <w:t xml:space="preserve"> secondary deposition on the floor, </w:t>
      </w:r>
      <w:r>
        <w:rPr>
          <w:color w:val="000000"/>
        </w:rPr>
        <w:t>such as</w:t>
      </w:r>
      <w:r w:rsidRPr="00D6101B">
        <w:rPr>
          <w:color w:val="000000"/>
        </w:rPr>
        <w:t xml:space="preserve"> the tomb at Archanes Katsoprinias</w:t>
      </w:r>
      <w:r>
        <w:rPr>
          <w:color w:val="000000"/>
        </w:rPr>
        <w:t>,</w:t>
      </w:r>
      <w:r w:rsidRPr="00D6101B">
        <w:rPr>
          <w:color w:val="000000"/>
        </w:rPr>
        <w:t xml:space="preserve"> where</w:t>
      </w:r>
      <w:r>
        <w:rPr>
          <w:color w:val="000000"/>
        </w:rPr>
        <w:t>,</w:t>
      </w:r>
      <w:r w:rsidRPr="00D6101B">
        <w:rPr>
          <w:color w:val="000000"/>
        </w:rPr>
        <w:t xml:space="preserve"> together with the two primary deposition</w:t>
      </w:r>
      <w:r>
        <w:rPr>
          <w:color w:val="000000"/>
        </w:rPr>
        <w:t>s</w:t>
      </w:r>
      <w:r w:rsidRPr="00D6101B">
        <w:rPr>
          <w:color w:val="000000"/>
        </w:rPr>
        <w:t xml:space="preserve"> inside the larnakes</w:t>
      </w:r>
      <w:r>
        <w:rPr>
          <w:color w:val="000000"/>
        </w:rPr>
        <w:t>,</w:t>
      </w:r>
      <w:r w:rsidRPr="00D6101B">
        <w:rPr>
          <w:color w:val="000000"/>
        </w:rPr>
        <w:t xml:space="preserve"> </w:t>
      </w:r>
      <w:r>
        <w:rPr>
          <w:color w:val="000000"/>
        </w:rPr>
        <w:t>an</w:t>
      </w:r>
      <w:r w:rsidRPr="00D6101B">
        <w:rPr>
          <w:color w:val="000000"/>
        </w:rPr>
        <w:t xml:space="preserve">other </w:t>
      </w:r>
      <w:r>
        <w:rPr>
          <w:color w:val="000000"/>
        </w:rPr>
        <w:t>four</w:t>
      </w:r>
      <w:r w:rsidRPr="00D6101B">
        <w:rPr>
          <w:color w:val="000000"/>
        </w:rPr>
        <w:t xml:space="preserve"> secondary depositions </w:t>
      </w:r>
      <w:r>
        <w:rPr>
          <w:color w:val="000000"/>
        </w:rPr>
        <w:t>were</w:t>
      </w:r>
      <w:r w:rsidRPr="00D6101B">
        <w:rPr>
          <w:color w:val="000000"/>
        </w:rPr>
        <w:t xml:space="preserve"> found on the floor (</w:t>
      </w:r>
      <w:r w:rsidRPr="00D6101B">
        <w:rPr>
          <w:i/>
          <w:iCs/>
          <w:color w:val="000000"/>
        </w:rPr>
        <w:t>ADelt</w:t>
      </w:r>
      <w:r w:rsidRPr="00D6101B">
        <w:rPr>
          <w:color w:val="000000"/>
        </w:rPr>
        <w:t xml:space="preserve"> 20 1965: 557-58). </w:t>
      </w:r>
      <w:r>
        <w:rPr>
          <w:color w:val="000000"/>
        </w:rPr>
        <w:t>I</w:t>
      </w:r>
      <w:r w:rsidRPr="00D6101B">
        <w:rPr>
          <w:color w:val="000000"/>
        </w:rPr>
        <w:t xml:space="preserve">ndividuals associated with floor </w:t>
      </w:r>
      <w:r w:rsidRPr="00295BF9">
        <w:rPr>
          <w:color w:val="000000"/>
        </w:rPr>
        <w:t>depositions are also reported as primary burials (e.g.</w:t>
      </w:r>
      <w:r w:rsidRPr="00FA2EE3">
        <w:rPr>
          <w:color w:val="000000"/>
        </w:rPr>
        <w:t xml:space="preserve"> one of </w:t>
      </w:r>
      <w:r>
        <w:rPr>
          <w:color w:val="000000"/>
        </w:rPr>
        <w:t>the tombs found at Agios Syllas:</w:t>
      </w:r>
      <w:r w:rsidRPr="00EF0497">
        <w:rPr>
          <w:color w:val="000000"/>
        </w:rPr>
        <w:t xml:space="preserve"> </w:t>
      </w:r>
      <w:r w:rsidRPr="00EF0497">
        <w:rPr>
          <w:i/>
          <w:color w:val="000000"/>
        </w:rPr>
        <w:t>ADelt</w:t>
      </w:r>
      <w:r>
        <w:rPr>
          <w:color w:val="000000"/>
        </w:rPr>
        <w:t xml:space="preserve"> 33 </w:t>
      </w:r>
      <w:r w:rsidRPr="00D6101B">
        <w:rPr>
          <w:color w:val="000000"/>
        </w:rPr>
        <w:t>1978:</w:t>
      </w:r>
      <w:r>
        <w:rPr>
          <w:color w:val="000000"/>
        </w:rPr>
        <w:t xml:space="preserve"> </w:t>
      </w:r>
      <w:r w:rsidRPr="00D6101B">
        <w:rPr>
          <w:color w:val="000000"/>
        </w:rPr>
        <w:t>352</w:t>
      </w:r>
      <w:r w:rsidRPr="00295BF9">
        <w:rPr>
          <w:color w:val="000000"/>
        </w:rPr>
        <w:t xml:space="preserve">), or in other cases </w:t>
      </w:r>
      <w:r>
        <w:rPr>
          <w:color w:val="000000"/>
        </w:rPr>
        <w:t>(four tombs) there is</w:t>
      </w:r>
      <w:r w:rsidRPr="00295BF9">
        <w:rPr>
          <w:color w:val="000000"/>
        </w:rPr>
        <w:t xml:space="preserve"> no information about the burial stage of these deposi</w:t>
      </w:r>
      <w:r>
        <w:rPr>
          <w:color w:val="000000"/>
        </w:rPr>
        <w:t>ti</w:t>
      </w:r>
      <w:r w:rsidRPr="00295BF9">
        <w:rPr>
          <w:color w:val="000000"/>
        </w:rPr>
        <w:t>ons on the floor (e.g. Damania</w:t>
      </w:r>
      <w:r>
        <w:rPr>
          <w:color w:val="000000"/>
        </w:rPr>
        <w:t>:</w:t>
      </w:r>
      <w:r w:rsidRPr="00295BF9">
        <w:rPr>
          <w:color w:val="000000"/>
        </w:rPr>
        <w:t xml:space="preserve"> Preston 2000: 655 appendix O).</w:t>
      </w:r>
    </w:p>
    <w:p w14:paraId="58471D72"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Depositions in pit</w:t>
      </w:r>
      <w:r>
        <w:rPr>
          <w:color w:val="000000"/>
        </w:rPr>
        <w:t>s are recorded</w:t>
      </w:r>
      <w:r w:rsidRPr="00D6101B">
        <w:rPr>
          <w:color w:val="000000"/>
        </w:rPr>
        <w:t xml:space="preserve"> for five tombs, and in only two tombs </w:t>
      </w:r>
      <w:r>
        <w:rPr>
          <w:color w:val="000000"/>
        </w:rPr>
        <w:t xml:space="preserve">are </w:t>
      </w:r>
      <w:r w:rsidRPr="00D6101B">
        <w:rPr>
          <w:color w:val="000000"/>
        </w:rPr>
        <w:t>they secondary burials. In all the other case</w:t>
      </w:r>
      <w:r>
        <w:rPr>
          <w:color w:val="000000"/>
        </w:rPr>
        <w:t>s</w:t>
      </w:r>
      <w:r w:rsidRPr="00D6101B">
        <w:rPr>
          <w:color w:val="000000"/>
        </w:rPr>
        <w:t xml:space="preserve">, </w:t>
      </w:r>
      <w:r>
        <w:rPr>
          <w:color w:val="000000"/>
        </w:rPr>
        <w:t>at least</w:t>
      </w:r>
      <w:r w:rsidRPr="00D6101B">
        <w:rPr>
          <w:color w:val="000000"/>
        </w:rPr>
        <w:t xml:space="preserve"> one pit in the tomb </w:t>
      </w:r>
      <w:r>
        <w:rPr>
          <w:color w:val="000000"/>
        </w:rPr>
        <w:t>was</w:t>
      </w:r>
      <w:r w:rsidRPr="00D6101B">
        <w:rPr>
          <w:color w:val="000000"/>
        </w:rPr>
        <w:t xml:space="preserve"> used for primary deposition interments (</w:t>
      </w:r>
      <w:r>
        <w:rPr>
          <w:color w:val="000000"/>
        </w:rPr>
        <w:t>e.g.</w:t>
      </w:r>
      <w:r w:rsidRPr="00D6101B">
        <w:rPr>
          <w:color w:val="000000"/>
        </w:rPr>
        <w:t xml:space="preserve"> </w:t>
      </w:r>
      <w:r>
        <w:rPr>
          <w:color w:val="000000"/>
        </w:rPr>
        <w:t xml:space="preserve">the </w:t>
      </w:r>
      <w:r w:rsidRPr="00D6101B">
        <w:rPr>
          <w:color w:val="000000"/>
        </w:rPr>
        <w:t>tomb at Metochi Kalou, where in each pit were found two primary interments</w:t>
      </w:r>
      <w:r>
        <w:rPr>
          <w:color w:val="000000"/>
        </w:rPr>
        <w:t>:</w:t>
      </w:r>
      <w:r w:rsidRPr="00831E86">
        <w:rPr>
          <w:color w:val="262626"/>
        </w:rPr>
        <w:t xml:space="preserve"> </w:t>
      </w:r>
      <w:r>
        <w:rPr>
          <w:color w:val="262626"/>
        </w:rPr>
        <w:t xml:space="preserve">Dimopoulou-Rethemiotaki and </w:t>
      </w:r>
      <w:r w:rsidRPr="009024B8">
        <w:rPr>
          <w:color w:val="262626"/>
        </w:rPr>
        <w:t>Rethemiotakis</w:t>
      </w:r>
      <w:r w:rsidRPr="00D6101B">
        <w:rPr>
          <w:color w:val="000000"/>
        </w:rPr>
        <w:t xml:space="preserve"> 1978: 40). </w:t>
      </w:r>
    </w:p>
    <w:p w14:paraId="3B417734"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The practice of reusing the tomb and larnakes more than on</w:t>
      </w:r>
      <w:r>
        <w:rPr>
          <w:color w:val="000000"/>
        </w:rPr>
        <w:t>ce</w:t>
      </w:r>
      <w:r w:rsidRPr="00D6101B">
        <w:rPr>
          <w:color w:val="000000"/>
        </w:rPr>
        <w:t xml:space="preserve"> is attested</w:t>
      </w:r>
      <w:r>
        <w:rPr>
          <w:color w:val="000000"/>
        </w:rPr>
        <w:t xml:space="preserve"> also</w:t>
      </w:r>
      <w:r w:rsidRPr="00D6101B">
        <w:rPr>
          <w:color w:val="000000"/>
        </w:rPr>
        <w:t xml:space="preserve"> in a tomb at Gournes (Ha</w:t>
      </w:r>
      <w:r>
        <w:rPr>
          <w:color w:val="000000"/>
        </w:rPr>
        <w:t>tz</w:t>
      </w:r>
      <w:r w:rsidRPr="00D6101B">
        <w:rPr>
          <w:color w:val="000000"/>
        </w:rPr>
        <w:t>idakis</w:t>
      </w:r>
      <w:r>
        <w:rPr>
          <w:color w:val="000000"/>
        </w:rPr>
        <w:t xml:space="preserve"> </w:t>
      </w:r>
      <w:r w:rsidRPr="00D6101B">
        <w:rPr>
          <w:color w:val="000000"/>
        </w:rPr>
        <w:t>1918</w:t>
      </w:r>
      <w:r>
        <w:rPr>
          <w:color w:val="000000"/>
        </w:rPr>
        <w:t>:</w:t>
      </w:r>
      <w:r w:rsidRPr="00D6101B">
        <w:rPr>
          <w:color w:val="000000"/>
        </w:rPr>
        <w:t xml:space="preserve"> 63-87), where</w:t>
      </w:r>
      <w:r>
        <w:rPr>
          <w:color w:val="000000"/>
        </w:rPr>
        <w:t>,</w:t>
      </w:r>
      <w:r w:rsidRPr="00D6101B">
        <w:rPr>
          <w:color w:val="000000"/>
        </w:rPr>
        <w:t xml:space="preserve"> inside the larnax</w:t>
      </w:r>
      <w:r>
        <w:rPr>
          <w:color w:val="000000"/>
        </w:rPr>
        <w:t>,</w:t>
      </w:r>
      <w:r w:rsidRPr="00D6101B">
        <w:rPr>
          <w:color w:val="000000"/>
        </w:rPr>
        <w:t xml:space="preserve"> three bodies</w:t>
      </w:r>
      <w:r>
        <w:rPr>
          <w:color w:val="000000"/>
        </w:rPr>
        <w:t xml:space="preserve"> were found,</w:t>
      </w:r>
      <w:r w:rsidRPr="00D6101B">
        <w:rPr>
          <w:color w:val="000000"/>
        </w:rPr>
        <w:t xml:space="preserve"> the upper </w:t>
      </w:r>
      <w:r>
        <w:rPr>
          <w:color w:val="000000"/>
        </w:rPr>
        <w:t>of which</w:t>
      </w:r>
      <w:r w:rsidRPr="00D6101B">
        <w:rPr>
          <w:color w:val="000000"/>
        </w:rPr>
        <w:t xml:space="preserve"> was articulated, and the two at the bottom of the clay chest were disarticulated, </w:t>
      </w:r>
      <w:r>
        <w:rPr>
          <w:color w:val="000000"/>
        </w:rPr>
        <w:t>indicating</w:t>
      </w:r>
      <w:r w:rsidRPr="00D6101B">
        <w:rPr>
          <w:color w:val="000000"/>
        </w:rPr>
        <w:t xml:space="preserve"> that the larnax was reopened and reused. </w:t>
      </w:r>
      <w:r>
        <w:rPr>
          <w:color w:val="000000"/>
        </w:rPr>
        <w:t>Thus, t</w:t>
      </w:r>
      <w:r w:rsidRPr="00D6101B">
        <w:rPr>
          <w:color w:val="000000"/>
        </w:rPr>
        <w:t xml:space="preserve">he upper body </w:t>
      </w:r>
      <w:r>
        <w:rPr>
          <w:color w:val="000000"/>
        </w:rPr>
        <w:t>is the</w:t>
      </w:r>
      <w:r w:rsidRPr="00D6101B">
        <w:rPr>
          <w:color w:val="000000"/>
        </w:rPr>
        <w:t xml:space="preserve"> </w:t>
      </w:r>
      <w:r>
        <w:rPr>
          <w:color w:val="000000"/>
        </w:rPr>
        <w:t>final</w:t>
      </w:r>
      <w:r w:rsidRPr="00D6101B">
        <w:rPr>
          <w:color w:val="000000"/>
        </w:rPr>
        <w:t xml:space="preserve"> deposition. </w:t>
      </w:r>
      <w:r>
        <w:rPr>
          <w:color w:val="000000"/>
        </w:rPr>
        <w:t>For</w:t>
      </w:r>
      <w:r w:rsidRPr="00D6101B">
        <w:rPr>
          <w:color w:val="000000"/>
        </w:rPr>
        <w:t xml:space="preserve"> this tomb</w:t>
      </w:r>
      <w:r>
        <w:rPr>
          <w:color w:val="000000"/>
        </w:rPr>
        <w:t>,</w:t>
      </w:r>
      <w:r w:rsidRPr="00D6101B">
        <w:rPr>
          <w:color w:val="000000"/>
        </w:rPr>
        <w:t xml:space="preserve"> no other skeletal remains </w:t>
      </w:r>
      <w:r>
        <w:rPr>
          <w:color w:val="000000"/>
        </w:rPr>
        <w:t>were</w:t>
      </w:r>
      <w:r w:rsidRPr="00D6101B">
        <w:rPr>
          <w:color w:val="000000"/>
        </w:rPr>
        <w:t xml:space="preserve"> found. The way in which this larnax </w:t>
      </w:r>
      <w:r>
        <w:rPr>
          <w:color w:val="000000"/>
        </w:rPr>
        <w:t>was</w:t>
      </w:r>
      <w:r w:rsidRPr="00D6101B">
        <w:rPr>
          <w:color w:val="000000"/>
        </w:rPr>
        <w:t xml:space="preserve"> reused in this tomb </w:t>
      </w:r>
      <w:r>
        <w:rPr>
          <w:color w:val="000000"/>
        </w:rPr>
        <w:t>suggests</w:t>
      </w:r>
      <w:r w:rsidRPr="00D6101B">
        <w:rPr>
          <w:color w:val="000000"/>
        </w:rPr>
        <w:t xml:space="preserve"> that larnakes were not necessar</w:t>
      </w:r>
      <w:r>
        <w:rPr>
          <w:color w:val="000000"/>
        </w:rPr>
        <w:t>il</w:t>
      </w:r>
      <w:r w:rsidRPr="00D6101B">
        <w:rPr>
          <w:color w:val="000000"/>
        </w:rPr>
        <w:t>y emptied to be re</w:t>
      </w:r>
      <w:r>
        <w:rPr>
          <w:color w:val="000000"/>
        </w:rPr>
        <w:t>used</w:t>
      </w:r>
      <w:r w:rsidRPr="00D6101B">
        <w:rPr>
          <w:color w:val="000000"/>
        </w:rPr>
        <w:t>, but they could be simply re</w:t>
      </w:r>
      <w:r>
        <w:rPr>
          <w:color w:val="000000"/>
        </w:rPr>
        <w:t>opened</w:t>
      </w:r>
      <w:r w:rsidRPr="00D6101B">
        <w:rPr>
          <w:color w:val="000000"/>
        </w:rPr>
        <w:t xml:space="preserve"> and used for more than one burial. </w:t>
      </w:r>
    </w:p>
    <w:p w14:paraId="5986E918" w14:textId="77777777" w:rsidR="001A4F1A" w:rsidRPr="00D6101B" w:rsidRDefault="001A4F1A" w:rsidP="00E858EF">
      <w:pPr>
        <w:suppressAutoHyphens/>
        <w:autoSpaceDE w:val="0"/>
        <w:autoSpaceDN w:val="0"/>
        <w:adjustRightInd w:val="0"/>
        <w:rPr>
          <w:color w:val="000000"/>
        </w:rPr>
      </w:pPr>
      <w:r>
        <w:rPr>
          <w:color w:val="000000"/>
        </w:rPr>
        <w:tab/>
        <w:t>Regarding</w:t>
      </w:r>
      <w:r w:rsidRPr="00D6101B">
        <w:rPr>
          <w:color w:val="000000"/>
        </w:rPr>
        <w:t xml:space="preserve"> gender and age for the </w:t>
      </w:r>
      <w:r>
        <w:rPr>
          <w:color w:val="000000"/>
        </w:rPr>
        <w:t>C</w:t>
      </w:r>
      <w:r w:rsidRPr="00D6101B">
        <w:rPr>
          <w:color w:val="000000"/>
        </w:rPr>
        <w:t xml:space="preserve">entral region, data are available for a sample of only six tombs, </w:t>
      </w:r>
      <w:r>
        <w:rPr>
          <w:color w:val="000000"/>
        </w:rPr>
        <w:t xml:space="preserve">which is </w:t>
      </w:r>
      <w:r w:rsidRPr="00D6101B">
        <w:rPr>
          <w:color w:val="000000"/>
        </w:rPr>
        <w:t xml:space="preserve">only 7% </w:t>
      </w:r>
      <w:r>
        <w:rPr>
          <w:color w:val="000000"/>
        </w:rPr>
        <w:t xml:space="preserve">of </w:t>
      </w:r>
      <w:r w:rsidRPr="00D6101B">
        <w:rPr>
          <w:color w:val="000000"/>
        </w:rPr>
        <w:t>the total number of secure burials</w:t>
      </w:r>
      <w:r>
        <w:rPr>
          <w:color w:val="000000"/>
        </w:rPr>
        <w:t>.</w:t>
      </w:r>
      <w:r w:rsidRPr="00D6101B">
        <w:rPr>
          <w:color w:val="000000"/>
        </w:rPr>
        <w:t xml:space="preserve"> </w:t>
      </w:r>
      <w:r>
        <w:rPr>
          <w:color w:val="000000"/>
        </w:rPr>
        <w:t>Regarding</w:t>
      </w:r>
      <w:r w:rsidRPr="00D6101B">
        <w:rPr>
          <w:color w:val="000000"/>
        </w:rPr>
        <w:t xml:space="preserve"> the number of individuals</w:t>
      </w:r>
      <w:r>
        <w:rPr>
          <w:color w:val="000000"/>
        </w:rPr>
        <w:t>,</w:t>
      </w:r>
      <w:r w:rsidRPr="00D6101B">
        <w:rPr>
          <w:color w:val="000000"/>
        </w:rPr>
        <w:t xml:space="preserve"> the percentage for which there </w:t>
      </w:r>
      <w:r>
        <w:rPr>
          <w:color w:val="000000"/>
        </w:rPr>
        <w:t>is</w:t>
      </w:r>
      <w:r w:rsidRPr="00D6101B">
        <w:rPr>
          <w:color w:val="000000"/>
        </w:rPr>
        <w:t xml:space="preserve"> information about gender and age </w:t>
      </w:r>
      <w:r>
        <w:rPr>
          <w:color w:val="000000"/>
        </w:rPr>
        <w:t>is</w:t>
      </w:r>
      <w:r w:rsidRPr="00D6101B">
        <w:rPr>
          <w:color w:val="000000"/>
        </w:rPr>
        <w:t xml:space="preserve"> </w:t>
      </w:r>
      <w:r>
        <w:rPr>
          <w:color w:val="000000"/>
        </w:rPr>
        <w:t>18</w:t>
      </w:r>
      <w:r w:rsidRPr="00D6101B">
        <w:rPr>
          <w:color w:val="000000"/>
        </w:rPr>
        <w:t xml:space="preserve">% of the </w:t>
      </w:r>
      <w:r>
        <w:rPr>
          <w:color w:val="000000"/>
        </w:rPr>
        <w:t>of skeletal remains retrieved and mentioned in</w:t>
      </w:r>
      <w:r w:rsidRPr="00D6101B">
        <w:rPr>
          <w:color w:val="000000"/>
        </w:rPr>
        <w:t xml:space="preserve"> publications (thanks also to the information about gender and age retrieved from the 19 secondary burials deposited in the larnax from </w:t>
      </w:r>
      <w:r>
        <w:rPr>
          <w:color w:val="000000"/>
        </w:rPr>
        <w:t>T</w:t>
      </w:r>
      <w:r w:rsidRPr="00D6101B">
        <w:rPr>
          <w:color w:val="000000"/>
        </w:rPr>
        <w:t xml:space="preserve">holos B at Archanes, information </w:t>
      </w:r>
      <w:r>
        <w:rPr>
          <w:color w:val="000000"/>
        </w:rPr>
        <w:t>is</w:t>
      </w:r>
      <w:r w:rsidRPr="00D6101B">
        <w:rPr>
          <w:color w:val="000000"/>
        </w:rPr>
        <w:t xml:space="preserve"> available for at least 15 individuals).</w:t>
      </w:r>
      <w:r>
        <w:rPr>
          <w:color w:val="000000"/>
        </w:rPr>
        <w:t xml:space="preserve"> Regarding</w:t>
      </w:r>
      <w:r w:rsidRPr="00D6101B">
        <w:rPr>
          <w:color w:val="000000"/>
        </w:rPr>
        <w:t xml:space="preserve"> gender and age, the information comes from</w:t>
      </w:r>
      <w:r>
        <w:rPr>
          <w:color w:val="000000"/>
        </w:rPr>
        <w:t xml:space="preserve"> the following sources</w:t>
      </w:r>
      <w:r w:rsidRPr="00D6101B">
        <w:rPr>
          <w:color w:val="000000"/>
        </w:rPr>
        <w:t>:</w:t>
      </w:r>
    </w:p>
    <w:p w14:paraId="27A92A71" w14:textId="77777777" w:rsidR="001A4F1A" w:rsidRPr="00D6101B" w:rsidRDefault="001A4F1A" w:rsidP="00E858EF">
      <w:pPr>
        <w:pStyle w:val="Paragrafoelenco"/>
        <w:numPr>
          <w:ilvl w:val="0"/>
          <w:numId w:val="37"/>
        </w:numPr>
        <w:suppressAutoHyphens/>
        <w:autoSpaceDE w:val="0"/>
        <w:autoSpaceDN w:val="0"/>
        <w:adjustRightInd w:val="0"/>
        <w:rPr>
          <w:color w:val="000000"/>
        </w:rPr>
      </w:pPr>
      <w:r w:rsidRPr="00D6101B">
        <w:rPr>
          <w:color w:val="000000"/>
        </w:rPr>
        <w:t>The tomb at Agia Pelagia</w:t>
      </w:r>
      <w:r>
        <w:rPr>
          <w:color w:val="000000"/>
        </w:rPr>
        <w:t>,</w:t>
      </w:r>
      <w:r w:rsidRPr="00D6101B">
        <w:rPr>
          <w:color w:val="000000"/>
        </w:rPr>
        <w:t xml:space="preserve"> where a young male was found in the only</w:t>
      </w:r>
      <w:r>
        <w:rPr>
          <w:color w:val="000000"/>
        </w:rPr>
        <w:t xml:space="preserve"> clay</w:t>
      </w:r>
      <w:r w:rsidRPr="00D6101B">
        <w:rPr>
          <w:color w:val="000000"/>
        </w:rPr>
        <w:t xml:space="preserve"> chest found in the tomb</w:t>
      </w:r>
      <w:r>
        <w:rPr>
          <w:color w:val="000000"/>
        </w:rPr>
        <w:t>.</w:t>
      </w:r>
    </w:p>
    <w:p w14:paraId="1FCDFA09" w14:textId="77777777" w:rsidR="001A4F1A" w:rsidRPr="00D6101B" w:rsidRDefault="001A4F1A" w:rsidP="00E858EF">
      <w:pPr>
        <w:pStyle w:val="Paragrafoelenco"/>
        <w:numPr>
          <w:ilvl w:val="0"/>
          <w:numId w:val="37"/>
        </w:numPr>
        <w:suppressAutoHyphens/>
        <w:autoSpaceDE w:val="0"/>
        <w:autoSpaceDN w:val="0"/>
        <w:adjustRightInd w:val="0"/>
        <w:rPr>
          <w:color w:val="000000"/>
        </w:rPr>
      </w:pPr>
      <w:r w:rsidRPr="00D6101B">
        <w:rPr>
          <w:color w:val="000000"/>
        </w:rPr>
        <w:t>Tomb 2 at Archanes Aniphoros</w:t>
      </w:r>
      <w:r>
        <w:rPr>
          <w:color w:val="000000"/>
        </w:rPr>
        <w:t>,</w:t>
      </w:r>
      <w:r w:rsidRPr="00D6101B">
        <w:rPr>
          <w:color w:val="000000"/>
        </w:rPr>
        <w:t xml:space="preserve"> where two adults </w:t>
      </w:r>
      <w:r>
        <w:rPr>
          <w:color w:val="000000"/>
        </w:rPr>
        <w:t>(</w:t>
      </w:r>
      <w:r w:rsidRPr="00D6101B">
        <w:rPr>
          <w:color w:val="000000"/>
        </w:rPr>
        <w:t>male and female</w:t>
      </w:r>
      <w:r>
        <w:rPr>
          <w:color w:val="000000"/>
        </w:rPr>
        <w:t>)</w:t>
      </w:r>
      <w:r w:rsidRPr="00D6101B">
        <w:rPr>
          <w:color w:val="000000"/>
        </w:rPr>
        <w:t xml:space="preserve"> were found inside the only </w:t>
      </w:r>
      <w:r>
        <w:rPr>
          <w:color w:val="000000"/>
        </w:rPr>
        <w:t xml:space="preserve">clay </w:t>
      </w:r>
      <w:r w:rsidRPr="00D6101B">
        <w:rPr>
          <w:color w:val="000000"/>
        </w:rPr>
        <w:t>chest retrieved</w:t>
      </w:r>
      <w:r>
        <w:rPr>
          <w:color w:val="000000"/>
        </w:rPr>
        <w:t>.</w:t>
      </w:r>
    </w:p>
    <w:p w14:paraId="3BFDDB99" w14:textId="77777777" w:rsidR="001A4F1A" w:rsidRPr="00D6101B" w:rsidRDefault="001A4F1A" w:rsidP="00E858EF">
      <w:pPr>
        <w:pStyle w:val="Paragrafoelenco"/>
        <w:numPr>
          <w:ilvl w:val="0"/>
          <w:numId w:val="37"/>
        </w:numPr>
        <w:suppressAutoHyphens/>
        <w:autoSpaceDE w:val="0"/>
        <w:autoSpaceDN w:val="0"/>
        <w:adjustRightInd w:val="0"/>
        <w:rPr>
          <w:color w:val="000000"/>
        </w:rPr>
      </w:pPr>
      <w:r>
        <w:rPr>
          <w:color w:val="000000"/>
        </w:rPr>
        <w:t>T</w:t>
      </w:r>
      <w:r w:rsidRPr="00D6101B">
        <w:rPr>
          <w:color w:val="000000"/>
        </w:rPr>
        <w:t xml:space="preserve">he </w:t>
      </w:r>
      <w:r>
        <w:rPr>
          <w:color w:val="000000"/>
        </w:rPr>
        <w:t xml:space="preserve">clay </w:t>
      </w:r>
      <w:r w:rsidRPr="00D6101B">
        <w:rPr>
          <w:color w:val="000000"/>
        </w:rPr>
        <w:t xml:space="preserve">chest found in the side room of </w:t>
      </w:r>
      <w:r>
        <w:rPr>
          <w:color w:val="000000"/>
        </w:rPr>
        <w:t>T</w:t>
      </w:r>
      <w:r w:rsidRPr="00D6101B">
        <w:rPr>
          <w:color w:val="000000"/>
        </w:rPr>
        <w:t>holos A at Archanes</w:t>
      </w:r>
      <w:r>
        <w:rPr>
          <w:color w:val="000000"/>
        </w:rPr>
        <w:t>, in which</w:t>
      </w:r>
      <w:r w:rsidRPr="00D6101B">
        <w:rPr>
          <w:color w:val="000000"/>
        </w:rPr>
        <w:t xml:space="preserve"> a female burial is reported</w:t>
      </w:r>
      <w:r>
        <w:rPr>
          <w:color w:val="000000"/>
        </w:rPr>
        <w:t>,</w:t>
      </w:r>
      <w:r w:rsidRPr="00D6101B">
        <w:rPr>
          <w:color w:val="000000"/>
        </w:rPr>
        <w:t xml:space="preserve"> while </w:t>
      </w:r>
      <w:r>
        <w:rPr>
          <w:color w:val="000000"/>
        </w:rPr>
        <w:t>a</w:t>
      </w:r>
      <w:r w:rsidRPr="00D6101B">
        <w:rPr>
          <w:color w:val="000000"/>
        </w:rPr>
        <w:t xml:space="preserve"> fragmented </w:t>
      </w:r>
      <w:r>
        <w:rPr>
          <w:color w:val="000000"/>
        </w:rPr>
        <w:t xml:space="preserve">clay </w:t>
      </w:r>
      <w:r w:rsidRPr="00D6101B">
        <w:rPr>
          <w:color w:val="000000"/>
        </w:rPr>
        <w:t xml:space="preserve">chest in the pit </w:t>
      </w:r>
      <w:r>
        <w:rPr>
          <w:color w:val="000000"/>
        </w:rPr>
        <w:t xml:space="preserve">contained </w:t>
      </w:r>
      <w:r w:rsidRPr="00D6101B">
        <w:rPr>
          <w:color w:val="000000"/>
        </w:rPr>
        <w:t>no bone remains</w:t>
      </w:r>
      <w:r>
        <w:rPr>
          <w:color w:val="000000"/>
        </w:rPr>
        <w:t>.</w:t>
      </w:r>
    </w:p>
    <w:p w14:paraId="14DE5C7E" w14:textId="77777777" w:rsidR="001A4F1A" w:rsidRPr="00D6101B" w:rsidRDefault="001A4F1A" w:rsidP="00E858EF">
      <w:pPr>
        <w:pStyle w:val="Paragrafoelenco"/>
        <w:numPr>
          <w:ilvl w:val="0"/>
          <w:numId w:val="37"/>
        </w:numPr>
        <w:suppressAutoHyphens/>
        <w:autoSpaceDE w:val="0"/>
        <w:autoSpaceDN w:val="0"/>
        <w:adjustRightInd w:val="0"/>
        <w:rPr>
          <w:color w:val="000000"/>
        </w:rPr>
      </w:pPr>
      <w:r w:rsidRPr="00D6101B">
        <w:rPr>
          <w:color w:val="000000"/>
        </w:rPr>
        <w:t>In the secondary burials within the larnax found in one of the room annex</w:t>
      </w:r>
      <w:r>
        <w:rPr>
          <w:color w:val="000000"/>
        </w:rPr>
        <w:t>es</w:t>
      </w:r>
      <w:r w:rsidRPr="00D6101B">
        <w:rPr>
          <w:color w:val="000000"/>
        </w:rPr>
        <w:t xml:space="preserve"> of </w:t>
      </w:r>
      <w:r>
        <w:rPr>
          <w:color w:val="000000"/>
        </w:rPr>
        <w:t>T</w:t>
      </w:r>
      <w:r w:rsidRPr="00D6101B">
        <w:rPr>
          <w:color w:val="000000"/>
        </w:rPr>
        <w:t>holos B at Archanes there were</w:t>
      </w:r>
      <w:r>
        <w:rPr>
          <w:color w:val="000000"/>
        </w:rPr>
        <w:t xml:space="preserve"> at least</w:t>
      </w:r>
      <w:r w:rsidRPr="00D6101B">
        <w:rPr>
          <w:color w:val="000000"/>
        </w:rPr>
        <w:t xml:space="preserve"> six m</w:t>
      </w:r>
      <w:r>
        <w:rPr>
          <w:color w:val="000000"/>
        </w:rPr>
        <w:t>ales</w:t>
      </w:r>
      <w:r w:rsidRPr="00D6101B">
        <w:rPr>
          <w:color w:val="000000"/>
        </w:rPr>
        <w:t xml:space="preserve"> and </w:t>
      </w:r>
      <w:r>
        <w:rPr>
          <w:color w:val="000000"/>
        </w:rPr>
        <w:t>five</w:t>
      </w:r>
      <w:r w:rsidRPr="00D6101B">
        <w:rPr>
          <w:color w:val="000000"/>
        </w:rPr>
        <w:t xml:space="preserve"> female</w:t>
      </w:r>
      <w:r>
        <w:rPr>
          <w:color w:val="000000"/>
        </w:rPr>
        <w:t>s</w:t>
      </w:r>
      <w:r w:rsidRPr="00D6101B">
        <w:rPr>
          <w:color w:val="000000"/>
        </w:rPr>
        <w:t xml:space="preserve">, </w:t>
      </w:r>
      <w:r>
        <w:rPr>
          <w:color w:val="000000"/>
        </w:rPr>
        <w:t>of whom one</w:t>
      </w:r>
      <w:r w:rsidRPr="00D6101B">
        <w:rPr>
          <w:color w:val="000000"/>
        </w:rPr>
        <w:t xml:space="preserve"> </w:t>
      </w:r>
      <w:r>
        <w:rPr>
          <w:color w:val="000000"/>
        </w:rPr>
        <w:t>was a</w:t>
      </w:r>
      <w:r w:rsidRPr="00D6101B">
        <w:rPr>
          <w:color w:val="000000"/>
        </w:rPr>
        <w:t xml:space="preserve"> child and </w:t>
      </w:r>
      <w:r>
        <w:rPr>
          <w:color w:val="000000"/>
        </w:rPr>
        <w:t>three</w:t>
      </w:r>
      <w:r w:rsidRPr="00D6101B">
        <w:rPr>
          <w:color w:val="000000"/>
        </w:rPr>
        <w:t xml:space="preserve"> </w:t>
      </w:r>
      <w:r>
        <w:rPr>
          <w:color w:val="000000"/>
        </w:rPr>
        <w:t xml:space="preserve">were </w:t>
      </w:r>
      <w:r w:rsidRPr="00D6101B">
        <w:rPr>
          <w:color w:val="000000"/>
        </w:rPr>
        <w:t>young</w:t>
      </w:r>
      <w:r>
        <w:rPr>
          <w:color w:val="000000"/>
        </w:rPr>
        <w:t>.</w:t>
      </w:r>
    </w:p>
    <w:p w14:paraId="318F146F" w14:textId="77777777" w:rsidR="001A4F1A" w:rsidRPr="00D6101B" w:rsidRDefault="001A4F1A" w:rsidP="00E858EF">
      <w:pPr>
        <w:pStyle w:val="Paragrafoelenco"/>
        <w:numPr>
          <w:ilvl w:val="0"/>
          <w:numId w:val="37"/>
        </w:numPr>
        <w:suppressAutoHyphens/>
        <w:autoSpaceDE w:val="0"/>
        <w:autoSpaceDN w:val="0"/>
        <w:adjustRightInd w:val="0"/>
        <w:rPr>
          <w:color w:val="000000"/>
        </w:rPr>
      </w:pPr>
      <w:r w:rsidRPr="00D6101B">
        <w:rPr>
          <w:color w:val="000000"/>
        </w:rPr>
        <w:t>At Gournes</w:t>
      </w:r>
      <w:r>
        <w:rPr>
          <w:color w:val="000000"/>
        </w:rPr>
        <w:t>,</w:t>
      </w:r>
      <w:r w:rsidRPr="00D6101B">
        <w:rPr>
          <w:color w:val="000000"/>
        </w:rPr>
        <w:t xml:space="preserve"> in </w:t>
      </w:r>
      <w:r>
        <w:rPr>
          <w:color w:val="000000"/>
        </w:rPr>
        <w:t>T</w:t>
      </w:r>
      <w:r w:rsidRPr="00D6101B">
        <w:rPr>
          <w:color w:val="000000"/>
        </w:rPr>
        <w:t>omb 4</w:t>
      </w:r>
      <w:r>
        <w:rPr>
          <w:color w:val="000000"/>
        </w:rPr>
        <w:t>,</w:t>
      </w:r>
      <w:r w:rsidRPr="00D6101B">
        <w:rPr>
          <w:color w:val="000000"/>
        </w:rPr>
        <w:t xml:space="preserve"> a male was found in the larnax inside the pit, while for the other two chests there is no mention of bones inside</w:t>
      </w:r>
      <w:r>
        <w:rPr>
          <w:color w:val="000000"/>
        </w:rPr>
        <w:t>.</w:t>
      </w:r>
    </w:p>
    <w:p w14:paraId="590FA4D0" w14:textId="77777777" w:rsidR="001A4F1A" w:rsidRPr="00D6101B" w:rsidRDefault="001A4F1A" w:rsidP="00E858EF">
      <w:pPr>
        <w:pStyle w:val="Paragrafoelenco"/>
        <w:numPr>
          <w:ilvl w:val="0"/>
          <w:numId w:val="37"/>
        </w:numPr>
        <w:suppressAutoHyphens/>
        <w:autoSpaceDE w:val="0"/>
        <w:autoSpaceDN w:val="0"/>
        <w:adjustRightInd w:val="0"/>
        <w:rPr>
          <w:color w:val="000000"/>
        </w:rPr>
      </w:pPr>
      <w:r w:rsidRPr="00D6101B">
        <w:rPr>
          <w:color w:val="000000"/>
        </w:rPr>
        <w:t xml:space="preserve">In a chamber tomb </w:t>
      </w:r>
      <w:r>
        <w:rPr>
          <w:color w:val="000000"/>
        </w:rPr>
        <w:t>at</w:t>
      </w:r>
      <w:r w:rsidRPr="00D6101B">
        <w:rPr>
          <w:color w:val="000000"/>
        </w:rPr>
        <w:t xml:space="preserve"> Tylissos</w:t>
      </w:r>
      <w:r>
        <w:rPr>
          <w:color w:val="000000"/>
        </w:rPr>
        <w:t>,</w:t>
      </w:r>
      <w:r w:rsidRPr="00D6101B">
        <w:rPr>
          <w:color w:val="000000"/>
        </w:rPr>
        <w:t xml:space="preserve"> three primary burials were found in the three larnakes </w:t>
      </w:r>
      <w:r>
        <w:rPr>
          <w:color w:val="000000"/>
        </w:rPr>
        <w:t>(</w:t>
      </w:r>
      <w:r w:rsidRPr="00D6101B">
        <w:rPr>
          <w:color w:val="000000"/>
        </w:rPr>
        <w:t>one female, one adult male and one young</w:t>
      </w:r>
      <w:r>
        <w:rPr>
          <w:color w:val="000000"/>
        </w:rPr>
        <w:t>);</w:t>
      </w:r>
      <w:r w:rsidRPr="00D6101B">
        <w:rPr>
          <w:color w:val="000000"/>
        </w:rPr>
        <w:t xml:space="preserve"> on the floor</w:t>
      </w:r>
      <w:r>
        <w:rPr>
          <w:color w:val="000000"/>
        </w:rPr>
        <w:t>,</w:t>
      </w:r>
      <w:r w:rsidRPr="00D6101B">
        <w:rPr>
          <w:color w:val="000000"/>
        </w:rPr>
        <w:t xml:space="preserve"> there was an old male burial</w:t>
      </w:r>
      <w:r>
        <w:rPr>
          <w:color w:val="000000"/>
        </w:rPr>
        <w:t>.</w:t>
      </w:r>
    </w:p>
    <w:p w14:paraId="4832AC22" w14:textId="77777777" w:rsidR="001A4F1A" w:rsidRPr="00D6101B" w:rsidRDefault="001A4F1A" w:rsidP="00E858EF">
      <w:pPr>
        <w:suppressAutoHyphens/>
        <w:autoSpaceDE w:val="0"/>
        <w:autoSpaceDN w:val="0"/>
        <w:adjustRightInd w:val="0"/>
        <w:ind w:left="51"/>
        <w:rPr>
          <w:color w:val="000000"/>
        </w:rPr>
      </w:pPr>
      <w:r>
        <w:rPr>
          <w:color w:val="000000"/>
        </w:rPr>
        <w:t>Regarding</w:t>
      </w:r>
      <w:r w:rsidRPr="00D6101B">
        <w:rPr>
          <w:color w:val="000000"/>
        </w:rPr>
        <w:t xml:space="preserve"> age</w:t>
      </w:r>
      <w:r>
        <w:rPr>
          <w:color w:val="000000"/>
        </w:rPr>
        <w:t>,</w:t>
      </w:r>
      <w:r w:rsidRPr="00D6101B">
        <w:rPr>
          <w:color w:val="000000"/>
        </w:rPr>
        <w:t xml:space="preserve"> </w:t>
      </w:r>
      <w:r>
        <w:rPr>
          <w:color w:val="000000"/>
        </w:rPr>
        <w:t>the following</w:t>
      </w:r>
      <w:r w:rsidRPr="00D6101B">
        <w:rPr>
          <w:color w:val="000000"/>
        </w:rPr>
        <w:t xml:space="preserve"> information</w:t>
      </w:r>
      <w:r>
        <w:rPr>
          <w:color w:val="000000"/>
        </w:rPr>
        <w:t xml:space="preserve"> can be added</w:t>
      </w:r>
      <w:r w:rsidRPr="00D6101B">
        <w:rPr>
          <w:color w:val="000000"/>
        </w:rPr>
        <w:t xml:space="preserve"> from</w:t>
      </w:r>
      <w:r>
        <w:rPr>
          <w:color w:val="000000"/>
        </w:rPr>
        <w:t xml:space="preserve"> </w:t>
      </w:r>
      <w:r w:rsidRPr="00D6101B">
        <w:rPr>
          <w:color w:val="000000"/>
        </w:rPr>
        <w:t>one other tomb:</w:t>
      </w:r>
    </w:p>
    <w:p w14:paraId="5B0275C2" w14:textId="77777777" w:rsidR="001A4F1A" w:rsidRPr="00D6101B" w:rsidRDefault="001A4F1A" w:rsidP="00E858EF">
      <w:pPr>
        <w:pStyle w:val="Paragrafoelenco"/>
        <w:numPr>
          <w:ilvl w:val="0"/>
          <w:numId w:val="36"/>
        </w:numPr>
        <w:suppressAutoHyphens/>
        <w:autoSpaceDE w:val="0"/>
        <w:autoSpaceDN w:val="0"/>
        <w:adjustRightInd w:val="0"/>
        <w:rPr>
          <w:color w:val="000000"/>
        </w:rPr>
      </w:pPr>
      <w:r w:rsidRPr="00D6101B">
        <w:rPr>
          <w:color w:val="000000"/>
        </w:rPr>
        <w:t xml:space="preserve">Inside one of the three chest larnakes found in Burial </w:t>
      </w:r>
      <w:r>
        <w:rPr>
          <w:color w:val="000000"/>
        </w:rPr>
        <w:t>B</w:t>
      </w:r>
      <w:r w:rsidRPr="00D6101B">
        <w:rPr>
          <w:color w:val="000000"/>
        </w:rPr>
        <w:t>uilding 3 at Archanes</w:t>
      </w:r>
      <w:r>
        <w:rPr>
          <w:color w:val="000000"/>
        </w:rPr>
        <w:t>,</w:t>
      </w:r>
      <w:r w:rsidRPr="00D6101B">
        <w:rPr>
          <w:color w:val="000000"/>
        </w:rPr>
        <w:t xml:space="preserve"> the remains of three children </w:t>
      </w:r>
      <w:r>
        <w:rPr>
          <w:color w:val="000000"/>
        </w:rPr>
        <w:t>were</w:t>
      </w:r>
      <w:r w:rsidRPr="00D6101B">
        <w:rPr>
          <w:color w:val="000000"/>
        </w:rPr>
        <w:t xml:space="preserve"> retrieved </w:t>
      </w:r>
      <w:r>
        <w:rPr>
          <w:color w:val="000000"/>
        </w:rPr>
        <w:t>from</w:t>
      </w:r>
      <w:r w:rsidRPr="00D6101B">
        <w:rPr>
          <w:color w:val="000000"/>
        </w:rPr>
        <w:t xml:space="preserve"> one chest</w:t>
      </w:r>
      <w:r>
        <w:rPr>
          <w:color w:val="000000"/>
        </w:rPr>
        <w:t>;</w:t>
      </w:r>
      <w:r w:rsidRPr="00D6101B">
        <w:rPr>
          <w:color w:val="000000"/>
        </w:rPr>
        <w:t xml:space="preserve"> within the fragments of </w:t>
      </w:r>
      <w:r>
        <w:rPr>
          <w:color w:val="000000"/>
        </w:rPr>
        <w:t>an</w:t>
      </w:r>
      <w:r w:rsidRPr="00D6101B">
        <w:rPr>
          <w:color w:val="000000"/>
        </w:rPr>
        <w:t xml:space="preserve">other larnax only remains of bones </w:t>
      </w:r>
      <w:r>
        <w:rPr>
          <w:color w:val="000000"/>
        </w:rPr>
        <w:t>were</w:t>
      </w:r>
      <w:r w:rsidRPr="00D6101B">
        <w:rPr>
          <w:color w:val="000000"/>
        </w:rPr>
        <w:t xml:space="preserve"> found</w:t>
      </w:r>
      <w:r>
        <w:rPr>
          <w:color w:val="000000"/>
        </w:rPr>
        <w:t>;</w:t>
      </w:r>
      <w:r w:rsidRPr="00D6101B">
        <w:rPr>
          <w:color w:val="000000"/>
        </w:rPr>
        <w:t xml:space="preserve"> and for the chest in the corridor no bones at all are mentioned.</w:t>
      </w:r>
    </w:p>
    <w:p w14:paraId="086C726A" w14:textId="77777777" w:rsidR="001A4F1A" w:rsidRPr="00D6101B" w:rsidRDefault="001A4F1A" w:rsidP="00E858EF">
      <w:pPr>
        <w:suppressAutoHyphens/>
        <w:autoSpaceDE w:val="0"/>
        <w:autoSpaceDN w:val="0"/>
        <w:adjustRightInd w:val="0"/>
        <w:rPr>
          <w:color w:val="000000"/>
        </w:rPr>
      </w:pPr>
    </w:p>
    <w:p w14:paraId="436E054E" w14:textId="77777777" w:rsidR="001A4F1A" w:rsidRPr="00D6101B" w:rsidRDefault="001A4F1A" w:rsidP="00E858EF">
      <w:pPr>
        <w:suppressAutoHyphens/>
        <w:autoSpaceDE w:val="0"/>
        <w:autoSpaceDN w:val="0"/>
        <w:adjustRightInd w:val="0"/>
        <w:rPr>
          <w:color w:val="000000"/>
        </w:rPr>
      </w:pPr>
      <w:r w:rsidRPr="00E55DBC">
        <w:t xml:space="preserve"> </w:t>
      </w:r>
      <w:r>
        <w:rPr>
          <w:noProof/>
          <w:lang w:val="it-IT"/>
        </w:rPr>
        <w:drawing>
          <wp:inline distT="0" distB="0" distL="0" distR="0" wp14:anchorId="2F1366D7" wp14:editId="293EBC4D">
            <wp:extent cx="4679950" cy="2326944"/>
            <wp:effectExtent l="0" t="0" r="19050" b="35560"/>
            <wp:docPr id="78" name="Gra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ECE4F09" w14:textId="126667D6" w:rsidR="001A4F1A" w:rsidRPr="00D6101B" w:rsidRDefault="001A4F1A" w:rsidP="00E858EF">
      <w:pPr>
        <w:pStyle w:val="Didascalia"/>
        <w:suppressAutoHyphens/>
      </w:pPr>
      <w:bookmarkStart w:id="728" w:name="_Toc520212354"/>
      <w:r>
        <w:t>Figure 4-17</w:t>
      </w:r>
      <w:r w:rsidR="000616EE">
        <w:t>.</w:t>
      </w:r>
      <w:r>
        <w:t xml:space="preserve"> Percentage of tombs with information </w:t>
      </w:r>
      <w:r w:rsidR="00466FB3">
        <w:t xml:space="preserve">on </w:t>
      </w:r>
      <w:r>
        <w:t>gender and age</w:t>
      </w:r>
      <w:r w:rsidR="00466FB3">
        <w:t>,</w:t>
      </w:r>
      <w:r>
        <w:t xml:space="preserve"> Central </w:t>
      </w:r>
      <w:bookmarkEnd w:id="728"/>
      <w:r w:rsidR="00466FB3">
        <w:t>area</w:t>
      </w:r>
    </w:p>
    <w:p w14:paraId="7BBAF3F8" w14:textId="77777777" w:rsidR="001A4F1A" w:rsidRPr="00D6101B" w:rsidRDefault="001A4F1A" w:rsidP="00E858EF">
      <w:pPr>
        <w:suppressAutoHyphens/>
        <w:autoSpaceDE w:val="0"/>
        <w:autoSpaceDN w:val="0"/>
        <w:adjustRightInd w:val="0"/>
        <w:rPr>
          <w:color w:val="000000"/>
        </w:rPr>
      </w:pPr>
      <w:r>
        <w:rPr>
          <w:noProof/>
          <w:lang w:val="it-IT"/>
        </w:rPr>
        <w:drawing>
          <wp:inline distT="0" distB="0" distL="0" distR="0" wp14:anchorId="0C57A755" wp14:editId="41C2701F">
            <wp:extent cx="4680000" cy="2520000"/>
            <wp:effectExtent l="0" t="0" r="19050" b="20320"/>
            <wp:docPr id="80" name="Gra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rsidRPr="004F5582" w:rsidDel="00795FB1">
        <w:rPr>
          <w:noProof/>
        </w:rPr>
        <w:t xml:space="preserve"> </w:t>
      </w:r>
    </w:p>
    <w:p w14:paraId="4E2E59EB" w14:textId="4525FD71" w:rsidR="001A4F1A" w:rsidRPr="00D6101B" w:rsidRDefault="001A4F1A" w:rsidP="00E858EF">
      <w:pPr>
        <w:pStyle w:val="Didascalia"/>
        <w:suppressAutoHyphens/>
      </w:pPr>
      <w:bookmarkStart w:id="729" w:name="_Toc520212355"/>
      <w:r>
        <w:t>Figure 4-18</w:t>
      </w:r>
      <w:r w:rsidR="00A907DC">
        <w:t>.</w:t>
      </w:r>
      <w:r>
        <w:t xml:space="preserve"> Percentage of individuals with information </w:t>
      </w:r>
      <w:r w:rsidR="00466FB3">
        <w:t xml:space="preserve">on </w:t>
      </w:r>
      <w:r>
        <w:t>gender and age</w:t>
      </w:r>
      <w:r w:rsidR="00466FB3">
        <w:t>,</w:t>
      </w:r>
      <w:r>
        <w:t xml:space="preserve"> Central </w:t>
      </w:r>
      <w:bookmarkEnd w:id="729"/>
      <w:r w:rsidR="00466FB3">
        <w:t>area</w:t>
      </w:r>
    </w:p>
    <w:p w14:paraId="633C6AB4" w14:textId="77777777" w:rsidR="001A4F1A" w:rsidRPr="00D6101B" w:rsidRDefault="001A4F1A" w:rsidP="00E858EF">
      <w:pPr>
        <w:suppressAutoHyphens/>
        <w:autoSpaceDE w:val="0"/>
        <w:autoSpaceDN w:val="0"/>
        <w:adjustRightInd w:val="0"/>
        <w:rPr>
          <w:color w:val="000000"/>
        </w:rPr>
      </w:pPr>
      <w:r w:rsidRPr="00D6101B">
        <w:rPr>
          <w:color w:val="000000"/>
        </w:rPr>
        <w:t xml:space="preserve">      </w:t>
      </w:r>
    </w:p>
    <w:p w14:paraId="00817CB7" w14:textId="4D9DAB47" w:rsidR="001A4F1A" w:rsidRPr="00EB483F" w:rsidRDefault="001A4F1A" w:rsidP="00E858EF">
      <w:pPr>
        <w:pStyle w:val="Testofumetto"/>
        <w:suppressAutoHyphens/>
      </w:pPr>
      <w:bookmarkStart w:id="730" w:name="_Toc520212592"/>
      <w:r>
        <w:t>Table 4-19</w:t>
      </w:r>
      <w:r w:rsidR="00352D33">
        <w:t>.</w:t>
      </w:r>
      <w:r>
        <w:t xml:space="preserve"> </w:t>
      </w:r>
      <w:r w:rsidRPr="00BC186A">
        <w:t xml:space="preserve">Number of skeletal </w:t>
      </w:r>
      <w:r>
        <w:t xml:space="preserve">remains with information </w:t>
      </w:r>
      <w:r w:rsidR="00466FB3">
        <w:t xml:space="preserve">on </w:t>
      </w:r>
      <w:r>
        <w:t>gender</w:t>
      </w:r>
      <w:r w:rsidR="00466FB3">
        <w:t>,</w:t>
      </w:r>
      <w:r>
        <w:t xml:space="preserve"> Central area</w:t>
      </w:r>
      <w:bookmarkEnd w:id="73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134"/>
        <w:gridCol w:w="1042"/>
        <w:gridCol w:w="1188"/>
      </w:tblGrid>
      <w:tr w:rsidR="001A4F1A" w:rsidRPr="00F46A41" w14:paraId="15E616F3" w14:textId="77777777" w:rsidTr="001D0E8B">
        <w:tc>
          <w:tcPr>
            <w:tcW w:w="2127" w:type="dxa"/>
          </w:tcPr>
          <w:p w14:paraId="029A36D3" w14:textId="3DC78857" w:rsidR="001A4F1A" w:rsidRPr="00F46A41" w:rsidRDefault="00F46A41" w:rsidP="00E858EF">
            <w:pPr>
              <w:suppressAutoHyphens/>
              <w:autoSpaceDE w:val="0"/>
              <w:autoSpaceDN w:val="0"/>
              <w:adjustRightInd w:val="0"/>
              <w:jc w:val="center"/>
              <w:rPr>
                <w:color w:val="000000"/>
                <w:sz w:val="20"/>
              </w:rPr>
            </w:pPr>
            <w:r>
              <w:rPr>
                <w:color w:val="000000"/>
                <w:sz w:val="20"/>
              </w:rPr>
              <w:t>T</w:t>
            </w:r>
            <w:r w:rsidRPr="00F46A41">
              <w:rPr>
                <w:color w:val="000000"/>
                <w:sz w:val="20"/>
              </w:rPr>
              <w:t>otal number of skeletal remains</w:t>
            </w:r>
          </w:p>
        </w:tc>
        <w:tc>
          <w:tcPr>
            <w:tcW w:w="1134" w:type="dxa"/>
          </w:tcPr>
          <w:p w14:paraId="7135F4EC" w14:textId="162370C0" w:rsidR="001A4F1A" w:rsidRPr="00F46A41" w:rsidRDefault="00F46A41" w:rsidP="00E858EF">
            <w:pPr>
              <w:suppressAutoHyphens/>
              <w:autoSpaceDE w:val="0"/>
              <w:autoSpaceDN w:val="0"/>
              <w:adjustRightInd w:val="0"/>
              <w:jc w:val="center"/>
              <w:rPr>
                <w:color w:val="000000"/>
                <w:sz w:val="20"/>
              </w:rPr>
            </w:pPr>
            <w:r w:rsidRPr="00F46A41">
              <w:rPr>
                <w:color w:val="000000"/>
                <w:sz w:val="20"/>
              </w:rPr>
              <w:t>No info</w:t>
            </w:r>
          </w:p>
        </w:tc>
        <w:tc>
          <w:tcPr>
            <w:tcW w:w="1042" w:type="dxa"/>
          </w:tcPr>
          <w:p w14:paraId="3E01F6E2" w14:textId="3E237649" w:rsidR="001A4F1A" w:rsidRPr="00F46A41" w:rsidRDefault="00F46A41" w:rsidP="00E858EF">
            <w:pPr>
              <w:suppressAutoHyphens/>
              <w:autoSpaceDE w:val="0"/>
              <w:autoSpaceDN w:val="0"/>
              <w:adjustRightInd w:val="0"/>
              <w:jc w:val="center"/>
              <w:rPr>
                <w:color w:val="000000"/>
                <w:sz w:val="20"/>
              </w:rPr>
            </w:pPr>
            <w:r w:rsidRPr="00F46A41">
              <w:rPr>
                <w:color w:val="000000"/>
                <w:sz w:val="20"/>
              </w:rPr>
              <w:t>Male</w:t>
            </w:r>
          </w:p>
        </w:tc>
        <w:tc>
          <w:tcPr>
            <w:tcW w:w="1188" w:type="dxa"/>
          </w:tcPr>
          <w:p w14:paraId="6C69120B" w14:textId="79BCA51A" w:rsidR="001A4F1A" w:rsidRPr="00F46A41" w:rsidRDefault="00F46A41" w:rsidP="00E858EF">
            <w:pPr>
              <w:suppressAutoHyphens/>
              <w:autoSpaceDE w:val="0"/>
              <w:autoSpaceDN w:val="0"/>
              <w:adjustRightInd w:val="0"/>
              <w:jc w:val="center"/>
              <w:rPr>
                <w:color w:val="000000"/>
                <w:sz w:val="20"/>
              </w:rPr>
            </w:pPr>
            <w:r w:rsidRPr="00F46A41">
              <w:rPr>
                <w:color w:val="000000"/>
                <w:sz w:val="20"/>
              </w:rPr>
              <w:t>Female</w:t>
            </w:r>
          </w:p>
        </w:tc>
      </w:tr>
      <w:tr w:rsidR="001A4F1A" w:rsidRPr="00F46A41" w14:paraId="2329A37D" w14:textId="77777777" w:rsidTr="001D0E8B">
        <w:tc>
          <w:tcPr>
            <w:tcW w:w="2127" w:type="dxa"/>
          </w:tcPr>
          <w:p w14:paraId="370B31EF" w14:textId="6E2005EB" w:rsidR="001A4F1A" w:rsidRPr="00F46A41" w:rsidRDefault="00F46A41" w:rsidP="00E858EF">
            <w:pPr>
              <w:suppressAutoHyphens/>
              <w:autoSpaceDE w:val="0"/>
              <w:autoSpaceDN w:val="0"/>
              <w:adjustRightInd w:val="0"/>
              <w:jc w:val="center"/>
              <w:rPr>
                <w:color w:val="000000"/>
                <w:sz w:val="20"/>
              </w:rPr>
            </w:pPr>
            <w:r w:rsidRPr="00F46A41">
              <w:rPr>
                <w:color w:val="000000"/>
                <w:sz w:val="20"/>
              </w:rPr>
              <w:t>121</w:t>
            </w:r>
          </w:p>
        </w:tc>
        <w:tc>
          <w:tcPr>
            <w:tcW w:w="1134" w:type="dxa"/>
          </w:tcPr>
          <w:p w14:paraId="43876681" w14:textId="108DFC74" w:rsidR="001A4F1A" w:rsidRPr="00F46A41" w:rsidRDefault="00F46A41" w:rsidP="00E858EF">
            <w:pPr>
              <w:suppressAutoHyphens/>
              <w:autoSpaceDE w:val="0"/>
              <w:autoSpaceDN w:val="0"/>
              <w:adjustRightInd w:val="0"/>
              <w:jc w:val="center"/>
              <w:rPr>
                <w:color w:val="000000"/>
                <w:sz w:val="20"/>
              </w:rPr>
            </w:pPr>
            <w:r w:rsidRPr="00F46A41">
              <w:rPr>
                <w:color w:val="000000"/>
                <w:sz w:val="20"/>
              </w:rPr>
              <w:t>102</w:t>
            </w:r>
          </w:p>
        </w:tc>
        <w:tc>
          <w:tcPr>
            <w:tcW w:w="1042" w:type="dxa"/>
          </w:tcPr>
          <w:p w14:paraId="3C74440C" w14:textId="40E830E4" w:rsidR="001A4F1A" w:rsidRPr="00F46A41" w:rsidRDefault="00F46A41" w:rsidP="00E858EF">
            <w:pPr>
              <w:suppressAutoHyphens/>
              <w:autoSpaceDE w:val="0"/>
              <w:autoSpaceDN w:val="0"/>
              <w:adjustRightInd w:val="0"/>
              <w:jc w:val="center"/>
              <w:rPr>
                <w:color w:val="000000"/>
                <w:sz w:val="20"/>
              </w:rPr>
            </w:pPr>
            <w:r w:rsidRPr="00F46A41">
              <w:rPr>
                <w:color w:val="000000"/>
                <w:sz w:val="20"/>
              </w:rPr>
              <w:t>11</w:t>
            </w:r>
          </w:p>
        </w:tc>
        <w:tc>
          <w:tcPr>
            <w:tcW w:w="1188" w:type="dxa"/>
          </w:tcPr>
          <w:p w14:paraId="53634A63" w14:textId="2931630B" w:rsidR="001A4F1A" w:rsidRPr="00F46A41" w:rsidRDefault="00F46A41" w:rsidP="00E858EF">
            <w:pPr>
              <w:suppressAutoHyphens/>
              <w:autoSpaceDE w:val="0"/>
              <w:autoSpaceDN w:val="0"/>
              <w:adjustRightInd w:val="0"/>
              <w:jc w:val="center"/>
              <w:rPr>
                <w:color w:val="000000"/>
                <w:sz w:val="20"/>
              </w:rPr>
            </w:pPr>
            <w:r w:rsidRPr="00F46A41">
              <w:rPr>
                <w:color w:val="000000"/>
                <w:sz w:val="20"/>
              </w:rPr>
              <w:t>8</w:t>
            </w:r>
          </w:p>
        </w:tc>
      </w:tr>
    </w:tbl>
    <w:p w14:paraId="0F71BEFD" w14:textId="77777777" w:rsidR="001A4F1A" w:rsidRDefault="001A4F1A" w:rsidP="00E858EF">
      <w:pPr>
        <w:pStyle w:val="Testofumetto"/>
        <w:suppressAutoHyphens/>
      </w:pPr>
    </w:p>
    <w:p w14:paraId="19B8BBD1" w14:textId="34C09E6E" w:rsidR="001A4F1A" w:rsidRPr="00D6101B" w:rsidRDefault="001A4F1A" w:rsidP="00E858EF">
      <w:pPr>
        <w:pStyle w:val="Testofumetto"/>
        <w:suppressAutoHyphens/>
      </w:pPr>
      <w:bookmarkStart w:id="731" w:name="_Toc520212593"/>
      <w:r>
        <w:t>Table 4-20</w:t>
      </w:r>
      <w:r w:rsidR="00352D33">
        <w:t>.</w:t>
      </w:r>
      <w:r>
        <w:t xml:space="preserve"> </w:t>
      </w:r>
      <w:r w:rsidRPr="00BC186A">
        <w:t xml:space="preserve">Number of skeletal </w:t>
      </w:r>
      <w:r>
        <w:t xml:space="preserve">remains with information </w:t>
      </w:r>
      <w:r w:rsidR="00466FB3">
        <w:t xml:space="preserve">on </w:t>
      </w:r>
      <w:r>
        <w:t>age</w:t>
      </w:r>
      <w:r w:rsidR="00466FB3">
        <w:t>,</w:t>
      </w:r>
      <w:r>
        <w:t xml:space="preserve"> Central area</w:t>
      </w:r>
      <w:bookmarkEnd w:id="731"/>
    </w:p>
    <w:tbl>
      <w:tblPr>
        <w:tblW w:w="88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958"/>
        <w:gridCol w:w="709"/>
        <w:gridCol w:w="1134"/>
        <w:gridCol w:w="1701"/>
        <w:gridCol w:w="992"/>
        <w:gridCol w:w="1275"/>
      </w:tblGrid>
      <w:tr w:rsidR="001A4F1A" w:rsidRPr="000F479A" w14:paraId="5FA09F71" w14:textId="77777777" w:rsidTr="00F46A41">
        <w:tc>
          <w:tcPr>
            <w:tcW w:w="2127" w:type="dxa"/>
          </w:tcPr>
          <w:p w14:paraId="5F09F47A" w14:textId="394AF82E" w:rsidR="001A4F1A" w:rsidRPr="004F5582" w:rsidRDefault="00F46A41" w:rsidP="00E858EF">
            <w:pPr>
              <w:suppressAutoHyphens/>
              <w:autoSpaceDE w:val="0"/>
              <w:autoSpaceDN w:val="0"/>
              <w:adjustRightInd w:val="0"/>
              <w:jc w:val="center"/>
              <w:rPr>
                <w:b/>
                <w:color w:val="000000"/>
                <w:sz w:val="22"/>
              </w:rPr>
            </w:pPr>
            <w:r w:rsidRPr="004F5582">
              <w:rPr>
                <w:color w:val="000000"/>
                <w:sz w:val="22"/>
              </w:rPr>
              <w:t>Total number of skeletal remains</w:t>
            </w:r>
          </w:p>
        </w:tc>
        <w:tc>
          <w:tcPr>
            <w:tcW w:w="958" w:type="dxa"/>
          </w:tcPr>
          <w:p w14:paraId="1BF4C4F7" w14:textId="3C263484" w:rsidR="001A4F1A" w:rsidRPr="004F5582" w:rsidRDefault="00F46A41" w:rsidP="00E858EF">
            <w:pPr>
              <w:suppressAutoHyphens/>
              <w:autoSpaceDE w:val="0"/>
              <w:autoSpaceDN w:val="0"/>
              <w:adjustRightInd w:val="0"/>
              <w:jc w:val="center"/>
              <w:rPr>
                <w:color w:val="000000"/>
                <w:sz w:val="22"/>
              </w:rPr>
            </w:pPr>
            <w:r>
              <w:rPr>
                <w:color w:val="000000"/>
                <w:sz w:val="22"/>
              </w:rPr>
              <w:t>No info</w:t>
            </w:r>
          </w:p>
        </w:tc>
        <w:tc>
          <w:tcPr>
            <w:tcW w:w="709" w:type="dxa"/>
          </w:tcPr>
          <w:p w14:paraId="1834E6A3" w14:textId="0848CEAE" w:rsidR="001A4F1A" w:rsidRPr="004F5582" w:rsidRDefault="00F46A41" w:rsidP="00E858EF">
            <w:pPr>
              <w:suppressAutoHyphens/>
              <w:autoSpaceDE w:val="0"/>
              <w:autoSpaceDN w:val="0"/>
              <w:adjustRightInd w:val="0"/>
              <w:jc w:val="center"/>
              <w:rPr>
                <w:color w:val="000000"/>
                <w:sz w:val="22"/>
              </w:rPr>
            </w:pPr>
            <w:r w:rsidRPr="004F5582">
              <w:rPr>
                <w:color w:val="000000"/>
                <w:sz w:val="22"/>
              </w:rPr>
              <w:t>Old</w:t>
            </w:r>
          </w:p>
        </w:tc>
        <w:tc>
          <w:tcPr>
            <w:tcW w:w="1134" w:type="dxa"/>
          </w:tcPr>
          <w:p w14:paraId="4080C9D1" w14:textId="2E0BD029" w:rsidR="001A4F1A" w:rsidRPr="004F5582" w:rsidRDefault="00F46A41" w:rsidP="00E858EF">
            <w:pPr>
              <w:suppressAutoHyphens/>
              <w:autoSpaceDE w:val="0"/>
              <w:autoSpaceDN w:val="0"/>
              <w:adjustRightInd w:val="0"/>
              <w:jc w:val="center"/>
              <w:rPr>
                <w:color w:val="000000"/>
                <w:sz w:val="22"/>
              </w:rPr>
            </w:pPr>
            <w:r w:rsidRPr="004F5582">
              <w:rPr>
                <w:color w:val="000000"/>
                <w:sz w:val="22"/>
              </w:rPr>
              <w:t>Adult</w:t>
            </w:r>
          </w:p>
        </w:tc>
        <w:tc>
          <w:tcPr>
            <w:tcW w:w="1701" w:type="dxa"/>
          </w:tcPr>
          <w:p w14:paraId="27CB1F29" w14:textId="51911FDE" w:rsidR="001A4F1A" w:rsidRPr="004F5582" w:rsidRDefault="00F46A41" w:rsidP="00E858EF">
            <w:pPr>
              <w:suppressAutoHyphens/>
              <w:autoSpaceDE w:val="0"/>
              <w:autoSpaceDN w:val="0"/>
              <w:adjustRightInd w:val="0"/>
              <w:jc w:val="center"/>
              <w:rPr>
                <w:color w:val="000000"/>
                <w:sz w:val="22"/>
              </w:rPr>
            </w:pPr>
            <w:r w:rsidRPr="004F5582">
              <w:rPr>
                <w:color w:val="000000"/>
                <w:sz w:val="22"/>
              </w:rPr>
              <w:t>Young/</w:t>
            </w:r>
          </w:p>
          <w:p w14:paraId="36771F44" w14:textId="226B129F" w:rsidR="001A4F1A" w:rsidRPr="004F5582" w:rsidRDefault="00F46A41" w:rsidP="00E858EF">
            <w:pPr>
              <w:suppressAutoHyphens/>
              <w:autoSpaceDE w:val="0"/>
              <w:autoSpaceDN w:val="0"/>
              <w:adjustRightInd w:val="0"/>
              <w:jc w:val="center"/>
              <w:rPr>
                <w:color w:val="000000"/>
                <w:sz w:val="22"/>
              </w:rPr>
            </w:pPr>
            <w:r w:rsidRPr="004F5582">
              <w:rPr>
                <w:color w:val="000000"/>
                <w:sz w:val="22"/>
              </w:rPr>
              <w:t>Adolescent</w:t>
            </w:r>
          </w:p>
        </w:tc>
        <w:tc>
          <w:tcPr>
            <w:tcW w:w="992" w:type="dxa"/>
          </w:tcPr>
          <w:p w14:paraId="12F75676" w14:textId="64331DA8" w:rsidR="001A4F1A" w:rsidRPr="004F5582" w:rsidRDefault="00F46A41" w:rsidP="00E858EF">
            <w:pPr>
              <w:suppressAutoHyphens/>
              <w:autoSpaceDE w:val="0"/>
              <w:autoSpaceDN w:val="0"/>
              <w:adjustRightInd w:val="0"/>
              <w:jc w:val="center"/>
              <w:rPr>
                <w:color w:val="000000"/>
                <w:sz w:val="22"/>
              </w:rPr>
            </w:pPr>
            <w:r w:rsidRPr="004F5582">
              <w:rPr>
                <w:color w:val="000000"/>
                <w:sz w:val="22"/>
              </w:rPr>
              <w:t>Child</w:t>
            </w:r>
          </w:p>
        </w:tc>
        <w:tc>
          <w:tcPr>
            <w:tcW w:w="1275" w:type="dxa"/>
          </w:tcPr>
          <w:p w14:paraId="35BCAFC7" w14:textId="2C66CD5E" w:rsidR="001A4F1A" w:rsidRPr="004F5582" w:rsidRDefault="00F46A41" w:rsidP="00E858EF">
            <w:pPr>
              <w:suppressAutoHyphens/>
              <w:autoSpaceDE w:val="0"/>
              <w:autoSpaceDN w:val="0"/>
              <w:adjustRightInd w:val="0"/>
              <w:jc w:val="center"/>
              <w:rPr>
                <w:color w:val="000000"/>
                <w:sz w:val="22"/>
              </w:rPr>
            </w:pPr>
            <w:r w:rsidRPr="004F5582">
              <w:rPr>
                <w:color w:val="000000"/>
                <w:sz w:val="22"/>
              </w:rPr>
              <w:t>Baby/</w:t>
            </w:r>
          </w:p>
          <w:p w14:paraId="22B04700" w14:textId="27187402" w:rsidR="001A4F1A" w:rsidRPr="004F5582" w:rsidRDefault="00F46A41" w:rsidP="00E858EF">
            <w:pPr>
              <w:suppressAutoHyphens/>
              <w:autoSpaceDE w:val="0"/>
              <w:autoSpaceDN w:val="0"/>
              <w:adjustRightInd w:val="0"/>
              <w:jc w:val="center"/>
              <w:rPr>
                <w:color w:val="000000"/>
                <w:sz w:val="22"/>
              </w:rPr>
            </w:pPr>
            <w:r w:rsidRPr="004F5582">
              <w:rPr>
                <w:color w:val="000000"/>
                <w:sz w:val="22"/>
              </w:rPr>
              <w:t>Embryo</w:t>
            </w:r>
          </w:p>
        </w:tc>
      </w:tr>
      <w:tr w:rsidR="001A4F1A" w:rsidRPr="000F479A" w14:paraId="1AC63633" w14:textId="77777777" w:rsidTr="00F46A41">
        <w:tc>
          <w:tcPr>
            <w:tcW w:w="2127" w:type="dxa"/>
          </w:tcPr>
          <w:p w14:paraId="3011A717" w14:textId="77777777" w:rsidR="001A4F1A" w:rsidRPr="004F5582" w:rsidRDefault="001A4F1A" w:rsidP="00E858EF">
            <w:pPr>
              <w:suppressAutoHyphens/>
              <w:autoSpaceDE w:val="0"/>
              <w:autoSpaceDN w:val="0"/>
              <w:adjustRightInd w:val="0"/>
              <w:jc w:val="center"/>
              <w:rPr>
                <w:color w:val="000000"/>
                <w:sz w:val="22"/>
              </w:rPr>
            </w:pPr>
            <w:r w:rsidRPr="004F5582">
              <w:rPr>
                <w:color w:val="000000"/>
                <w:sz w:val="22"/>
              </w:rPr>
              <w:t>121</w:t>
            </w:r>
          </w:p>
        </w:tc>
        <w:tc>
          <w:tcPr>
            <w:tcW w:w="958" w:type="dxa"/>
          </w:tcPr>
          <w:p w14:paraId="3043EC8E" w14:textId="77777777" w:rsidR="001A4F1A" w:rsidRPr="004F5582" w:rsidRDefault="001A4F1A" w:rsidP="00E858EF">
            <w:pPr>
              <w:suppressAutoHyphens/>
              <w:autoSpaceDE w:val="0"/>
              <w:autoSpaceDN w:val="0"/>
              <w:adjustRightInd w:val="0"/>
              <w:jc w:val="center"/>
              <w:rPr>
                <w:color w:val="000000"/>
                <w:sz w:val="22"/>
              </w:rPr>
            </w:pPr>
            <w:r>
              <w:rPr>
                <w:color w:val="000000"/>
                <w:sz w:val="22"/>
              </w:rPr>
              <w:t>107</w:t>
            </w:r>
          </w:p>
        </w:tc>
        <w:tc>
          <w:tcPr>
            <w:tcW w:w="709" w:type="dxa"/>
          </w:tcPr>
          <w:p w14:paraId="38D6DD33" w14:textId="77777777" w:rsidR="001A4F1A" w:rsidRPr="004F5582" w:rsidRDefault="001A4F1A" w:rsidP="00E858EF">
            <w:pPr>
              <w:suppressAutoHyphens/>
              <w:autoSpaceDE w:val="0"/>
              <w:autoSpaceDN w:val="0"/>
              <w:adjustRightInd w:val="0"/>
              <w:jc w:val="center"/>
              <w:rPr>
                <w:color w:val="000000"/>
                <w:sz w:val="22"/>
              </w:rPr>
            </w:pPr>
            <w:r w:rsidRPr="004F5582">
              <w:rPr>
                <w:color w:val="000000"/>
                <w:sz w:val="22"/>
              </w:rPr>
              <w:t>1</w:t>
            </w:r>
          </w:p>
        </w:tc>
        <w:tc>
          <w:tcPr>
            <w:tcW w:w="1134" w:type="dxa"/>
          </w:tcPr>
          <w:p w14:paraId="25F0D0A9" w14:textId="77777777" w:rsidR="001A4F1A" w:rsidRPr="004F5582" w:rsidRDefault="001A4F1A" w:rsidP="00E858EF">
            <w:pPr>
              <w:suppressAutoHyphens/>
              <w:autoSpaceDE w:val="0"/>
              <w:autoSpaceDN w:val="0"/>
              <w:adjustRightInd w:val="0"/>
              <w:jc w:val="center"/>
              <w:rPr>
                <w:color w:val="000000"/>
                <w:sz w:val="22"/>
              </w:rPr>
            </w:pPr>
            <w:r w:rsidRPr="004F5582">
              <w:rPr>
                <w:color w:val="000000"/>
                <w:sz w:val="22"/>
              </w:rPr>
              <w:t>4</w:t>
            </w:r>
          </w:p>
        </w:tc>
        <w:tc>
          <w:tcPr>
            <w:tcW w:w="1701" w:type="dxa"/>
          </w:tcPr>
          <w:p w14:paraId="2281A2C9" w14:textId="77777777" w:rsidR="001A4F1A" w:rsidRPr="004F5582" w:rsidRDefault="001A4F1A" w:rsidP="00E858EF">
            <w:pPr>
              <w:suppressAutoHyphens/>
              <w:autoSpaceDE w:val="0"/>
              <w:autoSpaceDN w:val="0"/>
              <w:adjustRightInd w:val="0"/>
              <w:jc w:val="center"/>
              <w:rPr>
                <w:color w:val="000000"/>
                <w:sz w:val="22"/>
              </w:rPr>
            </w:pPr>
            <w:r w:rsidRPr="004F5582">
              <w:rPr>
                <w:color w:val="000000"/>
                <w:sz w:val="22"/>
              </w:rPr>
              <w:t>5</w:t>
            </w:r>
          </w:p>
        </w:tc>
        <w:tc>
          <w:tcPr>
            <w:tcW w:w="992" w:type="dxa"/>
          </w:tcPr>
          <w:p w14:paraId="624EC61E" w14:textId="77777777" w:rsidR="001A4F1A" w:rsidRPr="004F5582" w:rsidRDefault="001A4F1A" w:rsidP="00E858EF">
            <w:pPr>
              <w:suppressAutoHyphens/>
              <w:autoSpaceDE w:val="0"/>
              <w:autoSpaceDN w:val="0"/>
              <w:adjustRightInd w:val="0"/>
              <w:jc w:val="center"/>
              <w:rPr>
                <w:color w:val="000000"/>
                <w:sz w:val="22"/>
              </w:rPr>
            </w:pPr>
            <w:r w:rsidRPr="004F5582">
              <w:rPr>
                <w:color w:val="000000"/>
                <w:sz w:val="22"/>
              </w:rPr>
              <w:t>4</w:t>
            </w:r>
          </w:p>
        </w:tc>
        <w:tc>
          <w:tcPr>
            <w:tcW w:w="1275" w:type="dxa"/>
          </w:tcPr>
          <w:p w14:paraId="03136995" w14:textId="77777777" w:rsidR="001A4F1A" w:rsidRPr="004F5582" w:rsidRDefault="001A4F1A" w:rsidP="00E858EF">
            <w:pPr>
              <w:suppressAutoHyphens/>
              <w:autoSpaceDE w:val="0"/>
              <w:autoSpaceDN w:val="0"/>
              <w:adjustRightInd w:val="0"/>
              <w:jc w:val="center"/>
              <w:rPr>
                <w:color w:val="000000"/>
                <w:sz w:val="22"/>
              </w:rPr>
            </w:pPr>
            <w:r w:rsidRPr="004F5582">
              <w:rPr>
                <w:color w:val="000000"/>
                <w:sz w:val="22"/>
              </w:rPr>
              <w:t>0</w:t>
            </w:r>
          </w:p>
        </w:tc>
      </w:tr>
    </w:tbl>
    <w:p w14:paraId="4119F76E" w14:textId="77777777" w:rsidR="001A4F1A" w:rsidRDefault="001A4F1A" w:rsidP="00E858EF">
      <w:pPr>
        <w:suppressAutoHyphens/>
        <w:autoSpaceDE w:val="0"/>
        <w:autoSpaceDN w:val="0"/>
        <w:adjustRightInd w:val="0"/>
        <w:rPr>
          <w:color w:val="000000"/>
        </w:rPr>
      </w:pPr>
    </w:p>
    <w:p w14:paraId="1C360A95" w14:textId="77777777" w:rsidR="001A4F1A" w:rsidRDefault="001A4F1A" w:rsidP="00E858EF">
      <w:pPr>
        <w:suppressAutoHyphens/>
        <w:autoSpaceDE w:val="0"/>
        <w:autoSpaceDN w:val="0"/>
        <w:adjustRightInd w:val="0"/>
        <w:rPr>
          <w:color w:val="000000"/>
        </w:rPr>
      </w:pPr>
      <w:r>
        <w:rPr>
          <w:noProof/>
          <w:lang w:val="it-IT"/>
        </w:rPr>
        <w:drawing>
          <wp:inline distT="0" distB="0" distL="0" distR="0" wp14:anchorId="3B6E3436" wp14:editId="4F5E1174">
            <wp:extent cx="5390515" cy="2520000"/>
            <wp:effectExtent l="0" t="0" r="19685" b="20320"/>
            <wp:docPr id="81" name="Gra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6040C4E0" w14:textId="5D789F88" w:rsidR="001A4F1A" w:rsidRPr="00D6101B" w:rsidRDefault="001A4F1A" w:rsidP="00E858EF">
      <w:pPr>
        <w:pStyle w:val="Didascalia"/>
        <w:suppressAutoHyphens/>
      </w:pPr>
      <w:bookmarkStart w:id="732" w:name="_Toc520212356"/>
      <w:r>
        <w:t>Figure 4-19</w:t>
      </w:r>
      <w:r w:rsidR="00A907DC">
        <w:t>.</w:t>
      </w:r>
      <w:r>
        <w:t xml:space="preserve"> </w:t>
      </w:r>
      <w:r w:rsidRPr="00BC186A">
        <w:t xml:space="preserve">Number of skeletal </w:t>
      </w:r>
      <w:r>
        <w:t xml:space="preserve">remains information </w:t>
      </w:r>
      <w:r w:rsidR="00466FB3">
        <w:t xml:space="preserve">on </w:t>
      </w:r>
      <w:r>
        <w:t>gender</w:t>
      </w:r>
      <w:r w:rsidR="00466FB3">
        <w:t>,</w:t>
      </w:r>
      <w:r>
        <w:t xml:space="preserve"> Central area</w:t>
      </w:r>
      <w:bookmarkEnd w:id="732"/>
    </w:p>
    <w:p w14:paraId="2FCDC1E8" w14:textId="77777777" w:rsidR="001A4F1A" w:rsidRPr="00D6101B" w:rsidRDefault="001A4F1A" w:rsidP="00E858EF">
      <w:pPr>
        <w:suppressAutoHyphens/>
        <w:autoSpaceDE w:val="0"/>
        <w:autoSpaceDN w:val="0"/>
        <w:adjustRightInd w:val="0"/>
        <w:rPr>
          <w:color w:val="000000"/>
        </w:rPr>
      </w:pPr>
      <w:r>
        <w:rPr>
          <w:noProof/>
          <w:lang w:val="it-IT"/>
        </w:rPr>
        <w:drawing>
          <wp:inline distT="0" distB="0" distL="0" distR="0" wp14:anchorId="5FFA74B5" wp14:editId="5846C77F">
            <wp:extent cx="5390515" cy="2520000"/>
            <wp:effectExtent l="0" t="0" r="19685" b="20320"/>
            <wp:docPr id="60" name="Gra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0394B6C7" w14:textId="778D092F" w:rsidR="001A4F1A" w:rsidRDefault="001A4F1A" w:rsidP="00E858EF">
      <w:pPr>
        <w:pStyle w:val="Didascalia"/>
        <w:suppressAutoHyphens/>
      </w:pPr>
      <w:bookmarkStart w:id="733" w:name="_Toc520212357"/>
      <w:r>
        <w:t>Figure 4-20</w:t>
      </w:r>
      <w:r w:rsidR="00A907DC">
        <w:t>.</w:t>
      </w:r>
      <w:r>
        <w:t xml:space="preserve"> </w:t>
      </w:r>
      <w:r w:rsidRPr="00BC186A">
        <w:t xml:space="preserve">Number of skeletal </w:t>
      </w:r>
      <w:r>
        <w:t xml:space="preserve">remains information </w:t>
      </w:r>
      <w:r w:rsidR="00466FB3">
        <w:t xml:space="preserve">on </w:t>
      </w:r>
      <w:r>
        <w:t>age</w:t>
      </w:r>
      <w:r w:rsidR="00466FB3">
        <w:t>,</w:t>
      </w:r>
      <w:r>
        <w:t xml:space="preserve"> Central area</w:t>
      </w:r>
      <w:bookmarkEnd w:id="733"/>
    </w:p>
    <w:p w14:paraId="7B34AD6E" w14:textId="77777777" w:rsidR="001A4F1A" w:rsidRPr="00D6101B" w:rsidRDefault="001A4F1A" w:rsidP="00E858EF">
      <w:pPr>
        <w:suppressAutoHyphens/>
        <w:autoSpaceDE w:val="0"/>
        <w:autoSpaceDN w:val="0"/>
        <w:adjustRightInd w:val="0"/>
        <w:rPr>
          <w:color w:val="000000"/>
        </w:rPr>
      </w:pPr>
    </w:p>
    <w:p w14:paraId="0987EF86" w14:textId="414B6C31" w:rsidR="001A4F1A" w:rsidRPr="00D6101B" w:rsidRDefault="001A4F1A" w:rsidP="00E858EF">
      <w:pPr>
        <w:pStyle w:val="Titolo4"/>
        <w:keepNext w:val="0"/>
        <w:keepLines w:val="0"/>
        <w:suppressAutoHyphens/>
        <w:rPr>
          <w:color w:val="000000"/>
        </w:rPr>
      </w:pPr>
      <w:bookmarkStart w:id="734" w:name="_Toc517745312"/>
      <w:r w:rsidRPr="00D6101B">
        <w:t>Conclusions</w:t>
      </w:r>
      <w:bookmarkEnd w:id="734"/>
      <w:r w:rsidR="00F46A41">
        <w:t>,</w:t>
      </w:r>
      <w:r w:rsidR="00B7579A">
        <w:t xml:space="preserve"> Central area</w:t>
      </w:r>
    </w:p>
    <w:p w14:paraId="3EFCA07A" w14:textId="77777777" w:rsidR="001A4F1A" w:rsidRPr="00D6101B" w:rsidRDefault="001A4F1A" w:rsidP="00E858EF">
      <w:pPr>
        <w:suppressAutoHyphens/>
        <w:autoSpaceDE w:val="0"/>
        <w:autoSpaceDN w:val="0"/>
        <w:adjustRightInd w:val="0"/>
        <w:rPr>
          <w:color w:val="000000"/>
        </w:rPr>
      </w:pPr>
      <w:r>
        <w:rPr>
          <w:color w:val="000000"/>
        </w:rPr>
        <w:t>U</w:t>
      </w:r>
      <w:r w:rsidRPr="00D6101B">
        <w:rPr>
          <w:color w:val="000000"/>
        </w:rPr>
        <w:t>nfortunately</w:t>
      </w:r>
      <w:r>
        <w:rPr>
          <w:color w:val="000000"/>
        </w:rPr>
        <w:t>,</w:t>
      </w:r>
      <w:r w:rsidRPr="00D6101B">
        <w:rPr>
          <w:color w:val="000000"/>
        </w:rPr>
        <w:t xml:space="preserve"> information about </w:t>
      </w:r>
      <w:r>
        <w:rPr>
          <w:color w:val="000000"/>
        </w:rPr>
        <w:t xml:space="preserve">the </w:t>
      </w:r>
      <w:r w:rsidRPr="00D6101B">
        <w:rPr>
          <w:color w:val="000000"/>
        </w:rPr>
        <w:t xml:space="preserve">skeletal remains </w:t>
      </w:r>
      <w:r>
        <w:rPr>
          <w:color w:val="000000"/>
        </w:rPr>
        <w:t>is only</w:t>
      </w:r>
      <w:r w:rsidRPr="00D6101B">
        <w:rPr>
          <w:color w:val="000000"/>
        </w:rPr>
        <w:t xml:space="preserve"> available from a </w:t>
      </w:r>
      <w:r>
        <w:rPr>
          <w:color w:val="000000"/>
        </w:rPr>
        <w:t>relatively</w:t>
      </w:r>
      <w:r w:rsidRPr="00D6101B">
        <w:rPr>
          <w:color w:val="000000"/>
        </w:rPr>
        <w:t xml:space="preserve"> small sample </w:t>
      </w:r>
      <w:r>
        <w:rPr>
          <w:color w:val="000000"/>
        </w:rPr>
        <w:t>of</w:t>
      </w:r>
      <w:r w:rsidRPr="00D6101B">
        <w:rPr>
          <w:color w:val="000000"/>
        </w:rPr>
        <w:t xml:space="preserve"> the total number of secure burials. Furthermore, information concerning burial stage</w:t>
      </w:r>
      <w:r>
        <w:rPr>
          <w:color w:val="000000"/>
        </w:rPr>
        <w:t>s</w:t>
      </w:r>
      <w:r w:rsidRPr="00D6101B">
        <w:rPr>
          <w:color w:val="000000"/>
        </w:rPr>
        <w:t>, gender and age are</w:t>
      </w:r>
      <w:r>
        <w:rPr>
          <w:color w:val="000000"/>
        </w:rPr>
        <w:t xml:space="preserve"> all</w:t>
      </w:r>
      <w:r w:rsidRPr="00D6101B">
        <w:rPr>
          <w:color w:val="000000"/>
        </w:rPr>
        <w:t xml:space="preserve"> insufficient and </w:t>
      </w:r>
      <w:r>
        <w:rPr>
          <w:color w:val="000000"/>
        </w:rPr>
        <w:t xml:space="preserve">it is very difficult </w:t>
      </w:r>
      <w:r w:rsidRPr="00D6101B">
        <w:rPr>
          <w:color w:val="000000"/>
        </w:rPr>
        <w:t xml:space="preserve">to reconstruct the burial deposition sequence. </w:t>
      </w:r>
      <w:r>
        <w:rPr>
          <w:color w:val="000000"/>
        </w:rPr>
        <w:t>Moreover, for medium and large size</w:t>
      </w:r>
      <w:r w:rsidRPr="00D6101B">
        <w:rPr>
          <w:color w:val="000000"/>
        </w:rPr>
        <w:t xml:space="preserve"> cemeteries</w:t>
      </w:r>
      <w:r>
        <w:rPr>
          <w:color w:val="000000"/>
        </w:rPr>
        <w:t>,</w:t>
      </w:r>
      <w:r w:rsidRPr="00D6101B">
        <w:rPr>
          <w:color w:val="000000"/>
        </w:rPr>
        <w:t xml:space="preserve"> </w:t>
      </w:r>
      <w:r>
        <w:rPr>
          <w:color w:val="000000"/>
        </w:rPr>
        <w:t>such as</w:t>
      </w:r>
      <w:r w:rsidRPr="00D6101B">
        <w:rPr>
          <w:color w:val="000000"/>
        </w:rPr>
        <w:t xml:space="preserve"> Agios Syllas, Archanes, Episkopi Pediada and Metochi Kalou, </w:t>
      </w:r>
      <w:r>
        <w:rPr>
          <w:color w:val="000000"/>
        </w:rPr>
        <w:t xml:space="preserve">the </w:t>
      </w:r>
      <w:r w:rsidRPr="00D6101B">
        <w:rPr>
          <w:color w:val="000000"/>
        </w:rPr>
        <w:t>information about skeletal remains do</w:t>
      </w:r>
      <w:r>
        <w:rPr>
          <w:color w:val="000000"/>
        </w:rPr>
        <w:t>es</w:t>
      </w:r>
      <w:r w:rsidRPr="00D6101B">
        <w:rPr>
          <w:color w:val="000000"/>
        </w:rPr>
        <w:t xml:space="preserve"> not allow </w:t>
      </w:r>
      <w:r>
        <w:rPr>
          <w:color w:val="000000"/>
        </w:rPr>
        <w:t xml:space="preserve">us </w:t>
      </w:r>
      <w:r w:rsidRPr="00D6101B">
        <w:rPr>
          <w:color w:val="000000"/>
        </w:rPr>
        <w:t xml:space="preserve">to reconstruct the </w:t>
      </w:r>
      <w:r>
        <w:rPr>
          <w:color w:val="000000"/>
        </w:rPr>
        <w:t>mortuary practices as there is</w:t>
      </w:r>
      <w:r w:rsidRPr="00D6101B">
        <w:rPr>
          <w:color w:val="000000"/>
        </w:rPr>
        <w:t xml:space="preserve"> only partial information about deposition practices and skeletal remains </w:t>
      </w:r>
      <w:r>
        <w:rPr>
          <w:color w:val="000000"/>
        </w:rPr>
        <w:t>for a</w:t>
      </w:r>
      <w:r w:rsidRPr="00D6101B">
        <w:rPr>
          <w:color w:val="000000"/>
        </w:rPr>
        <w:t xml:space="preserve"> few tombs.</w:t>
      </w:r>
    </w:p>
    <w:p w14:paraId="7CA53604" w14:textId="77777777" w:rsidR="001A4F1A" w:rsidRPr="00D6101B" w:rsidRDefault="001A4F1A" w:rsidP="00E858EF">
      <w:pPr>
        <w:suppressAutoHyphens/>
        <w:autoSpaceDE w:val="0"/>
        <w:autoSpaceDN w:val="0"/>
        <w:adjustRightInd w:val="0"/>
        <w:rPr>
          <w:color w:val="000000"/>
        </w:rPr>
      </w:pPr>
      <w:r>
        <w:rPr>
          <w:color w:val="000000"/>
        </w:rPr>
        <w:tab/>
        <w:t>However, even with these limitations,</w:t>
      </w:r>
      <w:r w:rsidRPr="00D6101B">
        <w:rPr>
          <w:color w:val="000000"/>
        </w:rPr>
        <w:t xml:space="preserve"> some interesting information emerges from the analysis of deposition practices in the </w:t>
      </w:r>
      <w:r>
        <w:rPr>
          <w:color w:val="000000"/>
        </w:rPr>
        <w:t>C</w:t>
      </w:r>
      <w:r w:rsidRPr="00D6101B">
        <w:rPr>
          <w:color w:val="000000"/>
        </w:rPr>
        <w:t>entral area</w:t>
      </w:r>
      <w:r>
        <w:rPr>
          <w:color w:val="000000"/>
        </w:rPr>
        <w:t>:</w:t>
      </w:r>
      <w:r w:rsidRPr="00D6101B">
        <w:rPr>
          <w:color w:val="000000"/>
        </w:rPr>
        <w:t xml:space="preserve"> </w:t>
      </w:r>
      <w:r>
        <w:rPr>
          <w:color w:val="000000"/>
        </w:rPr>
        <w:t>f</w:t>
      </w:r>
      <w:r w:rsidRPr="00D6101B">
        <w:rPr>
          <w:color w:val="000000"/>
        </w:rPr>
        <w:t>irst, the use of wooden bier</w:t>
      </w:r>
      <w:r>
        <w:rPr>
          <w:color w:val="000000"/>
        </w:rPr>
        <w:t>s</w:t>
      </w:r>
      <w:r w:rsidRPr="00D6101B">
        <w:rPr>
          <w:color w:val="000000"/>
        </w:rPr>
        <w:t xml:space="preserve"> with larnakes, which is a practice </w:t>
      </w:r>
      <w:r>
        <w:rPr>
          <w:color w:val="000000"/>
        </w:rPr>
        <w:t>found</w:t>
      </w:r>
      <w:r w:rsidRPr="00D6101B">
        <w:rPr>
          <w:color w:val="000000"/>
        </w:rPr>
        <w:t xml:space="preserve"> in two tombs</w:t>
      </w:r>
      <w:r>
        <w:rPr>
          <w:color w:val="000000"/>
        </w:rPr>
        <w:t>;</w:t>
      </w:r>
      <w:r w:rsidRPr="00D6101B">
        <w:rPr>
          <w:color w:val="000000"/>
        </w:rPr>
        <w:t xml:space="preserve"> second</w:t>
      </w:r>
      <w:r>
        <w:rPr>
          <w:color w:val="000000"/>
        </w:rPr>
        <w:t>,</w:t>
      </w:r>
      <w:r w:rsidRPr="00D6101B">
        <w:rPr>
          <w:color w:val="000000"/>
        </w:rPr>
        <w:t xml:space="preserve"> the reuse of Middle Minoan coffins for new burials</w:t>
      </w:r>
      <w:r>
        <w:rPr>
          <w:color w:val="000000"/>
        </w:rPr>
        <w:t>;</w:t>
      </w:r>
      <w:r w:rsidRPr="00D6101B">
        <w:rPr>
          <w:color w:val="000000"/>
        </w:rPr>
        <w:t xml:space="preserve"> third</w:t>
      </w:r>
      <w:r>
        <w:rPr>
          <w:color w:val="000000"/>
        </w:rPr>
        <w:t>,</w:t>
      </w:r>
      <w:r w:rsidRPr="00D6101B">
        <w:rPr>
          <w:color w:val="000000"/>
        </w:rPr>
        <w:t xml:space="preserve"> the use of a larnax as a </w:t>
      </w:r>
      <w:r>
        <w:rPr>
          <w:color w:val="000000"/>
        </w:rPr>
        <w:t>form</w:t>
      </w:r>
      <w:r w:rsidRPr="00D6101B">
        <w:rPr>
          <w:color w:val="000000"/>
        </w:rPr>
        <w:t xml:space="preserve"> of ossuary for secondary burials in </w:t>
      </w:r>
      <w:r>
        <w:rPr>
          <w:color w:val="000000"/>
        </w:rPr>
        <w:t>T</w:t>
      </w:r>
      <w:r w:rsidRPr="00D6101B">
        <w:rPr>
          <w:color w:val="000000"/>
        </w:rPr>
        <w:t xml:space="preserve">holos B at Archanes. </w:t>
      </w:r>
    </w:p>
    <w:p w14:paraId="69164584"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The reuse of old clay coffins is a clear connection with earl</w:t>
      </w:r>
      <w:r>
        <w:rPr>
          <w:color w:val="000000"/>
        </w:rPr>
        <w:t>ier</w:t>
      </w:r>
      <w:r w:rsidRPr="00D6101B">
        <w:rPr>
          <w:color w:val="000000"/>
        </w:rPr>
        <w:t xml:space="preserve"> traditions</w:t>
      </w:r>
      <w:r>
        <w:rPr>
          <w:color w:val="000000"/>
        </w:rPr>
        <w:t>.</w:t>
      </w:r>
      <w:r w:rsidRPr="00D6101B">
        <w:rPr>
          <w:color w:val="000000"/>
        </w:rPr>
        <w:t xml:space="preserve"> This is particularly true for </w:t>
      </w:r>
      <w:r>
        <w:rPr>
          <w:color w:val="000000"/>
        </w:rPr>
        <w:t xml:space="preserve">the area of </w:t>
      </w:r>
      <w:r w:rsidRPr="00D6101B">
        <w:rPr>
          <w:color w:val="000000"/>
        </w:rPr>
        <w:t>Archanes, where a strong connection with burial traditions is evident from the reuse of pre-existing burial locations (</w:t>
      </w:r>
      <w:r>
        <w:rPr>
          <w:color w:val="000000"/>
        </w:rPr>
        <w:t>e.g.</w:t>
      </w:r>
      <w:r w:rsidRPr="00D6101B">
        <w:rPr>
          <w:color w:val="000000"/>
        </w:rPr>
        <w:t xml:space="preserve"> Archanes Phourni) for LM III tombs and burials.</w:t>
      </w:r>
    </w:p>
    <w:p w14:paraId="1675C1C8" w14:textId="77777777" w:rsidR="001A4F1A" w:rsidRPr="00D6101B" w:rsidRDefault="001A4F1A" w:rsidP="00E858EF">
      <w:pPr>
        <w:suppressAutoHyphens/>
        <w:autoSpaceDE w:val="0"/>
        <w:autoSpaceDN w:val="0"/>
        <w:adjustRightInd w:val="0"/>
        <w:rPr>
          <w:color w:val="000000"/>
        </w:rPr>
      </w:pPr>
      <w:r>
        <w:rPr>
          <w:color w:val="000000"/>
        </w:rPr>
        <w:tab/>
        <w:t>Regarding</w:t>
      </w:r>
      <w:r w:rsidRPr="00D6101B">
        <w:rPr>
          <w:color w:val="000000"/>
        </w:rPr>
        <w:t xml:space="preserve"> gender and age, the data sample is very </w:t>
      </w:r>
      <w:r>
        <w:rPr>
          <w:color w:val="000000"/>
        </w:rPr>
        <w:t>small</w:t>
      </w:r>
      <w:r w:rsidRPr="00D6101B">
        <w:rPr>
          <w:color w:val="000000"/>
        </w:rPr>
        <w:t xml:space="preserve"> and none of the information available comes from recent anthropological </w:t>
      </w:r>
      <w:r>
        <w:rPr>
          <w:color w:val="000000"/>
        </w:rPr>
        <w:t>studies</w:t>
      </w:r>
      <w:r w:rsidRPr="00D6101B">
        <w:rPr>
          <w:color w:val="000000"/>
        </w:rPr>
        <w:t xml:space="preserve">. </w:t>
      </w:r>
      <w:r>
        <w:rPr>
          <w:color w:val="000000"/>
        </w:rPr>
        <w:t>Furthermore,</w:t>
      </w:r>
      <w:r w:rsidRPr="00D6101B">
        <w:rPr>
          <w:color w:val="000000"/>
        </w:rPr>
        <w:t xml:space="preserve"> it is not possible to not</w:t>
      </w:r>
      <w:r>
        <w:rPr>
          <w:color w:val="000000"/>
        </w:rPr>
        <w:t>e</w:t>
      </w:r>
      <w:r w:rsidRPr="00D6101B">
        <w:rPr>
          <w:color w:val="000000"/>
        </w:rPr>
        <w:t xml:space="preserve"> any specific </w:t>
      </w:r>
      <w:r>
        <w:rPr>
          <w:color w:val="000000"/>
        </w:rPr>
        <w:t xml:space="preserve">type </w:t>
      </w:r>
      <w:r w:rsidRPr="00D6101B">
        <w:rPr>
          <w:color w:val="000000"/>
        </w:rPr>
        <w:t>of association between larnakes</w:t>
      </w:r>
      <w:r>
        <w:rPr>
          <w:color w:val="000000"/>
        </w:rPr>
        <w:t>,</w:t>
      </w:r>
      <w:r w:rsidRPr="00D6101B">
        <w:rPr>
          <w:color w:val="000000"/>
        </w:rPr>
        <w:t xml:space="preserve"> gender and age.</w:t>
      </w:r>
    </w:p>
    <w:p w14:paraId="3E97CD8E"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The f</w:t>
      </w:r>
      <w:r>
        <w:rPr>
          <w:color w:val="000000"/>
        </w:rPr>
        <w:t>inds</w:t>
      </w:r>
      <w:r w:rsidRPr="00D6101B">
        <w:rPr>
          <w:color w:val="000000"/>
        </w:rPr>
        <w:t xml:space="preserve"> of animal bones in burial context</w:t>
      </w:r>
      <w:r>
        <w:rPr>
          <w:color w:val="000000"/>
        </w:rPr>
        <w:t>s</w:t>
      </w:r>
      <w:r w:rsidRPr="00D6101B">
        <w:rPr>
          <w:color w:val="000000"/>
        </w:rPr>
        <w:t xml:space="preserve"> </w:t>
      </w:r>
      <w:r>
        <w:rPr>
          <w:color w:val="000000"/>
        </w:rPr>
        <w:t>at</w:t>
      </w:r>
      <w:r w:rsidRPr="00D6101B">
        <w:rPr>
          <w:color w:val="000000"/>
        </w:rPr>
        <w:t xml:space="preserve"> </w:t>
      </w:r>
      <w:r>
        <w:rPr>
          <w:color w:val="000000"/>
        </w:rPr>
        <w:t>T</w:t>
      </w:r>
      <w:r w:rsidRPr="00D6101B">
        <w:rPr>
          <w:color w:val="000000"/>
        </w:rPr>
        <w:t xml:space="preserve">holos A at Archanes (where the skeleton of </w:t>
      </w:r>
      <w:r>
        <w:rPr>
          <w:color w:val="000000"/>
        </w:rPr>
        <w:t xml:space="preserve">a </w:t>
      </w:r>
      <w:r w:rsidRPr="00D6101B">
        <w:rPr>
          <w:color w:val="000000"/>
        </w:rPr>
        <w:t xml:space="preserve">horse and a bull skull </w:t>
      </w:r>
      <w:r>
        <w:rPr>
          <w:color w:val="000000"/>
        </w:rPr>
        <w:t>were</w:t>
      </w:r>
      <w:r w:rsidRPr="00D6101B">
        <w:rPr>
          <w:color w:val="000000"/>
        </w:rPr>
        <w:t xml:space="preserve"> found) and of specific treatment signs on the bones belonging to the secondary burials in one of the two larnakes from </w:t>
      </w:r>
      <w:r>
        <w:rPr>
          <w:color w:val="000000"/>
        </w:rPr>
        <w:t>T</w:t>
      </w:r>
      <w:r w:rsidRPr="00D6101B">
        <w:rPr>
          <w:color w:val="000000"/>
        </w:rPr>
        <w:t>holos B</w:t>
      </w:r>
      <w:r>
        <w:rPr>
          <w:color w:val="000000"/>
        </w:rPr>
        <w:t xml:space="preserve"> partly illustrate</w:t>
      </w:r>
      <w:r w:rsidRPr="00D6101B">
        <w:rPr>
          <w:color w:val="000000"/>
        </w:rPr>
        <w:t xml:space="preserve"> the specific burial practices probably in use at Archanes Phourni (nothing similar so far ha</w:t>
      </w:r>
      <w:r>
        <w:rPr>
          <w:color w:val="000000"/>
        </w:rPr>
        <w:t>s</w:t>
      </w:r>
      <w:r w:rsidRPr="00D6101B">
        <w:rPr>
          <w:color w:val="000000"/>
        </w:rPr>
        <w:t xml:space="preserve"> been found anywhere else in other Cretan contemporary burial contexts)</w:t>
      </w:r>
      <w:r>
        <w:rPr>
          <w:color w:val="000000"/>
        </w:rPr>
        <w:t>.</w:t>
      </w:r>
      <w:r w:rsidRPr="00D6101B">
        <w:rPr>
          <w:color w:val="000000"/>
        </w:rPr>
        <w:t xml:space="preserve"> </w:t>
      </w:r>
      <w:r>
        <w:rPr>
          <w:color w:val="000000"/>
        </w:rPr>
        <w:t>However,</w:t>
      </w:r>
      <w:r w:rsidRPr="00D6101B">
        <w:rPr>
          <w:color w:val="000000"/>
        </w:rPr>
        <w:t xml:space="preserve"> a full reconstruction of the sequence of use of LM III tombs</w:t>
      </w:r>
      <w:r>
        <w:rPr>
          <w:color w:val="000000"/>
        </w:rPr>
        <w:t xml:space="preserve"> is still lacking</w:t>
      </w:r>
      <w:r w:rsidRPr="00D6101B">
        <w:rPr>
          <w:color w:val="000000"/>
        </w:rPr>
        <w:t>.</w:t>
      </w:r>
      <w:r>
        <w:rPr>
          <w:color w:val="000000"/>
        </w:rPr>
        <w:t xml:space="preserve"> </w:t>
      </w:r>
      <w:r w:rsidRPr="00D6101B">
        <w:rPr>
          <w:color w:val="000000"/>
        </w:rPr>
        <w:t xml:space="preserve">The </w:t>
      </w:r>
      <w:r>
        <w:rPr>
          <w:color w:val="000000"/>
        </w:rPr>
        <w:t>data available regarding tombs with</w:t>
      </w:r>
      <w:r w:rsidRPr="00D6101B">
        <w:rPr>
          <w:color w:val="000000"/>
        </w:rPr>
        <w:t xml:space="preserve"> skeletal remains </w:t>
      </w:r>
      <w:r>
        <w:rPr>
          <w:color w:val="000000"/>
        </w:rPr>
        <w:t>comes from</w:t>
      </w:r>
      <w:r w:rsidRPr="00D6101B">
        <w:rPr>
          <w:color w:val="000000"/>
        </w:rPr>
        <w:t xml:space="preserve"> the following tombs:</w:t>
      </w:r>
    </w:p>
    <w:p w14:paraId="60B58764" w14:textId="77777777" w:rsidR="001A4F1A" w:rsidRPr="00D6101B" w:rsidRDefault="001A4F1A" w:rsidP="00E858EF">
      <w:pPr>
        <w:pStyle w:val="Paragrafoelenco"/>
        <w:numPr>
          <w:ilvl w:val="0"/>
          <w:numId w:val="34"/>
        </w:numPr>
        <w:suppressAutoHyphens/>
        <w:autoSpaceDE w:val="0"/>
        <w:autoSpaceDN w:val="0"/>
        <w:adjustRightInd w:val="0"/>
        <w:rPr>
          <w:color w:val="000000"/>
        </w:rPr>
      </w:pPr>
      <w:r w:rsidRPr="00D6101B">
        <w:rPr>
          <w:color w:val="000000"/>
        </w:rPr>
        <w:t>Agia Pelagia (single burial of a young male in a chest)</w:t>
      </w:r>
    </w:p>
    <w:p w14:paraId="2F17FA1F" w14:textId="77777777" w:rsidR="001A4F1A" w:rsidRPr="00D6101B" w:rsidRDefault="001A4F1A" w:rsidP="00E858EF">
      <w:pPr>
        <w:pStyle w:val="Paragrafoelenco"/>
        <w:numPr>
          <w:ilvl w:val="0"/>
          <w:numId w:val="34"/>
        </w:numPr>
        <w:suppressAutoHyphens/>
        <w:autoSpaceDE w:val="0"/>
        <w:autoSpaceDN w:val="0"/>
        <w:adjustRightInd w:val="0"/>
        <w:rPr>
          <w:color w:val="000000"/>
        </w:rPr>
      </w:pPr>
      <w:r w:rsidRPr="00D6101B">
        <w:rPr>
          <w:color w:val="000000"/>
        </w:rPr>
        <w:t xml:space="preserve">Archanes Aniphoros </w:t>
      </w:r>
      <w:r>
        <w:rPr>
          <w:color w:val="000000"/>
        </w:rPr>
        <w:t>T</w:t>
      </w:r>
      <w:r w:rsidRPr="00D6101B">
        <w:rPr>
          <w:color w:val="000000"/>
        </w:rPr>
        <w:t>omb 2 (two primary burials in one chest</w:t>
      </w:r>
      <w:r>
        <w:rPr>
          <w:color w:val="000000"/>
        </w:rPr>
        <w:t>:</w:t>
      </w:r>
      <w:r w:rsidRPr="00D6101B">
        <w:rPr>
          <w:color w:val="000000"/>
        </w:rPr>
        <w:t xml:space="preserve"> one male, one female)</w:t>
      </w:r>
    </w:p>
    <w:p w14:paraId="45E3353A" w14:textId="77777777" w:rsidR="001A4F1A" w:rsidRPr="00D6101B" w:rsidRDefault="001A4F1A" w:rsidP="00E858EF">
      <w:pPr>
        <w:pStyle w:val="Paragrafoelenco"/>
        <w:numPr>
          <w:ilvl w:val="0"/>
          <w:numId w:val="34"/>
        </w:numPr>
        <w:suppressAutoHyphens/>
        <w:autoSpaceDE w:val="0"/>
        <w:autoSpaceDN w:val="0"/>
        <w:adjustRightInd w:val="0"/>
        <w:rPr>
          <w:color w:val="000000"/>
        </w:rPr>
      </w:pPr>
      <w:r w:rsidRPr="00D6101B">
        <w:rPr>
          <w:color w:val="000000"/>
        </w:rPr>
        <w:t>A chamber tomb at Tylissos where three primary burials in three larnakes have been found (one male, one female, one young) along with another primary burial of an old man on the floor</w:t>
      </w:r>
    </w:p>
    <w:p w14:paraId="4E438CF6" w14:textId="74B4E00E" w:rsidR="001A4F1A" w:rsidRPr="00D6101B" w:rsidRDefault="001A4F1A" w:rsidP="00E858EF">
      <w:pPr>
        <w:pStyle w:val="Titolo3"/>
        <w:keepNext w:val="0"/>
        <w:keepLines w:val="0"/>
        <w:suppressAutoHyphens/>
      </w:pPr>
      <w:bookmarkStart w:id="735" w:name="_Toc517745313"/>
      <w:bookmarkStart w:id="736" w:name="_Toc519894655"/>
      <w:r>
        <w:t>Mid-East</w:t>
      </w:r>
      <w:r w:rsidRPr="00D6101B">
        <w:t xml:space="preserve"> </w:t>
      </w:r>
      <w:r w:rsidR="007C6F5C">
        <w:t xml:space="preserve">area </w:t>
      </w:r>
      <w:r w:rsidRPr="00D6101B">
        <w:t>(skeletal remains)</w:t>
      </w:r>
      <w:bookmarkEnd w:id="735"/>
      <w:bookmarkEnd w:id="736"/>
    </w:p>
    <w:p w14:paraId="108395AF" w14:textId="48142321" w:rsidR="001A4F1A" w:rsidRPr="00D6101B" w:rsidRDefault="001A4F1A" w:rsidP="00E858EF">
      <w:pPr>
        <w:pStyle w:val="Titolo4"/>
        <w:keepNext w:val="0"/>
        <w:keepLines w:val="0"/>
        <w:suppressAutoHyphens/>
      </w:pPr>
      <w:bookmarkStart w:id="737" w:name="_Toc517745314"/>
      <w:r>
        <w:t>Mid-East</w:t>
      </w:r>
      <w:r w:rsidR="007C6F5C">
        <w:t xml:space="preserve"> area</w:t>
      </w:r>
      <w:r w:rsidRPr="00D6101B">
        <w:t xml:space="preserve"> analysis</w:t>
      </w:r>
      <w:bookmarkEnd w:id="737"/>
      <w:r w:rsidRPr="00D6101B">
        <w:t xml:space="preserve"> </w:t>
      </w:r>
    </w:p>
    <w:p w14:paraId="231205A9"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The minimum number of burials estimated for the sample of tombs with larnakes considered secure </w:t>
      </w:r>
      <w:r>
        <w:rPr>
          <w:color w:val="000000"/>
        </w:rPr>
        <w:t>i</w:t>
      </w:r>
      <w:r w:rsidRPr="00D6101B">
        <w:rPr>
          <w:color w:val="000000"/>
        </w:rPr>
        <w:t>n</w:t>
      </w:r>
      <w:r>
        <w:rPr>
          <w:color w:val="000000"/>
        </w:rPr>
        <w:t xml:space="preserve"> the</w:t>
      </w:r>
      <w:r w:rsidRPr="00D6101B">
        <w:rPr>
          <w:color w:val="000000"/>
        </w:rPr>
        <w:t xml:space="preserve"> </w:t>
      </w:r>
      <w:r>
        <w:rPr>
          <w:color w:val="000000"/>
        </w:rPr>
        <w:t>Mid-East</w:t>
      </w:r>
      <w:r w:rsidRPr="00D6101B">
        <w:rPr>
          <w:color w:val="000000"/>
        </w:rPr>
        <w:t xml:space="preserve"> area </w:t>
      </w:r>
      <w:r>
        <w:rPr>
          <w:color w:val="000000"/>
        </w:rPr>
        <w:t>is</w:t>
      </w:r>
      <w:r w:rsidRPr="00D6101B">
        <w:rPr>
          <w:color w:val="000000"/>
        </w:rPr>
        <w:t xml:space="preserve"> 88. </w:t>
      </w:r>
    </w:p>
    <w:p w14:paraId="056FE8E2" w14:textId="77777777" w:rsidR="001A4F1A"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74B2A0E8" w14:textId="77777777" w:rsidR="00F46A41" w:rsidRDefault="00F46A41">
      <w:pPr>
        <w:widowControl/>
        <w:spacing w:line="240" w:lineRule="auto"/>
        <w:contextualSpacing w:val="0"/>
        <w:jc w:val="left"/>
        <w:rPr>
          <w:rFonts w:cs="Lucida Grande"/>
          <w:b/>
          <w:sz w:val="20"/>
          <w:szCs w:val="18"/>
        </w:rPr>
      </w:pPr>
      <w:r>
        <w:br w:type="page"/>
      </w:r>
    </w:p>
    <w:p w14:paraId="3145DA54" w14:textId="5C8AC16B" w:rsidR="001A4F1A" w:rsidRPr="00D6101B" w:rsidRDefault="001A4F1A" w:rsidP="00E858EF">
      <w:pPr>
        <w:pStyle w:val="Testofumetto"/>
        <w:suppressAutoHyphens/>
      </w:pPr>
      <w:bookmarkStart w:id="738" w:name="_Toc520212594"/>
      <w:r>
        <w:t>Table 4-21</w:t>
      </w:r>
      <w:r w:rsidR="00352D33">
        <w:t>.</w:t>
      </w:r>
      <w:r>
        <w:t xml:space="preserve"> Information concerning number of burials in tombs with larnakes</w:t>
      </w:r>
      <w:r w:rsidR="00466FB3">
        <w:t>,</w:t>
      </w:r>
      <w:r>
        <w:t xml:space="preserve"> Mid-East </w:t>
      </w:r>
      <w:bookmarkEnd w:id="738"/>
      <w:r w:rsidR="00466FB3">
        <w:t>area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9"/>
        <w:gridCol w:w="1576"/>
        <w:gridCol w:w="1509"/>
        <w:gridCol w:w="1403"/>
        <w:gridCol w:w="1413"/>
        <w:gridCol w:w="1126"/>
      </w:tblGrid>
      <w:tr w:rsidR="001A4F1A" w:rsidRPr="00F46A41" w14:paraId="5F6C73C7" w14:textId="77777777" w:rsidTr="00F46A41">
        <w:tc>
          <w:tcPr>
            <w:tcW w:w="1509" w:type="dxa"/>
          </w:tcPr>
          <w:p w14:paraId="5FD59325"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Total number of secure tombs with larnax ME</w:t>
            </w:r>
          </w:p>
        </w:tc>
        <w:tc>
          <w:tcPr>
            <w:tcW w:w="1576" w:type="dxa"/>
          </w:tcPr>
          <w:p w14:paraId="1F7AC8FC"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Minimum number of estimated burials</w:t>
            </w:r>
          </w:p>
        </w:tc>
        <w:tc>
          <w:tcPr>
            <w:tcW w:w="1509" w:type="dxa"/>
          </w:tcPr>
          <w:p w14:paraId="447D3D85"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Mean number of burials per tomb</w:t>
            </w:r>
          </w:p>
        </w:tc>
        <w:tc>
          <w:tcPr>
            <w:tcW w:w="1403" w:type="dxa"/>
          </w:tcPr>
          <w:p w14:paraId="13ADE638"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Minimum number of estimated burials per tomb</w:t>
            </w:r>
          </w:p>
        </w:tc>
        <w:tc>
          <w:tcPr>
            <w:tcW w:w="1413" w:type="dxa"/>
          </w:tcPr>
          <w:p w14:paraId="1165B016"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Maximum number of estimated burials per tomb</w:t>
            </w:r>
          </w:p>
        </w:tc>
        <w:tc>
          <w:tcPr>
            <w:tcW w:w="1126" w:type="dxa"/>
          </w:tcPr>
          <w:p w14:paraId="0521093F"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Maximum number of larnakes per tomb</w:t>
            </w:r>
          </w:p>
        </w:tc>
      </w:tr>
      <w:tr w:rsidR="001A4F1A" w:rsidRPr="00F46A41" w14:paraId="775B6958" w14:textId="77777777" w:rsidTr="00F46A41">
        <w:tc>
          <w:tcPr>
            <w:tcW w:w="1509" w:type="dxa"/>
          </w:tcPr>
          <w:p w14:paraId="5EA2747B"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rPr>
            </w:pPr>
            <w:r w:rsidRPr="00F46A41">
              <w:rPr>
                <w:b/>
                <w:color w:val="000000"/>
                <w:sz w:val="20"/>
              </w:rPr>
              <w:t>45</w:t>
            </w:r>
          </w:p>
        </w:tc>
        <w:tc>
          <w:tcPr>
            <w:tcW w:w="1576" w:type="dxa"/>
          </w:tcPr>
          <w:p w14:paraId="195B6EB3"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88</w:t>
            </w:r>
          </w:p>
        </w:tc>
        <w:tc>
          <w:tcPr>
            <w:tcW w:w="1509" w:type="dxa"/>
          </w:tcPr>
          <w:p w14:paraId="63B27E99"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1.9</w:t>
            </w:r>
          </w:p>
        </w:tc>
        <w:tc>
          <w:tcPr>
            <w:tcW w:w="1403" w:type="dxa"/>
          </w:tcPr>
          <w:p w14:paraId="51AFAEEA"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1</w:t>
            </w:r>
          </w:p>
        </w:tc>
        <w:tc>
          <w:tcPr>
            <w:tcW w:w="1413" w:type="dxa"/>
          </w:tcPr>
          <w:p w14:paraId="5BD62019"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5</w:t>
            </w:r>
          </w:p>
        </w:tc>
        <w:tc>
          <w:tcPr>
            <w:tcW w:w="1126" w:type="dxa"/>
          </w:tcPr>
          <w:p w14:paraId="409A37CC"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5</w:t>
            </w:r>
          </w:p>
        </w:tc>
      </w:tr>
    </w:tbl>
    <w:p w14:paraId="08E545D1"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5EB40551"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In this region</w:t>
      </w:r>
      <w:r>
        <w:rPr>
          <w:color w:val="000000"/>
        </w:rPr>
        <w:t>,</w:t>
      </w:r>
      <w:r w:rsidRPr="00D6101B">
        <w:rPr>
          <w:color w:val="000000"/>
        </w:rPr>
        <w:t xml:space="preserve"> the maximum number of estimated burials per tomb </w:t>
      </w:r>
      <w:r>
        <w:rPr>
          <w:color w:val="000000"/>
        </w:rPr>
        <w:t>is no more than</w:t>
      </w:r>
      <w:r w:rsidRPr="00D6101B">
        <w:rPr>
          <w:color w:val="000000"/>
        </w:rPr>
        <w:t xml:space="preserve"> five</w:t>
      </w:r>
      <w:r>
        <w:rPr>
          <w:color w:val="000000"/>
        </w:rPr>
        <w:t>,</w:t>
      </w:r>
      <w:r w:rsidRPr="00D6101B">
        <w:rPr>
          <w:color w:val="000000"/>
        </w:rPr>
        <w:t xml:space="preserve"> </w:t>
      </w:r>
      <w:r>
        <w:rPr>
          <w:color w:val="000000"/>
        </w:rPr>
        <w:t>which is</w:t>
      </w:r>
      <w:r w:rsidRPr="00D6101B">
        <w:rPr>
          <w:color w:val="000000"/>
        </w:rPr>
        <w:t xml:space="preserve"> also the maximum number of larnakes found within a tomb. At least five larnakes associated with five depositions in larnakes have been found</w:t>
      </w:r>
      <w:r>
        <w:rPr>
          <w:color w:val="000000"/>
        </w:rPr>
        <w:t xml:space="preserve"> in three different tombs at Ma</w:t>
      </w:r>
      <w:r w:rsidRPr="00D6101B">
        <w:rPr>
          <w:color w:val="000000"/>
        </w:rPr>
        <w:t>lia:</w:t>
      </w:r>
    </w:p>
    <w:p w14:paraId="3B3CDC94" w14:textId="77777777" w:rsidR="001A4F1A" w:rsidRPr="00D6101B" w:rsidRDefault="001A4F1A" w:rsidP="00E858EF">
      <w:pPr>
        <w:pStyle w:val="Paragrafoelenco"/>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In a chamber tomb at Agia Pelagia, where five primary burials </w:t>
      </w:r>
      <w:r>
        <w:rPr>
          <w:color w:val="000000"/>
        </w:rPr>
        <w:t>(</w:t>
      </w:r>
      <w:r w:rsidRPr="00D6101B">
        <w:rPr>
          <w:color w:val="000000"/>
        </w:rPr>
        <w:t>one per larnax</w:t>
      </w:r>
      <w:r>
        <w:rPr>
          <w:color w:val="000000"/>
        </w:rPr>
        <w:t>)</w:t>
      </w:r>
      <w:r w:rsidRPr="00D6101B">
        <w:rPr>
          <w:color w:val="000000"/>
        </w:rPr>
        <w:t xml:space="preserve"> </w:t>
      </w:r>
      <w:r>
        <w:rPr>
          <w:color w:val="000000"/>
        </w:rPr>
        <w:t>were found</w:t>
      </w:r>
      <w:r w:rsidRPr="00D6101B">
        <w:rPr>
          <w:color w:val="000000"/>
        </w:rPr>
        <w:t xml:space="preserve">. No other depositions have been retrieved </w:t>
      </w:r>
      <w:r>
        <w:rPr>
          <w:color w:val="000000"/>
        </w:rPr>
        <w:t>from</w:t>
      </w:r>
      <w:r w:rsidRPr="00D6101B">
        <w:rPr>
          <w:color w:val="000000"/>
        </w:rPr>
        <w:t xml:space="preserve"> this tomb (Van Effenterre 1963)</w:t>
      </w:r>
      <w:r>
        <w:rPr>
          <w:color w:val="000000"/>
        </w:rPr>
        <w:t>.</w:t>
      </w:r>
    </w:p>
    <w:p w14:paraId="28E6DFAD" w14:textId="6BEEB0A8" w:rsidR="001A4F1A" w:rsidRPr="00D6101B" w:rsidRDefault="001A4F1A" w:rsidP="00E858EF">
      <w:pPr>
        <w:pStyle w:val="Paragrafoelenco"/>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In </w:t>
      </w:r>
      <w:r>
        <w:rPr>
          <w:color w:val="000000"/>
        </w:rPr>
        <w:t xml:space="preserve">a </w:t>
      </w:r>
      <w:r w:rsidRPr="00D6101B">
        <w:rPr>
          <w:color w:val="000000"/>
        </w:rPr>
        <w:t xml:space="preserve">chamber tomb at </w:t>
      </w:r>
      <w:r w:rsidR="00F7367B">
        <w:rPr>
          <w:color w:val="000000"/>
        </w:rPr>
        <w:t>Malia</w:t>
      </w:r>
      <w:r w:rsidRPr="00D6101B">
        <w:rPr>
          <w:color w:val="000000"/>
        </w:rPr>
        <w:t xml:space="preserve"> Agios Dimitrios</w:t>
      </w:r>
      <w:r>
        <w:rPr>
          <w:color w:val="000000"/>
        </w:rPr>
        <w:t>.</w:t>
      </w:r>
      <w:r w:rsidRPr="00D6101B">
        <w:rPr>
          <w:color w:val="000000"/>
        </w:rPr>
        <w:t xml:space="preserve"> </w:t>
      </w:r>
      <w:r>
        <w:rPr>
          <w:color w:val="000000"/>
        </w:rPr>
        <w:t>However,</w:t>
      </w:r>
      <w:r w:rsidRPr="00D6101B">
        <w:rPr>
          <w:color w:val="000000"/>
        </w:rPr>
        <w:t xml:space="preserve"> there </w:t>
      </w:r>
      <w:r>
        <w:rPr>
          <w:color w:val="000000"/>
        </w:rPr>
        <w:t>is</w:t>
      </w:r>
      <w:r w:rsidRPr="00D6101B">
        <w:rPr>
          <w:color w:val="000000"/>
        </w:rPr>
        <w:t xml:space="preserve"> no information about the skeletal materials (Van Effenterre 1963: 125-126)</w:t>
      </w:r>
      <w:r>
        <w:rPr>
          <w:color w:val="000000"/>
        </w:rPr>
        <w:t>.</w:t>
      </w:r>
    </w:p>
    <w:p w14:paraId="3C1FB562" w14:textId="697E9298" w:rsidR="001A4F1A" w:rsidRPr="00D6101B" w:rsidRDefault="001A4F1A" w:rsidP="00E858EF">
      <w:pPr>
        <w:pStyle w:val="Paragrafoelenco"/>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In a chamber tomb found near the west end of the village of </w:t>
      </w:r>
      <w:r w:rsidR="00F7367B">
        <w:rPr>
          <w:color w:val="000000"/>
        </w:rPr>
        <w:t>Malia</w:t>
      </w:r>
      <w:r w:rsidRPr="00D6101B">
        <w:rPr>
          <w:color w:val="000000"/>
        </w:rPr>
        <w:t xml:space="preserve"> containing five larnakes</w:t>
      </w:r>
      <w:r>
        <w:rPr>
          <w:color w:val="000000"/>
        </w:rPr>
        <w:t>,</w:t>
      </w:r>
      <w:r w:rsidRPr="00D6101B">
        <w:rPr>
          <w:color w:val="000000"/>
        </w:rPr>
        <w:t xml:space="preserve"> </w:t>
      </w:r>
      <w:r>
        <w:rPr>
          <w:color w:val="000000"/>
        </w:rPr>
        <w:t>although there is</w:t>
      </w:r>
      <w:r w:rsidRPr="00D6101B">
        <w:rPr>
          <w:color w:val="000000"/>
        </w:rPr>
        <w:t xml:space="preserve"> no information about </w:t>
      </w:r>
      <w:r>
        <w:rPr>
          <w:color w:val="000000"/>
        </w:rPr>
        <w:t xml:space="preserve">the </w:t>
      </w:r>
      <w:r w:rsidRPr="00D6101B">
        <w:rPr>
          <w:color w:val="000000"/>
        </w:rPr>
        <w:t xml:space="preserve">burials </w:t>
      </w:r>
      <w:r>
        <w:rPr>
          <w:color w:val="000000"/>
        </w:rPr>
        <w:t>or</w:t>
      </w:r>
      <w:r w:rsidRPr="00D6101B">
        <w:rPr>
          <w:color w:val="000000"/>
        </w:rPr>
        <w:t xml:space="preserve"> skeletal remains (</w:t>
      </w:r>
      <w:r w:rsidRPr="00831E86">
        <w:rPr>
          <w:i/>
          <w:color w:val="000000"/>
        </w:rPr>
        <w:t>Ergon</w:t>
      </w:r>
      <w:r w:rsidRPr="00D6101B">
        <w:rPr>
          <w:color w:val="000000"/>
        </w:rPr>
        <w:t xml:space="preserve"> 1974: 116-7)</w:t>
      </w:r>
      <w:r>
        <w:rPr>
          <w:color w:val="000000"/>
        </w:rPr>
        <w:t>.</w:t>
      </w:r>
    </w:p>
    <w:p w14:paraId="277E39A9" w14:textId="77777777" w:rsidR="001A4F1A" w:rsidRPr="00B47BE9"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Generally, the number of </w:t>
      </w:r>
      <w:r>
        <w:rPr>
          <w:color w:val="000000"/>
        </w:rPr>
        <w:t xml:space="preserve">depositions </w:t>
      </w:r>
      <w:r w:rsidRPr="00D6101B">
        <w:rPr>
          <w:color w:val="000000"/>
        </w:rPr>
        <w:t>in tombs with larnakes in the region i</w:t>
      </w:r>
      <w:r>
        <w:rPr>
          <w:color w:val="000000"/>
        </w:rPr>
        <w:t>s</w:t>
      </w:r>
      <w:r w:rsidRPr="00D6101B">
        <w:rPr>
          <w:color w:val="000000"/>
        </w:rPr>
        <w:t xml:space="preserve"> not high</w:t>
      </w:r>
      <w:r>
        <w:rPr>
          <w:color w:val="000000"/>
        </w:rPr>
        <w:t>,</w:t>
      </w:r>
      <w:r w:rsidRPr="00D6101B">
        <w:rPr>
          <w:color w:val="000000"/>
        </w:rPr>
        <w:t xml:space="preserve"> with an average of two burials per tomb</w:t>
      </w:r>
      <w:r>
        <w:rPr>
          <w:color w:val="000000"/>
        </w:rPr>
        <w:t>.</w:t>
      </w:r>
    </w:p>
    <w:p w14:paraId="3076BFB1"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 xml:space="preserve">Within the </w:t>
      </w:r>
      <w:r>
        <w:rPr>
          <w:color w:val="000000"/>
        </w:rPr>
        <w:t>Mid-East</w:t>
      </w:r>
      <w:r w:rsidRPr="00D6101B">
        <w:rPr>
          <w:color w:val="000000"/>
        </w:rPr>
        <w:t xml:space="preserve"> area</w:t>
      </w:r>
      <w:r>
        <w:rPr>
          <w:color w:val="000000"/>
        </w:rPr>
        <w:t>,</w:t>
      </w:r>
      <w:r w:rsidRPr="00D6101B">
        <w:rPr>
          <w:color w:val="000000"/>
        </w:rPr>
        <w:t xml:space="preserve"> information about burials and skeletal remains </w:t>
      </w:r>
      <w:r>
        <w:rPr>
          <w:color w:val="000000"/>
        </w:rPr>
        <w:t>is</w:t>
      </w:r>
      <w:r w:rsidRPr="00D6101B">
        <w:rPr>
          <w:color w:val="000000"/>
        </w:rPr>
        <w:t xml:space="preserve"> available for 65% of the sample of </w:t>
      </w:r>
      <w:r>
        <w:rPr>
          <w:color w:val="000000"/>
        </w:rPr>
        <w:t xml:space="preserve">secure </w:t>
      </w:r>
      <w:r w:rsidRPr="00D6101B">
        <w:rPr>
          <w:color w:val="000000"/>
        </w:rPr>
        <w:t xml:space="preserve">tombs with larnakes. In this sample </w:t>
      </w:r>
      <w:r>
        <w:rPr>
          <w:color w:val="000000"/>
        </w:rPr>
        <w:t>are</w:t>
      </w:r>
      <w:r w:rsidRPr="00D6101B">
        <w:rPr>
          <w:color w:val="000000"/>
        </w:rPr>
        <w:t xml:space="preserve"> included six tombs from Elounda, for which larnakes </w:t>
      </w:r>
      <w:r>
        <w:rPr>
          <w:color w:val="000000"/>
        </w:rPr>
        <w:t>were</w:t>
      </w:r>
      <w:r w:rsidRPr="00D6101B">
        <w:rPr>
          <w:color w:val="000000"/>
        </w:rPr>
        <w:t xml:space="preserve"> arranged in two different groups (Group 1: tombs 10-12; Group 2: tombs 13-14</w:t>
      </w:r>
      <w:r>
        <w:rPr>
          <w:color w:val="000000"/>
        </w:rPr>
        <w:t>,</w:t>
      </w:r>
      <w:r w:rsidRPr="00D6101B">
        <w:rPr>
          <w:color w:val="000000"/>
        </w:rPr>
        <w:t xml:space="preserve"> 24), for which information about burial deposition cannot be s</w:t>
      </w:r>
      <w:r>
        <w:rPr>
          <w:color w:val="000000"/>
        </w:rPr>
        <w:t xml:space="preserve">eparated and evaluated as related </w:t>
      </w:r>
      <w:r w:rsidRPr="00D6101B">
        <w:rPr>
          <w:color w:val="000000"/>
        </w:rPr>
        <w:t xml:space="preserve">to </w:t>
      </w:r>
      <w:r>
        <w:rPr>
          <w:color w:val="000000"/>
        </w:rPr>
        <w:t xml:space="preserve">a </w:t>
      </w:r>
      <w:r w:rsidRPr="00D6101B">
        <w:rPr>
          <w:color w:val="000000"/>
        </w:rPr>
        <w:t>single tomb (Van Effenterre 1948: 9).</w:t>
      </w:r>
    </w:p>
    <w:p w14:paraId="56A4C516"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Within this sample of tombs</w:t>
      </w:r>
      <w:r>
        <w:rPr>
          <w:color w:val="000000"/>
        </w:rPr>
        <w:t>,</w:t>
      </w:r>
      <w:r w:rsidRPr="00D6101B">
        <w:rPr>
          <w:color w:val="000000"/>
        </w:rPr>
        <w:t xml:space="preserve"> whe</w:t>
      </w:r>
      <w:r>
        <w:rPr>
          <w:color w:val="000000"/>
        </w:rPr>
        <w:t>n</w:t>
      </w:r>
      <w:r w:rsidRPr="00D6101B">
        <w:rPr>
          <w:color w:val="000000"/>
        </w:rPr>
        <w:t xml:space="preserve"> skeletal remains have been reported, only larna</w:t>
      </w:r>
      <w:r>
        <w:rPr>
          <w:color w:val="000000"/>
        </w:rPr>
        <w:t>x</w:t>
      </w:r>
      <w:r w:rsidRPr="00D6101B">
        <w:rPr>
          <w:color w:val="000000"/>
        </w:rPr>
        <w:t xml:space="preserve"> deposition</w:t>
      </w:r>
      <w:r>
        <w:rPr>
          <w:color w:val="000000"/>
        </w:rPr>
        <w:t>s</w:t>
      </w:r>
      <w:r w:rsidRPr="00D6101B">
        <w:rPr>
          <w:color w:val="000000"/>
        </w:rPr>
        <w:t xml:space="preserve"> </w:t>
      </w:r>
      <w:r>
        <w:rPr>
          <w:color w:val="000000"/>
        </w:rPr>
        <w:t>are</w:t>
      </w:r>
      <w:r w:rsidRPr="00D6101B">
        <w:rPr>
          <w:color w:val="000000"/>
        </w:rPr>
        <w:t xml:space="preserve"> associated in the same tomb in 90% of tombs.</w:t>
      </w:r>
      <w:r>
        <w:rPr>
          <w:color w:val="000000"/>
        </w:rPr>
        <w:t xml:space="preserve"> Regarding</w:t>
      </w:r>
      <w:r w:rsidRPr="00D6101B">
        <w:rPr>
          <w:color w:val="000000"/>
        </w:rPr>
        <w:t xml:space="preserve"> other interment types used </w:t>
      </w:r>
      <w:r>
        <w:rPr>
          <w:color w:val="000000"/>
        </w:rPr>
        <w:t>in addition to</w:t>
      </w:r>
      <w:r w:rsidRPr="00D6101B">
        <w:rPr>
          <w:color w:val="000000"/>
        </w:rPr>
        <w:t xml:space="preserve"> larnakes in the remaining 10% of tombs, the other type of container associated is </w:t>
      </w:r>
      <w:r>
        <w:rPr>
          <w:color w:val="000000"/>
        </w:rPr>
        <w:t>a</w:t>
      </w:r>
      <w:r w:rsidRPr="00D6101B">
        <w:rPr>
          <w:color w:val="000000"/>
        </w:rPr>
        <w:t xml:space="preserve"> pitho</w:t>
      </w:r>
      <w:r>
        <w:rPr>
          <w:color w:val="000000"/>
        </w:rPr>
        <w:t>s.</w:t>
      </w:r>
    </w:p>
    <w:p w14:paraId="0A29CA64" w14:textId="050FEFDC" w:rsidR="001A4F1A" w:rsidRPr="00D6101B" w:rsidRDefault="001A4F1A" w:rsidP="00E858EF">
      <w:pPr>
        <w:pStyle w:val="Paragrafoelenco"/>
        <w:numPr>
          <w:ilvl w:val="0"/>
          <w:numId w:val="3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In a tomb at Kritsa Lakkoi, where</w:t>
      </w:r>
      <w:r>
        <w:rPr>
          <w:color w:val="000000"/>
        </w:rPr>
        <w:t>,</w:t>
      </w:r>
      <w:r w:rsidRPr="00D6101B">
        <w:rPr>
          <w:color w:val="000000"/>
        </w:rPr>
        <w:t xml:space="preserve"> </w:t>
      </w:r>
      <w:r>
        <w:rPr>
          <w:color w:val="000000"/>
        </w:rPr>
        <w:t>in addition to</w:t>
      </w:r>
      <w:r w:rsidRPr="00D6101B">
        <w:rPr>
          <w:color w:val="000000"/>
        </w:rPr>
        <w:t xml:space="preserve"> two deposition</w:t>
      </w:r>
      <w:r>
        <w:rPr>
          <w:color w:val="000000"/>
        </w:rPr>
        <w:t>s</w:t>
      </w:r>
      <w:r w:rsidRPr="00D6101B">
        <w:rPr>
          <w:color w:val="000000"/>
        </w:rPr>
        <w:t xml:space="preserve"> in two bathtub larnakes</w:t>
      </w:r>
      <w:r>
        <w:rPr>
          <w:color w:val="000000"/>
        </w:rPr>
        <w:t xml:space="preserve"> and</w:t>
      </w:r>
      <w:r w:rsidRPr="00D6101B">
        <w:rPr>
          <w:color w:val="000000"/>
        </w:rPr>
        <w:t xml:space="preserve"> a deposition on the floor</w:t>
      </w:r>
      <w:r>
        <w:rPr>
          <w:color w:val="000000"/>
        </w:rPr>
        <w:t>,</w:t>
      </w:r>
      <w:r w:rsidRPr="00D6101B">
        <w:rPr>
          <w:color w:val="000000"/>
        </w:rPr>
        <w:t xml:space="preserve"> a burial in </w:t>
      </w:r>
      <w:r>
        <w:rPr>
          <w:color w:val="000000"/>
        </w:rPr>
        <w:t xml:space="preserve">a </w:t>
      </w:r>
      <w:r w:rsidRPr="00D6101B">
        <w:rPr>
          <w:color w:val="000000"/>
        </w:rPr>
        <w:t xml:space="preserve">pithos was found, corresponding to the </w:t>
      </w:r>
      <w:r>
        <w:rPr>
          <w:color w:val="000000"/>
        </w:rPr>
        <w:t>final</w:t>
      </w:r>
      <w:r w:rsidRPr="00D6101B">
        <w:rPr>
          <w:color w:val="000000"/>
        </w:rPr>
        <w:t xml:space="preserve"> phase of use of the tomb (Tsipopoulou</w:t>
      </w:r>
      <w:r w:rsidR="007634AB">
        <w:rPr>
          <w:color w:val="000000"/>
        </w:rPr>
        <w:t xml:space="preserve"> and </w:t>
      </w:r>
      <w:r w:rsidRPr="00D6101B">
        <w:rPr>
          <w:color w:val="000000"/>
        </w:rPr>
        <w:t>Vagnetti 2006)</w:t>
      </w:r>
      <w:r>
        <w:rPr>
          <w:color w:val="000000"/>
        </w:rPr>
        <w:t>.</w:t>
      </w:r>
    </w:p>
    <w:p w14:paraId="0046194D" w14:textId="77777777" w:rsidR="001A4F1A" w:rsidRPr="00D6101B" w:rsidRDefault="001A4F1A" w:rsidP="00E858EF">
      <w:pPr>
        <w:pStyle w:val="Paragrafoelenco"/>
        <w:numPr>
          <w:ilvl w:val="0"/>
          <w:numId w:val="3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At Ma</w:t>
      </w:r>
      <w:r w:rsidRPr="00D6101B">
        <w:rPr>
          <w:color w:val="000000"/>
        </w:rPr>
        <w:t>lia Pierre</w:t>
      </w:r>
      <w:r>
        <w:rPr>
          <w:color w:val="000000"/>
        </w:rPr>
        <w:t>s</w:t>
      </w:r>
      <w:r w:rsidRPr="00D6101B">
        <w:rPr>
          <w:color w:val="000000"/>
        </w:rPr>
        <w:t xml:space="preserve"> Meuliere</w:t>
      </w:r>
      <w:r>
        <w:rPr>
          <w:color w:val="000000"/>
        </w:rPr>
        <w:t>s,</w:t>
      </w:r>
      <w:r w:rsidRPr="00D6101B">
        <w:rPr>
          <w:color w:val="000000"/>
        </w:rPr>
        <w:t xml:space="preserve"> where</w:t>
      </w:r>
      <w:r>
        <w:rPr>
          <w:color w:val="000000"/>
        </w:rPr>
        <w:t xml:space="preserve">, </w:t>
      </w:r>
      <w:r w:rsidRPr="00D6101B">
        <w:rPr>
          <w:color w:val="000000"/>
        </w:rPr>
        <w:t>in a pit</w:t>
      </w:r>
      <w:r>
        <w:rPr>
          <w:color w:val="000000"/>
        </w:rPr>
        <w:t>,</w:t>
      </w:r>
      <w:r w:rsidRPr="00D6101B">
        <w:rPr>
          <w:color w:val="000000"/>
        </w:rPr>
        <w:t xml:space="preserve"> two child burials </w:t>
      </w:r>
      <w:r>
        <w:rPr>
          <w:color w:val="000000"/>
        </w:rPr>
        <w:t xml:space="preserve">were found in </w:t>
      </w:r>
      <w:r w:rsidRPr="00D6101B">
        <w:rPr>
          <w:color w:val="000000"/>
        </w:rPr>
        <w:t xml:space="preserve">one interment in a </w:t>
      </w:r>
      <w:r>
        <w:rPr>
          <w:color w:val="000000"/>
        </w:rPr>
        <w:t>bath</w:t>
      </w:r>
      <w:r w:rsidRPr="00D6101B">
        <w:rPr>
          <w:color w:val="000000"/>
        </w:rPr>
        <w:t xml:space="preserve">tub larnax and one cremated within a pyxis, </w:t>
      </w:r>
      <w:r>
        <w:rPr>
          <w:color w:val="000000"/>
        </w:rPr>
        <w:t>there was also</w:t>
      </w:r>
      <w:r w:rsidRPr="00D6101B">
        <w:rPr>
          <w:color w:val="000000"/>
        </w:rPr>
        <w:t xml:space="preserve"> a pithos burial for which there </w:t>
      </w:r>
      <w:r>
        <w:rPr>
          <w:color w:val="000000"/>
        </w:rPr>
        <w:t>is</w:t>
      </w:r>
      <w:r w:rsidRPr="00D6101B">
        <w:rPr>
          <w:color w:val="000000"/>
        </w:rPr>
        <w:t xml:space="preserve"> no information (Van Effenterre 1963: 9)</w:t>
      </w:r>
      <w:r>
        <w:rPr>
          <w:color w:val="000000"/>
        </w:rPr>
        <w:t>.</w:t>
      </w:r>
      <w:r w:rsidRPr="00D6101B">
        <w:rPr>
          <w:color w:val="000000"/>
        </w:rPr>
        <w:t xml:space="preserve"> </w:t>
      </w:r>
      <w:r>
        <w:rPr>
          <w:color w:val="000000"/>
        </w:rPr>
        <w:t>A</w:t>
      </w:r>
      <w:r w:rsidRPr="00D6101B">
        <w:rPr>
          <w:color w:val="000000"/>
        </w:rPr>
        <w:t>ccording to Kanta</w:t>
      </w:r>
      <w:r>
        <w:rPr>
          <w:color w:val="000000"/>
        </w:rPr>
        <w:t xml:space="preserve"> (1980: 51),</w:t>
      </w:r>
      <w:r w:rsidRPr="00D6101B">
        <w:rPr>
          <w:color w:val="000000"/>
        </w:rPr>
        <w:t xml:space="preserve"> both the pithos and the bathtub larnax are LM IIIB, while according to Löwe</w:t>
      </w:r>
      <w:r>
        <w:rPr>
          <w:color w:val="000000"/>
        </w:rPr>
        <w:t xml:space="preserve"> (1996</w:t>
      </w:r>
      <w:r w:rsidRPr="00D6101B">
        <w:rPr>
          <w:color w:val="000000"/>
        </w:rPr>
        <w:t>: 237 n. 695</w:t>
      </w:r>
      <w:r>
        <w:rPr>
          <w:color w:val="000000"/>
        </w:rPr>
        <w:t>),</w:t>
      </w:r>
      <w:r w:rsidRPr="00D6101B">
        <w:rPr>
          <w:color w:val="000000"/>
        </w:rPr>
        <w:t xml:space="preserve"> the pithos is MM I in date.</w:t>
      </w:r>
    </w:p>
    <w:p w14:paraId="1C455094" w14:textId="77777777" w:rsidR="001A4F1A" w:rsidRPr="00D6101B" w:rsidRDefault="001A4F1A" w:rsidP="00E858EF">
      <w:pPr>
        <w:pStyle w:val="Paragrafoelenco"/>
        <w:numPr>
          <w:ilvl w:val="0"/>
          <w:numId w:val="3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In the heavily disturbed tomb at Psari Phorada</w:t>
      </w:r>
      <w:r>
        <w:rPr>
          <w:color w:val="000000"/>
        </w:rPr>
        <w:t>,</w:t>
      </w:r>
      <w:r w:rsidRPr="00D6101B">
        <w:rPr>
          <w:color w:val="000000"/>
        </w:rPr>
        <w:t xml:space="preserve"> fragments of at least two larnakes and two pithoi </w:t>
      </w:r>
      <w:r>
        <w:rPr>
          <w:color w:val="000000"/>
        </w:rPr>
        <w:t>were</w:t>
      </w:r>
      <w:r w:rsidRPr="00D6101B">
        <w:rPr>
          <w:color w:val="000000"/>
        </w:rPr>
        <w:t xml:space="preserve"> collected from the almost destroyed tomb. From the grave goods assemblage retrieved</w:t>
      </w:r>
      <w:r>
        <w:rPr>
          <w:color w:val="000000"/>
        </w:rPr>
        <w:t>,</w:t>
      </w:r>
      <w:r w:rsidRPr="00D6101B">
        <w:rPr>
          <w:color w:val="000000"/>
        </w:rPr>
        <w:t xml:space="preserve"> the tomb </w:t>
      </w:r>
      <w:r>
        <w:rPr>
          <w:color w:val="000000"/>
        </w:rPr>
        <w:t>appears to have had</w:t>
      </w:r>
      <w:r w:rsidRPr="00D6101B">
        <w:rPr>
          <w:color w:val="000000"/>
        </w:rPr>
        <w:t xml:space="preserve"> a long use (from MM II to LM IIIA2)</w:t>
      </w:r>
      <w:r>
        <w:rPr>
          <w:color w:val="000000"/>
        </w:rPr>
        <w:t>.</w:t>
      </w:r>
      <w:r w:rsidRPr="00D6101B">
        <w:rPr>
          <w:color w:val="000000"/>
        </w:rPr>
        <w:t xml:space="preserve"> </w:t>
      </w:r>
      <w:r>
        <w:rPr>
          <w:color w:val="000000"/>
        </w:rPr>
        <w:t>However,</w:t>
      </w:r>
      <w:r w:rsidRPr="00D6101B">
        <w:rPr>
          <w:color w:val="000000"/>
        </w:rPr>
        <w:t xml:space="preserve"> due to the bad preserv</w:t>
      </w:r>
      <w:r>
        <w:rPr>
          <w:color w:val="000000"/>
        </w:rPr>
        <w:t>ation</w:t>
      </w:r>
      <w:r w:rsidRPr="00D6101B">
        <w:rPr>
          <w:color w:val="000000"/>
        </w:rPr>
        <w:t xml:space="preserve"> condition</w:t>
      </w:r>
      <w:r>
        <w:rPr>
          <w:color w:val="000000"/>
        </w:rPr>
        <w:t>s</w:t>
      </w:r>
      <w:r w:rsidRPr="00D6101B">
        <w:rPr>
          <w:color w:val="000000"/>
        </w:rPr>
        <w:t xml:space="preserve"> of the tomb</w:t>
      </w:r>
      <w:r>
        <w:rPr>
          <w:color w:val="000000"/>
        </w:rPr>
        <w:t>,</w:t>
      </w:r>
      <w:r w:rsidRPr="00D6101B">
        <w:rPr>
          <w:color w:val="000000"/>
        </w:rPr>
        <w:t xml:space="preserve"> it has not been possible to retrieve any information about the burials (Banou </w:t>
      </w:r>
      <w:r>
        <w:rPr>
          <w:color w:val="000000"/>
        </w:rPr>
        <w:t xml:space="preserve">and </w:t>
      </w:r>
      <w:r w:rsidRPr="00D6101B">
        <w:rPr>
          <w:color w:val="000000"/>
        </w:rPr>
        <w:t xml:space="preserve">Rethemiotakis 1997). </w:t>
      </w:r>
    </w:p>
    <w:p w14:paraId="2A30FAAF"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340DE74A" w14:textId="64ED8DCF" w:rsidR="001A4F1A" w:rsidRPr="00D6101B" w:rsidRDefault="001A4F1A" w:rsidP="00E858EF">
      <w:pPr>
        <w:pStyle w:val="Testofumetto"/>
        <w:suppressAutoHyphens/>
      </w:pPr>
      <w:bookmarkStart w:id="739" w:name="_Toc520212595"/>
      <w:r>
        <w:t>Table 4-22</w:t>
      </w:r>
      <w:r w:rsidR="002A58FB">
        <w:t>.</w:t>
      </w:r>
      <w:r>
        <w:t xml:space="preserve"> Depositions in other types of burial receptacle associated with larnax burials</w:t>
      </w:r>
      <w:r w:rsidR="00466FB3">
        <w:t>,</w:t>
      </w:r>
      <w:r>
        <w:t xml:space="preserve"> Mid-East</w:t>
      </w:r>
      <w:bookmarkEnd w:id="739"/>
      <w:r w:rsidR="00466FB3">
        <w:t xml:space="preserve"> area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4"/>
        <w:gridCol w:w="1955"/>
      </w:tblGrid>
      <w:tr w:rsidR="001A4F1A" w:rsidRPr="00F46A41" w14:paraId="167F5BBE" w14:textId="77777777" w:rsidTr="00F46A41">
        <w:tc>
          <w:tcPr>
            <w:tcW w:w="1954" w:type="dxa"/>
          </w:tcPr>
          <w:p w14:paraId="146EC1F3"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rPr>
            </w:pPr>
          </w:p>
        </w:tc>
        <w:tc>
          <w:tcPr>
            <w:tcW w:w="1955" w:type="dxa"/>
          </w:tcPr>
          <w:p w14:paraId="7813465D"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Pithos burials</w:t>
            </w:r>
          </w:p>
        </w:tc>
      </w:tr>
      <w:tr w:rsidR="001A4F1A" w:rsidRPr="00F46A41" w14:paraId="26F3BD5A" w14:textId="77777777" w:rsidTr="00F46A41">
        <w:tc>
          <w:tcPr>
            <w:tcW w:w="1954" w:type="dxa"/>
          </w:tcPr>
          <w:p w14:paraId="2EEF488A"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rPr>
            </w:pPr>
            <w:r w:rsidRPr="00F46A41">
              <w:rPr>
                <w:color w:val="000000"/>
                <w:sz w:val="20"/>
              </w:rPr>
              <w:t>No. of interments (minimum)</w:t>
            </w:r>
          </w:p>
        </w:tc>
        <w:tc>
          <w:tcPr>
            <w:tcW w:w="1955" w:type="dxa"/>
          </w:tcPr>
          <w:p w14:paraId="2CBE98AC"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4</w:t>
            </w:r>
          </w:p>
        </w:tc>
      </w:tr>
    </w:tbl>
    <w:p w14:paraId="6FB3E861"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084C95C6" w14:textId="17F90FF1" w:rsidR="00B7579A" w:rsidRDefault="001A4F1A" w:rsidP="00E858EF">
      <w:pPr>
        <w:pStyle w:val="Testofumetto"/>
        <w:suppressAutoHyphens/>
      </w:pPr>
      <w:bookmarkStart w:id="740" w:name="_Toc520212596"/>
      <w:r>
        <w:t xml:space="preserve">Table 4-23a Interment methods and burial stage of skeletal remains in tombs with larnakes and information </w:t>
      </w:r>
      <w:r w:rsidR="00DC4D16">
        <w:t xml:space="preserve">on </w:t>
      </w:r>
      <w:r>
        <w:t>skeletal remains</w:t>
      </w:r>
      <w:r w:rsidR="00466FB3">
        <w:t>,</w:t>
      </w:r>
      <w:r>
        <w:t xml:space="preserve"> Mid-East </w:t>
      </w:r>
      <w:r w:rsidR="00466FB3">
        <w:t>area</w:t>
      </w:r>
      <w:bookmarkEnd w:id="740"/>
    </w:p>
    <w:p w14:paraId="63E6C467" w14:textId="108CE57D" w:rsidR="001A4F1A" w:rsidRPr="00B7579A" w:rsidRDefault="001A4F1A" w:rsidP="00E858EF">
      <w:pPr>
        <w:suppressAutoHyphens/>
        <w:spacing w:line="240" w:lineRule="auto"/>
      </w:pPr>
      <w:r w:rsidRPr="00B7579A">
        <w:rPr>
          <w:sz w:val="20"/>
        </w:rPr>
        <w:t>(p= primary deposition; s= secondary deposition; No info= no information about the burial stage/skeletal remains)</w:t>
      </w:r>
    </w:p>
    <w:tbl>
      <w:tblPr>
        <w:tblStyle w:val="Grigliatabella"/>
        <w:tblW w:w="8654" w:type="dxa"/>
        <w:tblInd w:w="108" w:type="dxa"/>
        <w:tblLayout w:type="fixed"/>
        <w:tblLook w:val="04A0" w:firstRow="1" w:lastRow="0" w:firstColumn="1" w:lastColumn="0" w:noHBand="0" w:noVBand="1"/>
      </w:tblPr>
      <w:tblGrid>
        <w:gridCol w:w="1384"/>
        <w:gridCol w:w="539"/>
        <w:gridCol w:w="709"/>
        <w:gridCol w:w="919"/>
        <w:gridCol w:w="1701"/>
        <w:gridCol w:w="1632"/>
        <w:gridCol w:w="1770"/>
      </w:tblGrid>
      <w:tr w:rsidR="001A4F1A" w:rsidRPr="00F46A41" w14:paraId="78C37BCC" w14:textId="77777777" w:rsidTr="00F46A41">
        <w:trPr>
          <w:trHeight w:val="831"/>
        </w:trPr>
        <w:tc>
          <w:tcPr>
            <w:tcW w:w="1384" w:type="dxa"/>
          </w:tcPr>
          <w:p w14:paraId="2709844D"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left"/>
              <w:rPr>
                <w:color w:val="000000"/>
                <w:sz w:val="20"/>
              </w:rPr>
            </w:pPr>
          </w:p>
        </w:tc>
        <w:tc>
          <w:tcPr>
            <w:tcW w:w="2167" w:type="dxa"/>
            <w:gridSpan w:val="3"/>
          </w:tcPr>
          <w:p w14:paraId="3325527E"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 xml:space="preserve">Larnax burials </w:t>
            </w:r>
          </w:p>
          <w:p w14:paraId="39DA816B"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p>
        </w:tc>
        <w:tc>
          <w:tcPr>
            <w:tcW w:w="1701" w:type="dxa"/>
          </w:tcPr>
          <w:p w14:paraId="0EA3B0F4"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Floor burials</w:t>
            </w:r>
          </w:p>
          <w:p w14:paraId="38C83444"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p>
        </w:tc>
        <w:tc>
          <w:tcPr>
            <w:tcW w:w="1632" w:type="dxa"/>
          </w:tcPr>
          <w:p w14:paraId="7389F44F"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Pithos burials</w:t>
            </w:r>
          </w:p>
          <w:p w14:paraId="0E6E7237"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p>
        </w:tc>
        <w:tc>
          <w:tcPr>
            <w:tcW w:w="1770" w:type="dxa"/>
          </w:tcPr>
          <w:p w14:paraId="3E2050AB"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rPr>
                <w:color w:val="000000"/>
                <w:sz w:val="20"/>
              </w:rPr>
            </w:pPr>
            <w:r w:rsidRPr="00F46A41">
              <w:rPr>
                <w:color w:val="000000"/>
                <w:sz w:val="20"/>
              </w:rPr>
              <w:t>Cremated bones in a pyxis</w:t>
            </w:r>
          </w:p>
        </w:tc>
      </w:tr>
      <w:tr w:rsidR="001A4F1A" w:rsidRPr="00F46A41" w14:paraId="376CABA6" w14:textId="77777777" w:rsidTr="00F46A41">
        <w:trPr>
          <w:trHeight w:val="387"/>
        </w:trPr>
        <w:tc>
          <w:tcPr>
            <w:tcW w:w="1384" w:type="dxa"/>
          </w:tcPr>
          <w:p w14:paraId="7E712C7A"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left"/>
              <w:rPr>
                <w:color w:val="000000"/>
                <w:sz w:val="20"/>
              </w:rPr>
            </w:pPr>
            <w:r w:rsidRPr="00F46A41">
              <w:rPr>
                <w:color w:val="000000"/>
                <w:sz w:val="20"/>
              </w:rPr>
              <w:t>Total No. of tombs</w:t>
            </w:r>
          </w:p>
        </w:tc>
        <w:tc>
          <w:tcPr>
            <w:tcW w:w="2167" w:type="dxa"/>
            <w:gridSpan w:val="3"/>
            <w:vAlign w:val="center"/>
          </w:tcPr>
          <w:p w14:paraId="56C44FC3"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29</w:t>
            </w:r>
          </w:p>
        </w:tc>
        <w:tc>
          <w:tcPr>
            <w:tcW w:w="1701" w:type="dxa"/>
            <w:vAlign w:val="center"/>
          </w:tcPr>
          <w:p w14:paraId="4434C707"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1</w:t>
            </w:r>
          </w:p>
        </w:tc>
        <w:tc>
          <w:tcPr>
            <w:tcW w:w="1632" w:type="dxa"/>
            <w:vAlign w:val="center"/>
          </w:tcPr>
          <w:p w14:paraId="37C4338E"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3</w:t>
            </w:r>
          </w:p>
        </w:tc>
        <w:tc>
          <w:tcPr>
            <w:tcW w:w="1770" w:type="dxa"/>
            <w:vAlign w:val="center"/>
          </w:tcPr>
          <w:p w14:paraId="7CFAAA85"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1</w:t>
            </w:r>
          </w:p>
        </w:tc>
      </w:tr>
      <w:tr w:rsidR="001A4F1A" w:rsidRPr="00F46A41" w14:paraId="5E1C010E" w14:textId="77777777" w:rsidTr="00F46A41">
        <w:trPr>
          <w:trHeight w:val="387"/>
        </w:trPr>
        <w:tc>
          <w:tcPr>
            <w:tcW w:w="1384" w:type="dxa"/>
            <w:tcBorders>
              <w:bottom w:val="thinThickSmallGap" w:sz="24" w:space="0" w:color="auto"/>
            </w:tcBorders>
          </w:tcPr>
          <w:p w14:paraId="5F01D88B"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left"/>
              <w:rPr>
                <w:color w:val="000000"/>
                <w:sz w:val="20"/>
              </w:rPr>
            </w:pPr>
            <w:r w:rsidRPr="00F46A41">
              <w:rPr>
                <w:color w:val="000000"/>
                <w:sz w:val="20"/>
              </w:rPr>
              <w:t>Burial stage</w:t>
            </w:r>
          </w:p>
        </w:tc>
        <w:tc>
          <w:tcPr>
            <w:tcW w:w="539" w:type="dxa"/>
          </w:tcPr>
          <w:p w14:paraId="64DD3325"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p</w:t>
            </w:r>
          </w:p>
        </w:tc>
        <w:tc>
          <w:tcPr>
            <w:tcW w:w="709" w:type="dxa"/>
          </w:tcPr>
          <w:p w14:paraId="15000CCD"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s</w:t>
            </w:r>
          </w:p>
        </w:tc>
        <w:tc>
          <w:tcPr>
            <w:tcW w:w="919" w:type="dxa"/>
          </w:tcPr>
          <w:p w14:paraId="3DF7DFB3"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No info</w:t>
            </w:r>
          </w:p>
        </w:tc>
        <w:tc>
          <w:tcPr>
            <w:tcW w:w="1701" w:type="dxa"/>
          </w:tcPr>
          <w:p w14:paraId="694DBDF3"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No info</w:t>
            </w:r>
          </w:p>
        </w:tc>
        <w:tc>
          <w:tcPr>
            <w:tcW w:w="1632" w:type="dxa"/>
          </w:tcPr>
          <w:p w14:paraId="667D1101"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No info</w:t>
            </w:r>
          </w:p>
        </w:tc>
        <w:tc>
          <w:tcPr>
            <w:tcW w:w="1770" w:type="dxa"/>
          </w:tcPr>
          <w:p w14:paraId="67024B9F"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rPr>
                <w:color w:val="000000"/>
                <w:sz w:val="20"/>
              </w:rPr>
            </w:pPr>
            <w:r w:rsidRPr="00F46A41">
              <w:rPr>
                <w:color w:val="000000"/>
                <w:sz w:val="20"/>
              </w:rPr>
              <w:t>No info</w:t>
            </w:r>
          </w:p>
        </w:tc>
      </w:tr>
      <w:tr w:rsidR="001A4F1A" w:rsidRPr="00F46A41" w14:paraId="2747CD23" w14:textId="77777777" w:rsidTr="00F46A41">
        <w:tc>
          <w:tcPr>
            <w:tcW w:w="1384" w:type="dxa"/>
            <w:tcBorders>
              <w:top w:val="thinThickSmallGap" w:sz="24" w:space="0" w:color="auto"/>
            </w:tcBorders>
          </w:tcPr>
          <w:p w14:paraId="73615E4F"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left"/>
              <w:rPr>
                <w:color w:val="000000"/>
                <w:sz w:val="20"/>
              </w:rPr>
            </w:pPr>
            <w:r w:rsidRPr="00F46A41">
              <w:rPr>
                <w:color w:val="000000"/>
                <w:sz w:val="20"/>
              </w:rPr>
              <w:t>MNEB</w:t>
            </w:r>
          </w:p>
        </w:tc>
        <w:tc>
          <w:tcPr>
            <w:tcW w:w="539" w:type="dxa"/>
            <w:tcBorders>
              <w:top w:val="thinThickSmallGap" w:sz="24" w:space="0" w:color="auto"/>
            </w:tcBorders>
          </w:tcPr>
          <w:p w14:paraId="796BEFF0"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28</w:t>
            </w:r>
          </w:p>
        </w:tc>
        <w:tc>
          <w:tcPr>
            <w:tcW w:w="709" w:type="dxa"/>
            <w:tcBorders>
              <w:top w:val="thinThickSmallGap" w:sz="24" w:space="0" w:color="auto"/>
            </w:tcBorders>
          </w:tcPr>
          <w:p w14:paraId="3CE0B21D"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1</w:t>
            </w:r>
          </w:p>
        </w:tc>
        <w:tc>
          <w:tcPr>
            <w:tcW w:w="919" w:type="dxa"/>
            <w:tcBorders>
              <w:top w:val="thinThickSmallGap" w:sz="24" w:space="0" w:color="auto"/>
              <w:bottom w:val="thinThickSmallGap" w:sz="24" w:space="0" w:color="auto"/>
            </w:tcBorders>
          </w:tcPr>
          <w:p w14:paraId="131DD9FB"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rPr>
                <w:color w:val="000000"/>
                <w:sz w:val="20"/>
              </w:rPr>
            </w:pPr>
            <w:r w:rsidRPr="00F46A41">
              <w:rPr>
                <w:color w:val="000000"/>
                <w:sz w:val="20"/>
              </w:rPr>
              <w:t>16</w:t>
            </w:r>
          </w:p>
        </w:tc>
        <w:tc>
          <w:tcPr>
            <w:tcW w:w="1701" w:type="dxa"/>
            <w:tcBorders>
              <w:top w:val="thinThickSmallGap" w:sz="24" w:space="0" w:color="auto"/>
            </w:tcBorders>
          </w:tcPr>
          <w:p w14:paraId="7B4024AF"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1</w:t>
            </w:r>
          </w:p>
        </w:tc>
        <w:tc>
          <w:tcPr>
            <w:tcW w:w="1632" w:type="dxa"/>
            <w:tcBorders>
              <w:top w:val="thinThickSmallGap" w:sz="24" w:space="0" w:color="auto"/>
            </w:tcBorders>
          </w:tcPr>
          <w:p w14:paraId="66CC37BF"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4</w:t>
            </w:r>
          </w:p>
        </w:tc>
        <w:tc>
          <w:tcPr>
            <w:tcW w:w="1770" w:type="dxa"/>
            <w:tcBorders>
              <w:top w:val="thinThickSmallGap" w:sz="24" w:space="0" w:color="auto"/>
            </w:tcBorders>
          </w:tcPr>
          <w:p w14:paraId="43838310"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1</w:t>
            </w:r>
          </w:p>
        </w:tc>
      </w:tr>
      <w:tr w:rsidR="001A4F1A" w:rsidRPr="00F46A41" w14:paraId="57FCC4D4" w14:textId="77777777" w:rsidTr="00F46A41">
        <w:trPr>
          <w:trHeight w:val="1474"/>
        </w:trPr>
        <w:tc>
          <w:tcPr>
            <w:tcW w:w="1384" w:type="dxa"/>
            <w:tcBorders>
              <w:top w:val="thinThickSmallGap" w:sz="24" w:space="0" w:color="auto"/>
              <w:bottom w:val="single" w:sz="4" w:space="0" w:color="auto"/>
            </w:tcBorders>
          </w:tcPr>
          <w:p w14:paraId="089586C5" w14:textId="26ABA08C"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left"/>
              <w:rPr>
                <w:color w:val="000000"/>
                <w:sz w:val="20"/>
              </w:rPr>
            </w:pPr>
            <w:r w:rsidRPr="00F46A41">
              <w:rPr>
                <w:color w:val="000000"/>
                <w:sz w:val="20"/>
              </w:rPr>
              <w:t>Total No. of individual</w:t>
            </w:r>
            <w:r w:rsidR="00B7579A" w:rsidRPr="00F46A41">
              <w:rPr>
                <w:color w:val="000000"/>
                <w:sz w:val="20"/>
              </w:rPr>
              <w:t>s</w:t>
            </w:r>
            <w:r w:rsidRPr="00F46A41">
              <w:rPr>
                <w:color w:val="000000"/>
                <w:sz w:val="20"/>
              </w:rPr>
              <w:t xml:space="preserve"> per interment type</w:t>
            </w:r>
          </w:p>
        </w:tc>
        <w:tc>
          <w:tcPr>
            <w:tcW w:w="2167" w:type="dxa"/>
            <w:gridSpan w:val="3"/>
            <w:tcBorders>
              <w:top w:val="thinThickSmallGap" w:sz="24" w:space="0" w:color="auto"/>
              <w:bottom w:val="single" w:sz="4" w:space="0" w:color="auto"/>
            </w:tcBorders>
            <w:vAlign w:val="center"/>
          </w:tcPr>
          <w:p w14:paraId="6B5FD8E1"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45</w:t>
            </w:r>
          </w:p>
        </w:tc>
        <w:tc>
          <w:tcPr>
            <w:tcW w:w="1701" w:type="dxa"/>
            <w:tcBorders>
              <w:top w:val="thinThickSmallGap" w:sz="24" w:space="0" w:color="auto"/>
              <w:bottom w:val="single" w:sz="4" w:space="0" w:color="auto"/>
            </w:tcBorders>
            <w:vAlign w:val="center"/>
          </w:tcPr>
          <w:p w14:paraId="57101B1C"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1</w:t>
            </w:r>
          </w:p>
        </w:tc>
        <w:tc>
          <w:tcPr>
            <w:tcW w:w="1632" w:type="dxa"/>
            <w:tcBorders>
              <w:top w:val="thinThickSmallGap" w:sz="24" w:space="0" w:color="auto"/>
              <w:bottom w:val="single" w:sz="4" w:space="0" w:color="auto"/>
            </w:tcBorders>
            <w:vAlign w:val="center"/>
          </w:tcPr>
          <w:p w14:paraId="1FECE641"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4</w:t>
            </w:r>
          </w:p>
        </w:tc>
        <w:tc>
          <w:tcPr>
            <w:tcW w:w="1770" w:type="dxa"/>
            <w:tcBorders>
              <w:top w:val="thinThickSmallGap" w:sz="24" w:space="0" w:color="auto"/>
              <w:bottom w:val="single" w:sz="4" w:space="0" w:color="auto"/>
            </w:tcBorders>
            <w:vAlign w:val="center"/>
          </w:tcPr>
          <w:p w14:paraId="5E4A005C"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color w:val="000000"/>
                <w:sz w:val="20"/>
              </w:rPr>
            </w:pPr>
            <w:r w:rsidRPr="00F46A41">
              <w:rPr>
                <w:color w:val="000000"/>
                <w:sz w:val="20"/>
              </w:rPr>
              <w:t>1</w:t>
            </w:r>
          </w:p>
        </w:tc>
      </w:tr>
      <w:tr w:rsidR="001A4F1A" w:rsidRPr="00F46A41" w14:paraId="2244AEFD" w14:textId="77777777" w:rsidTr="00F46A41">
        <w:trPr>
          <w:trHeight w:val="577"/>
        </w:trPr>
        <w:tc>
          <w:tcPr>
            <w:tcW w:w="1384" w:type="dxa"/>
            <w:tcBorders>
              <w:top w:val="single" w:sz="4" w:space="0" w:color="auto"/>
            </w:tcBorders>
          </w:tcPr>
          <w:p w14:paraId="1717D914"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rPr>
                <w:color w:val="000000"/>
                <w:sz w:val="20"/>
              </w:rPr>
            </w:pPr>
          </w:p>
        </w:tc>
        <w:tc>
          <w:tcPr>
            <w:tcW w:w="2167" w:type="dxa"/>
            <w:gridSpan w:val="3"/>
            <w:tcBorders>
              <w:top w:val="single" w:sz="4" w:space="0" w:color="auto"/>
            </w:tcBorders>
          </w:tcPr>
          <w:p w14:paraId="08EF8280"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b/>
                <w:color w:val="000000"/>
                <w:sz w:val="20"/>
              </w:rPr>
            </w:pPr>
            <w:r w:rsidRPr="00F46A41">
              <w:rPr>
                <w:b/>
                <w:color w:val="000000"/>
                <w:sz w:val="20"/>
              </w:rPr>
              <w:t>88%</w:t>
            </w:r>
          </w:p>
        </w:tc>
        <w:tc>
          <w:tcPr>
            <w:tcW w:w="1701" w:type="dxa"/>
            <w:tcBorders>
              <w:top w:val="single" w:sz="4" w:space="0" w:color="auto"/>
            </w:tcBorders>
          </w:tcPr>
          <w:p w14:paraId="676E1EBF"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b/>
                <w:color w:val="000000"/>
                <w:sz w:val="20"/>
              </w:rPr>
            </w:pPr>
            <w:r w:rsidRPr="00F46A41">
              <w:rPr>
                <w:b/>
                <w:color w:val="000000"/>
                <w:sz w:val="20"/>
              </w:rPr>
              <w:t>2%</w:t>
            </w:r>
          </w:p>
        </w:tc>
        <w:tc>
          <w:tcPr>
            <w:tcW w:w="1632" w:type="dxa"/>
            <w:tcBorders>
              <w:top w:val="single" w:sz="4" w:space="0" w:color="auto"/>
            </w:tcBorders>
          </w:tcPr>
          <w:p w14:paraId="069E72B6"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b/>
                <w:color w:val="000000"/>
                <w:sz w:val="20"/>
              </w:rPr>
            </w:pPr>
            <w:r w:rsidRPr="00F46A41">
              <w:rPr>
                <w:b/>
                <w:color w:val="000000"/>
                <w:sz w:val="20"/>
              </w:rPr>
              <w:t>8%</w:t>
            </w:r>
          </w:p>
        </w:tc>
        <w:tc>
          <w:tcPr>
            <w:tcW w:w="1770" w:type="dxa"/>
            <w:tcBorders>
              <w:top w:val="single" w:sz="4" w:space="0" w:color="auto"/>
            </w:tcBorders>
          </w:tcPr>
          <w:p w14:paraId="07A3641F" w14:textId="77777777" w:rsidR="001A4F1A" w:rsidRPr="00F46A41" w:rsidRDefault="001A4F1A" w:rsidP="00F46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line="276" w:lineRule="auto"/>
              <w:jc w:val="center"/>
              <w:rPr>
                <w:b/>
                <w:color w:val="000000"/>
                <w:sz w:val="20"/>
              </w:rPr>
            </w:pPr>
            <w:r w:rsidRPr="00F46A41">
              <w:rPr>
                <w:b/>
                <w:color w:val="000000"/>
                <w:sz w:val="20"/>
              </w:rPr>
              <w:t>2%</w:t>
            </w:r>
          </w:p>
        </w:tc>
      </w:tr>
    </w:tbl>
    <w:p w14:paraId="3FF9DC74" w14:textId="77777777" w:rsidR="001A4F1A" w:rsidRDefault="001A4F1A" w:rsidP="00E858EF">
      <w:pPr>
        <w:suppressAutoHyphens/>
        <w:autoSpaceDE w:val="0"/>
        <w:autoSpaceDN w:val="0"/>
        <w:adjustRightInd w:val="0"/>
        <w:rPr>
          <w:color w:val="000000"/>
        </w:rPr>
      </w:pPr>
    </w:p>
    <w:p w14:paraId="63F4F2C2" w14:textId="77777777" w:rsidR="00F46A41" w:rsidRDefault="00F46A41">
      <w:pPr>
        <w:widowControl/>
        <w:spacing w:line="240" w:lineRule="auto"/>
        <w:contextualSpacing w:val="0"/>
        <w:jc w:val="left"/>
        <w:rPr>
          <w:rFonts w:cs="Lucida Grande"/>
          <w:b/>
          <w:sz w:val="20"/>
          <w:szCs w:val="18"/>
        </w:rPr>
      </w:pPr>
      <w:r>
        <w:br w:type="page"/>
      </w:r>
    </w:p>
    <w:p w14:paraId="6BA54166" w14:textId="1E3BD48C" w:rsidR="00B7579A" w:rsidRDefault="001A4F1A" w:rsidP="00E858EF">
      <w:pPr>
        <w:pStyle w:val="Testofumetto"/>
        <w:suppressAutoHyphens/>
      </w:pPr>
      <w:bookmarkStart w:id="741" w:name="_Toc520212597"/>
      <w:r>
        <w:t xml:space="preserve">Table 4-23b Interment methods and burial stage of skeletal remains in tombs with larnakes and information </w:t>
      </w:r>
      <w:r w:rsidR="00DC4D16">
        <w:t xml:space="preserve">on </w:t>
      </w:r>
      <w:r>
        <w:t>skeletal remains</w:t>
      </w:r>
      <w:r w:rsidR="00466FB3">
        <w:t>,</w:t>
      </w:r>
      <w:r>
        <w:t xml:space="preserve"> Mid-East </w:t>
      </w:r>
      <w:r w:rsidR="00DC4D16">
        <w:t>area</w:t>
      </w:r>
      <w:r>
        <w:t>: burial stage related to number of tombs</w:t>
      </w:r>
      <w:bookmarkEnd w:id="741"/>
      <w:r>
        <w:t xml:space="preserve"> </w:t>
      </w:r>
    </w:p>
    <w:p w14:paraId="4730A960" w14:textId="213AE664" w:rsidR="001A4F1A" w:rsidRPr="00B7579A" w:rsidRDefault="001A4F1A" w:rsidP="00E858EF">
      <w:pPr>
        <w:suppressAutoHyphens/>
        <w:spacing w:line="240" w:lineRule="auto"/>
      </w:pPr>
      <w:r w:rsidRPr="00B7579A">
        <w:rPr>
          <w:sz w:val="20"/>
        </w:rPr>
        <w:t>(p= primary deposition; s= secondary deposition; No info= no information about the burial stage/skeletal remains)</w:t>
      </w:r>
    </w:p>
    <w:tbl>
      <w:tblPr>
        <w:tblStyle w:val="Grigliatabella"/>
        <w:tblW w:w="8613" w:type="dxa"/>
        <w:tblLayout w:type="fixed"/>
        <w:tblLook w:val="04A0" w:firstRow="1" w:lastRow="0" w:firstColumn="1" w:lastColumn="0" w:noHBand="0" w:noVBand="1"/>
      </w:tblPr>
      <w:tblGrid>
        <w:gridCol w:w="1384"/>
        <w:gridCol w:w="466"/>
        <w:gridCol w:w="709"/>
        <w:gridCol w:w="951"/>
        <w:gridCol w:w="1701"/>
        <w:gridCol w:w="1632"/>
        <w:gridCol w:w="1770"/>
      </w:tblGrid>
      <w:tr w:rsidR="001A4F1A" w:rsidRPr="00F46A41" w14:paraId="2E5A04A5" w14:textId="77777777" w:rsidTr="00B7579A">
        <w:trPr>
          <w:trHeight w:val="831"/>
        </w:trPr>
        <w:tc>
          <w:tcPr>
            <w:tcW w:w="1384" w:type="dxa"/>
          </w:tcPr>
          <w:p w14:paraId="30DE9D38"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p>
        </w:tc>
        <w:tc>
          <w:tcPr>
            <w:tcW w:w="2126" w:type="dxa"/>
            <w:gridSpan w:val="3"/>
          </w:tcPr>
          <w:p w14:paraId="674242E9"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 xml:space="preserve">Larnax burials </w:t>
            </w:r>
          </w:p>
          <w:p w14:paraId="740DCF1D"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p>
        </w:tc>
        <w:tc>
          <w:tcPr>
            <w:tcW w:w="1701" w:type="dxa"/>
          </w:tcPr>
          <w:p w14:paraId="50CF9002"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Floor burials</w:t>
            </w:r>
          </w:p>
          <w:p w14:paraId="45D47BF6"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p>
        </w:tc>
        <w:tc>
          <w:tcPr>
            <w:tcW w:w="1632" w:type="dxa"/>
          </w:tcPr>
          <w:p w14:paraId="03A4610A"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Pithos burials</w:t>
            </w:r>
          </w:p>
          <w:p w14:paraId="542B79D9"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p>
        </w:tc>
        <w:tc>
          <w:tcPr>
            <w:tcW w:w="1770" w:type="dxa"/>
          </w:tcPr>
          <w:p w14:paraId="22EE6309"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F46A41">
              <w:rPr>
                <w:color w:val="000000"/>
                <w:sz w:val="20"/>
              </w:rPr>
              <w:t>Cremated bones in a pyxis</w:t>
            </w:r>
          </w:p>
        </w:tc>
      </w:tr>
      <w:tr w:rsidR="001A4F1A" w:rsidRPr="00F46A41" w14:paraId="1A920D1F" w14:textId="77777777" w:rsidTr="00B7579A">
        <w:trPr>
          <w:trHeight w:val="387"/>
        </w:trPr>
        <w:tc>
          <w:tcPr>
            <w:tcW w:w="1384" w:type="dxa"/>
            <w:tcBorders>
              <w:bottom w:val="thinThickSmallGap" w:sz="24" w:space="0" w:color="auto"/>
            </w:tcBorders>
          </w:tcPr>
          <w:p w14:paraId="4E710682"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rPr>
            </w:pPr>
            <w:r w:rsidRPr="00F46A41">
              <w:rPr>
                <w:color w:val="000000"/>
                <w:sz w:val="20"/>
              </w:rPr>
              <w:t>Burial stage</w:t>
            </w:r>
          </w:p>
        </w:tc>
        <w:tc>
          <w:tcPr>
            <w:tcW w:w="466" w:type="dxa"/>
          </w:tcPr>
          <w:p w14:paraId="61137786"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p</w:t>
            </w:r>
          </w:p>
        </w:tc>
        <w:tc>
          <w:tcPr>
            <w:tcW w:w="709" w:type="dxa"/>
          </w:tcPr>
          <w:p w14:paraId="42DD48C4"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s</w:t>
            </w:r>
          </w:p>
        </w:tc>
        <w:tc>
          <w:tcPr>
            <w:tcW w:w="951" w:type="dxa"/>
          </w:tcPr>
          <w:p w14:paraId="3E3D4F0F"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No info</w:t>
            </w:r>
          </w:p>
        </w:tc>
        <w:tc>
          <w:tcPr>
            <w:tcW w:w="1701" w:type="dxa"/>
          </w:tcPr>
          <w:p w14:paraId="510ED3B5"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No info</w:t>
            </w:r>
          </w:p>
        </w:tc>
        <w:tc>
          <w:tcPr>
            <w:tcW w:w="1632" w:type="dxa"/>
          </w:tcPr>
          <w:p w14:paraId="40DC97C0"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No info</w:t>
            </w:r>
          </w:p>
        </w:tc>
        <w:tc>
          <w:tcPr>
            <w:tcW w:w="1770" w:type="dxa"/>
          </w:tcPr>
          <w:p w14:paraId="69B68826"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F46A41">
              <w:rPr>
                <w:color w:val="000000"/>
                <w:sz w:val="20"/>
              </w:rPr>
              <w:t>No info</w:t>
            </w:r>
          </w:p>
        </w:tc>
      </w:tr>
      <w:tr w:rsidR="001A4F1A" w:rsidRPr="00F46A41" w14:paraId="1C8CAD5D" w14:textId="77777777" w:rsidTr="00B7579A">
        <w:tc>
          <w:tcPr>
            <w:tcW w:w="1384" w:type="dxa"/>
            <w:tcBorders>
              <w:top w:val="thinThickSmallGap" w:sz="24" w:space="0" w:color="auto"/>
            </w:tcBorders>
          </w:tcPr>
          <w:p w14:paraId="700E26A4"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rPr>
            </w:pPr>
            <w:r w:rsidRPr="00F46A41">
              <w:rPr>
                <w:color w:val="000000"/>
                <w:sz w:val="20"/>
              </w:rPr>
              <w:t>MNEB</w:t>
            </w:r>
          </w:p>
        </w:tc>
        <w:tc>
          <w:tcPr>
            <w:tcW w:w="466" w:type="dxa"/>
            <w:tcBorders>
              <w:top w:val="thinThickSmallGap" w:sz="24" w:space="0" w:color="auto"/>
            </w:tcBorders>
          </w:tcPr>
          <w:p w14:paraId="69ED4D3F"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28</w:t>
            </w:r>
          </w:p>
        </w:tc>
        <w:tc>
          <w:tcPr>
            <w:tcW w:w="709" w:type="dxa"/>
            <w:tcBorders>
              <w:top w:val="thinThickSmallGap" w:sz="24" w:space="0" w:color="auto"/>
            </w:tcBorders>
          </w:tcPr>
          <w:p w14:paraId="4FB96AD6"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1</w:t>
            </w:r>
          </w:p>
        </w:tc>
        <w:tc>
          <w:tcPr>
            <w:tcW w:w="951" w:type="dxa"/>
            <w:tcBorders>
              <w:top w:val="thinThickSmallGap" w:sz="24" w:space="0" w:color="auto"/>
              <w:bottom w:val="thinThickSmallGap" w:sz="24" w:space="0" w:color="auto"/>
            </w:tcBorders>
          </w:tcPr>
          <w:p w14:paraId="174484BD"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16</w:t>
            </w:r>
          </w:p>
        </w:tc>
        <w:tc>
          <w:tcPr>
            <w:tcW w:w="1701" w:type="dxa"/>
            <w:tcBorders>
              <w:top w:val="thinThickSmallGap" w:sz="24" w:space="0" w:color="auto"/>
            </w:tcBorders>
          </w:tcPr>
          <w:p w14:paraId="3AA4F6D7"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1</w:t>
            </w:r>
          </w:p>
        </w:tc>
        <w:tc>
          <w:tcPr>
            <w:tcW w:w="1632" w:type="dxa"/>
            <w:tcBorders>
              <w:top w:val="thinThickSmallGap" w:sz="24" w:space="0" w:color="auto"/>
            </w:tcBorders>
          </w:tcPr>
          <w:p w14:paraId="659E6813"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4</w:t>
            </w:r>
          </w:p>
        </w:tc>
        <w:tc>
          <w:tcPr>
            <w:tcW w:w="1770" w:type="dxa"/>
            <w:tcBorders>
              <w:top w:val="thinThickSmallGap" w:sz="24" w:space="0" w:color="auto"/>
            </w:tcBorders>
          </w:tcPr>
          <w:p w14:paraId="090B962B"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1</w:t>
            </w:r>
          </w:p>
        </w:tc>
      </w:tr>
      <w:tr w:rsidR="001A4F1A" w:rsidRPr="00F46A41" w14:paraId="50826973" w14:textId="77777777" w:rsidTr="00B7579A">
        <w:trPr>
          <w:trHeight w:val="1522"/>
        </w:trPr>
        <w:tc>
          <w:tcPr>
            <w:tcW w:w="1384" w:type="dxa"/>
            <w:tcBorders>
              <w:top w:val="thinThickSmallGap" w:sz="24" w:space="0" w:color="auto"/>
              <w:bottom w:val="single" w:sz="4" w:space="0" w:color="auto"/>
            </w:tcBorders>
          </w:tcPr>
          <w:p w14:paraId="5BE39609"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rPr>
            </w:pPr>
            <w:r w:rsidRPr="00F46A41">
              <w:rPr>
                <w:color w:val="000000"/>
                <w:sz w:val="20"/>
              </w:rPr>
              <w:t>No. of tombs in which they occur</w:t>
            </w:r>
          </w:p>
        </w:tc>
        <w:tc>
          <w:tcPr>
            <w:tcW w:w="466" w:type="dxa"/>
            <w:tcBorders>
              <w:top w:val="thinThickSmallGap" w:sz="24" w:space="0" w:color="auto"/>
              <w:bottom w:val="single" w:sz="4" w:space="0" w:color="auto"/>
            </w:tcBorders>
            <w:vAlign w:val="center"/>
          </w:tcPr>
          <w:p w14:paraId="44FFBB86"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23</w:t>
            </w:r>
          </w:p>
        </w:tc>
        <w:tc>
          <w:tcPr>
            <w:tcW w:w="709" w:type="dxa"/>
            <w:tcBorders>
              <w:top w:val="thinThickSmallGap" w:sz="24" w:space="0" w:color="auto"/>
              <w:bottom w:val="single" w:sz="4" w:space="0" w:color="auto"/>
            </w:tcBorders>
            <w:vAlign w:val="center"/>
          </w:tcPr>
          <w:p w14:paraId="21C9DEDF"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1</w:t>
            </w:r>
          </w:p>
        </w:tc>
        <w:tc>
          <w:tcPr>
            <w:tcW w:w="951" w:type="dxa"/>
            <w:tcBorders>
              <w:top w:val="thinThickSmallGap" w:sz="24" w:space="0" w:color="auto"/>
              <w:bottom w:val="single" w:sz="4" w:space="0" w:color="auto"/>
            </w:tcBorders>
            <w:vAlign w:val="center"/>
          </w:tcPr>
          <w:p w14:paraId="5877C6A9"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7</w:t>
            </w:r>
          </w:p>
        </w:tc>
        <w:tc>
          <w:tcPr>
            <w:tcW w:w="1701" w:type="dxa"/>
            <w:tcBorders>
              <w:top w:val="thinThickSmallGap" w:sz="24" w:space="0" w:color="auto"/>
              <w:bottom w:val="single" w:sz="4" w:space="0" w:color="auto"/>
            </w:tcBorders>
            <w:vAlign w:val="center"/>
          </w:tcPr>
          <w:p w14:paraId="060D1D56"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1</w:t>
            </w:r>
          </w:p>
        </w:tc>
        <w:tc>
          <w:tcPr>
            <w:tcW w:w="1632" w:type="dxa"/>
            <w:tcBorders>
              <w:top w:val="thinThickSmallGap" w:sz="24" w:space="0" w:color="auto"/>
              <w:bottom w:val="single" w:sz="4" w:space="0" w:color="auto"/>
            </w:tcBorders>
            <w:vAlign w:val="center"/>
          </w:tcPr>
          <w:p w14:paraId="402B1AD9"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3</w:t>
            </w:r>
          </w:p>
        </w:tc>
        <w:tc>
          <w:tcPr>
            <w:tcW w:w="1770" w:type="dxa"/>
            <w:tcBorders>
              <w:top w:val="thinThickSmallGap" w:sz="24" w:space="0" w:color="auto"/>
              <w:bottom w:val="single" w:sz="4" w:space="0" w:color="auto"/>
            </w:tcBorders>
            <w:vAlign w:val="center"/>
          </w:tcPr>
          <w:p w14:paraId="50B1CFEC" w14:textId="77777777" w:rsidR="001A4F1A" w:rsidRPr="00F46A41"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46A41">
              <w:rPr>
                <w:color w:val="000000"/>
                <w:sz w:val="20"/>
              </w:rPr>
              <w:t>1</w:t>
            </w:r>
          </w:p>
        </w:tc>
      </w:tr>
    </w:tbl>
    <w:p w14:paraId="36143D04" w14:textId="77777777" w:rsidR="001A4F1A" w:rsidRDefault="001A4F1A" w:rsidP="00E858EF">
      <w:pPr>
        <w:suppressAutoHyphens/>
        <w:autoSpaceDE w:val="0"/>
        <w:autoSpaceDN w:val="0"/>
        <w:adjustRightInd w:val="0"/>
        <w:rPr>
          <w:color w:val="000000"/>
        </w:rPr>
      </w:pPr>
    </w:p>
    <w:p w14:paraId="41758CEF" w14:textId="77777777" w:rsidR="001A4F1A" w:rsidRPr="00D6101B" w:rsidRDefault="001A4F1A" w:rsidP="00E858EF">
      <w:pPr>
        <w:suppressAutoHyphens/>
        <w:autoSpaceDE w:val="0"/>
        <w:autoSpaceDN w:val="0"/>
        <w:adjustRightInd w:val="0"/>
        <w:rPr>
          <w:color w:val="000000"/>
        </w:rPr>
      </w:pPr>
    </w:p>
    <w:p w14:paraId="55AC756E" w14:textId="77777777" w:rsidR="001A4F1A" w:rsidRPr="00D6101B" w:rsidRDefault="001A4F1A" w:rsidP="00E858EF">
      <w:pPr>
        <w:suppressAutoHyphens/>
        <w:autoSpaceDE w:val="0"/>
        <w:autoSpaceDN w:val="0"/>
        <w:adjustRightInd w:val="0"/>
        <w:rPr>
          <w:color w:val="000000"/>
        </w:rPr>
      </w:pPr>
      <w:r>
        <w:rPr>
          <w:noProof/>
          <w:lang w:val="it-IT"/>
        </w:rPr>
        <w:drawing>
          <wp:inline distT="0" distB="0" distL="0" distR="0" wp14:anchorId="3A747906" wp14:editId="7DB2CE54">
            <wp:extent cx="4680000" cy="2520000"/>
            <wp:effectExtent l="0" t="0" r="19050" b="20320"/>
            <wp:docPr id="82" name="Gra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r w:rsidRPr="004F5582" w:rsidDel="00CF40C6">
        <w:rPr>
          <w:noProof/>
        </w:rPr>
        <w:t xml:space="preserve"> </w:t>
      </w:r>
    </w:p>
    <w:p w14:paraId="5421D72C" w14:textId="1B661361" w:rsidR="001A4F1A" w:rsidRPr="00D6101B" w:rsidRDefault="001A4F1A" w:rsidP="00E858EF">
      <w:pPr>
        <w:pStyle w:val="Didascalia"/>
        <w:suppressAutoHyphens/>
      </w:pPr>
      <w:bookmarkStart w:id="742" w:name="_Toc520212358"/>
      <w:r>
        <w:t>Figure 4-21</w:t>
      </w:r>
      <w:r w:rsidR="00A907DC">
        <w:t>.</w:t>
      </w:r>
      <w:r>
        <w:t xml:space="preserve"> Deposition methods </w:t>
      </w:r>
      <w:r w:rsidRPr="008772F1">
        <w:t>associated in t</w:t>
      </w:r>
      <w:r>
        <w:t>omb with larnakes</w:t>
      </w:r>
      <w:r w:rsidR="00DC4D16">
        <w:t>,</w:t>
      </w:r>
      <w:r>
        <w:t xml:space="preserve"> Mid-East</w:t>
      </w:r>
      <w:r w:rsidRPr="008772F1">
        <w:t xml:space="preserve"> </w:t>
      </w:r>
      <w:bookmarkEnd w:id="742"/>
      <w:r w:rsidR="00DC4D16">
        <w:t>area</w:t>
      </w:r>
    </w:p>
    <w:p w14:paraId="3148A780" w14:textId="77777777" w:rsidR="001A4F1A" w:rsidRPr="00D6101B" w:rsidRDefault="001A4F1A" w:rsidP="00E858EF">
      <w:pPr>
        <w:suppressAutoHyphens/>
        <w:autoSpaceDE w:val="0"/>
        <w:autoSpaceDN w:val="0"/>
        <w:adjustRightInd w:val="0"/>
        <w:rPr>
          <w:b/>
          <w:color w:val="000000"/>
        </w:rPr>
      </w:pPr>
    </w:p>
    <w:p w14:paraId="4B4E9E49"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The other type of interment method associated in the same tomb with larnakes is a deposition on the floor, attested along with the pithos and bathtub larna</w:t>
      </w:r>
      <w:r>
        <w:rPr>
          <w:color w:val="000000"/>
        </w:rPr>
        <w:t>x</w:t>
      </w:r>
      <w:r w:rsidRPr="00D6101B">
        <w:rPr>
          <w:color w:val="000000"/>
        </w:rPr>
        <w:t xml:space="preserve"> burials at Kritsa Lakkoi.</w:t>
      </w:r>
      <w:r>
        <w:rPr>
          <w:color w:val="000000"/>
        </w:rPr>
        <w:t xml:space="preserve"> </w:t>
      </w:r>
      <w:r w:rsidRPr="00D6101B">
        <w:rPr>
          <w:color w:val="000000"/>
        </w:rPr>
        <w:t>In another case</w:t>
      </w:r>
      <w:r>
        <w:rPr>
          <w:color w:val="000000"/>
        </w:rPr>
        <w:t>,</w:t>
      </w:r>
      <w:r w:rsidRPr="00D6101B">
        <w:rPr>
          <w:color w:val="000000"/>
        </w:rPr>
        <w:t xml:space="preserve"> a cremated burial of a child in a vase </w:t>
      </w:r>
      <w:r>
        <w:rPr>
          <w:color w:val="000000"/>
        </w:rPr>
        <w:t>is</w:t>
      </w:r>
      <w:r w:rsidRPr="00D6101B">
        <w:rPr>
          <w:color w:val="000000"/>
        </w:rPr>
        <w:t xml:space="preserve"> a</w:t>
      </w:r>
      <w:r>
        <w:rPr>
          <w:color w:val="000000"/>
        </w:rPr>
        <w:t>ssociated in the same tomb (Mal</w:t>
      </w:r>
      <w:r w:rsidRPr="00D6101B">
        <w:rPr>
          <w:color w:val="000000"/>
        </w:rPr>
        <w:t>ia Pierre</w:t>
      </w:r>
      <w:r>
        <w:rPr>
          <w:color w:val="000000"/>
        </w:rPr>
        <w:t>s</w:t>
      </w:r>
      <w:r w:rsidRPr="00D6101B">
        <w:rPr>
          <w:color w:val="000000"/>
        </w:rPr>
        <w:t xml:space="preserve"> Meuliere</w:t>
      </w:r>
      <w:r>
        <w:rPr>
          <w:color w:val="000000"/>
        </w:rPr>
        <w:t>s</w:t>
      </w:r>
      <w:r w:rsidRPr="00D6101B">
        <w:rPr>
          <w:color w:val="000000"/>
        </w:rPr>
        <w:t xml:space="preserve">) </w:t>
      </w:r>
      <w:r>
        <w:rPr>
          <w:color w:val="000000"/>
        </w:rPr>
        <w:t>with</w:t>
      </w:r>
      <w:r w:rsidRPr="00D6101B">
        <w:rPr>
          <w:color w:val="000000"/>
        </w:rPr>
        <w:t xml:space="preserve"> a child burial in a bathtub larnax</w:t>
      </w:r>
      <w:r>
        <w:rPr>
          <w:color w:val="000000"/>
        </w:rPr>
        <w:t>,</w:t>
      </w:r>
      <w:r w:rsidRPr="00D6101B">
        <w:rPr>
          <w:color w:val="000000"/>
        </w:rPr>
        <w:t xml:space="preserve"> and a pithos burial </w:t>
      </w:r>
      <w:r>
        <w:rPr>
          <w:color w:val="000000"/>
        </w:rPr>
        <w:t>was also</w:t>
      </w:r>
      <w:r w:rsidRPr="00D6101B">
        <w:rPr>
          <w:color w:val="000000"/>
        </w:rPr>
        <w:t xml:space="preserve"> found. Unfortunately, the burial phases are not specified in the publication, but considering the generic LM III date for the tomb</w:t>
      </w:r>
      <w:r>
        <w:rPr>
          <w:color w:val="000000"/>
        </w:rPr>
        <w:t>,</w:t>
      </w:r>
      <w:r w:rsidRPr="00D6101B">
        <w:rPr>
          <w:color w:val="000000"/>
        </w:rPr>
        <w:t xml:space="preserve"> it is highly possible that the cremation belongs to the </w:t>
      </w:r>
      <w:r>
        <w:rPr>
          <w:color w:val="000000"/>
        </w:rPr>
        <w:t>final</w:t>
      </w:r>
      <w:r w:rsidRPr="00D6101B">
        <w:rPr>
          <w:color w:val="000000"/>
        </w:rPr>
        <w:t xml:space="preserve"> phase of use. Furthermore, at Kritsa Lakkoi</w:t>
      </w:r>
      <w:r>
        <w:rPr>
          <w:color w:val="000000"/>
        </w:rPr>
        <w:t>,</w:t>
      </w:r>
      <w:r w:rsidRPr="00D6101B">
        <w:rPr>
          <w:color w:val="000000"/>
        </w:rPr>
        <w:t xml:space="preserve"> an empty pyxis was found within a larnax. According to the report (Tsipopoulou</w:t>
      </w:r>
      <w:r>
        <w:rPr>
          <w:color w:val="000000"/>
        </w:rPr>
        <w:t xml:space="preserve"> and</w:t>
      </w:r>
      <w:r w:rsidRPr="00D6101B">
        <w:rPr>
          <w:color w:val="000000"/>
        </w:rPr>
        <w:t xml:space="preserve"> Vagnetti 2006)</w:t>
      </w:r>
      <w:r>
        <w:rPr>
          <w:color w:val="000000"/>
        </w:rPr>
        <w:t>,</w:t>
      </w:r>
      <w:r w:rsidRPr="00D6101B">
        <w:rPr>
          <w:color w:val="000000"/>
        </w:rPr>
        <w:t xml:space="preserve"> the type of pyxis is very similar to the one found with cremated bones inside the nearby </w:t>
      </w:r>
      <w:r>
        <w:rPr>
          <w:color w:val="000000"/>
        </w:rPr>
        <w:t>T</w:t>
      </w:r>
      <w:r w:rsidRPr="00D6101B">
        <w:rPr>
          <w:color w:val="000000"/>
        </w:rPr>
        <w:t xml:space="preserve">omb B at Kritsa Katharos, </w:t>
      </w:r>
      <w:r>
        <w:rPr>
          <w:color w:val="000000"/>
        </w:rPr>
        <w:t>but no</w:t>
      </w:r>
      <w:r w:rsidRPr="00D6101B">
        <w:rPr>
          <w:color w:val="000000"/>
        </w:rPr>
        <w:t xml:space="preserve"> larnax burials have been found</w:t>
      </w:r>
      <w:r>
        <w:rPr>
          <w:color w:val="000000"/>
        </w:rPr>
        <w:t xml:space="preserve"> there</w:t>
      </w:r>
      <w:r w:rsidRPr="00D6101B">
        <w:rPr>
          <w:color w:val="000000"/>
        </w:rPr>
        <w:t>. Sign</w:t>
      </w:r>
      <w:r>
        <w:rPr>
          <w:color w:val="000000"/>
        </w:rPr>
        <w:t>s</w:t>
      </w:r>
      <w:r w:rsidRPr="00D6101B">
        <w:rPr>
          <w:color w:val="000000"/>
        </w:rPr>
        <w:t xml:space="preserve"> of cremation are reported also for three tombs at Elounda (tombs 24, 25, 26) all dated to LM IIIB. All these data </w:t>
      </w:r>
      <w:r>
        <w:rPr>
          <w:color w:val="000000"/>
        </w:rPr>
        <w:t>indicate</w:t>
      </w:r>
      <w:r w:rsidRPr="00D6101B">
        <w:rPr>
          <w:color w:val="000000"/>
        </w:rPr>
        <w:t xml:space="preserve"> the introduction of a new burial method, which in the first phase probably coexist</w:t>
      </w:r>
      <w:r>
        <w:rPr>
          <w:color w:val="000000"/>
        </w:rPr>
        <w:t>ed</w:t>
      </w:r>
      <w:r w:rsidRPr="00D6101B">
        <w:rPr>
          <w:color w:val="000000"/>
        </w:rPr>
        <w:t xml:space="preserve"> with interments</w:t>
      </w:r>
      <w:r>
        <w:rPr>
          <w:color w:val="000000"/>
        </w:rPr>
        <w:t>,</w:t>
      </w:r>
      <w:r w:rsidRPr="00D6101B">
        <w:rPr>
          <w:color w:val="000000"/>
        </w:rPr>
        <w:t xml:space="preserve"> or at least </w:t>
      </w:r>
      <w:r>
        <w:rPr>
          <w:color w:val="000000"/>
        </w:rPr>
        <w:t>suggests</w:t>
      </w:r>
      <w:r w:rsidRPr="00D6101B">
        <w:rPr>
          <w:color w:val="000000"/>
        </w:rPr>
        <w:t xml:space="preserve"> the use</w:t>
      </w:r>
      <w:r>
        <w:rPr>
          <w:color w:val="000000"/>
        </w:rPr>
        <w:t xml:space="preserve"> of</w:t>
      </w:r>
      <w:r w:rsidRPr="00D6101B">
        <w:rPr>
          <w:color w:val="000000"/>
        </w:rPr>
        <w:t xml:space="preserve"> the same burial structure.</w:t>
      </w:r>
    </w:p>
    <w:p w14:paraId="221B269F" w14:textId="77777777" w:rsidR="001A4F1A" w:rsidRPr="00D6101B" w:rsidRDefault="001A4F1A" w:rsidP="00E858EF">
      <w:pPr>
        <w:suppressAutoHyphens/>
        <w:autoSpaceDE w:val="0"/>
        <w:autoSpaceDN w:val="0"/>
        <w:adjustRightInd w:val="0"/>
        <w:rPr>
          <w:color w:val="000000"/>
        </w:rPr>
      </w:pPr>
      <w:r>
        <w:rPr>
          <w:color w:val="000000"/>
        </w:rPr>
        <w:tab/>
        <w:t>Regarding</w:t>
      </w:r>
      <w:r w:rsidRPr="00D6101B">
        <w:rPr>
          <w:color w:val="000000"/>
        </w:rPr>
        <w:t xml:space="preserve"> the burial stage, larnax burials </w:t>
      </w:r>
      <w:r>
        <w:rPr>
          <w:color w:val="000000"/>
        </w:rPr>
        <w:t>were</w:t>
      </w:r>
      <w:r w:rsidRPr="00D6101B">
        <w:rPr>
          <w:color w:val="000000"/>
        </w:rPr>
        <w:t xml:space="preserve"> mainly associated with primary burial deposition</w:t>
      </w:r>
      <w:r>
        <w:rPr>
          <w:color w:val="000000"/>
        </w:rPr>
        <w:t>s,</w:t>
      </w:r>
      <w:r w:rsidRPr="00D6101B">
        <w:rPr>
          <w:color w:val="000000"/>
        </w:rPr>
        <w:t xml:space="preserve"> </w:t>
      </w:r>
      <w:r>
        <w:rPr>
          <w:color w:val="000000"/>
        </w:rPr>
        <w:t>with</w:t>
      </w:r>
      <w:r w:rsidRPr="00D6101B">
        <w:rPr>
          <w:color w:val="000000"/>
        </w:rPr>
        <w:t xml:space="preserve"> no more than three depositions hav</w:t>
      </w:r>
      <w:r>
        <w:rPr>
          <w:color w:val="000000"/>
        </w:rPr>
        <w:t>ing</w:t>
      </w:r>
      <w:r w:rsidRPr="00D6101B">
        <w:rPr>
          <w:color w:val="000000"/>
        </w:rPr>
        <w:t xml:space="preserve"> been found within a larnax. Th</w:t>
      </w:r>
      <w:r>
        <w:rPr>
          <w:color w:val="000000"/>
        </w:rPr>
        <w:t xml:space="preserve">e occurrence of three depositions within a larnax </w:t>
      </w:r>
      <w:r w:rsidRPr="00D6101B">
        <w:rPr>
          <w:color w:val="000000"/>
        </w:rPr>
        <w:t>has been registered only in one tomb at Tzermiadon Trapeza</w:t>
      </w:r>
      <w:r>
        <w:rPr>
          <w:color w:val="000000"/>
        </w:rPr>
        <w:t>; however,</w:t>
      </w:r>
      <w:r w:rsidRPr="00D6101B">
        <w:rPr>
          <w:color w:val="000000"/>
        </w:rPr>
        <w:t xml:space="preserve"> there is no information about the burial stage. In all the other case</w:t>
      </w:r>
      <w:r>
        <w:rPr>
          <w:color w:val="000000"/>
        </w:rPr>
        <w:t>s,</w:t>
      </w:r>
      <w:r w:rsidRPr="00D6101B">
        <w:rPr>
          <w:color w:val="000000"/>
        </w:rPr>
        <w:t xml:space="preserve"> </w:t>
      </w:r>
      <w:r>
        <w:rPr>
          <w:color w:val="000000"/>
        </w:rPr>
        <w:t xml:space="preserve">individual </w:t>
      </w:r>
      <w:r w:rsidRPr="00D6101B">
        <w:rPr>
          <w:color w:val="000000"/>
        </w:rPr>
        <w:t>deposition</w:t>
      </w:r>
      <w:r>
        <w:rPr>
          <w:color w:val="000000"/>
        </w:rPr>
        <w:t>s</w:t>
      </w:r>
      <w:r w:rsidRPr="00D6101B">
        <w:rPr>
          <w:color w:val="000000"/>
        </w:rPr>
        <w:t xml:space="preserve"> </w:t>
      </w:r>
      <w:r>
        <w:rPr>
          <w:color w:val="000000"/>
        </w:rPr>
        <w:t>are</w:t>
      </w:r>
      <w:r w:rsidRPr="00D6101B">
        <w:rPr>
          <w:color w:val="000000"/>
        </w:rPr>
        <w:t xml:space="preserve"> associated with larnakes or </w:t>
      </w:r>
      <w:r>
        <w:rPr>
          <w:color w:val="000000"/>
        </w:rPr>
        <w:t>sometimes</w:t>
      </w:r>
      <w:r w:rsidRPr="00D6101B">
        <w:rPr>
          <w:color w:val="000000"/>
        </w:rPr>
        <w:t xml:space="preserve"> two burials within a larnax (Elounda tombs 24, 25, 26). Th</w:t>
      </w:r>
      <w:r>
        <w:rPr>
          <w:color w:val="000000"/>
        </w:rPr>
        <w:t>ese</w:t>
      </w:r>
      <w:r w:rsidRPr="00D6101B">
        <w:rPr>
          <w:color w:val="000000"/>
        </w:rPr>
        <w:t xml:space="preserve"> data </w:t>
      </w:r>
      <w:r>
        <w:rPr>
          <w:color w:val="000000"/>
        </w:rPr>
        <w:t>and</w:t>
      </w:r>
      <w:r w:rsidRPr="00D6101B">
        <w:rPr>
          <w:color w:val="000000"/>
        </w:rPr>
        <w:t xml:space="preserve"> the absence of secondary deposition</w:t>
      </w:r>
      <w:r>
        <w:rPr>
          <w:color w:val="000000"/>
        </w:rPr>
        <w:t>s</w:t>
      </w:r>
      <w:r w:rsidRPr="00D6101B">
        <w:rPr>
          <w:color w:val="000000"/>
        </w:rPr>
        <w:t xml:space="preserve"> on the floor or in pits </w:t>
      </w:r>
      <w:r>
        <w:rPr>
          <w:color w:val="000000"/>
        </w:rPr>
        <w:t>suggest</w:t>
      </w:r>
      <w:r w:rsidRPr="00D6101B">
        <w:rPr>
          <w:color w:val="000000"/>
        </w:rPr>
        <w:t xml:space="preserve"> two hypotheses:</w:t>
      </w:r>
    </w:p>
    <w:p w14:paraId="06A55BE9" w14:textId="77777777" w:rsidR="001A4F1A" w:rsidRPr="00D6101B" w:rsidRDefault="001A4F1A" w:rsidP="00E858EF">
      <w:pPr>
        <w:pStyle w:val="Paragrafoelenco"/>
        <w:numPr>
          <w:ilvl w:val="0"/>
          <w:numId w:val="76"/>
        </w:numPr>
        <w:suppressAutoHyphens/>
        <w:autoSpaceDE w:val="0"/>
        <w:autoSpaceDN w:val="0"/>
        <w:adjustRightInd w:val="0"/>
        <w:rPr>
          <w:color w:val="000000"/>
        </w:rPr>
      </w:pPr>
      <w:r w:rsidRPr="00D6101B">
        <w:rPr>
          <w:color w:val="000000"/>
        </w:rPr>
        <w:t xml:space="preserve">Tombs in </w:t>
      </w:r>
      <w:r>
        <w:rPr>
          <w:color w:val="000000"/>
        </w:rPr>
        <w:t>the Mid-East</w:t>
      </w:r>
      <w:r w:rsidRPr="00D6101B">
        <w:rPr>
          <w:color w:val="000000"/>
        </w:rPr>
        <w:t xml:space="preserve"> region were used only for one burial (in all the tombs with larnakes found at Elounda</w:t>
      </w:r>
      <w:r>
        <w:rPr>
          <w:color w:val="000000"/>
        </w:rPr>
        <w:t>,</w:t>
      </w:r>
      <w:r w:rsidRPr="00D6101B">
        <w:rPr>
          <w:color w:val="000000"/>
        </w:rPr>
        <w:t xml:space="preserve"> only the remain</w:t>
      </w:r>
      <w:r>
        <w:rPr>
          <w:color w:val="000000"/>
        </w:rPr>
        <w:t>s</w:t>
      </w:r>
      <w:r w:rsidRPr="00D6101B">
        <w:rPr>
          <w:color w:val="000000"/>
        </w:rPr>
        <w:t xml:space="preserve"> of one deposition </w:t>
      </w:r>
      <w:r>
        <w:rPr>
          <w:color w:val="000000"/>
        </w:rPr>
        <w:t>are</w:t>
      </w:r>
      <w:r w:rsidRPr="00D6101B">
        <w:rPr>
          <w:color w:val="000000"/>
        </w:rPr>
        <w:t xml:space="preserve"> reported)</w:t>
      </w:r>
    </w:p>
    <w:p w14:paraId="10C3AB53" w14:textId="77777777" w:rsidR="001A4F1A" w:rsidRPr="00D6101B" w:rsidRDefault="001A4F1A" w:rsidP="00E858EF">
      <w:pPr>
        <w:pStyle w:val="Paragrafoelenco"/>
        <w:numPr>
          <w:ilvl w:val="0"/>
          <w:numId w:val="76"/>
        </w:numPr>
        <w:suppressAutoHyphens/>
        <w:autoSpaceDE w:val="0"/>
        <w:autoSpaceDN w:val="0"/>
        <w:adjustRightInd w:val="0"/>
        <w:rPr>
          <w:color w:val="000000"/>
        </w:rPr>
      </w:pPr>
      <w:r w:rsidRPr="00D6101B">
        <w:rPr>
          <w:color w:val="000000"/>
        </w:rPr>
        <w:t>The skeletal remains from the previous burials from larnakes were put elsewhere and not left inside the tomb</w:t>
      </w:r>
    </w:p>
    <w:p w14:paraId="3D90530A" w14:textId="77777777" w:rsidR="001A4F1A" w:rsidRPr="00D6101B" w:rsidRDefault="001A4F1A" w:rsidP="00E858EF">
      <w:pPr>
        <w:suppressAutoHyphens/>
        <w:autoSpaceDE w:val="0"/>
        <w:autoSpaceDN w:val="0"/>
        <w:adjustRightInd w:val="0"/>
        <w:rPr>
          <w:color w:val="000000"/>
        </w:rPr>
      </w:pPr>
      <w:r>
        <w:rPr>
          <w:color w:val="000000"/>
        </w:rPr>
        <w:t>Regarding</w:t>
      </w:r>
      <w:r w:rsidRPr="00D6101B">
        <w:rPr>
          <w:color w:val="000000"/>
        </w:rPr>
        <w:t xml:space="preserve"> the information concerning gender and age</w:t>
      </w:r>
      <w:r>
        <w:rPr>
          <w:color w:val="000000"/>
        </w:rPr>
        <w:t>,</w:t>
      </w:r>
      <w:r w:rsidRPr="00D6101B">
        <w:rPr>
          <w:color w:val="000000"/>
        </w:rPr>
        <w:t xml:space="preserve"> th</w:t>
      </w:r>
      <w:r>
        <w:rPr>
          <w:color w:val="000000"/>
        </w:rPr>
        <w:t>is is</w:t>
      </w:r>
      <w:r w:rsidRPr="00D6101B">
        <w:rPr>
          <w:color w:val="000000"/>
        </w:rPr>
        <w:t xml:space="preserve"> available f</w:t>
      </w:r>
      <w:r>
        <w:rPr>
          <w:color w:val="000000"/>
        </w:rPr>
        <w:t>rom</w:t>
      </w:r>
      <w:r w:rsidRPr="00D6101B">
        <w:rPr>
          <w:color w:val="000000"/>
        </w:rPr>
        <w:t xml:space="preserve"> a sample </w:t>
      </w:r>
      <w:r>
        <w:rPr>
          <w:color w:val="000000"/>
        </w:rPr>
        <w:t>comprising</w:t>
      </w:r>
      <w:r w:rsidRPr="00D6101B">
        <w:rPr>
          <w:color w:val="000000"/>
        </w:rPr>
        <w:t xml:space="preserve"> three tombs (</w:t>
      </w:r>
      <w:r>
        <w:rPr>
          <w:color w:val="000000"/>
        </w:rPr>
        <w:t>7</w:t>
      </w:r>
      <w:r w:rsidRPr="00D6101B">
        <w:rPr>
          <w:color w:val="000000"/>
        </w:rPr>
        <w:t>%</w:t>
      </w:r>
      <w:r>
        <w:rPr>
          <w:color w:val="000000"/>
        </w:rPr>
        <w:t xml:space="preserve"> of the secure sample of tombs from Mid-East region</w:t>
      </w:r>
      <w:r w:rsidRPr="00D6101B">
        <w:rPr>
          <w:color w:val="000000"/>
        </w:rPr>
        <w:t xml:space="preserve">) </w:t>
      </w:r>
      <w:r>
        <w:rPr>
          <w:color w:val="000000"/>
        </w:rPr>
        <w:t>with</w:t>
      </w:r>
      <w:r w:rsidRPr="00D6101B">
        <w:rPr>
          <w:color w:val="000000"/>
        </w:rPr>
        <w:t xml:space="preserve"> </w:t>
      </w:r>
      <w:r>
        <w:rPr>
          <w:color w:val="000000"/>
        </w:rPr>
        <w:t>six</w:t>
      </w:r>
      <w:r w:rsidRPr="00D6101B">
        <w:rPr>
          <w:color w:val="000000"/>
        </w:rPr>
        <w:t xml:space="preserve"> individuals (12%) </w:t>
      </w:r>
      <w:r>
        <w:rPr>
          <w:color w:val="000000"/>
        </w:rPr>
        <w:t xml:space="preserve">of </w:t>
      </w:r>
      <w:r w:rsidRPr="00D6101B">
        <w:rPr>
          <w:color w:val="000000"/>
        </w:rPr>
        <w:t>the total number of the skeletal remains retrieved</w:t>
      </w:r>
      <w:r>
        <w:rPr>
          <w:color w:val="000000"/>
        </w:rPr>
        <w:t>.</w:t>
      </w:r>
    </w:p>
    <w:p w14:paraId="64CE6FD6" w14:textId="77777777" w:rsidR="001A4F1A" w:rsidRPr="00D6101B" w:rsidRDefault="001A4F1A" w:rsidP="00E858EF">
      <w:pPr>
        <w:pStyle w:val="Paragrafoelenco"/>
        <w:numPr>
          <w:ilvl w:val="0"/>
          <w:numId w:val="40"/>
        </w:numPr>
        <w:suppressAutoHyphens/>
        <w:autoSpaceDE w:val="0"/>
        <w:autoSpaceDN w:val="0"/>
        <w:adjustRightInd w:val="0"/>
        <w:rPr>
          <w:color w:val="000000"/>
        </w:rPr>
      </w:pPr>
      <w:r w:rsidRPr="00D6101B">
        <w:rPr>
          <w:color w:val="000000"/>
        </w:rPr>
        <w:t>In a chamber tomb at Malia Agia Pelagia</w:t>
      </w:r>
      <w:r>
        <w:rPr>
          <w:color w:val="000000"/>
        </w:rPr>
        <w:t>,</w:t>
      </w:r>
      <w:r w:rsidRPr="00D6101B">
        <w:rPr>
          <w:color w:val="000000"/>
        </w:rPr>
        <w:t xml:space="preserve"> the two primary burials in chest</w:t>
      </w:r>
      <w:r>
        <w:rPr>
          <w:color w:val="000000"/>
        </w:rPr>
        <w:t>s</w:t>
      </w:r>
      <w:r w:rsidRPr="00D6101B">
        <w:rPr>
          <w:color w:val="000000"/>
        </w:rPr>
        <w:t xml:space="preserve"> were one female </w:t>
      </w:r>
      <w:r>
        <w:rPr>
          <w:color w:val="000000"/>
        </w:rPr>
        <w:t xml:space="preserve">and </w:t>
      </w:r>
      <w:r w:rsidRPr="00D6101B">
        <w:rPr>
          <w:color w:val="000000"/>
        </w:rPr>
        <w:t>one young</w:t>
      </w:r>
      <w:r>
        <w:rPr>
          <w:color w:val="000000"/>
        </w:rPr>
        <w:t>.</w:t>
      </w:r>
    </w:p>
    <w:p w14:paraId="5EA55056" w14:textId="77777777" w:rsidR="001A4F1A" w:rsidRPr="00D6101B" w:rsidRDefault="001A4F1A" w:rsidP="00E858EF">
      <w:pPr>
        <w:pStyle w:val="Paragrafoelenco"/>
        <w:numPr>
          <w:ilvl w:val="0"/>
          <w:numId w:val="40"/>
        </w:numPr>
        <w:suppressAutoHyphens/>
        <w:autoSpaceDE w:val="0"/>
        <w:autoSpaceDN w:val="0"/>
        <w:adjustRightInd w:val="0"/>
        <w:rPr>
          <w:color w:val="000000"/>
        </w:rPr>
      </w:pPr>
      <w:r w:rsidRPr="00D6101B">
        <w:rPr>
          <w:color w:val="000000"/>
        </w:rPr>
        <w:t xml:space="preserve">In Milatos </w:t>
      </w:r>
      <w:r>
        <w:rPr>
          <w:color w:val="000000"/>
        </w:rPr>
        <w:t>T</w:t>
      </w:r>
      <w:r w:rsidRPr="00D6101B">
        <w:rPr>
          <w:color w:val="000000"/>
        </w:rPr>
        <w:t>omb 2</w:t>
      </w:r>
      <w:r>
        <w:rPr>
          <w:color w:val="000000"/>
        </w:rPr>
        <w:t>,</w:t>
      </w:r>
      <w:r w:rsidRPr="00D6101B">
        <w:rPr>
          <w:color w:val="000000"/>
        </w:rPr>
        <w:t xml:space="preserve"> the two chests larnakes </w:t>
      </w:r>
      <w:r>
        <w:rPr>
          <w:color w:val="000000"/>
        </w:rPr>
        <w:t>are</w:t>
      </w:r>
      <w:r w:rsidRPr="00D6101B">
        <w:rPr>
          <w:color w:val="000000"/>
        </w:rPr>
        <w:t xml:space="preserve"> associated with male and female burials, while no information is available for the burial asso</w:t>
      </w:r>
      <w:r>
        <w:rPr>
          <w:color w:val="000000"/>
        </w:rPr>
        <w:t>ciated with the third fragmentary</w:t>
      </w:r>
      <w:r w:rsidRPr="00D6101B">
        <w:rPr>
          <w:color w:val="000000"/>
        </w:rPr>
        <w:t xml:space="preserve"> larnax.</w:t>
      </w:r>
    </w:p>
    <w:p w14:paraId="0707ED28" w14:textId="77777777" w:rsidR="001A4F1A" w:rsidRPr="00D6101B" w:rsidRDefault="001A4F1A" w:rsidP="00E858EF">
      <w:pPr>
        <w:suppressAutoHyphens/>
        <w:autoSpaceDE w:val="0"/>
        <w:autoSpaceDN w:val="0"/>
        <w:adjustRightInd w:val="0"/>
        <w:rPr>
          <w:color w:val="000000"/>
        </w:rPr>
      </w:pPr>
      <w:r>
        <w:rPr>
          <w:color w:val="000000"/>
        </w:rPr>
        <w:t>Regarding</w:t>
      </w:r>
      <w:r w:rsidRPr="00D6101B">
        <w:rPr>
          <w:color w:val="000000"/>
        </w:rPr>
        <w:t xml:space="preserve"> age data from </w:t>
      </w:r>
      <w:r>
        <w:rPr>
          <w:color w:val="000000"/>
        </w:rPr>
        <w:t xml:space="preserve">the </w:t>
      </w:r>
      <w:r w:rsidRPr="00D6101B">
        <w:rPr>
          <w:color w:val="000000"/>
        </w:rPr>
        <w:t>tomb Pierre</w:t>
      </w:r>
      <w:r>
        <w:rPr>
          <w:color w:val="000000"/>
        </w:rPr>
        <w:t>s</w:t>
      </w:r>
      <w:r w:rsidRPr="00D6101B">
        <w:rPr>
          <w:color w:val="000000"/>
        </w:rPr>
        <w:t xml:space="preserve"> Meuliere</w:t>
      </w:r>
      <w:r>
        <w:rPr>
          <w:color w:val="000000"/>
        </w:rPr>
        <w:t>s at Ma</w:t>
      </w:r>
      <w:r w:rsidRPr="00D6101B">
        <w:rPr>
          <w:color w:val="000000"/>
        </w:rPr>
        <w:t xml:space="preserve">lia, </w:t>
      </w:r>
      <w:r>
        <w:rPr>
          <w:color w:val="000000"/>
        </w:rPr>
        <w:t>the</w:t>
      </w:r>
      <w:r w:rsidRPr="00D6101B">
        <w:rPr>
          <w:color w:val="000000"/>
        </w:rPr>
        <w:t xml:space="preserve"> inhumation in the bathtub larnax and </w:t>
      </w:r>
      <w:r>
        <w:rPr>
          <w:color w:val="000000"/>
        </w:rPr>
        <w:t xml:space="preserve">the </w:t>
      </w:r>
      <w:r w:rsidRPr="00D6101B">
        <w:rPr>
          <w:color w:val="000000"/>
        </w:rPr>
        <w:t xml:space="preserve">cremated burial in </w:t>
      </w:r>
      <w:r>
        <w:rPr>
          <w:color w:val="000000"/>
        </w:rPr>
        <w:t xml:space="preserve">a </w:t>
      </w:r>
      <w:r w:rsidRPr="00D6101B">
        <w:rPr>
          <w:color w:val="000000"/>
        </w:rPr>
        <w:t>vase belonged to children.</w:t>
      </w:r>
    </w:p>
    <w:p w14:paraId="66C11C90" w14:textId="77777777" w:rsidR="001A4F1A" w:rsidRPr="00D6101B" w:rsidRDefault="001A4F1A" w:rsidP="00E858EF">
      <w:pPr>
        <w:suppressAutoHyphens/>
        <w:autoSpaceDE w:val="0"/>
        <w:autoSpaceDN w:val="0"/>
        <w:adjustRightInd w:val="0"/>
        <w:rPr>
          <w:color w:val="000000"/>
        </w:rPr>
      </w:pPr>
    </w:p>
    <w:p w14:paraId="1971BBCC" w14:textId="77777777" w:rsidR="001A4F1A" w:rsidRPr="00D6101B" w:rsidRDefault="001A4F1A" w:rsidP="00E858EF">
      <w:pPr>
        <w:suppressAutoHyphens/>
        <w:autoSpaceDE w:val="0"/>
        <w:autoSpaceDN w:val="0"/>
        <w:adjustRightInd w:val="0"/>
        <w:rPr>
          <w:color w:val="000000"/>
        </w:rPr>
      </w:pPr>
      <w:r>
        <w:rPr>
          <w:noProof/>
          <w:lang w:val="it-IT"/>
        </w:rPr>
        <w:drawing>
          <wp:inline distT="0" distB="0" distL="0" distR="0" wp14:anchorId="23938FA5" wp14:editId="16BC53DE">
            <wp:extent cx="4680000" cy="2520000"/>
            <wp:effectExtent l="0" t="0" r="6350" b="13970"/>
            <wp:docPr id="83" name="Gra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Pr="004F5582" w:rsidDel="00461A4C">
        <w:rPr>
          <w:noProof/>
        </w:rPr>
        <w:t xml:space="preserve"> </w:t>
      </w:r>
    </w:p>
    <w:p w14:paraId="3B3E41C6" w14:textId="78A635AD" w:rsidR="001A4F1A" w:rsidRDefault="001A4F1A" w:rsidP="00E858EF">
      <w:pPr>
        <w:pStyle w:val="Didascalia"/>
        <w:suppressAutoHyphens/>
      </w:pPr>
      <w:bookmarkStart w:id="743" w:name="_Toc520212359"/>
      <w:r>
        <w:t>Figure 4-22</w:t>
      </w:r>
      <w:r w:rsidR="00A907DC">
        <w:t>.</w:t>
      </w:r>
      <w:r>
        <w:t xml:space="preserve"> Percentage of tombs with information </w:t>
      </w:r>
      <w:r w:rsidR="00DC4D16">
        <w:t xml:space="preserve">on </w:t>
      </w:r>
      <w:r>
        <w:t>gender and age</w:t>
      </w:r>
      <w:r w:rsidR="00DC4D16">
        <w:t>,</w:t>
      </w:r>
      <w:r>
        <w:t xml:space="preserve"> Mid-East </w:t>
      </w:r>
      <w:bookmarkEnd w:id="743"/>
      <w:r w:rsidR="00DC4D16">
        <w:t>area</w:t>
      </w:r>
    </w:p>
    <w:p w14:paraId="6299D5DC" w14:textId="77777777" w:rsidR="00FE69E4" w:rsidRPr="00FE69E4" w:rsidRDefault="00FE69E4" w:rsidP="00FE69E4"/>
    <w:p w14:paraId="5E6E1967" w14:textId="77777777" w:rsidR="001A4F1A" w:rsidRPr="00D6101B" w:rsidRDefault="001A4F1A" w:rsidP="00E858EF">
      <w:pPr>
        <w:suppressAutoHyphens/>
      </w:pPr>
      <w:r>
        <w:rPr>
          <w:noProof/>
          <w:lang w:val="it-IT"/>
        </w:rPr>
        <w:drawing>
          <wp:inline distT="0" distB="0" distL="0" distR="0" wp14:anchorId="19E99129" wp14:editId="01BE1729">
            <wp:extent cx="4680000" cy="2520000"/>
            <wp:effectExtent l="0" t="0" r="6350" b="13970"/>
            <wp:docPr id="85" name="Gra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sidRPr="004F5582" w:rsidDel="00F47971">
        <w:rPr>
          <w:noProof/>
        </w:rPr>
        <w:t xml:space="preserve"> </w:t>
      </w:r>
    </w:p>
    <w:p w14:paraId="40D16167" w14:textId="7FD10941" w:rsidR="001A4F1A" w:rsidRDefault="001A4F1A" w:rsidP="00E858EF">
      <w:pPr>
        <w:pStyle w:val="Didascalia"/>
        <w:suppressAutoHyphens/>
      </w:pPr>
      <w:r w:rsidRPr="00D6101B">
        <w:t xml:space="preserve"> </w:t>
      </w:r>
      <w:bookmarkStart w:id="744" w:name="_Toc520212360"/>
      <w:r>
        <w:t>Figure 4-23</w:t>
      </w:r>
      <w:r w:rsidR="00A907DC">
        <w:t>.</w:t>
      </w:r>
      <w:r w:rsidRPr="00D6101B">
        <w:t xml:space="preserve"> </w:t>
      </w:r>
      <w:r>
        <w:t xml:space="preserve">Percentage of individuals with information </w:t>
      </w:r>
      <w:r w:rsidR="00DC4D16">
        <w:t xml:space="preserve">on </w:t>
      </w:r>
      <w:r>
        <w:t>gender and age</w:t>
      </w:r>
      <w:r w:rsidR="00DC4D16">
        <w:t>,</w:t>
      </w:r>
      <w:r>
        <w:t xml:space="preserve"> Mid-East </w:t>
      </w:r>
      <w:bookmarkEnd w:id="744"/>
      <w:r w:rsidR="00DC4D16">
        <w:t>area</w:t>
      </w:r>
    </w:p>
    <w:p w14:paraId="3B929638" w14:textId="77777777" w:rsidR="001A4F1A" w:rsidRPr="009512E2" w:rsidRDefault="001A4F1A" w:rsidP="00E858EF">
      <w:pPr>
        <w:suppressAutoHyphens/>
      </w:pPr>
    </w:p>
    <w:p w14:paraId="0199A81B" w14:textId="086634BD" w:rsidR="001A4F1A" w:rsidRPr="004D1E0F" w:rsidRDefault="001A4F1A" w:rsidP="00E858EF">
      <w:pPr>
        <w:pStyle w:val="Testofumetto"/>
        <w:suppressAutoHyphens/>
      </w:pPr>
      <w:bookmarkStart w:id="745" w:name="_Toc520212598"/>
      <w:r>
        <w:t>Table 4-24</w:t>
      </w:r>
      <w:r w:rsidR="002A58FB">
        <w:t>.</w:t>
      </w:r>
      <w:r>
        <w:t xml:space="preserve"> </w:t>
      </w:r>
      <w:r w:rsidRPr="00BC186A">
        <w:t xml:space="preserve">Number of skeletal </w:t>
      </w:r>
      <w:r>
        <w:t xml:space="preserve">remains with information </w:t>
      </w:r>
      <w:r w:rsidR="00DC4D16">
        <w:t xml:space="preserve">on </w:t>
      </w:r>
      <w:r>
        <w:t>gender</w:t>
      </w:r>
      <w:r w:rsidR="00DC4D16">
        <w:t>,</w:t>
      </w:r>
      <w:r>
        <w:t xml:space="preserve"> Mid-East area</w:t>
      </w:r>
      <w:bookmarkEnd w:id="74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026"/>
        <w:gridCol w:w="1042"/>
        <w:gridCol w:w="1188"/>
      </w:tblGrid>
      <w:tr w:rsidR="001A4F1A" w:rsidRPr="00FE69E4" w14:paraId="0F6AA284" w14:textId="77777777" w:rsidTr="00193349">
        <w:tc>
          <w:tcPr>
            <w:tcW w:w="1951" w:type="dxa"/>
          </w:tcPr>
          <w:p w14:paraId="7ED2CB67" w14:textId="292E5FF9" w:rsidR="001A4F1A" w:rsidRPr="00FE69E4" w:rsidRDefault="00FE69E4" w:rsidP="00E858EF">
            <w:pPr>
              <w:suppressAutoHyphens/>
              <w:autoSpaceDE w:val="0"/>
              <w:autoSpaceDN w:val="0"/>
              <w:adjustRightInd w:val="0"/>
              <w:jc w:val="center"/>
              <w:rPr>
                <w:color w:val="000000"/>
                <w:sz w:val="20"/>
              </w:rPr>
            </w:pPr>
            <w:r w:rsidRPr="00FE69E4">
              <w:rPr>
                <w:color w:val="000000"/>
                <w:sz w:val="20"/>
              </w:rPr>
              <w:t>Total number of skeletal remains</w:t>
            </w:r>
          </w:p>
        </w:tc>
        <w:tc>
          <w:tcPr>
            <w:tcW w:w="1026" w:type="dxa"/>
          </w:tcPr>
          <w:p w14:paraId="77D22614" w14:textId="5E6CED0F" w:rsidR="001A4F1A" w:rsidRPr="00FE69E4" w:rsidRDefault="00FE69E4" w:rsidP="00E858EF">
            <w:pPr>
              <w:suppressAutoHyphens/>
              <w:autoSpaceDE w:val="0"/>
              <w:autoSpaceDN w:val="0"/>
              <w:adjustRightInd w:val="0"/>
              <w:jc w:val="center"/>
              <w:rPr>
                <w:color w:val="000000"/>
                <w:sz w:val="20"/>
              </w:rPr>
            </w:pPr>
            <w:r w:rsidRPr="00FE69E4">
              <w:rPr>
                <w:color w:val="000000"/>
                <w:sz w:val="20"/>
              </w:rPr>
              <w:t>No info</w:t>
            </w:r>
          </w:p>
        </w:tc>
        <w:tc>
          <w:tcPr>
            <w:tcW w:w="1042" w:type="dxa"/>
          </w:tcPr>
          <w:p w14:paraId="540BB5CA" w14:textId="11F96DD4" w:rsidR="001A4F1A" w:rsidRPr="00FE69E4" w:rsidRDefault="00FE69E4" w:rsidP="00E858EF">
            <w:pPr>
              <w:suppressAutoHyphens/>
              <w:autoSpaceDE w:val="0"/>
              <w:autoSpaceDN w:val="0"/>
              <w:adjustRightInd w:val="0"/>
              <w:jc w:val="center"/>
              <w:rPr>
                <w:color w:val="000000"/>
                <w:sz w:val="20"/>
              </w:rPr>
            </w:pPr>
            <w:r w:rsidRPr="00FE69E4">
              <w:rPr>
                <w:color w:val="000000"/>
                <w:sz w:val="20"/>
              </w:rPr>
              <w:t>Male</w:t>
            </w:r>
          </w:p>
        </w:tc>
        <w:tc>
          <w:tcPr>
            <w:tcW w:w="1188" w:type="dxa"/>
          </w:tcPr>
          <w:p w14:paraId="6049EF35" w14:textId="2C2A00A2" w:rsidR="001A4F1A" w:rsidRPr="00FE69E4" w:rsidRDefault="00FE69E4" w:rsidP="00E858EF">
            <w:pPr>
              <w:suppressAutoHyphens/>
              <w:autoSpaceDE w:val="0"/>
              <w:autoSpaceDN w:val="0"/>
              <w:adjustRightInd w:val="0"/>
              <w:jc w:val="center"/>
              <w:rPr>
                <w:color w:val="000000"/>
                <w:sz w:val="20"/>
              </w:rPr>
            </w:pPr>
            <w:r w:rsidRPr="00FE69E4">
              <w:rPr>
                <w:color w:val="000000"/>
                <w:sz w:val="20"/>
              </w:rPr>
              <w:t>Female</w:t>
            </w:r>
          </w:p>
        </w:tc>
      </w:tr>
      <w:tr w:rsidR="001A4F1A" w:rsidRPr="00FE69E4" w14:paraId="2B0E3C93" w14:textId="77777777" w:rsidTr="00193349">
        <w:tc>
          <w:tcPr>
            <w:tcW w:w="1951" w:type="dxa"/>
          </w:tcPr>
          <w:p w14:paraId="08E968C4" w14:textId="77777777" w:rsidR="001A4F1A" w:rsidRPr="00FE69E4" w:rsidRDefault="001A4F1A" w:rsidP="00E858EF">
            <w:pPr>
              <w:suppressAutoHyphens/>
              <w:autoSpaceDE w:val="0"/>
              <w:autoSpaceDN w:val="0"/>
              <w:adjustRightInd w:val="0"/>
              <w:jc w:val="center"/>
              <w:rPr>
                <w:color w:val="000000"/>
                <w:sz w:val="20"/>
              </w:rPr>
            </w:pPr>
            <w:r w:rsidRPr="00FE69E4">
              <w:rPr>
                <w:color w:val="000000"/>
                <w:sz w:val="20"/>
              </w:rPr>
              <w:t>50</w:t>
            </w:r>
          </w:p>
        </w:tc>
        <w:tc>
          <w:tcPr>
            <w:tcW w:w="1026" w:type="dxa"/>
          </w:tcPr>
          <w:p w14:paraId="7D64CD43" w14:textId="77777777" w:rsidR="001A4F1A" w:rsidRPr="00FE69E4" w:rsidRDefault="001A4F1A" w:rsidP="00E858EF">
            <w:pPr>
              <w:suppressAutoHyphens/>
              <w:autoSpaceDE w:val="0"/>
              <w:autoSpaceDN w:val="0"/>
              <w:adjustRightInd w:val="0"/>
              <w:jc w:val="center"/>
              <w:rPr>
                <w:color w:val="000000"/>
                <w:sz w:val="20"/>
              </w:rPr>
            </w:pPr>
            <w:r w:rsidRPr="00FE69E4">
              <w:rPr>
                <w:color w:val="000000"/>
                <w:sz w:val="20"/>
              </w:rPr>
              <w:t>47</w:t>
            </w:r>
          </w:p>
        </w:tc>
        <w:tc>
          <w:tcPr>
            <w:tcW w:w="1042" w:type="dxa"/>
          </w:tcPr>
          <w:p w14:paraId="1F238E09" w14:textId="77777777" w:rsidR="001A4F1A" w:rsidRPr="00FE69E4" w:rsidRDefault="001A4F1A" w:rsidP="00E858EF">
            <w:pPr>
              <w:suppressAutoHyphens/>
              <w:autoSpaceDE w:val="0"/>
              <w:autoSpaceDN w:val="0"/>
              <w:adjustRightInd w:val="0"/>
              <w:jc w:val="center"/>
              <w:rPr>
                <w:color w:val="000000"/>
                <w:sz w:val="20"/>
              </w:rPr>
            </w:pPr>
            <w:r w:rsidRPr="00FE69E4">
              <w:rPr>
                <w:color w:val="000000"/>
                <w:sz w:val="20"/>
              </w:rPr>
              <w:t>1</w:t>
            </w:r>
          </w:p>
        </w:tc>
        <w:tc>
          <w:tcPr>
            <w:tcW w:w="1188" w:type="dxa"/>
          </w:tcPr>
          <w:p w14:paraId="320CAB23" w14:textId="77777777" w:rsidR="001A4F1A" w:rsidRPr="00FE69E4" w:rsidRDefault="001A4F1A" w:rsidP="00E858EF">
            <w:pPr>
              <w:suppressAutoHyphens/>
              <w:autoSpaceDE w:val="0"/>
              <w:autoSpaceDN w:val="0"/>
              <w:adjustRightInd w:val="0"/>
              <w:jc w:val="center"/>
              <w:rPr>
                <w:color w:val="000000"/>
                <w:sz w:val="20"/>
              </w:rPr>
            </w:pPr>
            <w:r w:rsidRPr="00FE69E4">
              <w:rPr>
                <w:color w:val="000000"/>
                <w:sz w:val="20"/>
              </w:rPr>
              <w:t>2</w:t>
            </w:r>
          </w:p>
        </w:tc>
      </w:tr>
    </w:tbl>
    <w:p w14:paraId="5C36AB97" w14:textId="77777777" w:rsidR="001A4F1A" w:rsidRDefault="001A4F1A" w:rsidP="00E858EF">
      <w:pPr>
        <w:suppressAutoHyphens/>
        <w:autoSpaceDE w:val="0"/>
        <w:autoSpaceDN w:val="0"/>
        <w:adjustRightInd w:val="0"/>
        <w:rPr>
          <w:color w:val="000000"/>
        </w:rPr>
      </w:pPr>
    </w:p>
    <w:p w14:paraId="3861B80B" w14:textId="5401F7C6" w:rsidR="001A4F1A" w:rsidRPr="00D6101B" w:rsidRDefault="001A4F1A" w:rsidP="00E858EF">
      <w:pPr>
        <w:pStyle w:val="Testofumetto"/>
        <w:suppressAutoHyphens/>
      </w:pPr>
      <w:bookmarkStart w:id="746" w:name="_Toc520212599"/>
      <w:r>
        <w:t>Table 4-25</w:t>
      </w:r>
      <w:r w:rsidR="002A58FB">
        <w:t>.</w:t>
      </w:r>
      <w:r>
        <w:t xml:space="preserve"> </w:t>
      </w:r>
      <w:r w:rsidRPr="00BC186A">
        <w:t xml:space="preserve">Number of skeletal </w:t>
      </w:r>
      <w:r>
        <w:t xml:space="preserve">remains with information </w:t>
      </w:r>
      <w:r w:rsidR="00DC4D16">
        <w:t xml:space="preserve">on </w:t>
      </w:r>
      <w:r>
        <w:t>age</w:t>
      </w:r>
      <w:r w:rsidR="00DC4D16">
        <w:t>,</w:t>
      </w:r>
      <w:r>
        <w:t xml:space="preserve"> Mid-East area</w:t>
      </w:r>
      <w:bookmarkEnd w:id="746"/>
    </w:p>
    <w:tbl>
      <w:tblPr>
        <w:tblW w:w="82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1275"/>
        <w:gridCol w:w="1134"/>
        <w:gridCol w:w="1594"/>
        <w:gridCol w:w="1099"/>
        <w:gridCol w:w="1276"/>
      </w:tblGrid>
      <w:tr w:rsidR="001A4F1A" w:rsidRPr="00FE69E4" w14:paraId="332C4904" w14:textId="77777777" w:rsidTr="00193349">
        <w:tc>
          <w:tcPr>
            <w:tcW w:w="1844" w:type="dxa"/>
          </w:tcPr>
          <w:p w14:paraId="17DE3EF6" w14:textId="02AAA9D4" w:rsidR="001A4F1A" w:rsidRPr="00FE69E4" w:rsidRDefault="00FE69E4" w:rsidP="00E858EF">
            <w:pPr>
              <w:suppressAutoHyphens/>
              <w:autoSpaceDE w:val="0"/>
              <w:autoSpaceDN w:val="0"/>
              <w:adjustRightInd w:val="0"/>
              <w:ind w:left="-118" w:firstLine="118"/>
              <w:jc w:val="center"/>
              <w:rPr>
                <w:b/>
                <w:color w:val="000000"/>
                <w:sz w:val="20"/>
              </w:rPr>
            </w:pPr>
            <w:r w:rsidRPr="00FE69E4">
              <w:rPr>
                <w:color w:val="000000"/>
                <w:sz w:val="20"/>
              </w:rPr>
              <w:t>Total number of skeletal remains</w:t>
            </w:r>
          </w:p>
        </w:tc>
        <w:tc>
          <w:tcPr>
            <w:tcW w:w="1275" w:type="dxa"/>
          </w:tcPr>
          <w:p w14:paraId="4422295A" w14:textId="43452C27" w:rsidR="001A4F1A" w:rsidRPr="00FE69E4" w:rsidRDefault="00FE69E4" w:rsidP="00E858EF">
            <w:pPr>
              <w:suppressAutoHyphens/>
              <w:autoSpaceDE w:val="0"/>
              <w:autoSpaceDN w:val="0"/>
              <w:adjustRightInd w:val="0"/>
              <w:ind w:left="-118" w:firstLine="118"/>
              <w:jc w:val="center"/>
              <w:rPr>
                <w:color w:val="000000"/>
                <w:sz w:val="20"/>
              </w:rPr>
            </w:pPr>
            <w:r w:rsidRPr="00FE69E4">
              <w:rPr>
                <w:color w:val="000000"/>
                <w:sz w:val="20"/>
              </w:rPr>
              <w:t>No info</w:t>
            </w:r>
          </w:p>
        </w:tc>
        <w:tc>
          <w:tcPr>
            <w:tcW w:w="1134" w:type="dxa"/>
          </w:tcPr>
          <w:p w14:paraId="6D992E32" w14:textId="6E5CF0E7" w:rsidR="001A4F1A" w:rsidRPr="00FE69E4" w:rsidRDefault="00FE69E4" w:rsidP="00E858EF">
            <w:pPr>
              <w:suppressAutoHyphens/>
              <w:autoSpaceDE w:val="0"/>
              <w:autoSpaceDN w:val="0"/>
              <w:adjustRightInd w:val="0"/>
              <w:ind w:left="-118" w:firstLine="118"/>
              <w:jc w:val="center"/>
              <w:rPr>
                <w:color w:val="000000"/>
                <w:sz w:val="20"/>
              </w:rPr>
            </w:pPr>
            <w:r w:rsidRPr="00FE69E4">
              <w:rPr>
                <w:color w:val="000000"/>
                <w:sz w:val="20"/>
              </w:rPr>
              <w:t>Adult</w:t>
            </w:r>
          </w:p>
        </w:tc>
        <w:tc>
          <w:tcPr>
            <w:tcW w:w="1594" w:type="dxa"/>
          </w:tcPr>
          <w:p w14:paraId="0A0858B0" w14:textId="617BA71D" w:rsidR="00193349" w:rsidRPr="00FE69E4" w:rsidRDefault="00FE69E4" w:rsidP="00E858EF">
            <w:pPr>
              <w:suppressAutoHyphens/>
              <w:autoSpaceDE w:val="0"/>
              <w:autoSpaceDN w:val="0"/>
              <w:adjustRightInd w:val="0"/>
              <w:ind w:left="-118" w:firstLine="118"/>
              <w:jc w:val="center"/>
              <w:rPr>
                <w:color w:val="000000"/>
                <w:sz w:val="20"/>
              </w:rPr>
            </w:pPr>
            <w:r w:rsidRPr="00FE69E4">
              <w:rPr>
                <w:color w:val="000000"/>
                <w:sz w:val="20"/>
              </w:rPr>
              <w:t>Young/</w:t>
            </w:r>
          </w:p>
          <w:p w14:paraId="288E1F77" w14:textId="0FFB9EC6" w:rsidR="001A4F1A" w:rsidRPr="00FE69E4" w:rsidRDefault="00FE69E4" w:rsidP="00E858EF">
            <w:pPr>
              <w:suppressAutoHyphens/>
              <w:autoSpaceDE w:val="0"/>
              <w:autoSpaceDN w:val="0"/>
              <w:adjustRightInd w:val="0"/>
              <w:ind w:left="-118" w:firstLine="118"/>
              <w:jc w:val="center"/>
              <w:rPr>
                <w:color w:val="000000"/>
                <w:sz w:val="20"/>
              </w:rPr>
            </w:pPr>
            <w:r w:rsidRPr="00FE69E4">
              <w:rPr>
                <w:color w:val="000000"/>
                <w:sz w:val="20"/>
              </w:rPr>
              <w:t>Adolescent</w:t>
            </w:r>
          </w:p>
        </w:tc>
        <w:tc>
          <w:tcPr>
            <w:tcW w:w="1099" w:type="dxa"/>
          </w:tcPr>
          <w:p w14:paraId="6F59CFE6" w14:textId="7884B948" w:rsidR="001A4F1A" w:rsidRPr="00FE69E4" w:rsidRDefault="00FE69E4" w:rsidP="00E858EF">
            <w:pPr>
              <w:suppressAutoHyphens/>
              <w:autoSpaceDE w:val="0"/>
              <w:autoSpaceDN w:val="0"/>
              <w:adjustRightInd w:val="0"/>
              <w:ind w:left="-118" w:firstLine="118"/>
              <w:jc w:val="center"/>
              <w:rPr>
                <w:color w:val="000000"/>
                <w:sz w:val="20"/>
              </w:rPr>
            </w:pPr>
            <w:r w:rsidRPr="00FE69E4">
              <w:rPr>
                <w:color w:val="000000"/>
                <w:sz w:val="20"/>
              </w:rPr>
              <w:t>Child</w:t>
            </w:r>
          </w:p>
        </w:tc>
        <w:tc>
          <w:tcPr>
            <w:tcW w:w="1276" w:type="dxa"/>
          </w:tcPr>
          <w:p w14:paraId="01BF3A92" w14:textId="1F17D7A6" w:rsidR="00193349" w:rsidRPr="00FE69E4" w:rsidRDefault="00FE69E4" w:rsidP="00E858EF">
            <w:pPr>
              <w:suppressAutoHyphens/>
              <w:autoSpaceDE w:val="0"/>
              <w:autoSpaceDN w:val="0"/>
              <w:adjustRightInd w:val="0"/>
              <w:ind w:left="-118" w:firstLine="118"/>
              <w:jc w:val="center"/>
              <w:rPr>
                <w:color w:val="000000"/>
                <w:sz w:val="20"/>
              </w:rPr>
            </w:pPr>
            <w:r w:rsidRPr="00FE69E4">
              <w:rPr>
                <w:color w:val="000000"/>
                <w:sz w:val="20"/>
              </w:rPr>
              <w:t>Baby/</w:t>
            </w:r>
          </w:p>
          <w:p w14:paraId="6389A92F" w14:textId="7D1AE684" w:rsidR="001A4F1A" w:rsidRPr="00FE69E4" w:rsidRDefault="00FE69E4" w:rsidP="00E858EF">
            <w:pPr>
              <w:suppressAutoHyphens/>
              <w:autoSpaceDE w:val="0"/>
              <w:autoSpaceDN w:val="0"/>
              <w:adjustRightInd w:val="0"/>
              <w:ind w:left="-118" w:firstLine="118"/>
              <w:jc w:val="center"/>
              <w:rPr>
                <w:color w:val="000000"/>
                <w:sz w:val="20"/>
              </w:rPr>
            </w:pPr>
            <w:r w:rsidRPr="00FE69E4">
              <w:rPr>
                <w:color w:val="000000"/>
                <w:sz w:val="20"/>
              </w:rPr>
              <w:t>Embryo</w:t>
            </w:r>
          </w:p>
        </w:tc>
      </w:tr>
      <w:tr w:rsidR="001A4F1A" w:rsidRPr="00FE69E4" w14:paraId="21A55887" w14:textId="77777777" w:rsidTr="00193349">
        <w:tc>
          <w:tcPr>
            <w:tcW w:w="1844" w:type="dxa"/>
          </w:tcPr>
          <w:p w14:paraId="44F9E93B" w14:textId="77777777" w:rsidR="001A4F1A" w:rsidRPr="00FE69E4" w:rsidRDefault="001A4F1A" w:rsidP="00E858EF">
            <w:pPr>
              <w:suppressAutoHyphens/>
              <w:autoSpaceDE w:val="0"/>
              <w:autoSpaceDN w:val="0"/>
              <w:adjustRightInd w:val="0"/>
              <w:ind w:left="-118" w:firstLine="118"/>
              <w:jc w:val="center"/>
              <w:rPr>
                <w:color w:val="000000"/>
                <w:sz w:val="20"/>
              </w:rPr>
            </w:pPr>
            <w:r w:rsidRPr="00FE69E4">
              <w:rPr>
                <w:color w:val="000000"/>
                <w:sz w:val="20"/>
              </w:rPr>
              <w:t>50</w:t>
            </w:r>
          </w:p>
        </w:tc>
        <w:tc>
          <w:tcPr>
            <w:tcW w:w="1275" w:type="dxa"/>
          </w:tcPr>
          <w:p w14:paraId="427560EA" w14:textId="77777777" w:rsidR="001A4F1A" w:rsidRPr="00FE69E4" w:rsidRDefault="001A4F1A" w:rsidP="00E858EF">
            <w:pPr>
              <w:suppressAutoHyphens/>
              <w:autoSpaceDE w:val="0"/>
              <w:autoSpaceDN w:val="0"/>
              <w:adjustRightInd w:val="0"/>
              <w:ind w:left="-118" w:firstLine="118"/>
              <w:jc w:val="center"/>
              <w:rPr>
                <w:color w:val="000000"/>
                <w:sz w:val="20"/>
              </w:rPr>
            </w:pPr>
            <w:r w:rsidRPr="00FE69E4">
              <w:rPr>
                <w:color w:val="000000"/>
                <w:sz w:val="20"/>
              </w:rPr>
              <w:t>44</w:t>
            </w:r>
          </w:p>
        </w:tc>
        <w:tc>
          <w:tcPr>
            <w:tcW w:w="1134" w:type="dxa"/>
          </w:tcPr>
          <w:p w14:paraId="2C13BABD" w14:textId="77777777" w:rsidR="001A4F1A" w:rsidRPr="00FE69E4" w:rsidRDefault="001A4F1A" w:rsidP="00E858EF">
            <w:pPr>
              <w:suppressAutoHyphens/>
              <w:autoSpaceDE w:val="0"/>
              <w:autoSpaceDN w:val="0"/>
              <w:adjustRightInd w:val="0"/>
              <w:ind w:left="-118" w:firstLine="118"/>
              <w:jc w:val="center"/>
              <w:rPr>
                <w:color w:val="000000"/>
                <w:sz w:val="20"/>
              </w:rPr>
            </w:pPr>
            <w:r w:rsidRPr="00FE69E4">
              <w:rPr>
                <w:color w:val="000000"/>
                <w:sz w:val="20"/>
              </w:rPr>
              <w:t>3</w:t>
            </w:r>
          </w:p>
        </w:tc>
        <w:tc>
          <w:tcPr>
            <w:tcW w:w="1594" w:type="dxa"/>
          </w:tcPr>
          <w:p w14:paraId="0BEFB450" w14:textId="77777777" w:rsidR="001A4F1A" w:rsidRPr="00FE69E4" w:rsidRDefault="001A4F1A" w:rsidP="00E858EF">
            <w:pPr>
              <w:suppressAutoHyphens/>
              <w:autoSpaceDE w:val="0"/>
              <w:autoSpaceDN w:val="0"/>
              <w:adjustRightInd w:val="0"/>
              <w:ind w:left="-118" w:firstLine="118"/>
              <w:jc w:val="center"/>
              <w:rPr>
                <w:color w:val="000000"/>
                <w:sz w:val="20"/>
              </w:rPr>
            </w:pPr>
            <w:r w:rsidRPr="00FE69E4">
              <w:rPr>
                <w:color w:val="000000"/>
                <w:sz w:val="20"/>
              </w:rPr>
              <w:t>1</w:t>
            </w:r>
          </w:p>
        </w:tc>
        <w:tc>
          <w:tcPr>
            <w:tcW w:w="1099" w:type="dxa"/>
          </w:tcPr>
          <w:p w14:paraId="05E517C4" w14:textId="77777777" w:rsidR="001A4F1A" w:rsidRPr="00FE69E4" w:rsidRDefault="001A4F1A" w:rsidP="00E858EF">
            <w:pPr>
              <w:suppressAutoHyphens/>
              <w:autoSpaceDE w:val="0"/>
              <w:autoSpaceDN w:val="0"/>
              <w:adjustRightInd w:val="0"/>
              <w:ind w:left="-118" w:firstLine="118"/>
              <w:jc w:val="center"/>
              <w:rPr>
                <w:color w:val="000000"/>
                <w:sz w:val="20"/>
              </w:rPr>
            </w:pPr>
            <w:r w:rsidRPr="00FE69E4">
              <w:rPr>
                <w:color w:val="000000"/>
                <w:sz w:val="20"/>
              </w:rPr>
              <w:t>2</w:t>
            </w:r>
          </w:p>
        </w:tc>
        <w:tc>
          <w:tcPr>
            <w:tcW w:w="1276" w:type="dxa"/>
          </w:tcPr>
          <w:p w14:paraId="40CD5E3E" w14:textId="77777777" w:rsidR="001A4F1A" w:rsidRPr="00FE69E4" w:rsidRDefault="001A4F1A" w:rsidP="00E858EF">
            <w:pPr>
              <w:suppressAutoHyphens/>
              <w:autoSpaceDE w:val="0"/>
              <w:autoSpaceDN w:val="0"/>
              <w:adjustRightInd w:val="0"/>
              <w:ind w:left="-118" w:firstLine="118"/>
              <w:jc w:val="center"/>
              <w:rPr>
                <w:color w:val="000000"/>
                <w:sz w:val="20"/>
              </w:rPr>
            </w:pPr>
            <w:r w:rsidRPr="00FE69E4">
              <w:rPr>
                <w:color w:val="000000"/>
                <w:sz w:val="20"/>
              </w:rPr>
              <w:t>0</w:t>
            </w:r>
          </w:p>
        </w:tc>
      </w:tr>
    </w:tbl>
    <w:p w14:paraId="5F41EB03" w14:textId="77777777" w:rsidR="001A4F1A" w:rsidRDefault="001A4F1A" w:rsidP="00E858EF">
      <w:pPr>
        <w:suppressAutoHyphens/>
        <w:autoSpaceDE w:val="0"/>
        <w:autoSpaceDN w:val="0"/>
        <w:adjustRightInd w:val="0"/>
        <w:rPr>
          <w:color w:val="000000"/>
        </w:rPr>
      </w:pPr>
    </w:p>
    <w:p w14:paraId="7EE1C63A" w14:textId="77777777" w:rsidR="001A4F1A" w:rsidRDefault="001A4F1A" w:rsidP="00E858EF">
      <w:pPr>
        <w:suppressAutoHyphens/>
        <w:autoSpaceDE w:val="0"/>
        <w:autoSpaceDN w:val="0"/>
        <w:adjustRightInd w:val="0"/>
        <w:rPr>
          <w:color w:val="000000"/>
        </w:rPr>
      </w:pPr>
      <w:r>
        <w:rPr>
          <w:noProof/>
          <w:lang w:val="it-IT"/>
        </w:rPr>
        <w:drawing>
          <wp:inline distT="0" distB="0" distL="0" distR="0" wp14:anchorId="37FFB651" wp14:editId="4DAFF02F">
            <wp:extent cx="5295331" cy="2592000"/>
            <wp:effectExtent l="0" t="0" r="635" b="18415"/>
            <wp:docPr id="94" name="Gra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367E8DBE" w14:textId="6707F326" w:rsidR="001A4F1A" w:rsidRDefault="001A4F1A" w:rsidP="00E858EF">
      <w:pPr>
        <w:pStyle w:val="Didascalia"/>
        <w:suppressAutoHyphens/>
      </w:pPr>
      <w:bookmarkStart w:id="747" w:name="_Toc520212361"/>
      <w:r>
        <w:t>Figure 4-24</w:t>
      </w:r>
      <w:r w:rsidR="00D81C03">
        <w:t>.</w:t>
      </w:r>
      <w:r>
        <w:t xml:space="preserve"> </w:t>
      </w:r>
      <w:r w:rsidRPr="00BC186A">
        <w:t xml:space="preserve">Number of skeletal </w:t>
      </w:r>
      <w:r>
        <w:t xml:space="preserve">remains with information </w:t>
      </w:r>
      <w:r w:rsidR="00DC4D16">
        <w:t xml:space="preserve">on </w:t>
      </w:r>
      <w:r>
        <w:t>gender</w:t>
      </w:r>
      <w:r w:rsidR="00DC4D16">
        <w:t>,</w:t>
      </w:r>
      <w:r>
        <w:t xml:space="preserve"> Mid-East area</w:t>
      </w:r>
      <w:bookmarkEnd w:id="747"/>
    </w:p>
    <w:p w14:paraId="30107071" w14:textId="77777777" w:rsidR="001A4F1A" w:rsidRPr="005C67DB" w:rsidRDefault="001A4F1A" w:rsidP="00E858EF">
      <w:pPr>
        <w:suppressAutoHyphens/>
      </w:pPr>
    </w:p>
    <w:p w14:paraId="01B65E4B" w14:textId="77777777" w:rsidR="001A4F1A" w:rsidRPr="00D6101B" w:rsidRDefault="001A4F1A" w:rsidP="00E858EF">
      <w:pPr>
        <w:suppressAutoHyphens/>
        <w:autoSpaceDE w:val="0"/>
        <w:autoSpaceDN w:val="0"/>
        <w:adjustRightInd w:val="0"/>
        <w:rPr>
          <w:color w:val="000000"/>
        </w:rPr>
      </w:pPr>
      <w:r w:rsidRPr="00D77C01">
        <w:rPr>
          <w:noProof/>
        </w:rPr>
        <w:t xml:space="preserve"> </w:t>
      </w:r>
      <w:r>
        <w:rPr>
          <w:noProof/>
          <w:lang w:val="it-IT"/>
        </w:rPr>
        <w:drawing>
          <wp:inline distT="0" distB="0" distL="0" distR="0" wp14:anchorId="341C0E88" wp14:editId="6E8AD394">
            <wp:extent cx="5254322" cy="2592000"/>
            <wp:effectExtent l="0" t="0" r="3810" b="18415"/>
            <wp:docPr id="90" name="Grafico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4C4C2269" w14:textId="3707EFB7" w:rsidR="001A4F1A" w:rsidRDefault="001A4F1A" w:rsidP="00E858EF">
      <w:pPr>
        <w:pStyle w:val="Didascalia"/>
        <w:suppressAutoHyphens/>
      </w:pPr>
      <w:bookmarkStart w:id="748" w:name="_Toc520212362"/>
      <w:r>
        <w:t>Figure 4-25</w:t>
      </w:r>
      <w:r w:rsidR="00D81C03">
        <w:t>.</w:t>
      </w:r>
      <w:r>
        <w:t xml:space="preserve"> </w:t>
      </w:r>
      <w:r w:rsidRPr="00BC186A">
        <w:t xml:space="preserve">Number of skeletal </w:t>
      </w:r>
      <w:r>
        <w:t xml:space="preserve">remains with information </w:t>
      </w:r>
      <w:r w:rsidR="00DC4D16">
        <w:t xml:space="preserve">on </w:t>
      </w:r>
      <w:r>
        <w:t>age</w:t>
      </w:r>
      <w:r w:rsidR="00DC4D16">
        <w:t>,</w:t>
      </w:r>
      <w:r>
        <w:t xml:space="preserve"> Mid-East area</w:t>
      </w:r>
      <w:bookmarkEnd w:id="748"/>
    </w:p>
    <w:p w14:paraId="59EB374A" w14:textId="77777777" w:rsidR="00FE69E4" w:rsidRPr="00FE69E4" w:rsidRDefault="00FE69E4" w:rsidP="00FE69E4"/>
    <w:p w14:paraId="5BAB84BB" w14:textId="4BF49C2C" w:rsidR="001A4F1A" w:rsidRPr="00D6101B" w:rsidRDefault="001A4F1A" w:rsidP="00E858EF">
      <w:pPr>
        <w:pStyle w:val="Titolo4"/>
        <w:keepNext w:val="0"/>
        <w:keepLines w:val="0"/>
        <w:suppressAutoHyphens/>
        <w:rPr>
          <w:color w:val="000000"/>
        </w:rPr>
      </w:pPr>
      <w:bookmarkStart w:id="749" w:name="_Toc517745315"/>
      <w:r w:rsidRPr="00D6101B">
        <w:t>Conclusions</w:t>
      </w:r>
      <w:bookmarkEnd w:id="749"/>
      <w:r w:rsidR="00FE69E4">
        <w:t>,</w:t>
      </w:r>
      <w:r w:rsidR="00193349">
        <w:t xml:space="preserve"> Mid-East area</w:t>
      </w:r>
    </w:p>
    <w:p w14:paraId="5E0FCDED" w14:textId="77777777" w:rsidR="001A4F1A" w:rsidRPr="00D6101B" w:rsidRDefault="001A4F1A" w:rsidP="00E858EF">
      <w:pPr>
        <w:suppressAutoHyphens/>
        <w:autoSpaceDE w:val="0"/>
        <w:autoSpaceDN w:val="0"/>
        <w:adjustRightInd w:val="0"/>
        <w:rPr>
          <w:color w:val="000000"/>
        </w:rPr>
      </w:pPr>
      <w:r w:rsidRPr="00D6101B">
        <w:rPr>
          <w:color w:val="000000"/>
        </w:rPr>
        <w:t xml:space="preserve">From the analysis of </w:t>
      </w:r>
      <w:r>
        <w:rPr>
          <w:color w:val="000000"/>
        </w:rPr>
        <w:t xml:space="preserve">the </w:t>
      </w:r>
      <w:r w:rsidRPr="00D6101B">
        <w:rPr>
          <w:color w:val="000000"/>
        </w:rPr>
        <w:t xml:space="preserve">burials and skeletal remains retrieved in secure tombs with larnakes in the </w:t>
      </w:r>
      <w:r>
        <w:rPr>
          <w:color w:val="000000"/>
        </w:rPr>
        <w:t>Mid-East</w:t>
      </w:r>
      <w:r w:rsidRPr="00D6101B">
        <w:rPr>
          <w:color w:val="000000"/>
        </w:rPr>
        <w:t xml:space="preserve"> area</w:t>
      </w:r>
      <w:r>
        <w:rPr>
          <w:color w:val="000000"/>
        </w:rPr>
        <w:t>,</w:t>
      </w:r>
      <w:r w:rsidRPr="00D6101B">
        <w:rPr>
          <w:color w:val="000000"/>
        </w:rPr>
        <w:t xml:space="preserve"> the most interesting data concern the apparent absence of floor and pit burials in association with clay coffins. Larnakes </w:t>
      </w:r>
      <w:r>
        <w:rPr>
          <w:color w:val="000000"/>
        </w:rPr>
        <w:t>are</w:t>
      </w:r>
      <w:r w:rsidRPr="00D6101B">
        <w:rPr>
          <w:color w:val="000000"/>
        </w:rPr>
        <w:t xml:space="preserve"> a deposition method rarely associated with other type</w:t>
      </w:r>
      <w:r>
        <w:rPr>
          <w:color w:val="000000"/>
        </w:rPr>
        <w:t>s</w:t>
      </w:r>
      <w:r w:rsidRPr="00D6101B">
        <w:rPr>
          <w:color w:val="000000"/>
        </w:rPr>
        <w:t xml:space="preserve"> of receptacle (</w:t>
      </w:r>
      <w:r>
        <w:rPr>
          <w:color w:val="000000"/>
        </w:rPr>
        <w:t xml:space="preserve">e.g. </w:t>
      </w:r>
      <w:r w:rsidRPr="00D6101B">
        <w:rPr>
          <w:color w:val="000000"/>
        </w:rPr>
        <w:t xml:space="preserve">pithoi) and </w:t>
      </w:r>
      <w:r>
        <w:rPr>
          <w:color w:val="000000"/>
        </w:rPr>
        <w:t>often</w:t>
      </w:r>
      <w:r w:rsidRPr="00D6101B">
        <w:rPr>
          <w:color w:val="000000"/>
        </w:rPr>
        <w:t xml:space="preserve"> the only </w:t>
      </w:r>
      <w:r>
        <w:rPr>
          <w:color w:val="000000"/>
        </w:rPr>
        <w:t>method</w:t>
      </w:r>
      <w:r w:rsidRPr="00D6101B">
        <w:rPr>
          <w:color w:val="000000"/>
        </w:rPr>
        <w:t xml:space="preserve"> adopted in a tomb in this region. The use of other types of burial receptacles </w:t>
      </w:r>
      <w:r>
        <w:rPr>
          <w:color w:val="000000"/>
        </w:rPr>
        <w:t>is</w:t>
      </w:r>
      <w:r w:rsidRPr="00D6101B">
        <w:rPr>
          <w:color w:val="000000"/>
        </w:rPr>
        <w:t xml:space="preserve"> attested</w:t>
      </w:r>
      <w:r>
        <w:rPr>
          <w:color w:val="000000"/>
        </w:rPr>
        <w:t>, however, in the same cemeteries in</w:t>
      </w:r>
      <w:r w:rsidRPr="00D6101B">
        <w:rPr>
          <w:color w:val="000000"/>
        </w:rPr>
        <w:t xml:space="preserve"> the area where larnakes have been found, although in other tombs (i.e. probably wooden bier/coffin burials and pithos burials </w:t>
      </w:r>
      <w:r>
        <w:rPr>
          <w:color w:val="000000"/>
        </w:rPr>
        <w:t xml:space="preserve">were </w:t>
      </w:r>
      <w:r w:rsidRPr="00D6101B">
        <w:rPr>
          <w:color w:val="000000"/>
        </w:rPr>
        <w:t>adopted as burial method</w:t>
      </w:r>
      <w:r>
        <w:rPr>
          <w:color w:val="000000"/>
        </w:rPr>
        <w:t>s</w:t>
      </w:r>
      <w:r w:rsidRPr="00D6101B">
        <w:rPr>
          <w:color w:val="000000"/>
        </w:rPr>
        <w:t xml:space="preserve"> in all the other tombs w</w:t>
      </w:r>
      <w:r>
        <w:rPr>
          <w:color w:val="000000"/>
        </w:rPr>
        <w:t>h</w:t>
      </w:r>
      <w:r w:rsidRPr="00D6101B">
        <w:rPr>
          <w:color w:val="000000"/>
        </w:rPr>
        <w:t>ere there are no larnakes at Elounda).</w:t>
      </w:r>
    </w:p>
    <w:p w14:paraId="1F5BEEB1" w14:textId="77777777" w:rsidR="001A4F1A" w:rsidRPr="004F5582" w:rsidRDefault="001A4F1A" w:rsidP="00E858EF">
      <w:pPr>
        <w:suppressAutoHyphens/>
        <w:autoSpaceDE w:val="0"/>
        <w:autoSpaceDN w:val="0"/>
        <w:adjustRightInd w:val="0"/>
        <w:rPr>
          <w:color w:val="000000"/>
        </w:rPr>
      </w:pPr>
      <w:r>
        <w:rPr>
          <w:color w:val="000000"/>
        </w:rPr>
        <w:tab/>
        <w:t>The data indicate a preference</w:t>
      </w:r>
      <w:r w:rsidRPr="00D6101B">
        <w:rPr>
          <w:color w:val="000000"/>
        </w:rPr>
        <w:t xml:space="preserve"> for using a burial receptacle and no floor, pit or bench inhumation</w:t>
      </w:r>
      <w:r>
        <w:rPr>
          <w:color w:val="000000"/>
        </w:rPr>
        <w:t>s</w:t>
      </w:r>
      <w:r w:rsidRPr="00D6101B">
        <w:rPr>
          <w:color w:val="000000"/>
        </w:rPr>
        <w:t xml:space="preserve"> in this area</w:t>
      </w:r>
      <w:r>
        <w:rPr>
          <w:color w:val="000000"/>
        </w:rPr>
        <w:t>. C</w:t>
      </w:r>
      <w:r w:rsidRPr="00D6101B">
        <w:rPr>
          <w:color w:val="000000"/>
        </w:rPr>
        <w:t>onsequently</w:t>
      </w:r>
      <w:r>
        <w:rPr>
          <w:color w:val="000000"/>
        </w:rPr>
        <w:t>,</w:t>
      </w:r>
      <w:r w:rsidRPr="00D6101B">
        <w:rPr>
          <w:color w:val="000000"/>
        </w:rPr>
        <w:t xml:space="preserve"> any differences were expressed through different burial receptacles (chest-bathtub-pithos). This </w:t>
      </w:r>
      <w:r>
        <w:rPr>
          <w:color w:val="000000"/>
        </w:rPr>
        <w:t xml:space="preserve">approach </w:t>
      </w:r>
      <w:r w:rsidRPr="00D6101B">
        <w:rPr>
          <w:color w:val="000000"/>
        </w:rPr>
        <w:t xml:space="preserve">is confirmed if we </w:t>
      </w:r>
      <w:r>
        <w:rPr>
          <w:color w:val="000000"/>
        </w:rPr>
        <w:t>consider</w:t>
      </w:r>
      <w:r w:rsidRPr="00D6101B">
        <w:rPr>
          <w:color w:val="000000"/>
        </w:rPr>
        <w:t xml:space="preserve"> the number of bathtub larnakes attested in burials in this region (11)</w:t>
      </w:r>
      <w:r>
        <w:rPr>
          <w:color w:val="000000"/>
        </w:rPr>
        <w:t>, which</w:t>
      </w:r>
      <w:r w:rsidRPr="00D6101B">
        <w:rPr>
          <w:color w:val="000000"/>
        </w:rPr>
        <w:t xml:space="preserve"> is higher </w:t>
      </w:r>
      <w:r>
        <w:rPr>
          <w:color w:val="000000"/>
        </w:rPr>
        <w:t>than</w:t>
      </w:r>
      <w:r w:rsidRPr="00D6101B">
        <w:rPr>
          <w:color w:val="000000"/>
        </w:rPr>
        <w:t xml:space="preserve"> all the other regions located</w:t>
      </w:r>
      <w:r>
        <w:rPr>
          <w:color w:val="000000"/>
        </w:rPr>
        <w:t xml:space="preserve"> in the</w:t>
      </w:r>
      <w:r w:rsidRPr="00D6101B">
        <w:rPr>
          <w:color w:val="000000"/>
        </w:rPr>
        <w:t xml:space="preserve"> west. The number of larnakes found in a tomb is </w:t>
      </w:r>
      <w:r>
        <w:rPr>
          <w:color w:val="000000"/>
        </w:rPr>
        <w:t>either</w:t>
      </w:r>
      <w:r w:rsidRPr="00D6101B">
        <w:rPr>
          <w:color w:val="000000"/>
        </w:rPr>
        <w:t xml:space="preserve"> one </w:t>
      </w:r>
      <w:r>
        <w:rPr>
          <w:color w:val="000000"/>
        </w:rPr>
        <w:t>or</w:t>
      </w:r>
      <w:r w:rsidRPr="00D6101B">
        <w:rPr>
          <w:color w:val="000000"/>
        </w:rPr>
        <w:t xml:space="preserve"> two</w:t>
      </w:r>
      <w:r>
        <w:rPr>
          <w:color w:val="000000"/>
        </w:rPr>
        <w:t>,</w:t>
      </w:r>
      <w:r w:rsidRPr="00D6101B">
        <w:rPr>
          <w:color w:val="000000"/>
        </w:rPr>
        <w:t xml:space="preserve"> and only </w:t>
      </w:r>
      <w:r>
        <w:rPr>
          <w:color w:val="000000"/>
        </w:rPr>
        <w:t xml:space="preserve">a </w:t>
      </w:r>
      <w:r w:rsidRPr="00D6101B">
        <w:rPr>
          <w:color w:val="000000"/>
        </w:rPr>
        <w:t xml:space="preserve">few tombs </w:t>
      </w:r>
      <w:r>
        <w:rPr>
          <w:color w:val="000000"/>
        </w:rPr>
        <w:t>have</w:t>
      </w:r>
      <w:r w:rsidRPr="00D6101B">
        <w:rPr>
          <w:color w:val="000000"/>
        </w:rPr>
        <w:t xml:space="preserve"> a higher number of coffins, </w:t>
      </w:r>
      <w:r>
        <w:rPr>
          <w:color w:val="000000"/>
        </w:rPr>
        <w:t>but not more than five</w:t>
      </w:r>
      <w:r w:rsidRPr="00D6101B">
        <w:rPr>
          <w:color w:val="000000"/>
        </w:rPr>
        <w:t xml:space="preserve">. </w:t>
      </w:r>
      <w:r w:rsidRPr="00155350">
        <w:t>Th</w:t>
      </w:r>
      <w:r>
        <w:t>e</w:t>
      </w:r>
      <w:r w:rsidRPr="00155350">
        <w:t xml:space="preserve"> data could be related to the architectural features of tombs from these areas (small size of the chamber tombs, cave</w:t>
      </w:r>
      <w:r>
        <w:t>/</w:t>
      </w:r>
      <w:r w:rsidRPr="00155350">
        <w:t>rock shelter</w:t>
      </w:r>
      <w:r>
        <w:t>,</w:t>
      </w:r>
      <w:r w:rsidRPr="00155350">
        <w:t xml:space="preserve"> pits) and confirmed by the evidence from grave goods assemblage</w:t>
      </w:r>
      <w:r>
        <w:t>s</w:t>
      </w:r>
      <w:r w:rsidRPr="00155350">
        <w:t xml:space="preserve"> (low quantity)</w:t>
      </w:r>
      <w:r>
        <w:t>.</w:t>
      </w:r>
      <w:r w:rsidRPr="00155350">
        <w:t xml:space="preserve"> </w:t>
      </w:r>
    </w:p>
    <w:p w14:paraId="24E0BDDD" w14:textId="77777777" w:rsidR="001A4F1A" w:rsidRPr="00D6101B" w:rsidRDefault="001A4F1A" w:rsidP="00E858EF">
      <w:pPr>
        <w:suppressAutoHyphens/>
        <w:autoSpaceDE w:val="0"/>
        <w:autoSpaceDN w:val="0"/>
        <w:adjustRightInd w:val="0"/>
        <w:rPr>
          <w:color w:val="000000"/>
        </w:rPr>
      </w:pPr>
      <w:r>
        <w:rPr>
          <w:color w:val="000000"/>
        </w:rPr>
        <w:tab/>
        <w:t>Regarding</w:t>
      </w:r>
      <w:r w:rsidRPr="00D6101B">
        <w:rPr>
          <w:color w:val="000000"/>
        </w:rPr>
        <w:t xml:space="preserve"> the burial stage</w:t>
      </w:r>
      <w:r>
        <w:rPr>
          <w:color w:val="000000"/>
        </w:rPr>
        <w:t>s,</w:t>
      </w:r>
      <w:r w:rsidRPr="00D6101B">
        <w:rPr>
          <w:color w:val="000000"/>
        </w:rPr>
        <w:t xml:space="preserve"> larnakes seem to have been used mainly for primary depositions. If we consider th</w:t>
      </w:r>
      <w:r>
        <w:rPr>
          <w:color w:val="000000"/>
        </w:rPr>
        <w:t>ese</w:t>
      </w:r>
      <w:r w:rsidRPr="00D6101B">
        <w:rPr>
          <w:color w:val="000000"/>
        </w:rPr>
        <w:t xml:space="preserve"> data in connection with the </w:t>
      </w:r>
      <w:r>
        <w:rPr>
          <w:color w:val="000000"/>
        </w:rPr>
        <w:t>low</w:t>
      </w:r>
      <w:r w:rsidRPr="00D6101B">
        <w:rPr>
          <w:color w:val="000000"/>
        </w:rPr>
        <w:t xml:space="preserve"> number of other deposition methods associated with larnakes in this region, it </w:t>
      </w:r>
      <w:r>
        <w:rPr>
          <w:color w:val="000000"/>
        </w:rPr>
        <w:t>is</w:t>
      </w:r>
      <w:r w:rsidRPr="00D6101B">
        <w:rPr>
          <w:color w:val="000000"/>
        </w:rPr>
        <w:t xml:space="preserve"> possible either that tombs with larnakes and larnakes</w:t>
      </w:r>
      <w:r>
        <w:rPr>
          <w:color w:val="000000"/>
        </w:rPr>
        <w:t xml:space="preserve"> themselves</w:t>
      </w:r>
      <w:r w:rsidRPr="00D6101B">
        <w:rPr>
          <w:color w:val="000000"/>
        </w:rPr>
        <w:t xml:space="preserve"> </w:t>
      </w:r>
      <w:r>
        <w:rPr>
          <w:color w:val="000000"/>
        </w:rPr>
        <w:t xml:space="preserve">were </w:t>
      </w:r>
      <w:r w:rsidRPr="00D6101B">
        <w:rPr>
          <w:color w:val="000000"/>
        </w:rPr>
        <w:t xml:space="preserve">not </w:t>
      </w:r>
      <w:r>
        <w:rPr>
          <w:color w:val="000000"/>
        </w:rPr>
        <w:t>often</w:t>
      </w:r>
      <w:r w:rsidRPr="00D6101B">
        <w:rPr>
          <w:color w:val="000000"/>
        </w:rPr>
        <w:t xml:space="preserve"> reused in the </w:t>
      </w:r>
      <w:r>
        <w:rPr>
          <w:color w:val="000000"/>
        </w:rPr>
        <w:t>Mid-East</w:t>
      </w:r>
      <w:r w:rsidRPr="00D6101B">
        <w:rPr>
          <w:color w:val="000000"/>
        </w:rPr>
        <w:t xml:space="preserve"> area, or that the </w:t>
      </w:r>
      <w:r>
        <w:rPr>
          <w:color w:val="000000"/>
        </w:rPr>
        <w:t>skeletal remains</w:t>
      </w:r>
      <w:r w:rsidRPr="00D6101B">
        <w:rPr>
          <w:color w:val="000000"/>
        </w:rPr>
        <w:t xml:space="preserve"> belonging to the previous burials were moved </w:t>
      </w:r>
      <w:r>
        <w:rPr>
          <w:color w:val="000000"/>
        </w:rPr>
        <w:t>somewhere other</w:t>
      </w:r>
      <w:r w:rsidRPr="00D6101B">
        <w:rPr>
          <w:color w:val="000000"/>
        </w:rPr>
        <w:t xml:space="preserve"> than the tomb. Th</w:t>
      </w:r>
      <w:r>
        <w:rPr>
          <w:color w:val="000000"/>
        </w:rPr>
        <w:t>e</w:t>
      </w:r>
      <w:r w:rsidRPr="00D6101B">
        <w:rPr>
          <w:color w:val="000000"/>
        </w:rPr>
        <w:t xml:space="preserve"> data </w:t>
      </w:r>
      <w:r>
        <w:rPr>
          <w:color w:val="000000"/>
        </w:rPr>
        <w:t>are</w:t>
      </w:r>
      <w:r w:rsidRPr="00D6101B">
        <w:rPr>
          <w:color w:val="000000"/>
        </w:rPr>
        <w:t xml:space="preserve"> particularly </w:t>
      </w:r>
      <w:r>
        <w:rPr>
          <w:color w:val="000000"/>
        </w:rPr>
        <w:t>suggestive for the</w:t>
      </w:r>
      <w:r w:rsidRPr="00D6101B">
        <w:rPr>
          <w:color w:val="000000"/>
        </w:rPr>
        <w:t xml:space="preserve"> Elounda cemetery</w:t>
      </w:r>
      <w:r>
        <w:rPr>
          <w:color w:val="000000"/>
        </w:rPr>
        <w:t>,</w:t>
      </w:r>
      <w:r w:rsidRPr="00D6101B">
        <w:rPr>
          <w:color w:val="000000"/>
        </w:rPr>
        <w:t xml:space="preserve"> where</w:t>
      </w:r>
      <w:r>
        <w:rPr>
          <w:color w:val="000000"/>
        </w:rPr>
        <w:t>,</w:t>
      </w:r>
      <w:r w:rsidRPr="00D6101B">
        <w:rPr>
          <w:color w:val="000000"/>
        </w:rPr>
        <w:t xml:space="preserve"> </w:t>
      </w:r>
      <w:r>
        <w:rPr>
          <w:color w:val="000000"/>
        </w:rPr>
        <w:t xml:space="preserve">in all the tombs, only a single </w:t>
      </w:r>
      <w:r w:rsidRPr="00D6101B">
        <w:rPr>
          <w:color w:val="000000"/>
        </w:rPr>
        <w:t>burial within</w:t>
      </w:r>
      <w:r>
        <w:rPr>
          <w:color w:val="000000"/>
        </w:rPr>
        <w:t xml:space="preserve"> a</w:t>
      </w:r>
      <w:r w:rsidRPr="00D6101B">
        <w:rPr>
          <w:color w:val="000000"/>
        </w:rPr>
        <w:t xml:space="preserve"> larnax has been found and</w:t>
      </w:r>
      <w:r>
        <w:rPr>
          <w:color w:val="000000"/>
        </w:rPr>
        <w:t>,</w:t>
      </w:r>
      <w:r w:rsidRPr="00D6101B">
        <w:rPr>
          <w:color w:val="000000"/>
        </w:rPr>
        <w:t xml:space="preserve"> in the case of three tombs</w:t>
      </w:r>
      <w:r>
        <w:rPr>
          <w:color w:val="000000"/>
        </w:rPr>
        <w:t>,</w:t>
      </w:r>
      <w:r w:rsidRPr="00D6101B">
        <w:rPr>
          <w:color w:val="000000"/>
        </w:rPr>
        <w:t xml:space="preserve"> two individual</w:t>
      </w:r>
      <w:r>
        <w:rPr>
          <w:color w:val="000000"/>
        </w:rPr>
        <w:t xml:space="preserve">s were </w:t>
      </w:r>
      <w:r w:rsidRPr="00D6101B">
        <w:rPr>
          <w:color w:val="000000"/>
        </w:rPr>
        <w:t xml:space="preserve">in a larnax. </w:t>
      </w:r>
    </w:p>
    <w:p w14:paraId="5CE09EA6" w14:textId="766180FD" w:rsidR="001A4F1A" w:rsidRPr="00D6101B" w:rsidRDefault="001A4F1A" w:rsidP="00E858EF">
      <w:pPr>
        <w:suppressAutoHyphens/>
        <w:autoSpaceDE w:val="0"/>
        <w:autoSpaceDN w:val="0"/>
        <w:adjustRightInd w:val="0"/>
        <w:rPr>
          <w:color w:val="000000"/>
        </w:rPr>
      </w:pPr>
      <w:r>
        <w:rPr>
          <w:color w:val="000000"/>
        </w:rPr>
        <w:tab/>
      </w:r>
      <w:r w:rsidRPr="00D6101B">
        <w:rPr>
          <w:color w:val="000000"/>
        </w:rPr>
        <w:t>In comparison with Elounda,</w:t>
      </w:r>
      <w:r>
        <w:rPr>
          <w:color w:val="000000"/>
        </w:rPr>
        <w:t xml:space="preserve"> the</w:t>
      </w:r>
      <w:r w:rsidRPr="00D6101B">
        <w:rPr>
          <w:color w:val="000000"/>
        </w:rPr>
        <w:t xml:space="preserve"> </w:t>
      </w:r>
      <w:r w:rsidR="00F7367B">
        <w:rPr>
          <w:color w:val="000000"/>
        </w:rPr>
        <w:t>Malia</w:t>
      </w:r>
      <w:r w:rsidRPr="00D6101B">
        <w:rPr>
          <w:color w:val="000000"/>
        </w:rPr>
        <w:t xml:space="preserve"> and Milatos cemeteries </w:t>
      </w:r>
      <w:r>
        <w:rPr>
          <w:color w:val="000000"/>
        </w:rPr>
        <w:t>have</w:t>
      </w:r>
      <w:r w:rsidRPr="00D6101B">
        <w:rPr>
          <w:color w:val="000000"/>
        </w:rPr>
        <w:t xml:space="preserve"> a higher number of burials per tomb</w:t>
      </w:r>
      <w:r>
        <w:rPr>
          <w:color w:val="000000"/>
        </w:rPr>
        <w:t>,</w:t>
      </w:r>
      <w:r w:rsidRPr="00D6101B">
        <w:rPr>
          <w:color w:val="000000"/>
        </w:rPr>
        <w:t xml:space="preserve"> although the information available </w:t>
      </w:r>
      <w:r>
        <w:rPr>
          <w:color w:val="000000"/>
        </w:rPr>
        <w:t>for</w:t>
      </w:r>
      <w:r w:rsidRPr="00D6101B">
        <w:rPr>
          <w:color w:val="000000"/>
        </w:rPr>
        <w:t xml:space="preserve"> both </w:t>
      </w:r>
      <w:r>
        <w:rPr>
          <w:color w:val="000000"/>
        </w:rPr>
        <w:t>is</w:t>
      </w:r>
      <w:r w:rsidRPr="00D6101B">
        <w:rPr>
          <w:color w:val="000000"/>
        </w:rPr>
        <w:t xml:space="preserve"> very poor due to looting</w:t>
      </w:r>
      <w:r>
        <w:rPr>
          <w:color w:val="000000"/>
        </w:rPr>
        <w:t>,</w:t>
      </w:r>
      <w:r w:rsidRPr="00D6101B">
        <w:rPr>
          <w:color w:val="000000"/>
        </w:rPr>
        <w:t xml:space="preserve"> </w:t>
      </w:r>
      <w:r>
        <w:rPr>
          <w:color w:val="000000"/>
        </w:rPr>
        <w:t>which</w:t>
      </w:r>
      <w:r w:rsidRPr="00D6101B">
        <w:rPr>
          <w:color w:val="000000"/>
        </w:rPr>
        <w:t xml:space="preserve"> ha</w:t>
      </w:r>
      <w:r>
        <w:rPr>
          <w:color w:val="000000"/>
        </w:rPr>
        <w:t>s</w:t>
      </w:r>
      <w:r w:rsidRPr="00D6101B">
        <w:rPr>
          <w:color w:val="000000"/>
        </w:rPr>
        <w:t xml:space="preserve"> deeply disturbed the tombs.</w:t>
      </w:r>
    </w:p>
    <w:p w14:paraId="30333E91" w14:textId="77777777" w:rsidR="001A4F1A" w:rsidRPr="00D6101B" w:rsidRDefault="001A4F1A" w:rsidP="00E858EF">
      <w:pPr>
        <w:suppressAutoHyphens/>
        <w:autoSpaceDE w:val="0"/>
        <w:autoSpaceDN w:val="0"/>
        <w:adjustRightInd w:val="0"/>
        <w:rPr>
          <w:color w:val="000000"/>
        </w:rPr>
      </w:pPr>
      <w:r>
        <w:rPr>
          <w:color w:val="000000"/>
        </w:rPr>
        <w:tab/>
        <w:t>Furthermore, regarding</w:t>
      </w:r>
      <w:r w:rsidRPr="00D6101B">
        <w:rPr>
          <w:color w:val="000000"/>
        </w:rPr>
        <w:t xml:space="preserve"> the introduction of cremated burials in pyxi</w:t>
      </w:r>
      <w:r>
        <w:rPr>
          <w:color w:val="000000"/>
        </w:rPr>
        <w:t>des</w:t>
      </w:r>
      <w:r w:rsidRPr="00D6101B">
        <w:rPr>
          <w:color w:val="000000"/>
        </w:rPr>
        <w:t xml:space="preserve"> within a tomb with </w:t>
      </w:r>
      <w:r>
        <w:rPr>
          <w:color w:val="000000"/>
        </w:rPr>
        <w:t xml:space="preserve">a </w:t>
      </w:r>
      <w:r w:rsidRPr="00D6101B">
        <w:rPr>
          <w:color w:val="000000"/>
        </w:rPr>
        <w:t>larnax burial</w:t>
      </w:r>
      <w:r>
        <w:rPr>
          <w:color w:val="000000"/>
        </w:rPr>
        <w:t>,</w:t>
      </w:r>
      <w:r w:rsidRPr="00D6101B">
        <w:rPr>
          <w:color w:val="000000"/>
        </w:rPr>
        <w:t xml:space="preserve"> </w:t>
      </w:r>
      <w:r>
        <w:rPr>
          <w:color w:val="000000"/>
        </w:rPr>
        <w:t>b</w:t>
      </w:r>
      <w:r w:rsidRPr="00D6101B">
        <w:rPr>
          <w:color w:val="000000"/>
        </w:rPr>
        <w:t>urial location</w:t>
      </w:r>
      <w:r>
        <w:rPr>
          <w:color w:val="000000"/>
        </w:rPr>
        <w:t>s</w:t>
      </w:r>
      <w:r w:rsidRPr="00D6101B">
        <w:rPr>
          <w:color w:val="000000"/>
        </w:rPr>
        <w:t xml:space="preserve"> in use in this region during LM IIIA-B for larnax burials </w:t>
      </w:r>
      <w:r>
        <w:rPr>
          <w:color w:val="000000"/>
        </w:rPr>
        <w:t xml:space="preserve">were </w:t>
      </w:r>
      <w:r w:rsidRPr="00D6101B">
        <w:rPr>
          <w:color w:val="000000"/>
        </w:rPr>
        <w:t xml:space="preserve">still in use in the </w:t>
      </w:r>
      <w:r>
        <w:rPr>
          <w:color w:val="000000"/>
        </w:rPr>
        <w:t>final</w:t>
      </w:r>
      <w:r w:rsidRPr="00D6101B">
        <w:rPr>
          <w:color w:val="000000"/>
        </w:rPr>
        <w:t xml:space="preserve"> phase</w:t>
      </w:r>
      <w:r>
        <w:rPr>
          <w:color w:val="000000"/>
        </w:rPr>
        <w:t xml:space="preserve"> of</w:t>
      </w:r>
      <w:r w:rsidRPr="00D6101B">
        <w:rPr>
          <w:color w:val="000000"/>
        </w:rPr>
        <w:t xml:space="preserve"> LM IIIC</w:t>
      </w:r>
      <w:r>
        <w:rPr>
          <w:color w:val="000000"/>
        </w:rPr>
        <w:t>.</w:t>
      </w:r>
      <w:r w:rsidRPr="00D6101B">
        <w:rPr>
          <w:color w:val="000000"/>
        </w:rPr>
        <w:t xml:space="preserve"> </w:t>
      </w:r>
      <w:r>
        <w:rPr>
          <w:color w:val="000000"/>
        </w:rPr>
        <w:t>It was during this final phase that</w:t>
      </w:r>
      <w:r w:rsidRPr="00D6101B">
        <w:rPr>
          <w:color w:val="000000"/>
        </w:rPr>
        <w:t xml:space="preserve"> the burial practice of cremation </w:t>
      </w:r>
      <w:r>
        <w:rPr>
          <w:color w:val="000000"/>
        </w:rPr>
        <w:t>began</w:t>
      </w:r>
      <w:r w:rsidRPr="00D6101B">
        <w:rPr>
          <w:color w:val="000000"/>
        </w:rPr>
        <w:t xml:space="preserve"> to be introduced, </w:t>
      </w:r>
      <w:r>
        <w:rPr>
          <w:color w:val="000000"/>
        </w:rPr>
        <w:t xml:space="preserve">revealing </w:t>
      </w:r>
      <w:r w:rsidRPr="00D6101B">
        <w:rPr>
          <w:color w:val="000000"/>
        </w:rPr>
        <w:t xml:space="preserve">a </w:t>
      </w:r>
      <w:r>
        <w:rPr>
          <w:color w:val="000000"/>
        </w:rPr>
        <w:t>form</w:t>
      </w:r>
      <w:r w:rsidRPr="00D6101B">
        <w:rPr>
          <w:color w:val="000000"/>
        </w:rPr>
        <w:t xml:space="preserve"> of continuity and </w:t>
      </w:r>
      <w:r>
        <w:rPr>
          <w:color w:val="000000"/>
        </w:rPr>
        <w:t>dispensing with the</w:t>
      </w:r>
      <w:r w:rsidRPr="00D6101B">
        <w:rPr>
          <w:color w:val="000000"/>
        </w:rPr>
        <w:t xml:space="preserve"> need to build new tombs and cemeteries, even if new burial customs were introduced.</w:t>
      </w:r>
    </w:p>
    <w:p w14:paraId="38F4089C" w14:textId="77777777" w:rsidR="001A4F1A" w:rsidRPr="00D6101B" w:rsidRDefault="001A4F1A" w:rsidP="00E858EF">
      <w:pPr>
        <w:suppressAutoHyphens/>
        <w:autoSpaceDE w:val="0"/>
        <w:autoSpaceDN w:val="0"/>
        <w:adjustRightInd w:val="0"/>
        <w:rPr>
          <w:color w:val="000000"/>
        </w:rPr>
      </w:pPr>
      <w:r>
        <w:rPr>
          <w:color w:val="000000"/>
        </w:rPr>
        <w:tab/>
        <w:t>Regarding</w:t>
      </w:r>
      <w:r w:rsidRPr="00D6101B">
        <w:rPr>
          <w:color w:val="000000"/>
        </w:rPr>
        <w:t xml:space="preserve"> the burials dated t</w:t>
      </w:r>
      <w:r>
        <w:rPr>
          <w:color w:val="000000"/>
        </w:rPr>
        <w:t>o</w:t>
      </w:r>
      <w:r w:rsidRPr="00D6101B">
        <w:rPr>
          <w:color w:val="000000"/>
        </w:rPr>
        <w:t xml:space="preserve"> the </w:t>
      </w:r>
      <w:r>
        <w:rPr>
          <w:color w:val="000000"/>
        </w:rPr>
        <w:t>final</w:t>
      </w:r>
      <w:r w:rsidRPr="00D6101B">
        <w:rPr>
          <w:color w:val="000000"/>
        </w:rPr>
        <w:t xml:space="preserve"> phase </w:t>
      </w:r>
      <w:r>
        <w:rPr>
          <w:color w:val="000000"/>
        </w:rPr>
        <w:t>o</w:t>
      </w:r>
      <w:r w:rsidRPr="00D6101B">
        <w:rPr>
          <w:color w:val="000000"/>
        </w:rPr>
        <w:t>f LM IIIC (i.e. Kritsa Lakkoi, Plati)</w:t>
      </w:r>
      <w:r>
        <w:rPr>
          <w:color w:val="000000"/>
        </w:rPr>
        <w:t>,</w:t>
      </w:r>
      <w:r w:rsidRPr="00D6101B">
        <w:rPr>
          <w:color w:val="000000"/>
        </w:rPr>
        <w:t xml:space="preserve"> it is highly possible that </w:t>
      </w:r>
      <w:r>
        <w:rPr>
          <w:color w:val="000000"/>
        </w:rPr>
        <w:t xml:space="preserve">the </w:t>
      </w:r>
      <w:r w:rsidRPr="00D6101B">
        <w:rPr>
          <w:color w:val="000000"/>
        </w:rPr>
        <w:t>larnax burials within these tombs belong to the</w:t>
      </w:r>
      <w:r>
        <w:rPr>
          <w:color w:val="000000"/>
        </w:rPr>
        <w:t>ir</w:t>
      </w:r>
      <w:r w:rsidRPr="00D6101B">
        <w:rPr>
          <w:color w:val="000000"/>
        </w:rPr>
        <w:t xml:space="preserve"> initial phase of use, as at Plati, where the larnax burial within the pit </w:t>
      </w:r>
      <w:r>
        <w:rPr>
          <w:color w:val="000000"/>
        </w:rPr>
        <w:t>is</w:t>
      </w:r>
      <w:r w:rsidRPr="00D6101B">
        <w:rPr>
          <w:color w:val="000000"/>
        </w:rPr>
        <w:t xml:space="preserve"> the earlier burial, above which the corbel</w:t>
      </w:r>
      <w:r>
        <w:rPr>
          <w:color w:val="000000"/>
        </w:rPr>
        <w:t>-</w:t>
      </w:r>
      <w:r w:rsidRPr="00D6101B">
        <w:rPr>
          <w:color w:val="000000"/>
        </w:rPr>
        <w:t>vaulted tomb and a further deposition</w:t>
      </w:r>
      <w:r>
        <w:rPr>
          <w:color w:val="000000"/>
        </w:rPr>
        <w:t xml:space="preserve"> were</w:t>
      </w:r>
      <w:r w:rsidRPr="00D6101B">
        <w:rPr>
          <w:color w:val="000000"/>
        </w:rPr>
        <w:t xml:space="preserve"> probably added (Dawkins 1913-4:</w:t>
      </w:r>
      <w:r>
        <w:rPr>
          <w:color w:val="000000"/>
        </w:rPr>
        <w:t xml:space="preserve"> </w:t>
      </w:r>
      <w:r w:rsidRPr="00D6101B">
        <w:rPr>
          <w:color w:val="000000"/>
        </w:rPr>
        <w:t>13-15).</w:t>
      </w:r>
    </w:p>
    <w:p w14:paraId="04FB0A8A" w14:textId="77777777" w:rsidR="001A4F1A" w:rsidRPr="00D6101B" w:rsidRDefault="001A4F1A" w:rsidP="00E858EF">
      <w:pPr>
        <w:suppressAutoHyphens/>
        <w:autoSpaceDE w:val="0"/>
        <w:autoSpaceDN w:val="0"/>
        <w:adjustRightInd w:val="0"/>
        <w:rPr>
          <w:color w:val="000000"/>
        </w:rPr>
      </w:pPr>
      <w:r>
        <w:rPr>
          <w:color w:val="000000"/>
        </w:rPr>
        <w:tab/>
        <w:t>Regarding</w:t>
      </w:r>
      <w:r w:rsidRPr="00D6101B">
        <w:rPr>
          <w:color w:val="000000"/>
        </w:rPr>
        <w:t xml:space="preserve"> Kritsa Lakkoi </w:t>
      </w:r>
      <w:r>
        <w:rPr>
          <w:color w:val="000000"/>
        </w:rPr>
        <w:t>T</w:t>
      </w:r>
      <w:r w:rsidRPr="00D6101B">
        <w:rPr>
          <w:color w:val="000000"/>
        </w:rPr>
        <w:t>omb C</w:t>
      </w:r>
      <w:r>
        <w:rPr>
          <w:color w:val="000000"/>
        </w:rPr>
        <w:t>,</w:t>
      </w:r>
      <w:r w:rsidRPr="00D6101B">
        <w:rPr>
          <w:color w:val="000000"/>
        </w:rPr>
        <w:t xml:space="preserve"> the </w:t>
      </w:r>
      <w:r w:rsidRPr="004F5582">
        <w:rPr>
          <w:i/>
          <w:color w:val="000000"/>
        </w:rPr>
        <w:t>terminus post quem</w:t>
      </w:r>
      <w:r w:rsidRPr="00D6101B">
        <w:rPr>
          <w:color w:val="000000"/>
        </w:rPr>
        <w:t xml:space="preserve"> of the tomb is LM IIIB</w:t>
      </w:r>
      <w:r>
        <w:rPr>
          <w:color w:val="000000"/>
        </w:rPr>
        <w:t>,</w:t>
      </w:r>
      <w:r w:rsidRPr="00D6101B">
        <w:rPr>
          <w:color w:val="000000"/>
        </w:rPr>
        <w:t xml:space="preserve"> according to the imported stirrup jar (Kydonia workshop) found in the discard in the dromos, while the inhumation</w:t>
      </w:r>
      <w:r>
        <w:rPr>
          <w:color w:val="000000"/>
        </w:rPr>
        <w:t>s,</w:t>
      </w:r>
      <w:r w:rsidRPr="00D6101B">
        <w:rPr>
          <w:color w:val="000000"/>
        </w:rPr>
        <w:t xml:space="preserve"> both in larnakes and on the floor, belong to LM IIIC (Tsipopoulou</w:t>
      </w:r>
      <w:r>
        <w:rPr>
          <w:color w:val="000000"/>
        </w:rPr>
        <w:t xml:space="preserve"> and</w:t>
      </w:r>
      <w:r w:rsidRPr="00D6101B">
        <w:rPr>
          <w:color w:val="000000"/>
        </w:rPr>
        <w:t xml:space="preserve"> Vagnetti 2006: 203). A following phase of use </w:t>
      </w:r>
      <w:r>
        <w:rPr>
          <w:color w:val="000000"/>
        </w:rPr>
        <w:t>of the tomb (later in LM IIIC?)</w:t>
      </w:r>
      <w:r w:rsidRPr="00D6101B">
        <w:rPr>
          <w:color w:val="000000"/>
        </w:rPr>
        <w:t xml:space="preserve"> is represented by</w:t>
      </w:r>
      <w:r>
        <w:rPr>
          <w:color w:val="000000"/>
        </w:rPr>
        <w:t xml:space="preserve"> the pithos burial. </w:t>
      </w:r>
      <w:r w:rsidRPr="00D6101B">
        <w:rPr>
          <w:color w:val="000000"/>
        </w:rPr>
        <w:t xml:space="preserve">Unfortunately, the information concerning gender and age are very poor and are available only for a sample of three tombs, </w:t>
      </w:r>
      <w:r>
        <w:rPr>
          <w:color w:val="000000"/>
        </w:rPr>
        <w:t>despite</w:t>
      </w:r>
      <w:r w:rsidRPr="00D6101B">
        <w:rPr>
          <w:color w:val="000000"/>
        </w:rPr>
        <w:t xml:space="preserve"> both gender</w:t>
      </w:r>
      <w:r>
        <w:rPr>
          <w:color w:val="000000"/>
        </w:rPr>
        <w:t>s</w:t>
      </w:r>
      <w:r w:rsidRPr="00D6101B">
        <w:rPr>
          <w:color w:val="000000"/>
        </w:rPr>
        <w:t xml:space="preserve"> and all the age groups hav</w:t>
      </w:r>
      <w:r>
        <w:rPr>
          <w:color w:val="000000"/>
        </w:rPr>
        <w:t>ing</w:t>
      </w:r>
      <w:r w:rsidRPr="00D6101B">
        <w:rPr>
          <w:color w:val="000000"/>
        </w:rPr>
        <w:t xml:space="preserve"> been registered (adult, young, children).</w:t>
      </w:r>
      <w:r>
        <w:rPr>
          <w:color w:val="000000"/>
        </w:rPr>
        <w:t xml:space="preserve"> </w:t>
      </w:r>
      <w:r w:rsidRPr="00D6101B">
        <w:rPr>
          <w:color w:val="000000"/>
        </w:rPr>
        <w:t xml:space="preserve">The best tombs in terms of skeletal remains data available </w:t>
      </w:r>
      <w:r>
        <w:rPr>
          <w:color w:val="000000"/>
        </w:rPr>
        <w:t>are</w:t>
      </w:r>
      <w:r w:rsidRPr="00D6101B">
        <w:rPr>
          <w:color w:val="000000"/>
        </w:rPr>
        <w:t xml:space="preserve"> the following:</w:t>
      </w:r>
    </w:p>
    <w:p w14:paraId="2DCFF6A6" w14:textId="77777777" w:rsidR="001A4F1A" w:rsidRPr="00D6101B" w:rsidRDefault="001A4F1A" w:rsidP="00E858EF">
      <w:pPr>
        <w:pStyle w:val="Paragrafoelenco"/>
        <w:numPr>
          <w:ilvl w:val="0"/>
          <w:numId w:val="34"/>
        </w:numPr>
        <w:suppressAutoHyphens/>
        <w:autoSpaceDE w:val="0"/>
        <w:autoSpaceDN w:val="0"/>
        <w:adjustRightInd w:val="0"/>
        <w:rPr>
          <w:color w:val="000000"/>
        </w:rPr>
      </w:pPr>
      <w:r w:rsidRPr="00D6101B">
        <w:rPr>
          <w:color w:val="000000"/>
        </w:rPr>
        <w:t xml:space="preserve">All the tombs with larnakes from Elounda, even if there </w:t>
      </w:r>
      <w:r>
        <w:rPr>
          <w:color w:val="000000"/>
        </w:rPr>
        <w:t>is</w:t>
      </w:r>
      <w:r w:rsidRPr="00D6101B">
        <w:rPr>
          <w:color w:val="000000"/>
        </w:rPr>
        <w:t xml:space="preserve"> no information </w:t>
      </w:r>
      <w:r>
        <w:rPr>
          <w:color w:val="000000"/>
        </w:rPr>
        <w:t>regarding</w:t>
      </w:r>
      <w:r w:rsidRPr="00D6101B">
        <w:rPr>
          <w:color w:val="000000"/>
        </w:rPr>
        <w:t xml:space="preserve"> gender and age</w:t>
      </w:r>
      <w:r>
        <w:rPr>
          <w:color w:val="000000"/>
        </w:rPr>
        <w:t>.</w:t>
      </w:r>
      <w:r w:rsidRPr="00D6101B">
        <w:rPr>
          <w:color w:val="000000"/>
        </w:rPr>
        <w:t xml:space="preserve"> </w:t>
      </w:r>
      <w:r>
        <w:rPr>
          <w:color w:val="000000"/>
        </w:rPr>
        <w:t>These tombs are</w:t>
      </w:r>
      <w:r w:rsidRPr="00D6101B">
        <w:rPr>
          <w:color w:val="000000"/>
        </w:rPr>
        <w:t xml:space="preserve"> interesting to</w:t>
      </w:r>
      <w:r>
        <w:rPr>
          <w:color w:val="000000"/>
        </w:rPr>
        <w:t xml:space="preserve"> help</w:t>
      </w:r>
      <w:r w:rsidRPr="00D6101B">
        <w:rPr>
          <w:color w:val="000000"/>
        </w:rPr>
        <w:t xml:space="preserve"> understand </w:t>
      </w:r>
      <w:r>
        <w:rPr>
          <w:color w:val="000000"/>
        </w:rPr>
        <w:t>whether</w:t>
      </w:r>
      <w:r w:rsidRPr="00D6101B">
        <w:rPr>
          <w:color w:val="000000"/>
        </w:rPr>
        <w:t xml:space="preserve"> the grave goods</w:t>
      </w:r>
      <w:r>
        <w:rPr>
          <w:color w:val="000000"/>
        </w:rPr>
        <w:t xml:space="preserve"> are associated</w:t>
      </w:r>
      <w:r w:rsidRPr="00D6101B">
        <w:rPr>
          <w:color w:val="000000"/>
        </w:rPr>
        <w:t xml:space="preserve"> </w:t>
      </w:r>
      <w:r>
        <w:rPr>
          <w:color w:val="000000"/>
        </w:rPr>
        <w:t>with</w:t>
      </w:r>
      <w:r w:rsidRPr="00D6101B">
        <w:rPr>
          <w:color w:val="000000"/>
        </w:rPr>
        <w:t xml:space="preserve"> a single burial</w:t>
      </w:r>
      <w:r>
        <w:rPr>
          <w:color w:val="000000"/>
        </w:rPr>
        <w:t>,</w:t>
      </w:r>
      <w:r w:rsidRPr="00D6101B">
        <w:rPr>
          <w:color w:val="000000"/>
        </w:rPr>
        <w:t xml:space="preserve"> as </w:t>
      </w:r>
      <w:r>
        <w:rPr>
          <w:color w:val="000000"/>
        </w:rPr>
        <w:t>indicated by</w:t>
      </w:r>
      <w:r w:rsidRPr="00D6101B">
        <w:rPr>
          <w:color w:val="000000"/>
        </w:rPr>
        <w:t xml:space="preserve"> the skeletal remains</w:t>
      </w:r>
      <w:r>
        <w:rPr>
          <w:color w:val="000000"/>
        </w:rPr>
        <w:t>,</w:t>
      </w:r>
      <w:r w:rsidRPr="00D6101B">
        <w:rPr>
          <w:color w:val="000000"/>
        </w:rPr>
        <w:t xml:space="preserve"> or </w:t>
      </w:r>
      <w:r>
        <w:rPr>
          <w:color w:val="000000"/>
        </w:rPr>
        <w:t>whether</w:t>
      </w:r>
      <w:r w:rsidRPr="00D6101B">
        <w:rPr>
          <w:color w:val="000000"/>
        </w:rPr>
        <w:t xml:space="preserve"> they can be </w:t>
      </w:r>
      <w:r>
        <w:rPr>
          <w:color w:val="000000"/>
        </w:rPr>
        <w:t>linked</w:t>
      </w:r>
      <w:r w:rsidRPr="00D6101B">
        <w:rPr>
          <w:color w:val="000000"/>
        </w:rPr>
        <w:t xml:space="preserve"> to more than one burial</w:t>
      </w:r>
      <w:r>
        <w:rPr>
          <w:color w:val="000000"/>
        </w:rPr>
        <w:t>.</w:t>
      </w:r>
    </w:p>
    <w:p w14:paraId="1E35FFB8" w14:textId="77777777" w:rsidR="001A4F1A" w:rsidRPr="00D6101B" w:rsidRDefault="001A4F1A" w:rsidP="00E858EF">
      <w:pPr>
        <w:pStyle w:val="Paragrafoelenco"/>
        <w:numPr>
          <w:ilvl w:val="0"/>
          <w:numId w:val="34"/>
        </w:numPr>
        <w:suppressAutoHyphens/>
        <w:autoSpaceDE w:val="0"/>
        <w:autoSpaceDN w:val="0"/>
        <w:adjustRightInd w:val="0"/>
        <w:rPr>
          <w:color w:val="000000"/>
        </w:rPr>
      </w:pPr>
      <w:r>
        <w:rPr>
          <w:color w:val="000000"/>
        </w:rPr>
        <w:t>The t</w:t>
      </w:r>
      <w:r w:rsidRPr="00D6101B">
        <w:rPr>
          <w:color w:val="000000"/>
        </w:rPr>
        <w:t xml:space="preserve">omb at Kritsa Lakkoi, </w:t>
      </w:r>
      <w:r>
        <w:rPr>
          <w:color w:val="000000"/>
        </w:rPr>
        <w:t xml:space="preserve">which is </w:t>
      </w:r>
      <w:r w:rsidRPr="00D6101B">
        <w:rPr>
          <w:color w:val="000000"/>
        </w:rPr>
        <w:t xml:space="preserve">one of the few tombs in the area </w:t>
      </w:r>
      <w:r>
        <w:rPr>
          <w:color w:val="000000"/>
        </w:rPr>
        <w:t xml:space="preserve">with </w:t>
      </w:r>
      <w:r w:rsidRPr="00D6101B">
        <w:rPr>
          <w:color w:val="000000"/>
        </w:rPr>
        <w:t xml:space="preserve">more than one </w:t>
      </w:r>
      <w:r>
        <w:rPr>
          <w:color w:val="000000"/>
        </w:rPr>
        <w:t xml:space="preserve">attested </w:t>
      </w:r>
      <w:r w:rsidRPr="00D6101B">
        <w:rPr>
          <w:color w:val="000000"/>
        </w:rPr>
        <w:t>deposition method</w:t>
      </w:r>
      <w:r>
        <w:rPr>
          <w:color w:val="000000"/>
        </w:rPr>
        <w:t>,</w:t>
      </w:r>
      <w:r w:rsidRPr="00D6101B">
        <w:rPr>
          <w:color w:val="000000"/>
        </w:rPr>
        <w:t xml:space="preserve"> even if there </w:t>
      </w:r>
      <w:r>
        <w:rPr>
          <w:color w:val="000000"/>
        </w:rPr>
        <w:t>is</w:t>
      </w:r>
      <w:r w:rsidRPr="00D6101B">
        <w:rPr>
          <w:color w:val="000000"/>
        </w:rPr>
        <w:t xml:space="preserve"> no information about gender </w:t>
      </w:r>
      <w:r>
        <w:rPr>
          <w:color w:val="000000"/>
        </w:rPr>
        <w:t>or</w:t>
      </w:r>
      <w:r w:rsidRPr="00D6101B">
        <w:rPr>
          <w:color w:val="000000"/>
        </w:rPr>
        <w:t xml:space="preserve"> age (floor deposition and pithos interment)</w:t>
      </w:r>
      <w:r>
        <w:rPr>
          <w:color w:val="000000"/>
        </w:rPr>
        <w:t>.</w:t>
      </w:r>
    </w:p>
    <w:p w14:paraId="189FFF47" w14:textId="77777777" w:rsidR="001A4F1A" w:rsidRPr="00D6101B" w:rsidRDefault="001A4F1A" w:rsidP="00E858EF">
      <w:pPr>
        <w:pStyle w:val="Paragrafoelenco"/>
        <w:numPr>
          <w:ilvl w:val="0"/>
          <w:numId w:val="34"/>
        </w:numPr>
        <w:suppressAutoHyphens/>
        <w:autoSpaceDE w:val="0"/>
        <w:autoSpaceDN w:val="0"/>
        <w:adjustRightInd w:val="0"/>
        <w:rPr>
          <w:color w:val="000000"/>
        </w:rPr>
      </w:pPr>
      <w:r>
        <w:rPr>
          <w:color w:val="000000"/>
        </w:rPr>
        <w:t>Mal</w:t>
      </w:r>
      <w:r w:rsidRPr="00D6101B">
        <w:rPr>
          <w:color w:val="000000"/>
        </w:rPr>
        <w:t>ia Pierres Meulieres</w:t>
      </w:r>
      <w:r>
        <w:rPr>
          <w:color w:val="000000"/>
        </w:rPr>
        <w:t>,</w:t>
      </w:r>
      <w:r w:rsidRPr="00D6101B">
        <w:rPr>
          <w:color w:val="000000"/>
        </w:rPr>
        <w:t xml:space="preserve"> for the same reason </w:t>
      </w:r>
      <w:r>
        <w:rPr>
          <w:color w:val="000000"/>
        </w:rPr>
        <w:t xml:space="preserve">as </w:t>
      </w:r>
      <w:r w:rsidRPr="00D6101B">
        <w:rPr>
          <w:color w:val="000000"/>
        </w:rPr>
        <w:t>above (pithos burial and cremation in a pyxis)</w:t>
      </w:r>
      <w:r>
        <w:rPr>
          <w:color w:val="000000"/>
        </w:rPr>
        <w:t>.</w:t>
      </w:r>
    </w:p>
    <w:p w14:paraId="4D10FA91" w14:textId="77777777" w:rsidR="001A4F1A" w:rsidRPr="00D6101B" w:rsidRDefault="001A4F1A" w:rsidP="00E858EF">
      <w:pPr>
        <w:pStyle w:val="Paragrafoelenco"/>
        <w:numPr>
          <w:ilvl w:val="0"/>
          <w:numId w:val="34"/>
        </w:numPr>
        <w:suppressAutoHyphens/>
        <w:autoSpaceDE w:val="0"/>
        <w:autoSpaceDN w:val="0"/>
        <w:adjustRightInd w:val="0"/>
        <w:rPr>
          <w:color w:val="000000"/>
        </w:rPr>
      </w:pPr>
      <w:r w:rsidRPr="00D6101B">
        <w:rPr>
          <w:color w:val="000000"/>
        </w:rPr>
        <w:t xml:space="preserve">Milatos </w:t>
      </w:r>
      <w:r>
        <w:rPr>
          <w:color w:val="000000"/>
        </w:rPr>
        <w:t>T</w:t>
      </w:r>
      <w:r w:rsidRPr="00D6101B">
        <w:rPr>
          <w:color w:val="000000"/>
        </w:rPr>
        <w:t>omb 2</w:t>
      </w:r>
      <w:r>
        <w:rPr>
          <w:color w:val="000000"/>
        </w:rPr>
        <w:t>,</w:t>
      </w:r>
      <w:r w:rsidRPr="00D6101B">
        <w:rPr>
          <w:color w:val="000000"/>
        </w:rPr>
        <w:t xml:space="preserve"> where there is information about the gender of the two primary burials within two of the three larnakes.</w:t>
      </w:r>
    </w:p>
    <w:p w14:paraId="2B1847C3" w14:textId="47948FCA" w:rsidR="001A4F1A" w:rsidRPr="00D6101B" w:rsidRDefault="001A4F1A" w:rsidP="00E858EF">
      <w:pPr>
        <w:pStyle w:val="Titolo3"/>
        <w:keepNext w:val="0"/>
        <w:keepLines w:val="0"/>
        <w:suppressAutoHyphens/>
      </w:pPr>
      <w:bookmarkStart w:id="750" w:name="_Toc389508236"/>
      <w:bookmarkStart w:id="751" w:name="_Toc517745316"/>
      <w:bookmarkStart w:id="752" w:name="_Toc519894656"/>
      <w:r>
        <w:t>Far-East</w:t>
      </w:r>
      <w:r w:rsidRPr="00D6101B">
        <w:t xml:space="preserve"> </w:t>
      </w:r>
      <w:r w:rsidR="007C6F5C">
        <w:t xml:space="preserve">area </w:t>
      </w:r>
      <w:r w:rsidRPr="00D6101B">
        <w:t>(skeletal remains)</w:t>
      </w:r>
      <w:bookmarkEnd w:id="750"/>
      <w:bookmarkEnd w:id="751"/>
      <w:bookmarkEnd w:id="752"/>
    </w:p>
    <w:p w14:paraId="5D85C181" w14:textId="295D1A51" w:rsidR="001A4F1A" w:rsidRPr="00D6101B" w:rsidRDefault="001A4F1A" w:rsidP="00E858EF">
      <w:pPr>
        <w:pStyle w:val="Titolo4"/>
        <w:keepNext w:val="0"/>
        <w:keepLines w:val="0"/>
        <w:suppressAutoHyphens/>
      </w:pPr>
      <w:bookmarkStart w:id="753" w:name="_Toc389508237"/>
      <w:bookmarkStart w:id="754" w:name="_Toc517745317"/>
      <w:r>
        <w:t>Far-East</w:t>
      </w:r>
      <w:r w:rsidRPr="00D6101B">
        <w:t xml:space="preserve"> </w:t>
      </w:r>
      <w:r w:rsidR="007C6F5C">
        <w:t xml:space="preserve">area </w:t>
      </w:r>
      <w:r w:rsidRPr="00D6101B">
        <w:t>analysis</w:t>
      </w:r>
      <w:bookmarkEnd w:id="753"/>
      <w:bookmarkEnd w:id="754"/>
      <w:r w:rsidRPr="00D6101B">
        <w:t xml:space="preserve"> </w:t>
      </w:r>
    </w:p>
    <w:p w14:paraId="6F5D5E82"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The minimum number of burials estimated for the sample of </w:t>
      </w:r>
      <w:r>
        <w:rPr>
          <w:color w:val="000000"/>
        </w:rPr>
        <w:t xml:space="preserve">secure </w:t>
      </w:r>
      <w:r w:rsidRPr="00D6101B">
        <w:rPr>
          <w:color w:val="000000"/>
        </w:rPr>
        <w:t>tombs with larnakes in</w:t>
      </w:r>
      <w:r>
        <w:rPr>
          <w:color w:val="000000"/>
        </w:rPr>
        <w:t xml:space="preserve"> the</w:t>
      </w:r>
      <w:r w:rsidRPr="00D6101B">
        <w:rPr>
          <w:color w:val="000000"/>
        </w:rPr>
        <w:t xml:space="preserve"> </w:t>
      </w:r>
      <w:r>
        <w:rPr>
          <w:color w:val="000000"/>
        </w:rPr>
        <w:t>Far-East</w:t>
      </w:r>
      <w:r w:rsidRPr="00D6101B">
        <w:rPr>
          <w:color w:val="000000"/>
        </w:rPr>
        <w:t xml:space="preserve"> area </w:t>
      </w:r>
      <w:r>
        <w:rPr>
          <w:color w:val="000000"/>
        </w:rPr>
        <w:t>is</w:t>
      </w:r>
      <w:r w:rsidRPr="00D6101B">
        <w:rPr>
          <w:color w:val="000000"/>
        </w:rPr>
        <w:t xml:space="preserve"> 188. </w:t>
      </w:r>
    </w:p>
    <w:p w14:paraId="6BFF8999" w14:textId="77777777" w:rsidR="001A4F1A"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454EB3D5" w14:textId="4C19498A" w:rsidR="001A4F1A" w:rsidRPr="00D6101B" w:rsidRDefault="001A4F1A" w:rsidP="00E858EF">
      <w:pPr>
        <w:pStyle w:val="Testofumetto"/>
        <w:suppressAutoHyphens/>
      </w:pPr>
      <w:bookmarkStart w:id="755" w:name="_Toc520212600"/>
      <w:r>
        <w:t>Table 4-26 Information concerning number of burials in tombs with larnakes</w:t>
      </w:r>
      <w:r w:rsidR="00DC4D16">
        <w:t>,</w:t>
      </w:r>
      <w:r>
        <w:t xml:space="preserve"> Far-East </w:t>
      </w:r>
      <w:bookmarkEnd w:id="755"/>
      <w:r w:rsidR="00DC4D16">
        <w:t>area</w:t>
      </w:r>
    </w:p>
    <w:tbl>
      <w:tblPr>
        <w:tblW w:w="83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5"/>
        <w:gridCol w:w="1400"/>
        <w:gridCol w:w="1436"/>
        <w:gridCol w:w="1399"/>
        <w:gridCol w:w="1415"/>
        <w:gridCol w:w="1216"/>
      </w:tblGrid>
      <w:tr w:rsidR="001A4F1A" w:rsidRPr="00FE69E4" w14:paraId="7E0113F8" w14:textId="77777777" w:rsidTr="00FE69E4">
        <w:tc>
          <w:tcPr>
            <w:tcW w:w="1435" w:type="dxa"/>
          </w:tcPr>
          <w:p w14:paraId="7755D8F4" w14:textId="77777777" w:rsidR="001A4F1A" w:rsidRPr="00FE69E4" w:rsidRDefault="001A4F1A" w:rsidP="00FE69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E69E4">
              <w:rPr>
                <w:color w:val="000000"/>
                <w:sz w:val="20"/>
              </w:rPr>
              <w:t>Total number of secure tombs with larnax ME</w:t>
            </w:r>
          </w:p>
        </w:tc>
        <w:tc>
          <w:tcPr>
            <w:tcW w:w="1400" w:type="dxa"/>
          </w:tcPr>
          <w:p w14:paraId="3370FC08" w14:textId="77777777" w:rsidR="001A4F1A" w:rsidRPr="00FE69E4" w:rsidRDefault="001A4F1A" w:rsidP="00FE69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E69E4">
              <w:rPr>
                <w:color w:val="000000"/>
                <w:sz w:val="20"/>
              </w:rPr>
              <w:t>Minimum number of estimated burials</w:t>
            </w:r>
          </w:p>
        </w:tc>
        <w:tc>
          <w:tcPr>
            <w:tcW w:w="1436" w:type="dxa"/>
          </w:tcPr>
          <w:p w14:paraId="10818E42" w14:textId="77777777" w:rsidR="001A4F1A" w:rsidRPr="00FE69E4" w:rsidRDefault="001A4F1A" w:rsidP="00FE69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E69E4">
              <w:rPr>
                <w:color w:val="000000"/>
                <w:sz w:val="20"/>
              </w:rPr>
              <w:t>Mean number of burials per tomb</w:t>
            </w:r>
          </w:p>
        </w:tc>
        <w:tc>
          <w:tcPr>
            <w:tcW w:w="1399" w:type="dxa"/>
          </w:tcPr>
          <w:p w14:paraId="553B3B2A" w14:textId="77777777" w:rsidR="001A4F1A" w:rsidRPr="00FE69E4" w:rsidRDefault="001A4F1A" w:rsidP="00FE69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E69E4">
              <w:rPr>
                <w:color w:val="000000"/>
                <w:sz w:val="20"/>
              </w:rPr>
              <w:t>Minimum number of estimated burials per tomb</w:t>
            </w:r>
          </w:p>
        </w:tc>
        <w:tc>
          <w:tcPr>
            <w:tcW w:w="1415" w:type="dxa"/>
          </w:tcPr>
          <w:p w14:paraId="5C599525" w14:textId="77777777" w:rsidR="001A4F1A" w:rsidRPr="00FE69E4" w:rsidRDefault="001A4F1A" w:rsidP="00FE69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E69E4">
              <w:rPr>
                <w:color w:val="000000"/>
                <w:sz w:val="20"/>
              </w:rPr>
              <w:t>Maximum number of estimated burials per tomb</w:t>
            </w:r>
          </w:p>
        </w:tc>
        <w:tc>
          <w:tcPr>
            <w:tcW w:w="1216" w:type="dxa"/>
          </w:tcPr>
          <w:p w14:paraId="73BB92F1" w14:textId="77777777" w:rsidR="001A4F1A" w:rsidRPr="00FE69E4" w:rsidRDefault="001A4F1A" w:rsidP="00FE69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E69E4">
              <w:rPr>
                <w:color w:val="000000"/>
                <w:sz w:val="20"/>
              </w:rPr>
              <w:t>Maximum number of larnakes per tomb</w:t>
            </w:r>
          </w:p>
        </w:tc>
      </w:tr>
      <w:tr w:rsidR="001A4F1A" w:rsidRPr="00FE69E4" w14:paraId="301DC59B" w14:textId="77777777" w:rsidTr="00FE69E4">
        <w:tc>
          <w:tcPr>
            <w:tcW w:w="1435" w:type="dxa"/>
          </w:tcPr>
          <w:p w14:paraId="0A680B01" w14:textId="77777777" w:rsidR="001A4F1A" w:rsidRPr="00FE69E4" w:rsidRDefault="001A4F1A" w:rsidP="00FE69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rPr>
            </w:pPr>
            <w:r w:rsidRPr="00FE69E4">
              <w:rPr>
                <w:b/>
                <w:color w:val="000000"/>
                <w:sz w:val="20"/>
              </w:rPr>
              <w:t>77</w:t>
            </w:r>
          </w:p>
        </w:tc>
        <w:tc>
          <w:tcPr>
            <w:tcW w:w="1400" w:type="dxa"/>
          </w:tcPr>
          <w:p w14:paraId="547AED38" w14:textId="77777777" w:rsidR="001A4F1A" w:rsidRPr="00FE69E4" w:rsidRDefault="001A4F1A" w:rsidP="00FE69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E69E4">
              <w:rPr>
                <w:color w:val="000000"/>
                <w:sz w:val="20"/>
              </w:rPr>
              <w:t>188</w:t>
            </w:r>
          </w:p>
        </w:tc>
        <w:tc>
          <w:tcPr>
            <w:tcW w:w="1436" w:type="dxa"/>
          </w:tcPr>
          <w:p w14:paraId="0AEB5E9B" w14:textId="77777777" w:rsidR="001A4F1A" w:rsidRPr="00FE69E4" w:rsidRDefault="001A4F1A" w:rsidP="00FE69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E69E4">
              <w:rPr>
                <w:color w:val="000000"/>
                <w:sz w:val="20"/>
              </w:rPr>
              <w:t>2.4</w:t>
            </w:r>
          </w:p>
        </w:tc>
        <w:tc>
          <w:tcPr>
            <w:tcW w:w="1399" w:type="dxa"/>
          </w:tcPr>
          <w:p w14:paraId="02990AF2" w14:textId="77777777" w:rsidR="001A4F1A" w:rsidRPr="00FE69E4" w:rsidRDefault="001A4F1A" w:rsidP="00FE69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E69E4">
              <w:rPr>
                <w:color w:val="000000"/>
                <w:sz w:val="20"/>
              </w:rPr>
              <w:t>1</w:t>
            </w:r>
          </w:p>
        </w:tc>
        <w:tc>
          <w:tcPr>
            <w:tcW w:w="1415" w:type="dxa"/>
          </w:tcPr>
          <w:p w14:paraId="4445A6F4" w14:textId="77777777" w:rsidR="001A4F1A" w:rsidRPr="00FE69E4" w:rsidRDefault="001A4F1A" w:rsidP="00FE69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E69E4">
              <w:rPr>
                <w:color w:val="000000"/>
                <w:sz w:val="20"/>
              </w:rPr>
              <w:t>20</w:t>
            </w:r>
          </w:p>
        </w:tc>
        <w:tc>
          <w:tcPr>
            <w:tcW w:w="1216" w:type="dxa"/>
          </w:tcPr>
          <w:p w14:paraId="3F22AB98" w14:textId="77777777" w:rsidR="001A4F1A" w:rsidRPr="00FE69E4" w:rsidRDefault="001A4F1A" w:rsidP="00FE69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E69E4">
              <w:rPr>
                <w:color w:val="000000"/>
                <w:sz w:val="20"/>
              </w:rPr>
              <w:t>8</w:t>
            </w:r>
          </w:p>
        </w:tc>
      </w:tr>
    </w:tbl>
    <w:p w14:paraId="0132878E"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0A870790"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In this region</w:t>
      </w:r>
      <w:r>
        <w:rPr>
          <w:color w:val="000000"/>
        </w:rPr>
        <w:t>,</w:t>
      </w:r>
      <w:r w:rsidRPr="00D6101B">
        <w:rPr>
          <w:color w:val="000000"/>
        </w:rPr>
        <w:t xml:space="preserve"> the maximum number of estimated burials per tomb </w:t>
      </w:r>
      <w:r>
        <w:rPr>
          <w:color w:val="000000"/>
        </w:rPr>
        <w:t>is</w:t>
      </w:r>
      <w:r w:rsidRPr="00D6101B">
        <w:rPr>
          <w:color w:val="000000"/>
        </w:rPr>
        <w:t xml:space="preserve"> </w:t>
      </w:r>
      <w:r>
        <w:rPr>
          <w:color w:val="000000"/>
        </w:rPr>
        <w:t>20,</w:t>
      </w:r>
      <w:r w:rsidRPr="00D6101B">
        <w:rPr>
          <w:color w:val="000000"/>
        </w:rPr>
        <w:t xml:space="preserve"> from </w:t>
      </w:r>
      <w:r>
        <w:rPr>
          <w:color w:val="000000"/>
        </w:rPr>
        <w:t>the</w:t>
      </w:r>
      <w:r w:rsidRPr="00D6101B">
        <w:rPr>
          <w:color w:val="000000"/>
        </w:rPr>
        <w:t xml:space="preserve"> rock</w:t>
      </w:r>
      <w:r>
        <w:rPr>
          <w:color w:val="000000"/>
        </w:rPr>
        <w:t>/</w:t>
      </w:r>
      <w:r w:rsidRPr="00D6101B">
        <w:rPr>
          <w:color w:val="000000"/>
        </w:rPr>
        <w:t xml:space="preserve">cave tomb found </w:t>
      </w:r>
      <w:r>
        <w:rPr>
          <w:color w:val="000000"/>
        </w:rPr>
        <w:t>at the foot of Petsofa</w:t>
      </w:r>
      <w:r w:rsidRPr="00D6101B">
        <w:rPr>
          <w:color w:val="000000"/>
        </w:rPr>
        <w:t>. There</w:t>
      </w:r>
      <w:r>
        <w:rPr>
          <w:color w:val="000000"/>
        </w:rPr>
        <w:t xml:space="preserve">, the remains of a </w:t>
      </w:r>
      <w:r w:rsidRPr="00D6101B">
        <w:rPr>
          <w:color w:val="000000"/>
        </w:rPr>
        <w:t>tomb</w:t>
      </w:r>
      <w:r>
        <w:rPr>
          <w:color w:val="000000"/>
        </w:rPr>
        <w:t xml:space="preserve"> dated by Dawkins to LM II (corresponding to LM IIIA)</w:t>
      </w:r>
      <w:r w:rsidRPr="00D6101B">
        <w:rPr>
          <w:color w:val="000000"/>
        </w:rPr>
        <w:t xml:space="preserve"> were destroyed and reused in LM III</w:t>
      </w:r>
      <w:r>
        <w:rPr>
          <w:color w:val="000000"/>
        </w:rPr>
        <w:t xml:space="preserve"> (Preston 2000: 541, appendix G)</w:t>
      </w:r>
      <w:r w:rsidRPr="00D6101B">
        <w:rPr>
          <w:color w:val="000000"/>
        </w:rPr>
        <w:t>. In this tomb</w:t>
      </w:r>
      <w:r>
        <w:rPr>
          <w:color w:val="000000"/>
        </w:rPr>
        <w:t>,</w:t>
      </w:r>
      <w:r w:rsidRPr="00D6101B">
        <w:rPr>
          <w:color w:val="000000"/>
        </w:rPr>
        <w:t xml:space="preserve"> two bathtub larnakes </w:t>
      </w:r>
      <w:r>
        <w:rPr>
          <w:color w:val="000000"/>
        </w:rPr>
        <w:t>were</w:t>
      </w:r>
      <w:r w:rsidRPr="00D6101B">
        <w:rPr>
          <w:color w:val="000000"/>
        </w:rPr>
        <w:t xml:space="preserve"> found. In one tub</w:t>
      </w:r>
      <w:r>
        <w:rPr>
          <w:color w:val="000000"/>
        </w:rPr>
        <w:t>,</w:t>
      </w:r>
      <w:r w:rsidRPr="00D6101B">
        <w:rPr>
          <w:color w:val="000000"/>
        </w:rPr>
        <w:t xml:space="preserve"> </w:t>
      </w:r>
      <w:r>
        <w:rPr>
          <w:color w:val="000000"/>
        </w:rPr>
        <w:t>five</w:t>
      </w:r>
      <w:r w:rsidRPr="00D6101B">
        <w:rPr>
          <w:color w:val="000000"/>
        </w:rPr>
        <w:t xml:space="preserve"> skulls </w:t>
      </w:r>
      <w:r>
        <w:rPr>
          <w:color w:val="000000"/>
        </w:rPr>
        <w:t>were</w:t>
      </w:r>
      <w:r w:rsidRPr="00D6101B">
        <w:rPr>
          <w:color w:val="000000"/>
        </w:rPr>
        <w:t xml:space="preserve"> </w:t>
      </w:r>
      <w:r>
        <w:rPr>
          <w:color w:val="000000"/>
        </w:rPr>
        <w:t>placed;</w:t>
      </w:r>
      <w:r w:rsidRPr="00D6101B">
        <w:rPr>
          <w:color w:val="000000"/>
        </w:rPr>
        <w:t xml:space="preserve"> while in the other</w:t>
      </w:r>
      <w:r>
        <w:rPr>
          <w:color w:val="000000"/>
        </w:rPr>
        <w:t>,</w:t>
      </w:r>
      <w:r w:rsidRPr="00D6101B">
        <w:rPr>
          <w:color w:val="000000"/>
        </w:rPr>
        <w:t xml:space="preserve"> along with two skulls</w:t>
      </w:r>
      <w:r>
        <w:rPr>
          <w:color w:val="000000"/>
        </w:rPr>
        <w:t>,</w:t>
      </w:r>
      <w:r w:rsidRPr="00D6101B">
        <w:rPr>
          <w:color w:val="000000"/>
        </w:rPr>
        <w:t xml:space="preserve"> long bones </w:t>
      </w:r>
      <w:r>
        <w:rPr>
          <w:color w:val="000000"/>
        </w:rPr>
        <w:t>were</w:t>
      </w:r>
      <w:r w:rsidRPr="00D6101B">
        <w:rPr>
          <w:color w:val="000000"/>
        </w:rPr>
        <w:t xml:space="preserve"> found. A total of six skulls </w:t>
      </w:r>
      <w:r>
        <w:rPr>
          <w:color w:val="000000"/>
        </w:rPr>
        <w:t>were</w:t>
      </w:r>
      <w:r w:rsidRPr="00D6101B">
        <w:rPr>
          <w:color w:val="000000"/>
        </w:rPr>
        <w:t xml:space="preserve"> found on the floor, three of which </w:t>
      </w:r>
      <w:r>
        <w:rPr>
          <w:color w:val="000000"/>
        </w:rPr>
        <w:t xml:space="preserve">were </w:t>
      </w:r>
      <w:r w:rsidRPr="00D6101B">
        <w:rPr>
          <w:color w:val="000000"/>
        </w:rPr>
        <w:t xml:space="preserve">below the larnakes, while bones belonging to </w:t>
      </w:r>
      <w:r>
        <w:rPr>
          <w:color w:val="000000"/>
        </w:rPr>
        <w:t xml:space="preserve">a </w:t>
      </w:r>
      <w:r w:rsidRPr="00D6101B">
        <w:rPr>
          <w:color w:val="000000"/>
        </w:rPr>
        <w:t xml:space="preserve">further </w:t>
      </w:r>
      <w:r>
        <w:rPr>
          <w:color w:val="000000"/>
        </w:rPr>
        <w:t>seven</w:t>
      </w:r>
      <w:r w:rsidRPr="00D6101B">
        <w:rPr>
          <w:color w:val="000000"/>
        </w:rPr>
        <w:t xml:space="preserve"> individuals </w:t>
      </w:r>
      <w:r>
        <w:rPr>
          <w:color w:val="000000"/>
        </w:rPr>
        <w:t>were found</w:t>
      </w:r>
      <w:r w:rsidRPr="00D6101B">
        <w:rPr>
          <w:color w:val="000000"/>
        </w:rPr>
        <w:t xml:space="preserve"> </w:t>
      </w:r>
      <w:r>
        <w:rPr>
          <w:color w:val="000000"/>
        </w:rPr>
        <w:t>in</w:t>
      </w:r>
      <w:r w:rsidRPr="00D6101B">
        <w:rPr>
          <w:color w:val="000000"/>
        </w:rPr>
        <w:t xml:space="preserve"> the fill. The high number of skeletal remains concentrated in one larnax, on the floor and in the fill, </w:t>
      </w:r>
      <w:r>
        <w:rPr>
          <w:color w:val="000000"/>
        </w:rPr>
        <w:t>suggests</w:t>
      </w:r>
      <w:r w:rsidRPr="00D6101B">
        <w:rPr>
          <w:color w:val="000000"/>
        </w:rPr>
        <w:t xml:space="preserve"> the hypothesis that these are secondary burials and</w:t>
      </w:r>
      <w:r>
        <w:rPr>
          <w:color w:val="000000"/>
        </w:rPr>
        <w:t xml:space="preserve"> that</w:t>
      </w:r>
      <w:r w:rsidRPr="00D6101B">
        <w:rPr>
          <w:color w:val="000000"/>
        </w:rPr>
        <w:t xml:space="preserve"> the larnakes were used as ossuar</w:t>
      </w:r>
      <w:r>
        <w:rPr>
          <w:color w:val="000000"/>
        </w:rPr>
        <w:t>ies</w:t>
      </w:r>
      <w:r w:rsidRPr="00D6101B">
        <w:rPr>
          <w:color w:val="000000"/>
        </w:rPr>
        <w:t xml:space="preserve"> rather than for primary interments (Dawkins 1904-5: 290-92).</w:t>
      </w:r>
    </w:p>
    <w:p w14:paraId="7939E2E5"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 xml:space="preserve">The maximum number of larnakes per tomb </w:t>
      </w:r>
      <w:r>
        <w:rPr>
          <w:color w:val="000000"/>
        </w:rPr>
        <w:t>is</w:t>
      </w:r>
      <w:r w:rsidRPr="00D6101B">
        <w:rPr>
          <w:color w:val="000000"/>
        </w:rPr>
        <w:t xml:space="preserve"> eight</w:t>
      </w:r>
      <w:r>
        <w:rPr>
          <w:color w:val="000000"/>
        </w:rPr>
        <w:t>,</w:t>
      </w:r>
      <w:r w:rsidRPr="00D6101B">
        <w:rPr>
          <w:color w:val="000000"/>
        </w:rPr>
        <w:t xml:space="preserve"> </w:t>
      </w:r>
      <w:r>
        <w:rPr>
          <w:color w:val="000000"/>
        </w:rPr>
        <w:t>which was found</w:t>
      </w:r>
      <w:r w:rsidRPr="00D6101B">
        <w:rPr>
          <w:color w:val="000000"/>
        </w:rPr>
        <w:t xml:space="preserve"> in two tombs at Palaikastro (Palaikastro </w:t>
      </w:r>
      <w:r>
        <w:rPr>
          <w:color w:val="000000"/>
        </w:rPr>
        <w:t xml:space="preserve">Aspa 5-9; Palaikastro Mesonisi). </w:t>
      </w:r>
      <w:r w:rsidRPr="00D6101B">
        <w:rPr>
          <w:color w:val="000000"/>
        </w:rPr>
        <w:t xml:space="preserve">The average number of individuals buried in tombs with larnakes within the region </w:t>
      </w:r>
      <w:r>
        <w:rPr>
          <w:color w:val="000000"/>
        </w:rPr>
        <w:t>is</w:t>
      </w:r>
      <w:r w:rsidRPr="00D6101B">
        <w:rPr>
          <w:color w:val="000000"/>
        </w:rPr>
        <w:t xml:space="preserve"> 2</w:t>
      </w:r>
      <w:r>
        <w:rPr>
          <w:color w:val="000000"/>
        </w:rPr>
        <w:t>.</w:t>
      </w:r>
      <w:r w:rsidRPr="00D6101B">
        <w:rPr>
          <w:color w:val="000000"/>
        </w:rPr>
        <w:t>5. In fact, except</w:t>
      </w:r>
      <w:r>
        <w:rPr>
          <w:color w:val="000000"/>
        </w:rPr>
        <w:t xml:space="preserve"> for</w:t>
      </w:r>
      <w:r w:rsidRPr="00D6101B">
        <w:rPr>
          <w:color w:val="000000"/>
        </w:rPr>
        <w:t xml:space="preserve"> the </w:t>
      </w:r>
      <w:r>
        <w:rPr>
          <w:color w:val="000000"/>
        </w:rPr>
        <w:t>20</w:t>
      </w:r>
      <w:r w:rsidRPr="00D6101B">
        <w:rPr>
          <w:color w:val="000000"/>
        </w:rPr>
        <w:t xml:space="preserve"> individual</w:t>
      </w:r>
      <w:r>
        <w:rPr>
          <w:color w:val="000000"/>
        </w:rPr>
        <w:t>s</w:t>
      </w:r>
      <w:r w:rsidRPr="00D6101B">
        <w:rPr>
          <w:color w:val="000000"/>
        </w:rPr>
        <w:t xml:space="preserve"> in the rock/cave tomb at </w:t>
      </w:r>
      <w:r>
        <w:rPr>
          <w:color w:val="000000"/>
        </w:rPr>
        <w:t xml:space="preserve">the </w:t>
      </w:r>
      <w:r w:rsidRPr="00D6101B">
        <w:rPr>
          <w:color w:val="000000"/>
        </w:rPr>
        <w:t xml:space="preserve">foot of Petsofà, and the two tombs with </w:t>
      </w:r>
      <w:r>
        <w:rPr>
          <w:color w:val="000000"/>
        </w:rPr>
        <w:t>eight</w:t>
      </w:r>
      <w:r w:rsidRPr="00D6101B">
        <w:rPr>
          <w:color w:val="000000"/>
        </w:rPr>
        <w:t xml:space="preserve"> larnakes, the m</w:t>
      </w:r>
      <w:r>
        <w:rPr>
          <w:color w:val="000000"/>
        </w:rPr>
        <w:t xml:space="preserve">aximum </w:t>
      </w:r>
      <w:r w:rsidRPr="00D6101B">
        <w:rPr>
          <w:color w:val="000000"/>
        </w:rPr>
        <w:t xml:space="preserve">number of burials per tomb is between </w:t>
      </w:r>
      <w:r>
        <w:rPr>
          <w:color w:val="000000"/>
        </w:rPr>
        <w:t>one</w:t>
      </w:r>
      <w:r w:rsidRPr="00D6101B">
        <w:rPr>
          <w:color w:val="000000"/>
        </w:rPr>
        <w:t xml:space="preserve"> and </w:t>
      </w:r>
      <w:r>
        <w:rPr>
          <w:color w:val="000000"/>
        </w:rPr>
        <w:t>five</w:t>
      </w:r>
      <w:r w:rsidRPr="00D6101B">
        <w:rPr>
          <w:color w:val="000000"/>
        </w:rPr>
        <w:t>.</w:t>
      </w:r>
    </w:p>
    <w:p w14:paraId="3CC270C0"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 xml:space="preserve">Information about </w:t>
      </w:r>
      <w:r>
        <w:rPr>
          <w:color w:val="000000"/>
        </w:rPr>
        <w:t xml:space="preserve">the </w:t>
      </w:r>
      <w:r w:rsidRPr="00D6101B">
        <w:rPr>
          <w:color w:val="000000"/>
        </w:rPr>
        <w:t xml:space="preserve">burials and skeletal remains </w:t>
      </w:r>
      <w:r>
        <w:rPr>
          <w:color w:val="000000"/>
        </w:rPr>
        <w:t>is</w:t>
      </w:r>
      <w:r w:rsidRPr="00D6101B">
        <w:rPr>
          <w:color w:val="000000"/>
        </w:rPr>
        <w:t xml:space="preserve"> available for 49% of the sample of</w:t>
      </w:r>
      <w:r>
        <w:rPr>
          <w:color w:val="000000"/>
        </w:rPr>
        <w:t xml:space="preserve"> secure</w:t>
      </w:r>
      <w:r w:rsidRPr="00D6101B">
        <w:rPr>
          <w:color w:val="000000"/>
        </w:rPr>
        <w:t xml:space="preserve"> tombs with larnakes. Within this sample</w:t>
      </w:r>
      <w:r>
        <w:rPr>
          <w:color w:val="000000"/>
        </w:rPr>
        <w:t>,</w:t>
      </w:r>
      <w:r w:rsidRPr="00D6101B">
        <w:rPr>
          <w:color w:val="000000"/>
        </w:rPr>
        <w:t xml:space="preserve"> </w:t>
      </w:r>
      <w:r>
        <w:rPr>
          <w:color w:val="000000"/>
        </w:rPr>
        <w:t xml:space="preserve">the percentage of </w:t>
      </w:r>
      <w:r w:rsidRPr="00D6101B">
        <w:rPr>
          <w:color w:val="000000"/>
        </w:rPr>
        <w:t xml:space="preserve">tombs where skeletal remains have been reported in association only with larnakes and no other deposition methods have been found associated in the same tomb </w:t>
      </w:r>
      <w:r>
        <w:rPr>
          <w:color w:val="000000"/>
        </w:rPr>
        <w:t>is</w:t>
      </w:r>
      <w:r w:rsidRPr="00D6101B">
        <w:rPr>
          <w:color w:val="000000"/>
        </w:rPr>
        <w:t xml:space="preserve"> 54%.</w:t>
      </w:r>
    </w:p>
    <w:p w14:paraId="0A6C5A3C"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Regarding</w:t>
      </w:r>
      <w:r w:rsidRPr="00D6101B">
        <w:rPr>
          <w:color w:val="000000"/>
        </w:rPr>
        <w:t xml:space="preserve"> other interment type</w:t>
      </w:r>
      <w:r>
        <w:rPr>
          <w:color w:val="000000"/>
        </w:rPr>
        <w:t>s</w:t>
      </w:r>
      <w:r w:rsidRPr="00D6101B">
        <w:rPr>
          <w:color w:val="000000"/>
        </w:rPr>
        <w:t xml:space="preserve"> used </w:t>
      </w:r>
      <w:r>
        <w:rPr>
          <w:color w:val="000000"/>
        </w:rPr>
        <w:t>in addition to</w:t>
      </w:r>
      <w:r w:rsidRPr="00D6101B">
        <w:rPr>
          <w:color w:val="000000"/>
        </w:rPr>
        <w:t xml:space="preserve"> larnakes in the remaining 46% of tombs, the other type of container</w:t>
      </w:r>
      <w:r>
        <w:rPr>
          <w:color w:val="000000"/>
        </w:rPr>
        <w:t>s</w:t>
      </w:r>
      <w:r w:rsidRPr="00D6101B">
        <w:rPr>
          <w:color w:val="000000"/>
        </w:rPr>
        <w:t xml:space="preserve"> associated</w:t>
      </w:r>
      <w:r>
        <w:rPr>
          <w:color w:val="000000"/>
        </w:rPr>
        <w:t xml:space="preserve"> are </w:t>
      </w:r>
      <w:r w:rsidRPr="00D6101B">
        <w:rPr>
          <w:color w:val="000000"/>
        </w:rPr>
        <w:t>pithoi</w:t>
      </w:r>
      <w:r>
        <w:rPr>
          <w:color w:val="000000"/>
        </w:rPr>
        <w:t>, which were found at the following:</w:t>
      </w:r>
      <w:r w:rsidRPr="00D6101B">
        <w:rPr>
          <w:color w:val="000000"/>
        </w:rPr>
        <w:t xml:space="preserve"> </w:t>
      </w:r>
    </w:p>
    <w:p w14:paraId="79CE5329" w14:textId="77777777" w:rsidR="001A4F1A" w:rsidRPr="00D6101B" w:rsidRDefault="001A4F1A" w:rsidP="00E858EF">
      <w:pPr>
        <w:pStyle w:val="Paragrafoelenco"/>
        <w:numPr>
          <w:ilvl w:val="0"/>
          <w:numId w:val="3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rPr>
          <w:color w:val="000000"/>
        </w:rPr>
      </w:pPr>
      <w:r w:rsidRPr="00D6101B">
        <w:rPr>
          <w:color w:val="000000"/>
        </w:rPr>
        <w:t>In a cave rock/shelter at Berati Piskokephalo</w:t>
      </w:r>
      <w:r>
        <w:rPr>
          <w:color w:val="000000"/>
        </w:rPr>
        <w:t>,</w:t>
      </w:r>
      <w:r w:rsidRPr="00D6101B">
        <w:rPr>
          <w:color w:val="000000"/>
        </w:rPr>
        <w:t xml:space="preserve"> where</w:t>
      </w:r>
      <w:r>
        <w:rPr>
          <w:color w:val="000000"/>
        </w:rPr>
        <w:t>,</w:t>
      </w:r>
      <w:r w:rsidRPr="00D6101B">
        <w:rPr>
          <w:color w:val="000000"/>
        </w:rPr>
        <w:t xml:space="preserve"> along with a larnax burial</w:t>
      </w:r>
      <w:r>
        <w:rPr>
          <w:color w:val="000000"/>
        </w:rPr>
        <w:t>,</w:t>
      </w:r>
      <w:r w:rsidRPr="00D6101B">
        <w:rPr>
          <w:color w:val="000000"/>
        </w:rPr>
        <w:t xml:space="preserve"> a deposition in a spouted pithos and </w:t>
      </w:r>
      <w:r>
        <w:rPr>
          <w:color w:val="000000"/>
        </w:rPr>
        <w:t xml:space="preserve">a </w:t>
      </w:r>
      <w:r w:rsidRPr="00D6101B">
        <w:rPr>
          <w:color w:val="000000"/>
        </w:rPr>
        <w:t xml:space="preserve">cremation </w:t>
      </w:r>
      <w:r>
        <w:rPr>
          <w:color w:val="000000"/>
        </w:rPr>
        <w:t>were</w:t>
      </w:r>
      <w:r w:rsidRPr="00D6101B">
        <w:rPr>
          <w:color w:val="000000"/>
        </w:rPr>
        <w:t xml:space="preserve"> found. In the tomb</w:t>
      </w:r>
      <w:r>
        <w:rPr>
          <w:color w:val="000000"/>
        </w:rPr>
        <w:t>,</w:t>
      </w:r>
      <w:r w:rsidRPr="00D6101B">
        <w:rPr>
          <w:color w:val="000000"/>
        </w:rPr>
        <w:t xml:space="preserve"> material from the MM III B- L M I, from LM III period, LM III C, </w:t>
      </w:r>
      <w:r>
        <w:rPr>
          <w:color w:val="000000"/>
        </w:rPr>
        <w:t>the P</w:t>
      </w:r>
      <w:r w:rsidRPr="00D6101B">
        <w:rPr>
          <w:color w:val="000000"/>
        </w:rPr>
        <w:t>roto</w:t>
      </w:r>
      <w:r>
        <w:rPr>
          <w:color w:val="000000"/>
        </w:rPr>
        <w:t>geometric</w:t>
      </w:r>
      <w:r w:rsidRPr="00D6101B">
        <w:rPr>
          <w:color w:val="000000"/>
        </w:rPr>
        <w:t xml:space="preserve"> and </w:t>
      </w:r>
      <w:r>
        <w:rPr>
          <w:color w:val="000000"/>
        </w:rPr>
        <w:t xml:space="preserve">the </w:t>
      </w:r>
      <w:r w:rsidRPr="00D6101B">
        <w:rPr>
          <w:color w:val="000000"/>
        </w:rPr>
        <w:t>Geometric period</w:t>
      </w:r>
      <w:r>
        <w:rPr>
          <w:color w:val="000000"/>
        </w:rPr>
        <w:t xml:space="preserve"> were found</w:t>
      </w:r>
      <w:r w:rsidRPr="00D6101B">
        <w:rPr>
          <w:color w:val="000000"/>
        </w:rPr>
        <w:t xml:space="preserve">. </w:t>
      </w:r>
      <w:r>
        <w:rPr>
          <w:color w:val="000000"/>
        </w:rPr>
        <w:t>Therefore</w:t>
      </w:r>
      <w:r w:rsidRPr="00D6101B">
        <w:rPr>
          <w:color w:val="000000"/>
        </w:rPr>
        <w:t xml:space="preserve">, </w:t>
      </w:r>
      <w:r>
        <w:rPr>
          <w:color w:val="000000"/>
        </w:rPr>
        <w:t xml:space="preserve">it </w:t>
      </w:r>
      <w:r w:rsidRPr="00D6101B">
        <w:rPr>
          <w:color w:val="000000"/>
        </w:rPr>
        <w:t xml:space="preserve">is difficult to reconstruct a burial sequence for this tomb. The original inhumation </w:t>
      </w:r>
      <w:r>
        <w:rPr>
          <w:color w:val="000000"/>
        </w:rPr>
        <w:t>was</w:t>
      </w:r>
      <w:r w:rsidRPr="00D6101B">
        <w:rPr>
          <w:color w:val="000000"/>
        </w:rPr>
        <w:t xml:space="preserve"> placed outside the larnax to make room for a new occupant (</w:t>
      </w:r>
      <w:r>
        <w:rPr>
          <w:color w:val="000000"/>
        </w:rPr>
        <w:t xml:space="preserve">Platon </w:t>
      </w:r>
      <w:r w:rsidRPr="00D6101B">
        <w:rPr>
          <w:color w:val="000000"/>
        </w:rPr>
        <w:t>1952</w:t>
      </w:r>
      <w:r>
        <w:rPr>
          <w:color w:val="000000"/>
        </w:rPr>
        <w:t>b</w:t>
      </w:r>
      <w:r w:rsidRPr="00D6101B">
        <w:rPr>
          <w:color w:val="000000"/>
        </w:rPr>
        <w:t xml:space="preserve">: 639-643; </w:t>
      </w:r>
      <w:r>
        <w:rPr>
          <w:color w:val="000000"/>
        </w:rPr>
        <w:t xml:space="preserve">Figure </w:t>
      </w:r>
      <w:r w:rsidRPr="00D6101B">
        <w:rPr>
          <w:color w:val="000000"/>
        </w:rPr>
        <w:t>21; Kanta 1980: 177)</w:t>
      </w:r>
      <w:r>
        <w:rPr>
          <w:color w:val="000000"/>
        </w:rPr>
        <w:t>.</w:t>
      </w:r>
    </w:p>
    <w:p w14:paraId="7B5941E7" w14:textId="77777777" w:rsidR="001A4F1A" w:rsidRPr="00D6101B" w:rsidRDefault="001A4F1A" w:rsidP="00E858EF">
      <w:pPr>
        <w:pStyle w:val="Paragrafoelenco"/>
        <w:numPr>
          <w:ilvl w:val="0"/>
          <w:numId w:val="3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At Palaikastro Markoulaki </w:t>
      </w:r>
      <w:r>
        <w:rPr>
          <w:color w:val="000000"/>
        </w:rPr>
        <w:t>T</w:t>
      </w:r>
      <w:r w:rsidRPr="00D6101B">
        <w:rPr>
          <w:color w:val="000000"/>
        </w:rPr>
        <w:t xml:space="preserve">omb </w:t>
      </w:r>
      <w:r>
        <w:rPr>
          <w:color w:val="000000"/>
        </w:rPr>
        <w:t>P</w:t>
      </w:r>
      <w:r w:rsidRPr="00D6101B">
        <w:rPr>
          <w:color w:val="000000"/>
        </w:rPr>
        <w:t>lot A</w:t>
      </w:r>
      <w:r>
        <w:rPr>
          <w:color w:val="000000"/>
        </w:rPr>
        <w:t>,</w:t>
      </w:r>
      <w:r w:rsidRPr="00D6101B">
        <w:rPr>
          <w:color w:val="000000"/>
        </w:rPr>
        <w:t xml:space="preserve"> </w:t>
      </w:r>
      <w:r>
        <w:rPr>
          <w:color w:val="000000"/>
        </w:rPr>
        <w:t>in addition to the</w:t>
      </w:r>
      <w:r w:rsidRPr="00D6101B">
        <w:rPr>
          <w:color w:val="000000"/>
        </w:rPr>
        <w:t xml:space="preserve"> three primary burials distributed one in each larnax</w:t>
      </w:r>
      <w:r>
        <w:rPr>
          <w:color w:val="000000"/>
        </w:rPr>
        <w:t>,</w:t>
      </w:r>
      <w:r w:rsidRPr="00D6101B">
        <w:rPr>
          <w:color w:val="000000"/>
        </w:rPr>
        <w:t xml:space="preserve"> a pithos fragment associated with a child burial</w:t>
      </w:r>
      <w:r>
        <w:rPr>
          <w:color w:val="000000"/>
        </w:rPr>
        <w:t xml:space="preserve"> was also found</w:t>
      </w:r>
      <w:r w:rsidRPr="00D6101B">
        <w:rPr>
          <w:color w:val="000000"/>
        </w:rPr>
        <w:t xml:space="preserve"> (</w:t>
      </w:r>
      <w:r w:rsidRPr="00E41066">
        <w:rPr>
          <w:i/>
          <w:color w:val="000000"/>
        </w:rPr>
        <w:t>ADelt</w:t>
      </w:r>
      <w:r w:rsidRPr="00D6101B">
        <w:rPr>
          <w:color w:val="000000"/>
        </w:rPr>
        <w:t xml:space="preserve"> 64 2009: 923).</w:t>
      </w:r>
    </w:p>
    <w:p w14:paraId="2A423E6B" w14:textId="77777777" w:rsidR="001A4F1A" w:rsidRPr="00D6101B" w:rsidRDefault="001A4F1A"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4A616051" w14:textId="0127057C" w:rsidR="001A4F1A" w:rsidRPr="00D6101B" w:rsidRDefault="001A4F1A" w:rsidP="00E858EF">
      <w:pPr>
        <w:pStyle w:val="Testofumetto"/>
        <w:suppressAutoHyphens/>
      </w:pPr>
      <w:bookmarkStart w:id="756" w:name="_Toc520212601"/>
      <w:r>
        <w:t>Table 4-27 Depositions in other types of burial receptacle associated with larnax burials</w:t>
      </w:r>
      <w:r w:rsidR="00676506">
        <w:t>,</w:t>
      </w:r>
      <w:r>
        <w:t xml:space="preserve"> Far-East </w:t>
      </w:r>
      <w:bookmarkEnd w:id="756"/>
      <w:r w:rsidR="00676506">
        <w:t>area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1955"/>
      </w:tblGrid>
      <w:tr w:rsidR="001A4F1A" w:rsidRPr="00FE69E4" w14:paraId="48816072" w14:textId="77777777" w:rsidTr="00140A57">
        <w:tc>
          <w:tcPr>
            <w:tcW w:w="3085" w:type="dxa"/>
          </w:tcPr>
          <w:p w14:paraId="14B8EE47"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p>
        </w:tc>
        <w:tc>
          <w:tcPr>
            <w:tcW w:w="1955" w:type="dxa"/>
          </w:tcPr>
          <w:p w14:paraId="1599CE05"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FE69E4">
              <w:rPr>
                <w:color w:val="000000"/>
                <w:sz w:val="20"/>
              </w:rPr>
              <w:t>Pithos burials</w:t>
            </w:r>
          </w:p>
        </w:tc>
      </w:tr>
      <w:tr w:rsidR="001A4F1A" w:rsidRPr="00FE69E4" w14:paraId="29E410B9" w14:textId="77777777" w:rsidTr="00140A57">
        <w:tc>
          <w:tcPr>
            <w:tcW w:w="3085" w:type="dxa"/>
          </w:tcPr>
          <w:p w14:paraId="265DCBF5"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FE69E4">
              <w:rPr>
                <w:color w:val="000000"/>
                <w:sz w:val="20"/>
              </w:rPr>
              <w:t>No. of interments (minimum)</w:t>
            </w:r>
          </w:p>
        </w:tc>
        <w:tc>
          <w:tcPr>
            <w:tcW w:w="1955" w:type="dxa"/>
          </w:tcPr>
          <w:p w14:paraId="776647F9"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FE69E4">
              <w:rPr>
                <w:color w:val="000000"/>
                <w:sz w:val="20"/>
              </w:rPr>
              <w:t>2</w:t>
            </w:r>
          </w:p>
        </w:tc>
      </w:tr>
    </w:tbl>
    <w:p w14:paraId="2D624706"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6FF293B4" w14:textId="77777777" w:rsidR="00FE69E4" w:rsidRDefault="00FE69E4">
      <w:pPr>
        <w:widowControl/>
        <w:spacing w:line="240" w:lineRule="auto"/>
        <w:contextualSpacing w:val="0"/>
        <w:jc w:val="left"/>
        <w:rPr>
          <w:rFonts w:cs="Lucida Grande"/>
          <w:b/>
          <w:sz w:val="20"/>
          <w:szCs w:val="18"/>
        </w:rPr>
      </w:pPr>
      <w:r>
        <w:br w:type="page"/>
      </w:r>
    </w:p>
    <w:p w14:paraId="4A7F72D7" w14:textId="115D02E5" w:rsidR="00140A57" w:rsidRDefault="001A4F1A" w:rsidP="00E858EF">
      <w:pPr>
        <w:pStyle w:val="Testofumetto"/>
        <w:suppressAutoHyphens/>
      </w:pPr>
      <w:bookmarkStart w:id="757" w:name="_Toc520212602"/>
      <w:r>
        <w:t>Table 4-</w:t>
      </w:r>
      <w:r w:rsidRPr="00D6101B">
        <w:tab/>
      </w:r>
      <w:r>
        <w:t>28</w:t>
      </w:r>
      <w:r w:rsidR="00FE69E4">
        <w:t>a</w:t>
      </w:r>
      <w:r w:rsidR="008A7A5C">
        <w:t>.</w:t>
      </w:r>
      <w:r>
        <w:t xml:space="preserve"> Interment method and burial stage of skeletal remains in tombs with larnakes and information </w:t>
      </w:r>
      <w:r w:rsidR="00676506">
        <w:t xml:space="preserve">on </w:t>
      </w:r>
      <w:r>
        <w:t>skeletal remains</w:t>
      </w:r>
      <w:r w:rsidR="00676506">
        <w:t>,</w:t>
      </w:r>
      <w:r>
        <w:t xml:space="preserve"> </w:t>
      </w:r>
      <w:r w:rsidR="00C35895">
        <w:t>Far</w:t>
      </w:r>
      <w:r>
        <w:t xml:space="preserve">-East </w:t>
      </w:r>
      <w:bookmarkEnd w:id="757"/>
      <w:commentRangeStart w:id="758"/>
      <w:r w:rsidR="00676506">
        <w:t>area</w:t>
      </w:r>
      <w:commentRangeEnd w:id="758"/>
      <w:r w:rsidR="0027733E">
        <w:rPr>
          <w:rStyle w:val="Rimandocommento"/>
          <w:rFonts w:cs="Times New Roman"/>
          <w:b w:val="0"/>
        </w:rPr>
        <w:commentReference w:id="758"/>
      </w:r>
    </w:p>
    <w:p w14:paraId="22497A31" w14:textId="166574FB" w:rsidR="001A4F1A" w:rsidRPr="00140A57" w:rsidRDefault="001A4F1A" w:rsidP="00E858EF">
      <w:pPr>
        <w:suppressAutoHyphens/>
        <w:spacing w:line="240" w:lineRule="auto"/>
      </w:pPr>
      <w:r w:rsidRPr="00140A57">
        <w:rPr>
          <w:sz w:val="20"/>
        </w:rPr>
        <w:t>(p= primary deposition; s= secondary deposition; No info= no information about the burial stage/skeletal remains)</w:t>
      </w:r>
    </w:p>
    <w:tbl>
      <w:tblPr>
        <w:tblStyle w:val="Grigliatabella"/>
        <w:tblW w:w="9032" w:type="dxa"/>
        <w:tblLayout w:type="fixed"/>
        <w:tblLook w:val="04A0" w:firstRow="1" w:lastRow="0" w:firstColumn="1" w:lastColumn="0" w:noHBand="0" w:noVBand="1"/>
      </w:tblPr>
      <w:tblGrid>
        <w:gridCol w:w="1242"/>
        <w:gridCol w:w="567"/>
        <w:gridCol w:w="426"/>
        <w:gridCol w:w="567"/>
        <w:gridCol w:w="425"/>
        <w:gridCol w:w="567"/>
        <w:gridCol w:w="562"/>
        <w:gridCol w:w="992"/>
        <w:gridCol w:w="856"/>
        <w:gridCol w:w="851"/>
        <w:gridCol w:w="987"/>
        <w:gridCol w:w="990"/>
      </w:tblGrid>
      <w:tr w:rsidR="001A4F1A" w:rsidRPr="00FE69E4" w14:paraId="34BED6E6" w14:textId="77777777" w:rsidTr="005C07D3">
        <w:trPr>
          <w:trHeight w:val="831"/>
        </w:trPr>
        <w:tc>
          <w:tcPr>
            <w:tcW w:w="1242" w:type="dxa"/>
          </w:tcPr>
          <w:p w14:paraId="77E15EFF"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p>
        </w:tc>
        <w:tc>
          <w:tcPr>
            <w:tcW w:w="1560" w:type="dxa"/>
            <w:gridSpan w:val="3"/>
          </w:tcPr>
          <w:p w14:paraId="1C065B7E"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18"/>
                <w:szCs w:val="20"/>
              </w:rPr>
            </w:pPr>
            <w:r w:rsidRPr="00FE69E4">
              <w:rPr>
                <w:color w:val="000000"/>
                <w:sz w:val="18"/>
                <w:szCs w:val="20"/>
              </w:rPr>
              <w:t xml:space="preserve">Larnax burials </w:t>
            </w:r>
          </w:p>
          <w:p w14:paraId="3AF0B82E"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18"/>
                <w:szCs w:val="20"/>
              </w:rPr>
            </w:pPr>
          </w:p>
        </w:tc>
        <w:tc>
          <w:tcPr>
            <w:tcW w:w="1554" w:type="dxa"/>
            <w:gridSpan w:val="3"/>
          </w:tcPr>
          <w:p w14:paraId="3FD69A86"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18"/>
                <w:szCs w:val="20"/>
              </w:rPr>
            </w:pPr>
            <w:r w:rsidRPr="00FE69E4">
              <w:rPr>
                <w:color w:val="000000"/>
                <w:sz w:val="18"/>
                <w:szCs w:val="20"/>
              </w:rPr>
              <w:t>Floor burials</w:t>
            </w:r>
          </w:p>
          <w:p w14:paraId="26F2CA0B"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18"/>
                <w:szCs w:val="20"/>
              </w:rPr>
            </w:pPr>
          </w:p>
        </w:tc>
        <w:tc>
          <w:tcPr>
            <w:tcW w:w="992" w:type="dxa"/>
          </w:tcPr>
          <w:p w14:paraId="4B3DC6C9"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18"/>
                <w:szCs w:val="20"/>
              </w:rPr>
            </w:pPr>
            <w:r w:rsidRPr="00FE69E4">
              <w:rPr>
                <w:color w:val="000000"/>
                <w:sz w:val="18"/>
                <w:szCs w:val="20"/>
              </w:rPr>
              <w:t>Burials found in the fill</w:t>
            </w:r>
          </w:p>
        </w:tc>
        <w:tc>
          <w:tcPr>
            <w:tcW w:w="856" w:type="dxa"/>
          </w:tcPr>
          <w:p w14:paraId="1BFFEF1A"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18"/>
                <w:szCs w:val="20"/>
              </w:rPr>
            </w:pPr>
            <w:r w:rsidRPr="00FE69E4">
              <w:rPr>
                <w:color w:val="000000"/>
                <w:sz w:val="18"/>
                <w:szCs w:val="20"/>
              </w:rPr>
              <w:t>Pit burials</w:t>
            </w:r>
          </w:p>
        </w:tc>
        <w:tc>
          <w:tcPr>
            <w:tcW w:w="851" w:type="dxa"/>
          </w:tcPr>
          <w:p w14:paraId="4484895E"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18"/>
                <w:szCs w:val="20"/>
              </w:rPr>
            </w:pPr>
            <w:r w:rsidRPr="00FE69E4">
              <w:rPr>
                <w:color w:val="000000"/>
                <w:sz w:val="18"/>
                <w:szCs w:val="20"/>
              </w:rPr>
              <w:t>Pithos burials</w:t>
            </w:r>
          </w:p>
        </w:tc>
        <w:tc>
          <w:tcPr>
            <w:tcW w:w="987" w:type="dxa"/>
          </w:tcPr>
          <w:p w14:paraId="2B96BB95"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18"/>
                <w:szCs w:val="20"/>
              </w:rPr>
            </w:pPr>
            <w:r w:rsidRPr="00FE69E4">
              <w:rPr>
                <w:color w:val="000000"/>
                <w:sz w:val="18"/>
                <w:szCs w:val="20"/>
              </w:rPr>
              <w:t>Broken bones in a vase</w:t>
            </w:r>
          </w:p>
        </w:tc>
        <w:tc>
          <w:tcPr>
            <w:tcW w:w="990" w:type="dxa"/>
          </w:tcPr>
          <w:p w14:paraId="50A71433"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18"/>
                <w:szCs w:val="20"/>
              </w:rPr>
            </w:pPr>
            <w:r w:rsidRPr="00FE69E4">
              <w:rPr>
                <w:color w:val="000000"/>
                <w:sz w:val="18"/>
                <w:szCs w:val="20"/>
              </w:rPr>
              <w:t xml:space="preserve">Cremated bones in a pyxis </w:t>
            </w:r>
          </w:p>
        </w:tc>
      </w:tr>
      <w:tr w:rsidR="001A4F1A" w:rsidRPr="00FE69E4" w14:paraId="33426CA7" w14:textId="77777777" w:rsidTr="005C07D3">
        <w:trPr>
          <w:trHeight w:val="387"/>
        </w:trPr>
        <w:tc>
          <w:tcPr>
            <w:tcW w:w="1242" w:type="dxa"/>
          </w:tcPr>
          <w:p w14:paraId="1846FE63" w14:textId="25DCA0C3"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r w:rsidRPr="00FE69E4">
              <w:rPr>
                <w:color w:val="000000"/>
                <w:sz w:val="20"/>
                <w:szCs w:val="20"/>
              </w:rPr>
              <w:t xml:space="preserve">Total </w:t>
            </w:r>
            <w:r w:rsidR="00FE69E4">
              <w:rPr>
                <w:color w:val="000000"/>
                <w:sz w:val="20"/>
                <w:szCs w:val="20"/>
              </w:rPr>
              <w:t>n</w:t>
            </w:r>
            <w:r w:rsidRPr="00FE69E4">
              <w:rPr>
                <w:color w:val="000000"/>
                <w:sz w:val="20"/>
                <w:szCs w:val="20"/>
              </w:rPr>
              <w:t>o. of tombs</w:t>
            </w:r>
          </w:p>
        </w:tc>
        <w:tc>
          <w:tcPr>
            <w:tcW w:w="1560" w:type="dxa"/>
            <w:gridSpan w:val="3"/>
            <w:vAlign w:val="center"/>
          </w:tcPr>
          <w:p w14:paraId="7699E4B8"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39</w:t>
            </w:r>
          </w:p>
        </w:tc>
        <w:tc>
          <w:tcPr>
            <w:tcW w:w="1554" w:type="dxa"/>
            <w:gridSpan w:val="3"/>
            <w:vAlign w:val="center"/>
          </w:tcPr>
          <w:p w14:paraId="08E84EFF"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13</w:t>
            </w:r>
          </w:p>
        </w:tc>
        <w:tc>
          <w:tcPr>
            <w:tcW w:w="992" w:type="dxa"/>
            <w:vAlign w:val="center"/>
          </w:tcPr>
          <w:p w14:paraId="532B52B2"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1</w:t>
            </w:r>
          </w:p>
        </w:tc>
        <w:tc>
          <w:tcPr>
            <w:tcW w:w="856" w:type="dxa"/>
            <w:vAlign w:val="center"/>
          </w:tcPr>
          <w:p w14:paraId="40104A22"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3</w:t>
            </w:r>
          </w:p>
        </w:tc>
        <w:tc>
          <w:tcPr>
            <w:tcW w:w="851" w:type="dxa"/>
            <w:vAlign w:val="center"/>
          </w:tcPr>
          <w:p w14:paraId="4BF8E187"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2</w:t>
            </w:r>
          </w:p>
        </w:tc>
        <w:tc>
          <w:tcPr>
            <w:tcW w:w="987" w:type="dxa"/>
            <w:vAlign w:val="center"/>
          </w:tcPr>
          <w:p w14:paraId="25F0D674"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1</w:t>
            </w:r>
          </w:p>
        </w:tc>
        <w:tc>
          <w:tcPr>
            <w:tcW w:w="990" w:type="dxa"/>
            <w:vAlign w:val="center"/>
          </w:tcPr>
          <w:p w14:paraId="235FF4E3"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2</w:t>
            </w:r>
          </w:p>
        </w:tc>
      </w:tr>
      <w:tr w:rsidR="001A4F1A" w:rsidRPr="00FE69E4" w14:paraId="03888A09" w14:textId="77777777" w:rsidTr="005C07D3">
        <w:trPr>
          <w:trHeight w:val="387"/>
        </w:trPr>
        <w:tc>
          <w:tcPr>
            <w:tcW w:w="1242" w:type="dxa"/>
            <w:tcBorders>
              <w:bottom w:val="thinThickSmallGap" w:sz="24" w:space="0" w:color="auto"/>
            </w:tcBorders>
          </w:tcPr>
          <w:p w14:paraId="164F0163"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r w:rsidRPr="00FE69E4">
              <w:rPr>
                <w:color w:val="000000"/>
                <w:sz w:val="20"/>
                <w:szCs w:val="20"/>
              </w:rPr>
              <w:t>Burial stage</w:t>
            </w:r>
          </w:p>
        </w:tc>
        <w:tc>
          <w:tcPr>
            <w:tcW w:w="567" w:type="dxa"/>
          </w:tcPr>
          <w:p w14:paraId="6FF4E7B6"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p</w:t>
            </w:r>
          </w:p>
        </w:tc>
        <w:tc>
          <w:tcPr>
            <w:tcW w:w="426" w:type="dxa"/>
          </w:tcPr>
          <w:p w14:paraId="216A2C87"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s</w:t>
            </w:r>
          </w:p>
        </w:tc>
        <w:tc>
          <w:tcPr>
            <w:tcW w:w="567" w:type="dxa"/>
          </w:tcPr>
          <w:p w14:paraId="013AF0D1"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No info</w:t>
            </w:r>
          </w:p>
        </w:tc>
        <w:tc>
          <w:tcPr>
            <w:tcW w:w="425" w:type="dxa"/>
          </w:tcPr>
          <w:p w14:paraId="4D353720"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p</w:t>
            </w:r>
          </w:p>
        </w:tc>
        <w:tc>
          <w:tcPr>
            <w:tcW w:w="567" w:type="dxa"/>
          </w:tcPr>
          <w:p w14:paraId="0D909F1F"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s</w:t>
            </w:r>
          </w:p>
        </w:tc>
        <w:tc>
          <w:tcPr>
            <w:tcW w:w="562" w:type="dxa"/>
          </w:tcPr>
          <w:p w14:paraId="003514B3"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No info</w:t>
            </w:r>
          </w:p>
        </w:tc>
        <w:tc>
          <w:tcPr>
            <w:tcW w:w="992" w:type="dxa"/>
          </w:tcPr>
          <w:p w14:paraId="0F67BF7E"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No info</w:t>
            </w:r>
          </w:p>
        </w:tc>
        <w:tc>
          <w:tcPr>
            <w:tcW w:w="856" w:type="dxa"/>
          </w:tcPr>
          <w:p w14:paraId="1A29FB8D"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s</w:t>
            </w:r>
          </w:p>
        </w:tc>
        <w:tc>
          <w:tcPr>
            <w:tcW w:w="851" w:type="dxa"/>
          </w:tcPr>
          <w:p w14:paraId="57A40999"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No info</w:t>
            </w:r>
          </w:p>
        </w:tc>
        <w:tc>
          <w:tcPr>
            <w:tcW w:w="987" w:type="dxa"/>
          </w:tcPr>
          <w:p w14:paraId="4B111984"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s</w:t>
            </w:r>
          </w:p>
        </w:tc>
        <w:tc>
          <w:tcPr>
            <w:tcW w:w="990" w:type="dxa"/>
          </w:tcPr>
          <w:p w14:paraId="6A0CAE53"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No info</w:t>
            </w:r>
          </w:p>
        </w:tc>
      </w:tr>
      <w:tr w:rsidR="001A4F1A" w:rsidRPr="00FE69E4" w14:paraId="220246EB" w14:textId="77777777" w:rsidTr="005C07D3">
        <w:tc>
          <w:tcPr>
            <w:tcW w:w="1242" w:type="dxa"/>
            <w:tcBorders>
              <w:top w:val="thinThickSmallGap" w:sz="24" w:space="0" w:color="auto"/>
            </w:tcBorders>
          </w:tcPr>
          <w:p w14:paraId="2824339E"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r w:rsidRPr="00FE69E4">
              <w:rPr>
                <w:color w:val="000000"/>
                <w:sz w:val="20"/>
                <w:szCs w:val="20"/>
              </w:rPr>
              <w:t>MNEB</w:t>
            </w:r>
          </w:p>
        </w:tc>
        <w:tc>
          <w:tcPr>
            <w:tcW w:w="567" w:type="dxa"/>
            <w:tcBorders>
              <w:top w:val="thinThickSmallGap" w:sz="24" w:space="0" w:color="auto"/>
            </w:tcBorders>
          </w:tcPr>
          <w:p w14:paraId="0FDCFEA8"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27</w:t>
            </w:r>
          </w:p>
        </w:tc>
        <w:tc>
          <w:tcPr>
            <w:tcW w:w="426" w:type="dxa"/>
            <w:tcBorders>
              <w:top w:val="thinThickSmallGap" w:sz="24" w:space="0" w:color="auto"/>
            </w:tcBorders>
          </w:tcPr>
          <w:p w14:paraId="2C2226BC"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17</w:t>
            </w:r>
          </w:p>
        </w:tc>
        <w:tc>
          <w:tcPr>
            <w:tcW w:w="567" w:type="dxa"/>
            <w:tcBorders>
              <w:top w:val="thinThickSmallGap" w:sz="24" w:space="0" w:color="auto"/>
              <w:bottom w:val="thinThickSmallGap" w:sz="24" w:space="0" w:color="auto"/>
            </w:tcBorders>
          </w:tcPr>
          <w:p w14:paraId="3534BA83"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36</w:t>
            </w:r>
          </w:p>
        </w:tc>
        <w:tc>
          <w:tcPr>
            <w:tcW w:w="425" w:type="dxa"/>
            <w:tcBorders>
              <w:top w:val="thinThickSmallGap" w:sz="24" w:space="0" w:color="auto"/>
            </w:tcBorders>
          </w:tcPr>
          <w:p w14:paraId="42E4009E"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1</w:t>
            </w:r>
          </w:p>
        </w:tc>
        <w:tc>
          <w:tcPr>
            <w:tcW w:w="567" w:type="dxa"/>
            <w:tcBorders>
              <w:top w:val="thinThickSmallGap" w:sz="24" w:space="0" w:color="auto"/>
            </w:tcBorders>
          </w:tcPr>
          <w:p w14:paraId="3FF87CBF"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10</w:t>
            </w:r>
          </w:p>
        </w:tc>
        <w:tc>
          <w:tcPr>
            <w:tcW w:w="562" w:type="dxa"/>
            <w:tcBorders>
              <w:top w:val="thinThickSmallGap" w:sz="24" w:space="0" w:color="auto"/>
            </w:tcBorders>
          </w:tcPr>
          <w:p w14:paraId="3AD692F0"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13</w:t>
            </w:r>
          </w:p>
        </w:tc>
        <w:tc>
          <w:tcPr>
            <w:tcW w:w="992" w:type="dxa"/>
            <w:tcBorders>
              <w:top w:val="thinThickSmallGap" w:sz="24" w:space="0" w:color="auto"/>
            </w:tcBorders>
          </w:tcPr>
          <w:p w14:paraId="54CFDC13"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7</w:t>
            </w:r>
          </w:p>
        </w:tc>
        <w:tc>
          <w:tcPr>
            <w:tcW w:w="856" w:type="dxa"/>
            <w:tcBorders>
              <w:top w:val="thinThickSmallGap" w:sz="24" w:space="0" w:color="auto"/>
            </w:tcBorders>
          </w:tcPr>
          <w:p w14:paraId="453AAB67"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9</w:t>
            </w:r>
          </w:p>
        </w:tc>
        <w:tc>
          <w:tcPr>
            <w:tcW w:w="851" w:type="dxa"/>
            <w:tcBorders>
              <w:top w:val="thinThickSmallGap" w:sz="24" w:space="0" w:color="auto"/>
            </w:tcBorders>
          </w:tcPr>
          <w:p w14:paraId="76CE7AD6"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2</w:t>
            </w:r>
          </w:p>
        </w:tc>
        <w:tc>
          <w:tcPr>
            <w:tcW w:w="987" w:type="dxa"/>
            <w:tcBorders>
              <w:top w:val="thinThickSmallGap" w:sz="24" w:space="0" w:color="auto"/>
            </w:tcBorders>
          </w:tcPr>
          <w:p w14:paraId="6A4B5D93"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1</w:t>
            </w:r>
          </w:p>
        </w:tc>
        <w:tc>
          <w:tcPr>
            <w:tcW w:w="990" w:type="dxa"/>
            <w:tcBorders>
              <w:top w:val="thinThickSmallGap" w:sz="24" w:space="0" w:color="auto"/>
            </w:tcBorders>
          </w:tcPr>
          <w:p w14:paraId="6851B7BA"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szCs w:val="20"/>
              </w:rPr>
            </w:pPr>
            <w:r w:rsidRPr="00FE69E4">
              <w:rPr>
                <w:color w:val="000000"/>
                <w:sz w:val="20"/>
                <w:szCs w:val="20"/>
              </w:rPr>
              <w:t>2</w:t>
            </w:r>
          </w:p>
        </w:tc>
      </w:tr>
      <w:tr w:rsidR="001A4F1A" w:rsidRPr="00FE69E4" w14:paraId="21A86D3F" w14:textId="77777777" w:rsidTr="005C07D3">
        <w:trPr>
          <w:trHeight w:val="1522"/>
        </w:trPr>
        <w:tc>
          <w:tcPr>
            <w:tcW w:w="1242" w:type="dxa"/>
            <w:tcBorders>
              <w:top w:val="thinThickSmallGap" w:sz="24" w:space="0" w:color="auto"/>
              <w:bottom w:val="single" w:sz="4" w:space="0" w:color="auto"/>
            </w:tcBorders>
          </w:tcPr>
          <w:p w14:paraId="4C6771DF" w14:textId="1F43CFA8"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r w:rsidRPr="00FE69E4">
              <w:rPr>
                <w:color w:val="000000"/>
                <w:sz w:val="20"/>
                <w:szCs w:val="20"/>
              </w:rPr>
              <w:t>Tot</w:t>
            </w:r>
            <w:r w:rsidR="00FE69E4">
              <w:rPr>
                <w:color w:val="000000"/>
                <w:sz w:val="20"/>
                <w:szCs w:val="20"/>
              </w:rPr>
              <w:t>al n</w:t>
            </w:r>
            <w:r w:rsidRPr="00FE69E4">
              <w:rPr>
                <w:color w:val="000000"/>
                <w:sz w:val="20"/>
                <w:szCs w:val="20"/>
              </w:rPr>
              <w:t>o. of individual</w:t>
            </w:r>
            <w:r w:rsidR="00140A57" w:rsidRPr="00FE69E4">
              <w:rPr>
                <w:color w:val="000000"/>
                <w:sz w:val="20"/>
                <w:szCs w:val="20"/>
              </w:rPr>
              <w:t>s</w:t>
            </w:r>
            <w:r w:rsidRPr="00FE69E4">
              <w:rPr>
                <w:color w:val="000000"/>
                <w:sz w:val="20"/>
                <w:szCs w:val="20"/>
              </w:rPr>
              <w:t xml:space="preserve"> per interment type</w:t>
            </w:r>
          </w:p>
        </w:tc>
        <w:tc>
          <w:tcPr>
            <w:tcW w:w="1560" w:type="dxa"/>
            <w:gridSpan w:val="3"/>
            <w:tcBorders>
              <w:top w:val="thinThickSmallGap" w:sz="24" w:space="0" w:color="auto"/>
              <w:bottom w:val="single" w:sz="4" w:space="0" w:color="auto"/>
            </w:tcBorders>
            <w:vAlign w:val="center"/>
          </w:tcPr>
          <w:p w14:paraId="3788634F"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E69E4">
              <w:rPr>
                <w:b/>
                <w:color w:val="000000"/>
                <w:sz w:val="20"/>
                <w:szCs w:val="20"/>
              </w:rPr>
              <w:t>80</w:t>
            </w:r>
          </w:p>
        </w:tc>
        <w:tc>
          <w:tcPr>
            <w:tcW w:w="1554" w:type="dxa"/>
            <w:gridSpan w:val="3"/>
            <w:tcBorders>
              <w:top w:val="thinThickSmallGap" w:sz="24" w:space="0" w:color="auto"/>
              <w:bottom w:val="single" w:sz="4" w:space="0" w:color="auto"/>
            </w:tcBorders>
            <w:vAlign w:val="center"/>
          </w:tcPr>
          <w:p w14:paraId="0656ABBD"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E69E4">
              <w:rPr>
                <w:b/>
                <w:color w:val="000000"/>
                <w:sz w:val="20"/>
                <w:szCs w:val="20"/>
              </w:rPr>
              <w:t>24</w:t>
            </w:r>
          </w:p>
        </w:tc>
        <w:tc>
          <w:tcPr>
            <w:tcW w:w="992" w:type="dxa"/>
            <w:tcBorders>
              <w:top w:val="thinThickSmallGap" w:sz="24" w:space="0" w:color="auto"/>
              <w:bottom w:val="single" w:sz="4" w:space="0" w:color="auto"/>
            </w:tcBorders>
            <w:vAlign w:val="center"/>
          </w:tcPr>
          <w:p w14:paraId="46072390"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E69E4">
              <w:rPr>
                <w:b/>
                <w:color w:val="000000"/>
                <w:sz w:val="20"/>
                <w:szCs w:val="20"/>
              </w:rPr>
              <w:t>7</w:t>
            </w:r>
          </w:p>
        </w:tc>
        <w:tc>
          <w:tcPr>
            <w:tcW w:w="856" w:type="dxa"/>
            <w:tcBorders>
              <w:top w:val="thinThickSmallGap" w:sz="24" w:space="0" w:color="auto"/>
              <w:bottom w:val="single" w:sz="4" w:space="0" w:color="auto"/>
            </w:tcBorders>
            <w:vAlign w:val="center"/>
          </w:tcPr>
          <w:p w14:paraId="1AEC241B"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E69E4">
              <w:rPr>
                <w:b/>
                <w:color w:val="000000"/>
                <w:sz w:val="20"/>
                <w:szCs w:val="20"/>
              </w:rPr>
              <w:t>9</w:t>
            </w:r>
          </w:p>
        </w:tc>
        <w:tc>
          <w:tcPr>
            <w:tcW w:w="851" w:type="dxa"/>
            <w:tcBorders>
              <w:top w:val="thinThickSmallGap" w:sz="24" w:space="0" w:color="auto"/>
              <w:bottom w:val="single" w:sz="4" w:space="0" w:color="auto"/>
            </w:tcBorders>
            <w:vAlign w:val="center"/>
          </w:tcPr>
          <w:p w14:paraId="7031DCA6"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E69E4">
              <w:rPr>
                <w:b/>
                <w:color w:val="000000"/>
                <w:sz w:val="20"/>
                <w:szCs w:val="20"/>
              </w:rPr>
              <w:t>2</w:t>
            </w:r>
          </w:p>
        </w:tc>
        <w:tc>
          <w:tcPr>
            <w:tcW w:w="987" w:type="dxa"/>
            <w:tcBorders>
              <w:top w:val="thinThickSmallGap" w:sz="24" w:space="0" w:color="auto"/>
              <w:bottom w:val="single" w:sz="4" w:space="0" w:color="auto"/>
            </w:tcBorders>
            <w:vAlign w:val="center"/>
          </w:tcPr>
          <w:p w14:paraId="43EAB907"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E69E4">
              <w:rPr>
                <w:b/>
                <w:color w:val="000000"/>
                <w:sz w:val="20"/>
                <w:szCs w:val="20"/>
              </w:rPr>
              <w:t>1</w:t>
            </w:r>
          </w:p>
        </w:tc>
        <w:tc>
          <w:tcPr>
            <w:tcW w:w="990" w:type="dxa"/>
            <w:tcBorders>
              <w:top w:val="thinThickSmallGap" w:sz="24" w:space="0" w:color="auto"/>
              <w:bottom w:val="single" w:sz="4" w:space="0" w:color="auto"/>
            </w:tcBorders>
            <w:vAlign w:val="center"/>
          </w:tcPr>
          <w:p w14:paraId="1EC90A9A"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E69E4">
              <w:rPr>
                <w:b/>
                <w:color w:val="000000"/>
                <w:sz w:val="20"/>
                <w:szCs w:val="20"/>
              </w:rPr>
              <w:t>2</w:t>
            </w:r>
          </w:p>
        </w:tc>
      </w:tr>
      <w:tr w:rsidR="001A4F1A" w:rsidRPr="00FE69E4" w14:paraId="655FAAA7" w14:textId="77777777" w:rsidTr="005C07D3">
        <w:trPr>
          <w:trHeight w:val="577"/>
        </w:trPr>
        <w:tc>
          <w:tcPr>
            <w:tcW w:w="1242" w:type="dxa"/>
            <w:tcBorders>
              <w:top w:val="single" w:sz="4" w:space="0" w:color="auto"/>
            </w:tcBorders>
          </w:tcPr>
          <w:p w14:paraId="5573BF4F"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szCs w:val="20"/>
              </w:rPr>
            </w:pPr>
          </w:p>
        </w:tc>
        <w:tc>
          <w:tcPr>
            <w:tcW w:w="1560" w:type="dxa"/>
            <w:gridSpan w:val="3"/>
            <w:tcBorders>
              <w:top w:val="single" w:sz="4" w:space="0" w:color="auto"/>
            </w:tcBorders>
          </w:tcPr>
          <w:p w14:paraId="547F2718"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E69E4">
              <w:rPr>
                <w:b/>
                <w:color w:val="000000"/>
                <w:sz w:val="20"/>
                <w:szCs w:val="20"/>
              </w:rPr>
              <w:t>64%</w:t>
            </w:r>
          </w:p>
        </w:tc>
        <w:tc>
          <w:tcPr>
            <w:tcW w:w="1554" w:type="dxa"/>
            <w:gridSpan w:val="3"/>
            <w:tcBorders>
              <w:top w:val="single" w:sz="4" w:space="0" w:color="auto"/>
            </w:tcBorders>
          </w:tcPr>
          <w:p w14:paraId="2D0BA50D"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E69E4">
              <w:rPr>
                <w:b/>
                <w:color w:val="000000"/>
                <w:sz w:val="20"/>
                <w:szCs w:val="20"/>
              </w:rPr>
              <w:t>19%</w:t>
            </w:r>
          </w:p>
        </w:tc>
        <w:tc>
          <w:tcPr>
            <w:tcW w:w="992" w:type="dxa"/>
            <w:tcBorders>
              <w:top w:val="single" w:sz="4" w:space="0" w:color="auto"/>
            </w:tcBorders>
          </w:tcPr>
          <w:p w14:paraId="32C7BBB1"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E69E4">
              <w:rPr>
                <w:b/>
                <w:color w:val="000000"/>
                <w:sz w:val="20"/>
                <w:szCs w:val="20"/>
              </w:rPr>
              <w:t>5%</w:t>
            </w:r>
          </w:p>
        </w:tc>
        <w:tc>
          <w:tcPr>
            <w:tcW w:w="856" w:type="dxa"/>
            <w:tcBorders>
              <w:top w:val="single" w:sz="4" w:space="0" w:color="auto"/>
            </w:tcBorders>
          </w:tcPr>
          <w:p w14:paraId="33783238"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E69E4">
              <w:rPr>
                <w:b/>
                <w:color w:val="000000"/>
                <w:sz w:val="20"/>
                <w:szCs w:val="20"/>
              </w:rPr>
              <w:t>7%</w:t>
            </w:r>
          </w:p>
        </w:tc>
        <w:tc>
          <w:tcPr>
            <w:tcW w:w="851" w:type="dxa"/>
            <w:tcBorders>
              <w:top w:val="single" w:sz="4" w:space="0" w:color="auto"/>
            </w:tcBorders>
          </w:tcPr>
          <w:p w14:paraId="252B5BAC"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E69E4">
              <w:rPr>
                <w:b/>
                <w:color w:val="000000"/>
                <w:sz w:val="20"/>
                <w:szCs w:val="20"/>
              </w:rPr>
              <w:t>2%</w:t>
            </w:r>
          </w:p>
        </w:tc>
        <w:tc>
          <w:tcPr>
            <w:tcW w:w="987" w:type="dxa"/>
            <w:tcBorders>
              <w:top w:val="single" w:sz="4" w:space="0" w:color="auto"/>
            </w:tcBorders>
          </w:tcPr>
          <w:p w14:paraId="0B689A59"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E69E4">
              <w:rPr>
                <w:b/>
                <w:color w:val="000000"/>
                <w:sz w:val="20"/>
                <w:szCs w:val="20"/>
              </w:rPr>
              <w:t>1%</w:t>
            </w:r>
          </w:p>
        </w:tc>
        <w:tc>
          <w:tcPr>
            <w:tcW w:w="990" w:type="dxa"/>
            <w:tcBorders>
              <w:top w:val="single" w:sz="4" w:space="0" w:color="auto"/>
            </w:tcBorders>
          </w:tcPr>
          <w:p w14:paraId="46F5F909" w14:textId="77777777" w:rsidR="001A4F1A" w:rsidRPr="00FE69E4"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szCs w:val="20"/>
              </w:rPr>
            </w:pPr>
            <w:r w:rsidRPr="00FE69E4">
              <w:rPr>
                <w:b/>
                <w:color w:val="000000"/>
                <w:sz w:val="20"/>
                <w:szCs w:val="20"/>
              </w:rPr>
              <w:t>2%</w:t>
            </w:r>
          </w:p>
        </w:tc>
      </w:tr>
    </w:tbl>
    <w:p w14:paraId="2222C773" w14:textId="77777777" w:rsidR="001A4F1A" w:rsidRDefault="001A4F1A" w:rsidP="00E858EF">
      <w:pPr>
        <w:suppressAutoHyphens/>
        <w:autoSpaceDE w:val="0"/>
        <w:autoSpaceDN w:val="0"/>
        <w:adjustRightInd w:val="0"/>
        <w:rPr>
          <w:color w:val="000000"/>
        </w:rPr>
      </w:pPr>
    </w:p>
    <w:p w14:paraId="0138AF69" w14:textId="78C0E1E2" w:rsidR="00140A57" w:rsidRDefault="001A4F1A" w:rsidP="00E858EF">
      <w:pPr>
        <w:pStyle w:val="Testofumetto"/>
        <w:suppressAutoHyphens/>
      </w:pPr>
      <w:bookmarkStart w:id="759" w:name="_Toc520212603"/>
      <w:r>
        <w:t>Table 4-28b</w:t>
      </w:r>
      <w:r w:rsidR="008A7A5C">
        <w:t>.</w:t>
      </w:r>
      <w:r>
        <w:t xml:space="preserve"> Interment method and burial stage of skeletal remains in tombs with larnakes and information </w:t>
      </w:r>
      <w:r w:rsidR="00676506">
        <w:t xml:space="preserve">on </w:t>
      </w:r>
      <w:r>
        <w:t>skeletal remains</w:t>
      </w:r>
      <w:r w:rsidR="00676506">
        <w:t>,</w:t>
      </w:r>
      <w:r>
        <w:t xml:space="preserve"> </w:t>
      </w:r>
      <w:r w:rsidR="00C35895">
        <w:t>Far-</w:t>
      </w:r>
      <w:r>
        <w:t xml:space="preserve">East </w:t>
      </w:r>
      <w:r w:rsidR="00EF455A">
        <w:t>area</w:t>
      </w:r>
      <w:r>
        <w:t>: burial stage related to number of tombs</w:t>
      </w:r>
      <w:bookmarkEnd w:id="759"/>
      <w:r>
        <w:t xml:space="preserve"> </w:t>
      </w:r>
    </w:p>
    <w:p w14:paraId="2B4A4724" w14:textId="6A48AD99" w:rsidR="001A4F1A" w:rsidRPr="00140A57" w:rsidRDefault="001A4F1A" w:rsidP="00E858EF">
      <w:pPr>
        <w:suppressAutoHyphens/>
        <w:spacing w:line="240" w:lineRule="auto"/>
      </w:pPr>
      <w:r w:rsidRPr="00140A57">
        <w:rPr>
          <w:sz w:val="20"/>
        </w:rPr>
        <w:t>(p= primary deposition; s= secondary deposition; No info= no information about the burial stage/skeletal remains)</w:t>
      </w:r>
    </w:p>
    <w:tbl>
      <w:tblPr>
        <w:tblStyle w:val="Grigliatabella"/>
        <w:tblW w:w="8925" w:type="dxa"/>
        <w:tblLayout w:type="fixed"/>
        <w:tblLook w:val="04A0" w:firstRow="1" w:lastRow="0" w:firstColumn="1" w:lastColumn="0" w:noHBand="0" w:noVBand="1"/>
      </w:tblPr>
      <w:tblGrid>
        <w:gridCol w:w="1242"/>
        <w:gridCol w:w="425"/>
        <w:gridCol w:w="425"/>
        <w:gridCol w:w="572"/>
        <w:gridCol w:w="16"/>
        <w:gridCol w:w="404"/>
        <w:gridCol w:w="420"/>
        <w:gridCol w:w="708"/>
        <w:gridCol w:w="35"/>
        <w:gridCol w:w="958"/>
        <w:gridCol w:w="35"/>
        <w:gridCol w:w="815"/>
        <w:gridCol w:w="35"/>
        <w:gridCol w:w="816"/>
        <w:gridCol w:w="35"/>
        <w:gridCol w:w="815"/>
        <w:gridCol w:w="35"/>
        <w:gridCol w:w="1099"/>
        <w:gridCol w:w="35"/>
      </w:tblGrid>
      <w:tr w:rsidR="001A4F1A" w:rsidRPr="00140A57" w14:paraId="6A54B4AC" w14:textId="77777777" w:rsidTr="005C07D3">
        <w:trPr>
          <w:trHeight w:val="831"/>
        </w:trPr>
        <w:tc>
          <w:tcPr>
            <w:tcW w:w="1242" w:type="dxa"/>
          </w:tcPr>
          <w:p w14:paraId="5B980B0A" w14:textId="77777777" w:rsidR="001A4F1A" w:rsidRPr="005C07D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18"/>
              </w:rPr>
            </w:pPr>
          </w:p>
        </w:tc>
        <w:tc>
          <w:tcPr>
            <w:tcW w:w="1438" w:type="dxa"/>
            <w:gridSpan w:val="4"/>
          </w:tcPr>
          <w:p w14:paraId="72EC6C1A" w14:textId="6C76AD62" w:rsidR="001A4F1A" w:rsidRPr="005C07D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18"/>
              </w:rPr>
            </w:pPr>
            <w:r w:rsidRPr="005C07D3">
              <w:rPr>
                <w:color w:val="000000"/>
                <w:sz w:val="18"/>
              </w:rPr>
              <w:t>Larnax burials</w:t>
            </w:r>
          </w:p>
          <w:p w14:paraId="72FC09BE" w14:textId="77777777" w:rsidR="001A4F1A" w:rsidRPr="005C07D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18"/>
              </w:rPr>
            </w:pPr>
          </w:p>
        </w:tc>
        <w:tc>
          <w:tcPr>
            <w:tcW w:w="1567" w:type="dxa"/>
            <w:gridSpan w:val="4"/>
          </w:tcPr>
          <w:p w14:paraId="4A0EB83B" w14:textId="77777777" w:rsidR="001A4F1A" w:rsidRPr="005C07D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18"/>
              </w:rPr>
            </w:pPr>
            <w:r w:rsidRPr="005C07D3">
              <w:rPr>
                <w:color w:val="000000"/>
                <w:sz w:val="18"/>
              </w:rPr>
              <w:t>Floor burials</w:t>
            </w:r>
          </w:p>
          <w:p w14:paraId="31BE932A" w14:textId="77777777" w:rsidR="001A4F1A" w:rsidRPr="005C07D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18"/>
              </w:rPr>
            </w:pPr>
          </w:p>
        </w:tc>
        <w:tc>
          <w:tcPr>
            <w:tcW w:w="993" w:type="dxa"/>
            <w:gridSpan w:val="2"/>
          </w:tcPr>
          <w:p w14:paraId="77208307" w14:textId="77777777" w:rsidR="001A4F1A" w:rsidRPr="005C07D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18"/>
              </w:rPr>
            </w:pPr>
            <w:r w:rsidRPr="005C07D3">
              <w:rPr>
                <w:color w:val="000000"/>
                <w:sz w:val="18"/>
              </w:rPr>
              <w:t>Burials found in the fill</w:t>
            </w:r>
          </w:p>
        </w:tc>
        <w:tc>
          <w:tcPr>
            <w:tcW w:w="850" w:type="dxa"/>
            <w:gridSpan w:val="2"/>
          </w:tcPr>
          <w:p w14:paraId="354F9C67" w14:textId="77777777" w:rsidR="001A4F1A" w:rsidRPr="005C07D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18"/>
              </w:rPr>
            </w:pPr>
            <w:r w:rsidRPr="005C07D3">
              <w:rPr>
                <w:color w:val="000000"/>
                <w:sz w:val="18"/>
              </w:rPr>
              <w:t>Pit burials</w:t>
            </w:r>
          </w:p>
        </w:tc>
        <w:tc>
          <w:tcPr>
            <w:tcW w:w="851" w:type="dxa"/>
            <w:gridSpan w:val="2"/>
          </w:tcPr>
          <w:p w14:paraId="4A2FF4CF" w14:textId="77777777" w:rsidR="001A4F1A" w:rsidRPr="005C07D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18"/>
              </w:rPr>
            </w:pPr>
            <w:r w:rsidRPr="005C07D3">
              <w:rPr>
                <w:color w:val="000000"/>
                <w:sz w:val="18"/>
              </w:rPr>
              <w:t>Pithos burials</w:t>
            </w:r>
          </w:p>
        </w:tc>
        <w:tc>
          <w:tcPr>
            <w:tcW w:w="850" w:type="dxa"/>
            <w:gridSpan w:val="2"/>
          </w:tcPr>
          <w:p w14:paraId="2CCF776D" w14:textId="77777777" w:rsidR="001A4F1A" w:rsidRPr="005C07D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18"/>
              </w:rPr>
            </w:pPr>
            <w:r w:rsidRPr="005C07D3">
              <w:rPr>
                <w:color w:val="000000"/>
                <w:sz w:val="18"/>
              </w:rPr>
              <w:t>Broken bones in a vase</w:t>
            </w:r>
          </w:p>
        </w:tc>
        <w:tc>
          <w:tcPr>
            <w:tcW w:w="1134" w:type="dxa"/>
            <w:gridSpan w:val="2"/>
          </w:tcPr>
          <w:p w14:paraId="2E255C5A" w14:textId="77777777" w:rsidR="001A4F1A" w:rsidRPr="005C07D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18"/>
              </w:rPr>
            </w:pPr>
            <w:r w:rsidRPr="005C07D3">
              <w:rPr>
                <w:color w:val="000000"/>
                <w:sz w:val="18"/>
              </w:rPr>
              <w:t>Cremated bones in a pyxis</w:t>
            </w:r>
          </w:p>
        </w:tc>
      </w:tr>
      <w:tr w:rsidR="001A4F1A" w:rsidRPr="00140A57" w14:paraId="24D7269A" w14:textId="77777777" w:rsidTr="005C07D3">
        <w:trPr>
          <w:gridAfter w:val="1"/>
          <w:wAfter w:w="35" w:type="dxa"/>
          <w:trHeight w:val="387"/>
        </w:trPr>
        <w:tc>
          <w:tcPr>
            <w:tcW w:w="1242" w:type="dxa"/>
            <w:tcBorders>
              <w:bottom w:val="thinThickSmallGap" w:sz="24" w:space="0" w:color="auto"/>
            </w:tcBorders>
          </w:tcPr>
          <w:p w14:paraId="4EA40B5E"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rPr>
            </w:pPr>
            <w:r w:rsidRPr="00140A57">
              <w:rPr>
                <w:color w:val="000000"/>
                <w:sz w:val="20"/>
              </w:rPr>
              <w:t>Burial stage</w:t>
            </w:r>
          </w:p>
        </w:tc>
        <w:tc>
          <w:tcPr>
            <w:tcW w:w="425" w:type="dxa"/>
          </w:tcPr>
          <w:p w14:paraId="0654E9AC"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p</w:t>
            </w:r>
          </w:p>
        </w:tc>
        <w:tc>
          <w:tcPr>
            <w:tcW w:w="425" w:type="dxa"/>
          </w:tcPr>
          <w:p w14:paraId="02951AC5"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s</w:t>
            </w:r>
          </w:p>
        </w:tc>
        <w:tc>
          <w:tcPr>
            <w:tcW w:w="572" w:type="dxa"/>
          </w:tcPr>
          <w:p w14:paraId="2D309C48"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No info</w:t>
            </w:r>
          </w:p>
        </w:tc>
        <w:tc>
          <w:tcPr>
            <w:tcW w:w="420" w:type="dxa"/>
            <w:gridSpan w:val="2"/>
          </w:tcPr>
          <w:p w14:paraId="3CE85026"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p</w:t>
            </w:r>
          </w:p>
        </w:tc>
        <w:tc>
          <w:tcPr>
            <w:tcW w:w="420" w:type="dxa"/>
          </w:tcPr>
          <w:p w14:paraId="3757920E"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s</w:t>
            </w:r>
          </w:p>
        </w:tc>
        <w:tc>
          <w:tcPr>
            <w:tcW w:w="708" w:type="dxa"/>
          </w:tcPr>
          <w:p w14:paraId="358AEB2B"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No info</w:t>
            </w:r>
          </w:p>
        </w:tc>
        <w:tc>
          <w:tcPr>
            <w:tcW w:w="993" w:type="dxa"/>
            <w:gridSpan w:val="2"/>
          </w:tcPr>
          <w:p w14:paraId="2D6CA06C"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No info</w:t>
            </w:r>
          </w:p>
        </w:tc>
        <w:tc>
          <w:tcPr>
            <w:tcW w:w="850" w:type="dxa"/>
            <w:gridSpan w:val="2"/>
          </w:tcPr>
          <w:p w14:paraId="3B5313DF"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s</w:t>
            </w:r>
          </w:p>
        </w:tc>
        <w:tc>
          <w:tcPr>
            <w:tcW w:w="851" w:type="dxa"/>
            <w:gridSpan w:val="2"/>
          </w:tcPr>
          <w:p w14:paraId="7D2E142C"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No info</w:t>
            </w:r>
          </w:p>
        </w:tc>
        <w:tc>
          <w:tcPr>
            <w:tcW w:w="850" w:type="dxa"/>
            <w:gridSpan w:val="2"/>
          </w:tcPr>
          <w:p w14:paraId="6BC8C4BB"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s</w:t>
            </w:r>
          </w:p>
        </w:tc>
        <w:tc>
          <w:tcPr>
            <w:tcW w:w="1134" w:type="dxa"/>
            <w:gridSpan w:val="2"/>
          </w:tcPr>
          <w:p w14:paraId="103037BE"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No info</w:t>
            </w:r>
          </w:p>
        </w:tc>
      </w:tr>
      <w:tr w:rsidR="001A4F1A" w:rsidRPr="00140A57" w14:paraId="023FA354" w14:textId="77777777" w:rsidTr="005C07D3">
        <w:trPr>
          <w:gridAfter w:val="1"/>
          <w:wAfter w:w="35" w:type="dxa"/>
        </w:trPr>
        <w:tc>
          <w:tcPr>
            <w:tcW w:w="1242" w:type="dxa"/>
            <w:tcBorders>
              <w:top w:val="thinThickSmallGap" w:sz="24" w:space="0" w:color="auto"/>
            </w:tcBorders>
          </w:tcPr>
          <w:p w14:paraId="6CF0ACB9"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rPr>
            </w:pPr>
            <w:r w:rsidRPr="00140A57">
              <w:rPr>
                <w:color w:val="000000"/>
                <w:sz w:val="20"/>
              </w:rPr>
              <w:t>MNEB</w:t>
            </w:r>
          </w:p>
        </w:tc>
        <w:tc>
          <w:tcPr>
            <w:tcW w:w="425" w:type="dxa"/>
            <w:tcBorders>
              <w:top w:val="thinThickSmallGap" w:sz="24" w:space="0" w:color="auto"/>
            </w:tcBorders>
          </w:tcPr>
          <w:p w14:paraId="681F19AF"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27</w:t>
            </w:r>
          </w:p>
        </w:tc>
        <w:tc>
          <w:tcPr>
            <w:tcW w:w="425" w:type="dxa"/>
            <w:tcBorders>
              <w:top w:val="thinThickSmallGap" w:sz="24" w:space="0" w:color="auto"/>
            </w:tcBorders>
          </w:tcPr>
          <w:p w14:paraId="0C293EBF"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17</w:t>
            </w:r>
          </w:p>
        </w:tc>
        <w:tc>
          <w:tcPr>
            <w:tcW w:w="572" w:type="dxa"/>
            <w:tcBorders>
              <w:top w:val="thinThickSmallGap" w:sz="24" w:space="0" w:color="auto"/>
              <w:bottom w:val="thinThickSmallGap" w:sz="24" w:space="0" w:color="auto"/>
            </w:tcBorders>
          </w:tcPr>
          <w:p w14:paraId="2558D5A4"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36</w:t>
            </w:r>
          </w:p>
        </w:tc>
        <w:tc>
          <w:tcPr>
            <w:tcW w:w="420" w:type="dxa"/>
            <w:gridSpan w:val="2"/>
            <w:tcBorders>
              <w:top w:val="thinThickSmallGap" w:sz="24" w:space="0" w:color="auto"/>
            </w:tcBorders>
          </w:tcPr>
          <w:p w14:paraId="5C08CD84"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1</w:t>
            </w:r>
          </w:p>
        </w:tc>
        <w:tc>
          <w:tcPr>
            <w:tcW w:w="420" w:type="dxa"/>
            <w:tcBorders>
              <w:top w:val="thinThickSmallGap" w:sz="24" w:space="0" w:color="auto"/>
            </w:tcBorders>
          </w:tcPr>
          <w:p w14:paraId="58C13218"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10</w:t>
            </w:r>
          </w:p>
        </w:tc>
        <w:tc>
          <w:tcPr>
            <w:tcW w:w="708" w:type="dxa"/>
            <w:tcBorders>
              <w:top w:val="thinThickSmallGap" w:sz="24" w:space="0" w:color="auto"/>
            </w:tcBorders>
          </w:tcPr>
          <w:p w14:paraId="06ABA734"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13</w:t>
            </w:r>
          </w:p>
        </w:tc>
        <w:tc>
          <w:tcPr>
            <w:tcW w:w="993" w:type="dxa"/>
            <w:gridSpan w:val="2"/>
            <w:tcBorders>
              <w:top w:val="thinThickSmallGap" w:sz="24" w:space="0" w:color="auto"/>
            </w:tcBorders>
          </w:tcPr>
          <w:p w14:paraId="023A1943"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7</w:t>
            </w:r>
          </w:p>
        </w:tc>
        <w:tc>
          <w:tcPr>
            <w:tcW w:w="850" w:type="dxa"/>
            <w:gridSpan w:val="2"/>
            <w:tcBorders>
              <w:top w:val="thinThickSmallGap" w:sz="24" w:space="0" w:color="auto"/>
            </w:tcBorders>
          </w:tcPr>
          <w:p w14:paraId="09E7C8A1"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9</w:t>
            </w:r>
          </w:p>
        </w:tc>
        <w:tc>
          <w:tcPr>
            <w:tcW w:w="851" w:type="dxa"/>
            <w:gridSpan w:val="2"/>
            <w:tcBorders>
              <w:top w:val="thinThickSmallGap" w:sz="24" w:space="0" w:color="auto"/>
            </w:tcBorders>
          </w:tcPr>
          <w:p w14:paraId="1C087F31"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2</w:t>
            </w:r>
          </w:p>
        </w:tc>
        <w:tc>
          <w:tcPr>
            <w:tcW w:w="850" w:type="dxa"/>
            <w:gridSpan w:val="2"/>
            <w:tcBorders>
              <w:top w:val="thinThickSmallGap" w:sz="24" w:space="0" w:color="auto"/>
            </w:tcBorders>
          </w:tcPr>
          <w:p w14:paraId="0D0435D7"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1</w:t>
            </w:r>
          </w:p>
        </w:tc>
        <w:tc>
          <w:tcPr>
            <w:tcW w:w="1134" w:type="dxa"/>
            <w:gridSpan w:val="2"/>
            <w:tcBorders>
              <w:top w:val="thinThickSmallGap" w:sz="24" w:space="0" w:color="auto"/>
            </w:tcBorders>
          </w:tcPr>
          <w:p w14:paraId="7592226D"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color w:val="000000"/>
                <w:sz w:val="20"/>
              </w:rPr>
            </w:pPr>
            <w:r w:rsidRPr="00140A57">
              <w:rPr>
                <w:color w:val="000000"/>
                <w:sz w:val="20"/>
              </w:rPr>
              <w:t>2</w:t>
            </w:r>
          </w:p>
        </w:tc>
      </w:tr>
      <w:tr w:rsidR="001A4F1A" w:rsidRPr="00140A57" w14:paraId="411E736D" w14:textId="77777777" w:rsidTr="005C07D3">
        <w:trPr>
          <w:gridAfter w:val="1"/>
          <w:wAfter w:w="35" w:type="dxa"/>
          <w:trHeight w:val="1417"/>
        </w:trPr>
        <w:tc>
          <w:tcPr>
            <w:tcW w:w="1242" w:type="dxa"/>
            <w:tcBorders>
              <w:top w:val="thinThickSmallGap" w:sz="24" w:space="0" w:color="auto"/>
            </w:tcBorders>
          </w:tcPr>
          <w:p w14:paraId="5E6982CA"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left"/>
              <w:rPr>
                <w:color w:val="000000"/>
                <w:sz w:val="20"/>
              </w:rPr>
            </w:pPr>
            <w:r w:rsidRPr="00140A57">
              <w:rPr>
                <w:color w:val="000000"/>
                <w:sz w:val="20"/>
              </w:rPr>
              <w:t>No. of tombs in which they occur</w:t>
            </w:r>
          </w:p>
        </w:tc>
        <w:tc>
          <w:tcPr>
            <w:tcW w:w="425" w:type="dxa"/>
            <w:tcBorders>
              <w:top w:val="thinThickSmallGap" w:sz="24" w:space="0" w:color="auto"/>
            </w:tcBorders>
            <w:vAlign w:val="center"/>
          </w:tcPr>
          <w:p w14:paraId="10CB5ED9"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rPr>
            </w:pPr>
            <w:r w:rsidRPr="00140A57">
              <w:rPr>
                <w:b/>
                <w:color w:val="000000"/>
                <w:sz w:val="20"/>
              </w:rPr>
              <w:t>18</w:t>
            </w:r>
          </w:p>
        </w:tc>
        <w:tc>
          <w:tcPr>
            <w:tcW w:w="425" w:type="dxa"/>
            <w:tcBorders>
              <w:top w:val="thinThickSmallGap" w:sz="24" w:space="0" w:color="auto"/>
            </w:tcBorders>
            <w:vAlign w:val="center"/>
          </w:tcPr>
          <w:p w14:paraId="65025EAE"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rPr>
            </w:pPr>
            <w:r w:rsidRPr="00140A57">
              <w:rPr>
                <w:b/>
                <w:color w:val="000000"/>
                <w:sz w:val="20"/>
              </w:rPr>
              <w:t>5</w:t>
            </w:r>
          </w:p>
        </w:tc>
        <w:tc>
          <w:tcPr>
            <w:tcW w:w="572" w:type="dxa"/>
            <w:tcBorders>
              <w:top w:val="thinThickSmallGap" w:sz="24" w:space="0" w:color="auto"/>
            </w:tcBorders>
            <w:vAlign w:val="center"/>
          </w:tcPr>
          <w:p w14:paraId="26F72DBA"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rPr>
            </w:pPr>
            <w:r w:rsidRPr="00140A57">
              <w:rPr>
                <w:b/>
                <w:color w:val="000000"/>
                <w:sz w:val="20"/>
              </w:rPr>
              <w:t>23</w:t>
            </w:r>
          </w:p>
        </w:tc>
        <w:tc>
          <w:tcPr>
            <w:tcW w:w="420" w:type="dxa"/>
            <w:gridSpan w:val="2"/>
            <w:tcBorders>
              <w:top w:val="thinThickSmallGap" w:sz="24" w:space="0" w:color="auto"/>
            </w:tcBorders>
            <w:vAlign w:val="center"/>
          </w:tcPr>
          <w:p w14:paraId="73A1FD5A"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rPr>
            </w:pPr>
            <w:r w:rsidRPr="00140A57">
              <w:rPr>
                <w:b/>
                <w:color w:val="000000"/>
                <w:sz w:val="20"/>
              </w:rPr>
              <w:t>1</w:t>
            </w:r>
          </w:p>
        </w:tc>
        <w:tc>
          <w:tcPr>
            <w:tcW w:w="420" w:type="dxa"/>
            <w:tcBorders>
              <w:top w:val="thinThickSmallGap" w:sz="24" w:space="0" w:color="auto"/>
            </w:tcBorders>
            <w:vAlign w:val="center"/>
          </w:tcPr>
          <w:p w14:paraId="28815C29"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rPr>
            </w:pPr>
            <w:r w:rsidRPr="00140A57">
              <w:rPr>
                <w:b/>
                <w:color w:val="000000"/>
                <w:sz w:val="20"/>
              </w:rPr>
              <w:t>5</w:t>
            </w:r>
          </w:p>
        </w:tc>
        <w:tc>
          <w:tcPr>
            <w:tcW w:w="708" w:type="dxa"/>
            <w:tcBorders>
              <w:top w:val="thinThickSmallGap" w:sz="24" w:space="0" w:color="auto"/>
            </w:tcBorders>
            <w:vAlign w:val="center"/>
          </w:tcPr>
          <w:p w14:paraId="05B94B1E"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rPr>
            </w:pPr>
            <w:r w:rsidRPr="00140A57">
              <w:rPr>
                <w:b/>
                <w:color w:val="000000"/>
                <w:sz w:val="20"/>
              </w:rPr>
              <w:t>8</w:t>
            </w:r>
          </w:p>
        </w:tc>
        <w:tc>
          <w:tcPr>
            <w:tcW w:w="993" w:type="dxa"/>
            <w:gridSpan w:val="2"/>
            <w:tcBorders>
              <w:top w:val="thinThickSmallGap" w:sz="24" w:space="0" w:color="auto"/>
            </w:tcBorders>
            <w:vAlign w:val="center"/>
          </w:tcPr>
          <w:p w14:paraId="3083768C"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rPr>
            </w:pPr>
            <w:r w:rsidRPr="00140A57">
              <w:rPr>
                <w:b/>
                <w:color w:val="000000"/>
                <w:sz w:val="20"/>
              </w:rPr>
              <w:t>1</w:t>
            </w:r>
          </w:p>
        </w:tc>
        <w:tc>
          <w:tcPr>
            <w:tcW w:w="850" w:type="dxa"/>
            <w:gridSpan w:val="2"/>
            <w:tcBorders>
              <w:top w:val="thinThickSmallGap" w:sz="24" w:space="0" w:color="auto"/>
            </w:tcBorders>
            <w:vAlign w:val="center"/>
          </w:tcPr>
          <w:p w14:paraId="3E6798A0"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rPr>
            </w:pPr>
            <w:r w:rsidRPr="00140A57">
              <w:rPr>
                <w:b/>
                <w:color w:val="000000"/>
                <w:sz w:val="20"/>
              </w:rPr>
              <w:t>3</w:t>
            </w:r>
          </w:p>
        </w:tc>
        <w:tc>
          <w:tcPr>
            <w:tcW w:w="851" w:type="dxa"/>
            <w:gridSpan w:val="2"/>
            <w:tcBorders>
              <w:top w:val="thinThickSmallGap" w:sz="24" w:space="0" w:color="auto"/>
            </w:tcBorders>
            <w:vAlign w:val="center"/>
          </w:tcPr>
          <w:p w14:paraId="2756FBB5"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rPr>
            </w:pPr>
            <w:r w:rsidRPr="00140A57">
              <w:rPr>
                <w:b/>
                <w:color w:val="000000"/>
                <w:sz w:val="20"/>
              </w:rPr>
              <w:t>2</w:t>
            </w:r>
          </w:p>
        </w:tc>
        <w:tc>
          <w:tcPr>
            <w:tcW w:w="850" w:type="dxa"/>
            <w:gridSpan w:val="2"/>
            <w:tcBorders>
              <w:top w:val="thinThickSmallGap" w:sz="24" w:space="0" w:color="auto"/>
            </w:tcBorders>
            <w:vAlign w:val="center"/>
          </w:tcPr>
          <w:p w14:paraId="4F031077"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rPr>
            </w:pPr>
            <w:r w:rsidRPr="00140A57">
              <w:rPr>
                <w:b/>
                <w:color w:val="000000"/>
                <w:sz w:val="20"/>
              </w:rPr>
              <w:t>1</w:t>
            </w:r>
          </w:p>
        </w:tc>
        <w:tc>
          <w:tcPr>
            <w:tcW w:w="1134" w:type="dxa"/>
            <w:gridSpan w:val="2"/>
            <w:tcBorders>
              <w:top w:val="thinThickSmallGap" w:sz="24" w:space="0" w:color="auto"/>
            </w:tcBorders>
            <w:vAlign w:val="center"/>
          </w:tcPr>
          <w:p w14:paraId="439B8A89" w14:textId="77777777" w:rsidR="001A4F1A" w:rsidRPr="00140A57"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jc w:val="center"/>
              <w:rPr>
                <w:b/>
                <w:color w:val="000000"/>
                <w:sz w:val="20"/>
              </w:rPr>
            </w:pPr>
            <w:r w:rsidRPr="00140A57">
              <w:rPr>
                <w:b/>
                <w:color w:val="000000"/>
                <w:sz w:val="20"/>
              </w:rPr>
              <w:t>2</w:t>
            </w:r>
          </w:p>
        </w:tc>
      </w:tr>
    </w:tbl>
    <w:p w14:paraId="483EE547" w14:textId="77777777" w:rsidR="001A4F1A" w:rsidRDefault="001A4F1A" w:rsidP="00E858EF">
      <w:pPr>
        <w:suppressAutoHyphens/>
        <w:autoSpaceDE w:val="0"/>
        <w:autoSpaceDN w:val="0"/>
        <w:adjustRightInd w:val="0"/>
        <w:rPr>
          <w:color w:val="000000"/>
        </w:rPr>
      </w:pPr>
    </w:p>
    <w:p w14:paraId="73C801D9" w14:textId="77777777" w:rsidR="001A4F1A" w:rsidRPr="00D6101B" w:rsidRDefault="001A4F1A" w:rsidP="00E858EF">
      <w:pPr>
        <w:suppressAutoHyphens/>
        <w:autoSpaceDE w:val="0"/>
        <w:autoSpaceDN w:val="0"/>
        <w:adjustRightInd w:val="0"/>
        <w:rPr>
          <w:color w:val="000000"/>
        </w:rPr>
      </w:pPr>
      <w:r>
        <w:rPr>
          <w:noProof/>
          <w:lang w:val="it-IT"/>
        </w:rPr>
        <w:drawing>
          <wp:inline distT="0" distB="0" distL="0" distR="0" wp14:anchorId="751FC863" wp14:editId="61924ED3">
            <wp:extent cx="4680000" cy="2520000"/>
            <wp:effectExtent l="0" t="0" r="19050" b="20320"/>
            <wp:docPr id="88" name="Grafico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5AFBCD5A" w14:textId="4684236F" w:rsidR="001A4F1A" w:rsidRPr="00D6101B" w:rsidRDefault="001A4F1A" w:rsidP="00E858EF">
      <w:pPr>
        <w:pStyle w:val="Didascalia"/>
        <w:suppressAutoHyphens/>
      </w:pPr>
      <w:bookmarkStart w:id="760" w:name="_Toc520212363"/>
      <w:r>
        <w:t>Figure 4-26</w:t>
      </w:r>
      <w:r w:rsidR="00D81C03">
        <w:t>.</w:t>
      </w:r>
      <w:r>
        <w:t xml:space="preserve"> Deposition methods </w:t>
      </w:r>
      <w:r w:rsidRPr="008772F1">
        <w:t>associated in t</w:t>
      </w:r>
      <w:r>
        <w:t>ombs with larnakes</w:t>
      </w:r>
      <w:r w:rsidR="00676506">
        <w:t>,</w:t>
      </w:r>
      <w:r>
        <w:t xml:space="preserve"> Far-East</w:t>
      </w:r>
      <w:r w:rsidRPr="008772F1">
        <w:t xml:space="preserve"> </w:t>
      </w:r>
      <w:bookmarkEnd w:id="760"/>
      <w:r w:rsidR="00EF455A">
        <w:t>area</w:t>
      </w:r>
    </w:p>
    <w:p w14:paraId="0901E8B7" w14:textId="77777777" w:rsidR="001A4F1A" w:rsidRDefault="001A4F1A" w:rsidP="00E858EF">
      <w:pPr>
        <w:suppressAutoHyphens/>
        <w:autoSpaceDE w:val="0"/>
        <w:autoSpaceDN w:val="0"/>
        <w:adjustRightInd w:val="0"/>
        <w:rPr>
          <w:color w:val="000000"/>
        </w:rPr>
      </w:pPr>
      <w:r>
        <w:rPr>
          <w:color w:val="000000"/>
        </w:rPr>
        <w:tab/>
      </w:r>
    </w:p>
    <w:p w14:paraId="294960FD" w14:textId="77777777" w:rsidR="001A4F1A" w:rsidRPr="005C67DB" w:rsidRDefault="001A4F1A" w:rsidP="00E858EF">
      <w:pPr>
        <w:suppressAutoHyphens/>
        <w:autoSpaceDE w:val="0"/>
        <w:autoSpaceDN w:val="0"/>
        <w:adjustRightInd w:val="0"/>
        <w:rPr>
          <w:color w:val="000000"/>
        </w:rPr>
      </w:pPr>
      <w:r w:rsidRPr="005C67DB">
        <w:rPr>
          <w:color w:val="000000"/>
        </w:rPr>
        <w:t xml:space="preserve">The other types of interment method associated with larnakes are depositions on the floor and in pits. In the cave/rock shelter at Palaikastro Petsofà, skeletal remains of at least seven individuals were retrieved from the fill (Dawkins </w:t>
      </w:r>
      <w:r>
        <w:rPr>
          <w:color w:val="000000"/>
        </w:rPr>
        <w:t xml:space="preserve">1904-1905: </w:t>
      </w:r>
      <w:r w:rsidRPr="005C67DB">
        <w:rPr>
          <w:color w:val="000000"/>
        </w:rPr>
        <w:t>290-293)</w:t>
      </w:r>
      <w:r>
        <w:rPr>
          <w:color w:val="000000"/>
        </w:rPr>
        <w:t>. In</w:t>
      </w:r>
      <w:r w:rsidRPr="005C67DB">
        <w:rPr>
          <w:color w:val="000000"/>
        </w:rPr>
        <w:t xml:space="preserve"> Mochlos Tomb 13, the bones of a young adult female (?) had been broken up to fit insid</w:t>
      </w:r>
      <w:r>
        <w:rPr>
          <w:color w:val="000000"/>
        </w:rPr>
        <w:t>e the pyxis (Triantaphyllou 2008:</w:t>
      </w:r>
      <w:r w:rsidRPr="001F2FE3">
        <w:rPr>
          <w:color w:val="000000"/>
        </w:rPr>
        <w:t xml:space="preserve"> </w:t>
      </w:r>
      <w:r>
        <w:rPr>
          <w:color w:val="000000"/>
        </w:rPr>
        <w:t>151-157</w:t>
      </w:r>
      <w:r w:rsidRPr="005C67DB">
        <w:rPr>
          <w:color w:val="000000"/>
        </w:rPr>
        <w:t>). The other deposition methods attested in this tomb are secondary depositions in a larnax and on the floor, and there is evidence for the burials of at least five individuals, sugg</w:t>
      </w:r>
      <w:r>
        <w:rPr>
          <w:color w:val="000000"/>
        </w:rPr>
        <w:t>esting the tomb was in use for several</w:t>
      </w:r>
      <w:r w:rsidRPr="005C67DB">
        <w:rPr>
          <w:color w:val="000000"/>
        </w:rPr>
        <w:t xml:space="preserve"> generations.</w:t>
      </w:r>
    </w:p>
    <w:p w14:paraId="76098886" w14:textId="77777777" w:rsidR="001A4F1A" w:rsidRPr="00D6101B" w:rsidRDefault="001A4F1A" w:rsidP="00E858EF">
      <w:pPr>
        <w:suppressAutoHyphens/>
        <w:autoSpaceDE w:val="0"/>
        <w:autoSpaceDN w:val="0"/>
        <w:adjustRightInd w:val="0"/>
        <w:ind w:firstLine="360"/>
        <w:rPr>
          <w:color w:val="000000"/>
        </w:rPr>
      </w:pPr>
      <w:r>
        <w:rPr>
          <w:color w:val="000000"/>
        </w:rPr>
        <w:t>I</w:t>
      </w:r>
      <w:r w:rsidRPr="00D6101B">
        <w:rPr>
          <w:color w:val="000000"/>
        </w:rPr>
        <w:t>n t</w:t>
      </w:r>
      <w:r>
        <w:rPr>
          <w:color w:val="000000"/>
        </w:rPr>
        <w:t>wo</w:t>
      </w:r>
      <w:r w:rsidRPr="00D6101B">
        <w:rPr>
          <w:color w:val="000000"/>
        </w:rPr>
        <w:t xml:space="preserve"> tombs</w:t>
      </w:r>
      <w:r>
        <w:rPr>
          <w:color w:val="000000"/>
        </w:rPr>
        <w:t xml:space="preserve"> with larnakes,</w:t>
      </w:r>
      <w:r w:rsidRPr="00D6101B">
        <w:rPr>
          <w:color w:val="000000"/>
        </w:rPr>
        <w:t xml:space="preserve"> pyxi</w:t>
      </w:r>
      <w:r>
        <w:rPr>
          <w:color w:val="000000"/>
        </w:rPr>
        <w:t>des</w:t>
      </w:r>
      <w:r w:rsidRPr="00D6101B">
        <w:rPr>
          <w:color w:val="000000"/>
        </w:rPr>
        <w:t xml:space="preserve"> with cremated/buried burials </w:t>
      </w:r>
      <w:r>
        <w:rPr>
          <w:color w:val="000000"/>
        </w:rPr>
        <w:t>were</w:t>
      </w:r>
      <w:r w:rsidRPr="00D6101B">
        <w:rPr>
          <w:color w:val="000000"/>
        </w:rPr>
        <w:t xml:space="preserve"> found:</w:t>
      </w:r>
    </w:p>
    <w:p w14:paraId="66C78366" w14:textId="77777777" w:rsidR="001A4F1A" w:rsidRPr="00D6101B" w:rsidRDefault="001A4F1A" w:rsidP="00E858EF">
      <w:pPr>
        <w:pStyle w:val="Paragrafoelenco"/>
        <w:numPr>
          <w:ilvl w:val="0"/>
          <w:numId w:val="41"/>
        </w:numPr>
        <w:suppressAutoHyphens/>
        <w:autoSpaceDE w:val="0"/>
        <w:autoSpaceDN w:val="0"/>
        <w:adjustRightInd w:val="0"/>
        <w:jc w:val="left"/>
        <w:rPr>
          <w:color w:val="000000"/>
        </w:rPr>
      </w:pPr>
      <w:r w:rsidRPr="00D6101B">
        <w:rPr>
          <w:color w:val="000000"/>
        </w:rPr>
        <w:t>In the cave at Berati Piskokephalo</w:t>
      </w:r>
      <w:r>
        <w:rPr>
          <w:color w:val="000000"/>
        </w:rPr>
        <w:t>,</w:t>
      </w:r>
      <w:r w:rsidRPr="00D6101B">
        <w:rPr>
          <w:color w:val="000000"/>
        </w:rPr>
        <w:t xml:space="preserve"> along with a burial in a larnax and one in a pithos, crema</w:t>
      </w:r>
      <w:r>
        <w:rPr>
          <w:color w:val="000000"/>
        </w:rPr>
        <w:t>ted</w:t>
      </w:r>
      <w:r w:rsidRPr="00D6101B">
        <w:rPr>
          <w:color w:val="000000"/>
        </w:rPr>
        <w:t xml:space="preserve"> ashes </w:t>
      </w:r>
      <w:r>
        <w:rPr>
          <w:color w:val="000000"/>
        </w:rPr>
        <w:t>were</w:t>
      </w:r>
      <w:r w:rsidRPr="00D6101B">
        <w:rPr>
          <w:color w:val="000000"/>
        </w:rPr>
        <w:t xml:space="preserve"> found under an </w:t>
      </w:r>
      <w:r>
        <w:rPr>
          <w:color w:val="000000"/>
        </w:rPr>
        <w:t xml:space="preserve">inverted </w:t>
      </w:r>
      <w:r w:rsidRPr="00D6101B">
        <w:rPr>
          <w:color w:val="000000"/>
        </w:rPr>
        <w:t>basin (Perna 2011: 136)</w:t>
      </w:r>
      <w:r>
        <w:rPr>
          <w:color w:val="000000"/>
        </w:rPr>
        <w:t>.</w:t>
      </w:r>
    </w:p>
    <w:p w14:paraId="0F08D0AD" w14:textId="77777777" w:rsidR="001A4F1A" w:rsidRPr="00D6101B" w:rsidRDefault="001A4F1A" w:rsidP="00E858EF">
      <w:pPr>
        <w:pStyle w:val="Paragrafoelenco"/>
        <w:numPr>
          <w:ilvl w:val="0"/>
          <w:numId w:val="41"/>
        </w:numPr>
        <w:suppressAutoHyphens/>
        <w:autoSpaceDE w:val="0"/>
        <w:autoSpaceDN w:val="0"/>
        <w:adjustRightInd w:val="0"/>
        <w:jc w:val="left"/>
        <w:rPr>
          <w:color w:val="000000"/>
        </w:rPr>
      </w:pPr>
      <w:r w:rsidRPr="00D6101B">
        <w:rPr>
          <w:color w:val="000000"/>
        </w:rPr>
        <w:t>In the corbel</w:t>
      </w:r>
      <w:r>
        <w:rPr>
          <w:color w:val="000000"/>
        </w:rPr>
        <w:t>-</w:t>
      </w:r>
      <w:r w:rsidRPr="00D6101B">
        <w:rPr>
          <w:color w:val="000000"/>
        </w:rPr>
        <w:t>vaulted tomb at Praisos Fotoula</w:t>
      </w:r>
      <w:r>
        <w:rPr>
          <w:color w:val="000000"/>
        </w:rPr>
        <w:t>,</w:t>
      </w:r>
      <w:r w:rsidRPr="00D6101B">
        <w:rPr>
          <w:color w:val="000000"/>
        </w:rPr>
        <w:t xml:space="preserve"> a pyxis with </w:t>
      </w:r>
      <w:r>
        <w:rPr>
          <w:color w:val="000000"/>
        </w:rPr>
        <w:t xml:space="preserve">cremated </w:t>
      </w:r>
      <w:r w:rsidRPr="00D6101B">
        <w:rPr>
          <w:color w:val="000000"/>
        </w:rPr>
        <w:t>ashes was placed at the feet of one individual buried in the larnax. The cremated burial within the pyxis probably belong</w:t>
      </w:r>
      <w:r>
        <w:rPr>
          <w:color w:val="000000"/>
        </w:rPr>
        <w:t>s</w:t>
      </w:r>
      <w:r w:rsidRPr="00D6101B">
        <w:rPr>
          <w:color w:val="000000"/>
        </w:rPr>
        <w:t xml:space="preserve"> to a child, while in the same tomb a primary burial on the floor</w:t>
      </w:r>
      <w:r>
        <w:rPr>
          <w:color w:val="000000"/>
        </w:rPr>
        <w:t xml:space="preserve"> was also found</w:t>
      </w:r>
      <w:r w:rsidRPr="00D6101B">
        <w:rPr>
          <w:color w:val="000000"/>
        </w:rPr>
        <w:t xml:space="preserve"> </w:t>
      </w:r>
      <w:r>
        <w:rPr>
          <w:color w:val="000000"/>
        </w:rPr>
        <w:t>(</w:t>
      </w:r>
      <w:r w:rsidRPr="00D6101B">
        <w:rPr>
          <w:color w:val="000000"/>
        </w:rPr>
        <w:t>PAE 1960: 303-307, pl. 243 a; Kanta 1980: 180-181; Perna 2011: 136).</w:t>
      </w:r>
    </w:p>
    <w:p w14:paraId="603A308C" w14:textId="77777777" w:rsidR="001A4F1A" w:rsidRPr="00D6101B" w:rsidRDefault="001A4F1A" w:rsidP="00E858EF">
      <w:pPr>
        <w:suppressAutoHyphens/>
        <w:autoSpaceDE w:val="0"/>
        <w:autoSpaceDN w:val="0"/>
        <w:adjustRightInd w:val="0"/>
        <w:ind w:firstLine="360"/>
        <w:rPr>
          <w:color w:val="000000"/>
        </w:rPr>
      </w:pPr>
      <w:r w:rsidRPr="00D6101B">
        <w:rPr>
          <w:color w:val="000000"/>
        </w:rPr>
        <w:t>In this region</w:t>
      </w:r>
      <w:r>
        <w:rPr>
          <w:color w:val="000000"/>
        </w:rPr>
        <w:t>,</w:t>
      </w:r>
      <w:r w:rsidRPr="00D6101B">
        <w:rPr>
          <w:color w:val="000000"/>
        </w:rPr>
        <w:t xml:space="preserve"> the coexistence between inhumation and cremation is attested in further tombs where larnax burials have not been found (i.e. Mouliana Sellades, Zakros Palaimylos, Krya Orthi Petra</w:t>
      </w:r>
      <w:r>
        <w:rPr>
          <w:color w:val="000000"/>
        </w:rPr>
        <w:t>: see</w:t>
      </w:r>
      <w:r w:rsidRPr="00D6101B">
        <w:rPr>
          <w:color w:val="000000"/>
        </w:rPr>
        <w:t xml:space="preserve"> Perna 2011: 136). As observed in </w:t>
      </w:r>
      <w:r>
        <w:rPr>
          <w:color w:val="000000"/>
        </w:rPr>
        <w:t>the Mid-East</w:t>
      </w:r>
      <w:r w:rsidRPr="00D6101B">
        <w:rPr>
          <w:color w:val="000000"/>
        </w:rPr>
        <w:t xml:space="preserve"> region, it is highly possible that cremation burials represent the </w:t>
      </w:r>
      <w:r>
        <w:rPr>
          <w:color w:val="000000"/>
        </w:rPr>
        <w:t>final</w:t>
      </w:r>
      <w:r w:rsidRPr="00D6101B">
        <w:rPr>
          <w:color w:val="000000"/>
        </w:rPr>
        <w:t xml:space="preserve"> phase of use of these tombs</w:t>
      </w:r>
      <w:r>
        <w:rPr>
          <w:color w:val="000000"/>
        </w:rPr>
        <w:t>. T</w:t>
      </w:r>
      <w:r w:rsidRPr="00D6101B">
        <w:rPr>
          <w:color w:val="000000"/>
        </w:rPr>
        <w:t>he tomb at Berati Piskokephalo has a long</w:t>
      </w:r>
      <w:r>
        <w:rPr>
          <w:color w:val="000000"/>
        </w:rPr>
        <w:t xml:space="preserve"> use attested by the pottery found (</w:t>
      </w:r>
      <w:r w:rsidRPr="00D6101B">
        <w:rPr>
          <w:color w:val="000000"/>
        </w:rPr>
        <w:t xml:space="preserve">MM II </w:t>
      </w:r>
      <w:r>
        <w:rPr>
          <w:color w:val="000000"/>
        </w:rPr>
        <w:t>until the</w:t>
      </w:r>
      <w:r w:rsidRPr="00D6101B">
        <w:rPr>
          <w:color w:val="000000"/>
        </w:rPr>
        <w:t xml:space="preserve"> Protogeometric/Geometric period</w:t>
      </w:r>
      <w:r>
        <w:rPr>
          <w:color w:val="000000"/>
        </w:rPr>
        <w:t>),</w:t>
      </w:r>
      <w:r w:rsidRPr="00D6101B">
        <w:rPr>
          <w:color w:val="000000"/>
        </w:rPr>
        <w:t xml:space="preserve"> while the tomb at Praisos Fotoula is dated to LM IIIC. </w:t>
      </w:r>
    </w:p>
    <w:p w14:paraId="33655170" w14:textId="77777777" w:rsidR="001A4F1A" w:rsidRPr="00D6101B" w:rsidRDefault="001A4F1A" w:rsidP="00E858EF">
      <w:pPr>
        <w:suppressAutoHyphens/>
        <w:autoSpaceDE w:val="0"/>
        <w:autoSpaceDN w:val="0"/>
        <w:adjustRightInd w:val="0"/>
        <w:rPr>
          <w:color w:val="000000"/>
        </w:rPr>
      </w:pPr>
      <w:r>
        <w:rPr>
          <w:color w:val="000000"/>
        </w:rPr>
        <w:tab/>
        <w:t>Regarding</w:t>
      </w:r>
      <w:r w:rsidRPr="00D6101B">
        <w:rPr>
          <w:color w:val="000000"/>
        </w:rPr>
        <w:t xml:space="preserve"> floor and pit burials, they seem to have been used</w:t>
      </w:r>
      <w:r>
        <w:rPr>
          <w:color w:val="000000"/>
        </w:rPr>
        <w:t>,</w:t>
      </w:r>
      <w:r w:rsidRPr="00D6101B">
        <w:rPr>
          <w:color w:val="000000"/>
        </w:rPr>
        <w:t xml:space="preserve"> in the vast majority of cases</w:t>
      </w:r>
      <w:r>
        <w:rPr>
          <w:color w:val="000000"/>
        </w:rPr>
        <w:t>,</w:t>
      </w:r>
      <w:r w:rsidRPr="00D6101B">
        <w:rPr>
          <w:color w:val="000000"/>
        </w:rPr>
        <w:t xml:space="preserve"> for secondary burial depositions (skulls piled together in pits or on the floor and scattered bones frequently found on the tomb floor, probably </w:t>
      </w:r>
      <w:r>
        <w:rPr>
          <w:color w:val="000000"/>
        </w:rPr>
        <w:t>indicating</w:t>
      </w:r>
      <w:r w:rsidRPr="00D6101B">
        <w:rPr>
          <w:color w:val="000000"/>
        </w:rPr>
        <w:t xml:space="preserve"> emptying practices due to larnax re</w:t>
      </w:r>
      <w:r>
        <w:rPr>
          <w:color w:val="000000"/>
        </w:rPr>
        <w:t>use</w:t>
      </w:r>
      <w:r w:rsidRPr="00D6101B">
        <w:rPr>
          <w:color w:val="000000"/>
        </w:rPr>
        <w:t>).</w:t>
      </w:r>
    </w:p>
    <w:p w14:paraId="50F202B7" w14:textId="77777777" w:rsidR="001A4F1A" w:rsidRPr="00D6101B" w:rsidRDefault="001A4F1A" w:rsidP="00E858EF">
      <w:pPr>
        <w:suppressAutoHyphens/>
        <w:autoSpaceDE w:val="0"/>
        <w:autoSpaceDN w:val="0"/>
        <w:adjustRightInd w:val="0"/>
        <w:rPr>
          <w:color w:val="000000"/>
        </w:rPr>
      </w:pPr>
      <w:r>
        <w:rPr>
          <w:color w:val="000000"/>
        </w:rPr>
        <w:tab/>
        <w:t>Regarding</w:t>
      </w:r>
      <w:r w:rsidRPr="00D6101B">
        <w:rPr>
          <w:color w:val="000000"/>
        </w:rPr>
        <w:t xml:space="preserve"> larnax burials</w:t>
      </w:r>
      <w:r>
        <w:rPr>
          <w:color w:val="000000"/>
        </w:rPr>
        <w:t>,</w:t>
      </w:r>
      <w:r w:rsidRPr="00D6101B">
        <w:rPr>
          <w:color w:val="000000"/>
        </w:rPr>
        <w:t xml:space="preserve"> the deposition practice of covering burials </w:t>
      </w:r>
      <w:r>
        <w:rPr>
          <w:color w:val="000000"/>
        </w:rPr>
        <w:t xml:space="preserve">by </w:t>
      </w:r>
      <w:r w:rsidRPr="00D6101B">
        <w:rPr>
          <w:color w:val="000000"/>
        </w:rPr>
        <w:t>putting a bathtub larnax upside</w:t>
      </w:r>
      <w:r>
        <w:rPr>
          <w:color w:val="000000"/>
        </w:rPr>
        <w:t xml:space="preserve">-down (in </w:t>
      </w:r>
      <w:r w:rsidRPr="00D6101B">
        <w:rPr>
          <w:color w:val="000000"/>
        </w:rPr>
        <w:t>Sitia tomb</w:t>
      </w:r>
      <w:r>
        <w:rPr>
          <w:color w:val="000000"/>
        </w:rPr>
        <w:t>,</w:t>
      </w:r>
      <w:r w:rsidRPr="00D6101B">
        <w:rPr>
          <w:color w:val="000000"/>
        </w:rPr>
        <w:t xml:space="preserve"> in the village near the </w:t>
      </w:r>
      <w:r>
        <w:rPr>
          <w:color w:val="000000"/>
        </w:rPr>
        <w:t xml:space="preserve">hospital site </w:t>
      </w:r>
      <w:r w:rsidRPr="009C1AFB">
        <w:rPr>
          <w:i/>
          <w:color w:val="000000"/>
        </w:rPr>
        <w:t>KChr</w:t>
      </w:r>
      <w:r>
        <w:rPr>
          <w:color w:val="000000"/>
        </w:rPr>
        <w:t xml:space="preserve"> 11 </w:t>
      </w:r>
      <w:r w:rsidRPr="00D6101B">
        <w:rPr>
          <w:color w:val="000000"/>
        </w:rPr>
        <w:t xml:space="preserve">1957: 340; Kanta 1980: </w:t>
      </w:r>
      <w:r>
        <w:rPr>
          <w:color w:val="000000"/>
        </w:rPr>
        <w:t>177; Langohr 2008: 534)</w:t>
      </w:r>
      <w:r w:rsidRPr="00D6101B">
        <w:rPr>
          <w:color w:val="000000"/>
        </w:rPr>
        <w:t xml:space="preserve"> or using a bathtub as</w:t>
      </w:r>
      <w:r>
        <w:rPr>
          <w:color w:val="000000"/>
        </w:rPr>
        <w:t xml:space="preserve"> a</w:t>
      </w:r>
      <w:r w:rsidRPr="00D6101B">
        <w:rPr>
          <w:color w:val="000000"/>
        </w:rPr>
        <w:t xml:space="preserve"> </w:t>
      </w:r>
      <w:r w:rsidRPr="00D00B44">
        <w:rPr>
          <w:color w:val="000000"/>
        </w:rPr>
        <w:t>lid (Palaikastro Cliff top, Bosanquet 1901-02: 301, fig. 17; Bosanquet and Dawkins 1923: 155 n. 2</w:t>
      </w:r>
      <w:r>
        <w:rPr>
          <w:color w:val="000000"/>
        </w:rPr>
        <w:t>:</w:t>
      </w:r>
      <w:r w:rsidRPr="00D00B44">
        <w:rPr>
          <w:color w:val="000000"/>
        </w:rPr>
        <w:t xml:space="preserve"> and Episkopi Pankalos, Platon 1947: 638) seems to be common in this region.</w:t>
      </w:r>
    </w:p>
    <w:p w14:paraId="6F5EF5D4" w14:textId="77777777" w:rsidR="001A4F1A" w:rsidRPr="00D6101B" w:rsidRDefault="001A4F1A" w:rsidP="00E858EF">
      <w:pPr>
        <w:suppressAutoHyphens/>
        <w:autoSpaceDE w:val="0"/>
        <w:autoSpaceDN w:val="0"/>
        <w:adjustRightInd w:val="0"/>
        <w:rPr>
          <w:color w:val="000000"/>
        </w:rPr>
      </w:pPr>
      <w:r>
        <w:rPr>
          <w:color w:val="000000"/>
        </w:rPr>
        <w:tab/>
        <w:t>Regarding</w:t>
      </w:r>
      <w:r w:rsidRPr="00D6101B">
        <w:rPr>
          <w:color w:val="000000"/>
        </w:rPr>
        <w:t xml:space="preserve"> the burial stage</w:t>
      </w:r>
      <w:r>
        <w:rPr>
          <w:color w:val="000000"/>
        </w:rPr>
        <w:t>,</w:t>
      </w:r>
      <w:r w:rsidRPr="00D6101B">
        <w:rPr>
          <w:color w:val="000000"/>
        </w:rPr>
        <w:t xml:space="preserve"> larnakes </w:t>
      </w:r>
      <w:r>
        <w:rPr>
          <w:color w:val="000000"/>
        </w:rPr>
        <w:t>were</w:t>
      </w:r>
      <w:r w:rsidRPr="00D6101B">
        <w:rPr>
          <w:color w:val="000000"/>
        </w:rPr>
        <w:t xml:space="preserve"> used both for primary and secondary burials. </w:t>
      </w:r>
      <w:r>
        <w:rPr>
          <w:color w:val="000000"/>
        </w:rPr>
        <w:t>A</w:t>
      </w:r>
      <w:r w:rsidRPr="00D6101B">
        <w:rPr>
          <w:color w:val="000000"/>
        </w:rPr>
        <w:t xml:space="preserve"> general </w:t>
      </w:r>
      <w:r>
        <w:rPr>
          <w:color w:val="000000"/>
        </w:rPr>
        <w:t>consideration of</w:t>
      </w:r>
      <w:r w:rsidRPr="00D6101B">
        <w:rPr>
          <w:color w:val="000000"/>
        </w:rPr>
        <w:t xml:space="preserve"> the evidence allow</w:t>
      </w:r>
      <w:r>
        <w:rPr>
          <w:color w:val="000000"/>
        </w:rPr>
        <w:t>s</w:t>
      </w:r>
      <w:r w:rsidRPr="00D6101B">
        <w:rPr>
          <w:color w:val="000000"/>
        </w:rPr>
        <w:t xml:space="preserve"> </w:t>
      </w:r>
      <w:r>
        <w:rPr>
          <w:color w:val="000000"/>
        </w:rPr>
        <w:t>us to</w:t>
      </w:r>
      <w:r w:rsidRPr="00D6101B">
        <w:rPr>
          <w:color w:val="000000"/>
        </w:rPr>
        <w:t xml:space="preserve"> hypothesis</w:t>
      </w:r>
      <w:r>
        <w:rPr>
          <w:color w:val="000000"/>
        </w:rPr>
        <w:t>e</w:t>
      </w:r>
      <w:r w:rsidRPr="00D6101B">
        <w:rPr>
          <w:color w:val="000000"/>
        </w:rPr>
        <w:t xml:space="preserve"> that tombs with larnax burials in this region w</w:t>
      </w:r>
      <w:r>
        <w:rPr>
          <w:color w:val="000000"/>
        </w:rPr>
        <w:t>ere used more than once, but not highly reused.</w:t>
      </w:r>
    </w:p>
    <w:p w14:paraId="2909AD91"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Moving to the information concerning gender and age</w:t>
      </w:r>
      <w:r>
        <w:rPr>
          <w:color w:val="000000"/>
        </w:rPr>
        <w:t>,</w:t>
      </w:r>
      <w:r w:rsidRPr="00D6101B">
        <w:rPr>
          <w:color w:val="000000"/>
        </w:rPr>
        <w:t xml:space="preserve"> th</w:t>
      </w:r>
      <w:r>
        <w:rPr>
          <w:color w:val="000000"/>
        </w:rPr>
        <w:t>is</w:t>
      </w:r>
      <w:r w:rsidRPr="00D6101B">
        <w:rPr>
          <w:color w:val="000000"/>
        </w:rPr>
        <w:t xml:space="preserve"> </w:t>
      </w:r>
      <w:r>
        <w:rPr>
          <w:color w:val="000000"/>
        </w:rPr>
        <w:t>is</w:t>
      </w:r>
      <w:r w:rsidRPr="00D6101B">
        <w:rPr>
          <w:color w:val="000000"/>
        </w:rPr>
        <w:t xml:space="preserve"> available for </w:t>
      </w:r>
      <w:r>
        <w:rPr>
          <w:color w:val="000000"/>
        </w:rPr>
        <w:t>28</w:t>
      </w:r>
      <w:r w:rsidRPr="00D6101B">
        <w:rPr>
          <w:color w:val="000000"/>
        </w:rPr>
        <w:t>%</w:t>
      </w:r>
      <w:r>
        <w:rPr>
          <w:color w:val="000000"/>
        </w:rPr>
        <w:t xml:space="preserve"> of the number of secure burials from Far East region</w:t>
      </w:r>
      <w:r w:rsidRPr="00D6101B">
        <w:rPr>
          <w:color w:val="000000"/>
        </w:rPr>
        <w:t xml:space="preserve">. </w:t>
      </w:r>
      <w:r>
        <w:rPr>
          <w:color w:val="000000"/>
        </w:rPr>
        <w:t>However, regarding</w:t>
      </w:r>
      <w:r w:rsidRPr="00D6101B">
        <w:rPr>
          <w:color w:val="000000"/>
        </w:rPr>
        <w:t xml:space="preserve"> the number of individuals for which there </w:t>
      </w:r>
      <w:r>
        <w:rPr>
          <w:color w:val="000000"/>
        </w:rPr>
        <w:t>is</w:t>
      </w:r>
      <w:r w:rsidRPr="00D6101B">
        <w:rPr>
          <w:color w:val="000000"/>
        </w:rPr>
        <w:t xml:space="preserve"> information about gender and age, the proportion </w:t>
      </w:r>
      <w:r>
        <w:rPr>
          <w:color w:val="000000"/>
        </w:rPr>
        <w:t>decreases,</w:t>
      </w:r>
      <w:r w:rsidRPr="00D6101B">
        <w:rPr>
          <w:color w:val="000000"/>
        </w:rPr>
        <w:t xml:space="preserve"> </w:t>
      </w:r>
      <w:r>
        <w:rPr>
          <w:color w:val="000000"/>
        </w:rPr>
        <w:t>to</w:t>
      </w:r>
      <w:r w:rsidRPr="00D6101B">
        <w:rPr>
          <w:color w:val="000000"/>
        </w:rPr>
        <w:t xml:space="preserve"> 2</w:t>
      </w:r>
      <w:r>
        <w:rPr>
          <w:color w:val="000000"/>
        </w:rPr>
        <w:t>6</w:t>
      </w:r>
      <w:r w:rsidRPr="00D6101B">
        <w:rPr>
          <w:color w:val="000000"/>
        </w:rPr>
        <w:t>%.</w:t>
      </w:r>
    </w:p>
    <w:p w14:paraId="73546EB6"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 xml:space="preserve">A good </w:t>
      </w:r>
      <w:r>
        <w:rPr>
          <w:color w:val="000000"/>
        </w:rPr>
        <w:t>pro</w:t>
      </w:r>
      <w:r w:rsidRPr="00D6101B">
        <w:rPr>
          <w:color w:val="000000"/>
        </w:rPr>
        <w:t>portion of</w:t>
      </w:r>
      <w:r>
        <w:rPr>
          <w:color w:val="000000"/>
        </w:rPr>
        <w:t xml:space="preserve"> the</w:t>
      </w:r>
      <w:r w:rsidRPr="00D6101B">
        <w:rPr>
          <w:color w:val="000000"/>
        </w:rPr>
        <w:t xml:space="preserve"> data comes from</w:t>
      </w:r>
      <w:r>
        <w:rPr>
          <w:color w:val="000000"/>
        </w:rPr>
        <w:t xml:space="preserve"> the</w:t>
      </w:r>
      <w:r w:rsidRPr="00D6101B">
        <w:rPr>
          <w:color w:val="000000"/>
        </w:rPr>
        <w:t xml:space="preserve"> Mochlos Limenaria cemetery, where a recent careful study </w:t>
      </w:r>
      <w:r>
        <w:rPr>
          <w:color w:val="000000"/>
        </w:rPr>
        <w:t>of</w:t>
      </w:r>
      <w:r w:rsidRPr="00D6101B">
        <w:rPr>
          <w:color w:val="000000"/>
        </w:rPr>
        <w:t xml:space="preserve"> the human remains from the tombs </w:t>
      </w:r>
      <w:r>
        <w:rPr>
          <w:color w:val="000000"/>
        </w:rPr>
        <w:t>was</w:t>
      </w:r>
      <w:r w:rsidRPr="00D6101B">
        <w:rPr>
          <w:color w:val="000000"/>
        </w:rPr>
        <w:t xml:space="preserve"> conducted and published by Sevi Triantaphyllou (2011). The study </w:t>
      </w:r>
      <w:r>
        <w:rPr>
          <w:color w:val="000000"/>
        </w:rPr>
        <w:t>reveals</w:t>
      </w:r>
      <w:r w:rsidRPr="00D6101B">
        <w:rPr>
          <w:color w:val="000000"/>
        </w:rPr>
        <w:t xml:space="preserve"> that it has not been possible to retrieve information about skeletal remains from each tomb</w:t>
      </w:r>
      <w:r>
        <w:rPr>
          <w:color w:val="000000"/>
        </w:rPr>
        <w:t>,</w:t>
      </w:r>
      <w:r w:rsidRPr="00D6101B">
        <w:rPr>
          <w:color w:val="000000"/>
        </w:rPr>
        <w:t xml:space="preserve"> and </w:t>
      </w:r>
      <w:r>
        <w:rPr>
          <w:color w:val="000000"/>
        </w:rPr>
        <w:t xml:space="preserve">that </w:t>
      </w:r>
      <w:r w:rsidRPr="00D6101B">
        <w:rPr>
          <w:color w:val="000000"/>
        </w:rPr>
        <w:t>one</w:t>
      </w:r>
      <w:r>
        <w:rPr>
          <w:color w:val="000000"/>
        </w:rPr>
        <w:t>-</w:t>
      </w:r>
      <w:r w:rsidRPr="00D6101B">
        <w:rPr>
          <w:color w:val="000000"/>
        </w:rPr>
        <w:t xml:space="preserve">third of them </w:t>
      </w:r>
      <w:r>
        <w:rPr>
          <w:color w:val="000000"/>
        </w:rPr>
        <w:t>provides</w:t>
      </w:r>
      <w:r w:rsidRPr="00D6101B">
        <w:rPr>
          <w:color w:val="000000"/>
        </w:rPr>
        <w:t xml:space="preserve"> no evidence </w:t>
      </w:r>
      <w:r>
        <w:rPr>
          <w:color w:val="000000"/>
        </w:rPr>
        <w:t>about</w:t>
      </w:r>
      <w:r w:rsidRPr="00D6101B">
        <w:rPr>
          <w:color w:val="000000"/>
        </w:rPr>
        <w:t xml:space="preserve"> skeletal remains (</w:t>
      </w:r>
      <w:r>
        <w:rPr>
          <w:color w:val="000000"/>
        </w:rPr>
        <w:t>e.g.</w:t>
      </w:r>
      <w:r w:rsidRPr="00D6101B">
        <w:rPr>
          <w:color w:val="000000"/>
        </w:rPr>
        <w:t xml:space="preserve"> </w:t>
      </w:r>
      <w:r>
        <w:rPr>
          <w:color w:val="000000"/>
        </w:rPr>
        <w:t>t</w:t>
      </w:r>
      <w:r w:rsidRPr="00D6101B">
        <w:rPr>
          <w:color w:val="000000"/>
        </w:rPr>
        <w:t>omb</w:t>
      </w:r>
      <w:r>
        <w:rPr>
          <w:color w:val="000000"/>
        </w:rPr>
        <w:t>s</w:t>
      </w:r>
      <w:r w:rsidRPr="00D6101B">
        <w:rPr>
          <w:color w:val="000000"/>
        </w:rPr>
        <w:t xml:space="preserve"> 4 and 7</w:t>
      </w:r>
      <w:r>
        <w:rPr>
          <w:color w:val="000000"/>
        </w:rPr>
        <w:t>,</w:t>
      </w:r>
      <w:r w:rsidRPr="00D6101B">
        <w:rPr>
          <w:color w:val="000000"/>
        </w:rPr>
        <w:t xml:space="preserve"> </w:t>
      </w:r>
      <w:r>
        <w:rPr>
          <w:color w:val="000000"/>
        </w:rPr>
        <w:t>in which</w:t>
      </w:r>
      <w:r w:rsidRPr="00D6101B">
        <w:rPr>
          <w:color w:val="000000"/>
        </w:rPr>
        <w:t xml:space="preserve"> the skeletal material found within ha</w:t>
      </w:r>
      <w:r>
        <w:rPr>
          <w:color w:val="000000"/>
        </w:rPr>
        <w:t>s</w:t>
      </w:r>
      <w:r w:rsidRPr="00D6101B">
        <w:rPr>
          <w:color w:val="000000"/>
        </w:rPr>
        <w:t xml:space="preserve"> not been saved). The remaining tombs </w:t>
      </w:r>
      <w:r>
        <w:rPr>
          <w:color w:val="000000"/>
        </w:rPr>
        <w:t xml:space="preserve">do </w:t>
      </w:r>
      <w:r w:rsidRPr="00D6101B">
        <w:rPr>
          <w:color w:val="000000"/>
        </w:rPr>
        <w:t xml:space="preserve">not always </w:t>
      </w:r>
      <w:r>
        <w:rPr>
          <w:color w:val="000000"/>
        </w:rPr>
        <w:t>provide</w:t>
      </w:r>
      <w:r w:rsidRPr="00D6101B">
        <w:rPr>
          <w:color w:val="000000"/>
        </w:rPr>
        <w:t xml:space="preserve"> complete information because only some of the skeletons originally placed in the tombs have been preserved, as in the case of tombs 1 and 2 (Triantaphyllou 2011: 2). One of the first </w:t>
      </w:r>
      <w:r>
        <w:rPr>
          <w:color w:val="000000"/>
        </w:rPr>
        <w:t xml:space="preserve">pieces of </w:t>
      </w:r>
      <w:r w:rsidRPr="00D6101B">
        <w:rPr>
          <w:color w:val="000000"/>
        </w:rPr>
        <w:t xml:space="preserve">data </w:t>
      </w:r>
      <w:r>
        <w:rPr>
          <w:color w:val="000000"/>
        </w:rPr>
        <w:t>to</w:t>
      </w:r>
      <w:r w:rsidRPr="00D6101B">
        <w:rPr>
          <w:color w:val="000000"/>
        </w:rPr>
        <w:t xml:space="preserve"> emerge from the study concerns the preference for individual burials</w:t>
      </w:r>
      <w:r>
        <w:rPr>
          <w:color w:val="000000"/>
        </w:rPr>
        <w:t>,</w:t>
      </w:r>
      <w:r w:rsidRPr="00D6101B">
        <w:rPr>
          <w:color w:val="000000"/>
        </w:rPr>
        <w:t xml:space="preserve"> not only in tombs with larnakes</w:t>
      </w:r>
      <w:r>
        <w:rPr>
          <w:color w:val="000000"/>
        </w:rPr>
        <w:t>,</w:t>
      </w:r>
      <w:r w:rsidRPr="00D6101B">
        <w:rPr>
          <w:color w:val="000000"/>
        </w:rPr>
        <w:t xml:space="preserve"> but also in the remaining tombs with pithos burials. </w:t>
      </w:r>
      <w:r>
        <w:rPr>
          <w:color w:val="000000"/>
        </w:rPr>
        <w:t>However, t</w:t>
      </w:r>
      <w:r w:rsidRPr="00D6101B">
        <w:rPr>
          <w:color w:val="000000"/>
        </w:rPr>
        <w:t xml:space="preserve">his </w:t>
      </w:r>
      <w:r>
        <w:rPr>
          <w:color w:val="000000"/>
        </w:rPr>
        <w:t>does</w:t>
      </w:r>
      <w:r w:rsidRPr="00D6101B">
        <w:rPr>
          <w:color w:val="000000"/>
        </w:rPr>
        <w:t xml:space="preserve"> not </w:t>
      </w:r>
      <w:r>
        <w:rPr>
          <w:color w:val="000000"/>
        </w:rPr>
        <w:t>apply to</w:t>
      </w:r>
      <w:r w:rsidRPr="00D6101B">
        <w:rPr>
          <w:color w:val="000000"/>
        </w:rPr>
        <w:t xml:space="preserve"> </w:t>
      </w:r>
      <w:r>
        <w:rPr>
          <w:color w:val="000000"/>
        </w:rPr>
        <w:t>T</w:t>
      </w:r>
      <w:r w:rsidRPr="00D6101B">
        <w:rPr>
          <w:color w:val="000000"/>
        </w:rPr>
        <w:t xml:space="preserve">omb 10, where a male/female couple was buried within the larnax, </w:t>
      </w:r>
      <w:r>
        <w:rPr>
          <w:color w:val="000000"/>
        </w:rPr>
        <w:t>nor</w:t>
      </w:r>
      <w:r w:rsidRPr="00D6101B">
        <w:rPr>
          <w:color w:val="000000"/>
        </w:rPr>
        <w:t xml:space="preserve"> </w:t>
      </w:r>
      <w:r w:rsidRPr="0068287F">
        <w:t xml:space="preserve">for </w:t>
      </w:r>
      <w:r>
        <w:t>T</w:t>
      </w:r>
      <w:r w:rsidRPr="0068287F">
        <w:t>omb 13</w:t>
      </w:r>
      <w:r>
        <w:t>, where</w:t>
      </w:r>
      <w:r w:rsidRPr="0068287F">
        <w:t xml:space="preserve"> one of the two collective tombs identified </w:t>
      </w:r>
      <w:r>
        <w:t>was</w:t>
      </w:r>
      <w:r w:rsidRPr="0068287F">
        <w:t xml:space="preserve"> probably used by a family group for a long peri</w:t>
      </w:r>
      <w:r>
        <w:t>od (Triantaphyllou 2011: 4) (cf</w:t>
      </w:r>
      <w:r w:rsidRPr="0068287F">
        <w:t xml:space="preserve">. the high number of grave goods, especially pots). </w:t>
      </w:r>
      <w:r w:rsidRPr="00D6101B">
        <w:rPr>
          <w:color w:val="000000"/>
        </w:rPr>
        <w:t>From the analysis of the gender of the skeletal remains found in tombs with larnax burials at Mochlos</w:t>
      </w:r>
      <w:r>
        <w:rPr>
          <w:color w:val="000000"/>
        </w:rPr>
        <w:t>,</w:t>
      </w:r>
      <w:r w:rsidRPr="00D6101B">
        <w:rPr>
          <w:color w:val="000000"/>
        </w:rPr>
        <w:t xml:space="preserve"> </w:t>
      </w:r>
      <w:r>
        <w:rPr>
          <w:color w:val="000000"/>
        </w:rPr>
        <w:t>there is no</w:t>
      </w:r>
      <w:r w:rsidRPr="00D6101B">
        <w:rPr>
          <w:color w:val="000000"/>
        </w:rPr>
        <w:t xml:space="preserve"> particular association (the two burials associated together in </w:t>
      </w:r>
      <w:r>
        <w:rPr>
          <w:color w:val="000000"/>
        </w:rPr>
        <w:t>T</w:t>
      </w:r>
      <w:r w:rsidRPr="00D6101B">
        <w:rPr>
          <w:color w:val="000000"/>
        </w:rPr>
        <w:t>omb 10</w:t>
      </w:r>
      <w:r>
        <w:rPr>
          <w:color w:val="000000"/>
        </w:rPr>
        <w:t xml:space="preserve"> </w:t>
      </w:r>
      <w:r w:rsidRPr="00D6101B">
        <w:rPr>
          <w:color w:val="000000"/>
        </w:rPr>
        <w:t>associat</w:t>
      </w:r>
      <w:r>
        <w:rPr>
          <w:color w:val="000000"/>
        </w:rPr>
        <w:t>e</w:t>
      </w:r>
      <w:r w:rsidRPr="00D6101B">
        <w:rPr>
          <w:color w:val="000000"/>
        </w:rPr>
        <w:t xml:space="preserve"> male and female,</w:t>
      </w:r>
      <w:r>
        <w:rPr>
          <w:color w:val="000000"/>
        </w:rPr>
        <w:t xml:space="preserve"> and</w:t>
      </w:r>
      <w:r w:rsidRPr="00D6101B">
        <w:rPr>
          <w:color w:val="000000"/>
        </w:rPr>
        <w:t xml:space="preserve"> in </w:t>
      </w:r>
      <w:r>
        <w:rPr>
          <w:color w:val="000000"/>
        </w:rPr>
        <w:t>T</w:t>
      </w:r>
      <w:r w:rsidRPr="00D6101B">
        <w:rPr>
          <w:color w:val="000000"/>
        </w:rPr>
        <w:t xml:space="preserve">omb 13 </w:t>
      </w:r>
      <w:r>
        <w:rPr>
          <w:color w:val="000000"/>
        </w:rPr>
        <w:t xml:space="preserve">there was a </w:t>
      </w:r>
      <w:r w:rsidRPr="00D6101B">
        <w:rPr>
          <w:color w:val="000000"/>
        </w:rPr>
        <w:t xml:space="preserve">male </w:t>
      </w:r>
      <w:r>
        <w:rPr>
          <w:color w:val="000000"/>
        </w:rPr>
        <w:t xml:space="preserve">and </w:t>
      </w:r>
      <w:r w:rsidRPr="00D6101B">
        <w:rPr>
          <w:color w:val="000000"/>
        </w:rPr>
        <w:t xml:space="preserve">female plus a juvenile of indeterminate sex). </w:t>
      </w:r>
      <w:r>
        <w:rPr>
          <w:color w:val="000000"/>
        </w:rPr>
        <w:t>Regarding</w:t>
      </w:r>
      <w:r w:rsidRPr="00D6101B">
        <w:rPr>
          <w:color w:val="000000"/>
        </w:rPr>
        <w:t xml:space="preserve"> age distribution</w:t>
      </w:r>
      <w:r>
        <w:rPr>
          <w:color w:val="000000"/>
        </w:rPr>
        <w:t>,</w:t>
      </w:r>
      <w:r w:rsidRPr="00D6101B">
        <w:rPr>
          <w:color w:val="000000"/>
        </w:rPr>
        <w:t xml:space="preserve"> no child/infant seems to have been associated with larnax burials (Triantaphyllou 2011: 2-3 </w:t>
      </w:r>
      <w:r>
        <w:rPr>
          <w:color w:val="000000"/>
        </w:rPr>
        <w:t>T</w:t>
      </w:r>
      <w:r w:rsidRPr="00D6101B">
        <w:rPr>
          <w:color w:val="000000"/>
        </w:rPr>
        <w:t>able 1.1). Furthermore, juveniles have never been found in isolated burial</w:t>
      </w:r>
      <w:r>
        <w:rPr>
          <w:color w:val="000000"/>
        </w:rPr>
        <w:t>s</w:t>
      </w:r>
      <w:r w:rsidRPr="00D6101B">
        <w:rPr>
          <w:color w:val="000000"/>
        </w:rPr>
        <w:t xml:space="preserve">. In the case of </w:t>
      </w:r>
      <w:r>
        <w:rPr>
          <w:color w:val="000000"/>
        </w:rPr>
        <w:t xml:space="preserve">the </w:t>
      </w:r>
      <w:r w:rsidRPr="00D6101B">
        <w:rPr>
          <w:color w:val="000000"/>
        </w:rPr>
        <w:t xml:space="preserve">skeletal remains from the two juveniles found in tombs with larnakes examined in the present work, in the case of </w:t>
      </w:r>
      <w:r>
        <w:rPr>
          <w:color w:val="000000"/>
        </w:rPr>
        <w:t>T</w:t>
      </w:r>
      <w:r w:rsidRPr="00D6101B">
        <w:rPr>
          <w:color w:val="000000"/>
        </w:rPr>
        <w:t>omb 11</w:t>
      </w:r>
      <w:r>
        <w:rPr>
          <w:color w:val="000000"/>
        </w:rPr>
        <w:t>,</w:t>
      </w:r>
      <w:r w:rsidRPr="00D6101B">
        <w:rPr>
          <w:color w:val="000000"/>
        </w:rPr>
        <w:t xml:space="preserve"> the juveniles constitute the </w:t>
      </w:r>
      <w:r>
        <w:rPr>
          <w:color w:val="000000"/>
        </w:rPr>
        <w:t>final</w:t>
      </w:r>
      <w:r w:rsidRPr="00D6101B">
        <w:rPr>
          <w:color w:val="000000"/>
        </w:rPr>
        <w:t xml:space="preserve"> burial and </w:t>
      </w:r>
      <w:r>
        <w:rPr>
          <w:color w:val="000000"/>
        </w:rPr>
        <w:t>were</w:t>
      </w:r>
      <w:r w:rsidRPr="00D6101B">
        <w:rPr>
          <w:color w:val="000000"/>
        </w:rPr>
        <w:t xml:space="preserve"> placed in a tomb already containing </w:t>
      </w:r>
      <w:r>
        <w:rPr>
          <w:color w:val="000000"/>
        </w:rPr>
        <w:t xml:space="preserve">the </w:t>
      </w:r>
      <w:r w:rsidRPr="00D6101B">
        <w:rPr>
          <w:color w:val="000000"/>
        </w:rPr>
        <w:t>remains of a</w:t>
      </w:r>
      <w:r>
        <w:rPr>
          <w:color w:val="000000"/>
        </w:rPr>
        <w:t>n</w:t>
      </w:r>
      <w:r w:rsidRPr="00D6101B">
        <w:rPr>
          <w:color w:val="000000"/>
        </w:rPr>
        <w:t xml:space="preserve"> adult</w:t>
      </w:r>
      <w:r>
        <w:rPr>
          <w:color w:val="000000"/>
        </w:rPr>
        <w:t xml:space="preserve"> in their prime,</w:t>
      </w:r>
      <w:r w:rsidRPr="00D6101B">
        <w:rPr>
          <w:color w:val="000000"/>
        </w:rPr>
        <w:t xml:space="preserve"> probably female; in the case of </w:t>
      </w:r>
      <w:r>
        <w:rPr>
          <w:color w:val="000000"/>
        </w:rPr>
        <w:t>T</w:t>
      </w:r>
      <w:r w:rsidRPr="00D6101B">
        <w:rPr>
          <w:color w:val="000000"/>
        </w:rPr>
        <w:t>omb 13</w:t>
      </w:r>
      <w:r>
        <w:rPr>
          <w:color w:val="000000"/>
        </w:rPr>
        <w:t>, a</w:t>
      </w:r>
      <w:r w:rsidRPr="00D6101B">
        <w:rPr>
          <w:color w:val="000000"/>
        </w:rPr>
        <w:t xml:space="preserve"> juvenile may originally have been buried along with the earlier female burial in the sarcophagus</w:t>
      </w:r>
      <w:r>
        <w:rPr>
          <w:color w:val="000000"/>
        </w:rPr>
        <w:t>,</w:t>
      </w:r>
      <w:r w:rsidRPr="00D6101B">
        <w:rPr>
          <w:color w:val="000000"/>
        </w:rPr>
        <w:t xml:space="preserve"> because his/her remains were found in the lower deposit as well as in the sarcophagus.</w:t>
      </w:r>
    </w:p>
    <w:p w14:paraId="0928308F" w14:textId="77777777" w:rsidR="001A4F1A" w:rsidRPr="00D6101B" w:rsidRDefault="001A4F1A" w:rsidP="00E858EF">
      <w:pPr>
        <w:suppressAutoHyphens/>
        <w:autoSpaceDE w:val="0"/>
        <w:autoSpaceDN w:val="0"/>
        <w:adjustRightInd w:val="0"/>
        <w:rPr>
          <w:color w:val="000000"/>
        </w:rPr>
      </w:pPr>
      <w:r>
        <w:rPr>
          <w:color w:val="000000"/>
        </w:rPr>
        <w:tab/>
        <w:t>In addition to</w:t>
      </w:r>
      <w:r w:rsidRPr="00D6101B">
        <w:rPr>
          <w:color w:val="000000"/>
        </w:rPr>
        <w:t xml:space="preserve"> the information concerning gender and age</w:t>
      </w:r>
      <w:r>
        <w:rPr>
          <w:color w:val="000000"/>
        </w:rPr>
        <w:t>,</w:t>
      </w:r>
      <w:r w:rsidRPr="00D6101B">
        <w:rPr>
          <w:color w:val="000000"/>
        </w:rPr>
        <w:t xml:space="preserve"> in some case</w:t>
      </w:r>
      <w:r>
        <w:rPr>
          <w:color w:val="000000"/>
        </w:rPr>
        <w:t>s,</w:t>
      </w:r>
      <w:r w:rsidRPr="00D6101B">
        <w:rPr>
          <w:color w:val="000000"/>
        </w:rPr>
        <w:t xml:space="preserve"> the study of the bones at Mochlos Limenaria allow</w:t>
      </w:r>
      <w:r>
        <w:rPr>
          <w:color w:val="000000"/>
        </w:rPr>
        <w:t>s</w:t>
      </w:r>
      <w:r w:rsidRPr="00D6101B">
        <w:rPr>
          <w:color w:val="000000"/>
        </w:rPr>
        <w:t xml:space="preserve"> </w:t>
      </w:r>
      <w:r>
        <w:rPr>
          <w:color w:val="000000"/>
        </w:rPr>
        <w:t>us</w:t>
      </w:r>
      <w:r w:rsidRPr="00D6101B">
        <w:rPr>
          <w:color w:val="000000"/>
        </w:rPr>
        <w:t xml:space="preserve"> to reconstruct the sequence in which the individuals </w:t>
      </w:r>
      <w:r>
        <w:rPr>
          <w:color w:val="000000"/>
        </w:rPr>
        <w:t>were</w:t>
      </w:r>
      <w:r w:rsidRPr="00D6101B">
        <w:rPr>
          <w:color w:val="000000"/>
        </w:rPr>
        <w:t xml:space="preserve"> deposited in the tomb</w:t>
      </w:r>
      <w:r>
        <w:rPr>
          <w:color w:val="000000"/>
        </w:rPr>
        <w:t>. For example,</w:t>
      </w:r>
      <w:r w:rsidRPr="00D6101B">
        <w:rPr>
          <w:color w:val="000000"/>
        </w:rPr>
        <w:t xml:space="preserve"> </w:t>
      </w:r>
      <w:r>
        <w:rPr>
          <w:color w:val="000000"/>
        </w:rPr>
        <w:t>in</w:t>
      </w:r>
      <w:r w:rsidRPr="00D6101B">
        <w:rPr>
          <w:color w:val="000000"/>
        </w:rPr>
        <w:t xml:space="preserve"> </w:t>
      </w:r>
      <w:r>
        <w:rPr>
          <w:color w:val="000000"/>
        </w:rPr>
        <w:t>T</w:t>
      </w:r>
      <w:r w:rsidRPr="00D6101B">
        <w:rPr>
          <w:color w:val="000000"/>
        </w:rPr>
        <w:t>omb 10</w:t>
      </w:r>
      <w:r>
        <w:rPr>
          <w:color w:val="000000"/>
        </w:rPr>
        <w:t>,</w:t>
      </w:r>
      <w:r w:rsidRPr="00D6101B">
        <w:rPr>
          <w:color w:val="000000"/>
        </w:rPr>
        <w:t xml:space="preserve"> </w:t>
      </w:r>
      <w:r>
        <w:rPr>
          <w:color w:val="000000"/>
        </w:rPr>
        <w:t>regarding</w:t>
      </w:r>
      <w:r w:rsidRPr="00D6101B">
        <w:rPr>
          <w:color w:val="000000"/>
        </w:rPr>
        <w:t xml:space="preserve"> the male and female individuals found inside the larnax</w:t>
      </w:r>
      <w:r>
        <w:rPr>
          <w:color w:val="000000"/>
        </w:rPr>
        <w:t>,</w:t>
      </w:r>
      <w:r w:rsidRPr="00D6101B">
        <w:rPr>
          <w:color w:val="000000"/>
        </w:rPr>
        <w:t xml:space="preserve"> </w:t>
      </w:r>
      <w:r>
        <w:rPr>
          <w:color w:val="000000"/>
        </w:rPr>
        <w:t>t</w:t>
      </w:r>
      <w:r w:rsidRPr="00D6101B">
        <w:rPr>
          <w:color w:val="000000"/>
        </w:rPr>
        <w:t xml:space="preserve">he female must be the </w:t>
      </w:r>
      <w:r>
        <w:rPr>
          <w:color w:val="000000"/>
        </w:rPr>
        <w:t>final</w:t>
      </w:r>
      <w:r w:rsidRPr="00D6101B">
        <w:rPr>
          <w:color w:val="000000"/>
        </w:rPr>
        <w:t xml:space="preserve"> burial considering the better condition of the bones belonging to her skeleton (Triantaphyllou 2011: 4). From the analysis of skeletal materials collected from </w:t>
      </w:r>
      <w:r>
        <w:rPr>
          <w:color w:val="000000"/>
        </w:rPr>
        <w:t>T</w:t>
      </w:r>
      <w:r w:rsidRPr="00D6101B">
        <w:rPr>
          <w:color w:val="000000"/>
        </w:rPr>
        <w:t>omb 13</w:t>
      </w:r>
      <w:r>
        <w:rPr>
          <w:color w:val="000000"/>
        </w:rPr>
        <w:t>, it</w:t>
      </w:r>
      <w:r w:rsidRPr="00D6101B">
        <w:rPr>
          <w:color w:val="000000"/>
        </w:rPr>
        <w:t xml:space="preserve"> emerges that the </w:t>
      </w:r>
      <w:r>
        <w:rPr>
          <w:color w:val="000000"/>
        </w:rPr>
        <w:t>final</w:t>
      </w:r>
      <w:r w:rsidRPr="00D6101B">
        <w:rPr>
          <w:color w:val="000000"/>
        </w:rPr>
        <w:t xml:space="preserve"> burial to be deposited was a male individual place</w:t>
      </w:r>
      <w:r>
        <w:rPr>
          <w:color w:val="000000"/>
        </w:rPr>
        <w:t>d</w:t>
      </w:r>
      <w:r w:rsidRPr="00D6101B">
        <w:rPr>
          <w:color w:val="000000"/>
        </w:rPr>
        <w:t xml:space="preserve"> inside the larnax, which was added to the former female and juvenile burials. Furthermore, the group using this tomb practi</w:t>
      </w:r>
      <w:r>
        <w:rPr>
          <w:color w:val="000000"/>
        </w:rPr>
        <w:t>s</w:t>
      </w:r>
      <w:r w:rsidRPr="00D6101B">
        <w:rPr>
          <w:color w:val="000000"/>
        </w:rPr>
        <w:t>e</w:t>
      </w:r>
      <w:r>
        <w:rPr>
          <w:color w:val="000000"/>
        </w:rPr>
        <w:t>d</w:t>
      </w:r>
      <w:r w:rsidRPr="00D6101B">
        <w:rPr>
          <w:color w:val="000000"/>
        </w:rPr>
        <w:t xml:space="preserve"> a different/peculiar burial c</w:t>
      </w:r>
      <w:r>
        <w:rPr>
          <w:color w:val="000000"/>
        </w:rPr>
        <w:t>ustom</w:t>
      </w:r>
      <w:r w:rsidRPr="00D6101B">
        <w:rPr>
          <w:color w:val="000000"/>
        </w:rPr>
        <w:t xml:space="preserve">, </w:t>
      </w:r>
      <w:r>
        <w:rPr>
          <w:color w:val="000000"/>
        </w:rPr>
        <w:t xml:space="preserve">which is </w:t>
      </w:r>
      <w:r w:rsidRPr="00D6101B">
        <w:rPr>
          <w:color w:val="000000"/>
        </w:rPr>
        <w:t>visible from the treatment of the secondary burial bones found in the pyxis</w:t>
      </w:r>
      <w:r>
        <w:rPr>
          <w:color w:val="000000"/>
        </w:rPr>
        <w:t>.</w:t>
      </w:r>
      <w:r w:rsidRPr="00D6101B">
        <w:rPr>
          <w:color w:val="000000"/>
        </w:rPr>
        <w:t xml:space="preserve"> </w:t>
      </w:r>
      <w:r>
        <w:rPr>
          <w:color w:val="000000"/>
        </w:rPr>
        <w:t>This assessment</w:t>
      </w:r>
      <w:r w:rsidRPr="00D6101B">
        <w:rPr>
          <w:color w:val="000000"/>
        </w:rPr>
        <w:t xml:space="preserve"> </w:t>
      </w:r>
      <w:r>
        <w:rPr>
          <w:color w:val="000000"/>
        </w:rPr>
        <w:t xml:space="preserve">is based </w:t>
      </w:r>
      <w:r w:rsidRPr="00D6101B">
        <w:rPr>
          <w:color w:val="000000"/>
        </w:rPr>
        <w:t>on the gnaw marks</w:t>
      </w:r>
      <w:r>
        <w:rPr>
          <w:color w:val="000000"/>
        </w:rPr>
        <w:t>,</w:t>
      </w:r>
      <w:r w:rsidRPr="00D6101B">
        <w:rPr>
          <w:color w:val="000000"/>
        </w:rPr>
        <w:t xml:space="preserve"> </w:t>
      </w:r>
      <w:r>
        <w:rPr>
          <w:color w:val="000000"/>
        </w:rPr>
        <w:t>indicating that</w:t>
      </w:r>
      <w:r w:rsidRPr="00D6101B">
        <w:rPr>
          <w:color w:val="000000"/>
        </w:rPr>
        <w:t xml:space="preserve"> </w:t>
      </w:r>
      <w:r>
        <w:rPr>
          <w:color w:val="000000"/>
        </w:rPr>
        <w:t>they had</w:t>
      </w:r>
      <w:r w:rsidRPr="00D6101B">
        <w:rPr>
          <w:color w:val="000000"/>
        </w:rPr>
        <w:t xml:space="preserve"> been deposited on the chamber floor for a long time, before be</w:t>
      </w:r>
      <w:r>
        <w:rPr>
          <w:color w:val="000000"/>
        </w:rPr>
        <w:t>ing</w:t>
      </w:r>
      <w:r w:rsidRPr="00D6101B">
        <w:rPr>
          <w:color w:val="000000"/>
        </w:rPr>
        <w:t xml:space="preserve"> placed in the pyxis (Triantaphyllou 2011: 4).</w:t>
      </w:r>
    </w:p>
    <w:p w14:paraId="65DB9BEA" w14:textId="6185BDBE" w:rsidR="001A4F1A" w:rsidRDefault="001A4F1A" w:rsidP="00E858EF">
      <w:pPr>
        <w:suppressAutoHyphens/>
        <w:autoSpaceDE w:val="0"/>
        <w:autoSpaceDN w:val="0"/>
        <w:adjustRightInd w:val="0"/>
        <w:rPr>
          <w:color w:val="000000"/>
        </w:rPr>
      </w:pPr>
      <w:r>
        <w:rPr>
          <w:color w:val="000000"/>
        </w:rPr>
        <w:tab/>
      </w:r>
      <w:r w:rsidRPr="00D6101B">
        <w:rPr>
          <w:color w:val="000000"/>
        </w:rPr>
        <w:t>The remaining information about gender and age come</w:t>
      </w:r>
      <w:r>
        <w:rPr>
          <w:color w:val="000000"/>
        </w:rPr>
        <w:t>s</w:t>
      </w:r>
      <w:r w:rsidRPr="00D6101B">
        <w:rPr>
          <w:color w:val="000000"/>
        </w:rPr>
        <w:t xml:space="preserve"> from tombs found at Achladia, Myrsini, Palaikastro and Praisos Fotoula</w:t>
      </w:r>
      <w:r>
        <w:rPr>
          <w:color w:val="000000"/>
        </w:rPr>
        <w:t>.</w:t>
      </w:r>
      <w:r w:rsidRPr="00D6101B">
        <w:rPr>
          <w:color w:val="000000"/>
        </w:rPr>
        <w:t xml:space="preserve"> </w:t>
      </w:r>
      <w:r>
        <w:rPr>
          <w:color w:val="000000"/>
        </w:rPr>
        <w:t>However, it</w:t>
      </w:r>
      <w:r w:rsidRPr="00D6101B">
        <w:rPr>
          <w:color w:val="000000"/>
        </w:rPr>
        <w:t xml:space="preserve"> is not possible to note any peculiar association concerning </w:t>
      </w:r>
      <w:r>
        <w:rPr>
          <w:color w:val="000000"/>
        </w:rPr>
        <w:t xml:space="preserve">the </w:t>
      </w:r>
      <w:r w:rsidRPr="00D6101B">
        <w:rPr>
          <w:color w:val="000000"/>
        </w:rPr>
        <w:t xml:space="preserve">gender and </w:t>
      </w:r>
      <w:r>
        <w:rPr>
          <w:color w:val="000000"/>
        </w:rPr>
        <w:t xml:space="preserve">the </w:t>
      </w:r>
      <w:r w:rsidRPr="00D6101B">
        <w:rPr>
          <w:color w:val="000000"/>
        </w:rPr>
        <w:t>age of the individuals.</w:t>
      </w:r>
    </w:p>
    <w:p w14:paraId="62CD1556" w14:textId="0103DA08" w:rsidR="005C07D3" w:rsidRDefault="005C07D3">
      <w:pPr>
        <w:widowControl/>
        <w:spacing w:line="240" w:lineRule="auto"/>
        <w:contextualSpacing w:val="0"/>
        <w:jc w:val="left"/>
        <w:rPr>
          <w:color w:val="000000"/>
        </w:rPr>
      </w:pPr>
      <w:r>
        <w:rPr>
          <w:color w:val="000000"/>
        </w:rPr>
        <w:br w:type="page"/>
      </w:r>
    </w:p>
    <w:p w14:paraId="32C4C287" w14:textId="77777777" w:rsidR="005C07D3" w:rsidRDefault="001A4F1A" w:rsidP="00E858EF">
      <w:pPr>
        <w:pStyle w:val="Didascalia"/>
        <w:suppressAutoHyphens/>
        <w:rPr>
          <w:noProof/>
        </w:rPr>
      </w:pPr>
      <w:bookmarkStart w:id="761" w:name="_Toc520212364"/>
      <w:r>
        <w:rPr>
          <w:noProof/>
          <w:lang w:val="it-IT"/>
        </w:rPr>
        <w:drawing>
          <wp:inline distT="0" distB="0" distL="0" distR="0" wp14:anchorId="3856E2FA" wp14:editId="53C67F06">
            <wp:extent cx="4680585" cy="2326944"/>
            <wp:effectExtent l="0" t="0" r="5715" b="16510"/>
            <wp:docPr id="98" name="Gra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bookmarkEnd w:id="761"/>
      <w:r w:rsidRPr="00D6101B" w:rsidDel="00EF267C">
        <w:rPr>
          <w:noProof/>
        </w:rPr>
        <w:t xml:space="preserve"> </w:t>
      </w:r>
    </w:p>
    <w:p w14:paraId="23A7171E" w14:textId="56503F00" w:rsidR="001A4F1A" w:rsidRPr="00D6101B" w:rsidRDefault="001A4F1A" w:rsidP="00E858EF">
      <w:pPr>
        <w:pStyle w:val="Didascalia"/>
        <w:suppressAutoHyphens/>
      </w:pPr>
      <w:bookmarkStart w:id="762" w:name="_Toc520212365"/>
      <w:r>
        <w:t>Figure 4-27</w:t>
      </w:r>
      <w:r w:rsidR="00D81C03">
        <w:t>.</w:t>
      </w:r>
      <w:r>
        <w:t xml:space="preserve"> Percentage of tombs with information </w:t>
      </w:r>
      <w:r w:rsidR="00676506">
        <w:t xml:space="preserve">on </w:t>
      </w:r>
      <w:r>
        <w:t>gender and age</w:t>
      </w:r>
      <w:r w:rsidR="00676506">
        <w:t>,</w:t>
      </w:r>
      <w:r>
        <w:t xml:space="preserve"> Far-East </w:t>
      </w:r>
      <w:bookmarkEnd w:id="762"/>
      <w:r w:rsidR="00676506">
        <w:t>area</w:t>
      </w:r>
    </w:p>
    <w:p w14:paraId="5C2EAB58" w14:textId="77777777" w:rsidR="001A4F1A" w:rsidRPr="00D6101B" w:rsidRDefault="001A4F1A" w:rsidP="00E858EF">
      <w:pPr>
        <w:suppressAutoHyphens/>
        <w:autoSpaceDE w:val="0"/>
        <w:autoSpaceDN w:val="0"/>
        <w:adjustRightInd w:val="0"/>
        <w:rPr>
          <w:color w:val="000000"/>
        </w:rPr>
      </w:pPr>
    </w:p>
    <w:p w14:paraId="057039D2" w14:textId="4F0DEDCE" w:rsidR="001A4F1A" w:rsidRPr="00D6101B" w:rsidRDefault="001A4F1A" w:rsidP="00E858EF">
      <w:pPr>
        <w:suppressAutoHyphens/>
        <w:autoSpaceDE w:val="0"/>
        <w:autoSpaceDN w:val="0"/>
        <w:adjustRightInd w:val="0"/>
        <w:rPr>
          <w:color w:val="000000"/>
        </w:rPr>
      </w:pPr>
      <w:r>
        <w:rPr>
          <w:noProof/>
          <w:lang w:val="it-IT"/>
        </w:rPr>
        <w:drawing>
          <wp:inline distT="0" distB="0" distL="0" distR="0" wp14:anchorId="7025AC2E" wp14:editId="14A3CFAB">
            <wp:extent cx="4680000" cy="2520000"/>
            <wp:effectExtent l="0" t="0" r="6350" b="13970"/>
            <wp:docPr id="99" name="Gra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3D66E184" w14:textId="5A6E8B75" w:rsidR="001A4F1A" w:rsidRPr="00D6101B" w:rsidRDefault="001A4F1A" w:rsidP="00E858EF">
      <w:pPr>
        <w:pStyle w:val="Didascalia"/>
        <w:suppressAutoHyphens/>
      </w:pPr>
      <w:bookmarkStart w:id="763" w:name="_Toc520212366"/>
      <w:r>
        <w:t>Figure 4-28</w:t>
      </w:r>
      <w:r w:rsidR="008D5E5D">
        <w:t>.</w:t>
      </w:r>
      <w:r>
        <w:t xml:space="preserve"> Percentage of individuals with information </w:t>
      </w:r>
      <w:r w:rsidR="00587700">
        <w:t xml:space="preserve">on </w:t>
      </w:r>
      <w:r>
        <w:t>gender and age</w:t>
      </w:r>
      <w:r w:rsidR="00587700">
        <w:t>,</w:t>
      </w:r>
      <w:r>
        <w:t xml:space="preserve"> Far-East </w:t>
      </w:r>
      <w:bookmarkEnd w:id="763"/>
      <w:r w:rsidR="00676506">
        <w:t>area</w:t>
      </w:r>
    </w:p>
    <w:p w14:paraId="42891467" w14:textId="0A96BC33" w:rsidR="001A4F1A" w:rsidRPr="00D6101B" w:rsidRDefault="001A4F1A" w:rsidP="00E858EF">
      <w:pPr>
        <w:pStyle w:val="Testofumetto"/>
        <w:suppressAutoHyphens/>
      </w:pPr>
      <w:bookmarkStart w:id="764" w:name="_Toc520212604"/>
      <w:r>
        <w:t>Table 4-29</w:t>
      </w:r>
      <w:r w:rsidR="008A7A5C">
        <w:t>.</w:t>
      </w:r>
      <w:r>
        <w:t xml:space="preserve"> </w:t>
      </w:r>
      <w:r w:rsidRPr="00BC186A">
        <w:t xml:space="preserve">Number of skeletal </w:t>
      </w:r>
      <w:r>
        <w:t xml:space="preserve">remains with information </w:t>
      </w:r>
      <w:r w:rsidR="00587700">
        <w:t xml:space="preserve">on </w:t>
      </w:r>
      <w:r>
        <w:t>gender</w:t>
      </w:r>
      <w:r w:rsidR="00587700">
        <w:t>,</w:t>
      </w:r>
      <w:r>
        <w:t xml:space="preserve"> Far-East area</w:t>
      </w:r>
      <w:bookmarkEnd w:id="764"/>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1026"/>
        <w:gridCol w:w="1042"/>
        <w:gridCol w:w="1188"/>
      </w:tblGrid>
      <w:tr w:rsidR="001A4F1A" w:rsidRPr="005C07D3" w14:paraId="0B714881" w14:textId="77777777" w:rsidTr="00DD5369">
        <w:tc>
          <w:tcPr>
            <w:tcW w:w="2093" w:type="dxa"/>
          </w:tcPr>
          <w:p w14:paraId="1FE09799" w14:textId="0F62B13B" w:rsidR="001A4F1A" w:rsidRPr="005C07D3" w:rsidRDefault="005C07D3" w:rsidP="00E858EF">
            <w:pPr>
              <w:suppressAutoHyphens/>
              <w:autoSpaceDE w:val="0"/>
              <w:autoSpaceDN w:val="0"/>
              <w:adjustRightInd w:val="0"/>
              <w:jc w:val="center"/>
              <w:rPr>
                <w:color w:val="000000"/>
                <w:sz w:val="20"/>
              </w:rPr>
            </w:pPr>
            <w:r w:rsidRPr="005C07D3">
              <w:rPr>
                <w:color w:val="000000"/>
                <w:sz w:val="20"/>
              </w:rPr>
              <w:t>Total number of skeletal remains</w:t>
            </w:r>
          </w:p>
        </w:tc>
        <w:tc>
          <w:tcPr>
            <w:tcW w:w="1026" w:type="dxa"/>
          </w:tcPr>
          <w:p w14:paraId="06249CCE" w14:textId="2501F34F" w:rsidR="001A4F1A" w:rsidRPr="005C07D3" w:rsidRDefault="005C07D3" w:rsidP="00E858EF">
            <w:pPr>
              <w:suppressAutoHyphens/>
              <w:autoSpaceDE w:val="0"/>
              <w:autoSpaceDN w:val="0"/>
              <w:adjustRightInd w:val="0"/>
              <w:jc w:val="center"/>
              <w:rPr>
                <w:color w:val="000000"/>
                <w:sz w:val="20"/>
              </w:rPr>
            </w:pPr>
            <w:r w:rsidRPr="005C07D3">
              <w:rPr>
                <w:color w:val="000000"/>
                <w:sz w:val="20"/>
              </w:rPr>
              <w:t>No info</w:t>
            </w:r>
          </w:p>
        </w:tc>
        <w:tc>
          <w:tcPr>
            <w:tcW w:w="1042" w:type="dxa"/>
          </w:tcPr>
          <w:p w14:paraId="45A0449B" w14:textId="6731316F" w:rsidR="001A4F1A" w:rsidRPr="005C07D3" w:rsidRDefault="005C07D3" w:rsidP="00E858EF">
            <w:pPr>
              <w:suppressAutoHyphens/>
              <w:autoSpaceDE w:val="0"/>
              <w:autoSpaceDN w:val="0"/>
              <w:adjustRightInd w:val="0"/>
              <w:jc w:val="center"/>
              <w:rPr>
                <w:color w:val="000000"/>
                <w:sz w:val="20"/>
              </w:rPr>
            </w:pPr>
            <w:r w:rsidRPr="005C07D3">
              <w:rPr>
                <w:color w:val="000000"/>
                <w:sz w:val="20"/>
              </w:rPr>
              <w:t>Male</w:t>
            </w:r>
          </w:p>
        </w:tc>
        <w:tc>
          <w:tcPr>
            <w:tcW w:w="1188" w:type="dxa"/>
          </w:tcPr>
          <w:p w14:paraId="3074C9DF" w14:textId="3F840DD0" w:rsidR="001A4F1A" w:rsidRPr="005C07D3" w:rsidRDefault="005C07D3" w:rsidP="00E858EF">
            <w:pPr>
              <w:suppressAutoHyphens/>
              <w:autoSpaceDE w:val="0"/>
              <w:autoSpaceDN w:val="0"/>
              <w:adjustRightInd w:val="0"/>
              <w:jc w:val="center"/>
              <w:rPr>
                <w:color w:val="000000"/>
                <w:sz w:val="20"/>
              </w:rPr>
            </w:pPr>
            <w:r w:rsidRPr="005C07D3">
              <w:rPr>
                <w:color w:val="000000"/>
                <w:sz w:val="20"/>
              </w:rPr>
              <w:t>Female</w:t>
            </w:r>
          </w:p>
        </w:tc>
      </w:tr>
      <w:tr w:rsidR="001A4F1A" w:rsidRPr="005C07D3" w14:paraId="1C74B796" w14:textId="77777777" w:rsidTr="00DD5369">
        <w:tc>
          <w:tcPr>
            <w:tcW w:w="2093" w:type="dxa"/>
          </w:tcPr>
          <w:p w14:paraId="13F74433" w14:textId="77777777" w:rsidR="001A4F1A" w:rsidRPr="005C07D3" w:rsidRDefault="001A4F1A" w:rsidP="00E858EF">
            <w:pPr>
              <w:suppressAutoHyphens/>
              <w:autoSpaceDE w:val="0"/>
              <w:autoSpaceDN w:val="0"/>
              <w:adjustRightInd w:val="0"/>
              <w:jc w:val="center"/>
              <w:rPr>
                <w:color w:val="000000"/>
                <w:sz w:val="20"/>
              </w:rPr>
            </w:pPr>
            <w:r w:rsidRPr="005C07D3">
              <w:rPr>
                <w:color w:val="000000"/>
                <w:sz w:val="20"/>
              </w:rPr>
              <w:t>120</w:t>
            </w:r>
          </w:p>
        </w:tc>
        <w:tc>
          <w:tcPr>
            <w:tcW w:w="1026" w:type="dxa"/>
          </w:tcPr>
          <w:p w14:paraId="10000902" w14:textId="77777777" w:rsidR="001A4F1A" w:rsidRPr="005C07D3" w:rsidRDefault="001A4F1A" w:rsidP="00E858EF">
            <w:pPr>
              <w:suppressAutoHyphens/>
              <w:autoSpaceDE w:val="0"/>
              <w:autoSpaceDN w:val="0"/>
              <w:adjustRightInd w:val="0"/>
              <w:jc w:val="center"/>
              <w:rPr>
                <w:color w:val="000000"/>
                <w:sz w:val="20"/>
              </w:rPr>
            </w:pPr>
            <w:r w:rsidRPr="005C07D3">
              <w:rPr>
                <w:color w:val="000000"/>
                <w:sz w:val="20"/>
              </w:rPr>
              <w:t>101</w:t>
            </w:r>
          </w:p>
        </w:tc>
        <w:tc>
          <w:tcPr>
            <w:tcW w:w="1042" w:type="dxa"/>
          </w:tcPr>
          <w:p w14:paraId="6C665935" w14:textId="77777777" w:rsidR="001A4F1A" w:rsidRPr="005C07D3" w:rsidRDefault="001A4F1A" w:rsidP="00E858EF">
            <w:pPr>
              <w:suppressAutoHyphens/>
              <w:autoSpaceDE w:val="0"/>
              <w:autoSpaceDN w:val="0"/>
              <w:adjustRightInd w:val="0"/>
              <w:jc w:val="center"/>
              <w:rPr>
                <w:color w:val="000000"/>
                <w:sz w:val="20"/>
              </w:rPr>
            </w:pPr>
            <w:r w:rsidRPr="005C07D3">
              <w:rPr>
                <w:color w:val="000000"/>
                <w:sz w:val="20"/>
              </w:rPr>
              <w:t>8</w:t>
            </w:r>
          </w:p>
        </w:tc>
        <w:tc>
          <w:tcPr>
            <w:tcW w:w="1188" w:type="dxa"/>
          </w:tcPr>
          <w:p w14:paraId="2D792B09" w14:textId="77777777" w:rsidR="001A4F1A" w:rsidRPr="005C07D3" w:rsidRDefault="001A4F1A" w:rsidP="00E858EF">
            <w:pPr>
              <w:suppressAutoHyphens/>
              <w:autoSpaceDE w:val="0"/>
              <w:autoSpaceDN w:val="0"/>
              <w:adjustRightInd w:val="0"/>
              <w:jc w:val="center"/>
              <w:rPr>
                <w:color w:val="000000"/>
                <w:sz w:val="20"/>
              </w:rPr>
            </w:pPr>
            <w:r w:rsidRPr="005C07D3">
              <w:rPr>
                <w:color w:val="000000"/>
                <w:sz w:val="20"/>
              </w:rPr>
              <w:t>11</w:t>
            </w:r>
          </w:p>
        </w:tc>
      </w:tr>
    </w:tbl>
    <w:p w14:paraId="44B3BBA0" w14:textId="77777777" w:rsidR="001A4F1A" w:rsidRDefault="001A4F1A" w:rsidP="00E858EF">
      <w:pPr>
        <w:suppressAutoHyphens/>
        <w:autoSpaceDE w:val="0"/>
        <w:autoSpaceDN w:val="0"/>
        <w:adjustRightInd w:val="0"/>
        <w:rPr>
          <w:color w:val="000000"/>
        </w:rPr>
      </w:pPr>
    </w:p>
    <w:p w14:paraId="3E31C390" w14:textId="53BEA56D" w:rsidR="001A4F1A" w:rsidRPr="00D6101B" w:rsidRDefault="001A4F1A" w:rsidP="005C07D3">
      <w:pPr>
        <w:pStyle w:val="Testofumetto"/>
      </w:pPr>
      <w:bookmarkStart w:id="765" w:name="_Toc520212605"/>
      <w:r>
        <w:t>Table 4-30</w:t>
      </w:r>
      <w:r w:rsidR="008A7A5C">
        <w:t>.</w:t>
      </w:r>
      <w:r>
        <w:t xml:space="preserve"> </w:t>
      </w:r>
      <w:r w:rsidRPr="00BC186A">
        <w:t xml:space="preserve">Number of skeletal </w:t>
      </w:r>
      <w:r>
        <w:t xml:space="preserve">remains with information </w:t>
      </w:r>
      <w:r w:rsidR="00587700">
        <w:t xml:space="preserve">on </w:t>
      </w:r>
      <w:r>
        <w:t>age</w:t>
      </w:r>
      <w:r w:rsidR="00587700">
        <w:t>,</w:t>
      </w:r>
      <w:r>
        <w:t xml:space="preserve"> Far-East area</w:t>
      </w:r>
      <w:bookmarkEnd w:id="765"/>
    </w:p>
    <w:tbl>
      <w:tblPr>
        <w:tblW w:w="83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924"/>
        <w:gridCol w:w="1134"/>
        <w:gridCol w:w="1134"/>
        <w:gridCol w:w="1134"/>
        <w:gridCol w:w="1061"/>
        <w:gridCol w:w="1276"/>
      </w:tblGrid>
      <w:tr w:rsidR="001A4F1A" w:rsidRPr="005C07D3" w14:paraId="7B9FD804" w14:textId="77777777" w:rsidTr="00DD5369">
        <w:tc>
          <w:tcPr>
            <w:tcW w:w="1701" w:type="dxa"/>
          </w:tcPr>
          <w:p w14:paraId="16284E5F" w14:textId="15A15BDD" w:rsidR="001A4F1A" w:rsidRPr="005C07D3" w:rsidRDefault="005C07D3" w:rsidP="00E858EF">
            <w:pPr>
              <w:suppressAutoHyphens/>
              <w:autoSpaceDE w:val="0"/>
              <w:autoSpaceDN w:val="0"/>
              <w:adjustRightInd w:val="0"/>
              <w:jc w:val="center"/>
              <w:rPr>
                <w:b/>
                <w:color w:val="000000"/>
                <w:sz w:val="20"/>
              </w:rPr>
            </w:pPr>
            <w:r w:rsidRPr="005C07D3">
              <w:rPr>
                <w:color w:val="000000"/>
                <w:sz w:val="20"/>
              </w:rPr>
              <w:t>Total number of skeletal remains</w:t>
            </w:r>
          </w:p>
        </w:tc>
        <w:tc>
          <w:tcPr>
            <w:tcW w:w="924" w:type="dxa"/>
          </w:tcPr>
          <w:p w14:paraId="23534AEF" w14:textId="4C3DE1C6" w:rsidR="001A4F1A" w:rsidRPr="005C07D3" w:rsidRDefault="005C07D3" w:rsidP="00E858EF">
            <w:pPr>
              <w:suppressAutoHyphens/>
              <w:autoSpaceDE w:val="0"/>
              <w:autoSpaceDN w:val="0"/>
              <w:adjustRightInd w:val="0"/>
              <w:jc w:val="center"/>
              <w:rPr>
                <w:color w:val="000000"/>
                <w:sz w:val="20"/>
              </w:rPr>
            </w:pPr>
            <w:r w:rsidRPr="005C07D3">
              <w:rPr>
                <w:color w:val="000000"/>
                <w:sz w:val="20"/>
              </w:rPr>
              <w:t>No info</w:t>
            </w:r>
          </w:p>
        </w:tc>
        <w:tc>
          <w:tcPr>
            <w:tcW w:w="1134" w:type="dxa"/>
          </w:tcPr>
          <w:p w14:paraId="4D6E840C" w14:textId="34EAA748" w:rsidR="001A4F1A" w:rsidRPr="005C07D3" w:rsidRDefault="005C07D3" w:rsidP="00E858EF">
            <w:pPr>
              <w:suppressAutoHyphens/>
              <w:autoSpaceDE w:val="0"/>
              <w:autoSpaceDN w:val="0"/>
              <w:adjustRightInd w:val="0"/>
              <w:jc w:val="center"/>
              <w:rPr>
                <w:color w:val="000000"/>
                <w:sz w:val="20"/>
              </w:rPr>
            </w:pPr>
            <w:r w:rsidRPr="005C07D3">
              <w:rPr>
                <w:color w:val="000000"/>
                <w:sz w:val="20"/>
              </w:rPr>
              <w:t>Old adult</w:t>
            </w:r>
          </w:p>
        </w:tc>
        <w:tc>
          <w:tcPr>
            <w:tcW w:w="1134" w:type="dxa"/>
          </w:tcPr>
          <w:p w14:paraId="23CC964E" w14:textId="55E570EE" w:rsidR="001A4F1A" w:rsidRPr="005C07D3" w:rsidRDefault="005C07D3" w:rsidP="00E858EF">
            <w:pPr>
              <w:suppressAutoHyphens/>
              <w:autoSpaceDE w:val="0"/>
              <w:autoSpaceDN w:val="0"/>
              <w:adjustRightInd w:val="0"/>
              <w:jc w:val="center"/>
              <w:rPr>
                <w:color w:val="000000"/>
                <w:sz w:val="20"/>
              </w:rPr>
            </w:pPr>
            <w:r w:rsidRPr="005C07D3">
              <w:rPr>
                <w:color w:val="000000"/>
                <w:sz w:val="20"/>
              </w:rPr>
              <w:t>Adult</w:t>
            </w:r>
          </w:p>
        </w:tc>
        <w:tc>
          <w:tcPr>
            <w:tcW w:w="1134" w:type="dxa"/>
          </w:tcPr>
          <w:p w14:paraId="7AAEEEEC" w14:textId="6114B88D" w:rsidR="001A4F1A" w:rsidRPr="005C07D3" w:rsidRDefault="005C07D3" w:rsidP="00E858EF">
            <w:pPr>
              <w:suppressAutoHyphens/>
              <w:autoSpaceDE w:val="0"/>
              <w:autoSpaceDN w:val="0"/>
              <w:adjustRightInd w:val="0"/>
              <w:jc w:val="center"/>
              <w:rPr>
                <w:color w:val="000000"/>
                <w:sz w:val="20"/>
              </w:rPr>
            </w:pPr>
            <w:r w:rsidRPr="005C07D3">
              <w:rPr>
                <w:color w:val="000000"/>
                <w:sz w:val="20"/>
              </w:rPr>
              <w:t>Young/adolescent</w:t>
            </w:r>
          </w:p>
        </w:tc>
        <w:tc>
          <w:tcPr>
            <w:tcW w:w="1061" w:type="dxa"/>
          </w:tcPr>
          <w:p w14:paraId="2410C39B" w14:textId="4FA61465" w:rsidR="001A4F1A" w:rsidRPr="005C07D3" w:rsidRDefault="005C07D3" w:rsidP="00E858EF">
            <w:pPr>
              <w:suppressAutoHyphens/>
              <w:autoSpaceDE w:val="0"/>
              <w:autoSpaceDN w:val="0"/>
              <w:adjustRightInd w:val="0"/>
              <w:jc w:val="center"/>
              <w:rPr>
                <w:color w:val="000000"/>
                <w:sz w:val="20"/>
              </w:rPr>
            </w:pPr>
            <w:r w:rsidRPr="005C07D3">
              <w:rPr>
                <w:color w:val="000000"/>
                <w:sz w:val="20"/>
              </w:rPr>
              <w:t>Child</w:t>
            </w:r>
          </w:p>
        </w:tc>
        <w:tc>
          <w:tcPr>
            <w:tcW w:w="1276" w:type="dxa"/>
          </w:tcPr>
          <w:p w14:paraId="6EA5F3DE" w14:textId="315E4ABB" w:rsidR="00DD5369" w:rsidRPr="005C07D3" w:rsidRDefault="005C07D3" w:rsidP="00E858EF">
            <w:pPr>
              <w:suppressAutoHyphens/>
              <w:autoSpaceDE w:val="0"/>
              <w:autoSpaceDN w:val="0"/>
              <w:adjustRightInd w:val="0"/>
              <w:jc w:val="center"/>
              <w:rPr>
                <w:color w:val="000000"/>
                <w:sz w:val="20"/>
              </w:rPr>
            </w:pPr>
            <w:r w:rsidRPr="005C07D3">
              <w:rPr>
                <w:color w:val="000000"/>
                <w:sz w:val="20"/>
              </w:rPr>
              <w:t>Baby/</w:t>
            </w:r>
          </w:p>
          <w:p w14:paraId="322CCC21" w14:textId="1CBF7D86" w:rsidR="001A4F1A" w:rsidRPr="005C07D3" w:rsidRDefault="005C07D3" w:rsidP="00E858EF">
            <w:pPr>
              <w:suppressAutoHyphens/>
              <w:autoSpaceDE w:val="0"/>
              <w:autoSpaceDN w:val="0"/>
              <w:adjustRightInd w:val="0"/>
              <w:jc w:val="center"/>
              <w:rPr>
                <w:color w:val="000000"/>
                <w:sz w:val="20"/>
              </w:rPr>
            </w:pPr>
            <w:r w:rsidRPr="005C07D3">
              <w:rPr>
                <w:color w:val="000000"/>
                <w:sz w:val="20"/>
              </w:rPr>
              <w:t>Embryo</w:t>
            </w:r>
          </w:p>
        </w:tc>
      </w:tr>
      <w:tr w:rsidR="001A4F1A" w:rsidRPr="005C07D3" w14:paraId="47BA19C5" w14:textId="77777777" w:rsidTr="00DD5369">
        <w:tc>
          <w:tcPr>
            <w:tcW w:w="1701" w:type="dxa"/>
          </w:tcPr>
          <w:p w14:paraId="3E2EFCFA" w14:textId="77777777" w:rsidR="001A4F1A" w:rsidRPr="005C07D3" w:rsidRDefault="001A4F1A" w:rsidP="00E858EF">
            <w:pPr>
              <w:suppressAutoHyphens/>
              <w:autoSpaceDE w:val="0"/>
              <w:autoSpaceDN w:val="0"/>
              <w:adjustRightInd w:val="0"/>
              <w:jc w:val="center"/>
              <w:rPr>
                <w:color w:val="000000"/>
                <w:sz w:val="20"/>
              </w:rPr>
            </w:pPr>
            <w:r w:rsidRPr="005C07D3">
              <w:rPr>
                <w:color w:val="000000"/>
                <w:sz w:val="20"/>
              </w:rPr>
              <w:t>120</w:t>
            </w:r>
          </w:p>
        </w:tc>
        <w:tc>
          <w:tcPr>
            <w:tcW w:w="924" w:type="dxa"/>
          </w:tcPr>
          <w:p w14:paraId="2BABCF79" w14:textId="77777777" w:rsidR="001A4F1A" w:rsidRPr="005C07D3" w:rsidRDefault="001A4F1A" w:rsidP="00E858EF">
            <w:pPr>
              <w:suppressAutoHyphens/>
              <w:autoSpaceDE w:val="0"/>
              <w:autoSpaceDN w:val="0"/>
              <w:adjustRightInd w:val="0"/>
              <w:jc w:val="center"/>
              <w:rPr>
                <w:color w:val="000000"/>
                <w:sz w:val="20"/>
              </w:rPr>
            </w:pPr>
            <w:r w:rsidRPr="005C07D3">
              <w:rPr>
                <w:color w:val="000000"/>
                <w:sz w:val="20"/>
              </w:rPr>
              <w:t>98</w:t>
            </w:r>
          </w:p>
        </w:tc>
        <w:tc>
          <w:tcPr>
            <w:tcW w:w="1134" w:type="dxa"/>
          </w:tcPr>
          <w:p w14:paraId="794327D3" w14:textId="77777777" w:rsidR="001A4F1A" w:rsidRPr="005C07D3" w:rsidRDefault="001A4F1A" w:rsidP="00E858EF">
            <w:pPr>
              <w:suppressAutoHyphens/>
              <w:autoSpaceDE w:val="0"/>
              <w:autoSpaceDN w:val="0"/>
              <w:adjustRightInd w:val="0"/>
              <w:jc w:val="center"/>
              <w:rPr>
                <w:color w:val="000000"/>
                <w:sz w:val="20"/>
              </w:rPr>
            </w:pPr>
            <w:r w:rsidRPr="005C07D3">
              <w:rPr>
                <w:color w:val="000000"/>
                <w:sz w:val="20"/>
              </w:rPr>
              <w:t>3</w:t>
            </w:r>
          </w:p>
        </w:tc>
        <w:tc>
          <w:tcPr>
            <w:tcW w:w="1134" w:type="dxa"/>
          </w:tcPr>
          <w:p w14:paraId="205BC5D0" w14:textId="77777777" w:rsidR="001A4F1A" w:rsidRPr="005C07D3" w:rsidRDefault="001A4F1A" w:rsidP="00E858EF">
            <w:pPr>
              <w:suppressAutoHyphens/>
              <w:autoSpaceDE w:val="0"/>
              <w:autoSpaceDN w:val="0"/>
              <w:adjustRightInd w:val="0"/>
              <w:jc w:val="center"/>
              <w:rPr>
                <w:color w:val="000000"/>
                <w:sz w:val="20"/>
              </w:rPr>
            </w:pPr>
            <w:r w:rsidRPr="005C07D3">
              <w:rPr>
                <w:color w:val="000000"/>
                <w:sz w:val="20"/>
              </w:rPr>
              <w:t>17</w:t>
            </w:r>
          </w:p>
        </w:tc>
        <w:tc>
          <w:tcPr>
            <w:tcW w:w="1134" w:type="dxa"/>
          </w:tcPr>
          <w:p w14:paraId="7BC06F49" w14:textId="77777777" w:rsidR="001A4F1A" w:rsidRPr="005C07D3" w:rsidRDefault="001A4F1A" w:rsidP="00E858EF">
            <w:pPr>
              <w:suppressAutoHyphens/>
              <w:autoSpaceDE w:val="0"/>
              <w:autoSpaceDN w:val="0"/>
              <w:adjustRightInd w:val="0"/>
              <w:jc w:val="center"/>
              <w:rPr>
                <w:color w:val="000000"/>
                <w:sz w:val="20"/>
              </w:rPr>
            </w:pPr>
            <w:r w:rsidRPr="005C07D3">
              <w:rPr>
                <w:color w:val="000000"/>
                <w:sz w:val="20"/>
              </w:rPr>
              <w:t>3</w:t>
            </w:r>
          </w:p>
        </w:tc>
        <w:tc>
          <w:tcPr>
            <w:tcW w:w="1061" w:type="dxa"/>
          </w:tcPr>
          <w:p w14:paraId="207A429A" w14:textId="77777777" w:rsidR="001A4F1A" w:rsidRPr="005C07D3" w:rsidRDefault="001A4F1A" w:rsidP="00E858EF">
            <w:pPr>
              <w:suppressAutoHyphens/>
              <w:autoSpaceDE w:val="0"/>
              <w:autoSpaceDN w:val="0"/>
              <w:adjustRightInd w:val="0"/>
              <w:jc w:val="center"/>
              <w:rPr>
                <w:color w:val="000000"/>
                <w:sz w:val="20"/>
              </w:rPr>
            </w:pPr>
            <w:r w:rsidRPr="005C07D3">
              <w:rPr>
                <w:color w:val="000000"/>
                <w:sz w:val="20"/>
              </w:rPr>
              <w:t>9</w:t>
            </w:r>
          </w:p>
        </w:tc>
        <w:tc>
          <w:tcPr>
            <w:tcW w:w="1276" w:type="dxa"/>
          </w:tcPr>
          <w:p w14:paraId="0D59C3D2" w14:textId="77777777" w:rsidR="001A4F1A" w:rsidRPr="005C07D3" w:rsidRDefault="001A4F1A" w:rsidP="00E858EF">
            <w:pPr>
              <w:suppressAutoHyphens/>
              <w:autoSpaceDE w:val="0"/>
              <w:autoSpaceDN w:val="0"/>
              <w:adjustRightInd w:val="0"/>
              <w:jc w:val="center"/>
              <w:rPr>
                <w:color w:val="000000"/>
                <w:sz w:val="20"/>
              </w:rPr>
            </w:pPr>
            <w:r w:rsidRPr="005C07D3">
              <w:rPr>
                <w:color w:val="000000"/>
                <w:sz w:val="20"/>
              </w:rPr>
              <w:t>0</w:t>
            </w:r>
          </w:p>
        </w:tc>
      </w:tr>
    </w:tbl>
    <w:p w14:paraId="497B632C" w14:textId="77777777" w:rsidR="001A4F1A" w:rsidRPr="00D6101B" w:rsidRDefault="001A4F1A" w:rsidP="00E858EF">
      <w:pPr>
        <w:suppressAutoHyphens/>
        <w:autoSpaceDE w:val="0"/>
        <w:autoSpaceDN w:val="0"/>
        <w:adjustRightInd w:val="0"/>
        <w:rPr>
          <w:color w:val="000000"/>
        </w:rPr>
      </w:pPr>
    </w:p>
    <w:p w14:paraId="1D986933" w14:textId="77777777" w:rsidR="001A4F1A" w:rsidRPr="00D6101B" w:rsidRDefault="001A4F1A" w:rsidP="00E858EF">
      <w:pPr>
        <w:suppressAutoHyphens/>
        <w:autoSpaceDE w:val="0"/>
        <w:autoSpaceDN w:val="0"/>
        <w:adjustRightInd w:val="0"/>
        <w:rPr>
          <w:color w:val="000000"/>
        </w:rPr>
      </w:pPr>
      <w:r w:rsidRPr="00D6101B">
        <w:rPr>
          <w:noProof/>
        </w:rPr>
        <w:t xml:space="preserve"> </w:t>
      </w:r>
      <w:r>
        <w:rPr>
          <w:noProof/>
          <w:lang w:val="it-IT"/>
        </w:rPr>
        <w:drawing>
          <wp:inline distT="0" distB="0" distL="0" distR="0" wp14:anchorId="15C94EA8" wp14:editId="1237C1B8">
            <wp:extent cx="5335270" cy="2818263"/>
            <wp:effectExtent l="0" t="0" r="17780" b="1270"/>
            <wp:docPr id="86" name="Grafico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B0897AD" w14:textId="5DE8E649" w:rsidR="001A4F1A" w:rsidRPr="005C07D3" w:rsidRDefault="001A4F1A" w:rsidP="005C07D3">
      <w:pPr>
        <w:pStyle w:val="Didascalia"/>
      </w:pPr>
      <w:bookmarkStart w:id="766" w:name="_Toc520212367"/>
      <w:r w:rsidRPr="005C07D3">
        <w:t>Figure 4-29</w:t>
      </w:r>
      <w:r w:rsidR="008D5E5D">
        <w:t>.</w:t>
      </w:r>
      <w:r w:rsidRPr="005C07D3">
        <w:t xml:space="preserve"> Number of skeletal remains with information </w:t>
      </w:r>
      <w:r w:rsidR="00676506">
        <w:t>on</w:t>
      </w:r>
      <w:r w:rsidR="00676506" w:rsidRPr="005C07D3">
        <w:t xml:space="preserve"> </w:t>
      </w:r>
      <w:r w:rsidRPr="005C07D3">
        <w:t>gender</w:t>
      </w:r>
      <w:r w:rsidR="00676506">
        <w:t>,</w:t>
      </w:r>
      <w:r w:rsidRPr="005C07D3">
        <w:t xml:space="preserve"> Far-East area</w:t>
      </w:r>
      <w:bookmarkEnd w:id="766"/>
    </w:p>
    <w:p w14:paraId="13AFB300" w14:textId="77777777" w:rsidR="001A4F1A" w:rsidRDefault="001A4F1A" w:rsidP="00E858EF">
      <w:pPr>
        <w:suppressAutoHyphens/>
      </w:pPr>
    </w:p>
    <w:p w14:paraId="5672B0E2" w14:textId="77777777" w:rsidR="001A4F1A" w:rsidRPr="00D6101B" w:rsidRDefault="001A4F1A" w:rsidP="00E858EF">
      <w:pPr>
        <w:suppressAutoHyphens/>
      </w:pPr>
      <w:r>
        <w:rPr>
          <w:noProof/>
          <w:lang w:val="it-IT"/>
        </w:rPr>
        <w:drawing>
          <wp:inline distT="0" distB="0" distL="0" distR="0" wp14:anchorId="03176748" wp14:editId="236B7358">
            <wp:extent cx="5336274" cy="2808000"/>
            <wp:effectExtent l="0" t="0" r="17145" b="11430"/>
            <wp:docPr id="87" name="Grafico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08F8BC8D" w14:textId="4AD7761B" w:rsidR="001A4F1A" w:rsidRPr="00D6101B" w:rsidRDefault="001A4F1A" w:rsidP="00E858EF">
      <w:pPr>
        <w:pStyle w:val="Didascalia"/>
        <w:suppressAutoHyphens/>
      </w:pPr>
      <w:bookmarkStart w:id="767" w:name="_Toc520212368"/>
      <w:r>
        <w:t>Figure 4-30</w:t>
      </w:r>
      <w:r w:rsidR="008D5E5D">
        <w:t>.</w:t>
      </w:r>
      <w:r>
        <w:t xml:space="preserve"> </w:t>
      </w:r>
      <w:r w:rsidRPr="00BC186A">
        <w:t xml:space="preserve">Number of skeletal </w:t>
      </w:r>
      <w:r>
        <w:t xml:space="preserve">remains with information </w:t>
      </w:r>
      <w:r w:rsidR="00676506">
        <w:t xml:space="preserve">on </w:t>
      </w:r>
      <w:r>
        <w:t>age</w:t>
      </w:r>
      <w:r w:rsidR="00676506">
        <w:t>,</w:t>
      </w:r>
      <w:r>
        <w:t xml:space="preserve"> Far-East area</w:t>
      </w:r>
      <w:bookmarkEnd w:id="767"/>
    </w:p>
    <w:p w14:paraId="496616A8" w14:textId="77777777" w:rsidR="001A4F1A" w:rsidRPr="00D6101B" w:rsidRDefault="001A4F1A" w:rsidP="00E858EF">
      <w:pPr>
        <w:suppressAutoHyphens/>
        <w:autoSpaceDE w:val="0"/>
        <w:autoSpaceDN w:val="0"/>
        <w:adjustRightInd w:val="0"/>
        <w:rPr>
          <w:noProof/>
        </w:rPr>
      </w:pPr>
      <w:r w:rsidRPr="00D6101B">
        <w:rPr>
          <w:color w:val="000000"/>
        </w:rPr>
        <w:t xml:space="preserve"> </w:t>
      </w:r>
    </w:p>
    <w:p w14:paraId="6C801607" w14:textId="0CE13BD3" w:rsidR="001A4F1A" w:rsidRPr="00D6101B" w:rsidRDefault="001A4F1A" w:rsidP="00E858EF">
      <w:pPr>
        <w:pStyle w:val="Titolo4"/>
        <w:keepNext w:val="0"/>
        <w:keepLines w:val="0"/>
        <w:suppressAutoHyphens/>
        <w:rPr>
          <w:b w:val="0"/>
          <w:color w:val="000000"/>
        </w:rPr>
      </w:pPr>
      <w:bookmarkStart w:id="768" w:name="_Toc389508238"/>
      <w:bookmarkStart w:id="769" w:name="_Toc517745318"/>
      <w:r w:rsidRPr="00D6101B">
        <w:t>Conclusions</w:t>
      </w:r>
      <w:bookmarkEnd w:id="768"/>
      <w:bookmarkEnd w:id="769"/>
      <w:r w:rsidR="005C07D3">
        <w:t>,</w:t>
      </w:r>
      <w:r w:rsidR="00DD5369">
        <w:t xml:space="preserve"> Far-East area</w:t>
      </w:r>
    </w:p>
    <w:p w14:paraId="08D9F312" w14:textId="77777777" w:rsidR="001A4F1A" w:rsidRPr="00D6101B" w:rsidRDefault="001A4F1A" w:rsidP="00E858EF">
      <w:pPr>
        <w:suppressAutoHyphens/>
        <w:autoSpaceDE w:val="0"/>
        <w:autoSpaceDN w:val="0"/>
        <w:adjustRightInd w:val="0"/>
        <w:rPr>
          <w:color w:val="000000"/>
        </w:rPr>
      </w:pPr>
      <w:r w:rsidRPr="00D6101B">
        <w:rPr>
          <w:color w:val="000000"/>
        </w:rPr>
        <w:t xml:space="preserve">From the analysis of </w:t>
      </w:r>
      <w:r>
        <w:rPr>
          <w:color w:val="000000"/>
        </w:rPr>
        <w:t xml:space="preserve">the </w:t>
      </w:r>
      <w:r w:rsidRPr="00D6101B">
        <w:rPr>
          <w:color w:val="000000"/>
        </w:rPr>
        <w:t xml:space="preserve">burials and skeletal remains retrieved in secure tombs with larnakes in the </w:t>
      </w:r>
      <w:r>
        <w:rPr>
          <w:color w:val="000000"/>
        </w:rPr>
        <w:t>Far-East</w:t>
      </w:r>
      <w:r w:rsidRPr="00D6101B">
        <w:rPr>
          <w:color w:val="000000"/>
        </w:rPr>
        <w:t xml:space="preserve"> area</w:t>
      </w:r>
      <w:r>
        <w:rPr>
          <w:color w:val="000000"/>
        </w:rPr>
        <w:t>,</w:t>
      </w:r>
      <w:r w:rsidRPr="00D6101B">
        <w:rPr>
          <w:color w:val="000000"/>
        </w:rPr>
        <w:t xml:space="preserve"> larnax burials are the most common burial interment type, </w:t>
      </w:r>
      <w:r>
        <w:rPr>
          <w:color w:val="000000"/>
        </w:rPr>
        <w:t>sometimes</w:t>
      </w:r>
      <w:r w:rsidRPr="00D6101B">
        <w:rPr>
          <w:color w:val="000000"/>
        </w:rPr>
        <w:t xml:space="preserve"> associated with other container burials (i.e. pithos or pyxis). The</w:t>
      </w:r>
      <w:r>
        <w:rPr>
          <w:color w:val="000000"/>
        </w:rPr>
        <w:t xml:space="preserve"> maximum</w:t>
      </w:r>
      <w:r w:rsidRPr="00D6101B">
        <w:rPr>
          <w:color w:val="000000"/>
        </w:rPr>
        <w:t xml:space="preserve"> number of larnakes found within one tomb </w:t>
      </w:r>
      <w:r>
        <w:rPr>
          <w:color w:val="000000"/>
        </w:rPr>
        <w:t>is</w:t>
      </w:r>
      <w:r w:rsidRPr="00D6101B">
        <w:rPr>
          <w:color w:val="000000"/>
        </w:rPr>
        <w:t xml:space="preserve"> eight</w:t>
      </w:r>
      <w:r>
        <w:rPr>
          <w:color w:val="000000"/>
        </w:rPr>
        <w:t>,</w:t>
      </w:r>
      <w:r w:rsidRPr="00D6101B">
        <w:rPr>
          <w:color w:val="000000"/>
        </w:rPr>
        <w:t xml:space="preserve"> although the average number of individual</w:t>
      </w:r>
      <w:r>
        <w:rPr>
          <w:color w:val="000000"/>
        </w:rPr>
        <w:t>s</w:t>
      </w:r>
      <w:r w:rsidRPr="00D6101B">
        <w:rPr>
          <w:color w:val="000000"/>
        </w:rPr>
        <w:t xml:space="preserve"> per tomb retrieved from the sample analysed for this region is low (2</w:t>
      </w:r>
      <w:r>
        <w:rPr>
          <w:color w:val="000000"/>
        </w:rPr>
        <w:t>.</w:t>
      </w:r>
      <w:r w:rsidRPr="00D6101B">
        <w:rPr>
          <w:color w:val="000000"/>
        </w:rPr>
        <w:t xml:space="preserve">5). In </w:t>
      </w:r>
      <w:r>
        <w:rPr>
          <w:color w:val="000000"/>
        </w:rPr>
        <w:t xml:space="preserve">a </w:t>
      </w:r>
      <w:r w:rsidRPr="00D6101B">
        <w:rPr>
          <w:color w:val="000000"/>
        </w:rPr>
        <w:t>few cases</w:t>
      </w:r>
      <w:r>
        <w:rPr>
          <w:color w:val="000000"/>
        </w:rPr>
        <w:t>,</w:t>
      </w:r>
      <w:r w:rsidRPr="00D6101B">
        <w:rPr>
          <w:color w:val="000000"/>
        </w:rPr>
        <w:t xml:space="preserve"> larnakes </w:t>
      </w:r>
      <w:r>
        <w:rPr>
          <w:color w:val="000000"/>
        </w:rPr>
        <w:t>were</w:t>
      </w:r>
      <w:r w:rsidRPr="00D6101B">
        <w:rPr>
          <w:color w:val="000000"/>
        </w:rPr>
        <w:t xml:space="preserve"> used for communal burials, and usually in tombs in which they were used more than once</w:t>
      </w:r>
      <w:r>
        <w:rPr>
          <w:color w:val="000000"/>
        </w:rPr>
        <w:t>;</w:t>
      </w:r>
      <w:r w:rsidRPr="00D6101B">
        <w:rPr>
          <w:color w:val="000000"/>
        </w:rPr>
        <w:t xml:space="preserve"> the skeletal remains belonging to the former burials (long bones and skulls in the vast majority of cases) </w:t>
      </w:r>
      <w:r>
        <w:rPr>
          <w:color w:val="000000"/>
        </w:rPr>
        <w:t>were</w:t>
      </w:r>
      <w:r w:rsidRPr="00D6101B">
        <w:rPr>
          <w:color w:val="000000"/>
        </w:rPr>
        <w:t xml:space="preserve"> piled on the floor of the tomb or in </w:t>
      </w:r>
      <w:r>
        <w:rPr>
          <w:color w:val="000000"/>
        </w:rPr>
        <w:t xml:space="preserve">a </w:t>
      </w:r>
      <w:r w:rsidRPr="00D6101B">
        <w:rPr>
          <w:color w:val="000000"/>
        </w:rPr>
        <w:t>pit (i.e. Achladia; Pachyammos Alazzomouri). Interesting data from this region come from the larnax type used</w:t>
      </w:r>
      <w:r>
        <w:rPr>
          <w:color w:val="000000"/>
        </w:rPr>
        <w:t>;</w:t>
      </w:r>
      <w:r w:rsidRPr="00D6101B">
        <w:rPr>
          <w:color w:val="000000"/>
        </w:rPr>
        <w:t xml:space="preserve"> this is the only region where the number of bathtub larnax interments </w:t>
      </w:r>
      <w:r>
        <w:rPr>
          <w:color w:val="000000"/>
        </w:rPr>
        <w:t>is more than</w:t>
      </w:r>
      <w:r w:rsidRPr="00D6101B">
        <w:rPr>
          <w:color w:val="000000"/>
        </w:rPr>
        <w:t xml:space="preserve"> the number of chest</w:t>
      </w:r>
      <w:r>
        <w:rPr>
          <w:color w:val="000000"/>
        </w:rPr>
        <w:t>-shaped</w:t>
      </w:r>
      <w:r w:rsidRPr="00D6101B">
        <w:rPr>
          <w:color w:val="000000"/>
        </w:rPr>
        <w:t xml:space="preserve"> larnax interments. Furthermore, the predilection for burial containers as </w:t>
      </w:r>
      <w:r>
        <w:rPr>
          <w:color w:val="000000"/>
        </w:rPr>
        <w:t xml:space="preserve">a </w:t>
      </w:r>
      <w:r w:rsidRPr="00D6101B">
        <w:rPr>
          <w:color w:val="000000"/>
        </w:rPr>
        <w:t>deposition method is confirmed by the high frequency of pithos burials in the region (Preston 2000: 230), although</w:t>
      </w:r>
      <w:r>
        <w:rPr>
          <w:color w:val="000000"/>
        </w:rPr>
        <w:t xml:space="preserve"> these are</w:t>
      </w:r>
      <w:r w:rsidRPr="00D6101B">
        <w:rPr>
          <w:color w:val="000000"/>
        </w:rPr>
        <w:t xml:space="preserve"> rarely associated in the same tomb with larnakes</w:t>
      </w:r>
      <w:r>
        <w:rPr>
          <w:color w:val="000000"/>
        </w:rPr>
        <w:t>,</w:t>
      </w:r>
      <w:r w:rsidRPr="00D6101B">
        <w:rPr>
          <w:color w:val="000000"/>
        </w:rPr>
        <w:t xml:space="preserve"> as noted above. </w:t>
      </w:r>
      <w:r>
        <w:rPr>
          <w:color w:val="000000"/>
        </w:rPr>
        <w:t>In contrast to</w:t>
      </w:r>
      <w:r w:rsidRPr="00D6101B">
        <w:rPr>
          <w:color w:val="000000"/>
        </w:rPr>
        <w:t xml:space="preserve"> wooden receptacle use in </w:t>
      </w:r>
      <w:r>
        <w:rPr>
          <w:color w:val="000000"/>
        </w:rPr>
        <w:t xml:space="preserve">the </w:t>
      </w:r>
      <w:r w:rsidRPr="00D6101B">
        <w:rPr>
          <w:color w:val="000000"/>
        </w:rPr>
        <w:t>Knossos region, pithos receptacle</w:t>
      </w:r>
      <w:r>
        <w:rPr>
          <w:color w:val="000000"/>
        </w:rPr>
        <w:t>s</w:t>
      </w:r>
      <w:r w:rsidRPr="00D6101B">
        <w:rPr>
          <w:color w:val="000000"/>
        </w:rPr>
        <w:t xml:space="preserve"> in </w:t>
      </w:r>
      <w:r>
        <w:rPr>
          <w:color w:val="000000"/>
        </w:rPr>
        <w:t>the Far-East</w:t>
      </w:r>
      <w:r w:rsidRPr="00D6101B">
        <w:rPr>
          <w:color w:val="000000"/>
        </w:rPr>
        <w:t xml:space="preserve"> region </w:t>
      </w:r>
      <w:r>
        <w:rPr>
          <w:color w:val="000000"/>
        </w:rPr>
        <w:t>were contemporaneous</w:t>
      </w:r>
      <w:r w:rsidRPr="00D6101B">
        <w:rPr>
          <w:color w:val="000000"/>
        </w:rPr>
        <w:t xml:space="preserve"> </w:t>
      </w:r>
      <w:r>
        <w:rPr>
          <w:color w:val="000000"/>
        </w:rPr>
        <w:t>with</w:t>
      </w:r>
      <w:r w:rsidRPr="00D6101B">
        <w:rPr>
          <w:color w:val="000000"/>
        </w:rPr>
        <w:t xml:space="preserve"> larnax burial</w:t>
      </w:r>
      <w:r>
        <w:rPr>
          <w:color w:val="000000"/>
        </w:rPr>
        <w:t>s (e.g. at Mochlos:</w:t>
      </w:r>
      <w:r w:rsidRPr="00D6101B">
        <w:rPr>
          <w:color w:val="000000"/>
        </w:rPr>
        <w:t xml:space="preserve"> Soles 2008</w:t>
      </w:r>
      <w:r>
        <w:rPr>
          <w:color w:val="000000"/>
        </w:rPr>
        <w:t>:</w:t>
      </w:r>
      <w:r w:rsidRPr="00D6101B">
        <w:rPr>
          <w:color w:val="000000"/>
        </w:rPr>
        <w:t xml:space="preserve"> </w:t>
      </w:r>
      <w:r>
        <w:rPr>
          <w:color w:val="000000"/>
        </w:rPr>
        <w:t>T</w:t>
      </w:r>
      <w:r w:rsidRPr="00D6101B">
        <w:rPr>
          <w:color w:val="000000"/>
        </w:rPr>
        <w:t xml:space="preserve">able 1). Consequently, the choice of </w:t>
      </w:r>
      <w:r>
        <w:rPr>
          <w:color w:val="000000"/>
        </w:rPr>
        <w:t>whether to use</w:t>
      </w:r>
      <w:r w:rsidRPr="00D6101B">
        <w:rPr>
          <w:color w:val="000000"/>
        </w:rPr>
        <w:t xml:space="preserve"> a bathtub larnax, a chest</w:t>
      </w:r>
      <w:r>
        <w:rPr>
          <w:color w:val="000000"/>
        </w:rPr>
        <w:t>-shaped</w:t>
      </w:r>
      <w:r w:rsidRPr="00D6101B">
        <w:rPr>
          <w:color w:val="000000"/>
        </w:rPr>
        <w:t xml:space="preserve"> larnax or a pithos as </w:t>
      </w:r>
      <w:r>
        <w:rPr>
          <w:color w:val="000000"/>
        </w:rPr>
        <w:t xml:space="preserve">a </w:t>
      </w:r>
      <w:r w:rsidRPr="00D6101B">
        <w:rPr>
          <w:color w:val="000000"/>
        </w:rPr>
        <w:t>burial receptacle</w:t>
      </w:r>
      <w:r>
        <w:rPr>
          <w:color w:val="000000"/>
        </w:rPr>
        <w:t xml:space="preserve"> would have been connected to aspects linked to the expression of identity, which is not possible to connect with gender or age, due to the limited information available. </w:t>
      </w:r>
      <w:r w:rsidRPr="00D6101B">
        <w:rPr>
          <w:color w:val="000000"/>
        </w:rPr>
        <w:t>The introduction of the later practice of cremation is documented in two tombs</w:t>
      </w:r>
      <w:r>
        <w:rPr>
          <w:color w:val="000000"/>
        </w:rPr>
        <w:t>,</w:t>
      </w:r>
      <w:r w:rsidRPr="00D6101B">
        <w:rPr>
          <w:color w:val="000000"/>
        </w:rPr>
        <w:t xml:space="preserve"> and in both case</w:t>
      </w:r>
      <w:r>
        <w:rPr>
          <w:color w:val="000000"/>
        </w:rPr>
        <w:t>s</w:t>
      </w:r>
      <w:r w:rsidRPr="00D6101B">
        <w:rPr>
          <w:color w:val="000000"/>
        </w:rPr>
        <w:t xml:space="preserve"> these cremated burial</w:t>
      </w:r>
      <w:r>
        <w:rPr>
          <w:color w:val="000000"/>
        </w:rPr>
        <w:t>s</w:t>
      </w:r>
      <w:r w:rsidRPr="00D6101B">
        <w:rPr>
          <w:color w:val="000000"/>
        </w:rPr>
        <w:t xml:space="preserve"> in pyxi</w:t>
      </w:r>
      <w:r>
        <w:rPr>
          <w:color w:val="000000"/>
        </w:rPr>
        <w:t>des</w:t>
      </w:r>
      <w:r w:rsidRPr="00D6101B">
        <w:rPr>
          <w:color w:val="000000"/>
        </w:rPr>
        <w:t xml:space="preserve"> are dated to a later phase (from LM IIIC onward). </w:t>
      </w:r>
    </w:p>
    <w:p w14:paraId="2C4EBC01"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 xml:space="preserve">Some specific </w:t>
      </w:r>
      <w:r>
        <w:rPr>
          <w:color w:val="000000"/>
        </w:rPr>
        <w:t>aspects</w:t>
      </w:r>
      <w:r w:rsidRPr="00D6101B">
        <w:rPr>
          <w:color w:val="000000"/>
        </w:rPr>
        <w:t xml:space="preserve"> concerning mortuary treatments are visible at Mochlos Limenaria, where juvenile deposition</w:t>
      </w:r>
      <w:r>
        <w:rPr>
          <w:color w:val="000000"/>
        </w:rPr>
        <w:t>s</w:t>
      </w:r>
      <w:r w:rsidRPr="00D6101B">
        <w:rPr>
          <w:color w:val="000000"/>
        </w:rPr>
        <w:t xml:space="preserve"> </w:t>
      </w:r>
      <w:r>
        <w:rPr>
          <w:color w:val="000000"/>
        </w:rPr>
        <w:t>were</w:t>
      </w:r>
      <w:r w:rsidRPr="00D6101B">
        <w:rPr>
          <w:color w:val="000000"/>
        </w:rPr>
        <w:t xml:space="preserve"> associated with another burial, and in the </w:t>
      </w:r>
      <w:r>
        <w:rPr>
          <w:color w:val="000000"/>
        </w:rPr>
        <w:t>‘</w:t>
      </w:r>
      <w:r w:rsidRPr="00D6101B">
        <w:rPr>
          <w:color w:val="000000"/>
        </w:rPr>
        <w:t>special</w:t>
      </w:r>
      <w:r>
        <w:rPr>
          <w:color w:val="000000"/>
        </w:rPr>
        <w:t>’</w:t>
      </w:r>
      <w:r w:rsidRPr="00D6101B">
        <w:rPr>
          <w:color w:val="000000"/>
        </w:rPr>
        <w:t xml:space="preserve"> treatment </w:t>
      </w:r>
      <w:r>
        <w:rPr>
          <w:color w:val="000000"/>
        </w:rPr>
        <w:t>of</w:t>
      </w:r>
      <w:r w:rsidRPr="00D6101B">
        <w:rPr>
          <w:color w:val="000000"/>
        </w:rPr>
        <w:t xml:space="preserve"> the skeletal remains found in the pyxis </w:t>
      </w:r>
      <w:r>
        <w:rPr>
          <w:color w:val="000000"/>
        </w:rPr>
        <w:t>in</w:t>
      </w:r>
      <w:r w:rsidRPr="00D6101B">
        <w:rPr>
          <w:color w:val="000000"/>
        </w:rPr>
        <w:t xml:space="preserve"> </w:t>
      </w:r>
      <w:r>
        <w:rPr>
          <w:color w:val="000000"/>
        </w:rPr>
        <w:t>T</w:t>
      </w:r>
      <w:r w:rsidRPr="00D6101B">
        <w:rPr>
          <w:color w:val="000000"/>
        </w:rPr>
        <w:t>omb 13, which ha</w:t>
      </w:r>
      <w:r>
        <w:rPr>
          <w:color w:val="000000"/>
        </w:rPr>
        <w:t>s</w:t>
      </w:r>
      <w:r w:rsidRPr="00D6101B">
        <w:rPr>
          <w:color w:val="000000"/>
        </w:rPr>
        <w:t xml:space="preserve"> been interpreted as </w:t>
      </w:r>
      <w:r>
        <w:rPr>
          <w:color w:val="000000"/>
        </w:rPr>
        <w:t>a</w:t>
      </w:r>
      <w:r w:rsidRPr="00D6101B">
        <w:rPr>
          <w:color w:val="000000"/>
        </w:rPr>
        <w:t xml:space="preserve"> sign of the distinct position of the individual buried there within the cemetery and</w:t>
      </w:r>
      <w:r>
        <w:rPr>
          <w:color w:val="000000"/>
        </w:rPr>
        <w:t>,</w:t>
      </w:r>
      <w:r w:rsidRPr="00D6101B">
        <w:rPr>
          <w:color w:val="000000"/>
        </w:rPr>
        <w:t xml:space="preserve"> consequently</w:t>
      </w:r>
      <w:r>
        <w:rPr>
          <w:color w:val="000000"/>
        </w:rPr>
        <w:t>,</w:t>
      </w:r>
      <w:r w:rsidRPr="00D6101B">
        <w:rPr>
          <w:color w:val="000000"/>
        </w:rPr>
        <w:t xml:space="preserve"> the community (Triantaphyllou 2011: 15). The lack of chi</w:t>
      </w:r>
      <w:r>
        <w:rPr>
          <w:color w:val="000000"/>
        </w:rPr>
        <w:t>l</w:t>
      </w:r>
      <w:r w:rsidRPr="00D6101B">
        <w:rPr>
          <w:color w:val="000000"/>
        </w:rPr>
        <w:t xml:space="preserve">d/infant burials in </w:t>
      </w:r>
      <w:r>
        <w:rPr>
          <w:color w:val="000000"/>
        </w:rPr>
        <w:t xml:space="preserve">the </w:t>
      </w:r>
      <w:r w:rsidRPr="00D6101B">
        <w:rPr>
          <w:color w:val="000000"/>
        </w:rPr>
        <w:t>tomb with</w:t>
      </w:r>
      <w:r>
        <w:rPr>
          <w:color w:val="000000"/>
        </w:rPr>
        <w:t xml:space="preserve"> larnakes at Mochlos is consistent</w:t>
      </w:r>
      <w:r w:rsidRPr="00D6101B">
        <w:rPr>
          <w:color w:val="000000"/>
        </w:rPr>
        <w:t xml:space="preserve"> with the general data from the cemetery</w:t>
      </w:r>
      <w:r>
        <w:rPr>
          <w:color w:val="000000"/>
        </w:rPr>
        <w:t>,</w:t>
      </w:r>
      <w:r w:rsidRPr="00D6101B">
        <w:rPr>
          <w:color w:val="000000"/>
        </w:rPr>
        <w:t xml:space="preserve"> where individual</w:t>
      </w:r>
      <w:r>
        <w:rPr>
          <w:color w:val="000000"/>
        </w:rPr>
        <w:t>s</w:t>
      </w:r>
      <w:r w:rsidRPr="00D6101B">
        <w:rPr>
          <w:color w:val="000000"/>
        </w:rPr>
        <w:t xml:space="preserve"> under the age of 12 are not well represented in general (Triantaphyllou 2011: 15).</w:t>
      </w:r>
    </w:p>
    <w:p w14:paraId="638F2A42"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 xml:space="preserve">Larnax depositions at Palaikastro </w:t>
      </w:r>
      <w:r>
        <w:rPr>
          <w:color w:val="000000"/>
        </w:rPr>
        <w:t>indicate</w:t>
      </w:r>
      <w:r w:rsidRPr="00D6101B">
        <w:rPr>
          <w:color w:val="000000"/>
        </w:rPr>
        <w:t xml:space="preserve"> a burial practice peculiar to the site</w:t>
      </w:r>
      <w:r>
        <w:rPr>
          <w:color w:val="000000"/>
        </w:rPr>
        <w:t>:</w:t>
      </w:r>
      <w:r w:rsidRPr="00D6101B">
        <w:rPr>
          <w:color w:val="000000"/>
        </w:rPr>
        <w:t xml:space="preserve"> </w:t>
      </w:r>
      <w:r>
        <w:rPr>
          <w:color w:val="000000"/>
        </w:rPr>
        <w:t>a custom</w:t>
      </w:r>
      <w:r w:rsidRPr="00D6101B">
        <w:rPr>
          <w:color w:val="000000"/>
        </w:rPr>
        <w:t xml:space="preserve"> of covering a larnax burial with another larnax or larnax fragments (Palaikastro Agia Triada: Bosanquet 190</w:t>
      </w:r>
      <w:r>
        <w:rPr>
          <w:color w:val="000000"/>
        </w:rPr>
        <w:t>1-</w:t>
      </w:r>
      <w:r w:rsidRPr="00D6101B">
        <w:rPr>
          <w:color w:val="000000"/>
        </w:rPr>
        <w:t>2</w:t>
      </w:r>
      <w:r>
        <w:rPr>
          <w:color w:val="000000"/>
        </w:rPr>
        <w:t>b</w:t>
      </w:r>
      <w:r w:rsidRPr="00D6101B">
        <w:rPr>
          <w:color w:val="000000"/>
        </w:rPr>
        <w:t>: 297-302; Palaikastro Aspa: Currelly 1903-1904: 227-231</w:t>
      </w:r>
      <w:r>
        <w:rPr>
          <w:color w:val="000000"/>
        </w:rPr>
        <w:t>).</w:t>
      </w:r>
    </w:p>
    <w:p w14:paraId="06551327"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 xml:space="preserve">Information about gender and age </w:t>
      </w:r>
      <w:r>
        <w:rPr>
          <w:color w:val="000000"/>
        </w:rPr>
        <w:t>is</w:t>
      </w:r>
      <w:r w:rsidRPr="00D6101B">
        <w:rPr>
          <w:color w:val="000000"/>
        </w:rPr>
        <w:t xml:space="preserve"> available for a good number of tombs, although </w:t>
      </w:r>
      <w:r>
        <w:rPr>
          <w:color w:val="000000"/>
        </w:rPr>
        <w:t>regarding</w:t>
      </w:r>
      <w:r w:rsidRPr="00D6101B">
        <w:rPr>
          <w:color w:val="000000"/>
        </w:rPr>
        <w:t xml:space="preserve"> the percentage of skeletal remains for which information about gender and age is available</w:t>
      </w:r>
      <w:r>
        <w:rPr>
          <w:color w:val="000000"/>
        </w:rPr>
        <w:t>,</w:t>
      </w:r>
      <w:r w:rsidRPr="00D6101B">
        <w:rPr>
          <w:color w:val="000000"/>
        </w:rPr>
        <w:t xml:space="preserve"> the sample shrinks</w:t>
      </w:r>
      <w:r>
        <w:rPr>
          <w:color w:val="000000"/>
        </w:rPr>
        <w:t xml:space="preserve"> to approximately </w:t>
      </w:r>
      <w:r w:rsidRPr="00D6101B">
        <w:rPr>
          <w:color w:val="000000"/>
        </w:rPr>
        <w:t>25% of the skeletal remains</w:t>
      </w:r>
      <w:r>
        <w:rPr>
          <w:color w:val="000000"/>
        </w:rPr>
        <w:t xml:space="preserve"> </w:t>
      </w:r>
      <w:r w:rsidRPr="00D6101B">
        <w:rPr>
          <w:color w:val="000000"/>
        </w:rPr>
        <w:t xml:space="preserve">(Achladia, Mochlos Limenaria, Myrsini, Palaikastro, Praisos Fotoula). </w:t>
      </w:r>
      <w:r>
        <w:rPr>
          <w:color w:val="000000"/>
        </w:rPr>
        <w:t>However,</w:t>
      </w:r>
      <w:r w:rsidRPr="00D6101B">
        <w:rPr>
          <w:color w:val="000000"/>
        </w:rPr>
        <w:t xml:space="preserve"> information about gender and age </w:t>
      </w:r>
      <w:r>
        <w:rPr>
          <w:color w:val="000000"/>
        </w:rPr>
        <w:t>is</w:t>
      </w:r>
      <w:r w:rsidRPr="00D6101B">
        <w:rPr>
          <w:color w:val="000000"/>
        </w:rPr>
        <w:t xml:space="preserve"> not available for all the tombs with larnakes </w:t>
      </w:r>
      <w:r>
        <w:rPr>
          <w:color w:val="000000"/>
        </w:rPr>
        <w:t>in</w:t>
      </w:r>
      <w:r w:rsidRPr="00D6101B">
        <w:rPr>
          <w:color w:val="000000"/>
        </w:rPr>
        <w:t xml:space="preserve"> these cemeteries</w:t>
      </w:r>
      <w:r>
        <w:rPr>
          <w:color w:val="000000"/>
        </w:rPr>
        <w:t>, nor</w:t>
      </w:r>
      <w:r w:rsidRPr="00D6101B">
        <w:rPr>
          <w:color w:val="000000"/>
        </w:rPr>
        <w:t xml:space="preserve"> for all the skeletal remains found in these tombs. Furthermore, usually only information </w:t>
      </w:r>
      <w:r>
        <w:rPr>
          <w:color w:val="000000"/>
        </w:rPr>
        <w:t xml:space="preserve">about either gender or age </w:t>
      </w:r>
      <w:r w:rsidRPr="00D6101B">
        <w:rPr>
          <w:color w:val="000000"/>
        </w:rPr>
        <w:t>is available (i.e. only the gender is given and not the age</w:t>
      </w:r>
      <w:r>
        <w:rPr>
          <w:color w:val="000000"/>
        </w:rPr>
        <w:t>,</w:t>
      </w:r>
      <w:r w:rsidRPr="00D6101B">
        <w:rPr>
          <w:color w:val="000000"/>
        </w:rPr>
        <w:t xml:space="preserve"> or</w:t>
      </w:r>
      <w:r>
        <w:rPr>
          <w:color w:val="000000"/>
        </w:rPr>
        <w:t>,</w:t>
      </w:r>
      <w:r w:rsidRPr="00D6101B">
        <w:rPr>
          <w:color w:val="000000"/>
        </w:rPr>
        <w:t xml:space="preserve"> in the specific case of this region</w:t>
      </w:r>
      <w:r>
        <w:rPr>
          <w:color w:val="000000"/>
        </w:rPr>
        <w:t>,</w:t>
      </w:r>
      <w:r w:rsidRPr="00D6101B">
        <w:rPr>
          <w:color w:val="000000"/>
        </w:rPr>
        <w:t xml:space="preserve"> the opposite).</w:t>
      </w:r>
    </w:p>
    <w:p w14:paraId="08CC653C" w14:textId="77777777" w:rsidR="001A4F1A" w:rsidRPr="00D6101B" w:rsidRDefault="001A4F1A" w:rsidP="00E858EF">
      <w:pPr>
        <w:suppressAutoHyphens/>
        <w:autoSpaceDE w:val="0"/>
        <w:autoSpaceDN w:val="0"/>
        <w:adjustRightInd w:val="0"/>
        <w:rPr>
          <w:color w:val="000000"/>
        </w:rPr>
      </w:pPr>
      <w:r>
        <w:rPr>
          <w:color w:val="000000"/>
        </w:rPr>
        <w:tab/>
      </w:r>
      <w:r w:rsidRPr="00D6101B">
        <w:rPr>
          <w:color w:val="000000"/>
        </w:rPr>
        <w:t>It is worth noti</w:t>
      </w:r>
      <w:r>
        <w:rPr>
          <w:color w:val="000000"/>
        </w:rPr>
        <w:t>ng</w:t>
      </w:r>
      <w:r w:rsidRPr="00D6101B">
        <w:rPr>
          <w:color w:val="000000"/>
        </w:rPr>
        <w:t xml:space="preserve"> that even the data retrieved from a well-studied and published cemetery </w:t>
      </w:r>
      <w:r>
        <w:rPr>
          <w:color w:val="000000"/>
        </w:rPr>
        <w:t>such</w:t>
      </w:r>
      <w:r w:rsidRPr="00D6101B">
        <w:rPr>
          <w:color w:val="000000"/>
        </w:rPr>
        <w:t xml:space="preserve"> </w:t>
      </w:r>
      <w:r>
        <w:rPr>
          <w:color w:val="000000"/>
        </w:rPr>
        <w:t xml:space="preserve">as </w:t>
      </w:r>
      <w:r w:rsidRPr="00D6101B">
        <w:rPr>
          <w:color w:val="000000"/>
        </w:rPr>
        <w:t xml:space="preserve">Mochlos Limenaria presents only partial information and results due to disruption activities (e.g. external factors </w:t>
      </w:r>
      <w:r>
        <w:rPr>
          <w:color w:val="000000"/>
        </w:rPr>
        <w:t>such as</w:t>
      </w:r>
      <w:r w:rsidRPr="00D6101B">
        <w:rPr>
          <w:color w:val="000000"/>
        </w:rPr>
        <w:t xml:space="preserve"> rodent activity).</w:t>
      </w:r>
      <w:r>
        <w:rPr>
          <w:color w:val="000000"/>
        </w:rPr>
        <w:t xml:space="preserve"> </w:t>
      </w:r>
      <w:r w:rsidRPr="00D6101B">
        <w:rPr>
          <w:color w:val="000000"/>
        </w:rPr>
        <w:t>The best tombs in terms of skeletal remains data available</w:t>
      </w:r>
      <w:r>
        <w:rPr>
          <w:color w:val="000000"/>
        </w:rPr>
        <w:t xml:space="preserve"> are </w:t>
      </w:r>
      <w:r w:rsidRPr="00D6101B">
        <w:rPr>
          <w:color w:val="000000"/>
        </w:rPr>
        <w:t>the following:</w:t>
      </w:r>
    </w:p>
    <w:p w14:paraId="24546CC4" w14:textId="77777777" w:rsidR="001A4F1A" w:rsidRPr="00D6101B" w:rsidRDefault="001A4F1A" w:rsidP="00E858EF">
      <w:pPr>
        <w:pStyle w:val="Paragrafoelenco"/>
        <w:numPr>
          <w:ilvl w:val="0"/>
          <w:numId w:val="42"/>
        </w:numPr>
        <w:suppressAutoHyphens/>
        <w:autoSpaceDE w:val="0"/>
        <w:autoSpaceDN w:val="0"/>
        <w:adjustRightInd w:val="0"/>
        <w:rPr>
          <w:color w:val="000000"/>
        </w:rPr>
      </w:pPr>
      <w:r>
        <w:rPr>
          <w:color w:val="000000"/>
        </w:rPr>
        <w:t>A c</w:t>
      </w:r>
      <w:r w:rsidRPr="00D6101B">
        <w:rPr>
          <w:color w:val="000000"/>
        </w:rPr>
        <w:t>orbel</w:t>
      </w:r>
      <w:r>
        <w:rPr>
          <w:color w:val="000000"/>
        </w:rPr>
        <w:t>-v</w:t>
      </w:r>
      <w:r w:rsidRPr="00D6101B">
        <w:rPr>
          <w:color w:val="000000"/>
        </w:rPr>
        <w:t>aulted tomb at Achladia</w:t>
      </w:r>
    </w:p>
    <w:p w14:paraId="55DD56FF" w14:textId="77777777" w:rsidR="001A4F1A" w:rsidRPr="00D6101B" w:rsidRDefault="001A4F1A" w:rsidP="00E858EF">
      <w:pPr>
        <w:pStyle w:val="Paragrafoelenco"/>
        <w:numPr>
          <w:ilvl w:val="0"/>
          <w:numId w:val="42"/>
        </w:numPr>
        <w:suppressAutoHyphens/>
        <w:autoSpaceDE w:val="0"/>
        <w:autoSpaceDN w:val="0"/>
        <w:adjustRightInd w:val="0"/>
        <w:rPr>
          <w:color w:val="000000"/>
        </w:rPr>
      </w:pPr>
      <w:r w:rsidRPr="00D6101B">
        <w:rPr>
          <w:color w:val="000000"/>
        </w:rPr>
        <w:t>Mochlos Limenaria chamber tombs 1, 2, 10, 11, 13, 15, 30</w:t>
      </w:r>
    </w:p>
    <w:p w14:paraId="275F4C88" w14:textId="77777777" w:rsidR="001A4F1A" w:rsidRPr="00D6101B" w:rsidRDefault="001A4F1A" w:rsidP="00E858EF">
      <w:pPr>
        <w:pStyle w:val="Paragrafoelenco"/>
        <w:numPr>
          <w:ilvl w:val="0"/>
          <w:numId w:val="42"/>
        </w:numPr>
        <w:suppressAutoHyphens/>
        <w:autoSpaceDE w:val="0"/>
        <w:autoSpaceDN w:val="0"/>
        <w:adjustRightInd w:val="0"/>
        <w:rPr>
          <w:color w:val="000000"/>
        </w:rPr>
      </w:pPr>
      <w:r w:rsidRPr="00D6101B">
        <w:rPr>
          <w:color w:val="000000"/>
        </w:rPr>
        <w:t>Myrsini chamber tombs beta, epsilon, theta</w:t>
      </w:r>
    </w:p>
    <w:p w14:paraId="0E07B35C" w14:textId="77777777" w:rsidR="001A4F1A" w:rsidRPr="00D6101B" w:rsidRDefault="001A4F1A" w:rsidP="00E858EF">
      <w:pPr>
        <w:pStyle w:val="Paragrafoelenco"/>
        <w:numPr>
          <w:ilvl w:val="0"/>
          <w:numId w:val="42"/>
        </w:numPr>
        <w:suppressAutoHyphens/>
        <w:autoSpaceDE w:val="0"/>
        <w:autoSpaceDN w:val="0"/>
        <w:adjustRightInd w:val="0"/>
        <w:rPr>
          <w:color w:val="000000"/>
        </w:rPr>
      </w:pPr>
      <w:r w:rsidRPr="00D6101B">
        <w:rPr>
          <w:color w:val="000000"/>
        </w:rPr>
        <w:t>Palaikastro: Kastri Chionas, Sarandari (larnakes beta, delta, gamma)</w:t>
      </w:r>
    </w:p>
    <w:p w14:paraId="58787B81" w14:textId="77777777" w:rsidR="001A4F1A" w:rsidRDefault="001A4F1A" w:rsidP="00E858EF">
      <w:pPr>
        <w:pStyle w:val="Paragrafoelenco"/>
        <w:numPr>
          <w:ilvl w:val="0"/>
          <w:numId w:val="42"/>
        </w:numPr>
        <w:suppressAutoHyphens/>
        <w:autoSpaceDE w:val="0"/>
        <w:autoSpaceDN w:val="0"/>
        <w:adjustRightInd w:val="0"/>
        <w:rPr>
          <w:color w:val="000000"/>
        </w:rPr>
      </w:pPr>
      <w:r>
        <w:rPr>
          <w:color w:val="000000"/>
        </w:rPr>
        <w:t>A c</w:t>
      </w:r>
      <w:r w:rsidRPr="00D6101B">
        <w:rPr>
          <w:color w:val="000000"/>
        </w:rPr>
        <w:t>orbel</w:t>
      </w:r>
      <w:r>
        <w:rPr>
          <w:color w:val="000000"/>
        </w:rPr>
        <w:t>-</w:t>
      </w:r>
      <w:r w:rsidRPr="00D6101B">
        <w:rPr>
          <w:color w:val="000000"/>
        </w:rPr>
        <w:t>vaulted tomb at Praisos Fotoula</w:t>
      </w:r>
    </w:p>
    <w:p w14:paraId="6DA096B4" w14:textId="323CB8FD" w:rsidR="001A4F1A" w:rsidRPr="004F759B" w:rsidRDefault="001A4F1A" w:rsidP="00E858EF">
      <w:pPr>
        <w:pStyle w:val="Titolo3"/>
        <w:keepNext w:val="0"/>
        <w:keepLines w:val="0"/>
        <w:suppressAutoHyphens/>
      </w:pPr>
      <w:bookmarkStart w:id="770" w:name="_Toc519894657"/>
      <w:r w:rsidRPr="004F759B">
        <w:t>Skeletal remains conclusions</w:t>
      </w:r>
      <w:bookmarkEnd w:id="770"/>
    </w:p>
    <w:p w14:paraId="44C26862" w14:textId="77777777" w:rsidR="001A4F1A" w:rsidRDefault="001A4F1A" w:rsidP="00E858EF">
      <w:pPr>
        <w:suppressAutoHyphens/>
      </w:pPr>
      <w:r>
        <w:t>Despite the significant data limits affecting the information regarding skeletal remains in LM III burials, from the regional distribution of data concerning deposition practices and skeletal remains in tombs with larnakes, the following patterns emerge:</w:t>
      </w:r>
    </w:p>
    <w:p w14:paraId="712B4E24" w14:textId="77777777" w:rsidR="001A4F1A" w:rsidRDefault="001A4F1A" w:rsidP="00E858EF">
      <w:pPr>
        <w:pStyle w:val="Paragrafoelenco"/>
        <w:numPr>
          <w:ilvl w:val="0"/>
          <w:numId w:val="74"/>
        </w:numPr>
        <w:suppressAutoHyphens/>
      </w:pPr>
      <w:r>
        <w:t>Regarding other interment methods associated in the same tomb with larnakes, generally larnakes are the only burial receptacle adopted within a tomb. The most frequent other interment method associated with larnakes is floor burials (although there are data limits to consider: deposition on the floor could, instead of being genuine primary depositions, be secondary burials, consequently, a way of reusing larnakes; furthermore, we are not certain that when they are reported as primary floor depositions they are actually floor depositions and not wooden biers/chests that have not been properly excavated and, thus, not detected).</w:t>
      </w:r>
    </w:p>
    <w:p w14:paraId="2561B36A" w14:textId="77777777" w:rsidR="001A4F1A" w:rsidRDefault="001A4F1A" w:rsidP="00E858EF">
      <w:pPr>
        <w:pStyle w:val="Paragrafoelenco"/>
        <w:numPr>
          <w:ilvl w:val="0"/>
          <w:numId w:val="74"/>
        </w:numPr>
        <w:suppressAutoHyphens/>
      </w:pPr>
      <w:r w:rsidRPr="005B5E23">
        <w:t>Tomb with larnakes and larnakes the</w:t>
      </w:r>
      <w:r>
        <w:t>mselves are often reused and probably belong to small groups (family groups)</w:t>
      </w:r>
      <w:r w:rsidRPr="005B5E23">
        <w:t>.</w:t>
      </w:r>
      <w:r>
        <w:t xml:space="preserve"> However, the ‘intensity’ of the reuse varies throughout the regions (e.g. more intensive reuse in the Mesara area, less intensive reused in the Mid-East area). Furthermore, it is possible to isolate cemeteries where larnakes seem to have stronger connection with individuals (i.e. the individuality of the deceased buried in the larnax is more respected, e.g. Maroulas, Mochlos, Elounda).</w:t>
      </w:r>
    </w:p>
    <w:p w14:paraId="302CB88F" w14:textId="77777777" w:rsidR="001A4F1A" w:rsidRDefault="001A4F1A" w:rsidP="00E858EF">
      <w:pPr>
        <w:pStyle w:val="Paragrafoelenco"/>
        <w:numPr>
          <w:ilvl w:val="0"/>
          <w:numId w:val="74"/>
        </w:numPr>
        <w:suppressAutoHyphens/>
      </w:pPr>
      <w:r>
        <w:t>It has not been possible to detect a standard way of reusing a larnax. Consequently, understanding which mortuary practices are linked to body manipulation adopted for reusing a tomb with larnakes (probably there are many and they change locally) is difficult. However, it has been possible to isolate the occurrence of local customs (e.g. in Knossos new burials were introduced by ‘adding’ larnakes or other interments to the already existing ones within the tomb; e.g. ‘breaking larnakes’ and adding new ones at Lower Gypsades and Mavro Spelio).</w:t>
      </w:r>
    </w:p>
    <w:p w14:paraId="3EB111A1" w14:textId="77777777" w:rsidR="001A4F1A" w:rsidRPr="005B5E23" w:rsidRDefault="001A4F1A" w:rsidP="00E858EF">
      <w:pPr>
        <w:pStyle w:val="Paragrafoelenco"/>
        <w:numPr>
          <w:ilvl w:val="0"/>
          <w:numId w:val="74"/>
        </w:numPr>
        <w:suppressAutoHyphens/>
      </w:pPr>
      <w:r>
        <w:t>The sample of skeletal remains associated with larnakes for which there is information about gender and/or age is very scarce and does not reveal any particular association between a certain larnax type and a specific gender or age.</w:t>
      </w:r>
    </w:p>
    <w:p w14:paraId="13187725" w14:textId="52A34077" w:rsidR="001A4F1A" w:rsidRPr="004F759B" w:rsidRDefault="00DD5369" w:rsidP="005C07D3">
      <w:pPr>
        <w:pStyle w:val="Titolo2"/>
        <w:rPr>
          <w:u w:val="single"/>
        </w:rPr>
      </w:pPr>
      <w:bookmarkStart w:id="771" w:name="_Toc389508239"/>
      <w:bookmarkStart w:id="772" w:name="_Toc517745319"/>
      <w:bookmarkStart w:id="773" w:name="_Toc519894658"/>
      <w:r w:rsidRPr="00F6605C">
        <w:t>Grave goods assemblage analysis</w:t>
      </w:r>
      <w:bookmarkEnd w:id="771"/>
      <w:bookmarkEnd w:id="772"/>
      <w:bookmarkEnd w:id="773"/>
      <w:r w:rsidRPr="00F6605C">
        <w:t xml:space="preserve"> </w:t>
      </w:r>
    </w:p>
    <w:p w14:paraId="2C9F7439" w14:textId="77777777" w:rsidR="001A4F1A" w:rsidRPr="00D6101B" w:rsidRDefault="001A4F1A" w:rsidP="00E858EF">
      <w:pPr>
        <w:pStyle w:val="Titolo3"/>
        <w:keepNext w:val="0"/>
        <w:keepLines w:val="0"/>
        <w:suppressAutoHyphens/>
      </w:pPr>
      <w:bookmarkStart w:id="774" w:name="_Toc389508240"/>
      <w:bookmarkStart w:id="775" w:name="_Toc517745320"/>
      <w:bookmarkStart w:id="776" w:name="_Toc519894659"/>
      <w:r w:rsidRPr="00D6101B">
        <w:t>Methodology</w:t>
      </w:r>
      <w:bookmarkEnd w:id="774"/>
      <w:bookmarkEnd w:id="775"/>
      <w:bookmarkEnd w:id="776"/>
    </w:p>
    <w:p w14:paraId="7C3A87DE"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In this section</w:t>
      </w:r>
      <w:r>
        <w:rPr>
          <w:color w:val="000000"/>
        </w:rPr>
        <w:t>,</w:t>
      </w:r>
      <w:r w:rsidRPr="00D6101B">
        <w:rPr>
          <w:color w:val="000000"/>
        </w:rPr>
        <w:t xml:space="preserve"> analysis of the</w:t>
      </w:r>
      <w:r>
        <w:rPr>
          <w:color w:val="000000"/>
        </w:rPr>
        <w:t xml:space="preserve"> grave goods</w:t>
      </w:r>
      <w:r w:rsidRPr="00D6101B">
        <w:rPr>
          <w:color w:val="000000"/>
        </w:rPr>
        <w:t xml:space="preserve"> assemblage composition concerning the sample of secure tombs with larna</w:t>
      </w:r>
      <w:r>
        <w:rPr>
          <w:color w:val="000000"/>
        </w:rPr>
        <w:t>x</w:t>
      </w:r>
      <w:r w:rsidRPr="00D6101B">
        <w:rPr>
          <w:color w:val="000000"/>
        </w:rPr>
        <w:t xml:space="preserve"> burial</w:t>
      </w:r>
      <w:r>
        <w:rPr>
          <w:color w:val="000000"/>
        </w:rPr>
        <w:t>s</w:t>
      </w:r>
      <w:r w:rsidRPr="00D6101B">
        <w:rPr>
          <w:color w:val="000000"/>
        </w:rPr>
        <w:t xml:space="preserve"> </w:t>
      </w:r>
      <w:r>
        <w:rPr>
          <w:color w:val="000000"/>
        </w:rPr>
        <w:t>based on</w:t>
      </w:r>
      <w:r w:rsidRPr="00D6101B">
        <w:rPr>
          <w:color w:val="000000"/>
        </w:rPr>
        <w:t xml:space="preserve"> their regional distribution</w:t>
      </w:r>
      <w:r>
        <w:rPr>
          <w:color w:val="000000"/>
        </w:rPr>
        <w:t xml:space="preserve"> is conducted</w:t>
      </w:r>
      <w:r w:rsidRPr="00D6101B">
        <w:rPr>
          <w:color w:val="000000"/>
        </w:rPr>
        <w:t xml:space="preserve">. The sample does not </w:t>
      </w:r>
      <w:r>
        <w:rPr>
          <w:color w:val="000000"/>
        </w:rPr>
        <w:t>comprise</w:t>
      </w:r>
      <w:r w:rsidRPr="00D6101B">
        <w:rPr>
          <w:color w:val="000000"/>
        </w:rPr>
        <w:t xml:space="preserve"> all the secure tombs with larnakes for each region, but consists </w:t>
      </w:r>
      <w:r>
        <w:rPr>
          <w:color w:val="000000"/>
        </w:rPr>
        <w:t>of the</w:t>
      </w:r>
      <w:r w:rsidRPr="00D6101B">
        <w:rPr>
          <w:color w:val="000000"/>
        </w:rPr>
        <w:t xml:space="preserve"> tombs for which informa</w:t>
      </w:r>
      <w:r>
        <w:rPr>
          <w:color w:val="000000"/>
        </w:rPr>
        <w:t>tion about grave goods</w:t>
      </w:r>
      <w:r w:rsidRPr="00D6101B">
        <w:rPr>
          <w:color w:val="000000"/>
        </w:rPr>
        <w:t xml:space="preserve"> </w:t>
      </w:r>
      <w:r>
        <w:rPr>
          <w:color w:val="000000"/>
        </w:rPr>
        <w:t>is</w:t>
      </w:r>
      <w:r w:rsidRPr="00D6101B">
        <w:rPr>
          <w:color w:val="000000"/>
        </w:rPr>
        <w:t xml:space="preserve"> available. </w:t>
      </w:r>
    </w:p>
    <w:p w14:paraId="6C7B55B1"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D6101B">
        <w:rPr>
          <w:color w:val="000000"/>
        </w:rPr>
        <w:t>The analysis follow</w:t>
      </w:r>
      <w:r>
        <w:rPr>
          <w:color w:val="000000"/>
        </w:rPr>
        <w:t>s</w:t>
      </w:r>
      <w:r w:rsidRPr="00D6101B">
        <w:rPr>
          <w:color w:val="000000"/>
        </w:rPr>
        <w:t xml:space="preserve"> the regional division</w:t>
      </w:r>
      <w:r>
        <w:rPr>
          <w:color w:val="000000"/>
        </w:rPr>
        <w:t>s</w:t>
      </w:r>
      <w:r w:rsidRPr="00D6101B">
        <w:rPr>
          <w:color w:val="000000"/>
        </w:rPr>
        <w:t xml:space="preserve"> and </w:t>
      </w:r>
      <w:r>
        <w:rPr>
          <w:color w:val="000000"/>
        </w:rPr>
        <w:t>is</w:t>
      </w:r>
      <w:r w:rsidRPr="00D6101B">
        <w:rPr>
          <w:color w:val="000000"/>
        </w:rPr>
        <w:t xml:space="preserve"> divided in</w:t>
      </w:r>
      <w:r>
        <w:rPr>
          <w:color w:val="000000"/>
        </w:rPr>
        <w:t>to the following</w:t>
      </w:r>
      <w:r w:rsidRPr="00D6101B">
        <w:rPr>
          <w:color w:val="000000"/>
        </w:rPr>
        <w:t xml:space="preserve"> three main </w:t>
      </w:r>
      <w:r>
        <w:rPr>
          <w:color w:val="000000"/>
        </w:rPr>
        <w:t>sections.</w:t>
      </w:r>
    </w:p>
    <w:p w14:paraId="529365DB" w14:textId="77777777" w:rsidR="001A4F1A" w:rsidRPr="00D6101B" w:rsidRDefault="001A4F1A" w:rsidP="00E858EF">
      <w:pPr>
        <w:pStyle w:val="Paragrafoelenco"/>
        <w:numPr>
          <w:ilvl w:val="0"/>
          <w:numId w:val="7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 xml:space="preserve"> </w:t>
      </w:r>
      <w:r w:rsidRPr="00D6101B">
        <w:rPr>
          <w:color w:val="000000"/>
        </w:rPr>
        <w:t xml:space="preserve">Material type occurrence: the occurrence of the following materials </w:t>
      </w:r>
      <w:r>
        <w:rPr>
          <w:color w:val="000000"/>
        </w:rPr>
        <w:t>is</w:t>
      </w:r>
      <w:r w:rsidRPr="00D6101B">
        <w:rPr>
          <w:color w:val="000000"/>
        </w:rPr>
        <w:t xml:space="preserve"> attested within the grave good</w:t>
      </w:r>
      <w:r>
        <w:rPr>
          <w:color w:val="000000"/>
        </w:rPr>
        <w:t>s</w:t>
      </w:r>
      <w:r w:rsidRPr="00D6101B">
        <w:rPr>
          <w:color w:val="000000"/>
        </w:rPr>
        <w:t xml:space="preserve"> assemblage</w:t>
      </w:r>
      <w:r>
        <w:rPr>
          <w:color w:val="000000"/>
        </w:rPr>
        <w:t>s</w:t>
      </w:r>
      <w:r w:rsidRPr="00D6101B">
        <w:rPr>
          <w:color w:val="000000"/>
        </w:rPr>
        <w:t xml:space="preserve"> of tomb</w:t>
      </w:r>
      <w:r>
        <w:rPr>
          <w:color w:val="000000"/>
        </w:rPr>
        <w:t>s</w:t>
      </w:r>
      <w:r w:rsidRPr="00D6101B">
        <w:rPr>
          <w:color w:val="000000"/>
        </w:rPr>
        <w:t xml:space="preserve"> with larnakes (from Preston 2000: </w:t>
      </w:r>
      <w:r>
        <w:rPr>
          <w:color w:val="000000"/>
        </w:rPr>
        <w:t>A</w:t>
      </w:r>
      <w:r w:rsidRPr="00D6101B">
        <w:rPr>
          <w:color w:val="000000"/>
        </w:rPr>
        <w:t>ppendix L):</w:t>
      </w:r>
    </w:p>
    <w:p w14:paraId="7BB75474" w14:textId="77777777" w:rsidR="001A4F1A" w:rsidRPr="00D6101B" w:rsidRDefault="001A4F1A" w:rsidP="00E858EF">
      <w:pPr>
        <w:pStyle w:val="Paragrafoelenco"/>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Amber</w:t>
      </w:r>
    </w:p>
    <w:p w14:paraId="432FD46F" w14:textId="77777777" w:rsidR="001A4F1A" w:rsidRPr="00D6101B" w:rsidRDefault="001A4F1A" w:rsidP="00E858EF">
      <w:pPr>
        <w:pStyle w:val="Paragrafoelenco"/>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Bone</w:t>
      </w:r>
    </w:p>
    <w:p w14:paraId="1CF58E8D" w14:textId="77777777" w:rsidR="001A4F1A" w:rsidRPr="00D6101B" w:rsidRDefault="001A4F1A" w:rsidP="00E858EF">
      <w:pPr>
        <w:pStyle w:val="Paragrafoelenco"/>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Bronze</w:t>
      </w:r>
    </w:p>
    <w:p w14:paraId="136A841A" w14:textId="77777777" w:rsidR="001A4F1A" w:rsidRPr="00D6101B" w:rsidRDefault="001A4F1A" w:rsidP="00E858EF">
      <w:pPr>
        <w:pStyle w:val="Paragrafoelenco"/>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Ceramic</w:t>
      </w:r>
    </w:p>
    <w:p w14:paraId="785A9ADB" w14:textId="77777777" w:rsidR="001A4F1A" w:rsidRPr="00D6101B" w:rsidRDefault="001A4F1A" w:rsidP="00E858EF">
      <w:pPr>
        <w:pStyle w:val="Paragrafoelenco"/>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Faience</w:t>
      </w:r>
    </w:p>
    <w:p w14:paraId="46F3B35A" w14:textId="77777777" w:rsidR="001A4F1A" w:rsidRPr="00D6101B" w:rsidRDefault="001A4F1A" w:rsidP="00E858EF">
      <w:pPr>
        <w:pStyle w:val="Paragrafoelenco"/>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Glass</w:t>
      </w:r>
    </w:p>
    <w:p w14:paraId="0E345DD6" w14:textId="77777777" w:rsidR="001A4F1A" w:rsidRPr="00D6101B" w:rsidRDefault="001A4F1A" w:rsidP="00E858EF">
      <w:pPr>
        <w:pStyle w:val="Paragrafoelenco"/>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Gold</w:t>
      </w:r>
    </w:p>
    <w:p w14:paraId="0A00A1ED" w14:textId="77777777" w:rsidR="001A4F1A" w:rsidRPr="00D6101B" w:rsidRDefault="001A4F1A" w:rsidP="00E858EF">
      <w:pPr>
        <w:pStyle w:val="Paragrafoelenco"/>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Iron </w:t>
      </w:r>
    </w:p>
    <w:p w14:paraId="5550CA00" w14:textId="77777777" w:rsidR="001A4F1A" w:rsidRPr="00D6101B" w:rsidRDefault="001A4F1A" w:rsidP="00E858EF">
      <w:pPr>
        <w:pStyle w:val="Paragrafoelenco"/>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Ivory</w:t>
      </w:r>
    </w:p>
    <w:p w14:paraId="17625817" w14:textId="77777777" w:rsidR="001A4F1A" w:rsidRPr="00D6101B" w:rsidRDefault="001A4F1A" w:rsidP="00E858EF">
      <w:pPr>
        <w:pStyle w:val="Paragrafoelenco"/>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Shell</w:t>
      </w:r>
    </w:p>
    <w:p w14:paraId="32DA2806" w14:textId="77777777" w:rsidR="001A4F1A" w:rsidRPr="00D6101B" w:rsidRDefault="001A4F1A" w:rsidP="00E858EF">
      <w:pPr>
        <w:pStyle w:val="Paragrafoelenco"/>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Silver</w:t>
      </w:r>
    </w:p>
    <w:p w14:paraId="763E3476" w14:textId="77777777" w:rsidR="001A4F1A" w:rsidRPr="00D6101B" w:rsidRDefault="001A4F1A" w:rsidP="00E858EF">
      <w:pPr>
        <w:pStyle w:val="Paragrafoelenco"/>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Stone</w:t>
      </w:r>
    </w:p>
    <w:p w14:paraId="4B6F7B3E" w14:textId="77777777" w:rsidR="001A4F1A" w:rsidRPr="00D6101B" w:rsidRDefault="001A4F1A" w:rsidP="00E858EF">
      <w:pPr>
        <w:pStyle w:val="Paragrafoelenco"/>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Wood</w:t>
      </w:r>
    </w:p>
    <w:p w14:paraId="0ED7D46A" w14:textId="77777777" w:rsidR="001A4F1A" w:rsidRPr="00D6101B" w:rsidRDefault="001A4F1A" w:rsidP="00E858EF">
      <w:pPr>
        <w:pStyle w:val="Paragrafoelenco"/>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Other</w:t>
      </w:r>
    </w:p>
    <w:p w14:paraId="08FCA6A6" w14:textId="77777777" w:rsidR="001A4F1A" w:rsidRPr="00D6101B" w:rsidRDefault="001A4F1A"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These materials a</w:t>
      </w:r>
      <w:r w:rsidRPr="00D6101B">
        <w:rPr>
          <w:color w:val="000000"/>
        </w:rPr>
        <w:t>re generally considered precious (Preston 2000; Preston 2004; Voutsaki 2012; Papadopoulou 2017)</w:t>
      </w:r>
      <w:r>
        <w:rPr>
          <w:color w:val="000000"/>
        </w:rPr>
        <w:t>.</w:t>
      </w:r>
    </w:p>
    <w:p w14:paraId="5F91F45C" w14:textId="70540923" w:rsidR="001A4F1A" w:rsidRPr="00D6101B" w:rsidRDefault="001A4F1A" w:rsidP="00E858EF">
      <w:pPr>
        <w:pStyle w:val="Paragrafoelenco"/>
        <w:numPr>
          <w:ilvl w:val="0"/>
          <w:numId w:val="7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 xml:space="preserve"> Non-ceramic</w:t>
      </w:r>
      <w:r w:rsidRPr="00D6101B">
        <w:rPr>
          <w:color w:val="000000"/>
        </w:rPr>
        <w:t xml:space="preserve"> artefacts occurrence: the occurrence and the quantity of the following object types have been attested in the grave goods assemblage</w:t>
      </w:r>
      <w:r>
        <w:rPr>
          <w:color w:val="000000"/>
        </w:rPr>
        <w:t>s</w:t>
      </w:r>
      <w:r w:rsidRPr="00D6101B">
        <w:rPr>
          <w:color w:val="000000"/>
        </w:rPr>
        <w:t xml:space="preserve"> of tombs with larnakes</w:t>
      </w:r>
      <w:r w:rsidR="00676506">
        <w:rPr>
          <w:color w:val="000000"/>
        </w:rPr>
        <w:t xml:space="preserve"> </w:t>
      </w:r>
      <w:r w:rsidRPr="00D6101B">
        <w:rPr>
          <w:color w:val="000000"/>
        </w:rPr>
        <w:t xml:space="preserve">(from Preston 2000: </w:t>
      </w:r>
      <w:r>
        <w:rPr>
          <w:color w:val="000000"/>
        </w:rPr>
        <w:t>A</w:t>
      </w:r>
      <w:r w:rsidRPr="00D6101B">
        <w:rPr>
          <w:color w:val="000000"/>
        </w:rPr>
        <w:t>ppendix M)</w:t>
      </w:r>
      <w:r w:rsidR="00E7506E">
        <w:rPr>
          <w:color w:val="000000"/>
        </w:rPr>
        <w:t xml:space="preserve">; in respect of beads, </w:t>
      </w:r>
      <w:r w:rsidR="00C5596F">
        <w:rPr>
          <w:color w:val="000000"/>
        </w:rPr>
        <w:t>the number of necklaces</w:t>
      </w:r>
      <w:r w:rsidR="00676506">
        <w:rPr>
          <w:color w:val="000000"/>
        </w:rPr>
        <w:t xml:space="preserve"> (if reconstructed) is reported</w:t>
      </w:r>
      <w:r w:rsidR="00C5596F">
        <w:rPr>
          <w:color w:val="000000"/>
        </w:rPr>
        <w:t xml:space="preserve"> instead of the number of single beads</w:t>
      </w:r>
      <w:r w:rsidR="003E73BB">
        <w:rPr>
          <w:color w:val="000000"/>
        </w:rPr>
        <w:t>:</w:t>
      </w:r>
    </w:p>
    <w:p w14:paraId="7D586740" w14:textId="77777777" w:rsidR="001A4F1A" w:rsidRPr="00D6101B" w:rsidRDefault="001A4F1A" w:rsidP="00E858EF">
      <w:pPr>
        <w:pStyle w:val="Paragrafoelenco"/>
        <w:suppressAutoHyphens/>
        <w:ind w:left="708"/>
        <w:rPr>
          <w:lang w:val="en-US"/>
        </w:rPr>
      </w:pPr>
      <w:r w:rsidRPr="00D6101B">
        <w:rPr>
          <w:lang w:val="en-US"/>
        </w:rPr>
        <w:t>Body adornment:</w:t>
      </w:r>
    </w:p>
    <w:p w14:paraId="437E0FCA" w14:textId="6A04084E" w:rsidR="001A4F1A" w:rsidRPr="00D6101B" w:rsidRDefault="001A4F1A" w:rsidP="00E858EF">
      <w:pPr>
        <w:pStyle w:val="Paragrafoelenco"/>
        <w:numPr>
          <w:ilvl w:val="0"/>
          <w:numId w:val="65"/>
        </w:numPr>
        <w:suppressAutoHyphens/>
        <w:ind w:left="1068"/>
        <w:rPr>
          <w:lang w:val="en-US"/>
        </w:rPr>
      </w:pPr>
      <w:r w:rsidRPr="00D6101B">
        <w:rPr>
          <w:lang w:val="en-US"/>
        </w:rPr>
        <w:t>Beads</w:t>
      </w:r>
      <w:r w:rsidR="00E7506E">
        <w:rPr>
          <w:lang w:val="en-US"/>
        </w:rPr>
        <w:t xml:space="preserve"> </w:t>
      </w:r>
    </w:p>
    <w:p w14:paraId="563096DE" w14:textId="77777777" w:rsidR="001A4F1A" w:rsidRPr="00D6101B" w:rsidRDefault="001A4F1A" w:rsidP="00E858EF">
      <w:pPr>
        <w:pStyle w:val="Paragrafoelenco"/>
        <w:numPr>
          <w:ilvl w:val="0"/>
          <w:numId w:val="65"/>
        </w:numPr>
        <w:suppressAutoHyphens/>
        <w:ind w:left="1068"/>
        <w:rPr>
          <w:lang w:val="en-US"/>
        </w:rPr>
      </w:pPr>
      <w:r w:rsidRPr="00D6101B">
        <w:rPr>
          <w:lang w:val="en-US"/>
        </w:rPr>
        <w:t>Rings</w:t>
      </w:r>
    </w:p>
    <w:p w14:paraId="21189E5D" w14:textId="77777777" w:rsidR="001A4F1A" w:rsidRPr="00D6101B" w:rsidRDefault="001A4F1A" w:rsidP="00E858EF">
      <w:pPr>
        <w:pStyle w:val="Paragrafoelenco"/>
        <w:numPr>
          <w:ilvl w:val="0"/>
          <w:numId w:val="65"/>
        </w:numPr>
        <w:suppressAutoHyphens/>
        <w:ind w:left="1068"/>
        <w:rPr>
          <w:lang w:val="en-US"/>
        </w:rPr>
      </w:pPr>
      <w:r w:rsidRPr="00D6101B">
        <w:rPr>
          <w:lang w:val="en-US"/>
        </w:rPr>
        <w:t>Pins</w:t>
      </w:r>
    </w:p>
    <w:p w14:paraId="488015D9" w14:textId="77777777" w:rsidR="001A4F1A" w:rsidRPr="00D6101B" w:rsidRDefault="001A4F1A" w:rsidP="00E858EF">
      <w:pPr>
        <w:pStyle w:val="Paragrafoelenco"/>
        <w:numPr>
          <w:ilvl w:val="0"/>
          <w:numId w:val="65"/>
        </w:numPr>
        <w:suppressAutoHyphens/>
        <w:ind w:left="1068"/>
        <w:rPr>
          <w:lang w:val="en-US"/>
        </w:rPr>
      </w:pPr>
      <w:r w:rsidRPr="00D6101B">
        <w:rPr>
          <w:lang w:val="en-US"/>
        </w:rPr>
        <w:t>Bracelets</w:t>
      </w:r>
    </w:p>
    <w:p w14:paraId="74D30B48" w14:textId="77777777" w:rsidR="001A4F1A" w:rsidRPr="00D6101B" w:rsidRDefault="001A4F1A" w:rsidP="00E858EF">
      <w:pPr>
        <w:suppressAutoHyphens/>
        <w:ind w:left="348"/>
        <w:rPr>
          <w:lang w:val="en-US"/>
        </w:rPr>
      </w:pPr>
      <w:r w:rsidRPr="00D6101B">
        <w:rPr>
          <w:lang w:val="en-US"/>
        </w:rPr>
        <w:t>Grooming equipment:</w:t>
      </w:r>
    </w:p>
    <w:p w14:paraId="5F64C71C" w14:textId="77777777" w:rsidR="001A4F1A" w:rsidRPr="00D6101B" w:rsidRDefault="001A4F1A" w:rsidP="00E858EF">
      <w:pPr>
        <w:pStyle w:val="Paragrafoelenco"/>
        <w:numPr>
          <w:ilvl w:val="0"/>
          <w:numId w:val="66"/>
        </w:numPr>
        <w:suppressAutoHyphens/>
        <w:ind w:left="1068"/>
        <w:rPr>
          <w:lang w:val="en-US"/>
        </w:rPr>
      </w:pPr>
      <w:r w:rsidRPr="00D6101B">
        <w:rPr>
          <w:lang w:val="en-US"/>
        </w:rPr>
        <w:t>Razors</w:t>
      </w:r>
    </w:p>
    <w:p w14:paraId="3837640D" w14:textId="77777777" w:rsidR="001A4F1A" w:rsidRPr="00D6101B" w:rsidRDefault="001A4F1A" w:rsidP="00E858EF">
      <w:pPr>
        <w:pStyle w:val="Paragrafoelenco"/>
        <w:numPr>
          <w:ilvl w:val="0"/>
          <w:numId w:val="66"/>
        </w:numPr>
        <w:suppressAutoHyphens/>
        <w:ind w:left="1068"/>
        <w:rPr>
          <w:lang w:val="en-US"/>
        </w:rPr>
      </w:pPr>
      <w:r w:rsidRPr="00D6101B">
        <w:rPr>
          <w:lang w:val="en-US"/>
        </w:rPr>
        <w:t>Mirrors</w:t>
      </w:r>
    </w:p>
    <w:p w14:paraId="40060942" w14:textId="77777777" w:rsidR="001A4F1A" w:rsidRPr="00D6101B" w:rsidRDefault="001A4F1A" w:rsidP="00E858EF">
      <w:pPr>
        <w:pStyle w:val="Paragrafoelenco"/>
        <w:numPr>
          <w:ilvl w:val="0"/>
          <w:numId w:val="66"/>
        </w:numPr>
        <w:suppressAutoHyphens/>
        <w:ind w:left="1068"/>
        <w:rPr>
          <w:lang w:val="en-US"/>
        </w:rPr>
      </w:pPr>
      <w:r w:rsidRPr="00D6101B">
        <w:rPr>
          <w:lang w:val="en-US"/>
        </w:rPr>
        <w:t>Tweezers</w:t>
      </w:r>
    </w:p>
    <w:p w14:paraId="429E0E34" w14:textId="77777777" w:rsidR="001A4F1A" w:rsidRPr="00D6101B" w:rsidRDefault="001A4F1A" w:rsidP="00E858EF">
      <w:pPr>
        <w:pStyle w:val="Paragrafoelenco"/>
        <w:numPr>
          <w:ilvl w:val="0"/>
          <w:numId w:val="66"/>
        </w:numPr>
        <w:suppressAutoHyphens/>
        <w:ind w:left="1068"/>
        <w:rPr>
          <w:lang w:val="en-US"/>
        </w:rPr>
      </w:pPr>
      <w:r w:rsidRPr="00D6101B">
        <w:rPr>
          <w:lang w:val="en-US"/>
        </w:rPr>
        <w:t>Combs</w:t>
      </w:r>
    </w:p>
    <w:p w14:paraId="4493C9F1" w14:textId="77777777" w:rsidR="001A4F1A" w:rsidRPr="00D6101B" w:rsidRDefault="001A4F1A" w:rsidP="00E858EF">
      <w:pPr>
        <w:suppressAutoHyphens/>
        <w:ind w:left="348"/>
        <w:rPr>
          <w:lang w:val="en-US"/>
        </w:rPr>
      </w:pPr>
      <w:r w:rsidRPr="00D6101B">
        <w:rPr>
          <w:lang w:val="en-US"/>
        </w:rPr>
        <w:t>Kni</w:t>
      </w:r>
      <w:r>
        <w:rPr>
          <w:lang w:val="en-US"/>
        </w:rPr>
        <w:t>v</w:t>
      </w:r>
      <w:r w:rsidRPr="00D6101B">
        <w:rPr>
          <w:lang w:val="en-US"/>
        </w:rPr>
        <w:t>es</w:t>
      </w:r>
    </w:p>
    <w:p w14:paraId="74B6EF59" w14:textId="77777777" w:rsidR="001A4F1A" w:rsidRPr="00D6101B" w:rsidRDefault="001A4F1A" w:rsidP="00E858EF">
      <w:pPr>
        <w:suppressAutoHyphens/>
        <w:ind w:left="348"/>
        <w:rPr>
          <w:lang w:val="en-US"/>
        </w:rPr>
      </w:pPr>
      <w:r w:rsidRPr="00D6101B">
        <w:rPr>
          <w:lang w:val="en-US"/>
        </w:rPr>
        <w:t>Weaponry:</w:t>
      </w:r>
    </w:p>
    <w:p w14:paraId="29093081" w14:textId="77777777" w:rsidR="001A4F1A" w:rsidRPr="00D6101B" w:rsidRDefault="001A4F1A" w:rsidP="00E858EF">
      <w:pPr>
        <w:pStyle w:val="Paragrafoelenco"/>
        <w:numPr>
          <w:ilvl w:val="0"/>
          <w:numId w:val="67"/>
        </w:numPr>
        <w:suppressAutoHyphens/>
        <w:ind w:left="1068"/>
        <w:rPr>
          <w:lang w:val="en-US"/>
        </w:rPr>
      </w:pPr>
      <w:r w:rsidRPr="00D6101B">
        <w:rPr>
          <w:lang w:val="en-US"/>
        </w:rPr>
        <w:t>Swords</w:t>
      </w:r>
    </w:p>
    <w:p w14:paraId="6096926A" w14:textId="77777777" w:rsidR="001A4F1A" w:rsidRPr="00D6101B" w:rsidRDefault="001A4F1A" w:rsidP="00E858EF">
      <w:pPr>
        <w:pStyle w:val="Paragrafoelenco"/>
        <w:numPr>
          <w:ilvl w:val="0"/>
          <w:numId w:val="67"/>
        </w:numPr>
        <w:suppressAutoHyphens/>
        <w:ind w:left="1068"/>
        <w:rPr>
          <w:lang w:val="en-US"/>
        </w:rPr>
      </w:pPr>
      <w:r w:rsidRPr="00D6101B">
        <w:rPr>
          <w:lang w:val="en-US"/>
        </w:rPr>
        <w:t>Spearheads</w:t>
      </w:r>
    </w:p>
    <w:p w14:paraId="0B7BC647" w14:textId="77777777" w:rsidR="001A4F1A" w:rsidRPr="00D6101B" w:rsidRDefault="001A4F1A" w:rsidP="00E858EF">
      <w:pPr>
        <w:pStyle w:val="Paragrafoelenco"/>
        <w:numPr>
          <w:ilvl w:val="0"/>
          <w:numId w:val="67"/>
        </w:numPr>
        <w:suppressAutoHyphens/>
        <w:ind w:left="1068"/>
        <w:rPr>
          <w:lang w:val="en-US"/>
        </w:rPr>
      </w:pPr>
      <w:r w:rsidRPr="00D6101B">
        <w:rPr>
          <w:lang w:val="en-US"/>
        </w:rPr>
        <w:t>Daggers</w:t>
      </w:r>
    </w:p>
    <w:p w14:paraId="26723623" w14:textId="77777777" w:rsidR="001A4F1A" w:rsidRPr="00D6101B" w:rsidRDefault="001A4F1A" w:rsidP="00E858EF">
      <w:pPr>
        <w:pStyle w:val="Paragrafoelenco"/>
        <w:numPr>
          <w:ilvl w:val="0"/>
          <w:numId w:val="67"/>
        </w:numPr>
        <w:suppressAutoHyphens/>
        <w:ind w:left="1068"/>
        <w:rPr>
          <w:lang w:val="en-US"/>
        </w:rPr>
      </w:pPr>
      <w:r w:rsidRPr="00D6101B">
        <w:rPr>
          <w:lang w:val="en-US"/>
        </w:rPr>
        <w:t>Arrowheads</w:t>
      </w:r>
    </w:p>
    <w:p w14:paraId="069393DE" w14:textId="77777777" w:rsidR="001A4F1A" w:rsidRPr="00D6101B" w:rsidRDefault="001A4F1A" w:rsidP="00E858EF">
      <w:pPr>
        <w:pStyle w:val="Paragrafoelenco"/>
        <w:numPr>
          <w:ilvl w:val="0"/>
          <w:numId w:val="67"/>
        </w:numPr>
        <w:suppressAutoHyphens/>
        <w:ind w:left="1068"/>
        <w:rPr>
          <w:lang w:val="en-US"/>
        </w:rPr>
      </w:pPr>
      <w:r w:rsidRPr="00D6101B">
        <w:rPr>
          <w:lang w:val="en-US"/>
        </w:rPr>
        <w:t>Helmets (occasionally)</w:t>
      </w:r>
    </w:p>
    <w:p w14:paraId="669C5322" w14:textId="77777777" w:rsidR="001A4F1A" w:rsidRPr="00D6101B" w:rsidRDefault="001A4F1A" w:rsidP="00E858EF">
      <w:pPr>
        <w:pStyle w:val="Paragrafoelenco"/>
        <w:numPr>
          <w:ilvl w:val="0"/>
          <w:numId w:val="7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 xml:space="preserve"> Pottery </w:t>
      </w:r>
      <w:r w:rsidRPr="00D6101B">
        <w:rPr>
          <w:color w:val="000000"/>
        </w:rPr>
        <w:t>occurrence: the occurrence and the quantity of the following pottery types have been attested in the grave goods assemblage</w:t>
      </w:r>
      <w:r>
        <w:rPr>
          <w:color w:val="000000"/>
        </w:rPr>
        <w:t>s</w:t>
      </w:r>
      <w:r w:rsidRPr="00D6101B">
        <w:rPr>
          <w:color w:val="000000"/>
        </w:rPr>
        <w:t xml:space="preserve"> of tombs with larnakes (from Preston 2000: </w:t>
      </w:r>
      <w:r>
        <w:rPr>
          <w:color w:val="000000"/>
        </w:rPr>
        <w:t>A</w:t>
      </w:r>
      <w:r w:rsidRPr="00D6101B">
        <w:rPr>
          <w:color w:val="000000"/>
        </w:rPr>
        <w:t>ppendix N)</w:t>
      </w:r>
    </w:p>
    <w:p w14:paraId="162E34FE" w14:textId="77777777" w:rsidR="001A4F1A" w:rsidRPr="00D6101B" w:rsidRDefault="001A4F1A" w:rsidP="00E858EF">
      <w:pPr>
        <w:pStyle w:val="Paragrafoelenco"/>
        <w:suppressAutoHyphens/>
        <w:ind w:left="348"/>
        <w:rPr>
          <w:lang w:val="en-US"/>
        </w:rPr>
      </w:pPr>
      <w:r>
        <w:rPr>
          <w:lang w:val="en-US"/>
        </w:rPr>
        <w:t>‘</w:t>
      </w:r>
      <w:r w:rsidRPr="00D6101B">
        <w:rPr>
          <w:lang w:val="en-US"/>
        </w:rPr>
        <w:t>Ritual</w:t>
      </w:r>
      <w:r>
        <w:rPr>
          <w:lang w:val="en-US"/>
        </w:rPr>
        <w:t>’</w:t>
      </w:r>
      <w:r w:rsidRPr="00D6101B">
        <w:rPr>
          <w:lang w:val="en-US"/>
        </w:rPr>
        <w:t xml:space="preserve"> vessel:</w:t>
      </w:r>
    </w:p>
    <w:p w14:paraId="05B3AE7F" w14:textId="77777777" w:rsidR="001A4F1A" w:rsidRPr="00D6101B" w:rsidRDefault="001A4F1A" w:rsidP="00E858EF">
      <w:pPr>
        <w:pStyle w:val="Paragrafoelenco"/>
        <w:numPr>
          <w:ilvl w:val="0"/>
          <w:numId w:val="60"/>
        </w:numPr>
        <w:suppressAutoHyphens/>
        <w:ind w:left="1068"/>
        <w:rPr>
          <w:lang w:val="en-US"/>
        </w:rPr>
      </w:pPr>
      <w:r w:rsidRPr="00D6101B">
        <w:rPr>
          <w:lang w:val="en-US"/>
        </w:rPr>
        <w:t>Rhyton</w:t>
      </w:r>
    </w:p>
    <w:p w14:paraId="5939F6C8" w14:textId="77777777" w:rsidR="001A4F1A" w:rsidRPr="00D6101B" w:rsidRDefault="001A4F1A" w:rsidP="00E858EF">
      <w:pPr>
        <w:pStyle w:val="Paragrafoelenco"/>
        <w:numPr>
          <w:ilvl w:val="0"/>
          <w:numId w:val="60"/>
        </w:numPr>
        <w:suppressAutoHyphens/>
        <w:ind w:left="1068"/>
        <w:rPr>
          <w:lang w:val="en-US"/>
        </w:rPr>
      </w:pPr>
      <w:r w:rsidRPr="00D6101B">
        <w:rPr>
          <w:lang w:val="en-US"/>
        </w:rPr>
        <w:t>Kernos</w:t>
      </w:r>
    </w:p>
    <w:p w14:paraId="1FBD3CC9" w14:textId="77777777" w:rsidR="001A4F1A" w:rsidRPr="00D6101B" w:rsidRDefault="001A4F1A" w:rsidP="00E858EF">
      <w:pPr>
        <w:pStyle w:val="Paragrafoelenco"/>
        <w:numPr>
          <w:ilvl w:val="0"/>
          <w:numId w:val="60"/>
        </w:numPr>
        <w:suppressAutoHyphens/>
        <w:ind w:left="1068"/>
        <w:rPr>
          <w:lang w:val="en-US"/>
        </w:rPr>
      </w:pPr>
      <w:r w:rsidRPr="00D6101B">
        <w:rPr>
          <w:lang w:val="en-US"/>
        </w:rPr>
        <w:t>Ring vase</w:t>
      </w:r>
    </w:p>
    <w:p w14:paraId="39D1B49A" w14:textId="77777777" w:rsidR="001A4F1A" w:rsidRPr="00D6101B" w:rsidRDefault="001A4F1A" w:rsidP="00E858EF">
      <w:pPr>
        <w:suppressAutoHyphens/>
        <w:ind w:left="348"/>
        <w:rPr>
          <w:lang w:val="en-US"/>
        </w:rPr>
      </w:pPr>
      <w:r>
        <w:rPr>
          <w:lang w:val="en-US"/>
        </w:rPr>
        <w:t>‘</w:t>
      </w:r>
      <w:r w:rsidRPr="00D6101B">
        <w:rPr>
          <w:lang w:val="en-US"/>
        </w:rPr>
        <w:t>Consumption</w:t>
      </w:r>
      <w:r>
        <w:rPr>
          <w:lang w:val="en-US"/>
        </w:rPr>
        <w:t>’</w:t>
      </w:r>
      <w:r w:rsidRPr="00D6101B">
        <w:rPr>
          <w:lang w:val="en-US"/>
        </w:rPr>
        <w:t xml:space="preserve"> vessels:</w:t>
      </w:r>
    </w:p>
    <w:p w14:paraId="3D0A39A8" w14:textId="77777777" w:rsidR="001A4F1A" w:rsidRPr="00D6101B" w:rsidRDefault="001A4F1A" w:rsidP="00E858EF">
      <w:pPr>
        <w:pStyle w:val="Paragrafoelenco"/>
        <w:numPr>
          <w:ilvl w:val="0"/>
          <w:numId w:val="61"/>
        </w:numPr>
        <w:suppressAutoHyphens/>
        <w:ind w:left="1068"/>
        <w:rPr>
          <w:lang w:val="en-US"/>
        </w:rPr>
      </w:pPr>
      <w:r w:rsidRPr="00D6101B">
        <w:rPr>
          <w:lang w:val="en-US"/>
        </w:rPr>
        <w:t>Goblet</w:t>
      </w:r>
    </w:p>
    <w:p w14:paraId="4C52C755" w14:textId="77777777" w:rsidR="001A4F1A" w:rsidRPr="00D6101B" w:rsidRDefault="001A4F1A" w:rsidP="00E858EF">
      <w:pPr>
        <w:pStyle w:val="Paragrafoelenco"/>
        <w:numPr>
          <w:ilvl w:val="0"/>
          <w:numId w:val="61"/>
        </w:numPr>
        <w:suppressAutoHyphens/>
        <w:ind w:left="1068"/>
        <w:rPr>
          <w:lang w:val="en-US"/>
        </w:rPr>
      </w:pPr>
      <w:r w:rsidRPr="00D6101B">
        <w:rPr>
          <w:lang w:val="en-US"/>
        </w:rPr>
        <w:t>Cup</w:t>
      </w:r>
    </w:p>
    <w:p w14:paraId="1EB5F7E6" w14:textId="77777777" w:rsidR="001A4F1A" w:rsidRPr="00D6101B" w:rsidRDefault="001A4F1A" w:rsidP="00E858EF">
      <w:pPr>
        <w:pStyle w:val="Paragrafoelenco"/>
        <w:numPr>
          <w:ilvl w:val="0"/>
          <w:numId w:val="61"/>
        </w:numPr>
        <w:suppressAutoHyphens/>
        <w:ind w:left="1068"/>
        <w:rPr>
          <w:lang w:val="en-US"/>
        </w:rPr>
      </w:pPr>
      <w:r w:rsidRPr="00D6101B">
        <w:rPr>
          <w:lang w:val="en-US"/>
        </w:rPr>
        <w:t>Conical cup</w:t>
      </w:r>
    </w:p>
    <w:p w14:paraId="45F3FB3C" w14:textId="77777777" w:rsidR="001A4F1A" w:rsidRPr="00D6101B" w:rsidRDefault="001A4F1A" w:rsidP="00E858EF">
      <w:pPr>
        <w:pStyle w:val="Paragrafoelenco"/>
        <w:numPr>
          <w:ilvl w:val="0"/>
          <w:numId w:val="61"/>
        </w:numPr>
        <w:suppressAutoHyphens/>
        <w:ind w:left="1068"/>
        <w:rPr>
          <w:lang w:val="en-US"/>
        </w:rPr>
      </w:pPr>
      <w:r w:rsidRPr="00D6101B">
        <w:rPr>
          <w:lang w:val="en-US"/>
        </w:rPr>
        <w:t>Tankard</w:t>
      </w:r>
    </w:p>
    <w:p w14:paraId="3BFA0DFB" w14:textId="77777777" w:rsidR="001A4F1A" w:rsidRPr="00D6101B" w:rsidRDefault="001A4F1A" w:rsidP="00E858EF">
      <w:pPr>
        <w:pStyle w:val="Paragrafoelenco"/>
        <w:numPr>
          <w:ilvl w:val="0"/>
          <w:numId w:val="61"/>
        </w:numPr>
        <w:suppressAutoHyphens/>
        <w:ind w:left="1068"/>
        <w:rPr>
          <w:lang w:val="en-US"/>
        </w:rPr>
      </w:pPr>
      <w:r w:rsidRPr="00D6101B">
        <w:rPr>
          <w:lang w:val="en-US"/>
        </w:rPr>
        <w:t>Bowl</w:t>
      </w:r>
    </w:p>
    <w:p w14:paraId="02F72038" w14:textId="77777777" w:rsidR="001A4F1A" w:rsidRPr="00D6101B" w:rsidRDefault="001A4F1A" w:rsidP="00E858EF">
      <w:pPr>
        <w:suppressAutoHyphens/>
        <w:ind w:left="348"/>
        <w:rPr>
          <w:lang w:val="en-US"/>
        </w:rPr>
      </w:pPr>
      <w:r>
        <w:rPr>
          <w:lang w:val="en-US"/>
        </w:rPr>
        <w:t>‘</w:t>
      </w:r>
      <w:r w:rsidRPr="00D6101B">
        <w:rPr>
          <w:lang w:val="en-US"/>
        </w:rPr>
        <w:t>Storage</w:t>
      </w:r>
      <w:r>
        <w:rPr>
          <w:lang w:val="en-US"/>
        </w:rPr>
        <w:t>’</w:t>
      </w:r>
      <w:r w:rsidRPr="00D6101B">
        <w:rPr>
          <w:lang w:val="en-US"/>
        </w:rPr>
        <w:t xml:space="preserve"> vessels</w:t>
      </w:r>
    </w:p>
    <w:p w14:paraId="5D9BA323" w14:textId="77777777" w:rsidR="001A4F1A" w:rsidRPr="00D6101B" w:rsidRDefault="001A4F1A" w:rsidP="00E858EF">
      <w:pPr>
        <w:pStyle w:val="Paragrafoelenco"/>
        <w:numPr>
          <w:ilvl w:val="0"/>
          <w:numId w:val="62"/>
        </w:numPr>
        <w:suppressAutoHyphens/>
        <w:ind w:left="1068"/>
        <w:rPr>
          <w:lang w:val="en-US"/>
        </w:rPr>
      </w:pPr>
      <w:r w:rsidRPr="00D6101B">
        <w:rPr>
          <w:lang w:val="en-US"/>
        </w:rPr>
        <w:t>Stirrup jars</w:t>
      </w:r>
    </w:p>
    <w:p w14:paraId="36CE68A8" w14:textId="77777777" w:rsidR="001A4F1A" w:rsidRPr="00D6101B" w:rsidRDefault="001A4F1A" w:rsidP="00E858EF">
      <w:pPr>
        <w:pStyle w:val="Paragrafoelenco"/>
        <w:numPr>
          <w:ilvl w:val="0"/>
          <w:numId w:val="62"/>
        </w:numPr>
        <w:suppressAutoHyphens/>
        <w:ind w:left="1068"/>
        <w:rPr>
          <w:lang w:val="en-US"/>
        </w:rPr>
      </w:pPr>
      <w:r w:rsidRPr="00D6101B">
        <w:rPr>
          <w:lang w:val="en-US"/>
        </w:rPr>
        <w:t>Jar</w:t>
      </w:r>
    </w:p>
    <w:p w14:paraId="2791D7F0" w14:textId="77777777" w:rsidR="001A4F1A" w:rsidRPr="00D6101B" w:rsidRDefault="001A4F1A" w:rsidP="00E858EF">
      <w:pPr>
        <w:pStyle w:val="Paragrafoelenco"/>
        <w:numPr>
          <w:ilvl w:val="0"/>
          <w:numId w:val="62"/>
        </w:numPr>
        <w:suppressAutoHyphens/>
        <w:ind w:left="1068"/>
        <w:rPr>
          <w:lang w:val="en-US"/>
        </w:rPr>
      </w:pPr>
      <w:r w:rsidRPr="00D6101B">
        <w:rPr>
          <w:lang w:val="en-US"/>
        </w:rPr>
        <w:t>Alabastron</w:t>
      </w:r>
    </w:p>
    <w:p w14:paraId="2115E30A" w14:textId="77777777" w:rsidR="001A4F1A" w:rsidRPr="00D6101B" w:rsidRDefault="001A4F1A" w:rsidP="00E858EF">
      <w:pPr>
        <w:pStyle w:val="Paragrafoelenco"/>
        <w:numPr>
          <w:ilvl w:val="0"/>
          <w:numId w:val="62"/>
        </w:numPr>
        <w:suppressAutoHyphens/>
        <w:ind w:left="1068"/>
        <w:rPr>
          <w:lang w:val="en-US"/>
        </w:rPr>
      </w:pPr>
      <w:r w:rsidRPr="00D6101B">
        <w:rPr>
          <w:lang w:val="en-US"/>
        </w:rPr>
        <w:t>Pyxis</w:t>
      </w:r>
    </w:p>
    <w:p w14:paraId="5FB3A9BB" w14:textId="77777777" w:rsidR="001A4F1A" w:rsidRPr="00D6101B" w:rsidRDefault="001A4F1A" w:rsidP="00E858EF">
      <w:pPr>
        <w:pStyle w:val="Paragrafoelenco"/>
        <w:numPr>
          <w:ilvl w:val="0"/>
          <w:numId w:val="62"/>
        </w:numPr>
        <w:suppressAutoHyphens/>
        <w:ind w:left="1068"/>
        <w:rPr>
          <w:lang w:val="en-US"/>
        </w:rPr>
      </w:pPr>
      <w:r w:rsidRPr="00D6101B">
        <w:rPr>
          <w:lang w:val="en-US"/>
        </w:rPr>
        <w:t>Askos</w:t>
      </w:r>
    </w:p>
    <w:p w14:paraId="0A83667E" w14:textId="77777777" w:rsidR="001A4F1A" w:rsidRPr="00D6101B" w:rsidRDefault="001A4F1A" w:rsidP="00E858EF">
      <w:pPr>
        <w:pStyle w:val="Paragrafoelenco"/>
        <w:numPr>
          <w:ilvl w:val="0"/>
          <w:numId w:val="62"/>
        </w:numPr>
        <w:suppressAutoHyphens/>
        <w:ind w:left="1068"/>
        <w:rPr>
          <w:lang w:val="en-US"/>
        </w:rPr>
      </w:pPr>
      <w:r w:rsidRPr="00D6101B">
        <w:rPr>
          <w:lang w:val="en-US"/>
        </w:rPr>
        <w:t>Amphora</w:t>
      </w:r>
    </w:p>
    <w:p w14:paraId="6DFFB767" w14:textId="77777777" w:rsidR="001A4F1A" w:rsidRPr="00D6101B" w:rsidRDefault="001A4F1A" w:rsidP="00E858EF">
      <w:pPr>
        <w:pStyle w:val="Paragrafoelenco"/>
        <w:numPr>
          <w:ilvl w:val="0"/>
          <w:numId w:val="62"/>
        </w:numPr>
        <w:suppressAutoHyphens/>
        <w:ind w:left="1068"/>
        <w:rPr>
          <w:lang w:val="en-US"/>
        </w:rPr>
      </w:pPr>
      <w:r w:rsidRPr="00D6101B">
        <w:rPr>
          <w:lang w:val="en-US"/>
        </w:rPr>
        <w:t>Flask</w:t>
      </w:r>
    </w:p>
    <w:p w14:paraId="062BDD23" w14:textId="77777777" w:rsidR="001A4F1A" w:rsidRPr="00D6101B" w:rsidRDefault="001A4F1A" w:rsidP="00E858EF">
      <w:pPr>
        <w:suppressAutoHyphens/>
        <w:ind w:left="348"/>
        <w:rPr>
          <w:lang w:val="en-US"/>
        </w:rPr>
      </w:pPr>
      <w:r>
        <w:rPr>
          <w:lang w:val="en-US"/>
        </w:rPr>
        <w:t>‘</w:t>
      </w:r>
      <w:r w:rsidRPr="00D6101B">
        <w:rPr>
          <w:lang w:val="en-US"/>
        </w:rPr>
        <w:t>Preparation/pouring</w:t>
      </w:r>
      <w:r>
        <w:rPr>
          <w:lang w:val="en-US"/>
        </w:rPr>
        <w:t>’</w:t>
      </w:r>
      <w:r w:rsidRPr="00D6101B">
        <w:rPr>
          <w:lang w:val="en-US"/>
        </w:rPr>
        <w:t xml:space="preserve"> vessels:</w:t>
      </w:r>
    </w:p>
    <w:p w14:paraId="5BCF3EC9" w14:textId="77777777" w:rsidR="001A4F1A" w:rsidRPr="00D6101B" w:rsidRDefault="001A4F1A" w:rsidP="00E858EF">
      <w:pPr>
        <w:pStyle w:val="Paragrafoelenco"/>
        <w:numPr>
          <w:ilvl w:val="0"/>
          <w:numId w:val="63"/>
        </w:numPr>
        <w:suppressAutoHyphens/>
        <w:ind w:left="1068"/>
        <w:rPr>
          <w:lang w:val="en-US"/>
        </w:rPr>
      </w:pPr>
      <w:r w:rsidRPr="00D6101B">
        <w:rPr>
          <w:lang w:val="en-US"/>
        </w:rPr>
        <w:t>Jug</w:t>
      </w:r>
    </w:p>
    <w:p w14:paraId="38A89244" w14:textId="77777777" w:rsidR="001A4F1A" w:rsidRPr="00D6101B" w:rsidRDefault="001A4F1A" w:rsidP="00E858EF">
      <w:pPr>
        <w:pStyle w:val="Paragrafoelenco"/>
        <w:numPr>
          <w:ilvl w:val="0"/>
          <w:numId w:val="63"/>
        </w:numPr>
        <w:suppressAutoHyphens/>
        <w:ind w:left="1068"/>
        <w:rPr>
          <w:lang w:val="en-US"/>
        </w:rPr>
      </w:pPr>
      <w:r w:rsidRPr="00D6101B">
        <w:rPr>
          <w:lang w:val="en-US"/>
        </w:rPr>
        <w:t>Ladle</w:t>
      </w:r>
    </w:p>
    <w:p w14:paraId="36000E19" w14:textId="77777777" w:rsidR="001A4F1A" w:rsidRPr="00D6101B" w:rsidRDefault="001A4F1A" w:rsidP="00E858EF">
      <w:pPr>
        <w:pStyle w:val="Paragrafoelenco"/>
        <w:numPr>
          <w:ilvl w:val="0"/>
          <w:numId w:val="63"/>
        </w:numPr>
        <w:suppressAutoHyphens/>
        <w:ind w:left="1068"/>
        <w:rPr>
          <w:lang w:val="en-US"/>
        </w:rPr>
      </w:pPr>
      <w:r w:rsidRPr="00D6101B">
        <w:rPr>
          <w:lang w:val="en-US"/>
        </w:rPr>
        <w:t>Thelastron</w:t>
      </w:r>
    </w:p>
    <w:p w14:paraId="3B29B54A" w14:textId="77777777" w:rsidR="001A4F1A" w:rsidRPr="00D6101B" w:rsidRDefault="001A4F1A" w:rsidP="00E858EF">
      <w:pPr>
        <w:pStyle w:val="Paragrafoelenco"/>
        <w:numPr>
          <w:ilvl w:val="0"/>
          <w:numId w:val="63"/>
        </w:numPr>
        <w:suppressAutoHyphens/>
        <w:ind w:left="1068"/>
        <w:rPr>
          <w:lang w:val="en-US"/>
        </w:rPr>
      </w:pPr>
      <w:r w:rsidRPr="00D6101B">
        <w:rPr>
          <w:lang w:val="en-US"/>
        </w:rPr>
        <w:t>Cauldron</w:t>
      </w:r>
    </w:p>
    <w:p w14:paraId="4A1CBA6A" w14:textId="77777777" w:rsidR="001A4F1A" w:rsidRPr="00D6101B" w:rsidRDefault="001A4F1A" w:rsidP="00E858EF">
      <w:pPr>
        <w:pStyle w:val="Paragrafoelenco"/>
        <w:numPr>
          <w:ilvl w:val="0"/>
          <w:numId w:val="63"/>
        </w:numPr>
        <w:suppressAutoHyphens/>
        <w:ind w:left="1068"/>
        <w:rPr>
          <w:lang w:val="en-US"/>
        </w:rPr>
      </w:pPr>
      <w:r w:rsidRPr="00D6101B">
        <w:rPr>
          <w:lang w:val="en-US"/>
        </w:rPr>
        <w:t>Crater</w:t>
      </w:r>
    </w:p>
    <w:p w14:paraId="4B2848E0" w14:textId="77777777" w:rsidR="001A4F1A" w:rsidRPr="00D6101B" w:rsidRDefault="001A4F1A" w:rsidP="00E858EF">
      <w:pPr>
        <w:pStyle w:val="Paragrafoelenco"/>
        <w:numPr>
          <w:ilvl w:val="0"/>
          <w:numId w:val="63"/>
        </w:numPr>
        <w:suppressAutoHyphens/>
        <w:ind w:left="1068"/>
        <w:rPr>
          <w:lang w:val="en-US"/>
        </w:rPr>
      </w:pPr>
      <w:r w:rsidRPr="00D6101B">
        <w:rPr>
          <w:lang w:val="en-US"/>
        </w:rPr>
        <w:t>Kalathos</w:t>
      </w:r>
    </w:p>
    <w:p w14:paraId="6380A771" w14:textId="77777777" w:rsidR="001A4F1A" w:rsidRPr="00D6101B" w:rsidRDefault="001A4F1A" w:rsidP="00E858EF">
      <w:pPr>
        <w:suppressAutoHyphens/>
        <w:ind w:left="348"/>
        <w:rPr>
          <w:lang w:val="en-US"/>
        </w:rPr>
      </w:pPr>
      <w:r>
        <w:rPr>
          <w:lang w:val="en-US"/>
        </w:rPr>
        <w:t>‘</w:t>
      </w:r>
      <w:r w:rsidRPr="00D6101B">
        <w:rPr>
          <w:lang w:val="en-US"/>
        </w:rPr>
        <w:t>Lighting/burning</w:t>
      </w:r>
      <w:r>
        <w:rPr>
          <w:lang w:val="en-US"/>
        </w:rPr>
        <w:t>’</w:t>
      </w:r>
      <w:r w:rsidRPr="00D6101B">
        <w:rPr>
          <w:lang w:val="en-US"/>
        </w:rPr>
        <w:t xml:space="preserve"> vessels:</w:t>
      </w:r>
    </w:p>
    <w:p w14:paraId="59A493BC" w14:textId="77777777" w:rsidR="001A4F1A" w:rsidRPr="00D6101B" w:rsidRDefault="001A4F1A" w:rsidP="00E858EF">
      <w:pPr>
        <w:pStyle w:val="Paragrafoelenco"/>
        <w:numPr>
          <w:ilvl w:val="0"/>
          <w:numId w:val="64"/>
        </w:numPr>
        <w:suppressAutoHyphens/>
        <w:ind w:left="1068"/>
        <w:rPr>
          <w:lang w:val="en-US"/>
        </w:rPr>
      </w:pPr>
      <w:r w:rsidRPr="00D6101B">
        <w:rPr>
          <w:lang w:val="en-US"/>
        </w:rPr>
        <w:t>Brazier</w:t>
      </w:r>
    </w:p>
    <w:p w14:paraId="19C46C8A" w14:textId="77777777" w:rsidR="001A4F1A" w:rsidRDefault="001A4F1A" w:rsidP="00E858EF">
      <w:pPr>
        <w:pStyle w:val="Paragrafoelenco"/>
        <w:numPr>
          <w:ilvl w:val="0"/>
          <w:numId w:val="64"/>
        </w:numPr>
        <w:suppressAutoHyphens/>
        <w:ind w:left="1068"/>
        <w:rPr>
          <w:lang w:val="en-US"/>
        </w:rPr>
      </w:pPr>
      <w:r w:rsidRPr="00D6101B">
        <w:rPr>
          <w:lang w:val="en-US"/>
        </w:rPr>
        <w:t xml:space="preserve">Incense burner </w:t>
      </w:r>
    </w:p>
    <w:p w14:paraId="1F84AA6C" w14:textId="77777777" w:rsidR="001A4F1A" w:rsidRPr="00A6347B" w:rsidRDefault="001A4F1A" w:rsidP="00E858EF">
      <w:pPr>
        <w:pStyle w:val="Paragrafoelenco"/>
        <w:suppressAutoHyphens/>
        <w:ind w:left="1068"/>
        <w:rPr>
          <w:lang w:val="en-US"/>
        </w:rPr>
      </w:pPr>
      <w:r w:rsidRPr="004966A1">
        <w:rPr>
          <w:lang w:val="en-US"/>
        </w:rPr>
        <w:t>When the information is available</w:t>
      </w:r>
      <w:r w:rsidRPr="00A6347B">
        <w:rPr>
          <w:lang w:val="en-US"/>
        </w:rPr>
        <w:t xml:space="preserve">, the occurrence of imports or heirlooms is also reported. </w:t>
      </w:r>
    </w:p>
    <w:p w14:paraId="49BD33A9" w14:textId="5BED0300" w:rsidR="001A4F1A" w:rsidRPr="00D6101B" w:rsidRDefault="00DD5369"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001A4F1A" w:rsidRPr="00D6101B">
        <w:rPr>
          <w:color w:val="000000"/>
        </w:rPr>
        <w:t xml:space="preserve">The occurrence of material types </w:t>
      </w:r>
      <w:r w:rsidR="001A4F1A">
        <w:rPr>
          <w:color w:val="000000"/>
        </w:rPr>
        <w:t>is recovered</w:t>
      </w:r>
      <w:r w:rsidR="001A4F1A" w:rsidRPr="00D6101B">
        <w:rPr>
          <w:color w:val="000000"/>
        </w:rPr>
        <w:t xml:space="preserve"> </w:t>
      </w:r>
      <w:r w:rsidR="001A4F1A">
        <w:rPr>
          <w:color w:val="000000"/>
        </w:rPr>
        <w:t>by</w:t>
      </w:r>
      <w:r w:rsidR="001A4F1A" w:rsidRPr="00D6101B">
        <w:rPr>
          <w:color w:val="000000"/>
        </w:rPr>
        <w:t xml:space="preserve"> tomb</w:t>
      </w:r>
      <w:r w:rsidR="001A4F1A">
        <w:rPr>
          <w:color w:val="000000"/>
        </w:rPr>
        <w:t>,</w:t>
      </w:r>
      <w:r w:rsidR="001A4F1A" w:rsidRPr="00D6101B">
        <w:rPr>
          <w:color w:val="000000"/>
        </w:rPr>
        <w:t xml:space="preserve"> and the data </w:t>
      </w:r>
      <w:r w:rsidR="001A4F1A">
        <w:rPr>
          <w:color w:val="000000"/>
        </w:rPr>
        <w:t>provided</w:t>
      </w:r>
      <w:r w:rsidR="001A4F1A" w:rsidRPr="00D6101B">
        <w:rPr>
          <w:color w:val="000000"/>
        </w:rPr>
        <w:t xml:space="preserve"> </w:t>
      </w:r>
      <w:r w:rsidR="001A4F1A">
        <w:rPr>
          <w:color w:val="000000"/>
        </w:rPr>
        <w:t>do not include</w:t>
      </w:r>
      <w:r w:rsidR="001A4F1A" w:rsidRPr="00D6101B">
        <w:rPr>
          <w:color w:val="000000"/>
        </w:rPr>
        <w:t xml:space="preserve"> </w:t>
      </w:r>
      <w:r w:rsidR="001A4F1A">
        <w:rPr>
          <w:color w:val="000000"/>
        </w:rPr>
        <w:t>the quantity</w:t>
      </w:r>
      <w:r w:rsidR="001A4F1A" w:rsidRPr="00D6101B">
        <w:rPr>
          <w:color w:val="000000"/>
        </w:rPr>
        <w:t xml:space="preserve">, but </w:t>
      </w:r>
      <w:r w:rsidR="001A4F1A">
        <w:rPr>
          <w:color w:val="000000"/>
        </w:rPr>
        <w:t>only</w:t>
      </w:r>
      <w:r w:rsidR="001A4F1A" w:rsidRPr="00D6101B">
        <w:rPr>
          <w:color w:val="000000"/>
        </w:rPr>
        <w:t xml:space="preserve"> the </w:t>
      </w:r>
      <w:r w:rsidR="001A4F1A">
        <w:rPr>
          <w:color w:val="000000"/>
        </w:rPr>
        <w:t>presence or absence of materials per tomb (e.g.</w:t>
      </w:r>
      <w:r w:rsidR="001A4F1A" w:rsidRPr="00D6101B">
        <w:rPr>
          <w:color w:val="000000"/>
        </w:rPr>
        <w:t xml:space="preserve"> if there are three gold objects in one tomb</w:t>
      </w:r>
      <w:r w:rsidR="001A4F1A">
        <w:rPr>
          <w:color w:val="000000"/>
        </w:rPr>
        <w:t>,</w:t>
      </w:r>
      <w:r w:rsidR="001A4F1A" w:rsidRPr="00D6101B">
        <w:rPr>
          <w:color w:val="000000"/>
        </w:rPr>
        <w:t xml:space="preserve"> the quantity </w:t>
      </w:r>
      <w:r w:rsidR="001A4F1A">
        <w:rPr>
          <w:color w:val="000000"/>
        </w:rPr>
        <w:t xml:space="preserve">is not recorded, </w:t>
      </w:r>
      <w:r w:rsidR="001A4F1A" w:rsidRPr="00D6101B">
        <w:rPr>
          <w:color w:val="000000"/>
        </w:rPr>
        <w:t>but simply the occurrence of gold)</w:t>
      </w:r>
      <w:r w:rsidR="001A4F1A">
        <w:rPr>
          <w:color w:val="000000"/>
        </w:rPr>
        <w:t>. For methodologies adopted for assessing the wealth of a tomb see: Voutsaki 1993; 1995: 55-56</w:t>
      </w:r>
      <w:r w:rsidR="001A4F1A" w:rsidRPr="00D6101B">
        <w:rPr>
          <w:color w:val="000000"/>
        </w:rPr>
        <w:t>.</w:t>
      </w:r>
    </w:p>
    <w:p w14:paraId="7A73C251"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Regarding</w:t>
      </w:r>
      <w:r w:rsidRPr="00D6101B">
        <w:rPr>
          <w:color w:val="000000"/>
        </w:rPr>
        <w:t xml:space="preserve"> grave goods</w:t>
      </w:r>
      <w:r>
        <w:rPr>
          <w:color w:val="000000"/>
        </w:rPr>
        <w:t xml:space="preserve"> typ</w:t>
      </w:r>
      <w:r w:rsidRPr="00D6101B">
        <w:rPr>
          <w:color w:val="000000"/>
        </w:rPr>
        <w:t>es</w:t>
      </w:r>
      <w:r>
        <w:rPr>
          <w:color w:val="000000"/>
        </w:rPr>
        <w:t>,</w:t>
      </w:r>
      <w:r w:rsidRPr="00D6101B">
        <w:rPr>
          <w:color w:val="000000"/>
        </w:rPr>
        <w:t xml:space="preserve"> the occurrence of the quantity of each type i</w:t>
      </w:r>
      <w:r>
        <w:rPr>
          <w:color w:val="000000"/>
        </w:rPr>
        <w:t>s</w:t>
      </w:r>
      <w:r w:rsidRPr="00D6101B">
        <w:rPr>
          <w:color w:val="000000"/>
        </w:rPr>
        <w:t xml:space="preserve"> </w:t>
      </w:r>
      <w:r>
        <w:rPr>
          <w:color w:val="000000"/>
        </w:rPr>
        <w:t>recorded</w:t>
      </w:r>
      <w:r w:rsidRPr="00D6101B">
        <w:rPr>
          <w:color w:val="000000"/>
        </w:rPr>
        <w:t xml:space="preserve"> </w:t>
      </w:r>
      <w:r>
        <w:rPr>
          <w:color w:val="000000"/>
        </w:rPr>
        <w:t>from published</w:t>
      </w:r>
      <w:r w:rsidRPr="00D6101B">
        <w:rPr>
          <w:color w:val="000000"/>
        </w:rPr>
        <w:t xml:space="preserve"> report</w:t>
      </w:r>
      <w:r>
        <w:rPr>
          <w:color w:val="000000"/>
        </w:rPr>
        <w:t>s</w:t>
      </w:r>
      <w:r w:rsidRPr="00D6101B">
        <w:rPr>
          <w:color w:val="000000"/>
        </w:rPr>
        <w:t xml:space="preserve">. </w:t>
      </w:r>
      <w:r>
        <w:rPr>
          <w:color w:val="000000"/>
        </w:rPr>
        <w:t>When the publication specifies only the presence of a</w:t>
      </w:r>
      <w:r w:rsidRPr="00D6101B">
        <w:rPr>
          <w:color w:val="000000"/>
        </w:rPr>
        <w:t xml:space="preserve"> type</w:t>
      </w:r>
      <w:r>
        <w:rPr>
          <w:color w:val="000000"/>
        </w:rPr>
        <w:t xml:space="preserve"> of item</w:t>
      </w:r>
      <w:r w:rsidRPr="00D6101B">
        <w:rPr>
          <w:color w:val="000000"/>
        </w:rPr>
        <w:t xml:space="preserve"> without specifying the exact quantity, a standard number of </w:t>
      </w:r>
      <w:r>
        <w:rPr>
          <w:color w:val="000000"/>
        </w:rPr>
        <w:t>two</w:t>
      </w:r>
      <w:r w:rsidRPr="00D6101B">
        <w:rPr>
          <w:color w:val="000000"/>
        </w:rPr>
        <w:t xml:space="preserve"> items is reported for the type</w:t>
      </w:r>
      <w:r>
        <w:rPr>
          <w:color w:val="000000"/>
        </w:rPr>
        <w:t>;</w:t>
      </w:r>
      <w:r w:rsidRPr="00D6101B">
        <w:rPr>
          <w:color w:val="000000"/>
        </w:rPr>
        <w:t xml:space="preserve"> or</w:t>
      </w:r>
      <w:r>
        <w:rPr>
          <w:color w:val="000000"/>
        </w:rPr>
        <w:t>,</w:t>
      </w:r>
      <w:r w:rsidRPr="00D6101B">
        <w:rPr>
          <w:color w:val="000000"/>
        </w:rPr>
        <w:t xml:space="preserve"> </w:t>
      </w:r>
      <w:r>
        <w:rPr>
          <w:color w:val="000000"/>
        </w:rPr>
        <w:t>when</w:t>
      </w:r>
      <w:r w:rsidRPr="00D6101B">
        <w:rPr>
          <w:color w:val="000000"/>
        </w:rPr>
        <w:t xml:space="preserve"> a general quantity is reported, the minimum </w:t>
      </w:r>
      <w:r>
        <w:rPr>
          <w:color w:val="000000"/>
        </w:rPr>
        <w:t>number</w:t>
      </w:r>
      <w:r w:rsidRPr="00D6101B">
        <w:rPr>
          <w:color w:val="000000"/>
        </w:rPr>
        <w:t xml:space="preserve"> given is considered for the analysis (</w:t>
      </w:r>
      <w:r>
        <w:rPr>
          <w:color w:val="000000"/>
        </w:rPr>
        <w:t>e.g.</w:t>
      </w:r>
      <w:r w:rsidRPr="00D6101B">
        <w:rPr>
          <w:color w:val="000000"/>
        </w:rPr>
        <w:t xml:space="preserve"> if it </w:t>
      </w:r>
      <w:r>
        <w:rPr>
          <w:color w:val="000000"/>
        </w:rPr>
        <w:t>is</w:t>
      </w:r>
      <w:r w:rsidRPr="00D6101B">
        <w:rPr>
          <w:color w:val="000000"/>
        </w:rPr>
        <w:t xml:space="preserve"> reported</w:t>
      </w:r>
      <w:r>
        <w:rPr>
          <w:color w:val="000000"/>
        </w:rPr>
        <w:t xml:space="preserve"> that</w:t>
      </w:r>
      <w:r w:rsidRPr="00D6101B">
        <w:rPr>
          <w:color w:val="000000"/>
        </w:rPr>
        <w:t xml:space="preserve"> </w:t>
      </w:r>
      <w:r>
        <w:rPr>
          <w:color w:val="000000"/>
        </w:rPr>
        <w:t>there are</w:t>
      </w:r>
      <w:r w:rsidRPr="00D6101B">
        <w:rPr>
          <w:color w:val="000000"/>
        </w:rPr>
        <w:t xml:space="preserve"> more than </w:t>
      </w:r>
      <w:r>
        <w:rPr>
          <w:color w:val="000000"/>
        </w:rPr>
        <w:t>four</w:t>
      </w:r>
      <w:r w:rsidRPr="00D6101B">
        <w:rPr>
          <w:color w:val="000000"/>
        </w:rPr>
        <w:t xml:space="preserve"> beads, </w:t>
      </w:r>
      <w:r>
        <w:rPr>
          <w:color w:val="000000"/>
        </w:rPr>
        <w:t>four</w:t>
      </w:r>
      <w:r w:rsidRPr="00D6101B">
        <w:rPr>
          <w:color w:val="000000"/>
        </w:rPr>
        <w:t xml:space="preserve"> beads </w:t>
      </w:r>
      <w:r>
        <w:rPr>
          <w:color w:val="000000"/>
        </w:rPr>
        <w:t>are</w:t>
      </w:r>
      <w:r w:rsidRPr="00D6101B">
        <w:rPr>
          <w:color w:val="000000"/>
        </w:rPr>
        <w:t xml:space="preserve"> recorded). In both cases</w:t>
      </w:r>
      <w:r>
        <w:rPr>
          <w:color w:val="000000"/>
        </w:rPr>
        <w:t>,</w:t>
      </w:r>
      <w:r w:rsidRPr="00D6101B">
        <w:rPr>
          <w:color w:val="000000"/>
        </w:rPr>
        <w:t xml:space="preserve"> th</w:t>
      </w:r>
      <w:r>
        <w:rPr>
          <w:color w:val="000000"/>
        </w:rPr>
        <w:t>e method</w:t>
      </w:r>
      <w:r w:rsidRPr="00D6101B">
        <w:rPr>
          <w:color w:val="000000"/>
        </w:rPr>
        <w:t xml:space="preserve"> </w:t>
      </w:r>
      <w:r>
        <w:rPr>
          <w:color w:val="000000"/>
        </w:rPr>
        <w:t>is</w:t>
      </w:r>
      <w:r w:rsidRPr="00D6101B">
        <w:rPr>
          <w:color w:val="000000"/>
        </w:rPr>
        <w:t xml:space="preserve"> specified in the database/excel files of the analysis.</w:t>
      </w:r>
    </w:p>
    <w:p w14:paraId="45F29B28"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Regarding</w:t>
      </w:r>
      <w:r w:rsidRPr="00D6101B">
        <w:rPr>
          <w:color w:val="000000"/>
        </w:rPr>
        <w:t xml:space="preserve"> </w:t>
      </w:r>
      <w:r>
        <w:rPr>
          <w:color w:val="000000"/>
        </w:rPr>
        <w:t>non-ceramic</w:t>
      </w:r>
      <w:r w:rsidRPr="00D6101B">
        <w:rPr>
          <w:color w:val="000000"/>
        </w:rPr>
        <w:t xml:space="preserve"> items, beads/necklaces occurrence is </w:t>
      </w:r>
      <w:r>
        <w:rPr>
          <w:color w:val="000000"/>
        </w:rPr>
        <w:t xml:space="preserve">in </w:t>
      </w:r>
      <w:r w:rsidRPr="00D6101B">
        <w:rPr>
          <w:color w:val="000000"/>
        </w:rPr>
        <w:t>some publication</w:t>
      </w:r>
      <w:r>
        <w:rPr>
          <w:color w:val="000000"/>
        </w:rPr>
        <w:t>s</w:t>
      </w:r>
      <w:r w:rsidRPr="00D6101B">
        <w:rPr>
          <w:color w:val="000000"/>
        </w:rPr>
        <w:t xml:space="preserve"> the number of beads reported and not the number of necklace</w:t>
      </w:r>
      <w:r>
        <w:rPr>
          <w:color w:val="000000"/>
        </w:rPr>
        <w:t>s</w:t>
      </w:r>
      <w:r w:rsidRPr="00D6101B">
        <w:rPr>
          <w:color w:val="000000"/>
        </w:rPr>
        <w:t xml:space="preserve"> (it </w:t>
      </w:r>
      <w:r>
        <w:rPr>
          <w:color w:val="000000"/>
        </w:rPr>
        <w:t>is not</w:t>
      </w:r>
      <w:r w:rsidRPr="00D6101B">
        <w:rPr>
          <w:color w:val="000000"/>
        </w:rPr>
        <w:t xml:space="preserve"> possible to reconstruct necklaces from the beads). In some other</w:t>
      </w:r>
      <w:r>
        <w:rPr>
          <w:color w:val="000000"/>
        </w:rPr>
        <w:t xml:space="preserve"> reports,</w:t>
      </w:r>
      <w:r w:rsidRPr="00D6101B">
        <w:rPr>
          <w:color w:val="000000"/>
        </w:rPr>
        <w:t xml:space="preserve"> the number of necklaces is </w:t>
      </w:r>
      <w:r>
        <w:rPr>
          <w:color w:val="000000"/>
        </w:rPr>
        <w:t>stated</w:t>
      </w:r>
      <w:r w:rsidRPr="00D6101B">
        <w:rPr>
          <w:color w:val="000000"/>
        </w:rPr>
        <w:t>.</w:t>
      </w:r>
    </w:p>
    <w:p w14:paraId="07371F95" w14:textId="77777777" w:rsidR="001A4F1A"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Regarding pottery typ</w:t>
      </w:r>
      <w:r w:rsidRPr="00D6101B">
        <w:rPr>
          <w:color w:val="000000"/>
        </w:rPr>
        <w:t>es</w:t>
      </w:r>
      <w:r>
        <w:rPr>
          <w:color w:val="000000"/>
        </w:rPr>
        <w:t>,</w:t>
      </w:r>
      <w:r w:rsidRPr="00D6101B">
        <w:rPr>
          <w:color w:val="000000"/>
        </w:rPr>
        <w:t xml:space="preserve"> some specific types have been grouped in</w:t>
      </w:r>
      <w:r>
        <w:rPr>
          <w:color w:val="000000"/>
        </w:rPr>
        <w:t>to</w:t>
      </w:r>
      <w:r w:rsidRPr="00D6101B">
        <w:rPr>
          <w:color w:val="000000"/>
        </w:rPr>
        <w:t xml:space="preserve"> general categories following </w:t>
      </w:r>
      <w:r>
        <w:rPr>
          <w:color w:val="000000"/>
        </w:rPr>
        <w:t xml:space="preserve">the </w:t>
      </w:r>
      <w:r w:rsidRPr="00D6101B">
        <w:rPr>
          <w:color w:val="000000"/>
        </w:rPr>
        <w:t>pottery classification</w:t>
      </w:r>
      <w:r>
        <w:rPr>
          <w:color w:val="000000"/>
        </w:rPr>
        <w:t>s</w:t>
      </w:r>
      <w:r w:rsidRPr="00D6101B">
        <w:rPr>
          <w:color w:val="000000"/>
        </w:rPr>
        <w:t xml:space="preserve"> adopted by Preston (2000: 626-627</w:t>
      </w:r>
      <w:r>
        <w:rPr>
          <w:color w:val="000000"/>
        </w:rPr>
        <w:t>)</w:t>
      </w:r>
      <w:r w:rsidRPr="00D6101B">
        <w:rPr>
          <w:color w:val="000000"/>
        </w:rPr>
        <w:t xml:space="preserve">; </w:t>
      </w:r>
      <w:r>
        <w:rPr>
          <w:color w:val="000000"/>
        </w:rPr>
        <w:t>for example,</w:t>
      </w:r>
      <w:r w:rsidRPr="00D6101B">
        <w:rPr>
          <w:color w:val="000000"/>
        </w:rPr>
        <w:t xml:space="preserve"> under the category of </w:t>
      </w:r>
      <w:r>
        <w:rPr>
          <w:color w:val="000000"/>
        </w:rPr>
        <w:t>‘</w:t>
      </w:r>
      <w:r w:rsidRPr="00D6101B">
        <w:rPr>
          <w:color w:val="000000"/>
        </w:rPr>
        <w:t>goblet</w:t>
      </w:r>
      <w:r>
        <w:rPr>
          <w:color w:val="000000"/>
        </w:rPr>
        <w:t>’,</w:t>
      </w:r>
      <w:r w:rsidRPr="00D6101B">
        <w:rPr>
          <w:color w:val="000000"/>
        </w:rPr>
        <w:t xml:space="preserve"> kylikes, champagne cups and Ephyrean goblets</w:t>
      </w:r>
      <w:r>
        <w:rPr>
          <w:color w:val="000000"/>
        </w:rPr>
        <w:t xml:space="preserve"> are included</w:t>
      </w:r>
      <w:r w:rsidRPr="00D6101B">
        <w:rPr>
          <w:color w:val="000000"/>
        </w:rPr>
        <w:t xml:space="preserve">; the category of </w:t>
      </w:r>
      <w:r>
        <w:rPr>
          <w:color w:val="000000"/>
        </w:rPr>
        <w:t>‘</w:t>
      </w:r>
      <w:r w:rsidRPr="00D6101B">
        <w:rPr>
          <w:color w:val="000000"/>
        </w:rPr>
        <w:t>alabastra</w:t>
      </w:r>
      <w:r>
        <w:rPr>
          <w:color w:val="000000"/>
        </w:rPr>
        <w:t>’</w:t>
      </w:r>
      <w:r w:rsidRPr="00D6101B">
        <w:rPr>
          <w:color w:val="000000"/>
        </w:rPr>
        <w:t xml:space="preserve"> includes a series of shapes</w:t>
      </w:r>
      <w:r>
        <w:rPr>
          <w:color w:val="000000"/>
        </w:rPr>
        <w:t>,</w:t>
      </w:r>
      <w:r w:rsidRPr="00D6101B">
        <w:rPr>
          <w:color w:val="000000"/>
        </w:rPr>
        <w:t xml:space="preserve"> for example</w:t>
      </w:r>
      <w:r>
        <w:rPr>
          <w:color w:val="000000"/>
        </w:rPr>
        <w:t>,</w:t>
      </w:r>
      <w:r w:rsidRPr="00D6101B">
        <w:rPr>
          <w:color w:val="000000"/>
        </w:rPr>
        <w:t xml:space="preserve"> different types of alabastra</w:t>
      </w:r>
      <w:r>
        <w:rPr>
          <w:color w:val="000000"/>
        </w:rPr>
        <w:t xml:space="preserve"> –</w:t>
      </w:r>
      <w:r w:rsidRPr="00D6101B">
        <w:rPr>
          <w:color w:val="000000"/>
        </w:rPr>
        <w:t xml:space="preserve"> tall, squat, straight-sided, globular. Furthermore, different name</w:t>
      </w:r>
      <w:r>
        <w:rPr>
          <w:color w:val="000000"/>
        </w:rPr>
        <w:t>s</w:t>
      </w:r>
      <w:r w:rsidRPr="00D6101B">
        <w:rPr>
          <w:color w:val="000000"/>
        </w:rPr>
        <w:t xml:space="preserve"> have been </w:t>
      </w:r>
      <w:r>
        <w:rPr>
          <w:color w:val="000000"/>
        </w:rPr>
        <w:t>provided</w:t>
      </w:r>
      <w:r w:rsidRPr="00D6101B">
        <w:rPr>
          <w:color w:val="000000"/>
        </w:rPr>
        <w:t xml:space="preserve"> in the case of this specific type of vase</w:t>
      </w:r>
      <w:r>
        <w:rPr>
          <w:color w:val="000000"/>
        </w:rPr>
        <w:t xml:space="preserve"> (alabastron)</w:t>
      </w:r>
      <w:r w:rsidRPr="00D6101B">
        <w:rPr>
          <w:color w:val="000000"/>
        </w:rPr>
        <w:t xml:space="preserve"> from </w:t>
      </w:r>
      <w:r>
        <w:rPr>
          <w:color w:val="000000"/>
        </w:rPr>
        <w:t xml:space="preserve">the </w:t>
      </w:r>
      <w:r w:rsidRPr="00D6101B">
        <w:rPr>
          <w:color w:val="000000"/>
        </w:rPr>
        <w:t>excavator</w:t>
      </w:r>
      <w:r>
        <w:rPr>
          <w:color w:val="000000"/>
        </w:rPr>
        <w:t xml:space="preserve">s; </w:t>
      </w:r>
      <w:r w:rsidRPr="00D6101B">
        <w:rPr>
          <w:color w:val="000000"/>
        </w:rPr>
        <w:t>for example</w:t>
      </w:r>
      <w:r>
        <w:rPr>
          <w:color w:val="000000"/>
        </w:rPr>
        <w:t>,</w:t>
      </w:r>
      <w:r w:rsidRPr="00D6101B">
        <w:rPr>
          <w:color w:val="000000"/>
        </w:rPr>
        <w:t xml:space="preserve"> amphoriskos, stamnos, two-handle</w:t>
      </w:r>
      <w:r>
        <w:rPr>
          <w:color w:val="000000"/>
        </w:rPr>
        <w:t>d</w:t>
      </w:r>
      <w:r w:rsidRPr="00D6101B">
        <w:rPr>
          <w:color w:val="000000"/>
        </w:rPr>
        <w:t xml:space="preserve"> krater etc.; consequently, Hallager and Preston</w:t>
      </w:r>
      <w:r>
        <w:rPr>
          <w:color w:val="000000"/>
        </w:rPr>
        <w:t>’s</w:t>
      </w:r>
      <w:r w:rsidRPr="00D6101B">
        <w:rPr>
          <w:color w:val="000000"/>
        </w:rPr>
        <w:t xml:space="preserve"> definition ha</w:t>
      </w:r>
      <w:r>
        <w:rPr>
          <w:color w:val="000000"/>
        </w:rPr>
        <w:t>s</w:t>
      </w:r>
      <w:r w:rsidRPr="00D6101B">
        <w:rPr>
          <w:color w:val="000000"/>
        </w:rPr>
        <w:t xml:space="preserve"> been followed </w:t>
      </w:r>
      <w:r>
        <w:rPr>
          <w:color w:val="000000"/>
        </w:rPr>
        <w:t>(</w:t>
      </w:r>
      <w:r w:rsidRPr="00D6101B">
        <w:rPr>
          <w:color w:val="000000"/>
        </w:rPr>
        <w:t>Hallager 1997: 15-16; Preston 2000: 627</w:t>
      </w:r>
      <w:r>
        <w:rPr>
          <w:color w:val="000000"/>
        </w:rPr>
        <w:t>)</w:t>
      </w:r>
      <w:r w:rsidRPr="00D6101B">
        <w:rPr>
          <w:color w:val="000000"/>
        </w:rPr>
        <w:t>; all the different types of stirrup jars (tall, squat, miniature, inscribed, etc.) have been listed under the same general category</w:t>
      </w:r>
      <w:r>
        <w:rPr>
          <w:color w:val="000000"/>
        </w:rPr>
        <w:t>.</w:t>
      </w:r>
    </w:p>
    <w:p w14:paraId="68C346A2" w14:textId="1AA689B3" w:rsidR="001A4F1A" w:rsidRDefault="00DD5369"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001A4F1A">
        <w:rPr>
          <w:color w:val="000000"/>
        </w:rPr>
        <w:t>Considering item quantit</w:t>
      </w:r>
      <w:r>
        <w:rPr>
          <w:color w:val="000000"/>
        </w:rPr>
        <w:t>ies</w:t>
      </w:r>
      <w:r w:rsidR="001A4F1A">
        <w:rPr>
          <w:color w:val="000000"/>
        </w:rPr>
        <w:t xml:space="preserve"> (e.g. detailed number of non-ceramic item types or number of pottery types)</w:t>
      </w:r>
      <w:r>
        <w:rPr>
          <w:color w:val="000000"/>
        </w:rPr>
        <w:t>,</w:t>
      </w:r>
      <w:r w:rsidR="001A4F1A">
        <w:rPr>
          <w:color w:val="000000"/>
        </w:rPr>
        <w:t xml:space="preserve"> the approach that I have adopted in recording data and in the analysis (i.e. to give the specific number of items that has been possible to recover from published record) allows </w:t>
      </w:r>
      <w:r>
        <w:rPr>
          <w:color w:val="000000"/>
        </w:rPr>
        <w:t xml:space="preserve">me </w:t>
      </w:r>
      <w:r w:rsidR="001A4F1A">
        <w:rPr>
          <w:color w:val="000000"/>
        </w:rPr>
        <w:t>to have an approximate number of types of grave goods found in tombs with larnakes. Even if this number cannot be considered fully reliable (cf. data limit</w:t>
      </w:r>
      <w:r w:rsidR="009E47D2">
        <w:rPr>
          <w:color w:val="000000"/>
        </w:rPr>
        <w:t>ations</w:t>
      </w:r>
      <w:r w:rsidR="001A4F1A">
        <w:rPr>
          <w:color w:val="000000"/>
        </w:rPr>
        <w:t xml:space="preserve"> section 4.3.2) it would show which is the range and the approximate quantity of items types deposited in tombs with larnakes, if there are preference in the choice of type of items in assemblages associated with larnakes and if and how this pattern varies through regions (e.g. stirrup jar represents the preferred vessels types in larnax grave goods assemblage through all the regions; Mid-West region shows high occurrence of rings and seals in comparison to the other regions).</w:t>
      </w:r>
    </w:p>
    <w:p w14:paraId="267994D6" w14:textId="77777777" w:rsidR="001A4F1A"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The main aims of the analysis of the grave goods assemblages associated with larnakes are as follows:</w:t>
      </w:r>
    </w:p>
    <w:p w14:paraId="214FA35F" w14:textId="77777777" w:rsidR="001A4F1A" w:rsidRPr="00B25187" w:rsidRDefault="001A4F1A" w:rsidP="00E858EF">
      <w:pPr>
        <w:pStyle w:val="Paragrafoelenco"/>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 xml:space="preserve"> To u</w:t>
      </w:r>
      <w:r w:rsidRPr="00D6101B">
        <w:rPr>
          <w:color w:val="000000"/>
        </w:rPr>
        <w:t xml:space="preserve">nderstand </w:t>
      </w:r>
      <w:r>
        <w:rPr>
          <w:color w:val="000000"/>
        </w:rPr>
        <w:t>whether</w:t>
      </w:r>
      <w:r w:rsidRPr="00D6101B">
        <w:rPr>
          <w:color w:val="000000"/>
        </w:rPr>
        <w:t xml:space="preserve"> grave goods assemblag</w:t>
      </w:r>
      <w:r>
        <w:rPr>
          <w:color w:val="000000"/>
        </w:rPr>
        <w:t>e</w:t>
      </w:r>
      <w:r w:rsidRPr="00D6101B">
        <w:rPr>
          <w:color w:val="000000"/>
        </w:rPr>
        <w:t>s associated in tomb</w:t>
      </w:r>
      <w:r>
        <w:rPr>
          <w:color w:val="000000"/>
        </w:rPr>
        <w:t>s</w:t>
      </w:r>
      <w:r w:rsidRPr="00D6101B">
        <w:rPr>
          <w:color w:val="000000"/>
        </w:rPr>
        <w:t xml:space="preserve"> with larnakes </w:t>
      </w:r>
      <w:r>
        <w:rPr>
          <w:color w:val="000000"/>
        </w:rPr>
        <w:t>display</w:t>
      </w:r>
      <w:r w:rsidRPr="00D6101B">
        <w:rPr>
          <w:color w:val="000000"/>
        </w:rPr>
        <w:t xml:space="preserve"> material diversity and </w:t>
      </w:r>
      <w:r>
        <w:rPr>
          <w:color w:val="000000"/>
        </w:rPr>
        <w:t>include</w:t>
      </w:r>
      <w:r w:rsidRPr="00D6101B">
        <w:rPr>
          <w:color w:val="000000"/>
        </w:rPr>
        <w:t xml:space="preserve"> precious material</w:t>
      </w:r>
      <w:r>
        <w:rPr>
          <w:color w:val="000000"/>
        </w:rPr>
        <w:t>.</w:t>
      </w:r>
      <w:r w:rsidRPr="00D6101B">
        <w:rPr>
          <w:color w:val="000000"/>
        </w:rPr>
        <w:t xml:space="preserve"> </w:t>
      </w:r>
      <w:r>
        <w:rPr>
          <w:color w:val="000000"/>
        </w:rPr>
        <w:t>Also, is there</w:t>
      </w:r>
      <w:r w:rsidRPr="00D6101B">
        <w:rPr>
          <w:color w:val="000000"/>
        </w:rPr>
        <w:t xml:space="preserve"> </w:t>
      </w:r>
      <w:r>
        <w:rPr>
          <w:color w:val="000000"/>
        </w:rPr>
        <w:t>a</w:t>
      </w:r>
      <w:r w:rsidRPr="00D6101B">
        <w:rPr>
          <w:color w:val="000000"/>
        </w:rPr>
        <w:t xml:space="preserve"> preference for specific types of objects both in </w:t>
      </w:r>
      <w:r>
        <w:rPr>
          <w:color w:val="000000"/>
        </w:rPr>
        <w:t>terms</w:t>
      </w:r>
      <w:r w:rsidRPr="00D6101B">
        <w:rPr>
          <w:color w:val="000000"/>
        </w:rPr>
        <w:t xml:space="preserve"> of </w:t>
      </w:r>
      <w:r>
        <w:rPr>
          <w:color w:val="000000"/>
        </w:rPr>
        <w:t>non-ceramic items and pottery typ</w:t>
      </w:r>
      <w:r w:rsidRPr="00D6101B">
        <w:rPr>
          <w:color w:val="000000"/>
        </w:rPr>
        <w:t>es</w:t>
      </w:r>
      <w:r>
        <w:rPr>
          <w:color w:val="000000"/>
        </w:rPr>
        <w:t>?</w:t>
      </w:r>
      <w:r w:rsidRPr="00D6101B">
        <w:rPr>
          <w:color w:val="000000"/>
        </w:rPr>
        <w:t xml:space="preserve"> (e.g. beads, stirrup jars</w:t>
      </w:r>
      <w:r>
        <w:rPr>
          <w:color w:val="000000"/>
        </w:rPr>
        <w:t xml:space="preserve"> or the occurrence of standardised patterns for grave goods assemblages of tombs with larnakes)</w:t>
      </w:r>
    </w:p>
    <w:p w14:paraId="073B2DE2" w14:textId="77777777" w:rsidR="001A4F1A" w:rsidRPr="00526EFC" w:rsidRDefault="001A4F1A" w:rsidP="00E858EF">
      <w:pPr>
        <w:pStyle w:val="Paragrafoelenco"/>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 xml:space="preserve"> To i</w:t>
      </w:r>
      <w:r w:rsidRPr="00D6101B">
        <w:rPr>
          <w:color w:val="000000"/>
        </w:rPr>
        <w:t>dentify the existence of any pattern or broad variation concerning the distribution of materials and type</w:t>
      </w:r>
      <w:r>
        <w:rPr>
          <w:color w:val="000000"/>
        </w:rPr>
        <w:t>s</w:t>
      </w:r>
      <w:r w:rsidRPr="00D6101B">
        <w:rPr>
          <w:color w:val="000000"/>
        </w:rPr>
        <w:t xml:space="preserve"> of assemblage in association in tombs with larnakes across analytical areas</w:t>
      </w:r>
      <w:r>
        <w:rPr>
          <w:color w:val="000000"/>
        </w:rPr>
        <w:t xml:space="preserve"> (i.e. the identification of variability regarding grave goods assemblages). This means </w:t>
      </w:r>
      <w:r>
        <w:t>d</w:t>
      </w:r>
      <w:r w:rsidRPr="00526EFC">
        <w:t>etermin</w:t>
      </w:r>
      <w:r>
        <w:t>ing whether</w:t>
      </w:r>
      <w:r w:rsidRPr="00526EFC">
        <w:t xml:space="preserve"> rich and diverse assemblage</w:t>
      </w:r>
      <w:r>
        <w:t>s</w:t>
      </w:r>
      <w:r w:rsidRPr="00526EFC">
        <w:t xml:space="preserve"> occur in entire regions (</w:t>
      </w:r>
      <w:r>
        <w:t xml:space="preserve">i.e. whether this </w:t>
      </w:r>
      <w:r w:rsidRPr="00526EFC">
        <w:t>can be considered a feature occurring in the vast majority of tombs of the region),</w:t>
      </w:r>
      <w:r>
        <w:t xml:space="preserve"> or instead</w:t>
      </w:r>
      <w:r w:rsidRPr="00526EFC">
        <w:t xml:space="preserve"> </w:t>
      </w:r>
      <w:r>
        <w:t>belong to</w:t>
      </w:r>
      <w:r w:rsidRPr="00526EFC">
        <w:t xml:space="preserve"> </w:t>
      </w:r>
      <w:r>
        <w:t xml:space="preserve">a </w:t>
      </w:r>
      <w:r w:rsidRPr="00526EFC">
        <w:t>circumscribed group of cemeteries or a single cemetery or even to isolated tombs (occurrence of isolated outstanding tombs).</w:t>
      </w:r>
    </w:p>
    <w:p w14:paraId="045BFDB0"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Other possible results: </w:t>
      </w:r>
    </w:p>
    <w:p w14:paraId="58200075" w14:textId="77777777" w:rsidR="001A4F1A" w:rsidRPr="00D6101B" w:rsidRDefault="001A4F1A" w:rsidP="00E858EF">
      <w:pPr>
        <w:pStyle w:val="Paragrafoelenco"/>
        <w:numPr>
          <w:ilvl w:val="0"/>
          <w:numId w:val="5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U</w:t>
      </w:r>
      <w:r w:rsidRPr="00D6101B">
        <w:rPr>
          <w:color w:val="000000"/>
        </w:rPr>
        <w:t>nderstand</w:t>
      </w:r>
      <w:r>
        <w:rPr>
          <w:color w:val="000000"/>
        </w:rPr>
        <w:t>ing</w:t>
      </w:r>
      <w:r w:rsidRPr="00D6101B">
        <w:rPr>
          <w:color w:val="000000"/>
        </w:rPr>
        <w:t xml:space="preserve"> </w:t>
      </w:r>
      <w:r>
        <w:rPr>
          <w:color w:val="000000"/>
        </w:rPr>
        <w:t>whether</w:t>
      </w:r>
      <w:r w:rsidRPr="00D6101B">
        <w:rPr>
          <w:color w:val="000000"/>
        </w:rPr>
        <w:t xml:space="preserve"> there is a prevalence of objects that can be defined as personal </w:t>
      </w:r>
      <w:r>
        <w:rPr>
          <w:color w:val="000000"/>
        </w:rPr>
        <w:t xml:space="preserve">possession of the deceased </w:t>
      </w:r>
      <w:r w:rsidRPr="00D6101B">
        <w:rPr>
          <w:color w:val="000000"/>
        </w:rPr>
        <w:t>(e.g. jewellery or weapons) or</w:t>
      </w:r>
      <w:r>
        <w:rPr>
          <w:color w:val="000000"/>
        </w:rPr>
        <w:t>,</w:t>
      </w:r>
      <w:r w:rsidRPr="00D6101B">
        <w:rPr>
          <w:color w:val="000000"/>
        </w:rPr>
        <w:t xml:space="preserve"> instead</w:t>
      </w:r>
      <w:r>
        <w:rPr>
          <w:color w:val="000000"/>
        </w:rPr>
        <w:t>,</w:t>
      </w:r>
      <w:r w:rsidRPr="00D6101B">
        <w:rPr>
          <w:color w:val="000000"/>
        </w:rPr>
        <w:t xml:space="preserve"> items probably used during the funeral or during ceremonies in honour of the d</w:t>
      </w:r>
      <w:r>
        <w:rPr>
          <w:color w:val="000000"/>
        </w:rPr>
        <w:t>eceased.</w:t>
      </w:r>
    </w:p>
    <w:p w14:paraId="5EBE7932" w14:textId="77777777" w:rsidR="001A4F1A" w:rsidRDefault="001A4F1A" w:rsidP="00E858EF">
      <w:pPr>
        <w:pStyle w:val="Paragrafoelenco"/>
        <w:numPr>
          <w:ilvl w:val="0"/>
          <w:numId w:val="5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Whether</w:t>
      </w:r>
      <w:r w:rsidRPr="00D6101B">
        <w:rPr>
          <w:color w:val="000000"/>
        </w:rPr>
        <w:t xml:space="preserve"> there is any connection between </w:t>
      </w:r>
      <w:r>
        <w:rPr>
          <w:color w:val="000000"/>
        </w:rPr>
        <w:t>architectural monumentality recovered</w:t>
      </w:r>
      <w:r w:rsidRPr="00D6101B">
        <w:rPr>
          <w:color w:val="000000"/>
        </w:rPr>
        <w:t xml:space="preserve"> in tombs and </w:t>
      </w:r>
      <w:r>
        <w:rPr>
          <w:color w:val="000000"/>
        </w:rPr>
        <w:t xml:space="preserve">the </w:t>
      </w:r>
      <w:r w:rsidRPr="00D6101B">
        <w:rPr>
          <w:color w:val="000000"/>
        </w:rPr>
        <w:t>region and the occurrence of precious materials</w:t>
      </w:r>
      <w:r>
        <w:rPr>
          <w:color w:val="000000"/>
        </w:rPr>
        <w:t>.</w:t>
      </w:r>
    </w:p>
    <w:p w14:paraId="4C3C5432" w14:textId="77777777" w:rsidR="001A4F1A" w:rsidRPr="00D6101B" w:rsidRDefault="001A4F1A" w:rsidP="00E858EF">
      <w:pPr>
        <w:pStyle w:val="Paragrafoelenco"/>
        <w:numPr>
          <w:ilvl w:val="0"/>
          <w:numId w:val="5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Identifying patterns that could help identify the individuality expressed through larnax burials;</w:t>
      </w:r>
    </w:p>
    <w:p w14:paraId="4176E49F"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360"/>
        <w:rPr>
          <w:color w:val="000000"/>
        </w:rPr>
      </w:pPr>
      <w:r>
        <w:rPr>
          <w:color w:val="000000"/>
        </w:rPr>
        <w:t>These</w:t>
      </w:r>
      <w:r w:rsidRPr="00D6101B">
        <w:rPr>
          <w:color w:val="000000"/>
        </w:rPr>
        <w:t xml:space="preserve"> aspects </w:t>
      </w:r>
      <w:r>
        <w:rPr>
          <w:color w:val="000000"/>
        </w:rPr>
        <w:t>are</w:t>
      </w:r>
      <w:r w:rsidRPr="00D6101B">
        <w:rPr>
          <w:color w:val="000000"/>
        </w:rPr>
        <w:t xml:space="preserve"> examined further</w:t>
      </w:r>
      <w:r>
        <w:rPr>
          <w:color w:val="000000"/>
        </w:rPr>
        <w:t xml:space="preserve"> below</w:t>
      </w:r>
      <w:r w:rsidRPr="00D6101B">
        <w:rPr>
          <w:color w:val="000000"/>
        </w:rPr>
        <w:t xml:space="preserve"> in</w:t>
      </w:r>
      <w:r>
        <w:rPr>
          <w:color w:val="000000"/>
        </w:rPr>
        <w:t xml:space="preserve"> the</w:t>
      </w:r>
      <w:r w:rsidRPr="00D6101B">
        <w:rPr>
          <w:color w:val="000000"/>
        </w:rPr>
        <w:t xml:space="preserve"> discussion chapter (</w:t>
      </w:r>
      <w:r>
        <w:rPr>
          <w:color w:val="000000"/>
        </w:rPr>
        <w:t>C</w:t>
      </w:r>
      <w:r w:rsidRPr="00D6101B">
        <w:rPr>
          <w:color w:val="000000"/>
        </w:rPr>
        <w:t>hapter 6: use of tombs with larnakes)</w:t>
      </w:r>
      <w:r>
        <w:rPr>
          <w:color w:val="000000"/>
        </w:rPr>
        <w:t>.</w:t>
      </w:r>
    </w:p>
    <w:p w14:paraId="092D752B" w14:textId="26FF947A" w:rsidR="001A4F1A" w:rsidRPr="00D6101B" w:rsidRDefault="001A4F1A" w:rsidP="00E858EF">
      <w:pPr>
        <w:pStyle w:val="Titolo3"/>
        <w:keepNext w:val="0"/>
        <w:keepLines w:val="0"/>
        <w:suppressAutoHyphens/>
      </w:pPr>
      <w:bookmarkStart w:id="777" w:name="_Toc389508241"/>
      <w:bookmarkStart w:id="778" w:name="_Toc517745321"/>
      <w:bookmarkStart w:id="779" w:name="_Toc519894660"/>
      <w:r w:rsidRPr="00D6101B">
        <w:t>Data limit</w:t>
      </w:r>
      <w:r w:rsidR="002F399A">
        <w:t>ations</w:t>
      </w:r>
      <w:bookmarkEnd w:id="777"/>
      <w:bookmarkEnd w:id="778"/>
      <w:bookmarkEnd w:id="779"/>
    </w:p>
    <w:p w14:paraId="2FF49816" w14:textId="77777777" w:rsidR="001A4F1A" w:rsidRPr="00D6101B"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The d</w:t>
      </w:r>
      <w:r w:rsidRPr="00D6101B">
        <w:rPr>
          <w:color w:val="000000"/>
        </w:rPr>
        <w:t>ata limits concern mainly</w:t>
      </w:r>
      <w:r>
        <w:rPr>
          <w:color w:val="000000"/>
        </w:rPr>
        <w:t xml:space="preserve"> the following</w:t>
      </w:r>
      <w:r w:rsidRPr="00D6101B">
        <w:rPr>
          <w:color w:val="000000"/>
        </w:rPr>
        <w:t>:</w:t>
      </w:r>
    </w:p>
    <w:p w14:paraId="557B56F0" w14:textId="77777777" w:rsidR="001A4F1A" w:rsidRPr="00D6101B" w:rsidRDefault="001A4F1A" w:rsidP="00E858EF">
      <w:pPr>
        <w:pStyle w:val="Paragrafoelenco"/>
        <w:numPr>
          <w:ilvl w:val="0"/>
          <w:numId w:val="5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Looting activity. </w:t>
      </w:r>
      <w:r>
        <w:rPr>
          <w:color w:val="000000"/>
        </w:rPr>
        <w:t>I</w:t>
      </w:r>
      <w:r w:rsidRPr="00D6101B">
        <w:rPr>
          <w:color w:val="000000"/>
        </w:rPr>
        <w:t xml:space="preserve">t is possible </w:t>
      </w:r>
      <w:r>
        <w:rPr>
          <w:color w:val="000000"/>
        </w:rPr>
        <w:t xml:space="preserve">that, </w:t>
      </w:r>
      <w:r w:rsidRPr="00D6101B">
        <w:rPr>
          <w:color w:val="000000"/>
        </w:rPr>
        <w:t>in some case</w:t>
      </w:r>
      <w:r>
        <w:rPr>
          <w:color w:val="000000"/>
        </w:rPr>
        <w:t>s,</w:t>
      </w:r>
      <w:r w:rsidRPr="00D6101B">
        <w:rPr>
          <w:color w:val="000000"/>
        </w:rPr>
        <w:t xml:space="preserve"> the result</w:t>
      </w:r>
      <w:r>
        <w:rPr>
          <w:color w:val="000000"/>
        </w:rPr>
        <w:t>s</w:t>
      </w:r>
      <w:r w:rsidRPr="00D6101B">
        <w:rPr>
          <w:color w:val="000000"/>
        </w:rPr>
        <w:t xml:space="preserve"> concerning the occurrence of precious materials could be biased in comparison with pottery artefacts because precious items (gold, ivory</w:t>
      </w:r>
      <w:r>
        <w:rPr>
          <w:color w:val="000000"/>
        </w:rPr>
        <w:t>,</w:t>
      </w:r>
      <w:r w:rsidRPr="00D6101B">
        <w:rPr>
          <w:color w:val="000000"/>
        </w:rPr>
        <w:t xml:space="preserve"> silver</w:t>
      </w:r>
      <w:r>
        <w:rPr>
          <w:color w:val="000000"/>
        </w:rPr>
        <w:t>,</w:t>
      </w:r>
      <w:r w:rsidRPr="00D6101B">
        <w:rPr>
          <w:color w:val="000000"/>
        </w:rPr>
        <w:t xml:space="preserve"> etc.) could have been easily</w:t>
      </w:r>
      <w:r>
        <w:rPr>
          <w:color w:val="000000"/>
        </w:rPr>
        <w:t xml:space="preserve"> robbed</w:t>
      </w:r>
      <w:r w:rsidRPr="00D6101B">
        <w:rPr>
          <w:color w:val="000000"/>
        </w:rPr>
        <w:t>.</w:t>
      </w:r>
    </w:p>
    <w:p w14:paraId="77C311F2" w14:textId="77777777" w:rsidR="001A4F1A" w:rsidRPr="00D6101B" w:rsidRDefault="001A4F1A" w:rsidP="00E858EF">
      <w:pPr>
        <w:pStyle w:val="Paragrafoelenco"/>
        <w:numPr>
          <w:ilvl w:val="0"/>
          <w:numId w:val="5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Lack of complete publication</w:t>
      </w:r>
      <w:r>
        <w:rPr>
          <w:color w:val="000000"/>
        </w:rPr>
        <w:t>.</w:t>
      </w:r>
      <w:r w:rsidRPr="00D6101B">
        <w:rPr>
          <w:color w:val="000000"/>
        </w:rPr>
        <w:t xml:space="preserve"> </w:t>
      </w:r>
      <w:r>
        <w:rPr>
          <w:color w:val="000000"/>
        </w:rPr>
        <w:t>For many</w:t>
      </w:r>
      <w:r w:rsidRPr="00D6101B">
        <w:rPr>
          <w:color w:val="000000"/>
        </w:rPr>
        <w:t xml:space="preserve"> tombs</w:t>
      </w:r>
      <w:r>
        <w:rPr>
          <w:color w:val="000000"/>
        </w:rPr>
        <w:t>, the</w:t>
      </w:r>
      <w:r w:rsidRPr="00D6101B">
        <w:rPr>
          <w:color w:val="000000"/>
        </w:rPr>
        <w:t xml:space="preserve"> only information</w:t>
      </w:r>
      <w:r>
        <w:rPr>
          <w:color w:val="000000"/>
        </w:rPr>
        <w:t xml:space="preserve"> available is</w:t>
      </w:r>
      <w:r w:rsidRPr="00D6101B">
        <w:rPr>
          <w:color w:val="000000"/>
        </w:rPr>
        <w:t xml:space="preserve"> from preliminary reports. Information </w:t>
      </w:r>
      <w:r>
        <w:rPr>
          <w:color w:val="000000"/>
        </w:rPr>
        <w:t>regarding</w:t>
      </w:r>
      <w:r w:rsidRPr="00D6101B">
        <w:rPr>
          <w:color w:val="000000"/>
        </w:rPr>
        <w:t xml:space="preserve"> grave goods assemblage composition (materials, type of items and quantity) is not always fully reported for the tombs considered in the sample. Therefore, the sample of tombs considered for the analysis of material types, </w:t>
      </w:r>
      <w:r>
        <w:rPr>
          <w:color w:val="000000"/>
        </w:rPr>
        <w:t>non-ceramic</w:t>
      </w:r>
      <w:r w:rsidRPr="00D6101B">
        <w:rPr>
          <w:color w:val="000000"/>
        </w:rPr>
        <w:t xml:space="preserve"> items and pottery typologies </w:t>
      </w:r>
      <w:r>
        <w:rPr>
          <w:color w:val="000000"/>
        </w:rPr>
        <w:t>varies in size</w:t>
      </w:r>
      <w:r w:rsidRPr="00D6101B">
        <w:rPr>
          <w:color w:val="000000"/>
        </w:rPr>
        <w:t>. For example, there are cases in which only the presence of pottery artefacts</w:t>
      </w:r>
      <w:r>
        <w:rPr>
          <w:color w:val="000000"/>
        </w:rPr>
        <w:t xml:space="preserve"> is reported;</w:t>
      </w:r>
      <w:r w:rsidRPr="00D6101B">
        <w:rPr>
          <w:color w:val="000000"/>
        </w:rPr>
        <w:t xml:space="preserve"> or only the quantity of the items without any details about the types</w:t>
      </w:r>
      <w:r>
        <w:rPr>
          <w:color w:val="000000"/>
        </w:rPr>
        <w:t>;</w:t>
      </w:r>
      <w:r w:rsidRPr="00D6101B">
        <w:rPr>
          <w:color w:val="000000"/>
        </w:rPr>
        <w:t xml:space="preserve"> or</w:t>
      </w:r>
      <w:r>
        <w:rPr>
          <w:color w:val="000000"/>
        </w:rPr>
        <w:t>,</w:t>
      </w:r>
      <w:r w:rsidRPr="00D6101B">
        <w:rPr>
          <w:color w:val="000000"/>
        </w:rPr>
        <w:t xml:space="preserve"> for some typologies</w:t>
      </w:r>
      <w:r>
        <w:rPr>
          <w:color w:val="000000"/>
        </w:rPr>
        <w:t>, the</w:t>
      </w:r>
      <w:r w:rsidRPr="00D6101B">
        <w:rPr>
          <w:color w:val="000000"/>
        </w:rPr>
        <w:t xml:space="preserve"> number is reported</w:t>
      </w:r>
      <w:r>
        <w:rPr>
          <w:color w:val="000000"/>
        </w:rPr>
        <w:t>,</w:t>
      </w:r>
      <w:r w:rsidRPr="00D6101B">
        <w:rPr>
          <w:color w:val="000000"/>
        </w:rPr>
        <w:t xml:space="preserve"> </w:t>
      </w:r>
      <w:r>
        <w:rPr>
          <w:color w:val="000000"/>
        </w:rPr>
        <w:t>but not for</w:t>
      </w:r>
      <w:r w:rsidRPr="00D6101B">
        <w:rPr>
          <w:color w:val="000000"/>
        </w:rPr>
        <w:t xml:space="preserve"> other</w:t>
      </w:r>
      <w:r>
        <w:rPr>
          <w:color w:val="000000"/>
        </w:rPr>
        <w:t>s</w:t>
      </w:r>
      <w:r w:rsidRPr="00D6101B">
        <w:rPr>
          <w:color w:val="000000"/>
        </w:rPr>
        <w:t xml:space="preserve">. Nevertheless, </w:t>
      </w:r>
      <w:r>
        <w:rPr>
          <w:color w:val="000000"/>
        </w:rPr>
        <w:t xml:space="preserve">considering </w:t>
      </w:r>
      <w:r w:rsidRPr="00D6101B">
        <w:rPr>
          <w:color w:val="000000"/>
        </w:rPr>
        <w:t xml:space="preserve">these reliability problems, the analysis </w:t>
      </w:r>
      <w:r>
        <w:rPr>
          <w:color w:val="000000"/>
        </w:rPr>
        <w:t>was</w:t>
      </w:r>
      <w:r w:rsidRPr="00D6101B">
        <w:rPr>
          <w:color w:val="000000"/>
        </w:rPr>
        <w:t xml:space="preserve"> conducted trying to rely on the most secure sample and</w:t>
      </w:r>
      <w:r>
        <w:rPr>
          <w:color w:val="000000"/>
        </w:rPr>
        <w:t>,</w:t>
      </w:r>
      <w:r w:rsidRPr="00D6101B">
        <w:rPr>
          <w:color w:val="000000"/>
        </w:rPr>
        <w:t xml:space="preserve"> at the same time</w:t>
      </w:r>
      <w:r>
        <w:rPr>
          <w:color w:val="000000"/>
        </w:rPr>
        <w:t>,</w:t>
      </w:r>
      <w:r w:rsidRPr="00D6101B">
        <w:rPr>
          <w:color w:val="000000"/>
        </w:rPr>
        <w:t xml:space="preserve"> including all the available information</w:t>
      </w:r>
      <w:r>
        <w:rPr>
          <w:color w:val="000000"/>
        </w:rPr>
        <w:t xml:space="preserve"> while</w:t>
      </w:r>
      <w:r w:rsidRPr="00D6101B">
        <w:rPr>
          <w:color w:val="000000"/>
        </w:rPr>
        <w:t xml:space="preserve"> specifying in the database if the information </w:t>
      </w:r>
      <w:r>
        <w:rPr>
          <w:color w:val="000000"/>
        </w:rPr>
        <w:t>has</w:t>
      </w:r>
      <w:r w:rsidRPr="00D6101B">
        <w:rPr>
          <w:color w:val="000000"/>
        </w:rPr>
        <w:t xml:space="preserve"> any sort of reliability limits.</w:t>
      </w:r>
    </w:p>
    <w:p w14:paraId="11946C2D" w14:textId="77777777" w:rsidR="001A4F1A" w:rsidRDefault="001A4F1A" w:rsidP="00E858EF">
      <w:pPr>
        <w:pStyle w:val="Paragrafoelenco"/>
        <w:numPr>
          <w:ilvl w:val="0"/>
          <w:numId w:val="5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D6101B">
        <w:rPr>
          <w:color w:val="000000"/>
        </w:rPr>
        <w:t xml:space="preserve">Evidence </w:t>
      </w:r>
      <w:r>
        <w:rPr>
          <w:color w:val="000000"/>
        </w:rPr>
        <w:t>regarding</w:t>
      </w:r>
      <w:r w:rsidRPr="00D6101B">
        <w:rPr>
          <w:color w:val="000000"/>
        </w:rPr>
        <w:t xml:space="preserve"> grave goods assemblage position within the tomb and their association with specific deposition</w:t>
      </w:r>
      <w:r>
        <w:rPr>
          <w:color w:val="000000"/>
        </w:rPr>
        <w:t>s</w:t>
      </w:r>
      <w:r w:rsidRPr="00D6101B">
        <w:rPr>
          <w:color w:val="000000"/>
        </w:rPr>
        <w:t xml:space="preserve"> within the tomb (e.g.</w:t>
      </w:r>
      <w:r>
        <w:rPr>
          <w:color w:val="000000"/>
        </w:rPr>
        <w:t xml:space="preserve"> as </w:t>
      </w:r>
      <w:r w:rsidRPr="00D6101B">
        <w:rPr>
          <w:color w:val="000000"/>
        </w:rPr>
        <w:t xml:space="preserve">has </w:t>
      </w:r>
      <w:r>
        <w:rPr>
          <w:color w:val="000000"/>
        </w:rPr>
        <w:t>been done for Ligortyno tombs:</w:t>
      </w:r>
      <w:r w:rsidRPr="00D6101B">
        <w:rPr>
          <w:color w:val="000000"/>
        </w:rPr>
        <w:t xml:space="preserve"> D’Agata 2015) has not been analysed. This is </w:t>
      </w:r>
      <w:r>
        <w:rPr>
          <w:color w:val="000000"/>
        </w:rPr>
        <w:t xml:space="preserve">because of </w:t>
      </w:r>
      <w:r w:rsidRPr="00D6101B">
        <w:rPr>
          <w:color w:val="000000"/>
        </w:rPr>
        <w:t>the</w:t>
      </w:r>
      <w:r>
        <w:rPr>
          <w:color w:val="000000"/>
        </w:rPr>
        <w:t xml:space="preserve"> general </w:t>
      </w:r>
      <w:r w:rsidRPr="00D6101B">
        <w:rPr>
          <w:color w:val="000000"/>
        </w:rPr>
        <w:t xml:space="preserve">poor quality of information available </w:t>
      </w:r>
      <w:r>
        <w:rPr>
          <w:color w:val="000000"/>
        </w:rPr>
        <w:t>for</w:t>
      </w:r>
      <w:r w:rsidRPr="00D6101B">
        <w:rPr>
          <w:color w:val="000000"/>
        </w:rPr>
        <w:t xml:space="preserve"> the sample analysed</w:t>
      </w:r>
      <w:r>
        <w:rPr>
          <w:color w:val="000000"/>
        </w:rPr>
        <w:t xml:space="preserve"> (cf. Voutsaki 1995: 56).</w:t>
      </w:r>
      <w:r w:rsidRPr="00D6101B">
        <w:rPr>
          <w:color w:val="000000"/>
        </w:rPr>
        <w:t xml:space="preserve"> </w:t>
      </w:r>
    </w:p>
    <w:p w14:paraId="0606A62F" w14:textId="77777777" w:rsidR="001A4F1A"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360"/>
        <w:rPr>
          <w:color w:val="000000"/>
        </w:rPr>
      </w:pPr>
      <w:r>
        <w:rPr>
          <w:color w:val="000000"/>
        </w:rPr>
        <w:t>Further discussion about the way of approaching mortuary data and ways to overcome data limits see: Voutsaki 1995: 55-58.</w:t>
      </w:r>
    </w:p>
    <w:p w14:paraId="049C840B" w14:textId="2710FB27" w:rsidR="001A4F1A" w:rsidRPr="00D6101B" w:rsidRDefault="001A4F1A" w:rsidP="00E858EF">
      <w:pPr>
        <w:pStyle w:val="Titolo3"/>
        <w:keepNext w:val="0"/>
        <w:keepLines w:val="0"/>
        <w:suppressAutoHyphens/>
      </w:pPr>
      <w:bookmarkStart w:id="780" w:name="_Toc389508242"/>
      <w:bookmarkStart w:id="781" w:name="_Toc517745322"/>
      <w:bookmarkStart w:id="782" w:name="_Toc519894661"/>
      <w:r>
        <w:t>Far-West</w:t>
      </w:r>
      <w:r w:rsidRPr="00D6101B">
        <w:t xml:space="preserve"> </w:t>
      </w:r>
      <w:r w:rsidR="007D3735">
        <w:t xml:space="preserve">area </w:t>
      </w:r>
      <w:r w:rsidRPr="00D6101B">
        <w:t>(grave goods)</w:t>
      </w:r>
      <w:bookmarkEnd w:id="780"/>
      <w:bookmarkEnd w:id="781"/>
      <w:bookmarkEnd w:id="782"/>
    </w:p>
    <w:p w14:paraId="03824D53" w14:textId="77777777" w:rsidR="001A4F1A" w:rsidRPr="00D6101B" w:rsidRDefault="001A4F1A" w:rsidP="00E858EF">
      <w:pPr>
        <w:suppressAutoHyphens/>
      </w:pPr>
      <w:r w:rsidRPr="00D6101B">
        <w:t xml:space="preserve">In the </w:t>
      </w:r>
      <w:r>
        <w:t>Far-West</w:t>
      </w:r>
      <w:r w:rsidRPr="00D6101B">
        <w:t xml:space="preserve"> area</w:t>
      </w:r>
      <w:r>
        <w:t>,</w:t>
      </w:r>
      <w:r w:rsidRPr="00D6101B">
        <w:t xml:space="preserve"> only one tomb with </w:t>
      </w:r>
      <w:r>
        <w:t xml:space="preserve">a </w:t>
      </w:r>
      <w:r w:rsidRPr="00D6101B">
        <w:t xml:space="preserve">larnax burial provided </w:t>
      </w:r>
      <w:r>
        <w:t>good</w:t>
      </w:r>
      <w:r w:rsidRPr="00D6101B">
        <w:t xml:space="preserve"> information </w:t>
      </w:r>
      <w:r>
        <w:t>regarding</w:t>
      </w:r>
      <w:r w:rsidRPr="00D6101B">
        <w:t xml:space="preserve"> assemblage composition.</w:t>
      </w:r>
      <w:r>
        <w:t xml:space="preserve"> </w:t>
      </w:r>
      <w:r w:rsidRPr="00D6101B">
        <w:t>Unfortunately, the almost complete lack of grave good</w:t>
      </w:r>
      <w:r>
        <w:t>s</w:t>
      </w:r>
      <w:r w:rsidRPr="00D6101B">
        <w:t xml:space="preserve"> assemblage</w:t>
      </w:r>
      <w:r>
        <w:t>s</w:t>
      </w:r>
      <w:r w:rsidRPr="00D6101B">
        <w:t xml:space="preserve"> </w:t>
      </w:r>
      <w:r>
        <w:t>prevents</w:t>
      </w:r>
      <w:r w:rsidRPr="00D6101B">
        <w:t xml:space="preserve"> any analysis </w:t>
      </w:r>
      <w:r>
        <w:t>regarding</w:t>
      </w:r>
      <w:r w:rsidRPr="00D6101B">
        <w:t xml:space="preserve"> materials and artefact types associated with larnax burial</w:t>
      </w:r>
      <w:r>
        <w:t>s</w:t>
      </w:r>
      <w:r w:rsidRPr="00D6101B">
        <w:t xml:space="preserve">. </w:t>
      </w:r>
      <w:r>
        <w:t xml:space="preserve"> However,</w:t>
      </w:r>
      <w:r w:rsidRPr="00D6101B">
        <w:t xml:space="preserve"> the only clay vessel (amphoriskos</w:t>
      </w:r>
      <w:r>
        <w:t xml:space="preserve"> according to the report: </w:t>
      </w:r>
      <w:r w:rsidRPr="00EB4D94">
        <w:rPr>
          <w:i/>
          <w:color w:val="000000"/>
        </w:rPr>
        <w:t xml:space="preserve">ADelt </w:t>
      </w:r>
      <w:r w:rsidRPr="00D6101B">
        <w:rPr>
          <w:color w:val="000000"/>
        </w:rPr>
        <w:t>38 1983: 360</w:t>
      </w:r>
      <w:r>
        <w:rPr>
          <w:color w:val="000000"/>
        </w:rPr>
        <w:t>;</w:t>
      </w:r>
      <w:r>
        <w:t xml:space="preserve"> </w:t>
      </w:r>
      <w:r w:rsidRPr="00D6101B">
        <w:t>amphora</w:t>
      </w:r>
      <w:r>
        <w:t>,</w:t>
      </w:r>
      <w:r w:rsidRPr="00D6101B">
        <w:t xml:space="preserve"> according to Preston 2000) found in association with the former floor burial of the tomb and dated to LM IIIA </w:t>
      </w:r>
      <w:r w:rsidRPr="00D6101B">
        <w:rPr>
          <w:color w:val="000000"/>
        </w:rPr>
        <w:t>(</w:t>
      </w:r>
      <w:r w:rsidRPr="00EB4D94">
        <w:rPr>
          <w:i/>
          <w:color w:val="000000"/>
        </w:rPr>
        <w:t>ADelt</w:t>
      </w:r>
      <w:r w:rsidRPr="00D6101B">
        <w:rPr>
          <w:color w:val="000000"/>
        </w:rPr>
        <w:t xml:space="preserve"> 38 1983: 360)</w:t>
      </w:r>
      <w:r w:rsidRPr="00D6101B">
        <w:t xml:space="preserve">, </w:t>
      </w:r>
      <w:r>
        <w:t>indicates a</w:t>
      </w:r>
      <w:r w:rsidRPr="00D6101B">
        <w:t xml:space="preserve"> specific chronology for the two phases of use of the tomb.</w:t>
      </w:r>
    </w:p>
    <w:p w14:paraId="38DD2CE3" w14:textId="77777777" w:rsidR="001A4F1A" w:rsidRDefault="001A4F1A" w:rsidP="00E858EF">
      <w:pPr>
        <w:suppressAutoHyphens/>
      </w:pPr>
    </w:p>
    <w:p w14:paraId="180FE219" w14:textId="60842B78" w:rsidR="001A4F1A" w:rsidRPr="00D6101B" w:rsidRDefault="001A4F1A" w:rsidP="00E858EF">
      <w:pPr>
        <w:pStyle w:val="Testofumetto"/>
        <w:suppressAutoHyphens/>
      </w:pPr>
      <w:bookmarkStart w:id="783" w:name="_Toc520212606"/>
      <w:r>
        <w:t>Table 4-31</w:t>
      </w:r>
      <w:r w:rsidR="00DC6690">
        <w:t>.</w:t>
      </w:r>
      <w:r>
        <w:t xml:space="preserve"> Depositions with grave goods associated in the tomb with larnax burial </w:t>
      </w:r>
      <w:r w:rsidR="007B628E">
        <w:t xml:space="preserve">at </w:t>
      </w:r>
      <w:r>
        <w:t>Chania Koumpes</w:t>
      </w:r>
      <w:r w:rsidR="007B628E">
        <w:t>,</w:t>
      </w:r>
      <w:r>
        <w:t xml:space="preserve"> Far-West</w:t>
      </w:r>
      <w:bookmarkEnd w:id="783"/>
      <w:r w:rsidR="007B628E">
        <w:t xml:space="preserve"> area</w:t>
      </w:r>
    </w:p>
    <w:tbl>
      <w:tblPr>
        <w:tblStyle w:val="Grigliatabella"/>
        <w:tblW w:w="8505" w:type="dxa"/>
        <w:tblInd w:w="108" w:type="dxa"/>
        <w:tblLook w:val="04A0" w:firstRow="1" w:lastRow="0" w:firstColumn="1" w:lastColumn="0" w:noHBand="0" w:noVBand="1"/>
      </w:tblPr>
      <w:tblGrid>
        <w:gridCol w:w="1985"/>
        <w:gridCol w:w="2548"/>
        <w:gridCol w:w="3972"/>
      </w:tblGrid>
      <w:tr w:rsidR="001A4F1A" w:rsidRPr="005C07D3" w14:paraId="183268C1" w14:textId="77777777" w:rsidTr="00437108">
        <w:tc>
          <w:tcPr>
            <w:tcW w:w="1985" w:type="dxa"/>
          </w:tcPr>
          <w:p w14:paraId="3461A68F" w14:textId="77777777" w:rsidR="001A4F1A" w:rsidRPr="005C07D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5C07D3">
              <w:rPr>
                <w:color w:val="000000"/>
                <w:sz w:val="20"/>
              </w:rPr>
              <w:t>Phase 1</w:t>
            </w:r>
          </w:p>
        </w:tc>
        <w:tc>
          <w:tcPr>
            <w:tcW w:w="2548" w:type="dxa"/>
          </w:tcPr>
          <w:p w14:paraId="213F8EBF" w14:textId="77777777" w:rsidR="001A4F1A" w:rsidRPr="005C07D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5C07D3">
              <w:rPr>
                <w:color w:val="000000"/>
                <w:sz w:val="20"/>
              </w:rPr>
              <w:t>Deposition on the floor</w:t>
            </w:r>
          </w:p>
        </w:tc>
        <w:tc>
          <w:tcPr>
            <w:tcW w:w="3972" w:type="dxa"/>
          </w:tcPr>
          <w:p w14:paraId="1E540437" w14:textId="77777777" w:rsidR="001A4F1A" w:rsidRPr="005C07D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5C07D3">
              <w:rPr>
                <w:color w:val="000000"/>
                <w:sz w:val="20"/>
              </w:rPr>
              <w:t>LM IIIA (based on the amphoriskos associated with the burial)</w:t>
            </w:r>
          </w:p>
        </w:tc>
      </w:tr>
      <w:tr w:rsidR="001A4F1A" w:rsidRPr="005C07D3" w14:paraId="2D103A74" w14:textId="77777777" w:rsidTr="00437108">
        <w:tc>
          <w:tcPr>
            <w:tcW w:w="1985" w:type="dxa"/>
          </w:tcPr>
          <w:p w14:paraId="60E9857C" w14:textId="77777777" w:rsidR="001A4F1A" w:rsidRPr="005C07D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5C07D3">
              <w:rPr>
                <w:color w:val="000000"/>
                <w:sz w:val="20"/>
              </w:rPr>
              <w:t>Phase 2</w:t>
            </w:r>
          </w:p>
        </w:tc>
        <w:tc>
          <w:tcPr>
            <w:tcW w:w="2548" w:type="dxa"/>
          </w:tcPr>
          <w:p w14:paraId="79B2C9EC" w14:textId="77777777" w:rsidR="001A4F1A" w:rsidRPr="005C07D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5C07D3">
              <w:rPr>
                <w:color w:val="000000"/>
                <w:sz w:val="20"/>
              </w:rPr>
              <w:t>Larnax burial</w:t>
            </w:r>
          </w:p>
        </w:tc>
        <w:tc>
          <w:tcPr>
            <w:tcW w:w="3972" w:type="dxa"/>
          </w:tcPr>
          <w:p w14:paraId="5AF967CE" w14:textId="77777777" w:rsidR="001A4F1A" w:rsidRPr="005C07D3" w:rsidRDefault="001A4F1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rPr>
            </w:pPr>
            <w:r w:rsidRPr="005C07D3">
              <w:rPr>
                <w:color w:val="000000"/>
                <w:sz w:val="20"/>
              </w:rPr>
              <w:t>LM IIIB (?) (Based on the excavation report)</w:t>
            </w:r>
          </w:p>
        </w:tc>
      </w:tr>
    </w:tbl>
    <w:p w14:paraId="629F4E34" w14:textId="77777777" w:rsidR="001A4F1A" w:rsidRDefault="001A4F1A" w:rsidP="00E858EF">
      <w:pPr>
        <w:suppressAutoHyphens/>
      </w:pPr>
    </w:p>
    <w:p w14:paraId="4193539F" w14:textId="77777777" w:rsidR="001A4F1A" w:rsidRPr="00D6101B" w:rsidRDefault="001A4F1A" w:rsidP="00E858EF">
      <w:pPr>
        <w:suppressAutoHyphens/>
      </w:pPr>
      <w:r>
        <w:tab/>
      </w:r>
      <w:r w:rsidRPr="00D6101B">
        <w:t xml:space="preserve">Unfortunately, no further explanation </w:t>
      </w:r>
      <w:r>
        <w:t>is</w:t>
      </w:r>
      <w:r w:rsidRPr="00D6101B">
        <w:t xml:space="preserve"> available </w:t>
      </w:r>
      <w:r>
        <w:t>about why</w:t>
      </w:r>
      <w:r w:rsidRPr="00D6101B">
        <w:t xml:space="preserve"> this tomb lacks grave goods. Looting </w:t>
      </w:r>
      <w:r>
        <w:t>is</w:t>
      </w:r>
      <w:r w:rsidRPr="00D6101B">
        <w:t xml:space="preserve"> one probable explanation, although it </w:t>
      </w:r>
      <w:r>
        <w:t>is</w:t>
      </w:r>
      <w:r w:rsidRPr="00D6101B">
        <w:t xml:space="preserve"> also possible that this </w:t>
      </w:r>
      <w:r>
        <w:t>is</w:t>
      </w:r>
      <w:r w:rsidRPr="00D6101B">
        <w:t xml:space="preserve"> a genuine assemblage. A full</w:t>
      </w:r>
      <w:r>
        <w:t xml:space="preserve"> publication of</w:t>
      </w:r>
      <w:r w:rsidRPr="00D6101B">
        <w:t xml:space="preserve"> the tomb (</w:t>
      </w:r>
      <w:r>
        <w:t>as yet,</w:t>
      </w:r>
      <w:r w:rsidRPr="00D6101B">
        <w:t xml:space="preserve"> information is available only from the excavation report) </w:t>
      </w:r>
      <w:r>
        <w:t>would</w:t>
      </w:r>
      <w:r w:rsidRPr="00D6101B">
        <w:t xml:space="preserve"> be </w:t>
      </w:r>
      <w:r>
        <w:t>very</w:t>
      </w:r>
      <w:r w:rsidRPr="00D6101B">
        <w:t xml:space="preserve"> important </w:t>
      </w:r>
      <w:r>
        <w:t>for</w:t>
      </w:r>
      <w:r w:rsidRPr="00D6101B">
        <w:t xml:space="preserve"> understand</w:t>
      </w:r>
      <w:r>
        <w:t>ing</w:t>
      </w:r>
      <w:r w:rsidRPr="00D6101B">
        <w:t xml:space="preserve"> more </w:t>
      </w:r>
      <w:r>
        <w:t xml:space="preserve">about </w:t>
      </w:r>
      <w:r w:rsidRPr="00D6101B">
        <w:t>the only burial context</w:t>
      </w:r>
      <w:r>
        <w:t>,</w:t>
      </w:r>
      <w:r w:rsidRPr="00D6101B">
        <w:t xml:space="preserve"> </w:t>
      </w:r>
      <w:r>
        <w:t>in which</w:t>
      </w:r>
      <w:r w:rsidRPr="00D6101B">
        <w:t xml:space="preserve"> a clay larnax </w:t>
      </w:r>
      <w:r>
        <w:t>was</w:t>
      </w:r>
      <w:r w:rsidRPr="00D6101B">
        <w:t xml:space="preserve"> used for burial purposes in </w:t>
      </w:r>
      <w:r>
        <w:t>Far-West</w:t>
      </w:r>
      <w:r w:rsidRPr="00D6101B">
        <w:t xml:space="preserve"> region.</w:t>
      </w:r>
    </w:p>
    <w:p w14:paraId="15857BBA" w14:textId="3678302F" w:rsidR="001A4F1A" w:rsidRPr="00D6101B" w:rsidRDefault="001A4F1A" w:rsidP="00E858EF">
      <w:pPr>
        <w:pStyle w:val="Titolo3"/>
        <w:keepNext w:val="0"/>
        <w:keepLines w:val="0"/>
        <w:suppressAutoHyphens/>
      </w:pPr>
      <w:bookmarkStart w:id="784" w:name="_Toc389508243"/>
      <w:bookmarkStart w:id="785" w:name="_Toc517745323"/>
      <w:bookmarkStart w:id="786" w:name="_Toc519894662"/>
      <w:r>
        <w:t>Mid-West</w:t>
      </w:r>
      <w:r w:rsidRPr="00D6101B">
        <w:t xml:space="preserve"> </w:t>
      </w:r>
      <w:r w:rsidR="007B628E">
        <w:t xml:space="preserve">area </w:t>
      </w:r>
      <w:r w:rsidRPr="00D6101B">
        <w:t>(grave goods)</w:t>
      </w:r>
      <w:bookmarkEnd w:id="784"/>
      <w:bookmarkEnd w:id="785"/>
      <w:bookmarkEnd w:id="786"/>
    </w:p>
    <w:p w14:paraId="3CE84318" w14:textId="77777777" w:rsidR="001A4F1A" w:rsidRPr="00D6101B" w:rsidRDefault="001A4F1A" w:rsidP="00E858EF">
      <w:pPr>
        <w:pStyle w:val="Titolo4"/>
        <w:keepNext w:val="0"/>
        <w:keepLines w:val="0"/>
        <w:suppressAutoHyphens/>
      </w:pPr>
      <w:bookmarkStart w:id="787" w:name="_Toc389508244"/>
      <w:bookmarkStart w:id="788" w:name="_Toc517745324"/>
      <w:r w:rsidRPr="00D6101B">
        <w:t>Sample</w:t>
      </w:r>
      <w:bookmarkEnd w:id="787"/>
      <w:bookmarkEnd w:id="788"/>
      <w:r w:rsidRPr="00D6101B">
        <w:t xml:space="preserve"> </w:t>
      </w:r>
    </w:p>
    <w:p w14:paraId="3562D639" w14:textId="77777777" w:rsidR="001A4F1A" w:rsidRPr="00D6101B" w:rsidRDefault="001A4F1A" w:rsidP="00E858EF">
      <w:pPr>
        <w:suppressAutoHyphens/>
      </w:pPr>
      <w:r w:rsidRPr="00D6101B">
        <w:t>The sample of secure tombs with larnax burials for which there is information about grave good</w:t>
      </w:r>
      <w:r>
        <w:t>s</w:t>
      </w:r>
      <w:r w:rsidRPr="00D6101B">
        <w:t xml:space="preserve"> is 55 tombs.</w:t>
      </w:r>
      <w:r>
        <w:t xml:space="preserve"> </w:t>
      </w:r>
      <w:r w:rsidRPr="00D6101B">
        <w:t>The remaining two tombs are</w:t>
      </w:r>
      <w:r>
        <w:t xml:space="preserve"> as follows</w:t>
      </w:r>
      <w:r w:rsidRPr="00D6101B">
        <w:t>:</w:t>
      </w:r>
    </w:p>
    <w:p w14:paraId="2BC10EC4" w14:textId="77777777" w:rsidR="001A4F1A" w:rsidRPr="00D6101B" w:rsidRDefault="001A4F1A" w:rsidP="00E858EF">
      <w:pPr>
        <w:pStyle w:val="Paragrafoelenco"/>
        <w:numPr>
          <w:ilvl w:val="0"/>
          <w:numId w:val="43"/>
        </w:numPr>
        <w:suppressAutoHyphens/>
      </w:pPr>
      <w:r w:rsidRPr="00D6101B">
        <w:t>Tombs 11 at Armenoi (looted), no grave goods associated are mention</w:t>
      </w:r>
      <w:r>
        <w:t>ed</w:t>
      </w:r>
      <w:r w:rsidRPr="00D6101B">
        <w:t xml:space="preserve"> </w:t>
      </w:r>
      <w:r>
        <w:t>in</w:t>
      </w:r>
      <w:r w:rsidRPr="00D6101B">
        <w:t xml:space="preserve"> the reports (</w:t>
      </w:r>
      <w:r w:rsidRPr="00BD371F">
        <w:t>ADelt 26 1971: 216-222</w:t>
      </w:r>
      <w:r w:rsidRPr="00D6101B">
        <w:t>; Tzedakis 1971: 513-516)</w:t>
      </w:r>
      <w:r>
        <w:t>.</w:t>
      </w:r>
    </w:p>
    <w:p w14:paraId="286048AD" w14:textId="77777777" w:rsidR="001A4F1A" w:rsidRPr="00D6101B" w:rsidRDefault="001A4F1A" w:rsidP="00E858EF">
      <w:pPr>
        <w:pStyle w:val="Paragrafoelenco"/>
        <w:numPr>
          <w:ilvl w:val="0"/>
          <w:numId w:val="43"/>
        </w:numPr>
        <w:suppressAutoHyphens/>
      </w:pPr>
      <w:r>
        <w:t>A</w:t>
      </w:r>
      <w:r w:rsidRPr="00D6101B">
        <w:t xml:space="preserve"> LM III chamber tomb at Kalamas Mylopotamos, where a larnax in fragments </w:t>
      </w:r>
      <w:r>
        <w:t>was</w:t>
      </w:r>
      <w:r w:rsidRPr="00D6101B">
        <w:t xml:space="preserve"> found</w:t>
      </w:r>
      <w:r>
        <w:t>,</w:t>
      </w:r>
      <w:r w:rsidRPr="00D6101B">
        <w:t xml:space="preserve"> but there is no information about </w:t>
      </w:r>
      <w:r>
        <w:t xml:space="preserve">the </w:t>
      </w:r>
      <w:r w:rsidRPr="00D6101B">
        <w:t>tomb assemb</w:t>
      </w:r>
      <w:r>
        <w:t>lage from the publication</w:t>
      </w:r>
      <w:r w:rsidRPr="00D6101B">
        <w:t>s (</w:t>
      </w:r>
      <w:r w:rsidRPr="003373B1">
        <w:rPr>
          <w:i/>
          <w:iCs/>
        </w:rPr>
        <w:t>KChr</w:t>
      </w:r>
      <w:r w:rsidRPr="00D6101B">
        <w:t xml:space="preserve"> 6 1952: 479; Kanta 1980: 202)</w:t>
      </w:r>
      <w:r>
        <w:t>.</w:t>
      </w:r>
    </w:p>
    <w:p w14:paraId="10D0D5AA" w14:textId="77777777" w:rsidR="001A4F1A" w:rsidRPr="00D6101B" w:rsidRDefault="001A4F1A" w:rsidP="00E858EF">
      <w:pPr>
        <w:pStyle w:val="Paragrafoelenco"/>
        <w:suppressAutoHyphens/>
        <w:ind w:left="0"/>
      </w:pPr>
      <w:r>
        <w:tab/>
        <w:t>Regarding</w:t>
      </w:r>
      <w:r w:rsidRPr="00D6101B">
        <w:t xml:space="preserve"> the cemetery </w:t>
      </w:r>
      <w:r>
        <w:t>at</w:t>
      </w:r>
      <w:r w:rsidRPr="00D6101B">
        <w:t xml:space="preserve"> Maroulas, </w:t>
      </w:r>
      <w:r>
        <w:t>this</w:t>
      </w:r>
      <w:r w:rsidRPr="00D6101B">
        <w:t xml:space="preserve"> is not fully published</w:t>
      </w:r>
      <w:r>
        <w:t>.</w:t>
      </w:r>
      <w:r w:rsidRPr="00D6101B">
        <w:t xml:space="preserve"> </w:t>
      </w:r>
      <w:r>
        <w:t xml:space="preserve">The </w:t>
      </w:r>
      <w:r w:rsidRPr="00D6101B">
        <w:t xml:space="preserve">information </w:t>
      </w:r>
      <w:r>
        <w:t>is</w:t>
      </w:r>
      <w:r w:rsidRPr="00D6101B">
        <w:t xml:space="preserve"> partially retrieved from preliminary reports and it is not always p</w:t>
      </w:r>
      <w:r>
        <w:t>ossible to understand in detail which</w:t>
      </w:r>
      <w:r w:rsidRPr="00D6101B">
        <w:t xml:space="preserve"> grave goods assemblage</w:t>
      </w:r>
      <w:r>
        <w:t>s are</w:t>
      </w:r>
      <w:r w:rsidRPr="00D6101B">
        <w:t xml:space="preserve"> associated </w:t>
      </w:r>
      <w:r>
        <w:t>with</w:t>
      </w:r>
      <w:r w:rsidRPr="00D6101B">
        <w:t xml:space="preserve"> each tomb</w:t>
      </w:r>
      <w:r>
        <w:t>.</w:t>
      </w:r>
      <w:r w:rsidRPr="00D6101B">
        <w:t xml:space="preserve"> Furthermore</w:t>
      </w:r>
      <w:r>
        <w:t>,</w:t>
      </w:r>
      <w:r w:rsidRPr="00D6101B">
        <w:t xml:space="preserve"> some of these tombs </w:t>
      </w:r>
      <w:r>
        <w:t>were</w:t>
      </w:r>
      <w:r w:rsidRPr="00D6101B">
        <w:t xml:space="preserve"> looted or destroyed (Papadopoulou 2011: 609-633; 2017: 136-141)</w:t>
      </w:r>
    </w:p>
    <w:p w14:paraId="36A192CE" w14:textId="77777777" w:rsidR="001A4F1A" w:rsidRPr="00D6101B" w:rsidRDefault="001A4F1A" w:rsidP="00E858EF">
      <w:pPr>
        <w:pStyle w:val="Paragrafoelenco"/>
        <w:suppressAutoHyphens/>
        <w:ind w:left="0"/>
      </w:pPr>
      <w:r>
        <w:tab/>
      </w:r>
      <w:r w:rsidRPr="00D6101B">
        <w:t>The lack of a fully published context affects also</w:t>
      </w:r>
      <w:r>
        <w:t xml:space="preserve"> the</w:t>
      </w:r>
      <w:r w:rsidRPr="00D6101B">
        <w:t xml:space="preserve"> Arm</w:t>
      </w:r>
      <w:r>
        <w:t>enoi cemetery, although partial</w:t>
      </w:r>
      <w:r w:rsidRPr="00D6101B">
        <w:t xml:space="preserve"> information about grave goods assemblage</w:t>
      </w:r>
      <w:r>
        <w:t>s</w:t>
      </w:r>
      <w:r w:rsidRPr="00D6101B">
        <w:t xml:space="preserve"> c</w:t>
      </w:r>
      <w:r>
        <w:t>an</w:t>
      </w:r>
      <w:r w:rsidRPr="00D6101B">
        <w:t xml:space="preserve"> be retrieved from preliminary reports and broader region</w:t>
      </w:r>
      <w:r>
        <w:t>al studies (Godart and Tzedakis 1992</w:t>
      </w:r>
      <w:r w:rsidRPr="00D6101B">
        <w:t xml:space="preserve">: 85-94; Langohr 2009: 144-148). </w:t>
      </w:r>
      <w:r>
        <w:t>However,</w:t>
      </w:r>
      <w:r w:rsidRPr="00D6101B">
        <w:t xml:space="preserve"> considering the importance of these cemeteries</w:t>
      </w:r>
      <w:r>
        <w:t>,</w:t>
      </w:r>
      <w:r w:rsidRPr="00D6101B">
        <w:t xml:space="preserve"> even if the data </w:t>
      </w:r>
      <w:r>
        <w:t>are</w:t>
      </w:r>
      <w:r w:rsidRPr="00D6101B">
        <w:t xml:space="preserve"> partial, the information about grave goods </w:t>
      </w:r>
      <w:r>
        <w:t>has</w:t>
      </w:r>
      <w:r w:rsidRPr="00D6101B">
        <w:t xml:space="preserve"> been included in the analysis.</w:t>
      </w:r>
    </w:p>
    <w:p w14:paraId="6F89BD94" w14:textId="11D3B204" w:rsidR="001A4F1A" w:rsidRPr="00D6101B" w:rsidRDefault="001A4F1A" w:rsidP="00E858EF">
      <w:pPr>
        <w:pStyle w:val="Titolo4"/>
        <w:keepNext w:val="0"/>
        <w:keepLines w:val="0"/>
        <w:suppressAutoHyphens/>
      </w:pPr>
      <w:bookmarkStart w:id="789" w:name="_Toc389508245"/>
      <w:bookmarkStart w:id="790" w:name="_Toc517745325"/>
      <w:r w:rsidRPr="00D6101B">
        <w:t>Material types</w:t>
      </w:r>
      <w:bookmarkEnd w:id="789"/>
      <w:bookmarkEnd w:id="790"/>
    </w:p>
    <w:p w14:paraId="123AC151" w14:textId="77777777" w:rsidR="001A4F1A" w:rsidRPr="00D6101B" w:rsidRDefault="001A4F1A" w:rsidP="00E858EF">
      <w:pPr>
        <w:suppressAutoHyphens/>
      </w:pPr>
      <w:r w:rsidRPr="00D6101B">
        <w:t>Data concerning the material types of the assemblage</w:t>
      </w:r>
      <w:r>
        <w:t>s</w:t>
      </w:r>
      <w:r w:rsidRPr="00D6101B">
        <w:t xml:space="preserve"> </w:t>
      </w:r>
      <w:r>
        <w:t>are</w:t>
      </w:r>
      <w:r w:rsidRPr="00D6101B">
        <w:t xml:space="preserve"> summarised in th</w:t>
      </w:r>
      <w:r>
        <w:t>e following</w:t>
      </w:r>
      <w:r w:rsidRPr="00D6101B">
        <w:t xml:space="preserve"> graph:</w:t>
      </w:r>
    </w:p>
    <w:p w14:paraId="7316FF4A" w14:textId="77777777" w:rsidR="001A4F1A" w:rsidRPr="00D6101B" w:rsidRDefault="001A4F1A" w:rsidP="00E858EF">
      <w:pPr>
        <w:pStyle w:val="Paragrafoelenco"/>
        <w:suppressAutoHyphens/>
      </w:pPr>
    </w:p>
    <w:p w14:paraId="544CA2EE" w14:textId="77777777" w:rsidR="001A4F1A" w:rsidRPr="00D6101B" w:rsidRDefault="001A4F1A" w:rsidP="00E858EF">
      <w:pPr>
        <w:pStyle w:val="Paragrafoelenco"/>
        <w:suppressAutoHyphens/>
        <w:ind w:hanging="720"/>
      </w:pPr>
      <w:r>
        <w:rPr>
          <w:noProof/>
          <w:lang w:val="it-IT"/>
        </w:rPr>
        <w:drawing>
          <wp:inline distT="0" distB="0" distL="0" distR="0" wp14:anchorId="7C89A1D1" wp14:editId="3BA822A7">
            <wp:extent cx="5424985" cy="2844000"/>
            <wp:effectExtent l="0" t="0" r="4445" b="13970"/>
            <wp:docPr id="91" name="Grafico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1B1377C7" w14:textId="46DABFC0" w:rsidR="001A4F1A" w:rsidRDefault="001A4F1A" w:rsidP="00E858EF">
      <w:pPr>
        <w:pStyle w:val="Didascalia"/>
        <w:suppressAutoHyphens/>
      </w:pPr>
      <w:bookmarkStart w:id="791" w:name="_Toc520212369"/>
      <w:r>
        <w:t>Figure 4-31</w:t>
      </w:r>
      <w:r w:rsidR="008D5E5D">
        <w:t>.</w:t>
      </w:r>
      <w:r>
        <w:t xml:space="preserve"> Material types occurrence</w:t>
      </w:r>
      <w:r w:rsidR="007B628E">
        <w:t>,</w:t>
      </w:r>
      <w:r>
        <w:t xml:space="preserve"> Mid-West area</w:t>
      </w:r>
      <w:bookmarkEnd w:id="791"/>
    </w:p>
    <w:p w14:paraId="36A01328" w14:textId="77777777" w:rsidR="001A4F1A" w:rsidRPr="00D6101B" w:rsidRDefault="001A4F1A" w:rsidP="00E858EF">
      <w:pPr>
        <w:pStyle w:val="Paragrafoelenco"/>
        <w:suppressAutoHyphens/>
        <w:ind w:left="0"/>
      </w:pPr>
      <w:r>
        <w:tab/>
      </w:r>
      <w:r w:rsidRPr="00D6101B">
        <w:t>The following material</w:t>
      </w:r>
      <w:r>
        <w:t>s</w:t>
      </w:r>
      <w:r w:rsidRPr="00D6101B">
        <w:t xml:space="preserve"> have not been registered in any tombs:</w:t>
      </w:r>
    </w:p>
    <w:p w14:paraId="360BC00C" w14:textId="77777777" w:rsidR="001A4F1A" w:rsidRPr="00D6101B" w:rsidRDefault="001A4F1A" w:rsidP="00E858EF">
      <w:pPr>
        <w:pStyle w:val="Paragrafoelenco"/>
        <w:numPr>
          <w:ilvl w:val="0"/>
          <w:numId w:val="44"/>
        </w:numPr>
        <w:suppressAutoHyphens/>
      </w:pPr>
      <w:r w:rsidRPr="00D6101B">
        <w:t>Amber</w:t>
      </w:r>
    </w:p>
    <w:p w14:paraId="7BD35004" w14:textId="77777777" w:rsidR="001A4F1A" w:rsidRPr="00D6101B" w:rsidRDefault="001A4F1A" w:rsidP="00E858EF">
      <w:pPr>
        <w:pStyle w:val="Paragrafoelenco"/>
        <w:numPr>
          <w:ilvl w:val="0"/>
          <w:numId w:val="44"/>
        </w:numPr>
        <w:suppressAutoHyphens/>
      </w:pPr>
      <w:r w:rsidRPr="00D6101B">
        <w:t xml:space="preserve">Iron </w:t>
      </w:r>
    </w:p>
    <w:p w14:paraId="74B1AA7A" w14:textId="77777777" w:rsidR="001A4F1A" w:rsidRPr="00D6101B" w:rsidRDefault="001A4F1A" w:rsidP="00E858EF">
      <w:pPr>
        <w:pStyle w:val="Paragrafoelenco"/>
        <w:numPr>
          <w:ilvl w:val="0"/>
          <w:numId w:val="44"/>
        </w:numPr>
        <w:suppressAutoHyphens/>
      </w:pPr>
      <w:r w:rsidRPr="00D6101B">
        <w:t>Shell</w:t>
      </w:r>
    </w:p>
    <w:p w14:paraId="5EE6026E" w14:textId="77777777" w:rsidR="001A4F1A" w:rsidRPr="00D6101B" w:rsidRDefault="001A4F1A" w:rsidP="00E858EF">
      <w:pPr>
        <w:pStyle w:val="Paragrafoelenco"/>
        <w:numPr>
          <w:ilvl w:val="0"/>
          <w:numId w:val="44"/>
        </w:numPr>
        <w:suppressAutoHyphens/>
      </w:pPr>
      <w:r w:rsidRPr="00D6101B">
        <w:t>Wood</w:t>
      </w:r>
    </w:p>
    <w:p w14:paraId="38F81665" w14:textId="77777777" w:rsidR="001A4F1A" w:rsidRPr="00D6101B" w:rsidRDefault="001A4F1A" w:rsidP="00E858EF">
      <w:pPr>
        <w:suppressAutoHyphens/>
      </w:pPr>
      <w:r>
        <w:tab/>
      </w:r>
      <w:r w:rsidRPr="00D6101B">
        <w:t xml:space="preserve">Pottery items occur in all the secure tombs for which there </w:t>
      </w:r>
      <w:r>
        <w:t>is</w:t>
      </w:r>
      <w:r w:rsidRPr="00D6101B">
        <w:t xml:space="preserve"> information about grave goods. The only possible exception is </w:t>
      </w:r>
      <w:r>
        <w:t>T</w:t>
      </w:r>
      <w:r w:rsidRPr="00D6101B">
        <w:t>omb 159 at Armenoi, where the</w:t>
      </w:r>
      <w:r>
        <w:t xml:space="preserve"> </w:t>
      </w:r>
      <w:r w:rsidRPr="00D6101B">
        <w:t>only material registered from publication is gold (although this tomb has been looted).</w:t>
      </w:r>
      <w:r>
        <w:t xml:space="preserve"> </w:t>
      </w:r>
      <w:r w:rsidRPr="00D6101B">
        <w:t>In 26% of</w:t>
      </w:r>
      <w:r>
        <w:t xml:space="preserve"> the</w:t>
      </w:r>
      <w:r w:rsidRPr="00D6101B">
        <w:t xml:space="preserve"> tombs considered </w:t>
      </w:r>
      <w:r>
        <w:t>in the</w:t>
      </w:r>
      <w:r w:rsidRPr="00D6101B">
        <w:t xml:space="preserve"> sample for grave goods assemblage</w:t>
      </w:r>
      <w:r>
        <w:t>s</w:t>
      </w:r>
      <w:r w:rsidRPr="00D6101B">
        <w:t xml:space="preserve"> in</w:t>
      </w:r>
      <w:r>
        <w:t xml:space="preserve"> the</w:t>
      </w:r>
      <w:r w:rsidRPr="00D6101B">
        <w:t xml:space="preserve"> </w:t>
      </w:r>
      <w:r>
        <w:t>Mid-West</w:t>
      </w:r>
      <w:r w:rsidRPr="00D6101B">
        <w:t xml:space="preserve"> area</w:t>
      </w:r>
      <w:r>
        <w:t>,</w:t>
      </w:r>
      <w:r w:rsidRPr="00D6101B">
        <w:t xml:space="preserve"> the only material type registered is ceramic.</w:t>
      </w:r>
    </w:p>
    <w:p w14:paraId="207FF1C4" w14:textId="77777777" w:rsidR="001A4F1A" w:rsidRPr="00D6101B" w:rsidRDefault="001A4F1A" w:rsidP="00E858EF">
      <w:pPr>
        <w:suppressAutoHyphens/>
      </w:pPr>
      <w:r>
        <w:tab/>
      </w:r>
      <w:r w:rsidRPr="00D6101B">
        <w:t>The other most common materials registered are bronze and stone, which occur respectively in 28 and 26 tombs</w:t>
      </w:r>
      <w:r>
        <w:t xml:space="preserve"> (out of 55)</w:t>
      </w:r>
      <w:r w:rsidRPr="00D6101B">
        <w:t>, follow</w:t>
      </w:r>
      <w:r>
        <w:t>ed by</w:t>
      </w:r>
      <w:r w:rsidRPr="00D6101B">
        <w:t xml:space="preserve"> faience and glass in 18 and 12 tombs respectively. Other materials </w:t>
      </w:r>
      <w:r>
        <w:t>such as</w:t>
      </w:r>
      <w:r w:rsidRPr="00D6101B">
        <w:t xml:space="preserve"> gold</w:t>
      </w:r>
      <w:r>
        <w:t>,</w:t>
      </w:r>
      <w:r w:rsidRPr="00D6101B">
        <w:t xml:space="preserve"> ivory</w:t>
      </w:r>
      <w:r>
        <w:t>,</w:t>
      </w:r>
      <w:r w:rsidRPr="00D6101B">
        <w:t xml:space="preserve"> silver and bone </w:t>
      </w:r>
      <w:r>
        <w:t>are</w:t>
      </w:r>
      <w:r w:rsidRPr="00D6101B">
        <w:t xml:space="preserve"> rare (they occur in a maximum of </w:t>
      </w:r>
      <w:r>
        <w:t>four</w:t>
      </w:r>
      <w:r w:rsidRPr="00D6101B">
        <w:t xml:space="preserve"> tombs).</w:t>
      </w:r>
    </w:p>
    <w:p w14:paraId="676AB435" w14:textId="77777777" w:rsidR="001A4F1A" w:rsidRPr="00D6101B" w:rsidRDefault="001A4F1A" w:rsidP="00E858EF">
      <w:pPr>
        <w:suppressAutoHyphens/>
      </w:pPr>
      <w:r>
        <w:tab/>
        <w:t>Regarding</w:t>
      </w:r>
      <w:r w:rsidRPr="00D6101B">
        <w:t xml:space="preserve"> material type variety, 24% </w:t>
      </w:r>
      <w:r>
        <w:t xml:space="preserve">of the </w:t>
      </w:r>
      <w:r w:rsidRPr="00D6101B">
        <w:t xml:space="preserve">tombs </w:t>
      </w:r>
      <w:r>
        <w:t>contained</w:t>
      </w:r>
      <w:r w:rsidRPr="00D6101B">
        <w:t xml:space="preserve"> more than </w:t>
      </w:r>
      <w:r>
        <w:t>three</w:t>
      </w:r>
      <w:r w:rsidRPr="00D6101B">
        <w:t xml:space="preserve"> different material types, while the remaining 76% </w:t>
      </w:r>
      <w:r>
        <w:t>have</w:t>
      </w:r>
      <w:r w:rsidRPr="00D6101B">
        <w:t xml:space="preserve"> a maximum of three different materials type registered.</w:t>
      </w:r>
    </w:p>
    <w:p w14:paraId="03904474" w14:textId="77777777" w:rsidR="001A4F1A" w:rsidRPr="00D6101B" w:rsidRDefault="001A4F1A" w:rsidP="00E858EF">
      <w:pPr>
        <w:suppressAutoHyphens/>
      </w:pPr>
      <w:r>
        <w:tab/>
        <w:t>A f</w:t>
      </w:r>
      <w:r w:rsidRPr="00D6101B">
        <w:t>ew tombs can be isolated because of the variety of material types</w:t>
      </w:r>
      <w:r>
        <w:t>,</w:t>
      </w:r>
      <w:r w:rsidRPr="00D6101B">
        <w:t xml:space="preserve"> but also because they </w:t>
      </w:r>
      <w:r>
        <w:t>contain</w:t>
      </w:r>
      <w:r w:rsidRPr="00D6101B">
        <w:t xml:space="preserve"> precious materials </w:t>
      </w:r>
      <w:r>
        <w:t>such as ivory, gold or</w:t>
      </w:r>
      <w:r w:rsidRPr="00D6101B">
        <w:t xml:space="preserve"> silver in their grave goods assemblages:</w:t>
      </w:r>
    </w:p>
    <w:p w14:paraId="509EB888" w14:textId="77777777" w:rsidR="001A4F1A" w:rsidRPr="00D6101B" w:rsidRDefault="001A4F1A" w:rsidP="00E858EF">
      <w:pPr>
        <w:pStyle w:val="Paragrafoelenco"/>
        <w:numPr>
          <w:ilvl w:val="0"/>
          <w:numId w:val="45"/>
        </w:numPr>
        <w:suppressAutoHyphens/>
      </w:pPr>
      <w:r w:rsidRPr="00D6101B">
        <w:t>In the grave good assemblage composition of a chamber tomb at Pankalochori</w:t>
      </w:r>
      <w:r>
        <w:t>,</w:t>
      </w:r>
      <w:r w:rsidRPr="00D6101B">
        <w:t xml:space="preserve"> nine different material types</w:t>
      </w:r>
      <w:r>
        <w:t xml:space="preserve"> are attested</w:t>
      </w:r>
      <w:r w:rsidRPr="00D6101B">
        <w:t xml:space="preserve">, </w:t>
      </w:r>
      <w:r>
        <w:t>including</w:t>
      </w:r>
      <w:r w:rsidRPr="00D6101B">
        <w:t xml:space="preserve"> precious materials </w:t>
      </w:r>
      <w:r>
        <w:t>such as</w:t>
      </w:r>
      <w:r w:rsidRPr="00D6101B">
        <w:t xml:space="preserve"> gold, silver and ivory (</w:t>
      </w:r>
      <w:r>
        <w:t>Baxevani and</w:t>
      </w:r>
      <w:r w:rsidRPr="00D6101B">
        <w:t xml:space="preserve"> Markoulaki 1996: 641-703)</w:t>
      </w:r>
      <w:r>
        <w:t>.</w:t>
      </w:r>
    </w:p>
    <w:p w14:paraId="741A218E" w14:textId="77777777" w:rsidR="001A4F1A" w:rsidRPr="00D6101B" w:rsidRDefault="001A4F1A" w:rsidP="00E858EF">
      <w:pPr>
        <w:pStyle w:val="Paragrafoelenco"/>
        <w:numPr>
          <w:ilvl w:val="0"/>
          <w:numId w:val="45"/>
        </w:numPr>
        <w:suppressAutoHyphens/>
      </w:pPr>
      <w:r w:rsidRPr="00D6101B">
        <w:t>In a tomb at Kastellos Apokoronou</w:t>
      </w:r>
      <w:r>
        <w:t>,</w:t>
      </w:r>
      <w:r w:rsidRPr="00D6101B">
        <w:t xml:space="preserve"> the grave good</w:t>
      </w:r>
      <w:r>
        <w:t>s</w:t>
      </w:r>
      <w:r w:rsidRPr="00D6101B">
        <w:t xml:space="preserve"> assemblage </w:t>
      </w:r>
      <w:r>
        <w:t>contains</w:t>
      </w:r>
      <w:r w:rsidRPr="00D6101B">
        <w:t xml:space="preserve"> gold, along with pottery stone and faience (</w:t>
      </w:r>
      <w:r w:rsidRPr="00EB4D94">
        <w:rPr>
          <w:i/>
          <w:iCs/>
        </w:rPr>
        <w:t>ADelt</w:t>
      </w:r>
      <w:r w:rsidRPr="00D6101B">
        <w:t xml:space="preserve"> 56-59 2001-2004: 416)</w:t>
      </w:r>
      <w:r>
        <w:t>.</w:t>
      </w:r>
    </w:p>
    <w:p w14:paraId="298630DC" w14:textId="77777777" w:rsidR="001A4F1A" w:rsidRPr="00D6101B" w:rsidRDefault="001A4F1A" w:rsidP="00E858EF">
      <w:pPr>
        <w:pStyle w:val="Paragrafoelenco"/>
        <w:numPr>
          <w:ilvl w:val="0"/>
          <w:numId w:val="45"/>
        </w:numPr>
        <w:suppressAutoHyphens/>
      </w:pPr>
      <w:r w:rsidRPr="00D6101B">
        <w:t xml:space="preserve">The tholos tomb at Margarites </w:t>
      </w:r>
      <w:r>
        <w:t>contains</w:t>
      </w:r>
      <w:r w:rsidRPr="00D6101B">
        <w:t xml:space="preserve"> gold (ring, beads, plaque</w:t>
      </w:r>
      <w:r>
        <w:t>s</w:t>
      </w:r>
      <w:r w:rsidRPr="00D6101B">
        <w:t>) and ivory/bone fragments, along with seals and other bronze items (Papadopoulou 2006: 129-152)</w:t>
      </w:r>
      <w:r>
        <w:t>.</w:t>
      </w:r>
    </w:p>
    <w:p w14:paraId="1C0D2D88" w14:textId="6D4F5DD6" w:rsidR="001A4F1A" w:rsidRDefault="001A4F1A" w:rsidP="00E858EF">
      <w:pPr>
        <w:pStyle w:val="Paragrafoelenco"/>
        <w:numPr>
          <w:ilvl w:val="0"/>
          <w:numId w:val="45"/>
        </w:numPr>
        <w:suppressAutoHyphens/>
      </w:pPr>
      <w:r w:rsidRPr="00D6101B">
        <w:t xml:space="preserve">In </w:t>
      </w:r>
      <w:r>
        <w:t>the</w:t>
      </w:r>
      <w:r w:rsidRPr="00D6101B">
        <w:t xml:space="preserve"> cemeteries </w:t>
      </w:r>
      <w:r>
        <w:t xml:space="preserve">at </w:t>
      </w:r>
      <w:r w:rsidRPr="00D6101B">
        <w:t>Armenoi and Maroulas</w:t>
      </w:r>
      <w:r>
        <w:t>,</w:t>
      </w:r>
      <w:r w:rsidRPr="00D6101B">
        <w:t xml:space="preserve"> the grave goods of at least two tombs with larnax burials </w:t>
      </w:r>
      <w:r>
        <w:t>contain various</w:t>
      </w:r>
      <w:r w:rsidRPr="00D6101B">
        <w:t xml:space="preserve"> material types </w:t>
      </w:r>
      <w:r>
        <w:t>including</w:t>
      </w:r>
      <w:r w:rsidRPr="00D6101B">
        <w:t xml:space="preserve"> gold, silver</w:t>
      </w:r>
      <w:r>
        <w:t>,</w:t>
      </w:r>
      <w:r w:rsidRPr="00D6101B">
        <w:t xml:space="preserve"> and ivory (Armenoi 139; Maroulas Mezaria </w:t>
      </w:r>
      <w:r>
        <w:t>T</w:t>
      </w:r>
      <w:r w:rsidRPr="00D6101B">
        <w:t xml:space="preserve">omb 3) (Langohr 2009: 147-149; Papadopoulou 2011: 609-633).  </w:t>
      </w:r>
    </w:p>
    <w:p w14:paraId="18CFCECF" w14:textId="77777777" w:rsidR="000C61EC" w:rsidRPr="00D6101B" w:rsidRDefault="000C61EC" w:rsidP="000C61EC">
      <w:pPr>
        <w:pStyle w:val="Paragrafoelenco"/>
        <w:suppressAutoHyphens/>
      </w:pPr>
    </w:p>
    <w:p w14:paraId="40988A6E" w14:textId="77777777" w:rsidR="001A4F1A" w:rsidRPr="00D6101B" w:rsidRDefault="001A4F1A" w:rsidP="00E858EF">
      <w:pPr>
        <w:pStyle w:val="Titolo4"/>
        <w:keepNext w:val="0"/>
        <w:keepLines w:val="0"/>
        <w:suppressAutoHyphens/>
      </w:pPr>
      <w:bookmarkStart w:id="792" w:name="_Toc389508246"/>
      <w:bookmarkStart w:id="793" w:name="_Toc517745326"/>
      <w:r>
        <w:t>Non-ceramic</w:t>
      </w:r>
      <w:r w:rsidRPr="00D6101B">
        <w:t xml:space="preserve"> artefacts</w:t>
      </w:r>
      <w:bookmarkEnd w:id="792"/>
      <w:bookmarkEnd w:id="793"/>
    </w:p>
    <w:p w14:paraId="37037780" w14:textId="77777777" w:rsidR="001A4F1A" w:rsidRPr="00D6101B" w:rsidRDefault="001A4F1A" w:rsidP="00E858EF">
      <w:pPr>
        <w:suppressAutoHyphens/>
      </w:pPr>
      <w:r w:rsidRPr="00D6101B">
        <w:t xml:space="preserve">The presence of </w:t>
      </w:r>
      <w:r>
        <w:t>non-ceramic</w:t>
      </w:r>
      <w:r w:rsidRPr="00D6101B">
        <w:t xml:space="preserve"> artefacts </w:t>
      </w:r>
      <w:r>
        <w:t>is</w:t>
      </w:r>
      <w:r w:rsidRPr="00D6101B">
        <w:t xml:space="preserve"> registered in 38 tombs</w:t>
      </w:r>
      <w:r>
        <w:t>, which is</w:t>
      </w:r>
      <w:r w:rsidRPr="00D6101B">
        <w:t xml:space="preserve"> 72% of the sample of tombs for which grave goods assemblage information is available. </w:t>
      </w:r>
      <w:r>
        <w:t>Regarding</w:t>
      </w:r>
      <w:r w:rsidRPr="00D6101B">
        <w:t xml:space="preserve"> Maroulas Mezaria, there is information about the general types of </w:t>
      </w:r>
      <w:r>
        <w:t>non-ceramic</w:t>
      </w:r>
      <w:r w:rsidRPr="00D6101B">
        <w:t xml:space="preserve"> materials recovered that belong to the</w:t>
      </w:r>
      <w:r>
        <w:t xml:space="preserve"> following</w:t>
      </w:r>
      <w:r w:rsidRPr="00D6101B">
        <w:t xml:space="preserve"> broad categories:</w:t>
      </w:r>
    </w:p>
    <w:p w14:paraId="1B0C45AA" w14:textId="77777777" w:rsidR="001A4F1A" w:rsidRPr="00D6101B" w:rsidRDefault="001A4F1A" w:rsidP="00E858EF">
      <w:pPr>
        <w:pStyle w:val="Paragrafoelenco"/>
        <w:numPr>
          <w:ilvl w:val="0"/>
          <w:numId w:val="46"/>
        </w:numPr>
        <w:suppressAutoHyphens/>
      </w:pPr>
      <w:r w:rsidRPr="00D6101B">
        <w:t>Weapons/tools</w:t>
      </w:r>
    </w:p>
    <w:p w14:paraId="40D94E45" w14:textId="77777777" w:rsidR="001A4F1A" w:rsidRPr="00D6101B" w:rsidRDefault="001A4F1A" w:rsidP="00E858EF">
      <w:pPr>
        <w:pStyle w:val="Paragrafoelenco"/>
        <w:numPr>
          <w:ilvl w:val="0"/>
          <w:numId w:val="46"/>
        </w:numPr>
        <w:suppressAutoHyphens/>
      </w:pPr>
      <w:r w:rsidRPr="00D6101B">
        <w:t>Implements</w:t>
      </w:r>
    </w:p>
    <w:p w14:paraId="6B9C79CA" w14:textId="77777777" w:rsidR="001A4F1A" w:rsidRPr="00D6101B" w:rsidRDefault="001A4F1A" w:rsidP="00E858EF">
      <w:pPr>
        <w:pStyle w:val="Paragrafoelenco"/>
        <w:numPr>
          <w:ilvl w:val="0"/>
          <w:numId w:val="46"/>
        </w:numPr>
        <w:suppressAutoHyphens/>
      </w:pPr>
      <w:r w:rsidRPr="00D6101B">
        <w:t>Vessels</w:t>
      </w:r>
    </w:p>
    <w:p w14:paraId="6CF93A95" w14:textId="77777777" w:rsidR="001A4F1A" w:rsidRPr="00D6101B" w:rsidRDefault="001A4F1A" w:rsidP="00E858EF">
      <w:pPr>
        <w:pStyle w:val="Paragrafoelenco"/>
        <w:numPr>
          <w:ilvl w:val="0"/>
          <w:numId w:val="46"/>
        </w:numPr>
        <w:suppressAutoHyphens/>
      </w:pPr>
      <w:r w:rsidRPr="00D6101B">
        <w:t>Jewellery</w:t>
      </w:r>
    </w:p>
    <w:p w14:paraId="30495E3E" w14:textId="77777777" w:rsidR="001A4F1A" w:rsidRPr="00D6101B" w:rsidRDefault="001A4F1A" w:rsidP="00E858EF">
      <w:pPr>
        <w:suppressAutoHyphens/>
      </w:pPr>
      <w:r w:rsidRPr="00D6101B">
        <w:t>Within these categories</w:t>
      </w:r>
      <w:r>
        <w:t>,</w:t>
      </w:r>
      <w:r w:rsidRPr="00D6101B">
        <w:t xml:space="preserve"> it is worth </w:t>
      </w:r>
      <w:r>
        <w:t>noting</w:t>
      </w:r>
      <w:r w:rsidRPr="00D6101B">
        <w:t xml:space="preserve"> that</w:t>
      </w:r>
      <w:r>
        <w:t>,</w:t>
      </w:r>
      <w:r w:rsidRPr="00D6101B">
        <w:t xml:space="preserve"> at Maroulas</w:t>
      </w:r>
      <w:r>
        <w:t>,</w:t>
      </w:r>
      <w:r w:rsidRPr="00D6101B">
        <w:t xml:space="preserve"> </w:t>
      </w:r>
      <w:r>
        <w:t xml:space="preserve">the </w:t>
      </w:r>
      <w:r w:rsidRPr="00D6101B">
        <w:t xml:space="preserve">tombs with larnakes </w:t>
      </w:r>
      <w:r>
        <w:t>contain</w:t>
      </w:r>
      <w:r w:rsidRPr="00D6101B">
        <w:t xml:space="preserve"> seals</w:t>
      </w:r>
      <w:r>
        <w:t xml:space="preserve"> (</w:t>
      </w:r>
      <w:r w:rsidRPr="00D6101B">
        <w:t xml:space="preserve">except for </w:t>
      </w:r>
      <w:r>
        <w:t>T</w:t>
      </w:r>
      <w:r w:rsidRPr="00D6101B">
        <w:t>omb 4) and</w:t>
      </w:r>
      <w:r>
        <w:t xml:space="preserve"> </w:t>
      </w:r>
      <w:r w:rsidRPr="00D6101B">
        <w:t>in</w:t>
      </w:r>
      <w:r>
        <w:t xml:space="preserve"> a</w:t>
      </w:r>
      <w:r w:rsidRPr="00D6101B">
        <w:t xml:space="preserve"> few cases</w:t>
      </w:r>
      <w:r>
        <w:t>,</w:t>
      </w:r>
      <w:r w:rsidRPr="00D6101B">
        <w:t xml:space="preserve"> metal vessels (Papadopoulou 2011: 609-633; 2017: 136-139).</w:t>
      </w:r>
    </w:p>
    <w:p w14:paraId="09B12A99" w14:textId="77777777" w:rsidR="001A4F1A" w:rsidRPr="00D6101B" w:rsidRDefault="001A4F1A" w:rsidP="00E858EF">
      <w:pPr>
        <w:suppressAutoHyphens/>
      </w:pPr>
      <w:r>
        <w:tab/>
      </w:r>
      <w:r w:rsidRPr="00D6101B">
        <w:t xml:space="preserve">The items with the highest occurrence are beads (jewellery). </w:t>
      </w:r>
      <w:r>
        <w:t>Beads</w:t>
      </w:r>
      <w:r w:rsidRPr="00D6101B">
        <w:t xml:space="preserve"> </w:t>
      </w:r>
      <w:r>
        <w:t>are also</w:t>
      </w:r>
      <w:r w:rsidRPr="00D6101B">
        <w:t xml:space="preserve"> the </w:t>
      </w:r>
      <w:r>
        <w:t>non-ceramic</w:t>
      </w:r>
      <w:r w:rsidRPr="00D6101B">
        <w:t xml:space="preserve"> artefact that occur</w:t>
      </w:r>
      <w:r>
        <w:t>s</w:t>
      </w:r>
      <w:r w:rsidRPr="00D6101B">
        <w:t xml:space="preserve"> in the highest number of tombs (20). </w:t>
      </w:r>
      <w:r>
        <w:t>H</w:t>
      </w:r>
      <w:r w:rsidRPr="00D6101B">
        <w:t>igh number</w:t>
      </w:r>
      <w:r>
        <w:t>s</w:t>
      </w:r>
      <w:r w:rsidRPr="00D6101B">
        <w:t xml:space="preserve"> of beads have been found in two tombs at Armen</w:t>
      </w:r>
      <w:r>
        <w:t>o</w:t>
      </w:r>
      <w:r w:rsidRPr="00D6101B">
        <w:t>i (</w:t>
      </w:r>
      <w:r>
        <w:t>Tomb 108:</w:t>
      </w:r>
      <w:r w:rsidRPr="00D6101B">
        <w:t xml:space="preserve"> 63 beads; </w:t>
      </w:r>
      <w:r>
        <w:t>Tomb 118:</w:t>
      </w:r>
      <w:r w:rsidRPr="00D6101B">
        <w:t xml:space="preserve"> 20 beads) and in two tombs at Kastellos Apokoronou and Magnesia </w:t>
      </w:r>
      <w:r>
        <w:t>T</w:t>
      </w:r>
      <w:r w:rsidRPr="00D6101B">
        <w:t>omb 1</w:t>
      </w:r>
      <w:r>
        <w:t>,</w:t>
      </w:r>
      <w:r w:rsidRPr="00D6101B">
        <w:t xml:space="preserve"> although the number of beads recovered is not specified. A high number of beads</w:t>
      </w:r>
      <w:r>
        <w:t>, from</w:t>
      </w:r>
      <w:r w:rsidRPr="00D6101B">
        <w:t xml:space="preserve"> which </w:t>
      </w:r>
      <w:r>
        <w:t xml:space="preserve">it </w:t>
      </w:r>
      <w:r w:rsidRPr="00D6101B">
        <w:t>has been possible to reconstruct three necklaces</w:t>
      </w:r>
      <w:r>
        <w:t>,</w:t>
      </w:r>
      <w:r w:rsidRPr="00D6101B">
        <w:t xml:space="preserve"> </w:t>
      </w:r>
      <w:r>
        <w:t>was also</w:t>
      </w:r>
      <w:r w:rsidRPr="00D6101B">
        <w:t xml:space="preserve"> found at Pankalochori. </w:t>
      </w:r>
    </w:p>
    <w:p w14:paraId="6CBBDA4A" w14:textId="77777777" w:rsidR="001A4F1A" w:rsidRPr="00D6101B" w:rsidRDefault="001A4F1A" w:rsidP="00E858EF">
      <w:pPr>
        <w:suppressAutoHyphens/>
      </w:pPr>
      <w:r>
        <w:tab/>
        <w:t xml:space="preserve">Regarding </w:t>
      </w:r>
      <w:r w:rsidRPr="00D6101B">
        <w:t>other items, the four with the highest occurrence in tomb</w:t>
      </w:r>
      <w:r>
        <w:t>s</w:t>
      </w:r>
      <w:r w:rsidRPr="00D6101B">
        <w:t xml:space="preserve"> are seals, ring</w:t>
      </w:r>
      <w:r>
        <w:t>s</w:t>
      </w:r>
      <w:r w:rsidRPr="00D6101B">
        <w:t>, whorls and kni</w:t>
      </w:r>
      <w:r>
        <w:t>v</w:t>
      </w:r>
      <w:r w:rsidRPr="00D6101B">
        <w:t xml:space="preserve">es. Seals </w:t>
      </w:r>
      <w:r>
        <w:t>are considered</w:t>
      </w:r>
      <w:r w:rsidRPr="00D6101B">
        <w:t xml:space="preserve"> a common no</w:t>
      </w:r>
      <w:r>
        <w:t>n</w:t>
      </w:r>
      <w:r w:rsidRPr="00D6101B">
        <w:t>-</w:t>
      </w:r>
      <w:r>
        <w:t>pottery</w:t>
      </w:r>
      <w:r w:rsidRPr="00D6101B">
        <w:t xml:space="preserve"> artefact</w:t>
      </w:r>
      <w:r>
        <w:t>,</w:t>
      </w:r>
      <w:r w:rsidRPr="00D6101B">
        <w:t xml:space="preserve"> with 31 items distributed in 15 tombs. Two tombs at Armen</w:t>
      </w:r>
      <w:r>
        <w:t>o</w:t>
      </w:r>
      <w:r w:rsidRPr="00D6101B">
        <w:t xml:space="preserve">i, </w:t>
      </w:r>
      <w:r>
        <w:t>T</w:t>
      </w:r>
      <w:r w:rsidRPr="00D6101B">
        <w:t xml:space="preserve">omb 104 (5 seals) and </w:t>
      </w:r>
      <w:r>
        <w:t>T</w:t>
      </w:r>
      <w:r w:rsidRPr="00D6101B">
        <w:t xml:space="preserve">omb 108 (4 seals), </w:t>
      </w:r>
      <w:r>
        <w:t>have</w:t>
      </w:r>
      <w:r w:rsidRPr="00D6101B">
        <w:t xml:space="preserve"> a higher concentration of seals. Seals are also very popular at Maroulas</w:t>
      </w:r>
      <w:r>
        <w:t>,</w:t>
      </w:r>
      <w:r w:rsidRPr="00D6101B">
        <w:t xml:space="preserve"> where</w:t>
      </w:r>
      <w:r>
        <w:t>,</w:t>
      </w:r>
      <w:r w:rsidRPr="00D6101B">
        <w:t xml:space="preserve"> in all the grave goods assemblage</w:t>
      </w:r>
      <w:r>
        <w:t>s</w:t>
      </w:r>
      <w:r w:rsidRPr="00D6101B">
        <w:t xml:space="preserve"> of all </w:t>
      </w:r>
      <w:r>
        <w:t xml:space="preserve">the </w:t>
      </w:r>
      <w:r w:rsidRPr="00D6101B">
        <w:t>tombs with larnakes</w:t>
      </w:r>
      <w:r>
        <w:t>,</w:t>
      </w:r>
      <w:r w:rsidRPr="00D6101B">
        <w:t xml:space="preserve"> seals (except for </w:t>
      </w:r>
      <w:r>
        <w:t>T</w:t>
      </w:r>
      <w:r w:rsidRPr="00D6101B">
        <w:t>omb 4)</w:t>
      </w:r>
      <w:r>
        <w:t xml:space="preserve"> have been found</w:t>
      </w:r>
      <w:r w:rsidRPr="00D6101B">
        <w:t>.</w:t>
      </w:r>
      <w:r>
        <w:t xml:space="preserve"> </w:t>
      </w:r>
      <w:r w:rsidRPr="00D6101B">
        <w:t xml:space="preserve">A high concentration of rings </w:t>
      </w:r>
      <w:r>
        <w:t>(8) was</w:t>
      </w:r>
      <w:r w:rsidRPr="00D6101B">
        <w:t xml:space="preserve"> retrieved in the chamber tomb at Apostoli</w:t>
      </w:r>
      <w:r>
        <w:t xml:space="preserve">. </w:t>
      </w:r>
      <w:r w:rsidRPr="00D6101B">
        <w:t xml:space="preserve">This evidence confirms that jewellery </w:t>
      </w:r>
      <w:r>
        <w:t>was</w:t>
      </w:r>
      <w:r w:rsidRPr="00D6101B">
        <w:t xml:space="preserve"> a popular material category in </w:t>
      </w:r>
      <w:r>
        <w:t>Mid-West</w:t>
      </w:r>
      <w:r w:rsidRPr="00D6101B">
        <w:t xml:space="preserve"> Crete.</w:t>
      </w:r>
    </w:p>
    <w:p w14:paraId="7DB23740" w14:textId="77777777" w:rsidR="001A4F1A" w:rsidRPr="00D6101B" w:rsidRDefault="001A4F1A" w:rsidP="00E858EF">
      <w:pPr>
        <w:suppressAutoHyphens/>
      </w:pPr>
      <w:r>
        <w:tab/>
        <w:t>Regarding</w:t>
      </w:r>
      <w:r w:rsidRPr="00D6101B">
        <w:t xml:space="preserve"> weapons, kni</w:t>
      </w:r>
      <w:r>
        <w:t>v</w:t>
      </w:r>
      <w:r w:rsidRPr="00D6101B">
        <w:t>es are the most common, followed by daggers. A high concentration of kni</w:t>
      </w:r>
      <w:r>
        <w:t>v</w:t>
      </w:r>
      <w:r w:rsidRPr="00D6101B">
        <w:t xml:space="preserve">es </w:t>
      </w:r>
      <w:r>
        <w:t>(4) was</w:t>
      </w:r>
      <w:r w:rsidRPr="00D6101B">
        <w:t xml:space="preserve"> found in </w:t>
      </w:r>
      <w:r>
        <w:t>T</w:t>
      </w:r>
      <w:r w:rsidRPr="00D6101B">
        <w:t>omb 55 at Armenoi</w:t>
      </w:r>
      <w:r>
        <w:t>. A</w:t>
      </w:r>
      <w:r w:rsidRPr="00D6101B">
        <w:t xml:space="preserve"> chamber tomb at Pigi c</w:t>
      </w:r>
      <w:r>
        <w:t>ontained</w:t>
      </w:r>
      <w:r w:rsidRPr="00D6101B">
        <w:t xml:space="preserve"> almost half the daggers </w:t>
      </w:r>
      <w:r>
        <w:t>(4) found</w:t>
      </w:r>
      <w:r w:rsidRPr="00D6101B">
        <w:t xml:space="preserve"> in the region. </w:t>
      </w:r>
    </w:p>
    <w:p w14:paraId="38FE8185" w14:textId="77777777" w:rsidR="001A4F1A" w:rsidRPr="00D6101B" w:rsidRDefault="001A4F1A" w:rsidP="00E858EF">
      <w:pPr>
        <w:suppressAutoHyphens/>
      </w:pPr>
      <w:r>
        <w:tab/>
      </w:r>
      <w:r w:rsidRPr="00D6101B">
        <w:t>From the information available</w:t>
      </w:r>
      <w:r>
        <w:t>,</w:t>
      </w:r>
      <w:r w:rsidRPr="00D6101B">
        <w:t xml:space="preserve"> arrowhead</w:t>
      </w:r>
      <w:r>
        <w:t>s</w:t>
      </w:r>
      <w:r w:rsidRPr="00D6101B">
        <w:t>, figurines and chisel</w:t>
      </w:r>
      <w:r>
        <w:t>s</w:t>
      </w:r>
      <w:r w:rsidRPr="00D6101B">
        <w:t xml:space="preserve"> seem not to be part of the grave goods assemblage </w:t>
      </w:r>
      <w:r>
        <w:t xml:space="preserve">in </w:t>
      </w:r>
      <w:r w:rsidRPr="00D6101B">
        <w:t xml:space="preserve">tombs with larnakes in the </w:t>
      </w:r>
      <w:r>
        <w:t>Mid-West</w:t>
      </w:r>
      <w:r w:rsidRPr="00D6101B">
        <w:t xml:space="preserve"> region.</w:t>
      </w:r>
      <w:r>
        <w:t xml:space="preserve"> </w:t>
      </w:r>
      <w:r w:rsidRPr="00D6101B">
        <w:t xml:space="preserve">The presence of </w:t>
      </w:r>
      <w:r>
        <w:t>‘</w:t>
      </w:r>
      <w:r w:rsidRPr="00D6101B">
        <w:t>cosmetic implements</w:t>
      </w:r>
      <w:r>
        <w:t>’</w:t>
      </w:r>
      <w:r w:rsidRPr="00D6101B">
        <w:t xml:space="preserve"> made</w:t>
      </w:r>
      <w:r>
        <w:t xml:space="preserve"> of</w:t>
      </w:r>
      <w:r w:rsidRPr="00D6101B">
        <w:t xml:space="preserve"> ivory, glass and wood (</w:t>
      </w:r>
      <w:r>
        <w:t>e.g.</w:t>
      </w:r>
      <w:r w:rsidRPr="00D6101B">
        <w:t xml:space="preserve"> ivory comb</w:t>
      </w:r>
      <w:r>
        <w:t>s</w:t>
      </w:r>
      <w:r w:rsidRPr="00D6101B">
        <w:t>, pins, wooden pyxi</w:t>
      </w:r>
      <w:r>
        <w:t>des</w:t>
      </w:r>
      <w:r w:rsidRPr="00D6101B">
        <w:t xml:space="preserve">) </w:t>
      </w:r>
      <w:r>
        <w:t>is</w:t>
      </w:r>
      <w:r w:rsidRPr="00D6101B">
        <w:t xml:space="preserve"> reported for Maroulas cemetery (Papadopoulou 2017: 139).</w:t>
      </w:r>
    </w:p>
    <w:p w14:paraId="16BB9B1E" w14:textId="77777777" w:rsidR="001A4F1A" w:rsidRPr="00D6101B" w:rsidRDefault="001A4F1A" w:rsidP="00E858EF">
      <w:pPr>
        <w:suppressAutoHyphens/>
      </w:pPr>
      <w:r>
        <w:tab/>
      </w:r>
      <w:r w:rsidRPr="00D6101B">
        <w:t>In the chamber tomb at Pankalochori</w:t>
      </w:r>
      <w:r>
        <w:t>,</w:t>
      </w:r>
      <w:r w:rsidRPr="00D6101B">
        <w:t xml:space="preserve"> a high number of objects that are not very common in LM III burial contexts</w:t>
      </w:r>
      <w:r>
        <w:t xml:space="preserve"> is registered</w:t>
      </w:r>
      <w:r w:rsidRPr="00D6101B">
        <w:t xml:space="preserve">: </w:t>
      </w:r>
    </w:p>
    <w:p w14:paraId="363A9289" w14:textId="77777777" w:rsidR="001A4F1A" w:rsidRPr="00016C54" w:rsidRDefault="001A4F1A" w:rsidP="00E858EF">
      <w:pPr>
        <w:suppressAutoHyphens/>
        <w:ind w:left="360"/>
      </w:pPr>
      <w:r w:rsidRPr="00016C54">
        <w:t>Stone tripod</w:t>
      </w:r>
    </w:p>
    <w:p w14:paraId="001453EF" w14:textId="77777777" w:rsidR="001A4F1A" w:rsidRPr="00016C54" w:rsidRDefault="001A4F1A" w:rsidP="00E858EF">
      <w:pPr>
        <w:suppressAutoHyphens/>
        <w:ind w:left="360"/>
      </w:pPr>
      <w:r w:rsidRPr="00016C54">
        <w:t>Bone plaques</w:t>
      </w:r>
    </w:p>
    <w:p w14:paraId="26E4BA36" w14:textId="77777777" w:rsidR="001A4F1A" w:rsidRPr="00016C54" w:rsidRDefault="001A4F1A" w:rsidP="00E858EF">
      <w:pPr>
        <w:suppressAutoHyphens/>
        <w:ind w:left="360"/>
      </w:pPr>
      <w:r w:rsidRPr="00016C54">
        <w:t>Bronze cauldron</w:t>
      </w:r>
    </w:p>
    <w:p w14:paraId="2FC880E9" w14:textId="77777777" w:rsidR="001A4F1A" w:rsidRPr="00016C54" w:rsidRDefault="001A4F1A" w:rsidP="00E858EF">
      <w:pPr>
        <w:suppressAutoHyphens/>
        <w:ind w:left="360"/>
      </w:pPr>
      <w:r w:rsidRPr="00016C54">
        <w:t>Ivory handle</w:t>
      </w:r>
    </w:p>
    <w:p w14:paraId="3A064336" w14:textId="77777777" w:rsidR="001A4F1A" w:rsidRPr="00016C54" w:rsidRDefault="001A4F1A" w:rsidP="00E858EF">
      <w:pPr>
        <w:suppressAutoHyphens/>
        <w:ind w:left="360"/>
      </w:pPr>
      <w:r w:rsidRPr="00016C54">
        <w:t>Cylindrical seal</w:t>
      </w:r>
    </w:p>
    <w:p w14:paraId="1D4D3CEB" w14:textId="77777777" w:rsidR="001A4F1A" w:rsidRPr="00016C54" w:rsidRDefault="001A4F1A" w:rsidP="00E858EF">
      <w:pPr>
        <w:suppressAutoHyphens/>
        <w:ind w:left="360"/>
      </w:pPr>
      <w:r w:rsidRPr="00016C54">
        <w:t>Bone and bronze needles</w:t>
      </w:r>
    </w:p>
    <w:p w14:paraId="3726D618" w14:textId="77777777" w:rsidR="001A4F1A" w:rsidRPr="00016C54" w:rsidRDefault="001A4F1A" w:rsidP="00E858EF">
      <w:pPr>
        <w:suppressAutoHyphens/>
        <w:ind w:left="360"/>
      </w:pPr>
      <w:r w:rsidRPr="00016C54">
        <w:t>Two bronze scale plates</w:t>
      </w:r>
    </w:p>
    <w:p w14:paraId="67F01E93" w14:textId="77777777" w:rsidR="001A4F1A" w:rsidRPr="00016C54" w:rsidRDefault="001A4F1A" w:rsidP="00E858EF">
      <w:pPr>
        <w:suppressAutoHyphens/>
        <w:ind w:left="360"/>
      </w:pPr>
      <w:r w:rsidRPr="00016C54">
        <w:t>Stone weights</w:t>
      </w:r>
    </w:p>
    <w:p w14:paraId="01D1CEAA" w14:textId="77777777" w:rsidR="001A4F1A" w:rsidRPr="00016C54" w:rsidRDefault="001A4F1A" w:rsidP="00E858EF">
      <w:pPr>
        <w:suppressAutoHyphens/>
        <w:ind w:left="360"/>
      </w:pPr>
      <w:r w:rsidRPr="00016C54">
        <w:t>Bronze earrings</w:t>
      </w:r>
    </w:p>
    <w:p w14:paraId="68F1FA64" w14:textId="77777777" w:rsidR="001A4F1A" w:rsidRPr="00D6101B" w:rsidRDefault="001A4F1A" w:rsidP="00E858EF">
      <w:pPr>
        <w:suppressAutoHyphens/>
      </w:pPr>
    </w:p>
    <w:p w14:paraId="261FB5BC" w14:textId="49849686" w:rsidR="001A4F1A" w:rsidRPr="00D6101B" w:rsidRDefault="001A4F1A" w:rsidP="00E858EF">
      <w:pPr>
        <w:pStyle w:val="Testofumetto"/>
        <w:suppressAutoHyphens/>
      </w:pPr>
      <w:bookmarkStart w:id="794" w:name="_Toc520212607"/>
      <w:r>
        <w:t>Table 4-32</w:t>
      </w:r>
      <w:r w:rsidR="00DC6690">
        <w:t>.</w:t>
      </w:r>
      <w:r>
        <w:t xml:space="preserve"> Beads and whorls occurrence</w:t>
      </w:r>
      <w:r w:rsidR="007B628E">
        <w:t>,</w:t>
      </w:r>
      <w:r>
        <w:t xml:space="preserve"> Mid-West area</w:t>
      </w:r>
      <w:bookmarkEnd w:id="79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3"/>
        <w:gridCol w:w="2888"/>
        <w:gridCol w:w="2903"/>
      </w:tblGrid>
      <w:tr w:rsidR="001A4F1A" w:rsidRPr="000C61EC" w14:paraId="183293AF" w14:textId="77777777" w:rsidTr="009D5FBB">
        <w:tc>
          <w:tcPr>
            <w:tcW w:w="3257" w:type="dxa"/>
          </w:tcPr>
          <w:p w14:paraId="298BAAE4" w14:textId="77777777" w:rsidR="001A4F1A" w:rsidRPr="000C61EC" w:rsidRDefault="001A4F1A" w:rsidP="00E858EF">
            <w:pPr>
              <w:suppressAutoHyphens/>
              <w:rPr>
                <w:sz w:val="20"/>
              </w:rPr>
            </w:pPr>
          </w:p>
        </w:tc>
        <w:tc>
          <w:tcPr>
            <w:tcW w:w="3257" w:type="dxa"/>
          </w:tcPr>
          <w:p w14:paraId="6E27AC24" w14:textId="77777777" w:rsidR="001A4F1A" w:rsidRPr="000C61EC" w:rsidRDefault="001A4F1A" w:rsidP="00E858EF">
            <w:pPr>
              <w:suppressAutoHyphens/>
              <w:jc w:val="center"/>
              <w:rPr>
                <w:rFonts w:eastAsia="Times New Roman"/>
                <w:b/>
                <w:bCs/>
                <w:color w:val="000000"/>
                <w:sz w:val="20"/>
              </w:rPr>
            </w:pPr>
            <w:r w:rsidRPr="000C61EC">
              <w:rPr>
                <w:rFonts w:eastAsia="Times New Roman"/>
                <w:color w:val="000000"/>
                <w:sz w:val="20"/>
              </w:rPr>
              <w:t>Bead</w:t>
            </w:r>
          </w:p>
          <w:p w14:paraId="0303CD94" w14:textId="77777777" w:rsidR="001A4F1A" w:rsidRPr="000C61EC" w:rsidRDefault="001A4F1A" w:rsidP="00E858EF">
            <w:pPr>
              <w:suppressAutoHyphens/>
              <w:jc w:val="center"/>
              <w:rPr>
                <w:sz w:val="20"/>
              </w:rPr>
            </w:pPr>
          </w:p>
        </w:tc>
        <w:tc>
          <w:tcPr>
            <w:tcW w:w="3258" w:type="dxa"/>
          </w:tcPr>
          <w:p w14:paraId="43F25AD7" w14:textId="77777777" w:rsidR="001A4F1A" w:rsidRPr="000C61EC" w:rsidRDefault="001A4F1A" w:rsidP="00E858EF">
            <w:pPr>
              <w:suppressAutoHyphens/>
              <w:jc w:val="center"/>
              <w:rPr>
                <w:rFonts w:eastAsia="Times New Roman"/>
                <w:b/>
                <w:bCs/>
                <w:color w:val="000000"/>
                <w:sz w:val="20"/>
              </w:rPr>
            </w:pPr>
            <w:r w:rsidRPr="000C61EC">
              <w:rPr>
                <w:rFonts w:eastAsia="Times New Roman"/>
                <w:color w:val="000000"/>
                <w:sz w:val="20"/>
              </w:rPr>
              <w:t>Whorl</w:t>
            </w:r>
          </w:p>
          <w:p w14:paraId="4393CD2A" w14:textId="77777777" w:rsidR="001A4F1A" w:rsidRPr="000C61EC" w:rsidRDefault="001A4F1A" w:rsidP="00E858EF">
            <w:pPr>
              <w:suppressAutoHyphens/>
              <w:jc w:val="center"/>
              <w:rPr>
                <w:sz w:val="20"/>
              </w:rPr>
            </w:pPr>
          </w:p>
        </w:tc>
      </w:tr>
      <w:tr w:rsidR="001A4F1A" w:rsidRPr="000C61EC" w14:paraId="4D8E7FD1" w14:textId="77777777" w:rsidTr="009D5FBB">
        <w:tc>
          <w:tcPr>
            <w:tcW w:w="3257" w:type="dxa"/>
          </w:tcPr>
          <w:p w14:paraId="675868BA" w14:textId="77777777" w:rsidR="001A4F1A" w:rsidRPr="000C61EC" w:rsidRDefault="001A4F1A" w:rsidP="00E858EF">
            <w:pPr>
              <w:suppressAutoHyphens/>
              <w:rPr>
                <w:sz w:val="20"/>
              </w:rPr>
            </w:pPr>
            <w:r w:rsidRPr="000C61EC">
              <w:rPr>
                <w:sz w:val="20"/>
              </w:rPr>
              <w:t>Number of items</w:t>
            </w:r>
          </w:p>
        </w:tc>
        <w:tc>
          <w:tcPr>
            <w:tcW w:w="3257" w:type="dxa"/>
          </w:tcPr>
          <w:p w14:paraId="45B6A4B3" w14:textId="77777777" w:rsidR="001A4F1A" w:rsidRPr="000C61EC" w:rsidRDefault="001A4F1A" w:rsidP="00E858EF">
            <w:pPr>
              <w:suppressAutoHyphens/>
              <w:jc w:val="center"/>
              <w:rPr>
                <w:sz w:val="20"/>
              </w:rPr>
            </w:pPr>
            <w:r w:rsidRPr="000C61EC">
              <w:rPr>
                <w:sz w:val="20"/>
              </w:rPr>
              <w:t>176</w:t>
            </w:r>
          </w:p>
        </w:tc>
        <w:tc>
          <w:tcPr>
            <w:tcW w:w="3258" w:type="dxa"/>
          </w:tcPr>
          <w:p w14:paraId="0AD94DE8" w14:textId="77777777" w:rsidR="001A4F1A" w:rsidRPr="000C61EC" w:rsidRDefault="001A4F1A" w:rsidP="00E858EF">
            <w:pPr>
              <w:suppressAutoHyphens/>
              <w:jc w:val="center"/>
              <w:rPr>
                <w:sz w:val="20"/>
              </w:rPr>
            </w:pPr>
            <w:r w:rsidRPr="000C61EC">
              <w:rPr>
                <w:sz w:val="20"/>
              </w:rPr>
              <w:t>39</w:t>
            </w:r>
          </w:p>
        </w:tc>
      </w:tr>
      <w:tr w:rsidR="001A4F1A" w:rsidRPr="000C61EC" w14:paraId="1E8B43FE" w14:textId="77777777" w:rsidTr="009D5FBB">
        <w:tc>
          <w:tcPr>
            <w:tcW w:w="3257" w:type="dxa"/>
          </w:tcPr>
          <w:p w14:paraId="6ECA5A27" w14:textId="77777777" w:rsidR="001A4F1A" w:rsidRPr="000C61EC" w:rsidRDefault="001A4F1A" w:rsidP="00E858EF">
            <w:pPr>
              <w:suppressAutoHyphens/>
              <w:rPr>
                <w:sz w:val="20"/>
              </w:rPr>
            </w:pPr>
            <w:r w:rsidRPr="000C61EC">
              <w:rPr>
                <w:sz w:val="20"/>
              </w:rPr>
              <w:t>Number of tombs</w:t>
            </w:r>
          </w:p>
        </w:tc>
        <w:tc>
          <w:tcPr>
            <w:tcW w:w="3257" w:type="dxa"/>
          </w:tcPr>
          <w:p w14:paraId="63F17337" w14:textId="77777777" w:rsidR="001A4F1A" w:rsidRPr="000C61EC" w:rsidRDefault="001A4F1A" w:rsidP="00E858EF">
            <w:pPr>
              <w:suppressAutoHyphens/>
              <w:jc w:val="center"/>
              <w:rPr>
                <w:sz w:val="20"/>
              </w:rPr>
            </w:pPr>
            <w:r w:rsidRPr="000C61EC">
              <w:rPr>
                <w:sz w:val="20"/>
              </w:rPr>
              <w:t>19</w:t>
            </w:r>
          </w:p>
        </w:tc>
        <w:tc>
          <w:tcPr>
            <w:tcW w:w="3258" w:type="dxa"/>
          </w:tcPr>
          <w:p w14:paraId="40DDF84C" w14:textId="77777777" w:rsidR="001A4F1A" w:rsidRPr="000C61EC" w:rsidRDefault="001A4F1A" w:rsidP="00E858EF">
            <w:pPr>
              <w:suppressAutoHyphens/>
              <w:jc w:val="center"/>
              <w:rPr>
                <w:sz w:val="20"/>
              </w:rPr>
            </w:pPr>
            <w:r w:rsidRPr="000C61EC">
              <w:rPr>
                <w:sz w:val="20"/>
              </w:rPr>
              <w:t>7</w:t>
            </w:r>
          </w:p>
        </w:tc>
      </w:tr>
    </w:tbl>
    <w:p w14:paraId="5FBC2C95" w14:textId="77777777" w:rsidR="001A4F1A" w:rsidRPr="00D6101B" w:rsidRDefault="001A4F1A" w:rsidP="00E858EF">
      <w:pPr>
        <w:suppressAutoHyphens/>
      </w:pPr>
    </w:p>
    <w:p w14:paraId="51072AA4" w14:textId="77777777" w:rsidR="001A4F1A" w:rsidRPr="00D6101B" w:rsidRDefault="001A4F1A" w:rsidP="00E858EF">
      <w:pPr>
        <w:suppressAutoHyphens/>
      </w:pPr>
    </w:p>
    <w:p w14:paraId="1AFBBF9B" w14:textId="7E8F7D26" w:rsidR="001A4F1A" w:rsidRPr="00D6101B" w:rsidRDefault="001A4F1A" w:rsidP="00E858EF">
      <w:pPr>
        <w:pStyle w:val="Testofumetto"/>
        <w:suppressAutoHyphens/>
      </w:pPr>
      <w:bookmarkStart w:id="795" w:name="_Toc520212608"/>
      <w:r>
        <w:t>Table 4-33</w:t>
      </w:r>
      <w:r w:rsidR="00DC6690">
        <w:t>.</w:t>
      </w:r>
      <w:r>
        <w:t xml:space="preserve"> Most common non-ceramic item types</w:t>
      </w:r>
      <w:r w:rsidR="007B628E">
        <w:t>,</w:t>
      </w:r>
      <w:r>
        <w:t xml:space="preserve"> Mid-West area</w:t>
      </w:r>
      <w:bookmarkEnd w:id="795"/>
      <w:r w:rsidDel="00C0185B">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1"/>
        <w:gridCol w:w="1805"/>
        <w:gridCol w:w="1819"/>
        <w:gridCol w:w="1573"/>
        <w:gridCol w:w="1596"/>
      </w:tblGrid>
      <w:tr w:rsidR="001A4F1A" w:rsidRPr="000C61EC" w14:paraId="69717D92" w14:textId="77777777" w:rsidTr="009D5FBB">
        <w:tc>
          <w:tcPr>
            <w:tcW w:w="2150" w:type="dxa"/>
          </w:tcPr>
          <w:p w14:paraId="46F2519C" w14:textId="77777777" w:rsidR="001A4F1A" w:rsidRPr="000C61EC" w:rsidRDefault="001A4F1A" w:rsidP="00E858EF">
            <w:pPr>
              <w:suppressAutoHyphens/>
              <w:rPr>
                <w:sz w:val="20"/>
              </w:rPr>
            </w:pPr>
          </w:p>
        </w:tc>
        <w:tc>
          <w:tcPr>
            <w:tcW w:w="2067" w:type="dxa"/>
          </w:tcPr>
          <w:p w14:paraId="59319F44" w14:textId="77777777" w:rsidR="001A4F1A" w:rsidRPr="000C61EC" w:rsidRDefault="001A4F1A" w:rsidP="00E858EF">
            <w:pPr>
              <w:suppressAutoHyphens/>
              <w:jc w:val="center"/>
              <w:rPr>
                <w:rFonts w:eastAsia="Times New Roman"/>
                <w:b/>
                <w:bCs/>
                <w:color w:val="000000"/>
                <w:sz w:val="20"/>
              </w:rPr>
            </w:pPr>
            <w:r w:rsidRPr="000C61EC">
              <w:rPr>
                <w:rFonts w:eastAsia="Times New Roman"/>
                <w:color w:val="000000"/>
                <w:sz w:val="20"/>
              </w:rPr>
              <w:t>Ring</w:t>
            </w:r>
          </w:p>
        </w:tc>
        <w:tc>
          <w:tcPr>
            <w:tcW w:w="2093" w:type="dxa"/>
          </w:tcPr>
          <w:p w14:paraId="5FB7EC7C" w14:textId="77777777" w:rsidR="001A4F1A" w:rsidRPr="000C61EC" w:rsidRDefault="001A4F1A" w:rsidP="00E858EF">
            <w:pPr>
              <w:suppressAutoHyphens/>
              <w:jc w:val="center"/>
              <w:rPr>
                <w:rFonts w:eastAsia="Times New Roman"/>
                <w:b/>
                <w:bCs/>
                <w:color w:val="000000"/>
                <w:sz w:val="20"/>
              </w:rPr>
            </w:pPr>
            <w:r w:rsidRPr="000C61EC">
              <w:rPr>
                <w:rFonts w:eastAsia="Times New Roman"/>
                <w:color w:val="000000"/>
                <w:sz w:val="20"/>
              </w:rPr>
              <w:t>Seal</w:t>
            </w:r>
          </w:p>
          <w:p w14:paraId="2DF849C2" w14:textId="77777777" w:rsidR="001A4F1A" w:rsidRPr="000C61EC" w:rsidRDefault="001A4F1A" w:rsidP="00E858EF">
            <w:pPr>
              <w:suppressAutoHyphens/>
              <w:jc w:val="center"/>
              <w:rPr>
                <w:sz w:val="20"/>
              </w:rPr>
            </w:pPr>
          </w:p>
        </w:tc>
        <w:tc>
          <w:tcPr>
            <w:tcW w:w="1769" w:type="dxa"/>
          </w:tcPr>
          <w:p w14:paraId="293262DB"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Knife</w:t>
            </w:r>
          </w:p>
        </w:tc>
        <w:tc>
          <w:tcPr>
            <w:tcW w:w="1769" w:type="dxa"/>
          </w:tcPr>
          <w:p w14:paraId="0D073B10"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Dagger</w:t>
            </w:r>
          </w:p>
        </w:tc>
      </w:tr>
      <w:tr w:rsidR="001A4F1A" w:rsidRPr="000C61EC" w14:paraId="2AC68B47" w14:textId="77777777" w:rsidTr="009D5FBB">
        <w:tc>
          <w:tcPr>
            <w:tcW w:w="2150" w:type="dxa"/>
          </w:tcPr>
          <w:p w14:paraId="41EB430C" w14:textId="77777777" w:rsidR="001A4F1A" w:rsidRPr="000C61EC" w:rsidRDefault="001A4F1A" w:rsidP="00E858EF">
            <w:pPr>
              <w:suppressAutoHyphens/>
              <w:rPr>
                <w:sz w:val="20"/>
              </w:rPr>
            </w:pPr>
            <w:r w:rsidRPr="000C61EC">
              <w:rPr>
                <w:sz w:val="20"/>
              </w:rPr>
              <w:t>Number of items</w:t>
            </w:r>
          </w:p>
        </w:tc>
        <w:tc>
          <w:tcPr>
            <w:tcW w:w="2067" w:type="dxa"/>
          </w:tcPr>
          <w:p w14:paraId="79780A9B" w14:textId="77777777" w:rsidR="001A4F1A" w:rsidRPr="000C61EC" w:rsidRDefault="001A4F1A" w:rsidP="00E858EF">
            <w:pPr>
              <w:suppressAutoHyphens/>
              <w:jc w:val="center"/>
              <w:rPr>
                <w:sz w:val="20"/>
              </w:rPr>
            </w:pPr>
            <w:r w:rsidRPr="000C61EC">
              <w:rPr>
                <w:sz w:val="20"/>
              </w:rPr>
              <w:t>30</w:t>
            </w:r>
          </w:p>
        </w:tc>
        <w:tc>
          <w:tcPr>
            <w:tcW w:w="2093" w:type="dxa"/>
          </w:tcPr>
          <w:p w14:paraId="0D3BE80E" w14:textId="77777777" w:rsidR="001A4F1A" w:rsidRPr="000C61EC" w:rsidRDefault="001A4F1A" w:rsidP="00E858EF">
            <w:pPr>
              <w:suppressAutoHyphens/>
              <w:jc w:val="center"/>
              <w:rPr>
                <w:sz w:val="20"/>
              </w:rPr>
            </w:pPr>
            <w:r w:rsidRPr="000C61EC">
              <w:rPr>
                <w:sz w:val="20"/>
              </w:rPr>
              <w:t>31</w:t>
            </w:r>
          </w:p>
        </w:tc>
        <w:tc>
          <w:tcPr>
            <w:tcW w:w="1769" w:type="dxa"/>
          </w:tcPr>
          <w:p w14:paraId="4E420B6B" w14:textId="77777777" w:rsidR="001A4F1A" w:rsidRPr="000C61EC" w:rsidRDefault="001A4F1A" w:rsidP="00E858EF">
            <w:pPr>
              <w:suppressAutoHyphens/>
              <w:jc w:val="center"/>
              <w:rPr>
                <w:sz w:val="20"/>
              </w:rPr>
            </w:pPr>
            <w:r w:rsidRPr="000C61EC">
              <w:rPr>
                <w:sz w:val="20"/>
              </w:rPr>
              <w:t>15</w:t>
            </w:r>
          </w:p>
        </w:tc>
        <w:tc>
          <w:tcPr>
            <w:tcW w:w="1769" w:type="dxa"/>
          </w:tcPr>
          <w:p w14:paraId="56BCF9C3" w14:textId="77777777" w:rsidR="001A4F1A" w:rsidRPr="000C61EC" w:rsidRDefault="001A4F1A" w:rsidP="00E858EF">
            <w:pPr>
              <w:suppressAutoHyphens/>
              <w:jc w:val="center"/>
              <w:rPr>
                <w:sz w:val="20"/>
              </w:rPr>
            </w:pPr>
            <w:r w:rsidRPr="000C61EC">
              <w:rPr>
                <w:sz w:val="20"/>
              </w:rPr>
              <w:t>9</w:t>
            </w:r>
          </w:p>
        </w:tc>
      </w:tr>
      <w:tr w:rsidR="001A4F1A" w:rsidRPr="000C61EC" w14:paraId="60BDAFA6" w14:textId="77777777" w:rsidTr="009D5FBB">
        <w:tc>
          <w:tcPr>
            <w:tcW w:w="2150" w:type="dxa"/>
          </w:tcPr>
          <w:p w14:paraId="1DD9E9AD" w14:textId="77777777" w:rsidR="001A4F1A" w:rsidRPr="000C61EC" w:rsidRDefault="001A4F1A" w:rsidP="00E858EF">
            <w:pPr>
              <w:suppressAutoHyphens/>
              <w:rPr>
                <w:sz w:val="20"/>
              </w:rPr>
            </w:pPr>
            <w:r w:rsidRPr="000C61EC">
              <w:rPr>
                <w:sz w:val="20"/>
              </w:rPr>
              <w:t>Number of tombs</w:t>
            </w:r>
          </w:p>
        </w:tc>
        <w:tc>
          <w:tcPr>
            <w:tcW w:w="2067" w:type="dxa"/>
          </w:tcPr>
          <w:p w14:paraId="4BE6653E" w14:textId="77777777" w:rsidR="001A4F1A" w:rsidRPr="000C61EC" w:rsidRDefault="001A4F1A" w:rsidP="00E858EF">
            <w:pPr>
              <w:suppressAutoHyphens/>
              <w:jc w:val="center"/>
              <w:rPr>
                <w:sz w:val="20"/>
              </w:rPr>
            </w:pPr>
            <w:r w:rsidRPr="000C61EC">
              <w:rPr>
                <w:sz w:val="20"/>
              </w:rPr>
              <w:t>10</w:t>
            </w:r>
          </w:p>
        </w:tc>
        <w:tc>
          <w:tcPr>
            <w:tcW w:w="2093" w:type="dxa"/>
          </w:tcPr>
          <w:p w14:paraId="60C6DBBB" w14:textId="77777777" w:rsidR="001A4F1A" w:rsidRPr="000C61EC" w:rsidRDefault="001A4F1A" w:rsidP="00E858EF">
            <w:pPr>
              <w:suppressAutoHyphens/>
              <w:jc w:val="center"/>
              <w:rPr>
                <w:sz w:val="20"/>
              </w:rPr>
            </w:pPr>
            <w:r w:rsidRPr="000C61EC">
              <w:rPr>
                <w:sz w:val="20"/>
              </w:rPr>
              <w:t>14</w:t>
            </w:r>
          </w:p>
        </w:tc>
        <w:tc>
          <w:tcPr>
            <w:tcW w:w="1769" w:type="dxa"/>
          </w:tcPr>
          <w:p w14:paraId="47E87777" w14:textId="77777777" w:rsidR="001A4F1A" w:rsidRPr="000C61EC" w:rsidRDefault="001A4F1A" w:rsidP="00E858EF">
            <w:pPr>
              <w:suppressAutoHyphens/>
              <w:jc w:val="center"/>
              <w:rPr>
                <w:sz w:val="20"/>
              </w:rPr>
            </w:pPr>
            <w:r w:rsidRPr="000C61EC">
              <w:rPr>
                <w:sz w:val="20"/>
              </w:rPr>
              <w:t>10</w:t>
            </w:r>
          </w:p>
        </w:tc>
        <w:tc>
          <w:tcPr>
            <w:tcW w:w="1769" w:type="dxa"/>
          </w:tcPr>
          <w:p w14:paraId="3C3BE49A" w14:textId="77777777" w:rsidR="001A4F1A" w:rsidRPr="000C61EC" w:rsidRDefault="001A4F1A" w:rsidP="00E858EF">
            <w:pPr>
              <w:suppressAutoHyphens/>
              <w:jc w:val="center"/>
              <w:rPr>
                <w:sz w:val="20"/>
              </w:rPr>
            </w:pPr>
            <w:r w:rsidRPr="000C61EC">
              <w:rPr>
                <w:sz w:val="20"/>
              </w:rPr>
              <w:t>5</w:t>
            </w:r>
          </w:p>
        </w:tc>
      </w:tr>
    </w:tbl>
    <w:p w14:paraId="68086CFC" w14:textId="77777777" w:rsidR="001A4F1A" w:rsidRPr="00D6101B" w:rsidRDefault="001A4F1A" w:rsidP="00E858EF">
      <w:pPr>
        <w:suppressAutoHyphens/>
      </w:pPr>
    </w:p>
    <w:p w14:paraId="2649FF27" w14:textId="77777777" w:rsidR="001A4F1A" w:rsidRPr="00D6101B" w:rsidRDefault="001A4F1A" w:rsidP="00E858EF">
      <w:pPr>
        <w:suppressAutoHyphens/>
      </w:pPr>
      <w:r w:rsidRPr="002F25C2">
        <w:rPr>
          <w:noProof/>
        </w:rPr>
        <w:t xml:space="preserve"> </w:t>
      </w:r>
      <w:r>
        <w:rPr>
          <w:noProof/>
          <w:lang w:val="it-IT"/>
        </w:rPr>
        <w:drawing>
          <wp:inline distT="0" distB="0" distL="0" distR="0" wp14:anchorId="0F52AD30" wp14:editId="71CABB70">
            <wp:extent cx="5396230" cy="5446505"/>
            <wp:effectExtent l="0" t="0" r="13970" b="14605"/>
            <wp:docPr id="100" name="Gra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7FCE3B74" w14:textId="50FB0FB3" w:rsidR="001A4F1A" w:rsidRDefault="001A4F1A" w:rsidP="000C61EC">
      <w:pPr>
        <w:pStyle w:val="Didascalia"/>
      </w:pPr>
      <w:bookmarkStart w:id="796" w:name="_Toc520212370"/>
      <w:r>
        <w:t>Figure 4-32</w:t>
      </w:r>
      <w:r w:rsidR="008D5E5D">
        <w:t>.</w:t>
      </w:r>
      <w:r>
        <w:t xml:space="preserve"> Occurrence of non-ceramic item types</w:t>
      </w:r>
      <w:r w:rsidR="007B628E">
        <w:t>,</w:t>
      </w:r>
      <w:r>
        <w:t xml:space="preserve"> Mid-West area</w:t>
      </w:r>
      <w:bookmarkEnd w:id="796"/>
    </w:p>
    <w:p w14:paraId="2BADA320" w14:textId="77777777" w:rsidR="000B660B" w:rsidRPr="000B660B" w:rsidRDefault="000B660B" w:rsidP="00E858EF">
      <w:pPr>
        <w:suppressAutoHyphens/>
      </w:pPr>
    </w:p>
    <w:p w14:paraId="25CBCB80" w14:textId="77777777" w:rsidR="001A4F1A" w:rsidRPr="00D6101B" w:rsidRDefault="001A4F1A" w:rsidP="00E858EF">
      <w:pPr>
        <w:pStyle w:val="Titolo4"/>
        <w:keepNext w:val="0"/>
        <w:keepLines w:val="0"/>
        <w:suppressAutoHyphens/>
      </w:pPr>
      <w:bookmarkStart w:id="797" w:name="_Toc389508247"/>
      <w:bookmarkStart w:id="798" w:name="_Toc517745327"/>
      <w:r w:rsidRPr="00D6101B">
        <w:t>Pottery types</w:t>
      </w:r>
      <w:bookmarkEnd w:id="797"/>
      <w:bookmarkEnd w:id="798"/>
    </w:p>
    <w:p w14:paraId="164AB8CE" w14:textId="77777777" w:rsidR="001A4F1A" w:rsidRPr="00D6101B" w:rsidRDefault="001A4F1A" w:rsidP="00E858EF">
      <w:pPr>
        <w:suppressAutoHyphens/>
      </w:pPr>
      <w:r w:rsidRPr="00D6101B">
        <w:t xml:space="preserve">In the </w:t>
      </w:r>
      <w:r>
        <w:t>Mid-West</w:t>
      </w:r>
      <w:r w:rsidRPr="00D6101B">
        <w:t xml:space="preserve"> area</w:t>
      </w:r>
      <w:r>
        <w:t>,</w:t>
      </w:r>
      <w:r w:rsidRPr="00D6101B">
        <w:t xml:space="preserve"> pottery occurs in all the tombs for which information about the presence of grave goods </w:t>
      </w:r>
      <w:r>
        <w:t>is</w:t>
      </w:r>
      <w:r w:rsidRPr="00D6101B">
        <w:t xml:space="preserve"> available (54</w:t>
      </w:r>
      <w:r>
        <w:t>),</w:t>
      </w:r>
      <w:r w:rsidRPr="00D6101B">
        <w:t xml:space="preserve"> except for </w:t>
      </w:r>
      <w:r>
        <w:t>T</w:t>
      </w:r>
      <w:r w:rsidRPr="00D6101B">
        <w:t>omb 159 at Armen</w:t>
      </w:r>
      <w:r>
        <w:t>o</w:t>
      </w:r>
      <w:r w:rsidRPr="00D6101B">
        <w:t xml:space="preserve">i, which </w:t>
      </w:r>
      <w:r>
        <w:t>was</w:t>
      </w:r>
      <w:r w:rsidRPr="00D6101B">
        <w:t xml:space="preserve"> looted.</w:t>
      </w:r>
      <w:r>
        <w:t xml:space="preserve"> </w:t>
      </w:r>
      <w:r w:rsidRPr="00D6101B">
        <w:t xml:space="preserve">However, for </w:t>
      </w:r>
      <w:r>
        <w:t>four</w:t>
      </w:r>
      <w:r w:rsidRPr="00D6101B">
        <w:t xml:space="preserve"> tombs</w:t>
      </w:r>
      <w:r>
        <w:t>,</w:t>
      </w:r>
      <w:r w:rsidRPr="00D6101B">
        <w:t xml:space="preserve"> the only information available concerns the presence of pottery materials</w:t>
      </w:r>
      <w:r>
        <w:t>,</w:t>
      </w:r>
      <w:r w:rsidRPr="00D6101B">
        <w:t xml:space="preserve"> and no detailed information about pottery type</w:t>
      </w:r>
      <w:r>
        <w:t>s</w:t>
      </w:r>
      <w:r w:rsidRPr="00D6101B">
        <w:t xml:space="preserve"> </w:t>
      </w:r>
      <w:r>
        <w:t xml:space="preserve">is </w:t>
      </w:r>
      <w:r w:rsidRPr="00D6101B">
        <w:t>available.</w:t>
      </w:r>
    </w:p>
    <w:p w14:paraId="4BA07F5E" w14:textId="77777777" w:rsidR="001A4F1A" w:rsidRPr="00D6101B" w:rsidRDefault="001A4F1A" w:rsidP="00E858EF">
      <w:pPr>
        <w:suppressAutoHyphens/>
      </w:pPr>
      <w:r>
        <w:tab/>
      </w:r>
      <w:r w:rsidRPr="00D6101B">
        <w:t xml:space="preserve">Consequently, </w:t>
      </w:r>
      <w:r>
        <w:t>the analysis of pottery types</w:t>
      </w:r>
      <w:r w:rsidRPr="00D6101B">
        <w:t xml:space="preserve"> </w:t>
      </w:r>
      <w:r>
        <w:t>is</w:t>
      </w:r>
      <w:r w:rsidRPr="00D6101B">
        <w:t xml:space="preserve"> based on a sample of 50 tombs. Unfortunately, even if some of the tombs from</w:t>
      </w:r>
      <w:r>
        <w:t xml:space="preserve"> the</w:t>
      </w:r>
      <w:r w:rsidRPr="00D6101B">
        <w:t xml:space="preserve"> Armen</w:t>
      </w:r>
      <w:r>
        <w:t>o</w:t>
      </w:r>
      <w:r w:rsidRPr="00D6101B">
        <w:t xml:space="preserve">i cemetery </w:t>
      </w:r>
      <w:r>
        <w:t>are</w:t>
      </w:r>
      <w:r w:rsidRPr="00D6101B">
        <w:t xml:space="preserve"> included in the analysis, </w:t>
      </w:r>
      <w:r>
        <w:t xml:space="preserve">the </w:t>
      </w:r>
      <w:r w:rsidRPr="00D6101B">
        <w:t xml:space="preserve">information available </w:t>
      </w:r>
      <w:r>
        <w:t xml:space="preserve">is </w:t>
      </w:r>
      <w:r w:rsidRPr="00D6101B">
        <w:t>only from preliminary reports and</w:t>
      </w:r>
      <w:r>
        <w:t>, thus,</w:t>
      </w:r>
      <w:r w:rsidRPr="00D6101B">
        <w:t xml:space="preserve"> could be partial. In other cases (i.e.</w:t>
      </w:r>
      <w:r>
        <w:t xml:space="preserve"> the</w:t>
      </w:r>
      <w:r w:rsidRPr="00D6101B">
        <w:t xml:space="preserve"> tombs at Angeliana Tsouknis, Choumeri Laria, Mesi Lismata</w:t>
      </w:r>
      <w:r>
        <w:t xml:space="preserve"> and</w:t>
      </w:r>
      <w:r w:rsidRPr="00D6101B">
        <w:t xml:space="preserve"> Mesi Phoukianos)</w:t>
      </w:r>
      <w:r>
        <w:t>,</w:t>
      </w:r>
      <w:r w:rsidRPr="00D6101B">
        <w:t xml:space="preserve"> the informat</w:t>
      </w:r>
      <w:r>
        <w:t>ion available for some pottery</w:t>
      </w:r>
      <w:r w:rsidRPr="00D6101B">
        <w:t xml:space="preserve"> reports the presence of more than one item without </w:t>
      </w:r>
      <w:r>
        <w:t>providing</w:t>
      </w:r>
      <w:r w:rsidRPr="00D6101B">
        <w:t xml:space="preserve"> the precise number of pots </w:t>
      </w:r>
      <w:r>
        <w:t>found</w:t>
      </w:r>
      <w:r w:rsidRPr="00D6101B">
        <w:t>.</w:t>
      </w:r>
      <w:r>
        <w:t xml:space="preserve"> </w:t>
      </w:r>
    </w:p>
    <w:p w14:paraId="67430C64" w14:textId="77777777" w:rsidR="001A4F1A" w:rsidRPr="00D6101B" w:rsidRDefault="001A4F1A" w:rsidP="00E858EF">
      <w:pPr>
        <w:suppressAutoHyphens/>
      </w:pPr>
      <w:r>
        <w:tab/>
        <w:t>More than 20 p</w:t>
      </w:r>
      <w:r w:rsidRPr="00D6101B">
        <w:t xml:space="preserve">ottery types </w:t>
      </w:r>
      <w:r>
        <w:t xml:space="preserve">are </w:t>
      </w:r>
      <w:r w:rsidRPr="00D6101B">
        <w:t>registered. The four most common types are stirrup jars, cups, goblet</w:t>
      </w:r>
      <w:r>
        <w:t>s</w:t>
      </w:r>
      <w:r w:rsidRPr="00D6101B">
        <w:t xml:space="preserve"> and alabastra. Th</w:t>
      </w:r>
      <w:r>
        <w:t>e</w:t>
      </w:r>
      <w:r w:rsidRPr="00D6101B">
        <w:t xml:space="preserve">se are the most popular forms </w:t>
      </w:r>
      <w:r>
        <w:t>in</w:t>
      </w:r>
      <w:r w:rsidRPr="00D6101B">
        <w:t xml:space="preserve"> the number of tombs in which they </w:t>
      </w:r>
      <w:r>
        <w:t>were</w:t>
      </w:r>
      <w:r w:rsidRPr="00D6101B">
        <w:t xml:space="preserve"> found.</w:t>
      </w:r>
    </w:p>
    <w:p w14:paraId="123F50F7" w14:textId="77777777" w:rsidR="001A4F1A" w:rsidRPr="00D6101B" w:rsidRDefault="001A4F1A" w:rsidP="00E858EF">
      <w:pPr>
        <w:suppressAutoHyphens/>
      </w:pPr>
      <w:r>
        <w:tab/>
      </w:r>
      <w:r w:rsidRPr="00D6101B">
        <w:t>The pottery types</w:t>
      </w:r>
      <w:r>
        <w:t xml:space="preserve"> </w:t>
      </w:r>
      <w:r w:rsidRPr="00D6101B">
        <w:t xml:space="preserve">in this region </w:t>
      </w:r>
      <w:r>
        <w:t>that were not</w:t>
      </w:r>
      <w:r w:rsidRPr="00D6101B">
        <w:t xml:space="preserve"> found in association with secure tombs with larnakes are ring vases, ladle</w:t>
      </w:r>
      <w:r>
        <w:t>s and</w:t>
      </w:r>
      <w:r w:rsidRPr="00D6101B">
        <w:t xml:space="preserve"> cauldron</w:t>
      </w:r>
      <w:r>
        <w:t>s</w:t>
      </w:r>
      <w:r w:rsidRPr="00D6101B">
        <w:t xml:space="preserve">. </w:t>
      </w:r>
      <w:r>
        <w:t>The p</w:t>
      </w:r>
      <w:r w:rsidRPr="00D6101B">
        <w:t>ottery types seem to be proportional</w:t>
      </w:r>
      <w:r>
        <w:t>ly</w:t>
      </w:r>
      <w:r w:rsidRPr="00D6101B">
        <w:t xml:space="preserve"> distributed in tombs</w:t>
      </w:r>
      <w:r>
        <w:t>,</w:t>
      </w:r>
      <w:r w:rsidRPr="00D6101B">
        <w:t xml:space="preserve"> and the maximum number of each category per tomb </w:t>
      </w:r>
      <w:r>
        <w:t>is not more than</w:t>
      </w:r>
      <w:r w:rsidRPr="00D6101B">
        <w:t xml:space="preserve"> 10 (</w:t>
      </w:r>
      <w:r>
        <w:t xml:space="preserve">the </w:t>
      </w:r>
      <w:r w:rsidRPr="00D6101B">
        <w:t>maximum number of stirrups jars found in four tombs at Armen</w:t>
      </w:r>
      <w:r>
        <w:t>o</w:t>
      </w:r>
      <w:r w:rsidRPr="00D6101B">
        <w:t xml:space="preserve">i). The average number of pots per tomb </w:t>
      </w:r>
      <w:r>
        <w:t>is</w:t>
      </w:r>
      <w:r w:rsidRPr="00D6101B">
        <w:t xml:space="preserve"> 18</w:t>
      </w:r>
      <w:r>
        <w:t xml:space="preserve">. </w:t>
      </w:r>
      <w:r w:rsidRPr="00D6101B">
        <w:t xml:space="preserve">The maximum number of </w:t>
      </w:r>
      <w:r>
        <w:t xml:space="preserve">pieces of </w:t>
      </w:r>
      <w:r w:rsidRPr="00D6101B">
        <w:t xml:space="preserve">pottery found within a tomb </w:t>
      </w:r>
      <w:r>
        <w:t>is</w:t>
      </w:r>
      <w:r w:rsidRPr="00D6101B">
        <w:t xml:space="preserve"> 42</w:t>
      </w:r>
      <w:r>
        <w:t>, which was</w:t>
      </w:r>
      <w:r w:rsidRPr="00D6101B">
        <w:t xml:space="preserve"> found in the chamber tomb at Pigi Grambela (although </w:t>
      </w:r>
      <w:r>
        <w:t>there are</w:t>
      </w:r>
      <w:r w:rsidRPr="00D6101B">
        <w:t xml:space="preserve"> description</w:t>
      </w:r>
      <w:r>
        <w:t>s</w:t>
      </w:r>
      <w:r w:rsidRPr="00D6101B">
        <w:t xml:space="preserve"> and pictures of only </w:t>
      </w:r>
      <w:r>
        <w:t xml:space="preserve">a </w:t>
      </w:r>
      <w:r w:rsidRPr="00D6101B">
        <w:t>few pots reported</w:t>
      </w:r>
      <w:r>
        <w:t>,</w:t>
      </w:r>
      <w:r w:rsidRPr="00D6101B">
        <w:t xml:space="preserve"> </w:t>
      </w:r>
      <w:r>
        <w:t>cf</w:t>
      </w:r>
      <w:r w:rsidRPr="00D6101B">
        <w:t xml:space="preserve">.: </w:t>
      </w:r>
      <w:r w:rsidRPr="00EB4D94">
        <w:rPr>
          <w:i/>
          <w:iCs/>
        </w:rPr>
        <w:t>ADelt</w:t>
      </w:r>
      <w:r w:rsidRPr="00D6101B">
        <w:t xml:space="preserve"> 24 1969: 435-36, pl.</w:t>
      </w:r>
      <w:r>
        <w:t xml:space="preserve"> </w:t>
      </w:r>
      <w:r w:rsidRPr="00D6101B">
        <w:t>443; Kanta 1980: 212-213).</w:t>
      </w:r>
    </w:p>
    <w:p w14:paraId="2211D824" w14:textId="77777777" w:rsidR="001A4F1A" w:rsidRDefault="001A4F1A" w:rsidP="00E858EF">
      <w:pPr>
        <w:suppressAutoHyphens/>
      </w:pPr>
    </w:p>
    <w:p w14:paraId="219DB0B3" w14:textId="61C11F47" w:rsidR="001A4F1A" w:rsidRPr="00D6101B" w:rsidRDefault="001A4F1A" w:rsidP="00E858EF">
      <w:pPr>
        <w:pStyle w:val="Testofumetto"/>
        <w:suppressAutoHyphens/>
      </w:pPr>
      <w:bookmarkStart w:id="799" w:name="_Toc520212609"/>
      <w:r>
        <w:t>Table 4-34</w:t>
      </w:r>
      <w:r w:rsidR="00DC6690">
        <w:t>.</w:t>
      </w:r>
      <w:r>
        <w:t xml:space="preserve"> Most common pottery types</w:t>
      </w:r>
      <w:r w:rsidR="007B628E">
        <w:t>,</w:t>
      </w:r>
      <w:r>
        <w:t xml:space="preserve"> Mid-West area</w:t>
      </w:r>
      <w:bookmarkEnd w:id="799"/>
    </w:p>
    <w:tbl>
      <w:tblPr>
        <w:tblW w:w="8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993"/>
        <w:gridCol w:w="708"/>
        <w:gridCol w:w="851"/>
        <w:gridCol w:w="1134"/>
        <w:gridCol w:w="567"/>
        <w:gridCol w:w="850"/>
        <w:gridCol w:w="851"/>
        <w:gridCol w:w="992"/>
      </w:tblGrid>
      <w:tr w:rsidR="001A4F1A" w:rsidRPr="000C61EC" w14:paraId="6F9AD388" w14:textId="77777777" w:rsidTr="000C61EC">
        <w:tc>
          <w:tcPr>
            <w:tcW w:w="1668" w:type="dxa"/>
          </w:tcPr>
          <w:p w14:paraId="399091C7" w14:textId="77777777" w:rsidR="001A4F1A" w:rsidRPr="000C61EC" w:rsidRDefault="001A4F1A" w:rsidP="00E858EF">
            <w:pPr>
              <w:suppressAutoHyphens/>
              <w:jc w:val="left"/>
              <w:rPr>
                <w:sz w:val="20"/>
                <w:szCs w:val="20"/>
              </w:rPr>
            </w:pPr>
          </w:p>
        </w:tc>
        <w:tc>
          <w:tcPr>
            <w:tcW w:w="993" w:type="dxa"/>
          </w:tcPr>
          <w:p w14:paraId="7A355575" w14:textId="77777777" w:rsidR="001A4F1A" w:rsidRPr="000C61EC" w:rsidRDefault="001A4F1A" w:rsidP="00E858EF">
            <w:pPr>
              <w:suppressAutoHyphens/>
              <w:jc w:val="center"/>
              <w:rPr>
                <w:rFonts w:eastAsia="Times New Roman"/>
                <w:bCs/>
                <w:color w:val="000000"/>
                <w:sz w:val="20"/>
                <w:szCs w:val="20"/>
              </w:rPr>
            </w:pPr>
            <w:r w:rsidRPr="000C61EC">
              <w:rPr>
                <w:rFonts w:eastAsia="Times New Roman"/>
                <w:bCs/>
                <w:color w:val="000000"/>
                <w:sz w:val="20"/>
                <w:szCs w:val="20"/>
              </w:rPr>
              <w:t>Stirrup jar</w:t>
            </w:r>
          </w:p>
        </w:tc>
        <w:tc>
          <w:tcPr>
            <w:tcW w:w="708" w:type="dxa"/>
          </w:tcPr>
          <w:p w14:paraId="6B1C655C" w14:textId="77777777" w:rsidR="001A4F1A" w:rsidRPr="000C61EC" w:rsidRDefault="001A4F1A" w:rsidP="00E858EF">
            <w:pPr>
              <w:suppressAutoHyphens/>
              <w:jc w:val="center"/>
              <w:rPr>
                <w:rFonts w:eastAsia="Times New Roman"/>
                <w:color w:val="000000"/>
                <w:sz w:val="20"/>
                <w:szCs w:val="20"/>
              </w:rPr>
            </w:pPr>
            <w:r w:rsidRPr="000C61EC">
              <w:rPr>
                <w:rFonts w:eastAsia="Times New Roman"/>
                <w:color w:val="000000"/>
                <w:sz w:val="20"/>
                <w:szCs w:val="20"/>
              </w:rPr>
              <w:t>Cup</w:t>
            </w:r>
          </w:p>
        </w:tc>
        <w:tc>
          <w:tcPr>
            <w:tcW w:w="851" w:type="dxa"/>
          </w:tcPr>
          <w:p w14:paraId="3B695E01" w14:textId="77777777" w:rsidR="001A4F1A" w:rsidRPr="000C61EC" w:rsidRDefault="001A4F1A" w:rsidP="00E858EF">
            <w:pPr>
              <w:suppressAutoHyphens/>
              <w:jc w:val="center"/>
              <w:rPr>
                <w:rFonts w:eastAsia="Times New Roman"/>
                <w:color w:val="000000"/>
                <w:sz w:val="20"/>
                <w:szCs w:val="20"/>
              </w:rPr>
            </w:pPr>
            <w:r w:rsidRPr="000C61EC">
              <w:rPr>
                <w:rFonts w:eastAsia="Times New Roman"/>
                <w:color w:val="000000"/>
                <w:sz w:val="20"/>
                <w:szCs w:val="20"/>
              </w:rPr>
              <w:t>Goblet</w:t>
            </w:r>
          </w:p>
        </w:tc>
        <w:tc>
          <w:tcPr>
            <w:tcW w:w="1134" w:type="dxa"/>
          </w:tcPr>
          <w:p w14:paraId="54480F46" w14:textId="77777777" w:rsidR="001A4F1A" w:rsidRPr="000C61EC" w:rsidRDefault="001A4F1A" w:rsidP="00E858EF">
            <w:pPr>
              <w:suppressAutoHyphens/>
              <w:jc w:val="center"/>
              <w:rPr>
                <w:sz w:val="20"/>
                <w:szCs w:val="20"/>
              </w:rPr>
            </w:pPr>
            <w:r w:rsidRPr="000C61EC">
              <w:rPr>
                <w:rFonts w:eastAsia="Times New Roman"/>
                <w:color w:val="000000"/>
                <w:sz w:val="20"/>
                <w:szCs w:val="20"/>
              </w:rPr>
              <w:t>Alabastron</w:t>
            </w:r>
          </w:p>
        </w:tc>
        <w:tc>
          <w:tcPr>
            <w:tcW w:w="567" w:type="dxa"/>
          </w:tcPr>
          <w:p w14:paraId="6B7ED222" w14:textId="77777777" w:rsidR="001A4F1A" w:rsidRPr="000C61EC" w:rsidRDefault="001A4F1A" w:rsidP="00E858EF">
            <w:pPr>
              <w:suppressAutoHyphens/>
              <w:jc w:val="center"/>
              <w:rPr>
                <w:sz w:val="20"/>
                <w:szCs w:val="20"/>
              </w:rPr>
            </w:pPr>
            <w:r w:rsidRPr="000C61EC">
              <w:rPr>
                <w:sz w:val="20"/>
                <w:szCs w:val="20"/>
              </w:rPr>
              <w:t>Jug</w:t>
            </w:r>
          </w:p>
        </w:tc>
        <w:tc>
          <w:tcPr>
            <w:tcW w:w="850" w:type="dxa"/>
          </w:tcPr>
          <w:p w14:paraId="7B505D28" w14:textId="77777777" w:rsidR="001A4F1A" w:rsidRPr="000C61EC" w:rsidRDefault="001A4F1A" w:rsidP="00E858EF">
            <w:pPr>
              <w:suppressAutoHyphens/>
              <w:jc w:val="center"/>
              <w:rPr>
                <w:rFonts w:eastAsia="Times New Roman"/>
                <w:color w:val="000000"/>
                <w:sz w:val="20"/>
                <w:szCs w:val="20"/>
              </w:rPr>
            </w:pPr>
            <w:r w:rsidRPr="000C61EC">
              <w:rPr>
                <w:rFonts w:eastAsia="Times New Roman"/>
                <w:color w:val="000000"/>
                <w:sz w:val="20"/>
                <w:szCs w:val="20"/>
              </w:rPr>
              <w:t>Incense burner</w:t>
            </w:r>
          </w:p>
        </w:tc>
        <w:tc>
          <w:tcPr>
            <w:tcW w:w="851" w:type="dxa"/>
          </w:tcPr>
          <w:p w14:paraId="5512BCA5" w14:textId="77777777" w:rsidR="001A4F1A" w:rsidRPr="000C61EC" w:rsidRDefault="001A4F1A" w:rsidP="00E858EF">
            <w:pPr>
              <w:suppressAutoHyphens/>
              <w:jc w:val="center"/>
              <w:rPr>
                <w:rFonts w:eastAsia="Times New Roman"/>
                <w:color w:val="000000"/>
                <w:sz w:val="20"/>
                <w:szCs w:val="20"/>
              </w:rPr>
            </w:pPr>
            <w:r w:rsidRPr="000C61EC">
              <w:rPr>
                <w:rFonts w:eastAsia="Times New Roman"/>
                <w:color w:val="000000"/>
                <w:sz w:val="20"/>
                <w:szCs w:val="20"/>
              </w:rPr>
              <w:t>Conical cup</w:t>
            </w:r>
          </w:p>
        </w:tc>
        <w:tc>
          <w:tcPr>
            <w:tcW w:w="992" w:type="dxa"/>
          </w:tcPr>
          <w:p w14:paraId="4ADBDC2F" w14:textId="77777777" w:rsidR="001A4F1A" w:rsidRPr="000C61EC" w:rsidRDefault="001A4F1A" w:rsidP="00E858EF">
            <w:pPr>
              <w:suppressAutoHyphens/>
              <w:jc w:val="center"/>
              <w:rPr>
                <w:rFonts w:eastAsia="Times New Roman"/>
                <w:color w:val="000000"/>
                <w:sz w:val="20"/>
                <w:szCs w:val="20"/>
              </w:rPr>
            </w:pPr>
            <w:r w:rsidRPr="000C61EC">
              <w:rPr>
                <w:rFonts w:eastAsia="Times New Roman"/>
                <w:color w:val="000000"/>
                <w:sz w:val="20"/>
                <w:szCs w:val="20"/>
              </w:rPr>
              <w:t>Amphora</w:t>
            </w:r>
          </w:p>
        </w:tc>
      </w:tr>
      <w:tr w:rsidR="001A4F1A" w:rsidRPr="000C61EC" w14:paraId="5CC329D3" w14:textId="77777777" w:rsidTr="000C61EC">
        <w:tc>
          <w:tcPr>
            <w:tcW w:w="1668" w:type="dxa"/>
          </w:tcPr>
          <w:p w14:paraId="21B20E28" w14:textId="77777777" w:rsidR="001A4F1A" w:rsidRPr="000C61EC" w:rsidRDefault="001A4F1A" w:rsidP="00E858EF">
            <w:pPr>
              <w:suppressAutoHyphens/>
              <w:jc w:val="left"/>
              <w:rPr>
                <w:sz w:val="20"/>
                <w:szCs w:val="20"/>
              </w:rPr>
            </w:pPr>
            <w:r w:rsidRPr="000C61EC">
              <w:rPr>
                <w:sz w:val="20"/>
                <w:szCs w:val="20"/>
              </w:rPr>
              <w:t>Total no. of items M region</w:t>
            </w:r>
          </w:p>
        </w:tc>
        <w:tc>
          <w:tcPr>
            <w:tcW w:w="993" w:type="dxa"/>
          </w:tcPr>
          <w:p w14:paraId="46D5D0D9" w14:textId="77777777" w:rsidR="001A4F1A" w:rsidRPr="000C61EC" w:rsidRDefault="001A4F1A" w:rsidP="00E858EF">
            <w:pPr>
              <w:suppressAutoHyphens/>
              <w:jc w:val="center"/>
              <w:rPr>
                <w:sz w:val="20"/>
                <w:szCs w:val="20"/>
              </w:rPr>
            </w:pPr>
            <w:r w:rsidRPr="000C61EC">
              <w:rPr>
                <w:sz w:val="20"/>
                <w:szCs w:val="20"/>
              </w:rPr>
              <w:t>137</w:t>
            </w:r>
          </w:p>
        </w:tc>
        <w:tc>
          <w:tcPr>
            <w:tcW w:w="708" w:type="dxa"/>
          </w:tcPr>
          <w:p w14:paraId="13B9F724" w14:textId="77777777" w:rsidR="001A4F1A" w:rsidRPr="000C61EC" w:rsidRDefault="001A4F1A" w:rsidP="00E858EF">
            <w:pPr>
              <w:suppressAutoHyphens/>
              <w:jc w:val="center"/>
              <w:rPr>
                <w:sz w:val="20"/>
                <w:szCs w:val="20"/>
              </w:rPr>
            </w:pPr>
            <w:r w:rsidRPr="000C61EC">
              <w:rPr>
                <w:sz w:val="20"/>
                <w:szCs w:val="20"/>
              </w:rPr>
              <w:t>54</w:t>
            </w:r>
          </w:p>
        </w:tc>
        <w:tc>
          <w:tcPr>
            <w:tcW w:w="851" w:type="dxa"/>
          </w:tcPr>
          <w:p w14:paraId="604ADF8A" w14:textId="77777777" w:rsidR="001A4F1A" w:rsidRPr="000C61EC" w:rsidRDefault="001A4F1A" w:rsidP="00E858EF">
            <w:pPr>
              <w:suppressAutoHyphens/>
              <w:jc w:val="center"/>
              <w:rPr>
                <w:sz w:val="20"/>
                <w:szCs w:val="20"/>
              </w:rPr>
            </w:pPr>
            <w:r w:rsidRPr="000C61EC">
              <w:rPr>
                <w:sz w:val="20"/>
                <w:szCs w:val="20"/>
              </w:rPr>
              <w:t>49</w:t>
            </w:r>
          </w:p>
        </w:tc>
        <w:tc>
          <w:tcPr>
            <w:tcW w:w="1134" w:type="dxa"/>
          </w:tcPr>
          <w:p w14:paraId="336EAB91" w14:textId="77777777" w:rsidR="001A4F1A" w:rsidRPr="000C61EC" w:rsidRDefault="001A4F1A" w:rsidP="00E858EF">
            <w:pPr>
              <w:suppressAutoHyphens/>
              <w:jc w:val="center"/>
              <w:rPr>
                <w:sz w:val="20"/>
                <w:szCs w:val="20"/>
              </w:rPr>
            </w:pPr>
            <w:r w:rsidRPr="000C61EC">
              <w:rPr>
                <w:sz w:val="20"/>
                <w:szCs w:val="20"/>
              </w:rPr>
              <w:t>48</w:t>
            </w:r>
          </w:p>
        </w:tc>
        <w:tc>
          <w:tcPr>
            <w:tcW w:w="567" w:type="dxa"/>
          </w:tcPr>
          <w:p w14:paraId="37B8ABDF" w14:textId="77777777" w:rsidR="001A4F1A" w:rsidRPr="000C61EC" w:rsidRDefault="001A4F1A" w:rsidP="00E858EF">
            <w:pPr>
              <w:suppressAutoHyphens/>
              <w:jc w:val="center"/>
              <w:rPr>
                <w:sz w:val="20"/>
                <w:szCs w:val="20"/>
              </w:rPr>
            </w:pPr>
            <w:r w:rsidRPr="000C61EC">
              <w:rPr>
                <w:sz w:val="20"/>
                <w:szCs w:val="20"/>
              </w:rPr>
              <w:t>31</w:t>
            </w:r>
          </w:p>
        </w:tc>
        <w:tc>
          <w:tcPr>
            <w:tcW w:w="850" w:type="dxa"/>
          </w:tcPr>
          <w:p w14:paraId="42A66DD1" w14:textId="77777777" w:rsidR="001A4F1A" w:rsidRPr="000C61EC" w:rsidRDefault="001A4F1A" w:rsidP="00E858EF">
            <w:pPr>
              <w:suppressAutoHyphens/>
              <w:jc w:val="center"/>
              <w:rPr>
                <w:sz w:val="20"/>
                <w:szCs w:val="20"/>
              </w:rPr>
            </w:pPr>
            <w:r w:rsidRPr="000C61EC">
              <w:rPr>
                <w:sz w:val="20"/>
                <w:szCs w:val="20"/>
              </w:rPr>
              <w:t>28</w:t>
            </w:r>
          </w:p>
        </w:tc>
        <w:tc>
          <w:tcPr>
            <w:tcW w:w="851" w:type="dxa"/>
          </w:tcPr>
          <w:p w14:paraId="05CFC2AC" w14:textId="77777777" w:rsidR="001A4F1A" w:rsidRPr="000C61EC" w:rsidRDefault="001A4F1A" w:rsidP="00E858EF">
            <w:pPr>
              <w:suppressAutoHyphens/>
              <w:jc w:val="center"/>
              <w:rPr>
                <w:sz w:val="20"/>
                <w:szCs w:val="20"/>
              </w:rPr>
            </w:pPr>
            <w:r w:rsidRPr="000C61EC">
              <w:rPr>
                <w:sz w:val="20"/>
                <w:szCs w:val="20"/>
              </w:rPr>
              <w:t>27</w:t>
            </w:r>
          </w:p>
        </w:tc>
        <w:tc>
          <w:tcPr>
            <w:tcW w:w="992" w:type="dxa"/>
          </w:tcPr>
          <w:p w14:paraId="0E6BE880" w14:textId="77777777" w:rsidR="001A4F1A" w:rsidRPr="000C61EC" w:rsidRDefault="001A4F1A" w:rsidP="00E858EF">
            <w:pPr>
              <w:suppressAutoHyphens/>
              <w:jc w:val="center"/>
              <w:rPr>
                <w:sz w:val="20"/>
                <w:szCs w:val="20"/>
              </w:rPr>
            </w:pPr>
            <w:r w:rsidRPr="000C61EC">
              <w:rPr>
                <w:sz w:val="20"/>
                <w:szCs w:val="20"/>
              </w:rPr>
              <w:t>11</w:t>
            </w:r>
          </w:p>
        </w:tc>
      </w:tr>
      <w:tr w:rsidR="001A4F1A" w:rsidRPr="000C61EC" w14:paraId="30856E00" w14:textId="77777777" w:rsidTr="000C61EC">
        <w:tc>
          <w:tcPr>
            <w:tcW w:w="1668" w:type="dxa"/>
          </w:tcPr>
          <w:p w14:paraId="46286DC0" w14:textId="77777777" w:rsidR="001A4F1A" w:rsidRPr="000C61EC" w:rsidRDefault="001A4F1A" w:rsidP="00E858EF">
            <w:pPr>
              <w:suppressAutoHyphens/>
              <w:jc w:val="left"/>
              <w:rPr>
                <w:sz w:val="20"/>
                <w:szCs w:val="20"/>
              </w:rPr>
            </w:pPr>
            <w:r w:rsidRPr="000C61EC">
              <w:rPr>
                <w:sz w:val="20"/>
                <w:szCs w:val="20"/>
              </w:rPr>
              <w:t>Max. no. items per tomb</w:t>
            </w:r>
          </w:p>
        </w:tc>
        <w:tc>
          <w:tcPr>
            <w:tcW w:w="993" w:type="dxa"/>
          </w:tcPr>
          <w:p w14:paraId="18074062" w14:textId="77777777" w:rsidR="001A4F1A" w:rsidRPr="000C61EC" w:rsidRDefault="001A4F1A" w:rsidP="00E858EF">
            <w:pPr>
              <w:suppressAutoHyphens/>
              <w:jc w:val="center"/>
              <w:rPr>
                <w:sz w:val="20"/>
                <w:szCs w:val="20"/>
              </w:rPr>
            </w:pPr>
            <w:r w:rsidRPr="000C61EC">
              <w:rPr>
                <w:sz w:val="20"/>
                <w:szCs w:val="20"/>
              </w:rPr>
              <w:t>10</w:t>
            </w:r>
          </w:p>
        </w:tc>
        <w:tc>
          <w:tcPr>
            <w:tcW w:w="708" w:type="dxa"/>
          </w:tcPr>
          <w:p w14:paraId="693DBD13" w14:textId="77777777" w:rsidR="001A4F1A" w:rsidRPr="000C61EC" w:rsidRDefault="001A4F1A" w:rsidP="00E858EF">
            <w:pPr>
              <w:suppressAutoHyphens/>
              <w:jc w:val="center"/>
              <w:rPr>
                <w:sz w:val="20"/>
                <w:szCs w:val="20"/>
              </w:rPr>
            </w:pPr>
            <w:r w:rsidRPr="000C61EC">
              <w:rPr>
                <w:sz w:val="20"/>
                <w:szCs w:val="20"/>
              </w:rPr>
              <w:t>7</w:t>
            </w:r>
          </w:p>
        </w:tc>
        <w:tc>
          <w:tcPr>
            <w:tcW w:w="851" w:type="dxa"/>
          </w:tcPr>
          <w:p w14:paraId="008B7B11" w14:textId="77777777" w:rsidR="001A4F1A" w:rsidRPr="000C61EC" w:rsidRDefault="001A4F1A" w:rsidP="00E858EF">
            <w:pPr>
              <w:suppressAutoHyphens/>
              <w:jc w:val="center"/>
              <w:rPr>
                <w:sz w:val="20"/>
                <w:szCs w:val="20"/>
              </w:rPr>
            </w:pPr>
            <w:r w:rsidRPr="000C61EC">
              <w:rPr>
                <w:sz w:val="20"/>
                <w:szCs w:val="20"/>
              </w:rPr>
              <w:t>20</w:t>
            </w:r>
          </w:p>
        </w:tc>
        <w:tc>
          <w:tcPr>
            <w:tcW w:w="1134" w:type="dxa"/>
          </w:tcPr>
          <w:p w14:paraId="01FCE3A4" w14:textId="77777777" w:rsidR="001A4F1A" w:rsidRPr="000C61EC" w:rsidRDefault="001A4F1A" w:rsidP="00E858EF">
            <w:pPr>
              <w:suppressAutoHyphens/>
              <w:jc w:val="center"/>
              <w:rPr>
                <w:sz w:val="20"/>
                <w:szCs w:val="20"/>
              </w:rPr>
            </w:pPr>
            <w:r w:rsidRPr="000C61EC">
              <w:rPr>
                <w:sz w:val="20"/>
                <w:szCs w:val="20"/>
              </w:rPr>
              <w:t>5</w:t>
            </w:r>
          </w:p>
        </w:tc>
        <w:tc>
          <w:tcPr>
            <w:tcW w:w="567" w:type="dxa"/>
          </w:tcPr>
          <w:p w14:paraId="5DB5C15A" w14:textId="77777777" w:rsidR="001A4F1A" w:rsidRPr="000C61EC" w:rsidRDefault="001A4F1A" w:rsidP="00E858EF">
            <w:pPr>
              <w:suppressAutoHyphens/>
              <w:jc w:val="center"/>
              <w:rPr>
                <w:sz w:val="20"/>
                <w:szCs w:val="20"/>
              </w:rPr>
            </w:pPr>
            <w:r w:rsidRPr="000C61EC">
              <w:rPr>
                <w:sz w:val="20"/>
                <w:szCs w:val="20"/>
              </w:rPr>
              <w:t>4</w:t>
            </w:r>
          </w:p>
        </w:tc>
        <w:tc>
          <w:tcPr>
            <w:tcW w:w="850" w:type="dxa"/>
          </w:tcPr>
          <w:p w14:paraId="20C77692" w14:textId="77777777" w:rsidR="001A4F1A" w:rsidRPr="000C61EC" w:rsidRDefault="001A4F1A" w:rsidP="00E858EF">
            <w:pPr>
              <w:suppressAutoHyphens/>
              <w:jc w:val="center"/>
              <w:rPr>
                <w:sz w:val="20"/>
                <w:szCs w:val="20"/>
              </w:rPr>
            </w:pPr>
            <w:r w:rsidRPr="000C61EC">
              <w:rPr>
                <w:sz w:val="20"/>
                <w:szCs w:val="20"/>
              </w:rPr>
              <w:t>3</w:t>
            </w:r>
          </w:p>
        </w:tc>
        <w:tc>
          <w:tcPr>
            <w:tcW w:w="851" w:type="dxa"/>
          </w:tcPr>
          <w:p w14:paraId="1F1C743E" w14:textId="77777777" w:rsidR="001A4F1A" w:rsidRPr="000C61EC" w:rsidRDefault="001A4F1A" w:rsidP="00E858EF">
            <w:pPr>
              <w:suppressAutoHyphens/>
              <w:jc w:val="center"/>
              <w:rPr>
                <w:sz w:val="20"/>
                <w:szCs w:val="20"/>
              </w:rPr>
            </w:pPr>
            <w:r w:rsidRPr="000C61EC">
              <w:rPr>
                <w:sz w:val="20"/>
                <w:szCs w:val="20"/>
              </w:rPr>
              <w:t>5</w:t>
            </w:r>
          </w:p>
        </w:tc>
        <w:tc>
          <w:tcPr>
            <w:tcW w:w="992" w:type="dxa"/>
          </w:tcPr>
          <w:p w14:paraId="21A420A7" w14:textId="77777777" w:rsidR="001A4F1A" w:rsidRPr="000C61EC" w:rsidRDefault="001A4F1A" w:rsidP="00E858EF">
            <w:pPr>
              <w:suppressAutoHyphens/>
              <w:jc w:val="center"/>
              <w:rPr>
                <w:sz w:val="20"/>
                <w:szCs w:val="20"/>
              </w:rPr>
            </w:pPr>
            <w:r w:rsidRPr="000C61EC">
              <w:rPr>
                <w:sz w:val="20"/>
                <w:szCs w:val="20"/>
              </w:rPr>
              <w:t>3</w:t>
            </w:r>
          </w:p>
        </w:tc>
      </w:tr>
      <w:tr w:rsidR="001A4F1A" w:rsidRPr="000C61EC" w14:paraId="534BEF88" w14:textId="77777777" w:rsidTr="000C61EC">
        <w:tc>
          <w:tcPr>
            <w:tcW w:w="1668" w:type="dxa"/>
          </w:tcPr>
          <w:p w14:paraId="09D9CCD8" w14:textId="77777777" w:rsidR="001A4F1A" w:rsidRPr="000C61EC" w:rsidRDefault="001A4F1A" w:rsidP="00E858EF">
            <w:pPr>
              <w:suppressAutoHyphens/>
              <w:jc w:val="left"/>
              <w:rPr>
                <w:sz w:val="20"/>
                <w:szCs w:val="20"/>
              </w:rPr>
            </w:pPr>
            <w:r w:rsidRPr="000C61EC">
              <w:rPr>
                <w:sz w:val="20"/>
                <w:szCs w:val="20"/>
              </w:rPr>
              <w:t>No. of tombs</w:t>
            </w:r>
          </w:p>
        </w:tc>
        <w:tc>
          <w:tcPr>
            <w:tcW w:w="993" w:type="dxa"/>
          </w:tcPr>
          <w:p w14:paraId="039441F4" w14:textId="77777777" w:rsidR="001A4F1A" w:rsidRPr="000C61EC" w:rsidRDefault="001A4F1A" w:rsidP="00E858EF">
            <w:pPr>
              <w:suppressAutoHyphens/>
              <w:jc w:val="center"/>
              <w:rPr>
                <w:sz w:val="20"/>
                <w:szCs w:val="20"/>
              </w:rPr>
            </w:pPr>
            <w:r w:rsidRPr="000C61EC">
              <w:rPr>
                <w:sz w:val="20"/>
                <w:szCs w:val="20"/>
              </w:rPr>
              <w:t>42</w:t>
            </w:r>
          </w:p>
        </w:tc>
        <w:tc>
          <w:tcPr>
            <w:tcW w:w="708" w:type="dxa"/>
          </w:tcPr>
          <w:p w14:paraId="69B2EC0E" w14:textId="77777777" w:rsidR="001A4F1A" w:rsidRPr="000C61EC" w:rsidRDefault="001A4F1A" w:rsidP="00E858EF">
            <w:pPr>
              <w:suppressAutoHyphens/>
              <w:jc w:val="center"/>
              <w:rPr>
                <w:sz w:val="20"/>
                <w:szCs w:val="20"/>
              </w:rPr>
            </w:pPr>
            <w:r w:rsidRPr="000C61EC">
              <w:rPr>
                <w:sz w:val="20"/>
                <w:szCs w:val="20"/>
              </w:rPr>
              <w:t>20</w:t>
            </w:r>
          </w:p>
        </w:tc>
        <w:tc>
          <w:tcPr>
            <w:tcW w:w="851" w:type="dxa"/>
          </w:tcPr>
          <w:p w14:paraId="1016BAB1" w14:textId="77777777" w:rsidR="001A4F1A" w:rsidRPr="000C61EC" w:rsidRDefault="001A4F1A" w:rsidP="00E858EF">
            <w:pPr>
              <w:suppressAutoHyphens/>
              <w:jc w:val="center"/>
              <w:rPr>
                <w:sz w:val="20"/>
                <w:szCs w:val="20"/>
              </w:rPr>
            </w:pPr>
            <w:r w:rsidRPr="000C61EC">
              <w:rPr>
                <w:sz w:val="20"/>
                <w:szCs w:val="20"/>
              </w:rPr>
              <w:t>18</w:t>
            </w:r>
          </w:p>
        </w:tc>
        <w:tc>
          <w:tcPr>
            <w:tcW w:w="1134" w:type="dxa"/>
          </w:tcPr>
          <w:p w14:paraId="5304D777" w14:textId="77777777" w:rsidR="001A4F1A" w:rsidRPr="000C61EC" w:rsidRDefault="001A4F1A" w:rsidP="00E858EF">
            <w:pPr>
              <w:suppressAutoHyphens/>
              <w:jc w:val="center"/>
              <w:rPr>
                <w:sz w:val="20"/>
                <w:szCs w:val="20"/>
              </w:rPr>
            </w:pPr>
            <w:r w:rsidRPr="000C61EC">
              <w:rPr>
                <w:sz w:val="20"/>
                <w:szCs w:val="20"/>
              </w:rPr>
              <w:t>25</w:t>
            </w:r>
          </w:p>
        </w:tc>
        <w:tc>
          <w:tcPr>
            <w:tcW w:w="567" w:type="dxa"/>
          </w:tcPr>
          <w:p w14:paraId="7BCACEC9" w14:textId="77777777" w:rsidR="001A4F1A" w:rsidRPr="000C61EC" w:rsidRDefault="001A4F1A" w:rsidP="00E858EF">
            <w:pPr>
              <w:suppressAutoHyphens/>
              <w:jc w:val="center"/>
              <w:rPr>
                <w:sz w:val="20"/>
                <w:szCs w:val="20"/>
              </w:rPr>
            </w:pPr>
            <w:r w:rsidRPr="000C61EC">
              <w:rPr>
                <w:sz w:val="20"/>
                <w:szCs w:val="20"/>
              </w:rPr>
              <w:t>18</w:t>
            </w:r>
          </w:p>
        </w:tc>
        <w:tc>
          <w:tcPr>
            <w:tcW w:w="850" w:type="dxa"/>
          </w:tcPr>
          <w:p w14:paraId="2E6BFE11" w14:textId="77777777" w:rsidR="001A4F1A" w:rsidRPr="000C61EC" w:rsidRDefault="001A4F1A" w:rsidP="00E858EF">
            <w:pPr>
              <w:suppressAutoHyphens/>
              <w:jc w:val="center"/>
              <w:rPr>
                <w:sz w:val="20"/>
                <w:szCs w:val="20"/>
              </w:rPr>
            </w:pPr>
            <w:r w:rsidRPr="000C61EC">
              <w:rPr>
                <w:sz w:val="20"/>
                <w:szCs w:val="20"/>
              </w:rPr>
              <w:t>19</w:t>
            </w:r>
          </w:p>
        </w:tc>
        <w:tc>
          <w:tcPr>
            <w:tcW w:w="851" w:type="dxa"/>
          </w:tcPr>
          <w:p w14:paraId="7FFE8E31" w14:textId="77777777" w:rsidR="001A4F1A" w:rsidRPr="000C61EC" w:rsidRDefault="001A4F1A" w:rsidP="00E858EF">
            <w:pPr>
              <w:suppressAutoHyphens/>
              <w:jc w:val="center"/>
              <w:rPr>
                <w:sz w:val="20"/>
                <w:szCs w:val="20"/>
              </w:rPr>
            </w:pPr>
            <w:r w:rsidRPr="000C61EC">
              <w:rPr>
                <w:sz w:val="20"/>
                <w:szCs w:val="20"/>
              </w:rPr>
              <w:t>14</w:t>
            </w:r>
          </w:p>
        </w:tc>
        <w:tc>
          <w:tcPr>
            <w:tcW w:w="992" w:type="dxa"/>
          </w:tcPr>
          <w:p w14:paraId="63A1DA98" w14:textId="77777777" w:rsidR="001A4F1A" w:rsidRPr="000C61EC" w:rsidRDefault="001A4F1A" w:rsidP="00E858EF">
            <w:pPr>
              <w:suppressAutoHyphens/>
              <w:jc w:val="center"/>
              <w:rPr>
                <w:sz w:val="20"/>
                <w:szCs w:val="20"/>
              </w:rPr>
            </w:pPr>
            <w:r w:rsidRPr="000C61EC">
              <w:rPr>
                <w:sz w:val="20"/>
                <w:szCs w:val="20"/>
              </w:rPr>
              <w:t>9</w:t>
            </w:r>
          </w:p>
        </w:tc>
      </w:tr>
    </w:tbl>
    <w:p w14:paraId="233106FB" w14:textId="77777777" w:rsidR="001A4F1A" w:rsidRPr="00D6101B" w:rsidRDefault="001A4F1A" w:rsidP="00E858EF">
      <w:pPr>
        <w:suppressAutoHyphens/>
      </w:pPr>
    </w:p>
    <w:p w14:paraId="2AE5851B" w14:textId="77777777" w:rsidR="001A4F1A" w:rsidRPr="00D6101B" w:rsidRDefault="001A4F1A" w:rsidP="00E858EF">
      <w:pPr>
        <w:suppressAutoHyphens/>
      </w:pPr>
    </w:p>
    <w:p w14:paraId="42301FF2" w14:textId="77777777" w:rsidR="001A4F1A" w:rsidRPr="00D6101B" w:rsidRDefault="001A4F1A" w:rsidP="00E858EF">
      <w:pPr>
        <w:suppressAutoHyphens/>
      </w:pPr>
      <w:r>
        <w:rPr>
          <w:noProof/>
          <w:lang w:val="it-IT"/>
        </w:rPr>
        <w:drawing>
          <wp:inline distT="0" distB="0" distL="0" distR="0" wp14:anchorId="0985AFF3" wp14:editId="68BBC548">
            <wp:extent cx="5396230" cy="6132413"/>
            <wp:effectExtent l="0" t="0" r="13970" b="14605"/>
            <wp:docPr id="101" name="Gra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4B465729" w14:textId="4A9635E5" w:rsidR="001A4F1A" w:rsidRDefault="001A4F1A" w:rsidP="00E858EF">
      <w:pPr>
        <w:pStyle w:val="Didascalia"/>
        <w:suppressAutoHyphens/>
      </w:pPr>
      <w:bookmarkStart w:id="800" w:name="_Toc520212371"/>
      <w:r>
        <w:t>Figure 4-33</w:t>
      </w:r>
      <w:r w:rsidR="008D5E5D">
        <w:t>.</w:t>
      </w:r>
      <w:r>
        <w:t xml:space="preserve"> Pottery type occurrence</w:t>
      </w:r>
      <w:r w:rsidR="007B628E">
        <w:t>,</w:t>
      </w:r>
      <w:r>
        <w:t xml:space="preserve"> Mid-West area</w:t>
      </w:r>
      <w:bookmarkEnd w:id="800"/>
    </w:p>
    <w:p w14:paraId="648AAE56" w14:textId="77777777" w:rsidR="001A4F1A" w:rsidRPr="00F6605C" w:rsidRDefault="001A4F1A" w:rsidP="00E858EF">
      <w:pPr>
        <w:suppressAutoHyphens/>
      </w:pPr>
    </w:p>
    <w:p w14:paraId="374F0F68" w14:textId="18C89B43" w:rsidR="001A4F1A" w:rsidRPr="00D6101B" w:rsidRDefault="001A4F1A" w:rsidP="00E858EF">
      <w:pPr>
        <w:pStyle w:val="Titolo4"/>
        <w:keepNext w:val="0"/>
        <w:keepLines w:val="0"/>
        <w:suppressAutoHyphens/>
        <w:rPr>
          <w:b w:val="0"/>
        </w:rPr>
      </w:pPr>
      <w:bookmarkStart w:id="801" w:name="_Toc389508248"/>
      <w:bookmarkStart w:id="802" w:name="_Toc517745328"/>
      <w:r w:rsidRPr="00D6101B">
        <w:t>Conclusion</w:t>
      </w:r>
      <w:bookmarkEnd w:id="801"/>
      <w:r>
        <w:t>s</w:t>
      </w:r>
      <w:bookmarkEnd w:id="802"/>
      <w:r w:rsidR="000C61EC">
        <w:t>,</w:t>
      </w:r>
      <w:r w:rsidR="000B660B">
        <w:t xml:space="preserve"> Mid-West area</w:t>
      </w:r>
    </w:p>
    <w:p w14:paraId="6F0ECD6A" w14:textId="77777777" w:rsidR="001A4F1A" w:rsidRPr="00D6101B" w:rsidRDefault="001A4F1A" w:rsidP="00E858EF">
      <w:pPr>
        <w:suppressAutoHyphens/>
      </w:pPr>
      <w:r>
        <w:t>Regarding</w:t>
      </w:r>
      <w:r w:rsidRPr="00D6101B">
        <w:t xml:space="preserve"> the </w:t>
      </w:r>
      <w:r>
        <w:t>Mid-West</w:t>
      </w:r>
      <w:r w:rsidRPr="00D6101B">
        <w:t xml:space="preserve"> area</w:t>
      </w:r>
      <w:r>
        <w:t>,</w:t>
      </w:r>
      <w:r w:rsidRPr="00D6101B">
        <w:t xml:space="preserve"> information concerning grave goods assemblage</w:t>
      </w:r>
      <w:r>
        <w:t>s</w:t>
      </w:r>
      <w:r w:rsidRPr="00D6101B">
        <w:t xml:space="preserve"> </w:t>
      </w:r>
      <w:r>
        <w:t>is</w:t>
      </w:r>
      <w:r w:rsidRPr="00D6101B">
        <w:t xml:space="preserve"> available for 95% of </w:t>
      </w:r>
      <w:r>
        <w:t xml:space="preserve">the </w:t>
      </w:r>
      <w:r w:rsidRPr="00D6101B">
        <w:t xml:space="preserve">secure tombs where larnax burials </w:t>
      </w:r>
      <w:r>
        <w:t>are</w:t>
      </w:r>
      <w:r w:rsidRPr="00D6101B">
        <w:t xml:space="preserve"> registered. </w:t>
      </w:r>
      <w:r>
        <w:t>However,</w:t>
      </w:r>
      <w:r w:rsidRPr="00D6101B">
        <w:t xml:space="preserve"> within this sample</w:t>
      </w:r>
      <w:r>
        <w:t>,</w:t>
      </w:r>
      <w:r w:rsidRPr="00D6101B">
        <w:t xml:space="preserve"> the information </w:t>
      </w:r>
      <w:r>
        <w:t>regarding the</w:t>
      </w:r>
      <w:r w:rsidRPr="00D6101B">
        <w:t xml:space="preserve"> grave goods </w:t>
      </w:r>
      <w:r>
        <w:t>in</w:t>
      </w:r>
      <w:r w:rsidRPr="00D6101B">
        <w:t xml:space="preserve"> some tombs</w:t>
      </w:r>
      <w:r>
        <w:t xml:space="preserve"> is incomplete</w:t>
      </w:r>
      <w:r w:rsidRPr="00D6101B">
        <w:t xml:space="preserve"> (i.e. </w:t>
      </w:r>
      <w:r>
        <w:t xml:space="preserve">the </w:t>
      </w:r>
      <w:r w:rsidRPr="00D6101B">
        <w:t>tombs at Maroulas Mezaria and Armen</w:t>
      </w:r>
      <w:r>
        <w:t>o</w:t>
      </w:r>
      <w:r w:rsidRPr="00D6101B">
        <w:t>i)</w:t>
      </w:r>
      <w:r>
        <w:t>,</w:t>
      </w:r>
      <w:r w:rsidRPr="00D6101B">
        <w:t xml:space="preserve"> and in other cases only an approximate quantity of pottery types is </w:t>
      </w:r>
      <w:r>
        <w:t>provided</w:t>
      </w:r>
      <w:r w:rsidRPr="00D6101B">
        <w:t>.</w:t>
      </w:r>
    </w:p>
    <w:p w14:paraId="25EB4409" w14:textId="77777777" w:rsidR="001A4F1A" w:rsidRDefault="001A4F1A" w:rsidP="00E858EF">
      <w:pPr>
        <w:suppressAutoHyphens/>
      </w:pPr>
      <w:r>
        <w:tab/>
      </w:r>
      <w:r w:rsidRPr="00D6101B">
        <w:t xml:space="preserve">Considering these data limits, it is possible to </w:t>
      </w:r>
      <w:r>
        <w:t>state</w:t>
      </w:r>
      <w:r w:rsidRPr="00D6101B">
        <w:t xml:space="preserve"> that</w:t>
      </w:r>
      <w:r>
        <w:t>,</w:t>
      </w:r>
      <w:r w:rsidRPr="00D6101B">
        <w:t xml:space="preserve"> for </w:t>
      </w:r>
      <w:r>
        <w:t>the Mid-West</w:t>
      </w:r>
      <w:r w:rsidRPr="00D6101B">
        <w:t xml:space="preserve"> area</w:t>
      </w:r>
      <w:r>
        <w:t>,</w:t>
      </w:r>
      <w:r w:rsidRPr="00D6101B">
        <w:t xml:space="preserve"> the most common material found in tombs with larnakes is </w:t>
      </w:r>
      <w:r>
        <w:t>pottery</w:t>
      </w:r>
      <w:r w:rsidRPr="00D6101B">
        <w:t>, which</w:t>
      </w:r>
      <w:r>
        <w:t xml:space="preserve"> occurs in almost all the tombs (98% of tombs cf. fig. 4-34).</w:t>
      </w:r>
    </w:p>
    <w:p w14:paraId="4D9DCFBB" w14:textId="77777777" w:rsidR="001A4F1A" w:rsidRDefault="001A4F1A" w:rsidP="00E858EF">
      <w:pPr>
        <w:suppressAutoHyphens/>
      </w:pPr>
      <w:r w:rsidRPr="00D6101B">
        <w:t xml:space="preserve">The analysis of grave goods assemblage composition </w:t>
      </w:r>
      <w:r>
        <w:t>considering</w:t>
      </w:r>
      <w:r w:rsidRPr="00D6101B">
        <w:t xml:space="preserve"> pottery </w:t>
      </w:r>
      <w:r>
        <w:t>occurrence</w:t>
      </w:r>
      <w:r w:rsidRPr="00D6101B">
        <w:t xml:space="preserve"> </w:t>
      </w:r>
      <w:r>
        <w:t xml:space="preserve">is </w:t>
      </w:r>
      <w:r w:rsidRPr="00D6101B">
        <w:t xml:space="preserve">summarised </w:t>
      </w:r>
      <w:r>
        <w:t>in</w:t>
      </w:r>
      <w:r w:rsidRPr="00D6101B">
        <w:t xml:space="preserve"> th</w:t>
      </w:r>
      <w:r>
        <w:t>e</w:t>
      </w:r>
      <w:r w:rsidRPr="00D6101B">
        <w:t xml:space="preserve"> graph</w:t>
      </w:r>
      <w:r>
        <w:t>, below (4-34):</w:t>
      </w:r>
    </w:p>
    <w:p w14:paraId="3A371732" w14:textId="77777777" w:rsidR="001A4F1A" w:rsidRDefault="001A4F1A" w:rsidP="00E858EF">
      <w:pPr>
        <w:suppressAutoHyphens/>
      </w:pPr>
    </w:p>
    <w:p w14:paraId="6E819FF8" w14:textId="77777777" w:rsidR="001A4F1A" w:rsidRDefault="001A4F1A" w:rsidP="00E858EF">
      <w:pPr>
        <w:suppressAutoHyphens/>
      </w:pPr>
      <w:r>
        <w:rPr>
          <w:noProof/>
          <w:lang w:val="it-IT"/>
        </w:rPr>
        <w:drawing>
          <wp:inline distT="0" distB="0" distL="0" distR="0" wp14:anchorId="068C4A5B" wp14:editId="3FBC8A39">
            <wp:extent cx="4680000" cy="2520000"/>
            <wp:effectExtent l="0" t="0" r="6350" b="13970"/>
            <wp:docPr id="102" name="Gra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7DE2DFE1" w14:textId="099F66A1" w:rsidR="001A4F1A" w:rsidRPr="0057373F" w:rsidRDefault="001A4F1A" w:rsidP="00E858EF">
      <w:pPr>
        <w:pStyle w:val="Didascalia"/>
        <w:suppressAutoHyphens/>
      </w:pPr>
      <w:bookmarkStart w:id="803" w:name="_Toc520212372"/>
      <w:r w:rsidRPr="000D3A82">
        <w:t>Figure 4-</w:t>
      </w:r>
      <w:r>
        <w:t>34</w:t>
      </w:r>
      <w:r w:rsidR="009D7CB9">
        <w:t>.</w:t>
      </w:r>
      <w:r>
        <w:t xml:space="preserve"> Grave goods assemblages composition according </w:t>
      </w:r>
      <w:r w:rsidR="000C61EC">
        <w:t xml:space="preserve">to </w:t>
      </w:r>
      <w:r>
        <w:t>pottery occurrence</w:t>
      </w:r>
      <w:r w:rsidR="007B628E">
        <w:t>,</w:t>
      </w:r>
      <w:r>
        <w:t xml:space="preserve"> Mid-West area</w:t>
      </w:r>
      <w:bookmarkEnd w:id="803"/>
    </w:p>
    <w:p w14:paraId="03B3C56F" w14:textId="77777777" w:rsidR="001A4F1A" w:rsidRDefault="001A4F1A" w:rsidP="00E858EF">
      <w:pPr>
        <w:suppressAutoHyphens/>
      </w:pPr>
    </w:p>
    <w:p w14:paraId="22A9EF32" w14:textId="71C10992" w:rsidR="001A4F1A" w:rsidRDefault="001A4F1A" w:rsidP="00E858EF">
      <w:pPr>
        <w:suppressAutoHyphens/>
      </w:pPr>
      <w:r w:rsidRPr="00D6101B">
        <w:t xml:space="preserve"> </w:t>
      </w:r>
      <w:r w:rsidR="000B660B">
        <w:tab/>
      </w:r>
      <w:r w:rsidRPr="00D6101B">
        <w:t xml:space="preserve">More than half the tombs </w:t>
      </w:r>
      <w:r>
        <w:t>contain</w:t>
      </w:r>
      <w:r w:rsidRPr="00D6101B">
        <w:t xml:space="preserve"> bronze items (i.e. jewellery, weapons</w:t>
      </w:r>
      <w:r>
        <w:t xml:space="preserve"> and</w:t>
      </w:r>
      <w:r w:rsidRPr="00D6101B">
        <w:t xml:space="preserve"> vessels). </w:t>
      </w:r>
      <w:r>
        <w:t>Regarding</w:t>
      </w:r>
      <w:r w:rsidRPr="00D6101B">
        <w:t xml:space="preserve"> the occurrence of precious material</w:t>
      </w:r>
      <w:r>
        <w:t>s</w:t>
      </w:r>
      <w:r w:rsidRPr="00D6101B">
        <w:t xml:space="preserve"> (ivory, gold and silver)</w:t>
      </w:r>
      <w:r>
        <w:t>,</w:t>
      </w:r>
      <w:r w:rsidRPr="00D6101B">
        <w:t xml:space="preserve"> they occur in very few tombs (max</w:t>
      </w:r>
      <w:r>
        <w:t>imum</w:t>
      </w:r>
      <w:r w:rsidRPr="00D6101B">
        <w:t xml:space="preserve"> </w:t>
      </w:r>
      <w:r>
        <w:t>four</w:t>
      </w:r>
      <w:r w:rsidRPr="00D6101B">
        <w:t xml:space="preserve"> tombs) distributed between Armen</w:t>
      </w:r>
      <w:r>
        <w:t>o</w:t>
      </w:r>
      <w:r w:rsidRPr="00D6101B">
        <w:t>i, Maroulas and Pankalochori. The occurrence of precious materials</w:t>
      </w:r>
      <w:r>
        <w:t>,</w:t>
      </w:r>
      <w:r w:rsidRPr="00D6101B">
        <w:t xml:space="preserve"> or a </w:t>
      </w:r>
      <w:r>
        <w:t>‘</w:t>
      </w:r>
      <w:r w:rsidRPr="00D6101B">
        <w:t>rich</w:t>
      </w:r>
      <w:r>
        <w:t>’</w:t>
      </w:r>
      <w:r w:rsidRPr="00D6101B">
        <w:t xml:space="preserve"> assemblage</w:t>
      </w:r>
      <w:r>
        <w:t>,</w:t>
      </w:r>
      <w:r w:rsidRPr="00D6101B">
        <w:t xml:space="preserve"> seems related </w:t>
      </w:r>
      <w:r>
        <w:t>to</w:t>
      </w:r>
      <w:r w:rsidRPr="00D6101B">
        <w:t xml:space="preserve"> the monumentality of the tombs, especially </w:t>
      </w:r>
      <w:r>
        <w:t xml:space="preserve">in the </w:t>
      </w:r>
      <w:r w:rsidRPr="00D6101B">
        <w:t>Armen</w:t>
      </w:r>
      <w:r>
        <w:t>o</w:t>
      </w:r>
      <w:r w:rsidRPr="00D6101B">
        <w:t xml:space="preserve">i cemetery (Papadopoulou 2017: 148-149). However, </w:t>
      </w:r>
      <w:r>
        <w:t>this occurrence</w:t>
      </w:r>
      <w:r w:rsidRPr="00D6101B">
        <w:t xml:space="preserve"> </w:t>
      </w:r>
      <w:r>
        <w:t>can</w:t>
      </w:r>
      <w:r w:rsidRPr="00D6101B">
        <w:t xml:space="preserve">not be considered a feature exclusively </w:t>
      </w:r>
      <w:r>
        <w:t>linked with monumental tombs (</w:t>
      </w:r>
      <w:r w:rsidRPr="00D6101B">
        <w:t>e.</w:t>
      </w:r>
      <w:r>
        <w:t>g.</w:t>
      </w:r>
      <w:r w:rsidRPr="00D6101B">
        <w:t xml:space="preserve"> Pankalochori; Kastellos Apokoronou tombs). </w:t>
      </w:r>
    </w:p>
    <w:p w14:paraId="6C4A09A8" w14:textId="77777777" w:rsidR="001A4F1A" w:rsidRPr="00D6101B" w:rsidRDefault="001A4F1A" w:rsidP="00E858EF">
      <w:pPr>
        <w:suppressAutoHyphens/>
      </w:pPr>
      <w:r>
        <w:tab/>
      </w:r>
      <w:r w:rsidRPr="00D6101B">
        <w:t>In the vast majority of tombs (72%)</w:t>
      </w:r>
      <w:r>
        <w:t>,</w:t>
      </w:r>
      <w:r w:rsidRPr="00D6101B">
        <w:t xml:space="preserve"> </w:t>
      </w:r>
      <w:r>
        <w:t>pottery</w:t>
      </w:r>
      <w:r w:rsidRPr="00D6101B">
        <w:t xml:space="preserve"> vessels occur in association with </w:t>
      </w:r>
      <w:r>
        <w:t>non-ceramic</w:t>
      </w:r>
      <w:r w:rsidRPr="00D6101B">
        <w:t xml:space="preserve"> items.</w:t>
      </w:r>
      <w:r>
        <w:t xml:space="preserve"> The most popular non-ceramic</w:t>
      </w:r>
      <w:r w:rsidRPr="00D6101B">
        <w:t xml:space="preserve"> artefact </w:t>
      </w:r>
      <w:r>
        <w:t xml:space="preserve">is </w:t>
      </w:r>
      <w:r w:rsidRPr="00D6101B">
        <w:t>jewellery (21 tom</w:t>
      </w:r>
      <w:r>
        <w:t>bs</w:t>
      </w:r>
      <w:r w:rsidRPr="00D6101B">
        <w:t xml:space="preserve"> at least).</w:t>
      </w:r>
      <w:r>
        <w:t xml:space="preserve"> </w:t>
      </w:r>
      <w:r w:rsidRPr="00D6101B">
        <w:t>The presence of weapons (kni</w:t>
      </w:r>
      <w:r>
        <w:t>v</w:t>
      </w:r>
      <w:r w:rsidRPr="00D6101B">
        <w:t xml:space="preserve">es, daggers, swords, spearheads) </w:t>
      </w:r>
      <w:r>
        <w:t>is</w:t>
      </w:r>
      <w:r w:rsidRPr="00D6101B">
        <w:t xml:space="preserve"> registered in 13 tombs. In five tombs </w:t>
      </w:r>
      <w:r>
        <w:t>there are</w:t>
      </w:r>
      <w:r w:rsidRPr="00D6101B">
        <w:t xml:space="preserve"> two different types of weapons (in one tomb </w:t>
      </w:r>
      <w:r>
        <w:t>at</w:t>
      </w:r>
      <w:r w:rsidRPr="00D6101B">
        <w:t xml:space="preserve"> Pigi the</w:t>
      </w:r>
      <w:r>
        <w:t>re</w:t>
      </w:r>
      <w:r w:rsidRPr="00D6101B">
        <w:t xml:space="preserve"> </w:t>
      </w:r>
      <w:r>
        <w:t>are</w:t>
      </w:r>
      <w:r w:rsidRPr="00D6101B">
        <w:t xml:space="preserve"> three</w:t>
      </w:r>
      <w:r>
        <w:t xml:space="preserve"> types</w:t>
      </w:r>
      <w:r w:rsidRPr="00D6101B">
        <w:t xml:space="preserve"> weapons: sword, daggers, knife).</w:t>
      </w:r>
    </w:p>
    <w:p w14:paraId="6F617095" w14:textId="77777777" w:rsidR="001A4F1A" w:rsidRPr="00D6101B" w:rsidRDefault="001A4F1A" w:rsidP="00E858EF">
      <w:pPr>
        <w:suppressAutoHyphens/>
        <w:ind w:firstLine="708"/>
      </w:pPr>
      <w:r w:rsidRPr="00D6101B">
        <w:t>The presence of weapons does not exclude the presence of jewellery</w:t>
      </w:r>
      <w:r>
        <w:t>;</w:t>
      </w:r>
      <w:r w:rsidRPr="00D6101B">
        <w:t xml:space="preserve"> </w:t>
      </w:r>
      <w:r>
        <w:t>often,</w:t>
      </w:r>
      <w:r w:rsidRPr="00D6101B">
        <w:t xml:space="preserve"> both </w:t>
      </w:r>
      <w:r>
        <w:t>are</w:t>
      </w:r>
      <w:r w:rsidRPr="00D6101B">
        <w:t xml:space="preserve"> found in the same tomb</w:t>
      </w:r>
      <w:r>
        <w:t>.</w:t>
      </w:r>
      <w:r w:rsidRPr="00D6101B">
        <w:t xml:space="preserve"> </w:t>
      </w:r>
      <w:r>
        <w:t>H</w:t>
      </w:r>
      <w:r w:rsidRPr="00D6101B">
        <w:t>owever</w:t>
      </w:r>
      <w:r>
        <w:t>,</w:t>
      </w:r>
      <w:r w:rsidRPr="00D6101B">
        <w:t xml:space="preserve"> generally</w:t>
      </w:r>
      <w:r>
        <w:t>,</w:t>
      </w:r>
      <w:r w:rsidRPr="00D6101B">
        <w:t xml:space="preserve"> a lower number of beads </w:t>
      </w:r>
      <w:r>
        <w:t>is</w:t>
      </w:r>
      <w:r w:rsidRPr="00D6101B">
        <w:t xml:space="preserve"> found in </w:t>
      </w:r>
      <w:r>
        <w:t>a</w:t>
      </w:r>
      <w:r w:rsidRPr="00D6101B">
        <w:t xml:space="preserve"> tomb with weapons, and in the tomb at Pigi (where three types of weapons occur) no other type</w:t>
      </w:r>
      <w:r>
        <w:t>s</w:t>
      </w:r>
      <w:r w:rsidRPr="00D6101B">
        <w:t xml:space="preserve"> of </w:t>
      </w:r>
      <w:r>
        <w:t>non-ceramic</w:t>
      </w:r>
      <w:r w:rsidRPr="00D6101B">
        <w:t xml:space="preserve"> artefacts have been found.</w:t>
      </w:r>
      <w:r>
        <w:t xml:space="preserve"> </w:t>
      </w:r>
      <w:r w:rsidRPr="00D6101B">
        <w:t>The occurrence of metal or stone vessel</w:t>
      </w:r>
      <w:r>
        <w:t>s</w:t>
      </w:r>
      <w:r w:rsidRPr="00D6101B">
        <w:t xml:space="preserve"> is less common (</w:t>
      </w:r>
      <w:r>
        <w:t>eight</w:t>
      </w:r>
      <w:r w:rsidRPr="00D6101B">
        <w:t xml:space="preserve"> tombs)</w:t>
      </w:r>
      <w:r>
        <w:t>,</w:t>
      </w:r>
      <w:r w:rsidRPr="00D6101B">
        <w:t xml:space="preserve"> and generally they have a single occurrence per tomb.</w:t>
      </w:r>
    </w:p>
    <w:p w14:paraId="0828FC64" w14:textId="62EF84E4" w:rsidR="001A4F1A" w:rsidRPr="00D6101B" w:rsidRDefault="001A4F1A" w:rsidP="00E858EF">
      <w:pPr>
        <w:suppressAutoHyphens/>
      </w:pPr>
      <w:r>
        <w:tab/>
      </w:r>
      <w:r w:rsidRPr="00D6101B">
        <w:t>No clay figurine</w:t>
      </w:r>
      <w:r>
        <w:t>s</w:t>
      </w:r>
      <w:r w:rsidRPr="00D6101B">
        <w:t xml:space="preserve"> ha</w:t>
      </w:r>
      <w:r>
        <w:t>ve</w:t>
      </w:r>
      <w:r w:rsidRPr="00D6101B">
        <w:t xml:space="preserve"> </w:t>
      </w:r>
      <w:r>
        <w:t>been</w:t>
      </w:r>
      <w:r w:rsidRPr="00D6101B">
        <w:t xml:space="preserve"> reported within</w:t>
      </w:r>
      <w:r>
        <w:t xml:space="preserve"> the</w:t>
      </w:r>
      <w:r w:rsidRPr="00D6101B">
        <w:t xml:space="preserve"> burial assemblage</w:t>
      </w:r>
      <w:r>
        <w:t>s</w:t>
      </w:r>
      <w:r w:rsidRPr="00D6101B">
        <w:t xml:space="preserve"> of tomb</w:t>
      </w:r>
      <w:r>
        <w:t>s</w:t>
      </w:r>
      <w:r w:rsidRPr="00D6101B">
        <w:t xml:space="preserve"> with larnakes</w:t>
      </w:r>
      <w:r>
        <w:t>;</w:t>
      </w:r>
      <w:r w:rsidRPr="00D6101B">
        <w:t xml:space="preserve"> however</w:t>
      </w:r>
      <w:r>
        <w:t>,</w:t>
      </w:r>
      <w:r w:rsidRPr="00D6101B">
        <w:t xml:space="preserve"> they</w:t>
      </w:r>
      <w:r>
        <w:t xml:space="preserve"> do </w:t>
      </w:r>
      <w:r w:rsidRPr="00D6101B">
        <w:t xml:space="preserve">occur </w:t>
      </w:r>
      <w:r>
        <w:t>in the</w:t>
      </w:r>
      <w:r w:rsidRPr="00D6101B">
        <w:t xml:space="preserve"> Armen</w:t>
      </w:r>
      <w:r>
        <w:t>o</w:t>
      </w:r>
      <w:r w:rsidRPr="00D6101B">
        <w:t>i cemetery (Papadopoulou 2017: 149).</w:t>
      </w:r>
      <w:r>
        <w:t xml:space="preserve"> </w:t>
      </w:r>
      <w:r w:rsidRPr="00D6101B">
        <w:t xml:space="preserve">A </w:t>
      </w:r>
      <w:r>
        <w:t>high variety of pottery types has</w:t>
      </w:r>
      <w:r w:rsidRPr="00D6101B">
        <w:t xml:space="preserve"> been registered. Stirrup jars, cups</w:t>
      </w:r>
      <w:r w:rsidR="007634AB">
        <w:t>, alabastra and</w:t>
      </w:r>
      <w:r w:rsidRPr="00D6101B">
        <w:t xml:space="preserve"> goblets are the </w:t>
      </w:r>
      <w:r>
        <w:t xml:space="preserve">most common </w:t>
      </w:r>
      <w:r w:rsidRPr="00D6101B">
        <w:t xml:space="preserve">vessels. </w:t>
      </w:r>
      <w:r>
        <w:t>The typ</w:t>
      </w:r>
      <w:r w:rsidRPr="00D6101B">
        <w:t>es are almost proportionally distributed through</w:t>
      </w:r>
      <w:r>
        <w:t>out</w:t>
      </w:r>
      <w:r w:rsidRPr="00D6101B">
        <w:t xml:space="preserve"> the tombs, except for the high number of goblets found at Margarites (at least 20). </w:t>
      </w:r>
      <w:r>
        <w:t>T</w:t>
      </w:r>
      <w:r w:rsidRPr="00D6101B">
        <w:t xml:space="preserve">he maximum number of pottery vessels </w:t>
      </w:r>
      <w:r>
        <w:t>in a tomb is</w:t>
      </w:r>
      <w:r w:rsidRPr="00D6101B">
        <w:t xml:space="preserve"> 42 (Pigi Grambela; it is also one of the tombs with the highest number of larnakes found, </w:t>
      </w:r>
      <w:r>
        <w:t>seven</w:t>
      </w:r>
      <w:r w:rsidRPr="00D6101B">
        <w:t>, second in the region only to Angeliana</w:t>
      </w:r>
      <w:r>
        <w:t>, with 10</w:t>
      </w:r>
      <w:r w:rsidRPr="00D6101B">
        <w:t>). The high number of pottery</w:t>
      </w:r>
      <w:r>
        <w:t xml:space="preserve"> pieces</w:t>
      </w:r>
      <w:r w:rsidRPr="00D6101B">
        <w:t xml:space="preserve"> found in this tomb </w:t>
      </w:r>
      <w:r>
        <w:t>can</w:t>
      </w:r>
      <w:r w:rsidRPr="00D6101B">
        <w:t xml:space="preserve"> </w:t>
      </w:r>
      <w:r>
        <w:t xml:space="preserve">possibly </w:t>
      </w:r>
      <w:r w:rsidRPr="00D6101B">
        <w:t xml:space="preserve">be explained </w:t>
      </w:r>
      <w:r>
        <w:t>by</w:t>
      </w:r>
      <w:r w:rsidRPr="00D6101B">
        <w:t xml:space="preserve"> the high number of burials.</w:t>
      </w:r>
    </w:p>
    <w:p w14:paraId="27675056" w14:textId="77777777" w:rsidR="001A4F1A" w:rsidRPr="00D6101B" w:rsidRDefault="001A4F1A" w:rsidP="00E858EF">
      <w:pPr>
        <w:suppressAutoHyphens/>
      </w:pPr>
      <w:r>
        <w:tab/>
        <w:t>A</w:t>
      </w:r>
      <w:r w:rsidRPr="00D6101B">
        <w:t xml:space="preserve"> chamber tomb at Pankalochori </w:t>
      </w:r>
      <w:r>
        <w:t>has a</w:t>
      </w:r>
      <w:r w:rsidRPr="00D6101B">
        <w:t xml:space="preserve"> high variety of material types (also of precious materials). In this tomb</w:t>
      </w:r>
      <w:r>
        <w:t>,</w:t>
      </w:r>
      <w:r w:rsidRPr="00D6101B">
        <w:t xml:space="preserve"> </w:t>
      </w:r>
      <w:r>
        <w:t>there are</w:t>
      </w:r>
      <w:r w:rsidRPr="00D6101B">
        <w:t xml:space="preserve"> jewellery and cosmetic implements</w:t>
      </w:r>
      <w:r>
        <w:t xml:space="preserve"> also</w:t>
      </w:r>
      <w:r w:rsidRPr="00D6101B">
        <w:t xml:space="preserve"> (earrings, ivory handle, bronze mirror</w:t>
      </w:r>
      <w:r>
        <w:t>,</w:t>
      </w:r>
      <w:r w:rsidRPr="00D6101B">
        <w:t xml:space="preserve"> etc.), which </w:t>
      </w:r>
      <w:r>
        <w:t>are similar to the</w:t>
      </w:r>
      <w:r w:rsidRPr="00D6101B">
        <w:t xml:space="preserve"> grave good</w:t>
      </w:r>
      <w:r>
        <w:t>s</w:t>
      </w:r>
      <w:r w:rsidRPr="00D6101B">
        <w:t xml:space="preserve"> assemblage </w:t>
      </w:r>
      <w:r>
        <w:t>in T</w:t>
      </w:r>
      <w:r w:rsidRPr="00D6101B">
        <w:t>omb 5 at Maroulas. It is interesting to note that</w:t>
      </w:r>
      <w:r>
        <w:t>,</w:t>
      </w:r>
      <w:r w:rsidRPr="00D6101B">
        <w:t xml:space="preserve"> </w:t>
      </w:r>
      <w:r>
        <w:t>regarding</w:t>
      </w:r>
      <w:r w:rsidRPr="00D6101B">
        <w:t xml:space="preserve"> </w:t>
      </w:r>
      <w:r>
        <w:t xml:space="preserve">the </w:t>
      </w:r>
      <w:r w:rsidRPr="00D6101B">
        <w:t>skeletal remains in th</w:t>
      </w:r>
      <w:r>
        <w:t>e</w:t>
      </w:r>
      <w:r w:rsidRPr="00D6101B">
        <w:t xml:space="preserve"> tomb </w:t>
      </w:r>
      <w:r>
        <w:t xml:space="preserve">at </w:t>
      </w:r>
      <w:r w:rsidRPr="00D6101B">
        <w:t>Maroulas</w:t>
      </w:r>
      <w:r>
        <w:t>,</w:t>
      </w:r>
      <w:r w:rsidRPr="00D6101B">
        <w:t xml:space="preserve"> a woman and a child </w:t>
      </w:r>
      <w:r>
        <w:t>were</w:t>
      </w:r>
      <w:r w:rsidRPr="00D6101B">
        <w:t xml:space="preserve"> found (Papadopoulou 2017)</w:t>
      </w:r>
      <w:r>
        <w:t>;</w:t>
      </w:r>
      <w:r w:rsidRPr="00D6101B">
        <w:t xml:space="preserve"> and in the tomb </w:t>
      </w:r>
      <w:r>
        <w:t>at</w:t>
      </w:r>
      <w:r w:rsidRPr="00D6101B">
        <w:t xml:space="preserve"> Pankalochori</w:t>
      </w:r>
      <w:r>
        <w:t>,</w:t>
      </w:r>
      <w:r w:rsidRPr="00D6101B">
        <w:t xml:space="preserve"> the only burial found in one of the larna</w:t>
      </w:r>
      <w:r>
        <w:t>kes</w:t>
      </w:r>
      <w:r w:rsidRPr="00D6101B">
        <w:t xml:space="preserve"> </w:t>
      </w:r>
      <w:r>
        <w:t>is</w:t>
      </w:r>
      <w:r w:rsidRPr="00D6101B">
        <w:t xml:space="preserve"> a woman and an embryo (Baxevani </w:t>
      </w:r>
      <w:r>
        <w:t xml:space="preserve">and </w:t>
      </w:r>
      <w:r w:rsidRPr="00D6101B">
        <w:t>Markoulaki 1996).</w:t>
      </w:r>
    </w:p>
    <w:p w14:paraId="4181BC13" w14:textId="77777777" w:rsidR="001A4F1A" w:rsidRPr="00D6101B" w:rsidRDefault="001A4F1A" w:rsidP="00E858EF">
      <w:pPr>
        <w:suppressAutoHyphens/>
      </w:pPr>
      <w:r>
        <w:tab/>
        <w:t>Regarding the</w:t>
      </w:r>
      <w:r w:rsidRPr="00D6101B">
        <w:t xml:space="preserve"> Armen</w:t>
      </w:r>
      <w:r>
        <w:t>o</w:t>
      </w:r>
      <w:r w:rsidRPr="00D6101B">
        <w:t xml:space="preserve">i cemetery, </w:t>
      </w:r>
      <w:r>
        <w:t>analysis of the</w:t>
      </w:r>
      <w:r w:rsidRPr="00D6101B">
        <w:t xml:space="preserve"> grave goods distribution </w:t>
      </w:r>
      <w:r>
        <w:t>reveals</w:t>
      </w:r>
      <w:r w:rsidRPr="00D6101B">
        <w:t xml:space="preserve"> that</w:t>
      </w:r>
      <w:r>
        <w:t>,</w:t>
      </w:r>
      <w:r w:rsidRPr="00D6101B">
        <w:t xml:space="preserve"> even though the</w:t>
      </w:r>
      <w:r>
        <w:t>re are many</w:t>
      </w:r>
      <w:r w:rsidRPr="00D6101B">
        <w:t xml:space="preserve"> tomb</w:t>
      </w:r>
      <w:r>
        <w:t>s,</w:t>
      </w:r>
      <w:r w:rsidRPr="00D6101B">
        <w:t xml:space="preserve"> there are no tombs </w:t>
      </w:r>
      <w:r>
        <w:t>containing</w:t>
      </w:r>
      <w:r w:rsidRPr="00D6101B">
        <w:t xml:space="preserve"> all six </w:t>
      </w:r>
      <w:r>
        <w:t>categories</w:t>
      </w:r>
      <w:r w:rsidRPr="00D6101B">
        <w:t xml:space="preserve"> of grave good (pottery, jewellery, weapons,</w:t>
      </w:r>
      <w:r>
        <w:t xml:space="preserve"> implements, vessels, figurines:</w:t>
      </w:r>
      <w:r w:rsidRPr="00D6101B">
        <w:t xml:space="preserve"> </w:t>
      </w:r>
      <w:r>
        <w:t xml:space="preserve">see </w:t>
      </w:r>
      <w:r w:rsidRPr="00D6101B">
        <w:t>Papadopoulou 2017: 148</w:t>
      </w:r>
      <w:r>
        <w:t>)</w:t>
      </w:r>
      <w:r w:rsidRPr="00D6101B">
        <w:t>. According to the general trends observed within the cemetery</w:t>
      </w:r>
      <w:r>
        <w:t>,</w:t>
      </w:r>
      <w:r w:rsidRPr="00D6101B">
        <w:t xml:space="preserve"> the variety of the assemblage is proportional to the dimension</w:t>
      </w:r>
      <w:r>
        <w:t>s</w:t>
      </w:r>
      <w:r w:rsidRPr="00D6101B">
        <w:t xml:space="preserve"> of the tomb (although in some cases tombs have been plundered). Pottery and jewellery are the most common </w:t>
      </w:r>
      <w:r>
        <w:t>categories</w:t>
      </w:r>
      <w:r w:rsidRPr="00D6101B">
        <w:t xml:space="preserve"> of grave goods </w:t>
      </w:r>
      <w:r>
        <w:t>in the</w:t>
      </w:r>
      <w:r w:rsidRPr="00D6101B">
        <w:t xml:space="preserve"> Armen</w:t>
      </w:r>
      <w:r>
        <w:t>o</w:t>
      </w:r>
      <w:r w:rsidRPr="00D6101B">
        <w:t>i cemetery. These</w:t>
      </w:r>
      <w:r>
        <w:t xml:space="preserve"> categories </w:t>
      </w:r>
      <w:r w:rsidRPr="00D6101B">
        <w:t xml:space="preserve">are also the most common material class in chamber tombs with larnakes in </w:t>
      </w:r>
      <w:r>
        <w:t>the Mid-West</w:t>
      </w:r>
      <w:r w:rsidRPr="00D6101B">
        <w:t xml:space="preserve"> region.</w:t>
      </w:r>
    </w:p>
    <w:p w14:paraId="2918EDA9" w14:textId="541CBEC9" w:rsidR="001A4F1A" w:rsidRDefault="001A4F1A" w:rsidP="00E858EF">
      <w:pPr>
        <w:suppressAutoHyphens/>
      </w:pPr>
      <w:r>
        <w:tab/>
      </w:r>
      <w:r w:rsidRPr="00D6101B">
        <w:t>Pottery</w:t>
      </w:r>
      <w:r>
        <w:t xml:space="preserve"> items</w:t>
      </w:r>
      <w:r w:rsidRPr="00D6101B">
        <w:t xml:space="preserve"> import</w:t>
      </w:r>
      <w:r>
        <w:t>ed from different workshops have</w:t>
      </w:r>
      <w:r w:rsidRPr="00D6101B">
        <w:t xml:space="preserve"> been found at Armen</w:t>
      </w:r>
      <w:r>
        <w:t>o</w:t>
      </w:r>
      <w:r w:rsidRPr="00D6101B">
        <w:t xml:space="preserve">i (Kydonia, Knossos </w:t>
      </w:r>
      <w:r>
        <w:t xml:space="preserve">and </w:t>
      </w:r>
      <w:r w:rsidRPr="00D6101B">
        <w:t xml:space="preserve">east Crete; </w:t>
      </w:r>
      <w:r>
        <w:t xml:space="preserve">but </w:t>
      </w:r>
      <w:r w:rsidRPr="00D6101B">
        <w:t xml:space="preserve">only </w:t>
      </w:r>
      <w:r>
        <w:t xml:space="preserve">from </w:t>
      </w:r>
      <w:r w:rsidRPr="00D6101B">
        <w:t xml:space="preserve">Kydonia </w:t>
      </w:r>
      <w:r>
        <w:t>regarding</w:t>
      </w:r>
      <w:r w:rsidRPr="00D6101B">
        <w:t xml:space="preserve"> tomb</w:t>
      </w:r>
      <w:r>
        <w:t>s</w:t>
      </w:r>
      <w:r w:rsidRPr="00D6101B">
        <w:t xml:space="preserve"> with larnakes)</w:t>
      </w:r>
      <w:r>
        <w:t>,</w:t>
      </w:r>
      <w:r w:rsidRPr="00D6101B">
        <w:t xml:space="preserve"> and it is also possible to recognise the existence of local workshops (Papadopoulou 2017: 148)</w:t>
      </w:r>
      <w:r>
        <w:t xml:space="preserve">. Chaniot </w:t>
      </w:r>
      <w:r w:rsidRPr="00D6101B">
        <w:t>imports have also been found at Pigi, while at Stavromenos Mycenaean imports</w:t>
      </w:r>
      <w:r>
        <w:t xml:space="preserve"> </w:t>
      </w:r>
      <w:r w:rsidRPr="00D6101B">
        <w:t xml:space="preserve">have been found.  </w:t>
      </w:r>
    </w:p>
    <w:p w14:paraId="6DD00992" w14:textId="77777777" w:rsidR="000C61EC" w:rsidRPr="00D6101B" w:rsidRDefault="000C61EC" w:rsidP="00E858EF">
      <w:pPr>
        <w:suppressAutoHyphens/>
      </w:pPr>
    </w:p>
    <w:p w14:paraId="1D9286FC" w14:textId="517FD3E5" w:rsidR="001A4F1A" w:rsidRPr="00D6101B" w:rsidRDefault="001A4F1A" w:rsidP="00E858EF">
      <w:pPr>
        <w:pStyle w:val="Titolo3"/>
        <w:keepNext w:val="0"/>
        <w:keepLines w:val="0"/>
        <w:suppressAutoHyphens/>
      </w:pPr>
      <w:bookmarkStart w:id="804" w:name="_Toc389508249"/>
      <w:bookmarkStart w:id="805" w:name="_Toc517745329"/>
      <w:bookmarkStart w:id="806" w:name="_Toc519894663"/>
      <w:r w:rsidRPr="00D6101B">
        <w:t>Mesara</w:t>
      </w:r>
      <w:bookmarkEnd w:id="804"/>
      <w:bookmarkEnd w:id="805"/>
      <w:bookmarkEnd w:id="806"/>
      <w:r w:rsidR="007B628E">
        <w:t xml:space="preserve"> area</w:t>
      </w:r>
      <w:r w:rsidR="007D3735">
        <w:t xml:space="preserve"> (grave goods)</w:t>
      </w:r>
    </w:p>
    <w:p w14:paraId="19513715" w14:textId="77777777" w:rsidR="001A4F1A" w:rsidRPr="00D6101B" w:rsidRDefault="001A4F1A" w:rsidP="00E858EF">
      <w:pPr>
        <w:pStyle w:val="Titolo4"/>
        <w:keepNext w:val="0"/>
        <w:keepLines w:val="0"/>
        <w:suppressAutoHyphens/>
      </w:pPr>
      <w:bookmarkStart w:id="807" w:name="_Toc389508250"/>
      <w:bookmarkStart w:id="808" w:name="_Toc517745330"/>
      <w:r w:rsidRPr="00D6101B">
        <w:t>Sample</w:t>
      </w:r>
      <w:bookmarkEnd w:id="807"/>
      <w:bookmarkEnd w:id="808"/>
    </w:p>
    <w:p w14:paraId="5BBAE9AF" w14:textId="77777777" w:rsidR="001A4F1A" w:rsidRPr="00D6101B" w:rsidRDefault="001A4F1A" w:rsidP="00E858EF">
      <w:pPr>
        <w:suppressAutoHyphens/>
      </w:pPr>
      <w:r w:rsidRPr="00D6101B">
        <w:t>The sample of secure tombs with larnax burials for which there is information about grave good</w:t>
      </w:r>
      <w:r>
        <w:t>s</w:t>
      </w:r>
      <w:r w:rsidRPr="00D6101B">
        <w:t xml:space="preserve"> is 34.</w:t>
      </w:r>
      <w:r>
        <w:t xml:space="preserve"> </w:t>
      </w:r>
      <w:r w:rsidRPr="00D6101B">
        <w:t>The remaining seven tombs are</w:t>
      </w:r>
      <w:r>
        <w:t xml:space="preserve"> as follows</w:t>
      </w:r>
      <w:r w:rsidRPr="00D6101B">
        <w:t>:</w:t>
      </w:r>
    </w:p>
    <w:p w14:paraId="2CA3BC3C" w14:textId="27DB4119" w:rsidR="001A4F1A" w:rsidRPr="00D6101B" w:rsidRDefault="001A4F1A" w:rsidP="00E858EF">
      <w:pPr>
        <w:pStyle w:val="Paragrafoelenco"/>
        <w:numPr>
          <w:ilvl w:val="0"/>
          <w:numId w:val="43"/>
        </w:numPr>
        <w:suppressAutoHyphens/>
      </w:pPr>
      <w:r w:rsidRPr="00D6101B">
        <w:t>A plundered corbel</w:t>
      </w:r>
      <w:r>
        <w:t>-</w:t>
      </w:r>
      <w:r w:rsidRPr="00D6101B">
        <w:t>vaulted tomb at Apodoulou Sopatakia (</w:t>
      </w:r>
      <w:r w:rsidRPr="00D6101B">
        <w:rPr>
          <w:i/>
          <w:iCs/>
        </w:rPr>
        <w:t>KChr</w:t>
      </w:r>
      <w:r w:rsidRPr="00D6101B">
        <w:t xml:space="preserve"> 17 1963: 400-401; </w:t>
      </w:r>
      <w:r w:rsidRPr="00D6101B">
        <w:rPr>
          <w:i/>
          <w:iCs/>
        </w:rPr>
        <w:t>AR</w:t>
      </w:r>
      <w:r w:rsidRPr="00D6101B">
        <w:t xml:space="preserve"> 9 1962-3: 33;</w:t>
      </w:r>
      <w:r w:rsidRPr="00321422">
        <w:rPr>
          <w:i/>
          <w:iCs/>
        </w:rPr>
        <w:t xml:space="preserve"> ADelt</w:t>
      </w:r>
      <w:r w:rsidRPr="00321422">
        <w:t xml:space="preserve"> 18 1963: 315;</w:t>
      </w:r>
      <w:r w:rsidR="007634AB">
        <w:t xml:space="preserve"> </w:t>
      </w:r>
      <w:r w:rsidRPr="002A7AE4">
        <w:rPr>
          <w:i/>
        </w:rPr>
        <w:t>ADelt</w:t>
      </w:r>
      <w:r w:rsidRPr="00321422">
        <w:t xml:space="preserve"> 25 1970: 478; Tzigounaki 1996: 1489-1497</w:t>
      </w:r>
      <w:r w:rsidRPr="00D6101B">
        <w:t>)</w:t>
      </w:r>
      <w:r>
        <w:t>.</w:t>
      </w:r>
    </w:p>
    <w:p w14:paraId="20792596" w14:textId="77777777" w:rsidR="001A4F1A" w:rsidRPr="00D6101B" w:rsidRDefault="001A4F1A" w:rsidP="00E858EF">
      <w:pPr>
        <w:pStyle w:val="Paragrafoelenco"/>
        <w:numPr>
          <w:ilvl w:val="0"/>
          <w:numId w:val="43"/>
        </w:numPr>
        <w:suppressAutoHyphens/>
      </w:pPr>
      <w:r w:rsidRPr="00D6101B">
        <w:t xml:space="preserve">Three pits with a larnax burial in each </w:t>
      </w:r>
      <w:r>
        <w:t>at</w:t>
      </w:r>
      <w:r w:rsidRPr="00D6101B">
        <w:t xml:space="preserve"> the Liliana cemetery</w:t>
      </w:r>
      <w:r>
        <w:t>,</w:t>
      </w:r>
      <w:r w:rsidRPr="00D6101B">
        <w:t xml:space="preserve"> for which no grave goods are reported (Savignoni 1904)</w:t>
      </w:r>
      <w:r>
        <w:t>.</w:t>
      </w:r>
    </w:p>
    <w:p w14:paraId="62A3B286" w14:textId="77777777" w:rsidR="001A4F1A" w:rsidRPr="00D6101B" w:rsidRDefault="001A4F1A" w:rsidP="00E858EF">
      <w:pPr>
        <w:pStyle w:val="Paragrafoelenco"/>
        <w:numPr>
          <w:ilvl w:val="0"/>
          <w:numId w:val="43"/>
        </w:numPr>
        <w:suppressAutoHyphens/>
      </w:pPr>
      <w:r w:rsidRPr="00D6101B">
        <w:t xml:space="preserve">Tombs A and Γ at </w:t>
      </w:r>
      <w:r>
        <w:t xml:space="preserve">the </w:t>
      </w:r>
      <w:r w:rsidRPr="00D6101B">
        <w:t>Stavros Galias cemetery</w:t>
      </w:r>
      <w:r>
        <w:t>.</w:t>
      </w:r>
    </w:p>
    <w:p w14:paraId="3D04A003" w14:textId="77777777" w:rsidR="001A4F1A" w:rsidRPr="00321422" w:rsidRDefault="001A4F1A" w:rsidP="00E858EF">
      <w:pPr>
        <w:pStyle w:val="Paragrafoelenco"/>
        <w:numPr>
          <w:ilvl w:val="0"/>
          <w:numId w:val="43"/>
        </w:numPr>
        <w:suppressAutoHyphens/>
        <w:ind w:left="360"/>
      </w:pPr>
      <w:r w:rsidRPr="00321422">
        <w:t>A reused tholos at Valis, where only larnax fragments have been reported for the LM III phase of use of the tomb (</w:t>
      </w:r>
      <w:r w:rsidRPr="00321422">
        <w:rPr>
          <w:i/>
        </w:rPr>
        <w:t>AJA</w:t>
      </w:r>
      <w:r>
        <w:t xml:space="preserve"> 30 1927</w:t>
      </w:r>
      <w:r w:rsidRPr="00D6101B">
        <w:t xml:space="preserve">: 127; </w:t>
      </w:r>
      <w:r w:rsidRPr="00321422">
        <w:rPr>
          <w:i/>
        </w:rPr>
        <w:t>BCH</w:t>
      </w:r>
      <w:r w:rsidRPr="00D6101B">
        <w:t xml:space="preserve"> </w:t>
      </w:r>
      <w:r>
        <w:t xml:space="preserve">50 </w:t>
      </w:r>
      <w:r w:rsidRPr="00D6101B">
        <w:t>1926: 578; Kanta 1980: 95; Löwe 199</w:t>
      </w:r>
      <w:r>
        <w:t>6</w:t>
      </w:r>
      <w:r w:rsidRPr="00D6101B">
        <w:t>: 254 n. 781).</w:t>
      </w:r>
    </w:p>
    <w:p w14:paraId="757B6B0D" w14:textId="77777777" w:rsidR="001A4F1A" w:rsidRPr="00D6101B" w:rsidRDefault="001A4F1A" w:rsidP="00E858EF">
      <w:pPr>
        <w:pStyle w:val="Titolo4"/>
        <w:keepNext w:val="0"/>
        <w:keepLines w:val="0"/>
        <w:suppressAutoHyphens/>
      </w:pPr>
      <w:bookmarkStart w:id="809" w:name="_Toc389508251"/>
      <w:bookmarkStart w:id="810" w:name="_Toc517745331"/>
      <w:r w:rsidRPr="00D6101B">
        <w:t>Material types</w:t>
      </w:r>
      <w:bookmarkEnd w:id="809"/>
      <w:bookmarkEnd w:id="810"/>
    </w:p>
    <w:p w14:paraId="1AC6DB5E" w14:textId="77777777" w:rsidR="001A4F1A" w:rsidRPr="00D6101B" w:rsidRDefault="001A4F1A" w:rsidP="00E858EF">
      <w:pPr>
        <w:suppressAutoHyphens/>
        <w:ind w:left="360"/>
      </w:pPr>
      <w:r w:rsidRPr="00D6101B">
        <w:t xml:space="preserve"> Data concerning the material types of the assemblage </w:t>
      </w:r>
      <w:r>
        <w:t>are</w:t>
      </w:r>
      <w:r w:rsidRPr="00D6101B">
        <w:t xml:space="preserve"> summarised in th</w:t>
      </w:r>
      <w:r>
        <w:t>e</w:t>
      </w:r>
      <w:r w:rsidRPr="00D6101B">
        <w:t xml:space="preserve"> graph</w:t>
      </w:r>
      <w:r>
        <w:t>, below</w:t>
      </w:r>
      <w:r w:rsidRPr="00D6101B">
        <w:t>:</w:t>
      </w:r>
    </w:p>
    <w:p w14:paraId="59DA728C" w14:textId="77777777" w:rsidR="001A4F1A" w:rsidRPr="00D6101B" w:rsidRDefault="001A4F1A" w:rsidP="00E858EF">
      <w:pPr>
        <w:pStyle w:val="Paragrafoelenco"/>
        <w:suppressAutoHyphens/>
      </w:pPr>
    </w:p>
    <w:p w14:paraId="2C69570D" w14:textId="77777777" w:rsidR="001A4F1A" w:rsidRPr="00D6101B" w:rsidRDefault="001A4F1A" w:rsidP="00E858EF">
      <w:pPr>
        <w:pStyle w:val="Paragrafoelenco"/>
        <w:suppressAutoHyphens/>
        <w:ind w:hanging="720"/>
      </w:pPr>
      <w:r>
        <w:rPr>
          <w:noProof/>
          <w:lang w:val="it-IT"/>
        </w:rPr>
        <w:drawing>
          <wp:inline distT="0" distB="0" distL="0" distR="0" wp14:anchorId="46AF4EED" wp14:editId="5405BE02">
            <wp:extent cx="5076967" cy="2552700"/>
            <wp:effectExtent l="0" t="0" r="9525" b="0"/>
            <wp:docPr id="92" name="Grafico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r w:rsidRPr="00D6101B" w:rsidDel="008E019D">
        <w:rPr>
          <w:noProof/>
        </w:rPr>
        <w:t xml:space="preserve"> </w:t>
      </w:r>
    </w:p>
    <w:p w14:paraId="603D60AB" w14:textId="4330DB5F" w:rsidR="001A4F1A" w:rsidRDefault="001A4F1A" w:rsidP="00E858EF">
      <w:pPr>
        <w:pStyle w:val="Didascalia"/>
        <w:suppressAutoHyphens/>
      </w:pPr>
      <w:bookmarkStart w:id="811" w:name="_Toc520212373"/>
      <w:r>
        <w:t>Figure 4-</w:t>
      </w:r>
      <w:r w:rsidRPr="00AD12E3">
        <w:t>35</w:t>
      </w:r>
      <w:r w:rsidR="009D7CB9">
        <w:t>.</w:t>
      </w:r>
      <w:r w:rsidRPr="00AD12E3">
        <w:t xml:space="preserve"> Material types </w:t>
      </w:r>
      <w:r w:rsidR="00A84A49" w:rsidRPr="00AD12E3">
        <w:t>occurrence</w:t>
      </w:r>
      <w:r w:rsidR="007B628E">
        <w:t>,</w:t>
      </w:r>
      <w:r w:rsidR="00A84A49" w:rsidRPr="00AD12E3">
        <w:t xml:space="preserve"> </w:t>
      </w:r>
      <w:r w:rsidRPr="00AD12E3">
        <w:t>Mesara area</w:t>
      </w:r>
      <w:bookmarkEnd w:id="811"/>
    </w:p>
    <w:p w14:paraId="2DB25CE2" w14:textId="77777777" w:rsidR="001A4F1A" w:rsidRPr="00D6101B" w:rsidRDefault="001A4F1A" w:rsidP="00E858EF">
      <w:pPr>
        <w:pStyle w:val="Testofumetto"/>
        <w:suppressAutoHyphens/>
      </w:pPr>
    </w:p>
    <w:p w14:paraId="2EA21EFF" w14:textId="77777777" w:rsidR="001A4F1A" w:rsidRPr="00D6101B" w:rsidRDefault="001A4F1A" w:rsidP="00E858EF">
      <w:pPr>
        <w:pStyle w:val="Paragrafoelenco"/>
        <w:suppressAutoHyphens/>
        <w:ind w:left="0"/>
      </w:pPr>
      <w:r w:rsidRPr="00D6101B">
        <w:t>The following material</w:t>
      </w:r>
      <w:r>
        <w:t>s</w:t>
      </w:r>
      <w:r w:rsidRPr="00D6101B">
        <w:t xml:space="preserve"> have not been registered in any tombs:</w:t>
      </w:r>
    </w:p>
    <w:p w14:paraId="1C8BEEC3" w14:textId="77777777" w:rsidR="001A4F1A" w:rsidRPr="00D6101B" w:rsidRDefault="001A4F1A" w:rsidP="00E858EF">
      <w:pPr>
        <w:pStyle w:val="Paragrafoelenco"/>
        <w:numPr>
          <w:ilvl w:val="0"/>
          <w:numId w:val="44"/>
        </w:numPr>
        <w:suppressAutoHyphens/>
      </w:pPr>
      <w:r w:rsidRPr="00D6101B">
        <w:t>Amber</w:t>
      </w:r>
    </w:p>
    <w:p w14:paraId="3F536550" w14:textId="77777777" w:rsidR="001A4F1A" w:rsidRPr="00D6101B" w:rsidRDefault="001A4F1A" w:rsidP="00E858EF">
      <w:pPr>
        <w:pStyle w:val="Paragrafoelenco"/>
        <w:numPr>
          <w:ilvl w:val="0"/>
          <w:numId w:val="44"/>
        </w:numPr>
        <w:suppressAutoHyphens/>
      </w:pPr>
      <w:r w:rsidRPr="00D6101B">
        <w:t>Bone</w:t>
      </w:r>
    </w:p>
    <w:p w14:paraId="7D6289EC" w14:textId="77777777" w:rsidR="001A4F1A" w:rsidRPr="00D6101B" w:rsidRDefault="001A4F1A" w:rsidP="00E858EF">
      <w:pPr>
        <w:pStyle w:val="Paragrafoelenco"/>
        <w:numPr>
          <w:ilvl w:val="0"/>
          <w:numId w:val="44"/>
        </w:numPr>
        <w:suppressAutoHyphens/>
      </w:pPr>
      <w:r w:rsidRPr="00D6101B">
        <w:t xml:space="preserve">Iron </w:t>
      </w:r>
    </w:p>
    <w:p w14:paraId="48521719" w14:textId="77777777" w:rsidR="001A4F1A" w:rsidRPr="00D6101B" w:rsidRDefault="001A4F1A" w:rsidP="00E858EF">
      <w:pPr>
        <w:pStyle w:val="Paragrafoelenco"/>
        <w:numPr>
          <w:ilvl w:val="0"/>
          <w:numId w:val="44"/>
        </w:numPr>
        <w:suppressAutoHyphens/>
      </w:pPr>
      <w:r w:rsidRPr="00D6101B">
        <w:t>Wood</w:t>
      </w:r>
    </w:p>
    <w:p w14:paraId="104CF75F" w14:textId="77777777" w:rsidR="001A4F1A" w:rsidRPr="00D6101B" w:rsidRDefault="001A4F1A" w:rsidP="00E858EF">
      <w:pPr>
        <w:pStyle w:val="Paragrafoelenco"/>
        <w:numPr>
          <w:ilvl w:val="0"/>
          <w:numId w:val="44"/>
        </w:numPr>
        <w:suppressAutoHyphens/>
      </w:pPr>
      <w:r w:rsidRPr="00D6101B">
        <w:t>Gold</w:t>
      </w:r>
    </w:p>
    <w:p w14:paraId="73BAB074" w14:textId="77777777" w:rsidR="001A4F1A" w:rsidRPr="00D6101B" w:rsidRDefault="001A4F1A" w:rsidP="00E858EF">
      <w:pPr>
        <w:suppressAutoHyphens/>
      </w:pPr>
      <w:r>
        <w:tab/>
      </w:r>
      <w:r w:rsidRPr="00D6101B">
        <w:t>Pottery</w:t>
      </w:r>
      <w:r>
        <w:t xml:space="preserve"> </w:t>
      </w:r>
      <w:r w:rsidRPr="00D6101B">
        <w:t>occur</w:t>
      </w:r>
      <w:r>
        <w:t>s</w:t>
      </w:r>
      <w:r w:rsidRPr="00D6101B">
        <w:t xml:space="preserve"> in all the secure tombs for which there </w:t>
      </w:r>
      <w:r>
        <w:t>is</w:t>
      </w:r>
      <w:r w:rsidRPr="00D6101B">
        <w:t xml:space="preserve"> information about grave goods, even if for some tombs</w:t>
      </w:r>
      <w:r>
        <w:t>,</w:t>
      </w:r>
      <w:r w:rsidRPr="00D6101B">
        <w:t xml:space="preserve"> </w:t>
      </w:r>
      <w:r>
        <w:t>such as</w:t>
      </w:r>
      <w:r w:rsidRPr="00D6101B">
        <w:t xml:space="preserve"> Alesandraki, Liliana </w:t>
      </w:r>
      <w:r>
        <w:t>T</w:t>
      </w:r>
      <w:r w:rsidRPr="00D6101B">
        <w:t xml:space="preserve">omb B, Panagia Kalyviani and Stavros Galias </w:t>
      </w:r>
      <w:r>
        <w:t>T</w:t>
      </w:r>
      <w:r w:rsidRPr="00D6101B">
        <w:t>omb B</w:t>
      </w:r>
      <w:r>
        <w:t>,</w:t>
      </w:r>
      <w:r w:rsidRPr="00D6101B">
        <w:t xml:space="preserve"> there </w:t>
      </w:r>
      <w:r>
        <w:t>is</w:t>
      </w:r>
      <w:r w:rsidRPr="00D6101B">
        <w:t xml:space="preserve"> no information about </w:t>
      </w:r>
      <w:r>
        <w:t>the</w:t>
      </w:r>
      <w:r w:rsidRPr="00D6101B">
        <w:t xml:space="preserve"> number </w:t>
      </w:r>
      <w:r>
        <w:t>of pottery items</w:t>
      </w:r>
      <w:r w:rsidRPr="00D6101B">
        <w:t xml:space="preserve">, but </w:t>
      </w:r>
      <w:r>
        <w:t>only</w:t>
      </w:r>
      <w:r w:rsidRPr="00D6101B">
        <w:t xml:space="preserve"> the presence of pottery artefacts is </w:t>
      </w:r>
      <w:r>
        <w:t>recorded</w:t>
      </w:r>
      <w:r w:rsidRPr="00D6101B">
        <w:t>.</w:t>
      </w:r>
    </w:p>
    <w:p w14:paraId="5C105424" w14:textId="77777777" w:rsidR="001A4F1A" w:rsidRPr="00D6101B" w:rsidRDefault="001A4F1A" w:rsidP="00E858EF">
      <w:pPr>
        <w:suppressAutoHyphens/>
      </w:pPr>
      <w:r>
        <w:tab/>
      </w:r>
      <w:r w:rsidRPr="00D6101B">
        <w:t xml:space="preserve">In 29% of </w:t>
      </w:r>
      <w:r>
        <w:t xml:space="preserve">the sample </w:t>
      </w:r>
      <w:r w:rsidRPr="00D6101B">
        <w:t>tombs for grave goods assemblage</w:t>
      </w:r>
      <w:r>
        <w:t>s</w:t>
      </w:r>
      <w:r w:rsidRPr="00D6101B">
        <w:t xml:space="preserve"> in </w:t>
      </w:r>
      <w:r>
        <w:t xml:space="preserve">the </w:t>
      </w:r>
      <w:r w:rsidRPr="00D6101B">
        <w:t>Mesara area</w:t>
      </w:r>
      <w:r>
        <w:t>,</w:t>
      </w:r>
      <w:r w:rsidRPr="00D6101B">
        <w:t xml:space="preserve"> the only material type registered is </w:t>
      </w:r>
      <w:r>
        <w:t>pottery</w:t>
      </w:r>
      <w:r w:rsidRPr="00D6101B">
        <w:t>.</w:t>
      </w:r>
      <w:r>
        <w:t xml:space="preserve"> </w:t>
      </w:r>
      <w:r w:rsidRPr="00D6101B">
        <w:t xml:space="preserve">The other most common materials registered are bronze and stone, which occur respectively in 17 and 13 tombs. </w:t>
      </w:r>
      <w:r>
        <w:t>T</w:t>
      </w:r>
      <w:r w:rsidRPr="00D6101B">
        <w:t xml:space="preserve">he remaining material types do not </w:t>
      </w:r>
      <w:r>
        <w:t>occur in more</w:t>
      </w:r>
      <w:r w:rsidRPr="00D6101B">
        <w:t xml:space="preserve"> </w:t>
      </w:r>
      <w:r>
        <w:t>than</w:t>
      </w:r>
      <w:r w:rsidRPr="00D6101B">
        <w:t xml:space="preserve"> </w:t>
      </w:r>
      <w:r>
        <w:t>six</w:t>
      </w:r>
      <w:r w:rsidRPr="00D6101B">
        <w:t xml:space="preserve"> tombs.</w:t>
      </w:r>
    </w:p>
    <w:p w14:paraId="7978C89C" w14:textId="77777777" w:rsidR="001A4F1A" w:rsidRPr="00D6101B" w:rsidRDefault="001A4F1A" w:rsidP="00E858EF">
      <w:pPr>
        <w:suppressAutoHyphens/>
      </w:pPr>
      <w:r>
        <w:tab/>
        <w:t>Regarding the variety of</w:t>
      </w:r>
      <w:r w:rsidRPr="00D6101B">
        <w:t xml:space="preserve"> material types, 24% </w:t>
      </w:r>
      <w:r>
        <w:t xml:space="preserve">of the </w:t>
      </w:r>
      <w:r w:rsidRPr="00D6101B">
        <w:t xml:space="preserve">tombs </w:t>
      </w:r>
      <w:r>
        <w:t>contain</w:t>
      </w:r>
      <w:r w:rsidRPr="00D6101B">
        <w:t xml:space="preserve"> more than </w:t>
      </w:r>
      <w:r>
        <w:t>three</w:t>
      </w:r>
      <w:r w:rsidRPr="00D6101B">
        <w:t xml:space="preserve"> different material types, while for the remaining 76% </w:t>
      </w:r>
      <w:r>
        <w:t xml:space="preserve">there is </w:t>
      </w:r>
      <w:r w:rsidRPr="00D6101B">
        <w:t>a maximum of three different materials.</w:t>
      </w:r>
      <w:r>
        <w:t xml:space="preserve"> A f</w:t>
      </w:r>
      <w:r w:rsidRPr="00D6101B">
        <w:t xml:space="preserve">ew tombs </w:t>
      </w:r>
      <w:r>
        <w:t>are noteworthy</w:t>
      </w:r>
      <w:r w:rsidRPr="00D6101B">
        <w:t xml:space="preserve"> because of the variety of material types</w:t>
      </w:r>
      <w:r>
        <w:t>,</w:t>
      </w:r>
      <w:r w:rsidRPr="00D6101B">
        <w:t xml:space="preserve"> but also because </w:t>
      </w:r>
      <w:r>
        <w:t>of the presence</w:t>
      </w:r>
      <w:r w:rsidRPr="00D6101B">
        <w:t xml:space="preserve"> of precious materials </w:t>
      </w:r>
      <w:r>
        <w:t>such as</w:t>
      </w:r>
      <w:r w:rsidRPr="00D6101B">
        <w:t xml:space="preserve"> ivory</w:t>
      </w:r>
      <w:r>
        <w:t>,</w:t>
      </w:r>
      <w:r w:rsidRPr="00D6101B">
        <w:t xml:space="preserve"> gold and silver in their assemblages:</w:t>
      </w:r>
    </w:p>
    <w:p w14:paraId="29B4F937" w14:textId="77777777" w:rsidR="001A4F1A" w:rsidRPr="00D6101B" w:rsidRDefault="001A4F1A" w:rsidP="00E858EF">
      <w:pPr>
        <w:pStyle w:val="Paragrafoelenco"/>
        <w:numPr>
          <w:ilvl w:val="0"/>
          <w:numId w:val="45"/>
        </w:numPr>
        <w:suppressAutoHyphens/>
      </w:pPr>
      <w:r w:rsidRPr="00D6101B">
        <w:t xml:space="preserve">At Stavros Galias </w:t>
      </w:r>
      <w:r>
        <w:t>T</w:t>
      </w:r>
      <w:r w:rsidRPr="00D6101B">
        <w:t>omb B</w:t>
      </w:r>
      <w:r>
        <w:t>,</w:t>
      </w:r>
      <w:r w:rsidRPr="00D6101B">
        <w:t xml:space="preserve"> </w:t>
      </w:r>
      <w:r>
        <w:t>in addition to</w:t>
      </w:r>
      <w:r w:rsidRPr="00D6101B">
        <w:t xml:space="preserve"> pottery and stone items</w:t>
      </w:r>
      <w:r>
        <w:t>,</w:t>
      </w:r>
      <w:r w:rsidRPr="00D6101B">
        <w:t xml:space="preserve"> ivory and glass </w:t>
      </w:r>
      <w:r>
        <w:t>are</w:t>
      </w:r>
      <w:r w:rsidRPr="00D6101B">
        <w:t xml:space="preserve"> registered</w:t>
      </w:r>
      <w:r>
        <w:t>.</w:t>
      </w:r>
    </w:p>
    <w:p w14:paraId="1EC9863A" w14:textId="77777777" w:rsidR="001A4F1A" w:rsidRPr="00D6101B" w:rsidRDefault="001A4F1A" w:rsidP="00E858EF">
      <w:pPr>
        <w:pStyle w:val="Paragrafoelenco"/>
        <w:numPr>
          <w:ilvl w:val="0"/>
          <w:numId w:val="45"/>
        </w:numPr>
        <w:suppressAutoHyphens/>
      </w:pPr>
      <w:r w:rsidRPr="00D6101B">
        <w:t xml:space="preserve">The larnax burial at </w:t>
      </w:r>
      <w:r>
        <w:t>A</w:t>
      </w:r>
      <w:r w:rsidRPr="00D6101B">
        <w:t xml:space="preserve">gia Triada </w:t>
      </w:r>
      <w:r>
        <w:t>contains silver,</w:t>
      </w:r>
      <w:r w:rsidRPr="00D6101B">
        <w:t xml:space="preserve"> </w:t>
      </w:r>
      <w:r>
        <w:t>in addition to</w:t>
      </w:r>
      <w:r w:rsidRPr="00D6101B">
        <w:t xml:space="preserve"> bronze and pottery.</w:t>
      </w:r>
    </w:p>
    <w:p w14:paraId="342F3158" w14:textId="77777777" w:rsidR="001A4F1A" w:rsidRPr="00D6101B" w:rsidRDefault="001A4F1A" w:rsidP="00E858EF">
      <w:pPr>
        <w:pStyle w:val="Titolo4"/>
        <w:keepNext w:val="0"/>
        <w:keepLines w:val="0"/>
        <w:suppressAutoHyphens/>
      </w:pPr>
      <w:bookmarkStart w:id="812" w:name="_Toc389508252"/>
      <w:bookmarkStart w:id="813" w:name="_Toc517745332"/>
      <w:r>
        <w:t>Non-ceramic</w:t>
      </w:r>
      <w:r w:rsidRPr="00D6101B">
        <w:t xml:space="preserve"> artefacts</w:t>
      </w:r>
      <w:bookmarkEnd w:id="812"/>
      <w:bookmarkEnd w:id="813"/>
    </w:p>
    <w:p w14:paraId="1184C162" w14:textId="77777777" w:rsidR="001A4F1A" w:rsidRDefault="001A4F1A" w:rsidP="00E858EF">
      <w:pPr>
        <w:suppressAutoHyphens/>
      </w:pPr>
      <w:r w:rsidRPr="00D6101B">
        <w:t xml:space="preserve">The presence of </w:t>
      </w:r>
      <w:r>
        <w:t>non-ceramic</w:t>
      </w:r>
      <w:r w:rsidRPr="00D6101B">
        <w:t xml:space="preserve"> artefacts has been registered in 24 tombs</w:t>
      </w:r>
      <w:r>
        <w:t>,</w:t>
      </w:r>
      <w:r w:rsidRPr="00D6101B">
        <w:t xml:space="preserve"> </w:t>
      </w:r>
      <w:r>
        <w:t xml:space="preserve">or </w:t>
      </w:r>
      <w:r w:rsidRPr="00D6101B">
        <w:t>71% of the sample of tombs for which grave goods assemblage information is available.</w:t>
      </w:r>
      <w:r>
        <w:t xml:space="preserve"> </w:t>
      </w:r>
      <w:r w:rsidRPr="00D6101B">
        <w:t xml:space="preserve">The </w:t>
      </w:r>
      <w:r>
        <w:t>most common items</w:t>
      </w:r>
      <w:r w:rsidRPr="00D6101B">
        <w:t xml:space="preserve"> are beads and whorls. </w:t>
      </w:r>
    </w:p>
    <w:p w14:paraId="2CFB79DC" w14:textId="77777777" w:rsidR="001A4F1A" w:rsidRPr="00D6101B" w:rsidRDefault="001A4F1A" w:rsidP="00E858EF">
      <w:pPr>
        <w:suppressAutoHyphens/>
      </w:pPr>
      <w:r>
        <w:tab/>
        <w:t>Regarding the occurrence of</w:t>
      </w:r>
      <w:r w:rsidRPr="00D6101B">
        <w:t xml:space="preserve"> beads, the vast majority of them come from the tomb at Kalochorafitis Priniara (258</w:t>
      </w:r>
      <w:r>
        <w:t>: three</w:t>
      </w:r>
      <w:r w:rsidRPr="00D6101B">
        <w:t xml:space="preserve"> necklaces of faience and glass</w:t>
      </w:r>
      <w:r>
        <w:t>-</w:t>
      </w:r>
      <w:r w:rsidRPr="00D6101B">
        <w:t>paste beads and one with</w:t>
      </w:r>
      <w:r>
        <w:t xml:space="preserve"> a</w:t>
      </w:r>
      <w:r w:rsidRPr="00D6101B">
        <w:t xml:space="preserve"> pendant) and the tomb at Goudies (134+ made of different materials </w:t>
      </w:r>
      <w:r>
        <w:t xml:space="preserve">– </w:t>
      </w:r>
      <w:r w:rsidRPr="00D6101B">
        <w:t xml:space="preserve">faience, glass </w:t>
      </w:r>
      <w:r>
        <w:t xml:space="preserve">and </w:t>
      </w:r>
      <w:r w:rsidRPr="00D6101B">
        <w:t>bone beads and small bronze rings, probably part of more than a single necklace)</w:t>
      </w:r>
      <w:r>
        <w:t>.</w:t>
      </w:r>
      <w:r w:rsidRPr="00D6101B">
        <w:t xml:space="preserve"> </w:t>
      </w:r>
      <w:r>
        <w:t>F</w:t>
      </w:r>
      <w:r w:rsidRPr="00D6101B">
        <w:t>or whorls</w:t>
      </w:r>
      <w:r>
        <w:t>,</w:t>
      </w:r>
      <w:r w:rsidRPr="00D6101B">
        <w:t xml:space="preserve"> 27 </w:t>
      </w:r>
      <w:r>
        <w:t>were found</w:t>
      </w:r>
      <w:r w:rsidRPr="00D6101B">
        <w:t xml:space="preserve"> in </w:t>
      </w:r>
      <w:r>
        <w:t>C</w:t>
      </w:r>
      <w:r w:rsidRPr="00D6101B">
        <w:t xml:space="preserve">hamber </w:t>
      </w:r>
      <w:r>
        <w:t>T</w:t>
      </w:r>
      <w:r w:rsidRPr="00D6101B">
        <w:t>om</w:t>
      </w:r>
      <w:r>
        <w:t>b</w:t>
      </w:r>
      <w:r w:rsidRPr="00D6101B">
        <w:t xml:space="preserve"> B at Kalochorafitis Anevolema.</w:t>
      </w:r>
    </w:p>
    <w:p w14:paraId="467EBBAC" w14:textId="77777777" w:rsidR="001A4F1A" w:rsidRPr="00D6101B" w:rsidRDefault="001A4F1A" w:rsidP="00E858EF">
      <w:pPr>
        <w:suppressAutoHyphens/>
      </w:pPr>
      <w:r>
        <w:tab/>
        <w:t xml:space="preserve">Regarding </w:t>
      </w:r>
      <w:r w:rsidRPr="00D6101B">
        <w:t xml:space="preserve">other items, the four </w:t>
      </w:r>
      <w:r>
        <w:t>most common</w:t>
      </w:r>
      <w:r w:rsidRPr="00D6101B">
        <w:t xml:space="preserve"> are rings, seals, razor</w:t>
      </w:r>
      <w:r>
        <w:t>s</w:t>
      </w:r>
      <w:r w:rsidRPr="00D6101B">
        <w:t xml:space="preserve"> and stone vessels. While the occurrence of razor</w:t>
      </w:r>
      <w:r>
        <w:t>s</w:t>
      </w:r>
      <w:r w:rsidRPr="00D6101B">
        <w:t xml:space="preserve"> and stone vessels is more or less </w:t>
      </w:r>
      <w:r>
        <w:t xml:space="preserve">equally </w:t>
      </w:r>
      <w:r w:rsidRPr="00D6101B">
        <w:t>distributed between the tombs in which they occur (</w:t>
      </w:r>
      <w:r>
        <w:t>one</w:t>
      </w:r>
      <w:r w:rsidRPr="00D6101B">
        <w:t xml:space="preserve"> or </w:t>
      </w:r>
      <w:r>
        <w:t>two</w:t>
      </w:r>
      <w:r w:rsidRPr="00D6101B">
        <w:t xml:space="preserve"> items per tomb), </w:t>
      </w:r>
      <w:r>
        <w:t>there is</w:t>
      </w:r>
      <w:r w:rsidRPr="00D6101B">
        <w:t xml:space="preserve"> a high concentration of rings at Liliana </w:t>
      </w:r>
      <w:r>
        <w:t>T</w:t>
      </w:r>
      <w:r w:rsidRPr="00D6101B">
        <w:t>omb A (7)</w:t>
      </w:r>
      <w:r>
        <w:t>,</w:t>
      </w:r>
      <w:r w:rsidRPr="00D6101B">
        <w:t xml:space="preserve"> and a high number of seals (5) </w:t>
      </w:r>
      <w:r>
        <w:t>were</w:t>
      </w:r>
      <w:r w:rsidRPr="00D6101B">
        <w:t xml:space="preserve"> found at Kalochorafitis Anevolema </w:t>
      </w:r>
      <w:r>
        <w:t>T</w:t>
      </w:r>
      <w:r w:rsidRPr="00D6101B">
        <w:t>omb B.</w:t>
      </w:r>
    </w:p>
    <w:p w14:paraId="06F28BA8" w14:textId="77777777" w:rsidR="001A4F1A" w:rsidRDefault="001A4F1A" w:rsidP="00E858EF">
      <w:pPr>
        <w:suppressAutoHyphens/>
      </w:pPr>
      <w:r>
        <w:tab/>
        <w:t>Regarding</w:t>
      </w:r>
      <w:r w:rsidRPr="00D6101B">
        <w:t xml:space="preserve"> specific type</w:t>
      </w:r>
      <w:r>
        <w:t>s</w:t>
      </w:r>
      <w:r w:rsidRPr="00D6101B">
        <w:t xml:space="preserve"> of objects that occur in this region</w:t>
      </w:r>
      <w:r>
        <w:t>,</w:t>
      </w:r>
      <w:r w:rsidRPr="00D6101B">
        <w:t xml:space="preserve"> there are fibulae (</w:t>
      </w:r>
      <w:r>
        <w:t>two</w:t>
      </w:r>
      <w:r w:rsidRPr="00D6101B">
        <w:t xml:space="preserve"> in bronze and </w:t>
      </w:r>
      <w:r>
        <w:t xml:space="preserve">one </w:t>
      </w:r>
      <w:r w:rsidRPr="00D6101B">
        <w:t>in glass) from two tombs at Apodoulou Frangou to Louri.</w:t>
      </w:r>
      <w:r>
        <w:t xml:space="preserve"> </w:t>
      </w:r>
      <w:r w:rsidRPr="00D6101B">
        <w:t>The occurrence of sword</w:t>
      </w:r>
      <w:r>
        <w:t>s</w:t>
      </w:r>
      <w:r w:rsidRPr="00D6101B">
        <w:t xml:space="preserve"> and chisel</w:t>
      </w:r>
      <w:r>
        <w:t>s</w:t>
      </w:r>
      <w:r w:rsidRPr="00D6101B">
        <w:t xml:space="preserve"> ha</w:t>
      </w:r>
      <w:r>
        <w:t>s</w:t>
      </w:r>
      <w:r w:rsidRPr="00D6101B">
        <w:t xml:space="preserve"> not been registered in any secure tombs with larnax burials in this region.</w:t>
      </w:r>
    </w:p>
    <w:p w14:paraId="21E45B2A" w14:textId="77777777" w:rsidR="001A4F1A" w:rsidRPr="00D6101B" w:rsidRDefault="001A4F1A" w:rsidP="00E858EF">
      <w:pPr>
        <w:suppressAutoHyphens/>
      </w:pPr>
    </w:p>
    <w:p w14:paraId="508A1766" w14:textId="48D9C607" w:rsidR="001A4F1A" w:rsidRPr="00D6101B" w:rsidRDefault="001A4F1A" w:rsidP="00E858EF">
      <w:pPr>
        <w:pStyle w:val="Testofumetto"/>
        <w:suppressAutoHyphens/>
      </w:pPr>
      <w:bookmarkStart w:id="814" w:name="_Toc520212610"/>
      <w:r>
        <w:t>Table 4-35</w:t>
      </w:r>
      <w:r w:rsidR="00DC6690">
        <w:t>.</w:t>
      </w:r>
      <w:r>
        <w:t xml:space="preserve"> Beads and whorls occurrence</w:t>
      </w:r>
      <w:r w:rsidR="007B628E">
        <w:t>,</w:t>
      </w:r>
      <w:r>
        <w:t xml:space="preserve"> Mesara area</w:t>
      </w:r>
      <w:bookmarkEnd w:id="8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3"/>
        <w:gridCol w:w="2888"/>
        <w:gridCol w:w="2661"/>
      </w:tblGrid>
      <w:tr w:rsidR="001A4F1A" w:rsidRPr="000C61EC" w14:paraId="1ADE5D6C" w14:textId="77777777" w:rsidTr="000C61EC">
        <w:tc>
          <w:tcPr>
            <w:tcW w:w="2923" w:type="dxa"/>
          </w:tcPr>
          <w:p w14:paraId="5CB08649" w14:textId="77777777" w:rsidR="001A4F1A" w:rsidRPr="000C61EC" w:rsidRDefault="001A4F1A" w:rsidP="00E858EF">
            <w:pPr>
              <w:suppressAutoHyphens/>
              <w:rPr>
                <w:sz w:val="20"/>
              </w:rPr>
            </w:pPr>
          </w:p>
        </w:tc>
        <w:tc>
          <w:tcPr>
            <w:tcW w:w="2888" w:type="dxa"/>
          </w:tcPr>
          <w:p w14:paraId="0F02CA6F" w14:textId="3F114101" w:rsidR="001A4F1A" w:rsidRPr="000C61EC" w:rsidRDefault="001A4F1A" w:rsidP="00E858EF">
            <w:pPr>
              <w:suppressAutoHyphens/>
              <w:jc w:val="center"/>
              <w:rPr>
                <w:sz w:val="20"/>
              </w:rPr>
            </w:pPr>
            <w:r w:rsidRPr="000C61EC">
              <w:rPr>
                <w:rFonts w:eastAsia="Times New Roman"/>
                <w:color w:val="000000"/>
                <w:sz w:val="20"/>
              </w:rPr>
              <w:t>Bead</w:t>
            </w:r>
          </w:p>
        </w:tc>
        <w:tc>
          <w:tcPr>
            <w:tcW w:w="2661" w:type="dxa"/>
          </w:tcPr>
          <w:p w14:paraId="5C9352DA" w14:textId="13F7871B" w:rsidR="001A4F1A" w:rsidRPr="000C61EC" w:rsidRDefault="001A4F1A" w:rsidP="00E858EF">
            <w:pPr>
              <w:suppressAutoHyphens/>
              <w:jc w:val="center"/>
              <w:rPr>
                <w:sz w:val="20"/>
              </w:rPr>
            </w:pPr>
            <w:r w:rsidRPr="000C61EC">
              <w:rPr>
                <w:rFonts w:eastAsia="Times New Roman"/>
                <w:color w:val="000000"/>
                <w:sz w:val="20"/>
              </w:rPr>
              <w:t>Whorl</w:t>
            </w:r>
          </w:p>
        </w:tc>
      </w:tr>
      <w:tr w:rsidR="001A4F1A" w:rsidRPr="000C61EC" w14:paraId="37E0FAE5" w14:textId="77777777" w:rsidTr="000C61EC">
        <w:tc>
          <w:tcPr>
            <w:tcW w:w="2923" w:type="dxa"/>
          </w:tcPr>
          <w:p w14:paraId="5FB2C51C" w14:textId="77777777" w:rsidR="001A4F1A" w:rsidRPr="000C61EC" w:rsidRDefault="001A4F1A" w:rsidP="00E858EF">
            <w:pPr>
              <w:suppressAutoHyphens/>
              <w:rPr>
                <w:sz w:val="20"/>
              </w:rPr>
            </w:pPr>
            <w:r w:rsidRPr="000C61EC">
              <w:rPr>
                <w:sz w:val="20"/>
              </w:rPr>
              <w:t>Number of items</w:t>
            </w:r>
          </w:p>
        </w:tc>
        <w:tc>
          <w:tcPr>
            <w:tcW w:w="2888" w:type="dxa"/>
          </w:tcPr>
          <w:p w14:paraId="6840AAF2" w14:textId="77777777" w:rsidR="001A4F1A" w:rsidRPr="000C61EC" w:rsidRDefault="001A4F1A" w:rsidP="00E858EF">
            <w:pPr>
              <w:suppressAutoHyphens/>
              <w:jc w:val="center"/>
              <w:rPr>
                <w:sz w:val="20"/>
              </w:rPr>
            </w:pPr>
            <w:r w:rsidRPr="000C61EC">
              <w:rPr>
                <w:sz w:val="20"/>
              </w:rPr>
              <w:t>452</w:t>
            </w:r>
          </w:p>
        </w:tc>
        <w:tc>
          <w:tcPr>
            <w:tcW w:w="2661" w:type="dxa"/>
          </w:tcPr>
          <w:p w14:paraId="13EAF5B6" w14:textId="77777777" w:rsidR="001A4F1A" w:rsidRPr="000C61EC" w:rsidRDefault="001A4F1A" w:rsidP="00E858EF">
            <w:pPr>
              <w:suppressAutoHyphens/>
              <w:jc w:val="center"/>
              <w:rPr>
                <w:sz w:val="20"/>
              </w:rPr>
            </w:pPr>
            <w:r w:rsidRPr="000C61EC">
              <w:rPr>
                <w:sz w:val="20"/>
              </w:rPr>
              <w:t>67</w:t>
            </w:r>
          </w:p>
        </w:tc>
      </w:tr>
      <w:tr w:rsidR="001A4F1A" w:rsidRPr="000C61EC" w14:paraId="3D576A45" w14:textId="77777777" w:rsidTr="000C61EC">
        <w:tc>
          <w:tcPr>
            <w:tcW w:w="2923" w:type="dxa"/>
          </w:tcPr>
          <w:p w14:paraId="4D05EA5F" w14:textId="77777777" w:rsidR="001A4F1A" w:rsidRPr="000C61EC" w:rsidRDefault="001A4F1A" w:rsidP="00E858EF">
            <w:pPr>
              <w:suppressAutoHyphens/>
              <w:rPr>
                <w:sz w:val="20"/>
              </w:rPr>
            </w:pPr>
            <w:r w:rsidRPr="000C61EC">
              <w:rPr>
                <w:sz w:val="20"/>
              </w:rPr>
              <w:t>Number of tombs</w:t>
            </w:r>
          </w:p>
        </w:tc>
        <w:tc>
          <w:tcPr>
            <w:tcW w:w="2888" w:type="dxa"/>
          </w:tcPr>
          <w:p w14:paraId="76FD2DC7" w14:textId="77777777" w:rsidR="001A4F1A" w:rsidRPr="000C61EC" w:rsidRDefault="001A4F1A" w:rsidP="00E858EF">
            <w:pPr>
              <w:suppressAutoHyphens/>
              <w:jc w:val="center"/>
              <w:rPr>
                <w:sz w:val="20"/>
              </w:rPr>
            </w:pPr>
            <w:r w:rsidRPr="000C61EC">
              <w:rPr>
                <w:sz w:val="20"/>
              </w:rPr>
              <w:t>9</w:t>
            </w:r>
          </w:p>
        </w:tc>
        <w:tc>
          <w:tcPr>
            <w:tcW w:w="2661" w:type="dxa"/>
          </w:tcPr>
          <w:p w14:paraId="69D22161" w14:textId="77777777" w:rsidR="001A4F1A" w:rsidRPr="000C61EC" w:rsidRDefault="001A4F1A" w:rsidP="00E858EF">
            <w:pPr>
              <w:suppressAutoHyphens/>
              <w:jc w:val="center"/>
              <w:rPr>
                <w:sz w:val="20"/>
              </w:rPr>
            </w:pPr>
            <w:r w:rsidRPr="000C61EC">
              <w:rPr>
                <w:sz w:val="20"/>
              </w:rPr>
              <w:t>10</w:t>
            </w:r>
          </w:p>
        </w:tc>
      </w:tr>
    </w:tbl>
    <w:p w14:paraId="5D949F59" w14:textId="77777777" w:rsidR="001A4F1A" w:rsidRPr="00D6101B" w:rsidRDefault="001A4F1A" w:rsidP="00E858EF">
      <w:pPr>
        <w:suppressAutoHyphens/>
      </w:pPr>
    </w:p>
    <w:p w14:paraId="29B201B5" w14:textId="658ECF36" w:rsidR="001A4F1A" w:rsidRPr="00D6101B" w:rsidRDefault="001A4F1A" w:rsidP="00E858EF">
      <w:pPr>
        <w:pStyle w:val="Testofumetto"/>
        <w:suppressAutoHyphens/>
      </w:pPr>
      <w:bookmarkStart w:id="815" w:name="_Toc520212611"/>
      <w:r>
        <w:t>Table 4- 36</w:t>
      </w:r>
      <w:r w:rsidR="00DC6690">
        <w:t>.</w:t>
      </w:r>
      <w:r>
        <w:t xml:space="preserve"> Most common non-ceramic item types</w:t>
      </w:r>
      <w:r w:rsidR="007B628E">
        <w:t>,</w:t>
      </w:r>
      <w:r>
        <w:t xml:space="preserve"> Mesara area</w:t>
      </w:r>
      <w:bookmarkEnd w:id="8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1808"/>
        <w:gridCol w:w="1621"/>
        <w:gridCol w:w="1579"/>
        <w:gridCol w:w="1581"/>
      </w:tblGrid>
      <w:tr w:rsidR="001A4F1A" w:rsidRPr="000C61EC" w14:paraId="3374BF2C" w14:textId="77777777" w:rsidTr="000C61EC">
        <w:tc>
          <w:tcPr>
            <w:tcW w:w="1924" w:type="dxa"/>
          </w:tcPr>
          <w:p w14:paraId="2CF85792" w14:textId="77777777" w:rsidR="001A4F1A" w:rsidRPr="000C61EC" w:rsidRDefault="001A4F1A" w:rsidP="00E858EF">
            <w:pPr>
              <w:suppressAutoHyphens/>
              <w:rPr>
                <w:sz w:val="20"/>
              </w:rPr>
            </w:pPr>
          </w:p>
        </w:tc>
        <w:tc>
          <w:tcPr>
            <w:tcW w:w="1808" w:type="dxa"/>
          </w:tcPr>
          <w:p w14:paraId="4E443535" w14:textId="77777777" w:rsidR="001A4F1A" w:rsidRPr="000C61EC" w:rsidRDefault="001A4F1A" w:rsidP="00E858EF">
            <w:pPr>
              <w:suppressAutoHyphens/>
              <w:jc w:val="center"/>
              <w:rPr>
                <w:rFonts w:eastAsia="Times New Roman"/>
                <w:b/>
                <w:bCs/>
                <w:color w:val="000000"/>
                <w:sz w:val="20"/>
              </w:rPr>
            </w:pPr>
            <w:r w:rsidRPr="000C61EC">
              <w:rPr>
                <w:rFonts w:eastAsia="Times New Roman"/>
                <w:color w:val="000000"/>
                <w:sz w:val="20"/>
              </w:rPr>
              <w:t>Ring</w:t>
            </w:r>
          </w:p>
        </w:tc>
        <w:tc>
          <w:tcPr>
            <w:tcW w:w="1621" w:type="dxa"/>
          </w:tcPr>
          <w:p w14:paraId="64D5BF34" w14:textId="1A06C2B8" w:rsidR="001A4F1A" w:rsidRPr="000C61EC" w:rsidRDefault="001A4F1A" w:rsidP="00E858EF">
            <w:pPr>
              <w:suppressAutoHyphens/>
              <w:jc w:val="center"/>
              <w:rPr>
                <w:sz w:val="20"/>
              </w:rPr>
            </w:pPr>
            <w:r w:rsidRPr="000C61EC">
              <w:rPr>
                <w:rFonts w:eastAsia="Times New Roman"/>
                <w:color w:val="000000"/>
                <w:sz w:val="20"/>
              </w:rPr>
              <w:t>Seal</w:t>
            </w:r>
          </w:p>
        </w:tc>
        <w:tc>
          <w:tcPr>
            <w:tcW w:w="1579" w:type="dxa"/>
          </w:tcPr>
          <w:p w14:paraId="77151896"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Razor</w:t>
            </w:r>
          </w:p>
        </w:tc>
        <w:tc>
          <w:tcPr>
            <w:tcW w:w="1581" w:type="dxa"/>
          </w:tcPr>
          <w:p w14:paraId="7F5D2581"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Stone vessel</w:t>
            </w:r>
          </w:p>
        </w:tc>
      </w:tr>
      <w:tr w:rsidR="001A4F1A" w:rsidRPr="000C61EC" w14:paraId="0134CE7F" w14:textId="77777777" w:rsidTr="000C61EC">
        <w:tc>
          <w:tcPr>
            <w:tcW w:w="1924" w:type="dxa"/>
          </w:tcPr>
          <w:p w14:paraId="20D6D7D3" w14:textId="77777777" w:rsidR="001A4F1A" w:rsidRPr="000C61EC" w:rsidRDefault="001A4F1A" w:rsidP="00E858EF">
            <w:pPr>
              <w:suppressAutoHyphens/>
              <w:rPr>
                <w:sz w:val="20"/>
              </w:rPr>
            </w:pPr>
            <w:r w:rsidRPr="000C61EC">
              <w:rPr>
                <w:sz w:val="20"/>
              </w:rPr>
              <w:t>Number of items</w:t>
            </w:r>
          </w:p>
        </w:tc>
        <w:tc>
          <w:tcPr>
            <w:tcW w:w="1808" w:type="dxa"/>
          </w:tcPr>
          <w:p w14:paraId="6D226F26" w14:textId="77777777" w:rsidR="001A4F1A" w:rsidRPr="000C61EC" w:rsidRDefault="001A4F1A" w:rsidP="00E858EF">
            <w:pPr>
              <w:suppressAutoHyphens/>
              <w:jc w:val="center"/>
              <w:rPr>
                <w:sz w:val="20"/>
              </w:rPr>
            </w:pPr>
            <w:r w:rsidRPr="000C61EC">
              <w:rPr>
                <w:sz w:val="20"/>
              </w:rPr>
              <w:t>17</w:t>
            </w:r>
          </w:p>
        </w:tc>
        <w:tc>
          <w:tcPr>
            <w:tcW w:w="1621" w:type="dxa"/>
          </w:tcPr>
          <w:p w14:paraId="5D0EF92B" w14:textId="77777777" w:rsidR="001A4F1A" w:rsidRPr="000C61EC" w:rsidRDefault="001A4F1A" w:rsidP="00E858EF">
            <w:pPr>
              <w:suppressAutoHyphens/>
              <w:jc w:val="center"/>
              <w:rPr>
                <w:sz w:val="20"/>
              </w:rPr>
            </w:pPr>
            <w:r w:rsidRPr="000C61EC">
              <w:rPr>
                <w:sz w:val="20"/>
              </w:rPr>
              <w:t>11</w:t>
            </w:r>
          </w:p>
        </w:tc>
        <w:tc>
          <w:tcPr>
            <w:tcW w:w="1579" w:type="dxa"/>
          </w:tcPr>
          <w:p w14:paraId="2279C3E9" w14:textId="77777777" w:rsidR="001A4F1A" w:rsidRPr="000C61EC" w:rsidRDefault="001A4F1A" w:rsidP="00E858EF">
            <w:pPr>
              <w:suppressAutoHyphens/>
              <w:jc w:val="center"/>
              <w:rPr>
                <w:sz w:val="20"/>
              </w:rPr>
            </w:pPr>
            <w:r w:rsidRPr="000C61EC">
              <w:rPr>
                <w:sz w:val="20"/>
              </w:rPr>
              <w:t>9</w:t>
            </w:r>
          </w:p>
        </w:tc>
        <w:tc>
          <w:tcPr>
            <w:tcW w:w="1581" w:type="dxa"/>
          </w:tcPr>
          <w:p w14:paraId="345D7A97" w14:textId="77777777" w:rsidR="001A4F1A" w:rsidRPr="000C61EC" w:rsidRDefault="001A4F1A" w:rsidP="00E858EF">
            <w:pPr>
              <w:suppressAutoHyphens/>
              <w:jc w:val="center"/>
              <w:rPr>
                <w:sz w:val="20"/>
              </w:rPr>
            </w:pPr>
            <w:r w:rsidRPr="000C61EC">
              <w:rPr>
                <w:sz w:val="20"/>
              </w:rPr>
              <w:t>6</w:t>
            </w:r>
          </w:p>
        </w:tc>
      </w:tr>
      <w:tr w:rsidR="001A4F1A" w:rsidRPr="000C61EC" w14:paraId="6353985B" w14:textId="77777777" w:rsidTr="000C61EC">
        <w:tc>
          <w:tcPr>
            <w:tcW w:w="1924" w:type="dxa"/>
          </w:tcPr>
          <w:p w14:paraId="61E2973B" w14:textId="77777777" w:rsidR="001A4F1A" w:rsidRPr="000C61EC" w:rsidRDefault="001A4F1A" w:rsidP="00E858EF">
            <w:pPr>
              <w:suppressAutoHyphens/>
              <w:rPr>
                <w:sz w:val="20"/>
              </w:rPr>
            </w:pPr>
            <w:r w:rsidRPr="000C61EC">
              <w:rPr>
                <w:sz w:val="20"/>
              </w:rPr>
              <w:t>Number of tombs</w:t>
            </w:r>
          </w:p>
        </w:tc>
        <w:tc>
          <w:tcPr>
            <w:tcW w:w="1808" w:type="dxa"/>
          </w:tcPr>
          <w:p w14:paraId="4CD09C02" w14:textId="77777777" w:rsidR="001A4F1A" w:rsidRPr="000C61EC" w:rsidRDefault="001A4F1A" w:rsidP="00E858EF">
            <w:pPr>
              <w:suppressAutoHyphens/>
              <w:jc w:val="center"/>
              <w:rPr>
                <w:sz w:val="20"/>
              </w:rPr>
            </w:pPr>
            <w:r w:rsidRPr="000C61EC">
              <w:rPr>
                <w:sz w:val="20"/>
              </w:rPr>
              <w:t>8</w:t>
            </w:r>
          </w:p>
        </w:tc>
        <w:tc>
          <w:tcPr>
            <w:tcW w:w="1621" w:type="dxa"/>
          </w:tcPr>
          <w:p w14:paraId="79FDDB67" w14:textId="77777777" w:rsidR="001A4F1A" w:rsidRPr="000C61EC" w:rsidRDefault="001A4F1A" w:rsidP="00E858EF">
            <w:pPr>
              <w:suppressAutoHyphens/>
              <w:jc w:val="center"/>
              <w:rPr>
                <w:sz w:val="20"/>
              </w:rPr>
            </w:pPr>
            <w:r w:rsidRPr="000C61EC">
              <w:rPr>
                <w:sz w:val="20"/>
              </w:rPr>
              <w:t>5</w:t>
            </w:r>
          </w:p>
        </w:tc>
        <w:tc>
          <w:tcPr>
            <w:tcW w:w="1579" w:type="dxa"/>
          </w:tcPr>
          <w:p w14:paraId="1AD70717" w14:textId="77777777" w:rsidR="001A4F1A" w:rsidRPr="000C61EC" w:rsidRDefault="001A4F1A" w:rsidP="00E858EF">
            <w:pPr>
              <w:suppressAutoHyphens/>
              <w:jc w:val="center"/>
              <w:rPr>
                <w:sz w:val="20"/>
              </w:rPr>
            </w:pPr>
            <w:r w:rsidRPr="000C61EC">
              <w:rPr>
                <w:sz w:val="20"/>
              </w:rPr>
              <w:t>7</w:t>
            </w:r>
          </w:p>
        </w:tc>
        <w:tc>
          <w:tcPr>
            <w:tcW w:w="1581" w:type="dxa"/>
          </w:tcPr>
          <w:p w14:paraId="4637BCD2" w14:textId="77777777" w:rsidR="001A4F1A" w:rsidRPr="000C61EC" w:rsidRDefault="001A4F1A" w:rsidP="00E858EF">
            <w:pPr>
              <w:suppressAutoHyphens/>
              <w:jc w:val="center"/>
              <w:rPr>
                <w:sz w:val="20"/>
              </w:rPr>
            </w:pPr>
            <w:r w:rsidRPr="000C61EC">
              <w:rPr>
                <w:sz w:val="20"/>
              </w:rPr>
              <w:t>4</w:t>
            </w:r>
          </w:p>
        </w:tc>
      </w:tr>
    </w:tbl>
    <w:p w14:paraId="1908D39F" w14:textId="77777777" w:rsidR="001A4F1A" w:rsidRPr="00D6101B" w:rsidRDefault="001A4F1A" w:rsidP="00E858EF">
      <w:pPr>
        <w:suppressAutoHyphens/>
      </w:pPr>
    </w:p>
    <w:p w14:paraId="02AB3835" w14:textId="77777777" w:rsidR="001A4F1A" w:rsidRPr="00D6101B" w:rsidRDefault="001A4F1A" w:rsidP="00E858EF">
      <w:pPr>
        <w:suppressAutoHyphens/>
      </w:pPr>
      <w:r>
        <w:rPr>
          <w:noProof/>
          <w:lang w:val="it-IT"/>
        </w:rPr>
        <w:drawing>
          <wp:inline distT="0" distB="0" distL="0" distR="0" wp14:anchorId="4A8DF00B" wp14:editId="4305CE9E">
            <wp:extent cx="5597288" cy="7043827"/>
            <wp:effectExtent l="0" t="0" r="3810" b="5080"/>
            <wp:docPr id="103" name="Gra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7D97FAA1" w14:textId="445C9DC8" w:rsidR="001A4F1A" w:rsidRPr="00D6101B" w:rsidRDefault="001A4F1A" w:rsidP="00E858EF">
      <w:pPr>
        <w:pStyle w:val="Didascalia"/>
        <w:suppressAutoHyphens/>
      </w:pPr>
      <w:bookmarkStart w:id="816" w:name="_Toc520212374"/>
      <w:r>
        <w:t>Figure 4-36</w:t>
      </w:r>
      <w:r w:rsidR="009D7CB9">
        <w:t>.</w:t>
      </w:r>
      <w:r>
        <w:t xml:space="preserve"> Occurrence of non-ceramic item types in the Mesara area</w:t>
      </w:r>
      <w:bookmarkEnd w:id="816"/>
    </w:p>
    <w:p w14:paraId="4A76E73B" w14:textId="77777777" w:rsidR="001A4F1A" w:rsidRPr="00D6101B" w:rsidRDefault="001A4F1A" w:rsidP="00E858EF">
      <w:pPr>
        <w:pStyle w:val="Didascalia"/>
        <w:suppressAutoHyphens/>
      </w:pPr>
      <w:r>
        <w:t xml:space="preserve"> </w:t>
      </w:r>
    </w:p>
    <w:p w14:paraId="4E918CD6" w14:textId="77777777" w:rsidR="001A4F1A" w:rsidRPr="00D6101B" w:rsidRDefault="001A4F1A" w:rsidP="00E858EF">
      <w:pPr>
        <w:pStyle w:val="Titolo4"/>
        <w:keepNext w:val="0"/>
        <w:keepLines w:val="0"/>
        <w:suppressAutoHyphens/>
      </w:pPr>
      <w:bookmarkStart w:id="817" w:name="_Toc389508253"/>
      <w:bookmarkStart w:id="818" w:name="_Toc517745333"/>
      <w:r w:rsidRPr="00D6101B">
        <w:t>Pottery types</w:t>
      </w:r>
      <w:bookmarkEnd w:id="817"/>
      <w:bookmarkEnd w:id="818"/>
    </w:p>
    <w:p w14:paraId="40D4D5BE" w14:textId="77777777" w:rsidR="001A4F1A" w:rsidRPr="00D6101B" w:rsidRDefault="001A4F1A" w:rsidP="00E858EF">
      <w:pPr>
        <w:suppressAutoHyphens/>
      </w:pPr>
      <w:r w:rsidRPr="00D6101B">
        <w:t>In the Mesara area</w:t>
      </w:r>
      <w:r>
        <w:t>,</w:t>
      </w:r>
      <w:r w:rsidRPr="00D6101B">
        <w:t xml:space="preserve"> pottery </w:t>
      </w:r>
      <w:r>
        <w:t>is present</w:t>
      </w:r>
      <w:r w:rsidRPr="00D6101B">
        <w:t xml:space="preserve"> in all the tombs for which information about the presence of grave goods assemblage </w:t>
      </w:r>
      <w:r>
        <w:t>is</w:t>
      </w:r>
      <w:r w:rsidRPr="00D6101B">
        <w:t xml:space="preserve"> available (34). </w:t>
      </w:r>
      <w:r>
        <w:t>However, for</w:t>
      </w:r>
      <w:r w:rsidRPr="00D6101B">
        <w:t xml:space="preserve"> </w:t>
      </w:r>
      <w:r>
        <w:t>four</w:t>
      </w:r>
      <w:r w:rsidRPr="00D6101B">
        <w:t xml:space="preserve"> tombs</w:t>
      </w:r>
      <w:r>
        <w:t>,</w:t>
      </w:r>
      <w:r w:rsidRPr="00D6101B">
        <w:t xml:space="preserve"> the only information available concern</w:t>
      </w:r>
      <w:r>
        <w:t>s</w:t>
      </w:r>
      <w:r w:rsidRPr="00D6101B">
        <w:t xml:space="preserve"> the presence of pottery materials and no information about</w:t>
      </w:r>
      <w:r>
        <w:t xml:space="preserve"> the numbers of</w:t>
      </w:r>
      <w:r w:rsidRPr="00D6101B">
        <w:t xml:space="preserve"> pottery types </w:t>
      </w:r>
      <w:r>
        <w:t>is</w:t>
      </w:r>
      <w:r w:rsidRPr="00D6101B">
        <w:t xml:space="preserve"> available.</w:t>
      </w:r>
      <w:r>
        <w:t xml:space="preserve"> </w:t>
      </w:r>
      <w:r w:rsidRPr="00D6101B">
        <w:t>Consequently, the analysis</w:t>
      </w:r>
      <w:r>
        <w:t xml:space="preserve"> of pottery types</w:t>
      </w:r>
      <w:r w:rsidRPr="00D6101B">
        <w:t xml:space="preserve"> </w:t>
      </w:r>
      <w:r>
        <w:t>is</w:t>
      </w:r>
      <w:r w:rsidRPr="00D6101B">
        <w:t xml:space="preserve"> based on a sample of 30 tombs. Unfortunately</w:t>
      </w:r>
      <w:r>
        <w:t>,</w:t>
      </w:r>
      <w:r w:rsidRPr="00D6101B">
        <w:t xml:space="preserve"> for </w:t>
      </w:r>
      <w:r>
        <w:t>five</w:t>
      </w:r>
      <w:r w:rsidRPr="00D6101B">
        <w:t xml:space="preserve"> tombs</w:t>
      </w:r>
      <w:r>
        <w:t>,</w:t>
      </w:r>
      <w:r w:rsidRPr="00D6101B">
        <w:t xml:space="preserve"> </w:t>
      </w:r>
      <w:r>
        <w:t xml:space="preserve">the </w:t>
      </w:r>
      <w:r w:rsidRPr="00D6101B">
        <w:t>informat</w:t>
      </w:r>
      <w:r>
        <w:t>ion about pottery occurrence is</w:t>
      </w:r>
      <w:r w:rsidRPr="00D6101B">
        <w:t xml:space="preserve"> only partial (no fully published context for the re</w:t>
      </w:r>
      <w:r>
        <w:t>used</w:t>
      </w:r>
      <w:r w:rsidRPr="00D6101B">
        <w:t xml:space="preserve"> tholos </w:t>
      </w:r>
      <w:r>
        <w:t>at</w:t>
      </w:r>
      <w:r w:rsidRPr="00D6101B">
        <w:t xml:space="preserve"> Kamilari; Liliana tombs A, D, E;</w:t>
      </w:r>
      <w:r>
        <w:t xml:space="preserve"> or the</w:t>
      </w:r>
      <w:r w:rsidRPr="00D6101B">
        <w:t xml:space="preserve"> chamber tomb at Vasiliki Anogeia).</w:t>
      </w:r>
      <w:r>
        <w:t xml:space="preserve"> The number of p</w:t>
      </w:r>
      <w:r w:rsidRPr="00D6101B">
        <w:t xml:space="preserve">ottery types registered </w:t>
      </w:r>
      <w:r>
        <w:t>is</w:t>
      </w:r>
      <w:r w:rsidRPr="00D6101B">
        <w:t xml:space="preserve"> </w:t>
      </w:r>
      <w:r>
        <w:t>15</w:t>
      </w:r>
      <w:r w:rsidRPr="00D6101B">
        <w:t>. The four most common types are stirrup j</w:t>
      </w:r>
      <w:r>
        <w:t>ars, jugs, cups and goblets. The</w:t>
      </w:r>
      <w:r w:rsidRPr="00D6101B">
        <w:t xml:space="preserve">se are also the most popular forms </w:t>
      </w:r>
      <w:r>
        <w:t xml:space="preserve">in relation to </w:t>
      </w:r>
      <w:r w:rsidRPr="00D6101B">
        <w:t>the number of tombs in which they have been found.</w:t>
      </w:r>
    </w:p>
    <w:p w14:paraId="4018B85C" w14:textId="77777777" w:rsidR="001A4F1A" w:rsidRPr="00D6101B" w:rsidRDefault="001A4F1A" w:rsidP="00E858EF">
      <w:pPr>
        <w:suppressAutoHyphens/>
      </w:pPr>
      <w:r>
        <w:tab/>
      </w:r>
      <w:r w:rsidRPr="00D6101B">
        <w:t>The</w:t>
      </w:r>
      <w:r>
        <w:t>re are ten</w:t>
      </w:r>
      <w:r w:rsidRPr="00D6101B">
        <w:t xml:space="preserve"> pottery types</w:t>
      </w:r>
      <w:r>
        <w:t xml:space="preserve"> that </w:t>
      </w:r>
      <w:r w:rsidRPr="00D6101B">
        <w:t>have not been found in association with secure tombs with larnakes</w:t>
      </w:r>
      <w:r>
        <w:t xml:space="preserve"> in this region</w:t>
      </w:r>
      <w:r w:rsidRPr="00D6101B">
        <w:t>: rhyton, kernos, ring vase, tankard, askos, ladle,</w:t>
      </w:r>
      <w:r>
        <w:t xml:space="preserve"> amphora,</w:t>
      </w:r>
      <w:r w:rsidRPr="00D6101B">
        <w:t xml:space="preserve"> thelastron, cauldron</w:t>
      </w:r>
      <w:r>
        <w:t xml:space="preserve"> and</w:t>
      </w:r>
      <w:r w:rsidRPr="00D6101B">
        <w:t xml:space="preserve"> brazier. Feeding bottles and bird</w:t>
      </w:r>
      <w:r>
        <w:t>-</w:t>
      </w:r>
      <w:r w:rsidRPr="00D6101B">
        <w:t>shape vases are peculiar forms that occur exclusively in tombs at Kalochoraphitis.</w:t>
      </w:r>
      <w:r>
        <w:t xml:space="preserve"> </w:t>
      </w:r>
      <w:r w:rsidRPr="00D6101B">
        <w:t xml:space="preserve">The cemetery </w:t>
      </w:r>
      <w:r>
        <w:t>at</w:t>
      </w:r>
      <w:r w:rsidRPr="00D6101B">
        <w:t xml:space="preserve"> Kalochorafitis </w:t>
      </w:r>
      <w:r>
        <w:t>is notable</w:t>
      </w:r>
      <w:r w:rsidRPr="00D6101B">
        <w:t xml:space="preserve"> also for the number of stirrup jars </w:t>
      </w:r>
      <w:r>
        <w:t>found</w:t>
      </w:r>
      <w:r w:rsidRPr="00D6101B">
        <w:t xml:space="preserve"> in chamber tombs with larnakes (60% of the total number of stirrup jars from the Mesara area </w:t>
      </w:r>
      <w:r>
        <w:t>were found</w:t>
      </w:r>
      <w:r w:rsidRPr="00D6101B">
        <w:t xml:space="preserve"> in the four chamber tombs with larnakes from Kalochorafitis Anevolema and Priniara), with a maximum of 50 stirrup jars found in </w:t>
      </w:r>
      <w:r>
        <w:t>T</w:t>
      </w:r>
      <w:r w:rsidRPr="00D6101B">
        <w:t>omb B at Kalochorafitis Anevolema (Karetsou</w:t>
      </w:r>
      <w:r>
        <w:t xml:space="preserve"> and</w:t>
      </w:r>
      <w:r w:rsidRPr="00D6101B">
        <w:t xml:space="preserve"> Girella 2015: 220). </w:t>
      </w:r>
    </w:p>
    <w:p w14:paraId="0F656F33" w14:textId="77777777" w:rsidR="001A4F1A" w:rsidRDefault="001A4F1A" w:rsidP="00E858EF">
      <w:pPr>
        <w:suppressAutoHyphens/>
      </w:pPr>
    </w:p>
    <w:p w14:paraId="4167BFD5" w14:textId="29185386" w:rsidR="001A4F1A" w:rsidRPr="00D6101B" w:rsidRDefault="001A4F1A" w:rsidP="00E858EF">
      <w:pPr>
        <w:pStyle w:val="Testofumetto"/>
        <w:suppressAutoHyphens/>
      </w:pPr>
      <w:bookmarkStart w:id="819" w:name="_Toc520212612"/>
      <w:r>
        <w:t>Table 4-37</w:t>
      </w:r>
      <w:r w:rsidR="00AF2BE8">
        <w:t>.</w:t>
      </w:r>
      <w:r>
        <w:t xml:space="preserve"> Most common pottery types</w:t>
      </w:r>
      <w:r w:rsidR="007B628E">
        <w:t>,</w:t>
      </w:r>
      <w:r>
        <w:t xml:space="preserve"> Mesara area</w:t>
      </w:r>
      <w:bookmarkEnd w:id="819"/>
    </w:p>
    <w:tbl>
      <w:tblPr>
        <w:tblW w:w="85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933"/>
        <w:gridCol w:w="494"/>
        <w:gridCol w:w="550"/>
        <w:gridCol w:w="761"/>
        <w:gridCol w:w="1047"/>
        <w:gridCol w:w="1094"/>
        <w:gridCol w:w="650"/>
        <w:gridCol w:w="1180"/>
      </w:tblGrid>
      <w:tr w:rsidR="001A4F1A" w:rsidRPr="000C61EC" w14:paraId="68D508F4" w14:textId="77777777" w:rsidTr="000C61EC">
        <w:tc>
          <w:tcPr>
            <w:tcW w:w="1843" w:type="dxa"/>
          </w:tcPr>
          <w:p w14:paraId="44373315" w14:textId="77777777" w:rsidR="001A4F1A" w:rsidRPr="000C61EC" w:rsidRDefault="001A4F1A" w:rsidP="00E858EF">
            <w:pPr>
              <w:suppressAutoHyphens/>
              <w:rPr>
                <w:sz w:val="20"/>
              </w:rPr>
            </w:pPr>
          </w:p>
        </w:tc>
        <w:tc>
          <w:tcPr>
            <w:tcW w:w="0" w:type="auto"/>
          </w:tcPr>
          <w:p w14:paraId="14AF8B44" w14:textId="77777777" w:rsidR="001A4F1A" w:rsidRPr="000C61EC" w:rsidRDefault="001A4F1A" w:rsidP="00E858EF">
            <w:pPr>
              <w:suppressAutoHyphens/>
              <w:jc w:val="center"/>
              <w:rPr>
                <w:rFonts w:eastAsia="Times New Roman"/>
                <w:bCs/>
                <w:color w:val="000000"/>
                <w:sz w:val="20"/>
              </w:rPr>
            </w:pPr>
            <w:r w:rsidRPr="000C61EC">
              <w:rPr>
                <w:rFonts w:eastAsia="Times New Roman"/>
                <w:bCs/>
                <w:color w:val="000000"/>
                <w:sz w:val="20"/>
              </w:rPr>
              <w:t>Stirrup jar</w:t>
            </w:r>
          </w:p>
        </w:tc>
        <w:tc>
          <w:tcPr>
            <w:tcW w:w="0" w:type="auto"/>
          </w:tcPr>
          <w:p w14:paraId="2D7E72FD" w14:textId="77777777" w:rsidR="001A4F1A" w:rsidRPr="000C61EC" w:rsidRDefault="001A4F1A" w:rsidP="00E858EF">
            <w:pPr>
              <w:suppressAutoHyphens/>
              <w:jc w:val="center"/>
              <w:rPr>
                <w:sz w:val="20"/>
              </w:rPr>
            </w:pPr>
            <w:r w:rsidRPr="000C61EC">
              <w:rPr>
                <w:sz w:val="20"/>
              </w:rPr>
              <w:t>Jug</w:t>
            </w:r>
          </w:p>
        </w:tc>
        <w:tc>
          <w:tcPr>
            <w:tcW w:w="0" w:type="auto"/>
          </w:tcPr>
          <w:p w14:paraId="670E3218"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Cup</w:t>
            </w:r>
          </w:p>
        </w:tc>
        <w:tc>
          <w:tcPr>
            <w:tcW w:w="0" w:type="auto"/>
          </w:tcPr>
          <w:p w14:paraId="26A4A8EC"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Goblet</w:t>
            </w:r>
          </w:p>
        </w:tc>
        <w:tc>
          <w:tcPr>
            <w:tcW w:w="0" w:type="auto"/>
          </w:tcPr>
          <w:p w14:paraId="15F13649"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Conical cup</w:t>
            </w:r>
          </w:p>
        </w:tc>
        <w:tc>
          <w:tcPr>
            <w:tcW w:w="0" w:type="auto"/>
          </w:tcPr>
          <w:p w14:paraId="61BC4C1C"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Alabastron</w:t>
            </w:r>
          </w:p>
        </w:tc>
        <w:tc>
          <w:tcPr>
            <w:tcW w:w="0" w:type="auto"/>
          </w:tcPr>
          <w:p w14:paraId="0FC0B3DA"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Bowl</w:t>
            </w:r>
          </w:p>
        </w:tc>
        <w:tc>
          <w:tcPr>
            <w:tcW w:w="0" w:type="auto"/>
          </w:tcPr>
          <w:p w14:paraId="6EC07853"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Incense burner</w:t>
            </w:r>
          </w:p>
        </w:tc>
      </w:tr>
      <w:tr w:rsidR="001A4F1A" w:rsidRPr="000C61EC" w14:paraId="5B241F62" w14:textId="77777777" w:rsidTr="000C61EC">
        <w:tc>
          <w:tcPr>
            <w:tcW w:w="1843" w:type="dxa"/>
          </w:tcPr>
          <w:p w14:paraId="4FC55BC5" w14:textId="77777777" w:rsidR="001A4F1A" w:rsidRPr="000C61EC" w:rsidRDefault="001A4F1A" w:rsidP="00E858EF">
            <w:pPr>
              <w:suppressAutoHyphens/>
              <w:jc w:val="left"/>
              <w:rPr>
                <w:sz w:val="20"/>
              </w:rPr>
            </w:pPr>
            <w:r w:rsidRPr="000C61EC">
              <w:rPr>
                <w:sz w:val="20"/>
              </w:rPr>
              <w:t>Total no. of items M region</w:t>
            </w:r>
          </w:p>
        </w:tc>
        <w:tc>
          <w:tcPr>
            <w:tcW w:w="0" w:type="auto"/>
          </w:tcPr>
          <w:p w14:paraId="615E7A51" w14:textId="77777777" w:rsidR="001A4F1A" w:rsidRPr="000C61EC" w:rsidRDefault="001A4F1A" w:rsidP="00E858EF">
            <w:pPr>
              <w:suppressAutoHyphens/>
              <w:jc w:val="center"/>
              <w:rPr>
                <w:sz w:val="20"/>
              </w:rPr>
            </w:pPr>
            <w:r w:rsidRPr="000C61EC">
              <w:rPr>
                <w:sz w:val="20"/>
              </w:rPr>
              <w:t>158</w:t>
            </w:r>
          </w:p>
        </w:tc>
        <w:tc>
          <w:tcPr>
            <w:tcW w:w="0" w:type="auto"/>
          </w:tcPr>
          <w:p w14:paraId="008768E5" w14:textId="77777777" w:rsidR="001A4F1A" w:rsidRPr="000C61EC" w:rsidRDefault="001A4F1A" w:rsidP="00E858EF">
            <w:pPr>
              <w:suppressAutoHyphens/>
              <w:jc w:val="center"/>
              <w:rPr>
                <w:sz w:val="20"/>
              </w:rPr>
            </w:pPr>
            <w:r w:rsidRPr="000C61EC">
              <w:rPr>
                <w:sz w:val="20"/>
              </w:rPr>
              <w:t>56</w:t>
            </w:r>
          </w:p>
        </w:tc>
        <w:tc>
          <w:tcPr>
            <w:tcW w:w="0" w:type="auto"/>
          </w:tcPr>
          <w:p w14:paraId="65CFC925" w14:textId="77777777" w:rsidR="001A4F1A" w:rsidRPr="000C61EC" w:rsidRDefault="001A4F1A" w:rsidP="00E858EF">
            <w:pPr>
              <w:suppressAutoHyphens/>
              <w:jc w:val="center"/>
              <w:rPr>
                <w:sz w:val="20"/>
              </w:rPr>
            </w:pPr>
            <w:r w:rsidRPr="000C61EC">
              <w:rPr>
                <w:sz w:val="20"/>
              </w:rPr>
              <w:t>24</w:t>
            </w:r>
          </w:p>
        </w:tc>
        <w:tc>
          <w:tcPr>
            <w:tcW w:w="0" w:type="auto"/>
          </w:tcPr>
          <w:p w14:paraId="6F6473DF" w14:textId="77777777" w:rsidR="001A4F1A" w:rsidRPr="000C61EC" w:rsidRDefault="001A4F1A" w:rsidP="00E858EF">
            <w:pPr>
              <w:suppressAutoHyphens/>
              <w:jc w:val="center"/>
              <w:rPr>
                <w:sz w:val="20"/>
              </w:rPr>
            </w:pPr>
            <w:r w:rsidRPr="000C61EC">
              <w:rPr>
                <w:sz w:val="20"/>
              </w:rPr>
              <w:t>16</w:t>
            </w:r>
          </w:p>
        </w:tc>
        <w:tc>
          <w:tcPr>
            <w:tcW w:w="0" w:type="auto"/>
          </w:tcPr>
          <w:p w14:paraId="7BBE18BC" w14:textId="77777777" w:rsidR="001A4F1A" w:rsidRPr="000C61EC" w:rsidRDefault="001A4F1A" w:rsidP="00E858EF">
            <w:pPr>
              <w:suppressAutoHyphens/>
              <w:jc w:val="center"/>
              <w:rPr>
                <w:sz w:val="20"/>
              </w:rPr>
            </w:pPr>
            <w:r w:rsidRPr="000C61EC">
              <w:rPr>
                <w:sz w:val="20"/>
              </w:rPr>
              <w:t>13</w:t>
            </w:r>
          </w:p>
        </w:tc>
        <w:tc>
          <w:tcPr>
            <w:tcW w:w="0" w:type="auto"/>
          </w:tcPr>
          <w:p w14:paraId="46C7E5B3" w14:textId="77777777" w:rsidR="001A4F1A" w:rsidRPr="000C61EC" w:rsidRDefault="001A4F1A" w:rsidP="00E858EF">
            <w:pPr>
              <w:suppressAutoHyphens/>
              <w:jc w:val="center"/>
              <w:rPr>
                <w:sz w:val="20"/>
              </w:rPr>
            </w:pPr>
            <w:r w:rsidRPr="000C61EC">
              <w:rPr>
                <w:sz w:val="20"/>
              </w:rPr>
              <w:t>12</w:t>
            </w:r>
          </w:p>
        </w:tc>
        <w:tc>
          <w:tcPr>
            <w:tcW w:w="0" w:type="auto"/>
          </w:tcPr>
          <w:p w14:paraId="7DC3D22D" w14:textId="77777777" w:rsidR="001A4F1A" w:rsidRPr="000C61EC" w:rsidRDefault="001A4F1A" w:rsidP="00E858EF">
            <w:pPr>
              <w:suppressAutoHyphens/>
              <w:jc w:val="center"/>
              <w:rPr>
                <w:sz w:val="20"/>
              </w:rPr>
            </w:pPr>
            <w:r w:rsidRPr="000C61EC">
              <w:rPr>
                <w:sz w:val="20"/>
              </w:rPr>
              <w:t>7</w:t>
            </w:r>
          </w:p>
        </w:tc>
        <w:tc>
          <w:tcPr>
            <w:tcW w:w="0" w:type="auto"/>
          </w:tcPr>
          <w:p w14:paraId="5C62F37E" w14:textId="77777777" w:rsidR="001A4F1A" w:rsidRPr="000C61EC" w:rsidRDefault="001A4F1A" w:rsidP="00E858EF">
            <w:pPr>
              <w:suppressAutoHyphens/>
              <w:jc w:val="center"/>
              <w:rPr>
                <w:sz w:val="20"/>
              </w:rPr>
            </w:pPr>
            <w:r w:rsidRPr="000C61EC">
              <w:rPr>
                <w:sz w:val="20"/>
              </w:rPr>
              <w:t>7</w:t>
            </w:r>
          </w:p>
        </w:tc>
      </w:tr>
      <w:tr w:rsidR="001A4F1A" w:rsidRPr="000C61EC" w14:paraId="73B6808D" w14:textId="77777777" w:rsidTr="000C61EC">
        <w:tc>
          <w:tcPr>
            <w:tcW w:w="1843" w:type="dxa"/>
          </w:tcPr>
          <w:p w14:paraId="13D4E10D" w14:textId="77777777" w:rsidR="001A4F1A" w:rsidRPr="000C61EC" w:rsidRDefault="001A4F1A" w:rsidP="00E858EF">
            <w:pPr>
              <w:suppressAutoHyphens/>
              <w:jc w:val="left"/>
              <w:rPr>
                <w:sz w:val="20"/>
              </w:rPr>
            </w:pPr>
            <w:r w:rsidRPr="000C61EC">
              <w:rPr>
                <w:sz w:val="20"/>
              </w:rPr>
              <w:t>Maximum no. items per tomb</w:t>
            </w:r>
          </w:p>
        </w:tc>
        <w:tc>
          <w:tcPr>
            <w:tcW w:w="0" w:type="auto"/>
          </w:tcPr>
          <w:p w14:paraId="68CA5928" w14:textId="77777777" w:rsidR="001A4F1A" w:rsidRPr="000C61EC" w:rsidRDefault="001A4F1A" w:rsidP="00E858EF">
            <w:pPr>
              <w:suppressAutoHyphens/>
              <w:jc w:val="center"/>
              <w:rPr>
                <w:sz w:val="20"/>
              </w:rPr>
            </w:pPr>
            <w:r w:rsidRPr="000C61EC">
              <w:rPr>
                <w:sz w:val="20"/>
              </w:rPr>
              <w:t>50</w:t>
            </w:r>
          </w:p>
        </w:tc>
        <w:tc>
          <w:tcPr>
            <w:tcW w:w="0" w:type="auto"/>
          </w:tcPr>
          <w:p w14:paraId="35CB3E88" w14:textId="77777777" w:rsidR="001A4F1A" w:rsidRPr="000C61EC" w:rsidRDefault="001A4F1A" w:rsidP="00E858EF">
            <w:pPr>
              <w:suppressAutoHyphens/>
              <w:jc w:val="center"/>
              <w:rPr>
                <w:sz w:val="20"/>
              </w:rPr>
            </w:pPr>
            <w:r w:rsidRPr="000C61EC">
              <w:rPr>
                <w:sz w:val="20"/>
              </w:rPr>
              <w:t>11</w:t>
            </w:r>
          </w:p>
        </w:tc>
        <w:tc>
          <w:tcPr>
            <w:tcW w:w="0" w:type="auto"/>
          </w:tcPr>
          <w:p w14:paraId="512AA991" w14:textId="77777777" w:rsidR="001A4F1A" w:rsidRPr="000C61EC" w:rsidRDefault="001A4F1A" w:rsidP="00E858EF">
            <w:pPr>
              <w:suppressAutoHyphens/>
              <w:jc w:val="center"/>
              <w:rPr>
                <w:sz w:val="20"/>
              </w:rPr>
            </w:pPr>
            <w:r w:rsidRPr="000C61EC">
              <w:rPr>
                <w:sz w:val="20"/>
              </w:rPr>
              <w:t>5</w:t>
            </w:r>
          </w:p>
        </w:tc>
        <w:tc>
          <w:tcPr>
            <w:tcW w:w="0" w:type="auto"/>
          </w:tcPr>
          <w:p w14:paraId="6CB8086C" w14:textId="77777777" w:rsidR="001A4F1A" w:rsidRPr="000C61EC" w:rsidRDefault="001A4F1A" w:rsidP="00E858EF">
            <w:pPr>
              <w:suppressAutoHyphens/>
              <w:jc w:val="center"/>
              <w:rPr>
                <w:sz w:val="20"/>
              </w:rPr>
            </w:pPr>
            <w:r w:rsidRPr="000C61EC">
              <w:rPr>
                <w:sz w:val="20"/>
              </w:rPr>
              <w:t>3</w:t>
            </w:r>
          </w:p>
        </w:tc>
        <w:tc>
          <w:tcPr>
            <w:tcW w:w="0" w:type="auto"/>
          </w:tcPr>
          <w:p w14:paraId="6B2814E3" w14:textId="77777777" w:rsidR="001A4F1A" w:rsidRPr="000C61EC" w:rsidRDefault="001A4F1A" w:rsidP="00E858EF">
            <w:pPr>
              <w:suppressAutoHyphens/>
              <w:jc w:val="center"/>
              <w:rPr>
                <w:sz w:val="20"/>
              </w:rPr>
            </w:pPr>
            <w:r w:rsidRPr="000C61EC">
              <w:rPr>
                <w:sz w:val="20"/>
              </w:rPr>
              <w:t>8</w:t>
            </w:r>
          </w:p>
        </w:tc>
        <w:tc>
          <w:tcPr>
            <w:tcW w:w="0" w:type="auto"/>
          </w:tcPr>
          <w:p w14:paraId="7BB639D4" w14:textId="77777777" w:rsidR="001A4F1A" w:rsidRPr="000C61EC" w:rsidRDefault="001A4F1A" w:rsidP="00E858EF">
            <w:pPr>
              <w:suppressAutoHyphens/>
              <w:jc w:val="center"/>
              <w:rPr>
                <w:sz w:val="20"/>
              </w:rPr>
            </w:pPr>
            <w:r w:rsidRPr="000C61EC">
              <w:rPr>
                <w:sz w:val="20"/>
              </w:rPr>
              <w:t>4</w:t>
            </w:r>
          </w:p>
        </w:tc>
        <w:tc>
          <w:tcPr>
            <w:tcW w:w="0" w:type="auto"/>
          </w:tcPr>
          <w:p w14:paraId="18D5737A" w14:textId="77777777" w:rsidR="001A4F1A" w:rsidRPr="000C61EC" w:rsidRDefault="001A4F1A" w:rsidP="00E858EF">
            <w:pPr>
              <w:suppressAutoHyphens/>
              <w:jc w:val="center"/>
              <w:rPr>
                <w:sz w:val="20"/>
              </w:rPr>
            </w:pPr>
            <w:r w:rsidRPr="000C61EC">
              <w:rPr>
                <w:sz w:val="20"/>
              </w:rPr>
              <w:t>3</w:t>
            </w:r>
          </w:p>
        </w:tc>
        <w:tc>
          <w:tcPr>
            <w:tcW w:w="0" w:type="auto"/>
          </w:tcPr>
          <w:p w14:paraId="4FBBD3BB" w14:textId="77777777" w:rsidR="001A4F1A" w:rsidRPr="000C61EC" w:rsidRDefault="001A4F1A" w:rsidP="00E858EF">
            <w:pPr>
              <w:suppressAutoHyphens/>
              <w:jc w:val="center"/>
              <w:rPr>
                <w:sz w:val="20"/>
              </w:rPr>
            </w:pPr>
            <w:r w:rsidRPr="000C61EC">
              <w:rPr>
                <w:sz w:val="20"/>
              </w:rPr>
              <w:t>4</w:t>
            </w:r>
          </w:p>
        </w:tc>
      </w:tr>
      <w:tr w:rsidR="001A4F1A" w:rsidRPr="000C61EC" w14:paraId="4F1BD13E" w14:textId="77777777" w:rsidTr="000C61EC">
        <w:tc>
          <w:tcPr>
            <w:tcW w:w="1843" w:type="dxa"/>
          </w:tcPr>
          <w:p w14:paraId="3B6E9656" w14:textId="77777777" w:rsidR="001A4F1A" w:rsidRPr="000C61EC" w:rsidRDefault="001A4F1A" w:rsidP="00E858EF">
            <w:pPr>
              <w:suppressAutoHyphens/>
              <w:jc w:val="left"/>
              <w:rPr>
                <w:sz w:val="20"/>
              </w:rPr>
            </w:pPr>
            <w:r w:rsidRPr="000C61EC">
              <w:rPr>
                <w:sz w:val="20"/>
              </w:rPr>
              <w:t>No. of tombs</w:t>
            </w:r>
          </w:p>
        </w:tc>
        <w:tc>
          <w:tcPr>
            <w:tcW w:w="0" w:type="auto"/>
          </w:tcPr>
          <w:p w14:paraId="1C8A377D" w14:textId="77777777" w:rsidR="001A4F1A" w:rsidRPr="000C61EC" w:rsidRDefault="001A4F1A" w:rsidP="00E858EF">
            <w:pPr>
              <w:suppressAutoHyphens/>
              <w:jc w:val="center"/>
              <w:rPr>
                <w:sz w:val="20"/>
              </w:rPr>
            </w:pPr>
            <w:r w:rsidRPr="000C61EC">
              <w:rPr>
                <w:sz w:val="20"/>
              </w:rPr>
              <w:t>23</w:t>
            </w:r>
          </w:p>
        </w:tc>
        <w:tc>
          <w:tcPr>
            <w:tcW w:w="0" w:type="auto"/>
          </w:tcPr>
          <w:p w14:paraId="7D7F6C81" w14:textId="77777777" w:rsidR="001A4F1A" w:rsidRPr="000C61EC" w:rsidRDefault="001A4F1A" w:rsidP="00E858EF">
            <w:pPr>
              <w:suppressAutoHyphens/>
              <w:jc w:val="center"/>
              <w:rPr>
                <w:sz w:val="20"/>
              </w:rPr>
            </w:pPr>
            <w:r w:rsidRPr="000C61EC">
              <w:rPr>
                <w:sz w:val="20"/>
              </w:rPr>
              <w:t>14</w:t>
            </w:r>
          </w:p>
        </w:tc>
        <w:tc>
          <w:tcPr>
            <w:tcW w:w="0" w:type="auto"/>
          </w:tcPr>
          <w:p w14:paraId="1C72969D" w14:textId="77777777" w:rsidR="001A4F1A" w:rsidRPr="000C61EC" w:rsidRDefault="001A4F1A" w:rsidP="00E858EF">
            <w:pPr>
              <w:suppressAutoHyphens/>
              <w:jc w:val="center"/>
              <w:rPr>
                <w:sz w:val="20"/>
              </w:rPr>
            </w:pPr>
            <w:r w:rsidRPr="000C61EC">
              <w:rPr>
                <w:sz w:val="20"/>
              </w:rPr>
              <w:t>13</w:t>
            </w:r>
          </w:p>
        </w:tc>
        <w:tc>
          <w:tcPr>
            <w:tcW w:w="0" w:type="auto"/>
          </w:tcPr>
          <w:p w14:paraId="7308C15A" w14:textId="77777777" w:rsidR="001A4F1A" w:rsidRPr="000C61EC" w:rsidRDefault="001A4F1A" w:rsidP="00E858EF">
            <w:pPr>
              <w:suppressAutoHyphens/>
              <w:jc w:val="center"/>
              <w:rPr>
                <w:sz w:val="20"/>
              </w:rPr>
            </w:pPr>
            <w:r w:rsidRPr="000C61EC">
              <w:rPr>
                <w:sz w:val="20"/>
              </w:rPr>
              <w:t>10</w:t>
            </w:r>
          </w:p>
        </w:tc>
        <w:tc>
          <w:tcPr>
            <w:tcW w:w="0" w:type="auto"/>
          </w:tcPr>
          <w:p w14:paraId="31EE7C01" w14:textId="77777777" w:rsidR="001A4F1A" w:rsidRPr="000C61EC" w:rsidRDefault="001A4F1A" w:rsidP="00E858EF">
            <w:pPr>
              <w:suppressAutoHyphens/>
              <w:jc w:val="center"/>
              <w:rPr>
                <w:sz w:val="20"/>
              </w:rPr>
            </w:pPr>
            <w:r w:rsidRPr="000C61EC">
              <w:rPr>
                <w:sz w:val="20"/>
              </w:rPr>
              <w:t>5</w:t>
            </w:r>
          </w:p>
        </w:tc>
        <w:tc>
          <w:tcPr>
            <w:tcW w:w="0" w:type="auto"/>
          </w:tcPr>
          <w:p w14:paraId="2517F1D4" w14:textId="77777777" w:rsidR="001A4F1A" w:rsidRPr="000C61EC" w:rsidRDefault="001A4F1A" w:rsidP="00E858EF">
            <w:pPr>
              <w:suppressAutoHyphens/>
              <w:jc w:val="center"/>
              <w:rPr>
                <w:sz w:val="20"/>
              </w:rPr>
            </w:pPr>
            <w:r w:rsidRPr="000C61EC">
              <w:rPr>
                <w:sz w:val="20"/>
              </w:rPr>
              <w:t>6</w:t>
            </w:r>
          </w:p>
        </w:tc>
        <w:tc>
          <w:tcPr>
            <w:tcW w:w="0" w:type="auto"/>
          </w:tcPr>
          <w:p w14:paraId="22A52616" w14:textId="77777777" w:rsidR="001A4F1A" w:rsidRPr="000C61EC" w:rsidRDefault="001A4F1A" w:rsidP="00E858EF">
            <w:pPr>
              <w:suppressAutoHyphens/>
              <w:jc w:val="center"/>
              <w:rPr>
                <w:sz w:val="20"/>
              </w:rPr>
            </w:pPr>
            <w:r w:rsidRPr="000C61EC">
              <w:rPr>
                <w:sz w:val="20"/>
              </w:rPr>
              <w:t>4</w:t>
            </w:r>
          </w:p>
        </w:tc>
        <w:tc>
          <w:tcPr>
            <w:tcW w:w="0" w:type="auto"/>
          </w:tcPr>
          <w:p w14:paraId="34B2EC31" w14:textId="77777777" w:rsidR="001A4F1A" w:rsidRPr="000C61EC" w:rsidRDefault="001A4F1A" w:rsidP="00E858EF">
            <w:pPr>
              <w:suppressAutoHyphens/>
              <w:jc w:val="center"/>
              <w:rPr>
                <w:sz w:val="20"/>
              </w:rPr>
            </w:pPr>
            <w:r w:rsidRPr="000C61EC">
              <w:rPr>
                <w:sz w:val="20"/>
              </w:rPr>
              <w:t>4</w:t>
            </w:r>
          </w:p>
        </w:tc>
      </w:tr>
    </w:tbl>
    <w:p w14:paraId="79370F43" w14:textId="77777777" w:rsidR="001A4F1A" w:rsidRPr="00D6101B" w:rsidRDefault="001A4F1A" w:rsidP="00E858EF">
      <w:pPr>
        <w:suppressAutoHyphens/>
      </w:pPr>
    </w:p>
    <w:p w14:paraId="50517214" w14:textId="77777777" w:rsidR="001A4F1A" w:rsidRPr="00D6101B" w:rsidRDefault="001A4F1A" w:rsidP="00E858EF">
      <w:pPr>
        <w:suppressAutoHyphens/>
      </w:pPr>
      <w:r w:rsidRPr="00C145F0">
        <w:rPr>
          <w:noProof/>
        </w:rPr>
        <w:t xml:space="preserve"> </w:t>
      </w:r>
      <w:r>
        <w:rPr>
          <w:noProof/>
          <w:lang w:val="it-IT"/>
        </w:rPr>
        <w:drawing>
          <wp:inline distT="0" distB="0" distL="0" distR="0" wp14:anchorId="7D28512A" wp14:editId="0EBEBA69">
            <wp:extent cx="5486886" cy="6362511"/>
            <wp:effectExtent l="0" t="0" r="25400" b="13335"/>
            <wp:docPr id="104" name="Gra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5F92431A" w14:textId="35EFDEAB" w:rsidR="001A4F1A" w:rsidRDefault="001A4F1A" w:rsidP="00E858EF">
      <w:pPr>
        <w:pStyle w:val="Didascalia"/>
        <w:suppressAutoHyphens/>
      </w:pPr>
      <w:bookmarkStart w:id="820" w:name="_Toc520212375"/>
      <w:r>
        <w:t>Figure 4-37</w:t>
      </w:r>
      <w:r w:rsidR="009D7CB9">
        <w:t>.</w:t>
      </w:r>
      <w:r w:rsidRPr="00AE5E30">
        <w:t xml:space="preserve"> </w:t>
      </w:r>
      <w:r>
        <w:t>Occurrence of pottery types</w:t>
      </w:r>
      <w:r w:rsidR="009D7CB9">
        <w:t>,</w:t>
      </w:r>
      <w:r>
        <w:t xml:space="preserve"> Mesara area</w:t>
      </w:r>
      <w:bookmarkEnd w:id="820"/>
    </w:p>
    <w:p w14:paraId="0925347C" w14:textId="77777777" w:rsidR="001A4F1A" w:rsidRPr="00D6101B" w:rsidRDefault="001A4F1A" w:rsidP="00E858EF">
      <w:pPr>
        <w:pStyle w:val="Didascalia"/>
        <w:suppressAutoHyphens/>
      </w:pPr>
    </w:p>
    <w:p w14:paraId="735B2C12" w14:textId="65D8D967" w:rsidR="001A4F1A" w:rsidRPr="00D6101B" w:rsidRDefault="001A4F1A" w:rsidP="00E858EF">
      <w:pPr>
        <w:pStyle w:val="Titolo4"/>
        <w:keepNext w:val="0"/>
        <w:keepLines w:val="0"/>
        <w:suppressAutoHyphens/>
      </w:pPr>
      <w:bookmarkStart w:id="821" w:name="_Toc389508254"/>
      <w:bookmarkStart w:id="822" w:name="_Toc517745334"/>
      <w:r w:rsidRPr="00D6101B">
        <w:t>Conclusion</w:t>
      </w:r>
      <w:bookmarkEnd w:id="821"/>
      <w:r>
        <w:t>s</w:t>
      </w:r>
      <w:bookmarkEnd w:id="822"/>
      <w:r w:rsidR="000C61EC">
        <w:t>,</w:t>
      </w:r>
      <w:r w:rsidR="000B660B">
        <w:t xml:space="preserve"> Mesara area</w:t>
      </w:r>
    </w:p>
    <w:p w14:paraId="0BB6A322" w14:textId="77777777" w:rsidR="001A4F1A" w:rsidRDefault="001A4F1A" w:rsidP="00E858EF">
      <w:pPr>
        <w:suppressAutoHyphens/>
      </w:pPr>
      <w:r>
        <w:t>Regarding</w:t>
      </w:r>
      <w:r w:rsidRPr="00D6101B">
        <w:t xml:space="preserve"> the Mesara area information concerning grave goods assemblage</w:t>
      </w:r>
      <w:r>
        <w:t>s</w:t>
      </w:r>
      <w:r w:rsidRPr="00D6101B">
        <w:t xml:space="preserve"> </w:t>
      </w:r>
      <w:r>
        <w:t>is</w:t>
      </w:r>
      <w:r w:rsidRPr="00D6101B">
        <w:t xml:space="preserve"> available for 83% of </w:t>
      </w:r>
      <w:r>
        <w:t xml:space="preserve">the </w:t>
      </w:r>
      <w:r w:rsidRPr="00D6101B">
        <w:t xml:space="preserve">secure tombs </w:t>
      </w:r>
      <w:r>
        <w:t>in which</w:t>
      </w:r>
      <w:r w:rsidRPr="00D6101B">
        <w:t xml:space="preserve"> larnax burials have been registered. The </w:t>
      </w:r>
      <w:r>
        <w:t>presence</w:t>
      </w:r>
      <w:r w:rsidRPr="00D6101B">
        <w:t xml:space="preserve"> of </w:t>
      </w:r>
      <w:r>
        <w:t>pottery</w:t>
      </w:r>
      <w:r w:rsidRPr="00D6101B">
        <w:t xml:space="preserve"> </w:t>
      </w:r>
      <w:r>
        <w:t>is registered in all</w:t>
      </w:r>
      <w:r w:rsidRPr="00D6101B">
        <w:t xml:space="preserve"> tombs, even if</w:t>
      </w:r>
      <w:r>
        <w:t>,</w:t>
      </w:r>
      <w:r w:rsidRPr="00D6101B">
        <w:t xml:space="preserve"> in some case</w:t>
      </w:r>
      <w:r>
        <w:t>s,</w:t>
      </w:r>
      <w:r w:rsidRPr="00D6101B">
        <w:t xml:space="preserve"> the information about assemblage composition </w:t>
      </w:r>
      <w:r>
        <w:t>is</w:t>
      </w:r>
      <w:r w:rsidRPr="00D6101B">
        <w:t xml:space="preserve"> only partial (</w:t>
      </w:r>
      <w:r>
        <w:t xml:space="preserve">i.e. </w:t>
      </w:r>
      <w:r w:rsidRPr="00D6101B">
        <w:t xml:space="preserve">only the presence of pottery is reported or only a selected number of grave goods </w:t>
      </w:r>
      <w:r>
        <w:t>is</w:t>
      </w:r>
      <w:r w:rsidRPr="00D6101B">
        <w:t xml:space="preserve"> mentioned).</w:t>
      </w:r>
    </w:p>
    <w:p w14:paraId="789CF4BD" w14:textId="687C53CF" w:rsidR="001A4F1A" w:rsidRDefault="001A4F1A" w:rsidP="00E858EF">
      <w:pPr>
        <w:suppressAutoHyphens/>
      </w:pPr>
      <w:r w:rsidRPr="00D6101B">
        <w:t xml:space="preserve">The analysis of grave goods assemblage composition </w:t>
      </w:r>
      <w:r>
        <w:t>in relation to</w:t>
      </w:r>
      <w:r w:rsidRPr="00D6101B">
        <w:t xml:space="preserve"> pottery presence </w:t>
      </w:r>
      <w:r>
        <w:t xml:space="preserve">is </w:t>
      </w:r>
      <w:r w:rsidRPr="00D6101B">
        <w:t xml:space="preserve">summarised </w:t>
      </w:r>
      <w:r>
        <w:t>in</w:t>
      </w:r>
      <w:r w:rsidRPr="00D6101B">
        <w:t xml:space="preserve"> th</w:t>
      </w:r>
      <w:r>
        <w:t>e</w:t>
      </w:r>
      <w:r w:rsidRPr="00D6101B">
        <w:t xml:space="preserve"> graph</w:t>
      </w:r>
      <w:r>
        <w:t>, below:</w:t>
      </w:r>
    </w:p>
    <w:p w14:paraId="04A8237D" w14:textId="77777777" w:rsidR="000B660B" w:rsidRDefault="000B660B" w:rsidP="00E858EF">
      <w:pPr>
        <w:suppressAutoHyphens/>
      </w:pPr>
    </w:p>
    <w:p w14:paraId="3865E900" w14:textId="77777777" w:rsidR="001A4F1A" w:rsidRDefault="001A4F1A" w:rsidP="00E858EF">
      <w:pPr>
        <w:suppressAutoHyphens/>
      </w:pPr>
      <w:r>
        <w:rPr>
          <w:noProof/>
          <w:lang w:val="it-IT"/>
        </w:rPr>
        <w:drawing>
          <wp:inline distT="0" distB="0" distL="0" distR="0" wp14:anchorId="46021540" wp14:editId="0D95F8CD">
            <wp:extent cx="4680000" cy="2520000"/>
            <wp:effectExtent l="0" t="0" r="19050" b="20320"/>
            <wp:docPr id="105" name="Gra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38A88608" w14:textId="5D62BBC6" w:rsidR="001A4F1A" w:rsidRPr="000D3A82" w:rsidRDefault="001A4F1A" w:rsidP="00E858EF">
      <w:pPr>
        <w:pStyle w:val="Didascalia"/>
        <w:suppressAutoHyphens/>
      </w:pPr>
      <w:bookmarkStart w:id="823" w:name="_Toc520212376"/>
      <w:r w:rsidRPr="000D3A82">
        <w:t>Figure 4-</w:t>
      </w:r>
      <w:r>
        <w:t>38</w:t>
      </w:r>
      <w:r w:rsidR="003C6148">
        <w:t>.</w:t>
      </w:r>
      <w:r>
        <w:t xml:space="preserve"> </w:t>
      </w:r>
      <w:r w:rsidRPr="008703D3">
        <w:t>Composition o</w:t>
      </w:r>
      <w:r>
        <w:t>f grave goods assemblages according to pottery occurrence</w:t>
      </w:r>
      <w:r w:rsidR="007B628E">
        <w:t>,</w:t>
      </w:r>
      <w:r>
        <w:t xml:space="preserve"> Mesara area</w:t>
      </w:r>
      <w:bookmarkEnd w:id="823"/>
      <w:r w:rsidDel="00B67740">
        <w:t xml:space="preserve"> </w:t>
      </w:r>
    </w:p>
    <w:p w14:paraId="342AC35D" w14:textId="77777777" w:rsidR="001A4F1A" w:rsidRDefault="001A4F1A" w:rsidP="00E858EF">
      <w:pPr>
        <w:suppressAutoHyphens/>
      </w:pPr>
    </w:p>
    <w:p w14:paraId="6795942F" w14:textId="41662C7B" w:rsidR="001A4F1A" w:rsidRPr="00D6101B" w:rsidRDefault="001A4F1A" w:rsidP="00E858EF">
      <w:pPr>
        <w:suppressAutoHyphens/>
      </w:pPr>
      <w:r w:rsidRPr="00D6101B">
        <w:t xml:space="preserve"> </w:t>
      </w:r>
      <w:r w:rsidR="000B660B">
        <w:tab/>
      </w:r>
      <w:r>
        <w:t>Regarding the</w:t>
      </w:r>
      <w:r w:rsidRPr="00D6101B">
        <w:t xml:space="preserve"> material composition of the assemblage, bronze and stone items follow </w:t>
      </w:r>
      <w:r>
        <w:t>pottery</w:t>
      </w:r>
      <w:r w:rsidRPr="00D6101B">
        <w:t xml:space="preserve">. </w:t>
      </w:r>
      <w:r>
        <w:t>Regarding</w:t>
      </w:r>
      <w:r w:rsidRPr="00D6101B">
        <w:t xml:space="preserve"> the </w:t>
      </w:r>
      <w:r>
        <w:t>presence</w:t>
      </w:r>
      <w:r w:rsidRPr="00D6101B">
        <w:t xml:space="preserve"> of precious material</w:t>
      </w:r>
      <w:r>
        <w:t>s</w:t>
      </w:r>
      <w:r w:rsidRPr="00D6101B">
        <w:t xml:space="preserve">, ivory </w:t>
      </w:r>
      <w:r>
        <w:t>is present</w:t>
      </w:r>
      <w:r w:rsidRPr="00D6101B">
        <w:t xml:space="preserve"> in three tombs (</w:t>
      </w:r>
      <w:r>
        <w:t>A</w:t>
      </w:r>
      <w:r w:rsidRPr="00D6101B">
        <w:t xml:space="preserve">gia Triada </w:t>
      </w:r>
      <w:r>
        <w:t>T</w:t>
      </w:r>
      <w:r w:rsidRPr="00D6101B">
        <w:t xml:space="preserve">holos B, Stavros Galias </w:t>
      </w:r>
      <w:r>
        <w:t>T</w:t>
      </w:r>
      <w:r w:rsidRPr="00D6101B">
        <w:t>omb B</w:t>
      </w:r>
      <w:r>
        <w:t xml:space="preserve"> –</w:t>
      </w:r>
      <w:r w:rsidRPr="00D6101B">
        <w:t xml:space="preserve"> ivory combs</w:t>
      </w:r>
      <w:r>
        <w:t>, and</w:t>
      </w:r>
      <w:r w:rsidRPr="00D6101B">
        <w:t xml:space="preserve"> Goudies). The presence of high</w:t>
      </w:r>
      <w:r>
        <w:t>-value materials is not noted</w:t>
      </w:r>
      <w:r w:rsidRPr="00D6101B">
        <w:t xml:space="preserve"> in most monumental tombs</w:t>
      </w:r>
      <w:r>
        <w:t>,</w:t>
      </w:r>
      <w:r w:rsidRPr="00D6101B">
        <w:t xml:space="preserve"> and the two features seem to be independent. The </w:t>
      </w:r>
      <w:r>
        <w:t>presence</w:t>
      </w:r>
      <w:r w:rsidRPr="00D6101B">
        <w:t xml:space="preserve"> of faience and glass beads is quite common</w:t>
      </w:r>
      <w:r>
        <w:t xml:space="preserve"> (</w:t>
      </w:r>
      <w:r w:rsidRPr="00D6101B">
        <w:t>nine tombs</w:t>
      </w:r>
      <w:r>
        <w:t>)</w:t>
      </w:r>
      <w:r w:rsidRPr="00D6101B">
        <w:t>.</w:t>
      </w:r>
    </w:p>
    <w:p w14:paraId="7062C143" w14:textId="19C9FE5D" w:rsidR="001A4F1A" w:rsidRPr="00D6101B" w:rsidRDefault="001A4F1A" w:rsidP="00E858EF">
      <w:pPr>
        <w:suppressAutoHyphens/>
      </w:pPr>
      <w:r>
        <w:tab/>
      </w:r>
      <w:r w:rsidRPr="00D6101B">
        <w:t>A high number of the</w:t>
      </w:r>
      <w:r>
        <w:t>se beads</w:t>
      </w:r>
      <w:r w:rsidRPr="00D6101B">
        <w:t xml:space="preserve"> </w:t>
      </w:r>
      <w:r>
        <w:t>is</w:t>
      </w:r>
      <w:r w:rsidRPr="00D6101B">
        <w:t xml:space="preserve"> registered at Kalochorafitis Prinar</w:t>
      </w:r>
      <w:r w:rsidR="005C0C60">
        <w:t>i</w:t>
      </w:r>
      <w:r w:rsidRPr="00D6101B">
        <w:t xml:space="preserve">a, forming at least </w:t>
      </w:r>
      <w:r>
        <w:t>three</w:t>
      </w:r>
      <w:r w:rsidRPr="00D6101B">
        <w:t xml:space="preserve"> necklaces</w:t>
      </w:r>
      <w:r>
        <w:t>,</w:t>
      </w:r>
      <w:r w:rsidRPr="00D6101B">
        <w:t xml:space="preserve"> and at Goudies (</w:t>
      </w:r>
      <w:r>
        <w:t>one</w:t>
      </w:r>
      <w:r w:rsidRPr="00D6101B">
        <w:t xml:space="preserve"> necklace). Excluding beads and whorls</w:t>
      </w:r>
      <w:r>
        <w:t>,</w:t>
      </w:r>
      <w:r w:rsidRPr="00D6101B">
        <w:t xml:space="preserve"> the most common types of </w:t>
      </w:r>
      <w:r>
        <w:t>non-ceramic</w:t>
      </w:r>
      <w:r w:rsidRPr="00D6101B">
        <w:t xml:space="preserve"> items found are rings and seals. Almost half of the rings come from </w:t>
      </w:r>
      <w:r>
        <w:t>T</w:t>
      </w:r>
      <w:r w:rsidRPr="00D6101B">
        <w:t xml:space="preserve">omb A at Liliana, and 5 out of 11 </w:t>
      </w:r>
      <w:r>
        <w:t xml:space="preserve">seals were </w:t>
      </w:r>
      <w:r w:rsidRPr="00D6101B">
        <w:t xml:space="preserve">found in </w:t>
      </w:r>
      <w:r>
        <w:t>T</w:t>
      </w:r>
      <w:r w:rsidRPr="00D6101B">
        <w:t>omb B at Kalochorafitis Anevolema.</w:t>
      </w:r>
    </w:p>
    <w:p w14:paraId="179D20A7" w14:textId="77777777" w:rsidR="001A4F1A" w:rsidRPr="00D6101B" w:rsidRDefault="001A4F1A" w:rsidP="00E858EF">
      <w:pPr>
        <w:suppressAutoHyphens/>
      </w:pPr>
      <w:r>
        <w:tab/>
      </w:r>
      <w:r w:rsidRPr="00D6101B">
        <w:t xml:space="preserve">Stirrup jars </w:t>
      </w:r>
      <w:r>
        <w:t>are the most common</w:t>
      </w:r>
      <w:r w:rsidRPr="00D6101B">
        <w:t xml:space="preserve"> pottery type, followed by jugs, cups and goblets. The cemetery </w:t>
      </w:r>
      <w:r>
        <w:t>at</w:t>
      </w:r>
      <w:r w:rsidRPr="00D6101B">
        <w:t xml:space="preserve"> Kalochorafitis </w:t>
      </w:r>
      <w:r>
        <w:t>has</w:t>
      </w:r>
      <w:r w:rsidRPr="00D6101B">
        <w:t xml:space="preserve"> a very high occurrence of stirrup jars</w:t>
      </w:r>
      <w:r>
        <w:t>,</w:t>
      </w:r>
      <w:r w:rsidRPr="00D6101B">
        <w:t xml:space="preserve"> especially </w:t>
      </w:r>
      <w:r>
        <w:t>T</w:t>
      </w:r>
      <w:r w:rsidRPr="00D6101B">
        <w:t>omb B</w:t>
      </w:r>
      <w:r>
        <w:t>,</w:t>
      </w:r>
      <w:r w:rsidRPr="00D6101B">
        <w:t xml:space="preserve"> with 50 items</w:t>
      </w:r>
      <w:r>
        <w:t>,</w:t>
      </w:r>
      <w:r w:rsidRPr="00D6101B">
        <w:t xml:space="preserve"> </w:t>
      </w:r>
      <w:r>
        <w:t>more than</w:t>
      </w:r>
      <w:r w:rsidRPr="00D6101B">
        <w:t xml:space="preserve"> any other tomb. </w:t>
      </w:r>
      <w:r>
        <w:t>T</w:t>
      </w:r>
      <w:r w:rsidRPr="00D6101B">
        <w:t xml:space="preserve">he high number of vases (82) in this tomb </w:t>
      </w:r>
      <w:r>
        <w:t>can</w:t>
      </w:r>
      <w:r w:rsidRPr="00D6101B">
        <w:t xml:space="preserve"> be explained </w:t>
      </w:r>
      <w:r>
        <w:t>based on</w:t>
      </w:r>
      <w:r w:rsidRPr="00D6101B">
        <w:t xml:space="preserve"> the high number of larnakes (8) found inside the tomb, half of which are decorated. The minimum number of burials retrieved from the tomb corresponds to</w:t>
      </w:r>
      <w:r>
        <w:t xml:space="preserve"> </w:t>
      </w:r>
      <w:r w:rsidRPr="00D6101B">
        <w:t xml:space="preserve">10 individuals. The tomb has an area of </w:t>
      </w:r>
      <w:r w:rsidRPr="00C5705B">
        <w:t>13.5 sq.m.,</w:t>
      </w:r>
      <w:r w:rsidRPr="00D6101B">
        <w:t xml:space="preserve"> </w:t>
      </w:r>
      <w:r>
        <w:t>and is</w:t>
      </w:r>
      <w:r w:rsidRPr="00D6101B">
        <w:t xml:space="preserve"> the second largest tomb in the entire region. </w:t>
      </w:r>
      <w:r>
        <w:t>This tomb indicates a high intensity</w:t>
      </w:r>
      <w:r w:rsidRPr="00D6101B">
        <w:t xml:space="preserve"> of us</w:t>
      </w:r>
      <w:r>
        <w:t xml:space="preserve">e, which was probably planned considering </w:t>
      </w:r>
      <w:r w:rsidRPr="00D6101B">
        <w:t>the size</w:t>
      </w:r>
      <w:r>
        <w:t xml:space="preserve"> (medium) and</w:t>
      </w:r>
      <w:r w:rsidRPr="00D6101B">
        <w:t xml:space="preserve"> the quantity of larnakes and pottery items found inside</w:t>
      </w:r>
      <w:r>
        <w:t xml:space="preserve"> (tomb used by a large community/family)</w:t>
      </w:r>
      <w:r w:rsidRPr="00D6101B">
        <w:t xml:space="preserve">. </w:t>
      </w:r>
      <w:r>
        <w:t xml:space="preserve"> </w:t>
      </w:r>
      <w:r w:rsidRPr="00D6101B">
        <w:t>In tomb</w:t>
      </w:r>
      <w:r>
        <w:t>s</w:t>
      </w:r>
      <w:r w:rsidRPr="00D6101B">
        <w:t xml:space="preserve"> A and B at Kalochorafitis </w:t>
      </w:r>
      <w:r>
        <w:t>were Chaniot imports were recovered</w:t>
      </w:r>
      <w:r w:rsidRPr="00D6101B">
        <w:t xml:space="preserve">, five stirrup jars from </w:t>
      </w:r>
      <w:r>
        <w:t>T</w:t>
      </w:r>
      <w:r w:rsidRPr="00D6101B">
        <w:t xml:space="preserve">omb A and six stirrup jars from </w:t>
      </w:r>
      <w:r>
        <w:t>T</w:t>
      </w:r>
      <w:r w:rsidRPr="00D6101B">
        <w:t xml:space="preserve">omb B. </w:t>
      </w:r>
    </w:p>
    <w:p w14:paraId="7CD409F0" w14:textId="2FF0D208" w:rsidR="001A4F1A" w:rsidRPr="00D6101B" w:rsidRDefault="001A4F1A" w:rsidP="00E858EF">
      <w:pPr>
        <w:pStyle w:val="Titolo3"/>
        <w:keepNext w:val="0"/>
        <w:keepLines w:val="0"/>
        <w:suppressAutoHyphens/>
      </w:pPr>
      <w:bookmarkStart w:id="824" w:name="_Toc389508255"/>
      <w:bookmarkStart w:id="825" w:name="_Toc517745335"/>
      <w:bookmarkStart w:id="826" w:name="_Toc519894664"/>
      <w:r w:rsidRPr="00D6101B">
        <w:t>Knossos</w:t>
      </w:r>
      <w:bookmarkEnd w:id="824"/>
      <w:bookmarkEnd w:id="825"/>
      <w:bookmarkEnd w:id="826"/>
      <w:r w:rsidRPr="00D6101B">
        <w:t xml:space="preserve"> </w:t>
      </w:r>
      <w:r w:rsidR="007B628E">
        <w:t>area</w:t>
      </w:r>
      <w:r w:rsidR="007D3735">
        <w:t xml:space="preserve"> (grave goods)</w:t>
      </w:r>
    </w:p>
    <w:p w14:paraId="6D8E308D" w14:textId="77777777" w:rsidR="001A4F1A" w:rsidRPr="00D6101B" w:rsidRDefault="001A4F1A" w:rsidP="00E858EF">
      <w:pPr>
        <w:pStyle w:val="Titolo4"/>
        <w:keepNext w:val="0"/>
        <w:keepLines w:val="0"/>
        <w:suppressAutoHyphens/>
      </w:pPr>
      <w:bookmarkStart w:id="827" w:name="_Toc389508256"/>
      <w:bookmarkStart w:id="828" w:name="_Toc517745336"/>
      <w:r w:rsidRPr="00D6101B">
        <w:t>Sample</w:t>
      </w:r>
      <w:bookmarkEnd w:id="827"/>
      <w:bookmarkEnd w:id="828"/>
    </w:p>
    <w:p w14:paraId="02E98571" w14:textId="77777777" w:rsidR="001A4F1A" w:rsidRPr="00D6101B" w:rsidRDefault="001A4F1A" w:rsidP="00E858EF">
      <w:pPr>
        <w:suppressAutoHyphens/>
      </w:pPr>
      <w:r w:rsidRPr="00D6101B">
        <w:t>The sample of secure tombs with larnax burials for which there is information about grave good</w:t>
      </w:r>
      <w:r>
        <w:t>s</w:t>
      </w:r>
      <w:r w:rsidRPr="00D6101B">
        <w:t xml:space="preserve"> remains is 43.</w:t>
      </w:r>
      <w:r>
        <w:t xml:space="preserve"> </w:t>
      </w:r>
      <w:r w:rsidRPr="00D6101B">
        <w:t>For</w:t>
      </w:r>
      <w:r>
        <w:t xml:space="preserve"> the</w:t>
      </w:r>
      <w:r w:rsidRPr="00D6101B">
        <w:t xml:space="preserve"> remaining </w:t>
      </w:r>
      <w:r>
        <w:t>10</w:t>
      </w:r>
      <w:r w:rsidRPr="00D6101B">
        <w:t xml:space="preserve"> tombs</w:t>
      </w:r>
      <w:r>
        <w:t>,</w:t>
      </w:r>
      <w:r w:rsidRPr="00D6101B">
        <w:t xml:space="preserve"> there is no information about grave goods assemblage</w:t>
      </w:r>
      <w:r>
        <w:t>s</w:t>
      </w:r>
      <w:r w:rsidRPr="00D6101B">
        <w:t xml:space="preserve"> because of disruption and looting activities. The</w:t>
      </w:r>
      <w:r>
        <w:t xml:space="preserve">se are the following in </w:t>
      </w:r>
      <w:r w:rsidRPr="00D6101B">
        <w:t>four different cemeteries:</w:t>
      </w:r>
    </w:p>
    <w:p w14:paraId="53B0E909" w14:textId="77777777" w:rsidR="001A4F1A" w:rsidRPr="00D6101B" w:rsidRDefault="001A4F1A" w:rsidP="00E858EF">
      <w:pPr>
        <w:pStyle w:val="Paragrafoelenco"/>
        <w:numPr>
          <w:ilvl w:val="0"/>
          <w:numId w:val="43"/>
        </w:numPr>
        <w:suppressAutoHyphens/>
      </w:pPr>
      <w:r w:rsidRPr="00D6101B">
        <w:t>Tombs X and XI from Mavro Spelio cemetery (Forsdyke 1926/27: 270-272)</w:t>
      </w:r>
      <w:r>
        <w:t>.</w:t>
      </w:r>
    </w:p>
    <w:p w14:paraId="44E8E5D3" w14:textId="77777777" w:rsidR="001A4F1A" w:rsidRPr="00D6101B" w:rsidRDefault="001A4F1A" w:rsidP="00E858EF">
      <w:pPr>
        <w:pStyle w:val="Paragrafoelenco"/>
        <w:numPr>
          <w:ilvl w:val="0"/>
          <w:numId w:val="43"/>
        </w:numPr>
        <w:suppressAutoHyphens/>
      </w:pPr>
      <w:r w:rsidRPr="00D6101B">
        <w:t>A looted corbel</w:t>
      </w:r>
      <w:r>
        <w:t>-</w:t>
      </w:r>
      <w:r w:rsidRPr="00D6101B">
        <w:t>vaulted tomb from Knossos Sellopoulo</w:t>
      </w:r>
      <w:r>
        <w:t>,</w:t>
      </w:r>
      <w:r w:rsidRPr="00D6101B">
        <w:t xml:space="preserve"> where only three larnakes were found </w:t>
      </w:r>
      <w:r>
        <w:t>(</w:t>
      </w:r>
      <w:r w:rsidRPr="00D6101B">
        <w:t>Hogarth 1899/1900: 81</w:t>
      </w:r>
      <w:r>
        <w:t>).</w:t>
      </w:r>
    </w:p>
    <w:p w14:paraId="35C59B2E" w14:textId="77777777" w:rsidR="001A4F1A" w:rsidRPr="00D6101B" w:rsidRDefault="001A4F1A" w:rsidP="00E858EF">
      <w:pPr>
        <w:pStyle w:val="Paragrafoelenco"/>
        <w:numPr>
          <w:ilvl w:val="0"/>
          <w:numId w:val="43"/>
        </w:numPr>
        <w:suppressAutoHyphens/>
      </w:pPr>
      <w:r w:rsidRPr="00D6101B">
        <w:t>A double</w:t>
      </w:r>
      <w:r>
        <w:t>-</w:t>
      </w:r>
      <w:r w:rsidRPr="00D6101B">
        <w:t>shaft grave at Upper Gypsades</w:t>
      </w:r>
      <w:r>
        <w:t>,</w:t>
      </w:r>
      <w:r w:rsidRPr="00D6101B">
        <w:t xml:space="preserve"> w</w:t>
      </w:r>
      <w:r>
        <w:t>h</w:t>
      </w:r>
      <w:r w:rsidRPr="00D6101B">
        <w:t xml:space="preserve">ere no grave goods were found </w:t>
      </w:r>
      <w:r>
        <w:t>(</w:t>
      </w:r>
      <w:r w:rsidRPr="00D6101B">
        <w:t>Hood, Huxeley, Sandars and Werner 1958/1959: 218-220)</w:t>
      </w:r>
      <w:r>
        <w:t>.</w:t>
      </w:r>
    </w:p>
    <w:p w14:paraId="78DF1125" w14:textId="77777777" w:rsidR="001A4F1A" w:rsidRPr="00D6101B" w:rsidRDefault="001A4F1A" w:rsidP="00E858EF">
      <w:pPr>
        <w:pStyle w:val="Paragrafoelenco"/>
        <w:numPr>
          <w:ilvl w:val="0"/>
          <w:numId w:val="43"/>
        </w:numPr>
        <w:suppressAutoHyphens/>
      </w:pPr>
      <w:r w:rsidRPr="00D6101B">
        <w:t>Six plundered chamber tombs at Zafer Pap</w:t>
      </w:r>
      <w:r>
        <w:t xml:space="preserve">oura </w:t>
      </w:r>
      <w:r w:rsidRPr="00D6101B">
        <w:t>(tombs 8,</w:t>
      </w:r>
      <w:r>
        <w:t xml:space="preserve"> 11, 22, 29, 39, 60) (Evans 1906</w:t>
      </w:r>
      <w:r w:rsidRPr="00D6101B">
        <w:t>: 417, 422, 437, 439, 449, 458)</w:t>
      </w:r>
      <w:r>
        <w:t>.</w:t>
      </w:r>
    </w:p>
    <w:p w14:paraId="20A1A5B0" w14:textId="77777777" w:rsidR="001A4F1A" w:rsidRPr="00D6101B" w:rsidRDefault="001A4F1A" w:rsidP="00E858EF">
      <w:pPr>
        <w:pStyle w:val="Paragrafoelenco"/>
        <w:suppressAutoHyphens/>
        <w:ind w:left="0"/>
      </w:pPr>
      <w:r w:rsidRPr="00D6101B">
        <w:t xml:space="preserve">Unfortunately, these are not the only tombs where there </w:t>
      </w:r>
      <w:r>
        <w:t xml:space="preserve">is </w:t>
      </w:r>
      <w:r w:rsidRPr="00D6101B">
        <w:t>evidence of looting activity</w:t>
      </w:r>
      <w:r>
        <w:t>.</w:t>
      </w:r>
      <w:r w:rsidRPr="00D6101B">
        <w:t xml:space="preserve"> </w:t>
      </w:r>
      <w:r>
        <w:t xml:space="preserve">This activity </w:t>
      </w:r>
      <w:r w:rsidRPr="00D6101B">
        <w:t>affect</w:t>
      </w:r>
      <w:r>
        <w:t>s the Mavro Spelio and Zafer Papoura cemeteries in particular. However, the data from these have been included in the analysis.</w:t>
      </w:r>
    </w:p>
    <w:p w14:paraId="745E247B" w14:textId="77777777" w:rsidR="001A4F1A" w:rsidRPr="00D6101B" w:rsidRDefault="001A4F1A" w:rsidP="00E858EF">
      <w:pPr>
        <w:pStyle w:val="Titolo4"/>
        <w:keepNext w:val="0"/>
        <w:keepLines w:val="0"/>
        <w:suppressAutoHyphens/>
      </w:pPr>
      <w:bookmarkStart w:id="829" w:name="_Toc389508257"/>
      <w:bookmarkStart w:id="830" w:name="_Toc517745337"/>
      <w:r w:rsidRPr="00D6101B">
        <w:t>Material types</w:t>
      </w:r>
      <w:bookmarkEnd w:id="829"/>
      <w:bookmarkEnd w:id="830"/>
    </w:p>
    <w:p w14:paraId="5AAA70D4" w14:textId="77777777" w:rsidR="001A4F1A" w:rsidRPr="00D6101B" w:rsidRDefault="001A4F1A" w:rsidP="00E858EF">
      <w:pPr>
        <w:suppressAutoHyphens/>
      </w:pPr>
      <w:r w:rsidRPr="00D6101B">
        <w:t xml:space="preserve">Data concerning the material types of the assemblage </w:t>
      </w:r>
      <w:r>
        <w:t>are</w:t>
      </w:r>
      <w:r w:rsidRPr="00D6101B">
        <w:t xml:space="preserve"> summarised in th</w:t>
      </w:r>
      <w:r>
        <w:t>e</w:t>
      </w:r>
      <w:r w:rsidRPr="00D6101B">
        <w:t xml:space="preserve"> graph</w:t>
      </w:r>
      <w:r>
        <w:t>, below</w:t>
      </w:r>
      <w:r w:rsidRPr="00D6101B">
        <w:t>:</w:t>
      </w:r>
    </w:p>
    <w:p w14:paraId="2E6FF832" w14:textId="77777777" w:rsidR="001A4F1A" w:rsidRPr="00D6101B" w:rsidRDefault="001A4F1A" w:rsidP="00E858EF">
      <w:pPr>
        <w:pStyle w:val="Paragrafoelenco"/>
        <w:suppressAutoHyphens/>
        <w:ind w:hanging="720"/>
      </w:pPr>
      <w:r>
        <w:rPr>
          <w:noProof/>
          <w:lang w:val="it-IT"/>
        </w:rPr>
        <w:drawing>
          <wp:inline distT="0" distB="0" distL="0" distR="0" wp14:anchorId="754B9511" wp14:editId="7F3C8382">
            <wp:extent cx="5268036" cy="2808000"/>
            <wp:effectExtent l="0" t="0" r="8890" b="11430"/>
            <wp:docPr id="93" name="Grafico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189174F3" w14:textId="2FCA7E70" w:rsidR="001A4F1A" w:rsidRPr="00D6101B" w:rsidRDefault="001A4F1A" w:rsidP="00E858EF">
      <w:pPr>
        <w:pStyle w:val="Didascalia"/>
        <w:suppressAutoHyphens/>
      </w:pPr>
      <w:bookmarkStart w:id="831" w:name="_Toc520212377"/>
      <w:r>
        <w:t>Figure 4-39</w:t>
      </w:r>
      <w:r w:rsidR="003C6148">
        <w:t>.</w:t>
      </w:r>
      <w:r>
        <w:t xml:space="preserve"> </w:t>
      </w:r>
      <w:r w:rsidRPr="00AD12E3">
        <w:t>Material types occurrence</w:t>
      </w:r>
      <w:r w:rsidR="007B628E">
        <w:t>,</w:t>
      </w:r>
      <w:r w:rsidRPr="00AD12E3">
        <w:t xml:space="preserve"> Knossos area</w:t>
      </w:r>
      <w:bookmarkEnd w:id="831"/>
    </w:p>
    <w:p w14:paraId="34EB0983" w14:textId="77777777" w:rsidR="000B660B" w:rsidRDefault="000B660B" w:rsidP="00E858EF">
      <w:pPr>
        <w:suppressAutoHyphens/>
      </w:pPr>
    </w:p>
    <w:p w14:paraId="1F405F80" w14:textId="55D058C9" w:rsidR="001A4F1A" w:rsidRPr="00D6101B" w:rsidRDefault="001A4F1A" w:rsidP="00E858EF">
      <w:pPr>
        <w:suppressAutoHyphens/>
        <w:ind w:firstLine="708"/>
        <w:rPr>
          <w:color w:val="000000"/>
        </w:rPr>
      </w:pPr>
      <w:r w:rsidRPr="00D6101B">
        <w:t xml:space="preserve">The most common material type in </w:t>
      </w:r>
      <w:r>
        <w:t xml:space="preserve">the </w:t>
      </w:r>
      <w:r w:rsidRPr="00D6101B">
        <w:t>Knossos area is ceramic</w:t>
      </w:r>
      <w:r>
        <w:t xml:space="preserve"> (pottery),</w:t>
      </w:r>
      <w:r w:rsidRPr="00D6101B">
        <w:t xml:space="preserve"> which </w:t>
      </w:r>
      <w:r>
        <w:t>is present</w:t>
      </w:r>
      <w:r w:rsidRPr="00D6101B">
        <w:t xml:space="preserve"> in 74% of the tombs. In the remaining 26%, no pottery artefacts have been retrieved.</w:t>
      </w:r>
      <w:r>
        <w:t xml:space="preserve"> </w:t>
      </w:r>
      <w:r w:rsidRPr="00D6101B">
        <w:t xml:space="preserve">The other most common materials registered are bronze and stone, which </w:t>
      </w:r>
      <w:r>
        <w:t>are present</w:t>
      </w:r>
      <w:r w:rsidRPr="00D6101B">
        <w:t xml:space="preserve"> in 25 and 24 tombs</w:t>
      </w:r>
      <w:r>
        <w:t xml:space="preserve"> respectively</w:t>
      </w:r>
      <w:r w:rsidRPr="00D6101B">
        <w:t>, followed by faience and glass (11 tombs) and ivory and gold (</w:t>
      </w:r>
      <w:r>
        <w:t xml:space="preserve">five tombs </w:t>
      </w:r>
      <w:r w:rsidRPr="00D6101B">
        <w:t>each).</w:t>
      </w:r>
      <w:r>
        <w:t xml:space="preserve"> </w:t>
      </w:r>
      <w:r w:rsidRPr="00D6101B">
        <w:t xml:space="preserve">Wooden remains have been found in four tombs, although in the vast majority of cases they constitute the remains of </w:t>
      </w:r>
      <w:r>
        <w:t xml:space="preserve">a </w:t>
      </w:r>
      <w:r w:rsidRPr="00D6101B">
        <w:t xml:space="preserve">wooden bier/coffin. Only in the case of </w:t>
      </w:r>
      <w:r>
        <w:t>T</w:t>
      </w:r>
      <w:r w:rsidRPr="00D6101B">
        <w:t xml:space="preserve">omb IV at Upper Gypsades </w:t>
      </w:r>
      <w:r>
        <w:t xml:space="preserve">were </w:t>
      </w:r>
      <w:r w:rsidRPr="00D6101B">
        <w:t>wooden traces</w:t>
      </w:r>
      <w:r>
        <w:t>,</w:t>
      </w:r>
      <w:r w:rsidRPr="00D6101B">
        <w:t xml:space="preserve"> probably belong</w:t>
      </w:r>
      <w:r>
        <w:t>ing</w:t>
      </w:r>
      <w:r w:rsidRPr="00D6101B">
        <w:t xml:space="preserve"> to a small wooden box</w:t>
      </w:r>
      <w:r>
        <w:t>,</w:t>
      </w:r>
      <w:r w:rsidRPr="00D6101B">
        <w:t xml:space="preserve"> found </w:t>
      </w:r>
      <w:r w:rsidRPr="00D6101B">
        <w:rPr>
          <w:color w:val="000000"/>
        </w:rPr>
        <w:t xml:space="preserve">below the larnax </w:t>
      </w:r>
      <w:r>
        <w:rPr>
          <w:color w:val="000000"/>
        </w:rPr>
        <w:t>i</w:t>
      </w:r>
      <w:r w:rsidRPr="00D6101B">
        <w:rPr>
          <w:color w:val="000000"/>
        </w:rPr>
        <w:t xml:space="preserve">n the top northwest corner of the pit. </w:t>
      </w:r>
      <w:r>
        <w:rPr>
          <w:color w:val="000000"/>
        </w:rPr>
        <w:t>The presumed box was</w:t>
      </w:r>
      <w:r w:rsidRPr="00D6101B">
        <w:rPr>
          <w:color w:val="000000"/>
        </w:rPr>
        <w:t xml:space="preserve"> associated </w:t>
      </w:r>
      <w:r>
        <w:rPr>
          <w:color w:val="000000"/>
        </w:rPr>
        <w:t xml:space="preserve">with </w:t>
      </w:r>
      <w:r w:rsidRPr="00D6101B">
        <w:rPr>
          <w:color w:val="000000"/>
        </w:rPr>
        <w:t>(</w:t>
      </w:r>
      <w:r>
        <w:rPr>
          <w:color w:val="000000"/>
        </w:rPr>
        <w:t>and possibly once contained)</w:t>
      </w:r>
      <w:r w:rsidRPr="00D6101B">
        <w:rPr>
          <w:color w:val="000000"/>
        </w:rPr>
        <w:t xml:space="preserve"> other grave goods: an ivory comb, a conical steatite spindle-whorl, and a small bronze point. </w:t>
      </w:r>
    </w:p>
    <w:p w14:paraId="039C8772" w14:textId="77777777" w:rsidR="001A4F1A" w:rsidRPr="00D6101B" w:rsidRDefault="001A4F1A" w:rsidP="00E858EF">
      <w:pPr>
        <w:suppressAutoHyphens/>
      </w:pPr>
      <w:r>
        <w:tab/>
        <w:t>Regarding</w:t>
      </w:r>
      <w:r w:rsidRPr="00D6101B">
        <w:t xml:space="preserve"> material type variety, 30% </w:t>
      </w:r>
      <w:r>
        <w:t xml:space="preserve">of the </w:t>
      </w:r>
      <w:r w:rsidRPr="00D6101B">
        <w:t xml:space="preserve">tombs </w:t>
      </w:r>
      <w:r>
        <w:t>contained</w:t>
      </w:r>
      <w:r w:rsidRPr="00D6101B">
        <w:t xml:space="preserve"> more than </w:t>
      </w:r>
      <w:r>
        <w:t>three</w:t>
      </w:r>
      <w:r w:rsidRPr="00D6101B">
        <w:t xml:space="preserve"> different material types, while the remaining 70% </w:t>
      </w:r>
      <w:r>
        <w:t>contained</w:t>
      </w:r>
      <w:r w:rsidRPr="00D6101B">
        <w:t xml:space="preserve"> a maximum of three different materials type.</w:t>
      </w:r>
      <w:r>
        <w:t xml:space="preserve"> A f</w:t>
      </w:r>
      <w:r w:rsidRPr="00D6101B">
        <w:t xml:space="preserve">ew tombs </w:t>
      </w:r>
      <w:r>
        <w:t>stand out</w:t>
      </w:r>
      <w:r w:rsidRPr="00D6101B">
        <w:t xml:space="preserve"> because of the variety of material types </w:t>
      </w:r>
      <w:r>
        <w:t>and</w:t>
      </w:r>
      <w:r w:rsidRPr="00D6101B">
        <w:t xml:space="preserve"> because they </w:t>
      </w:r>
      <w:r>
        <w:t xml:space="preserve">contained </w:t>
      </w:r>
      <w:r w:rsidRPr="00D6101B">
        <w:t>precious materials in their grave goods assemblages:</w:t>
      </w:r>
    </w:p>
    <w:p w14:paraId="2704E101" w14:textId="77777777" w:rsidR="001A4F1A" w:rsidRPr="00D6101B" w:rsidRDefault="001A4F1A" w:rsidP="00E858EF">
      <w:pPr>
        <w:pStyle w:val="Paragrafoelenco"/>
        <w:numPr>
          <w:ilvl w:val="0"/>
          <w:numId w:val="45"/>
        </w:numPr>
        <w:suppressAutoHyphens/>
      </w:pPr>
      <w:r w:rsidRPr="00D6101B">
        <w:t>The grave goods assemblage of Tomb H at Katsambas includes seven different material types (bronze, ceramic, pottery, glass, gold, ivory</w:t>
      </w:r>
      <w:r>
        <w:t xml:space="preserve"> and</w:t>
      </w:r>
      <w:r w:rsidRPr="00D6101B">
        <w:t xml:space="preserve"> stone).</w:t>
      </w:r>
    </w:p>
    <w:p w14:paraId="0138ACDF" w14:textId="77777777" w:rsidR="001A4F1A" w:rsidRPr="00D6101B" w:rsidRDefault="001A4F1A" w:rsidP="00E858EF">
      <w:pPr>
        <w:pStyle w:val="Paragrafoelenco"/>
        <w:numPr>
          <w:ilvl w:val="0"/>
          <w:numId w:val="45"/>
        </w:numPr>
        <w:suppressAutoHyphens/>
      </w:pPr>
      <w:r w:rsidRPr="00D6101B">
        <w:t xml:space="preserve">The </w:t>
      </w:r>
      <w:r>
        <w:t>d</w:t>
      </w:r>
      <w:r w:rsidRPr="00D6101B">
        <w:t>ouble</w:t>
      </w:r>
      <w:r>
        <w:t>-</w:t>
      </w:r>
      <w:r w:rsidRPr="00D6101B">
        <w:t xml:space="preserve">chamber </w:t>
      </w:r>
      <w:r>
        <w:t>T</w:t>
      </w:r>
      <w:r w:rsidRPr="00D6101B">
        <w:t xml:space="preserve">omb 83/84 and </w:t>
      </w:r>
      <w:r>
        <w:t>T</w:t>
      </w:r>
      <w:r w:rsidRPr="00D6101B">
        <w:t xml:space="preserve">omb 100 at Zafer Papoura </w:t>
      </w:r>
      <w:r>
        <w:t xml:space="preserve">both contained </w:t>
      </w:r>
      <w:r w:rsidRPr="00D6101B">
        <w:t xml:space="preserve">more than </w:t>
      </w:r>
      <w:r>
        <w:t>three</w:t>
      </w:r>
      <w:r w:rsidRPr="00D6101B">
        <w:t xml:space="preserve"> materials </w:t>
      </w:r>
      <w:r>
        <w:t>each</w:t>
      </w:r>
      <w:r w:rsidRPr="00D6101B">
        <w:t xml:space="preserve"> and</w:t>
      </w:r>
      <w:r>
        <w:t>,</w:t>
      </w:r>
      <w:r w:rsidRPr="00D6101B">
        <w:t xml:space="preserve"> in the double tomb</w:t>
      </w:r>
      <w:r>
        <w:t>,</w:t>
      </w:r>
      <w:r w:rsidRPr="00D6101B">
        <w:t xml:space="preserve"> ivory and silver </w:t>
      </w:r>
      <w:r>
        <w:t>were</w:t>
      </w:r>
      <w:r w:rsidRPr="00D6101B">
        <w:t xml:space="preserve"> found</w:t>
      </w:r>
      <w:r>
        <w:t>.</w:t>
      </w:r>
    </w:p>
    <w:p w14:paraId="764CA1C1" w14:textId="77777777" w:rsidR="001A4F1A" w:rsidRPr="00D6101B" w:rsidRDefault="001A4F1A" w:rsidP="00E858EF">
      <w:pPr>
        <w:pStyle w:val="Paragrafoelenco"/>
        <w:numPr>
          <w:ilvl w:val="0"/>
          <w:numId w:val="45"/>
        </w:numPr>
        <w:suppressAutoHyphens/>
      </w:pPr>
      <w:r w:rsidRPr="00D6101B">
        <w:t xml:space="preserve">Upper Gypsades </w:t>
      </w:r>
      <w:r>
        <w:t>T</w:t>
      </w:r>
      <w:r w:rsidRPr="00D6101B">
        <w:t>omb VII contain</w:t>
      </w:r>
      <w:r>
        <w:t>ed</w:t>
      </w:r>
      <w:r w:rsidRPr="00D6101B">
        <w:t xml:space="preserve"> glass and iron, in addition to bronze</w:t>
      </w:r>
      <w:r>
        <w:t>,</w:t>
      </w:r>
      <w:r w:rsidRPr="00D6101B">
        <w:t xml:space="preserve"> ceramic and stone</w:t>
      </w:r>
      <w:r>
        <w:t>.</w:t>
      </w:r>
    </w:p>
    <w:p w14:paraId="74E65289" w14:textId="77777777" w:rsidR="001A4F1A" w:rsidRPr="00D6101B" w:rsidRDefault="001A4F1A" w:rsidP="00E858EF">
      <w:pPr>
        <w:pStyle w:val="Paragrafoelenco"/>
        <w:numPr>
          <w:ilvl w:val="0"/>
          <w:numId w:val="45"/>
        </w:numPr>
        <w:suppressAutoHyphens/>
      </w:pPr>
      <w:r w:rsidRPr="00D6101B">
        <w:t xml:space="preserve">Mavro Spelio tombs VII and IX </w:t>
      </w:r>
      <w:r>
        <w:t>both contained</w:t>
      </w:r>
      <w:r w:rsidRPr="00D6101B">
        <w:t xml:space="preserve"> bronze</w:t>
      </w:r>
      <w:r>
        <w:t>,</w:t>
      </w:r>
      <w:r w:rsidRPr="00D6101B">
        <w:t xml:space="preserve"> ceramic and stone</w:t>
      </w:r>
      <w:r>
        <w:t>,</w:t>
      </w:r>
      <w:r w:rsidRPr="00D6101B">
        <w:t xml:space="preserve"> </w:t>
      </w:r>
      <w:r>
        <w:t>as well as</w:t>
      </w:r>
      <w:r w:rsidRPr="00D6101B">
        <w:t xml:space="preserve"> gold </w:t>
      </w:r>
      <w:r>
        <w:t>and ivory</w:t>
      </w:r>
      <w:r w:rsidRPr="00D6101B">
        <w:t xml:space="preserve"> in </w:t>
      </w:r>
      <w:r>
        <w:t>T</w:t>
      </w:r>
      <w:r w:rsidRPr="00D6101B">
        <w:t>omb IX.</w:t>
      </w:r>
    </w:p>
    <w:p w14:paraId="42F94D07" w14:textId="77777777" w:rsidR="001A4F1A" w:rsidRPr="00D6101B" w:rsidRDefault="001A4F1A" w:rsidP="00E858EF">
      <w:pPr>
        <w:pStyle w:val="Titolo4"/>
        <w:keepNext w:val="0"/>
        <w:keepLines w:val="0"/>
        <w:suppressAutoHyphens/>
      </w:pPr>
      <w:bookmarkStart w:id="832" w:name="_Toc389508258"/>
      <w:bookmarkStart w:id="833" w:name="_Toc517745338"/>
      <w:r>
        <w:t>Non-ceramic</w:t>
      </w:r>
      <w:r w:rsidRPr="00D6101B">
        <w:t xml:space="preserve"> artefacts</w:t>
      </w:r>
      <w:bookmarkEnd w:id="832"/>
      <w:bookmarkEnd w:id="833"/>
    </w:p>
    <w:p w14:paraId="710CD7BD" w14:textId="77777777" w:rsidR="001A4F1A" w:rsidRPr="00D6101B" w:rsidRDefault="001A4F1A" w:rsidP="00E858EF">
      <w:pPr>
        <w:suppressAutoHyphens/>
      </w:pPr>
      <w:r w:rsidRPr="00D6101B">
        <w:t xml:space="preserve">The presence of </w:t>
      </w:r>
      <w:r>
        <w:t>non-ceramic</w:t>
      </w:r>
      <w:r w:rsidRPr="00D6101B">
        <w:t xml:space="preserve"> artefacts </w:t>
      </w:r>
      <w:r>
        <w:t>is</w:t>
      </w:r>
      <w:r w:rsidRPr="00D6101B">
        <w:t xml:space="preserve"> registered in 38 tombs </w:t>
      </w:r>
      <w:r>
        <w:t xml:space="preserve">or </w:t>
      </w:r>
      <w:r w:rsidRPr="00D6101B">
        <w:t>79% of the sample of tombs for which grave goods assemblage information is available. In 10 tombs</w:t>
      </w:r>
      <w:r>
        <w:t>,</w:t>
      </w:r>
      <w:r w:rsidRPr="00D6101B">
        <w:t xml:space="preserve"> only pottery artefacts </w:t>
      </w:r>
      <w:r>
        <w:t>were</w:t>
      </w:r>
      <w:r w:rsidRPr="00D6101B">
        <w:t xml:space="preserve"> found</w:t>
      </w:r>
      <w:r>
        <w:t>, n</w:t>
      </w:r>
      <w:r w:rsidRPr="00D6101B">
        <w:t>o dagger</w:t>
      </w:r>
      <w:r>
        <w:t>s</w:t>
      </w:r>
      <w:r w:rsidRPr="00D6101B">
        <w:t>, metal vessel</w:t>
      </w:r>
      <w:r>
        <w:t>s</w:t>
      </w:r>
      <w:r w:rsidRPr="00D6101B">
        <w:t xml:space="preserve"> </w:t>
      </w:r>
      <w:r>
        <w:t>or</w:t>
      </w:r>
      <w:r w:rsidRPr="00D6101B">
        <w:t xml:space="preserve"> chisel</w:t>
      </w:r>
      <w:r>
        <w:t>s</w:t>
      </w:r>
      <w:r w:rsidRPr="00D6101B">
        <w:t xml:space="preserve"> </w:t>
      </w:r>
      <w:r>
        <w:t>were</w:t>
      </w:r>
      <w:r w:rsidRPr="00D6101B">
        <w:t xml:space="preserve"> found.</w:t>
      </w:r>
    </w:p>
    <w:p w14:paraId="14BD5178" w14:textId="77777777" w:rsidR="001A4F1A" w:rsidRPr="00D6101B" w:rsidRDefault="001A4F1A" w:rsidP="00E858EF">
      <w:pPr>
        <w:suppressAutoHyphens/>
      </w:pPr>
      <w:r>
        <w:tab/>
      </w:r>
      <w:r w:rsidRPr="00D6101B">
        <w:t xml:space="preserve">The </w:t>
      </w:r>
      <w:r>
        <w:t xml:space="preserve">most common </w:t>
      </w:r>
      <w:r w:rsidRPr="00D6101B">
        <w:t xml:space="preserve">items </w:t>
      </w:r>
      <w:r>
        <w:t>are</w:t>
      </w:r>
      <w:r w:rsidRPr="00D6101B">
        <w:t xml:space="preserve"> beads, which </w:t>
      </w:r>
      <w:r>
        <w:t>were found</w:t>
      </w:r>
      <w:r w:rsidRPr="00D6101B">
        <w:t xml:space="preserve"> in </w:t>
      </w:r>
      <w:r>
        <w:t>many</w:t>
      </w:r>
      <w:r w:rsidRPr="00D6101B">
        <w:t xml:space="preserve"> tombs (21 </w:t>
      </w:r>
      <w:r>
        <w:t>of</w:t>
      </w:r>
      <w:r w:rsidRPr="00D6101B">
        <w:t xml:space="preserve"> 34). </w:t>
      </w:r>
      <w:r>
        <w:t>A</w:t>
      </w:r>
      <w:r w:rsidRPr="00D6101B">
        <w:t xml:space="preserve"> high number of beads </w:t>
      </w:r>
      <w:r>
        <w:t>were</w:t>
      </w:r>
      <w:r w:rsidRPr="00D6101B">
        <w:t xml:space="preserve"> distributed in four tombs, Mavro Spelio VII and IX, Upper Gypsades 11 and Katsambas H (more than 40 beads in</w:t>
      </w:r>
      <w:r>
        <w:t xml:space="preserve"> each of</w:t>
      </w:r>
      <w:r w:rsidRPr="00D6101B">
        <w:t xml:space="preserve"> these tombs)</w:t>
      </w:r>
      <w:r>
        <w:t>. The beads</w:t>
      </w:r>
      <w:r w:rsidRPr="00D6101B">
        <w:t xml:space="preserve"> indicate the </w:t>
      </w:r>
      <w:r>
        <w:t xml:space="preserve">likely </w:t>
      </w:r>
      <w:r w:rsidRPr="00D6101B">
        <w:t>presence of necklaces.</w:t>
      </w:r>
    </w:p>
    <w:p w14:paraId="3DEB19F9" w14:textId="77777777" w:rsidR="001A4F1A" w:rsidRPr="00D6101B" w:rsidRDefault="001A4F1A" w:rsidP="00E858EF">
      <w:pPr>
        <w:suppressAutoHyphens/>
      </w:pPr>
      <w:r>
        <w:tab/>
        <w:t>Regarding</w:t>
      </w:r>
      <w:r w:rsidRPr="00D6101B">
        <w:t xml:space="preserve"> other items, the four </w:t>
      </w:r>
      <w:r>
        <w:t>most common</w:t>
      </w:r>
      <w:r w:rsidRPr="00D6101B">
        <w:t xml:space="preserve"> are pins, seals, ring</w:t>
      </w:r>
      <w:r>
        <w:t>s</w:t>
      </w:r>
      <w:r w:rsidRPr="00D6101B">
        <w:t xml:space="preserve"> and whorl</w:t>
      </w:r>
      <w:r>
        <w:t>s</w:t>
      </w:r>
      <w:r w:rsidRPr="00D6101B">
        <w:t xml:space="preserve">. The cemetery </w:t>
      </w:r>
      <w:r>
        <w:t>at</w:t>
      </w:r>
      <w:r w:rsidRPr="00D6101B">
        <w:t xml:space="preserve"> Mavro Spelio </w:t>
      </w:r>
      <w:r>
        <w:t>had a</w:t>
      </w:r>
      <w:r w:rsidRPr="00D6101B">
        <w:t xml:space="preserve"> high concentration of some of these items: </w:t>
      </w:r>
    </w:p>
    <w:p w14:paraId="7F5033D4" w14:textId="77777777" w:rsidR="001A4F1A" w:rsidRPr="00D6101B" w:rsidRDefault="001A4F1A" w:rsidP="00E858EF">
      <w:pPr>
        <w:pStyle w:val="Paragrafoelenco"/>
        <w:numPr>
          <w:ilvl w:val="0"/>
          <w:numId w:val="47"/>
        </w:numPr>
        <w:suppressAutoHyphens/>
      </w:pPr>
      <w:r>
        <w:t>P</w:t>
      </w:r>
      <w:r w:rsidRPr="00D6101B">
        <w:t>in</w:t>
      </w:r>
      <w:r>
        <w:t>s</w:t>
      </w:r>
      <w:r w:rsidRPr="00D6101B">
        <w:t xml:space="preserve"> (50%</w:t>
      </w:r>
      <w:r>
        <w:t xml:space="preserve"> of the total number from the region</w:t>
      </w:r>
      <w:r w:rsidRPr="00D6101B">
        <w:t xml:space="preserve">) </w:t>
      </w:r>
      <w:r>
        <w:t>were</w:t>
      </w:r>
      <w:r w:rsidRPr="00D6101B">
        <w:t xml:space="preserve"> </w:t>
      </w:r>
      <w:r>
        <w:t>found</w:t>
      </w:r>
      <w:r w:rsidRPr="00D6101B">
        <w:t xml:space="preserve"> in </w:t>
      </w:r>
      <w:r>
        <w:t>T</w:t>
      </w:r>
      <w:r w:rsidRPr="00D6101B">
        <w:t>omb IV at Mavro Spelio</w:t>
      </w:r>
    </w:p>
    <w:p w14:paraId="42E14C11" w14:textId="77777777" w:rsidR="001A4F1A" w:rsidRPr="00D6101B" w:rsidRDefault="001A4F1A" w:rsidP="00E858EF">
      <w:pPr>
        <w:pStyle w:val="Paragrafoelenco"/>
        <w:numPr>
          <w:ilvl w:val="0"/>
          <w:numId w:val="47"/>
        </w:numPr>
        <w:suppressAutoHyphens/>
      </w:pPr>
      <w:r>
        <w:t xml:space="preserve">Seals </w:t>
      </w:r>
      <w:r w:rsidRPr="00D6101B">
        <w:t xml:space="preserve">16 </w:t>
      </w:r>
      <w:r>
        <w:t>out of</w:t>
      </w:r>
      <w:r w:rsidRPr="00D6101B">
        <w:t xml:space="preserve"> 20 (56%</w:t>
      </w:r>
      <w:r>
        <w:t xml:space="preserve"> of the total number of seals</w:t>
      </w:r>
      <w:r w:rsidRPr="00D6101B">
        <w:t>) c</w:t>
      </w:r>
      <w:r>
        <w:t>a</w:t>
      </w:r>
      <w:r w:rsidRPr="00D6101B">
        <w:t xml:space="preserve">me from four different tombs </w:t>
      </w:r>
      <w:r>
        <w:t xml:space="preserve">at the </w:t>
      </w:r>
      <w:r w:rsidRPr="00D6101B">
        <w:t>Mavro Spelio cemetery</w:t>
      </w:r>
    </w:p>
    <w:p w14:paraId="58301259" w14:textId="77777777" w:rsidR="001A4F1A" w:rsidRPr="00D6101B" w:rsidRDefault="001A4F1A" w:rsidP="00E858EF">
      <w:pPr>
        <w:pStyle w:val="Paragrafoelenco"/>
        <w:numPr>
          <w:ilvl w:val="0"/>
          <w:numId w:val="47"/>
        </w:numPr>
        <w:suppressAutoHyphens/>
      </w:pPr>
      <w:r w:rsidRPr="00D6101B">
        <w:t>6 stone vessels out of 12 c</w:t>
      </w:r>
      <w:r>
        <w:t>a</w:t>
      </w:r>
      <w:r w:rsidRPr="00D6101B">
        <w:t>me from tombs VII and IX at Mavro Spelio</w:t>
      </w:r>
    </w:p>
    <w:p w14:paraId="473CC8EF" w14:textId="77777777" w:rsidR="001A4F1A" w:rsidRPr="00D6101B" w:rsidRDefault="001A4F1A" w:rsidP="00E858EF">
      <w:pPr>
        <w:suppressAutoHyphens/>
      </w:pPr>
      <w:r w:rsidRPr="00D6101B">
        <w:t>Three</w:t>
      </w:r>
      <w:r>
        <w:t xml:space="preserve"> gold</w:t>
      </w:r>
      <w:r w:rsidRPr="00D6101B">
        <w:t xml:space="preserve"> rings </w:t>
      </w:r>
      <w:r>
        <w:t>(one from each) came</w:t>
      </w:r>
      <w:r w:rsidRPr="00D6101B">
        <w:t xml:space="preserve"> from Mavro Spelio tomb</w:t>
      </w:r>
      <w:r>
        <w:t>s</w:t>
      </w:r>
      <w:r w:rsidRPr="00D6101B">
        <w:t xml:space="preserve"> VII and IX</w:t>
      </w:r>
      <w:r>
        <w:t xml:space="preserve"> (no LM III rings but earlier, see Forsdyke 1926/27: 263, pl. 18 and fig. 38)</w:t>
      </w:r>
      <w:r w:rsidRPr="00D6101B">
        <w:t xml:space="preserve"> and from Upper Gypsades </w:t>
      </w:r>
      <w:r>
        <w:t>T</w:t>
      </w:r>
      <w:r w:rsidRPr="00D6101B">
        <w:t>omb 3</w:t>
      </w:r>
      <w:r>
        <w:t xml:space="preserve"> (</w:t>
      </w:r>
      <w:r w:rsidRPr="003E0AF7">
        <w:rPr>
          <w:i/>
        </w:rPr>
        <w:t xml:space="preserve">ADelt </w:t>
      </w:r>
      <w:r>
        <w:t>48 1993:</w:t>
      </w:r>
      <w:r w:rsidRPr="003E0AF7">
        <w:t xml:space="preserve"> 445-448</w:t>
      </w:r>
      <w:r>
        <w:t>)</w:t>
      </w:r>
      <w:r w:rsidRPr="00D6101B">
        <w:t>.</w:t>
      </w:r>
    </w:p>
    <w:p w14:paraId="01F5422F" w14:textId="77777777" w:rsidR="001A4F1A" w:rsidRDefault="001A4F1A" w:rsidP="00E858EF">
      <w:pPr>
        <w:suppressAutoHyphens/>
      </w:pPr>
      <w:r>
        <w:tab/>
        <w:t>Regarding</w:t>
      </w:r>
      <w:r w:rsidRPr="00D6101B">
        <w:t xml:space="preserve"> weapons</w:t>
      </w:r>
      <w:r>
        <w:t>,</w:t>
      </w:r>
      <w:r w:rsidRPr="00D6101B">
        <w:t xml:space="preserve"> kni</w:t>
      </w:r>
      <w:r>
        <w:t>v</w:t>
      </w:r>
      <w:r w:rsidRPr="00D6101B">
        <w:t xml:space="preserve">es are the most common, </w:t>
      </w:r>
      <w:r>
        <w:t>found</w:t>
      </w:r>
      <w:r w:rsidRPr="00D6101B">
        <w:t xml:space="preserve"> in </w:t>
      </w:r>
      <w:r>
        <w:t>11</w:t>
      </w:r>
      <w:r w:rsidRPr="00D6101B">
        <w:t xml:space="preserve"> tombs equally distributed.</w:t>
      </w:r>
    </w:p>
    <w:p w14:paraId="38F8B1E2" w14:textId="77777777" w:rsidR="001A4F1A" w:rsidRPr="00D6101B" w:rsidRDefault="001A4F1A" w:rsidP="00E858EF">
      <w:pPr>
        <w:suppressAutoHyphens/>
        <w:ind w:firstLine="708"/>
      </w:pPr>
      <w:r w:rsidRPr="00D6101B">
        <w:t xml:space="preserve">The </w:t>
      </w:r>
      <w:r>
        <w:t>non-ceramic</w:t>
      </w:r>
      <w:r w:rsidRPr="00D6101B">
        <w:t xml:space="preserve"> </w:t>
      </w:r>
      <w:r>
        <w:t xml:space="preserve">item </w:t>
      </w:r>
      <w:r w:rsidRPr="00D6101B">
        <w:t xml:space="preserve">types not found in </w:t>
      </w:r>
      <w:r>
        <w:t xml:space="preserve">grave goods assemblages in </w:t>
      </w:r>
      <w:r w:rsidRPr="00D6101B">
        <w:t>secure tombs with larnakes</w:t>
      </w:r>
      <w:r>
        <w:t xml:space="preserve"> in Knossos area </w:t>
      </w:r>
      <w:r w:rsidRPr="00D6101B">
        <w:t>a</w:t>
      </w:r>
      <w:r>
        <w:t>re dagger, metal vessel, chisel, necklace (although the high number of beads suggests the occurrence of necklaces).</w:t>
      </w:r>
    </w:p>
    <w:p w14:paraId="37CCF668" w14:textId="77777777" w:rsidR="001A4F1A" w:rsidRPr="00D6101B" w:rsidRDefault="001A4F1A" w:rsidP="00E858EF">
      <w:pPr>
        <w:suppressAutoHyphens/>
      </w:pPr>
      <w:r>
        <w:tab/>
        <w:t>Regarding</w:t>
      </w:r>
      <w:r w:rsidRPr="00D6101B">
        <w:t xml:space="preserve"> other </w:t>
      </w:r>
      <w:r>
        <w:t>non-ceramic</w:t>
      </w:r>
      <w:r w:rsidRPr="00D6101B">
        <w:t xml:space="preserve"> items</w:t>
      </w:r>
      <w:r>
        <w:t>,</w:t>
      </w:r>
      <w:r w:rsidRPr="00D6101B">
        <w:t xml:space="preserve"> there </w:t>
      </w:r>
      <w:r>
        <w:t>is</w:t>
      </w:r>
      <w:r w:rsidRPr="00D6101B">
        <w:t xml:space="preserve"> a pair of gold earrings from </w:t>
      </w:r>
      <w:r>
        <w:t>T</w:t>
      </w:r>
      <w:r w:rsidRPr="00D6101B">
        <w:t xml:space="preserve">omb VII at Mavro Spelio (one of the richest tombs in terms of </w:t>
      </w:r>
      <w:r>
        <w:t>non-ceramic</w:t>
      </w:r>
      <w:r w:rsidRPr="00D6101B">
        <w:t xml:space="preserve"> artefacts)</w:t>
      </w:r>
      <w:r>
        <w:t>,</w:t>
      </w:r>
      <w:r w:rsidRPr="00D6101B">
        <w:t xml:space="preserve"> gold leaves and 12 weights from </w:t>
      </w:r>
      <w:r>
        <w:t>T</w:t>
      </w:r>
      <w:r w:rsidRPr="00D6101B">
        <w:t xml:space="preserve">omb H at Katsambas, </w:t>
      </w:r>
      <w:r>
        <w:t>and three</w:t>
      </w:r>
      <w:r w:rsidRPr="00D6101B">
        <w:t xml:space="preserve"> bronze items </w:t>
      </w:r>
      <w:r>
        <w:t>(</w:t>
      </w:r>
      <w:r w:rsidRPr="00D6101B">
        <w:t>a phiale, an axe and a ladle</w:t>
      </w:r>
      <w:r>
        <w:t>)</w:t>
      </w:r>
      <w:r w:rsidRPr="00D6101B">
        <w:t xml:space="preserve"> from </w:t>
      </w:r>
      <w:r>
        <w:t>T</w:t>
      </w:r>
      <w:r w:rsidRPr="00D6101B">
        <w:t>omb 3 Upper Gypsades.</w:t>
      </w:r>
    </w:p>
    <w:p w14:paraId="4D15D350" w14:textId="77777777" w:rsidR="001A4F1A" w:rsidRPr="00D6101B" w:rsidRDefault="001A4F1A" w:rsidP="00E858EF">
      <w:pPr>
        <w:suppressAutoHyphens/>
      </w:pPr>
    </w:p>
    <w:p w14:paraId="0EC02BA4" w14:textId="77777777" w:rsidR="000B660B" w:rsidRDefault="000B660B" w:rsidP="00E858EF">
      <w:pPr>
        <w:suppressAutoHyphens/>
        <w:spacing w:line="240" w:lineRule="auto"/>
        <w:contextualSpacing w:val="0"/>
        <w:jc w:val="left"/>
        <w:rPr>
          <w:rFonts w:cs="Lucida Grande"/>
          <w:b/>
          <w:sz w:val="20"/>
          <w:szCs w:val="18"/>
        </w:rPr>
      </w:pPr>
      <w:r>
        <w:br w:type="page"/>
      </w:r>
    </w:p>
    <w:p w14:paraId="5958949B" w14:textId="2549143F" w:rsidR="001A4F1A" w:rsidRPr="00D6101B" w:rsidRDefault="001A4F1A" w:rsidP="00E858EF">
      <w:pPr>
        <w:pStyle w:val="Testofumetto"/>
        <w:suppressAutoHyphens/>
      </w:pPr>
      <w:bookmarkStart w:id="834" w:name="_Toc520212613"/>
      <w:r>
        <w:t>Table 4-38</w:t>
      </w:r>
      <w:r w:rsidR="00AF2BE8">
        <w:t>.</w:t>
      </w:r>
      <w:r>
        <w:t xml:space="preserve"> Beads occurrence</w:t>
      </w:r>
      <w:r w:rsidR="007D3735">
        <w:t>,</w:t>
      </w:r>
      <w:r>
        <w:t xml:space="preserve"> Knossos area</w:t>
      </w:r>
      <w:bookmarkEnd w:id="83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7"/>
        <w:gridCol w:w="3257"/>
      </w:tblGrid>
      <w:tr w:rsidR="001A4F1A" w:rsidRPr="000C61EC" w14:paraId="5CF9F218" w14:textId="77777777" w:rsidTr="009D5FBB">
        <w:tc>
          <w:tcPr>
            <w:tcW w:w="3257" w:type="dxa"/>
          </w:tcPr>
          <w:p w14:paraId="3649D168" w14:textId="77777777" w:rsidR="001A4F1A" w:rsidRPr="000C61EC" w:rsidRDefault="001A4F1A" w:rsidP="00E858EF">
            <w:pPr>
              <w:suppressAutoHyphens/>
              <w:rPr>
                <w:sz w:val="20"/>
              </w:rPr>
            </w:pPr>
          </w:p>
        </w:tc>
        <w:tc>
          <w:tcPr>
            <w:tcW w:w="3257" w:type="dxa"/>
          </w:tcPr>
          <w:p w14:paraId="37FC168D" w14:textId="09403EB6" w:rsidR="001A4F1A" w:rsidRPr="000C61EC" w:rsidRDefault="001A4F1A" w:rsidP="00E858EF">
            <w:pPr>
              <w:suppressAutoHyphens/>
              <w:jc w:val="center"/>
              <w:rPr>
                <w:sz w:val="20"/>
              </w:rPr>
            </w:pPr>
            <w:r w:rsidRPr="000C61EC">
              <w:rPr>
                <w:rFonts w:eastAsia="Times New Roman"/>
                <w:color w:val="000000"/>
                <w:sz w:val="20"/>
              </w:rPr>
              <w:t>Bead</w:t>
            </w:r>
            <w:r w:rsidR="000B660B" w:rsidRPr="000C61EC">
              <w:rPr>
                <w:rFonts w:eastAsia="Times New Roman"/>
                <w:color w:val="000000"/>
                <w:sz w:val="20"/>
              </w:rPr>
              <w:t>s</w:t>
            </w:r>
          </w:p>
        </w:tc>
      </w:tr>
      <w:tr w:rsidR="001A4F1A" w:rsidRPr="000C61EC" w14:paraId="471A760E" w14:textId="77777777" w:rsidTr="009D5FBB">
        <w:tc>
          <w:tcPr>
            <w:tcW w:w="3257" w:type="dxa"/>
          </w:tcPr>
          <w:p w14:paraId="7BC95882" w14:textId="77777777" w:rsidR="001A4F1A" w:rsidRPr="000C61EC" w:rsidRDefault="001A4F1A" w:rsidP="00E858EF">
            <w:pPr>
              <w:suppressAutoHyphens/>
              <w:rPr>
                <w:sz w:val="20"/>
              </w:rPr>
            </w:pPr>
            <w:r w:rsidRPr="000C61EC">
              <w:rPr>
                <w:sz w:val="20"/>
              </w:rPr>
              <w:t>No. of items</w:t>
            </w:r>
          </w:p>
        </w:tc>
        <w:tc>
          <w:tcPr>
            <w:tcW w:w="3257" w:type="dxa"/>
          </w:tcPr>
          <w:p w14:paraId="7655729A" w14:textId="77777777" w:rsidR="001A4F1A" w:rsidRPr="000C61EC" w:rsidRDefault="001A4F1A" w:rsidP="00E858EF">
            <w:pPr>
              <w:suppressAutoHyphens/>
              <w:jc w:val="center"/>
              <w:rPr>
                <w:sz w:val="20"/>
              </w:rPr>
            </w:pPr>
            <w:r w:rsidRPr="000C61EC">
              <w:rPr>
                <w:sz w:val="20"/>
              </w:rPr>
              <w:t>309</w:t>
            </w:r>
          </w:p>
        </w:tc>
      </w:tr>
      <w:tr w:rsidR="001A4F1A" w:rsidRPr="000C61EC" w14:paraId="37A5F656" w14:textId="77777777" w:rsidTr="009D5FBB">
        <w:tc>
          <w:tcPr>
            <w:tcW w:w="3257" w:type="dxa"/>
          </w:tcPr>
          <w:p w14:paraId="5D2FD784" w14:textId="77777777" w:rsidR="001A4F1A" w:rsidRPr="000C61EC" w:rsidRDefault="001A4F1A" w:rsidP="00E858EF">
            <w:pPr>
              <w:suppressAutoHyphens/>
              <w:rPr>
                <w:sz w:val="20"/>
              </w:rPr>
            </w:pPr>
            <w:r w:rsidRPr="000C61EC">
              <w:rPr>
                <w:sz w:val="20"/>
              </w:rPr>
              <w:t>No. of tombs</w:t>
            </w:r>
          </w:p>
        </w:tc>
        <w:tc>
          <w:tcPr>
            <w:tcW w:w="3257" w:type="dxa"/>
          </w:tcPr>
          <w:p w14:paraId="0F6BDA64" w14:textId="77777777" w:rsidR="001A4F1A" w:rsidRPr="000C61EC" w:rsidRDefault="001A4F1A" w:rsidP="00E858EF">
            <w:pPr>
              <w:suppressAutoHyphens/>
              <w:jc w:val="center"/>
              <w:rPr>
                <w:sz w:val="20"/>
              </w:rPr>
            </w:pPr>
            <w:r w:rsidRPr="000C61EC">
              <w:rPr>
                <w:sz w:val="20"/>
              </w:rPr>
              <w:t>21</w:t>
            </w:r>
          </w:p>
        </w:tc>
      </w:tr>
    </w:tbl>
    <w:p w14:paraId="74E80A12" w14:textId="77777777" w:rsidR="001A4F1A" w:rsidRPr="00D6101B" w:rsidRDefault="001A4F1A" w:rsidP="00E858EF">
      <w:pPr>
        <w:suppressAutoHyphens/>
      </w:pPr>
    </w:p>
    <w:p w14:paraId="04D743A9" w14:textId="7F9A832F" w:rsidR="001A4F1A" w:rsidRPr="00D6101B" w:rsidRDefault="001A4F1A" w:rsidP="00E858EF">
      <w:pPr>
        <w:pStyle w:val="Testofumetto"/>
        <w:suppressAutoHyphens/>
      </w:pPr>
      <w:bookmarkStart w:id="835" w:name="_Toc520212614"/>
      <w:r>
        <w:t>Table 4-39</w:t>
      </w:r>
      <w:r w:rsidR="00AF2BE8">
        <w:t>.</w:t>
      </w:r>
      <w:r>
        <w:t xml:space="preserve"> Most common non-ceramic item types</w:t>
      </w:r>
      <w:r w:rsidR="007D3735">
        <w:t>,</w:t>
      </w:r>
      <w:r>
        <w:t xml:space="preserve"> Knossos area</w:t>
      </w:r>
      <w:bookmarkEnd w:id="835"/>
    </w:p>
    <w:tbl>
      <w:tblPr>
        <w:tblW w:w="854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4"/>
        <w:gridCol w:w="1559"/>
        <w:gridCol w:w="1417"/>
        <w:gridCol w:w="1276"/>
        <w:gridCol w:w="851"/>
        <w:gridCol w:w="1596"/>
      </w:tblGrid>
      <w:tr w:rsidR="001A4F1A" w:rsidRPr="000C61EC" w14:paraId="0ED84EDB" w14:textId="77777777" w:rsidTr="000B660B">
        <w:tc>
          <w:tcPr>
            <w:tcW w:w="1844" w:type="dxa"/>
          </w:tcPr>
          <w:p w14:paraId="514B6C41" w14:textId="77777777" w:rsidR="001A4F1A" w:rsidRPr="000C61EC" w:rsidRDefault="001A4F1A" w:rsidP="00E858EF">
            <w:pPr>
              <w:suppressAutoHyphens/>
              <w:rPr>
                <w:sz w:val="20"/>
              </w:rPr>
            </w:pPr>
          </w:p>
        </w:tc>
        <w:tc>
          <w:tcPr>
            <w:tcW w:w="1559" w:type="dxa"/>
          </w:tcPr>
          <w:p w14:paraId="5584ECDA" w14:textId="77777777" w:rsidR="001A4F1A" w:rsidRPr="000C61EC" w:rsidRDefault="001A4F1A" w:rsidP="00E858EF">
            <w:pPr>
              <w:suppressAutoHyphens/>
              <w:jc w:val="center"/>
              <w:rPr>
                <w:rFonts w:eastAsia="Times New Roman"/>
                <w:b/>
                <w:bCs/>
                <w:color w:val="000000"/>
                <w:sz w:val="20"/>
              </w:rPr>
            </w:pPr>
            <w:r w:rsidRPr="000C61EC">
              <w:rPr>
                <w:rFonts w:eastAsia="Times New Roman"/>
                <w:color w:val="000000"/>
                <w:sz w:val="20"/>
              </w:rPr>
              <w:t>Pin</w:t>
            </w:r>
          </w:p>
        </w:tc>
        <w:tc>
          <w:tcPr>
            <w:tcW w:w="1417" w:type="dxa"/>
          </w:tcPr>
          <w:p w14:paraId="1A056FE4" w14:textId="00B27CE6" w:rsidR="001A4F1A" w:rsidRPr="000C61EC" w:rsidRDefault="001A4F1A" w:rsidP="00E858EF">
            <w:pPr>
              <w:suppressAutoHyphens/>
              <w:jc w:val="center"/>
              <w:rPr>
                <w:sz w:val="20"/>
              </w:rPr>
            </w:pPr>
            <w:r w:rsidRPr="000C61EC">
              <w:rPr>
                <w:rFonts w:eastAsia="Times New Roman"/>
                <w:color w:val="000000"/>
                <w:sz w:val="20"/>
              </w:rPr>
              <w:t>Seal</w:t>
            </w:r>
          </w:p>
        </w:tc>
        <w:tc>
          <w:tcPr>
            <w:tcW w:w="1276" w:type="dxa"/>
          </w:tcPr>
          <w:p w14:paraId="5DA2319A"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Ring</w:t>
            </w:r>
          </w:p>
        </w:tc>
        <w:tc>
          <w:tcPr>
            <w:tcW w:w="851" w:type="dxa"/>
          </w:tcPr>
          <w:p w14:paraId="20DF80AE" w14:textId="5A6E408C"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Whorl</w:t>
            </w:r>
          </w:p>
        </w:tc>
        <w:tc>
          <w:tcPr>
            <w:tcW w:w="1596" w:type="dxa"/>
          </w:tcPr>
          <w:p w14:paraId="395862EF"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Stone vessel</w:t>
            </w:r>
          </w:p>
        </w:tc>
      </w:tr>
      <w:tr w:rsidR="001A4F1A" w:rsidRPr="000C61EC" w14:paraId="3E3222E5" w14:textId="77777777" w:rsidTr="000B660B">
        <w:tc>
          <w:tcPr>
            <w:tcW w:w="1844" w:type="dxa"/>
          </w:tcPr>
          <w:p w14:paraId="1B55EDD8" w14:textId="77777777" w:rsidR="001A4F1A" w:rsidRPr="000C61EC" w:rsidRDefault="001A4F1A" w:rsidP="00E858EF">
            <w:pPr>
              <w:suppressAutoHyphens/>
              <w:rPr>
                <w:sz w:val="20"/>
              </w:rPr>
            </w:pPr>
            <w:r w:rsidRPr="000C61EC">
              <w:rPr>
                <w:sz w:val="20"/>
              </w:rPr>
              <w:t>No. of items</w:t>
            </w:r>
          </w:p>
        </w:tc>
        <w:tc>
          <w:tcPr>
            <w:tcW w:w="1559" w:type="dxa"/>
          </w:tcPr>
          <w:p w14:paraId="4A92397B" w14:textId="77777777" w:rsidR="001A4F1A" w:rsidRPr="000C61EC" w:rsidRDefault="001A4F1A" w:rsidP="00E858EF">
            <w:pPr>
              <w:suppressAutoHyphens/>
              <w:jc w:val="center"/>
              <w:rPr>
                <w:sz w:val="20"/>
              </w:rPr>
            </w:pPr>
            <w:r w:rsidRPr="000C61EC">
              <w:rPr>
                <w:sz w:val="20"/>
              </w:rPr>
              <w:t>21</w:t>
            </w:r>
          </w:p>
        </w:tc>
        <w:tc>
          <w:tcPr>
            <w:tcW w:w="1417" w:type="dxa"/>
          </w:tcPr>
          <w:p w14:paraId="66B3FE7F" w14:textId="77777777" w:rsidR="001A4F1A" w:rsidRPr="000C61EC" w:rsidRDefault="001A4F1A" w:rsidP="00E858EF">
            <w:pPr>
              <w:suppressAutoHyphens/>
              <w:jc w:val="center"/>
              <w:rPr>
                <w:sz w:val="20"/>
              </w:rPr>
            </w:pPr>
            <w:r w:rsidRPr="000C61EC">
              <w:rPr>
                <w:sz w:val="20"/>
              </w:rPr>
              <w:t>20</w:t>
            </w:r>
          </w:p>
        </w:tc>
        <w:tc>
          <w:tcPr>
            <w:tcW w:w="1276" w:type="dxa"/>
          </w:tcPr>
          <w:p w14:paraId="22372DAC" w14:textId="77777777" w:rsidR="001A4F1A" w:rsidRPr="000C61EC" w:rsidRDefault="001A4F1A" w:rsidP="00E858EF">
            <w:pPr>
              <w:suppressAutoHyphens/>
              <w:jc w:val="center"/>
              <w:rPr>
                <w:sz w:val="20"/>
              </w:rPr>
            </w:pPr>
            <w:r w:rsidRPr="000C61EC">
              <w:rPr>
                <w:sz w:val="20"/>
              </w:rPr>
              <w:t>19</w:t>
            </w:r>
          </w:p>
        </w:tc>
        <w:tc>
          <w:tcPr>
            <w:tcW w:w="851" w:type="dxa"/>
          </w:tcPr>
          <w:p w14:paraId="39DFE9AA" w14:textId="77777777" w:rsidR="001A4F1A" w:rsidRPr="000C61EC" w:rsidRDefault="001A4F1A" w:rsidP="00E858EF">
            <w:pPr>
              <w:suppressAutoHyphens/>
              <w:jc w:val="center"/>
              <w:rPr>
                <w:sz w:val="20"/>
              </w:rPr>
            </w:pPr>
            <w:r w:rsidRPr="000C61EC">
              <w:rPr>
                <w:sz w:val="20"/>
              </w:rPr>
              <w:t>14</w:t>
            </w:r>
          </w:p>
        </w:tc>
        <w:tc>
          <w:tcPr>
            <w:tcW w:w="1596" w:type="dxa"/>
          </w:tcPr>
          <w:p w14:paraId="5E13F1DA" w14:textId="77777777" w:rsidR="001A4F1A" w:rsidRPr="000C61EC" w:rsidRDefault="001A4F1A" w:rsidP="00E858EF">
            <w:pPr>
              <w:suppressAutoHyphens/>
              <w:jc w:val="center"/>
              <w:rPr>
                <w:sz w:val="20"/>
              </w:rPr>
            </w:pPr>
            <w:r w:rsidRPr="000C61EC">
              <w:rPr>
                <w:sz w:val="20"/>
              </w:rPr>
              <w:t>12</w:t>
            </w:r>
          </w:p>
        </w:tc>
      </w:tr>
      <w:tr w:rsidR="001A4F1A" w:rsidRPr="000C61EC" w14:paraId="55E64AB6" w14:textId="77777777" w:rsidTr="000B660B">
        <w:tc>
          <w:tcPr>
            <w:tcW w:w="1844" w:type="dxa"/>
          </w:tcPr>
          <w:p w14:paraId="247177D8" w14:textId="77777777" w:rsidR="001A4F1A" w:rsidRPr="000C61EC" w:rsidRDefault="001A4F1A" w:rsidP="00E858EF">
            <w:pPr>
              <w:suppressAutoHyphens/>
              <w:rPr>
                <w:sz w:val="20"/>
              </w:rPr>
            </w:pPr>
            <w:r w:rsidRPr="000C61EC">
              <w:rPr>
                <w:sz w:val="20"/>
              </w:rPr>
              <w:t>No. of tombs</w:t>
            </w:r>
          </w:p>
        </w:tc>
        <w:tc>
          <w:tcPr>
            <w:tcW w:w="1559" w:type="dxa"/>
          </w:tcPr>
          <w:p w14:paraId="300F6C57" w14:textId="77777777" w:rsidR="001A4F1A" w:rsidRPr="000C61EC" w:rsidRDefault="001A4F1A" w:rsidP="00E858EF">
            <w:pPr>
              <w:suppressAutoHyphens/>
              <w:jc w:val="center"/>
              <w:rPr>
                <w:sz w:val="20"/>
              </w:rPr>
            </w:pPr>
            <w:r w:rsidRPr="000C61EC">
              <w:rPr>
                <w:sz w:val="20"/>
              </w:rPr>
              <w:t>7</w:t>
            </w:r>
          </w:p>
        </w:tc>
        <w:tc>
          <w:tcPr>
            <w:tcW w:w="1417" w:type="dxa"/>
          </w:tcPr>
          <w:p w14:paraId="5ABC1B66" w14:textId="77777777" w:rsidR="001A4F1A" w:rsidRPr="000C61EC" w:rsidRDefault="001A4F1A" w:rsidP="00E858EF">
            <w:pPr>
              <w:suppressAutoHyphens/>
              <w:jc w:val="center"/>
              <w:rPr>
                <w:sz w:val="20"/>
              </w:rPr>
            </w:pPr>
            <w:r w:rsidRPr="000C61EC">
              <w:rPr>
                <w:sz w:val="20"/>
              </w:rPr>
              <w:t>7</w:t>
            </w:r>
          </w:p>
        </w:tc>
        <w:tc>
          <w:tcPr>
            <w:tcW w:w="1276" w:type="dxa"/>
          </w:tcPr>
          <w:p w14:paraId="7D73F111" w14:textId="77777777" w:rsidR="001A4F1A" w:rsidRPr="000C61EC" w:rsidRDefault="001A4F1A" w:rsidP="00E858EF">
            <w:pPr>
              <w:suppressAutoHyphens/>
              <w:jc w:val="center"/>
              <w:rPr>
                <w:sz w:val="20"/>
              </w:rPr>
            </w:pPr>
            <w:r w:rsidRPr="000C61EC">
              <w:rPr>
                <w:sz w:val="20"/>
              </w:rPr>
              <w:t>11</w:t>
            </w:r>
          </w:p>
        </w:tc>
        <w:tc>
          <w:tcPr>
            <w:tcW w:w="851" w:type="dxa"/>
          </w:tcPr>
          <w:p w14:paraId="63F41149" w14:textId="77777777" w:rsidR="001A4F1A" w:rsidRPr="000C61EC" w:rsidRDefault="001A4F1A" w:rsidP="00E858EF">
            <w:pPr>
              <w:suppressAutoHyphens/>
              <w:jc w:val="center"/>
              <w:rPr>
                <w:sz w:val="20"/>
              </w:rPr>
            </w:pPr>
            <w:r w:rsidRPr="000C61EC">
              <w:rPr>
                <w:sz w:val="20"/>
              </w:rPr>
              <w:t>11</w:t>
            </w:r>
          </w:p>
        </w:tc>
        <w:tc>
          <w:tcPr>
            <w:tcW w:w="1596" w:type="dxa"/>
          </w:tcPr>
          <w:p w14:paraId="2547FDF4" w14:textId="77777777" w:rsidR="001A4F1A" w:rsidRPr="000C61EC" w:rsidRDefault="001A4F1A" w:rsidP="00E858EF">
            <w:pPr>
              <w:suppressAutoHyphens/>
              <w:jc w:val="center"/>
              <w:rPr>
                <w:sz w:val="20"/>
              </w:rPr>
            </w:pPr>
            <w:r w:rsidRPr="000C61EC">
              <w:rPr>
                <w:sz w:val="20"/>
              </w:rPr>
              <w:t>5</w:t>
            </w:r>
          </w:p>
        </w:tc>
      </w:tr>
    </w:tbl>
    <w:p w14:paraId="7ECD167C" w14:textId="77777777" w:rsidR="001A4F1A" w:rsidRPr="00D6101B" w:rsidRDefault="001A4F1A" w:rsidP="00E858EF">
      <w:pPr>
        <w:suppressAutoHyphens/>
      </w:pPr>
    </w:p>
    <w:p w14:paraId="1CE4823E" w14:textId="77777777" w:rsidR="001A4F1A" w:rsidRPr="00D6101B" w:rsidRDefault="001A4F1A" w:rsidP="00E858EF">
      <w:pPr>
        <w:suppressAutoHyphens/>
      </w:pPr>
      <w:r w:rsidRPr="00935047">
        <w:rPr>
          <w:noProof/>
        </w:rPr>
        <w:t xml:space="preserve"> </w:t>
      </w:r>
      <w:r w:rsidRPr="00D14388">
        <w:rPr>
          <w:noProof/>
        </w:rPr>
        <w:t xml:space="preserve"> </w:t>
      </w:r>
      <w:r>
        <w:rPr>
          <w:noProof/>
          <w:lang w:val="it-IT"/>
        </w:rPr>
        <w:drawing>
          <wp:inline distT="0" distB="0" distL="0" distR="0" wp14:anchorId="4A9B0555" wp14:editId="38287282">
            <wp:extent cx="5396230" cy="5546434"/>
            <wp:effectExtent l="0" t="0" r="13970" b="16510"/>
            <wp:docPr id="106" name="Gra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05654D48" w14:textId="3E322B00" w:rsidR="001A4F1A" w:rsidRPr="00D6101B" w:rsidRDefault="001A4F1A" w:rsidP="00E858EF">
      <w:pPr>
        <w:pStyle w:val="Didascalia"/>
        <w:suppressAutoHyphens/>
      </w:pPr>
      <w:bookmarkStart w:id="836" w:name="_Toc520212378"/>
      <w:r>
        <w:t>Figure 4-40</w:t>
      </w:r>
      <w:r w:rsidR="002E63C4">
        <w:t>.</w:t>
      </w:r>
      <w:r>
        <w:t xml:space="preserve"> </w:t>
      </w:r>
      <w:r w:rsidR="003C6148">
        <w:t>Occurrence of n</w:t>
      </w:r>
      <w:r>
        <w:t>on-ceramic item ty</w:t>
      </w:r>
      <w:r w:rsidR="002E63C4">
        <w:t>pes,</w:t>
      </w:r>
      <w:r w:rsidR="0001663C">
        <w:t>,</w:t>
      </w:r>
      <w:r>
        <w:t xml:space="preserve"> Knossos area</w:t>
      </w:r>
      <w:bookmarkEnd w:id="836"/>
    </w:p>
    <w:p w14:paraId="1A5284F2" w14:textId="3204F450" w:rsidR="000C61EC" w:rsidRDefault="001A4F1A" w:rsidP="00E858EF">
      <w:pPr>
        <w:pStyle w:val="Didascalia"/>
        <w:suppressAutoHyphens/>
      </w:pPr>
      <w:r>
        <w:t xml:space="preserve"> </w:t>
      </w:r>
    </w:p>
    <w:p w14:paraId="031D6CF8" w14:textId="77777777" w:rsidR="000C61EC" w:rsidRDefault="000C61EC">
      <w:pPr>
        <w:widowControl/>
        <w:spacing w:line="240" w:lineRule="auto"/>
        <w:contextualSpacing w:val="0"/>
        <w:jc w:val="left"/>
        <w:rPr>
          <w:b/>
          <w:iCs/>
          <w:sz w:val="20"/>
          <w:szCs w:val="18"/>
        </w:rPr>
      </w:pPr>
      <w:r>
        <w:br w:type="page"/>
      </w:r>
    </w:p>
    <w:p w14:paraId="55904D2F" w14:textId="77777777" w:rsidR="001A4F1A" w:rsidRPr="00D6101B" w:rsidRDefault="001A4F1A" w:rsidP="000C61EC">
      <w:pPr>
        <w:pStyle w:val="Titolo4"/>
      </w:pPr>
      <w:bookmarkStart w:id="837" w:name="_Toc389508259"/>
      <w:bookmarkStart w:id="838" w:name="_Toc517745339"/>
      <w:r w:rsidRPr="00D6101B">
        <w:t>Pottery types</w:t>
      </w:r>
      <w:bookmarkEnd w:id="837"/>
      <w:bookmarkEnd w:id="838"/>
    </w:p>
    <w:p w14:paraId="1BEDF37F" w14:textId="77777777" w:rsidR="001A4F1A" w:rsidRPr="00D6101B" w:rsidRDefault="001A4F1A" w:rsidP="00E858EF">
      <w:pPr>
        <w:suppressAutoHyphens/>
      </w:pPr>
      <w:r w:rsidRPr="00D6101B">
        <w:t>In the Knossos area</w:t>
      </w:r>
      <w:r>
        <w:t>,</w:t>
      </w:r>
      <w:r w:rsidRPr="00D6101B">
        <w:t xml:space="preserve"> pottery </w:t>
      </w:r>
      <w:r>
        <w:t>is present</w:t>
      </w:r>
      <w:r w:rsidRPr="00D6101B">
        <w:t xml:space="preserve"> in 32 tombs</w:t>
      </w:r>
      <w:r>
        <w:t>.</w:t>
      </w:r>
      <w:r w:rsidRPr="00D6101B">
        <w:t xml:space="preserve"> </w:t>
      </w:r>
      <w:r>
        <w:t>This number represents</w:t>
      </w:r>
      <w:r w:rsidRPr="00D6101B">
        <w:t xml:space="preserve"> 74% of the tombs for which information about grave goods assemblage </w:t>
      </w:r>
      <w:r>
        <w:t>is</w:t>
      </w:r>
      <w:r w:rsidRPr="00D6101B">
        <w:t xml:space="preserve"> available. </w:t>
      </w:r>
      <w:r>
        <w:t xml:space="preserve">However, </w:t>
      </w:r>
      <w:r w:rsidRPr="00D6101B">
        <w:t xml:space="preserve">for three tombs (Zafer Papoura tombs 17 and 34, </w:t>
      </w:r>
      <w:r>
        <w:t xml:space="preserve">and </w:t>
      </w:r>
      <w:r w:rsidRPr="00D6101B">
        <w:t>Katsambas)</w:t>
      </w:r>
      <w:r>
        <w:t>,</w:t>
      </w:r>
      <w:r w:rsidRPr="00D6101B">
        <w:t xml:space="preserve"> the only information available concern</w:t>
      </w:r>
      <w:r>
        <w:t>s</w:t>
      </w:r>
      <w:r w:rsidRPr="00D6101B">
        <w:t xml:space="preserve"> the presence of pottery artefacts</w:t>
      </w:r>
      <w:r>
        <w:t>,</w:t>
      </w:r>
      <w:r w:rsidRPr="00D6101B">
        <w:t xml:space="preserve"> and there is no information about </w:t>
      </w:r>
      <w:r>
        <w:t xml:space="preserve">the </w:t>
      </w:r>
      <w:r w:rsidRPr="00D6101B">
        <w:t xml:space="preserve">number of vessels or </w:t>
      </w:r>
      <w:r>
        <w:t>their types</w:t>
      </w:r>
      <w:r w:rsidRPr="00D6101B">
        <w:t>.</w:t>
      </w:r>
    </w:p>
    <w:p w14:paraId="12A30670" w14:textId="77777777" w:rsidR="001A4F1A" w:rsidRPr="00D6101B" w:rsidRDefault="001A4F1A" w:rsidP="00E858EF">
      <w:pPr>
        <w:suppressAutoHyphens/>
      </w:pPr>
      <w:r>
        <w:tab/>
      </w:r>
      <w:r w:rsidRPr="00D6101B">
        <w:t xml:space="preserve">The presence of exclusively pottery artefacts and no other materials </w:t>
      </w:r>
      <w:r>
        <w:t>is</w:t>
      </w:r>
      <w:r w:rsidRPr="00D6101B">
        <w:t xml:space="preserve"> registered </w:t>
      </w:r>
      <w:r>
        <w:t>for</w:t>
      </w:r>
      <w:r w:rsidRPr="00D6101B">
        <w:t xml:space="preserve"> </w:t>
      </w:r>
      <w:r>
        <w:t>nine</w:t>
      </w:r>
      <w:r w:rsidRPr="00D6101B">
        <w:t xml:space="preserve"> tombs</w:t>
      </w:r>
      <w:r>
        <w:t xml:space="preserve"> (</w:t>
      </w:r>
      <w:r w:rsidRPr="00D6101B">
        <w:t>26%</w:t>
      </w:r>
      <w:r>
        <w:t>)</w:t>
      </w:r>
      <w:r w:rsidRPr="00D6101B">
        <w:t>.</w:t>
      </w:r>
      <w:r>
        <w:t xml:space="preserve"> </w:t>
      </w:r>
      <w:r w:rsidRPr="00D6101B">
        <w:t xml:space="preserve">Consequently, the analysis </w:t>
      </w:r>
      <w:r>
        <w:t>of</w:t>
      </w:r>
      <w:r w:rsidRPr="00D6101B">
        <w:t xml:space="preserve"> pottery typology </w:t>
      </w:r>
      <w:r>
        <w:t>is</w:t>
      </w:r>
      <w:r w:rsidRPr="00D6101B">
        <w:t xml:space="preserve"> based on a sample of 28 tombs. </w:t>
      </w:r>
    </w:p>
    <w:p w14:paraId="133AAC1D" w14:textId="77777777" w:rsidR="001A4F1A" w:rsidRPr="00D6101B" w:rsidRDefault="001A4F1A" w:rsidP="00E858EF">
      <w:pPr>
        <w:suppressAutoHyphens/>
      </w:pPr>
      <w:r>
        <w:tab/>
      </w:r>
      <w:r w:rsidRPr="00D6101B">
        <w:t>The four most common types</w:t>
      </w:r>
      <w:r>
        <w:t xml:space="preserve"> of pottery</w:t>
      </w:r>
      <w:r w:rsidRPr="00D6101B">
        <w:t xml:space="preserve"> are stirrup jars, </w:t>
      </w:r>
      <w:r w:rsidRPr="00FE5AC5">
        <w:t>brazier</w:t>
      </w:r>
      <w:r>
        <w:t>s</w:t>
      </w:r>
      <w:r w:rsidRPr="00FE5AC5">
        <w:t>,</w:t>
      </w:r>
      <w:r w:rsidRPr="00D6101B">
        <w:t xml:space="preserve"> jug</w:t>
      </w:r>
      <w:r>
        <w:t>s</w:t>
      </w:r>
      <w:r w:rsidRPr="00D6101B">
        <w:t xml:space="preserve"> and cup</w:t>
      </w:r>
      <w:r>
        <w:t>s</w:t>
      </w:r>
      <w:r w:rsidRPr="00D6101B">
        <w:t>. Th</w:t>
      </w:r>
      <w:r>
        <w:t>e</w:t>
      </w:r>
      <w:r w:rsidRPr="00D6101B">
        <w:t>se</w:t>
      </w:r>
      <w:r>
        <w:t xml:space="preserve"> types</w:t>
      </w:r>
      <w:r w:rsidRPr="00D6101B">
        <w:t xml:space="preserve"> are also the most popular forms </w:t>
      </w:r>
      <w:r>
        <w:t>regarding</w:t>
      </w:r>
      <w:r w:rsidRPr="00D6101B">
        <w:t xml:space="preserve"> the number of tombs in which they have been found.</w:t>
      </w:r>
      <w:r>
        <w:t xml:space="preserve"> </w:t>
      </w:r>
      <w:r w:rsidRPr="00D6101B">
        <w:t>The pottery types not found in association with secure tombs with larnakes are rhyton, kernos, ring vase</w:t>
      </w:r>
      <w:r>
        <w:t>s</w:t>
      </w:r>
      <w:r w:rsidRPr="00D6101B">
        <w:t>, tankard</w:t>
      </w:r>
      <w:r>
        <w:t>s</w:t>
      </w:r>
      <w:r w:rsidRPr="00D6101B">
        <w:t>, askos, thelastron, krater</w:t>
      </w:r>
      <w:r>
        <w:t xml:space="preserve"> and</w:t>
      </w:r>
      <w:r w:rsidRPr="00D6101B">
        <w:t xml:space="preserve"> kalathos.</w:t>
      </w:r>
      <w:r>
        <w:t xml:space="preserve"> </w:t>
      </w:r>
      <w:r w:rsidRPr="00D6101B">
        <w:t>A high concentration of stirrup jars</w:t>
      </w:r>
      <w:r>
        <w:t xml:space="preserve"> (6)</w:t>
      </w:r>
      <w:r w:rsidRPr="00D6101B">
        <w:t xml:space="preserve"> is registered in </w:t>
      </w:r>
      <w:r>
        <w:t>T</w:t>
      </w:r>
      <w:r w:rsidRPr="00D6101B">
        <w:t>omb VII at Upper Gypsades</w:t>
      </w:r>
      <w:r>
        <w:t>,</w:t>
      </w:r>
      <w:r w:rsidRPr="00D6101B">
        <w:t xml:space="preserve"> while a high concentration of brazier</w:t>
      </w:r>
      <w:r>
        <w:t>s (6) is</w:t>
      </w:r>
      <w:r w:rsidRPr="00D6101B">
        <w:t xml:space="preserve"> in </w:t>
      </w:r>
      <w:r>
        <w:t>T</w:t>
      </w:r>
      <w:r w:rsidRPr="00D6101B">
        <w:t>omb IX at Mavro Spelio. The other pottery typologies are proportionally distributed within tombs</w:t>
      </w:r>
      <w:r>
        <w:t>, a</w:t>
      </w:r>
      <w:r w:rsidRPr="00D6101B">
        <w:t xml:space="preserve">nd the </w:t>
      </w:r>
      <w:r>
        <w:t xml:space="preserve">maximum </w:t>
      </w:r>
      <w:r w:rsidRPr="00D6101B">
        <w:t>remaining pottery type</w:t>
      </w:r>
      <w:r>
        <w:t xml:space="preserve"> number</w:t>
      </w:r>
      <w:r w:rsidRPr="00D6101B">
        <w:t xml:space="preserve"> </w:t>
      </w:r>
      <w:r>
        <w:t>is five</w:t>
      </w:r>
      <w:r w:rsidRPr="00D6101B">
        <w:t>.</w:t>
      </w:r>
      <w:r>
        <w:t xml:space="preserve"> </w:t>
      </w:r>
      <w:r w:rsidRPr="00D6101B">
        <w:t>The maximum number of</w:t>
      </w:r>
      <w:r>
        <w:t xml:space="preserve"> pieces of</w:t>
      </w:r>
      <w:r w:rsidRPr="00D6101B">
        <w:t xml:space="preserve"> pottery found in a tomb </w:t>
      </w:r>
      <w:r>
        <w:t>is</w:t>
      </w:r>
      <w:r w:rsidRPr="00D6101B">
        <w:t xml:space="preserve"> 26 in the chamber tomb at Katsambas.</w:t>
      </w:r>
      <w:r>
        <w:t xml:space="preserve"> The </w:t>
      </w:r>
      <w:r w:rsidRPr="00D6101B">
        <w:t xml:space="preserve">Zafer Papoura tombs </w:t>
      </w:r>
      <w:r>
        <w:t>contain a</w:t>
      </w:r>
      <w:r w:rsidRPr="00D6101B">
        <w:t xml:space="preserve"> low number of pottery items</w:t>
      </w:r>
      <w:r>
        <w:t xml:space="preserve">, which </w:t>
      </w:r>
      <w:r w:rsidRPr="00D6101B">
        <w:t>could be due to the intense plundering activities that affected the cemetery.</w:t>
      </w:r>
    </w:p>
    <w:p w14:paraId="4CE99B91" w14:textId="77777777" w:rsidR="001A4F1A" w:rsidRDefault="001A4F1A" w:rsidP="00E858EF">
      <w:pPr>
        <w:suppressAutoHyphens/>
      </w:pPr>
    </w:p>
    <w:p w14:paraId="3901EB02" w14:textId="7A549E11" w:rsidR="001A4F1A" w:rsidRPr="00D6101B" w:rsidRDefault="001A4F1A" w:rsidP="00E858EF">
      <w:pPr>
        <w:pStyle w:val="Testofumetto"/>
        <w:suppressAutoHyphens/>
      </w:pPr>
      <w:bookmarkStart w:id="839" w:name="_Toc520212615"/>
      <w:r>
        <w:t>Table 4-40 Most common pottery types</w:t>
      </w:r>
      <w:r w:rsidR="0001663C">
        <w:t>,</w:t>
      </w:r>
      <w:r>
        <w:t xml:space="preserve"> Knossos area</w:t>
      </w:r>
      <w:bookmarkEnd w:id="839"/>
    </w:p>
    <w:tbl>
      <w:tblPr>
        <w:tblW w:w="8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993"/>
        <w:gridCol w:w="923"/>
        <w:gridCol w:w="778"/>
        <w:gridCol w:w="851"/>
        <w:gridCol w:w="1417"/>
        <w:gridCol w:w="870"/>
        <w:gridCol w:w="737"/>
      </w:tblGrid>
      <w:tr w:rsidR="001A4F1A" w:rsidRPr="000C61EC" w14:paraId="55D656D2" w14:textId="77777777" w:rsidTr="00114B76">
        <w:tc>
          <w:tcPr>
            <w:tcW w:w="2093" w:type="dxa"/>
          </w:tcPr>
          <w:p w14:paraId="19A183B2" w14:textId="77777777" w:rsidR="001A4F1A" w:rsidRPr="000C61EC" w:rsidRDefault="001A4F1A" w:rsidP="00E858EF">
            <w:pPr>
              <w:suppressAutoHyphens/>
              <w:rPr>
                <w:sz w:val="20"/>
              </w:rPr>
            </w:pPr>
          </w:p>
        </w:tc>
        <w:tc>
          <w:tcPr>
            <w:tcW w:w="993" w:type="dxa"/>
          </w:tcPr>
          <w:p w14:paraId="64460094" w14:textId="77777777" w:rsidR="001A4F1A" w:rsidRPr="000C61EC" w:rsidRDefault="001A4F1A" w:rsidP="00E858EF">
            <w:pPr>
              <w:suppressAutoHyphens/>
              <w:jc w:val="center"/>
              <w:rPr>
                <w:rFonts w:eastAsia="Times New Roman"/>
                <w:bCs/>
                <w:color w:val="000000"/>
                <w:sz w:val="20"/>
              </w:rPr>
            </w:pPr>
            <w:r w:rsidRPr="000C61EC">
              <w:rPr>
                <w:rFonts w:eastAsia="Times New Roman"/>
                <w:bCs/>
                <w:color w:val="000000"/>
                <w:sz w:val="20"/>
              </w:rPr>
              <w:t>Stirrup jar</w:t>
            </w:r>
          </w:p>
        </w:tc>
        <w:tc>
          <w:tcPr>
            <w:tcW w:w="923" w:type="dxa"/>
          </w:tcPr>
          <w:p w14:paraId="6C912174"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Brazier</w:t>
            </w:r>
          </w:p>
        </w:tc>
        <w:tc>
          <w:tcPr>
            <w:tcW w:w="778" w:type="dxa"/>
          </w:tcPr>
          <w:p w14:paraId="16BD4A5E" w14:textId="77777777" w:rsidR="001A4F1A" w:rsidRPr="000C61EC" w:rsidRDefault="001A4F1A" w:rsidP="00E858EF">
            <w:pPr>
              <w:suppressAutoHyphens/>
              <w:jc w:val="center"/>
              <w:rPr>
                <w:rFonts w:eastAsia="Times New Roman"/>
                <w:color w:val="000000"/>
                <w:sz w:val="20"/>
              </w:rPr>
            </w:pPr>
            <w:r w:rsidRPr="000C61EC">
              <w:rPr>
                <w:sz w:val="20"/>
              </w:rPr>
              <w:t>Jug</w:t>
            </w:r>
          </w:p>
        </w:tc>
        <w:tc>
          <w:tcPr>
            <w:tcW w:w="851" w:type="dxa"/>
          </w:tcPr>
          <w:p w14:paraId="76DAA8EC"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Cup</w:t>
            </w:r>
          </w:p>
        </w:tc>
        <w:tc>
          <w:tcPr>
            <w:tcW w:w="1417" w:type="dxa"/>
          </w:tcPr>
          <w:p w14:paraId="3D8F6F74"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Conical cup</w:t>
            </w:r>
          </w:p>
        </w:tc>
        <w:tc>
          <w:tcPr>
            <w:tcW w:w="870" w:type="dxa"/>
          </w:tcPr>
          <w:p w14:paraId="42B38996"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Goblet</w:t>
            </w:r>
          </w:p>
        </w:tc>
        <w:tc>
          <w:tcPr>
            <w:tcW w:w="737" w:type="dxa"/>
          </w:tcPr>
          <w:p w14:paraId="7CB20E2A" w14:textId="77777777" w:rsidR="001A4F1A" w:rsidRPr="000C61EC" w:rsidRDefault="001A4F1A" w:rsidP="00E858EF">
            <w:pPr>
              <w:suppressAutoHyphens/>
              <w:jc w:val="center"/>
              <w:rPr>
                <w:rFonts w:eastAsia="Times New Roman"/>
                <w:color w:val="000000"/>
                <w:sz w:val="20"/>
              </w:rPr>
            </w:pPr>
            <w:r w:rsidRPr="000C61EC">
              <w:rPr>
                <w:rFonts w:eastAsia="Times New Roman"/>
                <w:color w:val="000000"/>
                <w:sz w:val="20"/>
              </w:rPr>
              <w:t>Bowl</w:t>
            </w:r>
          </w:p>
        </w:tc>
      </w:tr>
      <w:tr w:rsidR="001A4F1A" w:rsidRPr="000C61EC" w14:paraId="31EF2452" w14:textId="77777777" w:rsidTr="00114B76">
        <w:tc>
          <w:tcPr>
            <w:tcW w:w="2093" w:type="dxa"/>
          </w:tcPr>
          <w:p w14:paraId="1ACD8FFB" w14:textId="77777777" w:rsidR="001A4F1A" w:rsidRPr="000C61EC" w:rsidRDefault="001A4F1A" w:rsidP="00E858EF">
            <w:pPr>
              <w:suppressAutoHyphens/>
              <w:jc w:val="left"/>
              <w:rPr>
                <w:sz w:val="20"/>
              </w:rPr>
            </w:pPr>
            <w:r w:rsidRPr="000C61EC">
              <w:rPr>
                <w:sz w:val="20"/>
              </w:rPr>
              <w:t>Total no. of items Knossos region</w:t>
            </w:r>
          </w:p>
        </w:tc>
        <w:tc>
          <w:tcPr>
            <w:tcW w:w="993" w:type="dxa"/>
          </w:tcPr>
          <w:p w14:paraId="5B1953EB" w14:textId="77777777" w:rsidR="001A4F1A" w:rsidRPr="000C61EC" w:rsidRDefault="001A4F1A" w:rsidP="00E858EF">
            <w:pPr>
              <w:suppressAutoHyphens/>
              <w:jc w:val="center"/>
              <w:rPr>
                <w:sz w:val="20"/>
              </w:rPr>
            </w:pPr>
            <w:r w:rsidRPr="000C61EC">
              <w:rPr>
                <w:sz w:val="20"/>
              </w:rPr>
              <w:t>23</w:t>
            </w:r>
          </w:p>
        </w:tc>
        <w:tc>
          <w:tcPr>
            <w:tcW w:w="923" w:type="dxa"/>
          </w:tcPr>
          <w:p w14:paraId="75B54000" w14:textId="77777777" w:rsidR="001A4F1A" w:rsidRPr="000C61EC" w:rsidRDefault="001A4F1A" w:rsidP="00E858EF">
            <w:pPr>
              <w:suppressAutoHyphens/>
              <w:jc w:val="center"/>
              <w:rPr>
                <w:sz w:val="20"/>
              </w:rPr>
            </w:pPr>
            <w:r w:rsidRPr="000C61EC">
              <w:rPr>
                <w:sz w:val="20"/>
              </w:rPr>
              <w:t>21</w:t>
            </w:r>
          </w:p>
        </w:tc>
        <w:tc>
          <w:tcPr>
            <w:tcW w:w="778" w:type="dxa"/>
          </w:tcPr>
          <w:p w14:paraId="456533D7" w14:textId="77777777" w:rsidR="001A4F1A" w:rsidRPr="000C61EC" w:rsidRDefault="001A4F1A" w:rsidP="00E858EF">
            <w:pPr>
              <w:suppressAutoHyphens/>
              <w:jc w:val="center"/>
              <w:rPr>
                <w:sz w:val="20"/>
              </w:rPr>
            </w:pPr>
            <w:r w:rsidRPr="000C61EC">
              <w:rPr>
                <w:sz w:val="20"/>
              </w:rPr>
              <w:t>17</w:t>
            </w:r>
          </w:p>
        </w:tc>
        <w:tc>
          <w:tcPr>
            <w:tcW w:w="851" w:type="dxa"/>
          </w:tcPr>
          <w:p w14:paraId="5682920D" w14:textId="77777777" w:rsidR="001A4F1A" w:rsidRPr="000C61EC" w:rsidRDefault="001A4F1A" w:rsidP="00E858EF">
            <w:pPr>
              <w:suppressAutoHyphens/>
              <w:jc w:val="center"/>
              <w:rPr>
                <w:sz w:val="20"/>
              </w:rPr>
            </w:pPr>
            <w:r w:rsidRPr="000C61EC">
              <w:rPr>
                <w:sz w:val="20"/>
              </w:rPr>
              <w:t>16</w:t>
            </w:r>
          </w:p>
        </w:tc>
        <w:tc>
          <w:tcPr>
            <w:tcW w:w="1417" w:type="dxa"/>
          </w:tcPr>
          <w:p w14:paraId="6A29D97B" w14:textId="77777777" w:rsidR="001A4F1A" w:rsidRPr="000C61EC" w:rsidRDefault="001A4F1A" w:rsidP="00E858EF">
            <w:pPr>
              <w:suppressAutoHyphens/>
              <w:jc w:val="center"/>
              <w:rPr>
                <w:sz w:val="20"/>
              </w:rPr>
            </w:pPr>
            <w:r w:rsidRPr="000C61EC">
              <w:rPr>
                <w:sz w:val="20"/>
              </w:rPr>
              <w:t>15</w:t>
            </w:r>
          </w:p>
        </w:tc>
        <w:tc>
          <w:tcPr>
            <w:tcW w:w="870" w:type="dxa"/>
          </w:tcPr>
          <w:p w14:paraId="62893EF0" w14:textId="77777777" w:rsidR="001A4F1A" w:rsidRPr="000C61EC" w:rsidRDefault="001A4F1A" w:rsidP="00E858EF">
            <w:pPr>
              <w:suppressAutoHyphens/>
              <w:jc w:val="center"/>
              <w:rPr>
                <w:sz w:val="20"/>
              </w:rPr>
            </w:pPr>
            <w:r w:rsidRPr="000C61EC">
              <w:rPr>
                <w:sz w:val="20"/>
              </w:rPr>
              <w:t>10</w:t>
            </w:r>
          </w:p>
        </w:tc>
        <w:tc>
          <w:tcPr>
            <w:tcW w:w="737" w:type="dxa"/>
          </w:tcPr>
          <w:p w14:paraId="464075AC" w14:textId="77777777" w:rsidR="001A4F1A" w:rsidRPr="000C61EC" w:rsidRDefault="001A4F1A" w:rsidP="00E858EF">
            <w:pPr>
              <w:suppressAutoHyphens/>
              <w:jc w:val="center"/>
              <w:rPr>
                <w:sz w:val="20"/>
              </w:rPr>
            </w:pPr>
            <w:r w:rsidRPr="000C61EC">
              <w:rPr>
                <w:sz w:val="20"/>
              </w:rPr>
              <w:t>9</w:t>
            </w:r>
          </w:p>
        </w:tc>
      </w:tr>
      <w:tr w:rsidR="001A4F1A" w:rsidRPr="000C61EC" w14:paraId="066FC43F" w14:textId="77777777" w:rsidTr="00114B76">
        <w:tc>
          <w:tcPr>
            <w:tcW w:w="2093" w:type="dxa"/>
          </w:tcPr>
          <w:p w14:paraId="3E5139A7" w14:textId="77777777" w:rsidR="001A4F1A" w:rsidRPr="000C61EC" w:rsidRDefault="001A4F1A" w:rsidP="00E858EF">
            <w:pPr>
              <w:suppressAutoHyphens/>
              <w:jc w:val="left"/>
              <w:rPr>
                <w:sz w:val="20"/>
              </w:rPr>
            </w:pPr>
            <w:r w:rsidRPr="000C61EC">
              <w:rPr>
                <w:sz w:val="20"/>
              </w:rPr>
              <w:t>Max. no. items per tomb</w:t>
            </w:r>
          </w:p>
        </w:tc>
        <w:tc>
          <w:tcPr>
            <w:tcW w:w="993" w:type="dxa"/>
          </w:tcPr>
          <w:p w14:paraId="4D1D89AB" w14:textId="77777777" w:rsidR="001A4F1A" w:rsidRPr="000C61EC" w:rsidRDefault="001A4F1A" w:rsidP="00E858EF">
            <w:pPr>
              <w:suppressAutoHyphens/>
              <w:jc w:val="center"/>
              <w:rPr>
                <w:sz w:val="20"/>
              </w:rPr>
            </w:pPr>
            <w:r w:rsidRPr="000C61EC">
              <w:rPr>
                <w:sz w:val="20"/>
              </w:rPr>
              <w:t>6</w:t>
            </w:r>
          </w:p>
        </w:tc>
        <w:tc>
          <w:tcPr>
            <w:tcW w:w="923" w:type="dxa"/>
          </w:tcPr>
          <w:p w14:paraId="01374256" w14:textId="77777777" w:rsidR="001A4F1A" w:rsidRPr="000C61EC" w:rsidRDefault="001A4F1A" w:rsidP="00E858EF">
            <w:pPr>
              <w:suppressAutoHyphens/>
              <w:jc w:val="center"/>
              <w:rPr>
                <w:sz w:val="20"/>
              </w:rPr>
            </w:pPr>
            <w:r w:rsidRPr="000C61EC">
              <w:rPr>
                <w:sz w:val="20"/>
              </w:rPr>
              <w:t>6</w:t>
            </w:r>
          </w:p>
        </w:tc>
        <w:tc>
          <w:tcPr>
            <w:tcW w:w="778" w:type="dxa"/>
          </w:tcPr>
          <w:p w14:paraId="3FF88F38" w14:textId="77777777" w:rsidR="001A4F1A" w:rsidRPr="000C61EC" w:rsidRDefault="001A4F1A" w:rsidP="00E858EF">
            <w:pPr>
              <w:suppressAutoHyphens/>
              <w:jc w:val="center"/>
              <w:rPr>
                <w:sz w:val="20"/>
              </w:rPr>
            </w:pPr>
            <w:r w:rsidRPr="000C61EC">
              <w:rPr>
                <w:sz w:val="20"/>
              </w:rPr>
              <w:t>4</w:t>
            </w:r>
          </w:p>
        </w:tc>
        <w:tc>
          <w:tcPr>
            <w:tcW w:w="851" w:type="dxa"/>
          </w:tcPr>
          <w:p w14:paraId="3D9B371B" w14:textId="77777777" w:rsidR="001A4F1A" w:rsidRPr="000C61EC" w:rsidRDefault="001A4F1A" w:rsidP="00E858EF">
            <w:pPr>
              <w:suppressAutoHyphens/>
              <w:jc w:val="center"/>
              <w:rPr>
                <w:sz w:val="20"/>
              </w:rPr>
            </w:pPr>
            <w:r w:rsidRPr="000C61EC">
              <w:rPr>
                <w:sz w:val="20"/>
              </w:rPr>
              <w:t>6</w:t>
            </w:r>
          </w:p>
        </w:tc>
        <w:tc>
          <w:tcPr>
            <w:tcW w:w="1417" w:type="dxa"/>
          </w:tcPr>
          <w:p w14:paraId="069DCAFF" w14:textId="77777777" w:rsidR="001A4F1A" w:rsidRPr="000C61EC" w:rsidRDefault="001A4F1A" w:rsidP="00E858EF">
            <w:pPr>
              <w:suppressAutoHyphens/>
              <w:jc w:val="center"/>
              <w:rPr>
                <w:sz w:val="20"/>
              </w:rPr>
            </w:pPr>
            <w:r w:rsidRPr="000C61EC">
              <w:rPr>
                <w:sz w:val="20"/>
              </w:rPr>
              <w:t>4</w:t>
            </w:r>
          </w:p>
        </w:tc>
        <w:tc>
          <w:tcPr>
            <w:tcW w:w="870" w:type="dxa"/>
          </w:tcPr>
          <w:p w14:paraId="6E815759" w14:textId="77777777" w:rsidR="001A4F1A" w:rsidRPr="000C61EC" w:rsidRDefault="001A4F1A" w:rsidP="00E858EF">
            <w:pPr>
              <w:suppressAutoHyphens/>
              <w:jc w:val="center"/>
              <w:rPr>
                <w:sz w:val="20"/>
              </w:rPr>
            </w:pPr>
            <w:r w:rsidRPr="000C61EC">
              <w:rPr>
                <w:sz w:val="20"/>
              </w:rPr>
              <w:t>6</w:t>
            </w:r>
          </w:p>
        </w:tc>
        <w:tc>
          <w:tcPr>
            <w:tcW w:w="737" w:type="dxa"/>
          </w:tcPr>
          <w:p w14:paraId="7300F2CE" w14:textId="77777777" w:rsidR="001A4F1A" w:rsidRPr="000C61EC" w:rsidRDefault="001A4F1A" w:rsidP="00E858EF">
            <w:pPr>
              <w:suppressAutoHyphens/>
              <w:jc w:val="center"/>
              <w:rPr>
                <w:sz w:val="20"/>
              </w:rPr>
            </w:pPr>
            <w:r w:rsidRPr="000C61EC">
              <w:rPr>
                <w:sz w:val="20"/>
              </w:rPr>
              <w:t>2</w:t>
            </w:r>
          </w:p>
        </w:tc>
      </w:tr>
      <w:tr w:rsidR="001A4F1A" w:rsidRPr="000C61EC" w14:paraId="786935ED" w14:textId="77777777" w:rsidTr="00114B76">
        <w:tc>
          <w:tcPr>
            <w:tcW w:w="2093" w:type="dxa"/>
          </w:tcPr>
          <w:p w14:paraId="08C85EA9" w14:textId="77777777" w:rsidR="001A4F1A" w:rsidRPr="000C61EC" w:rsidRDefault="001A4F1A" w:rsidP="00E858EF">
            <w:pPr>
              <w:suppressAutoHyphens/>
              <w:jc w:val="left"/>
              <w:rPr>
                <w:sz w:val="20"/>
              </w:rPr>
            </w:pPr>
            <w:r w:rsidRPr="000C61EC">
              <w:rPr>
                <w:sz w:val="20"/>
              </w:rPr>
              <w:t>No. of tombs</w:t>
            </w:r>
          </w:p>
        </w:tc>
        <w:tc>
          <w:tcPr>
            <w:tcW w:w="993" w:type="dxa"/>
          </w:tcPr>
          <w:p w14:paraId="09E42E99" w14:textId="77777777" w:rsidR="001A4F1A" w:rsidRPr="000C61EC" w:rsidRDefault="001A4F1A" w:rsidP="00E858EF">
            <w:pPr>
              <w:suppressAutoHyphens/>
              <w:jc w:val="center"/>
              <w:rPr>
                <w:sz w:val="20"/>
              </w:rPr>
            </w:pPr>
            <w:r w:rsidRPr="000C61EC">
              <w:rPr>
                <w:sz w:val="20"/>
              </w:rPr>
              <w:t>15</w:t>
            </w:r>
          </w:p>
        </w:tc>
        <w:tc>
          <w:tcPr>
            <w:tcW w:w="923" w:type="dxa"/>
          </w:tcPr>
          <w:p w14:paraId="11DC55B6" w14:textId="77777777" w:rsidR="001A4F1A" w:rsidRPr="000C61EC" w:rsidRDefault="001A4F1A" w:rsidP="00E858EF">
            <w:pPr>
              <w:suppressAutoHyphens/>
              <w:jc w:val="center"/>
              <w:rPr>
                <w:sz w:val="20"/>
              </w:rPr>
            </w:pPr>
            <w:r w:rsidRPr="000C61EC">
              <w:rPr>
                <w:sz w:val="20"/>
              </w:rPr>
              <w:t>10</w:t>
            </w:r>
          </w:p>
        </w:tc>
        <w:tc>
          <w:tcPr>
            <w:tcW w:w="778" w:type="dxa"/>
          </w:tcPr>
          <w:p w14:paraId="4CD0EE73" w14:textId="77777777" w:rsidR="001A4F1A" w:rsidRPr="000C61EC" w:rsidRDefault="001A4F1A" w:rsidP="00E858EF">
            <w:pPr>
              <w:suppressAutoHyphens/>
              <w:jc w:val="center"/>
              <w:rPr>
                <w:sz w:val="20"/>
              </w:rPr>
            </w:pPr>
            <w:r w:rsidRPr="000C61EC">
              <w:rPr>
                <w:sz w:val="20"/>
              </w:rPr>
              <w:t>10</w:t>
            </w:r>
          </w:p>
        </w:tc>
        <w:tc>
          <w:tcPr>
            <w:tcW w:w="851" w:type="dxa"/>
          </w:tcPr>
          <w:p w14:paraId="065888A0" w14:textId="77777777" w:rsidR="001A4F1A" w:rsidRPr="000C61EC" w:rsidRDefault="001A4F1A" w:rsidP="00E858EF">
            <w:pPr>
              <w:suppressAutoHyphens/>
              <w:jc w:val="center"/>
              <w:rPr>
                <w:sz w:val="20"/>
              </w:rPr>
            </w:pPr>
            <w:r w:rsidRPr="000C61EC">
              <w:rPr>
                <w:sz w:val="20"/>
              </w:rPr>
              <w:t>9</w:t>
            </w:r>
          </w:p>
        </w:tc>
        <w:tc>
          <w:tcPr>
            <w:tcW w:w="1417" w:type="dxa"/>
          </w:tcPr>
          <w:p w14:paraId="0D7E033F" w14:textId="77777777" w:rsidR="001A4F1A" w:rsidRPr="000C61EC" w:rsidRDefault="001A4F1A" w:rsidP="00E858EF">
            <w:pPr>
              <w:suppressAutoHyphens/>
              <w:jc w:val="center"/>
              <w:rPr>
                <w:sz w:val="20"/>
              </w:rPr>
            </w:pPr>
            <w:r w:rsidRPr="000C61EC">
              <w:rPr>
                <w:sz w:val="20"/>
              </w:rPr>
              <w:t>7</w:t>
            </w:r>
          </w:p>
        </w:tc>
        <w:tc>
          <w:tcPr>
            <w:tcW w:w="870" w:type="dxa"/>
          </w:tcPr>
          <w:p w14:paraId="364F464E" w14:textId="77777777" w:rsidR="001A4F1A" w:rsidRPr="000C61EC" w:rsidRDefault="001A4F1A" w:rsidP="00E858EF">
            <w:pPr>
              <w:suppressAutoHyphens/>
              <w:jc w:val="center"/>
              <w:rPr>
                <w:sz w:val="20"/>
              </w:rPr>
            </w:pPr>
            <w:r w:rsidRPr="000C61EC">
              <w:rPr>
                <w:sz w:val="20"/>
              </w:rPr>
              <w:t>5</w:t>
            </w:r>
          </w:p>
        </w:tc>
        <w:tc>
          <w:tcPr>
            <w:tcW w:w="737" w:type="dxa"/>
          </w:tcPr>
          <w:p w14:paraId="1A48DD94" w14:textId="77777777" w:rsidR="001A4F1A" w:rsidRPr="000C61EC" w:rsidRDefault="001A4F1A" w:rsidP="00E858EF">
            <w:pPr>
              <w:suppressAutoHyphens/>
              <w:jc w:val="center"/>
              <w:rPr>
                <w:sz w:val="20"/>
              </w:rPr>
            </w:pPr>
            <w:r w:rsidRPr="000C61EC">
              <w:rPr>
                <w:sz w:val="20"/>
              </w:rPr>
              <w:t>8</w:t>
            </w:r>
          </w:p>
        </w:tc>
      </w:tr>
    </w:tbl>
    <w:p w14:paraId="7746CA04" w14:textId="77777777" w:rsidR="001A4F1A" w:rsidRPr="00D6101B" w:rsidRDefault="001A4F1A" w:rsidP="00E858EF">
      <w:pPr>
        <w:suppressAutoHyphens/>
      </w:pPr>
    </w:p>
    <w:p w14:paraId="71C104A5" w14:textId="77777777" w:rsidR="001A4F1A" w:rsidRPr="00D6101B" w:rsidRDefault="001A4F1A" w:rsidP="00E858EF">
      <w:pPr>
        <w:suppressAutoHyphens/>
      </w:pPr>
      <w:r w:rsidRPr="0027490A">
        <w:rPr>
          <w:noProof/>
        </w:rPr>
        <w:t xml:space="preserve"> </w:t>
      </w:r>
      <w:r>
        <w:rPr>
          <w:noProof/>
          <w:lang w:val="it-IT"/>
        </w:rPr>
        <w:drawing>
          <wp:inline distT="0" distB="0" distL="0" distR="0" wp14:anchorId="02BDBCE6" wp14:editId="44046499">
            <wp:extent cx="5396230" cy="4312271"/>
            <wp:effectExtent l="0" t="0" r="13970" b="31750"/>
            <wp:docPr id="107" name="Gra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14DC1E43" w14:textId="34062F7F" w:rsidR="001A4F1A" w:rsidRDefault="001A4F1A" w:rsidP="00E858EF">
      <w:pPr>
        <w:pStyle w:val="Didascalia"/>
        <w:suppressAutoHyphens/>
      </w:pPr>
      <w:bookmarkStart w:id="840" w:name="_Toc520212379"/>
      <w:r>
        <w:t>Figure 4-41</w:t>
      </w:r>
      <w:r w:rsidR="00610AFD">
        <w:t>.</w:t>
      </w:r>
      <w:r>
        <w:t xml:space="preserve"> Pottery types occurrence</w:t>
      </w:r>
      <w:r w:rsidR="0001663C">
        <w:t>,</w:t>
      </w:r>
      <w:r>
        <w:t xml:space="preserve"> Knossos area</w:t>
      </w:r>
      <w:bookmarkEnd w:id="840"/>
    </w:p>
    <w:p w14:paraId="5B81AE9B" w14:textId="77777777" w:rsidR="001A4F1A" w:rsidRPr="00D6101B" w:rsidRDefault="001A4F1A" w:rsidP="00E858EF">
      <w:pPr>
        <w:pStyle w:val="Didascalia"/>
        <w:suppressAutoHyphens/>
      </w:pPr>
    </w:p>
    <w:p w14:paraId="3A1A093A" w14:textId="752FFFF6" w:rsidR="001A4F1A" w:rsidRPr="00D6101B" w:rsidRDefault="001A4F1A" w:rsidP="000C61EC">
      <w:pPr>
        <w:pStyle w:val="Titolo4"/>
        <w:rPr>
          <w:b w:val="0"/>
        </w:rPr>
      </w:pPr>
      <w:bookmarkStart w:id="841" w:name="_Toc389508260"/>
      <w:bookmarkStart w:id="842" w:name="_Toc517745340"/>
      <w:r w:rsidRPr="00D6101B">
        <w:t>Conclusio</w:t>
      </w:r>
      <w:bookmarkEnd w:id="841"/>
      <w:r w:rsidR="000C61EC">
        <w:t>ns,</w:t>
      </w:r>
      <w:r w:rsidR="00F136FC">
        <w:t xml:space="preserve"> Knossos area</w:t>
      </w:r>
      <w:bookmarkEnd w:id="842"/>
    </w:p>
    <w:p w14:paraId="13E0D3E2" w14:textId="77777777" w:rsidR="001A4F1A" w:rsidRDefault="001A4F1A" w:rsidP="00E858EF">
      <w:pPr>
        <w:suppressAutoHyphens/>
      </w:pPr>
      <w:r>
        <w:t>Regarding the</w:t>
      </w:r>
      <w:r w:rsidRPr="00D6101B">
        <w:t xml:space="preserve"> Knossos area</w:t>
      </w:r>
      <w:r>
        <w:t>,</w:t>
      </w:r>
      <w:r w:rsidRPr="00D6101B">
        <w:t xml:space="preserve"> information concerning grave goods assemblage</w:t>
      </w:r>
      <w:r>
        <w:t>s</w:t>
      </w:r>
      <w:r w:rsidRPr="00D6101B">
        <w:t xml:space="preserve"> </w:t>
      </w:r>
      <w:r>
        <w:t>is</w:t>
      </w:r>
      <w:r w:rsidRPr="00D6101B">
        <w:t xml:space="preserve"> available for 81% of secure tombs </w:t>
      </w:r>
      <w:r>
        <w:t>in which</w:t>
      </w:r>
      <w:r w:rsidRPr="00D6101B">
        <w:t xml:space="preserve"> larnax burials </w:t>
      </w:r>
      <w:r>
        <w:t>are</w:t>
      </w:r>
      <w:r w:rsidRPr="00D6101B">
        <w:t xml:space="preserve"> registered (tombs with larnakes from</w:t>
      </w:r>
      <w:r>
        <w:t xml:space="preserve"> the</w:t>
      </w:r>
      <w:r w:rsidRPr="00D6101B">
        <w:t xml:space="preserve"> Knossos </w:t>
      </w:r>
      <w:r>
        <w:t xml:space="preserve">North Cemetery </w:t>
      </w:r>
      <w:r w:rsidRPr="00D6101B">
        <w:t>and Fortetsa cemeteries are not considered secure tombs).</w:t>
      </w:r>
      <w:r>
        <w:t xml:space="preserve"> </w:t>
      </w:r>
      <w:r w:rsidRPr="00D6101B">
        <w:t>In the Knossos area</w:t>
      </w:r>
      <w:r>
        <w:t>,</w:t>
      </w:r>
      <w:r w:rsidRPr="00D6101B">
        <w:t xml:space="preserve"> the most common material found in tombs with larnakes is </w:t>
      </w:r>
      <w:r>
        <w:t>pottery</w:t>
      </w:r>
      <w:r w:rsidRPr="00D6101B">
        <w:t xml:space="preserve"> </w:t>
      </w:r>
      <w:r>
        <w:t>(</w:t>
      </w:r>
      <w:r w:rsidRPr="00D6101B">
        <w:t>74% of tombs</w:t>
      </w:r>
      <w:r>
        <w:t>)</w:t>
      </w:r>
      <w:r w:rsidRPr="00D6101B">
        <w:t xml:space="preserve">. The analysis of grave goods assemblage composition </w:t>
      </w:r>
      <w:r>
        <w:t>in relation to</w:t>
      </w:r>
      <w:r w:rsidRPr="00D6101B">
        <w:t xml:space="preserve"> pottery presence </w:t>
      </w:r>
      <w:r>
        <w:t xml:space="preserve">is </w:t>
      </w:r>
      <w:r w:rsidRPr="00D6101B">
        <w:t xml:space="preserve">summarised </w:t>
      </w:r>
      <w:r>
        <w:t>in</w:t>
      </w:r>
      <w:r w:rsidRPr="00D6101B">
        <w:t xml:space="preserve"> th</w:t>
      </w:r>
      <w:r>
        <w:t>e</w:t>
      </w:r>
      <w:r w:rsidRPr="00D6101B">
        <w:t xml:space="preserve"> graph</w:t>
      </w:r>
      <w:r>
        <w:t>, below.</w:t>
      </w:r>
    </w:p>
    <w:p w14:paraId="332D4877" w14:textId="77777777" w:rsidR="001A4F1A" w:rsidRPr="00D6101B" w:rsidRDefault="001A4F1A" w:rsidP="00E858EF">
      <w:pPr>
        <w:suppressAutoHyphens/>
      </w:pPr>
    </w:p>
    <w:p w14:paraId="6B41BC05" w14:textId="77777777" w:rsidR="001A4F1A" w:rsidRPr="00D6101B" w:rsidRDefault="001A4F1A" w:rsidP="00E858EF">
      <w:pPr>
        <w:suppressAutoHyphens/>
      </w:pPr>
      <w:r w:rsidRPr="00D6101B">
        <w:rPr>
          <w:noProof/>
          <w:lang w:val="it-IT"/>
        </w:rPr>
        <w:drawing>
          <wp:inline distT="0" distB="0" distL="0" distR="0" wp14:anchorId="77941F64" wp14:editId="7A785E3F">
            <wp:extent cx="4680000" cy="2556000"/>
            <wp:effectExtent l="0" t="0" r="19050" b="34925"/>
            <wp:docPr id="108" name="Gra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53D6EDE6" w14:textId="6C58DAC0" w:rsidR="001A4F1A" w:rsidRPr="000D3A82" w:rsidRDefault="001A4F1A" w:rsidP="00E858EF">
      <w:pPr>
        <w:pStyle w:val="Didascalia"/>
        <w:suppressAutoHyphens/>
      </w:pPr>
      <w:bookmarkStart w:id="843" w:name="_Toc520212380"/>
      <w:r w:rsidRPr="000D3A82">
        <w:t>Figure 4-</w:t>
      </w:r>
      <w:r>
        <w:t>42</w:t>
      </w:r>
      <w:r w:rsidR="00610AFD">
        <w:t>.</w:t>
      </w:r>
      <w:r>
        <w:t xml:space="preserve"> </w:t>
      </w:r>
      <w:r w:rsidRPr="008703D3">
        <w:t>Composition o</w:t>
      </w:r>
      <w:r>
        <w:t>f grave goods assemblages according to pottery occurrence</w:t>
      </w:r>
      <w:r w:rsidR="0001663C">
        <w:t>,</w:t>
      </w:r>
      <w:r>
        <w:t xml:space="preserve"> Knossos area</w:t>
      </w:r>
      <w:bookmarkEnd w:id="843"/>
      <w:r w:rsidDel="00577406">
        <w:t xml:space="preserve"> </w:t>
      </w:r>
    </w:p>
    <w:p w14:paraId="7FBA6ADC" w14:textId="77777777" w:rsidR="00F136FC" w:rsidRDefault="001A4F1A" w:rsidP="00E858EF">
      <w:pPr>
        <w:suppressAutoHyphens/>
      </w:pPr>
      <w:r>
        <w:tab/>
      </w:r>
    </w:p>
    <w:p w14:paraId="7771618D" w14:textId="3EB9FA0C" w:rsidR="001A4F1A" w:rsidRPr="00D6101B" w:rsidRDefault="001A4F1A" w:rsidP="00E858EF">
      <w:pPr>
        <w:suppressAutoHyphens/>
        <w:ind w:firstLine="708"/>
      </w:pPr>
      <w:r w:rsidRPr="00D6101B">
        <w:t xml:space="preserve">More than half of the tombs </w:t>
      </w:r>
      <w:r>
        <w:t>contained</w:t>
      </w:r>
      <w:r w:rsidRPr="00D6101B">
        <w:t xml:space="preserve"> bronze and stone items, and the difference with </w:t>
      </w:r>
      <w:r>
        <w:t xml:space="preserve">pottery </w:t>
      </w:r>
      <w:r w:rsidRPr="00D6101B">
        <w:t>in term</w:t>
      </w:r>
      <w:r>
        <w:t>s</w:t>
      </w:r>
      <w:r w:rsidRPr="00D6101B">
        <w:t xml:space="preserve"> of popularity is not relevant. </w:t>
      </w:r>
      <w:r>
        <w:t>Regarding</w:t>
      </w:r>
      <w:r w:rsidRPr="00D6101B">
        <w:t xml:space="preserve"> the </w:t>
      </w:r>
      <w:r>
        <w:t>presence</w:t>
      </w:r>
      <w:r w:rsidRPr="00D6101B">
        <w:t xml:space="preserve"> of precious material</w:t>
      </w:r>
      <w:r>
        <w:t>s</w:t>
      </w:r>
      <w:r w:rsidRPr="00D6101B">
        <w:t xml:space="preserve"> (ivory gold and silver)</w:t>
      </w:r>
      <w:r>
        <w:t>,</w:t>
      </w:r>
      <w:r w:rsidRPr="00D6101B">
        <w:t xml:space="preserve"> </w:t>
      </w:r>
      <w:r>
        <w:t>this</w:t>
      </w:r>
      <w:r w:rsidRPr="00D6101B">
        <w:t xml:space="preserve"> cannot be considered an isolated phenomenon (ivory and gold </w:t>
      </w:r>
      <w:r>
        <w:t>are present</w:t>
      </w:r>
      <w:r w:rsidRPr="00D6101B">
        <w:t xml:space="preserve"> in five tomb</w:t>
      </w:r>
      <w:r>
        <w:t>s</w:t>
      </w:r>
      <w:r w:rsidRPr="00D6101B">
        <w:t xml:space="preserve"> each). The </w:t>
      </w:r>
      <w:r>
        <w:t>presence</w:t>
      </w:r>
      <w:r w:rsidRPr="00D6101B">
        <w:t xml:space="preserve"> of precious materials does seem to be related </w:t>
      </w:r>
      <w:r>
        <w:t>to</w:t>
      </w:r>
      <w:r w:rsidRPr="00D6101B">
        <w:t xml:space="preserve"> the monumentality of the tombs. This </w:t>
      </w:r>
      <w:r>
        <w:t>is</w:t>
      </w:r>
      <w:r w:rsidRPr="00D6101B">
        <w:t xml:space="preserve"> particularly evident in the case of the tomb</w:t>
      </w:r>
      <w:r>
        <w:t xml:space="preserve"> H</w:t>
      </w:r>
      <w:r w:rsidRPr="00D6101B">
        <w:t xml:space="preserve"> at Katsambas (chamber dimension 24.08 sq</w:t>
      </w:r>
      <w:r>
        <w:t>.</w:t>
      </w:r>
      <w:r w:rsidRPr="00D6101B">
        <w:t>m</w:t>
      </w:r>
      <w:r>
        <w:t>.</w:t>
      </w:r>
      <w:r w:rsidRPr="00D6101B">
        <w:t>; dromos length 9.3</w:t>
      </w:r>
      <w:r>
        <w:t xml:space="preserve"> metres,</w:t>
      </w:r>
      <w:r w:rsidRPr="00D6101B">
        <w:t xml:space="preserve"> presence of </w:t>
      </w:r>
      <w:r>
        <w:t xml:space="preserve">a </w:t>
      </w:r>
      <w:r w:rsidRPr="00D6101B">
        <w:t>pit and central pillar; materials found: bronze, pottery, glass, gold, ivory, stone), but also for multiple chamber tombs at Mavro Spelio (</w:t>
      </w:r>
      <w:r>
        <w:t>T</w:t>
      </w:r>
      <w:r w:rsidRPr="00D6101B">
        <w:t>omb VII: double</w:t>
      </w:r>
      <w:r>
        <w:t>-</w:t>
      </w:r>
      <w:r w:rsidRPr="00D6101B">
        <w:t>chamber tomb with pit; materials found: bronze, pottery, glass, gold, shell, stone; Tomb IX quadruple</w:t>
      </w:r>
      <w:r>
        <w:t>-</w:t>
      </w:r>
      <w:r w:rsidRPr="00D6101B">
        <w:t>chamber tomb with monumental stomion; materials found: bronze, pottery, glass, gold, ivory, silver, stone) and at Zafer Papoura (</w:t>
      </w:r>
      <w:r>
        <w:t xml:space="preserve">even if considering tomb dimension this double tomb cannot be considered monumental </w:t>
      </w:r>
      <w:r w:rsidRPr="00D6101B">
        <w:t>tomb</w:t>
      </w:r>
      <w:r>
        <w:t>s</w:t>
      </w:r>
      <w:r w:rsidRPr="00D6101B">
        <w:t xml:space="preserve"> 83-84: double</w:t>
      </w:r>
      <w:r>
        <w:t>-</w:t>
      </w:r>
      <w:r w:rsidRPr="00D6101B">
        <w:t>chamber tomb with stepped dromos</w:t>
      </w:r>
      <w:r>
        <w:t>,</w:t>
      </w:r>
      <w:r w:rsidRPr="00D6101B">
        <w:t xml:space="preserve"> chamber dimension 4.4</w:t>
      </w:r>
      <w:r>
        <w:t xml:space="preserve"> sq.m.</w:t>
      </w:r>
      <w:r w:rsidRPr="00D6101B">
        <w:t>; materials found: bone, pottery, silver, stone).</w:t>
      </w:r>
      <w:r>
        <w:t xml:space="preserve"> However, these data indicate more than a regional pattern (i.e. the tomb assemblages with larnakes in the Knossos region are characterised by the highest presence of precious materials) and could be the result of a chronological pattern. This means that the presence of precious materials in the assemblage, in some cases, could be associated with the burials of the previous phase (e.g. Katsambas Tomb H and Mavro Spelio, Upper Gypsades Tomb VII).</w:t>
      </w:r>
    </w:p>
    <w:p w14:paraId="53B8459F" w14:textId="77777777" w:rsidR="001A4F1A" w:rsidRPr="00D6101B" w:rsidRDefault="001A4F1A" w:rsidP="00E858EF">
      <w:pPr>
        <w:suppressAutoHyphens/>
      </w:pPr>
      <w:r>
        <w:tab/>
        <w:t>Regarding</w:t>
      </w:r>
      <w:r w:rsidRPr="00D6101B">
        <w:t xml:space="preserve"> pottery typologies</w:t>
      </w:r>
      <w:r>
        <w:t>,</w:t>
      </w:r>
      <w:r w:rsidRPr="00D6101B">
        <w:t xml:space="preserve"> the absence of eight shapes</w:t>
      </w:r>
      <w:r>
        <w:t xml:space="preserve"> (rhyton, kernos, ring vase, tankard, askos, thelastron, krater, kalathos is noticeable</w:t>
      </w:r>
      <w:r w:rsidRPr="00D6101B">
        <w:t xml:space="preserve"> and</w:t>
      </w:r>
      <w:r>
        <w:t>,</w:t>
      </w:r>
      <w:r w:rsidRPr="00D6101B">
        <w:t xml:space="preserve"> consequently</w:t>
      </w:r>
      <w:r>
        <w:t>, there is</w:t>
      </w:r>
      <w:r w:rsidRPr="00D6101B">
        <w:t xml:space="preserve"> not a high degree of variety of pottery shapes between the assemblages.</w:t>
      </w:r>
      <w:r>
        <w:t xml:space="preserve"> </w:t>
      </w:r>
      <w:r w:rsidRPr="00D6101B">
        <w:t>It is possible that th</w:t>
      </w:r>
      <w:r>
        <w:t>ese</w:t>
      </w:r>
      <w:r w:rsidRPr="00D6101B">
        <w:t xml:space="preserve"> data </w:t>
      </w:r>
      <w:r>
        <w:t>are</w:t>
      </w:r>
      <w:r w:rsidRPr="00D6101B">
        <w:t xml:space="preserve"> biased because cemeteries </w:t>
      </w:r>
      <w:r>
        <w:t>such as</w:t>
      </w:r>
      <w:r w:rsidRPr="00D6101B">
        <w:t xml:space="preserve"> Zafer Papoura have been deeply affected by plundering activities. </w:t>
      </w:r>
    </w:p>
    <w:p w14:paraId="5F53D813" w14:textId="77777777" w:rsidR="001A4F1A" w:rsidRDefault="001A4F1A" w:rsidP="00E858EF">
      <w:pPr>
        <w:suppressAutoHyphens/>
      </w:pPr>
      <w:r>
        <w:tab/>
      </w:r>
      <w:r w:rsidRPr="00D6101B">
        <w:t xml:space="preserve">From the analysis of </w:t>
      </w:r>
      <w:r>
        <w:t>the typ</w:t>
      </w:r>
      <w:r w:rsidRPr="00D6101B">
        <w:t>es</w:t>
      </w:r>
      <w:r>
        <w:t>,</w:t>
      </w:r>
      <w:r w:rsidRPr="00D6101B">
        <w:t xml:space="preserve"> brazier</w:t>
      </w:r>
      <w:r>
        <w:t>s</w:t>
      </w:r>
      <w:r w:rsidRPr="00D6101B">
        <w:t xml:space="preserve"> are the second most common vase in these tombs, after stirrup jars. Furthermore, </w:t>
      </w:r>
      <w:r>
        <w:t>although there is a</w:t>
      </w:r>
      <w:r w:rsidRPr="00D6101B">
        <w:t xml:space="preserve"> high number of braziers</w:t>
      </w:r>
      <w:r>
        <w:t>,</w:t>
      </w:r>
      <w:r w:rsidRPr="00D6101B">
        <w:t xml:space="preserve"> </w:t>
      </w:r>
      <w:r>
        <w:t>there is</w:t>
      </w:r>
      <w:r w:rsidRPr="00D6101B">
        <w:t xml:space="preserve"> almost </w:t>
      </w:r>
      <w:r>
        <w:t xml:space="preserve">a </w:t>
      </w:r>
      <w:r w:rsidRPr="00D6101B">
        <w:t>complete absence of incense burner</w:t>
      </w:r>
      <w:r>
        <w:t>s</w:t>
      </w:r>
      <w:r w:rsidRPr="00D6101B">
        <w:t xml:space="preserve"> (the only incense burner come</w:t>
      </w:r>
      <w:r>
        <w:t>s</w:t>
      </w:r>
      <w:r w:rsidRPr="00D6101B">
        <w:t xml:space="preserve"> from </w:t>
      </w:r>
      <w:r>
        <w:t>T</w:t>
      </w:r>
      <w:r w:rsidRPr="00D6101B">
        <w:t>omb 54</w:t>
      </w:r>
      <w:r>
        <w:t xml:space="preserve"> at</w:t>
      </w:r>
      <w:r w:rsidRPr="00D6101B">
        <w:t xml:space="preserve"> Zafer Papoura).</w:t>
      </w:r>
      <w:r>
        <w:t xml:space="preserve"> </w:t>
      </w:r>
      <w:r w:rsidRPr="00D6101B">
        <w:t xml:space="preserve">Chamber </w:t>
      </w:r>
      <w:r>
        <w:t>T</w:t>
      </w:r>
      <w:r w:rsidRPr="00D6101B">
        <w:t xml:space="preserve">omb H at Katsambas </w:t>
      </w:r>
      <w:r>
        <w:t>has a</w:t>
      </w:r>
      <w:r w:rsidRPr="00D6101B">
        <w:t xml:space="preserve"> particular</w:t>
      </w:r>
      <w:r>
        <w:t>ly</w:t>
      </w:r>
      <w:r w:rsidRPr="00D6101B">
        <w:t xml:space="preserve"> high variety </w:t>
      </w:r>
      <w:r>
        <w:t xml:space="preserve">of </w:t>
      </w:r>
      <w:r w:rsidRPr="00D6101B">
        <w:t xml:space="preserve">both material type and </w:t>
      </w:r>
      <w:r>
        <w:t xml:space="preserve">the </w:t>
      </w:r>
      <w:r w:rsidRPr="00D6101B">
        <w:t>number of pottery artefacts (26 vases)</w:t>
      </w:r>
      <w:r>
        <w:t xml:space="preserve">. </w:t>
      </w:r>
      <w:r w:rsidRPr="00D6101B">
        <w:t>From the publication record</w:t>
      </w:r>
      <w:r>
        <w:t>s,</w:t>
      </w:r>
      <w:r w:rsidRPr="00D6101B">
        <w:t xml:space="preserve"> no information about the presence of imports is given.</w:t>
      </w:r>
    </w:p>
    <w:p w14:paraId="2EB7889D" w14:textId="4D7B79D3" w:rsidR="001A4F1A" w:rsidRPr="00D6101B" w:rsidRDefault="001A4F1A" w:rsidP="00E858EF">
      <w:pPr>
        <w:pStyle w:val="Titolo3"/>
        <w:keepNext w:val="0"/>
        <w:keepLines w:val="0"/>
        <w:suppressAutoHyphens/>
      </w:pPr>
      <w:bookmarkStart w:id="844" w:name="_Toc389508261"/>
      <w:bookmarkStart w:id="845" w:name="_Toc517745341"/>
      <w:bookmarkStart w:id="846" w:name="_Toc519894665"/>
      <w:r w:rsidRPr="00D6101B">
        <w:t>Centr</w:t>
      </w:r>
      <w:r w:rsidR="007D3735">
        <w:t>al area (grave goods)</w:t>
      </w:r>
      <w:bookmarkEnd w:id="844"/>
      <w:bookmarkEnd w:id="845"/>
      <w:bookmarkEnd w:id="846"/>
    </w:p>
    <w:p w14:paraId="5200C98C" w14:textId="77777777" w:rsidR="001A4F1A" w:rsidRPr="00D6101B" w:rsidRDefault="001A4F1A" w:rsidP="00E858EF">
      <w:pPr>
        <w:pStyle w:val="Titolo4"/>
        <w:keepNext w:val="0"/>
        <w:keepLines w:val="0"/>
        <w:suppressAutoHyphens/>
        <w:rPr>
          <w:b w:val="0"/>
        </w:rPr>
      </w:pPr>
      <w:bookmarkStart w:id="847" w:name="_Toc389508262"/>
      <w:bookmarkStart w:id="848" w:name="_Toc517745342"/>
      <w:r w:rsidRPr="00D6101B">
        <w:t>Sample</w:t>
      </w:r>
      <w:bookmarkEnd w:id="847"/>
      <w:bookmarkEnd w:id="848"/>
    </w:p>
    <w:p w14:paraId="0340E9E3" w14:textId="77777777" w:rsidR="001A4F1A" w:rsidRPr="00D6101B" w:rsidRDefault="001A4F1A" w:rsidP="00E858EF">
      <w:pPr>
        <w:suppressAutoHyphens/>
      </w:pPr>
      <w:r w:rsidRPr="00D6101B">
        <w:t>The sample of secure tombs with larnax burials for which there is information about grave good remains is 78.</w:t>
      </w:r>
      <w:r>
        <w:t xml:space="preserve"> </w:t>
      </w:r>
      <w:r w:rsidRPr="00D6101B">
        <w:t xml:space="preserve">For </w:t>
      </w:r>
      <w:r>
        <w:t xml:space="preserve">the </w:t>
      </w:r>
      <w:r w:rsidRPr="00D6101B">
        <w:t>remaining 16 tombs</w:t>
      </w:r>
      <w:r>
        <w:t>,</w:t>
      </w:r>
      <w:r w:rsidRPr="00D6101B">
        <w:t xml:space="preserve"> there is no information about </w:t>
      </w:r>
      <w:r>
        <w:t xml:space="preserve">the </w:t>
      </w:r>
      <w:r w:rsidRPr="00D6101B">
        <w:t>grave goods assemblage</w:t>
      </w:r>
      <w:r>
        <w:t>s</w:t>
      </w:r>
      <w:r w:rsidRPr="00D6101B">
        <w:t xml:space="preserve"> because of disruption and looting activities. The</w:t>
      </w:r>
      <w:r>
        <w:t>se</w:t>
      </w:r>
      <w:r w:rsidRPr="00D6101B">
        <w:t xml:space="preserve"> </w:t>
      </w:r>
      <w:r>
        <w:t xml:space="preserve">tombs are distributed among the following </w:t>
      </w:r>
      <w:r w:rsidRPr="00D6101B">
        <w:t>14 different cemeteries:</w:t>
      </w:r>
    </w:p>
    <w:p w14:paraId="6C595DC3" w14:textId="77777777" w:rsidR="001A4F1A" w:rsidRPr="00D6101B" w:rsidRDefault="001A4F1A" w:rsidP="00E858EF">
      <w:pPr>
        <w:pStyle w:val="Paragrafoelenco"/>
        <w:numPr>
          <w:ilvl w:val="0"/>
          <w:numId w:val="43"/>
        </w:numPr>
        <w:suppressAutoHyphens/>
      </w:pPr>
      <w:r w:rsidRPr="00D6101B">
        <w:t xml:space="preserve">Chamber </w:t>
      </w:r>
      <w:r>
        <w:t>T</w:t>
      </w:r>
      <w:r w:rsidRPr="00D6101B">
        <w:t xml:space="preserve">omb 11 </w:t>
      </w:r>
      <w:r>
        <w:t xml:space="preserve">at </w:t>
      </w:r>
      <w:r w:rsidRPr="00D6101B">
        <w:t>Agios Syllas (Karetsou 1975, 524-526)</w:t>
      </w:r>
    </w:p>
    <w:p w14:paraId="3B6EF9CE" w14:textId="77777777" w:rsidR="001A4F1A" w:rsidRPr="00D6101B" w:rsidRDefault="001A4F1A" w:rsidP="00E858EF">
      <w:pPr>
        <w:pStyle w:val="Paragrafoelenco"/>
        <w:numPr>
          <w:ilvl w:val="0"/>
          <w:numId w:val="43"/>
        </w:numPr>
        <w:suppressAutoHyphens/>
      </w:pPr>
      <w:r w:rsidRPr="00D6101B">
        <w:t xml:space="preserve">Chamber tomb </w:t>
      </w:r>
      <w:r>
        <w:t>at</w:t>
      </w:r>
      <w:r w:rsidRPr="00D6101B">
        <w:t xml:space="preserve"> Anopolis Kelli (</w:t>
      </w:r>
      <w:r w:rsidRPr="007C4F07">
        <w:rPr>
          <w:i/>
        </w:rPr>
        <w:t>ADelt</w:t>
      </w:r>
      <w:r w:rsidRPr="00D6101B">
        <w:t xml:space="preserve"> 1916: 25)</w:t>
      </w:r>
    </w:p>
    <w:p w14:paraId="2B7216E6" w14:textId="77777777" w:rsidR="001A4F1A" w:rsidRPr="00D6101B" w:rsidRDefault="001A4F1A" w:rsidP="00E858EF">
      <w:pPr>
        <w:pStyle w:val="Paragrafoelenco"/>
        <w:numPr>
          <w:ilvl w:val="0"/>
          <w:numId w:val="43"/>
        </w:numPr>
        <w:suppressAutoHyphens/>
      </w:pPr>
      <w:r w:rsidRPr="00D6101B">
        <w:t>Archanes Mesampela (</w:t>
      </w:r>
      <w:r w:rsidRPr="00D6101B">
        <w:rPr>
          <w:i/>
          <w:iCs/>
        </w:rPr>
        <w:t>KChr</w:t>
      </w:r>
      <w:r w:rsidRPr="00D6101B">
        <w:t xml:space="preserve"> 4 1950: 534; </w:t>
      </w:r>
      <w:r w:rsidRPr="00D6101B">
        <w:rPr>
          <w:i/>
          <w:iCs/>
        </w:rPr>
        <w:t>KChr</w:t>
      </w:r>
      <w:r w:rsidRPr="00D6101B">
        <w:t xml:space="preserve"> 5 1951: 445;</w:t>
      </w:r>
      <w:r w:rsidRPr="00D6101B">
        <w:rPr>
          <w:color w:val="000000"/>
        </w:rPr>
        <w:t xml:space="preserve"> </w:t>
      </w:r>
      <w:r w:rsidRPr="00D6101B">
        <w:t>Sapouna-Sakellaraki 1990:69)</w:t>
      </w:r>
    </w:p>
    <w:p w14:paraId="52E53ED5" w14:textId="77777777" w:rsidR="001A4F1A" w:rsidRPr="00D6101B" w:rsidRDefault="001A4F1A" w:rsidP="00E858EF">
      <w:pPr>
        <w:pStyle w:val="Paragrafoelenco"/>
        <w:numPr>
          <w:ilvl w:val="0"/>
          <w:numId w:val="43"/>
        </w:numPr>
        <w:suppressAutoHyphens/>
      </w:pPr>
      <w:r w:rsidRPr="00D6101B">
        <w:t>Archanes Phourni (</w:t>
      </w:r>
      <w:r>
        <w:t>B</w:t>
      </w:r>
      <w:r w:rsidRPr="00D6101B">
        <w:t xml:space="preserve">urial </w:t>
      </w:r>
      <w:r>
        <w:t>E</w:t>
      </w:r>
      <w:r w:rsidRPr="00D6101B">
        <w:t xml:space="preserve">nclosure </w:t>
      </w:r>
      <w:r>
        <w:t>P</w:t>
      </w:r>
      <w:r w:rsidRPr="00D6101B">
        <w:t>it 7) (Sapouna-Sakell</w:t>
      </w:r>
      <w:r>
        <w:t xml:space="preserve">araki 1990: 82-83; Sakellarakis and </w:t>
      </w:r>
      <w:r w:rsidRPr="00D6101B">
        <w:t>Sakellaraki 1997: 189-193)</w:t>
      </w:r>
    </w:p>
    <w:p w14:paraId="3FA863F2" w14:textId="77777777" w:rsidR="001A4F1A" w:rsidRPr="00D6101B" w:rsidRDefault="001A4F1A" w:rsidP="00E858EF">
      <w:pPr>
        <w:pStyle w:val="Paragrafoelenco"/>
        <w:numPr>
          <w:ilvl w:val="0"/>
          <w:numId w:val="43"/>
        </w:numPr>
        <w:suppressAutoHyphens/>
      </w:pPr>
      <w:r w:rsidRPr="00D6101B">
        <w:t>Athanatoi Potamos (</w:t>
      </w:r>
      <w:r w:rsidRPr="00D6101B">
        <w:rPr>
          <w:i/>
          <w:iCs/>
        </w:rPr>
        <w:t>AR</w:t>
      </w:r>
      <w:r w:rsidRPr="00D6101B">
        <w:t xml:space="preserve"> 1957: 16; </w:t>
      </w:r>
      <w:r w:rsidRPr="00D6101B">
        <w:rPr>
          <w:i/>
          <w:iCs/>
        </w:rPr>
        <w:t>KChr</w:t>
      </w:r>
      <w:r w:rsidRPr="00D6101B">
        <w:t xml:space="preserve"> 11 1957 335; </w:t>
      </w:r>
      <w:r w:rsidRPr="00D6101B">
        <w:rPr>
          <w:i/>
          <w:iCs/>
        </w:rPr>
        <w:t>BCH</w:t>
      </w:r>
      <w:r w:rsidRPr="00D6101B">
        <w:t xml:space="preserve"> 82 1958: 791; </w:t>
      </w:r>
      <w:r w:rsidRPr="00D6101B">
        <w:rPr>
          <w:i/>
          <w:iCs/>
        </w:rPr>
        <w:t>BCH</w:t>
      </w:r>
      <w:r w:rsidRPr="00D6101B">
        <w:t xml:space="preserve"> 92 1968: 999, </w:t>
      </w:r>
      <w:r>
        <w:t>F</w:t>
      </w:r>
      <w:r w:rsidRPr="00D6101B">
        <w:t xml:space="preserve">ig.9; </w:t>
      </w:r>
      <w:r w:rsidRPr="00D6101B">
        <w:rPr>
          <w:i/>
          <w:iCs/>
        </w:rPr>
        <w:t>AA</w:t>
      </w:r>
      <w:r w:rsidRPr="00D6101B">
        <w:t xml:space="preserve"> 1962: 148; </w:t>
      </w:r>
      <w:r w:rsidRPr="00D6101B">
        <w:rPr>
          <w:i/>
          <w:iCs/>
        </w:rPr>
        <w:t>ADelt</w:t>
      </w:r>
      <w:r w:rsidRPr="00D6101B">
        <w:t xml:space="preserve"> 23 1968: 403, pl.364b; </w:t>
      </w:r>
      <w:r w:rsidRPr="00D6101B">
        <w:rPr>
          <w:i/>
          <w:iCs/>
        </w:rPr>
        <w:t>Ergon</w:t>
      </w:r>
      <w:r w:rsidRPr="00D6101B">
        <w:t xml:space="preserve"> 1967: 123-24, pl.126;</w:t>
      </w:r>
      <w:r w:rsidRPr="00C32EFB">
        <w:t xml:space="preserve"> </w:t>
      </w:r>
      <w:r>
        <w:t>Alexiou 1967b</w:t>
      </w:r>
      <w:r w:rsidRPr="00D6101B">
        <w:t>: 213)</w:t>
      </w:r>
    </w:p>
    <w:p w14:paraId="3A0F0A57" w14:textId="77777777" w:rsidR="001A4F1A" w:rsidRPr="00D6101B" w:rsidRDefault="001A4F1A" w:rsidP="00E858EF">
      <w:pPr>
        <w:pStyle w:val="Paragrafoelenco"/>
        <w:numPr>
          <w:ilvl w:val="0"/>
          <w:numId w:val="43"/>
        </w:numPr>
        <w:suppressAutoHyphens/>
      </w:pPr>
      <w:r w:rsidRPr="00D6101B">
        <w:t>Gazi Skaphidara (</w:t>
      </w:r>
      <w:r w:rsidRPr="00D6101B">
        <w:rPr>
          <w:i/>
          <w:iCs/>
        </w:rPr>
        <w:t>KChr</w:t>
      </w:r>
      <w:r w:rsidRPr="00D6101B">
        <w:t xml:space="preserve"> 11 1957: 335)</w:t>
      </w:r>
    </w:p>
    <w:p w14:paraId="6E0C73C2" w14:textId="77777777" w:rsidR="001A4F1A" w:rsidRPr="00D6101B" w:rsidRDefault="001A4F1A" w:rsidP="00E858EF">
      <w:pPr>
        <w:pStyle w:val="Paragrafoelenco"/>
        <w:numPr>
          <w:ilvl w:val="0"/>
          <w:numId w:val="43"/>
        </w:numPr>
        <w:suppressAutoHyphens/>
      </w:pPr>
      <w:r w:rsidRPr="00D6101B">
        <w:t>Two tombs</w:t>
      </w:r>
      <w:r>
        <w:t xml:space="preserve"> (3 and 6)</w:t>
      </w:r>
      <w:r w:rsidRPr="00D6101B">
        <w:t xml:space="preserve"> at Gournes</w:t>
      </w:r>
      <w:r>
        <w:t xml:space="preserve"> </w:t>
      </w:r>
      <w:r w:rsidRPr="00D6101B">
        <w:t>(</w:t>
      </w:r>
      <w:r w:rsidRPr="00C32EFB">
        <w:t>Hatzidakis 1918</w:t>
      </w:r>
      <w:r w:rsidRPr="00D6101B">
        <w:t>: 63-87)</w:t>
      </w:r>
    </w:p>
    <w:p w14:paraId="6EC1D69B" w14:textId="77777777" w:rsidR="001A4F1A" w:rsidRPr="00D6101B" w:rsidRDefault="001A4F1A" w:rsidP="00E858EF">
      <w:pPr>
        <w:pStyle w:val="Paragrafoelenco"/>
        <w:numPr>
          <w:ilvl w:val="0"/>
          <w:numId w:val="43"/>
        </w:numPr>
        <w:suppressAutoHyphens/>
      </w:pPr>
      <w:r w:rsidRPr="00D6101B">
        <w:t>Both the two</w:t>
      </w:r>
      <w:r>
        <w:t>-</w:t>
      </w:r>
      <w:r w:rsidRPr="00D6101B">
        <w:t>chamber tombs at Kyparissi Vathia (Rethemiotakis 1987; Rethemiotakis 2013)</w:t>
      </w:r>
    </w:p>
    <w:p w14:paraId="1D52DF56" w14:textId="5BE7EF37" w:rsidR="001A4F1A" w:rsidRPr="00D6101B" w:rsidRDefault="001A4F1A" w:rsidP="00E858EF">
      <w:pPr>
        <w:pStyle w:val="Paragrafoelenco"/>
        <w:numPr>
          <w:ilvl w:val="0"/>
          <w:numId w:val="43"/>
        </w:numPr>
        <w:suppressAutoHyphens/>
      </w:pPr>
      <w:r w:rsidRPr="00D6101B">
        <w:t>Pit with two larnakes at Meleses (</w:t>
      </w:r>
      <w:r w:rsidRPr="0071090D">
        <w:rPr>
          <w:i/>
        </w:rPr>
        <w:t>KChr</w:t>
      </w:r>
      <w:r>
        <w:t xml:space="preserve"> 9</w:t>
      </w:r>
      <w:r w:rsidRPr="00D6101B">
        <w:t xml:space="preserve"> 1955: 566; Kanta 1980: 74)</w:t>
      </w:r>
    </w:p>
    <w:p w14:paraId="0F4EB6CB" w14:textId="09DB4523" w:rsidR="001A4F1A" w:rsidRPr="00D6101B" w:rsidRDefault="001A4F1A" w:rsidP="00E858EF">
      <w:pPr>
        <w:pStyle w:val="Paragrafoelenco"/>
        <w:numPr>
          <w:ilvl w:val="0"/>
          <w:numId w:val="43"/>
        </w:numPr>
        <w:suppressAutoHyphens/>
      </w:pPr>
      <w:r w:rsidRPr="00D6101B">
        <w:t xml:space="preserve">Tomb at </w:t>
      </w:r>
      <w:r w:rsidR="008C4A2E">
        <w:t>Phoinikia</w:t>
      </w:r>
      <w:r w:rsidRPr="00D6101B">
        <w:t xml:space="preserve"> (</w:t>
      </w:r>
      <w:r w:rsidRPr="007C4F07">
        <w:rPr>
          <w:i/>
        </w:rPr>
        <w:t>ADelt</w:t>
      </w:r>
      <w:r w:rsidRPr="00D6101B">
        <w:t xml:space="preserve"> 75 1970: 455 pl.397 a-c)</w:t>
      </w:r>
    </w:p>
    <w:p w14:paraId="59C74756" w14:textId="77777777" w:rsidR="001A4F1A" w:rsidRPr="00D6101B" w:rsidRDefault="001A4F1A" w:rsidP="00E858EF">
      <w:pPr>
        <w:pStyle w:val="Paragrafoelenco"/>
        <w:numPr>
          <w:ilvl w:val="0"/>
          <w:numId w:val="43"/>
        </w:numPr>
        <w:suppressAutoHyphens/>
      </w:pPr>
      <w:r w:rsidRPr="00D6101B">
        <w:t>Stamnoi Agia Katerini (</w:t>
      </w:r>
      <w:r w:rsidRPr="007C4F07">
        <w:rPr>
          <w:i/>
        </w:rPr>
        <w:t>ADelt</w:t>
      </w:r>
      <w:r w:rsidRPr="00D6101B">
        <w:t xml:space="preserve"> 19 1964: 443; </w:t>
      </w:r>
      <w:r w:rsidRPr="0071090D">
        <w:rPr>
          <w:i/>
        </w:rPr>
        <w:t>KChr</w:t>
      </w:r>
      <w:r w:rsidRPr="00D6101B">
        <w:t xml:space="preserve"> 17 1963: 406)</w:t>
      </w:r>
    </w:p>
    <w:p w14:paraId="4D0893EB" w14:textId="77777777" w:rsidR="001A4F1A" w:rsidRPr="00D6101B" w:rsidRDefault="001A4F1A" w:rsidP="00E858EF">
      <w:pPr>
        <w:pStyle w:val="Paragrafoelenco"/>
        <w:numPr>
          <w:ilvl w:val="0"/>
          <w:numId w:val="43"/>
        </w:numPr>
        <w:suppressAutoHyphens/>
      </w:pPr>
      <w:r w:rsidRPr="00D6101B">
        <w:t>Chamber tomb at Thrapsano (</w:t>
      </w:r>
      <w:r w:rsidRPr="00C32EFB">
        <w:rPr>
          <w:i/>
        </w:rPr>
        <w:t>EEKS</w:t>
      </w:r>
      <w:r w:rsidRPr="00D6101B">
        <w:t xml:space="preserve"> 1940: 489;</w:t>
      </w:r>
      <w:r w:rsidRPr="00C32EFB">
        <w:rPr>
          <w:i/>
        </w:rPr>
        <w:t xml:space="preserve"> AA </w:t>
      </w:r>
      <w:r w:rsidRPr="00D6101B">
        <w:t>1940: 300</w:t>
      </w:r>
      <w:r>
        <w:t>; Kanta 1980: 73</w:t>
      </w:r>
      <w:r w:rsidRPr="00D6101B">
        <w:t>)</w:t>
      </w:r>
    </w:p>
    <w:p w14:paraId="5D1F8ADE" w14:textId="77777777" w:rsidR="001A4F1A" w:rsidRPr="00D6101B" w:rsidRDefault="001A4F1A" w:rsidP="00E858EF">
      <w:pPr>
        <w:pStyle w:val="Paragrafoelenco"/>
        <w:numPr>
          <w:ilvl w:val="0"/>
          <w:numId w:val="43"/>
        </w:numPr>
        <w:suppressAutoHyphens/>
      </w:pPr>
      <w:r w:rsidRPr="00D6101B">
        <w:t>Tzompatzana (</w:t>
      </w:r>
      <w:r w:rsidRPr="00D6101B">
        <w:rPr>
          <w:i/>
          <w:iCs/>
        </w:rPr>
        <w:t>KChr</w:t>
      </w:r>
      <w:r w:rsidRPr="00D6101B">
        <w:t xml:space="preserve"> 2 1948: 526)</w:t>
      </w:r>
    </w:p>
    <w:p w14:paraId="1E1F4117" w14:textId="77777777" w:rsidR="001A4F1A" w:rsidRPr="00D6101B" w:rsidRDefault="001A4F1A" w:rsidP="00E858EF">
      <w:pPr>
        <w:pStyle w:val="Paragrafoelenco"/>
        <w:numPr>
          <w:ilvl w:val="0"/>
          <w:numId w:val="43"/>
        </w:numPr>
        <w:suppressAutoHyphens/>
      </w:pPr>
      <w:r w:rsidRPr="00D6101B">
        <w:t>Tzingounas Chomatolakkos (</w:t>
      </w:r>
      <w:r w:rsidRPr="00936CC7">
        <w:rPr>
          <w:i/>
        </w:rPr>
        <w:t xml:space="preserve">KChr </w:t>
      </w:r>
      <w:r>
        <w:t xml:space="preserve">7 1953: 491; </w:t>
      </w:r>
      <w:r w:rsidRPr="00936CC7">
        <w:rPr>
          <w:i/>
        </w:rPr>
        <w:t>KChr</w:t>
      </w:r>
      <w:r w:rsidRPr="00D6101B">
        <w:t xml:space="preserve"> </w:t>
      </w:r>
      <w:r>
        <w:t xml:space="preserve">8 </w:t>
      </w:r>
      <w:r w:rsidRPr="00D6101B">
        <w:t>1954: 515)</w:t>
      </w:r>
    </w:p>
    <w:p w14:paraId="3010CC0C" w14:textId="77777777" w:rsidR="001A4F1A" w:rsidRPr="00D6101B" w:rsidRDefault="001A4F1A" w:rsidP="00E858EF">
      <w:pPr>
        <w:suppressAutoHyphens/>
      </w:pPr>
      <w:r w:rsidRPr="00D6101B">
        <w:t>Within the secure sample of tombs</w:t>
      </w:r>
      <w:r>
        <w:t>,</w:t>
      </w:r>
      <w:r w:rsidRPr="00D6101B">
        <w:t xml:space="preserve"> there </w:t>
      </w:r>
      <w:r>
        <w:t>are</w:t>
      </w:r>
      <w:r w:rsidRPr="00D6101B">
        <w:t xml:space="preserve"> cases in which there </w:t>
      </w:r>
      <w:r>
        <w:t>is</w:t>
      </w:r>
      <w:r w:rsidRPr="00D6101B">
        <w:t xml:space="preserve"> only partial information available about grave good materials (i.e. the presence of pottery is</w:t>
      </w:r>
      <w:r>
        <w:t xml:space="preserve"> only generally attested, or only the types of vases are</w:t>
      </w:r>
      <w:r w:rsidRPr="00D6101B">
        <w:t xml:space="preserve"> </w:t>
      </w:r>
      <w:r>
        <w:t>provided</w:t>
      </w:r>
      <w:r w:rsidRPr="00D6101B">
        <w:t xml:space="preserve"> and not the detailed number of items </w:t>
      </w:r>
      <w:r>
        <w:t>of</w:t>
      </w:r>
      <w:r w:rsidRPr="00D6101B">
        <w:t xml:space="preserve"> each type).</w:t>
      </w:r>
    </w:p>
    <w:p w14:paraId="0F70C726" w14:textId="77777777" w:rsidR="001A4F1A" w:rsidRPr="00D6101B" w:rsidRDefault="001A4F1A" w:rsidP="00E858EF">
      <w:pPr>
        <w:pStyle w:val="Titolo4"/>
        <w:keepNext w:val="0"/>
        <w:keepLines w:val="0"/>
        <w:suppressAutoHyphens/>
      </w:pPr>
      <w:bookmarkStart w:id="849" w:name="_Toc389508263"/>
      <w:bookmarkStart w:id="850" w:name="_Toc517745343"/>
      <w:r w:rsidRPr="00D6101B">
        <w:t>Material types</w:t>
      </w:r>
      <w:bookmarkEnd w:id="849"/>
      <w:bookmarkEnd w:id="850"/>
    </w:p>
    <w:p w14:paraId="7494A7A9" w14:textId="4A11F361" w:rsidR="001A4F1A" w:rsidRDefault="001A4F1A" w:rsidP="00E858EF">
      <w:pPr>
        <w:suppressAutoHyphens/>
      </w:pPr>
      <w:r w:rsidRPr="00D6101B">
        <w:t xml:space="preserve">Data concerning the material types of the assemblage </w:t>
      </w:r>
      <w:r>
        <w:t>are</w:t>
      </w:r>
      <w:r w:rsidRPr="00D6101B">
        <w:t xml:space="preserve"> summarised in th</w:t>
      </w:r>
      <w:r>
        <w:t>e</w:t>
      </w:r>
      <w:r w:rsidRPr="00D6101B">
        <w:t xml:space="preserve"> graph</w:t>
      </w:r>
      <w:r>
        <w:t>, below</w:t>
      </w:r>
      <w:r w:rsidRPr="00D6101B">
        <w:t>:</w:t>
      </w:r>
    </w:p>
    <w:p w14:paraId="2DB2A881" w14:textId="77777777" w:rsidR="00F136FC" w:rsidRPr="00D6101B" w:rsidRDefault="00F136FC" w:rsidP="00E858EF">
      <w:pPr>
        <w:suppressAutoHyphens/>
      </w:pPr>
    </w:p>
    <w:p w14:paraId="08CE8C0F" w14:textId="2DA26538" w:rsidR="001A4F1A" w:rsidRPr="00AA2271" w:rsidRDefault="001A4F1A" w:rsidP="00E858EF">
      <w:pPr>
        <w:suppressAutoHyphens/>
      </w:pPr>
      <w:r>
        <w:rPr>
          <w:noProof/>
          <w:lang w:val="it-IT"/>
        </w:rPr>
        <w:drawing>
          <wp:inline distT="0" distB="0" distL="0" distR="0" wp14:anchorId="7AF73552" wp14:editId="24646CBD">
            <wp:extent cx="5396230" cy="2784156"/>
            <wp:effectExtent l="0" t="0" r="13970" b="16510"/>
            <wp:docPr id="95" name="Grafico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76DFC58E" w14:textId="25A86E20" w:rsidR="001A4F1A" w:rsidRPr="00D6101B" w:rsidRDefault="001A4F1A" w:rsidP="00E858EF">
      <w:pPr>
        <w:pStyle w:val="Didascalia"/>
        <w:suppressAutoHyphens/>
      </w:pPr>
      <w:bookmarkStart w:id="851" w:name="_Toc520212381"/>
      <w:r>
        <w:t>Figure 4-43</w:t>
      </w:r>
      <w:r w:rsidR="00CC78C9">
        <w:t>.</w:t>
      </w:r>
      <w:r>
        <w:t xml:space="preserve"> </w:t>
      </w:r>
      <w:r w:rsidR="00E20083" w:rsidRPr="00AD12E3">
        <w:t>M</w:t>
      </w:r>
      <w:r w:rsidRPr="00AD12E3">
        <w:t>aterial types</w:t>
      </w:r>
      <w:r w:rsidR="00E20083" w:rsidRPr="00AD12E3">
        <w:t xml:space="preserve"> occurrence</w:t>
      </w:r>
      <w:r w:rsidR="00CC78C9">
        <w:t xml:space="preserve">, </w:t>
      </w:r>
      <w:r w:rsidRPr="00AD12E3">
        <w:t>Central area</w:t>
      </w:r>
      <w:bookmarkEnd w:id="851"/>
    </w:p>
    <w:p w14:paraId="01AADBF0" w14:textId="77777777" w:rsidR="001A4F1A" w:rsidRPr="00D6101B" w:rsidRDefault="001A4F1A" w:rsidP="00E858EF">
      <w:pPr>
        <w:pStyle w:val="Paragrafoelenco"/>
        <w:suppressAutoHyphens/>
      </w:pPr>
    </w:p>
    <w:p w14:paraId="12C449B3" w14:textId="77777777" w:rsidR="001A4F1A" w:rsidRPr="00D6101B" w:rsidRDefault="001A4F1A" w:rsidP="00E858EF">
      <w:pPr>
        <w:suppressAutoHyphens/>
        <w:ind w:firstLine="708"/>
      </w:pPr>
      <w:r w:rsidRPr="00D6101B">
        <w:t xml:space="preserve">The most common material type in </w:t>
      </w:r>
      <w:r>
        <w:t>the C</w:t>
      </w:r>
      <w:r w:rsidRPr="00D6101B">
        <w:t>entral area is ceramic</w:t>
      </w:r>
      <w:r>
        <w:t>,</w:t>
      </w:r>
      <w:r w:rsidRPr="00D6101B">
        <w:t xml:space="preserve"> which </w:t>
      </w:r>
      <w:r>
        <w:t>is present</w:t>
      </w:r>
      <w:r w:rsidRPr="00D6101B">
        <w:t xml:space="preserve"> in 90% of the tombs. In the remaining 10%, no ceramic materials have been </w:t>
      </w:r>
      <w:r>
        <w:t>found</w:t>
      </w:r>
      <w:r w:rsidRPr="00D6101B">
        <w:t xml:space="preserve">. Within the percentage of tombs where ceramic </w:t>
      </w:r>
      <w:r>
        <w:t>is</w:t>
      </w:r>
      <w:r w:rsidRPr="00D6101B">
        <w:t xml:space="preserve"> attested</w:t>
      </w:r>
      <w:r>
        <w:t xml:space="preserve"> is</w:t>
      </w:r>
      <w:r w:rsidRPr="00D6101B">
        <w:t xml:space="preserve"> </w:t>
      </w:r>
      <w:r>
        <w:t>B</w:t>
      </w:r>
      <w:r w:rsidRPr="00D6101B">
        <w:t xml:space="preserve">urial </w:t>
      </w:r>
      <w:r>
        <w:t>B</w:t>
      </w:r>
      <w:r w:rsidRPr="00D6101B">
        <w:t>uilding 3 at Archanes Phourni, where no pottery vessels have been found</w:t>
      </w:r>
      <w:r>
        <w:t>,</w:t>
      </w:r>
      <w:r w:rsidRPr="00D6101B">
        <w:t xml:space="preserve"> but</w:t>
      </w:r>
      <w:r>
        <w:t xml:space="preserve"> there is a </w:t>
      </w:r>
      <w:r w:rsidRPr="00D6101B">
        <w:t xml:space="preserve">ceramic </w:t>
      </w:r>
      <w:r>
        <w:t>(</w:t>
      </w:r>
      <w:r w:rsidRPr="00D6101B">
        <w:t>clay</w:t>
      </w:r>
      <w:r>
        <w:t xml:space="preserve">) figurine (Sakellarakis and </w:t>
      </w:r>
      <w:r w:rsidRPr="00D6101B">
        <w:t>Sakellaraki 1997: 194-198).</w:t>
      </w:r>
    </w:p>
    <w:p w14:paraId="0F4C24C2" w14:textId="77777777" w:rsidR="001A4F1A" w:rsidRPr="00D6101B" w:rsidRDefault="001A4F1A" w:rsidP="00E858EF">
      <w:pPr>
        <w:suppressAutoHyphens/>
      </w:pPr>
      <w:r>
        <w:tab/>
      </w:r>
      <w:r w:rsidRPr="00D6101B">
        <w:t xml:space="preserve">The other most common materials registered are stone and bronze, which </w:t>
      </w:r>
      <w:r>
        <w:t>are present,</w:t>
      </w:r>
      <w:r w:rsidRPr="00D6101B">
        <w:t xml:space="preserve"> in 36 and 33 tombs</w:t>
      </w:r>
      <w:r>
        <w:t xml:space="preserve"> </w:t>
      </w:r>
      <w:r w:rsidRPr="00D6101B">
        <w:t>respectively, followed by faience and glass (21 tombs) and ivory (9 tombs). A small number of tombs</w:t>
      </w:r>
      <w:r>
        <w:t xml:space="preserve"> (7)</w:t>
      </w:r>
      <w:r w:rsidRPr="00D6101B">
        <w:t xml:space="preserve"> </w:t>
      </w:r>
      <w:r>
        <w:t>contained</w:t>
      </w:r>
      <w:r w:rsidRPr="00D6101B">
        <w:t xml:space="preserve"> gold, but</w:t>
      </w:r>
      <w:r>
        <w:t>,</w:t>
      </w:r>
      <w:r w:rsidRPr="00D6101B">
        <w:t xml:space="preserve"> overall</w:t>
      </w:r>
      <w:r>
        <w:t>,</w:t>
      </w:r>
      <w:r w:rsidRPr="00D6101B">
        <w:t xml:space="preserve"> the presence of precious materials is attested </w:t>
      </w:r>
      <w:r>
        <w:t>i</w:t>
      </w:r>
      <w:r w:rsidRPr="00D6101B">
        <w:t>n</w:t>
      </w:r>
      <w:r>
        <w:t xml:space="preserve"> only</w:t>
      </w:r>
      <w:r w:rsidRPr="00D6101B">
        <w:t xml:space="preserve"> 18% of tombs.</w:t>
      </w:r>
      <w:r>
        <w:t xml:space="preserve"> </w:t>
      </w:r>
      <w:r w:rsidRPr="00D6101B">
        <w:t>Bone and amber have not been found in any tomb.</w:t>
      </w:r>
    </w:p>
    <w:p w14:paraId="772AF0F4" w14:textId="77777777" w:rsidR="001A4F1A" w:rsidRPr="00D6101B" w:rsidRDefault="001A4F1A" w:rsidP="00E858EF">
      <w:pPr>
        <w:suppressAutoHyphens/>
      </w:pPr>
      <w:r>
        <w:tab/>
        <w:t>Regarding</w:t>
      </w:r>
      <w:r w:rsidRPr="00D6101B">
        <w:t xml:space="preserve"> material type variety, 15% </w:t>
      </w:r>
      <w:r>
        <w:t xml:space="preserve">of the </w:t>
      </w:r>
      <w:r w:rsidRPr="00D6101B">
        <w:t xml:space="preserve">tombs </w:t>
      </w:r>
      <w:r>
        <w:t>contained</w:t>
      </w:r>
      <w:r w:rsidRPr="00D6101B">
        <w:t xml:space="preserve"> more than </w:t>
      </w:r>
      <w:r>
        <w:t>three</w:t>
      </w:r>
      <w:r w:rsidRPr="00D6101B">
        <w:t xml:space="preserve"> different material types</w:t>
      </w:r>
      <w:r>
        <w:t>;</w:t>
      </w:r>
      <w:r w:rsidRPr="00D6101B">
        <w:t xml:space="preserve"> while for the remaining 85%</w:t>
      </w:r>
      <w:r>
        <w:t>,</w:t>
      </w:r>
      <w:r w:rsidRPr="00D6101B">
        <w:t xml:space="preserve"> a maximum of three different materials type has been registered.</w:t>
      </w:r>
      <w:r>
        <w:t xml:space="preserve"> The following</w:t>
      </w:r>
      <w:r w:rsidRPr="00D6101B">
        <w:t xml:space="preserve"> tombs </w:t>
      </w:r>
      <w:r>
        <w:t>are notable</w:t>
      </w:r>
      <w:r w:rsidRPr="00D6101B">
        <w:t xml:space="preserve"> because of the variety of material types</w:t>
      </w:r>
      <w:r>
        <w:t>,</w:t>
      </w:r>
      <w:r w:rsidRPr="00D6101B">
        <w:t xml:space="preserve"> but also because they </w:t>
      </w:r>
      <w:r>
        <w:t xml:space="preserve">contain </w:t>
      </w:r>
      <w:r w:rsidRPr="00D6101B">
        <w:t xml:space="preserve">precious materials in their grave goods assemblages </w:t>
      </w:r>
      <w:r>
        <w:t>(</w:t>
      </w:r>
      <w:r w:rsidRPr="00D6101B">
        <w:t>three of the</w:t>
      </w:r>
      <w:r>
        <w:t>se tombs</w:t>
      </w:r>
      <w:r w:rsidRPr="00D6101B">
        <w:t xml:space="preserve"> are located in the same cemetery</w:t>
      </w:r>
      <w:r>
        <w:t>:</w:t>
      </w:r>
      <w:r w:rsidRPr="00D6101B">
        <w:t xml:space="preserve"> Archanes Phourni</w:t>
      </w:r>
      <w:r>
        <w:t>):</w:t>
      </w:r>
    </w:p>
    <w:p w14:paraId="456AAF9C" w14:textId="77777777" w:rsidR="001A4F1A" w:rsidRPr="00D6101B" w:rsidRDefault="001A4F1A" w:rsidP="00E858EF">
      <w:pPr>
        <w:pStyle w:val="Paragrafoelenco"/>
        <w:numPr>
          <w:ilvl w:val="0"/>
          <w:numId w:val="45"/>
        </w:numPr>
        <w:suppressAutoHyphens/>
      </w:pPr>
      <w:r>
        <w:t>C</w:t>
      </w:r>
      <w:r w:rsidRPr="00D6101B">
        <w:t xml:space="preserve">hamber tomb at Amnissos Karteros </w:t>
      </w:r>
      <w:r>
        <w:t>contained</w:t>
      </w:r>
      <w:r w:rsidRPr="00D6101B">
        <w:t xml:space="preserve"> eight different materials, </w:t>
      </w:r>
      <w:r>
        <w:t>including</w:t>
      </w:r>
      <w:r w:rsidRPr="00D6101B">
        <w:t xml:space="preserve"> bronze</w:t>
      </w:r>
      <w:r>
        <w:t>,</w:t>
      </w:r>
      <w:r w:rsidRPr="00D6101B">
        <w:t xml:space="preserve"> stone</w:t>
      </w:r>
      <w:r>
        <w:t>,</w:t>
      </w:r>
      <w:r w:rsidRPr="00D6101B">
        <w:t xml:space="preserve"> ivory and silver (</w:t>
      </w:r>
      <w:r w:rsidRPr="00936CC7">
        <w:t>Marinatos</w:t>
      </w:r>
      <w:r>
        <w:rPr>
          <w:i/>
        </w:rPr>
        <w:t xml:space="preserve"> </w:t>
      </w:r>
      <w:r w:rsidRPr="00D6101B">
        <w:t>1927-28: 68-90)</w:t>
      </w:r>
      <w:r>
        <w:t>.</w:t>
      </w:r>
    </w:p>
    <w:p w14:paraId="28DFCDF6" w14:textId="77777777" w:rsidR="001A4F1A" w:rsidRPr="00390F1E" w:rsidRDefault="001A4F1A" w:rsidP="00E858EF">
      <w:pPr>
        <w:pStyle w:val="Paragrafoelenco"/>
        <w:numPr>
          <w:ilvl w:val="0"/>
          <w:numId w:val="45"/>
        </w:numPr>
        <w:suppressAutoHyphens/>
      </w:pPr>
      <w:r>
        <w:t xml:space="preserve">The excavation reports of an unrobbed LM IIIA2/B chamber tomb at </w:t>
      </w:r>
      <w:r w:rsidRPr="00390F1E">
        <w:t>Karteros Agia Photeini</w:t>
      </w:r>
      <w:r>
        <w:t xml:space="preserve"> noted a significant number of bronze items, blue glass-paste beads, pins and a bone comb, along with other stone items and pottery vessels (</w:t>
      </w:r>
      <w:r w:rsidRPr="0094096E">
        <w:t>Mandalaki 2011:</w:t>
      </w:r>
      <w:r>
        <w:t xml:space="preserve"> </w:t>
      </w:r>
      <w:r w:rsidRPr="0094096E">
        <w:t>287-300</w:t>
      </w:r>
      <w:r>
        <w:t>).</w:t>
      </w:r>
    </w:p>
    <w:p w14:paraId="2CED2B7D" w14:textId="77777777" w:rsidR="001A4F1A" w:rsidRPr="00D6101B" w:rsidRDefault="001A4F1A" w:rsidP="00E858EF">
      <w:pPr>
        <w:pStyle w:val="Paragrafoelenco"/>
        <w:numPr>
          <w:ilvl w:val="0"/>
          <w:numId w:val="45"/>
        </w:numPr>
        <w:suppressAutoHyphens/>
      </w:pPr>
      <w:r>
        <w:t>B</w:t>
      </w:r>
      <w:r w:rsidRPr="00D6101B">
        <w:t xml:space="preserve">urial </w:t>
      </w:r>
      <w:r>
        <w:t>B</w:t>
      </w:r>
      <w:r w:rsidRPr="00D6101B">
        <w:t xml:space="preserve">uilding 3 at Archanes </w:t>
      </w:r>
      <w:r>
        <w:t>contained</w:t>
      </w:r>
      <w:r w:rsidRPr="00D6101B">
        <w:t xml:space="preserve"> eight different material type</w:t>
      </w:r>
      <w:r>
        <w:t>s</w:t>
      </w:r>
      <w:r w:rsidRPr="00D6101B">
        <w:t xml:space="preserve"> within the grave goods assemblage, </w:t>
      </w:r>
      <w:r>
        <w:t>including</w:t>
      </w:r>
      <w:r w:rsidRPr="00D6101B">
        <w:t xml:space="preserve"> bronze</w:t>
      </w:r>
      <w:r>
        <w:t>,</w:t>
      </w:r>
      <w:r w:rsidRPr="00D6101B">
        <w:t xml:space="preserve"> stone</w:t>
      </w:r>
      <w:r>
        <w:t>,</w:t>
      </w:r>
      <w:r w:rsidRPr="00D6101B">
        <w:t xml:space="preserve"> ivory</w:t>
      </w:r>
      <w:r>
        <w:t>,</w:t>
      </w:r>
      <w:r w:rsidRPr="00D6101B">
        <w:t xml:space="preserve"> silver and gold. As </w:t>
      </w:r>
      <w:r>
        <w:t>stated previously,</w:t>
      </w:r>
      <w:r w:rsidRPr="00D6101B">
        <w:t xml:space="preserve"> no </w:t>
      </w:r>
      <w:r>
        <w:t>pottery</w:t>
      </w:r>
      <w:r w:rsidRPr="00D6101B">
        <w:t xml:space="preserve"> vessels </w:t>
      </w:r>
      <w:r>
        <w:t>were</w:t>
      </w:r>
      <w:r w:rsidRPr="00D6101B">
        <w:t xml:space="preserve"> found i</w:t>
      </w:r>
      <w:r>
        <w:t xml:space="preserve">n this assemblage (Sakellarakis and </w:t>
      </w:r>
      <w:r w:rsidRPr="00D6101B">
        <w:t>Sakellaraki 1997: 194-198).</w:t>
      </w:r>
    </w:p>
    <w:p w14:paraId="21AA1B13" w14:textId="77777777" w:rsidR="001A4F1A" w:rsidRPr="00D6101B" w:rsidRDefault="001A4F1A" w:rsidP="00E858EF">
      <w:pPr>
        <w:pStyle w:val="Paragrafoelenco"/>
        <w:numPr>
          <w:ilvl w:val="0"/>
          <w:numId w:val="45"/>
        </w:numPr>
        <w:suppressAutoHyphens/>
      </w:pPr>
      <w:r>
        <w:t>P</w:t>
      </w:r>
      <w:r w:rsidRPr="00D6101B">
        <w:t>it number six of the burial enclosure at Archanes Phourni</w:t>
      </w:r>
      <w:r>
        <w:t xml:space="preserve"> is</w:t>
      </w:r>
      <w:r w:rsidRPr="00D6101B">
        <w:t xml:space="preserve"> also called </w:t>
      </w:r>
      <w:r>
        <w:t>‘</w:t>
      </w:r>
      <w:r w:rsidRPr="00D6101B">
        <w:t>the pit of the bronzes and the ivories</w:t>
      </w:r>
      <w:r>
        <w:t>’</w:t>
      </w:r>
      <w:r w:rsidRPr="00D6101B">
        <w:t xml:space="preserve"> because of the number of bronze and ivory items found there. </w:t>
      </w:r>
      <w:r>
        <w:t>In addition to</w:t>
      </w:r>
      <w:r w:rsidRPr="00D6101B">
        <w:t xml:space="preserve"> bronze and ivory, gold, stone, glass and faience items </w:t>
      </w:r>
      <w:r>
        <w:t>were</w:t>
      </w:r>
      <w:r w:rsidRPr="00D6101B">
        <w:t xml:space="preserve"> found in this tomb (Sake</w:t>
      </w:r>
      <w:r>
        <w:t xml:space="preserve">llarakis and </w:t>
      </w:r>
      <w:r w:rsidRPr="00D6101B">
        <w:t>Sakellaraki 1997: 189-193)</w:t>
      </w:r>
      <w:r>
        <w:t>.</w:t>
      </w:r>
    </w:p>
    <w:p w14:paraId="15DD7861" w14:textId="77777777" w:rsidR="001A4F1A" w:rsidRPr="00D6101B" w:rsidRDefault="001A4F1A" w:rsidP="00E858EF">
      <w:pPr>
        <w:pStyle w:val="Paragrafoelenco"/>
        <w:numPr>
          <w:ilvl w:val="0"/>
          <w:numId w:val="45"/>
        </w:numPr>
        <w:suppressAutoHyphens/>
        <w:rPr>
          <w:b/>
        </w:rPr>
      </w:pPr>
      <w:r w:rsidRPr="00D6101B">
        <w:t xml:space="preserve">Tholos A at Archanes Phourni </w:t>
      </w:r>
      <w:r>
        <w:t>contained</w:t>
      </w:r>
      <w:r w:rsidRPr="00D6101B">
        <w:t xml:space="preserve"> a very rich grave goods assemblage</w:t>
      </w:r>
      <w:r>
        <w:t xml:space="preserve"> comprising</w:t>
      </w:r>
      <w:r w:rsidRPr="00D6101B">
        <w:t xml:space="preserve"> ceramic, bronze, stone, glass, gold, ivory</w:t>
      </w:r>
      <w:r>
        <w:t xml:space="preserve"> and</w:t>
      </w:r>
      <w:r w:rsidRPr="00D6101B">
        <w:t xml:space="preserve"> iron artefacts. It is possible that some of these materials</w:t>
      </w:r>
      <w:r>
        <w:t>,</w:t>
      </w:r>
      <w:r w:rsidRPr="00D6101B">
        <w:t xml:space="preserve"> found in a corner of the side room (beads and two golden finger rings)</w:t>
      </w:r>
      <w:r>
        <w:t>,</w:t>
      </w:r>
      <w:r w:rsidRPr="00D6101B">
        <w:t xml:space="preserve"> </w:t>
      </w:r>
      <w:r>
        <w:t>were</w:t>
      </w:r>
      <w:r w:rsidRPr="00D6101B">
        <w:t xml:space="preserve"> probably i</w:t>
      </w:r>
      <w:r>
        <w:t xml:space="preserve">n a box (wooden?) (Sakellarakis and </w:t>
      </w:r>
      <w:r w:rsidRPr="00D6101B">
        <w:t>Sakellaraki 1997,158-168)</w:t>
      </w:r>
      <w:r>
        <w:t>.</w:t>
      </w:r>
    </w:p>
    <w:p w14:paraId="6C5FD7DC" w14:textId="77777777" w:rsidR="001A4F1A" w:rsidRPr="00D6101B" w:rsidRDefault="001A4F1A" w:rsidP="00E858EF">
      <w:pPr>
        <w:pStyle w:val="Paragrafoelenco"/>
        <w:numPr>
          <w:ilvl w:val="0"/>
          <w:numId w:val="45"/>
        </w:numPr>
        <w:suppressAutoHyphens/>
        <w:rPr>
          <w:b/>
        </w:rPr>
      </w:pPr>
      <w:r w:rsidRPr="00D6101B">
        <w:t xml:space="preserve">The material composition of the assemblage of a chamber tomb at Tylissos </w:t>
      </w:r>
      <w:r>
        <w:t>included</w:t>
      </w:r>
      <w:r w:rsidRPr="00D6101B">
        <w:t xml:space="preserve"> silver</w:t>
      </w:r>
      <w:r>
        <w:t>,</w:t>
      </w:r>
      <w:r w:rsidRPr="00D6101B">
        <w:t xml:space="preserve"> glass</w:t>
      </w:r>
      <w:r>
        <w:t>,</w:t>
      </w:r>
      <w:r w:rsidRPr="00D6101B">
        <w:t xml:space="preserve"> ceramic</w:t>
      </w:r>
      <w:r>
        <w:t>,</w:t>
      </w:r>
      <w:r w:rsidRPr="00D6101B">
        <w:t xml:space="preserve"> stone and bronze (</w:t>
      </w:r>
      <w:r>
        <w:t>Hat</w:t>
      </w:r>
      <w:r w:rsidRPr="00D6101B">
        <w:t>zidakis 1921: 82-86)</w:t>
      </w:r>
      <w:r>
        <w:t>.</w:t>
      </w:r>
    </w:p>
    <w:p w14:paraId="33E8FCB9" w14:textId="77777777" w:rsidR="001A4F1A" w:rsidRPr="00D6101B" w:rsidRDefault="001A4F1A" w:rsidP="00E858EF">
      <w:pPr>
        <w:pStyle w:val="Paragrafoelenco"/>
        <w:suppressAutoHyphens/>
      </w:pPr>
    </w:p>
    <w:p w14:paraId="439583B1" w14:textId="77777777" w:rsidR="001A4F1A" w:rsidRPr="00D6101B" w:rsidRDefault="001A4F1A" w:rsidP="00E858EF">
      <w:pPr>
        <w:pStyle w:val="Titolo4"/>
        <w:keepNext w:val="0"/>
        <w:keepLines w:val="0"/>
        <w:suppressAutoHyphens/>
      </w:pPr>
      <w:bookmarkStart w:id="852" w:name="_Toc389508264"/>
      <w:bookmarkStart w:id="853" w:name="_Toc517745344"/>
      <w:r>
        <w:t>Non-ceramic</w:t>
      </w:r>
      <w:r w:rsidRPr="00D6101B">
        <w:t xml:space="preserve"> artefacts</w:t>
      </w:r>
      <w:bookmarkEnd w:id="852"/>
      <w:bookmarkEnd w:id="853"/>
    </w:p>
    <w:p w14:paraId="59E9EE99" w14:textId="77777777" w:rsidR="001A4F1A" w:rsidRPr="00D6101B" w:rsidRDefault="001A4F1A" w:rsidP="00E858EF">
      <w:pPr>
        <w:suppressAutoHyphens/>
      </w:pPr>
      <w:r w:rsidRPr="00D6101B">
        <w:t xml:space="preserve">The presence of </w:t>
      </w:r>
      <w:r>
        <w:t>non-ceramic</w:t>
      </w:r>
      <w:r w:rsidRPr="00D6101B">
        <w:t xml:space="preserve"> artefacts has been registered in 56 tombs </w:t>
      </w:r>
      <w:r>
        <w:t xml:space="preserve">or </w:t>
      </w:r>
      <w:r w:rsidRPr="00D6101B">
        <w:t>72% of the sample. Within this sample</w:t>
      </w:r>
      <w:r>
        <w:t>,</w:t>
      </w:r>
      <w:r w:rsidRPr="00D6101B">
        <w:t xml:space="preserve"> eight tombs </w:t>
      </w:r>
      <w:r>
        <w:t>contained only</w:t>
      </w:r>
      <w:r w:rsidRPr="00D6101B">
        <w:t xml:space="preserve"> </w:t>
      </w:r>
      <w:r>
        <w:t>non-ceramic</w:t>
      </w:r>
      <w:r w:rsidRPr="00D6101B">
        <w:t xml:space="preserve"> a</w:t>
      </w:r>
      <w:r>
        <w:t>rtefacts</w:t>
      </w:r>
      <w:r w:rsidRPr="00D6101B">
        <w:t>. No bracelets or arrowheads have been found.</w:t>
      </w:r>
    </w:p>
    <w:p w14:paraId="7E73407D" w14:textId="77777777" w:rsidR="001A4F1A" w:rsidRPr="00D6101B" w:rsidRDefault="001A4F1A" w:rsidP="00E858EF">
      <w:pPr>
        <w:suppressAutoHyphens/>
      </w:pPr>
      <w:r>
        <w:tab/>
      </w:r>
      <w:r w:rsidRPr="00D6101B">
        <w:t xml:space="preserve">The </w:t>
      </w:r>
      <w:r>
        <w:t xml:space="preserve">most common </w:t>
      </w:r>
      <w:r w:rsidRPr="00D6101B">
        <w:t xml:space="preserve">items are beads, which </w:t>
      </w:r>
      <w:r>
        <w:t>were found</w:t>
      </w:r>
      <w:r w:rsidRPr="00D6101B">
        <w:t xml:space="preserve"> in </w:t>
      </w:r>
      <w:r>
        <w:t>many</w:t>
      </w:r>
      <w:r w:rsidRPr="00D6101B">
        <w:t xml:space="preserve"> tombs (27), with a higher concentration at </w:t>
      </w:r>
      <w:r>
        <w:t xml:space="preserve">the </w:t>
      </w:r>
      <w:r w:rsidRPr="00D6101B">
        <w:t xml:space="preserve">Metochi Kalou cemetery (379 beads distributed in </w:t>
      </w:r>
      <w:r>
        <w:t>five</w:t>
      </w:r>
      <w:r w:rsidRPr="00D6101B">
        <w:t xml:space="preserve"> tombs, 287 coming from a single tomb)</w:t>
      </w:r>
      <w:r>
        <w:t>;</w:t>
      </w:r>
      <w:r w:rsidRPr="00D6101B">
        <w:t xml:space="preserve"> Gournes </w:t>
      </w:r>
      <w:r>
        <w:t>T</w:t>
      </w:r>
      <w:r w:rsidRPr="00D6101B">
        <w:t xml:space="preserve">omb 1 (313 beads) and </w:t>
      </w:r>
      <w:r>
        <w:t>T</w:t>
      </w:r>
      <w:r w:rsidRPr="00D6101B">
        <w:t>omb 2 (133 beads)</w:t>
      </w:r>
      <w:r>
        <w:t>;</w:t>
      </w:r>
      <w:r w:rsidRPr="00D6101B">
        <w:t xml:space="preserve"> Archanes </w:t>
      </w:r>
      <w:r>
        <w:t>T</w:t>
      </w:r>
      <w:r w:rsidRPr="00D6101B">
        <w:t>holos A (49 beads) and Amnissos Karteros (91 beads).</w:t>
      </w:r>
    </w:p>
    <w:p w14:paraId="267E049B" w14:textId="77777777" w:rsidR="001A4F1A" w:rsidRPr="00D6101B" w:rsidRDefault="001A4F1A" w:rsidP="00E858EF">
      <w:pPr>
        <w:suppressAutoHyphens/>
      </w:pPr>
      <w:r>
        <w:tab/>
        <w:t>Regarding</w:t>
      </w:r>
      <w:r w:rsidRPr="00D6101B">
        <w:t xml:space="preserve"> other items, the four </w:t>
      </w:r>
      <w:r>
        <w:t>most common</w:t>
      </w:r>
      <w:r w:rsidRPr="00D6101B">
        <w:t xml:space="preserve"> are metal vessels, stone vessels, seals and rings.</w:t>
      </w:r>
      <w:r>
        <w:t xml:space="preserve"> </w:t>
      </w:r>
      <w:r w:rsidRPr="00D6101B">
        <w:t>These items seem to be almost proportionally distributed within the tombs in which they occur, except for the high occurrence of metal vessel</w:t>
      </w:r>
      <w:r>
        <w:t>s</w:t>
      </w:r>
      <w:r w:rsidRPr="00D6101B">
        <w:t xml:space="preserve"> (10) in </w:t>
      </w:r>
      <w:r>
        <w:t>T</w:t>
      </w:r>
      <w:r w:rsidRPr="00D6101B">
        <w:t xml:space="preserve">holos A at Archanes Phourni and </w:t>
      </w:r>
      <w:r>
        <w:t>P</w:t>
      </w:r>
      <w:r w:rsidRPr="00D6101B">
        <w:t xml:space="preserve">it 4 of the burial enclosure. Tholos A </w:t>
      </w:r>
      <w:r>
        <w:t>contained</w:t>
      </w:r>
      <w:r w:rsidRPr="00D6101B">
        <w:t xml:space="preserve"> a high number of rings (5)</w:t>
      </w:r>
      <w:r>
        <w:t>,</w:t>
      </w:r>
      <w:r w:rsidRPr="00D6101B">
        <w:t xml:space="preserve"> some of which </w:t>
      </w:r>
      <w:r>
        <w:t>are</w:t>
      </w:r>
      <w:r w:rsidRPr="00D6101B">
        <w:t xml:space="preserve"> gold.</w:t>
      </w:r>
    </w:p>
    <w:p w14:paraId="4B837843" w14:textId="77777777" w:rsidR="001A4F1A" w:rsidRDefault="001A4F1A" w:rsidP="00E858EF">
      <w:pPr>
        <w:suppressAutoHyphens/>
        <w:ind w:firstLine="708"/>
      </w:pPr>
      <w:r w:rsidRPr="00D6101B">
        <w:t xml:space="preserve">Gold rings have been found in three </w:t>
      </w:r>
      <w:r>
        <w:t xml:space="preserve">other tombs in this region: </w:t>
      </w:r>
      <w:r w:rsidRPr="00D6101B">
        <w:t>Archanes Katsoprinia, Kyparissi Vathia</w:t>
      </w:r>
      <w:r>
        <w:t xml:space="preserve"> and</w:t>
      </w:r>
      <w:r w:rsidRPr="00D6101B">
        <w:t xml:space="preserve"> </w:t>
      </w:r>
      <w:r>
        <w:t xml:space="preserve">Amnissos Karteros. </w:t>
      </w:r>
      <w:r w:rsidRPr="00D6101B">
        <w:t xml:space="preserve">Burial </w:t>
      </w:r>
      <w:r>
        <w:t>B</w:t>
      </w:r>
      <w:r w:rsidRPr="00D6101B">
        <w:t>u</w:t>
      </w:r>
      <w:r>
        <w:t>ild</w:t>
      </w:r>
      <w:r w:rsidRPr="00D6101B">
        <w:t xml:space="preserve">ing 3 at Archanes </w:t>
      </w:r>
      <w:r>
        <w:t>contained a</w:t>
      </w:r>
      <w:r w:rsidRPr="00D6101B">
        <w:t xml:space="preserve"> high variety of </w:t>
      </w:r>
      <w:r>
        <w:t>non-ceramic</w:t>
      </w:r>
      <w:r w:rsidRPr="00D6101B">
        <w:t xml:space="preserve"> items (in this tomb</w:t>
      </w:r>
      <w:r>
        <w:t>,</w:t>
      </w:r>
      <w:r w:rsidRPr="00D6101B">
        <w:t xml:space="preserve"> no pottery vessels </w:t>
      </w:r>
      <w:r>
        <w:t>were</w:t>
      </w:r>
      <w:r w:rsidRPr="00D6101B">
        <w:t xml:space="preserve"> found) and the same can be noted </w:t>
      </w:r>
      <w:r>
        <w:t>of</w:t>
      </w:r>
      <w:r w:rsidRPr="00D6101B">
        <w:t xml:space="preserve"> </w:t>
      </w:r>
      <w:r>
        <w:t>T</w:t>
      </w:r>
      <w:r w:rsidRPr="00D6101B">
        <w:t>omb 2 at Gournes.</w:t>
      </w:r>
    </w:p>
    <w:p w14:paraId="0DA986E6" w14:textId="77777777" w:rsidR="001A4F1A" w:rsidRPr="00D6101B" w:rsidRDefault="001A4F1A" w:rsidP="00E858EF">
      <w:pPr>
        <w:suppressAutoHyphens/>
        <w:ind w:firstLine="708"/>
      </w:pPr>
      <w:r w:rsidRPr="00D6101B">
        <w:t xml:space="preserve">The </w:t>
      </w:r>
      <w:r>
        <w:t>non-ceramic</w:t>
      </w:r>
      <w:r w:rsidRPr="00D6101B">
        <w:t xml:space="preserve"> </w:t>
      </w:r>
      <w:r>
        <w:t xml:space="preserve">item </w:t>
      </w:r>
      <w:r w:rsidRPr="00D6101B">
        <w:t xml:space="preserve">types not found in </w:t>
      </w:r>
      <w:r>
        <w:t xml:space="preserve">grave goods assemblages in </w:t>
      </w:r>
      <w:r w:rsidRPr="00D6101B">
        <w:t>secure tombs with larnakes</w:t>
      </w:r>
      <w:r>
        <w:t xml:space="preserve"> in Central area </w:t>
      </w:r>
      <w:r w:rsidRPr="00D6101B">
        <w:t>are</w:t>
      </w:r>
      <w:r>
        <w:t xml:space="preserve"> bracelet and arrowhead.</w:t>
      </w:r>
    </w:p>
    <w:p w14:paraId="563C295B" w14:textId="77777777" w:rsidR="001A4F1A" w:rsidRPr="00D6101B" w:rsidRDefault="001A4F1A" w:rsidP="00E858EF">
      <w:pPr>
        <w:suppressAutoHyphens/>
      </w:pPr>
    </w:p>
    <w:p w14:paraId="5D0B657E" w14:textId="65A79B28" w:rsidR="001A4F1A" w:rsidRPr="00D6101B" w:rsidRDefault="001A4F1A" w:rsidP="00E858EF">
      <w:pPr>
        <w:pStyle w:val="Testofumetto"/>
        <w:suppressAutoHyphens/>
      </w:pPr>
      <w:bookmarkStart w:id="854" w:name="_Toc520212616"/>
      <w:r>
        <w:t>Table 4-41</w:t>
      </w:r>
      <w:r w:rsidR="00AF2BE8">
        <w:t>.</w:t>
      </w:r>
      <w:r>
        <w:t xml:space="preserve"> Beads occurrence</w:t>
      </w:r>
      <w:r w:rsidR="0001663C">
        <w:t>,</w:t>
      </w:r>
      <w:r>
        <w:t xml:space="preserve"> Central area</w:t>
      </w:r>
      <w:bookmarkEnd w:id="8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7"/>
        <w:gridCol w:w="3257"/>
      </w:tblGrid>
      <w:tr w:rsidR="001A4F1A" w:rsidRPr="00114B76" w14:paraId="28EB2730" w14:textId="77777777" w:rsidTr="009D5FBB">
        <w:tc>
          <w:tcPr>
            <w:tcW w:w="3257" w:type="dxa"/>
          </w:tcPr>
          <w:p w14:paraId="19418006" w14:textId="77777777" w:rsidR="001A4F1A" w:rsidRPr="00114B76" w:rsidRDefault="001A4F1A" w:rsidP="00E858EF">
            <w:pPr>
              <w:suppressAutoHyphens/>
              <w:rPr>
                <w:sz w:val="20"/>
              </w:rPr>
            </w:pPr>
          </w:p>
        </w:tc>
        <w:tc>
          <w:tcPr>
            <w:tcW w:w="3257" w:type="dxa"/>
          </w:tcPr>
          <w:p w14:paraId="22C2DED4" w14:textId="5BD22ADF" w:rsidR="001A4F1A" w:rsidRPr="00114B76" w:rsidRDefault="001A4F1A" w:rsidP="00E858EF">
            <w:pPr>
              <w:suppressAutoHyphens/>
              <w:jc w:val="center"/>
              <w:rPr>
                <w:sz w:val="20"/>
              </w:rPr>
            </w:pPr>
            <w:r w:rsidRPr="00114B76">
              <w:rPr>
                <w:rFonts w:eastAsia="Times New Roman"/>
                <w:color w:val="000000"/>
                <w:sz w:val="20"/>
              </w:rPr>
              <w:t>Bead</w:t>
            </w:r>
            <w:r w:rsidR="00F136FC" w:rsidRPr="00114B76">
              <w:rPr>
                <w:rFonts w:eastAsia="Times New Roman"/>
                <w:color w:val="000000"/>
                <w:sz w:val="20"/>
              </w:rPr>
              <w:t>s</w:t>
            </w:r>
          </w:p>
        </w:tc>
      </w:tr>
      <w:tr w:rsidR="001A4F1A" w:rsidRPr="00114B76" w14:paraId="7A3E19D5" w14:textId="77777777" w:rsidTr="009D5FBB">
        <w:tc>
          <w:tcPr>
            <w:tcW w:w="3257" w:type="dxa"/>
          </w:tcPr>
          <w:p w14:paraId="604B15F1" w14:textId="77777777" w:rsidR="001A4F1A" w:rsidRPr="00114B76" w:rsidRDefault="001A4F1A" w:rsidP="00E858EF">
            <w:pPr>
              <w:suppressAutoHyphens/>
              <w:rPr>
                <w:sz w:val="20"/>
              </w:rPr>
            </w:pPr>
            <w:r w:rsidRPr="00114B76">
              <w:rPr>
                <w:sz w:val="20"/>
              </w:rPr>
              <w:t>Number of items</w:t>
            </w:r>
          </w:p>
        </w:tc>
        <w:tc>
          <w:tcPr>
            <w:tcW w:w="3257" w:type="dxa"/>
          </w:tcPr>
          <w:p w14:paraId="3B95BB45" w14:textId="77777777" w:rsidR="001A4F1A" w:rsidRPr="00114B76" w:rsidRDefault="001A4F1A" w:rsidP="00E858EF">
            <w:pPr>
              <w:suppressAutoHyphens/>
              <w:jc w:val="center"/>
              <w:rPr>
                <w:sz w:val="20"/>
              </w:rPr>
            </w:pPr>
            <w:r w:rsidRPr="00114B76">
              <w:rPr>
                <w:sz w:val="20"/>
              </w:rPr>
              <w:t>1031</w:t>
            </w:r>
          </w:p>
        </w:tc>
      </w:tr>
      <w:tr w:rsidR="001A4F1A" w:rsidRPr="00114B76" w14:paraId="63669A93" w14:textId="77777777" w:rsidTr="009D5FBB">
        <w:tc>
          <w:tcPr>
            <w:tcW w:w="3257" w:type="dxa"/>
          </w:tcPr>
          <w:p w14:paraId="3B72036E" w14:textId="77777777" w:rsidR="001A4F1A" w:rsidRPr="00114B76" w:rsidRDefault="001A4F1A" w:rsidP="00E858EF">
            <w:pPr>
              <w:suppressAutoHyphens/>
              <w:rPr>
                <w:sz w:val="20"/>
              </w:rPr>
            </w:pPr>
            <w:r w:rsidRPr="00114B76">
              <w:rPr>
                <w:sz w:val="20"/>
              </w:rPr>
              <w:t>Number of tombs</w:t>
            </w:r>
          </w:p>
        </w:tc>
        <w:tc>
          <w:tcPr>
            <w:tcW w:w="3257" w:type="dxa"/>
          </w:tcPr>
          <w:p w14:paraId="1FFA60F7" w14:textId="77777777" w:rsidR="001A4F1A" w:rsidRPr="00114B76" w:rsidRDefault="001A4F1A" w:rsidP="00E858EF">
            <w:pPr>
              <w:suppressAutoHyphens/>
              <w:jc w:val="center"/>
              <w:rPr>
                <w:sz w:val="20"/>
              </w:rPr>
            </w:pPr>
            <w:r w:rsidRPr="00114B76">
              <w:rPr>
                <w:sz w:val="20"/>
              </w:rPr>
              <w:t>27</w:t>
            </w:r>
          </w:p>
        </w:tc>
      </w:tr>
    </w:tbl>
    <w:p w14:paraId="7244F81A" w14:textId="77777777" w:rsidR="001A4F1A" w:rsidRPr="00D6101B" w:rsidRDefault="001A4F1A" w:rsidP="00E858EF">
      <w:pPr>
        <w:suppressAutoHyphens/>
      </w:pPr>
    </w:p>
    <w:p w14:paraId="5AEF0391" w14:textId="246E1BBA" w:rsidR="001A4F1A" w:rsidRPr="00D6101B" w:rsidRDefault="001A4F1A" w:rsidP="00E858EF">
      <w:pPr>
        <w:pStyle w:val="Testofumetto"/>
        <w:suppressAutoHyphens/>
      </w:pPr>
      <w:bookmarkStart w:id="855" w:name="_Toc520212617"/>
      <w:r>
        <w:t>Table 4-42</w:t>
      </w:r>
      <w:r w:rsidR="00AF2BE8">
        <w:t>.</w:t>
      </w:r>
      <w:r>
        <w:t xml:space="preserve"> Most common non-ceramic item types</w:t>
      </w:r>
      <w:r w:rsidR="0001663C">
        <w:t>,</w:t>
      </w:r>
      <w:r>
        <w:t xml:space="preserve"> Central area</w:t>
      </w:r>
      <w:bookmarkEnd w:id="855"/>
    </w:p>
    <w:tbl>
      <w:tblPr>
        <w:tblW w:w="8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1"/>
        <w:gridCol w:w="1489"/>
        <w:gridCol w:w="1418"/>
        <w:gridCol w:w="1134"/>
        <w:gridCol w:w="1183"/>
        <w:gridCol w:w="1128"/>
      </w:tblGrid>
      <w:tr w:rsidR="001A4F1A" w:rsidRPr="00114B76" w14:paraId="57527018" w14:textId="77777777" w:rsidTr="009D5FBB">
        <w:tc>
          <w:tcPr>
            <w:tcW w:w="2021" w:type="dxa"/>
          </w:tcPr>
          <w:p w14:paraId="1E68B0E9" w14:textId="77777777" w:rsidR="001A4F1A" w:rsidRPr="00114B76" w:rsidRDefault="001A4F1A" w:rsidP="00E858EF">
            <w:pPr>
              <w:suppressAutoHyphens/>
              <w:rPr>
                <w:sz w:val="20"/>
              </w:rPr>
            </w:pPr>
          </w:p>
        </w:tc>
        <w:tc>
          <w:tcPr>
            <w:tcW w:w="1489" w:type="dxa"/>
          </w:tcPr>
          <w:p w14:paraId="3157AF51" w14:textId="77777777" w:rsidR="001A4F1A" w:rsidRPr="00114B76" w:rsidRDefault="001A4F1A" w:rsidP="00E858EF">
            <w:pPr>
              <w:suppressAutoHyphens/>
              <w:jc w:val="center"/>
              <w:rPr>
                <w:rFonts w:eastAsia="Times New Roman"/>
                <w:b/>
                <w:bCs/>
                <w:color w:val="000000"/>
                <w:sz w:val="20"/>
              </w:rPr>
            </w:pPr>
            <w:r w:rsidRPr="00114B76">
              <w:rPr>
                <w:rFonts w:eastAsia="Times New Roman"/>
                <w:color w:val="000000"/>
                <w:sz w:val="20"/>
              </w:rPr>
              <w:t>Metal vessel</w:t>
            </w:r>
          </w:p>
        </w:tc>
        <w:tc>
          <w:tcPr>
            <w:tcW w:w="1418" w:type="dxa"/>
          </w:tcPr>
          <w:p w14:paraId="2F7A43C7" w14:textId="28C399BC" w:rsidR="001A4F1A" w:rsidRPr="00114B76" w:rsidRDefault="001A4F1A" w:rsidP="00E858EF">
            <w:pPr>
              <w:suppressAutoHyphens/>
              <w:jc w:val="center"/>
              <w:rPr>
                <w:sz w:val="20"/>
              </w:rPr>
            </w:pPr>
            <w:r w:rsidRPr="00114B76">
              <w:rPr>
                <w:rFonts w:eastAsia="Times New Roman"/>
                <w:color w:val="000000"/>
                <w:sz w:val="20"/>
              </w:rPr>
              <w:t>Stone vessel</w:t>
            </w:r>
          </w:p>
        </w:tc>
        <w:tc>
          <w:tcPr>
            <w:tcW w:w="1134" w:type="dxa"/>
          </w:tcPr>
          <w:p w14:paraId="00870409" w14:textId="77777777"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Seal</w:t>
            </w:r>
          </w:p>
        </w:tc>
        <w:tc>
          <w:tcPr>
            <w:tcW w:w="1183" w:type="dxa"/>
          </w:tcPr>
          <w:p w14:paraId="18D11343" w14:textId="72ED8A46"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Ring</w:t>
            </w:r>
          </w:p>
        </w:tc>
        <w:tc>
          <w:tcPr>
            <w:tcW w:w="1128" w:type="dxa"/>
          </w:tcPr>
          <w:p w14:paraId="27DCA92A" w14:textId="77777777"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Knife</w:t>
            </w:r>
          </w:p>
        </w:tc>
      </w:tr>
      <w:tr w:rsidR="001A4F1A" w:rsidRPr="00114B76" w14:paraId="4B93D424" w14:textId="77777777" w:rsidTr="009D5FBB">
        <w:tc>
          <w:tcPr>
            <w:tcW w:w="2021" w:type="dxa"/>
          </w:tcPr>
          <w:p w14:paraId="10A33FA2" w14:textId="77777777" w:rsidR="001A4F1A" w:rsidRPr="00114B76" w:rsidRDefault="001A4F1A" w:rsidP="00E858EF">
            <w:pPr>
              <w:suppressAutoHyphens/>
              <w:rPr>
                <w:sz w:val="20"/>
              </w:rPr>
            </w:pPr>
            <w:r w:rsidRPr="00114B76">
              <w:rPr>
                <w:sz w:val="20"/>
              </w:rPr>
              <w:t>Number of items</w:t>
            </w:r>
          </w:p>
        </w:tc>
        <w:tc>
          <w:tcPr>
            <w:tcW w:w="1489" w:type="dxa"/>
          </w:tcPr>
          <w:p w14:paraId="61CCE771" w14:textId="77777777" w:rsidR="001A4F1A" w:rsidRPr="00114B76" w:rsidRDefault="001A4F1A" w:rsidP="00E858EF">
            <w:pPr>
              <w:suppressAutoHyphens/>
              <w:jc w:val="center"/>
              <w:rPr>
                <w:sz w:val="20"/>
              </w:rPr>
            </w:pPr>
            <w:r w:rsidRPr="00114B76">
              <w:rPr>
                <w:sz w:val="20"/>
              </w:rPr>
              <w:t>33</w:t>
            </w:r>
          </w:p>
        </w:tc>
        <w:tc>
          <w:tcPr>
            <w:tcW w:w="1418" w:type="dxa"/>
          </w:tcPr>
          <w:p w14:paraId="0CD7BFBB" w14:textId="77777777" w:rsidR="001A4F1A" w:rsidRPr="00114B76" w:rsidRDefault="001A4F1A" w:rsidP="00E858EF">
            <w:pPr>
              <w:suppressAutoHyphens/>
              <w:jc w:val="center"/>
              <w:rPr>
                <w:sz w:val="20"/>
              </w:rPr>
            </w:pPr>
            <w:r w:rsidRPr="00114B76">
              <w:rPr>
                <w:sz w:val="20"/>
              </w:rPr>
              <w:t>33</w:t>
            </w:r>
          </w:p>
        </w:tc>
        <w:tc>
          <w:tcPr>
            <w:tcW w:w="1134" w:type="dxa"/>
          </w:tcPr>
          <w:p w14:paraId="4BE32F11" w14:textId="77777777" w:rsidR="001A4F1A" w:rsidRPr="00114B76" w:rsidRDefault="001A4F1A" w:rsidP="00E858EF">
            <w:pPr>
              <w:suppressAutoHyphens/>
              <w:jc w:val="center"/>
              <w:rPr>
                <w:sz w:val="20"/>
              </w:rPr>
            </w:pPr>
            <w:r w:rsidRPr="00114B76">
              <w:rPr>
                <w:sz w:val="20"/>
              </w:rPr>
              <w:t>27</w:t>
            </w:r>
          </w:p>
        </w:tc>
        <w:tc>
          <w:tcPr>
            <w:tcW w:w="1183" w:type="dxa"/>
          </w:tcPr>
          <w:p w14:paraId="6591799D" w14:textId="77777777" w:rsidR="001A4F1A" w:rsidRPr="00114B76" w:rsidRDefault="001A4F1A" w:rsidP="00E858EF">
            <w:pPr>
              <w:suppressAutoHyphens/>
              <w:jc w:val="center"/>
              <w:rPr>
                <w:sz w:val="20"/>
              </w:rPr>
            </w:pPr>
            <w:r w:rsidRPr="00114B76">
              <w:rPr>
                <w:sz w:val="20"/>
              </w:rPr>
              <w:t>23</w:t>
            </w:r>
          </w:p>
        </w:tc>
        <w:tc>
          <w:tcPr>
            <w:tcW w:w="1128" w:type="dxa"/>
          </w:tcPr>
          <w:p w14:paraId="18F35F18" w14:textId="77777777" w:rsidR="001A4F1A" w:rsidRPr="00114B76" w:rsidRDefault="001A4F1A" w:rsidP="00E858EF">
            <w:pPr>
              <w:suppressAutoHyphens/>
              <w:jc w:val="center"/>
              <w:rPr>
                <w:sz w:val="20"/>
              </w:rPr>
            </w:pPr>
            <w:r w:rsidRPr="00114B76">
              <w:rPr>
                <w:sz w:val="20"/>
              </w:rPr>
              <w:t>20</w:t>
            </w:r>
          </w:p>
        </w:tc>
      </w:tr>
      <w:tr w:rsidR="001A4F1A" w:rsidRPr="00114B76" w14:paraId="17A71E75" w14:textId="77777777" w:rsidTr="009D5FBB">
        <w:trPr>
          <w:trHeight w:val="80"/>
        </w:trPr>
        <w:tc>
          <w:tcPr>
            <w:tcW w:w="2021" w:type="dxa"/>
          </w:tcPr>
          <w:p w14:paraId="013E3A4E" w14:textId="77777777" w:rsidR="001A4F1A" w:rsidRPr="00114B76" w:rsidRDefault="001A4F1A" w:rsidP="00E858EF">
            <w:pPr>
              <w:suppressAutoHyphens/>
              <w:rPr>
                <w:sz w:val="20"/>
              </w:rPr>
            </w:pPr>
            <w:r w:rsidRPr="00114B76">
              <w:rPr>
                <w:sz w:val="20"/>
              </w:rPr>
              <w:t>Number of tombs</w:t>
            </w:r>
          </w:p>
        </w:tc>
        <w:tc>
          <w:tcPr>
            <w:tcW w:w="1489" w:type="dxa"/>
          </w:tcPr>
          <w:p w14:paraId="4B4F71EA" w14:textId="77777777" w:rsidR="001A4F1A" w:rsidRPr="00114B76" w:rsidRDefault="001A4F1A" w:rsidP="00E858EF">
            <w:pPr>
              <w:suppressAutoHyphens/>
              <w:jc w:val="center"/>
              <w:rPr>
                <w:sz w:val="20"/>
              </w:rPr>
            </w:pPr>
            <w:r w:rsidRPr="00114B76">
              <w:rPr>
                <w:sz w:val="20"/>
              </w:rPr>
              <w:t>12</w:t>
            </w:r>
          </w:p>
        </w:tc>
        <w:tc>
          <w:tcPr>
            <w:tcW w:w="1418" w:type="dxa"/>
          </w:tcPr>
          <w:p w14:paraId="41D204F6" w14:textId="77777777" w:rsidR="001A4F1A" w:rsidRPr="00114B76" w:rsidRDefault="001A4F1A" w:rsidP="00E858EF">
            <w:pPr>
              <w:suppressAutoHyphens/>
              <w:jc w:val="center"/>
              <w:rPr>
                <w:sz w:val="20"/>
              </w:rPr>
            </w:pPr>
            <w:r w:rsidRPr="00114B76">
              <w:rPr>
                <w:sz w:val="20"/>
              </w:rPr>
              <w:t>20</w:t>
            </w:r>
          </w:p>
        </w:tc>
        <w:tc>
          <w:tcPr>
            <w:tcW w:w="1134" w:type="dxa"/>
          </w:tcPr>
          <w:p w14:paraId="31152656" w14:textId="77777777" w:rsidR="001A4F1A" w:rsidRPr="00114B76" w:rsidRDefault="001A4F1A" w:rsidP="00E858EF">
            <w:pPr>
              <w:suppressAutoHyphens/>
              <w:jc w:val="center"/>
              <w:rPr>
                <w:sz w:val="20"/>
              </w:rPr>
            </w:pPr>
            <w:r w:rsidRPr="00114B76">
              <w:rPr>
                <w:sz w:val="20"/>
              </w:rPr>
              <w:t>13</w:t>
            </w:r>
          </w:p>
        </w:tc>
        <w:tc>
          <w:tcPr>
            <w:tcW w:w="1183" w:type="dxa"/>
          </w:tcPr>
          <w:p w14:paraId="136C8A56" w14:textId="77777777" w:rsidR="001A4F1A" w:rsidRPr="00114B76" w:rsidRDefault="001A4F1A" w:rsidP="00E858EF">
            <w:pPr>
              <w:suppressAutoHyphens/>
              <w:jc w:val="center"/>
              <w:rPr>
                <w:sz w:val="20"/>
              </w:rPr>
            </w:pPr>
            <w:r w:rsidRPr="00114B76">
              <w:rPr>
                <w:sz w:val="20"/>
              </w:rPr>
              <w:t>14</w:t>
            </w:r>
          </w:p>
        </w:tc>
        <w:tc>
          <w:tcPr>
            <w:tcW w:w="1128" w:type="dxa"/>
          </w:tcPr>
          <w:p w14:paraId="4603B798" w14:textId="77777777" w:rsidR="001A4F1A" w:rsidRPr="00114B76" w:rsidRDefault="001A4F1A" w:rsidP="00E858EF">
            <w:pPr>
              <w:suppressAutoHyphens/>
              <w:jc w:val="center"/>
              <w:rPr>
                <w:sz w:val="20"/>
              </w:rPr>
            </w:pPr>
            <w:r w:rsidRPr="00114B76">
              <w:rPr>
                <w:sz w:val="20"/>
              </w:rPr>
              <w:t>15</w:t>
            </w:r>
          </w:p>
        </w:tc>
      </w:tr>
    </w:tbl>
    <w:p w14:paraId="014838FD" w14:textId="77777777" w:rsidR="001A4F1A" w:rsidRPr="00D6101B" w:rsidRDefault="001A4F1A" w:rsidP="00E858EF">
      <w:pPr>
        <w:suppressAutoHyphens/>
      </w:pPr>
    </w:p>
    <w:p w14:paraId="4ABEE427" w14:textId="77777777" w:rsidR="001A4F1A" w:rsidRPr="00D6101B" w:rsidRDefault="001A4F1A" w:rsidP="00E858EF">
      <w:pPr>
        <w:suppressAutoHyphens/>
      </w:pPr>
    </w:p>
    <w:p w14:paraId="18438663" w14:textId="77777777" w:rsidR="001A4F1A" w:rsidRPr="00D6101B" w:rsidRDefault="001A4F1A" w:rsidP="00E858EF">
      <w:pPr>
        <w:suppressAutoHyphens/>
      </w:pPr>
    </w:p>
    <w:p w14:paraId="71873737" w14:textId="77777777" w:rsidR="001A4F1A" w:rsidRPr="00D6101B" w:rsidRDefault="001A4F1A" w:rsidP="00E858EF">
      <w:pPr>
        <w:suppressAutoHyphens/>
      </w:pPr>
      <w:r w:rsidRPr="006B0C97">
        <w:rPr>
          <w:noProof/>
        </w:rPr>
        <w:t xml:space="preserve"> </w:t>
      </w:r>
      <w:r>
        <w:rPr>
          <w:noProof/>
          <w:lang w:val="it-IT"/>
        </w:rPr>
        <w:drawing>
          <wp:inline distT="0" distB="0" distL="0" distR="0" wp14:anchorId="4B24BE9B" wp14:editId="5BB12888">
            <wp:extent cx="5510044" cy="5958935"/>
            <wp:effectExtent l="0" t="0" r="27305" b="35560"/>
            <wp:docPr id="109" name="Gra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6B5E1C1C" w14:textId="0A660252" w:rsidR="001A4F1A" w:rsidRDefault="001A4F1A" w:rsidP="00E858EF">
      <w:pPr>
        <w:pStyle w:val="Didascalia"/>
        <w:suppressAutoHyphens/>
      </w:pPr>
      <w:bookmarkStart w:id="856" w:name="_Toc520212382"/>
      <w:r>
        <w:t>Figure 4-44</w:t>
      </w:r>
      <w:r w:rsidR="00CC78C9">
        <w:t>. Occurrence of</w:t>
      </w:r>
      <w:r>
        <w:t xml:space="preserve"> </w:t>
      </w:r>
      <w:r w:rsidR="00CC78C9">
        <w:t>n</w:t>
      </w:r>
      <w:r>
        <w:t>on-ceramic item types</w:t>
      </w:r>
      <w:r w:rsidR="0001663C">
        <w:t>,</w:t>
      </w:r>
      <w:r>
        <w:t xml:space="preserve"> Central area (beads excluded due to the very high occurrence).</w:t>
      </w:r>
      <w:bookmarkEnd w:id="856"/>
    </w:p>
    <w:p w14:paraId="56EB9A5D" w14:textId="77777777" w:rsidR="00114B76" w:rsidRPr="00114B76" w:rsidRDefault="00114B76" w:rsidP="00114B76"/>
    <w:p w14:paraId="14694401" w14:textId="77777777" w:rsidR="001A4F1A" w:rsidRPr="00D6101B" w:rsidRDefault="001A4F1A" w:rsidP="00E858EF">
      <w:pPr>
        <w:pStyle w:val="Titolo4"/>
        <w:keepNext w:val="0"/>
        <w:keepLines w:val="0"/>
        <w:suppressAutoHyphens/>
      </w:pPr>
      <w:bookmarkStart w:id="857" w:name="_Toc389508265"/>
      <w:bookmarkStart w:id="858" w:name="_Toc517745345"/>
      <w:r w:rsidRPr="00D6101B">
        <w:t>Pottery types</w:t>
      </w:r>
      <w:bookmarkEnd w:id="857"/>
      <w:bookmarkEnd w:id="858"/>
    </w:p>
    <w:p w14:paraId="25628825" w14:textId="77777777" w:rsidR="001A4F1A" w:rsidRPr="00D6101B" w:rsidRDefault="001A4F1A" w:rsidP="00E858EF">
      <w:pPr>
        <w:suppressAutoHyphens/>
      </w:pPr>
      <w:r w:rsidRPr="00D6101B">
        <w:t xml:space="preserve">In the </w:t>
      </w:r>
      <w:r>
        <w:t>Central</w:t>
      </w:r>
      <w:r w:rsidRPr="00D6101B">
        <w:t xml:space="preserve"> area</w:t>
      </w:r>
      <w:r>
        <w:t>,</w:t>
      </w:r>
      <w:r w:rsidRPr="00D6101B">
        <w:t xml:space="preserve"> pottery </w:t>
      </w:r>
      <w:r>
        <w:t>is present</w:t>
      </w:r>
      <w:r w:rsidRPr="00D6101B">
        <w:t xml:space="preserve"> in 71 tombs</w:t>
      </w:r>
      <w:r>
        <w:t xml:space="preserve"> or </w:t>
      </w:r>
      <w:r w:rsidRPr="00D6101B">
        <w:t>90% of the tombs for which information about grave goods assemblage</w:t>
      </w:r>
      <w:r>
        <w:t>s</w:t>
      </w:r>
      <w:r w:rsidRPr="00D6101B">
        <w:t xml:space="preserve"> </w:t>
      </w:r>
      <w:r>
        <w:t>is</w:t>
      </w:r>
      <w:r w:rsidRPr="00D6101B">
        <w:t xml:space="preserve"> available. Within this sample</w:t>
      </w:r>
      <w:r>
        <w:t>,</w:t>
      </w:r>
      <w:r w:rsidRPr="00D6101B">
        <w:t xml:space="preserve"> for four tombs (Agios Myron, Skoteino, Smari ston Pitho</w:t>
      </w:r>
      <w:r>
        <w:t xml:space="preserve"> and</w:t>
      </w:r>
      <w:r w:rsidRPr="00D6101B">
        <w:t xml:space="preserve"> Tzingounas)</w:t>
      </w:r>
      <w:r>
        <w:t>,</w:t>
      </w:r>
      <w:r w:rsidRPr="00D6101B">
        <w:t xml:space="preserve"> the only information available concern</w:t>
      </w:r>
      <w:r>
        <w:t>s</w:t>
      </w:r>
      <w:r w:rsidRPr="00D6101B">
        <w:t xml:space="preserve"> the presence of pottery artefacts</w:t>
      </w:r>
      <w:r>
        <w:t>,</w:t>
      </w:r>
      <w:r w:rsidRPr="00D6101B">
        <w:t xml:space="preserve"> and there is no information about </w:t>
      </w:r>
      <w:r>
        <w:t xml:space="preserve">the </w:t>
      </w:r>
      <w:r w:rsidRPr="00D6101B">
        <w:t>number of vessels or typology.</w:t>
      </w:r>
      <w:r>
        <w:t xml:space="preserve"> </w:t>
      </w:r>
      <w:r w:rsidRPr="00D6101B">
        <w:t xml:space="preserve">Consequently, the analysis concerning pottery typology </w:t>
      </w:r>
      <w:r>
        <w:t>is</w:t>
      </w:r>
      <w:r w:rsidRPr="00D6101B">
        <w:t xml:space="preserve"> based on a sample of 67 tombs.</w:t>
      </w:r>
    </w:p>
    <w:p w14:paraId="500DCC9B" w14:textId="77777777" w:rsidR="001A4F1A" w:rsidRPr="00D6101B" w:rsidRDefault="001A4F1A" w:rsidP="00E858EF">
      <w:pPr>
        <w:suppressAutoHyphens/>
      </w:pPr>
      <w:r>
        <w:tab/>
      </w:r>
      <w:r w:rsidRPr="00D6101B">
        <w:t>The presence of exclusively pottery artefacts and no other materials has been registered in 22 tombs</w:t>
      </w:r>
      <w:r>
        <w:t xml:space="preserve"> or </w:t>
      </w:r>
      <w:r w:rsidRPr="00D6101B">
        <w:t>28% o</w:t>
      </w:r>
      <w:r>
        <w:t>f</w:t>
      </w:r>
      <w:r w:rsidRPr="00D6101B">
        <w:t xml:space="preserve"> the sample</w:t>
      </w:r>
      <w:r>
        <w:t xml:space="preserve">. </w:t>
      </w:r>
      <w:r w:rsidRPr="00D6101B">
        <w:t>The four most common types are stirrup jars, jugs, goblets and cups. Th</w:t>
      </w:r>
      <w:r>
        <w:t>e</w:t>
      </w:r>
      <w:r w:rsidRPr="00D6101B">
        <w:t xml:space="preserve">se are also the most popular forms </w:t>
      </w:r>
      <w:r>
        <w:t>considering</w:t>
      </w:r>
      <w:r w:rsidRPr="00D6101B">
        <w:t xml:space="preserve"> the number of tombs in which they have been found.</w:t>
      </w:r>
    </w:p>
    <w:p w14:paraId="3C6F35FE" w14:textId="77777777" w:rsidR="001A4F1A" w:rsidRPr="00D6101B" w:rsidRDefault="001A4F1A" w:rsidP="00E858EF">
      <w:pPr>
        <w:suppressAutoHyphens/>
      </w:pPr>
      <w:r>
        <w:tab/>
        <w:t>All</w:t>
      </w:r>
      <w:r w:rsidRPr="00D6101B">
        <w:t xml:space="preserve"> pottery types </w:t>
      </w:r>
      <w:r>
        <w:t>have been</w:t>
      </w:r>
      <w:r w:rsidRPr="00D6101B">
        <w:t xml:space="preserve"> found in association with secure tombs with larnakes </w:t>
      </w:r>
      <w:r>
        <w:t>in Central area.</w:t>
      </w:r>
    </w:p>
    <w:p w14:paraId="11772964" w14:textId="77777777" w:rsidR="001A4F1A" w:rsidRPr="00D6101B" w:rsidRDefault="001A4F1A" w:rsidP="00E858EF">
      <w:pPr>
        <w:suppressAutoHyphens/>
      </w:pPr>
      <w:r>
        <w:tab/>
      </w:r>
      <w:r w:rsidRPr="00D6101B">
        <w:t>Generally</w:t>
      </w:r>
      <w:r>
        <w:t>,</w:t>
      </w:r>
      <w:r w:rsidRPr="00D6101B">
        <w:t xml:space="preserve"> pottery typologies are proportionally distributed within tombs. </w:t>
      </w:r>
      <w:r>
        <w:t>However,</w:t>
      </w:r>
      <w:r w:rsidRPr="00D6101B">
        <w:t xml:space="preserve"> a relatively high concentration of stirrup jars</w:t>
      </w:r>
      <w:r>
        <w:t xml:space="preserve"> (7)</w:t>
      </w:r>
      <w:r w:rsidRPr="00D6101B">
        <w:t xml:space="preserve"> is registered in the chamber tomb at Gazi Skaphidara,</w:t>
      </w:r>
      <w:r>
        <w:t xml:space="preserve"> there is</w:t>
      </w:r>
      <w:r w:rsidRPr="00D6101B">
        <w:t xml:space="preserve"> a high concentration</w:t>
      </w:r>
      <w:r>
        <w:t xml:space="preserve"> (6)</w:t>
      </w:r>
      <w:r w:rsidRPr="00D6101B">
        <w:t xml:space="preserve"> of goblets at Agia Pelagia</w:t>
      </w:r>
      <w:r>
        <w:t>,</w:t>
      </w:r>
      <w:r w:rsidRPr="00D6101B">
        <w:t xml:space="preserve"> and the maximum number of jugs per tomb (5) in </w:t>
      </w:r>
      <w:r>
        <w:t>the C</w:t>
      </w:r>
      <w:r w:rsidRPr="00D6101B">
        <w:t xml:space="preserve">entral region was found at Episkopi Pediada Kephala </w:t>
      </w:r>
      <w:r>
        <w:t>T</w:t>
      </w:r>
      <w:r w:rsidRPr="00D6101B">
        <w:t>omb Beta.</w:t>
      </w:r>
      <w:r>
        <w:t xml:space="preserve"> </w:t>
      </w:r>
      <w:r w:rsidRPr="00D6101B">
        <w:t>The other pottery typologies are proportionally distributed within tombs</w:t>
      </w:r>
      <w:r>
        <w:t>,</w:t>
      </w:r>
      <w:r w:rsidRPr="00D6101B">
        <w:t xml:space="preserve"> and </w:t>
      </w:r>
      <w:r>
        <w:t>there is</w:t>
      </w:r>
      <w:r w:rsidRPr="00D6101B">
        <w:t xml:space="preserve"> a maximum of </w:t>
      </w:r>
      <w:r>
        <w:t>seven</w:t>
      </w:r>
      <w:r w:rsidRPr="00D6101B">
        <w:t xml:space="preserve"> items (flask).</w:t>
      </w:r>
      <w:r>
        <w:t xml:space="preserve"> </w:t>
      </w:r>
      <w:r w:rsidRPr="00D6101B">
        <w:t xml:space="preserve">The maximum number of </w:t>
      </w:r>
      <w:r>
        <w:t xml:space="preserve">pieces of </w:t>
      </w:r>
      <w:r w:rsidRPr="00D6101B">
        <w:t xml:space="preserve">pottery found within a tomb </w:t>
      </w:r>
      <w:r>
        <w:t>is</w:t>
      </w:r>
      <w:r w:rsidRPr="00D6101B">
        <w:t xml:space="preserve"> 25</w:t>
      </w:r>
      <w:r>
        <w:t>,</w:t>
      </w:r>
      <w:r w:rsidRPr="00D6101B">
        <w:t xml:space="preserve"> in one of the two</w:t>
      </w:r>
      <w:r>
        <w:t xml:space="preserve"> </w:t>
      </w:r>
      <w:r w:rsidRPr="00D6101B">
        <w:t>chamber tomb</w:t>
      </w:r>
      <w:r>
        <w:t>s</w:t>
      </w:r>
      <w:r w:rsidRPr="00D6101B">
        <w:t xml:space="preserve"> at Ligortyno.</w:t>
      </w:r>
      <w:r>
        <w:t xml:space="preserve"> </w:t>
      </w:r>
      <w:r w:rsidRPr="00D6101B">
        <w:t>At Archanes</w:t>
      </w:r>
      <w:r>
        <w:t>,</w:t>
      </w:r>
      <w:r w:rsidRPr="00D6101B">
        <w:t xml:space="preserve"> the number of pots per tomb </w:t>
      </w:r>
      <w:r>
        <w:t>is not more than</w:t>
      </w:r>
      <w:r w:rsidRPr="00D6101B">
        <w:t xml:space="preserve"> 9</w:t>
      </w:r>
      <w:r>
        <w:t>;</w:t>
      </w:r>
      <w:r w:rsidRPr="00D6101B">
        <w:t xml:space="preserve"> while</w:t>
      </w:r>
      <w:r>
        <w:t xml:space="preserve"> at</w:t>
      </w:r>
      <w:r w:rsidRPr="00D6101B">
        <w:t xml:space="preserve"> Episkopi cemetery</w:t>
      </w:r>
      <w:r>
        <w:t>, there is</w:t>
      </w:r>
      <w:r w:rsidRPr="00D6101B">
        <w:t xml:space="preserve"> a relative</w:t>
      </w:r>
      <w:r>
        <w:t>ly</w:t>
      </w:r>
      <w:r w:rsidRPr="00D6101B">
        <w:t xml:space="preserve"> high </w:t>
      </w:r>
      <w:r>
        <w:t>number</w:t>
      </w:r>
      <w:r w:rsidRPr="00D6101B">
        <w:t xml:space="preserve"> of vases.</w:t>
      </w:r>
    </w:p>
    <w:p w14:paraId="237BAC2F" w14:textId="77777777" w:rsidR="001A4F1A" w:rsidRDefault="001A4F1A" w:rsidP="00E858EF">
      <w:pPr>
        <w:suppressAutoHyphens/>
      </w:pPr>
    </w:p>
    <w:p w14:paraId="5A894C28" w14:textId="2F2A6FAF" w:rsidR="001A4F1A" w:rsidRPr="00D6101B" w:rsidRDefault="001A4F1A" w:rsidP="00E858EF">
      <w:pPr>
        <w:pStyle w:val="Testofumetto"/>
        <w:suppressAutoHyphens/>
      </w:pPr>
      <w:bookmarkStart w:id="859" w:name="_Toc520212618"/>
      <w:r>
        <w:t>Table 4-43</w:t>
      </w:r>
      <w:r w:rsidR="00AF2BE8">
        <w:t>.</w:t>
      </w:r>
      <w:r>
        <w:t xml:space="preserve"> Most common pottery types</w:t>
      </w:r>
      <w:r w:rsidR="0001663C">
        <w:t>,</w:t>
      </w:r>
      <w:r>
        <w:t xml:space="preserve"> Central area</w:t>
      </w:r>
      <w:bookmarkEnd w:id="859"/>
    </w:p>
    <w:tbl>
      <w:tblPr>
        <w:tblW w:w="86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144"/>
        <w:gridCol w:w="547"/>
        <w:gridCol w:w="842"/>
        <w:gridCol w:w="609"/>
        <w:gridCol w:w="1303"/>
        <w:gridCol w:w="891"/>
        <w:gridCol w:w="901"/>
      </w:tblGrid>
      <w:tr w:rsidR="001A4F1A" w:rsidRPr="00114B76" w14:paraId="1B77573F" w14:textId="77777777" w:rsidTr="00114B76">
        <w:tc>
          <w:tcPr>
            <w:tcW w:w="2376" w:type="dxa"/>
          </w:tcPr>
          <w:p w14:paraId="603B8680" w14:textId="77777777" w:rsidR="001A4F1A" w:rsidRPr="00114B76" w:rsidRDefault="001A4F1A" w:rsidP="00E858EF">
            <w:pPr>
              <w:suppressAutoHyphens/>
              <w:rPr>
                <w:sz w:val="20"/>
              </w:rPr>
            </w:pPr>
          </w:p>
        </w:tc>
        <w:tc>
          <w:tcPr>
            <w:tcW w:w="0" w:type="auto"/>
          </w:tcPr>
          <w:p w14:paraId="66A3D2E2" w14:textId="77777777" w:rsidR="001A4F1A" w:rsidRPr="00114B76" w:rsidRDefault="001A4F1A" w:rsidP="00E858EF">
            <w:pPr>
              <w:suppressAutoHyphens/>
              <w:jc w:val="center"/>
              <w:rPr>
                <w:rFonts w:eastAsia="Times New Roman"/>
                <w:bCs/>
                <w:color w:val="000000"/>
                <w:sz w:val="20"/>
              </w:rPr>
            </w:pPr>
            <w:r w:rsidRPr="00114B76">
              <w:rPr>
                <w:rFonts w:eastAsia="Times New Roman"/>
                <w:bCs/>
                <w:color w:val="000000"/>
                <w:sz w:val="20"/>
              </w:rPr>
              <w:t>Stirrup jar</w:t>
            </w:r>
          </w:p>
        </w:tc>
        <w:tc>
          <w:tcPr>
            <w:tcW w:w="0" w:type="auto"/>
          </w:tcPr>
          <w:p w14:paraId="35DE2801" w14:textId="77777777"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Jug</w:t>
            </w:r>
          </w:p>
        </w:tc>
        <w:tc>
          <w:tcPr>
            <w:tcW w:w="0" w:type="auto"/>
          </w:tcPr>
          <w:p w14:paraId="26B18A87" w14:textId="77777777" w:rsidR="001A4F1A" w:rsidRPr="00114B76" w:rsidRDefault="001A4F1A" w:rsidP="00E858EF">
            <w:pPr>
              <w:suppressAutoHyphens/>
              <w:jc w:val="center"/>
              <w:rPr>
                <w:rFonts w:eastAsia="Times New Roman"/>
                <w:color w:val="000000"/>
                <w:sz w:val="20"/>
              </w:rPr>
            </w:pPr>
            <w:r w:rsidRPr="00114B76">
              <w:rPr>
                <w:sz w:val="20"/>
              </w:rPr>
              <w:t>Goblet</w:t>
            </w:r>
          </w:p>
        </w:tc>
        <w:tc>
          <w:tcPr>
            <w:tcW w:w="0" w:type="auto"/>
          </w:tcPr>
          <w:p w14:paraId="041C208F" w14:textId="77777777"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Cup</w:t>
            </w:r>
          </w:p>
        </w:tc>
        <w:tc>
          <w:tcPr>
            <w:tcW w:w="0" w:type="auto"/>
          </w:tcPr>
          <w:p w14:paraId="4619B450" w14:textId="77777777"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Conical cup</w:t>
            </w:r>
          </w:p>
        </w:tc>
        <w:tc>
          <w:tcPr>
            <w:tcW w:w="0" w:type="auto"/>
          </w:tcPr>
          <w:p w14:paraId="63273AE6" w14:textId="77777777"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Brazier</w:t>
            </w:r>
          </w:p>
        </w:tc>
        <w:tc>
          <w:tcPr>
            <w:tcW w:w="901" w:type="dxa"/>
          </w:tcPr>
          <w:p w14:paraId="730B8196" w14:textId="77777777"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Pyxis</w:t>
            </w:r>
          </w:p>
        </w:tc>
      </w:tr>
      <w:tr w:rsidR="001A4F1A" w:rsidRPr="00114B76" w14:paraId="641E41BD" w14:textId="77777777" w:rsidTr="00114B76">
        <w:tc>
          <w:tcPr>
            <w:tcW w:w="2376" w:type="dxa"/>
          </w:tcPr>
          <w:p w14:paraId="4C5ADA30" w14:textId="3D23AC83" w:rsidR="001A4F1A" w:rsidRPr="00114B76" w:rsidRDefault="001A4F1A" w:rsidP="00E858EF">
            <w:pPr>
              <w:suppressAutoHyphens/>
              <w:jc w:val="left"/>
              <w:rPr>
                <w:sz w:val="20"/>
              </w:rPr>
            </w:pPr>
            <w:r w:rsidRPr="00114B76">
              <w:rPr>
                <w:sz w:val="20"/>
              </w:rPr>
              <w:t>Total no. of items C</w:t>
            </w:r>
            <w:r w:rsidR="00481EA2" w:rsidRPr="00114B76">
              <w:rPr>
                <w:sz w:val="20"/>
              </w:rPr>
              <w:t>entral</w:t>
            </w:r>
            <w:r w:rsidRPr="00114B76">
              <w:rPr>
                <w:sz w:val="20"/>
              </w:rPr>
              <w:t xml:space="preserve"> region</w:t>
            </w:r>
          </w:p>
        </w:tc>
        <w:tc>
          <w:tcPr>
            <w:tcW w:w="0" w:type="auto"/>
          </w:tcPr>
          <w:p w14:paraId="54713628" w14:textId="77777777" w:rsidR="001A4F1A" w:rsidRPr="00114B76" w:rsidRDefault="001A4F1A" w:rsidP="00E858EF">
            <w:pPr>
              <w:suppressAutoHyphens/>
              <w:jc w:val="center"/>
              <w:rPr>
                <w:sz w:val="20"/>
              </w:rPr>
            </w:pPr>
            <w:r w:rsidRPr="00114B76">
              <w:rPr>
                <w:sz w:val="20"/>
              </w:rPr>
              <w:t>69</w:t>
            </w:r>
          </w:p>
        </w:tc>
        <w:tc>
          <w:tcPr>
            <w:tcW w:w="0" w:type="auto"/>
          </w:tcPr>
          <w:p w14:paraId="16378AC1" w14:textId="77777777" w:rsidR="001A4F1A" w:rsidRPr="00114B76" w:rsidRDefault="001A4F1A" w:rsidP="00E858EF">
            <w:pPr>
              <w:suppressAutoHyphens/>
              <w:jc w:val="center"/>
              <w:rPr>
                <w:sz w:val="20"/>
              </w:rPr>
            </w:pPr>
            <w:r w:rsidRPr="00114B76">
              <w:rPr>
                <w:sz w:val="20"/>
              </w:rPr>
              <w:t>51</w:t>
            </w:r>
          </w:p>
        </w:tc>
        <w:tc>
          <w:tcPr>
            <w:tcW w:w="0" w:type="auto"/>
          </w:tcPr>
          <w:p w14:paraId="6BD2C901" w14:textId="77777777" w:rsidR="001A4F1A" w:rsidRPr="00114B76" w:rsidRDefault="001A4F1A" w:rsidP="00E858EF">
            <w:pPr>
              <w:suppressAutoHyphens/>
              <w:jc w:val="center"/>
              <w:rPr>
                <w:sz w:val="20"/>
              </w:rPr>
            </w:pPr>
            <w:r w:rsidRPr="00114B76">
              <w:rPr>
                <w:sz w:val="20"/>
              </w:rPr>
              <w:t>50</w:t>
            </w:r>
          </w:p>
        </w:tc>
        <w:tc>
          <w:tcPr>
            <w:tcW w:w="0" w:type="auto"/>
          </w:tcPr>
          <w:p w14:paraId="107622BA" w14:textId="77777777" w:rsidR="001A4F1A" w:rsidRPr="00114B76" w:rsidRDefault="001A4F1A" w:rsidP="00E858EF">
            <w:pPr>
              <w:suppressAutoHyphens/>
              <w:jc w:val="center"/>
              <w:rPr>
                <w:sz w:val="20"/>
              </w:rPr>
            </w:pPr>
            <w:r w:rsidRPr="00114B76">
              <w:rPr>
                <w:sz w:val="20"/>
              </w:rPr>
              <w:t>43</w:t>
            </w:r>
          </w:p>
        </w:tc>
        <w:tc>
          <w:tcPr>
            <w:tcW w:w="0" w:type="auto"/>
          </w:tcPr>
          <w:p w14:paraId="1F1EFAAF" w14:textId="77777777" w:rsidR="001A4F1A" w:rsidRPr="00114B76" w:rsidRDefault="001A4F1A" w:rsidP="00E858EF">
            <w:pPr>
              <w:suppressAutoHyphens/>
              <w:jc w:val="center"/>
              <w:rPr>
                <w:sz w:val="20"/>
              </w:rPr>
            </w:pPr>
            <w:r w:rsidRPr="00114B76">
              <w:rPr>
                <w:sz w:val="20"/>
              </w:rPr>
              <w:t>40</w:t>
            </w:r>
          </w:p>
        </w:tc>
        <w:tc>
          <w:tcPr>
            <w:tcW w:w="0" w:type="auto"/>
          </w:tcPr>
          <w:p w14:paraId="0283DF7F" w14:textId="77777777" w:rsidR="001A4F1A" w:rsidRPr="00114B76" w:rsidRDefault="001A4F1A" w:rsidP="00E858EF">
            <w:pPr>
              <w:suppressAutoHyphens/>
              <w:jc w:val="center"/>
              <w:rPr>
                <w:sz w:val="20"/>
              </w:rPr>
            </w:pPr>
            <w:r w:rsidRPr="00114B76">
              <w:rPr>
                <w:sz w:val="20"/>
              </w:rPr>
              <w:t>15</w:t>
            </w:r>
          </w:p>
        </w:tc>
        <w:tc>
          <w:tcPr>
            <w:tcW w:w="901" w:type="dxa"/>
          </w:tcPr>
          <w:p w14:paraId="1821CF66" w14:textId="77777777" w:rsidR="001A4F1A" w:rsidRPr="00114B76" w:rsidRDefault="001A4F1A" w:rsidP="00E858EF">
            <w:pPr>
              <w:suppressAutoHyphens/>
              <w:jc w:val="center"/>
              <w:rPr>
                <w:sz w:val="20"/>
              </w:rPr>
            </w:pPr>
            <w:r w:rsidRPr="00114B76">
              <w:rPr>
                <w:sz w:val="20"/>
              </w:rPr>
              <w:t>14</w:t>
            </w:r>
          </w:p>
        </w:tc>
      </w:tr>
      <w:tr w:rsidR="001A4F1A" w:rsidRPr="00114B76" w14:paraId="320BB5B2" w14:textId="77777777" w:rsidTr="00114B76">
        <w:tc>
          <w:tcPr>
            <w:tcW w:w="2376" w:type="dxa"/>
          </w:tcPr>
          <w:p w14:paraId="77CCDDA7" w14:textId="77777777" w:rsidR="001A4F1A" w:rsidRPr="00114B76" w:rsidRDefault="001A4F1A" w:rsidP="00E858EF">
            <w:pPr>
              <w:suppressAutoHyphens/>
              <w:jc w:val="left"/>
              <w:rPr>
                <w:sz w:val="20"/>
              </w:rPr>
            </w:pPr>
            <w:r w:rsidRPr="00114B76">
              <w:rPr>
                <w:sz w:val="20"/>
              </w:rPr>
              <w:t>Max. no. items per tomb</w:t>
            </w:r>
          </w:p>
        </w:tc>
        <w:tc>
          <w:tcPr>
            <w:tcW w:w="0" w:type="auto"/>
          </w:tcPr>
          <w:p w14:paraId="09604263" w14:textId="77777777" w:rsidR="001A4F1A" w:rsidRPr="00114B76" w:rsidRDefault="001A4F1A" w:rsidP="00E858EF">
            <w:pPr>
              <w:suppressAutoHyphens/>
              <w:jc w:val="center"/>
              <w:rPr>
                <w:sz w:val="20"/>
              </w:rPr>
            </w:pPr>
            <w:r w:rsidRPr="00114B76">
              <w:rPr>
                <w:sz w:val="20"/>
              </w:rPr>
              <w:t>7</w:t>
            </w:r>
          </w:p>
        </w:tc>
        <w:tc>
          <w:tcPr>
            <w:tcW w:w="0" w:type="auto"/>
          </w:tcPr>
          <w:p w14:paraId="4CDF8709" w14:textId="77777777" w:rsidR="001A4F1A" w:rsidRPr="00114B76" w:rsidRDefault="001A4F1A" w:rsidP="00E858EF">
            <w:pPr>
              <w:suppressAutoHyphens/>
              <w:jc w:val="center"/>
              <w:rPr>
                <w:sz w:val="20"/>
              </w:rPr>
            </w:pPr>
            <w:r w:rsidRPr="00114B76">
              <w:rPr>
                <w:sz w:val="20"/>
              </w:rPr>
              <w:t>5</w:t>
            </w:r>
          </w:p>
        </w:tc>
        <w:tc>
          <w:tcPr>
            <w:tcW w:w="0" w:type="auto"/>
          </w:tcPr>
          <w:p w14:paraId="364C5184" w14:textId="77777777" w:rsidR="001A4F1A" w:rsidRPr="00114B76" w:rsidRDefault="001A4F1A" w:rsidP="00E858EF">
            <w:pPr>
              <w:suppressAutoHyphens/>
              <w:jc w:val="center"/>
              <w:rPr>
                <w:sz w:val="20"/>
              </w:rPr>
            </w:pPr>
            <w:r w:rsidRPr="00114B76">
              <w:rPr>
                <w:sz w:val="20"/>
              </w:rPr>
              <w:t>6</w:t>
            </w:r>
          </w:p>
        </w:tc>
        <w:tc>
          <w:tcPr>
            <w:tcW w:w="0" w:type="auto"/>
          </w:tcPr>
          <w:p w14:paraId="28E0085A" w14:textId="77777777" w:rsidR="001A4F1A" w:rsidRPr="00114B76" w:rsidRDefault="001A4F1A" w:rsidP="00E858EF">
            <w:pPr>
              <w:suppressAutoHyphens/>
              <w:jc w:val="center"/>
              <w:rPr>
                <w:sz w:val="20"/>
              </w:rPr>
            </w:pPr>
            <w:r w:rsidRPr="00114B76">
              <w:rPr>
                <w:sz w:val="20"/>
              </w:rPr>
              <w:t>5</w:t>
            </w:r>
          </w:p>
        </w:tc>
        <w:tc>
          <w:tcPr>
            <w:tcW w:w="0" w:type="auto"/>
          </w:tcPr>
          <w:p w14:paraId="35AD1E8A" w14:textId="77777777" w:rsidR="001A4F1A" w:rsidRPr="00114B76" w:rsidRDefault="001A4F1A" w:rsidP="00E858EF">
            <w:pPr>
              <w:suppressAutoHyphens/>
              <w:jc w:val="center"/>
              <w:rPr>
                <w:sz w:val="20"/>
              </w:rPr>
            </w:pPr>
            <w:r w:rsidRPr="00114B76">
              <w:rPr>
                <w:sz w:val="20"/>
              </w:rPr>
              <w:t>6</w:t>
            </w:r>
          </w:p>
        </w:tc>
        <w:tc>
          <w:tcPr>
            <w:tcW w:w="0" w:type="auto"/>
          </w:tcPr>
          <w:p w14:paraId="4D7976AA" w14:textId="77777777" w:rsidR="001A4F1A" w:rsidRPr="00114B76" w:rsidRDefault="001A4F1A" w:rsidP="00E858EF">
            <w:pPr>
              <w:suppressAutoHyphens/>
              <w:jc w:val="center"/>
              <w:rPr>
                <w:sz w:val="20"/>
              </w:rPr>
            </w:pPr>
            <w:r w:rsidRPr="00114B76">
              <w:rPr>
                <w:sz w:val="20"/>
              </w:rPr>
              <w:t>3</w:t>
            </w:r>
          </w:p>
        </w:tc>
        <w:tc>
          <w:tcPr>
            <w:tcW w:w="901" w:type="dxa"/>
          </w:tcPr>
          <w:p w14:paraId="47CA2C20" w14:textId="77777777" w:rsidR="001A4F1A" w:rsidRPr="00114B76" w:rsidRDefault="001A4F1A" w:rsidP="00E858EF">
            <w:pPr>
              <w:suppressAutoHyphens/>
              <w:jc w:val="center"/>
              <w:rPr>
                <w:sz w:val="20"/>
              </w:rPr>
            </w:pPr>
            <w:r w:rsidRPr="00114B76">
              <w:rPr>
                <w:sz w:val="20"/>
              </w:rPr>
              <w:t>4</w:t>
            </w:r>
          </w:p>
        </w:tc>
      </w:tr>
      <w:tr w:rsidR="001A4F1A" w:rsidRPr="00114B76" w14:paraId="5FD97C24" w14:textId="77777777" w:rsidTr="00114B76">
        <w:tc>
          <w:tcPr>
            <w:tcW w:w="2376" w:type="dxa"/>
          </w:tcPr>
          <w:p w14:paraId="064640FD" w14:textId="77777777" w:rsidR="001A4F1A" w:rsidRPr="00114B76" w:rsidRDefault="001A4F1A" w:rsidP="00E858EF">
            <w:pPr>
              <w:suppressAutoHyphens/>
              <w:jc w:val="left"/>
              <w:rPr>
                <w:sz w:val="20"/>
              </w:rPr>
            </w:pPr>
            <w:r w:rsidRPr="00114B76">
              <w:rPr>
                <w:sz w:val="20"/>
              </w:rPr>
              <w:t>No. of tombs</w:t>
            </w:r>
          </w:p>
        </w:tc>
        <w:tc>
          <w:tcPr>
            <w:tcW w:w="0" w:type="auto"/>
          </w:tcPr>
          <w:p w14:paraId="5037DCC9" w14:textId="77777777" w:rsidR="001A4F1A" w:rsidRPr="00114B76" w:rsidRDefault="001A4F1A" w:rsidP="00E858EF">
            <w:pPr>
              <w:suppressAutoHyphens/>
              <w:jc w:val="center"/>
              <w:rPr>
                <w:sz w:val="20"/>
              </w:rPr>
            </w:pPr>
            <w:r w:rsidRPr="00114B76">
              <w:rPr>
                <w:sz w:val="20"/>
              </w:rPr>
              <w:t>37</w:t>
            </w:r>
          </w:p>
        </w:tc>
        <w:tc>
          <w:tcPr>
            <w:tcW w:w="0" w:type="auto"/>
          </w:tcPr>
          <w:p w14:paraId="0A1DF1AD" w14:textId="77777777" w:rsidR="001A4F1A" w:rsidRPr="00114B76" w:rsidRDefault="001A4F1A" w:rsidP="00E858EF">
            <w:pPr>
              <w:suppressAutoHyphens/>
              <w:jc w:val="center"/>
              <w:rPr>
                <w:sz w:val="20"/>
              </w:rPr>
            </w:pPr>
            <w:r w:rsidRPr="00114B76">
              <w:rPr>
                <w:sz w:val="20"/>
              </w:rPr>
              <w:t>29</w:t>
            </w:r>
          </w:p>
        </w:tc>
        <w:tc>
          <w:tcPr>
            <w:tcW w:w="0" w:type="auto"/>
          </w:tcPr>
          <w:p w14:paraId="39CD277B" w14:textId="77777777" w:rsidR="001A4F1A" w:rsidRPr="00114B76" w:rsidRDefault="001A4F1A" w:rsidP="00E858EF">
            <w:pPr>
              <w:suppressAutoHyphens/>
              <w:jc w:val="center"/>
              <w:rPr>
                <w:sz w:val="20"/>
              </w:rPr>
            </w:pPr>
            <w:r w:rsidRPr="00114B76">
              <w:rPr>
                <w:sz w:val="20"/>
              </w:rPr>
              <w:t>30</w:t>
            </w:r>
          </w:p>
        </w:tc>
        <w:tc>
          <w:tcPr>
            <w:tcW w:w="0" w:type="auto"/>
          </w:tcPr>
          <w:p w14:paraId="0E7064EA" w14:textId="77777777" w:rsidR="001A4F1A" w:rsidRPr="00114B76" w:rsidRDefault="001A4F1A" w:rsidP="00E858EF">
            <w:pPr>
              <w:suppressAutoHyphens/>
              <w:jc w:val="center"/>
              <w:rPr>
                <w:sz w:val="20"/>
              </w:rPr>
            </w:pPr>
            <w:r w:rsidRPr="00114B76">
              <w:rPr>
                <w:sz w:val="20"/>
              </w:rPr>
              <w:t>27</w:t>
            </w:r>
          </w:p>
        </w:tc>
        <w:tc>
          <w:tcPr>
            <w:tcW w:w="0" w:type="auto"/>
          </w:tcPr>
          <w:p w14:paraId="08DC2693" w14:textId="77777777" w:rsidR="001A4F1A" w:rsidRPr="00114B76" w:rsidRDefault="001A4F1A" w:rsidP="00E858EF">
            <w:pPr>
              <w:suppressAutoHyphens/>
              <w:jc w:val="center"/>
              <w:rPr>
                <w:sz w:val="20"/>
              </w:rPr>
            </w:pPr>
            <w:r w:rsidRPr="00114B76">
              <w:rPr>
                <w:sz w:val="20"/>
              </w:rPr>
              <w:t>17</w:t>
            </w:r>
          </w:p>
        </w:tc>
        <w:tc>
          <w:tcPr>
            <w:tcW w:w="0" w:type="auto"/>
          </w:tcPr>
          <w:p w14:paraId="00C08669" w14:textId="77777777" w:rsidR="001A4F1A" w:rsidRPr="00114B76" w:rsidRDefault="001A4F1A" w:rsidP="00E858EF">
            <w:pPr>
              <w:suppressAutoHyphens/>
              <w:jc w:val="center"/>
              <w:rPr>
                <w:sz w:val="20"/>
              </w:rPr>
            </w:pPr>
            <w:r w:rsidRPr="00114B76">
              <w:rPr>
                <w:sz w:val="20"/>
              </w:rPr>
              <w:t>10</w:t>
            </w:r>
          </w:p>
        </w:tc>
        <w:tc>
          <w:tcPr>
            <w:tcW w:w="901" w:type="dxa"/>
          </w:tcPr>
          <w:p w14:paraId="74F115AD" w14:textId="77777777" w:rsidR="001A4F1A" w:rsidRPr="00114B76" w:rsidRDefault="001A4F1A" w:rsidP="00E858EF">
            <w:pPr>
              <w:suppressAutoHyphens/>
              <w:jc w:val="center"/>
              <w:rPr>
                <w:sz w:val="20"/>
              </w:rPr>
            </w:pPr>
            <w:r w:rsidRPr="00114B76">
              <w:rPr>
                <w:sz w:val="20"/>
              </w:rPr>
              <w:t>9</w:t>
            </w:r>
          </w:p>
        </w:tc>
      </w:tr>
    </w:tbl>
    <w:p w14:paraId="357C64D8" w14:textId="77777777" w:rsidR="001A4F1A" w:rsidRPr="00D6101B" w:rsidRDefault="001A4F1A" w:rsidP="00E858EF">
      <w:pPr>
        <w:suppressAutoHyphens/>
      </w:pPr>
    </w:p>
    <w:p w14:paraId="00357E4D" w14:textId="77777777" w:rsidR="001A4F1A" w:rsidRPr="00D6101B" w:rsidRDefault="001A4F1A" w:rsidP="00E858EF">
      <w:pPr>
        <w:suppressAutoHyphens/>
      </w:pPr>
    </w:p>
    <w:p w14:paraId="1F3AFC8F" w14:textId="77777777" w:rsidR="001A4F1A" w:rsidRPr="00D6101B" w:rsidRDefault="001A4F1A" w:rsidP="00E858EF">
      <w:pPr>
        <w:suppressAutoHyphens/>
      </w:pPr>
    </w:p>
    <w:p w14:paraId="34F7B05A" w14:textId="77777777" w:rsidR="001A4F1A" w:rsidRPr="00D6101B" w:rsidRDefault="001A4F1A" w:rsidP="00E858EF">
      <w:pPr>
        <w:suppressAutoHyphens/>
      </w:pPr>
      <w:r>
        <w:rPr>
          <w:noProof/>
          <w:lang w:val="it-IT"/>
        </w:rPr>
        <w:drawing>
          <wp:inline distT="0" distB="0" distL="0" distR="0" wp14:anchorId="366CDCA6" wp14:editId="09598DB9">
            <wp:extent cx="5601186" cy="6053658"/>
            <wp:effectExtent l="0" t="0" r="12700" b="17145"/>
            <wp:docPr id="46" name="Gra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1D35299D" w14:textId="4ADCADA8" w:rsidR="001A4F1A" w:rsidRPr="00D6101B" w:rsidRDefault="001A4F1A" w:rsidP="00E858EF">
      <w:pPr>
        <w:pStyle w:val="Didascalia"/>
        <w:suppressAutoHyphens/>
      </w:pPr>
      <w:bookmarkStart w:id="860" w:name="_Toc520212383"/>
      <w:r>
        <w:t>Figure 4-45</w:t>
      </w:r>
      <w:r w:rsidR="00D1495A">
        <w:t>.</w:t>
      </w:r>
      <w:r>
        <w:t xml:space="preserve"> Occurrence of pottery types in the Central area</w:t>
      </w:r>
      <w:bookmarkEnd w:id="860"/>
    </w:p>
    <w:p w14:paraId="1B8A395D" w14:textId="77777777" w:rsidR="001A4F1A" w:rsidRPr="00D6101B" w:rsidRDefault="001A4F1A" w:rsidP="00E858EF">
      <w:pPr>
        <w:suppressAutoHyphens/>
      </w:pPr>
    </w:p>
    <w:p w14:paraId="20C769A6" w14:textId="045D15C7" w:rsidR="001A4F1A" w:rsidRPr="00D6101B" w:rsidRDefault="001A4F1A" w:rsidP="00E858EF">
      <w:pPr>
        <w:pStyle w:val="Titolo4"/>
        <w:keepNext w:val="0"/>
        <w:keepLines w:val="0"/>
        <w:suppressAutoHyphens/>
      </w:pPr>
      <w:bookmarkStart w:id="861" w:name="_Toc389508266"/>
      <w:bookmarkStart w:id="862" w:name="_Toc517745346"/>
      <w:r w:rsidRPr="00D6101B">
        <w:t>Conclusion</w:t>
      </w:r>
      <w:bookmarkEnd w:id="861"/>
      <w:r>
        <w:t>s</w:t>
      </w:r>
      <w:bookmarkEnd w:id="862"/>
      <w:r w:rsidR="00114B76">
        <w:t>,</w:t>
      </w:r>
      <w:r w:rsidR="00481EA2">
        <w:t xml:space="preserve"> Central area</w:t>
      </w:r>
    </w:p>
    <w:p w14:paraId="1D2CB603" w14:textId="77777777" w:rsidR="001A4F1A" w:rsidRPr="00D6101B" w:rsidRDefault="001A4F1A" w:rsidP="00E858EF">
      <w:pPr>
        <w:suppressAutoHyphens/>
      </w:pPr>
      <w:r>
        <w:t>Regarding the</w:t>
      </w:r>
      <w:r w:rsidRPr="00D6101B">
        <w:t xml:space="preserve"> </w:t>
      </w:r>
      <w:r>
        <w:t>C</w:t>
      </w:r>
      <w:r w:rsidRPr="00D6101B">
        <w:t>entral area</w:t>
      </w:r>
      <w:r>
        <w:t>,</w:t>
      </w:r>
      <w:r w:rsidRPr="00D6101B">
        <w:t xml:space="preserve"> information concerning grave goods assemblage</w:t>
      </w:r>
      <w:r>
        <w:t>s</w:t>
      </w:r>
      <w:r w:rsidRPr="00D6101B">
        <w:t xml:space="preserve"> </w:t>
      </w:r>
      <w:r>
        <w:t>is</w:t>
      </w:r>
      <w:r w:rsidRPr="00D6101B">
        <w:t xml:space="preserve"> available for 83% of secure tombs where larnax burials have been registered. In the </w:t>
      </w:r>
      <w:r>
        <w:t>Central</w:t>
      </w:r>
      <w:r w:rsidRPr="00D6101B">
        <w:t xml:space="preserve"> area</w:t>
      </w:r>
      <w:r>
        <w:t>,</w:t>
      </w:r>
      <w:r w:rsidRPr="00D6101B">
        <w:t xml:space="preserve"> the most common material found in tombs with larnakes is </w:t>
      </w:r>
      <w:r>
        <w:t>pottery,</w:t>
      </w:r>
      <w:r w:rsidRPr="00D6101B">
        <w:t xml:space="preserve"> in 90% of tombs. The analysis of grave goods assemblage composition</w:t>
      </w:r>
      <w:r>
        <w:t>s</w:t>
      </w:r>
      <w:r w:rsidRPr="00D6101B">
        <w:t xml:space="preserve"> </w:t>
      </w:r>
      <w:r>
        <w:t>based on</w:t>
      </w:r>
      <w:r w:rsidRPr="00D6101B">
        <w:t xml:space="preserve"> pottery presence </w:t>
      </w:r>
      <w:r>
        <w:t>is</w:t>
      </w:r>
      <w:r w:rsidRPr="00D6101B">
        <w:t xml:space="preserve"> summarised </w:t>
      </w:r>
      <w:r>
        <w:t>in</w:t>
      </w:r>
      <w:r w:rsidRPr="00D6101B">
        <w:t xml:space="preserve"> th</w:t>
      </w:r>
      <w:r>
        <w:t>e</w:t>
      </w:r>
      <w:r w:rsidRPr="00D6101B">
        <w:t xml:space="preserve"> graph</w:t>
      </w:r>
      <w:r>
        <w:t>, below</w:t>
      </w:r>
      <w:r w:rsidRPr="00D6101B">
        <w:t>:</w:t>
      </w:r>
    </w:p>
    <w:p w14:paraId="574F471D" w14:textId="77777777" w:rsidR="001A4F1A" w:rsidRPr="00D6101B" w:rsidRDefault="001A4F1A" w:rsidP="00E858EF">
      <w:pPr>
        <w:suppressAutoHyphens/>
      </w:pPr>
      <w:r w:rsidRPr="00D6101B">
        <w:rPr>
          <w:noProof/>
          <w:lang w:val="it-IT"/>
        </w:rPr>
        <w:drawing>
          <wp:inline distT="0" distB="0" distL="0" distR="0" wp14:anchorId="4B9E9546" wp14:editId="000AC924">
            <wp:extent cx="4680000" cy="2520000"/>
            <wp:effectExtent l="0" t="0" r="19050" b="20320"/>
            <wp:docPr id="110" name="Grafico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1767FBF4" w14:textId="0EFED143" w:rsidR="001A4F1A" w:rsidRDefault="001A4F1A" w:rsidP="00E858EF">
      <w:pPr>
        <w:pStyle w:val="Didascalia"/>
        <w:suppressAutoHyphens/>
      </w:pPr>
      <w:bookmarkStart w:id="863" w:name="_Toc520212384"/>
      <w:r>
        <w:t>Figure 4-46</w:t>
      </w:r>
      <w:r w:rsidR="00D1495A">
        <w:t>.</w:t>
      </w:r>
      <w:r>
        <w:t xml:space="preserve"> </w:t>
      </w:r>
      <w:r w:rsidRPr="008703D3">
        <w:t>Composition o</w:t>
      </w:r>
      <w:r>
        <w:t>f grave goods assemblages according to pottery occurrence</w:t>
      </w:r>
      <w:r w:rsidR="0001663C">
        <w:t>,</w:t>
      </w:r>
      <w:r>
        <w:t xml:space="preserve"> Central area</w:t>
      </w:r>
      <w:bookmarkEnd w:id="863"/>
      <w:r w:rsidDel="00CB3076">
        <w:t xml:space="preserve"> </w:t>
      </w:r>
    </w:p>
    <w:p w14:paraId="0B398002" w14:textId="77777777" w:rsidR="001A4F1A" w:rsidRPr="00D6101B" w:rsidRDefault="001A4F1A" w:rsidP="00E858EF">
      <w:pPr>
        <w:suppressAutoHyphens/>
      </w:pPr>
    </w:p>
    <w:p w14:paraId="37F08154" w14:textId="77777777" w:rsidR="001A4F1A" w:rsidRPr="00D6101B" w:rsidRDefault="001A4F1A" w:rsidP="00E858EF">
      <w:pPr>
        <w:suppressAutoHyphens/>
        <w:ind w:firstLine="360"/>
      </w:pPr>
      <w:r w:rsidRPr="00D6101B">
        <w:t>A very high percentage of tombs</w:t>
      </w:r>
      <w:r>
        <w:t xml:space="preserve"> contained</w:t>
      </w:r>
      <w:r w:rsidRPr="00D6101B">
        <w:t xml:space="preserve"> bronze</w:t>
      </w:r>
      <w:r>
        <w:t xml:space="preserve"> items</w:t>
      </w:r>
      <w:r w:rsidRPr="00D6101B">
        <w:t xml:space="preserve"> </w:t>
      </w:r>
      <w:r>
        <w:t xml:space="preserve">(42%) </w:t>
      </w:r>
      <w:r w:rsidRPr="00D6101B">
        <w:t xml:space="preserve">and stone items (46%). The </w:t>
      </w:r>
      <w:r>
        <w:t>presence</w:t>
      </w:r>
      <w:r w:rsidRPr="00D6101B">
        <w:t xml:space="preserve"> of precious materials</w:t>
      </w:r>
      <w:r>
        <w:t xml:space="preserve"> </w:t>
      </w:r>
      <w:r w:rsidRPr="00D6101B">
        <w:t xml:space="preserve">seems to be related </w:t>
      </w:r>
      <w:r>
        <w:t>to</w:t>
      </w:r>
      <w:r w:rsidRPr="00D6101B">
        <w:t xml:space="preserve"> the monumentality of the tombs. This</w:t>
      </w:r>
      <w:r>
        <w:t xml:space="preserve"> link</w:t>
      </w:r>
      <w:r w:rsidRPr="00D6101B">
        <w:t xml:space="preserve"> </w:t>
      </w:r>
      <w:r>
        <w:t xml:space="preserve">is </w:t>
      </w:r>
      <w:r w:rsidRPr="00D6101B">
        <w:t xml:space="preserve">particularly evident </w:t>
      </w:r>
      <w:r>
        <w:t>in</w:t>
      </w:r>
      <w:r w:rsidRPr="00D6101B">
        <w:t xml:space="preserve"> the following case</w:t>
      </w:r>
      <w:r>
        <w:t>s</w:t>
      </w:r>
      <w:r w:rsidRPr="00D6101B">
        <w:t>:</w:t>
      </w:r>
    </w:p>
    <w:p w14:paraId="209E3AA0" w14:textId="77777777" w:rsidR="001A4F1A" w:rsidRPr="00D6101B" w:rsidRDefault="001A4F1A" w:rsidP="00E858EF">
      <w:pPr>
        <w:pStyle w:val="Paragrafoelenco"/>
        <w:numPr>
          <w:ilvl w:val="0"/>
          <w:numId w:val="48"/>
        </w:numPr>
        <w:suppressAutoHyphens/>
      </w:pPr>
      <w:r w:rsidRPr="00D6101B">
        <w:t>Chamber tomb at Amnissos Karteros (chamber dimension 6</w:t>
      </w:r>
      <w:r>
        <w:t>.</w:t>
      </w:r>
      <w:r w:rsidRPr="00D6101B">
        <w:t>9 sq</w:t>
      </w:r>
      <w:r>
        <w:t>.</w:t>
      </w:r>
      <w:r w:rsidRPr="00D6101B">
        <w:t>m</w:t>
      </w:r>
      <w:r>
        <w:t>.</w:t>
      </w:r>
      <w:r w:rsidRPr="00D6101B">
        <w:t>, dromos length 10 m, monumental dromos with stairs; materials found: bronze, pottery, faience, glass, ivory, silver</w:t>
      </w:r>
      <w:r>
        <w:t xml:space="preserve"> and</w:t>
      </w:r>
      <w:r w:rsidRPr="00D6101B">
        <w:t xml:space="preserve"> stone)</w:t>
      </w:r>
      <w:r>
        <w:t>.</w:t>
      </w:r>
    </w:p>
    <w:p w14:paraId="713BCE0F" w14:textId="77777777" w:rsidR="001A4F1A" w:rsidRPr="00D6101B" w:rsidRDefault="001A4F1A" w:rsidP="00E858EF">
      <w:pPr>
        <w:pStyle w:val="Paragrafoelenco"/>
        <w:numPr>
          <w:ilvl w:val="0"/>
          <w:numId w:val="48"/>
        </w:numPr>
        <w:suppressAutoHyphens/>
      </w:pPr>
      <w:r w:rsidRPr="00D01B00">
        <w:rPr>
          <w:lang w:val="fr-FR"/>
        </w:rPr>
        <w:t>Archanes Tholos A (chamber dimension 14.</w:t>
      </w:r>
      <w:r w:rsidRPr="00D6101B">
        <w:t>2 sq</w:t>
      </w:r>
      <w:r>
        <w:t>.</w:t>
      </w:r>
      <w:r w:rsidRPr="00D6101B">
        <w:t>m</w:t>
      </w:r>
      <w:r>
        <w:t>.,</w:t>
      </w:r>
      <w:r w:rsidRPr="00D6101B">
        <w:t xml:space="preserve"> dromos length 19 m, presence of pit, monumental dromos and annexes; materials found: bronze, pottery, glass, gold, iron, ivory</w:t>
      </w:r>
      <w:r>
        <w:t xml:space="preserve"> and</w:t>
      </w:r>
      <w:r w:rsidRPr="00D6101B">
        <w:t xml:space="preserve"> stone)</w:t>
      </w:r>
      <w:r>
        <w:t>.</w:t>
      </w:r>
    </w:p>
    <w:p w14:paraId="1E5D0FA9" w14:textId="77777777" w:rsidR="001A4F1A" w:rsidRPr="00D6101B" w:rsidRDefault="001A4F1A" w:rsidP="00E858EF">
      <w:pPr>
        <w:suppressAutoHyphens/>
        <w:ind w:firstLine="360"/>
      </w:pPr>
      <w:r w:rsidRPr="00D6101B">
        <w:t>T</w:t>
      </w:r>
      <w:r>
        <w:t>hree</w:t>
      </w:r>
      <w:r w:rsidRPr="00D6101B">
        <w:t xml:space="preserve"> tombs have not been included in </w:t>
      </w:r>
      <w:r>
        <w:t>either of</w:t>
      </w:r>
      <w:r w:rsidRPr="00D6101B">
        <w:t xml:space="preserve"> the two</w:t>
      </w:r>
      <w:r>
        <w:t xml:space="preserve"> previous</w:t>
      </w:r>
      <w:r w:rsidRPr="00D6101B">
        <w:t xml:space="preserve"> categories </w:t>
      </w:r>
      <w:r>
        <w:t xml:space="preserve">of </w:t>
      </w:r>
      <w:r w:rsidRPr="00D6101B">
        <w:t xml:space="preserve">architectural monumentality </w:t>
      </w:r>
      <w:r>
        <w:t>or</w:t>
      </w:r>
      <w:r w:rsidRPr="00D6101B">
        <w:t xml:space="preserve"> precious materials</w:t>
      </w:r>
      <w:r>
        <w:t>,</w:t>
      </w:r>
      <w:r w:rsidRPr="00D6101B">
        <w:t xml:space="preserve"> although they </w:t>
      </w:r>
      <w:r>
        <w:t>are</w:t>
      </w:r>
      <w:r w:rsidRPr="00D6101B">
        <w:t xml:space="preserve"> considered with</w:t>
      </w:r>
      <w:r>
        <w:t>in the sample of tombs in which</w:t>
      </w:r>
      <w:r w:rsidRPr="00D6101B">
        <w:t xml:space="preserve"> architectural monumentality </w:t>
      </w:r>
      <w:r>
        <w:t xml:space="preserve">is related to </w:t>
      </w:r>
      <w:r w:rsidRPr="00D6101B">
        <w:t>a rich grave good</w:t>
      </w:r>
      <w:r>
        <w:t>s</w:t>
      </w:r>
      <w:r w:rsidRPr="00D6101B">
        <w:t xml:space="preserve"> assemblage:</w:t>
      </w:r>
    </w:p>
    <w:p w14:paraId="732E83C2" w14:textId="77777777" w:rsidR="001A4F1A" w:rsidRPr="00D6101B" w:rsidRDefault="001A4F1A" w:rsidP="00E858EF">
      <w:pPr>
        <w:pStyle w:val="Paragrafoelenco"/>
        <w:numPr>
          <w:ilvl w:val="0"/>
          <w:numId w:val="49"/>
        </w:numPr>
        <w:suppressAutoHyphens/>
      </w:pPr>
      <w:r w:rsidRPr="00D6101B">
        <w:t xml:space="preserve">Archanes Phourni </w:t>
      </w:r>
      <w:r>
        <w:t>B</w:t>
      </w:r>
      <w:r w:rsidRPr="00D6101B">
        <w:t xml:space="preserve">urial </w:t>
      </w:r>
      <w:r>
        <w:t>B</w:t>
      </w:r>
      <w:r w:rsidRPr="00D6101B">
        <w:t>uilding 3</w:t>
      </w:r>
      <w:r>
        <w:t>,</w:t>
      </w:r>
      <w:r w:rsidRPr="00D6101B">
        <w:t xml:space="preserve"> for which </w:t>
      </w:r>
      <w:r>
        <w:t xml:space="preserve">the </w:t>
      </w:r>
      <w:r w:rsidRPr="00D6101B">
        <w:t>dimension</w:t>
      </w:r>
      <w:r>
        <w:t>s</w:t>
      </w:r>
      <w:r w:rsidRPr="00D6101B">
        <w:t xml:space="preserve"> are not available, but </w:t>
      </w:r>
      <w:r>
        <w:t>it is</w:t>
      </w:r>
      <w:r w:rsidRPr="00D6101B">
        <w:t xml:space="preserve"> a monumental and unique burial structure </w:t>
      </w:r>
      <w:r>
        <w:t>in which</w:t>
      </w:r>
      <w:r w:rsidRPr="00D6101B">
        <w:t xml:space="preserve"> a high number of </w:t>
      </w:r>
      <w:r>
        <w:t>non-ceramic</w:t>
      </w:r>
      <w:r w:rsidRPr="00D6101B">
        <w:t xml:space="preserve"> artefacts </w:t>
      </w:r>
      <w:r>
        <w:t>were found</w:t>
      </w:r>
      <w:r w:rsidRPr="00D6101B">
        <w:t xml:space="preserve"> (26)</w:t>
      </w:r>
      <w:r>
        <w:t>,</w:t>
      </w:r>
      <w:r w:rsidRPr="00D6101B">
        <w:t xml:space="preserve"> some of them precious material</w:t>
      </w:r>
      <w:r>
        <w:t>s,</w:t>
      </w:r>
      <w:r w:rsidRPr="00D6101B">
        <w:t xml:space="preserve"> </w:t>
      </w:r>
      <w:r>
        <w:t>such as</w:t>
      </w:r>
      <w:r w:rsidRPr="00D6101B">
        <w:t xml:space="preserve"> bronze, gold, ivory, silver and stone</w:t>
      </w:r>
      <w:r>
        <w:t>.</w:t>
      </w:r>
      <w:r w:rsidRPr="00D6101B">
        <w:t xml:space="preserve"> </w:t>
      </w:r>
    </w:p>
    <w:p w14:paraId="5A81A09C" w14:textId="77777777" w:rsidR="001A4F1A" w:rsidRPr="00D6101B" w:rsidRDefault="001A4F1A" w:rsidP="00E858EF">
      <w:pPr>
        <w:pStyle w:val="Paragrafoelenco"/>
        <w:numPr>
          <w:ilvl w:val="0"/>
          <w:numId w:val="48"/>
        </w:numPr>
        <w:suppressAutoHyphens/>
      </w:pPr>
      <w:r w:rsidRPr="00D6101B">
        <w:t>Archanes Phourni burial enclosure: even if the burials belonging to this complex are considered single tomb</w:t>
      </w:r>
      <w:r>
        <w:t>s</w:t>
      </w:r>
      <w:r w:rsidRPr="00D6101B">
        <w:t>, the monumentality and originality of the burial complex</w:t>
      </w:r>
      <w:r>
        <w:t>,</w:t>
      </w:r>
      <w:r w:rsidRPr="00D6101B">
        <w:t xml:space="preserve"> along with the </w:t>
      </w:r>
      <w:r>
        <w:t>presence</w:t>
      </w:r>
      <w:r w:rsidRPr="00D6101B">
        <w:t xml:space="preserve"> of a high number of precious materials (i.e. ivories, high number of metal and stone vessels) can be</w:t>
      </w:r>
      <w:r>
        <w:t xml:space="preserve"> counted as double valuable</w:t>
      </w:r>
      <w:r w:rsidRPr="00D6101B">
        <w:t>.</w:t>
      </w:r>
    </w:p>
    <w:p w14:paraId="39FB79AF" w14:textId="77777777" w:rsidR="001A4F1A" w:rsidRPr="00D6101B" w:rsidRDefault="001A4F1A" w:rsidP="00E858EF">
      <w:pPr>
        <w:pStyle w:val="Paragrafoelenco"/>
        <w:numPr>
          <w:ilvl w:val="0"/>
          <w:numId w:val="48"/>
        </w:numPr>
        <w:suppressAutoHyphens/>
      </w:pPr>
      <w:r w:rsidRPr="00D6101B">
        <w:t xml:space="preserve">Kyparissi Vathia </w:t>
      </w:r>
      <w:r>
        <w:t>T</w:t>
      </w:r>
      <w:r w:rsidRPr="00D6101B">
        <w:t>omb 3</w:t>
      </w:r>
      <w:r>
        <w:t>:</w:t>
      </w:r>
      <w:r w:rsidRPr="00D6101B">
        <w:t xml:space="preserve"> even if not included within the</w:t>
      </w:r>
      <w:r>
        <w:t xml:space="preserve"> notable</w:t>
      </w:r>
      <w:r w:rsidRPr="00D6101B">
        <w:t xml:space="preserve"> tombs </w:t>
      </w:r>
      <w:r>
        <w:t>regarding</w:t>
      </w:r>
      <w:r w:rsidRPr="00D6101B">
        <w:t xml:space="preserve"> variety and number of precious materials</w:t>
      </w:r>
      <w:r>
        <w:t>,</w:t>
      </w:r>
      <w:r w:rsidRPr="00D6101B">
        <w:t xml:space="preserve"> </w:t>
      </w:r>
      <w:r>
        <w:t>it did contain a</w:t>
      </w:r>
      <w:r w:rsidRPr="00D6101B">
        <w:t xml:space="preserve"> seal</w:t>
      </w:r>
      <w:r>
        <w:t>,</w:t>
      </w:r>
      <w:r w:rsidRPr="00D6101B">
        <w:t xml:space="preserve"> gold ring and </w:t>
      </w:r>
      <w:r>
        <w:t>brace</w:t>
      </w:r>
      <w:r w:rsidRPr="00D6101B">
        <w:t>let, along with a monumental chamber (11</w:t>
      </w:r>
      <w:r>
        <w:t>.</w:t>
      </w:r>
      <w:r w:rsidRPr="00D6101B">
        <w:t>1 sq</w:t>
      </w:r>
      <w:r>
        <w:t>.</w:t>
      </w:r>
      <w:r w:rsidRPr="00D6101B">
        <w:t>m</w:t>
      </w:r>
      <w:r>
        <w:t>.</w:t>
      </w:r>
      <w:r w:rsidRPr="00D6101B">
        <w:t xml:space="preserve">) and </w:t>
      </w:r>
      <w:r>
        <w:t>a</w:t>
      </w:r>
      <w:r w:rsidRPr="00D6101B">
        <w:t xml:space="preserve"> pit</w:t>
      </w:r>
      <w:r>
        <w:t>.</w:t>
      </w:r>
      <w:r w:rsidRPr="00D6101B">
        <w:t xml:space="preserve"> </w:t>
      </w:r>
    </w:p>
    <w:p w14:paraId="7F77EF75" w14:textId="77777777" w:rsidR="001A4F1A" w:rsidRPr="00D6101B" w:rsidRDefault="001A4F1A" w:rsidP="00E858EF">
      <w:pPr>
        <w:suppressAutoHyphens/>
      </w:pPr>
      <w:r>
        <w:tab/>
        <w:t>Regarding</w:t>
      </w:r>
      <w:r w:rsidRPr="00D6101B">
        <w:t xml:space="preserve"> pottery typologies</w:t>
      </w:r>
      <w:r>
        <w:t>,</w:t>
      </w:r>
      <w:r w:rsidRPr="00D6101B">
        <w:t xml:space="preserve"> all the most common shape</w:t>
      </w:r>
      <w:r>
        <w:t>s</w:t>
      </w:r>
      <w:r w:rsidRPr="00D6101B">
        <w:t xml:space="preserve"> in LM III tombs have been found in </w:t>
      </w:r>
      <w:r>
        <w:t>C</w:t>
      </w:r>
      <w:r w:rsidRPr="00D6101B">
        <w:t>entral Crete tombs.</w:t>
      </w:r>
      <w:r>
        <w:t xml:space="preserve"> </w:t>
      </w:r>
      <w:r w:rsidRPr="00D6101B">
        <w:t xml:space="preserve">Stirrup jars </w:t>
      </w:r>
      <w:r>
        <w:t>are</w:t>
      </w:r>
      <w:r w:rsidRPr="00D6101B">
        <w:t xml:space="preserve"> the most common vase type</w:t>
      </w:r>
      <w:r>
        <w:t>,</w:t>
      </w:r>
      <w:r w:rsidRPr="00D6101B">
        <w:t xml:space="preserve"> although jug</w:t>
      </w:r>
      <w:r>
        <w:t>s</w:t>
      </w:r>
      <w:r w:rsidRPr="00D6101B">
        <w:t xml:space="preserve"> and goblet</w:t>
      </w:r>
      <w:r>
        <w:t>s</w:t>
      </w:r>
      <w:r w:rsidRPr="00D6101B">
        <w:t xml:space="preserve"> are common as well in this region.</w:t>
      </w:r>
    </w:p>
    <w:p w14:paraId="372A673F" w14:textId="77777777" w:rsidR="001A4F1A" w:rsidRPr="00D6101B" w:rsidRDefault="001A4F1A" w:rsidP="00E858EF">
      <w:pPr>
        <w:suppressAutoHyphens/>
      </w:pPr>
      <w:r>
        <w:tab/>
      </w:r>
      <w:r w:rsidRPr="00D6101B">
        <w:t xml:space="preserve">The pattern concerning the popularity of braziers </w:t>
      </w:r>
      <w:r>
        <w:t>and</w:t>
      </w:r>
      <w:r w:rsidRPr="00D6101B">
        <w:t xml:space="preserve"> the almost complete absence of incense burner</w:t>
      </w:r>
      <w:r>
        <w:t>s</w:t>
      </w:r>
      <w:r w:rsidRPr="00D6101B">
        <w:t xml:space="preserve"> observed in </w:t>
      </w:r>
      <w:r>
        <w:t xml:space="preserve">the </w:t>
      </w:r>
      <w:r w:rsidRPr="00D6101B">
        <w:t xml:space="preserve">Knossos area is also </w:t>
      </w:r>
      <w:r>
        <w:t>apparent</w:t>
      </w:r>
      <w:r w:rsidRPr="00D6101B">
        <w:t xml:space="preserve"> in</w:t>
      </w:r>
      <w:r>
        <w:t xml:space="preserve"> the</w:t>
      </w:r>
      <w:r w:rsidRPr="00D6101B">
        <w:t xml:space="preserve"> </w:t>
      </w:r>
      <w:r>
        <w:t>C</w:t>
      </w:r>
      <w:r w:rsidRPr="00D6101B">
        <w:t xml:space="preserve">entral area, even if braziers </w:t>
      </w:r>
      <w:r>
        <w:t>are</w:t>
      </w:r>
      <w:r w:rsidRPr="00D6101B">
        <w:t xml:space="preserve"> not a very popular shape</w:t>
      </w:r>
      <w:r>
        <w:t xml:space="preserve"> there</w:t>
      </w:r>
      <w:r w:rsidRPr="00D6101B">
        <w:t xml:space="preserve"> (15 braziers </w:t>
      </w:r>
      <w:r>
        <w:t xml:space="preserve">and </w:t>
      </w:r>
      <w:r w:rsidRPr="00D6101B">
        <w:t xml:space="preserve">only </w:t>
      </w:r>
      <w:r>
        <w:t xml:space="preserve">one </w:t>
      </w:r>
      <w:r w:rsidRPr="00D6101B">
        <w:t>incense burner from Amnissos Karteros).</w:t>
      </w:r>
    </w:p>
    <w:p w14:paraId="70C7AC95" w14:textId="77777777" w:rsidR="001A4F1A" w:rsidRPr="00D6101B" w:rsidRDefault="001A4F1A" w:rsidP="00E858EF">
      <w:pPr>
        <w:suppressAutoHyphens/>
      </w:pPr>
      <w:r>
        <w:tab/>
      </w:r>
      <w:r w:rsidRPr="00D6101B">
        <w:t>The</w:t>
      </w:r>
      <w:r>
        <w:t xml:space="preserve"> maximum</w:t>
      </w:r>
      <w:r w:rsidRPr="00D6101B">
        <w:t xml:space="preserve"> number of pottery items </w:t>
      </w:r>
      <w:r>
        <w:t>in a</w:t>
      </w:r>
      <w:r w:rsidRPr="00D6101B">
        <w:t xml:space="preserve"> tomb </w:t>
      </w:r>
      <w:r>
        <w:t xml:space="preserve">is </w:t>
      </w:r>
      <w:r w:rsidRPr="00D6101B">
        <w:t xml:space="preserve">25 (Ligortyno </w:t>
      </w:r>
      <w:r>
        <w:t>T</w:t>
      </w:r>
      <w:r w:rsidRPr="00D6101B">
        <w:t>omb 2)</w:t>
      </w:r>
      <w:r>
        <w:t>,</w:t>
      </w:r>
      <w:r w:rsidRPr="00D6101B">
        <w:t xml:space="preserve"> and only </w:t>
      </w:r>
      <w:r>
        <w:t xml:space="preserve">a </w:t>
      </w:r>
      <w:r w:rsidRPr="00D6101B">
        <w:t xml:space="preserve">few tombs </w:t>
      </w:r>
      <w:r>
        <w:t>contained</w:t>
      </w:r>
      <w:r w:rsidRPr="00D6101B">
        <w:t xml:space="preserve"> a pottery assemblage with </w:t>
      </w:r>
      <w:r>
        <w:t>10</w:t>
      </w:r>
      <w:r w:rsidRPr="00D6101B">
        <w:t xml:space="preserve"> or more items (12% of the sample of tombs for which pottery typologies information </w:t>
      </w:r>
      <w:r>
        <w:t>is</w:t>
      </w:r>
      <w:r w:rsidRPr="00D6101B">
        <w:t xml:space="preserve"> available).</w:t>
      </w:r>
      <w:r>
        <w:t xml:space="preserve"> </w:t>
      </w:r>
      <w:r w:rsidRPr="00D6101B">
        <w:t xml:space="preserve">Imported vessels have been registered </w:t>
      </w:r>
      <w:r>
        <w:t>from</w:t>
      </w:r>
      <w:r w:rsidRPr="00D6101B">
        <w:t xml:space="preserve"> </w:t>
      </w:r>
      <w:r>
        <w:t>seven</w:t>
      </w:r>
      <w:r w:rsidRPr="00D6101B">
        <w:t xml:space="preserve"> tombs:</w:t>
      </w:r>
    </w:p>
    <w:p w14:paraId="3734C205" w14:textId="77777777" w:rsidR="001A4F1A" w:rsidRPr="00D6101B" w:rsidRDefault="001A4F1A" w:rsidP="00E858EF">
      <w:pPr>
        <w:pStyle w:val="Paragrafoelenco"/>
        <w:numPr>
          <w:ilvl w:val="0"/>
          <w:numId w:val="50"/>
        </w:numPr>
        <w:suppressAutoHyphens/>
      </w:pPr>
      <w:r w:rsidRPr="00D6101B">
        <w:t>Gazi Skaphidara</w:t>
      </w:r>
      <w:r>
        <w:t>,</w:t>
      </w:r>
      <w:r w:rsidRPr="00D6101B">
        <w:t xml:space="preserve"> Mycenaean and </w:t>
      </w:r>
      <w:r>
        <w:t xml:space="preserve">Chania </w:t>
      </w:r>
      <w:r w:rsidRPr="00D6101B">
        <w:t>imports</w:t>
      </w:r>
    </w:p>
    <w:p w14:paraId="7E041740" w14:textId="77777777" w:rsidR="001A4F1A" w:rsidRPr="00D6101B" w:rsidRDefault="001A4F1A" w:rsidP="00E858EF">
      <w:pPr>
        <w:pStyle w:val="Paragrafoelenco"/>
        <w:numPr>
          <w:ilvl w:val="0"/>
          <w:numId w:val="50"/>
        </w:numPr>
        <w:suppressAutoHyphens/>
      </w:pPr>
      <w:r w:rsidRPr="00D6101B">
        <w:t>Tylissos</w:t>
      </w:r>
      <w:r>
        <w:t>,</w:t>
      </w:r>
      <w:r w:rsidRPr="00D6101B">
        <w:t xml:space="preserve"> </w:t>
      </w:r>
      <w:r>
        <w:t xml:space="preserve">Chania </w:t>
      </w:r>
      <w:r w:rsidRPr="00D6101B">
        <w:t>import</w:t>
      </w:r>
    </w:p>
    <w:p w14:paraId="7DFCDF7E" w14:textId="77777777" w:rsidR="001A4F1A" w:rsidRPr="00D6101B" w:rsidRDefault="001A4F1A" w:rsidP="00E858EF">
      <w:pPr>
        <w:pStyle w:val="Paragrafoelenco"/>
        <w:numPr>
          <w:ilvl w:val="0"/>
          <w:numId w:val="50"/>
        </w:numPr>
        <w:suppressAutoHyphens/>
      </w:pPr>
      <w:r w:rsidRPr="00D6101B">
        <w:t xml:space="preserve">Metochi Kalou </w:t>
      </w:r>
      <w:r>
        <w:t>T</w:t>
      </w:r>
      <w:r w:rsidRPr="00D6101B">
        <w:t>omb 4</w:t>
      </w:r>
      <w:r>
        <w:t>,</w:t>
      </w:r>
      <w:r w:rsidRPr="00D6101B">
        <w:t xml:space="preserve"> </w:t>
      </w:r>
      <w:r>
        <w:t xml:space="preserve">Chania </w:t>
      </w:r>
      <w:r w:rsidRPr="00D6101B">
        <w:t>import</w:t>
      </w:r>
    </w:p>
    <w:p w14:paraId="6916DEAE" w14:textId="77777777" w:rsidR="001A4F1A" w:rsidRPr="00D6101B" w:rsidRDefault="001A4F1A" w:rsidP="00E858EF">
      <w:pPr>
        <w:pStyle w:val="Paragrafoelenco"/>
        <w:numPr>
          <w:ilvl w:val="0"/>
          <w:numId w:val="50"/>
        </w:numPr>
        <w:suppressAutoHyphens/>
      </w:pPr>
      <w:r w:rsidRPr="00D6101B">
        <w:t xml:space="preserve">Archanes Phourni </w:t>
      </w:r>
      <w:r>
        <w:t>B</w:t>
      </w:r>
      <w:r w:rsidRPr="00D6101B">
        <w:t xml:space="preserve">urial </w:t>
      </w:r>
      <w:r>
        <w:t>E</w:t>
      </w:r>
      <w:r w:rsidRPr="00D6101B">
        <w:t xml:space="preserve">nclosure </w:t>
      </w:r>
      <w:r>
        <w:t>S</w:t>
      </w:r>
      <w:r w:rsidRPr="00D6101B">
        <w:t xml:space="preserve">haft </w:t>
      </w:r>
      <w:r>
        <w:t>3,</w:t>
      </w:r>
      <w:r w:rsidRPr="00D6101B">
        <w:t xml:space="preserve"> Mycenaean import</w:t>
      </w:r>
    </w:p>
    <w:p w14:paraId="2D69A76F" w14:textId="77777777" w:rsidR="001A4F1A" w:rsidRPr="00D6101B" w:rsidRDefault="001A4F1A" w:rsidP="00E858EF">
      <w:pPr>
        <w:pStyle w:val="Paragrafoelenco"/>
        <w:numPr>
          <w:ilvl w:val="0"/>
          <w:numId w:val="50"/>
        </w:numPr>
        <w:suppressAutoHyphens/>
      </w:pPr>
      <w:r w:rsidRPr="00D6101B">
        <w:t xml:space="preserve">Gournes </w:t>
      </w:r>
      <w:r>
        <w:t>T</w:t>
      </w:r>
      <w:r w:rsidRPr="00D6101B">
        <w:t>omb 1</w:t>
      </w:r>
      <w:r>
        <w:t>,</w:t>
      </w:r>
      <w:r w:rsidRPr="00D6101B">
        <w:t xml:space="preserve"> </w:t>
      </w:r>
      <w:r>
        <w:t xml:space="preserve">Chania </w:t>
      </w:r>
      <w:r w:rsidRPr="00D6101B">
        <w:t>imports</w:t>
      </w:r>
    </w:p>
    <w:p w14:paraId="49490838" w14:textId="77777777" w:rsidR="001A4F1A" w:rsidRPr="00D6101B" w:rsidRDefault="001A4F1A" w:rsidP="00E858EF">
      <w:pPr>
        <w:pStyle w:val="Paragrafoelenco"/>
        <w:numPr>
          <w:ilvl w:val="0"/>
          <w:numId w:val="50"/>
        </w:numPr>
        <w:suppressAutoHyphens/>
      </w:pPr>
      <w:r w:rsidRPr="00D6101B">
        <w:t>Damania</w:t>
      </w:r>
      <w:r>
        <w:t>,</w:t>
      </w:r>
      <w:r w:rsidRPr="00D6101B">
        <w:t xml:space="preserve"> probably </w:t>
      </w:r>
      <w:r>
        <w:t xml:space="preserve">Chania </w:t>
      </w:r>
      <w:r w:rsidRPr="00D6101B">
        <w:t>imports</w:t>
      </w:r>
    </w:p>
    <w:p w14:paraId="11CD1D58" w14:textId="77777777" w:rsidR="001A4F1A" w:rsidRPr="00D6101B" w:rsidRDefault="001A4F1A" w:rsidP="00E858EF">
      <w:pPr>
        <w:pStyle w:val="Paragrafoelenco"/>
        <w:numPr>
          <w:ilvl w:val="0"/>
          <w:numId w:val="50"/>
        </w:numPr>
        <w:suppressAutoHyphens/>
      </w:pPr>
      <w:r w:rsidRPr="00D6101B">
        <w:t>Amnissos Karteros</w:t>
      </w:r>
      <w:r>
        <w:t>,</w:t>
      </w:r>
      <w:r w:rsidRPr="00D6101B">
        <w:t xml:space="preserve"> small jug imported from Cyprus; glass flask imported from Cyprus or Syria</w:t>
      </w:r>
    </w:p>
    <w:p w14:paraId="04EB7A03" w14:textId="77777777" w:rsidR="001A4F1A" w:rsidRPr="00D6101B" w:rsidRDefault="001A4F1A" w:rsidP="00E858EF">
      <w:pPr>
        <w:pStyle w:val="Paragrafoelenco"/>
        <w:numPr>
          <w:ilvl w:val="0"/>
          <w:numId w:val="50"/>
        </w:numPr>
        <w:suppressAutoHyphens/>
      </w:pPr>
      <w:r w:rsidRPr="00D6101B">
        <w:t>Artsa</w:t>
      </w:r>
      <w:r>
        <w:t>,</w:t>
      </w:r>
      <w:r w:rsidRPr="00D6101B">
        <w:t xml:space="preserve"> Mycenaean import</w:t>
      </w:r>
    </w:p>
    <w:p w14:paraId="1C93BA98" w14:textId="2D70FF3B" w:rsidR="001A4F1A" w:rsidRPr="00D6101B" w:rsidRDefault="001A4F1A" w:rsidP="00E858EF">
      <w:pPr>
        <w:pStyle w:val="Titolo3"/>
        <w:keepNext w:val="0"/>
        <w:keepLines w:val="0"/>
        <w:suppressAutoHyphens/>
      </w:pPr>
      <w:bookmarkStart w:id="864" w:name="_Toc389508267"/>
      <w:bookmarkStart w:id="865" w:name="_Toc517745347"/>
      <w:bookmarkStart w:id="866" w:name="_Toc519894666"/>
      <w:r>
        <w:t>Mid-East</w:t>
      </w:r>
      <w:r w:rsidRPr="00D6101B">
        <w:t xml:space="preserve"> </w:t>
      </w:r>
      <w:r w:rsidR="007D3735">
        <w:t xml:space="preserve">area </w:t>
      </w:r>
      <w:r w:rsidRPr="00D6101B">
        <w:t>(grave goods)</w:t>
      </w:r>
      <w:bookmarkEnd w:id="864"/>
      <w:bookmarkEnd w:id="865"/>
      <w:bookmarkEnd w:id="866"/>
    </w:p>
    <w:p w14:paraId="6A6A1E86" w14:textId="77777777" w:rsidR="001A4F1A" w:rsidRPr="00D6101B" w:rsidRDefault="001A4F1A" w:rsidP="00E858EF">
      <w:pPr>
        <w:pStyle w:val="Titolo4"/>
        <w:keepNext w:val="0"/>
        <w:keepLines w:val="0"/>
        <w:suppressAutoHyphens/>
      </w:pPr>
      <w:bookmarkStart w:id="867" w:name="_Toc389508268"/>
      <w:bookmarkStart w:id="868" w:name="_Toc517745348"/>
      <w:r w:rsidRPr="00D6101B">
        <w:t>Sample</w:t>
      </w:r>
      <w:bookmarkEnd w:id="867"/>
      <w:bookmarkEnd w:id="868"/>
    </w:p>
    <w:p w14:paraId="0421FB8F" w14:textId="77777777" w:rsidR="001A4F1A" w:rsidRPr="00D6101B" w:rsidRDefault="001A4F1A" w:rsidP="00E858EF">
      <w:pPr>
        <w:suppressAutoHyphens/>
      </w:pPr>
      <w:r w:rsidRPr="00D6101B">
        <w:t xml:space="preserve">The sample </w:t>
      </w:r>
      <w:r>
        <w:t xml:space="preserve">size </w:t>
      </w:r>
      <w:r w:rsidRPr="00D6101B">
        <w:t>of secure tombs with larnax burials for which there is information about grave good</w:t>
      </w:r>
      <w:r>
        <w:t>s</w:t>
      </w:r>
      <w:r w:rsidRPr="00D6101B">
        <w:t xml:space="preserve"> remains is 37.</w:t>
      </w:r>
      <w:r>
        <w:t xml:space="preserve"> </w:t>
      </w:r>
      <w:r w:rsidRPr="00D6101B">
        <w:t>For</w:t>
      </w:r>
      <w:r>
        <w:t xml:space="preserve"> the</w:t>
      </w:r>
      <w:r w:rsidRPr="00D6101B">
        <w:t xml:space="preserve"> remaining </w:t>
      </w:r>
      <w:r>
        <w:t>eight</w:t>
      </w:r>
      <w:r w:rsidRPr="00D6101B">
        <w:t xml:space="preserve"> tombs</w:t>
      </w:r>
      <w:r>
        <w:t>,</w:t>
      </w:r>
      <w:r w:rsidRPr="00D6101B">
        <w:t xml:space="preserve"> there is no information about grave goods. The</w:t>
      </w:r>
      <w:r>
        <w:t>se eight tombs</w:t>
      </w:r>
      <w:r w:rsidRPr="00D6101B">
        <w:t xml:space="preserve"> are distributed between </w:t>
      </w:r>
      <w:r>
        <w:t>five</w:t>
      </w:r>
      <w:r w:rsidRPr="00D6101B">
        <w:t xml:space="preserve"> different cemeteries:</w:t>
      </w:r>
    </w:p>
    <w:p w14:paraId="26BC609D" w14:textId="77777777" w:rsidR="001A4F1A" w:rsidRPr="00D6101B" w:rsidRDefault="001A4F1A" w:rsidP="00E858EF">
      <w:pPr>
        <w:pStyle w:val="Paragrafoelenco"/>
        <w:numPr>
          <w:ilvl w:val="0"/>
          <w:numId w:val="43"/>
        </w:numPr>
        <w:suppressAutoHyphens/>
      </w:pPr>
      <w:r w:rsidRPr="00D6101B">
        <w:t>Tombs 4 and 26 of the cemetery at Elounda (Van Effenterre 1948: 7-13)</w:t>
      </w:r>
    </w:p>
    <w:p w14:paraId="23D31B56" w14:textId="77777777" w:rsidR="001A4F1A" w:rsidRPr="00D6101B" w:rsidRDefault="001A4F1A" w:rsidP="00E858EF">
      <w:pPr>
        <w:pStyle w:val="Paragrafoelenco"/>
        <w:numPr>
          <w:ilvl w:val="0"/>
          <w:numId w:val="43"/>
        </w:numPr>
        <w:suppressAutoHyphens/>
      </w:pPr>
      <w:r w:rsidRPr="00D6101B">
        <w:t xml:space="preserve">Tomb 5 at </w:t>
      </w:r>
      <w:r>
        <w:t xml:space="preserve">the </w:t>
      </w:r>
      <w:r w:rsidRPr="00D6101B">
        <w:t>Karphi Astividero cemetery (</w:t>
      </w:r>
      <w:r w:rsidRPr="007C4F07">
        <w:rPr>
          <w:i/>
        </w:rPr>
        <w:t>ADelt</w:t>
      </w:r>
      <w:r w:rsidRPr="00D6101B">
        <w:t xml:space="preserve"> </w:t>
      </w:r>
      <w:r>
        <w:t xml:space="preserve">38 </w:t>
      </w:r>
      <w:r w:rsidRPr="00D6101B">
        <w:t>1983: 375)</w:t>
      </w:r>
    </w:p>
    <w:p w14:paraId="74CC83D6" w14:textId="77777777" w:rsidR="001A4F1A" w:rsidRPr="00D6101B" w:rsidRDefault="001A4F1A" w:rsidP="00E858EF">
      <w:pPr>
        <w:pStyle w:val="Paragrafoelenco"/>
        <w:numPr>
          <w:ilvl w:val="0"/>
          <w:numId w:val="43"/>
        </w:numPr>
        <w:suppressAutoHyphens/>
      </w:pPr>
      <w:r w:rsidRPr="00D6101B">
        <w:t xml:space="preserve">Three tombs at Malia: </w:t>
      </w:r>
      <w:r>
        <w:t xml:space="preserve">a </w:t>
      </w:r>
      <w:r w:rsidRPr="00D6101B">
        <w:t xml:space="preserve">larnax burial at Kokkino Pyrgos/Agia Pelagia </w:t>
      </w:r>
      <w:r>
        <w:t>T</w:t>
      </w:r>
      <w:r w:rsidRPr="00D6101B">
        <w:t>omb 1</w:t>
      </w:r>
      <w:r w:rsidRPr="00D6101B">
        <w:rPr>
          <w:color w:val="000000"/>
        </w:rPr>
        <w:t xml:space="preserve"> (</w:t>
      </w:r>
      <w:r w:rsidRPr="00D6101B">
        <w:t>Van Effenterre 1963</w:t>
      </w:r>
      <w:r>
        <w:t>:</w:t>
      </w:r>
      <w:r w:rsidRPr="00D6101B">
        <w:t xml:space="preserve"> 127-128)</w:t>
      </w:r>
      <w:r>
        <w:t>;</w:t>
      </w:r>
      <w:r w:rsidRPr="00D6101B">
        <w:t xml:space="preserve"> </w:t>
      </w:r>
      <w:r>
        <w:t xml:space="preserve">a </w:t>
      </w:r>
      <w:r w:rsidRPr="00D6101B">
        <w:t>chamber tomb at Agios Dimitrios (Van Effenterre 1963</w:t>
      </w:r>
      <w:r>
        <w:t>:</w:t>
      </w:r>
      <w:r w:rsidRPr="00D6101B">
        <w:t xml:space="preserve"> 125-126)</w:t>
      </w:r>
      <w:r>
        <w:t>; and a</w:t>
      </w:r>
      <w:r w:rsidRPr="00D6101B">
        <w:t xml:space="preserve"> chamber tomb at Malia Arkalies (</w:t>
      </w:r>
      <w:r w:rsidRPr="00E4753D">
        <w:rPr>
          <w:i/>
        </w:rPr>
        <w:t>KChr</w:t>
      </w:r>
      <w:r w:rsidRPr="00D6101B">
        <w:t xml:space="preserve"> </w:t>
      </w:r>
      <w:r>
        <w:t xml:space="preserve">2 </w:t>
      </w:r>
      <w:r w:rsidRPr="00D6101B">
        <w:t>1948: 598; Kanta 1980: 52)</w:t>
      </w:r>
    </w:p>
    <w:p w14:paraId="64EAA186" w14:textId="77777777" w:rsidR="001A4F1A" w:rsidRPr="00D6101B" w:rsidRDefault="001A4F1A" w:rsidP="00E858EF">
      <w:pPr>
        <w:pStyle w:val="Paragrafoelenco"/>
        <w:numPr>
          <w:ilvl w:val="0"/>
          <w:numId w:val="43"/>
        </w:numPr>
        <w:suppressAutoHyphens/>
      </w:pPr>
      <w:r w:rsidRPr="00D6101B">
        <w:t xml:space="preserve">Milatos </w:t>
      </w:r>
      <w:r>
        <w:t>T</w:t>
      </w:r>
      <w:r w:rsidRPr="00D6101B">
        <w:t>omb 1 (Orsi 1890: 208-209; Kanta 1980: 125)</w:t>
      </w:r>
    </w:p>
    <w:p w14:paraId="18438A64" w14:textId="77777777" w:rsidR="001A4F1A" w:rsidRPr="00D6101B" w:rsidRDefault="001A4F1A" w:rsidP="00E858EF">
      <w:pPr>
        <w:pStyle w:val="Paragrafoelenco"/>
        <w:numPr>
          <w:ilvl w:val="0"/>
          <w:numId w:val="43"/>
        </w:numPr>
        <w:suppressAutoHyphens/>
      </w:pPr>
      <w:r>
        <w:t>A l</w:t>
      </w:r>
      <w:r w:rsidRPr="00D6101B">
        <w:t xml:space="preserve">arnax burial at </w:t>
      </w:r>
      <w:r w:rsidRPr="00D6101B">
        <w:rPr>
          <w:bCs/>
        </w:rPr>
        <w:t xml:space="preserve">Tzermiado, </w:t>
      </w:r>
      <w:r>
        <w:rPr>
          <w:bCs/>
          <w:iCs/>
        </w:rPr>
        <w:t>T</w:t>
      </w:r>
      <w:r w:rsidRPr="00D6101B">
        <w:rPr>
          <w:bCs/>
          <w:iCs/>
        </w:rPr>
        <w:t>rapeza Cave (</w:t>
      </w:r>
      <w:r w:rsidRPr="00D6101B">
        <w:rPr>
          <w:color w:val="000000"/>
        </w:rPr>
        <w:t>Pini 1968:</w:t>
      </w:r>
      <w:r>
        <w:rPr>
          <w:color w:val="000000"/>
        </w:rPr>
        <w:t xml:space="preserve"> </w:t>
      </w:r>
      <w:r w:rsidRPr="00D6101B">
        <w:rPr>
          <w:color w:val="000000"/>
        </w:rPr>
        <w:t>93, 36,</w:t>
      </w:r>
      <w:r>
        <w:rPr>
          <w:color w:val="000000"/>
        </w:rPr>
        <w:t xml:space="preserve"> </w:t>
      </w:r>
      <w:r w:rsidRPr="00D6101B">
        <w:rPr>
          <w:color w:val="000000"/>
        </w:rPr>
        <w:t>3)</w:t>
      </w:r>
    </w:p>
    <w:p w14:paraId="7220E9B4" w14:textId="77777777" w:rsidR="001A4F1A" w:rsidRPr="00D6101B" w:rsidRDefault="001A4F1A" w:rsidP="00E858EF">
      <w:pPr>
        <w:suppressAutoHyphens/>
        <w:ind w:firstLine="360"/>
      </w:pPr>
      <w:r w:rsidRPr="00D6101B">
        <w:t>Within the secure sample of tombs</w:t>
      </w:r>
      <w:r>
        <w:t>,</w:t>
      </w:r>
      <w:r w:rsidRPr="00D6101B">
        <w:t xml:space="preserve"> there </w:t>
      </w:r>
      <w:r>
        <w:t>are</w:t>
      </w:r>
      <w:r w:rsidRPr="00D6101B">
        <w:t xml:space="preserve"> cases in which there </w:t>
      </w:r>
      <w:r>
        <w:t>is</w:t>
      </w:r>
      <w:r w:rsidRPr="00D6101B">
        <w:t xml:space="preserve"> only partial information available about grave goods material</w:t>
      </w:r>
      <w:r>
        <w:t>s</w:t>
      </w:r>
      <w:r w:rsidRPr="00D6101B">
        <w:t xml:space="preserve"> (i.e. the presence of pottery is</w:t>
      </w:r>
      <w:r>
        <w:t xml:space="preserve"> only generally</w:t>
      </w:r>
      <w:r w:rsidRPr="00D6101B">
        <w:t xml:space="preserve"> attested, or only the typology of vases is </w:t>
      </w:r>
      <w:r>
        <w:t>provided</w:t>
      </w:r>
      <w:r w:rsidRPr="00D6101B">
        <w:t xml:space="preserve"> and not the detailed number of items for each type). Furthermore, some larnakes at Elounda are arranged in groups (Group 1: tombs 10-12; Group 2: tombs 13-14</w:t>
      </w:r>
      <w:r>
        <w:t xml:space="preserve">, </w:t>
      </w:r>
      <w:r w:rsidRPr="00D6101B">
        <w:t>24)</w:t>
      </w:r>
      <w:r>
        <w:t>;</w:t>
      </w:r>
      <w:r w:rsidRPr="00D6101B">
        <w:t xml:space="preserve"> consequently</w:t>
      </w:r>
      <w:r>
        <w:t>,</w:t>
      </w:r>
      <w:r w:rsidRPr="00D6101B">
        <w:t xml:space="preserve"> for the</w:t>
      </w:r>
      <w:r>
        <w:t>se</w:t>
      </w:r>
      <w:r w:rsidRPr="00D6101B">
        <w:t xml:space="preserve"> tombs</w:t>
      </w:r>
      <w:r>
        <w:t>,</w:t>
      </w:r>
      <w:r w:rsidRPr="00D6101B">
        <w:t xml:space="preserve"> it is difficult to examine chronology, burial method characteristics and </w:t>
      </w:r>
      <w:r>
        <w:t xml:space="preserve">associated </w:t>
      </w:r>
      <w:r w:rsidRPr="00D6101B">
        <w:t>grave goods (Van Effenterre 1948: 9)</w:t>
      </w:r>
      <w:r>
        <w:t>.</w:t>
      </w:r>
    </w:p>
    <w:p w14:paraId="73B29440" w14:textId="77777777" w:rsidR="001A4F1A" w:rsidRPr="00D6101B" w:rsidRDefault="001A4F1A" w:rsidP="00E858EF">
      <w:pPr>
        <w:pStyle w:val="Titolo4"/>
        <w:keepNext w:val="0"/>
        <w:keepLines w:val="0"/>
        <w:suppressAutoHyphens/>
      </w:pPr>
      <w:bookmarkStart w:id="869" w:name="_Toc389508269"/>
      <w:bookmarkStart w:id="870" w:name="_Toc517745349"/>
      <w:r w:rsidRPr="00D6101B">
        <w:t>Material types</w:t>
      </w:r>
      <w:bookmarkEnd w:id="869"/>
      <w:bookmarkEnd w:id="870"/>
    </w:p>
    <w:p w14:paraId="24EE50D1" w14:textId="77777777" w:rsidR="001A4F1A" w:rsidRPr="00D6101B" w:rsidRDefault="001A4F1A" w:rsidP="00E858EF">
      <w:pPr>
        <w:suppressAutoHyphens/>
      </w:pPr>
      <w:r w:rsidRPr="00D6101B">
        <w:t>Data concerning the material types of the assemblage</w:t>
      </w:r>
      <w:r>
        <w:t>s</w:t>
      </w:r>
      <w:r w:rsidRPr="00D6101B">
        <w:t xml:space="preserve"> </w:t>
      </w:r>
      <w:r>
        <w:t>are</w:t>
      </w:r>
      <w:r w:rsidRPr="00D6101B">
        <w:t xml:space="preserve"> summarised in th</w:t>
      </w:r>
      <w:r>
        <w:t>e</w:t>
      </w:r>
      <w:r w:rsidRPr="00D6101B">
        <w:t xml:space="preserve"> graph</w:t>
      </w:r>
      <w:r>
        <w:t>, below</w:t>
      </w:r>
      <w:r w:rsidRPr="00D6101B">
        <w:t>:</w:t>
      </w:r>
    </w:p>
    <w:p w14:paraId="659F1540" w14:textId="77777777" w:rsidR="001A4F1A" w:rsidRPr="00D6101B" w:rsidRDefault="001A4F1A" w:rsidP="00E858EF">
      <w:pPr>
        <w:pStyle w:val="Paragrafoelenco"/>
        <w:suppressAutoHyphens/>
      </w:pPr>
    </w:p>
    <w:p w14:paraId="22FF225A" w14:textId="77777777" w:rsidR="001A4F1A" w:rsidRPr="00D6101B" w:rsidRDefault="001A4F1A" w:rsidP="00E858EF">
      <w:pPr>
        <w:pStyle w:val="Paragrafoelenco"/>
        <w:suppressAutoHyphens/>
        <w:ind w:hanging="720"/>
      </w:pPr>
      <w:r>
        <w:rPr>
          <w:noProof/>
          <w:lang w:val="it-IT"/>
        </w:rPr>
        <w:drawing>
          <wp:inline distT="0" distB="0" distL="0" distR="0" wp14:anchorId="080B403A" wp14:editId="4C7274F2">
            <wp:extent cx="5504786" cy="3024000"/>
            <wp:effectExtent l="0" t="0" r="1270" b="5080"/>
            <wp:docPr id="96" name="Grafico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30D591F7" w14:textId="22052976" w:rsidR="001A4F1A" w:rsidRDefault="001A4F1A" w:rsidP="00E858EF">
      <w:pPr>
        <w:pStyle w:val="Didascalia"/>
        <w:suppressAutoHyphens/>
      </w:pPr>
      <w:bookmarkStart w:id="871" w:name="_Toc520212385"/>
      <w:r>
        <w:t>Figure 4-47</w:t>
      </w:r>
      <w:r w:rsidR="00D1495A">
        <w:t>.</w:t>
      </w:r>
      <w:r>
        <w:t xml:space="preserve"> </w:t>
      </w:r>
      <w:r w:rsidR="005C1410" w:rsidRPr="00AD12E3">
        <w:t>M</w:t>
      </w:r>
      <w:r w:rsidRPr="00AD12E3">
        <w:t xml:space="preserve">aterial types </w:t>
      </w:r>
      <w:r w:rsidR="005C1410" w:rsidRPr="00AD12E3">
        <w:t>occurrence</w:t>
      </w:r>
      <w:r w:rsidR="00D1495A">
        <w:t>,</w:t>
      </w:r>
      <w:r w:rsidRPr="00AD12E3">
        <w:t xml:space="preserve"> Mid-East area</w:t>
      </w:r>
      <w:bookmarkEnd w:id="871"/>
    </w:p>
    <w:p w14:paraId="0C4D7E36" w14:textId="77777777" w:rsidR="001A4F1A" w:rsidRPr="00D6101B" w:rsidRDefault="001A4F1A" w:rsidP="00E858EF">
      <w:pPr>
        <w:pStyle w:val="Paragrafoelenco"/>
        <w:suppressAutoHyphens/>
      </w:pPr>
    </w:p>
    <w:p w14:paraId="13EF8A0D" w14:textId="77777777" w:rsidR="001A4F1A" w:rsidRPr="00D6101B" w:rsidRDefault="001A4F1A" w:rsidP="00E858EF">
      <w:pPr>
        <w:suppressAutoHyphens/>
        <w:ind w:firstLine="708"/>
      </w:pPr>
      <w:r w:rsidRPr="00D6101B">
        <w:t xml:space="preserve">The most common material type in </w:t>
      </w:r>
      <w:r>
        <w:t>the Mid-East</w:t>
      </w:r>
      <w:r w:rsidRPr="00D6101B">
        <w:t xml:space="preserve"> area is </w:t>
      </w:r>
      <w:r>
        <w:t>pottery,</w:t>
      </w:r>
      <w:r w:rsidRPr="00D6101B">
        <w:t xml:space="preserve"> which </w:t>
      </w:r>
      <w:r>
        <w:t>was present</w:t>
      </w:r>
      <w:r w:rsidRPr="00D6101B">
        <w:t xml:space="preserve"> in 95% of the tombs. In the remaining 5%, no </w:t>
      </w:r>
      <w:r>
        <w:t>pottery</w:t>
      </w:r>
      <w:r w:rsidRPr="00D6101B">
        <w:t xml:space="preserve"> materials </w:t>
      </w:r>
      <w:r>
        <w:t>were found</w:t>
      </w:r>
      <w:r w:rsidRPr="00D6101B">
        <w:t xml:space="preserve"> (</w:t>
      </w:r>
      <w:r>
        <w:t>two</w:t>
      </w:r>
      <w:r w:rsidRPr="00D6101B">
        <w:t xml:space="preserve"> tombs at Elounda). Within the percentage of tombs </w:t>
      </w:r>
      <w:r>
        <w:t>for which</w:t>
      </w:r>
      <w:r w:rsidRPr="00D6101B">
        <w:t xml:space="preserve"> </w:t>
      </w:r>
      <w:r>
        <w:t>pottery</w:t>
      </w:r>
      <w:r w:rsidRPr="00D6101B">
        <w:t xml:space="preserve"> has been attested, </w:t>
      </w:r>
      <w:r>
        <w:t>for example,</w:t>
      </w:r>
      <w:r w:rsidRPr="00D6101B">
        <w:t xml:space="preserve"> </w:t>
      </w:r>
      <w:r>
        <w:t>T</w:t>
      </w:r>
      <w:r w:rsidRPr="00D6101B">
        <w:t>omb 3 at Milatos (</w:t>
      </w:r>
      <w:r w:rsidRPr="0099207A">
        <w:t>Xanthoudides 1920-1921a</w:t>
      </w:r>
      <w:r w:rsidRPr="0099207A" w:rsidDel="008A29CB">
        <w:rPr>
          <w:iCs/>
        </w:rPr>
        <w:t xml:space="preserve"> </w:t>
      </w:r>
      <w:r w:rsidRPr="0099207A">
        <w:t>54-157</w:t>
      </w:r>
      <w:r w:rsidRPr="00D6101B">
        <w:t>; Kanta 1980: 127-128) and one of the tomb</w:t>
      </w:r>
      <w:r>
        <w:t>s</w:t>
      </w:r>
      <w:r w:rsidRPr="00D6101B">
        <w:t xml:space="preserve"> found </w:t>
      </w:r>
      <w:r>
        <w:t>at Malia Agia Pelagia (</w:t>
      </w:r>
      <w:r w:rsidRPr="0099207A">
        <w:rPr>
          <w:i/>
        </w:rPr>
        <w:t>KChr</w:t>
      </w:r>
      <w:r w:rsidRPr="00D6101B">
        <w:t xml:space="preserve"> </w:t>
      </w:r>
      <w:r>
        <w:t xml:space="preserve">1 </w:t>
      </w:r>
      <w:r w:rsidRPr="00D6101B">
        <w:t>1947: 633-634; Kanta 1980: 52)</w:t>
      </w:r>
      <w:r>
        <w:t>,</w:t>
      </w:r>
      <w:r w:rsidRPr="00D6101B">
        <w:t xml:space="preserve"> the only information available concerns the presence of </w:t>
      </w:r>
      <w:r>
        <w:t>pottery</w:t>
      </w:r>
      <w:r w:rsidRPr="00D6101B">
        <w:t xml:space="preserve"> material</w:t>
      </w:r>
      <w:r>
        <w:t>,</w:t>
      </w:r>
      <w:r w:rsidRPr="00D6101B">
        <w:t xml:space="preserve"> but no type or number of items </w:t>
      </w:r>
      <w:r>
        <w:t>is</w:t>
      </w:r>
      <w:r w:rsidRPr="00D6101B">
        <w:t xml:space="preserve"> specified.</w:t>
      </w:r>
    </w:p>
    <w:p w14:paraId="678FE38C" w14:textId="77777777" w:rsidR="001A4F1A" w:rsidRPr="00D6101B" w:rsidRDefault="001A4F1A" w:rsidP="00E858EF">
      <w:pPr>
        <w:suppressAutoHyphens/>
      </w:pPr>
      <w:r>
        <w:tab/>
      </w:r>
      <w:r w:rsidRPr="00D6101B">
        <w:t xml:space="preserve">The other most common materials registered are stone and bronze, which occur respectively in 12 and 9 tombs. The evidence concerning the </w:t>
      </w:r>
      <w:r>
        <w:t>presence</w:t>
      </w:r>
      <w:r w:rsidRPr="00D6101B">
        <w:t xml:space="preserve"> of pottery, stone and bronze items show</w:t>
      </w:r>
      <w:r>
        <w:t xml:space="preserve"> that ceramic is the most common material type</w:t>
      </w:r>
      <w:r w:rsidRPr="00D6101B">
        <w:t xml:space="preserve">. Precious materials </w:t>
      </w:r>
      <w:r>
        <w:t>such as</w:t>
      </w:r>
      <w:r w:rsidRPr="00D6101B">
        <w:t xml:space="preserve"> gold and ivory </w:t>
      </w:r>
      <w:r>
        <w:t>were present</w:t>
      </w:r>
      <w:r w:rsidRPr="00D6101B">
        <w:t xml:space="preserve"> in</w:t>
      </w:r>
      <w:r>
        <w:t xml:space="preserve"> three</w:t>
      </w:r>
      <w:r w:rsidRPr="00D6101B">
        <w:t xml:space="preserve"> tombs, </w:t>
      </w:r>
      <w:r>
        <w:t>or</w:t>
      </w:r>
      <w:r w:rsidRPr="00D6101B">
        <w:t xml:space="preserve"> 8% of the sample.</w:t>
      </w:r>
      <w:r>
        <w:t xml:space="preserve"> </w:t>
      </w:r>
      <w:r w:rsidRPr="00D6101B">
        <w:t>Bone, iron, shell, silver and wood materials have not been found</w:t>
      </w:r>
      <w:r>
        <w:t>.</w:t>
      </w:r>
      <w:r w:rsidRPr="00D6101B">
        <w:t xml:space="preserve"> </w:t>
      </w:r>
    </w:p>
    <w:p w14:paraId="16194F00" w14:textId="77777777" w:rsidR="001A4F1A" w:rsidRPr="00D6101B" w:rsidRDefault="001A4F1A" w:rsidP="00E858EF">
      <w:pPr>
        <w:suppressAutoHyphens/>
      </w:pPr>
      <w:r>
        <w:tab/>
        <w:t>Regarding</w:t>
      </w:r>
      <w:r w:rsidRPr="00D6101B">
        <w:t xml:space="preserve"> material types variety and</w:t>
      </w:r>
      <w:r>
        <w:t xml:space="preserve"> the</w:t>
      </w:r>
      <w:r w:rsidRPr="00D6101B">
        <w:t xml:space="preserve"> </w:t>
      </w:r>
      <w:r>
        <w:t>presence</w:t>
      </w:r>
      <w:r w:rsidRPr="00D6101B">
        <w:t xml:space="preserve"> of precious items, only one tomb (3%) </w:t>
      </w:r>
      <w:r>
        <w:t>had</w:t>
      </w:r>
      <w:r w:rsidRPr="00D6101B">
        <w:t xml:space="preserve"> more than </w:t>
      </w:r>
      <w:r>
        <w:t>three</w:t>
      </w:r>
      <w:r w:rsidRPr="00D6101B">
        <w:t xml:space="preserve"> items</w:t>
      </w:r>
      <w:r>
        <w:t>,</w:t>
      </w:r>
      <w:r w:rsidRPr="00D6101B">
        <w:t xml:space="preserve"> </w:t>
      </w:r>
      <w:r>
        <w:t>including</w:t>
      </w:r>
      <w:r w:rsidRPr="00D6101B">
        <w:t xml:space="preserve"> precious materials:</w:t>
      </w:r>
    </w:p>
    <w:p w14:paraId="63F85E02" w14:textId="77777777" w:rsidR="001A4F1A" w:rsidRPr="00D6101B" w:rsidRDefault="001A4F1A" w:rsidP="00E858EF">
      <w:pPr>
        <w:pStyle w:val="Paragrafoelenco"/>
        <w:numPr>
          <w:ilvl w:val="0"/>
          <w:numId w:val="51"/>
        </w:numPr>
        <w:suppressAutoHyphens/>
      </w:pPr>
      <w:r w:rsidRPr="00D6101B">
        <w:t xml:space="preserve">Milatos </w:t>
      </w:r>
      <w:r>
        <w:t>T</w:t>
      </w:r>
      <w:r w:rsidRPr="00D6101B">
        <w:t>omb 6 (amber, bronze, pottery, faience, glass, gold, ivory and stone)</w:t>
      </w:r>
    </w:p>
    <w:p w14:paraId="4A3B569B" w14:textId="77777777" w:rsidR="001A4F1A" w:rsidRPr="00D6101B" w:rsidRDefault="001A4F1A" w:rsidP="00E858EF">
      <w:pPr>
        <w:suppressAutoHyphens/>
        <w:ind w:firstLine="360"/>
      </w:pPr>
      <w:r w:rsidRPr="00D6101B">
        <w:t xml:space="preserve">Furthermore, the </w:t>
      </w:r>
      <w:r>
        <w:t>presence</w:t>
      </w:r>
      <w:r w:rsidRPr="00D6101B">
        <w:t xml:space="preserve"> of amber and ivory is confined only to this tomb.</w:t>
      </w:r>
      <w:r>
        <w:t xml:space="preserve"> </w:t>
      </w:r>
      <w:r w:rsidRPr="00D6101B">
        <w:t>In the remaining 97%</w:t>
      </w:r>
      <w:r>
        <w:t>,</w:t>
      </w:r>
      <w:r w:rsidRPr="00D6101B">
        <w:t xml:space="preserve"> only in </w:t>
      </w:r>
      <w:r>
        <w:t xml:space="preserve">one </w:t>
      </w:r>
      <w:r w:rsidRPr="00D6101B">
        <w:t>other tomb at Milatos is the presence of more than three materials</w:t>
      </w:r>
      <w:r>
        <w:t xml:space="preserve"> attested,</w:t>
      </w:r>
      <w:r w:rsidRPr="00D6101B">
        <w:t xml:space="preserve"> </w:t>
      </w:r>
      <w:r>
        <w:t>but none of these</w:t>
      </w:r>
      <w:r w:rsidRPr="00D6101B">
        <w:t xml:space="preserve"> </w:t>
      </w:r>
      <w:r>
        <w:t>are</w:t>
      </w:r>
      <w:r w:rsidRPr="00D6101B">
        <w:t xml:space="preserve"> precious (Milatos </w:t>
      </w:r>
      <w:r>
        <w:t>T</w:t>
      </w:r>
      <w:r w:rsidRPr="00D6101B">
        <w:t>omb 5</w:t>
      </w:r>
      <w:r>
        <w:t>:</w:t>
      </w:r>
      <w:r w:rsidRPr="00D6101B">
        <w:t xml:space="preserve"> bronze, pottery, glass and stone)</w:t>
      </w:r>
      <w:r>
        <w:t>.</w:t>
      </w:r>
      <w:r w:rsidRPr="00D6101B">
        <w:t xml:space="preserve"> Gold items have been found in two </w:t>
      </w:r>
      <w:r>
        <w:t xml:space="preserve">other </w:t>
      </w:r>
      <w:r w:rsidRPr="00D6101B">
        <w:t>tombs at</w:t>
      </w:r>
      <w:r>
        <w:t xml:space="preserve"> the</w:t>
      </w:r>
      <w:r w:rsidRPr="00D6101B">
        <w:t xml:space="preserve"> Elounda cemetery</w:t>
      </w:r>
      <w:r>
        <w:t>:</w:t>
      </w:r>
      <w:r w:rsidRPr="00D6101B">
        <w:t xml:space="preserve"> in </w:t>
      </w:r>
      <w:r>
        <w:t>T</w:t>
      </w:r>
      <w:r w:rsidRPr="00D6101B">
        <w:t>omb 16</w:t>
      </w:r>
      <w:r>
        <w:t>,</w:t>
      </w:r>
      <w:r w:rsidRPr="00D6101B">
        <w:t xml:space="preserve"> a gold ring </w:t>
      </w:r>
      <w:r>
        <w:t>was found</w:t>
      </w:r>
      <w:r w:rsidRPr="00D6101B">
        <w:t xml:space="preserve"> along with beads</w:t>
      </w:r>
      <w:r>
        <w:t>;</w:t>
      </w:r>
      <w:r w:rsidRPr="00D6101B">
        <w:t xml:space="preserve"> and in </w:t>
      </w:r>
      <w:r>
        <w:t>T</w:t>
      </w:r>
      <w:r w:rsidRPr="00D6101B">
        <w:t>omb 22</w:t>
      </w:r>
      <w:r>
        <w:t>,</w:t>
      </w:r>
      <w:r w:rsidRPr="00D6101B">
        <w:t xml:space="preserve"> another ring </w:t>
      </w:r>
      <w:r>
        <w:t>was found</w:t>
      </w:r>
      <w:r w:rsidRPr="00D6101B">
        <w:t xml:space="preserve"> along with a number of pottery vases and bronze items, mainly weapons (</w:t>
      </w:r>
      <w:r>
        <w:t>two</w:t>
      </w:r>
      <w:r w:rsidRPr="00D6101B">
        <w:t xml:space="preserve"> kni</w:t>
      </w:r>
      <w:r>
        <w:t>v</w:t>
      </w:r>
      <w:r w:rsidRPr="00D6101B">
        <w:t>es and a sword blade)</w:t>
      </w:r>
      <w:r>
        <w:t>,</w:t>
      </w:r>
      <w:r w:rsidRPr="00D6101B">
        <w:t xml:space="preserve"> and a mirror.</w:t>
      </w:r>
    </w:p>
    <w:p w14:paraId="13F52513" w14:textId="77777777" w:rsidR="001A4F1A" w:rsidRPr="00D6101B" w:rsidRDefault="001A4F1A" w:rsidP="00E858EF">
      <w:pPr>
        <w:pStyle w:val="Titolo4"/>
        <w:keepNext w:val="0"/>
        <w:keepLines w:val="0"/>
        <w:suppressAutoHyphens/>
      </w:pPr>
      <w:bookmarkStart w:id="872" w:name="_Toc389508270"/>
      <w:bookmarkStart w:id="873" w:name="_Toc517745350"/>
      <w:r w:rsidRPr="00D6101B">
        <w:t>No</w:t>
      </w:r>
      <w:r>
        <w:t>n-ceramic</w:t>
      </w:r>
      <w:r w:rsidRPr="00D6101B">
        <w:t xml:space="preserve"> artefacts</w:t>
      </w:r>
      <w:bookmarkEnd w:id="872"/>
      <w:bookmarkEnd w:id="873"/>
    </w:p>
    <w:p w14:paraId="3E9BFD9A" w14:textId="77777777" w:rsidR="001A4F1A" w:rsidRPr="00D6101B" w:rsidRDefault="001A4F1A" w:rsidP="00E858EF">
      <w:pPr>
        <w:suppressAutoHyphens/>
      </w:pPr>
      <w:r w:rsidRPr="00D6101B">
        <w:t>The presence of no</w:t>
      </w:r>
      <w:r>
        <w:t>n-ceramic</w:t>
      </w:r>
      <w:r w:rsidRPr="00D6101B">
        <w:t xml:space="preserve"> artefacts has been registered in almost half of the sample</w:t>
      </w:r>
      <w:r>
        <w:t xml:space="preserve"> (49%)</w:t>
      </w:r>
      <w:r w:rsidRPr="00D6101B">
        <w:t xml:space="preserve"> of tombs for which there </w:t>
      </w:r>
      <w:r>
        <w:t>is</w:t>
      </w:r>
      <w:r w:rsidRPr="00D6101B">
        <w:t xml:space="preserve"> information about grave good</w:t>
      </w:r>
      <w:r>
        <w:t>s</w:t>
      </w:r>
      <w:r w:rsidRPr="00D6101B">
        <w:t xml:space="preserve"> assemblage</w:t>
      </w:r>
      <w:r>
        <w:t>s (</w:t>
      </w:r>
      <w:r w:rsidRPr="00D6101B">
        <w:t>18 tombs</w:t>
      </w:r>
      <w:r>
        <w:t>).</w:t>
      </w:r>
      <w:r w:rsidRPr="00D6101B">
        <w:t xml:space="preserve"> Within this sample</w:t>
      </w:r>
      <w:r>
        <w:t>,</w:t>
      </w:r>
      <w:r w:rsidRPr="00D6101B">
        <w:t xml:space="preserve"> two tombs at Elounda (tomb</w:t>
      </w:r>
      <w:r>
        <w:t>s</w:t>
      </w:r>
      <w:r w:rsidRPr="00D6101B">
        <w:t xml:space="preserve"> 15 and 16) </w:t>
      </w:r>
      <w:r>
        <w:t>only contained</w:t>
      </w:r>
      <w:r w:rsidRPr="00D6101B">
        <w:t xml:space="preserve"> </w:t>
      </w:r>
      <w:r>
        <w:t>non-ceramic</w:t>
      </w:r>
      <w:r w:rsidRPr="00D6101B">
        <w:t xml:space="preserve"> artefacts (</w:t>
      </w:r>
      <w:r>
        <w:t xml:space="preserve">i.e. </w:t>
      </w:r>
      <w:r w:rsidRPr="00D6101B">
        <w:t xml:space="preserve">no </w:t>
      </w:r>
      <w:r>
        <w:t>pottery</w:t>
      </w:r>
      <w:r w:rsidRPr="00D6101B">
        <w:t xml:space="preserve"> items </w:t>
      </w:r>
      <w:r>
        <w:t xml:space="preserve">were </w:t>
      </w:r>
      <w:r w:rsidRPr="00D6101B">
        <w:t xml:space="preserve">found within their grave goods assemblage). </w:t>
      </w:r>
    </w:p>
    <w:p w14:paraId="015CE387" w14:textId="77777777" w:rsidR="001A4F1A" w:rsidRPr="00D6101B" w:rsidRDefault="001A4F1A" w:rsidP="00E858EF">
      <w:pPr>
        <w:suppressAutoHyphens/>
      </w:pPr>
      <w:r>
        <w:tab/>
      </w:r>
      <w:r w:rsidRPr="00D6101B">
        <w:t xml:space="preserve">The item with the highest occurrence </w:t>
      </w:r>
      <w:r>
        <w:t>is</w:t>
      </w:r>
      <w:r w:rsidRPr="00D6101B">
        <w:t xml:space="preserve"> beads, found within </w:t>
      </w:r>
      <w:r>
        <w:t xml:space="preserve">the </w:t>
      </w:r>
      <w:r w:rsidRPr="00D6101B">
        <w:t>grave good</w:t>
      </w:r>
      <w:r>
        <w:t>s</w:t>
      </w:r>
      <w:r w:rsidRPr="00D6101B">
        <w:t xml:space="preserve"> assemblage</w:t>
      </w:r>
      <w:r>
        <w:t>s</w:t>
      </w:r>
      <w:r w:rsidRPr="00D6101B">
        <w:t xml:space="preserve"> of five tombs, with the highest concentration in </w:t>
      </w:r>
      <w:r>
        <w:t>T</w:t>
      </w:r>
      <w:r w:rsidRPr="00D6101B">
        <w:t xml:space="preserve">omb 16 at Elounda (50 beads </w:t>
      </w:r>
      <w:r>
        <w:t>of</w:t>
      </w:r>
      <w:r w:rsidRPr="00D6101B">
        <w:t xml:space="preserve"> 107 total beads, probably part of at least one necklace).</w:t>
      </w:r>
    </w:p>
    <w:p w14:paraId="639158B4" w14:textId="77777777" w:rsidR="001A4F1A" w:rsidRPr="00D6101B" w:rsidRDefault="001A4F1A" w:rsidP="00E858EF">
      <w:pPr>
        <w:suppressAutoHyphens/>
      </w:pPr>
      <w:r>
        <w:tab/>
        <w:t>Regarding</w:t>
      </w:r>
      <w:r w:rsidRPr="00D6101B">
        <w:t xml:space="preserve"> other items</w:t>
      </w:r>
      <w:r>
        <w:t>,</w:t>
      </w:r>
      <w:r w:rsidRPr="00D6101B">
        <w:t xml:space="preserve"> the most common are stone vessels</w:t>
      </w:r>
      <w:r>
        <w:t xml:space="preserve"> (12)</w:t>
      </w:r>
      <w:r w:rsidRPr="00D6101B">
        <w:t xml:space="preserve"> and seals</w:t>
      </w:r>
      <w:r>
        <w:t xml:space="preserve"> (7), which were present</w:t>
      </w:r>
      <w:r w:rsidRPr="00D6101B">
        <w:t xml:space="preserve"> in the same number of tomb</w:t>
      </w:r>
      <w:r>
        <w:t>s</w:t>
      </w:r>
      <w:r w:rsidRPr="00D6101B">
        <w:t xml:space="preserve">. Half of the stone vessels </w:t>
      </w:r>
      <w:r>
        <w:t xml:space="preserve">were </w:t>
      </w:r>
      <w:r w:rsidRPr="00D6101B">
        <w:t xml:space="preserve">concentrated in </w:t>
      </w:r>
      <w:r>
        <w:t>T</w:t>
      </w:r>
      <w:r w:rsidRPr="00D6101B">
        <w:t xml:space="preserve">omb 6 at Milatos, while </w:t>
      </w:r>
      <w:r>
        <w:t xml:space="preserve">the </w:t>
      </w:r>
      <w:r w:rsidRPr="00D6101B">
        <w:t>seals appear to be almost proportionally distributed.</w:t>
      </w:r>
      <w:r>
        <w:t xml:space="preserve"> </w:t>
      </w:r>
      <w:r w:rsidRPr="00D6101B">
        <w:t xml:space="preserve">The other items </w:t>
      </w:r>
      <w:r>
        <w:t>numbering</w:t>
      </w:r>
      <w:r w:rsidRPr="00D6101B">
        <w:t xml:space="preserve"> </w:t>
      </w:r>
      <w:r>
        <w:t>five</w:t>
      </w:r>
      <w:r w:rsidRPr="00D6101B">
        <w:t xml:space="preserve"> are combs, kni</w:t>
      </w:r>
      <w:r>
        <w:t>v</w:t>
      </w:r>
      <w:r w:rsidRPr="00D6101B">
        <w:t xml:space="preserve">es and whorls. </w:t>
      </w:r>
      <w:r>
        <w:t>The f</w:t>
      </w:r>
      <w:r w:rsidRPr="00D6101B">
        <w:t xml:space="preserve">ive combs </w:t>
      </w:r>
      <w:r>
        <w:t>were</w:t>
      </w:r>
      <w:r w:rsidRPr="00D6101B">
        <w:t xml:space="preserve"> all </w:t>
      </w:r>
      <w:r>
        <w:t>found</w:t>
      </w:r>
      <w:r w:rsidRPr="00D6101B">
        <w:t xml:space="preserve"> in </w:t>
      </w:r>
      <w:r>
        <w:t>T</w:t>
      </w:r>
      <w:r w:rsidRPr="00D6101B">
        <w:t xml:space="preserve">omb 6 at Milatos, while </w:t>
      </w:r>
      <w:r>
        <w:t>three</w:t>
      </w:r>
      <w:r w:rsidRPr="00D6101B">
        <w:t xml:space="preserve"> whorls </w:t>
      </w:r>
      <w:r>
        <w:t>out of</w:t>
      </w:r>
      <w:r w:rsidRPr="00D6101B">
        <w:t xml:space="preserve"> </w:t>
      </w:r>
      <w:r>
        <w:t>five</w:t>
      </w:r>
      <w:r w:rsidRPr="00D6101B">
        <w:t xml:space="preserve"> </w:t>
      </w:r>
      <w:r>
        <w:t xml:space="preserve">were </w:t>
      </w:r>
      <w:r w:rsidRPr="00D6101B">
        <w:t xml:space="preserve">found at Karphi ta Mnimata </w:t>
      </w:r>
      <w:r>
        <w:t>T</w:t>
      </w:r>
      <w:r w:rsidRPr="00D6101B">
        <w:t>omb 1</w:t>
      </w:r>
      <w:r>
        <w:t xml:space="preserve"> (the other two whorls have been found in two different tombs at Elounda)</w:t>
      </w:r>
      <w:r w:rsidRPr="00D6101B">
        <w:t xml:space="preserve">. </w:t>
      </w:r>
      <w:r>
        <w:t>The k</w:t>
      </w:r>
      <w:r w:rsidRPr="00D6101B">
        <w:t>ni</w:t>
      </w:r>
      <w:r>
        <w:t>v</w:t>
      </w:r>
      <w:r w:rsidRPr="00D6101B">
        <w:t xml:space="preserve">es </w:t>
      </w:r>
      <w:r>
        <w:t>were</w:t>
      </w:r>
      <w:r w:rsidRPr="00D6101B">
        <w:t xml:space="preserve"> proportionally distributed </w:t>
      </w:r>
      <w:r>
        <w:t>among</w:t>
      </w:r>
      <w:r w:rsidRPr="00D6101B">
        <w:t xml:space="preserve"> </w:t>
      </w:r>
      <w:r>
        <w:t>four</w:t>
      </w:r>
      <w:r w:rsidRPr="00D6101B">
        <w:t xml:space="preserve"> tombs.</w:t>
      </w:r>
      <w:r>
        <w:t xml:space="preserve"> </w:t>
      </w:r>
      <w:r w:rsidRPr="00D6101B">
        <w:t xml:space="preserve">Tomb 6 at Milatos </w:t>
      </w:r>
      <w:r>
        <w:t>had</w:t>
      </w:r>
      <w:r w:rsidRPr="00D6101B">
        <w:t xml:space="preserve"> the highe</w:t>
      </w:r>
      <w:r>
        <w:t>st</w:t>
      </w:r>
      <w:r w:rsidRPr="00D6101B">
        <w:t xml:space="preserve"> concentration (</w:t>
      </w:r>
      <w:r>
        <w:t xml:space="preserve">both in </w:t>
      </w:r>
      <w:r w:rsidRPr="00D6101B">
        <w:t xml:space="preserve">number and variety) of </w:t>
      </w:r>
      <w:r>
        <w:t>non-ceramic</w:t>
      </w:r>
      <w:r w:rsidRPr="00D6101B">
        <w:t xml:space="preserve"> material in</w:t>
      </w:r>
      <w:r>
        <w:t xml:space="preserve"> the</w:t>
      </w:r>
      <w:r w:rsidRPr="00D6101B">
        <w:t xml:space="preserve"> </w:t>
      </w:r>
      <w:r>
        <w:t>Mid-East</w:t>
      </w:r>
      <w:r w:rsidRPr="00D6101B">
        <w:t xml:space="preserve"> region.</w:t>
      </w:r>
      <w:r>
        <w:t xml:space="preserve"> However, </w:t>
      </w:r>
      <w:r w:rsidRPr="00D6101B">
        <w:t xml:space="preserve">Tomb 22 at Elounda </w:t>
      </w:r>
      <w:r>
        <w:t>had</w:t>
      </w:r>
      <w:r w:rsidRPr="00D6101B">
        <w:t xml:space="preserve"> a relative</w:t>
      </w:r>
      <w:r>
        <w:t>ly</w:t>
      </w:r>
      <w:r w:rsidRPr="00D6101B">
        <w:t xml:space="preserve"> higher concentration of weapons (</w:t>
      </w:r>
      <w:r>
        <w:t>two</w:t>
      </w:r>
      <w:r w:rsidRPr="00D6101B">
        <w:t xml:space="preserve"> knives and </w:t>
      </w:r>
      <w:r>
        <w:t>one</w:t>
      </w:r>
      <w:r w:rsidRPr="00D6101B">
        <w:t xml:space="preserve"> sword blade).</w:t>
      </w:r>
    </w:p>
    <w:p w14:paraId="5A04E71A" w14:textId="77777777" w:rsidR="001A4F1A" w:rsidRDefault="001A4F1A" w:rsidP="00E858EF">
      <w:pPr>
        <w:suppressAutoHyphens/>
      </w:pPr>
      <w:r>
        <w:tab/>
      </w:r>
      <w:r w:rsidRPr="00D6101B">
        <w:t>Unfortunately</w:t>
      </w:r>
      <w:r>
        <w:t>,</w:t>
      </w:r>
      <w:r w:rsidRPr="00D6101B">
        <w:t xml:space="preserve"> there </w:t>
      </w:r>
      <w:r>
        <w:t>are</w:t>
      </w:r>
      <w:r w:rsidRPr="00D6101B">
        <w:t xml:space="preserve"> only partial data concerning the assemblage of </w:t>
      </w:r>
      <w:r>
        <w:t>T</w:t>
      </w:r>
      <w:r w:rsidRPr="00D6101B">
        <w:t xml:space="preserve">omb C at Kritsa Lakkoi, but even if </w:t>
      </w:r>
      <w:r>
        <w:t>the types</w:t>
      </w:r>
      <w:r w:rsidRPr="00D6101B">
        <w:t xml:space="preserve"> and </w:t>
      </w:r>
      <w:r>
        <w:t xml:space="preserve">the </w:t>
      </w:r>
      <w:r w:rsidRPr="00D6101B">
        <w:t>number are not available</w:t>
      </w:r>
      <w:r>
        <w:t>,</w:t>
      </w:r>
      <w:r w:rsidRPr="00D6101B">
        <w:t xml:space="preserve"> there </w:t>
      </w:r>
      <w:r>
        <w:t>is</w:t>
      </w:r>
      <w:r w:rsidRPr="00D6101B">
        <w:t xml:space="preserve"> information about </w:t>
      </w:r>
      <w:r>
        <w:t xml:space="preserve">the </w:t>
      </w:r>
      <w:r w:rsidRPr="00D6101B">
        <w:t>metal and stone tools found in association with one of the two larnax burials in this tomb</w:t>
      </w:r>
      <w:r>
        <w:t>. This burial</w:t>
      </w:r>
      <w:r w:rsidRPr="00D6101B">
        <w:t xml:space="preserve"> </w:t>
      </w:r>
      <w:r>
        <w:t>was</w:t>
      </w:r>
      <w:r w:rsidRPr="00D6101B">
        <w:t xml:space="preserve"> associated with metal working by the excavator (Tsipopoulou</w:t>
      </w:r>
      <w:r>
        <w:t xml:space="preserve"> and</w:t>
      </w:r>
      <w:r w:rsidRPr="00D6101B">
        <w:t xml:space="preserve"> Vagnetti 2006: 204, 208) (the only item reported in association with this burial </w:t>
      </w:r>
      <w:r>
        <w:t>is</w:t>
      </w:r>
      <w:r w:rsidRPr="00D6101B">
        <w:t xml:space="preserve"> a bronze arched fibula and a rolled head pin, but full publication </w:t>
      </w:r>
      <w:r>
        <w:t xml:space="preserve">is, </w:t>
      </w:r>
      <w:r w:rsidRPr="00D6101B">
        <w:t>unfortunately</w:t>
      </w:r>
      <w:r>
        <w:t>,</w:t>
      </w:r>
      <w:r w:rsidRPr="00D6101B">
        <w:t xml:space="preserve"> </w:t>
      </w:r>
      <w:r>
        <w:t>un</w:t>
      </w:r>
      <w:r w:rsidRPr="00D6101B">
        <w:t>available).</w:t>
      </w:r>
    </w:p>
    <w:p w14:paraId="0922C377" w14:textId="77777777" w:rsidR="001A4F1A" w:rsidRPr="00D6101B" w:rsidRDefault="001A4F1A" w:rsidP="00E858EF">
      <w:pPr>
        <w:suppressAutoHyphens/>
        <w:ind w:firstLine="708"/>
      </w:pPr>
      <w:r w:rsidRPr="00D6101B">
        <w:t xml:space="preserve">The </w:t>
      </w:r>
      <w:r>
        <w:t>non-ceramic</w:t>
      </w:r>
      <w:r w:rsidRPr="00D6101B">
        <w:t xml:space="preserve"> </w:t>
      </w:r>
      <w:r>
        <w:t xml:space="preserve">item </w:t>
      </w:r>
      <w:r w:rsidRPr="00D6101B">
        <w:t xml:space="preserve">types not found in </w:t>
      </w:r>
      <w:r>
        <w:t xml:space="preserve">grave goods assemblages in </w:t>
      </w:r>
      <w:r w:rsidRPr="00D6101B">
        <w:t>secure tombs with larnakes</w:t>
      </w:r>
      <w:r>
        <w:t xml:space="preserve"> in Mesara area </w:t>
      </w:r>
      <w:r w:rsidRPr="00D6101B">
        <w:t>are</w:t>
      </w:r>
      <w:r>
        <w:t xml:space="preserve"> bracelet and arrowhead.</w:t>
      </w:r>
    </w:p>
    <w:p w14:paraId="15B158BE" w14:textId="77777777" w:rsidR="001A4F1A" w:rsidRDefault="001A4F1A" w:rsidP="00E858EF">
      <w:pPr>
        <w:suppressAutoHyphens/>
      </w:pPr>
    </w:p>
    <w:p w14:paraId="4FA62074" w14:textId="16BF8ABE" w:rsidR="001A4F1A" w:rsidRPr="00D6101B" w:rsidRDefault="001A4F1A" w:rsidP="00E858EF">
      <w:pPr>
        <w:pStyle w:val="Testofumetto"/>
        <w:suppressAutoHyphens/>
      </w:pPr>
      <w:bookmarkStart w:id="874" w:name="_Toc520212619"/>
      <w:r>
        <w:t>Table 4-44</w:t>
      </w:r>
      <w:r w:rsidR="000B7180">
        <w:t>.</w:t>
      </w:r>
      <w:r>
        <w:t xml:space="preserve"> Beads occurrence</w:t>
      </w:r>
      <w:r w:rsidR="0001663C">
        <w:t>,</w:t>
      </w:r>
      <w:r>
        <w:t xml:space="preserve"> Mid-East area</w:t>
      </w:r>
      <w:bookmarkEnd w:id="87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7"/>
        <w:gridCol w:w="3257"/>
      </w:tblGrid>
      <w:tr w:rsidR="001A4F1A" w:rsidRPr="00114B76" w14:paraId="69BA2D45" w14:textId="77777777" w:rsidTr="00481EA2">
        <w:tc>
          <w:tcPr>
            <w:tcW w:w="3257" w:type="dxa"/>
          </w:tcPr>
          <w:p w14:paraId="3337DB28" w14:textId="77777777" w:rsidR="001A4F1A" w:rsidRPr="00114B76" w:rsidRDefault="001A4F1A" w:rsidP="00E858EF">
            <w:pPr>
              <w:suppressAutoHyphens/>
              <w:rPr>
                <w:sz w:val="20"/>
              </w:rPr>
            </w:pPr>
          </w:p>
        </w:tc>
        <w:tc>
          <w:tcPr>
            <w:tcW w:w="3257" w:type="dxa"/>
          </w:tcPr>
          <w:p w14:paraId="14570727" w14:textId="7F08E9B0" w:rsidR="001A4F1A" w:rsidRPr="00114B76" w:rsidRDefault="001A4F1A" w:rsidP="00E858EF">
            <w:pPr>
              <w:suppressAutoHyphens/>
              <w:jc w:val="center"/>
              <w:rPr>
                <w:sz w:val="20"/>
              </w:rPr>
            </w:pPr>
            <w:r w:rsidRPr="00114B76">
              <w:rPr>
                <w:rFonts w:eastAsia="Times New Roman"/>
                <w:color w:val="000000"/>
                <w:sz w:val="20"/>
              </w:rPr>
              <w:t>Bead</w:t>
            </w:r>
            <w:r w:rsidR="00481EA2" w:rsidRPr="00114B76">
              <w:rPr>
                <w:rFonts w:eastAsia="Times New Roman"/>
                <w:color w:val="000000"/>
                <w:sz w:val="20"/>
              </w:rPr>
              <w:t>s</w:t>
            </w:r>
          </w:p>
        </w:tc>
      </w:tr>
      <w:tr w:rsidR="001A4F1A" w:rsidRPr="00114B76" w14:paraId="31BD4057" w14:textId="77777777" w:rsidTr="00481EA2">
        <w:tc>
          <w:tcPr>
            <w:tcW w:w="3257" w:type="dxa"/>
          </w:tcPr>
          <w:p w14:paraId="2667AE0F" w14:textId="77777777" w:rsidR="001A4F1A" w:rsidRPr="00114B76" w:rsidRDefault="001A4F1A" w:rsidP="00E858EF">
            <w:pPr>
              <w:suppressAutoHyphens/>
              <w:rPr>
                <w:sz w:val="20"/>
              </w:rPr>
            </w:pPr>
            <w:r w:rsidRPr="00114B76">
              <w:rPr>
                <w:sz w:val="20"/>
              </w:rPr>
              <w:t>Number of items</w:t>
            </w:r>
          </w:p>
        </w:tc>
        <w:tc>
          <w:tcPr>
            <w:tcW w:w="3257" w:type="dxa"/>
          </w:tcPr>
          <w:p w14:paraId="728D4C83" w14:textId="77777777" w:rsidR="001A4F1A" w:rsidRPr="00114B76" w:rsidRDefault="001A4F1A" w:rsidP="00E858EF">
            <w:pPr>
              <w:suppressAutoHyphens/>
              <w:jc w:val="center"/>
              <w:rPr>
                <w:sz w:val="20"/>
              </w:rPr>
            </w:pPr>
            <w:r w:rsidRPr="00114B76">
              <w:rPr>
                <w:sz w:val="20"/>
              </w:rPr>
              <w:t>107</w:t>
            </w:r>
          </w:p>
        </w:tc>
      </w:tr>
      <w:tr w:rsidR="001A4F1A" w:rsidRPr="00114B76" w14:paraId="77E01959" w14:textId="77777777" w:rsidTr="00481EA2">
        <w:tc>
          <w:tcPr>
            <w:tcW w:w="3257" w:type="dxa"/>
          </w:tcPr>
          <w:p w14:paraId="445A2219" w14:textId="77777777" w:rsidR="001A4F1A" w:rsidRPr="00114B76" w:rsidRDefault="001A4F1A" w:rsidP="00E858EF">
            <w:pPr>
              <w:suppressAutoHyphens/>
              <w:rPr>
                <w:sz w:val="20"/>
              </w:rPr>
            </w:pPr>
            <w:r w:rsidRPr="00114B76">
              <w:rPr>
                <w:sz w:val="20"/>
              </w:rPr>
              <w:t>Number of tombs</w:t>
            </w:r>
          </w:p>
        </w:tc>
        <w:tc>
          <w:tcPr>
            <w:tcW w:w="3257" w:type="dxa"/>
          </w:tcPr>
          <w:p w14:paraId="50DAE06A" w14:textId="77777777" w:rsidR="001A4F1A" w:rsidRPr="00114B76" w:rsidRDefault="001A4F1A" w:rsidP="00E858EF">
            <w:pPr>
              <w:suppressAutoHyphens/>
              <w:jc w:val="center"/>
              <w:rPr>
                <w:sz w:val="20"/>
              </w:rPr>
            </w:pPr>
            <w:r w:rsidRPr="00114B76">
              <w:rPr>
                <w:sz w:val="20"/>
              </w:rPr>
              <w:t>5</w:t>
            </w:r>
          </w:p>
        </w:tc>
      </w:tr>
    </w:tbl>
    <w:p w14:paraId="6B39592D" w14:textId="77777777" w:rsidR="001A4F1A" w:rsidRPr="00D6101B" w:rsidRDefault="001A4F1A" w:rsidP="00E858EF">
      <w:pPr>
        <w:suppressAutoHyphens/>
      </w:pPr>
    </w:p>
    <w:p w14:paraId="121EF847" w14:textId="4D3A4BCD" w:rsidR="001A4F1A" w:rsidRPr="00D6101B" w:rsidRDefault="001A4F1A" w:rsidP="00E858EF">
      <w:pPr>
        <w:pStyle w:val="Testofumetto"/>
        <w:suppressAutoHyphens/>
      </w:pPr>
      <w:bookmarkStart w:id="875" w:name="_Toc520212620"/>
      <w:r>
        <w:t>Table 4-45</w:t>
      </w:r>
      <w:r w:rsidR="000B7180">
        <w:t>.</w:t>
      </w:r>
      <w:r>
        <w:t xml:space="preserve"> Most common non-ceramic item types</w:t>
      </w:r>
      <w:r w:rsidR="0001663C">
        <w:t>,</w:t>
      </w:r>
      <w:r>
        <w:t xml:space="preserve"> Mid-East area</w:t>
      </w:r>
      <w:bookmarkEnd w:id="87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935"/>
        <w:gridCol w:w="936"/>
        <w:gridCol w:w="935"/>
        <w:gridCol w:w="936"/>
        <w:gridCol w:w="936"/>
      </w:tblGrid>
      <w:tr w:rsidR="001A4F1A" w:rsidRPr="00114B76" w14:paraId="7FDDD136" w14:textId="77777777" w:rsidTr="00114B76">
        <w:tc>
          <w:tcPr>
            <w:tcW w:w="1843" w:type="dxa"/>
          </w:tcPr>
          <w:p w14:paraId="4927890B" w14:textId="77777777" w:rsidR="001A4F1A" w:rsidRPr="00114B76" w:rsidRDefault="001A4F1A" w:rsidP="00E858EF">
            <w:pPr>
              <w:suppressAutoHyphens/>
              <w:rPr>
                <w:sz w:val="20"/>
              </w:rPr>
            </w:pPr>
          </w:p>
        </w:tc>
        <w:tc>
          <w:tcPr>
            <w:tcW w:w="935" w:type="dxa"/>
          </w:tcPr>
          <w:p w14:paraId="6F0A256F" w14:textId="13FA07C4" w:rsidR="001A4F1A" w:rsidRPr="00114B76" w:rsidRDefault="001A4F1A" w:rsidP="00E858EF">
            <w:pPr>
              <w:suppressAutoHyphens/>
              <w:jc w:val="center"/>
              <w:rPr>
                <w:rFonts w:eastAsia="Times New Roman"/>
                <w:b/>
                <w:bCs/>
                <w:color w:val="000000"/>
                <w:sz w:val="20"/>
              </w:rPr>
            </w:pPr>
            <w:r w:rsidRPr="00114B76">
              <w:rPr>
                <w:rFonts w:eastAsia="Times New Roman"/>
                <w:color w:val="000000"/>
                <w:sz w:val="20"/>
              </w:rPr>
              <w:t>Stone vessel</w:t>
            </w:r>
          </w:p>
        </w:tc>
        <w:tc>
          <w:tcPr>
            <w:tcW w:w="936" w:type="dxa"/>
          </w:tcPr>
          <w:p w14:paraId="734B15B2" w14:textId="77777777" w:rsidR="001A4F1A" w:rsidRPr="00114B76" w:rsidRDefault="001A4F1A" w:rsidP="00E858EF">
            <w:pPr>
              <w:suppressAutoHyphens/>
              <w:jc w:val="center"/>
              <w:rPr>
                <w:sz w:val="20"/>
              </w:rPr>
            </w:pPr>
            <w:r w:rsidRPr="00114B76">
              <w:rPr>
                <w:rFonts w:eastAsia="Times New Roman"/>
                <w:color w:val="000000"/>
                <w:sz w:val="20"/>
              </w:rPr>
              <w:t>Seal</w:t>
            </w:r>
          </w:p>
        </w:tc>
        <w:tc>
          <w:tcPr>
            <w:tcW w:w="935" w:type="dxa"/>
          </w:tcPr>
          <w:p w14:paraId="228C4FF7" w14:textId="77777777"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Comb</w:t>
            </w:r>
          </w:p>
        </w:tc>
        <w:tc>
          <w:tcPr>
            <w:tcW w:w="936" w:type="dxa"/>
          </w:tcPr>
          <w:p w14:paraId="09D30AFE" w14:textId="7A08A35F"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Knife</w:t>
            </w:r>
          </w:p>
        </w:tc>
        <w:tc>
          <w:tcPr>
            <w:tcW w:w="936" w:type="dxa"/>
          </w:tcPr>
          <w:p w14:paraId="005960A9" w14:textId="77777777"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Whorl</w:t>
            </w:r>
          </w:p>
        </w:tc>
      </w:tr>
      <w:tr w:rsidR="001A4F1A" w:rsidRPr="00114B76" w14:paraId="56EA0062" w14:textId="77777777" w:rsidTr="00114B76">
        <w:tc>
          <w:tcPr>
            <w:tcW w:w="1843" w:type="dxa"/>
          </w:tcPr>
          <w:p w14:paraId="7BB0100F" w14:textId="77777777" w:rsidR="001A4F1A" w:rsidRPr="00114B76" w:rsidRDefault="001A4F1A" w:rsidP="00E858EF">
            <w:pPr>
              <w:suppressAutoHyphens/>
              <w:rPr>
                <w:sz w:val="20"/>
              </w:rPr>
            </w:pPr>
            <w:r w:rsidRPr="00114B76">
              <w:rPr>
                <w:sz w:val="20"/>
              </w:rPr>
              <w:t>Number of items</w:t>
            </w:r>
          </w:p>
        </w:tc>
        <w:tc>
          <w:tcPr>
            <w:tcW w:w="935" w:type="dxa"/>
          </w:tcPr>
          <w:p w14:paraId="2C64F906" w14:textId="77777777" w:rsidR="001A4F1A" w:rsidRPr="00114B76" w:rsidRDefault="001A4F1A" w:rsidP="00E858EF">
            <w:pPr>
              <w:suppressAutoHyphens/>
              <w:jc w:val="center"/>
              <w:rPr>
                <w:sz w:val="20"/>
              </w:rPr>
            </w:pPr>
            <w:r w:rsidRPr="00114B76">
              <w:rPr>
                <w:sz w:val="20"/>
              </w:rPr>
              <w:t>12</w:t>
            </w:r>
          </w:p>
        </w:tc>
        <w:tc>
          <w:tcPr>
            <w:tcW w:w="936" w:type="dxa"/>
          </w:tcPr>
          <w:p w14:paraId="38B23279" w14:textId="77777777" w:rsidR="001A4F1A" w:rsidRPr="00114B76" w:rsidRDefault="001A4F1A" w:rsidP="00E858EF">
            <w:pPr>
              <w:suppressAutoHyphens/>
              <w:jc w:val="center"/>
              <w:rPr>
                <w:sz w:val="20"/>
              </w:rPr>
            </w:pPr>
            <w:r w:rsidRPr="00114B76">
              <w:rPr>
                <w:sz w:val="20"/>
              </w:rPr>
              <w:t>7</w:t>
            </w:r>
          </w:p>
        </w:tc>
        <w:tc>
          <w:tcPr>
            <w:tcW w:w="935" w:type="dxa"/>
          </w:tcPr>
          <w:p w14:paraId="274716E3" w14:textId="77777777" w:rsidR="001A4F1A" w:rsidRPr="00114B76" w:rsidRDefault="001A4F1A" w:rsidP="00E858EF">
            <w:pPr>
              <w:suppressAutoHyphens/>
              <w:jc w:val="center"/>
              <w:rPr>
                <w:sz w:val="20"/>
              </w:rPr>
            </w:pPr>
            <w:r w:rsidRPr="00114B76">
              <w:rPr>
                <w:sz w:val="20"/>
              </w:rPr>
              <w:t>5</w:t>
            </w:r>
          </w:p>
        </w:tc>
        <w:tc>
          <w:tcPr>
            <w:tcW w:w="936" w:type="dxa"/>
          </w:tcPr>
          <w:p w14:paraId="6D45CE84" w14:textId="77777777" w:rsidR="001A4F1A" w:rsidRPr="00114B76" w:rsidRDefault="001A4F1A" w:rsidP="00E858EF">
            <w:pPr>
              <w:suppressAutoHyphens/>
              <w:jc w:val="center"/>
              <w:rPr>
                <w:sz w:val="20"/>
              </w:rPr>
            </w:pPr>
            <w:r w:rsidRPr="00114B76">
              <w:rPr>
                <w:sz w:val="20"/>
              </w:rPr>
              <w:t>5</w:t>
            </w:r>
          </w:p>
        </w:tc>
        <w:tc>
          <w:tcPr>
            <w:tcW w:w="936" w:type="dxa"/>
          </w:tcPr>
          <w:p w14:paraId="2A1085CE" w14:textId="77777777" w:rsidR="001A4F1A" w:rsidRPr="00114B76" w:rsidRDefault="001A4F1A" w:rsidP="00E858EF">
            <w:pPr>
              <w:suppressAutoHyphens/>
              <w:jc w:val="center"/>
              <w:rPr>
                <w:sz w:val="20"/>
              </w:rPr>
            </w:pPr>
            <w:r w:rsidRPr="00114B76">
              <w:rPr>
                <w:sz w:val="20"/>
              </w:rPr>
              <w:t>5</w:t>
            </w:r>
          </w:p>
        </w:tc>
      </w:tr>
      <w:tr w:rsidR="001A4F1A" w:rsidRPr="00114B76" w14:paraId="64079921" w14:textId="77777777" w:rsidTr="00114B76">
        <w:tc>
          <w:tcPr>
            <w:tcW w:w="1843" w:type="dxa"/>
          </w:tcPr>
          <w:p w14:paraId="6A1D938E" w14:textId="77777777" w:rsidR="001A4F1A" w:rsidRPr="00114B76" w:rsidRDefault="001A4F1A" w:rsidP="00E858EF">
            <w:pPr>
              <w:suppressAutoHyphens/>
              <w:rPr>
                <w:sz w:val="20"/>
              </w:rPr>
            </w:pPr>
            <w:r w:rsidRPr="00114B76">
              <w:rPr>
                <w:sz w:val="20"/>
              </w:rPr>
              <w:t>Number of tombs</w:t>
            </w:r>
          </w:p>
        </w:tc>
        <w:tc>
          <w:tcPr>
            <w:tcW w:w="935" w:type="dxa"/>
          </w:tcPr>
          <w:p w14:paraId="0BB29444" w14:textId="77777777" w:rsidR="001A4F1A" w:rsidRPr="00114B76" w:rsidRDefault="001A4F1A" w:rsidP="00E858EF">
            <w:pPr>
              <w:suppressAutoHyphens/>
              <w:jc w:val="center"/>
              <w:rPr>
                <w:sz w:val="20"/>
              </w:rPr>
            </w:pPr>
            <w:r w:rsidRPr="00114B76">
              <w:rPr>
                <w:sz w:val="20"/>
              </w:rPr>
              <w:t>5</w:t>
            </w:r>
          </w:p>
        </w:tc>
        <w:tc>
          <w:tcPr>
            <w:tcW w:w="936" w:type="dxa"/>
          </w:tcPr>
          <w:p w14:paraId="5CEEBAD6" w14:textId="77777777" w:rsidR="001A4F1A" w:rsidRPr="00114B76" w:rsidRDefault="001A4F1A" w:rsidP="00E858EF">
            <w:pPr>
              <w:suppressAutoHyphens/>
              <w:jc w:val="center"/>
              <w:rPr>
                <w:sz w:val="20"/>
              </w:rPr>
            </w:pPr>
            <w:r w:rsidRPr="00114B76">
              <w:rPr>
                <w:sz w:val="20"/>
              </w:rPr>
              <w:t>5</w:t>
            </w:r>
          </w:p>
        </w:tc>
        <w:tc>
          <w:tcPr>
            <w:tcW w:w="935" w:type="dxa"/>
          </w:tcPr>
          <w:p w14:paraId="4D827E2E" w14:textId="77777777" w:rsidR="001A4F1A" w:rsidRPr="00114B76" w:rsidRDefault="001A4F1A" w:rsidP="00E858EF">
            <w:pPr>
              <w:suppressAutoHyphens/>
              <w:jc w:val="center"/>
              <w:rPr>
                <w:sz w:val="20"/>
              </w:rPr>
            </w:pPr>
            <w:r w:rsidRPr="00114B76">
              <w:rPr>
                <w:sz w:val="20"/>
              </w:rPr>
              <w:t>1</w:t>
            </w:r>
          </w:p>
        </w:tc>
        <w:tc>
          <w:tcPr>
            <w:tcW w:w="936" w:type="dxa"/>
          </w:tcPr>
          <w:p w14:paraId="222F8DC5" w14:textId="77777777" w:rsidR="001A4F1A" w:rsidRPr="00114B76" w:rsidRDefault="001A4F1A" w:rsidP="00E858EF">
            <w:pPr>
              <w:suppressAutoHyphens/>
              <w:jc w:val="center"/>
              <w:rPr>
                <w:sz w:val="20"/>
              </w:rPr>
            </w:pPr>
            <w:r w:rsidRPr="00114B76">
              <w:rPr>
                <w:sz w:val="20"/>
              </w:rPr>
              <w:t>4</w:t>
            </w:r>
          </w:p>
        </w:tc>
        <w:tc>
          <w:tcPr>
            <w:tcW w:w="936" w:type="dxa"/>
          </w:tcPr>
          <w:p w14:paraId="155E76FE" w14:textId="77777777" w:rsidR="001A4F1A" w:rsidRPr="00114B76" w:rsidRDefault="001A4F1A" w:rsidP="00E858EF">
            <w:pPr>
              <w:suppressAutoHyphens/>
              <w:jc w:val="center"/>
              <w:rPr>
                <w:sz w:val="20"/>
              </w:rPr>
            </w:pPr>
            <w:r w:rsidRPr="00114B76">
              <w:rPr>
                <w:sz w:val="20"/>
              </w:rPr>
              <w:t>3</w:t>
            </w:r>
          </w:p>
        </w:tc>
      </w:tr>
    </w:tbl>
    <w:p w14:paraId="128A834C" w14:textId="77777777" w:rsidR="001A4F1A" w:rsidRPr="00D6101B" w:rsidRDefault="001A4F1A" w:rsidP="00E858EF">
      <w:pPr>
        <w:suppressAutoHyphens/>
      </w:pPr>
    </w:p>
    <w:p w14:paraId="66DBBB32" w14:textId="77777777" w:rsidR="001A4F1A" w:rsidRPr="00D6101B" w:rsidRDefault="001A4F1A" w:rsidP="00E858EF">
      <w:pPr>
        <w:suppressAutoHyphens/>
      </w:pPr>
    </w:p>
    <w:p w14:paraId="16A95D09" w14:textId="77777777" w:rsidR="001A4F1A" w:rsidRPr="00D6101B" w:rsidRDefault="001A4F1A" w:rsidP="00E858EF">
      <w:pPr>
        <w:suppressAutoHyphens/>
      </w:pPr>
    </w:p>
    <w:p w14:paraId="7A62DD03" w14:textId="77777777" w:rsidR="001A4F1A" w:rsidRPr="00D6101B" w:rsidRDefault="001A4F1A" w:rsidP="00E858EF">
      <w:pPr>
        <w:suppressAutoHyphens/>
      </w:pPr>
      <w:r w:rsidRPr="00EC7B5C">
        <w:rPr>
          <w:noProof/>
        </w:rPr>
        <w:t xml:space="preserve"> </w:t>
      </w:r>
      <w:r>
        <w:rPr>
          <w:noProof/>
          <w:lang w:val="it-IT"/>
        </w:rPr>
        <w:drawing>
          <wp:inline distT="0" distB="0" distL="0" distR="0" wp14:anchorId="7B4ABDC1" wp14:editId="7D5E9F81">
            <wp:extent cx="5372586" cy="5562411"/>
            <wp:effectExtent l="0" t="0" r="12700" b="26035"/>
            <wp:docPr id="111" name="Gra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3DC5A584" w14:textId="16912F28" w:rsidR="001A4F1A" w:rsidRPr="00D6101B" w:rsidRDefault="001A4F1A" w:rsidP="00E858EF">
      <w:pPr>
        <w:pStyle w:val="Didascalia"/>
        <w:suppressAutoHyphens/>
      </w:pPr>
      <w:bookmarkStart w:id="876" w:name="_Toc520212386"/>
      <w:r>
        <w:t>Figure 4-48</w:t>
      </w:r>
      <w:r w:rsidR="00B93157">
        <w:t>. Occurrence of</w:t>
      </w:r>
      <w:r w:rsidRPr="005B7241">
        <w:t xml:space="preserve"> </w:t>
      </w:r>
      <w:r w:rsidR="00B93157">
        <w:t>n</w:t>
      </w:r>
      <w:r>
        <w:t>on-ceramic item types</w:t>
      </w:r>
      <w:r w:rsidR="0001663C">
        <w:t>,</w:t>
      </w:r>
      <w:r>
        <w:t xml:space="preserve"> Mid-East area</w:t>
      </w:r>
      <w:bookmarkEnd w:id="876"/>
    </w:p>
    <w:p w14:paraId="626B824E" w14:textId="77777777" w:rsidR="001A4F1A" w:rsidRPr="00D6101B" w:rsidRDefault="001A4F1A" w:rsidP="00E858EF">
      <w:pPr>
        <w:suppressAutoHyphens/>
        <w:rPr>
          <w:b/>
        </w:rPr>
      </w:pPr>
    </w:p>
    <w:p w14:paraId="3F9CAD51" w14:textId="77777777" w:rsidR="001A4F1A" w:rsidRPr="00D6101B" w:rsidRDefault="001A4F1A" w:rsidP="00E858EF">
      <w:pPr>
        <w:pStyle w:val="Titolo4"/>
        <w:keepNext w:val="0"/>
        <w:keepLines w:val="0"/>
        <w:suppressAutoHyphens/>
      </w:pPr>
      <w:bookmarkStart w:id="877" w:name="_Toc389508271"/>
      <w:bookmarkStart w:id="878" w:name="_Toc517745351"/>
      <w:r w:rsidRPr="00D6101B">
        <w:t>Pottery types</w:t>
      </w:r>
      <w:bookmarkEnd w:id="877"/>
      <w:bookmarkEnd w:id="878"/>
    </w:p>
    <w:p w14:paraId="78B1C4F4" w14:textId="77777777" w:rsidR="001A4F1A" w:rsidRPr="00D6101B" w:rsidRDefault="001A4F1A" w:rsidP="00E858EF">
      <w:pPr>
        <w:suppressAutoHyphens/>
      </w:pPr>
      <w:r w:rsidRPr="00D6101B">
        <w:t xml:space="preserve">In the </w:t>
      </w:r>
      <w:r>
        <w:t>Mid-East</w:t>
      </w:r>
      <w:r w:rsidRPr="00D6101B">
        <w:t xml:space="preserve"> area</w:t>
      </w:r>
      <w:r>
        <w:t>,</w:t>
      </w:r>
      <w:r w:rsidRPr="00D6101B">
        <w:t xml:space="preserve"> pottery occurs in 35 tombs, </w:t>
      </w:r>
      <w:r>
        <w:t>which is</w:t>
      </w:r>
      <w:r w:rsidRPr="00D6101B">
        <w:t xml:space="preserve"> 95% of the tombs for which information about grave goods assemblage</w:t>
      </w:r>
      <w:r>
        <w:t>s</w:t>
      </w:r>
      <w:r w:rsidRPr="00D6101B">
        <w:t xml:space="preserve"> </w:t>
      </w:r>
      <w:r>
        <w:t>is</w:t>
      </w:r>
      <w:r w:rsidRPr="00D6101B">
        <w:t xml:space="preserve"> available. Within this sample</w:t>
      </w:r>
      <w:r>
        <w:t>,</w:t>
      </w:r>
      <w:r w:rsidRPr="00D6101B">
        <w:t xml:space="preserve"> </w:t>
      </w:r>
      <w:r>
        <w:t xml:space="preserve">only for </w:t>
      </w:r>
      <w:r w:rsidRPr="00D6101B">
        <w:t>two tombs (</w:t>
      </w:r>
      <w:r>
        <w:t>at</w:t>
      </w:r>
      <w:r w:rsidRPr="00D6101B">
        <w:t xml:space="preserve"> Malia Agia Pelagia and Milatos </w:t>
      </w:r>
      <w:r>
        <w:t>T</w:t>
      </w:r>
      <w:r w:rsidRPr="00D6101B">
        <w:t xml:space="preserve">omb 3) </w:t>
      </w:r>
      <w:r>
        <w:t>is</w:t>
      </w:r>
      <w:r w:rsidRPr="00D6101B">
        <w:t xml:space="preserve"> information available concern</w:t>
      </w:r>
      <w:r>
        <w:t>ing</w:t>
      </w:r>
      <w:r w:rsidRPr="00D6101B">
        <w:t xml:space="preserve"> the presence of pottery artefacts</w:t>
      </w:r>
      <w:r>
        <w:t>,</w:t>
      </w:r>
      <w:r w:rsidRPr="00D6101B">
        <w:t xml:space="preserve"> and there is no information about</w:t>
      </w:r>
      <w:r>
        <w:t xml:space="preserve"> the</w:t>
      </w:r>
      <w:r w:rsidRPr="00D6101B">
        <w:t xml:space="preserve"> number of vessels or typology.</w:t>
      </w:r>
      <w:r>
        <w:t xml:space="preserve"> </w:t>
      </w:r>
      <w:r w:rsidRPr="00D6101B">
        <w:t xml:space="preserve">Consequently, the analysis </w:t>
      </w:r>
      <w:r>
        <w:t>of the</w:t>
      </w:r>
      <w:r w:rsidRPr="00D6101B">
        <w:t xml:space="preserve"> pottery typology </w:t>
      </w:r>
      <w:r>
        <w:t>is</w:t>
      </w:r>
      <w:r w:rsidRPr="00D6101B">
        <w:t xml:space="preserve"> based on a sample of 33 tombs.</w:t>
      </w:r>
    </w:p>
    <w:p w14:paraId="56DDBE40" w14:textId="77777777" w:rsidR="001A4F1A" w:rsidRPr="00D6101B" w:rsidRDefault="001A4F1A" w:rsidP="00E858EF">
      <w:pPr>
        <w:suppressAutoHyphens/>
      </w:pPr>
      <w:r>
        <w:tab/>
      </w:r>
      <w:r w:rsidRPr="00D6101B">
        <w:t xml:space="preserve">A further data limit concerns </w:t>
      </w:r>
      <w:r>
        <w:t xml:space="preserve">the </w:t>
      </w:r>
      <w:r w:rsidRPr="00D6101B">
        <w:t>pottery associated with tombs 4 and 5 at Milatos and the two groups of tombs at Elounda (tombs 10-12; 14-15</w:t>
      </w:r>
      <w:r>
        <w:t xml:space="preserve">, </w:t>
      </w:r>
      <w:r w:rsidRPr="00D6101B">
        <w:t xml:space="preserve">24): the relative number and typology of pottery associated </w:t>
      </w:r>
      <w:r>
        <w:t>with</w:t>
      </w:r>
      <w:r w:rsidRPr="00D6101B">
        <w:t xml:space="preserve"> these tombs are reported together</w:t>
      </w:r>
      <w:r>
        <w:t>, rather than</w:t>
      </w:r>
      <w:r w:rsidRPr="00D6101B">
        <w:t xml:space="preserve"> </w:t>
      </w:r>
      <w:r>
        <w:t>for</w:t>
      </w:r>
      <w:r w:rsidRPr="00D6101B">
        <w:t xml:space="preserve"> each tomb.</w:t>
      </w:r>
    </w:p>
    <w:p w14:paraId="13D86F99" w14:textId="77777777" w:rsidR="001A4F1A" w:rsidRPr="00D6101B" w:rsidRDefault="001A4F1A" w:rsidP="00E858EF">
      <w:pPr>
        <w:suppressAutoHyphens/>
      </w:pPr>
      <w:r>
        <w:tab/>
      </w:r>
      <w:r w:rsidRPr="00D6101B">
        <w:t xml:space="preserve">The presence of exclusively pottery artefacts and no other materials has been registered in 18 tombs, </w:t>
      </w:r>
      <w:r>
        <w:t>which is</w:t>
      </w:r>
      <w:r w:rsidRPr="00D6101B">
        <w:t xml:space="preserve"> 49% o</w:t>
      </w:r>
      <w:r>
        <w:t>f</w:t>
      </w:r>
      <w:r w:rsidRPr="00D6101B">
        <w:t xml:space="preserve"> the sample of tombs with information about grave good</w:t>
      </w:r>
      <w:r>
        <w:t>s</w:t>
      </w:r>
      <w:r w:rsidRPr="00D6101B">
        <w:t xml:space="preserve"> materials</w:t>
      </w:r>
      <w:r>
        <w:t xml:space="preserve">. </w:t>
      </w:r>
      <w:r w:rsidRPr="00D6101B">
        <w:t>The four most common types</w:t>
      </w:r>
      <w:r>
        <w:t xml:space="preserve"> of pottery</w:t>
      </w:r>
      <w:r w:rsidRPr="00D6101B">
        <w:t xml:space="preserve"> are stirrup jars, conical cups, cups and jugs. </w:t>
      </w:r>
    </w:p>
    <w:p w14:paraId="713E0BF5" w14:textId="77777777" w:rsidR="001A4F1A" w:rsidRPr="00D6101B" w:rsidRDefault="001A4F1A" w:rsidP="00E858EF">
      <w:pPr>
        <w:suppressAutoHyphens/>
      </w:pPr>
      <w:r>
        <w:tab/>
        <w:t>Regarding</w:t>
      </w:r>
      <w:r w:rsidRPr="00D6101B">
        <w:t xml:space="preserve"> the two most common type</w:t>
      </w:r>
      <w:r>
        <w:t>s</w:t>
      </w:r>
      <w:r w:rsidRPr="00D6101B">
        <w:t xml:space="preserve"> of vase, stirrup jars and conical cups, the difference</w:t>
      </w:r>
      <w:r>
        <w:t xml:space="preserve"> in respect of number of items recovered</w:t>
      </w:r>
      <w:r w:rsidRPr="00D6101B">
        <w:t xml:space="preserve"> is really low</w:t>
      </w:r>
      <w:r>
        <w:t>.</w:t>
      </w:r>
      <w:r w:rsidRPr="00D6101B">
        <w:t xml:space="preserve"> </w:t>
      </w:r>
      <w:r>
        <w:t>I</w:t>
      </w:r>
      <w:r w:rsidRPr="00D6101B">
        <w:t>nstead</w:t>
      </w:r>
      <w:r>
        <w:t>,</w:t>
      </w:r>
      <w:r w:rsidRPr="00D6101B">
        <w:t xml:space="preserve"> </w:t>
      </w:r>
      <w:r>
        <w:t>regarding</w:t>
      </w:r>
      <w:r w:rsidRPr="00D6101B">
        <w:t xml:space="preserve"> the </w:t>
      </w:r>
      <w:r>
        <w:t xml:space="preserve">distribution </w:t>
      </w:r>
      <w:r w:rsidRPr="00D6101B">
        <w:t>pattern</w:t>
      </w:r>
      <w:r>
        <w:t>,</w:t>
      </w:r>
      <w:r w:rsidRPr="00D6101B">
        <w:t xml:space="preserve"> </w:t>
      </w:r>
      <w:r>
        <w:t xml:space="preserve">there is </w:t>
      </w:r>
      <w:r w:rsidRPr="00D6101B">
        <w:t>a very high concentration of conical cups in one tomb (Psari Phorada</w:t>
      </w:r>
      <w:r>
        <w:t xml:space="preserve">: </w:t>
      </w:r>
      <w:r w:rsidRPr="00D6101B">
        <w:t>33 conical cups)</w:t>
      </w:r>
      <w:r>
        <w:t xml:space="preserve"> and of stirrup jars although on a lower scale (12 stirrup jars in a chamber tomb at Kritsa Lakkoi). I</w:t>
      </w:r>
      <w:r w:rsidRPr="00D6101B">
        <w:t xml:space="preserve">t is possible to </w:t>
      </w:r>
      <w:r>
        <w:t>state</w:t>
      </w:r>
      <w:r w:rsidRPr="00D6101B">
        <w:t xml:space="preserve"> that</w:t>
      </w:r>
      <w:r>
        <w:t>,</w:t>
      </w:r>
      <w:r w:rsidRPr="00D6101B">
        <w:t xml:space="preserve"> along with cups and goblets</w:t>
      </w:r>
      <w:r>
        <w:t>,</w:t>
      </w:r>
      <w:r w:rsidRPr="00D6101B">
        <w:t xml:space="preserve"> the</w:t>
      </w:r>
      <w:r>
        <w:t xml:space="preserve"> stirrup jars</w:t>
      </w:r>
      <w:r w:rsidRPr="00D6101B">
        <w:t xml:space="preserve"> </w:t>
      </w:r>
      <w:r>
        <w:t>are</w:t>
      </w:r>
      <w:r w:rsidRPr="00D6101B">
        <w:t xml:space="preserve"> the most common type of pottery found in assemblages of tombs with larnax burials in </w:t>
      </w:r>
      <w:r>
        <w:t>Mid-East</w:t>
      </w:r>
      <w:r w:rsidRPr="00D6101B">
        <w:t xml:space="preserve"> area.</w:t>
      </w:r>
      <w:r>
        <w:t xml:space="preserve"> </w:t>
      </w:r>
      <w:r w:rsidRPr="00D6101B">
        <w:t>Kernos, tankard</w:t>
      </w:r>
      <w:r>
        <w:t>s</w:t>
      </w:r>
      <w:r w:rsidRPr="00D6101B">
        <w:t>, askos, thelastron and brazier</w:t>
      </w:r>
      <w:r>
        <w:t>s</w:t>
      </w:r>
      <w:r w:rsidRPr="00D6101B">
        <w:t xml:space="preserve"> </w:t>
      </w:r>
      <w:r>
        <w:t>are typ</w:t>
      </w:r>
      <w:r w:rsidRPr="00D6101B">
        <w:t>es</w:t>
      </w:r>
      <w:r>
        <w:t xml:space="preserve"> absent</w:t>
      </w:r>
      <w:r w:rsidRPr="00D6101B">
        <w:t xml:space="preserve"> </w:t>
      </w:r>
      <w:r>
        <w:t>from</w:t>
      </w:r>
      <w:r w:rsidRPr="00D6101B">
        <w:t xml:space="preserve"> the region.</w:t>
      </w:r>
      <w:r>
        <w:t xml:space="preserve"> </w:t>
      </w:r>
      <w:r w:rsidRPr="00D6101B">
        <w:t xml:space="preserve">Other pottery types do not </w:t>
      </w:r>
      <w:r>
        <w:t>amount to more than</w:t>
      </w:r>
      <w:r w:rsidRPr="00D6101B">
        <w:t xml:space="preserve"> 10 items and are distributed in a maximum of seven tombs.</w:t>
      </w:r>
      <w:r>
        <w:t xml:space="preserve"> </w:t>
      </w:r>
      <w:r w:rsidRPr="00D6101B">
        <w:t xml:space="preserve">The tomb at Psari Phorada </w:t>
      </w:r>
      <w:r>
        <w:t>had</w:t>
      </w:r>
      <w:r w:rsidRPr="00D6101B">
        <w:t xml:space="preserve"> the highest number of ceramic vessels</w:t>
      </w:r>
      <w:r>
        <w:t xml:space="preserve"> (50)</w:t>
      </w:r>
      <w:r w:rsidRPr="00D6101B">
        <w:t xml:space="preserve"> </w:t>
      </w:r>
      <w:r>
        <w:t>found</w:t>
      </w:r>
      <w:r w:rsidRPr="00D6101B">
        <w:t xml:space="preserve"> in </w:t>
      </w:r>
      <w:r>
        <w:t xml:space="preserve">a </w:t>
      </w:r>
      <w:r w:rsidRPr="00D6101B">
        <w:t xml:space="preserve">tomb with larnakes in </w:t>
      </w:r>
      <w:r>
        <w:t>the Mid-East</w:t>
      </w:r>
      <w:r w:rsidRPr="00D6101B">
        <w:t xml:space="preserve"> region. According to </w:t>
      </w:r>
      <w:r>
        <w:t xml:space="preserve">the </w:t>
      </w:r>
      <w:r w:rsidRPr="00D6101B">
        <w:t xml:space="preserve">preliminary information available for tombs with larnakes at Kritsa cemetery, there </w:t>
      </w:r>
      <w:r>
        <w:t>were</w:t>
      </w:r>
      <w:r w:rsidRPr="00D6101B">
        <w:t xml:space="preserve"> at least 30 pottery items in these two tombs, mainly distributed in the chamber tomb at Kritsa Katharos (21 items).</w:t>
      </w:r>
    </w:p>
    <w:p w14:paraId="745DABDD" w14:textId="77777777" w:rsidR="001A4F1A" w:rsidRPr="00D6101B" w:rsidRDefault="001A4F1A" w:rsidP="00E858EF">
      <w:pPr>
        <w:suppressAutoHyphens/>
      </w:pPr>
    </w:p>
    <w:p w14:paraId="6B868885" w14:textId="507ADAD4" w:rsidR="001A4F1A" w:rsidRPr="00D6101B" w:rsidRDefault="001A4F1A" w:rsidP="00E858EF">
      <w:pPr>
        <w:pStyle w:val="Testofumetto"/>
        <w:suppressAutoHyphens/>
      </w:pPr>
      <w:bookmarkStart w:id="879" w:name="_Toc520212621"/>
      <w:r>
        <w:t>Table 4-46</w:t>
      </w:r>
      <w:r w:rsidR="000B7180">
        <w:t>.</w:t>
      </w:r>
      <w:r>
        <w:t xml:space="preserve"> Most common pottery types</w:t>
      </w:r>
      <w:r w:rsidR="0001663C">
        <w:t>,</w:t>
      </w:r>
      <w:r>
        <w:t xml:space="preserve"> Mid-East area</w:t>
      </w:r>
      <w:bookmarkEnd w:id="879"/>
    </w:p>
    <w:tbl>
      <w:tblPr>
        <w:tblW w:w="87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276"/>
        <w:gridCol w:w="1134"/>
        <w:gridCol w:w="709"/>
        <w:gridCol w:w="709"/>
        <w:gridCol w:w="992"/>
        <w:gridCol w:w="850"/>
        <w:gridCol w:w="1276"/>
      </w:tblGrid>
      <w:tr w:rsidR="001A4F1A" w:rsidRPr="00114B76" w14:paraId="74A197C8" w14:textId="77777777" w:rsidTr="00481EA2">
        <w:tc>
          <w:tcPr>
            <w:tcW w:w="1809" w:type="dxa"/>
          </w:tcPr>
          <w:p w14:paraId="2330406B" w14:textId="77777777" w:rsidR="001A4F1A" w:rsidRPr="00114B76" w:rsidRDefault="001A4F1A" w:rsidP="00E858EF">
            <w:pPr>
              <w:suppressAutoHyphens/>
              <w:rPr>
                <w:sz w:val="20"/>
              </w:rPr>
            </w:pPr>
          </w:p>
        </w:tc>
        <w:tc>
          <w:tcPr>
            <w:tcW w:w="1276" w:type="dxa"/>
          </w:tcPr>
          <w:p w14:paraId="0D240425" w14:textId="77777777" w:rsidR="001A4F1A" w:rsidRPr="00114B76" w:rsidRDefault="001A4F1A" w:rsidP="00E858EF">
            <w:pPr>
              <w:suppressAutoHyphens/>
              <w:jc w:val="center"/>
              <w:rPr>
                <w:rFonts w:eastAsia="Times New Roman"/>
                <w:bCs/>
                <w:color w:val="000000"/>
                <w:sz w:val="20"/>
              </w:rPr>
            </w:pPr>
            <w:r w:rsidRPr="00114B76">
              <w:rPr>
                <w:rFonts w:eastAsia="Times New Roman"/>
                <w:bCs/>
                <w:color w:val="000000"/>
                <w:sz w:val="20"/>
              </w:rPr>
              <w:t>Stirrup jar</w:t>
            </w:r>
          </w:p>
        </w:tc>
        <w:tc>
          <w:tcPr>
            <w:tcW w:w="1134" w:type="dxa"/>
          </w:tcPr>
          <w:p w14:paraId="39BFA68E" w14:textId="77777777"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Conical cup</w:t>
            </w:r>
          </w:p>
        </w:tc>
        <w:tc>
          <w:tcPr>
            <w:tcW w:w="709" w:type="dxa"/>
          </w:tcPr>
          <w:p w14:paraId="08656863" w14:textId="77777777"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Cup</w:t>
            </w:r>
          </w:p>
        </w:tc>
        <w:tc>
          <w:tcPr>
            <w:tcW w:w="709" w:type="dxa"/>
          </w:tcPr>
          <w:p w14:paraId="3562466D" w14:textId="77777777"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Jug</w:t>
            </w:r>
          </w:p>
        </w:tc>
        <w:tc>
          <w:tcPr>
            <w:tcW w:w="992" w:type="dxa"/>
          </w:tcPr>
          <w:p w14:paraId="1634A0BD" w14:textId="77777777"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Goblet</w:t>
            </w:r>
          </w:p>
        </w:tc>
        <w:tc>
          <w:tcPr>
            <w:tcW w:w="850" w:type="dxa"/>
          </w:tcPr>
          <w:p w14:paraId="7C071DAA" w14:textId="77777777"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Bowl</w:t>
            </w:r>
          </w:p>
        </w:tc>
        <w:tc>
          <w:tcPr>
            <w:tcW w:w="1276" w:type="dxa"/>
          </w:tcPr>
          <w:p w14:paraId="380A0D00" w14:textId="77777777" w:rsidR="001A4F1A" w:rsidRPr="00114B76" w:rsidRDefault="001A4F1A" w:rsidP="00E858EF">
            <w:pPr>
              <w:suppressAutoHyphens/>
              <w:jc w:val="center"/>
              <w:rPr>
                <w:rFonts w:eastAsia="Times New Roman"/>
                <w:color w:val="000000"/>
                <w:sz w:val="20"/>
              </w:rPr>
            </w:pPr>
            <w:r w:rsidRPr="00114B76">
              <w:rPr>
                <w:rFonts w:eastAsia="Times New Roman"/>
                <w:color w:val="000000"/>
                <w:sz w:val="20"/>
              </w:rPr>
              <w:t>Alabastron</w:t>
            </w:r>
          </w:p>
        </w:tc>
      </w:tr>
      <w:tr w:rsidR="001A4F1A" w:rsidRPr="00114B76" w14:paraId="0B01E14A" w14:textId="77777777" w:rsidTr="00481EA2">
        <w:tc>
          <w:tcPr>
            <w:tcW w:w="1809" w:type="dxa"/>
          </w:tcPr>
          <w:p w14:paraId="7648CB3D" w14:textId="77777777" w:rsidR="001A4F1A" w:rsidRPr="00114B76" w:rsidRDefault="001A4F1A" w:rsidP="00E858EF">
            <w:pPr>
              <w:suppressAutoHyphens/>
              <w:jc w:val="left"/>
              <w:rPr>
                <w:sz w:val="20"/>
              </w:rPr>
            </w:pPr>
            <w:r w:rsidRPr="00114B76">
              <w:rPr>
                <w:sz w:val="20"/>
              </w:rPr>
              <w:t>Total no. of items in Mid-East region</w:t>
            </w:r>
          </w:p>
        </w:tc>
        <w:tc>
          <w:tcPr>
            <w:tcW w:w="1276" w:type="dxa"/>
          </w:tcPr>
          <w:p w14:paraId="61A9DF77" w14:textId="77777777" w:rsidR="001A4F1A" w:rsidRPr="00114B76" w:rsidRDefault="001A4F1A" w:rsidP="00E858EF">
            <w:pPr>
              <w:suppressAutoHyphens/>
              <w:jc w:val="center"/>
              <w:rPr>
                <w:sz w:val="20"/>
              </w:rPr>
            </w:pPr>
            <w:r w:rsidRPr="00114B76">
              <w:rPr>
                <w:sz w:val="20"/>
              </w:rPr>
              <w:t>41</w:t>
            </w:r>
          </w:p>
        </w:tc>
        <w:tc>
          <w:tcPr>
            <w:tcW w:w="1134" w:type="dxa"/>
          </w:tcPr>
          <w:p w14:paraId="4CEEBF42" w14:textId="77777777" w:rsidR="001A4F1A" w:rsidRPr="00114B76" w:rsidRDefault="001A4F1A" w:rsidP="00E858EF">
            <w:pPr>
              <w:suppressAutoHyphens/>
              <w:jc w:val="center"/>
              <w:rPr>
                <w:sz w:val="20"/>
              </w:rPr>
            </w:pPr>
            <w:r w:rsidRPr="00114B76">
              <w:rPr>
                <w:sz w:val="20"/>
              </w:rPr>
              <w:t>40</w:t>
            </w:r>
          </w:p>
        </w:tc>
        <w:tc>
          <w:tcPr>
            <w:tcW w:w="709" w:type="dxa"/>
          </w:tcPr>
          <w:p w14:paraId="7E2C1772" w14:textId="77777777" w:rsidR="001A4F1A" w:rsidRPr="00114B76" w:rsidRDefault="001A4F1A" w:rsidP="00E858EF">
            <w:pPr>
              <w:suppressAutoHyphens/>
              <w:jc w:val="center"/>
              <w:rPr>
                <w:sz w:val="20"/>
              </w:rPr>
            </w:pPr>
            <w:r w:rsidRPr="00114B76">
              <w:rPr>
                <w:sz w:val="20"/>
              </w:rPr>
              <w:t>32</w:t>
            </w:r>
          </w:p>
        </w:tc>
        <w:tc>
          <w:tcPr>
            <w:tcW w:w="709" w:type="dxa"/>
          </w:tcPr>
          <w:p w14:paraId="7C8C73C3" w14:textId="77777777" w:rsidR="001A4F1A" w:rsidRPr="00114B76" w:rsidRDefault="001A4F1A" w:rsidP="00E858EF">
            <w:pPr>
              <w:suppressAutoHyphens/>
              <w:jc w:val="center"/>
              <w:rPr>
                <w:sz w:val="20"/>
              </w:rPr>
            </w:pPr>
            <w:r w:rsidRPr="00114B76">
              <w:rPr>
                <w:sz w:val="20"/>
              </w:rPr>
              <w:t>25</w:t>
            </w:r>
          </w:p>
        </w:tc>
        <w:tc>
          <w:tcPr>
            <w:tcW w:w="992" w:type="dxa"/>
          </w:tcPr>
          <w:p w14:paraId="3341E9B7" w14:textId="77777777" w:rsidR="001A4F1A" w:rsidRPr="00114B76" w:rsidRDefault="001A4F1A" w:rsidP="00E858EF">
            <w:pPr>
              <w:suppressAutoHyphens/>
              <w:jc w:val="center"/>
              <w:rPr>
                <w:sz w:val="20"/>
              </w:rPr>
            </w:pPr>
            <w:r w:rsidRPr="00114B76">
              <w:rPr>
                <w:sz w:val="20"/>
              </w:rPr>
              <w:t>22</w:t>
            </w:r>
          </w:p>
        </w:tc>
        <w:tc>
          <w:tcPr>
            <w:tcW w:w="850" w:type="dxa"/>
          </w:tcPr>
          <w:p w14:paraId="02AFDE49" w14:textId="77777777" w:rsidR="001A4F1A" w:rsidRPr="00114B76" w:rsidRDefault="001A4F1A" w:rsidP="00E858EF">
            <w:pPr>
              <w:suppressAutoHyphens/>
              <w:jc w:val="center"/>
              <w:rPr>
                <w:sz w:val="20"/>
              </w:rPr>
            </w:pPr>
            <w:r w:rsidRPr="00114B76">
              <w:rPr>
                <w:sz w:val="20"/>
              </w:rPr>
              <w:t>8</w:t>
            </w:r>
          </w:p>
        </w:tc>
        <w:tc>
          <w:tcPr>
            <w:tcW w:w="1276" w:type="dxa"/>
          </w:tcPr>
          <w:p w14:paraId="2FEF50F7" w14:textId="77777777" w:rsidR="001A4F1A" w:rsidRPr="00114B76" w:rsidRDefault="001A4F1A" w:rsidP="00E858EF">
            <w:pPr>
              <w:suppressAutoHyphens/>
              <w:jc w:val="center"/>
              <w:rPr>
                <w:sz w:val="20"/>
              </w:rPr>
            </w:pPr>
            <w:r w:rsidRPr="00114B76">
              <w:rPr>
                <w:sz w:val="20"/>
              </w:rPr>
              <w:t>7</w:t>
            </w:r>
          </w:p>
        </w:tc>
      </w:tr>
      <w:tr w:rsidR="001A4F1A" w:rsidRPr="00114B76" w14:paraId="567C9AEE" w14:textId="77777777" w:rsidTr="00481EA2">
        <w:tc>
          <w:tcPr>
            <w:tcW w:w="1809" w:type="dxa"/>
          </w:tcPr>
          <w:p w14:paraId="622C77EC" w14:textId="77777777" w:rsidR="001A4F1A" w:rsidRPr="00114B76" w:rsidRDefault="001A4F1A" w:rsidP="00E858EF">
            <w:pPr>
              <w:suppressAutoHyphens/>
              <w:jc w:val="left"/>
              <w:rPr>
                <w:sz w:val="20"/>
              </w:rPr>
            </w:pPr>
            <w:r w:rsidRPr="00114B76">
              <w:rPr>
                <w:sz w:val="20"/>
              </w:rPr>
              <w:t>Max. no. items per tomb</w:t>
            </w:r>
          </w:p>
        </w:tc>
        <w:tc>
          <w:tcPr>
            <w:tcW w:w="1276" w:type="dxa"/>
          </w:tcPr>
          <w:p w14:paraId="5F0180BC" w14:textId="77777777" w:rsidR="001A4F1A" w:rsidRPr="00114B76" w:rsidRDefault="001A4F1A" w:rsidP="00E858EF">
            <w:pPr>
              <w:suppressAutoHyphens/>
              <w:jc w:val="center"/>
              <w:rPr>
                <w:sz w:val="20"/>
              </w:rPr>
            </w:pPr>
            <w:r w:rsidRPr="00114B76">
              <w:rPr>
                <w:sz w:val="20"/>
              </w:rPr>
              <w:t>12</w:t>
            </w:r>
          </w:p>
        </w:tc>
        <w:tc>
          <w:tcPr>
            <w:tcW w:w="1134" w:type="dxa"/>
          </w:tcPr>
          <w:p w14:paraId="57B48AA1" w14:textId="77777777" w:rsidR="001A4F1A" w:rsidRPr="00114B76" w:rsidRDefault="001A4F1A" w:rsidP="00E858EF">
            <w:pPr>
              <w:suppressAutoHyphens/>
              <w:jc w:val="center"/>
              <w:rPr>
                <w:sz w:val="20"/>
              </w:rPr>
            </w:pPr>
            <w:r w:rsidRPr="00114B76">
              <w:rPr>
                <w:sz w:val="20"/>
              </w:rPr>
              <w:t>33</w:t>
            </w:r>
          </w:p>
        </w:tc>
        <w:tc>
          <w:tcPr>
            <w:tcW w:w="709" w:type="dxa"/>
          </w:tcPr>
          <w:p w14:paraId="443736A1" w14:textId="77777777" w:rsidR="001A4F1A" w:rsidRPr="00114B76" w:rsidRDefault="001A4F1A" w:rsidP="00E858EF">
            <w:pPr>
              <w:suppressAutoHyphens/>
              <w:jc w:val="center"/>
              <w:rPr>
                <w:sz w:val="20"/>
              </w:rPr>
            </w:pPr>
            <w:r w:rsidRPr="00114B76">
              <w:rPr>
                <w:sz w:val="20"/>
              </w:rPr>
              <w:t>11</w:t>
            </w:r>
          </w:p>
        </w:tc>
        <w:tc>
          <w:tcPr>
            <w:tcW w:w="709" w:type="dxa"/>
          </w:tcPr>
          <w:p w14:paraId="153786CC" w14:textId="77777777" w:rsidR="001A4F1A" w:rsidRPr="00114B76" w:rsidRDefault="001A4F1A" w:rsidP="00E858EF">
            <w:pPr>
              <w:suppressAutoHyphens/>
              <w:jc w:val="center"/>
              <w:rPr>
                <w:sz w:val="20"/>
              </w:rPr>
            </w:pPr>
            <w:r w:rsidRPr="00114B76">
              <w:rPr>
                <w:sz w:val="20"/>
              </w:rPr>
              <w:t>6</w:t>
            </w:r>
          </w:p>
        </w:tc>
        <w:tc>
          <w:tcPr>
            <w:tcW w:w="992" w:type="dxa"/>
          </w:tcPr>
          <w:p w14:paraId="0E3AFE74" w14:textId="77777777" w:rsidR="001A4F1A" w:rsidRPr="00114B76" w:rsidRDefault="001A4F1A" w:rsidP="00E858EF">
            <w:pPr>
              <w:suppressAutoHyphens/>
              <w:jc w:val="center"/>
              <w:rPr>
                <w:sz w:val="20"/>
              </w:rPr>
            </w:pPr>
            <w:r w:rsidRPr="00114B76">
              <w:rPr>
                <w:sz w:val="20"/>
              </w:rPr>
              <w:t>4</w:t>
            </w:r>
          </w:p>
        </w:tc>
        <w:tc>
          <w:tcPr>
            <w:tcW w:w="850" w:type="dxa"/>
          </w:tcPr>
          <w:p w14:paraId="0840606A" w14:textId="77777777" w:rsidR="001A4F1A" w:rsidRPr="00114B76" w:rsidRDefault="001A4F1A" w:rsidP="00E858EF">
            <w:pPr>
              <w:suppressAutoHyphens/>
              <w:jc w:val="center"/>
              <w:rPr>
                <w:sz w:val="20"/>
              </w:rPr>
            </w:pPr>
            <w:r w:rsidRPr="00114B76">
              <w:rPr>
                <w:sz w:val="20"/>
              </w:rPr>
              <w:t>2</w:t>
            </w:r>
          </w:p>
        </w:tc>
        <w:tc>
          <w:tcPr>
            <w:tcW w:w="1276" w:type="dxa"/>
          </w:tcPr>
          <w:p w14:paraId="28BF85CC" w14:textId="77777777" w:rsidR="001A4F1A" w:rsidRPr="00114B76" w:rsidRDefault="001A4F1A" w:rsidP="00E858EF">
            <w:pPr>
              <w:suppressAutoHyphens/>
              <w:jc w:val="center"/>
              <w:rPr>
                <w:sz w:val="20"/>
              </w:rPr>
            </w:pPr>
            <w:r w:rsidRPr="00114B76">
              <w:rPr>
                <w:sz w:val="20"/>
              </w:rPr>
              <w:t>1</w:t>
            </w:r>
          </w:p>
        </w:tc>
      </w:tr>
      <w:tr w:rsidR="001A4F1A" w:rsidRPr="00114B76" w14:paraId="61E7C54E" w14:textId="77777777" w:rsidTr="00481EA2">
        <w:tc>
          <w:tcPr>
            <w:tcW w:w="1809" w:type="dxa"/>
          </w:tcPr>
          <w:p w14:paraId="055082AB" w14:textId="77777777" w:rsidR="001A4F1A" w:rsidRPr="00114B76" w:rsidRDefault="001A4F1A" w:rsidP="00E858EF">
            <w:pPr>
              <w:suppressAutoHyphens/>
              <w:jc w:val="left"/>
              <w:rPr>
                <w:sz w:val="20"/>
              </w:rPr>
            </w:pPr>
            <w:r w:rsidRPr="00114B76">
              <w:rPr>
                <w:sz w:val="20"/>
              </w:rPr>
              <w:t>No. of tombs</w:t>
            </w:r>
          </w:p>
        </w:tc>
        <w:tc>
          <w:tcPr>
            <w:tcW w:w="1276" w:type="dxa"/>
          </w:tcPr>
          <w:p w14:paraId="7CB1844D" w14:textId="77777777" w:rsidR="001A4F1A" w:rsidRPr="00114B76" w:rsidRDefault="001A4F1A" w:rsidP="00E858EF">
            <w:pPr>
              <w:suppressAutoHyphens/>
              <w:jc w:val="center"/>
              <w:rPr>
                <w:sz w:val="20"/>
              </w:rPr>
            </w:pPr>
            <w:r w:rsidRPr="00114B76">
              <w:rPr>
                <w:sz w:val="20"/>
              </w:rPr>
              <w:t>14</w:t>
            </w:r>
          </w:p>
        </w:tc>
        <w:tc>
          <w:tcPr>
            <w:tcW w:w="1134" w:type="dxa"/>
          </w:tcPr>
          <w:p w14:paraId="412D884A" w14:textId="77777777" w:rsidR="001A4F1A" w:rsidRPr="00114B76" w:rsidRDefault="001A4F1A" w:rsidP="00E858EF">
            <w:pPr>
              <w:suppressAutoHyphens/>
              <w:jc w:val="center"/>
              <w:rPr>
                <w:sz w:val="20"/>
              </w:rPr>
            </w:pPr>
            <w:r w:rsidRPr="00114B76">
              <w:rPr>
                <w:sz w:val="20"/>
              </w:rPr>
              <w:t>6</w:t>
            </w:r>
          </w:p>
        </w:tc>
        <w:tc>
          <w:tcPr>
            <w:tcW w:w="709" w:type="dxa"/>
          </w:tcPr>
          <w:p w14:paraId="0AD264B7" w14:textId="77777777" w:rsidR="001A4F1A" w:rsidRPr="00114B76" w:rsidRDefault="001A4F1A" w:rsidP="00E858EF">
            <w:pPr>
              <w:suppressAutoHyphens/>
              <w:jc w:val="center"/>
              <w:rPr>
                <w:sz w:val="20"/>
              </w:rPr>
            </w:pPr>
            <w:r w:rsidRPr="00114B76">
              <w:rPr>
                <w:sz w:val="20"/>
              </w:rPr>
              <w:t>15</w:t>
            </w:r>
          </w:p>
        </w:tc>
        <w:tc>
          <w:tcPr>
            <w:tcW w:w="709" w:type="dxa"/>
          </w:tcPr>
          <w:p w14:paraId="446E6E30" w14:textId="77777777" w:rsidR="001A4F1A" w:rsidRPr="00114B76" w:rsidRDefault="001A4F1A" w:rsidP="00E858EF">
            <w:pPr>
              <w:suppressAutoHyphens/>
              <w:jc w:val="center"/>
              <w:rPr>
                <w:sz w:val="20"/>
              </w:rPr>
            </w:pPr>
            <w:r w:rsidRPr="00114B76">
              <w:rPr>
                <w:sz w:val="20"/>
              </w:rPr>
              <w:t>11</w:t>
            </w:r>
          </w:p>
        </w:tc>
        <w:tc>
          <w:tcPr>
            <w:tcW w:w="992" w:type="dxa"/>
          </w:tcPr>
          <w:p w14:paraId="5B85F9A2" w14:textId="77777777" w:rsidR="001A4F1A" w:rsidRPr="00114B76" w:rsidRDefault="001A4F1A" w:rsidP="00E858EF">
            <w:pPr>
              <w:suppressAutoHyphens/>
              <w:jc w:val="center"/>
              <w:rPr>
                <w:sz w:val="20"/>
              </w:rPr>
            </w:pPr>
            <w:r w:rsidRPr="00114B76">
              <w:rPr>
                <w:sz w:val="20"/>
              </w:rPr>
              <w:t>14</w:t>
            </w:r>
          </w:p>
        </w:tc>
        <w:tc>
          <w:tcPr>
            <w:tcW w:w="850" w:type="dxa"/>
          </w:tcPr>
          <w:p w14:paraId="3DC69FA8" w14:textId="77777777" w:rsidR="001A4F1A" w:rsidRPr="00114B76" w:rsidRDefault="001A4F1A" w:rsidP="00E858EF">
            <w:pPr>
              <w:suppressAutoHyphens/>
              <w:jc w:val="center"/>
              <w:rPr>
                <w:sz w:val="20"/>
              </w:rPr>
            </w:pPr>
            <w:r w:rsidRPr="00114B76">
              <w:rPr>
                <w:sz w:val="20"/>
              </w:rPr>
              <w:t>7</w:t>
            </w:r>
          </w:p>
        </w:tc>
        <w:tc>
          <w:tcPr>
            <w:tcW w:w="1276" w:type="dxa"/>
          </w:tcPr>
          <w:p w14:paraId="07E7C7C7" w14:textId="77777777" w:rsidR="001A4F1A" w:rsidRPr="00114B76" w:rsidRDefault="001A4F1A" w:rsidP="00E858EF">
            <w:pPr>
              <w:suppressAutoHyphens/>
              <w:jc w:val="center"/>
              <w:rPr>
                <w:sz w:val="20"/>
              </w:rPr>
            </w:pPr>
            <w:r w:rsidRPr="00114B76">
              <w:rPr>
                <w:sz w:val="20"/>
              </w:rPr>
              <w:t>7</w:t>
            </w:r>
          </w:p>
        </w:tc>
      </w:tr>
    </w:tbl>
    <w:p w14:paraId="13891B07" w14:textId="77777777" w:rsidR="001A4F1A" w:rsidRPr="00D6101B" w:rsidRDefault="001A4F1A" w:rsidP="00E858EF">
      <w:pPr>
        <w:suppressAutoHyphens/>
      </w:pPr>
    </w:p>
    <w:p w14:paraId="0DDE9F48" w14:textId="77777777" w:rsidR="001A4F1A" w:rsidRPr="00D6101B" w:rsidRDefault="001A4F1A" w:rsidP="00E858EF">
      <w:pPr>
        <w:suppressAutoHyphens/>
      </w:pPr>
      <w:r w:rsidRPr="00AF7439">
        <w:rPr>
          <w:noProof/>
        </w:rPr>
        <w:t xml:space="preserve"> </w:t>
      </w:r>
      <w:r>
        <w:rPr>
          <w:noProof/>
          <w:lang w:val="it-IT"/>
        </w:rPr>
        <w:drawing>
          <wp:inline distT="0" distB="0" distL="0" distR="0" wp14:anchorId="321A0496" wp14:editId="2B2EB78D">
            <wp:extent cx="5396230" cy="5708816"/>
            <wp:effectExtent l="0" t="0" r="13970" b="31750"/>
            <wp:docPr id="49" name="Gra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3091486D" w14:textId="2FFDAD2C" w:rsidR="001A4F1A" w:rsidRPr="00D6101B" w:rsidRDefault="001A4F1A" w:rsidP="00E858EF">
      <w:pPr>
        <w:pStyle w:val="Didascalia"/>
        <w:suppressAutoHyphens/>
      </w:pPr>
      <w:bookmarkStart w:id="880" w:name="_Toc520212387"/>
      <w:r>
        <w:t>Figure 4-49</w:t>
      </w:r>
      <w:r w:rsidR="00B93157">
        <w:t>.</w:t>
      </w:r>
      <w:r>
        <w:t xml:space="preserve"> Pottery types occurrence</w:t>
      </w:r>
      <w:r w:rsidR="0001663C">
        <w:t>,</w:t>
      </w:r>
      <w:r>
        <w:t xml:space="preserve"> Mid-East area</w:t>
      </w:r>
      <w:bookmarkEnd w:id="880"/>
    </w:p>
    <w:p w14:paraId="50944B13" w14:textId="77777777" w:rsidR="001A4F1A" w:rsidRPr="00D6101B" w:rsidRDefault="001A4F1A" w:rsidP="00E858EF">
      <w:pPr>
        <w:suppressAutoHyphens/>
        <w:spacing w:line="240" w:lineRule="auto"/>
      </w:pPr>
    </w:p>
    <w:p w14:paraId="6410EAB2" w14:textId="3E61E979" w:rsidR="001A4F1A" w:rsidRPr="00D6101B" w:rsidRDefault="001A4F1A" w:rsidP="00E858EF">
      <w:pPr>
        <w:pStyle w:val="Titolo4"/>
        <w:keepNext w:val="0"/>
        <w:keepLines w:val="0"/>
        <w:suppressAutoHyphens/>
        <w:rPr>
          <w:b w:val="0"/>
        </w:rPr>
      </w:pPr>
      <w:bookmarkStart w:id="881" w:name="_Toc389508272"/>
      <w:bookmarkStart w:id="882" w:name="_Toc517745352"/>
      <w:r w:rsidRPr="00D6101B">
        <w:t>Conclusion</w:t>
      </w:r>
      <w:bookmarkEnd w:id="881"/>
      <w:r>
        <w:t>s</w:t>
      </w:r>
      <w:bookmarkEnd w:id="882"/>
      <w:r w:rsidR="00481EA2">
        <w:t>: Mid-East area</w:t>
      </w:r>
    </w:p>
    <w:p w14:paraId="7808A3D9" w14:textId="77777777" w:rsidR="001A4F1A" w:rsidRPr="00D6101B" w:rsidRDefault="001A4F1A" w:rsidP="00E858EF">
      <w:pPr>
        <w:suppressAutoHyphens/>
      </w:pPr>
      <w:r>
        <w:t>Regarding the</w:t>
      </w:r>
      <w:r w:rsidRPr="00D6101B">
        <w:t xml:space="preserve"> </w:t>
      </w:r>
      <w:r>
        <w:t>Mid-East</w:t>
      </w:r>
      <w:r w:rsidRPr="00D6101B">
        <w:t xml:space="preserve"> area</w:t>
      </w:r>
      <w:r>
        <w:t>,</w:t>
      </w:r>
      <w:r w:rsidRPr="00D6101B">
        <w:t xml:space="preserve"> information concerning grave goods assemblage</w:t>
      </w:r>
      <w:r>
        <w:t xml:space="preserve">s is available for </w:t>
      </w:r>
      <w:r w:rsidRPr="00D6101B">
        <w:t xml:space="preserve">82% of secure tombs where larnax burials have been registered. In the </w:t>
      </w:r>
      <w:r>
        <w:t>Mid-East</w:t>
      </w:r>
      <w:r w:rsidRPr="00D6101B">
        <w:t xml:space="preserve"> area</w:t>
      </w:r>
      <w:r>
        <w:t>,</w:t>
      </w:r>
      <w:r w:rsidRPr="00D6101B">
        <w:t xml:space="preserve"> the most common material found in tombs with larnakes is </w:t>
      </w:r>
      <w:r>
        <w:t>pottery</w:t>
      </w:r>
      <w:r w:rsidRPr="00D6101B">
        <w:t xml:space="preserve"> </w:t>
      </w:r>
      <w:r>
        <w:t>(</w:t>
      </w:r>
      <w:r w:rsidRPr="00D6101B">
        <w:t>in 95% of tombs</w:t>
      </w:r>
      <w:r>
        <w:t>)</w:t>
      </w:r>
      <w:r w:rsidRPr="00D6101B">
        <w:t>. The analysis of grave goods assemblage composition</w:t>
      </w:r>
      <w:r>
        <w:t>s</w:t>
      </w:r>
      <w:r w:rsidRPr="00D6101B">
        <w:t xml:space="preserve"> </w:t>
      </w:r>
      <w:r>
        <w:t>in relation to</w:t>
      </w:r>
      <w:r w:rsidRPr="00D6101B">
        <w:t xml:space="preserve"> pottery presence </w:t>
      </w:r>
      <w:r>
        <w:t>is</w:t>
      </w:r>
      <w:r w:rsidRPr="00D6101B">
        <w:t xml:space="preserve"> summarised by th</w:t>
      </w:r>
      <w:r>
        <w:t>e</w:t>
      </w:r>
      <w:r w:rsidRPr="00D6101B">
        <w:t xml:space="preserve"> graph</w:t>
      </w:r>
      <w:r>
        <w:t>, below</w:t>
      </w:r>
      <w:r w:rsidRPr="00D6101B">
        <w:t>:</w:t>
      </w:r>
    </w:p>
    <w:p w14:paraId="7E82BF54" w14:textId="77777777" w:rsidR="001A4F1A" w:rsidRPr="00D6101B" w:rsidRDefault="001A4F1A" w:rsidP="00E858EF">
      <w:pPr>
        <w:suppressAutoHyphens/>
      </w:pPr>
      <w:r w:rsidRPr="00D6101B">
        <w:rPr>
          <w:noProof/>
          <w:lang w:val="it-IT"/>
        </w:rPr>
        <w:drawing>
          <wp:inline distT="0" distB="0" distL="0" distR="0" wp14:anchorId="3A445385" wp14:editId="212251D3">
            <wp:extent cx="4680000" cy="2520000"/>
            <wp:effectExtent l="0" t="0" r="6350" b="13970"/>
            <wp:docPr id="79" name="Grafico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78F2F153" w14:textId="31E92BBB" w:rsidR="001A4F1A" w:rsidRPr="00D6101B" w:rsidRDefault="001A4F1A" w:rsidP="00E858EF">
      <w:pPr>
        <w:pStyle w:val="Didascalia"/>
        <w:suppressAutoHyphens/>
      </w:pPr>
      <w:bookmarkStart w:id="883" w:name="_Toc520212388"/>
      <w:r>
        <w:t>Figure 4-50</w:t>
      </w:r>
      <w:r w:rsidR="00B93157">
        <w:t>.</w:t>
      </w:r>
      <w:r>
        <w:t xml:space="preserve"> </w:t>
      </w:r>
      <w:r w:rsidRPr="008703D3">
        <w:t>Composition o</w:t>
      </w:r>
      <w:r>
        <w:t>f grave goods assemblages according to pottery occurrence</w:t>
      </w:r>
      <w:r w:rsidR="0001663C">
        <w:t>,</w:t>
      </w:r>
      <w:r>
        <w:t xml:space="preserve"> Mid-East area</w:t>
      </w:r>
      <w:bookmarkEnd w:id="883"/>
      <w:r w:rsidDel="00BD76B3">
        <w:t xml:space="preserve"> </w:t>
      </w:r>
    </w:p>
    <w:p w14:paraId="1B20E814" w14:textId="77777777" w:rsidR="001A4F1A" w:rsidRPr="00D6101B" w:rsidRDefault="001A4F1A" w:rsidP="00E858EF">
      <w:pPr>
        <w:suppressAutoHyphens/>
      </w:pPr>
      <w:r>
        <w:tab/>
        <w:t>Non-ceramic</w:t>
      </w:r>
      <w:r w:rsidRPr="00D6101B">
        <w:t xml:space="preserve"> material </w:t>
      </w:r>
      <w:r>
        <w:t>is</w:t>
      </w:r>
      <w:r w:rsidRPr="00D6101B">
        <w:t xml:space="preserve"> </w:t>
      </w:r>
      <w:r>
        <w:t xml:space="preserve">present </w:t>
      </w:r>
      <w:r w:rsidRPr="00D6101B">
        <w:t>in only half of the tombs (51%)</w:t>
      </w:r>
      <w:r>
        <w:t>, and</w:t>
      </w:r>
      <w:r w:rsidRPr="00D6101B">
        <w:t xml:space="preserve"> almost always associated with pottery items. Stone and bronze </w:t>
      </w:r>
      <w:r>
        <w:t>are</w:t>
      </w:r>
      <w:r w:rsidRPr="00D6101B">
        <w:t xml:space="preserve"> the most common materials </w:t>
      </w:r>
      <w:r>
        <w:t>after</w:t>
      </w:r>
      <w:r w:rsidRPr="00D6101B">
        <w:t xml:space="preserve"> </w:t>
      </w:r>
      <w:r>
        <w:t>pottery</w:t>
      </w:r>
      <w:r w:rsidRPr="00D6101B">
        <w:t xml:space="preserve">, while precious materials </w:t>
      </w:r>
      <w:r>
        <w:t xml:space="preserve">(e.g. gold and ivory) </w:t>
      </w:r>
      <w:r w:rsidRPr="00D6101B">
        <w:t xml:space="preserve">occur in </w:t>
      </w:r>
      <w:r>
        <w:t xml:space="preserve">only </w:t>
      </w:r>
      <w:r w:rsidRPr="00D6101B">
        <w:t>a small number of tombs (</w:t>
      </w:r>
      <w:r>
        <w:t xml:space="preserve">3, or </w:t>
      </w:r>
      <w:r w:rsidRPr="00D6101B">
        <w:t>8%</w:t>
      </w:r>
      <w:r>
        <w:t xml:space="preserve"> of the sample</w:t>
      </w:r>
      <w:r w:rsidRPr="00D6101B">
        <w:t>).</w:t>
      </w:r>
      <w:r>
        <w:t xml:space="preserve"> </w:t>
      </w:r>
      <w:r w:rsidRPr="00D6101B">
        <w:t xml:space="preserve">Some of materials not registered in grave good assemblages </w:t>
      </w:r>
      <w:r>
        <w:t>are</w:t>
      </w:r>
      <w:r w:rsidRPr="00D6101B">
        <w:t xml:space="preserve"> precious (i.e. silver and iron).</w:t>
      </w:r>
      <w:r>
        <w:t xml:space="preserve"> </w:t>
      </w:r>
      <w:r w:rsidRPr="00D6101B">
        <w:t xml:space="preserve">The </w:t>
      </w:r>
      <w:r>
        <w:t xml:space="preserve">presence </w:t>
      </w:r>
      <w:r w:rsidRPr="00D6101B">
        <w:t xml:space="preserve">of precious materials seems </w:t>
      </w:r>
      <w:r>
        <w:t>un</w:t>
      </w:r>
      <w:r w:rsidRPr="00D6101B">
        <w:t xml:space="preserve">related </w:t>
      </w:r>
      <w:r>
        <w:t>to</w:t>
      </w:r>
      <w:r w:rsidRPr="00D6101B">
        <w:t xml:space="preserve"> the monumentality of the tombs: </w:t>
      </w:r>
      <w:r>
        <w:t>T</w:t>
      </w:r>
      <w:r w:rsidRPr="00D6101B">
        <w:t xml:space="preserve">omb 6 at Milatos </w:t>
      </w:r>
      <w:r>
        <w:t>has</w:t>
      </w:r>
      <w:r w:rsidRPr="00D6101B">
        <w:t xml:space="preserve"> the highest </w:t>
      </w:r>
      <w:r>
        <w:t xml:space="preserve">number </w:t>
      </w:r>
      <w:r w:rsidRPr="00D6101B">
        <w:t xml:space="preserve">of precious items </w:t>
      </w:r>
      <w:r>
        <w:t xml:space="preserve">but </w:t>
      </w:r>
      <w:r w:rsidRPr="00D6101B">
        <w:t xml:space="preserve">cannot be considered particularly monumental </w:t>
      </w:r>
      <w:r>
        <w:t>in terms of its</w:t>
      </w:r>
      <w:r w:rsidRPr="00D6101B">
        <w:t xml:space="preserve"> dimensions and/or architectural characteristics (chamber tomb dimension: 3</w:t>
      </w:r>
      <w:r>
        <w:t>.</w:t>
      </w:r>
      <w:r w:rsidRPr="00D6101B">
        <w:t>3 sq</w:t>
      </w:r>
      <w:r>
        <w:t>.</w:t>
      </w:r>
      <w:r w:rsidRPr="00D6101B">
        <w:t>m</w:t>
      </w:r>
      <w:r>
        <w:t>.</w:t>
      </w:r>
      <w:r w:rsidRPr="00D6101B">
        <w:t>; grave goods materials: amber, bronze, ceramic, faience, glass, gold, ivory and stone).</w:t>
      </w:r>
      <w:r>
        <w:t xml:space="preserve"> </w:t>
      </w:r>
      <w:r w:rsidRPr="00D6101B">
        <w:t xml:space="preserve">The same </w:t>
      </w:r>
      <w:r>
        <w:t>can</w:t>
      </w:r>
      <w:r w:rsidRPr="00D6101B">
        <w:t xml:space="preserve"> be observed for the two tombs at Elounda (cave rock/shelter tombs 16 and 22) in which gold items have been found. </w:t>
      </w:r>
    </w:p>
    <w:p w14:paraId="58740288" w14:textId="77777777" w:rsidR="001A4F1A" w:rsidRPr="00D6101B" w:rsidRDefault="001A4F1A" w:rsidP="00E858EF">
      <w:pPr>
        <w:suppressAutoHyphens/>
      </w:pPr>
      <w:r>
        <w:tab/>
      </w:r>
      <w:r w:rsidRPr="00D6101B">
        <w:t xml:space="preserve">In general, comparing the data concerning architectural monumentality of </w:t>
      </w:r>
      <w:r>
        <w:t>the Mid-East</w:t>
      </w:r>
      <w:r w:rsidRPr="00D6101B">
        <w:t xml:space="preserve"> region tombs and the </w:t>
      </w:r>
      <w:r>
        <w:t>presence</w:t>
      </w:r>
      <w:r w:rsidRPr="00D6101B">
        <w:t xml:space="preserve"> of precious items within their assemblage, the results </w:t>
      </w:r>
      <w:r>
        <w:t>reveal</w:t>
      </w:r>
      <w:r w:rsidRPr="00D6101B">
        <w:t xml:space="preserve"> a general lack of monumentality correspond</w:t>
      </w:r>
      <w:r>
        <w:t>ing with</w:t>
      </w:r>
      <w:r w:rsidRPr="00D6101B">
        <w:t xml:space="preserve"> a lack of precious items in grave good assemblage. </w:t>
      </w:r>
      <w:r>
        <w:t>However,</w:t>
      </w:r>
      <w:r w:rsidRPr="00D6101B">
        <w:t xml:space="preserve"> it is important to </w:t>
      </w:r>
      <w:r>
        <w:t>remember</w:t>
      </w:r>
      <w:r w:rsidRPr="00D6101B">
        <w:t xml:space="preserve"> that</w:t>
      </w:r>
      <w:r>
        <w:t>,</w:t>
      </w:r>
      <w:r w:rsidRPr="00D6101B">
        <w:t xml:space="preserve"> for some tombs (</w:t>
      </w:r>
      <w:r>
        <w:t>e.g.</w:t>
      </w:r>
      <w:r w:rsidRPr="00D6101B">
        <w:t xml:space="preserve"> Kritsa Lakkoi)</w:t>
      </w:r>
      <w:r>
        <w:t>,</w:t>
      </w:r>
      <w:r w:rsidRPr="00D6101B">
        <w:t xml:space="preserve"> data concerning the assemblage composition are partial. Furthermore, in the case of </w:t>
      </w:r>
      <w:r>
        <w:t xml:space="preserve">the </w:t>
      </w:r>
      <w:r w:rsidRPr="00D6101B">
        <w:t>Milatos cemetery</w:t>
      </w:r>
      <w:r>
        <w:t>,</w:t>
      </w:r>
      <w:r w:rsidRPr="00D6101B">
        <w:t xml:space="preserve"> data concerning the lengths of dromoi are </w:t>
      </w:r>
      <w:r>
        <w:t>un</w:t>
      </w:r>
      <w:r w:rsidRPr="00D6101B">
        <w:t>available.</w:t>
      </w:r>
    </w:p>
    <w:p w14:paraId="75920F3E" w14:textId="77777777" w:rsidR="001A4F1A" w:rsidRPr="00D6101B" w:rsidRDefault="001A4F1A" w:rsidP="00E858EF">
      <w:pPr>
        <w:suppressAutoHyphens/>
      </w:pPr>
      <w:r>
        <w:tab/>
      </w:r>
      <w:r w:rsidRPr="00D6101B">
        <w:t>The analysis of the grave good assemblages relative to the cave/rock</w:t>
      </w:r>
      <w:r>
        <w:t>-</w:t>
      </w:r>
      <w:r w:rsidRPr="00D6101B">
        <w:t xml:space="preserve">shelter larnax burials at Elounda cemetery </w:t>
      </w:r>
      <w:r>
        <w:t>reveals</w:t>
      </w:r>
      <w:r w:rsidRPr="00D6101B">
        <w:t xml:space="preserve"> the </w:t>
      </w:r>
      <w:r>
        <w:t>presence</w:t>
      </w:r>
      <w:r w:rsidRPr="00D6101B">
        <w:t xml:space="preserve"> of a relative</w:t>
      </w:r>
      <w:r>
        <w:t>ly</w:t>
      </w:r>
      <w:r w:rsidRPr="00D6101B">
        <w:t xml:space="preserve"> low number of artefacts. </w:t>
      </w:r>
      <w:r>
        <w:t>Considering</w:t>
      </w:r>
      <w:r w:rsidRPr="00D6101B">
        <w:t xml:space="preserve"> th</w:t>
      </w:r>
      <w:r>
        <w:t>e</w:t>
      </w:r>
      <w:r w:rsidRPr="00D6101B">
        <w:t xml:space="preserve"> data </w:t>
      </w:r>
      <w:r>
        <w:t>regarding</w:t>
      </w:r>
      <w:r w:rsidRPr="00D6101B">
        <w:t xml:space="preserve"> the results relative </w:t>
      </w:r>
      <w:r>
        <w:t xml:space="preserve">to </w:t>
      </w:r>
      <w:r w:rsidRPr="00D6101B">
        <w:t>the number of burials per tomb, the hypothesis that these tombs were used for single burial deposition</w:t>
      </w:r>
      <w:r>
        <w:t>s</w:t>
      </w:r>
      <w:r w:rsidRPr="00D6101B">
        <w:t xml:space="preserve"> seems plausible, considering that </w:t>
      </w:r>
      <w:r>
        <w:t>the</w:t>
      </w:r>
      <w:r w:rsidRPr="00D6101B">
        <w:t xml:space="preserve"> low number of burials per tomb (max</w:t>
      </w:r>
      <w:r>
        <w:t>imum of two</w:t>
      </w:r>
      <w:r w:rsidRPr="00D6101B">
        <w:t>) correspond</w:t>
      </w:r>
      <w:r>
        <w:t>s with</w:t>
      </w:r>
      <w:r w:rsidRPr="00D6101B">
        <w:t xml:space="preserve"> </w:t>
      </w:r>
      <w:r>
        <w:t>the</w:t>
      </w:r>
      <w:r w:rsidRPr="00D6101B">
        <w:t xml:space="preserve"> limited number of objects in the grave good</w:t>
      </w:r>
      <w:r>
        <w:t>s</w:t>
      </w:r>
      <w:r w:rsidRPr="00D6101B">
        <w:t xml:space="preserve"> assemblage (max</w:t>
      </w:r>
      <w:r>
        <w:t>imum</w:t>
      </w:r>
      <w:r w:rsidRPr="00D6101B">
        <w:t xml:space="preserve"> </w:t>
      </w:r>
      <w:r>
        <w:t>of seven).</w:t>
      </w:r>
      <w:r w:rsidRPr="00D6101B">
        <w:t xml:space="preserve"> </w:t>
      </w:r>
      <w:r>
        <w:t>T</w:t>
      </w:r>
      <w:r w:rsidRPr="00D6101B">
        <w:t xml:space="preserve">he </w:t>
      </w:r>
      <w:r>
        <w:t>presence</w:t>
      </w:r>
      <w:r w:rsidRPr="00D6101B">
        <w:t xml:space="preserve"> </w:t>
      </w:r>
      <w:r>
        <w:t>of</w:t>
      </w:r>
      <w:r w:rsidRPr="00D6101B">
        <w:t xml:space="preserve"> a higher number of items is not attested in the tombs with a higher number of minimum individual</w:t>
      </w:r>
      <w:r>
        <w:t>s</w:t>
      </w:r>
      <w:r w:rsidRPr="00D6101B">
        <w:t xml:space="preserve"> buried (</w:t>
      </w:r>
      <w:r>
        <w:t>i.e. at least two</w:t>
      </w:r>
      <w:r w:rsidRPr="00D6101B">
        <w:t xml:space="preserve"> individuals)</w:t>
      </w:r>
      <w:r>
        <w:t>,</w:t>
      </w:r>
      <w:r w:rsidRPr="00D6101B">
        <w:t xml:space="preserve"> but in tomb</w:t>
      </w:r>
      <w:r>
        <w:t>s</w:t>
      </w:r>
      <w:r w:rsidRPr="00D6101B">
        <w:t xml:space="preserve"> 22 and 13 (7 items)</w:t>
      </w:r>
      <w:r>
        <w:t>,</w:t>
      </w:r>
      <w:r w:rsidRPr="00D6101B">
        <w:t xml:space="preserve"> according to the data available</w:t>
      </w:r>
      <w:r>
        <w:t>,</w:t>
      </w:r>
      <w:r w:rsidRPr="00D6101B">
        <w:t xml:space="preserve"> </w:t>
      </w:r>
      <w:r>
        <w:t>there are only</w:t>
      </w:r>
      <w:r w:rsidRPr="00D6101B">
        <w:t xml:space="preserve"> </w:t>
      </w:r>
      <w:r>
        <w:t>single</w:t>
      </w:r>
      <w:r w:rsidRPr="00D6101B">
        <w:t xml:space="preserve"> individual</w:t>
      </w:r>
      <w:r>
        <w:t>s</w:t>
      </w:r>
      <w:r w:rsidRPr="00D6101B">
        <w:t xml:space="preserve"> </w:t>
      </w:r>
      <w:r>
        <w:t>buried</w:t>
      </w:r>
      <w:r w:rsidRPr="00D6101B">
        <w:t>.</w:t>
      </w:r>
    </w:p>
    <w:p w14:paraId="7F5FB6AE" w14:textId="77777777" w:rsidR="001A4F1A" w:rsidRPr="00D6101B" w:rsidRDefault="001A4F1A" w:rsidP="00E858EF">
      <w:pPr>
        <w:suppressAutoHyphens/>
      </w:pPr>
      <w:r>
        <w:tab/>
        <w:t>Regarding pottery typ</w:t>
      </w:r>
      <w:r w:rsidRPr="00D6101B">
        <w:t>es</w:t>
      </w:r>
      <w:r>
        <w:t>,</w:t>
      </w:r>
      <w:r w:rsidRPr="00D6101B">
        <w:t xml:space="preserve"> stirrup jars and conical cups </w:t>
      </w:r>
      <w:r>
        <w:t>are</w:t>
      </w:r>
      <w:r w:rsidRPr="00D6101B">
        <w:t xml:space="preserve"> the most common vase type</w:t>
      </w:r>
      <w:r>
        <w:t>,</w:t>
      </w:r>
      <w:r w:rsidRPr="00D6101B">
        <w:t xml:space="preserve"> with almost the same number of items registered. Not all </w:t>
      </w:r>
      <w:r>
        <w:t>the most common pottery typ</w:t>
      </w:r>
      <w:r w:rsidRPr="00D6101B">
        <w:t>es have been attested within the grave good assemblage</w:t>
      </w:r>
      <w:r>
        <w:t>s</w:t>
      </w:r>
      <w:r w:rsidRPr="00D6101B">
        <w:t xml:space="preserve"> of tombs with larnakes </w:t>
      </w:r>
      <w:r>
        <w:t>in the Mid-East</w:t>
      </w:r>
      <w:r w:rsidRPr="00D6101B">
        <w:t xml:space="preserve"> area (five shapes are missing).</w:t>
      </w:r>
    </w:p>
    <w:p w14:paraId="15F0267A" w14:textId="77777777" w:rsidR="001A4F1A" w:rsidRPr="00D6101B" w:rsidRDefault="001A4F1A" w:rsidP="00E858EF">
      <w:pPr>
        <w:suppressAutoHyphens/>
      </w:pPr>
      <w:r>
        <w:tab/>
      </w:r>
      <w:r w:rsidRPr="00D6101B">
        <w:t xml:space="preserve">The </w:t>
      </w:r>
      <w:r>
        <w:t xml:space="preserve">highest number of </w:t>
      </w:r>
      <w:r w:rsidRPr="00D6101B">
        <w:t xml:space="preserve">pottery items per tomb (50) </w:t>
      </w:r>
      <w:r>
        <w:t>was</w:t>
      </w:r>
      <w:r w:rsidRPr="00D6101B">
        <w:t xml:space="preserve"> found at Psari Phorada, </w:t>
      </w:r>
      <w:r>
        <w:t>including</w:t>
      </w:r>
      <w:r w:rsidRPr="00D6101B">
        <w:t xml:space="preserve"> </w:t>
      </w:r>
      <w:r>
        <w:t>many</w:t>
      </w:r>
      <w:r w:rsidRPr="00D6101B">
        <w:t xml:space="preserve"> conical cups (33</w:t>
      </w:r>
      <w:r>
        <w:t xml:space="preserve">, </w:t>
      </w:r>
      <w:r w:rsidRPr="00D6101B">
        <w:t>more than half of the total number of pottery vessels).</w:t>
      </w:r>
      <w:r>
        <w:t xml:space="preserve"> </w:t>
      </w:r>
      <w:r w:rsidRPr="00D6101B">
        <w:t>Preliminary report</w:t>
      </w:r>
      <w:r>
        <w:t>s</w:t>
      </w:r>
      <w:r w:rsidRPr="00D6101B">
        <w:t xml:space="preserve"> </w:t>
      </w:r>
      <w:r>
        <w:t>about</w:t>
      </w:r>
      <w:r w:rsidRPr="00D6101B">
        <w:t xml:space="preserve"> one of the tombs at Kritsa (</w:t>
      </w:r>
      <w:r>
        <w:t>T</w:t>
      </w:r>
      <w:r w:rsidRPr="00D6101B">
        <w:t xml:space="preserve">omb A) </w:t>
      </w:r>
      <w:r>
        <w:t xml:space="preserve">reveal </w:t>
      </w:r>
      <w:r w:rsidRPr="00D6101B">
        <w:t xml:space="preserve">a high number of pottery </w:t>
      </w:r>
      <w:r>
        <w:t xml:space="preserve">pieces (Tsipopoulou and Vagnetti 2006) </w:t>
      </w:r>
      <w:r w:rsidRPr="00D6101B">
        <w:t>and the highest number of stirrup jars in the region.</w:t>
      </w:r>
      <w:r>
        <w:t xml:space="preserve"> </w:t>
      </w:r>
      <w:r w:rsidRPr="00D6101B">
        <w:t xml:space="preserve">Only in </w:t>
      </w:r>
      <w:r>
        <w:t xml:space="preserve">one </w:t>
      </w:r>
      <w:r w:rsidRPr="00D6101B">
        <w:t>other tomb</w:t>
      </w:r>
      <w:r>
        <w:t xml:space="preserve"> is</w:t>
      </w:r>
      <w:r w:rsidRPr="00D6101B">
        <w:t xml:space="preserve"> the number of pottery vessels </w:t>
      </w:r>
      <w:r>
        <w:t>more than</w:t>
      </w:r>
      <w:r w:rsidRPr="00D6101B">
        <w:t xml:space="preserve"> 10 (</w:t>
      </w:r>
      <w:r>
        <w:t xml:space="preserve">17, in </w:t>
      </w:r>
      <w:r w:rsidRPr="00D6101B">
        <w:t xml:space="preserve">Milatos </w:t>
      </w:r>
      <w:r>
        <w:t>T</w:t>
      </w:r>
      <w:r w:rsidRPr="00D6101B">
        <w:t>omb 2). In all the remaining tombs</w:t>
      </w:r>
      <w:r>
        <w:t>, the</w:t>
      </w:r>
      <w:r w:rsidRPr="00D6101B">
        <w:t xml:space="preserve"> pottery assemblage</w:t>
      </w:r>
      <w:r>
        <w:t>s</w:t>
      </w:r>
      <w:r w:rsidRPr="00D6101B">
        <w:t xml:space="preserve"> can be considered small in terms of number.</w:t>
      </w:r>
    </w:p>
    <w:p w14:paraId="3900D423" w14:textId="77777777" w:rsidR="001A4F1A" w:rsidRPr="00D6101B" w:rsidRDefault="001A4F1A" w:rsidP="00E858EF">
      <w:pPr>
        <w:suppressAutoHyphens/>
      </w:pPr>
      <w:r>
        <w:tab/>
      </w:r>
      <w:r w:rsidRPr="00D6101B">
        <w:t xml:space="preserve">Imported vessels have been registered in only </w:t>
      </w:r>
      <w:r>
        <w:t>two</w:t>
      </w:r>
      <w:r w:rsidRPr="00D6101B">
        <w:t xml:space="preserve"> tombs at Kritsa:</w:t>
      </w:r>
    </w:p>
    <w:p w14:paraId="6FD716EF" w14:textId="77777777" w:rsidR="001A4F1A" w:rsidRPr="00D6101B" w:rsidRDefault="001A4F1A" w:rsidP="00E858EF">
      <w:pPr>
        <w:pStyle w:val="Paragrafoelenco"/>
        <w:numPr>
          <w:ilvl w:val="0"/>
          <w:numId w:val="50"/>
        </w:numPr>
        <w:suppressAutoHyphens/>
      </w:pPr>
      <w:r w:rsidRPr="00D6101B">
        <w:t xml:space="preserve">Kritsa Katharos </w:t>
      </w:r>
      <w:r>
        <w:t>T</w:t>
      </w:r>
      <w:r w:rsidRPr="00D6101B">
        <w:t>omb A, Kydonia and Mycenaean imports</w:t>
      </w:r>
    </w:p>
    <w:p w14:paraId="2997AEF5" w14:textId="77777777" w:rsidR="001A4F1A" w:rsidRPr="00B448CB" w:rsidRDefault="001A4F1A" w:rsidP="00E858EF">
      <w:pPr>
        <w:pStyle w:val="Paragrafoelenco"/>
        <w:numPr>
          <w:ilvl w:val="0"/>
          <w:numId w:val="50"/>
        </w:numPr>
        <w:suppressAutoHyphens/>
        <w:rPr>
          <w:lang w:val="fr-FR"/>
        </w:rPr>
      </w:pPr>
      <w:r w:rsidRPr="00B448CB">
        <w:rPr>
          <w:lang w:val="fr-FR"/>
        </w:rPr>
        <w:t>Kritsa Lakkoi Tomb C, Kydonia imports</w:t>
      </w:r>
    </w:p>
    <w:p w14:paraId="3B1FC8A4" w14:textId="77777777" w:rsidR="001A4F1A" w:rsidRPr="00D6101B" w:rsidRDefault="001A4F1A" w:rsidP="00E858EF">
      <w:pPr>
        <w:pStyle w:val="Paragrafoelenco"/>
        <w:suppressAutoHyphens/>
        <w:ind w:left="0"/>
      </w:pPr>
      <w:r w:rsidRPr="00D6101B">
        <w:t xml:space="preserve">Both tombs </w:t>
      </w:r>
      <w:r>
        <w:t>contained</w:t>
      </w:r>
      <w:r w:rsidRPr="00D6101B">
        <w:t xml:space="preserve"> heirlooms (i.e. stone vases and seals).</w:t>
      </w:r>
    </w:p>
    <w:p w14:paraId="215711D8" w14:textId="62FC4669" w:rsidR="001A4F1A" w:rsidRPr="00D6101B" w:rsidRDefault="001A4F1A" w:rsidP="00E858EF">
      <w:pPr>
        <w:pStyle w:val="Titolo3"/>
        <w:keepNext w:val="0"/>
        <w:keepLines w:val="0"/>
        <w:suppressAutoHyphens/>
      </w:pPr>
      <w:bookmarkStart w:id="884" w:name="_Toc389508273"/>
      <w:bookmarkStart w:id="885" w:name="_Toc517745353"/>
      <w:bookmarkStart w:id="886" w:name="_Toc519894667"/>
      <w:r>
        <w:t>Far-East</w:t>
      </w:r>
      <w:r w:rsidRPr="00D6101B">
        <w:t xml:space="preserve"> </w:t>
      </w:r>
      <w:r w:rsidR="007D3735">
        <w:t xml:space="preserve">area </w:t>
      </w:r>
      <w:r w:rsidRPr="00D6101B">
        <w:t>(grave goods)</w:t>
      </w:r>
      <w:bookmarkEnd w:id="884"/>
      <w:bookmarkEnd w:id="885"/>
      <w:bookmarkEnd w:id="886"/>
    </w:p>
    <w:p w14:paraId="245462B0" w14:textId="77777777" w:rsidR="001A4F1A" w:rsidRPr="00D6101B" w:rsidRDefault="001A4F1A" w:rsidP="00E858EF">
      <w:pPr>
        <w:pStyle w:val="Titolo4"/>
        <w:keepNext w:val="0"/>
        <w:keepLines w:val="0"/>
        <w:suppressAutoHyphens/>
      </w:pPr>
      <w:bookmarkStart w:id="887" w:name="_Toc389508274"/>
      <w:bookmarkStart w:id="888" w:name="_Toc517745354"/>
      <w:r w:rsidRPr="00D6101B">
        <w:t>Sample</w:t>
      </w:r>
      <w:bookmarkEnd w:id="887"/>
      <w:bookmarkEnd w:id="888"/>
    </w:p>
    <w:p w14:paraId="545ABDE6" w14:textId="77777777" w:rsidR="001A4F1A" w:rsidRPr="00D6101B" w:rsidRDefault="001A4F1A" w:rsidP="00E858EF">
      <w:pPr>
        <w:suppressAutoHyphens/>
      </w:pPr>
      <w:r w:rsidRPr="00D6101B">
        <w:t>The sample of secure tombs with larnax burials for which there is information about grave good</w:t>
      </w:r>
      <w:r>
        <w:t>s</w:t>
      </w:r>
      <w:r w:rsidRPr="00D6101B">
        <w:t xml:space="preserve"> remains is 67.</w:t>
      </w:r>
      <w:r>
        <w:t xml:space="preserve"> </w:t>
      </w:r>
      <w:r w:rsidRPr="00D6101B">
        <w:t xml:space="preserve">For </w:t>
      </w:r>
      <w:r>
        <w:t xml:space="preserve">the </w:t>
      </w:r>
      <w:r w:rsidRPr="00D6101B">
        <w:t>remaining 10 tombs</w:t>
      </w:r>
      <w:r>
        <w:t>,</w:t>
      </w:r>
      <w:r w:rsidRPr="00D6101B">
        <w:t xml:space="preserve"> there is no information about </w:t>
      </w:r>
      <w:r>
        <w:t xml:space="preserve">the </w:t>
      </w:r>
      <w:r w:rsidRPr="00D6101B">
        <w:t>grave goods</w:t>
      </w:r>
      <w:r>
        <w:t>, and</w:t>
      </w:r>
      <w:r w:rsidRPr="00D6101B">
        <w:t xml:space="preserve"> </w:t>
      </w:r>
      <w:r>
        <w:t>t</w:t>
      </w:r>
      <w:r w:rsidRPr="00D6101B">
        <w:t xml:space="preserve">hey are distributed between </w:t>
      </w:r>
      <w:r>
        <w:t>five</w:t>
      </w:r>
      <w:r w:rsidRPr="00D6101B">
        <w:t xml:space="preserve"> different cemeteries:</w:t>
      </w:r>
    </w:p>
    <w:p w14:paraId="3833F0BB" w14:textId="77777777" w:rsidR="001A4F1A" w:rsidRPr="00D6101B" w:rsidRDefault="001A4F1A" w:rsidP="00E858EF">
      <w:pPr>
        <w:pStyle w:val="Paragrafoelenco"/>
        <w:numPr>
          <w:ilvl w:val="0"/>
          <w:numId w:val="43"/>
        </w:numPr>
        <w:suppressAutoHyphens/>
      </w:pPr>
      <w:r w:rsidRPr="00D6101B">
        <w:t>Achladia Kimouriotis chamber tomb</w:t>
      </w:r>
      <w:r>
        <w:t>,</w:t>
      </w:r>
      <w:r w:rsidRPr="00D6101B">
        <w:t xml:space="preserve"> which </w:t>
      </w:r>
      <w:r>
        <w:t>was</w:t>
      </w:r>
      <w:r w:rsidRPr="00D6101B">
        <w:t xml:space="preserve"> destroyed (Tsipopoulou</w:t>
      </w:r>
      <w:r>
        <w:t xml:space="preserve"> and</w:t>
      </w:r>
      <w:r w:rsidRPr="00D6101B">
        <w:t xml:space="preserve"> Vagnetti 1995: 131-134)</w:t>
      </w:r>
      <w:r>
        <w:t>.</w:t>
      </w:r>
    </w:p>
    <w:p w14:paraId="3BA6F70C" w14:textId="77777777" w:rsidR="001A4F1A" w:rsidRPr="00D6101B" w:rsidRDefault="001A4F1A" w:rsidP="00E858EF">
      <w:pPr>
        <w:pStyle w:val="Paragrafoelenco"/>
        <w:numPr>
          <w:ilvl w:val="0"/>
          <w:numId w:val="43"/>
        </w:numPr>
        <w:suppressAutoHyphens/>
      </w:pPr>
      <w:r w:rsidRPr="00D6101B">
        <w:t>In one of the two rock</w:t>
      </w:r>
      <w:r>
        <w:t>-</w:t>
      </w:r>
      <w:r w:rsidRPr="00D6101B">
        <w:t>shelter tombs found at Kavousi Ridopoulia was found a larnax burial, but there is no information about the relat</w:t>
      </w:r>
      <w:r>
        <w:t>ed</w:t>
      </w:r>
      <w:r w:rsidRPr="00D6101B">
        <w:t xml:space="preserve"> assemblage (Coulson, Day and Gesell 1983)</w:t>
      </w:r>
      <w:r>
        <w:t>.</w:t>
      </w:r>
    </w:p>
    <w:p w14:paraId="0F605B48" w14:textId="77777777" w:rsidR="001A4F1A" w:rsidRPr="00D6101B" w:rsidRDefault="001A4F1A" w:rsidP="00E858EF">
      <w:pPr>
        <w:pStyle w:val="Paragrafoelenco"/>
        <w:numPr>
          <w:ilvl w:val="0"/>
          <w:numId w:val="43"/>
        </w:numPr>
        <w:suppressAutoHyphens/>
      </w:pPr>
      <w:r w:rsidRPr="00D6101B">
        <w:t>No grave goods are mentioned for three of the larna</w:t>
      </w:r>
      <w:r>
        <w:t>kes</w:t>
      </w:r>
      <w:r w:rsidRPr="00D6101B">
        <w:t xml:space="preserve"> in </w:t>
      </w:r>
      <w:r>
        <w:t>a</w:t>
      </w:r>
      <w:r w:rsidRPr="00D6101B">
        <w:t xml:space="preserve"> pit found at Palaikastro Sarandari (</w:t>
      </w:r>
      <w:r>
        <w:t>Dawkins et al.</w:t>
      </w:r>
      <w:r w:rsidRPr="00343432">
        <w:t>1904</w:t>
      </w:r>
      <w:r>
        <w:t>/</w:t>
      </w:r>
      <w:r w:rsidRPr="00343432">
        <w:t>5: 293-297</w:t>
      </w:r>
      <w:r w:rsidRPr="00D6101B">
        <w:t>)</w:t>
      </w:r>
      <w:r>
        <w:t>,</w:t>
      </w:r>
      <w:r w:rsidRPr="00D6101B">
        <w:t xml:space="preserve"> </w:t>
      </w:r>
      <w:r>
        <w:t>nor</w:t>
      </w:r>
      <w:r w:rsidRPr="00D6101B">
        <w:t xml:space="preserve"> for three larnakes at Palaikastro Aspa found in three pits near the cliff (No</w:t>
      </w:r>
      <w:r>
        <w:t>s.</w:t>
      </w:r>
      <w:r w:rsidRPr="00D6101B">
        <w:t xml:space="preserve"> 2, 3 and 4) (</w:t>
      </w:r>
      <w:r w:rsidRPr="009024B8">
        <w:t xml:space="preserve">Dawkins and Currelly </w:t>
      </w:r>
      <w:r w:rsidRPr="00D6101B">
        <w:t>1903-1904: 227);</w:t>
      </w:r>
    </w:p>
    <w:p w14:paraId="7E9A9D6A" w14:textId="77777777" w:rsidR="001A4F1A" w:rsidRPr="00D6101B" w:rsidRDefault="001A4F1A" w:rsidP="00E858EF">
      <w:pPr>
        <w:pStyle w:val="Paragrafoelenco"/>
        <w:numPr>
          <w:ilvl w:val="0"/>
          <w:numId w:val="43"/>
        </w:numPr>
        <w:suppressAutoHyphens/>
      </w:pPr>
      <w:r w:rsidRPr="00D6101B">
        <w:rPr>
          <w:bCs/>
        </w:rPr>
        <w:t>At Petras</w:t>
      </w:r>
      <w:r>
        <w:rPr>
          <w:bCs/>
        </w:rPr>
        <w:t>,</w:t>
      </w:r>
      <w:r w:rsidRPr="00D6101B">
        <w:rPr>
          <w:bCs/>
        </w:rPr>
        <w:t xml:space="preserve"> in 1904</w:t>
      </w:r>
      <w:r>
        <w:rPr>
          <w:bCs/>
        </w:rPr>
        <w:t>,</w:t>
      </w:r>
      <w:r w:rsidRPr="00D6101B">
        <w:t xml:space="preserve"> Xanthoudidis found a destroyed tomb </w:t>
      </w:r>
      <w:r>
        <w:t>containing</w:t>
      </w:r>
      <w:r w:rsidRPr="00D6101B">
        <w:t xml:space="preserve"> at least </w:t>
      </w:r>
      <w:r>
        <w:t>three</w:t>
      </w:r>
      <w:r w:rsidRPr="00D6101B">
        <w:t xml:space="preserve"> larnakes. Only </w:t>
      </w:r>
      <w:r>
        <w:t>one</w:t>
      </w:r>
      <w:r w:rsidRPr="00D6101B">
        <w:t xml:space="preserve"> sarcophagus was collected </w:t>
      </w:r>
      <w:r>
        <w:t>as</w:t>
      </w:r>
      <w:r w:rsidRPr="00D6101B">
        <w:t xml:space="preserve"> the other two</w:t>
      </w:r>
      <w:r>
        <w:t xml:space="preserve"> were</w:t>
      </w:r>
      <w:r w:rsidRPr="00D6101B">
        <w:t xml:space="preserve"> in fragments</w:t>
      </w:r>
      <w:r>
        <w:t>.</w:t>
      </w:r>
      <w:r w:rsidRPr="00D6101B">
        <w:t xml:space="preserve"> </w:t>
      </w:r>
      <w:r>
        <w:t>N</w:t>
      </w:r>
      <w:r w:rsidRPr="00D6101B">
        <w:t xml:space="preserve">o information is available </w:t>
      </w:r>
      <w:r>
        <w:t>regarding the</w:t>
      </w:r>
      <w:r w:rsidRPr="00D6101B">
        <w:t xml:space="preserve"> grave goods assemblage (Xanthoudidis 1904: 55; Langohr 2008: 524)</w:t>
      </w:r>
      <w:r>
        <w:t>.</w:t>
      </w:r>
    </w:p>
    <w:p w14:paraId="0C95D78F" w14:textId="6BD10617" w:rsidR="001A4F1A" w:rsidRPr="00D6101B" w:rsidRDefault="001A4F1A" w:rsidP="00E858EF">
      <w:pPr>
        <w:pStyle w:val="Paragrafoelenco"/>
        <w:numPr>
          <w:ilvl w:val="0"/>
          <w:numId w:val="43"/>
        </w:numPr>
        <w:suppressAutoHyphens/>
      </w:pPr>
      <w:r w:rsidRPr="00D6101B">
        <w:t>At Sitia</w:t>
      </w:r>
      <w:r>
        <w:t>,</w:t>
      </w:r>
      <w:r w:rsidRPr="00D6101B">
        <w:t xml:space="preserve"> near</w:t>
      </w:r>
      <w:r>
        <w:t xml:space="preserve"> the Itanos</w:t>
      </w:r>
      <w:r w:rsidRPr="00D6101B">
        <w:t xml:space="preserve"> cinema</w:t>
      </w:r>
      <w:r>
        <w:t>, a</w:t>
      </w:r>
      <w:r w:rsidRPr="00D6101B">
        <w:t xml:space="preserve"> pit with larnakes </w:t>
      </w:r>
      <w:r>
        <w:t>was</w:t>
      </w:r>
      <w:r w:rsidRPr="00D6101B">
        <w:t xml:space="preserve"> found by Platon (1953), but no information is </w:t>
      </w:r>
      <w:r>
        <w:t>provided</w:t>
      </w:r>
      <w:r w:rsidRPr="00D6101B">
        <w:t xml:space="preserve"> concerning the relat</w:t>
      </w:r>
      <w:r>
        <w:t>ed</w:t>
      </w:r>
      <w:r w:rsidRPr="00D6101B">
        <w:t xml:space="preserve"> assemblage (Platon 1953: 292; Kanta 1980: 177; Langohr 2008: 534).</w:t>
      </w:r>
    </w:p>
    <w:p w14:paraId="6B7B39BA" w14:textId="77777777" w:rsidR="001A4F1A" w:rsidRPr="00D6101B" w:rsidRDefault="001A4F1A" w:rsidP="00E858EF">
      <w:pPr>
        <w:suppressAutoHyphens/>
      </w:pPr>
      <w:r w:rsidRPr="00D6101B">
        <w:t>In this region</w:t>
      </w:r>
      <w:r>
        <w:t>,</w:t>
      </w:r>
      <w:r w:rsidRPr="00D6101B">
        <w:t xml:space="preserve"> the number of tombs for which only partial information </w:t>
      </w:r>
      <w:r>
        <w:t>is</w:t>
      </w:r>
      <w:r w:rsidRPr="00D6101B">
        <w:t xml:space="preserve"> available </w:t>
      </w:r>
      <w:r>
        <w:t>regarding</w:t>
      </w:r>
      <w:r w:rsidRPr="00D6101B">
        <w:t xml:space="preserve"> grave goods assemblage</w:t>
      </w:r>
      <w:r>
        <w:t>s</w:t>
      </w:r>
      <w:r w:rsidRPr="00D6101B">
        <w:t xml:space="preserve"> is consistent and especially</w:t>
      </w:r>
      <w:r>
        <w:t xml:space="preserve"> affects</w:t>
      </w:r>
      <w:r w:rsidRPr="00D6101B">
        <w:t xml:space="preserve"> data </w:t>
      </w:r>
      <w:r>
        <w:t>about pottery typ</w:t>
      </w:r>
      <w:r w:rsidRPr="00D6101B">
        <w:t>es (</w:t>
      </w:r>
      <w:r>
        <w:t xml:space="preserve">i.e. </w:t>
      </w:r>
      <w:r w:rsidRPr="00D6101B">
        <w:t xml:space="preserve">information only about </w:t>
      </w:r>
      <w:r>
        <w:t xml:space="preserve">the </w:t>
      </w:r>
      <w:r w:rsidRPr="00D6101B">
        <w:t xml:space="preserve">pottery presence or sherd). For example, </w:t>
      </w:r>
      <w:r>
        <w:t xml:space="preserve">there is </w:t>
      </w:r>
      <w:r w:rsidRPr="00D6101B">
        <w:t>information concerning grave goods assemblage</w:t>
      </w:r>
      <w:r>
        <w:t>s</w:t>
      </w:r>
      <w:r w:rsidRPr="00D6101B">
        <w:t xml:space="preserve"> at Myrsini</w:t>
      </w:r>
      <w:r>
        <w:t>,</w:t>
      </w:r>
      <w:r w:rsidRPr="00D6101B">
        <w:t xml:space="preserve"> </w:t>
      </w:r>
      <w:r>
        <w:t>and</w:t>
      </w:r>
      <w:r w:rsidRPr="00D6101B">
        <w:t xml:space="preserve"> also at Berati Piskokephalo, Praisos Kapsalos, and Episkopi Ierapetra</w:t>
      </w:r>
      <w:r>
        <w:t>, but it is</w:t>
      </w:r>
      <w:r w:rsidRPr="00D6101B">
        <w:t xml:space="preserve"> a</w:t>
      </w:r>
      <w:r>
        <w:t>ll</w:t>
      </w:r>
      <w:r w:rsidRPr="00D6101B">
        <w:t xml:space="preserve"> partial. </w:t>
      </w:r>
    </w:p>
    <w:p w14:paraId="716277EC" w14:textId="77777777" w:rsidR="001A4F1A" w:rsidRPr="00D6101B" w:rsidRDefault="001A4F1A" w:rsidP="00E858EF">
      <w:pPr>
        <w:pStyle w:val="Titolo4"/>
        <w:keepNext w:val="0"/>
        <w:keepLines w:val="0"/>
        <w:suppressAutoHyphens/>
      </w:pPr>
      <w:bookmarkStart w:id="889" w:name="_Toc389508275"/>
      <w:bookmarkStart w:id="890" w:name="_Toc517745355"/>
      <w:r w:rsidRPr="00D6101B">
        <w:t>Material types</w:t>
      </w:r>
      <w:bookmarkEnd w:id="889"/>
      <w:bookmarkEnd w:id="890"/>
    </w:p>
    <w:p w14:paraId="699F938A" w14:textId="77777777" w:rsidR="001A4F1A" w:rsidRPr="00D6101B" w:rsidRDefault="001A4F1A" w:rsidP="00E858EF">
      <w:pPr>
        <w:suppressAutoHyphens/>
      </w:pPr>
      <w:r w:rsidRPr="00D6101B">
        <w:t xml:space="preserve">Data concerning the material types of the assemblage </w:t>
      </w:r>
      <w:r>
        <w:t>are</w:t>
      </w:r>
      <w:r w:rsidRPr="00D6101B">
        <w:t xml:space="preserve"> summarised in th</w:t>
      </w:r>
      <w:r>
        <w:t>e</w:t>
      </w:r>
      <w:r w:rsidRPr="00D6101B">
        <w:t xml:space="preserve"> graph</w:t>
      </w:r>
      <w:r>
        <w:t>, below</w:t>
      </w:r>
      <w:r w:rsidRPr="00D6101B">
        <w:t>:</w:t>
      </w:r>
    </w:p>
    <w:p w14:paraId="29EC0A3F" w14:textId="77777777" w:rsidR="001A4F1A" w:rsidRPr="00D6101B" w:rsidRDefault="001A4F1A" w:rsidP="00E858EF">
      <w:pPr>
        <w:pStyle w:val="Paragrafoelenco"/>
        <w:suppressAutoHyphens/>
      </w:pPr>
    </w:p>
    <w:p w14:paraId="5F51E90D" w14:textId="77777777" w:rsidR="001A4F1A" w:rsidRPr="00D6101B" w:rsidRDefault="001A4F1A" w:rsidP="00C1766C">
      <w:pPr>
        <w:pStyle w:val="Paragrafoelenco"/>
        <w:suppressAutoHyphens/>
        <w:ind w:hanging="720"/>
        <w:jc w:val="left"/>
      </w:pPr>
      <w:r>
        <w:rPr>
          <w:noProof/>
          <w:lang w:val="it-IT"/>
        </w:rPr>
        <w:drawing>
          <wp:inline distT="0" distB="0" distL="0" distR="0" wp14:anchorId="71E25FD7" wp14:editId="45F08F8B">
            <wp:extent cx="5199797" cy="2743200"/>
            <wp:effectExtent l="0" t="0" r="1270" b="0"/>
            <wp:docPr id="97" name="Grafico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r w:rsidRPr="00D6101B" w:rsidDel="00D03326">
        <w:rPr>
          <w:noProof/>
        </w:rPr>
        <w:t xml:space="preserve"> </w:t>
      </w:r>
    </w:p>
    <w:p w14:paraId="64669394" w14:textId="5ACAD80A" w:rsidR="001A4F1A" w:rsidRPr="00D6101B" w:rsidRDefault="001A4F1A" w:rsidP="00E858EF">
      <w:pPr>
        <w:pStyle w:val="Didascalia"/>
        <w:suppressAutoHyphens/>
      </w:pPr>
      <w:bookmarkStart w:id="891" w:name="_Toc520212389"/>
      <w:r>
        <w:t>Figure 4-51</w:t>
      </w:r>
      <w:r w:rsidR="00B93157">
        <w:t>.</w:t>
      </w:r>
      <w:r>
        <w:t xml:space="preserve"> </w:t>
      </w:r>
      <w:r w:rsidR="00E27126" w:rsidRPr="00AD12E3">
        <w:t>M</w:t>
      </w:r>
      <w:r w:rsidRPr="00AD12E3">
        <w:t>aterial types</w:t>
      </w:r>
      <w:r w:rsidR="00E27126" w:rsidRPr="00AD12E3">
        <w:t xml:space="preserve"> occurrence</w:t>
      </w:r>
      <w:r w:rsidR="00B93157">
        <w:t>,</w:t>
      </w:r>
      <w:r w:rsidRPr="00AD12E3">
        <w:t xml:space="preserve"> Far-East area</w:t>
      </w:r>
      <w:bookmarkEnd w:id="891"/>
    </w:p>
    <w:p w14:paraId="2A3E562F" w14:textId="77777777" w:rsidR="00C1766C" w:rsidRDefault="00C1766C" w:rsidP="00E858EF">
      <w:pPr>
        <w:suppressAutoHyphens/>
        <w:ind w:firstLine="708"/>
      </w:pPr>
    </w:p>
    <w:p w14:paraId="3D023B97" w14:textId="77777777" w:rsidR="00C1766C" w:rsidRDefault="00C1766C" w:rsidP="00E858EF">
      <w:pPr>
        <w:suppressAutoHyphens/>
        <w:ind w:firstLine="708"/>
      </w:pPr>
    </w:p>
    <w:p w14:paraId="4E387845" w14:textId="347D1102" w:rsidR="001A4F1A" w:rsidRPr="00D6101B" w:rsidRDefault="001A4F1A" w:rsidP="00E858EF">
      <w:pPr>
        <w:suppressAutoHyphens/>
        <w:ind w:firstLine="708"/>
      </w:pPr>
      <w:r w:rsidRPr="00D6101B">
        <w:t xml:space="preserve">The most common material type in </w:t>
      </w:r>
      <w:r>
        <w:t>the Far-East</w:t>
      </w:r>
      <w:r w:rsidRPr="00D6101B">
        <w:t xml:space="preserve"> area is ceramic</w:t>
      </w:r>
      <w:r>
        <w:t xml:space="preserve"> (pottery)</w:t>
      </w:r>
      <w:r w:rsidRPr="00D6101B">
        <w:t xml:space="preserve"> </w:t>
      </w:r>
      <w:r>
        <w:t xml:space="preserve">(present </w:t>
      </w:r>
      <w:r w:rsidRPr="00D6101B">
        <w:t>in 93% of the tombs</w:t>
      </w:r>
      <w:r>
        <w:t>)</w:t>
      </w:r>
      <w:r w:rsidRPr="00D6101B">
        <w:t>. In the remaining 7%</w:t>
      </w:r>
      <w:r>
        <w:t xml:space="preserve"> </w:t>
      </w:r>
      <w:r w:rsidRPr="00D6101B">
        <w:t>of tombs</w:t>
      </w:r>
      <w:r>
        <w:t>,</w:t>
      </w:r>
      <w:r w:rsidRPr="00D6101B">
        <w:t xml:space="preserve"> no </w:t>
      </w:r>
      <w:r>
        <w:t>pottery</w:t>
      </w:r>
      <w:r w:rsidRPr="00D6101B">
        <w:t xml:space="preserve"> materials have been </w:t>
      </w:r>
      <w:r>
        <w:t>found</w:t>
      </w:r>
      <w:r w:rsidRPr="00D6101B">
        <w:t xml:space="preserve">. The other most common materials registered are bronze and stone, which occur respectively in 31 and 15 tombs. The </w:t>
      </w:r>
      <w:r>
        <w:t xml:space="preserve">presence </w:t>
      </w:r>
      <w:r w:rsidRPr="00D6101B">
        <w:t>of precious material</w:t>
      </w:r>
      <w:r>
        <w:t>s</w:t>
      </w:r>
      <w:r w:rsidRPr="00D6101B">
        <w:t xml:space="preserve"> is registered in 10 tombs.</w:t>
      </w:r>
      <w:r>
        <w:t xml:space="preserve"> </w:t>
      </w:r>
      <w:r w:rsidRPr="00D6101B">
        <w:t xml:space="preserve">No amber or silver items </w:t>
      </w:r>
      <w:r>
        <w:t>were</w:t>
      </w:r>
      <w:r w:rsidRPr="00D6101B">
        <w:t xml:space="preserve"> found in tombs with larnakes in </w:t>
      </w:r>
      <w:r>
        <w:t>the Far-East</w:t>
      </w:r>
      <w:r w:rsidRPr="00D6101B">
        <w:t xml:space="preserve"> region.</w:t>
      </w:r>
    </w:p>
    <w:p w14:paraId="676AD14C" w14:textId="77777777" w:rsidR="001A4F1A" w:rsidRPr="00D6101B" w:rsidRDefault="001A4F1A" w:rsidP="00E858EF">
      <w:pPr>
        <w:suppressAutoHyphens/>
      </w:pPr>
      <w:r>
        <w:tab/>
        <w:t>Regarding</w:t>
      </w:r>
      <w:r w:rsidRPr="00D6101B">
        <w:t xml:space="preserve"> material type variety and </w:t>
      </w:r>
      <w:r>
        <w:t>the presence</w:t>
      </w:r>
      <w:r w:rsidRPr="00D6101B">
        <w:t xml:space="preserve"> of precious items, eight tombs (12%) </w:t>
      </w:r>
      <w:r>
        <w:t>contained</w:t>
      </w:r>
      <w:r w:rsidRPr="00D6101B">
        <w:t xml:space="preserve"> more than </w:t>
      </w:r>
      <w:r>
        <w:t>three</w:t>
      </w:r>
      <w:r w:rsidRPr="00D6101B">
        <w:t xml:space="preserve"> items</w:t>
      </w:r>
      <w:r>
        <w:t>,</w:t>
      </w:r>
      <w:r w:rsidRPr="00D6101B">
        <w:t xml:space="preserve"> </w:t>
      </w:r>
      <w:r>
        <w:t>including</w:t>
      </w:r>
      <w:r w:rsidRPr="00D6101B">
        <w:t xml:space="preserve"> precious materials </w:t>
      </w:r>
      <w:r>
        <w:t>such as</w:t>
      </w:r>
      <w:r w:rsidRPr="00D6101B">
        <w:t xml:space="preserve"> gold and ivory. The following tombs </w:t>
      </w:r>
      <w:r>
        <w:t>are notable</w:t>
      </w:r>
      <w:r w:rsidRPr="00D6101B">
        <w:t xml:space="preserve"> for the rich and varie</w:t>
      </w:r>
      <w:r>
        <w:t>d</w:t>
      </w:r>
      <w:r w:rsidRPr="00D6101B">
        <w:t xml:space="preserve"> nature of their grave goods assemblage</w:t>
      </w:r>
      <w:r>
        <w:t>s</w:t>
      </w:r>
      <w:r w:rsidRPr="00D6101B">
        <w:t>:</w:t>
      </w:r>
    </w:p>
    <w:p w14:paraId="07EC2F79" w14:textId="77777777" w:rsidR="001A4F1A" w:rsidRPr="00D6101B" w:rsidRDefault="001A4F1A" w:rsidP="00E858EF">
      <w:pPr>
        <w:pStyle w:val="Paragrafoelenco"/>
        <w:numPr>
          <w:ilvl w:val="0"/>
          <w:numId w:val="53"/>
        </w:numPr>
        <w:suppressAutoHyphens/>
      </w:pPr>
      <w:r w:rsidRPr="00D6101B">
        <w:t xml:space="preserve">Gra Lygia </w:t>
      </w:r>
      <w:r>
        <w:t>T</w:t>
      </w:r>
      <w:r w:rsidRPr="00D6101B">
        <w:t>omb 1 (bronze, faience and/or glass/ceramic, ivory and stone) (Apostolakou 1998: 25-88)</w:t>
      </w:r>
    </w:p>
    <w:p w14:paraId="0AE5E6CA" w14:textId="77777777" w:rsidR="001A4F1A" w:rsidRPr="00D6101B" w:rsidRDefault="001A4F1A" w:rsidP="00E858EF">
      <w:pPr>
        <w:pStyle w:val="Paragrafoelenco"/>
        <w:numPr>
          <w:ilvl w:val="0"/>
          <w:numId w:val="53"/>
        </w:numPr>
        <w:suppressAutoHyphens/>
      </w:pPr>
      <w:r w:rsidRPr="00D6101B">
        <w:t xml:space="preserve">Mochlos Limenaria </w:t>
      </w:r>
      <w:r>
        <w:t>T</w:t>
      </w:r>
      <w:r w:rsidRPr="00D6101B">
        <w:t>omb 10 (bone, bronze, ceramic, faience and gold) (Soles</w:t>
      </w:r>
      <w:r>
        <w:t xml:space="preserve"> et al.</w:t>
      </w:r>
      <w:r w:rsidRPr="00D6101B">
        <w:t xml:space="preserve"> 2008: 144</w:t>
      </w:r>
      <w:r>
        <w:t>,</w:t>
      </w:r>
      <w:r w:rsidRPr="00D6101B">
        <w:t xml:space="preserve"> 148)</w:t>
      </w:r>
    </w:p>
    <w:p w14:paraId="30D37ED8" w14:textId="77777777" w:rsidR="001A4F1A" w:rsidRPr="00D6101B" w:rsidRDefault="001A4F1A" w:rsidP="00E858EF">
      <w:pPr>
        <w:pStyle w:val="Paragrafoelenco"/>
        <w:numPr>
          <w:ilvl w:val="0"/>
          <w:numId w:val="52"/>
        </w:numPr>
        <w:suppressAutoHyphens/>
      </w:pPr>
      <w:r w:rsidRPr="00D6101B">
        <w:t>Mouliana Sellades (bronze, ceramic, gold, iron</w:t>
      </w:r>
      <w:r>
        <w:t xml:space="preserve"> and</w:t>
      </w:r>
      <w:r w:rsidRPr="00D6101B">
        <w:t xml:space="preserve"> ivory) (Xanthoudidis 1904: 38-42; Kanta 1980: 175)</w:t>
      </w:r>
    </w:p>
    <w:p w14:paraId="3CB5E56F" w14:textId="77777777" w:rsidR="001A4F1A" w:rsidRPr="00D6101B" w:rsidRDefault="001A4F1A" w:rsidP="00E858EF">
      <w:pPr>
        <w:pStyle w:val="Paragrafoelenco"/>
        <w:numPr>
          <w:ilvl w:val="0"/>
          <w:numId w:val="52"/>
        </w:numPr>
        <w:suppressAutoHyphens/>
      </w:pPr>
      <w:r w:rsidRPr="00D6101B">
        <w:t xml:space="preserve">Pachyammos Alazzomouri </w:t>
      </w:r>
      <w:r>
        <w:t>T</w:t>
      </w:r>
      <w:r w:rsidRPr="00D6101B">
        <w:t>omb 3 (bronze ceramic, glass, gold</w:t>
      </w:r>
      <w:r>
        <w:t xml:space="preserve"> and</w:t>
      </w:r>
      <w:r w:rsidRPr="00D6101B">
        <w:t xml:space="preserve"> stone) (Alexiou 1954: 399-412; Kanta 1980: 143-144; Langohr 2008: 148-149)</w:t>
      </w:r>
    </w:p>
    <w:p w14:paraId="292F994F" w14:textId="77777777" w:rsidR="001A4F1A" w:rsidRPr="00D6101B" w:rsidRDefault="001A4F1A" w:rsidP="00E858EF">
      <w:pPr>
        <w:pStyle w:val="Paragrafoelenco"/>
        <w:numPr>
          <w:ilvl w:val="0"/>
          <w:numId w:val="52"/>
        </w:numPr>
        <w:suppressAutoHyphens/>
      </w:pPr>
      <w:r w:rsidRPr="00D6101B">
        <w:t>Palaikastro Aspa 8 (bronze, ceramic, glass, ivory</w:t>
      </w:r>
      <w:r>
        <w:t xml:space="preserve"> and</w:t>
      </w:r>
      <w:r w:rsidRPr="00D6101B">
        <w:t xml:space="preserve"> stone) (</w:t>
      </w:r>
      <w:r w:rsidRPr="00D6101B">
        <w:rPr>
          <w:iCs/>
        </w:rPr>
        <w:t>Currelly 1903-1904: 227-231)</w:t>
      </w:r>
    </w:p>
    <w:p w14:paraId="3C8DE7D3" w14:textId="77777777" w:rsidR="001A4F1A" w:rsidRPr="00D6101B" w:rsidRDefault="001A4F1A" w:rsidP="00E858EF">
      <w:pPr>
        <w:pStyle w:val="Titolo4"/>
        <w:keepNext w:val="0"/>
        <w:keepLines w:val="0"/>
        <w:suppressAutoHyphens/>
      </w:pPr>
      <w:bookmarkStart w:id="892" w:name="_Toc389508276"/>
      <w:bookmarkStart w:id="893" w:name="_Toc517745356"/>
      <w:r>
        <w:t>Non-ceramic</w:t>
      </w:r>
      <w:r w:rsidRPr="00D6101B">
        <w:t xml:space="preserve"> artefacts</w:t>
      </w:r>
      <w:bookmarkEnd w:id="892"/>
      <w:bookmarkEnd w:id="893"/>
    </w:p>
    <w:p w14:paraId="2B0367B0" w14:textId="77777777" w:rsidR="001A4F1A" w:rsidRPr="00D6101B" w:rsidRDefault="001A4F1A" w:rsidP="00E858EF">
      <w:pPr>
        <w:suppressAutoHyphens/>
      </w:pPr>
      <w:r w:rsidRPr="00D6101B">
        <w:t xml:space="preserve">The presence of </w:t>
      </w:r>
      <w:r>
        <w:t>non-ceramic</w:t>
      </w:r>
      <w:r w:rsidRPr="00D6101B">
        <w:t xml:space="preserve"> artefacts </w:t>
      </w:r>
      <w:r>
        <w:t>is</w:t>
      </w:r>
      <w:r w:rsidRPr="00D6101B">
        <w:t xml:space="preserve"> registered in more than half</w:t>
      </w:r>
      <w:r>
        <w:t xml:space="preserve"> (43)</w:t>
      </w:r>
      <w:r w:rsidRPr="00D6101B">
        <w:t xml:space="preserve"> of the sample of tombs for which there </w:t>
      </w:r>
      <w:r>
        <w:t>is</w:t>
      </w:r>
      <w:r w:rsidRPr="00D6101B">
        <w:t xml:space="preserve"> information about </w:t>
      </w:r>
      <w:r>
        <w:t xml:space="preserve">the </w:t>
      </w:r>
      <w:r w:rsidRPr="00D6101B">
        <w:t>grave good</w:t>
      </w:r>
      <w:r>
        <w:t>s</w:t>
      </w:r>
      <w:r w:rsidRPr="00D6101B">
        <w:t xml:space="preserve"> assemblage</w:t>
      </w:r>
      <w:r>
        <w:t>s</w:t>
      </w:r>
      <w:r w:rsidRPr="00D6101B">
        <w:t xml:space="preserve">, </w:t>
      </w:r>
      <w:r>
        <w:t>which is</w:t>
      </w:r>
      <w:r w:rsidRPr="00D6101B">
        <w:t xml:space="preserve"> 64%. Within this sample</w:t>
      </w:r>
      <w:r>
        <w:t>,</w:t>
      </w:r>
      <w:r w:rsidRPr="00D6101B">
        <w:t xml:space="preserve"> there are </w:t>
      </w:r>
      <w:r>
        <w:t>five</w:t>
      </w:r>
      <w:r w:rsidRPr="00D6101B">
        <w:t xml:space="preserve"> tombs in which pottery items have not been found, but </w:t>
      </w:r>
      <w:r>
        <w:t xml:space="preserve">in which </w:t>
      </w:r>
      <w:r w:rsidRPr="00D6101B">
        <w:t xml:space="preserve">the presence of other material artefacts </w:t>
      </w:r>
      <w:r>
        <w:t xml:space="preserve">is </w:t>
      </w:r>
      <w:r w:rsidRPr="00D6101B">
        <w:t>registered (</w:t>
      </w:r>
      <w:r>
        <w:t>i.e. t</w:t>
      </w:r>
      <w:r w:rsidRPr="00D6101B">
        <w:t xml:space="preserve">wo tombs at Palaikastro, Aspa 1, 2 and Ellinika location; </w:t>
      </w:r>
      <w:r>
        <w:t xml:space="preserve">a </w:t>
      </w:r>
      <w:r w:rsidRPr="00D6101B">
        <w:t>tomb at Ellinika</w:t>
      </w:r>
      <w:r>
        <w:t>,</w:t>
      </w:r>
      <w:r w:rsidRPr="00D6101B">
        <w:t xml:space="preserve"> where only a bronze mirror has been found; the grave goods associated with three larnakes burials at Gournia are</w:t>
      </w:r>
      <w:r>
        <w:t xml:space="preserve"> a</w:t>
      </w:r>
      <w:r w:rsidRPr="00D6101B">
        <w:t xml:space="preserve"> gold tip and three bronze daggers; the assemblage of Praisos corbel</w:t>
      </w:r>
      <w:r>
        <w:t>-</w:t>
      </w:r>
      <w:r w:rsidRPr="00D6101B">
        <w:t xml:space="preserve">vaulted </w:t>
      </w:r>
      <w:r>
        <w:t>T</w:t>
      </w:r>
      <w:r w:rsidRPr="00D6101B">
        <w:t xml:space="preserve">omb B </w:t>
      </w:r>
      <w:r>
        <w:t>comprises</w:t>
      </w:r>
      <w:r w:rsidRPr="00D6101B">
        <w:t xml:space="preserve"> gold ornament</w:t>
      </w:r>
      <w:r>
        <w:t xml:space="preserve">s, a </w:t>
      </w:r>
      <w:r w:rsidRPr="00D6101B">
        <w:t xml:space="preserve">gold ring and </w:t>
      </w:r>
      <w:r>
        <w:t xml:space="preserve">a </w:t>
      </w:r>
      <w:r w:rsidRPr="00D6101B">
        <w:t>rock crystal bead).</w:t>
      </w:r>
      <w:r>
        <w:t xml:space="preserve"> </w:t>
      </w:r>
      <w:r w:rsidRPr="00D6101B">
        <w:t xml:space="preserve">Beads occur in </w:t>
      </w:r>
      <w:r>
        <w:t>12</w:t>
      </w:r>
      <w:r w:rsidRPr="00D6101B">
        <w:t xml:space="preserve"> tombs</w:t>
      </w:r>
      <w:r>
        <w:t>, but</w:t>
      </w:r>
      <w:r w:rsidRPr="00D6101B">
        <w:t xml:space="preserve"> only in the case of Mochlos Limenaria </w:t>
      </w:r>
      <w:r>
        <w:t>T</w:t>
      </w:r>
      <w:r w:rsidRPr="00D6101B">
        <w:t xml:space="preserve">omb 10 </w:t>
      </w:r>
      <w:r>
        <w:t>is there</w:t>
      </w:r>
      <w:r w:rsidRPr="00D6101B">
        <w:t xml:space="preserve"> a high</w:t>
      </w:r>
      <w:r>
        <w:t xml:space="preserve"> preserved</w:t>
      </w:r>
      <w:r w:rsidRPr="00D6101B">
        <w:t xml:space="preserve"> number (42). At Tomb 1 at Gra Lygia</w:t>
      </w:r>
      <w:r>
        <w:t>,</w:t>
      </w:r>
      <w:r w:rsidRPr="00D6101B">
        <w:t xml:space="preserve"> two necklaces have been reconstructed from the beads found (Apostolakou 1998: </w:t>
      </w:r>
      <w:r>
        <w:t>P</w:t>
      </w:r>
      <w:r w:rsidRPr="00D6101B">
        <w:t>late 18 a-b).</w:t>
      </w:r>
    </w:p>
    <w:p w14:paraId="3CADA334" w14:textId="4CE39CE3" w:rsidR="001A4F1A" w:rsidRDefault="001A4F1A" w:rsidP="00E858EF">
      <w:pPr>
        <w:suppressAutoHyphens/>
      </w:pPr>
      <w:r>
        <w:tab/>
      </w:r>
      <w:r w:rsidRPr="00D6101B">
        <w:t>Rings, seals and kni</w:t>
      </w:r>
      <w:r>
        <w:t>v</w:t>
      </w:r>
      <w:r w:rsidRPr="00D6101B">
        <w:t>es occur in the same number (</w:t>
      </w:r>
      <w:r>
        <w:t>11</w:t>
      </w:r>
      <w:r w:rsidRPr="00D6101B">
        <w:t xml:space="preserve">) and generally are proportionally distributed </w:t>
      </w:r>
      <w:r>
        <w:t>among</w:t>
      </w:r>
      <w:r w:rsidRPr="00D6101B">
        <w:t xml:space="preserve"> tombs (minor exception</w:t>
      </w:r>
      <w:r>
        <w:t>s are</w:t>
      </w:r>
      <w:r w:rsidRPr="00D6101B">
        <w:t xml:space="preserve"> the three seals found in t</w:t>
      </w:r>
      <w:r>
        <w:t>he chamber tomb at Sitia Itanos</w:t>
      </w:r>
      <w:r w:rsidRPr="00D6101B">
        <w:t xml:space="preserve"> and </w:t>
      </w:r>
      <w:r>
        <w:t xml:space="preserve">the </w:t>
      </w:r>
      <w:r w:rsidRPr="00D6101B">
        <w:t>three bronze mirrors in the cave</w:t>
      </w:r>
      <w:r>
        <w:t>/</w:t>
      </w:r>
      <w:r w:rsidRPr="00D6101B">
        <w:t>rock shelter at Palaikastro Petsofà).</w:t>
      </w:r>
      <w:r>
        <w:t xml:space="preserve"> </w:t>
      </w:r>
      <w:r w:rsidRPr="00D6101B">
        <w:t>A relative</w:t>
      </w:r>
      <w:r>
        <w:t>ly</w:t>
      </w:r>
      <w:r w:rsidRPr="00D6101B">
        <w:t xml:space="preserve"> high number of items (30 distributed in 19 tombs) do</w:t>
      </w:r>
      <w:r>
        <w:t>es</w:t>
      </w:r>
      <w:r w:rsidRPr="00D6101B">
        <w:t xml:space="preserve"> not belong to the common typ</w:t>
      </w:r>
      <w:r>
        <w:t>es</w:t>
      </w:r>
      <w:r w:rsidRPr="00D6101B">
        <w:t xml:space="preserve"> of </w:t>
      </w:r>
      <w:r>
        <w:t>non-ceramic</w:t>
      </w:r>
      <w:r w:rsidRPr="00D6101B">
        <w:t xml:space="preserve"> items (</w:t>
      </w:r>
      <w:r>
        <w:t>e.g.</w:t>
      </w:r>
      <w:r w:rsidRPr="00D6101B">
        <w:t xml:space="preserve"> ivory sceptre heads found at Palaikastro Aspa; </w:t>
      </w:r>
      <w:r>
        <w:t xml:space="preserve">a </w:t>
      </w:r>
      <w:r w:rsidRPr="00D6101B">
        <w:t xml:space="preserve">bronze mask found at Mouliana Sellades </w:t>
      </w:r>
      <w:r>
        <w:t>T</w:t>
      </w:r>
      <w:r w:rsidRPr="00D6101B">
        <w:t xml:space="preserve">omb B). </w:t>
      </w:r>
    </w:p>
    <w:p w14:paraId="6C5ADAAE" w14:textId="77777777" w:rsidR="001A4F1A" w:rsidRPr="00D6101B" w:rsidRDefault="001A4F1A" w:rsidP="00E858EF">
      <w:pPr>
        <w:suppressAutoHyphens/>
      </w:pPr>
      <w:r w:rsidRPr="00D6101B">
        <w:t xml:space="preserve">The </w:t>
      </w:r>
      <w:r>
        <w:t>non-ceramic</w:t>
      </w:r>
      <w:r w:rsidRPr="00D6101B">
        <w:t xml:space="preserve"> </w:t>
      </w:r>
      <w:r>
        <w:t>item type</w:t>
      </w:r>
      <w:r w:rsidRPr="00D6101B">
        <w:t xml:space="preserve"> not found in </w:t>
      </w:r>
      <w:r>
        <w:t xml:space="preserve">grave goods assemblages in </w:t>
      </w:r>
      <w:r w:rsidRPr="00D6101B">
        <w:t>secure tombs with larnakes</w:t>
      </w:r>
      <w:r>
        <w:t xml:space="preserve"> in Far-East area is arrowhead.</w:t>
      </w:r>
    </w:p>
    <w:p w14:paraId="7484286A" w14:textId="5306861B" w:rsidR="001A4F1A" w:rsidRPr="00D6101B" w:rsidRDefault="001A4F1A" w:rsidP="00E858EF">
      <w:pPr>
        <w:suppressAutoHyphens/>
      </w:pPr>
      <w:r>
        <w:tab/>
      </w:r>
      <w:r w:rsidRPr="00D6101B">
        <w:t xml:space="preserve"> In general, the number of </w:t>
      </w:r>
      <w:r>
        <w:t>non-ceramic</w:t>
      </w:r>
      <w:r w:rsidRPr="00D6101B">
        <w:t xml:space="preserve"> items per tomb </w:t>
      </w:r>
      <w:r>
        <w:t>does not exceed</w:t>
      </w:r>
      <w:r w:rsidRPr="00D6101B">
        <w:t xml:space="preserve"> 10 items if we exclude beads, and the following tombs </w:t>
      </w:r>
      <w:r>
        <w:t>had</w:t>
      </w:r>
      <w:r w:rsidRPr="00D6101B">
        <w:t xml:space="preserve"> the highest number of </w:t>
      </w:r>
      <w:r>
        <w:t>non-ceramic</w:t>
      </w:r>
      <w:r w:rsidRPr="00D6101B">
        <w:t xml:space="preserve"> artefacts:</w:t>
      </w:r>
    </w:p>
    <w:p w14:paraId="0D0F573B" w14:textId="77777777" w:rsidR="001A4F1A" w:rsidRPr="00D6101B" w:rsidRDefault="001A4F1A" w:rsidP="00E858EF">
      <w:pPr>
        <w:pStyle w:val="Paragrafoelenco"/>
        <w:numPr>
          <w:ilvl w:val="0"/>
          <w:numId w:val="54"/>
        </w:numPr>
        <w:suppressAutoHyphens/>
      </w:pPr>
      <w:r w:rsidRPr="00D6101B">
        <w:t xml:space="preserve">Mouliana Sellades </w:t>
      </w:r>
      <w:r>
        <w:t>T</w:t>
      </w:r>
      <w:r w:rsidRPr="00D6101B">
        <w:t>omb B (</w:t>
      </w:r>
      <w:r>
        <w:t>9</w:t>
      </w:r>
      <w:r w:rsidRPr="00D6101B">
        <w:t xml:space="preserve"> items)</w:t>
      </w:r>
    </w:p>
    <w:p w14:paraId="20923B7E" w14:textId="77777777" w:rsidR="001A4F1A" w:rsidRPr="00D6101B" w:rsidRDefault="001A4F1A" w:rsidP="00E858EF">
      <w:pPr>
        <w:pStyle w:val="Paragrafoelenco"/>
        <w:numPr>
          <w:ilvl w:val="0"/>
          <w:numId w:val="54"/>
        </w:numPr>
        <w:suppressAutoHyphens/>
      </w:pPr>
      <w:r w:rsidRPr="00D6101B">
        <w:t>Palaikastro Aspa (5-9)  (8 items and 12 beads ca.)</w:t>
      </w:r>
    </w:p>
    <w:p w14:paraId="25010813" w14:textId="77777777" w:rsidR="001A4F1A" w:rsidRPr="00D6101B" w:rsidRDefault="001A4F1A" w:rsidP="00E858EF">
      <w:pPr>
        <w:pStyle w:val="Paragrafoelenco"/>
        <w:numPr>
          <w:ilvl w:val="0"/>
          <w:numId w:val="54"/>
        </w:numPr>
        <w:suppressAutoHyphens/>
      </w:pPr>
      <w:r w:rsidRPr="00D6101B">
        <w:t xml:space="preserve">Gra Lygia </w:t>
      </w:r>
      <w:r>
        <w:t>T</w:t>
      </w:r>
      <w:r w:rsidRPr="00D6101B">
        <w:t xml:space="preserve">omb 1 (7 items and </w:t>
      </w:r>
      <w:r>
        <w:t>2</w:t>
      </w:r>
      <w:r w:rsidRPr="00D6101B">
        <w:t xml:space="preserve"> beads)</w:t>
      </w:r>
    </w:p>
    <w:p w14:paraId="339F7654" w14:textId="77777777" w:rsidR="001A4F1A" w:rsidRPr="00D6101B" w:rsidRDefault="001A4F1A" w:rsidP="00E858EF">
      <w:pPr>
        <w:pStyle w:val="Paragrafoelenco"/>
        <w:numPr>
          <w:ilvl w:val="0"/>
          <w:numId w:val="54"/>
        </w:numPr>
        <w:suppressAutoHyphens/>
      </w:pPr>
      <w:r w:rsidRPr="00D6101B">
        <w:t xml:space="preserve">Mochlos </w:t>
      </w:r>
      <w:r>
        <w:t>T</w:t>
      </w:r>
      <w:r w:rsidRPr="00D6101B">
        <w:t>omb 10 (6 items and 42 beads)</w:t>
      </w:r>
    </w:p>
    <w:p w14:paraId="078B3B8D" w14:textId="77777777" w:rsidR="001A4F1A" w:rsidRDefault="001A4F1A" w:rsidP="00E858EF">
      <w:pPr>
        <w:suppressAutoHyphens/>
      </w:pPr>
    </w:p>
    <w:p w14:paraId="03784B32" w14:textId="1429CB50" w:rsidR="001A4F1A" w:rsidRPr="00D6101B" w:rsidRDefault="001A4F1A" w:rsidP="00E858EF">
      <w:pPr>
        <w:pStyle w:val="Testofumetto"/>
        <w:suppressAutoHyphens/>
      </w:pPr>
      <w:bookmarkStart w:id="894" w:name="_Toc520212622"/>
      <w:r>
        <w:t>Table 4-47</w:t>
      </w:r>
      <w:r w:rsidR="000B7180">
        <w:t>.</w:t>
      </w:r>
      <w:r>
        <w:t xml:space="preserve"> Beads occurrence</w:t>
      </w:r>
      <w:r w:rsidR="0001663C">
        <w:t>,</w:t>
      </w:r>
      <w:r>
        <w:t xml:space="preserve"> Far-East area</w:t>
      </w:r>
      <w:bookmarkEnd w:id="89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7"/>
        <w:gridCol w:w="3257"/>
      </w:tblGrid>
      <w:tr w:rsidR="001A4F1A" w:rsidRPr="00C1766C" w14:paraId="56C2BA5F" w14:textId="77777777" w:rsidTr="00000DF1">
        <w:tc>
          <w:tcPr>
            <w:tcW w:w="3257" w:type="dxa"/>
          </w:tcPr>
          <w:p w14:paraId="38E96EC4" w14:textId="77777777" w:rsidR="001A4F1A" w:rsidRPr="00C1766C" w:rsidRDefault="001A4F1A" w:rsidP="00E858EF">
            <w:pPr>
              <w:suppressAutoHyphens/>
              <w:rPr>
                <w:sz w:val="20"/>
              </w:rPr>
            </w:pPr>
          </w:p>
        </w:tc>
        <w:tc>
          <w:tcPr>
            <w:tcW w:w="3257" w:type="dxa"/>
          </w:tcPr>
          <w:p w14:paraId="6E4B387B" w14:textId="5A38ACFB" w:rsidR="001A4F1A" w:rsidRPr="00C1766C" w:rsidRDefault="001A4F1A" w:rsidP="00E858EF">
            <w:pPr>
              <w:suppressAutoHyphens/>
              <w:jc w:val="center"/>
              <w:rPr>
                <w:sz w:val="20"/>
              </w:rPr>
            </w:pPr>
            <w:r w:rsidRPr="00C1766C">
              <w:rPr>
                <w:rFonts w:eastAsia="Times New Roman"/>
                <w:color w:val="000000"/>
                <w:sz w:val="20"/>
              </w:rPr>
              <w:t>Bead</w:t>
            </w:r>
            <w:r w:rsidR="00000DF1" w:rsidRPr="00C1766C">
              <w:rPr>
                <w:rFonts w:eastAsia="Times New Roman"/>
                <w:color w:val="000000"/>
                <w:sz w:val="20"/>
              </w:rPr>
              <w:t>s</w:t>
            </w:r>
          </w:p>
        </w:tc>
      </w:tr>
      <w:tr w:rsidR="001A4F1A" w:rsidRPr="00C1766C" w14:paraId="1DAD242D" w14:textId="77777777" w:rsidTr="00000DF1">
        <w:tc>
          <w:tcPr>
            <w:tcW w:w="3257" w:type="dxa"/>
          </w:tcPr>
          <w:p w14:paraId="0774B9BD" w14:textId="77777777" w:rsidR="001A4F1A" w:rsidRPr="00C1766C" w:rsidRDefault="001A4F1A" w:rsidP="00E858EF">
            <w:pPr>
              <w:suppressAutoHyphens/>
              <w:rPr>
                <w:sz w:val="20"/>
              </w:rPr>
            </w:pPr>
            <w:r w:rsidRPr="00C1766C">
              <w:rPr>
                <w:sz w:val="20"/>
              </w:rPr>
              <w:t>Number of items</w:t>
            </w:r>
          </w:p>
        </w:tc>
        <w:tc>
          <w:tcPr>
            <w:tcW w:w="3257" w:type="dxa"/>
          </w:tcPr>
          <w:p w14:paraId="2406385E" w14:textId="77777777" w:rsidR="001A4F1A" w:rsidRPr="00C1766C" w:rsidRDefault="001A4F1A" w:rsidP="00E858EF">
            <w:pPr>
              <w:suppressAutoHyphens/>
              <w:jc w:val="center"/>
              <w:rPr>
                <w:sz w:val="20"/>
              </w:rPr>
            </w:pPr>
            <w:r w:rsidRPr="00C1766C">
              <w:rPr>
                <w:sz w:val="20"/>
              </w:rPr>
              <w:t>95</w:t>
            </w:r>
          </w:p>
        </w:tc>
      </w:tr>
      <w:tr w:rsidR="001A4F1A" w:rsidRPr="00C1766C" w14:paraId="53D68A9E" w14:textId="77777777" w:rsidTr="00000DF1">
        <w:tc>
          <w:tcPr>
            <w:tcW w:w="3257" w:type="dxa"/>
          </w:tcPr>
          <w:p w14:paraId="16518467" w14:textId="77777777" w:rsidR="001A4F1A" w:rsidRPr="00C1766C" w:rsidRDefault="001A4F1A" w:rsidP="00E858EF">
            <w:pPr>
              <w:suppressAutoHyphens/>
              <w:rPr>
                <w:sz w:val="20"/>
              </w:rPr>
            </w:pPr>
            <w:r w:rsidRPr="00C1766C">
              <w:rPr>
                <w:sz w:val="20"/>
              </w:rPr>
              <w:t>Number of tombs</w:t>
            </w:r>
          </w:p>
        </w:tc>
        <w:tc>
          <w:tcPr>
            <w:tcW w:w="3257" w:type="dxa"/>
          </w:tcPr>
          <w:p w14:paraId="505123C8" w14:textId="77777777" w:rsidR="001A4F1A" w:rsidRPr="00C1766C" w:rsidRDefault="001A4F1A" w:rsidP="00E858EF">
            <w:pPr>
              <w:suppressAutoHyphens/>
              <w:jc w:val="center"/>
              <w:rPr>
                <w:sz w:val="20"/>
              </w:rPr>
            </w:pPr>
            <w:r w:rsidRPr="00C1766C">
              <w:rPr>
                <w:sz w:val="20"/>
              </w:rPr>
              <w:t>12</w:t>
            </w:r>
          </w:p>
        </w:tc>
      </w:tr>
    </w:tbl>
    <w:p w14:paraId="6890BCDE" w14:textId="77777777" w:rsidR="001A4F1A" w:rsidRPr="00D6101B" w:rsidRDefault="001A4F1A" w:rsidP="00E858EF">
      <w:pPr>
        <w:suppressAutoHyphens/>
      </w:pPr>
    </w:p>
    <w:p w14:paraId="13AA78F4" w14:textId="0FE1AD30" w:rsidR="001A4F1A" w:rsidRPr="00D6101B" w:rsidRDefault="001A4F1A" w:rsidP="00E858EF">
      <w:pPr>
        <w:pStyle w:val="Testofumetto"/>
        <w:suppressAutoHyphens/>
      </w:pPr>
      <w:bookmarkStart w:id="895" w:name="_Toc520212623"/>
      <w:r>
        <w:t>Table 4-48</w:t>
      </w:r>
      <w:r w:rsidR="006943E5">
        <w:t>.</w:t>
      </w:r>
      <w:r>
        <w:t xml:space="preserve"> Most common non-ceramic item types</w:t>
      </w:r>
      <w:r w:rsidR="0001663C">
        <w:t>,</w:t>
      </w:r>
      <w:r>
        <w:t xml:space="preserve"> Far-East area</w:t>
      </w:r>
      <w:bookmarkEnd w:id="89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8"/>
        <w:gridCol w:w="1092"/>
        <w:gridCol w:w="1092"/>
        <w:gridCol w:w="1092"/>
        <w:gridCol w:w="1092"/>
        <w:gridCol w:w="1093"/>
      </w:tblGrid>
      <w:tr w:rsidR="001A4F1A" w:rsidRPr="00C1766C" w14:paraId="1C9533C3" w14:textId="77777777" w:rsidTr="00000DF1">
        <w:tc>
          <w:tcPr>
            <w:tcW w:w="0" w:type="auto"/>
          </w:tcPr>
          <w:p w14:paraId="0DEED620" w14:textId="77777777" w:rsidR="001A4F1A" w:rsidRPr="00C1766C" w:rsidRDefault="001A4F1A" w:rsidP="00E858EF">
            <w:pPr>
              <w:suppressAutoHyphens/>
              <w:rPr>
                <w:sz w:val="20"/>
              </w:rPr>
            </w:pPr>
          </w:p>
        </w:tc>
        <w:tc>
          <w:tcPr>
            <w:tcW w:w="1092" w:type="dxa"/>
          </w:tcPr>
          <w:p w14:paraId="1E9946EB" w14:textId="77777777" w:rsidR="001A4F1A" w:rsidRPr="00C1766C" w:rsidRDefault="001A4F1A" w:rsidP="00E858EF">
            <w:pPr>
              <w:suppressAutoHyphens/>
              <w:jc w:val="center"/>
              <w:rPr>
                <w:rFonts w:eastAsia="Times New Roman"/>
                <w:b/>
                <w:bCs/>
                <w:color w:val="000000"/>
                <w:sz w:val="20"/>
              </w:rPr>
            </w:pPr>
            <w:r w:rsidRPr="00C1766C">
              <w:rPr>
                <w:rFonts w:eastAsia="Times New Roman"/>
                <w:color w:val="000000"/>
                <w:sz w:val="20"/>
              </w:rPr>
              <w:t>Other items</w:t>
            </w:r>
          </w:p>
        </w:tc>
        <w:tc>
          <w:tcPr>
            <w:tcW w:w="1092" w:type="dxa"/>
          </w:tcPr>
          <w:p w14:paraId="79426F2C" w14:textId="77777777" w:rsidR="001A4F1A" w:rsidRPr="00C1766C" w:rsidRDefault="001A4F1A" w:rsidP="00E858EF">
            <w:pPr>
              <w:suppressAutoHyphens/>
              <w:jc w:val="center"/>
              <w:rPr>
                <w:sz w:val="20"/>
              </w:rPr>
            </w:pPr>
            <w:r w:rsidRPr="00C1766C">
              <w:rPr>
                <w:rFonts w:eastAsia="Times New Roman"/>
                <w:color w:val="000000"/>
                <w:sz w:val="20"/>
              </w:rPr>
              <w:t>Ring</w:t>
            </w:r>
          </w:p>
        </w:tc>
        <w:tc>
          <w:tcPr>
            <w:tcW w:w="1092" w:type="dxa"/>
          </w:tcPr>
          <w:p w14:paraId="04AFE7F8" w14:textId="77777777" w:rsidR="001A4F1A" w:rsidRPr="00C1766C" w:rsidRDefault="001A4F1A" w:rsidP="00E858EF">
            <w:pPr>
              <w:suppressAutoHyphens/>
              <w:jc w:val="center"/>
              <w:rPr>
                <w:rFonts w:eastAsia="Times New Roman"/>
                <w:color w:val="000000"/>
                <w:sz w:val="20"/>
              </w:rPr>
            </w:pPr>
            <w:r w:rsidRPr="00C1766C">
              <w:rPr>
                <w:rFonts w:eastAsia="Times New Roman"/>
                <w:color w:val="000000"/>
                <w:sz w:val="20"/>
              </w:rPr>
              <w:t>Seal</w:t>
            </w:r>
          </w:p>
        </w:tc>
        <w:tc>
          <w:tcPr>
            <w:tcW w:w="1092" w:type="dxa"/>
          </w:tcPr>
          <w:p w14:paraId="4792DC43" w14:textId="4B510F7F" w:rsidR="001A4F1A" w:rsidRPr="00C1766C" w:rsidRDefault="001A4F1A" w:rsidP="00E858EF">
            <w:pPr>
              <w:suppressAutoHyphens/>
              <w:jc w:val="center"/>
              <w:rPr>
                <w:rFonts w:eastAsia="Times New Roman"/>
                <w:color w:val="000000"/>
                <w:sz w:val="20"/>
              </w:rPr>
            </w:pPr>
            <w:r w:rsidRPr="00C1766C">
              <w:rPr>
                <w:rFonts w:eastAsia="Times New Roman"/>
                <w:color w:val="000000"/>
                <w:sz w:val="20"/>
              </w:rPr>
              <w:t>Knife</w:t>
            </w:r>
          </w:p>
        </w:tc>
        <w:tc>
          <w:tcPr>
            <w:tcW w:w="1093" w:type="dxa"/>
          </w:tcPr>
          <w:p w14:paraId="6818DAF7" w14:textId="77777777" w:rsidR="001A4F1A" w:rsidRPr="00C1766C" w:rsidRDefault="001A4F1A" w:rsidP="00E858EF">
            <w:pPr>
              <w:suppressAutoHyphens/>
              <w:jc w:val="center"/>
              <w:rPr>
                <w:rFonts w:eastAsia="Times New Roman"/>
                <w:color w:val="000000"/>
                <w:sz w:val="20"/>
              </w:rPr>
            </w:pPr>
            <w:r w:rsidRPr="00C1766C">
              <w:rPr>
                <w:rFonts w:eastAsia="Times New Roman"/>
                <w:color w:val="000000"/>
                <w:sz w:val="20"/>
              </w:rPr>
              <w:t>Mirror</w:t>
            </w:r>
          </w:p>
        </w:tc>
      </w:tr>
      <w:tr w:rsidR="001A4F1A" w:rsidRPr="00C1766C" w14:paraId="7B8BC43D" w14:textId="77777777" w:rsidTr="00000DF1">
        <w:tc>
          <w:tcPr>
            <w:tcW w:w="0" w:type="auto"/>
          </w:tcPr>
          <w:p w14:paraId="22EF8740" w14:textId="77777777" w:rsidR="001A4F1A" w:rsidRPr="00C1766C" w:rsidRDefault="001A4F1A" w:rsidP="00E858EF">
            <w:pPr>
              <w:suppressAutoHyphens/>
              <w:rPr>
                <w:sz w:val="20"/>
              </w:rPr>
            </w:pPr>
            <w:r w:rsidRPr="00C1766C">
              <w:rPr>
                <w:sz w:val="20"/>
              </w:rPr>
              <w:t>Number of items</w:t>
            </w:r>
          </w:p>
        </w:tc>
        <w:tc>
          <w:tcPr>
            <w:tcW w:w="1092" w:type="dxa"/>
          </w:tcPr>
          <w:p w14:paraId="5A2459B2" w14:textId="77777777" w:rsidR="001A4F1A" w:rsidRPr="00C1766C" w:rsidRDefault="001A4F1A" w:rsidP="00E858EF">
            <w:pPr>
              <w:suppressAutoHyphens/>
              <w:jc w:val="center"/>
              <w:rPr>
                <w:sz w:val="20"/>
              </w:rPr>
            </w:pPr>
            <w:r w:rsidRPr="00C1766C">
              <w:rPr>
                <w:sz w:val="20"/>
              </w:rPr>
              <w:t>30</w:t>
            </w:r>
          </w:p>
        </w:tc>
        <w:tc>
          <w:tcPr>
            <w:tcW w:w="1092" w:type="dxa"/>
          </w:tcPr>
          <w:p w14:paraId="3F91EB63" w14:textId="77777777" w:rsidR="001A4F1A" w:rsidRPr="00C1766C" w:rsidRDefault="001A4F1A" w:rsidP="00E858EF">
            <w:pPr>
              <w:suppressAutoHyphens/>
              <w:jc w:val="center"/>
              <w:rPr>
                <w:sz w:val="20"/>
              </w:rPr>
            </w:pPr>
            <w:r w:rsidRPr="00C1766C">
              <w:rPr>
                <w:sz w:val="20"/>
              </w:rPr>
              <w:t>11</w:t>
            </w:r>
          </w:p>
        </w:tc>
        <w:tc>
          <w:tcPr>
            <w:tcW w:w="1092" w:type="dxa"/>
          </w:tcPr>
          <w:p w14:paraId="5C001A1E" w14:textId="77777777" w:rsidR="001A4F1A" w:rsidRPr="00C1766C" w:rsidRDefault="001A4F1A" w:rsidP="00E858EF">
            <w:pPr>
              <w:suppressAutoHyphens/>
              <w:jc w:val="center"/>
              <w:rPr>
                <w:sz w:val="20"/>
              </w:rPr>
            </w:pPr>
            <w:r w:rsidRPr="00C1766C">
              <w:rPr>
                <w:sz w:val="20"/>
              </w:rPr>
              <w:t>11</w:t>
            </w:r>
          </w:p>
        </w:tc>
        <w:tc>
          <w:tcPr>
            <w:tcW w:w="1092" w:type="dxa"/>
          </w:tcPr>
          <w:p w14:paraId="0AF6D2FC" w14:textId="77777777" w:rsidR="001A4F1A" w:rsidRPr="00C1766C" w:rsidRDefault="001A4F1A" w:rsidP="00E858EF">
            <w:pPr>
              <w:suppressAutoHyphens/>
              <w:jc w:val="center"/>
              <w:rPr>
                <w:sz w:val="20"/>
              </w:rPr>
            </w:pPr>
            <w:r w:rsidRPr="00C1766C">
              <w:rPr>
                <w:sz w:val="20"/>
              </w:rPr>
              <w:t>11</w:t>
            </w:r>
          </w:p>
        </w:tc>
        <w:tc>
          <w:tcPr>
            <w:tcW w:w="1093" w:type="dxa"/>
          </w:tcPr>
          <w:p w14:paraId="3A08B81B" w14:textId="77777777" w:rsidR="001A4F1A" w:rsidRPr="00C1766C" w:rsidRDefault="001A4F1A" w:rsidP="00E858EF">
            <w:pPr>
              <w:suppressAutoHyphens/>
              <w:jc w:val="center"/>
              <w:rPr>
                <w:sz w:val="20"/>
              </w:rPr>
            </w:pPr>
            <w:r w:rsidRPr="00C1766C">
              <w:rPr>
                <w:sz w:val="20"/>
              </w:rPr>
              <w:t>8</w:t>
            </w:r>
          </w:p>
        </w:tc>
      </w:tr>
      <w:tr w:rsidR="001A4F1A" w:rsidRPr="00C1766C" w14:paraId="631CED11" w14:textId="77777777" w:rsidTr="00000DF1">
        <w:tc>
          <w:tcPr>
            <w:tcW w:w="0" w:type="auto"/>
          </w:tcPr>
          <w:p w14:paraId="3BF44F99" w14:textId="77777777" w:rsidR="001A4F1A" w:rsidRPr="00C1766C" w:rsidRDefault="001A4F1A" w:rsidP="00E858EF">
            <w:pPr>
              <w:suppressAutoHyphens/>
              <w:rPr>
                <w:sz w:val="20"/>
              </w:rPr>
            </w:pPr>
            <w:r w:rsidRPr="00C1766C">
              <w:rPr>
                <w:sz w:val="20"/>
              </w:rPr>
              <w:t>Number of tombs</w:t>
            </w:r>
          </w:p>
        </w:tc>
        <w:tc>
          <w:tcPr>
            <w:tcW w:w="1092" w:type="dxa"/>
          </w:tcPr>
          <w:p w14:paraId="269E68BD" w14:textId="77777777" w:rsidR="001A4F1A" w:rsidRPr="00C1766C" w:rsidRDefault="001A4F1A" w:rsidP="00E858EF">
            <w:pPr>
              <w:suppressAutoHyphens/>
              <w:jc w:val="center"/>
              <w:rPr>
                <w:sz w:val="20"/>
              </w:rPr>
            </w:pPr>
            <w:r w:rsidRPr="00C1766C">
              <w:rPr>
                <w:sz w:val="20"/>
              </w:rPr>
              <w:t>21</w:t>
            </w:r>
          </w:p>
        </w:tc>
        <w:tc>
          <w:tcPr>
            <w:tcW w:w="1092" w:type="dxa"/>
          </w:tcPr>
          <w:p w14:paraId="2624F16E" w14:textId="77777777" w:rsidR="001A4F1A" w:rsidRPr="00C1766C" w:rsidRDefault="001A4F1A" w:rsidP="00E858EF">
            <w:pPr>
              <w:suppressAutoHyphens/>
              <w:jc w:val="center"/>
              <w:rPr>
                <w:sz w:val="20"/>
              </w:rPr>
            </w:pPr>
            <w:r w:rsidRPr="00C1766C">
              <w:rPr>
                <w:sz w:val="20"/>
              </w:rPr>
              <w:t>9</w:t>
            </w:r>
          </w:p>
        </w:tc>
        <w:tc>
          <w:tcPr>
            <w:tcW w:w="1092" w:type="dxa"/>
          </w:tcPr>
          <w:p w14:paraId="724EC979" w14:textId="77777777" w:rsidR="001A4F1A" w:rsidRPr="00C1766C" w:rsidRDefault="001A4F1A" w:rsidP="00E858EF">
            <w:pPr>
              <w:suppressAutoHyphens/>
              <w:jc w:val="center"/>
              <w:rPr>
                <w:sz w:val="20"/>
              </w:rPr>
            </w:pPr>
            <w:r w:rsidRPr="00C1766C">
              <w:rPr>
                <w:sz w:val="20"/>
              </w:rPr>
              <w:t>7</w:t>
            </w:r>
          </w:p>
        </w:tc>
        <w:tc>
          <w:tcPr>
            <w:tcW w:w="1092" w:type="dxa"/>
          </w:tcPr>
          <w:p w14:paraId="53940FDB" w14:textId="77777777" w:rsidR="001A4F1A" w:rsidRPr="00C1766C" w:rsidRDefault="001A4F1A" w:rsidP="00E858EF">
            <w:pPr>
              <w:suppressAutoHyphens/>
              <w:jc w:val="center"/>
              <w:rPr>
                <w:sz w:val="20"/>
              </w:rPr>
            </w:pPr>
            <w:r w:rsidRPr="00C1766C">
              <w:rPr>
                <w:sz w:val="20"/>
              </w:rPr>
              <w:t>8</w:t>
            </w:r>
          </w:p>
        </w:tc>
        <w:tc>
          <w:tcPr>
            <w:tcW w:w="1093" w:type="dxa"/>
          </w:tcPr>
          <w:p w14:paraId="723129C9" w14:textId="77777777" w:rsidR="001A4F1A" w:rsidRPr="00C1766C" w:rsidRDefault="001A4F1A" w:rsidP="00E858EF">
            <w:pPr>
              <w:suppressAutoHyphens/>
              <w:jc w:val="center"/>
              <w:rPr>
                <w:sz w:val="20"/>
              </w:rPr>
            </w:pPr>
            <w:r w:rsidRPr="00C1766C">
              <w:rPr>
                <w:sz w:val="20"/>
              </w:rPr>
              <w:t>6</w:t>
            </w:r>
          </w:p>
        </w:tc>
      </w:tr>
    </w:tbl>
    <w:p w14:paraId="67BF987D" w14:textId="77777777" w:rsidR="001A4F1A" w:rsidRPr="00D6101B" w:rsidRDefault="001A4F1A" w:rsidP="00E858EF">
      <w:pPr>
        <w:suppressAutoHyphens/>
      </w:pPr>
    </w:p>
    <w:p w14:paraId="3C49E228" w14:textId="77777777" w:rsidR="001A4F1A" w:rsidRPr="00D6101B" w:rsidRDefault="001A4F1A" w:rsidP="00E858EF">
      <w:pPr>
        <w:suppressAutoHyphens/>
      </w:pPr>
    </w:p>
    <w:p w14:paraId="7975DDD6" w14:textId="77777777" w:rsidR="001A4F1A" w:rsidRPr="00D6101B" w:rsidRDefault="001A4F1A" w:rsidP="00E858EF">
      <w:pPr>
        <w:suppressAutoHyphens/>
      </w:pPr>
    </w:p>
    <w:p w14:paraId="39CC5B9F" w14:textId="77777777" w:rsidR="001A4F1A" w:rsidRPr="00D6101B" w:rsidRDefault="001A4F1A" w:rsidP="00E858EF">
      <w:pPr>
        <w:suppressAutoHyphens/>
      </w:pPr>
      <w:r w:rsidRPr="00B67239">
        <w:rPr>
          <w:noProof/>
        </w:rPr>
        <w:t xml:space="preserve"> </w:t>
      </w:r>
      <w:r w:rsidRPr="00D71B01">
        <w:rPr>
          <w:noProof/>
        </w:rPr>
        <w:t xml:space="preserve"> </w:t>
      </w:r>
      <w:r>
        <w:rPr>
          <w:noProof/>
          <w:lang w:val="it-IT"/>
        </w:rPr>
        <w:drawing>
          <wp:inline distT="0" distB="0" distL="0" distR="0" wp14:anchorId="18154CBB" wp14:editId="042D65D3">
            <wp:extent cx="5486886" cy="6591111"/>
            <wp:effectExtent l="0" t="0" r="25400" b="13335"/>
            <wp:docPr id="112" name="Gra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6FE3A66B" w14:textId="42D6C5AC" w:rsidR="001A4F1A" w:rsidRPr="00D6101B" w:rsidRDefault="001A4F1A" w:rsidP="00E858EF">
      <w:pPr>
        <w:pStyle w:val="Didascalia"/>
        <w:suppressAutoHyphens/>
      </w:pPr>
      <w:bookmarkStart w:id="896" w:name="_Toc520212390"/>
      <w:r>
        <w:t>Figure 4-52</w:t>
      </w:r>
      <w:r w:rsidR="00620A08">
        <w:t>. Occurrence of</w:t>
      </w:r>
      <w:r>
        <w:t xml:space="preserve"> </w:t>
      </w:r>
      <w:r w:rsidR="00620A08">
        <w:t>n</w:t>
      </w:r>
      <w:r>
        <w:t>on-ceramic item ty</w:t>
      </w:r>
      <w:r w:rsidR="00620A08">
        <w:t>pe</w:t>
      </w:r>
      <w:r w:rsidR="0001663C">
        <w:t>,</w:t>
      </w:r>
      <w:r>
        <w:t xml:space="preserve"> Far-East area</w:t>
      </w:r>
      <w:bookmarkEnd w:id="896"/>
    </w:p>
    <w:p w14:paraId="0B7457E7" w14:textId="77777777" w:rsidR="001A4F1A" w:rsidRPr="00D6101B" w:rsidRDefault="001A4F1A" w:rsidP="00E858EF">
      <w:pPr>
        <w:suppressAutoHyphens/>
      </w:pPr>
    </w:p>
    <w:p w14:paraId="095CE44E" w14:textId="77777777" w:rsidR="001A4F1A" w:rsidRPr="00D6101B" w:rsidRDefault="001A4F1A" w:rsidP="00E858EF">
      <w:pPr>
        <w:pStyle w:val="Titolo4"/>
        <w:keepNext w:val="0"/>
        <w:keepLines w:val="0"/>
        <w:suppressAutoHyphens/>
      </w:pPr>
      <w:bookmarkStart w:id="897" w:name="_Toc389508277"/>
      <w:bookmarkStart w:id="898" w:name="_Toc517745357"/>
      <w:r w:rsidRPr="00D6101B">
        <w:t>Pottery types</w:t>
      </w:r>
      <w:bookmarkEnd w:id="897"/>
      <w:bookmarkEnd w:id="898"/>
    </w:p>
    <w:p w14:paraId="4BAF3E54" w14:textId="77777777" w:rsidR="001A4F1A" w:rsidRPr="00D6101B" w:rsidRDefault="001A4F1A" w:rsidP="00E858EF">
      <w:pPr>
        <w:suppressAutoHyphens/>
      </w:pPr>
      <w:r w:rsidRPr="00D6101B">
        <w:t xml:space="preserve">In the </w:t>
      </w:r>
      <w:r>
        <w:t>Far-East</w:t>
      </w:r>
      <w:r w:rsidRPr="00D6101B">
        <w:t xml:space="preserve"> area</w:t>
      </w:r>
      <w:r>
        <w:t>,</w:t>
      </w:r>
      <w:r w:rsidRPr="00D6101B">
        <w:t xml:space="preserve"> pottery </w:t>
      </w:r>
      <w:r>
        <w:t>was present</w:t>
      </w:r>
      <w:r w:rsidRPr="00D6101B">
        <w:t xml:space="preserve"> in 62 tombs</w:t>
      </w:r>
      <w:r>
        <w:t xml:space="preserve"> or </w:t>
      </w:r>
      <w:r w:rsidRPr="00D6101B">
        <w:t xml:space="preserve">93% of the tombs for which information about grave goods assemblage </w:t>
      </w:r>
      <w:r>
        <w:t>is</w:t>
      </w:r>
      <w:r w:rsidRPr="00D6101B">
        <w:t xml:space="preserve"> available.</w:t>
      </w:r>
      <w:r>
        <w:t xml:space="preserve"> </w:t>
      </w:r>
      <w:r w:rsidRPr="00D6101B">
        <w:t>For 16% of these tombs</w:t>
      </w:r>
      <w:r>
        <w:t>,</w:t>
      </w:r>
      <w:r w:rsidRPr="00D6101B">
        <w:t xml:space="preserve"> there is only partial information about the presence of pottery sherd</w:t>
      </w:r>
      <w:r>
        <w:t>s</w:t>
      </w:r>
      <w:r w:rsidRPr="00D6101B">
        <w:t xml:space="preserve"> (</w:t>
      </w:r>
      <w:r>
        <w:t>e.g.</w:t>
      </w:r>
      <w:r w:rsidRPr="00D6101B">
        <w:t xml:space="preserve"> </w:t>
      </w:r>
      <w:r>
        <w:t xml:space="preserve">the </w:t>
      </w:r>
      <w:r w:rsidRPr="00D6101B">
        <w:t xml:space="preserve">tomb at Praisos Kapsalos) or </w:t>
      </w:r>
      <w:r>
        <w:t xml:space="preserve">the </w:t>
      </w:r>
      <w:r w:rsidRPr="00D6101B">
        <w:t>approximate number of pots (</w:t>
      </w:r>
      <w:r>
        <w:t>e.g.</w:t>
      </w:r>
      <w:r w:rsidRPr="00D6101B">
        <w:t xml:space="preserve"> Myrsini </w:t>
      </w:r>
      <w:r>
        <w:t>T</w:t>
      </w:r>
      <w:r w:rsidRPr="00D6101B">
        <w:t>omb IA). Consequently, the analysis concerning pottery typ</w:t>
      </w:r>
      <w:r>
        <w:t>es</w:t>
      </w:r>
      <w:r w:rsidRPr="00D6101B">
        <w:t xml:space="preserve"> </w:t>
      </w:r>
      <w:r>
        <w:t>is</w:t>
      </w:r>
      <w:r w:rsidRPr="00D6101B">
        <w:t xml:space="preserve"> based on a sample of 52 tombs.</w:t>
      </w:r>
    </w:p>
    <w:p w14:paraId="1CF70CFC" w14:textId="77777777" w:rsidR="001A4F1A" w:rsidRPr="00D6101B" w:rsidRDefault="001A4F1A" w:rsidP="00E858EF">
      <w:pPr>
        <w:suppressAutoHyphens/>
      </w:pPr>
      <w:r>
        <w:tab/>
      </w:r>
      <w:r w:rsidRPr="00D6101B">
        <w:t xml:space="preserve">The presence of exclusively pottery artefacts and no other materials </w:t>
      </w:r>
      <w:r>
        <w:t>is</w:t>
      </w:r>
      <w:r w:rsidRPr="00D6101B">
        <w:t xml:space="preserve"> registered in 24 tombs</w:t>
      </w:r>
      <w:r>
        <w:t xml:space="preserve"> or</w:t>
      </w:r>
      <w:r w:rsidRPr="00D6101B">
        <w:t xml:space="preserve"> 36% o</w:t>
      </w:r>
      <w:r>
        <w:t>f</w:t>
      </w:r>
      <w:r w:rsidRPr="00D6101B">
        <w:t xml:space="preserve"> the sample of tombs with information about grave good</w:t>
      </w:r>
      <w:r>
        <w:t>s</w:t>
      </w:r>
      <w:r w:rsidRPr="00D6101B">
        <w:t xml:space="preserve"> materials</w:t>
      </w:r>
      <w:r>
        <w:t xml:space="preserve">. </w:t>
      </w:r>
      <w:r w:rsidRPr="00D6101B">
        <w:t>The four most common types</w:t>
      </w:r>
      <w:r>
        <w:t xml:space="preserve"> of pottery</w:t>
      </w:r>
      <w:r w:rsidRPr="00D6101B">
        <w:t xml:space="preserve"> are stirrup jars, jugs, bowls and conical cups. The difference between the number of stirrup jars and other typologies is consistent (stirrup jars are almost double the number of jugs,).</w:t>
      </w:r>
    </w:p>
    <w:p w14:paraId="4CB9EBAC" w14:textId="77777777" w:rsidR="001A4F1A" w:rsidRPr="00D6101B" w:rsidRDefault="001A4F1A" w:rsidP="00E858EF">
      <w:pPr>
        <w:suppressAutoHyphens/>
      </w:pPr>
      <w:r>
        <w:tab/>
        <w:t>Regarding</w:t>
      </w:r>
      <w:r w:rsidRPr="00D6101B">
        <w:t xml:space="preserve"> the </w:t>
      </w:r>
      <w:r>
        <w:t xml:space="preserve">distribution </w:t>
      </w:r>
      <w:r w:rsidRPr="00D6101B">
        <w:t>pattern</w:t>
      </w:r>
      <w:r>
        <w:t>,</w:t>
      </w:r>
      <w:r w:rsidRPr="00D6101B">
        <w:t xml:space="preserve"> Gra Lygia </w:t>
      </w:r>
      <w:r>
        <w:t>T</w:t>
      </w:r>
      <w:r w:rsidRPr="00D6101B">
        <w:t>omb 1 (20 stirrup jars), Episkopi Ierapetra cemetery (at least 33 stirrup jars in two out of four tombs)</w:t>
      </w:r>
      <w:r>
        <w:t xml:space="preserve"> and Mochlos Limenaria Tomb 10 (16 stirrup jars) have</w:t>
      </w:r>
      <w:r w:rsidRPr="00D6101B">
        <w:t xml:space="preserve"> a high concentration of stirrup jars. Jug</w:t>
      </w:r>
      <w:r>
        <w:t>s</w:t>
      </w:r>
      <w:r w:rsidRPr="00D6101B">
        <w:t>, bowl</w:t>
      </w:r>
      <w:r>
        <w:t>s</w:t>
      </w:r>
      <w:r w:rsidRPr="00D6101B">
        <w:t xml:space="preserve"> and conical cups are distributed more proportional</w:t>
      </w:r>
      <w:r>
        <w:t>ly</w:t>
      </w:r>
      <w:r w:rsidRPr="00D6101B">
        <w:t xml:space="preserve"> (jugs and bowls are very common at </w:t>
      </w:r>
      <w:r>
        <w:t xml:space="preserve">the </w:t>
      </w:r>
      <w:r w:rsidRPr="00D6101B">
        <w:t>Mochlos Limenaria cemetery, registered in all tombs, while in the same cemetery</w:t>
      </w:r>
      <w:r>
        <w:t>,</w:t>
      </w:r>
      <w:r w:rsidRPr="00D6101B">
        <w:t xml:space="preserve"> in </w:t>
      </w:r>
      <w:r>
        <w:t>T</w:t>
      </w:r>
      <w:r w:rsidRPr="00D6101B">
        <w:t>omb 15</w:t>
      </w:r>
      <w:r>
        <w:t>,</w:t>
      </w:r>
      <w:r w:rsidRPr="00D6101B">
        <w:t xml:space="preserve"> </w:t>
      </w:r>
      <w:r>
        <w:t xml:space="preserve">there are </w:t>
      </w:r>
      <w:r w:rsidRPr="00D6101B">
        <w:t>11 out of 44 conical cups</w:t>
      </w:r>
      <w:r>
        <w:t xml:space="preserve"> found in the region</w:t>
      </w:r>
      <w:r w:rsidRPr="00D6101B">
        <w:t>).</w:t>
      </w:r>
      <w:r>
        <w:t xml:space="preserve"> </w:t>
      </w:r>
      <w:r w:rsidRPr="00D6101B">
        <w:t>No tankard</w:t>
      </w:r>
      <w:r>
        <w:t>s</w:t>
      </w:r>
      <w:r w:rsidRPr="00D6101B">
        <w:t>, flask</w:t>
      </w:r>
      <w:r>
        <w:t>s</w:t>
      </w:r>
      <w:r w:rsidRPr="00D6101B">
        <w:t>, cauldron</w:t>
      </w:r>
      <w:r>
        <w:t>s</w:t>
      </w:r>
      <w:r w:rsidRPr="00D6101B">
        <w:t xml:space="preserve"> </w:t>
      </w:r>
      <w:r>
        <w:t>or</w:t>
      </w:r>
      <w:r w:rsidRPr="00D6101B">
        <w:t xml:space="preserve"> brazier</w:t>
      </w:r>
      <w:r>
        <w:t>s</w:t>
      </w:r>
      <w:r w:rsidRPr="00D6101B">
        <w:t xml:space="preserve"> </w:t>
      </w:r>
      <w:r>
        <w:t>were</w:t>
      </w:r>
      <w:r w:rsidRPr="00D6101B">
        <w:t xml:space="preserve"> found in the assemblage examined.</w:t>
      </w:r>
      <w:r>
        <w:t xml:space="preserve"> </w:t>
      </w:r>
      <w:r w:rsidRPr="00D6101B">
        <w:t xml:space="preserve">Gra Lygia </w:t>
      </w:r>
      <w:r>
        <w:t>T</w:t>
      </w:r>
      <w:r w:rsidRPr="00D6101B">
        <w:t xml:space="preserve">omb 1 and Mochlos </w:t>
      </w:r>
      <w:r>
        <w:t>T</w:t>
      </w:r>
      <w:r w:rsidRPr="00D6101B">
        <w:t xml:space="preserve">omb 13 </w:t>
      </w:r>
      <w:r>
        <w:t>contained</w:t>
      </w:r>
      <w:r w:rsidRPr="00D6101B">
        <w:t xml:space="preserve"> the</w:t>
      </w:r>
      <w:r>
        <w:t xml:space="preserve"> highest number of pottery vessels</w:t>
      </w:r>
      <w:r w:rsidRPr="00D6101B">
        <w:t xml:space="preserve"> in tombs with larnakes in </w:t>
      </w:r>
      <w:r>
        <w:t>the Far-East</w:t>
      </w:r>
      <w:r w:rsidRPr="00D6101B">
        <w:t xml:space="preserve"> region, respectively 48 and 44 items.</w:t>
      </w:r>
    </w:p>
    <w:p w14:paraId="1393144E" w14:textId="77777777" w:rsidR="001A4F1A" w:rsidRDefault="001A4F1A" w:rsidP="00E858EF">
      <w:pPr>
        <w:suppressAutoHyphens/>
      </w:pPr>
    </w:p>
    <w:p w14:paraId="0C7EC09E" w14:textId="5A9B38DF" w:rsidR="001A4F1A" w:rsidRPr="00D6101B" w:rsidRDefault="001A4F1A" w:rsidP="00E858EF">
      <w:pPr>
        <w:pStyle w:val="Testofumetto"/>
        <w:suppressAutoHyphens/>
      </w:pPr>
      <w:bookmarkStart w:id="899" w:name="_Toc520212624"/>
      <w:r>
        <w:t>Table 4-49</w:t>
      </w:r>
      <w:r w:rsidR="006943E5">
        <w:t>.</w:t>
      </w:r>
      <w:r>
        <w:t xml:space="preserve"> Most common pottery types</w:t>
      </w:r>
      <w:r w:rsidR="0001663C">
        <w:t>,</w:t>
      </w:r>
      <w:r>
        <w:t xml:space="preserve"> Far-East area</w:t>
      </w:r>
      <w:bookmarkEnd w:id="899"/>
    </w:p>
    <w:tbl>
      <w:tblPr>
        <w:tblW w:w="8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4"/>
        <w:gridCol w:w="1253"/>
        <w:gridCol w:w="556"/>
        <w:gridCol w:w="731"/>
        <w:gridCol w:w="1004"/>
        <w:gridCol w:w="1134"/>
        <w:gridCol w:w="851"/>
        <w:gridCol w:w="750"/>
      </w:tblGrid>
      <w:tr w:rsidR="001A4F1A" w:rsidRPr="00F11209" w14:paraId="335CAD99" w14:textId="77777777" w:rsidTr="009D5FBB">
        <w:tc>
          <w:tcPr>
            <w:tcW w:w="2234" w:type="dxa"/>
          </w:tcPr>
          <w:p w14:paraId="75B01D6D" w14:textId="77777777" w:rsidR="001A4F1A" w:rsidRPr="00F11209" w:rsidRDefault="001A4F1A" w:rsidP="00E858EF">
            <w:pPr>
              <w:suppressAutoHyphens/>
              <w:rPr>
                <w:sz w:val="20"/>
              </w:rPr>
            </w:pPr>
          </w:p>
        </w:tc>
        <w:tc>
          <w:tcPr>
            <w:tcW w:w="1253" w:type="dxa"/>
          </w:tcPr>
          <w:p w14:paraId="0065C900" w14:textId="77777777" w:rsidR="001A4F1A" w:rsidRPr="00F11209" w:rsidRDefault="001A4F1A" w:rsidP="00E858EF">
            <w:pPr>
              <w:suppressAutoHyphens/>
              <w:jc w:val="center"/>
              <w:rPr>
                <w:rFonts w:eastAsia="Times New Roman"/>
                <w:bCs/>
                <w:color w:val="000000"/>
                <w:sz w:val="20"/>
              </w:rPr>
            </w:pPr>
            <w:r w:rsidRPr="00F11209">
              <w:rPr>
                <w:rFonts w:eastAsia="Times New Roman"/>
                <w:bCs/>
                <w:color w:val="000000"/>
                <w:sz w:val="20"/>
              </w:rPr>
              <w:t>Stirrup jar</w:t>
            </w:r>
          </w:p>
        </w:tc>
        <w:tc>
          <w:tcPr>
            <w:tcW w:w="0" w:type="auto"/>
          </w:tcPr>
          <w:p w14:paraId="5BDCB5C7" w14:textId="77777777" w:rsidR="001A4F1A" w:rsidRPr="00F11209" w:rsidRDefault="001A4F1A" w:rsidP="00E858EF">
            <w:pPr>
              <w:suppressAutoHyphens/>
              <w:jc w:val="center"/>
              <w:rPr>
                <w:rFonts w:eastAsia="Times New Roman"/>
                <w:color w:val="000000"/>
                <w:sz w:val="20"/>
              </w:rPr>
            </w:pPr>
            <w:r w:rsidRPr="00F11209">
              <w:rPr>
                <w:rFonts w:eastAsia="Times New Roman"/>
                <w:color w:val="000000"/>
                <w:sz w:val="20"/>
              </w:rPr>
              <w:t>Jug</w:t>
            </w:r>
          </w:p>
        </w:tc>
        <w:tc>
          <w:tcPr>
            <w:tcW w:w="0" w:type="auto"/>
          </w:tcPr>
          <w:p w14:paraId="3D3676A6" w14:textId="77777777" w:rsidR="001A4F1A" w:rsidRPr="00F11209" w:rsidRDefault="001A4F1A" w:rsidP="00E858EF">
            <w:pPr>
              <w:suppressAutoHyphens/>
              <w:jc w:val="center"/>
              <w:rPr>
                <w:rFonts w:eastAsia="Times New Roman"/>
                <w:color w:val="000000"/>
                <w:sz w:val="20"/>
              </w:rPr>
            </w:pPr>
            <w:r w:rsidRPr="00F11209">
              <w:rPr>
                <w:rFonts w:eastAsia="Times New Roman"/>
                <w:color w:val="000000"/>
                <w:sz w:val="20"/>
              </w:rPr>
              <w:t>Bowl</w:t>
            </w:r>
          </w:p>
        </w:tc>
        <w:tc>
          <w:tcPr>
            <w:tcW w:w="1004" w:type="dxa"/>
          </w:tcPr>
          <w:p w14:paraId="6D72A0FC" w14:textId="77777777" w:rsidR="001A4F1A" w:rsidRPr="00F11209" w:rsidRDefault="001A4F1A" w:rsidP="00E858EF">
            <w:pPr>
              <w:suppressAutoHyphens/>
              <w:jc w:val="center"/>
              <w:rPr>
                <w:rFonts w:eastAsia="Times New Roman"/>
                <w:color w:val="000000"/>
                <w:sz w:val="20"/>
              </w:rPr>
            </w:pPr>
            <w:r w:rsidRPr="00F11209">
              <w:rPr>
                <w:rFonts w:eastAsia="Times New Roman"/>
                <w:color w:val="000000"/>
                <w:sz w:val="20"/>
              </w:rPr>
              <w:t>Conical cups</w:t>
            </w:r>
          </w:p>
        </w:tc>
        <w:tc>
          <w:tcPr>
            <w:tcW w:w="1134" w:type="dxa"/>
          </w:tcPr>
          <w:p w14:paraId="6196C5DA" w14:textId="77777777" w:rsidR="001A4F1A" w:rsidRPr="00F11209" w:rsidRDefault="001A4F1A" w:rsidP="00E858EF">
            <w:pPr>
              <w:suppressAutoHyphens/>
              <w:jc w:val="center"/>
              <w:rPr>
                <w:rFonts w:eastAsia="Times New Roman"/>
                <w:color w:val="000000"/>
                <w:sz w:val="20"/>
              </w:rPr>
            </w:pPr>
            <w:r w:rsidRPr="00F11209">
              <w:rPr>
                <w:rFonts w:eastAsia="Times New Roman"/>
                <w:color w:val="000000"/>
                <w:sz w:val="20"/>
              </w:rPr>
              <w:t>Cups</w:t>
            </w:r>
          </w:p>
        </w:tc>
        <w:tc>
          <w:tcPr>
            <w:tcW w:w="851" w:type="dxa"/>
          </w:tcPr>
          <w:p w14:paraId="70312205" w14:textId="77777777" w:rsidR="001A4F1A" w:rsidRPr="00F11209" w:rsidRDefault="001A4F1A" w:rsidP="00E858EF">
            <w:pPr>
              <w:suppressAutoHyphens/>
              <w:jc w:val="center"/>
              <w:rPr>
                <w:rFonts w:eastAsia="Times New Roman"/>
                <w:color w:val="000000"/>
                <w:sz w:val="20"/>
              </w:rPr>
            </w:pPr>
            <w:r w:rsidRPr="00F11209">
              <w:rPr>
                <w:rFonts w:eastAsia="Times New Roman"/>
                <w:color w:val="000000"/>
                <w:sz w:val="20"/>
              </w:rPr>
              <w:t>Krater</w:t>
            </w:r>
          </w:p>
        </w:tc>
        <w:tc>
          <w:tcPr>
            <w:tcW w:w="750" w:type="dxa"/>
          </w:tcPr>
          <w:p w14:paraId="27F31440" w14:textId="77777777" w:rsidR="001A4F1A" w:rsidRPr="00F11209" w:rsidRDefault="001A4F1A" w:rsidP="00E858EF">
            <w:pPr>
              <w:suppressAutoHyphens/>
              <w:jc w:val="center"/>
              <w:rPr>
                <w:rFonts w:eastAsia="Times New Roman"/>
                <w:color w:val="000000"/>
                <w:sz w:val="20"/>
              </w:rPr>
            </w:pPr>
            <w:r w:rsidRPr="00F11209">
              <w:rPr>
                <w:rFonts w:eastAsia="Times New Roman"/>
                <w:color w:val="000000"/>
                <w:sz w:val="20"/>
              </w:rPr>
              <w:t>Pyxis</w:t>
            </w:r>
          </w:p>
        </w:tc>
      </w:tr>
      <w:tr w:rsidR="001A4F1A" w:rsidRPr="00F11209" w14:paraId="0449895F" w14:textId="77777777" w:rsidTr="009D5FBB">
        <w:tc>
          <w:tcPr>
            <w:tcW w:w="2234" w:type="dxa"/>
          </w:tcPr>
          <w:p w14:paraId="057C91F7" w14:textId="77777777" w:rsidR="001A4F1A" w:rsidRPr="00F11209" w:rsidRDefault="001A4F1A" w:rsidP="00E858EF">
            <w:pPr>
              <w:suppressAutoHyphens/>
              <w:jc w:val="left"/>
              <w:rPr>
                <w:sz w:val="20"/>
              </w:rPr>
            </w:pPr>
            <w:r w:rsidRPr="00F11209">
              <w:rPr>
                <w:sz w:val="20"/>
              </w:rPr>
              <w:t>Total no. of items FE region</w:t>
            </w:r>
          </w:p>
        </w:tc>
        <w:tc>
          <w:tcPr>
            <w:tcW w:w="1253" w:type="dxa"/>
          </w:tcPr>
          <w:p w14:paraId="16F859DE" w14:textId="77777777" w:rsidR="001A4F1A" w:rsidRPr="00F11209" w:rsidRDefault="001A4F1A" w:rsidP="00E858EF">
            <w:pPr>
              <w:suppressAutoHyphens/>
              <w:jc w:val="center"/>
              <w:rPr>
                <w:sz w:val="20"/>
              </w:rPr>
            </w:pPr>
            <w:r w:rsidRPr="00F11209">
              <w:rPr>
                <w:sz w:val="20"/>
              </w:rPr>
              <w:t>170</w:t>
            </w:r>
          </w:p>
        </w:tc>
        <w:tc>
          <w:tcPr>
            <w:tcW w:w="0" w:type="auto"/>
          </w:tcPr>
          <w:p w14:paraId="509C68C6" w14:textId="77777777" w:rsidR="001A4F1A" w:rsidRPr="00F11209" w:rsidRDefault="001A4F1A" w:rsidP="00E858EF">
            <w:pPr>
              <w:suppressAutoHyphens/>
              <w:jc w:val="center"/>
              <w:rPr>
                <w:sz w:val="20"/>
              </w:rPr>
            </w:pPr>
            <w:r w:rsidRPr="00F11209">
              <w:rPr>
                <w:sz w:val="20"/>
              </w:rPr>
              <w:t>84</w:t>
            </w:r>
          </w:p>
        </w:tc>
        <w:tc>
          <w:tcPr>
            <w:tcW w:w="0" w:type="auto"/>
          </w:tcPr>
          <w:p w14:paraId="1B6C4694" w14:textId="77777777" w:rsidR="001A4F1A" w:rsidRPr="00F11209" w:rsidRDefault="001A4F1A" w:rsidP="00E858EF">
            <w:pPr>
              <w:suppressAutoHyphens/>
              <w:jc w:val="center"/>
              <w:rPr>
                <w:sz w:val="20"/>
              </w:rPr>
            </w:pPr>
            <w:r w:rsidRPr="00F11209">
              <w:rPr>
                <w:sz w:val="20"/>
              </w:rPr>
              <w:t>46</w:t>
            </w:r>
          </w:p>
        </w:tc>
        <w:tc>
          <w:tcPr>
            <w:tcW w:w="1004" w:type="dxa"/>
          </w:tcPr>
          <w:p w14:paraId="23DC5CA8" w14:textId="77777777" w:rsidR="001A4F1A" w:rsidRPr="00F11209" w:rsidRDefault="001A4F1A" w:rsidP="00E858EF">
            <w:pPr>
              <w:suppressAutoHyphens/>
              <w:jc w:val="center"/>
              <w:rPr>
                <w:sz w:val="20"/>
              </w:rPr>
            </w:pPr>
            <w:r w:rsidRPr="00F11209">
              <w:rPr>
                <w:sz w:val="20"/>
              </w:rPr>
              <w:t>44</w:t>
            </w:r>
          </w:p>
        </w:tc>
        <w:tc>
          <w:tcPr>
            <w:tcW w:w="1134" w:type="dxa"/>
          </w:tcPr>
          <w:p w14:paraId="57DB580B" w14:textId="77777777" w:rsidR="001A4F1A" w:rsidRPr="00F11209" w:rsidRDefault="001A4F1A" w:rsidP="00E858EF">
            <w:pPr>
              <w:suppressAutoHyphens/>
              <w:jc w:val="center"/>
              <w:rPr>
                <w:sz w:val="20"/>
              </w:rPr>
            </w:pPr>
            <w:r w:rsidRPr="00F11209">
              <w:rPr>
                <w:sz w:val="20"/>
              </w:rPr>
              <w:t>29</w:t>
            </w:r>
          </w:p>
        </w:tc>
        <w:tc>
          <w:tcPr>
            <w:tcW w:w="851" w:type="dxa"/>
          </w:tcPr>
          <w:p w14:paraId="14CD94FC" w14:textId="77777777" w:rsidR="001A4F1A" w:rsidRPr="00F11209" w:rsidRDefault="001A4F1A" w:rsidP="00E858EF">
            <w:pPr>
              <w:suppressAutoHyphens/>
              <w:jc w:val="center"/>
              <w:rPr>
                <w:sz w:val="20"/>
              </w:rPr>
            </w:pPr>
            <w:r w:rsidRPr="00F11209">
              <w:rPr>
                <w:sz w:val="20"/>
              </w:rPr>
              <w:t>20</w:t>
            </w:r>
          </w:p>
        </w:tc>
        <w:tc>
          <w:tcPr>
            <w:tcW w:w="750" w:type="dxa"/>
          </w:tcPr>
          <w:p w14:paraId="2DD94C1C" w14:textId="77777777" w:rsidR="001A4F1A" w:rsidRPr="00F11209" w:rsidRDefault="001A4F1A" w:rsidP="00E858EF">
            <w:pPr>
              <w:suppressAutoHyphens/>
              <w:jc w:val="center"/>
              <w:rPr>
                <w:sz w:val="20"/>
              </w:rPr>
            </w:pPr>
            <w:r w:rsidRPr="00F11209">
              <w:rPr>
                <w:sz w:val="20"/>
              </w:rPr>
              <w:t>18</w:t>
            </w:r>
          </w:p>
        </w:tc>
      </w:tr>
      <w:tr w:rsidR="001A4F1A" w:rsidRPr="00F11209" w14:paraId="205AC7FA" w14:textId="77777777" w:rsidTr="009D5FBB">
        <w:tc>
          <w:tcPr>
            <w:tcW w:w="2234" w:type="dxa"/>
          </w:tcPr>
          <w:p w14:paraId="1427A1A9" w14:textId="77777777" w:rsidR="001A4F1A" w:rsidRPr="00F11209" w:rsidRDefault="001A4F1A" w:rsidP="00E858EF">
            <w:pPr>
              <w:suppressAutoHyphens/>
              <w:jc w:val="left"/>
              <w:rPr>
                <w:sz w:val="20"/>
              </w:rPr>
            </w:pPr>
            <w:r w:rsidRPr="00F11209">
              <w:rPr>
                <w:sz w:val="20"/>
              </w:rPr>
              <w:t>Maximum no. items per tomb</w:t>
            </w:r>
          </w:p>
        </w:tc>
        <w:tc>
          <w:tcPr>
            <w:tcW w:w="1253" w:type="dxa"/>
          </w:tcPr>
          <w:p w14:paraId="4F7180F3" w14:textId="77777777" w:rsidR="001A4F1A" w:rsidRPr="00F11209" w:rsidRDefault="001A4F1A" w:rsidP="00E858EF">
            <w:pPr>
              <w:suppressAutoHyphens/>
              <w:jc w:val="center"/>
              <w:rPr>
                <w:sz w:val="20"/>
              </w:rPr>
            </w:pPr>
            <w:r w:rsidRPr="00F11209">
              <w:rPr>
                <w:sz w:val="20"/>
              </w:rPr>
              <w:t>20</w:t>
            </w:r>
          </w:p>
        </w:tc>
        <w:tc>
          <w:tcPr>
            <w:tcW w:w="0" w:type="auto"/>
          </w:tcPr>
          <w:p w14:paraId="506CB8BA" w14:textId="77777777" w:rsidR="001A4F1A" w:rsidRPr="00F11209" w:rsidRDefault="001A4F1A" w:rsidP="00E858EF">
            <w:pPr>
              <w:suppressAutoHyphens/>
              <w:jc w:val="center"/>
              <w:rPr>
                <w:sz w:val="20"/>
              </w:rPr>
            </w:pPr>
            <w:r w:rsidRPr="00F11209">
              <w:rPr>
                <w:sz w:val="20"/>
              </w:rPr>
              <w:t>6</w:t>
            </w:r>
          </w:p>
        </w:tc>
        <w:tc>
          <w:tcPr>
            <w:tcW w:w="0" w:type="auto"/>
          </w:tcPr>
          <w:p w14:paraId="75F7983A" w14:textId="77777777" w:rsidR="001A4F1A" w:rsidRPr="00F11209" w:rsidRDefault="001A4F1A" w:rsidP="00E858EF">
            <w:pPr>
              <w:suppressAutoHyphens/>
              <w:jc w:val="center"/>
              <w:rPr>
                <w:sz w:val="20"/>
              </w:rPr>
            </w:pPr>
            <w:r w:rsidRPr="00F11209">
              <w:rPr>
                <w:sz w:val="20"/>
              </w:rPr>
              <w:t>8</w:t>
            </w:r>
          </w:p>
        </w:tc>
        <w:tc>
          <w:tcPr>
            <w:tcW w:w="1004" w:type="dxa"/>
          </w:tcPr>
          <w:p w14:paraId="3697CF0C" w14:textId="77777777" w:rsidR="001A4F1A" w:rsidRPr="00F11209" w:rsidRDefault="001A4F1A" w:rsidP="00E858EF">
            <w:pPr>
              <w:suppressAutoHyphens/>
              <w:jc w:val="center"/>
              <w:rPr>
                <w:sz w:val="20"/>
              </w:rPr>
            </w:pPr>
            <w:r w:rsidRPr="00F11209">
              <w:rPr>
                <w:sz w:val="20"/>
              </w:rPr>
              <w:t>11</w:t>
            </w:r>
          </w:p>
        </w:tc>
        <w:tc>
          <w:tcPr>
            <w:tcW w:w="1134" w:type="dxa"/>
          </w:tcPr>
          <w:p w14:paraId="78EEE170" w14:textId="77777777" w:rsidR="001A4F1A" w:rsidRPr="00F11209" w:rsidRDefault="001A4F1A" w:rsidP="00E858EF">
            <w:pPr>
              <w:suppressAutoHyphens/>
              <w:jc w:val="center"/>
              <w:rPr>
                <w:sz w:val="20"/>
              </w:rPr>
            </w:pPr>
            <w:r w:rsidRPr="00F11209">
              <w:rPr>
                <w:sz w:val="20"/>
              </w:rPr>
              <w:t>4</w:t>
            </w:r>
          </w:p>
        </w:tc>
        <w:tc>
          <w:tcPr>
            <w:tcW w:w="851" w:type="dxa"/>
          </w:tcPr>
          <w:p w14:paraId="7F4B7CF8" w14:textId="77777777" w:rsidR="001A4F1A" w:rsidRPr="00F11209" w:rsidRDefault="001A4F1A" w:rsidP="00E858EF">
            <w:pPr>
              <w:suppressAutoHyphens/>
              <w:jc w:val="center"/>
              <w:rPr>
                <w:sz w:val="20"/>
              </w:rPr>
            </w:pPr>
            <w:r w:rsidRPr="00F11209">
              <w:rPr>
                <w:sz w:val="20"/>
              </w:rPr>
              <w:t>4</w:t>
            </w:r>
          </w:p>
        </w:tc>
        <w:tc>
          <w:tcPr>
            <w:tcW w:w="750" w:type="dxa"/>
          </w:tcPr>
          <w:p w14:paraId="0E063CE5" w14:textId="77777777" w:rsidR="001A4F1A" w:rsidRPr="00F11209" w:rsidRDefault="001A4F1A" w:rsidP="00E858EF">
            <w:pPr>
              <w:suppressAutoHyphens/>
              <w:jc w:val="center"/>
              <w:rPr>
                <w:sz w:val="20"/>
              </w:rPr>
            </w:pPr>
            <w:r w:rsidRPr="00F11209">
              <w:rPr>
                <w:sz w:val="20"/>
              </w:rPr>
              <w:t>3</w:t>
            </w:r>
          </w:p>
        </w:tc>
      </w:tr>
      <w:tr w:rsidR="001A4F1A" w:rsidRPr="00F11209" w14:paraId="1489C42D" w14:textId="77777777" w:rsidTr="009D5FBB">
        <w:tc>
          <w:tcPr>
            <w:tcW w:w="2234" w:type="dxa"/>
          </w:tcPr>
          <w:p w14:paraId="55B690CB" w14:textId="77777777" w:rsidR="001A4F1A" w:rsidRPr="00F11209" w:rsidRDefault="001A4F1A" w:rsidP="00E858EF">
            <w:pPr>
              <w:suppressAutoHyphens/>
              <w:jc w:val="left"/>
              <w:rPr>
                <w:sz w:val="20"/>
              </w:rPr>
            </w:pPr>
            <w:r w:rsidRPr="00F11209">
              <w:rPr>
                <w:sz w:val="20"/>
              </w:rPr>
              <w:t>No. of tombs</w:t>
            </w:r>
          </w:p>
        </w:tc>
        <w:tc>
          <w:tcPr>
            <w:tcW w:w="1253" w:type="dxa"/>
          </w:tcPr>
          <w:p w14:paraId="57DDA6D1" w14:textId="77777777" w:rsidR="001A4F1A" w:rsidRPr="00F11209" w:rsidRDefault="001A4F1A" w:rsidP="00E858EF">
            <w:pPr>
              <w:suppressAutoHyphens/>
              <w:jc w:val="center"/>
              <w:rPr>
                <w:sz w:val="20"/>
              </w:rPr>
            </w:pPr>
            <w:r w:rsidRPr="00F11209">
              <w:rPr>
                <w:sz w:val="20"/>
              </w:rPr>
              <w:t>39</w:t>
            </w:r>
          </w:p>
        </w:tc>
        <w:tc>
          <w:tcPr>
            <w:tcW w:w="0" w:type="auto"/>
          </w:tcPr>
          <w:p w14:paraId="6D558F6B" w14:textId="77777777" w:rsidR="001A4F1A" w:rsidRPr="00F11209" w:rsidRDefault="001A4F1A" w:rsidP="00E858EF">
            <w:pPr>
              <w:suppressAutoHyphens/>
              <w:jc w:val="center"/>
              <w:rPr>
                <w:sz w:val="20"/>
              </w:rPr>
            </w:pPr>
            <w:r w:rsidRPr="00F11209">
              <w:rPr>
                <w:sz w:val="20"/>
              </w:rPr>
              <w:t>32</w:t>
            </w:r>
          </w:p>
        </w:tc>
        <w:tc>
          <w:tcPr>
            <w:tcW w:w="0" w:type="auto"/>
          </w:tcPr>
          <w:p w14:paraId="066BE081" w14:textId="77777777" w:rsidR="001A4F1A" w:rsidRPr="00F11209" w:rsidRDefault="001A4F1A" w:rsidP="00E858EF">
            <w:pPr>
              <w:suppressAutoHyphens/>
              <w:jc w:val="center"/>
              <w:rPr>
                <w:sz w:val="20"/>
              </w:rPr>
            </w:pPr>
            <w:r w:rsidRPr="00F11209">
              <w:rPr>
                <w:sz w:val="20"/>
              </w:rPr>
              <w:t>19</w:t>
            </w:r>
          </w:p>
        </w:tc>
        <w:tc>
          <w:tcPr>
            <w:tcW w:w="1004" w:type="dxa"/>
          </w:tcPr>
          <w:p w14:paraId="7390663D" w14:textId="77777777" w:rsidR="001A4F1A" w:rsidRPr="00F11209" w:rsidRDefault="001A4F1A" w:rsidP="00E858EF">
            <w:pPr>
              <w:suppressAutoHyphens/>
              <w:jc w:val="center"/>
              <w:rPr>
                <w:sz w:val="20"/>
              </w:rPr>
            </w:pPr>
            <w:r w:rsidRPr="00F11209">
              <w:rPr>
                <w:sz w:val="20"/>
              </w:rPr>
              <w:t>10</w:t>
            </w:r>
          </w:p>
        </w:tc>
        <w:tc>
          <w:tcPr>
            <w:tcW w:w="1134" w:type="dxa"/>
          </w:tcPr>
          <w:p w14:paraId="05AF26E7" w14:textId="77777777" w:rsidR="001A4F1A" w:rsidRPr="00F11209" w:rsidRDefault="001A4F1A" w:rsidP="00E858EF">
            <w:pPr>
              <w:suppressAutoHyphens/>
              <w:jc w:val="center"/>
              <w:rPr>
                <w:sz w:val="20"/>
              </w:rPr>
            </w:pPr>
            <w:r w:rsidRPr="00F11209">
              <w:rPr>
                <w:sz w:val="20"/>
              </w:rPr>
              <w:t>17</w:t>
            </w:r>
          </w:p>
        </w:tc>
        <w:tc>
          <w:tcPr>
            <w:tcW w:w="851" w:type="dxa"/>
          </w:tcPr>
          <w:p w14:paraId="2B741F65" w14:textId="77777777" w:rsidR="001A4F1A" w:rsidRPr="00F11209" w:rsidRDefault="001A4F1A" w:rsidP="00E858EF">
            <w:pPr>
              <w:suppressAutoHyphens/>
              <w:jc w:val="center"/>
              <w:rPr>
                <w:sz w:val="20"/>
              </w:rPr>
            </w:pPr>
            <w:r w:rsidRPr="00F11209">
              <w:rPr>
                <w:sz w:val="20"/>
              </w:rPr>
              <w:t>12</w:t>
            </w:r>
          </w:p>
        </w:tc>
        <w:tc>
          <w:tcPr>
            <w:tcW w:w="750" w:type="dxa"/>
          </w:tcPr>
          <w:p w14:paraId="20E5375E" w14:textId="77777777" w:rsidR="001A4F1A" w:rsidRPr="00F11209" w:rsidRDefault="001A4F1A" w:rsidP="00E858EF">
            <w:pPr>
              <w:suppressAutoHyphens/>
              <w:jc w:val="center"/>
              <w:rPr>
                <w:sz w:val="20"/>
              </w:rPr>
            </w:pPr>
            <w:r w:rsidRPr="00F11209">
              <w:rPr>
                <w:sz w:val="20"/>
              </w:rPr>
              <w:t>13</w:t>
            </w:r>
          </w:p>
        </w:tc>
      </w:tr>
    </w:tbl>
    <w:p w14:paraId="0437C094" w14:textId="77777777" w:rsidR="001A4F1A" w:rsidRPr="00D6101B" w:rsidRDefault="001A4F1A" w:rsidP="00E858EF">
      <w:pPr>
        <w:suppressAutoHyphens/>
      </w:pPr>
    </w:p>
    <w:p w14:paraId="69E39327" w14:textId="77777777" w:rsidR="001A4F1A" w:rsidRPr="00D6101B" w:rsidRDefault="001A4F1A" w:rsidP="00E858EF">
      <w:pPr>
        <w:suppressAutoHyphens/>
      </w:pPr>
    </w:p>
    <w:p w14:paraId="5A913182" w14:textId="77777777" w:rsidR="001A4F1A" w:rsidRPr="00D6101B" w:rsidRDefault="001A4F1A" w:rsidP="00E858EF">
      <w:pPr>
        <w:suppressAutoHyphens/>
      </w:pPr>
    </w:p>
    <w:p w14:paraId="0F25291D" w14:textId="77777777" w:rsidR="001A4F1A" w:rsidRDefault="001A4F1A" w:rsidP="00E858EF">
      <w:pPr>
        <w:suppressAutoHyphens/>
      </w:pPr>
    </w:p>
    <w:p w14:paraId="1FA6EBB1" w14:textId="414B0C44" w:rsidR="001A4F1A" w:rsidRDefault="001A4F1A" w:rsidP="00E858EF">
      <w:pPr>
        <w:pStyle w:val="Didascalia"/>
        <w:suppressAutoHyphens/>
      </w:pPr>
      <w:bookmarkStart w:id="900" w:name="_Toc520212391"/>
      <w:r>
        <w:rPr>
          <w:noProof/>
          <w:lang w:val="it-IT"/>
        </w:rPr>
        <w:drawing>
          <wp:inline distT="0" distB="0" distL="0" distR="0" wp14:anchorId="5CA7F27E" wp14:editId="320EB75F">
            <wp:extent cx="5372586" cy="5482158"/>
            <wp:effectExtent l="0" t="0" r="12700" b="29845"/>
            <wp:docPr id="113" name="Gra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r>
        <w:t xml:space="preserve"> Figure 4-53</w:t>
      </w:r>
      <w:r w:rsidR="00620A08">
        <w:t>.</w:t>
      </w:r>
      <w:r>
        <w:t xml:space="preserve"> Pottery types occurrence</w:t>
      </w:r>
      <w:r w:rsidR="0001663C">
        <w:t>,</w:t>
      </w:r>
      <w:r>
        <w:t xml:space="preserve"> </w:t>
      </w:r>
      <w:r w:rsidR="00EF455A">
        <w:t>Far</w:t>
      </w:r>
      <w:r>
        <w:t>-East area</w:t>
      </w:r>
      <w:bookmarkEnd w:id="900"/>
    </w:p>
    <w:p w14:paraId="40C0FD26" w14:textId="77777777" w:rsidR="00000DF1" w:rsidRPr="00000DF1" w:rsidRDefault="00000DF1" w:rsidP="00E858EF">
      <w:pPr>
        <w:suppressAutoHyphens/>
      </w:pPr>
    </w:p>
    <w:p w14:paraId="61ACBAF1" w14:textId="570E6FD2" w:rsidR="001A4F1A" w:rsidRPr="00D6101B" w:rsidRDefault="001A4F1A" w:rsidP="00F11209">
      <w:pPr>
        <w:pStyle w:val="Titolo4"/>
      </w:pPr>
      <w:bookmarkStart w:id="901" w:name="_Toc389508278"/>
      <w:bookmarkStart w:id="902" w:name="_Toc517745358"/>
      <w:r w:rsidRPr="00D6101B">
        <w:t>Conclusion</w:t>
      </w:r>
      <w:bookmarkEnd w:id="901"/>
      <w:r>
        <w:t>s</w:t>
      </w:r>
      <w:bookmarkEnd w:id="902"/>
      <w:r w:rsidR="00F11209">
        <w:t>,</w:t>
      </w:r>
      <w:r w:rsidR="00000DF1">
        <w:t xml:space="preserve"> Far-East area</w:t>
      </w:r>
    </w:p>
    <w:p w14:paraId="3A8CA0FE" w14:textId="77777777" w:rsidR="001A4F1A" w:rsidRPr="00D6101B" w:rsidRDefault="001A4F1A" w:rsidP="00E858EF">
      <w:pPr>
        <w:suppressAutoHyphens/>
      </w:pPr>
      <w:r>
        <w:t>Regarding the</w:t>
      </w:r>
      <w:r w:rsidRPr="00D6101B">
        <w:t xml:space="preserve"> </w:t>
      </w:r>
      <w:r>
        <w:t>Far-East</w:t>
      </w:r>
      <w:r w:rsidRPr="00D6101B">
        <w:t xml:space="preserve"> area</w:t>
      </w:r>
      <w:r>
        <w:t>,</w:t>
      </w:r>
      <w:r w:rsidRPr="00D6101B">
        <w:t xml:space="preserve"> information concerning grave goods assemblage </w:t>
      </w:r>
      <w:r>
        <w:t>is</w:t>
      </w:r>
      <w:r w:rsidRPr="00D6101B">
        <w:t xml:space="preserve"> available for 87% of secure tombs </w:t>
      </w:r>
      <w:r>
        <w:t>for which</w:t>
      </w:r>
      <w:r w:rsidRPr="00D6101B">
        <w:t xml:space="preserve"> larnax burials </w:t>
      </w:r>
      <w:r>
        <w:t>are</w:t>
      </w:r>
      <w:r w:rsidRPr="00D6101B">
        <w:t xml:space="preserve"> registered. In the </w:t>
      </w:r>
      <w:r>
        <w:t>Far-East</w:t>
      </w:r>
      <w:r w:rsidRPr="00D6101B">
        <w:t xml:space="preserve"> area, the most common material found in tombs with larnakes is </w:t>
      </w:r>
      <w:r>
        <w:t>pottery,</w:t>
      </w:r>
      <w:r w:rsidRPr="00D6101B">
        <w:t xml:space="preserve"> </w:t>
      </w:r>
      <w:r>
        <w:t>present</w:t>
      </w:r>
      <w:r w:rsidRPr="00D6101B">
        <w:t xml:space="preserve"> in 93% of tombs. The analysis of grave goods assemblage composition</w:t>
      </w:r>
      <w:r>
        <w:t>s</w:t>
      </w:r>
      <w:r w:rsidRPr="00D6101B">
        <w:t xml:space="preserve"> </w:t>
      </w:r>
      <w:r>
        <w:t>based on</w:t>
      </w:r>
      <w:r w:rsidRPr="00D6101B">
        <w:t xml:space="preserve"> pottery presence </w:t>
      </w:r>
      <w:r>
        <w:t>is</w:t>
      </w:r>
      <w:r w:rsidRPr="00D6101B">
        <w:t xml:space="preserve"> summarised by th</w:t>
      </w:r>
      <w:r>
        <w:t>e</w:t>
      </w:r>
      <w:r w:rsidRPr="00D6101B">
        <w:t xml:space="preserve"> graph</w:t>
      </w:r>
      <w:r>
        <w:t>, below</w:t>
      </w:r>
      <w:r w:rsidRPr="00D6101B">
        <w:t>:</w:t>
      </w:r>
    </w:p>
    <w:p w14:paraId="40090A43" w14:textId="77777777" w:rsidR="001A4F1A" w:rsidRPr="00D6101B" w:rsidRDefault="001A4F1A" w:rsidP="00E858EF">
      <w:pPr>
        <w:suppressAutoHyphens/>
      </w:pPr>
      <w:r w:rsidRPr="00D6101B">
        <w:rPr>
          <w:noProof/>
          <w:lang w:val="it-IT"/>
        </w:rPr>
        <w:drawing>
          <wp:inline distT="0" distB="0" distL="0" distR="0" wp14:anchorId="799D8B0E" wp14:editId="53BDC942">
            <wp:extent cx="4680000" cy="2520000"/>
            <wp:effectExtent l="0" t="0" r="6350" b="13970"/>
            <wp:docPr id="84" name="Grafico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35DB8BF3" w14:textId="7722595A" w:rsidR="001A4F1A" w:rsidRDefault="001A4F1A" w:rsidP="00E858EF">
      <w:pPr>
        <w:pStyle w:val="Didascalia"/>
        <w:suppressAutoHyphens/>
      </w:pPr>
      <w:bookmarkStart w:id="903" w:name="_Toc520212392"/>
      <w:r>
        <w:t>Figure 4-54</w:t>
      </w:r>
      <w:r w:rsidR="00620A08">
        <w:t>.</w:t>
      </w:r>
      <w:r>
        <w:t xml:space="preserve"> </w:t>
      </w:r>
      <w:r w:rsidRPr="008703D3">
        <w:t>Composition o</w:t>
      </w:r>
      <w:r>
        <w:t>f grave goods assemblages according to pottery occurrence</w:t>
      </w:r>
      <w:r w:rsidR="0001663C">
        <w:t>,</w:t>
      </w:r>
      <w:r>
        <w:t xml:space="preserve"> Far-East area</w:t>
      </w:r>
      <w:bookmarkEnd w:id="903"/>
      <w:r w:rsidDel="00AA504B">
        <w:t xml:space="preserve"> </w:t>
      </w:r>
    </w:p>
    <w:p w14:paraId="4294BA6D" w14:textId="77777777" w:rsidR="001A4F1A" w:rsidRPr="00D6101B" w:rsidRDefault="001A4F1A" w:rsidP="00E858EF">
      <w:pPr>
        <w:suppressAutoHyphens/>
      </w:pPr>
    </w:p>
    <w:p w14:paraId="5EC0B692" w14:textId="77777777" w:rsidR="001A4F1A" w:rsidRPr="00D6101B" w:rsidRDefault="001A4F1A" w:rsidP="00E858EF">
      <w:pPr>
        <w:suppressAutoHyphens/>
        <w:ind w:firstLine="708"/>
      </w:pPr>
      <w:r w:rsidRPr="00D6101B">
        <w:t xml:space="preserve">While </w:t>
      </w:r>
      <w:r>
        <w:t>pottery</w:t>
      </w:r>
      <w:r w:rsidRPr="00D6101B">
        <w:t xml:space="preserve"> artefacts </w:t>
      </w:r>
      <w:r>
        <w:t>are</w:t>
      </w:r>
      <w:r w:rsidRPr="00D6101B">
        <w:t xml:space="preserve"> considered very common within the grave goods assemblage</w:t>
      </w:r>
      <w:r>
        <w:t>s</w:t>
      </w:r>
      <w:r w:rsidRPr="00D6101B">
        <w:t xml:space="preserve"> of tomb</w:t>
      </w:r>
      <w:r>
        <w:t>s</w:t>
      </w:r>
      <w:r w:rsidRPr="00D6101B">
        <w:t xml:space="preserve"> with larnakes in this region, </w:t>
      </w:r>
      <w:r>
        <w:t>non-ceramic</w:t>
      </w:r>
      <w:r w:rsidRPr="00D6101B">
        <w:t xml:space="preserve"> artefacts </w:t>
      </w:r>
      <w:r>
        <w:t>were found</w:t>
      </w:r>
      <w:r w:rsidRPr="00D6101B">
        <w:t xml:space="preserve"> in 64% of tombs, </w:t>
      </w:r>
      <w:r>
        <w:t>but</w:t>
      </w:r>
      <w:r w:rsidRPr="00D6101B">
        <w:t xml:space="preserve"> only 7% </w:t>
      </w:r>
      <w:r>
        <w:t xml:space="preserve">were </w:t>
      </w:r>
      <w:r w:rsidRPr="00D6101B">
        <w:t xml:space="preserve">not </w:t>
      </w:r>
      <w:r>
        <w:t>associated</w:t>
      </w:r>
      <w:r w:rsidRPr="00D6101B">
        <w:t xml:space="preserve"> with </w:t>
      </w:r>
      <w:r>
        <w:t>pottery</w:t>
      </w:r>
      <w:r w:rsidRPr="00D6101B">
        <w:t>.</w:t>
      </w:r>
    </w:p>
    <w:p w14:paraId="2228EA1D" w14:textId="77777777" w:rsidR="001A4F1A" w:rsidRPr="00D6101B" w:rsidRDefault="001A4F1A" w:rsidP="00E858EF">
      <w:pPr>
        <w:suppressAutoHyphens/>
      </w:pPr>
      <w:r>
        <w:tab/>
      </w:r>
      <w:r w:rsidRPr="00D6101B">
        <w:t xml:space="preserve">Bronze and stone </w:t>
      </w:r>
      <w:r>
        <w:t>are</w:t>
      </w:r>
      <w:r w:rsidRPr="00D6101B">
        <w:t xml:space="preserve"> the most common materials after </w:t>
      </w:r>
      <w:r>
        <w:t>pottery.</w:t>
      </w:r>
      <w:r w:rsidRPr="00D6101B">
        <w:t xml:space="preserve"> </w:t>
      </w:r>
      <w:r>
        <w:t>B</w:t>
      </w:r>
      <w:r w:rsidRPr="00D6101B">
        <w:t xml:space="preserve">ronze </w:t>
      </w:r>
      <w:r>
        <w:t>was found</w:t>
      </w:r>
      <w:r w:rsidRPr="00D6101B">
        <w:t xml:space="preserve"> in 46% of tombs and stone in 22%, while precious materials (gold and ivory) </w:t>
      </w:r>
      <w:r>
        <w:t>were found</w:t>
      </w:r>
      <w:r w:rsidRPr="00D6101B">
        <w:t xml:space="preserve"> in 12%.</w:t>
      </w:r>
      <w:r>
        <w:t xml:space="preserve"> </w:t>
      </w:r>
      <w:r w:rsidRPr="00D6101B">
        <w:t xml:space="preserve">The </w:t>
      </w:r>
      <w:r>
        <w:t>presence</w:t>
      </w:r>
      <w:r w:rsidRPr="00D6101B">
        <w:t xml:space="preserve"> of precious materials seems to be </w:t>
      </w:r>
      <w:r>
        <w:t>un</w:t>
      </w:r>
      <w:r w:rsidRPr="00D6101B">
        <w:t xml:space="preserve">related </w:t>
      </w:r>
      <w:r>
        <w:t>to</w:t>
      </w:r>
      <w:r w:rsidRPr="00D6101B">
        <w:t xml:space="preserve"> the monumentality of the tombs: none of the tombs in which </w:t>
      </w:r>
      <w:r>
        <w:t>there is a</w:t>
      </w:r>
      <w:r w:rsidRPr="00D6101B">
        <w:t xml:space="preserve"> high concentration </w:t>
      </w:r>
      <w:r>
        <w:t xml:space="preserve">of </w:t>
      </w:r>
      <w:r w:rsidRPr="00D6101B">
        <w:t>precious materials</w:t>
      </w:r>
      <w:r>
        <w:t xml:space="preserve"> contains any </w:t>
      </w:r>
      <w:r w:rsidRPr="00D6101B">
        <w:t xml:space="preserve">features of architectural monumentality (the only possible connection </w:t>
      </w:r>
      <w:r>
        <w:t>is</w:t>
      </w:r>
      <w:r w:rsidRPr="00D6101B">
        <w:t xml:space="preserve"> at Pachyammos Alazzomouri </w:t>
      </w:r>
      <w:r>
        <w:t>T</w:t>
      </w:r>
      <w:r w:rsidRPr="00D6101B">
        <w:t xml:space="preserve">omb 3, which </w:t>
      </w:r>
      <w:r>
        <w:t>has</w:t>
      </w:r>
      <w:r w:rsidRPr="00D6101B">
        <w:t xml:space="preserve"> a slightly large chamber </w:t>
      </w:r>
      <w:r>
        <w:t>and</w:t>
      </w:r>
      <w:r w:rsidRPr="00D6101B">
        <w:t xml:space="preserve"> pits, </w:t>
      </w:r>
      <w:r>
        <w:t xml:space="preserve">the materials found there include </w:t>
      </w:r>
      <w:r w:rsidRPr="00D6101B">
        <w:t>bronze</w:t>
      </w:r>
      <w:r>
        <w:t>,</w:t>
      </w:r>
      <w:r w:rsidRPr="00D6101B">
        <w:t xml:space="preserve"> ceramic</w:t>
      </w:r>
      <w:r>
        <w:t>,</w:t>
      </w:r>
      <w:r w:rsidRPr="00D6101B">
        <w:t xml:space="preserve"> glass</w:t>
      </w:r>
      <w:r>
        <w:t>,</w:t>
      </w:r>
      <w:r w:rsidRPr="00D6101B">
        <w:t xml:space="preserve"> gold and stone in the grave good</w:t>
      </w:r>
      <w:r>
        <w:t>s</w:t>
      </w:r>
      <w:r w:rsidRPr="00D6101B">
        <w:t xml:space="preserve"> assemblage).</w:t>
      </w:r>
    </w:p>
    <w:p w14:paraId="16AA23AB" w14:textId="77777777" w:rsidR="001A4F1A" w:rsidRPr="00D6101B" w:rsidRDefault="001A4F1A" w:rsidP="00E858EF">
      <w:pPr>
        <w:suppressAutoHyphens/>
      </w:pPr>
      <w:r>
        <w:tab/>
        <w:t>I</w:t>
      </w:r>
      <w:r w:rsidRPr="00D6101B">
        <w:t>nteresting data emerge</w:t>
      </w:r>
      <w:r>
        <w:t>d</w:t>
      </w:r>
      <w:r w:rsidRPr="00D6101B">
        <w:t xml:space="preserve"> from the analysis of </w:t>
      </w:r>
      <w:r>
        <w:t>non-ceramic</w:t>
      </w:r>
      <w:r w:rsidRPr="00D6101B">
        <w:t xml:space="preserve"> artefacts: in roughly half of the tombs where </w:t>
      </w:r>
      <w:r>
        <w:t>non-ceramic</w:t>
      </w:r>
      <w:r w:rsidRPr="00D6101B">
        <w:t xml:space="preserve"> items </w:t>
      </w:r>
      <w:r>
        <w:t>were found,</w:t>
      </w:r>
      <w:r w:rsidRPr="00D6101B">
        <w:t xml:space="preserve"> the type</w:t>
      </w:r>
      <w:r>
        <w:t>s</w:t>
      </w:r>
      <w:r w:rsidRPr="00D6101B">
        <w:t xml:space="preserve"> of object do not b</w:t>
      </w:r>
      <w:r>
        <w:t>elong to the most common types</w:t>
      </w:r>
      <w:r w:rsidRPr="00D6101B">
        <w:t xml:space="preserve"> </w:t>
      </w:r>
      <w:r>
        <w:t>found</w:t>
      </w:r>
      <w:r w:rsidRPr="00D6101B">
        <w:t xml:space="preserve"> in burial assemblages, but are instead particular type</w:t>
      </w:r>
      <w:r>
        <w:t>s</w:t>
      </w:r>
      <w:r w:rsidRPr="00D6101B">
        <w:t xml:space="preserve"> of artefacts</w:t>
      </w:r>
      <w:r>
        <w:t>,</w:t>
      </w:r>
      <w:r w:rsidRPr="00D6101B">
        <w:t xml:space="preserve"> as in the case of the two ivory sceptre heads found at Palaikastro Aspa 2, or the gold ornament from Praisos </w:t>
      </w:r>
      <w:r>
        <w:t>T</w:t>
      </w:r>
      <w:r w:rsidRPr="00D6101B">
        <w:t xml:space="preserve">omb Beta. </w:t>
      </w:r>
      <w:r>
        <w:t>Among</w:t>
      </w:r>
      <w:r w:rsidRPr="00D6101B">
        <w:t xml:space="preserve"> the common </w:t>
      </w:r>
      <w:r>
        <w:t>non-ceramic</w:t>
      </w:r>
      <w:r w:rsidRPr="00D6101B">
        <w:t xml:space="preserve"> artefacts</w:t>
      </w:r>
      <w:r>
        <w:t>,</w:t>
      </w:r>
      <w:r w:rsidRPr="00D6101B">
        <w:t xml:space="preserve"> ring</w:t>
      </w:r>
      <w:r>
        <w:t>s</w:t>
      </w:r>
      <w:r w:rsidRPr="00D6101B">
        <w:t>, seal</w:t>
      </w:r>
      <w:r>
        <w:t>s</w:t>
      </w:r>
      <w:r w:rsidRPr="00D6101B">
        <w:t xml:space="preserve"> and kni</w:t>
      </w:r>
      <w:r>
        <w:t>v</w:t>
      </w:r>
      <w:r w:rsidRPr="00D6101B">
        <w:t xml:space="preserve">es </w:t>
      </w:r>
      <w:r>
        <w:t>are</w:t>
      </w:r>
      <w:r w:rsidRPr="00D6101B">
        <w:t xml:space="preserve"> the three most popular.</w:t>
      </w:r>
    </w:p>
    <w:p w14:paraId="18271564" w14:textId="77777777" w:rsidR="001A4F1A" w:rsidRPr="00D6101B" w:rsidRDefault="001A4F1A" w:rsidP="00E858EF">
      <w:pPr>
        <w:suppressAutoHyphens/>
      </w:pPr>
      <w:r>
        <w:tab/>
        <w:t>Regarding pottery typ</w:t>
      </w:r>
      <w:r w:rsidRPr="00D6101B">
        <w:t xml:space="preserve">es, even if data reliability </w:t>
      </w:r>
      <w:r>
        <w:t>about their</w:t>
      </w:r>
      <w:r w:rsidRPr="00D6101B">
        <w:t xml:space="preserve"> distribution in this region </w:t>
      </w:r>
      <w:r>
        <w:t>has</w:t>
      </w:r>
      <w:r w:rsidRPr="00D6101B">
        <w:t xml:space="preserve"> some important gap</w:t>
      </w:r>
      <w:r>
        <w:t>s</w:t>
      </w:r>
      <w:r w:rsidRPr="00D6101B">
        <w:t xml:space="preserve"> (i.e. Myrsini and Episkopi Ierapetra partial information), stirrup jars are by far the most popular pottery type in the assemblage of tombs with larnakes. The difference </w:t>
      </w:r>
      <w:r>
        <w:t>from</w:t>
      </w:r>
      <w:r w:rsidRPr="00D6101B">
        <w:t xml:space="preserve"> the other common pottery types is relevant in terms of number of items, although the high concentration of stirrup jars in </w:t>
      </w:r>
      <w:r>
        <w:t xml:space="preserve">a </w:t>
      </w:r>
      <w:r w:rsidRPr="00D6101B">
        <w:t>few tombs (</w:t>
      </w:r>
      <w:r>
        <w:t xml:space="preserve">e.g. </w:t>
      </w:r>
      <w:r w:rsidRPr="00D6101B">
        <w:t xml:space="preserve">Episkopi Ierapetra, Gra Lygia </w:t>
      </w:r>
      <w:r>
        <w:t>T</w:t>
      </w:r>
      <w:r w:rsidRPr="00D6101B">
        <w:t xml:space="preserve">omb 1 and Mochlos Limenaria </w:t>
      </w:r>
      <w:r>
        <w:t>T</w:t>
      </w:r>
      <w:r w:rsidRPr="00D6101B">
        <w:t>omb 13) makes the difference. Furthermore, these tomb</w:t>
      </w:r>
      <w:r>
        <w:t>s</w:t>
      </w:r>
      <w:r w:rsidRPr="00D6101B">
        <w:t xml:space="preserve"> with high number</w:t>
      </w:r>
      <w:r>
        <w:t>s</w:t>
      </w:r>
      <w:r w:rsidRPr="00D6101B">
        <w:t xml:space="preserve"> of stirrup jars (more than 10 items per tomb)</w:t>
      </w:r>
      <w:r>
        <w:t xml:space="preserve"> contain</w:t>
      </w:r>
      <w:r w:rsidRPr="00D6101B">
        <w:t xml:space="preserve"> the assemblage</w:t>
      </w:r>
      <w:r>
        <w:t>s</w:t>
      </w:r>
      <w:r w:rsidRPr="00D6101B">
        <w:t xml:space="preserve"> with the highest number of pottery vessels (more than 30). The average number of vases per tomb in </w:t>
      </w:r>
      <w:r>
        <w:t>the Far-East</w:t>
      </w:r>
      <w:r w:rsidRPr="00D6101B">
        <w:t xml:space="preserve"> region is </w:t>
      </w:r>
      <w:r>
        <w:t>relatively</w:t>
      </w:r>
      <w:r w:rsidRPr="00D6101B">
        <w:t xml:space="preserve"> high (approximately </w:t>
      </w:r>
      <w:r>
        <w:t>nine</w:t>
      </w:r>
      <w:r w:rsidRPr="00D6101B">
        <w:t xml:space="preserve"> vessels per tomb).</w:t>
      </w:r>
    </w:p>
    <w:p w14:paraId="2E6C4EA2" w14:textId="77777777" w:rsidR="001A4F1A" w:rsidRPr="00D6101B" w:rsidRDefault="001A4F1A" w:rsidP="00E858EF">
      <w:pPr>
        <w:suppressAutoHyphens/>
      </w:pPr>
      <w:r>
        <w:tab/>
      </w:r>
      <w:r w:rsidRPr="00D6101B">
        <w:t>The presence of imported vases has been registered in the following tombs:</w:t>
      </w:r>
    </w:p>
    <w:p w14:paraId="0C116443" w14:textId="77777777" w:rsidR="001A4F1A" w:rsidRPr="00D6101B" w:rsidRDefault="001A4F1A" w:rsidP="00E858EF">
      <w:pPr>
        <w:pStyle w:val="Paragrafoelenco"/>
        <w:numPr>
          <w:ilvl w:val="0"/>
          <w:numId w:val="55"/>
        </w:numPr>
        <w:suppressAutoHyphens/>
      </w:pPr>
      <w:r w:rsidRPr="00D6101B">
        <w:t xml:space="preserve">Gra Lygia </w:t>
      </w:r>
      <w:r>
        <w:t>T</w:t>
      </w:r>
      <w:r w:rsidRPr="00D6101B">
        <w:t>omb1</w:t>
      </w:r>
      <w:r>
        <w:t>,</w:t>
      </w:r>
      <w:r w:rsidRPr="00D6101B">
        <w:t xml:space="preserve"> Kydonia, Mycenaean imports and Episkopi Ierapetra</w:t>
      </w:r>
    </w:p>
    <w:p w14:paraId="124015CA" w14:textId="77777777" w:rsidR="001A4F1A" w:rsidRPr="00D6101B" w:rsidRDefault="001A4F1A" w:rsidP="00E858EF">
      <w:pPr>
        <w:pStyle w:val="Paragrafoelenco"/>
        <w:numPr>
          <w:ilvl w:val="0"/>
          <w:numId w:val="55"/>
        </w:numPr>
        <w:suppressAutoHyphens/>
      </w:pPr>
      <w:r w:rsidRPr="00D6101B">
        <w:t>Episkopi Ierapetra tombs assemblage</w:t>
      </w:r>
      <w:r>
        <w:t>,</w:t>
      </w:r>
      <w:r w:rsidRPr="00D6101B">
        <w:t xml:space="preserve"> imports from Kydonia and Mycenae</w:t>
      </w:r>
    </w:p>
    <w:p w14:paraId="3F90A9BE" w14:textId="77777777" w:rsidR="001A4F1A" w:rsidRPr="00D6101B" w:rsidRDefault="001A4F1A" w:rsidP="00E858EF">
      <w:pPr>
        <w:suppressAutoHyphens/>
      </w:pPr>
      <w:r w:rsidRPr="00D6101B">
        <w:t>Th</w:t>
      </w:r>
      <w:r>
        <w:t>ese</w:t>
      </w:r>
      <w:r w:rsidRPr="00D6101B">
        <w:t xml:space="preserve"> further data concerning the presence of imported materials </w:t>
      </w:r>
      <w:r>
        <w:t>make</w:t>
      </w:r>
      <w:r w:rsidRPr="00D6101B">
        <w:t xml:space="preserve"> the assemblage of tomb</w:t>
      </w:r>
      <w:r>
        <w:t>s with larnakes in this region important</w:t>
      </w:r>
      <w:r w:rsidRPr="00D6101B">
        <w:t>, in particular</w:t>
      </w:r>
      <w:r>
        <w:t xml:space="preserve"> in terms of</w:t>
      </w:r>
      <w:r w:rsidRPr="00D6101B">
        <w:t xml:space="preserve"> pottery assemblage.</w:t>
      </w:r>
    </w:p>
    <w:p w14:paraId="6968776D" w14:textId="2E845961" w:rsidR="001A4F1A" w:rsidRPr="00D81620" w:rsidRDefault="001A4F1A" w:rsidP="00E858EF">
      <w:pPr>
        <w:pStyle w:val="Titolo3"/>
        <w:keepNext w:val="0"/>
        <w:keepLines w:val="0"/>
        <w:suppressAutoHyphens/>
      </w:pPr>
      <w:bookmarkStart w:id="904" w:name="_Toc519894668"/>
      <w:r w:rsidRPr="00D81620">
        <w:t>Conclusions</w:t>
      </w:r>
      <w:r w:rsidR="00000DF1">
        <w:t>,</w:t>
      </w:r>
      <w:r w:rsidRPr="00D81620">
        <w:t xml:space="preserve"> grave goods analysis</w:t>
      </w:r>
      <w:bookmarkEnd w:id="904"/>
    </w:p>
    <w:p w14:paraId="67BA87E2" w14:textId="2665B814" w:rsidR="001A4F1A" w:rsidRPr="00EF1A70" w:rsidRDefault="001A4F1A" w:rsidP="00E858EF">
      <w:pPr>
        <w:suppressAutoHyphens/>
      </w:pPr>
      <w:r w:rsidRPr="00EF1A70">
        <w:t>From the analysis of the grave good</w:t>
      </w:r>
      <w:r>
        <w:t>s</w:t>
      </w:r>
      <w:r w:rsidRPr="00EF1A70">
        <w:t xml:space="preserve"> assemblage</w:t>
      </w:r>
      <w:r>
        <w:t>s</w:t>
      </w:r>
      <w:r w:rsidRPr="00EF1A70">
        <w:t xml:space="preserve"> associated </w:t>
      </w:r>
      <w:r>
        <w:t>with</w:t>
      </w:r>
      <w:r w:rsidRPr="00EF1A70">
        <w:t xml:space="preserve"> tomb</w:t>
      </w:r>
      <w:r>
        <w:t>s</w:t>
      </w:r>
      <w:r w:rsidRPr="00EF1A70">
        <w:t xml:space="preserve"> with larnakes</w:t>
      </w:r>
      <w:r w:rsidR="00000DF1">
        <w:t>,</w:t>
      </w:r>
      <w:r w:rsidRPr="00EF1A70">
        <w:t xml:space="preserve"> the following patterns</w:t>
      </w:r>
      <w:r>
        <w:t xml:space="preserve"> </w:t>
      </w:r>
      <w:r w:rsidRPr="00EF1A70">
        <w:t>emerge:</w:t>
      </w:r>
    </w:p>
    <w:p w14:paraId="79FBC988" w14:textId="77777777" w:rsidR="001A4F1A" w:rsidRDefault="001A4F1A" w:rsidP="00E858EF">
      <w:pPr>
        <w:pStyle w:val="Paragrafoelenco"/>
        <w:numPr>
          <w:ilvl w:val="0"/>
          <w:numId w:val="75"/>
        </w:numPr>
        <w:suppressAutoHyphens/>
      </w:pPr>
      <w:r>
        <w:t>Regarding</w:t>
      </w:r>
      <w:r w:rsidRPr="00EF1A70">
        <w:t xml:space="preserve"> material type composition, </w:t>
      </w:r>
      <w:r>
        <w:t xml:space="preserve">the </w:t>
      </w:r>
      <w:r w:rsidRPr="00EF1A70">
        <w:t xml:space="preserve">predominance of pottery items can be considered a homogenous pattern visible in all the grave goods assemblages across all regions. However, </w:t>
      </w:r>
      <w:r>
        <w:t>regarding</w:t>
      </w:r>
      <w:r w:rsidRPr="00EF1A70">
        <w:t xml:space="preserve"> material variety in tombs in </w:t>
      </w:r>
      <w:r>
        <w:t xml:space="preserve">the </w:t>
      </w:r>
      <w:r w:rsidRPr="00EF1A70">
        <w:t>west-central area (</w:t>
      </w:r>
      <w:r>
        <w:t>Mid-West</w:t>
      </w:r>
      <w:r w:rsidRPr="00EF1A70">
        <w:t xml:space="preserve">-Mesara-Knossos) a higher degree of material variability is </w:t>
      </w:r>
      <w:r>
        <w:t xml:space="preserve">apparent, because </w:t>
      </w:r>
      <w:r w:rsidRPr="00EF1A70">
        <w:t xml:space="preserve">tombs that </w:t>
      </w:r>
      <w:r>
        <w:t>contain</w:t>
      </w:r>
      <w:r w:rsidRPr="00EF1A70">
        <w:t xml:space="preserve"> more than three materials within the assemblage</w:t>
      </w:r>
      <w:r>
        <w:t xml:space="preserve"> are slightly more common (Figure 4.59). However,</w:t>
      </w:r>
      <w:r w:rsidRPr="00EF1A70">
        <w:t xml:space="preserve"> in the east</w:t>
      </w:r>
      <w:r>
        <w:t>,</w:t>
      </w:r>
      <w:r w:rsidRPr="00EF1A70">
        <w:t xml:space="preserve"> material variety </w:t>
      </w:r>
      <w:r>
        <w:t>is</w:t>
      </w:r>
      <w:r w:rsidRPr="00EF1A70">
        <w:t xml:space="preserve"> a more isolated phenomenon.</w:t>
      </w:r>
    </w:p>
    <w:p w14:paraId="4B6F5DD7" w14:textId="77777777" w:rsidR="001A4F1A" w:rsidRDefault="001A4F1A" w:rsidP="00E858EF">
      <w:pPr>
        <w:pStyle w:val="Paragrafoelenco"/>
        <w:suppressAutoHyphens/>
        <w:ind w:hanging="720"/>
      </w:pPr>
      <w:r>
        <w:rPr>
          <w:noProof/>
          <w:lang w:val="it-IT"/>
        </w:rPr>
        <w:drawing>
          <wp:inline distT="0" distB="0" distL="0" distR="0" wp14:anchorId="2BE65FE0" wp14:editId="3109E17D">
            <wp:extent cx="5356225" cy="2586251"/>
            <wp:effectExtent l="0" t="0" r="15875" b="5080"/>
            <wp:docPr id="114" name="Gra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0A6FEFA1" w14:textId="7BCACAED" w:rsidR="001A4F1A" w:rsidRDefault="001A4F1A" w:rsidP="00E858EF">
      <w:pPr>
        <w:pStyle w:val="Didascalia"/>
        <w:suppressAutoHyphens/>
        <w:ind w:firstLine="709"/>
      </w:pPr>
      <w:bookmarkStart w:id="905" w:name="_Toc520212393"/>
      <w:r>
        <w:t>Figure 4-55</w:t>
      </w:r>
      <w:r w:rsidR="00620A08">
        <w:t>.</w:t>
      </w:r>
      <w:r>
        <w:t xml:space="preserve"> Material variety in tombs with larnakes</w:t>
      </w:r>
      <w:bookmarkEnd w:id="905"/>
    </w:p>
    <w:p w14:paraId="14C448B5" w14:textId="77777777" w:rsidR="001A4F1A" w:rsidRPr="00EF1A70" w:rsidRDefault="001A4F1A" w:rsidP="00E858EF">
      <w:pPr>
        <w:pStyle w:val="Paragrafoelenco"/>
        <w:suppressAutoHyphens/>
      </w:pPr>
      <w:r>
        <w:t>From the analysis of non-ceramic and pottery items, there seems a general preference for jewellery and stirrup jars associated with larnakes, which is a very common phenomenon across all the tombs examined.</w:t>
      </w:r>
    </w:p>
    <w:p w14:paraId="49260A4B" w14:textId="77777777" w:rsidR="001A4F1A" w:rsidRPr="00EF1A70" w:rsidRDefault="001A4F1A" w:rsidP="00E858EF">
      <w:pPr>
        <w:pStyle w:val="Paragrafoelenco"/>
        <w:numPr>
          <w:ilvl w:val="0"/>
          <w:numId w:val="75"/>
        </w:numPr>
        <w:suppressAutoHyphens/>
      </w:pPr>
      <w:r w:rsidRPr="00EF1A70">
        <w:t xml:space="preserve">The high </w:t>
      </w:r>
      <w:r>
        <w:t>presence</w:t>
      </w:r>
      <w:r w:rsidRPr="00EF1A70">
        <w:t xml:space="preserve"> of precious materials within the assemblage</w:t>
      </w:r>
      <w:r>
        <w:t>s</w:t>
      </w:r>
      <w:r w:rsidRPr="00EF1A70">
        <w:t xml:space="preserve"> does not represent a specific pattern in tombs with larnakes. However, it is possible to identify </w:t>
      </w:r>
      <w:r>
        <w:t>the presence of such materials</w:t>
      </w:r>
      <w:r w:rsidRPr="00EF1A70">
        <w:t xml:space="preserve"> in isolated tombs within cemeteries (</w:t>
      </w:r>
      <w:r>
        <w:t>e.g.</w:t>
      </w:r>
      <w:r w:rsidRPr="00EF1A70">
        <w:t xml:space="preserve"> Maroulas, Armenoi, Knossos</w:t>
      </w:r>
      <w:r>
        <w:t xml:space="preserve"> Mavro Spelio and</w:t>
      </w:r>
      <w:r w:rsidRPr="00EF1A70">
        <w:t xml:space="preserve"> Upper Gypsades), or</w:t>
      </w:r>
      <w:r>
        <w:t>,</w:t>
      </w:r>
      <w:r w:rsidRPr="00EF1A70">
        <w:t xml:space="preserve"> in </w:t>
      </w:r>
      <w:r>
        <w:t xml:space="preserve">a </w:t>
      </w:r>
      <w:r w:rsidRPr="00EF1A70">
        <w:t>few isolated cases</w:t>
      </w:r>
      <w:r>
        <w:t>, as a pattern in</w:t>
      </w:r>
      <w:r w:rsidRPr="00EF1A70">
        <w:t xml:space="preserve"> </w:t>
      </w:r>
      <w:r>
        <w:t>an</w:t>
      </w:r>
      <w:r w:rsidRPr="00EF1A70">
        <w:t xml:space="preserve"> entire cemetery (</w:t>
      </w:r>
      <w:r>
        <w:t xml:space="preserve">e.g. </w:t>
      </w:r>
      <w:r w:rsidRPr="00EF1A70">
        <w:t>Archanes Phourni). In some case</w:t>
      </w:r>
      <w:r>
        <w:t>s, this pattern</w:t>
      </w:r>
      <w:r w:rsidRPr="00EF1A70">
        <w:t xml:space="preserve"> </w:t>
      </w:r>
      <w:r>
        <w:t>can</w:t>
      </w:r>
      <w:r w:rsidRPr="00EF1A70">
        <w:t xml:space="preserve"> be explained as </w:t>
      </w:r>
      <w:r>
        <w:t>a factor of previous use of the tombs</w:t>
      </w:r>
      <w:r w:rsidRPr="00EF1A70">
        <w:t xml:space="preserve">: at Knossos </w:t>
      </w:r>
      <w:r>
        <w:t xml:space="preserve">(Mavro Spelio, </w:t>
      </w:r>
      <w:r w:rsidRPr="00EF1A70">
        <w:t>Katsambas</w:t>
      </w:r>
      <w:r>
        <w:t xml:space="preserve"> and Upper Gypsades),</w:t>
      </w:r>
      <w:r w:rsidRPr="00EF1A70">
        <w:t xml:space="preserve"> the </w:t>
      </w:r>
      <w:r>
        <w:t>presence</w:t>
      </w:r>
      <w:r w:rsidRPr="00EF1A70">
        <w:t xml:space="preserve"> of precious materials could be a feat</w:t>
      </w:r>
      <w:r>
        <w:t>ure of assemblages linked to</w:t>
      </w:r>
      <w:r w:rsidRPr="00EF1A70">
        <w:t xml:space="preserve"> previous burials (e.g. </w:t>
      </w:r>
      <w:r>
        <w:t>Upper Gypsades Tomb VII, Hood et al.  1958/1959: 208)</w:t>
      </w:r>
      <w:r w:rsidRPr="00EF1A70">
        <w:t xml:space="preserve">. </w:t>
      </w:r>
      <w:r>
        <w:t xml:space="preserve">However, </w:t>
      </w:r>
      <w:r w:rsidRPr="00EF1A70">
        <w:t>in other case</w:t>
      </w:r>
      <w:r>
        <w:t>s,</w:t>
      </w:r>
      <w:r w:rsidRPr="00EF1A70">
        <w:t xml:space="preserve"> </w:t>
      </w:r>
      <w:r>
        <w:t>the presence</w:t>
      </w:r>
      <w:r w:rsidRPr="00EF1A70">
        <w:t xml:space="preserve"> represents a local variation pattern in assemblage composition and could </w:t>
      </w:r>
      <w:r>
        <w:t>indicate</w:t>
      </w:r>
      <w:r w:rsidRPr="00EF1A70">
        <w:t xml:space="preserve"> how some isolated local communities competed </w:t>
      </w:r>
      <w:r>
        <w:t xml:space="preserve">with </w:t>
      </w:r>
      <w:r w:rsidRPr="00EF1A70">
        <w:t xml:space="preserve">each other through the </w:t>
      </w:r>
      <w:r>
        <w:t xml:space="preserve">display </w:t>
      </w:r>
      <w:r w:rsidRPr="00EF1A70">
        <w:t xml:space="preserve">of precious materials within the assemblage (they were still able to access and </w:t>
      </w:r>
      <w:r>
        <w:t>‘</w:t>
      </w:r>
      <w:r w:rsidRPr="00EF1A70">
        <w:t>sacrifice</w:t>
      </w:r>
      <w:r>
        <w:t>’</w:t>
      </w:r>
      <w:r w:rsidRPr="00EF1A70">
        <w:t xml:space="preserve"> precious material items in burials).</w:t>
      </w:r>
    </w:p>
    <w:p w14:paraId="5365B51D" w14:textId="57FD1FCE" w:rsidR="001A4F1A" w:rsidRPr="00EF1A70" w:rsidRDefault="001A4F1A" w:rsidP="00E858EF">
      <w:pPr>
        <w:pStyle w:val="Paragrafoelenco"/>
        <w:numPr>
          <w:ilvl w:val="0"/>
          <w:numId w:val="75"/>
        </w:numPr>
        <w:suppressAutoHyphens/>
      </w:pPr>
      <w:r>
        <w:t xml:space="preserve">With the exception of some isolated tombs, the </w:t>
      </w:r>
      <w:r w:rsidRPr="00EF1A70">
        <w:t>construction of identities</w:t>
      </w:r>
      <w:r>
        <w:t xml:space="preserve"> in tombs with larnakes</w:t>
      </w:r>
      <w:r w:rsidRPr="00EF1A70">
        <w:t xml:space="preserve"> was </w:t>
      </w:r>
      <w:r>
        <w:t xml:space="preserve">generally </w:t>
      </w:r>
      <w:r w:rsidRPr="00EF1A70">
        <w:t xml:space="preserve">shaped through </w:t>
      </w:r>
      <w:r w:rsidR="003617E4">
        <w:t xml:space="preserve">the </w:t>
      </w:r>
      <w:r w:rsidRPr="00EF1A70">
        <w:t>pottery assemblage</w:t>
      </w:r>
      <w:r w:rsidR="00847D9C">
        <w:t xml:space="preserve">, </w:t>
      </w:r>
      <w:r w:rsidRPr="00EF1A70">
        <w:t>variety of pottery assemblag</w:t>
      </w:r>
      <w:r>
        <w:t>e, selection of pottery typ</w:t>
      </w:r>
      <w:r w:rsidRPr="00EF1A70">
        <w:t xml:space="preserve">es, </w:t>
      </w:r>
      <w:r w:rsidR="002752C8">
        <w:t xml:space="preserve">and </w:t>
      </w:r>
      <w:r>
        <w:t>presence</w:t>
      </w:r>
      <w:r w:rsidRPr="00EF1A70">
        <w:t xml:space="preserve"> of finely decorated items and imported vases, which probably functioned as valuable items within the assemblage (e.g. occurrence of decorated krater </w:t>
      </w:r>
      <w:r>
        <w:t>at Ligortyno:</w:t>
      </w:r>
      <w:r w:rsidRPr="00EF1A70">
        <w:t xml:space="preserve"> </w:t>
      </w:r>
      <w:r>
        <w:t xml:space="preserve">see </w:t>
      </w:r>
      <w:r w:rsidRPr="00EF1A70">
        <w:t>D’Agata 2015)</w:t>
      </w:r>
      <w:r>
        <w:t>.</w:t>
      </w:r>
    </w:p>
    <w:p w14:paraId="7FE1F984" w14:textId="00A0A489" w:rsidR="001A4F1A" w:rsidRPr="00EF1A70" w:rsidRDefault="001A4F1A" w:rsidP="00E858EF">
      <w:pPr>
        <w:pStyle w:val="Paragrafoelenco"/>
        <w:numPr>
          <w:ilvl w:val="0"/>
          <w:numId w:val="75"/>
        </w:numPr>
        <w:suppressAutoHyphens/>
      </w:pPr>
      <w:r w:rsidRPr="00EF1A70">
        <w:t>Quantity of items confirm</w:t>
      </w:r>
      <w:r>
        <w:t>s</w:t>
      </w:r>
      <w:r w:rsidRPr="00EF1A70">
        <w:t xml:space="preserve"> that tombs with larnakes were generally used for more than one burial</w:t>
      </w:r>
      <w:r w:rsidR="00877830">
        <w:t xml:space="preserve">. However it is not possible to identify a clear pattern </w:t>
      </w:r>
      <w:r w:rsidR="006B21EE">
        <w:t>looking at the correlation between finds and numbers of larnakes (although for example in the case of Kalochoraphitis</w:t>
      </w:r>
      <w:r w:rsidR="00466FB3">
        <w:t>,</w:t>
      </w:r>
      <w:r w:rsidR="006B21EE">
        <w:t xml:space="preserve"> a high number of larnakes corresponds </w:t>
      </w:r>
      <w:r w:rsidR="00466FB3">
        <w:t xml:space="preserve">to </w:t>
      </w:r>
      <w:r w:rsidR="006B21EE">
        <w:t>a high quantity of pots).</w:t>
      </w:r>
    </w:p>
    <w:p w14:paraId="1B2E30F2" w14:textId="77777777" w:rsidR="001A4F1A" w:rsidRDefault="001A4F1A" w:rsidP="00E858EF">
      <w:pPr>
        <w:pStyle w:val="Paragrafoelenco"/>
        <w:numPr>
          <w:ilvl w:val="0"/>
          <w:numId w:val="75"/>
        </w:numPr>
        <w:suppressAutoHyphens/>
      </w:pPr>
      <w:r w:rsidRPr="00EF1A70">
        <w:t>The presence of items that probably represented personal possessions</w:t>
      </w:r>
      <w:r>
        <w:t xml:space="preserve"> of the deceased</w:t>
      </w:r>
      <w:r w:rsidRPr="00EF1A70">
        <w:t xml:space="preserve"> is attested by jewellery (e.g. rings, necklaces, seals) and weapons, which occur in a good </w:t>
      </w:r>
      <w:r>
        <w:t>number</w:t>
      </w:r>
      <w:r w:rsidRPr="00EF1A70">
        <w:t xml:space="preserve"> of tombs. </w:t>
      </w:r>
      <w:r>
        <w:t>However,</w:t>
      </w:r>
      <w:r w:rsidRPr="00EF1A70">
        <w:t xml:space="preserve"> there is also the </w:t>
      </w:r>
      <w:r>
        <w:t>presence</w:t>
      </w:r>
      <w:r w:rsidRPr="00EF1A70">
        <w:t xml:space="preserve"> of </w:t>
      </w:r>
      <w:r>
        <w:t>non-ceramic</w:t>
      </w:r>
      <w:r w:rsidRPr="00EF1A70">
        <w:t xml:space="preserve"> items, </w:t>
      </w:r>
      <w:r>
        <w:t>which</w:t>
      </w:r>
      <w:r w:rsidRPr="00EF1A70">
        <w:t xml:space="preserve"> </w:t>
      </w:r>
      <w:r>
        <w:t>have</w:t>
      </w:r>
      <w:r w:rsidRPr="00EF1A70">
        <w:t xml:space="preserve"> a less tight link with the deceased individual (</w:t>
      </w:r>
      <w:r>
        <w:t>e.g.</w:t>
      </w:r>
      <w:r w:rsidRPr="00EF1A70">
        <w:t xml:space="preserve"> stone vases, metal vases</w:t>
      </w:r>
      <w:r>
        <w:t>,</w:t>
      </w:r>
      <w:r w:rsidRPr="00EF1A70">
        <w:t xml:space="preserve"> even if these objects are less rare in the sample of assemblage</w:t>
      </w:r>
      <w:r>
        <w:t>s</w:t>
      </w:r>
      <w:r w:rsidRPr="00EF1A70">
        <w:t xml:space="preserve"> examined)</w:t>
      </w:r>
      <w:r>
        <w:t>.</w:t>
      </w:r>
      <w:r w:rsidRPr="00EF1A70">
        <w:t xml:space="preserve"> </w:t>
      </w:r>
      <w:r>
        <w:t>Furthermore,</w:t>
      </w:r>
      <w:r w:rsidRPr="00EF1A70">
        <w:t xml:space="preserve"> pottery items are evidence of collective ceremonies (funeral</w:t>
      </w:r>
      <w:r>
        <w:t>s</w:t>
      </w:r>
      <w:r w:rsidRPr="00EF1A70">
        <w:t xml:space="preserve"> and other ceremonies) performed by the group (to which the deceased was linked or to which </w:t>
      </w:r>
      <w:r>
        <w:t>they</w:t>
      </w:r>
      <w:r w:rsidRPr="00EF1A70">
        <w:t xml:space="preserve"> belong</w:t>
      </w:r>
      <w:r>
        <w:t>ed</w:t>
      </w:r>
      <w:r w:rsidRPr="00EF1A70">
        <w:t xml:space="preserve">) in honour of the deceased. The general tendency </w:t>
      </w:r>
      <w:r>
        <w:t>apparent</w:t>
      </w:r>
      <w:r w:rsidRPr="00EF1A70">
        <w:t xml:space="preserve"> from tomb</w:t>
      </w:r>
      <w:r>
        <w:t>s</w:t>
      </w:r>
      <w:r w:rsidRPr="00EF1A70">
        <w:t xml:space="preserve"> with larnakes suggest</w:t>
      </w:r>
      <w:r>
        <w:t>s</w:t>
      </w:r>
      <w:r w:rsidRPr="00EF1A70">
        <w:t xml:space="preserve"> that the burial context </w:t>
      </w:r>
      <w:r>
        <w:t>did</w:t>
      </w:r>
      <w:r w:rsidRPr="00EF1A70">
        <w:t xml:space="preserve"> not function </w:t>
      </w:r>
      <w:r>
        <w:t>to</w:t>
      </w:r>
      <w:r w:rsidRPr="00EF1A70">
        <w:t xml:space="preserve"> express single individualities</w:t>
      </w:r>
      <w:r>
        <w:t>;</w:t>
      </w:r>
      <w:r w:rsidRPr="00EF1A70">
        <w:t xml:space="preserve"> instead</w:t>
      </w:r>
      <w:r>
        <w:t>,</w:t>
      </w:r>
      <w:r w:rsidRPr="00EF1A70">
        <w:t xml:space="preserve"> in the vast majority of cases</w:t>
      </w:r>
      <w:r>
        <w:t>,</w:t>
      </w:r>
      <w:r w:rsidRPr="00EF1A70">
        <w:t xml:space="preserve"> they represent a stage for small communities (family groups). Furthermore, even if some tombs </w:t>
      </w:r>
      <w:r>
        <w:t>display</w:t>
      </w:r>
      <w:r w:rsidRPr="00EF1A70">
        <w:t xml:space="preserve"> a stronger connection with individualities, the frequent practice of reusing tombs </w:t>
      </w:r>
      <w:r>
        <w:t>suggests</w:t>
      </w:r>
      <w:r w:rsidRPr="00EF1A70">
        <w:t xml:space="preserve"> that the members of these groups were using the identities expressed by these individuals</w:t>
      </w:r>
      <w:r>
        <w:t xml:space="preserve"> </w:t>
      </w:r>
      <w:r w:rsidRPr="00EF1A70">
        <w:t>to underline continuity and consistenc</w:t>
      </w:r>
      <w:r>
        <w:t>y</w:t>
      </w:r>
      <w:r w:rsidRPr="00EF1A70">
        <w:t xml:space="preserve"> of the group members with this individual. The creation of </w:t>
      </w:r>
      <w:r>
        <w:t xml:space="preserve">a </w:t>
      </w:r>
      <w:r w:rsidRPr="00EF1A70">
        <w:t xml:space="preserve">strong connection with these individuals was a way of </w:t>
      </w:r>
      <w:r>
        <w:t>displaying</w:t>
      </w:r>
      <w:r w:rsidRPr="00EF1A70">
        <w:t xml:space="preserve"> that this small community (family) </w:t>
      </w:r>
      <w:r>
        <w:t>shared</w:t>
      </w:r>
      <w:r w:rsidRPr="00EF1A70">
        <w:t xml:space="preserve"> the same identity symbol (</w:t>
      </w:r>
      <w:r>
        <w:t>e.g.</w:t>
      </w:r>
      <w:r w:rsidRPr="00EF1A70">
        <w:t xml:space="preserve"> social status, ethnicity)</w:t>
      </w:r>
      <w:r>
        <w:t>.</w:t>
      </w:r>
    </w:p>
    <w:p w14:paraId="1C27704B" w14:textId="77777777" w:rsidR="001A4F1A" w:rsidRPr="003A5898" w:rsidRDefault="001A4F1A" w:rsidP="00E858EF">
      <w:pPr>
        <w:suppressAutoHyphens/>
        <w:ind w:left="708"/>
      </w:pPr>
    </w:p>
    <w:p w14:paraId="300BA046" w14:textId="77777777" w:rsidR="001A4F1A" w:rsidRPr="00D6101B" w:rsidRDefault="001A4F1A" w:rsidP="00E858EF">
      <w:pPr>
        <w:suppressAutoHyphens/>
      </w:pPr>
    </w:p>
    <w:p w14:paraId="3FF9CD20" w14:textId="573BC827" w:rsidR="00604A12" w:rsidRDefault="00604A12" w:rsidP="00E858EF">
      <w:pPr>
        <w:suppressAutoHyphens/>
        <w:spacing w:line="240" w:lineRule="auto"/>
        <w:contextualSpacing w:val="0"/>
        <w:jc w:val="left"/>
        <w:rPr>
          <w:highlight w:val="lightGray"/>
        </w:rPr>
      </w:pPr>
      <w:r>
        <w:rPr>
          <w:highlight w:val="lightGray"/>
        </w:rPr>
        <w:br w:type="page"/>
      </w:r>
    </w:p>
    <w:p w14:paraId="2B7A5CB5" w14:textId="10434BBF" w:rsidR="005B0105" w:rsidRDefault="005B0105">
      <w:pPr>
        <w:widowControl/>
        <w:spacing w:line="240" w:lineRule="auto"/>
        <w:contextualSpacing w:val="0"/>
        <w:jc w:val="left"/>
        <w:rPr>
          <w:highlight w:val="lightGray"/>
        </w:rPr>
      </w:pPr>
      <w:r>
        <w:rPr>
          <w:highlight w:val="lightGray"/>
        </w:rPr>
        <w:br w:type="page"/>
      </w:r>
    </w:p>
    <w:p w14:paraId="00BD9683" w14:textId="77777777" w:rsidR="005B0105" w:rsidRDefault="005B0105" w:rsidP="00E858EF">
      <w:pPr>
        <w:suppressAutoHyphens/>
        <w:spacing w:line="240" w:lineRule="auto"/>
        <w:contextualSpacing w:val="0"/>
        <w:jc w:val="left"/>
        <w:rPr>
          <w:highlight w:val="lightGray"/>
        </w:rPr>
      </w:pPr>
    </w:p>
    <w:p w14:paraId="1E2B6B46" w14:textId="19B9C7C0" w:rsidR="00D726B2" w:rsidRPr="00D726B2" w:rsidRDefault="00D726B2" w:rsidP="00E858EF">
      <w:pPr>
        <w:pStyle w:val="Titolo1"/>
        <w:keepNext w:val="0"/>
        <w:keepLines w:val="0"/>
        <w:suppressAutoHyphens/>
      </w:pPr>
      <w:bookmarkStart w:id="906" w:name="_Toc517807576"/>
      <w:bookmarkStart w:id="907" w:name="_Toc519894670"/>
      <w:r w:rsidRPr="00D726B2">
        <w:t>LARNAX MORPHOLOGY AND ICONOGRAPHY</w:t>
      </w:r>
      <w:bookmarkEnd w:id="906"/>
      <w:bookmarkEnd w:id="907"/>
    </w:p>
    <w:p w14:paraId="02BF3094" w14:textId="77777777" w:rsidR="00D726B2" w:rsidRPr="00E7753F" w:rsidRDefault="00D726B2" w:rsidP="00E858EF">
      <w:pPr>
        <w:pStyle w:val="Titolo2"/>
        <w:keepNext w:val="0"/>
        <w:keepLines w:val="0"/>
        <w:suppressAutoHyphens/>
      </w:pPr>
      <w:bookmarkStart w:id="908" w:name="_Toc517807577"/>
      <w:bookmarkStart w:id="909" w:name="_Toc519894671"/>
      <w:r w:rsidRPr="00E7753F">
        <w:t>Methodology</w:t>
      </w:r>
      <w:bookmarkEnd w:id="908"/>
      <w:bookmarkEnd w:id="909"/>
    </w:p>
    <w:p w14:paraId="7BB75090" w14:textId="77777777" w:rsidR="00D726B2" w:rsidRPr="00191003" w:rsidRDefault="00D726B2" w:rsidP="00E858EF">
      <w:pPr>
        <w:suppressAutoHyphens/>
      </w:pPr>
      <w:r w:rsidRPr="00191003">
        <w:t>In this section</w:t>
      </w:r>
      <w:r>
        <w:t>,</w:t>
      </w:r>
      <w:r w:rsidRPr="00191003">
        <w:t xml:space="preserve"> the morphological features of larnakes and their iconography</w:t>
      </w:r>
      <w:r>
        <w:t xml:space="preserve"> are examined for each region</w:t>
      </w:r>
      <w:r w:rsidRPr="00191003">
        <w:t>. The analysis follow</w:t>
      </w:r>
      <w:r>
        <w:t>s</w:t>
      </w:r>
      <w:r w:rsidRPr="00191003">
        <w:t xml:space="preserve"> the regional division</w:t>
      </w:r>
      <w:r>
        <w:t>s</w:t>
      </w:r>
      <w:r w:rsidRPr="00191003">
        <w:t xml:space="preserve"> adopted for all the other </w:t>
      </w:r>
      <w:r>
        <w:t>elements</w:t>
      </w:r>
      <w:r w:rsidRPr="00191003">
        <w:t xml:space="preserve"> of the burial context (i.e. cemetery distribution, tombs, skeletal remains, grave goods assemblage</w:t>
      </w:r>
      <w:r>
        <w:t>s</w:t>
      </w:r>
      <w:r w:rsidRPr="00191003">
        <w:t>) to observe if and how larnax morphology and iconography vary region</w:t>
      </w:r>
      <w:r>
        <w:t>ally</w:t>
      </w:r>
      <w:r w:rsidRPr="00191003">
        <w:t>. The level of documented information is</w:t>
      </w:r>
      <w:r>
        <w:t>,</w:t>
      </w:r>
      <w:r w:rsidRPr="00191003">
        <w:t xml:space="preserve"> unfortunately</w:t>
      </w:r>
      <w:r>
        <w:t>,</w:t>
      </w:r>
      <w:r w:rsidRPr="00191003">
        <w:t xml:space="preserve"> </w:t>
      </w:r>
      <w:r>
        <w:t xml:space="preserve">not </w:t>
      </w:r>
      <w:r w:rsidRPr="00191003">
        <w:t>consistent</w:t>
      </w:r>
      <w:r>
        <w:t>;</w:t>
      </w:r>
      <w:r w:rsidRPr="00191003">
        <w:t xml:space="preserve"> therefore</w:t>
      </w:r>
      <w:r>
        <w:t>,</w:t>
      </w:r>
      <w:r w:rsidRPr="00191003">
        <w:t xml:space="preserve"> two different sample</w:t>
      </w:r>
      <w:r>
        <w:t xml:space="preserve">s for both morphology and iconography. Therefore the sample size for each is different. </w:t>
      </w:r>
      <w:r w:rsidRPr="00191003">
        <w:t xml:space="preserve"> </w:t>
      </w:r>
    </w:p>
    <w:p w14:paraId="429AAA5D" w14:textId="77777777" w:rsidR="00D726B2" w:rsidRPr="00191003" w:rsidRDefault="00D726B2" w:rsidP="00E858EF">
      <w:pPr>
        <w:suppressAutoHyphens/>
      </w:pPr>
      <w:r>
        <w:tab/>
      </w:r>
      <w:r w:rsidRPr="00191003">
        <w:t>For both part</w:t>
      </w:r>
      <w:r>
        <w:t>s</w:t>
      </w:r>
      <w:r w:rsidRPr="00191003">
        <w:t xml:space="preserve"> of the analysis (morphology and iconography), only secure larnakes </w:t>
      </w:r>
      <w:r>
        <w:t>are</w:t>
      </w:r>
      <w:r w:rsidRPr="00191003">
        <w:t xml:space="preserve"> considered. However, in the case of </w:t>
      </w:r>
      <w:r>
        <w:t xml:space="preserve">the </w:t>
      </w:r>
      <w:r w:rsidRPr="00191003">
        <w:t>iconograph</w:t>
      </w:r>
      <w:r>
        <w:t>ic</w:t>
      </w:r>
      <w:r w:rsidRPr="00191003">
        <w:t xml:space="preserve"> analysis, when some of the items considered present peculiarit</w:t>
      </w:r>
      <w:r>
        <w:t>ies</w:t>
      </w:r>
      <w:r w:rsidRPr="00191003">
        <w:t xml:space="preserve"> in their iconography</w:t>
      </w:r>
      <w:r>
        <w:t>,</w:t>
      </w:r>
      <w:r w:rsidRPr="00191003">
        <w:t xml:space="preserve"> the</w:t>
      </w:r>
      <w:r>
        <w:t>se</w:t>
      </w:r>
      <w:r w:rsidRPr="00191003">
        <w:t xml:space="preserve"> are mentioned, even though they </w:t>
      </w:r>
      <w:r>
        <w:t>are n</w:t>
      </w:r>
      <w:r w:rsidRPr="00191003">
        <w:t>ot included in the analysis (</w:t>
      </w:r>
      <w:r>
        <w:t>e.g</w:t>
      </w:r>
      <w:r w:rsidRPr="00191003">
        <w:t>.</w:t>
      </w:r>
      <w:r>
        <w:t xml:space="preserve"> the</w:t>
      </w:r>
      <w:r w:rsidRPr="00191003">
        <w:t xml:space="preserve"> painted larnax from </w:t>
      </w:r>
      <w:r>
        <w:t>Knossos Medical Faculty T</w:t>
      </w:r>
      <w:r w:rsidRPr="00191003">
        <w:t>omb 107</w:t>
      </w:r>
      <w:r>
        <w:t>:</w:t>
      </w:r>
      <w:r w:rsidRPr="00191003">
        <w:t xml:space="preserve"> Morgan 1987: 171-200).</w:t>
      </w:r>
    </w:p>
    <w:p w14:paraId="42867A8A" w14:textId="77777777" w:rsidR="00D726B2" w:rsidRPr="00191003" w:rsidRDefault="00D726B2" w:rsidP="00E858EF">
      <w:pPr>
        <w:suppressAutoHyphens/>
        <w:ind w:firstLine="708"/>
      </w:pPr>
      <w:r>
        <w:t>The l</w:t>
      </w:r>
      <w:r w:rsidRPr="00191003">
        <w:t xml:space="preserve">arnakes have been </w:t>
      </w:r>
      <w:r>
        <w:t>compiled</w:t>
      </w:r>
      <w:r w:rsidRPr="00191003">
        <w:t xml:space="preserve"> in a FileMaker Pro database and numbered </w:t>
      </w:r>
      <w:r>
        <w:t>using</w:t>
      </w:r>
      <w:r w:rsidRPr="00191003">
        <w:t xml:space="preserve"> a progressive </w:t>
      </w:r>
      <w:r>
        <w:t>ID</w:t>
      </w:r>
      <w:r w:rsidRPr="00191003">
        <w:t xml:space="preserve"> number. When possible</w:t>
      </w:r>
      <w:r>
        <w:t>,</w:t>
      </w:r>
      <w:r w:rsidRPr="00191003">
        <w:t xml:space="preserve"> the inventory number of the museum where they are stored </w:t>
      </w:r>
      <w:r>
        <w:t>is recorded</w:t>
      </w:r>
      <w:r w:rsidRPr="00191003">
        <w:t>. In this section</w:t>
      </w:r>
      <w:r>
        <w:t>,</w:t>
      </w:r>
      <w:r w:rsidRPr="00191003">
        <w:t xml:space="preserve"> </w:t>
      </w:r>
      <w:r>
        <w:t>each</w:t>
      </w:r>
      <w:r w:rsidRPr="00191003">
        <w:t xml:space="preserve"> larnax </w:t>
      </w:r>
      <w:r>
        <w:t>is referred to using its</w:t>
      </w:r>
      <w:r w:rsidRPr="00191003">
        <w:t xml:space="preserve"> progressive ID number in the </w:t>
      </w:r>
      <w:r w:rsidRPr="00706FB9">
        <w:t>database, the burial location</w:t>
      </w:r>
      <w:r>
        <w:t xml:space="preserve"> </w:t>
      </w:r>
      <w:r w:rsidRPr="00191003">
        <w:t xml:space="preserve">where it </w:t>
      </w:r>
      <w:r>
        <w:t>was</w:t>
      </w:r>
      <w:r w:rsidRPr="00191003">
        <w:t xml:space="preserve"> found</w:t>
      </w:r>
      <w:r>
        <w:t>,</w:t>
      </w:r>
      <w:r w:rsidRPr="00191003">
        <w:t xml:space="preserve"> and the inventory number of the museum/collection where it is stored </w:t>
      </w:r>
      <w:r>
        <w:t>(</w:t>
      </w:r>
      <w:r w:rsidRPr="00191003">
        <w:t>when available</w:t>
      </w:r>
      <w:r>
        <w:t>)</w:t>
      </w:r>
      <w:r w:rsidRPr="00191003">
        <w:t>.</w:t>
      </w:r>
      <w:r>
        <w:t xml:space="preserve"> In appendix A a list of decorated larnakes distributed per region is given.</w:t>
      </w:r>
    </w:p>
    <w:p w14:paraId="3C17E849" w14:textId="77777777" w:rsidR="00D726B2" w:rsidRPr="00191003" w:rsidRDefault="00D726B2" w:rsidP="00E858EF">
      <w:pPr>
        <w:suppressAutoHyphens/>
      </w:pPr>
      <w:r>
        <w:tab/>
      </w:r>
      <w:r w:rsidRPr="00191003">
        <w:t xml:space="preserve">It </w:t>
      </w:r>
      <w:r>
        <w:t>was</w:t>
      </w:r>
      <w:r w:rsidRPr="00191003">
        <w:t xml:space="preserve"> possible to study a sample of published </w:t>
      </w:r>
      <w:r>
        <w:t>larnakes, some of them stored in</w:t>
      </w:r>
      <w:r w:rsidRPr="00191003">
        <w:t xml:space="preserve"> the British Museum and the Ashmolean Museum, </w:t>
      </w:r>
      <w:r>
        <w:t>but</w:t>
      </w:r>
      <w:r w:rsidRPr="00191003">
        <w:t xml:space="preserve"> the vast majority </w:t>
      </w:r>
      <w:r>
        <w:t>are in mainland Greek</w:t>
      </w:r>
      <w:r w:rsidRPr="00191003">
        <w:t xml:space="preserve"> and in Cretan collection</w:t>
      </w:r>
      <w:r>
        <w:t>s</w:t>
      </w:r>
      <w:r w:rsidRPr="00191003">
        <w:t xml:space="preserve"> (a sample of published larnakes from all museums and collections in Crete </w:t>
      </w:r>
      <w:r>
        <w:t>was</w:t>
      </w:r>
      <w:r w:rsidRPr="00191003">
        <w:t xml:space="preserve"> examined, except</w:t>
      </w:r>
      <w:r>
        <w:t xml:space="preserve"> for</w:t>
      </w:r>
      <w:r w:rsidRPr="00191003">
        <w:t xml:space="preserve"> the larnakes stored at Agios Nikolaos museum</w:t>
      </w:r>
      <w:r>
        <w:t>,</w:t>
      </w:r>
      <w:r w:rsidRPr="00191003">
        <w:t xml:space="preserve"> which was closed).</w:t>
      </w:r>
      <w:r>
        <w:t xml:space="preserve"> The l</w:t>
      </w:r>
      <w:r w:rsidRPr="00191003">
        <w:t>arnakes considered in the present analysis all belong to a burial context</w:t>
      </w:r>
      <w:r>
        <w:t>.</w:t>
      </w:r>
      <w:r w:rsidRPr="00191003">
        <w:t xml:space="preserve"> </w:t>
      </w:r>
      <w:r>
        <w:t>C</w:t>
      </w:r>
      <w:r w:rsidRPr="00191003">
        <w:t>onsequently</w:t>
      </w:r>
      <w:r>
        <w:t>,</w:t>
      </w:r>
      <w:r w:rsidRPr="00191003">
        <w:t xml:space="preserve"> they </w:t>
      </w:r>
      <w:r>
        <w:t>are</w:t>
      </w:r>
      <w:r w:rsidRPr="00191003">
        <w:t xml:space="preserve"> linked to a tomb in the database. </w:t>
      </w:r>
    </w:p>
    <w:p w14:paraId="7C36FE6D" w14:textId="77777777" w:rsidR="00D726B2" w:rsidRPr="00191003" w:rsidRDefault="00D726B2" w:rsidP="00E858EF">
      <w:pPr>
        <w:suppressAutoHyphens/>
      </w:pPr>
      <w:r>
        <w:tab/>
        <w:t xml:space="preserve">Several </w:t>
      </w:r>
      <w:r w:rsidRPr="00191003">
        <w:t xml:space="preserve">features </w:t>
      </w:r>
      <w:r>
        <w:t xml:space="preserve">of </w:t>
      </w:r>
      <w:r w:rsidRPr="00191003">
        <w:t>larna</w:t>
      </w:r>
      <w:r>
        <w:t>x</w:t>
      </w:r>
      <w:r w:rsidRPr="00191003">
        <w:t xml:space="preserve"> morphology</w:t>
      </w:r>
      <w:r>
        <w:t xml:space="preserve"> are</w:t>
      </w:r>
      <w:r w:rsidRPr="00191003">
        <w:t xml:space="preserve"> considered in the database. However</w:t>
      </w:r>
      <w:r>
        <w:t>,</w:t>
      </w:r>
      <w:r w:rsidRPr="00191003">
        <w:t xml:space="preserve"> to proceed with the morphological analysis</w:t>
      </w:r>
      <w:r>
        <w:t>, only the following</w:t>
      </w:r>
      <w:r w:rsidRPr="00191003">
        <w:t xml:space="preserve"> </w:t>
      </w:r>
      <w:r>
        <w:t>features are</w:t>
      </w:r>
      <w:r w:rsidRPr="00191003">
        <w:t xml:space="preserve"> considered:</w:t>
      </w:r>
    </w:p>
    <w:p w14:paraId="64CB877E" w14:textId="77777777" w:rsidR="00D726B2" w:rsidRPr="00191003" w:rsidRDefault="00D726B2" w:rsidP="00370745">
      <w:pPr>
        <w:pStyle w:val="Paragrafoelenco"/>
        <w:numPr>
          <w:ilvl w:val="0"/>
          <w:numId w:val="108"/>
        </w:numPr>
        <w:suppressAutoHyphens/>
        <w:spacing w:after="160"/>
      </w:pPr>
      <w:r>
        <w:t>Larnax type</w:t>
      </w:r>
      <w:r w:rsidRPr="00191003">
        <w:t xml:space="preserve"> occurrence</w:t>
      </w:r>
    </w:p>
    <w:p w14:paraId="6F19DC30" w14:textId="77777777" w:rsidR="00D726B2" w:rsidRPr="00191003" w:rsidRDefault="00D726B2" w:rsidP="00370745">
      <w:pPr>
        <w:pStyle w:val="Paragrafoelenco"/>
        <w:numPr>
          <w:ilvl w:val="0"/>
          <w:numId w:val="108"/>
        </w:numPr>
        <w:suppressAutoHyphens/>
        <w:spacing w:after="160"/>
      </w:pPr>
      <w:r w:rsidRPr="00191003">
        <w:t>Larna</w:t>
      </w:r>
      <w:r>
        <w:t>x</w:t>
      </w:r>
      <w:r w:rsidRPr="00191003">
        <w:t xml:space="preserve"> dimension</w:t>
      </w:r>
      <w:r>
        <w:t>s</w:t>
      </w:r>
      <w:r w:rsidRPr="00191003">
        <w:t xml:space="preserve"> (limited to height, length and width)</w:t>
      </w:r>
    </w:p>
    <w:p w14:paraId="4E212176" w14:textId="77777777" w:rsidR="00D726B2" w:rsidRPr="00191003" w:rsidRDefault="00D726B2" w:rsidP="00370745">
      <w:pPr>
        <w:pStyle w:val="Paragrafoelenco"/>
        <w:numPr>
          <w:ilvl w:val="0"/>
          <w:numId w:val="108"/>
        </w:numPr>
        <w:suppressAutoHyphens/>
        <w:spacing w:after="160"/>
      </w:pPr>
      <w:r w:rsidRPr="00191003">
        <w:t>Feet occurrence and number</w:t>
      </w:r>
    </w:p>
    <w:p w14:paraId="680D87CD" w14:textId="77777777" w:rsidR="00D726B2" w:rsidRPr="00191003" w:rsidRDefault="00D726B2" w:rsidP="00370745">
      <w:pPr>
        <w:pStyle w:val="Paragrafoelenco"/>
        <w:numPr>
          <w:ilvl w:val="0"/>
          <w:numId w:val="108"/>
        </w:numPr>
        <w:suppressAutoHyphens/>
        <w:spacing w:after="160"/>
      </w:pPr>
      <w:r w:rsidRPr="00191003">
        <w:t>Handles and/or holes occurrence</w:t>
      </w:r>
    </w:p>
    <w:p w14:paraId="6A1FBECD" w14:textId="77777777" w:rsidR="00D726B2" w:rsidRPr="00191003" w:rsidRDefault="00D726B2" w:rsidP="00370745">
      <w:pPr>
        <w:pStyle w:val="Paragrafoelenco"/>
        <w:numPr>
          <w:ilvl w:val="0"/>
          <w:numId w:val="108"/>
        </w:numPr>
        <w:suppressAutoHyphens/>
        <w:spacing w:after="160"/>
      </w:pPr>
      <w:r w:rsidRPr="00191003">
        <w:t>Panel division (number and type)</w:t>
      </w:r>
    </w:p>
    <w:p w14:paraId="5EE7BDED" w14:textId="77777777" w:rsidR="00D726B2" w:rsidRPr="00191003" w:rsidRDefault="00D726B2" w:rsidP="00370745">
      <w:pPr>
        <w:pStyle w:val="Paragrafoelenco"/>
        <w:numPr>
          <w:ilvl w:val="0"/>
          <w:numId w:val="108"/>
        </w:numPr>
        <w:suppressAutoHyphens/>
        <w:spacing w:after="160"/>
      </w:pPr>
      <w:r>
        <w:t>Presence</w:t>
      </w:r>
      <w:r w:rsidRPr="00191003">
        <w:t xml:space="preserve"> of base holes</w:t>
      </w:r>
    </w:p>
    <w:p w14:paraId="7B6E05CF" w14:textId="77777777" w:rsidR="00D726B2" w:rsidRPr="00191003" w:rsidRDefault="00D726B2" w:rsidP="00370745">
      <w:pPr>
        <w:pStyle w:val="Paragrafoelenco"/>
        <w:numPr>
          <w:ilvl w:val="0"/>
          <w:numId w:val="108"/>
        </w:numPr>
        <w:suppressAutoHyphens/>
        <w:spacing w:after="160"/>
      </w:pPr>
      <w:r>
        <w:t>Presence</w:t>
      </w:r>
      <w:r w:rsidRPr="00191003">
        <w:t xml:space="preserve"> of figurines at the bottom ends of ridge pole</w:t>
      </w:r>
    </w:p>
    <w:p w14:paraId="46E1D8CD" w14:textId="77777777" w:rsidR="00D726B2" w:rsidRPr="00191003" w:rsidRDefault="00D726B2" w:rsidP="00E858EF">
      <w:pPr>
        <w:pStyle w:val="Paragrafoelenco"/>
        <w:suppressAutoHyphens/>
        <w:ind w:left="0"/>
      </w:pPr>
      <w:r w:rsidRPr="00191003">
        <w:t xml:space="preserve">The </w:t>
      </w:r>
      <w:r>
        <w:t>presence</w:t>
      </w:r>
      <w:r w:rsidRPr="00191003">
        <w:t xml:space="preserve"> of any other morphological feature</w:t>
      </w:r>
      <w:r>
        <w:t>s</w:t>
      </w:r>
      <w:r w:rsidRPr="00191003">
        <w:t xml:space="preserve"> (</w:t>
      </w:r>
      <w:r>
        <w:t>e.g.</w:t>
      </w:r>
      <w:r w:rsidRPr="00191003">
        <w:t xml:space="preserve"> incisions, potter</w:t>
      </w:r>
      <w:r>
        <w:t>’</w:t>
      </w:r>
      <w:r w:rsidRPr="00191003">
        <w:t xml:space="preserve">s mark) </w:t>
      </w:r>
      <w:r>
        <w:t>is</w:t>
      </w:r>
      <w:r w:rsidRPr="00191003">
        <w:t xml:space="preserve"> add</w:t>
      </w:r>
      <w:r>
        <w:t>ed</w:t>
      </w:r>
      <w:r w:rsidRPr="00191003">
        <w:t xml:space="preserve"> </w:t>
      </w:r>
      <w:r>
        <w:t>when</w:t>
      </w:r>
      <w:r w:rsidRPr="00191003">
        <w:t xml:space="preserve"> noticed.</w:t>
      </w:r>
    </w:p>
    <w:p w14:paraId="6146FB06" w14:textId="77777777" w:rsidR="00D726B2" w:rsidRPr="00191003" w:rsidRDefault="00D726B2" w:rsidP="00E858EF">
      <w:pPr>
        <w:pStyle w:val="Paragrafoelenco"/>
        <w:suppressAutoHyphens/>
        <w:ind w:left="0"/>
      </w:pPr>
      <w:r>
        <w:tab/>
      </w:r>
      <w:r w:rsidRPr="00191003">
        <w:t xml:space="preserve">The morphological features analysed do not </w:t>
      </w:r>
      <w:r>
        <w:t>include</w:t>
      </w:r>
      <w:r w:rsidRPr="00191003">
        <w:t xml:space="preserve"> all the information available and </w:t>
      </w:r>
      <w:r>
        <w:t xml:space="preserve">recovered for </w:t>
      </w:r>
      <w:r w:rsidRPr="00191003">
        <w:t>some of the items published (</w:t>
      </w:r>
      <w:r>
        <w:t>e.g.</w:t>
      </w:r>
      <w:r w:rsidRPr="00191003">
        <w:t xml:space="preserve"> fabric description, differences in shape and height of gable lid</w:t>
      </w:r>
      <w:r>
        <w:t>,</w:t>
      </w:r>
      <w:r w:rsidRPr="00191003">
        <w:t xml:space="preserve"> different type</w:t>
      </w:r>
      <w:r>
        <w:t>s</w:t>
      </w:r>
      <w:r w:rsidRPr="00191003">
        <w:t xml:space="preserve"> of handle, different inclination of bathtub larnakes</w:t>
      </w:r>
      <w:r>
        <w:t>’</w:t>
      </w:r>
      <w:r w:rsidRPr="00191003">
        <w:t xml:space="preserve"> sides). </w:t>
      </w:r>
      <w:r>
        <w:t>Since</w:t>
      </w:r>
      <w:r w:rsidRPr="00191003">
        <w:t xml:space="preserve"> th</w:t>
      </w:r>
      <w:r>
        <w:t>ese</w:t>
      </w:r>
      <w:r w:rsidRPr="00191003">
        <w:t xml:space="preserve"> data </w:t>
      </w:r>
      <w:r>
        <w:t>are</w:t>
      </w:r>
      <w:r w:rsidRPr="00191003">
        <w:t xml:space="preserve"> considered additional, they are not functional to the research question. This means that they have not been considered fundamental to identify a standard larnax type for each region </w:t>
      </w:r>
      <w:r>
        <w:t>nor</w:t>
      </w:r>
      <w:r w:rsidRPr="00191003">
        <w:t xml:space="preserve"> the variations in larna</w:t>
      </w:r>
      <w:r>
        <w:t>x</w:t>
      </w:r>
      <w:r w:rsidRPr="00191003">
        <w:t xml:space="preserve"> morphology.</w:t>
      </w:r>
    </w:p>
    <w:p w14:paraId="7B190B1D" w14:textId="77777777" w:rsidR="00D726B2" w:rsidRPr="00191003" w:rsidRDefault="00D726B2" w:rsidP="00E858EF">
      <w:pPr>
        <w:pStyle w:val="Paragrafoelenco"/>
        <w:suppressAutoHyphens/>
        <w:ind w:left="0"/>
      </w:pPr>
      <w:r>
        <w:tab/>
      </w:r>
      <w:r w:rsidRPr="00191003">
        <w:t xml:space="preserve">The </w:t>
      </w:r>
      <w:r>
        <w:t>purpose</w:t>
      </w:r>
      <w:r w:rsidRPr="00191003">
        <w:t xml:space="preserve"> of </w:t>
      </w:r>
      <w:r>
        <w:t xml:space="preserve">this </w:t>
      </w:r>
      <w:r w:rsidRPr="00191003">
        <w:t>analysi</w:t>
      </w:r>
      <w:r>
        <w:t>s</w:t>
      </w:r>
      <w:r w:rsidRPr="00191003">
        <w:t xml:space="preserve"> is to understand </w:t>
      </w:r>
      <w:r>
        <w:t>whether</w:t>
      </w:r>
      <w:r w:rsidRPr="00191003">
        <w:t xml:space="preserve"> it is possible to identify a standard larnax type or more than one standard larnax type according to region. Furthermore, this </w:t>
      </w:r>
      <w:r>
        <w:t>analysis</w:t>
      </w:r>
      <w:r w:rsidRPr="00191003">
        <w:t xml:space="preserve"> allow</w:t>
      </w:r>
      <w:r>
        <w:t>s</w:t>
      </w:r>
      <w:r w:rsidRPr="00191003">
        <w:t xml:space="preserve"> </w:t>
      </w:r>
      <w:r>
        <w:t>us</w:t>
      </w:r>
      <w:r w:rsidRPr="00191003">
        <w:t xml:space="preserve"> </w:t>
      </w:r>
      <w:r>
        <w:t>to</w:t>
      </w:r>
      <w:r w:rsidRPr="00191003">
        <w:t xml:space="preserve"> identif</w:t>
      </w:r>
      <w:r>
        <w:t>y</w:t>
      </w:r>
      <w:r w:rsidRPr="00191003">
        <w:t xml:space="preserve"> micro</w:t>
      </w:r>
      <w:r>
        <w:t>-</w:t>
      </w:r>
      <w:r w:rsidRPr="00191003">
        <w:t>scale variations in larna</w:t>
      </w:r>
      <w:r>
        <w:t>x</w:t>
      </w:r>
      <w:r w:rsidRPr="00191003">
        <w:t xml:space="preserve"> morphology (e.g. occurrence of figurines, type of handles) and </w:t>
      </w:r>
      <w:r>
        <w:t>whether</w:t>
      </w:r>
      <w:r w:rsidRPr="00191003">
        <w:t xml:space="preserve"> it is possible to </w:t>
      </w:r>
      <w:r>
        <w:t>discern</w:t>
      </w:r>
      <w:r w:rsidRPr="00191003">
        <w:t xml:space="preserve"> a pattern in their distribution (e.g. if they represent a local morphological pattern recognisable in larnakes from nearby cemeteries, or</w:t>
      </w:r>
      <w:r>
        <w:t>,</w:t>
      </w:r>
      <w:r w:rsidRPr="00191003">
        <w:t xml:space="preserve"> instead</w:t>
      </w:r>
      <w:r>
        <w:t>,</w:t>
      </w:r>
      <w:r w:rsidRPr="00191003">
        <w:t xml:space="preserve"> if they can be considered peculiar feature</w:t>
      </w:r>
      <w:r>
        <w:t>s</w:t>
      </w:r>
      <w:r w:rsidRPr="00191003">
        <w:t xml:space="preserve"> of a single item or of more items from the same cemetery)</w:t>
      </w:r>
      <w:r>
        <w:t>.</w:t>
      </w:r>
    </w:p>
    <w:p w14:paraId="0ACC53FF" w14:textId="77777777" w:rsidR="00D726B2" w:rsidRPr="00191003" w:rsidRDefault="00D726B2" w:rsidP="00E858EF">
      <w:pPr>
        <w:suppressAutoHyphens/>
      </w:pPr>
      <w:r>
        <w:tab/>
      </w:r>
      <w:r w:rsidRPr="00191003">
        <w:t xml:space="preserve">The sample of decorated larnakes analysed for each region </w:t>
      </w:r>
      <w:r>
        <w:t>comprises</w:t>
      </w:r>
      <w:r w:rsidRPr="00191003">
        <w:t xml:space="preserve"> the decorated larnakes for which there </w:t>
      </w:r>
      <w:r>
        <w:t>is published</w:t>
      </w:r>
      <w:r w:rsidRPr="00191003">
        <w:t xml:space="preserve"> information about their iconography (i.e. photos, drawings or description of decoration). In</w:t>
      </w:r>
      <w:r>
        <w:t>cluded in</w:t>
      </w:r>
      <w:r w:rsidRPr="00191003">
        <w:t xml:space="preserve"> this sample are the items I was allowed to study for data collections</w:t>
      </w:r>
      <w:r>
        <w:t xml:space="preserve"> to add to</w:t>
      </w:r>
      <w:r w:rsidRPr="00191003">
        <w:t xml:space="preserve"> the information already available from </w:t>
      </w:r>
      <w:r>
        <w:t xml:space="preserve">the </w:t>
      </w:r>
      <w:r w:rsidRPr="00191003">
        <w:t>publication record.</w:t>
      </w:r>
    </w:p>
    <w:p w14:paraId="5BBF05DF" w14:textId="789A6F6F" w:rsidR="00D726B2" w:rsidRPr="00191003" w:rsidRDefault="00D726B2" w:rsidP="00E858EF">
      <w:pPr>
        <w:suppressAutoHyphens/>
      </w:pPr>
      <w:r>
        <w:tab/>
      </w:r>
      <w:r w:rsidRPr="00191003">
        <w:t>One of the main aim</w:t>
      </w:r>
      <w:r>
        <w:t>s</w:t>
      </w:r>
      <w:r w:rsidRPr="00191003">
        <w:t xml:space="preserve"> of the iconographical analysis is to understand the </w:t>
      </w:r>
      <w:r>
        <w:t>motif</w:t>
      </w:r>
      <w:r w:rsidRPr="00191003">
        <w:t xml:space="preserve">s painted on the sample and to </w:t>
      </w:r>
      <w:r>
        <w:t>‘</w:t>
      </w:r>
      <w:r w:rsidRPr="00191003">
        <w:t>quantify</w:t>
      </w:r>
      <w:r>
        <w:t>’</w:t>
      </w:r>
      <w:r w:rsidRPr="00191003">
        <w:t xml:space="preserve"> the relation</w:t>
      </w:r>
      <w:r>
        <w:t>ship</w:t>
      </w:r>
      <w:r w:rsidRPr="00191003">
        <w:t xml:space="preserve"> between</w:t>
      </w:r>
      <w:r>
        <w:t xml:space="preserve"> the</w:t>
      </w:r>
      <w:r w:rsidRPr="00191003">
        <w:t xml:space="preserve"> iconographical repertoire </w:t>
      </w:r>
      <w:r>
        <w:t xml:space="preserve">of larnakes </w:t>
      </w:r>
      <w:r w:rsidRPr="00191003">
        <w:t xml:space="preserve">and </w:t>
      </w:r>
      <w:r>
        <w:t>the</w:t>
      </w:r>
      <w:r w:rsidRPr="00191003">
        <w:t xml:space="preserve"> </w:t>
      </w:r>
      <w:r>
        <w:t xml:space="preserve">pottery </w:t>
      </w:r>
      <w:r w:rsidRPr="00191003">
        <w:t xml:space="preserve">repertoire. A further implication connected to these issues is the identification of similarities in the </w:t>
      </w:r>
      <w:r>
        <w:t xml:space="preserve">presence </w:t>
      </w:r>
      <w:r w:rsidRPr="00191003">
        <w:t>and organi</w:t>
      </w:r>
      <w:r>
        <w:t>s</w:t>
      </w:r>
      <w:r w:rsidRPr="00191003">
        <w:t xml:space="preserve">ation of the </w:t>
      </w:r>
      <w:r>
        <w:t>motif</w:t>
      </w:r>
      <w:r w:rsidRPr="00191003">
        <w:t xml:space="preserve">s on a regional/local basis, </w:t>
      </w:r>
      <w:r>
        <w:t>which</w:t>
      </w:r>
      <w:r w:rsidRPr="00191003">
        <w:t xml:space="preserve"> in the present work have been isolated </w:t>
      </w:r>
      <w:r>
        <w:t>to</w:t>
      </w:r>
      <w:r w:rsidRPr="00191003">
        <w:t xml:space="preserve"> identify the existence of possible workshop</w:t>
      </w:r>
      <w:r>
        <w:t>s</w:t>
      </w:r>
      <w:r w:rsidRPr="00191003">
        <w:t>. However</w:t>
      </w:r>
      <w:r>
        <w:t>,</w:t>
      </w:r>
      <w:r w:rsidRPr="00191003">
        <w:t xml:space="preserve"> this theme is only examined </w:t>
      </w:r>
      <w:r>
        <w:t>at a basic</w:t>
      </w:r>
      <w:r w:rsidRPr="00191003">
        <w:t xml:space="preserve"> </w:t>
      </w:r>
      <w:r w:rsidR="003566A9">
        <w:t xml:space="preserve">level </w:t>
      </w:r>
      <w:r w:rsidRPr="00191003">
        <w:t xml:space="preserve">and </w:t>
      </w:r>
      <w:r>
        <w:t>is</w:t>
      </w:r>
      <w:r w:rsidRPr="00191003">
        <w:t xml:space="preserve"> one of the topics that deserve future research (</w:t>
      </w:r>
      <w:r w:rsidR="003566A9">
        <w:t xml:space="preserve">see </w:t>
      </w:r>
      <w:r>
        <w:t>C</w:t>
      </w:r>
      <w:r w:rsidRPr="00191003">
        <w:t>hapter 7).</w:t>
      </w:r>
    </w:p>
    <w:p w14:paraId="4A512A9B" w14:textId="77777777" w:rsidR="00D726B2" w:rsidRPr="00191003" w:rsidRDefault="00D726B2" w:rsidP="00E858EF">
      <w:pPr>
        <w:suppressAutoHyphens/>
      </w:pPr>
      <w:r>
        <w:tab/>
      </w:r>
      <w:r w:rsidRPr="00191003">
        <w:t>The existence of a connection between pottery decoration and larnakes is considered more obvious than the connection with other iconographical repertoires (</w:t>
      </w:r>
      <w:r>
        <w:t>e.g.</w:t>
      </w:r>
      <w:r w:rsidRPr="00191003">
        <w:t xml:space="preserve"> wall painting and seals)</w:t>
      </w:r>
      <w:r>
        <w:t xml:space="preserve"> since </w:t>
      </w:r>
      <w:r w:rsidRPr="00191003">
        <w:t>larnakes are made of clay and</w:t>
      </w:r>
      <w:r>
        <w:t>,</w:t>
      </w:r>
      <w:r w:rsidRPr="00191003">
        <w:t xml:space="preserve"> consequently</w:t>
      </w:r>
      <w:r>
        <w:t>,</w:t>
      </w:r>
      <w:r w:rsidRPr="00191003">
        <w:t xml:space="preserve"> it is realistic to suppose that they were made and painted by craftsmen </w:t>
      </w:r>
      <w:r>
        <w:t>with</w:t>
      </w:r>
      <w:r w:rsidRPr="00191003">
        <w:t xml:space="preserve"> experience in pottery (both forming and decoration</w:t>
      </w:r>
      <w:r>
        <w:t>; e.g. decoration was added and fired on to larnakes in same way as to pots</w:t>
      </w:r>
      <w:r w:rsidRPr="00191003">
        <w:t>).</w:t>
      </w:r>
    </w:p>
    <w:p w14:paraId="6362753E" w14:textId="29D09162" w:rsidR="001679EA" w:rsidRDefault="00D726B2" w:rsidP="00E858EF">
      <w:pPr>
        <w:suppressAutoHyphens/>
      </w:pPr>
      <w:r>
        <w:tab/>
        <w:t>Therefore,</w:t>
      </w:r>
      <w:r w:rsidRPr="00191003">
        <w:t xml:space="preserve"> to identify and analyse </w:t>
      </w:r>
      <w:r>
        <w:t>motif</w:t>
      </w:r>
      <w:r w:rsidRPr="00191003">
        <w:t xml:space="preserve"> occurrence in larnakes</w:t>
      </w:r>
      <w:r>
        <w:t>,</w:t>
      </w:r>
      <w:r w:rsidRPr="00191003">
        <w:t xml:space="preserve"> </w:t>
      </w:r>
      <w:r w:rsidR="005D54EA">
        <w:t>Furumark</w:t>
      </w:r>
      <w:r w:rsidRPr="00191003">
        <w:t xml:space="preserve"> pottery </w:t>
      </w:r>
      <w:r>
        <w:t>motif</w:t>
      </w:r>
      <w:r w:rsidRPr="00191003">
        <w:t xml:space="preserve">s </w:t>
      </w:r>
      <w:r>
        <w:t>are</w:t>
      </w:r>
      <w:r w:rsidRPr="00191003">
        <w:t xml:space="preserve"> used. However</w:t>
      </w:r>
      <w:r>
        <w:t>,</w:t>
      </w:r>
      <w:r w:rsidRPr="00191003">
        <w:t xml:space="preserve"> only the general </w:t>
      </w:r>
      <w:r w:rsidR="005D54EA">
        <w:t>Furumark</w:t>
      </w:r>
      <w:r w:rsidRPr="00191003">
        <w:t xml:space="preserve"> </w:t>
      </w:r>
      <w:r>
        <w:t>motifs</w:t>
      </w:r>
      <w:r w:rsidRPr="00191003">
        <w:t xml:space="preserve"> </w:t>
      </w:r>
      <w:r>
        <w:t>are used,</w:t>
      </w:r>
      <w:r w:rsidRPr="00191003">
        <w:t xml:space="preserve"> not the motif variation listed and identified by </w:t>
      </w:r>
      <w:r w:rsidR="005D54EA">
        <w:t>Furumark</w:t>
      </w:r>
      <w:r w:rsidRPr="00191003">
        <w:t>. This means that</w:t>
      </w:r>
      <w:r>
        <w:t>,</w:t>
      </w:r>
      <w:r w:rsidRPr="00191003">
        <w:t xml:space="preserve"> for example</w:t>
      </w:r>
      <w:r>
        <w:t>,</w:t>
      </w:r>
      <w:r w:rsidRPr="00191003">
        <w:t xml:space="preserve"> to indicate the occurrence of a papyrus</w:t>
      </w:r>
      <w:r>
        <w:t>,</w:t>
      </w:r>
      <w:r w:rsidRPr="00191003">
        <w:t xml:space="preserve"> the motif FM 11 </w:t>
      </w:r>
      <w:r>
        <w:t xml:space="preserve">is </w:t>
      </w:r>
      <w:r w:rsidRPr="00191003">
        <w:t>registered, without referring to the specific type listed by Fur</w:t>
      </w:r>
      <w:r>
        <w:t>u</w:t>
      </w:r>
      <w:r w:rsidRPr="00191003">
        <w:t>mark (i.e. FM 11.37 or FM 11.40). Furthermore</w:t>
      </w:r>
      <w:r>
        <w:t>,</w:t>
      </w:r>
      <w:r w:rsidRPr="00191003">
        <w:t xml:space="preserve"> there are </w:t>
      </w:r>
      <w:r>
        <w:t>13</w:t>
      </w:r>
      <w:r w:rsidRPr="00191003">
        <w:t xml:space="preserve"> </w:t>
      </w:r>
      <w:r>
        <w:t>motif</w:t>
      </w:r>
      <w:r w:rsidRPr="00191003">
        <w:t>s that never occur in larnakes and have not been included in the graph</w:t>
      </w:r>
      <w:r>
        <w:t>s</w:t>
      </w:r>
      <w:r w:rsidR="001679EA">
        <w:t xml:space="preserve">, </w:t>
      </w:r>
      <w:r w:rsidR="00FF5FF0">
        <w:t>while conversely</w:t>
      </w:r>
      <w:r w:rsidR="001679EA">
        <w:t xml:space="preserve"> not all the motives attested on larnakes finds a comparison with FM motives.</w:t>
      </w:r>
    </w:p>
    <w:p w14:paraId="26DC5A0C" w14:textId="4166323F" w:rsidR="00D726B2" w:rsidRPr="003566A9" w:rsidRDefault="00D726B2" w:rsidP="00E858EF">
      <w:pPr>
        <w:suppressAutoHyphens/>
      </w:pPr>
      <w:r>
        <w:t xml:space="preserve"> </w:t>
      </w:r>
      <w:r w:rsidR="00CF14EF">
        <w:t xml:space="preserve">        </w:t>
      </w:r>
      <w:r>
        <w:t>The following figures (from figure 5-1 to figure 5-64) illustrate FM motives occurring on larnakes (the specific motives listed are examples from pots not from pots not from larnakes):</w:t>
      </w:r>
    </w:p>
    <w:p w14:paraId="6E773AC0" w14:textId="77777777" w:rsidR="00D726B2" w:rsidRPr="003566A9" w:rsidRDefault="00D726B2" w:rsidP="00E858EF">
      <w:pPr>
        <w:suppressAutoHyphens/>
      </w:pPr>
      <w:r w:rsidRPr="003566A9">
        <w:rPr>
          <w:noProof/>
          <w:lang w:val="it-IT"/>
        </w:rPr>
        <w:drawing>
          <wp:inline distT="0" distB="0" distL="0" distR="0" wp14:anchorId="1F62DB11" wp14:editId="2E7AEF19">
            <wp:extent cx="1158240" cy="1270000"/>
            <wp:effectExtent l="0" t="0" r="10160" b="0"/>
            <wp:docPr id="11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BEBA8EAE-BF5A-486C-A8C5-ECC9F3942E4B}">
                          <a14:imgProps xmlns:a14="http://schemas.microsoft.com/office/drawing/2010/main">
                            <a14:imgLayer r:embed="rId12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58240" cy="1270000"/>
                    </a:xfrm>
                    <a:prstGeom prst="rect">
                      <a:avLst/>
                    </a:prstGeom>
                    <a:noFill/>
                    <a:ln>
                      <a:noFill/>
                    </a:ln>
                  </pic:spPr>
                </pic:pic>
              </a:graphicData>
            </a:graphic>
          </wp:inline>
        </w:drawing>
      </w:r>
    </w:p>
    <w:p w14:paraId="6F15C106" w14:textId="278795E4" w:rsidR="00D726B2" w:rsidRPr="003566A9" w:rsidRDefault="00316B9E" w:rsidP="00E858EF">
      <w:pPr>
        <w:pStyle w:val="Didascalia"/>
        <w:suppressAutoHyphens/>
      </w:pPr>
      <w:bookmarkStart w:id="910" w:name="_Toc520212394"/>
      <w:r>
        <w:t>Figure</w:t>
      </w:r>
      <w:r w:rsidR="00D726B2" w:rsidRPr="003566A9">
        <w:t xml:space="preserve"> 5-1</w:t>
      </w:r>
      <w:r w:rsidR="00D74E14">
        <w:t>.</w:t>
      </w:r>
      <w:r w:rsidR="00D726B2" w:rsidRPr="003566A9">
        <w:t xml:space="preserve"> Motif FM 1</w:t>
      </w:r>
      <w:r w:rsidR="00DB5E40">
        <w:t>,</w:t>
      </w:r>
      <w:r w:rsidR="00D726B2" w:rsidRPr="003566A9">
        <w:t xml:space="preserve"> </w:t>
      </w:r>
      <w:r w:rsidR="00DB5E40">
        <w:t>M</w:t>
      </w:r>
      <w:r w:rsidR="00D726B2" w:rsidRPr="003566A9">
        <w:t>an (after Furumark 1972: Fig. 26.1)</w:t>
      </w:r>
      <w:bookmarkEnd w:id="910"/>
    </w:p>
    <w:p w14:paraId="309AE4F6" w14:textId="77777777" w:rsidR="00D726B2" w:rsidRPr="003566A9" w:rsidRDefault="00D726B2" w:rsidP="00E858EF">
      <w:pPr>
        <w:suppressAutoHyphens/>
      </w:pPr>
    </w:p>
    <w:p w14:paraId="414E8CDB" w14:textId="77777777" w:rsidR="00D726B2" w:rsidRPr="003566A9" w:rsidRDefault="00D726B2" w:rsidP="00E858EF">
      <w:pPr>
        <w:suppressAutoHyphens/>
      </w:pPr>
      <w:bookmarkStart w:id="911" w:name="_Toc519894851"/>
      <w:r w:rsidRPr="003566A9">
        <w:rPr>
          <w:noProof/>
          <w:lang w:val="it-IT"/>
        </w:rPr>
        <w:drawing>
          <wp:inline distT="0" distB="0" distL="0" distR="0" wp14:anchorId="3D335658" wp14:editId="758433A6">
            <wp:extent cx="2692400" cy="1737360"/>
            <wp:effectExtent l="0" t="0" r="0" b="0"/>
            <wp:docPr id="11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BEBA8EAE-BF5A-486C-A8C5-ECC9F3942E4B}">
                          <a14:imgProps xmlns:a14="http://schemas.microsoft.com/office/drawing/2010/main">
                            <a14:imgLayer r:embed="rId12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92400" cy="1737360"/>
                    </a:xfrm>
                    <a:prstGeom prst="rect">
                      <a:avLst/>
                    </a:prstGeom>
                    <a:noFill/>
                    <a:ln>
                      <a:noFill/>
                    </a:ln>
                  </pic:spPr>
                </pic:pic>
              </a:graphicData>
            </a:graphic>
          </wp:inline>
        </w:drawing>
      </w:r>
      <w:bookmarkEnd w:id="911"/>
    </w:p>
    <w:p w14:paraId="7D7E7F14" w14:textId="178E0274" w:rsidR="00D726B2" w:rsidRPr="003566A9" w:rsidRDefault="00316B9E" w:rsidP="00E858EF">
      <w:pPr>
        <w:pStyle w:val="Didascalia"/>
        <w:suppressAutoHyphens/>
      </w:pPr>
      <w:bookmarkStart w:id="912" w:name="_Toc520212395"/>
      <w:r>
        <w:t>Figure</w:t>
      </w:r>
      <w:r w:rsidR="00D726B2" w:rsidRPr="003566A9">
        <w:t xml:space="preserve"> 5-2</w:t>
      </w:r>
      <w:r w:rsidR="00D74E14">
        <w:t>.</w:t>
      </w:r>
      <w:r w:rsidR="00D726B2" w:rsidRPr="003566A9">
        <w:t xml:space="preserve"> Motif FM 2</w:t>
      </w:r>
      <w:r w:rsidR="00DB5E40">
        <w:t>, H</w:t>
      </w:r>
      <w:r w:rsidR="00D726B2" w:rsidRPr="003566A9">
        <w:t xml:space="preserve">orse </w:t>
      </w:r>
      <w:r>
        <w:t>(after</w:t>
      </w:r>
      <w:r w:rsidR="00D726B2" w:rsidRPr="003566A9">
        <w:t xml:space="preserve"> Furumark 1972: Fig. 26.2)</w:t>
      </w:r>
      <w:bookmarkEnd w:id="912"/>
    </w:p>
    <w:p w14:paraId="78DE1414" w14:textId="77777777" w:rsidR="00D726B2" w:rsidRPr="003566A9" w:rsidRDefault="00D726B2" w:rsidP="00E858EF">
      <w:pPr>
        <w:suppressAutoHyphens/>
      </w:pPr>
      <w:bookmarkStart w:id="913" w:name="_Toc519894853"/>
      <w:r w:rsidRPr="003566A9">
        <w:rPr>
          <w:noProof/>
          <w:lang w:val="it-IT"/>
        </w:rPr>
        <w:drawing>
          <wp:inline distT="0" distB="0" distL="0" distR="0" wp14:anchorId="6BBE64A8" wp14:editId="02287CE4">
            <wp:extent cx="2336800" cy="1564640"/>
            <wp:effectExtent l="0" t="0" r="0" b="10160"/>
            <wp:docPr id="117"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BEBA8EAE-BF5A-486C-A8C5-ECC9F3942E4B}">
                          <a14:imgProps xmlns:a14="http://schemas.microsoft.com/office/drawing/2010/main">
                            <a14:imgLayer r:embed="rId13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36800" cy="1564640"/>
                    </a:xfrm>
                    <a:prstGeom prst="rect">
                      <a:avLst/>
                    </a:prstGeom>
                    <a:noFill/>
                    <a:ln>
                      <a:noFill/>
                    </a:ln>
                  </pic:spPr>
                </pic:pic>
              </a:graphicData>
            </a:graphic>
          </wp:inline>
        </w:drawing>
      </w:r>
      <w:bookmarkEnd w:id="913"/>
    </w:p>
    <w:p w14:paraId="7AB5402B" w14:textId="3E00DF94" w:rsidR="00D726B2" w:rsidRPr="003566A9" w:rsidRDefault="00316B9E" w:rsidP="00E858EF">
      <w:pPr>
        <w:pStyle w:val="Didascalia"/>
        <w:suppressAutoHyphens/>
      </w:pPr>
      <w:bookmarkStart w:id="914" w:name="_Toc520212396"/>
      <w:r>
        <w:t>Figure</w:t>
      </w:r>
      <w:r w:rsidR="00D726B2" w:rsidRPr="003566A9">
        <w:t xml:space="preserve"> 5-3</w:t>
      </w:r>
      <w:r w:rsidR="00D74E14">
        <w:t>.</w:t>
      </w:r>
      <w:r w:rsidR="00D726B2" w:rsidRPr="003566A9">
        <w:t xml:space="preserve"> Motif FM 3</w:t>
      </w:r>
      <w:r w:rsidR="00DB5E40">
        <w:t>, B</w:t>
      </w:r>
      <w:r w:rsidR="00D726B2" w:rsidRPr="003566A9">
        <w:t xml:space="preserve">ull </w:t>
      </w:r>
      <w:r>
        <w:t>(after</w:t>
      </w:r>
      <w:r w:rsidR="00D726B2" w:rsidRPr="003566A9">
        <w:t xml:space="preserve"> Furumark 1972: Fig. 27.3)</w:t>
      </w:r>
      <w:bookmarkEnd w:id="914"/>
    </w:p>
    <w:p w14:paraId="166BAA09" w14:textId="77777777" w:rsidR="00D726B2" w:rsidRPr="003566A9" w:rsidRDefault="00D726B2" w:rsidP="00E858EF">
      <w:pPr>
        <w:suppressAutoHyphens/>
      </w:pPr>
    </w:p>
    <w:p w14:paraId="3B66CAD9" w14:textId="77777777" w:rsidR="00D726B2" w:rsidRPr="003566A9" w:rsidRDefault="00D726B2" w:rsidP="00E858EF">
      <w:pPr>
        <w:suppressAutoHyphens/>
      </w:pPr>
      <w:bookmarkStart w:id="915" w:name="_Toc519894855"/>
      <w:r w:rsidRPr="003566A9">
        <w:rPr>
          <w:noProof/>
          <w:lang w:val="it-IT"/>
        </w:rPr>
        <w:drawing>
          <wp:inline distT="0" distB="0" distL="0" distR="0" wp14:anchorId="664BF40B" wp14:editId="0ADE3334">
            <wp:extent cx="1016000" cy="1056640"/>
            <wp:effectExtent l="0" t="0" r="0" b="10160"/>
            <wp:docPr id="11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a:extLst>
                        <a:ext uri="{BEBA8EAE-BF5A-486C-A8C5-ECC9F3942E4B}">
                          <a14:imgProps xmlns:a14="http://schemas.microsoft.com/office/drawing/2010/main">
                            <a14:imgLayer r:embed="rId13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16000" cy="1056640"/>
                    </a:xfrm>
                    <a:prstGeom prst="rect">
                      <a:avLst/>
                    </a:prstGeom>
                    <a:noFill/>
                    <a:ln>
                      <a:noFill/>
                    </a:ln>
                  </pic:spPr>
                </pic:pic>
              </a:graphicData>
            </a:graphic>
          </wp:inline>
        </w:drawing>
      </w:r>
      <w:bookmarkEnd w:id="915"/>
    </w:p>
    <w:p w14:paraId="7180CDC8" w14:textId="428DF686" w:rsidR="00D726B2" w:rsidRPr="003566A9" w:rsidRDefault="00316B9E" w:rsidP="00E858EF">
      <w:pPr>
        <w:pStyle w:val="Didascalia"/>
        <w:suppressAutoHyphens/>
      </w:pPr>
      <w:bookmarkStart w:id="916" w:name="_Toc520212397"/>
      <w:r>
        <w:t>Figure</w:t>
      </w:r>
      <w:r w:rsidR="00D726B2" w:rsidRPr="003566A9">
        <w:t xml:space="preserve"> 5-4</w:t>
      </w:r>
      <w:r w:rsidR="00D74E14">
        <w:t>.</w:t>
      </w:r>
      <w:r w:rsidR="00D726B2" w:rsidRPr="003566A9">
        <w:t xml:space="preserve"> Motif FM 4</w:t>
      </w:r>
      <w:r w:rsidR="00DB5E40">
        <w:t>, B</w:t>
      </w:r>
      <w:r w:rsidR="00D726B2" w:rsidRPr="003566A9">
        <w:t xml:space="preserve">ucranium </w:t>
      </w:r>
      <w:r>
        <w:t>(after</w:t>
      </w:r>
      <w:r w:rsidR="00D726B2" w:rsidRPr="003566A9">
        <w:t xml:space="preserve"> Furumark 1972: Fig. 28.4)</w:t>
      </w:r>
      <w:bookmarkEnd w:id="916"/>
    </w:p>
    <w:p w14:paraId="75636185" w14:textId="77777777" w:rsidR="00D726B2" w:rsidRPr="003566A9" w:rsidRDefault="00D726B2" w:rsidP="00E858EF">
      <w:pPr>
        <w:suppressAutoHyphens/>
      </w:pPr>
    </w:p>
    <w:p w14:paraId="00A132DE" w14:textId="77777777" w:rsidR="00D726B2" w:rsidRPr="003566A9" w:rsidRDefault="00D726B2" w:rsidP="00E858EF">
      <w:pPr>
        <w:suppressAutoHyphens/>
      </w:pPr>
      <w:bookmarkStart w:id="917" w:name="_Toc519894857"/>
      <w:r w:rsidRPr="003566A9">
        <w:rPr>
          <w:noProof/>
          <w:lang w:val="it-IT"/>
        </w:rPr>
        <w:drawing>
          <wp:inline distT="0" distB="0" distL="0" distR="0" wp14:anchorId="095EF6E9" wp14:editId="1B32F1C8">
            <wp:extent cx="1971040" cy="1971040"/>
            <wp:effectExtent l="0" t="0" r="10160" b="10160"/>
            <wp:docPr id="119"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a:extLst>
                        <a:ext uri="{BEBA8EAE-BF5A-486C-A8C5-ECC9F3942E4B}">
                          <a14:imgProps xmlns:a14="http://schemas.microsoft.com/office/drawing/2010/main">
                            <a14:imgLayer r:embed="rId13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71040" cy="1971040"/>
                    </a:xfrm>
                    <a:prstGeom prst="rect">
                      <a:avLst/>
                    </a:prstGeom>
                    <a:noFill/>
                    <a:ln>
                      <a:noFill/>
                    </a:ln>
                  </pic:spPr>
                </pic:pic>
              </a:graphicData>
            </a:graphic>
          </wp:inline>
        </w:drawing>
      </w:r>
      <w:bookmarkEnd w:id="917"/>
    </w:p>
    <w:p w14:paraId="43291264" w14:textId="5B3750A3" w:rsidR="00D726B2" w:rsidRPr="003566A9" w:rsidRDefault="00316B9E" w:rsidP="00E858EF">
      <w:pPr>
        <w:pStyle w:val="Didascalia"/>
        <w:suppressAutoHyphens/>
      </w:pPr>
      <w:bookmarkStart w:id="918" w:name="_Toc520212398"/>
      <w:r>
        <w:t>Figure</w:t>
      </w:r>
      <w:r w:rsidR="00D726B2" w:rsidRPr="003566A9">
        <w:t xml:space="preserve"> 5-5</w:t>
      </w:r>
      <w:r w:rsidR="00D74E14">
        <w:t>.</w:t>
      </w:r>
      <w:r w:rsidR="00D726B2" w:rsidRPr="003566A9">
        <w:t xml:space="preserve"> Motif FM 5</w:t>
      </w:r>
      <w:r w:rsidR="00DB5E40">
        <w:t>, S</w:t>
      </w:r>
      <w:r w:rsidR="00D726B2" w:rsidRPr="003566A9">
        <w:t xml:space="preserve">tag </w:t>
      </w:r>
      <w:r>
        <w:t>(after</w:t>
      </w:r>
      <w:r w:rsidR="00D726B2" w:rsidRPr="003566A9">
        <w:t xml:space="preserve"> Furumark 1972: Fig. 28.5)</w:t>
      </w:r>
      <w:bookmarkEnd w:id="918"/>
    </w:p>
    <w:p w14:paraId="0F6F266D" w14:textId="77777777" w:rsidR="00D726B2" w:rsidRPr="003566A9" w:rsidRDefault="00D726B2" w:rsidP="00E858EF">
      <w:pPr>
        <w:suppressAutoHyphens/>
      </w:pPr>
    </w:p>
    <w:p w14:paraId="3621E7DC" w14:textId="77777777" w:rsidR="00D726B2" w:rsidRPr="003566A9" w:rsidRDefault="00D726B2" w:rsidP="00E858EF">
      <w:pPr>
        <w:suppressAutoHyphens/>
      </w:pPr>
      <w:bookmarkStart w:id="919" w:name="_Toc519894859"/>
      <w:r w:rsidRPr="003566A9">
        <w:rPr>
          <w:noProof/>
          <w:lang w:val="it-IT"/>
        </w:rPr>
        <w:drawing>
          <wp:inline distT="0" distB="0" distL="0" distR="0" wp14:anchorId="0C7254C9" wp14:editId="192B4F4E">
            <wp:extent cx="1432560" cy="1564640"/>
            <wp:effectExtent l="0" t="0" r="0" b="10160"/>
            <wp:docPr id="120"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a:extLst>
                        <a:ext uri="{BEBA8EAE-BF5A-486C-A8C5-ECC9F3942E4B}">
                          <a14:imgProps xmlns:a14="http://schemas.microsoft.com/office/drawing/2010/main">
                            <a14:imgLayer r:embed="rId13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32560" cy="1564640"/>
                    </a:xfrm>
                    <a:prstGeom prst="rect">
                      <a:avLst/>
                    </a:prstGeom>
                    <a:noFill/>
                    <a:ln>
                      <a:noFill/>
                    </a:ln>
                  </pic:spPr>
                </pic:pic>
              </a:graphicData>
            </a:graphic>
          </wp:inline>
        </w:drawing>
      </w:r>
      <w:bookmarkEnd w:id="919"/>
    </w:p>
    <w:p w14:paraId="4DC8A89B" w14:textId="741D74DF" w:rsidR="00D726B2" w:rsidRPr="003566A9" w:rsidRDefault="00316B9E" w:rsidP="00E858EF">
      <w:pPr>
        <w:pStyle w:val="Didascalia"/>
        <w:suppressAutoHyphens/>
      </w:pPr>
      <w:bookmarkStart w:id="920" w:name="_Toc520212399"/>
      <w:r>
        <w:t>Figure</w:t>
      </w:r>
      <w:r w:rsidR="00D726B2" w:rsidRPr="003566A9">
        <w:t xml:space="preserve"> 5-6</w:t>
      </w:r>
      <w:r w:rsidR="00D74E14">
        <w:t>.</w:t>
      </w:r>
      <w:r w:rsidR="00D726B2" w:rsidRPr="003566A9">
        <w:t xml:space="preserve"> Motif FM 6</w:t>
      </w:r>
      <w:r w:rsidR="00DB5E40">
        <w:t>, G</w:t>
      </w:r>
      <w:r w:rsidR="00D726B2" w:rsidRPr="003566A9">
        <w:t xml:space="preserve">oat </w:t>
      </w:r>
      <w:r>
        <w:t>(after</w:t>
      </w:r>
      <w:r w:rsidR="00D726B2" w:rsidRPr="003566A9">
        <w:t xml:space="preserve"> Furumark 1972: Fig. 29.6)</w:t>
      </w:r>
      <w:bookmarkEnd w:id="920"/>
    </w:p>
    <w:p w14:paraId="25F9194D" w14:textId="77777777" w:rsidR="00D726B2" w:rsidRPr="003566A9" w:rsidRDefault="00D726B2" w:rsidP="00E858EF">
      <w:pPr>
        <w:suppressAutoHyphens/>
      </w:pPr>
    </w:p>
    <w:p w14:paraId="604C7464" w14:textId="77777777" w:rsidR="00D726B2" w:rsidRPr="003566A9" w:rsidRDefault="00D726B2" w:rsidP="00E858EF">
      <w:pPr>
        <w:suppressAutoHyphens/>
      </w:pPr>
      <w:bookmarkStart w:id="921" w:name="_Toc519894861"/>
      <w:r w:rsidRPr="003566A9">
        <w:rPr>
          <w:noProof/>
          <w:lang w:val="it-IT"/>
        </w:rPr>
        <w:drawing>
          <wp:inline distT="0" distB="0" distL="0" distR="0" wp14:anchorId="2D8E243A" wp14:editId="41108416">
            <wp:extent cx="1767840" cy="1259840"/>
            <wp:effectExtent l="0" t="0" r="10160" b="10160"/>
            <wp:docPr id="121"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a:extLst>
                        <a:ext uri="{BEBA8EAE-BF5A-486C-A8C5-ECC9F3942E4B}">
                          <a14:imgProps xmlns:a14="http://schemas.microsoft.com/office/drawing/2010/main">
                            <a14:imgLayer r:embed="rId13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67840" cy="1259840"/>
                    </a:xfrm>
                    <a:prstGeom prst="rect">
                      <a:avLst/>
                    </a:prstGeom>
                    <a:noFill/>
                    <a:ln>
                      <a:noFill/>
                    </a:ln>
                  </pic:spPr>
                </pic:pic>
              </a:graphicData>
            </a:graphic>
          </wp:inline>
        </w:drawing>
      </w:r>
      <w:bookmarkEnd w:id="921"/>
    </w:p>
    <w:p w14:paraId="7019FCDD" w14:textId="2919924A" w:rsidR="00D726B2" w:rsidRPr="003566A9" w:rsidRDefault="00316B9E" w:rsidP="00E858EF">
      <w:pPr>
        <w:pStyle w:val="Didascalia"/>
        <w:suppressAutoHyphens/>
      </w:pPr>
      <w:bookmarkStart w:id="922" w:name="_Toc520212400"/>
      <w:r>
        <w:t>Figure</w:t>
      </w:r>
      <w:r w:rsidR="00D726B2" w:rsidRPr="003566A9">
        <w:t xml:space="preserve"> 5-7</w:t>
      </w:r>
      <w:r w:rsidR="00D74E14">
        <w:t>.</w:t>
      </w:r>
      <w:r w:rsidR="00D726B2" w:rsidRPr="003566A9">
        <w:t xml:space="preserve"> Motif FM 7</w:t>
      </w:r>
      <w:r w:rsidR="00DB5E40">
        <w:t>, B</w:t>
      </w:r>
      <w:r w:rsidR="00D726B2" w:rsidRPr="003566A9">
        <w:t xml:space="preserve">ird </w:t>
      </w:r>
      <w:r>
        <w:t>(after</w:t>
      </w:r>
      <w:r w:rsidR="00D726B2" w:rsidRPr="003566A9">
        <w:t xml:space="preserve"> Furumark 1972: Fig. 29.7)</w:t>
      </w:r>
      <w:bookmarkEnd w:id="922"/>
    </w:p>
    <w:p w14:paraId="300690A3" w14:textId="77777777" w:rsidR="00D726B2" w:rsidRPr="003566A9" w:rsidRDefault="00D726B2" w:rsidP="00E858EF">
      <w:pPr>
        <w:suppressAutoHyphens/>
      </w:pPr>
    </w:p>
    <w:p w14:paraId="06E79BDA" w14:textId="77777777" w:rsidR="00D726B2" w:rsidRPr="003566A9" w:rsidRDefault="00D726B2" w:rsidP="00E858EF">
      <w:pPr>
        <w:suppressAutoHyphens/>
      </w:pPr>
      <w:bookmarkStart w:id="923" w:name="_Toc519894863"/>
      <w:r w:rsidRPr="003566A9">
        <w:rPr>
          <w:noProof/>
          <w:lang w:val="it-IT"/>
        </w:rPr>
        <w:drawing>
          <wp:inline distT="0" distB="0" distL="0" distR="0" wp14:anchorId="31A8109E" wp14:editId="179241F6">
            <wp:extent cx="1656080" cy="894080"/>
            <wp:effectExtent l="0" t="0" r="0" b="0"/>
            <wp:docPr id="122"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a:extLst>
                        <a:ext uri="{BEBA8EAE-BF5A-486C-A8C5-ECC9F3942E4B}">
                          <a14:imgProps xmlns:a14="http://schemas.microsoft.com/office/drawing/2010/main">
                            <a14:imgLayer r:embed="rId14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56080" cy="894080"/>
                    </a:xfrm>
                    <a:prstGeom prst="rect">
                      <a:avLst/>
                    </a:prstGeom>
                    <a:noFill/>
                    <a:ln>
                      <a:noFill/>
                    </a:ln>
                  </pic:spPr>
                </pic:pic>
              </a:graphicData>
            </a:graphic>
          </wp:inline>
        </w:drawing>
      </w:r>
      <w:bookmarkEnd w:id="923"/>
    </w:p>
    <w:p w14:paraId="7E52BD7A" w14:textId="550DDD59" w:rsidR="00D726B2" w:rsidRPr="003566A9" w:rsidRDefault="00316B9E" w:rsidP="00E858EF">
      <w:pPr>
        <w:pStyle w:val="Didascalia"/>
        <w:suppressAutoHyphens/>
      </w:pPr>
      <w:bookmarkStart w:id="924" w:name="_Toc520212401"/>
      <w:r>
        <w:t>Figure</w:t>
      </w:r>
      <w:r w:rsidR="00D726B2" w:rsidRPr="003566A9">
        <w:t xml:space="preserve"> 5-8</w:t>
      </w:r>
      <w:r w:rsidR="00D74E14">
        <w:t>.</w:t>
      </w:r>
      <w:r w:rsidR="00D726B2" w:rsidRPr="003566A9">
        <w:t xml:space="preserve"> Motif FM 8</w:t>
      </w:r>
      <w:r w:rsidR="00DB5E40">
        <w:t>, V</w:t>
      </w:r>
      <w:r w:rsidR="00D726B2" w:rsidRPr="003566A9">
        <w:t xml:space="preserve">arious animals </w:t>
      </w:r>
      <w:r>
        <w:t>(after</w:t>
      </w:r>
      <w:r w:rsidR="00D726B2" w:rsidRPr="003566A9">
        <w:t xml:space="preserve"> Furumark 1972: Fig. 31.8)</w:t>
      </w:r>
      <w:bookmarkEnd w:id="924"/>
    </w:p>
    <w:p w14:paraId="473BF5DE" w14:textId="77777777" w:rsidR="00D726B2" w:rsidRPr="003566A9" w:rsidRDefault="00D726B2" w:rsidP="00E858EF">
      <w:pPr>
        <w:suppressAutoHyphens/>
      </w:pPr>
    </w:p>
    <w:p w14:paraId="62542BEC" w14:textId="77777777" w:rsidR="00D726B2" w:rsidRPr="003566A9" w:rsidRDefault="00D726B2" w:rsidP="00E858EF">
      <w:pPr>
        <w:suppressAutoHyphens/>
      </w:pPr>
      <w:bookmarkStart w:id="925" w:name="_Toc519894865"/>
      <w:r w:rsidRPr="003566A9">
        <w:rPr>
          <w:noProof/>
          <w:lang w:val="it-IT"/>
        </w:rPr>
        <w:drawing>
          <wp:inline distT="0" distB="0" distL="0" distR="0" wp14:anchorId="60F9358F" wp14:editId="53889BD2">
            <wp:extent cx="1635760" cy="1016000"/>
            <wp:effectExtent l="0" t="0" r="0" b="0"/>
            <wp:docPr id="41"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2">
                      <a:extLst>
                        <a:ext uri="{BEBA8EAE-BF5A-486C-A8C5-ECC9F3942E4B}">
                          <a14:imgProps xmlns:a14="http://schemas.microsoft.com/office/drawing/2010/main">
                            <a14:imgLayer r:embed="rId14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5760" cy="1016000"/>
                    </a:xfrm>
                    <a:prstGeom prst="rect">
                      <a:avLst/>
                    </a:prstGeom>
                    <a:noFill/>
                    <a:ln>
                      <a:noFill/>
                    </a:ln>
                  </pic:spPr>
                </pic:pic>
              </a:graphicData>
            </a:graphic>
          </wp:inline>
        </w:drawing>
      </w:r>
      <w:bookmarkEnd w:id="925"/>
    </w:p>
    <w:p w14:paraId="5225FA9D" w14:textId="0FF18F94" w:rsidR="00D726B2" w:rsidRPr="003566A9" w:rsidRDefault="00316B9E" w:rsidP="00E858EF">
      <w:pPr>
        <w:pStyle w:val="Didascalia"/>
        <w:suppressAutoHyphens/>
      </w:pPr>
      <w:bookmarkStart w:id="926" w:name="_Toc520212402"/>
      <w:r>
        <w:t>Figure</w:t>
      </w:r>
      <w:r w:rsidR="00D726B2" w:rsidRPr="003566A9">
        <w:t xml:space="preserve"> 5-9</w:t>
      </w:r>
      <w:r w:rsidR="00D74E14">
        <w:t>.</w:t>
      </w:r>
      <w:r w:rsidR="00D726B2" w:rsidRPr="003566A9">
        <w:t xml:space="preserve"> Motif FM 9</w:t>
      </w:r>
      <w:r w:rsidR="00DB5E40">
        <w:t>, L</w:t>
      </w:r>
      <w:r w:rsidR="00D726B2" w:rsidRPr="003566A9">
        <w:t xml:space="preserve">ily </w:t>
      </w:r>
      <w:r>
        <w:t>(after</w:t>
      </w:r>
      <w:r w:rsidR="00D726B2" w:rsidRPr="003566A9">
        <w:t xml:space="preserve"> Furumark 1972: Fig. 32.9)</w:t>
      </w:r>
      <w:bookmarkEnd w:id="926"/>
    </w:p>
    <w:p w14:paraId="160C38DF" w14:textId="77777777" w:rsidR="00D726B2" w:rsidRPr="003566A9" w:rsidRDefault="00D726B2" w:rsidP="00E858EF">
      <w:pPr>
        <w:suppressAutoHyphens/>
      </w:pPr>
      <w:bookmarkStart w:id="927" w:name="_Toc519894867"/>
      <w:r w:rsidRPr="003566A9">
        <w:rPr>
          <w:noProof/>
          <w:lang w:val="it-IT"/>
        </w:rPr>
        <w:drawing>
          <wp:inline distT="0" distB="0" distL="0" distR="0" wp14:anchorId="3ACE9E35" wp14:editId="239825B5">
            <wp:extent cx="1066800" cy="1615440"/>
            <wp:effectExtent l="0" t="0" r="0" b="10160"/>
            <wp:docPr id="123"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4">
                      <a:extLst>
                        <a:ext uri="{BEBA8EAE-BF5A-486C-A8C5-ECC9F3942E4B}">
                          <a14:imgProps xmlns:a14="http://schemas.microsoft.com/office/drawing/2010/main">
                            <a14:imgLayer r:embed="rId14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66800" cy="1615440"/>
                    </a:xfrm>
                    <a:prstGeom prst="rect">
                      <a:avLst/>
                    </a:prstGeom>
                    <a:noFill/>
                    <a:ln>
                      <a:noFill/>
                    </a:ln>
                  </pic:spPr>
                </pic:pic>
              </a:graphicData>
            </a:graphic>
          </wp:inline>
        </w:drawing>
      </w:r>
      <w:bookmarkEnd w:id="927"/>
    </w:p>
    <w:p w14:paraId="6DEE82B3" w14:textId="411DD7FD" w:rsidR="00D726B2" w:rsidRPr="003566A9" w:rsidRDefault="00316B9E" w:rsidP="00E858EF">
      <w:pPr>
        <w:pStyle w:val="Didascalia"/>
        <w:suppressAutoHyphens/>
      </w:pPr>
      <w:bookmarkStart w:id="928" w:name="_Toc520212403"/>
      <w:r>
        <w:t>Figure</w:t>
      </w:r>
      <w:r w:rsidR="00D726B2" w:rsidRPr="003566A9">
        <w:t xml:space="preserve"> 5-10</w:t>
      </w:r>
      <w:r w:rsidR="00D74E14">
        <w:t>.</w:t>
      </w:r>
      <w:r w:rsidR="00D726B2" w:rsidRPr="003566A9">
        <w:t xml:space="preserve"> Motif FM 11</w:t>
      </w:r>
      <w:r w:rsidR="00DB5E40">
        <w:t>, P</w:t>
      </w:r>
      <w:r w:rsidR="00D726B2" w:rsidRPr="003566A9">
        <w:t xml:space="preserve">apyrus </w:t>
      </w:r>
      <w:r>
        <w:t>(after</w:t>
      </w:r>
      <w:r w:rsidR="00D726B2" w:rsidRPr="003566A9">
        <w:t xml:space="preserve"> Furumark 1972: Fig. 34.11)</w:t>
      </w:r>
      <w:bookmarkEnd w:id="928"/>
    </w:p>
    <w:p w14:paraId="7218F600" w14:textId="77777777" w:rsidR="00D726B2" w:rsidRPr="003566A9" w:rsidRDefault="00D726B2" w:rsidP="00E858EF">
      <w:pPr>
        <w:suppressAutoHyphens/>
      </w:pPr>
    </w:p>
    <w:p w14:paraId="42A24A46" w14:textId="77777777" w:rsidR="00D726B2" w:rsidRPr="003566A9" w:rsidRDefault="00D726B2" w:rsidP="00E858EF">
      <w:pPr>
        <w:suppressAutoHyphens/>
      </w:pPr>
      <w:bookmarkStart w:id="929" w:name="_Toc519894869"/>
      <w:r w:rsidRPr="003566A9">
        <w:rPr>
          <w:noProof/>
          <w:lang w:val="it-IT"/>
        </w:rPr>
        <w:drawing>
          <wp:inline distT="0" distB="0" distL="0" distR="0" wp14:anchorId="1EEB4B0D" wp14:editId="43AAF156">
            <wp:extent cx="1005840" cy="802640"/>
            <wp:effectExtent l="0" t="0" r="10160" b="10160"/>
            <wp:docPr id="124"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6">
                      <a:extLst>
                        <a:ext uri="{BEBA8EAE-BF5A-486C-A8C5-ECC9F3942E4B}">
                          <a14:imgProps xmlns:a14="http://schemas.microsoft.com/office/drawing/2010/main">
                            <a14:imgLayer r:embed="rId14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05840" cy="802640"/>
                    </a:xfrm>
                    <a:prstGeom prst="rect">
                      <a:avLst/>
                    </a:prstGeom>
                    <a:noFill/>
                    <a:ln>
                      <a:noFill/>
                    </a:ln>
                  </pic:spPr>
                </pic:pic>
              </a:graphicData>
            </a:graphic>
          </wp:inline>
        </w:drawing>
      </w:r>
      <w:bookmarkEnd w:id="929"/>
    </w:p>
    <w:p w14:paraId="67082509" w14:textId="30F3D9BB" w:rsidR="00D726B2" w:rsidRDefault="00316B9E" w:rsidP="00E858EF">
      <w:pPr>
        <w:pStyle w:val="Didascalia"/>
        <w:suppressAutoHyphens/>
      </w:pPr>
      <w:bookmarkStart w:id="930" w:name="_Toc520212404"/>
      <w:r>
        <w:t>Figure</w:t>
      </w:r>
      <w:r w:rsidR="00D726B2" w:rsidRPr="003566A9">
        <w:t xml:space="preserve"> 5-11</w:t>
      </w:r>
      <w:r w:rsidR="00D74E14">
        <w:t>.</w:t>
      </w:r>
      <w:r w:rsidR="00D726B2" w:rsidRPr="003566A9">
        <w:t xml:space="preserve"> Motif FM 12</w:t>
      </w:r>
      <w:r w:rsidR="00DB5E40">
        <w:t>, S</w:t>
      </w:r>
      <w:r w:rsidR="00D726B2" w:rsidRPr="003566A9">
        <w:t xml:space="preserve">acral ivy </w:t>
      </w:r>
      <w:r>
        <w:t>(after</w:t>
      </w:r>
      <w:r w:rsidR="00D726B2" w:rsidRPr="003566A9">
        <w:t xml:space="preserve"> Furumark 1972: Fig. 35.12)</w:t>
      </w:r>
      <w:bookmarkEnd w:id="930"/>
    </w:p>
    <w:p w14:paraId="33CEE272" w14:textId="77777777" w:rsidR="00DB5E40" w:rsidRPr="00DB5E40" w:rsidRDefault="00DB5E40" w:rsidP="00DB5E40"/>
    <w:p w14:paraId="12C8C693" w14:textId="77777777" w:rsidR="00D726B2" w:rsidRPr="003566A9" w:rsidRDefault="00D726B2" w:rsidP="00E858EF">
      <w:pPr>
        <w:suppressAutoHyphens/>
      </w:pPr>
      <w:bookmarkStart w:id="931" w:name="_Toc519894871"/>
      <w:r w:rsidRPr="003566A9">
        <w:rPr>
          <w:noProof/>
          <w:lang w:val="it-IT"/>
        </w:rPr>
        <w:drawing>
          <wp:inline distT="0" distB="0" distL="0" distR="0" wp14:anchorId="0FF95240" wp14:editId="6AD52B34">
            <wp:extent cx="2164080" cy="944880"/>
            <wp:effectExtent l="0" t="0" r="0" b="0"/>
            <wp:docPr id="125"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8">
                      <a:extLst>
                        <a:ext uri="{BEBA8EAE-BF5A-486C-A8C5-ECC9F3942E4B}">
                          <a14:imgProps xmlns:a14="http://schemas.microsoft.com/office/drawing/2010/main">
                            <a14:imgLayer r:embed="rId149">
                              <a14:imgEffect>
                                <a14:sharpenSoften amount="25000"/>
                              </a14:imgEffect>
                              <a14:imgEffect>
                                <a14:colorTemperature colorTemp="72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164080" cy="944880"/>
                    </a:xfrm>
                    <a:prstGeom prst="rect">
                      <a:avLst/>
                    </a:prstGeom>
                    <a:noFill/>
                    <a:ln>
                      <a:noFill/>
                    </a:ln>
                  </pic:spPr>
                </pic:pic>
              </a:graphicData>
            </a:graphic>
          </wp:inline>
        </w:drawing>
      </w:r>
      <w:bookmarkEnd w:id="931"/>
    </w:p>
    <w:p w14:paraId="3B76AB34" w14:textId="15F4A617" w:rsidR="00D726B2" w:rsidRPr="003566A9" w:rsidRDefault="00316B9E" w:rsidP="00E858EF">
      <w:pPr>
        <w:pStyle w:val="Didascalia"/>
        <w:suppressAutoHyphens/>
      </w:pPr>
      <w:bookmarkStart w:id="932" w:name="_Toc520212405"/>
      <w:r>
        <w:t>Figure</w:t>
      </w:r>
      <w:r w:rsidR="00D726B2" w:rsidRPr="003566A9">
        <w:t xml:space="preserve"> 5-12</w:t>
      </w:r>
      <w:r w:rsidR="00D74E14">
        <w:t>.</w:t>
      </w:r>
      <w:r w:rsidR="00D726B2" w:rsidRPr="003566A9">
        <w:t xml:space="preserve"> Motif FM 13</w:t>
      </w:r>
      <w:r w:rsidR="00DB5E40">
        <w:t>, O</w:t>
      </w:r>
      <w:r w:rsidR="00D726B2" w:rsidRPr="003566A9">
        <w:t xml:space="preserve">gival canopy </w:t>
      </w:r>
      <w:r>
        <w:t>(after</w:t>
      </w:r>
      <w:r w:rsidR="00D726B2" w:rsidRPr="003566A9">
        <w:t xml:space="preserve"> Furumark 1972: Fig. 37.13)</w:t>
      </w:r>
      <w:bookmarkEnd w:id="932"/>
    </w:p>
    <w:p w14:paraId="5292AD66" w14:textId="77777777" w:rsidR="00D726B2" w:rsidRPr="003566A9" w:rsidRDefault="00D726B2" w:rsidP="00E858EF">
      <w:pPr>
        <w:suppressAutoHyphens/>
      </w:pPr>
    </w:p>
    <w:p w14:paraId="60131525" w14:textId="77777777" w:rsidR="00D726B2" w:rsidRPr="003566A9" w:rsidRDefault="00D726B2" w:rsidP="00E858EF">
      <w:pPr>
        <w:suppressAutoHyphens/>
      </w:pPr>
      <w:bookmarkStart w:id="933" w:name="_Toc519894873"/>
      <w:r w:rsidRPr="003566A9">
        <w:rPr>
          <w:noProof/>
          <w:lang w:val="it-IT"/>
        </w:rPr>
        <w:drawing>
          <wp:inline distT="0" distB="0" distL="0" distR="0" wp14:anchorId="0EE74E73" wp14:editId="5AB93C43">
            <wp:extent cx="1117600" cy="1168400"/>
            <wp:effectExtent l="0" t="0" r="0" b="0"/>
            <wp:docPr id="126"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0">
                      <a:extLst>
                        <a:ext uri="{BEBA8EAE-BF5A-486C-A8C5-ECC9F3942E4B}">
                          <a14:imgProps xmlns:a14="http://schemas.microsoft.com/office/drawing/2010/main">
                            <a14:imgLayer r:embed="rId15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17600" cy="1168400"/>
                    </a:xfrm>
                    <a:prstGeom prst="rect">
                      <a:avLst/>
                    </a:prstGeom>
                    <a:noFill/>
                    <a:ln>
                      <a:noFill/>
                    </a:ln>
                  </pic:spPr>
                </pic:pic>
              </a:graphicData>
            </a:graphic>
          </wp:inline>
        </w:drawing>
      </w:r>
      <w:bookmarkEnd w:id="933"/>
    </w:p>
    <w:p w14:paraId="571F0648" w14:textId="65947AF3" w:rsidR="00D726B2" w:rsidRDefault="00316B9E" w:rsidP="00E858EF">
      <w:pPr>
        <w:pStyle w:val="Didascalia"/>
        <w:suppressAutoHyphens/>
      </w:pPr>
      <w:bookmarkStart w:id="934" w:name="_Toc520212406"/>
      <w:r>
        <w:t>Figure</w:t>
      </w:r>
      <w:r w:rsidR="00D726B2" w:rsidRPr="003566A9">
        <w:t xml:space="preserve"> 5-13</w:t>
      </w:r>
      <w:r w:rsidR="00D74E14">
        <w:t>.</w:t>
      </w:r>
      <w:r w:rsidR="00D726B2" w:rsidRPr="003566A9">
        <w:t xml:space="preserve"> Motif FM 14</w:t>
      </w:r>
      <w:r w:rsidR="00DB5E40">
        <w:t>, P</w:t>
      </w:r>
      <w:r w:rsidR="00D726B2" w:rsidRPr="003566A9">
        <w:t xml:space="preserve">alm I </w:t>
      </w:r>
      <w:r>
        <w:t>(after</w:t>
      </w:r>
      <w:r w:rsidR="00D726B2" w:rsidRPr="003566A9">
        <w:t xml:space="preserve"> Furumark 1972: Fig. 38.14)</w:t>
      </w:r>
      <w:bookmarkEnd w:id="934"/>
    </w:p>
    <w:p w14:paraId="768B2B8C" w14:textId="77777777" w:rsidR="009E582B" w:rsidRPr="009E582B" w:rsidRDefault="009E582B" w:rsidP="00E858EF">
      <w:pPr>
        <w:suppressAutoHyphens/>
      </w:pPr>
    </w:p>
    <w:p w14:paraId="5C40C9D4" w14:textId="77777777" w:rsidR="00D726B2" w:rsidRPr="003566A9" w:rsidRDefault="00D726B2" w:rsidP="00E858EF">
      <w:pPr>
        <w:suppressAutoHyphens/>
      </w:pPr>
      <w:bookmarkStart w:id="935" w:name="_Toc519894875"/>
      <w:r w:rsidRPr="003566A9">
        <w:rPr>
          <w:noProof/>
          <w:lang w:val="it-IT"/>
        </w:rPr>
        <w:drawing>
          <wp:inline distT="0" distB="0" distL="0" distR="0" wp14:anchorId="0F49AFCF" wp14:editId="18EA4708">
            <wp:extent cx="1219200" cy="1788160"/>
            <wp:effectExtent l="0" t="0" r="0" b="0"/>
            <wp:docPr id="127"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2">
                      <a:extLst>
                        <a:ext uri="{BEBA8EAE-BF5A-486C-A8C5-ECC9F3942E4B}">
                          <a14:imgProps xmlns:a14="http://schemas.microsoft.com/office/drawing/2010/main">
                            <a14:imgLayer r:embed="rId15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19200" cy="1788160"/>
                    </a:xfrm>
                    <a:prstGeom prst="rect">
                      <a:avLst/>
                    </a:prstGeom>
                    <a:noFill/>
                    <a:ln>
                      <a:noFill/>
                    </a:ln>
                  </pic:spPr>
                </pic:pic>
              </a:graphicData>
            </a:graphic>
          </wp:inline>
        </w:drawing>
      </w:r>
      <w:bookmarkEnd w:id="935"/>
    </w:p>
    <w:p w14:paraId="3C8BA368" w14:textId="0C3D97C5" w:rsidR="00D726B2" w:rsidRPr="003566A9" w:rsidRDefault="00316B9E" w:rsidP="00E858EF">
      <w:pPr>
        <w:pStyle w:val="Didascalia"/>
        <w:suppressAutoHyphens/>
      </w:pPr>
      <w:bookmarkStart w:id="936" w:name="_Toc520212407"/>
      <w:r>
        <w:t>Figure</w:t>
      </w:r>
      <w:r w:rsidR="00D726B2" w:rsidRPr="003566A9">
        <w:t xml:space="preserve"> 5-14</w:t>
      </w:r>
      <w:r w:rsidR="00D74E14">
        <w:t>.</w:t>
      </w:r>
      <w:r w:rsidR="00D726B2" w:rsidRPr="003566A9">
        <w:t xml:space="preserve"> Motif FM 15</w:t>
      </w:r>
      <w:r w:rsidR="00DB5E40">
        <w:t>, P</w:t>
      </w:r>
      <w:r w:rsidR="00D726B2" w:rsidRPr="003566A9">
        <w:t xml:space="preserve">alm II </w:t>
      </w:r>
      <w:r>
        <w:t>(after</w:t>
      </w:r>
      <w:r w:rsidR="00D726B2" w:rsidRPr="003566A9">
        <w:t xml:space="preserve"> Furumark 1972: Fig. 39.15)</w:t>
      </w:r>
      <w:bookmarkEnd w:id="936"/>
    </w:p>
    <w:p w14:paraId="54089B01" w14:textId="77777777" w:rsidR="00D726B2" w:rsidRPr="003566A9" w:rsidRDefault="00D726B2" w:rsidP="00E858EF">
      <w:pPr>
        <w:suppressAutoHyphens/>
      </w:pPr>
    </w:p>
    <w:p w14:paraId="692F677A" w14:textId="77777777" w:rsidR="00D726B2" w:rsidRPr="003566A9" w:rsidRDefault="00D726B2" w:rsidP="00E858EF">
      <w:pPr>
        <w:suppressAutoHyphens/>
      </w:pPr>
      <w:bookmarkStart w:id="937" w:name="_Toc519894877"/>
      <w:r w:rsidRPr="003566A9">
        <w:rPr>
          <w:noProof/>
          <w:lang w:val="it-IT"/>
        </w:rPr>
        <w:drawing>
          <wp:inline distT="0" distB="0" distL="0" distR="0" wp14:anchorId="6EB3C589" wp14:editId="01AE0B7D">
            <wp:extent cx="711200" cy="822960"/>
            <wp:effectExtent l="0" t="0" r="0" b="0"/>
            <wp:docPr id="128"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4">
                      <a:extLst>
                        <a:ext uri="{BEBA8EAE-BF5A-486C-A8C5-ECC9F3942E4B}">
                          <a14:imgProps xmlns:a14="http://schemas.microsoft.com/office/drawing/2010/main">
                            <a14:imgLayer r:embed="rId15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1200" cy="822960"/>
                    </a:xfrm>
                    <a:prstGeom prst="rect">
                      <a:avLst/>
                    </a:prstGeom>
                    <a:noFill/>
                    <a:ln>
                      <a:noFill/>
                    </a:ln>
                  </pic:spPr>
                </pic:pic>
              </a:graphicData>
            </a:graphic>
          </wp:inline>
        </w:drawing>
      </w:r>
      <w:bookmarkEnd w:id="937"/>
    </w:p>
    <w:p w14:paraId="5AA1A5A9" w14:textId="29264F9F" w:rsidR="00D726B2" w:rsidRPr="003566A9" w:rsidRDefault="00316B9E" w:rsidP="00E858EF">
      <w:pPr>
        <w:pStyle w:val="Didascalia"/>
        <w:suppressAutoHyphens/>
      </w:pPr>
      <w:bookmarkStart w:id="938" w:name="_Toc520212408"/>
      <w:r>
        <w:t>Figure</w:t>
      </w:r>
      <w:r w:rsidR="00D726B2" w:rsidRPr="003566A9">
        <w:t xml:space="preserve"> 5-15 Motif FM 16</w:t>
      </w:r>
      <w:r w:rsidR="00DB5E40">
        <w:t>, G</w:t>
      </w:r>
      <w:r w:rsidR="00D726B2" w:rsidRPr="003566A9">
        <w:t xml:space="preserve">rass or reed </w:t>
      </w:r>
      <w:r>
        <w:t>(after</w:t>
      </w:r>
      <w:r w:rsidR="00D726B2" w:rsidRPr="003566A9">
        <w:t xml:space="preserve"> Furumark 1972: Fig. 40.16)</w:t>
      </w:r>
      <w:bookmarkEnd w:id="938"/>
    </w:p>
    <w:p w14:paraId="065D2548" w14:textId="77777777" w:rsidR="00D726B2" w:rsidRPr="003566A9" w:rsidRDefault="00D726B2" w:rsidP="00E858EF">
      <w:pPr>
        <w:suppressAutoHyphens/>
      </w:pPr>
    </w:p>
    <w:p w14:paraId="3E6BE950" w14:textId="77777777" w:rsidR="00D726B2" w:rsidRPr="003566A9" w:rsidRDefault="00D726B2" w:rsidP="00E858EF">
      <w:pPr>
        <w:suppressAutoHyphens/>
      </w:pPr>
      <w:bookmarkStart w:id="939" w:name="_Toc519894879"/>
      <w:r w:rsidRPr="003566A9">
        <w:rPr>
          <w:noProof/>
          <w:lang w:val="it-IT"/>
        </w:rPr>
        <w:drawing>
          <wp:inline distT="0" distB="0" distL="0" distR="0" wp14:anchorId="0CFB717C" wp14:editId="253D68EF">
            <wp:extent cx="721360" cy="609600"/>
            <wp:effectExtent l="0" t="0" r="0" b="0"/>
            <wp:docPr id="129"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6">
                      <a:extLst>
                        <a:ext uri="{BEBA8EAE-BF5A-486C-A8C5-ECC9F3942E4B}">
                          <a14:imgProps xmlns:a14="http://schemas.microsoft.com/office/drawing/2010/main">
                            <a14:imgLayer r:embed="rId15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21360" cy="609600"/>
                    </a:xfrm>
                    <a:prstGeom prst="rect">
                      <a:avLst/>
                    </a:prstGeom>
                    <a:noFill/>
                    <a:ln>
                      <a:noFill/>
                    </a:ln>
                  </pic:spPr>
                </pic:pic>
              </a:graphicData>
            </a:graphic>
          </wp:inline>
        </w:drawing>
      </w:r>
      <w:bookmarkEnd w:id="939"/>
    </w:p>
    <w:p w14:paraId="4CE277B4" w14:textId="31F40BBA" w:rsidR="00D726B2" w:rsidRPr="003566A9" w:rsidRDefault="00316B9E" w:rsidP="00E858EF">
      <w:pPr>
        <w:pStyle w:val="Didascalia"/>
        <w:suppressAutoHyphens/>
      </w:pPr>
      <w:bookmarkStart w:id="940" w:name="_Toc520212409"/>
      <w:r>
        <w:t>Figure</w:t>
      </w:r>
      <w:r w:rsidR="00D726B2" w:rsidRPr="003566A9">
        <w:t xml:space="preserve"> 5-16</w:t>
      </w:r>
      <w:r w:rsidR="00D74E14">
        <w:t>.</w:t>
      </w:r>
      <w:r w:rsidR="00D726B2" w:rsidRPr="003566A9">
        <w:t xml:space="preserve"> Motif FM 17</w:t>
      </w:r>
      <w:r w:rsidR="00DB5E40">
        <w:t>, R</w:t>
      </w:r>
      <w:r w:rsidR="00D726B2" w:rsidRPr="003566A9">
        <w:t xml:space="preserve">osette </w:t>
      </w:r>
      <w:r>
        <w:t>(after</w:t>
      </w:r>
      <w:r w:rsidR="00D726B2" w:rsidRPr="003566A9">
        <w:t xml:space="preserve"> Furumark 1972: Fig. 40.17)</w:t>
      </w:r>
      <w:bookmarkEnd w:id="940"/>
    </w:p>
    <w:p w14:paraId="271725D5" w14:textId="77777777" w:rsidR="00D726B2" w:rsidRPr="003566A9" w:rsidRDefault="00D726B2" w:rsidP="00E858EF">
      <w:pPr>
        <w:suppressAutoHyphens/>
      </w:pPr>
    </w:p>
    <w:p w14:paraId="3E13365E" w14:textId="77777777" w:rsidR="00D726B2" w:rsidRPr="003566A9" w:rsidRDefault="00D726B2" w:rsidP="00E858EF">
      <w:pPr>
        <w:suppressAutoHyphens/>
      </w:pPr>
      <w:bookmarkStart w:id="941" w:name="_Toc519894881"/>
      <w:r w:rsidRPr="003566A9">
        <w:rPr>
          <w:noProof/>
          <w:lang w:val="it-IT"/>
        </w:rPr>
        <w:drawing>
          <wp:inline distT="0" distB="0" distL="0" distR="0" wp14:anchorId="3FEF5CDA" wp14:editId="5CC9DF16">
            <wp:extent cx="1249680" cy="1381760"/>
            <wp:effectExtent l="0" t="0" r="0" b="0"/>
            <wp:docPr id="130"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8">
                      <a:extLst>
                        <a:ext uri="{BEBA8EAE-BF5A-486C-A8C5-ECC9F3942E4B}">
                          <a14:imgProps xmlns:a14="http://schemas.microsoft.com/office/drawing/2010/main">
                            <a14:imgLayer r:embed="rId15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49680" cy="1381760"/>
                    </a:xfrm>
                    <a:prstGeom prst="rect">
                      <a:avLst/>
                    </a:prstGeom>
                    <a:noFill/>
                    <a:ln>
                      <a:noFill/>
                    </a:ln>
                  </pic:spPr>
                </pic:pic>
              </a:graphicData>
            </a:graphic>
          </wp:inline>
        </w:drawing>
      </w:r>
      <w:bookmarkEnd w:id="941"/>
    </w:p>
    <w:p w14:paraId="021993C3" w14:textId="7A72AA05" w:rsidR="00D726B2" w:rsidRPr="003566A9" w:rsidRDefault="00316B9E" w:rsidP="00E858EF">
      <w:pPr>
        <w:pStyle w:val="Didascalia"/>
        <w:suppressAutoHyphens/>
      </w:pPr>
      <w:bookmarkStart w:id="942" w:name="_Toc520212410"/>
      <w:r>
        <w:t>Figure</w:t>
      </w:r>
      <w:r w:rsidR="00D726B2" w:rsidRPr="003566A9">
        <w:t xml:space="preserve"> 5-17</w:t>
      </w:r>
      <w:r w:rsidR="00D74E14">
        <w:t>.</w:t>
      </w:r>
      <w:r w:rsidR="00D726B2" w:rsidRPr="003566A9">
        <w:t xml:space="preserve"> Motif FM 18</w:t>
      </w:r>
      <w:r w:rsidR="00DB5E40">
        <w:t>, M</w:t>
      </w:r>
      <w:r w:rsidR="00D726B2" w:rsidRPr="003566A9">
        <w:t xml:space="preserve">yc. flower </w:t>
      </w:r>
      <w:r>
        <w:t>(after</w:t>
      </w:r>
      <w:r w:rsidR="00D726B2" w:rsidRPr="003566A9">
        <w:t xml:space="preserve"> Furumark 1972: Fig. 42.18)</w:t>
      </w:r>
      <w:bookmarkEnd w:id="942"/>
    </w:p>
    <w:p w14:paraId="65A9AB1A" w14:textId="77777777" w:rsidR="00D726B2" w:rsidRPr="003566A9" w:rsidRDefault="00D726B2" w:rsidP="00E858EF">
      <w:pPr>
        <w:suppressAutoHyphens/>
      </w:pPr>
    </w:p>
    <w:p w14:paraId="3915E029" w14:textId="77777777" w:rsidR="00D726B2" w:rsidRPr="003566A9" w:rsidRDefault="00D726B2" w:rsidP="00E858EF">
      <w:pPr>
        <w:suppressAutoHyphens/>
      </w:pPr>
      <w:bookmarkStart w:id="943" w:name="_Toc519894883"/>
      <w:r w:rsidRPr="003566A9">
        <w:rPr>
          <w:noProof/>
          <w:lang w:val="it-IT"/>
        </w:rPr>
        <w:drawing>
          <wp:inline distT="0" distB="0" distL="0" distR="0" wp14:anchorId="478046E1" wp14:editId="1F2BF132">
            <wp:extent cx="1635760" cy="711200"/>
            <wp:effectExtent l="0" t="0" r="0" b="0"/>
            <wp:docPr id="131"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0">
                      <a:extLst>
                        <a:ext uri="{BEBA8EAE-BF5A-486C-A8C5-ECC9F3942E4B}">
                          <a14:imgProps xmlns:a14="http://schemas.microsoft.com/office/drawing/2010/main">
                            <a14:imgLayer r:embed="rId16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5760" cy="711200"/>
                    </a:xfrm>
                    <a:prstGeom prst="rect">
                      <a:avLst/>
                    </a:prstGeom>
                    <a:noFill/>
                    <a:ln>
                      <a:noFill/>
                    </a:ln>
                  </pic:spPr>
                </pic:pic>
              </a:graphicData>
            </a:graphic>
          </wp:inline>
        </w:drawing>
      </w:r>
      <w:r w:rsidRPr="003566A9">
        <w:t xml:space="preserve"> </w:t>
      </w:r>
      <w:r w:rsidRPr="003566A9">
        <w:rPr>
          <w:noProof/>
          <w:lang w:val="it-IT"/>
        </w:rPr>
        <w:drawing>
          <wp:inline distT="0" distB="0" distL="0" distR="0" wp14:anchorId="73D0BB44" wp14:editId="29AD1112">
            <wp:extent cx="721360" cy="457200"/>
            <wp:effectExtent l="0" t="0" r="0" b="0"/>
            <wp:docPr id="132"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2">
                      <a:extLst>
                        <a:ext uri="{BEBA8EAE-BF5A-486C-A8C5-ECC9F3942E4B}">
                          <a14:imgProps xmlns:a14="http://schemas.microsoft.com/office/drawing/2010/main">
                            <a14:imgLayer r:embed="rId16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21360" cy="457200"/>
                    </a:xfrm>
                    <a:prstGeom prst="rect">
                      <a:avLst/>
                    </a:prstGeom>
                    <a:noFill/>
                    <a:ln>
                      <a:noFill/>
                    </a:ln>
                  </pic:spPr>
                </pic:pic>
              </a:graphicData>
            </a:graphic>
          </wp:inline>
        </w:drawing>
      </w:r>
      <w:bookmarkEnd w:id="943"/>
    </w:p>
    <w:p w14:paraId="174544F6" w14:textId="1BF17EA6" w:rsidR="00D726B2" w:rsidRPr="003566A9" w:rsidRDefault="00316B9E" w:rsidP="00E858EF">
      <w:pPr>
        <w:pStyle w:val="Didascalia"/>
        <w:suppressAutoHyphens/>
      </w:pPr>
      <w:bookmarkStart w:id="944" w:name="_Toc520212411"/>
      <w:r>
        <w:t>Figure</w:t>
      </w:r>
      <w:r w:rsidR="00D726B2" w:rsidRPr="003566A9">
        <w:t xml:space="preserve"> 5-18</w:t>
      </w:r>
      <w:r w:rsidR="00D74E14">
        <w:t>.</w:t>
      </w:r>
      <w:r w:rsidR="00D726B2" w:rsidRPr="003566A9">
        <w:t xml:space="preserve"> Motif FM 19</w:t>
      </w:r>
      <w:r w:rsidR="00DB5E40">
        <w:t>, M</w:t>
      </w:r>
      <w:r w:rsidR="00D726B2" w:rsidRPr="003566A9">
        <w:t xml:space="preserve">ultiple stem and tongue pattern </w:t>
      </w:r>
      <w:r>
        <w:t>(after</w:t>
      </w:r>
      <w:r w:rsidR="00D726B2" w:rsidRPr="003566A9">
        <w:t xml:space="preserve"> Furumark 1972: Fig. 47.19)</w:t>
      </w:r>
      <w:bookmarkEnd w:id="944"/>
    </w:p>
    <w:p w14:paraId="57735075" w14:textId="77777777" w:rsidR="00D726B2" w:rsidRPr="003566A9" w:rsidRDefault="00D726B2" w:rsidP="00E858EF">
      <w:pPr>
        <w:suppressAutoHyphens/>
      </w:pPr>
    </w:p>
    <w:p w14:paraId="7DE27017" w14:textId="77777777" w:rsidR="00D726B2" w:rsidRPr="003566A9" w:rsidRDefault="00D726B2" w:rsidP="00E858EF">
      <w:pPr>
        <w:suppressAutoHyphens/>
      </w:pPr>
      <w:bookmarkStart w:id="945" w:name="_Toc519894885"/>
      <w:r w:rsidRPr="003566A9">
        <w:rPr>
          <w:noProof/>
          <w:lang w:val="it-IT"/>
        </w:rPr>
        <w:drawing>
          <wp:inline distT="0" distB="0" distL="0" distR="0" wp14:anchorId="6F74B2A2" wp14:editId="6AF5DB8C">
            <wp:extent cx="1859280" cy="609600"/>
            <wp:effectExtent l="0" t="0" r="0" b="0"/>
            <wp:docPr id="133"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4">
                      <a:extLst>
                        <a:ext uri="{BEBA8EAE-BF5A-486C-A8C5-ECC9F3942E4B}">
                          <a14:imgProps xmlns:a14="http://schemas.microsoft.com/office/drawing/2010/main">
                            <a14:imgLayer r:embed="rId16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59280" cy="609600"/>
                    </a:xfrm>
                    <a:prstGeom prst="rect">
                      <a:avLst/>
                    </a:prstGeom>
                    <a:noFill/>
                    <a:ln>
                      <a:noFill/>
                    </a:ln>
                  </pic:spPr>
                </pic:pic>
              </a:graphicData>
            </a:graphic>
          </wp:inline>
        </w:drawing>
      </w:r>
      <w:bookmarkEnd w:id="945"/>
    </w:p>
    <w:p w14:paraId="72F32F85" w14:textId="1A947176" w:rsidR="00D726B2" w:rsidRPr="003566A9" w:rsidRDefault="00316B9E" w:rsidP="00E858EF">
      <w:pPr>
        <w:pStyle w:val="Didascalia"/>
        <w:suppressAutoHyphens/>
      </w:pPr>
      <w:bookmarkStart w:id="946" w:name="_Toc520212412"/>
      <w:r>
        <w:t>Figure</w:t>
      </w:r>
      <w:r w:rsidR="00D726B2" w:rsidRPr="003566A9">
        <w:t xml:space="preserve"> 5-19</w:t>
      </w:r>
      <w:r w:rsidR="00D74E14">
        <w:t>.</w:t>
      </w:r>
      <w:r w:rsidR="00D726B2" w:rsidRPr="003566A9">
        <w:t xml:space="preserve"> Motif FM 20</w:t>
      </w:r>
      <w:r w:rsidR="00DB5E40">
        <w:t>, F</w:t>
      </w:r>
      <w:r w:rsidR="00D726B2" w:rsidRPr="003566A9">
        <w:t xml:space="preserve">ish </w:t>
      </w:r>
      <w:r>
        <w:t>(after</w:t>
      </w:r>
      <w:r w:rsidR="00D726B2" w:rsidRPr="003566A9">
        <w:t xml:space="preserve"> Furumark 1972: Fig. 48.20)</w:t>
      </w:r>
      <w:bookmarkEnd w:id="946"/>
    </w:p>
    <w:p w14:paraId="7672E33F" w14:textId="77777777" w:rsidR="00D726B2" w:rsidRPr="003566A9" w:rsidRDefault="00D726B2" w:rsidP="00E858EF">
      <w:pPr>
        <w:suppressAutoHyphens/>
      </w:pPr>
    </w:p>
    <w:p w14:paraId="725EB36A" w14:textId="77777777" w:rsidR="00D726B2" w:rsidRPr="003566A9" w:rsidRDefault="00D726B2" w:rsidP="00E858EF">
      <w:pPr>
        <w:suppressAutoHyphens/>
      </w:pPr>
      <w:bookmarkStart w:id="947" w:name="_Toc519894887"/>
      <w:r w:rsidRPr="003566A9">
        <w:rPr>
          <w:noProof/>
          <w:lang w:val="it-IT"/>
        </w:rPr>
        <w:drawing>
          <wp:inline distT="0" distB="0" distL="0" distR="0" wp14:anchorId="74F47CDF" wp14:editId="62677052">
            <wp:extent cx="2286000" cy="1168400"/>
            <wp:effectExtent l="0" t="0" r="0" b="0"/>
            <wp:docPr id="134"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66">
                      <a:extLst>
                        <a:ext uri="{BEBA8EAE-BF5A-486C-A8C5-ECC9F3942E4B}">
                          <a14:imgProps xmlns:a14="http://schemas.microsoft.com/office/drawing/2010/main">
                            <a14:imgLayer r:embed="rId167">
                              <a14:imgEffect>
                                <a14:brightnessContrast contrast="40000"/>
                              </a14:imgEffect>
                            </a14:imgLayer>
                          </a14:imgProps>
                        </a:ext>
                        <a:ext uri="{28A0092B-C50C-407E-A947-70E740481C1C}">
                          <a14:useLocalDpi xmlns:a14="http://schemas.microsoft.com/office/drawing/2010/main" val="0"/>
                        </a:ext>
                      </a:extLst>
                    </a:blip>
                    <a:srcRect t="-1" b="4959"/>
                    <a:stretch/>
                  </pic:blipFill>
                  <pic:spPr bwMode="auto">
                    <a:xfrm>
                      <a:off x="0" y="0"/>
                      <a:ext cx="2286000" cy="1168400"/>
                    </a:xfrm>
                    <a:prstGeom prst="rect">
                      <a:avLst/>
                    </a:prstGeom>
                    <a:noFill/>
                    <a:ln>
                      <a:noFill/>
                    </a:ln>
                    <a:extLst>
                      <a:ext uri="{53640926-AAD7-44d8-BBD7-CCE9431645EC}">
                        <a14:shadowObscured xmlns:a14="http://schemas.microsoft.com/office/drawing/2010/main"/>
                      </a:ext>
                    </a:extLst>
                  </pic:spPr>
                </pic:pic>
              </a:graphicData>
            </a:graphic>
          </wp:inline>
        </w:drawing>
      </w:r>
      <w:bookmarkEnd w:id="947"/>
    </w:p>
    <w:p w14:paraId="3615E30B" w14:textId="4BD17676" w:rsidR="00D726B2" w:rsidRPr="003566A9" w:rsidRDefault="00316B9E" w:rsidP="00E858EF">
      <w:pPr>
        <w:pStyle w:val="Didascalia"/>
        <w:suppressAutoHyphens/>
      </w:pPr>
      <w:bookmarkStart w:id="948" w:name="_Toc520212413"/>
      <w:r>
        <w:t>Figure</w:t>
      </w:r>
      <w:r w:rsidR="00D726B2" w:rsidRPr="003566A9">
        <w:t xml:space="preserve"> 5-20</w:t>
      </w:r>
      <w:r w:rsidR="00D74E14">
        <w:t>.</w:t>
      </w:r>
      <w:r w:rsidR="00D726B2" w:rsidRPr="003566A9">
        <w:t xml:space="preserve"> Motif FM 21</w:t>
      </w:r>
      <w:r w:rsidR="00DB5E40">
        <w:t>, C</w:t>
      </w:r>
      <w:r w:rsidR="00D726B2" w:rsidRPr="003566A9">
        <w:t xml:space="preserve">uttlefish </w:t>
      </w:r>
      <w:r>
        <w:t>(after</w:t>
      </w:r>
      <w:r w:rsidR="00D726B2" w:rsidRPr="003566A9">
        <w:t xml:space="preserve"> Furumark 1972: Fig. 49.21)</w:t>
      </w:r>
      <w:bookmarkEnd w:id="948"/>
    </w:p>
    <w:p w14:paraId="00B3E874" w14:textId="77777777" w:rsidR="00D726B2" w:rsidRPr="003566A9" w:rsidRDefault="00D726B2" w:rsidP="00E858EF">
      <w:pPr>
        <w:suppressAutoHyphens/>
      </w:pPr>
    </w:p>
    <w:p w14:paraId="10E95A3F" w14:textId="77777777" w:rsidR="00D726B2" w:rsidRPr="003566A9" w:rsidRDefault="00D726B2" w:rsidP="00E858EF">
      <w:pPr>
        <w:suppressAutoHyphens/>
      </w:pPr>
      <w:bookmarkStart w:id="949" w:name="_Toc519894889"/>
      <w:r w:rsidRPr="003566A9">
        <w:rPr>
          <w:noProof/>
          <w:lang w:val="it-IT"/>
        </w:rPr>
        <w:drawing>
          <wp:inline distT="0" distB="0" distL="0" distR="0" wp14:anchorId="354CD6A0" wp14:editId="5FD293FC">
            <wp:extent cx="2805796" cy="1367155"/>
            <wp:effectExtent l="0" t="0" r="0" b="4445"/>
            <wp:docPr id="135"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8">
                      <a:extLst>
                        <a:ext uri="{BEBA8EAE-BF5A-486C-A8C5-ECC9F3942E4B}">
                          <a14:imgProps xmlns:a14="http://schemas.microsoft.com/office/drawing/2010/main">
                            <a14:imgLayer r:embed="rId16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07014" cy="1367748"/>
                    </a:xfrm>
                    <a:prstGeom prst="rect">
                      <a:avLst/>
                    </a:prstGeom>
                    <a:noFill/>
                    <a:ln>
                      <a:noFill/>
                    </a:ln>
                  </pic:spPr>
                </pic:pic>
              </a:graphicData>
            </a:graphic>
          </wp:inline>
        </w:drawing>
      </w:r>
      <w:bookmarkEnd w:id="949"/>
    </w:p>
    <w:p w14:paraId="6337EDE4" w14:textId="3DBA685B" w:rsidR="00D726B2" w:rsidRPr="003566A9" w:rsidRDefault="00316B9E" w:rsidP="00E858EF">
      <w:pPr>
        <w:pStyle w:val="Didascalia"/>
        <w:suppressAutoHyphens/>
      </w:pPr>
      <w:bookmarkStart w:id="950" w:name="_Toc520212414"/>
      <w:r>
        <w:t>Figure</w:t>
      </w:r>
      <w:r w:rsidR="00D726B2" w:rsidRPr="003566A9">
        <w:t xml:space="preserve"> 5-21</w:t>
      </w:r>
      <w:r w:rsidR="00D74E14">
        <w:t>.</w:t>
      </w:r>
      <w:r w:rsidR="00D726B2" w:rsidRPr="003566A9">
        <w:t xml:space="preserve"> Motif FM 22</w:t>
      </w:r>
      <w:r w:rsidR="00DB5E40">
        <w:t>, A</w:t>
      </w:r>
      <w:r w:rsidR="00D726B2" w:rsidRPr="003566A9">
        <w:t xml:space="preserve">rgonaut </w:t>
      </w:r>
      <w:r>
        <w:t>(after</w:t>
      </w:r>
      <w:r w:rsidR="00D726B2" w:rsidRPr="003566A9">
        <w:t xml:space="preserve"> Furumark 1972: Fig. 50.22)</w:t>
      </w:r>
      <w:bookmarkEnd w:id="950"/>
    </w:p>
    <w:p w14:paraId="73AE2259" w14:textId="77777777" w:rsidR="00D726B2" w:rsidRPr="003566A9" w:rsidRDefault="00D726B2" w:rsidP="00E858EF">
      <w:pPr>
        <w:suppressAutoHyphens/>
      </w:pPr>
    </w:p>
    <w:p w14:paraId="7A68A2AB" w14:textId="77777777" w:rsidR="00D726B2" w:rsidRPr="003566A9" w:rsidRDefault="00D726B2" w:rsidP="00E858EF">
      <w:pPr>
        <w:suppressAutoHyphens/>
      </w:pPr>
      <w:bookmarkStart w:id="951" w:name="_Toc519894891"/>
      <w:r w:rsidRPr="003566A9">
        <w:rPr>
          <w:noProof/>
          <w:lang w:val="it-IT"/>
        </w:rPr>
        <w:drawing>
          <wp:inline distT="0" distB="0" distL="0" distR="0" wp14:anchorId="2C841EE9" wp14:editId="63A2ADDA">
            <wp:extent cx="741680" cy="2082800"/>
            <wp:effectExtent l="0" t="0" r="0" b="0"/>
            <wp:docPr id="136"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0">
                      <a:extLst>
                        <a:ext uri="{BEBA8EAE-BF5A-486C-A8C5-ECC9F3942E4B}">
                          <a14:imgProps xmlns:a14="http://schemas.microsoft.com/office/drawing/2010/main">
                            <a14:imgLayer r:embed="rId17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41680" cy="2082800"/>
                    </a:xfrm>
                    <a:prstGeom prst="rect">
                      <a:avLst/>
                    </a:prstGeom>
                    <a:noFill/>
                    <a:ln>
                      <a:noFill/>
                    </a:ln>
                  </pic:spPr>
                </pic:pic>
              </a:graphicData>
            </a:graphic>
          </wp:inline>
        </w:drawing>
      </w:r>
      <w:bookmarkEnd w:id="951"/>
    </w:p>
    <w:p w14:paraId="1B358185" w14:textId="33423C95" w:rsidR="00D726B2" w:rsidRPr="003566A9" w:rsidRDefault="00316B9E" w:rsidP="00E858EF">
      <w:pPr>
        <w:pStyle w:val="Didascalia"/>
        <w:suppressAutoHyphens/>
      </w:pPr>
      <w:bookmarkStart w:id="952" w:name="_Toc520212415"/>
      <w:r>
        <w:t>Figure</w:t>
      </w:r>
      <w:r w:rsidR="00D726B2" w:rsidRPr="003566A9">
        <w:t xml:space="preserve"> 5-22</w:t>
      </w:r>
      <w:r w:rsidR="00D74E14">
        <w:t>.</w:t>
      </w:r>
      <w:r w:rsidR="00D726B2" w:rsidRPr="003566A9">
        <w:t xml:space="preserve"> Motif FM 23</w:t>
      </w:r>
      <w:r w:rsidR="00DB5E40">
        <w:t>, W</w:t>
      </w:r>
      <w:r w:rsidR="00D726B2" w:rsidRPr="003566A9">
        <w:t xml:space="preserve">horl-shell </w:t>
      </w:r>
      <w:r>
        <w:t>(after</w:t>
      </w:r>
      <w:r w:rsidR="00D726B2" w:rsidRPr="003566A9">
        <w:t xml:space="preserve"> Furumark 1972: Fig. 51.23)</w:t>
      </w:r>
      <w:bookmarkEnd w:id="952"/>
    </w:p>
    <w:p w14:paraId="6EB6877B" w14:textId="77777777" w:rsidR="00D726B2" w:rsidRPr="003566A9" w:rsidRDefault="00D726B2" w:rsidP="00E858EF">
      <w:pPr>
        <w:suppressAutoHyphens/>
      </w:pPr>
    </w:p>
    <w:p w14:paraId="6B78746A" w14:textId="77777777" w:rsidR="00D726B2" w:rsidRPr="003566A9" w:rsidRDefault="00D726B2" w:rsidP="00E858EF">
      <w:pPr>
        <w:suppressAutoHyphens/>
      </w:pPr>
      <w:bookmarkStart w:id="953" w:name="_Toc519894893"/>
      <w:r w:rsidRPr="003566A9">
        <w:rPr>
          <w:noProof/>
          <w:lang w:val="it-IT"/>
        </w:rPr>
        <w:drawing>
          <wp:inline distT="0" distB="0" distL="0" distR="0" wp14:anchorId="72F482E5" wp14:editId="294E9151">
            <wp:extent cx="2174240" cy="853440"/>
            <wp:effectExtent l="0" t="0" r="10160" b="10160"/>
            <wp:docPr id="137"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72">
                      <a:extLst>
                        <a:ext uri="{BEBA8EAE-BF5A-486C-A8C5-ECC9F3942E4B}">
                          <a14:imgProps xmlns:a14="http://schemas.microsoft.com/office/drawing/2010/main">
                            <a14:imgLayer r:embed="rId173">
                              <a14:imgEffect>
                                <a14:brightnessContrast contrast="40000"/>
                              </a14:imgEffect>
                            </a14:imgLayer>
                          </a14:imgProps>
                        </a:ext>
                        <a:ext uri="{28A0092B-C50C-407E-A947-70E740481C1C}">
                          <a14:useLocalDpi xmlns:a14="http://schemas.microsoft.com/office/drawing/2010/main" val="0"/>
                        </a:ext>
                      </a:extLst>
                    </a:blip>
                    <a:srcRect l="5417" t="10679" r="5417" b="7768"/>
                    <a:stretch/>
                  </pic:blipFill>
                  <pic:spPr bwMode="auto">
                    <a:xfrm>
                      <a:off x="0" y="0"/>
                      <a:ext cx="2174240" cy="853440"/>
                    </a:xfrm>
                    <a:prstGeom prst="rect">
                      <a:avLst/>
                    </a:prstGeom>
                    <a:noFill/>
                    <a:ln>
                      <a:noFill/>
                    </a:ln>
                    <a:extLst>
                      <a:ext uri="{53640926-AAD7-44d8-BBD7-CCE9431645EC}">
                        <a14:shadowObscured xmlns:a14="http://schemas.microsoft.com/office/drawing/2010/main"/>
                      </a:ext>
                    </a:extLst>
                  </pic:spPr>
                </pic:pic>
              </a:graphicData>
            </a:graphic>
          </wp:inline>
        </w:drawing>
      </w:r>
      <w:bookmarkEnd w:id="953"/>
    </w:p>
    <w:p w14:paraId="0716F4BB" w14:textId="0F1AEB96" w:rsidR="00D726B2" w:rsidRPr="003566A9" w:rsidRDefault="00316B9E" w:rsidP="00E858EF">
      <w:pPr>
        <w:pStyle w:val="Didascalia"/>
        <w:suppressAutoHyphens/>
      </w:pPr>
      <w:bookmarkStart w:id="954" w:name="_Toc520212416"/>
      <w:r>
        <w:t>Figure</w:t>
      </w:r>
      <w:r w:rsidR="00D726B2" w:rsidRPr="003566A9">
        <w:t xml:space="preserve"> 5-23</w:t>
      </w:r>
      <w:r w:rsidR="00D74E14">
        <w:t>.</w:t>
      </w:r>
      <w:r w:rsidR="00D726B2" w:rsidRPr="003566A9">
        <w:t xml:space="preserve"> Motif FM 24</w:t>
      </w:r>
      <w:r w:rsidR="00DB5E40">
        <w:t>, L</w:t>
      </w:r>
      <w:r w:rsidR="00D726B2" w:rsidRPr="003566A9">
        <w:t xml:space="preserve">inked whorl-shell pattern </w:t>
      </w:r>
      <w:r>
        <w:t>(after</w:t>
      </w:r>
      <w:r w:rsidR="00D726B2" w:rsidRPr="003566A9">
        <w:t xml:space="preserve"> Furumark 1972: Fig. 51.24)</w:t>
      </w:r>
      <w:bookmarkEnd w:id="954"/>
    </w:p>
    <w:p w14:paraId="16B764E8" w14:textId="77777777" w:rsidR="00D726B2" w:rsidRPr="003566A9" w:rsidRDefault="00D726B2" w:rsidP="00E858EF">
      <w:pPr>
        <w:suppressAutoHyphens/>
      </w:pPr>
    </w:p>
    <w:p w14:paraId="14A6C9E3" w14:textId="77777777" w:rsidR="00D726B2" w:rsidRPr="003566A9" w:rsidRDefault="00D726B2" w:rsidP="00E858EF">
      <w:pPr>
        <w:suppressAutoHyphens/>
      </w:pPr>
      <w:bookmarkStart w:id="955" w:name="_Toc519894895"/>
      <w:r w:rsidRPr="003566A9">
        <w:rPr>
          <w:noProof/>
          <w:lang w:val="it-IT"/>
        </w:rPr>
        <w:drawing>
          <wp:inline distT="0" distB="0" distL="0" distR="0" wp14:anchorId="4629894C" wp14:editId="4284FD47">
            <wp:extent cx="1656080" cy="619760"/>
            <wp:effectExtent l="0" t="0" r="0" b="0"/>
            <wp:docPr id="138"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4">
                      <a:extLst>
                        <a:ext uri="{BEBA8EAE-BF5A-486C-A8C5-ECC9F3942E4B}">
                          <a14:imgProps xmlns:a14="http://schemas.microsoft.com/office/drawing/2010/main">
                            <a14:imgLayer r:embed="rId17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56080" cy="619760"/>
                    </a:xfrm>
                    <a:prstGeom prst="rect">
                      <a:avLst/>
                    </a:prstGeom>
                    <a:noFill/>
                    <a:ln>
                      <a:noFill/>
                    </a:ln>
                  </pic:spPr>
                </pic:pic>
              </a:graphicData>
            </a:graphic>
          </wp:inline>
        </w:drawing>
      </w:r>
      <w:bookmarkEnd w:id="955"/>
    </w:p>
    <w:p w14:paraId="5D9BC661" w14:textId="16CC8999" w:rsidR="00D726B2" w:rsidRPr="003566A9" w:rsidRDefault="00316B9E" w:rsidP="00E858EF">
      <w:pPr>
        <w:pStyle w:val="Didascalia"/>
        <w:suppressAutoHyphens/>
      </w:pPr>
      <w:bookmarkStart w:id="956" w:name="_Toc520212417"/>
      <w:r>
        <w:t>Figure</w:t>
      </w:r>
      <w:r w:rsidR="00D726B2" w:rsidRPr="003566A9">
        <w:t xml:space="preserve"> 5-24</w:t>
      </w:r>
      <w:r w:rsidR="00D74E14">
        <w:t>.</w:t>
      </w:r>
      <w:r w:rsidR="00D726B2" w:rsidRPr="003566A9">
        <w:t xml:space="preserve"> Motif FM 25</w:t>
      </w:r>
      <w:r w:rsidR="00DB5E40">
        <w:t>, B</w:t>
      </w:r>
      <w:r w:rsidR="00D726B2" w:rsidRPr="003566A9">
        <w:t xml:space="preserve">ivalve shell </w:t>
      </w:r>
      <w:r>
        <w:t>(after</w:t>
      </w:r>
      <w:r w:rsidR="00D726B2" w:rsidRPr="003566A9">
        <w:t xml:space="preserve"> Furumark 1972: Fig. 53.25)</w:t>
      </w:r>
      <w:bookmarkEnd w:id="956"/>
    </w:p>
    <w:p w14:paraId="3C166AEE" w14:textId="77777777" w:rsidR="00D726B2" w:rsidRPr="003566A9" w:rsidRDefault="00D726B2" w:rsidP="00E858EF">
      <w:pPr>
        <w:suppressAutoHyphens/>
      </w:pPr>
    </w:p>
    <w:p w14:paraId="4310F152" w14:textId="77777777" w:rsidR="00D726B2" w:rsidRPr="003566A9" w:rsidRDefault="00D726B2" w:rsidP="00E858EF">
      <w:pPr>
        <w:suppressAutoHyphens/>
      </w:pPr>
      <w:bookmarkStart w:id="957" w:name="_Toc519894897"/>
      <w:r w:rsidRPr="003566A9">
        <w:rPr>
          <w:noProof/>
          <w:lang w:val="it-IT"/>
        </w:rPr>
        <w:drawing>
          <wp:inline distT="0" distB="0" distL="0" distR="0" wp14:anchorId="02F57060" wp14:editId="1CE4D5B7">
            <wp:extent cx="701040" cy="609600"/>
            <wp:effectExtent l="0" t="0" r="10160" b="0"/>
            <wp:docPr id="139"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6">
                      <a:extLst>
                        <a:ext uri="{BEBA8EAE-BF5A-486C-A8C5-ECC9F3942E4B}">
                          <a14:imgProps xmlns:a14="http://schemas.microsoft.com/office/drawing/2010/main">
                            <a14:imgLayer r:embed="rId17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01040" cy="609600"/>
                    </a:xfrm>
                    <a:prstGeom prst="rect">
                      <a:avLst/>
                    </a:prstGeom>
                    <a:noFill/>
                    <a:ln>
                      <a:noFill/>
                    </a:ln>
                  </pic:spPr>
                </pic:pic>
              </a:graphicData>
            </a:graphic>
          </wp:inline>
        </w:drawing>
      </w:r>
      <w:bookmarkEnd w:id="957"/>
    </w:p>
    <w:p w14:paraId="7C06ADDA" w14:textId="3FC77D96" w:rsidR="00D726B2" w:rsidRPr="003566A9" w:rsidRDefault="00316B9E" w:rsidP="00E858EF">
      <w:pPr>
        <w:pStyle w:val="Didascalia"/>
        <w:suppressAutoHyphens/>
      </w:pPr>
      <w:bookmarkStart w:id="958" w:name="_Toc520212418"/>
      <w:r>
        <w:t>Figure</w:t>
      </w:r>
      <w:r w:rsidR="00D726B2" w:rsidRPr="003566A9">
        <w:t xml:space="preserve"> 5-25</w:t>
      </w:r>
      <w:r w:rsidR="00D74E14">
        <w:t>.</w:t>
      </w:r>
      <w:r w:rsidR="00D726B2" w:rsidRPr="003566A9">
        <w:t xml:space="preserve"> Motif FM 26</w:t>
      </w:r>
      <w:r w:rsidR="00DB5E40">
        <w:t>, S</w:t>
      </w:r>
      <w:r w:rsidR="00D726B2" w:rsidRPr="003566A9">
        <w:t xml:space="preserve">tarfish </w:t>
      </w:r>
      <w:r>
        <w:t>(after</w:t>
      </w:r>
      <w:r w:rsidR="00D726B2" w:rsidRPr="003566A9">
        <w:t xml:space="preserve"> Furumark 1972: Fig. 53.26)</w:t>
      </w:r>
      <w:bookmarkEnd w:id="958"/>
    </w:p>
    <w:p w14:paraId="274886F2" w14:textId="77777777" w:rsidR="00D726B2" w:rsidRPr="003566A9" w:rsidRDefault="00D726B2" w:rsidP="00E858EF">
      <w:pPr>
        <w:suppressAutoHyphens/>
      </w:pPr>
    </w:p>
    <w:p w14:paraId="246DCA68" w14:textId="77777777" w:rsidR="00D726B2" w:rsidRPr="003566A9" w:rsidRDefault="00D726B2" w:rsidP="00E858EF">
      <w:pPr>
        <w:suppressAutoHyphens/>
      </w:pPr>
      <w:bookmarkStart w:id="959" w:name="_Toc519894899"/>
      <w:r w:rsidRPr="003566A9">
        <w:rPr>
          <w:noProof/>
          <w:lang w:val="it-IT"/>
        </w:rPr>
        <w:drawing>
          <wp:inline distT="0" distB="0" distL="0" distR="0" wp14:anchorId="11E781DC" wp14:editId="796D9E20">
            <wp:extent cx="629920" cy="436880"/>
            <wp:effectExtent l="0" t="0" r="5080" b="0"/>
            <wp:docPr id="140"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78">
                      <a:extLst>
                        <a:ext uri="{BEBA8EAE-BF5A-486C-A8C5-ECC9F3942E4B}">
                          <a14:imgProps xmlns:a14="http://schemas.microsoft.com/office/drawing/2010/main">
                            <a14:imgLayer r:embed="rId179">
                              <a14:imgEffect>
                                <a14:brightnessContrast contrast="40000"/>
                              </a14:imgEffect>
                            </a14:imgLayer>
                          </a14:imgProps>
                        </a:ext>
                        <a:ext uri="{28A0092B-C50C-407E-A947-70E740481C1C}">
                          <a14:useLocalDpi xmlns:a14="http://schemas.microsoft.com/office/drawing/2010/main" val="0"/>
                        </a:ext>
                      </a:extLst>
                    </a:blip>
                    <a:srcRect l="-1" r="3125" b="10417"/>
                    <a:stretch/>
                  </pic:blipFill>
                  <pic:spPr bwMode="auto">
                    <a:xfrm>
                      <a:off x="0" y="0"/>
                      <a:ext cx="629920" cy="436880"/>
                    </a:xfrm>
                    <a:prstGeom prst="rect">
                      <a:avLst/>
                    </a:prstGeom>
                    <a:noFill/>
                    <a:ln>
                      <a:noFill/>
                    </a:ln>
                    <a:extLst>
                      <a:ext uri="{53640926-AAD7-44d8-BBD7-CCE9431645EC}">
                        <a14:shadowObscured xmlns:a14="http://schemas.microsoft.com/office/drawing/2010/main"/>
                      </a:ext>
                    </a:extLst>
                  </pic:spPr>
                </pic:pic>
              </a:graphicData>
            </a:graphic>
          </wp:inline>
        </w:drawing>
      </w:r>
      <w:bookmarkEnd w:id="959"/>
    </w:p>
    <w:p w14:paraId="22FABF1D" w14:textId="6329B683" w:rsidR="00D726B2" w:rsidRPr="003566A9" w:rsidRDefault="00316B9E" w:rsidP="00E858EF">
      <w:pPr>
        <w:pStyle w:val="Didascalia"/>
        <w:suppressAutoHyphens/>
      </w:pPr>
      <w:bookmarkStart w:id="960" w:name="_Toc520212419"/>
      <w:r>
        <w:t>Figure</w:t>
      </w:r>
      <w:r w:rsidR="00D726B2" w:rsidRPr="003566A9">
        <w:t xml:space="preserve"> 5-26</w:t>
      </w:r>
      <w:r w:rsidR="00D74E14">
        <w:t>.</w:t>
      </w:r>
      <w:r w:rsidR="00D726B2" w:rsidRPr="003566A9">
        <w:t xml:space="preserve"> Motif FM 27</w:t>
      </w:r>
      <w:r w:rsidR="00DB5E40">
        <w:t>, S</w:t>
      </w:r>
      <w:r w:rsidR="00D726B2" w:rsidRPr="003566A9">
        <w:t xml:space="preserve">ea anemone </w:t>
      </w:r>
      <w:r>
        <w:t>(after</w:t>
      </w:r>
      <w:r w:rsidR="00D726B2" w:rsidRPr="003566A9">
        <w:t xml:space="preserve"> Furumark 1972: Fig. 53.27)</w:t>
      </w:r>
      <w:bookmarkEnd w:id="960"/>
    </w:p>
    <w:p w14:paraId="08829261" w14:textId="77777777" w:rsidR="00D726B2" w:rsidRPr="003566A9" w:rsidRDefault="00D726B2" w:rsidP="00E858EF">
      <w:pPr>
        <w:suppressAutoHyphens/>
      </w:pPr>
      <w:bookmarkStart w:id="961" w:name="_Toc519894901"/>
      <w:r w:rsidRPr="003566A9">
        <w:rPr>
          <w:noProof/>
          <w:lang w:val="it-IT"/>
        </w:rPr>
        <w:drawing>
          <wp:inline distT="0" distB="0" distL="0" distR="0" wp14:anchorId="7D581D38" wp14:editId="3865E741">
            <wp:extent cx="894080" cy="579120"/>
            <wp:effectExtent l="0" t="0" r="0" b="5080"/>
            <wp:docPr id="141"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80">
                      <a:extLst>
                        <a:ext uri="{BEBA8EAE-BF5A-486C-A8C5-ECC9F3942E4B}">
                          <a14:imgProps xmlns:a14="http://schemas.microsoft.com/office/drawing/2010/main">
                            <a14:imgLayer r:embed="rId181">
                              <a14:imgEffect>
                                <a14:brightnessContrast contrast="40000"/>
                              </a14:imgEffect>
                            </a14:imgLayer>
                          </a14:imgProps>
                        </a:ext>
                        <a:ext uri="{28A0092B-C50C-407E-A947-70E740481C1C}">
                          <a14:useLocalDpi xmlns:a14="http://schemas.microsoft.com/office/drawing/2010/main" val="0"/>
                        </a:ext>
                      </a:extLst>
                    </a:blip>
                    <a:srcRect b="5000"/>
                    <a:stretch/>
                  </pic:blipFill>
                  <pic:spPr bwMode="auto">
                    <a:xfrm>
                      <a:off x="0" y="0"/>
                      <a:ext cx="894080" cy="579120"/>
                    </a:xfrm>
                    <a:prstGeom prst="rect">
                      <a:avLst/>
                    </a:prstGeom>
                    <a:noFill/>
                    <a:ln>
                      <a:noFill/>
                    </a:ln>
                    <a:extLst>
                      <a:ext uri="{53640926-AAD7-44d8-BBD7-CCE9431645EC}">
                        <a14:shadowObscured xmlns:a14="http://schemas.microsoft.com/office/drawing/2010/main"/>
                      </a:ext>
                    </a:extLst>
                  </pic:spPr>
                </pic:pic>
              </a:graphicData>
            </a:graphic>
          </wp:inline>
        </w:drawing>
      </w:r>
      <w:bookmarkEnd w:id="961"/>
    </w:p>
    <w:p w14:paraId="14365AB9" w14:textId="524BA352" w:rsidR="00D726B2" w:rsidRPr="003566A9" w:rsidRDefault="00316B9E" w:rsidP="00E858EF">
      <w:pPr>
        <w:pStyle w:val="Didascalia"/>
        <w:suppressAutoHyphens/>
      </w:pPr>
      <w:bookmarkStart w:id="962" w:name="_Toc520212420"/>
      <w:r>
        <w:t>Figure</w:t>
      </w:r>
      <w:r w:rsidR="00D726B2" w:rsidRPr="003566A9">
        <w:t xml:space="preserve"> 5-27</w:t>
      </w:r>
      <w:r w:rsidR="00D74E14">
        <w:t>.</w:t>
      </w:r>
      <w:r w:rsidR="00D726B2" w:rsidRPr="003566A9">
        <w:t xml:space="preserve"> Motif FM 29</w:t>
      </w:r>
      <w:r w:rsidR="00DB5E40">
        <w:t>, T</w:t>
      </w:r>
      <w:r w:rsidR="00D726B2" w:rsidRPr="003566A9">
        <w:t xml:space="preserve">refoil rock-work </w:t>
      </w:r>
      <w:r>
        <w:t>(after</w:t>
      </w:r>
      <w:r w:rsidR="00D726B2" w:rsidRPr="003566A9">
        <w:t xml:space="preserve"> Furumark 1972: Fig. 53.29)</w:t>
      </w:r>
      <w:bookmarkEnd w:id="962"/>
    </w:p>
    <w:p w14:paraId="044329A0" w14:textId="77777777" w:rsidR="00D726B2" w:rsidRPr="003566A9" w:rsidRDefault="00D726B2" w:rsidP="00E858EF">
      <w:pPr>
        <w:suppressAutoHyphens/>
      </w:pPr>
    </w:p>
    <w:p w14:paraId="1FA09E5E" w14:textId="77777777" w:rsidR="00D726B2" w:rsidRPr="003566A9" w:rsidRDefault="00D726B2" w:rsidP="00E858EF">
      <w:pPr>
        <w:suppressAutoHyphens/>
      </w:pPr>
      <w:bookmarkStart w:id="963" w:name="_Toc519894903"/>
      <w:r w:rsidRPr="003566A9">
        <w:rPr>
          <w:noProof/>
          <w:lang w:val="it-IT"/>
        </w:rPr>
        <w:drawing>
          <wp:inline distT="0" distB="0" distL="0" distR="0" wp14:anchorId="38657078" wp14:editId="26988CDA">
            <wp:extent cx="1625600" cy="274320"/>
            <wp:effectExtent l="0" t="0" r="0" b="5080"/>
            <wp:docPr id="142"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82">
                      <a:extLst>
                        <a:ext uri="{BEBA8EAE-BF5A-486C-A8C5-ECC9F3942E4B}">
                          <a14:imgProps xmlns:a14="http://schemas.microsoft.com/office/drawing/2010/main">
                            <a14:imgLayer r:embed="rId183">
                              <a14:imgEffect>
                                <a14:brightnessContrast contrast="40000"/>
                              </a14:imgEffect>
                            </a14:imgLayer>
                          </a14:imgProps>
                        </a:ext>
                        <a:ext uri="{28A0092B-C50C-407E-A947-70E740481C1C}">
                          <a14:useLocalDpi xmlns:a14="http://schemas.microsoft.com/office/drawing/2010/main" val="0"/>
                        </a:ext>
                      </a:extLst>
                    </a:blip>
                    <a:srcRect l="588" t="18920" r="5294" b="8107"/>
                    <a:stretch/>
                  </pic:blipFill>
                  <pic:spPr bwMode="auto">
                    <a:xfrm>
                      <a:off x="0" y="0"/>
                      <a:ext cx="1625600" cy="274320"/>
                    </a:xfrm>
                    <a:prstGeom prst="rect">
                      <a:avLst/>
                    </a:prstGeom>
                    <a:noFill/>
                    <a:ln>
                      <a:noFill/>
                    </a:ln>
                    <a:extLst>
                      <a:ext uri="{53640926-AAD7-44d8-BBD7-CCE9431645EC}">
                        <a14:shadowObscured xmlns:a14="http://schemas.microsoft.com/office/drawing/2010/main"/>
                      </a:ext>
                    </a:extLst>
                  </pic:spPr>
                </pic:pic>
              </a:graphicData>
            </a:graphic>
          </wp:inline>
        </w:drawing>
      </w:r>
      <w:bookmarkEnd w:id="963"/>
    </w:p>
    <w:p w14:paraId="6FE83B4F" w14:textId="3AC55190" w:rsidR="00D726B2" w:rsidRPr="003566A9" w:rsidRDefault="00316B9E" w:rsidP="00E858EF">
      <w:pPr>
        <w:pStyle w:val="Didascalia"/>
        <w:suppressAutoHyphens/>
      </w:pPr>
      <w:bookmarkStart w:id="964" w:name="_Toc520212421"/>
      <w:r>
        <w:t>Figure</w:t>
      </w:r>
      <w:r w:rsidR="00D726B2" w:rsidRPr="003566A9">
        <w:t xml:space="preserve"> 5-28</w:t>
      </w:r>
      <w:r w:rsidR="00D74E14">
        <w:t>.</w:t>
      </w:r>
      <w:r w:rsidR="00D726B2" w:rsidRPr="003566A9">
        <w:t xml:space="preserve"> Motif FM 32</w:t>
      </w:r>
      <w:r w:rsidR="00DB5E40">
        <w:t>, R</w:t>
      </w:r>
      <w:r w:rsidR="00D726B2" w:rsidRPr="003566A9">
        <w:t xml:space="preserve">ock-pattern I </w:t>
      </w:r>
      <w:r>
        <w:t>(after</w:t>
      </w:r>
      <w:r w:rsidR="00D726B2" w:rsidRPr="003566A9">
        <w:t xml:space="preserve"> Furumark 1972: Fig. 54.32)</w:t>
      </w:r>
      <w:bookmarkEnd w:id="964"/>
    </w:p>
    <w:p w14:paraId="3B384A9F" w14:textId="77777777" w:rsidR="00D726B2" w:rsidRPr="003566A9" w:rsidRDefault="00D726B2" w:rsidP="00E858EF">
      <w:pPr>
        <w:suppressAutoHyphens/>
      </w:pPr>
    </w:p>
    <w:p w14:paraId="79939897" w14:textId="77777777" w:rsidR="00D726B2" w:rsidRPr="003566A9" w:rsidRDefault="00D726B2" w:rsidP="00E858EF">
      <w:pPr>
        <w:suppressAutoHyphens/>
      </w:pPr>
      <w:r w:rsidRPr="003566A9">
        <w:rPr>
          <w:noProof/>
          <w:lang w:val="it-IT"/>
        </w:rPr>
        <w:drawing>
          <wp:inline distT="0" distB="0" distL="0" distR="0" wp14:anchorId="45605831" wp14:editId="1C243734">
            <wp:extent cx="1270000" cy="711200"/>
            <wp:effectExtent l="0" t="0" r="0" b="0"/>
            <wp:docPr id="143"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84">
                      <a:extLst>
                        <a:ext uri="{BEBA8EAE-BF5A-486C-A8C5-ECC9F3942E4B}">
                          <a14:imgProps xmlns:a14="http://schemas.microsoft.com/office/drawing/2010/main">
                            <a14:imgLayer r:embed="rId185">
                              <a14:imgEffect>
                                <a14:brightnessContrast contrast="40000"/>
                              </a14:imgEffect>
                            </a14:imgLayer>
                          </a14:imgProps>
                        </a:ext>
                        <a:ext uri="{28A0092B-C50C-407E-A947-70E740481C1C}">
                          <a14:useLocalDpi xmlns:a14="http://schemas.microsoft.com/office/drawing/2010/main" val="0"/>
                        </a:ext>
                      </a:extLst>
                    </a:blip>
                    <a:srcRect b="4110"/>
                    <a:stretch/>
                  </pic:blipFill>
                  <pic:spPr bwMode="auto">
                    <a:xfrm>
                      <a:off x="0" y="0"/>
                      <a:ext cx="1270000" cy="711200"/>
                    </a:xfrm>
                    <a:prstGeom prst="rect">
                      <a:avLst/>
                    </a:prstGeom>
                    <a:noFill/>
                    <a:ln>
                      <a:noFill/>
                    </a:ln>
                    <a:extLst>
                      <a:ext uri="{53640926-AAD7-44d8-BBD7-CCE9431645EC}">
                        <a14:shadowObscured xmlns:a14="http://schemas.microsoft.com/office/drawing/2010/main"/>
                      </a:ext>
                    </a:extLst>
                  </pic:spPr>
                </pic:pic>
              </a:graphicData>
            </a:graphic>
          </wp:inline>
        </w:drawing>
      </w:r>
    </w:p>
    <w:p w14:paraId="2E51C919" w14:textId="3ED6D3CF" w:rsidR="00D726B2" w:rsidRPr="003566A9" w:rsidRDefault="00316B9E" w:rsidP="00E858EF">
      <w:pPr>
        <w:pStyle w:val="Didascalia"/>
        <w:suppressAutoHyphens/>
      </w:pPr>
      <w:bookmarkStart w:id="965" w:name="_Toc520212422"/>
      <w:r>
        <w:t>Figure</w:t>
      </w:r>
      <w:r w:rsidR="00D726B2" w:rsidRPr="003566A9">
        <w:t xml:space="preserve"> 5-29</w:t>
      </w:r>
      <w:r w:rsidR="00D74E14">
        <w:t>.</w:t>
      </w:r>
      <w:r w:rsidR="00D726B2" w:rsidRPr="003566A9">
        <w:t xml:space="preserve"> Motif FM 33</w:t>
      </w:r>
      <w:r w:rsidR="00DB5E40">
        <w:t>, R</w:t>
      </w:r>
      <w:r w:rsidR="00D726B2" w:rsidRPr="003566A9">
        <w:t xml:space="preserve">ock-pattern II </w:t>
      </w:r>
      <w:r>
        <w:t>(after</w:t>
      </w:r>
      <w:r w:rsidR="00D726B2" w:rsidRPr="003566A9">
        <w:t xml:space="preserve"> Furumark 1972: Fig. 55.33)</w:t>
      </w:r>
      <w:bookmarkEnd w:id="965"/>
    </w:p>
    <w:p w14:paraId="129CA1D2" w14:textId="77777777" w:rsidR="00D726B2" w:rsidRPr="003566A9" w:rsidRDefault="00D726B2" w:rsidP="00E858EF">
      <w:pPr>
        <w:suppressAutoHyphens/>
      </w:pPr>
    </w:p>
    <w:p w14:paraId="1DF8B1AF" w14:textId="77777777" w:rsidR="00D726B2" w:rsidRPr="003566A9" w:rsidRDefault="00D726B2" w:rsidP="00E858EF">
      <w:pPr>
        <w:suppressAutoHyphens/>
      </w:pPr>
      <w:bookmarkStart w:id="966" w:name="_Toc519894906"/>
      <w:r w:rsidRPr="003566A9">
        <w:rPr>
          <w:noProof/>
          <w:lang w:val="it-IT"/>
        </w:rPr>
        <w:drawing>
          <wp:inline distT="0" distB="0" distL="0" distR="0" wp14:anchorId="346692D8" wp14:editId="5E1C30D9">
            <wp:extent cx="873760" cy="1137920"/>
            <wp:effectExtent l="0" t="0" r="0" b="5080"/>
            <wp:docPr id="144"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86">
                      <a:extLst>
                        <a:ext uri="{BEBA8EAE-BF5A-486C-A8C5-ECC9F3942E4B}">
                          <a14:imgProps xmlns:a14="http://schemas.microsoft.com/office/drawing/2010/main">
                            <a14:imgLayer r:embed="rId187">
                              <a14:imgEffect>
                                <a14:brightnessContrast contrast="40000"/>
                              </a14:imgEffect>
                            </a14:imgLayer>
                          </a14:imgProps>
                        </a:ext>
                        <a:ext uri="{28A0092B-C50C-407E-A947-70E740481C1C}">
                          <a14:useLocalDpi xmlns:a14="http://schemas.microsoft.com/office/drawing/2010/main" val="0"/>
                        </a:ext>
                      </a:extLst>
                    </a:blip>
                    <a:srcRect l="10416" t="1" b="885"/>
                    <a:stretch/>
                  </pic:blipFill>
                  <pic:spPr bwMode="auto">
                    <a:xfrm>
                      <a:off x="0" y="0"/>
                      <a:ext cx="873760" cy="1137920"/>
                    </a:xfrm>
                    <a:prstGeom prst="rect">
                      <a:avLst/>
                    </a:prstGeom>
                    <a:noFill/>
                    <a:ln>
                      <a:noFill/>
                    </a:ln>
                    <a:extLst>
                      <a:ext uri="{53640926-AAD7-44d8-BBD7-CCE9431645EC}">
                        <a14:shadowObscured xmlns:a14="http://schemas.microsoft.com/office/drawing/2010/main"/>
                      </a:ext>
                    </a:extLst>
                  </pic:spPr>
                </pic:pic>
              </a:graphicData>
            </a:graphic>
          </wp:inline>
        </w:drawing>
      </w:r>
      <w:bookmarkEnd w:id="966"/>
    </w:p>
    <w:p w14:paraId="68C5497C" w14:textId="52888583" w:rsidR="00D726B2" w:rsidRPr="003566A9" w:rsidRDefault="00316B9E" w:rsidP="00E858EF">
      <w:pPr>
        <w:pStyle w:val="Didascalia"/>
        <w:suppressAutoHyphens/>
      </w:pPr>
      <w:bookmarkStart w:id="967" w:name="_Toc520212423"/>
      <w:r>
        <w:t>Figure</w:t>
      </w:r>
      <w:r w:rsidR="00D726B2" w:rsidRPr="003566A9">
        <w:t xml:space="preserve"> 5-30</w:t>
      </w:r>
      <w:r w:rsidR="00D74E14">
        <w:t>.</w:t>
      </w:r>
      <w:r w:rsidR="00D726B2" w:rsidRPr="003566A9">
        <w:t xml:space="preserve"> Motif FM 35</w:t>
      </w:r>
      <w:r w:rsidR="00DB5E40">
        <w:t>, D</w:t>
      </w:r>
      <w:r w:rsidR="00D726B2" w:rsidRPr="003566A9">
        <w:t xml:space="preserve">ouble axe </w:t>
      </w:r>
      <w:r>
        <w:t>(after</w:t>
      </w:r>
      <w:r w:rsidR="00D726B2" w:rsidRPr="003566A9">
        <w:t xml:space="preserve"> Furumark 1972: Fig. 55.35)</w:t>
      </w:r>
      <w:bookmarkEnd w:id="967"/>
    </w:p>
    <w:p w14:paraId="73A0FBC0" w14:textId="77777777" w:rsidR="00D726B2" w:rsidRPr="003566A9" w:rsidRDefault="00D726B2" w:rsidP="00E858EF">
      <w:pPr>
        <w:suppressAutoHyphens/>
      </w:pPr>
    </w:p>
    <w:p w14:paraId="01E6EF90" w14:textId="77777777" w:rsidR="00D726B2" w:rsidRPr="003566A9" w:rsidRDefault="00D726B2" w:rsidP="00E858EF">
      <w:pPr>
        <w:suppressAutoHyphens/>
      </w:pPr>
      <w:bookmarkStart w:id="968" w:name="_Toc519894908"/>
      <w:r w:rsidRPr="003566A9">
        <w:rPr>
          <w:noProof/>
          <w:lang w:val="it-IT"/>
        </w:rPr>
        <w:drawing>
          <wp:inline distT="0" distB="0" distL="0" distR="0" wp14:anchorId="7A8AE080" wp14:editId="3CD38F61">
            <wp:extent cx="944880" cy="792480"/>
            <wp:effectExtent l="0" t="0" r="0" b="0"/>
            <wp:docPr id="145"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8">
                      <a:extLst>
                        <a:ext uri="{BEBA8EAE-BF5A-486C-A8C5-ECC9F3942E4B}">
                          <a14:imgProps xmlns:a14="http://schemas.microsoft.com/office/drawing/2010/main">
                            <a14:imgLayer r:embed="rId18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44880" cy="792480"/>
                    </a:xfrm>
                    <a:prstGeom prst="rect">
                      <a:avLst/>
                    </a:prstGeom>
                    <a:noFill/>
                    <a:ln>
                      <a:noFill/>
                    </a:ln>
                  </pic:spPr>
                </pic:pic>
              </a:graphicData>
            </a:graphic>
          </wp:inline>
        </w:drawing>
      </w:r>
      <w:bookmarkEnd w:id="968"/>
    </w:p>
    <w:p w14:paraId="13810FB4" w14:textId="5A76E035" w:rsidR="00D726B2" w:rsidRPr="003566A9" w:rsidRDefault="00316B9E" w:rsidP="00E858EF">
      <w:pPr>
        <w:pStyle w:val="Didascalia"/>
        <w:suppressAutoHyphens/>
      </w:pPr>
      <w:bookmarkStart w:id="969" w:name="_Toc520212424"/>
      <w:r>
        <w:t>Figure</w:t>
      </w:r>
      <w:r w:rsidR="00D726B2" w:rsidRPr="003566A9">
        <w:t xml:space="preserve"> 5-31</w:t>
      </w:r>
      <w:r w:rsidR="00D74E14">
        <w:t>.</w:t>
      </w:r>
      <w:r w:rsidR="00D726B2" w:rsidRPr="003566A9">
        <w:t xml:space="preserve"> Motif FM 36</w:t>
      </w:r>
      <w:r w:rsidR="00DB5E40">
        <w:t>, H</w:t>
      </w:r>
      <w:r w:rsidR="00D726B2" w:rsidRPr="003566A9">
        <w:t xml:space="preserve">orns of consecration </w:t>
      </w:r>
      <w:r w:rsidR="009E582B">
        <w:t>(</w:t>
      </w:r>
      <w:r>
        <w:t>after</w:t>
      </w:r>
      <w:r w:rsidR="00D726B2" w:rsidRPr="003566A9">
        <w:t xml:space="preserve"> Furumark 1972: Fig. 56.36)</w:t>
      </w:r>
      <w:bookmarkEnd w:id="969"/>
    </w:p>
    <w:p w14:paraId="59441C32" w14:textId="77777777" w:rsidR="00D726B2" w:rsidRPr="003566A9" w:rsidRDefault="00D726B2" w:rsidP="00E858EF">
      <w:pPr>
        <w:suppressAutoHyphens/>
      </w:pPr>
    </w:p>
    <w:p w14:paraId="24FA96AA" w14:textId="77777777" w:rsidR="00D726B2" w:rsidRPr="003566A9" w:rsidRDefault="00D726B2" w:rsidP="00E858EF">
      <w:pPr>
        <w:suppressAutoHyphens/>
      </w:pPr>
      <w:bookmarkStart w:id="970" w:name="_Toc519894910"/>
      <w:r w:rsidRPr="003566A9">
        <w:rPr>
          <w:noProof/>
          <w:lang w:val="it-IT"/>
        </w:rPr>
        <w:drawing>
          <wp:inline distT="0" distB="0" distL="0" distR="0" wp14:anchorId="1B303FE7" wp14:editId="25103538">
            <wp:extent cx="812800" cy="822960"/>
            <wp:effectExtent l="0" t="0" r="0" b="0"/>
            <wp:docPr id="146"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0">
                      <a:extLst>
                        <a:ext uri="{BEBA8EAE-BF5A-486C-A8C5-ECC9F3942E4B}">
                          <a14:imgProps xmlns:a14="http://schemas.microsoft.com/office/drawing/2010/main">
                            <a14:imgLayer r:embed="rId19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812800" cy="822960"/>
                    </a:xfrm>
                    <a:prstGeom prst="rect">
                      <a:avLst/>
                    </a:prstGeom>
                    <a:noFill/>
                    <a:ln>
                      <a:noFill/>
                    </a:ln>
                  </pic:spPr>
                </pic:pic>
              </a:graphicData>
            </a:graphic>
          </wp:inline>
        </w:drawing>
      </w:r>
      <w:bookmarkEnd w:id="970"/>
    </w:p>
    <w:p w14:paraId="3C72ABD5" w14:textId="1D84477E" w:rsidR="00D726B2" w:rsidRPr="003566A9" w:rsidRDefault="00316B9E" w:rsidP="00E858EF">
      <w:pPr>
        <w:pStyle w:val="Didascalia"/>
        <w:suppressAutoHyphens/>
      </w:pPr>
      <w:bookmarkStart w:id="971" w:name="_Toc520212425"/>
      <w:r>
        <w:t>Figure</w:t>
      </w:r>
      <w:r w:rsidR="00D726B2" w:rsidRPr="003566A9">
        <w:t xml:space="preserve"> 5-32</w:t>
      </w:r>
      <w:r w:rsidR="00D74E14">
        <w:t>.</w:t>
      </w:r>
      <w:r w:rsidR="00D726B2" w:rsidRPr="003566A9">
        <w:t xml:space="preserve"> Motif FM 37</w:t>
      </w:r>
      <w:r w:rsidR="00DB5E40">
        <w:t>, S</w:t>
      </w:r>
      <w:r w:rsidR="00D726B2" w:rsidRPr="003566A9">
        <w:t xml:space="preserve">hield </w:t>
      </w:r>
      <w:r>
        <w:t>(after</w:t>
      </w:r>
      <w:r w:rsidR="00D726B2" w:rsidRPr="003566A9">
        <w:t xml:space="preserve"> Furumark 1972: Fig. 56.37)</w:t>
      </w:r>
      <w:bookmarkEnd w:id="971"/>
    </w:p>
    <w:p w14:paraId="1636ED70" w14:textId="77777777" w:rsidR="00D726B2" w:rsidRPr="003566A9" w:rsidRDefault="00D726B2" w:rsidP="00E858EF">
      <w:pPr>
        <w:suppressAutoHyphens/>
      </w:pPr>
      <w:bookmarkStart w:id="972" w:name="_Toc519894912"/>
      <w:r w:rsidRPr="003566A9">
        <w:rPr>
          <w:noProof/>
          <w:lang w:val="it-IT"/>
        </w:rPr>
        <w:drawing>
          <wp:inline distT="0" distB="0" distL="0" distR="0" wp14:anchorId="79D676F0" wp14:editId="339DCDF9">
            <wp:extent cx="1524000" cy="1270000"/>
            <wp:effectExtent l="0" t="0" r="0" b="0"/>
            <wp:docPr id="147"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2">
                      <a:extLst>
                        <a:ext uri="{BEBA8EAE-BF5A-486C-A8C5-ECC9F3942E4B}">
                          <a14:imgProps xmlns:a14="http://schemas.microsoft.com/office/drawing/2010/main">
                            <a14:imgLayer r:embed="rId19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24000" cy="1270000"/>
                    </a:xfrm>
                    <a:prstGeom prst="rect">
                      <a:avLst/>
                    </a:prstGeom>
                    <a:noFill/>
                    <a:ln>
                      <a:noFill/>
                    </a:ln>
                  </pic:spPr>
                </pic:pic>
              </a:graphicData>
            </a:graphic>
          </wp:inline>
        </w:drawing>
      </w:r>
      <w:bookmarkEnd w:id="972"/>
    </w:p>
    <w:p w14:paraId="543F9A1C" w14:textId="76B77860" w:rsidR="00D726B2" w:rsidRPr="003566A9" w:rsidRDefault="00316B9E" w:rsidP="00E858EF">
      <w:pPr>
        <w:pStyle w:val="Didascalia"/>
        <w:suppressAutoHyphens/>
      </w:pPr>
      <w:bookmarkStart w:id="973" w:name="_Toc520212426"/>
      <w:r>
        <w:t>Figure</w:t>
      </w:r>
      <w:r w:rsidR="00D726B2" w:rsidRPr="003566A9">
        <w:t xml:space="preserve"> 5-33</w:t>
      </w:r>
      <w:r w:rsidR="00D74E14">
        <w:t>.</w:t>
      </w:r>
      <w:r w:rsidR="00D726B2" w:rsidRPr="003566A9">
        <w:t xml:space="preserve"> Motif FM 39</w:t>
      </w:r>
      <w:r w:rsidR="00DB5E40">
        <w:t>, C</w:t>
      </w:r>
      <w:r w:rsidR="00D726B2" w:rsidRPr="003566A9">
        <w:t xml:space="preserve">hariot </w:t>
      </w:r>
      <w:r>
        <w:t>(after</w:t>
      </w:r>
      <w:r w:rsidR="00D726B2" w:rsidRPr="003566A9">
        <w:t xml:space="preserve"> Furumark 1972: Fig. 56.39)</w:t>
      </w:r>
      <w:bookmarkEnd w:id="973"/>
    </w:p>
    <w:p w14:paraId="2707F565" w14:textId="77777777" w:rsidR="00D726B2" w:rsidRPr="003566A9" w:rsidRDefault="00D726B2" w:rsidP="00E858EF">
      <w:pPr>
        <w:suppressAutoHyphens/>
      </w:pPr>
    </w:p>
    <w:p w14:paraId="775DF9A2" w14:textId="77777777" w:rsidR="00D726B2" w:rsidRPr="003566A9" w:rsidRDefault="00D726B2" w:rsidP="00E858EF">
      <w:pPr>
        <w:suppressAutoHyphens/>
      </w:pPr>
      <w:bookmarkStart w:id="974" w:name="_Toc519894914"/>
      <w:r w:rsidRPr="003566A9">
        <w:rPr>
          <w:noProof/>
          <w:lang w:val="it-IT"/>
        </w:rPr>
        <w:drawing>
          <wp:inline distT="0" distB="0" distL="0" distR="0" wp14:anchorId="47F39BCE" wp14:editId="67ACF936">
            <wp:extent cx="2021840" cy="1117600"/>
            <wp:effectExtent l="0" t="0" r="10160" b="0"/>
            <wp:docPr id="148"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4">
                      <a:extLst>
                        <a:ext uri="{BEBA8EAE-BF5A-486C-A8C5-ECC9F3942E4B}">
                          <a14:imgProps xmlns:a14="http://schemas.microsoft.com/office/drawing/2010/main">
                            <a14:imgLayer r:embed="rId19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21840" cy="1117600"/>
                    </a:xfrm>
                    <a:prstGeom prst="rect">
                      <a:avLst/>
                    </a:prstGeom>
                    <a:noFill/>
                    <a:ln>
                      <a:noFill/>
                    </a:ln>
                  </pic:spPr>
                </pic:pic>
              </a:graphicData>
            </a:graphic>
          </wp:inline>
        </w:drawing>
      </w:r>
      <w:bookmarkEnd w:id="974"/>
    </w:p>
    <w:p w14:paraId="6B3EA2CD" w14:textId="521567A2" w:rsidR="00D726B2" w:rsidRPr="003566A9" w:rsidRDefault="00316B9E" w:rsidP="00E858EF">
      <w:pPr>
        <w:pStyle w:val="Didascalia"/>
        <w:suppressAutoHyphens/>
      </w:pPr>
      <w:bookmarkStart w:id="975" w:name="_Toc520212427"/>
      <w:r>
        <w:t>Figure</w:t>
      </w:r>
      <w:r w:rsidR="00D726B2" w:rsidRPr="003566A9">
        <w:t xml:space="preserve"> 5-34</w:t>
      </w:r>
      <w:r w:rsidR="00D74E14">
        <w:t>.</w:t>
      </w:r>
      <w:r w:rsidR="00D726B2" w:rsidRPr="003566A9">
        <w:t xml:space="preserve"> Motif FM 40</w:t>
      </w:r>
      <w:r w:rsidR="00DB5E40">
        <w:t>, S</w:t>
      </w:r>
      <w:r w:rsidR="00D726B2" w:rsidRPr="003566A9">
        <w:t xml:space="preserve">hip </w:t>
      </w:r>
      <w:r>
        <w:t>(after</w:t>
      </w:r>
      <w:r w:rsidR="00D726B2" w:rsidRPr="003566A9">
        <w:t xml:space="preserve"> Furumark 1972: Fig. 56.40</w:t>
      </w:r>
      <w:bookmarkEnd w:id="975"/>
      <w:r w:rsidR="002F65B0">
        <w:t>)</w:t>
      </w:r>
    </w:p>
    <w:p w14:paraId="5CF8827D" w14:textId="77777777" w:rsidR="00D726B2" w:rsidRPr="003566A9" w:rsidRDefault="00D726B2" w:rsidP="00E858EF">
      <w:pPr>
        <w:suppressAutoHyphens/>
      </w:pPr>
    </w:p>
    <w:p w14:paraId="44B2E487" w14:textId="77777777" w:rsidR="00D726B2" w:rsidRPr="003566A9" w:rsidRDefault="00D726B2" w:rsidP="00E858EF">
      <w:pPr>
        <w:suppressAutoHyphens/>
      </w:pPr>
      <w:r w:rsidRPr="003566A9">
        <w:rPr>
          <w:noProof/>
          <w:lang w:val="it-IT"/>
        </w:rPr>
        <w:drawing>
          <wp:inline distT="0" distB="0" distL="0" distR="0" wp14:anchorId="71E1827A" wp14:editId="735777CE">
            <wp:extent cx="487680" cy="436880"/>
            <wp:effectExtent l="0" t="0" r="0" b="0"/>
            <wp:docPr id="149"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6">
                      <a:extLst>
                        <a:ext uri="{BEBA8EAE-BF5A-486C-A8C5-ECC9F3942E4B}">
                          <a14:imgProps xmlns:a14="http://schemas.microsoft.com/office/drawing/2010/main">
                            <a14:imgLayer r:embed="rId19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7680" cy="436880"/>
                    </a:xfrm>
                    <a:prstGeom prst="rect">
                      <a:avLst/>
                    </a:prstGeom>
                    <a:noFill/>
                    <a:ln>
                      <a:noFill/>
                    </a:ln>
                  </pic:spPr>
                </pic:pic>
              </a:graphicData>
            </a:graphic>
          </wp:inline>
        </w:drawing>
      </w:r>
    </w:p>
    <w:p w14:paraId="1DF5F732" w14:textId="1A35A206" w:rsidR="00D726B2" w:rsidRPr="003566A9" w:rsidRDefault="00316B9E" w:rsidP="00E858EF">
      <w:pPr>
        <w:pStyle w:val="Didascalia"/>
        <w:suppressAutoHyphens/>
      </w:pPr>
      <w:bookmarkStart w:id="976" w:name="_Toc520212428"/>
      <w:r>
        <w:t>Figure</w:t>
      </w:r>
      <w:r w:rsidR="00D726B2" w:rsidRPr="003566A9">
        <w:t xml:space="preserve"> 5-35 </w:t>
      </w:r>
      <w:r w:rsidR="002F65B0">
        <w:t>.</w:t>
      </w:r>
      <w:r w:rsidR="00D726B2" w:rsidRPr="003566A9">
        <w:t>Motif FM 41</w:t>
      </w:r>
      <w:r w:rsidR="00DB5E40">
        <w:t>, C</w:t>
      </w:r>
      <w:r w:rsidR="00D726B2" w:rsidRPr="003566A9">
        <w:t xml:space="preserve">ircles </w:t>
      </w:r>
      <w:r>
        <w:t>(after</w:t>
      </w:r>
      <w:r w:rsidR="00D726B2" w:rsidRPr="003566A9">
        <w:t xml:space="preserve"> Furumark 1972: Fig. 57.41)</w:t>
      </w:r>
      <w:bookmarkEnd w:id="976"/>
    </w:p>
    <w:p w14:paraId="0018FF14" w14:textId="77777777" w:rsidR="00D726B2" w:rsidRPr="003566A9" w:rsidRDefault="00D726B2" w:rsidP="00E858EF">
      <w:pPr>
        <w:suppressAutoHyphens/>
      </w:pPr>
    </w:p>
    <w:p w14:paraId="59FE416F" w14:textId="77777777" w:rsidR="00D726B2" w:rsidRPr="003566A9" w:rsidRDefault="00D726B2" w:rsidP="00E858EF">
      <w:pPr>
        <w:suppressAutoHyphens/>
      </w:pPr>
      <w:bookmarkStart w:id="977" w:name="_Toc519894917"/>
      <w:r w:rsidRPr="003566A9">
        <w:rPr>
          <w:noProof/>
          <w:lang w:val="it-IT"/>
        </w:rPr>
        <w:drawing>
          <wp:inline distT="0" distB="0" distL="0" distR="0" wp14:anchorId="7D9C12D7" wp14:editId="678BCFCB">
            <wp:extent cx="1361440" cy="314960"/>
            <wp:effectExtent l="0" t="0" r="10160" b="0"/>
            <wp:docPr id="150"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8">
                      <a:extLst>
                        <a:ext uri="{BEBA8EAE-BF5A-486C-A8C5-ECC9F3942E4B}">
                          <a14:imgProps xmlns:a14="http://schemas.microsoft.com/office/drawing/2010/main">
                            <a14:imgLayer r:embed="rId19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61440" cy="314960"/>
                    </a:xfrm>
                    <a:prstGeom prst="rect">
                      <a:avLst/>
                    </a:prstGeom>
                    <a:noFill/>
                    <a:ln>
                      <a:noFill/>
                    </a:ln>
                  </pic:spPr>
                </pic:pic>
              </a:graphicData>
            </a:graphic>
          </wp:inline>
        </w:drawing>
      </w:r>
      <w:bookmarkEnd w:id="977"/>
    </w:p>
    <w:p w14:paraId="0A212EBF" w14:textId="16957070" w:rsidR="00D726B2" w:rsidRPr="003566A9" w:rsidRDefault="00316B9E" w:rsidP="00E858EF">
      <w:pPr>
        <w:pStyle w:val="Didascalia"/>
        <w:suppressAutoHyphens/>
      </w:pPr>
      <w:bookmarkStart w:id="978" w:name="_Toc520212429"/>
      <w:r>
        <w:t>Figure</w:t>
      </w:r>
      <w:r w:rsidR="00D726B2" w:rsidRPr="003566A9">
        <w:t xml:space="preserve"> 5-36</w:t>
      </w:r>
      <w:r w:rsidR="002F65B0">
        <w:t>.</w:t>
      </w:r>
      <w:r w:rsidR="00D726B2" w:rsidRPr="003566A9">
        <w:t xml:space="preserve"> Motif FM 42</w:t>
      </w:r>
      <w:r w:rsidR="00DB5E40">
        <w:t>, J</w:t>
      </w:r>
      <w:r w:rsidR="00D726B2" w:rsidRPr="003566A9">
        <w:t xml:space="preserve">oining semicircles </w:t>
      </w:r>
      <w:r>
        <w:t>(after</w:t>
      </w:r>
      <w:r w:rsidR="00D726B2" w:rsidRPr="003566A9">
        <w:t xml:space="preserve"> Furumark 1972: Fig. 57.42)</w:t>
      </w:r>
      <w:bookmarkEnd w:id="978"/>
    </w:p>
    <w:p w14:paraId="360B1A52" w14:textId="77777777" w:rsidR="00D726B2" w:rsidRPr="003566A9" w:rsidRDefault="00D726B2" w:rsidP="00E858EF">
      <w:pPr>
        <w:suppressAutoHyphens/>
      </w:pPr>
    </w:p>
    <w:p w14:paraId="62FD99D2" w14:textId="77777777" w:rsidR="00D726B2" w:rsidRPr="003566A9" w:rsidRDefault="00D726B2" w:rsidP="00E858EF">
      <w:pPr>
        <w:suppressAutoHyphens/>
      </w:pPr>
      <w:bookmarkStart w:id="979" w:name="_Toc519894919"/>
      <w:r w:rsidRPr="003566A9">
        <w:rPr>
          <w:noProof/>
          <w:lang w:val="it-IT"/>
        </w:rPr>
        <w:drawing>
          <wp:inline distT="0" distB="0" distL="0" distR="0" wp14:anchorId="79AF8B2A" wp14:editId="5E7AC417">
            <wp:extent cx="1981200" cy="538480"/>
            <wp:effectExtent l="0" t="0" r="0" b="0"/>
            <wp:docPr id="151"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0">
                      <a:extLst>
                        <a:ext uri="{BEBA8EAE-BF5A-486C-A8C5-ECC9F3942E4B}">
                          <a14:imgProps xmlns:a14="http://schemas.microsoft.com/office/drawing/2010/main">
                            <a14:imgLayer r:embed="rId20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81200" cy="538480"/>
                    </a:xfrm>
                    <a:prstGeom prst="rect">
                      <a:avLst/>
                    </a:prstGeom>
                    <a:noFill/>
                    <a:ln>
                      <a:noFill/>
                    </a:ln>
                  </pic:spPr>
                </pic:pic>
              </a:graphicData>
            </a:graphic>
          </wp:inline>
        </w:drawing>
      </w:r>
      <w:bookmarkEnd w:id="979"/>
    </w:p>
    <w:p w14:paraId="36030BEB" w14:textId="7E072B43" w:rsidR="00D726B2" w:rsidRPr="003566A9" w:rsidRDefault="00316B9E" w:rsidP="00E858EF">
      <w:pPr>
        <w:pStyle w:val="Didascalia"/>
        <w:suppressAutoHyphens/>
      </w:pPr>
      <w:bookmarkStart w:id="980" w:name="_Toc520212430"/>
      <w:r>
        <w:t>Figure</w:t>
      </w:r>
      <w:r w:rsidR="00D726B2" w:rsidRPr="003566A9">
        <w:t xml:space="preserve"> 5-37</w:t>
      </w:r>
      <w:r w:rsidR="002F65B0">
        <w:t>.</w:t>
      </w:r>
      <w:r w:rsidR="00D726B2" w:rsidRPr="003566A9">
        <w:t xml:space="preserve"> Motif FM 43</w:t>
      </w:r>
      <w:r w:rsidR="00DB5E40">
        <w:t>, I</w:t>
      </w:r>
      <w:r w:rsidR="00D726B2" w:rsidRPr="003566A9">
        <w:t xml:space="preserve">solated semicircles </w:t>
      </w:r>
      <w:r>
        <w:t>(after</w:t>
      </w:r>
      <w:r w:rsidR="00D726B2" w:rsidRPr="003566A9">
        <w:t xml:space="preserve"> Furumark 1972: Fig. 57.43)</w:t>
      </w:r>
      <w:bookmarkEnd w:id="980"/>
    </w:p>
    <w:p w14:paraId="2DED0F2A" w14:textId="77777777" w:rsidR="00D726B2" w:rsidRPr="003566A9" w:rsidRDefault="00D726B2" w:rsidP="00E858EF">
      <w:pPr>
        <w:suppressAutoHyphens/>
      </w:pPr>
    </w:p>
    <w:p w14:paraId="7A6B7B19" w14:textId="77777777" w:rsidR="00D726B2" w:rsidRPr="003566A9" w:rsidRDefault="00D726B2" w:rsidP="00E858EF">
      <w:pPr>
        <w:suppressAutoHyphens/>
      </w:pPr>
      <w:bookmarkStart w:id="981" w:name="_Toc519894921"/>
      <w:r w:rsidRPr="003566A9">
        <w:rPr>
          <w:noProof/>
          <w:lang w:val="it-IT"/>
        </w:rPr>
        <w:drawing>
          <wp:inline distT="0" distB="0" distL="0" distR="0" wp14:anchorId="26C18DAF" wp14:editId="6A65388E">
            <wp:extent cx="1727200" cy="599440"/>
            <wp:effectExtent l="0" t="0" r="0" b="10160"/>
            <wp:docPr id="152"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2">
                      <a:extLst>
                        <a:ext uri="{BEBA8EAE-BF5A-486C-A8C5-ECC9F3942E4B}">
                          <a14:imgProps xmlns:a14="http://schemas.microsoft.com/office/drawing/2010/main">
                            <a14:imgLayer r:embed="rId20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27200" cy="599440"/>
                    </a:xfrm>
                    <a:prstGeom prst="rect">
                      <a:avLst/>
                    </a:prstGeom>
                    <a:noFill/>
                    <a:ln>
                      <a:noFill/>
                    </a:ln>
                  </pic:spPr>
                </pic:pic>
              </a:graphicData>
            </a:graphic>
          </wp:inline>
        </w:drawing>
      </w:r>
      <w:bookmarkEnd w:id="981"/>
    </w:p>
    <w:p w14:paraId="085E5ACF" w14:textId="74139A7B" w:rsidR="00D726B2" w:rsidRDefault="00316B9E" w:rsidP="00E858EF">
      <w:pPr>
        <w:pStyle w:val="Didascalia"/>
        <w:suppressAutoHyphens/>
      </w:pPr>
      <w:bookmarkStart w:id="982" w:name="_Toc520212431"/>
      <w:r>
        <w:t>Figure</w:t>
      </w:r>
      <w:r w:rsidR="00D726B2" w:rsidRPr="003566A9">
        <w:t xml:space="preserve"> 5-38</w:t>
      </w:r>
      <w:r w:rsidR="002F65B0">
        <w:t>.</w:t>
      </w:r>
      <w:r w:rsidR="00D726B2" w:rsidRPr="003566A9">
        <w:t xml:space="preserve"> Motif FM 44</w:t>
      </w:r>
      <w:r w:rsidR="00DB5E40">
        <w:t>, C</w:t>
      </w:r>
      <w:r w:rsidR="00D726B2" w:rsidRPr="003566A9">
        <w:t xml:space="preserve">oncentric arcs </w:t>
      </w:r>
      <w:r>
        <w:t>(after</w:t>
      </w:r>
      <w:r w:rsidR="00D726B2" w:rsidRPr="003566A9">
        <w:t xml:space="preserve"> Furumark 1972: Fig. 58.44)</w:t>
      </w:r>
      <w:bookmarkEnd w:id="982"/>
    </w:p>
    <w:p w14:paraId="06D93017" w14:textId="77777777" w:rsidR="009E582B" w:rsidRPr="009E582B" w:rsidRDefault="009E582B" w:rsidP="00E858EF">
      <w:pPr>
        <w:suppressAutoHyphens/>
      </w:pPr>
    </w:p>
    <w:p w14:paraId="26CE59E5" w14:textId="77777777" w:rsidR="00D726B2" w:rsidRPr="003566A9" w:rsidRDefault="00D726B2" w:rsidP="00E858EF">
      <w:pPr>
        <w:suppressAutoHyphens/>
      </w:pPr>
      <w:bookmarkStart w:id="983" w:name="_Toc519894923"/>
      <w:r w:rsidRPr="003566A9">
        <w:rPr>
          <w:noProof/>
          <w:lang w:val="it-IT"/>
        </w:rPr>
        <w:drawing>
          <wp:inline distT="0" distB="0" distL="0" distR="0" wp14:anchorId="48379273" wp14:editId="16FA3114">
            <wp:extent cx="2479040" cy="863600"/>
            <wp:effectExtent l="0" t="0" r="10160" b="0"/>
            <wp:docPr id="153"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4">
                      <a:extLst>
                        <a:ext uri="{BEBA8EAE-BF5A-486C-A8C5-ECC9F3942E4B}">
                          <a14:imgProps xmlns:a14="http://schemas.microsoft.com/office/drawing/2010/main">
                            <a14:imgLayer r:embed="rId20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79040" cy="863600"/>
                    </a:xfrm>
                    <a:prstGeom prst="rect">
                      <a:avLst/>
                    </a:prstGeom>
                    <a:noFill/>
                    <a:ln>
                      <a:noFill/>
                    </a:ln>
                  </pic:spPr>
                </pic:pic>
              </a:graphicData>
            </a:graphic>
          </wp:inline>
        </w:drawing>
      </w:r>
      <w:bookmarkEnd w:id="983"/>
    </w:p>
    <w:p w14:paraId="555B5D7D" w14:textId="2F1A4550" w:rsidR="00D726B2" w:rsidRPr="003566A9" w:rsidRDefault="00316B9E" w:rsidP="00E858EF">
      <w:pPr>
        <w:pStyle w:val="Didascalia"/>
        <w:suppressAutoHyphens/>
      </w:pPr>
      <w:bookmarkStart w:id="984" w:name="_Toc520212432"/>
      <w:r>
        <w:t>Figure</w:t>
      </w:r>
      <w:r w:rsidR="00D726B2" w:rsidRPr="003566A9">
        <w:t xml:space="preserve"> 5-39</w:t>
      </w:r>
      <w:r w:rsidR="002F65B0">
        <w:t>.</w:t>
      </w:r>
      <w:r w:rsidR="00D726B2" w:rsidRPr="003566A9">
        <w:t xml:space="preserve"> Motif FM 46</w:t>
      </w:r>
      <w:r w:rsidR="00DB5E40">
        <w:t>, R</w:t>
      </w:r>
      <w:r w:rsidR="00D726B2" w:rsidRPr="003566A9">
        <w:t xml:space="preserve">unning spiral </w:t>
      </w:r>
      <w:r>
        <w:t>(after</w:t>
      </w:r>
      <w:r w:rsidR="00D726B2" w:rsidRPr="003566A9">
        <w:t xml:space="preserve"> Furumark 1972: Fig. 59.46)</w:t>
      </w:r>
      <w:bookmarkEnd w:id="984"/>
    </w:p>
    <w:p w14:paraId="2D1E6033" w14:textId="77777777" w:rsidR="00D726B2" w:rsidRPr="003566A9" w:rsidRDefault="00D726B2" w:rsidP="00E858EF">
      <w:pPr>
        <w:suppressAutoHyphens/>
      </w:pPr>
    </w:p>
    <w:p w14:paraId="015D4B90" w14:textId="77777777" w:rsidR="00D726B2" w:rsidRPr="003566A9" w:rsidRDefault="00D726B2" w:rsidP="00E858EF">
      <w:pPr>
        <w:suppressAutoHyphens/>
      </w:pPr>
      <w:bookmarkStart w:id="985" w:name="_Toc519894925"/>
      <w:r w:rsidRPr="003566A9">
        <w:rPr>
          <w:noProof/>
          <w:lang w:val="it-IT"/>
        </w:rPr>
        <w:drawing>
          <wp:inline distT="0" distB="0" distL="0" distR="0" wp14:anchorId="173983F1" wp14:editId="52F89C38">
            <wp:extent cx="1473679" cy="1062037"/>
            <wp:effectExtent l="0" t="0" r="0" b="5080"/>
            <wp:docPr id="154"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6">
                      <a:extLst>
                        <a:ext uri="{BEBA8EAE-BF5A-486C-A8C5-ECC9F3942E4B}">
                          <a14:imgProps xmlns:a14="http://schemas.microsoft.com/office/drawing/2010/main">
                            <a14:imgLayer r:embed="rId20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94752" cy="1077224"/>
                    </a:xfrm>
                    <a:prstGeom prst="rect">
                      <a:avLst/>
                    </a:prstGeom>
                    <a:noFill/>
                    <a:ln>
                      <a:noFill/>
                    </a:ln>
                  </pic:spPr>
                </pic:pic>
              </a:graphicData>
            </a:graphic>
          </wp:inline>
        </w:drawing>
      </w:r>
      <w:r w:rsidRPr="003566A9">
        <w:t xml:space="preserve">  </w:t>
      </w:r>
      <w:r w:rsidRPr="003566A9">
        <w:rPr>
          <w:noProof/>
          <w:lang w:val="it-IT"/>
        </w:rPr>
        <w:drawing>
          <wp:inline distT="0" distB="0" distL="0" distR="0" wp14:anchorId="297248EF" wp14:editId="3C5A0793">
            <wp:extent cx="1330282" cy="928687"/>
            <wp:effectExtent l="0" t="0" r="3810" b="5080"/>
            <wp:docPr id="155"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08">
                      <a:extLst>
                        <a:ext uri="{BEBA8EAE-BF5A-486C-A8C5-ECC9F3942E4B}">
                          <a14:imgProps xmlns:a14="http://schemas.microsoft.com/office/drawing/2010/main">
                            <a14:imgLayer r:embed="rId209">
                              <a14:imgEffect>
                                <a14:brightnessContrast contrast="40000"/>
                              </a14:imgEffect>
                            </a14:imgLayer>
                          </a14:imgProps>
                        </a:ext>
                        <a:ext uri="{28A0092B-C50C-407E-A947-70E740481C1C}">
                          <a14:useLocalDpi xmlns:a14="http://schemas.microsoft.com/office/drawing/2010/main" val="0"/>
                        </a:ext>
                      </a:extLst>
                    </a:blip>
                    <a:srcRect l="5917" t="22876" b="4575"/>
                    <a:stretch/>
                  </pic:blipFill>
                  <pic:spPr bwMode="auto">
                    <a:xfrm>
                      <a:off x="0" y="0"/>
                      <a:ext cx="1345095" cy="939028"/>
                    </a:xfrm>
                    <a:prstGeom prst="rect">
                      <a:avLst/>
                    </a:prstGeom>
                    <a:noFill/>
                    <a:ln>
                      <a:noFill/>
                    </a:ln>
                    <a:extLst>
                      <a:ext uri="{53640926-AAD7-44d8-BBD7-CCE9431645EC}">
                        <a14:shadowObscured xmlns:a14="http://schemas.microsoft.com/office/drawing/2010/main"/>
                      </a:ext>
                    </a:extLst>
                  </pic:spPr>
                </pic:pic>
              </a:graphicData>
            </a:graphic>
          </wp:inline>
        </w:drawing>
      </w:r>
      <w:bookmarkEnd w:id="985"/>
    </w:p>
    <w:p w14:paraId="73288E47" w14:textId="1DE1E5CE" w:rsidR="00D726B2" w:rsidRPr="003566A9" w:rsidRDefault="00316B9E" w:rsidP="00E858EF">
      <w:pPr>
        <w:pStyle w:val="Didascalia"/>
        <w:suppressAutoHyphens/>
      </w:pPr>
      <w:bookmarkStart w:id="986" w:name="_Toc520212433"/>
      <w:r>
        <w:t>Figure</w:t>
      </w:r>
      <w:r w:rsidR="00D726B2" w:rsidRPr="003566A9">
        <w:t xml:space="preserve"> 5-40</w:t>
      </w:r>
      <w:r w:rsidR="002F65B0">
        <w:t>.</w:t>
      </w:r>
      <w:r w:rsidR="00D726B2" w:rsidRPr="003566A9">
        <w:t xml:space="preserve"> Motif FM 47</w:t>
      </w:r>
      <w:r w:rsidR="00DB5E40">
        <w:t>, D</w:t>
      </w:r>
      <w:r w:rsidR="00D726B2" w:rsidRPr="003566A9">
        <w:t xml:space="preserve">ouble and triple spiral </w:t>
      </w:r>
      <w:r>
        <w:t>(after</w:t>
      </w:r>
      <w:r w:rsidR="00D726B2" w:rsidRPr="003566A9">
        <w:t xml:space="preserve"> Furumark 1972: Fig. 60.47)</w:t>
      </w:r>
      <w:bookmarkEnd w:id="986"/>
    </w:p>
    <w:p w14:paraId="75E7381F" w14:textId="77777777" w:rsidR="00D726B2" w:rsidRPr="003566A9" w:rsidRDefault="00D726B2" w:rsidP="00E858EF">
      <w:pPr>
        <w:suppressAutoHyphens/>
      </w:pPr>
    </w:p>
    <w:p w14:paraId="4260EC15" w14:textId="77777777" w:rsidR="00D726B2" w:rsidRPr="003566A9" w:rsidRDefault="00D726B2" w:rsidP="00E858EF">
      <w:pPr>
        <w:suppressAutoHyphens/>
      </w:pPr>
      <w:bookmarkStart w:id="987" w:name="_Toc519894927"/>
      <w:r w:rsidRPr="003566A9">
        <w:rPr>
          <w:noProof/>
          <w:lang w:val="it-IT"/>
        </w:rPr>
        <w:drawing>
          <wp:inline distT="0" distB="0" distL="0" distR="0" wp14:anchorId="529A277A" wp14:editId="7EE962A9">
            <wp:extent cx="1280160" cy="233680"/>
            <wp:effectExtent l="0" t="0" r="0" b="0"/>
            <wp:docPr id="156"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10">
                      <a:extLst>
                        <a:ext uri="{BEBA8EAE-BF5A-486C-A8C5-ECC9F3942E4B}">
                          <a14:imgProps xmlns:a14="http://schemas.microsoft.com/office/drawing/2010/main">
                            <a14:imgLayer r:embed="rId21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80160" cy="233680"/>
                    </a:xfrm>
                    <a:prstGeom prst="rect">
                      <a:avLst/>
                    </a:prstGeom>
                    <a:noFill/>
                    <a:ln>
                      <a:noFill/>
                    </a:ln>
                  </pic:spPr>
                </pic:pic>
              </a:graphicData>
            </a:graphic>
          </wp:inline>
        </w:drawing>
      </w:r>
      <w:bookmarkEnd w:id="987"/>
    </w:p>
    <w:p w14:paraId="1B4DADFC" w14:textId="7E39DE35" w:rsidR="00D726B2" w:rsidRPr="003566A9" w:rsidRDefault="00316B9E" w:rsidP="00E858EF">
      <w:pPr>
        <w:pStyle w:val="Didascalia"/>
        <w:suppressAutoHyphens/>
      </w:pPr>
      <w:bookmarkStart w:id="988" w:name="_Toc520212434"/>
      <w:r>
        <w:t>Figure</w:t>
      </w:r>
      <w:r w:rsidR="00D726B2" w:rsidRPr="003566A9">
        <w:t xml:space="preserve"> 5-41</w:t>
      </w:r>
      <w:r w:rsidR="002F65B0">
        <w:t>.</w:t>
      </w:r>
      <w:r w:rsidR="00D726B2" w:rsidRPr="003566A9">
        <w:t xml:space="preserve"> Motif FM 48</w:t>
      </w:r>
      <w:r w:rsidR="00DB5E40">
        <w:t>, Q</w:t>
      </w:r>
      <w:r w:rsidR="00D726B2" w:rsidRPr="003566A9">
        <w:t xml:space="preserve">uirk </w:t>
      </w:r>
      <w:r>
        <w:t>(after</w:t>
      </w:r>
      <w:r w:rsidR="00D726B2" w:rsidRPr="003566A9">
        <w:t xml:space="preserve"> Furumark 1972: Fig. 61.48)</w:t>
      </w:r>
      <w:bookmarkEnd w:id="988"/>
    </w:p>
    <w:p w14:paraId="0E18538C" w14:textId="77777777" w:rsidR="00D726B2" w:rsidRPr="003566A9" w:rsidRDefault="00D726B2" w:rsidP="00E858EF">
      <w:pPr>
        <w:suppressAutoHyphens/>
      </w:pPr>
    </w:p>
    <w:p w14:paraId="5649E1C6" w14:textId="77777777" w:rsidR="00D726B2" w:rsidRPr="003566A9" w:rsidRDefault="00D726B2" w:rsidP="00E858EF">
      <w:pPr>
        <w:suppressAutoHyphens/>
      </w:pPr>
      <w:bookmarkStart w:id="989" w:name="_Toc519894929"/>
      <w:r w:rsidRPr="003566A9">
        <w:rPr>
          <w:noProof/>
          <w:lang w:val="it-IT"/>
        </w:rPr>
        <w:drawing>
          <wp:inline distT="0" distB="0" distL="0" distR="0" wp14:anchorId="5A7AEA73" wp14:editId="38811DC3">
            <wp:extent cx="1310640" cy="609600"/>
            <wp:effectExtent l="0" t="0" r="10160" b="0"/>
            <wp:docPr id="157"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212">
                      <a:extLst>
                        <a:ext uri="{BEBA8EAE-BF5A-486C-A8C5-ECC9F3942E4B}">
                          <a14:imgProps xmlns:a14="http://schemas.microsoft.com/office/drawing/2010/main">
                            <a14:imgLayer r:embed="rId213">
                              <a14:imgEffect>
                                <a14:brightnessContrast contrast="40000"/>
                              </a14:imgEffect>
                            </a14:imgLayer>
                          </a14:imgProps>
                        </a:ext>
                        <a:ext uri="{28A0092B-C50C-407E-A947-70E740481C1C}">
                          <a14:useLocalDpi xmlns:a14="http://schemas.microsoft.com/office/drawing/2010/main" val="0"/>
                        </a:ext>
                      </a:extLst>
                    </a:blip>
                    <a:srcRect b="4762"/>
                    <a:stretch/>
                  </pic:blipFill>
                  <pic:spPr bwMode="auto">
                    <a:xfrm>
                      <a:off x="0" y="0"/>
                      <a:ext cx="1310640" cy="609600"/>
                    </a:xfrm>
                    <a:prstGeom prst="rect">
                      <a:avLst/>
                    </a:prstGeom>
                    <a:noFill/>
                    <a:ln>
                      <a:noFill/>
                    </a:ln>
                    <a:extLst>
                      <a:ext uri="{53640926-AAD7-44d8-BBD7-CCE9431645EC}">
                        <a14:shadowObscured xmlns:a14="http://schemas.microsoft.com/office/drawing/2010/main"/>
                      </a:ext>
                    </a:extLst>
                  </pic:spPr>
                </pic:pic>
              </a:graphicData>
            </a:graphic>
          </wp:inline>
        </w:drawing>
      </w:r>
      <w:bookmarkEnd w:id="989"/>
    </w:p>
    <w:p w14:paraId="6B674072" w14:textId="0D0E974F" w:rsidR="00D726B2" w:rsidRPr="003566A9" w:rsidRDefault="00316B9E" w:rsidP="00E858EF">
      <w:pPr>
        <w:pStyle w:val="Didascalia"/>
        <w:suppressAutoHyphens/>
      </w:pPr>
      <w:bookmarkStart w:id="990" w:name="_Toc520212435"/>
      <w:r>
        <w:t>Figure</w:t>
      </w:r>
      <w:r w:rsidR="00D726B2" w:rsidRPr="003566A9">
        <w:t xml:space="preserve"> 5-42</w:t>
      </w:r>
      <w:r w:rsidR="002F65B0">
        <w:t>.</w:t>
      </w:r>
      <w:r w:rsidR="00D726B2" w:rsidRPr="003566A9">
        <w:t xml:space="preserve"> Motif FM 49</w:t>
      </w:r>
      <w:r w:rsidR="00DB5E40">
        <w:t>, C</w:t>
      </w:r>
      <w:r w:rsidR="00D726B2" w:rsidRPr="003566A9">
        <w:t xml:space="preserve">urved-stemmed spiral </w:t>
      </w:r>
      <w:r>
        <w:t>(after</w:t>
      </w:r>
      <w:r w:rsidR="00D726B2" w:rsidRPr="003566A9">
        <w:t xml:space="preserve"> Furumark 1972: Fig. 62.49)</w:t>
      </w:r>
      <w:bookmarkEnd w:id="990"/>
    </w:p>
    <w:p w14:paraId="7320353F" w14:textId="77777777" w:rsidR="00D726B2" w:rsidRPr="003566A9" w:rsidRDefault="00D726B2" w:rsidP="00E858EF">
      <w:pPr>
        <w:suppressAutoHyphens/>
      </w:pPr>
    </w:p>
    <w:p w14:paraId="35A79804" w14:textId="77777777" w:rsidR="00D726B2" w:rsidRPr="003566A9" w:rsidRDefault="00D726B2" w:rsidP="00E858EF">
      <w:pPr>
        <w:suppressAutoHyphens/>
      </w:pPr>
      <w:bookmarkStart w:id="991" w:name="_Toc519894931"/>
      <w:r w:rsidRPr="003566A9">
        <w:rPr>
          <w:noProof/>
          <w:lang w:val="it-IT"/>
        </w:rPr>
        <w:drawing>
          <wp:inline distT="0" distB="0" distL="0" distR="0" wp14:anchorId="4C5F8F77" wp14:editId="090FA8F7">
            <wp:extent cx="2214880" cy="883920"/>
            <wp:effectExtent l="0" t="0" r="0" b="5080"/>
            <wp:docPr id="158"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214">
                      <a:extLst>
                        <a:ext uri="{BEBA8EAE-BF5A-486C-A8C5-ECC9F3942E4B}">
                          <a14:imgProps xmlns:a14="http://schemas.microsoft.com/office/drawing/2010/main">
                            <a14:imgLayer r:embed="rId215">
                              <a14:imgEffect>
                                <a14:brightnessContrast contrast="40000"/>
                              </a14:imgEffect>
                            </a14:imgLayer>
                          </a14:imgProps>
                        </a:ext>
                        <a:ext uri="{28A0092B-C50C-407E-A947-70E740481C1C}">
                          <a14:useLocalDpi xmlns:a14="http://schemas.microsoft.com/office/drawing/2010/main" val="0"/>
                        </a:ext>
                      </a:extLst>
                    </a:blip>
                    <a:srcRect t="12380" r="2678" b="4762"/>
                    <a:stretch/>
                  </pic:blipFill>
                  <pic:spPr bwMode="auto">
                    <a:xfrm>
                      <a:off x="0" y="0"/>
                      <a:ext cx="2214880" cy="883920"/>
                    </a:xfrm>
                    <a:prstGeom prst="rect">
                      <a:avLst/>
                    </a:prstGeom>
                    <a:noFill/>
                    <a:ln>
                      <a:noFill/>
                    </a:ln>
                    <a:extLst>
                      <a:ext uri="{53640926-AAD7-44d8-BBD7-CCE9431645EC}">
                        <a14:shadowObscured xmlns:a14="http://schemas.microsoft.com/office/drawing/2010/main"/>
                      </a:ext>
                    </a:extLst>
                  </pic:spPr>
                </pic:pic>
              </a:graphicData>
            </a:graphic>
          </wp:inline>
        </w:drawing>
      </w:r>
      <w:bookmarkEnd w:id="991"/>
    </w:p>
    <w:p w14:paraId="797F9B1B" w14:textId="03CF7583" w:rsidR="00D726B2" w:rsidRPr="003566A9" w:rsidRDefault="00316B9E" w:rsidP="00E858EF">
      <w:pPr>
        <w:pStyle w:val="Didascalia"/>
        <w:suppressAutoHyphens/>
      </w:pPr>
      <w:bookmarkStart w:id="992" w:name="_Toc520212436"/>
      <w:r>
        <w:t>Figure</w:t>
      </w:r>
      <w:r w:rsidR="00D726B2" w:rsidRPr="003566A9">
        <w:t xml:space="preserve"> 5-43</w:t>
      </w:r>
      <w:r w:rsidR="002F65B0">
        <w:t>.</w:t>
      </w:r>
      <w:r w:rsidR="00D726B2" w:rsidRPr="003566A9">
        <w:t xml:space="preserve"> Motif FM 50</w:t>
      </w:r>
      <w:r w:rsidR="00DB5E40">
        <w:t>, A</w:t>
      </w:r>
      <w:r w:rsidR="00D726B2" w:rsidRPr="003566A9">
        <w:t xml:space="preserve">ntithetic spiral pattern </w:t>
      </w:r>
      <w:r>
        <w:t>(after</w:t>
      </w:r>
      <w:r w:rsidR="00D726B2" w:rsidRPr="003566A9">
        <w:t xml:space="preserve"> Furumark 1972: Fig. 62.50)</w:t>
      </w:r>
      <w:bookmarkEnd w:id="992"/>
    </w:p>
    <w:p w14:paraId="2F6E49DB" w14:textId="77777777" w:rsidR="00D726B2" w:rsidRPr="003566A9" w:rsidRDefault="00D726B2" w:rsidP="00E858EF">
      <w:pPr>
        <w:suppressAutoHyphens/>
      </w:pPr>
    </w:p>
    <w:p w14:paraId="5DF14002" w14:textId="77777777" w:rsidR="00D726B2" w:rsidRPr="003566A9" w:rsidRDefault="00D726B2" w:rsidP="00E858EF">
      <w:pPr>
        <w:suppressAutoHyphens/>
      </w:pPr>
      <w:bookmarkStart w:id="993" w:name="_Toc519894933"/>
      <w:r w:rsidRPr="003566A9">
        <w:rPr>
          <w:noProof/>
          <w:lang w:val="it-IT"/>
        </w:rPr>
        <w:drawing>
          <wp:inline distT="0" distB="0" distL="0" distR="0" wp14:anchorId="38D1D250" wp14:editId="647E24F2">
            <wp:extent cx="751840" cy="447040"/>
            <wp:effectExtent l="0" t="0" r="10160" b="10160"/>
            <wp:docPr id="159"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16">
                      <a:extLst>
                        <a:ext uri="{BEBA8EAE-BF5A-486C-A8C5-ECC9F3942E4B}">
                          <a14:imgProps xmlns:a14="http://schemas.microsoft.com/office/drawing/2010/main">
                            <a14:imgLayer r:embed="rId21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51840" cy="447040"/>
                    </a:xfrm>
                    <a:prstGeom prst="rect">
                      <a:avLst/>
                    </a:prstGeom>
                    <a:noFill/>
                    <a:ln>
                      <a:noFill/>
                    </a:ln>
                  </pic:spPr>
                </pic:pic>
              </a:graphicData>
            </a:graphic>
          </wp:inline>
        </w:drawing>
      </w:r>
      <w:r w:rsidRPr="003566A9">
        <w:t xml:space="preserve">  </w:t>
      </w:r>
      <w:r w:rsidRPr="003566A9">
        <w:rPr>
          <w:noProof/>
          <w:lang w:val="it-IT"/>
        </w:rPr>
        <w:drawing>
          <wp:inline distT="0" distB="0" distL="0" distR="0" wp14:anchorId="565C489B" wp14:editId="2D5A4358">
            <wp:extent cx="1503680" cy="690880"/>
            <wp:effectExtent l="0" t="0" r="0" b="0"/>
            <wp:docPr id="160"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18">
                      <a:extLst>
                        <a:ext uri="{BEBA8EAE-BF5A-486C-A8C5-ECC9F3942E4B}">
                          <a14:imgProps xmlns:a14="http://schemas.microsoft.com/office/drawing/2010/main">
                            <a14:imgLayer r:embed="rId21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03680" cy="690880"/>
                    </a:xfrm>
                    <a:prstGeom prst="rect">
                      <a:avLst/>
                    </a:prstGeom>
                    <a:noFill/>
                    <a:ln>
                      <a:noFill/>
                    </a:ln>
                  </pic:spPr>
                </pic:pic>
              </a:graphicData>
            </a:graphic>
          </wp:inline>
        </w:drawing>
      </w:r>
      <w:bookmarkEnd w:id="993"/>
    </w:p>
    <w:p w14:paraId="0B317003" w14:textId="446A3824" w:rsidR="00D726B2" w:rsidRPr="003566A9" w:rsidRDefault="00316B9E" w:rsidP="00E858EF">
      <w:pPr>
        <w:pStyle w:val="Didascalia"/>
        <w:suppressAutoHyphens/>
      </w:pPr>
      <w:bookmarkStart w:id="994" w:name="_Toc520212437"/>
      <w:r>
        <w:t>Figure</w:t>
      </w:r>
      <w:r w:rsidR="00D726B2" w:rsidRPr="003566A9">
        <w:t xml:space="preserve"> 5-44</w:t>
      </w:r>
      <w:r w:rsidR="002F65B0">
        <w:t xml:space="preserve">. </w:t>
      </w:r>
      <w:r w:rsidR="00D726B2" w:rsidRPr="003566A9">
        <w:t>Motif FM 51</w:t>
      </w:r>
      <w:r w:rsidR="00DB5E40">
        <w:t>, S</w:t>
      </w:r>
      <w:r w:rsidR="00D726B2" w:rsidRPr="003566A9">
        <w:t xml:space="preserve">temmed spiral  </w:t>
      </w:r>
      <w:r>
        <w:t>(after</w:t>
      </w:r>
      <w:r w:rsidR="00D726B2" w:rsidRPr="003566A9">
        <w:t xml:space="preserve"> Furumark 1972: Fig. 62.50)</w:t>
      </w:r>
      <w:bookmarkEnd w:id="994"/>
    </w:p>
    <w:p w14:paraId="02A2CA0E" w14:textId="77777777" w:rsidR="00D726B2" w:rsidRPr="003566A9" w:rsidRDefault="00D726B2" w:rsidP="00E858EF">
      <w:pPr>
        <w:suppressAutoHyphens/>
      </w:pPr>
    </w:p>
    <w:p w14:paraId="3A2E3FF2" w14:textId="77777777" w:rsidR="00D726B2" w:rsidRPr="003566A9" w:rsidRDefault="00D726B2" w:rsidP="00E858EF">
      <w:pPr>
        <w:suppressAutoHyphens/>
      </w:pPr>
      <w:bookmarkStart w:id="995" w:name="_Toc519894935"/>
      <w:r w:rsidRPr="003566A9">
        <w:rPr>
          <w:noProof/>
          <w:lang w:val="it-IT"/>
        </w:rPr>
        <w:drawing>
          <wp:inline distT="0" distB="0" distL="0" distR="0" wp14:anchorId="7AD6430F" wp14:editId="08D78A38">
            <wp:extent cx="2682240" cy="670560"/>
            <wp:effectExtent l="0" t="0" r="10160" b="0"/>
            <wp:docPr id="161"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20">
                      <a:extLst>
                        <a:ext uri="{BEBA8EAE-BF5A-486C-A8C5-ECC9F3942E4B}">
                          <a14:imgProps xmlns:a14="http://schemas.microsoft.com/office/drawing/2010/main">
                            <a14:imgLayer r:embed="rId22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82240" cy="670560"/>
                    </a:xfrm>
                    <a:prstGeom prst="rect">
                      <a:avLst/>
                    </a:prstGeom>
                    <a:noFill/>
                    <a:ln>
                      <a:noFill/>
                    </a:ln>
                  </pic:spPr>
                </pic:pic>
              </a:graphicData>
            </a:graphic>
          </wp:inline>
        </w:drawing>
      </w:r>
      <w:bookmarkEnd w:id="995"/>
    </w:p>
    <w:p w14:paraId="1B57FDFC" w14:textId="477269E1" w:rsidR="00D726B2" w:rsidRPr="003566A9" w:rsidRDefault="00316B9E" w:rsidP="00E858EF">
      <w:pPr>
        <w:pStyle w:val="Didascalia"/>
        <w:suppressAutoHyphens/>
      </w:pPr>
      <w:bookmarkStart w:id="996" w:name="_Toc520212438"/>
      <w:r>
        <w:t>Figure</w:t>
      </w:r>
      <w:r w:rsidR="00D726B2" w:rsidRPr="003566A9">
        <w:t xml:space="preserve"> 5-45</w:t>
      </w:r>
      <w:r w:rsidR="002F65B0">
        <w:t>.</w:t>
      </w:r>
      <w:r w:rsidR="00D726B2" w:rsidRPr="003566A9">
        <w:t xml:space="preserve"> Motif FM 52</w:t>
      </w:r>
      <w:r w:rsidR="00DB5E40">
        <w:t>, I</w:t>
      </w:r>
      <w:r w:rsidR="00D726B2" w:rsidRPr="003566A9">
        <w:t xml:space="preserve">solated spiral  </w:t>
      </w:r>
      <w:r>
        <w:t>(after</w:t>
      </w:r>
      <w:r w:rsidR="00D726B2" w:rsidRPr="003566A9">
        <w:t xml:space="preserve"> Furumark 1972: Fig. 65.52)</w:t>
      </w:r>
      <w:bookmarkEnd w:id="996"/>
    </w:p>
    <w:p w14:paraId="19B77993" w14:textId="77777777" w:rsidR="00D726B2" w:rsidRPr="003566A9" w:rsidRDefault="00D726B2" w:rsidP="00E858EF">
      <w:pPr>
        <w:suppressAutoHyphens/>
      </w:pPr>
    </w:p>
    <w:p w14:paraId="2EBFCBC1" w14:textId="77777777" w:rsidR="00D726B2" w:rsidRPr="003566A9" w:rsidRDefault="00D726B2" w:rsidP="00E858EF">
      <w:pPr>
        <w:suppressAutoHyphens/>
      </w:pPr>
      <w:bookmarkStart w:id="997" w:name="_Toc519894937"/>
      <w:r w:rsidRPr="003566A9">
        <w:rPr>
          <w:noProof/>
          <w:lang w:val="it-IT"/>
        </w:rPr>
        <w:drawing>
          <wp:inline distT="0" distB="0" distL="0" distR="0" wp14:anchorId="4FDE2BE2" wp14:editId="19465705">
            <wp:extent cx="1910080" cy="284480"/>
            <wp:effectExtent l="0" t="0" r="0" b="0"/>
            <wp:docPr id="162"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22">
                      <a:extLst>
                        <a:ext uri="{BEBA8EAE-BF5A-486C-A8C5-ECC9F3942E4B}">
                          <a14:imgProps xmlns:a14="http://schemas.microsoft.com/office/drawing/2010/main">
                            <a14:imgLayer r:embed="rId223">
                              <a14:imgEffect>
                                <a14:brightnessContrast contrast="40000"/>
                              </a14:imgEffect>
                            </a14:imgLayer>
                          </a14:imgProps>
                        </a:ext>
                        <a:ext uri="{28A0092B-C50C-407E-A947-70E740481C1C}">
                          <a14:useLocalDpi xmlns:a14="http://schemas.microsoft.com/office/drawing/2010/main" val="0"/>
                        </a:ext>
                      </a:extLst>
                    </a:blip>
                    <a:srcRect b="20000"/>
                    <a:stretch/>
                  </pic:blipFill>
                  <pic:spPr bwMode="auto">
                    <a:xfrm>
                      <a:off x="0" y="0"/>
                      <a:ext cx="1910080" cy="284480"/>
                    </a:xfrm>
                    <a:prstGeom prst="rect">
                      <a:avLst/>
                    </a:prstGeom>
                    <a:noFill/>
                    <a:ln>
                      <a:noFill/>
                    </a:ln>
                    <a:extLst>
                      <a:ext uri="{53640926-AAD7-44d8-BBD7-CCE9431645EC}">
                        <a14:shadowObscured xmlns:a14="http://schemas.microsoft.com/office/drawing/2010/main"/>
                      </a:ext>
                    </a:extLst>
                  </pic:spPr>
                </pic:pic>
              </a:graphicData>
            </a:graphic>
          </wp:inline>
        </w:drawing>
      </w:r>
      <w:r w:rsidRPr="003566A9">
        <w:t xml:space="preserve">   </w:t>
      </w:r>
      <w:r w:rsidRPr="003566A9">
        <w:rPr>
          <w:noProof/>
          <w:lang w:val="it-IT"/>
        </w:rPr>
        <w:drawing>
          <wp:inline distT="0" distB="0" distL="0" distR="0" wp14:anchorId="3A850D18" wp14:editId="1D5426FD">
            <wp:extent cx="914400" cy="314960"/>
            <wp:effectExtent l="0" t="0" r="0" b="0"/>
            <wp:docPr id="163"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4">
                      <a:extLst>
                        <a:ext uri="{BEBA8EAE-BF5A-486C-A8C5-ECC9F3942E4B}">
                          <a14:imgProps xmlns:a14="http://schemas.microsoft.com/office/drawing/2010/main">
                            <a14:imgLayer r:embed="rId22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14400" cy="314960"/>
                    </a:xfrm>
                    <a:prstGeom prst="rect">
                      <a:avLst/>
                    </a:prstGeom>
                    <a:noFill/>
                    <a:ln>
                      <a:noFill/>
                    </a:ln>
                  </pic:spPr>
                </pic:pic>
              </a:graphicData>
            </a:graphic>
          </wp:inline>
        </w:drawing>
      </w:r>
      <w:bookmarkEnd w:id="997"/>
    </w:p>
    <w:p w14:paraId="0EF86C4E" w14:textId="0B54A546" w:rsidR="00D726B2" w:rsidRPr="003566A9" w:rsidRDefault="00316B9E" w:rsidP="00E858EF">
      <w:pPr>
        <w:pStyle w:val="Didascalia"/>
        <w:suppressAutoHyphens/>
      </w:pPr>
      <w:bookmarkStart w:id="998" w:name="_Toc520212439"/>
      <w:r>
        <w:t>Figure</w:t>
      </w:r>
      <w:r w:rsidR="00D726B2" w:rsidRPr="003566A9">
        <w:t xml:space="preserve"> 5-46</w:t>
      </w:r>
      <w:r w:rsidR="002F65B0">
        <w:t>.</w:t>
      </w:r>
      <w:r w:rsidR="00D726B2" w:rsidRPr="003566A9">
        <w:t xml:space="preserve"> Motif FM 53</w:t>
      </w:r>
      <w:r w:rsidR="00DB5E40">
        <w:t>, W</w:t>
      </w:r>
      <w:r w:rsidR="00D726B2" w:rsidRPr="003566A9">
        <w:t xml:space="preserve">avy lines </w:t>
      </w:r>
      <w:r>
        <w:t>(after</w:t>
      </w:r>
      <w:r w:rsidR="00D726B2" w:rsidRPr="003566A9">
        <w:t xml:space="preserve"> Furumark 1972: Fig. 65.53)</w:t>
      </w:r>
      <w:bookmarkEnd w:id="998"/>
    </w:p>
    <w:p w14:paraId="6B5FA0DC" w14:textId="77777777" w:rsidR="00D726B2" w:rsidRPr="003566A9" w:rsidRDefault="00D726B2" w:rsidP="00E858EF">
      <w:pPr>
        <w:suppressAutoHyphens/>
      </w:pPr>
    </w:p>
    <w:p w14:paraId="4EAAFE6C" w14:textId="77777777" w:rsidR="00D726B2" w:rsidRPr="003566A9" w:rsidRDefault="00D726B2" w:rsidP="00E858EF">
      <w:pPr>
        <w:suppressAutoHyphens/>
      </w:pPr>
      <w:bookmarkStart w:id="999" w:name="_Toc519894939"/>
      <w:r w:rsidRPr="003566A9">
        <w:rPr>
          <w:noProof/>
          <w:lang w:val="it-IT"/>
        </w:rPr>
        <w:drawing>
          <wp:inline distT="0" distB="0" distL="0" distR="0" wp14:anchorId="40688683" wp14:editId="04FD17D3">
            <wp:extent cx="619760" cy="467360"/>
            <wp:effectExtent l="0" t="0" r="0" b="0"/>
            <wp:docPr id="164"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6">
                      <a:extLst>
                        <a:ext uri="{BEBA8EAE-BF5A-486C-A8C5-ECC9F3942E4B}">
                          <a14:imgProps xmlns:a14="http://schemas.microsoft.com/office/drawing/2010/main">
                            <a14:imgLayer r:embed="rId22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9760" cy="467360"/>
                    </a:xfrm>
                    <a:prstGeom prst="rect">
                      <a:avLst/>
                    </a:prstGeom>
                    <a:noFill/>
                    <a:ln>
                      <a:noFill/>
                    </a:ln>
                  </pic:spPr>
                </pic:pic>
              </a:graphicData>
            </a:graphic>
          </wp:inline>
        </w:drawing>
      </w:r>
      <w:bookmarkEnd w:id="999"/>
    </w:p>
    <w:p w14:paraId="10EF61A9" w14:textId="49551B50" w:rsidR="00D726B2" w:rsidRPr="003566A9" w:rsidRDefault="00316B9E" w:rsidP="00E858EF">
      <w:pPr>
        <w:pStyle w:val="Didascalia"/>
        <w:suppressAutoHyphens/>
      </w:pPr>
      <w:bookmarkStart w:id="1000" w:name="_Toc520212440"/>
      <w:r>
        <w:t>Figure</w:t>
      </w:r>
      <w:r w:rsidR="00D726B2" w:rsidRPr="003566A9">
        <w:t xml:space="preserve"> 5-47</w:t>
      </w:r>
      <w:r w:rsidR="002F65B0">
        <w:t>.</w:t>
      </w:r>
      <w:r w:rsidR="00D726B2" w:rsidRPr="003566A9">
        <w:t xml:space="preserve"> Motif FM 65</w:t>
      </w:r>
      <w:r w:rsidR="00DB5E40">
        <w:t>, C</w:t>
      </w:r>
      <w:r w:rsidR="00D726B2" w:rsidRPr="003566A9">
        <w:t xml:space="preserve">ross </w:t>
      </w:r>
      <w:r>
        <w:t>(after</w:t>
      </w:r>
      <w:r w:rsidR="00D726B2" w:rsidRPr="003566A9">
        <w:t xml:space="preserve"> Furumark 1972: Fig. 65.54)</w:t>
      </w:r>
      <w:bookmarkEnd w:id="1000"/>
    </w:p>
    <w:p w14:paraId="4A823D80" w14:textId="77777777" w:rsidR="00D726B2" w:rsidRPr="003566A9" w:rsidRDefault="00D726B2" w:rsidP="00E858EF">
      <w:pPr>
        <w:suppressAutoHyphens/>
      </w:pPr>
    </w:p>
    <w:p w14:paraId="017E3EAE" w14:textId="77777777" w:rsidR="00D726B2" w:rsidRPr="003566A9" w:rsidRDefault="00D726B2" w:rsidP="00E858EF">
      <w:pPr>
        <w:suppressAutoHyphens/>
      </w:pPr>
      <w:bookmarkStart w:id="1001" w:name="_Toc519894941"/>
      <w:r w:rsidRPr="003566A9">
        <w:rPr>
          <w:noProof/>
          <w:lang w:val="it-IT"/>
        </w:rPr>
        <w:drawing>
          <wp:inline distT="0" distB="0" distL="0" distR="0" wp14:anchorId="7C87B105" wp14:editId="5A157E26">
            <wp:extent cx="1439839" cy="911898"/>
            <wp:effectExtent l="0" t="0" r="8255" b="2540"/>
            <wp:docPr id="165"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28">
                      <a:extLst>
                        <a:ext uri="{28A0092B-C50C-407E-A947-70E740481C1C}">
                          <a14:useLocalDpi xmlns:a14="http://schemas.microsoft.com/office/drawing/2010/main" val="0"/>
                        </a:ext>
                      </a:extLst>
                    </a:blip>
                    <a:srcRect l="12963" t="12396" r="17592" b="9091"/>
                    <a:stretch/>
                  </pic:blipFill>
                  <pic:spPr bwMode="auto">
                    <a:xfrm>
                      <a:off x="0" y="0"/>
                      <a:ext cx="1447083" cy="916486"/>
                    </a:xfrm>
                    <a:prstGeom prst="rect">
                      <a:avLst/>
                    </a:prstGeom>
                    <a:noFill/>
                    <a:ln>
                      <a:noFill/>
                    </a:ln>
                    <a:extLst>
                      <a:ext uri="{53640926-AAD7-44d8-BBD7-CCE9431645EC}">
                        <a14:shadowObscured xmlns:a14="http://schemas.microsoft.com/office/drawing/2010/main"/>
                      </a:ext>
                    </a:extLst>
                  </pic:spPr>
                </pic:pic>
              </a:graphicData>
            </a:graphic>
          </wp:inline>
        </w:drawing>
      </w:r>
      <w:bookmarkEnd w:id="1001"/>
    </w:p>
    <w:p w14:paraId="63375141" w14:textId="61059E55" w:rsidR="00D726B2" w:rsidRPr="003566A9" w:rsidRDefault="00316B9E" w:rsidP="00E858EF">
      <w:pPr>
        <w:pStyle w:val="Didascalia"/>
        <w:suppressAutoHyphens/>
      </w:pPr>
      <w:bookmarkStart w:id="1002" w:name="_Toc520212441"/>
      <w:r>
        <w:t>Figure</w:t>
      </w:r>
      <w:r w:rsidR="00D726B2" w:rsidRPr="003566A9">
        <w:t xml:space="preserve"> 5-48</w:t>
      </w:r>
      <w:r w:rsidR="002F65B0">
        <w:t>.</w:t>
      </w:r>
      <w:r w:rsidR="00D726B2" w:rsidRPr="003566A9">
        <w:t xml:space="preserve"> Motif FM 55</w:t>
      </w:r>
      <w:r w:rsidR="00DB5E40">
        <w:t>, D</w:t>
      </w:r>
      <w:r w:rsidR="00D726B2" w:rsidRPr="003566A9">
        <w:t xml:space="preserve">iagonal patterns </w:t>
      </w:r>
      <w:r>
        <w:t>(after</w:t>
      </w:r>
      <w:r w:rsidR="00D726B2" w:rsidRPr="003566A9">
        <w:t xml:space="preserve"> Furumark 1972: Fig. 65.55)</w:t>
      </w:r>
      <w:bookmarkEnd w:id="1002"/>
    </w:p>
    <w:p w14:paraId="5C3525B8" w14:textId="77777777" w:rsidR="00D726B2" w:rsidRPr="003566A9" w:rsidRDefault="00D726B2" w:rsidP="00E858EF">
      <w:pPr>
        <w:suppressAutoHyphens/>
      </w:pPr>
    </w:p>
    <w:p w14:paraId="7DF4F9DA" w14:textId="77777777" w:rsidR="00D726B2" w:rsidRPr="003566A9" w:rsidRDefault="00D726B2" w:rsidP="00E858EF">
      <w:pPr>
        <w:suppressAutoHyphens/>
      </w:pPr>
      <w:bookmarkStart w:id="1003" w:name="_Toc519894943"/>
      <w:r w:rsidRPr="003566A9">
        <w:rPr>
          <w:noProof/>
          <w:lang w:val="it-IT"/>
        </w:rPr>
        <w:drawing>
          <wp:inline distT="0" distB="0" distL="0" distR="0" wp14:anchorId="7E195B3F" wp14:editId="7CDA3A79">
            <wp:extent cx="1473959" cy="1010450"/>
            <wp:effectExtent l="0" t="0" r="0" b="0"/>
            <wp:docPr id="166"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9">
                      <a:extLst>
                        <a:ext uri="{BEBA8EAE-BF5A-486C-A8C5-ECC9F3942E4B}">
                          <a14:imgProps xmlns:a14="http://schemas.microsoft.com/office/drawing/2010/main">
                            <a14:imgLayer r:embed="rId23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78015" cy="1013230"/>
                    </a:xfrm>
                    <a:prstGeom prst="rect">
                      <a:avLst/>
                    </a:prstGeom>
                    <a:noFill/>
                    <a:ln>
                      <a:noFill/>
                    </a:ln>
                  </pic:spPr>
                </pic:pic>
              </a:graphicData>
            </a:graphic>
          </wp:inline>
        </w:drawing>
      </w:r>
      <w:bookmarkEnd w:id="1003"/>
    </w:p>
    <w:p w14:paraId="3A22239F" w14:textId="2F980DA7" w:rsidR="00D726B2" w:rsidRPr="003566A9" w:rsidRDefault="00316B9E" w:rsidP="00E858EF">
      <w:pPr>
        <w:pStyle w:val="Didascalia"/>
        <w:suppressAutoHyphens/>
      </w:pPr>
      <w:bookmarkStart w:id="1004" w:name="_Toc520212442"/>
      <w:r>
        <w:t>Figure</w:t>
      </w:r>
      <w:r w:rsidR="00D726B2" w:rsidRPr="003566A9">
        <w:t xml:space="preserve"> 5-49</w:t>
      </w:r>
      <w:r w:rsidR="002F65B0">
        <w:t>.</w:t>
      </w:r>
      <w:r w:rsidR="00D726B2" w:rsidRPr="003566A9">
        <w:t xml:space="preserve"> Motif FM 56</w:t>
      </w:r>
      <w:r w:rsidR="00DB5E40">
        <w:t>, C</w:t>
      </w:r>
      <w:r w:rsidR="00D726B2" w:rsidRPr="003566A9">
        <w:t xml:space="preserve">hequers </w:t>
      </w:r>
      <w:r>
        <w:t>(after</w:t>
      </w:r>
      <w:r w:rsidR="00D726B2" w:rsidRPr="003566A9">
        <w:t xml:space="preserve"> Furumark 1972: Fig. 67.56)</w:t>
      </w:r>
      <w:bookmarkEnd w:id="1004"/>
    </w:p>
    <w:p w14:paraId="4ABD5551" w14:textId="77777777" w:rsidR="00D726B2" w:rsidRPr="003566A9" w:rsidRDefault="00D726B2" w:rsidP="00E858EF">
      <w:pPr>
        <w:suppressAutoHyphens/>
      </w:pPr>
      <w:bookmarkStart w:id="1005" w:name="_Toc519894945"/>
      <w:r w:rsidRPr="003566A9">
        <w:rPr>
          <w:noProof/>
          <w:lang w:val="it-IT"/>
        </w:rPr>
        <w:drawing>
          <wp:inline distT="0" distB="0" distL="0" distR="0" wp14:anchorId="639C608D" wp14:editId="0130F9DD">
            <wp:extent cx="1991360" cy="1178560"/>
            <wp:effectExtent l="0" t="0" r="0" b="0"/>
            <wp:docPr id="167"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1">
                      <a:extLst>
                        <a:ext uri="{BEBA8EAE-BF5A-486C-A8C5-ECC9F3942E4B}">
                          <a14:imgProps xmlns:a14="http://schemas.microsoft.com/office/drawing/2010/main">
                            <a14:imgLayer r:embed="rId23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91360" cy="1178560"/>
                    </a:xfrm>
                    <a:prstGeom prst="rect">
                      <a:avLst/>
                    </a:prstGeom>
                    <a:noFill/>
                    <a:ln>
                      <a:noFill/>
                    </a:ln>
                  </pic:spPr>
                </pic:pic>
              </a:graphicData>
            </a:graphic>
          </wp:inline>
        </w:drawing>
      </w:r>
      <w:bookmarkEnd w:id="1005"/>
    </w:p>
    <w:p w14:paraId="5C7ED400" w14:textId="77509349" w:rsidR="00D726B2" w:rsidRPr="003566A9" w:rsidRDefault="00316B9E" w:rsidP="00E858EF">
      <w:pPr>
        <w:pStyle w:val="Didascalia"/>
        <w:suppressAutoHyphens/>
      </w:pPr>
      <w:bookmarkStart w:id="1006" w:name="_Toc520212443"/>
      <w:r>
        <w:t>Figure</w:t>
      </w:r>
      <w:r w:rsidR="00D726B2" w:rsidRPr="003566A9">
        <w:t xml:space="preserve"> 5-50</w:t>
      </w:r>
      <w:r w:rsidR="002F65B0">
        <w:t>.</w:t>
      </w:r>
      <w:r w:rsidR="00D726B2" w:rsidRPr="003566A9">
        <w:t xml:space="preserve"> Motif FM 57</w:t>
      </w:r>
      <w:r w:rsidR="00DB5E40">
        <w:t>, D</w:t>
      </w:r>
      <w:r w:rsidR="00D726B2" w:rsidRPr="003566A9">
        <w:t xml:space="preserve">iaper net  </w:t>
      </w:r>
      <w:r>
        <w:t>(after</w:t>
      </w:r>
      <w:r w:rsidR="00D726B2" w:rsidRPr="003566A9">
        <w:t xml:space="preserve"> Furumark 1972: Fig. 67.57)</w:t>
      </w:r>
      <w:bookmarkEnd w:id="1006"/>
    </w:p>
    <w:p w14:paraId="0897DA19" w14:textId="77777777" w:rsidR="00D726B2" w:rsidRPr="003566A9" w:rsidRDefault="00D726B2" w:rsidP="00E858EF">
      <w:pPr>
        <w:suppressAutoHyphens/>
      </w:pPr>
    </w:p>
    <w:p w14:paraId="4496993E" w14:textId="77777777" w:rsidR="00D726B2" w:rsidRPr="003566A9" w:rsidRDefault="00D726B2" w:rsidP="00E858EF">
      <w:pPr>
        <w:suppressAutoHyphens/>
      </w:pPr>
      <w:bookmarkStart w:id="1007" w:name="_Toc519894947"/>
      <w:r w:rsidRPr="003566A9">
        <w:rPr>
          <w:noProof/>
          <w:lang w:val="it-IT"/>
        </w:rPr>
        <w:drawing>
          <wp:inline distT="0" distB="0" distL="0" distR="0" wp14:anchorId="4EEE3155" wp14:editId="22E75D81">
            <wp:extent cx="1869440" cy="497840"/>
            <wp:effectExtent l="0" t="0" r="10160" b="10160"/>
            <wp:docPr id="168"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233">
                      <a:extLst>
                        <a:ext uri="{28A0092B-C50C-407E-A947-70E740481C1C}">
                          <a14:useLocalDpi xmlns:a14="http://schemas.microsoft.com/office/drawing/2010/main" val="0"/>
                        </a:ext>
                      </a:extLst>
                    </a:blip>
                    <a:srcRect t="12120" r="7538" b="13636"/>
                    <a:stretch/>
                  </pic:blipFill>
                  <pic:spPr bwMode="auto">
                    <a:xfrm>
                      <a:off x="0" y="0"/>
                      <a:ext cx="1869440" cy="497840"/>
                    </a:xfrm>
                    <a:prstGeom prst="rect">
                      <a:avLst/>
                    </a:prstGeom>
                    <a:noFill/>
                    <a:ln>
                      <a:noFill/>
                    </a:ln>
                    <a:extLst>
                      <a:ext uri="{53640926-AAD7-44d8-BBD7-CCE9431645EC}">
                        <a14:shadowObscured xmlns:a14="http://schemas.microsoft.com/office/drawing/2010/main"/>
                      </a:ext>
                    </a:extLst>
                  </pic:spPr>
                </pic:pic>
              </a:graphicData>
            </a:graphic>
          </wp:inline>
        </w:drawing>
      </w:r>
      <w:bookmarkEnd w:id="1007"/>
    </w:p>
    <w:p w14:paraId="6081C726" w14:textId="692F4CA1" w:rsidR="00D726B2" w:rsidRPr="003566A9" w:rsidRDefault="00316B9E" w:rsidP="00E858EF">
      <w:pPr>
        <w:pStyle w:val="Didascalia"/>
        <w:suppressAutoHyphens/>
      </w:pPr>
      <w:bookmarkStart w:id="1008" w:name="_Toc520212444"/>
      <w:r>
        <w:t>Figure</w:t>
      </w:r>
      <w:r w:rsidR="00D726B2" w:rsidRPr="003566A9">
        <w:t xml:space="preserve"> 5-51</w:t>
      </w:r>
      <w:r w:rsidR="002F65B0">
        <w:t>.</w:t>
      </w:r>
      <w:r w:rsidR="00D726B2" w:rsidRPr="003566A9">
        <w:t xml:space="preserve"> Motif FM 58</w:t>
      </w:r>
      <w:r w:rsidR="00DB5E40">
        <w:t>, P</w:t>
      </w:r>
      <w:r w:rsidR="00D726B2" w:rsidRPr="003566A9">
        <w:t>aralle</w:t>
      </w:r>
      <w:r w:rsidR="009E582B">
        <w:t>l</w:t>
      </w:r>
      <w:r w:rsidR="00D726B2" w:rsidRPr="003566A9">
        <w:t xml:space="preserve"> chevrons  </w:t>
      </w:r>
      <w:r>
        <w:t>(after</w:t>
      </w:r>
      <w:r w:rsidR="00D726B2" w:rsidRPr="003566A9">
        <w:t xml:space="preserve"> Furumark 1972: Fig. 67.58)</w:t>
      </w:r>
      <w:bookmarkEnd w:id="1008"/>
    </w:p>
    <w:p w14:paraId="6DC1DEA9" w14:textId="77777777" w:rsidR="00D726B2" w:rsidRPr="003566A9" w:rsidRDefault="00D726B2" w:rsidP="00E858EF">
      <w:pPr>
        <w:suppressAutoHyphens/>
      </w:pPr>
    </w:p>
    <w:p w14:paraId="4187DBC7" w14:textId="77777777" w:rsidR="00D726B2" w:rsidRPr="003566A9" w:rsidRDefault="00D726B2" w:rsidP="00E858EF">
      <w:pPr>
        <w:suppressAutoHyphens/>
      </w:pPr>
      <w:bookmarkStart w:id="1009" w:name="_Toc519894949"/>
      <w:r w:rsidRPr="003566A9">
        <w:rPr>
          <w:noProof/>
          <w:lang w:val="it-IT"/>
        </w:rPr>
        <w:drawing>
          <wp:inline distT="0" distB="0" distL="0" distR="0" wp14:anchorId="20FAD1B7" wp14:editId="514C27A1">
            <wp:extent cx="1513840" cy="640080"/>
            <wp:effectExtent l="0" t="0" r="10160" b="0"/>
            <wp:docPr id="169"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234">
                      <a:extLst>
                        <a:ext uri="{BEBA8EAE-BF5A-486C-A8C5-ECC9F3942E4B}">
                          <a14:imgProps xmlns:a14="http://schemas.microsoft.com/office/drawing/2010/main">
                            <a14:imgLayer r:embed="rId235">
                              <a14:imgEffect>
                                <a14:brightnessContrast contrast="40000"/>
                              </a14:imgEffect>
                            </a14:imgLayer>
                          </a14:imgProps>
                        </a:ext>
                        <a:ext uri="{28A0092B-C50C-407E-A947-70E740481C1C}">
                          <a14:useLocalDpi xmlns:a14="http://schemas.microsoft.com/office/drawing/2010/main" val="0"/>
                        </a:ext>
                      </a:extLst>
                    </a:blip>
                    <a:srcRect t="13253" r="4487" b="10844"/>
                    <a:stretch/>
                  </pic:blipFill>
                  <pic:spPr bwMode="auto">
                    <a:xfrm>
                      <a:off x="0" y="0"/>
                      <a:ext cx="1513840" cy="640080"/>
                    </a:xfrm>
                    <a:prstGeom prst="rect">
                      <a:avLst/>
                    </a:prstGeom>
                    <a:noFill/>
                    <a:ln>
                      <a:noFill/>
                    </a:ln>
                    <a:extLst>
                      <a:ext uri="{53640926-AAD7-44d8-BBD7-CCE9431645EC}">
                        <a14:shadowObscured xmlns:a14="http://schemas.microsoft.com/office/drawing/2010/main"/>
                      </a:ext>
                    </a:extLst>
                  </pic:spPr>
                </pic:pic>
              </a:graphicData>
            </a:graphic>
          </wp:inline>
        </w:drawing>
      </w:r>
      <w:bookmarkEnd w:id="1009"/>
    </w:p>
    <w:p w14:paraId="140727CE" w14:textId="60458618" w:rsidR="00D726B2" w:rsidRPr="003566A9" w:rsidRDefault="00316B9E" w:rsidP="00E858EF">
      <w:pPr>
        <w:pStyle w:val="Didascalia"/>
        <w:suppressAutoHyphens/>
      </w:pPr>
      <w:bookmarkStart w:id="1010" w:name="_Toc520212445"/>
      <w:r>
        <w:t>Figure</w:t>
      </w:r>
      <w:r w:rsidR="00D726B2" w:rsidRPr="003566A9">
        <w:t xml:space="preserve"> 5-52</w:t>
      </w:r>
      <w:r w:rsidR="009B2F18">
        <w:t>.</w:t>
      </w:r>
      <w:r w:rsidR="00D726B2" w:rsidRPr="003566A9">
        <w:t xml:space="preserve"> Motif FM 61</w:t>
      </w:r>
      <w:r w:rsidR="00DB5E40">
        <w:t>, Z</w:t>
      </w:r>
      <w:r w:rsidR="00D726B2" w:rsidRPr="003566A9">
        <w:t>ig</w:t>
      </w:r>
      <w:r w:rsidR="009E582B">
        <w:t>-</w:t>
      </w:r>
      <w:r w:rsidR="00D726B2" w:rsidRPr="003566A9">
        <w:t xml:space="preserve">zag  </w:t>
      </w:r>
      <w:r>
        <w:t>(after</w:t>
      </w:r>
      <w:r w:rsidR="00D726B2" w:rsidRPr="003566A9">
        <w:t xml:space="preserve"> Furumark 1972: Fig. 67.61)</w:t>
      </w:r>
      <w:bookmarkEnd w:id="1010"/>
    </w:p>
    <w:p w14:paraId="718EBA63" w14:textId="77777777" w:rsidR="00D726B2" w:rsidRPr="003566A9" w:rsidRDefault="00D726B2" w:rsidP="00E858EF">
      <w:pPr>
        <w:suppressAutoHyphens/>
      </w:pPr>
    </w:p>
    <w:p w14:paraId="0B915CC8" w14:textId="77777777" w:rsidR="00D726B2" w:rsidRPr="003566A9" w:rsidRDefault="00D726B2" w:rsidP="00E858EF">
      <w:pPr>
        <w:suppressAutoHyphens/>
      </w:pPr>
      <w:bookmarkStart w:id="1011" w:name="_Toc519894951"/>
      <w:r w:rsidRPr="003566A9">
        <w:rPr>
          <w:noProof/>
          <w:lang w:val="it-IT"/>
        </w:rPr>
        <w:drawing>
          <wp:inline distT="0" distB="0" distL="0" distR="0" wp14:anchorId="719936A2" wp14:editId="1DD1DB51">
            <wp:extent cx="853440" cy="619760"/>
            <wp:effectExtent l="0" t="0" r="10160" b="0"/>
            <wp:docPr id="170"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6">
                      <a:extLst>
                        <a:ext uri="{BEBA8EAE-BF5A-486C-A8C5-ECC9F3942E4B}">
                          <a14:imgProps xmlns:a14="http://schemas.microsoft.com/office/drawing/2010/main">
                            <a14:imgLayer r:embed="rId23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53440" cy="619760"/>
                    </a:xfrm>
                    <a:prstGeom prst="rect">
                      <a:avLst/>
                    </a:prstGeom>
                    <a:noFill/>
                    <a:ln>
                      <a:noFill/>
                    </a:ln>
                  </pic:spPr>
                </pic:pic>
              </a:graphicData>
            </a:graphic>
          </wp:inline>
        </w:drawing>
      </w:r>
      <w:bookmarkEnd w:id="1011"/>
    </w:p>
    <w:p w14:paraId="62A11F06" w14:textId="66362953" w:rsidR="00D726B2" w:rsidRPr="003566A9" w:rsidRDefault="00316B9E" w:rsidP="00E858EF">
      <w:pPr>
        <w:pStyle w:val="Didascalia"/>
        <w:suppressAutoHyphens/>
      </w:pPr>
      <w:bookmarkStart w:id="1012" w:name="_Toc520212446"/>
      <w:r>
        <w:t>Figure</w:t>
      </w:r>
      <w:r w:rsidR="00D726B2" w:rsidRPr="003566A9">
        <w:t xml:space="preserve"> 5-53</w:t>
      </w:r>
      <w:r w:rsidR="009B2F18">
        <w:t>.</w:t>
      </w:r>
      <w:r w:rsidR="00D726B2" w:rsidRPr="003566A9">
        <w:t xml:space="preserve"> Motif FM 61</w:t>
      </w:r>
      <w:r w:rsidR="008246F6">
        <w:t>, T</w:t>
      </w:r>
      <w:r w:rsidR="00D726B2" w:rsidRPr="003566A9">
        <w:t xml:space="preserve">riangle  </w:t>
      </w:r>
      <w:r>
        <w:t>(after</w:t>
      </w:r>
      <w:r w:rsidR="00D726B2" w:rsidRPr="003566A9">
        <w:t xml:space="preserve"> Furumark 1972: Fig. 68.61a)</w:t>
      </w:r>
      <w:bookmarkEnd w:id="1012"/>
    </w:p>
    <w:p w14:paraId="5A301620" w14:textId="77777777" w:rsidR="00D726B2" w:rsidRPr="003566A9" w:rsidRDefault="00D726B2" w:rsidP="00E858EF">
      <w:pPr>
        <w:suppressAutoHyphens/>
      </w:pPr>
    </w:p>
    <w:p w14:paraId="01CDA784" w14:textId="77777777" w:rsidR="00D726B2" w:rsidRPr="003566A9" w:rsidRDefault="00D726B2" w:rsidP="00E858EF">
      <w:pPr>
        <w:suppressAutoHyphens/>
      </w:pPr>
      <w:bookmarkStart w:id="1013" w:name="_Toc519894953"/>
      <w:r w:rsidRPr="003566A9">
        <w:rPr>
          <w:noProof/>
          <w:lang w:val="it-IT"/>
        </w:rPr>
        <w:drawing>
          <wp:inline distT="0" distB="0" distL="0" distR="0" wp14:anchorId="16D76CA6" wp14:editId="616FD4F3">
            <wp:extent cx="1849120" cy="1371600"/>
            <wp:effectExtent l="0" t="0" r="5080" b="0"/>
            <wp:docPr id="171"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38">
                      <a:extLst>
                        <a:ext uri="{28A0092B-C50C-407E-A947-70E740481C1C}">
                          <a14:useLocalDpi xmlns:a14="http://schemas.microsoft.com/office/drawing/2010/main" val="0"/>
                        </a:ext>
                      </a:extLst>
                    </a:blip>
                    <a:srcRect l="8520" r="9866" b="5595"/>
                    <a:stretch/>
                  </pic:blipFill>
                  <pic:spPr bwMode="auto">
                    <a:xfrm>
                      <a:off x="0" y="0"/>
                      <a:ext cx="1849120" cy="1371600"/>
                    </a:xfrm>
                    <a:prstGeom prst="rect">
                      <a:avLst/>
                    </a:prstGeom>
                    <a:noFill/>
                    <a:ln>
                      <a:noFill/>
                    </a:ln>
                    <a:extLst>
                      <a:ext uri="{53640926-AAD7-44d8-BBD7-CCE9431645EC}">
                        <a14:shadowObscured xmlns:a14="http://schemas.microsoft.com/office/drawing/2010/main"/>
                      </a:ext>
                    </a:extLst>
                  </pic:spPr>
                </pic:pic>
              </a:graphicData>
            </a:graphic>
          </wp:inline>
        </w:drawing>
      </w:r>
      <w:bookmarkEnd w:id="1013"/>
    </w:p>
    <w:p w14:paraId="49A016EB" w14:textId="46DC307D" w:rsidR="00D726B2" w:rsidRDefault="00316B9E" w:rsidP="00E858EF">
      <w:pPr>
        <w:pStyle w:val="Didascalia"/>
        <w:suppressAutoHyphens/>
      </w:pPr>
      <w:bookmarkStart w:id="1014" w:name="_Toc520212447"/>
      <w:r>
        <w:t>Figure</w:t>
      </w:r>
      <w:r w:rsidR="00D726B2" w:rsidRPr="003566A9">
        <w:t xml:space="preserve"> 5-54</w:t>
      </w:r>
      <w:r w:rsidR="009B2F18">
        <w:t>.</w:t>
      </w:r>
      <w:r w:rsidR="00D726B2" w:rsidRPr="003566A9">
        <w:t xml:space="preserve"> FM 62</w:t>
      </w:r>
      <w:r w:rsidR="008246F6">
        <w:t>, T</w:t>
      </w:r>
      <w:r w:rsidR="00D726B2" w:rsidRPr="003566A9">
        <w:t xml:space="preserve">ricurved arch  </w:t>
      </w:r>
      <w:r>
        <w:t>(after</w:t>
      </w:r>
      <w:r w:rsidR="00D726B2" w:rsidRPr="003566A9">
        <w:t xml:space="preserve"> Furumark 1972: Fig. 68.62)</w:t>
      </w:r>
      <w:bookmarkEnd w:id="1014"/>
    </w:p>
    <w:p w14:paraId="05933553" w14:textId="77777777" w:rsidR="009E582B" w:rsidRPr="009E582B" w:rsidRDefault="009E582B" w:rsidP="00E858EF">
      <w:pPr>
        <w:suppressAutoHyphens/>
      </w:pPr>
    </w:p>
    <w:p w14:paraId="1D9C1668" w14:textId="77777777" w:rsidR="00D726B2" w:rsidRPr="003566A9" w:rsidRDefault="00D726B2" w:rsidP="00E858EF">
      <w:pPr>
        <w:suppressAutoHyphens/>
      </w:pPr>
      <w:bookmarkStart w:id="1015" w:name="_Toc519894955"/>
      <w:r w:rsidRPr="003566A9">
        <w:rPr>
          <w:noProof/>
          <w:lang w:val="it-IT"/>
        </w:rPr>
        <w:drawing>
          <wp:inline distT="0" distB="0" distL="0" distR="0" wp14:anchorId="1A495468" wp14:editId="0A37E35D">
            <wp:extent cx="2560320" cy="1066800"/>
            <wp:effectExtent l="0" t="0" r="5080" b="0"/>
            <wp:docPr id="172"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9">
                      <a:extLst>
                        <a:ext uri="{BEBA8EAE-BF5A-486C-A8C5-ECC9F3942E4B}">
                          <a14:imgProps xmlns:a14="http://schemas.microsoft.com/office/drawing/2010/main">
                            <a14:imgLayer r:embed="rId24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60320" cy="1066800"/>
                    </a:xfrm>
                    <a:prstGeom prst="rect">
                      <a:avLst/>
                    </a:prstGeom>
                    <a:noFill/>
                    <a:ln>
                      <a:noFill/>
                    </a:ln>
                  </pic:spPr>
                </pic:pic>
              </a:graphicData>
            </a:graphic>
          </wp:inline>
        </w:drawing>
      </w:r>
      <w:bookmarkEnd w:id="1015"/>
    </w:p>
    <w:p w14:paraId="081466E1" w14:textId="083D155D" w:rsidR="00D726B2" w:rsidRPr="003566A9" w:rsidRDefault="00316B9E" w:rsidP="00E858EF">
      <w:pPr>
        <w:pStyle w:val="Didascalia"/>
        <w:suppressAutoHyphens/>
      </w:pPr>
      <w:bookmarkStart w:id="1016" w:name="_Toc520212448"/>
      <w:r>
        <w:t>Figure</w:t>
      </w:r>
      <w:r w:rsidR="00D726B2" w:rsidRPr="003566A9">
        <w:t xml:space="preserve"> 5-55</w:t>
      </w:r>
      <w:r w:rsidR="009B2F18">
        <w:t>.</w:t>
      </w:r>
      <w:r w:rsidR="00D726B2" w:rsidRPr="003566A9">
        <w:t xml:space="preserve"> FM 63</w:t>
      </w:r>
      <w:r w:rsidR="008246F6">
        <w:t>, H</w:t>
      </w:r>
      <w:r w:rsidR="00D726B2" w:rsidRPr="003566A9">
        <w:t xml:space="preserve">atched loop </w:t>
      </w:r>
      <w:r>
        <w:t>(after</w:t>
      </w:r>
      <w:r w:rsidR="00D726B2" w:rsidRPr="003566A9">
        <w:t xml:space="preserve"> Furumark 1972: Fig. 69.63)</w:t>
      </w:r>
      <w:bookmarkEnd w:id="1016"/>
    </w:p>
    <w:p w14:paraId="11BB8A13" w14:textId="77777777" w:rsidR="00D726B2" w:rsidRPr="003566A9" w:rsidRDefault="00D726B2" w:rsidP="00E858EF">
      <w:pPr>
        <w:suppressAutoHyphens/>
      </w:pPr>
    </w:p>
    <w:p w14:paraId="62ACC78D" w14:textId="77777777" w:rsidR="00D726B2" w:rsidRPr="003566A9" w:rsidRDefault="00D726B2" w:rsidP="00E858EF">
      <w:pPr>
        <w:suppressAutoHyphens/>
      </w:pPr>
      <w:bookmarkStart w:id="1017" w:name="_Toc519894957"/>
      <w:r w:rsidRPr="003566A9">
        <w:rPr>
          <w:noProof/>
          <w:lang w:val="it-IT"/>
        </w:rPr>
        <w:drawing>
          <wp:inline distT="0" distB="0" distL="0" distR="0" wp14:anchorId="1D1A2880" wp14:editId="0F907571">
            <wp:extent cx="2296160" cy="487680"/>
            <wp:effectExtent l="0" t="0" r="0" b="0"/>
            <wp:docPr id="173"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1">
                      <a:extLst>
                        <a:ext uri="{BEBA8EAE-BF5A-486C-A8C5-ECC9F3942E4B}">
                          <a14:imgProps xmlns:a14="http://schemas.microsoft.com/office/drawing/2010/main">
                            <a14:imgLayer r:embed="rId24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96160" cy="487680"/>
                    </a:xfrm>
                    <a:prstGeom prst="rect">
                      <a:avLst/>
                    </a:prstGeom>
                    <a:noFill/>
                    <a:ln>
                      <a:noFill/>
                    </a:ln>
                  </pic:spPr>
                </pic:pic>
              </a:graphicData>
            </a:graphic>
          </wp:inline>
        </w:drawing>
      </w:r>
      <w:bookmarkEnd w:id="1017"/>
    </w:p>
    <w:p w14:paraId="19706576" w14:textId="2A693E1E" w:rsidR="00D726B2" w:rsidRPr="003566A9" w:rsidRDefault="00316B9E" w:rsidP="00E858EF">
      <w:pPr>
        <w:pStyle w:val="Didascalia"/>
        <w:suppressAutoHyphens/>
      </w:pPr>
      <w:bookmarkStart w:id="1018" w:name="_Toc520212449"/>
      <w:r>
        <w:t>Figure</w:t>
      </w:r>
      <w:r w:rsidR="00D726B2" w:rsidRPr="003566A9">
        <w:t xml:space="preserve"> 5-56</w:t>
      </w:r>
      <w:r w:rsidR="009B2F18">
        <w:t>.</w:t>
      </w:r>
      <w:r w:rsidR="00D726B2" w:rsidRPr="003566A9">
        <w:t xml:space="preserve"> FM 64</w:t>
      </w:r>
      <w:r w:rsidR="008246F6">
        <w:t>, F</w:t>
      </w:r>
      <w:r w:rsidR="00D726B2" w:rsidRPr="003566A9">
        <w:t xml:space="preserve">oliate band  </w:t>
      </w:r>
      <w:r>
        <w:t>(after</w:t>
      </w:r>
      <w:r w:rsidR="00D726B2" w:rsidRPr="003566A9">
        <w:t xml:space="preserve"> Furumark 1972: Fig. 69.64)</w:t>
      </w:r>
      <w:bookmarkEnd w:id="1018"/>
    </w:p>
    <w:p w14:paraId="07F10F4D" w14:textId="77777777" w:rsidR="00D726B2" w:rsidRPr="003566A9" w:rsidRDefault="00D726B2" w:rsidP="00E858EF">
      <w:pPr>
        <w:suppressAutoHyphens/>
      </w:pPr>
    </w:p>
    <w:p w14:paraId="45E4AFA0" w14:textId="77777777" w:rsidR="00D726B2" w:rsidRPr="003566A9" w:rsidRDefault="00D726B2" w:rsidP="00E858EF">
      <w:pPr>
        <w:suppressAutoHyphens/>
      </w:pPr>
      <w:bookmarkStart w:id="1019" w:name="_Toc519894959"/>
      <w:r w:rsidRPr="003566A9">
        <w:rPr>
          <w:noProof/>
          <w:lang w:val="it-IT"/>
        </w:rPr>
        <w:drawing>
          <wp:inline distT="0" distB="0" distL="0" distR="0" wp14:anchorId="33F639B5" wp14:editId="08109D70">
            <wp:extent cx="568960" cy="1158240"/>
            <wp:effectExtent l="0" t="0" r="0" b="10160"/>
            <wp:docPr id="174"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43">
                      <a:extLst>
                        <a:ext uri="{BEBA8EAE-BF5A-486C-A8C5-ECC9F3942E4B}">
                          <a14:imgProps xmlns:a14="http://schemas.microsoft.com/office/drawing/2010/main">
                            <a14:imgLayer r:embed="rId244">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68960" cy="1158240"/>
                    </a:xfrm>
                    <a:prstGeom prst="rect">
                      <a:avLst/>
                    </a:prstGeom>
                    <a:noFill/>
                    <a:ln>
                      <a:noFill/>
                    </a:ln>
                  </pic:spPr>
                </pic:pic>
              </a:graphicData>
            </a:graphic>
          </wp:inline>
        </w:drawing>
      </w:r>
      <w:bookmarkEnd w:id="1019"/>
    </w:p>
    <w:p w14:paraId="71325EDE" w14:textId="2280DA9E" w:rsidR="00D726B2" w:rsidRPr="003566A9" w:rsidRDefault="00316B9E" w:rsidP="00E858EF">
      <w:pPr>
        <w:pStyle w:val="Didascalia"/>
        <w:suppressAutoHyphens/>
      </w:pPr>
      <w:bookmarkStart w:id="1020" w:name="_Toc520212450"/>
      <w:r>
        <w:t>Figure</w:t>
      </w:r>
      <w:r w:rsidR="00D726B2" w:rsidRPr="003566A9">
        <w:t xml:space="preserve"> 5-57</w:t>
      </w:r>
      <w:r w:rsidR="009B2F18">
        <w:t>.</w:t>
      </w:r>
      <w:r w:rsidR="00D726B2" w:rsidRPr="003566A9">
        <w:t xml:space="preserve"> FM 65</w:t>
      </w:r>
      <w:r w:rsidR="008246F6">
        <w:t>, W</w:t>
      </w:r>
      <w:r w:rsidR="00D726B2" w:rsidRPr="003566A9">
        <w:t xml:space="preserve">avy border </w:t>
      </w:r>
      <w:r>
        <w:t>(after</w:t>
      </w:r>
      <w:r w:rsidR="00D726B2" w:rsidRPr="003566A9">
        <w:t xml:space="preserve"> Furumark 1972: Fig. 69.65)</w:t>
      </w:r>
      <w:bookmarkEnd w:id="1020"/>
    </w:p>
    <w:p w14:paraId="346E715F" w14:textId="77777777" w:rsidR="00D726B2" w:rsidRPr="003566A9" w:rsidRDefault="00D726B2" w:rsidP="00E858EF">
      <w:pPr>
        <w:suppressAutoHyphens/>
      </w:pPr>
    </w:p>
    <w:p w14:paraId="0C0013C5" w14:textId="77777777" w:rsidR="00D726B2" w:rsidRPr="003566A9" w:rsidRDefault="00D726B2" w:rsidP="00E858EF">
      <w:pPr>
        <w:suppressAutoHyphens/>
      </w:pPr>
      <w:bookmarkStart w:id="1021" w:name="_Toc519894961"/>
      <w:r w:rsidRPr="003566A9">
        <w:rPr>
          <w:noProof/>
          <w:lang w:val="it-IT"/>
        </w:rPr>
        <w:drawing>
          <wp:inline distT="0" distB="0" distL="0" distR="0" wp14:anchorId="00748C83" wp14:editId="75975F7C">
            <wp:extent cx="1657448" cy="900112"/>
            <wp:effectExtent l="0" t="0" r="0" b="0"/>
            <wp:docPr id="175"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45">
                      <a:extLst>
                        <a:ext uri="{BEBA8EAE-BF5A-486C-A8C5-ECC9F3942E4B}">
                          <a14:imgProps xmlns:a14="http://schemas.microsoft.com/office/drawing/2010/main">
                            <a14:imgLayer r:embed="rId24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88619" cy="917040"/>
                    </a:xfrm>
                    <a:prstGeom prst="rect">
                      <a:avLst/>
                    </a:prstGeom>
                    <a:noFill/>
                    <a:ln>
                      <a:noFill/>
                    </a:ln>
                  </pic:spPr>
                </pic:pic>
              </a:graphicData>
            </a:graphic>
          </wp:inline>
        </w:drawing>
      </w:r>
      <w:bookmarkEnd w:id="1021"/>
    </w:p>
    <w:p w14:paraId="7A032044" w14:textId="444FB172" w:rsidR="00D726B2" w:rsidRPr="003566A9" w:rsidRDefault="00316B9E" w:rsidP="00E858EF">
      <w:pPr>
        <w:pStyle w:val="Didascalia"/>
        <w:suppressAutoHyphens/>
      </w:pPr>
      <w:bookmarkStart w:id="1022" w:name="_Toc520212451"/>
      <w:r>
        <w:t>Figure</w:t>
      </w:r>
      <w:r w:rsidR="00D726B2" w:rsidRPr="003566A9">
        <w:t xml:space="preserve"> 5-58</w:t>
      </w:r>
      <w:r w:rsidR="009B2F18">
        <w:t>.</w:t>
      </w:r>
      <w:r w:rsidR="00D726B2" w:rsidRPr="003566A9">
        <w:t xml:space="preserve"> FM 66</w:t>
      </w:r>
      <w:r w:rsidR="008246F6">
        <w:t>, A</w:t>
      </w:r>
      <w:r w:rsidR="00D726B2" w:rsidRPr="003566A9">
        <w:t xml:space="preserve">rcade pattern </w:t>
      </w:r>
      <w:r>
        <w:t>(after</w:t>
      </w:r>
      <w:r w:rsidR="00D726B2" w:rsidRPr="003566A9">
        <w:t xml:space="preserve"> Furumark 1972: Fig. 70.66)</w:t>
      </w:r>
      <w:bookmarkEnd w:id="1022"/>
    </w:p>
    <w:p w14:paraId="64F9B747" w14:textId="77777777" w:rsidR="00D726B2" w:rsidRPr="003566A9" w:rsidRDefault="00D726B2" w:rsidP="00E858EF">
      <w:pPr>
        <w:suppressAutoHyphens/>
      </w:pPr>
    </w:p>
    <w:p w14:paraId="5AF91242" w14:textId="77777777" w:rsidR="00D726B2" w:rsidRPr="003566A9" w:rsidRDefault="00D726B2" w:rsidP="00E858EF">
      <w:pPr>
        <w:suppressAutoHyphens/>
      </w:pPr>
      <w:bookmarkStart w:id="1023" w:name="_Toc519894963"/>
      <w:r w:rsidRPr="003566A9">
        <w:rPr>
          <w:noProof/>
          <w:lang w:val="it-IT"/>
        </w:rPr>
        <w:drawing>
          <wp:inline distT="0" distB="0" distL="0" distR="0" wp14:anchorId="1AEBA624" wp14:editId="5D5164CB">
            <wp:extent cx="2042160" cy="589280"/>
            <wp:effectExtent l="0" t="0" r="0" b="0"/>
            <wp:docPr id="176"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7">
                      <a:extLst>
                        <a:ext uri="{BEBA8EAE-BF5A-486C-A8C5-ECC9F3942E4B}">
                          <a14:imgProps xmlns:a14="http://schemas.microsoft.com/office/drawing/2010/main">
                            <a14:imgLayer r:embed="rId24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42160" cy="589280"/>
                    </a:xfrm>
                    <a:prstGeom prst="rect">
                      <a:avLst/>
                    </a:prstGeom>
                    <a:noFill/>
                    <a:ln>
                      <a:noFill/>
                    </a:ln>
                  </pic:spPr>
                </pic:pic>
              </a:graphicData>
            </a:graphic>
          </wp:inline>
        </w:drawing>
      </w:r>
      <w:bookmarkEnd w:id="1023"/>
    </w:p>
    <w:p w14:paraId="203E444C" w14:textId="40573848" w:rsidR="00D726B2" w:rsidRPr="003566A9" w:rsidRDefault="00316B9E" w:rsidP="00E858EF">
      <w:pPr>
        <w:pStyle w:val="Didascalia"/>
        <w:suppressAutoHyphens/>
      </w:pPr>
      <w:bookmarkStart w:id="1024" w:name="_Toc520212452"/>
      <w:r>
        <w:t>Figure</w:t>
      </w:r>
      <w:r w:rsidR="00D726B2" w:rsidRPr="003566A9">
        <w:t xml:space="preserve"> 5-59</w:t>
      </w:r>
      <w:r w:rsidR="009B2F18">
        <w:t>.</w:t>
      </w:r>
      <w:r w:rsidR="00D726B2" w:rsidRPr="003566A9">
        <w:t xml:space="preserve"> FM 67</w:t>
      </w:r>
      <w:r w:rsidR="008246F6">
        <w:t>, C</w:t>
      </w:r>
      <w:r w:rsidR="00D726B2" w:rsidRPr="003566A9">
        <w:t xml:space="preserve">urved stripes </w:t>
      </w:r>
      <w:r>
        <w:t>(after</w:t>
      </w:r>
      <w:r w:rsidR="00D726B2" w:rsidRPr="003566A9">
        <w:t xml:space="preserve"> Furumark 1972: Fig. 70.67)</w:t>
      </w:r>
      <w:bookmarkEnd w:id="1024"/>
    </w:p>
    <w:p w14:paraId="0FCED4AE" w14:textId="77777777" w:rsidR="00D726B2" w:rsidRPr="003566A9" w:rsidRDefault="00D726B2" w:rsidP="00E858EF">
      <w:pPr>
        <w:suppressAutoHyphens/>
      </w:pPr>
      <w:bookmarkStart w:id="1025" w:name="_Toc519894965"/>
      <w:r w:rsidRPr="003566A9">
        <w:rPr>
          <w:noProof/>
          <w:lang w:val="it-IT"/>
        </w:rPr>
        <w:drawing>
          <wp:inline distT="0" distB="0" distL="0" distR="0" wp14:anchorId="16949A4D" wp14:editId="5DF02FF9">
            <wp:extent cx="1016000" cy="965200"/>
            <wp:effectExtent l="0" t="0" r="0" b="0"/>
            <wp:docPr id="177"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49">
                      <a:extLst>
                        <a:ext uri="{BEBA8EAE-BF5A-486C-A8C5-ECC9F3942E4B}">
                          <a14:imgProps xmlns:a14="http://schemas.microsoft.com/office/drawing/2010/main">
                            <a14:imgLayer r:embed="rId25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16000" cy="965200"/>
                    </a:xfrm>
                    <a:prstGeom prst="rect">
                      <a:avLst/>
                    </a:prstGeom>
                    <a:noFill/>
                    <a:ln>
                      <a:noFill/>
                    </a:ln>
                  </pic:spPr>
                </pic:pic>
              </a:graphicData>
            </a:graphic>
          </wp:inline>
        </w:drawing>
      </w:r>
      <w:bookmarkEnd w:id="1025"/>
    </w:p>
    <w:p w14:paraId="0CC1CC1D" w14:textId="6D170223" w:rsidR="00D726B2" w:rsidRPr="003566A9" w:rsidRDefault="00316B9E" w:rsidP="00E858EF">
      <w:pPr>
        <w:pStyle w:val="Didascalia"/>
        <w:suppressAutoHyphens/>
      </w:pPr>
      <w:bookmarkStart w:id="1026" w:name="_Toc520212453"/>
      <w:r>
        <w:t>Figure</w:t>
      </w:r>
      <w:r w:rsidR="00D726B2" w:rsidRPr="003566A9">
        <w:t xml:space="preserve"> 5-60</w:t>
      </w:r>
      <w:r w:rsidR="009B2F18">
        <w:t>.</w:t>
      </w:r>
      <w:r w:rsidR="00D726B2" w:rsidRPr="003566A9">
        <w:t xml:space="preserve"> FM 68</w:t>
      </w:r>
      <w:r w:rsidR="008246F6">
        <w:t>, W</w:t>
      </w:r>
      <w:r w:rsidR="00D726B2" w:rsidRPr="003566A9">
        <w:t xml:space="preserve">heel </w:t>
      </w:r>
      <w:r>
        <w:t>(after</w:t>
      </w:r>
      <w:r w:rsidR="00D726B2" w:rsidRPr="003566A9">
        <w:t xml:space="preserve"> Furumark 1972: Fig. 70.68)</w:t>
      </w:r>
      <w:bookmarkEnd w:id="1026"/>
    </w:p>
    <w:p w14:paraId="01C03128" w14:textId="77777777" w:rsidR="00D726B2" w:rsidRPr="003566A9" w:rsidRDefault="00D726B2" w:rsidP="00E858EF">
      <w:pPr>
        <w:suppressAutoHyphens/>
      </w:pPr>
    </w:p>
    <w:p w14:paraId="452A7CFC" w14:textId="77777777" w:rsidR="00D726B2" w:rsidRPr="003566A9" w:rsidRDefault="00D726B2" w:rsidP="00E858EF">
      <w:pPr>
        <w:suppressAutoHyphens/>
      </w:pPr>
      <w:bookmarkStart w:id="1027" w:name="_Toc519894967"/>
      <w:r w:rsidRPr="003566A9">
        <w:rPr>
          <w:noProof/>
          <w:lang w:val="it-IT"/>
        </w:rPr>
        <w:drawing>
          <wp:inline distT="0" distB="0" distL="0" distR="0" wp14:anchorId="626D3F8B" wp14:editId="142B9A68">
            <wp:extent cx="1940560" cy="508000"/>
            <wp:effectExtent l="0" t="0" r="0" b="0"/>
            <wp:docPr id="178"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251">
                      <a:extLst>
                        <a:ext uri="{BEBA8EAE-BF5A-486C-A8C5-ECC9F3942E4B}">
                          <a14:imgProps xmlns:a14="http://schemas.microsoft.com/office/drawing/2010/main">
                            <a14:imgLayer r:embed="rId252">
                              <a14:imgEffect>
                                <a14:brightnessContrast contrast="40000"/>
                              </a14:imgEffect>
                            </a14:imgLayer>
                          </a14:imgProps>
                        </a:ext>
                        <a:ext uri="{28A0092B-C50C-407E-A947-70E740481C1C}">
                          <a14:useLocalDpi xmlns:a14="http://schemas.microsoft.com/office/drawing/2010/main" val="0"/>
                        </a:ext>
                      </a:extLst>
                    </a:blip>
                    <a:srcRect t="15254" r="8173"/>
                    <a:stretch/>
                  </pic:blipFill>
                  <pic:spPr bwMode="auto">
                    <a:xfrm>
                      <a:off x="0" y="0"/>
                      <a:ext cx="1940560" cy="508000"/>
                    </a:xfrm>
                    <a:prstGeom prst="rect">
                      <a:avLst/>
                    </a:prstGeom>
                    <a:noFill/>
                    <a:ln>
                      <a:noFill/>
                    </a:ln>
                    <a:extLst>
                      <a:ext uri="{53640926-AAD7-44d8-BBD7-CCE9431645EC}">
                        <a14:shadowObscured xmlns:a14="http://schemas.microsoft.com/office/drawing/2010/main"/>
                      </a:ext>
                    </a:extLst>
                  </pic:spPr>
                </pic:pic>
              </a:graphicData>
            </a:graphic>
          </wp:inline>
        </w:drawing>
      </w:r>
      <w:bookmarkEnd w:id="1027"/>
    </w:p>
    <w:p w14:paraId="0A09A4E5" w14:textId="26B9ECB5" w:rsidR="00D726B2" w:rsidRPr="003566A9" w:rsidRDefault="00316B9E" w:rsidP="00E858EF">
      <w:pPr>
        <w:pStyle w:val="Didascalia"/>
        <w:suppressAutoHyphens/>
      </w:pPr>
      <w:bookmarkStart w:id="1028" w:name="_Toc520212454"/>
      <w:r>
        <w:t>Figure</w:t>
      </w:r>
      <w:r w:rsidR="00D726B2" w:rsidRPr="003566A9">
        <w:t xml:space="preserve"> 5-61</w:t>
      </w:r>
      <w:r w:rsidR="009B2F18">
        <w:t>.</w:t>
      </w:r>
      <w:r w:rsidR="00D726B2" w:rsidRPr="003566A9">
        <w:t xml:space="preserve"> FM 69</w:t>
      </w:r>
      <w:r w:rsidR="008246F6">
        <w:t>, A</w:t>
      </w:r>
      <w:r w:rsidR="00D726B2" w:rsidRPr="003566A9">
        <w:t xml:space="preserve">dder mark </w:t>
      </w:r>
      <w:r>
        <w:t>(after</w:t>
      </w:r>
      <w:r w:rsidR="00D726B2" w:rsidRPr="003566A9">
        <w:t xml:space="preserve"> Furumark 1972: Fig. 70.69)</w:t>
      </w:r>
      <w:bookmarkEnd w:id="1028"/>
    </w:p>
    <w:p w14:paraId="2F07AB67" w14:textId="77777777" w:rsidR="00D726B2" w:rsidRPr="003566A9" w:rsidRDefault="00D726B2" w:rsidP="00E858EF">
      <w:pPr>
        <w:suppressAutoHyphens/>
      </w:pPr>
    </w:p>
    <w:p w14:paraId="54474976" w14:textId="77777777" w:rsidR="00D726B2" w:rsidRPr="003566A9" w:rsidRDefault="00D726B2" w:rsidP="00E858EF">
      <w:pPr>
        <w:suppressAutoHyphens/>
      </w:pPr>
      <w:bookmarkStart w:id="1029" w:name="_Toc519894969"/>
      <w:r w:rsidRPr="003566A9">
        <w:rPr>
          <w:noProof/>
          <w:lang w:val="it-IT"/>
        </w:rPr>
        <w:drawing>
          <wp:inline distT="0" distB="0" distL="0" distR="0" wp14:anchorId="67CF3243" wp14:editId="2C6ACA93">
            <wp:extent cx="2042274" cy="1157288"/>
            <wp:effectExtent l="0" t="0" r="0" b="5080"/>
            <wp:docPr id="179"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253">
                      <a:extLst>
                        <a:ext uri="{BEBA8EAE-BF5A-486C-A8C5-ECC9F3942E4B}">
                          <a14:imgProps xmlns:a14="http://schemas.microsoft.com/office/drawing/2010/main">
                            <a14:imgLayer r:embed="rId254">
                              <a14:imgEffect>
                                <a14:brightnessContrast contrast="40000"/>
                              </a14:imgEffect>
                            </a14:imgLayer>
                          </a14:imgProps>
                        </a:ext>
                        <a:ext uri="{28A0092B-C50C-407E-A947-70E740481C1C}">
                          <a14:useLocalDpi xmlns:a14="http://schemas.microsoft.com/office/drawing/2010/main" val="0"/>
                        </a:ext>
                      </a:extLst>
                    </a:blip>
                    <a:srcRect r="1639" b="6207"/>
                    <a:stretch/>
                  </pic:blipFill>
                  <pic:spPr bwMode="auto">
                    <a:xfrm>
                      <a:off x="0" y="0"/>
                      <a:ext cx="2058025" cy="1166213"/>
                    </a:xfrm>
                    <a:prstGeom prst="rect">
                      <a:avLst/>
                    </a:prstGeom>
                    <a:noFill/>
                    <a:ln>
                      <a:noFill/>
                    </a:ln>
                    <a:extLst>
                      <a:ext uri="{53640926-AAD7-44d8-BBD7-CCE9431645EC}">
                        <a14:shadowObscured xmlns:a14="http://schemas.microsoft.com/office/drawing/2010/main"/>
                      </a:ext>
                    </a:extLst>
                  </pic:spPr>
                </pic:pic>
              </a:graphicData>
            </a:graphic>
          </wp:inline>
        </w:drawing>
      </w:r>
      <w:bookmarkEnd w:id="1029"/>
    </w:p>
    <w:p w14:paraId="4DDA12CD" w14:textId="45BA961F" w:rsidR="00D726B2" w:rsidRPr="003566A9" w:rsidRDefault="00316B9E" w:rsidP="00E858EF">
      <w:pPr>
        <w:pStyle w:val="Didascalia"/>
        <w:suppressAutoHyphens/>
      </w:pPr>
      <w:bookmarkStart w:id="1030" w:name="_Toc520212455"/>
      <w:r>
        <w:t>Figure</w:t>
      </w:r>
      <w:r w:rsidR="00D726B2" w:rsidRPr="003566A9">
        <w:t xml:space="preserve"> 5-62</w:t>
      </w:r>
      <w:r w:rsidR="009B2F18">
        <w:t>.</w:t>
      </w:r>
      <w:r w:rsidR="00D726B2" w:rsidRPr="003566A9">
        <w:t xml:space="preserve"> FM 70</w:t>
      </w:r>
      <w:r w:rsidR="008246F6">
        <w:t>, S</w:t>
      </w:r>
      <w:r w:rsidR="00D726B2" w:rsidRPr="003566A9">
        <w:t xml:space="preserve">cale pattern </w:t>
      </w:r>
      <w:r>
        <w:t>(after</w:t>
      </w:r>
      <w:r w:rsidR="00D726B2" w:rsidRPr="003566A9">
        <w:t xml:space="preserve"> Furumark 1972: Fig. 70.70)</w:t>
      </w:r>
      <w:bookmarkEnd w:id="1030"/>
    </w:p>
    <w:p w14:paraId="421021A2" w14:textId="77777777" w:rsidR="00D726B2" w:rsidRPr="003566A9" w:rsidRDefault="00D726B2" w:rsidP="00E858EF">
      <w:pPr>
        <w:suppressAutoHyphens/>
      </w:pPr>
    </w:p>
    <w:p w14:paraId="7FE7118C" w14:textId="77777777" w:rsidR="00D726B2" w:rsidRPr="003566A9" w:rsidRDefault="00D726B2" w:rsidP="00E858EF">
      <w:pPr>
        <w:suppressAutoHyphens/>
      </w:pPr>
      <w:bookmarkStart w:id="1031" w:name="_Toc519894971"/>
      <w:r w:rsidRPr="003566A9">
        <w:rPr>
          <w:noProof/>
          <w:lang w:val="it-IT"/>
        </w:rPr>
        <w:drawing>
          <wp:inline distT="0" distB="0" distL="0" distR="0" wp14:anchorId="25862AD1" wp14:editId="27255B8F">
            <wp:extent cx="518160" cy="497840"/>
            <wp:effectExtent l="0" t="0" r="0" b="10160"/>
            <wp:docPr id="180"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5">
                      <a:extLst>
                        <a:ext uri="{BEBA8EAE-BF5A-486C-A8C5-ECC9F3942E4B}">
                          <a14:imgProps xmlns:a14="http://schemas.microsoft.com/office/drawing/2010/main">
                            <a14:imgLayer r:embed="rId25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18160" cy="497840"/>
                    </a:xfrm>
                    <a:prstGeom prst="rect">
                      <a:avLst/>
                    </a:prstGeom>
                    <a:noFill/>
                    <a:ln>
                      <a:noFill/>
                    </a:ln>
                  </pic:spPr>
                </pic:pic>
              </a:graphicData>
            </a:graphic>
          </wp:inline>
        </w:drawing>
      </w:r>
      <w:bookmarkEnd w:id="1031"/>
    </w:p>
    <w:p w14:paraId="5E9935EC" w14:textId="221E1036" w:rsidR="00D726B2" w:rsidRPr="003566A9" w:rsidRDefault="00316B9E" w:rsidP="00E858EF">
      <w:pPr>
        <w:pStyle w:val="Didascalia"/>
        <w:suppressAutoHyphens/>
      </w:pPr>
      <w:bookmarkStart w:id="1032" w:name="_Toc520212456"/>
      <w:r>
        <w:t>Figure</w:t>
      </w:r>
      <w:r w:rsidR="00D726B2" w:rsidRPr="003566A9">
        <w:t xml:space="preserve"> 5-63</w:t>
      </w:r>
      <w:r w:rsidR="009B2F18">
        <w:t>.</w:t>
      </w:r>
      <w:r w:rsidR="00D726B2" w:rsidRPr="003566A9">
        <w:t xml:space="preserve"> FM 73</w:t>
      </w:r>
      <w:r w:rsidR="008246F6">
        <w:t>, L</w:t>
      </w:r>
      <w:r w:rsidR="00D726B2" w:rsidRPr="003566A9">
        <w:t xml:space="preserve">ozenge </w:t>
      </w:r>
      <w:r>
        <w:t>(after</w:t>
      </w:r>
      <w:r w:rsidR="00D726B2" w:rsidRPr="003566A9">
        <w:t xml:space="preserve"> Furumark 1972: Fig. 71.73)</w:t>
      </w:r>
      <w:bookmarkEnd w:id="1032"/>
    </w:p>
    <w:p w14:paraId="36B6878F" w14:textId="77777777" w:rsidR="00D726B2" w:rsidRPr="003566A9" w:rsidRDefault="00D726B2" w:rsidP="00E858EF">
      <w:pPr>
        <w:suppressAutoHyphens/>
      </w:pPr>
    </w:p>
    <w:p w14:paraId="137B5736" w14:textId="77777777" w:rsidR="00D726B2" w:rsidRPr="003566A9" w:rsidRDefault="00D726B2" w:rsidP="00E858EF">
      <w:pPr>
        <w:suppressAutoHyphens/>
      </w:pPr>
      <w:bookmarkStart w:id="1033" w:name="_Toc519894973"/>
      <w:r w:rsidRPr="003566A9">
        <w:rPr>
          <w:noProof/>
          <w:lang w:val="it-IT"/>
        </w:rPr>
        <w:drawing>
          <wp:inline distT="0" distB="0" distL="0" distR="0" wp14:anchorId="5F36494D" wp14:editId="40A6EC55">
            <wp:extent cx="1727200" cy="599440"/>
            <wp:effectExtent l="0" t="0" r="0" b="10160"/>
            <wp:docPr id="181"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57">
                      <a:extLst>
                        <a:ext uri="{BEBA8EAE-BF5A-486C-A8C5-ECC9F3942E4B}">
                          <a14:imgProps xmlns:a14="http://schemas.microsoft.com/office/drawing/2010/main">
                            <a14:imgLayer r:embed="rId25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27200" cy="599440"/>
                    </a:xfrm>
                    <a:prstGeom prst="rect">
                      <a:avLst/>
                    </a:prstGeom>
                    <a:noFill/>
                    <a:ln>
                      <a:noFill/>
                    </a:ln>
                  </pic:spPr>
                </pic:pic>
              </a:graphicData>
            </a:graphic>
          </wp:inline>
        </w:drawing>
      </w:r>
      <w:r w:rsidRPr="003566A9">
        <w:t xml:space="preserve">  </w:t>
      </w:r>
      <w:r w:rsidRPr="003566A9">
        <w:rPr>
          <w:noProof/>
          <w:lang w:val="it-IT"/>
        </w:rPr>
        <w:drawing>
          <wp:inline distT="0" distB="0" distL="0" distR="0" wp14:anchorId="5EC55F28" wp14:editId="54E0590C">
            <wp:extent cx="812800" cy="914400"/>
            <wp:effectExtent l="0" t="0" r="0" b="0"/>
            <wp:docPr id="182"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59">
                      <a:extLst>
                        <a:ext uri="{BEBA8EAE-BF5A-486C-A8C5-ECC9F3942E4B}">
                          <a14:imgProps xmlns:a14="http://schemas.microsoft.com/office/drawing/2010/main">
                            <a14:imgLayer r:embed="rId26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12800" cy="914400"/>
                    </a:xfrm>
                    <a:prstGeom prst="rect">
                      <a:avLst/>
                    </a:prstGeom>
                    <a:noFill/>
                    <a:ln>
                      <a:noFill/>
                    </a:ln>
                  </pic:spPr>
                </pic:pic>
              </a:graphicData>
            </a:graphic>
          </wp:inline>
        </w:drawing>
      </w:r>
      <w:r w:rsidRPr="003566A9">
        <w:t xml:space="preserve">   </w:t>
      </w:r>
      <w:r w:rsidRPr="003566A9">
        <w:rPr>
          <w:noProof/>
          <w:lang w:val="it-IT"/>
        </w:rPr>
        <w:drawing>
          <wp:inline distT="0" distB="0" distL="0" distR="0" wp14:anchorId="3DC50131" wp14:editId="49CB9ADA">
            <wp:extent cx="436880" cy="853440"/>
            <wp:effectExtent l="0" t="0" r="0" b="10160"/>
            <wp:docPr id="183"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261">
                      <a:extLst>
                        <a:ext uri="{BEBA8EAE-BF5A-486C-A8C5-ECC9F3942E4B}">
                          <a14:imgProps xmlns:a14="http://schemas.microsoft.com/office/drawing/2010/main">
                            <a14:imgLayer r:embed="rId262">
                              <a14:imgEffect>
                                <a14:brightnessContrast bright="20000" contrast="40000"/>
                              </a14:imgEffect>
                            </a14:imgLayer>
                          </a14:imgProps>
                        </a:ext>
                        <a:ext uri="{28A0092B-C50C-407E-A947-70E740481C1C}">
                          <a14:useLocalDpi xmlns:a14="http://schemas.microsoft.com/office/drawing/2010/main" val="0"/>
                        </a:ext>
                      </a:extLst>
                    </a:blip>
                    <a:srcRect b="6666"/>
                    <a:stretch/>
                  </pic:blipFill>
                  <pic:spPr bwMode="auto">
                    <a:xfrm>
                      <a:off x="0" y="0"/>
                      <a:ext cx="436880" cy="853440"/>
                    </a:xfrm>
                    <a:prstGeom prst="rect">
                      <a:avLst/>
                    </a:prstGeom>
                    <a:noFill/>
                    <a:ln>
                      <a:noFill/>
                    </a:ln>
                    <a:extLst>
                      <a:ext uri="{53640926-AAD7-44d8-BBD7-CCE9431645EC}">
                        <a14:shadowObscured xmlns:a14="http://schemas.microsoft.com/office/drawing/2010/main"/>
                      </a:ext>
                    </a:extLst>
                  </pic:spPr>
                </pic:pic>
              </a:graphicData>
            </a:graphic>
          </wp:inline>
        </w:drawing>
      </w:r>
      <w:r w:rsidRPr="003566A9">
        <w:t xml:space="preserve">  </w:t>
      </w:r>
      <w:r w:rsidRPr="003566A9">
        <w:rPr>
          <w:noProof/>
          <w:lang w:val="it-IT"/>
        </w:rPr>
        <w:drawing>
          <wp:inline distT="0" distB="0" distL="0" distR="0" wp14:anchorId="2300862C" wp14:editId="66280BD1">
            <wp:extent cx="497840" cy="894080"/>
            <wp:effectExtent l="0" t="0" r="10160" b="0"/>
            <wp:docPr id="184"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263">
                      <a:extLst>
                        <a:ext uri="{28A0092B-C50C-407E-A947-70E740481C1C}">
                          <a14:useLocalDpi xmlns:a14="http://schemas.microsoft.com/office/drawing/2010/main" val="0"/>
                        </a:ext>
                      </a:extLst>
                    </a:blip>
                    <a:srcRect l="9259" t="4348"/>
                    <a:stretch/>
                  </pic:blipFill>
                  <pic:spPr bwMode="auto">
                    <a:xfrm>
                      <a:off x="0" y="0"/>
                      <a:ext cx="497840" cy="894080"/>
                    </a:xfrm>
                    <a:prstGeom prst="rect">
                      <a:avLst/>
                    </a:prstGeom>
                    <a:noFill/>
                    <a:ln>
                      <a:noFill/>
                    </a:ln>
                  </pic:spPr>
                </pic:pic>
              </a:graphicData>
            </a:graphic>
          </wp:inline>
        </w:drawing>
      </w:r>
      <w:bookmarkEnd w:id="1033"/>
    </w:p>
    <w:p w14:paraId="7DCD796C" w14:textId="76609F23" w:rsidR="00D726B2" w:rsidRPr="003566A9" w:rsidRDefault="00316B9E" w:rsidP="00E858EF">
      <w:pPr>
        <w:pStyle w:val="Didascalia"/>
        <w:suppressAutoHyphens/>
      </w:pPr>
      <w:bookmarkStart w:id="1034" w:name="_Toc520212457"/>
      <w:r>
        <w:t>Figure</w:t>
      </w:r>
      <w:r w:rsidR="00D726B2" w:rsidRPr="003566A9">
        <w:t xml:space="preserve"> 5-64</w:t>
      </w:r>
      <w:r w:rsidR="009B2F18">
        <w:t>.</w:t>
      </w:r>
      <w:r w:rsidR="00D726B2" w:rsidRPr="003566A9">
        <w:t xml:space="preserve"> FM 75</w:t>
      </w:r>
      <w:r w:rsidR="008246F6">
        <w:t>, P</w:t>
      </w:r>
      <w:r w:rsidR="00D726B2" w:rsidRPr="003566A9">
        <w:t xml:space="preserve">anelled pattern </w:t>
      </w:r>
      <w:r>
        <w:t>(after</w:t>
      </w:r>
      <w:r w:rsidR="00D726B2" w:rsidRPr="003566A9">
        <w:t xml:space="preserve"> Furumark 1972: Fig. 72.75)</w:t>
      </w:r>
      <w:bookmarkEnd w:id="1034"/>
    </w:p>
    <w:p w14:paraId="4EB81706" w14:textId="77777777" w:rsidR="00D726B2" w:rsidRPr="003566A9" w:rsidRDefault="00D726B2" w:rsidP="00E858EF">
      <w:pPr>
        <w:suppressAutoHyphens/>
      </w:pPr>
    </w:p>
    <w:p w14:paraId="07582583" w14:textId="43F4C81E" w:rsidR="00D726B2" w:rsidRPr="00191003" w:rsidRDefault="005D54EA" w:rsidP="00E858EF">
      <w:pPr>
        <w:suppressAutoHyphens/>
        <w:ind w:firstLine="360"/>
      </w:pPr>
      <w:r>
        <w:t>A</w:t>
      </w:r>
      <w:r w:rsidR="00D726B2" w:rsidRPr="00191003">
        <w:t xml:space="preserve">nalysis of the occurrence of </w:t>
      </w:r>
      <w:r w:rsidR="00D726B2">
        <w:t xml:space="preserve">the </w:t>
      </w:r>
      <w:r w:rsidR="00D726B2" w:rsidRPr="00191003">
        <w:t>Fur</w:t>
      </w:r>
      <w:r w:rsidR="009E582B">
        <w:t>u</w:t>
      </w:r>
      <w:r w:rsidR="00D726B2" w:rsidRPr="00191003">
        <w:t xml:space="preserve">mark pottery repertoire </w:t>
      </w:r>
      <w:r w:rsidR="00D726B2">
        <w:t>illustrates the following</w:t>
      </w:r>
      <w:r w:rsidR="00D726B2" w:rsidRPr="00191003">
        <w:t>:</w:t>
      </w:r>
    </w:p>
    <w:p w14:paraId="5BA3CE62" w14:textId="77777777" w:rsidR="00D726B2" w:rsidRPr="00191003" w:rsidRDefault="00D726B2" w:rsidP="00370745">
      <w:pPr>
        <w:pStyle w:val="Paragrafoelenco"/>
        <w:numPr>
          <w:ilvl w:val="0"/>
          <w:numId w:val="109"/>
        </w:numPr>
        <w:suppressAutoHyphens/>
        <w:spacing w:after="160"/>
      </w:pPr>
      <w:r w:rsidRPr="00191003">
        <w:t>Wh</w:t>
      </w:r>
      <w:r>
        <w:t>at</w:t>
      </w:r>
      <w:r w:rsidRPr="00191003">
        <w:t xml:space="preserve"> </w:t>
      </w:r>
      <w:r>
        <w:t>motif</w:t>
      </w:r>
      <w:r w:rsidRPr="00191003">
        <w:t>s</w:t>
      </w:r>
      <w:r>
        <w:t xml:space="preserve"> are</w:t>
      </w:r>
      <w:r w:rsidRPr="00191003">
        <w:t xml:space="preserve"> represented </w:t>
      </w:r>
      <w:r>
        <w:t>o</w:t>
      </w:r>
      <w:r w:rsidRPr="00191003">
        <w:t>n larnakes and how they are distributed</w:t>
      </w:r>
      <w:r>
        <w:t xml:space="preserve"> </w:t>
      </w:r>
      <w:r w:rsidRPr="00191003">
        <w:t>(i.e. regional differentiation, differences linked to larnax morphology</w:t>
      </w:r>
      <w:r>
        <w:t>)</w:t>
      </w:r>
    </w:p>
    <w:p w14:paraId="36315D7E" w14:textId="77777777" w:rsidR="00D726B2" w:rsidRPr="00191003" w:rsidRDefault="00D726B2" w:rsidP="00370745">
      <w:pPr>
        <w:pStyle w:val="Paragrafoelenco"/>
        <w:numPr>
          <w:ilvl w:val="0"/>
          <w:numId w:val="109"/>
        </w:numPr>
        <w:suppressAutoHyphens/>
        <w:spacing w:after="160"/>
      </w:pPr>
      <w:r>
        <w:t>Regarding</w:t>
      </w:r>
      <w:r w:rsidRPr="00191003">
        <w:t xml:space="preserve"> quantity</w:t>
      </w:r>
      <w:r>
        <w:t>,</w:t>
      </w:r>
      <w:r w:rsidRPr="00191003">
        <w:t xml:space="preserve"> how many </w:t>
      </w:r>
      <w:r>
        <w:t>motif</w:t>
      </w:r>
      <w:r w:rsidRPr="00191003">
        <w:t xml:space="preserve">s represented </w:t>
      </w:r>
      <w:r>
        <w:t>o</w:t>
      </w:r>
      <w:r w:rsidRPr="00191003">
        <w:t xml:space="preserve">n larnakes are common also in </w:t>
      </w:r>
      <w:r>
        <w:t xml:space="preserve">the </w:t>
      </w:r>
      <w:r w:rsidRPr="00191003">
        <w:t>pottery repertoire</w:t>
      </w:r>
    </w:p>
    <w:p w14:paraId="1EDC8716" w14:textId="77777777" w:rsidR="00D726B2" w:rsidRPr="00191003" w:rsidRDefault="00D726B2" w:rsidP="00370745">
      <w:pPr>
        <w:pStyle w:val="Paragrafoelenco"/>
        <w:numPr>
          <w:ilvl w:val="0"/>
          <w:numId w:val="109"/>
        </w:numPr>
        <w:suppressAutoHyphens/>
        <w:spacing w:after="160"/>
      </w:pPr>
      <w:r>
        <w:t>Whether</w:t>
      </w:r>
      <w:r w:rsidRPr="00191003">
        <w:t xml:space="preserve"> there are the </w:t>
      </w:r>
      <w:r>
        <w:t>motif</w:t>
      </w:r>
      <w:r w:rsidRPr="00191003">
        <w:t xml:space="preserve">s </w:t>
      </w:r>
      <w:r>
        <w:t xml:space="preserve">unique to and not the </w:t>
      </w:r>
      <w:r w:rsidRPr="00191003">
        <w:t>pottery repertoire</w:t>
      </w:r>
    </w:p>
    <w:p w14:paraId="0D372871" w14:textId="5768BEC6" w:rsidR="00D726B2" w:rsidRPr="00191003" w:rsidRDefault="00D726B2" w:rsidP="00E858EF">
      <w:pPr>
        <w:suppressAutoHyphens/>
        <w:ind w:firstLine="360"/>
      </w:pPr>
      <w:r w:rsidRPr="00191003">
        <w:t xml:space="preserve">The </w:t>
      </w:r>
      <w:r>
        <w:t>purpose</w:t>
      </w:r>
      <w:r w:rsidRPr="00191003">
        <w:t xml:space="preserve"> of understanding the repertoire</w:t>
      </w:r>
      <w:r>
        <w:t>s</w:t>
      </w:r>
      <w:r w:rsidRPr="00191003">
        <w:t xml:space="preserve"> </w:t>
      </w:r>
      <w:r>
        <w:t>that</w:t>
      </w:r>
      <w:r w:rsidRPr="00191003">
        <w:t xml:space="preserve"> are sources for larnax decoration </w:t>
      </w:r>
      <w:r>
        <w:t>is</w:t>
      </w:r>
      <w:r w:rsidRPr="00191003">
        <w:t xml:space="preserve"> not examined in the present study because it would req</w:t>
      </w:r>
      <w:r>
        <w:t>uire a systematic iconographic</w:t>
      </w:r>
      <w:r w:rsidRPr="00191003">
        <w:t xml:space="preserve"> comparison with the other media (</w:t>
      </w:r>
      <w:r>
        <w:t>e.g.</w:t>
      </w:r>
      <w:r w:rsidRPr="00191003">
        <w:t xml:space="preserve"> wall painting repertoire, seals iconography)</w:t>
      </w:r>
      <w:r>
        <w:t>. Instead, this approach</w:t>
      </w:r>
      <w:r w:rsidRPr="00191003">
        <w:t xml:space="preserve"> </w:t>
      </w:r>
      <w:r>
        <w:t>is suggested</w:t>
      </w:r>
      <w:r w:rsidRPr="00191003">
        <w:t xml:space="preserve"> </w:t>
      </w:r>
      <w:r>
        <w:t>as a possibility for</w:t>
      </w:r>
      <w:r w:rsidRPr="00191003">
        <w:t xml:space="preserve"> future research (</w:t>
      </w:r>
      <w:r w:rsidR="005D54EA">
        <w:t xml:space="preserve">see </w:t>
      </w:r>
      <w:r>
        <w:t>C</w:t>
      </w:r>
      <w:r w:rsidRPr="00191003">
        <w:t>hapter 7</w:t>
      </w:r>
      <w:r>
        <w:t>, 7.2</w:t>
      </w:r>
      <w:r w:rsidRPr="00191003">
        <w:t>).</w:t>
      </w:r>
    </w:p>
    <w:p w14:paraId="18173B8A" w14:textId="5A528CAC" w:rsidR="00D726B2" w:rsidRPr="00E7753F" w:rsidRDefault="00D726B2" w:rsidP="00E858EF">
      <w:pPr>
        <w:pStyle w:val="Titolo2"/>
        <w:keepNext w:val="0"/>
        <w:keepLines w:val="0"/>
        <w:suppressAutoHyphens/>
      </w:pPr>
      <w:bookmarkStart w:id="1035" w:name="_Toc517807578"/>
      <w:bookmarkStart w:id="1036" w:name="_Toc519894672"/>
      <w:r w:rsidRPr="00E7753F">
        <w:t>Data limit</w:t>
      </w:r>
      <w:r w:rsidR="002F399A">
        <w:t>ations</w:t>
      </w:r>
      <w:bookmarkEnd w:id="1035"/>
      <w:bookmarkEnd w:id="1036"/>
    </w:p>
    <w:p w14:paraId="4E53D15B" w14:textId="77777777" w:rsidR="00D726B2" w:rsidRPr="00191003" w:rsidRDefault="00D726B2" w:rsidP="00E858EF">
      <w:pPr>
        <w:suppressAutoHyphens/>
      </w:pPr>
      <w:r>
        <w:t>The d</w:t>
      </w:r>
      <w:r w:rsidRPr="00191003">
        <w:t xml:space="preserve">ata limits </w:t>
      </w:r>
      <w:r>
        <w:t>regarding</w:t>
      </w:r>
      <w:r w:rsidRPr="00191003">
        <w:t xml:space="preserve"> larna</w:t>
      </w:r>
      <w:r>
        <w:t>x</w:t>
      </w:r>
      <w:r w:rsidRPr="00191003">
        <w:t xml:space="preserve"> analysis are many and concern both</w:t>
      </w:r>
      <w:r>
        <w:t xml:space="preserve"> the</w:t>
      </w:r>
      <w:r w:rsidRPr="00191003">
        <w:t xml:space="preserve"> morphological and </w:t>
      </w:r>
      <w:r>
        <w:t xml:space="preserve">the </w:t>
      </w:r>
      <w:r w:rsidRPr="00191003">
        <w:t>iconographical analys</w:t>
      </w:r>
      <w:r>
        <w:t>e</w:t>
      </w:r>
      <w:r w:rsidRPr="00191003">
        <w:t>s.</w:t>
      </w:r>
      <w:r>
        <w:t xml:space="preserve"> First, one</w:t>
      </w:r>
      <w:r w:rsidRPr="00191003">
        <w:t xml:space="preserve"> general limit </w:t>
      </w:r>
      <w:r>
        <w:t>is because</w:t>
      </w:r>
      <w:r w:rsidRPr="00191003">
        <w:t xml:space="preserve"> in </w:t>
      </w:r>
      <w:r>
        <w:t xml:space="preserve">the </w:t>
      </w:r>
      <w:r w:rsidRPr="00191003">
        <w:t>publication records</w:t>
      </w:r>
      <w:r>
        <w:t>,</w:t>
      </w:r>
      <w:r w:rsidRPr="00191003">
        <w:t xml:space="preserve"> sometimes</w:t>
      </w:r>
      <w:r>
        <w:t>,</w:t>
      </w:r>
      <w:r w:rsidRPr="00191003">
        <w:t xml:space="preserve"> the only information available in respect of larnakes concerns their </w:t>
      </w:r>
      <w:r>
        <w:t>presence</w:t>
      </w:r>
      <w:r w:rsidRPr="00191003">
        <w:t xml:space="preserve">. </w:t>
      </w:r>
      <w:r>
        <w:t>Often,</w:t>
      </w:r>
      <w:r w:rsidRPr="00191003">
        <w:t xml:space="preserve"> no further details are </w:t>
      </w:r>
      <w:r>
        <w:t>provided,</w:t>
      </w:r>
      <w:r w:rsidRPr="00191003">
        <w:t xml:space="preserve"> </w:t>
      </w:r>
      <w:r>
        <w:t>such as</w:t>
      </w:r>
      <w:r w:rsidRPr="00191003">
        <w:t xml:space="preserve"> larnax shape (i.e. bath</w:t>
      </w:r>
      <w:r>
        <w:t>tub</w:t>
      </w:r>
      <w:r w:rsidRPr="00191003">
        <w:t xml:space="preserve"> or chest</w:t>
      </w:r>
      <w:r>
        <w:t xml:space="preserve">-shaped), morphology, </w:t>
      </w:r>
      <w:r w:rsidRPr="00191003">
        <w:t xml:space="preserve">illustration of the larnax or </w:t>
      </w:r>
      <w:r>
        <w:t xml:space="preserve">the </w:t>
      </w:r>
      <w:r w:rsidRPr="00191003">
        <w:t>presence or absence of decoration.</w:t>
      </w:r>
    </w:p>
    <w:p w14:paraId="0093810E" w14:textId="03AC75E9" w:rsidR="00D726B2" w:rsidRPr="00191003" w:rsidRDefault="00D726B2" w:rsidP="00E858EF">
      <w:pPr>
        <w:suppressAutoHyphens/>
      </w:pPr>
      <w:r>
        <w:tab/>
      </w:r>
      <w:r w:rsidRPr="00191003">
        <w:t>Second</w:t>
      </w:r>
      <w:r>
        <w:t>,</w:t>
      </w:r>
      <w:r w:rsidRPr="00191003">
        <w:t xml:space="preserve"> often larnakes are not </w:t>
      </w:r>
      <w:r>
        <w:t>fully</w:t>
      </w:r>
      <w:r w:rsidRPr="00191003">
        <w:t xml:space="preserve"> preserved</w:t>
      </w:r>
      <w:r>
        <w:t>,</w:t>
      </w:r>
      <w:r w:rsidRPr="00191003">
        <w:t xml:space="preserve"> and</w:t>
      </w:r>
      <w:r>
        <w:t>,</w:t>
      </w:r>
      <w:r w:rsidRPr="00191003">
        <w:t xml:space="preserve"> in the vast majority of cases</w:t>
      </w:r>
      <w:r>
        <w:t>, they are fragmentary or</w:t>
      </w:r>
      <w:r w:rsidRPr="00191003">
        <w:t xml:space="preserve"> restored. </w:t>
      </w:r>
      <w:r>
        <w:t>Thus,</w:t>
      </w:r>
      <w:r w:rsidRPr="00191003">
        <w:t xml:space="preserve"> it is not always possible to observe and register all the morphological features. In some circumstances</w:t>
      </w:r>
      <w:r>
        <w:t>,</w:t>
      </w:r>
      <w:r w:rsidRPr="00191003">
        <w:t xml:space="preserve"> the restoration </w:t>
      </w:r>
      <w:r>
        <w:t>is</w:t>
      </w:r>
      <w:r w:rsidRPr="00191003">
        <w:t xml:space="preserve"> invasive and it is no</w:t>
      </w:r>
      <w:r>
        <w:t>t</w:t>
      </w:r>
      <w:r w:rsidRPr="00191003">
        <w:t xml:space="preserve"> possible to examine some features (</w:t>
      </w:r>
      <w:r>
        <w:t>e.g. the</w:t>
      </w:r>
      <w:r w:rsidRPr="00191003">
        <w:t xml:space="preserve"> presence</w:t>
      </w:r>
      <w:r>
        <w:t xml:space="preserve"> or</w:t>
      </w:r>
      <w:r w:rsidRPr="00191003">
        <w:t xml:space="preserve"> absence of base holes). Furthermore</w:t>
      </w:r>
      <w:r>
        <w:t>,</w:t>
      </w:r>
      <w:r w:rsidRPr="00191003">
        <w:t xml:space="preserve"> there are cases in which larnakes have not even</w:t>
      </w:r>
      <w:r>
        <w:t xml:space="preserve"> been</w:t>
      </w:r>
      <w:r w:rsidRPr="00191003">
        <w:t xml:space="preserve"> preserved when the tomb was excavated (</w:t>
      </w:r>
      <w:r>
        <w:t>e.g.</w:t>
      </w:r>
      <w:r w:rsidRPr="00191003">
        <w:t xml:space="preserve"> Liliana), especially for tombs found before the 1950</w:t>
      </w:r>
      <w:r>
        <w:t>s</w:t>
      </w:r>
      <w:r w:rsidRPr="00191003">
        <w:t xml:space="preserve"> and if </w:t>
      </w:r>
      <w:r>
        <w:t xml:space="preserve">the </w:t>
      </w:r>
      <w:r w:rsidRPr="00191003">
        <w:t>larnakes were undecorated</w:t>
      </w:r>
      <w:r>
        <w:t>.</w:t>
      </w:r>
      <w:r w:rsidRPr="00191003">
        <w:t xml:space="preserve"> </w:t>
      </w:r>
      <w:r>
        <w:t xml:space="preserve">In such cases, </w:t>
      </w:r>
      <w:r w:rsidRPr="00191003">
        <w:t xml:space="preserve">the only information available </w:t>
      </w:r>
      <w:r>
        <w:t>is</w:t>
      </w:r>
      <w:r w:rsidRPr="00191003">
        <w:t xml:space="preserve"> </w:t>
      </w:r>
      <w:r>
        <w:t>from</w:t>
      </w:r>
      <w:r w:rsidRPr="00191003">
        <w:t xml:space="preserve"> the excavation report.</w:t>
      </w:r>
      <w:r>
        <w:t xml:space="preserve"> </w:t>
      </w:r>
      <w:r w:rsidRPr="00191003">
        <w:t>Consequently</w:t>
      </w:r>
      <w:r>
        <w:t>,</w:t>
      </w:r>
      <w:r w:rsidRPr="00191003">
        <w:t xml:space="preserve"> the sample of larnakes for which data </w:t>
      </w:r>
      <w:r>
        <w:t>are</w:t>
      </w:r>
      <w:r w:rsidRPr="00191003">
        <w:t xml:space="preserve"> available varies for each feature analysed. </w:t>
      </w:r>
    </w:p>
    <w:p w14:paraId="35CAA644" w14:textId="6A260873" w:rsidR="00D726B2" w:rsidRPr="00191003" w:rsidRDefault="00D726B2" w:rsidP="00E858EF">
      <w:pPr>
        <w:suppressAutoHyphens/>
        <w:rPr>
          <w:b/>
        </w:rPr>
      </w:pPr>
      <w:r>
        <w:tab/>
      </w:r>
      <w:r w:rsidRPr="00191003">
        <w:t>In particular</w:t>
      </w:r>
      <w:r>
        <w:t>,</w:t>
      </w:r>
      <w:r w:rsidRPr="00191003">
        <w:t xml:space="preserve"> information </w:t>
      </w:r>
      <w:r>
        <w:t>regarding</w:t>
      </w:r>
      <w:r w:rsidRPr="00191003">
        <w:t xml:space="preserve"> decoration </w:t>
      </w:r>
      <w:r>
        <w:t>is</w:t>
      </w:r>
      <w:r w:rsidRPr="00191003">
        <w:t xml:space="preserve"> affected </w:t>
      </w:r>
      <w:r>
        <w:t>by</w:t>
      </w:r>
      <w:r w:rsidRPr="00191003">
        <w:t xml:space="preserve"> a series of limit</w:t>
      </w:r>
      <w:r>
        <w:t>s</w:t>
      </w:r>
      <w:r w:rsidRPr="00191003">
        <w:t xml:space="preserve"> </w:t>
      </w:r>
      <w:r>
        <w:t>– mainly</w:t>
      </w:r>
      <w:r w:rsidRPr="00191003">
        <w:t xml:space="preserve"> connected to</w:t>
      </w:r>
      <w:r>
        <w:t xml:space="preserve"> lack of information in published records or</w:t>
      </w:r>
      <w:r w:rsidRPr="00191003">
        <w:t xml:space="preserve"> larnax preservation. </w:t>
      </w:r>
      <w:r>
        <w:t>For some</w:t>
      </w:r>
      <w:r w:rsidRPr="00191003">
        <w:t xml:space="preserve"> of the items examined</w:t>
      </w:r>
      <w:r>
        <w:t>,</w:t>
      </w:r>
      <w:r w:rsidRPr="00191003">
        <w:t xml:space="preserve"> it is possible that the decoration on the larnax </w:t>
      </w:r>
      <w:r>
        <w:t>has</w:t>
      </w:r>
      <w:r w:rsidRPr="00191003">
        <w:t xml:space="preserve"> fade</w:t>
      </w:r>
      <w:r>
        <w:t>d either</w:t>
      </w:r>
      <w:r w:rsidRPr="00191003">
        <w:t xml:space="preserve"> partially or completely (</w:t>
      </w:r>
      <w:r>
        <w:t xml:space="preserve">e.g. the </w:t>
      </w:r>
      <w:r w:rsidRPr="00191003">
        <w:t>larnax from Goudies</w:t>
      </w:r>
      <w:r>
        <w:t xml:space="preserve"> 145,</w:t>
      </w:r>
      <w:r w:rsidRPr="00191003">
        <w:t xml:space="preserve"> </w:t>
      </w:r>
      <w:r>
        <w:t xml:space="preserve">the </w:t>
      </w:r>
      <w:r w:rsidRPr="00191003">
        <w:t>larnax from Knossos Zafer Papoura</w:t>
      </w:r>
      <w:r>
        <w:t>, T</w:t>
      </w:r>
      <w:r w:rsidRPr="00191003">
        <w:t>omb 9</w:t>
      </w:r>
      <w:r>
        <w:t xml:space="preserve">, </w:t>
      </w:r>
      <w:r w:rsidR="00144247">
        <w:t xml:space="preserve">Ashmolean Museum </w:t>
      </w:r>
      <w:r>
        <w:t>AE 1128).</w:t>
      </w:r>
    </w:p>
    <w:p w14:paraId="3A5950AD" w14:textId="77777777" w:rsidR="00D726B2" w:rsidRPr="00191003" w:rsidRDefault="00D726B2" w:rsidP="00E858EF">
      <w:pPr>
        <w:suppressAutoHyphens/>
      </w:pPr>
      <w:r>
        <w:tab/>
      </w:r>
      <w:r w:rsidRPr="00191003">
        <w:t>Other further limit</w:t>
      </w:r>
      <w:r>
        <w:t>s</w:t>
      </w:r>
      <w:r w:rsidRPr="00191003">
        <w:t xml:space="preserve"> </w:t>
      </w:r>
      <w:r>
        <w:t>concern</w:t>
      </w:r>
      <w:r w:rsidRPr="00191003">
        <w:t xml:space="preserve"> the information available from publication</w:t>
      </w:r>
      <w:r>
        <w:t>s</w:t>
      </w:r>
      <w:r w:rsidRPr="00191003">
        <w:t>. In some cases</w:t>
      </w:r>
      <w:r>
        <w:t>,</w:t>
      </w:r>
      <w:r w:rsidRPr="00191003">
        <w:t xml:space="preserve"> decorated larnakes are only partially published (</w:t>
      </w:r>
      <w:r>
        <w:t xml:space="preserve">e.g. </w:t>
      </w:r>
      <w:r w:rsidRPr="00191003">
        <w:t xml:space="preserve">description of the decoration or photos of only one side). </w:t>
      </w:r>
      <w:r>
        <w:t>Thus,</w:t>
      </w:r>
      <w:r w:rsidRPr="00191003">
        <w:t xml:space="preserve"> the data reported in the present analysis are limited to what is reported in the publication</w:t>
      </w:r>
      <w:r>
        <w:t>s.</w:t>
      </w:r>
      <w:r w:rsidRPr="00191003">
        <w:t xml:space="preserve"> </w:t>
      </w:r>
      <w:r>
        <w:t>If</w:t>
      </w:r>
      <w:r w:rsidRPr="00191003">
        <w:t xml:space="preserve"> it </w:t>
      </w:r>
      <w:r>
        <w:t>wa</w:t>
      </w:r>
      <w:r w:rsidRPr="00191003">
        <w:t xml:space="preserve">s possible to study the item, the information from </w:t>
      </w:r>
      <w:r>
        <w:t xml:space="preserve">the </w:t>
      </w:r>
      <w:r w:rsidRPr="00191003">
        <w:t>publication ha</w:t>
      </w:r>
      <w:r>
        <w:t>s</w:t>
      </w:r>
      <w:r w:rsidRPr="00191003">
        <w:t xml:space="preserve"> been integrated. This</w:t>
      </w:r>
      <w:r>
        <w:t xml:space="preserve"> aspect</w:t>
      </w:r>
      <w:r w:rsidRPr="00191003">
        <w:t xml:space="preserve"> </w:t>
      </w:r>
      <w:r>
        <w:t>were systematically collected is</w:t>
      </w:r>
      <w:r w:rsidRPr="00191003">
        <w:t xml:space="preserve"> specified in the </w:t>
      </w:r>
      <w:r>
        <w:t>E</w:t>
      </w:r>
      <w:r w:rsidRPr="00191003">
        <w:t>xcel file concerning the iconographical analysis</w:t>
      </w:r>
      <w:r>
        <w:t xml:space="preserve"> (see appendix A)</w:t>
      </w:r>
      <w:r w:rsidRPr="00191003">
        <w:t>.</w:t>
      </w:r>
    </w:p>
    <w:p w14:paraId="0F78D737" w14:textId="77777777" w:rsidR="00D726B2" w:rsidRPr="00E7753F" w:rsidRDefault="00D726B2" w:rsidP="00E858EF">
      <w:pPr>
        <w:pStyle w:val="Titolo2"/>
        <w:keepNext w:val="0"/>
        <w:keepLines w:val="0"/>
        <w:suppressAutoHyphens/>
      </w:pPr>
      <w:bookmarkStart w:id="1037" w:name="_Toc517807579"/>
      <w:bookmarkStart w:id="1038" w:name="_Toc519894673"/>
      <w:r w:rsidRPr="00E7753F">
        <w:t>Terminology</w:t>
      </w:r>
      <w:bookmarkEnd w:id="1037"/>
      <w:bookmarkEnd w:id="1038"/>
    </w:p>
    <w:p w14:paraId="29E50EB5"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E7753F">
        <w:rPr>
          <w:color w:val="000000"/>
        </w:rPr>
        <w:t>A</w:t>
      </w:r>
      <w:r>
        <w:rPr>
          <w:b/>
          <w:color w:val="000000"/>
        </w:rPr>
        <w:t xml:space="preserve"> l</w:t>
      </w:r>
      <w:r w:rsidRPr="00191003">
        <w:rPr>
          <w:b/>
          <w:color w:val="000000"/>
        </w:rPr>
        <w:t>arnax</w:t>
      </w:r>
      <w:r w:rsidRPr="00191003">
        <w:rPr>
          <w:color w:val="000000"/>
        </w:rPr>
        <w:t xml:space="preserve"> </w:t>
      </w:r>
      <w:r>
        <w:rPr>
          <w:color w:val="000000"/>
        </w:rPr>
        <w:t>is</w:t>
      </w:r>
      <w:r w:rsidRPr="00191003">
        <w:rPr>
          <w:color w:val="000000"/>
        </w:rPr>
        <w:t xml:space="preserve"> the main unit of the present study and </w:t>
      </w:r>
      <w:r>
        <w:rPr>
          <w:color w:val="000000"/>
        </w:rPr>
        <w:t>is</w:t>
      </w:r>
      <w:r w:rsidRPr="00191003">
        <w:rPr>
          <w:color w:val="000000"/>
        </w:rPr>
        <w:t xml:space="preserve"> defined as </w:t>
      </w:r>
      <w:r>
        <w:rPr>
          <w:color w:val="000000"/>
        </w:rPr>
        <w:t xml:space="preserve">a </w:t>
      </w:r>
      <w:r w:rsidRPr="00191003">
        <w:rPr>
          <w:color w:val="000000"/>
        </w:rPr>
        <w:t>clay receptacle used mainly for burial purpose</w:t>
      </w:r>
      <w:r>
        <w:rPr>
          <w:color w:val="000000"/>
        </w:rPr>
        <w:t>s</w:t>
      </w:r>
      <w:r w:rsidRPr="00191003">
        <w:rPr>
          <w:color w:val="000000"/>
        </w:rPr>
        <w:t xml:space="preserve"> (there are larnakes or larnax fragments found in non-burial location</w:t>
      </w:r>
      <w:r>
        <w:rPr>
          <w:color w:val="000000"/>
        </w:rPr>
        <w:t>s</w:t>
      </w:r>
      <w:r w:rsidRPr="00191003">
        <w:rPr>
          <w:color w:val="000000"/>
        </w:rPr>
        <w:t xml:space="preserve">, </w:t>
      </w:r>
      <w:r>
        <w:rPr>
          <w:color w:val="000000"/>
        </w:rPr>
        <w:t>e.g.</w:t>
      </w:r>
      <w:r w:rsidRPr="00191003">
        <w:rPr>
          <w:color w:val="000000"/>
        </w:rPr>
        <w:t xml:space="preserve"> settlements or houses, which cannot be related to a burial use</w:t>
      </w:r>
      <w:r>
        <w:rPr>
          <w:color w:val="000000"/>
        </w:rPr>
        <w:t>, such</w:t>
      </w:r>
      <w:r w:rsidRPr="00191003">
        <w:rPr>
          <w:color w:val="000000"/>
        </w:rPr>
        <w:t xml:space="preserve"> as the fragment of </w:t>
      </w:r>
      <w:r>
        <w:rPr>
          <w:color w:val="000000"/>
        </w:rPr>
        <w:t xml:space="preserve">a </w:t>
      </w:r>
      <w:r w:rsidRPr="00191003">
        <w:rPr>
          <w:color w:val="000000"/>
        </w:rPr>
        <w:t>bathtub larnax from the royal villa at Knossos</w:t>
      </w:r>
      <w:r>
        <w:rPr>
          <w:color w:val="000000"/>
        </w:rPr>
        <w:t>: see</w:t>
      </w:r>
      <w:r w:rsidRPr="00191003">
        <w:rPr>
          <w:color w:val="000000"/>
        </w:rPr>
        <w:t xml:space="preserve"> </w:t>
      </w:r>
      <w:r>
        <w:rPr>
          <w:color w:val="000000"/>
        </w:rPr>
        <w:t>C</w:t>
      </w:r>
      <w:r w:rsidRPr="009024B8">
        <w:rPr>
          <w:color w:val="000000"/>
        </w:rPr>
        <w:t>rowley</w:t>
      </w:r>
      <w:r w:rsidRPr="00191003" w:rsidDel="00AE3484">
        <w:rPr>
          <w:color w:val="000000"/>
        </w:rPr>
        <w:t xml:space="preserve"> </w:t>
      </w:r>
      <w:r w:rsidRPr="00191003">
        <w:rPr>
          <w:color w:val="000000"/>
        </w:rPr>
        <w:t>and Morris 1995: 157-182).</w:t>
      </w:r>
    </w:p>
    <w:p w14:paraId="5371F24C"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Regarding</w:t>
      </w:r>
      <w:r w:rsidRPr="00191003">
        <w:rPr>
          <w:color w:val="000000"/>
        </w:rPr>
        <w:t xml:space="preserve"> morphology</w:t>
      </w:r>
      <w:r>
        <w:rPr>
          <w:color w:val="000000"/>
        </w:rPr>
        <w:t>,</w:t>
      </w:r>
      <w:r w:rsidRPr="00191003">
        <w:rPr>
          <w:color w:val="000000"/>
        </w:rPr>
        <w:t xml:space="preserve"> LM III larnakes are </w:t>
      </w:r>
      <w:r>
        <w:rPr>
          <w:color w:val="000000"/>
        </w:rPr>
        <w:t xml:space="preserve">relatively </w:t>
      </w:r>
      <w:r w:rsidRPr="00191003">
        <w:rPr>
          <w:color w:val="000000"/>
        </w:rPr>
        <w:t xml:space="preserve">standardised. It is possible to distinguish two main shapes: </w:t>
      </w:r>
      <w:r w:rsidRPr="00191003">
        <w:rPr>
          <w:b/>
          <w:color w:val="000000"/>
        </w:rPr>
        <w:t>the chest</w:t>
      </w:r>
      <w:r>
        <w:rPr>
          <w:b/>
          <w:color w:val="000000"/>
        </w:rPr>
        <w:t>-shaped</w:t>
      </w:r>
      <w:r w:rsidRPr="00191003">
        <w:rPr>
          <w:b/>
          <w:color w:val="000000"/>
        </w:rPr>
        <w:t xml:space="preserve"> larnax</w:t>
      </w:r>
      <w:r w:rsidRPr="00191003">
        <w:rPr>
          <w:color w:val="000000"/>
        </w:rPr>
        <w:t xml:space="preserve"> </w:t>
      </w:r>
      <w:r>
        <w:rPr>
          <w:color w:val="000000"/>
        </w:rPr>
        <w:t xml:space="preserve">is </w:t>
      </w:r>
      <w:r w:rsidRPr="00191003">
        <w:rPr>
          <w:color w:val="000000"/>
        </w:rPr>
        <w:t>rectangular in shape, usually with four</w:t>
      </w:r>
      <w:r w:rsidRPr="00191003">
        <w:rPr>
          <w:b/>
          <w:bCs/>
          <w:color w:val="000000"/>
        </w:rPr>
        <w:t xml:space="preserve"> </w:t>
      </w:r>
      <w:r w:rsidRPr="00191003">
        <w:rPr>
          <w:color w:val="000000"/>
        </w:rPr>
        <w:t>or six feet, provided with a lid (gabled or</w:t>
      </w:r>
      <w:r>
        <w:rPr>
          <w:color w:val="000000"/>
        </w:rPr>
        <w:t xml:space="preserve"> flat) and often with panel</w:t>
      </w:r>
      <w:r w:rsidRPr="00191003">
        <w:rPr>
          <w:color w:val="000000"/>
        </w:rPr>
        <w:t xml:space="preserve">s visible on the exterior walls. When decorated, this </w:t>
      </w:r>
      <w:r>
        <w:rPr>
          <w:color w:val="000000"/>
        </w:rPr>
        <w:t>type</w:t>
      </w:r>
      <w:r w:rsidRPr="00191003">
        <w:rPr>
          <w:color w:val="000000"/>
        </w:rPr>
        <w:t xml:space="preserve"> of larnax is painted on the exterior only. </w:t>
      </w:r>
    </w:p>
    <w:p w14:paraId="55691E75"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191003">
        <w:rPr>
          <w:noProof/>
          <w:color w:val="000000"/>
          <w:lang w:val="it-IT"/>
        </w:rPr>
        <w:drawing>
          <wp:inline distT="0" distB="0" distL="0" distR="0" wp14:anchorId="295A35DB" wp14:editId="04D0DFBD">
            <wp:extent cx="2859133" cy="3001535"/>
            <wp:effectExtent l="0" t="0" r="11430" b="0"/>
            <wp:docPr id="18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861671" cy="3004200"/>
                    </a:xfrm>
                    <a:prstGeom prst="rect">
                      <a:avLst/>
                    </a:prstGeom>
                    <a:noFill/>
                    <a:ln>
                      <a:noFill/>
                    </a:ln>
                  </pic:spPr>
                </pic:pic>
              </a:graphicData>
            </a:graphic>
          </wp:inline>
        </w:drawing>
      </w:r>
    </w:p>
    <w:p w14:paraId="3CC247F8" w14:textId="461BEE18" w:rsidR="00D726B2" w:rsidRPr="000342D7" w:rsidRDefault="00316B9E" w:rsidP="00E858EF">
      <w:pPr>
        <w:pStyle w:val="Didascalia"/>
        <w:suppressAutoHyphens/>
      </w:pPr>
      <w:bookmarkStart w:id="1039" w:name="_Toc520212458"/>
      <w:r>
        <w:t>Figure</w:t>
      </w:r>
      <w:r w:rsidR="00D726B2" w:rsidRPr="007F18D6">
        <w:t xml:space="preserve"> 5</w:t>
      </w:r>
      <w:r w:rsidR="00D726B2">
        <w:t>-65</w:t>
      </w:r>
      <w:r w:rsidR="00C50BF1">
        <w:t>.</w:t>
      </w:r>
      <w:r w:rsidR="00D726B2" w:rsidRPr="007F18D6">
        <w:t xml:space="preserve"> Chest-shaped larnax with four feet and gabled lid (after Preston 2004b: F</w:t>
      </w:r>
      <w:r w:rsidR="00D726B2" w:rsidRPr="00034C5E">
        <w:t>ig. 3)</w:t>
      </w:r>
      <w:bookmarkEnd w:id="1039"/>
      <w:r w:rsidR="00D726B2" w:rsidRPr="00034C5E">
        <w:t xml:space="preserve"> </w:t>
      </w:r>
    </w:p>
    <w:p w14:paraId="044FCA4B"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04104085"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FF0000"/>
        </w:rPr>
      </w:pPr>
      <w:r w:rsidRPr="00E7753F">
        <w:rPr>
          <w:color w:val="000000"/>
        </w:rPr>
        <w:t>A</w:t>
      </w:r>
      <w:r>
        <w:rPr>
          <w:b/>
          <w:color w:val="000000"/>
        </w:rPr>
        <w:t xml:space="preserve"> b</w:t>
      </w:r>
      <w:r w:rsidRPr="00191003">
        <w:rPr>
          <w:b/>
          <w:color w:val="000000"/>
        </w:rPr>
        <w:t xml:space="preserve">athtub larnax </w:t>
      </w:r>
      <w:r w:rsidRPr="00191003">
        <w:rPr>
          <w:color w:val="000000"/>
        </w:rPr>
        <w:t xml:space="preserve">is oval in shape and without indented panels. Bathtub larnakes </w:t>
      </w:r>
      <w:r>
        <w:rPr>
          <w:color w:val="000000"/>
        </w:rPr>
        <w:t>are</w:t>
      </w:r>
      <w:r w:rsidRPr="00191003">
        <w:rPr>
          <w:color w:val="000000"/>
        </w:rPr>
        <w:t xml:space="preserve"> usually found without </w:t>
      </w:r>
      <w:r>
        <w:rPr>
          <w:color w:val="000000"/>
        </w:rPr>
        <w:t xml:space="preserve">a </w:t>
      </w:r>
      <w:r w:rsidRPr="00191003">
        <w:rPr>
          <w:color w:val="000000"/>
        </w:rPr>
        <w:t>lid. The</w:t>
      </w:r>
      <w:r>
        <w:rPr>
          <w:color w:val="000000"/>
        </w:rPr>
        <w:t>se larnakes</w:t>
      </w:r>
      <w:r w:rsidRPr="00191003">
        <w:rPr>
          <w:color w:val="000000"/>
        </w:rPr>
        <w:t xml:space="preserve"> </w:t>
      </w:r>
      <w:r>
        <w:rPr>
          <w:color w:val="000000"/>
        </w:rPr>
        <w:t>have a</w:t>
      </w:r>
      <w:r w:rsidRPr="00191003">
        <w:rPr>
          <w:color w:val="000000"/>
        </w:rPr>
        <w:t xml:space="preserve"> projecting rim at the top and sometimes also at the base (less projecting). Their length and </w:t>
      </w:r>
      <w:r>
        <w:rPr>
          <w:color w:val="000000"/>
        </w:rPr>
        <w:t>width vary between the upper</w:t>
      </w:r>
      <w:r w:rsidRPr="00191003">
        <w:rPr>
          <w:color w:val="000000"/>
        </w:rPr>
        <w:t xml:space="preserve"> and lower rim. </w:t>
      </w:r>
      <w:r w:rsidRPr="00191003">
        <w:t>They are often decorated on both the exterior and the interior.</w:t>
      </w:r>
      <w:r w:rsidRPr="00191003">
        <w:rPr>
          <w:color w:val="FF0000"/>
        </w:rPr>
        <w:t xml:space="preserve"> </w:t>
      </w:r>
    </w:p>
    <w:p w14:paraId="7E87D44D" w14:textId="77777777" w:rsidR="00D726B2"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T</w:t>
      </w:r>
      <w:r w:rsidRPr="00191003">
        <w:rPr>
          <w:color w:val="000000"/>
        </w:rPr>
        <w:t>o describe larnax morphology</w:t>
      </w:r>
      <w:r>
        <w:rPr>
          <w:color w:val="000000"/>
        </w:rPr>
        <w:t>, it</w:t>
      </w:r>
      <w:r w:rsidRPr="00191003">
        <w:rPr>
          <w:color w:val="000000"/>
        </w:rPr>
        <w:t xml:space="preserve"> is useful to specify some morphological characteristic</w:t>
      </w:r>
      <w:r>
        <w:rPr>
          <w:color w:val="000000"/>
        </w:rPr>
        <w:t>s</w:t>
      </w:r>
      <w:r w:rsidRPr="00191003">
        <w:rPr>
          <w:color w:val="000000"/>
        </w:rPr>
        <w:t xml:space="preserve"> that </w:t>
      </w:r>
      <w:r>
        <w:rPr>
          <w:color w:val="000000"/>
        </w:rPr>
        <w:t>vary in their presence or absence</w:t>
      </w:r>
    </w:p>
    <w:p w14:paraId="3BE891B2"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642A4017"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191003">
        <w:rPr>
          <w:noProof/>
          <w:color w:val="000000"/>
          <w:lang w:val="it-IT"/>
        </w:rPr>
        <w:drawing>
          <wp:inline distT="0" distB="0" distL="0" distR="0" wp14:anchorId="5C240C95" wp14:editId="6E038F6F">
            <wp:extent cx="3088782" cy="2028607"/>
            <wp:effectExtent l="0" t="0" r="10160" b="3810"/>
            <wp:docPr id="18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089337" cy="2028971"/>
                    </a:xfrm>
                    <a:prstGeom prst="rect">
                      <a:avLst/>
                    </a:prstGeom>
                    <a:noFill/>
                    <a:ln>
                      <a:noFill/>
                    </a:ln>
                  </pic:spPr>
                </pic:pic>
              </a:graphicData>
            </a:graphic>
          </wp:inline>
        </w:drawing>
      </w:r>
    </w:p>
    <w:p w14:paraId="43E997CF" w14:textId="3889E317" w:rsidR="00D726B2" w:rsidRPr="00191003" w:rsidRDefault="00D726B2" w:rsidP="00E858EF">
      <w:pPr>
        <w:pStyle w:val="Didascalia"/>
        <w:suppressAutoHyphens/>
      </w:pPr>
      <w:bookmarkStart w:id="1040" w:name="_Toc520212459"/>
      <w:r w:rsidRPr="00191003">
        <w:t>Fig</w:t>
      </w:r>
      <w:r>
        <w:t>ure</w:t>
      </w:r>
      <w:r w:rsidRPr="00191003">
        <w:t xml:space="preserve"> 5</w:t>
      </w:r>
      <w:r>
        <w:t>-66</w:t>
      </w:r>
      <w:r w:rsidR="00C50BF1">
        <w:t>.</w:t>
      </w:r>
      <w:r w:rsidRPr="00191003">
        <w:t xml:space="preserve"> </w:t>
      </w:r>
      <w:r>
        <w:t>B</w:t>
      </w:r>
      <w:r w:rsidRPr="00191003">
        <w:t xml:space="preserve">athtub larnax (after Preston 2004b: </w:t>
      </w:r>
      <w:r>
        <w:t>F</w:t>
      </w:r>
      <w:r w:rsidRPr="00191003">
        <w:t>ig. 3)</w:t>
      </w:r>
      <w:bookmarkEnd w:id="1040"/>
    </w:p>
    <w:p w14:paraId="7371B7CA" w14:textId="77777777" w:rsidR="00D726B2"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6CA4A72F"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03AE9802" w14:textId="505932A8"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b/>
          <w:color w:val="000000"/>
        </w:rPr>
      </w:pPr>
      <w:r>
        <w:rPr>
          <w:b/>
          <w:color w:val="000000"/>
        </w:rPr>
        <w:tab/>
      </w:r>
      <w:r w:rsidRPr="00191003">
        <w:rPr>
          <w:b/>
          <w:color w:val="000000"/>
        </w:rPr>
        <w:t>Chest larnax (from top down):</w:t>
      </w:r>
    </w:p>
    <w:p w14:paraId="5C0A47C9"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b/>
          <w:color w:val="000000"/>
        </w:rPr>
        <w:tab/>
      </w:r>
      <w:r w:rsidRPr="00191003">
        <w:rPr>
          <w:b/>
          <w:color w:val="000000"/>
        </w:rPr>
        <w:t>Lid</w:t>
      </w:r>
      <w:r w:rsidRPr="00191003">
        <w:rPr>
          <w:color w:val="000000"/>
        </w:rPr>
        <w:t xml:space="preserve">: it is possible to distinguish two </w:t>
      </w:r>
      <w:r>
        <w:rPr>
          <w:color w:val="000000"/>
        </w:rPr>
        <w:t xml:space="preserve">main </w:t>
      </w:r>
      <w:r w:rsidRPr="00191003">
        <w:rPr>
          <w:color w:val="000000"/>
        </w:rPr>
        <w:t>lid typologies for chest</w:t>
      </w:r>
      <w:r>
        <w:rPr>
          <w:color w:val="000000"/>
        </w:rPr>
        <w:t>-</w:t>
      </w:r>
      <w:r w:rsidRPr="00191003">
        <w:rPr>
          <w:color w:val="000000"/>
        </w:rPr>
        <w:t>shaped larnakes</w:t>
      </w:r>
      <w:r>
        <w:rPr>
          <w:color w:val="000000"/>
        </w:rPr>
        <w:t>:</w:t>
      </w:r>
      <w:r w:rsidRPr="00191003">
        <w:rPr>
          <w:color w:val="000000"/>
        </w:rPr>
        <w:t xml:space="preserve"> gabled and flat. </w:t>
      </w:r>
      <w:r>
        <w:rPr>
          <w:color w:val="000000"/>
        </w:rPr>
        <w:t>A</w:t>
      </w:r>
      <w:r w:rsidRPr="00191003">
        <w:rPr>
          <w:color w:val="000000"/>
        </w:rPr>
        <w:t xml:space="preserve"> </w:t>
      </w:r>
      <w:r w:rsidRPr="00191003">
        <w:rPr>
          <w:b/>
          <w:color w:val="000000"/>
        </w:rPr>
        <w:t>gable</w:t>
      </w:r>
      <w:r>
        <w:rPr>
          <w:b/>
          <w:color w:val="000000"/>
        </w:rPr>
        <w:t>d</w:t>
      </w:r>
      <w:r w:rsidRPr="00191003">
        <w:rPr>
          <w:b/>
          <w:color w:val="000000"/>
        </w:rPr>
        <w:t xml:space="preserve"> lid</w:t>
      </w:r>
      <w:r w:rsidRPr="00191003">
        <w:rPr>
          <w:color w:val="000000"/>
        </w:rPr>
        <w:t xml:space="preserve"> presents different characteristic</w:t>
      </w:r>
      <w:r>
        <w:rPr>
          <w:color w:val="000000"/>
        </w:rPr>
        <w:t>s</w:t>
      </w:r>
      <w:r w:rsidRPr="00191003">
        <w:rPr>
          <w:color w:val="000000"/>
        </w:rPr>
        <w:t xml:space="preserve"> related to its height, </w:t>
      </w:r>
      <w:r>
        <w:rPr>
          <w:color w:val="000000"/>
        </w:rPr>
        <w:t xml:space="preserve">its </w:t>
      </w:r>
      <w:r w:rsidRPr="00191003">
        <w:rPr>
          <w:color w:val="000000"/>
        </w:rPr>
        <w:t>shape</w:t>
      </w:r>
      <w:r>
        <w:rPr>
          <w:color w:val="000000"/>
        </w:rPr>
        <w:t>,</w:t>
      </w:r>
      <w:r w:rsidRPr="00191003">
        <w:rPr>
          <w:color w:val="000000"/>
        </w:rPr>
        <w:t xml:space="preserve"> the incline of the side (when the sides of the lid are more rounded</w:t>
      </w:r>
      <w:r>
        <w:rPr>
          <w:color w:val="000000"/>
        </w:rPr>
        <w:t>,</w:t>
      </w:r>
      <w:r w:rsidRPr="00191003">
        <w:rPr>
          <w:color w:val="000000"/>
        </w:rPr>
        <w:t xml:space="preserve"> </w:t>
      </w:r>
      <w:r>
        <w:rPr>
          <w:color w:val="000000"/>
        </w:rPr>
        <w:t>it</w:t>
      </w:r>
      <w:r w:rsidRPr="00191003">
        <w:rPr>
          <w:color w:val="000000"/>
        </w:rPr>
        <w:t xml:space="preserve"> is called</w:t>
      </w:r>
      <w:r>
        <w:rPr>
          <w:color w:val="000000"/>
        </w:rPr>
        <w:t xml:space="preserve"> a</w:t>
      </w:r>
      <w:r w:rsidRPr="00191003">
        <w:rPr>
          <w:color w:val="000000"/>
        </w:rPr>
        <w:t xml:space="preserve"> </w:t>
      </w:r>
      <w:r w:rsidRPr="00191003">
        <w:rPr>
          <w:b/>
          <w:color w:val="000000"/>
        </w:rPr>
        <w:t>saddle lid</w:t>
      </w:r>
      <w:r w:rsidRPr="00191003">
        <w:rPr>
          <w:color w:val="000000"/>
        </w:rPr>
        <w:t>), the shape and length of the ridge pole and</w:t>
      </w:r>
      <w:r>
        <w:rPr>
          <w:color w:val="000000"/>
        </w:rPr>
        <w:t xml:space="preserve"> its</w:t>
      </w:r>
      <w:r w:rsidRPr="00191003">
        <w:rPr>
          <w:color w:val="000000"/>
        </w:rPr>
        <w:t xml:space="preserve"> different ending</w:t>
      </w:r>
      <w:r>
        <w:rPr>
          <w:color w:val="000000"/>
        </w:rPr>
        <w:t>s</w:t>
      </w:r>
      <w:r w:rsidRPr="00191003">
        <w:rPr>
          <w:color w:val="000000"/>
        </w:rPr>
        <w:t xml:space="preserve"> (</w:t>
      </w:r>
      <w:r>
        <w:rPr>
          <w:color w:val="000000"/>
        </w:rPr>
        <w:t>e.g.</w:t>
      </w:r>
      <w:r w:rsidRPr="00191003">
        <w:rPr>
          <w:color w:val="000000"/>
        </w:rPr>
        <w:t xml:space="preserve"> figurine endings or both ends of the ridge pole resemble different shape</w:t>
      </w:r>
      <w:r>
        <w:rPr>
          <w:color w:val="000000"/>
        </w:rPr>
        <w:t>s,</w:t>
      </w:r>
      <w:r w:rsidRPr="00191003">
        <w:rPr>
          <w:color w:val="000000"/>
        </w:rPr>
        <w:t xml:space="preserve"> </w:t>
      </w:r>
      <w:r>
        <w:rPr>
          <w:color w:val="000000"/>
        </w:rPr>
        <w:t>such as</w:t>
      </w:r>
      <w:r w:rsidRPr="00191003">
        <w:rPr>
          <w:color w:val="000000"/>
        </w:rPr>
        <w:t xml:space="preserve"> horns, </w:t>
      </w:r>
      <w:r>
        <w:rPr>
          <w:color w:val="000000"/>
        </w:rPr>
        <w:t xml:space="preserve">a </w:t>
      </w:r>
      <w:r w:rsidRPr="00191003">
        <w:rPr>
          <w:color w:val="000000"/>
        </w:rPr>
        <w:t xml:space="preserve">curved shape, </w:t>
      </w:r>
      <w:r>
        <w:rPr>
          <w:color w:val="000000"/>
        </w:rPr>
        <w:t xml:space="preserve">a </w:t>
      </w:r>
      <w:r w:rsidRPr="00191003">
        <w:rPr>
          <w:color w:val="000000"/>
        </w:rPr>
        <w:t>rectangular shape), the presence of handles or holes or both in different number</w:t>
      </w:r>
      <w:r>
        <w:rPr>
          <w:color w:val="000000"/>
        </w:rPr>
        <w:t>s</w:t>
      </w:r>
      <w:r w:rsidRPr="00191003">
        <w:rPr>
          <w:color w:val="000000"/>
        </w:rPr>
        <w:t xml:space="preserve"> and shape</w:t>
      </w:r>
      <w:r>
        <w:rPr>
          <w:color w:val="000000"/>
        </w:rPr>
        <w:t>s</w:t>
      </w:r>
      <w:r w:rsidRPr="00191003">
        <w:rPr>
          <w:color w:val="000000"/>
        </w:rPr>
        <w:t>, the presence of panel division (painted, incised, raised and in different number</w:t>
      </w:r>
      <w:r>
        <w:rPr>
          <w:color w:val="000000"/>
        </w:rPr>
        <w:t>s, e.g.</w:t>
      </w:r>
      <w:r w:rsidRPr="00191003">
        <w:rPr>
          <w:color w:val="000000"/>
        </w:rPr>
        <w:t xml:space="preserve"> </w:t>
      </w:r>
      <w:r>
        <w:rPr>
          <w:color w:val="000000"/>
        </w:rPr>
        <w:t>four</w:t>
      </w:r>
      <w:r w:rsidRPr="00191003">
        <w:rPr>
          <w:color w:val="000000"/>
        </w:rPr>
        <w:t xml:space="preserve"> or </w:t>
      </w:r>
      <w:r>
        <w:rPr>
          <w:color w:val="000000"/>
        </w:rPr>
        <w:t>six</w:t>
      </w:r>
      <w:r w:rsidRPr="00191003">
        <w:rPr>
          <w:color w:val="000000"/>
        </w:rPr>
        <w:t>)</w:t>
      </w:r>
      <w:r>
        <w:rPr>
          <w:color w:val="000000"/>
        </w:rPr>
        <w:t xml:space="preserve"> and</w:t>
      </w:r>
      <w:r w:rsidRPr="00191003">
        <w:rPr>
          <w:color w:val="000000"/>
        </w:rPr>
        <w:t xml:space="preserve"> rim</w:t>
      </w:r>
      <w:r>
        <w:rPr>
          <w:color w:val="000000"/>
        </w:rPr>
        <w:t>s</w:t>
      </w:r>
      <w:r w:rsidRPr="00191003">
        <w:rPr>
          <w:color w:val="000000"/>
        </w:rPr>
        <w:t xml:space="preserve"> of different thickness. </w:t>
      </w:r>
      <w:r w:rsidRPr="00E7753F">
        <w:rPr>
          <w:color w:val="000000"/>
        </w:rPr>
        <w:t>A</w:t>
      </w:r>
      <w:r>
        <w:rPr>
          <w:b/>
          <w:color w:val="000000"/>
        </w:rPr>
        <w:t xml:space="preserve"> f</w:t>
      </w:r>
      <w:r w:rsidRPr="00191003">
        <w:rPr>
          <w:b/>
          <w:color w:val="000000"/>
        </w:rPr>
        <w:t>lat lid</w:t>
      </w:r>
      <w:r w:rsidRPr="00191003">
        <w:rPr>
          <w:color w:val="000000"/>
        </w:rPr>
        <w:t xml:space="preserve"> is usually formed by two rectangular matching parts, provided with handles. It is usually thin (max 4 cm in thickness) and </w:t>
      </w:r>
      <w:r>
        <w:rPr>
          <w:color w:val="000000"/>
        </w:rPr>
        <w:t xml:space="preserve">the </w:t>
      </w:r>
      <w:r w:rsidRPr="00191003">
        <w:rPr>
          <w:color w:val="000000"/>
        </w:rPr>
        <w:t>handles are usually placed at the centre of each part (</w:t>
      </w:r>
      <w:r>
        <w:rPr>
          <w:color w:val="000000"/>
        </w:rPr>
        <w:t>i.e.</w:t>
      </w:r>
      <w:r w:rsidRPr="00191003">
        <w:rPr>
          <w:color w:val="000000"/>
        </w:rPr>
        <w:t xml:space="preserve"> two handles).</w:t>
      </w:r>
    </w:p>
    <w:p w14:paraId="1170D9AA"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b/>
          <w:color w:val="000000"/>
        </w:rPr>
        <w:tab/>
      </w:r>
      <w:r w:rsidRPr="00191003">
        <w:rPr>
          <w:b/>
          <w:color w:val="000000"/>
        </w:rPr>
        <w:t>Sides:</w:t>
      </w:r>
      <w:r w:rsidRPr="00191003">
        <w:rPr>
          <w:color w:val="000000"/>
        </w:rPr>
        <w:t xml:space="preserve"> chest</w:t>
      </w:r>
      <w:r>
        <w:rPr>
          <w:color w:val="000000"/>
        </w:rPr>
        <w:t>-shaped</w:t>
      </w:r>
      <w:r w:rsidRPr="00191003">
        <w:rPr>
          <w:color w:val="000000"/>
        </w:rPr>
        <w:t xml:space="preserve"> larnakes have four sides: long sides (</w:t>
      </w:r>
      <w:r>
        <w:rPr>
          <w:color w:val="000000"/>
        </w:rPr>
        <w:t xml:space="preserve">usually named sides </w:t>
      </w:r>
      <w:r w:rsidRPr="00191003">
        <w:rPr>
          <w:color w:val="000000"/>
        </w:rPr>
        <w:t>A and</w:t>
      </w:r>
      <w:r>
        <w:rPr>
          <w:color w:val="000000"/>
        </w:rPr>
        <w:t xml:space="preserve"> </w:t>
      </w:r>
      <w:r w:rsidRPr="00191003">
        <w:rPr>
          <w:color w:val="000000"/>
        </w:rPr>
        <w:t>B) and short sides (</w:t>
      </w:r>
      <w:r>
        <w:rPr>
          <w:color w:val="000000"/>
        </w:rPr>
        <w:t>usually named sides</w:t>
      </w:r>
      <w:r w:rsidRPr="00191003">
        <w:rPr>
          <w:color w:val="000000"/>
        </w:rPr>
        <w:t xml:space="preserve"> C and D).</w:t>
      </w:r>
    </w:p>
    <w:p w14:paraId="315B1AF6"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b/>
          <w:color w:val="000000"/>
        </w:rPr>
        <w:tab/>
      </w:r>
      <w:r w:rsidRPr="00191003">
        <w:rPr>
          <w:b/>
          <w:color w:val="000000"/>
        </w:rPr>
        <w:t>Panel division</w:t>
      </w:r>
      <w:r w:rsidRPr="00191003">
        <w:rPr>
          <w:color w:val="000000"/>
        </w:rPr>
        <w:t>: chest</w:t>
      </w:r>
      <w:r>
        <w:rPr>
          <w:color w:val="000000"/>
        </w:rPr>
        <w:t>-</w:t>
      </w:r>
      <w:r w:rsidRPr="00191003">
        <w:rPr>
          <w:color w:val="000000"/>
        </w:rPr>
        <w:t>shaped larnakes are usually divided in</w:t>
      </w:r>
      <w:r>
        <w:rPr>
          <w:color w:val="000000"/>
        </w:rPr>
        <w:t>to</w:t>
      </w:r>
      <w:r w:rsidRPr="00191003">
        <w:rPr>
          <w:color w:val="000000"/>
        </w:rPr>
        <w:t xml:space="preserve"> panels (four or six) frames. This division can be made through incised frames, painted frames</w:t>
      </w:r>
      <w:r>
        <w:rPr>
          <w:color w:val="000000"/>
        </w:rPr>
        <w:t>,</w:t>
      </w:r>
      <w:r w:rsidRPr="00191003">
        <w:rPr>
          <w:color w:val="000000"/>
        </w:rPr>
        <w:t xml:space="preserve"> or both, or raised frames (the thickness var</w:t>
      </w:r>
      <w:r>
        <w:rPr>
          <w:color w:val="000000"/>
        </w:rPr>
        <w:t>ies</w:t>
      </w:r>
      <w:r w:rsidRPr="00191003">
        <w:rPr>
          <w:color w:val="000000"/>
        </w:rPr>
        <w:t xml:space="preserve"> from larnax to larnax</w:t>
      </w:r>
      <w:r>
        <w:rPr>
          <w:color w:val="000000"/>
        </w:rPr>
        <w:t>,</w:t>
      </w:r>
      <w:r w:rsidRPr="00191003">
        <w:rPr>
          <w:color w:val="000000"/>
        </w:rPr>
        <w:t xml:space="preserve"> and raised frames</w:t>
      </w:r>
      <w:r>
        <w:rPr>
          <w:color w:val="000000"/>
        </w:rPr>
        <w:t>,</w:t>
      </w:r>
      <w:r w:rsidRPr="00191003">
        <w:rPr>
          <w:color w:val="000000"/>
        </w:rPr>
        <w:t xml:space="preserve"> like rim</w:t>
      </w:r>
      <w:r>
        <w:rPr>
          <w:color w:val="000000"/>
        </w:rPr>
        <w:t>s,</w:t>
      </w:r>
      <w:r w:rsidRPr="00191003">
        <w:rPr>
          <w:color w:val="000000"/>
        </w:rPr>
        <w:t xml:space="preserve"> are added to the surface of the larnax</w:t>
      </w:r>
      <w:r>
        <w:rPr>
          <w:color w:val="000000"/>
        </w:rPr>
        <w:t xml:space="preserve">: </w:t>
      </w:r>
      <w:r w:rsidRPr="00191003">
        <w:rPr>
          <w:color w:val="000000"/>
        </w:rPr>
        <w:t>when broken</w:t>
      </w:r>
      <w:r>
        <w:rPr>
          <w:color w:val="000000"/>
        </w:rPr>
        <w:t>,</w:t>
      </w:r>
      <w:r w:rsidRPr="00191003">
        <w:rPr>
          <w:color w:val="000000"/>
        </w:rPr>
        <w:t xml:space="preserve"> it </w:t>
      </w:r>
      <w:r>
        <w:rPr>
          <w:color w:val="000000"/>
        </w:rPr>
        <w:t xml:space="preserve">is possible to see the traces </w:t>
      </w:r>
      <w:r w:rsidRPr="00191003">
        <w:rPr>
          <w:color w:val="000000"/>
        </w:rPr>
        <w:t>of this practice). The width of the f</w:t>
      </w:r>
      <w:r>
        <w:rPr>
          <w:color w:val="000000"/>
        </w:rPr>
        <w:t>r</w:t>
      </w:r>
      <w:r w:rsidRPr="00191003">
        <w:rPr>
          <w:color w:val="000000"/>
        </w:rPr>
        <w:t xml:space="preserve">ames varies, but it is usually </w:t>
      </w:r>
      <w:r>
        <w:rPr>
          <w:color w:val="000000"/>
        </w:rPr>
        <w:t xml:space="preserve">c. </w:t>
      </w:r>
      <w:r w:rsidRPr="00191003">
        <w:rPr>
          <w:color w:val="000000"/>
        </w:rPr>
        <w:t>5 cm</w:t>
      </w:r>
      <w:r>
        <w:rPr>
          <w:color w:val="000000"/>
        </w:rPr>
        <w:t xml:space="preserve">. </w:t>
      </w:r>
      <w:r w:rsidRPr="00191003">
        <w:rPr>
          <w:color w:val="000000"/>
        </w:rPr>
        <w:t>It is possible</w:t>
      </w:r>
      <w:r>
        <w:rPr>
          <w:color w:val="000000"/>
        </w:rPr>
        <w:t xml:space="preserve"> also</w:t>
      </w:r>
      <w:r w:rsidRPr="00191003">
        <w:rPr>
          <w:color w:val="000000"/>
        </w:rPr>
        <w:t xml:space="preserve"> that there is a horizontal frame on the top of the larnax (under the rim) and on the base of the larnax (frames all around the panels). The difference between frames and panels is underlined by the type of decoration (</w:t>
      </w:r>
      <w:r>
        <w:rPr>
          <w:color w:val="000000"/>
        </w:rPr>
        <w:t>see the</w:t>
      </w:r>
      <w:r w:rsidRPr="00191003">
        <w:rPr>
          <w:color w:val="000000"/>
        </w:rPr>
        <w:t xml:space="preserve"> icono</w:t>
      </w:r>
      <w:r>
        <w:rPr>
          <w:color w:val="000000"/>
        </w:rPr>
        <w:t>graphic</w:t>
      </w:r>
      <w:r w:rsidRPr="00191003">
        <w:rPr>
          <w:color w:val="000000"/>
        </w:rPr>
        <w:t xml:space="preserve"> analysis). </w:t>
      </w:r>
      <w:r>
        <w:rPr>
          <w:color w:val="000000"/>
        </w:rPr>
        <w:t>Frames</w:t>
      </w:r>
      <w:r w:rsidRPr="00191003">
        <w:rPr>
          <w:color w:val="000000"/>
        </w:rPr>
        <w:t xml:space="preserve"> seem to be more repetitive</w:t>
      </w:r>
      <w:r>
        <w:rPr>
          <w:color w:val="000000"/>
        </w:rPr>
        <w:t xml:space="preserve"> than panels</w:t>
      </w:r>
      <w:r w:rsidRPr="00191003">
        <w:rPr>
          <w:color w:val="000000"/>
        </w:rPr>
        <w:t xml:space="preserve"> and</w:t>
      </w:r>
      <w:r>
        <w:rPr>
          <w:color w:val="000000"/>
        </w:rPr>
        <w:t xml:space="preserve"> decorated</w:t>
      </w:r>
      <w:r w:rsidRPr="00191003">
        <w:rPr>
          <w:color w:val="000000"/>
        </w:rPr>
        <w:t xml:space="preserve"> mainly with abstract/geometric </w:t>
      </w:r>
      <w:r>
        <w:rPr>
          <w:color w:val="000000"/>
        </w:rPr>
        <w:t>motif</w:t>
      </w:r>
      <w:r w:rsidRPr="00191003">
        <w:rPr>
          <w:color w:val="000000"/>
        </w:rPr>
        <w:t xml:space="preserve">s. </w:t>
      </w:r>
      <w:r>
        <w:rPr>
          <w:color w:val="000000"/>
        </w:rPr>
        <w:t>Some very few examples</w:t>
      </w:r>
      <w:r w:rsidRPr="00191003">
        <w:rPr>
          <w:color w:val="000000"/>
        </w:rPr>
        <w:t xml:space="preserve"> present some peculiarities in respect of panel division, </w:t>
      </w:r>
      <w:r>
        <w:rPr>
          <w:color w:val="000000"/>
        </w:rPr>
        <w:t>such as</w:t>
      </w:r>
      <w:r w:rsidRPr="00191003">
        <w:rPr>
          <w:color w:val="000000"/>
        </w:rPr>
        <w:t xml:space="preserve"> the presence of horizontal frames </w:t>
      </w:r>
      <w:r>
        <w:rPr>
          <w:color w:val="000000"/>
        </w:rPr>
        <w:t>o</w:t>
      </w:r>
      <w:r w:rsidRPr="00191003">
        <w:rPr>
          <w:color w:val="000000"/>
        </w:rPr>
        <w:t>n short sides</w:t>
      </w:r>
      <w:r>
        <w:rPr>
          <w:color w:val="000000"/>
        </w:rPr>
        <w:t xml:space="preserve"> (e.g. 64 Zafer Papoura AE 1128</w:t>
      </w:r>
      <w:r w:rsidRPr="00191003">
        <w:rPr>
          <w:color w:val="000000"/>
        </w:rPr>
        <w:t>, or division in</w:t>
      </w:r>
      <w:r>
        <w:rPr>
          <w:color w:val="000000"/>
        </w:rPr>
        <w:t>to</w:t>
      </w:r>
      <w:r w:rsidRPr="00191003">
        <w:rPr>
          <w:color w:val="000000"/>
        </w:rPr>
        <w:t xml:space="preserve"> </w:t>
      </w:r>
      <w:r>
        <w:rPr>
          <w:color w:val="000000"/>
        </w:rPr>
        <w:t>12</w:t>
      </w:r>
      <w:r w:rsidRPr="00191003">
        <w:rPr>
          <w:color w:val="000000"/>
        </w:rPr>
        <w:t xml:space="preserve"> panels through cross</w:t>
      </w:r>
      <w:r>
        <w:rPr>
          <w:color w:val="000000"/>
        </w:rPr>
        <w:t>-</w:t>
      </w:r>
      <w:r w:rsidRPr="00191003">
        <w:rPr>
          <w:color w:val="000000"/>
        </w:rPr>
        <w:t>shape frames in relief</w:t>
      </w:r>
      <w:r>
        <w:rPr>
          <w:color w:val="000000"/>
        </w:rPr>
        <w:t xml:space="preserve"> (e.g. 842 Episkopi Pediada Christos HM 9343)</w:t>
      </w:r>
      <w:r w:rsidRPr="00191003">
        <w:rPr>
          <w:color w:val="000000"/>
        </w:rPr>
        <w:t xml:space="preserve">. </w:t>
      </w:r>
    </w:p>
    <w:p w14:paraId="0F261ECB"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b/>
          <w:color w:val="000000"/>
        </w:rPr>
        <w:tab/>
      </w:r>
      <w:r w:rsidRPr="00191003">
        <w:rPr>
          <w:b/>
          <w:color w:val="000000"/>
        </w:rPr>
        <w:t xml:space="preserve">Handles: </w:t>
      </w:r>
      <w:r>
        <w:rPr>
          <w:color w:val="000000"/>
        </w:rPr>
        <w:t>these are not present</w:t>
      </w:r>
      <w:r w:rsidRPr="00191003">
        <w:rPr>
          <w:color w:val="000000"/>
        </w:rPr>
        <w:t xml:space="preserve"> </w:t>
      </w:r>
      <w:r>
        <w:rPr>
          <w:color w:val="000000"/>
        </w:rPr>
        <w:t>o</w:t>
      </w:r>
      <w:r w:rsidRPr="00191003">
        <w:rPr>
          <w:color w:val="000000"/>
        </w:rPr>
        <w:t xml:space="preserve">n all larnakes. Handles can vary </w:t>
      </w:r>
      <w:r>
        <w:rPr>
          <w:color w:val="000000"/>
        </w:rPr>
        <w:t>in</w:t>
      </w:r>
      <w:r w:rsidRPr="00191003">
        <w:rPr>
          <w:color w:val="000000"/>
        </w:rPr>
        <w:t xml:space="preserve"> number (although usually four, one </w:t>
      </w:r>
      <w:r>
        <w:rPr>
          <w:color w:val="000000"/>
        </w:rPr>
        <w:t xml:space="preserve">on </w:t>
      </w:r>
      <w:r w:rsidRPr="00191003">
        <w:rPr>
          <w:color w:val="000000"/>
        </w:rPr>
        <w:t>each panel</w:t>
      </w:r>
      <w:r>
        <w:rPr>
          <w:color w:val="000000"/>
        </w:rPr>
        <w:t>;</w:t>
      </w:r>
      <w:r w:rsidRPr="00191003">
        <w:rPr>
          <w:color w:val="000000"/>
        </w:rPr>
        <w:t xml:space="preserve"> or six, two </w:t>
      </w:r>
      <w:r>
        <w:rPr>
          <w:color w:val="000000"/>
        </w:rPr>
        <w:t>o</w:t>
      </w:r>
      <w:r w:rsidRPr="00191003">
        <w:rPr>
          <w:color w:val="000000"/>
        </w:rPr>
        <w:t xml:space="preserve">n long sides and one each short side), shape (horizontal, vertical, round loop, strap handles) and dimension (usually they have a </w:t>
      </w:r>
      <w:r>
        <w:rPr>
          <w:color w:val="000000"/>
        </w:rPr>
        <w:t xml:space="preserve">circular </w:t>
      </w:r>
      <w:r w:rsidRPr="00191003">
        <w:rPr>
          <w:color w:val="000000"/>
        </w:rPr>
        <w:t>section of 4</w:t>
      </w:r>
      <w:r>
        <w:rPr>
          <w:color w:val="000000"/>
        </w:rPr>
        <w:t>-</w:t>
      </w:r>
      <w:r w:rsidRPr="00191003">
        <w:rPr>
          <w:color w:val="000000"/>
        </w:rPr>
        <w:t xml:space="preserve">5 cm diameter and they are around 10 cm long). </w:t>
      </w:r>
      <w:r>
        <w:rPr>
          <w:color w:val="000000"/>
        </w:rPr>
        <w:t>I</w:t>
      </w:r>
      <w:r w:rsidRPr="00191003">
        <w:rPr>
          <w:color w:val="000000"/>
        </w:rPr>
        <w:t>t is possible to find more than one type of handle</w:t>
      </w:r>
      <w:r>
        <w:rPr>
          <w:color w:val="000000"/>
        </w:rPr>
        <w:t xml:space="preserve"> on a larnax</w:t>
      </w:r>
      <w:r w:rsidRPr="00191003">
        <w:rPr>
          <w:color w:val="000000"/>
        </w:rPr>
        <w:t xml:space="preserve"> (</w:t>
      </w:r>
      <w:r>
        <w:rPr>
          <w:color w:val="000000"/>
        </w:rPr>
        <w:t>e.g.</w:t>
      </w:r>
      <w:r w:rsidRPr="00191003">
        <w:rPr>
          <w:color w:val="000000"/>
        </w:rPr>
        <w:t xml:space="preserve"> vertical handles on short sides, horizontal handles on long sides). If decorated</w:t>
      </w:r>
      <w:r>
        <w:rPr>
          <w:color w:val="000000"/>
        </w:rPr>
        <w:t>,</w:t>
      </w:r>
      <w:r w:rsidRPr="00191003">
        <w:rPr>
          <w:color w:val="000000"/>
        </w:rPr>
        <w:t xml:space="preserve"> </w:t>
      </w:r>
      <w:r>
        <w:rPr>
          <w:color w:val="000000"/>
        </w:rPr>
        <w:t>it is usually a</w:t>
      </w:r>
      <w:r w:rsidRPr="00191003">
        <w:rPr>
          <w:color w:val="000000"/>
        </w:rPr>
        <w:t xml:space="preserve"> very simple strip decoration</w:t>
      </w:r>
      <w:r>
        <w:rPr>
          <w:color w:val="000000"/>
        </w:rPr>
        <w:t>,</w:t>
      </w:r>
      <w:r w:rsidRPr="00191003">
        <w:rPr>
          <w:color w:val="000000"/>
        </w:rPr>
        <w:t xml:space="preserve"> or they are all painted. Sometimes</w:t>
      </w:r>
      <w:r>
        <w:rPr>
          <w:color w:val="000000"/>
        </w:rPr>
        <w:t xml:space="preserve"> it is possible to find finger prints</w:t>
      </w:r>
      <w:r w:rsidRPr="00191003">
        <w:rPr>
          <w:color w:val="000000"/>
        </w:rPr>
        <w:t xml:space="preserve"> at their edges. The function of the handles </w:t>
      </w:r>
      <w:r>
        <w:rPr>
          <w:color w:val="000000"/>
        </w:rPr>
        <w:t>is</w:t>
      </w:r>
      <w:r w:rsidRPr="00191003">
        <w:rPr>
          <w:color w:val="000000"/>
        </w:rPr>
        <w:t xml:space="preserve"> probably the same </w:t>
      </w:r>
      <w:r>
        <w:rPr>
          <w:color w:val="000000"/>
        </w:rPr>
        <w:t xml:space="preserve">as </w:t>
      </w:r>
      <w:r w:rsidRPr="00191003">
        <w:rPr>
          <w:color w:val="000000"/>
        </w:rPr>
        <w:t>the holes in the upper side of the chest (</w:t>
      </w:r>
      <w:r>
        <w:rPr>
          <w:color w:val="000000"/>
        </w:rPr>
        <w:t xml:space="preserve">i.e. </w:t>
      </w:r>
      <w:r w:rsidRPr="00191003">
        <w:rPr>
          <w:color w:val="000000"/>
        </w:rPr>
        <w:t xml:space="preserve">sealing the lid and the chest </w:t>
      </w:r>
      <w:r>
        <w:rPr>
          <w:color w:val="000000"/>
        </w:rPr>
        <w:t>by</w:t>
      </w:r>
      <w:r w:rsidRPr="00191003">
        <w:rPr>
          <w:color w:val="000000"/>
        </w:rPr>
        <w:t xml:space="preserve"> passing ropes</w:t>
      </w:r>
      <w:r>
        <w:rPr>
          <w:color w:val="000000"/>
        </w:rPr>
        <w:t xml:space="preserve"> through them</w:t>
      </w:r>
      <w:r w:rsidRPr="00191003">
        <w:rPr>
          <w:color w:val="000000"/>
        </w:rPr>
        <w:t>).</w:t>
      </w:r>
    </w:p>
    <w:p w14:paraId="447819E7"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b/>
          <w:color w:val="000000"/>
        </w:rPr>
        <w:tab/>
      </w:r>
      <w:r w:rsidRPr="00191003">
        <w:rPr>
          <w:b/>
          <w:color w:val="000000"/>
        </w:rPr>
        <w:t>Holes:</w:t>
      </w:r>
      <w:r w:rsidRPr="00191003">
        <w:rPr>
          <w:color w:val="000000"/>
        </w:rPr>
        <w:t xml:space="preserve"> holes in a chest larnax can occur on the upper part of the sides</w:t>
      </w:r>
      <w:r>
        <w:rPr>
          <w:color w:val="000000"/>
        </w:rPr>
        <w:t>,</w:t>
      </w:r>
      <w:r w:rsidRPr="00191003">
        <w:rPr>
          <w:color w:val="000000"/>
        </w:rPr>
        <w:t xml:space="preserve"> usually on the corner of the panel under the upper rim, in correspondence with lid holes (the function was probably to seal the lid and the body of the chest </w:t>
      </w:r>
      <w:r>
        <w:rPr>
          <w:color w:val="000000"/>
        </w:rPr>
        <w:t>by</w:t>
      </w:r>
      <w:r w:rsidRPr="00191003">
        <w:rPr>
          <w:color w:val="000000"/>
        </w:rPr>
        <w:t xml:space="preserve"> passing ropes</w:t>
      </w:r>
      <w:r>
        <w:rPr>
          <w:color w:val="000000"/>
        </w:rPr>
        <w:t xml:space="preserve"> through</w:t>
      </w:r>
      <w:r w:rsidRPr="00191003">
        <w:rPr>
          <w:color w:val="000000"/>
        </w:rPr>
        <w:t>). It is possible</w:t>
      </w:r>
      <w:r>
        <w:rPr>
          <w:color w:val="000000"/>
        </w:rPr>
        <w:t xml:space="preserve"> also</w:t>
      </w:r>
      <w:r w:rsidRPr="00191003">
        <w:rPr>
          <w:color w:val="000000"/>
        </w:rPr>
        <w:t xml:space="preserve"> to find passing holes (from the upper corner on the long side to the upper corner of the short side). The</w:t>
      </w:r>
      <w:r>
        <w:rPr>
          <w:color w:val="000000"/>
        </w:rPr>
        <w:t xml:space="preserve"> holes</w:t>
      </w:r>
      <w:r w:rsidRPr="00191003">
        <w:rPr>
          <w:color w:val="000000"/>
        </w:rPr>
        <w:t xml:space="preserve"> were made before the </w:t>
      </w:r>
      <w:r>
        <w:rPr>
          <w:color w:val="000000"/>
        </w:rPr>
        <w:t xml:space="preserve">larnax was fired </w:t>
      </w:r>
      <w:r w:rsidRPr="00191003">
        <w:rPr>
          <w:color w:val="000000"/>
        </w:rPr>
        <w:t xml:space="preserve">and their number can vary. The diameter of </w:t>
      </w:r>
      <w:r>
        <w:rPr>
          <w:color w:val="000000"/>
        </w:rPr>
        <w:t>most</w:t>
      </w:r>
      <w:r w:rsidRPr="00191003">
        <w:rPr>
          <w:color w:val="000000"/>
        </w:rPr>
        <w:t xml:space="preserve"> hole</w:t>
      </w:r>
      <w:r>
        <w:rPr>
          <w:color w:val="000000"/>
        </w:rPr>
        <w:t>s</w:t>
      </w:r>
      <w:r w:rsidRPr="00191003">
        <w:rPr>
          <w:color w:val="000000"/>
        </w:rPr>
        <w:t xml:space="preserve"> is around 1 cm. Holes occur </w:t>
      </w:r>
      <w:r>
        <w:rPr>
          <w:color w:val="000000"/>
        </w:rPr>
        <w:t>often</w:t>
      </w:r>
      <w:r w:rsidRPr="00191003">
        <w:rPr>
          <w:color w:val="000000"/>
        </w:rPr>
        <w:t xml:space="preserve"> at the base of the larnax. Their number and position vary (usually on the four corner</w:t>
      </w:r>
      <w:r>
        <w:rPr>
          <w:color w:val="000000"/>
        </w:rPr>
        <w:t>s</w:t>
      </w:r>
      <w:r w:rsidRPr="00191003">
        <w:rPr>
          <w:color w:val="000000"/>
        </w:rPr>
        <w:t xml:space="preserve"> and on the long ax</w:t>
      </w:r>
      <w:r>
        <w:rPr>
          <w:color w:val="000000"/>
        </w:rPr>
        <w:t xml:space="preserve">is </w:t>
      </w:r>
      <w:r w:rsidRPr="00191003">
        <w:rPr>
          <w:color w:val="000000"/>
        </w:rPr>
        <w:t>of the base). Their function was probably linked to the removal of the liquid from the body of the deceased. The presence of holes in panels (especially short</w:t>
      </w:r>
      <w:r>
        <w:rPr>
          <w:color w:val="000000"/>
        </w:rPr>
        <w:t>-</w:t>
      </w:r>
      <w:r w:rsidRPr="00191003">
        <w:rPr>
          <w:color w:val="000000"/>
        </w:rPr>
        <w:t xml:space="preserve">side panels) </w:t>
      </w:r>
      <w:r>
        <w:rPr>
          <w:color w:val="000000"/>
        </w:rPr>
        <w:t xml:space="preserve">is recovered </w:t>
      </w:r>
      <w:r w:rsidRPr="00191003">
        <w:rPr>
          <w:color w:val="000000"/>
        </w:rPr>
        <w:t xml:space="preserve">in a sample of </w:t>
      </w:r>
      <w:r>
        <w:rPr>
          <w:color w:val="000000"/>
        </w:rPr>
        <w:t xml:space="preserve">larnakes </w:t>
      </w:r>
      <w:r w:rsidRPr="00191003">
        <w:rPr>
          <w:color w:val="000000"/>
        </w:rPr>
        <w:t>from west Crete. The</w:t>
      </w:r>
      <w:r>
        <w:rPr>
          <w:color w:val="000000"/>
        </w:rPr>
        <w:t>se holes</w:t>
      </w:r>
      <w:r w:rsidRPr="00191003">
        <w:rPr>
          <w:color w:val="000000"/>
        </w:rPr>
        <w:t xml:space="preserve"> could have facilitate</w:t>
      </w:r>
      <w:r>
        <w:rPr>
          <w:color w:val="000000"/>
        </w:rPr>
        <w:t>d</w:t>
      </w:r>
      <w:r w:rsidRPr="00191003">
        <w:rPr>
          <w:color w:val="000000"/>
        </w:rPr>
        <w:t xml:space="preserve"> and accelerate</w:t>
      </w:r>
      <w:r>
        <w:rPr>
          <w:color w:val="000000"/>
        </w:rPr>
        <w:t>d</w:t>
      </w:r>
      <w:r w:rsidRPr="00191003">
        <w:rPr>
          <w:color w:val="000000"/>
        </w:rPr>
        <w:t xml:space="preserve"> the decomposition process of the body.</w:t>
      </w:r>
    </w:p>
    <w:p w14:paraId="4E8689AF"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b/>
          <w:color w:val="000000"/>
        </w:rPr>
        <w:tab/>
      </w:r>
      <w:r w:rsidRPr="00191003">
        <w:rPr>
          <w:b/>
          <w:color w:val="000000"/>
        </w:rPr>
        <w:t>Feet</w:t>
      </w:r>
      <w:r>
        <w:rPr>
          <w:color w:val="000000"/>
        </w:rPr>
        <w:t>:</w:t>
      </w:r>
      <w:r w:rsidRPr="00191003">
        <w:rPr>
          <w:color w:val="000000"/>
        </w:rPr>
        <w:t xml:space="preserve"> do not occur </w:t>
      </w:r>
      <w:r>
        <w:rPr>
          <w:color w:val="000000"/>
        </w:rPr>
        <w:t>o</w:t>
      </w:r>
      <w:r w:rsidRPr="00191003">
        <w:rPr>
          <w:color w:val="000000"/>
        </w:rPr>
        <w:t>n all larnakes. They can have different shapes (</w:t>
      </w:r>
      <w:r>
        <w:rPr>
          <w:color w:val="000000"/>
        </w:rPr>
        <w:t>e.g.</w:t>
      </w:r>
      <w:r w:rsidRPr="00191003">
        <w:rPr>
          <w:color w:val="000000"/>
        </w:rPr>
        <w:t xml:space="preserve"> L scape, rectangular shape) and dimension</w:t>
      </w:r>
      <w:r>
        <w:rPr>
          <w:color w:val="000000"/>
        </w:rPr>
        <w:t>s.</w:t>
      </w:r>
      <w:r w:rsidRPr="00191003">
        <w:rPr>
          <w:color w:val="000000"/>
        </w:rPr>
        <w:t xml:space="preserve"> </w:t>
      </w:r>
      <w:r>
        <w:rPr>
          <w:color w:val="000000"/>
        </w:rPr>
        <w:t>T</w:t>
      </w:r>
      <w:r w:rsidRPr="00191003">
        <w:rPr>
          <w:color w:val="000000"/>
        </w:rPr>
        <w:t>hey are usually four in number (one per corner) or</w:t>
      </w:r>
      <w:r>
        <w:rPr>
          <w:color w:val="000000"/>
        </w:rPr>
        <w:t>,</w:t>
      </w:r>
      <w:r w:rsidRPr="00191003">
        <w:rPr>
          <w:color w:val="000000"/>
        </w:rPr>
        <w:t xml:space="preserve"> more rarely</w:t>
      </w:r>
      <w:r>
        <w:rPr>
          <w:color w:val="000000"/>
        </w:rPr>
        <w:t>,</w:t>
      </w:r>
      <w:r w:rsidRPr="00191003">
        <w:rPr>
          <w:color w:val="000000"/>
        </w:rPr>
        <w:t xml:space="preserve"> six (</w:t>
      </w:r>
      <w:r>
        <w:rPr>
          <w:color w:val="000000"/>
        </w:rPr>
        <w:t>an</w:t>
      </w:r>
      <w:r w:rsidRPr="00191003">
        <w:rPr>
          <w:color w:val="000000"/>
        </w:rPr>
        <w:t>other two at the centre of the lon</w:t>
      </w:r>
      <w:r>
        <w:rPr>
          <w:color w:val="000000"/>
        </w:rPr>
        <w:t xml:space="preserve">g panel in correspondence with a </w:t>
      </w:r>
      <w:r w:rsidRPr="00191003">
        <w:rPr>
          <w:color w:val="000000"/>
        </w:rPr>
        <w:t>central frame). When decorated</w:t>
      </w:r>
      <w:r>
        <w:rPr>
          <w:color w:val="000000"/>
        </w:rPr>
        <w:t>,</w:t>
      </w:r>
      <w:r w:rsidRPr="00191003">
        <w:rPr>
          <w:color w:val="000000"/>
        </w:rPr>
        <w:t xml:space="preserve"> they </w:t>
      </w:r>
      <w:r>
        <w:rPr>
          <w:color w:val="000000"/>
        </w:rPr>
        <w:t>can have</w:t>
      </w:r>
      <w:r w:rsidRPr="00191003">
        <w:rPr>
          <w:color w:val="000000"/>
        </w:rPr>
        <w:t xml:space="preserve"> a</w:t>
      </w:r>
      <w:r>
        <w:rPr>
          <w:color w:val="000000"/>
        </w:rPr>
        <w:t>n</w:t>
      </w:r>
      <w:r w:rsidRPr="00191003">
        <w:rPr>
          <w:color w:val="000000"/>
        </w:rPr>
        <w:t xml:space="preserve"> x</w:t>
      </w:r>
      <w:r>
        <w:rPr>
          <w:color w:val="000000"/>
        </w:rPr>
        <w:t>-</w:t>
      </w:r>
      <w:r w:rsidRPr="00191003">
        <w:rPr>
          <w:color w:val="000000"/>
        </w:rPr>
        <w:t xml:space="preserve">shape decoration, </w:t>
      </w:r>
      <w:r>
        <w:rPr>
          <w:color w:val="000000"/>
        </w:rPr>
        <w:t xml:space="preserve">a </w:t>
      </w:r>
      <w:r w:rsidRPr="00191003">
        <w:rPr>
          <w:color w:val="000000"/>
        </w:rPr>
        <w:t>full</w:t>
      </w:r>
      <w:r>
        <w:rPr>
          <w:color w:val="000000"/>
        </w:rPr>
        <w:t>y</w:t>
      </w:r>
      <w:r w:rsidRPr="00191003">
        <w:rPr>
          <w:color w:val="000000"/>
        </w:rPr>
        <w:t xml:space="preserve"> painted decoration, stripes</w:t>
      </w:r>
      <w:r>
        <w:rPr>
          <w:color w:val="000000"/>
        </w:rPr>
        <w:t xml:space="preserve"> or </w:t>
      </w:r>
      <w:r w:rsidRPr="00191003">
        <w:rPr>
          <w:color w:val="000000"/>
        </w:rPr>
        <w:t xml:space="preserve">semicircles (in </w:t>
      </w:r>
      <w:r>
        <w:rPr>
          <w:color w:val="000000"/>
        </w:rPr>
        <w:t xml:space="preserve">a </w:t>
      </w:r>
      <w:r w:rsidRPr="00191003">
        <w:rPr>
          <w:color w:val="000000"/>
        </w:rPr>
        <w:t xml:space="preserve">few cases other </w:t>
      </w:r>
      <w:r>
        <w:rPr>
          <w:color w:val="000000"/>
        </w:rPr>
        <w:t>motif</w:t>
      </w:r>
      <w:r w:rsidRPr="00191003">
        <w:rPr>
          <w:color w:val="000000"/>
        </w:rPr>
        <w:t>s occur).</w:t>
      </w:r>
    </w:p>
    <w:p w14:paraId="1A5CE574"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b/>
          <w:color w:val="000000"/>
        </w:rPr>
        <w:tab/>
      </w:r>
      <w:r w:rsidRPr="00191003">
        <w:rPr>
          <w:b/>
          <w:color w:val="000000"/>
        </w:rPr>
        <w:t xml:space="preserve">Potter’s mark: </w:t>
      </w:r>
      <w:r w:rsidRPr="00191003">
        <w:rPr>
          <w:color w:val="000000"/>
        </w:rPr>
        <w:t>potter’s ma</w:t>
      </w:r>
      <w:r>
        <w:rPr>
          <w:color w:val="000000"/>
        </w:rPr>
        <w:t>rks occur</w:t>
      </w:r>
      <w:r w:rsidRPr="00191003">
        <w:rPr>
          <w:color w:val="000000"/>
        </w:rPr>
        <w:t xml:space="preserve"> in</w:t>
      </w:r>
      <w:r>
        <w:rPr>
          <w:color w:val="000000"/>
        </w:rPr>
        <w:t xml:space="preserve"> a</w:t>
      </w:r>
      <w:r w:rsidRPr="00191003">
        <w:rPr>
          <w:color w:val="000000"/>
        </w:rPr>
        <w:t xml:space="preserve"> few samples. The</w:t>
      </w:r>
      <w:r>
        <w:rPr>
          <w:color w:val="000000"/>
        </w:rPr>
        <w:t>se</w:t>
      </w:r>
      <w:r w:rsidRPr="00191003">
        <w:rPr>
          <w:color w:val="000000"/>
        </w:rPr>
        <w:t xml:space="preserve"> can consist </w:t>
      </w:r>
      <w:r>
        <w:rPr>
          <w:color w:val="000000"/>
        </w:rPr>
        <w:t>of</w:t>
      </w:r>
      <w:r w:rsidRPr="00191003">
        <w:rPr>
          <w:color w:val="000000"/>
        </w:rPr>
        <w:t xml:space="preserve"> simple signs</w:t>
      </w:r>
      <w:r>
        <w:rPr>
          <w:color w:val="000000"/>
        </w:rPr>
        <w:t xml:space="preserve"> </w:t>
      </w:r>
      <w:r w:rsidRPr="00191003">
        <w:rPr>
          <w:color w:val="000000"/>
        </w:rPr>
        <w:t xml:space="preserve">incised or in relief (only </w:t>
      </w:r>
      <w:r>
        <w:rPr>
          <w:color w:val="000000"/>
        </w:rPr>
        <w:t>o</w:t>
      </w:r>
      <w:r w:rsidRPr="00191003">
        <w:rPr>
          <w:color w:val="000000"/>
        </w:rPr>
        <w:t>n one larnax). They usually occur on one of the short side</w:t>
      </w:r>
      <w:r>
        <w:rPr>
          <w:color w:val="000000"/>
        </w:rPr>
        <w:t>s</w:t>
      </w:r>
      <w:r w:rsidRPr="00191003">
        <w:rPr>
          <w:color w:val="000000"/>
        </w:rPr>
        <w:t xml:space="preserve"> of the lid or on one of the short side</w:t>
      </w:r>
      <w:r>
        <w:rPr>
          <w:color w:val="000000"/>
        </w:rPr>
        <w:t>s</w:t>
      </w:r>
      <w:r w:rsidRPr="00191003">
        <w:rPr>
          <w:color w:val="000000"/>
        </w:rPr>
        <w:t xml:space="preserve"> of the body. </w:t>
      </w:r>
      <w:r>
        <w:rPr>
          <w:color w:val="000000"/>
        </w:rPr>
        <w:t>As yet,</w:t>
      </w:r>
      <w:r w:rsidRPr="00191003">
        <w:rPr>
          <w:color w:val="000000"/>
        </w:rPr>
        <w:t xml:space="preserve"> potters</w:t>
      </w:r>
      <w:r>
        <w:rPr>
          <w:color w:val="000000"/>
        </w:rPr>
        <w:t>’</w:t>
      </w:r>
      <w:r w:rsidRPr="00191003">
        <w:rPr>
          <w:color w:val="000000"/>
        </w:rPr>
        <w:t xml:space="preserve"> mark</w:t>
      </w:r>
      <w:r>
        <w:rPr>
          <w:color w:val="000000"/>
        </w:rPr>
        <w:t>s</w:t>
      </w:r>
      <w:r w:rsidRPr="00191003">
        <w:rPr>
          <w:color w:val="000000"/>
        </w:rPr>
        <w:t xml:space="preserve"> have been exclusively found on chest</w:t>
      </w:r>
      <w:r>
        <w:rPr>
          <w:color w:val="000000"/>
        </w:rPr>
        <w:t>-shaped</w:t>
      </w:r>
      <w:r w:rsidRPr="00191003">
        <w:rPr>
          <w:color w:val="000000"/>
        </w:rPr>
        <w:t xml:space="preserve"> larnakes</w:t>
      </w:r>
      <w:r>
        <w:rPr>
          <w:color w:val="000000"/>
        </w:rPr>
        <w:t>.</w:t>
      </w:r>
      <w:r w:rsidRPr="00191003">
        <w:rPr>
          <w:color w:val="000000"/>
        </w:rPr>
        <w:t xml:space="preserve"> </w:t>
      </w:r>
      <w:r>
        <w:rPr>
          <w:color w:val="000000"/>
        </w:rPr>
        <w:t>F</w:t>
      </w:r>
      <w:r w:rsidRPr="00191003">
        <w:rPr>
          <w:color w:val="000000"/>
        </w:rPr>
        <w:t>or larna</w:t>
      </w:r>
      <w:r>
        <w:rPr>
          <w:color w:val="000000"/>
        </w:rPr>
        <w:t>x</w:t>
      </w:r>
      <w:r w:rsidRPr="00191003">
        <w:rPr>
          <w:color w:val="000000"/>
        </w:rPr>
        <w:t xml:space="preserve"> potters</w:t>
      </w:r>
      <w:r>
        <w:rPr>
          <w:color w:val="000000"/>
        </w:rPr>
        <w:t>’</w:t>
      </w:r>
      <w:r w:rsidRPr="00191003">
        <w:rPr>
          <w:color w:val="000000"/>
        </w:rPr>
        <w:t xml:space="preserve"> mark</w:t>
      </w:r>
      <w:r>
        <w:rPr>
          <w:color w:val="000000"/>
        </w:rPr>
        <w:t>s</w:t>
      </w:r>
      <w:r w:rsidRPr="00191003">
        <w:rPr>
          <w:color w:val="000000"/>
        </w:rPr>
        <w:t xml:space="preserve"> or incised signs/incised inscriptions</w:t>
      </w:r>
      <w:r>
        <w:rPr>
          <w:color w:val="000000"/>
        </w:rPr>
        <w:t>,</w:t>
      </w:r>
      <w:r w:rsidRPr="00191003">
        <w:rPr>
          <w:color w:val="000000"/>
        </w:rPr>
        <w:t xml:space="preserve"> </w:t>
      </w:r>
      <w:r>
        <w:rPr>
          <w:color w:val="000000"/>
        </w:rPr>
        <w:t>see</w:t>
      </w:r>
      <w:r w:rsidRPr="00191003">
        <w:rPr>
          <w:color w:val="000000"/>
        </w:rPr>
        <w:t xml:space="preserve"> Mavriyannaki </w:t>
      </w:r>
      <w:r>
        <w:rPr>
          <w:color w:val="000000"/>
        </w:rPr>
        <w:t>(</w:t>
      </w:r>
      <w:r w:rsidRPr="00191003">
        <w:rPr>
          <w:color w:val="000000"/>
        </w:rPr>
        <w:t>1985: 13-22)</w:t>
      </w:r>
      <w:r>
        <w:rPr>
          <w:color w:val="000000"/>
        </w:rPr>
        <w:t>.</w:t>
      </w:r>
    </w:p>
    <w:p w14:paraId="78DB55AC"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1172B314" w14:textId="5A40A34E"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b/>
          <w:color w:val="000000"/>
        </w:rPr>
      </w:pPr>
      <w:r>
        <w:rPr>
          <w:b/>
          <w:color w:val="000000"/>
        </w:rPr>
        <w:tab/>
      </w:r>
      <w:r w:rsidRPr="00191003">
        <w:rPr>
          <w:b/>
          <w:color w:val="000000"/>
        </w:rPr>
        <w:t>Bathtub larnax (from top down):</w:t>
      </w:r>
    </w:p>
    <w:p w14:paraId="784CC906"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b/>
          <w:color w:val="000000"/>
        </w:rPr>
        <w:tab/>
      </w:r>
      <w:r w:rsidRPr="00191003">
        <w:rPr>
          <w:b/>
          <w:color w:val="000000"/>
        </w:rPr>
        <w:t xml:space="preserve">Lid: </w:t>
      </w:r>
      <w:r w:rsidRPr="00191003">
        <w:rPr>
          <w:color w:val="000000"/>
        </w:rPr>
        <w:t>usually</w:t>
      </w:r>
      <w:r>
        <w:rPr>
          <w:color w:val="000000"/>
        </w:rPr>
        <w:t>,</w:t>
      </w:r>
      <w:r w:rsidRPr="00191003">
        <w:rPr>
          <w:color w:val="000000"/>
        </w:rPr>
        <w:t xml:space="preserve"> no lid </w:t>
      </w:r>
      <w:r>
        <w:rPr>
          <w:color w:val="000000"/>
        </w:rPr>
        <w:t>is found</w:t>
      </w:r>
      <w:r w:rsidRPr="00191003">
        <w:rPr>
          <w:color w:val="000000"/>
        </w:rPr>
        <w:t xml:space="preserve"> </w:t>
      </w:r>
      <w:r>
        <w:rPr>
          <w:color w:val="000000"/>
        </w:rPr>
        <w:t>with</w:t>
      </w:r>
      <w:r w:rsidRPr="00191003">
        <w:rPr>
          <w:color w:val="000000"/>
        </w:rPr>
        <w:t xml:space="preserve"> bathtub larnakes. However, one larnax from Episkopi Ierapetra </w:t>
      </w:r>
      <w:r>
        <w:rPr>
          <w:color w:val="000000"/>
        </w:rPr>
        <w:t>was</w:t>
      </w:r>
      <w:r w:rsidRPr="00191003">
        <w:rPr>
          <w:color w:val="000000"/>
        </w:rPr>
        <w:t xml:space="preserve"> covered using a lid that resembles an upside</w:t>
      </w:r>
      <w:r>
        <w:rPr>
          <w:color w:val="000000"/>
        </w:rPr>
        <w:t>-</w:t>
      </w:r>
      <w:r w:rsidRPr="00191003">
        <w:rPr>
          <w:color w:val="000000"/>
        </w:rPr>
        <w:t>down chest larnax. There are also case</w:t>
      </w:r>
      <w:r>
        <w:rPr>
          <w:color w:val="000000"/>
        </w:rPr>
        <w:t>s</w:t>
      </w:r>
      <w:r w:rsidRPr="00191003">
        <w:rPr>
          <w:color w:val="000000"/>
        </w:rPr>
        <w:t xml:space="preserve"> in which bathtub larnakes </w:t>
      </w:r>
      <w:r>
        <w:rPr>
          <w:color w:val="000000"/>
        </w:rPr>
        <w:t>were</w:t>
      </w:r>
      <w:r w:rsidRPr="00191003">
        <w:rPr>
          <w:color w:val="000000"/>
        </w:rPr>
        <w:t xml:space="preserve"> found buried upside</w:t>
      </w:r>
      <w:r>
        <w:rPr>
          <w:color w:val="000000"/>
        </w:rPr>
        <w:t>-</w:t>
      </w:r>
      <w:r w:rsidRPr="00191003">
        <w:rPr>
          <w:color w:val="000000"/>
        </w:rPr>
        <w:t>down (</w:t>
      </w:r>
      <w:r>
        <w:rPr>
          <w:color w:val="000000"/>
        </w:rPr>
        <w:t>e.g.</w:t>
      </w:r>
      <w:r w:rsidRPr="00191003">
        <w:rPr>
          <w:color w:val="000000"/>
        </w:rPr>
        <w:t xml:space="preserve"> </w:t>
      </w:r>
      <w:r>
        <w:rPr>
          <w:color w:val="000000"/>
        </w:rPr>
        <w:t xml:space="preserve">at </w:t>
      </w:r>
      <w:r w:rsidRPr="00191003">
        <w:rPr>
          <w:color w:val="000000"/>
        </w:rPr>
        <w:t>Palaikastro).</w:t>
      </w:r>
    </w:p>
    <w:p w14:paraId="34C8E550"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b/>
          <w:color w:val="000000"/>
        </w:rPr>
        <w:tab/>
      </w:r>
      <w:r w:rsidRPr="00E7753F">
        <w:rPr>
          <w:b/>
          <w:color w:val="000000"/>
        </w:rPr>
        <w:t>Sides</w:t>
      </w:r>
      <w:r w:rsidRPr="00191003">
        <w:rPr>
          <w:color w:val="000000"/>
        </w:rPr>
        <w:t xml:space="preserve">: bathtub larnakes </w:t>
      </w:r>
      <w:r>
        <w:rPr>
          <w:color w:val="000000"/>
        </w:rPr>
        <w:t>have</w:t>
      </w:r>
      <w:r w:rsidRPr="00191003">
        <w:rPr>
          <w:color w:val="000000"/>
        </w:rPr>
        <w:t xml:space="preserve"> four sides: long sides (A and B) and short sides (C and D), for study p</w:t>
      </w:r>
      <w:r>
        <w:rPr>
          <w:color w:val="000000"/>
        </w:rPr>
        <w:t>u</w:t>
      </w:r>
      <w:r w:rsidRPr="00191003">
        <w:rPr>
          <w:color w:val="000000"/>
        </w:rPr>
        <w:t>rpose</w:t>
      </w:r>
      <w:r>
        <w:rPr>
          <w:color w:val="000000"/>
        </w:rPr>
        <w:t>s</w:t>
      </w:r>
      <w:r w:rsidRPr="00191003">
        <w:rPr>
          <w:color w:val="000000"/>
        </w:rPr>
        <w:t>, even if the side</w:t>
      </w:r>
      <w:r>
        <w:rPr>
          <w:color w:val="000000"/>
        </w:rPr>
        <w:t>s are not clearly defined,</w:t>
      </w:r>
      <w:r w:rsidRPr="00191003">
        <w:rPr>
          <w:color w:val="000000"/>
        </w:rPr>
        <w:t xml:space="preserve"> as </w:t>
      </w:r>
      <w:r>
        <w:rPr>
          <w:color w:val="000000"/>
        </w:rPr>
        <w:t>with</w:t>
      </w:r>
      <w:r w:rsidRPr="00191003">
        <w:rPr>
          <w:color w:val="000000"/>
        </w:rPr>
        <w:t xml:space="preserve"> chest</w:t>
      </w:r>
      <w:r>
        <w:rPr>
          <w:color w:val="000000"/>
        </w:rPr>
        <w:t>-</w:t>
      </w:r>
      <w:r w:rsidRPr="00191003">
        <w:rPr>
          <w:color w:val="000000"/>
        </w:rPr>
        <w:t>shaped larnakes.</w:t>
      </w:r>
    </w:p>
    <w:p w14:paraId="1A120AE7"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b/>
          <w:color w:val="000000"/>
        </w:rPr>
        <w:tab/>
      </w:r>
      <w:r w:rsidRPr="00191003">
        <w:rPr>
          <w:b/>
          <w:color w:val="000000"/>
        </w:rPr>
        <w:t>Side inclination</w:t>
      </w:r>
      <w:r w:rsidRPr="00E7753F">
        <w:rPr>
          <w:color w:val="000000"/>
        </w:rPr>
        <w:t>:</w:t>
      </w:r>
      <w:r w:rsidRPr="00191003">
        <w:rPr>
          <w:b/>
          <w:color w:val="000000"/>
        </w:rPr>
        <w:t xml:space="preserve"> </w:t>
      </w:r>
      <w:r w:rsidRPr="00191003">
        <w:rPr>
          <w:color w:val="000000"/>
        </w:rPr>
        <w:t>variety in bathtub larnakes is rendered through side</w:t>
      </w:r>
      <w:r>
        <w:rPr>
          <w:color w:val="000000"/>
        </w:rPr>
        <w:t xml:space="preserve"> vertical</w:t>
      </w:r>
      <w:r w:rsidRPr="00191003">
        <w:rPr>
          <w:color w:val="000000"/>
        </w:rPr>
        <w:t xml:space="preserve"> inclination and </w:t>
      </w:r>
      <w:r>
        <w:rPr>
          <w:color w:val="000000"/>
        </w:rPr>
        <w:t xml:space="preserve">the </w:t>
      </w:r>
      <w:r w:rsidRPr="00191003">
        <w:rPr>
          <w:color w:val="000000"/>
        </w:rPr>
        <w:t xml:space="preserve">difference between the upper rim and the base (almost straight sides, low difference between rim and base; </w:t>
      </w:r>
      <w:r>
        <w:rPr>
          <w:color w:val="000000"/>
        </w:rPr>
        <w:t xml:space="preserve">sharply </w:t>
      </w:r>
      <w:r w:rsidRPr="00191003">
        <w:rPr>
          <w:color w:val="000000"/>
        </w:rPr>
        <w:t>inclined side consistent difference between rim and base).</w:t>
      </w:r>
    </w:p>
    <w:p w14:paraId="4138F56B"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b/>
          <w:color w:val="000000"/>
        </w:rPr>
        <w:tab/>
      </w:r>
      <w:r w:rsidRPr="00191003">
        <w:rPr>
          <w:b/>
          <w:color w:val="000000"/>
        </w:rPr>
        <w:t>Upper rim</w:t>
      </w:r>
      <w:r w:rsidRPr="00E7753F">
        <w:rPr>
          <w:color w:val="000000"/>
        </w:rPr>
        <w:t>:</w:t>
      </w:r>
      <w:r w:rsidRPr="00191003">
        <w:rPr>
          <w:b/>
          <w:color w:val="000000"/>
        </w:rPr>
        <w:t xml:space="preserve"> </w:t>
      </w:r>
      <w:r w:rsidRPr="00191003">
        <w:rPr>
          <w:color w:val="000000"/>
        </w:rPr>
        <w:t xml:space="preserve">the upper rim varies </w:t>
      </w:r>
      <w:r>
        <w:rPr>
          <w:color w:val="000000"/>
        </w:rPr>
        <w:t>in</w:t>
      </w:r>
      <w:r w:rsidRPr="00191003">
        <w:rPr>
          <w:color w:val="000000"/>
        </w:rPr>
        <w:t xml:space="preserve"> dimension and shape, although usually it is flat and projecting. Sometimes</w:t>
      </w:r>
      <w:r>
        <w:rPr>
          <w:color w:val="000000"/>
        </w:rPr>
        <w:t>,</w:t>
      </w:r>
      <w:r w:rsidRPr="00191003">
        <w:rPr>
          <w:color w:val="000000"/>
        </w:rPr>
        <w:t xml:space="preserve"> below the upper rim there is a ridge, but it </w:t>
      </w:r>
      <w:r>
        <w:rPr>
          <w:color w:val="000000"/>
        </w:rPr>
        <w:t>is not present</w:t>
      </w:r>
      <w:r w:rsidRPr="00191003">
        <w:rPr>
          <w:color w:val="000000"/>
        </w:rPr>
        <w:t xml:space="preserve"> in all larnakes. When </w:t>
      </w:r>
      <w:r>
        <w:rPr>
          <w:color w:val="000000"/>
        </w:rPr>
        <w:t>the rim</w:t>
      </w:r>
      <w:r w:rsidRPr="00191003">
        <w:rPr>
          <w:color w:val="000000"/>
        </w:rPr>
        <w:t xml:space="preserve"> is decorated</w:t>
      </w:r>
      <w:r>
        <w:rPr>
          <w:color w:val="000000"/>
        </w:rPr>
        <w:t>,</w:t>
      </w:r>
      <w:r w:rsidRPr="00191003">
        <w:rPr>
          <w:color w:val="000000"/>
        </w:rPr>
        <w:t xml:space="preserve"> it </w:t>
      </w:r>
      <w:r>
        <w:rPr>
          <w:color w:val="000000"/>
        </w:rPr>
        <w:t>is often with</w:t>
      </w:r>
      <w:r w:rsidRPr="00191003">
        <w:rPr>
          <w:color w:val="000000"/>
        </w:rPr>
        <w:t xml:space="preserve"> the </w:t>
      </w:r>
      <w:r>
        <w:rPr>
          <w:color w:val="000000"/>
        </w:rPr>
        <w:t>motif</w:t>
      </w:r>
      <w:r w:rsidRPr="00191003">
        <w:rPr>
          <w:color w:val="000000"/>
        </w:rPr>
        <w:t xml:space="preserve"> of </w:t>
      </w:r>
      <w:r>
        <w:rPr>
          <w:color w:val="000000"/>
        </w:rPr>
        <w:t xml:space="preserve">an </w:t>
      </w:r>
      <w:r w:rsidRPr="00191003">
        <w:rPr>
          <w:color w:val="000000"/>
        </w:rPr>
        <w:t>adder or dashes or wavy lines.</w:t>
      </w:r>
    </w:p>
    <w:p w14:paraId="412BD7DF"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b/>
          <w:color w:val="000000"/>
        </w:rPr>
        <w:tab/>
      </w:r>
      <w:r w:rsidRPr="00191003">
        <w:rPr>
          <w:b/>
          <w:color w:val="000000"/>
        </w:rPr>
        <w:t>Handles:</w:t>
      </w:r>
      <w:r w:rsidRPr="00191003">
        <w:rPr>
          <w:color w:val="000000"/>
        </w:rPr>
        <w:t xml:space="preserve"> bathtub larnakes </w:t>
      </w:r>
      <w:r>
        <w:rPr>
          <w:color w:val="000000"/>
        </w:rPr>
        <w:t>usually have</w:t>
      </w:r>
      <w:r w:rsidRPr="00191003">
        <w:rPr>
          <w:color w:val="000000"/>
        </w:rPr>
        <w:t xml:space="preserve"> horizontal handles (they vary </w:t>
      </w:r>
      <w:r>
        <w:rPr>
          <w:color w:val="000000"/>
        </w:rPr>
        <w:t>in</w:t>
      </w:r>
      <w:r w:rsidRPr="00191003">
        <w:rPr>
          <w:color w:val="000000"/>
        </w:rPr>
        <w:t xml:space="preserve"> dimension)</w:t>
      </w:r>
      <w:r>
        <w:rPr>
          <w:color w:val="000000"/>
        </w:rPr>
        <w:t>,</w:t>
      </w:r>
      <w:r w:rsidRPr="00191003">
        <w:rPr>
          <w:color w:val="000000"/>
        </w:rPr>
        <w:t xml:space="preserve"> one at the centre of each side. Sometimes</w:t>
      </w:r>
      <w:r>
        <w:rPr>
          <w:color w:val="000000"/>
        </w:rPr>
        <w:t>,</w:t>
      </w:r>
      <w:r w:rsidRPr="00191003">
        <w:rPr>
          <w:color w:val="000000"/>
        </w:rPr>
        <w:t xml:space="preserve"> </w:t>
      </w:r>
      <w:r>
        <w:rPr>
          <w:color w:val="000000"/>
        </w:rPr>
        <w:t>beneath</w:t>
      </w:r>
      <w:r w:rsidRPr="00191003">
        <w:rPr>
          <w:color w:val="000000"/>
        </w:rPr>
        <w:t xml:space="preserve"> the handle</w:t>
      </w:r>
      <w:r>
        <w:rPr>
          <w:color w:val="000000"/>
        </w:rPr>
        <w:t>,</w:t>
      </w:r>
      <w:r w:rsidRPr="00191003">
        <w:rPr>
          <w:color w:val="000000"/>
        </w:rPr>
        <w:t xml:space="preserve"> a </w:t>
      </w:r>
      <w:r>
        <w:rPr>
          <w:color w:val="000000"/>
        </w:rPr>
        <w:t>panel-type</w:t>
      </w:r>
      <w:r w:rsidRPr="00191003">
        <w:rPr>
          <w:color w:val="000000"/>
        </w:rPr>
        <w:t xml:space="preserve"> painted band divide</w:t>
      </w:r>
      <w:r>
        <w:rPr>
          <w:color w:val="000000"/>
        </w:rPr>
        <w:t>s</w:t>
      </w:r>
      <w:r w:rsidRPr="00191003">
        <w:rPr>
          <w:color w:val="000000"/>
        </w:rPr>
        <w:t xml:space="preserve"> the surface</w:t>
      </w:r>
      <w:r>
        <w:rPr>
          <w:color w:val="000000"/>
        </w:rPr>
        <w:t>.</w:t>
      </w:r>
      <w:r w:rsidRPr="00191003">
        <w:rPr>
          <w:color w:val="000000"/>
        </w:rPr>
        <w:t xml:space="preserve"> </w:t>
      </w:r>
    </w:p>
    <w:p w14:paraId="4A056339"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b/>
          <w:color w:val="000000"/>
        </w:rPr>
        <w:tab/>
      </w:r>
      <w:r w:rsidRPr="00191003">
        <w:rPr>
          <w:b/>
          <w:color w:val="000000"/>
        </w:rPr>
        <w:t>Bottom hole:</w:t>
      </w:r>
      <w:r w:rsidRPr="00191003">
        <w:rPr>
          <w:color w:val="000000"/>
        </w:rPr>
        <w:t xml:space="preserve"> </w:t>
      </w:r>
      <w:r>
        <w:rPr>
          <w:color w:val="000000"/>
        </w:rPr>
        <w:t xml:space="preserve">is </w:t>
      </w:r>
      <w:r w:rsidRPr="00191003">
        <w:rPr>
          <w:color w:val="000000"/>
        </w:rPr>
        <w:t>usually</w:t>
      </w:r>
      <w:r>
        <w:rPr>
          <w:color w:val="000000"/>
        </w:rPr>
        <w:t xml:space="preserve"> present</w:t>
      </w:r>
      <w:r w:rsidRPr="00191003">
        <w:rPr>
          <w:color w:val="000000"/>
        </w:rPr>
        <w:t xml:space="preserve"> on the bottom end of the short side, although</w:t>
      </w:r>
      <w:r>
        <w:rPr>
          <w:color w:val="000000"/>
        </w:rPr>
        <w:t xml:space="preserve"> it</w:t>
      </w:r>
      <w:r w:rsidRPr="00191003">
        <w:rPr>
          <w:color w:val="000000"/>
        </w:rPr>
        <w:t xml:space="preserve"> is not visible in all larnakes due to the restoration.</w:t>
      </w:r>
    </w:p>
    <w:p w14:paraId="4BBC5A0C"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b/>
          <w:color w:val="000000"/>
        </w:rPr>
        <w:tab/>
      </w:r>
      <w:r w:rsidRPr="00191003">
        <w:rPr>
          <w:b/>
          <w:color w:val="000000"/>
        </w:rPr>
        <w:t xml:space="preserve">Lower rim: </w:t>
      </w:r>
      <w:r w:rsidRPr="00191003">
        <w:rPr>
          <w:color w:val="000000"/>
        </w:rPr>
        <w:t>at the bottom of the larnax</w:t>
      </w:r>
      <w:r>
        <w:rPr>
          <w:color w:val="000000"/>
        </w:rPr>
        <w:t xml:space="preserve"> is</w:t>
      </w:r>
      <w:r w:rsidRPr="00191003">
        <w:rPr>
          <w:color w:val="000000"/>
        </w:rPr>
        <w:t xml:space="preserve"> a small rim</w:t>
      </w:r>
      <w:r>
        <w:rPr>
          <w:color w:val="000000"/>
        </w:rPr>
        <w:t xml:space="preserve">, </w:t>
      </w:r>
      <w:r w:rsidRPr="00191003">
        <w:rPr>
          <w:color w:val="000000"/>
        </w:rPr>
        <w:t xml:space="preserve">slightly in relief, or a </w:t>
      </w:r>
      <w:r>
        <w:rPr>
          <w:color w:val="000000"/>
        </w:rPr>
        <w:t xml:space="preserve">type </w:t>
      </w:r>
      <w:r w:rsidRPr="00191003">
        <w:rPr>
          <w:color w:val="000000"/>
        </w:rPr>
        <w:t>of ridge or simply a painted band.</w:t>
      </w:r>
    </w:p>
    <w:p w14:paraId="13D75E1F"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484283FB"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191003">
        <w:rPr>
          <w:b/>
          <w:color w:val="000000"/>
        </w:rPr>
        <w:t xml:space="preserve">Measurement: </w:t>
      </w:r>
      <w:r w:rsidRPr="00191003">
        <w:rPr>
          <w:color w:val="000000"/>
        </w:rPr>
        <w:t>dimension</w:t>
      </w:r>
      <w:r>
        <w:rPr>
          <w:color w:val="000000"/>
        </w:rPr>
        <w:t>s</w:t>
      </w:r>
      <w:r w:rsidRPr="00191003">
        <w:rPr>
          <w:color w:val="000000"/>
        </w:rPr>
        <w:t xml:space="preserve"> are </w:t>
      </w:r>
      <w:r>
        <w:rPr>
          <w:color w:val="000000"/>
        </w:rPr>
        <w:t xml:space="preserve">inconsistently </w:t>
      </w:r>
      <w:r w:rsidRPr="00191003">
        <w:rPr>
          <w:color w:val="000000"/>
        </w:rPr>
        <w:t>reported.</w:t>
      </w:r>
      <w:r w:rsidRPr="00191003">
        <w:rPr>
          <w:b/>
          <w:color w:val="000000"/>
        </w:rPr>
        <w:t xml:space="preserve"> </w:t>
      </w:r>
      <w:r w:rsidRPr="00191003">
        <w:rPr>
          <w:color w:val="000000"/>
        </w:rPr>
        <w:t>In the sample of larnakes examined, the measurement</w:t>
      </w:r>
      <w:r>
        <w:rPr>
          <w:color w:val="000000"/>
        </w:rPr>
        <w:t>s</w:t>
      </w:r>
      <w:r w:rsidRPr="00191003">
        <w:rPr>
          <w:color w:val="000000"/>
        </w:rPr>
        <w:t xml:space="preserve"> taken refer to the total length of the larnax (usually </w:t>
      </w:r>
      <w:r>
        <w:rPr>
          <w:color w:val="000000"/>
        </w:rPr>
        <w:t>i</w:t>
      </w:r>
      <w:r w:rsidRPr="00191003">
        <w:rPr>
          <w:color w:val="000000"/>
        </w:rPr>
        <w:t>n the middle of the body)</w:t>
      </w:r>
      <w:r>
        <w:rPr>
          <w:color w:val="000000"/>
        </w:rPr>
        <w:t>,</w:t>
      </w:r>
      <w:r w:rsidRPr="00191003">
        <w:rPr>
          <w:color w:val="000000"/>
        </w:rPr>
        <w:t xml:space="preserve"> the width (including panel and usually </w:t>
      </w:r>
      <w:r>
        <w:rPr>
          <w:color w:val="000000"/>
        </w:rPr>
        <w:t>i</w:t>
      </w:r>
      <w:r w:rsidRPr="00191003">
        <w:rPr>
          <w:color w:val="000000"/>
        </w:rPr>
        <w:t>n the middle of the body) and the height (from the feet to the top of the lid, usually taken in the middle</w:t>
      </w:r>
      <w:r>
        <w:rPr>
          <w:color w:val="000000"/>
        </w:rPr>
        <w:t>)</w:t>
      </w:r>
      <w:r w:rsidRPr="00191003">
        <w:rPr>
          <w:color w:val="000000"/>
        </w:rPr>
        <w:t>; when there is no lid</w:t>
      </w:r>
      <w:r>
        <w:rPr>
          <w:color w:val="000000"/>
        </w:rPr>
        <w:t>,</w:t>
      </w:r>
      <w:r w:rsidRPr="00191003">
        <w:rPr>
          <w:color w:val="000000"/>
        </w:rPr>
        <w:t xml:space="preserve"> </w:t>
      </w:r>
      <w:r>
        <w:rPr>
          <w:color w:val="000000"/>
        </w:rPr>
        <w:t xml:space="preserve">only </w:t>
      </w:r>
      <w:r w:rsidRPr="00191003">
        <w:rPr>
          <w:color w:val="000000"/>
        </w:rPr>
        <w:t xml:space="preserve">the height of </w:t>
      </w:r>
      <w:r>
        <w:rPr>
          <w:color w:val="000000"/>
        </w:rPr>
        <w:t xml:space="preserve">the </w:t>
      </w:r>
      <w:r w:rsidRPr="00191003">
        <w:rPr>
          <w:color w:val="000000"/>
        </w:rPr>
        <w:t>body</w:t>
      </w:r>
      <w:r>
        <w:rPr>
          <w:color w:val="000000"/>
        </w:rPr>
        <w:t xml:space="preserve"> is given</w:t>
      </w:r>
      <w:r w:rsidRPr="00191003">
        <w:rPr>
          <w:color w:val="000000"/>
        </w:rPr>
        <w:t>.</w:t>
      </w:r>
    </w:p>
    <w:p w14:paraId="3ACE2148"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b/>
          <w:color w:val="000000"/>
        </w:rPr>
        <w:tab/>
      </w:r>
      <w:r w:rsidRPr="00191003">
        <w:rPr>
          <w:b/>
          <w:color w:val="000000"/>
        </w:rPr>
        <w:t xml:space="preserve">Decoration: </w:t>
      </w:r>
      <w:r w:rsidRPr="00191003">
        <w:rPr>
          <w:color w:val="000000"/>
        </w:rPr>
        <w:t xml:space="preserve">the decoration can be </w:t>
      </w:r>
      <w:r w:rsidRPr="00523F95">
        <w:rPr>
          <w:color w:val="000000"/>
        </w:rPr>
        <w:t>incised or painted</w:t>
      </w:r>
      <w:r>
        <w:rPr>
          <w:color w:val="000000"/>
        </w:rPr>
        <w:t xml:space="preserve"> (mostly painted)</w:t>
      </w:r>
      <w:r w:rsidRPr="00523F95">
        <w:rPr>
          <w:color w:val="000000"/>
        </w:rPr>
        <w:t>.</w:t>
      </w:r>
      <w:r w:rsidRPr="00191003">
        <w:rPr>
          <w:color w:val="000000"/>
        </w:rPr>
        <w:t xml:space="preserve"> </w:t>
      </w:r>
    </w:p>
    <w:p w14:paraId="10DF8C9E"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b/>
          <w:color w:val="000000"/>
        </w:rPr>
        <w:tab/>
      </w:r>
      <w:r w:rsidRPr="00191003">
        <w:rPr>
          <w:b/>
          <w:color w:val="000000"/>
        </w:rPr>
        <w:t>Incised</w:t>
      </w:r>
      <w:r w:rsidRPr="00191003">
        <w:rPr>
          <w:color w:val="000000"/>
        </w:rPr>
        <w:t xml:space="preserve"> decoration can be the result of incisions or impressions (usually </w:t>
      </w:r>
      <w:r>
        <w:rPr>
          <w:color w:val="000000"/>
        </w:rPr>
        <w:t>made</w:t>
      </w:r>
      <w:r w:rsidRPr="00191003">
        <w:rPr>
          <w:color w:val="000000"/>
        </w:rPr>
        <w:t xml:space="preserve"> before the firing).</w:t>
      </w:r>
    </w:p>
    <w:p w14:paraId="6B224B7C" w14:textId="7CC5D1A8" w:rsidR="00D726B2" w:rsidRPr="00191003" w:rsidRDefault="00566789"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b/>
          <w:color w:val="000000"/>
        </w:rPr>
      </w:pPr>
      <w:r>
        <w:rPr>
          <w:color w:val="000000"/>
        </w:rPr>
        <w:tab/>
      </w:r>
      <w:r w:rsidR="00D726B2" w:rsidRPr="00191003">
        <w:rPr>
          <w:color w:val="000000"/>
        </w:rPr>
        <w:t xml:space="preserve">When the decoration is </w:t>
      </w:r>
      <w:r w:rsidR="00D726B2" w:rsidRPr="00191003">
        <w:rPr>
          <w:b/>
          <w:color w:val="000000"/>
        </w:rPr>
        <w:t>painted</w:t>
      </w:r>
      <w:r w:rsidR="00D726B2">
        <w:rPr>
          <w:b/>
          <w:color w:val="000000"/>
        </w:rPr>
        <w:t>,</w:t>
      </w:r>
      <w:r w:rsidR="00D726B2" w:rsidRPr="00191003">
        <w:rPr>
          <w:color w:val="000000"/>
        </w:rPr>
        <w:t xml:space="preserve"> a slip (usually pale yellowish-buff slip) is applied (undecorated larnakes are characterised by </w:t>
      </w:r>
      <w:r w:rsidR="00D726B2">
        <w:rPr>
          <w:color w:val="000000"/>
        </w:rPr>
        <w:t xml:space="preserve">a </w:t>
      </w:r>
      <w:r w:rsidR="00D726B2" w:rsidRPr="00191003">
        <w:rPr>
          <w:color w:val="000000"/>
        </w:rPr>
        <w:t>lack of slip). Painted decoration can be</w:t>
      </w:r>
      <w:r w:rsidR="00D726B2" w:rsidRPr="00191003">
        <w:rPr>
          <w:b/>
          <w:color w:val="000000"/>
        </w:rPr>
        <w:t xml:space="preserve"> monochrome</w:t>
      </w:r>
      <w:r w:rsidR="00D726B2">
        <w:rPr>
          <w:b/>
          <w:color w:val="000000"/>
        </w:rPr>
        <w:t>,</w:t>
      </w:r>
      <w:r w:rsidR="00D726B2" w:rsidRPr="00191003">
        <w:rPr>
          <w:b/>
          <w:color w:val="000000"/>
        </w:rPr>
        <w:t xml:space="preserve"> </w:t>
      </w:r>
      <w:r w:rsidR="00D726B2" w:rsidRPr="00191003">
        <w:rPr>
          <w:color w:val="000000"/>
        </w:rPr>
        <w:t>with colours that vary from black-brown to orange</w:t>
      </w:r>
      <w:r w:rsidR="00D726B2">
        <w:rPr>
          <w:color w:val="000000"/>
        </w:rPr>
        <w:t>-</w:t>
      </w:r>
      <w:r w:rsidR="00D726B2" w:rsidRPr="00191003">
        <w:rPr>
          <w:color w:val="000000"/>
        </w:rPr>
        <w:t>red (</w:t>
      </w:r>
      <w:r w:rsidR="00D726B2">
        <w:rPr>
          <w:color w:val="000000"/>
        </w:rPr>
        <w:t>only</w:t>
      </w:r>
      <w:r w:rsidR="00D726B2" w:rsidRPr="00191003">
        <w:rPr>
          <w:color w:val="000000"/>
        </w:rPr>
        <w:t xml:space="preserve"> </w:t>
      </w:r>
      <w:r w:rsidR="00D726B2">
        <w:rPr>
          <w:color w:val="000000"/>
        </w:rPr>
        <w:t xml:space="preserve">one </w:t>
      </w:r>
      <w:r w:rsidR="00D726B2" w:rsidRPr="00191003">
        <w:rPr>
          <w:color w:val="000000"/>
        </w:rPr>
        <w:t>colour</w:t>
      </w:r>
      <w:r w:rsidR="00D726B2">
        <w:rPr>
          <w:color w:val="000000"/>
        </w:rPr>
        <w:t xml:space="preserve"> is</w:t>
      </w:r>
      <w:r w:rsidR="00D726B2" w:rsidRPr="00191003">
        <w:rPr>
          <w:color w:val="000000"/>
        </w:rPr>
        <w:t xml:space="preserve"> applied</w:t>
      </w:r>
      <w:r w:rsidR="00D726B2">
        <w:rPr>
          <w:color w:val="000000"/>
        </w:rPr>
        <w:t>,</w:t>
      </w:r>
      <w:r w:rsidR="00D726B2" w:rsidRPr="00191003">
        <w:rPr>
          <w:color w:val="000000"/>
        </w:rPr>
        <w:t xml:space="preserve"> and the difference in colour </w:t>
      </w:r>
      <w:r w:rsidR="00D726B2">
        <w:rPr>
          <w:color w:val="000000"/>
        </w:rPr>
        <w:t>is</w:t>
      </w:r>
      <w:r w:rsidR="00D726B2" w:rsidRPr="00191003">
        <w:rPr>
          <w:color w:val="000000"/>
        </w:rPr>
        <w:t xml:space="preserve"> the result of </w:t>
      </w:r>
      <w:r w:rsidR="00D726B2">
        <w:rPr>
          <w:color w:val="000000"/>
        </w:rPr>
        <w:t>local variation in the</w:t>
      </w:r>
      <w:r w:rsidR="00D726B2" w:rsidRPr="00191003">
        <w:rPr>
          <w:color w:val="000000"/>
        </w:rPr>
        <w:t xml:space="preserve"> firing temperature), or </w:t>
      </w:r>
      <w:r w:rsidR="00D726B2" w:rsidRPr="00191003">
        <w:rPr>
          <w:b/>
          <w:color w:val="000000"/>
        </w:rPr>
        <w:t>polychrome</w:t>
      </w:r>
      <w:r w:rsidR="00D726B2">
        <w:rPr>
          <w:b/>
          <w:color w:val="000000"/>
        </w:rPr>
        <w:t>,</w:t>
      </w:r>
      <w:r w:rsidR="00D726B2" w:rsidRPr="00191003">
        <w:rPr>
          <w:b/>
          <w:color w:val="000000"/>
        </w:rPr>
        <w:t xml:space="preserve"> </w:t>
      </w:r>
      <w:r w:rsidR="00D726B2">
        <w:rPr>
          <w:color w:val="000000"/>
        </w:rPr>
        <w:t>when</w:t>
      </w:r>
      <w:r w:rsidR="00D726B2" w:rsidRPr="00191003">
        <w:rPr>
          <w:color w:val="000000"/>
        </w:rPr>
        <w:t xml:space="preserve"> some details are over painted in a dark</w:t>
      </w:r>
      <w:r w:rsidR="00D726B2">
        <w:rPr>
          <w:color w:val="000000"/>
        </w:rPr>
        <w:t>er</w:t>
      </w:r>
      <w:r w:rsidR="00D726B2" w:rsidRPr="00191003">
        <w:rPr>
          <w:color w:val="000000"/>
        </w:rPr>
        <w:t xml:space="preserve"> colour.</w:t>
      </w:r>
    </w:p>
    <w:p w14:paraId="056A6182" w14:textId="163A01C6" w:rsidR="00D726B2" w:rsidRPr="00E7753F" w:rsidRDefault="00D726B2" w:rsidP="00E858EF">
      <w:pPr>
        <w:pStyle w:val="Titolo2"/>
        <w:keepNext w:val="0"/>
        <w:keepLines w:val="0"/>
        <w:suppressAutoHyphens/>
      </w:pPr>
      <w:bookmarkStart w:id="1041" w:name="_Toc519894674"/>
      <w:r>
        <w:t>Far-West</w:t>
      </w:r>
      <w:bookmarkEnd w:id="1041"/>
      <w:r w:rsidR="006934A7">
        <w:t xml:space="preserve"> area</w:t>
      </w:r>
    </w:p>
    <w:p w14:paraId="5D2B6362" w14:textId="4A62CB77" w:rsidR="00D726B2" w:rsidRPr="00191003" w:rsidRDefault="00D726B2" w:rsidP="00E858EF">
      <w:pPr>
        <w:pStyle w:val="Titolo3"/>
        <w:keepNext w:val="0"/>
        <w:keepLines w:val="0"/>
        <w:suppressAutoHyphens/>
      </w:pPr>
      <w:bookmarkStart w:id="1042" w:name="_Toc517807581"/>
      <w:bookmarkStart w:id="1043" w:name="_Toc519894675"/>
      <w:r>
        <w:t>Far-West</w:t>
      </w:r>
      <w:r w:rsidRPr="00191003">
        <w:t xml:space="preserve"> </w:t>
      </w:r>
      <w:r w:rsidR="006934A7">
        <w:t xml:space="preserve">area </w:t>
      </w:r>
      <w:r w:rsidRPr="00191003">
        <w:t>larnakes morphological analysis</w:t>
      </w:r>
      <w:bookmarkEnd w:id="1042"/>
      <w:bookmarkEnd w:id="1043"/>
    </w:p>
    <w:p w14:paraId="6490986A" w14:textId="77777777" w:rsidR="00D726B2" w:rsidRPr="00191003" w:rsidRDefault="00D726B2" w:rsidP="00E858EF">
      <w:pPr>
        <w:suppressAutoHyphens/>
        <w:rPr>
          <w:color w:val="000000"/>
        </w:rPr>
      </w:pPr>
      <w:r w:rsidRPr="00191003">
        <w:rPr>
          <w:color w:val="000000"/>
        </w:rPr>
        <w:t>The only larnax</w:t>
      </w:r>
      <w:r>
        <w:rPr>
          <w:color w:val="000000"/>
        </w:rPr>
        <w:t xml:space="preserve"> retrieved from a Far-West</w:t>
      </w:r>
      <w:r w:rsidRPr="00191003">
        <w:rPr>
          <w:color w:val="000000"/>
        </w:rPr>
        <w:t xml:space="preserve"> burial context </w:t>
      </w:r>
      <w:r>
        <w:rPr>
          <w:color w:val="000000"/>
        </w:rPr>
        <w:t xml:space="preserve">is </w:t>
      </w:r>
      <w:r w:rsidRPr="00191003">
        <w:rPr>
          <w:color w:val="000000"/>
        </w:rPr>
        <w:t>from Chania Koumpes</w:t>
      </w:r>
      <w:r>
        <w:rPr>
          <w:color w:val="000000"/>
        </w:rPr>
        <w:t xml:space="preserve"> (385 Chania Koumpes MC 6068)</w:t>
      </w:r>
      <w:r w:rsidRPr="00191003">
        <w:rPr>
          <w:color w:val="000000"/>
        </w:rPr>
        <w:t xml:space="preserve">, which is part of the </w:t>
      </w:r>
      <w:r>
        <w:rPr>
          <w:color w:val="000000"/>
        </w:rPr>
        <w:t xml:space="preserve">extensive </w:t>
      </w:r>
      <w:r w:rsidRPr="00191003">
        <w:rPr>
          <w:color w:val="000000"/>
        </w:rPr>
        <w:t>Chania cemetery</w:t>
      </w:r>
      <w:r>
        <w:rPr>
          <w:color w:val="000000"/>
        </w:rPr>
        <w:t>.</w:t>
      </w:r>
      <w:r w:rsidRPr="00191003">
        <w:rPr>
          <w:color w:val="000000"/>
        </w:rPr>
        <w:t xml:space="preserve"> </w:t>
      </w:r>
      <w:r>
        <w:rPr>
          <w:color w:val="000000"/>
        </w:rPr>
        <w:t>The larnax is</w:t>
      </w:r>
      <w:r w:rsidRPr="00191003">
        <w:rPr>
          <w:color w:val="000000"/>
        </w:rPr>
        <w:t xml:space="preserve"> a decorated bathtub shape, with four handles</w:t>
      </w:r>
      <w:r>
        <w:rPr>
          <w:color w:val="000000"/>
        </w:rPr>
        <w:t>,</w:t>
      </w:r>
      <w:r w:rsidRPr="00191003">
        <w:rPr>
          <w:color w:val="000000"/>
        </w:rPr>
        <w:t xml:space="preserve"> one </w:t>
      </w:r>
      <w:r>
        <w:rPr>
          <w:color w:val="000000"/>
        </w:rPr>
        <w:t>in</w:t>
      </w:r>
      <w:r w:rsidRPr="00191003">
        <w:rPr>
          <w:color w:val="000000"/>
        </w:rPr>
        <w:t xml:space="preserve"> the middle of each side. No holes or lid </w:t>
      </w:r>
      <w:r>
        <w:rPr>
          <w:color w:val="000000"/>
        </w:rPr>
        <w:t>were</w:t>
      </w:r>
      <w:r w:rsidRPr="00191003">
        <w:rPr>
          <w:color w:val="000000"/>
        </w:rPr>
        <w:t xml:space="preserve"> found (</w:t>
      </w:r>
      <w:r w:rsidRPr="00372EBE">
        <w:rPr>
          <w:i/>
          <w:color w:val="000000"/>
        </w:rPr>
        <w:t>ADelt</w:t>
      </w:r>
      <w:r w:rsidRPr="00191003">
        <w:rPr>
          <w:color w:val="000000"/>
        </w:rPr>
        <w:t xml:space="preserve"> 38 1983: 360, </w:t>
      </w:r>
      <w:r>
        <w:rPr>
          <w:color w:val="000000"/>
        </w:rPr>
        <w:t>Table</w:t>
      </w:r>
      <w:r w:rsidRPr="00191003">
        <w:rPr>
          <w:color w:val="000000"/>
        </w:rPr>
        <w:t xml:space="preserve"> 157 g; Andreadaki-Vlasaki 1997: 496, 541 pl. III b).</w:t>
      </w:r>
    </w:p>
    <w:p w14:paraId="1A341757" w14:textId="501F1B4A" w:rsidR="00D726B2" w:rsidRPr="00191003" w:rsidRDefault="00D726B2" w:rsidP="00E858EF">
      <w:pPr>
        <w:pStyle w:val="Titolo3"/>
        <w:keepNext w:val="0"/>
        <w:keepLines w:val="0"/>
        <w:suppressAutoHyphens/>
      </w:pPr>
      <w:bookmarkStart w:id="1044" w:name="_Toc517807582"/>
      <w:bookmarkStart w:id="1045" w:name="_Toc519894676"/>
      <w:r w:rsidRPr="00191003">
        <w:t>Analysis of ico</w:t>
      </w:r>
      <w:r>
        <w:t>nography of decorated larnakes in the Far-West</w:t>
      </w:r>
      <w:r w:rsidRPr="00191003">
        <w:t xml:space="preserve"> </w:t>
      </w:r>
      <w:r w:rsidR="004C4697">
        <w:t>area</w:t>
      </w:r>
      <w:bookmarkEnd w:id="1044"/>
      <w:bookmarkEnd w:id="1045"/>
    </w:p>
    <w:p w14:paraId="5B702F9B" w14:textId="265698BB" w:rsidR="00D726B2" w:rsidRDefault="00D726B2" w:rsidP="00E858EF">
      <w:pPr>
        <w:suppressAutoHyphens/>
      </w:pPr>
      <w:r w:rsidRPr="00191003">
        <w:t>The painted decoration on the only bathtub larnax found in the chamber tomb at Chania Koumpes</w:t>
      </w:r>
      <w:r w:rsidR="00E7322B">
        <w:t xml:space="preserve"> (see Appendix: Far-West)</w:t>
      </w:r>
      <w:r w:rsidRPr="00191003">
        <w:t xml:space="preserve"> consists </w:t>
      </w:r>
      <w:r>
        <w:t>of</w:t>
      </w:r>
      <w:r w:rsidRPr="00191003">
        <w:t xml:space="preserve"> only two </w:t>
      </w:r>
      <w:r w:rsidR="005D54EA">
        <w:t>Furumark</w:t>
      </w:r>
      <w:r w:rsidRPr="00191003">
        <w:t xml:space="preserve"> </w:t>
      </w:r>
      <w:r>
        <w:t>motif</w:t>
      </w:r>
      <w:r w:rsidRPr="00191003">
        <w:t>s:</w:t>
      </w:r>
      <w:r>
        <w:t xml:space="preserve"> </w:t>
      </w:r>
      <w:r w:rsidRPr="00191003">
        <w:t>FM 21 cuttlefish/octopi</w:t>
      </w:r>
      <w:r>
        <w:t xml:space="preserve">; </w:t>
      </w:r>
      <w:r w:rsidRPr="00191003">
        <w:t>FM 53 wavy lines</w:t>
      </w:r>
      <w:r>
        <w:t>.</w:t>
      </w:r>
    </w:p>
    <w:p w14:paraId="40B3ECE5" w14:textId="77777777" w:rsidR="00566789" w:rsidRDefault="00566789" w:rsidP="00E858EF">
      <w:pPr>
        <w:suppressAutoHyphens/>
        <w:sectPr w:rsidR="00566789" w:rsidSect="00F4682D">
          <w:pgSz w:w="11900" w:h="16840"/>
          <w:pgMar w:top="1418" w:right="1134" w:bottom="1134" w:left="2268" w:header="708" w:footer="708" w:gutter="0"/>
          <w:cols w:space="708"/>
          <w:titlePg/>
          <w:docGrid w:linePitch="360"/>
        </w:sectPr>
      </w:pPr>
    </w:p>
    <w:p w14:paraId="32DF0666" w14:textId="3C5956EA" w:rsidR="00566789" w:rsidRDefault="002D43FA" w:rsidP="00E858EF">
      <w:pPr>
        <w:suppressAutoHyphens/>
        <w:spacing w:line="240" w:lineRule="auto"/>
        <w:sectPr w:rsidR="00566789" w:rsidSect="002D43FA">
          <w:headerReference w:type="first" r:id="rId266"/>
          <w:pgSz w:w="11900" w:h="16840"/>
          <w:pgMar w:top="851" w:right="1134" w:bottom="907" w:left="2268" w:header="340" w:footer="0" w:gutter="0"/>
          <w:cols w:space="708"/>
          <w:titlePg/>
          <w:docGrid w:linePitch="360"/>
        </w:sectPr>
      </w:pPr>
      <w:r>
        <w:rPr>
          <w:noProof/>
          <w:lang w:val="it-IT"/>
        </w:rPr>
        <mc:AlternateContent>
          <mc:Choice Requires="wps">
            <w:drawing>
              <wp:anchor distT="45720" distB="45720" distL="114300" distR="114300" simplePos="0" relativeHeight="251657216" behindDoc="0" locked="0" layoutInCell="1" allowOverlap="1" wp14:anchorId="11ACDBFE" wp14:editId="6453C746">
                <wp:simplePos x="0" y="0"/>
                <wp:positionH relativeFrom="column">
                  <wp:posOffset>3589020</wp:posOffset>
                </wp:positionH>
                <wp:positionV relativeFrom="paragraph">
                  <wp:posOffset>8746490</wp:posOffset>
                </wp:positionV>
                <wp:extent cx="1638300" cy="75247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752475"/>
                        </a:xfrm>
                        <a:prstGeom prst="rect">
                          <a:avLst/>
                        </a:prstGeom>
                        <a:solidFill>
                          <a:srgbClr val="FFFFFF"/>
                        </a:solidFill>
                        <a:ln w="9525">
                          <a:solidFill>
                            <a:srgbClr val="000000"/>
                          </a:solidFill>
                          <a:miter lim="800000"/>
                          <a:headEnd/>
                          <a:tailEnd/>
                        </a:ln>
                      </wps:spPr>
                      <wps:txbx>
                        <w:txbxContent>
                          <w:p w14:paraId="642FC5F3" w14:textId="7EEDD0EB" w:rsidR="00422526" w:rsidRPr="00E263C1" w:rsidRDefault="00422526" w:rsidP="00E263C1">
                            <w:pPr>
                              <w:pStyle w:val="Didascalia"/>
                            </w:pPr>
                            <w:bookmarkStart w:id="1046" w:name="_Toc520212460"/>
                            <w:r w:rsidRPr="00E263C1">
                              <w:t>Figure 5-67 Furumark motifs occurrence in larnakes from Far-West area</w:t>
                            </w:r>
                            <w:bookmarkEnd w:id="1046"/>
                          </w:p>
                          <w:p w14:paraId="1D24B1DC" w14:textId="2B5DFE2F" w:rsidR="00422526" w:rsidRDefault="004225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282.6pt;margin-top:688.7pt;width:129pt;height:59.2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">
                <v:textbox>
                  <w:txbxContent>
                    <w:p w14:paraId="642FC5F3" w14:textId="7EEDD0EB" w:rsidR="00332A9E" w:rsidRPr="00E263C1" w:rsidRDefault="00332A9E" w:rsidP="00E263C1">
                      <w:pPr>
                        <w:pStyle w:val="Didascalia"/>
                      </w:pPr>
                      <w:bookmarkStart w:id="2469" w:name="_Toc520212460"/>
                      <w:r w:rsidRPr="00E263C1">
                        <w:t>Figure 5-67 Furumark motifs occurrence in larnakes from Far-West area</w:t>
                      </w:r>
                      <w:bookmarkEnd w:id="2469"/>
                    </w:p>
                    <w:p w14:paraId="1D24B1DC" w14:textId="2B5DFE2F" w:rsidR="00332A9E" w:rsidRDefault="00332A9E"/>
                  </w:txbxContent>
                </v:textbox>
                <w10:wrap type="square"/>
              </v:shape>
            </w:pict>
          </mc:Fallback>
        </mc:AlternateContent>
      </w:r>
      <w:r w:rsidR="00D726B2">
        <w:rPr>
          <w:noProof/>
          <w:lang w:val="it-IT"/>
        </w:rPr>
        <w:drawing>
          <wp:inline distT="0" distB="0" distL="0" distR="0" wp14:anchorId="19A29754" wp14:editId="0C040ACC">
            <wp:extent cx="5281684" cy="9717206"/>
            <wp:effectExtent l="0" t="0" r="14605" b="17780"/>
            <wp:docPr id="187" name="Gra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14:paraId="06F37495" w14:textId="77777777" w:rsidR="00D726B2" w:rsidRPr="00191003" w:rsidRDefault="00D726B2" w:rsidP="00E858EF">
      <w:pPr>
        <w:suppressAutoHyphens/>
        <w:ind w:firstLine="708"/>
      </w:pPr>
      <w:r w:rsidRPr="00191003">
        <w:t xml:space="preserve">The cuttlefish/octopi </w:t>
      </w:r>
      <w:r>
        <w:t>motif occurs</w:t>
      </w:r>
      <w:r w:rsidRPr="00191003">
        <w:t xml:space="preserve"> twice on the long sides, while the wavy lines decorate the rim.</w:t>
      </w:r>
    </w:p>
    <w:p w14:paraId="44CC26F6" w14:textId="77777777" w:rsidR="00D726B2" w:rsidRPr="00191003" w:rsidRDefault="00D726B2" w:rsidP="00E858EF">
      <w:pPr>
        <w:suppressAutoHyphens/>
        <w:ind w:firstLine="708"/>
      </w:pPr>
      <w:r w:rsidRPr="00191003">
        <w:t>No decoration is visible on the inside.</w:t>
      </w:r>
    </w:p>
    <w:p w14:paraId="66FF72FF" w14:textId="5466B4DB" w:rsidR="00D726B2" w:rsidRPr="00191003" w:rsidRDefault="00D726B2" w:rsidP="00E858EF">
      <w:pPr>
        <w:pStyle w:val="Titolo3"/>
        <w:keepNext w:val="0"/>
        <w:keepLines w:val="0"/>
        <w:suppressAutoHyphens/>
      </w:pPr>
      <w:bookmarkStart w:id="1047" w:name="_Toc517807583"/>
      <w:bookmarkStart w:id="1048" w:name="_Toc519894677"/>
      <w:r w:rsidRPr="00191003">
        <w:t>Conclusion</w:t>
      </w:r>
      <w:r>
        <w:t>s</w:t>
      </w:r>
      <w:bookmarkEnd w:id="1047"/>
      <w:r>
        <w:t xml:space="preserve">, Far-West </w:t>
      </w:r>
      <w:r w:rsidR="004C4697">
        <w:t>area</w:t>
      </w:r>
      <w:bookmarkEnd w:id="1048"/>
    </w:p>
    <w:p w14:paraId="70EB9359" w14:textId="77777777" w:rsidR="00D726B2" w:rsidRPr="00191003" w:rsidRDefault="00D726B2" w:rsidP="00E858EF">
      <w:pPr>
        <w:suppressAutoHyphens/>
        <w:rPr>
          <w:color w:val="000000"/>
        </w:rPr>
      </w:pPr>
      <w:r>
        <w:rPr>
          <w:color w:val="000000"/>
        </w:rPr>
        <w:t>In Far-West</w:t>
      </w:r>
      <w:r w:rsidRPr="00191003">
        <w:rPr>
          <w:color w:val="000000"/>
        </w:rPr>
        <w:t xml:space="preserve"> Crete</w:t>
      </w:r>
      <w:r>
        <w:rPr>
          <w:color w:val="000000"/>
        </w:rPr>
        <w:t>,</w:t>
      </w:r>
      <w:r w:rsidRPr="00191003">
        <w:rPr>
          <w:color w:val="000000"/>
        </w:rPr>
        <w:t xml:space="preserve"> receptacle burials </w:t>
      </w:r>
      <w:r>
        <w:rPr>
          <w:color w:val="000000"/>
        </w:rPr>
        <w:t>are</w:t>
      </w:r>
      <w:r w:rsidRPr="00191003">
        <w:rPr>
          <w:color w:val="000000"/>
        </w:rPr>
        <w:t xml:space="preserve"> </w:t>
      </w:r>
      <w:r>
        <w:rPr>
          <w:color w:val="000000"/>
        </w:rPr>
        <w:t>absent, except</w:t>
      </w:r>
      <w:r w:rsidRPr="00191003">
        <w:rPr>
          <w:color w:val="000000"/>
        </w:rPr>
        <w:t xml:space="preserve"> </w:t>
      </w:r>
      <w:r>
        <w:rPr>
          <w:color w:val="000000"/>
        </w:rPr>
        <w:t>for</w:t>
      </w:r>
      <w:r w:rsidRPr="00191003">
        <w:rPr>
          <w:color w:val="000000"/>
        </w:rPr>
        <w:t xml:space="preserve"> one bathtub larnax found at Chania Koumpes. This </w:t>
      </w:r>
      <w:r>
        <w:rPr>
          <w:color w:val="000000"/>
        </w:rPr>
        <w:t>is</w:t>
      </w:r>
      <w:r w:rsidRPr="00191003">
        <w:rPr>
          <w:color w:val="000000"/>
        </w:rPr>
        <w:t xml:space="preserve"> a significant difference </w:t>
      </w:r>
      <w:r>
        <w:rPr>
          <w:color w:val="000000"/>
        </w:rPr>
        <w:t>from</w:t>
      </w:r>
      <w:r w:rsidRPr="00191003">
        <w:rPr>
          <w:color w:val="000000"/>
        </w:rPr>
        <w:t xml:space="preserve"> the rest of the island, where the use of larnakes is attested in </w:t>
      </w:r>
      <w:r>
        <w:rPr>
          <w:color w:val="000000"/>
        </w:rPr>
        <w:t xml:space="preserve">almost </w:t>
      </w:r>
      <w:r w:rsidRPr="00191003">
        <w:rPr>
          <w:color w:val="000000"/>
        </w:rPr>
        <w:t>all the regions analysed, even if with different</w:t>
      </w:r>
      <w:r>
        <w:rPr>
          <w:color w:val="000000"/>
        </w:rPr>
        <w:t xml:space="preserve"> patterns of occurrence</w:t>
      </w:r>
      <w:r w:rsidRPr="00191003">
        <w:rPr>
          <w:color w:val="000000"/>
        </w:rPr>
        <w:t>.</w:t>
      </w:r>
    </w:p>
    <w:p w14:paraId="1880C10F" w14:textId="228DC242" w:rsidR="00D726B2" w:rsidRPr="00191003" w:rsidRDefault="00D726B2" w:rsidP="00E858EF">
      <w:pPr>
        <w:suppressAutoHyphens/>
        <w:rPr>
          <w:color w:val="000000"/>
        </w:rPr>
      </w:pPr>
      <w:r>
        <w:rPr>
          <w:color w:val="000000"/>
        </w:rPr>
        <w:tab/>
      </w:r>
      <w:r w:rsidRPr="00191003">
        <w:rPr>
          <w:color w:val="000000"/>
        </w:rPr>
        <w:t xml:space="preserve">The choice of using a bathtub larnax </w:t>
      </w:r>
      <w:r>
        <w:rPr>
          <w:color w:val="000000"/>
        </w:rPr>
        <w:t xml:space="preserve">further </w:t>
      </w:r>
      <w:r w:rsidRPr="00191003">
        <w:rPr>
          <w:color w:val="000000"/>
        </w:rPr>
        <w:t xml:space="preserve">underlines the difference, in particular </w:t>
      </w:r>
      <w:r w:rsidR="00E263C1">
        <w:rPr>
          <w:color w:val="000000"/>
        </w:rPr>
        <w:t xml:space="preserve">compared </w:t>
      </w:r>
      <w:r w:rsidRPr="00191003">
        <w:rPr>
          <w:color w:val="000000"/>
        </w:rPr>
        <w:t xml:space="preserve">with the </w:t>
      </w:r>
      <w:r>
        <w:rPr>
          <w:color w:val="000000"/>
        </w:rPr>
        <w:t>nearby</w:t>
      </w:r>
      <w:r w:rsidRPr="00191003">
        <w:rPr>
          <w:color w:val="000000"/>
        </w:rPr>
        <w:t xml:space="preserve"> </w:t>
      </w:r>
      <w:r>
        <w:rPr>
          <w:color w:val="000000"/>
        </w:rPr>
        <w:t>Mid-West</w:t>
      </w:r>
      <w:r w:rsidRPr="00191003">
        <w:rPr>
          <w:color w:val="000000"/>
        </w:rPr>
        <w:t xml:space="preserve"> region, where chest</w:t>
      </w:r>
      <w:r>
        <w:rPr>
          <w:color w:val="000000"/>
        </w:rPr>
        <w:t>-</w:t>
      </w:r>
      <w:r w:rsidRPr="00191003">
        <w:rPr>
          <w:color w:val="000000"/>
        </w:rPr>
        <w:t>shaped larnakes re</w:t>
      </w:r>
      <w:r>
        <w:rPr>
          <w:color w:val="000000"/>
        </w:rPr>
        <w:t>present the only larnax type</w:t>
      </w:r>
      <w:r w:rsidRPr="00191003">
        <w:rPr>
          <w:color w:val="000000"/>
        </w:rPr>
        <w:t xml:space="preserve"> used. Bathtub larnakes in</w:t>
      </w:r>
      <w:r>
        <w:rPr>
          <w:color w:val="000000"/>
        </w:rPr>
        <w:t xml:space="preserve"> general are avoided in </w:t>
      </w:r>
      <w:r w:rsidR="00C409DD">
        <w:rPr>
          <w:color w:val="000000"/>
        </w:rPr>
        <w:t>the west and c</w:t>
      </w:r>
      <w:r w:rsidRPr="00191003">
        <w:rPr>
          <w:color w:val="000000"/>
        </w:rPr>
        <w:t xml:space="preserve">entral </w:t>
      </w:r>
      <w:r w:rsidR="00C409DD">
        <w:rPr>
          <w:color w:val="000000"/>
        </w:rPr>
        <w:t xml:space="preserve">part of the island, while </w:t>
      </w:r>
      <w:r w:rsidR="00FF5FF0">
        <w:rPr>
          <w:color w:val="000000"/>
        </w:rPr>
        <w:t xml:space="preserve">they </w:t>
      </w:r>
      <w:r w:rsidR="00C409DD">
        <w:rPr>
          <w:color w:val="000000"/>
        </w:rPr>
        <w:t xml:space="preserve">are </w:t>
      </w:r>
      <w:r w:rsidRPr="00191003">
        <w:rPr>
          <w:color w:val="000000"/>
        </w:rPr>
        <w:t xml:space="preserve">common in the </w:t>
      </w:r>
      <w:r>
        <w:rPr>
          <w:color w:val="000000"/>
        </w:rPr>
        <w:t xml:space="preserve">eastern part </w:t>
      </w:r>
      <w:r w:rsidRPr="00191003">
        <w:rPr>
          <w:color w:val="000000"/>
        </w:rPr>
        <w:t>partic</w:t>
      </w:r>
      <w:r>
        <w:rPr>
          <w:color w:val="000000"/>
        </w:rPr>
        <w:t>ularly in the Far-East</w:t>
      </w:r>
      <w:r w:rsidRPr="00191003">
        <w:rPr>
          <w:color w:val="000000"/>
        </w:rPr>
        <w:t xml:space="preserve"> region</w:t>
      </w:r>
      <w:r>
        <w:rPr>
          <w:color w:val="000000"/>
        </w:rPr>
        <w:t>, where</w:t>
      </w:r>
      <w:r w:rsidRPr="00191003">
        <w:rPr>
          <w:color w:val="000000"/>
        </w:rPr>
        <w:t xml:space="preserve"> they are more popu</w:t>
      </w:r>
      <w:r>
        <w:rPr>
          <w:color w:val="000000"/>
        </w:rPr>
        <w:t>lar than chest-shaped larnakes (see Far-East</w:t>
      </w:r>
      <w:r w:rsidRPr="00191003">
        <w:rPr>
          <w:color w:val="000000"/>
        </w:rPr>
        <w:t xml:space="preserve"> region larnax analysis</w:t>
      </w:r>
      <w:r>
        <w:rPr>
          <w:color w:val="000000"/>
        </w:rPr>
        <w:t xml:space="preserve"> 5.10</w:t>
      </w:r>
      <w:r w:rsidRPr="00191003">
        <w:rPr>
          <w:color w:val="000000"/>
        </w:rPr>
        <w:t>).</w:t>
      </w:r>
    </w:p>
    <w:p w14:paraId="1E7B1C84" w14:textId="77777777" w:rsidR="00D726B2" w:rsidRPr="00191003" w:rsidRDefault="00D726B2" w:rsidP="00E858EF">
      <w:pPr>
        <w:suppressAutoHyphens/>
      </w:pPr>
      <w:r>
        <w:tab/>
      </w:r>
      <w:r w:rsidRPr="00191003">
        <w:t>The bathtub larnax from Chania Koumpe</w:t>
      </w:r>
      <w:r>
        <w:t>s</w:t>
      </w:r>
      <w:r w:rsidRPr="00191003">
        <w:t xml:space="preserve"> </w:t>
      </w:r>
      <w:r>
        <w:t>has</w:t>
      </w:r>
      <w:r w:rsidRPr="00191003">
        <w:t xml:space="preserve"> marine </w:t>
      </w:r>
      <w:r>
        <w:t>motif</w:t>
      </w:r>
      <w:r w:rsidRPr="00191003">
        <w:t>s, a pattern frequently attested on bathtub deco</w:t>
      </w:r>
      <w:r>
        <w:t>ration, particularly in Far-East</w:t>
      </w:r>
      <w:r w:rsidRPr="00191003">
        <w:t xml:space="preserve"> Crete, where the cuttlefish/octopi motif is </w:t>
      </w:r>
      <w:r>
        <w:t>often</w:t>
      </w:r>
      <w:r w:rsidRPr="00191003">
        <w:t xml:space="preserve"> used for long side decoration.</w:t>
      </w:r>
    </w:p>
    <w:p w14:paraId="7401B30A" w14:textId="77777777" w:rsidR="00D726B2" w:rsidRPr="00191003" w:rsidRDefault="00D726B2" w:rsidP="00E858EF">
      <w:pPr>
        <w:suppressAutoHyphens/>
      </w:pPr>
      <w:r>
        <w:tab/>
        <w:t>Regarding</w:t>
      </w:r>
      <w:r w:rsidRPr="00191003">
        <w:t xml:space="preserve"> the larn</w:t>
      </w:r>
      <w:r>
        <w:t>akes from the nearby Mid-West area,</w:t>
      </w:r>
      <w:r w:rsidRPr="00191003">
        <w:t xml:space="preserve"> cuttlefish/octopi </w:t>
      </w:r>
      <w:r>
        <w:t>are also</w:t>
      </w:r>
      <w:r w:rsidRPr="00191003">
        <w:t xml:space="preserve"> a common motif (FM</w:t>
      </w:r>
      <w:r>
        <w:t xml:space="preserve"> 21</w:t>
      </w:r>
      <w:r w:rsidRPr="00191003">
        <w:t xml:space="preserve"> occurs </w:t>
      </w:r>
      <w:r>
        <w:t>o</w:t>
      </w:r>
      <w:r w:rsidRPr="00191003">
        <w:t>n 10 l</w:t>
      </w:r>
      <w:r>
        <w:t>arnakes in the Mid-West</w:t>
      </w:r>
      <w:r w:rsidRPr="00191003">
        <w:t>), although they are on chest</w:t>
      </w:r>
      <w:r>
        <w:t>-</w:t>
      </w:r>
      <w:r w:rsidRPr="00191003">
        <w:t>shaped larnakes.</w:t>
      </w:r>
      <w:r>
        <w:t xml:space="preserve"> T</w:t>
      </w:r>
      <w:r w:rsidRPr="00191003">
        <w:t xml:space="preserve">he </w:t>
      </w:r>
      <w:r>
        <w:t xml:space="preserve">bathtub </w:t>
      </w:r>
      <w:r w:rsidRPr="00191003">
        <w:t xml:space="preserve">shape of coffin </w:t>
      </w:r>
      <w:r>
        <w:t>is</w:t>
      </w:r>
      <w:r w:rsidRPr="00191003">
        <w:t xml:space="preserve"> uncommon </w:t>
      </w:r>
      <w:r>
        <w:t>in</w:t>
      </w:r>
      <w:r w:rsidRPr="00191003">
        <w:t xml:space="preserve"> the broad west area of the island, </w:t>
      </w:r>
      <w:r>
        <w:t xml:space="preserve">but </w:t>
      </w:r>
      <w:r w:rsidRPr="00191003">
        <w:t xml:space="preserve">not the decoration. </w:t>
      </w:r>
    </w:p>
    <w:p w14:paraId="003E8497" w14:textId="50763414" w:rsidR="00D726B2" w:rsidRPr="00191003" w:rsidRDefault="00D726B2" w:rsidP="00E858EF">
      <w:pPr>
        <w:suppressAutoHyphens/>
        <w:rPr>
          <w:color w:val="000000"/>
        </w:rPr>
      </w:pPr>
      <w:r>
        <w:rPr>
          <w:color w:val="000000"/>
        </w:rPr>
        <w:tab/>
      </w:r>
      <w:r w:rsidRPr="00191003">
        <w:rPr>
          <w:color w:val="000000"/>
        </w:rPr>
        <w:t>The use of a coffin type almost completely extraneous to the burial tradition</w:t>
      </w:r>
      <w:r>
        <w:rPr>
          <w:color w:val="000000"/>
        </w:rPr>
        <w:t>s</w:t>
      </w:r>
      <w:r w:rsidRPr="00191003">
        <w:rPr>
          <w:color w:val="000000"/>
        </w:rPr>
        <w:t xml:space="preserve"> of the broader </w:t>
      </w:r>
      <w:r>
        <w:rPr>
          <w:color w:val="000000"/>
        </w:rPr>
        <w:t>w</w:t>
      </w:r>
      <w:r w:rsidRPr="00191003">
        <w:rPr>
          <w:color w:val="000000"/>
        </w:rPr>
        <w:t>est region reinforces the idea that the coffin burial</w:t>
      </w:r>
      <w:r>
        <w:rPr>
          <w:color w:val="000000"/>
        </w:rPr>
        <w:t xml:space="preserve"> practice was known in the Far-West</w:t>
      </w:r>
      <w:r w:rsidRPr="00191003">
        <w:rPr>
          <w:color w:val="000000"/>
        </w:rPr>
        <w:t xml:space="preserve"> area but deliberately not adopted, </w:t>
      </w:r>
      <w:r>
        <w:rPr>
          <w:color w:val="000000"/>
        </w:rPr>
        <w:t>which</w:t>
      </w:r>
      <w:r w:rsidRPr="00191003">
        <w:rPr>
          <w:color w:val="000000"/>
        </w:rPr>
        <w:t xml:space="preserve"> constitutes an element of difference in </w:t>
      </w:r>
      <w:r>
        <w:rPr>
          <w:color w:val="000000"/>
        </w:rPr>
        <w:t xml:space="preserve">the </w:t>
      </w:r>
      <w:r w:rsidRPr="00191003">
        <w:rPr>
          <w:color w:val="000000"/>
        </w:rPr>
        <w:t xml:space="preserve">burial tradition (Preston 2004b: 189-191). The use of the specific larnax type </w:t>
      </w:r>
      <w:r>
        <w:rPr>
          <w:color w:val="000000"/>
        </w:rPr>
        <w:t>very popular in the Far-East</w:t>
      </w:r>
      <w:r w:rsidRPr="00191003">
        <w:rPr>
          <w:color w:val="000000"/>
        </w:rPr>
        <w:t xml:space="preserve"> area is</w:t>
      </w:r>
      <w:r>
        <w:rPr>
          <w:color w:val="000000"/>
        </w:rPr>
        <w:t>, however,</w:t>
      </w:r>
      <w:r w:rsidRPr="00191003">
        <w:rPr>
          <w:color w:val="000000"/>
        </w:rPr>
        <w:t xml:space="preserve"> difficult to explain in</w:t>
      </w:r>
      <w:r>
        <w:rPr>
          <w:color w:val="000000"/>
        </w:rPr>
        <w:t xml:space="preserve"> the</w:t>
      </w:r>
      <w:r w:rsidRPr="00191003">
        <w:rPr>
          <w:color w:val="000000"/>
        </w:rPr>
        <w:t xml:space="preserve"> absence of other information from the burial context (i.e. skeletal remains and grave goods assemblage</w:t>
      </w:r>
      <w:r w:rsidR="00902FF0">
        <w:rPr>
          <w:color w:val="000000"/>
        </w:rPr>
        <w:t>)</w:t>
      </w:r>
      <w:r>
        <w:rPr>
          <w:color w:val="000000"/>
        </w:rPr>
        <w:t>. It is possible that this larnax represent an import from the east area of Crete.</w:t>
      </w:r>
    </w:p>
    <w:p w14:paraId="0BE4E00E" w14:textId="4B247975" w:rsidR="00D726B2" w:rsidRPr="00E7753F" w:rsidRDefault="00D726B2" w:rsidP="00E858EF">
      <w:pPr>
        <w:pStyle w:val="Titolo2"/>
        <w:keepNext w:val="0"/>
        <w:keepLines w:val="0"/>
        <w:suppressAutoHyphens/>
      </w:pPr>
      <w:bookmarkStart w:id="1049" w:name="_Toc519894678"/>
      <w:r>
        <w:t>Mid-West</w:t>
      </w:r>
      <w:bookmarkEnd w:id="1049"/>
      <w:r w:rsidR="006934A7">
        <w:t xml:space="preserve"> area</w:t>
      </w:r>
    </w:p>
    <w:p w14:paraId="66741FF9" w14:textId="5154668D" w:rsidR="00D726B2" w:rsidRPr="00191003" w:rsidRDefault="00D726B2" w:rsidP="00E858EF">
      <w:pPr>
        <w:pStyle w:val="Titolo3"/>
        <w:keepNext w:val="0"/>
        <w:keepLines w:val="0"/>
        <w:suppressAutoHyphens/>
      </w:pPr>
      <w:bookmarkStart w:id="1050" w:name="_Toc517807585"/>
      <w:bookmarkStart w:id="1051" w:name="_Toc519894679"/>
      <w:r>
        <w:t>Mid-West</w:t>
      </w:r>
      <w:r w:rsidRPr="00191003">
        <w:t xml:space="preserve"> </w:t>
      </w:r>
      <w:r w:rsidR="006934A7">
        <w:t xml:space="preserve">area </w:t>
      </w:r>
      <w:r w:rsidRPr="00191003">
        <w:t>larnakes morphological analysis</w:t>
      </w:r>
      <w:bookmarkEnd w:id="1050"/>
      <w:bookmarkEnd w:id="1051"/>
    </w:p>
    <w:p w14:paraId="0FFB77B7"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191003">
        <w:rPr>
          <w:color w:val="000000"/>
        </w:rPr>
        <w:t>The sample of larnakes available fr</w:t>
      </w:r>
      <w:r>
        <w:rPr>
          <w:color w:val="000000"/>
        </w:rPr>
        <w:t>om the publication records for the Mid-West</w:t>
      </w:r>
      <w:r w:rsidRPr="00191003">
        <w:rPr>
          <w:color w:val="000000"/>
        </w:rPr>
        <w:t xml:space="preserve"> area consists of </w:t>
      </w:r>
      <w:r w:rsidRPr="00E7753F">
        <w:rPr>
          <w:color w:val="000000"/>
        </w:rPr>
        <w:t>120 items.</w:t>
      </w:r>
      <w:r w:rsidRPr="00933CFB">
        <w:rPr>
          <w:color w:val="000000"/>
        </w:rPr>
        <w:t xml:space="preserve"> </w:t>
      </w:r>
      <w:r w:rsidRPr="00191003">
        <w:rPr>
          <w:color w:val="000000"/>
        </w:rPr>
        <w:t xml:space="preserve">In this group </w:t>
      </w:r>
      <w:r>
        <w:rPr>
          <w:color w:val="000000"/>
        </w:rPr>
        <w:t>is</w:t>
      </w:r>
      <w:r w:rsidRPr="00191003">
        <w:rPr>
          <w:color w:val="000000"/>
        </w:rPr>
        <w:t xml:space="preserve"> included a number of larnakes for which information </w:t>
      </w:r>
      <w:r>
        <w:rPr>
          <w:color w:val="000000"/>
        </w:rPr>
        <w:t>is</w:t>
      </w:r>
      <w:r w:rsidRPr="00191003">
        <w:rPr>
          <w:color w:val="000000"/>
        </w:rPr>
        <w:t xml:space="preserve"> less complete (both in respect of the burial context and of their characteristics) because they add evidence to the iconographic / morphological data since they can be attributed to sites, if not specific tombs:</w:t>
      </w:r>
    </w:p>
    <w:p w14:paraId="3D2C5C4E" w14:textId="77777777" w:rsidR="00D726B2" w:rsidRPr="00191003" w:rsidRDefault="00D726B2" w:rsidP="00370745">
      <w:pPr>
        <w:pStyle w:val="Paragrafoelenco"/>
        <w:numPr>
          <w:ilvl w:val="0"/>
          <w:numId w:val="10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Pr>
          <w:color w:val="000000"/>
        </w:rPr>
        <w:t>Eleven</w:t>
      </w:r>
      <w:r w:rsidRPr="00191003">
        <w:rPr>
          <w:color w:val="000000"/>
        </w:rPr>
        <w:t xml:space="preserve"> larnakes from Armen</w:t>
      </w:r>
      <w:r>
        <w:rPr>
          <w:color w:val="000000"/>
        </w:rPr>
        <w:t xml:space="preserve">oi, </w:t>
      </w:r>
      <w:r w:rsidRPr="00191003">
        <w:rPr>
          <w:color w:val="000000"/>
        </w:rPr>
        <w:t>which</w:t>
      </w:r>
      <w:r>
        <w:rPr>
          <w:color w:val="000000"/>
        </w:rPr>
        <w:t xml:space="preserve"> </w:t>
      </w:r>
      <w:r w:rsidRPr="00191003">
        <w:rPr>
          <w:color w:val="000000"/>
        </w:rPr>
        <w:t xml:space="preserve">it is not possible to </w:t>
      </w:r>
      <w:r>
        <w:rPr>
          <w:color w:val="000000"/>
        </w:rPr>
        <w:t>attribute</w:t>
      </w:r>
      <w:r w:rsidRPr="00191003">
        <w:rPr>
          <w:color w:val="000000"/>
        </w:rPr>
        <w:t xml:space="preserve"> to </w:t>
      </w:r>
      <w:r>
        <w:rPr>
          <w:color w:val="000000"/>
        </w:rPr>
        <w:t xml:space="preserve">specific </w:t>
      </w:r>
      <w:r w:rsidRPr="00191003">
        <w:rPr>
          <w:color w:val="000000"/>
        </w:rPr>
        <w:t>tomb</w:t>
      </w:r>
      <w:r>
        <w:rPr>
          <w:color w:val="000000"/>
        </w:rPr>
        <w:t>s</w:t>
      </w:r>
      <w:r w:rsidRPr="00191003">
        <w:rPr>
          <w:color w:val="000000"/>
        </w:rPr>
        <w:t xml:space="preserve"> due to publication limits (Tzedakis</w:t>
      </w:r>
      <w:r>
        <w:rPr>
          <w:color w:val="000000"/>
        </w:rPr>
        <w:t xml:space="preserve"> and</w:t>
      </w:r>
      <w:r w:rsidRPr="00191003">
        <w:rPr>
          <w:color w:val="000000"/>
        </w:rPr>
        <w:t xml:space="preserve"> Martlew 2012: 239-245; in this publication a total of 33 larnakes </w:t>
      </w:r>
      <w:r>
        <w:rPr>
          <w:color w:val="000000"/>
        </w:rPr>
        <w:t>are</w:t>
      </w:r>
      <w:r w:rsidRPr="00191003">
        <w:rPr>
          <w:color w:val="000000"/>
        </w:rPr>
        <w:t xml:space="preserve"> reported for Armen</w:t>
      </w:r>
      <w:r>
        <w:rPr>
          <w:color w:val="000000"/>
        </w:rPr>
        <w:t>o</w:t>
      </w:r>
      <w:r w:rsidRPr="00191003">
        <w:rPr>
          <w:color w:val="000000"/>
        </w:rPr>
        <w:t xml:space="preserve">i cemetery </w:t>
      </w:r>
      <w:r>
        <w:rPr>
          <w:color w:val="000000"/>
        </w:rPr>
        <w:t>However,</w:t>
      </w:r>
      <w:r w:rsidRPr="00191003">
        <w:rPr>
          <w:color w:val="000000"/>
        </w:rPr>
        <w:t xml:space="preserve"> it </w:t>
      </w:r>
      <w:r>
        <w:rPr>
          <w:color w:val="000000"/>
        </w:rPr>
        <w:t>is</w:t>
      </w:r>
      <w:r w:rsidRPr="00191003">
        <w:rPr>
          <w:color w:val="000000"/>
        </w:rPr>
        <w:t xml:space="preserve"> possible to retrieve the tomb provenance</w:t>
      </w:r>
      <w:r>
        <w:rPr>
          <w:color w:val="000000"/>
        </w:rPr>
        <w:t xml:space="preserve"> only</w:t>
      </w:r>
      <w:r w:rsidRPr="00191003">
        <w:rPr>
          <w:color w:val="000000"/>
        </w:rPr>
        <w:t xml:space="preserve"> for 22 larnakes, distributed in 18 tombs</w:t>
      </w:r>
      <w:r>
        <w:rPr>
          <w:color w:val="000000"/>
        </w:rPr>
        <w:t xml:space="preserve">: </w:t>
      </w:r>
      <w:r w:rsidRPr="00191003">
        <w:rPr>
          <w:color w:val="000000"/>
        </w:rPr>
        <w:t>Preston 2000; L</w:t>
      </w:r>
      <w:r w:rsidRPr="00191003">
        <w:rPr>
          <w:color w:val="000000"/>
          <w:lang w:val="de-DE"/>
        </w:rPr>
        <w:t>ö</w:t>
      </w:r>
      <w:r w:rsidRPr="00191003">
        <w:rPr>
          <w:color w:val="000000"/>
        </w:rPr>
        <w:t>we 199</w:t>
      </w:r>
      <w:r>
        <w:rPr>
          <w:color w:val="000000"/>
        </w:rPr>
        <w:t>6</w:t>
      </w:r>
      <w:r w:rsidRPr="00191003">
        <w:rPr>
          <w:color w:val="000000"/>
        </w:rPr>
        <w:t>).</w:t>
      </w:r>
    </w:p>
    <w:p w14:paraId="69DDF858" w14:textId="77777777" w:rsidR="00D726B2" w:rsidRPr="00191003" w:rsidRDefault="00D726B2" w:rsidP="00370745">
      <w:pPr>
        <w:pStyle w:val="Paragrafoelenco"/>
        <w:numPr>
          <w:ilvl w:val="0"/>
          <w:numId w:val="10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Pr>
          <w:color w:val="000000"/>
        </w:rPr>
        <w:t>Three</w:t>
      </w:r>
      <w:r w:rsidRPr="00191003">
        <w:rPr>
          <w:color w:val="000000"/>
        </w:rPr>
        <w:t xml:space="preserve"> larnakes</w:t>
      </w:r>
      <w:r>
        <w:rPr>
          <w:color w:val="000000"/>
        </w:rPr>
        <w:t xml:space="preserve"> from the Maroulas cemetery</w:t>
      </w:r>
      <w:r w:rsidRPr="00191003">
        <w:rPr>
          <w:color w:val="000000"/>
        </w:rPr>
        <w:t xml:space="preserve"> stolen and stored at the National Museum of Athens for which it is not possible to retrieve information about the tomb to which they belong</w:t>
      </w:r>
      <w:r>
        <w:rPr>
          <w:color w:val="000000"/>
        </w:rPr>
        <w:t xml:space="preserve"> </w:t>
      </w:r>
      <w:r w:rsidRPr="00191003">
        <w:rPr>
          <w:color w:val="000000"/>
        </w:rPr>
        <w:t xml:space="preserve">(Merousis 2007/2008: 77-92 </w:t>
      </w:r>
      <w:r>
        <w:rPr>
          <w:color w:val="000000"/>
        </w:rPr>
        <w:t>F</w:t>
      </w:r>
      <w:r w:rsidRPr="00191003">
        <w:rPr>
          <w:color w:val="000000"/>
        </w:rPr>
        <w:t>ig</w:t>
      </w:r>
      <w:r>
        <w:rPr>
          <w:color w:val="000000"/>
        </w:rPr>
        <w:t>s</w:t>
      </w:r>
      <w:r w:rsidRPr="00191003">
        <w:rPr>
          <w:color w:val="000000"/>
        </w:rPr>
        <w:t xml:space="preserve">. 1-4; Papadopoulou 2017: </w:t>
      </w:r>
      <w:r>
        <w:rPr>
          <w:color w:val="000000"/>
        </w:rPr>
        <w:t>133).</w:t>
      </w:r>
    </w:p>
    <w:p w14:paraId="038D4A46" w14:textId="77777777" w:rsidR="00D726B2" w:rsidRPr="00191003" w:rsidRDefault="00D726B2" w:rsidP="00370745">
      <w:pPr>
        <w:pStyle w:val="Paragrafoelenco"/>
        <w:numPr>
          <w:ilvl w:val="0"/>
          <w:numId w:val="10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Pr>
          <w:color w:val="000000"/>
        </w:rPr>
        <w:t>Two larnakes from a tomb in</w:t>
      </w:r>
      <w:r w:rsidRPr="00191003">
        <w:rPr>
          <w:color w:val="000000"/>
        </w:rPr>
        <w:t xml:space="preserve"> Mesi</w:t>
      </w:r>
      <w:r>
        <w:rPr>
          <w:color w:val="000000"/>
        </w:rPr>
        <w:t xml:space="preserve"> </w:t>
      </w:r>
      <w:r w:rsidRPr="00191003">
        <w:rPr>
          <w:color w:val="000000"/>
        </w:rPr>
        <w:t xml:space="preserve">for which it is not possible to retrieve </w:t>
      </w:r>
      <w:r>
        <w:rPr>
          <w:color w:val="000000"/>
        </w:rPr>
        <w:t xml:space="preserve">further </w:t>
      </w:r>
      <w:r w:rsidRPr="00191003">
        <w:rPr>
          <w:color w:val="000000"/>
        </w:rPr>
        <w:t>information about the tomb to which they belong</w:t>
      </w:r>
      <w:r w:rsidDel="00380438">
        <w:rPr>
          <w:color w:val="000000"/>
        </w:rPr>
        <w:t xml:space="preserve"> </w:t>
      </w:r>
      <w:r w:rsidRPr="00191003">
        <w:rPr>
          <w:color w:val="000000"/>
        </w:rPr>
        <w:t xml:space="preserve">(Mavriyannaki 1972: 47- </w:t>
      </w:r>
      <w:r>
        <w:rPr>
          <w:color w:val="000000"/>
        </w:rPr>
        <w:t>55).</w:t>
      </w:r>
    </w:p>
    <w:p w14:paraId="5E670E09" w14:textId="0F721CED" w:rsidR="00D726B2" w:rsidRPr="00191003" w:rsidRDefault="00ED51BD"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00D726B2" w:rsidRPr="00191003">
        <w:rPr>
          <w:color w:val="000000"/>
        </w:rPr>
        <w:t xml:space="preserve">From this sample have been excluded: </w:t>
      </w:r>
    </w:p>
    <w:p w14:paraId="3292485C"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191003">
        <w:rPr>
          <w:color w:val="000000"/>
        </w:rPr>
        <w:t>-</w:t>
      </w:r>
      <w:r>
        <w:rPr>
          <w:color w:val="000000"/>
        </w:rPr>
        <w:t xml:space="preserve"> </w:t>
      </w:r>
      <w:r w:rsidRPr="00191003">
        <w:rPr>
          <w:color w:val="000000"/>
        </w:rPr>
        <w:t xml:space="preserve">Larnakes for which </w:t>
      </w:r>
      <w:r>
        <w:rPr>
          <w:color w:val="000000"/>
        </w:rPr>
        <w:t xml:space="preserve">it </w:t>
      </w:r>
      <w:r w:rsidRPr="00191003">
        <w:rPr>
          <w:color w:val="000000"/>
        </w:rPr>
        <w:t xml:space="preserve">has not been possible to retrieve a secure burial context. </w:t>
      </w:r>
    </w:p>
    <w:p w14:paraId="30EECA23" w14:textId="77777777" w:rsidR="00D726B2" w:rsidRPr="009A3C74"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This i</w:t>
      </w:r>
      <w:r w:rsidRPr="00191003">
        <w:rPr>
          <w:color w:val="000000"/>
        </w:rPr>
        <w:t>nclude</w:t>
      </w:r>
      <w:r>
        <w:rPr>
          <w:color w:val="000000"/>
        </w:rPr>
        <w:t>s</w:t>
      </w:r>
      <w:r w:rsidRPr="00191003">
        <w:rPr>
          <w:color w:val="000000"/>
        </w:rPr>
        <w:t xml:space="preserve"> a group of larnakes </w:t>
      </w:r>
      <w:r>
        <w:rPr>
          <w:color w:val="000000"/>
        </w:rPr>
        <w:t>of</w:t>
      </w:r>
      <w:r w:rsidRPr="00191003">
        <w:rPr>
          <w:color w:val="000000"/>
        </w:rPr>
        <w:t xml:space="preserve"> unknown provenance. </w:t>
      </w:r>
      <w:r>
        <w:rPr>
          <w:color w:val="000000"/>
        </w:rPr>
        <w:t>Based on</w:t>
      </w:r>
      <w:r w:rsidRPr="00191003">
        <w:rPr>
          <w:color w:val="000000"/>
        </w:rPr>
        <w:t xml:space="preserve"> their morphological characteristic</w:t>
      </w:r>
      <w:r>
        <w:rPr>
          <w:color w:val="000000"/>
        </w:rPr>
        <w:t>s</w:t>
      </w:r>
      <w:r w:rsidRPr="00191003">
        <w:rPr>
          <w:color w:val="000000"/>
        </w:rPr>
        <w:t xml:space="preserve"> and decoration it is highly possible that the</w:t>
      </w:r>
      <w:r>
        <w:rPr>
          <w:color w:val="000000"/>
        </w:rPr>
        <w:t xml:space="preserve"> larnakes</w:t>
      </w:r>
      <w:r w:rsidRPr="00191003">
        <w:rPr>
          <w:color w:val="000000"/>
        </w:rPr>
        <w:t xml:space="preserve"> com</w:t>
      </w:r>
      <w:r>
        <w:rPr>
          <w:color w:val="000000"/>
        </w:rPr>
        <w:t>e from looted tombs in the Mid-West</w:t>
      </w:r>
      <w:r w:rsidRPr="00191003">
        <w:rPr>
          <w:color w:val="000000"/>
        </w:rPr>
        <w:t xml:space="preserve"> area (for the group of larnakes stored at the archaeological museum of Rethymnon</w:t>
      </w:r>
      <w:r>
        <w:rPr>
          <w:color w:val="000000"/>
        </w:rPr>
        <w:t>:</w:t>
      </w:r>
      <w:r w:rsidRPr="00191003">
        <w:rPr>
          <w:color w:val="000000"/>
        </w:rPr>
        <w:t xml:space="preserve"> Mavriyannaki 1972; </w:t>
      </w:r>
      <w:r>
        <w:rPr>
          <w:color w:val="000000"/>
        </w:rPr>
        <w:t xml:space="preserve">and </w:t>
      </w:r>
      <w:r w:rsidRPr="00191003">
        <w:rPr>
          <w:color w:val="000000"/>
        </w:rPr>
        <w:t xml:space="preserve">for the group of larnakes stored at the National Archaeological </w:t>
      </w:r>
      <w:r>
        <w:rPr>
          <w:color w:val="000000"/>
        </w:rPr>
        <w:t>M</w:t>
      </w:r>
      <w:r w:rsidRPr="00191003">
        <w:rPr>
          <w:color w:val="000000"/>
        </w:rPr>
        <w:t>useum of Athens</w:t>
      </w:r>
      <w:r>
        <w:rPr>
          <w:color w:val="000000"/>
        </w:rPr>
        <w:t>:</w:t>
      </w:r>
      <w:r w:rsidRPr="00191003">
        <w:rPr>
          <w:color w:val="000000"/>
        </w:rPr>
        <w:t xml:space="preserve"> Merousis 2007/2008). Further larnax burials from a </w:t>
      </w:r>
      <w:r>
        <w:rPr>
          <w:color w:val="000000"/>
        </w:rPr>
        <w:t>‘</w:t>
      </w:r>
      <w:r w:rsidRPr="00191003">
        <w:rPr>
          <w:color w:val="000000"/>
        </w:rPr>
        <w:t>cave tomb</w:t>
      </w:r>
      <w:r>
        <w:rPr>
          <w:color w:val="000000"/>
        </w:rPr>
        <w:t>’</w:t>
      </w:r>
      <w:r w:rsidRPr="00191003">
        <w:rPr>
          <w:color w:val="000000"/>
        </w:rPr>
        <w:t xml:space="preserve"> have been reported from a rescue excavation conducted by Kapranos in the area of Angeliana, where</w:t>
      </w:r>
      <w:r>
        <w:rPr>
          <w:color w:val="000000"/>
        </w:rPr>
        <w:t>,</w:t>
      </w:r>
      <w:r w:rsidRPr="00191003">
        <w:rPr>
          <w:color w:val="000000"/>
        </w:rPr>
        <w:t xml:space="preserve"> previously</w:t>
      </w:r>
      <w:r>
        <w:rPr>
          <w:color w:val="000000"/>
        </w:rPr>
        <w:t>,</w:t>
      </w:r>
      <w:r w:rsidRPr="00191003">
        <w:rPr>
          <w:color w:val="000000"/>
        </w:rPr>
        <w:t xml:space="preserve"> two</w:t>
      </w:r>
      <w:r>
        <w:rPr>
          <w:color w:val="000000"/>
        </w:rPr>
        <w:t xml:space="preserve"> other</w:t>
      </w:r>
      <w:r w:rsidRPr="00191003">
        <w:rPr>
          <w:color w:val="000000"/>
        </w:rPr>
        <w:t xml:space="preserve"> chamber tombs </w:t>
      </w:r>
      <w:r>
        <w:rPr>
          <w:color w:val="000000"/>
        </w:rPr>
        <w:t>were</w:t>
      </w:r>
      <w:r w:rsidRPr="00191003">
        <w:rPr>
          <w:color w:val="000000"/>
        </w:rPr>
        <w:t xml:space="preserve"> found. </w:t>
      </w:r>
      <w:r>
        <w:rPr>
          <w:color w:val="000000"/>
        </w:rPr>
        <w:t>However, n</w:t>
      </w:r>
      <w:r w:rsidRPr="00191003">
        <w:rPr>
          <w:color w:val="000000"/>
        </w:rPr>
        <w:t>o further information is p</w:t>
      </w:r>
      <w:r>
        <w:rPr>
          <w:color w:val="000000"/>
        </w:rPr>
        <w:t xml:space="preserve">rovided about these burials (cf. </w:t>
      </w:r>
      <w:hyperlink r:id="rId268" w:history="1">
        <w:r w:rsidRPr="00FF5FF0">
          <w:rPr>
            <w:rStyle w:val="Collegamentoipertestuale"/>
            <w:bCs/>
          </w:rPr>
          <w:t>http://www.yppo.gr/0/anaskafes/pdfs/KE_EPKA.pdf</w:t>
        </w:r>
      </w:hyperlink>
      <w:r w:rsidRPr="00144247">
        <w:rPr>
          <w:color w:val="000000"/>
        </w:rPr>
        <w:t>).</w:t>
      </w:r>
    </w:p>
    <w:p w14:paraId="0D3F671F" w14:textId="77777777" w:rsidR="00D726B2" w:rsidRPr="00191003" w:rsidRDefault="00D726B2" w:rsidP="00E858EF">
      <w:pPr>
        <w:pStyle w:val="Titolo3"/>
        <w:keepNext w:val="0"/>
        <w:keepLines w:val="0"/>
        <w:suppressAutoHyphens/>
      </w:pPr>
      <w:bookmarkStart w:id="1052" w:name="_Toc517807586"/>
      <w:bookmarkStart w:id="1053" w:name="_Toc519894680"/>
      <w:r w:rsidRPr="00191003">
        <w:t>Does a</w:t>
      </w:r>
      <w:r>
        <w:t xml:space="preserve"> standard larnax exist for the Mid-West</w:t>
      </w:r>
      <w:r w:rsidRPr="00191003">
        <w:t xml:space="preserve"> area? Wh</w:t>
      </w:r>
      <w:r>
        <w:t>at</w:t>
      </w:r>
      <w:r w:rsidRPr="00191003">
        <w:t xml:space="preserve"> are its characteristics?</w:t>
      </w:r>
      <w:bookmarkEnd w:id="1052"/>
      <w:bookmarkEnd w:id="1053"/>
      <w:r w:rsidRPr="00191003">
        <w:t xml:space="preserve"> </w:t>
      </w:r>
    </w:p>
    <w:p w14:paraId="5463D8DE" w14:textId="5275BF61" w:rsidR="00D726B2"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In the Mid-West</w:t>
      </w:r>
      <w:r w:rsidRPr="00191003">
        <w:rPr>
          <w:color w:val="000000"/>
        </w:rPr>
        <w:t xml:space="preserve"> region</w:t>
      </w:r>
      <w:r>
        <w:rPr>
          <w:color w:val="000000"/>
        </w:rPr>
        <w:t>,</w:t>
      </w:r>
      <w:r w:rsidRPr="00191003">
        <w:rPr>
          <w:color w:val="000000"/>
        </w:rPr>
        <w:t xml:space="preserve"> it is possible to recognise a standard larnax type </w:t>
      </w:r>
      <w:r>
        <w:rPr>
          <w:color w:val="000000"/>
        </w:rPr>
        <w:t>that</w:t>
      </w:r>
      <w:r w:rsidRPr="00191003">
        <w:rPr>
          <w:color w:val="000000"/>
        </w:rPr>
        <w:t xml:space="preserve"> </w:t>
      </w:r>
      <w:r>
        <w:rPr>
          <w:color w:val="000000"/>
        </w:rPr>
        <w:t>has</w:t>
      </w:r>
      <w:r w:rsidRPr="00191003">
        <w:rPr>
          <w:color w:val="000000"/>
        </w:rPr>
        <w:t xml:space="preserve"> the following morphological characteristics:</w:t>
      </w:r>
    </w:p>
    <w:p w14:paraId="0A3BDF2F" w14:textId="77777777" w:rsidR="008246F6" w:rsidRDefault="008246F6"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158396DD" w14:textId="77777777" w:rsidR="00D726B2" w:rsidRPr="00214813"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Larnax type: information available for the entire sample</w:t>
      </w:r>
    </w:p>
    <w:p w14:paraId="743F6A6F" w14:textId="36C9E810" w:rsidR="00D726B2" w:rsidRPr="00191003" w:rsidRDefault="00D726B2" w:rsidP="00E858EF">
      <w:pPr>
        <w:pStyle w:val="Testofumetto"/>
        <w:suppressAutoHyphens/>
      </w:pPr>
      <w:bookmarkStart w:id="1054" w:name="_Toc520212625"/>
      <w:r>
        <w:t>Table 5-1</w:t>
      </w:r>
      <w:r w:rsidR="00BD0F61">
        <w:t>.</w:t>
      </w:r>
      <w:r>
        <w:t xml:space="preserve"> </w:t>
      </w:r>
      <w:r w:rsidRPr="00191003">
        <w:t>Larnax type</w:t>
      </w:r>
      <w:r>
        <w:t>, Mid-West</w:t>
      </w:r>
      <w:bookmarkEnd w:id="1054"/>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1275"/>
        <w:gridCol w:w="1172"/>
      </w:tblGrid>
      <w:tr w:rsidR="00D726B2" w:rsidRPr="008246F6" w14:paraId="68E3ABA1"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3FE30F79" w14:textId="77777777" w:rsidR="00D726B2" w:rsidRPr="008246F6" w:rsidRDefault="00D726B2" w:rsidP="00E858EF">
            <w:pPr>
              <w:suppressAutoHyphens/>
              <w:jc w:val="center"/>
              <w:rPr>
                <w:sz w:val="20"/>
              </w:rPr>
            </w:pPr>
            <w:r w:rsidRPr="008246F6">
              <w:rPr>
                <w:sz w:val="20"/>
              </w:rPr>
              <w:t>Chest</w:t>
            </w:r>
          </w:p>
        </w:tc>
        <w:tc>
          <w:tcPr>
            <w:tcW w:w="1275" w:type="dxa"/>
            <w:tcBorders>
              <w:top w:val="single" w:sz="6" w:space="0" w:color="000000"/>
              <w:left w:val="single" w:sz="6" w:space="0" w:color="000000"/>
              <w:bottom w:val="single" w:sz="6" w:space="0" w:color="000000"/>
              <w:right w:val="single" w:sz="6" w:space="0" w:color="000000"/>
            </w:tcBorders>
          </w:tcPr>
          <w:p w14:paraId="04D56536" w14:textId="77777777" w:rsidR="00D726B2" w:rsidRPr="008246F6" w:rsidRDefault="00D726B2" w:rsidP="00E858EF">
            <w:pPr>
              <w:suppressAutoHyphens/>
              <w:jc w:val="center"/>
              <w:rPr>
                <w:sz w:val="20"/>
              </w:rPr>
            </w:pPr>
            <w:r w:rsidRPr="008246F6">
              <w:rPr>
                <w:sz w:val="20"/>
              </w:rPr>
              <w:t>Bath</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9986A57" w14:textId="77777777" w:rsidR="00D726B2" w:rsidRPr="008246F6" w:rsidRDefault="00D726B2" w:rsidP="00E858EF">
            <w:pPr>
              <w:suppressAutoHyphens/>
              <w:jc w:val="center"/>
              <w:rPr>
                <w:sz w:val="20"/>
              </w:rPr>
            </w:pPr>
            <w:r w:rsidRPr="008246F6">
              <w:rPr>
                <w:sz w:val="20"/>
              </w:rPr>
              <w:t>Lid</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734350B" w14:textId="77777777" w:rsidR="00D726B2" w:rsidRPr="008246F6" w:rsidRDefault="00D726B2" w:rsidP="00E858EF">
            <w:pPr>
              <w:suppressAutoHyphens/>
              <w:jc w:val="center"/>
              <w:rPr>
                <w:sz w:val="20"/>
              </w:rPr>
            </w:pPr>
            <w:r w:rsidRPr="008246F6">
              <w:rPr>
                <w:color w:val="000000"/>
                <w:sz w:val="20"/>
              </w:rPr>
              <w:t>Fragmentary</w:t>
            </w:r>
          </w:p>
        </w:tc>
      </w:tr>
      <w:tr w:rsidR="00D726B2" w:rsidRPr="008246F6" w14:paraId="19F8388E"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013C2804" w14:textId="77777777" w:rsidR="00D726B2" w:rsidRPr="008246F6" w:rsidRDefault="00D726B2" w:rsidP="00E858EF">
            <w:pPr>
              <w:suppressAutoHyphens/>
              <w:jc w:val="center"/>
              <w:rPr>
                <w:sz w:val="20"/>
              </w:rPr>
            </w:pPr>
            <w:r w:rsidRPr="008246F6">
              <w:rPr>
                <w:sz w:val="20"/>
              </w:rPr>
              <w:t>112</w:t>
            </w:r>
          </w:p>
        </w:tc>
        <w:tc>
          <w:tcPr>
            <w:tcW w:w="1275" w:type="dxa"/>
            <w:tcBorders>
              <w:top w:val="single" w:sz="6" w:space="0" w:color="000000"/>
              <w:left w:val="single" w:sz="6" w:space="0" w:color="000000"/>
              <w:bottom w:val="single" w:sz="6" w:space="0" w:color="000000"/>
              <w:right w:val="single" w:sz="6" w:space="0" w:color="000000"/>
            </w:tcBorders>
          </w:tcPr>
          <w:p w14:paraId="7BD7E3D6" w14:textId="77777777" w:rsidR="00D726B2" w:rsidRPr="008246F6" w:rsidRDefault="00D726B2" w:rsidP="00E858EF">
            <w:pPr>
              <w:suppressAutoHyphens/>
              <w:jc w:val="center"/>
              <w:rPr>
                <w:sz w:val="20"/>
              </w:rPr>
            </w:pPr>
            <w:r w:rsidRPr="008246F6">
              <w:rPr>
                <w:sz w:val="20"/>
              </w:rPr>
              <w:t>0</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244C8666" w14:textId="77777777" w:rsidR="00D726B2" w:rsidRPr="008246F6" w:rsidRDefault="00D726B2" w:rsidP="00E858EF">
            <w:pPr>
              <w:suppressAutoHyphens/>
              <w:jc w:val="center"/>
              <w:rPr>
                <w:sz w:val="20"/>
              </w:rPr>
            </w:pPr>
            <w:r w:rsidRPr="008246F6">
              <w:rPr>
                <w:sz w:val="20"/>
              </w:rPr>
              <w:t>0</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26CCCD99" w14:textId="77777777" w:rsidR="00D726B2" w:rsidRPr="008246F6" w:rsidRDefault="00D726B2" w:rsidP="00E858EF">
            <w:pPr>
              <w:suppressAutoHyphens/>
              <w:jc w:val="center"/>
              <w:rPr>
                <w:color w:val="000000"/>
                <w:sz w:val="20"/>
              </w:rPr>
            </w:pPr>
            <w:r w:rsidRPr="008246F6">
              <w:rPr>
                <w:color w:val="000000"/>
                <w:sz w:val="20"/>
              </w:rPr>
              <w:t>8</w:t>
            </w:r>
          </w:p>
        </w:tc>
      </w:tr>
    </w:tbl>
    <w:p w14:paraId="629E6E7C" w14:textId="77777777" w:rsidR="00D726B2"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p w14:paraId="73016F26"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Dimension range: Informat</w:t>
      </w:r>
      <w:r>
        <w:rPr>
          <w:color w:val="000000"/>
        </w:rPr>
        <w:t xml:space="preserve">ion available for a sample of 41 </w:t>
      </w:r>
      <w:r w:rsidRPr="00191003">
        <w:rPr>
          <w:color w:val="000000"/>
        </w:rPr>
        <w:t>larnakes</w:t>
      </w:r>
    </w:p>
    <w:p w14:paraId="61740533" w14:textId="7AD8791D" w:rsidR="00D726B2" w:rsidRPr="00191003" w:rsidRDefault="00D726B2" w:rsidP="00E858EF">
      <w:pPr>
        <w:pStyle w:val="Testofumetto"/>
        <w:suppressAutoHyphens/>
      </w:pPr>
      <w:bookmarkStart w:id="1055" w:name="_Toc520212626"/>
      <w:r>
        <w:t>Table 5-2</w:t>
      </w:r>
      <w:r w:rsidR="00BD0F61">
        <w:t>.</w:t>
      </w:r>
      <w:r>
        <w:t xml:space="preserve"> </w:t>
      </w:r>
      <w:r w:rsidRPr="00191003">
        <w:t>Dimension range</w:t>
      </w:r>
      <w:r>
        <w:t>, Mid-West</w:t>
      </w:r>
      <w:bookmarkEnd w:id="1055"/>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1275"/>
        <w:gridCol w:w="1134"/>
      </w:tblGrid>
      <w:tr w:rsidR="00D726B2" w:rsidRPr="008246F6" w14:paraId="77794E65" w14:textId="77777777" w:rsidTr="00382E7B">
        <w:trPr>
          <w:trHeight w:val="283"/>
        </w:trPr>
        <w:tc>
          <w:tcPr>
            <w:tcW w:w="1275" w:type="dxa"/>
            <w:tcBorders>
              <w:top w:val="single" w:sz="6" w:space="0" w:color="000000"/>
              <w:left w:val="single" w:sz="6" w:space="0" w:color="000000"/>
              <w:bottom w:val="single" w:sz="6" w:space="0" w:color="000000"/>
              <w:right w:val="single" w:sz="6" w:space="0" w:color="000000"/>
            </w:tcBorders>
            <w:vAlign w:val="center"/>
          </w:tcPr>
          <w:p w14:paraId="3AF857AF" w14:textId="77777777" w:rsidR="00D726B2" w:rsidRPr="008246F6" w:rsidRDefault="00D726B2" w:rsidP="00E858EF">
            <w:pPr>
              <w:suppressAutoHyphens/>
              <w:spacing w:line="276" w:lineRule="auto"/>
              <w:rPr>
                <w:b/>
                <w:bCs/>
                <w:sz w:val="20"/>
                <w:szCs w:val="20"/>
              </w:rPr>
            </w:pPr>
          </w:p>
        </w:tc>
        <w:tc>
          <w:tcPr>
            <w:tcW w:w="1275" w:type="dxa"/>
            <w:tcBorders>
              <w:top w:val="single" w:sz="6" w:space="0" w:color="000000"/>
              <w:left w:val="single" w:sz="6" w:space="0" w:color="000000"/>
              <w:bottom w:val="single" w:sz="6" w:space="0" w:color="000000"/>
              <w:right w:val="single" w:sz="6" w:space="0" w:color="000000"/>
            </w:tcBorders>
          </w:tcPr>
          <w:p w14:paraId="6448AC77" w14:textId="77777777" w:rsidR="00D726B2" w:rsidRPr="008246F6" w:rsidRDefault="00D726B2" w:rsidP="00E858EF">
            <w:pPr>
              <w:suppressAutoHyphens/>
              <w:spacing w:line="276" w:lineRule="auto"/>
              <w:jc w:val="center"/>
              <w:rPr>
                <w:sz w:val="20"/>
              </w:rPr>
            </w:pPr>
            <w:r w:rsidRPr="008246F6">
              <w:rPr>
                <w:sz w:val="20"/>
              </w:rPr>
              <w:t>Length</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30D2D8B" w14:textId="77777777" w:rsidR="00D726B2" w:rsidRPr="008246F6" w:rsidRDefault="00D726B2" w:rsidP="00E858EF">
            <w:pPr>
              <w:suppressAutoHyphens/>
              <w:spacing w:line="276" w:lineRule="auto"/>
              <w:jc w:val="center"/>
              <w:rPr>
                <w:sz w:val="20"/>
              </w:rPr>
            </w:pPr>
            <w:r w:rsidRPr="008246F6">
              <w:rPr>
                <w:sz w:val="20"/>
              </w:rPr>
              <w:t>Height</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B98FEF2" w14:textId="77777777" w:rsidR="00D726B2" w:rsidRPr="008246F6" w:rsidRDefault="00D726B2" w:rsidP="00E858EF">
            <w:pPr>
              <w:suppressAutoHyphens/>
              <w:spacing w:line="276" w:lineRule="auto"/>
              <w:jc w:val="center"/>
              <w:rPr>
                <w:sz w:val="20"/>
              </w:rPr>
            </w:pPr>
            <w:r w:rsidRPr="008246F6">
              <w:rPr>
                <w:color w:val="000000"/>
                <w:sz w:val="20"/>
              </w:rPr>
              <w:t>Width</w:t>
            </w:r>
          </w:p>
        </w:tc>
      </w:tr>
      <w:tr w:rsidR="00D726B2" w:rsidRPr="008246F6" w14:paraId="55A0DE8C" w14:textId="77777777" w:rsidTr="00382E7B">
        <w:trPr>
          <w:trHeight w:val="283"/>
        </w:trPr>
        <w:tc>
          <w:tcPr>
            <w:tcW w:w="1275" w:type="dxa"/>
            <w:tcBorders>
              <w:top w:val="single" w:sz="6" w:space="0" w:color="000000"/>
              <w:left w:val="single" w:sz="6" w:space="0" w:color="000000"/>
              <w:bottom w:val="single" w:sz="6" w:space="0" w:color="000000"/>
              <w:right w:val="single" w:sz="6" w:space="0" w:color="000000"/>
            </w:tcBorders>
            <w:vAlign w:val="center"/>
          </w:tcPr>
          <w:p w14:paraId="03C179A6" w14:textId="77777777" w:rsidR="00D726B2" w:rsidRPr="008246F6" w:rsidRDefault="00D726B2" w:rsidP="00E858EF">
            <w:pPr>
              <w:suppressAutoHyphens/>
              <w:spacing w:line="276" w:lineRule="auto"/>
              <w:rPr>
                <w:sz w:val="20"/>
              </w:rPr>
            </w:pPr>
            <w:r w:rsidRPr="008246F6">
              <w:rPr>
                <w:sz w:val="20"/>
              </w:rPr>
              <w:t xml:space="preserve">Mean </w:t>
            </w:r>
          </w:p>
        </w:tc>
        <w:tc>
          <w:tcPr>
            <w:tcW w:w="1275" w:type="dxa"/>
            <w:tcBorders>
              <w:top w:val="single" w:sz="6" w:space="0" w:color="000000"/>
              <w:left w:val="single" w:sz="6" w:space="0" w:color="000000"/>
              <w:bottom w:val="single" w:sz="6" w:space="0" w:color="000000"/>
              <w:right w:val="single" w:sz="6" w:space="0" w:color="000000"/>
            </w:tcBorders>
          </w:tcPr>
          <w:p w14:paraId="306479A5" w14:textId="77777777" w:rsidR="00D726B2" w:rsidRPr="008246F6" w:rsidRDefault="00D726B2" w:rsidP="00E858EF">
            <w:pPr>
              <w:suppressAutoHyphens/>
              <w:spacing w:line="276" w:lineRule="auto"/>
              <w:jc w:val="center"/>
              <w:rPr>
                <w:sz w:val="20"/>
              </w:rPr>
            </w:pPr>
            <w:r w:rsidRPr="008246F6">
              <w:rPr>
                <w:sz w:val="20"/>
              </w:rPr>
              <w:t>107</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199B8C74" w14:textId="77777777" w:rsidR="00D726B2" w:rsidRPr="008246F6" w:rsidRDefault="00D726B2" w:rsidP="00E858EF">
            <w:pPr>
              <w:suppressAutoHyphens/>
              <w:spacing w:line="276" w:lineRule="auto"/>
              <w:jc w:val="center"/>
              <w:rPr>
                <w:sz w:val="20"/>
              </w:rPr>
            </w:pPr>
            <w:r w:rsidRPr="008246F6">
              <w:rPr>
                <w:sz w:val="20"/>
              </w:rPr>
              <w:t>91</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7F680BFD" w14:textId="77777777" w:rsidR="00D726B2" w:rsidRPr="008246F6" w:rsidRDefault="00D726B2" w:rsidP="00E858EF">
            <w:pPr>
              <w:suppressAutoHyphens/>
              <w:spacing w:line="276" w:lineRule="auto"/>
              <w:jc w:val="center"/>
              <w:rPr>
                <w:color w:val="000000"/>
                <w:sz w:val="20"/>
              </w:rPr>
            </w:pPr>
            <w:r w:rsidRPr="008246F6">
              <w:rPr>
                <w:color w:val="000000"/>
                <w:sz w:val="20"/>
              </w:rPr>
              <w:t>43</w:t>
            </w:r>
          </w:p>
        </w:tc>
      </w:tr>
      <w:tr w:rsidR="00D726B2" w:rsidRPr="008246F6" w14:paraId="4A29E5C8" w14:textId="77777777" w:rsidTr="00382E7B">
        <w:trPr>
          <w:trHeight w:val="283"/>
        </w:trPr>
        <w:tc>
          <w:tcPr>
            <w:tcW w:w="1275" w:type="dxa"/>
            <w:tcBorders>
              <w:top w:val="single" w:sz="6" w:space="0" w:color="000000"/>
              <w:left w:val="single" w:sz="6" w:space="0" w:color="000000"/>
              <w:bottom w:val="single" w:sz="6" w:space="0" w:color="000000"/>
              <w:right w:val="single" w:sz="6" w:space="0" w:color="000000"/>
            </w:tcBorders>
            <w:vAlign w:val="center"/>
          </w:tcPr>
          <w:p w14:paraId="17868198" w14:textId="77777777" w:rsidR="00D726B2" w:rsidRPr="008246F6" w:rsidRDefault="00D726B2" w:rsidP="00E858EF">
            <w:pPr>
              <w:suppressAutoHyphens/>
              <w:spacing w:line="276" w:lineRule="auto"/>
              <w:rPr>
                <w:sz w:val="20"/>
              </w:rPr>
            </w:pPr>
            <w:r w:rsidRPr="008246F6">
              <w:rPr>
                <w:sz w:val="20"/>
              </w:rPr>
              <w:t>Max</w:t>
            </w:r>
          </w:p>
        </w:tc>
        <w:tc>
          <w:tcPr>
            <w:tcW w:w="1275" w:type="dxa"/>
            <w:tcBorders>
              <w:top w:val="single" w:sz="6" w:space="0" w:color="000000"/>
              <w:left w:val="single" w:sz="6" w:space="0" w:color="000000"/>
              <w:bottom w:val="single" w:sz="6" w:space="0" w:color="000000"/>
              <w:right w:val="single" w:sz="6" w:space="0" w:color="000000"/>
            </w:tcBorders>
          </w:tcPr>
          <w:p w14:paraId="1E266ACE" w14:textId="77777777" w:rsidR="00D726B2" w:rsidRPr="008246F6" w:rsidRDefault="00D726B2" w:rsidP="00E858EF">
            <w:pPr>
              <w:suppressAutoHyphens/>
              <w:spacing w:line="276" w:lineRule="auto"/>
              <w:jc w:val="center"/>
              <w:rPr>
                <w:sz w:val="20"/>
              </w:rPr>
            </w:pPr>
            <w:r w:rsidRPr="008246F6">
              <w:rPr>
                <w:sz w:val="20"/>
              </w:rPr>
              <w:t>145</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42DC185C" w14:textId="77777777" w:rsidR="00D726B2" w:rsidRPr="008246F6" w:rsidRDefault="00D726B2" w:rsidP="00E858EF">
            <w:pPr>
              <w:suppressAutoHyphens/>
              <w:spacing w:line="276" w:lineRule="auto"/>
              <w:jc w:val="center"/>
              <w:rPr>
                <w:sz w:val="20"/>
              </w:rPr>
            </w:pPr>
            <w:r w:rsidRPr="008246F6">
              <w:rPr>
                <w:sz w:val="20"/>
              </w:rPr>
              <w:t>118</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109F4BC1" w14:textId="77777777" w:rsidR="00D726B2" w:rsidRPr="008246F6" w:rsidRDefault="00D726B2" w:rsidP="00E858EF">
            <w:pPr>
              <w:suppressAutoHyphens/>
              <w:spacing w:line="276" w:lineRule="auto"/>
              <w:jc w:val="center"/>
              <w:rPr>
                <w:color w:val="000000"/>
                <w:sz w:val="20"/>
              </w:rPr>
            </w:pPr>
            <w:r w:rsidRPr="008246F6">
              <w:rPr>
                <w:color w:val="000000"/>
                <w:sz w:val="20"/>
              </w:rPr>
              <w:t>52</w:t>
            </w:r>
          </w:p>
        </w:tc>
      </w:tr>
      <w:tr w:rsidR="00D726B2" w:rsidRPr="008246F6" w14:paraId="0D9101D2" w14:textId="77777777" w:rsidTr="00382E7B">
        <w:trPr>
          <w:trHeight w:val="283"/>
        </w:trPr>
        <w:tc>
          <w:tcPr>
            <w:tcW w:w="1275" w:type="dxa"/>
            <w:tcBorders>
              <w:top w:val="single" w:sz="6" w:space="0" w:color="000000"/>
              <w:left w:val="single" w:sz="6" w:space="0" w:color="000000"/>
              <w:bottom w:val="single" w:sz="6" w:space="0" w:color="000000"/>
              <w:right w:val="single" w:sz="6" w:space="0" w:color="000000"/>
            </w:tcBorders>
            <w:vAlign w:val="center"/>
          </w:tcPr>
          <w:p w14:paraId="44610C1D" w14:textId="77777777" w:rsidR="00D726B2" w:rsidRPr="008246F6" w:rsidRDefault="00D726B2" w:rsidP="00E858EF">
            <w:pPr>
              <w:suppressAutoHyphens/>
              <w:spacing w:line="276" w:lineRule="auto"/>
              <w:rPr>
                <w:sz w:val="20"/>
              </w:rPr>
            </w:pPr>
            <w:r w:rsidRPr="008246F6">
              <w:rPr>
                <w:sz w:val="20"/>
              </w:rPr>
              <w:t>Min</w:t>
            </w:r>
          </w:p>
        </w:tc>
        <w:tc>
          <w:tcPr>
            <w:tcW w:w="1275" w:type="dxa"/>
            <w:tcBorders>
              <w:top w:val="single" w:sz="6" w:space="0" w:color="000000"/>
              <w:left w:val="single" w:sz="6" w:space="0" w:color="000000"/>
              <w:bottom w:val="single" w:sz="6" w:space="0" w:color="000000"/>
              <w:right w:val="single" w:sz="6" w:space="0" w:color="000000"/>
            </w:tcBorders>
          </w:tcPr>
          <w:p w14:paraId="5A1A81EF" w14:textId="77777777" w:rsidR="00D726B2" w:rsidRPr="008246F6" w:rsidRDefault="00D726B2" w:rsidP="00E858EF">
            <w:pPr>
              <w:suppressAutoHyphens/>
              <w:spacing w:line="276" w:lineRule="auto"/>
              <w:jc w:val="center"/>
              <w:rPr>
                <w:sz w:val="20"/>
              </w:rPr>
            </w:pPr>
            <w:r w:rsidRPr="008246F6">
              <w:rPr>
                <w:sz w:val="20"/>
              </w:rPr>
              <w:t>85</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45F7A004" w14:textId="77777777" w:rsidR="00D726B2" w:rsidRPr="008246F6" w:rsidRDefault="00D726B2" w:rsidP="00E858EF">
            <w:pPr>
              <w:suppressAutoHyphens/>
              <w:spacing w:line="276" w:lineRule="auto"/>
              <w:jc w:val="center"/>
              <w:rPr>
                <w:sz w:val="20"/>
              </w:rPr>
            </w:pPr>
            <w:r w:rsidRPr="008246F6">
              <w:rPr>
                <w:sz w:val="20"/>
              </w:rPr>
              <w:t>27</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47C28C66" w14:textId="77777777" w:rsidR="00D726B2" w:rsidRPr="008246F6" w:rsidRDefault="00D726B2" w:rsidP="00E858EF">
            <w:pPr>
              <w:suppressAutoHyphens/>
              <w:spacing w:line="276" w:lineRule="auto"/>
              <w:jc w:val="center"/>
              <w:rPr>
                <w:color w:val="000000"/>
                <w:sz w:val="20"/>
              </w:rPr>
            </w:pPr>
            <w:r w:rsidRPr="008246F6">
              <w:rPr>
                <w:color w:val="000000"/>
                <w:sz w:val="20"/>
              </w:rPr>
              <w:t>34</w:t>
            </w:r>
          </w:p>
        </w:tc>
      </w:tr>
    </w:tbl>
    <w:p w14:paraId="0EFF83D3" w14:textId="77777777" w:rsidR="00D726B2" w:rsidRDefault="00D726B2" w:rsidP="00E858EF">
      <w:pPr>
        <w:pStyle w:val="Paragrafoelenco"/>
        <w:suppressAutoHyphens/>
        <w:rPr>
          <w:color w:val="000000"/>
          <w:sz w:val="20"/>
          <w:szCs w:val="20"/>
        </w:rPr>
      </w:pPr>
    </w:p>
    <w:p w14:paraId="348455FB" w14:textId="121EFDC4" w:rsidR="00D726B2" w:rsidRDefault="00D726B2" w:rsidP="00370745">
      <w:pPr>
        <w:pStyle w:val="Paragrafoelenco"/>
        <w:numPr>
          <w:ilvl w:val="0"/>
          <w:numId w:val="116"/>
        </w:numPr>
        <w:suppressAutoHyphens/>
        <w:spacing w:after="160"/>
        <w:jc w:val="left"/>
        <w:rPr>
          <w:color w:val="000000"/>
        </w:rPr>
      </w:pPr>
      <w:r>
        <w:rPr>
          <w:color w:val="000000"/>
        </w:rPr>
        <w:t xml:space="preserve">Lid occurrence/lid type: gabled </w:t>
      </w:r>
      <w:r w:rsidRPr="00705CF4">
        <w:rPr>
          <w:color w:val="000000"/>
        </w:rPr>
        <w:t xml:space="preserve">lid. </w:t>
      </w:r>
      <w:r>
        <w:rPr>
          <w:color w:val="000000"/>
        </w:rPr>
        <w:t>Information is available for</w:t>
      </w:r>
      <w:r w:rsidRPr="00191003">
        <w:rPr>
          <w:color w:val="000000"/>
        </w:rPr>
        <w:t xml:space="preserve"> a sample of 46 larnakes</w:t>
      </w:r>
    </w:p>
    <w:p w14:paraId="53E35A1F" w14:textId="5DAB3C6D" w:rsidR="00D726B2" w:rsidRPr="00191003" w:rsidRDefault="00D726B2" w:rsidP="00E858EF">
      <w:pPr>
        <w:pStyle w:val="Testofumetto"/>
        <w:suppressAutoHyphens/>
      </w:pPr>
      <w:bookmarkStart w:id="1056" w:name="_Toc520212627"/>
      <w:r>
        <w:t>Table 5-3</w:t>
      </w:r>
      <w:r w:rsidR="00BD0F61">
        <w:t>.</w:t>
      </w:r>
      <w:r>
        <w:t xml:space="preserve"> Lid occurrence, Mid-West</w:t>
      </w:r>
      <w:bookmarkEnd w:id="1056"/>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3195"/>
      </w:tblGrid>
      <w:tr w:rsidR="00D726B2" w:rsidRPr="008246F6" w14:paraId="62B123ED" w14:textId="77777777" w:rsidTr="00ED51BD">
        <w:trPr>
          <w:trHeight w:val="315"/>
        </w:trPr>
        <w:tc>
          <w:tcPr>
            <w:tcW w:w="1275" w:type="dxa"/>
            <w:tcBorders>
              <w:top w:val="single" w:sz="6" w:space="0" w:color="000000"/>
              <w:left w:val="single" w:sz="6" w:space="0" w:color="000000"/>
              <w:bottom w:val="single" w:sz="6" w:space="0" w:color="000000"/>
              <w:right w:val="single" w:sz="6" w:space="0" w:color="000000"/>
            </w:tcBorders>
          </w:tcPr>
          <w:p w14:paraId="54052C3B" w14:textId="77777777" w:rsidR="00D726B2" w:rsidRPr="008246F6" w:rsidRDefault="00D726B2" w:rsidP="00E858EF">
            <w:pPr>
              <w:suppressAutoHyphens/>
              <w:jc w:val="center"/>
              <w:rPr>
                <w:sz w:val="20"/>
              </w:rPr>
            </w:pPr>
            <w:r w:rsidRPr="008246F6">
              <w:rPr>
                <w:sz w:val="20"/>
              </w:rPr>
              <w:t>Flat</w:t>
            </w:r>
          </w:p>
        </w:tc>
        <w:tc>
          <w:tcPr>
            <w:tcW w:w="1275" w:type="dxa"/>
            <w:tcBorders>
              <w:top w:val="single" w:sz="6" w:space="0" w:color="000000"/>
              <w:left w:val="single" w:sz="6" w:space="0" w:color="000000"/>
              <w:bottom w:val="single" w:sz="6" w:space="0" w:color="000000"/>
              <w:right w:val="single" w:sz="6" w:space="0" w:color="000000"/>
            </w:tcBorders>
          </w:tcPr>
          <w:p w14:paraId="657EAC85" w14:textId="77777777" w:rsidR="00D726B2" w:rsidRPr="008246F6" w:rsidRDefault="00D726B2" w:rsidP="00E858EF">
            <w:pPr>
              <w:suppressAutoHyphens/>
              <w:jc w:val="center"/>
              <w:rPr>
                <w:sz w:val="20"/>
              </w:rPr>
            </w:pPr>
            <w:r w:rsidRPr="008246F6">
              <w:rPr>
                <w:sz w:val="20"/>
              </w:rPr>
              <w:t>Gabled</w:t>
            </w:r>
          </w:p>
        </w:tc>
        <w:tc>
          <w:tcPr>
            <w:tcW w:w="319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47AD6965" w14:textId="77777777" w:rsidR="00D726B2" w:rsidRPr="008246F6" w:rsidRDefault="00D726B2" w:rsidP="00E858EF">
            <w:pPr>
              <w:suppressAutoHyphens/>
              <w:jc w:val="center"/>
              <w:rPr>
                <w:sz w:val="20"/>
              </w:rPr>
            </w:pPr>
            <w:r w:rsidRPr="008246F6">
              <w:rPr>
                <w:sz w:val="20"/>
              </w:rPr>
              <w:t>Lid made of larnax fragments</w:t>
            </w:r>
          </w:p>
        </w:tc>
      </w:tr>
      <w:tr w:rsidR="00D726B2" w:rsidRPr="008246F6" w14:paraId="0089528B" w14:textId="77777777" w:rsidTr="00ED51BD">
        <w:trPr>
          <w:trHeight w:val="315"/>
        </w:trPr>
        <w:tc>
          <w:tcPr>
            <w:tcW w:w="1275" w:type="dxa"/>
            <w:tcBorders>
              <w:top w:val="single" w:sz="6" w:space="0" w:color="000000"/>
              <w:left w:val="single" w:sz="6" w:space="0" w:color="000000"/>
              <w:bottom w:val="single" w:sz="6" w:space="0" w:color="000000"/>
              <w:right w:val="single" w:sz="6" w:space="0" w:color="000000"/>
            </w:tcBorders>
          </w:tcPr>
          <w:p w14:paraId="40BC2BF1" w14:textId="77777777" w:rsidR="00D726B2" w:rsidRPr="008246F6" w:rsidRDefault="00D726B2" w:rsidP="00E858EF">
            <w:pPr>
              <w:suppressAutoHyphens/>
              <w:jc w:val="center"/>
              <w:rPr>
                <w:sz w:val="20"/>
              </w:rPr>
            </w:pPr>
            <w:r w:rsidRPr="008246F6">
              <w:rPr>
                <w:sz w:val="20"/>
              </w:rPr>
              <w:t>1</w:t>
            </w:r>
          </w:p>
        </w:tc>
        <w:tc>
          <w:tcPr>
            <w:tcW w:w="1275" w:type="dxa"/>
            <w:tcBorders>
              <w:top w:val="single" w:sz="6" w:space="0" w:color="000000"/>
              <w:left w:val="single" w:sz="6" w:space="0" w:color="000000"/>
              <w:bottom w:val="single" w:sz="6" w:space="0" w:color="000000"/>
              <w:right w:val="single" w:sz="6" w:space="0" w:color="000000"/>
            </w:tcBorders>
          </w:tcPr>
          <w:p w14:paraId="0DEE8529" w14:textId="77777777" w:rsidR="00D726B2" w:rsidRPr="008246F6" w:rsidRDefault="00D726B2" w:rsidP="00E858EF">
            <w:pPr>
              <w:suppressAutoHyphens/>
              <w:jc w:val="center"/>
              <w:rPr>
                <w:sz w:val="20"/>
              </w:rPr>
            </w:pPr>
            <w:r w:rsidRPr="008246F6">
              <w:rPr>
                <w:sz w:val="20"/>
              </w:rPr>
              <w:t>45</w:t>
            </w:r>
          </w:p>
        </w:tc>
        <w:tc>
          <w:tcPr>
            <w:tcW w:w="319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127729BF" w14:textId="77777777" w:rsidR="00D726B2" w:rsidRPr="008246F6" w:rsidRDefault="00D726B2" w:rsidP="00E858EF">
            <w:pPr>
              <w:suppressAutoHyphens/>
              <w:jc w:val="center"/>
              <w:rPr>
                <w:sz w:val="20"/>
              </w:rPr>
            </w:pPr>
            <w:r w:rsidRPr="008246F6">
              <w:rPr>
                <w:sz w:val="20"/>
              </w:rPr>
              <w:t>0</w:t>
            </w:r>
          </w:p>
        </w:tc>
      </w:tr>
    </w:tbl>
    <w:p w14:paraId="2F303CEB" w14:textId="77777777" w:rsidR="00D726B2" w:rsidRPr="00AE3EB5"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p w14:paraId="689DD378" w14:textId="77777777" w:rsidR="00D726B2" w:rsidRDefault="00D726B2" w:rsidP="00370745">
      <w:pPr>
        <w:numPr>
          <w:ilvl w:val="0"/>
          <w:numId w:val="113"/>
        </w:numPr>
        <w:suppressAutoHyphens/>
        <w:spacing w:after="160"/>
        <w:contextualSpacing w:val="0"/>
        <w:jc w:val="left"/>
      </w:pPr>
      <w:r>
        <w:t>Feet occurrence/ feet number: four feet</w:t>
      </w:r>
      <w:r w:rsidRPr="00705CF4">
        <w:t>. Information is available on a sample of 51 larnakes.</w:t>
      </w:r>
    </w:p>
    <w:p w14:paraId="21599099" w14:textId="0D3A1B36" w:rsidR="00D726B2" w:rsidRPr="00191003" w:rsidRDefault="00D726B2" w:rsidP="00E858EF">
      <w:pPr>
        <w:pStyle w:val="Testofumetto"/>
        <w:suppressAutoHyphens/>
      </w:pPr>
      <w:bookmarkStart w:id="1057" w:name="_Toc520212628"/>
      <w:r>
        <w:t>Table 5-4</w:t>
      </w:r>
      <w:r w:rsidR="00BD0F61">
        <w:t>.</w:t>
      </w:r>
      <w:r>
        <w:t xml:space="preserve"> Feet occurrence</w:t>
      </w:r>
      <w:r w:rsidR="006934A7">
        <w:t xml:space="preserve">, </w:t>
      </w:r>
      <w:r>
        <w:t>Mid-West</w:t>
      </w:r>
      <w:bookmarkEnd w:id="1057"/>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436"/>
        <w:gridCol w:w="1436"/>
        <w:gridCol w:w="1436"/>
        <w:gridCol w:w="1437"/>
      </w:tblGrid>
      <w:tr w:rsidR="00D726B2" w:rsidRPr="008246F6" w14:paraId="71EF4316" w14:textId="77777777" w:rsidTr="00ED51BD">
        <w:trPr>
          <w:trHeight w:val="315"/>
        </w:trPr>
        <w:tc>
          <w:tcPr>
            <w:tcW w:w="1436" w:type="dxa"/>
            <w:tcBorders>
              <w:top w:val="single" w:sz="6" w:space="0" w:color="000000"/>
              <w:left w:val="single" w:sz="6" w:space="0" w:color="000000"/>
              <w:bottom w:val="single" w:sz="6" w:space="0" w:color="000000"/>
              <w:right w:val="single" w:sz="6" w:space="0" w:color="000000"/>
            </w:tcBorders>
          </w:tcPr>
          <w:p w14:paraId="040D1195" w14:textId="77777777" w:rsidR="00D726B2" w:rsidRPr="008246F6" w:rsidRDefault="00D726B2" w:rsidP="00E858EF">
            <w:pPr>
              <w:suppressAutoHyphens/>
              <w:jc w:val="center"/>
              <w:rPr>
                <w:sz w:val="20"/>
              </w:rPr>
            </w:pPr>
            <w:r w:rsidRPr="008246F6">
              <w:rPr>
                <w:sz w:val="20"/>
              </w:rPr>
              <w:t>4 Feet</w:t>
            </w:r>
          </w:p>
        </w:tc>
        <w:tc>
          <w:tcPr>
            <w:tcW w:w="1436" w:type="dxa"/>
            <w:tcBorders>
              <w:top w:val="single" w:sz="6" w:space="0" w:color="000000"/>
              <w:left w:val="single" w:sz="6" w:space="0" w:color="000000"/>
              <w:bottom w:val="single" w:sz="6" w:space="0" w:color="000000"/>
              <w:right w:val="single" w:sz="6" w:space="0" w:color="000000"/>
            </w:tcBorders>
          </w:tcPr>
          <w:p w14:paraId="046825FF" w14:textId="77777777" w:rsidR="00D726B2" w:rsidRPr="008246F6" w:rsidRDefault="00D726B2" w:rsidP="00E858EF">
            <w:pPr>
              <w:suppressAutoHyphens/>
              <w:jc w:val="center"/>
              <w:rPr>
                <w:sz w:val="20"/>
              </w:rPr>
            </w:pPr>
            <w:r w:rsidRPr="008246F6">
              <w:rPr>
                <w:sz w:val="20"/>
              </w:rPr>
              <w:t>6 Feet</w:t>
            </w:r>
          </w:p>
        </w:tc>
        <w:tc>
          <w:tcPr>
            <w:tcW w:w="1436" w:type="dxa"/>
            <w:tcBorders>
              <w:top w:val="single" w:sz="6" w:space="0" w:color="000000"/>
              <w:left w:val="single" w:sz="6" w:space="0" w:color="000000"/>
              <w:bottom w:val="single" w:sz="6" w:space="0" w:color="000000"/>
              <w:right w:val="single" w:sz="6" w:space="0" w:color="000000"/>
            </w:tcBorders>
          </w:tcPr>
          <w:p w14:paraId="2A866933" w14:textId="77777777" w:rsidR="00D726B2" w:rsidRPr="008246F6" w:rsidRDefault="00D726B2" w:rsidP="00E858EF">
            <w:pPr>
              <w:suppressAutoHyphens/>
              <w:jc w:val="center"/>
              <w:rPr>
                <w:sz w:val="20"/>
              </w:rPr>
            </w:pPr>
            <w:r w:rsidRPr="008246F6">
              <w:rPr>
                <w:sz w:val="20"/>
              </w:rPr>
              <w:t>Feet present</w:t>
            </w:r>
          </w:p>
        </w:tc>
        <w:tc>
          <w:tcPr>
            <w:tcW w:w="1437" w:type="dxa"/>
            <w:tcBorders>
              <w:top w:val="single" w:sz="6" w:space="0" w:color="000000"/>
              <w:left w:val="single" w:sz="6" w:space="0" w:color="000000"/>
              <w:bottom w:val="single" w:sz="6" w:space="0" w:color="000000"/>
              <w:right w:val="single" w:sz="6" w:space="0" w:color="000000"/>
            </w:tcBorders>
          </w:tcPr>
          <w:p w14:paraId="017EA0E6" w14:textId="77777777" w:rsidR="00D726B2" w:rsidRPr="008246F6" w:rsidRDefault="00D726B2" w:rsidP="00E858EF">
            <w:pPr>
              <w:suppressAutoHyphens/>
              <w:jc w:val="center"/>
              <w:rPr>
                <w:sz w:val="20"/>
              </w:rPr>
            </w:pPr>
            <w:r w:rsidRPr="008246F6">
              <w:rPr>
                <w:sz w:val="20"/>
              </w:rPr>
              <w:t>Without feet</w:t>
            </w:r>
          </w:p>
        </w:tc>
      </w:tr>
      <w:tr w:rsidR="00D726B2" w:rsidRPr="008246F6" w14:paraId="1F742EB9" w14:textId="77777777" w:rsidTr="00ED51BD">
        <w:trPr>
          <w:trHeight w:val="315"/>
        </w:trPr>
        <w:tc>
          <w:tcPr>
            <w:tcW w:w="1436" w:type="dxa"/>
            <w:tcBorders>
              <w:top w:val="single" w:sz="6" w:space="0" w:color="000000"/>
              <w:left w:val="single" w:sz="6" w:space="0" w:color="000000"/>
              <w:bottom w:val="single" w:sz="6" w:space="0" w:color="000000"/>
              <w:right w:val="single" w:sz="6" w:space="0" w:color="000000"/>
            </w:tcBorders>
          </w:tcPr>
          <w:p w14:paraId="02ED914B" w14:textId="77777777" w:rsidR="00D726B2" w:rsidRPr="008246F6" w:rsidRDefault="00D726B2" w:rsidP="00E858EF">
            <w:pPr>
              <w:suppressAutoHyphens/>
              <w:jc w:val="center"/>
              <w:rPr>
                <w:sz w:val="20"/>
              </w:rPr>
            </w:pPr>
            <w:r w:rsidRPr="008246F6">
              <w:rPr>
                <w:sz w:val="20"/>
              </w:rPr>
              <w:t>45</w:t>
            </w:r>
          </w:p>
        </w:tc>
        <w:tc>
          <w:tcPr>
            <w:tcW w:w="1436" w:type="dxa"/>
            <w:tcBorders>
              <w:top w:val="single" w:sz="6" w:space="0" w:color="000000"/>
              <w:left w:val="single" w:sz="6" w:space="0" w:color="000000"/>
              <w:bottom w:val="single" w:sz="6" w:space="0" w:color="000000"/>
              <w:right w:val="single" w:sz="6" w:space="0" w:color="000000"/>
            </w:tcBorders>
          </w:tcPr>
          <w:p w14:paraId="6EEB9148" w14:textId="77777777" w:rsidR="00D726B2" w:rsidRPr="008246F6" w:rsidRDefault="00D726B2" w:rsidP="00E858EF">
            <w:pPr>
              <w:suppressAutoHyphens/>
              <w:jc w:val="center"/>
              <w:rPr>
                <w:sz w:val="20"/>
              </w:rPr>
            </w:pPr>
            <w:r w:rsidRPr="008246F6">
              <w:rPr>
                <w:sz w:val="20"/>
              </w:rPr>
              <w:t>4</w:t>
            </w:r>
          </w:p>
        </w:tc>
        <w:tc>
          <w:tcPr>
            <w:tcW w:w="1436" w:type="dxa"/>
            <w:tcBorders>
              <w:top w:val="single" w:sz="6" w:space="0" w:color="000000"/>
              <w:left w:val="single" w:sz="6" w:space="0" w:color="000000"/>
              <w:bottom w:val="single" w:sz="6" w:space="0" w:color="000000"/>
              <w:right w:val="single" w:sz="6" w:space="0" w:color="000000"/>
            </w:tcBorders>
          </w:tcPr>
          <w:p w14:paraId="5E316959" w14:textId="77777777" w:rsidR="00D726B2" w:rsidRPr="008246F6" w:rsidRDefault="00D726B2" w:rsidP="00E858EF">
            <w:pPr>
              <w:suppressAutoHyphens/>
              <w:jc w:val="center"/>
              <w:rPr>
                <w:sz w:val="20"/>
              </w:rPr>
            </w:pPr>
            <w:r w:rsidRPr="008246F6">
              <w:rPr>
                <w:sz w:val="20"/>
              </w:rPr>
              <w:t>2</w:t>
            </w:r>
          </w:p>
        </w:tc>
        <w:tc>
          <w:tcPr>
            <w:tcW w:w="1437" w:type="dxa"/>
            <w:tcBorders>
              <w:top w:val="single" w:sz="6" w:space="0" w:color="000000"/>
              <w:left w:val="single" w:sz="6" w:space="0" w:color="000000"/>
              <w:bottom w:val="single" w:sz="6" w:space="0" w:color="000000"/>
              <w:right w:val="single" w:sz="6" w:space="0" w:color="000000"/>
            </w:tcBorders>
          </w:tcPr>
          <w:p w14:paraId="28A3655B" w14:textId="77777777" w:rsidR="00D726B2" w:rsidRPr="008246F6" w:rsidRDefault="00D726B2" w:rsidP="00E858EF">
            <w:pPr>
              <w:suppressAutoHyphens/>
              <w:jc w:val="center"/>
              <w:rPr>
                <w:sz w:val="20"/>
              </w:rPr>
            </w:pPr>
            <w:r w:rsidRPr="008246F6">
              <w:rPr>
                <w:sz w:val="20"/>
              </w:rPr>
              <w:t>0</w:t>
            </w:r>
          </w:p>
        </w:tc>
      </w:tr>
    </w:tbl>
    <w:p w14:paraId="473140CE" w14:textId="77777777" w:rsidR="00D726B2" w:rsidRPr="00E7753F" w:rsidRDefault="00D726B2" w:rsidP="00E858EF">
      <w:pPr>
        <w:suppressAutoHyphens/>
      </w:pPr>
    </w:p>
    <w:p w14:paraId="478FF142" w14:textId="77777777" w:rsidR="00D726B2" w:rsidRDefault="00D726B2" w:rsidP="00370745">
      <w:pPr>
        <w:numPr>
          <w:ilvl w:val="0"/>
          <w:numId w:val="102"/>
        </w:numPr>
        <w:suppressAutoHyphens/>
        <w:spacing w:after="160"/>
        <w:contextualSpacing w:val="0"/>
        <w:jc w:val="left"/>
      </w:pPr>
      <w:r w:rsidRPr="00191003">
        <w:t xml:space="preserve">Handle or hole occurrence: holes </w:t>
      </w:r>
      <w:r>
        <w:t xml:space="preserve">range </w:t>
      </w:r>
      <w:r w:rsidRPr="00191003">
        <w:t xml:space="preserve">from a minimum number of 4 to a maximum of 32. </w:t>
      </w:r>
      <w:r>
        <w:t xml:space="preserve">Holes </w:t>
      </w:r>
      <w:r w:rsidRPr="00191003">
        <w:t>are</w:t>
      </w:r>
      <w:r>
        <w:t xml:space="preserve"> either under the rim in correspondence with lid holes or</w:t>
      </w:r>
      <w:r w:rsidRPr="00191003">
        <w:t xml:space="preserve"> all around the larnax, following the main axes of </w:t>
      </w:r>
      <w:r>
        <w:t xml:space="preserve">the </w:t>
      </w:r>
      <w:r w:rsidRPr="00191003">
        <w:t>short and long sides</w:t>
      </w:r>
      <w:r>
        <w:t xml:space="preserve"> (the latter is a characteristic peculiar of larnakes from the Mid-West region).</w:t>
      </w:r>
    </w:p>
    <w:p w14:paraId="78274352" w14:textId="09329287" w:rsidR="00D726B2" w:rsidRPr="00191003" w:rsidRDefault="00D726B2" w:rsidP="00E858EF">
      <w:pPr>
        <w:pStyle w:val="Testofumetto"/>
        <w:suppressAutoHyphens/>
      </w:pPr>
      <w:bookmarkStart w:id="1058" w:name="_Toc520212629"/>
      <w:r>
        <w:t>Table 5-5</w:t>
      </w:r>
      <w:r w:rsidR="00BD0F61">
        <w:t>.</w:t>
      </w:r>
      <w:r>
        <w:t xml:space="preserve"> Handle or hole occurrence, Mid-West</w:t>
      </w:r>
      <w:bookmarkEnd w:id="1058"/>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649"/>
        <w:gridCol w:w="1403"/>
        <w:gridCol w:w="1649"/>
        <w:gridCol w:w="2216"/>
      </w:tblGrid>
      <w:tr w:rsidR="00D726B2" w:rsidRPr="008246F6" w14:paraId="1E624942" w14:textId="77777777" w:rsidTr="00ED51BD">
        <w:trPr>
          <w:trHeight w:val="315"/>
        </w:trPr>
        <w:tc>
          <w:tcPr>
            <w:tcW w:w="1649" w:type="dxa"/>
            <w:tcBorders>
              <w:top w:val="single" w:sz="6" w:space="0" w:color="000000"/>
              <w:left w:val="single" w:sz="6" w:space="0" w:color="000000"/>
              <w:bottom w:val="single" w:sz="6" w:space="0" w:color="000000"/>
              <w:right w:val="single" w:sz="6" w:space="0" w:color="000000"/>
            </w:tcBorders>
          </w:tcPr>
          <w:p w14:paraId="154E9288" w14:textId="77777777" w:rsidR="00D726B2" w:rsidRPr="008246F6" w:rsidRDefault="00D726B2" w:rsidP="00E858EF">
            <w:pPr>
              <w:suppressAutoHyphens/>
              <w:jc w:val="center"/>
              <w:rPr>
                <w:sz w:val="20"/>
              </w:rPr>
            </w:pPr>
            <w:r w:rsidRPr="008246F6">
              <w:rPr>
                <w:sz w:val="20"/>
              </w:rPr>
              <w:t>Handles</w:t>
            </w:r>
          </w:p>
        </w:tc>
        <w:tc>
          <w:tcPr>
            <w:tcW w:w="1403" w:type="dxa"/>
            <w:tcBorders>
              <w:top w:val="single" w:sz="6" w:space="0" w:color="000000"/>
              <w:left w:val="single" w:sz="6" w:space="0" w:color="000000"/>
              <w:bottom w:val="single" w:sz="6" w:space="0" w:color="000000"/>
              <w:right w:val="single" w:sz="6" w:space="0" w:color="000000"/>
            </w:tcBorders>
          </w:tcPr>
          <w:p w14:paraId="02583B0F" w14:textId="77777777" w:rsidR="00D726B2" w:rsidRPr="008246F6" w:rsidRDefault="00D726B2" w:rsidP="00E858EF">
            <w:pPr>
              <w:suppressAutoHyphens/>
              <w:jc w:val="center"/>
              <w:rPr>
                <w:sz w:val="20"/>
              </w:rPr>
            </w:pPr>
            <w:r w:rsidRPr="008246F6">
              <w:rPr>
                <w:sz w:val="20"/>
              </w:rPr>
              <w:t>Holes</w:t>
            </w:r>
          </w:p>
        </w:tc>
        <w:tc>
          <w:tcPr>
            <w:tcW w:w="1649" w:type="dxa"/>
            <w:tcBorders>
              <w:top w:val="single" w:sz="6" w:space="0" w:color="000000"/>
              <w:left w:val="single" w:sz="6" w:space="0" w:color="000000"/>
              <w:bottom w:val="single" w:sz="6" w:space="0" w:color="000000"/>
              <w:right w:val="single" w:sz="6" w:space="0" w:color="000000"/>
            </w:tcBorders>
          </w:tcPr>
          <w:p w14:paraId="0DDE6526" w14:textId="77777777" w:rsidR="00D726B2" w:rsidRPr="008246F6" w:rsidRDefault="00D726B2" w:rsidP="00E858EF">
            <w:pPr>
              <w:suppressAutoHyphens/>
              <w:jc w:val="center"/>
              <w:rPr>
                <w:sz w:val="20"/>
              </w:rPr>
            </w:pPr>
            <w:r w:rsidRPr="008246F6">
              <w:rPr>
                <w:sz w:val="20"/>
              </w:rPr>
              <w:t>Handles + holes</w:t>
            </w:r>
          </w:p>
        </w:tc>
        <w:tc>
          <w:tcPr>
            <w:tcW w:w="2216" w:type="dxa"/>
            <w:tcBorders>
              <w:top w:val="single" w:sz="6" w:space="0" w:color="000000"/>
              <w:left w:val="single" w:sz="6" w:space="0" w:color="000000"/>
              <w:bottom w:val="single" w:sz="6" w:space="0" w:color="000000"/>
              <w:right w:val="single" w:sz="6" w:space="0" w:color="000000"/>
            </w:tcBorders>
          </w:tcPr>
          <w:p w14:paraId="27DB2D36" w14:textId="77777777" w:rsidR="00D726B2" w:rsidRPr="008246F6" w:rsidRDefault="00D726B2" w:rsidP="00E858EF">
            <w:pPr>
              <w:suppressAutoHyphens/>
              <w:jc w:val="center"/>
              <w:rPr>
                <w:sz w:val="20"/>
              </w:rPr>
            </w:pPr>
            <w:r w:rsidRPr="008246F6">
              <w:rPr>
                <w:sz w:val="20"/>
              </w:rPr>
              <w:t>No holes no handles</w:t>
            </w:r>
          </w:p>
        </w:tc>
      </w:tr>
      <w:tr w:rsidR="00D726B2" w:rsidRPr="008246F6" w14:paraId="772AA0D1" w14:textId="77777777" w:rsidTr="00ED51BD">
        <w:trPr>
          <w:trHeight w:val="315"/>
        </w:trPr>
        <w:tc>
          <w:tcPr>
            <w:tcW w:w="1649" w:type="dxa"/>
            <w:tcBorders>
              <w:top w:val="single" w:sz="6" w:space="0" w:color="000000"/>
              <w:left w:val="single" w:sz="6" w:space="0" w:color="000000"/>
              <w:bottom w:val="single" w:sz="6" w:space="0" w:color="000000"/>
              <w:right w:val="single" w:sz="6" w:space="0" w:color="000000"/>
            </w:tcBorders>
          </w:tcPr>
          <w:p w14:paraId="3BA13E3F" w14:textId="77777777" w:rsidR="00D726B2" w:rsidRPr="008246F6" w:rsidRDefault="00D726B2" w:rsidP="00E858EF">
            <w:pPr>
              <w:suppressAutoHyphens/>
              <w:jc w:val="center"/>
              <w:rPr>
                <w:sz w:val="20"/>
              </w:rPr>
            </w:pPr>
            <w:r w:rsidRPr="008246F6">
              <w:rPr>
                <w:sz w:val="20"/>
              </w:rPr>
              <w:t>6</w:t>
            </w:r>
          </w:p>
        </w:tc>
        <w:tc>
          <w:tcPr>
            <w:tcW w:w="1403" w:type="dxa"/>
            <w:tcBorders>
              <w:top w:val="single" w:sz="6" w:space="0" w:color="000000"/>
              <w:left w:val="single" w:sz="6" w:space="0" w:color="000000"/>
              <w:bottom w:val="single" w:sz="6" w:space="0" w:color="000000"/>
              <w:right w:val="single" w:sz="6" w:space="0" w:color="000000"/>
            </w:tcBorders>
          </w:tcPr>
          <w:p w14:paraId="33DDC57D" w14:textId="77777777" w:rsidR="00D726B2" w:rsidRPr="008246F6" w:rsidRDefault="00D726B2" w:rsidP="00E858EF">
            <w:pPr>
              <w:suppressAutoHyphens/>
              <w:jc w:val="center"/>
              <w:rPr>
                <w:sz w:val="20"/>
              </w:rPr>
            </w:pPr>
            <w:r w:rsidRPr="008246F6">
              <w:rPr>
                <w:sz w:val="20"/>
              </w:rPr>
              <w:t>33</w:t>
            </w:r>
          </w:p>
        </w:tc>
        <w:tc>
          <w:tcPr>
            <w:tcW w:w="1649" w:type="dxa"/>
            <w:tcBorders>
              <w:top w:val="single" w:sz="6" w:space="0" w:color="000000"/>
              <w:left w:val="single" w:sz="6" w:space="0" w:color="000000"/>
              <w:bottom w:val="single" w:sz="6" w:space="0" w:color="000000"/>
              <w:right w:val="single" w:sz="6" w:space="0" w:color="000000"/>
            </w:tcBorders>
          </w:tcPr>
          <w:p w14:paraId="5DEE14A4" w14:textId="77777777" w:rsidR="00D726B2" w:rsidRPr="008246F6" w:rsidRDefault="00D726B2" w:rsidP="00E858EF">
            <w:pPr>
              <w:suppressAutoHyphens/>
              <w:jc w:val="center"/>
              <w:rPr>
                <w:sz w:val="20"/>
              </w:rPr>
            </w:pPr>
            <w:r w:rsidRPr="008246F6">
              <w:rPr>
                <w:sz w:val="20"/>
              </w:rPr>
              <w:t>0</w:t>
            </w:r>
          </w:p>
        </w:tc>
        <w:tc>
          <w:tcPr>
            <w:tcW w:w="2216" w:type="dxa"/>
            <w:tcBorders>
              <w:top w:val="single" w:sz="6" w:space="0" w:color="000000"/>
              <w:left w:val="single" w:sz="6" w:space="0" w:color="000000"/>
              <w:bottom w:val="single" w:sz="6" w:space="0" w:color="000000"/>
              <w:right w:val="single" w:sz="6" w:space="0" w:color="000000"/>
            </w:tcBorders>
          </w:tcPr>
          <w:p w14:paraId="119AB551" w14:textId="77777777" w:rsidR="00D726B2" w:rsidRPr="008246F6" w:rsidRDefault="00D726B2" w:rsidP="00E858EF">
            <w:pPr>
              <w:suppressAutoHyphens/>
              <w:jc w:val="center"/>
              <w:rPr>
                <w:sz w:val="20"/>
              </w:rPr>
            </w:pPr>
            <w:r w:rsidRPr="008246F6">
              <w:rPr>
                <w:sz w:val="20"/>
              </w:rPr>
              <w:t>2</w:t>
            </w:r>
          </w:p>
        </w:tc>
      </w:tr>
    </w:tbl>
    <w:p w14:paraId="39685B33" w14:textId="2F95730D" w:rsidR="008246F6" w:rsidRDefault="008246F6"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360"/>
        <w:rPr>
          <w:color w:val="000000"/>
          <w:sz w:val="20"/>
          <w:szCs w:val="20"/>
        </w:rPr>
      </w:pPr>
    </w:p>
    <w:p w14:paraId="136B7DD6" w14:textId="77777777" w:rsidR="008246F6" w:rsidRDefault="008246F6">
      <w:pPr>
        <w:widowControl/>
        <w:spacing w:line="240" w:lineRule="auto"/>
        <w:contextualSpacing w:val="0"/>
        <w:jc w:val="left"/>
        <w:rPr>
          <w:color w:val="000000"/>
          <w:sz w:val="20"/>
          <w:szCs w:val="20"/>
        </w:rPr>
      </w:pPr>
      <w:r>
        <w:rPr>
          <w:color w:val="000000"/>
          <w:sz w:val="20"/>
          <w:szCs w:val="20"/>
        </w:rPr>
        <w:br w:type="page"/>
      </w:r>
    </w:p>
    <w:p w14:paraId="737F954E" w14:textId="77777777" w:rsidR="00D726B2" w:rsidRPr="00705CF4" w:rsidRDefault="00D726B2" w:rsidP="00370745">
      <w:pPr>
        <w:pStyle w:val="Paragrafoelenco"/>
        <w:numPr>
          <w:ilvl w:val="0"/>
          <w:numId w:val="1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705CF4">
        <w:rPr>
          <w:color w:val="000000"/>
        </w:rPr>
        <w:t>Presence of base holes</w:t>
      </w:r>
      <w:r>
        <w:rPr>
          <w:color w:val="000000"/>
        </w:rPr>
        <w:t>:</w:t>
      </w:r>
      <w:r w:rsidRPr="00705CF4">
        <w:rPr>
          <w:color w:val="000000"/>
        </w:rPr>
        <w:t xml:space="preserve"> Information is available on a sample of 14 larnakes; range of base holes number is 4 to 57 (</w:t>
      </w:r>
      <w:r>
        <w:rPr>
          <w:color w:val="000000"/>
        </w:rPr>
        <w:t xml:space="preserve">57 holes have been observed in a </w:t>
      </w:r>
      <w:r w:rsidRPr="00705CF4">
        <w:rPr>
          <w:color w:val="000000"/>
        </w:rPr>
        <w:t xml:space="preserve">larnax from Dramia, </w:t>
      </w:r>
      <w:r>
        <w:rPr>
          <w:color w:val="000000"/>
        </w:rPr>
        <w:t xml:space="preserve">384 Dramia MC 1187 </w:t>
      </w:r>
      <w:r w:rsidRPr="00705CF4">
        <w:rPr>
          <w:color w:val="000000"/>
        </w:rPr>
        <w:t>Chania museum in exhibition)</w:t>
      </w:r>
    </w:p>
    <w:p w14:paraId="28A2CA17"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560"/>
        <w:rPr>
          <w:color w:val="000000"/>
        </w:rPr>
      </w:pPr>
      <w:r w:rsidRPr="00705CF4">
        <w:rPr>
          <w:color w:val="000000"/>
        </w:rPr>
        <w:t>Panel division/panel type/number of panels: 4 panels with raised bands. Information is available on a sample of 50 larnakes</w:t>
      </w:r>
      <w:r>
        <w:rPr>
          <w:color w:val="000000"/>
        </w:rPr>
        <w:t>.</w:t>
      </w:r>
    </w:p>
    <w:p w14:paraId="082FA3EF" w14:textId="77777777" w:rsidR="00D726B2"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0"/>
        <w:rPr>
          <w:color w:val="000000"/>
        </w:rPr>
      </w:pPr>
    </w:p>
    <w:p w14:paraId="6637CD42" w14:textId="742C0973" w:rsidR="00D726B2" w:rsidRPr="00E7753F" w:rsidRDefault="00D726B2" w:rsidP="00E858EF">
      <w:pPr>
        <w:pStyle w:val="Testofumetto"/>
        <w:suppressAutoHyphens/>
      </w:pPr>
      <w:bookmarkStart w:id="1059" w:name="_Toc520212630"/>
      <w:r>
        <w:t>Table 5-6</w:t>
      </w:r>
      <w:r w:rsidR="00BD0F61">
        <w:t>.</w:t>
      </w:r>
      <w:r>
        <w:t xml:space="preserve"> Panels, Mid-West</w:t>
      </w:r>
      <w:bookmarkEnd w:id="1059"/>
      <w:r w:rsidR="006934A7">
        <w:t xml:space="preserve"> area</w:t>
      </w:r>
    </w:p>
    <w:tbl>
      <w:tblPr>
        <w:tblW w:w="0" w:type="auto"/>
        <w:tblInd w:w="8" w:type="dxa"/>
        <w:tblCellMar>
          <w:left w:w="0" w:type="dxa"/>
          <w:right w:w="0" w:type="dxa"/>
        </w:tblCellMar>
        <w:tblLook w:val="04A0" w:firstRow="1" w:lastRow="0" w:firstColumn="1" w:lastColumn="0" w:noHBand="0" w:noVBand="1"/>
      </w:tblPr>
      <w:tblGrid>
        <w:gridCol w:w="1687"/>
        <w:gridCol w:w="1688"/>
        <w:gridCol w:w="1688"/>
        <w:gridCol w:w="1688"/>
        <w:gridCol w:w="1688"/>
      </w:tblGrid>
      <w:tr w:rsidR="00D726B2" w:rsidRPr="008246F6" w14:paraId="27E322F3" w14:textId="77777777" w:rsidTr="008246F6">
        <w:trPr>
          <w:trHeight w:val="315"/>
        </w:trPr>
        <w:tc>
          <w:tcPr>
            <w:tcW w:w="1687" w:type="dxa"/>
            <w:tcBorders>
              <w:top w:val="single" w:sz="6" w:space="0" w:color="000000"/>
              <w:left w:val="single" w:sz="6" w:space="0" w:color="000000"/>
              <w:bottom w:val="single" w:sz="6" w:space="0" w:color="000000"/>
              <w:right w:val="single" w:sz="6" w:space="0" w:color="000000"/>
            </w:tcBorders>
          </w:tcPr>
          <w:p w14:paraId="05CA4505" w14:textId="77777777" w:rsidR="00D726B2" w:rsidRPr="008246F6" w:rsidRDefault="00D726B2" w:rsidP="00E858EF">
            <w:pPr>
              <w:suppressAutoHyphens/>
              <w:jc w:val="center"/>
              <w:rPr>
                <w:sz w:val="20"/>
              </w:rPr>
            </w:pPr>
            <w:r w:rsidRPr="008246F6">
              <w:rPr>
                <w:sz w:val="20"/>
              </w:rPr>
              <w:t>Raised bands</w:t>
            </w:r>
          </w:p>
        </w:tc>
        <w:tc>
          <w:tcPr>
            <w:tcW w:w="1688" w:type="dxa"/>
            <w:tcBorders>
              <w:top w:val="single" w:sz="6" w:space="0" w:color="000000"/>
              <w:left w:val="single" w:sz="6" w:space="0" w:color="000000"/>
              <w:bottom w:val="single" w:sz="6" w:space="0" w:color="000000"/>
              <w:right w:val="single" w:sz="6" w:space="0" w:color="000000"/>
            </w:tcBorders>
          </w:tcPr>
          <w:p w14:paraId="3BC67921" w14:textId="77777777" w:rsidR="00D726B2" w:rsidRPr="008246F6" w:rsidRDefault="00D726B2" w:rsidP="00E858EF">
            <w:pPr>
              <w:suppressAutoHyphens/>
              <w:jc w:val="center"/>
              <w:rPr>
                <w:sz w:val="20"/>
              </w:rPr>
            </w:pPr>
            <w:r w:rsidRPr="008246F6">
              <w:rPr>
                <w:sz w:val="20"/>
              </w:rPr>
              <w:t>Incised bands</w:t>
            </w:r>
          </w:p>
        </w:tc>
        <w:tc>
          <w:tcPr>
            <w:tcW w:w="1688" w:type="dxa"/>
            <w:tcBorders>
              <w:top w:val="single" w:sz="6" w:space="0" w:color="000000"/>
              <w:left w:val="single" w:sz="6" w:space="0" w:color="000000"/>
              <w:bottom w:val="single" w:sz="6" w:space="0" w:color="000000"/>
              <w:right w:val="single" w:sz="6" w:space="0" w:color="000000"/>
            </w:tcBorders>
          </w:tcPr>
          <w:p w14:paraId="4821B630" w14:textId="77777777" w:rsidR="00D726B2" w:rsidRPr="008246F6" w:rsidRDefault="00D726B2" w:rsidP="00E858EF">
            <w:pPr>
              <w:suppressAutoHyphens/>
              <w:jc w:val="center"/>
              <w:rPr>
                <w:sz w:val="20"/>
              </w:rPr>
            </w:pPr>
            <w:r w:rsidRPr="008246F6">
              <w:rPr>
                <w:sz w:val="20"/>
              </w:rPr>
              <w:t>4 panels</w:t>
            </w:r>
          </w:p>
        </w:tc>
        <w:tc>
          <w:tcPr>
            <w:tcW w:w="1688" w:type="dxa"/>
            <w:tcBorders>
              <w:top w:val="single" w:sz="6" w:space="0" w:color="000000"/>
              <w:left w:val="single" w:sz="6" w:space="0" w:color="000000"/>
              <w:bottom w:val="single" w:sz="6" w:space="0" w:color="000000"/>
              <w:right w:val="single" w:sz="6" w:space="0" w:color="000000"/>
            </w:tcBorders>
          </w:tcPr>
          <w:p w14:paraId="5057290D" w14:textId="77777777" w:rsidR="00D726B2" w:rsidRPr="008246F6" w:rsidRDefault="00D726B2" w:rsidP="00E858EF">
            <w:pPr>
              <w:suppressAutoHyphens/>
              <w:jc w:val="center"/>
              <w:rPr>
                <w:sz w:val="20"/>
              </w:rPr>
            </w:pPr>
            <w:r w:rsidRPr="008246F6">
              <w:rPr>
                <w:sz w:val="20"/>
              </w:rPr>
              <w:t>6 panels</w:t>
            </w:r>
          </w:p>
        </w:tc>
        <w:tc>
          <w:tcPr>
            <w:tcW w:w="1688" w:type="dxa"/>
            <w:tcBorders>
              <w:top w:val="single" w:sz="6" w:space="0" w:color="000000"/>
              <w:left w:val="single" w:sz="6" w:space="0" w:color="000000"/>
              <w:bottom w:val="single" w:sz="6" w:space="0" w:color="000000"/>
              <w:right w:val="single" w:sz="6" w:space="0" w:color="000000"/>
            </w:tcBorders>
          </w:tcPr>
          <w:p w14:paraId="3ACEBADA" w14:textId="77777777" w:rsidR="00D726B2" w:rsidRPr="008246F6" w:rsidRDefault="00D726B2" w:rsidP="00E858EF">
            <w:pPr>
              <w:suppressAutoHyphens/>
              <w:jc w:val="center"/>
              <w:rPr>
                <w:sz w:val="20"/>
              </w:rPr>
            </w:pPr>
            <w:r w:rsidRPr="008246F6">
              <w:rPr>
                <w:sz w:val="20"/>
              </w:rPr>
              <w:t>N/A number of panels</w:t>
            </w:r>
          </w:p>
        </w:tc>
      </w:tr>
      <w:tr w:rsidR="00D726B2" w:rsidRPr="008246F6" w14:paraId="294DB06D" w14:textId="77777777" w:rsidTr="008246F6">
        <w:trPr>
          <w:trHeight w:val="315"/>
        </w:trPr>
        <w:tc>
          <w:tcPr>
            <w:tcW w:w="1687" w:type="dxa"/>
            <w:tcBorders>
              <w:top w:val="single" w:sz="6" w:space="0" w:color="000000"/>
              <w:left w:val="single" w:sz="6" w:space="0" w:color="000000"/>
              <w:bottom w:val="single" w:sz="6" w:space="0" w:color="000000"/>
              <w:right w:val="single" w:sz="6" w:space="0" w:color="000000"/>
            </w:tcBorders>
          </w:tcPr>
          <w:p w14:paraId="4FC09161" w14:textId="77777777" w:rsidR="00D726B2" w:rsidRPr="008246F6" w:rsidRDefault="00D726B2" w:rsidP="00E858EF">
            <w:pPr>
              <w:suppressAutoHyphens/>
              <w:jc w:val="center"/>
              <w:rPr>
                <w:sz w:val="20"/>
              </w:rPr>
            </w:pPr>
            <w:r w:rsidRPr="008246F6">
              <w:rPr>
                <w:sz w:val="20"/>
              </w:rPr>
              <w:t>46</w:t>
            </w:r>
          </w:p>
        </w:tc>
        <w:tc>
          <w:tcPr>
            <w:tcW w:w="1688" w:type="dxa"/>
            <w:tcBorders>
              <w:top w:val="single" w:sz="6" w:space="0" w:color="000000"/>
              <w:left w:val="single" w:sz="6" w:space="0" w:color="000000"/>
              <w:bottom w:val="single" w:sz="6" w:space="0" w:color="000000"/>
              <w:right w:val="single" w:sz="6" w:space="0" w:color="000000"/>
            </w:tcBorders>
          </w:tcPr>
          <w:p w14:paraId="29960C8F" w14:textId="77777777" w:rsidR="00D726B2" w:rsidRPr="008246F6" w:rsidRDefault="00D726B2" w:rsidP="00E858EF">
            <w:pPr>
              <w:suppressAutoHyphens/>
              <w:jc w:val="center"/>
              <w:rPr>
                <w:sz w:val="20"/>
              </w:rPr>
            </w:pPr>
            <w:r w:rsidRPr="008246F6">
              <w:rPr>
                <w:sz w:val="20"/>
              </w:rPr>
              <w:t>4</w:t>
            </w:r>
          </w:p>
        </w:tc>
        <w:tc>
          <w:tcPr>
            <w:tcW w:w="1688" w:type="dxa"/>
            <w:tcBorders>
              <w:top w:val="single" w:sz="6" w:space="0" w:color="000000"/>
              <w:left w:val="single" w:sz="6" w:space="0" w:color="000000"/>
              <w:bottom w:val="single" w:sz="6" w:space="0" w:color="000000"/>
              <w:right w:val="single" w:sz="6" w:space="0" w:color="000000"/>
            </w:tcBorders>
          </w:tcPr>
          <w:p w14:paraId="7C6C8703" w14:textId="77777777" w:rsidR="00D726B2" w:rsidRPr="008246F6" w:rsidRDefault="00D726B2" w:rsidP="00E858EF">
            <w:pPr>
              <w:suppressAutoHyphens/>
              <w:jc w:val="center"/>
              <w:rPr>
                <w:sz w:val="20"/>
              </w:rPr>
            </w:pPr>
            <w:r w:rsidRPr="008246F6">
              <w:rPr>
                <w:sz w:val="20"/>
              </w:rPr>
              <w:t>45</w:t>
            </w:r>
          </w:p>
        </w:tc>
        <w:tc>
          <w:tcPr>
            <w:tcW w:w="1688" w:type="dxa"/>
            <w:tcBorders>
              <w:top w:val="single" w:sz="6" w:space="0" w:color="000000"/>
              <w:left w:val="single" w:sz="6" w:space="0" w:color="000000"/>
              <w:bottom w:val="single" w:sz="6" w:space="0" w:color="000000"/>
              <w:right w:val="single" w:sz="6" w:space="0" w:color="000000"/>
            </w:tcBorders>
          </w:tcPr>
          <w:p w14:paraId="6A847FB7" w14:textId="77777777" w:rsidR="00D726B2" w:rsidRPr="008246F6" w:rsidRDefault="00D726B2" w:rsidP="00E858EF">
            <w:pPr>
              <w:suppressAutoHyphens/>
              <w:jc w:val="center"/>
              <w:rPr>
                <w:sz w:val="20"/>
              </w:rPr>
            </w:pPr>
            <w:r w:rsidRPr="008246F6">
              <w:rPr>
                <w:sz w:val="20"/>
              </w:rPr>
              <w:t>8</w:t>
            </w:r>
          </w:p>
        </w:tc>
        <w:tc>
          <w:tcPr>
            <w:tcW w:w="1688" w:type="dxa"/>
            <w:tcBorders>
              <w:top w:val="single" w:sz="6" w:space="0" w:color="000000"/>
              <w:left w:val="single" w:sz="6" w:space="0" w:color="000000"/>
              <w:bottom w:val="single" w:sz="6" w:space="0" w:color="000000"/>
              <w:right w:val="single" w:sz="6" w:space="0" w:color="000000"/>
            </w:tcBorders>
          </w:tcPr>
          <w:p w14:paraId="7824729C" w14:textId="77777777" w:rsidR="00D726B2" w:rsidRPr="008246F6" w:rsidRDefault="00D726B2" w:rsidP="00E858EF">
            <w:pPr>
              <w:suppressAutoHyphens/>
              <w:jc w:val="center"/>
              <w:rPr>
                <w:sz w:val="20"/>
              </w:rPr>
            </w:pPr>
            <w:r w:rsidRPr="008246F6">
              <w:rPr>
                <w:sz w:val="20"/>
              </w:rPr>
              <w:t>0</w:t>
            </w:r>
          </w:p>
        </w:tc>
      </w:tr>
    </w:tbl>
    <w:p w14:paraId="247612DA" w14:textId="77777777" w:rsidR="00D726B2" w:rsidRPr="00236367"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p w14:paraId="60BDF316" w14:textId="05F0F55B" w:rsidR="00D726B2" w:rsidRPr="00E7753F"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 xml:space="preserve">Occurrence of </w:t>
      </w:r>
      <w:r w:rsidR="00DB11B9">
        <w:rPr>
          <w:color w:val="000000"/>
        </w:rPr>
        <w:t>moulded figurines</w:t>
      </w:r>
      <w:r w:rsidRPr="00191003">
        <w:rPr>
          <w:color w:val="000000"/>
        </w:rPr>
        <w:t xml:space="preserve">: </w:t>
      </w:r>
      <w:r>
        <w:rPr>
          <w:color w:val="000000"/>
        </w:rPr>
        <w:t>o</w:t>
      </w:r>
      <w:r w:rsidRPr="00191003">
        <w:rPr>
          <w:color w:val="000000"/>
        </w:rPr>
        <w:t xml:space="preserve">n one small larnax with </w:t>
      </w:r>
      <w:r>
        <w:rPr>
          <w:color w:val="000000"/>
        </w:rPr>
        <w:t xml:space="preserve">a </w:t>
      </w:r>
      <w:r w:rsidRPr="00191003">
        <w:rPr>
          <w:color w:val="000000"/>
        </w:rPr>
        <w:t>gabled lid from Armenoi (</w:t>
      </w:r>
      <w:r>
        <w:rPr>
          <w:color w:val="000000"/>
        </w:rPr>
        <w:t xml:space="preserve">270 Armenoi </w:t>
      </w:r>
      <w:r w:rsidRPr="00191003">
        <w:rPr>
          <w:color w:val="000000"/>
        </w:rPr>
        <w:t>MR 5121 or 2829)</w:t>
      </w:r>
      <w:r>
        <w:rPr>
          <w:color w:val="000000"/>
        </w:rPr>
        <w:t>,</w:t>
      </w:r>
      <w:r w:rsidRPr="00191003">
        <w:rPr>
          <w:color w:val="000000"/>
        </w:rPr>
        <w:t xml:space="preserve"> </w:t>
      </w:r>
      <w:r>
        <w:rPr>
          <w:color w:val="000000"/>
        </w:rPr>
        <w:t>each</w:t>
      </w:r>
      <w:r w:rsidRPr="00191003">
        <w:rPr>
          <w:color w:val="000000"/>
        </w:rPr>
        <w:t xml:space="preserve"> ridge pole end ha</w:t>
      </w:r>
      <w:r>
        <w:rPr>
          <w:color w:val="000000"/>
        </w:rPr>
        <w:t>s</w:t>
      </w:r>
      <w:r w:rsidRPr="00191003">
        <w:rPr>
          <w:color w:val="000000"/>
        </w:rPr>
        <w:t xml:space="preserve"> a bull’s head shape. The </w:t>
      </w:r>
      <w:r>
        <w:rPr>
          <w:color w:val="000000"/>
        </w:rPr>
        <w:t>presence</w:t>
      </w:r>
      <w:r w:rsidRPr="00191003">
        <w:rPr>
          <w:color w:val="000000"/>
        </w:rPr>
        <w:t xml:space="preserve"> of </w:t>
      </w:r>
      <w:r>
        <w:rPr>
          <w:color w:val="000000"/>
        </w:rPr>
        <w:t xml:space="preserve">a </w:t>
      </w:r>
      <w:r w:rsidRPr="00191003">
        <w:rPr>
          <w:color w:val="000000"/>
        </w:rPr>
        <w:t>figurine at the end of the ridge pole is reported for a larnax from Dramia</w:t>
      </w:r>
      <w:r>
        <w:rPr>
          <w:color w:val="000000"/>
        </w:rPr>
        <w:t xml:space="preserve"> also</w:t>
      </w:r>
      <w:r w:rsidRPr="00191003">
        <w:rPr>
          <w:color w:val="000000"/>
        </w:rPr>
        <w:t xml:space="preserve"> (</w:t>
      </w:r>
      <w:r>
        <w:rPr>
          <w:color w:val="000000"/>
        </w:rPr>
        <w:t xml:space="preserve">384 Dramia MC 1187, </w:t>
      </w:r>
      <w:r w:rsidRPr="00191003">
        <w:rPr>
          <w:color w:val="000000"/>
        </w:rPr>
        <w:t xml:space="preserve">although the larnax is exhibited at </w:t>
      </w:r>
      <w:r>
        <w:rPr>
          <w:color w:val="000000"/>
        </w:rPr>
        <w:t xml:space="preserve">the </w:t>
      </w:r>
      <w:r w:rsidRPr="00191003">
        <w:rPr>
          <w:color w:val="000000"/>
        </w:rPr>
        <w:t>Chania museum but without</w:t>
      </w:r>
      <w:r>
        <w:rPr>
          <w:color w:val="000000"/>
        </w:rPr>
        <w:t xml:space="preserve"> its</w:t>
      </w:r>
      <w:r w:rsidRPr="00191003">
        <w:rPr>
          <w:color w:val="000000"/>
        </w:rPr>
        <w:t xml:space="preserve"> lid</w:t>
      </w:r>
      <w:r>
        <w:rPr>
          <w:color w:val="000000"/>
        </w:rPr>
        <w:t xml:space="preserve"> –</w:t>
      </w:r>
      <w:r w:rsidRPr="00191003">
        <w:rPr>
          <w:color w:val="000000"/>
        </w:rPr>
        <w:t xml:space="preserve"> </w:t>
      </w:r>
      <w:r>
        <w:rPr>
          <w:color w:val="000000"/>
        </w:rPr>
        <w:t>‘</w:t>
      </w:r>
      <w:r w:rsidRPr="00191003">
        <w:rPr>
          <w:color w:val="000000"/>
        </w:rPr>
        <w:t xml:space="preserve">the lid is decorated with </w:t>
      </w:r>
      <w:r>
        <w:rPr>
          <w:color w:val="000000"/>
        </w:rPr>
        <w:t xml:space="preserve">an </w:t>
      </w:r>
      <w:r w:rsidRPr="00191003">
        <w:rPr>
          <w:color w:val="000000"/>
        </w:rPr>
        <w:t>animal's head</w:t>
      </w:r>
      <w:r>
        <w:rPr>
          <w:color w:val="000000"/>
        </w:rPr>
        <w:t xml:space="preserve">’: </w:t>
      </w:r>
      <w:r w:rsidRPr="00191003">
        <w:rPr>
          <w:color w:val="000000"/>
        </w:rPr>
        <w:t>Kanta 1980</w:t>
      </w:r>
      <w:r>
        <w:rPr>
          <w:color w:val="000000"/>
        </w:rPr>
        <w:t>:</w:t>
      </w:r>
      <w:r w:rsidRPr="00191003">
        <w:rPr>
          <w:color w:val="000000"/>
        </w:rPr>
        <w:t xml:space="preserve"> 237)</w:t>
      </w:r>
      <w:r>
        <w:rPr>
          <w:color w:val="000000"/>
        </w:rPr>
        <w:t>.</w:t>
      </w:r>
    </w:p>
    <w:p w14:paraId="5446B6B9" w14:textId="77777777" w:rsidR="00D726B2" w:rsidRPr="00191003" w:rsidRDefault="00D726B2" w:rsidP="00E858EF">
      <w:pPr>
        <w:pStyle w:val="Titolo3"/>
        <w:keepNext w:val="0"/>
        <w:keepLines w:val="0"/>
        <w:suppressAutoHyphens/>
        <w:rPr>
          <w:i/>
        </w:rPr>
      </w:pPr>
      <w:bookmarkStart w:id="1060" w:name="_Toc517807587"/>
      <w:bookmarkStart w:id="1061" w:name="_Toc519894681"/>
      <w:r w:rsidRPr="00191003">
        <w:t xml:space="preserve">Analysis of </w:t>
      </w:r>
      <w:r>
        <w:t xml:space="preserve">the </w:t>
      </w:r>
      <w:r w:rsidRPr="00191003">
        <w:t>ico</w:t>
      </w:r>
      <w:r>
        <w:t>nography of decorated larnakes in the Mid-West</w:t>
      </w:r>
      <w:r w:rsidRPr="00191003">
        <w:t xml:space="preserve"> area</w:t>
      </w:r>
      <w:bookmarkEnd w:id="1060"/>
      <w:bookmarkEnd w:id="1061"/>
    </w:p>
    <w:p w14:paraId="37DCB325" w14:textId="77777777" w:rsidR="00D726B2" w:rsidRPr="00191003" w:rsidRDefault="00D726B2" w:rsidP="00E858EF">
      <w:pPr>
        <w:suppressAutoHyphens/>
      </w:pPr>
      <w:r w:rsidRPr="00191003">
        <w:t>From the sample of larnak</w:t>
      </w:r>
      <w:r>
        <w:t>es found in burial contexts in the Mid-West</w:t>
      </w:r>
      <w:r w:rsidRPr="00191003">
        <w:t xml:space="preserve"> region</w:t>
      </w:r>
      <w:r>
        <w:t xml:space="preserve"> (</w:t>
      </w:r>
      <w:r w:rsidRPr="00191003">
        <w:t>120 items</w:t>
      </w:r>
      <w:r>
        <w:t>),</w:t>
      </w:r>
      <w:r w:rsidRPr="00191003">
        <w:t xml:space="preserve"> the presence of decoration </w:t>
      </w:r>
      <w:r>
        <w:t>is</w:t>
      </w:r>
      <w:r w:rsidRPr="00191003">
        <w:t xml:space="preserve"> registered securely in 67% (80 larnakes). </w:t>
      </w:r>
    </w:p>
    <w:p w14:paraId="28D16769" w14:textId="77777777" w:rsidR="00D726B2" w:rsidRPr="00191003" w:rsidRDefault="00D726B2" w:rsidP="00E858EF">
      <w:pPr>
        <w:suppressAutoHyphens/>
      </w:pPr>
    </w:p>
    <w:p w14:paraId="0479003D" w14:textId="77777777" w:rsidR="00D726B2" w:rsidRPr="00191003" w:rsidRDefault="00D726B2" w:rsidP="00E858EF">
      <w:pPr>
        <w:suppressAutoHyphens/>
        <w:ind w:firstLine="142"/>
        <w:rPr>
          <w:b/>
        </w:rPr>
      </w:pPr>
      <w:r w:rsidRPr="00191003">
        <w:rPr>
          <w:noProof/>
          <w:lang w:val="it-IT"/>
        </w:rPr>
        <w:drawing>
          <wp:inline distT="0" distB="0" distL="0" distR="0" wp14:anchorId="08366C1F" wp14:editId="043B14B3">
            <wp:extent cx="4680000" cy="2520000"/>
            <wp:effectExtent l="0" t="0" r="6350" b="13970"/>
            <wp:docPr id="188" name="Gra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14:paraId="310AD683" w14:textId="1CD9B110" w:rsidR="00D726B2" w:rsidRPr="00ED51BD" w:rsidRDefault="00D726B2" w:rsidP="00E858EF">
      <w:pPr>
        <w:pStyle w:val="Didascalia"/>
        <w:suppressAutoHyphens/>
      </w:pPr>
      <w:bookmarkStart w:id="1062" w:name="_Toc520212461"/>
      <w:r w:rsidRPr="00ED51BD">
        <w:t>Fig</w:t>
      </w:r>
      <w:r w:rsidR="00ED51BD" w:rsidRPr="00ED51BD">
        <w:t>ure</w:t>
      </w:r>
      <w:r w:rsidRPr="00ED51BD">
        <w:t xml:space="preserve"> 5-68</w:t>
      </w:r>
      <w:r w:rsidR="00C50BF1">
        <w:t>.</w:t>
      </w:r>
      <w:r w:rsidRPr="00ED51BD">
        <w:t xml:space="preserve"> Mid-West </w:t>
      </w:r>
      <w:r w:rsidR="006934A7">
        <w:t xml:space="preserve">area </w:t>
      </w:r>
      <w:r w:rsidRPr="00ED51BD">
        <w:t>larnax decoration</w:t>
      </w:r>
      <w:bookmarkEnd w:id="1062"/>
    </w:p>
    <w:p w14:paraId="07D43BD5" w14:textId="54936D83" w:rsidR="00D726B2" w:rsidRDefault="00D726B2" w:rsidP="00E858EF">
      <w:pPr>
        <w:suppressAutoHyphens/>
        <w:spacing w:line="240" w:lineRule="auto"/>
        <w:rPr>
          <w:b/>
        </w:rPr>
      </w:pPr>
    </w:p>
    <w:p w14:paraId="32B48678" w14:textId="77777777" w:rsidR="008246F6" w:rsidRDefault="008246F6">
      <w:pPr>
        <w:widowControl/>
        <w:spacing w:line="240" w:lineRule="auto"/>
        <w:contextualSpacing w:val="0"/>
        <w:jc w:val="left"/>
        <w:rPr>
          <w:rFonts w:cs="Lucida Grande"/>
          <w:b/>
          <w:sz w:val="20"/>
          <w:szCs w:val="18"/>
        </w:rPr>
      </w:pPr>
      <w:bookmarkStart w:id="1063" w:name="_Toc519894979"/>
      <w:r>
        <w:br w:type="page"/>
      </w:r>
    </w:p>
    <w:p w14:paraId="7407FE7E" w14:textId="58737AC2" w:rsidR="00D726B2" w:rsidRPr="00191003" w:rsidRDefault="00D726B2" w:rsidP="00E858EF">
      <w:pPr>
        <w:pStyle w:val="Testofumetto"/>
        <w:suppressAutoHyphens/>
      </w:pPr>
      <w:bookmarkStart w:id="1064" w:name="_Toc520212631"/>
      <w:r>
        <w:t>Table 5-7</w:t>
      </w:r>
      <w:r w:rsidR="00BD0F61">
        <w:t>.</w:t>
      </w:r>
      <w:r>
        <w:t xml:space="preserve"> Decoration, Mid-West</w:t>
      </w:r>
      <w:bookmarkEnd w:id="1063"/>
      <w:bookmarkEnd w:id="1064"/>
      <w:r w:rsidR="006934A7">
        <w:t xml:space="preserve"> area</w:t>
      </w:r>
    </w:p>
    <w:tbl>
      <w:tblPr>
        <w:tblW w:w="0" w:type="auto"/>
        <w:tblInd w:w="8" w:type="dxa"/>
        <w:tblCellMar>
          <w:left w:w="0" w:type="dxa"/>
          <w:right w:w="0" w:type="dxa"/>
        </w:tblCellMar>
        <w:tblLook w:val="04A0" w:firstRow="1" w:lastRow="0" w:firstColumn="1" w:lastColumn="0" w:noHBand="0" w:noVBand="1"/>
      </w:tblPr>
      <w:tblGrid>
        <w:gridCol w:w="1684"/>
        <w:gridCol w:w="1793"/>
        <w:gridCol w:w="1684"/>
        <w:gridCol w:w="2002"/>
      </w:tblGrid>
      <w:tr w:rsidR="00D726B2" w:rsidRPr="008246F6" w14:paraId="3086C306" w14:textId="77777777" w:rsidTr="00ED51BD">
        <w:trPr>
          <w:trHeight w:val="315"/>
        </w:trPr>
        <w:tc>
          <w:tcPr>
            <w:tcW w:w="1684" w:type="dxa"/>
            <w:tcBorders>
              <w:top w:val="single" w:sz="6" w:space="0" w:color="000000"/>
              <w:left w:val="single" w:sz="6" w:space="0" w:color="000000"/>
              <w:bottom w:val="single" w:sz="6" w:space="0" w:color="000000"/>
              <w:right w:val="single" w:sz="6" w:space="0" w:color="000000"/>
            </w:tcBorders>
          </w:tcPr>
          <w:p w14:paraId="71BB16BD" w14:textId="77777777" w:rsidR="00D726B2" w:rsidRPr="008246F6" w:rsidRDefault="00D726B2" w:rsidP="00E858EF">
            <w:pPr>
              <w:suppressAutoHyphens/>
              <w:jc w:val="center"/>
              <w:rPr>
                <w:sz w:val="20"/>
              </w:rPr>
            </w:pPr>
            <w:r w:rsidRPr="008246F6">
              <w:rPr>
                <w:sz w:val="20"/>
              </w:rPr>
              <w:t>Decorated</w:t>
            </w:r>
          </w:p>
        </w:tc>
        <w:tc>
          <w:tcPr>
            <w:tcW w:w="1793" w:type="dxa"/>
            <w:tcBorders>
              <w:top w:val="single" w:sz="6" w:space="0" w:color="000000"/>
              <w:left w:val="single" w:sz="6" w:space="0" w:color="000000"/>
              <w:bottom w:val="single" w:sz="6" w:space="0" w:color="000000"/>
              <w:right w:val="single" w:sz="6" w:space="0" w:color="000000"/>
            </w:tcBorders>
          </w:tcPr>
          <w:p w14:paraId="31645150" w14:textId="77777777" w:rsidR="00D726B2" w:rsidRPr="008246F6" w:rsidRDefault="00D726B2" w:rsidP="00E858EF">
            <w:pPr>
              <w:suppressAutoHyphens/>
              <w:jc w:val="center"/>
              <w:rPr>
                <w:sz w:val="20"/>
              </w:rPr>
            </w:pPr>
            <w:r w:rsidRPr="008246F6">
              <w:rPr>
                <w:sz w:val="20"/>
              </w:rPr>
              <w:t>Undecorated</w:t>
            </w:r>
          </w:p>
        </w:tc>
        <w:tc>
          <w:tcPr>
            <w:tcW w:w="1684" w:type="dxa"/>
            <w:tcBorders>
              <w:top w:val="single" w:sz="6" w:space="0" w:color="000000"/>
              <w:left w:val="single" w:sz="6" w:space="0" w:color="000000"/>
              <w:bottom w:val="single" w:sz="6" w:space="0" w:color="000000"/>
              <w:right w:val="single" w:sz="6" w:space="0" w:color="000000"/>
            </w:tcBorders>
          </w:tcPr>
          <w:p w14:paraId="70903F41" w14:textId="77777777" w:rsidR="00D726B2" w:rsidRPr="008246F6" w:rsidRDefault="00D726B2" w:rsidP="00E858EF">
            <w:pPr>
              <w:suppressAutoHyphens/>
              <w:jc w:val="center"/>
              <w:rPr>
                <w:sz w:val="20"/>
              </w:rPr>
            </w:pPr>
            <w:r w:rsidRPr="008246F6">
              <w:rPr>
                <w:sz w:val="20"/>
              </w:rPr>
              <w:t>Unknown</w:t>
            </w:r>
          </w:p>
        </w:tc>
        <w:tc>
          <w:tcPr>
            <w:tcW w:w="2002" w:type="dxa"/>
            <w:tcBorders>
              <w:top w:val="single" w:sz="6" w:space="0" w:color="000000"/>
              <w:left w:val="single" w:sz="6" w:space="0" w:color="000000"/>
              <w:bottom w:val="single" w:sz="6" w:space="0" w:color="000000"/>
              <w:right w:val="single" w:sz="6" w:space="0" w:color="000000"/>
            </w:tcBorders>
          </w:tcPr>
          <w:p w14:paraId="68D78E9B" w14:textId="77777777" w:rsidR="00D726B2" w:rsidRPr="008246F6" w:rsidRDefault="00D726B2" w:rsidP="00E858EF">
            <w:pPr>
              <w:suppressAutoHyphens/>
              <w:jc w:val="center"/>
              <w:rPr>
                <w:sz w:val="20"/>
              </w:rPr>
            </w:pPr>
            <w:r w:rsidRPr="008246F6">
              <w:rPr>
                <w:sz w:val="20"/>
              </w:rPr>
              <w:t>Incised decoration</w:t>
            </w:r>
          </w:p>
        </w:tc>
      </w:tr>
      <w:tr w:rsidR="00D726B2" w:rsidRPr="008246F6" w14:paraId="5F6E271F" w14:textId="77777777" w:rsidTr="00ED51BD">
        <w:trPr>
          <w:trHeight w:val="315"/>
        </w:trPr>
        <w:tc>
          <w:tcPr>
            <w:tcW w:w="1684" w:type="dxa"/>
            <w:tcBorders>
              <w:top w:val="single" w:sz="6" w:space="0" w:color="000000"/>
              <w:left w:val="single" w:sz="6" w:space="0" w:color="000000"/>
              <w:bottom w:val="single" w:sz="6" w:space="0" w:color="000000"/>
              <w:right w:val="single" w:sz="6" w:space="0" w:color="000000"/>
            </w:tcBorders>
          </w:tcPr>
          <w:p w14:paraId="3CF49A8A" w14:textId="77777777" w:rsidR="00D726B2" w:rsidRPr="008246F6" w:rsidRDefault="00D726B2" w:rsidP="00E858EF">
            <w:pPr>
              <w:suppressAutoHyphens/>
              <w:jc w:val="center"/>
              <w:rPr>
                <w:sz w:val="20"/>
              </w:rPr>
            </w:pPr>
            <w:r w:rsidRPr="008246F6">
              <w:rPr>
                <w:sz w:val="20"/>
              </w:rPr>
              <w:t>80</w:t>
            </w:r>
          </w:p>
        </w:tc>
        <w:tc>
          <w:tcPr>
            <w:tcW w:w="1793" w:type="dxa"/>
            <w:tcBorders>
              <w:top w:val="single" w:sz="6" w:space="0" w:color="000000"/>
              <w:left w:val="single" w:sz="6" w:space="0" w:color="000000"/>
              <w:bottom w:val="single" w:sz="6" w:space="0" w:color="000000"/>
              <w:right w:val="single" w:sz="6" w:space="0" w:color="000000"/>
            </w:tcBorders>
          </w:tcPr>
          <w:p w14:paraId="0ED9866A" w14:textId="77777777" w:rsidR="00D726B2" w:rsidRPr="008246F6" w:rsidRDefault="00D726B2" w:rsidP="00E858EF">
            <w:pPr>
              <w:suppressAutoHyphens/>
              <w:jc w:val="center"/>
              <w:rPr>
                <w:sz w:val="20"/>
              </w:rPr>
            </w:pPr>
            <w:r w:rsidRPr="008246F6">
              <w:rPr>
                <w:sz w:val="20"/>
              </w:rPr>
              <w:t>2</w:t>
            </w:r>
          </w:p>
        </w:tc>
        <w:tc>
          <w:tcPr>
            <w:tcW w:w="1684" w:type="dxa"/>
            <w:tcBorders>
              <w:top w:val="single" w:sz="6" w:space="0" w:color="000000"/>
              <w:left w:val="single" w:sz="6" w:space="0" w:color="000000"/>
              <w:bottom w:val="single" w:sz="6" w:space="0" w:color="000000"/>
              <w:right w:val="single" w:sz="6" w:space="0" w:color="000000"/>
            </w:tcBorders>
          </w:tcPr>
          <w:p w14:paraId="4A0641A9" w14:textId="77777777" w:rsidR="00D726B2" w:rsidRPr="008246F6" w:rsidRDefault="00D726B2" w:rsidP="00E858EF">
            <w:pPr>
              <w:suppressAutoHyphens/>
              <w:jc w:val="center"/>
              <w:rPr>
                <w:sz w:val="20"/>
              </w:rPr>
            </w:pPr>
            <w:r w:rsidRPr="008246F6">
              <w:rPr>
                <w:sz w:val="20"/>
              </w:rPr>
              <w:t>38</w:t>
            </w:r>
          </w:p>
        </w:tc>
        <w:tc>
          <w:tcPr>
            <w:tcW w:w="2002" w:type="dxa"/>
            <w:tcBorders>
              <w:top w:val="single" w:sz="6" w:space="0" w:color="000000"/>
              <w:left w:val="single" w:sz="6" w:space="0" w:color="000000"/>
              <w:bottom w:val="single" w:sz="6" w:space="0" w:color="000000"/>
              <w:right w:val="single" w:sz="6" w:space="0" w:color="000000"/>
            </w:tcBorders>
          </w:tcPr>
          <w:p w14:paraId="6D11D03A" w14:textId="77777777" w:rsidR="00D726B2" w:rsidRPr="008246F6" w:rsidRDefault="00D726B2" w:rsidP="00E858EF">
            <w:pPr>
              <w:suppressAutoHyphens/>
              <w:jc w:val="center"/>
              <w:rPr>
                <w:sz w:val="20"/>
              </w:rPr>
            </w:pPr>
            <w:r w:rsidRPr="008246F6">
              <w:rPr>
                <w:sz w:val="20"/>
              </w:rPr>
              <w:t>0</w:t>
            </w:r>
          </w:p>
        </w:tc>
      </w:tr>
    </w:tbl>
    <w:p w14:paraId="1FDFB963" w14:textId="77777777" w:rsidR="00D726B2" w:rsidRDefault="00D726B2" w:rsidP="00E858EF">
      <w:pPr>
        <w:suppressAutoHyphens/>
      </w:pPr>
    </w:p>
    <w:p w14:paraId="64D7DEBC" w14:textId="387EFDCF" w:rsidR="00D726B2" w:rsidRPr="00191003" w:rsidRDefault="00D726B2" w:rsidP="00E858EF">
      <w:pPr>
        <w:suppressAutoHyphens/>
      </w:pPr>
      <w:r>
        <w:tab/>
      </w:r>
      <w:r w:rsidRPr="00191003">
        <w:t xml:space="preserve">All </w:t>
      </w:r>
      <w:r>
        <w:t xml:space="preserve">the </w:t>
      </w:r>
      <w:r w:rsidRPr="00191003">
        <w:t>secure larnakes with decoration from this region are chest</w:t>
      </w:r>
      <w:r>
        <w:t>-</w:t>
      </w:r>
      <w:r w:rsidRPr="00191003">
        <w:t xml:space="preserve">shaped. </w:t>
      </w:r>
      <w:r>
        <w:t>And the 67% of clay coffins in the Mid-West</w:t>
      </w:r>
      <w:r w:rsidRPr="00191003">
        <w:t xml:space="preserve"> region </w:t>
      </w:r>
      <w:r>
        <w:t>are</w:t>
      </w:r>
      <w:r w:rsidRPr="00191003">
        <w:t xml:space="preserve"> decorated. </w:t>
      </w:r>
      <w:r>
        <w:t>Of t</w:t>
      </w:r>
      <w:r w:rsidRPr="00191003">
        <w:t>he remaining larnakes</w:t>
      </w:r>
      <w:r>
        <w:t>,</w:t>
      </w:r>
      <w:r w:rsidRPr="00191003">
        <w:t xml:space="preserve"> only two are securely</w:t>
      </w:r>
      <w:r>
        <w:t xml:space="preserve"> referred to as</w:t>
      </w:r>
      <w:r w:rsidRPr="00191003">
        <w:t xml:space="preserve"> undecorated (two of the six larnakes from the chamber tomb at Angeliana Plagaki</w:t>
      </w:r>
      <w:r>
        <w:t xml:space="preserve">: see </w:t>
      </w:r>
      <w:r w:rsidRPr="00733192">
        <w:rPr>
          <w:i/>
        </w:rPr>
        <w:t>ADelt</w:t>
      </w:r>
      <w:r w:rsidRPr="00191003">
        <w:t xml:space="preserve"> </w:t>
      </w:r>
      <w:r>
        <w:t xml:space="preserve">38 </w:t>
      </w:r>
      <w:r w:rsidRPr="00191003">
        <w:t>1983: 371). For the remaining 32% of larnakes</w:t>
      </w:r>
      <w:r>
        <w:t>,</w:t>
      </w:r>
      <w:r w:rsidRPr="00191003">
        <w:t xml:space="preserve"> there is no information about the presence of decoration. This is </w:t>
      </w:r>
      <w:r>
        <w:t>because,</w:t>
      </w:r>
      <w:r w:rsidRPr="00191003">
        <w:t xml:space="preserve"> in many cases</w:t>
      </w:r>
      <w:r>
        <w:t>,</w:t>
      </w:r>
      <w:r w:rsidRPr="00191003">
        <w:t xml:space="preserve"> the </w:t>
      </w:r>
      <w:r>
        <w:t xml:space="preserve">information about the </w:t>
      </w:r>
      <w:r w:rsidRPr="00191003">
        <w:t xml:space="preserve">tombs where these larnakes </w:t>
      </w:r>
      <w:r>
        <w:t>were</w:t>
      </w:r>
      <w:r w:rsidRPr="00191003">
        <w:t xml:space="preserve"> found </w:t>
      </w:r>
      <w:r>
        <w:t>is</w:t>
      </w:r>
      <w:r w:rsidRPr="00191003">
        <w:t xml:space="preserve"> published exclusively</w:t>
      </w:r>
      <w:r>
        <w:t xml:space="preserve"> in</w:t>
      </w:r>
      <w:r w:rsidRPr="00191003">
        <w:t xml:space="preserve"> preliminary reports (</w:t>
      </w:r>
      <w:r>
        <w:t>e.g.</w:t>
      </w:r>
      <w:r w:rsidRPr="00191003">
        <w:t xml:space="preserve"> Maroulas: </w:t>
      </w:r>
      <w:r w:rsidRPr="00733192">
        <w:rPr>
          <w:i/>
        </w:rPr>
        <w:t>ADelt</w:t>
      </w:r>
      <w:r>
        <w:t xml:space="preserve"> 56-59</w:t>
      </w:r>
      <w:r w:rsidRPr="00191003">
        <w:t xml:space="preserve"> 2001-4</w:t>
      </w:r>
      <w:r>
        <w:t>: 448-450</w:t>
      </w:r>
      <w:r w:rsidRPr="00191003">
        <w:t xml:space="preserve">; Papadopoulou 2011; Papadopoulou 2017; Angeliana </w:t>
      </w:r>
      <w:r w:rsidRPr="00733192">
        <w:rPr>
          <w:i/>
        </w:rPr>
        <w:t>ADelt</w:t>
      </w:r>
      <w:r>
        <w:t xml:space="preserve"> 45</w:t>
      </w:r>
      <w:r w:rsidRPr="00191003">
        <w:t xml:space="preserve"> 1990: 446-447, pl.</w:t>
      </w:r>
      <w:r>
        <w:t xml:space="preserve"> </w:t>
      </w:r>
      <w:r w:rsidRPr="00191003">
        <w:t xml:space="preserve">224 a, b, c, d; Arsani </w:t>
      </w:r>
      <w:r w:rsidRPr="00733192">
        <w:rPr>
          <w:i/>
        </w:rPr>
        <w:t>ADelt</w:t>
      </w:r>
      <w:r>
        <w:t xml:space="preserve"> 56-59</w:t>
      </w:r>
      <w:r w:rsidRPr="00191003">
        <w:t xml:space="preserve"> 2001-4: 451-452).</w:t>
      </w:r>
      <w:r>
        <w:t xml:space="preserve"> </w:t>
      </w:r>
      <w:r w:rsidRPr="00191003">
        <w:t>In other cases (</w:t>
      </w:r>
      <w:r>
        <w:t>e.g.</w:t>
      </w:r>
      <w:r w:rsidRPr="00191003">
        <w:t xml:space="preserve"> Sphakaki</w:t>
      </w:r>
      <w:r w:rsidR="00DB11B9">
        <w:t>, Ka</w:t>
      </w:r>
      <w:r w:rsidR="004B40F2">
        <w:t>pranos</w:t>
      </w:r>
      <w:r w:rsidRPr="00191003">
        <w:t xml:space="preserve"> 2012: 405-411; AR</w:t>
      </w:r>
      <w:r>
        <w:t xml:space="preserve"> 59</w:t>
      </w:r>
      <w:r w:rsidRPr="00191003">
        <w:t xml:space="preserve"> 2012-2013: 62 </w:t>
      </w:r>
      <w:r>
        <w:t>F</w:t>
      </w:r>
      <w:r w:rsidRPr="00191003">
        <w:t>ig. 86; Margarites</w:t>
      </w:r>
      <w:r>
        <w:t>,</w:t>
      </w:r>
      <w:r w:rsidRPr="00191003">
        <w:t xml:space="preserve"> w</w:t>
      </w:r>
      <w:r>
        <w:t>h</w:t>
      </w:r>
      <w:r w:rsidRPr="00191003">
        <w:t xml:space="preserve">ere only some fragments </w:t>
      </w:r>
      <w:r>
        <w:t>have</w:t>
      </w:r>
      <w:r w:rsidRPr="00191003">
        <w:t xml:space="preserve"> </w:t>
      </w:r>
      <w:r>
        <w:t>traces of slip and decoration, see</w:t>
      </w:r>
      <w:r w:rsidRPr="00191003">
        <w:t xml:space="preserve"> Papadopoulou 2006: 135)</w:t>
      </w:r>
      <w:r>
        <w:t>, it is not possible to determine</w:t>
      </w:r>
      <w:r w:rsidRPr="00191003">
        <w:t xml:space="preserve"> </w:t>
      </w:r>
      <w:r>
        <w:t>whether</w:t>
      </w:r>
      <w:r w:rsidRPr="00191003">
        <w:t xml:space="preserve"> the larnax is decorated or not, due to the condition of the larnax itself (</w:t>
      </w:r>
      <w:r>
        <w:t xml:space="preserve">i.e. </w:t>
      </w:r>
      <w:r w:rsidRPr="00191003">
        <w:t>decoration not visible/pr</w:t>
      </w:r>
      <w:r>
        <w:t>eserved or larnax too fragmentary</w:t>
      </w:r>
      <w:r w:rsidRPr="00191003">
        <w:t>).</w:t>
      </w:r>
      <w:r>
        <w:t xml:space="preserve"> </w:t>
      </w:r>
      <w:r w:rsidRPr="00191003">
        <w:t>Consequently</w:t>
      </w:r>
      <w:r>
        <w:t>,</w:t>
      </w:r>
      <w:r w:rsidRPr="00191003">
        <w:t xml:space="preserve"> the sample for which it is possible to conduct a detailed iconograp</w:t>
      </w:r>
      <w:r>
        <w:t>hic</w:t>
      </w:r>
      <w:r w:rsidRPr="00191003">
        <w:t xml:space="preserve"> analysis</w:t>
      </w:r>
      <w:r>
        <w:t xml:space="preserve"> on basis of published records</w:t>
      </w:r>
      <w:r w:rsidRPr="00191003">
        <w:t xml:space="preserve"> shrinks to less than half of the securely decorated items</w:t>
      </w:r>
      <w:r>
        <w:t>,</w:t>
      </w:r>
      <w:r w:rsidRPr="00191003">
        <w:t xml:space="preserve"> to 39 items (32%)</w:t>
      </w:r>
      <w:r w:rsidR="00E7322B">
        <w:t xml:space="preserve"> (see: Appendix Mid-West)</w:t>
      </w:r>
      <w:r w:rsidRPr="00191003">
        <w:t>.</w:t>
      </w:r>
    </w:p>
    <w:p w14:paraId="4888AEFC" w14:textId="77777777" w:rsidR="00D726B2" w:rsidRPr="00191003" w:rsidRDefault="00D726B2" w:rsidP="00E858EF">
      <w:pPr>
        <w:suppressAutoHyphens/>
      </w:pPr>
      <w:r>
        <w:tab/>
        <w:t>Regarding</w:t>
      </w:r>
      <w:r w:rsidRPr="00191003">
        <w:t xml:space="preserve"> de</w:t>
      </w:r>
      <w:r>
        <w:t>coration, almost all the items from the Mid-West</w:t>
      </w:r>
      <w:r w:rsidRPr="00191003">
        <w:t xml:space="preserve"> region </w:t>
      </w:r>
      <w:r>
        <w:t>have</w:t>
      </w:r>
      <w:r w:rsidRPr="00191003">
        <w:t xml:space="preserve"> monochrome decoration on a yellow/cream slip. Three larnakes </w:t>
      </w:r>
      <w:r>
        <w:t>have</w:t>
      </w:r>
      <w:r w:rsidRPr="00191003">
        <w:t xml:space="preserve"> polychrome decoration:</w:t>
      </w:r>
    </w:p>
    <w:p w14:paraId="3EADC779" w14:textId="77777777" w:rsidR="00D726B2" w:rsidRPr="00191003" w:rsidRDefault="00D726B2" w:rsidP="00370745">
      <w:pPr>
        <w:pStyle w:val="Paragrafoelenco"/>
        <w:numPr>
          <w:ilvl w:val="0"/>
          <w:numId w:val="112"/>
        </w:numPr>
        <w:suppressAutoHyphens/>
        <w:spacing w:after="160"/>
      </w:pPr>
      <w:r w:rsidRPr="00191003">
        <w:t>264 Armenoi MR 1709 (</w:t>
      </w:r>
      <w:r w:rsidRPr="00733192">
        <w:rPr>
          <w:i/>
        </w:rPr>
        <w:t>ADelt</w:t>
      </w:r>
      <w:r w:rsidRPr="00191003">
        <w:t xml:space="preserve"> </w:t>
      </w:r>
      <w:r>
        <w:t xml:space="preserve">26 </w:t>
      </w:r>
      <w:r w:rsidRPr="00191003">
        <w:t xml:space="preserve">1971: 513, </w:t>
      </w:r>
      <w:r>
        <w:t>F</w:t>
      </w:r>
      <w:r w:rsidRPr="00191003">
        <w:t xml:space="preserve">ig. 3, pl. 524 d; Tzedakis 1971: 216-222, </w:t>
      </w:r>
      <w:r>
        <w:t>F</w:t>
      </w:r>
      <w:r w:rsidRPr="00191003">
        <w:t>ig. 6; Godart</w:t>
      </w:r>
      <w:r>
        <w:t xml:space="preserve"> and</w:t>
      </w:r>
      <w:r w:rsidRPr="00191003">
        <w:t xml:space="preserve"> Tzedakis 1992: 85-94, pl. 122-124; Kanta 1980: 213-214)</w:t>
      </w:r>
    </w:p>
    <w:p w14:paraId="2BCA4333" w14:textId="75E15D64" w:rsidR="00D726B2" w:rsidRPr="00191003" w:rsidRDefault="00D726B2" w:rsidP="00370745">
      <w:pPr>
        <w:pStyle w:val="Paragrafoelenco"/>
        <w:numPr>
          <w:ilvl w:val="0"/>
          <w:numId w:val="112"/>
        </w:numPr>
        <w:suppressAutoHyphens/>
        <w:spacing w:after="160"/>
        <w:jc w:val="left"/>
      </w:pPr>
      <w:r w:rsidRPr="00191003">
        <w:t>267 Armenoi MR 1712 (</w:t>
      </w:r>
      <w:r w:rsidRPr="00733192">
        <w:rPr>
          <w:i/>
        </w:rPr>
        <w:t>ADelt</w:t>
      </w:r>
      <w:r>
        <w:t xml:space="preserve"> 26</w:t>
      </w:r>
      <w:r w:rsidRPr="00191003">
        <w:t xml:space="preserve"> 1971: 516 pl- 527 b-g; Tzedakis 1971: 216-222 </w:t>
      </w:r>
      <w:r>
        <w:t>F</w:t>
      </w:r>
      <w:r w:rsidRPr="00191003">
        <w:t>ig. 5; Godart</w:t>
      </w:r>
      <w:r w:rsidR="0003356E">
        <w:t xml:space="preserve"> and</w:t>
      </w:r>
      <w:r w:rsidRPr="00191003">
        <w:t xml:space="preserve"> Tzedakis 1992: 85-94, pl. 129-120 1-2; Kanta 1980: 213-214)</w:t>
      </w:r>
    </w:p>
    <w:p w14:paraId="0980D7FE" w14:textId="77777777" w:rsidR="00D726B2" w:rsidRPr="00191003" w:rsidRDefault="00D726B2" w:rsidP="00370745">
      <w:pPr>
        <w:pStyle w:val="Paragrafoelenco"/>
        <w:numPr>
          <w:ilvl w:val="0"/>
          <w:numId w:val="112"/>
        </w:numPr>
        <w:suppressAutoHyphens/>
        <w:spacing w:after="160"/>
      </w:pPr>
      <w:r w:rsidRPr="00191003">
        <w:t>384 Dramia MC 1187 (described in Kanta 1980: 237)</w:t>
      </w:r>
    </w:p>
    <w:p w14:paraId="2EEAE44C" w14:textId="77777777" w:rsidR="00D726B2" w:rsidRPr="00191003" w:rsidRDefault="00D726B2" w:rsidP="00E858EF">
      <w:pPr>
        <w:suppressAutoHyphens/>
      </w:pPr>
      <w:r>
        <w:t>T</w:t>
      </w:r>
      <w:r w:rsidRPr="00191003">
        <w:t xml:space="preserve">hese three items </w:t>
      </w:r>
      <w:r>
        <w:t>found in two cemeteries in the Mid-West</w:t>
      </w:r>
      <w:r w:rsidRPr="00191003">
        <w:t xml:space="preserve"> area (Armenoi and Dramia) </w:t>
      </w:r>
      <w:r>
        <w:t>are</w:t>
      </w:r>
      <w:r w:rsidRPr="00191003">
        <w:t xml:space="preserve"> the only sample</w:t>
      </w:r>
      <w:r>
        <w:t>s</w:t>
      </w:r>
      <w:r w:rsidRPr="00191003">
        <w:t xml:space="preserve"> </w:t>
      </w:r>
      <w:r>
        <w:t>on which polychrome decoration</w:t>
      </w:r>
      <w:r w:rsidRPr="00191003">
        <w:t xml:space="preserve"> is securely attested and clearly</w:t>
      </w:r>
      <w:r>
        <w:t xml:space="preserve"> visible. From </w:t>
      </w:r>
      <w:r w:rsidRPr="00191003">
        <w:t>macroscopic exam</w:t>
      </w:r>
      <w:r>
        <w:t>ination,</w:t>
      </w:r>
      <w:r w:rsidRPr="00191003">
        <w:t xml:space="preserve"> it </w:t>
      </w:r>
      <w:r>
        <w:t>was</w:t>
      </w:r>
      <w:r w:rsidRPr="00191003">
        <w:t xml:space="preserve"> possible to </w:t>
      </w:r>
      <w:r>
        <w:t>observe</w:t>
      </w:r>
      <w:r w:rsidRPr="00191003">
        <w:t xml:space="preserve"> the following common features</w:t>
      </w:r>
      <w:r>
        <w:t xml:space="preserve"> on these three larnakes with polychrome decoration</w:t>
      </w:r>
      <w:r w:rsidRPr="00191003">
        <w:t>:</w:t>
      </w:r>
    </w:p>
    <w:p w14:paraId="0444F3DB" w14:textId="77777777" w:rsidR="00D726B2" w:rsidRPr="00191003" w:rsidRDefault="00D726B2" w:rsidP="00370745">
      <w:pPr>
        <w:pStyle w:val="Paragrafoelenco"/>
        <w:numPr>
          <w:ilvl w:val="0"/>
          <w:numId w:val="102"/>
        </w:numPr>
        <w:suppressAutoHyphens/>
        <w:spacing w:after="160"/>
      </w:pPr>
      <w:r>
        <w:t>T</w:t>
      </w:r>
      <w:r w:rsidRPr="00191003">
        <w:t>he decoration is applied above a thick white/cream slip</w:t>
      </w:r>
      <w:r>
        <w:t>.</w:t>
      </w:r>
      <w:r w:rsidRPr="00191003">
        <w:t xml:space="preserve"> </w:t>
      </w:r>
      <w:r>
        <w:t>M</w:t>
      </w:r>
      <w:r w:rsidRPr="00191003">
        <w:t xml:space="preserve">acroscopic analysis </w:t>
      </w:r>
      <w:r>
        <w:t xml:space="preserve">reveals that </w:t>
      </w:r>
      <w:r w:rsidRPr="00191003">
        <w:t>this type of slip se</w:t>
      </w:r>
      <w:r>
        <w:t>e</w:t>
      </w:r>
      <w:r w:rsidRPr="00191003">
        <w:t xml:space="preserve">ms different from the slip </w:t>
      </w:r>
      <w:r>
        <w:t>on</w:t>
      </w:r>
      <w:r w:rsidRPr="00191003">
        <w:t xml:space="preserve"> monochrome larnakes</w:t>
      </w:r>
      <w:r>
        <w:t>.</w:t>
      </w:r>
      <w:r w:rsidRPr="00191003">
        <w:t xml:space="preserve"> </w:t>
      </w:r>
      <w:r>
        <w:t>F</w:t>
      </w:r>
      <w:r w:rsidRPr="00191003">
        <w:t>urthermore</w:t>
      </w:r>
      <w:r>
        <w:t>,</w:t>
      </w:r>
      <w:r w:rsidRPr="00191003">
        <w:t xml:space="preserve"> it seems the slip and</w:t>
      </w:r>
      <w:r>
        <w:t>,</w:t>
      </w:r>
      <w:r w:rsidRPr="00191003">
        <w:t xml:space="preserve"> therefore</w:t>
      </w:r>
      <w:r>
        <w:t>,</w:t>
      </w:r>
      <w:r w:rsidRPr="00191003">
        <w:t xml:space="preserve"> also the decoration on it</w:t>
      </w:r>
      <w:r>
        <w:t>,</w:t>
      </w:r>
      <w:r w:rsidRPr="00191003">
        <w:t xml:space="preserve"> tend </w:t>
      </w:r>
      <w:r>
        <w:t xml:space="preserve">to peel </w:t>
      </w:r>
      <w:r w:rsidRPr="00191003">
        <w:t>away</w:t>
      </w:r>
      <w:r>
        <w:t xml:space="preserve"> easily</w:t>
      </w:r>
      <w:r w:rsidRPr="00191003">
        <w:t xml:space="preserve"> from the clay surface (this is particularly visible </w:t>
      </w:r>
      <w:r>
        <w:t>o</w:t>
      </w:r>
      <w:r w:rsidRPr="00191003">
        <w:t xml:space="preserve">n the larnax from Dramia, where the decoration is </w:t>
      </w:r>
      <w:r>
        <w:t>badly</w:t>
      </w:r>
      <w:r w:rsidRPr="00191003">
        <w:t xml:space="preserve"> damaged, mainly </w:t>
      </w:r>
      <w:r>
        <w:t xml:space="preserve">for </w:t>
      </w:r>
      <w:r w:rsidRPr="00191003">
        <w:t xml:space="preserve">this reason). These features </w:t>
      </w:r>
      <w:r>
        <w:t>can</w:t>
      </w:r>
      <w:r w:rsidRPr="00191003">
        <w:t xml:space="preserve"> </w:t>
      </w:r>
      <w:r>
        <w:t>be</w:t>
      </w:r>
      <w:r w:rsidRPr="00191003">
        <w:t xml:space="preserve"> compar</w:t>
      </w:r>
      <w:r>
        <w:t>ed</w:t>
      </w:r>
      <w:r w:rsidRPr="00191003">
        <w:t xml:space="preserve"> </w:t>
      </w:r>
      <w:r>
        <w:t>to</w:t>
      </w:r>
      <w:r w:rsidRPr="00191003">
        <w:t xml:space="preserve"> what happen</w:t>
      </w:r>
      <w:r>
        <w:t>s</w:t>
      </w:r>
      <w:r w:rsidRPr="00191003">
        <w:t xml:space="preserve"> with frescoes</w:t>
      </w:r>
      <w:r>
        <w:t>: is ‘</w:t>
      </w:r>
      <w:r w:rsidRPr="00191003">
        <w:t>similar</w:t>
      </w:r>
      <w:r>
        <w:t>’</w:t>
      </w:r>
      <w:r w:rsidRPr="00191003">
        <w:t xml:space="preserve"> to plaster and used in the same way</w:t>
      </w:r>
      <w:r>
        <w:t>.</w:t>
      </w:r>
    </w:p>
    <w:p w14:paraId="644BCD88" w14:textId="77777777" w:rsidR="00D726B2" w:rsidRPr="00191003" w:rsidRDefault="00D726B2" w:rsidP="00370745">
      <w:pPr>
        <w:pStyle w:val="Paragrafoelenco"/>
        <w:numPr>
          <w:ilvl w:val="0"/>
          <w:numId w:val="102"/>
        </w:numPr>
        <w:suppressAutoHyphens/>
        <w:spacing w:after="160"/>
      </w:pPr>
      <w:r>
        <w:t>T</w:t>
      </w:r>
      <w:r w:rsidRPr="00191003">
        <w:t xml:space="preserve">he polychrome decoration consists </w:t>
      </w:r>
      <w:r>
        <w:t>of</w:t>
      </w:r>
      <w:r w:rsidRPr="00191003">
        <w:t xml:space="preserve"> an over</w:t>
      </w:r>
      <w:r>
        <w:t>-</w:t>
      </w:r>
      <w:r w:rsidRPr="00191003">
        <w:t xml:space="preserve">painted </w:t>
      </w:r>
      <w:r>
        <w:t>line used to outline</w:t>
      </w:r>
      <w:r w:rsidRPr="00191003">
        <w:t xml:space="preserve"> the silhouette of the painted decorative </w:t>
      </w:r>
      <w:r>
        <w:t>motif</w:t>
      </w:r>
      <w:r w:rsidRPr="00191003">
        <w:t xml:space="preserve">s (grey/green or whitish) on an orange/reddish decoration. </w:t>
      </w:r>
    </w:p>
    <w:p w14:paraId="4B18C45B" w14:textId="77777777" w:rsidR="00D726B2" w:rsidRPr="00191003" w:rsidRDefault="00D726B2" w:rsidP="00E858EF">
      <w:pPr>
        <w:suppressAutoHyphens/>
      </w:pPr>
    </w:p>
    <w:p w14:paraId="1031AAC2" w14:textId="77777777" w:rsidR="00D726B2" w:rsidRPr="00191003" w:rsidRDefault="00D726B2" w:rsidP="00E858EF">
      <w:pPr>
        <w:suppressAutoHyphens/>
      </w:pPr>
      <w:r w:rsidRPr="00191003">
        <w:rPr>
          <w:noProof/>
          <w:lang w:val="it-IT"/>
        </w:rPr>
        <w:drawing>
          <wp:inline distT="0" distB="0" distL="0" distR="0" wp14:anchorId="36FA33F9" wp14:editId="64A52C64">
            <wp:extent cx="4680000" cy="2520000"/>
            <wp:effectExtent l="0" t="0" r="6350" b="13970"/>
            <wp:docPr id="189" name="Gra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14:paraId="5C7083D4" w14:textId="22FF4A82" w:rsidR="00D726B2" w:rsidRPr="00BE799A" w:rsidRDefault="00D726B2" w:rsidP="00E858EF">
      <w:pPr>
        <w:pStyle w:val="Didascalia"/>
        <w:suppressAutoHyphens/>
      </w:pPr>
      <w:bookmarkStart w:id="1065" w:name="_Toc520212462"/>
      <w:r w:rsidRPr="00BE799A">
        <w:t>Fig</w:t>
      </w:r>
      <w:r>
        <w:t>ure 5-69</w:t>
      </w:r>
      <w:r w:rsidR="00691FA8">
        <w:t>.</w:t>
      </w:r>
      <w:r>
        <w:t xml:space="preserve"> Decoration occurrence in Mid-West</w:t>
      </w:r>
      <w:r w:rsidR="006934A7">
        <w:t xml:space="preserve"> area</w:t>
      </w:r>
      <w:r>
        <w:t xml:space="preserve"> larnakes</w:t>
      </w:r>
      <w:bookmarkEnd w:id="1065"/>
    </w:p>
    <w:p w14:paraId="637E546C" w14:textId="77777777" w:rsidR="00D726B2" w:rsidRPr="00191003" w:rsidRDefault="00D726B2" w:rsidP="00E858EF">
      <w:pPr>
        <w:suppressAutoHyphens/>
      </w:pPr>
    </w:p>
    <w:p w14:paraId="0079AF78" w14:textId="77777777" w:rsidR="00D726B2" w:rsidRPr="00191003" w:rsidRDefault="00D726B2" w:rsidP="00E858EF">
      <w:pPr>
        <w:pStyle w:val="Titolo4"/>
        <w:keepNext w:val="0"/>
        <w:keepLines w:val="0"/>
        <w:suppressAutoHyphens/>
      </w:pPr>
      <w:bookmarkStart w:id="1066" w:name="_Toc517807588"/>
      <w:r>
        <w:t>Is it</w:t>
      </w:r>
      <w:r w:rsidRPr="00191003">
        <w:t xml:space="preserve"> possible to </w:t>
      </w:r>
      <w:r>
        <w:t xml:space="preserve">note </w:t>
      </w:r>
      <w:r w:rsidRPr="00191003">
        <w:t xml:space="preserve">the presence of </w:t>
      </w:r>
      <w:r>
        <w:t>‘</w:t>
      </w:r>
      <w:r w:rsidRPr="00191003">
        <w:t xml:space="preserve">peculiar </w:t>
      </w:r>
      <w:r>
        <w:t>motif</w:t>
      </w:r>
      <w:r w:rsidRPr="00191003">
        <w:t>s</w:t>
      </w:r>
      <w:r>
        <w:t>’</w:t>
      </w:r>
      <w:r w:rsidRPr="00191003">
        <w:t xml:space="preserve"> with </w:t>
      </w:r>
      <w:r>
        <w:t>little</w:t>
      </w:r>
      <w:r w:rsidRPr="00191003">
        <w:t xml:space="preserve"> or no comparison </w:t>
      </w:r>
      <w:r>
        <w:t>to</w:t>
      </w:r>
      <w:r w:rsidRPr="00191003">
        <w:t xml:space="preserve"> </w:t>
      </w:r>
      <w:r>
        <w:t xml:space="preserve">the </w:t>
      </w:r>
      <w:r w:rsidRPr="00191003">
        <w:t>pottery repertoire?</w:t>
      </w:r>
      <w:bookmarkEnd w:id="1066"/>
    </w:p>
    <w:p w14:paraId="574D4836" w14:textId="77777777" w:rsidR="00D726B2" w:rsidRPr="00191003" w:rsidRDefault="00D726B2" w:rsidP="00E858EF">
      <w:pPr>
        <w:suppressAutoHyphens/>
      </w:pPr>
      <w:r>
        <w:t>Regarding</w:t>
      </w:r>
      <w:r w:rsidRPr="00191003">
        <w:t xml:space="preserve"> the </w:t>
      </w:r>
      <w:r>
        <w:t>motif</w:t>
      </w:r>
      <w:r w:rsidRPr="00191003">
        <w:t>s r</w:t>
      </w:r>
      <w:r>
        <w:t xml:space="preserve">ecorded </w:t>
      </w:r>
      <w:r w:rsidRPr="00191003">
        <w:t xml:space="preserve">within the sample, six larnakes distributed </w:t>
      </w:r>
      <w:r>
        <w:t>among</w:t>
      </w:r>
      <w:r w:rsidRPr="00191003">
        <w:t xml:space="preserve"> the cemeteries of Armenoi, Maroulas and Pigi </w:t>
      </w:r>
      <w:r>
        <w:t>bear</w:t>
      </w:r>
      <w:r w:rsidRPr="00191003">
        <w:t xml:space="preserve"> peculiar </w:t>
      </w:r>
      <w:r>
        <w:t>motif</w:t>
      </w:r>
      <w:r w:rsidRPr="00191003">
        <w:t>s and</w:t>
      </w:r>
      <w:r>
        <w:t>,</w:t>
      </w:r>
      <w:r w:rsidRPr="00191003">
        <w:t xml:space="preserve"> in some cases</w:t>
      </w:r>
      <w:r>
        <w:t>,</w:t>
      </w:r>
      <w:r w:rsidRPr="00191003">
        <w:t xml:space="preserve"> themes. </w:t>
      </w:r>
      <w:r>
        <w:t>T</w:t>
      </w:r>
      <w:r w:rsidRPr="00191003">
        <w:t xml:space="preserve">hese three cemeteries </w:t>
      </w:r>
      <w:r>
        <w:t>contain</w:t>
      </w:r>
      <w:r w:rsidRPr="00191003">
        <w:t xml:space="preserve"> the highest concentration of</w:t>
      </w:r>
      <w:r>
        <w:t xml:space="preserve"> decorated larnakes within the Mid-West</w:t>
      </w:r>
      <w:r w:rsidRPr="00191003">
        <w:t xml:space="preserve"> area (65% of the total number of secure decorated larnakes). A list of the unique/peculiar </w:t>
      </w:r>
      <w:r>
        <w:t>motif</w:t>
      </w:r>
      <w:r w:rsidRPr="00191003">
        <w:t xml:space="preserve">s per larnax </w:t>
      </w:r>
      <w:r>
        <w:t>follows</w:t>
      </w:r>
      <w:r w:rsidRPr="00191003">
        <w:t>:</w:t>
      </w:r>
    </w:p>
    <w:p w14:paraId="4AD8339B" w14:textId="06251E1D" w:rsidR="00D726B2" w:rsidRPr="00191003" w:rsidRDefault="00D726B2" w:rsidP="00E858EF">
      <w:pPr>
        <w:pStyle w:val="Paragrafoelenco"/>
        <w:numPr>
          <w:ilvl w:val="0"/>
          <w:numId w:val="81"/>
        </w:numPr>
        <w:suppressAutoHyphens/>
        <w:spacing w:after="160"/>
        <w:rPr>
          <w:b/>
        </w:rPr>
      </w:pPr>
      <w:r w:rsidRPr="00191003">
        <w:rPr>
          <w:b/>
        </w:rPr>
        <w:t>265 Armenoi MR 1707 (</w:t>
      </w:r>
      <w:r>
        <w:rPr>
          <w:b/>
        </w:rPr>
        <w:t>T</w:t>
      </w:r>
      <w:r w:rsidRPr="00191003">
        <w:rPr>
          <w:b/>
        </w:rPr>
        <w:t xml:space="preserve">omb 11) </w:t>
      </w:r>
      <w:r w:rsidRPr="00800234">
        <w:t>(all on one long side)</w:t>
      </w:r>
      <w:r>
        <w:t xml:space="preserve"> (</w:t>
      </w:r>
      <w:r w:rsidRPr="00733192">
        <w:rPr>
          <w:i/>
        </w:rPr>
        <w:t>ADelt</w:t>
      </w:r>
      <w:r w:rsidRPr="00B67F51">
        <w:t xml:space="preserve"> 1971: 513; Tzedakis 1971: 216-222, fig. 4; Godart</w:t>
      </w:r>
      <w:r>
        <w:t xml:space="preserve"> and</w:t>
      </w:r>
      <w:r w:rsidRPr="00B67F51">
        <w:t xml:space="preserve"> Tzedakis 1992: 85-94, pl. 125-126.1; </w:t>
      </w:r>
      <w:r w:rsidRPr="00733192">
        <w:rPr>
          <w:i/>
        </w:rPr>
        <w:t>BCH</w:t>
      </w:r>
      <w:r>
        <w:t xml:space="preserve"> 96 1972: 811 fig. 510,</w:t>
      </w:r>
      <w:r w:rsidRPr="00B67F51">
        <w:t xml:space="preserve"> 512; Long 1974: 24, 36, 4</w:t>
      </w:r>
      <w:r>
        <w:t xml:space="preserve">0, 56, 61 fig. 40; Hiller 1977: </w:t>
      </w:r>
      <w:r w:rsidRPr="00B67F51">
        <w:t>202 pl. 22 g; Betancourt 1985: pl. 27b;</w:t>
      </w:r>
      <w:r>
        <w:t xml:space="preserve"> </w:t>
      </w:r>
      <w:r w:rsidRPr="00B67F51">
        <w:t xml:space="preserve">Watrous 1991: 300, pl. 92 a, b, e; Tzedakis </w:t>
      </w:r>
      <w:r>
        <w:t xml:space="preserve">and </w:t>
      </w:r>
      <w:r w:rsidRPr="00B67F51">
        <w:t>Martlew 2007: 67-73 fig. 8.3; Spiliotopoulou 20</w:t>
      </w:r>
      <w:r>
        <w:t>10</w:t>
      </w:r>
      <w:r w:rsidRPr="00B67F51">
        <w:t>: 57 pl. 7 n. 43; Tzedakis</w:t>
      </w:r>
      <w:r w:rsidR="00C86E5C">
        <w:t xml:space="preserve"> and</w:t>
      </w:r>
      <w:r w:rsidRPr="00B67F51">
        <w:t xml:space="preserve"> Martlew 2012: 239-245, fig. 26.5;</w:t>
      </w:r>
      <w:r>
        <w:t>):</w:t>
      </w:r>
    </w:p>
    <w:p w14:paraId="6340AD81" w14:textId="77777777" w:rsidR="00D726B2" w:rsidRPr="00191003" w:rsidRDefault="00D726B2" w:rsidP="00E858EF">
      <w:pPr>
        <w:pStyle w:val="Paragrafoelenco"/>
        <w:numPr>
          <w:ilvl w:val="0"/>
          <w:numId w:val="77"/>
        </w:numPr>
        <w:suppressAutoHyphens/>
        <w:spacing w:after="160"/>
      </w:pPr>
      <w:r w:rsidRPr="00191003">
        <w:t xml:space="preserve">Unidentified objects: two out of the three human figures in the hunting scene on one of the long sides are holding objects; the man in </w:t>
      </w:r>
      <w:r>
        <w:t xml:space="preserve">the </w:t>
      </w:r>
      <w:r w:rsidRPr="00191003">
        <w:t>horizontal position on the upper left side of the panel is holding/</w:t>
      </w:r>
      <w:r>
        <w:t>throwing i</w:t>
      </w:r>
      <w:r w:rsidRPr="00191003">
        <w:t>n both hands two nets (</w:t>
      </w:r>
      <w:r>
        <w:t>not sure it is a net</w:t>
      </w:r>
      <w:r w:rsidRPr="00191003">
        <w:t>?); the other human figure</w:t>
      </w:r>
      <w:r>
        <w:t>,</w:t>
      </w:r>
      <w:r w:rsidRPr="00191003">
        <w:t xml:space="preserve"> in </w:t>
      </w:r>
      <w:r>
        <w:t xml:space="preserve">a </w:t>
      </w:r>
      <w:r w:rsidRPr="00191003">
        <w:t>standing position is holding another object across the nearby bull’s head</w:t>
      </w:r>
      <w:r>
        <w:t>,</w:t>
      </w:r>
      <w:r w:rsidRPr="00191003">
        <w:t xml:space="preserve"> interpreted by Watrous </w:t>
      </w:r>
      <w:r>
        <w:t xml:space="preserve">(1991: 300) </w:t>
      </w:r>
      <w:r w:rsidRPr="00191003">
        <w:t xml:space="preserve">as a noose, but which could be interpreted as a sword, as in the case of </w:t>
      </w:r>
      <w:r>
        <w:t>a</w:t>
      </w:r>
      <w:r w:rsidRPr="00191003">
        <w:t xml:space="preserve"> very similar </w:t>
      </w:r>
      <w:r>
        <w:t>image</w:t>
      </w:r>
      <w:r w:rsidRPr="00191003">
        <w:t xml:space="preserve"> on </w:t>
      </w:r>
      <w:r>
        <w:t>the</w:t>
      </w:r>
      <w:r w:rsidRPr="00191003">
        <w:t xml:space="preserve"> short side o</w:t>
      </w:r>
      <w:r>
        <w:t>f</w:t>
      </w:r>
      <w:r w:rsidRPr="00191003">
        <w:t xml:space="preserve"> a larnax from Maroulas MR 2383 (Kanta 1973: 318, 322)</w:t>
      </w:r>
      <w:r>
        <w:t>.</w:t>
      </w:r>
    </w:p>
    <w:p w14:paraId="434D12CB" w14:textId="77777777" w:rsidR="00D726B2" w:rsidRPr="00191003" w:rsidRDefault="00D726B2" w:rsidP="00E858EF">
      <w:pPr>
        <w:pStyle w:val="Paragrafoelenco"/>
        <w:numPr>
          <w:ilvl w:val="0"/>
          <w:numId w:val="77"/>
        </w:numPr>
        <w:suppressAutoHyphens/>
        <w:spacing w:after="160"/>
      </w:pPr>
      <w:r w:rsidRPr="00191003">
        <w:t xml:space="preserve">Arrows: arrows </w:t>
      </w:r>
      <w:r>
        <w:t>are drawn</w:t>
      </w:r>
      <w:r w:rsidRPr="00191003">
        <w:t xml:space="preserve"> above the </w:t>
      </w:r>
      <w:r>
        <w:t>bull’</w:t>
      </w:r>
      <w:r w:rsidRPr="00191003">
        <w:t>s back</w:t>
      </w:r>
      <w:r>
        <w:t>.</w:t>
      </w:r>
    </w:p>
    <w:p w14:paraId="7ED6C2EB" w14:textId="77777777" w:rsidR="00D726B2" w:rsidRPr="00191003" w:rsidRDefault="00D726B2" w:rsidP="00E858EF">
      <w:pPr>
        <w:pStyle w:val="Paragrafoelenco"/>
        <w:numPr>
          <w:ilvl w:val="0"/>
          <w:numId w:val="77"/>
        </w:numPr>
        <w:suppressAutoHyphens/>
        <w:spacing w:after="160"/>
      </w:pPr>
      <w:r w:rsidRPr="00191003">
        <w:t xml:space="preserve">Suckling </w:t>
      </w:r>
      <w:r>
        <w:t>calf</w:t>
      </w:r>
      <w:r w:rsidRPr="00191003">
        <w:t xml:space="preserve"> and </w:t>
      </w:r>
      <w:r>
        <w:t>large</w:t>
      </w:r>
      <w:r w:rsidRPr="00191003">
        <w:t xml:space="preserve"> cow</w:t>
      </w:r>
      <w:r>
        <w:t>.</w:t>
      </w:r>
    </w:p>
    <w:p w14:paraId="1000B506" w14:textId="77777777" w:rsidR="00D726B2" w:rsidRPr="00191003" w:rsidRDefault="00D726B2" w:rsidP="00E858EF">
      <w:pPr>
        <w:pStyle w:val="Paragrafoelenco"/>
        <w:suppressAutoHyphens/>
      </w:pPr>
      <w:r w:rsidRPr="00191003">
        <w:t xml:space="preserve">The </w:t>
      </w:r>
      <w:r>
        <w:t>hunting scene</w:t>
      </w:r>
      <w:r w:rsidRPr="00191003">
        <w:t xml:space="preserve"> in th</w:t>
      </w:r>
      <w:r>
        <w:t>e</w:t>
      </w:r>
      <w:r w:rsidRPr="00191003">
        <w:t xml:space="preserve"> panel is not common in </w:t>
      </w:r>
      <w:r>
        <w:t xml:space="preserve">the </w:t>
      </w:r>
      <w:r w:rsidRPr="00191003">
        <w:t xml:space="preserve">pottery repertoire. All the figures (human and animal) are rendered in a very stylised way and the same is true for the </w:t>
      </w:r>
      <w:r>
        <w:t>motif</w:t>
      </w:r>
      <w:r w:rsidRPr="00191003">
        <w:t>s</w:t>
      </w:r>
      <w:r>
        <w:t>,</w:t>
      </w:r>
      <w:r w:rsidRPr="00191003">
        <w:t xml:space="preserve"> which probably are used to </w:t>
      </w:r>
      <w:r>
        <w:t>set the</w:t>
      </w:r>
      <w:r w:rsidRPr="00191003">
        <w:t xml:space="preserve"> scene (branch</w:t>
      </w:r>
      <w:r>
        <w:t>,</w:t>
      </w:r>
      <w:r w:rsidRPr="00191003">
        <w:t xml:space="preserve"> wavy line</w:t>
      </w:r>
      <w:r>
        <w:t>,</w:t>
      </w:r>
      <w:r w:rsidRPr="00191003">
        <w:t xml:space="preserve"> rock pattern</w:t>
      </w:r>
      <w:r>
        <w:t>,</w:t>
      </w:r>
      <w:r w:rsidRPr="00191003">
        <w:t xml:space="preserve"> multiple stem tongue pattern) (</w:t>
      </w:r>
      <w:r>
        <w:t>f</w:t>
      </w:r>
      <w:r w:rsidRPr="00191003">
        <w:t xml:space="preserve">or comments on </w:t>
      </w:r>
      <w:r>
        <w:t xml:space="preserve">the </w:t>
      </w:r>
      <w:r w:rsidRPr="00191003">
        <w:t>hunting scene in this specific larna</w:t>
      </w:r>
      <w:r>
        <w:t>x</w:t>
      </w:r>
      <w:r w:rsidRPr="00191003">
        <w:t xml:space="preserve"> and </w:t>
      </w:r>
      <w:r>
        <w:t xml:space="preserve">a </w:t>
      </w:r>
      <w:r w:rsidRPr="00191003">
        <w:t>comparison with other larnakes</w:t>
      </w:r>
      <w:r>
        <w:t>, see</w:t>
      </w:r>
      <w:r w:rsidRPr="00191003">
        <w:t xml:space="preserve"> Watrous 1991</w:t>
      </w:r>
      <w:r>
        <w:t>:</w:t>
      </w:r>
      <w:r w:rsidRPr="00191003">
        <w:t xml:space="preserve"> 300;</w:t>
      </w:r>
      <w:r>
        <w:t xml:space="preserve"> and</w:t>
      </w:r>
      <w:r w:rsidRPr="00191003">
        <w:t xml:space="preserve"> Benzi 1997: 223-226)</w:t>
      </w:r>
      <w:r>
        <w:t>.</w:t>
      </w:r>
    </w:p>
    <w:p w14:paraId="062D6034" w14:textId="77777777" w:rsidR="00D726B2" w:rsidRPr="00191003" w:rsidRDefault="00D726B2" w:rsidP="00E858EF">
      <w:pPr>
        <w:pStyle w:val="Paragrafoelenco"/>
        <w:suppressAutoHyphens/>
      </w:pPr>
    </w:p>
    <w:p w14:paraId="15D06723" w14:textId="77777777" w:rsidR="00D726B2" w:rsidRPr="00E7753F" w:rsidRDefault="00D726B2" w:rsidP="00E858EF">
      <w:pPr>
        <w:pStyle w:val="Paragrafoelenco"/>
        <w:numPr>
          <w:ilvl w:val="0"/>
          <w:numId w:val="81"/>
        </w:numPr>
        <w:suppressAutoHyphens/>
        <w:spacing w:after="160"/>
      </w:pPr>
      <w:r w:rsidRPr="00191003">
        <w:rPr>
          <w:b/>
        </w:rPr>
        <w:t xml:space="preserve">267 Armenoi MR 1712 </w:t>
      </w:r>
      <w:r w:rsidRPr="00E7753F">
        <w:t>(left panel long side)</w:t>
      </w:r>
      <w:r>
        <w:t xml:space="preserve"> </w:t>
      </w:r>
      <w:r w:rsidRPr="00733192">
        <w:rPr>
          <w:i/>
        </w:rPr>
        <w:t>ADelt</w:t>
      </w:r>
      <w:r>
        <w:t xml:space="preserve"> 1971: 516, pl</w:t>
      </w:r>
      <w:r w:rsidRPr="0030707D">
        <w:t xml:space="preserve"> 527 b-g; Tzedaki</w:t>
      </w:r>
      <w:r>
        <w:t xml:space="preserve">s 1971: 216-222 fig. 5; </w:t>
      </w:r>
      <w:r w:rsidRPr="00733192">
        <w:rPr>
          <w:i/>
        </w:rPr>
        <w:t>BCH</w:t>
      </w:r>
      <w:r w:rsidRPr="0030707D">
        <w:t xml:space="preserve"> 96 1972: 805 fig. 511; Godart </w:t>
      </w:r>
      <w:r>
        <w:t xml:space="preserve">and </w:t>
      </w:r>
      <w:r w:rsidRPr="0030707D">
        <w:t>Tzedakis 1992: 85-94, pl. 129</w:t>
      </w:r>
      <w:r>
        <w:t xml:space="preserve">-120 1-2; </w:t>
      </w:r>
      <w:r w:rsidRPr="0030707D">
        <w:t>Tzedakis</w:t>
      </w:r>
      <w:r>
        <w:t xml:space="preserve"> and</w:t>
      </w:r>
      <w:r w:rsidRPr="0030707D">
        <w:t xml:space="preserve"> Martlew 2012: 239-245, fig. 26.4</w:t>
      </w:r>
      <w:r>
        <w:t>):</w:t>
      </w:r>
    </w:p>
    <w:p w14:paraId="77115EB0" w14:textId="77777777" w:rsidR="00D726B2" w:rsidRPr="00191003" w:rsidRDefault="00D726B2" w:rsidP="00E858EF">
      <w:pPr>
        <w:pStyle w:val="Paragrafoelenco"/>
        <w:numPr>
          <w:ilvl w:val="0"/>
          <w:numId w:val="82"/>
        </w:numPr>
        <w:suppressAutoHyphens/>
        <w:spacing w:after="160"/>
        <w:rPr>
          <w:b/>
        </w:rPr>
      </w:pPr>
      <w:r w:rsidRPr="00191003">
        <w:t xml:space="preserve">Unidentified animal: </w:t>
      </w:r>
      <w:r>
        <w:t>a</w:t>
      </w:r>
      <w:r w:rsidRPr="00191003">
        <w:t xml:space="preserve"> human figure holding a leashed animal (probably a dog) </w:t>
      </w:r>
      <w:r>
        <w:t>i</w:t>
      </w:r>
      <w:r w:rsidRPr="00191003">
        <w:t>n one hand</w:t>
      </w:r>
      <w:r>
        <w:t>.</w:t>
      </w:r>
      <w:r w:rsidRPr="00191003">
        <w:t xml:space="preserve"> </w:t>
      </w:r>
    </w:p>
    <w:p w14:paraId="706A6FE2" w14:textId="77777777" w:rsidR="00D726B2" w:rsidRPr="00191003" w:rsidRDefault="00D726B2" w:rsidP="00E858EF">
      <w:pPr>
        <w:pStyle w:val="Paragrafoelenco"/>
        <w:numPr>
          <w:ilvl w:val="0"/>
          <w:numId w:val="82"/>
        </w:numPr>
        <w:suppressAutoHyphens/>
        <w:spacing w:after="160"/>
        <w:rPr>
          <w:b/>
        </w:rPr>
      </w:pPr>
      <w:r w:rsidRPr="00191003">
        <w:t>Arrow: the same human figure</w:t>
      </w:r>
      <w:r>
        <w:t>,</w:t>
      </w:r>
      <w:r w:rsidRPr="00191003">
        <w:t xml:space="preserve"> </w:t>
      </w:r>
      <w:r>
        <w:t>i</w:t>
      </w:r>
      <w:r w:rsidRPr="00191003">
        <w:t>n the other hand</w:t>
      </w:r>
      <w:r>
        <w:t>,</w:t>
      </w:r>
      <w:r w:rsidRPr="00191003">
        <w:t xml:space="preserve"> carries an arrow/spear (used against the stag)</w:t>
      </w:r>
      <w:r>
        <w:t>.</w:t>
      </w:r>
    </w:p>
    <w:p w14:paraId="3E532B4F" w14:textId="77777777" w:rsidR="00D726B2" w:rsidRPr="00191003" w:rsidRDefault="00D726B2" w:rsidP="00E858EF">
      <w:pPr>
        <w:pStyle w:val="Paragrafoelenco"/>
        <w:numPr>
          <w:ilvl w:val="0"/>
          <w:numId w:val="82"/>
        </w:numPr>
        <w:suppressAutoHyphens/>
        <w:spacing w:after="160"/>
        <w:rPr>
          <w:b/>
        </w:rPr>
      </w:pPr>
      <w:r w:rsidRPr="00191003">
        <w:t>Sword: the human figure is wearing a sword on one side</w:t>
      </w:r>
      <w:r>
        <w:t>.</w:t>
      </w:r>
    </w:p>
    <w:p w14:paraId="17B1596E" w14:textId="77777777" w:rsidR="00D726B2" w:rsidRPr="00191003" w:rsidRDefault="00D726B2" w:rsidP="00E858EF">
      <w:pPr>
        <w:pStyle w:val="Paragrafoelenco"/>
        <w:suppressAutoHyphens/>
      </w:pPr>
      <w:r w:rsidRPr="00191003">
        <w:t>The scene on the left end panel of one of the two long side</w:t>
      </w:r>
      <w:r>
        <w:t>s</w:t>
      </w:r>
      <w:r w:rsidRPr="00191003">
        <w:t xml:space="preserve"> of this larnax </w:t>
      </w:r>
      <w:r>
        <w:t>is</w:t>
      </w:r>
      <w:r w:rsidRPr="00191003">
        <w:t xml:space="preserve"> a hunting scene. The main </w:t>
      </w:r>
      <w:r>
        <w:t>motif</w:t>
      </w:r>
      <w:r w:rsidRPr="00191003">
        <w:t>s are the human figure</w:t>
      </w:r>
      <w:r>
        <w:t>,</w:t>
      </w:r>
      <w:r w:rsidRPr="00191003">
        <w:t xml:space="preserve"> the stag, the dog (?) accompanying the human figure</w:t>
      </w:r>
      <w:r>
        <w:t>,</w:t>
      </w:r>
      <w:r w:rsidRPr="00191003">
        <w:t xml:space="preserve"> and two weapons (arrow and sword). The other </w:t>
      </w:r>
      <w:r>
        <w:t>motif</w:t>
      </w:r>
      <w:r w:rsidRPr="00191003">
        <w:t>s identifiable (rock pattern on the left; argonaut on the lower bottom of the panel, and the scale/rock (?) pattern on the right</w:t>
      </w:r>
      <w:r>
        <w:t>-</w:t>
      </w:r>
      <w:r w:rsidRPr="00191003">
        <w:t xml:space="preserve">hand side of the panel) </w:t>
      </w:r>
      <w:r>
        <w:t>are</w:t>
      </w:r>
      <w:r w:rsidRPr="00191003">
        <w:t xml:space="preserve"> considered part of the </w:t>
      </w:r>
      <w:r>
        <w:t>‘</w:t>
      </w:r>
      <w:r w:rsidRPr="00191003">
        <w:t>setting</w:t>
      </w:r>
      <w:r>
        <w:t>’</w:t>
      </w:r>
      <w:r w:rsidRPr="00191003">
        <w:t>. Also</w:t>
      </w:r>
      <w:r>
        <w:t>,</w:t>
      </w:r>
      <w:r w:rsidRPr="00191003">
        <w:t xml:space="preserve"> the scene itself </w:t>
      </w:r>
      <w:r>
        <w:t>is</w:t>
      </w:r>
      <w:r w:rsidRPr="00191003">
        <w:t xml:space="preserve"> considered </w:t>
      </w:r>
      <w:r>
        <w:t xml:space="preserve">more </w:t>
      </w:r>
      <w:r w:rsidRPr="00191003">
        <w:t xml:space="preserve">peculiar than the </w:t>
      </w:r>
      <w:r>
        <w:t>individual</w:t>
      </w:r>
      <w:r w:rsidRPr="00191003">
        <w:t xml:space="preserve"> </w:t>
      </w:r>
      <w:r>
        <w:t>motif</w:t>
      </w:r>
      <w:r w:rsidRPr="00191003">
        <w:t>s (for further interpretation of the scene</w:t>
      </w:r>
      <w:r>
        <w:t>, see</w:t>
      </w:r>
      <w:r w:rsidRPr="00191003">
        <w:t xml:space="preserve"> Watrous 1991: 299)</w:t>
      </w:r>
      <w:r>
        <w:t>.</w:t>
      </w:r>
    </w:p>
    <w:p w14:paraId="09C0A1BD" w14:textId="77777777" w:rsidR="00D726B2" w:rsidRPr="00191003" w:rsidRDefault="00D726B2" w:rsidP="00E858EF">
      <w:pPr>
        <w:pStyle w:val="Paragrafoelenco"/>
        <w:suppressAutoHyphens/>
      </w:pPr>
    </w:p>
    <w:p w14:paraId="3E097BCB" w14:textId="5900E86B" w:rsidR="00D726B2" w:rsidRPr="00191003" w:rsidRDefault="00D726B2" w:rsidP="00E858EF">
      <w:pPr>
        <w:pStyle w:val="Paragrafoelenco"/>
        <w:numPr>
          <w:ilvl w:val="0"/>
          <w:numId w:val="81"/>
        </w:numPr>
        <w:suppressAutoHyphens/>
        <w:spacing w:after="160"/>
        <w:rPr>
          <w:b/>
        </w:rPr>
      </w:pPr>
      <w:r w:rsidRPr="00191003">
        <w:rPr>
          <w:b/>
        </w:rPr>
        <w:t xml:space="preserve">268 Armenoi 1706 </w:t>
      </w:r>
      <w:r w:rsidRPr="00191003">
        <w:t>(all on a short side) (Godart</w:t>
      </w:r>
      <w:r w:rsidR="00C86E5C">
        <w:t xml:space="preserve"> and</w:t>
      </w:r>
      <w:r w:rsidRPr="00191003">
        <w:t xml:space="preserve"> Tzedakis 1992: 85-94, pl. 126.2)</w:t>
      </w:r>
    </w:p>
    <w:p w14:paraId="0CDEF410" w14:textId="77777777" w:rsidR="00D726B2" w:rsidRPr="00191003" w:rsidRDefault="00D726B2" w:rsidP="00E858EF">
      <w:pPr>
        <w:pStyle w:val="Paragrafoelenco"/>
        <w:numPr>
          <w:ilvl w:val="0"/>
          <w:numId w:val="86"/>
        </w:numPr>
        <w:suppressAutoHyphens/>
        <w:spacing w:after="160"/>
        <w:rPr>
          <w:b/>
        </w:rPr>
      </w:pPr>
      <w:r w:rsidRPr="00191003">
        <w:t>Human figure with upraised arms</w:t>
      </w:r>
      <w:r>
        <w:t>.</w:t>
      </w:r>
    </w:p>
    <w:p w14:paraId="6045D111" w14:textId="77777777" w:rsidR="00D726B2" w:rsidRPr="00191003" w:rsidRDefault="00D726B2" w:rsidP="00E858EF">
      <w:pPr>
        <w:pStyle w:val="Paragrafoelenco"/>
        <w:numPr>
          <w:ilvl w:val="0"/>
          <w:numId w:val="83"/>
        </w:numPr>
        <w:suppressAutoHyphens/>
        <w:spacing w:after="160"/>
        <w:rPr>
          <w:b/>
        </w:rPr>
      </w:pPr>
      <w:r w:rsidRPr="00191003">
        <w:t>Unidentified structure rendered with chequers</w:t>
      </w:r>
      <w:r>
        <w:t>.</w:t>
      </w:r>
    </w:p>
    <w:p w14:paraId="71726F69" w14:textId="77777777" w:rsidR="00D726B2" w:rsidRPr="00191003" w:rsidRDefault="00D726B2" w:rsidP="00E858EF">
      <w:pPr>
        <w:pStyle w:val="Paragrafoelenco"/>
        <w:suppressAutoHyphens/>
        <w:rPr>
          <w:b/>
        </w:rPr>
      </w:pPr>
      <w:r w:rsidRPr="00191003">
        <w:t xml:space="preserve">On one of the short sides of this larnax from </w:t>
      </w:r>
      <w:r>
        <w:t>T</w:t>
      </w:r>
      <w:r w:rsidRPr="00191003">
        <w:t>omb 24</w:t>
      </w:r>
      <w:r>
        <w:t>,</w:t>
      </w:r>
      <w:r w:rsidRPr="00191003">
        <w:t xml:space="preserve"> a human figure wearing a long dress and with upraised arms </w:t>
      </w:r>
      <w:r>
        <w:t>appears</w:t>
      </w:r>
      <w:r w:rsidRPr="00191003">
        <w:t xml:space="preserve"> above a rectangular structure (rendered with</w:t>
      </w:r>
      <w:r>
        <w:t xml:space="preserve"> a</w:t>
      </w:r>
      <w:r w:rsidRPr="00191003">
        <w:t xml:space="preserve"> chequers motif</w:t>
      </w:r>
      <w:r>
        <w:t>,</w:t>
      </w:r>
      <w:r w:rsidRPr="00191003">
        <w:t xml:space="preserve"> </w:t>
      </w:r>
      <w:r>
        <w:t>perhaps</w:t>
      </w:r>
      <w:r w:rsidRPr="00191003">
        <w:t xml:space="preserve"> an altar)</w:t>
      </w:r>
      <w:r>
        <w:t>.</w:t>
      </w:r>
    </w:p>
    <w:p w14:paraId="4E29011C" w14:textId="77777777" w:rsidR="00D726B2" w:rsidRPr="00191003" w:rsidRDefault="00D726B2" w:rsidP="00E858EF">
      <w:pPr>
        <w:suppressAutoHyphens/>
      </w:pPr>
    </w:p>
    <w:p w14:paraId="161C73A7" w14:textId="77777777" w:rsidR="00D726B2" w:rsidRPr="00E7753F" w:rsidRDefault="00D726B2" w:rsidP="00E858EF">
      <w:pPr>
        <w:pStyle w:val="Paragrafoelenco"/>
        <w:numPr>
          <w:ilvl w:val="0"/>
          <w:numId w:val="81"/>
        </w:numPr>
        <w:suppressAutoHyphens/>
        <w:spacing w:after="160"/>
      </w:pPr>
      <w:r w:rsidRPr="00191003">
        <w:rPr>
          <w:b/>
        </w:rPr>
        <w:t xml:space="preserve">243 Maroulas MR 2383 </w:t>
      </w:r>
      <w:r w:rsidRPr="00E7753F">
        <w:t xml:space="preserve">(all </w:t>
      </w:r>
      <w:r>
        <w:t>o</w:t>
      </w:r>
      <w:r w:rsidRPr="00E7753F">
        <w:t>n one short side)</w:t>
      </w:r>
      <w:r>
        <w:t xml:space="preserve"> (</w:t>
      </w:r>
      <w:r w:rsidRPr="00733192">
        <w:rPr>
          <w:i/>
        </w:rPr>
        <w:t>ADelt</w:t>
      </w:r>
      <w:r>
        <w:t xml:space="preserve"> </w:t>
      </w:r>
      <w:r w:rsidRPr="00935483">
        <w:t xml:space="preserve">19 1964: 447; </w:t>
      </w:r>
      <w:r w:rsidRPr="00733192">
        <w:rPr>
          <w:i/>
        </w:rPr>
        <w:t>ADelt</w:t>
      </w:r>
      <w:r w:rsidRPr="00935483">
        <w:t xml:space="preserve"> 24 1969: 293; </w:t>
      </w:r>
      <w:r w:rsidRPr="00733192">
        <w:rPr>
          <w:i/>
        </w:rPr>
        <w:t>ADelt</w:t>
      </w:r>
      <w:r w:rsidRPr="00935483">
        <w:t xml:space="preserve"> 25 1970: 347 pl. 299; Michailidou P</w:t>
      </w:r>
      <w:r>
        <w:t xml:space="preserve">appa </w:t>
      </w:r>
      <w:r w:rsidRPr="00733192">
        <w:rPr>
          <w:i/>
        </w:rPr>
        <w:t>KChr</w:t>
      </w:r>
      <w:r>
        <w:t xml:space="preserve"> 24 1972: 358 ;  Kanta 1973</w:t>
      </w:r>
      <w:r w:rsidRPr="00935483">
        <w:t>: 315-323</w:t>
      </w:r>
      <w:r>
        <w:t>,</w:t>
      </w:r>
      <w:r w:rsidRPr="00935483">
        <w:t xml:space="preserve"> fig. 1-3; Kanta 1980: 214-215 fig. 102. 3-4; Godart</w:t>
      </w:r>
      <w:r>
        <w:t xml:space="preserve"> and</w:t>
      </w:r>
      <w:r w:rsidRPr="00935483">
        <w:t xml:space="preserve"> Tzedakis 1992: 95; Watrous 1991: 300 pl. 89 b</w:t>
      </w:r>
      <w:r>
        <w:t>;</w:t>
      </w:r>
      <w:r w:rsidRPr="00935483">
        <w:t xml:space="preserve"> Merousis 2000: 154 pl. 15 n. 118; Spiliotopoulou 20</w:t>
      </w:r>
      <w:r>
        <w:t>10</w:t>
      </w:r>
      <w:r w:rsidRPr="00935483">
        <w:t>: 49 pl. 2 n. 8 Langohr 2009: 151-152</w:t>
      </w:r>
      <w:r>
        <w:t>):</w:t>
      </w:r>
    </w:p>
    <w:p w14:paraId="5C8D9765" w14:textId="77777777" w:rsidR="00D726B2" w:rsidRPr="00191003" w:rsidRDefault="00D726B2" w:rsidP="00E858EF">
      <w:pPr>
        <w:pStyle w:val="Paragrafoelenco"/>
        <w:numPr>
          <w:ilvl w:val="0"/>
          <w:numId w:val="79"/>
        </w:numPr>
        <w:suppressAutoHyphens/>
        <w:spacing w:after="160"/>
      </w:pPr>
      <w:r w:rsidRPr="00191003">
        <w:t>Unidentified object: a man in a standing position is holding an object with his left hand</w:t>
      </w:r>
      <w:r>
        <w:t>,</w:t>
      </w:r>
      <w:r w:rsidRPr="00191003">
        <w:t xml:space="preserve"> interpreted as a sword by Kanta </w:t>
      </w:r>
      <w:r>
        <w:t>(</w:t>
      </w:r>
      <w:r w:rsidRPr="00191003">
        <w:t xml:space="preserve">1973: 318, 322) but which could be interpreted as a noose, as in the case of the very similar representation depicted on a long side of </w:t>
      </w:r>
      <w:r>
        <w:t>L</w:t>
      </w:r>
      <w:r w:rsidRPr="00191003">
        <w:t>arnax MR 1707 from Armenoi (Watrous 1991: 300)</w:t>
      </w:r>
      <w:r>
        <w:t>.</w:t>
      </w:r>
    </w:p>
    <w:p w14:paraId="3EF5F3B4" w14:textId="77777777" w:rsidR="00D726B2" w:rsidRPr="00191003" w:rsidRDefault="00D726B2" w:rsidP="00E858EF">
      <w:pPr>
        <w:pStyle w:val="Paragrafoelenco"/>
        <w:numPr>
          <w:ilvl w:val="0"/>
          <w:numId w:val="79"/>
        </w:numPr>
        <w:suppressAutoHyphens/>
        <w:spacing w:after="160"/>
      </w:pPr>
      <w:r w:rsidRPr="00191003">
        <w:t xml:space="preserve">Arrow: an arrow is above the </w:t>
      </w:r>
      <w:r>
        <w:t>bull’s</w:t>
      </w:r>
      <w:r w:rsidRPr="00191003">
        <w:t xml:space="preserve"> back</w:t>
      </w:r>
      <w:r>
        <w:t>.</w:t>
      </w:r>
    </w:p>
    <w:p w14:paraId="7C931D73" w14:textId="77777777" w:rsidR="00D726B2" w:rsidRPr="00191003" w:rsidRDefault="00D726B2" w:rsidP="00E858EF">
      <w:pPr>
        <w:pStyle w:val="Paragrafoelenco"/>
        <w:suppressAutoHyphens/>
      </w:pPr>
      <w:r w:rsidRPr="00191003">
        <w:t xml:space="preserve">The scene can be interpreted as a hunting scene. This representation </w:t>
      </w:r>
      <w:r>
        <w:t>is</w:t>
      </w:r>
      <w:r w:rsidRPr="00191003">
        <w:t xml:space="preserve"> an exact parallel with the hunting scene on the larnax from tomb Armenoi MR 1707. According to Kanta</w:t>
      </w:r>
      <w:r>
        <w:t xml:space="preserve"> (1973: 322),</w:t>
      </w:r>
      <w:r w:rsidRPr="00191003">
        <w:t xml:space="preserve"> the two larnakes must </w:t>
      </w:r>
      <w:r>
        <w:t xml:space="preserve">have been painted by the </w:t>
      </w:r>
      <w:r w:rsidRPr="00191003">
        <w:t>same hand</w:t>
      </w:r>
      <w:r>
        <w:t>.</w:t>
      </w:r>
      <w:r w:rsidRPr="00191003">
        <w:t xml:space="preserve"> </w:t>
      </w:r>
    </w:p>
    <w:p w14:paraId="32DDB58C" w14:textId="77777777" w:rsidR="00D726B2" w:rsidRPr="00191003" w:rsidRDefault="00D726B2" w:rsidP="00E858EF">
      <w:pPr>
        <w:pStyle w:val="Paragrafoelenco"/>
        <w:suppressAutoHyphens/>
      </w:pPr>
    </w:p>
    <w:p w14:paraId="7E8A7D91" w14:textId="77777777" w:rsidR="00D726B2" w:rsidRPr="00191003" w:rsidRDefault="00D726B2" w:rsidP="00E858EF">
      <w:pPr>
        <w:pStyle w:val="Paragrafoelenco"/>
        <w:numPr>
          <w:ilvl w:val="0"/>
          <w:numId w:val="81"/>
        </w:numPr>
        <w:suppressAutoHyphens/>
        <w:spacing w:after="160"/>
        <w:rPr>
          <w:b/>
        </w:rPr>
      </w:pPr>
      <w:r w:rsidRPr="00191003">
        <w:rPr>
          <w:b/>
        </w:rPr>
        <w:t xml:space="preserve">374 Pigi MR 1696  </w:t>
      </w:r>
      <w:r w:rsidRPr="00191003">
        <w:t xml:space="preserve">(lid short side and lid ridge pole) </w:t>
      </w:r>
      <w:r>
        <w:t xml:space="preserve">(Baxevani 1995: 16-33; </w:t>
      </w:r>
      <w:r w:rsidRPr="00733192">
        <w:rPr>
          <w:i/>
        </w:rPr>
        <w:t>KChr</w:t>
      </w:r>
      <w:r>
        <w:t xml:space="preserve"> 21 1969:</w:t>
      </w:r>
      <w:r w:rsidRPr="007462DC">
        <w:t xml:space="preserve"> 543; </w:t>
      </w:r>
      <w:r w:rsidRPr="00733192">
        <w:rPr>
          <w:i/>
        </w:rPr>
        <w:t>ADelt</w:t>
      </w:r>
      <w:r>
        <w:t xml:space="preserve"> 24 1969: 435-36, pl.443; </w:t>
      </w:r>
      <w:r w:rsidRPr="00733192">
        <w:rPr>
          <w:i/>
        </w:rPr>
        <w:t>ADelt</w:t>
      </w:r>
      <w:r>
        <w:t xml:space="preserve"> 25 1970: 476; AR 17 1970-1: 32; </w:t>
      </w:r>
      <w:r w:rsidRPr="00733192">
        <w:rPr>
          <w:i/>
        </w:rPr>
        <w:t>BCH</w:t>
      </w:r>
      <w:r>
        <w:t xml:space="preserve"> 95 1971:</w:t>
      </w:r>
      <w:r w:rsidRPr="007462DC">
        <w:t xml:space="preserve"> 1063, figs. 566-71; Mavriyannaki 1972: 28-29; Hiller 1977:</w:t>
      </w:r>
      <w:r>
        <w:t xml:space="preserve"> </w:t>
      </w:r>
      <w:r w:rsidRPr="007462DC">
        <w:t>199-200; Schachermeyr 1979b:</w:t>
      </w:r>
      <w:r>
        <w:t xml:space="preserve"> </w:t>
      </w:r>
      <w:r w:rsidRPr="007462DC">
        <w:t>342-43; Kanta 1980:</w:t>
      </w:r>
      <w:r>
        <w:t xml:space="preserve"> </w:t>
      </w:r>
      <w:r w:rsidRPr="007462DC">
        <w:t>212; Popham 1980:</w:t>
      </w:r>
      <w:r>
        <w:t xml:space="preserve"> </w:t>
      </w:r>
      <w:r w:rsidRPr="007462DC">
        <w:t>167; Godart</w:t>
      </w:r>
      <w:r>
        <w:t xml:space="preserve"> and</w:t>
      </w:r>
      <w:r w:rsidRPr="007462DC">
        <w:t xml:space="preserve"> Tzedakis 1992: 98; Merousis 2000: 175-176 pl. 19 n. 168; Spiliotopoulu 20</w:t>
      </w:r>
      <w:r>
        <w:t>10</w:t>
      </w:r>
      <w:r w:rsidRPr="007462DC">
        <w:t>: 50-51 pl. 3 n. 16; Langohr 2009: 152-153</w:t>
      </w:r>
      <w:r>
        <w:t>):</w:t>
      </w:r>
    </w:p>
    <w:p w14:paraId="22002F58" w14:textId="77777777" w:rsidR="00D726B2" w:rsidRPr="00191003" w:rsidRDefault="00D726B2" w:rsidP="00E858EF">
      <w:pPr>
        <w:pStyle w:val="Paragrafoelenco"/>
        <w:numPr>
          <w:ilvl w:val="0"/>
          <w:numId w:val="84"/>
        </w:numPr>
        <w:suppressAutoHyphens/>
        <w:spacing w:after="160"/>
      </w:pPr>
      <w:r w:rsidRPr="00191003">
        <w:t>Bed</w:t>
      </w:r>
    </w:p>
    <w:p w14:paraId="7C250C9F" w14:textId="77777777" w:rsidR="00D726B2" w:rsidRPr="00191003" w:rsidRDefault="00D726B2" w:rsidP="00E858EF">
      <w:pPr>
        <w:pStyle w:val="Paragrafoelenco"/>
        <w:numPr>
          <w:ilvl w:val="0"/>
          <w:numId w:val="84"/>
        </w:numPr>
        <w:suppressAutoHyphens/>
        <w:spacing w:after="160"/>
      </w:pPr>
      <w:r w:rsidRPr="00191003">
        <w:t>Throne</w:t>
      </w:r>
    </w:p>
    <w:p w14:paraId="34621ECE" w14:textId="77777777" w:rsidR="00D726B2" w:rsidRPr="00191003" w:rsidRDefault="00D726B2" w:rsidP="00E858EF">
      <w:pPr>
        <w:pStyle w:val="Paragrafoelenco"/>
        <w:suppressAutoHyphens/>
      </w:pPr>
      <w:r w:rsidRPr="00191003">
        <w:t xml:space="preserve">These two objects are part of a prothesis scene on </w:t>
      </w:r>
      <w:r>
        <w:t>the</w:t>
      </w:r>
      <w:r w:rsidRPr="00191003">
        <w:t xml:space="preserve"> short side of the lid of the larnax (Baxevani 1995: 27-33, </w:t>
      </w:r>
      <w:r>
        <w:t>F</w:t>
      </w:r>
      <w:r w:rsidRPr="00191003">
        <w:t>igs. 10-11)</w:t>
      </w:r>
      <w:r>
        <w:t>.</w:t>
      </w:r>
    </w:p>
    <w:p w14:paraId="3344A62B" w14:textId="77777777" w:rsidR="00D726B2" w:rsidRPr="00191003" w:rsidRDefault="00D726B2" w:rsidP="00E858EF">
      <w:pPr>
        <w:pStyle w:val="Paragrafoelenco"/>
        <w:numPr>
          <w:ilvl w:val="0"/>
          <w:numId w:val="85"/>
        </w:numPr>
        <w:suppressAutoHyphens/>
        <w:spacing w:after="160"/>
      </w:pPr>
      <w:r w:rsidRPr="00191003">
        <w:t xml:space="preserve">Unidentified scene on the ridgepole (Baxevani 1995: 26-27, </w:t>
      </w:r>
      <w:r>
        <w:t>F</w:t>
      </w:r>
      <w:r w:rsidRPr="00191003">
        <w:t>igs. 12-14)</w:t>
      </w:r>
      <w:r>
        <w:t>.</w:t>
      </w:r>
    </w:p>
    <w:p w14:paraId="6BA79796" w14:textId="77777777" w:rsidR="00D726B2" w:rsidRPr="00191003" w:rsidRDefault="00D726B2" w:rsidP="00E858EF">
      <w:pPr>
        <w:pStyle w:val="Paragrafoelenco"/>
        <w:suppressAutoHyphens/>
      </w:pPr>
    </w:p>
    <w:p w14:paraId="176F38C6" w14:textId="77777777" w:rsidR="00D726B2" w:rsidRPr="00191003" w:rsidRDefault="00D726B2" w:rsidP="00E858EF">
      <w:pPr>
        <w:pStyle w:val="Paragrafoelenco"/>
        <w:numPr>
          <w:ilvl w:val="0"/>
          <w:numId w:val="81"/>
        </w:numPr>
        <w:suppressAutoHyphens/>
        <w:spacing w:after="160"/>
        <w:rPr>
          <w:b/>
        </w:rPr>
      </w:pPr>
      <w:r w:rsidRPr="00191003">
        <w:rPr>
          <w:b/>
        </w:rPr>
        <w:t xml:space="preserve">375 Pigi MC 1699 </w:t>
      </w:r>
      <w:r w:rsidRPr="00191003">
        <w:t xml:space="preserve">(long side A) </w:t>
      </w:r>
      <w:r>
        <w:t>(</w:t>
      </w:r>
      <w:r w:rsidRPr="00733192">
        <w:rPr>
          <w:i/>
        </w:rPr>
        <w:t>KChr</w:t>
      </w:r>
      <w:r>
        <w:t xml:space="preserve"> 21 1969:</w:t>
      </w:r>
      <w:r w:rsidRPr="00B9079A">
        <w:t xml:space="preserve"> 543; </w:t>
      </w:r>
      <w:r w:rsidRPr="00733192">
        <w:rPr>
          <w:i/>
        </w:rPr>
        <w:t>ADelt</w:t>
      </w:r>
      <w:r>
        <w:t xml:space="preserve"> 24 1969:</w:t>
      </w:r>
      <w:r w:rsidRPr="00B9079A">
        <w:t xml:space="preserve"> 435-36, pl.443; </w:t>
      </w:r>
      <w:r w:rsidRPr="00733192">
        <w:rPr>
          <w:i/>
        </w:rPr>
        <w:t>ADelt</w:t>
      </w:r>
      <w:r>
        <w:t xml:space="preserve"> 25 1970: 476; AR 17 1970-1:</w:t>
      </w:r>
      <w:r w:rsidRPr="00B9079A">
        <w:t xml:space="preserve"> 32;</w:t>
      </w:r>
      <w:r>
        <w:t xml:space="preserve"> </w:t>
      </w:r>
      <w:r w:rsidRPr="00733192">
        <w:rPr>
          <w:i/>
        </w:rPr>
        <w:t>BCH</w:t>
      </w:r>
      <w:r>
        <w:t xml:space="preserve"> 95 1971:</w:t>
      </w:r>
      <w:r w:rsidRPr="00B9079A">
        <w:t xml:space="preserve"> 1063, figs. 566-71; Mavriyannaki 1972: 28-29; Hiller 1977:199-200; Schachermeyr 1979b:</w:t>
      </w:r>
      <w:r>
        <w:t xml:space="preserve"> </w:t>
      </w:r>
      <w:r w:rsidRPr="00B9079A">
        <w:t>342-43; Kanta 1980:</w:t>
      </w:r>
      <w:r>
        <w:t xml:space="preserve"> </w:t>
      </w:r>
      <w:r w:rsidRPr="00B9079A">
        <w:t>212; Popham 1980:</w:t>
      </w:r>
      <w:r>
        <w:t xml:space="preserve"> </w:t>
      </w:r>
      <w:r w:rsidRPr="00B9079A">
        <w:t>167; Godart Tzedakis 1992: 98; Merousis 2000: 177 n. 170; Merousis 2000: 176 n. 169 Spiliotopoulu 20</w:t>
      </w:r>
      <w:r>
        <w:t>10</w:t>
      </w:r>
      <w:r w:rsidRPr="00B9079A">
        <w:t>: 50-51 pl. 3 n. 17; Langohr 2009: 152-153</w:t>
      </w:r>
      <w:r>
        <w:t>)</w:t>
      </w:r>
      <w:r w:rsidRPr="00B9079A">
        <w:t>:</w:t>
      </w:r>
    </w:p>
    <w:p w14:paraId="20E1D155" w14:textId="77777777" w:rsidR="00D726B2" w:rsidRPr="00191003" w:rsidRDefault="00D726B2" w:rsidP="00E858EF">
      <w:pPr>
        <w:pStyle w:val="Paragrafoelenco"/>
        <w:numPr>
          <w:ilvl w:val="0"/>
          <w:numId w:val="85"/>
        </w:numPr>
        <w:suppressAutoHyphens/>
        <w:spacing w:after="160"/>
      </w:pPr>
      <w:r w:rsidRPr="00191003">
        <w:t>Unidentified figure: on the right</w:t>
      </w:r>
      <w:r>
        <w:t>-</w:t>
      </w:r>
      <w:r w:rsidRPr="00191003">
        <w:t>hand side of one of the long</w:t>
      </w:r>
      <w:r>
        <w:t>-</w:t>
      </w:r>
      <w:r w:rsidRPr="00191003">
        <w:t>side panel</w:t>
      </w:r>
      <w:r>
        <w:t>s</w:t>
      </w:r>
      <w:r w:rsidRPr="00191003">
        <w:t xml:space="preserve"> is a</w:t>
      </w:r>
      <w:r>
        <w:t xml:space="preserve"> possible human</w:t>
      </w:r>
      <w:r w:rsidRPr="00191003">
        <w:t xml:space="preserve"> figure wearing a long dress and rendered in a very styli</w:t>
      </w:r>
      <w:r>
        <w:t>s</w:t>
      </w:r>
      <w:r w:rsidRPr="00191003">
        <w:t>ed way. On the right</w:t>
      </w:r>
      <w:r>
        <w:t>-</w:t>
      </w:r>
      <w:r w:rsidRPr="00191003">
        <w:t>hand</w:t>
      </w:r>
      <w:r>
        <w:t xml:space="preserve"> side</w:t>
      </w:r>
      <w:r w:rsidRPr="00191003">
        <w:t xml:space="preserve"> of the same panel </w:t>
      </w:r>
      <w:r>
        <w:t>is</w:t>
      </w:r>
      <w:r w:rsidRPr="00191003">
        <w:t xml:space="preserve"> another human figure rendered in a very stylised way but with</w:t>
      </w:r>
      <w:r>
        <w:t>out the</w:t>
      </w:r>
      <w:r w:rsidRPr="00191003">
        <w:t xml:space="preserve"> long dress </w:t>
      </w:r>
      <w:r>
        <w:t>or</w:t>
      </w:r>
      <w:r w:rsidRPr="00191003">
        <w:t xml:space="preserve"> upraised arms</w:t>
      </w:r>
      <w:r>
        <w:t>.</w:t>
      </w:r>
    </w:p>
    <w:p w14:paraId="122875B6" w14:textId="77777777" w:rsidR="00D726B2" w:rsidRPr="00191003" w:rsidRDefault="00D726B2" w:rsidP="00E858EF">
      <w:pPr>
        <w:pStyle w:val="Paragrafoelenco"/>
        <w:suppressAutoHyphens/>
      </w:pPr>
    </w:p>
    <w:p w14:paraId="353873B3" w14:textId="77777777" w:rsidR="00D726B2" w:rsidRPr="00191003" w:rsidRDefault="00D726B2" w:rsidP="00E858EF">
      <w:pPr>
        <w:suppressAutoHyphens/>
      </w:pPr>
      <w:r>
        <w:t>There is</w:t>
      </w:r>
      <w:r w:rsidRPr="00191003">
        <w:t xml:space="preserve"> a re</w:t>
      </w:r>
      <w:r>
        <w:t>o</w:t>
      </w:r>
      <w:r w:rsidRPr="00191003">
        <w:t>ccurring combination:</w:t>
      </w:r>
    </w:p>
    <w:p w14:paraId="51BB76CA" w14:textId="77777777" w:rsidR="00D726B2" w:rsidRPr="00191003" w:rsidRDefault="00D726B2" w:rsidP="00370745">
      <w:pPr>
        <w:pStyle w:val="Paragrafoelenco"/>
        <w:numPr>
          <w:ilvl w:val="0"/>
          <w:numId w:val="102"/>
        </w:numPr>
        <w:suppressAutoHyphens/>
        <w:spacing w:after="160"/>
      </w:pPr>
      <w:r w:rsidRPr="00191003">
        <w:t>animals (birds, cows, stags, goats) associated with a flower (FM 18 Mycenaean flower) (toward</w:t>
      </w:r>
      <w:r>
        <w:t>s</w:t>
      </w:r>
      <w:r w:rsidRPr="00191003">
        <w:t xml:space="preserve"> a flower, smelling/eating a flower</w:t>
      </w:r>
      <w:r>
        <w:t>:</w:t>
      </w:r>
      <w:r w:rsidRPr="00191003">
        <w:t xml:space="preserve"> e.g. 264 Armenoi MR 1709, and 267 Armenoi MR 1712; 364 Dramia MC 1187; 256 Unknown MR</w:t>
      </w:r>
      <w:r>
        <w:t xml:space="preserve"> </w:t>
      </w:r>
      <w:r w:rsidRPr="00191003">
        <w:t>500</w:t>
      </w:r>
      <w:r>
        <w:t xml:space="preserve"> not considerd within the sample of decorated larnakes analysed: see Mavriyannaki 1972: 75-86</w:t>
      </w:r>
      <w:r w:rsidRPr="00191003">
        <w:t xml:space="preserve">). </w:t>
      </w:r>
    </w:p>
    <w:p w14:paraId="1FC8F847" w14:textId="77777777" w:rsidR="00D726B2" w:rsidRPr="00191003" w:rsidRDefault="00D726B2" w:rsidP="00E858EF">
      <w:pPr>
        <w:suppressAutoHyphens/>
        <w:ind w:firstLine="567"/>
      </w:pPr>
      <w:r w:rsidRPr="00191003">
        <w:t>This association occur</w:t>
      </w:r>
      <w:r>
        <w:t>s</w:t>
      </w:r>
      <w:r w:rsidRPr="00191003">
        <w:t xml:space="preserve"> elsewhere in other larnakes from different regions (</w:t>
      </w:r>
      <w:r>
        <w:t>e.g.</w:t>
      </w:r>
      <w:r w:rsidRPr="00191003">
        <w:t xml:space="preserve"> 406 Palaikastro HM 1619,</w:t>
      </w:r>
      <w:r>
        <w:t xml:space="preserve"> Far-East</w:t>
      </w:r>
      <w:r w:rsidRPr="00191003">
        <w:t xml:space="preserve">). The combination </w:t>
      </w:r>
      <w:r>
        <w:t xml:space="preserve">of </w:t>
      </w:r>
      <w:r w:rsidRPr="00191003">
        <w:t xml:space="preserve">animal and flower </w:t>
      </w:r>
      <w:r>
        <w:t>is sometimes</w:t>
      </w:r>
      <w:r w:rsidRPr="00191003">
        <w:t xml:space="preserve"> repeated with different types of animals </w:t>
      </w:r>
      <w:r>
        <w:t xml:space="preserve">on </w:t>
      </w:r>
      <w:r w:rsidRPr="00191003">
        <w:t>the same larnax (</w:t>
      </w:r>
      <w:r>
        <w:t>e.g.</w:t>
      </w:r>
      <w:r w:rsidRPr="00191003">
        <w:t xml:space="preserve"> in one panel</w:t>
      </w:r>
      <w:r>
        <w:t>,</w:t>
      </w:r>
      <w:r w:rsidRPr="00191003">
        <w:t xml:space="preserve"> a cow and flower, in another </w:t>
      </w:r>
      <w:r>
        <w:t xml:space="preserve">a </w:t>
      </w:r>
      <w:r w:rsidRPr="00191003">
        <w:t>bird and flower</w:t>
      </w:r>
      <w:r>
        <w:t>:</w:t>
      </w:r>
      <w:r w:rsidRPr="00191003">
        <w:t xml:space="preserve"> e.g. 267 Armenoi MR 1712).</w:t>
      </w:r>
      <w:r>
        <w:t xml:space="preserve"> </w:t>
      </w:r>
      <w:r w:rsidRPr="00191003">
        <w:t>Furthermore</w:t>
      </w:r>
      <w:r>
        <w:t>,</w:t>
      </w:r>
      <w:r w:rsidRPr="00191003">
        <w:t xml:space="preserve"> this combination (animal and flower) </w:t>
      </w:r>
      <w:r>
        <w:t>is</w:t>
      </w:r>
      <w:r w:rsidRPr="00191003">
        <w:t xml:space="preserve"> a pattern that occurs many times </w:t>
      </w:r>
      <w:r>
        <w:t>o</w:t>
      </w:r>
      <w:r w:rsidRPr="00191003">
        <w:t>n more than one larnax (267 Armenoi MR 1712; 364 Dramia MC 1187; 253 Unknown MR</w:t>
      </w:r>
      <w:r>
        <w:t xml:space="preserve"> </w:t>
      </w:r>
      <w:r w:rsidRPr="00191003">
        <w:t>2391</w:t>
      </w:r>
      <w:r>
        <w:t xml:space="preserve"> and</w:t>
      </w:r>
      <w:r w:rsidRPr="00191003">
        <w:t xml:space="preserve"> 256 Unknown MR</w:t>
      </w:r>
      <w:r>
        <w:t xml:space="preserve"> </w:t>
      </w:r>
      <w:r w:rsidRPr="00191003">
        <w:t>500</w:t>
      </w:r>
      <w:r>
        <w:t xml:space="preserve"> not considered within the sample analysed: see Mavriyannaki 1972: 63-67, 75-86</w:t>
      </w:r>
      <w:r w:rsidRPr="00191003">
        <w:t>):</w:t>
      </w:r>
    </w:p>
    <w:p w14:paraId="7BE98DE9" w14:textId="77777777" w:rsidR="00D726B2" w:rsidRPr="00191003" w:rsidRDefault="00D726B2" w:rsidP="00370745">
      <w:pPr>
        <w:pStyle w:val="Paragrafoelenco"/>
        <w:numPr>
          <w:ilvl w:val="0"/>
          <w:numId w:val="102"/>
        </w:numPr>
        <w:suppressAutoHyphens/>
        <w:spacing w:after="160"/>
      </w:pPr>
      <w:r w:rsidRPr="00191003">
        <w:t xml:space="preserve">Association of </w:t>
      </w:r>
      <w:r>
        <w:t>large</w:t>
      </w:r>
      <w:r w:rsidRPr="00191003">
        <w:t xml:space="preserve"> and smaller animals (suckling animals) </w:t>
      </w:r>
    </w:p>
    <w:p w14:paraId="49F626D8" w14:textId="77777777" w:rsidR="00D726B2" w:rsidRPr="00191003" w:rsidRDefault="00D726B2" w:rsidP="00E858EF">
      <w:pPr>
        <w:pStyle w:val="Paragrafoelenco"/>
        <w:suppressAutoHyphens/>
        <w:ind w:left="0"/>
      </w:pPr>
      <w:r>
        <w:t>This combination</w:t>
      </w:r>
      <w:r w:rsidRPr="00191003">
        <w:t xml:space="preserve"> occurs in the hunting scene in 265 Armenoi MR 1707. It is possible to find this combination elsewhere </w:t>
      </w:r>
      <w:r>
        <w:t>in two larnakes from Far-East</w:t>
      </w:r>
      <w:r w:rsidRPr="00191003">
        <w:t xml:space="preserve"> Crete</w:t>
      </w:r>
      <w:r>
        <w:t xml:space="preserve"> from Episkopi</w:t>
      </w:r>
      <w:r w:rsidRPr="00191003">
        <w:t xml:space="preserve"> (538 Episkopi Pankalos Spiti IC 822</w:t>
      </w:r>
      <w:r>
        <w:t>)</w:t>
      </w:r>
      <w:r w:rsidRPr="00191003">
        <w:t xml:space="preserve"> where there are also hunting scenes</w:t>
      </w:r>
      <w:r>
        <w:t>,</w:t>
      </w:r>
      <w:r w:rsidRPr="00191003">
        <w:t xml:space="preserve"> and</w:t>
      </w:r>
      <w:r>
        <w:t xml:space="preserve"> in </w:t>
      </w:r>
      <w:r w:rsidRPr="00191003">
        <w:t xml:space="preserve">a bathtub </w:t>
      </w:r>
      <w:r>
        <w:t>from Alazzomouri Pachyammos (</w:t>
      </w:r>
      <w:r w:rsidRPr="00191003">
        <w:t>493 Alazzomouri Pachyammos</w:t>
      </w:r>
      <w:r>
        <w:t xml:space="preserve"> MH 3689),</w:t>
      </w:r>
      <w:r w:rsidRPr="00191003">
        <w:t xml:space="preserve"> </w:t>
      </w:r>
      <w:r>
        <w:t>on which</w:t>
      </w:r>
      <w:r w:rsidRPr="00191003">
        <w:t xml:space="preserve"> are simply large-scale cows with their suckling </w:t>
      </w:r>
      <w:r>
        <w:t>calves</w:t>
      </w:r>
      <w:r w:rsidRPr="00191003">
        <w:t>.</w:t>
      </w:r>
    </w:p>
    <w:p w14:paraId="033D0869" w14:textId="77777777" w:rsidR="00D726B2" w:rsidRPr="00191003" w:rsidRDefault="00D726B2" w:rsidP="00E858EF">
      <w:pPr>
        <w:suppressAutoHyphens/>
      </w:pPr>
      <w:r>
        <w:tab/>
      </w:r>
      <w:r w:rsidRPr="00191003">
        <w:t xml:space="preserve">From the analysis of the peculiar </w:t>
      </w:r>
      <w:r>
        <w:t>motif</w:t>
      </w:r>
      <w:r w:rsidRPr="00191003">
        <w:t>s represented in these six larnakes</w:t>
      </w:r>
      <w:r>
        <w:t>, it</w:t>
      </w:r>
      <w:r w:rsidRPr="00191003">
        <w:t xml:space="preserve"> emerges that</w:t>
      </w:r>
      <w:r>
        <w:t>,</w:t>
      </w:r>
      <w:r w:rsidRPr="00191003">
        <w:t xml:space="preserve"> </w:t>
      </w:r>
      <w:r>
        <w:t>as well as</w:t>
      </w:r>
      <w:r w:rsidRPr="00191003">
        <w:t xml:space="preserve"> specific </w:t>
      </w:r>
      <w:r>
        <w:t>motif</w:t>
      </w:r>
      <w:r w:rsidRPr="00191003">
        <w:t xml:space="preserve">s, they </w:t>
      </w:r>
      <w:r>
        <w:t>are distinctive</w:t>
      </w:r>
      <w:r w:rsidRPr="00191003">
        <w:t xml:space="preserve"> because of the scene</w:t>
      </w:r>
      <w:r>
        <w:t>s</w:t>
      </w:r>
      <w:r w:rsidRPr="00191003">
        <w:t xml:space="preserve"> represented. Two types of scene are certainly recognisable:</w:t>
      </w:r>
    </w:p>
    <w:p w14:paraId="577852C0" w14:textId="77777777" w:rsidR="00D726B2" w:rsidRPr="00CC6834" w:rsidRDefault="00D726B2" w:rsidP="00E858EF">
      <w:pPr>
        <w:pStyle w:val="Paragrafoelenco"/>
        <w:numPr>
          <w:ilvl w:val="0"/>
          <w:numId w:val="85"/>
        </w:numPr>
        <w:suppressAutoHyphens/>
        <w:spacing w:after="160"/>
      </w:pPr>
      <w:r w:rsidRPr="00191003">
        <w:t xml:space="preserve">Hunting scenes: 265 Armenoi MR 1707 ; </w:t>
      </w:r>
      <w:r w:rsidRPr="00BD75FC">
        <w:t>243 Maroulas MR 2383</w:t>
      </w:r>
    </w:p>
    <w:p w14:paraId="3E0B68D8" w14:textId="77777777" w:rsidR="00D726B2" w:rsidRPr="00191003" w:rsidRDefault="00D726B2" w:rsidP="00E858EF">
      <w:pPr>
        <w:pStyle w:val="Paragrafoelenco"/>
        <w:numPr>
          <w:ilvl w:val="0"/>
          <w:numId w:val="85"/>
        </w:numPr>
        <w:suppressAutoHyphens/>
        <w:spacing w:after="160"/>
      </w:pPr>
      <w:r w:rsidRPr="00191003">
        <w:t>Prothesis scene: 374 Pigi MR 1696 (lid short side)</w:t>
      </w:r>
    </w:p>
    <w:p w14:paraId="56C1EFD3" w14:textId="77777777" w:rsidR="00D726B2" w:rsidRPr="00191003" w:rsidRDefault="00D726B2" w:rsidP="00E858EF">
      <w:pPr>
        <w:pStyle w:val="Paragrafoelenco"/>
        <w:suppressAutoHyphens/>
        <w:ind w:left="0" w:firstLine="360"/>
      </w:pPr>
      <w:r w:rsidRPr="00191003">
        <w:t xml:space="preserve">A third scene possibly </w:t>
      </w:r>
      <w:r>
        <w:t xml:space="preserve">with </w:t>
      </w:r>
      <w:r w:rsidRPr="00191003">
        <w:t>human figures on a platform</w:t>
      </w:r>
      <w:r>
        <w:t xml:space="preserve"> and</w:t>
      </w:r>
      <w:r w:rsidRPr="00191003">
        <w:t xml:space="preserve"> wearing long robes and with upraised arms </w:t>
      </w:r>
      <w:r>
        <w:t>appears</w:t>
      </w:r>
      <w:r w:rsidRPr="00191003">
        <w:t xml:space="preserve"> </w:t>
      </w:r>
      <w:r>
        <w:t>o</w:t>
      </w:r>
      <w:r w:rsidRPr="00191003">
        <w:t xml:space="preserve">n 268 </w:t>
      </w:r>
      <w:r>
        <w:t>Armenoi</w:t>
      </w:r>
      <w:r w:rsidRPr="00191003">
        <w:t xml:space="preserve"> </w:t>
      </w:r>
      <w:r>
        <w:t xml:space="preserve">MR </w:t>
      </w:r>
      <w:r w:rsidRPr="00191003">
        <w:t>1706 (all on a short side)</w:t>
      </w:r>
      <w:r>
        <w:t xml:space="preserve"> and</w:t>
      </w:r>
      <w:r w:rsidRPr="00191003">
        <w:t xml:space="preserve"> 375 Pigi MC 1699 (long side A).</w:t>
      </w:r>
    </w:p>
    <w:p w14:paraId="691A44D2" w14:textId="77777777" w:rsidR="00D726B2" w:rsidRPr="00191003" w:rsidRDefault="00D726B2" w:rsidP="00E858EF">
      <w:pPr>
        <w:pStyle w:val="Titolo4"/>
        <w:keepNext w:val="0"/>
        <w:keepLines w:val="0"/>
        <w:suppressAutoHyphens/>
      </w:pPr>
      <w:bookmarkStart w:id="1067" w:name="_Toc517807589"/>
      <w:r>
        <w:t>Motif</w:t>
      </w:r>
      <w:r w:rsidRPr="00191003">
        <w:t>s occurrence</w:t>
      </w:r>
      <w:bookmarkEnd w:id="1067"/>
    </w:p>
    <w:p w14:paraId="2FCF1DF5" w14:textId="4640783D" w:rsidR="00D726B2" w:rsidRPr="00191003" w:rsidRDefault="00D726B2" w:rsidP="00E858EF">
      <w:pPr>
        <w:suppressAutoHyphens/>
      </w:pPr>
      <w:r w:rsidRPr="00191003">
        <w:t xml:space="preserve">The total number of identified </w:t>
      </w:r>
      <w:r>
        <w:t>motif</w:t>
      </w:r>
      <w:r w:rsidRPr="00191003">
        <w:t>s (</w:t>
      </w:r>
      <w:r w:rsidR="005D54EA">
        <w:t>Furumark</w:t>
      </w:r>
      <w:r w:rsidRPr="00191003">
        <w:t xml:space="preserve"> </w:t>
      </w:r>
      <w:r>
        <w:t>motif</w:t>
      </w:r>
      <w:r w:rsidRPr="00191003">
        <w:t xml:space="preserve">s) is </w:t>
      </w:r>
      <w:r w:rsidRPr="00E7753F">
        <w:t>55</w:t>
      </w:r>
      <w:r w:rsidRPr="00191003">
        <w:t xml:space="preserve"> (24 </w:t>
      </w:r>
      <w:r w:rsidR="005D54EA">
        <w:t>Furumark</w:t>
      </w:r>
      <w:r w:rsidRPr="00191003">
        <w:t xml:space="preserve"> </w:t>
      </w:r>
      <w:r>
        <w:t>motif</w:t>
      </w:r>
      <w:r w:rsidRPr="00191003">
        <w:t>s have not been registered). The</w:t>
      </w:r>
      <w:r>
        <w:t xml:space="preserve"> motifs</w:t>
      </w:r>
      <w:r w:rsidRPr="00191003">
        <w:t xml:space="preserve"> are distributed within the sample of the 39 securely decorated larnakes for which there </w:t>
      </w:r>
      <w:r>
        <w:t>is</w:t>
      </w:r>
      <w:r w:rsidRPr="00191003">
        <w:t xml:space="preserve"> information </w:t>
      </w:r>
      <w:r>
        <w:t>regarding</w:t>
      </w:r>
      <w:r w:rsidRPr="00191003">
        <w:t xml:space="preserve"> decoration. Wavy lines (FM 53</w:t>
      </w:r>
      <w:r>
        <w:t>:</w:t>
      </w:r>
      <w:r w:rsidRPr="00191003">
        <w:t xml:space="preserve"> 28 larnakes) </w:t>
      </w:r>
      <w:r>
        <w:t xml:space="preserve">are </w:t>
      </w:r>
      <w:r w:rsidRPr="00191003">
        <w:t>the most common motif in term</w:t>
      </w:r>
      <w:r>
        <w:t>s</w:t>
      </w:r>
      <w:r w:rsidRPr="00191003">
        <w:t xml:space="preserve"> </w:t>
      </w:r>
      <w:r>
        <w:t>of</w:t>
      </w:r>
      <w:r w:rsidRPr="00191003">
        <w:t xml:space="preserve"> number</w:t>
      </w:r>
      <w:r>
        <w:t>,</w:t>
      </w:r>
      <w:r w:rsidRPr="00191003">
        <w:t xml:space="preserve"> followed by multiple</w:t>
      </w:r>
      <w:r>
        <w:t xml:space="preserve"> stem and tongue pattern (FM 19:</w:t>
      </w:r>
      <w:r w:rsidRPr="00191003">
        <w:t xml:space="preserve"> 16 larnakes)</w:t>
      </w:r>
      <w:r>
        <w:t>, wavy border (FM 65:</w:t>
      </w:r>
      <w:r w:rsidRPr="00191003">
        <w:t xml:space="preserve"> 13 larnakes) and </w:t>
      </w:r>
      <w:r>
        <w:t>isolated semicircle (FM 43:</w:t>
      </w:r>
      <w:r w:rsidRPr="00191003">
        <w:t xml:space="preserve"> 12 larnakes). The vast majority of </w:t>
      </w:r>
      <w:r>
        <w:t>motif</w:t>
      </w:r>
      <w:r w:rsidRPr="00191003">
        <w:t xml:space="preserve">s occur </w:t>
      </w:r>
      <w:r>
        <w:t>o</w:t>
      </w:r>
      <w:r w:rsidRPr="00191003">
        <w:t xml:space="preserve">n </w:t>
      </w:r>
      <w:r>
        <w:t>fewer</w:t>
      </w:r>
      <w:r w:rsidRPr="00191003">
        <w:t xml:space="preserve"> than </w:t>
      </w:r>
      <w:r>
        <w:t>10</w:t>
      </w:r>
      <w:r w:rsidRPr="00191003">
        <w:t xml:space="preserve"> larnakes, while </w:t>
      </w:r>
      <w:r>
        <w:t>fewer</w:t>
      </w:r>
      <w:r w:rsidRPr="00191003">
        <w:t xml:space="preserve"> than </w:t>
      </w:r>
      <w:r>
        <w:t>10</w:t>
      </w:r>
      <w:r w:rsidRPr="00191003">
        <w:t xml:space="preserve"> </w:t>
      </w:r>
      <w:r>
        <w:t>motif</w:t>
      </w:r>
      <w:r w:rsidRPr="00191003">
        <w:t xml:space="preserve">s </w:t>
      </w:r>
      <w:r>
        <w:t>occur</w:t>
      </w:r>
      <w:r w:rsidRPr="00191003">
        <w:t xml:space="preserve"> </w:t>
      </w:r>
      <w:r>
        <w:t>only once</w:t>
      </w:r>
      <w:r w:rsidRPr="00191003">
        <w:t xml:space="preserve"> </w:t>
      </w:r>
      <w:r>
        <w:t>o</w:t>
      </w:r>
      <w:r w:rsidRPr="00191003">
        <w:t xml:space="preserve">n one item (9 </w:t>
      </w:r>
      <w:r>
        <w:t>motif</w:t>
      </w:r>
      <w:r w:rsidRPr="00191003">
        <w:t>s).</w:t>
      </w:r>
    </w:p>
    <w:p w14:paraId="37BD0889" w14:textId="77777777" w:rsidR="00D726B2" w:rsidRPr="00191003" w:rsidRDefault="00D726B2" w:rsidP="00E858EF">
      <w:pPr>
        <w:suppressAutoHyphens/>
      </w:pPr>
    </w:p>
    <w:p w14:paraId="69FD4303" w14:textId="77777777" w:rsidR="00D726B2" w:rsidRPr="00191003" w:rsidRDefault="00D726B2" w:rsidP="00E858EF">
      <w:pPr>
        <w:suppressAutoHyphens/>
      </w:pPr>
    </w:p>
    <w:p w14:paraId="3400C2BA" w14:textId="77777777" w:rsidR="00D726B2" w:rsidRDefault="00D726B2" w:rsidP="00E858EF">
      <w:pPr>
        <w:suppressAutoHyphens/>
        <w:sectPr w:rsidR="00D726B2" w:rsidSect="003C2CE9">
          <w:footerReference w:type="first" r:id="rId271"/>
          <w:pgSz w:w="11900" w:h="16840"/>
          <w:pgMar w:top="1418" w:right="1134" w:bottom="1134" w:left="2268" w:header="708" w:footer="708" w:gutter="0"/>
          <w:cols w:space="708"/>
          <w:titlePg/>
          <w:docGrid w:linePitch="360"/>
        </w:sectPr>
      </w:pPr>
    </w:p>
    <w:p w14:paraId="1C3B1DFB" w14:textId="5C1CE27E" w:rsidR="00D726B2" w:rsidRDefault="00D726B2" w:rsidP="00E858EF">
      <w:pPr>
        <w:pStyle w:val="Testofumetto"/>
        <w:suppressAutoHyphens/>
        <w:spacing w:after="0"/>
      </w:pPr>
      <w:bookmarkStart w:id="1068" w:name="_Toc520212632"/>
      <w:r w:rsidRPr="00191003">
        <w:rPr>
          <w:noProof/>
          <w:lang w:val="it-IT"/>
        </w:rPr>
        <w:drawing>
          <wp:inline distT="0" distB="0" distL="0" distR="0" wp14:anchorId="5BAC990B" wp14:editId="765C64A8">
            <wp:extent cx="5577205" cy="9058275"/>
            <wp:effectExtent l="0" t="0" r="4445" b="9525"/>
            <wp:docPr id="190" name="Gra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bookmarkEnd w:id="1068"/>
    </w:p>
    <w:p w14:paraId="6AF12295" w14:textId="36DA3139" w:rsidR="008246F6" w:rsidRDefault="008246F6" w:rsidP="008246F6">
      <w:pPr>
        <w:pStyle w:val="Didascalia"/>
        <w:sectPr w:rsidR="008246F6" w:rsidSect="00C96815">
          <w:pgSz w:w="11900" w:h="16840"/>
          <w:pgMar w:top="851" w:right="1134" w:bottom="851" w:left="2268" w:header="709" w:footer="709" w:gutter="0"/>
          <w:cols w:space="708"/>
          <w:docGrid w:linePitch="360"/>
        </w:sectPr>
      </w:pPr>
      <w:bookmarkStart w:id="1069" w:name="_Toc519895398"/>
      <w:bookmarkStart w:id="1070" w:name="_Toc520212463"/>
      <w:r>
        <w:t>Figure 5-70</w:t>
      </w:r>
      <w:r w:rsidR="00691FA8">
        <w:t>.</w:t>
      </w:r>
      <w:r>
        <w:t xml:space="preserve"> Furumark motif occurrences o</w:t>
      </w:r>
      <w:r w:rsidRPr="005944CF">
        <w:t xml:space="preserve">n </w:t>
      </w:r>
      <w:r>
        <w:t>larnakes from the Mid-West area</w:t>
      </w:r>
      <w:bookmarkEnd w:id="1069"/>
      <w:bookmarkEnd w:id="1070"/>
    </w:p>
    <w:p w14:paraId="3FC8AAA9" w14:textId="2C318E05" w:rsidR="00D726B2" w:rsidRPr="00191003" w:rsidRDefault="00D726B2" w:rsidP="00E858EF">
      <w:pPr>
        <w:suppressAutoHyphens/>
        <w:ind w:firstLine="708"/>
      </w:pPr>
      <w:r w:rsidRPr="00191003">
        <w:t xml:space="preserve">It </w:t>
      </w:r>
      <w:r w:rsidR="00C96815">
        <w:t xml:space="preserve">is </w:t>
      </w:r>
      <w:r w:rsidRPr="00191003">
        <w:t>worth not</w:t>
      </w:r>
      <w:r>
        <w:t>ing</w:t>
      </w:r>
      <w:r w:rsidRPr="00191003">
        <w:t xml:space="preserve"> that the most common </w:t>
      </w:r>
      <w:r>
        <w:t>motif</w:t>
      </w:r>
      <w:r w:rsidRPr="00191003">
        <w:t xml:space="preserve">s are those </w:t>
      </w:r>
      <w:r>
        <w:t>that</w:t>
      </w:r>
      <w:r w:rsidRPr="00191003">
        <w:t xml:space="preserve"> can be considered filling </w:t>
      </w:r>
      <w:r>
        <w:t>motif</w:t>
      </w:r>
      <w:r w:rsidRPr="00191003">
        <w:t>s, used for frame decoration (</w:t>
      </w:r>
      <w:r>
        <w:t>e.g.</w:t>
      </w:r>
      <w:r w:rsidRPr="00191003">
        <w:t xml:space="preserve"> wavy lines and wavy border)</w:t>
      </w:r>
      <w:r>
        <w:t>,</w:t>
      </w:r>
      <w:r w:rsidRPr="00191003">
        <w:t xml:space="preserve"> or as filling </w:t>
      </w:r>
      <w:r>
        <w:t>motif</w:t>
      </w:r>
      <w:r w:rsidRPr="00191003">
        <w:t>s within the panel decoration (</w:t>
      </w:r>
      <w:r>
        <w:t>e.g.</w:t>
      </w:r>
      <w:r w:rsidRPr="00191003">
        <w:t xml:space="preserve"> multiple stem and tongue pattern and isolated semicircles)</w:t>
      </w:r>
    </w:p>
    <w:p w14:paraId="1047EB0A" w14:textId="77777777" w:rsidR="00D726B2" w:rsidRPr="00191003" w:rsidRDefault="00D726B2" w:rsidP="00E858EF">
      <w:pPr>
        <w:suppressAutoHyphens/>
        <w:ind w:firstLine="708"/>
      </w:pPr>
      <w:r>
        <w:t>Regarding</w:t>
      </w:r>
      <w:r w:rsidRPr="00191003">
        <w:t xml:space="preserve"> the general occurrence of </w:t>
      </w:r>
      <w:r>
        <w:t>motif</w:t>
      </w:r>
      <w:r w:rsidRPr="00191003">
        <w:t>s (</w:t>
      </w:r>
      <w:r>
        <w:t xml:space="preserve">i.e. </w:t>
      </w:r>
      <w:r w:rsidRPr="00191003">
        <w:t>how many times they occur within the larnakes) the following larnakes can be isolated:</w:t>
      </w:r>
    </w:p>
    <w:p w14:paraId="3210A9B6" w14:textId="77777777" w:rsidR="00D726B2" w:rsidRPr="00191003" w:rsidRDefault="00D726B2" w:rsidP="00E858EF">
      <w:pPr>
        <w:suppressAutoHyphens/>
      </w:pPr>
    </w:p>
    <w:p w14:paraId="444B851B" w14:textId="77777777" w:rsidR="00D726B2" w:rsidRPr="00191003" w:rsidRDefault="00D726B2" w:rsidP="00E858EF">
      <w:pPr>
        <w:pStyle w:val="Paragrafoelenco"/>
        <w:numPr>
          <w:ilvl w:val="0"/>
          <w:numId w:val="80"/>
        </w:numPr>
        <w:suppressAutoHyphens/>
        <w:spacing w:after="160"/>
      </w:pPr>
      <w:r w:rsidRPr="00191003">
        <w:t>Man (FM 1): in two larnakes</w:t>
      </w:r>
      <w:r>
        <w:t>,</w:t>
      </w:r>
      <w:r w:rsidRPr="00191003">
        <w:t xml:space="preserve"> one from Armenoi</w:t>
      </w:r>
      <w:r>
        <w:t xml:space="preserve"> (T</w:t>
      </w:r>
      <w:r w:rsidRPr="00191003">
        <w:t>omb 11</w:t>
      </w:r>
      <w:r>
        <w:t>)</w:t>
      </w:r>
      <w:r w:rsidRPr="00191003">
        <w:t xml:space="preserve"> </w:t>
      </w:r>
      <w:r>
        <w:t xml:space="preserve">265 Armenoi </w:t>
      </w:r>
      <w:r w:rsidRPr="00191003">
        <w:t xml:space="preserve">MR 1707 (Tzedakis 1971: 216-222, </w:t>
      </w:r>
      <w:r>
        <w:t>Fi</w:t>
      </w:r>
      <w:r w:rsidRPr="00191003">
        <w:t>g. 4; Godart</w:t>
      </w:r>
      <w:r>
        <w:t xml:space="preserve"> and</w:t>
      </w:r>
      <w:r w:rsidRPr="00191003">
        <w:t xml:space="preserve"> Tzedakis 1992: 85-94, pl. 125-126.1)</w:t>
      </w:r>
      <w:r>
        <w:t xml:space="preserve"> and</w:t>
      </w:r>
      <w:r w:rsidRPr="00191003">
        <w:t xml:space="preserve"> one from </w:t>
      </w:r>
      <w:r>
        <w:t xml:space="preserve">374 </w:t>
      </w:r>
      <w:r w:rsidRPr="00191003">
        <w:t>Pigi MR 1696 (Baxevani 1995: 16-33)</w:t>
      </w:r>
      <w:r>
        <w:t>,</w:t>
      </w:r>
      <w:r w:rsidRPr="00191003">
        <w:t xml:space="preserve"> human figures occur three times. In the larnax from Armenoi</w:t>
      </w:r>
      <w:r>
        <w:t>,</w:t>
      </w:r>
      <w:r w:rsidRPr="00191003">
        <w:t xml:space="preserve"> they are concentrated </w:t>
      </w:r>
      <w:r>
        <w:t>o</w:t>
      </w:r>
      <w:r w:rsidRPr="00191003">
        <w:t>n only one side (long side) and are all part of a figurative hunting scene</w:t>
      </w:r>
      <w:r>
        <w:t>;</w:t>
      </w:r>
      <w:r w:rsidRPr="00191003">
        <w:t xml:space="preserve"> while in the larnax from Pigi they all occur </w:t>
      </w:r>
      <w:r>
        <w:t>o</w:t>
      </w:r>
      <w:r w:rsidRPr="00191003">
        <w:t>n a short side of the lid in a prothesis scene.</w:t>
      </w:r>
    </w:p>
    <w:p w14:paraId="203E3C6B" w14:textId="77777777" w:rsidR="00D726B2" w:rsidRPr="00191003" w:rsidRDefault="00D726B2" w:rsidP="00E858EF">
      <w:pPr>
        <w:pStyle w:val="Paragrafoelenco"/>
        <w:numPr>
          <w:ilvl w:val="0"/>
          <w:numId w:val="80"/>
        </w:numPr>
        <w:suppressAutoHyphens/>
        <w:spacing w:after="160"/>
      </w:pPr>
      <w:r w:rsidRPr="00191003">
        <w:t xml:space="preserve">Bull (FM 3): four </w:t>
      </w:r>
      <w:r>
        <w:t xml:space="preserve">large </w:t>
      </w:r>
      <w:r w:rsidRPr="00191003">
        <w:t>bull</w:t>
      </w:r>
      <w:r>
        <w:t>s</w:t>
      </w:r>
      <w:r w:rsidRPr="00191003">
        <w:t xml:space="preserve"> are the main decoration </w:t>
      </w:r>
      <w:r>
        <w:t>motif</w:t>
      </w:r>
      <w:r w:rsidRPr="00191003">
        <w:t>s o</w:t>
      </w:r>
      <w:r>
        <w:t>n</w:t>
      </w:r>
      <w:r w:rsidRPr="00191003">
        <w:t xml:space="preserve"> three out of four side</w:t>
      </w:r>
      <w:r>
        <w:t>s</w:t>
      </w:r>
      <w:r w:rsidRPr="00191003">
        <w:t xml:space="preserve"> of a larnax from Armenoi (</w:t>
      </w:r>
      <w:r>
        <w:t xml:space="preserve">263 Armenoi MR 1710: </w:t>
      </w:r>
      <w:r w:rsidRPr="00733192">
        <w:rPr>
          <w:i/>
        </w:rPr>
        <w:t>ADelt</w:t>
      </w:r>
      <w:r>
        <w:t xml:space="preserve"> 26</w:t>
      </w:r>
      <w:r w:rsidRPr="00191003">
        <w:t xml:space="preserve"> 1971: 513, </w:t>
      </w:r>
      <w:r>
        <w:t>F</w:t>
      </w:r>
      <w:r w:rsidRPr="00191003">
        <w:t>ig. 3, pl. 524 g; Tzedakis</w:t>
      </w:r>
      <w:r>
        <w:t xml:space="preserve"> </w:t>
      </w:r>
      <w:r w:rsidRPr="00191003">
        <w:t xml:space="preserve">1971: 216-222, </w:t>
      </w:r>
      <w:r>
        <w:t>F</w:t>
      </w:r>
      <w:r w:rsidRPr="00191003">
        <w:t>ig. 8; Godart</w:t>
      </w:r>
      <w:r>
        <w:t xml:space="preserve"> and</w:t>
      </w:r>
      <w:r w:rsidRPr="00191003">
        <w:t xml:space="preserve"> Tzedakis 1992: 85-94, pl. 121)</w:t>
      </w:r>
      <w:r>
        <w:t>.</w:t>
      </w:r>
    </w:p>
    <w:p w14:paraId="0EA0A606" w14:textId="77777777" w:rsidR="00D726B2" w:rsidRPr="00191003" w:rsidRDefault="00D726B2" w:rsidP="00E858EF">
      <w:pPr>
        <w:pStyle w:val="Paragrafoelenco"/>
        <w:numPr>
          <w:ilvl w:val="0"/>
          <w:numId w:val="80"/>
        </w:numPr>
        <w:suppressAutoHyphens/>
        <w:spacing w:after="160"/>
      </w:pPr>
      <w:r w:rsidRPr="00191003">
        <w:t xml:space="preserve">Bucranium (FM 4): </w:t>
      </w:r>
      <w:r>
        <w:t xml:space="preserve">a </w:t>
      </w:r>
      <w:r w:rsidRPr="00191003">
        <w:t xml:space="preserve">bucranium motif occurs six times </w:t>
      </w:r>
      <w:r>
        <w:t>o</w:t>
      </w:r>
      <w:r w:rsidRPr="00191003">
        <w:t>n</w:t>
      </w:r>
      <w:r>
        <w:t xml:space="preserve"> only</w:t>
      </w:r>
      <w:r w:rsidRPr="00191003">
        <w:t xml:space="preserve"> one larnax from Pankalochori </w:t>
      </w:r>
      <w:r>
        <w:t xml:space="preserve">(27 Pankalochori </w:t>
      </w:r>
      <w:r w:rsidRPr="00191003">
        <w:t>MR 3360</w:t>
      </w:r>
      <w:r>
        <w:t xml:space="preserve">, </w:t>
      </w:r>
      <w:r w:rsidRPr="00191003">
        <w:t xml:space="preserve">Baxevani </w:t>
      </w:r>
      <w:r>
        <w:t xml:space="preserve">and </w:t>
      </w:r>
      <w:r w:rsidRPr="00191003">
        <w:t xml:space="preserve">Markoulaki 1996: 641-703 </w:t>
      </w:r>
      <w:r>
        <w:t>F</w:t>
      </w:r>
      <w:r w:rsidRPr="00191003">
        <w:t>ig</w:t>
      </w:r>
      <w:r>
        <w:t>s</w:t>
      </w:r>
      <w:r w:rsidRPr="00191003">
        <w:t>. 32-34)</w:t>
      </w:r>
      <w:r>
        <w:t>.</w:t>
      </w:r>
    </w:p>
    <w:p w14:paraId="440DDCCA" w14:textId="77777777" w:rsidR="00D726B2" w:rsidRPr="00191003" w:rsidRDefault="00D726B2" w:rsidP="00E858EF">
      <w:pPr>
        <w:pStyle w:val="Paragrafoelenco"/>
        <w:numPr>
          <w:ilvl w:val="0"/>
          <w:numId w:val="80"/>
        </w:numPr>
        <w:suppressAutoHyphens/>
        <w:spacing w:after="160"/>
      </w:pPr>
      <w:r w:rsidRPr="00191003">
        <w:t>Papyri</w:t>
      </w:r>
      <w:r>
        <w:t xml:space="preserve"> (FM 11): in larnakes from the Mid-West</w:t>
      </w:r>
      <w:r w:rsidRPr="00191003">
        <w:t xml:space="preserve"> area</w:t>
      </w:r>
      <w:r>
        <w:t>,</w:t>
      </w:r>
      <w:r w:rsidRPr="00191003">
        <w:t xml:space="preserve"> papyri occur both as</w:t>
      </w:r>
      <w:r>
        <w:t xml:space="preserve"> a single motif and multiply </w:t>
      </w:r>
      <w:r w:rsidRPr="00191003">
        <w:t>in a row. Styli</w:t>
      </w:r>
      <w:r>
        <w:t>s</w:t>
      </w:r>
      <w:r w:rsidRPr="00191003">
        <w:t xml:space="preserve">ed papyri in </w:t>
      </w:r>
      <w:r>
        <w:t xml:space="preserve">a </w:t>
      </w:r>
      <w:r w:rsidRPr="00191003">
        <w:t xml:space="preserve">horizontal row, six in total, </w:t>
      </w:r>
      <w:r>
        <w:t>are</w:t>
      </w:r>
      <w:r w:rsidRPr="00191003">
        <w:t xml:space="preserve"> the main decoration on both </w:t>
      </w:r>
      <w:r>
        <w:t xml:space="preserve">the </w:t>
      </w:r>
      <w:r w:rsidRPr="00191003">
        <w:t>long</w:t>
      </w:r>
      <w:r>
        <w:t>-</w:t>
      </w:r>
      <w:r w:rsidRPr="00191003">
        <w:t>side panel</w:t>
      </w:r>
      <w:r>
        <w:t>s of</w:t>
      </w:r>
      <w:r w:rsidRPr="00191003">
        <w:t xml:space="preserve"> a larnax from </w:t>
      </w:r>
      <w:r>
        <w:t xml:space="preserve">27 Pankalochori </w:t>
      </w:r>
      <w:r w:rsidRPr="00191003">
        <w:t>MR 3360</w:t>
      </w:r>
      <w:r>
        <w:t xml:space="preserve">, </w:t>
      </w:r>
      <w:r w:rsidRPr="00191003">
        <w:t xml:space="preserve">Baxevani </w:t>
      </w:r>
      <w:r>
        <w:t xml:space="preserve">and </w:t>
      </w:r>
      <w:r w:rsidRPr="00191003">
        <w:t xml:space="preserve">Markoulaki 1996: 641-703 </w:t>
      </w:r>
      <w:r>
        <w:t>F</w:t>
      </w:r>
      <w:r w:rsidRPr="00191003">
        <w:t>ig</w:t>
      </w:r>
      <w:r>
        <w:t>s</w:t>
      </w:r>
      <w:r w:rsidRPr="00191003">
        <w:t>. 32-34). As noted in the description of the decoration of this larnax</w:t>
      </w:r>
      <w:r>
        <w:t>,</w:t>
      </w:r>
      <w:r w:rsidRPr="00191003">
        <w:t xml:space="preserve"> this </w:t>
      </w:r>
      <w:r>
        <w:t>‘</w:t>
      </w:r>
      <w:r w:rsidRPr="00191003">
        <w:t>stylised</w:t>
      </w:r>
      <w:r>
        <w:t>’</w:t>
      </w:r>
      <w:r w:rsidRPr="00191003">
        <w:t xml:space="preserve"> way of representing papyri can be found </w:t>
      </w:r>
      <w:r>
        <w:t>o</w:t>
      </w:r>
      <w:r w:rsidRPr="00191003">
        <w:t>n another larnax from the same context (</w:t>
      </w:r>
      <w:r>
        <w:t xml:space="preserve">28 </w:t>
      </w:r>
      <w:r w:rsidRPr="00191003">
        <w:t>Pankalochori MR 33</w:t>
      </w:r>
      <w:r>
        <w:t>59) and in other larnakes from the Mid-West</w:t>
      </w:r>
      <w:r w:rsidRPr="00191003">
        <w:t xml:space="preserve"> region (</w:t>
      </w:r>
      <w:r>
        <w:t>e.g.</w:t>
      </w:r>
      <w:r w:rsidRPr="00191003">
        <w:t xml:space="preserve"> </w:t>
      </w:r>
      <w:r>
        <w:t xml:space="preserve">374 </w:t>
      </w:r>
      <w:r w:rsidRPr="00191003">
        <w:t xml:space="preserve">Pigi MR 1696 and </w:t>
      </w:r>
      <w:r>
        <w:t xml:space="preserve">284 </w:t>
      </w:r>
      <w:r w:rsidRPr="00191003">
        <w:t>Moni Arsani MR 2387</w:t>
      </w:r>
      <w:r>
        <w:t>: see</w:t>
      </w:r>
      <w:r w:rsidRPr="00191003">
        <w:t xml:space="preserve"> Baxevani </w:t>
      </w:r>
      <w:r>
        <w:t xml:space="preserve">and </w:t>
      </w:r>
      <w:r w:rsidRPr="00191003">
        <w:t xml:space="preserve">Markoulaki 1996: 661). A less stylised type of </w:t>
      </w:r>
      <w:r>
        <w:t>papyrus</w:t>
      </w:r>
      <w:r w:rsidRPr="00191003">
        <w:t xml:space="preserve"> </w:t>
      </w:r>
      <w:r>
        <w:t>is</w:t>
      </w:r>
      <w:r w:rsidRPr="00191003">
        <w:t xml:space="preserve"> the main decoration o</w:t>
      </w:r>
      <w:r>
        <w:t>n</w:t>
      </w:r>
      <w:r w:rsidRPr="00191003">
        <w:t xml:space="preserve"> the long side of a larnax from Maroulas </w:t>
      </w:r>
      <w:r>
        <w:t xml:space="preserve">(244 Maroulas </w:t>
      </w:r>
      <w:r w:rsidRPr="00191003">
        <w:t>MR 2175</w:t>
      </w:r>
      <w:r>
        <w:t>:</w:t>
      </w:r>
      <w:r w:rsidRPr="00191003">
        <w:t xml:space="preserve"> Papapostolou 1974: 248-249, pls.185, b)</w:t>
      </w:r>
      <w:r>
        <w:t>,</w:t>
      </w:r>
      <w:r w:rsidRPr="00191003">
        <w:t xml:space="preserve"> and they occur </w:t>
      </w:r>
      <w:r>
        <w:t xml:space="preserve">also </w:t>
      </w:r>
      <w:r w:rsidRPr="00191003">
        <w:t>as</w:t>
      </w:r>
      <w:r>
        <w:t xml:space="preserve"> the</w:t>
      </w:r>
      <w:r w:rsidRPr="00191003">
        <w:t xml:space="preserve"> main decoration of </w:t>
      </w:r>
      <w:r>
        <w:t xml:space="preserve">the </w:t>
      </w:r>
      <w:r w:rsidRPr="00191003">
        <w:t xml:space="preserve">panels and lid </w:t>
      </w:r>
      <w:r>
        <w:t>o</w:t>
      </w:r>
      <w:r w:rsidRPr="00191003">
        <w:t>n another larnax from Maroulas</w:t>
      </w:r>
      <w:r>
        <w:t xml:space="preserve"> (246 Maroulas</w:t>
      </w:r>
      <w:r w:rsidRPr="00191003">
        <w:t xml:space="preserve"> MR 2177</w:t>
      </w:r>
      <w:r>
        <w:t>:</w:t>
      </w:r>
      <w:r w:rsidRPr="00191003">
        <w:t xml:space="preserve"> Papapostolou 1974: 248-249, pls.18). In both larnakes</w:t>
      </w:r>
      <w:r>
        <w:t>,</w:t>
      </w:r>
      <w:r w:rsidRPr="00191003">
        <w:t xml:space="preserve"> the other main motif is </w:t>
      </w:r>
      <w:r>
        <w:t xml:space="preserve">an </w:t>
      </w:r>
      <w:r w:rsidRPr="00191003">
        <w:t xml:space="preserve">octopus (FM 21). </w:t>
      </w:r>
    </w:p>
    <w:p w14:paraId="62DC1C74" w14:textId="77777777" w:rsidR="00D726B2" w:rsidRPr="00191003" w:rsidRDefault="00D726B2" w:rsidP="00E858EF">
      <w:pPr>
        <w:pStyle w:val="Paragrafoelenco"/>
        <w:numPr>
          <w:ilvl w:val="0"/>
          <w:numId w:val="80"/>
        </w:numPr>
        <w:suppressAutoHyphens/>
        <w:spacing w:after="160"/>
      </w:pPr>
      <w:r w:rsidRPr="00191003">
        <w:t xml:space="preserve">Rosette (FM 17): </w:t>
      </w:r>
      <w:r>
        <w:t>this</w:t>
      </w:r>
      <w:r w:rsidRPr="00191003">
        <w:t xml:space="preserve"> appears as </w:t>
      </w:r>
      <w:r>
        <w:t xml:space="preserve">an </w:t>
      </w:r>
      <w:r w:rsidRPr="00191003">
        <w:t xml:space="preserve">isolated large-scale motif in two larnakes from Maroulas </w:t>
      </w:r>
      <w:r>
        <w:t>that have</w:t>
      </w:r>
      <w:r w:rsidRPr="00191003">
        <w:t xml:space="preserve"> very similar decoration (</w:t>
      </w:r>
      <w:r>
        <w:t xml:space="preserve">234 Maroulas </w:t>
      </w:r>
      <w:r w:rsidRPr="00191003">
        <w:t>NAM 12834</w:t>
      </w:r>
      <w:r>
        <w:t>:</w:t>
      </w:r>
      <w:r w:rsidRPr="00191003">
        <w:t xml:space="preserve"> Merousis 2007/2008: 77-92 </w:t>
      </w:r>
      <w:r>
        <w:t>F</w:t>
      </w:r>
      <w:r w:rsidRPr="00191003">
        <w:t>ig</w:t>
      </w:r>
      <w:r>
        <w:t>s</w:t>
      </w:r>
      <w:r w:rsidRPr="00191003">
        <w:t>. 11-13 and MR 2176</w:t>
      </w:r>
      <w:r>
        <w:t>:</w:t>
      </w:r>
      <w:r w:rsidRPr="00191003">
        <w:t xml:space="preserve"> Papapostolou 1974: 248-249, pls.186, a-b) and as a decorative/filling motif isolated (a bull</w:t>
      </w:r>
      <w:r>
        <w:t>, as</w:t>
      </w:r>
      <w:r w:rsidRPr="00191003">
        <w:t xml:space="preserve"> in the case of the larnax from </w:t>
      </w:r>
      <w:r>
        <w:t>Armenoi 263 Armenoi</w:t>
      </w:r>
      <w:r w:rsidRPr="00191003">
        <w:t xml:space="preserve"> MR 1710</w:t>
      </w:r>
      <w:r>
        <w:t>:</w:t>
      </w:r>
      <w:r w:rsidRPr="00191003">
        <w:t xml:space="preserve"> </w:t>
      </w:r>
      <w:r>
        <w:t xml:space="preserve">Tzedakis </w:t>
      </w:r>
      <w:r w:rsidRPr="00191003">
        <w:t xml:space="preserve">1971: 216-222, </w:t>
      </w:r>
      <w:r>
        <w:t>F</w:t>
      </w:r>
      <w:r w:rsidRPr="00191003">
        <w:t>ig. 8) or arranged in a net pattern, quatrefoil net (</w:t>
      </w:r>
      <w:r>
        <w:t>e.g.</w:t>
      </w:r>
      <w:r w:rsidRPr="00191003">
        <w:t xml:space="preserve"> short side larnax from Pigi</w:t>
      </w:r>
      <w:r>
        <w:t>, 374</w:t>
      </w:r>
      <w:r w:rsidRPr="00191003">
        <w:t xml:space="preserve"> MR 1696</w:t>
      </w:r>
      <w:r>
        <w:t>:</w:t>
      </w:r>
      <w:r w:rsidRPr="00191003">
        <w:t xml:space="preserve"> Baxevani 1995: 18 </w:t>
      </w:r>
      <w:r>
        <w:t>F</w:t>
      </w:r>
      <w:r w:rsidRPr="00191003">
        <w:t>ig. 8)</w:t>
      </w:r>
      <w:r>
        <w:t>.</w:t>
      </w:r>
    </w:p>
    <w:p w14:paraId="313C7DA3" w14:textId="77777777" w:rsidR="00D726B2" w:rsidRPr="00191003" w:rsidRDefault="00D726B2" w:rsidP="00E858EF">
      <w:pPr>
        <w:pStyle w:val="Paragrafoelenco"/>
        <w:numPr>
          <w:ilvl w:val="0"/>
          <w:numId w:val="80"/>
        </w:numPr>
        <w:suppressAutoHyphens/>
        <w:spacing w:after="160"/>
      </w:pPr>
      <w:r w:rsidRPr="00191003">
        <w:t xml:space="preserve">Multiple stem tongue pattern (FM 19): this </w:t>
      </w:r>
      <w:r>
        <w:t>is</w:t>
      </w:r>
      <w:r w:rsidRPr="00191003">
        <w:t xml:space="preserve"> a common </w:t>
      </w:r>
      <w:r>
        <w:t>pattern</w:t>
      </w:r>
      <w:r w:rsidRPr="00191003">
        <w:t xml:space="preserve"> used as a filling motif. It </w:t>
      </w:r>
      <w:r>
        <w:t xml:space="preserve">is </w:t>
      </w:r>
      <w:r w:rsidRPr="00191003">
        <w:t xml:space="preserve">usually rendered </w:t>
      </w:r>
      <w:r>
        <w:t>as</w:t>
      </w:r>
      <w:r w:rsidRPr="00191003">
        <w:t xml:space="preserve"> an arrow shape (</w:t>
      </w:r>
      <w:r>
        <w:t>e.g.</w:t>
      </w:r>
      <w:r w:rsidRPr="00191003">
        <w:t xml:space="preserve"> </w:t>
      </w:r>
      <w:r>
        <w:t xml:space="preserve">342 </w:t>
      </w:r>
      <w:r w:rsidRPr="00191003">
        <w:t>Voliones MR 3145</w:t>
      </w:r>
      <w:r>
        <w:t>:</w:t>
      </w:r>
      <w:r w:rsidRPr="00191003">
        <w:t xml:space="preserve"> Pologiorgi 1981: 82-205, </w:t>
      </w:r>
      <w:r>
        <w:t>F</w:t>
      </w:r>
      <w:r w:rsidRPr="00191003">
        <w:t>ig</w:t>
      </w:r>
      <w:r>
        <w:t>s</w:t>
      </w:r>
      <w:r w:rsidRPr="00191003">
        <w:t>. 4-5,</w:t>
      </w:r>
      <w:r>
        <w:t xml:space="preserve"> </w:t>
      </w:r>
      <w:r w:rsidRPr="00191003">
        <w:t xml:space="preserve">pl. 43β-γ, 44; </w:t>
      </w:r>
      <w:r w:rsidRPr="00733192">
        <w:rPr>
          <w:i/>
        </w:rPr>
        <w:t>ADelt</w:t>
      </w:r>
      <w:r w:rsidRPr="00191003">
        <w:t xml:space="preserve"> 37 1982: 385, pl.271b, 272a-b) and appear</w:t>
      </w:r>
      <w:r>
        <w:t>s</w:t>
      </w:r>
      <w:r w:rsidRPr="00191003">
        <w:t xml:space="preserve"> more than once </w:t>
      </w:r>
      <w:r>
        <w:t>o</w:t>
      </w:r>
      <w:r w:rsidRPr="00191003">
        <w:t>n every larnax</w:t>
      </w:r>
      <w:r>
        <w:t xml:space="preserve"> from Mid-West area</w:t>
      </w:r>
      <w:r w:rsidRPr="00191003">
        <w:t xml:space="preserve"> </w:t>
      </w:r>
      <w:r>
        <w:t>for</w:t>
      </w:r>
      <w:r w:rsidRPr="00191003">
        <w:t xml:space="preserve"> a total occurrence of at least 106 times </w:t>
      </w:r>
      <w:r>
        <w:t>o</w:t>
      </w:r>
      <w:r w:rsidRPr="00191003">
        <w:t>n 16 larnakes (</w:t>
      </w:r>
      <w:r>
        <w:t xml:space="preserve">e.g. 270 </w:t>
      </w:r>
      <w:r w:rsidRPr="00191003">
        <w:t>Armen</w:t>
      </w:r>
      <w:r>
        <w:t>o</w:t>
      </w:r>
      <w:r w:rsidRPr="00191003">
        <w:t>i MR</w:t>
      </w:r>
      <w:r>
        <w:t xml:space="preserve"> 5121 or </w:t>
      </w:r>
      <w:r w:rsidRPr="00191003">
        <w:t xml:space="preserve"> 2829 it appear</w:t>
      </w:r>
      <w:r>
        <w:t>s</w:t>
      </w:r>
      <w:r w:rsidRPr="00191003">
        <w:t xml:space="preserve"> 15 times</w:t>
      </w:r>
      <w:r>
        <w:t>: see</w:t>
      </w:r>
      <w:r w:rsidRPr="00191003">
        <w:t xml:space="preserve"> </w:t>
      </w:r>
      <w:r w:rsidRPr="00733192">
        <w:rPr>
          <w:i/>
        </w:rPr>
        <w:t>ADelt</w:t>
      </w:r>
      <w:r w:rsidRPr="00191003">
        <w:t xml:space="preserve"> 35 1980: 517 pl. 319 e, 320 a)</w:t>
      </w:r>
      <w:r>
        <w:t>.</w:t>
      </w:r>
    </w:p>
    <w:p w14:paraId="78AC947A" w14:textId="77777777" w:rsidR="00D726B2" w:rsidRPr="00191003" w:rsidRDefault="00D726B2" w:rsidP="00E858EF">
      <w:pPr>
        <w:pStyle w:val="Paragrafoelenco"/>
        <w:numPr>
          <w:ilvl w:val="0"/>
          <w:numId w:val="80"/>
        </w:numPr>
        <w:suppressAutoHyphens/>
        <w:spacing w:after="160"/>
      </w:pPr>
      <w:r w:rsidRPr="00191003">
        <w:t>Double axes (FM 35): the</w:t>
      </w:r>
      <w:r>
        <w:t>se</w:t>
      </w:r>
      <w:r w:rsidRPr="00191003">
        <w:t xml:space="preserve"> occur always in association with horns of consecration</w:t>
      </w:r>
      <w:r>
        <w:t>,</w:t>
      </w:r>
      <w:r w:rsidRPr="00191003">
        <w:t xml:space="preserve"> except in the case of</w:t>
      </w:r>
      <w:r>
        <w:t xml:space="preserve"> 265 Armenoi</w:t>
      </w:r>
      <w:r w:rsidRPr="00191003">
        <w:t xml:space="preserve"> MR 1707</w:t>
      </w:r>
      <w:r>
        <w:t>,</w:t>
      </w:r>
      <w:r w:rsidRPr="00191003">
        <w:t xml:space="preserve"> </w:t>
      </w:r>
      <w:r>
        <w:t xml:space="preserve">on which </w:t>
      </w:r>
      <w:r w:rsidRPr="00191003">
        <w:t>a double axe is he</w:t>
      </w:r>
      <w:r>
        <w:t>ld by a male</w:t>
      </w:r>
      <w:r w:rsidRPr="00191003">
        <w:t xml:space="preserve"> figure in the scene on the long side (Tzedakis 1971: 216-222, </w:t>
      </w:r>
      <w:r>
        <w:t>F</w:t>
      </w:r>
      <w:r w:rsidRPr="00191003">
        <w:t>ig. 4)</w:t>
      </w:r>
      <w:r>
        <w:t>.</w:t>
      </w:r>
    </w:p>
    <w:p w14:paraId="0FC90A5A" w14:textId="77777777" w:rsidR="00D726B2" w:rsidRPr="00191003" w:rsidRDefault="00D726B2" w:rsidP="00E858EF">
      <w:pPr>
        <w:pStyle w:val="Paragrafoelenco"/>
        <w:numPr>
          <w:ilvl w:val="0"/>
          <w:numId w:val="80"/>
        </w:numPr>
        <w:suppressAutoHyphens/>
        <w:spacing w:after="160"/>
      </w:pPr>
      <w:r w:rsidRPr="00191003">
        <w:t xml:space="preserve">Horns of consecration (FM 36): </w:t>
      </w:r>
      <w:r>
        <w:t xml:space="preserve">these </w:t>
      </w:r>
      <w:r w:rsidRPr="00191003">
        <w:t xml:space="preserve">occur </w:t>
      </w:r>
      <w:r>
        <w:t>o</w:t>
      </w:r>
      <w:r w:rsidRPr="00191003">
        <w:t xml:space="preserve">n </w:t>
      </w:r>
      <w:r>
        <w:t>11</w:t>
      </w:r>
      <w:r w:rsidRPr="00191003">
        <w:t xml:space="preserve"> larnakes for a total of 88 </w:t>
      </w:r>
      <w:r>
        <w:t>motif</w:t>
      </w:r>
      <w:r w:rsidRPr="00191003">
        <w:t xml:space="preserve">s registered. The highest occurrence of this motif </w:t>
      </w:r>
      <w:r>
        <w:t>is</w:t>
      </w:r>
      <w:r w:rsidRPr="00191003">
        <w:t xml:space="preserve"> registered </w:t>
      </w:r>
      <w:r>
        <w:t>o</w:t>
      </w:r>
      <w:r w:rsidRPr="00191003">
        <w:t>n two larnakes from Armenoi (</w:t>
      </w:r>
      <w:r>
        <w:t xml:space="preserve">263 Armenoi </w:t>
      </w:r>
      <w:r w:rsidRPr="00191003">
        <w:t xml:space="preserve">MR 1710 and </w:t>
      </w:r>
      <w:r>
        <w:t xml:space="preserve">266 Armenoi </w:t>
      </w:r>
      <w:r w:rsidRPr="00191003">
        <w:t>MR 1708)</w:t>
      </w:r>
      <w:r>
        <w:t>,</w:t>
      </w:r>
      <w:r w:rsidRPr="00191003">
        <w:t xml:space="preserve"> where they </w:t>
      </w:r>
      <w:r>
        <w:t>are</w:t>
      </w:r>
      <w:r w:rsidRPr="00191003">
        <w:t xml:space="preserve"> used both in frames and panels</w:t>
      </w:r>
      <w:r>
        <w:t>.</w:t>
      </w:r>
      <w:r w:rsidRPr="00191003">
        <w:t xml:space="preserve"> </w:t>
      </w:r>
      <w:r>
        <w:t>T</w:t>
      </w:r>
      <w:r w:rsidRPr="00191003">
        <w:t>hey can be alone (</w:t>
      </w:r>
      <w:r>
        <w:t xml:space="preserve">263 Armenoi </w:t>
      </w:r>
      <w:r w:rsidRPr="00191003">
        <w:t>MR 1710</w:t>
      </w:r>
      <w:r>
        <w:t>,</w:t>
      </w:r>
      <w:r w:rsidRPr="00191003">
        <w:t xml:space="preserve"> Tzedakis 1971: 216-222) or in association with double axes in the vast majority of cases or with branches (</w:t>
      </w:r>
      <w:r>
        <w:t xml:space="preserve">374 Pigi </w:t>
      </w:r>
      <w:r w:rsidRPr="00191003">
        <w:t>MR 1696</w:t>
      </w:r>
      <w:r>
        <w:t>:</w:t>
      </w:r>
      <w:r w:rsidRPr="00191003">
        <w:t xml:space="preserve"> Baxevani 1995: 18 </w:t>
      </w:r>
      <w:r>
        <w:t>F</w:t>
      </w:r>
      <w:r w:rsidRPr="00191003">
        <w:t xml:space="preserve">ig. 8). </w:t>
      </w:r>
    </w:p>
    <w:p w14:paraId="2E9EE641" w14:textId="77777777" w:rsidR="00D726B2" w:rsidRPr="00191003" w:rsidRDefault="00D726B2" w:rsidP="00E858EF">
      <w:pPr>
        <w:pStyle w:val="Paragrafoelenco"/>
        <w:numPr>
          <w:ilvl w:val="0"/>
          <w:numId w:val="80"/>
        </w:numPr>
        <w:suppressAutoHyphens/>
        <w:spacing w:after="160"/>
      </w:pPr>
      <w:r w:rsidRPr="00191003">
        <w:t xml:space="preserve">Chequers (FM 56): </w:t>
      </w:r>
      <w:r>
        <w:t xml:space="preserve">these </w:t>
      </w:r>
      <w:r w:rsidRPr="00191003">
        <w:t xml:space="preserve">occur </w:t>
      </w:r>
      <w:r>
        <w:t>o</w:t>
      </w:r>
      <w:r w:rsidRPr="00191003">
        <w:t xml:space="preserve">n </w:t>
      </w:r>
      <w:r>
        <w:t>10</w:t>
      </w:r>
      <w:r w:rsidRPr="00191003">
        <w:t xml:space="preserve"> larnakes and </w:t>
      </w:r>
      <w:r>
        <w:t>are</w:t>
      </w:r>
      <w:r w:rsidRPr="00191003">
        <w:t xml:space="preserve"> used as filling </w:t>
      </w:r>
      <w:r>
        <w:t>motif</w:t>
      </w:r>
      <w:r w:rsidRPr="00191003">
        <w:t>s for panels and frames (occupying the entire surface</w:t>
      </w:r>
      <w:r>
        <w:t>,</w:t>
      </w:r>
      <w:r w:rsidRPr="00191003">
        <w:t xml:space="preserve"> </w:t>
      </w:r>
      <w:r>
        <w:t>e.g.</w:t>
      </w:r>
      <w:r w:rsidRPr="00191003">
        <w:t xml:space="preserve"> larnax from Maroulas MR 2177</w:t>
      </w:r>
      <w:r>
        <w:t xml:space="preserve"> on</w:t>
      </w:r>
      <w:r w:rsidRPr="00191003">
        <w:t xml:space="preserve"> both short sides). In the case of a larnax from Armenoi</w:t>
      </w:r>
      <w:r>
        <w:t>,</w:t>
      </w:r>
      <w:r w:rsidRPr="00191003">
        <w:t xml:space="preserve"> </w:t>
      </w:r>
      <w:r>
        <w:t>they</w:t>
      </w:r>
      <w:r w:rsidRPr="00191003">
        <w:t xml:space="preserve"> </w:t>
      </w:r>
      <w:r>
        <w:t>are</w:t>
      </w:r>
      <w:r w:rsidRPr="00191003">
        <w:t xml:space="preserve"> associated with a human figure (human </w:t>
      </w:r>
      <w:r>
        <w:t xml:space="preserve">figure above a chequer pattern 268 Armenoi </w:t>
      </w:r>
      <w:r w:rsidRPr="00191003">
        <w:t xml:space="preserve">MR 1706 Tzedakis 1971: 216-222 </w:t>
      </w:r>
      <w:r>
        <w:t>F</w:t>
      </w:r>
      <w:r w:rsidRPr="00191003">
        <w:t>ig. 9</w:t>
      </w:r>
      <w:r>
        <w:t>).</w:t>
      </w:r>
    </w:p>
    <w:p w14:paraId="20F41100" w14:textId="77777777" w:rsidR="00D726B2" w:rsidRPr="00191003" w:rsidRDefault="00D726B2" w:rsidP="00E858EF">
      <w:pPr>
        <w:pStyle w:val="Paragrafoelenco"/>
        <w:numPr>
          <w:ilvl w:val="0"/>
          <w:numId w:val="80"/>
        </w:numPr>
        <w:suppressAutoHyphens/>
        <w:spacing w:after="160"/>
      </w:pPr>
      <w:r w:rsidRPr="00191003">
        <w:t>Wheel (FM 68): this motif occur</w:t>
      </w:r>
      <w:r>
        <w:t>s</w:t>
      </w:r>
      <w:r w:rsidRPr="00191003">
        <w:t xml:space="preserve"> repeated</w:t>
      </w:r>
      <w:r>
        <w:t>ly,</w:t>
      </w:r>
      <w:r w:rsidRPr="00191003">
        <w:t xml:space="preserve"> at least 12 times only </w:t>
      </w:r>
      <w:r>
        <w:t>o</w:t>
      </w:r>
      <w:r w:rsidRPr="00191003">
        <w:t>n a</w:t>
      </w:r>
      <w:r>
        <w:t xml:space="preserve"> single</w:t>
      </w:r>
      <w:r w:rsidRPr="00191003">
        <w:t xml:space="preserve"> larnax from Mesi (</w:t>
      </w:r>
      <w:r>
        <w:t xml:space="preserve">249 Mesi </w:t>
      </w:r>
      <w:r w:rsidRPr="00191003">
        <w:t>MR 2385</w:t>
      </w:r>
      <w:r>
        <w:t>:</w:t>
      </w:r>
      <w:r w:rsidRPr="00191003">
        <w:t xml:space="preserve"> Mavriyannaki 1972: 28, 47-55, pl. VIII-X) both as </w:t>
      </w:r>
      <w:r>
        <w:t xml:space="preserve">a </w:t>
      </w:r>
      <w:r w:rsidRPr="00191003">
        <w:t xml:space="preserve">frame and </w:t>
      </w:r>
      <w:r>
        <w:t xml:space="preserve">a </w:t>
      </w:r>
      <w:r w:rsidRPr="00191003">
        <w:t>panel motif</w:t>
      </w:r>
      <w:r>
        <w:t>.</w:t>
      </w:r>
    </w:p>
    <w:p w14:paraId="4E3CE81E" w14:textId="77777777" w:rsidR="00D726B2" w:rsidRPr="00191003" w:rsidRDefault="00D726B2" w:rsidP="00E858EF">
      <w:pPr>
        <w:pStyle w:val="Paragrafoelenco"/>
        <w:numPr>
          <w:ilvl w:val="0"/>
          <w:numId w:val="80"/>
        </w:numPr>
        <w:suppressAutoHyphens/>
        <w:spacing w:after="160"/>
      </w:pPr>
      <w:r w:rsidRPr="00191003">
        <w:t>Lozenge (FM 73): this motif occurs always in multiple</w:t>
      </w:r>
      <w:r>
        <w:t>s</w:t>
      </w:r>
      <w:r w:rsidRPr="00191003">
        <w:t>, as an entire ornament in a row (</w:t>
      </w:r>
      <w:r>
        <w:t>e.g.</w:t>
      </w:r>
      <w:r w:rsidRPr="00191003">
        <w:t xml:space="preserve"> </w:t>
      </w:r>
      <w:r>
        <w:t xml:space="preserve">249 Mesi </w:t>
      </w:r>
      <w:r w:rsidRPr="00191003">
        <w:t>MR 2385</w:t>
      </w:r>
      <w:r>
        <w:t>:</w:t>
      </w:r>
      <w:r w:rsidRPr="00191003">
        <w:t xml:space="preserve"> Mavriyannaki 1972: 28, 47-55, pl. VIII-XI) or forming a pattern (</w:t>
      </w:r>
      <w:r>
        <w:t>e.g.</w:t>
      </w:r>
      <w:r w:rsidRPr="00191003">
        <w:t xml:space="preserve"> </w:t>
      </w:r>
      <w:r>
        <w:t xml:space="preserve">344 Apostoli MR 4437 or MR 21511: </w:t>
      </w:r>
      <w:r w:rsidRPr="00191003">
        <w:t xml:space="preserve">Gavrilakis 1994: 55 </w:t>
      </w:r>
      <w:r>
        <w:t>F</w:t>
      </w:r>
      <w:r w:rsidRPr="00191003">
        <w:t xml:space="preserve">ig. 20.8) and can be repeated </w:t>
      </w:r>
      <w:r>
        <w:t>o</w:t>
      </w:r>
      <w:r w:rsidRPr="00191003">
        <w:t xml:space="preserve">n more than one area of the larnax (both </w:t>
      </w:r>
      <w:r>
        <w:t>o</w:t>
      </w:r>
      <w:r w:rsidRPr="00191003">
        <w:t>n panel</w:t>
      </w:r>
      <w:r>
        <w:t>s</w:t>
      </w:r>
      <w:r w:rsidRPr="00191003">
        <w:t xml:space="preserve"> and </w:t>
      </w:r>
      <w:r>
        <w:t xml:space="preserve">in </w:t>
      </w:r>
      <w:r w:rsidRPr="00191003">
        <w:t>frames)</w:t>
      </w:r>
      <w:r>
        <w:t>.</w:t>
      </w:r>
      <w:r w:rsidRPr="00191003">
        <w:t xml:space="preserve"> It appears </w:t>
      </w:r>
      <w:r>
        <w:t xml:space="preserve">on </w:t>
      </w:r>
      <w:r w:rsidRPr="00191003">
        <w:t xml:space="preserve">at least </w:t>
      </w:r>
      <w:r>
        <w:t>10</w:t>
      </w:r>
      <w:r w:rsidRPr="00191003">
        <w:t xml:space="preserve"> larnakes</w:t>
      </w:r>
      <w:r>
        <w:t>.</w:t>
      </w:r>
    </w:p>
    <w:p w14:paraId="11A1ACCE" w14:textId="77777777" w:rsidR="00D726B2" w:rsidRPr="00191003" w:rsidRDefault="00D726B2" w:rsidP="00E858EF">
      <w:pPr>
        <w:pStyle w:val="Titolo4"/>
        <w:keepNext w:val="0"/>
        <w:keepLines w:val="0"/>
        <w:suppressAutoHyphens/>
      </w:pPr>
      <w:bookmarkStart w:id="1071" w:name="_Toc517807590"/>
      <w:r w:rsidRPr="00191003">
        <w:t>Difference between frames and panel</w:t>
      </w:r>
      <w:bookmarkEnd w:id="1071"/>
    </w:p>
    <w:p w14:paraId="026F0F84" w14:textId="77777777" w:rsidR="00D726B2" w:rsidRPr="00191003" w:rsidRDefault="00D726B2" w:rsidP="00E858EF">
      <w:pPr>
        <w:suppressAutoHyphens/>
      </w:pPr>
      <w:r w:rsidRPr="00191003">
        <w:t xml:space="preserve">From </w:t>
      </w:r>
      <w:r>
        <w:t>a</w:t>
      </w:r>
      <w:r w:rsidRPr="00191003">
        <w:t xml:space="preserve"> morphological </w:t>
      </w:r>
      <w:r>
        <w:t>perspective,</w:t>
      </w:r>
      <w:r w:rsidRPr="00191003">
        <w:t xml:space="preserve"> the division between frame</w:t>
      </w:r>
      <w:r>
        <w:t>s</w:t>
      </w:r>
      <w:r w:rsidRPr="00191003">
        <w:t xml:space="preserve"> and panel</w:t>
      </w:r>
      <w:r>
        <w:t>s on chest-shaped larnakes from the Mid-West</w:t>
      </w:r>
      <w:r w:rsidRPr="00191003">
        <w:t xml:space="preserve"> region is </w:t>
      </w:r>
      <w:r>
        <w:t>most</w:t>
      </w:r>
      <w:r w:rsidRPr="00191003">
        <w:t xml:space="preserve"> </w:t>
      </w:r>
      <w:r>
        <w:t>often</w:t>
      </w:r>
      <w:r w:rsidRPr="00191003">
        <w:t xml:space="preserve"> </w:t>
      </w:r>
      <w:r>
        <w:t>delineated</w:t>
      </w:r>
      <w:r w:rsidRPr="00191003">
        <w:t xml:space="preserve"> </w:t>
      </w:r>
      <w:r>
        <w:t>by</w:t>
      </w:r>
      <w:r w:rsidRPr="00191003">
        <w:t xml:space="preserve"> raised panels.</w:t>
      </w:r>
      <w:r>
        <w:t xml:space="preserve"> </w:t>
      </w:r>
      <w:r w:rsidRPr="00191003">
        <w:t>This is valid</w:t>
      </w:r>
      <w:r>
        <w:t xml:space="preserve"> also</w:t>
      </w:r>
      <w:r w:rsidRPr="00191003">
        <w:t xml:space="preserve"> for the sample of decorated larnakes</w:t>
      </w:r>
      <w:r>
        <w:t>,</w:t>
      </w:r>
      <w:r w:rsidRPr="00191003">
        <w:t xml:space="preserve"> </w:t>
      </w:r>
      <w:r>
        <w:t>in which</w:t>
      </w:r>
      <w:r w:rsidRPr="00191003">
        <w:t xml:space="preserve"> frames are rendered through raised band</w:t>
      </w:r>
      <w:r>
        <w:t>s</w:t>
      </w:r>
      <w:r w:rsidRPr="00191003">
        <w:t xml:space="preserve"> in all cases.</w:t>
      </w:r>
    </w:p>
    <w:p w14:paraId="79B2E2A9" w14:textId="7ADBCF4E" w:rsidR="00D726B2" w:rsidRPr="00191003" w:rsidRDefault="00D726B2" w:rsidP="00E858EF">
      <w:pPr>
        <w:suppressAutoHyphens/>
      </w:pPr>
      <w:r>
        <w:tab/>
      </w:r>
      <w:r w:rsidRPr="00191003">
        <w:t>In this region</w:t>
      </w:r>
      <w:r>
        <w:t>,</w:t>
      </w:r>
      <w:r w:rsidRPr="00191003">
        <w:t xml:space="preserve"> the number of </w:t>
      </w:r>
      <w:r>
        <w:t>motif</w:t>
      </w:r>
      <w:r w:rsidRPr="00191003">
        <w:t xml:space="preserve">s </w:t>
      </w:r>
      <w:r>
        <w:t>that</w:t>
      </w:r>
      <w:r w:rsidRPr="00191003">
        <w:t xml:space="preserve"> occur in frames is </w:t>
      </w:r>
      <w:r>
        <w:t>relatively</w:t>
      </w:r>
      <w:r w:rsidRPr="00191003">
        <w:t xml:space="preserve"> high in comparison </w:t>
      </w:r>
      <w:r>
        <w:t>with</w:t>
      </w:r>
      <w:r w:rsidRPr="00191003">
        <w:t xml:space="preserve"> other region</w:t>
      </w:r>
      <w:r>
        <w:t>s,</w:t>
      </w:r>
      <w:r w:rsidRPr="00191003">
        <w:t xml:space="preserve"> and some of these </w:t>
      </w:r>
      <w:r>
        <w:t>motif</w:t>
      </w:r>
      <w:r w:rsidRPr="00191003">
        <w:t>s (i.e. chequers, adder mark</w:t>
      </w:r>
      <w:r>
        <w:t>,</w:t>
      </w:r>
      <w:r w:rsidRPr="00191003">
        <w:t xml:space="preserve"> net pattern</w:t>
      </w:r>
      <w:r>
        <w:t>,</w:t>
      </w:r>
      <w:r w:rsidRPr="00191003">
        <w:t xml:space="preserve"> scale pattern, horns of consecration and double axes) are used both for frames and panels even </w:t>
      </w:r>
      <w:r>
        <w:t>on</w:t>
      </w:r>
      <w:r w:rsidRPr="00191003">
        <w:t xml:space="preserve"> the same larnax (</w:t>
      </w:r>
      <w:r>
        <w:t>e.g.</w:t>
      </w:r>
      <w:r w:rsidRPr="00191003">
        <w:t xml:space="preserve"> </w:t>
      </w:r>
      <w:r>
        <w:t xml:space="preserve">344 Apostoli MR 4437 or MR 2151; 263 Armenoi </w:t>
      </w:r>
      <w:r w:rsidRPr="00191003">
        <w:t>MR 1710)</w:t>
      </w:r>
      <w:r>
        <w:t xml:space="preserve">. </w:t>
      </w:r>
      <w:r w:rsidRPr="00191003">
        <w:t xml:space="preserve">The </w:t>
      </w:r>
      <w:r>
        <w:t>motif</w:t>
      </w:r>
      <w:r w:rsidRPr="00191003">
        <w:t>s that occur most in frames are:</w:t>
      </w:r>
    </w:p>
    <w:p w14:paraId="5EAE77F0" w14:textId="77777777" w:rsidR="00D726B2" w:rsidRPr="00191003" w:rsidRDefault="00D726B2" w:rsidP="00E858EF">
      <w:pPr>
        <w:pStyle w:val="Paragrafoelenco"/>
        <w:numPr>
          <w:ilvl w:val="0"/>
          <w:numId w:val="78"/>
        </w:numPr>
        <w:suppressAutoHyphens/>
        <w:spacing w:after="160"/>
      </w:pPr>
      <w:r w:rsidRPr="00191003">
        <w:t>Multiple groups of wavy lines (FM 53) rendered as a painted motif</w:t>
      </w:r>
      <w:r>
        <w:t>,</w:t>
      </w:r>
      <w:r w:rsidRPr="00191003">
        <w:t xml:space="preserve"> or </w:t>
      </w:r>
      <w:r>
        <w:t xml:space="preserve">a </w:t>
      </w:r>
      <w:r w:rsidRPr="00191003">
        <w:t>single wavy line (at least 23 larnakes)</w:t>
      </w:r>
    </w:p>
    <w:p w14:paraId="663C1D68" w14:textId="77777777" w:rsidR="00D726B2" w:rsidRPr="00191003" w:rsidRDefault="00D726B2" w:rsidP="00E858EF">
      <w:pPr>
        <w:pStyle w:val="Paragrafoelenco"/>
        <w:numPr>
          <w:ilvl w:val="0"/>
          <w:numId w:val="78"/>
        </w:numPr>
        <w:suppressAutoHyphens/>
        <w:spacing w:after="160"/>
      </w:pPr>
      <w:r w:rsidRPr="00191003">
        <w:t>Wavy border FM 65 (at least 10 larnakes)</w:t>
      </w:r>
    </w:p>
    <w:p w14:paraId="2B411C36" w14:textId="77777777" w:rsidR="00D726B2" w:rsidRDefault="00D726B2" w:rsidP="00E858EF">
      <w:pPr>
        <w:suppressAutoHyphens/>
      </w:pPr>
      <w:r>
        <w:tab/>
      </w:r>
      <w:r w:rsidRPr="00191003">
        <w:t>In general</w:t>
      </w:r>
      <w:r>
        <w:t>,</w:t>
      </w:r>
      <w:r w:rsidRPr="00191003">
        <w:t xml:space="preserve"> the motif on </w:t>
      </w:r>
      <w:r>
        <w:t xml:space="preserve">the </w:t>
      </w:r>
      <w:r w:rsidRPr="00191003">
        <w:t>frames tend</w:t>
      </w:r>
      <w:r>
        <w:t>s</w:t>
      </w:r>
      <w:r w:rsidRPr="00191003">
        <w:t xml:space="preserve"> to be repeated all around the frames of the larnax. </w:t>
      </w:r>
      <w:r>
        <w:t>So, even if larnakes in the Mid-West</w:t>
      </w:r>
      <w:r w:rsidRPr="00191003">
        <w:t xml:space="preserve"> region </w:t>
      </w:r>
      <w:r>
        <w:t>display</w:t>
      </w:r>
      <w:r w:rsidRPr="00191003">
        <w:t xml:space="preserve"> more variety in term of </w:t>
      </w:r>
      <w:r>
        <w:t>motif</w:t>
      </w:r>
      <w:r w:rsidRPr="00191003">
        <w:t xml:space="preserve">s used for frame decoration, these </w:t>
      </w:r>
      <w:r>
        <w:t>motif</w:t>
      </w:r>
      <w:r w:rsidRPr="00191003">
        <w:t xml:space="preserve">s are </w:t>
      </w:r>
      <w:r>
        <w:t>fewer</w:t>
      </w:r>
      <w:r w:rsidRPr="00191003">
        <w:t xml:space="preserve"> in number than those used for panel decoration. Furthermore</w:t>
      </w:r>
      <w:r>
        <w:t>,</w:t>
      </w:r>
      <w:r w:rsidRPr="00191003">
        <w:t xml:space="preserve"> </w:t>
      </w:r>
      <w:r>
        <w:t xml:space="preserve">the </w:t>
      </w:r>
      <w:r w:rsidRPr="00191003">
        <w:t xml:space="preserve">repetition of </w:t>
      </w:r>
      <w:r>
        <w:t>motif</w:t>
      </w:r>
      <w:r w:rsidRPr="00191003">
        <w:t xml:space="preserve">s is </w:t>
      </w:r>
      <w:r>
        <w:t>apparent</w:t>
      </w:r>
      <w:r w:rsidRPr="00191003">
        <w:t xml:space="preserve"> in larnakes from this region.</w:t>
      </w:r>
      <w:r>
        <w:tab/>
      </w:r>
    </w:p>
    <w:p w14:paraId="7BE42000" w14:textId="77777777" w:rsidR="00D726B2" w:rsidRPr="00191003" w:rsidRDefault="00D726B2" w:rsidP="00E858EF">
      <w:pPr>
        <w:suppressAutoHyphens/>
      </w:pPr>
      <w:r>
        <w:tab/>
        <w:t xml:space="preserve">The differences between panel and frame decoration underline </w:t>
      </w:r>
      <w:r w:rsidRPr="00191003">
        <w:t>the panel</w:t>
      </w:r>
      <w:r>
        <w:t>-</w:t>
      </w:r>
      <w:r w:rsidRPr="00191003">
        <w:t>like structure of chest</w:t>
      </w:r>
      <w:r>
        <w:t>-shaped</w:t>
      </w:r>
      <w:r w:rsidRPr="00191003">
        <w:t xml:space="preserve"> larnakes and probably also the relation</w:t>
      </w:r>
      <w:r>
        <w:t>ship</w:t>
      </w:r>
      <w:r w:rsidRPr="00191003">
        <w:t xml:space="preserve"> </w:t>
      </w:r>
      <w:r>
        <w:t>between</w:t>
      </w:r>
      <w:r w:rsidRPr="00191003">
        <w:t xml:space="preserve"> the structure and decoration of wooden prototypes</w:t>
      </w:r>
      <w:r>
        <w:t xml:space="preserve">. However, on some larnakes, the </w:t>
      </w:r>
      <w:r w:rsidRPr="00191003">
        <w:t>panel</w:t>
      </w:r>
      <w:r>
        <w:t>s</w:t>
      </w:r>
      <w:r w:rsidRPr="00191003">
        <w:t xml:space="preserve"> and frame</w:t>
      </w:r>
      <w:r>
        <w:t>s</w:t>
      </w:r>
      <w:r w:rsidRPr="00191003">
        <w:t xml:space="preserve"> are de</w:t>
      </w:r>
      <w:r>
        <w:t>corated in exactly the same way and</w:t>
      </w:r>
      <w:r w:rsidRPr="00191003">
        <w:t xml:space="preserve"> the decoration seems to not emphasi</w:t>
      </w:r>
      <w:r>
        <w:t>s</w:t>
      </w:r>
      <w:r w:rsidRPr="00191003">
        <w:t>e the structural difference between the two parts but to create the opposite effect</w:t>
      </w:r>
      <w:r>
        <w:t>,</w:t>
      </w:r>
      <w:r w:rsidRPr="00191003">
        <w:t xml:space="preserve"> of continuity between frame and panel (</w:t>
      </w:r>
      <w:r>
        <w:t>e.g.</w:t>
      </w:r>
      <w:r w:rsidRPr="00191003">
        <w:t xml:space="preserve"> </w:t>
      </w:r>
      <w:r>
        <w:t xml:space="preserve">246 Maroulas </w:t>
      </w:r>
      <w:r w:rsidRPr="00191003">
        <w:t xml:space="preserve"> MR 2177).</w:t>
      </w:r>
    </w:p>
    <w:p w14:paraId="79AC9EC7" w14:textId="77777777" w:rsidR="00D726B2" w:rsidRPr="00191003" w:rsidRDefault="00D726B2" w:rsidP="00E858EF">
      <w:pPr>
        <w:suppressAutoHyphens/>
      </w:pPr>
      <w:r>
        <w:tab/>
        <w:t>Regarding lid</w:t>
      </w:r>
      <w:r w:rsidRPr="00191003">
        <w:t xml:space="preserve"> decoration, some </w:t>
      </w:r>
      <w:r>
        <w:t>motif</w:t>
      </w:r>
      <w:r w:rsidRPr="00191003">
        <w:t>s</w:t>
      </w:r>
      <w:r>
        <w:t xml:space="preserve"> </w:t>
      </w:r>
      <w:r w:rsidRPr="00191003">
        <w:t>(</w:t>
      </w:r>
      <w:r>
        <w:t>e.g.</w:t>
      </w:r>
      <w:r w:rsidRPr="00191003">
        <w:t xml:space="preserve"> </w:t>
      </w:r>
      <w:r>
        <w:t>a</w:t>
      </w:r>
      <w:r w:rsidRPr="00191003">
        <w:t>dder mark and lozenges in a row</w:t>
      </w:r>
      <w:r>
        <w:t>,</w:t>
      </w:r>
      <w:r w:rsidRPr="00191003">
        <w:t xml:space="preserve"> running spirals</w:t>
      </w:r>
      <w:r>
        <w:t>,</w:t>
      </w:r>
      <w:r w:rsidRPr="00191003">
        <w:t xml:space="preserve"> wavy lines) are preferred for decorating the entire space of the long sides (at least </w:t>
      </w:r>
      <w:r>
        <w:t>o</w:t>
      </w:r>
      <w:r w:rsidRPr="00191003">
        <w:t>n ten larnakes).</w:t>
      </w:r>
    </w:p>
    <w:p w14:paraId="6E541F04" w14:textId="77777777" w:rsidR="00D726B2" w:rsidRPr="00191003" w:rsidRDefault="00D726B2" w:rsidP="00E858EF">
      <w:pPr>
        <w:pStyle w:val="Titolo4"/>
        <w:keepNext w:val="0"/>
        <w:keepLines w:val="0"/>
        <w:suppressAutoHyphens/>
      </w:pPr>
      <w:bookmarkStart w:id="1072" w:name="_Toc517807591"/>
      <w:r w:rsidRPr="00191003">
        <w:t xml:space="preserve">Identifying larnakes </w:t>
      </w:r>
      <w:r>
        <w:t>that</w:t>
      </w:r>
      <w:r w:rsidRPr="00191003">
        <w:t xml:space="preserve"> </w:t>
      </w:r>
      <w:r>
        <w:t>are</w:t>
      </w:r>
      <w:r w:rsidRPr="00191003">
        <w:t xml:space="preserve"> similar</w:t>
      </w:r>
      <w:r>
        <w:t>ly</w:t>
      </w:r>
      <w:r w:rsidRPr="00191003">
        <w:t xml:space="preserve"> </w:t>
      </w:r>
      <w:r>
        <w:t>decorated</w:t>
      </w:r>
      <w:bookmarkEnd w:id="1072"/>
    </w:p>
    <w:p w14:paraId="2C36DDDB" w14:textId="5DACCCC2" w:rsidR="00D726B2" w:rsidRPr="00191003" w:rsidRDefault="00D726B2" w:rsidP="00E858EF">
      <w:pPr>
        <w:suppressAutoHyphens/>
      </w:pPr>
      <w:r w:rsidRPr="00191003">
        <w:t>In some cases</w:t>
      </w:r>
      <w:r>
        <w:t>,</w:t>
      </w:r>
      <w:r w:rsidRPr="00191003">
        <w:t xml:space="preserve"> the same </w:t>
      </w:r>
      <w:r>
        <w:t xml:space="preserve">workshop </w:t>
      </w:r>
      <w:r w:rsidRPr="00191003">
        <w:t>for the larnakes found in the same cemetery ha</w:t>
      </w:r>
      <w:r>
        <w:t>s</w:t>
      </w:r>
      <w:r w:rsidRPr="00191003">
        <w:t xml:space="preserve"> been hypothesi</w:t>
      </w:r>
      <w:r>
        <w:t>s</w:t>
      </w:r>
      <w:r w:rsidRPr="00191003">
        <w:t>ed by the excavator (</w:t>
      </w:r>
      <w:r>
        <w:t>e.g. the</w:t>
      </w:r>
      <w:r w:rsidRPr="00191003">
        <w:t xml:space="preserve"> larnakes from Angeliana</w:t>
      </w:r>
      <w:r>
        <w:t>:</w:t>
      </w:r>
      <w:r w:rsidRPr="00191003">
        <w:t xml:space="preserve"> Andreadaki-Vlasaki </w:t>
      </w:r>
      <w:r w:rsidRPr="00733192">
        <w:rPr>
          <w:i/>
        </w:rPr>
        <w:t>ADelt</w:t>
      </w:r>
      <w:r>
        <w:t xml:space="preserve"> 38</w:t>
      </w:r>
      <w:r w:rsidRPr="00191003">
        <w:t xml:space="preserve"> 1</w:t>
      </w:r>
      <w:r>
        <w:t>983: 371). Furthermore, for the Mid-West</w:t>
      </w:r>
      <w:r w:rsidRPr="00191003">
        <w:t xml:space="preserve"> region, </w:t>
      </w:r>
      <w:r>
        <w:t>considering</w:t>
      </w:r>
      <w:r w:rsidRPr="00191003">
        <w:t xml:space="preserve"> the high number of decorated sarcophagi and their rich iconographic repertoire, scholars</w:t>
      </w:r>
      <w:r>
        <w:t>,</w:t>
      </w:r>
      <w:r w:rsidRPr="00191003">
        <w:t xml:space="preserve"> </w:t>
      </w:r>
      <w:r>
        <w:t>using</w:t>
      </w:r>
      <w:r w:rsidRPr="00191003">
        <w:t xml:space="preserve"> the exam</w:t>
      </w:r>
      <w:r>
        <w:t>ple</w:t>
      </w:r>
      <w:r w:rsidRPr="00191003">
        <w:t xml:space="preserve"> of some of the decorated sample</w:t>
      </w:r>
      <w:r>
        <w:t>,</w:t>
      </w:r>
      <w:r w:rsidRPr="00191003">
        <w:t xml:space="preserve"> have identified groups of sarcophagi belonging to the same workshop (</w:t>
      </w:r>
      <w:r>
        <w:t>e.g.</w:t>
      </w:r>
      <w:r w:rsidRPr="00191003">
        <w:t xml:space="preserve"> Kanta 1980: 292-293; Merousis 2011: 81-106</w:t>
      </w:r>
      <w:r>
        <w:t>)</w:t>
      </w:r>
      <w:r w:rsidRPr="00191003">
        <w:t xml:space="preserve"> mainly </w:t>
      </w:r>
      <w:r>
        <w:t>based on</w:t>
      </w:r>
      <w:r w:rsidRPr="00191003">
        <w:t xml:space="preserve"> style and occurrence of </w:t>
      </w:r>
      <w:r>
        <w:t>motif</w:t>
      </w:r>
      <w:r w:rsidRPr="00191003">
        <w:t>s. The</w:t>
      </w:r>
      <w:r>
        <w:t xml:space="preserve"> possible</w:t>
      </w:r>
      <w:r w:rsidRPr="00191003">
        <w:t xml:space="preserve"> existence of these groups </w:t>
      </w:r>
      <w:r>
        <w:t>is correct and it is</w:t>
      </w:r>
      <w:r w:rsidRPr="00191003">
        <w:t xml:space="preserve"> confirmed by the analysis </w:t>
      </w:r>
      <w:r>
        <w:t xml:space="preserve">that I have conducted from </w:t>
      </w:r>
      <w:r w:rsidR="009464EC">
        <w:t xml:space="preserve">personal inspection </w:t>
      </w:r>
      <w:r w:rsidRPr="00191003">
        <w:t>(</w:t>
      </w:r>
      <w:r>
        <w:t>based on</w:t>
      </w:r>
      <w:r w:rsidRPr="00191003">
        <w:t xml:space="preserve"> data collected </w:t>
      </w:r>
      <w:r>
        <w:t>regarding</w:t>
      </w:r>
      <w:r w:rsidRPr="00191003">
        <w:t xml:space="preserve"> the larnakes exhibited in museum collection</w:t>
      </w:r>
      <w:r>
        <w:t>s</w:t>
      </w:r>
      <w:r w:rsidRPr="00191003">
        <w:t xml:space="preserve"> or kept in storage rooms</w:t>
      </w:r>
      <w:r>
        <w:t>) on the base of the occurrence of the same motives and similarities in style, and summarised in the sudy below. Furthermore when identified possible grups are also added (referred as possible groups). The different groups are described, below.</w:t>
      </w:r>
    </w:p>
    <w:p w14:paraId="5B9152E6" w14:textId="77777777" w:rsidR="00D726B2" w:rsidRPr="00191003" w:rsidRDefault="00D726B2" w:rsidP="00370745">
      <w:pPr>
        <w:pStyle w:val="Paragrafoelenco"/>
        <w:numPr>
          <w:ilvl w:val="0"/>
          <w:numId w:val="110"/>
        </w:numPr>
        <w:suppressAutoHyphens/>
        <w:spacing w:after="160"/>
      </w:pPr>
      <w:r w:rsidRPr="00191003">
        <w:t>Group 1</w:t>
      </w:r>
    </w:p>
    <w:p w14:paraId="71263803" w14:textId="77777777" w:rsidR="00D726B2" w:rsidRPr="00191003" w:rsidRDefault="00D726B2" w:rsidP="00E858EF">
      <w:pPr>
        <w:suppressAutoHyphens/>
        <w:ind w:left="708"/>
      </w:pPr>
      <w:r w:rsidRPr="00191003">
        <w:t xml:space="preserve">As mentioned </w:t>
      </w:r>
      <w:r>
        <w:t>previously</w:t>
      </w:r>
      <w:r w:rsidRPr="00191003">
        <w:t>, two larnakes</w:t>
      </w:r>
      <w:r>
        <w:t>,</w:t>
      </w:r>
      <w:r w:rsidRPr="00191003">
        <w:t xml:space="preserve"> one from Armen</w:t>
      </w:r>
      <w:r>
        <w:t>o</w:t>
      </w:r>
      <w:r w:rsidRPr="00191003">
        <w:t xml:space="preserve">i </w:t>
      </w:r>
      <w:r>
        <w:t xml:space="preserve">(265 Armenoi </w:t>
      </w:r>
      <w:r w:rsidRPr="00191003">
        <w:t>MR 1707</w:t>
      </w:r>
      <w:r>
        <w:t>)</w:t>
      </w:r>
      <w:r w:rsidRPr="00191003">
        <w:t xml:space="preserve"> and one from Maroulas </w:t>
      </w:r>
      <w:r>
        <w:t xml:space="preserve">(243 Maroulas </w:t>
      </w:r>
      <w:r w:rsidRPr="00191003">
        <w:t>MR 2383</w:t>
      </w:r>
      <w:r>
        <w:t>,</w:t>
      </w:r>
      <w:r w:rsidRPr="00191003">
        <w:t xml:space="preserve"> come from the same workshop (even</w:t>
      </w:r>
      <w:r>
        <w:t xml:space="preserve"> possibly</w:t>
      </w:r>
      <w:r w:rsidRPr="00191003">
        <w:t xml:space="preserve"> the same hands)</w:t>
      </w:r>
      <w:r>
        <w:t>.</w:t>
      </w:r>
      <w:r w:rsidRPr="00191003">
        <w:t xml:space="preserve"> </w:t>
      </w:r>
      <w:r>
        <w:t>This is based on</w:t>
      </w:r>
      <w:r w:rsidRPr="00191003">
        <w:t xml:space="preserve"> the analysis of the hunting scene </w:t>
      </w:r>
      <w:r>
        <w:t>o</w:t>
      </w:r>
      <w:r w:rsidRPr="00191003">
        <w:t xml:space="preserve">n both larnakes (Kanta 1973: 318, 322). To the same workshop </w:t>
      </w:r>
      <w:r>
        <w:t>is</w:t>
      </w:r>
      <w:r w:rsidRPr="00191003">
        <w:t xml:space="preserve"> also attributed the other larnax from Maroulas </w:t>
      </w:r>
      <w:r>
        <w:t xml:space="preserve">(242 Maroulas </w:t>
      </w:r>
      <w:r w:rsidRPr="00191003">
        <w:t>MT 10544 (Kanta 1980: 293)</w:t>
      </w:r>
      <w:r>
        <w:t>.</w:t>
      </w:r>
    </w:p>
    <w:p w14:paraId="623FD1F6" w14:textId="77777777" w:rsidR="00D726B2" w:rsidRPr="00191003" w:rsidRDefault="00D726B2" w:rsidP="00370745">
      <w:pPr>
        <w:pStyle w:val="Paragrafoelenco"/>
        <w:numPr>
          <w:ilvl w:val="0"/>
          <w:numId w:val="110"/>
        </w:numPr>
        <w:suppressAutoHyphens/>
        <w:spacing w:after="160"/>
      </w:pPr>
      <w:r w:rsidRPr="00191003">
        <w:t>Group 2</w:t>
      </w:r>
    </w:p>
    <w:p w14:paraId="4566A268" w14:textId="77777777" w:rsidR="00D726B2" w:rsidRPr="00191003" w:rsidRDefault="00D726B2" w:rsidP="00E858EF">
      <w:pPr>
        <w:pStyle w:val="Paragrafoelenco"/>
        <w:suppressAutoHyphens/>
      </w:pPr>
      <w:r w:rsidRPr="00191003">
        <w:t>Two polychrome larnakes from Armen</w:t>
      </w:r>
      <w:r>
        <w:t>o</w:t>
      </w:r>
      <w:r w:rsidRPr="00191003">
        <w:t>i (</w:t>
      </w:r>
      <w:r>
        <w:t xml:space="preserve">264 </w:t>
      </w:r>
      <w:r w:rsidRPr="00191003">
        <w:t xml:space="preserve">Armenoi MR 1709 </w:t>
      </w:r>
      <w:r>
        <w:t>T</w:t>
      </w:r>
      <w:r w:rsidRPr="00191003">
        <w:t xml:space="preserve">omb 10 and </w:t>
      </w:r>
      <w:r>
        <w:t xml:space="preserve">267 </w:t>
      </w:r>
      <w:r w:rsidRPr="00191003">
        <w:t xml:space="preserve">Armenoi MR 1712 </w:t>
      </w:r>
      <w:r>
        <w:t>T</w:t>
      </w:r>
      <w:r w:rsidRPr="00191003">
        <w:t xml:space="preserve">omb 24) are from the same workshop. Another polychrome larnax from Dramia belonging to </w:t>
      </w:r>
      <w:r>
        <w:t xml:space="preserve">the </w:t>
      </w:r>
      <w:r w:rsidRPr="00191003">
        <w:t xml:space="preserve">Chania museum collection but not yet published </w:t>
      </w:r>
      <w:r>
        <w:t>is</w:t>
      </w:r>
      <w:r w:rsidRPr="00191003">
        <w:t xml:space="preserve"> attributed to the same workshop</w:t>
      </w:r>
      <w:r>
        <w:t xml:space="preserve"> </w:t>
      </w:r>
      <w:r w:rsidRPr="00191003">
        <w:t xml:space="preserve">(384 Dramia MC 1187 description, </w:t>
      </w:r>
      <w:r>
        <w:t xml:space="preserve">see </w:t>
      </w:r>
      <w:r w:rsidRPr="00191003">
        <w:t>Kanta 1980: 237)</w:t>
      </w:r>
      <w:r>
        <w:t xml:space="preserve">. </w:t>
      </w:r>
    </w:p>
    <w:p w14:paraId="0D715A08" w14:textId="77777777" w:rsidR="00D726B2" w:rsidRPr="00191003" w:rsidRDefault="00D726B2" w:rsidP="00370745">
      <w:pPr>
        <w:pStyle w:val="Paragrafoelenco"/>
        <w:numPr>
          <w:ilvl w:val="0"/>
          <w:numId w:val="110"/>
        </w:numPr>
        <w:suppressAutoHyphens/>
        <w:spacing w:after="160"/>
      </w:pPr>
      <w:r w:rsidRPr="00191003">
        <w:t>Group 3</w:t>
      </w:r>
    </w:p>
    <w:p w14:paraId="5097AE1C" w14:textId="77777777" w:rsidR="00D726B2" w:rsidRPr="00191003" w:rsidRDefault="00D726B2" w:rsidP="00E858EF">
      <w:pPr>
        <w:pStyle w:val="Paragrafoelenco"/>
        <w:suppressAutoHyphens/>
        <w:ind w:left="708"/>
      </w:pPr>
      <w:r w:rsidRPr="00191003">
        <w:t>A group of sarcophagi from west Crete but without precise provenance</w:t>
      </w:r>
      <w:r>
        <w:t xml:space="preserve"> were</w:t>
      </w:r>
      <w:r w:rsidRPr="00191003">
        <w:t xml:space="preserve"> studied and published by Mavriyannaki (not included in the present analysis due to the lack of information </w:t>
      </w:r>
      <w:r>
        <w:t>regarding</w:t>
      </w:r>
      <w:r w:rsidRPr="00191003">
        <w:t xml:space="preserve"> their burial context</w:t>
      </w:r>
      <w:r>
        <w:t xml:space="preserve">, </w:t>
      </w:r>
      <w:r w:rsidRPr="00191003">
        <w:t>Mavriyannaki 1972; Kanta 1980: 292)</w:t>
      </w:r>
      <w:r>
        <w:t>.</w:t>
      </w:r>
    </w:p>
    <w:p w14:paraId="65FF53C4" w14:textId="77777777" w:rsidR="00D726B2" w:rsidRPr="00191003" w:rsidRDefault="00D726B2" w:rsidP="00370745">
      <w:pPr>
        <w:pStyle w:val="Paragrafoelenco"/>
        <w:numPr>
          <w:ilvl w:val="0"/>
          <w:numId w:val="110"/>
        </w:numPr>
        <w:suppressAutoHyphens/>
        <w:spacing w:after="160"/>
      </w:pPr>
      <w:r w:rsidRPr="00191003">
        <w:t>Group 4</w:t>
      </w:r>
    </w:p>
    <w:p w14:paraId="0F3D801D" w14:textId="77777777" w:rsidR="00D726B2" w:rsidRPr="00191003" w:rsidRDefault="00D726B2" w:rsidP="00E858EF">
      <w:pPr>
        <w:pStyle w:val="Paragrafoelenco"/>
        <w:suppressAutoHyphens/>
        <w:ind w:left="708"/>
      </w:pPr>
      <w:r w:rsidRPr="00191003">
        <w:t>Three unpublished larnakes from Stavromenos (only one has been published</w:t>
      </w:r>
      <w:r>
        <w:t>, see</w:t>
      </w:r>
      <w:r w:rsidRPr="00191003">
        <w:t xml:space="preserve"> Kanta 1980: 211-212, </w:t>
      </w:r>
      <w:r>
        <w:t>F</w:t>
      </w:r>
      <w:r w:rsidRPr="00191003">
        <w:t>ig. 102: 1-2)</w:t>
      </w:r>
      <w:r>
        <w:t>.</w:t>
      </w:r>
    </w:p>
    <w:p w14:paraId="4568A051" w14:textId="77777777" w:rsidR="00D726B2" w:rsidRPr="00191003" w:rsidRDefault="00D726B2" w:rsidP="00370745">
      <w:pPr>
        <w:pStyle w:val="Paragrafoelenco"/>
        <w:numPr>
          <w:ilvl w:val="0"/>
          <w:numId w:val="110"/>
        </w:numPr>
        <w:suppressAutoHyphens/>
        <w:spacing w:after="160"/>
      </w:pPr>
      <w:r w:rsidRPr="00191003">
        <w:t xml:space="preserve">Group 5 </w:t>
      </w:r>
    </w:p>
    <w:p w14:paraId="59DB1DB7" w14:textId="77777777" w:rsidR="00D726B2" w:rsidRPr="00191003" w:rsidRDefault="00D726B2" w:rsidP="00E858EF">
      <w:pPr>
        <w:pStyle w:val="Paragrafoelenco"/>
        <w:suppressAutoHyphens/>
        <w:spacing w:after="240"/>
        <w:ind w:left="709"/>
        <w:contextualSpacing w:val="0"/>
      </w:pPr>
      <w:r w:rsidRPr="00191003">
        <w:t>A group of sarcophagi from Maroulas and Adele (Papapostolou 1974).</w:t>
      </w:r>
    </w:p>
    <w:p w14:paraId="66DC369B" w14:textId="77777777" w:rsidR="00D726B2" w:rsidRPr="00191003" w:rsidRDefault="00D726B2" w:rsidP="00E858EF">
      <w:pPr>
        <w:pStyle w:val="Paragrafoelenco"/>
        <w:suppressAutoHyphens/>
        <w:ind w:left="0"/>
      </w:pPr>
      <w:r>
        <w:tab/>
        <w:t>Based on</w:t>
      </w:r>
      <w:r w:rsidRPr="00191003">
        <w:t xml:space="preserve"> </w:t>
      </w:r>
      <w:r>
        <w:t>motif</w:t>
      </w:r>
      <w:r w:rsidRPr="00191003">
        <w:t xml:space="preserve"> occurrence</w:t>
      </w:r>
      <w:r>
        <w:t xml:space="preserve"> identified in the present study,</w:t>
      </w:r>
      <w:r w:rsidRPr="00191003">
        <w:t xml:space="preserve"> there are further groups of larnakes that </w:t>
      </w:r>
      <w:r>
        <w:t>display</w:t>
      </w:r>
      <w:r w:rsidRPr="00191003">
        <w:t xml:space="preserve"> the same </w:t>
      </w:r>
      <w:r>
        <w:t>motif</w:t>
      </w:r>
      <w:r w:rsidRPr="00191003">
        <w:t xml:space="preserve">s </w:t>
      </w:r>
      <w:r>
        <w:t>o</w:t>
      </w:r>
      <w:r w:rsidRPr="00191003">
        <w:t>n the same part of the larnax and also arranged in the same way</w:t>
      </w:r>
      <w:r>
        <w:t>. These are described, below.</w:t>
      </w:r>
    </w:p>
    <w:p w14:paraId="77429B6D" w14:textId="77777777" w:rsidR="00D726B2" w:rsidRPr="00191003" w:rsidRDefault="00D726B2" w:rsidP="00370745">
      <w:pPr>
        <w:pStyle w:val="Paragrafoelenco"/>
        <w:numPr>
          <w:ilvl w:val="0"/>
          <w:numId w:val="110"/>
        </w:numPr>
        <w:suppressAutoHyphens/>
        <w:spacing w:after="160"/>
      </w:pPr>
      <w:r w:rsidRPr="00191003">
        <w:t xml:space="preserve">Possible group 1: </w:t>
      </w:r>
      <w:r>
        <w:t>h</w:t>
      </w:r>
      <w:r w:rsidRPr="00191003">
        <w:t>atched loop on long side</w:t>
      </w:r>
    </w:p>
    <w:p w14:paraId="51518E65" w14:textId="77777777" w:rsidR="00D726B2" w:rsidRPr="00191003" w:rsidRDefault="00D726B2" w:rsidP="00E858EF">
      <w:pPr>
        <w:pStyle w:val="Paragrafoelenco"/>
        <w:suppressAutoHyphens/>
      </w:pPr>
      <w:r w:rsidRPr="00191003">
        <w:t>Five larnakes</w:t>
      </w:r>
      <w:r>
        <w:t>:</w:t>
      </w:r>
      <w:r w:rsidRPr="00191003">
        <w:t xml:space="preserve"> three from Maroulas (242</w:t>
      </w:r>
      <w:r>
        <w:t xml:space="preserve"> Maroulas</w:t>
      </w:r>
      <w:r w:rsidRPr="00191003">
        <w:t xml:space="preserve"> MT 10544, 243</w:t>
      </w:r>
      <w:r>
        <w:t xml:space="preserve"> Maroulas</w:t>
      </w:r>
      <w:r w:rsidRPr="00191003">
        <w:t xml:space="preserve"> MR 2383 and 324</w:t>
      </w:r>
      <w:r>
        <w:t xml:space="preserve"> Maroulas</w:t>
      </w:r>
      <w:r w:rsidRPr="00191003">
        <w:t xml:space="preserve"> from </w:t>
      </w:r>
      <w:r>
        <w:t xml:space="preserve">a </w:t>
      </w:r>
      <w:r w:rsidRPr="00191003">
        <w:t>recent excavation</w:t>
      </w:r>
      <w:r>
        <w:t>: see</w:t>
      </w:r>
      <w:r w:rsidRPr="00191003">
        <w:t xml:space="preserve"> Papadopoulou 2011: 609-633 </w:t>
      </w:r>
      <w:r>
        <w:t>F</w:t>
      </w:r>
      <w:r w:rsidRPr="00191003">
        <w:t>ig. 3), one from Adele (346</w:t>
      </w:r>
      <w:r>
        <w:t xml:space="preserve"> Adele</w:t>
      </w:r>
      <w:r w:rsidRPr="00191003">
        <w:t xml:space="preserve"> MR 2174) </w:t>
      </w:r>
      <w:r>
        <w:t>and one</w:t>
      </w:r>
      <w:r w:rsidRPr="00191003">
        <w:t xml:space="preserve"> from </w:t>
      </w:r>
      <w:r>
        <w:t>Armenoi</w:t>
      </w:r>
      <w:r w:rsidRPr="00191003">
        <w:t xml:space="preserve"> </w:t>
      </w:r>
      <w:r>
        <w:t>T</w:t>
      </w:r>
      <w:r w:rsidRPr="00191003">
        <w:t>omb 108 (273</w:t>
      </w:r>
      <w:r>
        <w:t xml:space="preserve"> Armenoi</w:t>
      </w:r>
      <w:r w:rsidRPr="00191003">
        <w:t>)</w:t>
      </w:r>
      <w:r>
        <w:t>.</w:t>
      </w:r>
      <w:r w:rsidRPr="00191003">
        <w:t xml:space="preserve"> </w:t>
      </w:r>
      <w:r>
        <w:t>A</w:t>
      </w:r>
      <w:r w:rsidRPr="00191003">
        <w:t xml:space="preserve">t least one of </w:t>
      </w:r>
      <w:r>
        <w:t xml:space="preserve">each of </w:t>
      </w:r>
      <w:r w:rsidRPr="00191003">
        <w:t>their long side</w:t>
      </w:r>
      <w:r>
        <w:t>s</w:t>
      </w:r>
      <w:r w:rsidRPr="00191003">
        <w:t xml:space="preserve"> is decorated with a vegetal motif (hatched loop?) formed by two </w:t>
      </w:r>
      <w:r>
        <w:t>large</w:t>
      </w:r>
      <w:r w:rsidRPr="00191003">
        <w:t xml:space="preserve"> circular opposite leaves decorated inside with geometric </w:t>
      </w:r>
      <w:r>
        <w:t>motif</w:t>
      </w:r>
      <w:r w:rsidRPr="00191003">
        <w:t>s and a series of smaller stem tongue pattern</w:t>
      </w:r>
      <w:r>
        <w:t>s</w:t>
      </w:r>
      <w:r w:rsidRPr="00191003">
        <w:t xml:space="preserve"> (leaves?). </w:t>
      </w:r>
      <w:r>
        <w:t>Of</w:t>
      </w:r>
      <w:r w:rsidRPr="00191003">
        <w:t xml:space="preserve"> these f</w:t>
      </w:r>
      <w:r>
        <w:t>ive</w:t>
      </w:r>
      <w:r w:rsidRPr="00191003">
        <w:t xml:space="preserve"> larnakes</w:t>
      </w:r>
      <w:r>
        <w:t>,</w:t>
      </w:r>
      <w:r w:rsidRPr="00191003">
        <w:t xml:space="preserve"> two in particular (273 </w:t>
      </w:r>
      <w:r>
        <w:t>Armenoi</w:t>
      </w:r>
      <w:r w:rsidRPr="00191003">
        <w:t xml:space="preserve"> and 324 Maroulas) </w:t>
      </w:r>
      <w:r>
        <w:t>have</w:t>
      </w:r>
      <w:r w:rsidRPr="00191003">
        <w:t xml:space="preserve"> exactly the same type of decoration within the circles/petal</w:t>
      </w:r>
      <w:r>
        <w:t>s</w:t>
      </w:r>
      <w:r w:rsidRPr="00191003">
        <w:t>. In the other three larnakes</w:t>
      </w:r>
      <w:r>
        <w:t>,</w:t>
      </w:r>
      <w:r w:rsidRPr="00191003">
        <w:t xml:space="preserve"> both </w:t>
      </w:r>
      <w:r>
        <w:t xml:space="preserve">the </w:t>
      </w:r>
      <w:r w:rsidRPr="00191003">
        <w:t xml:space="preserve">internal filling </w:t>
      </w:r>
      <w:r>
        <w:t>motif</w:t>
      </w:r>
      <w:r w:rsidRPr="00191003">
        <w:t xml:space="preserve">s and </w:t>
      </w:r>
      <w:r>
        <w:t xml:space="preserve">the </w:t>
      </w:r>
      <w:r w:rsidRPr="00191003">
        <w:t xml:space="preserve">number and style of </w:t>
      </w:r>
      <w:r>
        <w:t xml:space="preserve">the </w:t>
      </w:r>
      <w:r w:rsidRPr="00191003">
        <w:t>stem tongue pattern</w:t>
      </w:r>
      <w:r>
        <w:t>s</w:t>
      </w:r>
      <w:r w:rsidRPr="00191003">
        <w:t xml:space="preserve"> vary. </w:t>
      </w:r>
    </w:p>
    <w:p w14:paraId="40D0A4D0" w14:textId="77777777" w:rsidR="00D726B2" w:rsidRPr="00191003" w:rsidRDefault="00D726B2" w:rsidP="00370745">
      <w:pPr>
        <w:pStyle w:val="Paragrafoelenco"/>
        <w:numPr>
          <w:ilvl w:val="0"/>
          <w:numId w:val="110"/>
        </w:numPr>
        <w:suppressAutoHyphens/>
        <w:spacing w:after="160"/>
      </w:pPr>
      <w:r w:rsidRPr="00191003">
        <w:t>Possible group 2: wavy lines and quatrefoil</w:t>
      </w:r>
    </w:p>
    <w:p w14:paraId="1F4F9D86" w14:textId="77777777" w:rsidR="00D726B2" w:rsidRPr="00191003" w:rsidRDefault="00D726B2" w:rsidP="00E858EF">
      <w:pPr>
        <w:pStyle w:val="Paragrafoelenco"/>
        <w:suppressAutoHyphens/>
        <w:ind w:left="708"/>
      </w:pPr>
      <w:r w:rsidRPr="00191003">
        <w:t>Two larnakes from Maroulas (234</w:t>
      </w:r>
      <w:r>
        <w:t xml:space="preserve"> Maroulas</w:t>
      </w:r>
      <w:r w:rsidRPr="00191003">
        <w:t xml:space="preserve"> NAM 12834 and 245</w:t>
      </w:r>
      <w:r>
        <w:t xml:space="preserve"> Maroulas</w:t>
      </w:r>
      <w:r w:rsidRPr="00191003">
        <w:t xml:space="preserve"> MR 2176) </w:t>
      </w:r>
      <w:r>
        <w:t>have</w:t>
      </w:r>
      <w:r w:rsidRPr="00191003">
        <w:t xml:space="preserve"> very similar decoration. In both cases</w:t>
      </w:r>
      <w:r>
        <w:t>,</w:t>
      </w:r>
      <w:r w:rsidRPr="00191003">
        <w:t xml:space="preserve"> the </w:t>
      </w:r>
      <w:r>
        <w:t>motif</w:t>
      </w:r>
      <w:r w:rsidRPr="00191003">
        <w:t xml:space="preserve">s and their distribution are exactly the same: two </w:t>
      </w:r>
      <w:r>
        <w:t>large</w:t>
      </w:r>
      <w:r w:rsidRPr="00191003">
        <w:t xml:space="preserve"> wavy lines occupy all the space on </w:t>
      </w:r>
      <w:r>
        <w:t xml:space="preserve">the </w:t>
      </w:r>
      <w:r w:rsidRPr="00191003">
        <w:t xml:space="preserve">long sides panel, while a full painted quatrefoil </w:t>
      </w:r>
      <w:r>
        <w:t>and</w:t>
      </w:r>
      <w:r w:rsidRPr="00191003">
        <w:t xml:space="preserve"> wavy line </w:t>
      </w:r>
      <w:r>
        <w:t xml:space="preserve">appear </w:t>
      </w:r>
      <w:r w:rsidRPr="00191003">
        <w:t xml:space="preserve">on </w:t>
      </w:r>
      <w:r>
        <w:t xml:space="preserve">the </w:t>
      </w:r>
      <w:r w:rsidRPr="00191003">
        <w:t>short side</w:t>
      </w:r>
      <w:r>
        <w:t>s</w:t>
      </w:r>
      <w:r w:rsidRPr="00191003">
        <w:t xml:space="preserve">. </w:t>
      </w:r>
      <w:r>
        <w:t>A</w:t>
      </w:r>
      <w:r w:rsidRPr="00191003">
        <w:t xml:space="preserve"> third larnax</w:t>
      </w:r>
      <w:r>
        <w:t>,</w:t>
      </w:r>
      <w:r w:rsidRPr="00191003">
        <w:t xml:space="preserve"> from Maroulas (235</w:t>
      </w:r>
      <w:r>
        <w:t xml:space="preserve"> Maroulas</w:t>
      </w:r>
      <w:r w:rsidRPr="00191003">
        <w:t xml:space="preserve"> NAM 12836)</w:t>
      </w:r>
      <w:r>
        <w:t>,</w:t>
      </w:r>
      <w:r w:rsidRPr="00191003">
        <w:t xml:space="preserve"> can be added, which is decorated with octopus and octopus tentacles (represented as wavy lines) </w:t>
      </w:r>
      <w:r>
        <w:t>on the</w:t>
      </w:r>
      <w:r w:rsidRPr="00191003">
        <w:t xml:space="preserve"> long</w:t>
      </w:r>
      <w:r>
        <w:t>-</w:t>
      </w:r>
      <w:r w:rsidRPr="00191003">
        <w:t>side panel</w:t>
      </w:r>
      <w:r>
        <w:t>s,</w:t>
      </w:r>
      <w:r w:rsidRPr="00191003">
        <w:t xml:space="preserve"> while a vegetal motif constitute</w:t>
      </w:r>
      <w:r>
        <w:t>d</w:t>
      </w:r>
      <w:r w:rsidRPr="00191003">
        <w:t xml:space="preserve"> by a palm is on the short side</w:t>
      </w:r>
      <w:r w:rsidRPr="00FC52A3">
        <w:t>.</w:t>
      </w:r>
    </w:p>
    <w:p w14:paraId="4C5AEEFA" w14:textId="77777777" w:rsidR="00D726B2" w:rsidRPr="00191003" w:rsidRDefault="00D726B2" w:rsidP="00370745">
      <w:pPr>
        <w:pStyle w:val="Paragrafoelenco"/>
        <w:numPr>
          <w:ilvl w:val="0"/>
          <w:numId w:val="110"/>
        </w:numPr>
        <w:suppressAutoHyphens/>
        <w:spacing w:after="160"/>
      </w:pPr>
      <w:r w:rsidRPr="00191003">
        <w:t>Possible group 3: scale pattern</w:t>
      </w:r>
    </w:p>
    <w:p w14:paraId="578EC9BB" w14:textId="77777777" w:rsidR="00D726B2" w:rsidRPr="00191003" w:rsidRDefault="00D726B2" w:rsidP="00E858EF">
      <w:pPr>
        <w:pStyle w:val="Paragrafoelenco"/>
        <w:suppressAutoHyphens/>
        <w:ind w:left="708"/>
      </w:pPr>
      <w:r>
        <w:t>In the</w:t>
      </w:r>
      <w:r w:rsidRPr="00191003">
        <w:t xml:space="preserve"> larnakes from </w:t>
      </w:r>
      <w:r>
        <w:t>Armenoi,</w:t>
      </w:r>
      <w:r w:rsidRPr="00191003">
        <w:t xml:space="preserve"> two larnakes </w:t>
      </w:r>
      <w:r>
        <w:t>have</w:t>
      </w:r>
      <w:r w:rsidRPr="00191003">
        <w:t xml:space="preserve"> exactly the same decoration</w:t>
      </w:r>
      <w:r>
        <w:t>, one on the</w:t>
      </w:r>
      <w:r w:rsidRPr="00191003">
        <w:t xml:space="preserve"> long side of the lid (270</w:t>
      </w:r>
      <w:r>
        <w:t xml:space="preserve"> Armenoi</w:t>
      </w:r>
      <w:r w:rsidRPr="00191003">
        <w:t xml:space="preserve"> MR 2829 from </w:t>
      </w:r>
      <w:r>
        <w:t>T</w:t>
      </w:r>
      <w:r w:rsidRPr="00191003">
        <w:t>omb 139) and the other on the long side</w:t>
      </w:r>
      <w:r>
        <w:t xml:space="preserve"> of the chest</w:t>
      </w:r>
      <w:r w:rsidRPr="00191003">
        <w:t xml:space="preserve"> itself (274</w:t>
      </w:r>
      <w:r>
        <w:t xml:space="preserve"> Armenoi</w:t>
      </w:r>
      <w:r w:rsidRPr="00191003">
        <w:t xml:space="preserve"> from </w:t>
      </w:r>
      <w:r>
        <w:t>T</w:t>
      </w:r>
      <w:r w:rsidRPr="00191003">
        <w:t xml:space="preserve">omb 118). The motif </w:t>
      </w:r>
      <w:r>
        <w:t>is</w:t>
      </w:r>
      <w:r w:rsidRPr="00191003">
        <w:t xml:space="preserve"> a scale pattern composed of small arrows </w:t>
      </w:r>
      <w:r>
        <w:t>that</w:t>
      </w:r>
      <w:r w:rsidRPr="00191003">
        <w:t xml:space="preserve"> occupy</w:t>
      </w:r>
      <w:r>
        <w:t>,</w:t>
      </w:r>
      <w:r w:rsidRPr="00191003">
        <w:t xml:space="preserve"> in both cases</w:t>
      </w:r>
      <w:r>
        <w:t>,</w:t>
      </w:r>
      <w:r w:rsidRPr="00191003">
        <w:t xml:space="preserve"> the entire panel decoration</w:t>
      </w:r>
      <w:r>
        <w:t>.</w:t>
      </w:r>
    </w:p>
    <w:p w14:paraId="1BDDEDC4" w14:textId="77777777" w:rsidR="00D726B2" w:rsidRPr="00191003" w:rsidRDefault="00D726B2" w:rsidP="00370745">
      <w:pPr>
        <w:pStyle w:val="Paragrafoelenco"/>
        <w:numPr>
          <w:ilvl w:val="0"/>
          <w:numId w:val="110"/>
        </w:numPr>
        <w:suppressAutoHyphens/>
        <w:spacing w:after="160"/>
      </w:pPr>
      <w:r w:rsidRPr="00191003">
        <w:t xml:space="preserve">Possible group 4: </w:t>
      </w:r>
      <w:r>
        <w:t>large</w:t>
      </w:r>
      <w:r w:rsidRPr="00191003">
        <w:t xml:space="preserve"> papyri in a row</w:t>
      </w:r>
    </w:p>
    <w:p w14:paraId="2BF74215" w14:textId="77777777" w:rsidR="00D726B2" w:rsidRPr="00191003" w:rsidRDefault="00D726B2" w:rsidP="00E858EF">
      <w:pPr>
        <w:pStyle w:val="Paragrafoelenco"/>
        <w:suppressAutoHyphens/>
        <w:ind w:left="708"/>
      </w:pPr>
      <w:r w:rsidRPr="00191003">
        <w:t>The long</w:t>
      </w:r>
      <w:r>
        <w:t>-</w:t>
      </w:r>
      <w:r w:rsidRPr="00191003">
        <w:t>side decoration of two larnakes from Pankalochori (27</w:t>
      </w:r>
      <w:r>
        <w:t xml:space="preserve"> Pankalochori</w:t>
      </w:r>
      <w:r w:rsidRPr="00191003">
        <w:t xml:space="preserve"> MR 3360 and 28</w:t>
      </w:r>
      <w:r>
        <w:t xml:space="preserve"> Pankalochori</w:t>
      </w:r>
      <w:r w:rsidRPr="00191003">
        <w:t xml:space="preserve"> MR3359) </w:t>
      </w:r>
      <w:r>
        <w:t>can be compared</w:t>
      </w:r>
      <w:r w:rsidRPr="00191003">
        <w:t xml:space="preserve"> </w:t>
      </w:r>
      <w:r>
        <w:t>to</w:t>
      </w:r>
      <w:r w:rsidRPr="00191003">
        <w:t xml:space="preserve"> a larnax from Moni Arsani (248</w:t>
      </w:r>
      <w:r>
        <w:t xml:space="preserve"> Moni Arsani</w:t>
      </w:r>
      <w:r w:rsidRPr="00191003">
        <w:t xml:space="preserve"> MR 2387). In these three larnakes</w:t>
      </w:r>
      <w:r>
        <w:t>,</w:t>
      </w:r>
      <w:r w:rsidRPr="00191003">
        <w:t xml:space="preserve"> on the long sides</w:t>
      </w:r>
      <w:r>
        <w:t>,</w:t>
      </w:r>
      <w:r w:rsidRPr="00191003">
        <w:t xml:space="preserve"> are stylised papyri in a row (Baxevani and Markoulaki 1996: 661)</w:t>
      </w:r>
      <w:r>
        <w:t>.</w:t>
      </w:r>
    </w:p>
    <w:p w14:paraId="1F34FBCD" w14:textId="49381E32" w:rsidR="00D726B2" w:rsidRPr="00191003" w:rsidRDefault="00D726B2" w:rsidP="00E858EF">
      <w:pPr>
        <w:pStyle w:val="Titolo3"/>
        <w:keepNext w:val="0"/>
        <w:keepLines w:val="0"/>
        <w:suppressAutoHyphens/>
        <w:rPr>
          <w:b w:val="0"/>
        </w:rPr>
      </w:pPr>
      <w:bookmarkStart w:id="1073" w:name="_Toc517807592"/>
      <w:bookmarkStart w:id="1074" w:name="_Toc519894682"/>
      <w:r w:rsidRPr="00191003">
        <w:t>Conclusion</w:t>
      </w:r>
      <w:r>
        <w:t>s</w:t>
      </w:r>
      <w:bookmarkEnd w:id="1073"/>
      <w:r>
        <w:t xml:space="preserve">, Mid-West </w:t>
      </w:r>
      <w:r w:rsidR="00B7412C">
        <w:t>area</w:t>
      </w:r>
      <w:bookmarkEnd w:id="1074"/>
    </w:p>
    <w:p w14:paraId="4EACB2A0" w14:textId="77777777" w:rsidR="00D726B2" w:rsidRPr="00E7753F" w:rsidRDefault="00D726B2" w:rsidP="00E858EF">
      <w:pPr>
        <w:suppressAutoHyphens/>
      </w:pPr>
      <w:r>
        <w:t>Based on</w:t>
      </w:r>
      <w:r w:rsidRPr="00191003">
        <w:t xml:space="preserve"> the data collected</w:t>
      </w:r>
      <w:r>
        <w:t xml:space="preserve"> for</w:t>
      </w:r>
      <w:r w:rsidRPr="00191003">
        <w:t xml:space="preserve"> </w:t>
      </w:r>
      <w:r>
        <w:t>the sample of larnakes from Mid-West</w:t>
      </w:r>
      <w:r w:rsidRPr="00191003">
        <w:t xml:space="preserve"> Crete</w:t>
      </w:r>
      <w:r>
        <w:t>,</w:t>
      </w:r>
      <w:r w:rsidRPr="00191003">
        <w:t xml:space="preserve"> </w:t>
      </w:r>
      <w:r>
        <w:t xml:space="preserve">it </w:t>
      </w:r>
      <w:r w:rsidRPr="00191003">
        <w:t>seems</w:t>
      </w:r>
      <w:r>
        <w:t xml:space="preserve"> there was a</w:t>
      </w:r>
      <w:r w:rsidRPr="00191003">
        <w:t xml:space="preserve"> well standardised morphology. A higher degree of variety is </w:t>
      </w:r>
      <w:r>
        <w:t xml:space="preserve">instead </w:t>
      </w:r>
      <w:r w:rsidRPr="00191003">
        <w:t>expressed through decoration (</w:t>
      </w:r>
      <w:r>
        <w:t xml:space="preserve">i.e. </w:t>
      </w:r>
      <w:r w:rsidRPr="00191003">
        <w:t xml:space="preserve">monochrome and polychrome decoration, variety of iconographical </w:t>
      </w:r>
      <w:r>
        <w:t>motif</w:t>
      </w:r>
      <w:r w:rsidRPr="00191003">
        <w:t>s).</w:t>
      </w:r>
      <w:r>
        <w:t xml:space="preserve"> </w:t>
      </w:r>
      <w:r w:rsidRPr="007F18D6">
        <w:t xml:space="preserve">The standard larnax type adopted in </w:t>
      </w:r>
      <w:r>
        <w:t>Mid-West</w:t>
      </w:r>
      <w:r w:rsidRPr="007F18D6">
        <w:t xml:space="preserve"> Crete burials,</w:t>
      </w:r>
      <w:r w:rsidRPr="00034C5E">
        <w:t xml:space="preserve"> from a morphological </w:t>
      </w:r>
      <w:r w:rsidRPr="00E7753F">
        <w:t xml:space="preserve">perspective, is represented by a decorated chest-shaped larnax with four feet, four raised panels, a gabled lid and holes instead of handles. Holes distributed all over the larnax occur in particular in larnakes from this region and </w:t>
      </w:r>
      <w:r>
        <w:t>are</w:t>
      </w:r>
      <w:r w:rsidRPr="007F18D6">
        <w:t xml:space="preserve"> probably </w:t>
      </w:r>
      <w:r w:rsidRPr="00E7753F">
        <w:t xml:space="preserve">a method </w:t>
      </w:r>
      <w:r>
        <w:t xml:space="preserve">used </w:t>
      </w:r>
      <w:r w:rsidRPr="007F18D6">
        <w:t>to facilitate body decomposition.</w:t>
      </w:r>
      <w:r w:rsidRPr="00034C5E">
        <w:t xml:space="preserve"> The occurrence of base draining holes</w:t>
      </w:r>
      <w:r w:rsidRPr="000342D7">
        <w:t>,</w:t>
      </w:r>
      <w:r w:rsidRPr="00E7753F">
        <w:t xml:space="preserve"> unfortunately, is rarely reported in publications, but has been </w:t>
      </w:r>
      <w:r>
        <w:t xml:space="preserve">directly </w:t>
      </w:r>
      <w:r w:rsidRPr="00E7753F">
        <w:t>observed in a small sample of larnakes.</w:t>
      </w:r>
    </w:p>
    <w:p w14:paraId="524D8515" w14:textId="77777777" w:rsidR="00D726B2" w:rsidRPr="00191003" w:rsidRDefault="00D726B2" w:rsidP="00E858EF">
      <w:pPr>
        <w:suppressAutoHyphens/>
        <w:ind w:firstLine="708"/>
      </w:pPr>
      <w:r w:rsidRPr="00191003">
        <w:t>In one larnax from Pankalochori (27 Pankalochori MP 3360)</w:t>
      </w:r>
      <w:r>
        <w:t>,</w:t>
      </w:r>
      <w:r w:rsidRPr="00191003">
        <w:t xml:space="preserve"> there are three </w:t>
      </w:r>
      <w:r>
        <w:t xml:space="preserve">moulded </w:t>
      </w:r>
      <w:r w:rsidRPr="00191003">
        <w:t>vertical raised bands on the base of the larnax alon</w:t>
      </w:r>
      <w:r>
        <w:t>g with draining holes (Baxevani and</w:t>
      </w:r>
      <w:r w:rsidRPr="00191003">
        <w:t xml:space="preserve"> Markoulaki 1996: 663 </w:t>
      </w:r>
      <w:r>
        <w:t>F</w:t>
      </w:r>
      <w:r w:rsidRPr="00191003">
        <w:t xml:space="preserve">ig. 35). The presence of raised bands </w:t>
      </w:r>
      <w:r>
        <w:t>on</w:t>
      </w:r>
      <w:r w:rsidRPr="00191003">
        <w:t xml:space="preserve"> the base occurs also in other larna</w:t>
      </w:r>
      <w:r>
        <w:t>x</w:t>
      </w:r>
      <w:r w:rsidRPr="00191003">
        <w:t xml:space="preserve"> </w:t>
      </w:r>
      <w:r>
        <w:t>exa</w:t>
      </w:r>
      <w:r w:rsidRPr="00191003">
        <w:t>mple</w:t>
      </w:r>
      <w:r>
        <w:t>s,</w:t>
      </w:r>
      <w:r w:rsidRPr="00191003">
        <w:t xml:space="preserve"> although from a different region (</w:t>
      </w:r>
      <w:r>
        <w:t>e.g.</w:t>
      </w:r>
      <w:r w:rsidRPr="00191003">
        <w:t xml:space="preserve"> Elounda</w:t>
      </w:r>
      <w:r>
        <w:t>:</w:t>
      </w:r>
      <w:r w:rsidRPr="00191003">
        <w:t xml:space="preserve"> Van Effenterre 1948: pl. XXXIV). </w:t>
      </w:r>
      <w:r>
        <w:t>The bands</w:t>
      </w:r>
      <w:r w:rsidRPr="00191003">
        <w:t xml:space="preserve"> can be connected to the larnax skeuomorphism (</w:t>
      </w:r>
      <w:r>
        <w:t>they</w:t>
      </w:r>
      <w:r w:rsidRPr="00191003">
        <w:t xml:space="preserve"> could represent a feature occurring </w:t>
      </w:r>
      <w:r>
        <w:t>o</w:t>
      </w:r>
      <w:r w:rsidRPr="00191003">
        <w:t>n wooden bier</w:t>
      </w:r>
      <w:r>
        <w:t>s</w:t>
      </w:r>
      <w:r w:rsidRPr="00191003">
        <w:t>/coffin</w:t>
      </w:r>
      <w:r>
        <w:t>s</w:t>
      </w:r>
      <w:r w:rsidRPr="00191003">
        <w:t>)</w:t>
      </w:r>
      <w:r>
        <w:t xml:space="preserve">. </w:t>
      </w:r>
      <w:r w:rsidRPr="00191003">
        <w:t xml:space="preserve">Two larnakes </w:t>
      </w:r>
      <w:r>
        <w:t>have</w:t>
      </w:r>
      <w:r w:rsidRPr="00191003">
        <w:t xml:space="preserve"> </w:t>
      </w:r>
      <w:r>
        <w:t xml:space="preserve">moulded </w:t>
      </w:r>
      <w:r w:rsidRPr="00191003">
        <w:t>figurines (bulls</w:t>
      </w:r>
      <w:r>
        <w:t>’</w:t>
      </w:r>
      <w:r w:rsidRPr="00191003">
        <w:t xml:space="preserve"> head</w:t>
      </w:r>
      <w:r>
        <w:t>s</w:t>
      </w:r>
      <w:r w:rsidRPr="00191003">
        <w:t xml:space="preserve">) on the end of </w:t>
      </w:r>
      <w:r>
        <w:t xml:space="preserve">the </w:t>
      </w:r>
      <w:r w:rsidRPr="00191003">
        <w:t>ridgepole</w:t>
      </w:r>
      <w:r>
        <w:t>s</w:t>
      </w:r>
      <w:r w:rsidRPr="00191003">
        <w:t xml:space="preserve"> (270 Armenoi MR 2829 from and 384 Dramia</w:t>
      </w:r>
      <w:r>
        <w:t xml:space="preserve"> MC 1187</w:t>
      </w:r>
      <w:r w:rsidRPr="00191003">
        <w:t xml:space="preserve">). </w:t>
      </w:r>
    </w:p>
    <w:p w14:paraId="02F7521F" w14:textId="5A61B3DC" w:rsidR="00D726B2" w:rsidRDefault="00C96815" w:rsidP="00E858EF">
      <w:pPr>
        <w:suppressAutoHyphens/>
      </w:pPr>
      <w:r>
        <w:tab/>
      </w:r>
      <w:r w:rsidR="00D726B2" w:rsidRPr="00191003">
        <w:t xml:space="preserve">A potter’s mark occurs </w:t>
      </w:r>
      <w:r w:rsidR="00D726B2">
        <w:t>o</w:t>
      </w:r>
      <w:r w:rsidR="00D726B2" w:rsidRPr="00191003">
        <w:t>n one larnax from Choumeri (347 Choumeri MR 2392</w:t>
      </w:r>
      <w:r w:rsidR="00C53BB7">
        <w:t xml:space="preserve">: </w:t>
      </w:r>
      <w:r w:rsidR="00D726B2" w:rsidRPr="00191003">
        <w:t xml:space="preserve">Mavriyannaki 1985:13-22, </w:t>
      </w:r>
      <w:r w:rsidR="00D726B2">
        <w:t>F</w:t>
      </w:r>
      <w:r w:rsidR="00D726B2" w:rsidRPr="00191003">
        <w:t>ig. 1, pl. 1).</w:t>
      </w:r>
      <w:r w:rsidR="00C53BB7" w:rsidRPr="00C53BB7">
        <w:rPr>
          <w:color w:val="000000"/>
        </w:rPr>
        <w:t xml:space="preserve"> </w:t>
      </w:r>
      <w:r w:rsidR="00C53BB7" w:rsidRPr="00C53BB7">
        <w:t>The mark consists of a sort of incised arrow and occurs on a short side of the chest and on a short side of the gabled lid, one above the other. In the decoration on a larnax fragment from Mesi Lismata, the motif of a cross within a circle appears (</w:t>
      </w:r>
      <w:r w:rsidR="00C53BB7" w:rsidRPr="00C53BB7">
        <w:rPr>
          <w:i/>
        </w:rPr>
        <w:t>ADelt</w:t>
      </w:r>
      <w:r w:rsidR="00C53BB7" w:rsidRPr="00C53BB7">
        <w:t xml:space="preserve"> 36 1981: 402, pl. 300 a-b, 301b; Godart and Tzedakis 1992: 96; Langohr 2009: 152), which is similar to the Linear B sign with the value 'ka', which is attested occasionally painted on s</w:t>
      </w:r>
      <w:r w:rsidR="00C53BB7">
        <w:t>tirrup jars (MY Z 713.b MI Z 2)</w:t>
      </w:r>
      <w:r w:rsidR="00D726B2" w:rsidRPr="00191003">
        <w:t>.</w:t>
      </w:r>
      <w:r w:rsidR="00D726B2">
        <w:t xml:space="preserve"> From a morphological perspective, larnakes from the Mid-West region display a high degree of standardisation.</w:t>
      </w:r>
    </w:p>
    <w:p w14:paraId="65161A6B" w14:textId="77777777" w:rsidR="00D726B2" w:rsidRPr="00191003" w:rsidRDefault="00D726B2" w:rsidP="00E858EF">
      <w:pPr>
        <w:suppressAutoHyphens/>
      </w:pPr>
      <w:r>
        <w:tab/>
      </w:r>
      <w:r w:rsidRPr="00907B85">
        <w:t>However</w:t>
      </w:r>
      <w:r>
        <w:t>,</w:t>
      </w:r>
      <w:r w:rsidRPr="00907B85">
        <w:t xml:space="preserve"> </w:t>
      </w:r>
      <w:r>
        <w:t>the</w:t>
      </w:r>
      <w:r w:rsidRPr="00907B85">
        <w:t xml:space="preserve"> lack of variety in </w:t>
      </w:r>
      <w:r>
        <w:t xml:space="preserve">the </w:t>
      </w:r>
      <w:r w:rsidRPr="00907B85">
        <w:t xml:space="preserve">morphology does not correspond to a lack of variety in </w:t>
      </w:r>
      <w:r>
        <w:t xml:space="preserve">the </w:t>
      </w:r>
      <w:r w:rsidRPr="00907B85">
        <w:t>iconography.</w:t>
      </w:r>
      <w:r>
        <w:t xml:space="preserve"> </w:t>
      </w:r>
      <w:r w:rsidRPr="00191003">
        <w:t>D</w:t>
      </w:r>
      <w:r>
        <w:t>ecorated larnakes of the Mid-West</w:t>
      </w:r>
      <w:r w:rsidRPr="00191003">
        <w:t xml:space="preserve"> region represent 67% of the total number of secure larnakes, while for the remaining percentage</w:t>
      </w:r>
      <w:r>
        <w:t>,</w:t>
      </w:r>
      <w:r w:rsidRPr="00191003">
        <w:t xml:space="preserve"> in the vast majority of cases</w:t>
      </w:r>
      <w:r>
        <w:t>,</w:t>
      </w:r>
      <w:r w:rsidRPr="00191003">
        <w:t xml:space="preserve"> there </w:t>
      </w:r>
      <w:r>
        <w:t>is</w:t>
      </w:r>
      <w:r w:rsidRPr="00191003">
        <w:t xml:space="preserve"> no information about the presence of decoration.</w:t>
      </w:r>
    </w:p>
    <w:p w14:paraId="1C006CB1" w14:textId="77777777" w:rsidR="00D726B2" w:rsidRPr="00191003" w:rsidRDefault="00D726B2" w:rsidP="00E858EF">
      <w:pPr>
        <w:suppressAutoHyphens/>
      </w:pPr>
      <w:r>
        <w:tab/>
      </w:r>
      <w:r w:rsidRPr="00191003">
        <w:t xml:space="preserve">To this sample should be added a further group of </w:t>
      </w:r>
      <w:r>
        <w:t>14</w:t>
      </w:r>
      <w:r w:rsidRPr="00191003">
        <w:t xml:space="preserve"> decorated larnakes (Mavriyannaki 1972; Merousis 2007/2008)</w:t>
      </w:r>
      <w:r>
        <w:t>,</w:t>
      </w:r>
      <w:r w:rsidRPr="00191003">
        <w:t xml:space="preserve"> for which</w:t>
      </w:r>
      <w:r>
        <w:t>,</w:t>
      </w:r>
      <w:r w:rsidRPr="00191003">
        <w:t xml:space="preserve"> unfortunately</w:t>
      </w:r>
      <w:r>
        <w:t>,</w:t>
      </w:r>
      <w:r w:rsidRPr="00191003">
        <w:t xml:space="preserve"> there </w:t>
      </w:r>
      <w:r>
        <w:t>is</w:t>
      </w:r>
      <w:r w:rsidRPr="00191003">
        <w:t xml:space="preserve"> no precise information about their burial provenance</w:t>
      </w:r>
      <w:r>
        <w:t>.</w:t>
      </w:r>
      <w:r w:rsidRPr="00191003">
        <w:t xml:space="preserve"> </w:t>
      </w:r>
      <w:r>
        <w:t>However,</w:t>
      </w:r>
      <w:r w:rsidRPr="00191003">
        <w:t xml:space="preserve"> according to the published study</w:t>
      </w:r>
      <w:r>
        <w:t>,</w:t>
      </w:r>
      <w:r w:rsidRPr="00191003">
        <w:t xml:space="preserve"> they should belong to a </w:t>
      </w:r>
      <w:r>
        <w:t>Mid-West</w:t>
      </w:r>
      <w:r w:rsidRPr="00191003">
        <w:t xml:space="preserve"> burial context. </w:t>
      </w:r>
      <w:r>
        <w:t>Therefore,</w:t>
      </w:r>
      <w:r w:rsidRPr="00191003">
        <w:t xml:space="preserve"> they have not been included in the present study (</w:t>
      </w:r>
      <w:r>
        <w:t xml:space="preserve">although </w:t>
      </w:r>
      <w:r w:rsidRPr="00191003">
        <w:t xml:space="preserve">they have been considered). </w:t>
      </w:r>
    </w:p>
    <w:p w14:paraId="57568968" w14:textId="77777777" w:rsidR="00D726B2" w:rsidRPr="00191003" w:rsidRDefault="00D726B2" w:rsidP="00E858EF">
      <w:pPr>
        <w:suppressAutoHyphens/>
      </w:pPr>
      <w:r>
        <w:tab/>
      </w:r>
      <w:r w:rsidRPr="00191003">
        <w:t xml:space="preserve">All the larnakes </w:t>
      </w:r>
      <w:r>
        <w:t>in</w:t>
      </w:r>
      <w:r w:rsidRPr="00191003">
        <w:t xml:space="preserve"> the sample are chest</w:t>
      </w:r>
      <w:r>
        <w:t>-</w:t>
      </w:r>
      <w:r w:rsidRPr="00191003">
        <w:t xml:space="preserve">shaped. </w:t>
      </w:r>
      <w:r>
        <w:t>O</w:t>
      </w:r>
      <w:r w:rsidRPr="00191003">
        <w:t>n five larnakes distributed within three cemeteries (</w:t>
      </w:r>
      <w:r>
        <w:t>Armenoi</w:t>
      </w:r>
      <w:r w:rsidRPr="00191003">
        <w:t>, Maroulas and Pigi)</w:t>
      </w:r>
      <w:r>
        <w:t>,</w:t>
      </w:r>
      <w:r w:rsidRPr="00191003">
        <w:t xml:space="preserve"> peculiar </w:t>
      </w:r>
      <w:r>
        <w:t>motif</w:t>
      </w:r>
      <w:r w:rsidRPr="00191003">
        <w:t xml:space="preserve">s </w:t>
      </w:r>
      <w:r>
        <w:t>form</w:t>
      </w:r>
      <w:r w:rsidRPr="00191003">
        <w:t xml:space="preserve"> part of </w:t>
      </w:r>
      <w:r>
        <w:t>the</w:t>
      </w:r>
      <w:r w:rsidRPr="00191003">
        <w:t xml:space="preserve"> scene</w:t>
      </w:r>
      <w:r>
        <w:t>s</w:t>
      </w:r>
      <w:r w:rsidRPr="00191003">
        <w:t xml:space="preserve"> (</w:t>
      </w:r>
      <w:r>
        <w:t xml:space="preserve">i.e. they are scenes not peculiar combinations of motives: </w:t>
      </w:r>
      <w:r w:rsidRPr="00191003">
        <w:t>hunting scenes, prothesis scene, and human figures with upraised arms). Each scene is characterised by the presence of human figures.</w:t>
      </w:r>
    </w:p>
    <w:p w14:paraId="2DE24315" w14:textId="77777777" w:rsidR="00D726B2" w:rsidRPr="00191003" w:rsidRDefault="00D726B2" w:rsidP="00E858EF">
      <w:pPr>
        <w:suppressAutoHyphens/>
      </w:pPr>
      <w:r>
        <w:tab/>
      </w:r>
      <w:r w:rsidRPr="00191003">
        <w:t xml:space="preserve">The number of </w:t>
      </w:r>
      <w:r>
        <w:t xml:space="preserve">motifs paralleled in the pottery repertoire </w:t>
      </w:r>
      <w:r w:rsidRPr="00191003">
        <w:t>re</w:t>
      </w:r>
      <w:r>
        <w:t>corded</w:t>
      </w:r>
      <w:r w:rsidRPr="00191003">
        <w:t xml:space="preserve"> is high (55). In the case of one larnax from Maroulas </w:t>
      </w:r>
      <w:r>
        <w:t>T</w:t>
      </w:r>
      <w:r w:rsidRPr="00191003">
        <w:t>omb 7 (326 Maroulas)</w:t>
      </w:r>
      <w:r>
        <w:t>,</w:t>
      </w:r>
      <w:r w:rsidRPr="00191003">
        <w:t xml:space="preserve"> the </w:t>
      </w:r>
      <w:r>
        <w:t>motif</w:t>
      </w:r>
      <w:r w:rsidRPr="00191003">
        <w:t xml:space="preserve">s on a long side of the larnax (a sort of spiral pattern) correspond exactly to the decoration of a krater found in the same context near the larnax (Papadopoulou 2011: 614, 615 </w:t>
      </w:r>
      <w:r>
        <w:t>F</w:t>
      </w:r>
      <w:r w:rsidRPr="00191003">
        <w:t xml:space="preserve">ig. 4). These data </w:t>
      </w:r>
      <w:r>
        <w:t>suggest</w:t>
      </w:r>
      <w:r w:rsidRPr="00191003">
        <w:t xml:space="preserve"> it is highly possible that larnakes and pots came from the same workshops (Watrous 1991: 303-304; Baxevani </w:t>
      </w:r>
      <w:r>
        <w:t xml:space="preserve">and </w:t>
      </w:r>
      <w:r w:rsidRPr="00191003">
        <w:t>Markoulaki 1996: 672; Papadopoulou 2011: 614; Merousis 2000: 406).</w:t>
      </w:r>
    </w:p>
    <w:p w14:paraId="5C345079" w14:textId="77777777" w:rsidR="00D726B2" w:rsidRPr="00191003" w:rsidRDefault="00D726B2" w:rsidP="00E858EF">
      <w:pPr>
        <w:suppressAutoHyphens/>
      </w:pPr>
      <w:r>
        <w:tab/>
      </w:r>
      <w:r w:rsidRPr="00191003">
        <w:t xml:space="preserve">The difference between panel and frames in the vast majority of cases is also marked by decoration. </w:t>
      </w:r>
      <w:r>
        <w:t>However,</w:t>
      </w:r>
      <w:r w:rsidRPr="00191003">
        <w:t xml:space="preserve"> it is not possible to find a clear distinction between </w:t>
      </w:r>
      <w:r>
        <w:t>motif</w:t>
      </w:r>
      <w:r w:rsidRPr="00191003">
        <w:t xml:space="preserve">s used for frame decoration and </w:t>
      </w:r>
      <w:r>
        <w:t>motif</w:t>
      </w:r>
      <w:r w:rsidRPr="00191003">
        <w:t>s used only on panels (</w:t>
      </w:r>
      <w:r>
        <w:t>e.g.</w:t>
      </w:r>
      <w:r w:rsidRPr="00191003">
        <w:t xml:space="preserve"> horns of consecration and wavy lines </w:t>
      </w:r>
      <w:r>
        <w:t>often</w:t>
      </w:r>
      <w:r w:rsidRPr="00191003">
        <w:t xml:space="preserve"> occur in both place</w:t>
      </w:r>
      <w:r>
        <w:t>s</w:t>
      </w:r>
      <w:r w:rsidRPr="00191003">
        <w:t xml:space="preserve"> </w:t>
      </w:r>
      <w:r>
        <w:t>on</w:t>
      </w:r>
      <w:r w:rsidRPr="00191003">
        <w:t xml:space="preserve"> the same larnax). </w:t>
      </w:r>
    </w:p>
    <w:p w14:paraId="5E00159C" w14:textId="77777777" w:rsidR="00D726B2" w:rsidRPr="008F3DA9" w:rsidRDefault="00D726B2" w:rsidP="00E858EF">
      <w:pPr>
        <w:suppressAutoHyphens/>
      </w:pPr>
      <w:r>
        <w:tab/>
      </w:r>
      <w:r w:rsidRPr="008F3DA9">
        <w:t>Three larnakes</w:t>
      </w:r>
      <w:r>
        <w:t xml:space="preserve"> from Mid-West area (one from Dramia and two from Armenoi)</w:t>
      </w:r>
      <w:r w:rsidRPr="008F3DA9">
        <w:t xml:space="preserve"> </w:t>
      </w:r>
      <w:r>
        <w:t>have</w:t>
      </w:r>
      <w:r w:rsidRPr="008F3DA9">
        <w:t xml:space="preserve">  polychrome decoration</w:t>
      </w:r>
      <w:r>
        <w:t>,</w:t>
      </w:r>
      <w:r w:rsidRPr="008F3DA9">
        <w:t xml:space="preserve"> and it is highly possible that they come from the same workshop (Kanta 1980: 337). Clear evidence of polychrome decoration </w:t>
      </w:r>
      <w:r>
        <w:t>has, as yet,</w:t>
      </w:r>
      <w:r w:rsidRPr="008F3DA9">
        <w:t xml:space="preserve"> only been observed </w:t>
      </w:r>
      <w:r>
        <w:t>o</w:t>
      </w:r>
      <w:r w:rsidRPr="008F3DA9">
        <w:t>n these three larnakes</w:t>
      </w:r>
      <w:r>
        <w:t>,</w:t>
      </w:r>
      <w:r w:rsidRPr="008F3DA9">
        <w:t xml:space="preserve"> and </w:t>
      </w:r>
      <w:r>
        <w:t>this is</w:t>
      </w:r>
      <w:r w:rsidRPr="008F3DA9">
        <w:t xml:space="preserve"> a key feature in workshop identification. The presence of larnakes with polychrome decoration</w:t>
      </w:r>
      <w:r>
        <w:t>,</w:t>
      </w:r>
      <w:r w:rsidRPr="008F3DA9">
        <w:t xml:space="preserve"> </w:t>
      </w:r>
      <w:r>
        <w:t>in addition to</w:t>
      </w:r>
      <w:r w:rsidRPr="008F3DA9">
        <w:t xml:space="preserve"> the absence of undecorated larnakes</w:t>
      </w:r>
      <w:r>
        <w:t>,</w:t>
      </w:r>
      <w:r w:rsidRPr="008F3DA9">
        <w:t xml:space="preserve"> </w:t>
      </w:r>
      <w:r>
        <w:t>reveals</w:t>
      </w:r>
      <w:r w:rsidRPr="008F3DA9">
        <w:t xml:space="preserve"> the high degree of variation and investment in larna</w:t>
      </w:r>
      <w:r>
        <w:t>x</w:t>
      </w:r>
      <w:r w:rsidRPr="008F3DA9">
        <w:t xml:space="preserve"> decoration in the </w:t>
      </w:r>
      <w:r>
        <w:t>Mid-West</w:t>
      </w:r>
      <w:r w:rsidRPr="008F3DA9">
        <w:t xml:space="preserve"> area, </w:t>
      </w:r>
      <w:r>
        <w:t xml:space="preserve">a </w:t>
      </w:r>
      <w:r w:rsidRPr="008F3DA9">
        <w:t xml:space="preserve">feature that does not occur </w:t>
      </w:r>
      <w:r>
        <w:t xml:space="preserve">to the same extent </w:t>
      </w:r>
      <w:r w:rsidRPr="008F3DA9">
        <w:t xml:space="preserve">in any other area where larnakes </w:t>
      </w:r>
      <w:r>
        <w:t>were</w:t>
      </w:r>
      <w:r w:rsidRPr="008F3DA9">
        <w:t xml:space="preserve"> adopted.</w:t>
      </w:r>
    </w:p>
    <w:p w14:paraId="4449F1D7" w14:textId="77777777" w:rsidR="00D726B2" w:rsidRPr="00191003" w:rsidRDefault="00D726B2" w:rsidP="00E858EF">
      <w:pPr>
        <w:suppressAutoHyphens/>
      </w:pPr>
      <w:r>
        <w:tab/>
      </w:r>
      <w:r w:rsidRPr="008F3DA9">
        <w:t>Furthermore</w:t>
      </w:r>
      <w:r>
        <w:t>,</w:t>
      </w:r>
      <w:r w:rsidRPr="008F3DA9">
        <w:t xml:space="preserve"> these data (high percentage of decorated larnakes; larnakes decorated with</w:t>
      </w:r>
      <w:r w:rsidRPr="00191003">
        <w:t xml:space="preserve"> representational scenes</w:t>
      </w:r>
      <w:r>
        <w:t>;</w:t>
      </w:r>
      <w:r w:rsidRPr="00191003">
        <w:t xml:space="preserve"> occurrence of high number of </w:t>
      </w:r>
      <w:r>
        <w:t>motif</w:t>
      </w:r>
      <w:r w:rsidRPr="00191003">
        <w:t xml:space="preserve">s) </w:t>
      </w:r>
      <w:r>
        <w:t>suggest</w:t>
      </w:r>
      <w:r w:rsidRPr="00191003">
        <w:t xml:space="preserve"> that decorated larnakes represented an impor</w:t>
      </w:r>
      <w:r>
        <w:t>tant part of the investment in burial customs in the Mid-West</w:t>
      </w:r>
      <w:r w:rsidRPr="00191003">
        <w:t xml:space="preserve"> </w:t>
      </w:r>
      <w:r>
        <w:t>region. In the burial context of Mid-West</w:t>
      </w:r>
      <w:r w:rsidRPr="00191003">
        <w:t xml:space="preserve"> Crete</w:t>
      </w:r>
      <w:r>
        <w:t>,</w:t>
      </w:r>
      <w:r w:rsidRPr="00191003">
        <w:t xml:space="preserve"> there was a high investment in larnax production and consumption. This is demonstrated </w:t>
      </w:r>
      <w:r>
        <w:t xml:space="preserve">also </w:t>
      </w:r>
      <w:r w:rsidRPr="00191003">
        <w:t xml:space="preserve">by the existence of more than one workshop (probably the same workshop involved in pottery production). These workshops were probably concentrated in the area between the cemeteries of Armenoi (all the larnakes found at </w:t>
      </w:r>
      <w:r>
        <w:t>Armenoi</w:t>
      </w:r>
      <w:r w:rsidRPr="00191003">
        <w:t xml:space="preserve"> are decorated), Maroulas, Adele and Pigi</w:t>
      </w:r>
      <w:r>
        <w:t>,</w:t>
      </w:r>
      <w:r w:rsidRPr="00191003">
        <w:t xml:space="preserve"> where a high number of decorated larnakes is concentrated (65% of the sa</w:t>
      </w:r>
      <w:r>
        <w:t>mple of decorated items is from the Mid-West</w:t>
      </w:r>
      <w:r w:rsidRPr="00191003">
        <w:t xml:space="preserve"> region).</w:t>
      </w:r>
    </w:p>
    <w:p w14:paraId="2E95E126" w14:textId="24B48375" w:rsidR="00D726B2" w:rsidRPr="00E7753F" w:rsidRDefault="00D726B2" w:rsidP="00E858EF">
      <w:pPr>
        <w:pStyle w:val="Titolo2"/>
        <w:keepNext w:val="0"/>
        <w:keepLines w:val="0"/>
        <w:suppressAutoHyphens/>
      </w:pPr>
      <w:bookmarkStart w:id="1075" w:name="_Toc517807593"/>
      <w:bookmarkStart w:id="1076" w:name="_Toc519894683"/>
      <w:r w:rsidRPr="00E7753F">
        <w:t>Mesara</w:t>
      </w:r>
      <w:bookmarkEnd w:id="1075"/>
      <w:bookmarkEnd w:id="1076"/>
      <w:r w:rsidR="006934A7">
        <w:t xml:space="preserve"> area</w:t>
      </w:r>
    </w:p>
    <w:p w14:paraId="46EB3995" w14:textId="3C23EC28" w:rsidR="00D726B2" w:rsidRPr="00191003" w:rsidRDefault="00D726B2" w:rsidP="00E858EF">
      <w:pPr>
        <w:pStyle w:val="Titolo3"/>
        <w:keepNext w:val="0"/>
        <w:keepLines w:val="0"/>
        <w:suppressAutoHyphens/>
      </w:pPr>
      <w:bookmarkStart w:id="1077" w:name="_Toc517807594"/>
      <w:bookmarkStart w:id="1078" w:name="_Toc519894684"/>
      <w:r w:rsidRPr="00191003">
        <w:t xml:space="preserve">Mesara </w:t>
      </w:r>
      <w:r w:rsidR="006934A7">
        <w:t xml:space="preserve">area </w:t>
      </w:r>
      <w:r w:rsidRPr="00191003">
        <w:t>larnakes morphological analysis</w:t>
      </w:r>
      <w:bookmarkEnd w:id="1077"/>
      <w:bookmarkEnd w:id="1078"/>
    </w:p>
    <w:p w14:paraId="490CED9C"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191003">
        <w:rPr>
          <w:color w:val="000000"/>
        </w:rPr>
        <w:t xml:space="preserve">The sample of larnakes available from publication records for the </w:t>
      </w:r>
      <w:r>
        <w:rPr>
          <w:color w:val="000000"/>
        </w:rPr>
        <w:t>Mesara</w:t>
      </w:r>
      <w:r w:rsidRPr="00191003">
        <w:rPr>
          <w:color w:val="000000"/>
        </w:rPr>
        <w:t xml:space="preserve"> area consists of </w:t>
      </w:r>
      <w:r w:rsidRPr="00E7753F">
        <w:rPr>
          <w:color w:val="000000"/>
        </w:rPr>
        <w:t>123 items.</w:t>
      </w:r>
      <w:r w:rsidRPr="00191003">
        <w:rPr>
          <w:color w:val="000000"/>
        </w:rPr>
        <w:t xml:space="preserve">  From this sample larnakes</w:t>
      </w:r>
      <w:r>
        <w:rPr>
          <w:color w:val="000000"/>
        </w:rPr>
        <w:t xml:space="preserve"> </w:t>
      </w:r>
      <w:r w:rsidRPr="00191003">
        <w:rPr>
          <w:color w:val="000000"/>
        </w:rPr>
        <w:t xml:space="preserve">have been excluded for which </w:t>
      </w:r>
      <w:r>
        <w:rPr>
          <w:color w:val="000000"/>
        </w:rPr>
        <w:t xml:space="preserve">it </w:t>
      </w:r>
      <w:r w:rsidRPr="00191003">
        <w:rPr>
          <w:color w:val="000000"/>
        </w:rPr>
        <w:t>has</w:t>
      </w:r>
      <w:r>
        <w:rPr>
          <w:color w:val="000000"/>
        </w:rPr>
        <w:t xml:space="preserve"> not</w:t>
      </w:r>
      <w:r w:rsidRPr="00191003">
        <w:rPr>
          <w:color w:val="000000"/>
        </w:rPr>
        <w:t xml:space="preserve"> been possible to retrieve a secure burial context:</w:t>
      </w:r>
    </w:p>
    <w:p w14:paraId="10044368" w14:textId="77777777" w:rsidR="00D726B2" w:rsidRPr="00191003" w:rsidRDefault="00D726B2" w:rsidP="00370745">
      <w:pPr>
        <w:pStyle w:val="Paragrafoelenco"/>
        <w:numPr>
          <w:ilvl w:val="0"/>
          <w:numId w:val="10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Pr>
          <w:color w:val="000000"/>
        </w:rPr>
        <w:t>Three fragmentary</w:t>
      </w:r>
      <w:r w:rsidRPr="00191003">
        <w:rPr>
          <w:color w:val="000000"/>
        </w:rPr>
        <w:t xml:space="preserve"> bathtub larnakes from Poros, a hill near Kalyvia (Kanta wrongly attribute</w:t>
      </w:r>
      <w:r>
        <w:rPr>
          <w:color w:val="000000"/>
        </w:rPr>
        <w:t>s these fragmentary</w:t>
      </w:r>
      <w:r w:rsidRPr="00191003">
        <w:rPr>
          <w:color w:val="000000"/>
        </w:rPr>
        <w:t xml:space="preserve"> larnakes to</w:t>
      </w:r>
      <w:r>
        <w:rPr>
          <w:color w:val="000000"/>
        </w:rPr>
        <w:t xml:space="preserve"> the</w:t>
      </w:r>
      <w:r w:rsidRPr="00191003">
        <w:rPr>
          <w:color w:val="000000"/>
        </w:rPr>
        <w:t xml:space="preserve"> Kalyvia cemetery</w:t>
      </w:r>
      <w:r>
        <w:rPr>
          <w:color w:val="000000"/>
        </w:rPr>
        <w:t>: see</w:t>
      </w:r>
      <w:r w:rsidRPr="00191003">
        <w:rPr>
          <w:color w:val="000000"/>
        </w:rPr>
        <w:t xml:space="preserve"> Kanta 1980: 99; Privitera 2011:123; Cucuzza 2002: 135, 140)</w:t>
      </w:r>
      <w:r>
        <w:rPr>
          <w:color w:val="000000"/>
        </w:rPr>
        <w:t>.</w:t>
      </w:r>
    </w:p>
    <w:p w14:paraId="0E9A9612" w14:textId="77777777" w:rsidR="00D726B2" w:rsidRPr="00191003" w:rsidRDefault="00D726B2" w:rsidP="00370745">
      <w:pPr>
        <w:pStyle w:val="Paragrafoelenco"/>
        <w:numPr>
          <w:ilvl w:val="0"/>
          <w:numId w:val="10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Three bathtub larnakes from Apodoulou Madhres</w:t>
      </w:r>
      <w:r>
        <w:rPr>
          <w:color w:val="000000"/>
        </w:rPr>
        <w:t>,</w:t>
      </w:r>
      <w:r w:rsidRPr="00191003">
        <w:rPr>
          <w:color w:val="000000"/>
        </w:rPr>
        <w:t xml:space="preserve"> for which a tomb context </w:t>
      </w:r>
      <w:r>
        <w:rPr>
          <w:color w:val="000000"/>
        </w:rPr>
        <w:t>is not</w:t>
      </w:r>
      <w:r w:rsidRPr="00191003">
        <w:rPr>
          <w:color w:val="000000"/>
        </w:rPr>
        <w:t xml:space="preserve"> reported </w:t>
      </w:r>
      <w:r>
        <w:rPr>
          <w:color w:val="000000"/>
        </w:rPr>
        <w:t>in</w:t>
      </w:r>
      <w:r w:rsidRPr="00191003">
        <w:rPr>
          <w:color w:val="000000"/>
        </w:rPr>
        <w:t xml:space="preserve"> the</w:t>
      </w:r>
      <w:r>
        <w:rPr>
          <w:color w:val="000000"/>
        </w:rPr>
        <w:t xml:space="preserve"> preliminary</w:t>
      </w:r>
      <w:r w:rsidRPr="00191003">
        <w:rPr>
          <w:color w:val="000000"/>
        </w:rPr>
        <w:t xml:space="preserve"> ex</w:t>
      </w:r>
      <w:r>
        <w:rPr>
          <w:color w:val="000000"/>
        </w:rPr>
        <w:t>c</w:t>
      </w:r>
      <w:r w:rsidRPr="00191003">
        <w:rPr>
          <w:color w:val="000000"/>
        </w:rPr>
        <w:t>a</w:t>
      </w:r>
      <w:r>
        <w:rPr>
          <w:color w:val="000000"/>
        </w:rPr>
        <w:t>va</w:t>
      </w:r>
      <w:r w:rsidRPr="00191003">
        <w:rPr>
          <w:color w:val="000000"/>
        </w:rPr>
        <w:t>tion reports (</w:t>
      </w:r>
      <w:r w:rsidRPr="00733192">
        <w:rPr>
          <w:i/>
          <w:color w:val="000000"/>
        </w:rPr>
        <w:t>ADelt</w:t>
      </w:r>
      <w:r w:rsidRPr="00191003">
        <w:rPr>
          <w:color w:val="000000"/>
        </w:rPr>
        <w:t xml:space="preserve"> </w:t>
      </w:r>
      <w:r>
        <w:rPr>
          <w:color w:val="000000"/>
        </w:rPr>
        <w:t xml:space="preserve">18 </w:t>
      </w:r>
      <w:r w:rsidRPr="00191003">
        <w:rPr>
          <w:color w:val="000000"/>
        </w:rPr>
        <w:t xml:space="preserve">1963: 315; </w:t>
      </w:r>
      <w:r w:rsidRPr="00733192">
        <w:rPr>
          <w:i/>
          <w:color w:val="000000"/>
        </w:rPr>
        <w:t>KChr</w:t>
      </w:r>
      <w:r w:rsidRPr="00191003">
        <w:rPr>
          <w:color w:val="000000"/>
        </w:rPr>
        <w:t xml:space="preserve"> 12 1958: 481; Hood</w:t>
      </w:r>
      <w:r>
        <w:rPr>
          <w:color w:val="000000"/>
        </w:rPr>
        <w:t xml:space="preserve"> et al.</w:t>
      </w:r>
      <w:r w:rsidRPr="00191003">
        <w:rPr>
          <w:color w:val="000000"/>
        </w:rPr>
        <w:t>1964: 80; Kanta 1980: 207; L</w:t>
      </w:r>
      <w:r>
        <w:rPr>
          <w:color w:val="000000"/>
          <w:lang w:val="de-DE"/>
        </w:rPr>
        <w:t>ö</w:t>
      </w:r>
      <w:r w:rsidRPr="00191003">
        <w:rPr>
          <w:color w:val="000000"/>
        </w:rPr>
        <w:t>we 199</w:t>
      </w:r>
      <w:r>
        <w:rPr>
          <w:color w:val="000000"/>
        </w:rPr>
        <w:t>6</w:t>
      </w:r>
      <w:r w:rsidRPr="00191003">
        <w:rPr>
          <w:color w:val="000000"/>
        </w:rPr>
        <w:t>: 316 n. 1145; Langohr 2009: 140)</w:t>
      </w:r>
      <w:r>
        <w:rPr>
          <w:color w:val="000000"/>
        </w:rPr>
        <w:t>.</w:t>
      </w:r>
    </w:p>
    <w:p w14:paraId="5B7BE73C" w14:textId="77777777" w:rsidR="00D726B2" w:rsidRPr="00191003" w:rsidRDefault="00D726B2" w:rsidP="00370745">
      <w:pPr>
        <w:pStyle w:val="Paragrafoelenco"/>
        <w:numPr>
          <w:ilvl w:val="0"/>
          <w:numId w:val="10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A fragment of a larnax from Moria (</w:t>
      </w:r>
      <w:r w:rsidRPr="00733192">
        <w:rPr>
          <w:i/>
          <w:color w:val="000000"/>
        </w:rPr>
        <w:t>ADelt</w:t>
      </w:r>
      <w:r>
        <w:rPr>
          <w:color w:val="000000"/>
        </w:rPr>
        <w:t xml:space="preserve"> 17</w:t>
      </w:r>
      <w:r w:rsidRPr="00191003">
        <w:rPr>
          <w:color w:val="000000"/>
        </w:rPr>
        <w:t xml:space="preserve"> 1961-62: 290; Kanta 1980: 84)</w:t>
      </w:r>
      <w:r>
        <w:rPr>
          <w:color w:val="000000"/>
        </w:rPr>
        <w:t>.</w:t>
      </w:r>
    </w:p>
    <w:p w14:paraId="3B62D991" w14:textId="77777777" w:rsidR="00D726B2" w:rsidRPr="00191003" w:rsidRDefault="00D726B2" w:rsidP="00370745">
      <w:pPr>
        <w:pStyle w:val="Paragrafoelenco"/>
        <w:numPr>
          <w:ilvl w:val="0"/>
          <w:numId w:val="10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A larnax found near the tholos of Apesokari (personal communication</w:t>
      </w:r>
      <w:r>
        <w:rPr>
          <w:color w:val="000000"/>
        </w:rPr>
        <w:t xml:space="preserve"> from</w:t>
      </w:r>
      <w:r w:rsidRPr="00191003">
        <w:rPr>
          <w:color w:val="000000"/>
        </w:rPr>
        <w:t xml:space="preserve"> Georgia Flouda)</w:t>
      </w:r>
      <w:r>
        <w:rPr>
          <w:color w:val="000000"/>
        </w:rPr>
        <w:t>.</w:t>
      </w:r>
    </w:p>
    <w:p w14:paraId="5A415150" w14:textId="77777777" w:rsidR="00D726B2" w:rsidRPr="00191003" w:rsidRDefault="00D726B2" w:rsidP="00370745">
      <w:pPr>
        <w:pStyle w:val="Paragrafoelenco"/>
        <w:numPr>
          <w:ilvl w:val="0"/>
          <w:numId w:val="10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 xml:space="preserve">A larnax found in the </w:t>
      </w:r>
      <w:r>
        <w:rPr>
          <w:color w:val="000000"/>
        </w:rPr>
        <w:t>southwest</w:t>
      </w:r>
      <w:r w:rsidRPr="00191003">
        <w:rPr>
          <w:color w:val="000000"/>
        </w:rPr>
        <w:t xml:space="preserve"> area of </w:t>
      </w:r>
      <w:r>
        <w:rPr>
          <w:color w:val="000000"/>
        </w:rPr>
        <w:t>A</w:t>
      </w:r>
      <w:r w:rsidRPr="00191003">
        <w:rPr>
          <w:color w:val="000000"/>
        </w:rPr>
        <w:t>gia Triada from a looted area, found in 1984 and referred</w:t>
      </w:r>
      <w:r>
        <w:rPr>
          <w:color w:val="000000"/>
        </w:rPr>
        <w:t xml:space="preserve"> to</w:t>
      </w:r>
      <w:r w:rsidRPr="00191003">
        <w:rPr>
          <w:color w:val="000000"/>
        </w:rPr>
        <w:t xml:space="preserve"> together with the chamber tomb found in 1987 (</w:t>
      </w:r>
      <w:r w:rsidRPr="00733192">
        <w:rPr>
          <w:i/>
          <w:color w:val="000000"/>
        </w:rPr>
        <w:t>ADelt</w:t>
      </w:r>
      <w:r w:rsidRPr="00191003">
        <w:rPr>
          <w:color w:val="000000"/>
        </w:rPr>
        <w:t xml:space="preserve"> 42 1987:</w:t>
      </w:r>
      <w:r>
        <w:rPr>
          <w:color w:val="000000"/>
        </w:rPr>
        <w:t xml:space="preserve"> </w:t>
      </w:r>
      <w:r w:rsidRPr="00191003">
        <w:rPr>
          <w:color w:val="000000"/>
        </w:rPr>
        <w:t>548; Cucuzza 2003: 222-225)</w:t>
      </w:r>
      <w:r>
        <w:rPr>
          <w:color w:val="000000"/>
        </w:rPr>
        <w:t>.</w:t>
      </w:r>
    </w:p>
    <w:p w14:paraId="16D94866" w14:textId="77777777" w:rsidR="00D726B2" w:rsidRPr="00191003" w:rsidRDefault="00D726B2" w:rsidP="00370745">
      <w:pPr>
        <w:pStyle w:val="Paragrafoelenco"/>
        <w:numPr>
          <w:ilvl w:val="0"/>
          <w:numId w:val="10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Pr>
          <w:color w:val="000000"/>
        </w:rPr>
        <w:t>A c</w:t>
      </w:r>
      <w:r w:rsidRPr="00191003">
        <w:rPr>
          <w:color w:val="000000"/>
        </w:rPr>
        <w:t>lay larnax from</w:t>
      </w:r>
      <w:r>
        <w:rPr>
          <w:color w:val="000000"/>
        </w:rPr>
        <w:t xml:space="preserve"> Phaistos in a </w:t>
      </w:r>
      <w:r w:rsidRPr="00191003">
        <w:rPr>
          <w:color w:val="000000"/>
        </w:rPr>
        <w:t>settlement context (</w:t>
      </w:r>
      <w:r>
        <w:rPr>
          <w:color w:val="000000"/>
        </w:rPr>
        <w:t>see</w:t>
      </w:r>
      <w:r w:rsidRPr="00191003">
        <w:rPr>
          <w:color w:val="000000"/>
        </w:rPr>
        <w:t xml:space="preserve"> </w:t>
      </w:r>
      <w:r>
        <w:rPr>
          <w:color w:val="000000"/>
        </w:rPr>
        <w:t>C</w:t>
      </w:r>
      <w:r w:rsidRPr="00191003">
        <w:rPr>
          <w:color w:val="000000"/>
        </w:rPr>
        <w:t>hap</w:t>
      </w:r>
      <w:r>
        <w:rPr>
          <w:color w:val="000000"/>
        </w:rPr>
        <w:t>ter</w:t>
      </w:r>
      <w:r w:rsidRPr="00191003">
        <w:rPr>
          <w:color w:val="000000"/>
        </w:rPr>
        <w:t xml:space="preserve"> 3</w:t>
      </w:r>
      <w:r>
        <w:rPr>
          <w:color w:val="000000"/>
        </w:rPr>
        <w:t>,</w:t>
      </w:r>
      <w:r w:rsidRPr="00191003">
        <w:rPr>
          <w:color w:val="000000"/>
        </w:rPr>
        <w:t xml:space="preserve"> </w:t>
      </w:r>
      <w:r>
        <w:rPr>
          <w:color w:val="000000"/>
        </w:rPr>
        <w:t>3.7.3)</w:t>
      </w:r>
      <w:r w:rsidRPr="00191003">
        <w:rPr>
          <w:color w:val="000000"/>
        </w:rPr>
        <w:t>.</w:t>
      </w:r>
    </w:p>
    <w:p w14:paraId="28BB3ED5" w14:textId="77777777" w:rsidR="00D726B2" w:rsidRPr="00191003" w:rsidRDefault="00D726B2" w:rsidP="00E858EF">
      <w:pPr>
        <w:pStyle w:val="Titolo3"/>
        <w:keepNext w:val="0"/>
        <w:keepLines w:val="0"/>
        <w:suppressAutoHyphens/>
      </w:pPr>
      <w:bookmarkStart w:id="1079" w:name="_Toc517807595"/>
      <w:bookmarkStart w:id="1080" w:name="_Toc519894685"/>
      <w:r w:rsidRPr="00191003">
        <w:t xml:space="preserve">Does a standard larnax exist for </w:t>
      </w:r>
      <w:r>
        <w:t xml:space="preserve">the </w:t>
      </w:r>
      <w:r w:rsidRPr="00191003">
        <w:t>Mesara area? Wh</w:t>
      </w:r>
      <w:r>
        <w:t>at</w:t>
      </w:r>
      <w:r w:rsidRPr="00191003">
        <w:t xml:space="preserve"> are its characteristics?</w:t>
      </w:r>
      <w:bookmarkEnd w:id="1079"/>
      <w:bookmarkEnd w:id="1080"/>
      <w:r w:rsidRPr="00191003">
        <w:t xml:space="preserve"> </w:t>
      </w:r>
    </w:p>
    <w:p w14:paraId="326639B0"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rPr>
      </w:pPr>
      <w:r w:rsidRPr="00191003">
        <w:rPr>
          <w:color w:val="000000"/>
        </w:rPr>
        <w:t xml:space="preserve">Bearing in mind the limits of </w:t>
      </w:r>
      <w:r>
        <w:rPr>
          <w:color w:val="000000"/>
        </w:rPr>
        <w:t>the</w:t>
      </w:r>
      <w:r w:rsidRPr="00191003">
        <w:rPr>
          <w:color w:val="000000"/>
        </w:rPr>
        <w:t xml:space="preserve"> sample</w:t>
      </w:r>
      <w:r>
        <w:rPr>
          <w:color w:val="000000"/>
        </w:rPr>
        <w:t>,</w:t>
      </w:r>
      <w:r w:rsidRPr="00191003">
        <w:rPr>
          <w:color w:val="000000"/>
        </w:rPr>
        <w:t xml:space="preserve"> which vary according to the features examined, in the Mesara region it is possible to recognise a standard larnax type </w:t>
      </w:r>
      <w:r>
        <w:rPr>
          <w:color w:val="000000"/>
        </w:rPr>
        <w:t>that has</w:t>
      </w:r>
      <w:r w:rsidRPr="00191003">
        <w:rPr>
          <w:color w:val="000000"/>
        </w:rPr>
        <w:t xml:space="preserve"> the following morphological characteristics:</w:t>
      </w:r>
    </w:p>
    <w:p w14:paraId="1B5D5475" w14:textId="42B6A98C" w:rsidR="008246F6" w:rsidRPr="009464EC" w:rsidRDefault="00D726B2" w:rsidP="00FF5FF0">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rFonts w:cs="Lucida Grande"/>
          <w:b/>
          <w:sz w:val="20"/>
          <w:szCs w:val="18"/>
        </w:rPr>
      </w:pPr>
      <w:r w:rsidRPr="00191003">
        <w:rPr>
          <w:color w:val="000000"/>
        </w:rPr>
        <w:t>Larnax type: information available for the entire sample</w:t>
      </w:r>
    </w:p>
    <w:p w14:paraId="5819296D" w14:textId="4E55D7AC" w:rsidR="00D726B2" w:rsidRPr="00191003" w:rsidRDefault="00D726B2" w:rsidP="00E858EF">
      <w:pPr>
        <w:pStyle w:val="Testofumetto"/>
        <w:suppressAutoHyphens/>
      </w:pPr>
      <w:bookmarkStart w:id="1081" w:name="_Toc520212633"/>
      <w:r>
        <w:t>Table 5-8</w:t>
      </w:r>
      <w:r w:rsidR="0038702D">
        <w:t>.</w:t>
      </w:r>
      <w:r>
        <w:t xml:space="preserve"> Larnax type, Mesara</w:t>
      </w:r>
      <w:bookmarkEnd w:id="1081"/>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1275"/>
        <w:gridCol w:w="1172"/>
      </w:tblGrid>
      <w:tr w:rsidR="00D726B2" w:rsidRPr="008246F6" w14:paraId="053690FF"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5857243F" w14:textId="77777777" w:rsidR="00D726B2" w:rsidRPr="008246F6" w:rsidRDefault="00D726B2" w:rsidP="00E858EF">
            <w:pPr>
              <w:suppressAutoHyphens/>
              <w:jc w:val="center"/>
              <w:rPr>
                <w:sz w:val="20"/>
              </w:rPr>
            </w:pPr>
            <w:r w:rsidRPr="008246F6">
              <w:rPr>
                <w:sz w:val="20"/>
              </w:rPr>
              <w:t>Chest</w:t>
            </w:r>
          </w:p>
        </w:tc>
        <w:tc>
          <w:tcPr>
            <w:tcW w:w="1275" w:type="dxa"/>
            <w:tcBorders>
              <w:top w:val="single" w:sz="6" w:space="0" w:color="000000"/>
              <w:left w:val="single" w:sz="6" w:space="0" w:color="000000"/>
              <w:bottom w:val="single" w:sz="6" w:space="0" w:color="000000"/>
              <w:right w:val="single" w:sz="6" w:space="0" w:color="000000"/>
            </w:tcBorders>
          </w:tcPr>
          <w:p w14:paraId="22166313" w14:textId="77777777" w:rsidR="00D726B2" w:rsidRPr="008246F6" w:rsidRDefault="00D726B2" w:rsidP="00E858EF">
            <w:pPr>
              <w:suppressAutoHyphens/>
              <w:jc w:val="center"/>
              <w:rPr>
                <w:sz w:val="20"/>
              </w:rPr>
            </w:pPr>
            <w:r w:rsidRPr="008246F6">
              <w:rPr>
                <w:sz w:val="20"/>
              </w:rPr>
              <w:t>Bath</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4FE38FBE" w14:textId="77777777" w:rsidR="00D726B2" w:rsidRPr="008246F6" w:rsidRDefault="00D726B2" w:rsidP="00E858EF">
            <w:pPr>
              <w:suppressAutoHyphens/>
              <w:jc w:val="center"/>
              <w:rPr>
                <w:sz w:val="20"/>
              </w:rPr>
            </w:pPr>
            <w:r w:rsidRPr="008246F6">
              <w:rPr>
                <w:sz w:val="20"/>
              </w:rPr>
              <w:t>Lid</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80E3C92" w14:textId="77777777" w:rsidR="00D726B2" w:rsidRPr="008246F6" w:rsidRDefault="00D726B2" w:rsidP="00E858EF">
            <w:pPr>
              <w:suppressAutoHyphens/>
              <w:jc w:val="center"/>
              <w:rPr>
                <w:sz w:val="20"/>
              </w:rPr>
            </w:pPr>
            <w:r w:rsidRPr="008246F6">
              <w:rPr>
                <w:color w:val="000000"/>
                <w:sz w:val="20"/>
              </w:rPr>
              <w:t>Fragmentary</w:t>
            </w:r>
          </w:p>
        </w:tc>
      </w:tr>
      <w:tr w:rsidR="00D726B2" w:rsidRPr="008246F6" w14:paraId="37BF57D3"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196545F4" w14:textId="77777777" w:rsidR="00D726B2" w:rsidRPr="008246F6" w:rsidRDefault="00D726B2" w:rsidP="00E858EF">
            <w:pPr>
              <w:suppressAutoHyphens/>
              <w:jc w:val="center"/>
              <w:rPr>
                <w:sz w:val="20"/>
              </w:rPr>
            </w:pPr>
            <w:r w:rsidRPr="008246F6">
              <w:rPr>
                <w:sz w:val="20"/>
              </w:rPr>
              <w:t>107</w:t>
            </w:r>
          </w:p>
        </w:tc>
        <w:tc>
          <w:tcPr>
            <w:tcW w:w="1275" w:type="dxa"/>
            <w:tcBorders>
              <w:top w:val="single" w:sz="6" w:space="0" w:color="000000"/>
              <w:left w:val="single" w:sz="6" w:space="0" w:color="000000"/>
              <w:bottom w:val="single" w:sz="6" w:space="0" w:color="000000"/>
              <w:right w:val="single" w:sz="6" w:space="0" w:color="000000"/>
            </w:tcBorders>
          </w:tcPr>
          <w:p w14:paraId="5D3967C6" w14:textId="77777777" w:rsidR="00D726B2" w:rsidRPr="008246F6" w:rsidRDefault="00D726B2" w:rsidP="00E858EF">
            <w:pPr>
              <w:suppressAutoHyphens/>
              <w:jc w:val="center"/>
              <w:rPr>
                <w:sz w:val="20"/>
              </w:rPr>
            </w:pPr>
            <w:r w:rsidRPr="008246F6">
              <w:rPr>
                <w:sz w:val="20"/>
              </w:rPr>
              <w:t>0</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7E4EF15D" w14:textId="77777777" w:rsidR="00D726B2" w:rsidRPr="008246F6" w:rsidRDefault="00D726B2" w:rsidP="00E858EF">
            <w:pPr>
              <w:suppressAutoHyphens/>
              <w:jc w:val="center"/>
              <w:rPr>
                <w:sz w:val="20"/>
              </w:rPr>
            </w:pPr>
            <w:r w:rsidRPr="008246F6">
              <w:rPr>
                <w:sz w:val="20"/>
              </w:rPr>
              <w:t>0</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358E8634" w14:textId="77777777" w:rsidR="00D726B2" w:rsidRPr="008246F6" w:rsidRDefault="00D726B2" w:rsidP="00E858EF">
            <w:pPr>
              <w:suppressAutoHyphens/>
              <w:jc w:val="center"/>
              <w:rPr>
                <w:color w:val="000000"/>
                <w:sz w:val="20"/>
              </w:rPr>
            </w:pPr>
            <w:r w:rsidRPr="008246F6">
              <w:rPr>
                <w:color w:val="000000"/>
                <w:sz w:val="20"/>
              </w:rPr>
              <w:t>16</w:t>
            </w:r>
          </w:p>
        </w:tc>
      </w:tr>
    </w:tbl>
    <w:p w14:paraId="429918D0" w14:textId="77777777" w:rsidR="00D726B2" w:rsidRPr="00A71978"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0"/>
          <w:szCs w:val="20"/>
        </w:rPr>
      </w:pPr>
    </w:p>
    <w:p w14:paraId="0659B144"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Dimension range: Information available on a sample of 25 larnakes</w:t>
      </w:r>
    </w:p>
    <w:p w14:paraId="39F23F0B" w14:textId="4E3FC510" w:rsidR="00D726B2" w:rsidRPr="00191003" w:rsidRDefault="00D726B2" w:rsidP="00E858EF">
      <w:pPr>
        <w:pStyle w:val="Testofumetto"/>
        <w:suppressAutoHyphens/>
      </w:pPr>
      <w:bookmarkStart w:id="1082" w:name="_Toc520212634"/>
      <w:r>
        <w:t>Table 5-9</w:t>
      </w:r>
      <w:r w:rsidR="0038702D">
        <w:t>.</w:t>
      </w:r>
      <w:r>
        <w:t xml:space="preserve"> Dimension range, Mesara</w:t>
      </w:r>
      <w:bookmarkEnd w:id="1082"/>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1275"/>
        <w:gridCol w:w="1134"/>
      </w:tblGrid>
      <w:tr w:rsidR="00D726B2" w:rsidRPr="008246F6" w14:paraId="4BDE7E27"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1D694B76" w14:textId="77777777" w:rsidR="00D726B2" w:rsidRPr="008246F6" w:rsidRDefault="00D726B2" w:rsidP="00E858EF">
            <w:pPr>
              <w:suppressAutoHyphens/>
              <w:jc w:val="center"/>
              <w:rPr>
                <w:sz w:val="20"/>
              </w:rPr>
            </w:pPr>
          </w:p>
        </w:tc>
        <w:tc>
          <w:tcPr>
            <w:tcW w:w="1275" w:type="dxa"/>
            <w:tcBorders>
              <w:top w:val="single" w:sz="6" w:space="0" w:color="000000"/>
              <w:left w:val="single" w:sz="6" w:space="0" w:color="000000"/>
              <w:bottom w:val="single" w:sz="6" w:space="0" w:color="000000"/>
              <w:right w:val="single" w:sz="6" w:space="0" w:color="000000"/>
            </w:tcBorders>
          </w:tcPr>
          <w:p w14:paraId="6B80A5C3" w14:textId="77777777" w:rsidR="00D726B2" w:rsidRPr="008246F6" w:rsidRDefault="00D726B2" w:rsidP="00E858EF">
            <w:pPr>
              <w:suppressAutoHyphens/>
              <w:jc w:val="center"/>
              <w:rPr>
                <w:sz w:val="20"/>
              </w:rPr>
            </w:pPr>
            <w:r w:rsidRPr="008246F6">
              <w:rPr>
                <w:sz w:val="20"/>
              </w:rPr>
              <w:t>Length</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41641703" w14:textId="77777777" w:rsidR="00D726B2" w:rsidRPr="008246F6" w:rsidRDefault="00D726B2" w:rsidP="00E858EF">
            <w:pPr>
              <w:suppressAutoHyphens/>
              <w:jc w:val="center"/>
              <w:rPr>
                <w:sz w:val="20"/>
              </w:rPr>
            </w:pPr>
            <w:r w:rsidRPr="008246F6">
              <w:rPr>
                <w:sz w:val="20"/>
              </w:rPr>
              <w:t>Height</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7D39A98" w14:textId="77777777" w:rsidR="00D726B2" w:rsidRPr="008246F6" w:rsidRDefault="00D726B2" w:rsidP="00E858EF">
            <w:pPr>
              <w:suppressAutoHyphens/>
              <w:jc w:val="center"/>
              <w:rPr>
                <w:sz w:val="20"/>
              </w:rPr>
            </w:pPr>
            <w:r w:rsidRPr="008246F6">
              <w:rPr>
                <w:color w:val="000000"/>
                <w:sz w:val="20"/>
              </w:rPr>
              <w:t>Width</w:t>
            </w:r>
          </w:p>
        </w:tc>
      </w:tr>
      <w:tr w:rsidR="00D726B2" w:rsidRPr="008246F6" w14:paraId="6A2832FE"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319A7C34" w14:textId="77777777" w:rsidR="00D726B2" w:rsidRPr="008246F6" w:rsidRDefault="00D726B2" w:rsidP="00E858EF">
            <w:pPr>
              <w:suppressAutoHyphens/>
              <w:jc w:val="center"/>
              <w:rPr>
                <w:sz w:val="20"/>
              </w:rPr>
            </w:pPr>
            <w:r w:rsidRPr="008246F6">
              <w:rPr>
                <w:sz w:val="20"/>
              </w:rPr>
              <w:t>Mean</w:t>
            </w:r>
          </w:p>
        </w:tc>
        <w:tc>
          <w:tcPr>
            <w:tcW w:w="1275" w:type="dxa"/>
            <w:tcBorders>
              <w:top w:val="single" w:sz="6" w:space="0" w:color="000000"/>
              <w:left w:val="single" w:sz="6" w:space="0" w:color="000000"/>
              <w:bottom w:val="single" w:sz="6" w:space="0" w:color="000000"/>
              <w:right w:val="single" w:sz="6" w:space="0" w:color="000000"/>
            </w:tcBorders>
          </w:tcPr>
          <w:p w14:paraId="0E9BAF29" w14:textId="77777777" w:rsidR="00D726B2" w:rsidRPr="008246F6" w:rsidRDefault="00D726B2" w:rsidP="00E858EF">
            <w:pPr>
              <w:suppressAutoHyphens/>
              <w:jc w:val="center"/>
              <w:rPr>
                <w:sz w:val="20"/>
              </w:rPr>
            </w:pPr>
            <w:r w:rsidRPr="008246F6">
              <w:rPr>
                <w:sz w:val="20"/>
              </w:rPr>
              <w:t>107</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059B6A53" w14:textId="77777777" w:rsidR="00D726B2" w:rsidRPr="008246F6" w:rsidRDefault="00D726B2" w:rsidP="00E858EF">
            <w:pPr>
              <w:suppressAutoHyphens/>
              <w:jc w:val="center"/>
              <w:rPr>
                <w:sz w:val="20"/>
              </w:rPr>
            </w:pPr>
            <w:r w:rsidRPr="008246F6">
              <w:rPr>
                <w:sz w:val="20"/>
              </w:rPr>
              <w:t>76</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364AAEFF" w14:textId="77777777" w:rsidR="00D726B2" w:rsidRPr="008246F6" w:rsidRDefault="00D726B2" w:rsidP="00E858EF">
            <w:pPr>
              <w:suppressAutoHyphens/>
              <w:jc w:val="center"/>
              <w:rPr>
                <w:color w:val="000000"/>
                <w:sz w:val="20"/>
              </w:rPr>
            </w:pPr>
            <w:r w:rsidRPr="008246F6">
              <w:rPr>
                <w:color w:val="000000"/>
                <w:sz w:val="20"/>
              </w:rPr>
              <w:t>45</w:t>
            </w:r>
          </w:p>
        </w:tc>
      </w:tr>
      <w:tr w:rsidR="00D726B2" w:rsidRPr="008246F6" w14:paraId="1176D847"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2339299E" w14:textId="77777777" w:rsidR="00D726B2" w:rsidRPr="008246F6" w:rsidRDefault="00D726B2" w:rsidP="00E858EF">
            <w:pPr>
              <w:suppressAutoHyphens/>
              <w:jc w:val="center"/>
              <w:rPr>
                <w:sz w:val="20"/>
              </w:rPr>
            </w:pPr>
            <w:r w:rsidRPr="008246F6">
              <w:rPr>
                <w:sz w:val="20"/>
              </w:rPr>
              <w:t>Max</w:t>
            </w:r>
          </w:p>
        </w:tc>
        <w:tc>
          <w:tcPr>
            <w:tcW w:w="1275" w:type="dxa"/>
            <w:tcBorders>
              <w:top w:val="single" w:sz="6" w:space="0" w:color="000000"/>
              <w:left w:val="single" w:sz="6" w:space="0" w:color="000000"/>
              <w:bottom w:val="single" w:sz="6" w:space="0" w:color="000000"/>
              <w:right w:val="single" w:sz="6" w:space="0" w:color="000000"/>
            </w:tcBorders>
          </w:tcPr>
          <w:p w14:paraId="62FE6917" w14:textId="77777777" w:rsidR="00D726B2" w:rsidRPr="008246F6" w:rsidRDefault="00D726B2" w:rsidP="00E858EF">
            <w:pPr>
              <w:suppressAutoHyphens/>
              <w:jc w:val="center"/>
              <w:rPr>
                <w:sz w:val="20"/>
              </w:rPr>
            </w:pPr>
            <w:r w:rsidRPr="008246F6">
              <w:rPr>
                <w:sz w:val="20"/>
              </w:rPr>
              <w:t>158</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55127743" w14:textId="77777777" w:rsidR="00D726B2" w:rsidRPr="008246F6" w:rsidRDefault="00D726B2" w:rsidP="00E858EF">
            <w:pPr>
              <w:suppressAutoHyphens/>
              <w:jc w:val="center"/>
              <w:rPr>
                <w:sz w:val="20"/>
              </w:rPr>
            </w:pPr>
            <w:r w:rsidRPr="008246F6">
              <w:rPr>
                <w:sz w:val="20"/>
              </w:rPr>
              <w:t>120</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4076325C" w14:textId="77777777" w:rsidR="00D726B2" w:rsidRPr="008246F6" w:rsidRDefault="00D726B2" w:rsidP="00E858EF">
            <w:pPr>
              <w:suppressAutoHyphens/>
              <w:jc w:val="center"/>
              <w:rPr>
                <w:color w:val="000000"/>
                <w:sz w:val="20"/>
              </w:rPr>
            </w:pPr>
            <w:r w:rsidRPr="008246F6">
              <w:rPr>
                <w:color w:val="000000"/>
                <w:sz w:val="20"/>
              </w:rPr>
              <w:t>55</w:t>
            </w:r>
          </w:p>
        </w:tc>
      </w:tr>
      <w:tr w:rsidR="00D726B2" w:rsidRPr="008246F6" w14:paraId="60579B47"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1753E201" w14:textId="77777777" w:rsidR="00D726B2" w:rsidRPr="008246F6" w:rsidRDefault="00D726B2" w:rsidP="00E858EF">
            <w:pPr>
              <w:suppressAutoHyphens/>
              <w:jc w:val="center"/>
              <w:rPr>
                <w:sz w:val="20"/>
              </w:rPr>
            </w:pPr>
            <w:r w:rsidRPr="008246F6">
              <w:rPr>
                <w:sz w:val="20"/>
              </w:rPr>
              <w:t>Min</w:t>
            </w:r>
          </w:p>
        </w:tc>
        <w:tc>
          <w:tcPr>
            <w:tcW w:w="1275" w:type="dxa"/>
            <w:tcBorders>
              <w:top w:val="single" w:sz="6" w:space="0" w:color="000000"/>
              <w:left w:val="single" w:sz="6" w:space="0" w:color="000000"/>
              <w:bottom w:val="single" w:sz="6" w:space="0" w:color="000000"/>
              <w:right w:val="single" w:sz="6" w:space="0" w:color="000000"/>
            </w:tcBorders>
          </w:tcPr>
          <w:p w14:paraId="0811FB69" w14:textId="77777777" w:rsidR="00D726B2" w:rsidRPr="008246F6" w:rsidRDefault="00D726B2" w:rsidP="00E858EF">
            <w:pPr>
              <w:suppressAutoHyphens/>
              <w:jc w:val="center"/>
              <w:rPr>
                <w:sz w:val="20"/>
              </w:rPr>
            </w:pPr>
            <w:r w:rsidRPr="008246F6">
              <w:rPr>
                <w:sz w:val="20"/>
              </w:rPr>
              <w:t>75</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34E6A3B7" w14:textId="77777777" w:rsidR="00D726B2" w:rsidRPr="008246F6" w:rsidRDefault="00D726B2" w:rsidP="00E858EF">
            <w:pPr>
              <w:suppressAutoHyphens/>
              <w:jc w:val="center"/>
              <w:rPr>
                <w:sz w:val="20"/>
              </w:rPr>
            </w:pPr>
            <w:r w:rsidRPr="008246F6">
              <w:rPr>
                <w:sz w:val="20"/>
              </w:rPr>
              <w:t>55</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0F2382A5" w14:textId="77777777" w:rsidR="00D726B2" w:rsidRPr="008246F6" w:rsidRDefault="00D726B2" w:rsidP="00E858EF">
            <w:pPr>
              <w:suppressAutoHyphens/>
              <w:jc w:val="center"/>
              <w:rPr>
                <w:color w:val="000000"/>
                <w:sz w:val="20"/>
              </w:rPr>
            </w:pPr>
            <w:r w:rsidRPr="008246F6">
              <w:rPr>
                <w:color w:val="000000"/>
                <w:sz w:val="20"/>
              </w:rPr>
              <w:t>37</w:t>
            </w:r>
          </w:p>
        </w:tc>
      </w:tr>
    </w:tbl>
    <w:p w14:paraId="1BECDA7F"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6886FC99" w14:textId="77777777" w:rsidR="00D726B2" w:rsidRPr="00C7510B"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708"/>
        <w:rPr>
          <w:color w:val="000000"/>
        </w:rPr>
      </w:pPr>
      <w:r w:rsidRPr="00C7510B">
        <w:rPr>
          <w:color w:val="000000"/>
        </w:rPr>
        <w:t>Lid occurrence/lid type: flat lid. Information available on a sample of 35 larnakes.</w:t>
      </w:r>
    </w:p>
    <w:p w14:paraId="1D9557D8" w14:textId="7F77E002" w:rsidR="00D726B2" w:rsidRPr="00191003" w:rsidRDefault="00D726B2" w:rsidP="00E858EF">
      <w:pPr>
        <w:pStyle w:val="Testofumetto"/>
        <w:suppressAutoHyphens/>
      </w:pPr>
      <w:bookmarkStart w:id="1083" w:name="_Toc520212635"/>
      <w:r>
        <w:t>Table 5-10</w:t>
      </w:r>
      <w:r w:rsidR="0038702D">
        <w:t>.</w:t>
      </w:r>
      <w:r>
        <w:t xml:space="preserve"> Lid occurrence, Mesara</w:t>
      </w:r>
      <w:bookmarkEnd w:id="1083"/>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3762"/>
      </w:tblGrid>
      <w:tr w:rsidR="00D726B2" w:rsidRPr="008246F6" w14:paraId="265F80A4" w14:textId="77777777" w:rsidTr="00C96815">
        <w:trPr>
          <w:trHeight w:val="315"/>
        </w:trPr>
        <w:tc>
          <w:tcPr>
            <w:tcW w:w="1275" w:type="dxa"/>
            <w:tcBorders>
              <w:top w:val="single" w:sz="6" w:space="0" w:color="000000"/>
              <w:left w:val="single" w:sz="6" w:space="0" w:color="000000"/>
              <w:bottom w:val="single" w:sz="6" w:space="0" w:color="000000"/>
              <w:right w:val="single" w:sz="6" w:space="0" w:color="000000"/>
            </w:tcBorders>
          </w:tcPr>
          <w:p w14:paraId="0557C048"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Flat</w:t>
            </w:r>
          </w:p>
        </w:tc>
        <w:tc>
          <w:tcPr>
            <w:tcW w:w="1275" w:type="dxa"/>
            <w:tcBorders>
              <w:top w:val="single" w:sz="6" w:space="0" w:color="000000"/>
              <w:left w:val="single" w:sz="6" w:space="0" w:color="000000"/>
              <w:bottom w:val="single" w:sz="6" w:space="0" w:color="000000"/>
              <w:right w:val="single" w:sz="6" w:space="0" w:color="000000"/>
            </w:tcBorders>
          </w:tcPr>
          <w:p w14:paraId="12783039"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Gabled</w:t>
            </w:r>
          </w:p>
        </w:tc>
        <w:tc>
          <w:tcPr>
            <w:tcW w:w="3762"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27DEB8AD"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Lid made of other larnax fragments</w:t>
            </w:r>
          </w:p>
        </w:tc>
      </w:tr>
      <w:tr w:rsidR="00D726B2" w:rsidRPr="008246F6" w14:paraId="394C516B" w14:textId="77777777" w:rsidTr="00C96815">
        <w:trPr>
          <w:trHeight w:val="315"/>
        </w:trPr>
        <w:tc>
          <w:tcPr>
            <w:tcW w:w="1275" w:type="dxa"/>
            <w:tcBorders>
              <w:top w:val="single" w:sz="6" w:space="0" w:color="000000"/>
              <w:left w:val="single" w:sz="6" w:space="0" w:color="000000"/>
              <w:bottom w:val="single" w:sz="6" w:space="0" w:color="000000"/>
              <w:right w:val="single" w:sz="6" w:space="0" w:color="000000"/>
            </w:tcBorders>
          </w:tcPr>
          <w:p w14:paraId="38D6EB78"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23</w:t>
            </w:r>
          </w:p>
        </w:tc>
        <w:tc>
          <w:tcPr>
            <w:tcW w:w="1275" w:type="dxa"/>
            <w:tcBorders>
              <w:top w:val="single" w:sz="6" w:space="0" w:color="000000"/>
              <w:left w:val="single" w:sz="6" w:space="0" w:color="000000"/>
              <w:bottom w:val="single" w:sz="6" w:space="0" w:color="000000"/>
              <w:right w:val="single" w:sz="6" w:space="0" w:color="000000"/>
            </w:tcBorders>
          </w:tcPr>
          <w:p w14:paraId="281436E8"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8</w:t>
            </w:r>
          </w:p>
        </w:tc>
        <w:tc>
          <w:tcPr>
            <w:tcW w:w="3762"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2A8B33BB"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4</w:t>
            </w:r>
          </w:p>
        </w:tc>
      </w:tr>
    </w:tbl>
    <w:p w14:paraId="3FDC5076" w14:textId="77777777" w:rsidR="00D726B2" w:rsidRPr="00A71978"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0"/>
          <w:szCs w:val="20"/>
        </w:rPr>
      </w:pPr>
    </w:p>
    <w:p w14:paraId="02078980" w14:textId="77777777" w:rsidR="00D726B2" w:rsidRPr="00C7510B"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560"/>
        <w:rPr>
          <w:color w:val="000000"/>
        </w:rPr>
      </w:pPr>
      <w:r>
        <w:rPr>
          <w:color w:val="000000"/>
        </w:rPr>
        <w:t>Feet occurrences/feet number: four feet.</w:t>
      </w:r>
      <w:r w:rsidRPr="00C7510B">
        <w:rPr>
          <w:color w:val="000000"/>
        </w:rPr>
        <w:t xml:space="preserve"> Information is available on a sample of 61 larnakes</w:t>
      </w:r>
    </w:p>
    <w:p w14:paraId="7632A3AD" w14:textId="34D9ADD4" w:rsidR="00D726B2" w:rsidRPr="00191003" w:rsidRDefault="00D726B2" w:rsidP="00E858EF">
      <w:pPr>
        <w:pStyle w:val="Testofumetto"/>
        <w:suppressAutoHyphens/>
      </w:pPr>
      <w:bookmarkStart w:id="1084" w:name="_Toc520212636"/>
      <w:r>
        <w:t>Table 5-11</w:t>
      </w:r>
      <w:r w:rsidR="0038702D">
        <w:t>.</w:t>
      </w:r>
      <w:r>
        <w:t xml:space="preserve"> Feet occurrence, Mesara</w:t>
      </w:r>
      <w:bookmarkEnd w:id="1084"/>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542"/>
        <w:gridCol w:w="1543"/>
        <w:gridCol w:w="1543"/>
        <w:gridCol w:w="1543"/>
      </w:tblGrid>
      <w:tr w:rsidR="00D726B2" w:rsidRPr="008246F6" w14:paraId="7B092105" w14:textId="77777777" w:rsidTr="00C96815">
        <w:trPr>
          <w:trHeight w:val="315"/>
        </w:trPr>
        <w:tc>
          <w:tcPr>
            <w:tcW w:w="1542" w:type="dxa"/>
            <w:tcBorders>
              <w:top w:val="single" w:sz="6" w:space="0" w:color="000000"/>
              <w:left w:val="single" w:sz="6" w:space="0" w:color="000000"/>
              <w:bottom w:val="single" w:sz="6" w:space="0" w:color="000000"/>
              <w:right w:val="single" w:sz="6" w:space="0" w:color="000000"/>
            </w:tcBorders>
          </w:tcPr>
          <w:p w14:paraId="0FBE1C30"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4 Feet</w:t>
            </w:r>
          </w:p>
        </w:tc>
        <w:tc>
          <w:tcPr>
            <w:tcW w:w="1543" w:type="dxa"/>
            <w:tcBorders>
              <w:top w:val="single" w:sz="6" w:space="0" w:color="000000"/>
              <w:left w:val="single" w:sz="6" w:space="0" w:color="000000"/>
              <w:bottom w:val="single" w:sz="6" w:space="0" w:color="000000"/>
              <w:right w:val="single" w:sz="6" w:space="0" w:color="000000"/>
            </w:tcBorders>
          </w:tcPr>
          <w:p w14:paraId="0B4C1D0E"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6 Feet</w:t>
            </w:r>
          </w:p>
        </w:tc>
        <w:tc>
          <w:tcPr>
            <w:tcW w:w="1543" w:type="dxa"/>
            <w:tcBorders>
              <w:top w:val="single" w:sz="6" w:space="0" w:color="000000"/>
              <w:left w:val="single" w:sz="6" w:space="0" w:color="000000"/>
              <w:bottom w:val="single" w:sz="6" w:space="0" w:color="000000"/>
              <w:right w:val="single" w:sz="6" w:space="0" w:color="000000"/>
            </w:tcBorders>
          </w:tcPr>
          <w:p w14:paraId="02035DBC" w14:textId="65CFC8BC"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Feet presen</w:t>
            </w:r>
            <w:r w:rsidR="00C96815" w:rsidRPr="008246F6">
              <w:rPr>
                <w:sz w:val="20"/>
              </w:rPr>
              <w:t>t</w:t>
            </w:r>
          </w:p>
        </w:tc>
        <w:tc>
          <w:tcPr>
            <w:tcW w:w="1543" w:type="dxa"/>
            <w:tcBorders>
              <w:top w:val="single" w:sz="6" w:space="0" w:color="000000"/>
              <w:left w:val="single" w:sz="6" w:space="0" w:color="000000"/>
              <w:bottom w:val="single" w:sz="6" w:space="0" w:color="000000"/>
              <w:right w:val="single" w:sz="6" w:space="0" w:color="000000"/>
            </w:tcBorders>
          </w:tcPr>
          <w:p w14:paraId="562F98E3"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Without feet</w:t>
            </w:r>
          </w:p>
        </w:tc>
      </w:tr>
      <w:tr w:rsidR="00D726B2" w:rsidRPr="008246F6" w14:paraId="4C3248EF" w14:textId="77777777" w:rsidTr="00C96815">
        <w:trPr>
          <w:trHeight w:val="315"/>
        </w:trPr>
        <w:tc>
          <w:tcPr>
            <w:tcW w:w="1542" w:type="dxa"/>
            <w:tcBorders>
              <w:top w:val="single" w:sz="6" w:space="0" w:color="000000"/>
              <w:left w:val="single" w:sz="6" w:space="0" w:color="000000"/>
              <w:bottom w:val="single" w:sz="6" w:space="0" w:color="000000"/>
              <w:right w:val="single" w:sz="6" w:space="0" w:color="000000"/>
            </w:tcBorders>
          </w:tcPr>
          <w:p w14:paraId="2844A485"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55</w:t>
            </w:r>
          </w:p>
        </w:tc>
        <w:tc>
          <w:tcPr>
            <w:tcW w:w="1543" w:type="dxa"/>
            <w:tcBorders>
              <w:top w:val="single" w:sz="6" w:space="0" w:color="000000"/>
              <w:left w:val="single" w:sz="6" w:space="0" w:color="000000"/>
              <w:bottom w:val="single" w:sz="6" w:space="0" w:color="000000"/>
              <w:right w:val="single" w:sz="6" w:space="0" w:color="000000"/>
            </w:tcBorders>
          </w:tcPr>
          <w:p w14:paraId="6C6844C7"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1</w:t>
            </w:r>
          </w:p>
        </w:tc>
        <w:tc>
          <w:tcPr>
            <w:tcW w:w="1543" w:type="dxa"/>
            <w:tcBorders>
              <w:top w:val="single" w:sz="6" w:space="0" w:color="000000"/>
              <w:left w:val="single" w:sz="6" w:space="0" w:color="000000"/>
              <w:bottom w:val="single" w:sz="6" w:space="0" w:color="000000"/>
              <w:right w:val="single" w:sz="6" w:space="0" w:color="000000"/>
            </w:tcBorders>
          </w:tcPr>
          <w:p w14:paraId="7723648D"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57</w:t>
            </w:r>
          </w:p>
        </w:tc>
        <w:tc>
          <w:tcPr>
            <w:tcW w:w="1543" w:type="dxa"/>
            <w:tcBorders>
              <w:top w:val="single" w:sz="6" w:space="0" w:color="000000"/>
              <w:left w:val="single" w:sz="6" w:space="0" w:color="000000"/>
              <w:bottom w:val="single" w:sz="6" w:space="0" w:color="000000"/>
              <w:right w:val="single" w:sz="6" w:space="0" w:color="000000"/>
            </w:tcBorders>
          </w:tcPr>
          <w:p w14:paraId="23D5628C"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4</w:t>
            </w:r>
          </w:p>
        </w:tc>
      </w:tr>
    </w:tbl>
    <w:p w14:paraId="4024DBE1" w14:textId="77777777" w:rsidR="00D726B2"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1440"/>
        <w:rPr>
          <w:color w:val="000000"/>
        </w:rPr>
      </w:pPr>
    </w:p>
    <w:p w14:paraId="61142585" w14:textId="77777777" w:rsidR="00D726B2" w:rsidRDefault="00D726B2" w:rsidP="00370745">
      <w:pPr>
        <w:pStyle w:val="Paragrafoelenco"/>
        <w:numPr>
          <w:ilvl w:val="0"/>
          <w:numId w:val="1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hanging="1014"/>
        <w:rPr>
          <w:color w:val="000000"/>
        </w:rPr>
      </w:pPr>
      <w:r w:rsidRPr="00C7510B">
        <w:rPr>
          <w:color w:val="000000"/>
        </w:rPr>
        <w:t>Handles or holes occurrence: 8 holes under the upper rim. Information is available on a sample of 23 larnakes</w:t>
      </w:r>
    </w:p>
    <w:p w14:paraId="5CF056E7" w14:textId="1DEE76A8" w:rsidR="00D726B2" w:rsidRPr="00E7753F" w:rsidRDefault="00D726B2" w:rsidP="00E858EF">
      <w:pPr>
        <w:pStyle w:val="Testofumetto"/>
        <w:suppressAutoHyphens/>
      </w:pPr>
      <w:bookmarkStart w:id="1085" w:name="_Toc520212637"/>
      <w:r>
        <w:t>Table 5-12</w:t>
      </w:r>
      <w:r w:rsidR="0038702D">
        <w:t>.</w:t>
      </w:r>
      <w:r>
        <w:t xml:space="preserve"> Handles or holes occurrence, Mesara</w:t>
      </w:r>
      <w:bookmarkEnd w:id="1085"/>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2061"/>
      </w:tblGrid>
      <w:tr w:rsidR="00D726B2" w:rsidRPr="008246F6" w14:paraId="67E00DD8" w14:textId="77777777" w:rsidTr="00C96815">
        <w:trPr>
          <w:trHeight w:val="315"/>
        </w:trPr>
        <w:tc>
          <w:tcPr>
            <w:tcW w:w="1275" w:type="dxa"/>
            <w:tcBorders>
              <w:top w:val="single" w:sz="6" w:space="0" w:color="000000"/>
              <w:left w:val="single" w:sz="6" w:space="0" w:color="000000"/>
              <w:bottom w:val="single" w:sz="6" w:space="0" w:color="000000"/>
              <w:right w:val="single" w:sz="6" w:space="0" w:color="000000"/>
            </w:tcBorders>
          </w:tcPr>
          <w:p w14:paraId="0B42B1DD"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Handles</w:t>
            </w:r>
          </w:p>
        </w:tc>
        <w:tc>
          <w:tcPr>
            <w:tcW w:w="1275" w:type="dxa"/>
            <w:tcBorders>
              <w:top w:val="single" w:sz="6" w:space="0" w:color="000000"/>
              <w:left w:val="single" w:sz="6" w:space="0" w:color="000000"/>
              <w:bottom w:val="single" w:sz="6" w:space="0" w:color="000000"/>
              <w:right w:val="single" w:sz="6" w:space="0" w:color="000000"/>
            </w:tcBorders>
          </w:tcPr>
          <w:p w14:paraId="18AE2BE0"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Holes</w:t>
            </w:r>
          </w:p>
        </w:tc>
        <w:tc>
          <w:tcPr>
            <w:tcW w:w="2061" w:type="dxa"/>
            <w:tcBorders>
              <w:top w:val="single" w:sz="6" w:space="0" w:color="000000"/>
              <w:left w:val="single" w:sz="6" w:space="0" w:color="000000"/>
              <w:bottom w:val="single" w:sz="6" w:space="0" w:color="000000"/>
              <w:right w:val="single" w:sz="6" w:space="0" w:color="000000"/>
            </w:tcBorders>
          </w:tcPr>
          <w:p w14:paraId="6CD5F9E1"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Handles + holes</w:t>
            </w:r>
          </w:p>
        </w:tc>
      </w:tr>
      <w:tr w:rsidR="00D726B2" w:rsidRPr="008246F6" w14:paraId="1050D452" w14:textId="77777777" w:rsidTr="00C96815">
        <w:trPr>
          <w:trHeight w:val="315"/>
        </w:trPr>
        <w:tc>
          <w:tcPr>
            <w:tcW w:w="1275" w:type="dxa"/>
            <w:tcBorders>
              <w:top w:val="single" w:sz="6" w:space="0" w:color="000000"/>
              <w:left w:val="single" w:sz="6" w:space="0" w:color="000000"/>
              <w:bottom w:val="single" w:sz="6" w:space="0" w:color="000000"/>
              <w:right w:val="single" w:sz="6" w:space="0" w:color="000000"/>
            </w:tcBorders>
          </w:tcPr>
          <w:p w14:paraId="198000E5"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7</w:t>
            </w:r>
          </w:p>
        </w:tc>
        <w:tc>
          <w:tcPr>
            <w:tcW w:w="1275" w:type="dxa"/>
            <w:tcBorders>
              <w:top w:val="single" w:sz="6" w:space="0" w:color="000000"/>
              <w:left w:val="single" w:sz="6" w:space="0" w:color="000000"/>
              <w:bottom w:val="single" w:sz="6" w:space="0" w:color="000000"/>
              <w:right w:val="single" w:sz="6" w:space="0" w:color="000000"/>
            </w:tcBorders>
          </w:tcPr>
          <w:p w14:paraId="5EAF1A78"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17</w:t>
            </w:r>
          </w:p>
        </w:tc>
        <w:tc>
          <w:tcPr>
            <w:tcW w:w="2061" w:type="dxa"/>
            <w:tcBorders>
              <w:top w:val="single" w:sz="6" w:space="0" w:color="000000"/>
              <w:left w:val="single" w:sz="6" w:space="0" w:color="000000"/>
              <w:bottom w:val="single" w:sz="6" w:space="0" w:color="000000"/>
              <w:right w:val="single" w:sz="6" w:space="0" w:color="000000"/>
            </w:tcBorders>
          </w:tcPr>
          <w:p w14:paraId="7E976028"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1</w:t>
            </w:r>
          </w:p>
        </w:tc>
      </w:tr>
    </w:tbl>
    <w:p w14:paraId="07EE15F3" w14:textId="77777777" w:rsidR="00D726B2"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53CCBBAE" w14:textId="77777777" w:rsidR="00D726B2" w:rsidRPr="00C7510B"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C7510B">
        <w:rPr>
          <w:color w:val="000000"/>
        </w:rPr>
        <w:t xml:space="preserve">Presence of base holes if </w:t>
      </w:r>
      <w:r>
        <w:rPr>
          <w:color w:val="000000"/>
        </w:rPr>
        <w:t xml:space="preserve">this sample has been </w:t>
      </w:r>
      <w:r w:rsidRPr="00C7510B">
        <w:rPr>
          <w:color w:val="000000"/>
        </w:rPr>
        <w:t>re</w:t>
      </w:r>
      <w:r>
        <w:rPr>
          <w:color w:val="000000"/>
        </w:rPr>
        <w:t>covered</w:t>
      </w:r>
      <w:r w:rsidRPr="00C7510B">
        <w:rPr>
          <w:color w:val="000000"/>
        </w:rPr>
        <w:t>: yes. Information is available on a sample of 24 larnakes; range of base holes is 2 to 13</w:t>
      </w:r>
    </w:p>
    <w:p w14:paraId="3822D9E5" w14:textId="77777777" w:rsidR="00D726B2" w:rsidRPr="00191003"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Panel division/panel type/number of panels: 4 panels incised bands</w:t>
      </w:r>
    </w:p>
    <w:p w14:paraId="2C0DE50F" w14:textId="142036FA" w:rsidR="00D726B2"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0"/>
        <w:rPr>
          <w:color w:val="000000"/>
        </w:rPr>
      </w:pPr>
      <w:r w:rsidRPr="00191003">
        <w:rPr>
          <w:color w:val="000000"/>
        </w:rPr>
        <w:t>Information is available on a sample of 56 larnakes.</w:t>
      </w:r>
    </w:p>
    <w:p w14:paraId="32E9CB12" w14:textId="77777777" w:rsidR="00C605BB" w:rsidRDefault="00C605BB"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0"/>
        <w:rPr>
          <w:color w:val="000000"/>
        </w:rPr>
      </w:pPr>
    </w:p>
    <w:p w14:paraId="029F41D3" w14:textId="74932863" w:rsidR="008246F6" w:rsidRDefault="008246F6">
      <w:pPr>
        <w:widowControl/>
        <w:spacing w:line="240" w:lineRule="auto"/>
        <w:contextualSpacing w:val="0"/>
        <w:jc w:val="left"/>
        <w:rPr>
          <w:rFonts w:cs="Lucida Grande"/>
          <w:b/>
          <w:sz w:val="20"/>
          <w:szCs w:val="18"/>
        </w:rPr>
      </w:pPr>
    </w:p>
    <w:p w14:paraId="2C193323" w14:textId="604AE04C" w:rsidR="00D726B2" w:rsidRPr="00191003" w:rsidRDefault="00D726B2" w:rsidP="00E858EF">
      <w:pPr>
        <w:pStyle w:val="Testofumetto"/>
        <w:suppressAutoHyphens/>
      </w:pPr>
      <w:bookmarkStart w:id="1086" w:name="_Toc520212638"/>
      <w:r>
        <w:t>Table 5-13</w:t>
      </w:r>
      <w:r w:rsidR="0038702D">
        <w:t>.</w:t>
      </w:r>
      <w:r>
        <w:t xml:space="preserve"> Panels, Mesara</w:t>
      </w:r>
      <w:bookmarkEnd w:id="1086"/>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1275"/>
        <w:gridCol w:w="2346"/>
        <w:gridCol w:w="1417"/>
      </w:tblGrid>
      <w:tr w:rsidR="00D726B2" w:rsidRPr="008246F6" w14:paraId="070D79C0"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5DCB9284"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Raised bands</w:t>
            </w:r>
          </w:p>
        </w:tc>
        <w:tc>
          <w:tcPr>
            <w:tcW w:w="1275" w:type="dxa"/>
            <w:tcBorders>
              <w:top w:val="single" w:sz="6" w:space="0" w:color="000000"/>
              <w:left w:val="single" w:sz="6" w:space="0" w:color="000000"/>
              <w:bottom w:val="single" w:sz="6" w:space="0" w:color="000000"/>
              <w:right w:val="single" w:sz="6" w:space="0" w:color="000000"/>
            </w:tcBorders>
          </w:tcPr>
          <w:p w14:paraId="65C0B2C2"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Incised bands</w:t>
            </w:r>
          </w:p>
        </w:tc>
        <w:tc>
          <w:tcPr>
            <w:tcW w:w="1275" w:type="dxa"/>
            <w:tcBorders>
              <w:top w:val="single" w:sz="6" w:space="0" w:color="000000"/>
              <w:left w:val="single" w:sz="6" w:space="0" w:color="000000"/>
              <w:bottom w:val="single" w:sz="6" w:space="0" w:color="000000"/>
              <w:right w:val="single" w:sz="6" w:space="0" w:color="000000"/>
            </w:tcBorders>
          </w:tcPr>
          <w:p w14:paraId="2C96B064"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4 panels</w:t>
            </w:r>
          </w:p>
        </w:tc>
        <w:tc>
          <w:tcPr>
            <w:tcW w:w="2346" w:type="dxa"/>
            <w:tcBorders>
              <w:top w:val="single" w:sz="6" w:space="0" w:color="000000"/>
              <w:left w:val="single" w:sz="6" w:space="0" w:color="000000"/>
              <w:bottom w:val="single" w:sz="6" w:space="0" w:color="000000"/>
              <w:right w:val="single" w:sz="6" w:space="0" w:color="000000"/>
            </w:tcBorders>
          </w:tcPr>
          <w:p w14:paraId="2BF9C618"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Unknown number of panels</w:t>
            </w:r>
          </w:p>
        </w:tc>
        <w:tc>
          <w:tcPr>
            <w:tcW w:w="1417" w:type="dxa"/>
            <w:tcBorders>
              <w:top w:val="single" w:sz="6" w:space="0" w:color="000000"/>
              <w:left w:val="single" w:sz="6" w:space="0" w:color="000000"/>
              <w:bottom w:val="single" w:sz="6" w:space="0" w:color="000000"/>
              <w:right w:val="single" w:sz="6" w:space="0" w:color="000000"/>
            </w:tcBorders>
          </w:tcPr>
          <w:p w14:paraId="2831516D"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6 panels</w:t>
            </w:r>
          </w:p>
        </w:tc>
      </w:tr>
      <w:tr w:rsidR="00D726B2" w:rsidRPr="008246F6" w14:paraId="56EAC7AB"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2B04623D"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20</w:t>
            </w:r>
          </w:p>
        </w:tc>
        <w:tc>
          <w:tcPr>
            <w:tcW w:w="1275" w:type="dxa"/>
            <w:tcBorders>
              <w:top w:val="single" w:sz="6" w:space="0" w:color="000000"/>
              <w:left w:val="single" w:sz="6" w:space="0" w:color="000000"/>
              <w:bottom w:val="single" w:sz="6" w:space="0" w:color="000000"/>
              <w:right w:val="single" w:sz="6" w:space="0" w:color="000000"/>
            </w:tcBorders>
          </w:tcPr>
          <w:p w14:paraId="62398D6F"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37</w:t>
            </w:r>
          </w:p>
        </w:tc>
        <w:tc>
          <w:tcPr>
            <w:tcW w:w="1275" w:type="dxa"/>
            <w:tcBorders>
              <w:top w:val="single" w:sz="6" w:space="0" w:color="000000"/>
              <w:left w:val="single" w:sz="6" w:space="0" w:color="000000"/>
              <w:bottom w:val="single" w:sz="6" w:space="0" w:color="000000"/>
              <w:right w:val="single" w:sz="6" w:space="0" w:color="000000"/>
            </w:tcBorders>
          </w:tcPr>
          <w:p w14:paraId="54F3BBE8"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31</w:t>
            </w:r>
          </w:p>
        </w:tc>
        <w:tc>
          <w:tcPr>
            <w:tcW w:w="2346" w:type="dxa"/>
            <w:tcBorders>
              <w:top w:val="single" w:sz="6" w:space="0" w:color="000000"/>
              <w:left w:val="single" w:sz="6" w:space="0" w:color="000000"/>
              <w:bottom w:val="single" w:sz="6" w:space="0" w:color="000000"/>
              <w:right w:val="single" w:sz="6" w:space="0" w:color="000000"/>
            </w:tcBorders>
          </w:tcPr>
          <w:p w14:paraId="257C924B"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20</w:t>
            </w:r>
          </w:p>
        </w:tc>
        <w:tc>
          <w:tcPr>
            <w:tcW w:w="1417" w:type="dxa"/>
            <w:tcBorders>
              <w:top w:val="single" w:sz="6" w:space="0" w:color="000000"/>
              <w:left w:val="single" w:sz="6" w:space="0" w:color="000000"/>
              <w:bottom w:val="single" w:sz="6" w:space="0" w:color="000000"/>
              <w:right w:val="single" w:sz="6" w:space="0" w:color="000000"/>
            </w:tcBorders>
          </w:tcPr>
          <w:p w14:paraId="37050703"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6</w:t>
            </w:r>
          </w:p>
        </w:tc>
      </w:tr>
    </w:tbl>
    <w:p w14:paraId="07FAD333" w14:textId="77777777" w:rsidR="00D726B2" w:rsidRPr="00956653"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0"/>
          <w:szCs w:val="20"/>
        </w:rPr>
      </w:pPr>
    </w:p>
    <w:p w14:paraId="3C850A78" w14:textId="77777777" w:rsidR="00D726B2" w:rsidRPr="00191003"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 xml:space="preserve">Occurrence of figurines: only </w:t>
      </w:r>
      <w:r>
        <w:rPr>
          <w:color w:val="000000"/>
        </w:rPr>
        <w:t>one</w:t>
      </w:r>
      <w:r w:rsidRPr="00191003">
        <w:rPr>
          <w:color w:val="000000"/>
        </w:rPr>
        <w:t xml:space="preserve"> larnax with figurines on the top of the ridge pole (Kalochoraphitis)</w:t>
      </w:r>
    </w:p>
    <w:p w14:paraId="56EF673F" w14:textId="77777777" w:rsidR="00D726B2" w:rsidRPr="00191003" w:rsidRDefault="00D726B2" w:rsidP="00E858EF">
      <w:pPr>
        <w:suppressAutoHyphens/>
        <w:rPr>
          <w:b/>
        </w:rPr>
      </w:pPr>
      <w:r w:rsidRPr="00191003">
        <w:rPr>
          <w:color w:val="000000"/>
        </w:rPr>
        <w:t>One of the two larnakes found in the chamber tomb of Mires Goudies</w:t>
      </w:r>
      <w:r>
        <w:rPr>
          <w:color w:val="000000"/>
        </w:rPr>
        <w:t xml:space="preserve"> (145 Goudies)</w:t>
      </w:r>
      <w:r w:rsidRPr="00191003">
        <w:rPr>
          <w:color w:val="000000"/>
        </w:rPr>
        <w:t xml:space="preserve"> </w:t>
      </w:r>
      <w:r>
        <w:rPr>
          <w:color w:val="000000"/>
        </w:rPr>
        <w:t>has</w:t>
      </w:r>
      <w:r w:rsidRPr="00191003">
        <w:rPr>
          <w:color w:val="000000"/>
        </w:rPr>
        <w:t xml:space="preserve"> a decoration in relief that is similar to a potter’s mark (Laviosa 1970: 105).</w:t>
      </w:r>
    </w:p>
    <w:p w14:paraId="1E6DEDA5" w14:textId="77777777" w:rsidR="00D726B2" w:rsidRPr="00191003" w:rsidRDefault="00D726B2" w:rsidP="00E858EF">
      <w:pPr>
        <w:pStyle w:val="Titolo3"/>
        <w:keepNext w:val="0"/>
        <w:keepLines w:val="0"/>
        <w:suppressAutoHyphens/>
      </w:pPr>
      <w:bookmarkStart w:id="1087" w:name="_Toc517807596"/>
      <w:bookmarkStart w:id="1088" w:name="_Toc519894686"/>
      <w:r w:rsidRPr="00191003">
        <w:t xml:space="preserve">Analysis of </w:t>
      </w:r>
      <w:r>
        <w:t xml:space="preserve">the </w:t>
      </w:r>
      <w:r w:rsidRPr="00191003">
        <w:t xml:space="preserve">iconography of decorated larnakes </w:t>
      </w:r>
      <w:r>
        <w:t xml:space="preserve">in the </w:t>
      </w:r>
      <w:r w:rsidRPr="00191003">
        <w:t>Mesara area</w:t>
      </w:r>
      <w:bookmarkEnd w:id="1087"/>
      <w:bookmarkEnd w:id="1088"/>
    </w:p>
    <w:p w14:paraId="7A429CF8" w14:textId="205E615C" w:rsidR="00D726B2" w:rsidRPr="00191003" w:rsidRDefault="00D726B2" w:rsidP="00E858EF">
      <w:pPr>
        <w:suppressAutoHyphens/>
      </w:pPr>
      <w:r w:rsidRPr="00191003">
        <w:t>From the sample of larnakes found in burial contexts in</w:t>
      </w:r>
      <w:r>
        <w:t xml:space="preserve"> the</w:t>
      </w:r>
      <w:r w:rsidRPr="00191003">
        <w:t xml:space="preserve"> Mesara region</w:t>
      </w:r>
      <w:r>
        <w:t xml:space="preserve"> (</w:t>
      </w:r>
      <w:r w:rsidRPr="00191003">
        <w:t>123 items</w:t>
      </w:r>
      <w:r>
        <w:t>),</w:t>
      </w:r>
      <w:r w:rsidRPr="00191003">
        <w:t xml:space="preserve"> the presence of decoration </w:t>
      </w:r>
      <w:r>
        <w:t>is</w:t>
      </w:r>
      <w:r w:rsidRPr="00191003">
        <w:t xml:space="preserve"> registered securely </w:t>
      </w:r>
      <w:r>
        <w:t xml:space="preserve">for only </w:t>
      </w:r>
      <w:r w:rsidRPr="00191003">
        <w:t>19% (23 larnakes</w:t>
      </w:r>
      <w:r w:rsidR="00BD5A03">
        <w:t>, see: Appendix: Mesara</w:t>
      </w:r>
      <w:r w:rsidRPr="00191003">
        <w:t xml:space="preserve">). </w:t>
      </w:r>
    </w:p>
    <w:p w14:paraId="688CC19D" w14:textId="77777777" w:rsidR="00D726B2" w:rsidRPr="00191003" w:rsidRDefault="00D726B2" w:rsidP="00E858EF">
      <w:pPr>
        <w:suppressAutoHyphens/>
      </w:pPr>
    </w:p>
    <w:p w14:paraId="7AEC970C" w14:textId="77777777" w:rsidR="00D726B2" w:rsidRDefault="00D726B2" w:rsidP="00E858EF">
      <w:pPr>
        <w:suppressAutoHyphens/>
        <w:rPr>
          <w:b/>
        </w:rPr>
      </w:pPr>
      <w:r w:rsidRPr="00191003">
        <w:rPr>
          <w:noProof/>
          <w:lang w:val="it-IT"/>
        </w:rPr>
        <w:drawing>
          <wp:inline distT="0" distB="0" distL="0" distR="0" wp14:anchorId="2428EE66" wp14:editId="4BE1AFC2">
            <wp:extent cx="4680000" cy="2520000"/>
            <wp:effectExtent l="0" t="0" r="6350" b="13970"/>
            <wp:docPr id="191" name="Gra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14:paraId="616BA097" w14:textId="11382732" w:rsidR="00D726B2" w:rsidRDefault="00D726B2" w:rsidP="00E858EF">
      <w:pPr>
        <w:pStyle w:val="Didascalia"/>
        <w:suppressAutoHyphens/>
      </w:pPr>
      <w:bookmarkStart w:id="1089" w:name="_Toc520212464"/>
      <w:r w:rsidRPr="00956653">
        <w:t>Fig</w:t>
      </w:r>
      <w:r>
        <w:t>ure</w:t>
      </w:r>
      <w:r w:rsidRPr="00956653">
        <w:t xml:space="preserve"> 5</w:t>
      </w:r>
      <w:r>
        <w:t>-71</w:t>
      </w:r>
      <w:r w:rsidR="009E530B">
        <w:t>.</w:t>
      </w:r>
      <w:r>
        <w:t xml:space="preserve"> Mesara </w:t>
      </w:r>
      <w:r w:rsidR="006934A7">
        <w:t xml:space="preserve">area </w:t>
      </w:r>
      <w:r>
        <w:t>larnax decoration</w:t>
      </w:r>
      <w:bookmarkEnd w:id="1089"/>
    </w:p>
    <w:p w14:paraId="78FCBD29" w14:textId="77777777" w:rsidR="00D726B2" w:rsidRDefault="00D726B2" w:rsidP="00E858EF">
      <w:pPr>
        <w:suppressAutoHyphens/>
        <w:rPr>
          <w:sz w:val="20"/>
          <w:szCs w:val="20"/>
        </w:rPr>
      </w:pPr>
    </w:p>
    <w:p w14:paraId="12F1B4D9" w14:textId="338BB893" w:rsidR="00D726B2" w:rsidRDefault="00D726B2" w:rsidP="00E858EF">
      <w:pPr>
        <w:pStyle w:val="Testofumetto"/>
        <w:suppressAutoHyphens/>
      </w:pPr>
      <w:bookmarkStart w:id="1090" w:name="_Toc520212639"/>
      <w:r>
        <w:t>Table 5-14</w:t>
      </w:r>
      <w:r w:rsidR="0038702D">
        <w:t>.</w:t>
      </w:r>
      <w:r>
        <w:t xml:space="preserve"> Larnax decoration, Mesara</w:t>
      </w:r>
      <w:bookmarkEnd w:id="1090"/>
      <w:r w:rsidR="006934A7">
        <w:t xml:space="preserve"> area</w:t>
      </w:r>
    </w:p>
    <w:tbl>
      <w:tblPr>
        <w:tblW w:w="0" w:type="auto"/>
        <w:tblInd w:w="8" w:type="dxa"/>
        <w:tblCellMar>
          <w:left w:w="0" w:type="dxa"/>
          <w:right w:w="0" w:type="dxa"/>
        </w:tblCellMar>
        <w:tblLook w:val="04A0" w:firstRow="1" w:lastRow="0" w:firstColumn="1" w:lastColumn="0" w:noHBand="0" w:noVBand="1"/>
      </w:tblPr>
      <w:tblGrid>
        <w:gridCol w:w="1275"/>
        <w:gridCol w:w="1635"/>
        <w:gridCol w:w="1494"/>
        <w:gridCol w:w="2204"/>
      </w:tblGrid>
      <w:tr w:rsidR="00D726B2" w:rsidRPr="008246F6" w14:paraId="2733B96B" w14:textId="77777777" w:rsidTr="008246F6">
        <w:trPr>
          <w:trHeight w:val="315"/>
        </w:trPr>
        <w:tc>
          <w:tcPr>
            <w:tcW w:w="1275" w:type="dxa"/>
            <w:tcBorders>
              <w:top w:val="single" w:sz="6" w:space="0" w:color="000000"/>
              <w:left w:val="single" w:sz="6" w:space="0" w:color="000000"/>
              <w:bottom w:val="single" w:sz="6" w:space="0" w:color="000000"/>
              <w:right w:val="single" w:sz="6" w:space="0" w:color="000000"/>
            </w:tcBorders>
          </w:tcPr>
          <w:p w14:paraId="5DB3B27C"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Decorated</w:t>
            </w:r>
          </w:p>
        </w:tc>
        <w:tc>
          <w:tcPr>
            <w:tcW w:w="1635" w:type="dxa"/>
            <w:tcBorders>
              <w:top w:val="single" w:sz="6" w:space="0" w:color="000000"/>
              <w:left w:val="single" w:sz="6" w:space="0" w:color="000000"/>
              <w:bottom w:val="single" w:sz="6" w:space="0" w:color="000000"/>
              <w:right w:val="single" w:sz="6" w:space="0" w:color="000000"/>
            </w:tcBorders>
          </w:tcPr>
          <w:p w14:paraId="51D32E17"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Undecorated</w:t>
            </w:r>
          </w:p>
        </w:tc>
        <w:tc>
          <w:tcPr>
            <w:tcW w:w="1494" w:type="dxa"/>
            <w:tcBorders>
              <w:top w:val="single" w:sz="6" w:space="0" w:color="000000"/>
              <w:left w:val="single" w:sz="6" w:space="0" w:color="000000"/>
              <w:bottom w:val="single" w:sz="6" w:space="0" w:color="000000"/>
              <w:right w:val="single" w:sz="6" w:space="0" w:color="000000"/>
            </w:tcBorders>
          </w:tcPr>
          <w:p w14:paraId="2D9C098A" w14:textId="77777777" w:rsidR="00D726B2" w:rsidRPr="008246F6" w:rsidRDefault="00D726B2" w:rsidP="00E858EF">
            <w:pPr>
              <w:suppressAutoHyphens/>
              <w:jc w:val="center"/>
              <w:rPr>
                <w:sz w:val="20"/>
              </w:rPr>
            </w:pPr>
            <w:r w:rsidRPr="008246F6">
              <w:rPr>
                <w:sz w:val="20"/>
              </w:rPr>
              <w:t>Unknown</w:t>
            </w:r>
          </w:p>
        </w:tc>
        <w:tc>
          <w:tcPr>
            <w:tcW w:w="2204" w:type="dxa"/>
            <w:tcBorders>
              <w:top w:val="single" w:sz="6" w:space="0" w:color="000000"/>
              <w:left w:val="single" w:sz="6" w:space="0" w:color="000000"/>
              <w:bottom w:val="single" w:sz="6" w:space="0" w:color="000000"/>
              <w:right w:val="single" w:sz="6" w:space="0" w:color="000000"/>
            </w:tcBorders>
          </w:tcPr>
          <w:p w14:paraId="5626BD29"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Incised decoration</w:t>
            </w:r>
          </w:p>
        </w:tc>
      </w:tr>
      <w:tr w:rsidR="00D726B2" w:rsidRPr="008246F6" w14:paraId="1369FBF9" w14:textId="77777777" w:rsidTr="008246F6">
        <w:trPr>
          <w:trHeight w:val="315"/>
        </w:trPr>
        <w:tc>
          <w:tcPr>
            <w:tcW w:w="1275" w:type="dxa"/>
            <w:tcBorders>
              <w:top w:val="single" w:sz="6" w:space="0" w:color="000000"/>
              <w:left w:val="single" w:sz="6" w:space="0" w:color="000000"/>
              <w:bottom w:val="single" w:sz="6" w:space="0" w:color="000000"/>
              <w:right w:val="single" w:sz="6" w:space="0" w:color="000000"/>
            </w:tcBorders>
          </w:tcPr>
          <w:p w14:paraId="065D0A74"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23</w:t>
            </w:r>
          </w:p>
        </w:tc>
        <w:tc>
          <w:tcPr>
            <w:tcW w:w="1635" w:type="dxa"/>
            <w:tcBorders>
              <w:top w:val="single" w:sz="6" w:space="0" w:color="000000"/>
              <w:left w:val="single" w:sz="6" w:space="0" w:color="000000"/>
              <w:bottom w:val="single" w:sz="6" w:space="0" w:color="000000"/>
              <w:right w:val="single" w:sz="6" w:space="0" w:color="000000"/>
            </w:tcBorders>
          </w:tcPr>
          <w:p w14:paraId="3A66A9AE"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52</w:t>
            </w:r>
          </w:p>
        </w:tc>
        <w:tc>
          <w:tcPr>
            <w:tcW w:w="1494" w:type="dxa"/>
            <w:tcBorders>
              <w:top w:val="single" w:sz="6" w:space="0" w:color="000000"/>
              <w:left w:val="single" w:sz="6" w:space="0" w:color="000000"/>
              <w:bottom w:val="single" w:sz="6" w:space="0" w:color="000000"/>
              <w:right w:val="single" w:sz="6" w:space="0" w:color="000000"/>
            </w:tcBorders>
          </w:tcPr>
          <w:p w14:paraId="0F885221"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48</w:t>
            </w:r>
          </w:p>
        </w:tc>
        <w:tc>
          <w:tcPr>
            <w:tcW w:w="2204" w:type="dxa"/>
            <w:tcBorders>
              <w:top w:val="single" w:sz="6" w:space="0" w:color="000000"/>
              <w:left w:val="single" w:sz="6" w:space="0" w:color="000000"/>
              <w:bottom w:val="single" w:sz="6" w:space="0" w:color="000000"/>
              <w:right w:val="single" w:sz="6" w:space="0" w:color="000000"/>
            </w:tcBorders>
          </w:tcPr>
          <w:p w14:paraId="7BC36E43" w14:textId="77777777" w:rsidR="00D726B2" w:rsidRPr="008246F6" w:rsidRDefault="00D726B2" w:rsidP="00E858EF">
            <w:pPr>
              <w:suppressAutoHyphens/>
              <w:jc w:val="center"/>
              <w:rPr>
                <w:rFonts w:eastAsiaTheme="majorEastAsia"/>
                <w:i/>
                <w:iCs/>
                <w:color w:val="404040" w:themeColor="text1" w:themeTint="BF"/>
                <w:sz w:val="20"/>
                <w:szCs w:val="20"/>
              </w:rPr>
            </w:pPr>
            <w:r w:rsidRPr="008246F6">
              <w:rPr>
                <w:sz w:val="20"/>
              </w:rPr>
              <w:t>0</w:t>
            </w:r>
          </w:p>
        </w:tc>
      </w:tr>
    </w:tbl>
    <w:p w14:paraId="63F44E34" w14:textId="77777777" w:rsidR="00D726B2" w:rsidRDefault="00D726B2" w:rsidP="00E858EF">
      <w:pPr>
        <w:suppressAutoHyphens/>
      </w:pPr>
    </w:p>
    <w:p w14:paraId="2E691D6C" w14:textId="77777777" w:rsidR="00D726B2" w:rsidRPr="00191003" w:rsidRDefault="00D726B2" w:rsidP="00E858EF">
      <w:pPr>
        <w:suppressAutoHyphens/>
      </w:pPr>
      <w:r>
        <w:tab/>
      </w:r>
      <w:r w:rsidRPr="00191003">
        <w:t>All secure larnakes with decoration from this region are chest</w:t>
      </w:r>
      <w:r>
        <w:t>-</w:t>
      </w:r>
      <w:r w:rsidRPr="00191003">
        <w:t xml:space="preserve">shaped. </w:t>
      </w:r>
      <w:r>
        <w:t>In addition f</w:t>
      </w:r>
      <w:r w:rsidRPr="00191003">
        <w:t>ragments from decorated bathtub larnakes have been found within the region at Poros hill</w:t>
      </w:r>
      <w:r>
        <w:t>,</w:t>
      </w:r>
      <w:r w:rsidRPr="00191003">
        <w:t xml:space="preserve"> near Kalyvia</w:t>
      </w:r>
      <w:r>
        <w:t>, from burial location</w:t>
      </w:r>
      <w:r w:rsidRPr="00191003">
        <w:t xml:space="preserve"> </w:t>
      </w:r>
      <w:r>
        <w:t xml:space="preserve">considered possible </w:t>
      </w:r>
      <w:r w:rsidRPr="00191003">
        <w:t>(</w:t>
      </w:r>
      <w:r>
        <w:t xml:space="preserve">fragments from at least three bathtub larnakes: </w:t>
      </w:r>
      <w:r w:rsidRPr="00191003">
        <w:t xml:space="preserve">Kanta 1980: 99; Cucuzza 2002: 135, 140; Privitera 2011:123), and </w:t>
      </w:r>
      <w:r>
        <w:t>at</w:t>
      </w:r>
      <w:r w:rsidRPr="00191003">
        <w:t xml:space="preserve"> </w:t>
      </w:r>
      <w:r>
        <w:t>Phaistos from the settlement area</w:t>
      </w:r>
      <w:r w:rsidRPr="00191003">
        <w:t xml:space="preserve"> (</w:t>
      </w:r>
      <w:r>
        <w:t xml:space="preserve">from more than one bathtub: </w:t>
      </w:r>
      <w:r w:rsidRPr="00191003">
        <w:t>Elisabetta Borgna personal communication)</w:t>
      </w:r>
      <w:r>
        <w:t>.</w:t>
      </w:r>
    </w:p>
    <w:p w14:paraId="119A8DBB" w14:textId="77777777" w:rsidR="00D726B2" w:rsidRPr="00191003" w:rsidRDefault="00D726B2" w:rsidP="00E858EF">
      <w:pPr>
        <w:suppressAutoHyphens/>
      </w:pPr>
      <w:r>
        <w:tab/>
      </w:r>
      <w:r w:rsidRPr="00191003">
        <w:t>The vast majority of larnakes found in this region are undecorated</w:t>
      </w:r>
      <w:r>
        <w:t>,</w:t>
      </w:r>
      <w:r w:rsidRPr="00191003">
        <w:t xml:space="preserve"> or the presence or the lack of decoration </w:t>
      </w:r>
      <w:r>
        <w:t>has not been reported</w:t>
      </w:r>
      <w:r w:rsidRPr="00191003">
        <w:t>. This</w:t>
      </w:r>
      <w:r>
        <w:t>,</w:t>
      </w:r>
      <w:r w:rsidRPr="00191003">
        <w:t xml:space="preserve"> in some case</w:t>
      </w:r>
      <w:r>
        <w:t>s,</w:t>
      </w:r>
      <w:r w:rsidRPr="00191003">
        <w:t xml:space="preserve"> is due to the very fragmentary condition in which the larnakes </w:t>
      </w:r>
      <w:r>
        <w:t>were</w:t>
      </w:r>
      <w:r w:rsidRPr="00191003">
        <w:t xml:space="preserve"> found</w:t>
      </w:r>
      <w:r>
        <w:t>,</w:t>
      </w:r>
      <w:r w:rsidRPr="00191003">
        <w:t xml:space="preserve"> </w:t>
      </w:r>
      <w:r>
        <w:t>such as</w:t>
      </w:r>
      <w:r w:rsidRPr="00191003">
        <w:t xml:space="preserve"> the early tholos of Valis</w:t>
      </w:r>
      <w:r>
        <w:t>,</w:t>
      </w:r>
      <w:r w:rsidRPr="00191003">
        <w:t xml:space="preserve"> </w:t>
      </w:r>
      <w:r>
        <w:t>or because some</w:t>
      </w:r>
      <w:r w:rsidRPr="00191003">
        <w:t xml:space="preserve"> larnakes have been destroyed </w:t>
      </w:r>
      <w:r>
        <w:t>(e.g.</w:t>
      </w:r>
      <w:r w:rsidRPr="00191003">
        <w:t xml:space="preserve"> larnakes from chamber tombs at Mires</w:t>
      </w:r>
      <w:r>
        <w:t>,</w:t>
      </w:r>
      <w:r w:rsidRPr="00191003">
        <w:t xml:space="preserve"> Laviosa 1970</w:t>
      </w:r>
      <w:r>
        <w:t>:</w:t>
      </w:r>
      <w:r w:rsidRPr="00191003">
        <w:t xml:space="preserve"> </w:t>
      </w:r>
      <w:r>
        <w:t xml:space="preserve">99 </w:t>
      </w:r>
      <w:r w:rsidRPr="00191003">
        <w:t>ft. 1)</w:t>
      </w:r>
      <w:r>
        <w:t>.</w:t>
      </w:r>
      <w:r w:rsidRPr="00191003">
        <w:t xml:space="preserve"> </w:t>
      </w:r>
      <w:r>
        <w:t>However,</w:t>
      </w:r>
      <w:r w:rsidRPr="00191003">
        <w:t xml:space="preserve"> in other cases</w:t>
      </w:r>
      <w:r>
        <w:t>,</w:t>
      </w:r>
      <w:r w:rsidRPr="00191003">
        <w:t xml:space="preserve"> it is possible that larnakes for which there </w:t>
      </w:r>
      <w:r>
        <w:t>is</w:t>
      </w:r>
      <w:r w:rsidRPr="00191003">
        <w:t xml:space="preserve"> no information are </w:t>
      </w:r>
      <w:r>
        <w:t>simply</w:t>
      </w:r>
      <w:r w:rsidRPr="00191003">
        <w:t xml:space="preserve"> plain larnakes, considering that decorated items in the same cemeteries </w:t>
      </w:r>
      <w:r>
        <w:t>were</w:t>
      </w:r>
      <w:r w:rsidRPr="00191003">
        <w:t xml:space="preserve"> reported (</w:t>
      </w:r>
      <w:r>
        <w:t>e.g.</w:t>
      </w:r>
      <w:r w:rsidRPr="00191003">
        <w:t xml:space="preserve"> </w:t>
      </w:r>
      <w:r>
        <w:t>Vasilika</w:t>
      </w:r>
      <w:r w:rsidRPr="00191003">
        <w:t xml:space="preserve"> Anogeia and Apodoulou Frangou to</w:t>
      </w:r>
      <w:r>
        <w:t>u</w:t>
      </w:r>
      <w:r w:rsidRPr="00191003">
        <w:t xml:space="preserve"> Louri).</w:t>
      </w:r>
    </w:p>
    <w:p w14:paraId="25424723" w14:textId="77777777" w:rsidR="00D726B2" w:rsidRPr="00191003" w:rsidRDefault="00D726B2" w:rsidP="00E858EF">
      <w:pPr>
        <w:pStyle w:val="Titolo4"/>
        <w:keepNext w:val="0"/>
        <w:keepLines w:val="0"/>
        <w:suppressAutoHyphens/>
      </w:pPr>
      <w:bookmarkStart w:id="1091" w:name="_Toc517807597"/>
      <w:r>
        <w:t>Is it</w:t>
      </w:r>
      <w:r w:rsidRPr="00191003">
        <w:t xml:space="preserve"> possible to </w:t>
      </w:r>
      <w:r>
        <w:t>note</w:t>
      </w:r>
      <w:r w:rsidRPr="00191003">
        <w:t xml:space="preserve"> the presence of </w:t>
      </w:r>
      <w:r>
        <w:t>‘</w:t>
      </w:r>
      <w:r w:rsidRPr="00191003">
        <w:t xml:space="preserve">peculiar </w:t>
      </w:r>
      <w:r>
        <w:t>motif</w:t>
      </w:r>
      <w:r w:rsidRPr="00191003">
        <w:t>s</w:t>
      </w:r>
      <w:r>
        <w:t>’</w:t>
      </w:r>
      <w:r w:rsidRPr="00191003">
        <w:t xml:space="preserve"> with </w:t>
      </w:r>
      <w:r>
        <w:t>little</w:t>
      </w:r>
      <w:r w:rsidRPr="00191003">
        <w:t xml:space="preserve"> or no comparison </w:t>
      </w:r>
      <w:r>
        <w:t>to</w:t>
      </w:r>
      <w:r w:rsidRPr="00191003">
        <w:t xml:space="preserve"> </w:t>
      </w:r>
      <w:r>
        <w:t xml:space="preserve">the </w:t>
      </w:r>
      <w:r w:rsidRPr="00191003">
        <w:t>pottery repertoire?</w:t>
      </w:r>
      <w:bookmarkEnd w:id="1091"/>
    </w:p>
    <w:p w14:paraId="7AAFC248" w14:textId="4C815793" w:rsidR="00D726B2" w:rsidRPr="00191003" w:rsidRDefault="00D726B2" w:rsidP="00E858EF">
      <w:pPr>
        <w:suppressAutoHyphens/>
      </w:pPr>
      <w:r>
        <w:t>Regarding</w:t>
      </w:r>
      <w:r w:rsidRPr="00191003">
        <w:t xml:space="preserve"> the </w:t>
      </w:r>
      <w:r>
        <w:t>motif</w:t>
      </w:r>
      <w:r w:rsidRPr="00191003">
        <w:t>s re</w:t>
      </w:r>
      <w:r>
        <w:t>corded</w:t>
      </w:r>
      <w:r w:rsidRPr="00191003">
        <w:t xml:space="preserve"> within the sample, five larnakes distributed between the cemeteries of Kalochorafitis Anevolema, Klima and Apodoulou </w:t>
      </w:r>
      <w:r>
        <w:t>have</w:t>
      </w:r>
      <w:r w:rsidRPr="00191003">
        <w:t xml:space="preserve"> peculiar </w:t>
      </w:r>
      <w:r>
        <w:t>motif</w:t>
      </w:r>
      <w:r w:rsidRPr="00191003">
        <w:t>s and</w:t>
      </w:r>
      <w:r>
        <w:t>,</w:t>
      </w:r>
      <w:r w:rsidRPr="00191003">
        <w:t xml:space="preserve"> in some cases</w:t>
      </w:r>
      <w:r>
        <w:t>,</w:t>
      </w:r>
      <w:r w:rsidRPr="00191003">
        <w:t xml:space="preserve"> </w:t>
      </w:r>
      <w:r w:rsidR="009464EC">
        <w:t>complex scenes</w:t>
      </w:r>
      <w:r w:rsidRPr="00191003">
        <w:t xml:space="preserve">. </w:t>
      </w:r>
      <w:r>
        <w:t>T</w:t>
      </w:r>
      <w:r w:rsidRPr="00191003">
        <w:t xml:space="preserve">hese three cemeteries </w:t>
      </w:r>
      <w:r>
        <w:t>contained</w:t>
      </w:r>
      <w:r w:rsidRPr="00191003">
        <w:t xml:space="preserve"> the highest concentration </w:t>
      </w:r>
      <w:r>
        <w:t>of</w:t>
      </w:r>
      <w:r w:rsidRPr="00191003">
        <w:t xml:space="preserve"> larna</w:t>
      </w:r>
      <w:r>
        <w:t>x</w:t>
      </w:r>
      <w:r w:rsidRPr="00191003">
        <w:t xml:space="preserve"> number</w:t>
      </w:r>
      <w:r>
        <w:t>s</w:t>
      </w:r>
      <w:r w:rsidRPr="00191003">
        <w:t xml:space="preserve"> (39% </w:t>
      </w:r>
      <w:r>
        <w:t xml:space="preserve">of </w:t>
      </w:r>
      <w:r w:rsidRPr="00191003">
        <w:t xml:space="preserve">the total secure larnakes </w:t>
      </w:r>
      <w:r>
        <w:t xml:space="preserve">from </w:t>
      </w:r>
      <w:r w:rsidRPr="00191003">
        <w:t>the Mesara area</w:t>
      </w:r>
      <w:r>
        <w:t>, corresponding to 48 larnakes from a total of 123 larnakes from the Mesara area</w:t>
      </w:r>
      <w:r w:rsidRPr="00191003">
        <w:t xml:space="preserve">). Furthermore, in terms of </w:t>
      </w:r>
      <w:r>
        <w:t xml:space="preserve">the </w:t>
      </w:r>
      <w:r w:rsidRPr="00191003">
        <w:t xml:space="preserve">distribution of decorated larnakes, 65% of </w:t>
      </w:r>
      <w:r>
        <w:t xml:space="preserve">the </w:t>
      </w:r>
      <w:r w:rsidRPr="00191003">
        <w:t xml:space="preserve">decorated items </w:t>
      </w:r>
      <w:r>
        <w:t>were</w:t>
      </w:r>
      <w:r w:rsidRPr="00191003">
        <w:t xml:space="preserve"> found in these three cemeteries. A list of the unique/peculiar </w:t>
      </w:r>
      <w:r>
        <w:t>motif</w:t>
      </w:r>
      <w:r w:rsidRPr="00191003">
        <w:t xml:space="preserve">s per larnax is </w:t>
      </w:r>
      <w:r>
        <w:t>below</w:t>
      </w:r>
      <w:r w:rsidRPr="00191003">
        <w:t>:</w:t>
      </w:r>
    </w:p>
    <w:p w14:paraId="43BD49AE" w14:textId="77777777" w:rsidR="00D726B2" w:rsidRPr="00BB606A" w:rsidRDefault="00D726B2" w:rsidP="00E858EF">
      <w:pPr>
        <w:pStyle w:val="Paragrafoelenco"/>
        <w:numPr>
          <w:ilvl w:val="0"/>
          <w:numId w:val="87"/>
        </w:numPr>
        <w:suppressAutoHyphens/>
        <w:spacing w:after="160"/>
      </w:pPr>
      <w:r w:rsidRPr="00BB606A">
        <w:t>06 Kalochorafitis Anevolema HM 20590 (Karetsou</w:t>
      </w:r>
      <w:r>
        <w:t xml:space="preserve"> and</w:t>
      </w:r>
      <w:r w:rsidRPr="00BB606A">
        <w:t xml:space="preserve"> Girella 2015: 59-125 fig.3.9 -3.16): </w:t>
      </w:r>
    </w:p>
    <w:p w14:paraId="4FC06610" w14:textId="77777777" w:rsidR="00D726B2" w:rsidRPr="00191003" w:rsidRDefault="00D726B2" w:rsidP="00E858EF">
      <w:pPr>
        <w:pStyle w:val="Paragrafoelenco"/>
        <w:numPr>
          <w:ilvl w:val="0"/>
          <w:numId w:val="77"/>
        </w:numPr>
        <w:suppressAutoHyphens/>
        <w:spacing w:after="160"/>
      </w:pPr>
      <w:r w:rsidRPr="00191003">
        <w:t xml:space="preserve">Sea urchin: circle with irregular pattern of dots and fringe sides A and B (Karetsou </w:t>
      </w:r>
      <w:r>
        <w:t xml:space="preserve">and </w:t>
      </w:r>
      <w:r w:rsidRPr="00191003">
        <w:t>Girella 2015: 74)</w:t>
      </w:r>
      <w:r>
        <w:t>.</w:t>
      </w:r>
    </w:p>
    <w:p w14:paraId="23184317" w14:textId="77777777" w:rsidR="00D726B2" w:rsidRPr="00191003" w:rsidRDefault="00D726B2" w:rsidP="00E858EF">
      <w:pPr>
        <w:pStyle w:val="Paragrafoelenco"/>
        <w:numPr>
          <w:ilvl w:val="0"/>
          <w:numId w:val="77"/>
        </w:numPr>
        <w:suppressAutoHyphens/>
        <w:spacing w:after="160"/>
      </w:pPr>
      <w:r w:rsidRPr="00191003">
        <w:t>Concentric semicircles with fringes sides all sides</w:t>
      </w:r>
      <w:r>
        <w:t>.</w:t>
      </w:r>
    </w:p>
    <w:p w14:paraId="74D28392" w14:textId="77777777" w:rsidR="00D726B2" w:rsidRPr="00191003" w:rsidRDefault="00D726B2" w:rsidP="00E858EF">
      <w:pPr>
        <w:pStyle w:val="Paragrafoelenco"/>
        <w:numPr>
          <w:ilvl w:val="0"/>
          <w:numId w:val="77"/>
        </w:numPr>
        <w:suppressAutoHyphens/>
        <w:spacing w:after="160"/>
      </w:pPr>
      <w:r w:rsidRPr="00191003">
        <w:t>Rosette</w:t>
      </w:r>
      <w:r>
        <w:t>-</w:t>
      </w:r>
      <w:r w:rsidRPr="00191003">
        <w:t>like whorl flanked by two stacks of diminishing curvilinear line</w:t>
      </w:r>
      <w:r>
        <w:t>s</w:t>
      </w:r>
      <w:r w:rsidRPr="00191003">
        <w:t xml:space="preserve"> (side C)</w:t>
      </w:r>
      <w:r>
        <w:t>.</w:t>
      </w:r>
    </w:p>
    <w:p w14:paraId="4B0E7D69" w14:textId="77777777" w:rsidR="00D726B2" w:rsidRPr="00191003" w:rsidRDefault="00D726B2" w:rsidP="00E858EF">
      <w:pPr>
        <w:pStyle w:val="Paragrafoelenco"/>
        <w:numPr>
          <w:ilvl w:val="0"/>
          <w:numId w:val="77"/>
        </w:numPr>
        <w:suppressAutoHyphens/>
        <w:spacing w:after="160"/>
      </w:pPr>
      <w:r w:rsidRPr="00191003">
        <w:t>Rayed circle (side</w:t>
      </w:r>
      <w:r>
        <w:t>s</w:t>
      </w:r>
      <w:r w:rsidRPr="00191003">
        <w:t xml:space="preserve"> A and B in association with bucranium</w:t>
      </w:r>
      <w:r>
        <w:t xml:space="preserve"> and isolated</w:t>
      </w:r>
      <w:r w:rsidRPr="00191003">
        <w:t>)</w:t>
      </w:r>
      <w:r>
        <w:t>.</w:t>
      </w:r>
    </w:p>
    <w:p w14:paraId="05EE0B47" w14:textId="77777777" w:rsidR="00D726B2" w:rsidRPr="00191003" w:rsidRDefault="00D726B2" w:rsidP="00E858EF">
      <w:pPr>
        <w:pStyle w:val="Paragrafoelenco"/>
        <w:numPr>
          <w:ilvl w:val="0"/>
          <w:numId w:val="77"/>
        </w:numPr>
        <w:suppressAutoHyphens/>
        <w:spacing w:after="160"/>
      </w:pPr>
      <w:r w:rsidRPr="00191003">
        <w:t xml:space="preserve">Unidentified figure (side </w:t>
      </w:r>
      <w:r>
        <w:t>B).</w:t>
      </w:r>
    </w:p>
    <w:p w14:paraId="18334603" w14:textId="77777777" w:rsidR="00D726B2" w:rsidRPr="00191003" w:rsidRDefault="00D726B2" w:rsidP="00E858EF">
      <w:pPr>
        <w:pStyle w:val="Paragrafoelenco"/>
        <w:numPr>
          <w:ilvl w:val="0"/>
          <w:numId w:val="77"/>
        </w:numPr>
        <w:suppressAutoHyphens/>
        <w:spacing w:after="160"/>
      </w:pPr>
      <w:r w:rsidRPr="00191003">
        <w:t xml:space="preserve">Unidentified figure (side </w:t>
      </w:r>
      <w:r>
        <w:t>D).</w:t>
      </w:r>
    </w:p>
    <w:p w14:paraId="0211A2CE" w14:textId="77777777" w:rsidR="00D726B2" w:rsidRPr="00191003" w:rsidRDefault="00D726B2" w:rsidP="00E858EF">
      <w:pPr>
        <w:pStyle w:val="Paragrafoelenco"/>
        <w:numPr>
          <w:ilvl w:val="0"/>
          <w:numId w:val="77"/>
        </w:numPr>
        <w:suppressAutoHyphens/>
        <w:spacing w:after="160"/>
      </w:pPr>
      <w:r w:rsidRPr="00191003">
        <w:t>Human figure with raised arms (side A and side D</w:t>
      </w:r>
      <w:r>
        <w:t>, hunter without a spear</w:t>
      </w:r>
      <w:r w:rsidRPr="00191003">
        <w:t>)</w:t>
      </w:r>
      <w:r>
        <w:t>.</w:t>
      </w:r>
    </w:p>
    <w:p w14:paraId="799F77C6" w14:textId="77777777" w:rsidR="00D726B2" w:rsidRPr="00191003" w:rsidRDefault="00D726B2" w:rsidP="00E858EF">
      <w:pPr>
        <w:suppressAutoHyphens/>
      </w:pPr>
      <w:r>
        <w:tab/>
        <w:t>Regarding the</w:t>
      </w:r>
      <w:r w:rsidRPr="00191003">
        <w:t xml:space="preserve"> larnax from Kalochorafitis Anevolema HM 20590</w:t>
      </w:r>
      <w:r>
        <w:t>,</w:t>
      </w:r>
      <w:r w:rsidRPr="00191003">
        <w:t xml:space="preserve"> it is not only the presence of these </w:t>
      </w:r>
      <w:r>
        <w:t>motif</w:t>
      </w:r>
      <w:r w:rsidRPr="00191003">
        <w:t xml:space="preserve">s that </w:t>
      </w:r>
      <w:r>
        <w:t>is</w:t>
      </w:r>
      <w:r w:rsidRPr="00191003">
        <w:t xml:space="preserve"> considered peculiar, but </w:t>
      </w:r>
      <w:r>
        <w:t xml:space="preserve">also </w:t>
      </w:r>
      <w:r w:rsidRPr="00191003">
        <w:t>the main themes (i.e. bull-leaping, the chariot, the ship and the human figures</w:t>
      </w:r>
      <w:r>
        <w:t>, not listed above because these motieves occur in pottery repertoire evene if they are rare: e.g. chariot nad ship</w:t>
      </w:r>
      <w:r w:rsidRPr="00191003">
        <w:t xml:space="preserve">) </w:t>
      </w:r>
      <w:r>
        <w:t>and</w:t>
      </w:r>
      <w:r w:rsidRPr="00191003">
        <w:t xml:space="preserve"> the way in which they are organised within the panels (they do not occupy the </w:t>
      </w:r>
      <w:r>
        <w:t>central</w:t>
      </w:r>
      <w:r w:rsidRPr="00191003">
        <w:t xml:space="preserve"> part of the space but have a sort of casual location within the pictorial space). All these themes have a direct parallel with other larnakes </w:t>
      </w:r>
      <w:r>
        <w:t>but</w:t>
      </w:r>
      <w:r w:rsidRPr="00191003">
        <w:t xml:space="preserve"> are not very common in </w:t>
      </w:r>
      <w:r>
        <w:t xml:space="preserve">the </w:t>
      </w:r>
      <w:r w:rsidRPr="00191003">
        <w:t>pottery repertoire (</w:t>
      </w:r>
      <w:r>
        <w:t>e.g. the</w:t>
      </w:r>
      <w:r w:rsidRPr="00191003">
        <w:t xml:space="preserve"> bull-leaping scene </w:t>
      </w:r>
      <w:r>
        <w:t>on</w:t>
      </w:r>
      <w:r w:rsidRPr="00191003">
        <w:t xml:space="preserve"> one larnax from Tanagra; ship images on the painted larnax from Gazi; for all the other themes and specific references</w:t>
      </w:r>
      <w:r>
        <w:t>, see</w:t>
      </w:r>
      <w:r w:rsidRPr="00191003">
        <w:t xml:space="preserve"> Karetsou</w:t>
      </w:r>
      <w:r>
        <w:t xml:space="preserve"> and </w:t>
      </w:r>
      <w:r w:rsidRPr="00191003">
        <w:t>Girella 2015: 83-114).</w:t>
      </w:r>
    </w:p>
    <w:p w14:paraId="75C2D6F2" w14:textId="3A4D3075" w:rsidR="00D726B2" w:rsidRPr="00191003" w:rsidRDefault="00D726B2" w:rsidP="00E858EF">
      <w:pPr>
        <w:suppressAutoHyphens/>
      </w:pPr>
      <w:r>
        <w:tab/>
      </w:r>
      <w:r w:rsidRPr="00191003">
        <w:t>Furthermore</w:t>
      </w:r>
      <w:r>
        <w:t>,</w:t>
      </w:r>
      <w:r w:rsidRPr="00191003">
        <w:t xml:space="preserve"> the </w:t>
      </w:r>
      <w:r>
        <w:t>method</w:t>
      </w:r>
      <w:r w:rsidRPr="00191003">
        <w:t xml:space="preserve"> and style in which the decoration </w:t>
      </w:r>
      <w:r>
        <w:t>is</w:t>
      </w:r>
      <w:r w:rsidRPr="00191003">
        <w:t xml:space="preserve"> arranged </w:t>
      </w:r>
      <w:r>
        <w:t>are</w:t>
      </w:r>
      <w:r w:rsidRPr="00191003">
        <w:t xml:space="preserve"> also unique</w:t>
      </w:r>
      <w:r>
        <w:t>.</w:t>
      </w:r>
      <w:r w:rsidRPr="00191003">
        <w:t xml:space="preserve"> </w:t>
      </w:r>
      <w:r>
        <w:t>I</w:t>
      </w:r>
      <w:r w:rsidRPr="00191003">
        <w:t>n the main panel there are no division</w:t>
      </w:r>
      <w:r>
        <w:t>s,</w:t>
      </w:r>
      <w:r w:rsidRPr="00191003">
        <w:t xml:space="preserve"> it is difficult to identify the order to follow to describe/read the composition</w:t>
      </w:r>
      <w:r>
        <w:t>,</w:t>
      </w:r>
      <w:r w:rsidRPr="00191003">
        <w:t xml:space="preserve"> and the pictorial space seems </w:t>
      </w:r>
      <w:r>
        <w:t>disordered</w:t>
      </w:r>
      <w:r w:rsidRPr="00191003">
        <w:t xml:space="preserve"> (this has been interpreted as a sort of </w:t>
      </w:r>
      <w:r w:rsidRPr="00191003">
        <w:rPr>
          <w:i/>
        </w:rPr>
        <w:t>horror vacui</w:t>
      </w:r>
      <w:r>
        <w:t>: Karetsou and Girella 2015: 71</w:t>
      </w:r>
      <w:r w:rsidR="009464EC">
        <w:t>)</w:t>
      </w:r>
      <w:r w:rsidRPr="00191003">
        <w:t xml:space="preserve">. The only element </w:t>
      </w:r>
      <w:r>
        <w:t xml:space="preserve">it </w:t>
      </w:r>
      <w:r w:rsidRPr="00191003">
        <w:t xml:space="preserve">is possible to distinguish concerns the orientation of the </w:t>
      </w:r>
      <w:r>
        <w:t>motif</w:t>
      </w:r>
      <w:r w:rsidRPr="00191003">
        <w:t xml:space="preserve">s and of the main themes, which are oriented from right to left in all </w:t>
      </w:r>
      <w:r>
        <w:t xml:space="preserve">the </w:t>
      </w:r>
      <w:r w:rsidRPr="00191003">
        <w:t>panels</w:t>
      </w:r>
      <w:r>
        <w:t>,</w:t>
      </w:r>
      <w:r w:rsidRPr="00191003">
        <w:t xml:space="preserve"> except for one of the short side</w:t>
      </w:r>
      <w:r>
        <w:t>s,</w:t>
      </w:r>
      <w:r w:rsidRPr="00191003">
        <w:t xml:space="preserve"> </w:t>
      </w:r>
      <w:r>
        <w:t>o</w:t>
      </w:r>
      <w:r w:rsidRPr="00191003">
        <w:t xml:space="preserve">n which the orientation is inverted. All these characteristics, together with the way in which </w:t>
      </w:r>
      <w:r>
        <w:t>the motif</w:t>
      </w:r>
      <w:r w:rsidRPr="00191003">
        <w:t>s are rendered (i.e. human figures with solid head</w:t>
      </w:r>
      <w:r>
        <w:t>s</w:t>
      </w:r>
      <w:r w:rsidRPr="00191003">
        <w:t xml:space="preserve"> in silhouette) make the larnax difficult to date (Karetsou</w:t>
      </w:r>
      <w:r>
        <w:t xml:space="preserve"> and</w:t>
      </w:r>
      <w:r w:rsidRPr="00191003">
        <w:t xml:space="preserve"> Girella 2015: 75). </w:t>
      </w:r>
    </w:p>
    <w:p w14:paraId="4EBD07F6" w14:textId="77777777" w:rsidR="00D726B2" w:rsidRPr="00191003" w:rsidRDefault="00D726B2" w:rsidP="00E858EF">
      <w:pPr>
        <w:pStyle w:val="Paragrafoelenco"/>
        <w:suppressAutoHyphens/>
        <w:ind w:left="0"/>
      </w:pPr>
    </w:p>
    <w:p w14:paraId="44E7408F" w14:textId="77777777" w:rsidR="00D726B2" w:rsidRPr="00191003" w:rsidRDefault="00D726B2" w:rsidP="00E858EF">
      <w:pPr>
        <w:pStyle w:val="Paragrafoelenco"/>
        <w:numPr>
          <w:ilvl w:val="0"/>
          <w:numId w:val="87"/>
        </w:numPr>
        <w:suppressAutoHyphens/>
        <w:spacing w:after="160"/>
      </w:pPr>
      <w:r w:rsidRPr="00191003">
        <w:rPr>
          <w:b/>
        </w:rPr>
        <w:t xml:space="preserve">15 Kalochorafitis Anevolema </w:t>
      </w:r>
      <w:r>
        <w:rPr>
          <w:b/>
        </w:rPr>
        <w:t>L</w:t>
      </w:r>
      <w:r w:rsidRPr="00191003">
        <w:rPr>
          <w:b/>
        </w:rPr>
        <w:t>arnax C</w:t>
      </w:r>
      <w:r>
        <w:t xml:space="preserve"> (all o</w:t>
      </w:r>
      <w:r w:rsidRPr="00191003">
        <w:t xml:space="preserve">n short side D) (Karetsou </w:t>
      </w:r>
      <w:r>
        <w:t xml:space="preserve">and </w:t>
      </w:r>
      <w:r w:rsidRPr="00191003">
        <w:t>Girella 2015: 1</w:t>
      </w:r>
      <w:r>
        <w:t>28</w:t>
      </w:r>
      <w:r w:rsidRPr="00191003">
        <w:t>-136</w:t>
      </w:r>
      <w:r>
        <w:t xml:space="preserve"> fig. 5.1-5.6</w:t>
      </w:r>
      <w:r w:rsidRPr="00191003">
        <w:t>)</w:t>
      </w:r>
      <w:r>
        <w:t>:</w:t>
      </w:r>
    </w:p>
    <w:p w14:paraId="76A47FC5" w14:textId="77777777" w:rsidR="00D726B2" w:rsidRPr="00191003" w:rsidRDefault="00D726B2" w:rsidP="00E858EF">
      <w:pPr>
        <w:pStyle w:val="Paragrafoelenco"/>
        <w:numPr>
          <w:ilvl w:val="0"/>
          <w:numId w:val="79"/>
        </w:numPr>
        <w:suppressAutoHyphens/>
        <w:spacing w:after="160"/>
      </w:pPr>
      <w:r w:rsidRPr="00191003">
        <w:t xml:space="preserve">Model boat </w:t>
      </w:r>
    </w:p>
    <w:p w14:paraId="1FC68FE5" w14:textId="77777777" w:rsidR="00D726B2" w:rsidRPr="00191003" w:rsidRDefault="00D726B2" w:rsidP="00E858EF">
      <w:pPr>
        <w:pStyle w:val="Paragrafoelenco"/>
        <w:numPr>
          <w:ilvl w:val="0"/>
          <w:numId w:val="79"/>
        </w:numPr>
        <w:suppressAutoHyphens/>
        <w:spacing w:after="160"/>
      </w:pPr>
      <w:r w:rsidRPr="00191003">
        <w:t>Sword</w:t>
      </w:r>
    </w:p>
    <w:p w14:paraId="1F8B0A40" w14:textId="77777777" w:rsidR="00D726B2" w:rsidRPr="00191003" w:rsidRDefault="00D726B2" w:rsidP="00E858EF">
      <w:pPr>
        <w:pStyle w:val="Paragrafoelenco"/>
        <w:numPr>
          <w:ilvl w:val="0"/>
          <w:numId w:val="79"/>
        </w:numPr>
        <w:suppressAutoHyphens/>
        <w:spacing w:after="160"/>
      </w:pPr>
      <w:r w:rsidRPr="00191003">
        <w:t>Unidentified animal</w:t>
      </w:r>
    </w:p>
    <w:p w14:paraId="34150CB9" w14:textId="77777777" w:rsidR="00D726B2" w:rsidRPr="00191003" w:rsidRDefault="00D726B2" w:rsidP="00E858EF">
      <w:pPr>
        <w:pStyle w:val="Paragrafoelenco"/>
        <w:numPr>
          <w:ilvl w:val="0"/>
          <w:numId w:val="79"/>
        </w:numPr>
        <w:suppressAutoHyphens/>
        <w:spacing w:after="160"/>
      </w:pPr>
      <w:r w:rsidRPr="00191003">
        <w:t>Sistrum (?)</w:t>
      </w:r>
    </w:p>
    <w:p w14:paraId="2695D606" w14:textId="77777777" w:rsidR="00D726B2" w:rsidRPr="00191003" w:rsidRDefault="00D726B2" w:rsidP="00E858EF">
      <w:pPr>
        <w:pStyle w:val="Paragrafoelenco"/>
        <w:numPr>
          <w:ilvl w:val="0"/>
          <w:numId w:val="79"/>
        </w:numPr>
        <w:suppressAutoHyphens/>
        <w:spacing w:after="160"/>
      </w:pPr>
      <w:r w:rsidRPr="00191003">
        <w:t>Brazier (?)</w:t>
      </w:r>
    </w:p>
    <w:p w14:paraId="5D405C39" w14:textId="77777777" w:rsidR="00D726B2" w:rsidRPr="00191003" w:rsidRDefault="00D726B2" w:rsidP="00E858EF">
      <w:pPr>
        <w:suppressAutoHyphens/>
      </w:pPr>
      <w:r>
        <w:tab/>
        <w:t>O</w:t>
      </w:r>
      <w:r w:rsidRPr="00191003">
        <w:t xml:space="preserve">n the larnax </w:t>
      </w:r>
      <w:r>
        <w:t xml:space="preserve">15 </w:t>
      </w:r>
      <w:r w:rsidRPr="00191003">
        <w:t>Kalochorafitis</w:t>
      </w:r>
      <w:r>
        <w:t xml:space="preserve"> Anevolema</w:t>
      </w:r>
      <w:r w:rsidRPr="00191003">
        <w:t xml:space="preserve"> (</w:t>
      </w:r>
      <w:r>
        <w:t>L</w:t>
      </w:r>
      <w:r w:rsidRPr="00191003">
        <w:t>arnax C from the tomb</w:t>
      </w:r>
      <w:r>
        <w:t xml:space="preserve"> D</w:t>
      </w:r>
      <w:r w:rsidRPr="00191003">
        <w:t xml:space="preserve"> excavated in 2010</w:t>
      </w:r>
      <w:r>
        <w:t xml:space="preserve"> by</w:t>
      </w:r>
      <w:r w:rsidRPr="00191003">
        <w:t xml:space="preserve"> Karetsou</w:t>
      </w:r>
      <w:r>
        <w:t xml:space="preserve"> and</w:t>
      </w:r>
      <w:r w:rsidRPr="00191003">
        <w:t xml:space="preserve"> Girella 2015: 128-136), while both long sides and one short side are decorated with a common motif for larnakes (a stylised octopus with its tentacles, wavy lines ending in spirals, occupying the remaining space of the panel), </w:t>
      </w:r>
      <w:r>
        <w:t>o</w:t>
      </w:r>
      <w:r w:rsidRPr="00191003">
        <w:t>n the other short side</w:t>
      </w:r>
      <w:r>
        <w:t xml:space="preserve"> are</w:t>
      </w:r>
      <w:r w:rsidRPr="00191003">
        <w:t xml:space="preserve"> five human figures carrying different object</w:t>
      </w:r>
      <w:r>
        <w:t>s. The figures</w:t>
      </w:r>
      <w:r w:rsidRPr="00191003">
        <w:t xml:space="preserve"> are distributed in two horizontal panel sections</w:t>
      </w:r>
      <w:r>
        <w:t>,</w:t>
      </w:r>
      <w:r w:rsidRPr="00191003">
        <w:t xml:space="preserve"> one above the other, divided by a line. These human figures </w:t>
      </w:r>
      <w:r>
        <w:t xml:space="preserve">face to the left </w:t>
      </w:r>
      <w:r w:rsidRPr="00191003">
        <w:t>and all except one are carrying different object</w:t>
      </w:r>
      <w:r>
        <w:t>s,</w:t>
      </w:r>
      <w:r w:rsidRPr="00191003">
        <w:t xml:space="preserve"> some of which are difficult to identify. Above this scene are depicted horns of consecration</w:t>
      </w:r>
      <w:r>
        <w:t>,</w:t>
      </w:r>
      <w:r w:rsidRPr="00191003">
        <w:t xml:space="preserve"> and on the right</w:t>
      </w:r>
      <w:r>
        <w:t>-</w:t>
      </w:r>
      <w:r w:rsidRPr="00191003">
        <w:t xml:space="preserve">hand side it seems that a stylised column </w:t>
      </w:r>
      <w:r>
        <w:t>is</w:t>
      </w:r>
      <w:r w:rsidRPr="00191003">
        <w:t xml:space="preserve"> represented. The entire scene f</w:t>
      </w:r>
      <w:r>
        <w:t>inds</w:t>
      </w:r>
      <w:r w:rsidRPr="00191003">
        <w:t xml:space="preserve"> </w:t>
      </w:r>
      <w:r>
        <w:t>its</w:t>
      </w:r>
      <w:r w:rsidRPr="00191003">
        <w:t xml:space="preserve"> closest comparison with the procession scene depicted on the </w:t>
      </w:r>
      <w:r>
        <w:t>A</w:t>
      </w:r>
      <w:r w:rsidRPr="00191003">
        <w:t>gia Triada sarcophagus, which was found not far from Kalochorafitis (both the cemeteries belong to the same region</w:t>
      </w:r>
      <w:r>
        <w:t>:</w:t>
      </w:r>
      <w:r w:rsidRPr="00191003">
        <w:t xml:space="preserve"> Mesara) (Karetsou </w:t>
      </w:r>
      <w:r>
        <w:t xml:space="preserve">and </w:t>
      </w:r>
      <w:r w:rsidRPr="00191003">
        <w:t>Girella 2015:136). Architectural settings</w:t>
      </w:r>
      <w:r>
        <w:t>, for example,</w:t>
      </w:r>
      <w:r w:rsidRPr="00191003">
        <w:t xml:space="preserve"> columns</w:t>
      </w:r>
      <w:r>
        <w:t>,</w:t>
      </w:r>
      <w:r w:rsidRPr="00191003">
        <w:t xml:space="preserve"> </w:t>
      </w:r>
      <w:r>
        <w:t>are</w:t>
      </w:r>
      <w:r w:rsidRPr="00191003">
        <w:t xml:space="preserve"> represented in other larnakes as well</w:t>
      </w:r>
      <w:r>
        <w:t>, such as</w:t>
      </w:r>
      <w:r w:rsidRPr="00191003">
        <w:t xml:space="preserve"> Kyparissi Vathia</w:t>
      </w:r>
      <w:r>
        <w:t xml:space="preserve"> and</w:t>
      </w:r>
      <w:r w:rsidRPr="00191003">
        <w:t xml:space="preserve"> Palaikastro</w:t>
      </w:r>
      <w:r>
        <w:t>.</w:t>
      </w:r>
    </w:p>
    <w:p w14:paraId="091EF1D1" w14:textId="77777777" w:rsidR="00D726B2" w:rsidRPr="00191003" w:rsidRDefault="00D726B2" w:rsidP="00E858EF">
      <w:pPr>
        <w:pStyle w:val="Paragrafoelenco"/>
        <w:suppressAutoHyphens/>
      </w:pPr>
    </w:p>
    <w:p w14:paraId="032FA31D" w14:textId="77777777" w:rsidR="00D726B2" w:rsidRPr="00191003" w:rsidRDefault="00D726B2" w:rsidP="00E858EF">
      <w:pPr>
        <w:pStyle w:val="Paragrafoelenco"/>
        <w:numPr>
          <w:ilvl w:val="0"/>
          <w:numId w:val="87"/>
        </w:numPr>
        <w:suppressAutoHyphens/>
        <w:spacing w:after="160"/>
        <w:rPr>
          <w:b/>
        </w:rPr>
      </w:pPr>
      <w:r w:rsidRPr="00191003">
        <w:rPr>
          <w:b/>
        </w:rPr>
        <w:t xml:space="preserve">314 Apodoulou Sopatakia </w:t>
      </w:r>
      <w:r w:rsidRPr="00191003">
        <w:t>(short side D) (Pologiorgi 1990: 209-212, 211</w:t>
      </w:r>
      <w:r>
        <w:t>,</w:t>
      </w:r>
      <w:r w:rsidRPr="00191003">
        <w:t xml:space="preserve"> </w:t>
      </w:r>
      <w:r>
        <w:t>F</w:t>
      </w:r>
      <w:r w:rsidRPr="00191003">
        <w:t>ig. 2)</w:t>
      </w:r>
    </w:p>
    <w:p w14:paraId="55914E40" w14:textId="77777777" w:rsidR="00D726B2" w:rsidRPr="00191003" w:rsidRDefault="00D726B2" w:rsidP="00E858EF">
      <w:pPr>
        <w:pStyle w:val="Paragrafoelenco"/>
        <w:numPr>
          <w:ilvl w:val="0"/>
          <w:numId w:val="79"/>
        </w:numPr>
        <w:suppressAutoHyphens/>
        <w:spacing w:after="160"/>
      </w:pPr>
      <w:r w:rsidRPr="00191003">
        <w:t>Human figure with raised arms rendered in outline</w:t>
      </w:r>
      <w:r>
        <w:t>.</w:t>
      </w:r>
      <w:r w:rsidRPr="00191003">
        <w:t xml:space="preserve"> </w:t>
      </w:r>
    </w:p>
    <w:p w14:paraId="4273C85E" w14:textId="77777777" w:rsidR="00D726B2" w:rsidRPr="00720C69" w:rsidRDefault="00D726B2" w:rsidP="00E858EF">
      <w:pPr>
        <w:suppressAutoHyphens/>
        <w:ind w:left="360"/>
      </w:pPr>
      <w:r w:rsidRPr="00720C69">
        <w:t xml:space="preserve">In one larnax from Apodoulou Sopatakia, on the panel of one short side is a stylised fully painted human figure with raised hands. On the right and left of the human figure are wavy border motifs and an arrow (multiple stem tongue pattern) on the right. </w:t>
      </w:r>
    </w:p>
    <w:p w14:paraId="6EDA83D4" w14:textId="77777777" w:rsidR="00D726B2" w:rsidRPr="00191003" w:rsidRDefault="00D726B2" w:rsidP="00E858EF">
      <w:pPr>
        <w:suppressAutoHyphens/>
        <w:ind w:left="360"/>
      </w:pPr>
    </w:p>
    <w:p w14:paraId="5000595F" w14:textId="77777777" w:rsidR="00D726B2" w:rsidRPr="00191003" w:rsidRDefault="00D726B2" w:rsidP="00E858EF">
      <w:pPr>
        <w:pStyle w:val="Paragrafoelenco"/>
        <w:numPr>
          <w:ilvl w:val="0"/>
          <w:numId w:val="87"/>
        </w:numPr>
        <w:suppressAutoHyphens/>
        <w:spacing w:after="160"/>
        <w:rPr>
          <w:b/>
        </w:rPr>
      </w:pPr>
      <w:r w:rsidRPr="00191003">
        <w:rPr>
          <w:b/>
        </w:rPr>
        <w:t xml:space="preserve">152 Klima MH 30485 </w:t>
      </w:r>
      <w:r w:rsidRPr="00191003">
        <w:t>(long</w:t>
      </w:r>
      <w:r>
        <w:t>-</w:t>
      </w:r>
      <w:r w:rsidRPr="00191003">
        <w:t>side A) (Rethemiotakis 1995:</w:t>
      </w:r>
      <w:r w:rsidRPr="00917F23">
        <w:rPr>
          <w:rFonts w:ascii="Lucida Grande" w:hAnsi="Lucida Grande" w:cs="Lucida Grande"/>
          <w:color w:val="000000"/>
        </w:rPr>
        <w:t xml:space="preserve"> </w:t>
      </w:r>
      <w:r w:rsidRPr="00917F23">
        <w:t>163-181, fig. 3-7, pl. 42 a-b, 43 a-g</w:t>
      </w:r>
      <w:r w:rsidRPr="00191003">
        <w:t>)</w:t>
      </w:r>
      <w:r>
        <w:t>:</w:t>
      </w:r>
    </w:p>
    <w:p w14:paraId="38716701" w14:textId="77777777" w:rsidR="00D726B2" w:rsidRPr="00191003" w:rsidRDefault="00D726B2" w:rsidP="00E858EF">
      <w:pPr>
        <w:pStyle w:val="Paragrafoelenco"/>
        <w:numPr>
          <w:ilvl w:val="0"/>
          <w:numId w:val="79"/>
        </w:numPr>
        <w:suppressAutoHyphens/>
        <w:spacing w:after="160"/>
      </w:pPr>
      <w:r w:rsidRPr="00191003">
        <w:t>Landscape scene (not fully visible</w:t>
      </w:r>
      <w:r>
        <w:t>,</w:t>
      </w:r>
      <w:r w:rsidRPr="00191003">
        <w:t xml:space="preserve"> </w:t>
      </w:r>
      <w:r>
        <w:t>badly</w:t>
      </w:r>
      <w:r w:rsidRPr="00191003">
        <w:t xml:space="preserve"> damaged/faded)</w:t>
      </w:r>
      <w:r>
        <w:t>.</w:t>
      </w:r>
      <w:r w:rsidRPr="00191003">
        <w:t xml:space="preserve"> </w:t>
      </w:r>
      <w:r>
        <w:t>A</w:t>
      </w:r>
      <w:r w:rsidRPr="00191003">
        <w:t>ccording to Rethemiotakis</w:t>
      </w:r>
      <w:r>
        <w:t>’</w:t>
      </w:r>
      <w:r w:rsidRPr="00191003">
        <w:t xml:space="preserve"> description</w:t>
      </w:r>
      <w:r>
        <w:t>,</w:t>
      </w:r>
      <w:r w:rsidRPr="00191003">
        <w:t xml:space="preserve"> it is composed </w:t>
      </w:r>
      <w:r>
        <w:t>of</w:t>
      </w:r>
      <w:r w:rsidRPr="00191003">
        <w:t xml:space="preserve"> rock patterns, curved bands and water plants (papyri?) (Rethemiotakis 1995: 167, 171-181)</w:t>
      </w:r>
      <w:r>
        <w:t>.</w:t>
      </w:r>
    </w:p>
    <w:p w14:paraId="718974DE" w14:textId="77777777" w:rsidR="00D726B2" w:rsidRPr="00191003" w:rsidRDefault="00D726B2" w:rsidP="00E858EF">
      <w:pPr>
        <w:pStyle w:val="Paragrafoelenco"/>
        <w:numPr>
          <w:ilvl w:val="0"/>
          <w:numId w:val="79"/>
        </w:numPr>
        <w:suppressAutoHyphens/>
        <w:spacing w:after="160"/>
      </w:pPr>
      <w:r w:rsidRPr="00191003">
        <w:t>Throne</w:t>
      </w:r>
    </w:p>
    <w:p w14:paraId="41554AE1" w14:textId="77777777" w:rsidR="00D726B2" w:rsidRPr="00191003" w:rsidRDefault="00D726B2" w:rsidP="00E858EF">
      <w:pPr>
        <w:pStyle w:val="Paragrafoelenco"/>
        <w:numPr>
          <w:ilvl w:val="0"/>
          <w:numId w:val="79"/>
        </w:numPr>
        <w:suppressAutoHyphens/>
        <w:spacing w:after="160"/>
      </w:pPr>
      <w:r w:rsidRPr="00191003">
        <w:t>High platform</w:t>
      </w:r>
    </w:p>
    <w:p w14:paraId="002678AD" w14:textId="77777777" w:rsidR="00D726B2" w:rsidRPr="00191003" w:rsidRDefault="00D726B2" w:rsidP="00E858EF">
      <w:pPr>
        <w:pStyle w:val="Paragrafoelenco"/>
        <w:numPr>
          <w:ilvl w:val="0"/>
          <w:numId w:val="79"/>
        </w:numPr>
        <w:suppressAutoHyphens/>
        <w:spacing w:after="160"/>
      </w:pPr>
      <w:r w:rsidRPr="00191003">
        <w:t>Male figure in profile</w:t>
      </w:r>
    </w:p>
    <w:p w14:paraId="5EF03DA4" w14:textId="77777777" w:rsidR="00D726B2" w:rsidRPr="00191003" w:rsidRDefault="00D726B2" w:rsidP="00E858EF">
      <w:pPr>
        <w:suppressAutoHyphens/>
        <w:ind w:left="360"/>
      </w:pPr>
      <w:r>
        <w:tab/>
      </w:r>
      <w:r w:rsidRPr="00191003">
        <w:t>The decoration on one of the long side</w:t>
      </w:r>
      <w:r>
        <w:t>s</w:t>
      </w:r>
      <w:r w:rsidRPr="00191003">
        <w:t xml:space="preserve"> of larnax HM 30485 from Klima </w:t>
      </w:r>
      <w:r>
        <w:t>is problematic</w:t>
      </w:r>
      <w:r w:rsidRPr="00191003">
        <w:t xml:space="preserve"> in terms of </w:t>
      </w:r>
      <w:r>
        <w:t>motif</w:t>
      </w:r>
      <w:r w:rsidRPr="00191003">
        <w:t xml:space="preserve"> identification due to </w:t>
      </w:r>
      <w:r>
        <w:t>its</w:t>
      </w:r>
      <w:r w:rsidRPr="00191003">
        <w:t xml:space="preserve"> </w:t>
      </w:r>
      <w:r>
        <w:t>badly</w:t>
      </w:r>
      <w:r w:rsidRPr="00191003">
        <w:t xml:space="preserve"> fragmented condition </w:t>
      </w:r>
      <w:r>
        <w:t xml:space="preserve">and </w:t>
      </w:r>
      <w:r w:rsidRPr="00191003">
        <w:t xml:space="preserve">the faded decoration. This is true especially for the </w:t>
      </w:r>
      <w:r>
        <w:t>motif</w:t>
      </w:r>
      <w:r w:rsidRPr="00191003">
        <w:t>s depicted on the left</w:t>
      </w:r>
      <w:r>
        <w:t>-</w:t>
      </w:r>
      <w:r w:rsidRPr="00191003">
        <w:t>hand</w:t>
      </w:r>
      <w:r>
        <w:t xml:space="preserve"> side</w:t>
      </w:r>
      <w:r w:rsidRPr="00191003">
        <w:t xml:space="preserve"> (described as a landscape scene but</w:t>
      </w:r>
      <w:r>
        <w:t xml:space="preserve"> it seems </w:t>
      </w:r>
      <w:r w:rsidRPr="00191003">
        <w:t xml:space="preserve">to me very difficult to identify). </w:t>
      </w:r>
      <w:r>
        <w:t>On</w:t>
      </w:r>
      <w:r w:rsidRPr="00191003">
        <w:t xml:space="preserve"> the right</w:t>
      </w:r>
      <w:r>
        <w:t>-</w:t>
      </w:r>
      <w:r w:rsidRPr="00191003">
        <w:t xml:space="preserve">hand side </w:t>
      </w:r>
      <w:r>
        <w:t xml:space="preserve">of the </w:t>
      </w:r>
      <w:r w:rsidRPr="00191003">
        <w:t xml:space="preserve">composition of this same panel </w:t>
      </w:r>
      <w:r>
        <w:t>is</w:t>
      </w:r>
      <w:r w:rsidRPr="00191003">
        <w:t xml:space="preserve"> a human figure on a platform (?) and a throne (?) (Rethemiotakis 1995: 171-181, </w:t>
      </w:r>
      <w:r>
        <w:t>F</w:t>
      </w:r>
      <w:r w:rsidRPr="00191003">
        <w:t>ig</w:t>
      </w:r>
      <w:r>
        <w:t>s</w:t>
      </w:r>
      <w:r w:rsidRPr="00191003">
        <w:t>. 4-5).</w:t>
      </w:r>
    </w:p>
    <w:p w14:paraId="4179B0A5" w14:textId="77777777" w:rsidR="00D726B2" w:rsidRPr="00191003" w:rsidRDefault="00D726B2" w:rsidP="00E858EF">
      <w:pPr>
        <w:pStyle w:val="Paragrafoelenco"/>
        <w:suppressAutoHyphens/>
      </w:pPr>
    </w:p>
    <w:p w14:paraId="747A79AA" w14:textId="77777777" w:rsidR="00D726B2" w:rsidRPr="00191003" w:rsidRDefault="00D726B2" w:rsidP="00E858EF">
      <w:pPr>
        <w:pStyle w:val="Paragrafoelenco"/>
        <w:numPr>
          <w:ilvl w:val="0"/>
          <w:numId w:val="87"/>
        </w:numPr>
        <w:suppressAutoHyphens/>
        <w:spacing w:after="160"/>
        <w:rPr>
          <w:b/>
        </w:rPr>
      </w:pPr>
      <w:r w:rsidRPr="00191003">
        <w:rPr>
          <w:b/>
        </w:rPr>
        <w:t xml:space="preserve">154 Klima </w:t>
      </w:r>
      <w:r>
        <w:rPr>
          <w:b/>
        </w:rPr>
        <w:t>L</w:t>
      </w:r>
      <w:r w:rsidRPr="00191003">
        <w:rPr>
          <w:b/>
        </w:rPr>
        <w:t xml:space="preserve">arnax IV </w:t>
      </w:r>
      <w:r w:rsidRPr="00E7753F">
        <w:t>(long</w:t>
      </w:r>
      <w:r>
        <w:t>-side</w:t>
      </w:r>
      <w:r w:rsidRPr="00E7753F">
        <w:t xml:space="preserve"> A)</w:t>
      </w:r>
      <w:r w:rsidRPr="00191003">
        <w:rPr>
          <w:b/>
        </w:rPr>
        <w:t xml:space="preserve"> </w:t>
      </w:r>
      <w:r w:rsidRPr="00191003">
        <w:t>(Rethemiotakis 1995: 167,</w:t>
      </w:r>
      <w:r w:rsidRPr="00B130F6">
        <w:rPr>
          <w:rFonts w:ascii="Lucida Grande" w:hAnsi="Lucida Grande" w:cs="Lucida Grande"/>
          <w:color w:val="000000"/>
        </w:rPr>
        <w:t xml:space="preserve"> </w:t>
      </w:r>
      <w:r>
        <w:t xml:space="preserve">163-181, pl. 45 g, </w:t>
      </w:r>
      <w:r w:rsidRPr="00B130F6">
        <w:t>46 a-b</w:t>
      </w:r>
      <w:r w:rsidRPr="00191003">
        <w:t>)</w:t>
      </w:r>
      <w:r>
        <w:t>:</w:t>
      </w:r>
    </w:p>
    <w:p w14:paraId="199A52CA" w14:textId="77777777" w:rsidR="00D726B2" w:rsidRPr="00191003" w:rsidRDefault="00D726B2" w:rsidP="00E858EF">
      <w:pPr>
        <w:pStyle w:val="Paragrafoelenco"/>
        <w:numPr>
          <w:ilvl w:val="0"/>
          <w:numId w:val="79"/>
        </w:numPr>
        <w:suppressAutoHyphens/>
        <w:spacing w:after="160"/>
      </w:pPr>
      <w:r w:rsidRPr="00191003">
        <w:t>Rayed circles (side A)</w:t>
      </w:r>
    </w:p>
    <w:p w14:paraId="5066D5BD" w14:textId="77777777" w:rsidR="00D726B2" w:rsidRPr="00191003" w:rsidRDefault="00D726B2" w:rsidP="00E858EF">
      <w:pPr>
        <w:pStyle w:val="Paragrafoelenco"/>
        <w:numPr>
          <w:ilvl w:val="0"/>
          <w:numId w:val="79"/>
        </w:numPr>
        <w:suppressAutoHyphens/>
        <w:spacing w:after="160"/>
      </w:pPr>
      <w:r w:rsidRPr="00191003">
        <w:t>Circle with irregular pattern of dots (sea urchin?) (side A)</w:t>
      </w:r>
    </w:p>
    <w:p w14:paraId="1422A302" w14:textId="77777777" w:rsidR="00D726B2" w:rsidRPr="00191003" w:rsidRDefault="00D726B2" w:rsidP="00E858EF">
      <w:pPr>
        <w:suppressAutoHyphens/>
        <w:ind w:left="360"/>
      </w:pPr>
      <w:r>
        <w:tab/>
      </w:r>
      <w:r w:rsidRPr="00191003">
        <w:t>This larnax</w:t>
      </w:r>
      <w:r>
        <w:t>,</w:t>
      </w:r>
      <w:r w:rsidRPr="00191003">
        <w:t xml:space="preserve"> for stylistic reason</w:t>
      </w:r>
      <w:r>
        <w:t>s</w:t>
      </w:r>
      <w:r w:rsidRPr="00191003">
        <w:t xml:space="preserve"> and space organi</w:t>
      </w:r>
      <w:r>
        <w:t>s</w:t>
      </w:r>
      <w:r w:rsidRPr="00191003">
        <w:t>ation</w:t>
      </w:r>
      <w:r>
        <w:t>,</w:t>
      </w:r>
      <w:r w:rsidRPr="00191003">
        <w:t xml:space="preserve"> </w:t>
      </w:r>
      <w:r>
        <w:t>is reminiscent of</w:t>
      </w:r>
      <w:r w:rsidRPr="00191003">
        <w:t xml:space="preserve"> </w:t>
      </w:r>
      <w:r>
        <w:t>L</w:t>
      </w:r>
      <w:r w:rsidRPr="00191003">
        <w:t>arnax 06 Kalochorafitis Anevolema HM 20590</w:t>
      </w:r>
    </w:p>
    <w:p w14:paraId="0FD4340F" w14:textId="77777777" w:rsidR="00D726B2" w:rsidRPr="00191003" w:rsidRDefault="00D726B2" w:rsidP="00E858EF">
      <w:pPr>
        <w:pStyle w:val="Paragrafoelenco"/>
        <w:suppressAutoHyphens/>
      </w:pPr>
    </w:p>
    <w:p w14:paraId="5ADDDCFE" w14:textId="77777777" w:rsidR="00D726B2" w:rsidRPr="00191003" w:rsidRDefault="00D726B2" w:rsidP="00E858EF">
      <w:pPr>
        <w:suppressAutoHyphens/>
      </w:pPr>
      <w:r>
        <w:tab/>
      </w:r>
      <w:r w:rsidRPr="00191003">
        <w:t xml:space="preserve">It </w:t>
      </w:r>
      <w:r>
        <w:t>is</w:t>
      </w:r>
      <w:r w:rsidRPr="00191003">
        <w:t xml:space="preserve"> worth </w:t>
      </w:r>
      <w:r>
        <w:t>noting</w:t>
      </w:r>
      <w:r w:rsidRPr="00191003">
        <w:t xml:space="preserve"> that in term</w:t>
      </w:r>
      <w:r>
        <w:t>s</w:t>
      </w:r>
      <w:r w:rsidRPr="00191003">
        <w:t xml:space="preserve"> of distribution between the coffin sides, these </w:t>
      </w:r>
      <w:r>
        <w:t>motif</w:t>
      </w:r>
      <w:r w:rsidRPr="00191003">
        <w:t>s are distributed all around the four sides in the case of the larnax</w:t>
      </w:r>
      <w:r>
        <w:t xml:space="preserve"> from Kalochorafitis Anevolema</w:t>
      </w:r>
      <w:r w:rsidRPr="00191003">
        <w:t xml:space="preserve"> 06 Kalochorafitis Anevolema HM 20590</w:t>
      </w:r>
      <w:r>
        <w:t>;</w:t>
      </w:r>
      <w:r w:rsidRPr="00191003">
        <w:t xml:space="preserve"> while in the other cases they are gathered </w:t>
      </w:r>
      <w:r>
        <w:t>o</w:t>
      </w:r>
      <w:r w:rsidRPr="00191003">
        <w:t>n one side</w:t>
      </w:r>
      <w:r>
        <w:t>:</w:t>
      </w:r>
      <w:r w:rsidRPr="00191003">
        <w:t xml:space="preserve"> in two cases on one of the short side</w:t>
      </w:r>
      <w:r>
        <w:t>s</w:t>
      </w:r>
      <w:r w:rsidRPr="00191003">
        <w:t xml:space="preserve"> (314 Apodoulou Sopatakia and 15 Kalochorafitis Anevolema </w:t>
      </w:r>
      <w:r>
        <w:t>L</w:t>
      </w:r>
      <w:r w:rsidRPr="00191003">
        <w:t xml:space="preserve">arnax C), </w:t>
      </w:r>
      <w:r>
        <w:t>and o</w:t>
      </w:r>
      <w:r w:rsidRPr="00191003">
        <w:t>n other two larnakes from Klima they appear on one of the long sides.</w:t>
      </w:r>
    </w:p>
    <w:p w14:paraId="0C73E94C" w14:textId="77777777" w:rsidR="00D726B2" w:rsidRPr="00191003" w:rsidRDefault="00D726B2" w:rsidP="00E858EF">
      <w:pPr>
        <w:suppressAutoHyphens/>
      </w:pPr>
    </w:p>
    <w:p w14:paraId="55C9C719" w14:textId="5B98DCE1" w:rsidR="00D726B2" w:rsidRPr="00191003" w:rsidRDefault="00D726B2" w:rsidP="00E858EF">
      <w:pPr>
        <w:pStyle w:val="Titolo4"/>
        <w:keepNext w:val="0"/>
        <w:keepLines w:val="0"/>
        <w:suppressAutoHyphens/>
      </w:pPr>
      <w:bookmarkStart w:id="1092" w:name="_Toc517807598"/>
      <w:r>
        <w:t>Motif</w:t>
      </w:r>
      <w:r w:rsidRPr="00191003">
        <w:t>s occurrence</w:t>
      </w:r>
      <w:bookmarkEnd w:id="1092"/>
    </w:p>
    <w:p w14:paraId="38E7F6A7" w14:textId="42530AC0" w:rsidR="00D726B2" w:rsidRPr="00191003" w:rsidRDefault="00D726B2" w:rsidP="00E858EF">
      <w:pPr>
        <w:suppressAutoHyphens/>
      </w:pPr>
      <w:r w:rsidRPr="00191003">
        <w:t xml:space="preserve">The total number of identified </w:t>
      </w:r>
      <w:r>
        <w:t>motif</w:t>
      </w:r>
      <w:r w:rsidRPr="00191003">
        <w:t>s (</w:t>
      </w:r>
      <w:r w:rsidR="005D54EA">
        <w:t>Furumark</w:t>
      </w:r>
      <w:r w:rsidRPr="00191003">
        <w:t xml:space="preserve"> </w:t>
      </w:r>
      <w:r>
        <w:t>motif</w:t>
      </w:r>
      <w:r w:rsidRPr="00191003">
        <w:t xml:space="preserve">s) </w:t>
      </w:r>
      <w:r>
        <w:t>is</w:t>
      </w:r>
      <w:r w:rsidRPr="00191003">
        <w:rPr>
          <w:b/>
        </w:rPr>
        <w:t xml:space="preserve"> </w:t>
      </w:r>
      <w:r w:rsidRPr="00E7753F">
        <w:t>38</w:t>
      </w:r>
      <w:r w:rsidRPr="00191003">
        <w:t xml:space="preserve">. They are distributed within the sample of the 23 securely decorated larnakes for which there </w:t>
      </w:r>
      <w:r>
        <w:t>is</w:t>
      </w:r>
      <w:r w:rsidRPr="00191003">
        <w:t xml:space="preserve"> information </w:t>
      </w:r>
      <w:r>
        <w:t>regarding decoration. Wavy lines (FM 53:</w:t>
      </w:r>
      <w:r w:rsidRPr="00191003">
        <w:t xml:space="preserve"> 15 larnakes) </w:t>
      </w:r>
      <w:r>
        <w:t>are</w:t>
      </w:r>
      <w:r w:rsidRPr="00191003">
        <w:t xml:space="preserve"> the most common motif, followed by palm tree</w:t>
      </w:r>
      <w:r>
        <w:t>s (FM 15:</w:t>
      </w:r>
      <w:r w:rsidRPr="00191003">
        <w:t xml:space="preserve"> 8 larnakes)</w:t>
      </w:r>
      <w:r>
        <w:t>,</w:t>
      </w:r>
      <w:r w:rsidRPr="00191003">
        <w:t xml:space="preserve"> </w:t>
      </w:r>
      <w:r>
        <w:t>a</w:t>
      </w:r>
      <w:r w:rsidRPr="00191003">
        <w:t>rgonaut</w:t>
      </w:r>
      <w:r>
        <w:t>s (FM 22: 7 larnakes) and papyri (FM 11:</w:t>
      </w:r>
      <w:r w:rsidRPr="00191003">
        <w:t xml:space="preserve"> 6 larnakes). The vast majority of </w:t>
      </w:r>
      <w:r>
        <w:t>motif</w:t>
      </w:r>
      <w:r w:rsidRPr="00191003">
        <w:t xml:space="preserve">s </w:t>
      </w:r>
      <w:r>
        <w:t>only occur once</w:t>
      </w:r>
      <w:r w:rsidRPr="00191003">
        <w:t xml:space="preserve"> (11 </w:t>
      </w:r>
      <w:r>
        <w:t>motif</w:t>
      </w:r>
      <w:r w:rsidRPr="00191003">
        <w:t xml:space="preserve">s found only </w:t>
      </w:r>
      <w:r>
        <w:t>o</w:t>
      </w:r>
      <w:r w:rsidRPr="00191003">
        <w:t xml:space="preserve">n one larnax). </w:t>
      </w:r>
    </w:p>
    <w:p w14:paraId="35EE4613" w14:textId="77777777" w:rsidR="00D726B2" w:rsidRDefault="00D726B2" w:rsidP="00E858EF">
      <w:pPr>
        <w:suppressAutoHyphens/>
        <w:sectPr w:rsidR="00D726B2" w:rsidSect="00C96815">
          <w:pgSz w:w="11900" w:h="16840"/>
          <w:pgMar w:top="1418" w:right="1134" w:bottom="1134" w:left="2268" w:header="709" w:footer="709" w:gutter="0"/>
          <w:cols w:space="708"/>
          <w:docGrid w:linePitch="360"/>
        </w:sectPr>
      </w:pPr>
    </w:p>
    <w:p w14:paraId="110325D7" w14:textId="09DD9F1C" w:rsidR="00D726B2" w:rsidRDefault="00D726B2" w:rsidP="00E858EF">
      <w:pPr>
        <w:pStyle w:val="Didascalia"/>
        <w:suppressAutoHyphens/>
      </w:pPr>
      <w:bookmarkStart w:id="1093" w:name="_Toc520212465"/>
      <w:r w:rsidRPr="00E7753F">
        <w:rPr>
          <w:noProof/>
          <w:lang w:val="it-IT"/>
        </w:rPr>
        <w:drawing>
          <wp:inline distT="0" distB="0" distL="0" distR="0" wp14:anchorId="4E15E8D4" wp14:editId="11FE81DB">
            <wp:extent cx="5676853" cy="9007522"/>
            <wp:effectExtent l="0" t="0" r="635" b="3175"/>
            <wp:docPr id="192" name="Gra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bookmarkEnd w:id="1093"/>
    </w:p>
    <w:p w14:paraId="40CF61E7" w14:textId="32445BAB" w:rsidR="005F65FC" w:rsidRDefault="005F65FC" w:rsidP="005F65FC">
      <w:pPr>
        <w:pStyle w:val="Didascalia"/>
        <w:sectPr w:rsidR="005F65FC" w:rsidSect="00F71C84">
          <w:pgSz w:w="11900" w:h="16840"/>
          <w:pgMar w:top="907" w:right="907" w:bottom="1134" w:left="2268" w:header="709" w:footer="709" w:gutter="0"/>
          <w:cols w:space="708"/>
          <w:docGrid w:linePitch="360"/>
        </w:sectPr>
      </w:pPr>
      <w:bookmarkStart w:id="1094" w:name="_Toc520212466"/>
      <w:r w:rsidRPr="00D379AD">
        <w:t>Fig</w:t>
      </w:r>
      <w:r>
        <w:t>ure</w:t>
      </w:r>
      <w:r w:rsidRPr="00D379AD">
        <w:t xml:space="preserve"> 5</w:t>
      </w:r>
      <w:r>
        <w:t>-72</w:t>
      </w:r>
      <w:r w:rsidR="009E530B">
        <w:t>.</w:t>
      </w:r>
      <w:r>
        <w:t xml:space="preserve"> Furumark motif occurrence on</w:t>
      </w:r>
      <w:r w:rsidRPr="005944CF">
        <w:t xml:space="preserve"> </w:t>
      </w:r>
      <w:r>
        <w:t>larnakes from the Mesara area</w:t>
      </w:r>
      <w:bookmarkEnd w:id="1094"/>
    </w:p>
    <w:p w14:paraId="6EEBA89E" w14:textId="77777777" w:rsidR="00D726B2" w:rsidRPr="00191003" w:rsidRDefault="00D726B2" w:rsidP="00E858EF">
      <w:pPr>
        <w:suppressAutoHyphens/>
      </w:pPr>
      <w:r>
        <w:t>Regarding</w:t>
      </w:r>
      <w:r w:rsidRPr="00191003">
        <w:t xml:space="preserve"> the general occurrence of </w:t>
      </w:r>
      <w:r>
        <w:t>motif</w:t>
      </w:r>
      <w:r w:rsidRPr="00191003">
        <w:t>s (</w:t>
      </w:r>
      <w:r>
        <w:t xml:space="preserve">i.e. </w:t>
      </w:r>
      <w:r w:rsidRPr="00191003">
        <w:t xml:space="preserve">how many times they occur </w:t>
      </w:r>
      <w:r>
        <w:t>on</w:t>
      </w:r>
      <w:r w:rsidRPr="00191003">
        <w:t xml:space="preserve"> the larnakes)</w:t>
      </w:r>
      <w:r>
        <w:t>, the following can be noted specifically</w:t>
      </w:r>
      <w:r w:rsidRPr="00191003">
        <w:t>:</w:t>
      </w:r>
    </w:p>
    <w:p w14:paraId="61B09D19" w14:textId="77777777" w:rsidR="00D726B2" w:rsidRPr="00191003" w:rsidRDefault="00D726B2" w:rsidP="00E858EF">
      <w:pPr>
        <w:pStyle w:val="Paragrafoelenco"/>
        <w:numPr>
          <w:ilvl w:val="0"/>
          <w:numId w:val="88"/>
        </w:numPr>
        <w:suppressAutoHyphens/>
        <w:spacing w:after="160"/>
      </w:pPr>
      <w:r w:rsidRPr="00191003">
        <w:t xml:space="preserve">Wavy lines (FM 53): </w:t>
      </w:r>
      <w:r>
        <w:t>o</w:t>
      </w:r>
      <w:r w:rsidRPr="00191003">
        <w:t>n two larnakes</w:t>
      </w:r>
      <w:r>
        <w:t>,</w:t>
      </w:r>
      <w:r w:rsidRPr="00191003">
        <w:t xml:space="preserve"> one from Kalochorafitis Anevolema </w:t>
      </w:r>
      <w:r>
        <w:t xml:space="preserve">(8 Kalochorafitis Anevolema </w:t>
      </w:r>
      <w:r w:rsidRPr="00191003">
        <w:t>HM 20587</w:t>
      </w:r>
      <w:r>
        <w:t xml:space="preserve">: </w:t>
      </w:r>
      <w:r w:rsidRPr="00191003">
        <w:t>Karetsou</w:t>
      </w:r>
      <w:r>
        <w:t xml:space="preserve"> and</w:t>
      </w:r>
      <w:r w:rsidRPr="00191003">
        <w:t xml:space="preserve"> Girella 2015: 49-50 </w:t>
      </w:r>
      <w:r>
        <w:t>F</w:t>
      </w:r>
      <w:r w:rsidRPr="00191003">
        <w:t xml:space="preserve">ig. 3.2 a-c) and </w:t>
      </w:r>
      <w:r>
        <w:t>o</w:t>
      </w:r>
      <w:r w:rsidRPr="00191003">
        <w:t xml:space="preserve">n a larnax from Kalochorafitis </w:t>
      </w:r>
      <w:r>
        <w:t>Prinaria</w:t>
      </w:r>
      <w:r w:rsidRPr="00191003">
        <w:t xml:space="preserve"> </w:t>
      </w:r>
      <w:r>
        <w:t xml:space="preserve">(16 Kalochorafitis Prinaria </w:t>
      </w:r>
      <w:r w:rsidRPr="00191003">
        <w:t>HM 13655</w:t>
      </w:r>
      <w:r>
        <w:t xml:space="preserve">: </w:t>
      </w:r>
      <w:r w:rsidRPr="00191003">
        <w:t>Davaras</w:t>
      </w:r>
      <w:r>
        <w:t xml:space="preserve"> and Banou</w:t>
      </w:r>
      <w:r w:rsidRPr="00191003">
        <w:t xml:space="preserve"> 200</w:t>
      </w:r>
      <w:r>
        <w:t>3</w:t>
      </w:r>
      <w:r w:rsidRPr="00191003">
        <w:t>: 63-64 pl. 19)</w:t>
      </w:r>
      <w:r>
        <w:t>,</w:t>
      </w:r>
      <w:r w:rsidRPr="00191003">
        <w:t xml:space="preserve"> wavy lines (FM 53) </w:t>
      </w:r>
      <w:r>
        <w:t xml:space="preserve">are </w:t>
      </w:r>
      <w:r w:rsidRPr="00191003">
        <w:t xml:space="preserve">the only </w:t>
      </w:r>
      <w:r>
        <w:t>motif</w:t>
      </w:r>
      <w:r w:rsidRPr="00191003">
        <w:t xml:space="preserve"> used </w:t>
      </w:r>
      <w:r>
        <w:t>as</w:t>
      </w:r>
      <w:r w:rsidRPr="00191003">
        <w:t xml:space="preserve"> decoration. A pattern formed by vertical wavy lines grouped </w:t>
      </w:r>
      <w:r>
        <w:t xml:space="preserve">together </w:t>
      </w:r>
      <w:r w:rsidRPr="00191003">
        <w:t xml:space="preserve">is repeated many times, </w:t>
      </w:r>
      <w:r>
        <w:t>o</w:t>
      </w:r>
      <w:r w:rsidRPr="00191003">
        <w:t xml:space="preserve">n both larnakes. </w:t>
      </w:r>
    </w:p>
    <w:p w14:paraId="4F87B0E8" w14:textId="77777777" w:rsidR="00D726B2" w:rsidRPr="00191003" w:rsidRDefault="00D726B2" w:rsidP="00E858EF">
      <w:pPr>
        <w:pStyle w:val="Paragrafoelenco"/>
        <w:numPr>
          <w:ilvl w:val="0"/>
          <w:numId w:val="88"/>
        </w:numPr>
        <w:suppressAutoHyphens/>
        <w:spacing w:after="160"/>
      </w:pPr>
      <w:r w:rsidRPr="00191003">
        <w:t>Running spirals (FM 46): in horizontal lines and repeated (</w:t>
      </w:r>
      <w:r>
        <w:t>four</w:t>
      </w:r>
      <w:r w:rsidRPr="00191003">
        <w:t xml:space="preserve"> or more times)</w:t>
      </w:r>
      <w:r>
        <w:t>, these</w:t>
      </w:r>
      <w:r w:rsidRPr="00191003">
        <w:t xml:space="preserve"> are the main </w:t>
      </w:r>
      <w:r>
        <w:t>motifs</w:t>
      </w:r>
      <w:r w:rsidRPr="00191003">
        <w:t xml:space="preserve"> for both long panels and </w:t>
      </w:r>
      <w:r>
        <w:t xml:space="preserve">the </w:t>
      </w:r>
      <w:r w:rsidRPr="00191003">
        <w:t xml:space="preserve">long panels of the lid of </w:t>
      </w:r>
      <w:r>
        <w:t xml:space="preserve">a </w:t>
      </w:r>
      <w:r w:rsidRPr="00191003">
        <w:t>larnax from Kalochorafitis Anevolema</w:t>
      </w:r>
      <w:r>
        <w:t xml:space="preserve"> (7 </w:t>
      </w:r>
      <w:r w:rsidRPr="00191003">
        <w:t>Kalochorafitis Anevolema HM 20589</w:t>
      </w:r>
      <w:r>
        <w:t xml:space="preserve">: </w:t>
      </w:r>
      <w:r w:rsidRPr="00191003">
        <w:t>Karetsou</w:t>
      </w:r>
      <w:r>
        <w:t xml:space="preserve"> and</w:t>
      </w:r>
      <w:r w:rsidRPr="00191003">
        <w:t xml:space="preserve"> Girella 2015: 54-57 </w:t>
      </w:r>
      <w:r>
        <w:t>F</w:t>
      </w:r>
      <w:r w:rsidRPr="00191003">
        <w:t>ig. 3.6 a-d)</w:t>
      </w:r>
    </w:p>
    <w:p w14:paraId="239A928B" w14:textId="77777777" w:rsidR="00D726B2" w:rsidRPr="00191003" w:rsidRDefault="00D726B2" w:rsidP="00E858EF">
      <w:pPr>
        <w:pStyle w:val="Paragrafoelenco"/>
        <w:numPr>
          <w:ilvl w:val="0"/>
          <w:numId w:val="88"/>
        </w:numPr>
        <w:suppressAutoHyphens/>
        <w:spacing w:after="160"/>
      </w:pPr>
      <w:r w:rsidRPr="00191003">
        <w:t xml:space="preserve">Argonaut (FM 22): </w:t>
      </w:r>
      <w:r>
        <w:t xml:space="preserve">this motif </w:t>
      </w:r>
      <w:r w:rsidRPr="00191003">
        <w:t xml:space="preserve">occurs more than 28 times in horizontal rows both </w:t>
      </w:r>
      <w:r>
        <w:t>o</w:t>
      </w:r>
      <w:r w:rsidRPr="00191003">
        <w:t>n long</w:t>
      </w:r>
      <w:r>
        <w:t>-</w:t>
      </w:r>
      <w:r w:rsidRPr="00191003">
        <w:t xml:space="preserve">side panels and </w:t>
      </w:r>
      <w:r>
        <w:t>o</w:t>
      </w:r>
      <w:r w:rsidRPr="00191003">
        <w:t>n</w:t>
      </w:r>
      <w:r>
        <w:t xml:space="preserve"> a</w:t>
      </w:r>
      <w:r w:rsidRPr="00191003">
        <w:t xml:space="preserve"> lid </w:t>
      </w:r>
      <w:r>
        <w:t>o</w:t>
      </w:r>
      <w:r w:rsidRPr="00191003">
        <w:t>n a larnax from Apodoulou Sopatakia (</w:t>
      </w:r>
      <w:r>
        <w:t xml:space="preserve">314 Apodoulou Sopatakia: </w:t>
      </w:r>
      <w:r w:rsidRPr="00191003">
        <w:t xml:space="preserve">Pologiorgi 1990: 207-23) and </w:t>
      </w:r>
      <w:r>
        <w:t>o</w:t>
      </w:r>
      <w:r w:rsidRPr="00191003">
        <w:t>n a larnax from Klima (</w:t>
      </w:r>
      <w:r>
        <w:t xml:space="preserve">153 Klima: </w:t>
      </w:r>
      <w:r w:rsidRPr="00191003">
        <w:t>Rethemiotakis 1995: pl. 44</w:t>
      </w:r>
      <w:r>
        <w:t>, 45</w:t>
      </w:r>
      <w:r w:rsidRPr="00191003">
        <w:t xml:space="preserve">); while </w:t>
      </w:r>
      <w:r>
        <w:t>o</w:t>
      </w:r>
      <w:r w:rsidRPr="00191003">
        <w:t>n another larnax from Klima</w:t>
      </w:r>
      <w:r>
        <w:t xml:space="preserve"> (152 Klima HM 30485: </w:t>
      </w:r>
      <w:r w:rsidRPr="00191003">
        <w:t xml:space="preserve">Rethemiotakis 1995: </w:t>
      </w:r>
      <w:r>
        <w:t>F</w:t>
      </w:r>
      <w:r w:rsidRPr="00191003">
        <w:t>ig</w:t>
      </w:r>
      <w:r>
        <w:t>s</w:t>
      </w:r>
      <w:r w:rsidRPr="00191003">
        <w:t>. 3, 4, 7</w:t>
      </w:r>
      <w:r>
        <w:t>,pl. 42-43</w:t>
      </w:r>
      <w:r w:rsidRPr="00191003">
        <w:t xml:space="preserve"> argonaut</w:t>
      </w:r>
      <w:r>
        <w:t>s</w:t>
      </w:r>
      <w:r w:rsidRPr="00191003">
        <w:t xml:space="preserve"> are distributed in vertical rows and constitute the main decoration motif of </w:t>
      </w:r>
      <w:r>
        <w:t xml:space="preserve">the </w:t>
      </w:r>
      <w:r w:rsidRPr="00191003">
        <w:t xml:space="preserve">frames for all the sides except one short side (Rethemiotakis 1995: </w:t>
      </w:r>
      <w:r>
        <w:t>F</w:t>
      </w:r>
      <w:r w:rsidRPr="00191003">
        <w:t>ig</w:t>
      </w:r>
      <w:r>
        <w:t>s</w:t>
      </w:r>
      <w:r w:rsidRPr="00191003">
        <w:t>. 3, 4, 7)</w:t>
      </w:r>
      <w:r>
        <w:t>.</w:t>
      </w:r>
    </w:p>
    <w:p w14:paraId="7BF4A54D" w14:textId="77777777" w:rsidR="00D726B2" w:rsidRPr="00191003" w:rsidRDefault="00D726B2" w:rsidP="00E858EF">
      <w:pPr>
        <w:pStyle w:val="Paragrafoelenco"/>
        <w:numPr>
          <w:ilvl w:val="0"/>
          <w:numId w:val="88"/>
        </w:numPr>
        <w:suppressAutoHyphens/>
        <w:spacing w:after="160"/>
      </w:pPr>
      <w:r w:rsidRPr="00191003">
        <w:t xml:space="preserve">Isolated semicircles in vertical rows (FM 43) </w:t>
      </w:r>
      <w:r>
        <w:t>are the</w:t>
      </w:r>
      <w:r w:rsidRPr="00191003">
        <w:t xml:space="preserve"> main motif (</w:t>
      </w:r>
      <w:r>
        <w:t xml:space="preserve">i.e. </w:t>
      </w:r>
      <w:r w:rsidRPr="00191003">
        <w:t xml:space="preserve">not a filling motif as usual) repeated many times </w:t>
      </w:r>
      <w:r>
        <w:t>o</w:t>
      </w:r>
      <w:r w:rsidRPr="00191003">
        <w:t>n two larnakes</w:t>
      </w:r>
      <w:r>
        <w:t>,</w:t>
      </w:r>
      <w:r w:rsidRPr="00191003">
        <w:t xml:space="preserve"> one from Kalochorafitis Anevolema</w:t>
      </w:r>
      <w:r>
        <w:t xml:space="preserve"> (8 Kalochorafitis Anevolema HM 20587:</w:t>
      </w:r>
      <w:r w:rsidRPr="00191003">
        <w:t xml:space="preserve"> Karetsou</w:t>
      </w:r>
      <w:r>
        <w:t xml:space="preserve"> and</w:t>
      </w:r>
      <w:r w:rsidRPr="00191003">
        <w:t xml:space="preserve"> Girella 2015: 51-53 </w:t>
      </w:r>
      <w:r>
        <w:t>F</w:t>
      </w:r>
      <w:r w:rsidRPr="00191003">
        <w:t>ig. 3.3 a-d) and the other from Kalochorafitis Prinar</w:t>
      </w:r>
      <w:r>
        <w:t>i</w:t>
      </w:r>
      <w:r w:rsidRPr="00191003">
        <w:t>a (</w:t>
      </w:r>
      <w:r>
        <w:t xml:space="preserve">17 Kalochorafitis Prinaria HM 13654: Davaras and Banou </w:t>
      </w:r>
      <w:r w:rsidRPr="00191003">
        <w:t xml:space="preserve">2003: 64-65 pl. 21) </w:t>
      </w:r>
    </w:p>
    <w:p w14:paraId="73766DC3" w14:textId="77777777" w:rsidR="00D726B2" w:rsidRPr="00191003" w:rsidRDefault="00D726B2" w:rsidP="00E858EF">
      <w:pPr>
        <w:pStyle w:val="Paragrafoelenco"/>
        <w:numPr>
          <w:ilvl w:val="0"/>
          <w:numId w:val="88"/>
        </w:numPr>
        <w:suppressAutoHyphens/>
        <w:spacing w:after="160"/>
      </w:pPr>
      <w:r w:rsidRPr="00191003">
        <w:t xml:space="preserve">Multiple stem and tongue pattern motif (FM 19): </w:t>
      </w:r>
      <w:r>
        <w:t>this</w:t>
      </w:r>
      <w:r w:rsidRPr="00191003">
        <w:t xml:space="preserve"> occurs as </w:t>
      </w:r>
      <w:r>
        <w:t>the</w:t>
      </w:r>
      <w:r w:rsidRPr="00191003">
        <w:t xml:space="preserve"> main decoration motif </w:t>
      </w:r>
      <w:r>
        <w:t>o</w:t>
      </w:r>
      <w:r w:rsidRPr="00191003">
        <w:t xml:space="preserve">n </w:t>
      </w:r>
      <w:r>
        <w:t xml:space="preserve">the </w:t>
      </w:r>
      <w:r w:rsidRPr="00191003">
        <w:t xml:space="preserve">short panels and </w:t>
      </w:r>
      <w:r>
        <w:t xml:space="preserve">the </w:t>
      </w:r>
      <w:r w:rsidRPr="00191003">
        <w:t>left end side of one</w:t>
      </w:r>
      <w:r>
        <w:t xml:space="preserve"> of the</w:t>
      </w:r>
      <w:r w:rsidRPr="00191003">
        <w:t xml:space="preserve"> long panels </w:t>
      </w:r>
      <w:r>
        <w:t>o</w:t>
      </w:r>
      <w:r w:rsidRPr="00191003">
        <w:t xml:space="preserve">n a larnax from Kalochorafitis Anevolema </w:t>
      </w:r>
      <w:r>
        <w:t xml:space="preserve">(8 </w:t>
      </w:r>
      <w:r w:rsidRPr="00191003">
        <w:t>Kalochorafitis Anevolema HM 20587</w:t>
      </w:r>
      <w:r>
        <w:t>:</w:t>
      </w:r>
      <w:r w:rsidRPr="00191003">
        <w:t xml:space="preserve"> Karetsou</w:t>
      </w:r>
      <w:r>
        <w:t xml:space="preserve"> and</w:t>
      </w:r>
      <w:r w:rsidRPr="00191003">
        <w:t xml:space="preserve"> Girella 2015: 51-53 </w:t>
      </w:r>
      <w:r>
        <w:t>F</w:t>
      </w:r>
      <w:r w:rsidRPr="00191003">
        <w:t>ig. 3.3 a-d); this motif also appear</w:t>
      </w:r>
      <w:r>
        <w:t>s</w:t>
      </w:r>
      <w:r w:rsidRPr="00191003">
        <w:t xml:space="preserve"> many times as a filling/supplementary motif </w:t>
      </w:r>
      <w:r>
        <w:t>o</w:t>
      </w:r>
      <w:r w:rsidRPr="00191003">
        <w:t xml:space="preserve">n another larnax from Kalochorafitis </w:t>
      </w:r>
      <w:r>
        <w:t xml:space="preserve">(6 </w:t>
      </w:r>
      <w:r w:rsidRPr="00191003">
        <w:t>Kalochorafitis Anevolema HM 20590</w:t>
      </w:r>
      <w:r>
        <w:t>:</w:t>
      </w:r>
      <w:r w:rsidRPr="00191003">
        <w:t xml:space="preserve"> Karetsou</w:t>
      </w:r>
      <w:r>
        <w:t xml:space="preserve"> and</w:t>
      </w:r>
      <w:r w:rsidRPr="00191003">
        <w:t xml:space="preserve"> Girella 2015: 113-114 </w:t>
      </w:r>
      <w:r>
        <w:t>F</w:t>
      </w:r>
      <w:r w:rsidRPr="00191003">
        <w:t>ig</w:t>
      </w:r>
      <w:r>
        <w:t>s</w:t>
      </w:r>
      <w:r w:rsidRPr="00191003">
        <w:t>. 3.9 -3.12)</w:t>
      </w:r>
      <w:r>
        <w:t>.</w:t>
      </w:r>
    </w:p>
    <w:p w14:paraId="215DB62C" w14:textId="77777777" w:rsidR="00D726B2" w:rsidRPr="00191003" w:rsidRDefault="00D726B2" w:rsidP="00E858EF">
      <w:pPr>
        <w:pStyle w:val="Paragrafoelenco"/>
        <w:numPr>
          <w:ilvl w:val="0"/>
          <w:numId w:val="88"/>
        </w:numPr>
        <w:suppressAutoHyphens/>
        <w:spacing w:after="160"/>
      </w:pPr>
      <w:r w:rsidRPr="00191003">
        <w:t xml:space="preserve">Palm motif (FM 14 and FM 15): </w:t>
      </w:r>
      <w:r>
        <w:t>this</w:t>
      </w:r>
      <w:r w:rsidRPr="00191003">
        <w:t xml:space="preserve"> occurs as the main motif repeated </w:t>
      </w:r>
      <w:r>
        <w:t>o</w:t>
      </w:r>
      <w:r w:rsidRPr="00191003">
        <w:t xml:space="preserve">n all panels </w:t>
      </w:r>
      <w:r>
        <w:t>o</w:t>
      </w:r>
      <w:r w:rsidRPr="00191003">
        <w:t>n a larnax from Apodoulou Frangou to</w:t>
      </w:r>
      <w:r>
        <w:t>u</w:t>
      </w:r>
      <w:r w:rsidRPr="00191003">
        <w:t xml:space="preserve"> Louri </w:t>
      </w:r>
      <w:r>
        <w:t xml:space="preserve">(297 </w:t>
      </w:r>
      <w:r w:rsidRPr="00191003">
        <w:t>Apodoulou Frangou to</w:t>
      </w:r>
      <w:r>
        <w:t>u</w:t>
      </w:r>
      <w:r w:rsidRPr="00191003">
        <w:t xml:space="preserve"> Louri</w:t>
      </w:r>
      <w:r>
        <w:t xml:space="preserve"> </w:t>
      </w:r>
      <w:r w:rsidRPr="00191003">
        <w:t>MR 2342</w:t>
      </w:r>
      <w:r>
        <w:t xml:space="preserve">: </w:t>
      </w:r>
      <w:r w:rsidRPr="008D7C99">
        <w:rPr>
          <w:i/>
        </w:rPr>
        <w:t>ADelt</w:t>
      </w:r>
      <w:r w:rsidRPr="008D7C99">
        <w:t xml:space="preserve"> 34 1979: 401 tav. 213; Pologiorgi </w:t>
      </w:r>
      <w:r>
        <w:t>1987:</w:t>
      </w:r>
      <w:r w:rsidRPr="008D7C99">
        <w:t xml:space="preserve"> 125-160;</w:t>
      </w:r>
      <w:r>
        <w:t xml:space="preserve"> </w:t>
      </w:r>
      <w:r w:rsidRPr="008D7C99">
        <w:t>Spiliotoupoulou 2008: 52, pl.  5 n. 24</w:t>
      </w:r>
      <w:r>
        <w:t>).</w:t>
      </w:r>
    </w:p>
    <w:p w14:paraId="232271DB" w14:textId="77777777" w:rsidR="00D726B2" w:rsidRPr="00191003" w:rsidRDefault="00D726B2" w:rsidP="00E858EF">
      <w:pPr>
        <w:pStyle w:val="Paragrafoelenco"/>
        <w:numPr>
          <w:ilvl w:val="0"/>
          <w:numId w:val="88"/>
        </w:numPr>
        <w:suppressAutoHyphens/>
        <w:spacing w:after="160"/>
      </w:pPr>
      <w:r w:rsidRPr="00191003">
        <w:t xml:space="preserve">Horns of consecration (FM 36): </w:t>
      </w:r>
      <w:r>
        <w:t>these</w:t>
      </w:r>
      <w:r w:rsidRPr="00191003">
        <w:t xml:space="preserve"> occur repeated in horizontal rows </w:t>
      </w:r>
      <w:r>
        <w:t>o</w:t>
      </w:r>
      <w:r w:rsidRPr="00191003">
        <w:t>n the larnax from Apodoulou Sopatakia (</w:t>
      </w:r>
      <w:r>
        <w:t xml:space="preserve">314 Apodoulou Sopatakia: </w:t>
      </w:r>
      <w:r w:rsidRPr="00191003">
        <w:t>Pologiorgi 1990: 207-23)</w:t>
      </w:r>
      <w:r>
        <w:t>.</w:t>
      </w:r>
    </w:p>
    <w:p w14:paraId="7B76970D" w14:textId="77777777" w:rsidR="00D726B2" w:rsidRPr="00191003" w:rsidRDefault="00D726B2" w:rsidP="00E858EF">
      <w:pPr>
        <w:pStyle w:val="Paragrafoelenco"/>
        <w:numPr>
          <w:ilvl w:val="0"/>
          <w:numId w:val="88"/>
        </w:numPr>
        <w:suppressAutoHyphens/>
        <w:spacing w:after="160"/>
      </w:pPr>
      <w:r w:rsidRPr="00191003">
        <w:t xml:space="preserve">Birds (FM 7): a high number birds are distributed </w:t>
      </w:r>
      <w:r>
        <w:t>on</w:t>
      </w:r>
      <w:r w:rsidRPr="00191003">
        <w:t xml:space="preserve"> two larnakes</w:t>
      </w:r>
      <w:r>
        <w:t>,</w:t>
      </w:r>
      <w:r w:rsidRPr="00191003">
        <w:t xml:space="preserve"> one from Kalochorafitis Anevolema HM 20590 (Karetsou</w:t>
      </w:r>
      <w:r>
        <w:t xml:space="preserve"> and</w:t>
      </w:r>
      <w:r w:rsidRPr="00191003">
        <w:t xml:space="preserve"> Girella 2015: 113-114 </w:t>
      </w:r>
      <w:r>
        <w:t>F</w:t>
      </w:r>
      <w:r w:rsidRPr="00191003">
        <w:t>ig</w:t>
      </w:r>
      <w:r>
        <w:t>s</w:t>
      </w:r>
      <w:r w:rsidRPr="00191003">
        <w:t>. 3.9 -3.12)</w:t>
      </w:r>
      <w:r>
        <w:t>,</w:t>
      </w:r>
      <w:r w:rsidRPr="00191003">
        <w:t xml:space="preserve"> and the other from </w:t>
      </w:r>
      <w:r>
        <w:t>Vasilika</w:t>
      </w:r>
      <w:r w:rsidRPr="00191003">
        <w:t xml:space="preserve"> Anogeia (</w:t>
      </w:r>
      <w:r>
        <w:t xml:space="preserve">581 Vasilika Anogeia HM 1612: </w:t>
      </w:r>
      <w:r w:rsidRPr="00191003">
        <w:t>Orsi 1890:</w:t>
      </w:r>
      <w:r>
        <w:t xml:space="preserve"> </w:t>
      </w:r>
      <w:r w:rsidRPr="00191003">
        <w:t>203-208, pl.1.1, 3)</w:t>
      </w:r>
      <w:r>
        <w:t>.</w:t>
      </w:r>
    </w:p>
    <w:p w14:paraId="0F8DCC48" w14:textId="77777777" w:rsidR="00D726B2" w:rsidRPr="00191003" w:rsidRDefault="00D726B2" w:rsidP="00E858EF">
      <w:pPr>
        <w:pStyle w:val="Paragrafoelenco"/>
        <w:numPr>
          <w:ilvl w:val="0"/>
          <w:numId w:val="88"/>
        </w:numPr>
        <w:suppressAutoHyphens/>
        <w:spacing w:after="160"/>
      </w:pPr>
      <w:r w:rsidRPr="00191003">
        <w:t xml:space="preserve">Man (FM 1): </w:t>
      </w:r>
      <w:r>
        <w:t>s</w:t>
      </w:r>
      <w:r w:rsidRPr="00191003">
        <w:t xml:space="preserve">even human figures out of a total of </w:t>
      </w:r>
      <w:r>
        <w:t>14</w:t>
      </w:r>
      <w:r w:rsidRPr="00191003">
        <w:t xml:space="preserve"> </w:t>
      </w:r>
      <w:r>
        <w:t>appear on</w:t>
      </w:r>
      <w:r w:rsidRPr="00191003">
        <w:t xml:space="preserve"> one larnax from Kalochorafitis Anevolema (</w:t>
      </w:r>
      <w:r>
        <w:t>6</w:t>
      </w:r>
      <w:r w:rsidRPr="00AD6103">
        <w:t xml:space="preserve"> </w:t>
      </w:r>
      <w:r w:rsidRPr="00191003">
        <w:t>Kalochorafitis Anevolema HM 20590</w:t>
      </w:r>
      <w:r>
        <w:t>:</w:t>
      </w:r>
      <w:r w:rsidRPr="00191003">
        <w:t xml:space="preserve"> Karetsou </w:t>
      </w:r>
      <w:r>
        <w:t xml:space="preserve">and </w:t>
      </w:r>
      <w:r w:rsidRPr="00191003">
        <w:t xml:space="preserve">Girella 2015: 113-114 </w:t>
      </w:r>
      <w:r>
        <w:t>F</w:t>
      </w:r>
      <w:r w:rsidRPr="00191003">
        <w:t>ig</w:t>
      </w:r>
      <w:r>
        <w:t>s</w:t>
      </w:r>
      <w:r w:rsidRPr="00191003">
        <w:t>. 3.9 -3.12).</w:t>
      </w:r>
    </w:p>
    <w:p w14:paraId="07FBFB3C" w14:textId="77777777" w:rsidR="00D726B2" w:rsidRPr="00191003" w:rsidRDefault="00D726B2" w:rsidP="00E858EF">
      <w:pPr>
        <w:pStyle w:val="Titolo4"/>
        <w:keepNext w:val="0"/>
        <w:keepLines w:val="0"/>
        <w:suppressAutoHyphens/>
      </w:pPr>
      <w:bookmarkStart w:id="1095" w:name="_Toc517807599"/>
      <w:r w:rsidRPr="00191003">
        <w:t>Difference between frames and panel</w:t>
      </w:r>
      <w:r>
        <w:t>s</w:t>
      </w:r>
      <w:bookmarkEnd w:id="1095"/>
    </w:p>
    <w:p w14:paraId="68E1EEA8" w14:textId="77777777" w:rsidR="00D726B2" w:rsidRPr="00191003" w:rsidRDefault="00D726B2" w:rsidP="00E858EF">
      <w:pPr>
        <w:suppressAutoHyphens/>
      </w:pPr>
      <w:r w:rsidRPr="00191003">
        <w:t xml:space="preserve">From </w:t>
      </w:r>
      <w:r>
        <w:t>a</w:t>
      </w:r>
      <w:r w:rsidRPr="00191003">
        <w:t xml:space="preserve"> morphological </w:t>
      </w:r>
      <w:r>
        <w:t>perspective,</w:t>
      </w:r>
      <w:r w:rsidRPr="00191003">
        <w:t xml:space="preserve"> the division between frame</w:t>
      </w:r>
      <w:r>
        <w:t>s</w:t>
      </w:r>
      <w:r w:rsidRPr="00191003">
        <w:t xml:space="preserve"> and panel</w:t>
      </w:r>
      <w:r>
        <w:t>s</w:t>
      </w:r>
      <w:r w:rsidRPr="00191003">
        <w:t xml:space="preserve"> in chest</w:t>
      </w:r>
      <w:r>
        <w:t>-</w:t>
      </w:r>
      <w:r w:rsidRPr="00191003">
        <w:t xml:space="preserve">shaped larnakes from </w:t>
      </w:r>
      <w:r>
        <w:t xml:space="preserve">the </w:t>
      </w:r>
      <w:r w:rsidRPr="00191003">
        <w:t xml:space="preserve">Mesara region is </w:t>
      </w:r>
      <w:r>
        <w:t>often</w:t>
      </w:r>
      <w:r w:rsidRPr="00191003">
        <w:t xml:space="preserve"> rendered through incised panels.</w:t>
      </w:r>
      <w:r>
        <w:t xml:space="preserve"> Regarding</w:t>
      </w:r>
      <w:r w:rsidRPr="00191003">
        <w:t xml:space="preserve"> the sample of decorated larnakes</w:t>
      </w:r>
      <w:r>
        <w:t>, it</w:t>
      </w:r>
      <w:r w:rsidRPr="00191003">
        <w:t xml:space="preserve"> is not possible to determine which exactly </w:t>
      </w:r>
      <w:r>
        <w:t xml:space="preserve">is </w:t>
      </w:r>
      <w:r w:rsidRPr="00191003">
        <w:t>the decoration of the frame for two larnakes due to</w:t>
      </w:r>
      <w:r>
        <w:t xml:space="preserve"> a</w:t>
      </w:r>
      <w:r w:rsidRPr="00191003">
        <w:t xml:space="preserve"> lack</w:t>
      </w:r>
      <w:r>
        <w:t xml:space="preserve"> of information from published</w:t>
      </w:r>
      <w:r w:rsidRPr="00191003">
        <w:t xml:space="preserve"> records (for both th</w:t>
      </w:r>
      <w:r>
        <w:t>e larnakes there are no images in</w:t>
      </w:r>
      <w:r w:rsidRPr="00191003">
        <w:t xml:space="preserve"> </w:t>
      </w:r>
      <w:r>
        <w:t xml:space="preserve">the </w:t>
      </w:r>
      <w:r w:rsidRPr="00191003">
        <w:t>publication</w:t>
      </w:r>
      <w:r>
        <w:t>s)</w:t>
      </w:r>
      <w:r w:rsidRPr="00191003">
        <w:t xml:space="preserve"> </w:t>
      </w:r>
      <w:r>
        <w:t>(</w:t>
      </w:r>
      <w:r w:rsidRPr="00191003">
        <w:t>larnax from Mires</w:t>
      </w:r>
      <w:r>
        <w:t>:</w:t>
      </w:r>
      <w:r w:rsidRPr="00191003">
        <w:t xml:space="preserve"> EEKS 1940</w:t>
      </w:r>
      <w:r>
        <w:t xml:space="preserve">: </w:t>
      </w:r>
      <w:r w:rsidRPr="00191003">
        <w:t>489; Laviosa 1970</w:t>
      </w:r>
      <w:r>
        <w:t>:</w:t>
      </w:r>
      <w:r w:rsidRPr="00191003">
        <w:t xml:space="preserve"> 99 </w:t>
      </w:r>
      <w:r>
        <w:t>ft</w:t>
      </w:r>
      <w:r w:rsidRPr="00191003">
        <w:t xml:space="preserve">. 1; larnax from Stavros Galias </w:t>
      </w:r>
      <w:r w:rsidRPr="00733192">
        <w:rPr>
          <w:i/>
        </w:rPr>
        <w:t>KChr</w:t>
      </w:r>
      <w:r>
        <w:t xml:space="preserve"> 18</w:t>
      </w:r>
      <w:r w:rsidRPr="00191003">
        <w:t xml:space="preserve"> 1963: 405; </w:t>
      </w:r>
      <w:r w:rsidRPr="00733192">
        <w:rPr>
          <w:i/>
        </w:rPr>
        <w:t>ADelt</w:t>
      </w:r>
      <w:r w:rsidRPr="00191003">
        <w:t xml:space="preserve"> 19 1964: 441; Karetsou</w:t>
      </w:r>
      <w:r>
        <w:t xml:space="preserve"> </w:t>
      </w:r>
      <w:r w:rsidRPr="00191003">
        <w:t>1975: 522-526; Kanta 1980: 89-90).</w:t>
      </w:r>
    </w:p>
    <w:p w14:paraId="3E8D9645" w14:textId="77777777" w:rsidR="00D726B2" w:rsidRPr="00191003" w:rsidRDefault="00D726B2" w:rsidP="00E858EF">
      <w:pPr>
        <w:suppressAutoHyphens/>
      </w:pPr>
      <w:r>
        <w:tab/>
        <w:t>Regarding</w:t>
      </w:r>
      <w:r w:rsidRPr="00191003">
        <w:t xml:space="preserve"> the remaining 21 chest</w:t>
      </w:r>
      <w:r>
        <w:t>-</w:t>
      </w:r>
      <w:r w:rsidRPr="00191003">
        <w:t xml:space="preserve">shaped larnakes, </w:t>
      </w:r>
      <w:r>
        <w:t xml:space="preserve">the </w:t>
      </w:r>
      <w:r w:rsidRPr="00191003">
        <w:t>distinction between panel</w:t>
      </w:r>
      <w:r>
        <w:t>s</w:t>
      </w:r>
      <w:r w:rsidRPr="00191003">
        <w:t xml:space="preserve"> and frames </w:t>
      </w:r>
      <w:r>
        <w:t>is</w:t>
      </w:r>
      <w:r w:rsidRPr="00191003">
        <w:t xml:space="preserve"> rendered with incisions or painted bands (10 larnakes) or with raised bands (11 larnakes). The </w:t>
      </w:r>
      <w:r>
        <w:t>motif</w:t>
      </w:r>
      <w:r w:rsidRPr="00191003">
        <w:t xml:space="preserve">s that occur most in </w:t>
      </w:r>
      <w:r>
        <w:t xml:space="preserve">the </w:t>
      </w:r>
      <w:r w:rsidRPr="00191003">
        <w:t>frames are</w:t>
      </w:r>
      <w:r>
        <w:t xml:space="preserve"> as follows</w:t>
      </w:r>
      <w:r w:rsidRPr="00191003">
        <w:t>:</w:t>
      </w:r>
    </w:p>
    <w:p w14:paraId="58CABCD7" w14:textId="77777777" w:rsidR="00D726B2" w:rsidRPr="00191003" w:rsidRDefault="00D726B2" w:rsidP="00E858EF">
      <w:pPr>
        <w:pStyle w:val="Paragrafoelenco"/>
        <w:numPr>
          <w:ilvl w:val="0"/>
          <w:numId w:val="78"/>
        </w:numPr>
        <w:suppressAutoHyphens/>
        <w:spacing w:after="160"/>
      </w:pPr>
      <w:r w:rsidRPr="00191003">
        <w:t>Multiple groups of wavy lines (FM 53) rendered as a painted motif or single wavy line (5 larnakes)</w:t>
      </w:r>
    </w:p>
    <w:p w14:paraId="74BB73E5" w14:textId="77777777" w:rsidR="00D726B2" w:rsidRPr="00191003" w:rsidRDefault="00D726B2" w:rsidP="00E858EF">
      <w:pPr>
        <w:pStyle w:val="Paragrafoelenco"/>
        <w:numPr>
          <w:ilvl w:val="0"/>
          <w:numId w:val="78"/>
        </w:numPr>
        <w:suppressAutoHyphens/>
        <w:spacing w:after="160"/>
      </w:pPr>
      <w:r w:rsidRPr="00191003">
        <w:t>Simple outline (9 larnakes)</w:t>
      </w:r>
    </w:p>
    <w:p w14:paraId="565A18B1" w14:textId="77777777" w:rsidR="00D726B2" w:rsidRPr="00191003" w:rsidRDefault="00D726B2" w:rsidP="00E858EF">
      <w:pPr>
        <w:pStyle w:val="Paragrafoelenco"/>
        <w:numPr>
          <w:ilvl w:val="0"/>
          <w:numId w:val="78"/>
        </w:numPr>
        <w:suppressAutoHyphens/>
        <w:spacing w:after="160"/>
      </w:pPr>
      <w:r w:rsidRPr="00191003">
        <w:t>Running spirals (5 larnakes)</w:t>
      </w:r>
    </w:p>
    <w:p w14:paraId="59722BEB" w14:textId="77777777" w:rsidR="00D726B2" w:rsidRPr="00191003" w:rsidRDefault="00D726B2" w:rsidP="00E858EF">
      <w:pPr>
        <w:suppressAutoHyphens/>
        <w:ind w:firstLine="567"/>
      </w:pPr>
      <w:r w:rsidRPr="00191003">
        <w:t xml:space="preserve">There are </w:t>
      </w:r>
      <w:r>
        <w:t xml:space="preserve">a </w:t>
      </w:r>
      <w:r w:rsidRPr="00191003">
        <w:t xml:space="preserve">few other </w:t>
      </w:r>
      <w:r>
        <w:t>motif</w:t>
      </w:r>
      <w:r w:rsidRPr="00191003">
        <w:t xml:space="preserve">s that occur in frames (i.e. chequers FM 56, zigzag FM 61, parallel chevron FM 58). In </w:t>
      </w:r>
      <w:r>
        <w:t xml:space="preserve">a </w:t>
      </w:r>
      <w:r w:rsidRPr="00191003">
        <w:t>few cases</w:t>
      </w:r>
      <w:r>
        <w:t>,</w:t>
      </w:r>
      <w:r w:rsidRPr="00191003">
        <w:t xml:space="preserve"> the same motif appear</w:t>
      </w:r>
      <w:r>
        <w:t>s</w:t>
      </w:r>
      <w:r w:rsidRPr="00191003">
        <w:t xml:space="preserve"> as </w:t>
      </w:r>
      <w:r>
        <w:t xml:space="preserve">both </w:t>
      </w:r>
      <w:r w:rsidRPr="00191003">
        <w:t xml:space="preserve">panel and frame decoration </w:t>
      </w:r>
      <w:r>
        <w:t>on</w:t>
      </w:r>
      <w:r w:rsidRPr="00191003">
        <w:t xml:space="preserve"> the same larnax (as in the case of isolated semicircles </w:t>
      </w:r>
      <w:r>
        <w:t>o</w:t>
      </w:r>
      <w:r w:rsidRPr="00191003">
        <w:t>n</w:t>
      </w:r>
      <w:r>
        <w:t xml:space="preserve"> a</w:t>
      </w:r>
      <w:r w:rsidRPr="00191003">
        <w:t xml:space="preserve"> larnax from Kalochorafitis </w:t>
      </w:r>
      <w:r>
        <w:t xml:space="preserve">8 Kalochorafitis Anevolema </w:t>
      </w:r>
      <w:r w:rsidRPr="00191003">
        <w:t>HM 20587</w:t>
      </w:r>
      <w:r>
        <w:t>, or</w:t>
      </w:r>
      <w:r w:rsidRPr="00191003">
        <w:t xml:space="preserve"> wavy lines </w:t>
      </w:r>
      <w:r>
        <w:t>o</w:t>
      </w:r>
      <w:r w:rsidRPr="00191003">
        <w:t>n the larnax from Kalochorafitis Prinar</w:t>
      </w:r>
      <w:r>
        <w:t>i</w:t>
      </w:r>
      <w:r w:rsidRPr="00191003">
        <w:t xml:space="preserve">a HM 136549). In </w:t>
      </w:r>
      <w:r>
        <w:t>another</w:t>
      </w:r>
      <w:r w:rsidRPr="00191003">
        <w:t xml:space="preserve"> case</w:t>
      </w:r>
      <w:r>
        <w:t>,</w:t>
      </w:r>
      <w:r w:rsidRPr="00191003">
        <w:t xml:space="preserve"> the motif of </w:t>
      </w:r>
      <w:r>
        <w:t>an a</w:t>
      </w:r>
      <w:r w:rsidRPr="00191003">
        <w:t>rgonaut appear</w:t>
      </w:r>
      <w:r>
        <w:t>s,</w:t>
      </w:r>
      <w:r w:rsidRPr="00191003">
        <w:t xml:space="preserve"> although </w:t>
      </w:r>
      <w:r>
        <w:t>o</w:t>
      </w:r>
      <w:r w:rsidRPr="00191003">
        <w:t>n two different coffins</w:t>
      </w:r>
      <w:r>
        <w:t>,</w:t>
      </w:r>
      <w:r w:rsidRPr="00191003">
        <w:t xml:space="preserve"> both as a frame and a panel motif.</w:t>
      </w:r>
    </w:p>
    <w:p w14:paraId="0C0BCC9D" w14:textId="77777777" w:rsidR="00D726B2" w:rsidRPr="00191003" w:rsidRDefault="00D726B2" w:rsidP="00E858EF">
      <w:pPr>
        <w:suppressAutoHyphens/>
      </w:pPr>
      <w:r>
        <w:tab/>
      </w:r>
      <w:r w:rsidRPr="00191003">
        <w:t>In general</w:t>
      </w:r>
      <w:r>
        <w:t>,</w:t>
      </w:r>
      <w:r w:rsidRPr="00191003">
        <w:t xml:space="preserve"> the </w:t>
      </w:r>
      <w:r>
        <w:t>motifs</w:t>
      </w:r>
      <w:r w:rsidRPr="00191003">
        <w:t xml:space="preserve"> on frames tend to be repeated all around the frames of the larnax (</w:t>
      </w:r>
      <w:r>
        <w:t xml:space="preserve">e.g. </w:t>
      </w:r>
      <w:r w:rsidRPr="00191003">
        <w:t xml:space="preserve">wavy lines motif </w:t>
      </w:r>
      <w:r>
        <w:t>o</w:t>
      </w:r>
      <w:r w:rsidRPr="00191003">
        <w:t xml:space="preserve">n frames of </w:t>
      </w:r>
      <w:r>
        <w:t xml:space="preserve">581 </w:t>
      </w:r>
      <w:r w:rsidRPr="00191003">
        <w:t xml:space="preserve">Vasilika Anogeia HM 1612), or there are at least two frames </w:t>
      </w:r>
      <w:r>
        <w:t>o</w:t>
      </w:r>
      <w:r w:rsidRPr="00191003">
        <w:t>n one larnax decorated with the same motif (</w:t>
      </w:r>
      <w:r>
        <w:t>e.g. the</w:t>
      </w:r>
      <w:r w:rsidRPr="00191003">
        <w:t xml:space="preserve"> larnax from Apodoulou Sata</w:t>
      </w:r>
      <w:r>
        <w:t xml:space="preserve"> with</w:t>
      </w:r>
      <w:r w:rsidRPr="00191003">
        <w:t xml:space="preserve"> running spirals</w:t>
      </w:r>
      <w:r>
        <w:t>, 308 Apodoulou Sata MR 3635</w:t>
      </w:r>
      <w:r w:rsidRPr="00191003">
        <w:t xml:space="preserve">). </w:t>
      </w:r>
      <w:r>
        <w:t>Therefore,</w:t>
      </w:r>
      <w:r w:rsidRPr="00191003">
        <w:t xml:space="preserve"> </w:t>
      </w:r>
      <w:r>
        <w:t>motif</w:t>
      </w:r>
      <w:r w:rsidRPr="00191003">
        <w:t xml:space="preserve">s used for frames </w:t>
      </w:r>
      <w:r>
        <w:t>are fewer</w:t>
      </w:r>
      <w:r w:rsidRPr="00191003">
        <w:t xml:space="preserve"> in number and </w:t>
      </w:r>
      <w:r>
        <w:t>often</w:t>
      </w:r>
      <w:r w:rsidRPr="00191003">
        <w:t xml:space="preserve"> repeated.</w:t>
      </w:r>
    </w:p>
    <w:p w14:paraId="3BB54846" w14:textId="77777777" w:rsidR="00D726B2" w:rsidRPr="00191003" w:rsidRDefault="00D726B2" w:rsidP="00E858EF">
      <w:pPr>
        <w:pStyle w:val="Titolo4"/>
        <w:keepNext w:val="0"/>
        <w:keepLines w:val="0"/>
        <w:suppressAutoHyphens/>
      </w:pPr>
      <w:bookmarkStart w:id="1096" w:name="_Toc517807600"/>
      <w:r w:rsidRPr="00191003">
        <w:t xml:space="preserve">Identifying larnakes </w:t>
      </w:r>
      <w:r>
        <w:t>that</w:t>
      </w:r>
      <w:r w:rsidRPr="00191003">
        <w:t xml:space="preserve"> are similar </w:t>
      </w:r>
      <w:r>
        <w:t>in</w:t>
      </w:r>
      <w:r w:rsidRPr="00191003">
        <w:t xml:space="preserve"> decoration</w:t>
      </w:r>
      <w:bookmarkEnd w:id="1096"/>
    </w:p>
    <w:p w14:paraId="34A289D6" w14:textId="77777777" w:rsidR="00D726B2" w:rsidRPr="00191003" w:rsidRDefault="00D726B2" w:rsidP="00E858EF">
      <w:pPr>
        <w:suppressAutoHyphens/>
      </w:pPr>
      <w:r w:rsidRPr="00191003">
        <w:t xml:space="preserve">Possible </w:t>
      </w:r>
      <w:r>
        <w:t>G</w:t>
      </w:r>
      <w:r w:rsidRPr="00191003">
        <w:t>roup 1: irregular concentric semicircle</w:t>
      </w:r>
      <w:r>
        <w:t>s</w:t>
      </w:r>
    </w:p>
    <w:p w14:paraId="5A8E9981" w14:textId="77777777" w:rsidR="00D726B2" w:rsidRPr="00191003" w:rsidRDefault="00D726B2" w:rsidP="00E858EF">
      <w:pPr>
        <w:pStyle w:val="Paragrafoelenco"/>
        <w:suppressAutoHyphens/>
      </w:pPr>
      <w:r w:rsidRPr="00191003">
        <w:t>Two larnakes</w:t>
      </w:r>
      <w:r>
        <w:t>,</w:t>
      </w:r>
      <w:r w:rsidRPr="00191003">
        <w:t xml:space="preserve"> one from Kalochorafitis Prinar</w:t>
      </w:r>
      <w:r>
        <w:t>i</w:t>
      </w:r>
      <w:r w:rsidRPr="00191003">
        <w:t xml:space="preserve">a </w:t>
      </w:r>
      <w:r>
        <w:t xml:space="preserve">(17 </w:t>
      </w:r>
      <w:r w:rsidRPr="00191003">
        <w:t>Kalochorafitis Prinar</w:t>
      </w:r>
      <w:r>
        <w:t>i</w:t>
      </w:r>
      <w:r w:rsidRPr="00191003">
        <w:t xml:space="preserve">a </w:t>
      </w:r>
      <w:r>
        <w:t>HM 13654: Davaras and Banou 2003</w:t>
      </w:r>
      <w:r w:rsidRPr="00191003">
        <w:t>: 64-65 pl. XXI) and the other from Kalochorafitis Anevolema (</w:t>
      </w:r>
      <w:r>
        <w:t xml:space="preserve">8 </w:t>
      </w:r>
      <w:r w:rsidRPr="00191003">
        <w:t xml:space="preserve">Kalochorafitis Anevolema </w:t>
      </w:r>
      <w:r>
        <w:t xml:space="preserve">HM 20587: </w:t>
      </w:r>
      <w:r w:rsidRPr="00191003">
        <w:t xml:space="preserve">Karetsou </w:t>
      </w:r>
      <w:r>
        <w:t xml:space="preserve">and </w:t>
      </w:r>
      <w:r w:rsidRPr="00191003">
        <w:t xml:space="preserve">Girella 2015: 51-53 </w:t>
      </w:r>
      <w:r>
        <w:t>F</w:t>
      </w:r>
      <w:r w:rsidRPr="00191003">
        <w:t>ig. 3.3 a-d) share one motif and the way in which their decoration</w:t>
      </w:r>
      <w:r>
        <w:t>s</w:t>
      </w:r>
      <w:r w:rsidRPr="00191003">
        <w:t xml:space="preserve"> </w:t>
      </w:r>
      <w:r>
        <w:t>are</w:t>
      </w:r>
      <w:r w:rsidRPr="00191003">
        <w:t xml:space="preserve"> arranged. The motif </w:t>
      </w:r>
      <w:r>
        <w:t>is</w:t>
      </w:r>
      <w:r w:rsidRPr="00191003">
        <w:t xml:space="preserve"> irregular concentric semicircle</w:t>
      </w:r>
      <w:r>
        <w:t>s,</w:t>
      </w:r>
      <w:r w:rsidRPr="00191003">
        <w:t xml:space="preserve"> with the outer pair filled with lines (described by Davaras</w:t>
      </w:r>
      <w:r>
        <w:t xml:space="preserve"> and Banou</w:t>
      </w:r>
      <w:r w:rsidRPr="00191003">
        <w:t xml:space="preserve"> as </w:t>
      </w:r>
      <w:r>
        <w:t xml:space="preserve">a </w:t>
      </w:r>
      <w:r w:rsidRPr="00191003">
        <w:t>cross</w:t>
      </w:r>
      <w:r>
        <w:t>-</w:t>
      </w:r>
      <w:r w:rsidRPr="00191003">
        <w:t>hatched petaloid motif</w:t>
      </w:r>
      <w:r>
        <w:t xml:space="preserve">: </w:t>
      </w:r>
      <w:r w:rsidRPr="00191003">
        <w:t>Davaras</w:t>
      </w:r>
      <w:r>
        <w:t xml:space="preserve"> and Banou 2003</w:t>
      </w:r>
      <w:r w:rsidRPr="00191003">
        <w:t>: 64-65), arranged in vertical rows. In the case of the larnax from Kalochorafitis Prinar</w:t>
      </w:r>
      <w:r>
        <w:t>i</w:t>
      </w:r>
      <w:r w:rsidRPr="00191003">
        <w:t>a</w:t>
      </w:r>
      <w:r>
        <w:t>,</w:t>
      </w:r>
      <w:r w:rsidRPr="00191003">
        <w:t xml:space="preserve"> this motif </w:t>
      </w:r>
      <w:r>
        <w:t>is</w:t>
      </w:r>
      <w:r w:rsidRPr="00191003">
        <w:t xml:space="preserve"> the only decorative pattern o</w:t>
      </w:r>
      <w:r>
        <w:t>n</w:t>
      </w:r>
      <w:r w:rsidRPr="00191003">
        <w:t xml:space="preserve"> the larnax, while in the case of the larnax from Anevolema, it </w:t>
      </w:r>
      <w:r>
        <w:t>is one</w:t>
      </w:r>
      <w:r w:rsidRPr="00191003">
        <w:t xml:space="preserve"> of the </w:t>
      </w:r>
      <w:r>
        <w:t>motif</w:t>
      </w:r>
      <w:r w:rsidRPr="00191003">
        <w:t xml:space="preserve">s (the other </w:t>
      </w:r>
      <w:r>
        <w:t>motif</w:t>
      </w:r>
      <w:r w:rsidRPr="00191003">
        <w:t xml:space="preserve">s on the panels </w:t>
      </w:r>
      <w:r>
        <w:t>are the</w:t>
      </w:r>
      <w:r w:rsidRPr="00191003">
        <w:t xml:space="preserve"> multiple stem tongue pattern repeated and occupying all the panel pictorial space, and the frames are decorated with an irregular diaper net pattern and horizontal wavy lines).</w:t>
      </w:r>
    </w:p>
    <w:p w14:paraId="2BA3BDA2" w14:textId="77777777" w:rsidR="00D726B2" w:rsidRPr="00191003" w:rsidRDefault="00D726B2" w:rsidP="00E858EF">
      <w:pPr>
        <w:suppressAutoHyphens/>
      </w:pPr>
      <w:r w:rsidRPr="00191003">
        <w:t xml:space="preserve">Possible </w:t>
      </w:r>
      <w:r>
        <w:t>G</w:t>
      </w:r>
      <w:r w:rsidRPr="00191003">
        <w:t>roup 2: wavy lines</w:t>
      </w:r>
    </w:p>
    <w:p w14:paraId="43AECC8A" w14:textId="77777777" w:rsidR="00D726B2" w:rsidRPr="00191003" w:rsidRDefault="00D726B2" w:rsidP="00E858EF">
      <w:pPr>
        <w:pStyle w:val="Paragrafoelenco"/>
        <w:suppressAutoHyphens/>
      </w:pPr>
      <w:r w:rsidRPr="00191003">
        <w:t>Four larnakes</w:t>
      </w:r>
      <w:r>
        <w:t xml:space="preserve">: 05 </w:t>
      </w:r>
      <w:r w:rsidRPr="00191003">
        <w:t>Kalochorafitis Anevolema HM 20586</w:t>
      </w:r>
      <w:r>
        <w:t xml:space="preserve"> (</w:t>
      </w:r>
      <w:r w:rsidRPr="00EB5D82">
        <w:t xml:space="preserve">Karetsou </w:t>
      </w:r>
      <w:r>
        <w:t xml:space="preserve">and </w:t>
      </w:r>
      <w:r w:rsidRPr="00EB5D82">
        <w:t>Girella 2015: 50-51 fig. 3.2</w:t>
      </w:r>
      <w:r>
        <w:t xml:space="preserve">), 16 </w:t>
      </w:r>
      <w:r w:rsidRPr="00191003">
        <w:t>Kalochorafitis Prinar</w:t>
      </w:r>
      <w:r>
        <w:t>i</w:t>
      </w:r>
      <w:r w:rsidRPr="00191003">
        <w:t>a HM 13655</w:t>
      </w:r>
      <w:r>
        <w:t xml:space="preserve"> (</w:t>
      </w:r>
      <w:r w:rsidRPr="00EB5D82">
        <w:t>Davaras</w:t>
      </w:r>
      <w:r>
        <w:t xml:space="preserve"> and Banou</w:t>
      </w:r>
      <w:r w:rsidRPr="00EB5D82">
        <w:t xml:space="preserve"> 2003: 63-64 pl. 19-20</w:t>
      </w:r>
      <w:r>
        <w:t>)</w:t>
      </w:r>
      <w:r w:rsidRPr="00191003">
        <w:t xml:space="preserve">, </w:t>
      </w:r>
      <w:r>
        <w:t xml:space="preserve">143 </w:t>
      </w:r>
      <w:r w:rsidRPr="00191003">
        <w:t>Kamilari F 3072</w:t>
      </w:r>
      <w:r>
        <w:t xml:space="preserve"> (Levi </w:t>
      </w:r>
      <w:r w:rsidRPr="00A01DF8">
        <w:t>1961/62: 24-26 fig. 22, 23,31</w:t>
      </w:r>
      <w:r>
        <w:t>)</w:t>
      </w:r>
      <w:r w:rsidRPr="00191003">
        <w:t xml:space="preserve"> and </w:t>
      </w:r>
      <w:r>
        <w:t xml:space="preserve">172 </w:t>
      </w:r>
      <w:r w:rsidRPr="00191003">
        <w:t>Liliana</w:t>
      </w:r>
      <w:r>
        <w:t xml:space="preserve"> 84035 (</w:t>
      </w:r>
      <w:r w:rsidRPr="00A01DF8">
        <w:t>Savignoni 1904, pp. 647-648 fig. 118</w:t>
      </w:r>
      <w:r>
        <w:t>)</w:t>
      </w:r>
      <w:r w:rsidRPr="00191003">
        <w:t xml:space="preserve"> </w:t>
      </w:r>
      <w:r>
        <w:t>have</w:t>
      </w:r>
      <w:r w:rsidRPr="00191003">
        <w:t xml:space="preserve"> a very similar </w:t>
      </w:r>
      <w:r>
        <w:t>‘</w:t>
      </w:r>
      <w:r w:rsidRPr="00191003">
        <w:t>linear</w:t>
      </w:r>
      <w:r>
        <w:t>’</w:t>
      </w:r>
      <w:r w:rsidRPr="00191003">
        <w:t xml:space="preserve"> decoration based on </w:t>
      </w:r>
      <w:r>
        <w:t xml:space="preserve">the </w:t>
      </w:r>
      <w:r w:rsidRPr="00191003">
        <w:t xml:space="preserve">repetition of wavy lines and outline profile to distinguish </w:t>
      </w:r>
      <w:r>
        <w:t xml:space="preserve">the </w:t>
      </w:r>
      <w:r w:rsidRPr="00191003">
        <w:t>panels and</w:t>
      </w:r>
      <w:r>
        <w:t xml:space="preserve"> the</w:t>
      </w:r>
      <w:r w:rsidRPr="00191003">
        <w:t xml:space="preserve"> frames of the larnax</w:t>
      </w:r>
      <w:r>
        <w:t xml:space="preserve">. </w:t>
      </w:r>
    </w:p>
    <w:p w14:paraId="23E9980F" w14:textId="77777777" w:rsidR="00D726B2" w:rsidRPr="00191003" w:rsidRDefault="00D726B2" w:rsidP="00E858EF">
      <w:pPr>
        <w:pStyle w:val="Paragrafoelenco"/>
        <w:suppressAutoHyphens/>
        <w:ind w:left="0"/>
      </w:pPr>
      <w:r w:rsidRPr="00191003">
        <w:t xml:space="preserve">Possible </w:t>
      </w:r>
      <w:r>
        <w:t>G</w:t>
      </w:r>
      <w:r w:rsidRPr="00191003">
        <w:t>roup 3</w:t>
      </w:r>
    </w:p>
    <w:p w14:paraId="537B4DB1" w14:textId="77777777" w:rsidR="00D726B2" w:rsidRDefault="00D726B2" w:rsidP="00E858EF">
      <w:pPr>
        <w:pStyle w:val="Paragrafoelenco"/>
        <w:suppressAutoHyphens/>
        <w:ind w:left="708"/>
      </w:pPr>
      <w:r>
        <w:t xml:space="preserve">154 </w:t>
      </w:r>
      <w:r w:rsidRPr="00191003">
        <w:t xml:space="preserve">Klima (Rethemiotakis 1995: pl. 45 g, 46 a-b) and </w:t>
      </w:r>
      <w:r>
        <w:t xml:space="preserve">6 </w:t>
      </w:r>
      <w:r w:rsidRPr="00191003">
        <w:t xml:space="preserve">Kalochorafitis larnax HM 20590 </w:t>
      </w:r>
      <w:r>
        <w:t>(</w:t>
      </w:r>
      <w:r w:rsidRPr="00191003">
        <w:t xml:space="preserve">Karetsou Girella 2015: 59-125 fig.3.9- 3.12), although </w:t>
      </w:r>
      <w:r>
        <w:t>o</w:t>
      </w:r>
      <w:r w:rsidRPr="00191003">
        <w:t xml:space="preserve">n the larnax from Klima the decoration is very much faded, </w:t>
      </w:r>
      <w:r>
        <w:t>have</w:t>
      </w:r>
      <w:r w:rsidRPr="00191003">
        <w:t xml:space="preserve"> a similar distributi</w:t>
      </w:r>
      <w:r>
        <w:t xml:space="preserve">on of </w:t>
      </w:r>
      <w:r w:rsidRPr="00191003">
        <w:t xml:space="preserve">decoration on one </w:t>
      </w:r>
      <w:r>
        <w:t xml:space="preserve">of the </w:t>
      </w:r>
      <w:r w:rsidRPr="00191003">
        <w:t xml:space="preserve">long panels (no inner panel division and no apparent order) and common </w:t>
      </w:r>
      <w:r>
        <w:t>motif</w:t>
      </w:r>
      <w:r w:rsidRPr="00191003">
        <w:t xml:space="preserve">s in scenes </w:t>
      </w:r>
      <w:r>
        <w:t>such as</w:t>
      </w:r>
      <w:r w:rsidRPr="00191003">
        <w:t xml:space="preserve"> palm tree, giant bird, sea anemones and isolated semicircles on the left and right </w:t>
      </w:r>
      <w:r>
        <w:t>frames.</w:t>
      </w:r>
    </w:p>
    <w:p w14:paraId="57AD2739" w14:textId="19BF64A2" w:rsidR="00D726B2" w:rsidRPr="00191003" w:rsidRDefault="00D726B2" w:rsidP="00E858EF">
      <w:pPr>
        <w:pStyle w:val="Titolo3"/>
        <w:keepNext w:val="0"/>
        <w:keepLines w:val="0"/>
        <w:suppressAutoHyphens/>
      </w:pPr>
      <w:bookmarkStart w:id="1097" w:name="_Toc517807601"/>
      <w:bookmarkStart w:id="1098" w:name="_Toc519894687"/>
      <w:r w:rsidRPr="00191003">
        <w:t>Conclusion</w:t>
      </w:r>
      <w:r>
        <w:t>s</w:t>
      </w:r>
      <w:bookmarkEnd w:id="1097"/>
      <w:r>
        <w:t>, Mesara</w:t>
      </w:r>
      <w:bookmarkEnd w:id="1098"/>
      <w:r w:rsidR="006934A7">
        <w:t xml:space="preserve"> area</w:t>
      </w:r>
    </w:p>
    <w:p w14:paraId="28C69850" w14:textId="77777777" w:rsidR="00D726B2" w:rsidRPr="00191003" w:rsidRDefault="00D726B2" w:rsidP="00E858EF">
      <w:pPr>
        <w:suppressAutoHyphens/>
        <w:rPr>
          <w:color w:val="000000"/>
        </w:rPr>
      </w:pPr>
      <w:r w:rsidRPr="00191003">
        <w:rPr>
          <w:color w:val="000000"/>
        </w:rPr>
        <w:t xml:space="preserve">Considering both </w:t>
      </w:r>
      <w:r>
        <w:rPr>
          <w:color w:val="000000"/>
        </w:rPr>
        <w:t xml:space="preserve">the </w:t>
      </w:r>
      <w:r w:rsidRPr="00191003">
        <w:rPr>
          <w:color w:val="000000"/>
        </w:rPr>
        <w:t>morphology and</w:t>
      </w:r>
      <w:r>
        <w:rPr>
          <w:color w:val="000000"/>
        </w:rPr>
        <w:t xml:space="preserve"> the</w:t>
      </w:r>
      <w:r w:rsidRPr="00191003">
        <w:rPr>
          <w:color w:val="000000"/>
        </w:rPr>
        <w:t xml:space="preserve"> iconography</w:t>
      </w:r>
      <w:r>
        <w:rPr>
          <w:color w:val="000000"/>
        </w:rPr>
        <w:t>,</w:t>
      </w:r>
      <w:r w:rsidRPr="00191003">
        <w:rPr>
          <w:color w:val="000000"/>
        </w:rPr>
        <w:t xml:space="preserve"> larnakes from the Mesara area seem to be less standardised in comparison with the n</w:t>
      </w:r>
      <w:r>
        <w:rPr>
          <w:color w:val="000000"/>
        </w:rPr>
        <w:t>eighbouring Mid-West</w:t>
      </w:r>
      <w:r w:rsidRPr="00191003">
        <w:rPr>
          <w:color w:val="000000"/>
        </w:rPr>
        <w:t xml:space="preserve"> region (</w:t>
      </w:r>
      <w:r>
        <w:rPr>
          <w:color w:val="000000"/>
        </w:rPr>
        <w:t xml:space="preserve">e.g. </w:t>
      </w:r>
      <w:r w:rsidRPr="00191003">
        <w:rPr>
          <w:color w:val="000000"/>
        </w:rPr>
        <w:t>two type</w:t>
      </w:r>
      <w:r>
        <w:rPr>
          <w:color w:val="000000"/>
        </w:rPr>
        <w:t>s</w:t>
      </w:r>
      <w:r w:rsidRPr="00191003">
        <w:rPr>
          <w:color w:val="000000"/>
        </w:rPr>
        <w:t xml:space="preserve"> of lid, with a preference for the flat type, b</w:t>
      </w:r>
      <w:r>
        <w:rPr>
          <w:color w:val="000000"/>
        </w:rPr>
        <w:t>oth holes and handles recovered</w:t>
      </w:r>
      <w:r w:rsidRPr="00191003">
        <w:rPr>
          <w:color w:val="000000"/>
        </w:rPr>
        <w:t>, with preference for holes)</w:t>
      </w:r>
      <w:r>
        <w:rPr>
          <w:color w:val="000000"/>
        </w:rPr>
        <w:t xml:space="preserve"> and instead seem to follow the same pattern of variety observed in the other neighbouring region, Central Crete.</w:t>
      </w:r>
    </w:p>
    <w:p w14:paraId="65CE1066" w14:textId="77777777" w:rsidR="00D726B2" w:rsidRPr="00191003" w:rsidRDefault="00D726B2" w:rsidP="00E858EF">
      <w:pPr>
        <w:suppressAutoHyphens/>
        <w:rPr>
          <w:color w:val="000000"/>
        </w:rPr>
      </w:pPr>
      <w:r>
        <w:rPr>
          <w:color w:val="000000"/>
        </w:rPr>
        <w:tab/>
      </w:r>
      <w:r w:rsidRPr="00191003">
        <w:rPr>
          <w:color w:val="000000"/>
        </w:rPr>
        <w:t>All the secure larnakes are chest</w:t>
      </w:r>
      <w:r>
        <w:rPr>
          <w:color w:val="000000"/>
        </w:rPr>
        <w:t>-</w:t>
      </w:r>
      <w:r w:rsidRPr="00191003">
        <w:rPr>
          <w:color w:val="000000"/>
        </w:rPr>
        <w:t xml:space="preserve">shaped. The most common larnax type is an undecorated clay chest with a flat lid, four feet and usually </w:t>
      </w:r>
      <w:r>
        <w:rPr>
          <w:color w:val="000000"/>
        </w:rPr>
        <w:t>eight</w:t>
      </w:r>
      <w:r w:rsidRPr="00191003">
        <w:rPr>
          <w:color w:val="000000"/>
        </w:rPr>
        <w:t xml:space="preserve"> holes on the panels distributed </w:t>
      </w:r>
      <w:r>
        <w:rPr>
          <w:color w:val="000000"/>
        </w:rPr>
        <w:t>o</w:t>
      </w:r>
      <w:r w:rsidRPr="00191003">
        <w:rPr>
          <w:color w:val="000000"/>
        </w:rPr>
        <w:t xml:space="preserve">n the four sides under the upper rim. </w:t>
      </w:r>
      <w:r>
        <w:rPr>
          <w:color w:val="000000"/>
        </w:rPr>
        <w:t>The p</w:t>
      </w:r>
      <w:r w:rsidRPr="00191003">
        <w:rPr>
          <w:color w:val="000000"/>
        </w:rPr>
        <w:t xml:space="preserve">anels are generally </w:t>
      </w:r>
      <w:r>
        <w:rPr>
          <w:color w:val="000000"/>
        </w:rPr>
        <w:t>four</w:t>
      </w:r>
      <w:r w:rsidRPr="00191003">
        <w:rPr>
          <w:color w:val="000000"/>
        </w:rPr>
        <w:t xml:space="preserve"> and are delimited by incised lines. </w:t>
      </w:r>
    </w:p>
    <w:p w14:paraId="2D580301" w14:textId="77777777" w:rsidR="00D726B2" w:rsidRPr="00191003" w:rsidRDefault="00D726B2" w:rsidP="00E858EF">
      <w:pPr>
        <w:suppressAutoHyphens/>
      </w:pPr>
      <w:r>
        <w:tab/>
      </w:r>
      <w:r w:rsidRPr="00191003">
        <w:t xml:space="preserve">Securely decorated larnakes from </w:t>
      </w:r>
      <w:r>
        <w:t xml:space="preserve">the </w:t>
      </w:r>
      <w:r w:rsidRPr="00191003">
        <w:t>Mesara region represent 19% of the total number of secure larnakes</w:t>
      </w:r>
      <w:r>
        <w:t>;</w:t>
      </w:r>
      <w:r w:rsidRPr="00191003">
        <w:t xml:space="preserve"> while for the remaining 81%</w:t>
      </w:r>
      <w:r>
        <w:t>,</w:t>
      </w:r>
      <w:r w:rsidRPr="00191003">
        <w:t xml:space="preserve"> either there </w:t>
      </w:r>
      <w:r>
        <w:t>is</w:t>
      </w:r>
      <w:r w:rsidRPr="00191003">
        <w:t xml:space="preserve"> no information about the decoration or</w:t>
      </w:r>
      <w:r>
        <w:t xml:space="preserve"> they</w:t>
      </w:r>
      <w:r w:rsidRPr="00191003">
        <w:t xml:space="preserve"> are not decorated larnakes. </w:t>
      </w:r>
    </w:p>
    <w:p w14:paraId="2478110F" w14:textId="77777777" w:rsidR="00D726B2" w:rsidRPr="00191003" w:rsidRDefault="00D726B2" w:rsidP="00E858EF">
      <w:pPr>
        <w:suppressAutoHyphens/>
      </w:pPr>
      <w:r>
        <w:tab/>
      </w:r>
      <w:r w:rsidRPr="00191003">
        <w:t xml:space="preserve">All the larnakes </w:t>
      </w:r>
      <w:r>
        <w:t>in</w:t>
      </w:r>
      <w:r w:rsidRPr="00191003">
        <w:t xml:space="preserve"> the sample are chest</w:t>
      </w:r>
      <w:r>
        <w:t>-</w:t>
      </w:r>
      <w:r w:rsidRPr="00191003">
        <w:t xml:space="preserve">shaped. </w:t>
      </w:r>
      <w:r>
        <w:t>O</w:t>
      </w:r>
      <w:r w:rsidRPr="00191003">
        <w:t>n five items</w:t>
      </w:r>
      <w:r>
        <w:t>,</w:t>
      </w:r>
      <w:r w:rsidRPr="00191003">
        <w:t xml:space="preserve"> unique </w:t>
      </w:r>
      <w:r>
        <w:t>motif</w:t>
      </w:r>
      <w:r w:rsidRPr="00191003">
        <w:t>s and themes occur that can</w:t>
      </w:r>
      <w:r>
        <w:t>not</w:t>
      </w:r>
      <w:r w:rsidRPr="00191003">
        <w:t xml:space="preserve"> </w:t>
      </w:r>
      <w:r>
        <w:t>be compared</w:t>
      </w:r>
      <w:r w:rsidRPr="00191003">
        <w:t xml:space="preserve"> </w:t>
      </w:r>
      <w:r>
        <w:t>to</w:t>
      </w:r>
      <w:r w:rsidRPr="00191003">
        <w:t xml:space="preserve"> decorative pattern</w:t>
      </w:r>
      <w:r>
        <w:t>s</w:t>
      </w:r>
      <w:r w:rsidRPr="00191003">
        <w:t xml:space="preserve"> of other larnakes..</w:t>
      </w:r>
      <w:r>
        <w:t xml:space="preserve"> T</w:t>
      </w:r>
      <w:r w:rsidRPr="00191003">
        <w:t xml:space="preserve">wo larnakes from two tombs at Kalochorafitis, </w:t>
      </w:r>
      <w:r>
        <w:t>that</w:t>
      </w:r>
      <w:r w:rsidRPr="00191003">
        <w:t xml:space="preserve"> both stand out for type and style of decoration, </w:t>
      </w:r>
      <w:r>
        <w:t>have</w:t>
      </w:r>
      <w:r w:rsidRPr="00191003">
        <w:t xml:space="preserve"> a high concentration of human figures (</w:t>
      </w:r>
      <w:r>
        <w:t>12</w:t>
      </w:r>
      <w:r w:rsidRPr="00191003">
        <w:t xml:space="preserve"> human figures distributed between the two larnakes out of a total of 14 human figures in the entire region).</w:t>
      </w:r>
      <w:r>
        <w:t xml:space="preserve"> </w:t>
      </w:r>
      <w:r w:rsidRPr="00191003">
        <w:t xml:space="preserve">One </w:t>
      </w:r>
      <w:r>
        <w:t xml:space="preserve">in particular (6 Kalochorafitis Anevolema </w:t>
      </w:r>
      <w:r w:rsidRPr="00191003">
        <w:t>HM 20590</w:t>
      </w:r>
      <w:r>
        <w:t>)</w:t>
      </w:r>
      <w:r w:rsidRPr="00191003">
        <w:t xml:space="preserve"> stands out for the high number of </w:t>
      </w:r>
      <w:r>
        <w:t>motif</w:t>
      </w:r>
      <w:r w:rsidRPr="00191003">
        <w:t xml:space="preserve">s (among which </w:t>
      </w:r>
      <w:r>
        <w:t>are seven</w:t>
      </w:r>
      <w:r w:rsidRPr="00191003">
        <w:t xml:space="preserve"> human figures) and for the way in which </w:t>
      </w:r>
      <w:r>
        <w:t>motif</w:t>
      </w:r>
      <w:r w:rsidRPr="00191003">
        <w:t xml:space="preserve">s and themes are distributed </w:t>
      </w:r>
      <w:r>
        <w:t>on</w:t>
      </w:r>
      <w:r w:rsidRPr="00191003">
        <w:t xml:space="preserve"> the panels (they seem not to follow a specific order but to fill all the space available)</w:t>
      </w:r>
      <w:r>
        <w:t xml:space="preserve">. </w:t>
      </w:r>
      <w:r w:rsidRPr="00191003">
        <w:t xml:space="preserve">Bearing in mind that the sample of decorated items from this area is small, the number of pottery </w:t>
      </w:r>
      <w:r>
        <w:t>motif</w:t>
      </w:r>
      <w:r w:rsidRPr="00191003">
        <w:t xml:space="preserve">s registered </w:t>
      </w:r>
      <w:r>
        <w:t>is</w:t>
      </w:r>
      <w:r w:rsidRPr="00191003">
        <w:t xml:space="preserve"> high (37). To these </w:t>
      </w:r>
      <w:r>
        <w:t>motif</w:t>
      </w:r>
      <w:r w:rsidRPr="00191003">
        <w:t xml:space="preserve">s must be added the peculiar </w:t>
      </w:r>
      <w:r>
        <w:t>motif</w:t>
      </w:r>
      <w:r w:rsidRPr="00191003">
        <w:t>s not registered in</w:t>
      </w:r>
      <w:r>
        <w:t xml:space="preserve"> the</w:t>
      </w:r>
      <w:r w:rsidRPr="00191003">
        <w:t xml:space="preserve"> pottery repertoire. Th</w:t>
      </w:r>
      <w:r>
        <w:t>ese</w:t>
      </w:r>
      <w:r w:rsidRPr="00191003">
        <w:t xml:space="preserve"> data </w:t>
      </w:r>
      <w:r>
        <w:t>reveal</w:t>
      </w:r>
      <w:r w:rsidRPr="00191003">
        <w:t xml:space="preserve"> that there is a high variation in terms of </w:t>
      </w:r>
      <w:r>
        <w:t>motif</w:t>
      </w:r>
      <w:r w:rsidRPr="00191003">
        <w:t>s for the decorated larnakes from this area.</w:t>
      </w:r>
    </w:p>
    <w:p w14:paraId="2D33422B" w14:textId="77777777" w:rsidR="00D726B2" w:rsidRPr="00191003" w:rsidRDefault="00D726B2" w:rsidP="00E858EF">
      <w:pPr>
        <w:suppressAutoHyphens/>
      </w:pPr>
      <w:r>
        <w:tab/>
        <w:t>F</w:t>
      </w:r>
      <w:r w:rsidRPr="00191003">
        <w:t>urther interesting data concern the distribution of decorated larnakes</w:t>
      </w:r>
      <w:r>
        <w:t>,</w:t>
      </w:r>
      <w:r w:rsidRPr="00191003">
        <w:t xml:space="preserve"> </w:t>
      </w:r>
      <w:r>
        <w:t xml:space="preserve">which </w:t>
      </w:r>
      <w:r w:rsidRPr="00191003">
        <w:t xml:space="preserve">seems to be concentrated in the north area of the region, distributed among the cemeteries of Kalochorafitis, Klima and Apodoulou. Furthermore, the five larnakes </w:t>
      </w:r>
      <w:r>
        <w:t>o</w:t>
      </w:r>
      <w:r w:rsidRPr="00191003">
        <w:t xml:space="preserve">n which occur peculiar themes and </w:t>
      </w:r>
      <w:r>
        <w:t>motif</w:t>
      </w:r>
      <w:r w:rsidRPr="00191003">
        <w:t xml:space="preserve">s </w:t>
      </w:r>
      <w:r>
        <w:t xml:space="preserve">appear </w:t>
      </w:r>
      <w:r w:rsidRPr="00191003">
        <w:t xml:space="preserve">are all located </w:t>
      </w:r>
      <w:r>
        <w:t>in</w:t>
      </w:r>
      <w:r w:rsidRPr="00191003">
        <w:t xml:space="preserve"> these three cemeteries.</w:t>
      </w:r>
    </w:p>
    <w:p w14:paraId="227E3DAB" w14:textId="77777777" w:rsidR="00D726B2" w:rsidRPr="00191003" w:rsidRDefault="00D726B2" w:rsidP="00E858EF">
      <w:pPr>
        <w:suppressAutoHyphens/>
      </w:pPr>
      <w:r>
        <w:tab/>
        <w:t>There is a</w:t>
      </w:r>
      <w:r w:rsidRPr="00191003">
        <w:t xml:space="preserve"> difference in terms of decoration </w:t>
      </w:r>
      <w:r>
        <w:t>in</w:t>
      </w:r>
      <w:r w:rsidRPr="00191003">
        <w:t xml:space="preserve"> the </w:t>
      </w:r>
      <w:r>
        <w:t>motif</w:t>
      </w:r>
      <w:r w:rsidRPr="00191003">
        <w:t xml:space="preserve">s used for panels </w:t>
      </w:r>
      <w:r>
        <w:t xml:space="preserve">and </w:t>
      </w:r>
      <w:r w:rsidRPr="00191003">
        <w:t xml:space="preserve">frame decoration. </w:t>
      </w:r>
      <w:r>
        <w:t>Motif</w:t>
      </w:r>
      <w:r w:rsidRPr="00191003">
        <w:t>s used for decorating frames usually are repeated for all the panels (or are in pair</w:t>
      </w:r>
      <w:r>
        <w:t>s</w:t>
      </w:r>
      <w:r w:rsidRPr="00191003">
        <w:t xml:space="preserve">), while </w:t>
      </w:r>
      <w:r>
        <w:t>the</w:t>
      </w:r>
      <w:r w:rsidRPr="00191003">
        <w:t xml:space="preserve"> panels show a much higher degree of variability both in terms of </w:t>
      </w:r>
      <w:r>
        <w:t>motif</w:t>
      </w:r>
      <w:r w:rsidRPr="00191003">
        <w:t xml:space="preserve"> occurrence and organi</w:t>
      </w:r>
      <w:r>
        <w:t>s</w:t>
      </w:r>
      <w:r w:rsidRPr="00191003">
        <w:t xml:space="preserve">ation. </w:t>
      </w:r>
    </w:p>
    <w:p w14:paraId="60109EFD" w14:textId="77777777" w:rsidR="00D726B2" w:rsidRPr="00191003" w:rsidRDefault="00D726B2" w:rsidP="00E858EF">
      <w:pPr>
        <w:suppressAutoHyphens/>
      </w:pPr>
      <w:r>
        <w:tab/>
      </w:r>
      <w:r w:rsidRPr="00191003">
        <w:t xml:space="preserve">Three groups have been identified according to the occurrence of similar </w:t>
      </w:r>
      <w:r>
        <w:t>motif</w:t>
      </w:r>
      <w:r w:rsidRPr="00191003">
        <w:t xml:space="preserve">s and </w:t>
      </w:r>
      <w:r>
        <w:t xml:space="preserve">the </w:t>
      </w:r>
      <w:r w:rsidRPr="00191003">
        <w:t>organi</w:t>
      </w:r>
      <w:r>
        <w:t>s</w:t>
      </w:r>
      <w:r w:rsidRPr="00191003">
        <w:t>ation of the decoration</w:t>
      </w:r>
      <w:r>
        <w:t>,</w:t>
      </w:r>
      <w:r w:rsidRPr="00191003">
        <w:t xml:space="preserve"> and in one case (Possible </w:t>
      </w:r>
      <w:r>
        <w:t>G</w:t>
      </w:r>
      <w:r w:rsidRPr="00191003">
        <w:t>roup 1)</w:t>
      </w:r>
      <w:r>
        <w:t>,</w:t>
      </w:r>
      <w:r w:rsidRPr="00191003">
        <w:t xml:space="preserve"> the relative chronology of the two tombs in which the larnakes </w:t>
      </w:r>
      <w:r>
        <w:t>were</w:t>
      </w:r>
      <w:r w:rsidRPr="00191003">
        <w:t xml:space="preserve"> found justif</w:t>
      </w:r>
      <w:r>
        <w:t>ies</w:t>
      </w:r>
      <w:r w:rsidRPr="00191003">
        <w:t xml:space="preserve"> such comparison (both </w:t>
      </w:r>
      <w:r>
        <w:t>T</w:t>
      </w:r>
      <w:r w:rsidRPr="00191003">
        <w:t xml:space="preserve">omb B Kalochorafitis Anevolema and the tomb at Kalochorafitis </w:t>
      </w:r>
      <w:r>
        <w:t>Prinaria</w:t>
      </w:r>
      <w:r w:rsidRPr="00191003">
        <w:t xml:space="preserve"> are LM IIIA2-B in date). The same could </w:t>
      </w:r>
      <w:r>
        <w:t>apply</w:t>
      </w:r>
      <w:r w:rsidRPr="00191003">
        <w:t xml:space="preserve"> also for </w:t>
      </w:r>
      <w:r>
        <w:t>P</w:t>
      </w:r>
      <w:r w:rsidRPr="00191003">
        <w:t xml:space="preserve">ossible </w:t>
      </w:r>
      <w:r>
        <w:t>G</w:t>
      </w:r>
      <w:r w:rsidRPr="00191003">
        <w:t>roup 3</w:t>
      </w:r>
      <w:r>
        <w:t xml:space="preserve">; however, </w:t>
      </w:r>
      <w:r w:rsidRPr="00191003">
        <w:t xml:space="preserve">the decoration comparison is less </w:t>
      </w:r>
      <w:r>
        <w:t>exact</w:t>
      </w:r>
      <w:r w:rsidRPr="00191003">
        <w:t xml:space="preserve"> due to the faded decoration on the larnax from Klima.</w:t>
      </w:r>
    </w:p>
    <w:p w14:paraId="78B02FE4" w14:textId="77777777" w:rsidR="00D726B2" w:rsidRDefault="00D726B2" w:rsidP="00E858EF">
      <w:pPr>
        <w:suppressAutoHyphens/>
      </w:pPr>
      <w:r>
        <w:tab/>
      </w:r>
      <w:r w:rsidRPr="00191003">
        <w:t>To conclude</w:t>
      </w:r>
      <w:r>
        <w:t>,</w:t>
      </w:r>
      <w:r w:rsidRPr="00191003">
        <w:t xml:space="preserve"> in the Mesara region</w:t>
      </w:r>
      <w:r>
        <w:t>,</w:t>
      </w:r>
      <w:r w:rsidRPr="00191003">
        <w:t xml:space="preserve"> larnakes are less standardised in terms of morphology and the decorated sample </w:t>
      </w:r>
      <w:r>
        <w:t>contains</w:t>
      </w:r>
      <w:r w:rsidRPr="00191003">
        <w:t xml:space="preserve"> high variability and distinctive features through </w:t>
      </w:r>
      <w:r>
        <w:t xml:space="preserve">its </w:t>
      </w:r>
      <w:r w:rsidRPr="00191003">
        <w:t>iconography. Although decorated items and</w:t>
      </w:r>
      <w:r>
        <w:t>,</w:t>
      </w:r>
      <w:r w:rsidRPr="00191003">
        <w:t xml:space="preserve"> consequently</w:t>
      </w:r>
      <w:r>
        <w:t>,</w:t>
      </w:r>
      <w:r w:rsidRPr="00191003">
        <w:t xml:space="preserve"> the variability registered in their iconography </w:t>
      </w:r>
      <w:r>
        <w:t xml:space="preserve">are </w:t>
      </w:r>
      <w:r w:rsidRPr="00191003">
        <w:t xml:space="preserve">more than a general tendency found in the </w:t>
      </w:r>
      <w:r>
        <w:t>entire</w:t>
      </w:r>
      <w:r w:rsidRPr="00191003">
        <w:t xml:space="preserve"> Mesara region</w:t>
      </w:r>
      <w:r>
        <w:t>,</w:t>
      </w:r>
      <w:r w:rsidRPr="00191003">
        <w:t xml:space="preserve"> </w:t>
      </w:r>
      <w:r>
        <w:t>they</w:t>
      </w:r>
      <w:r w:rsidRPr="00191003">
        <w:t xml:space="preserve"> seem to be confined </w:t>
      </w:r>
      <w:r>
        <w:t>to</w:t>
      </w:r>
      <w:r w:rsidRPr="00191003">
        <w:t xml:space="preserve"> the north area </w:t>
      </w:r>
      <w:r>
        <w:t>among</w:t>
      </w:r>
      <w:r w:rsidRPr="00191003">
        <w:t xml:space="preserve"> the cemeteries of Kalochorafitis, Klima and Apodoulou</w:t>
      </w:r>
      <w:r>
        <w:t>,</w:t>
      </w:r>
      <w:r w:rsidRPr="00191003">
        <w:t xml:space="preserve"> where</w:t>
      </w:r>
      <w:r>
        <w:t>,</w:t>
      </w:r>
      <w:r w:rsidRPr="00191003">
        <w:t xml:space="preserve"> probably</w:t>
      </w:r>
      <w:r>
        <w:t>,</w:t>
      </w:r>
      <w:r w:rsidRPr="00191003">
        <w:t xml:space="preserve"> one or more workshops</w:t>
      </w:r>
      <w:r>
        <w:t xml:space="preserve"> were</w:t>
      </w:r>
      <w:r w:rsidRPr="00191003">
        <w:t xml:space="preserve"> in charge </w:t>
      </w:r>
      <w:r>
        <w:t>of pottery and possible larnax</w:t>
      </w:r>
      <w:r w:rsidRPr="00191003">
        <w:t xml:space="preserve"> production were based. This specific feature (</w:t>
      </w:r>
      <w:r>
        <w:t xml:space="preserve">i.e. </w:t>
      </w:r>
      <w:r w:rsidRPr="00191003">
        <w:t xml:space="preserve">rich and variable iconographic repertoire) </w:t>
      </w:r>
      <w:r>
        <w:t>is highly present</w:t>
      </w:r>
      <w:r w:rsidRPr="00191003">
        <w:t xml:space="preserve"> in these cemeter</w:t>
      </w:r>
      <w:r>
        <w:t>ies</w:t>
      </w:r>
      <w:r w:rsidRPr="00191003">
        <w:t xml:space="preserve"> </w:t>
      </w:r>
      <w:r>
        <w:t>and has</w:t>
      </w:r>
      <w:r w:rsidRPr="00191003">
        <w:t xml:space="preserve"> been registered in the nearby </w:t>
      </w:r>
      <w:r>
        <w:t>Mid-West</w:t>
      </w:r>
      <w:r w:rsidRPr="00191003">
        <w:t xml:space="preserve"> area. This </w:t>
      </w:r>
      <w:r>
        <w:t>indicates</w:t>
      </w:r>
      <w:r w:rsidRPr="00191003">
        <w:t xml:space="preserve"> </w:t>
      </w:r>
      <w:r>
        <w:t xml:space="preserve">that </w:t>
      </w:r>
      <w:r w:rsidRPr="00191003">
        <w:t xml:space="preserve">larnakes found in the cemeteries located in the northwest area of the Mesara region </w:t>
      </w:r>
      <w:r>
        <w:t>contain features that</w:t>
      </w:r>
      <w:r w:rsidRPr="00191003">
        <w:t xml:space="preserve"> can be</w:t>
      </w:r>
      <w:r>
        <w:t xml:space="preserve"> considered peculiar to the Mid-West</w:t>
      </w:r>
      <w:r w:rsidRPr="00191003">
        <w:t xml:space="preserve"> area (i.e. a lot of investment in larnax decoration) and</w:t>
      </w:r>
      <w:r>
        <w:t>,</w:t>
      </w:r>
      <w:r w:rsidRPr="00191003">
        <w:t xml:space="preserve"> </w:t>
      </w:r>
      <w:r>
        <w:t xml:space="preserve">at the same time, other </w:t>
      </w:r>
      <w:r w:rsidRPr="00191003">
        <w:t xml:space="preserve">features characteristic of the </w:t>
      </w:r>
      <w:r>
        <w:t xml:space="preserve">south area of the </w:t>
      </w:r>
      <w:r w:rsidRPr="00191003">
        <w:t xml:space="preserve">Mesara area (i.e. </w:t>
      </w:r>
      <w:r>
        <w:t xml:space="preserve">the </w:t>
      </w:r>
      <w:r w:rsidRPr="00191003">
        <w:t>presence of the flat lid, repetitive decoration).</w:t>
      </w:r>
      <w:r>
        <w:t xml:space="preserve"> In this area (the south and east of Mesara) the use of clay larnakes is partially linked to the reuse of earlier tholos tombs during the LM III period (attested securely, for example, at Kamilari and Agia Triada). The features on larnakes from this cluster reveal many more similarities with the neighbouring Central area (e.g. less investment in larnax decoration, variability in morphological features). Therefore in the Mesara area it might be possible to have a distinction looking at larnakes characteristics between north-west area and south-east area.</w:t>
      </w:r>
    </w:p>
    <w:p w14:paraId="5FC5FFA8" w14:textId="545F7F9C" w:rsidR="00D726B2" w:rsidRPr="00E7753F" w:rsidRDefault="00D726B2" w:rsidP="00E858EF">
      <w:pPr>
        <w:pStyle w:val="Titolo2"/>
        <w:keepNext w:val="0"/>
        <w:keepLines w:val="0"/>
        <w:suppressAutoHyphens/>
      </w:pPr>
      <w:bookmarkStart w:id="1099" w:name="_Toc517807602"/>
      <w:bookmarkStart w:id="1100" w:name="_Toc519894688"/>
      <w:r w:rsidRPr="00E7753F">
        <w:t>Knossos</w:t>
      </w:r>
      <w:bookmarkEnd w:id="1099"/>
      <w:bookmarkEnd w:id="1100"/>
      <w:r w:rsidR="006934A7">
        <w:t xml:space="preserve"> area</w:t>
      </w:r>
    </w:p>
    <w:p w14:paraId="49EDBCFA" w14:textId="6EAF5EC8" w:rsidR="00D726B2" w:rsidRPr="00191003" w:rsidRDefault="00D726B2" w:rsidP="00E858EF">
      <w:pPr>
        <w:pStyle w:val="Titolo3"/>
        <w:keepNext w:val="0"/>
        <w:keepLines w:val="0"/>
        <w:suppressAutoHyphens/>
      </w:pPr>
      <w:bookmarkStart w:id="1101" w:name="_Toc517807603"/>
      <w:bookmarkStart w:id="1102" w:name="_Toc519894689"/>
      <w:r w:rsidRPr="00191003">
        <w:t xml:space="preserve">Knossos </w:t>
      </w:r>
      <w:r w:rsidR="006934A7">
        <w:t xml:space="preserve">area </w:t>
      </w:r>
      <w:r w:rsidRPr="00191003">
        <w:t>larnakes morphological analysis</w:t>
      </w:r>
      <w:bookmarkEnd w:id="1101"/>
      <w:bookmarkEnd w:id="1102"/>
    </w:p>
    <w:p w14:paraId="4077A0B5"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191003">
        <w:rPr>
          <w:color w:val="000000"/>
        </w:rPr>
        <w:t xml:space="preserve">The sample of larnakes available from publication records for the Knossos area </w:t>
      </w:r>
      <w:r>
        <w:rPr>
          <w:color w:val="000000"/>
        </w:rPr>
        <w:t>is</w:t>
      </w:r>
      <w:r w:rsidRPr="00191003">
        <w:rPr>
          <w:color w:val="000000"/>
        </w:rPr>
        <w:t xml:space="preserve"> </w:t>
      </w:r>
      <w:r w:rsidRPr="00E7753F">
        <w:rPr>
          <w:color w:val="000000"/>
        </w:rPr>
        <w:t>112 items.</w:t>
      </w:r>
      <w:r w:rsidRPr="00191003">
        <w:rPr>
          <w:color w:val="000000"/>
        </w:rPr>
        <w:t xml:space="preserve"> From this sample </w:t>
      </w:r>
      <w:r>
        <w:rPr>
          <w:color w:val="000000"/>
        </w:rPr>
        <w:t>are</w:t>
      </w:r>
      <w:r w:rsidRPr="00191003">
        <w:rPr>
          <w:color w:val="000000"/>
        </w:rPr>
        <w:t xml:space="preserve"> excluded larnakes for which </w:t>
      </w:r>
      <w:r>
        <w:rPr>
          <w:color w:val="000000"/>
        </w:rPr>
        <w:t>it has not been possible to document</w:t>
      </w:r>
      <w:r w:rsidRPr="00191003">
        <w:rPr>
          <w:color w:val="000000"/>
        </w:rPr>
        <w:t xml:space="preserve"> a secure LM III burial context</w:t>
      </w:r>
      <w:r>
        <w:rPr>
          <w:color w:val="000000"/>
        </w:rPr>
        <w:t>:</w:t>
      </w:r>
      <w:r w:rsidRPr="00191003">
        <w:rPr>
          <w:color w:val="000000"/>
        </w:rPr>
        <w:t xml:space="preserve"> </w:t>
      </w:r>
    </w:p>
    <w:p w14:paraId="485D0A15" w14:textId="77777777" w:rsidR="00D726B2" w:rsidRPr="00191003"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Twenty LM III larnakes found in</w:t>
      </w:r>
      <w:r>
        <w:rPr>
          <w:color w:val="000000"/>
        </w:rPr>
        <w:t xml:space="preserve"> a</w:t>
      </w:r>
      <w:r w:rsidRPr="00191003">
        <w:rPr>
          <w:color w:val="000000"/>
        </w:rPr>
        <w:t xml:space="preserve"> </w:t>
      </w:r>
      <w:r>
        <w:rPr>
          <w:color w:val="000000"/>
        </w:rPr>
        <w:t>later context in the</w:t>
      </w:r>
      <w:r w:rsidRPr="00191003">
        <w:rPr>
          <w:color w:val="000000"/>
        </w:rPr>
        <w:t xml:space="preserve"> </w:t>
      </w:r>
      <w:r>
        <w:rPr>
          <w:color w:val="000000"/>
        </w:rPr>
        <w:t>KNC</w:t>
      </w:r>
      <w:r w:rsidRPr="00191003">
        <w:rPr>
          <w:color w:val="000000"/>
        </w:rPr>
        <w:t xml:space="preserve"> (Coldstream</w:t>
      </w:r>
      <w:r>
        <w:rPr>
          <w:color w:val="000000"/>
        </w:rPr>
        <w:t xml:space="preserve"> and</w:t>
      </w:r>
      <w:r w:rsidRPr="00191003">
        <w:rPr>
          <w:color w:val="000000"/>
        </w:rPr>
        <w:t xml:space="preserve"> Catling 1996)</w:t>
      </w:r>
      <w:r>
        <w:rPr>
          <w:color w:val="000000"/>
        </w:rPr>
        <w:t xml:space="preserve"> and in</w:t>
      </w:r>
      <w:r w:rsidRPr="00191003">
        <w:rPr>
          <w:color w:val="000000"/>
        </w:rPr>
        <w:t xml:space="preserve"> the </w:t>
      </w:r>
      <w:r>
        <w:rPr>
          <w:color w:val="000000"/>
        </w:rPr>
        <w:t>c</w:t>
      </w:r>
      <w:r w:rsidRPr="00191003">
        <w:rPr>
          <w:color w:val="000000"/>
        </w:rPr>
        <w:t>emetery of Fortetsa (Brock 1957:</w:t>
      </w:r>
      <w:r>
        <w:rPr>
          <w:color w:val="000000"/>
        </w:rPr>
        <w:t xml:space="preserve"> </w:t>
      </w:r>
      <w:r w:rsidRPr="00191003">
        <w:rPr>
          <w:color w:val="000000"/>
        </w:rPr>
        <w:t>213-214) (</w:t>
      </w:r>
      <w:r>
        <w:rPr>
          <w:color w:val="000000"/>
        </w:rPr>
        <w:t>see</w:t>
      </w:r>
      <w:r w:rsidRPr="00191003">
        <w:rPr>
          <w:color w:val="000000"/>
        </w:rPr>
        <w:t xml:space="preserve"> </w:t>
      </w:r>
      <w:r>
        <w:rPr>
          <w:color w:val="000000"/>
        </w:rPr>
        <w:t>C</w:t>
      </w:r>
      <w:r w:rsidRPr="00191003">
        <w:rPr>
          <w:color w:val="000000"/>
        </w:rPr>
        <w:t>hap</w:t>
      </w:r>
      <w:r>
        <w:rPr>
          <w:color w:val="000000"/>
        </w:rPr>
        <w:t>ter</w:t>
      </w:r>
      <w:r w:rsidRPr="00191003">
        <w:rPr>
          <w:color w:val="000000"/>
        </w:rPr>
        <w:t xml:space="preserve"> 3)</w:t>
      </w:r>
    </w:p>
    <w:p w14:paraId="3458A8A9" w14:textId="1AE12AB6" w:rsidR="00D726B2" w:rsidRPr="00191003"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A chest</w:t>
      </w:r>
      <w:r>
        <w:rPr>
          <w:color w:val="000000"/>
        </w:rPr>
        <w:t>-</w:t>
      </w:r>
      <w:r w:rsidRPr="00191003">
        <w:rPr>
          <w:color w:val="000000"/>
        </w:rPr>
        <w:t xml:space="preserve">shaped larnax stored in the Heraklion museum and from Mastambas but with no secure burial provenance (Kanta 1980: 26, </w:t>
      </w:r>
      <w:r>
        <w:rPr>
          <w:color w:val="000000"/>
        </w:rPr>
        <w:t>F</w:t>
      </w:r>
      <w:r w:rsidRPr="00191003">
        <w:rPr>
          <w:color w:val="000000"/>
        </w:rPr>
        <w:t>ig. 9.9; Merousis 2000: 157-158; Spiliotopoulou 20</w:t>
      </w:r>
      <w:r>
        <w:rPr>
          <w:color w:val="000000"/>
        </w:rPr>
        <w:t>10</w:t>
      </w:r>
      <w:r w:rsidRPr="00191003">
        <w:rPr>
          <w:color w:val="000000"/>
        </w:rPr>
        <w:t>:</w:t>
      </w:r>
      <w:r w:rsidR="00480841">
        <w:rPr>
          <w:color w:val="000000"/>
        </w:rPr>
        <w:t xml:space="preserve"> </w:t>
      </w:r>
      <w:r w:rsidRPr="00191003">
        <w:rPr>
          <w:color w:val="000000"/>
        </w:rPr>
        <w:t>98)</w:t>
      </w:r>
    </w:p>
    <w:p w14:paraId="484B3DDA" w14:textId="190974C0" w:rsidR="00D726B2" w:rsidRPr="00191003"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 xml:space="preserve">A bathtub larnax from Katsambas stored at </w:t>
      </w:r>
      <w:r>
        <w:rPr>
          <w:color w:val="000000"/>
        </w:rPr>
        <w:t xml:space="preserve">the </w:t>
      </w:r>
      <w:r w:rsidRPr="00191003">
        <w:rPr>
          <w:color w:val="000000"/>
        </w:rPr>
        <w:t xml:space="preserve">Heraklion museum (Kanta 1980: 292, </w:t>
      </w:r>
      <w:r>
        <w:rPr>
          <w:color w:val="000000"/>
        </w:rPr>
        <w:t>F</w:t>
      </w:r>
      <w:r w:rsidRPr="00191003">
        <w:rPr>
          <w:color w:val="000000"/>
        </w:rPr>
        <w:t>ig.71.10; Merousis 2000</w:t>
      </w:r>
      <w:r>
        <w:rPr>
          <w:color w:val="000000"/>
        </w:rPr>
        <w:t xml:space="preserve">: </w:t>
      </w:r>
      <w:r w:rsidRPr="00191003">
        <w:rPr>
          <w:color w:val="000000"/>
        </w:rPr>
        <w:t>139-140; Spiliotopoulou 20</w:t>
      </w:r>
      <w:r>
        <w:rPr>
          <w:color w:val="000000"/>
        </w:rPr>
        <w:t>10</w:t>
      </w:r>
      <w:r w:rsidR="00480841">
        <w:rPr>
          <w:color w:val="000000"/>
        </w:rPr>
        <w:t>:</w:t>
      </w:r>
      <w:r w:rsidRPr="00191003">
        <w:rPr>
          <w:color w:val="000000"/>
        </w:rPr>
        <w:t xml:space="preserve"> 85-86)</w:t>
      </w:r>
    </w:p>
    <w:p w14:paraId="0990A19A" w14:textId="6413D23E" w:rsidR="00D726B2" w:rsidRPr="00191003"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 xml:space="preserve">A larnax </w:t>
      </w:r>
      <w:r>
        <w:rPr>
          <w:color w:val="000000"/>
        </w:rPr>
        <w:t xml:space="preserve">reported </w:t>
      </w:r>
      <w:r w:rsidRPr="00191003">
        <w:rPr>
          <w:color w:val="000000"/>
        </w:rPr>
        <w:t xml:space="preserve">from the area east of </w:t>
      </w:r>
      <w:r>
        <w:rPr>
          <w:color w:val="000000"/>
        </w:rPr>
        <w:t>the T</w:t>
      </w:r>
      <w:r w:rsidRPr="00191003">
        <w:rPr>
          <w:color w:val="000000"/>
        </w:rPr>
        <w:t xml:space="preserve">emple </w:t>
      </w:r>
      <w:r>
        <w:rPr>
          <w:color w:val="000000"/>
        </w:rPr>
        <w:t>T</w:t>
      </w:r>
      <w:r w:rsidRPr="00191003">
        <w:rPr>
          <w:color w:val="000000"/>
        </w:rPr>
        <w:t>omb d</w:t>
      </w:r>
      <w:r>
        <w:rPr>
          <w:color w:val="000000"/>
        </w:rPr>
        <w:t>ated</w:t>
      </w:r>
      <w:r w:rsidR="00480841">
        <w:rPr>
          <w:color w:val="000000"/>
        </w:rPr>
        <w:t xml:space="preserve"> to</w:t>
      </w:r>
      <w:r>
        <w:rPr>
          <w:color w:val="000000"/>
        </w:rPr>
        <w:t xml:space="preserve"> LM II (</w:t>
      </w:r>
      <w:r w:rsidRPr="00733192">
        <w:rPr>
          <w:i/>
          <w:color w:val="000000"/>
        </w:rPr>
        <w:t>ADelt</w:t>
      </w:r>
      <w:r>
        <w:rPr>
          <w:color w:val="000000"/>
        </w:rPr>
        <w:t xml:space="preserve"> 16 1960:</w:t>
      </w:r>
      <w:r w:rsidR="00480841">
        <w:rPr>
          <w:color w:val="000000"/>
        </w:rPr>
        <w:t xml:space="preserve"> </w:t>
      </w:r>
      <w:r>
        <w:rPr>
          <w:color w:val="000000"/>
        </w:rPr>
        <w:t>266; Löwe 1996:</w:t>
      </w:r>
      <w:r w:rsidR="00B93159">
        <w:rPr>
          <w:color w:val="000000"/>
        </w:rPr>
        <w:t xml:space="preserve"> </w:t>
      </w:r>
      <w:r>
        <w:rPr>
          <w:color w:val="000000"/>
        </w:rPr>
        <w:t xml:space="preserve">198 n. 485; </w:t>
      </w:r>
      <w:r w:rsidRPr="00191003">
        <w:rPr>
          <w:color w:val="000000"/>
        </w:rPr>
        <w:t>Preston 2000)</w:t>
      </w:r>
    </w:p>
    <w:p w14:paraId="0C94366A" w14:textId="6775910D" w:rsidR="00D726B2" w:rsidRPr="00191003"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Clay larnakes from settlement contexts (</w:t>
      </w:r>
      <w:r>
        <w:rPr>
          <w:color w:val="000000"/>
        </w:rPr>
        <w:t>see</w:t>
      </w:r>
      <w:r w:rsidRPr="00191003">
        <w:rPr>
          <w:color w:val="000000"/>
        </w:rPr>
        <w:t xml:space="preserve"> </w:t>
      </w:r>
      <w:r>
        <w:rPr>
          <w:color w:val="000000"/>
        </w:rPr>
        <w:t>C</w:t>
      </w:r>
      <w:r w:rsidRPr="00191003">
        <w:rPr>
          <w:color w:val="000000"/>
        </w:rPr>
        <w:t>hap</w:t>
      </w:r>
      <w:r>
        <w:rPr>
          <w:color w:val="000000"/>
        </w:rPr>
        <w:t>ter</w:t>
      </w:r>
      <w:r w:rsidRPr="00191003">
        <w:rPr>
          <w:color w:val="000000"/>
        </w:rPr>
        <w:t xml:space="preserve"> 3</w:t>
      </w:r>
      <w:r w:rsidR="00B93159">
        <w:rPr>
          <w:color w:val="000000"/>
        </w:rPr>
        <w:t>,</w:t>
      </w:r>
      <w:r w:rsidRPr="00191003">
        <w:rPr>
          <w:color w:val="000000"/>
        </w:rPr>
        <w:t xml:space="preserve"> p. 41)</w:t>
      </w:r>
    </w:p>
    <w:p w14:paraId="2CF82D17" w14:textId="77777777" w:rsidR="00D726B2" w:rsidRPr="00191003" w:rsidRDefault="00D726B2" w:rsidP="00E858EF">
      <w:pPr>
        <w:pStyle w:val="Titolo3"/>
        <w:keepNext w:val="0"/>
        <w:keepLines w:val="0"/>
        <w:suppressAutoHyphens/>
      </w:pPr>
      <w:bookmarkStart w:id="1103" w:name="_Toc517807604"/>
      <w:bookmarkStart w:id="1104" w:name="_Toc519894690"/>
      <w:r w:rsidRPr="00191003">
        <w:t xml:space="preserve">Does a standard larnax exist for </w:t>
      </w:r>
      <w:r>
        <w:t xml:space="preserve">the </w:t>
      </w:r>
      <w:r w:rsidRPr="00191003">
        <w:t>Knossos area? Wh</w:t>
      </w:r>
      <w:r>
        <w:t>at</w:t>
      </w:r>
      <w:r w:rsidRPr="00191003">
        <w:t xml:space="preserve"> are its characteristics?</w:t>
      </w:r>
      <w:bookmarkEnd w:id="1103"/>
      <w:bookmarkEnd w:id="1104"/>
    </w:p>
    <w:p w14:paraId="47E6A81E" w14:textId="52190C08" w:rsidR="00D726B2"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T</w:t>
      </w:r>
      <w:r w:rsidRPr="00191003">
        <w:rPr>
          <w:color w:val="000000"/>
        </w:rPr>
        <w:t>he sample of larnakes var</w:t>
      </w:r>
      <w:r>
        <w:rPr>
          <w:color w:val="000000"/>
        </w:rPr>
        <w:t>ies</w:t>
      </w:r>
      <w:r w:rsidRPr="00191003">
        <w:rPr>
          <w:color w:val="000000"/>
        </w:rPr>
        <w:t xml:space="preserve"> </w:t>
      </w:r>
      <w:r>
        <w:rPr>
          <w:color w:val="000000"/>
        </w:rPr>
        <w:t>regarding</w:t>
      </w:r>
      <w:r w:rsidRPr="00191003">
        <w:rPr>
          <w:color w:val="000000"/>
        </w:rPr>
        <w:t xml:space="preserve"> morphological characteristic</w:t>
      </w:r>
      <w:r>
        <w:rPr>
          <w:color w:val="000000"/>
        </w:rPr>
        <w:t>s</w:t>
      </w:r>
      <w:r w:rsidRPr="00191003">
        <w:rPr>
          <w:color w:val="000000"/>
        </w:rPr>
        <w:t xml:space="preserve"> due to data limits</w:t>
      </w:r>
      <w:r>
        <w:rPr>
          <w:color w:val="000000"/>
        </w:rPr>
        <w:t>;</w:t>
      </w:r>
      <w:r w:rsidRPr="00191003">
        <w:rPr>
          <w:color w:val="000000"/>
        </w:rPr>
        <w:t xml:space="preserve"> however</w:t>
      </w:r>
      <w:r>
        <w:rPr>
          <w:color w:val="000000"/>
        </w:rPr>
        <w:t>,</w:t>
      </w:r>
      <w:r w:rsidRPr="00191003">
        <w:rPr>
          <w:color w:val="000000"/>
        </w:rPr>
        <w:t xml:space="preserve"> it is possible to recognise a standard larnax type </w:t>
      </w:r>
      <w:r>
        <w:rPr>
          <w:color w:val="000000"/>
        </w:rPr>
        <w:t>o</w:t>
      </w:r>
      <w:r w:rsidRPr="00191003">
        <w:rPr>
          <w:color w:val="000000"/>
        </w:rPr>
        <w:t>n which the following morphological characteristics</w:t>
      </w:r>
      <w:r>
        <w:rPr>
          <w:color w:val="000000"/>
        </w:rPr>
        <w:t xml:space="preserve"> appear</w:t>
      </w:r>
      <w:r w:rsidRPr="00191003">
        <w:rPr>
          <w:color w:val="000000"/>
        </w:rPr>
        <w:t>:</w:t>
      </w:r>
    </w:p>
    <w:p w14:paraId="25EF5F4E" w14:textId="77777777" w:rsidR="00A15EAE" w:rsidRPr="00191003" w:rsidRDefault="00A15EA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rPr>
      </w:pPr>
    </w:p>
    <w:p w14:paraId="76CC5BCA"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Larnax type: information available for the entire sample of 113 larnakes</w:t>
      </w:r>
      <w:r>
        <w:rPr>
          <w:color w:val="000000"/>
        </w:rPr>
        <w:t>.</w:t>
      </w:r>
    </w:p>
    <w:p w14:paraId="18EA4CDF" w14:textId="1234A7A3" w:rsidR="00D726B2" w:rsidRPr="00191003" w:rsidRDefault="00D726B2" w:rsidP="00E858EF">
      <w:pPr>
        <w:pStyle w:val="Testofumetto"/>
        <w:suppressAutoHyphens/>
      </w:pPr>
      <w:bookmarkStart w:id="1105" w:name="_Toc520212640"/>
      <w:r>
        <w:t>Table 5-15</w:t>
      </w:r>
      <w:r w:rsidR="0038702D">
        <w:t>.</w:t>
      </w:r>
      <w:r>
        <w:t xml:space="preserve"> Larnax type, Knossos</w:t>
      </w:r>
      <w:bookmarkEnd w:id="1105"/>
      <w:r w:rsidR="006934A7">
        <w:t xml:space="preserve"> area</w:t>
      </w:r>
    </w:p>
    <w:tbl>
      <w:tblPr>
        <w:tblW w:w="0" w:type="auto"/>
        <w:tblInd w:w="8" w:type="dxa"/>
        <w:tblCellMar>
          <w:left w:w="0" w:type="dxa"/>
          <w:right w:w="0" w:type="dxa"/>
        </w:tblCellMar>
        <w:tblLook w:val="04A0" w:firstRow="1" w:lastRow="0" w:firstColumn="1" w:lastColumn="0" w:noHBand="0" w:noVBand="1"/>
      </w:tblPr>
      <w:tblGrid>
        <w:gridCol w:w="1275"/>
        <w:gridCol w:w="1275"/>
        <w:gridCol w:w="1275"/>
        <w:gridCol w:w="1377"/>
      </w:tblGrid>
      <w:tr w:rsidR="00D726B2" w:rsidRPr="005F65FC" w14:paraId="53C6544A" w14:textId="77777777" w:rsidTr="00A15EAE">
        <w:trPr>
          <w:trHeight w:val="315"/>
        </w:trPr>
        <w:tc>
          <w:tcPr>
            <w:tcW w:w="1275" w:type="dxa"/>
            <w:tcBorders>
              <w:top w:val="single" w:sz="6" w:space="0" w:color="000000"/>
              <w:left w:val="single" w:sz="6" w:space="0" w:color="000000"/>
              <w:bottom w:val="single" w:sz="6" w:space="0" w:color="000000"/>
              <w:right w:val="single" w:sz="6" w:space="0" w:color="000000"/>
            </w:tcBorders>
          </w:tcPr>
          <w:p w14:paraId="6F93BD7B" w14:textId="77777777" w:rsidR="00D726B2" w:rsidRPr="005F65FC" w:rsidRDefault="00D726B2" w:rsidP="00E858EF">
            <w:pPr>
              <w:suppressAutoHyphens/>
              <w:jc w:val="center"/>
              <w:rPr>
                <w:sz w:val="20"/>
              </w:rPr>
            </w:pPr>
            <w:r w:rsidRPr="005F65FC">
              <w:rPr>
                <w:sz w:val="20"/>
              </w:rPr>
              <w:t>Chest</w:t>
            </w:r>
          </w:p>
        </w:tc>
        <w:tc>
          <w:tcPr>
            <w:tcW w:w="1275" w:type="dxa"/>
            <w:tcBorders>
              <w:top w:val="single" w:sz="6" w:space="0" w:color="000000"/>
              <w:left w:val="single" w:sz="6" w:space="0" w:color="000000"/>
              <w:bottom w:val="single" w:sz="6" w:space="0" w:color="000000"/>
              <w:right w:val="single" w:sz="6" w:space="0" w:color="000000"/>
            </w:tcBorders>
          </w:tcPr>
          <w:p w14:paraId="11D919EA" w14:textId="77777777" w:rsidR="00D726B2" w:rsidRPr="005F65FC" w:rsidRDefault="00D726B2" w:rsidP="00E858EF">
            <w:pPr>
              <w:suppressAutoHyphens/>
              <w:jc w:val="center"/>
              <w:rPr>
                <w:sz w:val="20"/>
              </w:rPr>
            </w:pPr>
            <w:r w:rsidRPr="005F65FC">
              <w:rPr>
                <w:sz w:val="20"/>
              </w:rPr>
              <w:t>Bath</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0C3CDCB" w14:textId="77777777" w:rsidR="00D726B2" w:rsidRPr="005F65FC" w:rsidRDefault="00D726B2" w:rsidP="00E858EF">
            <w:pPr>
              <w:suppressAutoHyphens/>
              <w:jc w:val="center"/>
              <w:rPr>
                <w:sz w:val="20"/>
              </w:rPr>
            </w:pPr>
            <w:r w:rsidRPr="005F65FC">
              <w:rPr>
                <w:sz w:val="20"/>
              </w:rPr>
              <w:t>Lid</w:t>
            </w:r>
          </w:p>
        </w:tc>
        <w:tc>
          <w:tcPr>
            <w:tcW w:w="137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2BACFE6" w14:textId="77777777" w:rsidR="00D726B2" w:rsidRPr="005F65FC" w:rsidRDefault="00D726B2" w:rsidP="00E858EF">
            <w:pPr>
              <w:suppressAutoHyphens/>
              <w:jc w:val="center"/>
              <w:rPr>
                <w:sz w:val="20"/>
              </w:rPr>
            </w:pPr>
            <w:r w:rsidRPr="005F65FC">
              <w:rPr>
                <w:color w:val="000000"/>
                <w:sz w:val="20"/>
              </w:rPr>
              <w:t>Fragmentary</w:t>
            </w:r>
          </w:p>
        </w:tc>
      </w:tr>
      <w:tr w:rsidR="00D726B2" w:rsidRPr="005F65FC" w14:paraId="17A1EA9B" w14:textId="77777777" w:rsidTr="00A15EAE">
        <w:trPr>
          <w:trHeight w:val="315"/>
        </w:trPr>
        <w:tc>
          <w:tcPr>
            <w:tcW w:w="1275" w:type="dxa"/>
            <w:tcBorders>
              <w:top w:val="single" w:sz="6" w:space="0" w:color="000000"/>
              <w:left w:val="single" w:sz="6" w:space="0" w:color="000000"/>
              <w:bottom w:val="single" w:sz="6" w:space="0" w:color="000000"/>
              <w:right w:val="single" w:sz="6" w:space="0" w:color="000000"/>
            </w:tcBorders>
          </w:tcPr>
          <w:p w14:paraId="7A9C7B64" w14:textId="77777777" w:rsidR="00D726B2" w:rsidRPr="005F65FC" w:rsidRDefault="00D726B2" w:rsidP="00E858EF">
            <w:pPr>
              <w:suppressAutoHyphens/>
              <w:jc w:val="center"/>
              <w:rPr>
                <w:sz w:val="20"/>
              </w:rPr>
            </w:pPr>
            <w:r w:rsidRPr="005F65FC">
              <w:rPr>
                <w:sz w:val="20"/>
              </w:rPr>
              <w:t>97</w:t>
            </w:r>
          </w:p>
        </w:tc>
        <w:tc>
          <w:tcPr>
            <w:tcW w:w="1275" w:type="dxa"/>
            <w:tcBorders>
              <w:top w:val="single" w:sz="6" w:space="0" w:color="000000"/>
              <w:left w:val="single" w:sz="6" w:space="0" w:color="000000"/>
              <w:bottom w:val="single" w:sz="6" w:space="0" w:color="000000"/>
              <w:right w:val="single" w:sz="6" w:space="0" w:color="000000"/>
            </w:tcBorders>
          </w:tcPr>
          <w:p w14:paraId="60369A5F" w14:textId="77777777" w:rsidR="00D726B2" w:rsidRPr="005F65FC" w:rsidRDefault="00D726B2" w:rsidP="00E858EF">
            <w:pPr>
              <w:suppressAutoHyphens/>
              <w:jc w:val="center"/>
              <w:rPr>
                <w:sz w:val="20"/>
              </w:rPr>
            </w:pPr>
            <w:r w:rsidRPr="005F65FC">
              <w:rPr>
                <w:sz w:val="20"/>
              </w:rPr>
              <w:t>0</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29CD0FD8" w14:textId="77777777" w:rsidR="00D726B2" w:rsidRPr="005F65FC" w:rsidRDefault="00D726B2" w:rsidP="00E858EF">
            <w:pPr>
              <w:suppressAutoHyphens/>
              <w:jc w:val="center"/>
              <w:rPr>
                <w:sz w:val="20"/>
              </w:rPr>
            </w:pPr>
            <w:r w:rsidRPr="005F65FC">
              <w:rPr>
                <w:sz w:val="20"/>
              </w:rPr>
              <w:t>11</w:t>
            </w:r>
          </w:p>
        </w:tc>
        <w:tc>
          <w:tcPr>
            <w:tcW w:w="1377"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3AE5A96F" w14:textId="77777777" w:rsidR="00D726B2" w:rsidRPr="005F65FC" w:rsidRDefault="00D726B2" w:rsidP="00E858EF">
            <w:pPr>
              <w:suppressAutoHyphens/>
              <w:jc w:val="center"/>
              <w:rPr>
                <w:color w:val="000000"/>
                <w:sz w:val="20"/>
              </w:rPr>
            </w:pPr>
            <w:r w:rsidRPr="005F65FC">
              <w:rPr>
                <w:color w:val="000000"/>
                <w:sz w:val="20"/>
              </w:rPr>
              <w:t>4</w:t>
            </w:r>
          </w:p>
        </w:tc>
      </w:tr>
    </w:tbl>
    <w:p w14:paraId="39B209A3" w14:textId="77777777" w:rsidR="00D726B2" w:rsidRPr="00B2679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p w14:paraId="7E287712"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 xml:space="preserve">Dimension range: </w:t>
      </w:r>
      <w:r>
        <w:rPr>
          <w:color w:val="000000"/>
        </w:rPr>
        <w:t>i</w:t>
      </w:r>
      <w:r w:rsidRPr="00191003">
        <w:rPr>
          <w:color w:val="000000"/>
        </w:rPr>
        <w:t>nformation is available on a sample of 21 larnakes</w:t>
      </w:r>
      <w:r>
        <w:rPr>
          <w:color w:val="000000"/>
        </w:rPr>
        <w:t>.</w:t>
      </w:r>
    </w:p>
    <w:p w14:paraId="716CEAF7" w14:textId="090FCF97" w:rsidR="00D726B2" w:rsidRPr="00191003" w:rsidRDefault="00D726B2" w:rsidP="00E858EF">
      <w:pPr>
        <w:pStyle w:val="Testofumetto"/>
        <w:suppressAutoHyphens/>
      </w:pPr>
      <w:bookmarkStart w:id="1106" w:name="_Toc520212641"/>
      <w:r>
        <w:t>Table 5-16</w:t>
      </w:r>
      <w:r w:rsidR="0038702D">
        <w:t>.</w:t>
      </w:r>
      <w:r>
        <w:t xml:space="preserve"> Dimension range, Knossos</w:t>
      </w:r>
      <w:bookmarkEnd w:id="1106"/>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1275"/>
        <w:gridCol w:w="1134"/>
      </w:tblGrid>
      <w:tr w:rsidR="00D726B2" w:rsidRPr="005F65FC" w14:paraId="3AFF3311"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7A7F08A1" w14:textId="77777777" w:rsidR="00D726B2" w:rsidRPr="005F65FC" w:rsidRDefault="00D726B2" w:rsidP="00E858EF">
            <w:pPr>
              <w:suppressAutoHyphens/>
              <w:jc w:val="center"/>
              <w:rPr>
                <w:b/>
                <w:sz w:val="20"/>
                <w:szCs w:val="20"/>
              </w:rPr>
            </w:pPr>
          </w:p>
        </w:tc>
        <w:tc>
          <w:tcPr>
            <w:tcW w:w="1275" w:type="dxa"/>
            <w:tcBorders>
              <w:top w:val="single" w:sz="6" w:space="0" w:color="000000"/>
              <w:left w:val="single" w:sz="6" w:space="0" w:color="000000"/>
              <w:bottom w:val="single" w:sz="6" w:space="0" w:color="000000"/>
              <w:right w:val="single" w:sz="6" w:space="0" w:color="000000"/>
            </w:tcBorders>
          </w:tcPr>
          <w:p w14:paraId="767AEEEA"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Length</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52C6C89"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Height</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744CA267"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color w:val="000000"/>
                <w:sz w:val="20"/>
              </w:rPr>
              <w:t>Width</w:t>
            </w:r>
          </w:p>
        </w:tc>
      </w:tr>
      <w:tr w:rsidR="00D726B2" w:rsidRPr="005F65FC" w14:paraId="2867C463"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6B56F182"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Mean</w:t>
            </w:r>
          </w:p>
        </w:tc>
        <w:tc>
          <w:tcPr>
            <w:tcW w:w="1275" w:type="dxa"/>
            <w:tcBorders>
              <w:top w:val="single" w:sz="6" w:space="0" w:color="000000"/>
              <w:left w:val="single" w:sz="6" w:space="0" w:color="000000"/>
              <w:bottom w:val="single" w:sz="6" w:space="0" w:color="000000"/>
              <w:right w:val="single" w:sz="6" w:space="0" w:color="000000"/>
            </w:tcBorders>
          </w:tcPr>
          <w:p w14:paraId="017BFC5F"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105.5</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0C8D6A9C"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76</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283F8897" w14:textId="77777777" w:rsidR="00D726B2" w:rsidRPr="005F65FC" w:rsidRDefault="00D726B2" w:rsidP="00E858EF">
            <w:pPr>
              <w:suppressAutoHyphens/>
              <w:jc w:val="center"/>
              <w:rPr>
                <w:rFonts w:eastAsiaTheme="majorEastAsia"/>
                <w:i/>
                <w:iCs/>
                <w:color w:val="000000"/>
                <w:sz w:val="20"/>
                <w:szCs w:val="20"/>
              </w:rPr>
            </w:pPr>
            <w:r w:rsidRPr="005F65FC">
              <w:rPr>
                <w:color w:val="000000"/>
                <w:sz w:val="20"/>
              </w:rPr>
              <w:t>42</w:t>
            </w:r>
          </w:p>
        </w:tc>
      </w:tr>
      <w:tr w:rsidR="00D726B2" w:rsidRPr="005F65FC" w14:paraId="716AD423"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2FE5DCA6"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Max</w:t>
            </w:r>
          </w:p>
        </w:tc>
        <w:tc>
          <w:tcPr>
            <w:tcW w:w="1275" w:type="dxa"/>
            <w:tcBorders>
              <w:top w:val="single" w:sz="6" w:space="0" w:color="000000"/>
              <w:left w:val="single" w:sz="6" w:space="0" w:color="000000"/>
              <w:bottom w:val="single" w:sz="6" w:space="0" w:color="000000"/>
              <w:right w:val="single" w:sz="6" w:space="0" w:color="000000"/>
            </w:tcBorders>
          </w:tcPr>
          <w:p w14:paraId="204EA3DC"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120</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03F0FF10"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119</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4F75B342" w14:textId="77777777" w:rsidR="00D726B2" w:rsidRPr="005F65FC" w:rsidRDefault="00D726B2" w:rsidP="00E858EF">
            <w:pPr>
              <w:suppressAutoHyphens/>
              <w:jc w:val="center"/>
              <w:rPr>
                <w:rFonts w:eastAsiaTheme="majorEastAsia"/>
                <w:i/>
                <w:iCs/>
                <w:color w:val="000000"/>
                <w:sz w:val="20"/>
                <w:szCs w:val="20"/>
              </w:rPr>
            </w:pPr>
            <w:r w:rsidRPr="005F65FC">
              <w:rPr>
                <w:color w:val="000000"/>
                <w:sz w:val="20"/>
              </w:rPr>
              <w:t>48</w:t>
            </w:r>
          </w:p>
        </w:tc>
      </w:tr>
      <w:tr w:rsidR="00D726B2" w:rsidRPr="005F65FC" w14:paraId="6F2BAD2C"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2A592D1D"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Min</w:t>
            </w:r>
          </w:p>
        </w:tc>
        <w:tc>
          <w:tcPr>
            <w:tcW w:w="1275" w:type="dxa"/>
            <w:tcBorders>
              <w:top w:val="single" w:sz="6" w:space="0" w:color="000000"/>
              <w:left w:val="single" w:sz="6" w:space="0" w:color="000000"/>
              <w:bottom w:val="single" w:sz="6" w:space="0" w:color="000000"/>
              <w:right w:val="single" w:sz="6" w:space="0" w:color="000000"/>
            </w:tcBorders>
          </w:tcPr>
          <w:p w14:paraId="3A2488AD"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74</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269C3834"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53</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5224F72F" w14:textId="77777777" w:rsidR="00D726B2" w:rsidRPr="005F65FC" w:rsidRDefault="00D726B2" w:rsidP="00E858EF">
            <w:pPr>
              <w:suppressAutoHyphens/>
              <w:jc w:val="center"/>
              <w:rPr>
                <w:rFonts w:eastAsiaTheme="majorEastAsia"/>
                <w:i/>
                <w:iCs/>
                <w:color w:val="000000"/>
                <w:sz w:val="20"/>
                <w:szCs w:val="20"/>
              </w:rPr>
            </w:pPr>
            <w:r w:rsidRPr="005F65FC">
              <w:rPr>
                <w:color w:val="000000"/>
                <w:sz w:val="20"/>
              </w:rPr>
              <w:t>36</w:t>
            </w:r>
          </w:p>
        </w:tc>
      </w:tr>
    </w:tbl>
    <w:p w14:paraId="799F6EC9" w14:textId="77777777" w:rsidR="00D726B2" w:rsidRPr="00B2679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p w14:paraId="746A1452"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708"/>
        <w:rPr>
          <w:color w:val="000000"/>
        </w:rPr>
      </w:pPr>
      <w:r w:rsidRPr="002504D6">
        <w:rPr>
          <w:color w:val="000000"/>
        </w:rPr>
        <w:t>Lid occurrence/lid type: gable lid. Information is available on a sample of 50 larnakes</w:t>
      </w:r>
    </w:p>
    <w:p w14:paraId="172232E7" w14:textId="77777777" w:rsidR="00D726B2"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708"/>
        <w:rPr>
          <w:color w:val="000000"/>
        </w:rPr>
      </w:pPr>
    </w:p>
    <w:p w14:paraId="28589327" w14:textId="77777777" w:rsidR="005F65FC" w:rsidRDefault="005F65FC">
      <w:pPr>
        <w:widowControl/>
        <w:spacing w:line="240" w:lineRule="auto"/>
        <w:contextualSpacing w:val="0"/>
        <w:jc w:val="left"/>
        <w:rPr>
          <w:rFonts w:cs="Lucida Grande"/>
          <w:b/>
          <w:sz w:val="20"/>
          <w:szCs w:val="18"/>
        </w:rPr>
      </w:pPr>
      <w:r>
        <w:br w:type="page"/>
      </w:r>
    </w:p>
    <w:p w14:paraId="16077B8C" w14:textId="3501C89A" w:rsidR="00D726B2" w:rsidRPr="00E7753F" w:rsidRDefault="00D726B2" w:rsidP="00E858EF">
      <w:pPr>
        <w:pStyle w:val="Testofumetto"/>
        <w:suppressAutoHyphens/>
      </w:pPr>
      <w:bookmarkStart w:id="1107" w:name="_Toc520212642"/>
      <w:r w:rsidRPr="007F18D6">
        <w:t>Table 5-</w:t>
      </w:r>
      <w:r>
        <w:t>17</w:t>
      </w:r>
      <w:r w:rsidR="009B70F8">
        <w:t>.</w:t>
      </w:r>
      <w:r w:rsidRPr="007F18D6">
        <w:t xml:space="preserve"> Lid occurrence, Knossos</w:t>
      </w:r>
      <w:bookmarkEnd w:id="1107"/>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3904"/>
      </w:tblGrid>
      <w:tr w:rsidR="00D726B2" w:rsidRPr="005F65FC" w14:paraId="43775DE5" w14:textId="77777777" w:rsidTr="00A15EAE">
        <w:trPr>
          <w:trHeight w:val="315"/>
        </w:trPr>
        <w:tc>
          <w:tcPr>
            <w:tcW w:w="1275" w:type="dxa"/>
            <w:tcBorders>
              <w:top w:val="single" w:sz="6" w:space="0" w:color="000000"/>
              <w:left w:val="single" w:sz="6" w:space="0" w:color="000000"/>
              <w:bottom w:val="single" w:sz="6" w:space="0" w:color="000000"/>
              <w:right w:val="single" w:sz="6" w:space="0" w:color="000000"/>
            </w:tcBorders>
          </w:tcPr>
          <w:p w14:paraId="381B631B"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Flat</w:t>
            </w:r>
          </w:p>
        </w:tc>
        <w:tc>
          <w:tcPr>
            <w:tcW w:w="1275" w:type="dxa"/>
            <w:tcBorders>
              <w:top w:val="single" w:sz="6" w:space="0" w:color="000000"/>
              <w:left w:val="single" w:sz="6" w:space="0" w:color="000000"/>
              <w:bottom w:val="single" w:sz="6" w:space="0" w:color="000000"/>
              <w:right w:val="single" w:sz="6" w:space="0" w:color="000000"/>
            </w:tcBorders>
          </w:tcPr>
          <w:p w14:paraId="0DB5D3F6"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Gabled</w:t>
            </w:r>
          </w:p>
        </w:tc>
        <w:tc>
          <w:tcPr>
            <w:tcW w:w="390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3912CFB"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Lid made of other larnax fragments</w:t>
            </w:r>
          </w:p>
        </w:tc>
      </w:tr>
      <w:tr w:rsidR="00D726B2" w:rsidRPr="005F65FC" w14:paraId="6AB362B0" w14:textId="77777777" w:rsidTr="00A15EAE">
        <w:trPr>
          <w:trHeight w:val="315"/>
        </w:trPr>
        <w:tc>
          <w:tcPr>
            <w:tcW w:w="1275" w:type="dxa"/>
            <w:tcBorders>
              <w:top w:val="single" w:sz="6" w:space="0" w:color="000000"/>
              <w:left w:val="single" w:sz="6" w:space="0" w:color="000000"/>
              <w:bottom w:val="single" w:sz="6" w:space="0" w:color="000000"/>
              <w:right w:val="single" w:sz="6" w:space="0" w:color="000000"/>
            </w:tcBorders>
          </w:tcPr>
          <w:p w14:paraId="5559E352"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1</w:t>
            </w:r>
          </w:p>
        </w:tc>
        <w:tc>
          <w:tcPr>
            <w:tcW w:w="1275" w:type="dxa"/>
            <w:tcBorders>
              <w:top w:val="single" w:sz="6" w:space="0" w:color="000000"/>
              <w:left w:val="single" w:sz="6" w:space="0" w:color="000000"/>
              <w:bottom w:val="single" w:sz="6" w:space="0" w:color="000000"/>
              <w:right w:val="single" w:sz="6" w:space="0" w:color="000000"/>
            </w:tcBorders>
          </w:tcPr>
          <w:p w14:paraId="7472A56A"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48</w:t>
            </w:r>
          </w:p>
        </w:tc>
        <w:tc>
          <w:tcPr>
            <w:tcW w:w="390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6D40D189"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1</w:t>
            </w:r>
          </w:p>
        </w:tc>
      </w:tr>
    </w:tbl>
    <w:p w14:paraId="7EDDE5C1" w14:textId="77777777" w:rsidR="00D726B2" w:rsidRPr="0035338C"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0"/>
          <w:szCs w:val="20"/>
        </w:rPr>
      </w:pPr>
    </w:p>
    <w:p w14:paraId="21C42BEE" w14:textId="77777777" w:rsidR="00D726B2" w:rsidRPr="002504D6"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560"/>
        <w:rPr>
          <w:color w:val="000000"/>
        </w:rPr>
      </w:pPr>
      <w:r w:rsidRPr="002504D6">
        <w:rPr>
          <w:color w:val="000000"/>
        </w:rPr>
        <w:t>Feet occurrences/ feet number</w:t>
      </w:r>
      <w:r>
        <w:rPr>
          <w:color w:val="000000"/>
        </w:rPr>
        <w:t>: four feet</w:t>
      </w:r>
      <w:r w:rsidRPr="002504D6">
        <w:rPr>
          <w:color w:val="000000"/>
        </w:rPr>
        <w:t>. Information is available on a sample of 43 larnakes</w:t>
      </w:r>
    </w:p>
    <w:p w14:paraId="168BC6E5" w14:textId="20799064" w:rsidR="00D726B2" w:rsidRPr="00191003" w:rsidRDefault="00D726B2" w:rsidP="00E858EF">
      <w:pPr>
        <w:pStyle w:val="Testofumetto"/>
        <w:suppressAutoHyphens/>
      </w:pPr>
      <w:bookmarkStart w:id="1108" w:name="_Toc520212643"/>
      <w:r>
        <w:t>Table 5-18</w:t>
      </w:r>
      <w:r w:rsidR="009B70F8">
        <w:t>.</w:t>
      </w:r>
      <w:r>
        <w:t xml:space="preserve"> Feet occurrence, Knossos</w:t>
      </w:r>
      <w:bookmarkEnd w:id="1108"/>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1920"/>
        <w:gridCol w:w="1559"/>
      </w:tblGrid>
      <w:tr w:rsidR="00D726B2" w:rsidRPr="005F65FC" w14:paraId="75EE7B19" w14:textId="77777777" w:rsidTr="00A15EAE">
        <w:trPr>
          <w:trHeight w:val="315"/>
        </w:trPr>
        <w:tc>
          <w:tcPr>
            <w:tcW w:w="1275" w:type="dxa"/>
            <w:tcBorders>
              <w:top w:val="single" w:sz="6" w:space="0" w:color="000000"/>
              <w:left w:val="single" w:sz="6" w:space="0" w:color="000000"/>
              <w:bottom w:val="single" w:sz="6" w:space="0" w:color="000000"/>
              <w:right w:val="single" w:sz="6" w:space="0" w:color="000000"/>
            </w:tcBorders>
          </w:tcPr>
          <w:p w14:paraId="0B5A01A8"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4 Feet</w:t>
            </w:r>
          </w:p>
        </w:tc>
        <w:tc>
          <w:tcPr>
            <w:tcW w:w="1275" w:type="dxa"/>
            <w:tcBorders>
              <w:top w:val="single" w:sz="6" w:space="0" w:color="000000"/>
              <w:left w:val="single" w:sz="6" w:space="0" w:color="000000"/>
              <w:bottom w:val="single" w:sz="6" w:space="0" w:color="000000"/>
              <w:right w:val="single" w:sz="6" w:space="0" w:color="000000"/>
            </w:tcBorders>
          </w:tcPr>
          <w:p w14:paraId="16FE41EE"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6 Feet</w:t>
            </w:r>
          </w:p>
        </w:tc>
        <w:tc>
          <w:tcPr>
            <w:tcW w:w="1920" w:type="dxa"/>
            <w:tcBorders>
              <w:top w:val="single" w:sz="6" w:space="0" w:color="000000"/>
              <w:left w:val="single" w:sz="6" w:space="0" w:color="000000"/>
              <w:bottom w:val="single" w:sz="6" w:space="0" w:color="000000"/>
              <w:right w:val="single" w:sz="6" w:space="0" w:color="000000"/>
            </w:tcBorders>
          </w:tcPr>
          <w:p w14:paraId="33340E45" w14:textId="7333C028"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 xml:space="preserve">Feet </w:t>
            </w:r>
            <w:r w:rsidR="00A15EAE" w:rsidRPr="005F65FC">
              <w:rPr>
                <w:sz w:val="20"/>
              </w:rPr>
              <w:t>present</w:t>
            </w:r>
            <w:r w:rsidRPr="005F65FC">
              <w:rPr>
                <w:rStyle w:val="Rimandonotaapidipagina"/>
                <w:sz w:val="20"/>
              </w:rPr>
              <w:footnoteReference w:id="1"/>
            </w:r>
          </w:p>
        </w:tc>
        <w:tc>
          <w:tcPr>
            <w:tcW w:w="1559" w:type="dxa"/>
            <w:tcBorders>
              <w:top w:val="single" w:sz="6" w:space="0" w:color="000000"/>
              <w:left w:val="single" w:sz="6" w:space="0" w:color="000000"/>
              <w:bottom w:val="single" w:sz="6" w:space="0" w:color="000000"/>
              <w:right w:val="single" w:sz="6" w:space="0" w:color="000000"/>
            </w:tcBorders>
          </w:tcPr>
          <w:p w14:paraId="6F14397E"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Without feet</w:t>
            </w:r>
          </w:p>
        </w:tc>
      </w:tr>
      <w:tr w:rsidR="00D726B2" w:rsidRPr="005F65FC" w14:paraId="2F5D40D4" w14:textId="77777777" w:rsidTr="00A15EAE">
        <w:trPr>
          <w:trHeight w:val="315"/>
        </w:trPr>
        <w:tc>
          <w:tcPr>
            <w:tcW w:w="1275" w:type="dxa"/>
            <w:tcBorders>
              <w:top w:val="single" w:sz="6" w:space="0" w:color="000000"/>
              <w:left w:val="single" w:sz="6" w:space="0" w:color="000000"/>
              <w:bottom w:val="single" w:sz="6" w:space="0" w:color="000000"/>
              <w:right w:val="single" w:sz="6" w:space="0" w:color="000000"/>
            </w:tcBorders>
          </w:tcPr>
          <w:p w14:paraId="58F576AD"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41</w:t>
            </w:r>
          </w:p>
        </w:tc>
        <w:tc>
          <w:tcPr>
            <w:tcW w:w="1275" w:type="dxa"/>
            <w:tcBorders>
              <w:top w:val="single" w:sz="6" w:space="0" w:color="000000"/>
              <w:left w:val="single" w:sz="6" w:space="0" w:color="000000"/>
              <w:bottom w:val="single" w:sz="6" w:space="0" w:color="000000"/>
              <w:right w:val="single" w:sz="6" w:space="0" w:color="000000"/>
            </w:tcBorders>
          </w:tcPr>
          <w:p w14:paraId="5BD6A9C8"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0</w:t>
            </w:r>
          </w:p>
        </w:tc>
        <w:tc>
          <w:tcPr>
            <w:tcW w:w="1920" w:type="dxa"/>
            <w:tcBorders>
              <w:top w:val="single" w:sz="6" w:space="0" w:color="000000"/>
              <w:left w:val="single" w:sz="6" w:space="0" w:color="000000"/>
              <w:bottom w:val="single" w:sz="6" w:space="0" w:color="000000"/>
              <w:right w:val="single" w:sz="6" w:space="0" w:color="000000"/>
            </w:tcBorders>
          </w:tcPr>
          <w:p w14:paraId="553C3CD0"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1</w:t>
            </w:r>
          </w:p>
        </w:tc>
        <w:tc>
          <w:tcPr>
            <w:tcW w:w="1559" w:type="dxa"/>
            <w:tcBorders>
              <w:top w:val="single" w:sz="6" w:space="0" w:color="000000"/>
              <w:left w:val="single" w:sz="6" w:space="0" w:color="000000"/>
              <w:bottom w:val="single" w:sz="6" w:space="0" w:color="000000"/>
              <w:right w:val="single" w:sz="6" w:space="0" w:color="000000"/>
            </w:tcBorders>
          </w:tcPr>
          <w:p w14:paraId="02F5EBA1"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1</w:t>
            </w:r>
          </w:p>
        </w:tc>
      </w:tr>
    </w:tbl>
    <w:p w14:paraId="278CC77B" w14:textId="77777777" w:rsidR="00D726B2" w:rsidRPr="0035338C"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0"/>
          <w:szCs w:val="20"/>
        </w:rPr>
      </w:pPr>
    </w:p>
    <w:p w14:paraId="5ECD8895"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560"/>
        <w:rPr>
          <w:color w:val="000000"/>
        </w:rPr>
      </w:pPr>
      <w:r w:rsidRPr="002504D6">
        <w:rPr>
          <w:color w:val="000000"/>
        </w:rPr>
        <w:t>Handles or holes occurrence: 4 handles. Information is available on a sample of 31 larnakes</w:t>
      </w:r>
      <w:r>
        <w:rPr>
          <w:color w:val="000000"/>
        </w:rPr>
        <w:t>.</w:t>
      </w:r>
    </w:p>
    <w:p w14:paraId="55F8EB0C" w14:textId="72A51B00" w:rsidR="00D726B2" w:rsidRPr="00E7753F" w:rsidRDefault="00D726B2" w:rsidP="00E858EF">
      <w:pPr>
        <w:pStyle w:val="Testofumetto"/>
        <w:suppressAutoHyphens/>
      </w:pPr>
      <w:bookmarkStart w:id="1109" w:name="_Toc520212644"/>
      <w:r>
        <w:t>Table 5-19</w:t>
      </w:r>
      <w:r w:rsidR="009B70F8">
        <w:t>.</w:t>
      </w:r>
      <w:r>
        <w:t xml:space="preserve"> Handles or holes, Knossos</w:t>
      </w:r>
      <w:bookmarkEnd w:id="1109"/>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2061"/>
      </w:tblGrid>
      <w:tr w:rsidR="00D726B2" w:rsidRPr="005F65FC" w14:paraId="308BB9C8" w14:textId="77777777" w:rsidTr="00A15EAE">
        <w:trPr>
          <w:trHeight w:val="315"/>
        </w:trPr>
        <w:tc>
          <w:tcPr>
            <w:tcW w:w="1275" w:type="dxa"/>
            <w:tcBorders>
              <w:top w:val="single" w:sz="6" w:space="0" w:color="000000"/>
              <w:left w:val="single" w:sz="6" w:space="0" w:color="000000"/>
              <w:bottom w:val="single" w:sz="6" w:space="0" w:color="000000"/>
              <w:right w:val="single" w:sz="6" w:space="0" w:color="000000"/>
            </w:tcBorders>
          </w:tcPr>
          <w:p w14:paraId="495E0F9D" w14:textId="77777777" w:rsidR="00D726B2" w:rsidRPr="005F65FC" w:rsidRDefault="00D726B2" w:rsidP="00E858EF">
            <w:pPr>
              <w:suppressAutoHyphens/>
              <w:ind w:firstLine="78"/>
              <w:jc w:val="center"/>
              <w:rPr>
                <w:rFonts w:eastAsiaTheme="majorEastAsia"/>
                <w:i/>
                <w:iCs/>
                <w:color w:val="404040" w:themeColor="text1" w:themeTint="BF"/>
                <w:sz w:val="20"/>
                <w:szCs w:val="20"/>
              </w:rPr>
            </w:pPr>
            <w:r w:rsidRPr="005F65FC">
              <w:rPr>
                <w:sz w:val="20"/>
              </w:rPr>
              <w:t>Handles</w:t>
            </w:r>
          </w:p>
        </w:tc>
        <w:tc>
          <w:tcPr>
            <w:tcW w:w="1275" w:type="dxa"/>
            <w:tcBorders>
              <w:top w:val="single" w:sz="6" w:space="0" w:color="000000"/>
              <w:left w:val="single" w:sz="6" w:space="0" w:color="000000"/>
              <w:bottom w:val="single" w:sz="6" w:space="0" w:color="000000"/>
              <w:right w:val="single" w:sz="6" w:space="0" w:color="000000"/>
            </w:tcBorders>
          </w:tcPr>
          <w:p w14:paraId="3889D539" w14:textId="77777777" w:rsidR="00D726B2" w:rsidRPr="005F65FC" w:rsidRDefault="00D726B2" w:rsidP="00E858EF">
            <w:pPr>
              <w:suppressAutoHyphens/>
              <w:ind w:firstLine="78"/>
              <w:jc w:val="center"/>
              <w:rPr>
                <w:rFonts w:eastAsiaTheme="majorEastAsia"/>
                <w:i/>
                <w:iCs/>
                <w:color w:val="404040" w:themeColor="text1" w:themeTint="BF"/>
                <w:sz w:val="20"/>
                <w:szCs w:val="20"/>
              </w:rPr>
            </w:pPr>
            <w:r w:rsidRPr="005F65FC">
              <w:rPr>
                <w:sz w:val="20"/>
              </w:rPr>
              <w:t>Holes</w:t>
            </w:r>
          </w:p>
        </w:tc>
        <w:tc>
          <w:tcPr>
            <w:tcW w:w="2061" w:type="dxa"/>
            <w:tcBorders>
              <w:top w:val="single" w:sz="6" w:space="0" w:color="000000"/>
              <w:left w:val="single" w:sz="6" w:space="0" w:color="000000"/>
              <w:bottom w:val="single" w:sz="6" w:space="0" w:color="000000"/>
              <w:right w:val="single" w:sz="6" w:space="0" w:color="000000"/>
            </w:tcBorders>
          </w:tcPr>
          <w:p w14:paraId="1AC5C7B9" w14:textId="77777777" w:rsidR="00D726B2" w:rsidRPr="005F65FC" w:rsidRDefault="00D726B2" w:rsidP="00E858EF">
            <w:pPr>
              <w:suppressAutoHyphens/>
              <w:ind w:firstLine="78"/>
              <w:jc w:val="center"/>
              <w:rPr>
                <w:rFonts w:eastAsiaTheme="majorEastAsia"/>
                <w:i/>
                <w:iCs/>
                <w:color w:val="404040" w:themeColor="text1" w:themeTint="BF"/>
                <w:sz w:val="20"/>
                <w:szCs w:val="20"/>
              </w:rPr>
            </w:pPr>
            <w:r w:rsidRPr="005F65FC">
              <w:rPr>
                <w:sz w:val="20"/>
              </w:rPr>
              <w:t>Handles + holes</w:t>
            </w:r>
          </w:p>
        </w:tc>
      </w:tr>
      <w:tr w:rsidR="00D726B2" w:rsidRPr="005F65FC" w14:paraId="68471BC5" w14:textId="77777777" w:rsidTr="00A15EAE">
        <w:trPr>
          <w:trHeight w:val="315"/>
        </w:trPr>
        <w:tc>
          <w:tcPr>
            <w:tcW w:w="1275" w:type="dxa"/>
            <w:tcBorders>
              <w:top w:val="single" w:sz="6" w:space="0" w:color="000000"/>
              <w:left w:val="single" w:sz="6" w:space="0" w:color="000000"/>
              <w:bottom w:val="single" w:sz="6" w:space="0" w:color="000000"/>
              <w:right w:val="single" w:sz="6" w:space="0" w:color="000000"/>
            </w:tcBorders>
          </w:tcPr>
          <w:p w14:paraId="7B63029F" w14:textId="77777777" w:rsidR="00D726B2" w:rsidRPr="005F65FC" w:rsidRDefault="00D726B2" w:rsidP="00E858EF">
            <w:pPr>
              <w:suppressAutoHyphens/>
              <w:ind w:firstLine="78"/>
              <w:jc w:val="center"/>
              <w:rPr>
                <w:rFonts w:eastAsiaTheme="majorEastAsia"/>
                <w:i/>
                <w:iCs/>
                <w:color w:val="404040" w:themeColor="text1" w:themeTint="BF"/>
                <w:sz w:val="20"/>
                <w:szCs w:val="20"/>
              </w:rPr>
            </w:pPr>
            <w:r w:rsidRPr="005F65FC">
              <w:rPr>
                <w:sz w:val="20"/>
              </w:rPr>
              <w:t>23</w:t>
            </w:r>
          </w:p>
        </w:tc>
        <w:tc>
          <w:tcPr>
            <w:tcW w:w="1275" w:type="dxa"/>
            <w:tcBorders>
              <w:top w:val="single" w:sz="6" w:space="0" w:color="000000"/>
              <w:left w:val="single" w:sz="6" w:space="0" w:color="000000"/>
              <w:bottom w:val="single" w:sz="6" w:space="0" w:color="000000"/>
              <w:right w:val="single" w:sz="6" w:space="0" w:color="000000"/>
            </w:tcBorders>
          </w:tcPr>
          <w:p w14:paraId="20688D38" w14:textId="77777777" w:rsidR="00D726B2" w:rsidRPr="005F65FC" w:rsidRDefault="00D726B2" w:rsidP="00E858EF">
            <w:pPr>
              <w:suppressAutoHyphens/>
              <w:ind w:firstLine="78"/>
              <w:jc w:val="center"/>
              <w:rPr>
                <w:rFonts w:eastAsiaTheme="majorEastAsia"/>
                <w:i/>
                <w:iCs/>
                <w:color w:val="404040" w:themeColor="text1" w:themeTint="BF"/>
                <w:sz w:val="20"/>
                <w:szCs w:val="20"/>
              </w:rPr>
            </w:pPr>
            <w:r w:rsidRPr="005F65FC">
              <w:rPr>
                <w:sz w:val="20"/>
              </w:rPr>
              <w:t>6</w:t>
            </w:r>
          </w:p>
        </w:tc>
        <w:tc>
          <w:tcPr>
            <w:tcW w:w="2061" w:type="dxa"/>
            <w:tcBorders>
              <w:top w:val="single" w:sz="6" w:space="0" w:color="000000"/>
              <w:left w:val="single" w:sz="6" w:space="0" w:color="000000"/>
              <w:bottom w:val="single" w:sz="6" w:space="0" w:color="000000"/>
              <w:right w:val="single" w:sz="6" w:space="0" w:color="000000"/>
            </w:tcBorders>
          </w:tcPr>
          <w:p w14:paraId="65FE4FC5" w14:textId="77777777" w:rsidR="00D726B2" w:rsidRPr="005F65FC" w:rsidRDefault="00D726B2" w:rsidP="00E858EF">
            <w:pPr>
              <w:suppressAutoHyphens/>
              <w:ind w:firstLine="78"/>
              <w:jc w:val="center"/>
              <w:rPr>
                <w:rFonts w:eastAsiaTheme="majorEastAsia"/>
                <w:i/>
                <w:iCs/>
                <w:color w:val="404040" w:themeColor="text1" w:themeTint="BF"/>
                <w:sz w:val="20"/>
                <w:szCs w:val="20"/>
              </w:rPr>
            </w:pPr>
            <w:r w:rsidRPr="005F65FC">
              <w:rPr>
                <w:sz w:val="20"/>
              </w:rPr>
              <w:t>2</w:t>
            </w:r>
          </w:p>
        </w:tc>
      </w:tr>
    </w:tbl>
    <w:p w14:paraId="0B01414A" w14:textId="77777777" w:rsidR="00D726B2" w:rsidRPr="0035338C"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p w14:paraId="4A327CDD" w14:textId="77777777" w:rsidR="00D726B2" w:rsidRPr="00191003"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Presence of base hole:</w:t>
      </w:r>
    </w:p>
    <w:p w14:paraId="0DED00FB" w14:textId="77777777" w:rsidR="00D726B2" w:rsidRPr="00191003"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191003">
        <w:rPr>
          <w:color w:val="000000"/>
        </w:rPr>
        <w:t xml:space="preserve">Information is available on a sample of </w:t>
      </w:r>
      <w:r>
        <w:rPr>
          <w:color w:val="000000"/>
        </w:rPr>
        <w:t>five</w:t>
      </w:r>
      <w:r w:rsidRPr="00191003">
        <w:rPr>
          <w:color w:val="000000"/>
        </w:rPr>
        <w:t xml:space="preserve"> larnakes.</w:t>
      </w:r>
    </w:p>
    <w:p w14:paraId="5D4B0A97" w14:textId="77777777" w:rsidR="00D726B2" w:rsidRPr="002504D6"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560"/>
        <w:rPr>
          <w:color w:val="000000"/>
        </w:rPr>
      </w:pPr>
      <w:r w:rsidRPr="002504D6">
        <w:rPr>
          <w:color w:val="000000"/>
        </w:rPr>
        <w:t xml:space="preserve">Panel division/panel type/number of panels: 4 panels with raised bands. Information is available on a sample of 41 larnakes. </w:t>
      </w:r>
    </w:p>
    <w:p w14:paraId="22E227B6" w14:textId="1AD0B521" w:rsidR="00D726B2"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0"/>
      </w:pPr>
      <w:r w:rsidRPr="00191003">
        <w:rPr>
          <w:color w:val="000000"/>
        </w:rPr>
        <w:t xml:space="preserve">One larnax from Knossos </w:t>
      </w:r>
      <w:r w:rsidR="0006359E">
        <w:rPr>
          <w:color w:val="000000"/>
        </w:rPr>
        <w:t>Zafer</w:t>
      </w:r>
      <w:r w:rsidRPr="00191003">
        <w:rPr>
          <w:color w:val="000000"/>
        </w:rPr>
        <w:t xml:space="preserve"> Papoura </w:t>
      </w:r>
      <w:r>
        <w:rPr>
          <w:color w:val="000000"/>
        </w:rPr>
        <w:t>T</w:t>
      </w:r>
      <w:r w:rsidRPr="00191003">
        <w:rPr>
          <w:color w:val="000000"/>
        </w:rPr>
        <w:t xml:space="preserve">omb 9 </w:t>
      </w:r>
      <w:r>
        <w:rPr>
          <w:color w:val="000000"/>
        </w:rPr>
        <w:t>has</w:t>
      </w:r>
      <w:r w:rsidRPr="00191003">
        <w:rPr>
          <w:color w:val="000000"/>
        </w:rPr>
        <w:t xml:space="preserve"> horizontal panel division</w:t>
      </w:r>
      <w:r>
        <w:rPr>
          <w:color w:val="000000"/>
        </w:rPr>
        <w:t>s</w:t>
      </w:r>
      <w:r w:rsidRPr="00191003">
        <w:rPr>
          <w:color w:val="000000"/>
        </w:rPr>
        <w:t xml:space="preserve"> </w:t>
      </w:r>
      <w:r>
        <w:rPr>
          <w:color w:val="000000"/>
        </w:rPr>
        <w:t>o</w:t>
      </w:r>
      <w:r w:rsidRPr="00191003">
        <w:rPr>
          <w:color w:val="000000"/>
        </w:rPr>
        <w:t>n one short side (64 Zafer Papoura AE 1128</w:t>
      </w:r>
      <w:r>
        <w:rPr>
          <w:color w:val="000000"/>
        </w:rPr>
        <w:t xml:space="preserve">: </w:t>
      </w:r>
      <w:r w:rsidRPr="00191003">
        <w:rPr>
          <w:color w:val="000000"/>
        </w:rPr>
        <w:t>Evans 190</w:t>
      </w:r>
      <w:r>
        <w:rPr>
          <w:color w:val="000000"/>
        </w:rPr>
        <w:t>6</w:t>
      </w:r>
      <w:r w:rsidRPr="00191003">
        <w:rPr>
          <w:color w:val="000000"/>
        </w:rPr>
        <w:t xml:space="preserve">: 439 </w:t>
      </w:r>
      <w:r>
        <w:rPr>
          <w:color w:val="000000"/>
        </w:rPr>
        <w:t>F</w:t>
      </w:r>
      <w:r w:rsidRPr="00191003">
        <w:rPr>
          <w:color w:val="000000"/>
        </w:rPr>
        <w:t xml:space="preserve">ig. 45; Galanakis 2013: 57 </w:t>
      </w:r>
      <w:r>
        <w:rPr>
          <w:color w:val="000000"/>
        </w:rPr>
        <w:t>F</w:t>
      </w:r>
      <w:r w:rsidRPr="00191003">
        <w:rPr>
          <w:color w:val="000000"/>
        </w:rPr>
        <w:t>ig. 95). On an</w:t>
      </w:r>
      <w:r w:rsidRPr="00191003">
        <w:t xml:space="preserve">other larnax from Upper Gypsades </w:t>
      </w:r>
      <w:r>
        <w:t>T</w:t>
      </w:r>
      <w:r w:rsidRPr="00191003">
        <w:t xml:space="preserve">omb X (107 </w:t>
      </w:r>
      <w:r>
        <w:t>Upper Gypsades:</w:t>
      </w:r>
      <w:r w:rsidRPr="00191003">
        <w:t xml:space="preserve"> Hood</w:t>
      </w:r>
      <w:r>
        <w:t xml:space="preserve"> et al.</w:t>
      </w:r>
      <w:r w:rsidRPr="00191003">
        <w:t xml:space="preserve"> 1958/1959:  </w:t>
      </w:r>
      <w:r>
        <w:t>F</w:t>
      </w:r>
      <w:r w:rsidRPr="00191003">
        <w:t>ig. 24; Spiliotopoulou 20</w:t>
      </w:r>
      <w:r>
        <w:t>10</w:t>
      </w:r>
      <w:r w:rsidRPr="00191003">
        <w:t>: 89 pl. 27 n. 200), the long</w:t>
      </w:r>
      <w:r>
        <w:t>-</w:t>
      </w:r>
      <w:r w:rsidRPr="00191003">
        <w:t>side panels are divide</w:t>
      </w:r>
      <w:r>
        <w:t>d</w:t>
      </w:r>
      <w:r w:rsidRPr="00191003">
        <w:t xml:space="preserve"> in two by horizontal frames.</w:t>
      </w:r>
    </w:p>
    <w:p w14:paraId="591A3753" w14:textId="4309C490" w:rsidR="00D726B2" w:rsidRPr="00191003" w:rsidRDefault="00D726B2" w:rsidP="00E858EF">
      <w:pPr>
        <w:pStyle w:val="Testofumetto"/>
        <w:suppressAutoHyphens/>
      </w:pPr>
      <w:bookmarkStart w:id="1110" w:name="_Toc520212645"/>
      <w:r>
        <w:t>Table 5-20</w:t>
      </w:r>
      <w:r w:rsidR="009B70F8">
        <w:t>.</w:t>
      </w:r>
      <w:r>
        <w:t xml:space="preserve"> Panels, Knossos</w:t>
      </w:r>
      <w:bookmarkEnd w:id="1110"/>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635"/>
        <w:gridCol w:w="1559"/>
        <w:gridCol w:w="1275"/>
        <w:gridCol w:w="1275"/>
        <w:gridCol w:w="929"/>
      </w:tblGrid>
      <w:tr w:rsidR="00D726B2" w:rsidRPr="005F65FC" w14:paraId="7257D8C7" w14:textId="77777777" w:rsidTr="00A15EAE">
        <w:trPr>
          <w:trHeight w:val="315"/>
        </w:trPr>
        <w:tc>
          <w:tcPr>
            <w:tcW w:w="1635" w:type="dxa"/>
            <w:tcBorders>
              <w:top w:val="single" w:sz="6" w:space="0" w:color="000000"/>
              <w:left w:val="single" w:sz="6" w:space="0" w:color="000000"/>
              <w:bottom w:val="single" w:sz="6" w:space="0" w:color="000000"/>
              <w:right w:val="single" w:sz="6" w:space="0" w:color="000000"/>
            </w:tcBorders>
          </w:tcPr>
          <w:p w14:paraId="5DC94C8F"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Raised bands</w:t>
            </w:r>
          </w:p>
        </w:tc>
        <w:tc>
          <w:tcPr>
            <w:tcW w:w="1559" w:type="dxa"/>
            <w:tcBorders>
              <w:top w:val="single" w:sz="6" w:space="0" w:color="000000"/>
              <w:left w:val="single" w:sz="6" w:space="0" w:color="000000"/>
              <w:bottom w:val="single" w:sz="6" w:space="0" w:color="000000"/>
              <w:right w:val="single" w:sz="6" w:space="0" w:color="000000"/>
            </w:tcBorders>
          </w:tcPr>
          <w:p w14:paraId="0E8AE8E3"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Incised bands</w:t>
            </w:r>
          </w:p>
        </w:tc>
        <w:tc>
          <w:tcPr>
            <w:tcW w:w="1275" w:type="dxa"/>
            <w:tcBorders>
              <w:top w:val="single" w:sz="6" w:space="0" w:color="000000"/>
              <w:left w:val="single" w:sz="6" w:space="0" w:color="000000"/>
              <w:bottom w:val="single" w:sz="6" w:space="0" w:color="000000"/>
              <w:right w:val="single" w:sz="6" w:space="0" w:color="000000"/>
            </w:tcBorders>
          </w:tcPr>
          <w:p w14:paraId="02150544"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4 panels</w:t>
            </w:r>
          </w:p>
        </w:tc>
        <w:tc>
          <w:tcPr>
            <w:tcW w:w="1275" w:type="dxa"/>
            <w:tcBorders>
              <w:top w:val="single" w:sz="6" w:space="0" w:color="000000"/>
              <w:left w:val="single" w:sz="6" w:space="0" w:color="000000"/>
              <w:bottom w:val="single" w:sz="6" w:space="0" w:color="000000"/>
              <w:right w:val="single" w:sz="6" w:space="0" w:color="000000"/>
            </w:tcBorders>
          </w:tcPr>
          <w:p w14:paraId="7B77A90A"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6 panels</w:t>
            </w:r>
          </w:p>
        </w:tc>
        <w:tc>
          <w:tcPr>
            <w:tcW w:w="929" w:type="dxa"/>
            <w:tcBorders>
              <w:top w:val="single" w:sz="6" w:space="0" w:color="000000"/>
              <w:left w:val="single" w:sz="6" w:space="0" w:color="000000"/>
              <w:bottom w:val="single" w:sz="6" w:space="0" w:color="000000"/>
              <w:right w:val="single" w:sz="6" w:space="0" w:color="000000"/>
            </w:tcBorders>
          </w:tcPr>
          <w:p w14:paraId="389CCC56"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N/A</w:t>
            </w:r>
          </w:p>
        </w:tc>
      </w:tr>
      <w:tr w:rsidR="00D726B2" w:rsidRPr="005F65FC" w14:paraId="5B9FF96A" w14:textId="77777777" w:rsidTr="00A15EAE">
        <w:trPr>
          <w:trHeight w:val="315"/>
        </w:trPr>
        <w:tc>
          <w:tcPr>
            <w:tcW w:w="1635" w:type="dxa"/>
            <w:tcBorders>
              <w:top w:val="single" w:sz="6" w:space="0" w:color="000000"/>
              <w:left w:val="single" w:sz="6" w:space="0" w:color="000000"/>
              <w:bottom w:val="single" w:sz="6" w:space="0" w:color="000000"/>
              <w:right w:val="single" w:sz="6" w:space="0" w:color="000000"/>
            </w:tcBorders>
          </w:tcPr>
          <w:p w14:paraId="2F244CD2"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23</w:t>
            </w:r>
          </w:p>
        </w:tc>
        <w:tc>
          <w:tcPr>
            <w:tcW w:w="1559" w:type="dxa"/>
            <w:tcBorders>
              <w:top w:val="single" w:sz="6" w:space="0" w:color="000000"/>
              <w:left w:val="single" w:sz="6" w:space="0" w:color="000000"/>
              <w:bottom w:val="single" w:sz="6" w:space="0" w:color="000000"/>
              <w:right w:val="single" w:sz="6" w:space="0" w:color="000000"/>
            </w:tcBorders>
          </w:tcPr>
          <w:p w14:paraId="1EA3D7F4"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18</w:t>
            </w:r>
          </w:p>
        </w:tc>
        <w:tc>
          <w:tcPr>
            <w:tcW w:w="1275" w:type="dxa"/>
            <w:tcBorders>
              <w:top w:val="single" w:sz="6" w:space="0" w:color="000000"/>
              <w:left w:val="single" w:sz="6" w:space="0" w:color="000000"/>
              <w:bottom w:val="single" w:sz="6" w:space="0" w:color="000000"/>
              <w:right w:val="single" w:sz="6" w:space="0" w:color="000000"/>
            </w:tcBorders>
          </w:tcPr>
          <w:p w14:paraId="0EA05FF2"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36</w:t>
            </w:r>
          </w:p>
        </w:tc>
        <w:tc>
          <w:tcPr>
            <w:tcW w:w="1275" w:type="dxa"/>
            <w:tcBorders>
              <w:top w:val="single" w:sz="6" w:space="0" w:color="000000"/>
              <w:left w:val="single" w:sz="6" w:space="0" w:color="000000"/>
              <w:bottom w:val="single" w:sz="6" w:space="0" w:color="000000"/>
              <w:right w:val="single" w:sz="6" w:space="0" w:color="000000"/>
            </w:tcBorders>
          </w:tcPr>
          <w:p w14:paraId="398D7226"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1</w:t>
            </w:r>
          </w:p>
        </w:tc>
        <w:tc>
          <w:tcPr>
            <w:tcW w:w="929" w:type="dxa"/>
            <w:tcBorders>
              <w:top w:val="single" w:sz="6" w:space="0" w:color="000000"/>
              <w:left w:val="single" w:sz="6" w:space="0" w:color="000000"/>
              <w:bottom w:val="single" w:sz="6" w:space="0" w:color="000000"/>
              <w:right w:val="single" w:sz="6" w:space="0" w:color="000000"/>
            </w:tcBorders>
          </w:tcPr>
          <w:p w14:paraId="0260EE3B"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4</w:t>
            </w:r>
          </w:p>
        </w:tc>
      </w:tr>
    </w:tbl>
    <w:p w14:paraId="23304941" w14:textId="77777777" w:rsidR="00D726B2" w:rsidRPr="0035338C"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0"/>
          <w:szCs w:val="20"/>
        </w:rPr>
      </w:pPr>
    </w:p>
    <w:p w14:paraId="0E7702C1" w14:textId="411A4308"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Pr>
          <w:color w:val="000000"/>
        </w:rPr>
        <w:t>Presence of</w:t>
      </w:r>
      <w:r w:rsidRPr="00191003">
        <w:rPr>
          <w:color w:val="000000"/>
        </w:rPr>
        <w:t xml:space="preserve"> figurines</w:t>
      </w:r>
      <w:r>
        <w:rPr>
          <w:color w:val="000000"/>
        </w:rPr>
        <w:t xml:space="preserve"> on lid</w:t>
      </w:r>
      <w:r w:rsidRPr="00191003">
        <w:rPr>
          <w:color w:val="000000"/>
        </w:rPr>
        <w:t xml:space="preserve">: only </w:t>
      </w:r>
      <w:r>
        <w:rPr>
          <w:color w:val="000000"/>
        </w:rPr>
        <w:t>one</w:t>
      </w:r>
      <w:r w:rsidRPr="00191003">
        <w:rPr>
          <w:color w:val="000000"/>
        </w:rPr>
        <w:t xml:space="preserve"> larnax (77 Zafer Papoura, from </w:t>
      </w:r>
      <w:r>
        <w:rPr>
          <w:color w:val="000000"/>
        </w:rPr>
        <w:t>T</w:t>
      </w:r>
      <w:r w:rsidRPr="00191003">
        <w:rPr>
          <w:color w:val="000000"/>
        </w:rPr>
        <w:t>omb 32</w:t>
      </w:r>
      <w:r>
        <w:rPr>
          <w:color w:val="000000"/>
        </w:rPr>
        <w:t>:</w:t>
      </w:r>
      <w:r w:rsidRPr="00191003">
        <w:rPr>
          <w:color w:val="000000"/>
        </w:rPr>
        <w:t xml:space="preserve"> Evans 190</w:t>
      </w:r>
      <w:r>
        <w:rPr>
          <w:color w:val="000000"/>
        </w:rPr>
        <w:t>6</w:t>
      </w:r>
      <w:r w:rsidRPr="00191003">
        <w:rPr>
          <w:color w:val="000000"/>
        </w:rPr>
        <w:t>: 439-440)</w:t>
      </w:r>
      <w:r>
        <w:rPr>
          <w:color w:val="000000"/>
        </w:rPr>
        <w:t>.</w:t>
      </w:r>
    </w:p>
    <w:p w14:paraId="278A7355" w14:textId="123C9082" w:rsidR="005F65FC" w:rsidRDefault="005F65FC">
      <w:pPr>
        <w:widowControl/>
        <w:spacing w:line="240" w:lineRule="auto"/>
        <w:contextualSpacing w:val="0"/>
        <w:jc w:val="left"/>
        <w:rPr>
          <w:color w:val="000000"/>
        </w:rPr>
      </w:pPr>
      <w:r>
        <w:rPr>
          <w:color w:val="000000"/>
        </w:rPr>
        <w:br w:type="page"/>
      </w:r>
    </w:p>
    <w:p w14:paraId="5F8FA774" w14:textId="77777777" w:rsidR="00D726B2" w:rsidRPr="00191003" w:rsidRDefault="00D726B2" w:rsidP="00E858EF">
      <w:pPr>
        <w:pStyle w:val="Titolo3"/>
        <w:keepNext w:val="0"/>
        <w:keepLines w:val="0"/>
        <w:suppressAutoHyphens/>
      </w:pPr>
      <w:bookmarkStart w:id="1111" w:name="_Toc517807605"/>
      <w:bookmarkStart w:id="1112" w:name="_Toc519894691"/>
      <w:r w:rsidRPr="00191003">
        <w:t xml:space="preserve">Analysis of </w:t>
      </w:r>
      <w:r>
        <w:t xml:space="preserve">the </w:t>
      </w:r>
      <w:r w:rsidRPr="00191003">
        <w:t>ico</w:t>
      </w:r>
      <w:r>
        <w:t>nography of decorated larnakes in the K</w:t>
      </w:r>
      <w:r w:rsidRPr="00191003">
        <w:t>nossos area</w:t>
      </w:r>
      <w:bookmarkEnd w:id="1111"/>
      <w:bookmarkEnd w:id="1112"/>
    </w:p>
    <w:p w14:paraId="2517F452" w14:textId="5FC9C1D7" w:rsidR="00D726B2" w:rsidRPr="00191003" w:rsidRDefault="00D726B2" w:rsidP="00E858EF">
      <w:pPr>
        <w:suppressAutoHyphens/>
      </w:pPr>
      <w:r w:rsidRPr="00191003">
        <w:t xml:space="preserve">From the sample of larnakes found in burial contexts in </w:t>
      </w:r>
      <w:r>
        <w:t xml:space="preserve">the </w:t>
      </w:r>
      <w:r w:rsidRPr="00191003">
        <w:t>Knossos region</w:t>
      </w:r>
      <w:r>
        <w:t xml:space="preserve"> (</w:t>
      </w:r>
      <w:r w:rsidRPr="00191003">
        <w:t>112 items</w:t>
      </w:r>
      <w:r>
        <w:t>),</w:t>
      </w:r>
      <w:r w:rsidRPr="00191003">
        <w:t xml:space="preserve"> decoration </w:t>
      </w:r>
      <w:r>
        <w:t>is recorded</w:t>
      </w:r>
      <w:r w:rsidRPr="00191003">
        <w:t xml:space="preserve"> securely in 19% (21 items</w:t>
      </w:r>
      <w:r w:rsidR="00BD5A03">
        <w:t>, see: Appendix: Knossos</w:t>
      </w:r>
      <w:r w:rsidRPr="00191003">
        <w:t xml:space="preserve">). </w:t>
      </w:r>
    </w:p>
    <w:p w14:paraId="2304A5D6" w14:textId="77777777" w:rsidR="00D726B2" w:rsidRPr="00191003" w:rsidRDefault="00D726B2" w:rsidP="00E858EF">
      <w:pPr>
        <w:suppressAutoHyphens/>
      </w:pPr>
    </w:p>
    <w:p w14:paraId="045AD77D" w14:textId="77777777" w:rsidR="00D726B2" w:rsidRPr="00191003" w:rsidRDefault="00D726B2" w:rsidP="00E858EF">
      <w:pPr>
        <w:suppressAutoHyphens/>
        <w:rPr>
          <w:b/>
        </w:rPr>
      </w:pPr>
      <w:r w:rsidRPr="00191003">
        <w:rPr>
          <w:noProof/>
          <w:lang w:val="it-IT"/>
        </w:rPr>
        <w:drawing>
          <wp:inline distT="0" distB="0" distL="0" distR="0" wp14:anchorId="30B64A2D" wp14:editId="2A0D97A9">
            <wp:extent cx="4680000" cy="2520000"/>
            <wp:effectExtent l="0" t="0" r="6350" b="13970"/>
            <wp:docPr id="193" name="Gra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14:paraId="2C099A99" w14:textId="037D72EF" w:rsidR="00D726B2" w:rsidRDefault="00D726B2" w:rsidP="00E858EF">
      <w:pPr>
        <w:pStyle w:val="Didascalia"/>
        <w:suppressAutoHyphens/>
      </w:pPr>
      <w:bookmarkStart w:id="1113" w:name="_Toc520212467"/>
      <w:r w:rsidRPr="00A459F0">
        <w:t>Fig</w:t>
      </w:r>
      <w:r>
        <w:t xml:space="preserve">ure </w:t>
      </w:r>
      <w:r w:rsidRPr="00A459F0">
        <w:t>5</w:t>
      </w:r>
      <w:r>
        <w:t>-73</w:t>
      </w:r>
      <w:r w:rsidR="009E530B">
        <w:t>.</w:t>
      </w:r>
      <w:r>
        <w:t xml:space="preserve"> Knossos </w:t>
      </w:r>
      <w:r w:rsidR="006934A7">
        <w:t xml:space="preserve">area </w:t>
      </w:r>
      <w:r>
        <w:t>larnax decoration</w:t>
      </w:r>
      <w:bookmarkEnd w:id="1113"/>
    </w:p>
    <w:p w14:paraId="60018AA1" w14:textId="77777777" w:rsidR="00AD455A" w:rsidRDefault="00AD455A" w:rsidP="00E858EF">
      <w:pPr>
        <w:pStyle w:val="Testofumetto"/>
        <w:suppressAutoHyphens/>
      </w:pPr>
    </w:p>
    <w:p w14:paraId="077C9E4D" w14:textId="68C6A200" w:rsidR="00D726B2" w:rsidRDefault="00D726B2" w:rsidP="00E858EF">
      <w:pPr>
        <w:pStyle w:val="Testofumetto"/>
        <w:suppressAutoHyphens/>
      </w:pPr>
      <w:bookmarkStart w:id="1114" w:name="_Toc520212646"/>
      <w:r>
        <w:t>Table 5-21</w:t>
      </w:r>
      <w:r w:rsidR="009B70F8">
        <w:t>.</w:t>
      </w:r>
      <w:r>
        <w:t xml:space="preserve"> Knossos </w:t>
      </w:r>
      <w:r w:rsidR="006934A7">
        <w:t xml:space="preserve">area </w:t>
      </w:r>
      <w:r>
        <w:t>larnax decoration</w:t>
      </w:r>
      <w:bookmarkEnd w:id="1114"/>
    </w:p>
    <w:tbl>
      <w:tblPr>
        <w:tblW w:w="0" w:type="auto"/>
        <w:tblInd w:w="-67" w:type="dxa"/>
        <w:tblCellMar>
          <w:left w:w="0" w:type="dxa"/>
          <w:right w:w="0" w:type="dxa"/>
        </w:tblCellMar>
        <w:tblLook w:val="04A0" w:firstRow="1" w:lastRow="0" w:firstColumn="1" w:lastColumn="0" w:noHBand="0" w:noVBand="1"/>
      </w:tblPr>
      <w:tblGrid>
        <w:gridCol w:w="1275"/>
        <w:gridCol w:w="1494"/>
        <w:gridCol w:w="1417"/>
        <w:gridCol w:w="1843"/>
      </w:tblGrid>
      <w:tr w:rsidR="00D726B2" w:rsidRPr="005F65FC" w14:paraId="76CC51DB" w14:textId="77777777" w:rsidTr="00AD455A">
        <w:trPr>
          <w:trHeight w:val="315"/>
        </w:trPr>
        <w:tc>
          <w:tcPr>
            <w:tcW w:w="1275" w:type="dxa"/>
            <w:tcBorders>
              <w:top w:val="single" w:sz="6" w:space="0" w:color="000000"/>
              <w:left w:val="single" w:sz="6" w:space="0" w:color="000000"/>
              <w:bottom w:val="single" w:sz="6" w:space="0" w:color="000000"/>
              <w:right w:val="single" w:sz="6" w:space="0" w:color="000000"/>
            </w:tcBorders>
          </w:tcPr>
          <w:p w14:paraId="52D1A4B9"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Decorated</w:t>
            </w:r>
          </w:p>
        </w:tc>
        <w:tc>
          <w:tcPr>
            <w:tcW w:w="1494" w:type="dxa"/>
            <w:tcBorders>
              <w:top w:val="single" w:sz="6" w:space="0" w:color="000000"/>
              <w:left w:val="single" w:sz="6" w:space="0" w:color="000000"/>
              <w:bottom w:val="single" w:sz="6" w:space="0" w:color="000000"/>
              <w:right w:val="single" w:sz="6" w:space="0" w:color="000000"/>
            </w:tcBorders>
          </w:tcPr>
          <w:p w14:paraId="4FA92240"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Undecorated</w:t>
            </w:r>
          </w:p>
        </w:tc>
        <w:tc>
          <w:tcPr>
            <w:tcW w:w="1417" w:type="dxa"/>
            <w:tcBorders>
              <w:top w:val="single" w:sz="6" w:space="0" w:color="000000"/>
              <w:left w:val="single" w:sz="6" w:space="0" w:color="000000"/>
              <w:bottom w:val="single" w:sz="6" w:space="0" w:color="000000"/>
              <w:right w:val="single" w:sz="6" w:space="0" w:color="000000"/>
            </w:tcBorders>
          </w:tcPr>
          <w:p w14:paraId="2693D14F" w14:textId="77777777" w:rsidR="00D726B2" w:rsidRPr="005F65FC" w:rsidRDefault="00D726B2" w:rsidP="00E858EF">
            <w:pPr>
              <w:suppressAutoHyphens/>
              <w:jc w:val="center"/>
              <w:rPr>
                <w:sz w:val="20"/>
              </w:rPr>
            </w:pPr>
            <w:r w:rsidRPr="005F65FC">
              <w:rPr>
                <w:sz w:val="20"/>
              </w:rPr>
              <w:t>Unknown</w:t>
            </w:r>
          </w:p>
        </w:tc>
        <w:tc>
          <w:tcPr>
            <w:tcW w:w="1843" w:type="dxa"/>
            <w:tcBorders>
              <w:top w:val="single" w:sz="6" w:space="0" w:color="000000"/>
              <w:left w:val="single" w:sz="6" w:space="0" w:color="000000"/>
              <w:bottom w:val="single" w:sz="6" w:space="0" w:color="000000"/>
              <w:right w:val="single" w:sz="6" w:space="0" w:color="000000"/>
            </w:tcBorders>
          </w:tcPr>
          <w:p w14:paraId="0FD1984C"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Incised decoration</w:t>
            </w:r>
          </w:p>
        </w:tc>
      </w:tr>
      <w:tr w:rsidR="00D726B2" w:rsidRPr="005F65FC" w14:paraId="339D5030" w14:textId="77777777" w:rsidTr="00AD455A">
        <w:trPr>
          <w:trHeight w:val="315"/>
        </w:trPr>
        <w:tc>
          <w:tcPr>
            <w:tcW w:w="1275" w:type="dxa"/>
            <w:tcBorders>
              <w:top w:val="single" w:sz="6" w:space="0" w:color="000000"/>
              <w:left w:val="single" w:sz="6" w:space="0" w:color="000000"/>
              <w:bottom w:val="single" w:sz="6" w:space="0" w:color="000000"/>
              <w:right w:val="single" w:sz="6" w:space="0" w:color="000000"/>
            </w:tcBorders>
          </w:tcPr>
          <w:p w14:paraId="176D2BE2"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21</w:t>
            </w:r>
          </w:p>
        </w:tc>
        <w:tc>
          <w:tcPr>
            <w:tcW w:w="1494" w:type="dxa"/>
            <w:tcBorders>
              <w:top w:val="single" w:sz="6" w:space="0" w:color="000000"/>
              <w:left w:val="single" w:sz="6" w:space="0" w:color="000000"/>
              <w:bottom w:val="single" w:sz="6" w:space="0" w:color="000000"/>
              <w:right w:val="single" w:sz="6" w:space="0" w:color="000000"/>
            </w:tcBorders>
          </w:tcPr>
          <w:p w14:paraId="5239312D"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48</w:t>
            </w:r>
          </w:p>
        </w:tc>
        <w:tc>
          <w:tcPr>
            <w:tcW w:w="1417" w:type="dxa"/>
            <w:tcBorders>
              <w:top w:val="single" w:sz="6" w:space="0" w:color="000000"/>
              <w:left w:val="single" w:sz="6" w:space="0" w:color="000000"/>
              <w:bottom w:val="single" w:sz="6" w:space="0" w:color="000000"/>
              <w:right w:val="single" w:sz="6" w:space="0" w:color="000000"/>
            </w:tcBorders>
          </w:tcPr>
          <w:p w14:paraId="77206E66"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45</w:t>
            </w:r>
          </w:p>
        </w:tc>
        <w:tc>
          <w:tcPr>
            <w:tcW w:w="1843" w:type="dxa"/>
            <w:tcBorders>
              <w:top w:val="single" w:sz="6" w:space="0" w:color="000000"/>
              <w:left w:val="single" w:sz="6" w:space="0" w:color="000000"/>
              <w:bottom w:val="single" w:sz="6" w:space="0" w:color="000000"/>
              <w:right w:val="single" w:sz="6" w:space="0" w:color="000000"/>
            </w:tcBorders>
          </w:tcPr>
          <w:p w14:paraId="32384434"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0</w:t>
            </w:r>
          </w:p>
        </w:tc>
      </w:tr>
    </w:tbl>
    <w:p w14:paraId="351A1E59" w14:textId="77777777" w:rsidR="00D726B2" w:rsidRPr="00175526" w:rsidRDefault="00D726B2" w:rsidP="00E858EF">
      <w:pPr>
        <w:suppressAutoHyphens/>
        <w:rPr>
          <w:sz w:val="20"/>
          <w:szCs w:val="20"/>
        </w:rPr>
      </w:pPr>
    </w:p>
    <w:p w14:paraId="33B75823" w14:textId="77777777" w:rsidR="00D726B2" w:rsidRPr="00191003" w:rsidRDefault="00D726B2" w:rsidP="00E858EF">
      <w:pPr>
        <w:suppressAutoHyphens/>
      </w:pPr>
      <w:r>
        <w:tab/>
      </w:r>
      <w:r w:rsidRPr="00191003">
        <w:t>A small number of decorated larnakes (six)</w:t>
      </w:r>
      <w:r>
        <w:t xml:space="preserve"> that are</w:t>
      </w:r>
      <w:r w:rsidRPr="00191003">
        <w:t xml:space="preserve"> not included in the following analysis come from </w:t>
      </w:r>
      <w:r>
        <w:t xml:space="preserve">the </w:t>
      </w:r>
      <w:r w:rsidRPr="00191003">
        <w:t xml:space="preserve">KNC. This cemetery, along with </w:t>
      </w:r>
      <w:r>
        <w:t xml:space="preserve">the </w:t>
      </w:r>
      <w:r w:rsidRPr="00191003">
        <w:t>Fortetsa cemetery, ha</w:t>
      </w:r>
      <w:r>
        <w:t>s</w:t>
      </w:r>
      <w:r w:rsidRPr="00191003">
        <w:t xml:space="preserve"> not been included within the sample of secure tombs and larnakes from LM III burial location</w:t>
      </w:r>
      <w:r>
        <w:t>s</w:t>
      </w:r>
      <w:r w:rsidRPr="00191003">
        <w:t xml:space="preserve"> because they are</w:t>
      </w:r>
      <w:r>
        <w:t xml:space="preserve"> both</w:t>
      </w:r>
      <w:r w:rsidRPr="00191003">
        <w:t xml:space="preserve"> dated to a later phase </w:t>
      </w:r>
      <w:r w:rsidRPr="00191003">
        <w:rPr>
          <w:color w:val="000000"/>
        </w:rPr>
        <w:t>(Coldstream</w:t>
      </w:r>
      <w:r>
        <w:rPr>
          <w:color w:val="000000"/>
        </w:rPr>
        <w:t xml:space="preserve"> </w:t>
      </w:r>
      <w:r w:rsidRPr="00191003">
        <w:rPr>
          <w:color w:val="000000"/>
        </w:rPr>
        <w:t xml:space="preserve">1996: 651-652). </w:t>
      </w:r>
      <w:r>
        <w:rPr>
          <w:color w:val="000000"/>
        </w:rPr>
        <w:t>However,</w:t>
      </w:r>
      <w:r w:rsidRPr="00191003">
        <w:rPr>
          <w:color w:val="000000"/>
        </w:rPr>
        <w:t xml:space="preserve"> </w:t>
      </w:r>
      <w:r>
        <w:rPr>
          <w:color w:val="000000"/>
        </w:rPr>
        <w:t>because</w:t>
      </w:r>
      <w:r w:rsidRPr="00191003">
        <w:rPr>
          <w:color w:val="000000"/>
        </w:rPr>
        <w:t xml:space="preserve"> the larnakes clearly</w:t>
      </w:r>
      <w:r>
        <w:rPr>
          <w:color w:val="000000"/>
        </w:rPr>
        <w:t xml:space="preserve"> have</w:t>
      </w:r>
      <w:r w:rsidRPr="00191003">
        <w:rPr>
          <w:color w:val="000000"/>
        </w:rPr>
        <w:t xml:space="preserve"> Minoan characteristic</w:t>
      </w:r>
      <w:r>
        <w:rPr>
          <w:color w:val="000000"/>
        </w:rPr>
        <w:t>s,</w:t>
      </w:r>
      <w:r w:rsidRPr="00191003">
        <w:rPr>
          <w:color w:val="000000"/>
        </w:rPr>
        <w:t xml:space="preserve"> a brief note </w:t>
      </w:r>
      <w:r>
        <w:rPr>
          <w:color w:val="000000"/>
        </w:rPr>
        <w:t xml:space="preserve">is </w:t>
      </w:r>
      <w:r w:rsidRPr="00191003">
        <w:rPr>
          <w:color w:val="000000"/>
        </w:rPr>
        <w:t>add</w:t>
      </w:r>
      <w:r>
        <w:rPr>
          <w:color w:val="000000"/>
        </w:rPr>
        <w:t>ed</w:t>
      </w:r>
      <w:r w:rsidRPr="00191003">
        <w:rPr>
          <w:color w:val="000000"/>
        </w:rPr>
        <w:t xml:space="preserve"> </w:t>
      </w:r>
      <w:r>
        <w:rPr>
          <w:color w:val="000000"/>
        </w:rPr>
        <w:t>to</w:t>
      </w:r>
      <w:r w:rsidRPr="00191003">
        <w:rPr>
          <w:color w:val="000000"/>
        </w:rPr>
        <w:t xml:space="preserve"> this section </w:t>
      </w:r>
      <w:r>
        <w:rPr>
          <w:color w:val="000000"/>
        </w:rPr>
        <w:t xml:space="preserve">giving a </w:t>
      </w:r>
      <w:r w:rsidRPr="00191003">
        <w:rPr>
          <w:color w:val="000000"/>
        </w:rPr>
        <w:t>general description of these items.</w:t>
      </w:r>
    </w:p>
    <w:p w14:paraId="1BBD144E" w14:textId="7EBFC651" w:rsidR="00D726B2" w:rsidRPr="00191003" w:rsidRDefault="00D726B2" w:rsidP="005F65FC">
      <w:pPr>
        <w:suppressAutoHyphens/>
        <w:ind w:firstLine="708"/>
        <w:rPr>
          <w:b/>
        </w:rPr>
      </w:pPr>
      <w:r>
        <w:t xml:space="preserve">For a significant </w:t>
      </w:r>
      <w:r w:rsidRPr="00191003">
        <w:t>percentage of larnakes</w:t>
      </w:r>
      <w:r>
        <w:t xml:space="preserve"> (40% corresponding to 45 larnakes, see </w:t>
      </w:r>
      <w:r w:rsidR="005F65FC">
        <w:t>F</w:t>
      </w:r>
      <w:r>
        <w:t xml:space="preserve">igure 5-8 and </w:t>
      </w:r>
      <w:r w:rsidR="005F65FC">
        <w:t>T</w:t>
      </w:r>
      <w:r>
        <w:t>able 5-21)</w:t>
      </w:r>
      <w:r w:rsidRPr="00191003">
        <w:t xml:space="preserve"> there </w:t>
      </w:r>
      <w:r>
        <w:t>is</w:t>
      </w:r>
      <w:r w:rsidRPr="00191003">
        <w:t xml:space="preserve"> no secure information from publication</w:t>
      </w:r>
      <w:r>
        <w:t>s</w:t>
      </w:r>
      <w:r w:rsidRPr="00191003">
        <w:t xml:space="preserve"> and reports about decoration, and the vast majority of clay coffins from </w:t>
      </w:r>
      <w:r>
        <w:t xml:space="preserve">the </w:t>
      </w:r>
      <w:r w:rsidRPr="00191003">
        <w:t xml:space="preserve">Knossos region </w:t>
      </w:r>
      <w:r>
        <w:t>display no</w:t>
      </w:r>
      <w:r w:rsidRPr="00191003">
        <w:t xml:space="preserve"> traces of decoration</w:t>
      </w:r>
      <w:r>
        <w:t>,</w:t>
      </w:r>
      <w:r w:rsidRPr="00191003">
        <w:t xml:space="preserve"> according to </w:t>
      </w:r>
      <w:r>
        <w:t xml:space="preserve">the </w:t>
      </w:r>
      <w:r w:rsidRPr="00191003">
        <w:t>publication</w:t>
      </w:r>
      <w:r>
        <w:t>s</w:t>
      </w:r>
      <w:r w:rsidRPr="00191003">
        <w:t xml:space="preserve"> and reports. </w:t>
      </w:r>
      <w:r>
        <w:t>It is</w:t>
      </w:r>
      <w:r w:rsidRPr="00191003">
        <w:t xml:space="preserve"> worth mention</w:t>
      </w:r>
      <w:r>
        <w:t>ing</w:t>
      </w:r>
      <w:r w:rsidRPr="00191003">
        <w:t xml:space="preserve"> that </w:t>
      </w:r>
      <w:r>
        <w:t xml:space="preserve">the </w:t>
      </w:r>
      <w:r w:rsidRPr="00191003">
        <w:t>excavation reports and publication</w:t>
      </w:r>
      <w:r>
        <w:t>s</w:t>
      </w:r>
      <w:r w:rsidRPr="00191003">
        <w:t xml:space="preserve"> concerning the vast majority of the cemeteries with larnakes from </w:t>
      </w:r>
      <w:r>
        <w:t xml:space="preserve">the </w:t>
      </w:r>
      <w:r w:rsidRPr="00191003">
        <w:t xml:space="preserve">Knossos region </w:t>
      </w:r>
      <w:r>
        <w:t xml:space="preserve">date from before </w:t>
      </w:r>
      <w:r w:rsidRPr="00191003">
        <w:t>(</w:t>
      </w:r>
      <w:r>
        <w:t>e.g.</w:t>
      </w:r>
      <w:r w:rsidRPr="00191003">
        <w:t xml:space="preserve"> Zafer Papoura</w:t>
      </w:r>
      <w:r>
        <w:t>:</w:t>
      </w:r>
      <w:r w:rsidRPr="00191003">
        <w:t xml:space="preserve"> Evans 190</w:t>
      </w:r>
      <w:r>
        <w:t>6;</w:t>
      </w:r>
      <w:r w:rsidRPr="00191003">
        <w:t xml:space="preserve"> Mavro Spelio</w:t>
      </w:r>
      <w:r>
        <w:t>:</w:t>
      </w:r>
      <w:r w:rsidRPr="00191003">
        <w:t xml:space="preserve"> Forsdyke 1926/27</w:t>
      </w:r>
      <w:r>
        <w:t>;</w:t>
      </w:r>
      <w:r w:rsidRPr="00191003">
        <w:t xml:space="preserve"> Sellopoulo</w:t>
      </w:r>
      <w:r>
        <w:t>:</w:t>
      </w:r>
      <w:r w:rsidRPr="00191003">
        <w:t xml:space="preserve"> Hogarth</w:t>
      </w:r>
      <w:r>
        <w:t xml:space="preserve"> </w:t>
      </w:r>
      <w:r w:rsidRPr="00191003">
        <w:t>1899/</w:t>
      </w:r>
      <w:r>
        <w:t>1</w:t>
      </w:r>
      <w:r w:rsidRPr="00191003">
        <w:t>9</w:t>
      </w:r>
      <w:r>
        <w:t>0</w:t>
      </w:r>
      <w:r w:rsidRPr="00191003">
        <w:t>0</w:t>
      </w:r>
      <w:r>
        <w:t>; L</w:t>
      </w:r>
      <w:r w:rsidRPr="00191003">
        <w:t>ower Gypsades</w:t>
      </w:r>
      <w:r>
        <w:t>:</w:t>
      </w:r>
      <w:r w:rsidRPr="00191003">
        <w:t xml:space="preserve"> Coldstream 1963</w:t>
      </w:r>
      <w:r>
        <w:t>;</w:t>
      </w:r>
      <w:r w:rsidRPr="00191003">
        <w:t xml:space="preserve"> </w:t>
      </w:r>
      <w:r>
        <w:t>U</w:t>
      </w:r>
      <w:r w:rsidRPr="00191003">
        <w:t>pper Gypsades</w:t>
      </w:r>
      <w:r>
        <w:t>:</w:t>
      </w:r>
      <w:r w:rsidRPr="00191003">
        <w:t xml:space="preserve"> Hood</w:t>
      </w:r>
      <w:r>
        <w:t xml:space="preserve"> et al.</w:t>
      </w:r>
      <w:r w:rsidRPr="00191003">
        <w:t xml:space="preserve"> 1958/1959). This </w:t>
      </w:r>
      <w:r>
        <w:t xml:space="preserve">suggests </w:t>
      </w:r>
      <w:r w:rsidRPr="00191003">
        <w:t>that</w:t>
      </w:r>
      <w:r>
        <w:t>,</w:t>
      </w:r>
      <w:r w:rsidRPr="00191003">
        <w:t xml:space="preserve"> in some case</w:t>
      </w:r>
      <w:r>
        <w:t>s,</w:t>
      </w:r>
      <w:r w:rsidRPr="00191003">
        <w:t xml:space="preserve"> larnax fragments </w:t>
      </w:r>
      <w:r>
        <w:t>were not</w:t>
      </w:r>
      <w:r w:rsidRPr="00191003">
        <w:t xml:space="preserve"> collected from the tombs (</w:t>
      </w:r>
      <w:r>
        <w:t>e.g.</w:t>
      </w:r>
      <w:r w:rsidRPr="00191003">
        <w:t xml:space="preserve"> Mavro Spelio</w:t>
      </w:r>
      <w:r>
        <w:t>:</w:t>
      </w:r>
      <w:r w:rsidRPr="00191003">
        <w:t xml:space="preserve"> Forsdyke 1926/27: 257; Sellopoulo</w:t>
      </w:r>
      <w:r>
        <w:t>:</w:t>
      </w:r>
      <w:r w:rsidRPr="00191003">
        <w:t xml:space="preserve"> Hogarth</w:t>
      </w:r>
      <w:r>
        <w:t xml:space="preserve"> </w:t>
      </w:r>
      <w:r w:rsidRPr="00191003">
        <w:t>1899/1900: 81) and</w:t>
      </w:r>
      <w:r>
        <w:t>, in</w:t>
      </w:r>
      <w:r w:rsidRPr="00191003">
        <w:t xml:space="preserve"> other cases</w:t>
      </w:r>
      <w:r>
        <w:t>,</w:t>
      </w:r>
      <w:r w:rsidRPr="00191003">
        <w:t xml:space="preserve"> the decoration ha</w:t>
      </w:r>
      <w:r>
        <w:t>s</w:t>
      </w:r>
      <w:r w:rsidRPr="00191003">
        <w:t xml:space="preserve"> faded </w:t>
      </w:r>
      <w:r>
        <w:t>over</w:t>
      </w:r>
      <w:r w:rsidRPr="00191003">
        <w:t xml:space="preserve"> time and</w:t>
      </w:r>
      <w:r>
        <w:t xml:space="preserve"> today</w:t>
      </w:r>
      <w:r w:rsidRPr="00191003">
        <w:t xml:space="preserve"> is no</w:t>
      </w:r>
      <w:r>
        <w:t xml:space="preserve"> longer</w:t>
      </w:r>
      <w:r w:rsidRPr="00191003">
        <w:t xml:space="preserve"> visible (</w:t>
      </w:r>
      <w:r>
        <w:t>e.g.</w:t>
      </w:r>
      <w:r w:rsidRPr="00191003">
        <w:t xml:space="preserve"> </w:t>
      </w:r>
      <w:r>
        <w:t xml:space="preserve">the </w:t>
      </w:r>
      <w:r w:rsidRPr="00191003">
        <w:t xml:space="preserve">larnax from </w:t>
      </w:r>
      <w:r>
        <w:t>T</w:t>
      </w:r>
      <w:r w:rsidRPr="00191003">
        <w:t>omb 9 from Zafer Papoura</w:t>
      </w:r>
      <w:r>
        <w:t xml:space="preserve">, 64 Zafer Papoura </w:t>
      </w:r>
      <w:r w:rsidRPr="001F008F">
        <w:t>AE 1128</w:t>
      </w:r>
      <w:r>
        <w:t xml:space="preserve"> )</w:t>
      </w:r>
      <w:r w:rsidRPr="00191003">
        <w:t xml:space="preserve">. </w:t>
      </w:r>
    </w:p>
    <w:p w14:paraId="3FC0A2CB" w14:textId="3CCEE6D7" w:rsidR="00D726B2" w:rsidRPr="00191003" w:rsidRDefault="00D726B2" w:rsidP="00E858EF">
      <w:pPr>
        <w:suppressAutoHyphens/>
      </w:pPr>
      <w:r>
        <w:tab/>
      </w:r>
      <w:r w:rsidRPr="00191003">
        <w:t>The sample of decorated larnakes</w:t>
      </w:r>
      <w:r>
        <w:t xml:space="preserve"> is</w:t>
      </w:r>
      <w:r w:rsidRPr="00191003">
        <w:t xml:space="preserve"> 21 items, all chest</w:t>
      </w:r>
      <w:r>
        <w:t>-</w:t>
      </w:r>
      <w:r w:rsidRPr="00191003">
        <w:t xml:space="preserve">shaped. In the case of </w:t>
      </w:r>
      <w:r>
        <w:t>T</w:t>
      </w:r>
      <w:r w:rsidRPr="00191003">
        <w:t xml:space="preserve">omb V Mavro Spelio, there are fragments from only </w:t>
      </w:r>
      <w:r>
        <w:t xml:space="preserve">the </w:t>
      </w:r>
      <w:r w:rsidRPr="00191003">
        <w:t>lids. Seven bathtub</w:t>
      </w:r>
      <w:r>
        <w:t>s</w:t>
      </w:r>
      <w:r w:rsidRPr="00191003">
        <w:t xml:space="preserve"> </w:t>
      </w:r>
      <w:r>
        <w:t>were</w:t>
      </w:r>
      <w:r w:rsidRPr="00191003">
        <w:t xml:space="preserve"> found in this region but either they </w:t>
      </w:r>
      <w:r>
        <w:t xml:space="preserve">were </w:t>
      </w:r>
      <w:r w:rsidRPr="00191003">
        <w:t xml:space="preserve">found in </w:t>
      </w:r>
      <w:r>
        <w:t xml:space="preserve">settlements </w:t>
      </w:r>
      <w:r w:rsidRPr="00191003">
        <w:t xml:space="preserve">or their burial provenance </w:t>
      </w:r>
      <w:r>
        <w:t>is uncertain</w:t>
      </w:r>
      <w:r w:rsidRPr="00191003">
        <w:t xml:space="preserve"> (</w:t>
      </w:r>
      <w:r>
        <w:t>e.g.</w:t>
      </w:r>
      <w:r w:rsidRPr="00191003">
        <w:t xml:space="preserve"> K</w:t>
      </w:r>
      <w:r>
        <w:t>NC:</w:t>
      </w:r>
      <w:r w:rsidRPr="00191003">
        <w:t xml:space="preserve"> Coldstrea</w:t>
      </w:r>
      <w:r>
        <w:t>m</w:t>
      </w:r>
      <w:r w:rsidRPr="00191003">
        <w:t xml:space="preserve"> et al</w:t>
      </w:r>
      <w:r>
        <w:t>.</w:t>
      </w:r>
      <w:r w:rsidRPr="00191003">
        <w:t xml:space="preserve"> 1996: 173, 132.38 and</w:t>
      </w:r>
      <w:r w:rsidRPr="00191003">
        <w:rPr>
          <w:color w:val="000000"/>
        </w:rPr>
        <w:t xml:space="preserve"> 132.38</w:t>
      </w:r>
      <w:r w:rsidRPr="00191003">
        <w:t xml:space="preserve">; </w:t>
      </w:r>
      <w:r>
        <w:t>a larnax</w:t>
      </w:r>
      <w:r w:rsidRPr="00191003">
        <w:t xml:space="preserve"> from Poros in Heraklion museum MH 12032</w:t>
      </w:r>
      <w:r>
        <w:t>,</w:t>
      </w:r>
      <w:r w:rsidRPr="00191003">
        <w:t xml:space="preserve"> for which there are no references; Katsambas HM 12035</w:t>
      </w:r>
      <w:r>
        <w:t>:</w:t>
      </w:r>
      <w:r w:rsidRPr="00191003">
        <w:t xml:space="preserve"> Kanta 1980: 292, 71.10</w:t>
      </w:r>
      <w:r>
        <w:t>; Knossos Royal Villa:</w:t>
      </w:r>
      <w:r w:rsidRPr="00191003">
        <w:t xml:space="preserve"> </w:t>
      </w:r>
      <w:r w:rsidRPr="00191003">
        <w:rPr>
          <w:color w:val="000000"/>
        </w:rPr>
        <w:t xml:space="preserve">Morris 1995: </w:t>
      </w:r>
      <w:r>
        <w:rPr>
          <w:color w:val="000000"/>
        </w:rPr>
        <w:t>185-193; Knossos SEX excavation:</w:t>
      </w:r>
      <w:r w:rsidRPr="00191003">
        <w:rPr>
          <w:color w:val="000000"/>
        </w:rPr>
        <w:t xml:space="preserve"> Warren 1997: 171-172; Knossos Queen’s Megaron Popham 1970: 28</w:t>
      </w:r>
      <w:r w:rsidR="004A5D3E">
        <w:rPr>
          <w:color w:val="000000"/>
        </w:rPr>
        <w:t>,</w:t>
      </w:r>
      <w:r w:rsidRPr="00191003">
        <w:rPr>
          <w:color w:val="000000"/>
        </w:rPr>
        <w:t xml:space="preserve"> p. 46g; Evans </w:t>
      </w:r>
      <w:r>
        <w:rPr>
          <w:color w:val="000000"/>
        </w:rPr>
        <w:t xml:space="preserve">1930: </w:t>
      </w:r>
      <w:r w:rsidRPr="00191003">
        <w:rPr>
          <w:color w:val="000000"/>
        </w:rPr>
        <w:t>385</w:t>
      </w:r>
      <w:r w:rsidR="00A07347">
        <w:rPr>
          <w:color w:val="000000"/>
        </w:rPr>
        <w:t>,</w:t>
      </w:r>
      <w:r w:rsidRPr="00191003">
        <w:rPr>
          <w:color w:val="000000"/>
        </w:rPr>
        <w:t xml:space="preserve"> </w:t>
      </w:r>
      <w:r>
        <w:rPr>
          <w:color w:val="000000"/>
        </w:rPr>
        <w:t>F</w:t>
      </w:r>
      <w:r w:rsidRPr="00191003">
        <w:rPr>
          <w:color w:val="000000"/>
        </w:rPr>
        <w:t>ig 256).</w:t>
      </w:r>
    </w:p>
    <w:p w14:paraId="5C3210E6" w14:textId="77777777" w:rsidR="00D726B2" w:rsidRPr="00191003" w:rsidRDefault="00D726B2" w:rsidP="00E858EF">
      <w:pPr>
        <w:suppressAutoHyphens/>
      </w:pPr>
      <w:r>
        <w:tab/>
      </w:r>
      <w:r w:rsidRPr="00191003">
        <w:t>For eight items</w:t>
      </w:r>
      <w:r>
        <w:t>,</w:t>
      </w:r>
      <w:r w:rsidRPr="00191003">
        <w:t xml:space="preserve"> the only information available from publication</w:t>
      </w:r>
      <w:r>
        <w:t>s</w:t>
      </w:r>
      <w:r w:rsidRPr="00191003">
        <w:t xml:space="preserve"> concern</w:t>
      </w:r>
      <w:r>
        <w:t>s</w:t>
      </w:r>
      <w:r w:rsidRPr="00191003">
        <w:t xml:space="preserve"> the presence of decoration or trace</w:t>
      </w:r>
      <w:r>
        <w:t>s</w:t>
      </w:r>
      <w:r w:rsidRPr="00191003">
        <w:t xml:space="preserve"> of decoration (</w:t>
      </w:r>
      <w:r>
        <w:t>three</w:t>
      </w:r>
      <w:r w:rsidRPr="00191003">
        <w:t xml:space="preserve"> lids from </w:t>
      </w:r>
      <w:r>
        <w:t>T</w:t>
      </w:r>
      <w:r w:rsidRPr="00191003">
        <w:t>omb V at Mavro Spelio, three larnakes from one tomb at Sellopoulo, two larnakes respectively from tomb</w:t>
      </w:r>
      <w:r>
        <w:t>s</w:t>
      </w:r>
      <w:r w:rsidRPr="00191003">
        <w:t xml:space="preserve"> 90 and 98 at Zafer Papoura).</w:t>
      </w:r>
      <w:r>
        <w:t xml:space="preserve"> </w:t>
      </w:r>
      <w:r w:rsidRPr="00191003">
        <w:t>Considering this further data limit</w:t>
      </w:r>
      <w:r>
        <w:t>,</w:t>
      </w:r>
      <w:r w:rsidRPr="00191003">
        <w:t xml:space="preserve"> the sample of larnakes for which </w:t>
      </w:r>
      <w:r>
        <w:t>it is</w:t>
      </w:r>
      <w:r w:rsidRPr="00191003">
        <w:t xml:space="preserve"> possible to analys</w:t>
      </w:r>
      <w:r>
        <w:t>e</w:t>
      </w:r>
      <w:r w:rsidRPr="00191003">
        <w:t xml:space="preserve"> </w:t>
      </w:r>
      <w:r>
        <w:t xml:space="preserve">the </w:t>
      </w:r>
      <w:r w:rsidRPr="00191003">
        <w:t>identification and</w:t>
      </w:r>
      <w:r>
        <w:t xml:space="preserve"> the</w:t>
      </w:r>
      <w:r w:rsidRPr="00191003">
        <w:t xml:space="preserve"> distribution of motif</w:t>
      </w:r>
      <w:r>
        <w:t>s</w:t>
      </w:r>
      <w:r w:rsidRPr="00191003">
        <w:t xml:space="preserve"> for </w:t>
      </w:r>
      <w:r>
        <w:t xml:space="preserve">the </w:t>
      </w:r>
      <w:r w:rsidRPr="00191003">
        <w:t xml:space="preserve">Knossos region </w:t>
      </w:r>
      <w:r>
        <w:t>is</w:t>
      </w:r>
      <w:r w:rsidRPr="00191003">
        <w:t xml:space="preserve"> 13 items, all chest</w:t>
      </w:r>
      <w:r>
        <w:t>-</w:t>
      </w:r>
      <w:r w:rsidRPr="00191003">
        <w:t>shaped.</w:t>
      </w:r>
    </w:p>
    <w:p w14:paraId="07BF2884" w14:textId="77777777" w:rsidR="00D726B2" w:rsidRPr="00191003" w:rsidRDefault="00D726B2" w:rsidP="00E858EF">
      <w:pPr>
        <w:pStyle w:val="Titolo4"/>
        <w:keepNext w:val="0"/>
        <w:keepLines w:val="0"/>
        <w:suppressAutoHyphens/>
      </w:pPr>
      <w:bookmarkStart w:id="1115" w:name="_Toc517807606"/>
      <w:r>
        <w:t>Is it</w:t>
      </w:r>
      <w:r w:rsidRPr="00191003">
        <w:t xml:space="preserve"> possible to</w:t>
      </w:r>
      <w:r>
        <w:t xml:space="preserve"> note</w:t>
      </w:r>
      <w:r w:rsidRPr="00191003">
        <w:t xml:space="preserve"> the presence of </w:t>
      </w:r>
      <w:r>
        <w:t>‘</w:t>
      </w:r>
      <w:r w:rsidRPr="00191003">
        <w:t xml:space="preserve">peculiar </w:t>
      </w:r>
      <w:r>
        <w:t>motif</w:t>
      </w:r>
      <w:r w:rsidRPr="00191003">
        <w:t>s</w:t>
      </w:r>
      <w:r>
        <w:t>’</w:t>
      </w:r>
      <w:r w:rsidRPr="00191003">
        <w:t xml:space="preserve"> with </w:t>
      </w:r>
      <w:r>
        <w:t>little</w:t>
      </w:r>
      <w:r w:rsidRPr="00191003">
        <w:t xml:space="preserve"> or no comparison </w:t>
      </w:r>
      <w:r>
        <w:t>to</w:t>
      </w:r>
      <w:r w:rsidRPr="00191003">
        <w:t xml:space="preserve"> </w:t>
      </w:r>
      <w:r>
        <w:t xml:space="preserve">the </w:t>
      </w:r>
      <w:r w:rsidRPr="00191003">
        <w:t>pottery repertoire?</w:t>
      </w:r>
      <w:bookmarkEnd w:id="1115"/>
    </w:p>
    <w:p w14:paraId="4B820514" w14:textId="77777777" w:rsidR="00D726B2" w:rsidRPr="00191003" w:rsidRDefault="00D726B2" w:rsidP="00E858EF">
      <w:pPr>
        <w:suppressAutoHyphens/>
      </w:pPr>
      <w:r>
        <w:t>Regarding</w:t>
      </w:r>
      <w:r w:rsidRPr="00191003">
        <w:t xml:space="preserve"> the </w:t>
      </w:r>
      <w:r>
        <w:t>motifs recorded</w:t>
      </w:r>
      <w:r w:rsidRPr="00191003">
        <w:t xml:space="preserve"> within the sample</w:t>
      </w:r>
      <w:r>
        <w:t>,</w:t>
      </w:r>
      <w:r w:rsidRPr="00191003">
        <w:t xml:space="preserve"> there is no evidence of the occurrence of unidentified unique motif</w:t>
      </w:r>
      <w:r>
        <w:t>s</w:t>
      </w:r>
      <w:r w:rsidRPr="00191003">
        <w:t xml:space="preserve">. </w:t>
      </w:r>
      <w:r>
        <w:t>However,</w:t>
      </w:r>
      <w:r w:rsidRPr="00191003">
        <w:t xml:space="preserve"> it must be specified that it has not been possible to verify the decoration described by Evans </w:t>
      </w:r>
      <w:r>
        <w:t>on</w:t>
      </w:r>
      <w:r w:rsidRPr="00191003">
        <w:t xml:space="preserve"> </w:t>
      </w:r>
      <w:r>
        <w:t>L</w:t>
      </w:r>
      <w:r w:rsidRPr="00191003">
        <w:t xml:space="preserve">arnax 64 Zafer Papoura AE 1128 (Zafer Papoura </w:t>
      </w:r>
      <w:r>
        <w:t>T</w:t>
      </w:r>
      <w:r w:rsidRPr="00191003">
        <w:t>omb 9</w:t>
      </w:r>
      <w:r>
        <w:t>:</w:t>
      </w:r>
      <w:r w:rsidRPr="00191003">
        <w:t xml:space="preserve"> Evans 190</w:t>
      </w:r>
      <w:r>
        <w:t>6</w:t>
      </w:r>
      <w:r w:rsidRPr="00191003">
        <w:t xml:space="preserve">: 419, </w:t>
      </w:r>
      <w:r>
        <w:t>F</w:t>
      </w:r>
      <w:r w:rsidRPr="00191003">
        <w:t xml:space="preserve">ig. 26a) because the decoration </w:t>
      </w:r>
      <w:r>
        <w:t>on this larnax has</w:t>
      </w:r>
      <w:r w:rsidRPr="00191003">
        <w:t xml:space="preserve"> almost completely faded. Consequently</w:t>
      </w:r>
      <w:r>
        <w:t>,</w:t>
      </w:r>
      <w:r w:rsidRPr="00191003">
        <w:t xml:space="preserve"> not all the </w:t>
      </w:r>
      <w:r>
        <w:t>motif</w:t>
      </w:r>
      <w:r w:rsidRPr="00191003">
        <w:t xml:space="preserve">s mentioned by Evans have been included in the analysis (i.e. the scene on one of the two long sides with </w:t>
      </w:r>
      <w:r>
        <w:t xml:space="preserve">a </w:t>
      </w:r>
      <w:r w:rsidRPr="00191003">
        <w:t>man throwing a lasso on</w:t>
      </w:r>
      <w:r>
        <w:t>to</w:t>
      </w:r>
      <w:r w:rsidRPr="00191003">
        <w:t xml:space="preserve"> the horns of a wild goat has </w:t>
      </w:r>
      <w:r>
        <w:t xml:space="preserve">not </w:t>
      </w:r>
      <w:r w:rsidRPr="00191003">
        <w:t xml:space="preserve">been included because it is not visible, </w:t>
      </w:r>
      <w:r>
        <w:t xml:space="preserve">see </w:t>
      </w:r>
      <w:r w:rsidRPr="00191003">
        <w:t xml:space="preserve">Evans 1905: 419). </w:t>
      </w:r>
    </w:p>
    <w:p w14:paraId="5609A1C9" w14:textId="41FB8E6A" w:rsidR="00D726B2" w:rsidRPr="00191003" w:rsidRDefault="00D726B2" w:rsidP="00E858EF">
      <w:pPr>
        <w:suppressAutoHyphens/>
      </w:pPr>
      <w:r>
        <w:tab/>
      </w:r>
      <w:r w:rsidRPr="00191003">
        <w:t>Within the sample of possible larnakes there is a chest</w:t>
      </w:r>
      <w:r>
        <w:t>-</w:t>
      </w:r>
      <w:r w:rsidRPr="00191003">
        <w:t>shaped larnax</w:t>
      </w:r>
      <w:r>
        <w:t xml:space="preserve"> from KNC</w:t>
      </w:r>
      <w:r w:rsidRPr="00191003">
        <w:t xml:space="preserve"> </w:t>
      </w:r>
      <w:r>
        <w:t>(135 Knossos medical faculty) that was very fragmentary</w:t>
      </w:r>
      <w:r w:rsidRPr="00191003">
        <w:t xml:space="preserve"> and reconstructed</w:t>
      </w:r>
      <w:r>
        <w:t xml:space="preserve"> (in exhibition at Heraklion museum),</w:t>
      </w:r>
      <w:r w:rsidRPr="00191003">
        <w:t xml:space="preserve"> </w:t>
      </w:r>
      <w:r>
        <w:t>o</w:t>
      </w:r>
      <w:r w:rsidRPr="00191003">
        <w:t xml:space="preserve">n which are unique </w:t>
      </w:r>
      <w:r>
        <w:t>motif</w:t>
      </w:r>
      <w:r w:rsidRPr="00191003">
        <w:t>s (</w:t>
      </w:r>
      <w:r>
        <w:t>e.g</w:t>
      </w:r>
      <w:r w:rsidRPr="00191003">
        <w:t xml:space="preserve">. female standing figures) along with others already known from </w:t>
      </w:r>
      <w:r>
        <w:t xml:space="preserve">the </w:t>
      </w:r>
      <w:r w:rsidRPr="00191003">
        <w:t>pottery repertoire (</w:t>
      </w:r>
      <w:r>
        <w:t>f</w:t>
      </w:r>
      <w:r w:rsidRPr="00191003">
        <w:t>or a detailed analysis of this larnax</w:t>
      </w:r>
      <w:r>
        <w:t>, see</w:t>
      </w:r>
      <w:r w:rsidRPr="00191003">
        <w:t xml:space="preserve"> Morgan 1987: 171-200).</w:t>
      </w:r>
    </w:p>
    <w:p w14:paraId="4A908DD6" w14:textId="77777777" w:rsidR="00D726B2" w:rsidRPr="00191003" w:rsidRDefault="00D726B2" w:rsidP="00E858EF">
      <w:pPr>
        <w:pStyle w:val="Titolo4"/>
        <w:keepNext w:val="0"/>
        <w:keepLines w:val="0"/>
        <w:suppressAutoHyphens/>
      </w:pPr>
      <w:bookmarkStart w:id="1116" w:name="_Toc517807607"/>
      <w:r>
        <w:t>Motif</w:t>
      </w:r>
      <w:r w:rsidRPr="00191003">
        <w:t>s occurrence</w:t>
      </w:r>
      <w:bookmarkEnd w:id="1116"/>
    </w:p>
    <w:p w14:paraId="269E2136" w14:textId="0C94AA35" w:rsidR="00D726B2" w:rsidRDefault="00D726B2" w:rsidP="00E858EF">
      <w:pPr>
        <w:suppressAutoHyphens/>
      </w:pPr>
      <w:r w:rsidRPr="00191003">
        <w:t xml:space="preserve">The total number of identified </w:t>
      </w:r>
      <w:r>
        <w:t>motif</w:t>
      </w:r>
      <w:r w:rsidRPr="00191003">
        <w:t>s (</w:t>
      </w:r>
      <w:r w:rsidR="005D54EA">
        <w:t>Furumark</w:t>
      </w:r>
      <w:r w:rsidRPr="00191003">
        <w:t xml:space="preserve"> </w:t>
      </w:r>
      <w:r>
        <w:t>motif</w:t>
      </w:r>
      <w:r w:rsidRPr="00191003">
        <w:t xml:space="preserve">s) </w:t>
      </w:r>
      <w:r>
        <w:t>is</w:t>
      </w:r>
      <w:r w:rsidRPr="00191003">
        <w:t xml:space="preserve"> </w:t>
      </w:r>
      <w:r w:rsidRPr="00E7753F">
        <w:t>14</w:t>
      </w:r>
      <w:r w:rsidRPr="00073CF0">
        <w:t>.</w:t>
      </w:r>
      <w:r w:rsidRPr="00191003">
        <w:t xml:space="preserve"> They are distributed within the sample of the 13 securely decorated larnakes for which there </w:t>
      </w:r>
      <w:r>
        <w:t>is</w:t>
      </w:r>
      <w:r w:rsidRPr="00191003">
        <w:t xml:space="preserve"> information </w:t>
      </w:r>
      <w:r>
        <w:t>regarding</w:t>
      </w:r>
      <w:r w:rsidRPr="00191003">
        <w:t xml:space="preserve"> decoration. Wavy l</w:t>
      </w:r>
      <w:r>
        <w:t>ines (FM 53:</w:t>
      </w:r>
      <w:r w:rsidRPr="00191003">
        <w:t xml:space="preserve"> 9 larnakes) </w:t>
      </w:r>
      <w:r>
        <w:t>are</w:t>
      </w:r>
      <w:r w:rsidRPr="00191003">
        <w:t xml:space="preserve"> the most common motif in term</w:t>
      </w:r>
      <w:r>
        <w:t>s</w:t>
      </w:r>
      <w:r w:rsidRPr="00191003">
        <w:t xml:space="preserve"> of number of larn</w:t>
      </w:r>
      <w:r>
        <w:t>akes, followed by papyri (FM 11:</w:t>
      </w:r>
      <w:r w:rsidRPr="00191003">
        <w:t xml:space="preserve"> 4 la</w:t>
      </w:r>
      <w:r>
        <w:t>rnakes), running spirals (FM 46:</w:t>
      </w:r>
      <w:r w:rsidRPr="00191003">
        <w:t xml:space="preserve"> 3 la</w:t>
      </w:r>
      <w:r>
        <w:t>rnakes) and wavy borders (FM 65:</w:t>
      </w:r>
      <w:r w:rsidRPr="00191003">
        <w:t xml:space="preserve"> 3 larnakes). The vast majority of </w:t>
      </w:r>
      <w:r>
        <w:t>motif</w:t>
      </w:r>
      <w:r w:rsidRPr="00191003">
        <w:t xml:space="preserve">s </w:t>
      </w:r>
      <w:r>
        <w:t>appear only once</w:t>
      </w:r>
      <w:r w:rsidRPr="00191003">
        <w:t xml:space="preserve"> (8 </w:t>
      </w:r>
      <w:r>
        <w:t>motif</w:t>
      </w:r>
      <w:r w:rsidRPr="00191003">
        <w:t xml:space="preserve">s found only </w:t>
      </w:r>
      <w:r>
        <w:t>o</w:t>
      </w:r>
      <w:r w:rsidRPr="00191003">
        <w:t xml:space="preserve">n one larnax). </w:t>
      </w:r>
    </w:p>
    <w:p w14:paraId="1B6CDF9F" w14:textId="77777777" w:rsidR="00D726B2" w:rsidRDefault="00D726B2" w:rsidP="00E858EF">
      <w:pPr>
        <w:suppressAutoHyphens/>
        <w:sectPr w:rsidR="00D726B2" w:rsidSect="00F71C84">
          <w:pgSz w:w="11900" w:h="16840"/>
          <w:pgMar w:top="1418" w:right="1134" w:bottom="1134" w:left="2268" w:header="709" w:footer="709" w:gutter="0"/>
          <w:cols w:space="708"/>
          <w:docGrid w:linePitch="360"/>
        </w:sectPr>
      </w:pPr>
    </w:p>
    <w:p w14:paraId="323D4163" w14:textId="08BB4737" w:rsidR="00D726B2" w:rsidRDefault="00D726B2" w:rsidP="00E858EF">
      <w:pPr>
        <w:suppressAutoHyphens/>
      </w:pPr>
      <w:r>
        <w:rPr>
          <w:noProof/>
          <w:lang w:val="it-IT"/>
        </w:rPr>
        <w:drawing>
          <wp:inline distT="0" distB="0" distL="0" distR="0" wp14:anchorId="60E9731C" wp14:editId="40C9D17B">
            <wp:extent cx="5455376" cy="9007566"/>
            <wp:effectExtent l="0" t="0" r="31115" b="34925"/>
            <wp:docPr id="194" name="Gra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p>
    <w:p w14:paraId="13A7C8E6" w14:textId="7F156D6C" w:rsidR="005F65FC" w:rsidRPr="00191003" w:rsidRDefault="005F65FC" w:rsidP="00873FFE">
      <w:pPr>
        <w:pStyle w:val="Didascalia"/>
      </w:pPr>
      <w:bookmarkStart w:id="1117" w:name="_Toc520212468"/>
      <w:r w:rsidRPr="00FE00FE">
        <w:rPr>
          <w:noProof/>
        </w:rPr>
        <w:t>Fig</w:t>
      </w:r>
      <w:r>
        <w:rPr>
          <w:noProof/>
        </w:rPr>
        <w:t>ure</w:t>
      </w:r>
      <w:r w:rsidRPr="00FE00FE">
        <w:rPr>
          <w:noProof/>
        </w:rPr>
        <w:t xml:space="preserve"> 5</w:t>
      </w:r>
      <w:r>
        <w:rPr>
          <w:noProof/>
        </w:rPr>
        <w:t>-74</w:t>
      </w:r>
      <w:r w:rsidR="00C42299">
        <w:rPr>
          <w:noProof/>
        </w:rPr>
        <w:t>.</w:t>
      </w:r>
      <w:r w:rsidRPr="00D6508F">
        <w:t xml:space="preserve"> </w:t>
      </w:r>
      <w:r>
        <w:t>Furumark motif occurrences in</w:t>
      </w:r>
      <w:r w:rsidRPr="005944CF">
        <w:t xml:space="preserve"> </w:t>
      </w:r>
      <w:r>
        <w:t>larnakes from the Knossos area</w:t>
      </w:r>
      <w:bookmarkEnd w:id="1117"/>
    </w:p>
    <w:p w14:paraId="730243BC" w14:textId="77777777" w:rsidR="00D726B2" w:rsidRDefault="00D726B2" w:rsidP="00E858EF">
      <w:pPr>
        <w:suppressAutoHyphens/>
        <w:sectPr w:rsidR="00D726B2" w:rsidSect="00F71C84">
          <w:pgSz w:w="11900" w:h="16840"/>
          <w:pgMar w:top="907" w:right="1134" w:bottom="851" w:left="2268" w:header="709" w:footer="709" w:gutter="0"/>
          <w:cols w:space="708"/>
          <w:docGrid w:linePitch="360"/>
        </w:sectPr>
      </w:pPr>
    </w:p>
    <w:p w14:paraId="38ED7C28" w14:textId="77777777" w:rsidR="00D726B2" w:rsidRPr="00191003" w:rsidRDefault="00D726B2" w:rsidP="00E858EF">
      <w:pPr>
        <w:suppressAutoHyphens/>
      </w:pPr>
      <w:r>
        <w:tab/>
        <w:t>Regarding</w:t>
      </w:r>
      <w:r w:rsidRPr="00191003">
        <w:t xml:space="preserve"> the general occurrence of </w:t>
      </w:r>
      <w:r>
        <w:t>motif</w:t>
      </w:r>
      <w:r w:rsidRPr="00191003">
        <w:t>s (</w:t>
      </w:r>
      <w:r>
        <w:t xml:space="preserve">i.e. </w:t>
      </w:r>
      <w:r w:rsidRPr="00191003">
        <w:t xml:space="preserve">how many times they occur </w:t>
      </w:r>
      <w:r>
        <w:t>on</w:t>
      </w:r>
      <w:r w:rsidRPr="00191003">
        <w:t xml:space="preserve"> the larnakes)</w:t>
      </w:r>
      <w:r>
        <w:t>, the following can be noted</w:t>
      </w:r>
      <w:r w:rsidRPr="00191003">
        <w:t>:</w:t>
      </w:r>
    </w:p>
    <w:p w14:paraId="09C0E3ED" w14:textId="77777777" w:rsidR="00D726B2" w:rsidRPr="00191003" w:rsidRDefault="00D726B2" w:rsidP="00E858EF">
      <w:pPr>
        <w:pStyle w:val="Paragrafoelenco"/>
        <w:numPr>
          <w:ilvl w:val="0"/>
          <w:numId w:val="89"/>
        </w:numPr>
        <w:suppressAutoHyphens/>
        <w:spacing w:after="160"/>
      </w:pPr>
      <w:r w:rsidRPr="00191003">
        <w:t>Wavy lines FM 53: in two larnakes</w:t>
      </w:r>
      <w:r>
        <w:t>,</w:t>
      </w:r>
      <w:r w:rsidRPr="00191003">
        <w:t xml:space="preserve"> one from Katsambas (</w:t>
      </w:r>
      <w:r>
        <w:t xml:space="preserve">676 Katsambas HM 14692: </w:t>
      </w:r>
      <w:r w:rsidRPr="00191003">
        <w:t xml:space="preserve">Alexiou 1967: 26-40 pl. 23 a) and in a larnax from Upper Gypsades </w:t>
      </w:r>
      <w:r>
        <w:t>T</w:t>
      </w:r>
      <w:r w:rsidRPr="00191003">
        <w:t>omb VII (</w:t>
      </w:r>
      <w:r>
        <w:t xml:space="preserve">105 Upper Gypsades: </w:t>
      </w:r>
      <w:r w:rsidRPr="00191003">
        <w:t>Hood</w:t>
      </w:r>
      <w:r>
        <w:t xml:space="preserve"> et al. </w:t>
      </w:r>
      <w:r w:rsidRPr="00191003">
        <w:t xml:space="preserve">1958/1959: 231 </w:t>
      </w:r>
      <w:r>
        <w:t>F</w:t>
      </w:r>
      <w:r w:rsidRPr="00191003">
        <w:t>ig. 24c, pl. 61 a)</w:t>
      </w:r>
      <w:r>
        <w:t>,</w:t>
      </w:r>
      <w:r w:rsidRPr="00191003">
        <w:t xml:space="preserve"> wavy lines (FM 53</w:t>
      </w:r>
      <w:r>
        <w:t>) are</w:t>
      </w:r>
      <w:r w:rsidRPr="00191003">
        <w:t xml:space="preserve"> the only</w:t>
      </w:r>
      <w:r>
        <w:t xml:space="preserve"> motif</w:t>
      </w:r>
      <w:r w:rsidRPr="00191003">
        <w:t xml:space="preserve"> used for decoration. Vertical wavy lines are grouped and repeated many times</w:t>
      </w:r>
      <w:r>
        <w:t xml:space="preserve"> o</w:t>
      </w:r>
      <w:r w:rsidRPr="00191003">
        <w:t xml:space="preserve">n both larnakes, with the only difference </w:t>
      </w:r>
      <w:r>
        <w:t xml:space="preserve">being </w:t>
      </w:r>
      <w:r w:rsidRPr="00191003">
        <w:t>that the lid of the larnax from Katsambas is decorated with a horizontal wavy line</w:t>
      </w:r>
      <w:r>
        <w:t>.</w:t>
      </w:r>
    </w:p>
    <w:p w14:paraId="47F4A2F6" w14:textId="77777777" w:rsidR="00D726B2" w:rsidRPr="00191003" w:rsidRDefault="00D726B2" w:rsidP="00E858EF">
      <w:pPr>
        <w:pStyle w:val="Paragrafoelenco"/>
        <w:numPr>
          <w:ilvl w:val="0"/>
          <w:numId w:val="89"/>
        </w:numPr>
        <w:suppressAutoHyphens/>
        <w:spacing w:after="160"/>
      </w:pPr>
      <w:r w:rsidRPr="00191003">
        <w:t>Running spirals (FM 46): the</w:t>
      </w:r>
      <w:r>
        <w:t>se</w:t>
      </w:r>
      <w:r w:rsidRPr="00191003">
        <w:t xml:space="preserve"> are</w:t>
      </w:r>
      <w:r>
        <w:t xml:space="preserve"> in horizontal rows</w:t>
      </w:r>
      <w:r w:rsidRPr="00191003">
        <w:t xml:space="preserve"> and repeated </w:t>
      </w:r>
      <w:r>
        <w:t>four</w:t>
      </w:r>
      <w:r w:rsidRPr="00191003">
        <w:t xml:space="preserve"> times</w:t>
      </w:r>
      <w:r>
        <w:t>. They</w:t>
      </w:r>
      <w:r w:rsidRPr="00191003">
        <w:t xml:space="preserve"> are the main motif for one long and one short panel of </w:t>
      </w:r>
      <w:r>
        <w:t>l</w:t>
      </w:r>
      <w:r w:rsidRPr="00191003">
        <w:t xml:space="preserve">arnax from Upper Gypsades </w:t>
      </w:r>
      <w:r>
        <w:t>T</w:t>
      </w:r>
      <w:r w:rsidRPr="00191003">
        <w:t xml:space="preserve">omb VI </w:t>
      </w:r>
      <w:r>
        <w:t xml:space="preserve">(104 Upper Gypsades: </w:t>
      </w:r>
      <w:r w:rsidRPr="00191003">
        <w:t>Hood</w:t>
      </w:r>
      <w:r>
        <w:t xml:space="preserve"> et al.</w:t>
      </w:r>
      <w:r w:rsidRPr="00191003">
        <w:t xml:space="preserve">1958/1959: 227 </w:t>
      </w:r>
      <w:r>
        <w:t>F</w:t>
      </w:r>
      <w:r w:rsidRPr="00191003">
        <w:t>ig. 24b, pl. 61 d-f)</w:t>
      </w:r>
      <w:r>
        <w:t>.</w:t>
      </w:r>
    </w:p>
    <w:p w14:paraId="0F1C831F" w14:textId="687AAD6E" w:rsidR="00D726B2" w:rsidRPr="00191003" w:rsidRDefault="00D726B2" w:rsidP="00E858EF">
      <w:pPr>
        <w:pStyle w:val="Paragrafoelenco"/>
        <w:numPr>
          <w:ilvl w:val="0"/>
          <w:numId w:val="89"/>
        </w:numPr>
        <w:suppressAutoHyphens/>
        <w:spacing w:after="160"/>
      </w:pPr>
      <w:r w:rsidRPr="00191003">
        <w:t xml:space="preserve">Papyri (FM 11): </w:t>
      </w:r>
      <w:r>
        <w:t xml:space="preserve">four of </w:t>
      </w:r>
      <w:r w:rsidRPr="00191003">
        <w:t>the</w:t>
      </w:r>
      <w:r>
        <w:t>se</w:t>
      </w:r>
      <w:r w:rsidRPr="00191003">
        <w:t xml:space="preserve"> occur on the long side of </w:t>
      </w:r>
      <w:r>
        <w:t>a L</w:t>
      </w:r>
      <w:r w:rsidRPr="00191003">
        <w:t>arnax  from Upper Gypsades (104</w:t>
      </w:r>
      <w:r>
        <w:t xml:space="preserve"> Upper Gypsades: Hood et al.</w:t>
      </w:r>
      <w:r w:rsidRPr="00191003">
        <w:t xml:space="preserve">1958/1959: 227 </w:t>
      </w:r>
      <w:r>
        <w:t>F</w:t>
      </w:r>
      <w:r w:rsidRPr="00191003">
        <w:t>ig. 24b, pl. 61 d-f)</w:t>
      </w:r>
      <w:r>
        <w:t>.</w:t>
      </w:r>
      <w:r w:rsidRPr="00191003">
        <w:t xml:space="preserve"> </w:t>
      </w:r>
      <w:r>
        <w:t>A</w:t>
      </w:r>
      <w:r w:rsidRPr="00191003">
        <w:t xml:space="preserve"> floral motif </w:t>
      </w:r>
      <w:r>
        <w:t>that</w:t>
      </w:r>
      <w:r w:rsidRPr="00191003">
        <w:t xml:space="preserve"> could be interpreted as </w:t>
      </w:r>
      <w:r>
        <w:t xml:space="preserve">papyri or </w:t>
      </w:r>
      <w:r w:rsidRPr="00191003">
        <w:t>Mycenaean flower (FM 18) occur</w:t>
      </w:r>
      <w:r>
        <w:t>s</w:t>
      </w:r>
      <w:r w:rsidRPr="00191003">
        <w:t xml:space="preserve"> three times </w:t>
      </w:r>
      <w:r>
        <w:t>o</w:t>
      </w:r>
      <w:r w:rsidRPr="00191003">
        <w:t xml:space="preserve">n one of the long sides </w:t>
      </w:r>
      <w:r>
        <w:t>o</w:t>
      </w:r>
      <w:r w:rsidRPr="00191003">
        <w:t xml:space="preserve">n </w:t>
      </w:r>
      <w:r>
        <w:t>a l</w:t>
      </w:r>
      <w:r w:rsidRPr="00191003">
        <w:t xml:space="preserve">arnax from Zafer Papoura </w:t>
      </w:r>
      <w:r>
        <w:t>T</w:t>
      </w:r>
      <w:r w:rsidRPr="00191003">
        <w:t xml:space="preserve">omb 100 </w:t>
      </w:r>
      <w:r>
        <w:t xml:space="preserve">(99 Zafer Papoura AE 13050: </w:t>
      </w:r>
      <w:r w:rsidRPr="00191003">
        <w:t>Evans 190</w:t>
      </w:r>
      <w:r>
        <w:t>6</w:t>
      </w:r>
      <w:r w:rsidRPr="00191003">
        <w:t>: 480-482, pl. 102a-b</w:t>
      </w:r>
      <w:r>
        <w:t xml:space="preserve">; </w:t>
      </w:r>
      <w:r w:rsidRPr="000E1D2F">
        <w:t>Galanakis 2013: 57</w:t>
      </w:r>
      <w:r w:rsidR="00A07347">
        <w:t>,</w:t>
      </w:r>
      <w:r w:rsidRPr="000E1D2F">
        <w:t xml:space="preserve"> fig. 97</w:t>
      </w:r>
      <w:r w:rsidRPr="00191003">
        <w:t>).</w:t>
      </w:r>
    </w:p>
    <w:p w14:paraId="2E4BED0B" w14:textId="34BACB34" w:rsidR="00D726B2" w:rsidRPr="00191003" w:rsidRDefault="00D726B2" w:rsidP="00E858EF">
      <w:pPr>
        <w:suppressAutoHyphens/>
      </w:pPr>
      <w:r>
        <w:tab/>
      </w:r>
      <w:r w:rsidRPr="00191003">
        <w:t>The decorated fragments of larnakes from</w:t>
      </w:r>
      <w:r>
        <w:t xml:space="preserve"> the</w:t>
      </w:r>
      <w:r w:rsidRPr="00191003">
        <w:t xml:space="preserve"> KNC</w:t>
      </w:r>
      <w:r>
        <w:t xml:space="preserve"> that are</w:t>
      </w:r>
      <w:r w:rsidRPr="00191003">
        <w:t xml:space="preserve"> not included in this analysis </w:t>
      </w:r>
      <w:r>
        <w:t>have</w:t>
      </w:r>
      <w:r w:rsidRPr="00191003">
        <w:t xml:space="preserve"> two </w:t>
      </w:r>
      <w:r>
        <w:t>motif</w:t>
      </w:r>
      <w:r w:rsidRPr="00191003">
        <w:t xml:space="preserve">s not registered anywhere </w:t>
      </w:r>
      <w:r>
        <w:t>among</w:t>
      </w:r>
      <w:r w:rsidRPr="00191003">
        <w:t xml:space="preserve"> the other secure larnakes from this area: FM 2</w:t>
      </w:r>
      <w:r>
        <w:t>1</w:t>
      </w:r>
      <w:r w:rsidRPr="00191003">
        <w:t xml:space="preserve"> octopi</w:t>
      </w:r>
      <w:r>
        <w:t>/</w:t>
      </w:r>
      <w:r w:rsidRPr="00191003">
        <w:t>cuttlefish</w:t>
      </w:r>
      <w:r>
        <w:t xml:space="preserve"> (tomb 292 Medical Faculty site: Coldstream and Catling, 1996: vol. 4</w:t>
      </w:r>
      <w:r w:rsidR="005B7F41">
        <w:t>,</w:t>
      </w:r>
      <w:r>
        <w:t xml:space="preserve"> pl. 250 n. 239)</w:t>
      </w:r>
      <w:r w:rsidRPr="00191003">
        <w:t xml:space="preserve"> and FM 17 quatrefoil </w:t>
      </w:r>
      <w:r>
        <w:t>(tomb 85 Medical Faculty site: Coldstream and Catling, 1996: vol. 4</w:t>
      </w:r>
      <w:r w:rsidR="005B7F41">
        <w:t>,</w:t>
      </w:r>
      <w:r>
        <w:t xml:space="preserve"> pl. 133 n. 85.1). Another fragmentary</w:t>
      </w:r>
      <w:r w:rsidRPr="00191003">
        <w:t xml:space="preserve"> larnax from the same </w:t>
      </w:r>
      <w:r>
        <w:t>cemetery has a</w:t>
      </w:r>
      <w:r w:rsidRPr="00191003">
        <w:t xml:space="preserve"> stemmed spiral pattern</w:t>
      </w:r>
      <w:r>
        <w:t>s FM 51</w:t>
      </w:r>
      <w:r w:rsidRPr="00191003">
        <w:t xml:space="preserve"> decoration on a long side for the entire panel</w:t>
      </w:r>
      <w:r>
        <w:t xml:space="preserve"> (tomb Q Tekke site: Coldstream and Catling, 1996: vol. 4 pl. 86 n. 116).</w:t>
      </w:r>
      <w:r w:rsidRPr="00191003">
        <w:t xml:space="preserve"> These </w:t>
      </w:r>
      <w:r>
        <w:t>motif</w:t>
      </w:r>
      <w:r w:rsidRPr="00191003">
        <w:t xml:space="preserve">s must be added to the </w:t>
      </w:r>
      <w:r>
        <w:t>other motives registered o</w:t>
      </w:r>
      <w:r w:rsidRPr="00191003">
        <w:t xml:space="preserve">n the larnax from </w:t>
      </w:r>
      <w:r>
        <w:t>T</w:t>
      </w:r>
      <w:r w:rsidRPr="00191003">
        <w:t>omb 107</w:t>
      </w:r>
      <w:r>
        <w:t xml:space="preserve"> with unique representational scenes</w:t>
      </w:r>
      <w:r w:rsidRPr="00191003">
        <w:t xml:space="preserve"> (</w:t>
      </w:r>
      <w:r>
        <w:t>e.g. FM 7 bird:</w:t>
      </w:r>
      <w:r w:rsidRPr="00191003">
        <w:t xml:space="preserve"> </w:t>
      </w:r>
      <w:r>
        <w:t xml:space="preserve">see </w:t>
      </w:r>
      <w:r w:rsidRPr="00191003">
        <w:t>Morgan 19</w:t>
      </w:r>
      <w:r>
        <w:t>8</w:t>
      </w:r>
      <w:r w:rsidRPr="00191003">
        <w:t>7</w:t>
      </w:r>
      <w:r>
        <w:t>; from tomb 107 Medical Faculty site: Coldstream and Catling, 1996: vol. 4</w:t>
      </w:r>
      <w:r w:rsidR="005B7F41">
        <w:t>,</w:t>
      </w:r>
      <w:r>
        <w:t xml:space="preserve"> pl. 163-164 n. 214</w:t>
      </w:r>
      <w:r w:rsidRPr="00191003">
        <w:t>).</w:t>
      </w:r>
    </w:p>
    <w:p w14:paraId="50150498" w14:textId="77777777" w:rsidR="00D726B2" w:rsidRPr="00191003" w:rsidRDefault="00D726B2" w:rsidP="00E858EF">
      <w:pPr>
        <w:pStyle w:val="Titolo4"/>
        <w:keepNext w:val="0"/>
        <w:keepLines w:val="0"/>
        <w:suppressAutoHyphens/>
      </w:pPr>
      <w:bookmarkStart w:id="1118" w:name="_Toc517807608"/>
      <w:r w:rsidRPr="00191003">
        <w:t>Difference between frames and panel</w:t>
      </w:r>
      <w:r>
        <w:t>s</w:t>
      </w:r>
      <w:bookmarkEnd w:id="1118"/>
    </w:p>
    <w:p w14:paraId="515E2CA9" w14:textId="77777777" w:rsidR="00D726B2" w:rsidRPr="00191003" w:rsidRDefault="00D726B2" w:rsidP="00E858EF">
      <w:pPr>
        <w:suppressAutoHyphens/>
      </w:pPr>
      <w:r w:rsidRPr="00191003">
        <w:t xml:space="preserve">From </w:t>
      </w:r>
      <w:r>
        <w:t>a</w:t>
      </w:r>
      <w:r w:rsidRPr="00191003">
        <w:t xml:space="preserve"> morphological </w:t>
      </w:r>
      <w:r>
        <w:t>perspective,</w:t>
      </w:r>
      <w:r w:rsidRPr="00191003">
        <w:t xml:space="preserve"> the division between frame</w:t>
      </w:r>
      <w:r>
        <w:t>s</w:t>
      </w:r>
      <w:r w:rsidRPr="00191003">
        <w:t xml:space="preserve"> and panel</w:t>
      </w:r>
      <w:r>
        <w:t>s</w:t>
      </w:r>
      <w:r w:rsidRPr="00191003">
        <w:t xml:space="preserve"> </w:t>
      </w:r>
      <w:r>
        <w:t>o</w:t>
      </w:r>
      <w:r w:rsidRPr="00191003">
        <w:t>n chest</w:t>
      </w:r>
      <w:r>
        <w:t>-</w:t>
      </w:r>
      <w:r w:rsidRPr="00191003">
        <w:t xml:space="preserve">shaped larnakes from </w:t>
      </w:r>
      <w:r>
        <w:t xml:space="preserve">the </w:t>
      </w:r>
      <w:r w:rsidRPr="00191003">
        <w:t xml:space="preserve">Knossos region is </w:t>
      </w:r>
      <w:r>
        <w:t>often</w:t>
      </w:r>
      <w:r w:rsidRPr="00191003">
        <w:t xml:space="preserve"> rendered through raised panels.</w:t>
      </w:r>
      <w:r>
        <w:t xml:space="preserve"> Regarding</w:t>
      </w:r>
      <w:r w:rsidRPr="00191003">
        <w:t xml:space="preserve"> the sample of decorated larnakes</w:t>
      </w:r>
      <w:r>
        <w:t>, it</w:t>
      </w:r>
      <w:r w:rsidRPr="00191003">
        <w:t xml:space="preserve"> is not possible to determine </w:t>
      </w:r>
      <w:r>
        <w:t>the exact</w:t>
      </w:r>
      <w:r w:rsidRPr="00191003">
        <w:t xml:space="preserve"> decoration of the frame for the vast majority (15 out of 21) for reasons </w:t>
      </w:r>
      <w:r>
        <w:t>of preservation</w:t>
      </w:r>
      <w:r w:rsidRPr="00191003">
        <w:t xml:space="preserve"> (too fragmentary) or </w:t>
      </w:r>
      <w:r>
        <w:t xml:space="preserve">a </w:t>
      </w:r>
      <w:r w:rsidRPr="00191003">
        <w:t>lack of information in</w:t>
      </w:r>
      <w:r>
        <w:t xml:space="preserve"> the</w:t>
      </w:r>
      <w:r w:rsidRPr="00191003">
        <w:t xml:space="preserve"> publication.</w:t>
      </w:r>
    </w:p>
    <w:p w14:paraId="24E42963" w14:textId="77777777" w:rsidR="00D726B2" w:rsidRPr="00191003" w:rsidRDefault="00D726B2" w:rsidP="00E858EF">
      <w:pPr>
        <w:suppressAutoHyphens/>
      </w:pPr>
      <w:r>
        <w:t>Regarding</w:t>
      </w:r>
      <w:r w:rsidRPr="00191003">
        <w:t xml:space="preserve"> the remaining seven chest</w:t>
      </w:r>
      <w:r>
        <w:t>-</w:t>
      </w:r>
      <w:r w:rsidRPr="00191003">
        <w:t xml:space="preserve">shaped larnakes, </w:t>
      </w:r>
      <w:r>
        <w:t xml:space="preserve">the </w:t>
      </w:r>
      <w:r w:rsidRPr="00191003">
        <w:t>distinction between panel and frames is rendered</w:t>
      </w:r>
      <w:r>
        <w:t>,</w:t>
      </w:r>
      <w:r w:rsidRPr="00191003">
        <w:t xml:space="preserve"> in the vast majority of cases</w:t>
      </w:r>
      <w:r>
        <w:t>,</w:t>
      </w:r>
      <w:r w:rsidRPr="00191003">
        <w:t xml:space="preserve"> with an incision or painted band. The </w:t>
      </w:r>
      <w:r>
        <w:t>most common motif</w:t>
      </w:r>
      <w:r w:rsidRPr="00191003">
        <w:t>s in frames are</w:t>
      </w:r>
      <w:r>
        <w:t xml:space="preserve"> as follows</w:t>
      </w:r>
      <w:r w:rsidRPr="00191003">
        <w:t>:</w:t>
      </w:r>
    </w:p>
    <w:p w14:paraId="60147435" w14:textId="77777777" w:rsidR="00D726B2" w:rsidRPr="00191003" w:rsidRDefault="00D726B2" w:rsidP="00E858EF">
      <w:pPr>
        <w:pStyle w:val="Paragrafoelenco"/>
        <w:numPr>
          <w:ilvl w:val="0"/>
          <w:numId w:val="78"/>
        </w:numPr>
        <w:suppressAutoHyphens/>
        <w:spacing w:after="160"/>
      </w:pPr>
      <w:r w:rsidRPr="00191003">
        <w:t>Multiple groups of wavy lines (FM 53) rendered as a painted motif or single wavy line (5 larnakes)</w:t>
      </w:r>
    </w:p>
    <w:p w14:paraId="0BBB0CC5" w14:textId="77777777" w:rsidR="00D726B2" w:rsidRPr="00191003" w:rsidRDefault="00D726B2" w:rsidP="00E858EF">
      <w:pPr>
        <w:pStyle w:val="Paragrafoelenco"/>
        <w:numPr>
          <w:ilvl w:val="0"/>
          <w:numId w:val="78"/>
        </w:numPr>
        <w:suppressAutoHyphens/>
        <w:spacing w:after="160"/>
      </w:pPr>
      <w:r w:rsidRPr="00191003">
        <w:t>Wavy borders (FM 65) (2 larnakes)</w:t>
      </w:r>
    </w:p>
    <w:p w14:paraId="21E58A2E" w14:textId="77777777" w:rsidR="00D726B2" w:rsidRPr="00191003" w:rsidRDefault="00D726B2" w:rsidP="00E858EF">
      <w:pPr>
        <w:pStyle w:val="Paragrafoelenco"/>
        <w:numPr>
          <w:ilvl w:val="0"/>
          <w:numId w:val="78"/>
        </w:numPr>
        <w:suppressAutoHyphens/>
        <w:spacing w:after="160"/>
      </w:pPr>
      <w:r w:rsidRPr="00191003">
        <w:t>Zigzag (FM 61) (1 larnax)</w:t>
      </w:r>
    </w:p>
    <w:p w14:paraId="7DF2CB6B" w14:textId="77777777" w:rsidR="00D726B2" w:rsidRPr="00191003" w:rsidRDefault="00D726B2" w:rsidP="00E858EF">
      <w:pPr>
        <w:pStyle w:val="Paragrafoelenco"/>
        <w:numPr>
          <w:ilvl w:val="0"/>
          <w:numId w:val="78"/>
        </w:numPr>
        <w:suppressAutoHyphens/>
        <w:spacing w:after="160"/>
      </w:pPr>
      <w:r w:rsidRPr="00191003">
        <w:t>Simple outline (1 larnax)</w:t>
      </w:r>
    </w:p>
    <w:p w14:paraId="6672B75D" w14:textId="77777777" w:rsidR="00D726B2" w:rsidRPr="00191003" w:rsidRDefault="00D726B2" w:rsidP="00E858EF">
      <w:pPr>
        <w:suppressAutoHyphens/>
      </w:pPr>
      <w:r w:rsidRPr="00191003">
        <w:t xml:space="preserve">There are cases in which </w:t>
      </w:r>
      <w:r>
        <w:t xml:space="preserve">the </w:t>
      </w:r>
      <w:r w:rsidRPr="00191003">
        <w:t>decoration of frames var</w:t>
      </w:r>
      <w:r>
        <w:t>ies</w:t>
      </w:r>
      <w:r w:rsidRPr="00191003">
        <w:t xml:space="preserve"> from frame to frame </w:t>
      </w:r>
      <w:r>
        <w:t>on</w:t>
      </w:r>
      <w:r w:rsidRPr="00191003">
        <w:t xml:space="preserve"> the same larnax (</w:t>
      </w:r>
      <w:r>
        <w:t>e.g.</w:t>
      </w:r>
      <w:r w:rsidRPr="00191003">
        <w:t xml:space="preserve"> </w:t>
      </w:r>
      <w:r>
        <w:t xml:space="preserve">104 </w:t>
      </w:r>
      <w:r w:rsidRPr="00191003">
        <w:t>Upper Gypsades larnakes</w:t>
      </w:r>
      <w:r>
        <w:t xml:space="preserve"> and 112 Upper Gypsades</w:t>
      </w:r>
      <w:r w:rsidRPr="00191003">
        <w:t xml:space="preserve">). In </w:t>
      </w:r>
      <w:r>
        <w:t>some cases,</w:t>
      </w:r>
      <w:r w:rsidRPr="00191003">
        <w:t xml:space="preserve"> the pattern decorating one panel is repeated at least twice, and in other cases it is repeated through</w:t>
      </w:r>
      <w:r>
        <w:t>out</w:t>
      </w:r>
      <w:r w:rsidRPr="00191003">
        <w:t xml:space="preserve"> the four panels (</w:t>
      </w:r>
      <w:r>
        <w:t>e.g.</w:t>
      </w:r>
      <w:r w:rsidRPr="00191003">
        <w:t xml:space="preserve"> 676 Katsambas</w:t>
      </w:r>
      <w:r>
        <w:t xml:space="preserve"> HM 14667</w:t>
      </w:r>
      <w:r w:rsidRPr="00191003">
        <w:t>)</w:t>
      </w:r>
      <w:r>
        <w:t>.</w:t>
      </w:r>
    </w:p>
    <w:p w14:paraId="59F14F6A" w14:textId="77777777" w:rsidR="00D726B2" w:rsidRPr="00191003" w:rsidRDefault="00D726B2" w:rsidP="00E858EF">
      <w:pPr>
        <w:pStyle w:val="Titolo4"/>
        <w:keepNext w:val="0"/>
        <w:keepLines w:val="0"/>
        <w:suppressAutoHyphens/>
      </w:pPr>
      <w:bookmarkStart w:id="1119" w:name="_Toc517807609"/>
      <w:r w:rsidRPr="00191003">
        <w:t xml:space="preserve">Identifying larnakes </w:t>
      </w:r>
      <w:r>
        <w:t>that</w:t>
      </w:r>
      <w:r w:rsidRPr="00191003">
        <w:t xml:space="preserve"> are similar</w:t>
      </w:r>
      <w:r>
        <w:t>ly</w:t>
      </w:r>
      <w:r w:rsidRPr="00191003">
        <w:t xml:space="preserve"> </w:t>
      </w:r>
      <w:r>
        <w:t>decorated</w:t>
      </w:r>
      <w:bookmarkEnd w:id="1119"/>
    </w:p>
    <w:p w14:paraId="19806D2D" w14:textId="77777777" w:rsidR="00D726B2" w:rsidRPr="00191003" w:rsidRDefault="00D726B2" w:rsidP="00370745">
      <w:pPr>
        <w:pStyle w:val="Paragrafoelenco"/>
        <w:numPr>
          <w:ilvl w:val="0"/>
          <w:numId w:val="111"/>
        </w:numPr>
        <w:suppressAutoHyphens/>
        <w:spacing w:after="160"/>
      </w:pPr>
      <w:r w:rsidRPr="00191003">
        <w:t xml:space="preserve">Possible </w:t>
      </w:r>
      <w:r>
        <w:t>G</w:t>
      </w:r>
      <w:r w:rsidRPr="00191003">
        <w:t>roup 1</w:t>
      </w:r>
    </w:p>
    <w:p w14:paraId="6EE91EC0" w14:textId="77777777" w:rsidR="00D726B2" w:rsidRPr="00191003" w:rsidRDefault="00D726B2" w:rsidP="00E858EF">
      <w:pPr>
        <w:suppressAutoHyphens/>
      </w:pPr>
      <w:r>
        <w:t>Two larnakes seem</w:t>
      </w:r>
      <w:r w:rsidRPr="00191003">
        <w:t xml:space="preserve"> to have similar </w:t>
      </w:r>
      <w:r>
        <w:t xml:space="preserve">motif </w:t>
      </w:r>
      <w:r w:rsidRPr="00191003">
        <w:t xml:space="preserve">decoration: a larnax </w:t>
      </w:r>
      <w:r>
        <w:t xml:space="preserve">from </w:t>
      </w:r>
      <w:r w:rsidRPr="00191003">
        <w:t>Katsambas</w:t>
      </w:r>
      <w:r>
        <w:t xml:space="preserve"> (</w:t>
      </w:r>
      <w:r w:rsidRPr="00191003">
        <w:t>676 Katsambas</w:t>
      </w:r>
      <w:r>
        <w:t xml:space="preserve"> HM 14667: </w:t>
      </w:r>
      <w:r w:rsidRPr="00407BD7">
        <w:t>Alexiou 1967: 26-40 pl. 23 a</w:t>
      </w:r>
      <w:r>
        <w:t>)</w:t>
      </w:r>
      <w:r w:rsidRPr="00191003">
        <w:t xml:space="preserve"> and</w:t>
      </w:r>
      <w:r>
        <w:t xml:space="preserve"> one</w:t>
      </w:r>
      <w:r w:rsidRPr="00191003">
        <w:t xml:space="preserve"> </w:t>
      </w:r>
      <w:r>
        <w:t xml:space="preserve">from </w:t>
      </w:r>
      <w:r w:rsidRPr="00191003">
        <w:t>Upper Gypsades</w:t>
      </w:r>
      <w:r>
        <w:t xml:space="preserve"> (105 Upper Gypsades: Hood et al. </w:t>
      </w:r>
      <w:r w:rsidRPr="00407BD7">
        <w:t>1958/1959: 231 fig. 24c, pl. 61 a</w:t>
      </w:r>
      <w:r>
        <w:t>)</w:t>
      </w:r>
      <w:r w:rsidRPr="00191003">
        <w:t xml:space="preserve"> are decorated </w:t>
      </w:r>
      <w:r>
        <w:t>with</w:t>
      </w:r>
      <w:r w:rsidRPr="00191003">
        <w:t xml:space="preserve"> </w:t>
      </w:r>
      <w:r>
        <w:t xml:space="preserve">a </w:t>
      </w:r>
      <w:r w:rsidRPr="00191003">
        <w:t xml:space="preserve">band of vertical wavy lines. </w:t>
      </w:r>
      <w:r>
        <w:t>However,</w:t>
      </w:r>
      <w:r w:rsidRPr="00191003">
        <w:t xml:space="preserve"> the decoration </w:t>
      </w:r>
      <w:r>
        <w:t>differs</w:t>
      </w:r>
      <w:r w:rsidRPr="00191003">
        <w:t xml:space="preserve"> </w:t>
      </w:r>
      <w:r>
        <w:t>in</w:t>
      </w:r>
      <w:r w:rsidRPr="00191003">
        <w:t xml:space="preserve"> a </w:t>
      </w:r>
      <w:r>
        <w:t>number</w:t>
      </w:r>
      <w:r w:rsidRPr="00191003">
        <w:t xml:space="preserve"> of features:</w:t>
      </w:r>
    </w:p>
    <w:p w14:paraId="004DAFED" w14:textId="77777777" w:rsidR="00D726B2" w:rsidRPr="00191003" w:rsidRDefault="00D726B2" w:rsidP="00E858EF">
      <w:pPr>
        <w:pStyle w:val="Paragrafoelenco"/>
        <w:numPr>
          <w:ilvl w:val="0"/>
          <w:numId w:val="90"/>
        </w:numPr>
        <w:suppressAutoHyphens/>
        <w:spacing w:after="160"/>
      </w:pPr>
      <w:r w:rsidRPr="00191003">
        <w:t xml:space="preserve">The repeated motif of vertical wavy lines is formed </w:t>
      </w:r>
      <w:r>
        <w:t>from</w:t>
      </w:r>
      <w:r w:rsidRPr="00191003">
        <w:t xml:space="preserve"> a different number of lines (always three lines </w:t>
      </w:r>
      <w:r>
        <w:t>o</w:t>
      </w:r>
      <w:r w:rsidRPr="00191003">
        <w:t xml:space="preserve">n the larnax from Katsambas, </w:t>
      </w:r>
      <w:r>
        <w:t xml:space="preserve">but </w:t>
      </w:r>
      <w:r w:rsidRPr="00191003">
        <w:t xml:space="preserve">three or four lines </w:t>
      </w:r>
      <w:r>
        <w:t>o</w:t>
      </w:r>
      <w:r w:rsidRPr="00191003">
        <w:t>n the larna</w:t>
      </w:r>
      <w:r>
        <w:t>x</w:t>
      </w:r>
      <w:r w:rsidRPr="00191003">
        <w:t xml:space="preserve"> from Upper Gypsades)</w:t>
      </w:r>
      <w:r>
        <w:t>.</w:t>
      </w:r>
    </w:p>
    <w:p w14:paraId="3F62DA75" w14:textId="77777777" w:rsidR="00D726B2" w:rsidRPr="00191003" w:rsidRDefault="00D726B2" w:rsidP="00E858EF">
      <w:pPr>
        <w:pStyle w:val="Paragrafoelenco"/>
        <w:numPr>
          <w:ilvl w:val="0"/>
          <w:numId w:val="90"/>
        </w:numPr>
        <w:suppressAutoHyphens/>
        <w:spacing w:after="160"/>
      </w:pPr>
      <w:r>
        <w:t>The f</w:t>
      </w:r>
      <w:r w:rsidRPr="00191003">
        <w:t xml:space="preserve">rames and lid of the larnax from Katsambas </w:t>
      </w:r>
      <w:r>
        <w:t xml:space="preserve">have </w:t>
      </w:r>
      <w:r w:rsidRPr="00191003">
        <w:t xml:space="preserve">a different decoration: </w:t>
      </w:r>
      <w:r>
        <w:t xml:space="preserve">the </w:t>
      </w:r>
      <w:r w:rsidRPr="00191003">
        <w:t>frames are simply outlined,</w:t>
      </w:r>
      <w:r>
        <w:t xml:space="preserve"> </w:t>
      </w:r>
      <w:r w:rsidRPr="00191003">
        <w:t>the long sides of the lid are decorated with a single horizontal line</w:t>
      </w:r>
      <w:r>
        <w:t>, and the</w:t>
      </w:r>
      <w:r w:rsidRPr="00191003">
        <w:t xml:space="preserve"> short sides of </w:t>
      </w:r>
      <w:r>
        <w:t xml:space="preserve">the </w:t>
      </w:r>
      <w:r w:rsidRPr="00191003">
        <w:t xml:space="preserve">lid </w:t>
      </w:r>
      <w:r>
        <w:t>have</w:t>
      </w:r>
      <w:r w:rsidRPr="00191003">
        <w:t xml:space="preserve"> two vertical wavy lines; the larnax from Upper Gypsades </w:t>
      </w:r>
      <w:r>
        <w:t xml:space="preserve">has </w:t>
      </w:r>
      <w:r w:rsidRPr="00191003">
        <w:t xml:space="preserve">the same panelled pattern repeated </w:t>
      </w:r>
      <w:r>
        <w:t>o</w:t>
      </w:r>
      <w:r w:rsidRPr="00191003">
        <w:t xml:space="preserve">n </w:t>
      </w:r>
      <w:r>
        <w:t xml:space="preserve">the </w:t>
      </w:r>
      <w:r w:rsidRPr="00191003">
        <w:t xml:space="preserve">frames and </w:t>
      </w:r>
      <w:r>
        <w:t xml:space="preserve">the </w:t>
      </w:r>
      <w:r w:rsidRPr="00191003">
        <w:t xml:space="preserve">lid. Only </w:t>
      </w:r>
      <w:r>
        <w:t xml:space="preserve">the </w:t>
      </w:r>
      <w:r w:rsidRPr="00191003">
        <w:t>short sides of</w:t>
      </w:r>
      <w:r>
        <w:t xml:space="preserve"> the</w:t>
      </w:r>
      <w:r w:rsidRPr="00191003">
        <w:t xml:space="preserve"> lid </w:t>
      </w:r>
      <w:r>
        <w:t>have</w:t>
      </w:r>
      <w:r w:rsidRPr="00191003">
        <w:t xml:space="preserve"> a different decoration</w:t>
      </w:r>
      <w:r>
        <w:t>,</w:t>
      </w:r>
      <w:r w:rsidRPr="00191003">
        <w:t xml:space="preserve"> similar to </w:t>
      </w:r>
      <w:r>
        <w:t xml:space="preserve">a </w:t>
      </w:r>
      <w:r w:rsidRPr="00191003">
        <w:t>chevron.</w:t>
      </w:r>
    </w:p>
    <w:p w14:paraId="4E639FA8" w14:textId="77777777" w:rsidR="00D726B2" w:rsidRPr="00191003" w:rsidRDefault="00D726B2" w:rsidP="00E858EF">
      <w:pPr>
        <w:pStyle w:val="Paragrafoelenco"/>
        <w:numPr>
          <w:ilvl w:val="0"/>
          <w:numId w:val="90"/>
        </w:numPr>
        <w:suppressAutoHyphens/>
        <w:spacing w:after="160"/>
      </w:pPr>
      <w:r w:rsidRPr="00191003">
        <w:t>Furthermore</w:t>
      </w:r>
      <w:r>
        <w:t>,</w:t>
      </w:r>
      <w:r w:rsidRPr="00191003">
        <w:t xml:space="preserve"> the two larnakes diverge </w:t>
      </w:r>
      <w:r>
        <w:t>in</w:t>
      </w:r>
      <w:r w:rsidRPr="00191003">
        <w:t xml:space="preserve"> their morphological characteristics (</w:t>
      </w:r>
      <w:r>
        <w:t>e.g.</w:t>
      </w:r>
      <w:r w:rsidRPr="00191003">
        <w:t xml:space="preserve"> holes instead of handles </w:t>
      </w:r>
      <w:r>
        <w:t>o</w:t>
      </w:r>
      <w:r w:rsidRPr="00191003">
        <w:t>n the body of the larnax from Upper Gypsades)</w:t>
      </w:r>
      <w:r>
        <w:t>.</w:t>
      </w:r>
    </w:p>
    <w:p w14:paraId="5EF0E07F" w14:textId="77777777" w:rsidR="00D726B2" w:rsidRPr="00191003" w:rsidRDefault="00D726B2" w:rsidP="00370745">
      <w:pPr>
        <w:pStyle w:val="Paragrafoelenco"/>
        <w:numPr>
          <w:ilvl w:val="0"/>
          <w:numId w:val="111"/>
        </w:numPr>
        <w:suppressAutoHyphens/>
        <w:spacing w:after="160"/>
      </w:pPr>
      <w:r w:rsidRPr="00191003">
        <w:t xml:space="preserve">Possible </w:t>
      </w:r>
      <w:r>
        <w:t>G</w:t>
      </w:r>
      <w:r w:rsidRPr="00191003">
        <w:t>roup 2</w:t>
      </w:r>
    </w:p>
    <w:p w14:paraId="59E15AA0" w14:textId="228C3034" w:rsidR="00D726B2" w:rsidRPr="00191003" w:rsidRDefault="00D726B2" w:rsidP="00E858EF">
      <w:pPr>
        <w:pStyle w:val="Paragrafoelenco"/>
        <w:suppressAutoHyphens/>
        <w:ind w:left="0"/>
      </w:pPr>
      <w:r w:rsidRPr="00191003">
        <w:t xml:space="preserve">More than similar decoration, </w:t>
      </w:r>
      <w:r>
        <w:t xml:space="preserve">there is </w:t>
      </w:r>
      <w:r w:rsidRPr="00191003">
        <w:t>a parallel in the organi</w:t>
      </w:r>
      <w:r>
        <w:t>s</w:t>
      </w:r>
      <w:r w:rsidRPr="00191003">
        <w:t xml:space="preserve">ation of the decoration and similarities in some of the </w:t>
      </w:r>
      <w:r>
        <w:t>motif</w:t>
      </w:r>
      <w:r w:rsidRPr="00191003">
        <w:t>s between</w:t>
      </w:r>
      <w:r>
        <w:t xml:space="preserve"> a larnax from</w:t>
      </w:r>
      <w:r w:rsidRPr="00191003">
        <w:t xml:space="preserve"> Zafer Papoura</w:t>
      </w:r>
      <w:r>
        <w:t xml:space="preserve"> (99 Zafer Papoura AE 13050: </w:t>
      </w:r>
      <w:r w:rsidRPr="00870C66">
        <w:t>Evans 1906: 480-482, pl. 102a-b</w:t>
      </w:r>
      <w:r>
        <w:t xml:space="preserve">; </w:t>
      </w:r>
      <w:r w:rsidRPr="00974129">
        <w:t>Galanakis 2013: 57</w:t>
      </w:r>
      <w:r w:rsidR="005B7F41">
        <w:t>,</w:t>
      </w:r>
      <w:r w:rsidRPr="00974129">
        <w:t xml:space="preserve"> fig. 97</w:t>
      </w:r>
      <w:r>
        <w:t>)</w:t>
      </w:r>
      <w:r w:rsidRPr="00191003">
        <w:t xml:space="preserve"> and </w:t>
      </w:r>
      <w:r>
        <w:t>a larnax from</w:t>
      </w:r>
      <w:r w:rsidRPr="00191003">
        <w:t xml:space="preserve"> Upper Gypsades</w:t>
      </w:r>
      <w:r>
        <w:t xml:space="preserve"> (</w:t>
      </w:r>
      <w:r w:rsidRPr="00191003">
        <w:t>104</w:t>
      </w:r>
      <w:r>
        <w:t xml:space="preserve"> Upper Gypsades: Hood et al.</w:t>
      </w:r>
      <w:r w:rsidRPr="00974129">
        <w:rPr>
          <w:rFonts w:ascii="Lucida Grande" w:hAnsi="Lucida Grande" w:cs="Lucida Grande"/>
          <w:color w:val="000000"/>
          <w:sz w:val="20"/>
          <w:szCs w:val="20"/>
        </w:rPr>
        <w:t xml:space="preserve"> </w:t>
      </w:r>
      <w:r w:rsidRPr="00974129">
        <w:t>1958/1959: 227</w:t>
      </w:r>
      <w:r w:rsidR="005B7F41">
        <w:t>,</w:t>
      </w:r>
      <w:r w:rsidRPr="00974129">
        <w:t xml:space="preserve"> fig. 24b, pl. 61 d-f; Watrous 1991: p</w:t>
      </w:r>
      <w:r w:rsidR="00906E67">
        <w:t>l</w:t>
      </w:r>
      <w:r w:rsidRPr="00974129">
        <w:t xml:space="preserve">. 84 a </w:t>
      </w:r>
      <w:r>
        <w:t>–</w:t>
      </w:r>
      <w:r w:rsidRPr="00974129">
        <w:t>b</w:t>
      </w:r>
      <w:r>
        <w:t>).</w:t>
      </w:r>
      <w:r w:rsidRPr="00191003">
        <w:t xml:space="preserve"> </w:t>
      </w:r>
      <w:r>
        <w:t>O</w:t>
      </w:r>
      <w:r w:rsidRPr="00191003">
        <w:t>n both larnakes</w:t>
      </w:r>
      <w:r>
        <w:t>,</w:t>
      </w:r>
      <w:r w:rsidRPr="00191003">
        <w:t xml:space="preserve"> the panel</w:t>
      </w:r>
      <w:r>
        <w:t>s</w:t>
      </w:r>
      <w:r w:rsidRPr="00191003">
        <w:t xml:space="preserve"> of one of the two long sides is decorated with a different number of </w:t>
      </w:r>
      <w:r>
        <w:t>large</w:t>
      </w:r>
      <w:r w:rsidRPr="00191003">
        <w:t xml:space="preserve"> flowers (Mycenaean flowers or papyri in the case of the Zafer Papoura larnax, papyri in the case of the larnax from Upper Gypsades); the other long</w:t>
      </w:r>
      <w:r>
        <w:t>-</w:t>
      </w:r>
      <w:r w:rsidRPr="00191003">
        <w:t>side panel is decorated with</w:t>
      </w:r>
      <w:r>
        <w:t xml:space="preserve"> a</w:t>
      </w:r>
      <w:r w:rsidRPr="00191003">
        <w:t xml:space="preserve"> </w:t>
      </w:r>
      <w:r>
        <w:t>‘</w:t>
      </w:r>
      <w:r w:rsidRPr="00191003">
        <w:t>geometric</w:t>
      </w:r>
      <w:r>
        <w:t>’</w:t>
      </w:r>
      <w:r w:rsidRPr="00191003">
        <w:t xml:space="preserve"> motif  (FM 62 tricurve arch net pattern in the case of the larnax from Zafer Papoura, running spirals in rows</w:t>
      </w:r>
      <w:r>
        <w:t xml:space="preserve"> FM 46</w:t>
      </w:r>
      <w:r w:rsidRPr="00191003">
        <w:t xml:space="preserve"> in the case of the larnax from Upper Gypsades); one short side </w:t>
      </w:r>
      <w:r>
        <w:t>o</w:t>
      </w:r>
      <w:r w:rsidRPr="00191003">
        <w:t xml:space="preserve">n both </w:t>
      </w:r>
      <w:r>
        <w:t>larnakes</w:t>
      </w:r>
      <w:r w:rsidRPr="00191003">
        <w:t xml:space="preserve"> </w:t>
      </w:r>
      <w:r>
        <w:t>has a single papyrus</w:t>
      </w:r>
      <w:r w:rsidRPr="00191003">
        <w:t xml:space="preserve"> depicted in the panel</w:t>
      </w:r>
      <w:r>
        <w:t>,</w:t>
      </w:r>
      <w:r w:rsidRPr="00191003">
        <w:t xml:space="preserve"> and the other short side</w:t>
      </w:r>
      <w:r>
        <w:t xml:space="preserve"> has a</w:t>
      </w:r>
      <w:r w:rsidRPr="00191003">
        <w:t xml:space="preserve"> geometric decoration (FM 25 bivalve shell  in the case of the larnax from Zafer Papoura, and running spirals</w:t>
      </w:r>
      <w:r>
        <w:t xml:space="preserve"> FM 46</w:t>
      </w:r>
      <w:r w:rsidRPr="00191003">
        <w:t xml:space="preserve"> in the case of the larnax from Upper Gypsades). The features examined </w:t>
      </w:r>
      <w:r>
        <w:t xml:space="preserve">show </w:t>
      </w:r>
      <w:r w:rsidRPr="00191003">
        <w:t xml:space="preserve">similarities and similar </w:t>
      </w:r>
      <w:r>
        <w:t>method of</w:t>
      </w:r>
      <w:r w:rsidRPr="00191003">
        <w:t xml:space="preserve"> organi</w:t>
      </w:r>
      <w:r>
        <w:t>sing the decorative space; they do not necessary demonstrate origin in the same workshop.</w:t>
      </w:r>
    </w:p>
    <w:p w14:paraId="355E9AF2" w14:textId="5E6EDE2A" w:rsidR="00D726B2" w:rsidRPr="00191003" w:rsidRDefault="00D726B2" w:rsidP="00E858EF">
      <w:pPr>
        <w:pStyle w:val="Titolo3"/>
        <w:keepNext w:val="0"/>
        <w:keepLines w:val="0"/>
        <w:suppressAutoHyphens/>
      </w:pPr>
      <w:bookmarkStart w:id="1120" w:name="_Toc517807610"/>
      <w:bookmarkStart w:id="1121" w:name="_Toc519894692"/>
      <w:r w:rsidRPr="00191003">
        <w:t>Conclusion</w:t>
      </w:r>
      <w:r>
        <w:t>s</w:t>
      </w:r>
      <w:bookmarkEnd w:id="1120"/>
      <w:r>
        <w:t>, Knossos</w:t>
      </w:r>
      <w:bookmarkEnd w:id="1121"/>
      <w:r w:rsidR="006934A7">
        <w:t xml:space="preserve"> area</w:t>
      </w:r>
    </w:p>
    <w:p w14:paraId="096B0232"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191003">
        <w:rPr>
          <w:color w:val="000000"/>
        </w:rPr>
        <w:t xml:space="preserve">From </w:t>
      </w:r>
      <w:r>
        <w:rPr>
          <w:color w:val="000000"/>
        </w:rPr>
        <w:t>a</w:t>
      </w:r>
      <w:r w:rsidRPr="00191003">
        <w:rPr>
          <w:color w:val="000000"/>
        </w:rPr>
        <w:t xml:space="preserve"> morphological </w:t>
      </w:r>
      <w:r>
        <w:rPr>
          <w:color w:val="000000"/>
        </w:rPr>
        <w:t>perspective,</w:t>
      </w:r>
      <w:r w:rsidRPr="00191003">
        <w:rPr>
          <w:color w:val="000000"/>
        </w:rPr>
        <w:t xml:space="preserve"> clay larnakes from the Knossos area can be considered standardised except for the panel work typology (to render panel structure</w:t>
      </w:r>
      <w:r>
        <w:rPr>
          <w:color w:val="000000"/>
        </w:rPr>
        <w:t>,</w:t>
      </w:r>
      <w:r w:rsidRPr="00191003">
        <w:rPr>
          <w:color w:val="000000"/>
        </w:rPr>
        <w:t xml:space="preserve"> both raised bands and incision</w:t>
      </w:r>
      <w:r>
        <w:rPr>
          <w:color w:val="000000"/>
        </w:rPr>
        <w:t>s</w:t>
      </w:r>
      <w:r w:rsidRPr="00191003">
        <w:rPr>
          <w:color w:val="000000"/>
        </w:rPr>
        <w:t xml:space="preserve"> occur </w:t>
      </w:r>
      <w:r>
        <w:rPr>
          <w:color w:val="000000"/>
        </w:rPr>
        <w:t>as well as</w:t>
      </w:r>
      <w:r w:rsidRPr="00191003">
        <w:rPr>
          <w:color w:val="000000"/>
        </w:rPr>
        <w:t xml:space="preserve"> a panel</w:t>
      </w:r>
      <w:r>
        <w:rPr>
          <w:color w:val="000000"/>
        </w:rPr>
        <w:t>-</w:t>
      </w:r>
      <w:r w:rsidRPr="00191003">
        <w:rPr>
          <w:color w:val="000000"/>
        </w:rPr>
        <w:t xml:space="preserve">like structure, which probably recalls a wooden larnax prototype, </w:t>
      </w:r>
      <w:r>
        <w:rPr>
          <w:color w:val="000000"/>
        </w:rPr>
        <w:t xml:space="preserve">which </w:t>
      </w:r>
      <w:r w:rsidRPr="00191003">
        <w:rPr>
          <w:color w:val="000000"/>
        </w:rPr>
        <w:t xml:space="preserve">has been noted in a larnax from </w:t>
      </w:r>
      <w:r>
        <w:rPr>
          <w:color w:val="000000"/>
        </w:rPr>
        <w:t xml:space="preserve">the </w:t>
      </w:r>
      <w:r w:rsidRPr="00191003">
        <w:rPr>
          <w:color w:val="000000"/>
        </w:rPr>
        <w:t>Zafer Papoura cemetery and in a larnax from Upper Gypsades).</w:t>
      </w:r>
    </w:p>
    <w:p w14:paraId="693FE831"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r>
        <w:rPr>
          <w:color w:val="000000"/>
        </w:rPr>
        <w:tab/>
      </w:r>
      <w:r w:rsidRPr="00191003">
        <w:rPr>
          <w:color w:val="000000"/>
        </w:rPr>
        <w:t>All the secure larnakes are chest</w:t>
      </w:r>
      <w:r>
        <w:rPr>
          <w:color w:val="000000"/>
        </w:rPr>
        <w:t>-</w:t>
      </w:r>
      <w:r w:rsidRPr="00191003">
        <w:rPr>
          <w:color w:val="000000"/>
        </w:rPr>
        <w:t xml:space="preserve">shaped. The most common type of larnax is an undecorated clay chest coffin with </w:t>
      </w:r>
      <w:r>
        <w:rPr>
          <w:color w:val="000000"/>
        </w:rPr>
        <w:t xml:space="preserve">a </w:t>
      </w:r>
      <w:r w:rsidRPr="00191003">
        <w:rPr>
          <w:color w:val="000000"/>
        </w:rPr>
        <w:t xml:space="preserve">gable lid, four feet and four handles. </w:t>
      </w:r>
      <w:r>
        <w:rPr>
          <w:color w:val="000000"/>
        </w:rPr>
        <w:t>There are</w:t>
      </w:r>
      <w:r w:rsidRPr="00191003">
        <w:rPr>
          <w:color w:val="000000"/>
        </w:rPr>
        <w:t xml:space="preserve"> generally four raised band panels and no figurine at the end of the ridge of the lid. </w:t>
      </w:r>
      <w:r w:rsidRPr="00191003">
        <w:t xml:space="preserve">Securely decorated larnakes from the Knossos region </w:t>
      </w:r>
      <w:r>
        <w:t>comprise</w:t>
      </w:r>
      <w:r w:rsidRPr="00191003">
        <w:t xml:space="preserve"> 19% of the total number of larnakes, while for the remaining 81%</w:t>
      </w:r>
      <w:r>
        <w:t>,</w:t>
      </w:r>
      <w:r w:rsidRPr="00191003">
        <w:t xml:space="preserve"> either there </w:t>
      </w:r>
      <w:r>
        <w:t>is</w:t>
      </w:r>
      <w:r w:rsidRPr="00191003">
        <w:t xml:space="preserve"> no information about the decoration or </w:t>
      </w:r>
      <w:r>
        <w:t xml:space="preserve">they </w:t>
      </w:r>
      <w:r w:rsidRPr="00191003">
        <w:t xml:space="preserve">are not decorated. </w:t>
      </w:r>
    </w:p>
    <w:p w14:paraId="53BB8A33" w14:textId="7721F482" w:rsidR="00D726B2" w:rsidRPr="00191003" w:rsidRDefault="00D726B2" w:rsidP="00E858EF">
      <w:pPr>
        <w:suppressAutoHyphens/>
      </w:pPr>
      <w:r>
        <w:tab/>
      </w:r>
      <w:r w:rsidRPr="00191003">
        <w:t>Bearing in mind that the sample is small</w:t>
      </w:r>
      <w:r>
        <w:t>,</w:t>
      </w:r>
      <w:r w:rsidRPr="00191003">
        <w:t xml:space="preserve"> and even smaller consider</w:t>
      </w:r>
      <w:r>
        <w:t>ing</w:t>
      </w:r>
      <w:r w:rsidRPr="00191003">
        <w:t xml:space="preserve"> that </w:t>
      </w:r>
      <w:r>
        <w:t xml:space="preserve">it </w:t>
      </w:r>
      <w:r w:rsidRPr="00191003">
        <w:t xml:space="preserve">is not possible to examine in detail the decoration of a further </w:t>
      </w:r>
      <w:r>
        <w:t>eight</w:t>
      </w:r>
      <w:r w:rsidRPr="00191003">
        <w:t xml:space="preserve"> larnakes, the number of pottery </w:t>
      </w:r>
      <w:r>
        <w:t>motif</w:t>
      </w:r>
      <w:r w:rsidRPr="00191003">
        <w:t>s registered is not very high (24)</w:t>
      </w:r>
      <w:r>
        <w:t>,</w:t>
      </w:r>
      <w:r w:rsidRPr="00191003">
        <w:t xml:space="preserve"> to which no peculiar </w:t>
      </w:r>
      <w:r>
        <w:t>motif</w:t>
      </w:r>
      <w:r w:rsidRPr="00191003">
        <w:t xml:space="preserve">s can be added from the secure sample. In none of the items examined do unidentified </w:t>
      </w:r>
      <w:r>
        <w:t>motif</w:t>
      </w:r>
      <w:r w:rsidRPr="00191003">
        <w:t>s occur</w:t>
      </w:r>
      <w:r>
        <w:t>.</w:t>
      </w:r>
      <w:r w:rsidRPr="00191003">
        <w:t xml:space="preserve"> </w:t>
      </w:r>
      <w:r>
        <w:t>However,</w:t>
      </w:r>
      <w:r w:rsidRPr="00191003">
        <w:t xml:space="preserve"> from the description of the decoration of a larnax from Zafer Papoura </w:t>
      </w:r>
      <w:r>
        <w:t>(</w:t>
      </w:r>
      <w:r w:rsidRPr="00191003">
        <w:t xml:space="preserve">now </w:t>
      </w:r>
      <w:r>
        <w:t xml:space="preserve">almost </w:t>
      </w:r>
      <w:r w:rsidRPr="00191003">
        <w:t>completely faded</w:t>
      </w:r>
      <w:r>
        <w:t>),</w:t>
      </w:r>
      <w:r w:rsidRPr="00191003">
        <w:t xml:space="preserve"> scenes and </w:t>
      </w:r>
      <w:r>
        <w:t>motif</w:t>
      </w:r>
      <w:r w:rsidRPr="00191003">
        <w:t xml:space="preserve">s not comparable to the pottery repertoire decoration </w:t>
      </w:r>
      <w:r>
        <w:t>were</w:t>
      </w:r>
      <w:r w:rsidRPr="00191003">
        <w:t xml:space="preserve"> reported</w:t>
      </w:r>
      <w:r>
        <w:t xml:space="preserve"> (64 Zafer Papoura AE 1128: Evans 1906: 439, fig. 45;</w:t>
      </w:r>
      <w:r w:rsidRPr="00510941">
        <w:t xml:space="preserve"> Galanakis 2013: 57</w:t>
      </w:r>
      <w:r w:rsidR="00906E67">
        <w:t>,</w:t>
      </w:r>
      <w:r w:rsidRPr="00510941">
        <w:t xml:space="preserve"> fig. 95</w:t>
      </w:r>
      <w:r>
        <w:t>)</w:t>
      </w:r>
      <w:r w:rsidRPr="00191003">
        <w:t>. Furthermore</w:t>
      </w:r>
      <w:r>
        <w:t>,</w:t>
      </w:r>
      <w:r w:rsidRPr="00191003">
        <w:t xml:space="preserve"> a larnax within the sample </w:t>
      </w:r>
      <w:r>
        <w:t xml:space="preserve">of possible LM III coffins from the </w:t>
      </w:r>
      <w:r w:rsidRPr="00191003">
        <w:t>KNC</w:t>
      </w:r>
      <w:r>
        <w:t xml:space="preserve"> </w:t>
      </w:r>
      <w:r w:rsidRPr="00191003">
        <w:t xml:space="preserve">is decorated with two female figures and other </w:t>
      </w:r>
      <w:r>
        <w:t>motif</w:t>
      </w:r>
      <w:r w:rsidRPr="00191003">
        <w:t xml:space="preserve">s that are not comparable </w:t>
      </w:r>
      <w:r>
        <w:t>to the</w:t>
      </w:r>
      <w:r w:rsidRPr="00191003">
        <w:t xml:space="preserve"> pottery repertoire</w:t>
      </w:r>
      <w:r>
        <w:t xml:space="preserve"> either (Morgan 1987)</w:t>
      </w:r>
      <w:r w:rsidRPr="00191003">
        <w:t>.</w:t>
      </w:r>
    </w:p>
    <w:p w14:paraId="5CB19DAB" w14:textId="6A935FC2" w:rsidR="00D726B2" w:rsidRPr="00191003" w:rsidRDefault="00D726B2" w:rsidP="00E858EF">
      <w:pPr>
        <w:suppressAutoHyphens/>
      </w:pPr>
      <w:r>
        <w:tab/>
      </w:r>
      <w:r w:rsidRPr="00191003">
        <w:t xml:space="preserve">A difference in terms of decoration </w:t>
      </w:r>
      <w:r>
        <w:t>is apparent</w:t>
      </w:r>
      <w:r w:rsidRPr="00191003">
        <w:t xml:space="preserve"> in the </w:t>
      </w:r>
      <w:r>
        <w:t>motif</w:t>
      </w:r>
      <w:r w:rsidRPr="00191003">
        <w:t xml:space="preserve">s used for panels and </w:t>
      </w:r>
      <w:r>
        <w:t>the motif</w:t>
      </w:r>
      <w:r w:rsidRPr="00191003">
        <w:t xml:space="preserve">s used for frame decoration. </w:t>
      </w:r>
      <w:r>
        <w:t>The m</w:t>
      </w:r>
      <w:r w:rsidRPr="00191003">
        <w:t xml:space="preserve">otives used for decorating frames </w:t>
      </w:r>
      <w:r>
        <w:t xml:space="preserve">are </w:t>
      </w:r>
      <w:r w:rsidRPr="00191003">
        <w:t xml:space="preserve">usually repeated for all the </w:t>
      </w:r>
      <w:r>
        <w:t>frames</w:t>
      </w:r>
      <w:r w:rsidRPr="00191003">
        <w:t xml:space="preserve"> (or they are in pairs), while panel</w:t>
      </w:r>
      <w:r>
        <w:t xml:space="preserve"> motifs</w:t>
      </w:r>
      <w:r w:rsidRPr="00191003">
        <w:t xml:space="preserve"> </w:t>
      </w:r>
      <w:r>
        <w:t>have</w:t>
      </w:r>
      <w:r w:rsidRPr="00191003">
        <w:t xml:space="preserve"> </w:t>
      </w:r>
      <w:r>
        <w:t xml:space="preserve">a </w:t>
      </w:r>
      <w:r w:rsidRPr="00191003">
        <w:t>higher degree of variability both in terms of occurrence and organi</w:t>
      </w:r>
      <w:r>
        <w:t>s</w:t>
      </w:r>
      <w:r w:rsidRPr="00191003">
        <w:t>ation. This feature help</w:t>
      </w:r>
      <w:r>
        <w:t>s</w:t>
      </w:r>
      <w:r w:rsidRPr="00191003">
        <w:t xml:space="preserve"> to underline once more the panel</w:t>
      </w:r>
      <w:r>
        <w:t>-</w:t>
      </w:r>
      <w:r w:rsidRPr="00191003">
        <w:t>like structure of chest</w:t>
      </w:r>
      <w:r>
        <w:t>-shaped</w:t>
      </w:r>
      <w:r w:rsidRPr="00191003">
        <w:t xml:space="preserve"> larnakes and</w:t>
      </w:r>
      <w:r>
        <w:t>,</w:t>
      </w:r>
      <w:r w:rsidRPr="00191003">
        <w:t xml:space="preserve"> probably</w:t>
      </w:r>
      <w:r>
        <w:t>,</w:t>
      </w:r>
      <w:r w:rsidRPr="00191003">
        <w:t xml:space="preserve"> the relation to wooden prototypes</w:t>
      </w:r>
      <w:r>
        <w:t xml:space="preserve"> (to their morphological characteristics and decoration), and the same feature (repeated motives on frames) it was registered in the sample of larnakes from the Mid-West region</w:t>
      </w:r>
      <w:r w:rsidRPr="00191003">
        <w:t>.</w:t>
      </w:r>
    </w:p>
    <w:p w14:paraId="24FA8C7A" w14:textId="77777777" w:rsidR="00D726B2" w:rsidRPr="00191003" w:rsidRDefault="00D726B2" w:rsidP="00E858EF">
      <w:pPr>
        <w:suppressAutoHyphens/>
      </w:pPr>
      <w:r>
        <w:tab/>
      </w:r>
      <w:r w:rsidRPr="00191003">
        <w:t xml:space="preserve">Two larnakes can be grouped according to the similarity of </w:t>
      </w:r>
      <w:r>
        <w:t>motif</w:t>
      </w:r>
      <w:r w:rsidRPr="00191003">
        <w:t>s of their decoration</w:t>
      </w:r>
      <w:r>
        <w:t xml:space="preserve"> while is </w:t>
      </w:r>
      <w:r w:rsidRPr="00191003">
        <w:t xml:space="preserve">composed mainly by groups of </w:t>
      </w:r>
      <w:r>
        <w:t xml:space="preserve">repeated </w:t>
      </w:r>
      <w:r w:rsidRPr="00191003">
        <w:t xml:space="preserve">wavy lines. Although the two tombs in which these two larnakes </w:t>
      </w:r>
      <w:r>
        <w:t>were</w:t>
      </w:r>
      <w:r w:rsidRPr="00191003">
        <w:t xml:space="preserve"> found have a different chronology (Katsambas LM IIIA1, A2; Knossos Upper Gypsades </w:t>
      </w:r>
      <w:r>
        <w:t>T</w:t>
      </w:r>
      <w:r w:rsidRPr="00191003">
        <w:t xml:space="preserve">omb VII LM IIIB2), they are not part of the same cemetery and there is a considerable distance between the two cemeteries. </w:t>
      </w:r>
      <w:r>
        <w:t>There are also s</w:t>
      </w:r>
      <w:r w:rsidRPr="00191003">
        <w:t xml:space="preserve">imilarities in the occurrence of </w:t>
      </w:r>
      <w:r>
        <w:t>motif</w:t>
      </w:r>
      <w:r w:rsidRPr="00191003">
        <w:t xml:space="preserve">s and </w:t>
      </w:r>
      <w:r>
        <w:t xml:space="preserve">the </w:t>
      </w:r>
      <w:r w:rsidRPr="00191003">
        <w:t>organi</w:t>
      </w:r>
      <w:r>
        <w:t>sation on</w:t>
      </w:r>
      <w:r w:rsidRPr="00191003">
        <w:t xml:space="preserve"> </w:t>
      </w:r>
      <w:r>
        <w:t>an</w:t>
      </w:r>
      <w:r w:rsidRPr="00191003">
        <w:t>other two larnakes (</w:t>
      </w:r>
      <w:r>
        <w:t xml:space="preserve">99 Zafer Papoura AE 13050 and </w:t>
      </w:r>
      <w:r w:rsidRPr="00191003">
        <w:t>104</w:t>
      </w:r>
      <w:r>
        <w:t xml:space="preserve"> Upper Gypsades: </w:t>
      </w:r>
      <w:r w:rsidRPr="00191003">
        <w:t>floral and geometric decoration</w:t>
      </w:r>
      <w:r>
        <w:t>s</w:t>
      </w:r>
      <w:r w:rsidRPr="00191003">
        <w:t xml:space="preserve"> alternated through</w:t>
      </w:r>
      <w:r>
        <w:t>out the</w:t>
      </w:r>
      <w:r w:rsidRPr="00191003">
        <w:t xml:space="preserve"> panels). However</w:t>
      </w:r>
      <w:r>
        <w:t>,</w:t>
      </w:r>
      <w:r w:rsidRPr="00191003">
        <w:t xml:space="preserve"> </w:t>
      </w:r>
      <w:r>
        <w:t>a</w:t>
      </w:r>
      <w:r w:rsidRPr="00191003">
        <w:t xml:space="preserve"> different chronology for the tomb</w:t>
      </w:r>
      <w:r>
        <w:t>s where they have been found</w:t>
      </w:r>
      <w:r w:rsidRPr="00191003">
        <w:t xml:space="preserve"> (Zafer Papoura </w:t>
      </w:r>
      <w:r>
        <w:t>T</w:t>
      </w:r>
      <w:r w:rsidRPr="00191003">
        <w:t xml:space="preserve">omb 100 LM IIIA2, Upper Gypsades </w:t>
      </w:r>
      <w:r>
        <w:t>T</w:t>
      </w:r>
      <w:r w:rsidRPr="00191003">
        <w:t>omb VII LM IIIB2) does not support th</w:t>
      </w:r>
      <w:r>
        <w:t xml:space="preserve">e </w:t>
      </w:r>
      <w:r w:rsidRPr="00191003">
        <w:t>hypothesis</w:t>
      </w:r>
      <w:r>
        <w:t xml:space="preserve"> of a same workshop provenance</w:t>
      </w:r>
      <w:r w:rsidRPr="00191003">
        <w:t>.</w:t>
      </w:r>
      <w:r>
        <w:t xml:space="preserve"> </w:t>
      </w:r>
      <w:r w:rsidRPr="00191003">
        <w:t>Consequently</w:t>
      </w:r>
      <w:r>
        <w:t>,</w:t>
      </w:r>
      <w:r w:rsidRPr="00191003">
        <w:t xml:space="preserve"> these features can be interpreted </w:t>
      </w:r>
      <w:r>
        <w:t>in terms of</w:t>
      </w:r>
      <w:r w:rsidRPr="00191003">
        <w:t xml:space="preserve"> the high popularity of simple wavy line decoration</w:t>
      </w:r>
      <w:r>
        <w:t>s</w:t>
      </w:r>
      <w:r w:rsidRPr="00191003">
        <w:t xml:space="preserve"> for larnakes and of floral </w:t>
      </w:r>
      <w:r>
        <w:t>motif</w:t>
      </w:r>
      <w:r w:rsidRPr="00191003">
        <w:t xml:space="preserve">s </w:t>
      </w:r>
      <w:r>
        <w:t>such as</w:t>
      </w:r>
      <w:r w:rsidRPr="00191003">
        <w:t xml:space="preserve"> papyri (</w:t>
      </w:r>
      <w:r>
        <w:t>see the</w:t>
      </w:r>
      <w:r w:rsidRPr="00191003">
        <w:t xml:space="preserve"> iconographical analysis of other region</w:t>
      </w:r>
      <w:r>
        <w:t>s</w:t>
      </w:r>
      <w:r w:rsidRPr="00191003">
        <w:t xml:space="preserve">). </w:t>
      </w:r>
    </w:p>
    <w:p w14:paraId="3AEBF89E" w14:textId="5D1A73A2" w:rsidR="00D726B2" w:rsidRPr="00191003" w:rsidRDefault="00D726B2" w:rsidP="00E858EF">
      <w:pPr>
        <w:suppressAutoHyphens/>
      </w:pPr>
      <w:r>
        <w:tab/>
      </w:r>
      <w:r w:rsidRPr="00191003">
        <w:t>Despite the fact that the sample of secure decorated larnakes is quite small and there are no items with</w:t>
      </w:r>
      <w:r>
        <w:t xml:space="preserve"> a</w:t>
      </w:r>
      <w:r w:rsidRPr="00191003">
        <w:t xml:space="preserve"> peculiar/complex decorative iconography, it is important to underline that these features </w:t>
      </w:r>
      <w:r>
        <w:t>do</w:t>
      </w:r>
      <w:r w:rsidRPr="00191003">
        <w:t xml:space="preserve"> occur, but either it is not possible to examine them due to </w:t>
      </w:r>
      <w:r>
        <w:t>the poor</w:t>
      </w:r>
      <w:r w:rsidRPr="00191003">
        <w:t xml:space="preserve"> preservation of the item (</w:t>
      </w:r>
      <w:r>
        <w:t>e.g.</w:t>
      </w:r>
      <w:r w:rsidRPr="00F76A06">
        <w:t xml:space="preserve"> </w:t>
      </w:r>
      <w:r>
        <w:t>64 Zafer Papoura AE 1128</w:t>
      </w:r>
      <w:r w:rsidRPr="00191003">
        <w:t>)</w:t>
      </w:r>
      <w:r>
        <w:t xml:space="preserve"> or </w:t>
      </w:r>
      <w:r w:rsidRPr="00191003">
        <w:t xml:space="preserve">they occur within the sample of larnakes for which it has not been possible to </w:t>
      </w:r>
      <w:r>
        <w:t>determine</w:t>
      </w:r>
      <w:r w:rsidRPr="00191003">
        <w:t xml:space="preserve"> a secure LM III burial context (</w:t>
      </w:r>
      <w:r>
        <w:t>e.g</w:t>
      </w:r>
      <w:r w:rsidRPr="00191003">
        <w:t xml:space="preserve">. Knossos Medical </w:t>
      </w:r>
      <w:r>
        <w:t>F</w:t>
      </w:r>
      <w:r w:rsidRPr="00191003">
        <w:t xml:space="preserve">aculty larnax from </w:t>
      </w:r>
      <w:r>
        <w:t xml:space="preserve">Tomb </w:t>
      </w:r>
      <w:r w:rsidRPr="00191003">
        <w:t>107</w:t>
      </w:r>
      <w:r>
        <w:t xml:space="preserve">.214). </w:t>
      </w:r>
      <w:r w:rsidRPr="00191003">
        <w:t xml:space="preserve">This means that the use of decorated larnakes as a medium of display in </w:t>
      </w:r>
      <w:r>
        <w:t xml:space="preserve">the </w:t>
      </w:r>
      <w:r w:rsidRPr="00191003">
        <w:t xml:space="preserve">Knossos area cannot be considered as </w:t>
      </w:r>
      <w:r>
        <w:t>non-existent</w:t>
      </w:r>
      <w:r w:rsidRPr="00191003">
        <w:t>, even though the variability expressed through decoration is less tha</w:t>
      </w:r>
      <w:r>
        <w:t>n in</w:t>
      </w:r>
      <w:r w:rsidRPr="00191003">
        <w:t xml:space="preserve"> the other Cretan regions</w:t>
      </w:r>
      <w:r>
        <w:t>.</w:t>
      </w:r>
    </w:p>
    <w:p w14:paraId="09AD8624" w14:textId="77777777" w:rsidR="00D726B2" w:rsidRPr="00191003" w:rsidRDefault="00D726B2" w:rsidP="00E858EF">
      <w:pPr>
        <w:suppressAutoHyphens/>
      </w:pPr>
      <w:r>
        <w:tab/>
        <w:t>Regarding</w:t>
      </w:r>
      <w:r w:rsidRPr="00191003">
        <w:t xml:space="preserve"> the general evidence in respect of larnax adoption and use, larnakes </w:t>
      </w:r>
      <w:r>
        <w:t xml:space="preserve">were </w:t>
      </w:r>
      <w:r w:rsidRPr="00191003">
        <w:t xml:space="preserve">adopted from probably the LM IIIA2 on, and the evidence from the sample of decorated items </w:t>
      </w:r>
      <w:r>
        <w:t>suggests</w:t>
      </w:r>
      <w:r w:rsidRPr="00191003">
        <w:t xml:space="preserve"> that the adoption of decorated larna</w:t>
      </w:r>
      <w:r>
        <w:t>kes</w:t>
      </w:r>
      <w:r w:rsidRPr="00191003">
        <w:t xml:space="preserve"> as display symbol</w:t>
      </w:r>
      <w:r>
        <w:t>s</w:t>
      </w:r>
      <w:r w:rsidRPr="00191003">
        <w:t xml:space="preserve"> in burial</w:t>
      </w:r>
      <w:r>
        <w:t>s</w:t>
      </w:r>
      <w:r w:rsidRPr="00191003">
        <w:t xml:space="preserve"> </w:t>
      </w:r>
      <w:r>
        <w:t>was</w:t>
      </w:r>
      <w:r w:rsidRPr="00191003">
        <w:t xml:space="preserve"> confined to certain cemeteries a</w:t>
      </w:r>
      <w:r>
        <w:t>nd</w:t>
      </w:r>
      <w:r w:rsidRPr="00191003">
        <w:t xml:space="preserve"> in particular to certain tombs</w:t>
      </w:r>
      <w:r>
        <w:t>.</w:t>
      </w:r>
      <w:r w:rsidRPr="00191003">
        <w:t xml:space="preserve"> </w:t>
      </w:r>
      <w:r>
        <w:t>C</w:t>
      </w:r>
      <w:r w:rsidRPr="00191003">
        <w:t>onsequently</w:t>
      </w:r>
      <w:r>
        <w:t>,</w:t>
      </w:r>
      <w:r w:rsidRPr="00191003">
        <w:t xml:space="preserve"> </w:t>
      </w:r>
      <w:r>
        <w:t>this</w:t>
      </w:r>
      <w:r w:rsidRPr="00191003">
        <w:t xml:space="preserve"> medium</w:t>
      </w:r>
      <w:r>
        <w:t xml:space="preserve"> was</w:t>
      </w:r>
      <w:r w:rsidRPr="00191003">
        <w:t xml:space="preserve"> chosen only by restricted groups.</w:t>
      </w:r>
    </w:p>
    <w:p w14:paraId="4F150B65" w14:textId="5AD2EF68" w:rsidR="00D726B2" w:rsidRPr="00E7753F" w:rsidRDefault="00D726B2" w:rsidP="00E858EF">
      <w:pPr>
        <w:pStyle w:val="Titolo2"/>
        <w:keepNext w:val="0"/>
        <w:keepLines w:val="0"/>
        <w:suppressAutoHyphens/>
        <w:rPr>
          <w:b w:val="0"/>
        </w:rPr>
      </w:pPr>
      <w:bookmarkStart w:id="1122" w:name="_Toc517807611"/>
      <w:bookmarkStart w:id="1123" w:name="_Toc519894693"/>
      <w:r w:rsidRPr="00E7753F">
        <w:t>Centr</w:t>
      </w:r>
      <w:r w:rsidR="006934A7">
        <w:t>al area</w:t>
      </w:r>
      <w:bookmarkEnd w:id="1122"/>
      <w:bookmarkEnd w:id="1123"/>
    </w:p>
    <w:p w14:paraId="75630BDD" w14:textId="6A38C6F5" w:rsidR="00D726B2" w:rsidRPr="00191003" w:rsidRDefault="00D726B2" w:rsidP="00E858EF">
      <w:pPr>
        <w:pStyle w:val="Titolo3"/>
        <w:keepNext w:val="0"/>
        <w:keepLines w:val="0"/>
        <w:suppressAutoHyphens/>
      </w:pPr>
      <w:bookmarkStart w:id="1124" w:name="_Toc517807612"/>
      <w:bookmarkStart w:id="1125" w:name="_Toc519894694"/>
      <w:r w:rsidRPr="00191003">
        <w:t xml:space="preserve">Central </w:t>
      </w:r>
      <w:r w:rsidR="006934A7">
        <w:t xml:space="preserve">area </w:t>
      </w:r>
      <w:r w:rsidRPr="00191003">
        <w:t>larnakes morphological analysis</w:t>
      </w:r>
      <w:bookmarkEnd w:id="1124"/>
      <w:bookmarkEnd w:id="1125"/>
    </w:p>
    <w:p w14:paraId="73CB05E2"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191003">
        <w:rPr>
          <w:color w:val="000000"/>
        </w:rPr>
        <w:t xml:space="preserve">The sample of larnakes available from publication records in </w:t>
      </w:r>
      <w:r>
        <w:rPr>
          <w:color w:val="000000"/>
        </w:rPr>
        <w:t>the C</w:t>
      </w:r>
      <w:r w:rsidRPr="00191003">
        <w:rPr>
          <w:color w:val="000000"/>
        </w:rPr>
        <w:t xml:space="preserve">entral area consists of </w:t>
      </w:r>
      <w:r w:rsidRPr="00E7753F">
        <w:rPr>
          <w:color w:val="000000"/>
        </w:rPr>
        <w:t>233 items.</w:t>
      </w:r>
      <w:r w:rsidRPr="00191003">
        <w:rPr>
          <w:color w:val="000000"/>
        </w:rPr>
        <w:t xml:space="preserve">  From this sample </w:t>
      </w:r>
      <w:r>
        <w:rPr>
          <w:color w:val="000000"/>
        </w:rPr>
        <w:t>are</w:t>
      </w:r>
      <w:r w:rsidRPr="00191003">
        <w:rPr>
          <w:color w:val="000000"/>
        </w:rPr>
        <w:t xml:space="preserve"> excluded larnakes for which </w:t>
      </w:r>
      <w:r>
        <w:rPr>
          <w:color w:val="000000"/>
        </w:rPr>
        <w:t xml:space="preserve">it </w:t>
      </w:r>
      <w:r w:rsidRPr="00191003">
        <w:rPr>
          <w:color w:val="000000"/>
        </w:rPr>
        <w:t xml:space="preserve">has not been possible to retrieve a secure burial context. </w:t>
      </w:r>
      <w:r>
        <w:rPr>
          <w:color w:val="000000"/>
        </w:rPr>
        <w:t>Of the</w:t>
      </w:r>
      <w:r w:rsidRPr="00191003">
        <w:rPr>
          <w:color w:val="000000"/>
        </w:rPr>
        <w:t xml:space="preserve"> larnakes considered possible</w:t>
      </w:r>
      <w:r>
        <w:rPr>
          <w:color w:val="000000"/>
        </w:rPr>
        <w:t>,</w:t>
      </w:r>
      <w:r w:rsidRPr="00191003">
        <w:rPr>
          <w:color w:val="000000"/>
        </w:rPr>
        <w:t xml:space="preserve"> </w:t>
      </w:r>
      <w:r>
        <w:rPr>
          <w:color w:val="000000"/>
        </w:rPr>
        <w:t>the following are</w:t>
      </w:r>
      <w:r w:rsidRPr="00191003">
        <w:rPr>
          <w:color w:val="000000"/>
        </w:rPr>
        <w:t xml:space="preserve"> isolate</w:t>
      </w:r>
      <w:r>
        <w:rPr>
          <w:color w:val="000000"/>
        </w:rPr>
        <w:t>d:</w:t>
      </w:r>
    </w:p>
    <w:p w14:paraId="4EAD9ED2" w14:textId="77777777" w:rsidR="00D726B2" w:rsidRPr="00191003" w:rsidRDefault="00D726B2" w:rsidP="00370745">
      <w:pPr>
        <w:pStyle w:val="Paragrafoelenco"/>
        <w:numPr>
          <w:ilvl w:val="0"/>
          <w:numId w:val="10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Pr>
          <w:color w:val="000000"/>
        </w:rPr>
        <w:t>Four</w:t>
      </w:r>
      <w:r w:rsidRPr="00191003">
        <w:rPr>
          <w:color w:val="000000"/>
        </w:rPr>
        <w:t xml:space="preserve"> larnakes from Agios Syllas </w:t>
      </w:r>
      <w:r>
        <w:rPr>
          <w:color w:val="000000"/>
        </w:rPr>
        <w:t>(</w:t>
      </w:r>
      <w:r w:rsidRPr="00191003">
        <w:rPr>
          <w:color w:val="000000"/>
        </w:rPr>
        <w:t>Karetsou 1975</w:t>
      </w:r>
      <w:r>
        <w:rPr>
          <w:color w:val="000000"/>
        </w:rPr>
        <w:t>:</w:t>
      </w:r>
      <w:r w:rsidRPr="00191003">
        <w:rPr>
          <w:color w:val="000000"/>
        </w:rPr>
        <w:t xml:space="preserve"> 524-526; Kanta 1980, 35</w:t>
      </w:r>
      <w:r>
        <w:rPr>
          <w:color w:val="000000"/>
        </w:rPr>
        <w:t>)</w:t>
      </w:r>
    </w:p>
    <w:p w14:paraId="75B2B188" w14:textId="77777777" w:rsidR="00D726B2" w:rsidRPr="00191003" w:rsidRDefault="00D726B2" w:rsidP="00370745">
      <w:pPr>
        <w:pStyle w:val="Paragrafoelenco"/>
        <w:numPr>
          <w:ilvl w:val="0"/>
          <w:numId w:val="10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Pr>
          <w:color w:val="000000"/>
        </w:rPr>
        <w:t>Five</w:t>
      </w:r>
      <w:r w:rsidRPr="00191003">
        <w:rPr>
          <w:color w:val="000000"/>
        </w:rPr>
        <w:t xml:space="preserve"> larnakes found in various location</w:t>
      </w:r>
      <w:r>
        <w:rPr>
          <w:color w:val="000000"/>
        </w:rPr>
        <w:t>s</w:t>
      </w:r>
      <w:r w:rsidRPr="00191003">
        <w:rPr>
          <w:color w:val="000000"/>
        </w:rPr>
        <w:t xml:space="preserve"> around Archanes (Sakellarakis 1990: 77; Sakellarakis </w:t>
      </w:r>
      <w:r>
        <w:rPr>
          <w:color w:val="000000"/>
        </w:rPr>
        <w:t xml:space="preserve">and </w:t>
      </w:r>
      <w:r w:rsidRPr="00191003">
        <w:rPr>
          <w:color w:val="000000"/>
        </w:rPr>
        <w:t>Sakellaraki 1997: 478-487</w:t>
      </w:r>
      <w:r>
        <w:rPr>
          <w:color w:val="000000"/>
        </w:rPr>
        <w:t>)</w:t>
      </w:r>
    </w:p>
    <w:p w14:paraId="6351A70A" w14:textId="77777777" w:rsidR="00D726B2" w:rsidRPr="00191003" w:rsidRDefault="00D726B2" w:rsidP="00370745">
      <w:pPr>
        <w:pStyle w:val="Paragrafoelenco"/>
        <w:numPr>
          <w:ilvl w:val="0"/>
          <w:numId w:val="10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Pr>
          <w:color w:val="000000"/>
        </w:rPr>
        <w:t>Five</w:t>
      </w:r>
      <w:r w:rsidRPr="00191003">
        <w:rPr>
          <w:color w:val="000000"/>
        </w:rPr>
        <w:t xml:space="preserve"> larnakes from Tylissos Manekklesia</w:t>
      </w:r>
      <w:r>
        <w:rPr>
          <w:color w:val="000000"/>
        </w:rPr>
        <w:t xml:space="preserve"> or Panokklisia</w:t>
      </w:r>
      <w:r w:rsidRPr="00191003">
        <w:rPr>
          <w:color w:val="000000"/>
        </w:rPr>
        <w:t xml:space="preserve"> (</w:t>
      </w:r>
      <w:r>
        <w:rPr>
          <w:color w:val="000000"/>
        </w:rPr>
        <w:t xml:space="preserve">one of them in exhibition at the Heraklion Museum 623 Tylissos </w:t>
      </w:r>
      <w:r w:rsidRPr="00191003">
        <w:rPr>
          <w:color w:val="000000"/>
        </w:rPr>
        <w:t>Manekklesia</w:t>
      </w:r>
      <w:r>
        <w:rPr>
          <w:color w:val="000000"/>
        </w:rPr>
        <w:t xml:space="preserve"> or Panokklisia HM 23377: </w:t>
      </w:r>
      <w:r w:rsidRPr="00191003">
        <w:rPr>
          <w:color w:val="000000"/>
        </w:rPr>
        <w:t>Rethemiotakis</w:t>
      </w:r>
      <w:r>
        <w:rPr>
          <w:color w:val="000000"/>
        </w:rPr>
        <w:t xml:space="preserve"> reports that they have been found in two excavation in 1979 and 1980 and they are unpublished</w:t>
      </w:r>
      <w:r w:rsidRPr="00191003">
        <w:rPr>
          <w:color w:val="000000"/>
        </w:rPr>
        <w:t xml:space="preserve"> 1979</w:t>
      </w:r>
      <w:r>
        <w:rPr>
          <w:color w:val="000000"/>
        </w:rPr>
        <w:t>:</w:t>
      </w:r>
      <w:r w:rsidRPr="00191003">
        <w:rPr>
          <w:color w:val="000000"/>
        </w:rPr>
        <w:t xml:space="preserve"> 242, n. 17, n. 18)</w:t>
      </w:r>
    </w:p>
    <w:p w14:paraId="4E82158E" w14:textId="77777777" w:rsidR="00D726B2" w:rsidRPr="00191003" w:rsidRDefault="00D726B2" w:rsidP="00E858EF">
      <w:pPr>
        <w:suppressAutoHyphens/>
        <w:rPr>
          <w:color w:val="000000"/>
        </w:rPr>
      </w:pPr>
      <w:r w:rsidRPr="00191003">
        <w:rPr>
          <w:color w:val="000000"/>
        </w:rPr>
        <w:t>All the other</w:t>
      </w:r>
      <w:r>
        <w:rPr>
          <w:color w:val="000000"/>
        </w:rPr>
        <w:t xml:space="preserve"> larnakes or larnax fragments</w:t>
      </w:r>
      <w:r w:rsidRPr="00191003">
        <w:rPr>
          <w:color w:val="000000"/>
        </w:rPr>
        <w:t xml:space="preserve"> are isolated finds </w:t>
      </w:r>
      <w:r>
        <w:rPr>
          <w:color w:val="000000"/>
        </w:rPr>
        <w:t>from</w:t>
      </w:r>
      <w:r w:rsidRPr="00191003">
        <w:rPr>
          <w:color w:val="000000"/>
        </w:rPr>
        <w:t xml:space="preserve"> different burial locations.</w:t>
      </w:r>
    </w:p>
    <w:p w14:paraId="6F81CA24" w14:textId="77777777" w:rsidR="00D726B2" w:rsidRPr="00191003" w:rsidRDefault="00D726B2" w:rsidP="00E858EF">
      <w:pPr>
        <w:pStyle w:val="Titolo3"/>
        <w:keepNext w:val="0"/>
        <w:keepLines w:val="0"/>
        <w:suppressAutoHyphens/>
      </w:pPr>
      <w:bookmarkStart w:id="1126" w:name="_Toc517807613"/>
      <w:bookmarkStart w:id="1127" w:name="_Toc519894695"/>
      <w:r w:rsidRPr="00191003">
        <w:t xml:space="preserve">Does a standard larnax exist for </w:t>
      </w:r>
      <w:r>
        <w:t>the C</w:t>
      </w:r>
      <w:r w:rsidRPr="00191003">
        <w:t>entral area? Wh</w:t>
      </w:r>
      <w:r>
        <w:t>at</w:t>
      </w:r>
      <w:r w:rsidRPr="00191003">
        <w:t xml:space="preserve"> are its characteristics?</w:t>
      </w:r>
      <w:bookmarkEnd w:id="1126"/>
      <w:bookmarkEnd w:id="1127"/>
    </w:p>
    <w:p w14:paraId="6134B3F2"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rPr>
      </w:pPr>
      <w:r w:rsidRPr="00191003">
        <w:rPr>
          <w:color w:val="000000"/>
        </w:rPr>
        <w:t xml:space="preserve">In the </w:t>
      </w:r>
      <w:r>
        <w:rPr>
          <w:color w:val="000000"/>
        </w:rPr>
        <w:t>C</w:t>
      </w:r>
      <w:r w:rsidRPr="00191003">
        <w:rPr>
          <w:color w:val="000000"/>
        </w:rPr>
        <w:t>entral region</w:t>
      </w:r>
      <w:r>
        <w:rPr>
          <w:color w:val="000000"/>
        </w:rPr>
        <w:t>,</w:t>
      </w:r>
      <w:r w:rsidRPr="00191003">
        <w:rPr>
          <w:color w:val="000000"/>
        </w:rPr>
        <w:t xml:space="preserve"> it is possible to recognise a standard larnax type </w:t>
      </w:r>
      <w:r>
        <w:rPr>
          <w:color w:val="000000"/>
        </w:rPr>
        <w:t>with</w:t>
      </w:r>
      <w:r w:rsidRPr="00191003">
        <w:rPr>
          <w:color w:val="000000"/>
        </w:rPr>
        <w:t xml:space="preserve"> the following morphological characteristics:</w:t>
      </w:r>
    </w:p>
    <w:p w14:paraId="3DE84845"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Larnax type: information available for the entire sample</w:t>
      </w:r>
    </w:p>
    <w:p w14:paraId="1329547D" w14:textId="2741C41A" w:rsidR="00D726B2" w:rsidRPr="00191003" w:rsidRDefault="00D726B2" w:rsidP="00E858EF">
      <w:pPr>
        <w:pStyle w:val="Testofumetto"/>
        <w:suppressAutoHyphens/>
      </w:pPr>
      <w:bookmarkStart w:id="1128" w:name="_Toc520212647"/>
      <w:r>
        <w:t>Table 5-22</w:t>
      </w:r>
      <w:r w:rsidR="009B70F8">
        <w:t>.</w:t>
      </w:r>
      <w:r>
        <w:t xml:space="preserve"> Larnax types, Centr</w:t>
      </w:r>
      <w:r w:rsidR="006934A7">
        <w:t>al area</w:t>
      </w:r>
      <w:bookmarkEnd w:id="1128"/>
    </w:p>
    <w:tbl>
      <w:tblPr>
        <w:tblW w:w="0" w:type="auto"/>
        <w:tblInd w:w="-67" w:type="dxa"/>
        <w:tblCellMar>
          <w:left w:w="0" w:type="dxa"/>
          <w:right w:w="0" w:type="dxa"/>
        </w:tblCellMar>
        <w:tblLook w:val="04A0" w:firstRow="1" w:lastRow="0" w:firstColumn="1" w:lastColumn="0" w:noHBand="0" w:noVBand="1"/>
      </w:tblPr>
      <w:tblGrid>
        <w:gridCol w:w="1275"/>
        <w:gridCol w:w="1275"/>
        <w:gridCol w:w="1275"/>
        <w:gridCol w:w="1172"/>
      </w:tblGrid>
      <w:tr w:rsidR="00D726B2" w:rsidRPr="005F65FC" w14:paraId="1E0C384F"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339AF596"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Chest</w:t>
            </w:r>
          </w:p>
        </w:tc>
        <w:tc>
          <w:tcPr>
            <w:tcW w:w="1275" w:type="dxa"/>
            <w:tcBorders>
              <w:top w:val="single" w:sz="6" w:space="0" w:color="000000"/>
              <w:left w:val="single" w:sz="6" w:space="0" w:color="000000"/>
              <w:bottom w:val="single" w:sz="6" w:space="0" w:color="000000"/>
              <w:right w:val="single" w:sz="6" w:space="0" w:color="000000"/>
            </w:tcBorders>
          </w:tcPr>
          <w:p w14:paraId="5ACC3B7B"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Bath</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812BC2B"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Lid</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1C99956"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color w:val="000000"/>
                <w:sz w:val="20"/>
              </w:rPr>
              <w:t>Fragmentary</w:t>
            </w:r>
          </w:p>
        </w:tc>
      </w:tr>
      <w:tr w:rsidR="00D726B2" w:rsidRPr="005F65FC" w14:paraId="10E776A2"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55D8EDCA"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187</w:t>
            </w:r>
          </w:p>
        </w:tc>
        <w:tc>
          <w:tcPr>
            <w:tcW w:w="1275" w:type="dxa"/>
            <w:tcBorders>
              <w:top w:val="single" w:sz="6" w:space="0" w:color="000000"/>
              <w:left w:val="single" w:sz="6" w:space="0" w:color="000000"/>
              <w:bottom w:val="single" w:sz="6" w:space="0" w:color="000000"/>
              <w:right w:val="single" w:sz="6" w:space="0" w:color="000000"/>
            </w:tcBorders>
          </w:tcPr>
          <w:p w14:paraId="7E2735F8"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4</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414E7842" w14:textId="77777777" w:rsidR="00D726B2" w:rsidRPr="005F65FC" w:rsidRDefault="00D726B2" w:rsidP="00E858EF">
            <w:pPr>
              <w:suppressAutoHyphens/>
              <w:jc w:val="center"/>
              <w:rPr>
                <w:rFonts w:eastAsiaTheme="majorEastAsia"/>
                <w:i/>
                <w:iCs/>
                <w:color w:val="404040" w:themeColor="text1" w:themeTint="BF"/>
                <w:sz w:val="20"/>
                <w:szCs w:val="20"/>
              </w:rPr>
            </w:pPr>
            <w:r w:rsidRPr="005F65FC">
              <w:rPr>
                <w:sz w:val="20"/>
              </w:rPr>
              <w:t>5</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7A685DE8" w14:textId="77777777" w:rsidR="00D726B2" w:rsidRPr="005F65FC" w:rsidRDefault="00D726B2" w:rsidP="00E858EF">
            <w:pPr>
              <w:suppressAutoHyphens/>
              <w:jc w:val="center"/>
              <w:rPr>
                <w:rFonts w:eastAsiaTheme="majorEastAsia"/>
                <w:i/>
                <w:iCs/>
                <w:color w:val="000000"/>
                <w:sz w:val="20"/>
                <w:szCs w:val="20"/>
              </w:rPr>
            </w:pPr>
            <w:r w:rsidRPr="005F65FC">
              <w:rPr>
                <w:color w:val="000000"/>
                <w:sz w:val="20"/>
              </w:rPr>
              <w:t>28</w:t>
            </w:r>
          </w:p>
        </w:tc>
      </w:tr>
    </w:tbl>
    <w:p w14:paraId="1ABEE751" w14:textId="3683E479" w:rsidR="00D726B2"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p w14:paraId="7CE0C740" w14:textId="77777777" w:rsidR="005F65FC" w:rsidRDefault="005F65FC"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p w14:paraId="6D1124F5"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Dimension range: Information available on a sample of 41 larnakes</w:t>
      </w:r>
    </w:p>
    <w:p w14:paraId="45C3BDCB" w14:textId="210CD4B7" w:rsidR="00D726B2" w:rsidRPr="00191003" w:rsidRDefault="00D726B2" w:rsidP="00E858EF">
      <w:pPr>
        <w:pStyle w:val="Testofumetto"/>
        <w:suppressAutoHyphens/>
      </w:pPr>
      <w:bookmarkStart w:id="1129" w:name="_Toc520212648"/>
      <w:r>
        <w:t>Table 5-23</w:t>
      </w:r>
      <w:r w:rsidR="009B70F8">
        <w:t>.</w:t>
      </w:r>
      <w:r>
        <w:t xml:space="preserve"> Larnax dimensions, Centr</w:t>
      </w:r>
      <w:r w:rsidR="006934A7">
        <w:t>al area</w:t>
      </w:r>
      <w:bookmarkEnd w:id="1129"/>
    </w:p>
    <w:tbl>
      <w:tblPr>
        <w:tblW w:w="0" w:type="auto"/>
        <w:tblInd w:w="-67" w:type="dxa"/>
        <w:tblCellMar>
          <w:left w:w="0" w:type="dxa"/>
          <w:right w:w="0" w:type="dxa"/>
        </w:tblCellMar>
        <w:tblLook w:val="04A0" w:firstRow="1" w:lastRow="0" w:firstColumn="1" w:lastColumn="0" w:noHBand="0" w:noVBand="1"/>
      </w:tblPr>
      <w:tblGrid>
        <w:gridCol w:w="1275"/>
        <w:gridCol w:w="1275"/>
        <w:gridCol w:w="1275"/>
        <w:gridCol w:w="1134"/>
      </w:tblGrid>
      <w:tr w:rsidR="00D726B2" w:rsidRPr="00642B26" w14:paraId="321874EE"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0154F914" w14:textId="77777777" w:rsidR="00D726B2" w:rsidRPr="00642B26" w:rsidRDefault="00D726B2" w:rsidP="00E858EF">
            <w:pPr>
              <w:suppressAutoHyphens/>
              <w:jc w:val="center"/>
              <w:rPr>
                <w:b/>
                <w:sz w:val="20"/>
                <w:szCs w:val="20"/>
              </w:rPr>
            </w:pPr>
          </w:p>
        </w:tc>
        <w:tc>
          <w:tcPr>
            <w:tcW w:w="1275" w:type="dxa"/>
            <w:tcBorders>
              <w:top w:val="single" w:sz="6" w:space="0" w:color="000000"/>
              <w:left w:val="single" w:sz="6" w:space="0" w:color="000000"/>
              <w:bottom w:val="single" w:sz="6" w:space="0" w:color="000000"/>
              <w:right w:val="single" w:sz="6" w:space="0" w:color="000000"/>
            </w:tcBorders>
          </w:tcPr>
          <w:p w14:paraId="33E4300F"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Length</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54148757"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Height</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298FC6B"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color w:val="000000"/>
                <w:sz w:val="20"/>
              </w:rPr>
              <w:t>Width</w:t>
            </w:r>
          </w:p>
        </w:tc>
      </w:tr>
      <w:tr w:rsidR="00D726B2" w:rsidRPr="00642B26" w14:paraId="1E23CCBC"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6F4AA30D"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Mean</w:t>
            </w:r>
          </w:p>
        </w:tc>
        <w:tc>
          <w:tcPr>
            <w:tcW w:w="1275" w:type="dxa"/>
            <w:tcBorders>
              <w:top w:val="single" w:sz="6" w:space="0" w:color="000000"/>
              <w:left w:val="single" w:sz="6" w:space="0" w:color="000000"/>
              <w:bottom w:val="single" w:sz="6" w:space="0" w:color="000000"/>
              <w:right w:val="single" w:sz="6" w:space="0" w:color="000000"/>
            </w:tcBorders>
          </w:tcPr>
          <w:p w14:paraId="1D5E2CB3"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102</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40E595FC"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92</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42B7BEE9" w14:textId="77777777" w:rsidR="00D726B2" w:rsidRPr="00642B26" w:rsidRDefault="00D726B2" w:rsidP="00E858EF">
            <w:pPr>
              <w:suppressAutoHyphens/>
              <w:jc w:val="center"/>
              <w:rPr>
                <w:rFonts w:eastAsiaTheme="majorEastAsia"/>
                <w:i/>
                <w:iCs/>
                <w:color w:val="000000"/>
                <w:sz w:val="20"/>
                <w:szCs w:val="20"/>
              </w:rPr>
            </w:pPr>
            <w:r w:rsidRPr="00642B26">
              <w:rPr>
                <w:color w:val="000000"/>
                <w:sz w:val="20"/>
              </w:rPr>
              <w:t>43</w:t>
            </w:r>
          </w:p>
        </w:tc>
      </w:tr>
      <w:tr w:rsidR="00D726B2" w:rsidRPr="00642B26" w14:paraId="25755112"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5E7204D6"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Max</w:t>
            </w:r>
          </w:p>
        </w:tc>
        <w:tc>
          <w:tcPr>
            <w:tcW w:w="1275" w:type="dxa"/>
            <w:tcBorders>
              <w:top w:val="single" w:sz="6" w:space="0" w:color="000000"/>
              <w:left w:val="single" w:sz="6" w:space="0" w:color="000000"/>
              <w:bottom w:val="single" w:sz="6" w:space="0" w:color="000000"/>
              <w:right w:val="single" w:sz="6" w:space="0" w:color="000000"/>
            </w:tcBorders>
          </w:tcPr>
          <w:p w14:paraId="57307CF4"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135</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7A36761A"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134</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165DBF01" w14:textId="77777777" w:rsidR="00D726B2" w:rsidRPr="00642B26" w:rsidRDefault="00D726B2" w:rsidP="00E858EF">
            <w:pPr>
              <w:suppressAutoHyphens/>
              <w:jc w:val="center"/>
              <w:rPr>
                <w:rFonts w:eastAsiaTheme="majorEastAsia"/>
                <w:i/>
                <w:iCs/>
                <w:color w:val="000000"/>
                <w:sz w:val="20"/>
                <w:szCs w:val="20"/>
              </w:rPr>
            </w:pPr>
            <w:r w:rsidRPr="00642B26">
              <w:rPr>
                <w:color w:val="000000"/>
                <w:sz w:val="20"/>
              </w:rPr>
              <w:t>130</w:t>
            </w:r>
          </w:p>
        </w:tc>
      </w:tr>
      <w:tr w:rsidR="00D726B2" w:rsidRPr="00642B26" w14:paraId="708FBCC9"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20B3F2DD"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Min</w:t>
            </w:r>
          </w:p>
        </w:tc>
        <w:tc>
          <w:tcPr>
            <w:tcW w:w="1275" w:type="dxa"/>
            <w:tcBorders>
              <w:top w:val="single" w:sz="6" w:space="0" w:color="000000"/>
              <w:left w:val="single" w:sz="6" w:space="0" w:color="000000"/>
              <w:bottom w:val="single" w:sz="6" w:space="0" w:color="000000"/>
              <w:right w:val="single" w:sz="6" w:space="0" w:color="000000"/>
            </w:tcBorders>
          </w:tcPr>
          <w:p w14:paraId="3278BB2A"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58</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5CB0FA8B"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20</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0C88A0DC" w14:textId="77777777" w:rsidR="00D726B2" w:rsidRPr="00642B26" w:rsidRDefault="00D726B2" w:rsidP="00E858EF">
            <w:pPr>
              <w:suppressAutoHyphens/>
              <w:jc w:val="center"/>
              <w:rPr>
                <w:rFonts w:eastAsiaTheme="majorEastAsia"/>
                <w:i/>
                <w:iCs/>
                <w:color w:val="000000"/>
                <w:sz w:val="20"/>
                <w:szCs w:val="20"/>
              </w:rPr>
            </w:pPr>
            <w:r w:rsidRPr="00642B26">
              <w:rPr>
                <w:color w:val="000000"/>
                <w:sz w:val="20"/>
              </w:rPr>
              <w:t>30</w:t>
            </w:r>
          </w:p>
        </w:tc>
      </w:tr>
    </w:tbl>
    <w:p w14:paraId="554A52F2" w14:textId="77777777" w:rsidR="00D726B2" w:rsidRPr="001600FC"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p w14:paraId="1F5CE55C"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708"/>
        <w:rPr>
          <w:color w:val="000000"/>
        </w:rPr>
      </w:pPr>
      <w:r w:rsidRPr="00AD4648">
        <w:rPr>
          <w:color w:val="000000"/>
        </w:rPr>
        <w:t xml:space="preserve">Lid occurrence/lid type: </w:t>
      </w:r>
      <w:r>
        <w:rPr>
          <w:color w:val="000000"/>
        </w:rPr>
        <w:t xml:space="preserve">gabled </w:t>
      </w:r>
      <w:r w:rsidRPr="00AD4648">
        <w:rPr>
          <w:color w:val="000000"/>
        </w:rPr>
        <w:t>lid. Information is available on a sample of 97 larnakes</w:t>
      </w:r>
    </w:p>
    <w:p w14:paraId="49D7ACEC" w14:textId="04493DF6" w:rsidR="00D726B2" w:rsidRPr="00E7753F" w:rsidRDefault="00D726B2" w:rsidP="00E858EF">
      <w:pPr>
        <w:pStyle w:val="Testofumetto"/>
        <w:suppressAutoHyphens/>
      </w:pPr>
      <w:bookmarkStart w:id="1130" w:name="_Toc520212649"/>
      <w:r>
        <w:t>Table 5-24</w:t>
      </w:r>
      <w:r w:rsidR="009B70F8">
        <w:t>.</w:t>
      </w:r>
      <w:r>
        <w:t xml:space="preserve"> Lid </w:t>
      </w:r>
      <w:r w:rsidR="002D6B8D">
        <w:t>o</w:t>
      </w:r>
      <w:r>
        <w:t>ccurrence, Centr</w:t>
      </w:r>
      <w:r w:rsidR="006934A7">
        <w:t>al area</w:t>
      </w:r>
      <w:bookmarkEnd w:id="1130"/>
    </w:p>
    <w:tbl>
      <w:tblPr>
        <w:tblW w:w="0" w:type="auto"/>
        <w:tblInd w:w="-67" w:type="dxa"/>
        <w:tblCellMar>
          <w:left w:w="0" w:type="dxa"/>
          <w:right w:w="0" w:type="dxa"/>
        </w:tblCellMar>
        <w:tblLook w:val="04A0" w:firstRow="1" w:lastRow="0" w:firstColumn="1" w:lastColumn="0" w:noHBand="0" w:noVBand="1"/>
      </w:tblPr>
      <w:tblGrid>
        <w:gridCol w:w="1275"/>
        <w:gridCol w:w="1275"/>
        <w:gridCol w:w="3762"/>
      </w:tblGrid>
      <w:tr w:rsidR="00D726B2" w:rsidRPr="00642B26" w14:paraId="19F5E1AD" w14:textId="77777777" w:rsidTr="00AD455A">
        <w:trPr>
          <w:trHeight w:val="315"/>
        </w:trPr>
        <w:tc>
          <w:tcPr>
            <w:tcW w:w="1275" w:type="dxa"/>
            <w:tcBorders>
              <w:top w:val="single" w:sz="6" w:space="0" w:color="000000"/>
              <w:left w:val="single" w:sz="6" w:space="0" w:color="000000"/>
              <w:bottom w:val="single" w:sz="6" w:space="0" w:color="000000"/>
              <w:right w:val="single" w:sz="6" w:space="0" w:color="000000"/>
            </w:tcBorders>
          </w:tcPr>
          <w:p w14:paraId="7211C3E8"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Flat</w:t>
            </w:r>
          </w:p>
        </w:tc>
        <w:tc>
          <w:tcPr>
            <w:tcW w:w="1275" w:type="dxa"/>
            <w:tcBorders>
              <w:top w:val="single" w:sz="6" w:space="0" w:color="000000"/>
              <w:left w:val="single" w:sz="6" w:space="0" w:color="000000"/>
              <w:bottom w:val="single" w:sz="6" w:space="0" w:color="000000"/>
              <w:right w:val="single" w:sz="6" w:space="0" w:color="000000"/>
            </w:tcBorders>
          </w:tcPr>
          <w:p w14:paraId="2E9583E2"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Gabled</w:t>
            </w:r>
          </w:p>
        </w:tc>
        <w:tc>
          <w:tcPr>
            <w:tcW w:w="3762"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8F13E75"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Lid made of other larnax fragments</w:t>
            </w:r>
          </w:p>
        </w:tc>
      </w:tr>
      <w:tr w:rsidR="00D726B2" w:rsidRPr="00642B26" w14:paraId="6BA786C6" w14:textId="77777777" w:rsidTr="00AD455A">
        <w:trPr>
          <w:trHeight w:val="315"/>
        </w:trPr>
        <w:tc>
          <w:tcPr>
            <w:tcW w:w="1275" w:type="dxa"/>
            <w:tcBorders>
              <w:top w:val="single" w:sz="6" w:space="0" w:color="000000"/>
              <w:left w:val="single" w:sz="6" w:space="0" w:color="000000"/>
              <w:bottom w:val="single" w:sz="6" w:space="0" w:color="000000"/>
              <w:right w:val="single" w:sz="6" w:space="0" w:color="000000"/>
            </w:tcBorders>
          </w:tcPr>
          <w:p w14:paraId="08DF7527"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1</w:t>
            </w:r>
          </w:p>
        </w:tc>
        <w:tc>
          <w:tcPr>
            <w:tcW w:w="1275" w:type="dxa"/>
            <w:tcBorders>
              <w:top w:val="single" w:sz="6" w:space="0" w:color="000000"/>
              <w:left w:val="single" w:sz="6" w:space="0" w:color="000000"/>
              <w:bottom w:val="single" w:sz="6" w:space="0" w:color="000000"/>
              <w:right w:val="single" w:sz="6" w:space="0" w:color="000000"/>
            </w:tcBorders>
          </w:tcPr>
          <w:p w14:paraId="7F9E21B2"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96</w:t>
            </w:r>
          </w:p>
        </w:tc>
        <w:tc>
          <w:tcPr>
            <w:tcW w:w="3762"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707FA345"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0</w:t>
            </w:r>
          </w:p>
        </w:tc>
      </w:tr>
    </w:tbl>
    <w:p w14:paraId="14EA4BC0" w14:textId="77777777" w:rsidR="00D726B2" w:rsidRPr="001600FC"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0"/>
          <w:szCs w:val="20"/>
        </w:rPr>
      </w:pPr>
    </w:p>
    <w:p w14:paraId="7B68B4ED" w14:textId="6781CB85" w:rsidR="00D726B2" w:rsidRPr="00AD4648"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560"/>
        <w:rPr>
          <w:color w:val="000000"/>
        </w:rPr>
      </w:pPr>
      <w:r>
        <w:rPr>
          <w:color w:val="000000"/>
        </w:rPr>
        <w:t>Feet occurrences/ feet number: four feet</w:t>
      </w:r>
      <w:r w:rsidRPr="00AD4648">
        <w:rPr>
          <w:color w:val="000000"/>
        </w:rPr>
        <w:t>. Information is available on a sample of 88 larnakes</w:t>
      </w:r>
      <w:r w:rsidR="0080364A">
        <w:rPr>
          <w:color w:val="000000"/>
        </w:rPr>
        <w:t>.</w:t>
      </w:r>
    </w:p>
    <w:p w14:paraId="7AF1E06E" w14:textId="08DAB2CE" w:rsidR="00D726B2" w:rsidRPr="00191003" w:rsidRDefault="00D726B2" w:rsidP="00E858EF">
      <w:pPr>
        <w:pStyle w:val="Testofumetto"/>
        <w:suppressAutoHyphens/>
      </w:pPr>
      <w:bookmarkStart w:id="1131" w:name="_Toc520212650"/>
      <w:r>
        <w:t>Table 5-25</w:t>
      </w:r>
      <w:r w:rsidR="009B70F8">
        <w:t>.</w:t>
      </w:r>
      <w:r>
        <w:t xml:space="preserve"> Feet occurrence, Centr</w:t>
      </w:r>
      <w:r w:rsidR="006934A7">
        <w:t>al area</w:t>
      </w:r>
      <w:bookmarkEnd w:id="1131"/>
    </w:p>
    <w:tbl>
      <w:tblPr>
        <w:tblW w:w="0" w:type="auto"/>
        <w:tblInd w:w="-67" w:type="dxa"/>
        <w:tblCellMar>
          <w:left w:w="0" w:type="dxa"/>
          <w:right w:w="0" w:type="dxa"/>
        </w:tblCellMar>
        <w:tblLook w:val="04A0" w:firstRow="1" w:lastRow="0" w:firstColumn="1" w:lastColumn="0" w:noHBand="0" w:noVBand="1"/>
      </w:tblPr>
      <w:tblGrid>
        <w:gridCol w:w="1275"/>
        <w:gridCol w:w="1275"/>
        <w:gridCol w:w="1636"/>
      </w:tblGrid>
      <w:tr w:rsidR="00D726B2" w:rsidRPr="00642B26" w14:paraId="7950A51C" w14:textId="77777777" w:rsidTr="00AD455A">
        <w:trPr>
          <w:trHeight w:val="315"/>
        </w:trPr>
        <w:tc>
          <w:tcPr>
            <w:tcW w:w="1275" w:type="dxa"/>
            <w:tcBorders>
              <w:top w:val="single" w:sz="6" w:space="0" w:color="000000"/>
              <w:left w:val="single" w:sz="6" w:space="0" w:color="000000"/>
              <w:bottom w:val="single" w:sz="6" w:space="0" w:color="000000"/>
              <w:right w:val="single" w:sz="6" w:space="0" w:color="000000"/>
            </w:tcBorders>
          </w:tcPr>
          <w:p w14:paraId="2C3BD160"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4 Feet</w:t>
            </w:r>
          </w:p>
        </w:tc>
        <w:tc>
          <w:tcPr>
            <w:tcW w:w="1275" w:type="dxa"/>
            <w:tcBorders>
              <w:top w:val="single" w:sz="6" w:space="0" w:color="000000"/>
              <w:left w:val="single" w:sz="6" w:space="0" w:color="000000"/>
              <w:bottom w:val="single" w:sz="6" w:space="0" w:color="000000"/>
              <w:right w:val="single" w:sz="6" w:space="0" w:color="000000"/>
            </w:tcBorders>
          </w:tcPr>
          <w:p w14:paraId="0DDC1BA2"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6 Feet</w:t>
            </w:r>
          </w:p>
        </w:tc>
        <w:tc>
          <w:tcPr>
            <w:tcW w:w="1636" w:type="dxa"/>
            <w:tcBorders>
              <w:top w:val="single" w:sz="6" w:space="0" w:color="000000"/>
              <w:left w:val="single" w:sz="6" w:space="0" w:color="000000"/>
              <w:bottom w:val="single" w:sz="6" w:space="0" w:color="000000"/>
              <w:right w:val="single" w:sz="6" w:space="0" w:color="000000"/>
            </w:tcBorders>
          </w:tcPr>
          <w:p w14:paraId="501CBB77"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Without feet</w:t>
            </w:r>
          </w:p>
        </w:tc>
      </w:tr>
      <w:tr w:rsidR="00D726B2" w:rsidRPr="00642B26" w14:paraId="050DAE15" w14:textId="77777777" w:rsidTr="00AD455A">
        <w:trPr>
          <w:trHeight w:val="315"/>
        </w:trPr>
        <w:tc>
          <w:tcPr>
            <w:tcW w:w="1275" w:type="dxa"/>
            <w:tcBorders>
              <w:top w:val="single" w:sz="6" w:space="0" w:color="000000"/>
              <w:left w:val="single" w:sz="6" w:space="0" w:color="000000"/>
              <w:bottom w:val="single" w:sz="6" w:space="0" w:color="000000"/>
              <w:right w:val="single" w:sz="6" w:space="0" w:color="000000"/>
            </w:tcBorders>
          </w:tcPr>
          <w:p w14:paraId="25DB1E0E"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85</w:t>
            </w:r>
          </w:p>
        </w:tc>
        <w:tc>
          <w:tcPr>
            <w:tcW w:w="1275" w:type="dxa"/>
            <w:tcBorders>
              <w:top w:val="single" w:sz="6" w:space="0" w:color="000000"/>
              <w:left w:val="single" w:sz="6" w:space="0" w:color="000000"/>
              <w:bottom w:val="single" w:sz="6" w:space="0" w:color="000000"/>
              <w:right w:val="single" w:sz="6" w:space="0" w:color="000000"/>
            </w:tcBorders>
          </w:tcPr>
          <w:p w14:paraId="621CD4BA"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0</w:t>
            </w:r>
          </w:p>
        </w:tc>
        <w:tc>
          <w:tcPr>
            <w:tcW w:w="1636" w:type="dxa"/>
            <w:tcBorders>
              <w:top w:val="single" w:sz="6" w:space="0" w:color="000000"/>
              <w:left w:val="single" w:sz="6" w:space="0" w:color="000000"/>
              <w:bottom w:val="single" w:sz="6" w:space="0" w:color="000000"/>
              <w:right w:val="single" w:sz="6" w:space="0" w:color="000000"/>
            </w:tcBorders>
          </w:tcPr>
          <w:p w14:paraId="0719D504" w14:textId="77777777" w:rsidR="00D726B2" w:rsidRPr="00642B26" w:rsidRDefault="00D726B2" w:rsidP="00E858EF">
            <w:pPr>
              <w:suppressAutoHyphens/>
              <w:jc w:val="center"/>
              <w:rPr>
                <w:rFonts w:eastAsiaTheme="majorEastAsia"/>
                <w:i/>
                <w:iCs/>
                <w:color w:val="404040" w:themeColor="text1" w:themeTint="BF"/>
                <w:sz w:val="20"/>
                <w:szCs w:val="20"/>
              </w:rPr>
            </w:pPr>
            <w:r w:rsidRPr="00642B26">
              <w:rPr>
                <w:sz w:val="20"/>
              </w:rPr>
              <w:t>3</w:t>
            </w:r>
          </w:p>
        </w:tc>
      </w:tr>
    </w:tbl>
    <w:p w14:paraId="78DC14DF" w14:textId="77777777" w:rsidR="00D726B2" w:rsidRPr="001600FC"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0"/>
          <w:szCs w:val="20"/>
        </w:rPr>
      </w:pPr>
    </w:p>
    <w:p w14:paraId="2E19A686"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560"/>
        <w:rPr>
          <w:color w:val="000000"/>
        </w:rPr>
      </w:pPr>
      <w:r w:rsidRPr="00191003">
        <w:rPr>
          <w:color w:val="000000"/>
        </w:rPr>
        <w:t>Handles or h</w:t>
      </w:r>
      <w:r>
        <w:rPr>
          <w:color w:val="000000"/>
        </w:rPr>
        <w:t>oles occurrence: more or less on</w:t>
      </w:r>
      <w:r w:rsidRPr="00191003">
        <w:rPr>
          <w:color w:val="000000"/>
        </w:rPr>
        <w:t xml:space="preserve"> the same number. The number of holes is</w:t>
      </w:r>
      <w:r>
        <w:rPr>
          <w:color w:val="000000"/>
        </w:rPr>
        <w:t xml:space="preserve"> 10</w:t>
      </w:r>
      <w:r w:rsidRPr="00191003">
        <w:rPr>
          <w:color w:val="000000"/>
        </w:rPr>
        <w:t xml:space="preserve"> maximum</w:t>
      </w:r>
      <w:r>
        <w:rPr>
          <w:color w:val="000000"/>
        </w:rPr>
        <w:t>,</w:t>
      </w:r>
      <w:r w:rsidRPr="00191003">
        <w:rPr>
          <w:color w:val="000000"/>
        </w:rPr>
        <w:t xml:space="preserve"> and they are located under the upper rim, </w:t>
      </w:r>
      <w:r>
        <w:rPr>
          <w:color w:val="000000"/>
        </w:rPr>
        <w:t>perhaps</w:t>
      </w:r>
      <w:r w:rsidRPr="00191003">
        <w:rPr>
          <w:color w:val="000000"/>
        </w:rPr>
        <w:t xml:space="preserve"> in correspondence with lid holes to seal the larnakes </w:t>
      </w:r>
      <w:r>
        <w:rPr>
          <w:color w:val="000000"/>
        </w:rPr>
        <w:t>by</w:t>
      </w:r>
      <w:r w:rsidRPr="00191003">
        <w:rPr>
          <w:color w:val="000000"/>
        </w:rPr>
        <w:t xml:space="preserve"> passing ropes</w:t>
      </w:r>
      <w:r>
        <w:rPr>
          <w:color w:val="000000"/>
        </w:rPr>
        <w:t xml:space="preserve"> through</w:t>
      </w:r>
      <w:r w:rsidRPr="00191003">
        <w:rPr>
          <w:color w:val="000000"/>
        </w:rPr>
        <w:t>.</w:t>
      </w:r>
    </w:p>
    <w:p w14:paraId="291631BB" w14:textId="490A314C" w:rsidR="00D726B2" w:rsidRPr="00191003" w:rsidRDefault="00D726B2" w:rsidP="00E858EF">
      <w:pPr>
        <w:pStyle w:val="Testofumetto"/>
        <w:suppressAutoHyphens/>
      </w:pPr>
      <w:bookmarkStart w:id="1132" w:name="_Toc520212651"/>
      <w:r>
        <w:t>Table 5-26</w:t>
      </w:r>
      <w:r w:rsidR="009B70F8">
        <w:t>.</w:t>
      </w:r>
      <w:r>
        <w:t xml:space="preserve"> Handles or holes, Centr</w:t>
      </w:r>
      <w:r w:rsidR="006934A7">
        <w:t>al area</w:t>
      </w:r>
      <w:bookmarkEnd w:id="1132"/>
    </w:p>
    <w:tbl>
      <w:tblPr>
        <w:tblW w:w="0" w:type="auto"/>
        <w:tblInd w:w="-67" w:type="dxa"/>
        <w:tblCellMar>
          <w:left w:w="0" w:type="dxa"/>
          <w:right w:w="0" w:type="dxa"/>
        </w:tblCellMar>
        <w:tblLook w:val="04A0" w:firstRow="1" w:lastRow="0" w:firstColumn="1" w:lastColumn="0" w:noHBand="0" w:noVBand="1"/>
      </w:tblPr>
      <w:tblGrid>
        <w:gridCol w:w="1275"/>
        <w:gridCol w:w="1275"/>
        <w:gridCol w:w="1636"/>
      </w:tblGrid>
      <w:tr w:rsidR="00D726B2" w:rsidRPr="0080364A" w14:paraId="2E7C1525" w14:textId="77777777" w:rsidTr="00AD455A">
        <w:trPr>
          <w:trHeight w:val="315"/>
        </w:trPr>
        <w:tc>
          <w:tcPr>
            <w:tcW w:w="1275" w:type="dxa"/>
            <w:tcBorders>
              <w:top w:val="single" w:sz="6" w:space="0" w:color="000000"/>
              <w:left w:val="single" w:sz="6" w:space="0" w:color="000000"/>
              <w:bottom w:val="single" w:sz="6" w:space="0" w:color="000000"/>
              <w:right w:val="single" w:sz="6" w:space="0" w:color="000000"/>
            </w:tcBorders>
          </w:tcPr>
          <w:p w14:paraId="537E9E9C" w14:textId="77777777" w:rsidR="00D726B2" w:rsidRPr="0080364A" w:rsidRDefault="00D726B2" w:rsidP="00E858EF">
            <w:pPr>
              <w:suppressAutoHyphens/>
              <w:jc w:val="center"/>
              <w:rPr>
                <w:rFonts w:eastAsiaTheme="majorEastAsia"/>
                <w:i/>
                <w:iCs/>
                <w:color w:val="404040" w:themeColor="text1" w:themeTint="BF"/>
                <w:sz w:val="20"/>
                <w:szCs w:val="20"/>
              </w:rPr>
            </w:pPr>
            <w:r w:rsidRPr="0080364A">
              <w:rPr>
                <w:sz w:val="20"/>
              </w:rPr>
              <w:t>Handles</w:t>
            </w:r>
          </w:p>
        </w:tc>
        <w:tc>
          <w:tcPr>
            <w:tcW w:w="1275" w:type="dxa"/>
            <w:tcBorders>
              <w:top w:val="single" w:sz="6" w:space="0" w:color="000000"/>
              <w:left w:val="single" w:sz="6" w:space="0" w:color="000000"/>
              <w:bottom w:val="single" w:sz="6" w:space="0" w:color="000000"/>
              <w:right w:val="single" w:sz="6" w:space="0" w:color="000000"/>
            </w:tcBorders>
          </w:tcPr>
          <w:p w14:paraId="3B97B20B" w14:textId="77777777" w:rsidR="00D726B2" w:rsidRPr="0080364A" w:rsidRDefault="00D726B2" w:rsidP="00E858EF">
            <w:pPr>
              <w:suppressAutoHyphens/>
              <w:jc w:val="center"/>
              <w:rPr>
                <w:rFonts w:eastAsiaTheme="majorEastAsia"/>
                <w:i/>
                <w:iCs/>
                <w:color w:val="404040" w:themeColor="text1" w:themeTint="BF"/>
                <w:sz w:val="20"/>
                <w:szCs w:val="20"/>
              </w:rPr>
            </w:pPr>
            <w:r w:rsidRPr="0080364A">
              <w:rPr>
                <w:sz w:val="20"/>
              </w:rPr>
              <w:t>Holes</w:t>
            </w:r>
          </w:p>
        </w:tc>
        <w:tc>
          <w:tcPr>
            <w:tcW w:w="1636" w:type="dxa"/>
            <w:tcBorders>
              <w:top w:val="single" w:sz="6" w:space="0" w:color="000000"/>
              <w:left w:val="single" w:sz="6" w:space="0" w:color="000000"/>
              <w:bottom w:val="single" w:sz="6" w:space="0" w:color="000000"/>
              <w:right w:val="single" w:sz="6" w:space="0" w:color="000000"/>
            </w:tcBorders>
          </w:tcPr>
          <w:p w14:paraId="45963500" w14:textId="77777777" w:rsidR="00D726B2" w:rsidRPr="0080364A" w:rsidRDefault="00D726B2" w:rsidP="00E858EF">
            <w:pPr>
              <w:suppressAutoHyphens/>
              <w:jc w:val="center"/>
              <w:rPr>
                <w:rFonts w:eastAsiaTheme="majorEastAsia"/>
                <w:i/>
                <w:iCs/>
                <w:color w:val="404040" w:themeColor="text1" w:themeTint="BF"/>
                <w:sz w:val="20"/>
                <w:szCs w:val="20"/>
              </w:rPr>
            </w:pPr>
            <w:r w:rsidRPr="0080364A">
              <w:rPr>
                <w:sz w:val="20"/>
              </w:rPr>
              <w:t>Handles + holes</w:t>
            </w:r>
          </w:p>
        </w:tc>
      </w:tr>
      <w:tr w:rsidR="00D726B2" w:rsidRPr="0080364A" w14:paraId="7912C92E" w14:textId="77777777" w:rsidTr="00AD455A">
        <w:trPr>
          <w:trHeight w:val="315"/>
        </w:trPr>
        <w:tc>
          <w:tcPr>
            <w:tcW w:w="1275" w:type="dxa"/>
            <w:tcBorders>
              <w:top w:val="single" w:sz="6" w:space="0" w:color="000000"/>
              <w:left w:val="single" w:sz="6" w:space="0" w:color="000000"/>
              <w:bottom w:val="single" w:sz="6" w:space="0" w:color="000000"/>
              <w:right w:val="single" w:sz="6" w:space="0" w:color="000000"/>
            </w:tcBorders>
          </w:tcPr>
          <w:p w14:paraId="6944059B" w14:textId="77777777" w:rsidR="00D726B2" w:rsidRPr="0080364A" w:rsidRDefault="00D726B2" w:rsidP="00E858EF">
            <w:pPr>
              <w:suppressAutoHyphens/>
              <w:jc w:val="center"/>
              <w:rPr>
                <w:rFonts w:eastAsiaTheme="majorEastAsia"/>
                <w:i/>
                <w:iCs/>
                <w:color w:val="404040" w:themeColor="text1" w:themeTint="BF"/>
                <w:sz w:val="20"/>
                <w:szCs w:val="20"/>
              </w:rPr>
            </w:pPr>
            <w:r w:rsidRPr="0080364A">
              <w:rPr>
                <w:sz w:val="20"/>
              </w:rPr>
              <w:t>36</w:t>
            </w:r>
          </w:p>
        </w:tc>
        <w:tc>
          <w:tcPr>
            <w:tcW w:w="1275" w:type="dxa"/>
            <w:tcBorders>
              <w:top w:val="single" w:sz="6" w:space="0" w:color="000000"/>
              <w:left w:val="single" w:sz="6" w:space="0" w:color="000000"/>
              <w:bottom w:val="single" w:sz="6" w:space="0" w:color="000000"/>
              <w:right w:val="single" w:sz="6" w:space="0" w:color="000000"/>
            </w:tcBorders>
          </w:tcPr>
          <w:p w14:paraId="7197EAFD" w14:textId="77777777" w:rsidR="00D726B2" w:rsidRPr="0080364A" w:rsidRDefault="00D726B2" w:rsidP="00E858EF">
            <w:pPr>
              <w:suppressAutoHyphens/>
              <w:jc w:val="center"/>
              <w:rPr>
                <w:rFonts w:eastAsiaTheme="majorEastAsia"/>
                <w:i/>
                <w:iCs/>
                <w:color w:val="404040" w:themeColor="text1" w:themeTint="BF"/>
                <w:sz w:val="20"/>
                <w:szCs w:val="20"/>
              </w:rPr>
            </w:pPr>
            <w:r w:rsidRPr="0080364A">
              <w:rPr>
                <w:sz w:val="20"/>
              </w:rPr>
              <w:t>34</w:t>
            </w:r>
          </w:p>
        </w:tc>
        <w:tc>
          <w:tcPr>
            <w:tcW w:w="1636" w:type="dxa"/>
            <w:tcBorders>
              <w:top w:val="single" w:sz="6" w:space="0" w:color="000000"/>
              <w:left w:val="single" w:sz="6" w:space="0" w:color="000000"/>
              <w:bottom w:val="single" w:sz="6" w:space="0" w:color="000000"/>
              <w:right w:val="single" w:sz="6" w:space="0" w:color="000000"/>
            </w:tcBorders>
          </w:tcPr>
          <w:p w14:paraId="6C1EEA63" w14:textId="77777777" w:rsidR="00D726B2" w:rsidRPr="0080364A" w:rsidRDefault="00D726B2" w:rsidP="00E858EF">
            <w:pPr>
              <w:suppressAutoHyphens/>
              <w:jc w:val="center"/>
              <w:rPr>
                <w:rFonts w:eastAsiaTheme="majorEastAsia"/>
                <w:i/>
                <w:iCs/>
                <w:color w:val="404040" w:themeColor="text1" w:themeTint="BF"/>
                <w:sz w:val="20"/>
                <w:szCs w:val="20"/>
              </w:rPr>
            </w:pPr>
            <w:r w:rsidRPr="0080364A">
              <w:rPr>
                <w:sz w:val="20"/>
              </w:rPr>
              <w:t>8</w:t>
            </w:r>
          </w:p>
        </w:tc>
      </w:tr>
    </w:tbl>
    <w:p w14:paraId="60BCD53B" w14:textId="09DF5CDE" w:rsidR="00D726B2"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p w14:paraId="474D2B73" w14:textId="77777777" w:rsidR="00D726B2" w:rsidRPr="00191003"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Presence of base hole</w:t>
      </w:r>
      <w:r>
        <w:rPr>
          <w:color w:val="000000"/>
        </w:rPr>
        <w:t xml:space="preserve">s: </w:t>
      </w:r>
    </w:p>
    <w:p w14:paraId="7688ADA5" w14:textId="77777777" w:rsidR="00D726B2" w:rsidRPr="00191003"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191003">
        <w:rPr>
          <w:color w:val="000000"/>
        </w:rPr>
        <w:t>Information is available on a sample of 15 larnakes; range of base hole number</w:t>
      </w:r>
      <w:r>
        <w:rPr>
          <w:color w:val="000000"/>
        </w:rPr>
        <w:t>s is</w:t>
      </w:r>
      <w:r w:rsidRPr="00191003">
        <w:rPr>
          <w:color w:val="000000"/>
        </w:rPr>
        <w:t xml:space="preserve"> 1</w:t>
      </w:r>
      <w:r>
        <w:rPr>
          <w:color w:val="000000"/>
        </w:rPr>
        <w:t xml:space="preserve"> to</w:t>
      </w:r>
      <w:r w:rsidRPr="00191003">
        <w:rPr>
          <w:color w:val="000000"/>
        </w:rPr>
        <w:t xml:space="preserve"> 10.</w:t>
      </w:r>
    </w:p>
    <w:p w14:paraId="1CD08B2D" w14:textId="77777777" w:rsidR="00D726B2" w:rsidRPr="00AD4648"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560"/>
        <w:rPr>
          <w:color w:val="000000"/>
        </w:rPr>
      </w:pPr>
      <w:r w:rsidRPr="00AD4648">
        <w:rPr>
          <w:color w:val="000000"/>
        </w:rPr>
        <w:t>Panel division/panel type/number of panels: 4 panels by raised bands. Information is available on a sample of 75 larnakes. One larnax from Episkopi Pediada Christos has 12 panels (each side of the larnax is divided into quarters by raised bands (</w:t>
      </w:r>
      <w:r>
        <w:rPr>
          <w:color w:val="000000"/>
        </w:rPr>
        <w:t>EEKS 1941: 270;</w:t>
      </w:r>
      <w:r w:rsidRPr="00AD4648">
        <w:rPr>
          <w:color w:val="000000"/>
        </w:rPr>
        <w:t xml:space="preserve"> Kanta 1980: 66-68).</w:t>
      </w:r>
    </w:p>
    <w:p w14:paraId="62A361FC" w14:textId="77777777" w:rsidR="0080364A" w:rsidRDefault="0080364A">
      <w:pPr>
        <w:widowControl/>
        <w:spacing w:line="240" w:lineRule="auto"/>
        <w:contextualSpacing w:val="0"/>
        <w:jc w:val="left"/>
        <w:rPr>
          <w:rFonts w:cs="Lucida Grande"/>
          <w:b/>
          <w:sz w:val="20"/>
          <w:szCs w:val="18"/>
        </w:rPr>
      </w:pPr>
      <w:r>
        <w:br w:type="page"/>
      </w:r>
    </w:p>
    <w:p w14:paraId="0777EFC7" w14:textId="539CDB5B" w:rsidR="00D726B2" w:rsidRPr="00191003" w:rsidRDefault="00D726B2" w:rsidP="00E858EF">
      <w:pPr>
        <w:pStyle w:val="Testofumetto"/>
        <w:suppressAutoHyphens/>
      </w:pPr>
      <w:bookmarkStart w:id="1133" w:name="_Toc520212652"/>
      <w:r>
        <w:t>Table 5-27</w:t>
      </w:r>
      <w:r w:rsidR="00117AA5">
        <w:t>.</w:t>
      </w:r>
      <w:r>
        <w:t xml:space="preserve"> Panels, Centr</w:t>
      </w:r>
      <w:r w:rsidR="006934A7">
        <w:t>al area</w:t>
      </w:r>
      <w:bookmarkEnd w:id="1133"/>
    </w:p>
    <w:tbl>
      <w:tblPr>
        <w:tblW w:w="0" w:type="auto"/>
        <w:tblInd w:w="-67" w:type="dxa"/>
        <w:tblCellMar>
          <w:left w:w="0" w:type="dxa"/>
          <w:right w:w="0" w:type="dxa"/>
        </w:tblCellMar>
        <w:tblLook w:val="04A0" w:firstRow="1" w:lastRow="0" w:firstColumn="1" w:lastColumn="0" w:noHBand="0" w:noVBand="1"/>
      </w:tblPr>
      <w:tblGrid>
        <w:gridCol w:w="1493"/>
        <w:gridCol w:w="1559"/>
        <w:gridCol w:w="1275"/>
        <w:gridCol w:w="1275"/>
        <w:gridCol w:w="2553"/>
      </w:tblGrid>
      <w:tr w:rsidR="00D726B2" w:rsidRPr="0080364A" w14:paraId="60B17AB0" w14:textId="77777777" w:rsidTr="00AD455A">
        <w:trPr>
          <w:trHeight w:val="315"/>
        </w:trPr>
        <w:tc>
          <w:tcPr>
            <w:tcW w:w="1493" w:type="dxa"/>
            <w:tcBorders>
              <w:top w:val="single" w:sz="6" w:space="0" w:color="000000"/>
              <w:left w:val="single" w:sz="6" w:space="0" w:color="000000"/>
              <w:bottom w:val="single" w:sz="6" w:space="0" w:color="000000"/>
              <w:right w:val="single" w:sz="6" w:space="0" w:color="000000"/>
            </w:tcBorders>
          </w:tcPr>
          <w:p w14:paraId="1F366223" w14:textId="77777777" w:rsidR="00D726B2" w:rsidRPr="0080364A" w:rsidRDefault="00D726B2" w:rsidP="00E858EF">
            <w:pPr>
              <w:suppressAutoHyphens/>
              <w:jc w:val="center"/>
              <w:rPr>
                <w:rFonts w:eastAsiaTheme="majorEastAsia"/>
                <w:i/>
                <w:iCs/>
                <w:color w:val="404040" w:themeColor="text1" w:themeTint="BF"/>
                <w:sz w:val="20"/>
                <w:szCs w:val="20"/>
              </w:rPr>
            </w:pPr>
            <w:r w:rsidRPr="0080364A">
              <w:rPr>
                <w:sz w:val="20"/>
              </w:rPr>
              <w:t>Raised bands</w:t>
            </w:r>
          </w:p>
        </w:tc>
        <w:tc>
          <w:tcPr>
            <w:tcW w:w="1559" w:type="dxa"/>
            <w:tcBorders>
              <w:top w:val="single" w:sz="6" w:space="0" w:color="000000"/>
              <w:left w:val="single" w:sz="6" w:space="0" w:color="000000"/>
              <w:bottom w:val="single" w:sz="6" w:space="0" w:color="000000"/>
              <w:right w:val="single" w:sz="6" w:space="0" w:color="000000"/>
            </w:tcBorders>
          </w:tcPr>
          <w:p w14:paraId="045F9F14" w14:textId="77777777" w:rsidR="00D726B2" w:rsidRPr="0080364A" w:rsidRDefault="00D726B2" w:rsidP="00E858EF">
            <w:pPr>
              <w:suppressAutoHyphens/>
              <w:jc w:val="center"/>
              <w:rPr>
                <w:rFonts w:eastAsiaTheme="majorEastAsia"/>
                <w:i/>
                <w:iCs/>
                <w:color w:val="404040" w:themeColor="text1" w:themeTint="BF"/>
                <w:sz w:val="20"/>
                <w:szCs w:val="20"/>
              </w:rPr>
            </w:pPr>
            <w:r w:rsidRPr="0080364A">
              <w:rPr>
                <w:sz w:val="20"/>
              </w:rPr>
              <w:t>Incised bands</w:t>
            </w:r>
          </w:p>
        </w:tc>
        <w:tc>
          <w:tcPr>
            <w:tcW w:w="1275" w:type="dxa"/>
            <w:tcBorders>
              <w:top w:val="single" w:sz="6" w:space="0" w:color="000000"/>
              <w:left w:val="single" w:sz="6" w:space="0" w:color="000000"/>
              <w:bottom w:val="single" w:sz="6" w:space="0" w:color="000000"/>
              <w:right w:val="single" w:sz="6" w:space="0" w:color="000000"/>
            </w:tcBorders>
          </w:tcPr>
          <w:p w14:paraId="636664E1" w14:textId="77777777" w:rsidR="00D726B2" w:rsidRPr="0080364A" w:rsidRDefault="00D726B2" w:rsidP="00E858EF">
            <w:pPr>
              <w:suppressAutoHyphens/>
              <w:jc w:val="center"/>
              <w:rPr>
                <w:rFonts w:eastAsiaTheme="majorEastAsia"/>
                <w:i/>
                <w:iCs/>
                <w:color w:val="404040" w:themeColor="text1" w:themeTint="BF"/>
                <w:sz w:val="20"/>
                <w:szCs w:val="20"/>
              </w:rPr>
            </w:pPr>
            <w:r w:rsidRPr="0080364A">
              <w:rPr>
                <w:sz w:val="20"/>
              </w:rPr>
              <w:t>4 panels</w:t>
            </w:r>
          </w:p>
        </w:tc>
        <w:tc>
          <w:tcPr>
            <w:tcW w:w="1275" w:type="dxa"/>
            <w:tcBorders>
              <w:top w:val="single" w:sz="6" w:space="0" w:color="000000"/>
              <w:left w:val="single" w:sz="6" w:space="0" w:color="000000"/>
              <w:bottom w:val="single" w:sz="6" w:space="0" w:color="000000"/>
              <w:right w:val="single" w:sz="6" w:space="0" w:color="000000"/>
            </w:tcBorders>
          </w:tcPr>
          <w:p w14:paraId="6A3908CB" w14:textId="77777777" w:rsidR="00D726B2" w:rsidRPr="0080364A" w:rsidRDefault="00D726B2" w:rsidP="00E858EF">
            <w:pPr>
              <w:suppressAutoHyphens/>
              <w:jc w:val="center"/>
              <w:rPr>
                <w:rFonts w:eastAsiaTheme="majorEastAsia"/>
                <w:i/>
                <w:iCs/>
                <w:color w:val="404040" w:themeColor="text1" w:themeTint="BF"/>
                <w:sz w:val="20"/>
                <w:szCs w:val="20"/>
              </w:rPr>
            </w:pPr>
            <w:r w:rsidRPr="0080364A">
              <w:rPr>
                <w:sz w:val="20"/>
              </w:rPr>
              <w:t>6 panels</w:t>
            </w:r>
          </w:p>
        </w:tc>
        <w:tc>
          <w:tcPr>
            <w:tcW w:w="2553" w:type="dxa"/>
            <w:tcBorders>
              <w:top w:val="single" w:sz="6" w:space="0" w:color="000000"/>
              <w:left w:val="single" w:sz="6" w:space="0" w:color="000000"/>
              <w:bottom w:val="single" w:sz="6" w:space="0" w:color="000000"/>
              <w:right w:val="single" w:sz="6" w:space="0" w:color="000000"/>
            </w:tcBorders>
          </w:tcPr>
          <w:p w14:paraId="291333A8" w14:textId="77777777" w:rsidR="00D726B2" w:rsidRPr="0080364A" w:rsidRDefault="00D726B2" w:rsidP="00E858EF">
            <w:pPr>
              <w:suppressAutoHyphens/>
              <w:jc w:val="center"/>
              <w:rPr>
                <w:rFonts w:eastAsiaTheme="majorEastAsia"/>
                <w:i/>
                <w:iCs/>
                <w:color w:val="404040" w:themeColor="text1" w:themeTint="BF"/>
                <w:sz w:val="20"/>
                <w:szCs w:val="20"/>
              </w:rPr>
            </w:pPr>
            <w:r w:rsidRPr="0080364A">
              <w:rPr>
                <w:sz w:val="20"/>
              </w:rPr>
              <w:t>N/A number of panels</w:t>
            </w:r>
          </w:p>
        </w:tc>
      </w:tr>
      <w:tr w:rsidR="00D726B2" w:rsidRPr="0080364A" w14:paraId="3489EBA2" w14:textId="77777777" w:rsidTr="00AD455A">
        <w:trPr>
          <w:trHeight w:val="315"/>
        </w:trPr>
        <w:tc>
          <w:tcPr>
            <w:tcW w:w="1493" w:type="dxa"/>
            <w:tcBorders>
              <w:top w:val="single" w:sz="6" w:space="0" w:color="000000"/>
              <w:left w:val="single" w:sz="6" w:space="0" w:color="000000"/>
              <w:bottom w:val="single" w:sz="6" w:space="0" w:color="000000"/>
              <w:right w:val="single" w:sz="6" w:space="0" w:color="000000"/>
            </w:tcBorders>
          </w:tcPr>
          <w:p w14:paraId="13BC96CB" w14:textId="77777777" w:rsidR="00D726B2" w:rsidRPr="0080364A" w:rsidRDefault="00D726B2" w:rsidP="00E858EF">
            <w:pPr>
              <w:suppressAutoHyphens/>
              <w:jc w:val="center"/>
              <w:rPr>
                <w:rFonts w:eastAsiaTheme="majorEastAsia"/>
                <w:i/>
                <w:iCs/>
                <w:color w:val="404040" w:themeColor="text1" w:themeTint="BF"/>
                <w:sz w:val="20"/>
                <w:szCs w:val="20"/>
              </w:rPr>
            </w:pPr>
            <w:r w:rsidRPr="0080364A">
              <w:rPr>
                <w:sz w:val="20"/>
              </w:rPr>
              <w:t>45</w:t>
            </w:r>
          </w:p>
        </w:tc>
        <w:tc>
          <w:tcPr>
            <w:tcW w:w="1559" w:type="dxa"/>
            <w:tcBorders>
              <w:top w:val="single" w:sz="6" w:space="0" w:color="000000"/>
              <w:left w:val="single" w:sz="6" w:space="0" w:color="000000"/>
              <w:bottom w:val="single" w:sz="6" w:space="0" w:color="000000"/>
              <w:right w:val="single" w:sz="6" w:space="0" w:color="000000"/>
            </w:tcBorders>
          </w:tcPr>
          <w:p w14:paraId="44F1AFF4" w14:textId="77777777" w:rsidR="00D726B2" w:rsidRPr="0080364A" w:rsidRDefault="00D726B2" w:rsidP="00E858EF">
            <w:pPr>
              <w:suppressAutoHyphens/>
              <w:jc w:val="center"/>
              <w:rPr>
                <w:rFonts w:eastAsiaTheme="majorEastAsia"/>
                <w:i/>
                <w:iCs/>
                <w:color w:val="404040" w:themeColor="text1" w:themeTint="BF"/>
                <w:sz w:val="20"/>
                <w:szCs w:val="20"/>
              </w:rPr>
            </w:pPr>
            <w:r w:rsidRPr="0080364A">
              <w:rPr>
                <w:sz w:val="20"/>
              </w:rPr>
              <w:t>27</w:t>
            </w:r>
          </w:p>
        </w:tc>
        <w:tc>
          <w:tcPr>
            <w:tcW w:w="1275" w:type="dxa"/>
            <w:tcBorders>
              <w:top w:val="single" w:sz="6" w:space="0" w:color="000000"/>
              <w:left w:val="single" w:sz="6" w:space="0" w:color="000000"/>
              <w:bottom w:val="single" w:sz="6" w:space="0" w:color="000000"/>
              <w:right w:val="single" w:sz="6" w:space="0" w:color="000000"/>
            </w:tcBorders>
          </w:tcPr>
          <w:p w14:paraId="06F8050D" w14:textId="77777777" w:rsidR="00D726B2" w:rsidRPr="0080364A" w:rsidRDefault="00D726B2" w:rsidP="00E858EF">
            <w:pPr>
              <w:suppressAutoHyphens/>
              <w:jc w:val="center"/>
              <w:rPr>
                <w:rFonts w:eastAsiaTheme="majorEastAsia"/>
                <w:i/>
                <w:iCs/>
                <w:color w:val="404040" w:themeColor="text1" w:themeTint="BF"/>
                <w:sz w:val="20"/>
                <w:szCs w:val="20"/>
              </w:rPr>
            </w:pPr>
            <w:r w:rsidRPr="0080364A">
              <w:rPr>
                <w:sz w:val="20"/>
              </w:rPr>
              <w:t>61</w:t>
            </w:r>
          </w:p>
        </w:tc>
        <w:tc>
          <w:tcPr>
            <w:tcW w:w="1275" w:type="dxa"/>
            <w:tcBorders>
              <w:top w:val="single" w:sz="6" w:space="0" w:color="000000"/>
              <w:left w:val="single" w:sz="6" w:space="0" w:color="000000"/>
              <w:bottom w:val="single" w:sz="6" w:space="0" w:color="000000"/>
              <w:right w:val="single" w:sz="6" w:space="0" w:color="000000"/>
            </w:tcBorders>
          </w:tcPr>
          <w:p w14:paraId="73E67C4A" w14:textId="77777777" w:rsidR="00D726B2" w:rsidRPr="0080364A" w:rsidRDefault="00D726B2" w:rsidP="00E858EF">
            <w:pPr>
              <w:suppressAutoHyphens/>
              <w:jc w:val="center"/>
              <w:rPr>
                <w:rFonts w:eastAsiaTheme="majorEastAsia"/>
                <w:i/>
                <w:iCs/>
                <w:color w:val="404040" w:themeColor="text1" w:themeTint="BF"/>
                <w:sz w:val="20"/>
                <w:szCs w:val="20"/>
              </w:rPr>
            </w:pPr>
            <w:r w:rsidRPr="0080364A">
              <w:rPr>
                <w:sz w:val="20"/>
              </w:rPr>
              <w:t>4</w:t>
            </w:r>
          </w:p>
        </w:tc>
        <w:tc>
          <w:tcPr>
            <w:tcW w:w="2553" w:type="dxa"/>
            <w:tcBorders>
              <w:top w:val="single" w:sz="6" w:space="0" w:color="000000"/>
              <w:left w:val="single" w:sz="6" w:space="0" w:color="000000"/>
              <w:bottom w:val="single" w:sz="6" w:space="0" w:color="000000"/>
              <w:right w:val="single" w:sz="6" w:space="0" w:color="000000"/>
            </w:tcBorders>
          </w:tcPr>
          <w:p w14:paraId="6C3B2867" w14:textId="77777777" w:rsidR="00D726B2" w:rsidRPr="0080364A" w:rsidRDefault="00D726B2" w:rsidP="00E858EF">
            <w:pPr>
              <w:suppressAutoHyphens/>
              <w:jc w:val="center"/>
              <w:rPr>
                <w:rFonts w:eastAsiaTheme="majorEastAsia"/>
                <w:i/>
                <w:iCs/>
                <w:color w:val="404040" w:themeColor="text1" w:themeTint="BF"/>
                <w:sz w:val="20"/>
                <w:szCs w:val="20"/>
              </w:rPr>
            </w:pPr>
            <w:r w:rsidRPr="0080364A">
              <w:rPr>
                <w:sz w:val="20"/>
              </w:rPr>
              <w:t>9</w:t>
            </w:r>
          </w:p>
        </w:tc>
      </w:tr>
    </w:tbl>
    <w:p w14:paraId="2A217534" w14:textId="77777777" w:rsidR="00D726B2" w:rsidRPr="001600FC"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0"/>
          <w:szCs w:val="20"/>
        </w:rPr>
      </w:pPr>
    </w:p>
    <w:p w14:paraId="609A0D14" w14:textId="4CBA6C63" w:rsidR="00D726B2" w:rsidRPr="00191003"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 xml:space="preserve">Occurrence of figurines: a larnax from Metochi Kalou has </w:t>
      </w:r>
      <w:r>
        <w:rPr>
          <w:color w:val="000000"/>
        </w:rPr>
        <w:t xml:space="preserve">a </w:t>
      </w:r>
      <w:r w:rsidRPr="00191003">
        <w:rPr>
          <w:color w:val="000000"/>
        </w:rPr>
        <w:t xml:space="preserve">bull’s head </w:t>
      </w:r>
      <w:r>
        <w:rPr>
          <w:color w:val="000000"/>
        </w:rPr>
        <w:t xml:space="preserve">on </w:t>
      </w:r>
      <w:r w:rsidRPr="00191003">
        <w:rPr>
          <w:color w:val="000000"/>
        </w:rPr>
        <w:t>both ends of the ridge pole (</w:t>
      </w:r>
      <w:r w:rsidR="00D5702D">
        <w:rPr>
          <w:color w:val="000000"/>
        </w:rPr>
        <w:t>Dimopoulou</w:t>
      </w:r>
      <w:r w:rsidR="00BD5A03">
        <w:rPr>
          <w:color w:val="000000"/>
        </w:rPr>
        <w:t xml:space="preserve"> and</w:t>
      </w:r>
      <w:r w:rsidRPr="00191003">
        <w:rPr>
          <w:color w:val="000000"/>
        </w:rPr>
        <w:t xml:space="preserve"> Rethemiotakis 1978: 40)</w:t>
      </w:r>
    </w:p>
    <w:p w14:paraId="10F49328"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Occurrence of different type</w:t>
      </w:r>
      <w:r>
        <w:rPr>
          <w:color w:val="000000"/>
        </w:rPr>
        <w:t>s</w:t>
      </w:r>
      <w:r w:rsidRPr="00191003">
        <w:rPr>
          <w:color w:val="000000"/>
        </w:rPr>
        <w:t xml:space="preserve"> of decoration </w:t>
      </w:r>
    </w:p>
    <w:p w14:paraId="46B7FD8B" w14:textId="77777777" w:rsidR="00D726B2" w:rsidRPr="00191003" w:rsidRDefault="00D726B2" w:rsidP="00E858EF">
      <w:pPr>
        <w:pStyle w:val="Titolo3"/>
        <w:keepNext w:val="0"/>
        <w:keepLines w:val="0"/>
        <w:suppressAutoHyphens/>
      </w:pPr>
      <w:bookmarkStart w:id="1134" w:name="_Toc517807614"/>
      <w:bookmarkStart w:id="1135" w:name="_Toc519894696"/>
      <w:r w:rsidRPr="00191003">
        <w:t xml:space="preserve">Analysis of </w:t>
      </w:r>
      <w:r>
        <w:t xml:space="preserve">the </w:t>
      </w:r>
      <w:r w:rsidRPr="00191003">
        <w:t xml:space="preserve">iconography of decorated larnakes </w:t>
      </w:r>
      <w:r>
        <w:t>in the C</w:t>
      </w:r>
      <w:r w:rsidRPr="00191003">
        <w:t>entral area</w:t>
      </w:r>
      <w:bookmarkEnd w:id="1134"/>
      <w:bookmarkEnd w:id="1135"/>
    </w:p>
    <w:p w14:paraId="1B8690F8" w14:textId="2C84C296" w:rsidR="00D726B2" w:rsidRPr="00191003" w:rsidRDefault="00D726B2" w:rsidP="00E858EF">
      <w:pPr>
        <w:suppressAutoHyphens/>
      </w:pPr>
      <w:r w:rsidRPr="00191003">
        <w:t xml:space="preserve">From the sample of larnakes securely found in burial contexts in </w:t>
      </w:r>
      <w:r>
        <w:t>the C</w:t>
      </w:r>
      <w:r w:rsidRPr="00191003">
        <w:t>entral region</w:t>
      </w:r>
      <w:r>
        <w:t xml:space="preserve"> (</w:t>
      </w:r>
      <w:r w:rsidRPr="00191003">
        <w:t>233 items</w:t>
      </w:r>
      <w:r>
        <w:t>)</w:t>
      </w:r>
      <w:r w:rsidRPr="00191003">
        <w:t xml:space="preserve">, the presence of decoration has </w:t>
      </w:r>
      <w:r>
        <w:t>been recovered</w:t>
      </w:r>
      <w:r w:rsidRPr="00191003">
        <w:t xml:space="preserve"> </w:t>
      </w:r>
      <w:r>
        <w:t>for</w:t>
      </w:r>
      <w:r w:rsidRPr="00191003">
        <w:t xml:space="preserve"> 37% of </w:t>
      </w:r>
      <w:r>
        <w:t xml:space="preserve">the </w:t>
      </w:r>
      <w:r w:rsidRPr="00191003">
        <w:t>items (8</w:t>
      </w:r>
      <w:r>
        <w:t>6</w:t>
      </w:r>
      <w:r w:rsidRPr="00191003">
        <w:t xml:space="preserve"> larnakes</w:t>
      </w:r>
      <w:r w:rsidR="00BD5A03">
        <w:t>, see: Appendix: Centre</w:t>
      </w:r>
      <w:r w:rsidRPr="00191003">
        <w:t xml:space="preserve">). </w:t>
      </w:r>
    </w:p>
    <w:p w14:paraId="14743AE9" w14:textId="77777777" w:rsidR="00D726B2" w:rsidRPr="00191003" w:rsidRDefault="00D726B2" w:rsidP="00E858EF">
      <w:pPr>
        <w:suppressAutoHyphens/>
        <w:rPr>
          <w:b/>
        </w:rPr>
      </w:pPr>
      <w:r w:rsidRPr="00191003">
        <w:rPr>
          <w:noProof/>
          <w:lang w:val="it-IT"/>
        </w:rPr>
        <w:drawing>
          <wp:inline distT="0" distB="0" distL="0" distR="0" wp14:anchorId="3B746F7F" wp14:editId="2F671BDF">
            <wp:extent cx="4680000" cy="2519680"/>
            <wp:effectExtent l="0" t="0" r="6350" b="13970"/>
            <wp:docPr id="195" name="Gra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p w14:paraId="4A04B4B1" w14:textId="7413B387" w:rsidR="00D726B2" w:rsidRDefault="00D726B2" w:rsidP="00E858EF">
      <w:pPr>
        <w:pStyle w:val="Didascalia"/>
        <w:suppressAutoHyphens/>
      </w:pPr>
      <w:bookmarkStart w:id="1136" w:name="_Toc520212469"/>
      <w:r w:rsidRPr="00AD4648">
        <w:t>Figure  5-</w:t>
      </w:r>
      <w:r>
        <w:t>75</w:t>
      </w:r>
      <w:r w:rsidR="00C42299">
        <w:t>.</w:t>
      </w:r>
      <w:r w:rsidRPr="00AD4648">
        <w:t xml:space="preserve"> Central area larnax de</w:t>
      </w:r>
      <w:r w:rsidRPr="00E7753F">
        <w:t>cor</w:t>
      </w:r>
      <w:r>
        <w:t>ation</w:t>
      </w:r>
      <w:bookmarkEnd w:id="1136"/>
    </w:p>
    <w:p w14:paraId="5111F0BE" w14:textId="77777777" w:rsidR="0080364A" w:rsidRDefault="0080364A" w:rsidP="00E858EF">
      <w:pPr>
        <w:pStyle w:val="Testofumetto"/>
        <w:suppressAutoHyphens/>
      </w:pPr>
    </w:p>
    <w:p w14:paraId="3194BF0C" w14:textId="1EB8B271" w:rsidR="00D726B2" w:rsidRPr="000342D7" w:rsidRDefault="00D726B2" w:rsidP="00E858EF">
      <w:pPr>
        <w:pStyle w:val="Testofumetto"/>
        <w:suppressAutoHyphens/>
      </w:pPr>
      <w:bookmarkStart w:id="1137" w:name="_Toc520212653"/>
      <w:r>
        <w:t>Table 5-28</w:t>
      </w:r>
      <w:r w:rsidR="00EA5560">
        <w:t>.</w:t>
      </w:r>
      <w:r>
        <w:t xml:space="preserve"> Decoration, Centr</w:t>
      </w:r>
      <w:r w:rsidR="006934A7">
        <w:t>al area</w:t>
      </w:r>
      <w:bookmarkEnd w:id="1137"/>
    </w:p>
    <w:tbl>
      <w:tblPr>
        <w:tblW w:w="0" w:type="auto"/>
        <w:tblInd w:w="8" w:type="dxa"/>
        <w:tblCellMar>
          <w:left w:w="0" w:type="dxa"/>
          <w:right w:w="0" w:type="dxa"/>
        </w:tblCellMar>
        <w:tblLook w:val="04A0" w:firstRow="1" w:lastRow="0" w:firstColumn="1" w:lastColumn="0" w:noHBand="0" w:noVBand="1"/>
      </w:tblPr>
      <w:tblGrid>
        <w:gridCol w:w="1275"/>
        <w:gridCol w:w="1494"/>
        <w:gridCol w:w="1636"/>
        <w:gridCol w:w="2126"/>
      </w:tblGrid>
      <w:tr w:rsidR="00D726B2" w:rsidRPr="0080364A" w14:paraId="3D6E34B2" w14:textId="77777777" w:rsidTr="0080364A">
        <w:trPr>
          <w:trHeight w:val="315"/>
        </w:trPr>
        <w:tc>
          <w:tcPr>
            <w:tcW w:w="1275" w:type="dxa"/>
            <w:tcBorders>
              <w:top w:val="single" w:sz="6" w:space="0" w:color="000000"/>
              <w:left w:val="single" w:sz="6" w:space="0" w:color="000000"/>
              <w:bottom w:val="single" w:sz="6" w:space="0" w:color="000000"/>
              <w:right w:val="single" w:sz="6" w:space="0" w:color="000000"/>
            </w:tcBorders>
          </w:tcPr>
          <w:p w14:paraId="3271F38C" w14:textId="77777777" w:rsidR="00D726B2" w:rsidRPr="0080364A" w:rsidRDefault="00D726B2" w:rsidP="00E858EF">
            <w:pPr>
              <w:suppressAutoHyphens/>
              <w:jc w:val="center"/>
              <w:rPr>
                <w:sz w:val="20"/>
              </w:rPr>
            </w:pPr>
            <w:r w:rsidRPr="0080364A">
              <w:rPr>
                <w:sz w:val="20"/>
              </w:rPr>
              <w:t>Decorated</w:t>
            </w:r>
          </w:p>
        </w:tc>
        <w:tc>
          <w:tcPr>
            <w:tcW w:w="1494" w:type="dxa"/>
            <w:tcBorders>
              <w:top w:val="single" w:sz="6" w:space="0" w:color="000000"/>
              <w:left w:val="single" w:sz="6" w:space="0" w:color="000000"/>
              <w:bottom w:val="single" w:sz="6" w:space="0" w:color="000000"/>
              <w:right w:val="single" w:sz="6" w:space="0" w:color="000000"/>
            </w:tcBorders>
          </w:tcPr>
          <w:p w14:paraId="58990093" w14:textId="77777777" w:rsidR="00D726B2" w:rsidRPr="0080364A" w:rsidRDefault="00D726B2" w:rsidP="00E858EF">
            <w:pPr>
              <w:suppressAutoHyphens/>
              <w:jc w:val="center"/>
              <w:rPr>
                <w:sz w:val="20"/>
              </w:rPr>
            </w:pPr>
            <w:r w:rsidRPr="0080364A">
              <w:rPr>
                <w:sz w:val="20"/>
              </w:rPr>
              <w:t>Undecorated</w:t>
            </w:r>
          </w:p>
        </w:tc>
        <w:tc>
          <w:tcPr>
            <w:tcW w:w="1636" w:type="dxa"/>
            <w:tcBorders>
              <w:top w:val="single" w:sz="6" w:space="0" w:color="000000"/>
              <w:left w:val="single" w:sz="6" w:space="0" w:color="000000"/>
              <w:bottom w:val="single" w:sz="6" w:space="0" w:color="000000"/>
              <w:right w:val="single" w:sz="6" w:space="0" w:color="000000"/>
            </w:tcBorders>
          </w:tcPr>
          <w:p w14:paraId="00B7E285" w14:textId="77777777" w:rsidR="00D726B2" w:rsidRPr="0080364A" w:rsidRDefault="00D726B2" w:rsidP="00E858EF">
            <w:pPr>
              <w:suppressAutoHyphens/>
              <w:jc w:val="center"/>
              <w:rPr>
                <w:sz w:val="20"/>
              </w:rPr>
            </w:pPr>
            <w:r w:rsidRPr="0080364A">
              <w:rPr>
                <w:sz w:val="20"/>
              </w:rPr>
              <w:t>Unknown</w:t>
            </w:r>
          </w:p>
        </w:tc>
        <w:tc>
          <w:tcPr>
            <w:tcW w:w="2126" w:type="dxa"/>
            <w:tcBorders>
              <w:top w:val="single" w:sz="6" w:space="0" w:color="000000"/>
              <w:left w:val="single" w:sz="6" w:space="0" w:color="000000"/>
              <w:bottom w:val="single" w:sz="6" w:space="0" w:color="000000"/>
              <w:right w:val="single" w:sz="6" w:space="0" w:color="000000"/>
            </w:tcBorders>
          </w:tcPr>
          <w:p w14:paraId="2979B700" w14:textId="77777777" w:rsidR="00D726B2" w:rsidRPr="0080364A" w:rsidRDefault="00D726B2" w:rsidP="00E858EF">
            <w:pPr>
              <w:suppressAutoHyphens/>
              <w:jc w:val="center"/>
              <w:rPr>
                <w:sz w:val="20"/>
              </w:rPr>
            </w:pPr>
            <w:r w:rsidRPr="0080364A">
              <w:rPr>
                <w:sz w:val="20"/>
              </w:rPr>
              <w:t>Incised decoration</w:t>
            </w:r>
          </w:p>
        </w:tc>
      </w:tr>
      <w:tr w:rsidR="00D726B2" w:rsidRPr="0080364A" w14:paraId="6BA9906D" w14:textId="77777777" w:rsidTr="0080364A">
        <w:trPr>
          <w:trHeight w:val="315"/>
        </w:trPr>
        <w:tc>
          <w:tcPr>
            <w:tcW w:w="1275" w:type="dxa"/>
            <w:tcBorders>
              <w:top w:val="single" w:sz="6" w:space="0" w:color="000000"/>
              <w:left w:val="single" w:sz="6" w:space="0" w:color="000000"/>
              <w:bottom w:val="single" w:sz="6" w:space="0" w:color="000000"/>
              <w:right w:val="single" w:sz="6" w:space="0" w:color="000000"/>
            </w:tcBorders>
          </w:tcPr>
          <w:p w14:paraId="47E870C2" w14:textId="77777777" w:rsidR="00D726B2" w:rsidRPr="0080364A" w:rsidRDefault="00D726B2" w:rsidP="00E858EF">
            <w:pPr>
              <w:suppressAutoHyphens/>
              <w:jc w:val="center"/>
              <w:rPr>
                <w:sz w:val="20"/>
              </w:rPr>
            </w:pPr>
            <w:r w:rsidRPr="0080364A">
              <w:rPr>
                <w:sz w:val="20"/>
              </w:rPr>
              <w:t>86</w:t>
            </w:r>
          </w:p>
        </w:tc>
        <w:tc>
          <w:tcPr>
            <w:tcW w:w="1494" w:type="dxa"/>
            <w:tcBorders>
              <w:top w:val="single" w:sz="6" w:space="0" w:color="000000"/>
              <w:left w:val="single" w:sz="6" w:space="0" w:color="000000"/>
              <w:bottom w:val="single" w:sz="6" w:space="0" w:color="000000"/>
              <w:right w:val="single" w:sz="6" w:space="0" w:color="000000"/>
            </w:tcBorders>
          </w:tcPr>
          <w:p w14:paraId="3B3AADC6" w14:textId="77777777" w:rsidR="00D726B2" w:rsidRPr="0080364A" w:rsidRDefault="00D726B2" w:rsidP="00E858EF">
            <w:pPr>
              <w:suppressAutoHyphens/>
              <w:jc w:val="center"/>
              <w:rPr>
                <w:sz w:val="20"/>
              </w:rPr>
            </w:pPr>
            <w:r w:rsidRPr="0080364A">
              <w:rPr>
                <w:sz w:val="20"/>
              </w:rPr>
              <w:t>57</w:t>
            </w:r>
          </w:p>
        </w:tc>
        <w:tc>
          <w:tcPr>
            <w:tcW w:w="1636" w:type="dxa"/>
            <w:tcBorders>
              <w:top w:val="single" w:sz="6" w:space="0" w:color="000000"/>
              <w:left w:val="single" w:sz="6" w:space="0" w:color="000000"/>
              <w:bottom w:val="single" w:sz="6" w:space="0" w:color="000000"/>
              <w:right w:val="single" w:sz="6" w:space="0" w:color="000000"/>
            </w:tcBorders>
          </w:tcPr>
          <w:p w14:paraId="552962F7" w14:textId="77777777" w:rsidR="00D726B2" w:rsidRPr="0080364A" w:rsidRDefault="00D726B2" w:rsidP="00E858EF">
            <w:pPr>
              <w:suppressAutoHyphens/>
              <w:jc w:val="center"/>
              <w:rPr>
                <w:sz w:val="20"/>
              </w:rPr>
            </w:pPr>
            <w:r w:rsidRPr="0080364A">
              <w:rPr>
                <w:sz w:val="20"/>
              </w:rPr>
              <w:t>90</w:t>
            </w:r>
          </w:p>
        </w:tc>
        <w:tc>
          <w:tcPr>
            <w:tcW w:w="2126" w:type="dxa"/>
            <w:tcBorders>
              <w:top w:val="single" w:sz="6" w:space="0" w:color="000000"/>
              <w:left w:val="single" w:sz="6" w:space="0" w:color="000000"/>
              <w:bottom w:val="single" w:sz="6" w:space="0" w:color="000000"/>
              <w:right w:val="single" w:sz="6" w:space="0" w:color="000000"/>
            </w:tcBorders>
          </w:tcPr>
          <w:p w14:paraId="2FC675FF" w14:textId="77777777" w:rsidR="00D726B2" w:rsidRPr="0080364A" w:rsidRDefault="00D726B2" w:rsidP="00E858EF">
            <w:pPr>
              <w:suppressAutoHyphens/>
              <w:jc w:val="center"/>
              <w:rPr>
                <w:sz w:val="20"/>
              </w:rPr>
            </w:pPr>
            <w:r w:rsidRPr="0080364A">
              <w:rPr>
                <w:sz w:val="20"/>
              </w:rPr>
              <w:t>4</w:t>
            </w:r>
          </w:p>
        </w:tc>
      </w:tr>
    </w:tbl>
    <w:p w14:paraId="631688CD" w14:textId="77777777" w:rsidR="00D726B2" w:rsidRPr="001600FC" w:rsidRDefault="00D726B2" w:rsidP="00E858EF">
      <w:pPr>
        <w:suppressAutoHyphens/>
        <w:rPr>
          <w:sz w:val="20"/>
          <w:szCs w:val="20"/>
        </w:rPr>
      </w:pPr>
    </w:p>
    <w:p w14:paraId="728B0D31" w14:textId="77777777" w:rsidR="00D726B2" w:rsidRDefault="00D726B2" w:rsidP="00E858EF">
      <w:pPr>
        <w:suppressAutoHyphens/>
      </w:pPr>
      <w:r>
        <w:tab/>
      </w:r>
      <w:r w:rsidRPr="00191003">
        <w:t>Within the decorated sample</w:t>
      </w:r>
      <w:r>
        <w:t>,</w:t>
      </w:r>
      <w:r w:rsidRPr="00191003">
        <w:t xml:space="preserve"> only three larnakes are bathtub shape</w:t>
      </w:r>
      <w:r>
        <w:t>d,</w:t>
      </w:r>
      <w:r w:rsidRPr="00191003">
        <w:t xml:space="preserve"> all other</w:t>
      </w:r>
      <w:r>
        <w:t>s</w:t>
      </w:r>
      <w:r w:rsidRPr="00191003">
        <w:t xml:space="preserve"> are chest</w:t>
      </w:r>
      <w:r>
        <w:t>-</w:t>
      </w:r>
      <w:r w:rsidRPr="00191003">
        <w:t>shape</w:t>
      </w:r>
      <w:r>
        <w:t>d</w:t>
      </w:r>
      <w:r w:rsidRPr="00191003">
        <w:t xml:space="preserve">. </w:t>
      </w:r>
    </w:p>
    <w:p w14:paraId="5B860025" w14:textId="77777777" w:rsidR="00D726B2" w:rsidRPr="00191003" w:rsidRDefault="00D726B2" w:rsidP="00E858EF">
      <w:pPr>
        <w:suppressAutoHyphens/>
      </w:pPr>
    </w:p>
    <w:p w14:paraId="3EC06249" w14:textId="77777777" w:rsidR="00D726B2" w:rsidRDefault="00D726B2" w:rsidP="00E858EF">
      <w:pPr>
        <w:suppressAutoHyphens/>
      </w:pPr>
      <w:r w:rsidRPr="00191003">
        <w:rPr>
          <w:noProof/>
          <w:lang w:val="it-IT"/>
        </w:rPr>
        <w:drawing>
          <wp:inline distT="0" distB="0" distL="0" distR="0" wp14:anchorId="2623B126" wp14:editId="50A3594F">
            <wp:extent cx="4680000" cy="2484000"/>
            <wp:effectExtent l="0" t="0" r="19050" b="31115"/>
            <wp:docPr id="196" name="Gra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14:paraId="75875200" w14:textId="32DB4671" w:rsidR="00D726B2" w:rsidRPr="00A0281F" w:rsidRDefault="00D726B2" w:rsidP="00E858EF">
      <w:pPr>
        <w:pStyle w:val="Didascalia"/>
        <w:suppressAutoHyphens/>
      </w:pPr>
      <w:bookmarkStart w:id="1138" w:name="_Toc520212470"/>
      <w:r>
        <w:t>Figure 5-76</w:t>
      </w:r>
      <w:r w:rsidR="00C42299">
        <w:t>.</w:t>
      </w:r>
      <w:r>
        <w:t xml:space="preserve"> Shape distribution, Centr</w:t>
      </w:r>
      <w:r w:rsidR="006934A7">
        <w:t>al area</w:t>
      </w:r>
      <w:bookmarkEnd w:id="1138"/>
    </w:p>
    <w:p w14:paraId="1E62F706" w14:textId="77777777" w:rsidR="0080364A" w:rsidRDefault="00D726B2" w:rsidP="00E858EF">
      <w:pPr>
        <w:suppressAutoHyphens/>
      </w:pPr>
      <w:r>
        <w:tab/>
      </w:r>
    </w:p>
    <w:p w14:paraId="6361AEC7" w14:textId="3A333E12" w:rsidR="00D726B2" w:rsidRPr="00191003" w:rsidRDefault="00D726B2" w:rsidP="0080364A">
      <w:pPr>
        <w:suppressAutoHyphens/>
        <w:ind w:firstLine="360"/>
      </w:pPr>
      <w:r>
        <w:t>D</w:t>
      </w:r>
      <w:r w:rsidRPr="00191003">
        <w:t xml:space="preserve">ue to </w:t>
      </w:r>
      <w:r w:rsidR="0080364A">
        <w:t xml:space="preserve">the </w:t>
      </w:r>
      <w:r w:rsidRPr="00191003">
        <w:t>preserv</w:t>
      </w:r>
      <w:r>
        <w:t>ation</w:t>
      </w:r>
      <w:r w:rsidRPr="00191003">
        <w:t xml:space="preserve"> condition of </w:t>
      </w:r>
      <w:r>
        <w:t xml:space="preserve">the </w:t>
      </w:r>
      <w:r w:rsidRPr="00191003">
        <w:t xml:space="preserve">larnakes and publication limits, it is </w:t>
      </w:r>
      <w:r w:rsidR="0080364A">
        <w:t xml:space="preserve">only </w:t>
      </w:r>
      <w:r w:rsidRPr="00191003">
        <w:t>possible to conduct a detailed iconographical analysis on</w:t>
      </w:r>
      <w:r>
        <w:t xml:space="preserve"> </w:t>
      </w:r>
      <w:r w:rsidRPr="00191003">
        <w:t xml:space="preserve">64 items </w:t>
      </w:r>
      <w:r>
        <w:t xml:space="preserve">or </w:t>
      </w:r>
      <w:r w:rsidRPr="00191003">
        <w:t xml:space="preserve">78% of </w:t>
      </w:r>
      <w:r>
        <w:t xml:space="preserve">the </w:t>
      </w:r>
      <w:r w:rsidRPr="00191003">
        <w:t xml:space="preserve">decorated larnakes. There is also a further group composed </w:t>
      </w:r>
      <w:r>
        <w:t>of possible</w:t>
      </w:r>
      <w:r w:rsidRPr="00191003">
        <w:t xml:space="preserve"> larnakes </w:t>
      </w:r>
      <w:r>
        <w:t>for</w:t>
      </w:r>
      <w:r w:rsidRPr="00191003">
        <w:t xml:space="preserve"> the present study </w:t>
      </w:r>
      <w:r>
        <w:t>that have</w:t>
      </w:r>
      <w:r w:rsidRPr="00191003">
        <w:t xml:space="preserve"> no precise information about their burial context</w:t>
      </w:r>
      <w:r>
        <w:t xml:space="preserve">s, </w:t>
      </w:r>
      <w:r w:rsidRPr="00191003">
        <w:t>13</w:t>
      </w:r>
      <w:r>
        <w:t xml:space="preserve"> of which</w:t>
      </w:r>
      <w:r w:rsidRPr="00191003">
        <w:t xml:space="preserve"> are decorated:</w:t>
      </w:r>
    </w:p>
    <w:p w14:paraId="357AEDF9" w14:textId="77777777" w:rsidR="00D726B2" w:rsidRPr="00191003" w:rsidRDefault="00D726B2" w:rsidP="00E858EF">
      <w:pPr>
        <w:pStyle w:val="Paragrafoelenco"/>
        <w:numPr>
          <w:ilvl w:val="0"/>
          <w:numId w:val="91"/>
        </w:numPr>
        <w:suppressAutoHyphens/>
        <w:spacing w:after="160"/>
      </w:pPr>
      <w:r w:rsidRPr="00191003">
        <w:t>Three larnakes from Agios Syllas decorated with wavy lines (Kanta 1980: 35)</w:t>
      </w:r>
      <w:r>
        <w:t>.</w:t>
      </w:r>
    </w:p>
    <w:p w14:paraId="48082F97" w14:textId="77777777" w:rsidR="00D726B2" w:rsidRPr="00191003" w:rsidRDefault="00D726B2" w:rsidP="00E858EF">
      <w:pPr>
        <w:pStyle w:val="Paragrafoelenco"/>
        <w:numPr>
          <w:ilvl w:val="0"/>
          <w:numId w:val="91"/>
        </w:numPr>
        <w:suppressAutoHyphens/>
        <w:spacing w:after="160"/>
      </w:pPr>
      <w:r w:rsidRPr="00191003">
        <w:t xml:space="preserve">A fragment of </w:t>
      </w:r>
      <w:r>
        <w:t xml:space="preserve">a </w:t>
      </w:r>
      <w:r w:rsidRPr="00191003">
        <w:t>chest</w:t>
      </w:r>
      <w:r>
        <w:t>-shaped</w:t>
      </w:r>
      <w:r w:rsidRPr="00191003">
        <w:t xml:space="preserve"> larnax from Agios Thomas decorated with horns of consecration, double axes and </w:t>
      </w:r>
      <w:r>
        <w:t xml:space="preserve">a </w:t>
      </w:r>
      <w:r w:rsidRPr="00191003">
        <w:t>palm</w:t>
      </w:r>
      <w:r>
        <w:t xml:space="preserve"> tree</w:t>
      </w:r>
      <w:r w:rsidRPr="00191003">
        <w:t xml:space="preserve"> (Kanta 1980: 83, </w:t>
      </w:r>
      <w:r>
        <w:t>F</w:t>
      </w:r>
      <w:r w:rsidRPr="00191003">
        <w:t>ig. 36.1)</w:t>
      </w:r>
      <w:r>
        <w:t>.</w:t>
      </w:r>
    </w:p>
    <w:p w14:paraId="7D168E4A" w14:textId="77777777" w:rsidR="00D726B2" w:rsidRPr="00191003" w:rsidRDefault="00D726B2" w:rsidP="00E858EF">
      <w:pPr>
        <w:pStyle w:val="Paragrafoelenco"/>
        <w:numPr>
          <w:ilvl w:val="0"/>
          <w:numId w:val="91"/>
        </w:numPr>
        <w:suppressAutoHyphens/>
        <w:spacing w:after="160"/>
      </w:pPr>
      <w:r>
        <w:t>Two larnakes found in the area of</w:t>
      </w:r>
      <w:r w:rsidRPr="00191003">
        <w:t xml:space="preserve"> Archanes: a fragment from Archanes Mertiotis (Sakellaraki</w:t>
      </w:r>
      <w:r>
        <w:t xml:space="preserve">s and </w:t>
      </w:r>
      <w:r w:rsidRPr="00191003">
        <w:t>Sakellaraki 1997</w:t>
      </w:r>
      <w:r>
        <w:t>:</w:t>
      </w:r>
      <w:r w:rsidRPr="00191003">
        <w:t xml:space="preserve"> 478, </w:t>
      </w:r>
      <w:r>
        <w:t>F</w:t>
      </w:r>
      <w:r w:rsidRPr="00191003">
        <w:t xml:space="preserve">ig.463) decorated with </w:t>
      </w:r>
      <w:r>
        <w:t xml:space="preserve">a </w:t>
      </w:r>
      <w:r w:rsidRPr="00191003">
        <w:t>palm</w:t>
      </w:r>
      <w:r>
        <w:t xml:space="preserve"> tree</w:t>
      </w:r>
      <w:r w:rsidRPr="00191003">
        <w:t xml:space="preserve">, and a larnax from Ontades decorated with papyri, birds, octopus, </w:t>
      </w:r>
      <w:r>
        <w:t xml:space="preserve">an </w:t>
      </w:r>
      <w:r w:rsidRPr="00191003">
        <w:t>adder mark pattern and running spirals (Sakellarakis</w:t>
      </w:r>
      <w:r>
        <w:t xml:space="preserve"> and </w:t>
      </w:r>
      <w:r w:rsidRPr="00191003">
        <w:t>Sakellaraki 1997</w:t>
      </w:r>
      <w:r>
        <w:t>:</w:t>
      </w:r>
      <w:r w:rsidRPr="00191003">
        <w:t xml:space="preserve"> 484-487, </w:t>
      </w:r>
      <w:r>
        <w:t>F</w:t>
      </w:r>
      <w:r w:rsidRPr="00191003">
        <w:t>ig</w:t>
      </w:r>
      <w:r>
        <w:t>s</w:t>
      </w:r>
      <w:r w:rsidRPr="00191003">
        <w:t>. 471,</w:t>
      </w:r>
      <w:r>
        <w:t xml:space="preserve"> </w:t>
      </w:r>
      <w:r w:rsidRPr="00191003">
        <w:t>473).</w:t>
      </w:r>
    </w:p>
    <w:p w14:paraId="655DB64D" w14:textId="16143865" w:rsidR="00D726B2" w:rsidRDefault="00D726B2" w:rsidP="00E858EF">
      <w:pPr>
        <w:pStyle w:val="Paragrafoelenco"/>
        <w:numPr>
          <w:ilvl w:val="0"/>
          <w:numId w:val="91"/>
        </w:numPr>
        <w:suppressAutoHyphens/>
        <w:spacing w:after="160"/>
      </w:pPr>
      <w:r w:rsidRPr="00191003">
        <w:t xml:space="preserve">A small larnax from Gazi </w:t>
      </w:r>
      <w:r>
        <w:t>on exhibition in</w:t>
      </w:r>
      <w:r w:rsidRPr="00191003">
        <w:t xml:space="preserve"> the Heraklion museum (</w:t>
      </w:r>
      <w:r>
        <w:t xml:space="preserve">inventory number on the larnax </w:t>
      </w:r>
      <w:r w:rsidRPr="00191003">
        <w:t>AKE 427</w:t>
      </w:r>
      <w:r>
        <w:t>). There are no published record</w:t>
      </w:r>
      <w:r w:rsidR="00D52A83">
        <w:t>s</w:t>
      </w:r>
      <w:r>
        <w:t xml:space="preserve"> that refer explicitly to this larnax. It is possible it was found in a recent excavation in Odos Kamarioti at Gazi, personal communication of Eleni Tsiraki</w:t>
      </w:r>
      <w:r w:rsidRPr="00191003">
        <w:t>) decorated with Mycenaean flowers and running spirals (body decoration is white on dark, lid decora</w:t>
      </w:r>
      <w:r>
        <w:t>tion is dark on light).</w:t>
      </w:r>
    </w:p>
    <w:p w14:paraId="041E2C5C" w14:textId="14986F62" w:rsidR="0080364A" w:rsidRDefault="0080364A">
      <w:pPr>
        <w:widowControl/>
        <w:spacing w:line="240" w:lineRule="auto"/>
        <w:contextualSpacing w:val="0"/>
        <w:jc w:val="left"/>
      </w:pPr>
      <w:r>
        <w:br w:type="page"/>
      </w:r>
    </w:p>
    <w:p w14:paraId="572786E8" w14:textId="77777777" w:rsidR="00D726B2" w:rsidRPr="00191003" w:rsidRDefault="00D726B2" w:rsidP="00E858EF">
      <w:pPr>
        <w:pStyle w:val="Titolo4"/>
        <w:keepNext w:val="0"/>
        <w:keepLines w:val="0"/>
        <w:suppressAutoHyphens/>
      </w:pPr>
      <w:bookmarkStart w:id="1139" w:name="_Toc517807615"/>
      <w:r>
        <w:t>Is it possible to note</w:t>
      </w:r>
      <w:r w:rsidRPr="00191003">
        <w:t xml:space="preserve"> the presence of </w:t>
      </w:r>
      <w:r>
        <w:t>‘</w:t>
      </w:r>
      <w:r w:rsidRPr="00191003">
        <w:t xml:space="preserve">peculiar </w:t>
      </w:r>
      <w:r>
        <w:t>motif</w:t>
      </w:r>
      <w:r w:rsidRPr="00191003">
        <w:t>s</w:t>
      </w:r>
      <w:r>
        <w:t>’</w:t>
      </w:r>
      <w:r w:rsidRPr="00191003">
        <w:t xml:space="preserve"> with </w:t>
      </w:r>
      <w:r>
        <w:t>little</w:t>
      </w:r>
      <w:r w:rsidRPr="00191003">
        <w:t xml:space="preserve"> or no comparison </w:t>
      </w:r>
      <w:r>
        <w:t>to the</w:t>
      </w:r>
      <w:r w:rsidRPr="00191003">
        <w:t xml:space="preserve"> pottery repertoire?</w:t>
      </w:r>
      <w:bookmarkEnd w:id="1139"/>
    </w:p>
    <w:p w14:paraId="226F5171" w14:textId="77777777" w:rsidR="00D726B2" w:rsidRPr="00191003" w:rsidRDefault="00D726B2" w:rsidP="00E858EF">
      <w:pPr>
        <w:suppressAutoHyphens/>
      </w:pPr>
      <w:r>
        <w:t>Regarding</w:t>
      </w:r>
      <w:r w:rsidRPr="00191003">
        <w:t xml:space="preserve"> the </w:t>
      </w:r>
      <w:r>
        <w:t>motif</w:t>
      </w:r>
      <w:r w:rsidRPr="00191003">
        <w:t>s r</w:t>
      </w:r>
      <w:r>
        <w:t>ecorded</w:t>
      </w:r>
      <w:r w:rsidRPr="00191003">
        <w:t xml:space="preserve"> w</w:t>
      </w:r>
      <w:r>
        <w:t>ithin the sample, only four</w:t>
      </w:r>
      <w:r w:rsidRPr="00191003">
        <w:t xml:space="preserve"> larnakes </w:t>
      </w:r>
      <w:r>
        <w:t xml:space="preserve">have </w:t>
      </w:r>
      <w:r w:rsidRPr="00191003">
        <w:t xml:space="preserve">peculiar </w:t>
      </w:r>
      <w:r>
        <w:t>motif</w:t>
      </w:r>
      <w:r w:rsidRPr="00191003">
        <w:t>s:</w:t>
      </w:r>
    </w:p>
    <w:p w14:paraId="239429C1" w14:textId="77777777" w:rsidR="00D726B2" w:rsidRPr="00191003" w:rsidRDefault="00D726B2" w:rsidP="00E858EF">
      <w:pPr>
        <w:pStyle w:val="Paragrafoelenco"/>
        <w:numPr>
          <w:ilvl w:val="0"/>
          <w:numId w:val="92"/>
        </w:numPr>
        <w:suppressAutoHyphens/>
        <w:spacing w:after="160"/>
        <w:rPr>
          <w:b/>
        </w:rPr>
      </w:pPr>
      <w:r w:rsidRPr="00191003">
        <w:rPr>
          <w:b/>
        </w:rPr>
        <w:t>649 Kyparissi</w:t>
      </w:r>
      <w:r>
        <w:rPr>
          <w:b/>
        </w:rPr>
        <w:t xml:space="preserve"> (fragment) (</w:t>
      </w:r>
      <w:r w:rsidRPr="004F2D7A">
        <w:t>Rethemiotakis 2013</w:t>
      </w:r>
      <w:r>
        <w:t>:</w:t>
      </w:r>
      <w:r w:rsidRPr="004F2D7A">
        <w:t xml:space="preserve"> fig. 13-16</w:t>
      </w:r>
      <w:r>
        <w:t>)</w:t>
      </w:r>
    </w:p>
    <w:p w14:paraId="06129274" w14:textId="77777777" w:rsidR="00D726B2" w:rsidRPr="00191003" w:rsidRDefault="00D726B2" w:rsidP="00E858EF">
      <w:pPr>
        <w:pStyle w:val="Paragrafoelenco"/>
        <w:numPr>
          <w:ilvl w:val="0"/>
          <w:numId w:val="77"/>
        </w:numPr>
        <w:suppressAutoHyphens/>
        <w:spacing w:after="160"/>
      </w:pPr>
      <w:r w:rsidRPr="00191003">
        <w:t xml:space="preserve">Column (13) </w:t>
      </w:r>
    </w:p>
    <w:p w14:paraId="11892E9B" w14:textId="77777777" w:rsidR="00D726B2" w:rsidRPr="00191003" w:rsidRDefault="00D726B2" w:rsidP="00E858EF">
      <w:pPr>
        <w:pStyle w:val="Paragrafoelenco"/>
        <w:numPr>
          <w:ilvl w:val="0"/>
          <w:numId w:val="77"/>
        </w:numPr>
        <w:suppressAutoHyphens/>
        <w:spacing w:after="160"/>
      </w:pPr>
      <w:r w:rsidRPr="00191003">
        <w:t>Vases (3)</w:t>
      </w:r>
    </w:p>
    <w:p w14:paraId="56CDA834" w14:textId="77777777" w:rsidR="00D726B2" w:rsidRPr="00191003" w:rsidRDefault="00D726B2" w:rsidP="00E858EF">
      <w:pPr>
        <w:pStyle w:val="Paragrafoelenco"/>
        <w:suppressAutoHyphens/>
      </w:pPr>
      <w:r w:rsidRPr="00191003">
        <w:t>Unfortunately</w:t>
      </w:r>
      <w:r>
        <w:t>,</w:t>
      </w:r>
      <w:r w:rsidRPr="00191003">
        <w:t xml:space="preserve"> we have only fragments from this larnax. One of the</w:t>
      </w:r>
      <w:r>
        <w:t xml:space="preserve"> fragments</w:t>
      </w:r>
      <w:r w:rsidRPr="00191003">
        <w:t xml:space="preserve"> </w:t>
      </w:r>
      <w:r>
        <w:t>has</w:t>
      </w:r>
      <w:r w:rsidRPr="00191003">
        <w:t xml:space="preserve"> two superposed rows of columns</w:t>
      </w:r>
      <w:r>
        <w:t>,</w:t>
      </w:r>
      <w:r w:rsidRPr="00191003">
        <w:t xml:space="preserve"> and above the second series</w:t>
      </w:r>
      <w:r>
        <w:t xml:space="preserve"> are</w:t>
      </w:r>
      <w:r w:rsidRPr="00191003">
        <w:t xml:space="preserve"> three small vases (jugs?) on top of them (Rethemiotakis 2013: 8</w:t>
      </w:r>
      <w:r>
        <w:t>,</w:t>
      </w:r>
      <w:r w:rsidRPr="00191003">
        <w:t xml:space="preserve"> </w:t>
      </w:r>
      <w:r>
        <w:t>F</w:t>
      </w:r>
      <w:r w:rsidRPr="00191003">
        <w:t>ig</w:t>
      </w:r>
      <w:r>
        <w:t>s</w:t>
      </w:r>
      <w:r w:rsidRPr="00191003">
        <w:t>. 15-16). In the other fragments from the same larnax are an octopus and an argonaut.</w:t>
      </w:r>
    </w:p>
    <w:p w14:paraId="2ABAC010" w14:textId="77777777" w:rsidR="00D726B2" w:rsidRPr="00191003" w:rsidRDefault="00D726B2" w:rsidP="00E858EF">
      <w:pPr>
        <w:pStyle w:val="Paragrafoelenco"/>
        <w:numPr>
          <w:ilvl w:val="0"/>
          <w:numId w:val="92"/>
        </w:numPr>
        <w:suppressAutoHyphens/>
        <w:spacing w:after="160"/>
      </w:pPr>
      <w:r w:rsidRPr="00191003">
        <w:rPr>
          <w:b/>
        </w:rPr>
        <w:t>755 Nirou Chani</w:t>
      </w:r>
      <w:r w:rsidRPr="00191003">
        <w:t xml:space="preserve"> (short side</w:t>
      </w:r>
      <w:r>
        <w:t xml:space="preserve"> C</w:t>
      </w:r>
      <w:r w:rsidRPr="00191003">
        <w:t>)</w:t>
      </w:r>
      <w:r>
        <w:t xml:space="preserve"> (Alexiou 1958:</w:t>
      </w:r>
      <w:r w:rsidRPr="0077214E">
        <w:t xml:space="preserve"> 21</w:t>
      </w:r>
      <w:r>
        <w:t>8, pl. IA, fig 2; Vermeule 1965: 136, fig. 2B; Long 1974:</w:t>
      </w:r>
      <w:r w:rsidRPr="0077214E">
        <w:t xml:space="preserve"> </w:t>
      </w:r>
      <w:r>
        <w:t>30, 31, 76, fig. 31; Pologiorgi 1990:</w:t>
      </w:r>
      <w:r w:rsidRPr="0077214E">
        <w:t xml:space="preserve"> 158</w:t>
      </w:r>
      <w:r>
        <w:t xml:space="preserve">; Watrous 1991: </w:t>
      </w:r>
      <w:r w:rsidRPr="0077214E">
        <w:t>292, fig. 84h</w:t>
      </w:r>
      <w:r>
        <w:t xml:space="preserve">) </w:t>
      </w:r>
    </w:p>
    <w:p w14:paraId="5966F23D" w14:textId="77777777" w:rsidR="00D726B2" w:rsidRPr="00191003" w:rsidRDefault="00D726B2" w:rsidP="00E858EF">
      <w:pPr>
        <w:pStyle w:val="Paragrafoelenco"/>
        <w:numPr>
          <w:ilvl w:val="0"/>
          <w:numId w:val="93"/>
        </w:numPr>
        <w:suppressAutoHyphens/>
        <w:spacing w:after="160"/>
      </w:pPr>
      <w:r w:rsidRPr="00191003">
        <w:t xml:space="preserve">Unidentified object </w:t>
      </w:r>
    </w:p>
    <w:p w14:paraId="5D67F27D" w14:textId="77777777" w:rsidR="00D726B2" w:rsidRPr="00191003" w:rsidRDefault="00D726B2" w:rsidP="00E858EF">
      <w:pPr>
        <w:pStyle w:val="Paragrafoelenco"/>
        <w:suppressAutoHyphens/>
      </w:pPr>
      <w:r w:rsidRPr="00191003">
        <w:t xml:space="preserve">A human figure rendered </w:t>
      </w:r>
      <w:r>
        <w:t>in</w:t>
      </w:r>
      <w:r w:rsidRPr="00191003">
        <w:t xml:space="preserve"> outline with upraised arms is on </w:t>
      </w:r>
      <w:r>
        <w:t>one</w:t>
      </w:r>
      <w:r w:rsidRPr="00191003">
        <w:t xml:space="preserve"> short side. Unfortunately</w:t>
      </w:r>
      <w:r>
        <w:t>,</w:t>
      </w:r>
      <w:r w:rsidRPr="00191003">
        <w:t xml:space="preserve"> the decoration is partially faded and the second arm is not visibl</w:t>
      </w:r>
      <w:r>
        <w:t>e.</w:t>
      </w:r>
      <w:r w:rsidRPr="00191003">
        <w:t xml:space="preserve"> </w:t>
      </w:r>
      <w:r>
        <w:t>F</w:t>
      </w:r>
      <w:r w:rsidRPr="00191003">
        <w:t>urthermore</w:t>
      </w:r>
      <w:r>
        <w:t>,</w:t>
      </w:r>
      <w:r w:rsidRPr="00191003">
        <w:t xml:space="preserve"> it is not clear what the human figure is holding on the left</w:t>
      </w:r>
      <w:r>
        <w:t>-</w:t>
      </w:r>
      <w:r w:rsidRPr="00191003">
        <w:t xml:space="preserve">hand side (a sceptre?). An incision </w:t>
      </w:r>
      <w:r>
        <w:t>has been</w:t>
      </w:r>
      <w:r w:rsidRPr="00191003">
        <w:t xml:space="preserve"> made in correspondence </w:t>
      </w:r>
      <w:r>
        <w:t>to</w:t>
      </w:r>
      <w:r w:rsidRPr="00191003">
        <w:t xml:space="preserve"> this object. The lid of the larnax is decorated with an unusual geometric pattern, a sort of large triangle</w:t>
      </w:r>
      <w:r>
        <w:t xml:space="preserve"> net,</w:t>
      </w:r>
      <w:r w:rsidRPr="00191003">
        <w:t xml:space="preserve"> which </w:t>
      </w:r>
      <w:r>
        <w:t>can be compared to</w:t>
      </w:r>
      <w:r w:rsidRPr="00191003">
        <w:t xml:space="preserve"> </w:t>
      </w:r>
      <w:r>
        <w:t>a larnax from Tertsa from the Mid-East</w:t>
      </w:r>
      <w:r w:rsidRPr="00191003">
        <w:t xml:space="preserve"> region (described as a triple ladder motif).</w:t>
      </w:r>
    </w:p>
    <w:p w14:paraId="77CE8790" w14:textId="77777777" w:rsidR="00D726B2" w:rsidRPr="00191003" w:rsidRDefault="00D726B2" w:rsidP="00E858EF">
      <w:pPr>
        <w:pStyle w:val="Paragrafoelenco"/>
        <w:numPr>
          <w:ilvl w:val="0"/>
          <w:numId w:val="92"/>
        </w:numPr>
        <w:suppressAutoHyphens/>
        <w:spacing w:after="160"/>
        <w:rPr>
          <w:b/>
        </w:rPr>
      </w:pPr>
      <w:r w:rsidRPr="00191003">
        <w:rPr>
          <w:b/>
        </w:rPr>
        <w:t>591 Gazi Skaphidara HM 18985</w:t>
      </w:r>
      <w:r>
        <w:rPr>
          <w:b/>
        </w:rPr>
        <w:t xml:space="preserve"> (</w:t>
      </w:r>
      <w:r w:rsidRPr="001C7B3E">
        <w:t>Alexiou 1972:</w:t>
      </w:r>
      <w:r>
        <w:t xml:space="preserve"> </w:t>
      </w:r>
      <w:r w:rsidRPr="004F2D7A">
        <w:t>86-98, pl.34-40</w:t>
      </w:r>
      <w:r>
        <w:t>)</w:t>
      </w:r>
    </w:p>
    <w:p w14:paraId="49339D91" w14:textId="77777777" w:rsidR="00D726B2" w:rsidRPr="00191003" w:rsidRDefault="00D726B2" w:rsidP="00E858EF">
      <w:pPr>
        <w:pStyle w:val="Paragrafoelenco"/>
        <w:numPr>
          <w:ilvl w:val="0"/>
          <w:numId w:val="93"/>
        </w:numPr>
        <w:suppressAutoHyphens/>
        <w:spacing w:after="160"/>
        <w:rPr>
          <w:b/>
        </w:rPr>
      </w:pPr>
      <w:r w:rsidRPr="00191003">
        <w:t>Geometrical superposed figures</w:t>
      </w:r>
    </w:p>
    <w:p w14:paraId="5C30A010" w14:textId="77777777" w:rsidR="00D726B2" w:rsidRPr="00191003" w:rsidRDefault="00D726B2" w:rsidP="00E858EF">
      <w:pPr>
        <w:pStyle w:val="Paragrafoelenco"/>
        <w:suppressAutoHyphens/>
        <w:ind w:left="708"/>
      </w:pPr>
      <w:r w:rsidRPr="00191003">
        <w:t xml:space="preserve">On both </w:t>
      </w:r>
      <w:r>
        <w:t xml:space="preserve">the </w:t>
      </w:r>
      <w:r w:rsidRPr="00191003">
        <w:t>short sides are two geometrical outlined figures</w:t>
      </w:r>
      <w:r>
        <w:t xml:space="preserve">. </w:t>
      </w:r>
      <w:r w:rsidRPr="00191003">
        <w:t>On one of the long side</w:t>
      </w:r>
      <w:r>
        <w:t>s</w:t>
      </w:r>
      <w:r w:rsidRPr="00191003">
        <w:t xml:space="preserve"> of this larnax </w:t>
      </w:r>
      <w:r>
        <w:t>is</w:t>
      </w:r>
      <w:r w:rsidRPr="00191003">
        <w:t xml:space="preserve"> a vessel (FM 40) that occupies the entire panel surface. Under </w:t>
      </w:r>
      <w:r>
        <w:t>the vessel</w:t>
      </w:r>
      <w:r w:rsidRPr="00191003">
        <w:t xml:space="preserve"> </w:t>
      </w:r>
      <w:r>
        <w:t>are</w:t>
      </w:r>
      <w:r w:rsidRPr="00191003">
        <w:t xml:space="preserve"> stylised marine </w:t>
      </w:r>
      <w:r>
        <w:t>motifs</w:t>
      </w:r>
      <w:r w:rsidRPr="00191003">
        <w:t xml:space="preserve"> (wavy lines, octopi and fishes?). </w:t>
      </w:r>
    </w:p>
    <w:p w14:paraId="50795E3A" w14:textId="77777777" w:rsidR="00D726B2" w:rsidRPr="00191003" w:rsidRDefault="00D726B2" w:rsidP="00E858EF">
      <w:pPr>
        <w:pStyle w:val="Paragrafoelenco"/>
        <w:numPr>
          <w:ilvl w:val="0"/>
          <w:numId w:val="92"/>
        </w:numPr>
        <w:suppressAutoHyphens/>
        <w:spacing w:after="160"/>
      </w:pPr>
      <w:r w:rsidRPr="00191003">
        <w:rPr>
          <w:b/>
        </w:rPr>
        <w:t xml:space="preserve">763 Amnissos Karteros Mapheze </w:t>
      </w:r>
      <w:r w:rsidRPr="00E7753F">
        <w:t>(undecorated larnax-incised decoration)</w:t>
      </w:r>
      <w:r w:rsidRPr="00191003">
        <w:rPr>
          <w:b/>
        </w:rPr>
        <w:t xml:space="preserve"> </w:t>
      </w:r>
      <w:r w:rsidRPr="00191003">
        <w:t>(lid short side)</w:t>
      </w:r>
      <w:r>
        <w:t xml:space="preserve"> (</w:t>
      </w:r>
      <w:r w:rsidRPr="00A46E91">
        <w:t xml:space="preserve">Marinatos </w:t>
      </w:r>
      <w:r>
        <w:t>1927-28:</w:t>
      </w:r>
      <w:r w:rsidRPr="00A46E91">
        <w:t xml:space="preserve"> 68-90</w:t>
      </w:r>
      <w:r>
        <w:t>,</w:t>
      </w:r>
      <w:r w:rsidRPr="00A46E91">
        <w:t xml:space="preserve"> pl. 2</w:t>
      </w:r>
      <w:r>
        <w:t>)</w:t>
      </w:r>
    </w:p>
    <w:p w14:paraId="5B20BDCC" w14:textId="77777777" w:rsidR="00D726B2" w:rsidRPr="00191003" w:rsidRDefault="00D726B2" w:rsidP="00E858EF">
      <w:pPr>
        <w:pStyle w:val="Paragrafoelenco"/>
        <w:numPr>
          <w:ilvl w:val="0"/>
          <w:numId w:val="93"/>
        </w:numPr>
        <w:suppressAutoHyphens/>
        <w:spacing w:after="160"/>
        <w:rPr>
          <w:b/>
        </w:rPr>
      </w:pPr>
      <w:r w:rsidRPr="00191003">
        <w:t>Unidentified pattern (sword hilt?)</w:t>
      </w:r>
    </w:p>
    <w:p w14:paraId="121E1613" w14:textId="77777777" w:rsidR="00D726B2" w:rsidRPr="00191003" w:rsidRDefault="00D726B2" w:rsidP="00E858EF">
      <w:pPr>
        <w:pStyle w:val="Paragrafoelenco"/>
        <w:suppressAutoHyphens/>
        <w:ind w:left="708"/>
      </w:pPr>
      <w:r w:rsidRPr="00191003">
        <w:t xml:space="preserve">On </w:t>
      </w:r>
      <w:r>
        <w:t>one</w:t>
      </w:r>
      <w:r w:rsidRPr="00191003">
        <w:t xml:space="preserve"> short side of the lid of this larnax</w:t>
      </w:r>
      <w:r>
        <w:t>,</w:t>
      </w:r>
      <w:r w:rsidRPr="00191003">
        <w:t xml:space="preserve"> there is an incised decoration (motif or pattern) that is difficult to identify and has been interpreted as the decoration on a sword hilt (Marinatos 1927-28: 68-90 pl. 2; Kanta 1980: 39-40; Langohr 200</w:t>
      </w:r>
      <w:r>
        <w:t>9</w:t>
      </w:r>
      <w:r w:rsidRPr="00191003">
        <w:t>: 60-61)</w:t>
      </w:r>
    </w:p>
    <w:p w14:paraId="1B579B08" w14:textId="2CAF1883" w:rsidR="00D726B2" w:rsidRPr="00191003" w:rsidRDefault="00D726B2" w:rsidP="00E858EF">
      <w:pPr>
        <w:pStyle w:val="Paragrafoelenco"/>
        <w:suppressAutoHyphens/>
        <w:ind w:left="0"/>
      </w:pPr>
      <w:r>
        <w:tab/>
      </w:r>
      <w:r w:rsidRPr="00191003">
        <w:t>A larnax from Kavrochori (603 Kavrochori HM 21900</w:t>
      </w:r>
      <w:r>
        <w:t>:</w:t>
      </w:r>
      <w:r w:rsidRPr="00191003">
        <w:t xml:space="preserve"> </w:t>
      </w:r>
      <w:r w:rsidRPr="00733192">
        <w:rPr>
          <w:i/>
        </w:rPr>
        <w:t>ADelt</w:t>
      </w:r>
      <w:r w:rsidRPr="00191003">
        <w:t xml:space="preserve"> 31 1976: 350-51, pls.273d-e, 274a-b; </w:t>
      </w:r>
      <w:r>
        <w:t xml:space="preserve">Rethemiotakis </w:t>
      </w:r>
      <w:r w:rsidRPr="00191003">
        <w:t>1979: 228-259, pls. 91-94)</w:t>
      </w:r>
      <w:r>
        <w:t>,</w:t>
      </w:r>
      <w:r w:rsidRPr="00191003">
        <w:t xml:space="preserve"> even if </w:t>
      </w:r>
      <w:r>
        <w:t xml:space="preserve">it </w:t>
      </w:r>
      <w:r w:rsidRPr="00191003">
        <w:t xml:space="preserve">does not </w:t>
      </w:r>
      <w:r>
        <w:t>have</w:t>
      </w:r>
      <w:r w:rsidRPr="00191003">
        <w:t xml:space="preserve"> any peculiar motif</w:t>
      </w:r>
      <w:r>
        <w:t>,</w:t>
      </w:r>
      <w:r w:rsidRPr="00191003">
        <w:t xml:space="preserve"> can be added to this list </w:t>
      </w:r>
      <w:r>
        <w:t>because of</w:t>
      </w:r>
      <w:r w:rsidRPr="00191003">
        <w:t xml:space="preserve"> the way in which the decoration is presented on its long sides. </w:t>
      </w:r>
      <w:r>
        <w:t>O</w:t>
      </w:r>
      <w:r w:rsidRPr="00191003">
        <w:t>n one</w:t>
      </w:r>
      <w:r>
        <w:t xml:space="preserve"> side</w:t>
      </w:r>
      <w:r w:rsidRPr="00191003">
        <w:t xml:space="preserve"> </w:t>
      </w:r>
      <w:r>
        <w:t>is</w:t>
      </w:r>
      <w:r w:rsidRPr="00191003">
        <w:t xml:space="preserve"> a chariot (FM 39) and two bulls in front of it, along with a palm</w:t>
      </w:r>
      <w:r>
        <w:t xml:space="preserve"> tree</w:t>
      </w:r>
      <w:r w:rsidRPr="00191003">
        <w:t xml:space="preserve">, a bird, a fish, an </w:t>
      </w:r>
      <w:r>
        <w:t>a</w:t>
      </w:r>
      <w:r w:rsidRPr="00191003">
        <w:t>rgonaut, a papyrus and a circle. The scene seems not to follow a specific order</w:t>
      </w:r>
      <w:r>
        <w:t>,</w:t>
      </w:r>
      <w:r w:rsidRPr="00191003">
        <w:t xml:space="preserve"> and </w:t>
      </w:r>
      <w:r>
        <w:t>therefore is reminiscent</w:t>
      </w:r>
      <w:r w:rsidRPr="00191003">
        <w:t xml:space="preserve"> </w:t>
      </w:r>
      <w:r>
        <w:t>of</w:t>
      </w:r>
      <w:r w:rsidRPr="00191003">
        <w:t xml:space="preserve"> a larnax from Kalochoraphitis Anevolema</w:t>
      </w:r>
      <w:r>
        <w:t xml:space="preserve"> (6 </w:t>
      </w:r>
      <w:r w:rsidRPr="00191003">
        <w:t>Kalochoraphitis Anevolema HM 20590</w:t>
      </w:r>
      <w:r>
        <w:t>)</w:t>
      </w:r>
      <w:r w:rsidRPr="00191003">
        <w:t>. In particular</w:t>
      </w:r>
      <w:r>
        <w:t>,</w:t>
      </w:r>
      <w:r w:rsidRPr="00191003">
        <w:t xml:space="preserve"> the representation of the chariot seems to be without any perspective (Rethemiotakis 1979: 252-258; Karetsou</w:t>
      </w:r>
      <w:r>
        <w:t xml:space="preserve"> and</w:t>
      </w:r>
      <w:r w:rsidRPr="00191003">
        <w:t xml:space="preserve"> Girella 2016: 90). The same </w:t>
      </w:r>
      <w:r>
        <w:t>scene</w:t>
      </w:r>
      <w:r w:rsidRPr="00191003">
        <w:t xml:space="preserve"> </w:t>
      </w:r>
      <w:r>
        <w:t>occurs</w:t>
      </w:r>
      <w:r w:rsidRPr="00191003">
        <w:t xml:space="preserve"> on the other long</w:t>
      </w:r>
      <w:r>
        <w:t>-</w:t>
      </w:r>
      <w:r w:rsidRPr="00191003">
        <w:t>side panel</w:t>
      </w:r>
      <w:r>
        <w:t>,</w:t>
      </w:r>
      <w:r w:rsidRPr="00191003">
        <w:t xml:space="preserve"> although the decoration</w:t>
      </w:r>
      <w:r>
        <w:t xml:space="preserve"> has</w:t>
      </w:r>
      <w:r w:rsidRPr="00191003">
        <w:t xml:space="preserve"> faded on the lower left side (Rethemiotakis 1979: </w:t>
      </w:r>
      <w:r>
        <w:t>F</w:t>
      </w:r>
      <w:r w:rsidRPr="00191003">
        <w:t>ig. 4).</w:t>
      </w:r>
    </w:p>
    <w:p w14:paraId="0AE32F64" w14:textId="498CADAF" w:rsidR="00D726B2" w:rsidRPr="00191003" w:rsidRDefault="00D726B2" w:rsidP="00E858EF">
      <w:pPr>
        <w:pStyle w:val="Titolo4"/>
        <w:keepNext w:val="0"/>
        <w:keepLines w:val="0"/>
        <w:suppressAutoHyphens/>
      </w:pPr>
      <w:bookmarkStart w:id="1140" w:name="_Toc517807616"/>
      <w:r>
        <w:t>Motif</w:t>
      </w:r>
      <w:r w:rsidRPr="00191003">
        <w:t>s occurrence</w:t>
      </w:r>
      <w:bookmarkEnd w:id="1140"/>
    </w:p>
    <w:p w14:paraId="489DCC9F" w14:textId="4CC39F12" w:rsidR="00D726B2" w:rsidRPr="00191003" w:rsidRDefault="00D726B2" w:rsidP="00E858EF">
      <w:pPr>
        <w:suppressAutoHyphens/>
      </w:pPr>
      <w:r w:rsidRPr="00191003">
        <w:t xml:space="preserve">The total number of identified </w:t>
      </w:r>
      <w:r>
        <w:t>motif</w:t>
      </w:r>
      <w:r w:rsidRPr="00191003">
        <w:t>s (</w:t>
      </w:r>
      <w:r w:rsidR="005D54EA">
        <w:t>Furumark</w:t>
      </w:r>
      <w:r w:rsidRPr="00191003">
        <w:t xml:space="preserve"> </w:t>
      </w:r>
      <w:r>
        <w:t>motif</w:t>
      </w:r>
      <w:r w:rsidRPr="00191003">
        <w:t xml:space="preserve">s) </w:t>
      </w:r>
      <w:r>
        <w:t>is</w:t>
      </w:r>
      <w:r w:rsidRPr="00191003">
        <w:t xml:space="preserve"> </w:t>
      </w:r>
      <w:r w:rsidRPr="00E7753F">
        <w:t>42</w:t>
      </w:r>
      <w:r w:rsidRPr="00191003">
        <w:rPr>
          <w:b/>
        </w:rPr>
        <w:t xml:space="preserve"> </w:t>
      </w:r>
      <w:r w:rsidRPr="00191003">
        <w:t xml:space="preserve">(33 </w:t>
      </w:r>
      <w:r w:rsidR="005D54EA">
        <w:t>Furumark</w:t>
      </w:r>
      <w:r w:rsidRPr="00191003">
        <w:t xml:space="preserve"> </w:t>
      </w:r>
      <w:r>
        <w:t>motif</w:t>
      </w:r>
      <w:r w:rsidRPr="00191003">
        <w:t>s have not been registered). The</w:t>
      </w:r>
      <w:r>
        <w:t xml:space="preserve"> motifs</w:t>
      </w:r>
      <w:r w:rsidRPr="00191003">
        <w:t xml:space="preserve"> are distributed within the sample of the 64 securely decorated larnakes for which there </w:t>
      </w:r>
      <w:r>
        <w:t>is</w:t>
      </w:r>
      <w:r w:rsidRPr="00191003">
        <w:t xml:space="preserve"> information </w:t>
      </w:r>
      <w:r>
        <w:t>regarding</w:t>
      </w:r>
      <w:r w:rsidRPr="00191003">
        <w:t xml:space="preserve"> decoration. Wavy lines (FM 53, 19 larnakes) </w:t>
      </w:r>
      <w:r>
        <w:t>are</w:t>
      </w:r>
      <w:r w:rsidRPr="00191003">
        <w:t xml:space="preserve"> the most common motif in term</w:t>
      </w:r>
      <w:r>
        <w:t>s</w:t>
      </w:r>
      <w:r w:rsidRPr="00191003">
        <w:t xml:space="preserve"> of number</w:t>
      </w:r>
      <w:r>
        <w:t>s</w:t>
      </w:r>
      <w:r w:rsidRPr="00191003">
        <w:t xml:space="preserve"> of larnakes</w:t>
      </w:r>
      <w:r>
        <w:t>, followed by wavy border (FM 65:</w:t>
      </w:r>
      <w:r w:rsidRPr="00191003">
        <w:t xml:space="preserve"> 14 larnakes)</w:t>
      </w:r>
      <w:r>
        <w:t>, running spirals (FM 46:</w:t>
      </w:r>
      <w:r w:rsidRPr="00191003">
        <w:t xml:space="preserve"> 12 larnakes) and palm</w:t>
      </w:r>
      <w:r>
        <w:t xml:space="preserve"> trees (FM 15:</w:t>
      </w:r>
      <w:r w:rsidRPr="00191003">
        <w:t xml:space="preserve"> 10 larnakes). The vast majority of </w:t>
      </w:r>
      <w:r>
        <w:t>motif</w:t>
      </w:r>
      <w:r w:rsidRPr="00191003">
        <w:t xml:space="preserve">s occur in </w:t>
      </w:r>
      <w:r>
        <w:t>fewer</w:t>
      </w:r>
      <w:r w:rsidRPr="00191003">
        <w:t xml:space="preserve"> than five larnakes (33 </w:t>
      </w:r>
      <w:r>
        <w:t>motif</w:t>
      </w:r>
      <w:r w:rsidRPr="00191003">
        <w:t>s)</w:t>
      </w:r>
      <w:r>
        <w:t>.</w:t>
      </w:r>
      <w:r w:rsidRPr="00191003">
        <w:t xml:space="preserve"> </w:t>
      </w:r>
    </w:p>
    <w:p w14:paraId="68BFB990" w14:textId="77777777" w:rsidR="00D726B2" w:rsidRDefault="00D726B2" w:rsidP="00E858EF">
      <w:pPr>
        <w:suppressAutoHyphens/>
        <w:sectPr w:rsidR="00D726B2" w:rsidSect="00F71C84">
          <w:pgSz w:w="11900" w:h="16840"/>
          <w:pgMar w:top="1418" w:right="1134" w:bottom="1134" w:left="2268" w:header="709" w:footer="709" w:gutter="0"/>
          <w:cols w:space="708"/>
          <w:docGrid w:linePitch="360"/>
        </w:sectPr>
      </w:pPr>
    </w:p>
    <w:p w14:paraId="1E3EC64C" w14:textId="0EB17C9B" w:rsidR="00D726B2" w:rsidRDefault="00D726B2" w:rsidP="00E858EF">
      <w:pPr>
        <w:pStyle w:val="Didascalia"/>
        <w:suppressAutoHyphens/>
      </w:pPr>
      <w:bookmarkStart w:id="1141" w:name="_Toc520212471"/>
      <w:r>
        <w:rPr>
          <w:noProof/>
          <w:lang w:val="it-IT"/>
        </w:rPr>
        <w:drawing>
          <wp:inline distT="0" distB="0" distL="0" distR="0" wp14:anchorId="0B680CEE" wp14:editId="195D4E2F">
            <wp:extent cx="5830570" cy="9020175"/>
            <wp:effectExtent l="0" t="0" r="17780" b="9525"/>
            <wp:docPr id="197" name="Gra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bookmarkEnd w:id="1141"/>
    </w:p>
    <w:p w14:paraId="4A060B64" w14:textId="212A3565" w:rsidR="0080364A" w:rsidRPr="0080364A" w:rsidRDefault="0080364A" w:rsidP="0080364A">
      <w:pPr>
        <w:pStyle w:val="Didascalia"/>
      </w:pPr>
      <w:bookmarkStart w:id="1142" w:name="_Toc520212472"/>
      <w:r w:rsidRPr="00401F8B">
        <w:t>Fig</w:t>
      </w:r>
      <w:r>
        <w:t>ure</w:t>
      </w:r>
      <w:r w:rsidRPr="00401F8B">
        <w:t xml:space="preserve"> 5</w:t>
      </w:r>
      <w:r>
        <w:t>-77</w:t>
      </w:r>
      <w:r w:rsidR="00C42299">
        <w:t>.</w:t>
      </w:r>
      <w:r>
        <w:t xml:space="preserve"> Furumark motifs occurrence in larnakes from the Central area</w:t>
      </w:r>
      <w:bookmarkEnd w:id="1142"/>
    </w:p>
    <w:p w14:paraId="694A042F" w14:textId="77777777" w:rsidR="00D726B2" w:rsidRDefault="00D726B2" w:rsidP="00E858EF">
      <w:pPr>
        <w:suppressAutoHyphens/>
        <w:rPr>
          <w:sz w:val="20"/>
          <w:szCs w:val="20"/>
        </w:rPr>
        <w:sectPr w:rsidR="00D726B2" w:rsidSect="00F71C84">
          <w:pgSz w:w="11900" w:h="16840"/>
          <w:pgMar w:top="907" w:right="1134" w:bottom="851" w:left="2268" w:header="709" w:footer="709" w:gutter="0"/>
          <w:cols w:space="708"/>
          <w:docGrid w:linePitch="360"/>
        </w:sectPr>
      </w:pPr>
    </w:p>
    <w:p w14:paraId="578F7037" w14:textId="77777777" w:rsidR="00D726B2" w:rsidRPr="00191003" w:rsidRDefault="00D726B2" w:rsidP="00E858EF">
      <w:pPr>
        <w:suppressAutoHyphens/>
      </w:pPr>
      <w:r>
        <w:tab/>
      </w:r>
      <w:r w:rsidRPr="00191003">
        <w:t>It</w:t>
      </w:r>
      <w:r>
        <w:t xml:space="preserve"> is</w:t>
      </w:r>
      <w:r w:rsidRPr="00191003">
        <w:t xml:space="preserve"> worth not</w:t>
      </w:r>
      <w:r>
        <w:t>ing</w:t>
      </w:r>
      <w:r w:rsidRPr="00191003">
        <w:t xml:space="preserve"> that three of the most common </w:t>
      </w:r>
      <w:r>
        <w:t>motif</w:t>
      </w:r>
      <w:r w:rsidRPr="00191003">
        <w:t xml:space="preserve">s are those </w:t>
      </w:r>
      <w:r>
        <w:t>that</w:t>
      </w:r>
      <w:r w:rsidRPr="00191003">
        <w:t xml:space="preserve"> can be considered filling </w:t>
      </w:r>
      <w:r>
        <w:t>motif</w:t>
      </w:r>
      <w:r w:rsidRPr="00191003">
        <w:t>s</w:t>
      </w:r>
      <w:r>
        <w:t xml:space="preserve"> and</w:t>
      </w:r>
      <w:r w:rsidRPr="00191003">
        <w:t xml:space="preserve"> used for frame decoration (i.e. wavy lines</w:t>
      </w:r>
      <w:r>
        <w:t>,</w:t>
      </w:r>
      <w:r w:rsidRPr="00191003">
        <w:t xml:space="preserve"> wavy border</w:t>
      </w:r>
      <w:r>
        <w:t>s</w:t>
      </w:r>
      <w:r w:rsidRPr="00191003">
        <w:t xml:space="preserve"> and running spirals)</w:t>
      </w:r>
      <w:r>
        <w:t>.</w:t>
      </w:r>
      <w:r w:rsidRPr="00191003">
        <w:t xml:space="preserve"> </w:t>
      </w:r>
      <w:r>
        <w:t>Regarding</w:t>
      </w:r>
      <w:r w:rsidRPr="00191003">
        <w:t xml:space="preserve"> the general occurrence of </w:t>
      </w:r>
      <w:r>
        <w:t>motif</w:t>
      </w:r>
      <w:r w:rsidRPr="00191003">
        <w:t>s (</w:t>
      </w:r>
      <w:r>
        <w:t xml:space="preserve">i.e. </w:t>
      </w:r>
      <w:r w:rsidRPr="00191003">
        <w:t xml:space="preserve">how many times they occur </w:t>
      </w:r>
      <w:r>
        <w:t>on</w:t>
      </w:r>
      <w:r w:rsidRPr="00191003">
        <w:t xml:space="preserve"> the larnakes) the fo</w:t>
      </w:r>
      <w:r>
        <w:t>llowing larnakes can be distinguished</w:t>
      </w:r>
      <w:r w:rsidRPr="00191003">
        <w:t>:</w:t>
      </w:r>
    </w:p>
    <w:p w14:paraId="34D0D276" w14:textId="77777777" w:rsidR="00D726B2" w:rsidRPr="00191003" w:rsidRDefault="00D726B2" w:rsidP="00E858EF">
      <w:pPr>
        <w:pStyle w:val="Paragrafoelenco"/>
        <w:numPr>
          <w:ilvl w:val="0"/>
          <w:numId w:val="94"/>
        </w:numPr>
        <w:suppressAutoHyphens/>
        <w:spacing w:after="160"/>
      </w:pPr>
      <w:r w:rsidRPr="00191003">
        <w:t xml:space="preserve">Wavy line (FM 53): eight larnakes are decorated only with groups of wavy lines distributed between </w:t>
      </w:r>
      <w:r>
        <w:t xml:space="preserve">the </w:t>
      </w:r>
      <w:r w:rsidRPr="00191003">
        <w:t xml:space="preserve">panels and </w:t>
      </w:r>
      <w:r>
        <w:t xml:space="preserve">the </w:t>
      </w:r>
      <w:r w:rsidRPr="00191003">
        <w:t>frames in different numbers (from Agios Syllas, Archanes Phourni, Methochi Kalou and Phoinik</w:t>
      </w:r>
      <w:r>
        <w:t>i</w:t>
      </w:r>
      <w:r w:rsidRPr="00191003">
        <w:t>a)</w:t>
      </w:r>
      <w:r>
        <w:t>.</w:t>
      </w:r>
    </w:p>
    <w:p w14:paraId="4A26C299" w14:textId="0B0E5AED" w:rsidR="00D726B2" w:rsidRPr="00191003" w:rsidRDefault="00D726B2" w:rsidP="00E858EF">
      <w:pPr>
        <w:pStyle w:val="Paragrafoelenco"/>
        <w:numPr>
          <w:ilvl w:val="0"/>
          <w:numId w:val="94"/>
        </w:numPr>
        <w:suppressAutoHyphens/>
        <w:spacing w:after="160"/>
        <w:rPr>
          <w:rFonts w:eastAsia="Times New Roman"/>
          <w:color w:val="000000"/>
        </w:rPr>
      </w:pPr>
      <w:r w:rsidRPr="00191003">
        <w:t xml:space="preserve">Papyri (FM 11): </w:t>
      </w:r>
      <w:r>
        <w:t>a</w:t>
      </w:r>
      <w:r w:rsidRPr="00191003">
        <w:t xml:space="preserve"> larnax from Gazi (592</w:t>
      </w:r>
      <w:r>
        <w:t xml:space="preserve"> Gazi Skaphidara</w:t>
      </w:r>
      <w:r w:rsidRPr="00191003">
        <w:t xml:space="preserve"> HM 18986) is entirely decorated with papyri (</w:t>
      </w:r>
      <w:r w:rsidR="00FB7436">
        <w:t>FM 18</w:t>
      </w:r>
      <w:r w:rsidRPr="00191003">
        <w:t>)</w:t>
      </w:r>
      <w:r>
        <w:t>, with</w:t>
      </w:r>
      <w:r w:rsidRPr="00191003">
        <w:t xml:space="preserve"> at least 46 flowers (Alexiou 1972: 86-98, pl.34-40). The only exception is a palm</w:t>
      </w:r>
      <w:r>
        <w:t xml:space="preserve"> tree</w:t>
      </w:r>
      <w:r w:rsidRPr="00191003">
        <w:t xml:space="preserve"> on both </w:t>
      </w:r>
      <w:r>
        <w:t xml:space="preserve">the </w:t>
      </w:r>
      <w:r w:rsidRPr="00191003">
        <w:t>short sides of the chest (</w:t>
      </w:r>
      <w:r>
        <w:t xml:space="preserve">the </w:t>
      </w:r>
      <w:r w:rsidRPr="00191003">
        <w:t>short sides of</w:t>
      </w:r>
      <w:r>
        <w:t xml:space="preserve"> the</w:t>
      </w:r>
      <w:r w:rsidRPr="00191003">
        <w:t xml:space="preserve"> lid are decorated with flowers </w:t>
      </w:r>
      <w:r>
        <w:t>also</w:t>
      </w:r>
      <w:r w:rsidRPr="00191003">
        <w:t>); another larnax from Gazi (597</w:t>
      </w:r>
      <w:r>
        <w:t xml:space="preserve"> Gazi</w:t>
      </w:r>
      <w:r w:rsidRPr="00191003">
        <w:t xml:space="preserve"> AKE 427) not considered</w:t>
      </w:r>
      <w:r>
        <w:t xml:space="preserve"> within the secure sample and on display</w:t>
      </w:r>
      <w:r w:rsidRPr="00191003">
        <w:t xml:space="preserve"> at </w:t>
      </w:r>
      <w:r>
        <w:t xml:space="preserve">the </w:t>
      </w:r>
      <w:r w:rsidRPr="00191003">
        <w:t xml:space="preserve">Heraklion museum </w:t>
      </w:r>
      <w:r>
        <w:t>has</w:t>
      </w:r>
      <w:r w:rsidRPr="00191003">
        <w:t xml:space="preserve"> the same decoration of papyri (Mycenaean flowers?) </w:t>
      </w:r>
      <w:r>
        <w:t>r</w:t>
      </w:r>
      <w:r w:rsidRPr="00191003">
        <w:t>epeated 26 times. In one larnax from Archanes</w:t>
      </w:r>
      <w:r>
        <w:t xml:space="preserve"> Mertiotis,</w:t>
      </w:r>
      <w:r w:rsidRPr="00191003">
        <w:t xml:space="preserve"> repeated stylised papyri </w:t>
      </w:r>
      <w:r>
        <w:t xml:space="preserve">are </w:t>
      </w:r>
      <w:r w:rsidRPr="00191003">
        <w:t>the main decoration (</w:t>
      </w:r>
      <w:r>
        <w:t xml:space="preserve">707 Archanes Mertiotis: </w:t>
      </w:r>
      <w:r w:rsidRPr="00191003">
        <w:t xml:space="preserve">Sakellarakis </w:t>
      </w:r>
      <w:r>
        <w:t xml:space="preserve">and </w:t>
      </w:r>
      <w:r w:rsidRPr="00191003">
        <w:t xml:space="preserve">Sakellaraki 1997: 480-481 </w:t>
      </w:r>
      <w:r>
        <w:t>F</w:t>
      </w:r>
      <w:r w:rsidRPr="00191003">
        <w:t>ig. 467)</w:t>
      </w:r>
      <w:r>
        <w:t>,</w:t>
      </w:r>
      <w:r w:rsidRPr="00191003">
        <w:t xml:space="preserve"> although the </w:t>
      </w:r>
      <w:r>
        <w:t>motif</w:t>
      </w:r>
      <w:r w:rsidRPr="00191003">
        <w:t>s could be identified as bivalve shell</w:t>
      </w:r>
      <w:r>
        <w:t>s</w:t>
      </w:r>
      <w:r w:rsidRPr="00191003">
        <w:t xml:space="preserve"> (FM 25) or adder mark</w:t>
      </w:r>
      <w:r>
        <w:t>s</w:t>
      </w:r>
      <w:r w:rsidRPr="00191003">
        <w:t xml:space="preserve"> (FM 69). In another larnax</w:t>
      </w:r>
      <w:r>
        <w:t xml:space="preserve"> from Giophyrakia,</w:t>
      </w:r>
      <w:r w:rsidRPr="00191003">
        <w:t xml:space="preserve"> </w:t>
      </w:r>
      <w:r>
        <w:t>(</w:t>
      </w:r>
      <w:r w:rsidRPr="00191003">
        <w:t xml:space="preserve">600 Giophyrakia </w:t>
      </w:r>
      <w:r w:rsidRPr="00191003">
        <w:rPr>
          <w:rFonts w:eastAsia="Times New Roman"/>
          <w:color w:val="000000"/>
        </w:rPr>
        <w:t>HM 12027</w:t>
      </w:r>
      <w:r>
        <w:rPr>
          <w:rFonts w:eastAsia="Times New Roman"/>
          <w:color w:val="000000"/>
        </w:rPr>
        <w:t>),</w:t>
      </w:r>
      <w:r w:rsidRPr="00191003">
        <w:rPr>
          <w:rFonts w:eastAsia="Times New Roman"/>
          <w:color w:val="000000"/>
        </w:rPr>
        <w:t xml:space="preserve"> </w:t>
      </w:r>
      <w:r>
        <w:rPr>
          <w:rFonts w:eastAsia="Times New Roman"/>
          <w:color w:val="000000"/>
        </w:rPr>
        <w:t>many</w:t>
      </w:r>
      <w:r w:rsidRPr="00191003">
        <w:rPr>
          <w:rFonts w:eastAsia="Times New Roman"/>
          <w:color w:val="000000"/>
        </w:rPr>
        <w:t xml:space="preserve"> of the same flower</w:t>
      </w:r>
      <w:r>
        <w:rPr>
          <w:rFonts w:eastAsia="Times New Roman"/>
          <w:color w:val="000000"/>
        </w:rPr>
        <w:t>s</w:t>
      </w:r>
      <w:r w:rsidRPr="00191003">
        <w:rPr>
          <w:rFonts w:eastAsia="Times New Roman"/>
          <w:color w:val="000000"/>
        </w:rPr>
        <w:t xml:space="preserve"> (papyri or Mycenaean flower</w:t>
      </w:r>
      <w:r>
        <w:rPr>
          <w:rFonts w:eastAsia="Times New Roman"/>
          <w:color w:val="000000"/>
        </w:rPr>
        <w:t>s</w:t>
      </w:r>
      <w:r w:rsidRPr="00191003">
        <w:rPr>
          <w:rFonts w:eastAsia="Times New Roman"/>
          <w:color w:val="000000"/>
        </w:rPr>
        <w:t>) are repeated both as panel and frame decoration</w:t>
      </w:r>
      <w:r>
        <w:rPr>
          <w:rFonts w:eastAsia="Times New Roman"/>
          <w:color w:val="000000"/>
        </w:rPr>
        <w:t>s</w:t>
      </w:r>
      <w:r w:rsidRPr="00191003">
        <w:rPr>
          <w:rFonts w:eastAsia="Times New Roman"/>
          <w:color w:val="000000"/>
        </w:rPr>
        <w:t xml:space="preserve"> for the lid (</w:t>
      </w:r>
      <w:r w:rsidRPr="00733192">
        <w:rPr>
          <w:rFonts w:eastAsia="Times New Roman"/>
          <w:i/>
          <w:color w:val="000000"/>
        </w:rPr>
        <w:t>KChr</w:t>
      </w:r>
      <w:r w:rsidRPr="00191003">
        <w:rPr>
          <w:rFonts w:eastAsia="Times New Roman"/>
          <w:color w:val="000000"/>
        </w:rPr>
        <w:t xml:space="preserve"> 13 1959: 367-68; </w:t>
      </w:r>
      <w:r w:rsidRPr="00733192">
        <w:rPr>
          <w:rFonts w:eastAsia="Times New Roman"/>
          <w:i/>
          <w:color w:val="000000"/>
        </w:rPr>
        <w:t>BCH</w:t>
      </w:r>
      <w:r w:rsidRPr="00191003">
        <w:rPr>
          <w:rFonts w:eastAsia="Times New Roman"/>
          <w:color w:val="000000"/>
        </w:rPr>
        <w:t xml:space="preserve"> 84 1960: 839-40, </w:t>
      </w:r>
      <w:r>
        <w:rPr>
          <w:rFonts w:eastAsia="Times New Roman"/>
          <w:color w:val="000000"/>
        </w:rPr>
        <w:t>F</w:t>
      </w:r>
      <w:r w:rsidRPr="00191003">
        <w:rPr>
          <w:rFonts w:eastAsia="Times New Roman"/>
          <w:color w:val="000000"/>
        </w:rPr>
        <w:t>ig.1; Kanta 1980:21)</w:t>
      </w:r>
      <w:r>
        <w:rPr>
          <w:rFonts w:eastAsia="Times New Roman"/>
          <w:color w:val="000000"/>
        </w:rPr>
        <w:t>.</w:t>
      </w:r>
    </w:p>
    <w:p w14:paraId="4C04373B" w14:textId="77777777" w:rsidR="00D726B2" w:rsidRPr="00191003" w:rsidRDefault="00D726B2" w:rsidP="00E858EF">
      <w:pPr>
        <w:pStyle w:val="Paragrafoelenco"/>
        <w:numPr>
          <w:ilvl w:val="0"/>
          <w:numId w:val="94"/>
        </w:numPr>
        <w:suppressAutoHyphens/>
        <w:spacing w:after="160"/>
      </w:pPr>
      <w:r w:rsidRPr="00191003">
        <w:t xml:space="preserve">Palm (FM 15): palm trees repeated 24 times </w:t>
      </w:r>
      <w:r>
        <w:t>are</w:t>
      </w:r>
      <w:r w:rsidRPr="00191003">
        <w:t xml:space="preserve"> the main motif of </w:t>
      </w:r>
      <w:r>
        <w:t>l</w:t>
      </w:r>
      <w:r w:rsidRPr="00191003">
        <w:t xml:space="preserve">arnax 593 Gazi HM 18987. On the short sides of </w:t>
      </w:r>
      <w:r>
        <w:t xml:space="preserve">the </w:t>
      </w:r>
      <w:r w:rsidRPr="00191003">
        <w:t xml:space="preserve">lid are papyri. It is possible to note a parallel between this larnax and </w:t>
      </w:r>
      <w:r>
        <w:t>l</w:t>
      </w:r>
      <w:r w:rsidRPr="00191003">
        <w:t>arnax 592 Gazi</w:t>
      </w:r>
      <w:r>
        <w:t xml:space="preserve"> Skaphidara</w:t>
      </w:r>
      <w:r w:rsidRPr="00191003">
        <w:t xml:space="preserve"> HM 5986 from the same tomb</w:t>
      </w:r>
      <w:r>
        <w:t>.</w:t>
      </w:r>
      <w:r w:rsidRPr="00191003">
        <w:t xml:space="preserve"> </w:t>
      </w:r>
      <w:r>
        <w:t>T</w:t>
      </w:r>
      <w:r w:rsidRPr="00191003">
        <w:t xml:space="preserve">he difference between the decoration of the two larnakes </w:t>
      </w:r>
      <w:r>
        <w:t>is</w:t>
      </w:r>
      <w:r w:rsidRPr="00191003">
        <w:t xml:space="preserve"> the replacement of papyri with wavy lines and vice versa, but the way in which </w:t>
      </w:r>
      <w:r>
        <w:t xml:space="preserve">the </w:t>
      </w:r>
      <w:r w:rsidRPr="00191003">
        <w:t xml:space="preserve">vegetal </w:t>
      </w:r>
      <w:r>
        <w:t>motif</w:t>
      </w:r>
      <w:r w:rsidRPr="00191003">
        <w:t xml:space="preserve">s are arranged is exactly the same. Palm trees are repeated many times also </w:t>
      </w:r>
      <w:r>
        <w:t>o</w:t>
      </w:r>
      <w:r w:rsidRPr="00191003">
        <w:t>n another larnax</w:t>
      </w:r>
      <w:r>
        <w:t xml:space="preserve"> from </w:t>
      </w:r>
      <w:r w:rsidRPr="00191003">
        <w:t xml:space="preserve">Kyparissi Vathia </w:t>
      </w:r>
      <w:r>
        <w:t>(</w:t>
      </w:r>
      <w:r w:rsidRPr="00191003">
        <w:t>648</w:t>
      </w:r>
      <w:r>
        <w:t xml:space="preserve"> Kyparissi Vathis</w:t>
      </w:r>
      <w:r w:rsidRPr="00191003">
        <w:t xml:space="preserve"> AKE 429</w:t>
      </w:r>
      <w:r>
        <w:t xml:space="preserve">: </w:t>
      </w:r>
      <w:r w:rsidRPr="00191003">
        <w:t xml:space="preserve">Rethemiotakis 2013: </w:t>
      </w:r>
      <w:r>
        <w:t>F</w:t>
      </w:r>
      <w:r w:rsidRPr="00191003">
        <w:t>ig</w:t>
      </w:r>
      <w:r>
        <w:t>s</w:t>
      </w:r>
      <w:r w:rsidRPr="00191003">
        <w:t>. 5-8</w:t>
      </w:r>
      <w:r>
        <w:t>),</w:t>
      </w:r>
      <w:r w:rsidRPr="00191003">
        <w:t xml:space="preserve"> </w:t>
      </w:r>
      <w:r>
        <w:t>on which</w:t>
      </w:r>
      <w:r w:rsidRPr="00191003">
        <w:t xml:space="preserve"> </w:t>
      </w:r>
      <w:r>
        <w:t>palm motives</w:t>
      </w:r>
      <w:r w:rsidRPr="00191003">
        <w:t xml:space="preserve"> are represented in a peculiar way (one opposite another linked </w:t>
      </w:r>
      <w:r>
        <w:t>at</w:t>
      </w:r>
      <w:r w:rsidRPr="00191003">
        <w:t xml:space="preserve"> the base of the trunk</w:t>
      </w:r>
      <w:r>
        <w:t>s</w:t>
      </w:r>
      <w:r w:rsidRPr="00191003">
        <w:t>).</w:t>
      </w:r>
    </w:p>
    <w:p w14:paraId="58C7AF7E" w14:textId="77777777" w:rsidR="00D726B2" w:rsidRPr="00191003" w:rsidRDefault="00D726B2" w:rsidP="00E858EF">
      <w:pPr>
        <w:pStyle w:val="Paragrafoelenco"/>
        <w:numPr>
          <w:ilvl w:val="0"/>
          <w:numId w:val="94"/>
        </w:numPr>
        <w:suppressAutoHyphens/>
        <w:spacing w:after="160"/>
        <w:rPr>
          <w:rFonts w:eastAsia="Times New Roman"/>
          <w:color w:val="000000"/>
        </w:rPr>
      </w:pPr>
      <w:r w:rsidRPr="00191003">
        <w:t xml:space="preserve">Bivalve (FM 19): in </w:t>
      </w:r>
      <w:r>
        <w:t>L</w:t>
      </w:r>
      <w:r w:rsidRPr="00191003">
        <w:t>arnax</w:t>
      </w:r>
      <w:r>
        <w:t xml:space="preserve"> from </w:t>
      </w:r>
      <w:r w:rsidRPr="00191003">
        <w:t xml:space="preserve">Giophyrakia </w:t>
      </w:r>
      <w:r>
        <w:t>(</w:t>
      </w:r>
      <w:r w:rsidRPr="00191003">
        <w:t>600</w:t>
      </w:r>
      <w:r>
        <w:t xml:space="preserve"> </w:t>
      </w:r>
      <w:r w:rsidRPr="00191003">
        <w:t xml:space="preserve">Giophyrakia </w:t>
      </w:r>
      <w:r w:rsidRPr="00191003">
        <w:rPr>
          <w:rFonts w:eastAsia="Times New Roman"/>
          <w:color w:val="000000"/>
        </w:rPr>
        <w:t>HM 12027</w:t>
      </w:r>
      <w:r>
        <w:rPr>
          <w:rFonts w:eastAsia="Times New Roman"/>
          <w:color w:val="000000"/>
        </w:rPr>
        <w:t>),</w:t>
      </w:r>
      <w:r w:rsidRPr="00191003">
        <w:t xml:space="preserve"> this motif is repeated more than 50 times</w:t>
      </w:r>
      <w:r>
        <w:t>,</w:t>
      </w:r>
      <w:r w:rsidRPr="00191003">
        <w:t xml:space="preserve"> both as </w:t>
      </w:r>
      <w:r>
        <w:t xml:space="preserve">a </w:t>
      </w:r>
      <w:r w:rsidRPr="00191003">
        <w:t xml:space="preserve">panel and </w:t>
      </w:r>
      <w:r>
        <w:t xml:space="preserve">a </w:t>
      </w:r>
      <w:r w:rsidRPr="00191003">
        <w:t xml:space="preserve">frame decoration </w:t>
      </w:r>
      <w:r w:rsidRPr="00191003">
        <w:rPr>
          <w:rFonts w:eastAsia="Times New Roman"/>
          <w:color w:val="000000"/>
        </w:rPr>
        <w:t>(</w:t>
      </w:r>
      <w:r w:rsidRPr="00733192">
        <w:rPr>
          <w:rFonts w:eastAsia="Times New Roman"/>
          <w:i/>
          <w:color w:val="000000"/>
        </w:rPr>
        <w:t>KChr</w:t>
      </w:r>
      <w:r w:rsidRPr="00191003">
        <w:rPr>
          <w:rFonts w:eastAsia="Times New Roman"/>
          <w:color w:val="000000"/>
        </w:rPr>
        <w:t xml:space="preserve"> 13 1959: 367-68; </w:t>
      </w:r>
      <w:r w:rsidRPr="00D979A6">
        <w:rPr>
          <w:rFonts w:eastAsia="Times New Roman"/>
          <w:color w:val="000000"/>
        </w:rPr>
        <w:t>BCH</w:t>
      </w:r>
      <w:r w:rsidRPr="00191003">
        <w:rPr>
          <w:rFonts w:eastAsia="Times New Roman"/>
          <w:color w:val="000000"/>
        </w:rPr>
        <w:t xml:space="preserve"> 84 1960: 839-40, </w:t>
      </w:r>
      <w:r>
        <w:rPr>
          <w:rFonts w:eastAsia="Times New Roman"/>
          <w:color w:val="000000"/>
        </w:rPr>
        <w:t>F</w:t>
      </w:r>
      <w:r w:rsidRPr="00191003">
        <w:rPr>
          <w:rFonts w:eastAsia="Times New Roman"/>
          <w:color w:val="000000"/>
        </w:rPr>
        <w:t>ig.1; Kanta 1980:21).</w:t>
      </w:r>
    </w:p>
    <w:p w14:paraId="7FA46589" w14:textId="77777777" w:rsidR="00D726B2" w:rsidRPr="00191003" w:rsidRDefault="00D726B2" w:rsidP="00E858EF">
      <w:pPr>
        <w:pStyle w:val="Paragrafoelenco"/>
        <w:numPr>
          <w:ilvl w:val="0"/>
          <w:numId w:val="94"/>
        </w:numPr>
        <w:suppressAutoHyphens/>
        <w:spacing w:after="160"/>
        <w:rPr>
          <w:rFonts w:eastAsia="Times New Roman"/>
          <w:color w:val="000000"/>
        </w:rPr>
      </w:pPr>
      <w:r w:rsidRPr="00191003">
        <w:t xml:space="preserve"> Horns of consecration (FM 36) and double axes (FM 35): these two </w:t>
      </w:r>
      <w:r>
        <w:t>motif</w:t>
      </w:r>
      <w:r w:rsidRPr="00191003">
        <w:t xml:space="preserve">s are associated and repeated more than 30 times </w:t>
      </w:r>
      <w:r>
        <w:t>o</w:t>
      </w:r>
      <w:r w:rsidRPr="00191003">
        <w:t xml:space="preserve">n </w:t>
      </w:r>
      <w:r>
        <w:t>l</w:t>
      </w:r>
      <w:r w:rsidRPr="00191003">
        <w:t xml:space="preserve">arnax 600 Giophyrakia </w:t>
      </w:r>
      <w:r w:rsidRPr="00191003">
        <w:rPr>
          <w:rFonts w:eastAsia="Times New Roman"/>
          <w:color w:val="000000"/>
        </w:rPr>
        <w:t>HM 12027 (</w:t>
      </w:r>
      <w:r w:rsidRPr="00733192">
        <w:rPr>
          <w:rFonts w:eastAsia="Times New Roman"/>
          <w:i/>
          <w:color w:val="000000"/>
        </w:rPr>
        <w:t>KChr</w:t>
      </w:r>
      <w:r w:rsidRPr="00191003">
        <w:rPr>
          <w:rFonts w:eastAsia="Times New Roman"/>
          <w:color w:val="000000"/>
        </w:rPr>
        <w:t xml:space="preserve"> 13 1959: 367-68; </w:t>
      </w:r>
      <w:r w:rsidRPr="00733192">
        <w:rPr>
          <w:rFonts w:eastAsia="Times New Roman"/>
          <w:i/>
          <w:color w:val="000000"/>
        </w:rPr>
        <w:t>BCH</w:t>
      </w:r>
      <w:r w:rsidRPr="00191003">
        <w:rPr>
          <w:rFonts w:eastAsia="Times New Roman"/>
          <w:color w:val="000000"/>
        </w:rPr>
        <w:t xml:space="preserve"> 84 1960: 839-40, </w:t>
      </w:r>
      <w:r>
        <w:rPr>
          <w:rFonts w:eastAsia="Times New Roman"/>
          <w:color w:val="000000"/>
        </w:rPr>
        <w:t>F</w:t>
      </w:r>
      <w:r w:rsidRPr="00191003">
        <w:rPr>
          <w:rFonts w:eastAsia="Times New Roman"/>
          <w:color w:val="000000"/>
        </w:rPr>
        <w:t>ig.1; Kanta 1980:</w:t>
      </w:r>
      <w:r>
        <w:rPr>
          <w:rFonts w:eastAsia="Times New Roman"/>
          <w:color w:val="000000"/>
        </w:rPr>
        <w:t xml:space="preserve"> </w:t>
      </w:r>
      <w:r w:rsidRPr="00191003">
        <w:rPr>
          <w:rFonts w:eastAsia="Times New Roman"/>
          <w:color w:val="000000"/>
        </w:rPr>
        <w:t>21).</w:t>
      </w:r>
    </w:p>
    <w:p w14:paraId="60D84722" w14:textId="77777777" w:rsidR="00D726B2" w:rsidRPr="00191003" w:rsidRDefault="00D726B2" w:rsidP="00E858EF">
      <w:pPr>
        <w:pStyle w:val="Titolo4"/>
        <w:keepNext w:val="0"/>
        <w:keepLines w:val="0"/>
        <w:suppressAutoHyphens/>
      </w:pPr>
      <w:bookmarkStart w:id="1143" w:name="_Toc517807617"/>
      <w:r w:rsidRPr="00191003">
        <w:t>Difference between bath</w:t>
      </w:r>
      <w:r>
        <w:t>tub</w:t>
      </w:r>
      <w:r w:rsidRPr="00191003">
        <w:t xml:space="preserve"> and chest</w:t>
      </w:r>
      <w:r>
        <w:t>-</w:t>
      </w:r>
      <w:r w:rsidRPr="00191003">
        <w:t>shaped</w:t>
      </w:r>
      <w:r>
        <w:t xml:space="preserve"> larnakes</w:t>
      </w:r>
      <w:bookmarkEnd w:id="1143"/>
    </w:p>
    <w:p w14:paraId="642DC1AF" w14:textId="77777777" w:rsidR="00D726B2" w:rsidRPr="00191003" w:rsidRDefault="00D726B2" w:rsidP="00E858EF">
      <w:pPr>
        <w:suppressAutoHyphens/>
      </w:pPr>
      <w:r w:rsidRPr="00191003">
        <w:t xml:space="preserve">The number of </w:t>
      </w:r>
      <w:r>
        <w:t xml:space="preserve">secure </w:t>
      </w:r>
      <w:r w:rsidRPr="00191003">
        <w:t xml:space="preserve">bathtub larnakes decorated </w:t>
      </w:r>
      <w:r>
        <w:t>is</w:t>
      </w:r>
      <w:r w:rsidRPr="00191003">
        <w:t xml:space="preserve"> </w:t>
      </w:r>
      <w:r>
        <w:t>three</w:t>
      </w:r>
      <w:r w:rsidRPr="00191003">
        <w:t xml:space="preserve">, </w:t>
      </w:r>
      <w:r>
        <w:t>or</w:t>
      </w:r>
      <w:r w:rsidRPr="00191003">
        <w:t xml:space="preserve"> 4% of the total of decorated larnakes.</w:t>
      </w:r>
      <w:r>
        <w:t xml:space="preserve"> To these three larnakes should be added</w:t>
      </w:r>
      <w:r w:rsidRPr="00191003">
        <w:t xml:space="preserve"> </w:t>
      </w:r>
      <w:r>
        <w:t xml:space="preserve">a further decorated </w:t>
      </w:r>
      <w:r w:rsidRPr="00191003">
        <w:t xml:space="preserve">bathtub </w:t>
      </w:r>
      <w:r>
        <w:t xml:space="preserve">that </w:t>
      </w:r>
      <w:r w:rsidRPr="00191003">
        <w:t>come</w:t>
      </w:r>
      <w:r>
        <w:t>s</w:t>
      </w:r>
      <w:r w:rsidRPr="00191003">
        <w:t xml:space="preserve"> from Anopolis and </w:t>
      </w:r>
      <w:r>
        <w:t>is not</w:t>
      </w:r>
      <w:r w:rsidRPr="00191003">
        <w:t xml:space="preserve"> considered within the secure sample (</w:t>
      </w:r>
      <w:r>
        <w:t xml:space="preserve">it is </w:t>
      </w:r>
      <w:r w:rsidRPr="00191003">
        <w:t xml:space="preserve">decorated with stylised horizontal papyri very similar to 822 Episkopi Pediada Agios Apostolos </w:t>
      </w:r>
      <w:r w:rsidRPr="00191003">
        <w:rPr>
          <w:rFonts w:eastAsia="Times New Roman"/>
          <w:color w:val="000000"/>
        </w:rPr>
        <w:t>HM 9216</w:t>
      </w:r>
      <w:r>
        <w:rPr>
          <w:rFonts w:eastAsia="Times New Roman"/>
          <w:color w:val="000000"/>
        </w:rPr>
        <w:t>:</w:t>
      </w:r>
      <w:r w:rsidRPr="00191003">
        <w:rPr>
          <w:rFonts w:eastAsia="Times New Roman"/>
          <w:color w:val="000000"/>
        </w:rPr>
        <w:t xml:space="preserve"> </w:t>
      </w:r>
      <w:r>
        <w:t>see</w:t>
      </w:r>
      <w:r w:rsidRPr="00191003">
        <w:t xml:space="preserve"> </w:t>
      </w:r>
      <w:r w:rsidRPr="00733192">
        <w:rPr>
          <w:i/>
        </w:rPr>
        <w:t>KChr</w:t>
      </w:r>
      <w:r w:rsidRPr="00191003">
        <w:t xml:space="preserve"> </w:t>
      </w:r>
      <w:r>
        <w:t xml:space="preserve">11 </w:t>
      </w:r>
      <w:r w:rsidRPr="00191003">
        <w:t>1957: 337; Kanta 1980, 76-77).</w:t>
      </w:r>
    </w:p>
    <w:p w14:paraId="4A6C4AB6" w14:textId="77777777" w:rsidR="00D726B2" w:rsidRPr="00191003" w:rsidRDefault="00D726B2" w:rsidP="00E858EF">
      <w:pPr>
        <w:suppressAutoHyphens/>
        <w:ind w:firstLine="708"/>
        <w:rPr>
          <w:rFonts w:eastAsia="Times New Roman"/>
          <w:color w:val="000000"/>
        </w:rPr>
      </w:pPr>
      <w:r>
        <w:t>For one of the three securely decorated larnakes (841 Episkopi Pediada Kavousi) there is information only about the occurrence of the decoration (</w:t>
      </w:r>
      <w:r w:rsidRPr="004F298B">
        <w:rPr>
          <w:i/>
        </w:rPr>
        <w:t xml:space="preserve">EEKS </w:t>
      </w:r>
      <w:r w:rsidRPr="00CC6834">
        <w:t>1941</w:t>
      </w:r>
      <w:r>
        <w:t xml:space="preserve">, 269; </w:t>
      </w:r>
      <w:r w:rsidRPr="004F298B">
        <w:rPr>
          <w:i/>
        </w:rPr>
        <w:t>AA</w:t>
      </w:r>
      <w:r>
        <w:t xml:space="preserve"> 1942, 197; Kanta 1980:</w:t>
      </w:r>
      <w:r w:rsidRPr="00CC6834">
        <w:t xml:space="preserve"> 66</w:t>
      </w:r>
      <w:r>
        <w:t>). The other t</w:t>
      </w:r>
      <w:r w:rsidRPr="00191003">
        <w:t xml:space="preserve">wo larnakes are 822 Episkopi Pediada Agios Apostolos </w:t>
      </w:r>
      <w:r w:rsidRPr="00191003">
        <w:rPr>
          <w:rFonts w:eastAsia="Times New Roman"/>
          <w:color w:val="000000"/>
        </w:rPr>
        <w:t>HM 9216 (</w:t>
      </w:r>
      <w:r w:rsidRPr="00733192">
        <w:rPr>
          <w:rFonts w:eastAsia="Times New Roman"/>
          <w:i/>
          <w:color w:val="000000"/>
        </w:rPr>
        <w:t>ADelt</w:t>
      </w:r>
      <w:r w:rsidRPr="00191003">
        <w:rPr>
          <w:rFonts w:eastAsia="Times New Roman"/>
          <w:color w:val="000000"/>
        </w:rPr>
        <w:t xml:space="preserve"> 1933-5</w:t>
      </w:r>
      <w:r>
        <w:rPr>
          <w:rFonts w:eastAsia="Times New Roman"/>
          <w:color w:val="000000"/>
        </w:rPr>
        <w:t>:</w:t>
      </w:r>
      <w:r w:rsidRPr="00191003">
        <w:rPr>
          <w:rFonts w:eastAsia="Times New Roman"/>
          <w:color w:val="000000"/>
        </w:rPr>
        <w:t xml:space="preserve"> 51-54, </w:t>
      </w:r>
      <w:r>
        <w:rPr>
          <w:rFonts w:eastAsia="Times New Roman"/>
          <w:color w:val="000000"/>
        </w:rPr>
        <w:t>F</w:t>
      </w:r>
      <w:r w:rsidRPr="00191003">
        <w:rPr>
          <w:rFonts w:eastAsia="Times New Roman"/>
          <w:color w:val="000000"/>
        </w:rPr>
        <w:t>ig. 8; Kanta 1980, 58-59;) and 729 Gournes (</w:t>
      </w:r>
      <w:r w:rsidRPr="00733192">
        <w:rPr>
          <w:rFonts w:eastAsia="Times New Roman"/>
          <w:i/>
          <w:color w:val="000000"/>
        </w:rPr>
        <w:t>ADelt</w:t>
      </w:r>
      <w:r w:rsidRPr="00191003">
        <w:rPr>
          <w:rFonts w:eastAsia="Times New Roman"/>
          <w:color w:val="000000"/>
        </w:rPr>
        <w:t xml:space="preserve"> 1918</w:t>
      </w:r>
      <w:r>
        <w:rPr>
          <w:rFonts w:eastAsia="Times New Roman"/>
          <w:color w:val="000000"/>
        </w:rPr>
        <w:t>:</w:t>
      </w:r>
      <w:r w:rsidRPr="00191003">
        <w:rPr>
          <w:rFonts w:eastAsia="Times New Roman"/>
          <w:color w:val="000000"/>
        </w:rPr>
        <w:t xml:space="preserve"> 63-87 </w:t>
      </w:r>
      <w:r>
        <w:rPr>
          <w:rFonts w:eastAsia="Times New Roman"/>
          <w:color w:val="000000"/>
        </w:rPr>
        <w:t>F</w:t>
      </w:r>
      <w:r w:rsidRPr="00191003">
        <w:rPr>
          <w:rFonts w:eastAsia="Times New Roman"/>
          <w:color w:val="000000"/>
        </w:rPr>
        <w:t>ig. 23; Kanta 1980: 47-50). In both cases</w:t>
      </w:r>
      <w:r>
        <w:rPr>
          <w:rFonts w:eastAsia="Times New Roman"/>
          <w:color w:val="000000"/>
        </w:rPr>
        <w:t>,</w:t>
      </w:r>
      <w:r w:rsidRPr="00191003">
        <w:rPr>
          <w:rFonts w:eastAsia="Times New Roman"/>
          <w:color w:val="000000"/>
        </w:rPr>
        <w:t xml:space="preserve"> the decoration is the same repeated motif</w:t>
      </w:r>
      <w:r>
        <w:rPr>
          <w:rFonts w:eastAsia="Times New Roman"/>
          <w:color w:val="000000"/>
        </w:rPr>
        <w:t>.</w:t>
      </w:r>
      <w:r w:rsidRPr="00191003">
        <w:rPr>
          <w:rFonts w:eastAsia="Times New Roman"/>
          <w:color w:val="000000"/>
        </w:rPr>
        <w:t xml:space="preserve"> </w:t>
      </w:r>
      <w:r>
        <w:rPr>
          <w:rFonts w:eastAsia="Times New Roman"/>
          <w:color w:val="000000"/>
        </w:rPr>
        <w:t>I</w:t>
      </w:r>
      <w:r w:rsidRPr="00191003">
        <w:rPr>
          <w:rFonts w:eastAsia="Times New Roman"/>
          <w:color w:val="000000"/>
        </w:rPr>
        <w:t xml:space="preserve">n the case of </w:t>
      </w:r>
      <w:r>
        <w:rPr>
          <w:rFonts w:eastAsia="Times New Roman"/>
          <w:color w:val="000000"/>
        </w:rPr>
        <w:t xml:space="preserve">the </w:t>
      </w:r>
      <w:r w:rsidRPr="00191003">
        <w:rPr>
          <w:rFonts w:eastAsia="Times New Roman"/>
          <w:color w:val="000000"/>
        </w:rPr>
        <w:t>Episkopi Pediada larnax</w:t>
      </w:r>
      <w:r>
        <w:rPr>
          <w:rFonts w:eastAsia="Times New Roman"/>
          <w:color w:val="000000"/>
        </w:rPr>
        <w:t>,</w:t>
      </w:r>
      <w:r w:rsidRPr="00191003">
        <w:rPr>
          <w:rFonts w:eastAsia="Times New Roman"/>
          <w:color w:val="000000"/>
        </w:rPr>
        <w:t xml:space="preserve"> the motif is stylised horizontal papyri in a row (this motif </w:t>
      </w:r>
      <w:r>
        <w:rPr>
          <w:rFonts w:eastAsia="Times New Roman"/>
          <w:color w:val="000000"/>
        </w:rPr>
        <w:t>is</w:t>
      </w:r>
      <w:r w:rsidRPr="00191003">
        <w:rPr>
          <w:rFonts w:eastAsia="Times New Roman"/>
          <w:color w:val="000000"/>
        </w:rPr>
        <w:t xml:space="preserve"> used</w:t>
      </w:r>
      <w:r>
        <w:rPr>
          <w:rFonts w:eastAsia="Times New Roman"/>
          <w:color w:val="000000"/>
        </w:rPr>
        <w:t xml:space="preserve"> also</w:t>
      </w:r>
      <w:r w:rsidRPr="00191003">
        <w:rPr>
          <w:rFonts w:eastAsia="Times New Roman"/>
          <w:color w:val="000000"/>
        </w:rPr>
        <w:t xml:space="preserve"> as </w:t>
      </w:r>
      <w:r>
        <w:rPr>
          <w:rFonts w:eastAsia="Times New Roman"/>
          <w:color w:val="000000"/>
        </w:rPr>
        <w:t xml:space="preserve">the </w:t>
      </w:r>
      <w:r w:rsidRPr="00191003">
        <w:rPr>
          <w:rFonts w:eastAsia="Times New Roman"/>
          <w:color w:val="000000"/>
        </w:rPr>
        <w:t xml:space="preserve">main decoration </w:t>
      </w:r>
      <w:r>
        <w:rPr>
          <w:rFonts w:eastAsia="Times New Roman"/>
          <w:color w:val="000000"/>
        </w:rPr>
        <w:t>o</w:t>
      </w:r>
      <w:r w:rsidRPr="00191003">
        <w:rPr>
          <w:rFonts w:eastAsia="Times New Roman"/>
          <w:color w:val="000000"/>
        </w:rPr>
        <w:t>n chest</w:t>
      </w:r>
      <w:r>
        <w:rPr>
          <w:rFonts w:eastAsia="Times New Roman"/>
          <w:color w:val="000000"/>
        </w:rPr>
        <w:t>-shaped</w:t>
      </w:r>
      <w:r w:rsidRPr="00191003">
        <w:rPr>
          <w:rFonts w:eastAsia="Times New Roman"/>
          <w:color w:val="000000"/>
        </w:rPr>
        <w:t xml:space="preserve"> larnakes</w:t>
      </w:r>
      <w:r>
        <w:rPr>
          <w:rFonts w:eastAsia="Times New Roman"/>
          <w:color w:val="000000"/>
        </w:rPr>
        <w:t>,</w:t>
      </w:r>
      <w:r w:rsidRPr="00191003">
        <w:rPr>
          <w:rFonts w:eastAsia="Times New Roman"/>
          <w:color w:val="000000"/>
        </w:rPr>
        <w:t xml:space="preserve"> </w:t>
      </w:r>
      <w:r>
        <w:rPr>
          <w:rFonts w:eastAsia="Times New Roman"/>
          <w:color w:val="000000"/>
        </w:rPr>
        <w:t>see</w:t>
      </w:r>
      <w:r w:rsidRPr="00191003">
        <w:rPr>
          <w:rFonts w:eastAsia="Times New Roman"/>
          <w:color w:val="000000"/>
        </w:rPr>
        <w:t xml:space="preserve"> Pankalochori</w:t>
      </w:r>
      <w:r>
        <w:rPr>
          <w:rFonts w:eastAsia="Times New Roman"/>
          <w:color w:val="000000"/>
        </w:rPr>
        <w:t xml:space="preserve"> and Mesi:</w:t>
      </w:r>
      <w:r w:rsidRPr="00191003">
        <w:rPr>
          <w:rFonts w:eastAsia="Times New Roman"/>
          <w:color w:val="000000"/>
        </w:rPr>
        <w:t xml:space="preserve"> Baxevani </w:t>
      </w:r>
      <w:r>
        <w:rPr>
          <w:rFonts w:eastAsia="Times New Roman"/>
          <w:color w:val="000000"/>
        </w:rPr>
        <w:t xml:space="preserve">and </w:t>
      </w:r>
      <w:r w:rsidRPr="00191003">
        <w:rPr>
          <w:rFonts w:eastAsia="Times New Roman"/>
          <w:color w:val="000000"/>
        </w:rPr>
        <w:t>Markoulaki 199</w:t>
      </w:r>
      <w:r>
        <w:rPr>
          <w:rFonts w:eastAsia="Times New Roman"/>
          <w:color w:val="000000"/>
        </w:rPr>
        <w:t>6</w:t>
      </w:r>
      <w:r w:rsidRPr="00191003">
        <w:rPr>
          <w:rFonts w:eastAsia="Times New Roman"/>
          <w:color w:val="000000"/>
        </w:rPr>
        <w:t xml:space="preserve">: </w:t>
      </w:r>
      <w:r w:rsidRPr="00191003">
        <w:t xml:space="preserve">641-703 </w:t>
      </w:r>
      <w:r>
        <w:t>F</w:t>
      </w:r>
      <w:r w:rsidRPr="00191003">
        <w:t>ig</w:t>
      </w:r>
      <w:r>
        <w:t>s</w:t>
      </w:r>
      <w:r w:rsidRPr="00191003">
        <w:t>. 32-34). In the case of the larnax from Gournes</w:t>
      </w:r>
      <w:r>
        <w:t>, the motif</w:t>
      </w:r>
      <w:r w:rsidRPr="00191003">
        <w:t xml:space="preserve"> </w:t>
      </w:r>
      <w:r>
        <w:t>is</w:t>
      </w:r>
      <w:r w:rsidRPr="00191003">
        <w:t xml:space="preserve"> stemmed spirals</w:t>
      </w:r>
      <w:r>
        <w:t>,</w:t>
      </w:r>
      <w:r w:rsidRPr="00191003">
        <w:t xml:space="preserve"> </w:t>
      </w:r>
      <w:r>
        <w:t>beginning</w:t>
      </w:r>
      <w:r w:rsidRPr="00191003">
        <w:t xml:space="preserve"> both from </w:t>
      </w:r>
      <w:r>
        <w:t xml:space="preserve">the </w:t>
      </w:r>
      <w:r w:rsidRPr="00191003">
        <w:t>upper and lower rim</w:t>
      </w:r>
      <w:r>
        <w:t>s</w:t>
      </w:r>
      <w:r w:rsidRPr="00191003">
        <w:t xml:space="preserve"> of the larnax. Th</w:t>
      </w:r>
      <w:r>
        <w:t>ese</w:t>
      </w:r>
      <w:r w:rsidRPr="00191003">
        <w:t xml:space="preserve"> decoration</w:t>
      </w:r>
      <w:r>
        <w:t>s</w:t>
      </w:r>
      <w:r w:rsidRPr="00191003">
        <w:t xml:space="preserve"> </w:t>
      </w:r>
      <w:r>
        <w:t>have no</w:t>
      </w:r>
      <w:r w:rsidRPr="00191003">
        <w:t xml:space="preserve"> panel division</w:t>
      </w:r>
      <w:r>
        <w:t>s</w:t>
      </w:r>
      <w:r w:rsidRPr="00191003">
        <w:t xml:space="preserve"> but</w:t>
      </w:r>
      <w:r>
        <w:t>,</w:t>
      </w:r>
      <w:r w:rsidRPr="00191003">
        <w:t xml:space="preserve"> </w:t>
      </w:r>
      <w:r>
        <w:t>o</w:t>
      </w:r>
      <w:r w:rsidRPr="00191003">
        <w:t>n both larnakes</w:t>
      </w:r>
      <w:r>
        <w:t>,</w:t>
      </w:r>
      <w:r w:rsidRPr="00191003">
        <w:t xml:space="preserve"> go around the entire surface. From the sample available</w:t>
      </w:r>
      <w:r>
        <w:t>, there is</w:t>
      </w:r>
      <w:r w:rsidRPr="00191003">
        <w:t xml:space="preserve"> decoration </w:t>
      </w:r>
      <w:r>
        <w:t xml:space="preserve">only </w:t>
      </w:r>
      <w:r w:rsidRPr="00191003">
        <w:t>on the outside (</w:t>
      </w:r>
      <w:r>
        <w:t xml:space="preserve">a </w:t>
      </w:r>
      <w:r w:rsidRPr="00191003">
        <w:t xml:space="preserve">larnax from Anopolis </w:t>
      </w:r>
      <w:r>
        <w:t xml:space="preserve">is </w:t>
      </w:r>
      <w:r w:rsidRPr="00191003">
        <w:t>not considered for the present study</w:t>
      </w:r>
      <w:r>
        <w:t xml:space="preserve"> but</w:t>
      </w:r>
      <w:r w:rsidRPr="00191003">
        <w:t xml:space="preserve"> has decoration on the inside</w:t>
      </w:r>
      <w:r>
        <w:t xml:space="preserve"> too</w:t>
      </w:r>
      <w:r w:rsidRPr="00191003">
        <w:t>).</w:t>
      </w:r>
    </w:p>
    <w:p w14:paraId="377B16CA" w14:textId="77777777" w:rsidR="00D726B2" w:rsidRPr="00191003" w:rsidRDefault="00D726B2" w:rsidP="00E858EF">
      <w:pPr>
        <w:pStyle w:val="Titolo4"/>
        <w:keepNext w:val="0"/>
        <w:keepLines w:val="0"/>
        <w:suppressAutoHyphens/>
      </w:pPr>
      <w:bookmarkStart w:id="1144" w:name="_Toc517807618"/>
      <w:r w:rsidRPr="00191003">
        <w:t>Difference between frames and panel</w:t>
      </w:r>
      <w:r>
        <w:t>s</w:t>
      </w:r>
      <w:bookmarkEnd w:id="1144"/>
    </w:p>
    <w:p w14:paraId="082601BA" w14:textId="77777777" w:rsidR="00D726B2" w:rsidRPr="00191003" w:rsidRDefault="00D726B2" w:rsidP="00E858EF">
      <w:pPr>
        <w:suppressAutoHyphens/>
      </w:pPr>
      <w:r w:rsidRPr="00191003">
        <w:t xml:space="preserve">From </w:t>
      </w:r>
      <w:r>
        <w:t>a</w:t>
      </w:r>
      <w:r w:rsidRPr="00191003">
        <w:t xml:space="preserve"> morphological </w:t>
      </w:r>
      <w:r>
        <w:t>perspective,</w:t>
      </w:r>
      <w:r w:rsidRPr="00191003">
        <w:t xml:space="preserve"> the division between </w:t>
      </w:r>
      <w:r>
        <w:t xml:space="preserve">the </w:t>
      </w:r>
      <w:r w:rsidRPr="00191003">
        <w:t>frame</w:t>
      </w:r>
      <w:r>
        <w:t>s</w:t>
      </w:r>
      <w:r w:rsidRPr="00191003">
        <w:t xml:space="preserve"> and </w:t>
      </w:r>
      <w:r>
        <w:t xml:space="preserve">the </w:t>
      </w:r>
      <w:r w:rsidRPr="00191003">
        <w:t>panel</w:t>
      </w:r>
      <w:r>
        <w:t>s</w:t>
      </w:r>
      <w:r w:rsidRPr="00191003">
        <w:t xml:space="preserve"> </w:t>
      </w:r>
      <w:r>
        <w:t>o</w:t>
      </w:r>
      <w:r w:rsidRPr="00191003">
        <w:t>n chest</w:t>
      </w:r>
      <w:r>
        <w:t>-</w:t>
      </w:r>
      <w:r w:rsidRPr="00191003">
        <w:t xml:space="preserve">shaped larnakes from </w:t>
      </w:r>
      <w:r>
        <w:t>the C</w:t>
      </w:r>
      <w:r w:rsidRPr="00191003">
        <w:t xml:space="preserve">entral region is </w:t>
      </w:r>
      <w:r>
        <w:t>often</w:t>
      </w:r>
      <w:r w:rsidRPr="00191003">
        <w:t xml:space="preserve"> rendered </w:t>
      </w:r>
      <w:r>
        <w:t>via</w:t>
      </w:r>
      <w:r w:rsidRPr="00191003">
        <w:t xml:space="preserve"> raised panels.</w:t>
      </w:r>
      <w:r>
        <w:t xml:space="preserve"> </w:t>
      </w:r>
      <w:r w:rsidRPr="00191003">
        <w:t xml:space="preserve">The most common type of decoration for frames </w:t>
      </w:r>
      <w:r>
        <w:t>o</w:t>
      </w:r>
      <w:r w:rsidRPr="00191003">
        <w:t>n chest</w:t>
      </w:r>
      <w:r>
        <w:t>-</w:t>
      </w:r>
      <w:r w:rsidRPr="00191003">
        <w:t>shaped larnakes is full</w:t>
      </w:r>
      <w:r>
        <w:t>y</w:t>
      </w:r>
      <w:r w:rsidRPr="00191003">
        <w:t xml:space="preserve"> painted frames (all painted in brown/red/orange) or with</w:t>
      </w:r>
      <w:r>
        <w:t xml:space="preserve"> an</w:t>
      </w:r>
      <w:r w:rsidRPr="00191003">
        <w:t xml:space="preserve"> outline profile (20 larnakes)</w:t>
      </w:r>
      <w:r>
        <w:t xml:space="preserve">. </w:t>
      </w:r>
      <w:r w:rsidRPr="00191003">
        <w:t xml:space="preserve">The </w:t>
      </w:r>
      <w:r>
        <w:t>motif</w:t>
      </w:r>
      <w:r w:rsidRPr="00191003">
        <w:t xml:space="preserve">s that occur most </w:t>
      </w:r>
      <w:r>
        <w:t>o</w:t>
      </w:r>
      <w:r w:rsidRPr="00191003">
        <w:t>n frames are</w:t>
      </w:r>
      <w:r>
        <w:t xml:space="preserve"> as follows</w:t>
      </w:r>
      <w:r w:rsidRPr="00191003">
        <w:t>:</w:t>
      </w:r>
    </w:p>
    <w:p w14:paraId="351CF4D8" w14:textId="77777777" w:rsidR="00D726B2" w:rsidRPr="00191003" w:rsidRDefault="00D726B2" w:rsidP="00E858EF">
      <w:pPr>
        <w:pStyle w:val="Paragrafoelenco"/>
        <w:numPr>
          <w:ilvl w:val="0"/>
          <w:numId w:val="78"/>
        </w:numPr>
        <w:suppressAutoHyphens/>
        <w:spacing w:after="160"/>
      </w:pPr>
      <w:r w:rsidRPr="00191003">
        <w:t>Multiple groups of wavy lines (FM 53) rendered as a painted motif or single wavy line (11 larnakes)</w:t>
      </w:r>
    </w:p>
    <w:p w14:paraId="32E9C5C1" w14:textId="77777777" w:rsidR="00D726B2" w:rsidRPr="00191003" w:rsidRDefault="00D726B2" w:rsidP="00E858EF">
      <w:pPr>
        <w:pStyle w:val="Paragrafoelenco"/>
        <w:numPr>
          <w:ilvl w:val="0"/>
          <w:numId w:val="78"/>
        </w:numPr>
        <w:suppressAutoHyphens/>
        <w:spacing w:after="160"/>
      </w:pPr>
      <w:r w:rsidRPr="00191003">
        <w:t>Wavy border FM 65 (8 larnakes)</w:t>
      </w:r>
    </w:p>
    <w:p w14:paraId="4D545B4C" w14:textId="77777777" w:rsidR="00D726B2" w:rsidRPr="00191003" w:rsidRDefault="00D726B2" w:rsidP="00E858EF">
      <w:pPr>
        <w:suppressAutoHyphens/>
        <w:rPr>
          <w:color w:val="000000"/>
        </w:rPr>
      </w:pPr>
      <w:r w:rsidRPr="00191003">
        <w:t>In general</w:t>
      </w:r>
      <w:r>
        <w:t>,</w:t>
      </w:r>
      <w:r w:rsidRPr="00191003">
        <w:t xml:space="preserve"> the moti</w:t>
      </w:r>
      <w:r>
        <w:t xml:space="preserve">ves </w:t>
      </w:r>
      <w:r w:rsidRPr="00191003">
        <w:t xml:space="preserve">on frames tend to be repeated all around the frames of the larnax. Other frequent </w:t>
      </w:r>
      <w:r>
        <w:t>motif</w:t>
      </w:r>
      <w:r w:rsidRPr="00191003">
        <w:t>s are running spirals and panelled pattern</w:t>
      </w:r>
      <w:r>
        <w:t>s</w:t>
      </w:r>
      <w:r w:rsidRPr="00191003">
        <w:t xml:space="preserve"> (horizontal lines in particular).</w:t>
      </w:r>
      <w:r>
        <w:t xml:space="preserve"> </w:t>
      </w:r>
      <w:r w:rsidRPr="00191003">
        <w:t>In the case of an un</w:t>
      </w:r>
      <w:r>
        <w:t>painted</w:t>
      </w:r>
      <w:r w:rsidRPr="00191003">
        <w:t xml:space="preserve"> larnax from Artsa (Xanthoudidis 1904: 1-21; </w:t>
      </w:r>
      <w:r w:rsidRPr="00191003">
        <w:rPr>
          <w:color w:val="000000"/>
        </w:rPr>
        <w:t>Kanta 1980: 45)</w:t>
      </w:r>
      <w:r>
        <w:rPr>
          <w:color w:val="000000"/>
        </w:rPr>
        <w:t>, the</w:t>
      </w:r>
      <w:r w:rsidRPr="00191003">
        <w:rPr>
          <w:color w:val="000000"/>
        </w:rPr>
        <w:t xml:space="preserve"> frames are decorated with impressed rosette</w:t>
      </w:r>
      <w:r>
        <w:rPr>
          <w:color w:val="000000"/>
        </w:rPr>
        <w:t>s</w:t>
      </w:r>
      <w:r w:rsidRPr="00191003">
        <w:rPr>
          <w:color w:val="000000"/>
        </w:rPr>
        <w:t>.</w:t>
      </w:r>
    </w:p>
    <w:p w14:paraId="713EF41C" w14:textId="77777777" w:rsidR="00D726B2" w:rsidRPr="00191003" w:rsidRDefault="00D726B2" w:rsidP="00E858EF">
      <w:pPr>
        <w:pStyle w:val="Titolo4"/>
        <w:keepNext w:val="0"/>
        <w:keepLines w:val="0"/>
        <w:suppressAutoHyphens/>
      </w:pPr>
      <w:bookmarkStart w:id="1145" w:name="_Toc517807619"/>
      <w:r w:rsidRPr="00191003">
        <w:t xml:space="preserve">Identifying larnakes </w:t>
      </w:r>
      <w:r>
        <w:t>that</w:t>
      </w:r>
      <w:r w:rsidRPr="00191003">
        <w:t xml:space="preserve"> are similar</w:t>
      </w:r>
      <w:r>
        <w:t>ly</w:t>
      </w:r>
      <w:r w:rsidRPr="00191003">
        <w:t xml:space="preserve"> </w:t>
      </w:r>
      <w:r>
        <w:t>decorated</w:t>
      </w:r>
      <w:bookmarkEnd w:id="1145"/>
    </w:p>
    <w:p w14:paraId="1727BA21" w14:textId="77777777" w:rsidR="00D726B2" w:rsidRPr="00191003" w:rsidRDefault="00D726B2" w:rsidP="00E858EF">
      <w:pPr>
        <w:pStyle w:val="Paragrafoelenco"/>
        <w:suppressAutoHyphens/>
        <w:ind w:left="0"/>
      </w:pPr>
      <w:r>
        <w:t>Based on</w:t>
      </w:r>
      <w:r w:rsidRPr="00191003">
        <w:t xml:space="preserve"> </w:t>
      </w:r>
      <w:r>
        <w:t>motif</w:t>
      </w:r>
      <w:r w:rsidRPr="00191003">
        <w:t xml:space="preserve"> occurrence and organi</w:t>
      </w:r>
      <w:r>
        <w:t>s</w:t>
      </w:r>
      <w:r w:rsidRPr="00191003">
        <w:t>ation</w:t>
      </w:r>
      <w:r>
        <w:t>, a</w:t>
      </w:r>
      <w:r w:rsidRPr="00191003">
        <w:t xml:space="preserve"> few possible groups </w:t>
      </w:r>
      <w:r>
        <w:t>can</w:t>
      </w:r>
      <w:r w:rsidRPr="00191003">
        <w:t xml:space="preserve"> be identified</w:t>
      </w:r>
      <w:r>
        <w:t>.</w:t>
      </w:r>
    </w:p>
    <w:p w14:paraId="6A1C4373" w14:textId="77777777" w:rsidR="00D726B2" w:rsidRPr="00191003" w:rsidRDefault="00D726B2" w:rsidP="00E858EF">
      <w:pPr>
        <w:suppressAutoHyphens/>
      </w:pPr>
      <w:r w:rsidRPr="00191003">
        <w:t xml:space="preserve">Possible </w:t>
      </w:r>
      <w:r>
        <w:t>G</w:t>
      </w:r>
      <w:r w:rsidRPr="00191003">
        <w:t>roup 1: palm</w:t>
      </w:r>
      <w:r>
        <w:t xml:space="preserve"> trees</w:t>
      </w:r>
      <w:r w:rsidRPr="00191003">
        <w:t xml:space="preserve"> and papyri</w:t>
      </w:r>
    </w:p>
    <w:p w14:paraId="59548D35" w14:textId="77777777" w:rsidR="00D726B2" w:rsidRPr="00191003" w:rsidRDefault="00D726B2" w:rsidP="00E858EF">
      <w:pPr>
        <w:suppressAutoHyphens/>
        <w:ind w:left="708"/>
      </w:pPr>
      <w:r w:rsidRPr="00191003">
        <w:t xml:space="preserve">Two larnakes from the same tomb </w:t>
      </w:r>
      <w:r>
        <w:t>at</w:t>
      </w:r>
      <w:r w:rsidRPr="00191003">
        <w:t xml:space="preserve"> Gazi (</w:t>
      </w:r>
      <w:r>
        <w:t xml:space="preserve">592 Gazi Skaphidara HM 18986 and </w:t>
      </w:r>
      <w:r w:rsidRPr="00191003">
        <w:t>593 HM</w:t>
      </w:r>
      <w:r>
        <w:t xml:space="preserve"> Gazi Skaphidara</w:t>
      </w:r>
      <w:r w:rsidRPr="00191003">
        <w:t xml:space="preserve"> 18987</w:t>
      </w:r>
      <w:r>
        <w:t xml:space="preserve">: </w:t>
      </w:r>
      <w:r w:rsidRPr="00191003">
        <w:t>Alexiou 1972: 86-98, pl.</w:t>
      </w:r>
      <w:r>
        <w:t xml:space="preserve"> </w:t>
      </w:r>
      <w:r w:rsidRPr="00191003">
        <w:t xml:space="preserve">34-40) </w:t>
      </w:r>
      <w:r>
        <w:t>have</w:t>
      </w:r>
      <w:r w:rsidRPr="00191003">
        <w:t xml:space="preserve"> a decoration of papyri/Mycenaean flower and palm</w:t>
      </w:r>
      <w:r>
        <w:t xml:space="preserve"> trees</w:t>
      </w:r>
      <w:r w:rsidRPr="00191003">
        <w:t xml:space="preserve"> repeated </w:t>
      </w:r>
      <w:r>
        <w:t>over</w:t>
      </w:r>
      <w:r w:rsidRPr="00191003">
        <w:t xml:space="preserve"> </w:t>
      </w:r>
      <w:r>
        <w:t>their entire surfaces</w:t>
      </w:r>
      <w:r w:rsidRPr="00191003">
        <w:t>.</w:t>
      </w:r>
      <w:r>
        <w:t xml:space="preserve">The way in which the motives are distributed in the two larnakes is inverted (i.e. </w:t>
      </w:r>
      <w:r w:rsidRPr="00191003">
        <w:t xml:space="preserve">where </w:t>
      </w:r>
      <w:r>
        <w:t>o</w:t>
      </w:r>
      <w:r w:rsidRPr="00191003">
        <w:t>n 592</w:t>
      </w:r>
      <w:r>
        <w:t xml:space="preserve"> Gazi Skaphidara</w:t>
      </w:r>
      <w:r w:rsidRPr="00191003">
        <w:t xml:space="preserve"> HM 18986 there</w:t>
      </w:r>
      <w:r>
        <w:t xml:space="preserve"> are</w:t>
      </w:r>
      <w:r w:rsidRPr="00191003">
        <w:t xml:space="preserve"> papyri/Mycenaean flowers</w:t>
      </w:r>
      <w:r>
        <w:t>,</w:t>
      </w:r>
      <w:r w:rsidRPr="00191003">
        <w:t xml:space="preserve"> </w:t>
      </w:r>
      <w:r>
        <w:t>o</w:t>
      </w:r>
      <w:r w:rsidRPr="00191003">
        <w:t>n 593</w:t>
      </w:r>
      <w:r>
        <w:t xml:space="preserve"> Gazi Skaphidara</w:t>
      </w:r>
      <w:r w:rsidRPr="00191003">
        <w:t xml:space="preserve"> HM 18987 there are palm</w:t>
      </w:r>
      <w:r>
        <w:t xml:space="preserve"> trees).</w:t>
      </w:r>
      <w:r w:rsidRPr="00191003">
        <w:t xml:space="preserve"> Kanta </w:t>
      </w:r>
      <w:r>
        <w:t xml:space="preserve">(1980: 20) </w:t>
      </w:r>
      <w:r w:rsidRPr="00191003">
        <w:t>also hypothesi</w:t>
      </w:r>
      <w:r>
        <w:t>s</w:t>
      </w:r>
      <w:r w:rsidRPr="00191003">
        <w:t xml:space="preserve">ed the existence of a </w:t>
      </w:r>
      <w:r>
        <w:t>workshop in the area.</w:t>
      </w:r>
    </w:p>
    <w:p w14:paraId="1BBA22D1" w14:textId="77777777" w:rsidR="00D726B2" w:rsidRPr="00191003" w:rsidRDefault="00D726B2" w:rsidP="00E858EF">
      <w:pPr>
        <w:suppressAutoHyphens/>
      </w:pPr>
      <w:r w:rsidRPr="00191003">
        <w:t xml:space="preserve">Possible </w:t>
      </w:r>
      <w:r>
        <w:t>G</w:t>
      </w:r>
      <w:r w:rsidRPr="00191003">
        <w:t>roup 2: spirals and rosette</w:t>
      </w:r>
      <w:r>
        <w:t>s</w:t>
      </w:r>
    </w:p>
    <w:p w14:paraId="4ED6695E" w14:textId="77777777" w:rsidR="00D726B2" w:rsidRPr="00191003" w:rsidRDefault="00D726B2" w:rsidP="00E858EF">
      <w:pPr>
        <w:pStyle w:val="Paragrafoelenco"/>
        <w:suppressAutoHyphens/>
        <w:ind w:left="708"/>
      </w:pPr>
      <w:r w:rsidRPr="00191003">
        <w:t>Three larnakes</w:t>
      </w:r>
      <w:r>
        <w:t>,</w:t>
      </w:r>
      <w:r w:rsidRPr="00191003">
        <w:t xml:space="preserve"> one from Gazi (590</w:t>
      </w:r>
      <w:r>
        <w:t xml:space="preserve"> Skaphidara</w:t>
      </w:r>
      <w:r w:rsidRPr="00191003">
        <w:t xml:space="preserve"> HM 11145), one from Agios Myron (586</w:t>
      </w:r>
      <w:r>
        <w:t xml:space="preserve"> </w:t>
      </w:r>
      <w:r w:rsidRPr="00191003">
        <w:t>Agios Myron HM 9336) and another from Kyparissi Vathia (645</w:t>
      </w:r>
      <w:r>
        <w:t xml:space="preserve"> </w:t>
      </w:r>
      <w:r w:rsidRPr="00191003">
        <w:t xml:space="preserve">Kyparissi Vathia) </w:t>
      </w:r>
      <w:r>
        <w:t>have,</w:t>
      </w:r>
      <w:r w:rsidRPr="00191003">
        <w:t xml:space="preserve"> </w:t>
      </w:r>
      <w:r>
        <w:t>o</w:t>
      </w:r>
      <w:r w:rsidRPr="00191003">
        <w:t>n the</w:t>
      </w:r>
      <w:r>
        <w:t>ir</w:t>
      </w:r>
      <w:r w:rsidRPr="00191003">
        <w:t xml:space="preserve"> long panel</w:t>
      </w:r>
      <w:r>
        <w:t>s,</w:t>
      </w:r>
      <w:r w:rsidRPr="00191003">
        <w:t xml:space="preserve"> the same decoration of</w:t>
      </w:r>
      <w:r>
        <w:t xml:space="preserve"> large</w:t>
      </w:r>
      <w:r w:rsidRPr="00191003">
        <w:t xml:space="preserve"> </w:t>
      </w:r>
      <w:r>
        <w:t xml:space="preserve">running spirals </w:t>
      </w:r>
      <w:r w:rsidRPr="00191003">
        <w:t>whose eyes have been transformed in</w:t>
      </w:r>
      <w:r>
        <w:t>to</w:t>
      </w:r>
      <w:r w:rsidRPr="00191003">
        <w:t xml:space="preserve"> rosette</w:t>
      </w:r>
      <w:r>
        <w:t>s</w:t>
      </w:r>
      <w:r w:rsidRPr="00191003">
        <w:t xml:space="preserve"> (this similarity </w:t>
      </w:r>
      <w:r>
        <w:t>was</w:t>
      </w:r>
      <w:r w:rsidRPr="00191003">
        <w:t xml:space="preserve"> pointed out by Kan</w:t>
      </w:r>
      <w:r>
        <w:t>ta</w:t>
      </w:r>
      <w:r w:rsidRPr="00191003">
        <w:t>1980: 291</w:t>
      </w:r>
      <w:r>
        <w:t>)</w:t>
      </w:r>
      <w:r w:rsidRPr="00191003">
        <w:t>.</w:t>
      </w:r>
    </w:p>
    <w:p w14:paraId="129512E4" w14:textId="77777777" w:rsidR="00D726B2" w:rsidRPr="00191003" w:rsidRDefault="00D726B2" w:rsidP="00E858EF">
      <w:pPr>
        <w:pStyle w:val="Paragrafoelenco"/>
        <w:suppressAutoHyphens/>
        <w:ind w:left="0"/>
      </w:pPr>
      <w:r w:rsidRPr="00191003">
        <w:t xml:space="preserve">Possible </w:t>
      </w:r>
      <w:r>
        <w:t>G</w:t>
      </w:r>
      <w:r w:rsidRPr="00191003">
        <w:t>roup 3: tricurved arch pattern</w:t>
      </w:r>
    </w:p>
    <w:p w14:paraId="7C028333" w14:textId="77777777" w:rsidR="00D726B2" w:rsidRPr="00191003" w:rsidRDefault="00D726B2" w:rsidP="00E858EF">
      <w:pPr>
        <w:pStyle w:val="Paragrafoelenco"/>
        <w:suppressAutoHyphens/>
        <w:ind w:left="708"/>
      </w:pPr>
      <w:r w:rsidRPr="00191003">
        <w:t xml:space="preserve">Three larnakes from </w:t>
      </w:r>
      <w:r>
        <w:t>(616 Tylissos HM 7405, 617 Tylissos HM 7406 and 618</w:t>
      </w:r>
      <w:r w:rsidRPr="00EE3CA5">
        <w:t xml:space="preserve"> </w:t>
      </w:r>
      <w:r>
        <w:t>Tylissos HM 7407: Hatzidakis 1921:</w:t>
      </w:r>
      <w:r w:rsidRPr="00EE3CA5">
        <w:t xml:space="preserve"> 82-86</w:t>
      </w:r>
      <w:r>
        <w:t>, fig. 44-46)</w:t>
      </w:r>
      <w:r w:rsidRPr="00191003">
        <w:t>, one from Archanes</w:t>
      </w:r>
      <w:r>
        <w:t xml:space="preserve"> Phourni (718 Archanes Phourni: Sakellarakis and Sakellaraki 1997: </w:t>
      </w:r>
      <w:r w:rsidRPr="006A1E38">
        <w:t>478-487, fig</w:t>
      </w:r>
      <w:r>
        <w:t>.</w:t>
      </w:r>
      <w:r w:rsidRPr="006A1E38">
        <w:t xml:space="preserve"> 465-466</w:t>
      </w:r>
      <w:r>
        <w:t>)</w:t>
      </w:r>
      <w:r w:rsidRPr="00191003">
        <w:t xml:space="preserve">, </w:t>
      </w:r>
      <w:r>
        <w:t>one</w:t>
      </w:r>
      <w:r w:rsidRPr="00191003">
        <w:t xml:space="preserve"> from Ligortyno</w:t>
      </w:r>
      <w:r>
        <w:t xml:space="preserve"> (</w:t>
      </w:r>
      <w:r w:rsidRPr="00191003">
        <w:t>813</w:t>
      </w:r>
      <w:r w:rsidRPr="007A2023">
        <w:t xml:space="preserve"> </w:t>
      </w:r>
      <w:r w:rsidRPr="00191003">
        <w:t>Ligortyno CA 921</w:t>
      </w:r>
      <w:r>
        <w:t>: D'Agata 2015:</w:t>
      </w:r>
      <w:r w:rsidRPr="00CB402E">
        <w:t xml:space="preserve"> 11-12, fig. 7</w:t>
      </w:r>
      <w:r>
        <w:t>)</w:t>
      </w:r>
      <w:r w:rsidRPr="00191003">
        <w:t xml:space="preserve">, </w:t>
      </w:r>
      <w:r>
        <w:t>one</w:t>
      </w:r>
      <w:r w:rsidRPr="00191003">
        <w:t xml:space="preserve"> from Moni</w:t>
      </w:r>
      <w:r>
        <w:t xml:space="preserve"> (605 Moni HM 11620: </w:t>
      </w:r>
      <w:r w:rsidRPr="00733192">
        <w:rPr>
          <w:i/>
        </w:rPr>
        <w:t>KChr</w:t>
      </w:r>
      <w:r>
        <w:t xml:space="preserve"> 12 1958:</w:t>
      </w:r>
      <w:r w:rsidRPr="00A96EB8">
        <w:t xml:space="preserve"> 467; Kanta 1980:15 fig. 113.3</w:t>
      </w:r>
      <w:r>
        <w:t>),</w:t>
      </w:r>
      <w:r w:rsidRPr="00191003">
        <w:t xml:space="preserve"> one from Kavrochori</w:t>
      </w:r>
      <w:r>
        <w:t xml:space="preserve"> (604 Kavrochori HM 21899: Rethemiotakis </w:t>
      </w:r>
      <w:r w:rsidRPr="00A9340D">
        <w:t>1979</w:t>
      </w:r>
      <w:r>
        <w:t>:</w:t>
      </w:r>
      <w:r w:rsidRPr="00A9340D">
        <w:t xml:space="preserve"> 228-259, pls. 91-94</w:t>
      </w:r>
      <w:r>
        <w:t xml:space="preserve">), and three larnax from </w:t>
      </w:r>
      <w:r>
        <w:rPr>
          <w:color w:val="000000"/>
        </w:rPr>
        <w:t xml:space="preserve">Tylissos </w:t>
      </w:r>
      <w:r w:rsidRPr="00191003">
        <w:rPr>
          <w:color w:val="000000"/>
        </w:rPr>
        <w:t>Manekklesia</w:t>
      </w:r>
      <w:r>
        <w:rPr>
          <w:color w:val="000000"/>
        </w:rPr>
        <w:t xml:space="preserve"> or Panokklisia (620 Tylissos </w:t>
      </w:r>
      <w:r w:rsidRPr="00191003">
        <w:rPr>
          <w:color w:val="000000"/>
        </w:rPr>
        <w:t>Manekklesia</w:t>
      </w:r>
      <w:r>
        <w:rPr>
          <w:color w:val="000000"/>
        </w:rPr>
        <w:t xml:space="preserve"> or Panokklisia HM 23376: 621 Tylissos </w:t>
      </w:r>
      <w:r w:rsidRPr="00191003">
        <w:rPr>
          <w:color w:val="000000"/>
        </w:rPr>
        <w:t>Manekklesia</w:t>
      </w:r>
      <w:r>
        <w:rPr>
          <w:color w:val="000000"/>
        </w:rPr>
        <w:t xml:space="preserve"> or Panokklisia HM 23379: 623 Tylissos </w:t>
      </w:r>
      <w:r w:rsidRPr="00191003">
        <w:rPr>
          <w:color w:val="000000"/>
        </w:rPr>
        <w:t>Manekklesia</w:t>
      </w:r>
      <w:r>
        <w:rPr>
          <w:color w:val="000000"/>
        </w:rPr>
        <w:t xml:space="preserve"> or Panokklisia HM 23377, although not considered with the sample of larnakes from secure burial location, because there are no information of the tomb where they have been found </w:t>
      </w:r>
      <w:r w:rsidRPr="00191003">
        <w:rPr>
          <w:color w:val="000000"/>
        </w:rPr>
        <w:t>Rethemiotakis 1979</w:t>
      </w:r>
      <w:r>
        <w:rPr>
          <w:color w:val="000000"/>
        </w:rPr>
        <w:t>:</w:t>
      </w:r>
      <w:r w:rsidRPr="00191003">
        <w:rPr>
          <w:color w:val="000000"/>
        </w:rPr>
        <w:t xml:space="preserve"> 242, n. 17, n. 18</w:t>
      </w:r>
      <w:r>
        <w:rPr>
          <w:color w:val="000000"/>
        </w:rPr>
        <w:t xml:space="preserve">) </w:t>
      </w:r>
      <w:r>
        <w:t xml:space="preserve"> </w:t>
      </w:r>
      <w:r w:rsidRPr="00191003">
        <w:t xml:space="preserve"> are </w:t>
      </w:r>
      <w:r>
        <w:t xml:space="preserve">all </w:t>
      </w:r>
      <w:r w:rsidRPr="00191003">
        <w:t>decorated on their long</w:t>
      </w:r>
      <w:r>
        <w:t>-</w:t>
      </w:r>
      <w:r w:rsidRPr="00191003">
        <w:t>side panels with the same motif (tricurved arch</w:t>
      </w:r>
      <w:r>
        <w:t xml:space="preserve"> FM 62</w:t>
      </w:r>
      <w:r w:rsidRPr="00191003">
        <w:t xml:space="preserve"> pattern). In the case of the larna</w:t>
      </w:r>
      <w:r>
        <w:t>kes</w:t>
      </w:r>
      <w:r w:rsidRPr="00191003">
        <w:t xml:space="preserve"> from Moni and from Kavrochori</w:t>
      </w:r>
      <w:r>
        <w:t>,</w:t>
      </w:r>
      <w:r w:rsidRPr="00191003">
        <w:t xml:space="preserve"> the way in which the motif</w:t>
      </w:r>
      <w:r>
        <w:t>s</w:t>
      </w:r>
      <w:r w:rsidRPr="00191003">
        <w:t xml:space="preserve"> </w:t>
      </w:r>
      <w:r>
        <w:t>are</w:t>
      </w:r>
      <w:r w:rsidRPr="00191003">
        <w:t xml:space="preserve"> rendered is very similar</w:t>
      </w:r>
      <w:r>
        <w:t xml:space="preserve"> (at the centre of the tricurved arches pattern that decorates the long sides there is a full painted circle in both larnakes)</w:t>
      </w:r>
      <w:r w:rsidRPr="00191003">
        <w:t>. The</w:t>
      </w:r>
      <w:r>
        <w:t>se</w:t>
      </w:r>
      <w:r w:rsidRPr="00191003">
        <w:t xml:space="preserve"> two larnakes share</w:t>
      </w:r>
      <w:r>
        <w:t xml:space="preserve"> also</w:t>
      </w:r>
      <w:r w:rsidRPr="00191003">
        <w:t xml:space="preserve"> the motif painted on the</w:t>
      </w:r>
      <w:r>
        <w:t>ir</w:t>
      </w:r>
      <w:r w:rsidRPr="00191003">
        <w:t xml:space="preserve"> short sides (wavy border). </w:t>
      </w:r>
      <w:r>
        <w:t xml:space="preserve"> The three larnakes from </w:t>
      </w:r>
      <w:r>
        <w:rPr>
          <w:color w:val="000000"/>
        </w:rPr>
        <w:t xml:space="preserve">Tylissos </w:t>
      </w:r>
      <w:r w:rsidRPr="00191003">
        <w:rPr>
          <w:color w:val="000000"/>
        </w:rPr>
        <w:t>Manekklesia</w:t>
      </w:r>
      <w:r>
        <w:rPr>
          <w:color w:val="000000"/>
        </w:rPr>
        <w:t xml:space="preserve"> or Panokklisia have a very similar decoration to the larnakes from Kavrochori and Moni, but in the middle of the tricurved arch pattern there is a stylised papyri instead that a circle.</w:t>
      </w:r>
      <w:r>
        <w:t xml:space="preserve"> </w:t>
      </w:r>
      <w:r w:rsidRPr="00191003">
        <w:t>The larna</w:t>
      </w:r>
      <w:r>
        <w:t>kes</w:t>
      </w:r>
      <w:r w:rsidRPr="00191003">
        <w:t xml:space="preserve"> from Ligortyno (813</w:t>
      </w:r>
      <w:r w:rsidRPr="007A2023">
        <w:t xml:space="preserve"> </w:t>
      </w:r>
      <w:r w:rsidRPr="00191003">
        <w:t>Ligortyno CA 921) and from Archanes</w:t>
      </w:r>
      <w:r>
        <w:t xml:space="preserve"> Phourni</w:t>
      </w:r>
      <w:r w:rsidRPr="00191003">
        <w:t xml:space="preserve"> (7</w:t>
      </w:r>
      <w:r>
        <w:t xml:space="preserve">18 </w:t>
      </w:r>
      <w:r w:rsidRPr="00191003">
        <w:t>Archanes</w:t>
      </w:r>
      <w:r>
        <w:t xml:space="preserve"> Phourni</w:t>
      </w:r>
      <w:r w:rsidRPr="00191003">
        <w:t>) share the same arrangement for the decoration of the lid (Ligortyno</w:t>
      </w:r>
      <w:r>
        <w:t>,</w:t>
      </w:r>
      <w:r w:rsidRPr="00191003">
        <w:t xml:space="preserve"> repeated birds</w:t>
      </w:r>
      <w:r>
        <w:t>;</w:t>
      </w:r>
      <w:r w:rsidRPr="00191003">
        <w:t xml:space="preserve"> Archanes</w:t>
      </w:r>
      <w:r>
        <w:t>,</w:t>
      </w:r>
      <w:r w:rsidRPr="00191003">
        <w:t xml:space="preserve"> repeated papyri) and the same motif on </w:t>
      </w:r>
      <w:r>
        <w:t xml:space="preserve">the </w:t>
      </w:r>
      <w:r w:rsidRPr="00191003">
        <w:t>frames (running spirals).</w:t>
      </w:r>
    </w:p>
    <w:p w14:paraId="07703B95" w14:textId="77777777" w:rsidR="00D726B2" w:rsidRPr="00191003" w:rsidRDefault="00D726B2" w:rsidP="00E858EF">
      <w:pPr>
        <w:pStyle w:val="Paragrafoelenco"/>
        <w:suppressAutoHyphens/>
        <w:ind w:left="0"/>
      </w:pPr>
      <w:r w:rsidRPr="00191003">
        <w:t xml:space="preserve">Possible </w:t>
      </w:r>
      <w:r>
        <w:t>G</w:t>
      </w:r>
      <w:r w:rsidRPr="00191003">
        <w:t>roup 4: wavy lines or full</w:t>
      </w:r>
      <w:r>
        <w:t>y</w:t>
      </w:r>
      <w:r w:rsidRPr="00191003">
        <w:t xml:space="preserve"> painted frames</w:t>
      </w:r>
    </w:p>
    <w:p w14:paraId="77AA86F0" w14:textId="77777777" w:rsidR="00D726B2" w:rsidRPr="00191003" w:rsidRDefault="00D726B2" w:rsidP="00E858EF">
      <w:pPr>
        <w:pStyle w:val="Paragrafoelenco"/>
        <w:suppressAutoHyphens/>
        <w:ind w:left="708"/>
      </w:pPr>
      <w:r w:rsidRPr="00191003">
        <w:t>Within this region</w:t>
      </w:r>
      <w:r>
        <w:t>,</w:t>
      </w:r>
      <w:r w:rsidRPr="00191003">
        <w:t xml:space="preserve"> larnakes with simp</w:t>
      </w:r>
      <w:r>
        <w:t>le</w:t>
      </w:r>
      <w:r w:rsidRPr="00191003">
        <w:t xml:space="preserve"> wavy lines decoration or with only full</w:t>
      </w:r>
      <w:r>
        <w:t>y</w:t>
      </w:r>
      <w:r w:rsidRPr="00191003">
        <w:t xml:space="preserve"> painted frames or outline. </w:t>
      </w:r>
      <w:r>
        <w:t>Such decoration has</w:t>
      </w:r>
      <w:r w:rsidRPr="00191003">
        <w:t xml:space="preserve"> been found in different cemeteries</w:t>
      </w:r>
      <w:r>
        <w:t>.</w:t>
      </w:r>
      <w:r w:rsidRPr="00191003">
        <w:t xml:space="preserve"> </w:t>
      </w:r>
      <w:r>
        <w:t>C</w:t>
      </w:r>
      <w:r w:rsidRPr="00191003">
        <w:t>onsequently</w:t>
      </w:r>
      <w:r>
        <w:t>,</w:t>
      </w:r>
      <w:r w:rsidRPr="00191003">
        <w:t xml:space="preserve"> it is not </w:t>
      </w:r>
      <w:r>
        <w:t>certain whether</w:t>
      </w:r>
      <w:r w:rsidRPr="00191003">
        <w:t xml:space="preserve"> the</w:t>
      </w:r>
      <w:r>
        <w:t xml:space="preserve"> larnakes</w:t>
      </w:r>
      <w:r w:rsidRPr="00191003">
        <w:t xml:space="preserve"> come from the same workshop (</w:t>
      </w:r>
      <w:r>
        <w:t xml:space="preserve">perhaps </w:t>
      </w:r>
      <w:r w:rsidRPr="00191003">
        <w:t>the hypothesis of a workshop for these</w:t>
      </w:r>
      <w:r>
        <w:t xml:space="preserve"> larnakes </w:t>
      </w:r>
      <w:r w:rsidRPr="00191003">
        <w:t>could be</w:t>
      </w:r>
      <w:r>
        <w:t xml:space="preserve"> made</w:t>
      </w:r>
      <w:r w:rsidRPr="00191003">
        <w:t xml:space="preserve"> </w:t>
      </w:r>
      <w:r>
        <w:t>for</w:t>
      </w:r>
      <w:r w:rsidRPr="00191003">
        <w:t xml:space="preserve"> Methochi Kalou and Phoinik</w:t>
      </w:r>
      <w:r>
        <w:t>i</w:t>
      </w:r>
      <w:r w:rsidRPr="00191003">
        <w:t>a, where</w:t>
      </w:r>
      <w:r>
        <w:t>, respectively,</w:t>
      </w:r>
      <w:r w:rsidRPr="00191003">
        <w:t xml:space="preserve"> </w:t>
      </w:r>
      <w:r>
        <w:t>five</w:t>
      </w:r>
      <w:r w:rsidRPr="00191003">
        <w:t xml:space="preserve"> and </w:t>
      </w:r>
      <w:r>
        <w:t>three</w:t>
      </w:r>
      <w:r w:rsidRPr="00191003">
        <w:t xml:space="preserve"> larnakes with this type of decoration</w:t>
      </w:r>
      <w:r>
        <w:t xml:space="preserve"> originated</w:t>
      </w:r>
      <w:r w:rsidRPr="00191003">
        <w:t>). Most probably</w:t>
      </w:r>
      <w:r>
        <w:t>,</w:t>
      </w:r>
      <w:r w:rsidRPr="00191003">
        <w:t xml:space="preserve"> these simple decoration</w:t>
      </w:r>
      <w:r>
        <w:t>s</w:t>
      </w:r>
      <w:r w:rsidRPr="00191003">
        <w:t xml:space="preserve"> were common and used in workshop</w:t>
      </w:r>
      <w:r>
        <w:t>s</w:t>
      </w:r>
      <w:r w:rsidRPr="00191003">
        <w:t xml:space="preserve"> in different areas:</w:t>
      </w:r>
    </w:p>
    <w:p w14:paraId="64078DC9" w14:textId="77777777" w:rsidR="00D726B2" w:rsidRPr="00191003" w:rsidRDefault="00D726B2" w:rsidP="00E858EF">
      <w:pPr>
        <w:pStyle w:val="Paragrafoelenco"/>
        <w:suppressAutoHyphens/>
        <w:ind w:left="708"/>
      </w:pPr>
      <w:r w:rsidRPr="00191003">
        <w:t>Groups of wavy lines:</w:t>
      </w:r>
    </w:p>
    <w:p w14:paraId="10D747BE" w14:textId="77777777" w:rsidR="00D726B2" w:rsidRPr="00191003" w:rsidRDefault="00D726B2" w:rsidP="00E858EF">
      <w:pPr>
        <w:pStyle w:val="Paragrafoelenco"/>
        <w:numPr>
          <w:ilvl w:val="0"/>
          <w:numId w:val="95"/>
        </w:numPr>
        <w:suppressAutoHyphens/>
        <w:spacing w:after="160"/>
      </w:pPr>
      <w:r w:rsidRPr="00191003">
        <w:t>696</w:t>
      </w:r>
      <w:r>
        <w:t xml:space="preserve"> </w:t>
      </w:r>
      <w:r w:rsidRPr="00191003">
        <w:t xml:space="preserve">Agios Syllas HM 2295 </w:t>
      </w:r>
      <w:r>
        <w:t>(</w:t>
      </w:r>
      <w:r w:rsidRPr="00733192">
        <w:rPr>
          <w:i/>
        </w:rPr>
        <w:t>ADelt</w:t>
      </w:r>
      <w:r>
        <w:t xml:space="preserve"> 1978:</w:t>
      </w:r>
      <w:r w:rsidRPr="00B571EB">
        <w:t xml:space="preserve"> 352-353, pl 179b</w:t>
      </w:r>
      <w:r>
        <w:t>)</w:t>
      </w:r>
    </w:p>
    <w:p w14:paraId="2DE7F0D5" w14:textId="77777777" w:rsidR="00D726B2" w:rsidRPr="00191003" w:rsidRDefault="00D726B2" w:rsidP="00E858EF">
      <w:pPr>
        <w:pStyle w:val="Paragrafoelenco"/>
        <w:numPr>
          <w:ilvl w:val="0"/>
          <w:numId w:val="95"/>
        </w:numPr>
        <w:suppressAutoHyphens/>
        <w:spacing w:after="160"/>
      </w:pPr>
      <w:r w:rsidRPr="00191003">
        <w:t xml:space="preserve">709 Archanes Phourni HM 14345 </w:t>
      </w:r>
      <w:r>
        <w:t>(</w:t>
      </w:r>
      <w:r w:rsidRPr="00B571EB">
        <w:t>Sakellarakis</w:t>
      </w:r>
      <w:r>
        <w:t xml:space="preserve"> and </w:t>
      </w:r>
      <w:r w:rsidRPr="00B571EB">
        <w:t>Sakellaraki 1997</w:t>
      </w:r>
      <w:r>
        <w:t>:</w:t>
      </w:r>
      <w:r w:rsidRPr="00B571EB">
        <w:t xml:space="preserve"> 478-487, fig. 472</w:t>
      </w:r>
      <w:r>
        <w:t>)</w:t>
      </w:r>
    </w:p>
    <w:p w14:paraId="360EE6AF" w14:textId="04C20A57" w:rsidR="00D726B2" w:rsidRPr="00191003" w:rsidRDefault="00D726B2" w:rsidP="00E858EF">
      <w:pPr>
        <w:pStyle w:val="Paragrafoelenco"/>
        <w:numPr>
          <w:ilvl w:val="0"/>
          <w:numId w:val="95"/>
        </w:numPr>
        <w:suppressAutoHyphens/>
        <w:spacing w:after="160"/>
      </w:pPr>
      <w:r w:rsidRPr="00191003">
        <w:t xml:space="preserve">655 Methochi Kalou HM 19024 </w:t>
      </w:r>
      <w:r>
        <w:t>(</w:t>
      </w:r>
      <w:r w:rsidR="00D5702D">
        <w:t>Dimopoulou</w:t>
      </w:r>
      <w:r>
        <w:t xml:space="preserve"> and </w:t>
      </w:r>
      <w:r w:rsidRPr="00475C88">
        <w:t xml:space="preserve">Rethemiotakis </w:t>
      </w:r>
      <w:r>
        <w:t>1978:</w:t>
      </w:r>
      <w:r w:rsidRPr="00475C88">
        <w:t xml:space="preserve"> 89 pl. 17 a</w:t>
      </w:r>
      <w:r>
        <w:t>)</w:t>
      </w:r>
    </w:p>
    <w:p w14:paraId="74B4901A" w14:textId="376D4EBC" w:rsidR="00D726B2" w:rsidRPr="00191003" w:rsidRDefault="00D726B2" w:rsidP="00E858EF">
      <w:pPr>
        <w:pStyle w:val="Paragrafoelenco"/>
        <w:numPr>
          <w:ilvl w:val="0"/>
          <w:numId w:val="95"/>
        </w:numPr>
        <w:suppressAutoHyphens/>
        <w:spacing w:after="160"/>
      </w:pPr>
      <w:r w:rsidRPr="00191003">
        <w:t>656</w:t>
      </w:r>
      <w:r>
        <w:t xml:space="preserve"> </w:t>
      </w:r>
      <w:r w:rsidRPr="00191003">
        <w:t xml:space="preserve">Methochi Kalou HM 19025 </w:t>
      </w:r>
      <w:r>
        <w:t>(</w:t>
      </w:r>
      <w:r w:rsidR="00D5702D">
        <w:t>Dimopoulou</w:t>
      </w:r>
      <w:r>
        <w:t xml:space="preserve"> and</w:t>
      </w:r>
      <w:r w:rsidRPr="00475C88">
        <w:t xml:space="preserve"> Rethemiotakis </w:t>
      </w:r>
      <w:r w:rsidRPr="00733192">
        <w:rPr>
          <w:i/>
        </w:rPr>
        <w:t>ADelt</w:t>
      </w:r>
      <w:r w:rsidRPr="00475C88">
        <w:t xml:space="preserve"> 1978: 90</w:t>
      </w:r>
      <w:r>
        <w:t>)</w:t>
      </w:r>
    </w:p>
    <w:p w14:paraId="4E092F0E" w14:textId="790BFEF8" w:rsidR="00D726B2" w:rsidRPr="00191003" w:rsidRDefault="00D726B2" w:rsidP="00E858EF">
      <w:pPr>
        <w:pStyle w:val="Paragrafoelenco"/>
        <w:numPr>
          <w:ilvl w:val="0"/>
          <w:numId w:val="95"/>
        </w:numPr>
        <w:suppressAutoHyphens/>
        <w:spacing w:after="160"/>
      </w:pPr>
      <w:r w:rsidRPr="00191003">
        <w:t xml:space="preserve">658 Methochi Kalou HM 21820 </w:t>
      </w:r>
      <w:r>
        <w:t>(</w:t>
      </w:r>
      <w:r w:rsidR="00D5702D">
        <w:t>Dimopoulou</w:t>
      </w:r>
      <w:r>
        <w:t xml:space="preserve"> and</w:t>
      </w:r>
      <w:r w:rsidRPr="00463A4B">
        <w:t xml:space="preserve"> Rethemiotakis </w:t>
      </w:r>
      <w:r w:rsidRPr="00733192">
        <w:rPr>
          <w:i/>
        </w:rPr>
        <w:t>ADelt</w:t>
      </w:r>
      <w:r w:rsidRPr="00463A4B">
        <w:t xml:space="preserve"> 1978, 91, pl. 17b</w:t>
      </w:r>
      <w:r>
        <w:t>)</w:t>
      </w:r>
    </w:p>
    <w:p w14:paraId="515EFE6E" w14:textId="564CDC0B" w:rsidR="00D726B2" w:rsidRPr="00191003" w:rsidRDefault="00D726B2" w:rsidP="00E858EF">
      <w:pPr>
        <w:pStyle w:val="Paragrafoelenco"/>
        <w:numPr>
          <w:ilvl w:val="0"/>
          <w:numId w:val="95"/>
        </w:numPr>
        <w:suppressAutoHyphens/>
        <w:spacing w:after="160"/>
      </w:pPr>
      <w:r w:rsidRPr="00191003">
        <w:t>669</w:t>
      </w:r>
      <w:r>
        <w:t xml:space="preserve"> </w:t>
      </w:r>
      <w:r w:rsidRPr="00191003">
        <w:t xml:space="preserve">Methochi Kalou HM 21815 </w:t>
      </w:r>
      <w:r>
        <w:t>(</w:t>
      </w:r>
      <w:r w:rsidR="00D5702D">
        <w:t>Dimopoulou</w:t>
      </w:r>
      <w:r>
        <w:t xml:space="preserve"> and</w:t>
      </w:r>
      <w:r w:rsidRPr="00463A4B">
        <w:t xml:space="preserve"> Rethemiotakis </w:t>
      </w:r>
      <w:r w:rsidRPr="00733192">
        <w:rPr>
          <w:i/>
        </w:rPr>
        <w:t>ADelt</w:t>
      </w:r>
      <w:r w:rsidRPr="00463A4B">
        <w:t xml:space="preserve"> 1978: 97, pl. 20 a</w:t>
      </w:r>
      <w:r>
        <w:t>)</w:t>
      </w:r>
    </w:p>
    <w:p w14:paraId="4453B3B4" w14:textId="77777777" w:rsidR="00D726B2" w:rsidRPr="00191003" w:rsidRDefault="00D726B2" w:rsidP="00E858EF">
      <w:pPr>
        <w:pStyle w:val="Paragrafoelenco"/>
        <w:numPr>
          <w:ilvl w:val="0"/>
          <w:numId w:val="95"/>
        </w:numPr>
        <w:suppressAutoHyphens/>
        <w:spacing w:after="160"/>
      </w:pPr>
      <w:r w:rsidRPr="00191003">
        <w:t>6</w:t>
      </w:r>
      <w:r>
        <w:t>3</w:t>
      </w:r>
      <w:r w:rsidRPr="00191003">
        <w:t>9 Phoinik</w:t>
      </w:r>
      <w:r>
        <w:t>i</w:t>
      </w:r>
      <w:r w:rsidRPr="00191003">
        <w:t>a HM 18791</w:t>
      </w:r>
      <w:r>
        <w:t>(</w:t>
      </w:r>
      <w:r w:rsidRPr="00733192">
        <w:rPr>
          <w:i/>
        </w:rPr>
        <w:t>ADelt</w:t>
      </w:r>
      <w:r w:rsidRPr="002179FC">
        <w:t xml:space="preserve"> 75 1970, 455 pl.397 </w:t>
      </w:r>
      <w:r>
        <w:t>b)</w:t>
      </w:r>
    </w:p>
    <w:p w14:paraId="5A21CFE3" w14:textId="77777777" w:rsidR="00D726B2" w:rsidRPr="00191003" w:rsidRDefault="00D726B2" w:rsidP="00E858EF">
      <w:pPr>
        <w:pStyle w:val="Paragrafoelenco"/>
        <w:numPr>
          <w:ilvl w:val="0"/>
          <w:numId w:val="95"/>
        </w:numPr>
        <w:suppressAutoHyphens/>
        <w:spacing w:after="160"/>
      </w:pPr>
      <w:r w:rsidRPr="00191003">
        <w:t>640 Phoinik</w:t>
      </w:r>
      <w:r>
        <w:t>i</w:t>
      </w:r>
      <w:r w:rsidRPr="00191003">
        <w:t>a</w:t>
      </w:r>
      <w:r>
        <w:t xml:space="preserve"> (</w:t>
      </w:r>
      <w:r w:rsidRPr="00733192">
        <w:rPr>
          <w:i/>
        </w:rPr>
        <w:t>ADelt</w:t>
      </w:r>
      <w:r>
        <w:t xml:space="preserve"> 75 1970, 455 pl.397 </w:t>
      </w:r>
      <w:r w:rsidRPr="00F51C4C">
        <w:t>c</w:t>
      </w:r>
      <w:r>
        <w:t>)</w:t>
      </w:r>
    </w:p>
    <w:p w14:paraId="5E312CF3" w14:textId="77777777" w:rsidR="00D726B2" w:rsidRPr="00191003" w:rsidRDefault="00D726B2" w:rsidP="00E858EF">
      <w:pPr>
        <w:suppressAutoHyphens/>
        <w:ind w:left="708"/>
      </w:pPr>
      <w:r w:rsidRPr="00191003">
        <w:t>Outlined or full</w:t>
      </w:r>
      <w:r>
        <w:t>y</w:t>
      </w:r>
      <w:r w:rsidRPr="00191003">
        <w:t xml:space="preserve"> painted frames:. </w:t>
      </w:r>
    </w:p>
    <w:p w14:paraId="1F965F4A" w14:textId="77777777" w:rsidR="00D726B2" w:rsidRPr="00191003" w:rsidRDefault="00D726B2" w:rsidP="00E858EF">
      <w:pPr>
        <w:pStyle w:val="Paragrafoelenco"/>
        <w:numPr>
          <w:ilvl w:val="0"/>
          <w:numId w:val="96"/>
        </w:numPr>
        <w:suppressAutoHyphens/>
        <w:spacing w:after="160"/>
      </w:pPr>
      <w:r w:rsidRPr="00191003">
        <w:t xml:space="preserve">729 Gournes (only the chest body; </w:t>
      </w:r>
      <w:r>
        <w:t xml:space="preserve">the </w:t>
      </w:r>
      <w:r w:rsidRPr="00191003">
        <w:t>lid is decorated with birds)</w:t>
      </w:r>
      <w:r>
        <w:t xml:space="preserve"> (Hat</w:t>
      </w:r>
      <w:r w:rsidRPr="00044D2B">
        <w:t xml:space="preserve">zidakis </w:t>
      </w:r>
      <w:r>
        <w:t>1918:</w:t>
      </w:r>
      <w:r w:rsidRPr="00044D2B">
        <w:t xml:space="preserve"> 63-87 fig. 23; Kanta 1980, 47-50</w:t>
      </w:r>
    </w:p>
    <w:p w14:paraId="66D25AC5" w14:textId="77777777" w:rsidR="00D726B2" w:rsidRPr="00191003" w:rsidRDefault="00D726B2" w:rsidP="00E858EF">
      <w:pPr>
        <w:pStyle w:val="Paragrafoelenco"/>
        <w:numPr>
          <w:ilvl w:val="0"/>
          <w:numId w:val="96"/>
        </w:numPr>
        <w:suppressAutoHyphens/>
        <w:spacing w:after="160"/>
      </w:pPr>
      <w:r w:rsidRPr="00191003">
        <w:t>936 Karteros Agia Photeini</w:t>
      </w:r>
      <w:r>
        <w:t xml:space="preserve"> (</w:t>
      </w:r>
      <w:r w:rsidRPr="00191003">
        <w:t xml:space="preserve">Mandalaki 2011: 290 </w:t>
      </w:r>
      <w:r>
        <w:t>F</w:t>
      </w:r>
      <w:r w:rsidRPr="00191003">
        <w:t>ig. 2</w:t>
      </w:r>
      <w:r>
        <w:t>)</w:t>
      </w:r>
    </w:p>
    <w:p w14:paraId="2EF11CF2" w14:textId="3D90C593" w:rsidR="00D726B2" w:rsidRPr="00191003" w:rsidRDefault="00D726B2" w:rsidP="00E858EF">
      <w:pPr>
        <w:pStyle w:val="Paragrafoelenco"/>
        <w:numPr>
          <w:ilvl w:val="0"/>
          <w:numId w:val="96"/>
        </w:numPr>
        <w:suppressAutoHyphens/>
        <w:spacing w:after="160"/>
      </w:pPr>
      <w:r w:rsidRPr="00191003">
        <w:t xml:space="preserve">671 Methochi Kalou HM 21818 </w:t>
      </w:r>
      <w:r>
        <w:t>(</w:t>
      </w:r>
      <w:r w:rsidR="00D5702D">
        <w:t>Dimopoulou</w:t>
      </w:r>
      <w:r w:rsidRPr="00904454">
        <w:t xml:space="preserve"> and Rethemiotakis 1978: 97-98, pl. 20 b</w:t>
      </w:r>
      <w:r>
        <w:t>)</w:t>
      </w:r>
    </w:p>
    <w:p w14:paraId="72F04089" w14:textId="77777777" w:rsidR="00D726B2" w:rsidRPr="00191003" w:rsidRDefault="00D726B2" w:rsidP="00E858EF">
      <w:pPr>
        <w:pStyle w:val="Paragrafoelenco"/>
        <w:numPr>
          <w:ilvl w:val="0"/>
          <w:numId w:val="96"/>
        </w:numPr>
        <w:suppressAutoHyphens/>
        <w:spacing w:after="160"/>
      </w:pPr>
      <w:r w:rsidRPr="00191003">
        <w:t>641 Phoinik</w:t>
      </w:r>
      <w:r>
        <w:t>i</w:t>
      </w:r>
      <w:r w:rsidRPr="00191003">
        <w:t>a</w:t>
      </w:r>
      <w:r>
        <w:t xml:space="preserve"> (</w:t>
      </w:r>
      <w:r w:rsidRPr="00733192">
        <w:rPr>
          <w:i/>
        </w:rPr>
        <w:t>ADelt</w:t>
      </w:r>
      <w:r>
        <w:t xml:space="preserve"> 75 1970,: 455 pl.397)</w:t>
      </w:r>
    </w:p>
    <w:p w14:paraId="05E8B2B2" w14:textId="77777777" w:rsidR="00D726B2" w:rsidRPr="00191003" w:rsidRDefault="00D726B2" w:rsidP="00E858EF">
      <w:pPr>
        <w:suppressAutoHyphens/>
        <w:ind w:left="708"/>
      </w:pPr>
      <w:r>
        <w:t>The</w:t>
      </w:r>
      <w:r w:rsidRPr="00191003">
        <w:t xml:space="preserve"> larnax from Karteros Agia Photeini is decorated in full black with </w:t>
      </w:r>
      <w:r>
        <w:t xml:space="preserve">a </w:t>
      </w:r>
      <w:r w:rsidRPr="00191003">
        <w:t>linear decoration added (</w:t>
      </w:r>
      <w:r>
        <w:t xml:space="preserve">936 Karteros Agia Photeini: </w:t>
      </w:r>
      <w:r w:rsidRPr="00191003">
        <w:t xml:space="preserve">Mandalaki 2011: 290 </w:t>
      </w:r>
      <w:r>
        <w:t>F</w:t>
      </w:r>
      <w:r w:rsidRPr="00191003">
        <w:t>ig. 2).</w:t>
      </w:r>
    </w:p>
    <w:p w14:paraId="4B1C11EF" w14:textId="77777777" w:rsidR="00D726B2" w:rsidRPr="00191003" w:rsidRDefault="00D726B2" w:rsidP="00E858EF">
      <w:pPr>
        <w:pStyle w:val="Titolo3"/>
        <w:keepNext w:val="0"/>
        <w:keepLines w:val="0"/>
        <w:suppressAutoHyphens/>
      </w:pPr>
      <w:bookmarkStart w:id="1146" w:name="_Toc517807620"/>
      <w:bookmarkStart w:id="1147" w:name="_Toc519894697"/>
      <w:r w:rsidRPr="00191003">
        <w:t>Conclusion</w:t>
      </w:r>
      <w:r>
        <w:t>s</w:t>
      </w:r>
      <w:bookmarkEnd w:id="1146"/>
      <w:r>
        <w:t>, Central area</w:t>
      </w:r>
      <w:bookmarkEnd w:id="1147"/>
    </w:p>
    <w:p w14:paraId="0EE8CB4E" w14:textId="77777777" w:rsidR="00D726B2" w:rsidRPr="00191003" w:rsidRDefault="00D726B2" w:rsidP="00E858EF">
      <w:pPr>
        <w:suppressAutoHyphens/>
        <w:rPr>
          <w:b/>
        </w:rPr>
      </w:pPr>
      <w:r>
        <w:rPr>
          <w:color w:val="000000"/>
        </w:rPr>
        <w:t xml:space="preserve">Regarding </w:t>
      </w:r>
      <w:r w:rsidRPr="00191003">
        <w:rPr>
          <w:color w:val="000000"/>
        </w:rPr>
        <w:t>morphology</w:t>
      </w:r>
      <w:r>
        <w:rPr>
          <w:color w:val="000000"/>
        </w:rPr>
        <w:t>,</w:t>
      </w:r>
      <w:r w:rsidRPr="00191003">
        <w:rPr>
          <w:color w:val="000000"/>
        </w:rPr>
        <w:t xml:space="preserve"> larnakes from the </w:t>
      </w:r>
      <w:r>
        <w:rPr>
          <w:color w:val="000000"/>
        </w:rPr>
        <w:t>C</w:t>
      </w:r>
      <w:r w:rsidRPr="00191003">
        <w:rPr>
          <w:color w:val="000000"/>
        </w:rPr>
        <w:t xml:space="preserve">entral area </w:t>
      </w:r>
      <w:r>
        <w:rPr>
          <w:color w:val="000000"/>
        </w:rPr>
        <w:t>have</w:t>
      </w:r>
      <w:r w:rsidRPr="00191003">
        <w:rPr>
          <w:color w:val="000000"/>
        </w:rPr>
        <w:t xml:space="preserve"> a lower degree of standardi</w:t>
      </w:r>
      <w:r>
        <w:rPr>
          <w:color w:val="000000"/>
        </w:rPr>
        <w:t>s</w:t>
      </w:r>
      <w:r w:rsidRPr="00191003">
        <w:rPr>
          <w:color w:val="000000"/>
        </w:rPr>
        <w:t>ation (the two larna</w:t>
      </w:r>
      <w:r>
        <w:rPr>
          <w:color w:val="000000"/>
        </w:rPr>
        <w:t>x</w:t>
      </w:r>
      <w:r w:rsidRPr="00191003">
        <w:rPr>
          <w:color w:val="000000"/>
        </w:rPr>
        <w:t xml:space="preserve"> typologies occur, variation in gable lid morphology registered</w:t>
      </w:r>
      <w:r>
        <w:rPr>
          <w:color w:val="000000"/>
        </w:rPr>
        <w:t>,</w:t>
      </w:r>
      <w:r w:rsidRPr="00191003">
        <w:rPr>
          <w:color w:val="000000"/>
        </w:rPr>
        <w:t xml:space="preserve"> </w:t>
      </w:r>
      <w:r>
        <w:rPr>
          <w:color w:val="000000"/>
        </w:rPr>
        <w:t>(</w:t>
      </w:r>
      <w:r w:rsidRPr="00191003">
        <w:rPr>
          <w:color w:val="000000"/>
        </w:rPr>
        <w:t xml:space="preserve">e.g. Gazi and Episkopi </w:t>
      </w:r>
      <w:r>
        <w:rPr>
          <w:color w:val="000000"/>
        </w:rPr>
        <w:t>Pediada)</w:t>
      </w:r>
      <w:r w:rsidRPr="00191003">
        <w:rPr>
          <w:color w:val="000000"/>
        </w:rPr>
        <w:t xml:space="preserve"> different ways of rendering panel frame division</w:t>
      </w:r>
      <w:r>
        <w:rPr>
          <w:color w:val="000000"/>
        </w:rPr>
        <w:t xml:space="preserve"> (</w:t>
      </w:r>
      <w:r w:rsidRPr="00191003">
        <w:rPr>
          <w:color w:val="000000"/>
        </w:rPr>
        <w:t>incised and raised panel</w:t>
      </w:r>
      <w:r>
        <w:rPr>
          <w:color w:val="000000"/>
        </w:rPr>
        <w:t>)</w:t>
      </w:r>
      <w:r w:rsidRPr="00191003">
        <w:rPr>
          <w:color w:val="000000"/>
        </w:rPr>
        <w:t>,</w:t>
      </w:r>
      <w:r>
        <w:rPr>
          <w:color w:val="000000"/>
        </w:rPr>
        <w:t xml:space="preserve"> and</w:t>
      </w:r>
      <w:r w:rsidRPr="00191003">
        <w:rPr>
          <w:color w:val="000000"/>
        </w:rPr>
        <w:t xml:space="preserve"> different ways of divi</w:t>
      </w:r>
      <w:r>
        <w:rPr>
          <w:color w:val="000000"/>
        </w:rPr>
        <w:t>di</w:t>
      </w:r>
      <w:r w:rsidRPr="00191003">
        <w:rPr>
          <w:color w:val="000000"/>
        </w:rPr>
        <w:t>ng panels</w:t>
      </w:r>
      <w:r>
        <w:rPr>
          <w:color w:val="000000"/>
        </w:rPr>
        <w:t xml:space="preserve"> (</w:t>
      </w:r>
      <w:r w:rsidRPr="00191003">
        <w:rPr>
          <w:color w:val="000000"/>
        </w:rPr>
        <w:t>decoration incised or painted).</w:t>
      </w:r>
    </w:p>
    <w:p w14:paraId="13CC1BC5" w14:textId="577463FF" w:rsidR="00D726B2" w:rsidRDefault="00D726B2" w:rsidP="00E858EF">
      <w:pPr>
        <w:suppressAutoHyphens/>
      </w:pPr>
      <w:r>
        <w:rPr>
          <w:color w:val="000000"/>
        </w:rPr>
        <w:tab/>
      </w:r>
      <w:r w:rsidRPr="00191003">
        <w:rPr>
          <w:color w:val="000000"/>
        </w:rPr>
        <w:t>The standard coffin type for this region is a clay decorated chest</w:t>
      </w:r>
      <w:r>
        <w:rPr>
          <w:color w:val="000000"/>
        </w:rPr>
        <w:t>-</w:t>
      </w:r>
      <w:r w:rsidRPr="00191003">
        <w:rPr>
          <w:color w:val="000000"/>
        </w:rPr>
        <w:t>shaped larnax with four feet and four raised bands with</w:t>
      </w:r>
      <w:r>
        <w:rPr>
          <w:color w:val="000000"/>
        </w:rPr>
        <w:t xml:space="preserve"> a</w:t>
      </w:r>
      <w:r w:rsidRPr="00191003">
        <w:rPr>
          <w:color w:val="000000"/>
        </w:rPr>
        <w:t xml:space="preserve"> gable lid, with holes or handles. Particularly interesting is the occurrence of larnakes with incised decoration, as in the case of larna</w:t>
      </w:r>
      <w:r>
        <w:rPr>
          <w:color w:val="000000"/>
        </w:rPr>
        <w:t>kes</w:t>
      </w:r>
      <w:r w:rsidRPr="00191003">
        <w:rPr>
          <w:color w:val="000000"/>
        </w:rPr>
        <w:t xml:space="preserve"> from Amnissos Karteros (</w:t>
      </w:r>
      <w:r>
        <w:rPr>
          <w:color w:val="000000"/>
        </w:rPr>
        <w:t xml:space="preserve">763 </w:t>
      </w:r>
      <w:r w:rsidRPr="00191003">
        <w:rPr>
          <w:color w:val="000000"/>
        </w:rPr>
        <w:t>Amnissos Karteros</w:t>
      </w:r>
      <w:r>
        <w:rPr>
          <w:color w:val="000000"/>
        </w:rPr>
        <w:t>:</w:t>
      </w:r>
      <w:r w:rsidRPr="00191003">
        <w:rPr>
          <w:color w:val="000000"/>
        </w:rPr>
        <w:t xml:space="preserve"> Marinatos 1927-28: 68-90 pl. 2; Kanta 1980: 38-43; Langohr 200</w:t>
      </w:r>
      <w:r>
        <w:rPr>
          <w:color w:val="000000"/>
        </w:rPr>
        <w:t>9</w:t>
      </w:r>
      <w:r w:rsidRPr="00191003">
        <w:rPr>
          <w:color w:val="000000"/>
        </w:rPr>
        <w:t>: 60-61), Archanes Mesampela (</w:t>
      </w:r>
      <w:r>
        <w:rPr>
          <w:color w:val="000000"/>
        </w:rPr>
        <w:t xml:space="preserve">708 </w:t>
      </w:r>
      <w:r w:rsidRPr="00191003">
        <w:rPr>
          <w:color w:val="000000"/>
        </w:rPr>
        <w:t>Archanes Mesampela</w:t>
      </w:r>
      <w:r>
        <w:rPr>
          <w:color w:val="000000"/>
        </w:rPr>
        <w:t xml:space="preserve">: </w:t>
      </w:r>
      <w:r w:rsidRPr="00191003">
        <w:rPr>
          <w:color w:val="000000"/>
        </w:rPr>
        <w:t>Sakellaraki 1990:</w:t>
      </w:r>
      <w:r>
        <w:rPr>
          <w:color w:val="000000"/>
        </w:rPr>
        <w:t xml:space="preserve"> </w:t>
      </w:r>
      <w:r w:rsidRPr="00191003">
        <w:rPr>
          <w:color w:val="000000"/>
        </w:rPr>
        <w:t>69,</w:t>
      </w:r>
      <w:r>
        <w:rPr>
          <w:color w:val="000000"/>
        </w:rPr>
        <w:t xml:space="preserve"> </w:t>
      </w:r>
      <w:r w:rsidRPr="00191003">
        <w:rPr>
          <w:color w:val="000000"/>
        </w:rPr>
        <w:t>77) and Artsa</w:t>
      </w:r>
      <w:r>
        <w:rPr>
          <w:color w:val="000000"/>
        </w:rPr>
        <w:t xml:space="preserve"> (753 Artsa: Xanthoudidis 1904:</w:t>
      </w:r>
      <w:r w:rsidRPr="00643456">
        <w:rPr>
          <w:color w:val="000000"/>
        </w:rPr>
        <w:t xml:space="preserve"> 1-21</w:t>
      </w:r>
      <w:r>
        <w:rPr>
          <w:color w:val="000000"/>
        </w:rPr>
        <w:t>)</w:t>
      </w:r>
      <w:r w:rsidRPr="00191003">
        <w:rPr>
          <w:color w:val="000000"/>
        </w:rPr>
        <w:t>. Another larnax found at Episkopi Christos (842 Episkopi Christos HM 842</w:t>
      </w:r>
      <w:r>
        <w:rPr>
          <w:color w:val="000000"/>
        </w:rPr>
        <w:t xml:space="preserve">: </w:t>
      </w:r>
      <w:r w:rsidRPr="00565C1E">
        <w:rPr>
          <w:i/>
          <w:color w:val="000000"/>
        </w:rPr>
        <w:t>EEKS</w:t>
      </w:r>
      <w:r>
        <w:rPr>
          <w:color w:val="000000"/>
        </w:rPr>
        <w:t xml:space="preserve"> 1941, 270</w:t>
      </w:r>
      <w:r w:rsidRPr="00191003">
        <w:rPr>
          <w:color w:val="000000"/>
        </w:rPr>
        <w:t xml:space="preserve">; Kanta 1980, 66-68) </w:t>
      </w:r>
      <w:r>
        <w:rPr>
          <w:color w:val="000000"/>
        </w:rPr>
        <w:t>has</w:t>
      </w:r>
      <w:r w:rsidRPr="00191003">
        <w:rPr>
          <w:color w:val="000000"/>
        </w:rPr>
        <w:t xml:space="preserve"> an unusual panel relief division: </w:t>
      </w:r>
      <w:r>
        <w:rPr>
          <w:color w:val="000000"/>
        </w:rPr>
        <w:t xml:space="preserve">a </w:t>
      </w:r>
      <w:r w:rsidRPr="00191003">
        <w:t>cross</w:t>
      </w:r>
      <w:r>
        <w:t>,</w:t>
      </w:r>
      <w:r w:rsidRPr="00191003">
        <w:t xml:space="preserve"> and the short</w:t>
      </w:r>
      <w:r>
        <w:t>-</w:t>
      </w:r>
      <w:r w:rsidRPr="00191003">
        <w:t>side panels in two horizontal panels</w:t>
      </w:r>
      <w:r>
        <w:t>,</w:t>
      </w:r>
      <w:r w:rsidRPr="00191003">
        <w:t xml:space="preserve"> one above the other. Similar features are visible </w:t>
      </w:r>
      <w:r>
        <w:t>on</w:t>
      </w:r>
      <w:r w:rsidRPr="00191003">
        <w:t xml:space="preserve"> other larnakes (</w:t>
      </w:r>
      <w:r>
        <w:t>e.g.</w:t>
      </w:r>
      <w:r w:rsidRPr="00191003">
        <w:t xml:space="preserve"> Knossos Zafer Papoura) and can be interpreted as signs of skeuomorphism</w:t>
      </w:r>
      <w:r w:rsidRPr="00191003">
        <w:rPr>
          <w:color w:val="000000"/>
        </w:rPr>
        <w:t>.</w:t>
      </w:r>
      <w:r>
        <w:t xml:space="preserve"> </w:t>
      </w:r>
      <w:r w:rsidRPr="00191003">
        <w:t xml:space="preserve">A larnax from Methochi Kalou </w:t>
      </w:r>
      <w:r>
        <w:t>has</w:t>
      </w:r>
      <w:r w:rsidRPr="00191003">
        <w:t xml:space="preserve"> plastic figurines (bulls</w:t>
      </w:r>
      <w:r>
        <w:t>’</w:t>
      </w:r>
      <w:r w:rsidRPr="00191003">
        <w:t xml:space="preserve"> head</w:t>
      </w:r>
      <w:r>
        <w:t>s</w:t>
      </w:r>
      <w:r w:rsidRPr="00191003">
        <w:t xml:space="preserve">) on the end of </w:t>
      </w:r>
      <w:r>
        <w:t xml:space="preserve">the </w:t>
      </w:r>
      <w:r w:rsidRPr="00191003">
        <w:t>ridgepole (667</w:t>
      </w:r>
      <w:r>
        <w:t xml:space="preserve"> </w:t>
      </w:r>
      <w:r w:rsidRPr="00191003">
        <w:t>Methochi Kalou HM 21819</w:t>
      </w:r>
      <w:r>
        <w:t xml:space="preserve">: </w:t>
      </w:r>
      <w:r w:rsidR="00D5702D">
        <w:t>Dimopoulou</w:t>
      </w:r>
      <w:r>
        <w:t xml:space="preserve"> and</w:t>
      </w:r>
      <w:r w:rsidRPr="004A1606">
        <w:t xml:space="preserve"> Rethemiotakis 1978: 95-96, pl. 18 b, 19 b-c</w:t>
      </w:r>
      <w:r w:rsidRPr="00191003">
        <w:t xml:space="preserve">). It is also worth </w:t>
      </w:r>
      <w:r>
        <w:t>noting</w:t>
      </w:r>
      <w:r w:rsidRPr="00191003">
        <w:t xml:space="preserve"> a larnax from Agios Myron </w:t>
      </w:r>
      <w:r>
        <w:t xml:space="preserve">(379 </w:t>
      </w:r>
      <w:r w:rsidRPr="00191003">
        <w:t xml:space="preserve">Agios Myron </w:t>
      </w:r>
      <w:r>
        <w:t xml:space="preserve">HM 9334) </w:t>
      </w:r>
      <w:r w:rsidRPr="00191003">
        <w:t xml:space="preserve">that </w:t>
      </w:r>
      <w:r>
        <w:t>has</w:t>
      </w:r>
      <w:r w:rsidRPr="00191003">
        <w:t xml:space="preserve"> two projecting stumps of clay fixed </w:t>
      </w:r>
      <w:r>
        <w:t xml:space="preserve">to </w:t>
      </w:r>
      <w:r w:rsidRPr="00191003">
        <w:t xml:space="preserve">the base of </w:t>
      </w:r>
      <w:r>
        <w:t xml:space="preserve">one </w:t>
      </w:r>
      <w:r w:rsidRPr="00191003">
        <w:t xml:space="preserve">short side, probably to facilitate the transport of the larnax inside the tomb (Kanta 1980: 291 </w:t>
      </w:r>
      <w:r>
        <w:t>F</w:t>
      </w:r>
      <w:r w:rsidRPr="00191003">
        <w:t xml:space="preserve">ig. 7.1). </w:t>
      </w:r>
    </w:p>
    <w:p w14:paraId="18522365" w14:textId="77777777" w:rsidR="00D726B2" w:rsidRPr="00191003" w:rsidRDefault="00D726B2" w:rsidP="00E858EF">
      <w:pPr>
        <w:suppressAutoHyphens/>
      </w:pPr>
      <w:r>
        <w:tab/>
        <w:t>The high morphological variation in larnakes from Central Crete can be compared to the sample from Mesara, although here it is possible to observe much more variability because the sample from this region is larger (Central area 233 larnakes, Mesara 123 larnakes).</w:t>
      </w:r>
    </w:p>
    <w:p w14:paraId="22249077" w14:textId="77777777" w:rsidR="00D726B2" w:rsidRPr="00191003" w:rsidRDefault="00D726B2" w:rsidP="00E858EF">
      <w:pPr>
        <w:suppressAutoHyphens/>
      </w:pPr>
      <w:r>
        <w:tab/>
      </w:r>
      <w:r w:rsidRPr="00191003">
        <w:t xml:space="preserve">Securely decorated larnakes from </w:t>
      </w:r>
      <w:r>
        <w:t>the C</w:t>
      </w:r>
      <w:r w:rsidRPr="00191003">
        <w:t xml:space="preserve">entral region represent 37% of the total number of secure larnakes, while for the remaining percentage there </w:t>
      </w:r>
      <w:r>
        <w:t>is</w:t>
      </w:r>
      <w:r w:rsidRPr="00191003">
        <w:t xml:space="preserve"> no information</w:t>
      </w:r>
      <w:r>
        <w:t xml:space="preserve"> available</w:t>
      </w:r>
      <w:r w:rsidRPr="00191003">
        <w:t xml:space="preserve"> or</w:t>
      </w:r>
      <w:r>
        <w:t xml:space="preserve"> they</w:t>
      </w:r>
      <w:r w:rsidRPr="00191003">
        <w:t xml:space="preserve"> are undecorated.</w:t>
      </w:r>
    </w:p>
    <w:p w14:paraId="6FC6F69A" w14:textId="77777777" w:rsidR="00D726B2" w:rsidRPr="00191003" w:rsidRDefault="00D726B2" w:rsidP="00E858EF">
      <w:pPr>
        <w:suppressAutoHyphens/>
      </w:pPr>
      <w:r>
        <w:tab/>
      </w:r>
      <w:r w:rsidRPr="00191003">
        <w:t>The vast majority of decorated larnakes are chest</w:t>
      </w:r>
      <w:r>
        <w:t>-</w:t>
      </w:r>
      <w:r w:rsidRPr="00191003">
        <w:t xml:space="preserve">shaped with </w:t>
      </w:r>
      <w:r>
        <w:t xml:space="preserve">a </w:t>
      </w:r>
      <w:r w:rsidRPr="00191003">
        <w:t>gable lid. Only three decorated sarcophagi are bathtub shape</w:t>
      </w:r>
      <w:r>
        <w:t>d</w:t>
      </w:r>
      <w:r w:rsidRPr="00191003">
        <w:t xml:space="preserve"> (the total number of bathtub larnakes from this region </w:t>
      </w:r>
      <w:r>
        <w:t>is</w:t>
      </w:r>
      <w:r w:rsidRPr="00191003">
        <w:t xml:space="preserve"> four, all decorated).</w:t>
      </w:r>
      <w:r>
        <w:t xml:space="preserve"> A</w:t>
      </w:r>
      <w:r w:rsidRPr="00191003">
        <w:t xml:space="preserve"> few </w:t>
      </w:r>
      <w:r>
        <w:t>have</w:t>
      </w:r>
      <w:r w:rsidRPr="00191003">
        <w:t xml:space="preserve"> peculiar </w:t>
      </w:r>
      <w:r>
        <w:t>motif</w:t>
      </w:r>
      <w:r w:rsidRPr="00191003">
        <w:t>s or scenes</w:t>
      </w:r>
      <w:r>
        <w:t xml:space="preserve"> on them</w:t>
      </w:r>
      <w:r w:rsidRPr="00191003">
        <w:t xml:space="preserve">. </w:t>
      </w:r>
      <w:r>
        <w:t>A</w:t>
      </w:r>
      <w:r w:rsidRPr="00191003">
        <w:t xml:space="preserve"> fragmentary larnax from </w:t>
      </w:r>
      <w:r w:rsidRPr="00590BC8">
        <w:t>Kyparissi</w:t>
      </w:r>
      <w:r>
        <w:t xml:space="preserve"> </w:t>
      </w:r>
      <w:r w:rsidRPr="00590BC8">
        <w:t>(</w:t>
      </w:r>
      <w:r w:rsidRPr="00484273">
        <w:t>649 Kyparissi)</w:t>
      </w:r>
      <w:r w:rsidRPr="00191003">
        <w:t xml:space="preserve"> </w:t>
      </w:r>
      <w:r>
        <w:t xml:space="preserve">has an </w:t>
      </w:r>
      <w:r w:rsidRPr="00191003">
        <w:t xml:space="preserve">architectural setting and objects (jugs) </w:t>
      </w:r>
      <w:r>
        <w:t>on it</w:t>
      </w:r>
      <w:r w:rsidRPr="00191003">
        <w:t>. Human figure</w:t>
      </w:r>
      <w:r>
        <w:t>s</w:t>
      </w:r>
      <w:r w:rsidRPr="00191003">
        <w:t xml:space="preserve"> </w:t>
      </w:r>
      <w:r>
        <w:t>are</w:t>
      </w:r>
      <w:r w:rsidRPr="00191003">
        <w:t xml:space="preserve"> registered only once</w:t>
      </w:r>
      <w:r>
        <w:t>, on the</w:t>
      </w:r>
      <w:r w:rsidRPr="00191003">
        <w:t xml:space="preserve"> short side of a larnax from Nirou </w:t>
      </w:r>
      <w:r w:rsidRPr="00590BC8">
        <w:t>Chani,</w:t>
      </w:r>
      <w:r>
        <w:t xml:space="preserve"> </w:t>
      </w:r>
      <w:r w:rsidRPr="00590BC8">
        <w:t>(</w:t>
      </w:r>
      <w:r w:rsidRPr="00484273">
        <w:t>755 Nirou Chani</w:t>
      </w:r>
      <w:r>
        <w:t>)</w:t>
      </w:r>
      <w:r w:rsidRPr="00191003">
        <w:t xml:space="preserve"> probably with upraised arms and an object (sceptre?) </w:t>
      </w:r>
      <w:r>
        <w:t>i</w:t>
      </w:r>
      <w:r w:rsidRPr="00191003">
        <w:t xml:space="preserve">n the right hand. </w:t>
      </w:r>
      <w:r>
        <w:t>Two o</w:t>
      </w:r>
      <w:r w:rsidRPr="00191003">
        <w:t xml:space="preserve">ther larnakes </w:t>
      </w:r>
      <w:r>
        <w:t>have</w:t>
      </w:r>
      <w:r w:rsidRPr="00191003">
        <w:t xml:space="preserve"> </w:t>
      </w:r>
      <w:r>
        <w:t>motif</w:t>
      </w:r>
      <w:r w:rsidRPr="00191003">
        <w:t xml:space="preserve">s </w:t>
      </w:r>
      <w:r>
        <w:t>that</w:t>
      </w:r>
      <w:r w:rsidRPr="00191003">
        <w:t xml:space="preserve"> can be considered rare in</w:t>
      </w:r>
      <w:r w:rsidRPr="00590BC8">
        <w:t xml:space="preserve"> pottery decoration: on a larnax from Gazi is a ship (591 Gazi Skaphidara HM 18985) </w:t>
      </w:r>
      <w:r w:rsidRPr="00191003">
        <w:t xml:space="preserve">and </w:t>
      </w:r>
      <w:r>
        <w:t>o</w:t>
      </w:r>
      <w:r w:rsidRPr="00191003">
        <w:t>n a larnax from Kavrochori</w:t>
      </w:r>
      <w:r>
        <w:t xml:space="preserve"> (</w:t>
      </w:r>
      <w:r w:rsidRPr="00191003">
        <w:t>603 Kavrochori HM 21900</w:t>
      </w:r>
      <w:r>
        <w:t>) is</w:t>
      </w:r>
      <w:r w:rsidRPr="00191003">
        <w:t xml:space="preserve"> a chariot drawn by two bulls. The larnax from Kavrochori </w:t>
      </w:r>
      <w:r>
        <w:t>is</w:t>
      </w:r>
      <w:r w:rsidRPr="00191003">
        <w:t xml:space="preserve"> particular</w:t>
      </w:r>
      <w:r>
        <w:t>ly</w:t>
      </w:r>
      <w:r w:rsidRPr="00191003">
        <w:t xml:space="preserve"> interesting </w:t>
      </w:r>
      <w:r>
        <w:t>because of</w:t>
      </w:r>
      <w:r w:rsidRPr="00191003">
        <w:t xml:space="preserve"> the apparent absence of order of the </w:t>
      </w:r>
      <w:r>
        <w:t>motif</w:t>
      </w:r>
      <w:r w:rsidRPr="00191003">
        <w:t>s on</w:t>
      </w:r>
      <w:r>
        <w:t xml:space="preserve"> the</w:t>
      </w:r>
      <w:r w:rsidRPr="00191003">
        <w:t xml:space="preserve"> long sides and the absence of perspective.</w:t>
      </w:r>
    </w:p>
    <w:p w14:paraId="3EEF55D3" w14:textId="77777777" w:rsidR="00D726B2" w:rsidRPr="00191003" w:rsidRDefault="00D726B2" w:rsidP="00E858EF">
      <w:pPr>
        <w:suppressAutoHyphens/>
      </w:pPr>
      <w:r>
        <w:tab/>
        <w:t>O</w:t>
      </w:r>
      <w:r w:rsidRPr="00191003">
        <w:t>n a larnax from Amnissos Karteros</w:t>
      </w:r>
      <w:r>
        <w:t xml:space="preserve"> (</w:t>
      </w:r>
      <w:r w:rsidRPr="00C311E4">
        <w:t>763 Amnissos Karteros Mapheze),</w:t>
      </w:r>
      <w:r w:rsidRPr="00191003">
        <w:t xml:space="preserve"> an unidentified motif has been incised</w:t>
      </w:r>
      <w:r>
        <w:t>, rather than</w:t>
      </w:r>
      <w:r w:rsidRPr="00191003">
        <w:t xml:space="preserve"> painted</w:t>
      </w:r>
      <w:r>
        <w:t>,</w:t>
      </w:r>
      <w:r w:rsidRPr="00191003">
        <w:t xml:space="preserve"> on a short side of the lid. The presence of incised/impressed decoration characterise</w:t>
      </w:r>
      <w:r>
        <w:t>s</w:t>
      </w:r>
      <w:r w:rsidRPr="00191003">
        <w:t xml:space="preserve"> </w:t>
      </w:r>
      <w:r>
        <w:t>also a</w:t>
      </w:r>
      <w:r w:rsidRPr="00191003">
        <w:t xml:space="preserve"> larnax from </w:t>
      </w:r>
      <w:r>
        <w:t xml:space="preserve"> (753 Artsa),</w:t>
      </w:r>
      <w:r w:rsidRPr="00191003">
        <w:t xml:space="preserve"> </w:t>
      </w:r>
      <w:r>
        <w:t>on which a</w:t>
      </w:r>
      <w:r w:rsidRPr="00191003">
        <w:t xml:space="preserve"> rosette impression delimit</w:t>
      </w:r>
      <w:r>
        <w:t>s</w:t>
      </w:r>
      <w:r w:rsidRPr="00191003">
        <w:t xml:space="preserve"> the panels. </w:t>
      </w:r>
      <w:r>
        <w:t>O</w:t>
      </w:r>
      <w:r w:rsidRPr="00191003">
        <w:t>n these two larnakes</w:t>
      </w:r>
      <w:r>
        <w:t>,</w:t>
      </w:r>
      <w:r w:rsidRPr="00191003">
        <w:t xml:space="preserve"> the presence of incised decoration does not co-exist with any painted decoration (both the larnakes are plain).</w:t>
      </w:r>
    </w:p>
    <w:p w14:paraId="7EBC5E6F" w14:textId="71CC0833" w:rsidR="00D726B2" w:rsidRPr="00191003" w:rsidRDefault="00D726B2" w:rsidP="00E858EF">
      <w:pPr>
        <w:suppressAutoHyphens/>
      </w:pPr>
      <w:r>
        <w:tab/>
      </w:r>
      <w:r w:rsidRPr="00191003">
        <w:t xml:space="preserve">The number of pottery </w:t>
      </w:r>
      <w:r>
        <w:t>motif</w:t>
      </w:r>
      <w:r w:rsidRPr="00191003">
        <w:t>s (</w:t>
      </w:r>
      <w:r w:rsidR="005D54EA">
        <w:t>Furumark</w:t>
      </w:r>
      <w:r w:rsidRPr="00191003">
        <w:t xml:space="preserve"> </w:t>
      </w:r>
      <w:r>
        <w:t>motif</w:t>
      </w:r>
      <w:r w:rsidRPr="00191003">
        <w:t xml:space="preserve">s) </w:t>
      </w:r>
      <w:r>
        <w:t>is</w:t>
      </w:r>
      <w:r w:rsidRPr="00191003">
        <w:t xml:space="preserve"> 42 (low in relation to the number of larnakes), and wavy lines and wavy border</w:t>
      </w:r>
      <w:r>
        <w:t>s</w:t>
      </w:r>
      <w:r w:rsidRPr="00191003">
        <w:t xml:space="preserve"> are the most common. The d</w:t>
      </w:r>
      <w:r>
        <w:t>istinction</w:t>
      </w:r>
      <w:r w:rsidRPr="00191003">
        <w:t xml:space="preserve"> between panel</w:t>
      </w:r>
      <w:r>
        <w:t>s</w:t>
      </w:r>
      <w:r w:rsidRPr="00191003">
        <w:t xml:space="preserve"> and frames in the vast majority of case</w:t>
      </w:r>
      <w:r>
        <w:t>s</w:t>
      </w:r>
      <w:r w:rsidRPr="00191003">
        <w:t xml:space="preserve"> is marked by decoration</w:t>
      </w:r>
      <w:r>
        <w:t>,</w:t>
      </w:r>
      <w:r w:rsidRPr="00191003">
        <w:t xml:space="preserve"> </w:t>
      </w:r>
      <w:r>
        <w:t>with</w:t>
      </w:r>
      <w:r w:rsidRPr="00191003">
        <w:t xml:space="preserve"> the most common </w:t>
      </w:r>
      <w:r>
        <w:t>motif</w:t>
      </w:r>
      <w:r w:rsidRPr="00191003">
        <w:t xml:space="preserve">s used for frame decoration </w:t>
      </w:r>
      <w:r>
        <w:t xml:space="preserve">being </w:t>
      </w:r>
      <w:r w:rsidRPr="00191003">
        <w:t>simple outline</w:t>
      </w:r>
      <w:r>
        <w:t>s</w:t>
      </w:r>
      <w:r w:rsidRPr="00191003">
        <w:t xml:space="preserve"> or full</w:t>
      </w:r>
      <w:r>
        <w:t>y</w:t>
      </w:r>
      <w:r w:rsidRPr="00191003">
        <w:t xml:space="preserve"> paint</w:t>
      </w:r>
      <w:r>
        <w:t>ed</w:t>
      </w:r>
      <w:r w:rsidRPr="00191003">
        <w:t xml:space="preserve"> and wavy lines.</w:t>
      </w:r>
      <w:r>
        <w:t xml:space="preserve"> </w:t>
      </w:r>
      <w:r w:rsidRPr="00191003">
        <w:t xml:space="preserve">Decorated larnakes from </w:t>
      </w:r>
      <w:r>
        <w:t>C</w:t>
      </w:r>
      <w:r w:rsidRPr="00191003">
        <w:t xml:space="preserve">entral Crete </w:t>
      </w:r>
      <w:r>
        <w:t>tend to have</w:t>
      </w:r>
      <w:r w:rsidRPr="00191003">
        <w:t xml:space="preserve"> simple </w:t>
      </w:r>
      <w:r>
        <w:t>motif</w:t>
      </w:r>
      <w:r w:rsidRPr="00191003">
        <w:t>s/pattern decoration</w:t>
      </w:r>
      <w:r>
        <w:t xml:space="preserve">s that </w:t>
      </w:r>
      <w:r w:rsidRPr="00191003">
        <w:t>are usually repeated through</w:t>
      </w:r>
      <w:r>
        <w:t>out</w:t>
      </w:r>
      <w:r w:rsidRPr="00191003">
        <w:t xml:space="preserve"> the panels and frames (</w:t>
      </w:r>
      <w:r>
        <w:t>e.g.</w:t>
      </w:r>
      <w:r w:rsidRPr="00191003">
        <w:t xml:space="preserve"> groups of wavy lines, tricurve</w:t>
      </w:r>
      <w:r>
        <w:t>d</w:t>
      </w:r>
      <w:r w:rsidRPr="00191003">
        <w:t xml:space="preserve"> arch pattern</w:t>
      </w:r>
      <w:r>
        <w:t>s</w:t>
      </w:r>
      <w:r w:rsidRPr="00191003">
        <w:t xml:space="preserve"> used as main panel decoration, floral </w:t>
      </w:r>
      <w:r>
        <w:t>motif</w:t>
      </w:r>
      <w:r w:rsidRPr="00191003">
        <w:t>s repeated through</w:t>
      </w:r>
      <w:r>
        <w:t>out</w:t>
      </w:r>
      <w:r w:rsidRPr="00191003">
        <w:t xml:space="preserve"> the </w:t>
      </w:r>
      <w:r>
        <w:t>entire</w:t>
      </w:r>
      <w:r w:rsidRPr="00191003">
        <w:t xml:space="preserve"> decoration). The exceptions to this basic decorative model are </w:t>
      </w:r>
      <w:r>
        <w:t>fewer than 10 larnakes</w:t>
      </w:r>
      <w:r w:rsidRPr="00191003">
        <w:t>. Workshops were possibly active in the area of Gazi and Gophyrakia, Kavrochori, Moni and Tylissos (possibly more than one) and in the area between Archanes, Agios Syllas and Methochi Kalou.</w:t>
      </w:r>
    </w:p>
    <w:p w14:paraId="1B7FBFEA" w14:textId="77777777" w:rsidR="00D726B2" w:rsidRPr="00191003" w:rsidRDefault="00D726B2" w:rsidP="00E858EF">
      <w:pPr>
        <w:suppressAutoHyphens/>
      </w:pPr>
      <w:r>
        <w:tab/>
      </w:r>
      <w:r w:rsidRPr="00191003">
        <w:t xml:space="preserve">The cemetery </w:t>
      </w:r>
      <w:r>
        <w:t>at</w:t>
      </w:r>
      <w:r w:rsidRPr="00191003">
        <w:t xml:space="preserve"> Archanes Phourni must have had an influence on other areas. </w:t>
      </w:r>
      <w:r>
        <w:t>Regarding</w:t>
      </w:r>
      <w:r w:rsidRPr="00191003">
        <w:t xml:space="preserve"> larnax iconography</w:t>
      </w:r>
      <w:r>
        <w:t>,</w:t>
      </w:r>
      <w:r w:rsidRPr="00191003">
        <w:t xml:space="preserve"> this </w:t>
      </w:r>
      <w:r>
        <w:t xml:space="preserve">influence </w:t>
      </w:r>
      <w:r w:rsidRPr="00191003">
        <w:t>is particularly true for the only decorated larnax found in one of the two tomb</w:t>
      </w:r>
      <w:r>
        <w:t>s</w:t>
      </w:r>
      <w:r w:rsidRPr="00191003">
        <w:t xml:space="preserve"> at Ligortyno</w:t>
      </w:r>
      <w:r>
        <w:t xml:space="preserve"> (813 Ligortyno CA 921),</w:t>
      </w:r>
      <w:r w:rsidRPr="00191003">
        <w:t xml:space="preserve"> which </w:t>
      </w:r>
      <w:r>
        <w:t>displays</w:t>
      </w:r>
      <w:r w:rsidRPr="00191003">
        <w:t xml:space="preserve"> explicit parallels both in respect of shape and decoration with the larnax from </w:t>
      </w:r>
      <w:r>
        <w:t>T</w:t>
      </w:r>
      <w:r w:rsidRPr="00191003">
        <w:t xml:space="preserve">holos A at Archanes </w:t>
      </w:r>
      <w:r>
        <w:t xml:space="preserve">(718 Archanes Phourni) </w:t>
      </w:r>
      <w:r w:rsidRPr="00191003">
        <w:t>(D’Agata 2015: 92-93).</w:t>
      </w:r>
    </w:p>
    <w:p w14:paraId="0EF22397" w14:textId="77777777" w:rsidR="00D726B2" w:rsidRPr="00191003" w:rsidRDefault="00D726B2" w:rsidP="00E858EF">
      <w:pPr>
        <w:suppressAutoHyphens/>
      </w:pPr>
      <w:r>
        <w:tab/>
        <w:t>Bathtub larnakes</w:t>
      </w:r>
      <w:r w:rsidRPr="00191003">
        <w:t xml:space="preserve"> use can be considered an exception</w:t>
      </w:r>
      <w:r>
        <w:t xml:space="preserve"> in the area,</w:t>
      </w:r>
      <w:r w:rsidRPr="00191003">
        <w:t xml:space="preserve"> and the few specimens found are located towards </w:t>
      </w:r>
      <w:r>
        <w:t xml:space="preserve">the </w:t>
      </w:r>
      <w:r w:rsidRPr="00191003">
        <w:t>east (Gournes, Episkopi Pediada, Anopolis). In terms of decoration</w:t>
      </w:r>
      <w:r>
        <w:t>,</w:t>
      </w:r>
      <w:r w:rsidRPr="00191003">
        <w:t xml:space="preserve"> they do not </w:t>
      </w:r>
      <w:r>
        <w:t>display</w:t>
      </w:r>
      <w:r w:rsidRPr="00191003">
        <w:t xml:space="preserve"> any peculiarity.</w:t>
      </w:r>
    </w:p>
    <w:p w14:paraId="7A4C1871" w14:textId="77777777" w:rsidR="00D726B2" w:rsidRPr="00191003" w:rsidRDefault="00D726B2" w:rsidP="00E858EF">
      <w:pPr>
        <w:suppressAutoHyphens/>
        <w:rPr>
          <w:b/>
        </w:rPr>
      </w:pPr>
      <w:r>
        <w:tab/>
      </w:r>
      <w:r w:rsidRPr="00191003">
        <w:t xml:space="preserve">Larnakes from </w:t>
      </w:r>
      <w:r>
        <w:t>the C</w:t>
      </w:r>
      <w:r w:rsidRPr="00191003">
        <w:t xml:space="preserve">entral region generally </w:t>
      </w:r>
      <w:r>
        <w:t>display</w:t>
      </w:r>
      <w:r w:rsidRPr="00191003">
        <w:t xml:space="preserve"> a high degree of variability </w:t>
      </w:r>
      <w:r>
        <w:t>regarding</w:t>
      </w:r>
      <w:r w:rsidRPr="00191003">
        <w:t xml:space="preserve"> their morphological characteristics</w:t>
      </w:r>
      <w:r>
        <w:t xml:space="preserve"> and</w:t>
      </w:r>
      <w:r w:rsidRPr="00191003">
        <w:t xml:space="preserve"> the type of decoration adopted (incised or painted). On the other hand</w:t>
      </w:r>
      <w:r>
        <w:t>,</w:t>
      </w:r>
      <w:r w:rsidRPr="00191003">
        <w:t xml:space="preserve"> from </w:t>
      </w:r>
      <w:r>
        <w:t>an</w:t>
      </w:r>
      <w:r w:rsidRPr="00191003">
        <w:t xml:space="preserve"> iconographical </w:t>
      </w:r>
      <w:r>
        <w:t>perspective,</w:t>
      </w:r>
      <w:r w:rsidRPr="00191003">
        <w:t xml:space="preserve"> it is possible to observe standardi</w:t>
      </w:r>
      <w:r>
        <w:t>s</w:t>
      </w:r>
      <w:r w:rsidRPr="00191003">
        <w:t xml:space="preserve">ation and the preference for simple </w:t>
      </w:r>
      <w:r>
        <w:t>motif</w:t>
      </w:r>
      <w:r w:rsidRPr="00191003">
        <w:t xml:space="preserve">s and decoration, often composed </w:t>
      </w:r>
      <w:r>
        <w:t>of</w:t>
      </w:r>
      <w:r w:rsidRPr="00191003">
        <w:t xml:space="preserve"> repeated </w:t>
      </w:r>
      <w:r>
        <w:t>motif</w:t>
      </w:r>
      <w:r w:rsidRPr="00191003">
        <w:t>s (</w:t>
      </w:r>
      <w:r>
        <w:t xml:space="preserve">e.g. </w:t>
      </w:r>
      <w:r w:rsidRPr="00191003">
        <w:t>wavy lines, papyri). A general lower degree of investment in larnax iconography can be observed</w:t>
      </w:r>
      <w:r>
        <w:t>.</w:t>
      </w:r>
      <w:r w:rsidRPr="00191003">
        <w:t xml:space="preserve"> </w:t>
      </w:r>
      <w:r>
        <w:t>However, there are</w:t>
      </w:r>
      <w:r w:rsidRPr="00191003">
        <w:t xml:space="preserve"> some exception</w:t>
      </w:r>
      <w:r>
        <w:t>s</w:t>
      </w:r>
      <w:r w:rsidRPr="00191003">
        <w:t xml:space="preserve"> clustered in specific geographical area</w:t>
      </w:r>
      <w:r>
        <w:t>s</w:t>
      </w:r>
      <w:r w:rsidRPr="00191003">
        <w:t xml:space="preserve"> (i.e. larnakes from cemeteries in the area of Kavrochori-Gazi-Giophyrakia, and in the area south of Archanes, Methochi Kalou – Kyparissi). This evidence can be linked to the presence of larnax workshops in these areas and</w:t>
      </w:r>
      <w:r>
        <w:t>,</w:t>
      </w:r>
      <w:r w:rsidRPr="00191003">
        <w:t xml:space="preserve"> indeed</w:t>
      </w:r>
      <w:r>
        <w:t>,</w:t>
      </w:r>
      <w:r w:rsidRPr="00191003">
        <w:t xml:space="preserve"> a richly decorated larnax would not constitute an eas</w:t>
      </w:r>
      <w:r>
        <w:t>ily</w:t>
      </w:r>
      <w:r w:rsidRPr="00191003">
        <w:t xml:space="preserve"> accessible item everywhere in the region. However</w:t>
      </w:r>
      <w:r>
        <w:t>,</w:t>
      </w:r>
      <w:r w:rsidRPr="00191003">
        <w:t xml:space="preserve"> the presence of larnakes decorated with standardised </w:t>
      </w:r>
      <w:r>
        <w:t>motif</w:t>
      </w:r>
      <w:r w:rsidRPr="00191003">
        <w:t>s does not mean that larnakes would have not been a focal</w:t>
      </w:r>
      <w:r>
        <w:t xml:space="preserve"> point</w:t>
      </w:r>
      <w:r w:rsidRPr="00191003">
        <w:t xml:space="preserve"> </w:t>
      </w:r>
      <w:r>
        <w:t>nor played an</w:t>
      </w:r>
      <w:r w:rsidRPr="00191003">
        <w:t xml:space="preserve"> ostentati</w:t>
      </w:r>
      <w:r>
        <w:t>ous</w:t>
      </w:r>
      <w:r w:rsidRPr="00191003">
        <w:t xml:space="preserve"> role </w:t>
      </w:r>
      <w:r>
        <w:t>during</w:t>
      </w:r>
      <w:r w:rsidRPr="00191003">
        <w:t xml:space="preserve"> the burial stage. The presence of plain items decorated with incision</w:t>
      </w:r>
      <w:r>
        <w:t>s</w:t>
      </w:r>
      <w:r w:rsidRPr="00191003">
        <w:t xml:space="preserve"> and of many variation</w:t>
      </w:r>
      <w:r>
        <w:t>s</w:t>
      </w:r>
      <w:r w:rsidRPr="00191003">
        <w:t xml:space="preserve"> in their morphology </w:t>
      </w:r>
      <w:r>
        <w:t>could</w:t>
      </w:r>
      <w:r w:rsidRPr="00191003">
        <w:t xml:space="preserve"> indicate the existence </w:t>
      </w:r>
      <w:r>
        <w:t xml:space="preserve">of </w:t>
      </w:r>
      <w:r w:rsidRPr="00191003">
        <w:t xml:space="preserve">other </w:t>
      </w:r>
      <w:r>
        <w:t>methods</w:t>
      </w:r>
      <w:r w:rsidRPr="00191003">
        <w:t xml:space="preserve"> of rendering a larnax </w:t>
      </w:r>
      <w:r>
        <w:t>‘</w:t>
      </w:r>
      <w:r w:rsidRPr="00191003">
        <w:t>unique</w:t>
      </w:r>
      <w:r>
        <w:t>’</w:t>
      </w:r>
      <w:r w:rsidRPr="00191003">
        <w:t xml:space="preserve"> </w:t>
      </w:r>
      <w:r>
        <w:t>in addition to</w:t>
      </w:r>
      <w:r w:rsidRPr="00191003">
        <w:t xml:space="preserve"> painted decoration, and in this way </w:t>
      </w:r>
      <w:r>
        <w:t>provide</w:t>
      </w:r>
      <w:r w:rsidRPr="00191003">
        <w:t xml:space="preserve"> a value.</w:t>
      </w:r>
    </w:p>
    <w:p w14:paraId="7F74968D" w14:textId="6A64B7E3" w:rsidR="00D726B2" w:rsidRPr="00E7753F" w:rsidRDefault="00D726B2" w:rsidP="00E858EF">
      <w:pPr>
        <w:pStyle w:val="Titolo2"/>
        <w:keepNext w:val="0"/>
        <w:keepLines w:val="0"/>
        <w:suppressAutoHyphens/>
      </w:pPr>
      <w:bookmarkStart w:id="1148" w:name="_Toc519894698"/>
      <w:r>
        <w:t>Mid-East</w:t>
      </w:r>
      <w:bookmarkEnd w:id="1148"/>
      <w:r w:rsidR="006934A7">
        <w:t xml:space="preserve"> area</w:t>
      </w:r>
    </w:p>
    <w:p w14:paraId="36C08F9E" w14:textId="34EF6D16" w:rsidR="00D726B2" w:rsidRPr="00191003" w:rsidRDefault="00D726B2" w:rsidP="00E858EF">
      <w:pPr>
        <w:pStyle w:val="Titolo3"/>
        <w:keepNext w:val="0"/>
        <w:keepLines w:val="0"/>
        <w:suppressAutoHyphens/>
      </w:pPr>
      <w:bookmarkStart w:id="1149" w:name="_Toc517807622"/>
      <w:bookmarkStart w:id="1150" w:name="_Toc519894699"/>
      <w:r>
        <w:t>Mid-East</w:t>
      </w:r>
      <w:r w:rsidRPr="00191003">
        <w:t xml:space="preserve"> </w:t>
      </w:r>
      <w:r w:rsidR="006934A7">
        <w:t xml:space="preserve">area </w:t>
      </w:r>
      <w:r>
        <w:t>l</w:t>
      </w:r>
      <w:r w:rsidRPr="00191003">
        <w:t>arnakes morphological analysis</w:t>
      </w:r>
      <w:bookmarkEnd w:id="1149"/>
      <w:bookmarkEnd w:id="1150"/>
      <w:r w:rsidRPr="00191003">
        <w:t xml:space="preserve"> </w:t>
      </w:r>
    </w:p>
    <w:p w14:paraId="1452658F"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191003">
        <w:rPr>
          <w:color w:val="000000"/>
        </w:rPr>
        <w:t>The sample of larnakes available f</w:t>
      </w:r>
      <w:r>
        <w:rPr>
          <w:color w:val="000000"/>
        </w:rPr>
        <w:t>rom published records for the Mid-East</w:t>
      </w:r>
      <w:r w:rsidRPr="00191003">
        <w:rPr>
          <w:color w:val="000000"/>
        </w:rPr>
        <w:t xml:space="preserve"> area consists of </w:t>
      </w:r>
      <w:r w:rsidRPr="00E7753F">
        <w:t>77 items.</w:t>
      </w:r>
      <w:r w:rsidRPr="00191003">
        <w:rPr>
          <w:color w:val="000000"/>
        </w:rPr>
        <w:t xml:space="preserve"> From this sample </w:t>
      </w:r>
      <w:r>
        <w:rPr>
          <w:color w:val="000000"/>
        </w:rPr>
        <w:t>are</w:t>
      </w:r>
      <w:r w:rsidRPr="00191003">
        <w:rPr>
          <w:color w:val="000000"/>
        </w:rPr>
        <w:t xml:space="preserve"> excluded</w:t>
      </w:r>
      <w:r>
        <w:rPr>
          <w:color w:val="000000"/>
        </w:rPr>
        <w:t xml:space="preserve"> the following:</w:t>
      </w:r>
    </w:p>
    <w:p w14:paraId="380EEB87" w14:textId="4728C42D"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191003">
        <w:rPr>
          <w:color w:val="000000"/>
        </w:rPr>
        <w:t>-</w:t>
      </w:r>
      <w:r>
        <w:rPr>
          <w:color w:val="000000"/>
        </w:rPr>
        <w:t xml:space="preserve"> </w:t>
      </w:r>
      <w:r w:rsidRPr="00191003">
        <w:rPr>
          <w:color w:val="000000"/>
        </w:rPr>
        <w:t xml:space="preserve">larnakes for which </w:t>
      </w:r>
      <w:r>
        <w:rPr>
          <w:color w:val="000000"/>
        </w:rPr>
        <w:t xml:space="preserve">it </w:t>
      </w:r>
      <w:r w:rsidRPr="00191003">
        <w:rPr>
          <w:color w:val="000000"/>
        </w:rPr>
        <w:t xml:space="preserve">has not been possible to retrieve a secure burial context. </w:t>
      </w:r>
    </w:p>
    <w:p w14:paraId="2F6E65F2" w14:textId="2ED5212D" w:rsidR="00D726B2" w:rsidRPr="00191003" w:rsidRDefault="00D726B2" w:rsidP="0080364A">
      <w:pPr>
        <w:suppressAutoHyphens/>
        <w:ind w:firstLine="708"/>
        <w:rPr>
          <w:rFonts w:eastAsia="Times New Roman"/>
          <w:color w:val="000000"/>
        </w:rPr>
      </w:pPr>
      <w:r w:rsidRPr="00191003">
        <w:rPr>
          <w:color w:val="000000"/>
        </w:rPr>
        <w:t>-</w:t>
      </w:r>
      <w:r>
        <w:rPr>
          <w:color w:val="000000"/>
        </w:rPr>
        <w:t xml:space="preserve"> </w:t>
      </w:r>
      <w:r w:rsidRPr="00191003">
        <w:rPr>
          <w:color w:val="000000"/>
        </w:rPr>
        <w:t>two larnakes found at Malia Pervolia in a tomb possibly dated to LM II</w:t>
      </w:r>
      <w:r w:rsidRPr="00191003">
        <w:rPr>
          <w:rFonts w:eastAsia="Times New Roman"/>
          <w:color w:val="000000"/>
        </w:rPr>
        <w:t xml:space="preserve"> (Preston 2000</w:t>
      </w:r>
      <w:r>
        <w:rPr>
          <w:rFonts w:eastAsia="Times New Roman"/>
          <w:color w:val="000000"/>
        </w:rPr>
        <w:t>:</w:t>
      </w:r>
      <w:r w:rsidRPr="00191003">
        <w:rPr>
          <w:rFonts w:eastAsia="Times New Roman"/>
          <w:color w:val="000000"/>
        </w:rPr>
        <w:t xml:space="preserve"> </w:t>
      </w:r>
      <w:r>
        <w:rPr>
          <w:rFonts w:eastAsia="Times New Roman"/>
          <w:color w:val="000000"/>
        </w:rPr>
        <w:t>Appendix G; Preston 2004:</w:t>
      </w:r>
      <w:r w:rsidRPr="00191003">
        <w:rPr>
          <w:rFonts w:eastAsia="Times New Roman"/>
          <w:color w:val="000000"/>
        </w:rPr>
        <w:t xml:space="preserve"> 182; Löwe 199</w:t>
      </w:r>
      <w:r>
        <w:rPr>
          <w:rFonts w:eastAsia="Times New Roman"/>
          <w:color w:val="000000"/>
        </w:rPr>
        <w:t>6</w:t>
      </w:r>
      <w:r w:rsidRPr="00191003">
        <w:rPr>
          <w:rFonts w:eastAsia="Times New Roman"/>
          <w:color w:val="000000"/>
        </w:rPr>
        <w:t>:</w:t>
      </w:r>
      <w:r>
        <w:rPr>
          <w:rFonts w:eastAsia="Times New Roman"/>
          <w:color w:val="000000"/>
        </w:rPr>
        <w:t xml:space="preserve"> 237; Kanta 1980: 52;  Hood 1956:</w:t>
      </w:r>
      <w:r w:rsidRPr="00191003">
        <w:rPr>
          <w:rFonts w:eastAsia="Times New Roman"/>
          <w:color w:val="000000"/>
        </w:rPr>
        <w:t xml:space="preserve"> 87; </w:t>
      </w:r>
      <w:r w:rsidRPr="00733192">
        <w:rPr>
          <w:rFonts w:eastAsia="Times New Roman"/>
          <w:i/>
          <w:color w:val="000000"/>
        </w:rPr>
        <w:t>KChr</w:t>
      </w:r>
      <w:r>
        <w:rPr>
          <w:rFonts w:eastAsia="Times New Roman"/>
          <w:color w:val="000000"/>
        </w:rPr>
        <w:t xml:space="preserve"> 8 1954</w:t>
      </w:r>
      <w:r w:rsidRPr="00191003">
        <w:rPr>
          <w:rFonts w:eastAsia="Times New Roman"/>
          <w:color w:val="000000"/>
        </w:rPr>
        <w:t>: 516).</w:t>
      </w:r>
    </w:p>
    <w:p w14:paraId="3949CED4" w14:textId="0DD13B1B"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t xml:space="preserve"> </w:t>
      </w:r>
      <w:r w:rsidRPr="00191003">
        <w:rPr>
          <w:color w:val="000000"/>
        </w:rPr>
        <w:t>-</w:t>
      </w:r>
      <w:r>
        <w:rPr>
          <w:color w:val="000000"/>
        </w:rPr>
        <w:t xml:space="preserve"> </w:t>
      </w:r>
      <w:r w:rsidRPr="00191003">
        <w:rPr>
          <w:color w:val="000000"/>
        </w:rPr>
        <w:t>fragment</w:t>
      </w:r>
      <w:r>
        <w:rPr>
          <w:color w:val="000000"/>
        </w:rPr>
        <w:t>s</w:t>
      </w:r>
      <w:r w:rsidRPr="00191003">
        <w:rPr>
          <w:color w:val="000000"/>
        </w:rPr>
        <w:t xml:space="preserve"> of a larnax found in </w:t>
      </w:r>
      <w:r>
        <w:rPr>
          <w:color w:val="000000"/>
        </w:rPr>
        <w:t xml:space="preserve">a </w:t>
      </w:r>
      <w:r w:rsidRPr="00191003">
        <w:rPr>
          <w:color w:val="000000"/>
        </w:rPr>
        <w:t>settlement context at Malia (Langohr 2009:</w:t>
      </w:r>
      <w:r>
        <w:rPr>
          <w:color w:val="000000"/>
        </w:rPr>
        <w:t xml:space="preserve"> </w:t>
      </w:r>
      <w:r w:rsidRPr="00191003">
        <w:rPr>
          <w:color w:val="000000"/>
        </w:rPr>
        <w:t>79; Farnoux 1992: 211).</w:t>
      </w:r>
    </w:p>
    <w:p w14:paraId="5F9073A7" w14:textId="77777777" w:rsidR="00D726B2" w:rsidRPr="00191003" w:rsidRDefault="00D726B2" w:rsidP="00E858EF">
      <w:pPr>
        <w:pStyle w:val="Titolo3"/>
        <w:keepNext w:val="0"/>
        <w:keepLines w:val="0"/>
        <w:suppressAutoHyphens/>
      </w:pPr>
      <w:bookmarkStart w:id="1151" w:name="_Toc517807623"/>
      <w:bookmarkStart w:id="1152" w:name="_Toc519894700"/>
      <w:r w:rsidRPr="00191003">
        <w:t>Does a standard</w:t>
      </w:r>
      <w:r>
        <w:t xml:space="preserve"> larnax exist for the Mid-East area</w:t>
      </w:r>
      <w:r w:rsidRPr="00191003">
        <w:t>? Wh</w:t>
      </w:r>
      <w:r>
        <w:t>at</w:t>
      </w:r>
      <w:r w:rsidRPr="00191003">
        <w:t xml:space="preserve"> are its characteristics?</w:t>
      </w:r>
      <w:bookmarkEnd w:id="1151"/>
      <w:bookmarkEnd w:id="1152"/>
      <w:r w:rsidRPr="00191003">
        <w:t xml:space="preserve"> </w:t>
      </w:r>
    </w:p>
    <w:p w14:paraId="43B1C94D"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rPr>
      </w:pPr>
      <w:r>
        <w:rPr>
          <w:color w:val="000000"/>
        </w:rPr>
        <w:t>In the Mid-East</w:t>
      </w:r>
      <w:r w:rsidRPr="00191003">
        <w:rPr>
          <w:color w:val="000000"/>
        </w:rPr>
        <w:t xml:space="preserve"> region</w:t>
      </w:r>
      <w:r>
        <w:rPr>
          <w:color w:val="000000"/>
        </w:rPr>
        <w:t>,</w:t>
      </w:r>
      <w:r w:rsidRPr="00191003">
        <w:rPr>
          <w:color w:val="000000"/>
        </w:rPr>
        <w:t xml:space="preserve"> it is possible to recognise a standard larnax type </w:t>
      </w:r>
      <w:r>
        <w:rPr>
          <w:color w:val="000000"/>
        </w:rPr>
        <w:t>that has</w:t>
      </w:r>
      <w:r w:rsidRPr="00191003">
        <w:rPr>
          <w:color w:val="000000"/>
        </w:rPr>
        <w:t xml:space="preserve"> the following morphological characteristics:</w:t>
      </w:r>
    </w:p>
    <w:p w14:paraId="16845D93"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Larnax type: information available for the entire sample</w:t>
      </w:r>
      <w:r>
        <w:rPr>
          <w:color w:val="000000"/>
        </w:rPr>
        <w:t>.</w:t>
      </w:r>
    </w:p>
    <w:p w14:paraId="6F0698A1" w14:textId="439810D8" w:rsidR="00D726B2" w:rsidRPr="00191003" w:rsidRDefault="00D726B2" w:rsidP="00E858EF">
      <w:pPr>
        <w:pStyle w:val="Testofumetto"/>
        <w:suppressAutoHyphens/>
      </w:pPr>
      <w:bookmarkStart w:id="1153" w:name="_Toc520212654"/>
      <w:r>
        <w:t>Table 5-29</w:t>
      </w:r>
      <w:r w:rsidR="00117AA5">
        <w:t>.</w:t>
      </w:r>
      <w:r>
        <w:t xml:space="preserve"> Larnax types, Mid-East</w:t>
      </w:r>
      <w:bookmarkEnd w:id="1153"/>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1275"/>
        <w:gridCol w:w="1172"/>
      </w:tblGrid>
      <w:tr w:rsidR="00D726B2" w:rsidRPr="0080364A" w14:paraId="7B67475A"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6B1A5C96" w14:textId="77777777" w:rsidR="00D726B2" w:rsidRPr="0080364A" w:rsidRDefault="00D726B2" w:rsidP="00E858EF">
            <w:pPr>
              <w:suppressAutoHyphens/>
              <w:jc w:val="center"/>
              <w:rPr>
                <w:sz w:val="20"/>
              </w:rPr>
            </w:pPr>
            <w:r w:rsidRPr="0080364A">
              <w:rPr>
                <w:sz w:val="20"/>
              </w:rPr>
              <w:t>Chest</w:t>
            </w:r>
          </w:p>
        </w:tc>
        <w:tc>
          <w:tcPr>
            <w:tcW w:w="1275" w:type="dxa"/>
            <w:tcBorders>
              <w:top w:val="single" w:sz="6" w:space="0" w:color="000000"/>
              <w:left w:val="single" w:sz="6" w:space="0" w:color="000000"/>
              <w:bottom w:val="single" w:sz="6" w:space="0" w:color="000000"/>
              <w:right w:val="single" w:sz="6" w:space="0" w:color="000000"/>
            </w:tcBorders>
          </w:tcPr>
          <w:p w14:paraId="6D5EC952" w14:textId="77777777" w:rsidR="00D726B2" w:rsidRPr="0080364A" w:rsidRDefault="00D726B2" w:rsidP="00E858EF">
            <w:pPr>
              <w:suppressAutoHyphens/>
              <w:jc w:val="center"/>
              <w:rPr>
                <w:sz w:val="20"/>
              </w:rPr>
            </w:pPr>
            <w:r w:rsidRPr="0080364A">
              <w:rPr>
                <w:sz w:val="20"/>
              </w:rPr>
              <w:t>Bath</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685E3F1B" w14:textId="77777777" w:rsidR="00D726B2" w:rsidRPr="0080364A" w:rsidRDefault="00D726B2" w:rsidP="00E858EF">
            <w:pPr>
              <w:suppressAutoHyphens/>
              <w:jc w:val="center"/>
              <w:rPr>
                <w:sz w:val="20"/>
              </w:rPr>
            </w:pPr>
            <w:r w:rsidRPr="0080364A">
              <w:rPr>
                <w:sz w:val="20"/>
              </w:rPr>
              <w:t>Lid</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2A7D371" w14:textId="77777777" w:rsidR="00D726B2" w:rsidRPr="0080364A" w:rsidRDefault="00D726B2" w:rsidP="00E858EF">
            <w:pPr>
              <w:suppressAutoHyphens/>
              <w:jc w:val="center"/>
              <w:rPr>
                <w:sz w:val="20"/>
              </w:rPr>
            </w:pPr>
            <w:r w:rsidRPr="0080364A">
              <w:rPr>
                <w:color w:val="000000"/>
                <w:sz w:val="20"/>
              </w:rPr>
              <w:t>Fragmentary</w:t>
            </w:r>
          </w:p>
        </w:tc>
      </w:tr>
      <w:tr w:rsidR="00D726B2" w:rsidRPr="0080364A" w14:paraId="77B084B0"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44293578" w14:textId="77777777" w:rsidR="00D726B2" w:rsidRPr="0080364A" w:rsidRDefault="00D726B2" w:rsidP="00E858EF">
            <w:pPr>
              <w:suppressAutoHyphens/>
              <w:jc w:val="center"/>
              <w:rPr>
                <w:sz w:val="20"/>
              </w:rPr>
            </w:pPr>
            <w:r w:rsidRPr="0080364A">
              <w:rPr>
                <w:sz w:val="20"/>
              </w:rPr>
              <w:t>56</w:t>
            </w:r>
          </w:p>
        </w:tc>
        <w:tc>
          <w:tcPr>
            <w:tcW w:w="1275" w:type="dxa"/>
            <w:tcBorders>
              <w:top w:val="single" w:sz="6" w:space="0" w:color="000000"/>
              <w:left w:val="single" w:sz="6" w:space="0" w:color="000000"/>
              <w:bottom w:val="single" w:sz="6" w:space="0" w:color="000000"/>
              <w:right w:val="single" w:sz="6" w:space="0" w:color="000000"/>
            </w:tcBorders>
          </w:tcPr>
          <w:p w14:paraId="7BF50B0A" w14:textId="77777777" w:rsidR="00D726B2" w:rsidRPr="0080364A" w:rsidRDefault="00D726B2" w:rsidP="00E858EF">
            <w:pPr>
              <w:suppressAutoHyphens/>
              <w:jc w:val="center"/>
              <w:rPr>
                <w:sz w:val="20"/>
              </w:rPr>
            </w:pPr>
            <w:r w:rsidRPr="0080364A">
              <w:rPr>
                <w:sz w:val="20"/>
              </w:rPr>
              <w:t>11</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02B585A8" w14:textId="77777777" w:rsidR="00D726B2" w:rsidRPr="0080364A" w:rsidRDefault="00D726B2" w:rsidP="00E858EF">
            <w:pPr>
              <w:suppressAutoHyphens/>
              <w:jc w:val="center"/>
              <w:rPr>
                <w:sz w:val="20"/>
              </w:rPr>
            </w:pPr>
            <w:r w:rsidRPr="0080364A">
              <w:rPr>
                <w:sz w:val="20"/>
              </w:rPr>
              <w:t>5</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08D53DCD" w14:textId="77777777" w:rsidR="00D726B2" w:rsidRPr="0080364A" w:rsidRDefault="00D726B2" w:rsidP="00E858EF">
            <w:pPr>
              <w:suppressAutoHyphens/>
              <w:jc w:val="center"/>
              <w:rPr>
                <w:color w:val="000000"/>
                <w:sz w:val="20"/>
              </w:rPr>
            </w:pPr>
            <w:r w:rsidRPr="0080364A">
              <w:rPr>
                <w:color w:val="000000"/>
                <w:sz w:val="20"/>
              </w:rPr>
              <w:t>8</w:t>
            </w:r>
          </w:p>
        </w:tc>
      </w:tr>
    </w:tbl>
    <w:p w14:paraId="49DF5302" w14:textId="77777777" w:rsidR="00D726B2" w:rsidRPr="00191003"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178040D5"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Dimension range: Information available on a sample of 14 larnakes</w:t>
      </w:r>
      <w:r>
        <w:rPr>
          <w:color w:val="000000"/>
        </w:rPr>
        <w:t>.</w:t>
      </w:r>
    </w:p>
    <w:p w14:paraId="2E43DB56" w14:textId="3BCAFFB1" w:rsidR="00D726B2" w:rsidRPr="00191003" w:rsidRDefault="00D726B2" w:rsidP="00E858EF">
      <w:pPr>
        <w:pStyle w:val="Testofumetto"/>
        <w:suppressAutoHyphens/>
      </w:pPr>
      <w:bookmarkStart w:id="1154" w:name="_Toc520212655"/>
      <w:r>
        <w:t>Table 5-30</w:t>
      </w:r>
      <w:r w:rsidR="00117AA5">
        <w:t>.</w:t>
      </w:r>
      <w:r>
        <w:t xml:space="preserve"> Dimension range, Mid-East</w:t>
      </w:r>
      <w:bookmarkEnd w:id="1154"/>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1275"/>
        <w:gridCol w:w="1134"/>
      </w:tblGrid>
      <w:tr w:rsidR="00D726B2" w:rsidRPr="0080364A" w14:paraId="2F7AA4EE"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7C422F4E" w14:textId="77777777" w:rsidR="00D726B2" w:rsidRPr="0080364A" w:rsidRDefault="00D726B2" w:rsidP="00E858EF">
            <w:pPr>
              <w:suppressAutoHyphens/>
              <w:jc w:val="center"/>
              <w:rPr>
                <w:sz w:val="20"/>
              </w:rPr>
            </w:pPr>
          </w:p>
        </w:tc>
        <w:tc>
          <w:tcPr>
            <w:tcW w:w="1275" w:type="dxa"/>
            <w:tcBorders>
              <w:top w:val="single" w:sz="6" w:space="0" w:color="000000"/>
              <w:left w:val="single" w:sz="6" w:space="0" w:color="000000"/>
              <w:bottom w:val="single" w:sz="6" w:space="0" w:color="000000"/>
              <w:right w:val="single" w:sz="6" w:space="0" w:color="000000"/>
            </w:tcBorders>
          </w:tcPr>
          <w:p w14:paraId="121DC4F7" w14:textId="77777777" w:rsidR="00D726B2" w:rsidRPr="0080364A" w:rsidRDefault="00D726B2" w:rsidP="00E858EF">
            <w:pPr>
              <w:suppressAutoHyphens/>
              <w:jc w:val="center"/>
              <w:rPr>
                <w:sz w:val="20"/>
              </w:rPr>
            </w:pPr>
            <w:r w:rsidRPr="0080364A">
              <w:rPr>
                <w:sz w:val="20"/>
              </w:rPr>
              <w:t>Length</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1B19F480" w14:textId="77777777" w:rsidR="00D726B2" w:rsidRPr="0080364A" w:rsidRDefault="00D726B2" w:rsidP="00E858EF">
            <w:pPr>
              <w:suppressAutoHyphens/>
              <w:jc w:val="center"/>
              <w:rPr>
                <w:sz w:val="20"/>
              </w:rPr>
            </w:pPr>
            <w:r w:rsidRPr="0080364A">
              <w:rPr>
                <w:sz w:val="20"/>
              </w:rPr>
              <w:t>Height</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4DC591E4" w14:textId="77777777" w:rsidR="00D726B2" w:rsidRPr="0080364A" w:rsidRDefault="00D726B2" w:rsidP="00E858EF">
            <w:pPr>
              <w:suppressAutoHyphens/>
              <w:jc w:val="center"/>
              <w:rPr>
                <w:sz w:val="20"/>
              </w:rPr>
            </w:pPr>
            <w:r w:rsidRPr="0080364A">
              <w:rPr>
                <w:color w:val="000000"/>
                <w:sz w:val="20"/>
              </w:rPr>
              <w:t>Width</w:t>
            </w:r>
          </w:p>
        </w:tc>
      </w:tr>
      <w:tr w:rsidR="00D726B2" w:rsidRPr="0080364A" w14:paraId="05BD9639"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0F1614C8" w14:textId="77777777" w:rsidR="00D726B2" w:rsidRPr="0080364A" w:rsidRDefault="00D726B2" w:rsidP="00E858EF">
            <w:pPr>
              <w:suppressAutoHyphens/>
              <w:jc w:val="center"/>
              <w:rPr>
                <w:sz w:val="20"/>
              </w:rPr>
            </w:pPr>
            <w:r w:rsidRPr="0080364A">
              <w:rPr>
                <w:sz w:val="20"/>
              </w:rPr>
              <w:t>Mean</w:t>
            </w:r>
          </w:p>
        </w:tc>
        <w:tc>
          <w:tcPr>
            <w:tcW w:w="1275" w:type="dxa"/>
            <w:tcBorders>
              <w:top w:val="single" w:sz="6" w:space="0" w:color="000000"/>
              <w:left w:val="single" w:sz="6" w:space="0" w:color="000000"/>
              <w:bottom w:val="single" w:sz="6" w:space="0" w:color="000000"/>
              <w:right w:val="single" w:sz="6" w:space="0" w:color="000000"/>
            </w:tcBorders>
          </w:tcPr>
          <w:p w14:paraId="5D27F9B9" w14:textId="77777777" w:rsidR="00D726B2" w:rsidRPr="0080364A" w:rsidRDefault="00D726B2" w:rsidP="00E858EF">
            <w:pPr>
              <w:suppressAutoHyphens/>
              <w:jc w:val="center"/>
              <w:rPr>
                <w:sz w:val="20"/>
              </w:rPr>
            </w:pPr>
            <w:r w:rsidRPr="0080364A">
              <w:rPr>
                <w:sz w:val="20"/>
              </w:rPr>
              <w:t>106</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61A40978" w14:textId="77777777" w:rsidR="00D726B2" w:rsidRPr="0080364A" w:rsidRDefault="00D726B2" w:rsidP="00E858EF">
            <w:pPr>
              <w:suppressAutoHyphens/>
              <w:jc w:val="center"/>
              <w:rPr>
                <w:sz w:val="20"/>
              </w:rPr>
            </w:pPr>
            <w:r w:rsidRPr="0080364A">
              <w:rPr>
                <w:sz w:val="20"/>
              </w:rPr>
              <w:t>68</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6D0C2392" w14:textId="77777777" w:rsidR="00D726B2" w:rsidRPr="0080364A" w:rsidRDefault="00D726B2" w:rsidP="00E858EF">
            <w:pPr>
              <w:suppressAutoHyphens/>
              <w:jc w:val="center"/>
              <w:rPr>
                <w:color w:val="000000"/>
                <w:sz w:val="20"/>
              </w:rPr>
            </w:pPr>
            <w:r w:rsidRPr="0080364A">
              <w:rPr>
                <w:color w:val="000000"/>
                <w:sz w:val="20"/>
              </w:rPr>
              <w:t>50</w:t>
            </w:r>
          </w:p>
        </w:tc>
      </w:tr>
      <w:tr w:rsidR="00D726B2" w:rsidRPr="0080364A" w14:paraId="7F0D3FCC"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5538B7B0" w14:textId="77777777" w:rsidR="00D726B2" w:rsidRPr="0080364A" w:rsidRDefault="00D726B2" w:rsidP="00E858EF">
            <w:pPr>
              <w:suppressAutoHyphens/>
              <w:jc w:val="center"/>
              <w:rPr>
                <w:sz w:val="20"/>
              </w:rPr>
            </w:pPr>
            <w:r w:rsidRPr="0080364A">
              <w:rPr>
                <w:sz w:val="20"/>
              </w:rPr>
              <w:t>Max</w:t>
            </w:r>
          </w:p>
        </w:tc>
        <w:tc>
          <w:tcPr>
            <w:tcW w:w="1275" w:type="dxa"/>
            <w:tcBorders>
              <w:top w:val="single" w:sz="6" w:space="0" w:color="000000"/>
              <w:left w:val="single" w:sz="6" w:space="0" w:color="000000"/>
              <w:bottom w:val="single" w:sz="6" w:space="0" w:color="000000"/>
              <w:right w:val="single" w:sz="6" w:space="0" w:color="000000"/>
            </w:tcBorders>
          </w:tcPr>
          <w:p w14:paraId="7BEBB081" w14:textId="77777777" w:rsidR="00D726B2" w:rsidRPr="0080364A" w:rsidRDefault="00D726B2" w:rsidP="00E858EF">
            <w:pPr>
              <w:suppressAutoHyphens/>
              <w:jc w:val="center"/>
              <w:rPr>
                <w:sz w:val="20"/>
              </w:rPr>
            </w:pPr>
            <w:r w:rsidRPr="0080364A">
              <w:rPr>
                <w:sz w:val="20"/>
              </w:rPr>
              <w:t>132</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1BDF2F57" w14:textId="77777777" w:rsidR="00D726B2" w:rsidRPr="0080364A" w:rsidRDefault="00D726B2" w:rsidP="00E858EF">
            <w:pPr>
              <w:suppressAutoHyphens/>
              <w:jc w:val="center"/>
              <w:rPr>
                <w:sz w:val="20"/>
              </w:rPr>
            </w:pPr>
            <w:r w:rsidRPr="0080364A">
              <w:rPr>
                <w:sz w:val="20"/>
              </w:rPr>
              <w:t>99</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5C27D46D" w14:textId="77777777" w:rsidR="00D726B2" w:rsidRPr="0080364A" w:rsidRDefault="00D726B2" w:rsidP="00E858EF">
            <w:pPr>
              <w:suppressAutoHyphens/>
              <w:jc w:val="center"/>
              <w:rPr>
                <w:color w:val="000000"/>
                <w:sz w:val="20"/>
              </w:rPr>
            </w:pPr>
            <w:r w:rsidRPr="0080364A">
              <w:rPr>
                <w:color w:val="000000"/>
                <w:sz w:val="20"/>
              </w:rPr>
              <w:t>63</w:t>
            </w:r>
          </w:p>
        </w:tc>
      </w:tr>
      <w:tr w:rsidR="00D726B2" w:rsidRPr="0080364A" w14:paraId="41B60333"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3A556C05" w14:textId="77777777" w:rsidR="00D726B2" w:rsidRPr="0080364A" w:rsidRDefault="00D726B2" w:rsidP="00E858EF">
            <w:pPr>
              <w:suppressAutoHyphens/>
              <w:jc w:val="center"/>
              <w:rPr>
                <w:sz w:val="20"/>
              </w:rPr>
            </w:pPr>
            <w:r w:rsidRPr="0080364A">
              <w:rPr>
                <w:sz w:val="20"/>
              </w:rPr>
              <w:t>Min</w:t>
            </w:r>
          </w:p>
        </w:tc>
        <w:tc>
          <w:tcPr>
            <w:tcW w:w="1275" w:type="dxa"/>
            <w:tcBorders>
              <w:top w:val="single" w:sz="6" w:space="0" w:color="000000"/>
              <w:left w:val="single" w:sz="6" w:space="0" w:color="000000"/>
              <w:bottom w:val="single" w:sz="6" w:space="0" w:color="000000"/>
              <w:right w:val="single" w:sz="6" w:space="0" w:color="000000"/>
            </w:tcBorders>
          </w:tcPr>
          <w:p w14:paraId="7A1DDFD8" w14:textId="77777777" w:rsidR="00D726B2" w:rsidRPr="0080364A" w:rsidRDefault="00D726B2" w:rsidP="00E858EF">
            <w:pPr>
              <w:tabs>
                <w:tab w:val="left" w:pos="933"/>
              </w:tabs>
              <w:suppressAutoHyphens/>
              <w:jc w:val="center"/>
              <w:rPr>
                <w:sz w:val="20"/>
              </w:rPr>
            </w:pPr>
            <w:r w:rsidRPr="0080364A">
              <w:rPr>
                <w:sz w:val="20"/>
              </w:rPr>
              <w:t>47</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67214E1D" w14:textId="77777777" w:rsidR="00D726B2" w:rsidRPr="0080364A" w:rsidRDefault="00D726B2" w:rsidP="00E858EF">
            <w:pPr>
              <w:suppressAutoHyphens/>
              <w:jc w:val="center"/>
              <w:rPr>
                <w:sz w:val="20"/>
              </w:rPr>
            </w:pPr>
            <w:r w:rsidRPr="0080364A">
              <w:rPr>
                <w:sz w:val="20"/>
              </w:rPr>
              <w:t>28</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03BE9710" w14:textId="77777777" w:rsidR="00D726B2" w:rsidRPr="0080364A" w:rsidRDefault="00D726B2" w:rsidP="00E858EF">
            <w:pPr>
              <w:suppressAutoHyphens/>
              <w:jc w:val="center"/>
              <w:rPr>
                <w:color w:val="000000"/>
                <w:sz w:val="20"/>
              </w:rPr>
            </w:pPr>
            <w:r w:rsidRPr="0080364A">
              <w:rPr>
                <w:color w:val="000000"/>
                <w:sz w:val="20"/>
              </w:rPr>
              <w:t>33</w:t>
            </w:r>
          </w:p>
        </w:tc>
      </w:tr>
    </w:tbl>
    <w:p w14:paraId="7EA592D1" w14:textId="77777777" w:rsidR="00D726B2"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p w14:paraId="26E52966"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708"/>
        <w:rPr>
          <w:color w:val="000000"/>
        </w:rPr>
      </w:pPr>
      <w:r>
        <w:rPr>
          <w:color w:val="000000"/>
        </w:rPr>
        <w:t>Lid occurrence/lid type: gabled</w:t>
      </w:r>
      <w:r w:rsidRPr="00AD4648">
        <w:rPr>
          <w:color w:val="000000"/>
        </w:rPr>
        <w:t xml:space="preserve"> lid. Information available on a sample of 20 larnakes</w:t>
      </w:r>
      <w:r>
        <w:rPr>
          <w:color w:val="000000"/>
        </w:rPr>
        <w:t>.</w:t>
      </w:r>
    </w:p>
    <w:p w14:paraId="4071EF8B" w14:textId="75BFFF3E" w:rsidR="00D726B2" w:rsidRPr="00E7753F" w:rsidRDefault="00D726B2" w:rsidP="00E858EF">
      <w:pPr>
        <w:pStyle w:val="Testofumetto"/>
        <w:suppressAutoHyphens/>
      </w:pPr>
      <w:bookmarkStart w:id="1155" w:name="_Toc520212656"/>
      <w:r>
        <w:t>Table 5-31</w:t>
      </w:r>
      <w:r w:rsidR="00117AA5">
        <w:t>.</w:t>
      </w:r>
      <w:r>
        <w:t xml:space="preserve"> Lid occurrence, Mid-East</w:t>
      </w:r>
      <w:bookmarkEnd w:id="1155"/>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3904"/>
      </w:tblGrid>
      <w:tr w:rsidR="00D726B2" w:rsidRPr="0080364A" w14:paraId="1B8878CF" w14:textId="77777777" w:rsidTr="00A95925">
        <w:trPr>
          <w:trHeight w:val="315"/>
        </w:trPr>
        <w:tc>
          <w:tcPr>
            <w:tcW w:w="1275" w:type="dxa"/>
            <w:tcBorders>
              <w:top w:val="single" w:sz="6" w:space="0" w:color="000000"/>
              <w:left w:val="single" w:sz="6" w:space="0" w:color="000000"/>
              <w:bottom w:val="single" w:sz="6" w:space="0" w:color="000000"/>
              <w:right w:val="single" w:sz="6" w:space="0" w:color="000000"/>
            </w:tcBorders>
          </w:tcPr>
          <w:p w14:paraId="6DFF77E4" w14:textId="77777777" w:rsidR="00D726B2" w:rsidRPr="0080364A" w:rsidRDefault="00D726B2" w:rsidP="00E858EF">
            <w:pPr>
              <w:suppressAutoHyphens/>
              <w:jc w:val="center"/>
              <w:rPr>
                <w:sz w:val="20"/>
              </w:rPr>
            </w:pPr>
            <w:r w:rsidRPr="0080364A">
              <w:rPr>
                <w:sz w:val="20"/>
              </w:rPr>
              <w:t>Flat</w:t>
            </w:r>
          </w:p>
        </w:tc>
        <w:tc>
          <w:tcPr>
            <w:tcW w:w="1275" w:type="dxa"/>
            <w:tcBorders>
              <w:top w:val="single" w:sz="6" w:space="0" w:color="000000"/>
              <w:left w:val="single" w:sz="6" w:space="0" w:color="000000"/>
              <w:bottom w:val="single" w:sz="6" w:space="0" w:color="000000"/>
              <w:right w:val="single" w:sz="6" w:space="0" w:color="000000"/>
            </w:tcBorders>
          </w:tcPr>
          <w:p w14:paraId="7CA76235" w14:textId="77777777" w:rsidR="00D726B2" w:rsidRPr="0080364A" w:rsidRDefault="00D726B2" w:rsidP="00E858EF">
            <w:pPr>
              <w:suppressAutoHyphens/>
              <w:jc w:val="center"/>
              <w:rPr>
                <w:sz w:val="20"/>
              </w:rPr>
            </w:pPr>
            <w:r w:rsidRPr="0080364A">
              <w:rPr>
                <w:sz w:val="20"/>
              </w:rPr>
              <w:t>Gabled</w:t>
            </w:r>
          </w:p>
        </w:tc>
        <w:tc>
          <w:tcPr>
            <w:tcW w:w="390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C6F792D" w14:textId="77777777" w:rsidR="00D726B2" w:rsidRPr="0080364A" w:rsidRDefault="00D726B2" w:rsidP="00E858EF">
            <w:pPr>
              <w:suppressAutoHyphens/>
              <w:jc w:val="center"/>
              <w:rPr>
                <w:sz w:val="20"/>
              </w:rPr>
            </w:pPr>
            <w:r w:rsidRPr="0080364A">
              <w:rPr>
                <w:sz w:val="20"/>
              </w:rPr>
              <w:t>Lid made of other larnax fragments</w:t>
            </w:r>
          </w:p>
        </w:tc>
      </w:tr>
      <w:tr w:rsidR="00D726B2" w:rsidRPr="0080364A" w14:paraId="3EB90E85" w14:textId="77777777" w:rsidTr="00A95925">
        <w:trPr>
          <w:trHeight w:val="315"/>
        </w:trPr>
        <w:tc>
          <w:tcPr>
            <w:tcW w:w="1275" w:type="dxa"/>
            <w:tcBorders>
              <w:top w:val="single" w:sz="6" w:space="0" w:color="000000"/>
              <w:left w:val="single" w:sz="6" w:space="0" w:color="000000"/>
              <w:bottom w:val="single" w:sz="6" w:space="0" w:color="000000"/>
              <w:right w:val="single" w:sz="6" w:space="0" w:color="000000"/>
            </w:tcBorders>
          </w:tcPr>
          <w:p w14:paraId="5D8F5F49" w14:textId="77777777" w:rsidR="00D726B2" w:rsidRPr="0080364A" w:rsidRDefault="00D726B2" w:rsidP="00E858EF">
            <w:pPr>
              <w:suppressAutoHyphens/>
              <w:jc w:val="center"/>
              <w:rPr>
                <w:sz w:val="20"/>
              </w:rPr>
            </w:pPr>
            <w:r w:rsidRPr="0080364A">
              <w:rPr>
                <w:sz w:val="20"/>
              </w:rPr>
              <w:t>0</w:t>
            </w:r>
          </w:p>
        </w:tc>
        <w:tc>
          <w:tcPr>
            <w:tcW w:w="1275" w:type="dxa"/>
            <w:tcBorders>
              <w:top w:val="single" w:sz="6" w:space="0" w:color="000000"/>
              <w:left w:val="single" w:sz="6" w:space="0" w:color="000000"/>
              <w:bottom w:val="single" w:sz="6" w:space="0" w:color="000000"/>
              <w:right w:val="single" w:sz="6" w:space="0" w:color="000000"/>
            </w:tcBorders>
          </w:tcPr>
          <w:p w14:paraId="6047554D" w14:textId="77777777" w:rsidR="00D726B2" w:rsidRPr="0080364A" w:rsidRDefault="00D726B2" w:rsidP="00E858EF">
            <w:pPr>
              <w:suppressAutoHyphens/>
              <w:jc w:val="center"/>
              <w:rPr>
                <w:sz w:val="20"/>
              </w:rPr>
            </w:pPr>
            <w:r w:rsidRPr="0080364A">
              <w:rPr>
                <w:sz w:val="20"/>
              </w:rPr>
              <w:t>20</w:t>
            </w:r>
          </w:p>
        </w:tc>
        <w:tc>
          <w:tcPr>
            <w:tcW w:w="390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2BA04663" w14:textId="77777777" w:rsidR="00D726B2" w:rsidRPr="0080364A" w:rsidRDefault="00D726B2" w:rsidP="00E858EF">
            <w:pPr>
              <w:suppressAutoHyphens/>
              <w:jc w:val="center"/>
              <w:rPr>
                <w:sz w:val="20"/>
              </w:rPr>
            </w:pPr>
            <w:r w:rsidRPr="0080364A">
              <w:rPr>
                <w:sz w:val="20"/>
              </w:rPr>
              <w:t>0</w:t>
            </w:r>
          </w:p>
        </w:tc>
      </w:tr>
    </w:tbl>
    <w:p w14:paraId="5C6ED3E4" w14:textId="77777777" w:rsidR="00D726B2" w:rsidRPr="00C46961"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0"/>
          <w:szCs w:val="20"/>
        </w:rPr>
      </w:pPr>
    </w:p>
    <w:p w14:paraId="22C3A7EC" w14:textId="77777777" w:rsidR="00D726B2" w:rsidRPr="00AD4648"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560"/>
        <w:rPr>
          <w:color w:val="000000"/>
        </w:rPr>
      </w:pPr>
      <w:r>
        <w:rPr>
          <w:color w:val="000000"/>
        </w:rPr>
        <w:t>Feet occurrences/ feet number: four feet</w:t>
      </w:r>
      <w:r w:rsidRPr="00AD4648">
        <w:rPr>
          <w:color w:val="000000"/>
        </w:rPr>
        <w:t>. Information is available on a sample of 15 larnakes</w:t>
      </w:r>
    </w:p>
    <w:p w14:paraId="470DD742" w14:textId="61AFD479" w:rsidR="00D726B2" w:rsidRPr="00191003" w:rsidRDefault="00D726B2" w:rsidP="00E858EF">
      <w:pPr>
        <w:pStyle w:val="Testofumetto"/>
        <w:suppressAutoHyphens/>
      </w:pPr>
      <w:bookmarkStart w:id="1156" w:name="_Toc520212657"/>
      <w:r>
        <w:t>Table 5-32</w:t>
      </w:r>
      <w:r w:rsidR="00117AA5">
        <w:t>.</w:t>
      </w:r>
      <w:r>
        <w:t xml:space="preserve"> Feet occurrence, Mid-East</w:t>
      </w:r>
      <w:bookmarkEnd w:id="1156"/>
      <w:r w:rsidR="006934A7">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1636"/>
      </w:tblGrid>
      <w:tr w:rsidR="00D726B2" w:rsidRPr="0080364A" w14:paraId="33DA24BC" w14:textId="77777777" w:rsidTr="00A95925">
        <w:trPr>
          <w:trHeight w:val="315"/>
        </w:trPr>
        <w:tc>
          <w:tcPr>
            <w:tcW w:w="1275" w:type="dxa"/>
            <w:tcBorders>
              <w:top w:val="single" w:sz="6" w:space="0" w:color="000000"/>
              <w:left w:val="single" w:sz="6" w:space="0" w:color="000000"/>
              <w:bottom w:val="single" w:sz="6" w:space="0" w:color="000000"/>
              <w:right w:val="single" w:sz="6" w:space="0" w:color="000000"/>
            </w:tcBorders>
          </w:tcPr>
          <w:p w14:paraId="7907E699" w14:textId="77777777" w:rsidR="00D726B2" w:rsidRPr="0080364A" w:rsidRDefault="00D726B2" w:rsidP="00E858EF">
            <w:pPr>
              <w:suppressAutoHyphens/>
              <w:jc w:val="center"/>
              <w:rPr>
                <w:sz w:val="20"/>
              </w:rPr>
            </w:pPr>
            <w:r w:rsidRPr="0080364A">
              <w:rPr>
                <w:sz w:val="20"/>
              </w:rPr>
              <w:t>4 Feet</w:t>
            </w:r>
          </w:p>
        </w:tc>
        <w:tc>
          <w:tcPr>
            <w:tcW w:w="1275" w:type="dxa"/>
            <w:tcBorders>
              <w:top w:val="single" w:sz="6" w:space="0" w:color="000000"/>
              <w:left w:val="single" w:sz="6" w:space="0" w:color="000000"/>
              <w:bottom w:val="single" w:sz="6" w:space="0" w:color="000000"/>
              <w:right w:val="single" w:sz="6" w:space="0" w:color="000000"/>
            </w:tcBorders>
          </w:tcPr>
          <w:p w14:paraId="3F2683CD" w14:textId="77777777" w:rsidR="00D726B2" w:rsidRPr="0080364A" w:rsidRDefault="00D726B2" w:rsidP="00E858EF">
            <w:pPr>
              <w:suppressAutoHyphens/>
              <w:jc w:val="center"/>
              <w:rPr>
                <w:sz w:val="20"/>
              </w:rPr>
            </w:pPr>
            <w:r w:rsidRPr="0080364A">
              <w:rPr>
                <w:sz w:val="20"/>
              </w:rPr>
              <w:t>6 Feet</w:t>
            </w:r>
          </w:p>
        </w:tc>
        <w:tc>
          <w:tcPr>
            <w:tcW w:w="1636" w:type="dxa"/>
            <w:tcBorders>
              <w:top w:val="single" w:sz="6" w:space="0" w:color="000000"/>
              <w:left w:val="single" w:sz="6" w:space="0" w:color="000000"/>
              <w:bottom w:val="single" w:sz="6" w:space="0" w:color="000000"/>
              <w:right w:val="single" w:sz="6" w:space="0" w:color="000000"/>
            </w:tcBorders>
          </w:tcPr>
          <w:p w14:paraId="439B3201" w14:textId="77777777" w:rsidR="00D726B2" w:rsidRPr="0080364A" w:rsidRDefault="00D726B2" w:rsidP="00E858EF">
            <w:pPr>
              <w:suppressAutoHyphens/>
              <w:jc w:val="center"/>
              <w:rPr>
                <w:sz w:val="20"/>
              </w:rPr>
            </w:pPr>
            <w:r w:rsidRPr="0080364A">
              <w:rPr>
                <w:sz w:val="20"/>
              </w:rPr>
              <w:t>Without feet</w:t>
            </w:r>
          </w:p>
        </w:tc>
      </w:tr>
      <w:tr w:rsidR="00D726B2" w:rsidRPr="0080364A" w14:paraId="190E4538" w14:textId="77777777" w:rsidTr="00A95925">
        <w:trPr>
          <w:trHeight w:val="315"/>
        </w:trPr>
        <w:tc>
          <w:tcPr>
            <w:tcW w:w="1275" w:type="dxa"/>
            <w:tcBorders>
              <w:top w:val="single" w:sz="6" w:space="0" w:color="000000"/>
              <w:left w:val="single" w:sz="6" w:space="0" w:color="000000"/>
              <w:bottom w:val="single" w:sz="6" w:space="0" w:color="000000"/>
              <w:right w:val="single" w:sz="6" w:space="0" w:color="000000"/>
            </w:tcBorders>
          </w:tcPr>
          <w:p w14:paraId="52C00801" w14:textId="77777777" w:rsidR="00D726B2" w:rsidRPr="0080364A" w:rsidRDefault="00D726B2" w:rsidP="00E858EF">
            <w:pPr>
              <w:suppressAutoHyphens/>
              <w:jc w:val="center"/>
              <w:rPr>
                <w:sz w:val="20"/>
              </w:rPr>
            </w:pPr>
            <w:r w:rsidRPr="0080364A">
              <w:rPr>
                <w:sz w:val="20"/>
              </w:rPr>
              <w:t>12</w:t>
            </w:r>
          </w:p>
        </w:tc>
        <w:tc>
          <w:tcPr>
            <w:tcW w:w="1275" w:type="dxa"/>
            <w:tcBorders>
              <w:top w:val="single" w:sz="6" w:space="0" w:color="000000"/>
              <w:left w:val="single" w:sz="6" w:space="0" w:color="000000"/>
              <w:bottom w:val="single" w:sz="6" w:space="0" w:color="000000"/>
              <w:right w:val="single" w:sz="6" w:space="0" w:color="000000"/>
            </w:tcBorders>
          </w:tcPr>
          <w:p w14:paraId="2BFFE1AF" w14:textId="77777777" w:rsidR="00D726B2" w:rsidRPr="0080364A" w:rsidRDefault="00D726B2" w:rsidP="00E858EF">
            <w:pPr>
              <w:suppressAutoHyphens/>
              <w:jc w:val="center"/>
              <w:rPr>
                <w:sz w:val="20"/>
              </w:rPr>
            </w:pPr>
            <w:r w:rsidRPr="0080364A">
              <w:rPr>
                <w:sz w:val="20"/>
              </w:rPr>
              <w:t>1</w:t>
            </w:r>
          </w:p>
        </w:tc>
        <w:tc>
          <w:tcPr>
            <w:tcW w:w="1636" w:type="dxa"/>
            <w:tcBorders>
              <w:top w:val="single" w:sz="6" w:space="0" w:color="000000"/>
              <w:left w:val="single" w:sz="6" w:space="0" w:color="000000"/>
              <w:bottom w:val="single" w:sz="6" w:space="0" w:color="000000"/>
              <w:right w:val="single" w:sz="6" w:space="0" w:color="000000"/>
            </w:tcBorders>
          </w:tcPr>
          <w:p w14:paraId="1281CFD1" w14:textId="77777777" w:rsidR="00D726B2" w:rsidRPr="0080364A" w:rsidRDefault="00D726B2" w:rsidP="00E858EF">
            <w:pPr>
              <w:suppressAutoHyphens/>
              <w:jc w:val="center"/>
              <w:rPr>
                <w:sz w:val="20"/>
              </w:rPr>
            </w:pPr>
            <w:r w:rsidRPr="0080364A">
              <w:rPr>
                <w:sz w:val="20"/>
              </w:rPr>
              <w:t>2</w:t>
            </w:r>
          </w:p>
        </w:tc>
      </w:tr>
    </w:tbl>
    <w:p w14:paraId="538222F9" w14:textId="77777777" w:rsidR="00D726B2" w:rsidRPr="00C46961"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0"/>
          <w:szCs w:val="20"/>
        </w:rPr>
      </w:pPr>
    </w:p>
    <w:p w14:paraId="42849C0C"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560"/>
        <w:rPr>
          <w:color w:val="000000"/>
        </w:rPr>
      </w:pPr>
      <w:r w:rsidRPr="00191003">
        <w:rPr>
          <w:color w:val="000000"/>
        </w:rPr>
        <w:t xml:space="preserve">Handles or holes </w:t>
      </w:r>
      <w:r>
        <w:rPr>
          <w:color w:val="000000"/>
        </w:rPr>
        <w:t>are</w:t>
      </w:r>
      <w:r w:rsidRPr="00191003">
        <w:rPr>
          <w:color w:val="000000"/>
        </w:rPr>
        <w:t xml:space="preserve"> registered on a sample of 15 larnakes. </w:t>
      </w:r>
      <w:r>
        <w:rPr>
          <w:color w:val="000000"/>
        </w:rPr>
        <w:t>H</w:t>
      </w:r>
      <w:r w:rsidRPr="00191003">
        <w:rPr>
          <w:color w:val="000000"/>
        </w:rPr>
        <w:t>andles occur in number</w:t>
      </w:r>
      <w:r>
        <w:rPr>
          <w:color w:val="000000"/>
        </w:rPr>
        <w:t>s</w:t>
      </w:r>
      <w:r w:rsidRPr="00191003">
        <w:rPr>
          <w:color w:val="000000"/>
        </w:rPr>
        <w:t xml:space="preserve"> of 6 (2 each long</w:t>
      </w:r>
      <w:r>
        <w:rPr>
          <w:color w:val="000000"/>
        </w:rPr>
        <w:t>-</w:t>
      </w:r>
      <w:r w:rsidRPr="00191003">
        <w:rPr>
          <w:color w:val="000000"/>
        </w:rPr>
        <w:t>side panel, 1 per each short</w:t>
      </w:r>
      <w:r>
        <w:rPr>
          <w:color w:val="000000"/>
        </w:rPr>
        <w:t>-</w:t>
      </w:r>
      <w:r w:rsidRPr="00191003">
        <w:rPr>
          <w:color w:val="000000"/>
        </w:rPr>
        <w:t>side panel) or 4 (1 each panel).</w:t>
      </w:r>
    </w:p>
    <w:p w14:paraId="1528DEA0" w14:textId="77777777" w:rsidR="0080364A" w:rsidRDefault="0080364A">
      <w:pPr>
        <w:widowControl/>
        <w:spacing w:line="240" w:lineRule="auto"/>
        <w:contextualSpacing w:val="0"/>
        <w:jc w:val="left"/>
        <w:rPr>
          <w:rFonts w:cs="Lucida Grande"/>
          <w:b/>
          <w:sz w:val="20"/>
          <w:szCs w:val="18"/>
        </w:rPr>
      </w:pPr>
      <w:r>
        <w:br w:type="page"/>
      </w:r>
    </w:p>
    <w:p w14:paraId="74636048" w14:textId="317715FA" w:rsidR="00D726B2" w:rsidRPr="00191003" w:rsidRDefault="00D726B2" w:rsidP="00E858EF">
      <w:pPr>
        <w:pStyle w:val="Testofumetto"/>
        <w:suppressAutoHyphens/>
      </w:pPr>
      <w:bookmarkStart w:id="1157" w:name="_Toc520212658"/>
      <w:r>
        <w:t>Table 5-33</w:t>
      </w:r>
      <w:r w:rsidR="00117AA5">
        <w:t>.</w:t>
      </w:r>
      <w:r>
        <w:t xml:space="preserve"> Handles or holes, Mid-East</w:t>
      </w:r>
      <w:bookmarkEnd w:id="1157"/>
      <w:r w:rsidR="006934A7">
        <w:t xml:space="preserve"> area</w:t>
      </w:r>
    </w:p>
    <w:tbl>
      <w:tblPr>
        <w:tblW w:w="0" w:type="auto"/>
        <w:tblInd w:w="8" w:type="dxa"/>
        <w:tblCellMar>
          <w:left w:w="0" w:type="dxa"/>
          <w:right w:w="0" w:type="dxa"/>
        </w:tblCellMar>
        <w:tblLook w:val="04A0" w:firstRow="1" w:lastRow="0" w:firstColumn="1" w:lastColumn="0" w:noHBand="0" w:noVBand="1"/>
      </w:tblPr>
      <w:tblGrid>
        <w:gridCol w:w="1275"/>
        <w:gridCol w:w="1275"/>
      </w:tblGrid>
      <w:tr w:rsidR="00D726B2" w:rsidRPr="0080364A" w14:paraId="446F5475" w14:textId="77777777" w:rsidTr="0080364A">
        <w:trPr>
          <w:trHeight w:val="315"/>
        </w:trPr>
        <w:tc>
          <w:tcPr>
            <w:tcW w:w="1275" w:type="dxa"/>
            <w:tcBorders>
              <w:top w:val="single" w:sz="6" w:space="0" w:color="000000"/>
              <w:left w:val="single" w:sz="6" w:space="0" w:color="000000"/>
              <w:bottom w:val="single" w:sz="6" w:space="0" w:color="000000"/>
              <w:right w:val="single" w:sz="6" w:space="0" w:color="000000"/>
            </w:tcBorders>
          </w:tcPr>
          <w:p w14:paraId="2371A7E3" w14:textId="77777777" w:rsidR="00D726B2" w:rsidRPr="0080364A" w:rsidRDefault="00D726B2" w:rsidP="00E858EF">
            <w:pPr>
              <w:suppressAutoHyphens/>
              <w:jc w:val="center"/>
              <w:rPr>
                <w:sz w:val="20"/>
              </w:rPr>
            </w:pPr>
            <w:r w:rsidRPr="0080364A">
              <w:rPr>
                <w:sz w:val="20"/>
              </w:rPr>
              <w:t>Handles</w:t>
            </w:r>
          </w:p>
        </w:tc>
        <w:tc>
          <w:tcPr>
            <w:tcW w:w="1275" w:type="dxa"/>
            <w:tcBorders>
              <w:top w:val="single" w:sz="6" w:space="0" w:color="000000"/>
              <w:left w:val="single" w:sz="6" w:space="0" w:color="000000"/>
              <w:bottom w:val="single" w:sz="6" w:space="0" w:color="000000"/>
              <w:right w:val="single" w:sz="6" w:space="0" w:color="000000"/>
            </w:tcBorders>
          </w:tcPr>
          <w:p w14:paraId="5A428183" w14:textId="77777777" w:rsidR="00D726B2" w:rsidRPr="0080364A" w:rsidRDefault="00D726B2" w:rsidP="00E858EF">
            <w:pPr>
              <w:suppressAutoHyphens/>
              <w:jc w:val="center"/>
              <w:rPr>
                <w:sz w:val="20"/>
              </w:rPr>
            </w:pPr>
            <w:r w:rsidRPr="0080364A">
              <w:rPr>
                <w:sz w:val="20"/>
              </w:rPr>
              <w:t>Holes</w:t>
            </w:r>
          </w:p>
        </w:tc>
      </w:tr>
      <w:tr w:rsidR="00D726B2" w:rsidRPr="0080364A" w14:paraId="054D4B02" w14:textId="77777777" w:rsidTr="0080364A">
        <w:trPr>
          <w:trHeight w:val="315"/>
        </w:trPr>
        <w:tc>
          <w:tcPr>
            <w:tcW w:w="1275" w:type="dxa"/>
            <w:tcBorders>
              <w:top w:val="single" w:sz="6" w:space="0" w:color="000000"/>
              <w:left w:val="single" w:sz="6" w:space="0" w:color="000000"/>
              <w:bottom w:val="single" w:sz="6" w:space="0" w:color="000000"/>
              <w:right w:val="single" w:sz="6" w:space="0" w:color="000000"/>
            </w:tcBorders>
          </w:tcPr>
          <w:p w14:paraId="7E07EC7C" w14:textId="77777777" w:rsidR="00D726B2" w:rsidRPr="0080364A" w:rsidRDefault="00D726B2" w:rsidP="00E858EF">
            <w:pPr>
              <w:suppressAutoHyphens/>
              <w:jc w:val="center"/>
              <w:rPr>
                <w:sz w:val="20"/>
              </w:rPr>
            </w:pPr>
            <w:r w:rsidRPr="0080364A">
              <w:rPr>
                <w:sz w:val="20"/>
              </w:rPr>
              <w:t>14</w:t>
            </w:r>
          </w:p>
        </w:tc>
        <w:tc>
          <w:tcPr>
            <w:tcW w:w="1275" w:type="dxa"/>
            <w:tcBorders>
              <w:top w:val="single" w:sz="6" w:space="0" w:color="000000"/>
              <w:left w:val="single" w:sz="6" w:space="0" w:color="000000"/>
              <w:bottom w:val="single" w:sz="6" w:space="0" w:color="000000"/>
              <w:right w:val="single" w:sz="6" w:space="0" w:color="000000"/>
            </w:tcBorders>
          </w:tcPr>
          <w:p w14:paraId="1108450A" w14:textId="77777777" w:rsidR="00D726B2" w:rsidRPr="0080364A" w:rsidRDefault="00D726B2" w:rsidP="00E858EF">
            <w:pPr>
              <w:suppressAutoHyphens/>
              <w:jc w:val="center"/>
              <w:rPr>
                <w:sz w:val="20"/>
              </w:rPr>
            </w:pPr>
            <w:r w:rsidRPr="0080364A">
              <w:rPr>
                <w:sz w:val="20"/>
              </w:rPr>
              <w:t>1</w:t>
            </w:r>
          </w:p>
        </w:tc>
      </w:tr>
    </w:tbl>
    <w:p w14:paraId="01432BF3" w14:textId="77777777" w:rsidR="00D726B2" w:rsidRPr="00C46961"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p w14:paraId="08F9C0CE" w14:textId="77777777" w:rsidR="00D726B2" w:rsidRPr="00191003"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Presence of base hole</w:t>
      </w:r>
      <w:r>
        <w:rPr>
          <w:color w:val="000000"/>
        </w:rPr>
        <w:t>s:</w:t>
      </w:r>
    </w:p>
    <w:p w14:paraId="706642CD" w14:textId="77777777" w:rsidR="00D726B2" w:rsidRPr="00191003"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191003">
        <w:rPr>
          <w:color w:val="000000"/>
        </w:rPr>
        <w:t xml:space="preserve">Information is available on a sample of </w:t>
      </w:r>
      <w:r>
        <w:rPr>
          <w:color w:val="000000"/>
        </w:rPr>
        <w:t>seven</w:t>
      </w:r>
      <w:r w:rsidRPr="00191003">
        <w:rPr>
          <w:color w:val="000000"/>
        </w:rPr>
        <w:t xml:space="preserve"> larnakes; range of base hole number</w:t>
      </w:r>
      <w:r>
        <w:rPr>
          <w:color w:val="000000"/>
        </w:rPr>
        <w:t>s is</w:t>
      </w:r>
      <w:r w:rsidRPr="00191003">
        <w:rPr>
          <w:color w:val="000000"/>
        </w:rPr>
        <w:t xml:space="preserve"> 1 </w:t>
      </w:r>
      <w:r>
        <w:rPr>
          <w:color w:val="000000"/>
        </w:rPr>
        <w:t xml:space="preserve">to </w:t>
      </w:r>
      <w:r w:rsidRPr="00191003">
        <w:rPr>
          <w:color w:val="000000"/>
        </w:rPr>
        <w:t>18.</w:t>
      </w:r>
    </w:p>
    <w:p w14:paraId="4BD6EFA7" w14:textId="77777777" w:rsidR="0080364A" w:rsidRDefault="0080364A" w:rsidP="0080364A">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560"/>
        <w:rPr>
          <w:color w:val="000000"/>
        </w:rPr>
      </w:pPr>
    </w:p>
    <w:p w14:paraId="7169DA94" w14:textId="48BB130F"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560"/>
        <w:rPr>
          <w:color w:val="000000"/>
        </w:rPr>
      </w:pPr>
      <w:r w:rsidRPr="00AD4648">
        <w:rPr>
          <w:color w:val="000000"/>
        </w:rPr>
        <w:t>Panel division/panel type/number of panels: 4 incised/painted bands.</w:t>
      </w:r>
      <w:r>
        <w:rPr>
          <w:color w:val="000000"/>
        </w:rPr>
        <w:t xml:space="preserve"> </w:t>
      </w:r>
      <w:r w:rsidRPr="00AD4648">
        <w:rPr>
          <w:color w:val="000000"/>
        </w:rPr>
        <w:t>Information is available on a sample of 15 larnakes, and they have almost the same occurrence</w:t>
      </w:r>
    </w:p>
    <w:p w14:paraId="2C32075D" w14:textId="4092E080" w:rsidR="00D726B2" w:rsidRPr="00E7753F" w:rsidRDefault="00D726B2" w:rsidP="00E858EF">
      <w:pPr>
        <w:pStyle w:val="Testofumetto"/>
        <w:suppressAutoHyphens/>
      </w:pPr>
      <w:bookmarkStart w:id="1158" w:name="_Toc520212659"/>
      <w:r>
        <w:t>Table 5-34</w:t>
      </w:r>
      <w:r w:rsidR="00117AA5">
        <w:t>.</w:t>
      </w:r>
      <w:r>
        <w:t xml:space="preserve"> Panels, Mid-east</w:t>
      </w:r>
      <w:bookmarkEnd w:id="1158"/>
      <w:r w:rsidR="00AD1B4B">
        <w:t xml:space="preserve"> area</w:t>
      </w:r>
    </w:p>
    <w:tbl>
      <w:tblPr>
        <w:tblW w:w="0" w:type="auto"/>
        <w:tblInd w:w="8" w:type="dxa"/>
        <w:tblCellMar>
          <w:left w:w="0" w:type="dxa"/>
          <w:right w:w="0" w:type="dxa"/>
        </w:tblCellMar>
        <w:tblLook w:val="04A0" w:firstRow="1" w:lastRow="0" w:firstColumn="1" w:lastColumn="0" w:noHBand="0" w:noVBand="1"/>
      </w:tblPr>
      <w:tblGrid>
        <w:gridCol w:w="1635"/>
        <w:gridCol w:w="1701"/>
        <w:gridCol w:w="1275"/>
        <w:gridCol w:w="1275"/>
        <w:gridCol w:w="2269"/>
      </w:tblGrid>
      <w:tr w:rsidR="00D726B2" w:rsidRPr="0080364A" w14:paraId="08F659D0" w14:textId="77777777" w:rsidTr="0080364A">
        <w:trPr>
          <w:trHeight w:val="315"/>
        </w:trPr>
        <w:tc>
          <w:tcPr>
            <w:tcW w:w="1635" w:type="dxa"/>
            <w:tcBorders>
              <w:top w:val="single" w:sz="6" w:space="0" w:color="000000"/>
              <w:left w:val="single" w:sz="6" w:space="0" w:color="000000"/>
              <w:bottom w:val="single" w:sz="6" w:space="0" w:color="000000"/>
              <w:right w:val="single" w:sz="6" w:space="0" w:color="000000"/>
            </w:tcBorders>
          </w:tcPr>
          <w:p w14:paraId="16513741" w14:textId="77777777" w:rsidR="00D726B2" w:rsidRPr="0080364A" w:rsidRDefault="00D726B2" w:rsidP="00E858EF">
            <w:pPr>
              <w:suppressAutoHyphens/>
              <w:jc w:val="center"/>
              <w:rPr>
                <w:sz w:val="20"/>
              </w:rPr>
            </w:pPr>
            <w:r w:rsidRPr="0080364A">
              <w:rPr>
                <w:sz w:val="20"/>
              </w:rPr>
              <w:t>Raised bands</w:t>
            </w:r>
          </w:p>
        </w:tc>
        <w:tc>
          <w:tcPr>
            <w:tcW w:w="1701" w:type="dxa"/>
            <w:tcBorders>
              <w:top w:val="single" w:sz="6" w:space="0" w:color="000000"/>
              <w:left w:val="single" w:sz="6" w:space="0" w:color="000000"/>
              <w:bottom w:val="single" w:sz="6" w:space="0" w:color="000000"/>
              <w:right w:val="single" w:sz="6" w:space="0" w:color="000000"/>
            </w:tcBorders>
          </w:tcPr>
          <w:p w14:paraId="44C1827E" w14:textId="77777777" w:rsidR="00D726B2" w:rsidRPr="0080364A" w:rsidRDefault="00D726B2" w:rsidP="00E858EF">
            <w:pPr>
              <w:suppressAutoHyphens/>
              <w:jc w:val="center"/>
              <w:rPr>
                <w:sz w:val="20"/>
              </w:rPr>
            </w:pPr>
            <w:r w:rsidRPr="0080364A">
              <w:rPr>
                <w:sz w:val="20"/>
              </w:rPr>
              <w:t>Incised bands</w:t>
            </w:r>
          </w:p>
        </w:tc>
        <w:tc>
          <w:tcPr>
            <w:tcW w:w="1275" w:type="dxa"/>
            <w:tcBorders>
              <w:top w:val="single" w:sz="6" w:space="0" w:color="000000"/>
              <w:left w:val="single" w:sz="6" w:space="0" w:color="000000"/>
              <w:bottom w:val="single" w:sz="6" w:space="0" w:color="000000"/>
              <w:right w:val="single" w:sz="6" w:space="0" w:color="000000"/>
            </w:tcBorders>
          </w:tcPr>
          <w:p w14:paraId="4EB7F95C" w14:textId="77777777" w:rsidR="00D726B2" w:rsidRPr="0080364A" w:rsidRDefault="00D726B2" w:rsidP="00E858EF">
            <w:pPr>
              <w:suppressAutoHyphens/>
              <w:jc w:val="center"/>
              <w:rPr>
                <w:sz w:val="20"/>
              </w:rPr>
            </w:pPr>
            <w:r w:rsidRPr="0080364A">
              <w:rPr>
                <w:sz w:val="20"/>
              </w:rPr>
              <w:t>4 panels</w:t>
            </w:r>
          </w:p>
        </w:tc>
        <w:tc>
          <w:tcPr>
            <w:tcW w:w="1275" w:type="dxa"/>
            <w:tcBorders>
              <w:top w:val="single" w:sz="6" w:space="0" w:color="000000"/>
              <w:left w:val="single" w:sz="6" w:space="0" w:color="000000"/>
              <w:bottom w:val="single" w:sz="6" w:space="0" w:color="000000"/>
              <w:right w:val="single" w:sz="6" w:space="0" w:color="000000"/>
            </w:tcBorders>
          </w:tcPr>
          <w:p w14:paraId="02E6133F" w14:textId="77777777" w:rsidR="00D726B2" w:rsidRPr="0080364A" w:rsidRDefault="00D726B2" w:rsidP="00E858EF">
            <w:pPr>
              <w:suppressAutoHyphens/>
              <w:jc w:val="center"/>
              <w:rPr>
                <w:sz w:val="20"/>
              </w:rPr>
            </w:pPr>
            <w:r w:rsidRPr="0080364A">
              <w:rPr>
                <w:sz w:val="20"/>
              </w:rPr>
              <w:t>6 panels</w:t>
            </w:r>
          </w:p>
        </w:tc>
        <w:tc>
          <w:tcPr>
            <w:tcW w:w="2269" w:type="dxa"/>
            <w:tcBorders>
              <w:top w:val="single" w:sz="6" w:space="0" w:color="000000"/>
              <w:left w:val="single" w:sz="6" w:space="0" w:color="000000"/>
              <w:bottom w:val="single" w:sz="6" w:space="0" w:color="000000"/>
              <w:right w:val="single" w:sz="6" w:space="0" w:color="000000"/>
            </w:tcBorders>
          </w:tcPr>
          <w:p w14:paraId="4F7CFCAD" w14:textId="77777777" w:rsidR="00D726B2" w:rsidRPr="0080364A" w:rsidRDefault="00D726B2" w:rsidP="00E858EF">
            <w:pPr>
              <w:suppressAutoHyphens/>
              <w:jc w:val="center"/>
              <w:rPr>
                <w:sz w:val="20"/>
              </w:rPr>
            </w:pPr>
            <w:r w:rsidRPr="0080364A">
              <w:rPr>
                <w:sz w:val="20"/>
              </w:rPr>
              <w:t>N/A number of panels</w:t>
            </w:r>
          </w:p>
        </w:tc>
      </w:tr>
      <w:tr w:rsidR="00D726B2" w:rsidRPr="0080364A" w14:paraId="6721F696" w14:textId="77777777" w:rsidTr="0080364A">
        <w:trPr>
          <w:trHeight w:val="315"/>
        </w:trPr>
        <w:tc>
          <w:tcPr>
            <w:tcW w:w="1635" w:type="dxa"/>
            <w:tcBorders>
              <w:top w:val="single" w:sz="6" w:space="0" w:color="000000"/>
              <w:left w:val="single" w:sz="6" w:space="0" w:color="000000"/>
              <w:bottom w:val="single" w:sz="6" w:space="0" w:color="000000"/>
              <w:right w:val="single" w:sz="6" w:space="0" w:color="000000"/>
            </w:tcBorders>
          </w:tcPr>
          <w:p w14:paraId="6DE02653" w14:textId="77777777" w:rsidR="00D726B2" w:rsidRPr="0080364A" w:rsidRDefault="00D726B2" w:rsidP="00E858EF">
            <w:pPr>
              <w:suppressAutoHyphens/>
              <w:jc w:val="center"/>
              <w:rPr>
                <w:sz w:val="20"/>
              </w:rPr>
            </w:pPr>
            <w:r w:rsidRPr="0080364A">
              <w:rPr>
                <w:sz w:val="20"/>
              </w:rPr>
              <w:t>7</w:t>
            </w:r>
          </w:p>
        </w:tc>
        <w:tc>
          <w:tcPr>
            <w:tcW w:w="1701" w:type="dxa"/>
            <w:tcBorders>
              <w:top w:val="single" w:sz="6" w:space="0" w:color="000000"/>
              <w:left w:val="single" w:sz="6" w:space="0" w:color="000000"/>
              <w:bottom w:val="single" w:sz="6" w:space="0" w:color="000000"/>
              <w:right w:val="single" w:sz="6" w:space="0" w:color="000000"/>
            </w:tcBorders>
          </w:tcPr>
          <w:p w14:paraId="4B2B2CF9" w14:textId="77777777" w:rsidR="00D726B2" w:rsidRPr="0080364A" w:rsidRDefault="00D726B2" w:rsidP="00E858EF">
            <w:pPr>
              <w:suppressAutoHyphens/>
              <w:jc w:val="center"/>
              <w:rPr>
                <w:sz w:val="20"/>
              </w:rPr>
            </w:pPr>
            <w:r w:rsidRPr="0080364A">
              <w:rPr>
                <w:sz w:val="20"/>
              </w:rPr>
              <w:t>8</w:t>
            </w:r>
          </w:p>
        </w:tc>
        <w:tc>
          <w:tcPr>
            <w:tcW w:w="1275" w:type="dxa"/>
            <w:tcBorders>
              <w:top w:val="single" w:sz="6" w:space="0" w:color="000000"/>
              <w:left w:val="single" w:sz="6" w:space="0" w:color="000000"/>
              <w:bottom w:val="single" w:sz="6" w:space="0" w:color="000000"/>
              <w:right w:val="single" w:sz="6" w:space="0" w:color="000000"/>
            </w:tcBorders>
          </w:tcPr>
          <w:p w14:paraId="526918CF" w14:textId="77777777" w:rsidR="00D726B2" w:rsidRPr="0080364A" w:rsidRDefault="00D726B2" w:rsidP="00E858EF">
            <w:pPr>
              <w:suppressAutoHyphens/>
              <w:jc w:val="center"/>
              <w:rPr>
                <w:sz w:val="20"/>
              </w:rPr>
            </w:pPr>
            <w:r w:rsidRPr="0080364A">
              <w:rPr>
                <w:sz w:val="20"/>
              </w:rPr>
              <w:t>8</w:t>
            </w:r>
          </w:p>
        </w:tc>
        <w:tc>
          <w:tcPr>
            <w:tcW w:w="1275" w:type="dxa"/>
            <w:tcBorders>
              <w:top w:val="single" w:sz="6" w:space="0" w:color="000000"/>
              <w:left w:val="single" w:sz="6" w:space="0" w:color="000000"/>
              <w:bottom w:val="single" w:sz="6" w:space="0" w:color="000000"/>
              <w:right w:val="single" w:sz="6" w:space="0" w:color="000000"/>
            </w:tcBorders>
          </w:tcPr>
          <w:p w14:paraId="24E99A90" w14:textId="77777777" w:rsidR="00D726B2" w:rsidRPr="0080364A" w:rsidRDefault="00D726B2" w:rsidP="00E858EF">
            <w:pPr>
              <w:suppressAutoHyphens/>
              <w:jc w:val="center"/>
              <w:rPr>
                <w:sz w:val="20"/>
              </w:rPr>
            </w:pPr>
            <w:r w:rsidRPr="0080364A">
              <w:rPr>
                <w:sz w:val="20"/>
              </w:rPr>
              <w:t>3</w:t>
            </w:r>
          </w:p>
        </w:tc>
        <w:tc>
          <w:tcPr>
            <w:tcW w:w="2269" w:type="dxa"/>
            <w:tcBorders>
              <w:top w:val="single" w:sz="6" w:space="0" w:color="000000"/>
              <w:left w:val="single" w:sz="6" w:space="0" w:color="000000"/>
              <w:bottom w:val="single" w:sz="6" w:space="0" w:color="000000"/>
              <w:right w:val="single" w:sz="6" w:space="0" w:color="000000"/>
            </w:tcBorders>
          </w:tcPr>
          <w:p w14:paraId="30DB463A" w14:textId="77777777" w:rsidR="00D726B2" w:rsidRPr="0080364A" w:rsidRDefault="00D726B2" w:rsidP="00E858EF">
            <w:pPr>
              <w:suppressAutoHyphens/>
              <w:jc w:val="center"/>
              <w:rPr>
                <w:sz w:val="20"/>
              </w:rPr>
            </w:pPr>
            <w:r w:rsidRPr="0080364A">
              <w:rPr>
                <w:sz w:val="20"/>
              </w:rPr>
              <w:t>4</w:t>
            </w:r>
          </w:p>
        </w:tc>
      </w:tr>
    </w:tbl>
    <w:p w14:paraId="1CFDB854" w14:textId="77777777" w:rsidR="00D726B2" w:rsidRPr="00C46961"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0"/>
          <w:szCs w:val="20"/>
        </w:rPr>
      </w:pPr>
    </w:p>
    <w:p w14:paraId="4C952E34" w14:textId="77777777" w:rsidR="00D726B2" w:rsidRPr="00191003"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Pr>
          <w:color w:val="000000"/>
        </w:rPr>
        <w:t>Presence</w:t>
      </w:r>
      <w:r w:rsidRPr="00191003">
        <w:rPr>
          <w:color w:val="000000"/>
        </w:rPr>
        <w:t xml:space="preserve"> </w:t>
      </w:r>
      <w:r>
        <w:rPr>
          <w:color w:val="000000"/>
        </w:rPr>
        <w:t>of figurines: o</w:t>
      </w:r>
      <w:r w:rsidRPr="00191003">
        <w:rPr>
          <w:color w:val="000000"/>
        </w:rPr>
        <w:t>n one larnax from Milatos</w:t>
      </w:r>
      <w:r>
        <w:rPr>
          <w:color w:val="000000"/>
        </w:rPr>
        <w:t xml:space="preserve"> are</w:t>
      </w:r>
      <w:r w:rsidRPr="00191003">
        <w:rPr>
          <w:color w:val="000000"/>
        </w:rPr>
        <w:t xml:space="preserve"> two plastic figurine</w:t>
      </w:r>
      <w:r>
        <w:rPr>
          <w:color w:val="000000"/>
        </w:rPr>
        <w:t>s</w:t>
      </w:r>
      <w:r w:rsidRPr="00191003">
        <w:rPr>
          <w:color w:val="000000"/>
        </w:rPr>
        <w:t xml:space="preserve"> representing bucrania </w:t>
      </w:r>
      <w:r>
        <w:rPr>
          <w:color w:val="000000"/>
        </w:rPr>
        <w:t xml:space="preserve">(529 Milatos HM 8961: </w:t>
      </w:r>
      <w:r w:rsidRPr="00733192">
        <w:rPr>
          <w:i/>
          <w:color w:val="000000"/>
        </w:rPr>
        <w:t>ADelt</w:t>
      </w:r>
      <w:r w:rsidRPr="00191003">
        <w:rPr>
          <w:color w:val="000000"/>
        </w:rPr>
        <w:t xml:space="preserve"> 35 1980: 521-520 (Davaras); Langohr 200</w:t>
      </w:r>
      <w:r>
        <w:rPr>
          <w:color w:val="000000"/>
        </w:rPr>
        <w:t>9</w:t>
      </w:r>
      <w:r w:rsidRPr="00191003">
        <w:rPr>
          <w:color w:val="000000"/>
        </w:rPr>
        <w:t>: 83-84</w:t>
      </w:r>
      <w:r>
        <w:rPr>
          <w:color w:val="000000"/>
        </w:rPr>
        <w:t>)</w:t>
      </w:r>
      <w:r w:rsidRPr="00191003">
        <w:rPr>
          <w:color w:val="000000"/>
        </w:rPr>
        <w:t>.</w:t>
      </w:r>
    </w:p>
    <w:p w14:paraId="121A69DE" w14:textId="77777777" w:rsidR="00D726B2"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560"/>
        <w:rPr>
          <w:color w:val="000000"/>
        </w:rPr>
      </w:pPr>
      <w:r w:rsidRPr="00191003">
        <w:rPr>
          <w:color w:val="000000"/>
        </w:rPr>
        <w:t>One lid of a larnax from Malia</w:t>
      </w:r>
      <w:r>
        <w:rPr>
          <w:color w:val="000000"/>
        </w:rPr>
        <w:t xml:space="preserve"> has</w:t>
      </w:r>
      <w:r w:rsidRPr="00191003">
        <w:rPr>
          <w:color w:val="000000"/>
        </w:rPr>
        <w:t xml:space="preserve"> relief decoration (</w:t>
      </w:r>
      <w:r>
        <w:rPr>
          <w:color w:val="000000"/>
        </w:rPr>
        <w:t>787 Malia Agia Pelagia HM 12030:</w:t>
      </w:r>
      <w:r w:rsidRPr="005A0E9A">
        <w:rPr>
          <w:color w:val="000000"/>
        </w:rPr>
        <w:t xml:space="preserve"> Van Effenterre 1963, 121-125, pl. 49 n. 1</w:t>
      </w:r>
      <w:r w:rsidRPr="00191003">
        <w:rPr>
          <w:color w:val="000000"/>
        </w:rPr>
        <w:t xml:space="preserve">): the lid seems to have a different fabric from the body of the larnax; on the </w:t>
      </w:r>
      <w:r>
        <w:rPr>
          <w:color w:val="000000"/>
        </w:rPr>
        <w:t xml:space="preserve">pole </w:t>
      </w:r>
      <w:r w:rsidRPr="00191003">
        <w:rPr>
          <w:color w:val="000000"/>
        </w:rPr>
        <w:t>of the lid</w:t>
      </w:r>
      <w:r>
        <w:rPr>
          <w:color w:val="000000"/>
        </w:rPr>
        <w:t>,</w:t>
      </w:r>
      <w:r w:rsidRPr="00191003">
        <w:rPr>
          <w:color w:val="000000"/>
        </w:rPr>
        <w:t xml:space="preserve"> which is a </w:t>
      </w:r>
      <w:r>
        <w:rPr>
          <w:color w:val="000000"/>
        </w:rPr>
        <w:t>little</w:t>
      </w:r>
      <w:r w:rsidRPr="00191003">
        <w:rPr>
          <w:color w:val="000000"/>
        </w:rPr>
        <w:t xml:space="preserve"> longer than the body of the larnax</w:t>
      </w:r>
      <w:r>
        <w:rPr>
          <w:color w:val="000000"/>
        </w:rPr>
        <w:t>,</w:t>
      </w:r>
      <w:r w:rsidRPr="00191003">
        <w:rPr>
          <w:color w:val="000000"/>
        </w:rPr>
        <w:t xml:space="preserve"> there </w:t>
      </w:r>
      <w:r>
        <w:rPr>
          <w:color w:val="000000"/>
        </w:rPr>
        <w:t>is</w:t>
      </w:r>
      <w:r w:rsidRPr="00191003">
        <w:rPr>
          <w:color w:val="000000"/>
        </w:rPr>
        <w:t xml:space="preserve"> a sort of spike decoration along the frames</w:t>
      </w:r>
      <w:r>
        <w:rPr>
          <w:color w:val="000000"/>
        </w:rPr>
        <w:t xml:space="preserve"> of the sides lid</w:t>
      </w:r>
      <w:r w:rsidRPr="00191003">
        <w:rPr>
          <w:color w:val="000000"/>
        </w:rPr>
        <w:t>.</w:t>
      </w:r>
    </w:p>
    <w:p w14:paraId="5D96669C" w14:textId="77777777" w:rsidR="00D726B2" w:rsidRPr="00191003" w:rsidRDefault="00D726B2" w:rsidP="00E858EF">
      <w:pPr>
        <w:pStyle w:val="Titolo3"/>
        <w:keepNext w:val="0"/>
        <w:keepLines w:val="0"/>
        <w:suppressAutoHyphens/>
      </w:pPr>
      <w:bookmarkStart w:id="1159" w:name="_Toc517807624"/>
      <w:bookmarkStart w:id="1160" w:name="_Toc519894701"/>
      <w:r w:rsidRPr="00191003">
        <w:t xml:space="preserve">Analysis of </w:t>
      </w:r>
      <w:r>
        <w:t xml:space="preserve">the </w:t>
      </w:r>
      <w:r w:rsidRPr="00191003">
        <w:t>ico</w:t>
      </w:r>
      <w:r>
        <w:t>nography of decorated larnakes in the Mid-East area</w:t>
      </w:r>
      <w:bookmarkEnd w:id="1159"/>
      <w:bookmarkEnd w:id="1160"/>
    </w:p>
    <w:p w14:paraId="6DEB6235" w14:textId="20C442C6" w:rsidR="00D726B2" w:rsidRPr="00191003" w:rsidRDefault="00D726B2" w:rsidP="00E858EF">
      <w:pPr>
        <w:suppressAutoHyphens/>
      </w:pPr>
      <w:r w:rsidRPr="00191003">
        <w:t>From the sample of larnak</w:t>
      </w:r>
      <w:r>
        <w:t>es found in burial contexts in the Mid-East</w:t>
      </w:r>
      <w:r w:rsidRPr="00191003">
        <w:t xml:space="preserve"> region</w:t>
      </w:r>
      <w:r>
        <w:t xml:space="preserve"> (</w:t>
      </w:r>
      <w:r w:rsidRPr="00191003">
        <w:t>77 items</w:t>
      </w:r>
      <w:r>
        <w:t>),</w:t>
      </w:r>
      <w:r w:rsidRPr="00191003">
        <w:t xml:space="preserve"> the presence of decoration </w:t>
      </w:r>
      <w:r>
        <w:t>is</w:t>
      </w:r>
      <w:r w:rsidRPr="00191003">
        <w:t xml:space="preserve"> registered securely </w:t>
      </w:r>
      <w:r>
        <w:t>for</w:t>
      </w:r>
      <w:r w:rsidRPr="00191003">
        <w:t xml:space="preserve"> 25% (19 items</w:t>
      </w:r>
      <w:r w:rsidR="00D52A83">
        <w:t>, see: Appendix: Mid-East</w:t>
      </w:r>
      <w:r w:rsidRPr="00191003">
        <w:t xml:space="preserve">). </w:t>
      </w:r>
    </w:p>
    <w:p w14:paraId="7A238EE6" w14:textId="77777777" w:rsidR="00D726B2" w:rsidRPr="00191003" w:rsidRDefault="00D726B2" w:rsidP="00E858EF">
      <w:pPr>
        <w:suppressAutoHyphens/>
      </w:pPr>
    </w:p>
    <w:p w14:paraId="412E134D" w14:textId="77777777" w:rsidR="00D726B2" w:rsidRPr="00191003" w:rsidRDefault="00D726B2" w:rsidP="00E858EF">
      <w:pPr>
        <w:tabs>
          <w:tab w:val="left" w:pos="4395"/>
        </w:tabs>
        <w:suppressAutoHyphens/>
        <w:rPr>
          <w:b/>
        </w:rPr>
      </w:pPr>
      <w:r>
        <w:rPr>
          <w:noProof/>
          <w:lang w:val="it-IT"/>
        </w:rPr>
        <w:drawing>
          <wp:inline distT="0" distB="0" distL="0" distR="0" wp14:anchorId="6185D039" wp14:editId="4C74A02C">
            <wp:extent cx="4680000" cy="2520000"/>
            <wp:effectExtent l="0" t="0" r="6350" b="13970"/>
            <wp:docPr id="198" name="Gra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14:paraId="1FA753A8" w14:textId="22D82A13" w:rsidR="00D726B2" w:rsidRDefault="00D726B2" w:rsidP="00E858EF">
      <w:pPr>
        <w:pStyle w:val="Didascalia"/>
        <w:suppressAutoHyphens/>
      </w:pPr>
      <w:bookmarkStart w:id="1161" w:name="_Toc520212473"/>
      <w:r w:rsidRPr="00711435">
        <w:t>Fig</w:t>
      </w:r>
      <w:r>
        <w:t>ure 5-78</w:t>
      </w:r>
      <w:r w:rsidR="004E551B">
        <w:t>.</w:t>
      </w:r>
      <w:r>
        <w:t xml:space="preserve"> Mid-East </w:t>
      </w:r>
      <w:r w:rsidR="00AD1B4B">
        <w:t xml:space="preserve">area </w:t>
      </w:r>
      <w:r>
        <w:t>larnax decoration</w:t>
      </w:r>
      <w:bookmarkEnd w:id="1161"/>
    </w:p>
    <w:p w14:paraId="680EA948" w14:textId="77777777" w:rsidR="00D726B2" w:rsidRDefault="00D726B2" w:rsidP="00E858EF">
      <w:pPr>
        <w:suppressAutoHyphens/>
      </w:pPr>
    </w:p>
    <w:p w14:paraId="158129AB" w14:textId="0CDF3D79" w:rsidR="00D726B2" w:rsidRPr="000342D7" w:rsidRDefault="00D726B2" w:rsidP="00E858EF">
      <w:pPr>
        <w:pStyle w:val="Testofumetto"/>
        <w:suppressAutoHyphens/>
      </w:pPr>
      <w:bookmarkStart w:id="1162" w:name="_Toc520212660"/>
      <w:r>
        <w:t>Table 5-35</w:t>
      </w:r>
      <w:r w:rsidR="00BA7AB7">
        <w:t>.</w:t>
      </w:r>
      <w:r>
        <w:t xml:space="preserve"> Decoration, Mid-East</w:t>
      </w:r>
      <w:bookmarkEnd w:id="1162"/>
      <w:r w:rsidR="00AD1B4B">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635"/>
        <w:gridCol w:w="1275"/>
        <w:gridCol w:w="2269"/>
      </w:tblGrid>
      <w:tr w:rsidR="00D726B2" w:rsidRPr="0080364A" w14:paraId="32E8804A" w14:textId="77777777" w:rsidTr="002031FB">
        <w:trPr>
          <w:trHeight w:val="315"/>
        </w:trPr>
        <w:tc>
          <w:tcPr>
            <w:tcW w:w="1275" w:type="dxa"/>
            <w:tcBorders>
              <w:top w:val="single" w:sz="6" w:space="0" w:color="000000"/>
              <w:left w:val="single" w:sz="6" w:space="0" w:color="000000"/>
              <w:bottom w:val="single" w:sz="6" w:space="0" w:color="000000"/>
              <w:right w:val="single" w:sz="6" w:space="0" w:color="000000"/>
            </w:tcBorders>
          </w:tcPr>
          <w:p w14:paraId="172837ED" w14:textId="77777777" w:rsidR="00D726B2" w:rsidRPr="0080364A" w:rsidRDefault="00D726B2" w:rsidP="00E858EF">
            <w:pPr>
              <w:suppressAutoHyphens/>
              <w:jc w:val="center"/>
              <w:rPr>
                <w:sz w:val="20"/>
              </w:rPr>
            </w:pPr>
            <w:r w:rsidRPr="0080364A">
              <w:rPr>
                <w:sz w:val="20"/>
              </w:rPr>
              <w:t>Decorated</w:t>
            </w:r>
          </w:p>
        </w:tc>
        <w:tc>
          <w:tcPr>
            <w:tcW w:w="1635" w:type="dxa"/>
            <w:tcBorders>
              <w:top w:val="single" w:sz="6" w:space="0" w:color="000000"/>
              <w:left w:val="single" w:sz="6" w:space="0" w:color="000000"/>
              <w:bottom w:val="single" w:sz="6" w:space="0" w:color="000000"/>
              <w:right w:val="single" w:sz="6" w:space="0" w:color="000000"/>
            </w:tcBorders>
          </w:tcPr>
          <w:p w14:paraId="7CF6386A" w14:textId="77777777" w:rsidR="00D726B2" w:rsidRPr="0080364A" w:rsidRDefault="00D726B2" w:rsidP="00E858EF">
            <w:pPr>
              <w:suppressAutoHyphens/>
              <w:jc w:val="center"/>
              <w:rPr>
                <w:sz w:val="20"/>
              </w:rPr>
            </w:pPr>
            <w:r w:rsidRPr="0080364A">
              <w:rPr>
                <w:sz w:val="20"/>
              </w:rPr>
              <w:t>Undecorated</w:t>
            </w:r>
          </w:p>
        </w:tc>
        <w:tc>
          <w:tcPr>
            <w:tcW w:w="1275" w:type="dxa"/>
            <w:tcBorders>
              <w:top w:val="single" w:sz="6" w:space="0" w:color="000000"/>
              <w:left w:val="single" w:sz="6" w:space="0" w:color="000000"/>
              <w:bottom w:val="single" w:sz="6" w:space="0" w:color="000000"/>
              <w:right w:val="single" w:sz="6" w:space="0" w:color="000000"/>
            </w:tcBorders>
          </w:tcPr>
          <w:p w14:paraId="0CDF38FD" w14:textId="77777777" w:rsidR="00D726B2" w:rsidRPr="0080364A" w:rsidRDefault="00D726B2" w:rsidP="00E858EF">
            <w:pPr>
              <w:suppressAutoHyphens/>
              <w:jc w:val="center"/>
              <w:rPr>
                <w:sz w:val="20"/>
              </w:rPr>
            </w:pPr>
            <w:r w:rsidRPr="0080364A">
              <w:rPr>
                <w:sz w:val="20"/>
              </w:rPr>
              <w:t>Unknown</w:t>
            </w:r>
          </w:p>
        </w:tc>
        <w:tc>
          <w:tcPr>
            <w:tcW w:w="2269" w:type="dxa"/>
            <w:tcBorders>
              <w:top w:val="single" w:sz="6" w:space="0" w:color="000000"/>
              <w:left w:val="single" w:sz="6" w:space="0" w:color="000000"/>
              <w:bottom w:val="single" w:sz="6" w:space="0" w:color="000000"/>
              <w:right w:val="single" w:sz="6" w:space="0" w:color="000000"/>
            </w:tcBorders>
          </w:tcPr>
          <w:p w14:paraId="6A9A0CC3" w14:textId="77777777" w:rsidR="00D726B2" w:rsidRPr="0080364A" w:rsidRDefault="00D726B2" w:rsidP="00E858EF">
            <w:pPr>
              <w:suppressAutoHyphens/>
              <w:jc w:val="center"/>
              <w:rPr>
                <w:sz w:val="20"/>
              </w:rPr>
            </w:pPr>
            <w:r w:rsidRPr="0080364A">
              <w:rPr>
                <w:sz w:val="20"/>
              </w:rPr>
              <w:t>Incised decoration</w:t>
            </w:r>
          </w:p>
        </w:tc>
      </w:tr>
      <w:tr w:rsidR="00D726B2" w:rsidRPr="0080364A" w14:paraId="0DF59F1C" w14:textId="77777777" w:rsidTr="002031FB">
        <w:trPr>
          <w:trHeight w:val="315"/>
        </w:trPr>
        <w:tc>
          <w:tcPr>
            <w:tcW w:w="1275" w:type="dxa"/>
            <w:tcBorders>
              <w:top w:val="single" w:sz="6" w:space="0" w:color="000000"/>
              <w:left w:val="single" w:sz="6" w:space="0" w:color="000000"/>
              <w:bottom w:val="single" w:sz="6" w:space="0" w:color="000000"/>
              <w:right w:val="single" w:sz="6" w:space="0" w:color="000000"/>
            </w:tcBorders>
          </w:tcPr>
          <w:p w14:paraId="1C8E5C7E" w14:textId="77777777" w:rsidR="00D726B2" w:rsidRPr="0080364A" w:rsidRDefault="00D726B2" w:rsidP="00E858EF">
            <w:pPr>
              <w:suppressAutoHyphens/>
              <w:jc w:val="center"/>
              <w:rPr>
                <w:sz w:val="20"/>
              </w:rPr>
            </w:pPr>
            <w:r w:rsidRPr="0080364A">
              <w:rPr>
                <w:sz w:val="20"/>
              </w:rPr>
              <w:t>19</w:t>
            </w:r>
          </w:p>
        </w:tc>
        <w:tc>
          <w:tcPr>
            <w:tcW w:w="1635" w:type="dxa"/>
            <w:tcBorders>
              <w:top w:val="single" w:sz="6" w:space="0" w:color="000000"/>
              <w:left w:val="single" w:sz="6" w:space="0" w:color="000000"/>
              <w:bottom w:val="single" w:sz="6" w:space="0" w:color="000000"/>
              <w:right w:val="single" w:sz="6" w:space="0" w:color="000000"/>
            </w:tcBorders>
          </w:tcPr>
          <w:p w14:paraId="1C7F1DCD" w14:textId="77777777" w:rsidR="00D726B2" w:rsidRPr="0080364A" w:rsidRDefault="00D726B2" w:rsidP="00E858EF">
            <w:pPr>
              <w:suppressAutoHyphens/>
              <w:jc w:val="center"/>
              <w:rPr>
                <w:sz w:val="20"/>
              </w:rPr>
            </w:pPr>
            <w:r w:rsidRPr="0080364A">
              <w:rPr>
                <w:sz w:val="20"/>
              </w:rPr>
              <w:t>11</w:t>
            </w:r>
          </w:p>
        </w:tc>
        <w:tc>
          <w:tcPr>
            <w:tcW w:w="1275" w:type="dxa"/>
            <w:tcBorders>
              <w:top w:val="single" w:sz="6" w:space="0" w:color="000000"/>
              <w:left w:val="single" w:sz="6" w:space="0" w:color="000000"/>
              <w:bottom w:val="single" w:sz="6" w:space="0" w:color="000000"/>
              <w:right w:val="single" w:sz="6" w:space="0" w:color="000000"/>
            </w:tcBorders>
          </w:tcPr>
          <w:p w14:paraId="53A6F4A6" w14:textId="77777777" w:rsidR="00D726B2" w:rsidRPr="0080364A" w:rsidRDefault="00D726B2" w:rsidP="00E858EF">
            <w:pPr>
              <w:suppressAutoHyphens/>
              <w:jc w:val="center"/>
              <w:rPr>
                <w:sz w:val="20"/>
              </w:rPr>
            </w:pPr>
            <w:r w:rsidRPr="0080364A">
              <w:rPr>
                <w:sz w:val="20"/>
              </w:rPr>
              <w:t>47</w:t>
            </w:r>
          </w:p>
        </w:tc>
        <w:tc>
          <w:tcPr>
            <w:tcW w:w="2269" w:type="dxa"/>
            <w:tcBorders>
              <w:top w:val="single" w:sz="6" w:space="0" w:color="000000"/>
              <w:left w:val="single" w:sz="6" w:space="0" w:color="000000"/>
              <w:bottom w:val="single" w:sz="6" w:space="0" w:color="000000"/>
              <w:right w:val="single" w:sz="6" w:space="0" w:color="000000"/>
            </w:tcBorders>
          </w:tcPr>
          <w:p w14:paraId="47046077" w14:textId="77777777" w:rsidR="00D726B2" w:rsidRPr="0080364A" w:rsidRDefault="00D726B2" w:rsidP="00E858EF">
            <w:pPr>
              <w:suppressAutoHyphens/>
              <w:jc w:val="center"/>
              <w:rPr>
                <w:sz w:val="20"/>
              </w:rPr>
            </w:pPr>
            <w:r w:rsidRPr="0080364A">
              <w:rPr>
                <w:sz w:val="20"/>
              </w:rPr>
              <w:t>0</w:t>
            </w:r>
          </w:p>
        </w:tc>
      </w:tr>
    </w:tbl>
    <w:p w14:paraId="22E59B8A" w14:textId="77777777" w:rsidR="00D726B2" w:rsidRDefault="00D726B2" w:rsidP="00E858EF">
      <w:pPr>
        <w:suppressAutoHyphens/>
      </w:pPr>
    </w:p>
    <w:p w14:paraId="5D8CB09B" w14:textId="77777777" w:rsidR="00D726B2" w:rsidRPr="00191003" w:rsidRDefault="00D726B2" w:rsidP="00E858EF">
      <w:pPr>
        <w:suppressAutoHyphens/>
      </w:pPr>
      <w:r>
        <w:tab/>
      </w:r>
      <w:r w:rsidRPr="00191003">
        <w:t>For the vast majority of larnakes</w:t>
      </w:r>
      <w:r>
        <w:t>,</w:t>
      </w:r>
      <w:r w:rsidRPr="00191003">
        <w:t xml:space="preserve"> there </w:t>
      </w:r>
      <w:r>
        <w:t>is</w:t>
      </w:r>
      <w:r w:rsidRPr="00191003">
        <w:t xml:space="preserve"> no sec</w:t>
      </w:r>
      <w:r>
        <w:t>ure information from published</w:t>
      </w:r>
      <w:r w:rsidRPr="00191003">
        <w:t xml:space="preserve"> and reports </w:t>
      </w:r>
      <w:r>
        <w:t>regarding the</w:t>
      </w:r>
      <w:r w:rsidRPr="00191003">
        <w:t xml:space="preserve"> presence of decoration. Within this group are included all the larnakes from </w:t>
      </w:r>
      <w:r>
        <w:t xml:space="preserve">the </w:t>
      </w:r>
      <w:r w:rsidRPr="00191003">
        <w:t>Elounda cemetery (</w:t>
      </w:r>
      <w:r w:rsidRPr="00191003">
        <w:rPr>
          <w:color w:val="000000"/>
        </w:rPr>
        <w:t>Van Effenterre 1948:</w:t>
      </w:r>
      <w:r>
        <w:rPr>
          <w:color w:val="000000"/>
        </w:rPr>
        <w:t xml:space="preserve"> </w:t>
      </w:r>
      <w:r w:rsidRPr="00191003">
        <w:rPr>
          <w:color w:val="000000"/>
        </w:rPr>
        <w:t xml:space="preserve">7-13) </w:t>
      </w:r>
      <w:r w:rsidRPr="00191003">
        <w:t xml:space="preserve">and many larnakes from different burial locations at Malia (Van Effenterre 1963). The sample of decorated larnakes </w:t>
      </w:r>
      <w:r>
        <w:t xml:space="preserve">is </w:t>
      </w:r>
      <w:r w:rsidRPr="00191003">
        <w:t>19 items; the vast majority of the</w:t>
      </w:r>
      <w:r>
        <w:t xml:space="preserve"> larnakes</w:t>
      </w:r>
      <w:r w:rsidRPr="00191003">
        <w:t xml:space="preserve"> are chest</w:t>
      </w:r>
      <w:r>
        <w:t>-</w:t>
      </w:r>
      <w:r w:rsidRPr="00191003">
        <w:t>shaped (14)</w:t>
      </w:r>
      <w:r>
        <w:t>, with some</w:t>
      </w:r>
      <w:r w:rsidRPr="00191003">
        <w:t xml:space="preserve"> bathtub</w:t>
      </w:r>
      <w:r>
        <w:t>s</w:t>
      </w:r>
      <w:r w:rsidRPr="00191003">
        <w:t xml:space="preserve"> (5).</w:t>
      </w:r>
    </w:p>
    <w:p w14:paraId="79602257" w14:textId="77777777" w:rsidR="00D726B2" w:rsidRPr="00191003" w:rsidRDefault="00D726B2" w:rsidP="00E858EF">
      <w:pPr>
        <w:pStyle w:val="Titolo4"/>
        <w:keepNext w:val="0"/>
        <w:keepLines w:val="0"/>
        <w:suppressAutoHyphens/>
      </w:pPr>
      <w:bookmarkStart w:id="1163" w:name="_Toc517807625"/>
      <w:r>
        <w:t>Is it possible to note</w:t>
      </w:r>
      <w:r w:rsidRPr="00191003">
        <w:t xml:space="preserve"> the presence of </w:t>
      </w:r>
      <w:r>
        <w:t>‘</w:t>
      </w:r>
      <w:r w:rsidRPr="00191003">
        <w:t xml:space="preserve">peculiar </w:t>
      </w:r>
      <w:r>
        <w:t>motif</w:t>
      </w:r>
      <w:r w:rsidRPr="00191003">
        <w:t>s</w:t>
      </w:r>
      <w:r>
        <w:t>’</w:t>
      </w:r>
      <w:r w:rsidRPr="00191003">
        <w:t xml:space="preserve"> with </w:t>
      </w:r>
      <w:r>
        <w:t>little</w:t>
      </w:r>
      <w:r w:rsidRPr="00191003">
        <w:t xml:space="preserve"> or no comparison </w:t>
      </w:r>
      <w:r>
        <w:t>to the</w:t>
      </w:r>
      <w:r w:rsidRPr="00191003">
        <w:t xml:space="preserve"> pottery repertoire?</w:t>
      </w:r>
      <w:bookmarkEnd w:id="1163"/>
    </w:p>
    <w:p w14:paraId="7812635B" w14:textId="77777777" w:rsidR="00D726B2" w:rsidRPr="00191003" w:rsidRDefault="00D726B2" w:rsidP="00E858EF">
      <w:pPr>
        <w:suppressAutoHyphens/>
      </w:pPr>
      <w:r>
        <w:t>Regarding</w:t>
      </w:r>
      <w:r w:rsidRPr="00191003">
        <w:t xml:space="preserve"> the </w:t>
      </w:r>
      <w:r>
        <w:t>motif</w:t>
      </w:r>
      <w:r w:rsidRPr="00191003">
        <w:t>s, the presence of a unique/unidentified motif has been re</w:t>
      </w:r>
      <w:r>
        <w:t>corded</w:t>
      </w:r>
      <w:r w:rsidRPr="00191003">
        <w:t xml:space="preserve"> </w:t>
      </w:r>
      <w:r>
        <w:t>for</w:t>
      </w:r>
      <w:r w:rsidRPr="00191003">
        <w:t xml:space="preserve"> a larnax from Milatos (520</w:t>
      </w:r>
      <w:r>
        <w:t xml:space="preserve"> Milatos</w:t>
      </w:r>
      <w:r w:rsidRPr="00191003">
        <w:t xml:space="preserve"> HM1617</w:t>
      </w:r>
      <w:r>
        <w:t>: Evans 1906:</w:t>
      </w:r>
      <w:r w:rsidRPr="00C67ED6">
        <w:t xml:space="preserve"> 483-493 pl.489; Alexiou 1958, 217-218, 293, pl. IA, fig. 1; Verm</w:t>
      </w:r>
      <w:r>
        <w:t>e</w:t>
      </w:r>
      <w:r w:rsidRPr="00C67ED6">
        <w:t>ule 1965, 136; Long 1974, 24, fig 2</w:t>
      </w:r>
      <w:r>
        <w:t>4; Kanta 1980, 125-126 pl. 54.7</w:t>
      </w:r>
      <w:r w:rsidRPr="00C67ED6">
        <w:t>; Morgan 1987, 191; Pologiorgi 1990: 217-218; Lõwe 1997: 142 n.203; Merousis 2000: 163-164; Spiliotopoulou 20</w:t>
      </w:r>
      <w:r>
        <w:t>10</w:t>
      </w:r>
      <w:r w:rsidRPr="00C67ED6">
        <w:t>: 70,  pl. 14 n. 108; Langohr 200</w:t>
      </w:r>
      <w:r>
        <w:t>9</w:t>
      </w:r>
      <w:r w:rsidRPr="00C67ED6">
        <w:t>: 83-84</w:t>
      </w:r>
      <w:r w:rsidRPr="00191003">
        <w:t>). On one of the short side</w:t>
      </w:r>
      <w:r>
        <w:t>s</w:t>
      </w:r>
      <w:r w:rsidRPr="00191003">
        <w:t xml:space="preserve"> of th</w:t>
      </w:r>
      <w:r>
        <w:t>e</w:t>
      </w:r>
      <w:r w:rsidRPr="00191003">
        <w:t xml:space="preserve"> larnax </w:t>
      </w:r>
      <w:r>
        <w:t xml:space="preserve">is </w:t>
      </w:r>
      <w:r w:rsidRPr="00191003">
        <w:t>a man</w:t>
      </w:r>
      <w:r>
        <w:t>-</w:t>
      </w:r>
      <w:r w:rsidRPr="00191003">
        <w:t xml:space="preserve">like winged figure (FM 1) </w:t>
      </w:r>
      <w:r>
        <w:t>near</w:t>
      </w:r>
      <w:r w:rsidRPr="00191003">
        <w:t xml:space="preserve"> another motif</w:t>
      </w:r>
      <w:r>
        <w:t xml:space="preserve"> that</w:t>
      </w:r>
      <w:r w:rsidRPr="00191003">
        <w:t xml:space="preserve"> is difficult to identify due to the poor condition of the decoration</w:t>
      </w:r>
      <w:r>
        <w:t>, it being</w:t>
      </w:r>
      <w:r w:rsidRPr="00191003">
        <w:t xml:space="preserve"> partially faded. According to Evans</w:t>
      </w:r>
      <w:r>
        <w:t>,</w:t>
      </w:r>
      <w:r w:rsidRPr="00191003">
        <w:t xml:space="preserve"> </w:t>
      </w:r>
      <w:r>
        <w:t>who</w:t>
      </w:r>
      <w:r w:rsidRPr="00191003">
        <w:t xml:space="preserve"> </w:t>
      </w:r>
      <w:r>
        <w:t>provides</w:t>
      </w:r>
      <w:r w:rsidRPr="00191003">
        <w:t xml:space="preserve"> a drawing of it (Evans 190</w:t>
      </w:r>
      <w:r>
        <w:t>6</w:t>
      </w:r>
      <w:r w:rsidRPr="00191003">
        <w:t xml:space="preserve">: 489: </w:t>
      </w:r>
      <w:r>
        <w:t>F</w:t>
      </w:r>
      <w:r w:rsidRPr="00191003">
        <w:t>ig. 107)</w:t>
      </w:r>
      <w:r>
        <w:t>,</w:t>
      </w:r>
      <w:r w:rsidRPr="00191003">
        <w:t xml:space="preserve"> the motif </w:t>
      </w:r>
      <w:r>
        <w:t>is</w:t>
      </w:r>
      <w:r w:rsidRPr="00191003">
        <w:t xml:space="preserve"> a shield (FM 37) (Evans 190</w:t>
      </w:r>
      <w:r>
        <w:t>6</w:t>
      </w:r>
      <w:r w:rsidRPr="00191003">
        <w:t xml:space="preserve">: 490). </w:t>
      </w:r>
    </w:p>
    <w:p w14:paraId="747A8EB8" w14:textId="77777777" w:rsidR="00D726B2" w:rsidRPr="00191003" w:rsidRDefault="00D726B2" w:rsidP="00E858EF">
      <w:pPr>
        <w:suppressAutoHyphens/>
      </w:pPr>
      <w:r>
        <w:tab/>
        <w:t>The basic geometric</w:t>
      </w:r>
      <w:r w:rsidRPr="00191003">
        <w:t xml:space="preserve"> decoration of the larnax from Tertsa, described as </w:t>
      </w:r>
      <w:r>
        <w:t>a ‘</w:t>
      </w:r>
      <w:r w:rsidRPr="00191003">
        <w:t>triple ladder motif</w:t>
      </w:r>
      <w:r>
        <w:t>’</w:t>
      </w:r>
      <w:r w:rsidRPr="00191003">
        <w:t xml:space="preserve"> (</w:t>
      </w:r>
      <w:r>
        <w:t xml:space="preserve">545 Tertsa, </w:t>
      </w:r>
      <w:r w:rsidRPr="00191003">
        <w:t>Banou</w:t>
      </w:r>
      <w:r>
        <w:t xml:space="preserve"> and </w:t>
      </w:r>
      <w:r w:rsidRPr="00191003">
        <w:t>Rethemiotakis 1997: 47)</w:t>
      </w:r>
      <w:r>
        <w:t>,</w:t>
      </w:r>
      <w:r w:rsidRPr="00191003">
        <w:t xml:space="preserve"> </w:t>
      </w:r>
      <w:r>
        <w:t>is</w:t>
      </w:r>
      <w:r w:rsidRPr="00191003">
        <w:t xml:space="preserve"> considered unique as well.</w:t>
      </w:r>
      <w:r>
        <w:t xml:space="preserve"> </w:t>
      </w:r>
      <w:r w:rsidRPr="00191003">
        <w:t>Furthermore</w:t>
      </w:r>
      <w:r>
        <w:t>,</w:t>
      </w:r>
      <w:r w:rsidRPr="00191003">
        <w:t xml:space="preserve"> </w:t>
      </w:r>
      <w:r>
        <w:t>o</w:t>
      </w:r>
      <w:r w:rsidRPr="00191003">
        <w:t>n two larnakes from Malia Azimo (</w:t>
      </w:r>
      <w:r>
        <w:t xml:space="preserve">783 Malia Azimo 7408: </w:t>
      </w:r>
      <w:r w:rsidRPr="00191003">
        <w:t>Van Effenterre 1963: 116-118 pl. 46 n. 4) and Malia Agia Pelagia (</w:t>
      </w:r>
      <w:r>
        <w:t xml:space="preserve">787 Malia Agia Pelagia HM 12030: </w:t>
      </w:r>
      <w:r w:rsidRPr="00191003">
        <w:t>Van Effenterre 1963: 121-125, pl. 49 n. 1)</w:t>
      </w:r>
      <w:r>
        <w:t>,</w:t>
      </w:r>
      <w:r w:rsidRPr="00191003">
        <w:t xml:space="preserve"> the decoration consists only </w:t>
      </w:r>
      <w:r>
        <w:t>of</w:t>
      </w:r>
      <w:r w:rsidRPr="00191003">
        <w:t xml:space="preserve"> full</w:t>
      </w:r>
      <w:r>
        <w:t>y</w:t>
      </w:r>
      <w:r w:rsidRPr="00191003">
        <w:t xml:space="preserve"> painted dark </w:t>
      </w:r>
      <w:r>
        <w:t xml:space="preserve">paint </w:t>
      </w:r>
      <w:r w:rsidRPr="00191003">
        <w:t xml:space="preserve">on </w:t>
      </w:r>
      <w:r>
        <w:t>the</w:t>
      </w:r>
      <w:r w:rsidRPr="00191003">
        <w:t xml:space="preserve"> frames (in one case with an outline all around) and </w:t>
      </w:r>
      <w:r>
        <w:t>can be compared to</w:t>
      </w:r>
      <w:r w:rsidRPr="00191003">
        <w:t xml:space="preserve"> </w:t>
      </w:r>
      <w:r>
        <w:t xml:space="preserve">some </w:t>
      </w:r>
      <w:r w:rsidRPr="00191003">
        <w:t xml:space="preserve">larnakes from </w:t>
      </w:r>
      <w:r>
        <w:t>the C</w:t>
      </w:r>
      <w:r w:rsidRPr="00191003">
        <w:t>entral region.</w:t>
      </w:r>
    </w:p>
    <w:p w14:paraId="1CC22201" w14:textId="77777777" w:rsidR="00D726B2" w:rsidRPr="00191003" w:rsidRDefault="00D726B2" w:rsidP="00E858EF">
      <w:pPr>
        <w:pStyle w:val="Titolo4"/>
        <w:keepNext w:val="0"/>
        <w:keepLines w:val="0"/>
        <w:suppressAutoHyphens/>
      </w:pPr>
      <w:bookmarkStart w:id="1164" w:name="_Toc517807626"/>
      <w:r>
        <w:t>Motif</w:t>
      </w:r>
      <w:r w:rsidRPr="00191003">
        <w:t>s occurrence</w:t>
      </w:r>
      <w:bookmarkEnd w:id="1164"/>
    </w:p>
    <w:p w14:paraId="5E9F4F43" w14:textId="75C44C1F" w:rsidR="00D726B2" w:rsidRPr="00191003" w:rsidRDefault="00D726B2" w:rsidP="00E858EF">
      <w:pPr>
        <w:suppressAutoHyphens/>
      </w:pPr>
      <w:r w:rsidRPr="00191003">
        <w:t xml:space="preserve">The total number of identified </w:t>
      </w:r>
      <w:r>
        <w:t>motif</w:t>
      </w:r>
      <w:r w:rsidRPr="00191003">
        <w:t>s (</w:t>
      </w:r>
      <w:r w:rsidR="005D54EA">
        <w:t>Furumark</w:t>
      </w:r>
      <w:r w:rsidRPr="00191003">
        <w:t xml:space="preserve"> </w:t>
      </w:r>
      <w:r>
        <w:t>motif</w:t>
      </w:r>
      <w:r w:rsidRPr="00191003">
        <w:t xml:space="preserve">s) </w:t>
      </w:r>
      <w:r>
        <w:t>is</w:t>
      </w:r>
      <w:r w:rsidRPr="00191003">
        <w:t xml:space="preserve"> 25. </w:t>
      </w:r>
      <w:r>
        <w:t>I</w:t>
      </w:r>
      <w:r w:rsidRPr="00191003">
        <w:t>n the sample of the 19 secure</w:t>
      </w:r>
      <w:r>
        <w:t>ly decorated larnakes from the Mid-East</w:t>
      </w:r>
      <w:r w:rsidRPr="00191003">
        <w:t xml:space="preserve"> region. Wavy lines (FM 53) </w:t>
      </w:r>
      <w:r>
        <w:t>are</w:t>
      </w:r>
      <w:r w:rsidRPr="00191003">
        <w:t xml:space="preserve"> the most common motif in term</w:t>
      </w:r>
      <w:r>
        <w:t>s</w:t>
      </w:r>
      <w:r w:rsidRPr="00191003">
        <w:t xml:space="preserve"> number of larnakes (8 larnakes), followed by running spirals and fishes (5 larnakes each). The vast majority of </w:t>
      </w:r>
      <w:r>
        <w:t>motif</w:t>
      </w:r>
      <w:r w:rsidRPr="00191003">
        <w:t xml:space="preserve">s </w:t>
      </w:r>
      <w:r>
        <w:t>occur only once</w:t>
      </w:r>
      <w:r w:rsidRPr="00191003">
        <w:t xml:space="preserve"> (14 </w:t>
      </w:r>
      <w:r>
        <w:t>motif</w:t>
      </w:r>
      <w:r w:rsidRPr="00191003">
        <w:t xml:space="preserve">s found only </w:t>
      </w:r>
      <w:r>
        <w:t>o</w:t>
      </w:r>
      <w:r w:rsidRPr="00191003">
        <w:t xml:space="preserve">n one larnax). </w:t>
      </w:r>
    </w:p>
    <w:p w14:paraId="20B0A172" w14:textId="77777777" w:rsidR="00D726B2" w:rsidRDefault="00D726B2" w:rsidP="00E858EF">
      <w:pPr>
        <w:suppressAutoHyphens/>
        <w:sectPr w:rsidR="00D726B2" w:rsidSect="00F71C84">
          <w:pgSz w:w="11900" w:h="16840"/>
          <w:pgMar w:top="1418" w:right="1134" w:bottom="1134" w:left="2268" w:header="709" w:footer="709" w:gutter="0"/>
          <w:cols w:space="708"/>
          <w:docGrid w:linePitch="360"/>
        </w:sectPr>
      </w:pPr>
    </w:p>
    <w:p w14:paraId="43037DBA" w14:textId="77777777" w:rsidR="00D726B2" w:rsidRDefault="00D726B2" w:rsidP="00E858EF">
      <w:pPr>
        <w:suppressAutoHyphens/>
      </w:pPr>
      <w:r>
        <w:rPr>
          <w:noProof/>
          <w:lang w:val="it-IT"/>
        </w:rPr>
        <w:drawing>
          <wp:inline distT="0" distB="0" distL="0" distR="0" wp14:anchorId="2CC3E07F" wp14:editId="29990582">
            <wp:extent cx="5666991" cy="9031856"/>
            <wp:effectExtent l="0" t="0" r="10160" b="17145"/>
            <wp:docPr id="199" name="Gra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14:paraId="43778C8D" w14:textId="59D2E754" w:rsidR="0080364A" w:rsidRDefault="0080364A" w:rsidP="0080364A">
      <w:pPr>
        <w:pStyle w:val="Didascalia"/>
      </w:pPr>
      <w:bookmarkStart w:id="1165" w:name="_Toc520212474"/>
      <w:r>
        <w:t>Figure 5-79</w:t>
      </w:r>
      <w:r w:rsidR="004E551B">
        <w:t>.</w:t>
      </w:r>
      <w:r>
        <w:t xml:space="preserve"> Furumark motif occurrence on larnakes from the Mid East area</w:t>
      </w:r>
      <w:bookmarkEnd w:id="1165"/>
    </w:p>
    <w:p w14:paraId="767D0B46" w14:textId="3CE8A10F" w:rsidR="0080364A" w:rsidRDefault="0080364A" w:rsidP="0080364A">
      <w:pPr>
        <w:suppressAutoHyphens/>
        <w:sectPr w:rsidR="0080364A" w:rsidSect="002031FB">
          <w:footerReference w:type="default" r:id="rId282"/>
          <w:pgSz w:w="11900" w:h="16840"/>
          <w:pgMar w:top="907" w:right="1134" w:bottom="851" w:left="2268" w:header="709" w:footer="397" w:gutter="0"/>
          <w:cols w:space="708"/>
          <w:docGrid w:linePitch="360"/>
        </w:sectPr>
      </w:pPr>
    </w:p>
    <w:p w14:paraId="36267ECE" w14:textId="77777777" w:rsidR="00D726B2" w:rsidRPr="00191003" w:rsidRDefault="00D726B2" w:rsidP="00E858EF">
      <w:pPr>
        <w:suppressAutoHyphens/>
      </w:pPr>
      <w:r>
        <w:tab/>
        <w:t>Regarding</w:t>
      </w:r>
      <w:r w:rsidRPr="00191003">
        <w:t xml:space="preserve"> the general occurrence of </w:t>
      </w:r>
      <w:r>
        <w:t>motif</w:t>
      </w:r>
      <w:r w:rsidRPr="00191003">
        <w:t>s (</w:t>
      </w:r>
      <w:r>
        <w:t xml:space="preserve">i.e. </w:t>
      </w:r>
      <w:r w:rsidRPr="00191003">
        <w:t xml:space="preserve">how many times they occur </w:t>
      </w:r>
      <w:r>
        <w:t>on</w:t>
      </w:r>
      <w:r w:rsidRPr="00191003">
        <w:t xml:space="preserve"> larnakes) the following can be isolated:</w:t>
      </w:r>
    </w:p>
    <w:p w14:paraId="7DDB80C5" w14:textId="77777777" w:rsidR="00D726B2" w:rsidRPr="00191003" w:rsidRDefault="00D726B2" w:rsidP="00370745">
      <w:pPr>
        <w:pStyle w:val="Paragrafoelenco"/>
        <w:numPr>
          <w:ilvl w:val="0"/>
          <w:numId w:val="117"/>
        </w:numPr>
        <w:suppressAutoHyphens/>
        <w:spacing w:after="160"/>
      </w:pPr>
      <w:r w:rsidRPr="00191003">
        <w:t xml:space="preserve">Stemmed spirals (FM 51) or </w:t>
      </w:r>
      <w:r>
        <w:t xml:space="preserve">a </w:t>
      </w:r>
      <w:r w:rsidRPr="00191003">
        <w:t xml:space="preserve">multiple stem/tongue pattern (FM 19): </w:t>
      </w:r>
      <w:r>
        <w:t>o</w:t>
      </w:r>
      <w:r w:rsidRPr="00191003">
        <w:t>n a larnax from Malia Agios Dimitrios (</w:t>
      </w:r>
      <w:r>
        <w:t xml:space="preserve">801 </w:t>
      </w:r>
      <w:r w:rsidRPr="00191003">
        <w:t>Malia Agios Dimitrios</w:t>
      </w:r>
      <w:r>
        <w:t xml:space="preserve"> HM 7910: </w:t>
      </w:r>
      <w:r w:rsidRPr="00191003">
        <w:t xml:space="preserve">Joly 1928: 151-153 </w:t>
      </w:r>
      <w:r>
        <w:t>F</w:t>
      </w:r>
      <w:r w:rsidRPr="00191003">
        <w:t>ig</w:t>
      </w:r>
      <w:r>
        <w:t>s</w:t>
      </w:r>
      <w:r w:rsidRPr="00191003">
        <w:t>. 1-2, pl. 9; Van Effenterre 1963: 125-126 pl. 51)</w:t>
      </w:r>
      <w:r>
        <w:t>,</w:t>
      </w:r>
      <w:r w:rsidRPr="00191003">
        <w:t xml:space="preserve"> a motif </w:t>
      </w:r>
      <w:r>
        <w:t>that is possibly</w:t>
      </w:r>
      <w:r w:rsidRPr="00191003">
        <w:t xml:space="preserve"> stemmed spirals (FM 51) or </w:t>
      </w:r>
      <w:r>
        <w:t xml:space="preserve">a </w:t>
      </w:r>
      <w:r w:rsidRPr="00191003">
        <w:t xml:space="preserve">multiple stem/tongue pattern (FM 19) </w:t>
      </w:r>
      <w:r>
        <w:t>is</w:t>
      </w:r>
      <w:r w:rsidRPr="00191003">
        <w:t xml:space="preserve"> repeated more than 40 times</w:t>
      </w:r>
      <w:r>
        <w:t>.</w:t>
      </w:r>
    </w:p>
    <w:p w14:paraId="68E800E5" w14:textId="77777777" w:rsidR="00D726B2" w:rsidRPr="00191003" w:rsidRDefault="00D726B2" w:rsidP="00370745">
      <w:pPr>
        <w:pStyle w:val="Paragrafoelenco"/>
        <w:numPr>
          <w:ilvl w:val="0"/>
          <w:numId w:val="117"/>
        </w:numPr>
        <w:suppressAutoHyphens/>
        <w:spacing w:after="160"/>
      </w:pPr>
      <w:r w:rsidRPr="00191003">
        <w:t>Running spirals (FM 43): this motif occurs more than on</w:t>
      </w:r>
      <w:r>
        <w:t>ce o</w:t>
      </w:r>
      <w:r w:rsidRPr="00191003">
        <w:t xml:space="preserve">n </w:t>
      </w:r>
      <w:r>
        <w:t xml:space="preserve">all </w:t>
      </w:r>
      <w:r w:rsidRPr="00191003">
        <w:t xml:space="preserve">five larnakes </w:t>
      </w:r>
      <w:r>
        <w:t>o</w:t>
      </w:r>
      <w:r w:rsidRPr="00191003">
        <w:t>n which it occurs. In two larnakes from Malia Kokkino Pirgos (803</w:t>
      </w:r>
      <w:r>
        <w:t xml:space="preserve"> </w:t>
      </w:r>
      <w:r w:rsidRPr="00191003">
        <w:t>Malia Kokkino Pirgos</w:t>
      </w:r>
      <w:r>
        <w:t>:</w:t>
      </w:r>
      <w:r w:rsidRPr="00191003">
        <w:t xml:space="preserve"> Van Effenterre 1963: 127-128, pl. 52) and from Malia Agia Pelagia (788</w:t>
      </w:r>
      <w:r>
        <w:t xml:space="preserve"> </w:t>
      </w:r>
      <w:r w:rsidRPr="00191003">
        <w:t>Malia Agia Pelagia HM 7911</w:t>
      </w:r>
      <w:r>
        <w:t>:</w:t>
      </w:r>
      <w:r w:rsidRPr="00191003">
        <w:t xml:space="preserve"> Van Effenterre 1963: 121-125, pl. 49 n. 2)</w:t>
      </w:r>
      <w:r>
        <w:t>,</w:t>
      </w:r>
      <w:r w:rsidRPr="00191003">
        <w:t xml:space="preserve"> </w:t>
      </w:r>
      <w:r>
        <w:t>the motif</w:t>
      </w:r>
      <w:r w:rsidRPr="00191003">
        <w:t xml:space="preserve"> occurs </w:t>
      </w:r>
      <w:r>
        <w:t>on</w:t>
      </w:r>
      <w:r w:rsidRPr="00191003">
        <w:t xml:space="preserve"> a panel at least </w:t>
      </w:r>
      <w:r>
        <w:t>nine</w:t>
      </w:r>
      <w:r w:rsidRPr="00191003">
        <w:t xml:space="preserve"> times</w:t>
      </w:r>
      <w:r>
        <w:t>.</w:t>
      </w:r>
    </w:p>
    <w:p w14:paraId="277750CC" w14:textId="77777777" w:rsidR="00D726B2" w:rsidRPr="00191003" w:rsidRDefault="00D726B2" w:rsidP="00370745">
      <w:pPr>
        <w:pStyle w:val="Paragrafoelenco"/>
        <w:numPr>
          <w:ilvl w:val="0"/>
          <w:numId w:val="117"/>
        </w:numPr>
        <w:suppressAutoHyphens/>
        <w:spacing w:after="160"/>
      </w:pPr>
      <w:r w:rsidRPr="00191003">
        <w:t>Papyri (FM 11):</w:t>
      </w:r>
      <w:r>
        <w:t xml:space="preserve"> these</w:t>
      </w:r>
      <w:r w:rsidRPr="00191003">
        <w:t xml:space="preserve"> occur more than 14 times </w:t>
      </w:r>
      <w:r>
        <w:t>o</w:t>
      </w:r>
      <w:r w:rsidRPr="00191003">
        <w:t>n a bathtub larnax from Milatos (522 Milatos</w:t>
      </w:r>
      <w:r w:rsidRPr="00191003" w:rsidDel="00A23B85">
        <w:t xml:space="preserve"> </w:t>
      </w:r>
      <w:r w:rsidRPr="00191003">
        <w:t>HM 7400</w:t>
      </w:r>
      <w:r>
        <w:t>:</w:t>
      </w:r>
      <w:r w:rsidRPr="00191003">
        <w:t xml:space="preserve"> </w:t>
      </w:r>
      <w:r w:rsidRPr="00733192">
        <w:rPr>
          <w:i/>
        </w:rPr>
        <w:t>ADelt</w:t>
      </w:r>
      <w:r w:rsidRPr="00191003">
        <w:t xml:space="preserve"> 6 1920-1: 154-157 </w:t>
      </w:r>
      <w:r>
        <w:t>F</w:t>
      </w:r>
      <w:r w:rsidRPr="00191003">
        <w:t>ig. 4)</w:t>
      </w:r>
      <w:r>
        <w:t>.</w:t>
      </w:r>
    </w:p>
    <w:p w14:paraId="27636266" w14:textId="77777777" w:rsidR="00D726B2" w:rsidRPr="00191003" w:rsidRDefault="00D726B2" w:rsidP="00370745">
      <w:pPr>
        <w:pStyle w:val="Paragrafoelenco"/>
        <w:numPr>
          <w:ilvl w:val="0"/>
          <w:numId w:val="117"/>
        </w:numPr>
        <w:suppressAutoHyphens/>
        <w:spacing w:after="160"/>
      </w:pPr>
      <w:r w:rsidRPr="00191003">
        <w:t xml:space="preserve">Fish (FM 21): </w:t>
      </w:r>
      <w:r>
        <w:t>this motif</w:t>
      </w:r>
      <w:r w:rsidRPr="00191003">
        <w:t xml:space="preserve"> occurs more than </w:t>
      </w:r>
      <w:r>
        <w:t>seven</w:t>
      </w:r>
      <w:r w:rsidRPr="00191003">
        <w:t xml:space="preserve"> times </w:t>
      </w:r>
      <w:r>
        <w:t>o</w:t>
      </w:r>
      <w:r w:rsidRPr="00191003">
        <w:t>n a bathtub larnax from Milatos (517 Milatos</w:t>
      </w:r>
      <w:r w:rsidRPr="00191003" w:rsidDel="00A23B85">
        <w:t xml:space="preserve"> </w:t>
      </w:r>
      <w:r w:rsidRPr="00191003">
        <w:t>HM 1614</w:t>
      </w:r>
      <w:r>
        <w:t>:</w:t>
      </w:r>
      <w:r w:rsidRPr="00191003">
        <w:t xml:space="preserve"> Orsi 1890: 208-209, pl. 1-2) and four times </w:t>
      </w:r>
      <w:r>
        <w:t>o</w:t>
      </w:r>
      <w:r w:rsidRPr="00191003">
        <w:t xml:space="preserve">n the inner decoration </w:t>
      </w:r>
      <w:r>
        <w:t>of</w:t>
      </w:r>
      <w:r w:rsidRPr="00191003">
        <w:t xml:space="preserve"> a bathtub from Kritsa (512 </w:t>
      </w:r>
      <w:r>
        <w:t xml:space="preserve">Kritsa Lakkoi </w:t>
      </w:r>
      <w:r w:rsidRPr="00191003">
        <w:t>MAN 12600</w:t>
      </w:r>
      <w:r>
        <w:t>:</w:t>
      </w:r>
      <w:r w:rsidRPr="00191003">
        <w:t xml:space="preserve"> Tsipopoulou</w:t>
      </w:r>
      <w:r>
        <w:t xml:space="preserve"> and </w:t>
      </w:r>
      <w:r w:rsidRPr="00191003">
        <w:t>Vagnetti 1997, 475-476 186 b-c, 187 a-b).</w:t>
      </w:r>
    </w:p>
    <w:p w14:paraId="2AC2B70D" w14:textId="77777777" w:rsidR="00D726B2" w:rsidRPr="00191003" w:rsidRDefault="00D726B2" w:rsidP="00E858EF">
      <w:pPr>
        <w:pStyle w:val="Titolo4"/>
        <w:keepNext w:val="0"/>
        <w:keepLines w:val="0"/>
        <w:suppressAutoHyphens/>
      </w:pPr>
      <w:bookmarkStart w:id="1166" w:name="_Toc517807627"/>
      <w:r w:rsidRPr="00191003">
        <w:t>Difference between bath</w:t>
      </w:r>
      <w:r>
        <w:t>tub</w:t>
      </w:r>
      <w:r w:rsidRPr="00191003">
        <w:t xml:space="preserve"> and chest</w:t>
      </w:r>
      <w:r>
        <w:t>-</w:t>
      </w:r>
      <w:r w:rsidRPr="00191003">
        <w:t>shaped</w:t>
      </w:r>
      <w:bookmarkEnd w:id="1166"/>
    </w:p>
    <w:p w14:paraId="0AF538F4" w14:textId="77777777" w:rsidR="00D726B2" w:rsidRPr="00191003" w:rsidRDefault="00D726B2" w:rsidP="00E858EF">
      <w:pPr>
        <w:suppressAutoHyphens/>
      </w:pPr>
      <w:r w:rsidRPr="00191003">
        <w:t xml:space="preserve">The number of </w:t>
      </w:r>
      <w:r>
        <w:t xml:space="preserve">decorated </w:t>
      </w:r>
      <w:r w:rsidRPr="00191003">
        <w:t xml:space="preserve">bathtub larnakes </w:t>
      </w:r>
      <w:r>
        <w:t>is</w:t>
      </w:r>
      <w:r w:rsidRPr="00191003">
        <w:t xml:space="preserve"> </w:t>
      </w:r>
      <w:r>
        <w:t>five</w:t>
      </w:r>
      <w:r w:rsidRPr="00191003">
        <w:t xml:space="preserve">, </w:t>
      </w:r>
      <w:r>
        <w:t>or</w:t>
      </w:r>
      <w:r w:rsidRPr="00191003">
        <w:t xml:space="preserve"> 26% of the total of decorated larnakes</w:t>
      </w:r>
      <w:r>
        <w:t>.</w:t>
      </w:r>
      <w:r w:rsidRPr="00191003">
        <w:t xml:space="preserve"> </w:t>
      </w:r>
      <w:r>
        <w:t>This is</w:t>
      </w:r>
      <w:r w:rsidRPr="00191003">
        <w:t xml:space="preserve"> 45% </w:t>
      </w:r>
      <w:r>
        <w:t>of</w:t>
      </w:r>
      <w:r w:rsidRPr="00191003">
        <w:t xml:space="preserve"> the total </w:t>
      </w:r>
      <w:r>
        <w:t>number of bathtub larnakes in the Mid-East</w:t>
      </w:r>
      <w:r w:rsidRPr="00191003">
        <w:t xml:space="preserve"> region. All the bathtub larnakes are decorated inside and outside</w:t>
      </w:r>
      <w:r>
        <w:t>.</w:t>
      </w:r>
      <w:r w:rsidRPr="00191003">
        <w:t xml:space="preserve"> </w:t>
      </w:r>
      <w:r>
        <w:t xml:space="preserve">Although in a bathtub larnax from </w:t>
      </w:r>
      <w:r w:rsidRPr="00191003">
        <w:t>Malia Pierre</w:t>
      </w:r>
      <w:r>
        <w:t>s</w:t>
      </w:r>
      <w:r w:rsidRPr="00191003">
        <w:t xml:space="preserve"> Meuliere</w:t>
      </w:r>
      <w:r>
        <w:t>s</w:t>
      </w:r>
      <w:r w:rsidRPr="00191003">
        <w:t xml:space="preserve"> </w:t>
      </w:r>
      <w:r>
        <w:t>decoration it is</w:t>
      </w:r>
      <w:r w:rsidRPr="00191003">
        <w:t xml:space="preserve"> very faded (804</w:t>
      </w:r>
      <w:r>
        <w:t xml:space="preserve"> </w:t>
      </w:r>
      <w:r w:rsidRPr="00191003">
        <w:t>Malia Pierre</w:t>
      </w:r>
      <w:r>
        <w:t>s</w:t>
      </w:r>
      <w:r w:rsidRPr="00191003">
        <w:t xml:space="preserve"> Meuliere</w:t>
      </w:r>
      <w:r>
        <w:t xml:space="preserve">s </w:t>
      </w:r>
      <w:r w:rsidRPr="00191003">
        <w:t>8555</w:t>
      </w:r>
      <w:r>
        <w:t>:</w:t>
      </w:r>
      <w:r w:rsidRPr="00191003">
        <w:t xml:space="preserve"> Van Effenterre 1963: 98, pl. 39).</w:t>
      </w:r>
    </w:p>
    <w:p w14:paraId="7C96AA33" w14:textId="77777777" w:rsidR="00D726B2" w:rsidRPr="00191003" w:rsidRDefault="00D726B2" w:rsidP="00E858EF">
      <w:pPr>
        <w:suppressAutoHyphens/>
      </w:pPr>
      <w:r>
        <w:tab/>
      </w:r>
      <w:r w:rsidRPr="00191003">
        <w:t xml:space="preserve">The occurrence of </w:t>
      </w:r>
      <w:r>
        <w:t xml:space="preserve">a </w:t>
      </w:r>
      <w:r w:rsidRPr="00191003">
        <w:t xml:space="preserve">wavy line motif (FM 53) and fish (FM 20) arranged in different ways </w:t>
      </w:r>
      <w:r>
        <w:t>is</w:t>
      </w:r>
      <w:r w:rsidRPr="00191003">
        <w:t xml:space="preserve"> a common feature for all the decor</w:t>
      </w:r>
      <w:r>
        <w:t>ated bathtub larnakes from the Mid-East</w:t>
      </w:r>
      <w:r w:rsidRPr="00191003">
        <w:t xml:space="preserve"> region. </w:t>
      </w:r>
      <w:r>
        <w:t>There is</w:t>
      </w:r>
      <w:r w:rsidRPr="00191003">
        <w:t xml:space="preserve"> a higher occurrence of the cuttlefish/octopus (FM 21)</w:t>
      </w:r>
      <w:r>
        <w:t xml:space="preserve"> motif</w:t>
      </w:r>
      <w:r w:rsidRPr="00191003">
        <w:t xml:space="preserve"> generally occurring on the outside</w:t>
      </w:r>
      <w:r>
        <w:t xml:space="preserve"> of the bathtubs</w:t>
      </w:r>
      <w:r w:rsidRPr="00191003">
        <w:t>.</w:t>
      </w:r>
    </w:p>
    <w:p w14:paraId="3B0C6442" w14:textId="77777777" w:rsidR="00D726B2" w:rsidRPr="00191003" w:rsidRDefault="00D726B2" w:rsidP="00E858EF">
      <w:pPr>
        <w:suppressAutoHyphens/>
        <w:ind w:firstLine="708"/>
      </w:pPr>
      <w:r w:rsidRPr="00191003">
        <w:t xml:space="preserve">These </w:t>
      </w:r>
      <w:r>
        <w:t>motif</w:t>
      </w:r>
      <w:r w:rsidRPr="00191003">
        <w:t xml:space="preserve">s (FM 20/FM 21/FM 53 </w:t>
      </w:r>
      <w:r>
        <w:t>m</w:t>
      </w:r>
      <w:r w:rsidRPr="00191003">
        <w:t xml:space="preserve">arine </w:t>
      </w:r>
      <w:r>
        <w:t>motif</w:t>
      </w:r>
      <w:r w:rsidRPr="00191003">
        <w:t xml:space="preserve">s?) are rarer </w:t>
      </w:r>
      <w:r>
        <w:t>o</w:t>
      </w:r>
      <w:r w:rsidRPr="00191003">
        <w:t>n chest</w:t>
      </w:r>
      <w:r>
        <w:t>-</w:t>
      </w:r>
      <w:r w:rsidRPr="00191003">
        <w:t>shaped larnakes (FM 20</w:t>
      </w:r>
      <w:r>
        <w:t xml:space="preserve"> is</w:t>
      </w:r>
      <w:r w:rsidRPr="00191003">
        <w:t xml:space="preserve"> only </w:t>
      </w:r>
      <w:r>
        <w:t>o</w:t>
      </w:r>
      <w:r w:rsidRPr="00191003">
        <w:t>n one chest</w:t>
      </w:r>
      <w:r>
        <w:t>-shaped</w:t>
      </w:r>
      <w:r w:rsidRPr="00191003">
        <w:t xml:space="preserve"> larnax and FM53</w:t>
      </w:r>
      <w:r>
        <w:t xml:space="preserve"> is</w:t>
      </w:r>
      <w:r w:rsidRPr="00191003">
        <w:t xml:space="preserve"> </w:t>
      </w:r>
      <w:r>
        <w:t>o</w:t>
      </w:r>
      <w:r w:rsidRPr="00191003">
        <w:t>n three chest</w:t>
      </w:r>
      <w:r>
        <w:t>-</w:t>
      </w:r>
      <w:r w:rsidRPr="00191003">
        <w:t>shaped larnakes).</w:t>
      </w:r>
    </w:p>
    <w:p w14:paraId="2E2D91A7" w14:textId="77777777" w:rsidR="0080364A" w:rsidRDefault="0080364A">
      <w:pPr>
        <w:widowControl/>
        <w:spacing w:line="240" w:lineRule="auto"/>
        <w:contextualSpacing w:val="0"/>
        <w:jc w:val="left"/>
        <w:rPr>
          <w:rFonts w:eastAsiaTheme="majorEastAsia" w:cstheme="majorBidi"/>
          <w:b/>
          <w:bCs/>
          <w:i/>
          <w:iCs/>
        </w:rPr>
      </w:pPr>
      <w:bookmarkStart w:id="1167" w:name="_Toc517807628"/>
      <w:r>
        <w:br w:type="page"/>
      </w:r>
    </w:p>
    <w:p w14:paraId="6FE05E0B" w14:textId="5C57C501" w:rsidR="00D726B2" w:rsidRPr="00191003" w:rsidRDefault="00D726B2" w:rsidP="00E858EF">
      <w:pPr>
        <w:pStyle w:val="Titolo4"/>
        <w:keepNext w:val="0"/>
        <w:keepLines w:val="0"/>
        <w:suppressAutoHyphens/>
      </w:pPr>
      <w:r w:rsidRPr="00191003">
        <w:t>Difference between frames and panel</w:t>
      </w:r>
      <w:r>
        <w:t>s</w:t>
      </w:r>
      <w:bookmarkEnd w:id="1167"/>
    </w:p>
    <w:p w14:paraId="0D84D259" w14:textId="77777777" w:rsidR="00D726B2" w:rsidRPr="00191003" w:rsidRDefault="00D726B2" w:rsidP="00E858EF">
      <w:pPr>
        <w:suppressAutoHyphens/>
      </w:pPr>
      <w:r w:rsidRPr="00191003">
        <w:t xml:space="preserve">From </w:t>
      </w:r>
      <w:r>
        <w:t>a</w:t>
      </w:r>
      <w:r w:rsidRPr="00191003">
        <w:t xml:space="preserve"> morphological </w:t>
      </w:r>
      <w:r>
        <w:t>perspective,</w:t>
      </w:r>
      <w:r w:rsidRPr="00191003">
        <w:t xml:space="preserve"> the division</w:t>
      </w:r>
      <w:r>
        <w:t>s</w:t>
      </w:r>
      <w:r w:rsidRPr="00191003">
        <w:t xml:space="preserve"> between frame</w:t>
      </w:r>
      <w:r>
        <w:t>s</w:t>
      </w:r>
      <w:r w:rsidRPr="00191003">
        <w:t xml:space="preserve"> and panel</w:t>
      </w:r>
      <w:r>
        <w:t>s</w:t>
      </w:r>
      <w:r w:rsidRPr="00191003">
        <w:t xml:space="preserve"> </w:t>
      </w:r>
      <w:r>
        <w:t>o</w:t>
      </w:r>
      <w:r w:rsidRPr="00191003">
        <w:t>n chest</w:t>
      </w:r>
      <w:r>
        <w:t>-</w:t>
      </w:r>
      <w:r w:rsidRPr="00191003">
        <w:t xml:space="preserve">shaped larnakes </w:t>
      </w:r>
      <w:r>
        <w:t>are</w:t>
      </w:r>
      <w:r w:rsidRPr="00191003">
        <w:t xml:space="preserve"> rendered through incisions or raised frame</w:t>
      </w:r>
      <w:r>
        <w:t>s</w:t>
      </w:r>
      <w:r w:rsidRPr="00191003">
        <w:t xml:space="preserve"> in almost the same proportion, both </w:t>
      </w:r>
      <w:r>
        <w:t>o</w:t>
      </w:r>
      <w:r w:rsidRPr="00191003">
        <w:t xml:space="preserve">n </w:t>
      </w:r>
      <w:r>
        <w:t xml:space="preserve">the </w:t>
      </w:r>
      <w:r w:rsidRPr="00191003">
        <w:t xml:space="preserve">lid and </w:t>
      </w:r>
      <w:r>
        <w:t>o</w:t>
      </w:r>
      <w:r w:rsidRPr="00191003">
        <w:t>n the main body.</w:t>
      </w:r>
    </w:p>
    <w:p w14:paraId="3B8647AC" w14:textId="77777777" w:rsidR="00D726B2" w:rsidRPr="00191003" w:rsidRDefault="00D726B2" w:rsidP="00E858EF">
      <w:pPr>
        <w:suppressAutoHyphens/>
      </w:pPr>
      <w:r>
        <w:tab/>
        <w:t>Regarding</w:t>
      </w:r>
      <w:r w:rsidRPr="00191003">
        <w:t xml:space="preserve"> the sample of decorated larnakes</w:t>
      </w:r>
      <w:r>
        <w:t>, it</w:t>
      </w:r>
      <w:r w:rsidRPr="00191003">
        <w:t xml:space="preserve"> is not possible to determine </w:t>
      </w:r>
      <w:r>
        <w:t>the</w:t>
      </w:r>
      <w:r w:rsidRPr="00191003">
        <w:t xml:space="preserve"> exact decoration of the frame for</w:t>
      </w:r>
      <w:r>
        <w:t xml:space="preserve"> the following</w:t>
      </w:r>
      <w:r w:rsidRPr="00191003">
        <w:t xml:space="preserve"> six items:</w:t>
      </w:r>
    </w:p>
    <w:p w14:paraId="297852D3" w14:textId="77777777" w:rsidR="00D726B2" w:rsidRPr="00191003" w:rsidRDefault="00D726B2" w:rsidP="00E858EF">
      <w:pPr>
        <w:pStyle w:val="Paragrafoelenco"/>
        <w:numPr>
          <w:ilvl w:val="0"/>
          <w:numId w:val="97"/>
        </w:numPr>
        <w:suppressAutoHyphens/>
        <w:spacing w:after="160"/>
      </w:pPr>
      <w:r>
        <w:t>T</w:t>
      </w:r>
      <w:r w:rsidRPr="00191003">
        <w:t>hree chest</w:t>
      </w:r>
      <w:r>
        <w:t>-shaped</w:t>
      </w:r>
      <w:r w:rsidRPr="00191003">
        <w:t xml:space="preserve"> larnakes from Kritsa </w:t>
      </w:r>
      <w:r w:rsidRPr="00191003">
        <w:rPr>
          <w:color w:val="000000"/>
        </w:rPr>
        <w:t>(</w:t>
      </w:r>
      <w:r>
        <w:rPr>
          <w:color w:val="000000"/>
        </w:rPr>
        <w:t xml:space="preserve">508 Kritsa, 509 Kritsa, 510 Kritsa: </w:t>
      </w:r>
      <w:r w:rsidRPr="00733192">
        <w:rPr>
          <w:i/>
        </w:rPr>
        <w:t>KChr</w:t>
      </w:r>
      <w:r w:rsidRPr="00191003">
        <w:t xml:space="preserve"> 5 1951: 44-5), one from Malia (</w:t>
      </w:r>
      <w:r>
        <w:t xml:space="preserve">809 Malia village: </w:t>
      </w:r>
      <w:r w:rsidRPr="00191003">
        <w:t>Ergon 1974: 115; Kanta 1980: 52) and one from Milatos (</w:t>
      </w:r>
      <w:r>
        <w:t xml:space="preserve">530 Milatos 8962: </w:t>
      </w:r>
      <w:r w:rsidRPr="00733192">
        <w:rPr>
          <w:i/>
        </w:rPr>
        <w:t>ADelt</w:t>
      </w:r>
      <w:r w:rsidRPr="00191003">
        <w:t xml:space="preserve"> 35 1980</w:t>
      </w:r>
      <w:r>
        <w:t xml:space="preserve">: </w:t>
      </w:r>
      <w:r w:rsidRPr="00191003">
        <w:t>521-522</w:t>
      </w:r>
      <w:r>
        <w:t>,</w:t>
      </w:r>
      <w:r w:rsidRPr="00191003">
        <w:t xml:space="preserve"> pl.324 st) because there are no images or detailed description</w:t>
      </w:r>
      <w:r>
        <w:t>s</w:t>
      </w:r>
      <w:r w:rsidRPr="00191003">
        <w:t xml:space="preserve"> of decoration available from publication</w:t>
      </w:r>
      <w:r>
        <w:t>s.</w:t>
      </w:r>
    </w:p>
    <w:p w14:paraId="080E2B1E" w14:textId="77777777" w:rsidR="00D726B2" w:rsidRPr="00191003" w:rsidRDefault="00D726B2" w:rsidP="00E858EF">
      <w:pPr>
        <w:pStyle w:val="Paragrafoelenco"/>
        <w:numPr>
          <w:ilvl w:val="0"/>
          <w:numId w:val="97"/>
        </w:numPr>
        <w:suppressAutoHyphens/>
        <w:spacing w:after="160"/>
      </w:pPr>
      <w:r w:rsidRPr="00191003">
        <w:t>In the case of the larnax from Psari Phorada</w:t>
      </w:r>
      <w:r>
        <w:t xml:space="preserve"> (934 Psari Phorada: </w:t>
      </w:r>
      <w:r w:rsidRPr="007A584D">
        <w:t>Banou</w:t>
      </w:r>
      <w:r>
        <w:t xml:space="preserve"> and</w:t>
      </w:r>
      <w:r w:rsidRPr="007A584D">
        <w:t xml:space="preserve"> Rethemiotakis 1997: 23-57</w:t>
      </w:r>
      <w:r>
        <w:t>,</w:t>
      </w:r>
      <w:r w:rsidRPr="007A584D">
        <w:t xml:space="preserve"> fig. 28</w:t>
      </w:r>
      <w:r>
        <w:t>),</w:t>
      </w:r>
      <w:r w:rsidRPr="00191003">
        <w:t xml:space="preserve"> the larnax itself is too fragmentary to determine frame decoration. </w:t>
      </w:r>
    </w:p>
    <w:p w14:paraId="2298D5CC" w14:textId="77777777" w:rsidR="00D726B2" w:rsidRPr="00191003" w:rsidRDefault="00D726B2" w:rsidP="00E858EF">
      <w:pPr>
        <w:suppressAutoHyphens/>
      </w:pPr>
      <w:r>
        <w:tab/>
        <w:t xml:space="preserve">Regarding </w:t>
      </w:r>
      <w:r w:rsidRPr="00191003">
        <w:t>the remaining eight chest</w:t>
      </w:r>
      <w:r>
        <w:t>-</w:t>
      </w:r>
      <w:r w:rsidRPr="00191003">
        <w:t xml:space="preserve">shaped larnakes, </w:t>
      </w:r>
      <w:r>
        <w:t xml:space="preserve">the </w:t>
      </w:r>
      <w:r w:rsidRPr="00191003">
        <w:t>distinction between panel</w:t>
      </w:r>
      <w:r>
        <w:t>s</w:t>
      </w:r>
      <w:r w:rsidRPr="00191003">
        <w:t xml:space="preserve"> and frames is rendered</w:t>
      </w:r>
      <w:r>
        <w:t>,</w:t>
      </w:r>
      <w:r w:rsidRPr="00191003">
        <w:t xml:space="preserve"> in the vast majority of cases</w:t>
      </w:r>
      <w:r>
        <w:t>,</w:t>
      </w:r>
      <w:r w:rsidRPr="00191003">
        <w:t xml:space="preserve"> with an incision</w:t>
      </w:r>
      <w:r>
        <w:t>,</w:t>
      </w:r>
      <w:r w:rsidRPr="00191003">
        <w:t xml:space="preserve"> and the decoration on the frame</w:t>
      </w:r>
      <w:r>
        <w:t>s</w:t>
      </w:r>
      <w:r w:rsidRPr="00191003">
        <w:t xml:space="preserve"> consist</w:t>
      </w:r>
      <w:r>
        <w:t>s</w:t>
      </w:r>
      <w:r w:rsidRPr="00191003">
        <w:t xml:space="preserve"> of a solid band (dark on light).</w:t>
      </w:r>
      <w:r>
        <w:t xml:space="preserve"> O</w:t>
      </w:r>
      <w:r w:rsidRPr="00191003">
        <w:t>n one larnax from Malia Agia Pelagia (788</w:t>
      </w:r>
      <w:r>
        <w:t xml:space="preserve"> </w:t>
      </w:r>
      <w:r w:rsidRPr="00191003">
        <w:t>Malia Agia Pelagia 7911)</w:t>
      </w:r>
      <w:r>
        <w:t>, the</w:t>
      </w:r>
      <w:r w:rsidRPr="00191003">
        <w:t xml:space="preserve"> frames are decorated with a band of parallel chevrons (FM 58) in the case of the edge frame, and the long</w:t>
      </w:r>
      <w:r>
        <w:t>-</w:t>
      </w:r>
      <w:r w:rsidRPr="00191003">
        <w:t xml:space="preserve">side central frame is decorated with diaper net (FM 57 as a band). </w:t>
      </w:r>
    </w:p>
    <w:p w14:paraId="5C4EB9EA" w14:textId="77777777" w:rsidR="00D726B2" w:rsidRPr="00191003" w:rsidRDefault="00D726B2" w:rsidP="00E858EF">
      <w:pPr>
        <w:suppressAutoHyphens/>
      </w:pPr>
      <w:r>
        <w:tab/>
        <w:t>T</w:t>
      </w:r>
      <w:r w:rsidRPr="00191003">
        <w:t xml:space="preserve">he analysis of </w:t>
      </w:r>
      <w:r>
        <w:t xml:space="preserve">the </w:t>
      </w:r>
      <w:r w:rsidRPr="00191003">
        <w:t>decoration of chest</w:t>
      </w:r>
      <w:r>
        <w:t>-</w:t>
      </w:r>
      <w:r w:rsidRPr="00191003">
        <w:t xml:space="preserve">shaped larnakes </w:t>
      </w:r>
      <w:r>
        <w:t>regarding</w:t>
      </w:r>
      <w:r w:rsidRPr="00191003">
        <w:t xml:space="preserve"> panel/frame morphological distinction </w:t>
      </w:r>
      <w:r>
        <w:t>reveals</w:t>
      </w:r>
      <w:r w:rsidRPr="00191003">
        <w:t xml:space="preserve"> that this division is marked</w:t>
      </w:r>
      <w:r>
        <w:t xml:space="preserve"> also</w:t>
      </w:r>
      <w:r w:rsidRPr="00191003">
        <w:t xml:space="preserve"> </w:t>
      </w:r>
      <w:r>
        <w:t>by</w:t>
      </w:r>
      <w:r w:rsidRPr="00191003">
        <w:t xml:space="preserve"> decoration differences, in the vast majority of cases </w:t>
      </w:r>
      <w:r>
        <w:t>via</w:t>
      </w:r>
      <w:r w:rsidRPr="00191003">
        <w:t xml:space="preserve"> the use of the same repeated pattern for decorating frames.</w:t>
      </w:r>
      <w:r>
        <w:t xml:space="preserve"> </w:t>
      </w:r>
      <w:r w:rsidRPr="00191003">
        <w:t>In the case of bathtub larnakes</w:t>
      </w:r>
      <w:r>
        <w:t>,</w:t>
      </w:r>
      <w:r w:rsidRPr="00191003">
        <w:t xml:space="preserve"> there are no morphological division</w:t>
      </w:r>
      <w:r>
        <w:t>s</w:t>
      </w:r>
      <w:r w:rsidRPr="00191003">
        <w:t xml:space="preserve"> between panels and frame</w:t>
      </w:r>
      <w:r>
        <w:t>s.</w:t>
      </w:r>
      <w:r w:rsidRPr="00191003">
        <w:t xml:space="preserve"> </w:t>
      </w:r>
      <w:r>
        <w:t>However,</w:t>
      </w:r>
      <w:r w:rsidRPr="00191003">
        <w:t xml:space="preserve"> in the case of four</w:t>
      </w:r>
      <w:r>
        <w:t xml:space="preserve"> of the</w:t>
      </w:r>
      <w:r w:rsidRPr="00191003">
        <w:t xml:space="preserve"> bathtub larnakes</w:t>
      </w:r>
      <w:r>
        <w:t>, the</w:t>
      </w:r>
      <w:r w:rsidRPr="00191003">
        <w:t xml:space="preserve"> long sides are divided in</w:t>
      </w:r>
      <w:r>
        <w:t>to</w:t>
      </w:r>
      <w:r w:rsidRPr="00191003">
        <w:t xml:space="preserve"> two or four parts in correspondence </w:t>
      </w:r>
      <w:r>
        <w:t>with</w:t>
      </w:r>
      <w:r w:rsidRPr="00191003">
        <w:t xml:space="preserve"> the handle thanks to a repeated motif (</w:t>
      </w:r>
      <w:r>
        <w:t>e.g.</w:t>
      </w:r>
      <w:r w:rsidRPr="00191003">
        <w:t xml:space="preserve"> FM 21, the body of the octopus at the centre of long sides</w:t>
      </w:r>
      <w:r>
        <w:t>,</w:t>
      </w:r>
      <w:r w:rsidRPr="00191003">
        <w:t xml:space="preserve"> or FM 53/FM 75 a series of wavy lines panel motif).</w:t>
      </w:r>
    </w:p>
    <w:p w14:paraId="533F38CC" w14:textId="77777777" w:rsidR="00D726B2" w:rsidRPr="00191003" w:rsidRDefault="00D726B2" w:rsidP="00E858EF">
      <w:pPr>
        <w:pStyle w:val="Titolo4"/>
        <w:keepNext w:val="0"/>
        <w:keepLines w:val="0"/>
        <w:suppressAutoHyphens/>
      </w:pPr>
      <w:bookmarkStart w:id="1168" w:name="_Toc517807629"/>
      <w:r w:rsidRPr="00191003">
        <w:t xml:space="preserve">Identifying larnakes </w:t>
      </w:r>
      <w:r>
        <w:t>that</w:t>
      </w:r>
      <w:r w:rsidRPr="00191003">
        <w:t xml:space="preserve"> are similar</w:t>
      </w:r>
      <w:r>
        <w:t>ly</w:t>
      </w:r>
      <w:r w:rsidRPr="00191003">
        <w:t xml:space="preserve"> </w:t>
      </w:r>
      <w:r>
        <w:t>decorated</w:t>
      </w:r>
      <w:bookmarkEnd w:id="1168"/>
    </w:p>
    <w:p w14:paraId="3B72CE70" w14:textId="77777777" w:rsidR="00D726B2" w:rsidRPr="00191003" w:rsidRDefault="00D726B2" w:rsidP="00E858EF">
      <w:pPr>
        <w:suppressAutoHyphens/>
      </w:pPr>
      <w:r w:rsidRPr="00191003">
        <w:t xml:space="preserve">It is possible to recognise </w:t>
      </w:r>
      <w:r>
        <w:t>three</w:t>
      </w:r>
      <w:r w:rsidRPr="00191003">
        <w:t xml:space="preserve"> groups of larnakes </w:t>
      </w:r>
      <w:r>
        <w:t>with</w:t>
      </w:r>
      <w:r w:rsidRPr="00191003">
        <w:t xml:space="preserve"> very similar decoration. The purpose of the present analysis</w:t>
      </w:r>
      <w:r>
        <w:t>, however,</w:t>
      </w:r>
      <w:r w:rsidRPr="00191003">
        <w:t xml:space="preserve"> is not to identify painter</w:t>
      </w:r>
      <w:r>
        <w:t>s’</w:t>
      </w:r>
      <w:r w:rsidRPr="00191003">
        <w:t xml:space="preserve"> hands, but to identify the existence of repetition both in the decorative </w:t>
      </w:r>
      <w:r>
        <w:t>motif</w:t>
      </w:r>
      <w:r w:rsidRPr="00191003">
        <w:t xml:space="preserve">s and in </w:t>
      </w:r>
      <w:r>
        <w:t xml:space="preserve">the </w:t>
      </w:r>
      <w:r w:rsidRPr="00191003">
        <w:t>organi</w:t>
      </w:r>
      <w:r>
        <w:t>s</w:t>
      </w:r>
      <w:r w:rsidRPr="00191003">
        <w:t xml:space="preserve">ation </w:t>
      </w:r>
      <w:r>
        <w:t>of</w:t>
      </w:r>
      <w:r w:rsidRPr="00191003">
        <w:t xml:space="preserve"> larna</w:t>
      </w:r>
      <w:r>
        <w:t>x</w:t>
      </w:r>
      <w:r w:rsidRPr="00191003">
        <w:t xml:space="preserve"> decoration within the analytical area examined</w:t>
      </w:r>
      <w:r>
        <w:t>.</w:t>
      </w:r>
    </w:p>
    <w:p w14:paraId="3E6680D8" w14:textId="77777777" w:rsidR="00D726B2" w:rsidRPr="00191003" w:rsidRDefault="00D726B2" w:rsidP="00E858EF">
      <w:pPr>
        <w:suppressAutoHyphens/>
      </w:pPr>
      <w:r>
        <w:t xml:space="preserve">Possible </w:t>
      </w:r>
      <w:r w:rsidRPr="00191003">
        <w:t>Group 1</w:t>
      </w:r>
    </w:p>
    <w:p w14:paraId="7D69B65B" w14:textId="77777777" w:rsidR="00D726B2" w:rsidRPr="00191003" w:rsidRDefault="00D726B2" w:rsidP="00E858EF">
      <w:pPr>
        <w:suppressAutoHyphens/>
        <w:ind w:left="708"/>
      </w:pPr>
      <w:r w:rsidRPr="00191003">
        <w:t>As already observed</w:t>
      </w:r>
      <w:r>
        <w:t>,</w:t>
      </w:r>
      <w:r w:rsidRPr="00191003">
        <w:t xml:space="preserve"> two larnakes from Kritsa (511</w:t>
      </w:r>
      <w:r>
        <w:t xml:space="preserve"> Kritsa Lakkoi</w:t>
      </w:r>
      <w:r w:rsidRPr="00191003">
        <w:t xml:space="preserve"> MAN 12601 and 512 </w:t>
      </w:r>
      <w:r>
        <w:t>Kritsa Lakkoi</w:t>
      </w:r>
      <w:r w:rsidRPr="00191003">
        <w:t xml:space="preserve"> MAN 12600</w:t>
      </w:r>
      <w:r>
        <w:t>:</w:t>
      </w:r>
      <w:r w:rsidRPr="00191003">
        <w:t xml:space="preserve"> Tsipopoulou </w:t>
      </w:r>
      <w:r>
        <w:t xml:space="preserve">and </w:t>
      </w:r>
      <w:r w:rsidRPr="00191003">
        <w:t>Vagnetti 1997</w:t>
      </w:r>
      <w:r>
        <w:t>:</w:t>
      </w:r>
      <w:r w:rsidRPr="00191003">
        <w:t xml:space="preserve"> 475-476 pl.185 c, 186 a, 186 b-c, 187 a-b</w:t>
      </w:r>
      <w:r w:rsidRPr="00191003">
        <w:rPr>
          <w:color w:val="000000"/>
        </w:rPr>
        <w:t xml:space="preserve">) </w:t>
      </w:r>
      <w:r>
        <w:rPr>
          <w:color w:val="000000"/>
        </w:rPr>
        <w:t>have</w:t>
      </w:r>
      <w:r w:rsidRPr="00191003">
        <w:rPr>
          <w:color w:val="000000"/>
        </w:rPr>
        <w:t xml:space="preserve"> almost the same motif organised in the same way within the space available </w:t>
      </w:r>
      <w:r>
        <w:rPr>
          <w:color w:val="000000"/>
        </w:rPr>
        <w:t>o</w:t>
      </w:r>
      <w:r w:rsidRPr="00191003">
        <w:rPr>
          <w:color w:val="000000"/>
        </w:rPr>
        <w:t xml:space="preserve">n the larnax surface (FM 21 and FM 43 outside; cuttlefish/octopus and wavy lines: the body of the cuttlefish/octopus </w:t>
      </w:r>
      <w:r>
        <w:rPr>
          <w:color w:val="000000"/>
        </w:rPr>
        <w:t>in</w:t>
      </w:r>
      <w:r w:rsidRPr="00191003">
        <w:rPr>
          <w:color w:val="000000"/>
        </w:rPr>
        <w:t xml:space="preserve"> the middle of each long panel and the tentacles/wavy lines filling the remaining space; FM 20 and FM 43 inside: fishes and tentacles</w:t>
      </w:r>
      <w:r>
        <w:rPr>
          <w:color w:val="000000"/>
        </w:rPr>
        <w:t>/</w:t>
      </w:r>
      <w:r w:rsidRPr="00191003">
        <w:rPr>
          <w:color w:val="000000"/>
        </w:rPr>
        <w:t xml:space="preserve">wavy lines; </w:t>
      </w:r>
      <w:r>
        <w:rPr>
          <w:color w:val="000000"/>
        </w:rPr>
        <w:t>o</w:t>
      </w:r>
      <w:r w:rsidRPr="00191003">
        <w:rPr>
          <w:color w:val="000000"/>
        </w:rPr>
        <w:t>n one of the two larnakes</w:t>
      </w:r>
      <w:r>
        <w:rPr>
          <w:color w:val="000000"/>
        </w:rPr>
        <w:t>,</w:t>
      </w:r>
      <w:r w:rsidRPr="00191003">
        <w:rPr>
          <w:color w:val="000000"/>
        </w:rPr>
        <w:t xml:space="preserve"> 512, is a bird </w:t>
      </w:r>
      <w:r>
        <w:rPr>
          <w:color w:val="000000"/>
        </w:rPr>
        <w:t>(</w:t>
      </w:r>
      <w:r w:rsidRPr="00191003">
        <w:rPr>
          <w:color w:val="000000"/>
        </w:rPr>
        <w:t>FM 7</w:t>
      </w:r>
      <w:r>
        <w:rPr>
          <w:color w:val="000000"/>
        </w:rPr>
        <w:t>)</w:t>
      </w:r>
      <w:r w:rsidRPr="00191003">
        <w:rPr>
          <w:color w:val="000000"/>
        </w:rPr>
        <w:t xml:space="preserve">; for </w:t>
      </w:r>
      <w:r>
        <w:rPr>
          <w:color w:val="000000"/>
        </w:rPr>
        <w:t xml:space="preserve">a </w:t>
      </w:r>
      <w:r w:rsidRPr="00191003">
        <w:rPr>
          <w:color w:val="000000"/>
        </w:rPr>
        <w:t>detail</w:t>
      </w:r>
      <w:r>
        <w:rPr>
          <w:color w:val="000000"/>
        </w:rPr>
        <w:t>ed</w:t>
      </w:r>
      <w:r w:rsidRPr="00191003">
        <w:rPr>
          <w:color w:val="000000"/>
        </w:rPr>
        <w:t xml:space="preserve"> analysis of their iconography and </w:t>
      </w:r>
      <w:r>
        <w:rPr>
          <w:color w:val="000000"/>
        </w:rPr>
        <w:t xml:space="preserve">painters </w:t>
      </w:r>
      <w:r w:rsidRPr="00191003">
        <w:rPr>
          <w:color w:val="000000"/>
        </w:rPr>
        <w:t>hands</w:t>
      </w:r>
      <w:r>
        <w:rPr>
          <w:color w:val="000000"/>
        </w:rPr>
        <w:t>, see</w:t>
      </w:r>
      <w:r w:rsidRPr="00191003">
        <w:rPr>
          <w:color w:val="000000"/>
        </w:rPr>
        <w:t xml:space="preserve"> </w:t>
      </w:r>
      <w:r w:rsidRPr="00191003">
        <w:t>Tsipopoulou</w:t>
      </w:r>
      <w:r>
        <w:t xml:space="preserve"> and</w:t>
      </w:r>
      <w:r w:rsidRPr="00191003">
        <w:t xml:space="preserve"> Vagnetti 1997: 476). A third larnax could be added to th</w:t>
      </w:r>
      <w:r>
        <w:t>ese</w:t>
      </w:r>
      <w:r w:rsidRPr="00191003">
        <w:t xml:space="preserve"> two if we </w:t>
      </w:r>
      <w:r>
        <w:t>consider</w:t>
      </w:r>
      <w:r w:rsidRPr="00191003">
        <w:t xml:space="preserve"> the </w:t>
      </w:r>
      <w:r>
        <w:t>motif</w:t>
      </w:r>
      <w:r w:rsidRPr="00191003">
        <w:t xml:space="preserve">s registered: </w:t>
      </w:r>
      <w:r>
        <w:t xml:space="preserve">a </w:t>
      </w:r>
      <w:r w:rsidRPr="00191003">
        <w:t xml:space="preserve">bathtub larnax from </w:t>
      </w:r>
      <w:r>
        <w:t xml:space="preserve">Malia </w:t>
      </w:r>
      <w:r w:rsidRPr="00191003">
        <w:t>Pierre</w:t>
      </w:r>
      <w:r>
        <w:t>s</w:t>
      </w:r>
      <w:r w:rsidRPr="00191003">
        <w:t xml:space="preserve"> Meuliere</w:t>
      </w:r>
      <w:r>
        <w:t xml:space="preserve">s (804 Malia </w:t>
      </w:r>
      <w:r w:rsidRPr="00191003">
        <w:t>Pierre</w:t>
      </w:r>
      <w:r>
        <w:t>s</w:t>
      </w:r>
      <w:r w:rsidRPr="00191003">
        <w:t xml:space="preserve"> Meuliere</w:t>
      </w:r>
      <w:r>
        <w:t>s)</w:t>
      </w:r>
      <w:r w:rsidRPr="00191003">
        <w:t xml:space="preserve"> </w:t>
      </w:r>
      <w:r>
        <w:t>has</w:t>
      </w:r>
      <w:r w:rsidRPr="00191003">
        <w:t xml:space="preserve"> the presence of </w:t>
      </w:r>
      <w:r>
        <w:t xml:space="preserve">a </w:t>
      </w:r>
      <w:r w:rsidRPr="00191003">
        <w:rPr>
          <w:color w:val="000000"/>
        </w:rPr>
        <w:t>cuttlefish/octopus (FM21) and wavy lines and spirals (FM 53 and FM 46)</w:t>
      </w:r>
      <w:r w:rsidRPr="00191003">
        <w:t>. However</w:t>
      </w:r>
      <w:r>
        <w:t>,</w:t>
      </w:r>
      <w:r w:rsidRPr="00191003">
        <w:t xml:space="preserve"> the painting is very faded and </w:t>
      </w:r>
      <w:r>
        <w:t xml:space="preserve">the </w:t>
      </w:r>
      <w:r w:rsidRPr="00191003">
        <w:t>decoratio</w:t>
      </w:r>
      <w:r>
        <w:t>n is not visible from the illustrations</w:t>
      </w:r>
      <w:r w:rsidRPr="00191003">
        <w:t xml:space="preserve"> (Van Effenterre 1963: 127-128, pl. 52)</w:t>
      </w:r>
      <w:r>
        <w:t>.</w:t>
      </w:r>
    </w:p>
    <w:p w14:paraId="5B85C3BB" w14:textId="77777777" w:rsidR="00D726B2" w:rsidRPr="00191003" w:rsidRDefault="00D726B2" w:rsidP="00E858EF">
      <w:pPr>
        <w:pStyle w:val="Paragrafoelenco"/>
        <w:suppressAutoHyphens/>
        <w:ind w:left="0"/>
      </w:pPr>
      <w:r w:rsidRPr="00191003">
        <w:t xml:space="preserve">Possible </w:t>
      </w:r>
      <w:r>
        <w:t>G</w:t>
      </w:r>
      <w:r w:rsidRPr="00191003">
        <w:t>roup 2</w:t>
      </w:r>
    </w:p>
    <w:p w14:paraId="35B2D4BF" w14:textId="77777777" w:rsidR="00D726B2" w:rsidRPr="00191003" w:rsidRDefault="00D726B2" w:rsidP="00E858EF">
      <w:pPr>
        <w:pStyle w:val="Paragrafoelenco"/>
        <w:suppressAutoHyphens/>
        <w:ind w:left="708"/>
      </w:pPr>
      <w:r w:rsidRPr="00191003">
        <w:t xml:space="preserve">Two larnakes from Malia (787 Malia Agia Pelagia HM 12030 and 783 Malia Azimo HM 7408) </w:t>
      </w:r>
      <w:r>
        <w:t>have</w:t>
      </w:r>
      <w:r w:rsidRPr="00191003">
        <w:t xml:space="preserve"> the same decoration </w:t>
      </w:r>
      <w:r>
        <w:t>of a</w:t>
      </w:r>
      <w:r w:rsidRPr="00191003">
        <w:t xml:space="preserve"> solid painted frame (in </w:t>
      </w:r>
      <w:r>
        <w:t xml:space="preserve">the </w:t>
      </w:r>
      <w:r w:rsidRPr="00191003">
        <w:t>case of 783 there is an outline</w:t>
      </w:r>
      <w:r>
        <w:t xml:space="preserve"> also</w:t>
      </w:r>
      <w:r w:rsidRPr="00191003">
        <w:t>)</w:t>
      </w:r>
      <w:r>
        <w:t>.</w:t>
      </w:r>
    </w:p>
    <w:p w14:paraId="289867DF" w14:textId="77777777" w:rsidR="00D726B2" w:rsidRPr="00191003" w:rsidRDefault="00D726B2" w:rsidP="00E858EF">
      <w:pPr>
        <w:suppressAutoHyphens/>
      </w:pPr>
      <w:r w:rsidRPr="00191003">
        <w:t>Possible Group 3</w:t>
      </w:r>
    </w:p>
    <w:p w14:paraId="79D5B099" w14:textId="77777777" w:rsidR="00D726B2" w:rsidRPr="00191003" w:rsidRDefault="00D726B2" w:rsidP="00E858EF">
      <w:pPr>
        <w:pStyle w:val="Paragrafoelenco"/>
        <w:suppressAutoHyphens/>
      </w:pPr>
      <w:r w:rsidRPr="00191003">
        <w:t xml:space="preserve">Two larnakes from Malia (788 Malia Agia Pelagia HM 7911 and 803 Malia Kokkino Pyrgos) </w:t>
      </w:r>
      <w:r>
        <w:t xml:space="preserve">are </w:t>
      </w:r>
      <w:r w:rsidRPr="00191003">
        <w:t xml:space="preserve">both characterised by the </w:t>
      </w:r>
      <w:r>
        <w:t>presence</w:t>
      </w:r>
      <w:r w:rsidRPr="00191003">
        <w:t xml:space="preserve"> of two </w:t>
      </w:r>
      <w:r>
        <w:t>motif</w:t>
      </w:r>
      <w:r w:rsidRPr="00191003">
        <w:t xml:space="preserve">s (FM 57 diaper net and FM 46 running spirals; </w:t>
      </w:r>
      <w:r>
        <w:t>L</w:t>
      </w:r>
      <w:r w:rsidRPr="00191003">
        <w:t xml:space="preserve">arnax 788 </w:t>
      </w:r>
      <w:r>
        <w:t>has</w:t>
      </w:r>
      <w:r w:rsidRPr="00191003">
        <w:t xml:space="preserve"> FM 73</w:t>
      </w:r>
      <w:r>
        <w:t>,</w:t>
      </w:r>
      <w:r w:rsidRPr="00191003">
        <w:t xml:space="preserve"> parallel chevron</w:t>
      </w:r>
      <w:r>
        <w:t>s</w:t>
      </w:r>
      <w:r w:rsidRPr="00191003">
        <w:t xml:space="preserve"> as</w:t>
      </w:r>
      <w:r>
        <w:t xml:space="preserve"> a</w:t>
      </w:r>
      <w:r w:rsidRPr="00191003">
        <w:t xml:space="preserve"> frame decorative motif</w:t>
      </w:r>
      <w:r>
        <w:t>, also</w:t>
      </w:r>
      <w:r w:rsidRPr="00191003">
        <w:t xml:space="preserve">). Furthermore, these two larnakes </w:t>
      </w:r>
      <w:r>
        <w:t>have</w:t>
      </w:r>
      <w:r w:rsidRPr="00191003">
        <w:t xml:space="preserve"> a comparable organi</w:t>
      </w:r>
      <w:r>
        <w:t>s</w:t>
      </w:r>
      <w:r w:rsidRPr="00191003">
        <w:t xml:space="preserve">ation of decorative patterns based on vertical band </w:t>
      </w:r>
      <w:r>
        <w:t>motif</w:t>
      </w:r>
      <w:r w:rsidRPr="00191003">
        <w:t>s that are repeated more than on</w:t>
      </w:r>
      <w:r>
        <w:t>ce</w:t>
      </w:r>
      <w:r w:rsidRPr="00191003">
        <w:t>.</w:t>
      </w:r>
    </w:p>
    <w:p w14:paraId="15E4CE94" w14:textId="5DF700D5" w:rsidR="00D726B2" w:rsidRPr="00191003" w:rsidRDefault="00D726B2" w:rsidP="00E858EF">
      <w:pPr>
        <w:pStyle w:val="Titolo3"/>
        <w:keepNext w:val="0"/>
        <w:keepLines w:val="0"/>
        <w:suppressAutoHyphens/>
      </w:pPr>
      <w:bookmarkStart w:id="1169" w:name="_Toc517807630"/>
      <w:bookmarkStart w:id="1170" w:name="_Toc519894702"/>
      <w:r w:rsidRPr="00191003">
        <w:t>Conclusion</w:t>
      </w:r>
      <w:r>
        <w:t>s</w:t>
      </w:r>
      <w:bookmarkEnd w:id="1169"/>
      <w:r>
        <w:t xml:space="preserve">, Mid-East </w:t>
      </w:r>
      <w:r w:rsidR="00B7412C">
        <w:t>area</w:t>
      </w:r>
      <w:bookmarkEnd w:id="1170"/>
    </w:p>
    <w:p w14:paraId="05D5B3F3" w14:textId="77777777" w:rsidR="00D726B2" w:rsidRPr="00191003" w:rsidRDefault="00D726B2" w:rsidP="00E858EF">
      <w:pPr>
        <w:suppressAutoHyphens/>
      </w:pPr>
      <w:r w:rsidRPr="00191003">
        <w:t xml:space="preserve">From </w:t>
      </w:r>
      <w:r>
        <w:t>a</w:t>
      </w:r>
      <w:r w:rsidRPr="00191003">
        <w:t xml:space="preserve"> </w:t>
      </w:r>
      <w:r>
        <w:t>morphological perspective, in the Mid-East</w:t>
      </w:r>
      <w:r w:rsidRPr="00191003">
        <w:t xml:space="preserve"> region</w:t>
      </w:r>
      <w:r>
        <w:t>, the use of both typ</w:t>
      </w:r>
      <w:r w:rsidRPr="00191003">
        <w:t>es ha</w:t>
      </w:r>
      <w:r>
        <w:t>s</w:t>
      </w:r>
      <w:r w:rsidRPr="00191003">
        <w:t xml:space="preserve"> been registered in burial context</w:t>
      </w:r>
      <w:r>
        <w:t>s.</w:t>
      </w:r>
      <w:r w:rsidRPr="00191003">
        <w:t xml:space="preserve"> </w:t>
      </w:r>
      <w:r>
        <w:t>T</w:t>
      </w:r>
      <w:r w:rsidRPr="00191003">
        <w:t xml:space="preserve">he presence of bathtubs </w:t>
      </w:r>
      <w:r>
        <w:t>is</w:t>
      </w:r>
      <w:r w:rsidRPr="00191003">
        <w:t xml:space="preserve"> registered in a number of burials</w:t>
      </w:r>
      <w:r>
        <w:t>,</w:t>
      </w:r>
      <w:r w:rsidRPr="00191003">
        <w:t xml:space="preserve"> although </w:t>
      </w:r>
      <w:r>
        <w:t xml:space="preserve">the number is </w:t>
      </w:r>
      <w:r w:rsidRPr="00191003">
        <w:t xml:space="preserve">very small </w:t>
      </w:r>
      <w:r>
        <w:t xml:space="preserve">(8 or 10%) </w:t>
      </w:r>
      <w:r w:rsidRPr="00191003">
        <w:t xml:space="preserve">in comparison with the popularity of </w:t>
      </w:r>
      <w:r>
        <w:t xml:space="preserve">the </w:t>
      </w:r>
      <w:r w:rsidRPr="00191003">
        <w:t>chest</w:t>
      </w:r>
      <w:r>
        <w:t>-</w:t>
      </w:r>
      <w:r w:rsidRPr="00191003">
        <w:t>shaped</w:t>
      </w:r>
      <w:r>
        <w:t xml:space="preserve"> larnakes</w:t>
      </w:r>
      <w:r w:rsidRPr="00191003">
        <w:t>. The evidence for the association of bathtubs and chest</w:t>
      </w:r>
      <w:r>
        <w:t>-shaped</w:t>
      </w:r>
      <w:r w:rsidRPr="00191003">
        <w:t xml:space="preserve"> larnakes together in the same tomb has been securely observed only </w:t>
      </w:r>
      <w:r>
        <w:t>in</w:t>
      </w:r>
      <w:r w:rsidRPr="00191003">
        <w:t xml:space="preserve"> one tomb (Milatos </w:t>
      </w:r>
      <w:r>
        <w:t xml:space="preserve">Tomb 1: </w:t>
      </w:r>
      <w:r w:rsidRPr="00733192">
        <w:rPr>
          <w:i/>
          <w:iCs/>
          <w:color w:val="000000"/>
        </w:rPr>
        <w:t>ADelt</w:t>
      </w:r>
      <w:r w:rsidRPr="00191003">
        <w:rPr>
          <w:color w:val="000000"/>
        </w:rPr>
        <w:t xml:space="preserve"> 6 1920-1: 154-57; Kanta 1980: 127-128, </w:t>
      </w:r>
      <w:r>
        <w:rPr>
          <w:color w:val="000000"/>
        </w:rPr>
        <w:t>F</w:t>
      </w:r>
      <w:r w:rsidRPr="00191003">
        <w:rPr>
          <w:color w:val="000000"/>
        </w:rPr>
        <w:t>ig. 52.6, pl. 133.2).</w:t>
      </w:r>
    </w:p>
    <w:p w14:paraId="72651CE2" w14:textId="77777777" w:rsidR="00D726B2" w:rsidRPr="00191003" w:rsidRDefault="00D726B2" w:rsidP="00E858EF">
      <w:pPr>
        <w:suppressAutoHyphens/>
        <w:rPr>
          <w:color w:val="000000"/>
        </w:rPr>
      </w:pPr>
      <w:r>
        <w:rPr>
          <w:color w:val="000000"/>
        </w:rPr>
        <w:tab/>
      </w:r>
      <w:r w:rsidRPr="00191003">
        <w:rPr>
          <w:color w:val="000000"/>
        </w:rPr>
        <w:t xml:space="preserve">Even though the sample of larnakes for which information about morphological characteristics </w:t>
      </w:r>
      <w:r>
        <w:rPr>
          <w:color w:val="000000"/>
        </w:rPr>
        <w:t>is</w:t>
      </w:r>
      <w:r w:rsidRPr="00191003">
        <w:rPr>
          <w:color w:val="000000"/>
        </w:rPr>
        <w:t xml:space="preserve"> available is </w:t>
      </w:r>
      <w:r>
        <w:rPr>
          <w:color w:val="000000"/>
        </w:rPr>
        <w:t>relatively</w:t>
      </w:r>
      <w:r w:rsidRPr="00191003">
        <w:rPr>
          <w:color w:val="000000"/>
        </w:rPr>
        <w:t xml:space="preserve"> small, the standard c</w:t>
      </w:r>
      <w:r>
        <w:rPr>
          <w:color w:val="000000"/>
        </w:rPr>
        <w:t>offin type identifiable for the Mid-East</w:t>
      </w:r>
      <w:r w:rsidRPr="00191003">
        <w:rPr>
          <w:color w:val="000000"/>
        </w:rPr>
        <w:t xml:space="preserve"> region is a clay decorated chest</w:t>
      </w:r>
      <w:r>
        <w:rPr>
          <w:color w:val="000000"/>
        </w:rPr>
        <w:t>-</w:t>
      </w:r>
      <w:r w:rsidRPr="00191003">
        <w:rPr>
          <w:color w:val="000000"/>
        </w:rPr>
        <w:t xml:space="preserve">shaped larnax with four feet, incised or raised panels, handles distributed in </w:t>
      </w:r>
      <w:r>
        <w:rPr>
          <w:color w:val="000000"/>
        </w:rPr>
        <w:t>four</w:t>
      </w:r>
      <w:r w:rsidRPr="00191003">
        <w:rPr>
          <w:color w:val="000000"/>
        </w:rPr>
        <w:t xml:space="preserve"> or six around the panels</w:t>
      </w:r>
      <w:r>
        <w:rPr>
          <w:color w:val="000000"/>
        </w:rPr>
        <w:t>,</w:t>
      </w:r>
      <w:r w:rsidRPr="00191003">
        <w:rPr>
          <w:color w:val="000000"/>
        </w:rPr>
        <w:t xml:space="preserve"> and </w:t>
      </w:r>
      <w:r>
        <w:rPr>
          <w:color w:val="000000"/>
        </w:rPr>
        <w:t xml:space="preserve">a </w:t>
      </w:r>
      <w:r w:rsidRPr="00191003">
        <w:rPr>
          <w:color w:val="000000"/>
        </w:rPr>
        <w:t xml:space="preserve">gable lid. The presence of figurines </w:t>
      </w:r>
      <w:r>
        <w:rPr>
          <w:color w:val="000000"/>
        </w:rPr>
        <w:t>is</w:t>
      </w:r>
      <w:r w:rsidRPr="00191003">
        <w:rPr>
          <w:color w:val="000000"/>
        </w:rPr>
        <w:t xml:space="preserve"> registered only </w:t>
      </w:r>
      <w:r>
        <w:rPr>
          <w:color w:val="000000"/>
        </w:rPr>
        <w:t>o</w:t>
      </w:r>
      <w:r w:rsidRPr="00191003">
        <w:rPr>
          <w:color w:val="000000"/>
        </w:rPr>
        <w:t>n one item, a plain larnax from Milatos</w:t>
      </w:r>
      <w:r>
        <w:rPr>
          <w:color w:val="000000"/>
        </w:rPr>
        <w:t xml:space="preserve"> (529</w:t>
      </w:r>
      <w:r w:rsidRPr="00D26DC8">
        <w:rPr>
          <w:color w:val="000000"/>
        </w:rPr>
        <w:t xml:space="preserve"> </w:t>
      </w:r>
      <w:r w:rsidRPr="00191003">
        <w:rPr>
          <w:color w:val="000000"/>
        </w:rPr>
        <w:t>Milatos</w:t>
      </w:r>
      <w:r>
        <w:rPr>
          <w:color w:val="000000"/>
        </w:rPr>
        <w:t xml:space="preserve"> 8961,</w:t>
      </w:r>
      <w:r w:rsidRPr="00191003">
        <w:rPr>
          <w:color w:val="000000"/>
        </w:rPr>
        <w:t xml:space="preserve"> </w:t>
      </w:r>
      <w:r>
        <w:rPr>
          <w:color w:val="000000"/>
        </w:rPr>
        <w:t>on which</w:t>
      </w:r>
      <w:r w:rsidRPr="00191003">
        <w:rPr>
          <w:color w:val="000000"/>
        </w:rPr>
        <w:t xml:space="preserve"> the presence two bucrania (probably figurines) </w:t>
      </w:r>
      <w:r>
        <w:rPr>
          <w:color w:val="000000"/>
        </w:rPr>
        <w:t>are</w:t>
      </w:r>
      <w:r w:rsidRPr="00191003">
        <w:rPr>
          <w:color w:val="000000"/>
        </w:rPr>
        <w:t xml:space="preserve"> reported (</w:t>
      </w:r>
      <w:r w:rsidRPr="00733192">
        <w:rPr>
          <w:i/>
          <w:color w:val="000000"/>
        </w:rPr>
        <w:t>ADelt</w:t>
      </w:r>
      <w:r>
        <w:rPr>
          <w:color w:val="000000"/>
        </w:rPr>
        <w:t xml:space="preserve"> 35 1980: 521-523 pl.324</w:t>
      </w:r>
      <w:r w:rsidRPr="00191003">
        <w:rPr>
          <w:color w:val="000000"/>
        </w:rPr>
        <w:t>).</w:t>
      </w:r>
    </w:p>
    <w:p w14:paraId="2C11FF5E" w14:textId="7603F2C3" w:rsidR="00D726B2" w:rsidRPr="00191003" w:rsidRDefault="00D726B2" w:rsidP="00E858EF">
      <w:pPr>
        <w:suppressAutoHyphens/>
        <w:rPr>
          <w:b/>
        </w:rPr>
      </w:pPr>
      <w:r>
        <w:rPr>
          <w:color w:val="000000"/>
        </w:rPr>
        <w:tab/>
      </w:r>
      <w:r w:rsidRPr="00191003">
        <w:rPr>
          <w:color w:val="000000"/>
        </w:rPr>
        <w:t xml:space="preserve">Furthermore, in the </w:t>
      </w:r>
      <w:r>
        <w:rPr>
          <w:color w:val="000000"/>
        </w:rPr>
        <w:t>Mid-East</w:t>
      </w:r>
      <w:r w:rsidRPr="00191003">
        <w:rPr>
          <w:color w:val="000000"/>
        </w:rPr>
        <w:t xml:space="preserve"> region</w:t>
      </w:r>
      <w:r>
        <w:rPr>
          <w:color w:val="000000"/>
        </w:rPr>
        <w:t>,</w:t>
      </w:r>
      <w:r w:rsidRPr="00191003">
        <w:rPr>
          <w:color w:val="000000"/>
        </w:rPr>
        <w:t xml:space="preserve"> it has been possible to identify a small number of chest</w:t>
      </w:r>
      <w:r>
        <w:rPr>
          <w:color w:val="000000"/>
        </w:rPr>
        <w:t>-</w:t>
      </w:r>
      <w:r w:rsidRPr="00191003">
        <w:rPr>
          <w:color w:val="000000"/>
        </w:rPr>
        <w:t xml:space="preserve">shaped larnakes </w:t>
      </w:r>
      <w:r>
        <w:rPr>
          <w:color w:val="000000"/>
        </w:rPr>
        <w:t>with a type</w:t>
      </w:r>
      <w:r w:rsidRPr="00191003">
        <w:rPr>
          <w:color w:val="000000"/>
        </w:rPr>
        <w:t xml:space="preserve"> of clay </w:t>
      </w:r>
      <w:r>
        <w:rPr>
          <w:color w:val="000000"/>
        </w:rPr>
        <w:t xml:space="preserve">raised </w:t>
      </w:r>
      <w:r w:rsidRPr="00191003">
        <w:rPr>
          <w:color w:val="000000"/>
        </w:rPr>
        <w:t>bands on the base (</w:t>
      </w:r>
      <w:r>
        <w:rPr>
          <w:color w:val="000000"/>
        </w:rPr>
        <w:t>two</w:t>
      </w:r>
      <w:r w:rsidRPr="00191003">
        <w:rPr>
          <w:color w:val="000000"/>
        </w:rPr>
        <w:t xml:space="preserve"> larnakes at Elounda and </w:t>
      </w:r>
      <w:r>
        <w:rPr>
          <w:color w:val="000000"/>
        </w:rPr>
        <w:t xml:space="preserve">one at </w:t>
      </w:r>
      <w:r w:rsidR="00F7367B">
        <w:rPr>
          <w:color w:val="000000"/>
        </w:rPr>
        <w:t>Malia</w:t>
      </w:r>
      <w:r>
        <w:rPr>
          <w:color w:val="000000"/>
        </w:rPr>
        <w:t xml:space="preserve"> Kokkino </w:t>
      </w:r>
      <w:r w:rsidRPr="00191003">
        <w:rPr>
          <w:color w:val="000000"/>
        </w:rPr>
        <w:t>Pirgos). This morphological characteristic</w:t>
      </w:r>
      <w:r>
        <w:rPr>
          <w:color w:val="000000"/>
        </w:rPr>
        <w:t>,</w:t>
      </w:r>
      <w:r w:rsidRPr="00191003">
        <w:rPr>
          <w:color w:val="000000"/>
        </w:rPr>
        <w:t xml:space="preserve"> could be related to </w:t>
      </w:r>
      <w:r>
        <w:rPr>
          <w:color w:val="000000"/>
        </w:rPr>
        <w:t xml:space="preserve">the larnax skeuomorphism with wooden biers/coffin receptacle </w:t>
      </w:r>
      <w:r w:rsidRPr="00191003">
        <w:rPr>
          <w:color w:val="000000"/>
        </w:rPr>
        <w:t xml:space="preserve">(Van Effenterre 1948: 10) </w:t>
      </w:r>
      <w:r>
        <w:rPr>
          <w:color w:val="000000"/>
        </w:rPr>
        <w:t xml:space="preserve">and it has been observed elsewhere (see larnax from Pankalochori </w:t>
      </w:r>
      <w:r w:rsidRPr="00ED26AB">
        <w:rPr>
          <w:color w:val="000000"/>
        </w:rPr>
        <w:t>27 Pankalochori MP 3360</w:t>
      </w:r>
      <w:r>
        <w:rPr>
          <w:color w:val="000000"/>
        </w:rPr>
        <w:t xml:space="preserve">, </w:t>
      </w:r>
      <w:r w:rsidRPr="00ED26AB">
        <w:rPr>
          <w:color w:val="000000"/>
        </w:rPr>
        <w:t>Baxevani</w:t>
      </w:r>
      <w:r>
        <w:rPr>
          <w:color w:val="000000"/>
        </w:rPr>
        <w:t xml:space="preserve"> and </w:t>
      </w:r>
      <w:r w:rsidRPr="00ED26AB">
        <w:rPr>
          <w:color w:val="000000"/>
        </w:rPr>
        <w:t xml:space="preserve">Markoulaki 1996: 663 Fig. 35). </w:t>
      </w:r>
      <w:r>
        <w:rPr>
          <w:color w:val="000000"/>
        </w:rPr>
        <w:t>U</w:t>
      </w:r>
      <w:r w:rsidRPr="00191003">
        <w:rPr>
          <w:color w:val="000000"/>
        </w:rPr>
        <w:t>nfortunately</w:t>
      </w:r>
      <w:r>
        <w:rPr>
          <w:color w:val="000000"/>
        </w:rPr>
        <w:t>,</w:t>
      </w:r>
      <w:r w:rsidRPr="00191003">
        <w:rPr>
          <w:color w:val="000000"/>
        </w:rPr>
        <w:t xml:space="preserve"> it</w:t>
      </w:r>
      <w:r>
        <w:rPr>
          <w:color w:val="000000"/>
        </w:rPr>
        <w:t xml:space="preserve"> is</w:t>
      </w:r>
      <w:r w:rsidRPr="00191003">
        <w:rPr>
          <w:color w:val="000000"/>
        </w:rPr>
        <w:t xml:space="preserve"> not always possible to register this characteristic along with the presence of base holes because often</w:t>
      </w:r>
      <w:r>
        <w:rPr>
          <w:color w:val="000000"/>
        </w:rPr>
        <w:t xml:space="preserve"> </w:t>
      </w:r>
      <w:r w:rsidRPr="00191003">
        <w:rPr>
          <w:color w:val="000000"/>
        </w:rPr>
        <w:t>th</w:t>
      </w:r>
      <w:r>
        <w:rPr>
          <w:color w:val="000000"/>
        </w:rPr>
        <w:t>is</w:t>
      </w:r>
      <w:r w:rsidRPr="00191003">
        <w:rPr>
          <w:color w:val="000000"/>
        </w:rPr>
        <w:t xml:space="preserve"> information </w:t>
      </w:r>
      <w:r>
        <w:rPr>
          <w:color w:val="000000"/>
        </w:rPr>
        <w:t xml:space="preserve">is </w:t>
      </w:r>
      <w:r w:rsidRPr="00191003">
        <w:rPr>
          <w:color w:val="000000"/>
        </w:rPr>
        <w:t xml:space="preserve">not reported </w:t>
      </w:r>
      <w:r>
        <w:rPr>
          <w:color w:val="000000"/>
        </w:rPr>
        <w:t>in the</w:t>
      </w:r>
      <w:r w:rsidRPr="00191003">
        <w:rPr>
          <w:color w:val="000000"/>
        </w:rPr>
        <w:t xml:space="preserve"> publication</w:t>
      </w:r>
      <w:r>
        <w:rPr>
          <w:color w:val="000000"/>
        </w:rPr>
        <w:t>s</w:t>
      </w:r>
      <w:r w:rsidRPr="00191003">
        <w:rPr>
          <w:color w:val="000000"/>
        </w:rPr>
        <w:t xml:space="preserve"> or for the study collection</w:t>
      </w:r>
      <w:r>
        <w:rPr>
          <w:color w:val="000000"/>
        </w:rPr>
        <w:t>, and</w:t>
      </w:r>
      <w:r w:rsidRPr="00191003">
        <w:rPr>
          <w:color w:val="000000"/>
        </w:rPr>
        <w:t xml:space="preserve"> of</w:t>
      </w:r>
      <w:r>
        <w:rPr>
          <w:color w:val="000000"/>
        </w:rPr>
        <w:t xml:space="preserve">ten it has not been possible for me </w:t>
      </w:r>
      <w:r w:rsidRPr="00191003">
        <w:rPr>
          <w:color w:val="000000"/>
        </w:rPr>
        <w:t>to examine the inside of chest</w:t>
      </w:r>
      <w:r>
        <w:rPr>
          <w:color w:val="000000"/>
        </w:rPr>
        <w:t>-</w:t>
      </w:r>
      <w:r w:rsidRPr="00191003">
        <w:rPr>
          <w:color w:val="000000"/>
        </w:rPr>
        <w:t>shaped larnakes with lid</w:t>
      </w:r>
      <w:r>
        <w:rPr>
          <w:color w:val="000000"/>
        </w:rPr>
        <w:t>s</w:t>
      </w:r>
      <w:r w:rsidRPr="00191003">
        <w:rPr>
          <w:color w:val="000000"/>
        </w:rPr>
        <w:t>.</w:t>
      </w:r>
    </w:p>
    <w:p w14:paraId="497E76F7" w14:textId="77777777" w:rsidR="00D726B2" w:rsidRPr="00191003" w:rsidRDefault="00D726B2" w:rsidP="00E858EF">
      <w:pPr>
        <w:suppressAutoHyphens/>
      </w:pPr>
      <w:r>
        <w:tab/>
        <w:t>Securely decorated larnakes of from the Mid-East</w:t>
      </w:r>
      <w:r w:rsidRPr="00191003">
        <w:t xml:space="preserve"> region represent 25% of the total number of larnakes, </w:t>
      </w:r>
      <w:r>
        <w:t>while for the majority of Mid-East</w:t>
      </w:r>
      <w:r w:rsidRPr="00191003">
        <w:t xml:space="preserve"> clay coffins (61%) no information </w:t>
      </w:r>
      <w:r>
        <w:t>is</w:t>
      </w:r>
      <w:r w:rsidRPr="00191003">
        <w:t xml:space="preserve"> available </w:t>
      </w:r>
      <w:r>
        <w:t>regarding</w:t>
      </w:r>
      <w:r w:rsidRPr="00191003">
        <w:t xml:space="preserve"> the presence of decoration. </w:t>
      </w:r>
    </w:p>
    <w:p w14:paraId="13A6B5F4" w14:textId="77777777" w:rsidR="00D726B2" w:rsidRPr="00191003" w:rsidRDefault="00D726B2" w:rsidP="00E858EF">
      <w:pPr>
        <w:suppressAutoHyphens/>
      </w:pPr>
      <w:r>
        <w:tab/>
      </w:r>
      <w:r w:rsidRPr="00191003">
        <w:t xml:space="preserve">The number of </w:t>
      </w:r>
      <w:r>
        <w:t>motif</w:t>
      </w:r>
      <w:r w:rsidRPr="00191003">
        <w:t xml:space="preserve">s registered it is not very high (24). </w:t>
      </w:r>
      <w:r>
        <w:t>However,</w:t>
      </w:r>
      <w:r w:rsidRPr="00191003">
        <w:t xml:space="preserve"> the sample of decorated larnakes for this region is small (19 items). Consequently</w:t>
      </w:r>
      <w:r>
        <w:t>,</w:t>
      </w:r>
      <w:r w:rsidRPr="00191003">
        <w:t xml:space="preserve"> a certain degree of variation in larnax iconography exist</w:t>
      </w:r>
      <w:r>
        <w:t>s</w:t>
      </w:r>
      <w:r w:rsidRPr="00191003">
        <w:t>. Furthermore</w:t>
      </w:r>
      <w:r>
        <w:t>,</w:t>
      </w:r>
      <w:r w:rsidRPr="00191003">
        <w:t xml:space="preserve"> three </w:t>
      </w:r>
      <w:r>
        <w:t>motif</w:t>
      </w:r>
      <w:r w:rsidRPr="00191003">
        <w:t xml:space="preserve">s </w:t>
      </w:r>
      <w:r>
        <w:t>have no</w:t>
      </w:r>
      <w:r w:rsidRPr="00191003">
        <w:t xml:space="preserve"> </w:t>
      </w:r>
      <w:r>
        <w:t>direct</w:t>
      </w:r>
      <w:r w:rsidRPr="00191003">
        <w:t xml:space="preserve"> comparison with the pottery repertoire: one is an unidentified motif</w:t>
      </w:r>
      <w:r>
        <w:t xml:space="preserve"> that</w:t>
      </w:r>
      <w:r w:rsidRPr="00191003">
        <w:t xml:space="preserve"> is part of a figural scene (</w:t>
      </w:r>
      <w:r>
        <w:t xml:space="preserve">a </w:t>
      </w:r>
      <w:r w:rsidRPr="00191003">
        <w:t>short</w:t>
      </w:r>
      <w:r>
        <w:t>-</w:t>
      </w:r>
      <w:r w:rsidRPr="00191003">
        <w:t>side</w:t>
      </w:r>
      <w:r>
        <w:t xml:space="preserve"> of a</w:t>
      </w:r>
      <w:r w:rsidRPr="00191003">
        <w:t xml:space="preserve"> larnax from Milatos</w:t>
      </w:r>
      <w:r>
        <w:t xml:space="preserve"> </w:t>
      </w:r>
      <w:r w:rsidRPr="00191003">
        <w:t>520</w:t>
      </w:r>
      <w:r>
        <w:t xml:space="preserve"> Milatos</w:t>
      </w:r>
      <w:r w:rsidRPr="00191003">
        <w:t xml:space="preserve"> HM1617</w:t>
      </w:r>
      <w:r>
        <w:t>,  with</w:t>
      </w:r>
      <w:r w:rsidRPr="00191003">
        <w:t xml:space="preserve"> shield</w:t>
      </w:r>
      <w:r>
        <w:t>-</w:t>
      </w:r>
      <w:r w:rsidRPr="00191003">
        <w:t>like figure), while the other two are either geometric decorative motif</w:t>
      </w:r>
      <w:r>
        <w:t>s</w:t>
      </w:r>
      <w:r w:rsidRPr="00191003">
        <w:t xml:space="preserve"> (</w:t>
      </w:r>
      <w:r>
        <w:t>‘</w:t>
      </w:r>
      <w:r w:rsidRPr="00191003">
        <w:t>trip</w:t>
      </w:r>
      <w:r>
        <w:t>l</w:t>
      </w:r>
      <w:r w:rsidRPr="00191003">
        <w:t>e ladder motif</w:t>
      </w:r>
      <w:r>
        <w:t>,</w:t>
      </w:r>
      <w:r w:rsidRPr="00191003">
        <w:t xml:space="preserve"> </w:t>
      </w:r>
      <w:r>
        <w:t>545 Tertsa,</w:t>
      </w:r>
      <w:r w:rsidRPr="00191003">
        <w:t xml:space="preserve"> or a dark-on-light decoration, which </w:t>
      </w:r>
      <w:r>
        <w:t>demonstrates</w:t>
      </w:r>
      <w:r w:rsidRPr="00191003">
        <w:t xml:space="preserve"> the panel/frame structure of the chest</w:t>
      </w:r>
      <w:r>
        <w:t>-</w:t>
      </w:r>
      <w:r w:rsidRPr="00191003">
        <w:t>shaped larnax (Malia Azimo and Malia Agia Pelagia larnakes), and</w:t>
      </w:r>
      <w:r>
        <w:t>,</w:t>
      </w:r>
      <w:r w:rsidRPr="00191003">
        <w:t xml:space="preserve"> consequently</w:t>
      </w:r>
      <w:r>
        <w:t>,</w:t>
      </w:r>
      <w:r w:rsidRPr="00191003">
        <w:t xml:space="preserve"> the</w:t>
      </w:r>
      <w:r>
        <w:t>se larnakes</w:t>
      </w:r>
      <w:r w:rsidRPr="00191003">
        <w:t xml:space="preserve"> do not reveal any complexity from </w:t>
      </w:r>
      <w:r>
        <w:t>a similar iconographic</w:t>
      </w:r>
      <w:r w:rsidRPr="00191003">
        <w:t xml:space="preserve"> </w:t>
      </w:r>
      <w:r>
        <w:t>perspective</w:t>
      </w:r>
      <w:r w:rsidRPr="00191003">
        <w:t>.</w:t>
      </w:r>
    </w:p>
    <w:p w14:paraId="7D9F0B68" w14:textId="77777777" w:rsidR="00D726B2" w:rsidRPr="00191003" w:rsidRDefault="00D726B2" w:rsidP="00E858EF">
      <w:pPr>
        <w:suppressAutoHyphens/>
      </w:pPr>
      <w:r>
        <w:tab/>
      </w:r>
      <w:r w:rsidRPr="00191003">
        <w:t>Both larnax type</w:t>
      </w:r>
      <w:r>
        <w:t>s</w:t>
      </w:r>
      <w:r w:rsidRPr="00191003">
        <w:t xml:space="preserve"> are registered within the sample and the preponderance of chest</w:t>
      </w:r>
      <w:r>
        <w:t>-</w:t>
      </w:r>
      <w:r w:rsidRPr="00191003">
        <w:t xml:space="preserve">shaped </w:t>
      </w:r>
      <w:r>
        <w:t>larnakes</w:t>
      </w:r>
      <w:r w:rsidRPr="00191003">
        <w:t xml:space="preserve"> in the general distribution analysis of larnax types is visible in the decorated items</w:t>
      </w:r>
      <w:r>
        <w:t xml:space="preserve"> also</w:t>
      </w:r>
      <w:r w:rsidRPr="00191003">
        <w:t>.</w:t>
      </w:r>
    </w:p>
    <w:p w14:paraId="598596B5" w14:textId="77777777" w:rsidR="00D726B2" w:rsidRPr="00191003" w:rsidRDefault="00D726B2" w:rsidP="00E858EF">
      <w:pPr>
        <w:suppressAutoHyphens/>
      </w:pPr>
    </w:p>
    <w:p w14:paraId="2C6DA3D8" w14:textId="77777777" w:rsidR="0080364A" w:rsidRDefault="00D726B2" w:rsidP="00E858EF">
      <w:pPr>
        <w:pStyle w:val="Didascalia"/>
        <w:suppressAutoHyphens/>
      </w:pPr>
      <w:bookmarkStart w:id="1171" w:name="_Toc520212475"/>
      <w:r w:rsidRPr="00191003">
        <w:rPr>
          <w:noProof/>
          <w:lang w:val="it-IT"/>
        </w:rPr>
        <w:drawing>
          <wp:inline distT="0" distB="0" distL="0" distR="0" wp14:anchorId="116F3B7B" wp14:editId="4044083D">
            <wp:extent cx="4681182" cy="2520000"/>
            <wp:effectExtent l="0" t="0" r="5715" b="13970"/>
            <wp:docPr id="200" name="Gra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bookmarkEnd w:id="1171"/>
      <w:r w:rsidRPr="00191003">
        <w:t xml:space="preserve"> </w:t>
      </w:r>
    </w:p>
    <w:p w14:paraId="3B11D5F6" w14:textId="0B0165D9" w:rsidR="00D726B2" w:rsidRDefault="00D726B2" w:rsidP="00E858EF">
      <w:pPr>
        <w:pStyle w:val="Didascalia"/>
        <w:suppressAutoHyphens/>
      </w:pPr>
      <w:bookmarkStart w:id="1172" w:name="_Toc520212476"/>
      <w:r w:rsidRPr="00E17892">
        <w:t>Fig</w:t>
      </w:r>
      <w:r>
        <w:t>ure 5-80</w:t>
      </w:r>
      <w:r w:rsidR="004E551B">
        <w:t>.</w:t>
      </w:r>
      <w:r>
        <w:t xml:space="preserve"> Typology distribution of decorated larnakes, Mid-East</w:t>
      </w:r>
      <w:bookmarkEnd w:id="1172"/>
      <w:r w:rsidR="00AD1B4B">
        <w:t xml:space="preserve"> area</w:t>
      </w:r>
    </w:p>
    <w:p w14:paraId="364A0D1E" w14:textId="77777777" w:rsidR="00D726B2" w:rsidRPr="00191003" w:rsidRDefault="00D726B2" w:rsidP="00E858EF">
      <w:pPr>
        <w:suppressAutoHyphens/>
      </w:pPr>
      <w:r w:rsidRPr="00191003">
        <w:t xml:space="preserve"> </w:t>
      </w:r>
      <w:r w:rsidRPr="00191003">
        <w:rPr>
          <w:noProof/>
          <w:lang w:val="it-IT"/>
        </w:rPr>
        <w:drawing>
          <wp:inline distT="0" distB="0" distL="0" distR="0" wp14:anchorId="69C29303" wp14:editId="589FDC79">
            <wp:extent cx="4680585" cy="2520000"/>
            <wp:effectExtent l="0" t="0" r="18415" b="20320"/>
            <wp:docPr id="201" name="Gra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14:paraId="51E60E11" w14:textId="4FACF1A0" w:rsidR="00D726B2" w:rsidRPr="00E17892" w:rsidRDefault="00D726B2" w:rsidP="00E858EF">
      <w:pPr>
        <w:pStyle w:val="Didascalia"/>
        <w:suppressAutoHyphens/>
      </w:pPr>
      <w:bookmarkStart w:id="1173" w:name="_Toc520212477"/>
      <w:r w:rsidRPr="00E17892">
        <w:t>Fig</w:t>
      </w:r>
      <w:r>
        <w:t>ure 5-81</w:t>
      </w:r>
      <w:r w:rsidR="004E551B">
        <w:t>.</w:t>
      </w:r>
      <w:r>
        <w:t xml:space="preserve"> Typology distribution, decorated larnakes, Mid-East</w:t>
      </w:r>
      <w:bookmarkEnd w:id="1173"/>
      <w:r w:rsidR="00AD1B4B">
        <w:t xml:space="preserve"> area</w:t>
      </w:r>
    </w:p>
    <w:p w14:paraId="57EBE2EB" w14:textId="77777777" w:rsidR="005C2202" w:rsidRDefault="00D726B2" w:rsidP="00E858EF">
      <w:pPr>
        <w:suppressAutoHyphens/>
      </w:pPr>
      <w:r>
        <w:tab/>
      </w:r>
    </w:p>
    <w:p w14:paraId="01B677AC" w14:textId="46EEF2F8" w:rsidR="00D726B2" w:rsidRPr="00191003" w:rsidRDefault="00D726B2" w:rsidP="00E858EF">
      <w:pPr>
        <w:suppressAutoHyphens/>
        <w:ind w:firstLine="708"/>
      </w:pPr>
      <w:r w:rsidRPr="00191003">
        <w:t>In terms of decoration</w:t>
      </w:r>
      <w:r>
        <w:t>,</w:t>
      </w:r>
      <w:r w:rsidRPr="00191003">
        <w:t xml:space="preserve"> even if the sample is small</w:t>
      </w:r>
      <w:r>
        <w:t>,</w:t>
      </w:r>
      <w:r w:rsidRPr="00191003">
        <w:t xml:space="preserve"> a difference in </w:t>
      </w:r>
      <w:r>
        <w:t>the</w:t>
      </w:r>
      <w:r w:rsidRPr="00191003">
        <w:t xml:space="preserve"> </w:t>
      </w:r>
      <w:r>
        <w:t>motif</w:t>
      </w:r>
      <w:r w:rsidRPr="00191003">
        <w:t xml:space="preserve">s painted </w:t>
      </w:r>
      <w:r>
        <w:t>o</w:t>
      </w:r>
      <w:r w:rsidRPr="00191003">
        <w:t xml:space="preserve">n the two types </w:t>
      </w:r>
      <w:r>
        <w:t>is apparent</w:t>
      </w:r>
      <w:r w:rsidRPr="00191003">
        <w:t xml:space="preserve">: marine </w:t>
      </w:r>
      <w:r>
        <w:t>motif</w:t>
      </w:r>
      <w:r w:rsidRPr="00191003">
        <w:t xml:space="preserve">s (i.e. fish, octopi, wavy lines) are more common </w:t>
      </w:r>
      <w:r>
        <w:t>o</w:t>
      </w:r>
      <w:r w:rsidRPr="00191003">
        <w:t>n bathtub larnax decoration.</w:t>
      </w:r>
      <w:r>
        <w:t xml:space="preserve"> </w:t>
      </w:r>
      <w:r w:rsidRPr="00191003">
        <w:t>Moreover</w:t>
      </w:r>
      <w:r>
        <w:t>,</w:t>
      </w:r>
      <w:r w:rsidRPr="00191003">
        <w:t xml:space="preserve"> it seems that bathtub larna</w:t>
      </w:r>
      <w:r>
        <w:t>x</w:t>
      </w:r>
      <w:r w:rsidRPr="00191003">
        <w:t xml:space="preserve"> decoration </w:t>
      </w:r>
      <w:r>
        <w:t>addresses</w:t>
      </w:r>
      <w:r w:rsidRPr="00191003">
        <w:t xml:space="preserve"> the lack of panel division. </w:t>
      </w:r>
      <w:r>
        <w:t>Motif</w:t>
      </w:r>
      <w:r w:rsidRPr="00191003">
        <w:t xml:space="preserve">s repeated within the same larnax in </w:t>
      </w:r>
      <w:r>
        <w:t xml:space="preserve">a </w:t>
      </w:r>
      <w:r w:rsidRPr="00191003">
        <w:t>s</w:t>
      </w:r>
      <w:r>
        <w:t>ymmetrical</w:t>
      </w:r>
      <w:r w:rsidRPr="00191003">
        <w:t xml:space="preserve"> position (</w:t>
      </w:r>
      <w:r>
        <w:t>e.g. the</w:t>
      </w:r>
      <w:r w:rsidRPr="00191003">
        <w:t xml:space="preserve"> body of the octopus </w:t>
      </w:r>
      <w:r>
        <w:t>o</w:t>
      </w:r>
      <w:r w:rsidRPr="00191003">
        <w:t>n Kritsa larnakes at the centre of long sides) and</w:t>
      </w:r>
      <w:r>
        <w:t>,</w:t>
      </w:r>
      <w:r w:rsidRPr="00191003">
        <w:t xml:space="preserve"> in some case</w:t>
      </w:r>
      <w:r>
        <w:t>s,</w:t>
      </w:r>
      <w:r w:rsidRPr="00191003">
        <w:t xml:space="preserve"> repeated geometric </w:t>
      </w:r>
      <w:r>
        <w:t>motif</w:t>
      </w:r>
      <w:r w:rsidRPr="00191003">
        <w:t xml:space="preserve">s that can be considered panelled </w:t>
      </w:r>
      <w:r>
        <w:t>motif</w:t>
      </w:r>
      <w:r w:rsidRPr="00191003">
        <w:t>s (</w:t>
      </w:r>
      <w:r>
        <w:t>e.g. a</w:t>
      </w:r>
      <w:r w:rsidRPr="00191003">
        <w:t xml:space="preserve"> series of repeated wavy lines </w:t>
      </w:r>
      <w:r>
        <w:t>o</w:t>
      </w:r>
      <w:r w:rsidRPr="00191003">
        <w:t>n Milatos bathtub larnakes at the centre of long</w:t>
      </w:r>
      <w:r>
        <w:t>-</w:t>
      </w:r>
      <w:r w:rsidRPr="00191003">
        <w:t xml:space="preserve"> and short</w:t>
      </w:r>
      <w:r>
        <w:t>-</w:t>
      </w:r>
      <w:r w:rsidRPr="00191003">
        <w:t>sides under the handles) divide the decoration space in</w:t>
      </w:r>
      <w:r>
        <w:t>to</w:t>
      </w:r>
      <w:r w:rsidRPr="00191003">
        <w:t xml:space="preserve"> </w:t>
      </w:r>
      <w:r>
        <w:t>two</w:t>
      </w:r>
      <w:r w:rsidRPr="00191003">
        <w:t xml:space="preserve"> or </w:t>
      </w:r>
      <w:r>
        <w:t>four</w:t>
      </w:r>
      <w:r w:rsidRPr="00191003">
        <w:t xml:space="preserve"> different </w:t>
      </w:r>
      <w:r>
        <w:t>sections</w:t>
      </w:r>
      <w:r w:rsidRPr="00191003">
        <w:t xml:space="preserve">, as </w:t>
      </w:r>
      <w:r>
        <w:t>with</w:t>
      </w:r>
      <w:r w:rsidRPr="00191003">
        <w:t xml:space="preserve"> chest</w:t>
      </w:r>
      <w:r>
        <w:t>-shaped</w:t>
      </w:r>
      <w:r w:rsidRPr="00191003">
        <w:t xml:space="preserve"> larnakes with panel</w:t>
      </w:r>
      <w:r>
        <w:t>s</w:t>
      </w:r>
      <w:r w:rsidRPr="00191003">
        <w:t>.</w:t>
      </w:r>
    </w:p>
    <w:p w14:paraId="5019BEA0" w14:textId="77777777" w:rsidR="00D726B2" w:rsidRPr="00191003" w:rsidRDefault="00D726B2" w:rsidP="00E858EF">
      <w:pPr>
        <w:suppressAutoHyphens/>
      </w:pPr>
      <w:r>
        <w:tab/>
      </w:r>
      <w:r w:rsidRPr="00191003">
        <w:t xml:space="preserve">A further difference </w:t>
      </w:r>
      <w:r>
        <w:t>concerns</w:t>
      </w:r>
      <w:r w:rsidRPr="00191003">
        <w:t xml:space="preserve"> the </w:t>
      </w:r>
      <w:r>
        <w:t>motif</w:t>
      </w:r>
      <w:r w:rsidRPr="00191003">
        <w:t xml:space="preserve">s used for panels and </w:t>
      </w:r>
      <w:r>
        <w:t>the motif</w:t>
      </w:r>
      <w:r w:rsidRPr="00191003">
        <w:t xml:space="preserve">s used for frame decoration. </w:t>
      </w:r>
      <w:r>
        <w:t>Motif</w:t>
      </w:r>
      <w:r w:rsidRPr="00191003">
        <w:t xml:space="preserve">s used </w:t>
      </w:r>
      <w:r>
        <w:t>to</w:t>
      </w:r>
      <w:r w:rsidRPr="00191003">
        <w:t xml:space="preserve"> decorate frames </w:t>
      </w:r>
      <w:r>
        <w:t xml:space="preserve">are </w:t>
      </w:r>
      <w:r w:rsidRPr="00191003">
        <w:t xml:space="preserve">usually repeated for all the </w:t>
      </w:r>
      <w:r>
        <w:t>frames</w:t>
      </w:r>
      <w:r w:rsidRPr="00191003">
        <w:t xml:space="preserve"> (or they are in pair</w:t>
      </w:r>
      <w:r>
        <w:t>s</w:t>
      </w:r>
      <w:r w:rsidRPr="00191003">
        <w:t xml:space="preserve">), while the </w:t>
      </w:r>
      <w:r>
        <w:t xml:space="preserve">motifs for </w:t>
      </w:r>
      <w:r w:rsidRPr="00191003">
        <w:t>panels</w:t>
      </w:r>
      <w:r>
        <w:t xml:space="preserve"> display a</w:t>
      </w:r>
      <w:r w:rsidRPr="00191003">
        <w:t xml:space="preserve"> higher degree of variability both in terms of occurrence and organi</w:t>
      </w:r>
      <w:r>
        <w:t>s</w:t>
      </w:r>
      <w:r w:rsidRPr="00191003">
        <w:t>ation. This feature underline</w:t>
      </w:r>
      <w:r>
        <w:t>s</w:t>
      </w:r>
      <w:r w:rsidRPr="00191003">
        <w:t xml:space="preserve"> once more the panel</w:t>
      </w:r>
      <w:r>
        <w:t>-</w:t>
      </w:r>
      <w:r w:rsidRPr="00191003">
        <w:t xml:space="preserve">like structure of chest larnakes and probably also the </w:t>
      </w:r>
      <w:r>
        <w:t>relationship</w:t>
      </w:r>
      <w:r w:rsidRPr="00191003">
        <w:t xml:space="preserve"> </w:t>
      </w:r>
      <w:r>
        <w:t>between</w:t>
      </w:r>
      <w:r w:rsidRPr="00191003">
        <w:t xml:space="preserve"> the structure and decoration of wooden prototypes </w:t>
      </w:r>
    </w:p>
    <w:p w14:paraId="06B2E25D" w14:textId="77777777" w:rsidR="00D726B2" w:rsidRPr="00191003" w:rsidRDefault="00D726B2" w:rsidP="00E858EF">
      <w:pPr>
        <w:suppressAutoHyphens/>
      </w:pPr>
      <w:r>
        <w:tab/>
      </w:r>
      <w:r w:rsidRPr="00191003">
        <w:t xml:space="preserve">The presence of possible workshops in the area of Malia and in the area of Kritsa would support the observation of a higher concentration of decorated items in these two cemeteries, </w:t>
      </w:r>
      <w:r>
        <w:t>in which</w:t>
      </w:r>
      <w:r w:rsidRPr="00191003">
        <w:t xml:space="preserve"> the importance given to clay decorated larnakes would have more relevan</w:t>
      </w:r>
      <w:r>
        <w:t>ce</w:t>
      </w:r>
      <w:r w:rsidRPr="00191003">
        <w:t xml:space="preserve"> than in other cemeteries in the area</w:t>
      </w:r>
      <w:r>
        <w:t>, such as</w:t>
      </w:r>
      <w:r w:rsidRPr="00191003">
        <w:t xml:space="preserve"> the cemetery </w:t>
      </w:r>
      <w:r>
        <w:t>at</w:t>
      </w:r>
      <w:r w:rsidRPr="00191003">
        <w:t xml:space="preserve"> Elounda.</w:t>
      </w:r>
    </w:p>
    <w:p w14:paraId="57B6D6DC" w14:textId="4EE84C23" w:rsidR="00D726B2" w:rsidRPr="00E7753F" w:rsidRDefault="00D726B2" w:rsidP="00E858EF">
      <w:pPr>
        <w:pStyle w:val="Titolo2"/>
        <w:keepNext w:val="0"/>
        <w:keepLines w:val="0"/>
        <w:suppressAutoHyphens/>
      </w:pPr>
      <w:bookmarkStart w:id="1174" w:name="_Toc519894703"/>
      <w:r>
        <w:t>Far-East</w:t>
      </w:r>
      <w:bookmarkEnd w:id="1174"/>
      <w:r w:rsidR="00AD1B4B">
        <w:t xml:space="preserve"> area</w:t>
      </w:r>
    </w:p>
    <w:p w14:paraId="1C5D8892" w14:textId="40BDAE69" w:rsidR="00D726B2" w:rsidRPr="00191003" w:rsidRDefault="00D726B2" w:rsidP="00E858EF">
      <w:pPr>
        <w:pStyle w:val="Titolo3"/>
        <w:keepNext w:val="0"/>
        <w:keepLines w:val="0"/>
        <w:suppressAutoHyphens/>
      </w:pPr>
      <w:bookmarkStart w:id="1175" w:name="_Toc517807632"/>
      <w:bookmarkStart w:id="1176" w:name="_Toc519894704"/>
      <w:r>
        <w:t>Far-East</w:t>
      </w:r>
      <w:r w:rsidRPr="00191003">
        <w:t xml:space="preserve"> </w:t>
      </w:r>
      <w:r w:rsidR="00AD1B4B">
        <w:t xml:space="preserve">area </w:t>
      </w:r>
      <w:r w:rsidRPr="00191003">
        <w:t>larnakes morphological analysis</w:t>
      </w:r>
      <w:bookmarkEnd w:id="1175"/>
      <w:bookmarkEnd w:id="1176"/>
    </w:p>
    <w:p w14:paraId="4B4D09ED"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191003">
        <w:rPr>
          <w:color w:val="000000"/>
        </w:rPr>
        <w:t xml:space="preserve">The sample of secure larnakes available from publication records in </w:t>
      </w:r>
      <w:r>
        <w:rPr>
          <w:color w:val="000000"/>
        </w:rPr>
        <w:t>the Far-East area</w:t>
      </w:r>
      <w:r w:rsidRPr="00191003">
        <w:rPr>
          <w:color w:val="000000"/>
        </w:rPr>
        <w:t xml:space="preserve"> consists of 132 </w:t>
      </w:r>
      <w:r w:rsidRPr="00E7753F">
        <w:rPr>
          <w:color w:val="000000"/>
        </w:rPr>
        <w:t>items.</w:t>
      </w:r>
      <w:r w:rsidRPr="00191003">
        <w:rPr>
          <w:color w:val="000000"/>
        </w:rPr>
        <w:t xml:space="preserve">  From this sample </w:t>
      </w:r>
      <w:r>
        <w:rPr>
          <w:color w:val="000000"/>
        </w:rPr>
        <w:t>are</w:t>
      </w:r>
      <w:r w:rsidRPr="00191003">
        <w:rPr>
          <w:color w:val="000000"/>
        </w:rPr>
        <w:t xml:space="preserve"> excluded: </w:t>
      </w:r>
    </w:p>
    <w:p w14:paraId="6582AE79"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191003">
        <w:rPr>
          <w:color w:val="000000"/>
        </w:rPr>
        <w:t>-</w:t>
      </w:r>
      <w:r>
        <w:rPr>
          <w:color w:val="000000"/>
        </w:rPr>
        <w:t xml:space="preserve"> </w:t>
      </w:r>
      <w:r w:rsidRPr="00191003">
        <w:rPr>
          <w:color w:val="000000"/>
        </w:rPr>
        <w:t xml:space="preserve">larnakes for which </w:t>
      </w:r>
      <w:r>
        <w:rPr>
          <w:color w:val="000000"/>
        </w:rPr>
        <w:t xml:space="preserve">it </w:t>
      </w:r>
      <w:r w:rsidRPr="00191003">
        <w:rPr>
          <w:color w:val="000000"/>
        </w:rPr>
        <w:t>has</w:t>
      </w:r>
      <w:r>
        <w:rPr>
          <w:color w:val="000000"/>
        </w:rPr>
        <w:t xml:space="preserve"> not been possible to document</w:t>
      </w:r>
      <w:r w:rsidRPr="00191003">
        <w:rPr>
          <w:color w:val="000000"/>
        </w:rPr>
        <w:t xml:space="preserve"> a secure burial context</w:t>
      </w:r>
    </w:p>
    <w:p w14:paraId="616C4EF1"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ab/>
      </w:r>
      <w:r w:rsidRPr="00191003">
        <w:rPr>
          <w:color w:val="000000"/>
        </w:rPr>
        <w:t>-</w:t>
      </w:r>
      <w:r>
        <w:rPr>
          <w:color w:val="000000"/>
        </w:rPr>
        <w:t xml:space="preserve"> </w:t>
      </w:r>
      <w:r w:rsidRPr="00191003">
        <w:rPr>
          <w:color w:val="000000"/>
        </w:rPr>
        <w:t xml:space="preserve">larnakes found in </w:t>
      </w:r>
      <w:r>
        <w:rPr>
          <w:color w:val="000000"/>
        </w:rPr>
        <w:t xml:space="preserve">a </w:t>
      </w:r>
      <w:r w:rsidRPr="00191003">
        <w:rPr>
          <w:color w:val="000000"/>
        </w:rPr>
        <w:t>settlement context</w:t>
      </w:r>
    </w:p>
    <w:p w14:paraId="131D5E7A"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Of the</w:t>
      </w:r>
      <w:r w:rsidRPr="00191003">
        <w:rPr>
          <w:color w:val="000000"/>
        </w:rPr>
        <w:t xml:space="preserve"> </w:t>
      </w:r>
      <w:r>
        <w:rPr>
          <w:color w:val="000000"/>
        </w:rPr>
        <w:t>larnakes within the sample considered possible,</w:t>
      </w:r>
      <w:r w:rsidRPr="00191003">
        <w:rPr>
          <w:color w:val="000000"/>
        </w:rPr>
        <w:t xml:space="preserve"> it is possible to</w:t>
      </w:r>
      <w:r>
        <w:rPr>
          <w:color w:val="000000"/>
        </w:rPr>
        <w:t xml:space="preserve"> distinguish:</w:t>
      </w:r>
    </w:p>
    <w:p w14:paraId="68BE2983" w14:textId="77777777" w:rsidR="00D726B2" w:rsidRPr="00191003" w:rsidRDefault="00D726B2" w:rsidP="00370745">
      <w:pPr>
        <w:pStyle w:val="Paragrafoelenco"/>
        <w:numPr>
          <w:ilvl w:val="0"/>
          <w:numId w:val="10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 xml:space="preserve">A group of larnakes found near Gournia </w:t>
      </w:r>
      <w:r>
        <w:rPr>
          <w:color w:val="000000"/>
        </w:rPr>
        <w:t>(</w:t>
      </w:r>
      <w:r w:rsidRPr="00191003">
        <w:rPr>
          <w:color w:val="000000"/>
        </w:rPr>
        <w:t>Silverman 1978: 190-193)</w:t>
      </w:r>
    </w:p>
    <w:p w14:paraId="624B7375" w14:textId="77777777" w:rsidR="00D726B2" w:rsidRPr="00191003" w:rsidRDefault="00D726B2" w:rsidP="00370745">
      <w:pPr>
        <w:pStyle w:val="Paragrafoelenco"/>
        <w:numPr>
          <w:ilvl w:val="0"/>
          <w:numId w:val="10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Pr>
          <w:color w:val="000000"/>
        </w:rPr>
        <w:t>Three</w:t>
      </w:r>
      <w:r w:rsidRPr="00191003">
        <w:rPr>
          <w:color w:val="000000"/>
        </w:rPr>
        <w:t xml:space="preserve"> larnakes and the lid of a larnax found in </w:t>
      </w:r>
      <w:r>
        <w:rPr>
          <w:color w:val="000000"/>
        </w:rPr>
        <w:t xml:space="preserve">a </w:t>
      </w:r>
      <w:r w:rsidRPr="00191003">
        <w:rPr>
          <w:color w:val="000000"/>
        </w:rPr>
        <w:t>settlement location at Palaikastro (Bosanquet and Dawkins1923</w:t>
      </w:r>
      <w:r>
        <w:rPr>
          <w:color w:val="000000"/>
        </w:rPr>
        <w:t xml:space="preserve">: </w:t>
      </w:r>
      <w:r w:rsidRPr="00191003">
        <w:rPr>
          <w:color w:val="000000"/>
        </w:rPr>
        <w:t>154</w:t>
      </w:r>
      <w:r>
        <w:rPr>
          <w:color w:val="000000"/>
        </w:rPr>
        <w:t>; for</w:t>
      </w:r>
      <w:r w:rsidRPr="00191003">
        <w:rPr>
          <w:color w:val="000000"/>
        </w:rPr>
        <w:t xml:space="preserve"> the lid found last year </w:t>
      </w:r>
      <w:r>
        <w:rPr>
          <w:color w:val="000000"/>
        </w:rPr>
        <w:t xml:space="preserve">there is </w:t>
      </w:r>
      <w:r w:rsidRPr="00191003">
        <w:rPr>
          <w:color w:val="000000"/>
        </w:rPr>
        <w:t>no reference)</w:t>
      </w:r>
    </w:p>
    <w:p w14:paraId="03994CCA" w14:textId="77777777" w:rsidR="00D726B2" w:rsidRPr="00191003" w:rsidRDefault="00D726B2" w:rsidP="00370745">
      <w:pPr>
        <w:pStyle w:val="Paragrafoelenco"/>
        <w:numPr>
          <w:ilvl w:val="0"/>
          <w:numId w:val="10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160"/>
        <w:rPr>
          <w:color w:val="000000"/>
        </w:rPr>
      </w:pPr>
      <w:r w:rsidRPr="00191003">
        <w:rPr>
          <w:color w:val="000000"/>
        </w:rPr>
        <w:t xml:space="preserve">A group of larnakes from Petras Papoures (Tsipopoulou </w:t>
      </w:r>
      <w:r>
        <w:rPr>
          <w:color w:val="000000"/>
        </w:rPr>
        <w:t xml:space="preserve">and </w:t>
      </w:r>
      <w:r w:rsidRPr="00191003">
        <w:rPr>
          <w:color w:val="000000"/>
        </w:rPr>
        <w:t>Vagnetti 1995)</w:t>
      </w:r>
    </w:p>
    <w:p w14:paraId="2B238979" w14:textId="77777777" w:rsidR="00D726B2" w:rsidRPr="00191003" w:rsidRDefault="00D726B2" w:rsidP="00370745">
      <w:pPr>
        <w:pStyle w:val="Paragrafoelenco"/>
        <w:numPr>
          <w:ilvl w:val="0"/>
          <w:numId w:val="10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160"/>
        <w:rPr>
          <w:color w:val="000000"/>
        </w:rPr>
      </w:pPr>
      <w:r w:rsidRPr="00191003">
        <w:rPr>
          <w:color w:val="000000"/>
        </w:rPr>
        <w:t>A group of larnakes and fragments from Praisos (Kanta 1980: 182)</w:t>
      </w:r>
    </w:p>
    <w:p w14:paraId="0D5DA141" w14:textId="77777777" w:rsidR="00D726B2" w:rsidRPr="00191003" w:rsidRDefault="00D726B2" w:rsidP="00370745">
      <w:pPr>
        <w:pStyle w:val="Paragrafoelenco"/>
        <w:numPr>
          <w:ilvl w:val="0"/>
          <w:numId w:val="10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160"/>
        <w:rPr>
          <w:color w:val="000000"/>
        </w:rPr>
      </w:pPr>
      <w:r w:rsidRPr="00191003">
        <w:rPr>
          <w:color w:val="000000"/>
        </w:rPr>
        <w:t>Larnakes and larnax fragments found in the village of Sitia (Kanta 1980</w:t>
      </w:r>
      <w:r>
        <w:rPr>
          <w:color w:val="000000"/>
        </w:rPr>
        <w:t xml:space="preserve">: </w:t>
      </w:r>
      <w:r w:rsidRPr="00191003">
        <w:rPr>
          <w:color w:val="000000"/>
        </w:rPr>
        <w:t>177)</w:t>
      </w:r>
    </w:p>
    <w:p w14:paraId="5BFFFA3A" w14:textId="77777777" w:rsidR="00D726B2" w:rsidRPr="00191003" w:rsidRDefault="00D726B2" w:rsidP="00370745">
      <w:pPr>
        <w:pStyle w:val="Paragrafoelenco"/>
        <w:numPr>
          <w:ilvl w:val="0"/>
          <w:numId w:val="10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 xml:space="preserve">A larnax from Tourloti without any information about the burial context </w:t>
      </w:r>
      <w:r>
        <w:rPr>
          <w:color w:val="000000"/>
        </w:rPr>
        <w:t>(</w:t>
      </w:r>
      <w:r w:rsidRPr="00191003">
        <w:rPr>
          <w:color w:val="000000"/>
        </w:rPr>
        <w:t xml:space="preserve">Tsipopoulou </w:t>
      </w:r>
      <w:r>
        <w:rPr>
          <w:color w:val="000000"/>
        </w:rPr>
        <w:t xml:space="preserve">and </w:t>
      </w:r>
      <w:r w:rsidRPr="00191003">
        <w:rPr>
          <w:color w:val="000000"/>
        </w:rPr>
        <w:t>Vagnetti 1999)</w:t>
      </w:r>
    </w:p>
    <w:p w14:paraId="062F6515" w14:textId="77777777" w:rsidR="00D726B2" w:rsidRPr="00191003" w:rsidRDefault="00D726B2" w:rsidP="00370745">
      <w:pPr>
        <w:pStyle w:val="Paragrafoelenco"/>
        <w:numPr>
          <w:ilvl w:val="0"/>
          <w:numId w:val="10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Three larnakes found in the area of Tourtouli (</w:t>
      </w:r>
      <w:r w:rsidRPr="00733192">
        <w:rPr>
          <w:i/>
          <w:color w:val="000000"/>
        </w:rPr>
        <w:t>KChr</w:t>
      </w:r>
      <w:r w:rsidRPr="00191003">
        <w:rPr>
          <w:color w:val="000000"/>
        </w:rPr>
        <w:t xml:space="preserve"> 19 1965: 283)</w:t>
      </w:r>
    </w:p>
    <w:p w14:paraId="63457A38" w14:textId="5A615E94" w:rsidR="00D726B2"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The remaining larnakes</w:t>
      </w:r>
      <w:r w:rsidRPr="00191003">
        <w:rPr>
          <w:color w:val="000000"/>
        </w:rPr>
        <w:t xml:space="preserve"> are isolated find</w:t>
      </w:r>
      <w:r>
        <w:rPr>
          <w:color w:val="000000"/>
        </w:rPr>
        <w:t>s</w:t>
      </w:r>
      <w:r w:rsidRPr="00191003">
        <w:rPr>
          <w:color w:val="000000"/>
        </w:rPr>
        <w:t xml:space="preserve"> or fragments f</w:t>
      </w:r>
      <w:r>
        <w:rPr>
          <w:color w:val="000000"/>
        </w:rPr>
        <w:t>ro</w:t>
      </w:r>
      <w:r w:rsidRPr="00191003">
        <w:rPr>
          <w:color w:val="000000"/>
        </w:rPr>
        <w:t>m different burial location</w:t>
      </w:r>
      <w:r>
        <w:rPr>
          <w:color w:val="000000"/>
        </w:rPr>
        <w:t>s</w:t>
      </w:r>
      <w:r w:rsidRPr="00191003">
        <w:rPr>
          <w:color w:val="000000"/>
        </w:rPr>
        <w:t xml:space="preserve"> (</w:t>
      </w:r>
      <w:r>
        <w:rPr>
          <w:color w:val="000000"/>
        </w:rPr>
        <w:t>e.g.</w:t>
      </w:r>
      <w:r w:rsidRPr="00191003">
        <w:rPr>
          <w:color w:val="000000"/>
        </w:rPr>
        <w:t xml:space="preserve"> Kavousi Avgos</w:t>
      </w:r>
      <w:r>
        <w:rPr>
          <w:color w:val="000000"/>
        </w:rPr>
        <w:t xml:space="preserve">: </w:t>
      </w:r>
      <w:r w:rsidRPr="00191003">
        <w:rPr>
          <w:color w:val="000000"/>
        </w:rPr>
        <w:t>Kanta 1980: 146; Agia Photia</w:t>
      </w:r>
      <w:r>
        <w:rPr>
          <w:color w:val="000000"/>
        </w:rPr>
        <w:t>:</w:t>
      </w:r>
      <w:r w:rsidRPr="00191003">
        <w:rPr>
          <w:color w:val="000000"/>
        </w:rPr>
        <w:t xml:space="preserve"> Papadakis 1981:78-79 fn. 11)</w:t>
      </w:r>
      <w:r>
        <w:rPr>
          <w:color w:val="000000"/>
        </w:rPr>
        <w:t>.</w:t>
      </w:r>
    </w:p>
    <w:p w14:paraId="64764701" w14:textId="58EC6C5D" w:rsidR="0080364A" w:rsidRDefault="0080364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01061956" w14:textId="77777777" w:rsidR="0080364A" w:rsidRPr="00191003" w:rsidRDefault="0080364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7B6E9AE5" w14:textId="77777777" w:rsidR="00D726B2" w:rsidRPr="00191003" w:rsidRDefault="00D726B2" w:rsidP="00E858EF">
      <w:pPr>
        <w:pStyle w:val="Titolo3"/>
        <w:keepNext w:val="0"/>
        <w:keepLines w:val="0"/>
        <w:suppressAutoHyphens/>
      </w:pPr>
      <w:bookmarkStart w:id="1177" w:name="_Toc517807633"/>
      <w:bookmarkStart w:id="1178" w:name="_Toc519894705"/>
      <w:r w:rsidRPr="00191003">
        <w:t>Does a</w:t>
      </w:r>
      <w:r>
        <w:t xml:space="preserve"> standard larnax exist for the Far-East</w:t>
      </w:r>
      <w:r w:rsidRPr="00191003">
        <w:t xml:space="preserve"> area? Wh</w:t>
      </w:r>
      <w:r>
        <w:t>at</w:t>
      </w:r>
      <w:r w:rsidRPr="00191003">
        <w:t xml:space="preserve"> are its characteristics?</w:t>
      </w:r>
      <w:bookmarkEnd w:id="1177"/>
      <w:bookmarkEnd w:id="1178"/>
    </w:p>
    <w:p w14:paraId="5D393A40" w14:textId="77777777" w:rsidR="00D726B2" w:rsidRPr="0019100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color w:val="000000"/>
        </w:rPr>
      </w:pPr>
      <w:r>
        <w:rPr>
          <w:color w:val="000000"/>
        </w:rPr>
        <w:t>In the Far-East</w:t>
      </w:r>
      <w:r w:rsidRPr="00191003">
        <w:rPr>
          <w:color w:val="000000"/>
        </w:rPr>
        <w:t xml:space="preserve"> region</w:t>
      </w:r>
      <w:r>
        <w:rPr>
          <w:color w:val="000000"/>
        </w:rPr>
        <w:t>,</w:t>
      </w:r>
      <w:r w:rsidRPr="00191003">
        <w:rPr>
          <w:color w:val="000000"/>
        </w:rPr>
        <w:t xml:space="preserve"> it is possible to recognise a standard larnax type </w:t>
      </w:r>
      <w:r>
        <w:rPr>
          <w:color w:val="000000"/>
        </w:rPr>
        <w:t>with</w:t>
      </w:r>
      <w:r w:rsidRPr="00191003">
        <w:rPr>
          <w:color w:val="000000"/>
        </w:rPr>
        <w:t xml:space="preserve"> the following morphological characteristics:</w:t>
      </w:r>
    </w:p>
    <w:p w14:paraId="777C9B36"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Larnax type: information available for the entire sample</w:t>
      </w:r>
      <w:r>
        <w:rPr>
          <w:color w:val="000000"/>
        </w:rPr>
        <w:t>.</w:t>
      </w:r>
    </w:p>
    <w:p w14:paraId="025B7163" w14:textId="6B45F13E" w:rsidR="00D726B2" w:rsidRPr="00191003" w:rsidRDefault="00D726B2" w:rsidP="00E858EF">
      <w:pPr>
        <w:pStyle w:val="Testofumetto"/>
        <w:suppressAutoHyphens/>
      </w:pPr>
      <w:bookmarkStart w:id="1179" w:name="_Toc520212661"/>
      <w:r>
        <w:t>Table 5-36</w:t>
      </w:r>
      <w:r w:rsidR="00BA7AB7">
        <w:t>.</w:t>
      </w:r>
      <w:r>
        <w:t xml:space="preserve"> Larnax types, Far-East</w:t>
      </w:r>
      <w:bookmarkEnd w:id="1179"/>
      <w:r w:rsidR="00AD1B4B">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1275"/>
        <w:gridCol w:w="1172"/>
      </w:tblGrid>
      <w:tr w:rsidR="00D726B2" w:rsidRPr="0080364A" w14:paraId="71325278"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0919A5BB" w14:textId="77777777" w:rsidR="00D726B2" w:rsidRPr="0080364A" w:rsidRDefault="00D726B2" w:rsidP="00E858EF">
            <w:pPr>
              <w:suppressAutoHyphens/>
              <w:jc w:val="center"/>
              <w:rPr>
                <w:sz w:val="20"/>
              </w:rPr>
            </w:pPr>
            <w:r w:rsidRPr="0080364A">
              <w:rPr>
                <w:sz w:val="20"/>
              </w:rPr>
              <w:t>Chest</w:t>
            </w:r>
          </w:p>
        </w:tc>
        <w:tc>
          <w:tcPr>
            <w:tcW w:w="1275" w:type="dxa"/>
            <w:tcBorders>
              <w:top w:val="single" w:sz="6" w:space="0" w:color="000000"/>
              <w:left w:val="single" w:sz="6" w:space="0" w:color="000000"/>
              <w:bottom w:val="single" w:sz="6" w:space="0" w:color="000000"/>
              <w:right w:val="single" w:sz="6" w:space="0" w:color="000000"/>
            </w:tcBorders>
          </w:tcPr>
          <w:p w14:paraId="37F7A458" w14:textId="77777777" w:rsidR="00D726B2" w:rsidRPr="0080364A" w:rsidRDefault="00D726B2" w:rsidP="00E858EF">
            <w:pPr>
              <w:suppressAutoHyphens/>
              <w:jc w:val="center"/>
              <w:rPr>
                <w:sz w:val="20"/>
              </w:rPr>
            </w:pPr>
            <w:r w:rsidRPr="0080364A">
              <w:rPr>
                <w:sz w:val="20"/>
              </w:rPr>
              <w:t>Bath</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32689149" w14:textId="77777777" w:rsidR="00D726B2" w:rsidRPr="0080364A" w:rsidRDefault="00D726B2" w:rsidP="00E858EF">
            <w:pPr>
              <w:suppressAutoHyphens/>
              <w:jc w:val="center"/>
              <w:rPr>
                <w:sz w:val="20"/>
              </w:rPr>
            </w:pPr>
            <w:r w:rsidRPr="0080364A">
              <w:rPr>
                <w:sz w:val="20"/>
              </w:rPr>
              <w:t>Lid</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709A7974" w14:textId="77777777" w:rsidR="00D726B2" w:rsidRPr="0080364A" w:rsidRDefault="00D726B2" w:rsidP="00E858EF">
            <w:pPr>
              <w:suppressAutoHyphens/>
              <w:jc w:val="center"/>
              <w:rPr>
                <w:sz w:val="20"/>
              </w:rPr>
            </w:pPr>
            <w:r w:rsidRPr="0080364A">
              <w:rPr>
                <w:color w:val="000000"/>
                <w:sz w:val="20"/>
              </w:rPr>
              <w:t>Fragmentary</w:t>
            </w:r>
          </w:p>
        </w:tc>
      </w:tr>
      <w:tr w:rsidR="00D726B2" w:rsidRPr="0080364A" w14:paraId="05827380"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3292C533" w14:textId="77777777" w:rsidR="00D726B2" w:rsidRPr="0080364A" w:rsidRDefault="00D726B2" w:rsidP="00E858EF">
            <w:pPr>
              <w:suppressAutoHyphens/>
              <w:jc w:val="center"/>
              <w:rPr>
                <w:sz w:val="20"/>
              </w:rPr>
            </w:pPr>
            <w:r w:rsidRPr="0080364A">
              <w:rPr>
                <w:sz w:val="20"/>
              </w:rPr>
              <w:t>43</w:t>
            </w:r>
          </w:p>
        </w:tc>
        <w:tc>
          <w:tcPr>
            <w:tcW w:w="1275" w:type="dxa"/>
            <w:tcBorders>
              <w:top w:val="single" w:sz="6" w:space="0" w:color="000000"/>
              <w:left w:val="single" w:sz="6" w:space="0" w:color="000000"/>
              <w:bottom w:val="single" w:sz="6" w:space="0" w:color="000000"/>
              <w:right w:val="single" w:sz="6" w:space="0" w:color="000000"/>
            </w:tcBorders>
          </w:tcPr>
          <w:p w14:paraId="43A3F5E4" w14:textId="77777777" w:rsidR="00D726B2" w:rsidRPr="0080364A" w:rsidRDefault="00D726B2" w:rsidP="00E858EF">
            <w:pPr>
              <w:suppressAutoHyphens/>
              <w:jc w:val="center"/>
              <w:rPr>
                <w:sz w:val="20"/>
              </w:rPr>
            </w:pPr>
            <w:r w:rsidRPr="0080364A">
              <w:rPr>
                <w:sz w:val="20"/>
              </w:rPr>
              <w:t>74</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041D06CC" w14:textId="77777777" w:rsidR="00D726B2" w:rsidRPr="0080364A" w:rsidRDefault="00D726B2" w:rsidP="00E858EF">
            <w:pPr>
              <w:suppressAutoHyphens/>
              <w:jc w:val="center"/>
              <w:rPr>
                <w:sz w:val="20"/>
              </w:rPr>
            </w:pPr>
            <w:r w:rsidRPr="0080364A">
              <w:rPr>
                <w:sz w:val="20"/>
              </w:rPr>
              <w:t>2</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689A60DA" w14:textId="77777777" w:rsidR="00D726B2" w:rsidRPr="0080364A" w:rsidRDefault="00D726B2" w:rsidP="00E858EF">
            <w:pPr>
              <w:suppressAutoHyphens/>
              <w:jc w:val="center"/>
              <w:rPr>
                <w:color w:val="000000"/>
                <w:sz w:val="20"/>
              </w:rPr>
            </w:pPr>
            <w:r w:rsidRPr="0080364A">
              <w:rPr>
                <w:color w:val="000000"/>
                <w:sz w:val="20"/>
              </w:rPr>
              <w:t>13</w:t>
            </w:r>
          </w:p>
        </w:tc>
      </w:tr>
    </w:tbl>
    <w:p w14:paraId="7895A2FA" w14:textId="77777777" w:rsidR="00D726B2" w:rsidRPr="00043183"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0"/>
          <w:szCs w:val="20"/>
        </w:rPr>
      </w:pPr>
    </w:p>
    <w:p w14:paraId="1F9A5AD7"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 xml:space="preserve">Dimension range: </w:t>
      </w:r>
      <w:r>
        <w:rPr>
          <w:color w:val="000000"/>
        </w:rPr>
        <w:t>i</w:t>
      </w:r>
      <w:r w:rsidRPr="00191003">
        <w:rPr>
          <w:color w:val="000000"/>
        </w:rPr>
        <w:t>nformation available on a sample of 48 larnakes</w:t>
      </w:r>
      <w:r>
        <w:rPr>
          <w:color w:val="000000"/>
        </w:rPr>
        <w:t>.</w:t>
      </w:r>
    </w:p>
    <w:p w14:paraId="7F9BB40E" w14:textId="7544D0C1" w:rsidR="00D726B2" w:rsidRPr="00191003" w:rsidRDefault="00D726B2" w:rsidP="00E858EF">
      <w:pPr>
        <w:pStyle w:val="Testofumetto"/>
        <w:suppressAutoHyphens/>
      </w:pPr>
      <w:bookmarkStart w:id="1180" w:name="_Toc520212662"/>
      <w:r>
        <w:t>Table 5-37</w:t>
      </w:r>
      <w:r w:rsidR="00BA7AB7">
        <w:t>.</w:t>
      </w:r>
      <w:r>
        <w:t xml:space="preserve"> Dimension range, Far-East</w:t>
      </w:r>
      <w:bookmarkEnd w:id="1180"/>
      <w:r w:rsidR="00AD1B4B">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1275"/>
        <w:gridCol w:w="1134"/>
      </w:tblGrid>
      <w:tr w:rsidR="00D726B2" w:rsidRPr="0080364A" w14:paraId="16DB4C49"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13578802" w14:textId="77777777" w:rsidR="00D726B2" w:rsidRPr="0080364A" w:rsidRDefault="00D726B2" w:rsidP="00E858EF">
            <w:pPr>
              <w:suppressAutoHyphens/>
              <w:jc w:val="center"/>
              <w:rPr>
                <w:sz w:val="20"/>
              </w:rPr>
            </w:pPr>
          </w:p>
        </w:tc>
        <w:tc>
          <w:tcPr>
            <w:tcW w:w="1275" w:type="dxa"/>
            <w:tcBorders>
              <w:top w:val="single" w:sz="6" w:space="0" w:color="000000"/>
              <w:left w:val="single" w:sz="6" w:space="0" w:color="000000"/>
              <w:bottom w:val="single" w:sz="6" w:space="0" w:color="000000"/>
              <w:right w:val="single" w:sz="6" w:space="0" w:color="000000"/>
            </w:tcBorders>
          </w:tcPr>
          <w:p w14:paraId="20095F37" w14:textId="77777777" w:rsidR="00D726B2" w:rsidRPr="0080364A" w:rsidRDefault="00D726B2" w:rsidP="00E858EF">
            <w:pPr>
              <w:suppressAutoHyphens/>
              <w:jc w:val="center"/>
              <w:rPr>
                <w:sz w:val="20"/>
              </w:rPr>
            </w:pPr>
            <w:r w:rsidRPr="0080364A">
              <w:rPr>
                <w:sz w:val="20"/>
              </w:rPr>
              <w:t>Length</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22967415" w14:textId="77777777" w:rsidR="00D726B2" w:rsidRPr="0080364A" w:rsidRDefault="00D726B2" w:rsidP="00E858EF">
            <w:pPr>
              <w:suppressAutoHyphens/>
              <w:jc w:val="center"/>
              <w:rPr>
                <w:sz w:val="20"/>
              </w:rPr>
            </w:pPr>
            <w:r w:rsidRPr="0080364A">
              <w:rPr>
                <w:sz w:val="20"/>
              </w:rPr>
              <w:t>Height</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hideMark/>
          </w:tcPr>
          <w:p w14:paraId="00F01ED4" w14:textId="77777777" w:rsidR="00D726B2" w:rsidRPr="0080364A" w:rsidRDefault="00D726B2" w:rsidP="00E858EF">
            <w:pPr>
              <w:suppressAutoHyphens/>
              <w:jc w:val="center"/>
              <w:rPr>
                <w:sz w:val="20"/>
              </w:rPr>
            </w:pPr>
            <w:r w:rsidRPr="0080364A">
              <w:rPr>
                <w:color w:val="000000"/>
                <w:sz w:val="20"/>
              </w:rPr>
              <w:t>Width</w:t>
            </w:r>
          </w:p>
        </w:tc>
      </w:tr>
      <w:tr w:rsidR="00D726B2" w:rsidRPr="0080364A" w14:paraId="0FCEC176"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760A58DF" w14:textId="0108EC85" w:rsidR="00D726B2" w:rsidRPr="0080364A" w:rsidRDefault="0080364A" w:rsidP="00E858EF">
            <w:pPr>
              <w:suppressAutoHyphens/>
              <w:jc w:val="center"/>
              <w:rPr>
                <w:sz w:val="20"/>
              </w:rPr>
            </w:pPr>
            <w:r w:rsidRPr="0080364A">
              <w:rPr>
                <w:sz w:val="20"/>
              </w:rPr>
              <w:t>Mean</w:t>
            </w:r>
          </w:p>
        </w:tc>
        <w:tc>
          <w:tcPr>
            <w:tcW w:w="1275" w:type="dxa"/>
            <w:tcBorders>
              <w:top w:val="single" w:sz="6" w:space="0" w:color="000000"/>
              <w:left w:val="single" w:sz="6" w:space="0" w:color="000000"/>
              <w:bottom w:val="single" w:sz="6" w:space="0" w:color="000000"/>
              <w:right w:val="single" w:sz="6" w:space="0" w:color="000000"/>
            </w:tcBorders>
          </w:tcPr>
          <w:p w14:paraId="06004BE1" w14:textId="77777777" w:rsidR="00D726B2" w:rsidRPr="0080364A" w:rsidRDefault="00D726B2" w:rsidP="00E858EF">
            <w:pPr>
              <w:suppressAutoHyphens/>
              <w:jc w:val="center"/>
              <w:rPr>
                <w:sz w:val="20"/>
              </w:rPr>
            </w:pPr>
            <w:r w:rsidRPr="0080364A">
              <w:rPr>
                <w:sz w:val="20"/>
              </w:rPr>
              <w:t>107</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546B9EF9" w14:textId="77777777" w:rsidR="00D726B2" w:rsidRPr="0080364A" w:rsidRDefault="00D726B2" w:rsidP="00E858EF">
            <w:pPr>
              <w:suppressAutoHyphens/>
              <w:jc w:val="center"/>
              <w:rPr>
                <w:sz w:val="20"/>
              </w:rPr>
            </w:pPr>
            <w:r w:rsidRPr="0080364A">
              <w:rPr>
                <w:sz w:val="20"/>
              </w:rPr>
              <w:t>60</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3FBEA50D" w14:textId="77777777" w:rsidR="00D726B2" w:rsidRPr="0080364A" w:rsidRDefault="00D726B2" w:rsidP="00E858EF">
            <w:pPr>
              <w:suppressAutoHyphens/>
              <w:jc w:val="center"/>
              <w:rPr>
                <w:color w:val="000000"/>
                <w:sz w:val="20"/>
              </w:rPr>
            </w:pPr>
            <w:r w:rsidRPr="0080364A">
              <w:rPr>
                <w:color w:val="000000"/>
                <w:sz w:val="20"/>
              </w:rPr>
              <w:t>51</w:t>
            </w:r>
          </w:p>
        </w:tc>
      </w:tr>
      <w:tr w:rsidR="00D726B2" w:rsidRPr="0080364A" w14:paraId="6F9CCA73"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09E08843" w14:textId="48C43F6F" w:rsidR="00D726B2" w:rsidRPr="0080364A" w:rsidRDefault="0080364A" w:rsidP="00E858EF">
            <w:pPr>
              <w:suppressAutoHyphens/>
              <w:jc w:val="center"/>
              <w:rPr>
                <w:sz w:val="20"/>
              </w:rPr>
            </w:pPr>
            <w:r w:rsidRPr="0080364A">
              <w:rPr>
                <w:sz w:val="20"/>
              </w:rPr>
              <w:t>Max</w:t>
            </w:r>
          </w:p>
        </w:tc>
        <w:tc>
          <w:tcPr>
            <w:tcW w:w="1275" w:type="dxa"/>
            <w:tcBorders>
              <w:top w:val="single" w:sz="6" w:space="0" w:color="000000"/>
              <w:left w:val="single" w:sz="6" w:space="0" w:color="000000"/>
              <w:bottom w:val="single" w:sz="6" w:space="0" w:color="000000"/>
              <w:right w:val="single" w:sz="6" w:space="0" w:color="000000"/>
            </w:tcBorders>
          </w:tcPr>
          <w:p w14:paraId="05D83541" w14:textId="77777777" w:rsidR="00D726B2" w:rsidRPr="0080364A" w:rsidRDefault="00D726B2" w:rsidP="00E858EF">
            <w:pPr>
              <w:suppressAutoHyphens/>
              <w:jc w:val="center"/>
              <w:rPr>
                <w:sz w:val="20"/>
              </w:rPr>
            </w:pPr>
            <w:r w:rsidRPr="0080364A">
              <w:rPr>
                <w:sz w:val="20"/>
              </w:rPr>
              <w:t>135</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527FB9F5" w14:textId="77777777" w:rsidR="00D726B2" w:rsidRPr="0080364A" w:rsidRDefault="00D726B2" w:rsidP="00E858EF">
            <w:pPr>
              <w:suppressAutoHyphens/>
              <w:jc w:val="center"/>
              <w:rPr>
                <w:sz w:val="20"/>
              </w:rPr>
            </w:pPr>
            <w:r w:rsidRPr="0080364A">
              <w:rPr>
                <w:sz w:val="20"/>
              </w:rPr>
              <w:t>134</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090DC074" w14:textId="77777777" w:rsidR="00D726B2" w:rsidRPr="0080364A" w:rsidRDefault="00D726B2" w:rsidP="00E858EF">
            <w:pPr>
              <w:suppressAutoHyphens/>
              <w:jc w:val="center"/>
              <w:rPr>
                <w:color w:val="000000"/>
                <w:sz w:val="20"/>
              </w:rPr>
            </w:pPr>
            <w:r w:rsidRPr="0080364A">
              <w:rPr>
                <w:color w:val="000000"/>
                <w:sz w:val="20"/>
              </w:rPr>
              <w:t>130</w:t>
            </w:r>
          </w:p>
        </w:tc>
      </w:tr>
      <w:tr w:rsidR="00D726B2" w:rsidRPr="0080364A" w14:paraId="7BDF894F" w14:textId="77777777" w:rsidTr="00382E7B">
        <w:trPr>
          <w:trHeight w:val="315"/>
        </w:trPr>
        <w:tc>
          <w:tcPr>
            <w:tcW w:w="1275" w:type="dxa"/>
            <w:tcBorders>
              <w:top w:val="single" w:sz="6" w:space="0" w:color="000000"/>
              <w:left w:val="single" w:sz="6" w:space="0" w:color="000000"/>
              <w:bottom w:val="single" w:sz="6" w:space="0" w:color="000000"/>
              <w:right w:val="single" w:sz="6" w:space="0" w:color="000000"/>
            </w:tcBorders>
          </w:tcPr>
          <w:p w14:paraId="6D0F9356" w14:textId="5D955FBA" w:rsidR="00D726B2" w:rsidRPr="0080364A" w:rsidRDefault="0080364A" w:rsidP="00E858EF">
            <w:pPr>
              <w:suppressAutoHyphens/>
              <w:jc w:val="center"/>
              <w:rPr>
                <w:sz w:val="20"/>
              </w:rPr>
            </w:pPr>
            <w:r w:rsidRPr="0080364A">
              <w:rPr>
                <w:sz w:val="20"/>
              </w:rPr>
              <w:t>Min</w:t>
            </w:r>
          </w:p>
        </w:tc>
        <w:tc>
          <w:tcPr>
            <w:tcW w:w="1275" w:type="dxa"/>
            <w:tcBorders>
              <w:top w:val="single" w:sz="6" w:space="0" w:color="000000"/>
              <w:left w:val="single" w:sz="6" w:space="0" w:color="000000"/>
              <w:bottom w:val="single" w:sz="6" w:space="0" w:color="000000"/>
              <w:right w:val="single" w:sz="6" w:space="0" w:color="000000"/>
            </w:tcBorders>
          </w:tcPr>
          <w:p w14:paraId="09944A4C" w14:textId="77777777" w:rsidR="00D726B2" w:rsidRPr="0080364A" w:rsidRDefault="00D726B2" w:rsidP="00E858EF">
            <w:pPr>
              <w:suppressAutoHyphens/>
              <w:jc w:val="center"/>
              <w:rPr>
                <w:sz w:val="20"/>
              </w:rPr>
            </w:pPr>
            <w:r w:rsidRPr="0080364A">
              <w:rPr>
                <w:sz w:val="20"/>
              </w:rPr>
              <w:t>58</w:t>
            </w:r>
          </w:p>
        </w:tc>
        <w:tc>
          <w:tcPr>
            <w:tcW w:w="1275"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18F3096C" w14:textId="77777777" w:rsidR="00D726B2" w:rsidRPr="0080364A" w:rsidRDefault="00D726B2" w:rsidP="00E858EF">
            <w:pPr>
              <w:suppressAutoHyphens/>
              <w:jc w:val="center"/>
              <w:rPr>
                <w:sz w:val="20"/>
              </w:rPr>
            </w:pPr>
            <w:r w:rsidRPr="0080364A">
              <w:rPr>
                <w:sz w:val="20"/>
              </w:rPr>
              <w:t>20</w:t>
            </w:r>
          </w:p>
        </w:tc>
        <w:tc>
          <w:tcPr>
            <w:tcW w:w="1134"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3EBD3679" w14:textId="77777777" w:rsidR="00D726B2" w:rsidRPr="0080364A" w:rsidRDefault="00D726B2" w:rsidP="00E858EF">
            <w:pPr>
              <w:suppressAutoHyphens/>
              <w:jc w:val="center"/>
              <w:rPr>
                <w:color w:val="000000"/>
                <w:sz w:val="20"/>
              </w:rPr>
            </w:pPr>
            <w:r w:rsidRPr="0080364A">
              <w:rPr>
                <w:color w:val="000000"/>
                <w:sz w:val="20"/>
              </w:rPr>
              <w:t>30</w:t>
            </w:r>
          </w:p>
        </w:tc>
      </w:tr>
    </w:tbl>
    <w:p w14:paraId="49A3953C" w14:textId="77777777" w:rsidR="00D726B2" w:rsidRPr="0004318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p w14:paraId="23A0EA40"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708"/>
        <w:rPr>
          <w:color w:val="000000"/>
        </w:rPr>
      </w:pPr>
      <w:r>
        <w:rPr>
          <w:color w:val="000000"/>
        </w:rPr>
        <w:t>Lid occurrence/lid type: gable</w:t>
      </w:r>
      <w:r w:rsidRPr="00AD4648">
        <w:rPr>
          <w:color w:val="000000"/>
        </w:rPr>
        <w:t xml:space="preserve"> lid. Information is available on a sample of 51 larnakes</w:t>
      </w:r>
      <w:r>
        <w:rPr>
          <w:color w:val="000000"/>
        </w:rPr>
        <w:t>.</w:t>
      </w:r>
    </w:p>
    <w:p w14:paraId="6F476FB7" w14:textId="6C09786B" w:rsidR="00D726B2" w:rsidRPr="00E7753F" w:rsidRDefault="00D726B2" w:rsidP="00E858EF">
      <w:pPr>
        <w:pStyle w:val="Testofumetto"/>
        <w:suppressAutoHyphens/>
      </w:pPr>
      <w:bookmarkStart w:id="1181" w:name="_Toc520212663"/>
      <w:r>
        <w:t>Table 5-38</w:t>
      </w:r>
      <w:r w:rsidR="00BA7AB7">
        <w:t>.</w:t>
      </w:r>
      <w:r>
        <w:t xml:space="preserve"> Lid occurrence, Far-East</w:t>
      </w:r>
      <w:bookmarkEnd w:id="1181"/>
      <w:r w:rsidR="00AD1B4B">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3195"/>
        <w:gridCol w:w="1701"/>
      </w:tblGrid>
      <w:tr w:rsidR="00D726B2" w:rsidRPr="0080364A" w14:paraId="34FAF2B6" w14:textId="77777777" w:rsidTr="005C2202">
        <w:trPr>
          <w:trHeight w:val="315"/>
        </w:trPr>
        <w:tc>
          <w:tcPr>
            <w:tcW w:w="1275" w:type="dxa"/>
            <w:tcBorders>
              <w:top w:val="single" w:sz="6" w:space="0" w:color="000000"/>
              <w:left w:val="single" w:sz="6" w:space="0" w:color="000000"/>
              <w:bottom w:val="single" w:sz="6" w:space="0" w:color="000000"/>
              <w:right w:val="single" w:sz="6" w:space="0" w:color="000000"/>
            </w:tcBorders>
          </w:tcPr>
          <w:p w14:paraId="2295B0D9" w14:textId="77777777" w:rsidR="00D726B2" w:rsidRPr="0080364A" w:rsidRDefault="00D726B2" w:rsidP="00E858EF">
            <w:pPr>
              <w:suppressAutoHyphens/>
              <w:jc w:val="center"/>
              <w:rPr>
                <w:sz w:val="20"/>
              </w:rPr>
            </w:pPr>
            <w:r w:rsidRPr="0080364A">
              <w:rPr>
                <w:sz w:val="20"/>
              </w:rPr>
              <w:t>Flat</w:t>
            </w:r>
          </w:p>
        </w:tc>
        <w:tc>
          <w:tcPr>
            <w:tcW w:w="1275" w:type="dxa"/>
            <w:tcBorders>
              <w:top w:val="single" w:sz="6" w:space="0" w:color="000000"/>
              <w:left w:val="single" w:sz="6" w:space="0" w:color="000000"/>
              <w:bottom w:val="single" w:sz="6" w:space="0" w:color="000000"/>
              <w:right w:val="single" w:sz="6" w:space="0" w:color="000000"/>
            </w:tcBorders>
          </w:tcPr>
          <w:p w14:paraId="63AE47ED" w14:textId="77777777" w:rsidR="00D726B2" w:rsidRPr="0080364A" w:rsidRDefault="00D726B2" w:rsidP="00E858EF">
            <w:pPr>
              <w:suppressAutoHyphens/>
              <w:jc w:val="center"/>
              <w:rPr>
                <w:sz w:val="20"/>
              </w:rPr>
            </w:pPr>
            <w:r w:rsidRPr="0080364A">
              <w:rPr>
                <w:sz w:val="20"/>
              </w:rPr>
              <w:t>Gabled</w:t>
            </w:r>
          </w:p>
        </w:tc>
        <w:tc>
          <w:tcPr>
            <w:tcW w:w="3195" w:type="dxa"/>
            <w:tcBorders>
              <w:top w:val="single" w:sz="6" w:space="0" w:color="000000"/>
              <w:left w:val="single" w:sz="6" w:space="0" w:color="000000"/>
              <w:bottom w:val="single" w:sz="6" w:space="0" w:color="000000"/>
              <w:right w:val="single" w:sz="6" w:space="0" w:color="000000"/>
            </w:tcBorders>
          </w:tcPr>
          <w:p w14:paraId="300A39CC" w14:textId="77777777" w:rsidR="00D726B2" w:rsidRPr="0080364A" w:rsidRDefault="00D726B2" w:rsidP="00E858EF">
            <w:pPr>
              <w:suppressAutoHyphens/>
              <w:jc w:val="center"/>
              <w:rPr>
                <w:sz w:val="20"/>
              </w:rPr>
            </w:pPr>
            <w:r w:rsidRPr="0080364A">
              <w:rPr>
                <w:sz w:val="20"/>
              </w:rPr>
              <w:t>Lid made of larnax fragments</w:t>
            </w:r>
          </w:p>
        </w:tc>
        <w:tc>
          <w:tcPr>
            <w:tcW w:w="1701"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135813C4" w14:textId="77777777" w:rsidR="00D726B2" w:rsidRPr="0080364A" w:rsidRDefault="00D726B2" w:rsidP="00E858EF">
            <w:pPr>
              <w:suppressAutoHyphens/>
              <w:jc w:val="center"/>
              <w:rPr>
                <w:sz w:val="20"/>
              </w:rPr>
            </w:pPr>
            <w:r w:rsidRPr="0080364A">
              <w:rPr>
                <w:sz w:val="20"/>
              </w:rPr>
              <w:t>Without lid</w:t>
            </w:r>
          </w:p>
        </w:tc>
      </w:tr>
      <w:tr w:rsidR="00D726B2" w:rsidRPr="0080364A" w14:paraId="4E2E94CB" w14:textId="77777777" w:rsidTr="005C2202">
        <w:trPr>
          <w:trHeight w:val="315"/>
        </w:trPr>
        <w:tc>
          <w:tcPr>
            <w:tcW w:w="1275" w:type="dxa"/>
            <w:tcBorders>
              <w:top w:val="single" w:sz="6" w:space="0" w:color="000000"/>
              <w:left w:val="single" w:sz="6" w:space="0" w:color="000000"/>
              <w:bottom w:val="single" w:sz="6" w:space="0" w:color="000000"/>
              <w:right w:val="single" w:sz="6" w:space="0" w:color="000000"/>
            </w:tcBorders>
          </w:tcPr>
          <w:p w14:paraId="1A3E05EA" w14:textId="77777777" w:rsidR="00D726B2" w:rsidRPr="0080364A" w:rsidRDefault="00D726B2" w:rsidP="00E858EF">
            <w:pPr>
              <w:suppressAutoHyphens/>
              <w:jc w:val="center"/>
              <w:rPr>
                <w:sz w:val="20"/>
              </w:rPr>
            </w:pPr>
            <w:r w:rsidRPr="0080364A">
              <w:rPr>
                <w:sz w:val="20"/>
              </w:rPr>
              <w:t>1</w:t>
            </w:r>
          </w:p>
        </w:tc>
        <w:tc>
          <w:tcPr>
            <w:tcW w:w="1275" w:type="dxa"/>
            <w:tcBorders>
              <w:top w:val="single" w:sz="6" w:space="0" w:color="000000"/>
              <w:left w:val="single" w:sz="6" w:space="0" w:color="000000"/>
              <w:bottom w:val="single" w:sz="6" w:space="0" w:color="000000"/>
              <w:right w:val="single" w:sz="6" w:space="0" w:color="000000"/>
            </w:tcBorders>
          </w:tcPr>
          <w:p w14:paraId="587594A8" w14:textId="77777777" w:rsidR="00D726B2" w:rsidRPr="0080364A" w:rsidRDefault="00D726B2" w:rsidP="00E858EF">
            <w:pPr>
              <w:suppressAutoHyphens/>
              <w:jc w:val="center"/>
              <w:rPr>
                <w:sz w:val="20"/>
              </w:rPr>
            </w:pPr>
            <w:r w:rsidRPr="0080364A">
              <w:rPr>
                <w:sz w:val="20"/>
              </w:rPr>
              <w:t>25</w:t>
            </w:r>
          </w:p>
        </w:tc>
        <w:tc>
          <w:tcPr>
            <w:tcW w:w="3195" w:type="dxa"/>
            <w:tcBorders>
              <w:top w:val="single" w:sz="6" w:space="0" w:color="000000"/>
              <w:left w:val="single" w:sz="6" w:space="0" w:color="000000"/>
              <w:bottom w:val="single" w:sz="6" w:space="0" w:color="000000"/>
              <w:right w:val="single" w:sz="6" w:space="0" w:color="000000"/>
            </w:tcBorders>
          </w:tcPr>
          <w:p w14:paraId="31D4E924" w14:textId="77777777" w:rsidR="00D726B2" w:rsidRPr="0080364A" w:rsidRDefault="00D726B2" w:rsidP="00E858EF">
            <w:pPr>
              <w:suppressAutoHyphens/>
              <w:jc w:val="center"/>
              <w:rPr>
                <w:sz w:val="20"/>
              </w:rPr>
            </w:pPr>
            <w:r w:rsidRPr="0080364A">
              <w:rPr>
                <w:sz w:val="20"/>
              </w:rPr>
              <w:t>2</w:t>
            </w:r>
          </w:p>
        </w:tc>
        <w:tc>
          <w:tcPr>
            <w:tcW w:w="1701" w:type="dxa"/>
            <w:tcBorders>
              <w:top w:val="single" w:sz="6" w:space="0" w:color="000000"/>
              <w:left w:val="single" w:sz="6" w:space="0" w:color="000000"/>
              <w:bottom w:val="single" w:sz="6" w:space="0" w:color="000000"/>
              <w:right w:val="single" w:sz="6" w:space="0" w:color="000000"/>
            </w:tcBorders>
            <w:tcMar>
              <w:top w:w="0" w:type="dxa"/>
              <w:left w:w="75" w:type="dxa"/>
              <w:bottom w:w="0" w:type="dxa"/>
              <w:right w:w="75" w:type="dxa"/>
            </w:tcMar>
          </w:tcPr>
          <w:p w14:paraId="5000EA6F" w14:textId="77777777" w:rsidR="00D726B2" w:rsidRPr="0080364A" w:rsidRDefault="00D726B2" w:rsidP="00E858EF">
            <w:pPr>
              <w:suppressAutoHyphens/>
              <w:jc w:val="center"/>
              <w:rPr>
                <w:sz w:val="20"/>
              </w:rPr>
            </w:pPr>
            <w:r w:rsidRPr="0080364A">
              <w:rPr>
                <w:sz w:val="20"/>
              </w:rPr>
              <w:t>5</w:t>
            </w:r>
          </w:p>
        </w:tc>
      </w:tr>
    </w:tbl>
    <w:p w14:paraId="6C0EFBDF" w14:textId="77777777" w:rsidR="00D726B2" w:rsidRPr="00043183" w:rsidRDefault="00D726B2" w:rsidP="00E858EF">
      <w:pPr>
        <w:suppressAutoHyphens/>
        <w:rPr>
          <w:color w:val="000000"/>
          <w:sz w:val="20"/>
          <w:szCs w:val="20"/>
        </w:rPr>
      </w:pPr>
    </w:p>
    <w:p w14:paraId="15E188D5" w14:textId="77777777" w:rsidR="00D726B2" w:rsidRPr="00191003" w:rsidRDefault="00D726B2" w:rsidP="00E858EF">
      <w:pPr>
        <w:suppressAutoHyphens/>
        <w:rPr>
          <w:color w:val="000000"/>
        </w:rPr>
      </w:pPr>
      <w:r>
        <w:rPr>
          <w:color w:val="000000"/>
        </w:rPr>
        <w:tab/>
      </w:r>
      <w:r w:rsidRPr="00191003">
        <w:rPr>
          <w:color w:val="000000"/>
        </w:rPr>
        <w:t xml:space="preserve">There is also a peculiar custom </w:t>
      </w:r>
      <w:r>
        <w:rPr>
          <w:color w:val="000000"/>
        </w:rPr>
        <w:t xml:space="preserve">of </w:t>
      </w:r>
      <w:r w:rsidRPr="00191003">
        <w:rPr>
          <w:color w:val="000000"/>
        </w:rPr>
        <w:t>using a</w:t>
      </w:r>
      <w:r>
        <w:rPr>
          <w:color w:val="000000"/>
        </w:rPr>
        <w:t>n upside-down</w:t>
      </w:r>
      <w:r w:rsidRPr="00191003">
        <w:rPr>
          <w:color w:val="000000"/>
        </w:rPr>
        <w:t xml:space="preserve"> bathtub larnax as a lid </w:t>
      </w:r>
      <w:r>
        <w:rPr>
          <w:color w:val="000000"/>
        </w:rPr>
        <w:t>that was</w:t>
      </w:r>
      <w:r w:rsidRPr="00191003">
        <w:rPr>
          <w:color w:val="000000"/>
        </w:rPr>
        <w:t xml:space="preserve"> observed at Palaikastro (Bosanquet 1901-02</w:t>
      </w:r>
      <w:r>
        <w:rPr>
          <w:color w:val="000000"/>
        </w:rPr>
        <w:t>b</w:t>
      </w:r>
      <w:r w:rsidRPr="00191003">
        <w:rPr>
          <w:color w:val="000000"/>
        </w:rPr>
        <w:t xml:space="preserve">: 301, </w:t>
      </w:r>
      <w:r>
        <w:rPr>
          <w:color w:val="000000"/>
        </w:rPr>
        <w:t>F</w:t>
      </w:r>
      <w:r w:rsidRPr="00191003">
        <w:rPr>
          <w:color w:val="000000"/>
        </w:rPr>
        <w:t>ig. 17). In some other cases</w:t>
      </w:r>
      <w:r>
        <w:rPr>
          <w:color w:val="000000"/>
        </w:rPr>
        <w:t>,</w:t>
      </w:r>
      <w:r w:rsidRPr="00191003">
        <w:rPr>
          <w:color w:val="000000"/>
        </w:rPr>
        <w:t xml:space="preserve"> the larnax itself was found in an upside-down position (Currelly</w:t>
      </w:r>
      <w:r>
        <w:rPr>
          <w:color w:val="000000"/>
        </w:rPr>
        <w:t xml:space="preserve"> </w:t>
      </w:r>
      <w:r w:rsidRPr="00191003">
        <w:rPr>
          <w:color w:val="000000"/>
        </w:rPr>
        <w:t xml:space="preserve">1903-1904: 231, </w:t>
      </w:r>
      <w:r>
        <w:rPr>
          <w:color w:val="000000"/>
        </w:rPr>
        <w:t>F</w:t>
      </w:r>
      <w:r w:rsidRPr="00191003">
        <w:rPr>
          <w:color w:val="000000"/>
        </w:rPr>
        <w:t>ig</w:t>
      </w:r>
      <w:r>
        <w:rPr>
          <w:color w:val="000000"/>
        </w:rPr>
        <w:t>s.</w:t>
      </w:r>
      <w:r w:rsidRPr="00191003">
        <w:rPr>
          <w:color w:val="000000"/>
        </w:rPr>
        <w:t xml:space="preserve"> 9, 11). </w:t>
      </w:r>
      <w:r>
        <w:rPr>
          <w:color w:val="000000"/>
        </w:rPr>
        <w:t>Furthermore, t</w:t>
      </w:r>
      <w:r w:rsidRPr="00191003">
        <w:rPr>
          <w:color w:val="000000"/>
        </w:rPr>
        <w:t xml:space="preserve">he lid of a larnax from Episkopi Ierapetra </w:t>
      </w:r>
      <w:r>
        <w:rPr>
          <w:color w:val="000000"/>
        </w:rPr>
        <w:t>h</w:t>
      </w:r>
      <w:r w:rsidRPr="00191003">
        <w:rPr>
          <w:color w:val="000000"/>
        </w:rPr>
        <w:t>as a shape similar to an upside</w:t>
      </w:r>
      <w:r>
        <w:rPr>
          <w:color w:val="000000"/>
        </w:rPr>
        <w:t>-</w:t>
      </w:r>
      <w:r w:rsidRPr="00191003">
        <w:rPr>
          <w:color w:val="000000"/>
        </w:rPr>
        <w:t xml:space="preserve">down bathtub larnax </w:t>
      </w:r>
      <w:r>
        <w:rPr>
          <w:color w:val="000000"/>
        </w:rPr>
        <w:t>(</w:t>
      </w:r>
      <w:r w:rsidRPr="00733192">
        <w:rPr>
          <w:i/>
          <w:color w:val="000000"/>
        </w:rPr>
        <w:t>KChr</w:t>
      </w:r>
      <w:r>
        <w:rPr>
          <w:color w:val="000000"/>
        </w:rPr>
        <w:t xml:space="preserve"> 1 1947: </w:t>
      </w:r>
      <w:r w:rsidRPr="00191003">
        <w:rPr>
          <w:color w:val="000000"/>
        </w:rPr>
        <w:t xml:space="preserve">638; Kanta </w:t>
      </w:r>
      <w:r>
        <w:rPr>
          <w:color w:val="000000"/>
        </w:rPr>
        <w:t>1980: 146-60; Spiliotopoulou 2010</w:t>
      </w:r>
      <w:r w:rsidRPr="00191003">
        <w:rPr>
          <w:color w:val="000000"/>
        </w:rPr>
        <w:t>: 69; Langohr 2008: 152-155).</w:t>
      </w:r>
    </w:p>
    <w:p w14:paraId="084B1FBC" w14:textId="799D97A1" w:rsidR="00D726B2"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450D264B" w14:textId="77777777" w:rsidR="00D726B2" w:rsidRPr="00AD4648"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560"/>
        <w:rPr>
          <w:color w:val="000000"/>
        </w:rPr>
      </w:pPr>
      <w:r w:rsidRPr="00AD4648">
        <w:rPr>
          <w:color w:val="000000"/>
        </w:rPr>
        <w:t>Fe</w:t>
      </w:r>
      <w:r>
        <w:rPr>
          <w:color w:val="000000"/>
        </w:rPr>
        <w:t>et occurrences/feet number: Four feet</w:t>
      </w:r>
      <w:r w:rsidRPr="00AD4648">
        <w:rPr>
          <w:color w:val="000000"/>
        </w:rPr>
        <w:t>. Information is available on a sample of 25 larnakes</w:t>
      </w:r>
    </w:p>
    <w:p w14:paraId="4E787932" w14:textId="425D87E6" w:rsidR="00D726B2" w:rsidRPr="00191003" w:rsidRDefault="00D726B2" w:rsidP="00E858EF">
      <w:pPr>
        <w:pStyle w:val="Testofumetto"/>
        <w:suppressAutoHyphens/>
      </w:pPr>
      <w:bookmarkStart w:id="1182" w:name="_Toc520212664"/>
      <w:r>
        <w:t>Table 5-39</w:t>
      </w:r>
      <w:r w:rsidR="00BA7AB7">
        <w:t>.</w:t>
      </w:r>
      <w:r>
        <w:t xml:space="preserve"> Feet occurrence, Far-East</w:t>
      </w:r>
      <w:bookmarkEnd w:id="1182"/>
      <w:r w:rsidR="00AD1B4B">
        <w:t xml:space="preserve"> area</w:t>
      </w:r>
    </w:p>
    <w:tbl>
      <w:tblPr>
        <w:tblW w:w="0" w:type="auto"/>
        <w:tblInd w:w="-67" w:type="dxa"/>
        <w:tblCellMar>
          <w:left w:w="0" w:type="dxa"/>
          <w:right w:w="0" w:type="dxa"/>
        </w:tblCellMar>
        <w:tblLook w:val="04A0" w:firstRow="1" w:lastRow="0" w:firstColumn="1" w:lastColumn="0" w:noHBand="0" w:noVBand="1"/>
      </w:tblPr>
      <w:tblGrid>
        <w:gridCol w:w="1275"/>
        <w:gridCol w:w="1275"/>
        <w:gridCol w:w="1636"/>
      </w:tblGrid>
      <w:tr w:rsidR="00D726B2" w:rsidRPr="0080364A" w14:paraId="080F5496" w14:textId="77777777" w:rsidTr="00A05142">
        <w:trPr>
          <w:trHeight w:val="315"/>
        </w:trPr>
        <w:tc>
          <w:tcPr>
            <w:tcW w:w="1275" w:type="dxa"/>
            <w:tcBorders>
              <w:top w:val="single" w:sz="6" w:space="0" w:color="000000"/>
              <w:left w:val="single" w:sz="6" w:space="0" w:color="000000"/>
              <w:bottom w:val="single" w:sz="6" w:space="0" w:color="000000"/>
              <w:right w:val="single" w:sz="6" w:space="0" w:color="000000"/>
            </w:tcBorders>
          </w:tcPr>
          <w:p w14:paraId="7ECE52FE" w14:textId="77777777" w:rsidR="00D726B2" w:rsidRPr="0080364A" w:rsidRDefault="00D726B2" w:rsidP="00E858EF">
            <w:pPr>
              <w:suppressAutoHyphens/>
              <w:jc w:val="center"/>
              <w:rPr>
                <w:sz w:val="20"/>
              </w:rPr>
            </w:pPr>
            <w:r w:rsidRPr="0080364A">
              <w:rPr>
                <w:sz w:val="20"/>
              </w:rPr>
              <w:t>4 Feet</w:t>
            </w:r>
          </w:p>
        </w:tc>
        <w:tc>
          <w:tcPr>
            <w:tcW w:w="1275" w:type="dxa"/>
            <w:tcBorders>
              <w:top w:val="single" w:sz="6" w:space="0" w:color="000000"/>
              <w:left w:val="single" w:sz="6" w:space="0" w:color="000000"/>
              <w:bottom w:val="single" w:sz="6" w:space="0" w:color="000000"/>
              <w:right w:val="single" w:sz="6" w:space="0" w:color="000000"/>
            </w:tcBorders>
          </w:tcPr>
          <w:p w14:paraId="4C52E6B0" w14:textId="77777777" w:rsidR="00D726B2" w:rsidRPr="0080364A" w:rsidRDefault="00D726B2" w:rsidP="00E858EF">
            <w:pPr>
              <w:suppressAutoHyphens/>
              <w:jc w:val="center"/>
              <w:rPr>
                <w:sz w:val="20"/>
              </w:rPr>
            </w:pPr>
            <w:r w:rsidRPr="0080364A">
              <w:rPr>
                <w:sz w:val="20"/>
              </w:rPr>
              <w:t>6 Feet</w:t>
            </w:r>
          </w:p>
        </w:tc>
        <w:tc>
          <w:tcPr>
            <w:tcW w:w="1636" w:type="dxa"/>
            <w:tcBorders>
              <w:top w:val="single" w:sz="6" w:space="0" w:color="000000"/>
              <w:left w:val="single" w:sz="6" w:space="0" w:color="000000"/>
              <w:bottom w:val="single" w:sz="6" w:space="0" w:color="000000"/>
              <w:right w:val="single" w:sz="6" w:space="0" w:color="000000"/>
            </w:tcBorders>
          </w:tcPr>
          <w:p w14:paraId="2368D710" w14:textId="77777777" w:rsidR="00D726B2" w:rsidRPr="0080364A" w:rsidRDefault="00D726B2" w:rsidP="00E858EF">
            <w:pPr>
              <w:suppressAutoHyphens/>
              <w:jc w:val="center"/>
              <w:rPr>
                <w:sz w:val="20"/>
              </w:rPr>
            </w:pPr>
            <w:r w:rsidRPr="0080364A">
              <w:rPr>
                <w:sz w:val="20"/>
              </w:rPr>
              <w:t>Without feet</w:t>
            </w:r>
          </w:p>
        </w:tc>
      </w:tr>
      <w:tr w:rsidR="00D726B2" w:rsidRPr="0080364A" w14:paraId="19D25D27" w14:textId="77777777" w:rsidTr="00A05142">
        <w:trPr>
          <w:trHeight w:val="315"/>
        </w:trPr>
        <w:tc>
          <w:tcPr>
            <w:tcW w:w="1275" w:type="dxa"/>
            <w:tcBorders>
              <w:top w:val="single" w:sz="6" w:space="0" w:color="000000"/>
              <w:left w:val="single" w:sz="6" w:space="0" w:color="000000"/>
              <w:bottom w:val="single" w:sz="6" w:space="0" w:color="000000"/>
              <w:right w:val="single" w:sz="6" w:space="0" w:color="000000"/>
            </w:tcBorders>
          </w:tcPr>
          <w:p w14:paraId="4F2CB4D1" w14:textId="77777777" w:rsidR="00D726B2" w:rsidRPr="0080364A" w:rsidRDefault="00D726B2" w:rsidP="00E858EF">
            <w:pPr>
              <w:suppressAutoHyphens/>
              <w:jc w:val="center"/>
              <w:rPr>
                <w:sz w:val="20"/>
              </w:rPr>
            </w:pPr>
            <w:r w:rsidRPr="0080364A">
              <w:rPr>
                <w:sz w:val="20"/>
              </w:rPr>
              <w:t>15</w:t>
            </w:r>
          </w:p>
        </w:tc>
        <w:tc>
          <w:tcPr>
            <w:tcW w:w="1275" w:type="dxa"/>
            <w:tcBorders>
              <w:top w:val="single" w:sz="6" w:space="0" w:color="000000"/>
              <w:left w:val="single" w:sz="6" w:space="0" w:color="000000"/>
              <w:bottom w:val="single" w:sz="6" w:space="0" w:color="000000"/>
              <w:right w:val="single" w:sz="6" w:space="0" w:color="000000"/>
            </w:tcBorders>
          </w:tcPr>
          <w:p w14:paraId="012183DB" w14:textId="77777777" w:rsidR="00D726B2" w:rsidRPr="0080364A" w:rsidRDefault="00D726B2" w:rsidP="00E858EF">
            <w:pPr>
              <w:suppressAutoHyphens/>
              <w:jc w:val="center"/>
              <w:rPr>
                <w:sz w:val="20"/>
              </w:rPr>
            </w:pPr>
            <w:r w:rsidRPr="0080364A">
              <w:rPr>
                <w:sz w:val="20"/>
              </w:rPr>
              <w:t>2</w:t>
            </w:r>
          </w:p>
        </w:tc>
        <w:tc>
          <w:tcPr>
            <w:tcW w:w="1636" w:type="dxa"/>
            <w:tcBorders>
              <w:top w:val="single" w:sz="6" w:space="0" w:color="000000"/>
              <w:left w:val="single" w:sz="6" w:space="0" w:color="000000"/>
              <w:bottom w:val="single" w:sz="6" w:space="0" w:color="000000"/>
              <w:right w:val="single" w:sz="6" w:space="0" w:color="000000"/>
            </w:tcBorders>
          </w:tcPr>
          <w:p w14:paraId="7DCC186F" w14:textId="77777777" w:rsidR="00D726B2" w:rsidRPr="0080364A" w:rsidRDefault="00D726B2" w:rsidP="00E858EF">
            <w:pPr>
              <w:suppressAutoHyphens/>
              <w:jc w:val="center"/>
              <w:rPr>
                <w:sz w:val="20"/>
              </w:rPr>
            </w:pPr>
            <w:r w:rsidRPr="0080364A">
              <w:rPr>
                <w:sz w:val="20"/>
              </w:rPr>
              <w:t>7</w:t>
            </w:r>
          </w:p>
        </w:tc>
      </w:tr>
    </w:tbl>
    <w:p w14:paraId="364C65BA" w14:textId="77777777" w:rsidR="00D726B2" w:rsidRPr="00845B7E"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0"/>
          <w:szCs w:val="20"/>
        </w:rPr>
      </w:pPr>
    </w:p>
    <w:p w14:paraId="2BE77221"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560"/>
        <w:rPr>
          <w:color w:val="000000"/>
        </w:rPr>
      </w:pPr>
      <w:r w:rsidRPr="00191003">
        <w:rPr>
          <w:color w:val="000000"/>
        </w:rPr>
        <w:t>Handle or hole occurrence: sample of 51 larnakes</w:t>
      </w:r>
      <w:r>
        <w:rPr>
          <w:color w:val="000000"/>
        </w:rPr>
        <w:t>.</w:t>
      </w:r>
    </w:p>
    <w:p w14:paraId="6912227E" w14:textId="1933531B" w:rsidR="00D726B2" w:rsidRPr="00191003" w:rsidRDefault="00D726B2" w:rsidP="00E858EF">
      <w:pPr>
        <w:pStyle w:val="Testofumetto"/>
        <w:suppressAutoHyphens/>
      </w:pPr>
      <w:bookmarkStart w:id="1183" w:name="_Toc520212665"/>
      <w:r>
        <w:t>Table 5-40</w:t>
      </w:r>
      <w:r w:rsidR="00BA7AB7">
        <w:t>.</w:t>
      </w:r>
      <w:r>
        <w:t xml:space="preserve"> Handle</w:t>
      </w:r>
      <w:r w:rsidR="00A05142">
        <w:t>s</w:t>
      </w:r>
      <w:r>
        <w:t xml:space="preserve"> or hole</w:t>
      </w:r>
      <w:r w:rsidR="00A05142">
        <w:t>s</w:t>
      </w:r>
      <w:r>
        <w:t>, Far-East</w:t>
      </w:r>
      <w:bookmarkEnd w:id="1183"/>
      <w:r w:rsidR="00AD1B4B">
        <w:t xml:space="preserve"> area</w:t>
      </w:r>
    </w:p>
    <w:tbl>
      <w:tblPr>
        <w:tblW w:w="0" w:type="auto"/>
        <w:tblInd w:w="8" w:type="dxa"/>
        <w:tblCellMar>
          <w:left w:w="0" w:type="dxa"/>
          <w:right w:w="0" w:type="dxa"/>
        </w:tblCellMar>
        <w:tblLook w:val="04A0" w:firstRow="1" w:lastRow="0" w:firstColumn="1" w:lastColumn="0" w:noHBand="0" w:noVBand="1"/>
      </w:tblPr>
      <w:tblGrid>
        <w:gridCol w:w="1275"/>
        <w:gridCol w:w="1275"/>
      </w:tblGrid>
      <w:tr w:rsidR="00D726B2" w:rsidRPr="0080364A" w14:paraId="18691481" w14:textId="77777777" w:rsidTr="0080364A">
        <w:trPr>
          <w:trHeight w:val="315"/>
        </w:trPr>
        <w:tc>
          <w:tcPr>
            <w:tcW w:w="1275" w:type="dxa"/>
            <w:tcBorders>
              <w:top w:val="single" w:sz="6" w:space="0" w:color="000000"/>
              <w:left w:val="single" w:sz="6" w:space="0" w:color="000000"/>
              <w:bottom w:val="single" w:sz="6" w:space="0" w:color="000000"/>
              <w:right w:val="single" w:sz="6" w:space="0" w:color="000000"/>
            </w:tcBorders>
          </w:tcPr>
          <w:p w14:paraId="77C2390D" w14:textId="77777777" w:rsidR="00D726B2" w:rsidRPr="0080364A" w:rsidRDefault="00D726B2" w:rsidP="00E858EF">
            <w:pPr>
              <w:suppressAutoHyphens/>
              <w:jc w:val="center"/>
              <w:rPr>
                <w:sz w:val="20"/>
              </w:rPr>
            </w:pPr>
            <w:r w:rsidRPr="0080364A">
              <w:rPr>
                <w:sz w:val="20"/>
              </w:rPr>
              <w:t>Handles</w:t>
            </w:r>
          </w:p>
        </w:tc>
        <w:tc>
          <w:tcPr>
            <w:tcW w:w="1275" w:type="dxa"/>
            <w:tcBorders>
              <w:top w:val="single" w:sz="6" w:space="0" w:color="000000"/>
              <w:left w:val="single" w:sz="6" w:space="0" w:color="000000"/>
              <w:bottom w:val="single" w:sz="6" w:space="0" w:color="000000"/>
              <w:right w:val="single" w:sz="6" w:space="0" w:color="000000"/>
            </w:tcBorders>
          </w:tcPr>
          <w:p w14:paraId="71139C88" w14:textId="77777777" w:rsidR="00D726B2" w:rsidRPr="0080364A" w:rsidRDefault="00D726B2" w:rsidP="00E858EF">
            <w:pPr>
              <w:suppressAutoHyphens/>
              <w:jc w:val="center"/>
              <w:rPr>
                <w:sz w:val="20"/>
              </w:rPr>
            </w:pPr>
            <w:r w:rsidRPr="0080364A">
              <w:rPr>
                <w:sz w:val="20"/>
              </w:rPr>
              <w:t>Holes</w:t>
            </w:r>
          </w:p>
        </w:tc>
      </w:tr>
      <w:tr w:rsidR="00D726B2" w:rsidRPr="0080364A" w14:paraId="08239C32" w14:textId="77777777" w:rsidTr="0080364A">
        <w:trPr>
          <w:trHeight w:val="315"/>
        </w:trPr>
        <w:tc>
          <w:tcPr>
            <w:tcW w:w="1275" w:type="dxa"/>
            <w:tcBorders>
              <w:top w:val="single" w:sz="6" w:space="0" w:color="000000"/>
              <w:left w:val="single" w:sz="6" w:space="0" w:color="000000"/>
              <w:bottom w:val="single" w:sz="6" w:space="0" w:color="000000"/>
              <w:right w:val="single" w:sz="6" w:space="0" w:color="000000"/>
            </w:tcBorders>
          </w:tcPr>
          <w:p w14:paraId="12445F86" w14:textId="77777777" w:rsidR="00D726B2" w:rsidRPr="0080364A" w:rsidRDefault="00D726B2" w:rsidP="00E858EF">
            <w:pPr>
              <w:suppressAutoHyphens/>
              <w:jc w:val="center"/>
              <w:rPr>
                <w:sz w:val="20"/>
              </w:rPr>
            </w:pPr>
            <w:r w:rsidRPr="0080364A">
              <w:rPr>
                <w:sz w:val="20"/>
              </w:rPr>
              <w:t>47</w:t>
            </w:r>
          </w:p>
        </w:tc>
        <w:tc>
          <w:tcPr>
            <w:tcW w:w="1275" w:type="dxa"/>
            <w:tcBorders>
              <w:top w:val="single" w:sz="6" w:space="0" w:color="000000"/>
              <w:left w:val="single" w:sz="6" w:space="0" w:color="000000"/>
              <w:bottom w:val="single" w:sz="6" w:space="0" w:color="000000"/>
              <w:right w:val="single" w:sz="6" w:space="0" w:color="000000"/>
            </w:tcBorders>
          </w:tcPr>
          <w:p w14:paraId="6411562B" w14:textId="77777777" w:rsidR="00D726B2" w:rsidRPr="0080364A" w:rsidRDefault="00D726B2" w:rsidP="00E858EF">
            <w:pPr>
              <w:suppressAutoHyphens/>
              <w:jc w:val="center"/>
              <w:rPr>
                <w:sz w:val="20"/>
              </w:rPr>
            </w:pPr>
            <w:r w:rsidRPr="0080364A">
              <w:rPr>
                <w:sz w:val="20"/>
              </w:rPr>
              <w:t>3</w:t>
            </w:r>
          </w:p>
        </w:tc>
      </w:tr>
    </w:tbl>
    <w:p w14:paraId="592BE535" w14:textId="77777777" w:rsidR="00D726B2" w:rsidRPr="00043183" w:rsidRDefault="00D726B2"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sz w:val="20"/>
          <w:szCs w:val="20"/>
        </w:rPr>
      </w:pPr>
    </w:p>
    <w:p w14:paraId="04050131" w14:textId="77777777" w:rsidR="00D726B2" w:rsidRPr="00191003"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sidRPr="00191003">
        <w:rPr>
          <w:color w:val="000000"/>
        </w:rPr>
        <w:t>Presence of base hole</w:t>
      </w:r>
      <w:r>
        <w:rPr>
          <w:color w:val="000000"/>
        </w:rPr>
        <w:t>s:</w:t>
      </w:r>
    </w:p>
    <w:p w14:paraId="4F0B6D99" w14:textId="77777777" w:rsidR="00D726B2" w:rsidRPr="00191003"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Pr>
          <w:color w:val="000000"/>
        </w:rPr>
        <w:t>T</w:t>
      </w:r>
      <w:r w:rsidRPr="00191003">
        <w:rPr>
          <w:color w:val="000000"/>
        </w:rPr>
        <w:t xml:space="preserve">he high </w:t>
      </w:r>
      <w:r>
        <w:rPr>
          <w:color w:val="000000"/>
        </w:rPr>
        <w:t>number</w:t>
      </w:r>
      <w:r w:rsidRPr="00191003">
        <w:rPr>
          <w:color w:val="000000"/>
        </w:rPr>
        <w:t xml:space="preserve"> of bathtub larnakes all have one hole </w:t>
      </w:r>
      <w:r>
        <w:rPr>
          <w:color w:val="000000"/>
        </w:rPr>
        <w:t>in the</w:t>
      </w:r>
      <w:r w:rsidRPr="00191003">
        <w:rPr>
          <w:color w:val="000000"/>
        </w:rPr>
        <w:t xml:space="preserve"> short</w:t>
      </w:r>
      <w:r>
        <w:rPr>
          <w:color w:val="000000"/>
        </w:rPr>
        <w:t>-</w:t>
      </w:r>
      <w:r w:rsidRPr="00191003">
        <w:rPr>
          <w:color w:val="000000"/>
        </w:rPr>
        <w:t>side corner. For the chest</w:t>
      </w:r>
      <w:r>
        <w:rPr>
          <w:color w:val="000000"/>
        </w:rPr>
        <w:t>-</w:t>
      </w:r>
      <w:r w:rsidRPr="00191003">
        <w:rPr>
          <w:color w:val="000000"/>
        </w:rPr>
        <w:t>shaped la</w:t>
      </w:r>
      <w:r>
        <w:rPr>
          <w:color w:val="000000"/>
        </w:rPr>
        <w:t>rnax sample available from Far-East</w:t>
      </w:r>
      <w:r w:rsidRPr="00191003">
        <w:rPr>
          <w:color w:val="000000"/>
        </w:rPr>
        <w:t xml:space="preserve"> Crete</w:t>
      </w:r>
      <w:r>
        <w:rPr>
          <w:color w:val="000000"/>
        </w:rPr>
        <w:t>,</w:t>
      </w:r>
      <w:r w:rsidRPr="00191003">
        <w:rPr>
          <w:color w:val="000000"/>
        </w:rPr>
        <w:t xml:space="preserve"> the number of base holes registered is between 4</w:t>
      </w:r>
      <w:r>
        <w:rPr>
          <w:color w:val="000000"/>
        </w:rPr>
        <w:t xml:space="preserve"> and </w:t>
      </w:r>
      <w:r w:rsidRPr="00191003">
        <w:rPr>
          <w:color w:val="000000"/>
        </w:rPr>
        <w:t>21.</w:t>
      </w:r>
    </w:p>
    <w:p w14:paraId="04785449" w14:textId="77777777" w:rsidR="00D726B2" w:rsidRPr="00191003"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174635DC" w14:textId="77777777" w:rsidR="00D726B2"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ind w:left="560"/>
        <w:rPr>
          <w:color w:val="000000"/>
        </w:rPr>
      </w:pPr>
      <w:r w:rsidRPr="00AD4648">
        <w:rPr>
          <w:color w:val="000000"/>
        </w:rPr>
        <w:t>Panel division/panel type/number of panels: 4 panels with raised bands. Information is available on a sample of 29 larnakes</w:t>
      </w:r>
    </w:p>
    <w:p w14:paraId="7B8CFB61" w14:textId="6107F066" w:rsidR="00D726B2" w:rsidRPr="00E7753F" w:rsidRDefault="00D726B2" w:rsidP="00E858EF">
      <w:pPr>
        <w:pStyle w:val="Testofumetto"/>
        <w:suppressAutoHyphens/>
      </w:pPr>
      <w:bookmarkStart w:id="1184" w:name="_Toc520212666"/>
      <w:r>
        <w:t>Table 5-41</w:t>
      </w:r>
      <w:r w:rsidR="00BA7AB7">
        <w:t>.</w:t>
      </w:r>
      <w:r>
        <w:t xml:space="preserve"> Panels, Far-East</w:t>
      </w:r>
      <w:bookmarkEnd w:id="1184"/>
      <w:r w:rsidR="00AD1B4B">
        <w:t xml:space="preserve"> area</w:t>
      </w:r>
    </w:p>
    <w:tbl>
      <w:tblPr>
        <w:tblW w:w="0" w:type="auto"/>
        <w:tblInd w:w="-67" w:type="dxa"/>
        <w:tblCellMar>
          <w:left w:w="0" w:type="dxa"/>
          <w:right w:w="0" w:type="dxa"/>
        </w:tblCellMar>
        <w:tblLook w:val="04A0" w:firstRow="1" w:lastRow="0" w:firstColumn="1" w:lastColumn="0" w:noHBand="0" w:noVBand="1"/>
      </w:tblPr>
      <w:tblGrid>
        <w:gridCol w:w="1635"/>
        <w:gridCol w:w="1559"/>
        <w:gridCol w:w="1275"/>
        <w:gridCol w:w="1275"/>
        <w:gridCol w:w="2836"/>
      </w:tblGrid>
      <w:tr w:rsidR="00D726B2" w:rsidRPr="0080364A" w14:paraId="0B1ECBD7" w14:textId="77777777" w:rsidTr="00A05142">
        <w:trPr>
          <w:trHeight w:val="315"/>
        </w:trPr>
        <w:tc>
          <w:tcPr>
            <w:tcW w:w="1635" w:type="dxa"/>
            <w:tcBorders>
              <w:top w:val="single" w:sz="6" w:space="0" w:color="000000"/>
              <w:left w:val="single" w:sz="6" w:space="0" w:color="000000"/>
              <w:bottom w:val="single" w:sz="6" w:space="0" w:color="000000"/>
              <w:right w:val="single" w:sz="6" w:space="0" w:color="000000"/>
            </w:tcBorders>
          </w:tcPr>
          <w:p w14:paraId="6A94BCDC" w14:textId="77777777" w:rsidR="00D726B2" w:rsidRPr="0080364A" w:rsidRDefault="00D726B2" w:rsidP="00E858EF">
            <w:pPr>
              <w:suppressAutoHyphens/>
              <w:jc w:val="center"/>
              <w:rPr>
                <w:sz w:val="22"/>
              </w:rPr>
            </w:pPr>
            <w:r w:rsidRPr="0080364A">
              <w:rPr>
                <w:sz w:val="22"/>
              </w:rPr>
              <w:t>Raised bands</w:t>
            </w:r>
          </w:p>
        </w:tc>
        <w:tc>
          <w:tcPr>
            <w:tcW w:w="1559" w:type="dxa"/>
            <w:tcBorders>
              <w:top w:val="single" w:sz="6" w:space="0" w:color="000000"/>
              <w:left w:val="single" w:sz="6" w:space="0" w:color="000000"/>
              <w:bottom w:val="single" w:sz="6" w:space="0" w:color="000000"/>
              <w:right w:val="single" w:sz="6" w:space="0" w:color="000000"/>
            </w:tcBorders>
          </w:tcPr>
          <w:p w14:paraId="671E313D" w14:textId="77777777" w:rsidR="00D726B2" w:rsidRPr="0080364A" w:rsidRDefault="00D726B2" w:rsidP="00E858EF">
            <w:pPr>
              <w:suppressAutoHyphens/>
              <w:jc w:val="center"/>
              <w:rPr>
                <w:sz w:val="22"/>
              </w:rPr>
            </w:pPr>
            <w:r w:rsidRPr="0080364A">
              <w:rPr>
                <w:sz w:val="22"/>
              </w:rPr>
              <w:t>Incised bands</w:t>
            </w:r>
          </w:p>
        </w:tc>
        <w:tc>
          <w:tcPr>
            <w:tcW w:w="1275" w:type="dxa"/>
            <w:tcBorders>
              <w:top w:val="single" w:sz="6" w:space="0" w:color="000000"/>
              <w:left w:val="single" w:sz="6" w:space="0" w:color="000000"/>
              <w:bottom w:val="single" w:sz="6" w:space="0" w:color="000000"/>
              <w:right w:val="single" w:sz="6" w:space="0" w:color="000000"/>
            </w:tcBorders>
          </w:tcPr>
          <w:p w14:paraId="0C53F1E4" w14:textId="77777777" w:rsidR="00D726B2" w:rsidRPr="0080364A" w:rsidRDefault="00D726B2" w:rsidP="00E858EF">
            <w:pPr>
              <w:suppressAutoHyphens/>
              <w:jc w:val="center"/>
              <w:rPr>
                <w:sz w:val="22"/>
              </w:rPr>
            </w:pPr>
            <w:r w:rsidRPr="0080364A">
              <w:rPr>
                <w:sz w:val="22"/>
              </w:rPr>
              <w:t>4 panels</w:t>
            </w:r>
          </w:p>
        </w:tc>
        <w:tc>
          <w:tcPr>
            <w:tcW w:w="1275" w:type="dxa"/>
            <w:tcBorders>
              <w:top w:val="single" w:sz="6" w:space="0" w:color="000000"/>
              <w:left w:val="single" w:sz="6" w:space="0" w:color="000000"/>
              <w:bottom w:val="single" w:sz="6" w:space="0" w:color="000000"/>
              <w:right w:val="single" w:sz="6" w:space="0" w:color="000000"/>
            </w:tcBorders>
          </w:tcPr>
          <w:p w14:paraId="0B736D8E" w14:textId="77777777" w:rsidR="00D726B2" w:rsidRPr="0080364A" w:rsidRDefault="00D726B2" w:rsidP="00E858EF">
            <w:pPr>
              <w:suppressAutoHyphens/>
              <w:jc w:val="center"/>
              <w:rPr>
                <w:sz w:val="22"/>
              </w:rPr>
            </w:pPr>
            <w:r w:rsidRPr="0080364A">
              <w:rPr>
                <w:sz w:val="22"/>
              </w:rPr>
              <w:t>6 panels</w:t>
            </w:r>
          </w:p>
        </w:tc>
        <w:tc>
          <w:tcPr>
            <w:tcW w:w="2836" w:type="dxa"/>
            <w:tcBorders>
              <w:top w:val="single" w:sz="6" w:space="0" w:color="000000"/>
              <w:left w:val="single" w:sz="6" w:space="0" w:color="000000"/>
              <w:bottom w:val="single" w:sz="6" w:space="0" w:color="000000"/>
              <w:right w:val="single" w:sz="6" w:space="0" w:color="000000"/>
            </w:tcBorders>
          </w:tcPr>
          <w:p w14:paraId="663E9D20" w14:textId="77777777" w:rsidR="00D726B2" w:rsidRPr="0080364A" w:rsidRDefault="00D726B2" w:rsidP="00E858EF">
            <w:pPr>
              <w:suppressAutoHyphens/>
              <w:jc w:val="center"/>
              <w:rPr>
                <w:sz w:val="22"/>
              </w:rPr>
            </w:pPr>
            <w:r w:rsidRPr="0080364A">
              <w:rPr>
                <w:sz w:val="22"/>
              </w:rPr>
              <w:t>N/A number of panels</w:t>
            </w:r>
          </w:p>
        </w:tc>
      </w:tr>
      <w:tr w:rsidR="00D726B2" w:rsidRPr="0080364A" w14:paraId="1F2EDE49" w14:textId="77777777" w:rsidTr="00A05142">
        <w:trPr>
          <w:trHeight w:val="315"/>
        </w:trPr>
        <w:tc>
          <w:tcPr>
            <w:tcW w:w="1635" w:type="dxa"/>
            <w:tcBorders>
              <w:top w:val="single" w:sz="6" w:space="0" w:color="000000"/>
              <w:left w:val="single" w:sz="6" w:space="0" w:color="000000"/>
              <w:bottom w:val="single" w:sz="6" w:space="0" w:color="000000"/>
              <w:right w:val="single" w:sz="6" w:space="0" w:color="000000"/>
            </w:tcBorders>
          </w:tcPr>
          <w:p w14:paraId="377EAA35" w14:textId="77777777" w:rsidR="00D726B2" w:rsidRPr="0080364A" w:rsidRDefault="00D726B2" w:rsidP="00E858EF">
            <w:pPr>
              <w:suppressAutoHyphens/>
              <w:jc w:val="center"/>
              <w:rPr>
                <w:sz w:val="22"/>
              </w:rPr>
            </w:pPr>
            <w:r w:rsidRPr="0080364A">
              <w:rPr>
                <w:sz w:val="22"/>
              </w:rPr>
              <w:t>17</w:t>
            </w:r>
          </w:p>
        </w:tc>
        <w:tc>
          <w:tcPr>
            <w:tcW w:w="1559" w:type="dxa"/>
            <w:tcBorders>
              <w:top w:val="single" w:sz="6" w:space="0" w:color="000000"/>
              <w:left w:val="single" w:sz="6" w:space="0" w:color="000000"/>
              <w:bottom w:val="single" w:sz="6" w:space="0" w:color="000000"/>
              <w:right w:val="single" w:sz="6" w:space="0" w:color="000000"/>
            </w:tcBorders>
          </w:tcPr>
          <w:p w14:paraId="11548873" w14:textId="77777777" w:rsidR="00D726B2" w:rsidRPr="0080364A" w:rsidRDefault="00D726B2" w:rsidP="00E858EF">
            <w:pPr>
              <w:suppressAutoHyphens/>
              <w:jc w:val="center"/>
              <w:rPr>
                <w:sz w:val="22"/>
              </w:rPr>
            </w:pPr>
            <w:r w:rsidRPr="0080364A">
              <w:rPr>
                <w:sz w:val="22"/>
              </w:rPr>
              <w:t>11</w:t>
            </w:r>
          </w:p>
        </w:tc>
        <w:tc>
          <w:tcPr>
            <w:tcW w:w="1275" w:type="dxa"/>
            <w:tcBorders>
              <w:top w:val="single" w:sz="6" w:space="0" w:color="000000"/>
              <w:left w:val="single" w:sz="6" w:space="0" w:color="000000"/>
              <w:bottom w:val="single" w:sz="6" w:space="0" w:color="000000"/>
              <w:right w:val="single" w:sz="6" w:space="0" w:color="000000"/>
            </w:tcBorders>
          </w:tcPr>
          <w:p w14:paraId="73036B68" w14:textId="77777777" w:rsidR="00D726B2" w:rsidRPr="0080364A" w:rsidRDefault="00D726B2" w:rsidP="00E858EF">
            <w:pPr>
              <w:suppressAutoHyphens/>
              <w:jc w:val="center"/>
              <w:rPr>
                <w:sz w:val="22"/>
              </w:rPr>
            </w:pPr>
            <w:r w:rsidRPr="0080364A">
              <w:rPr>
                <w:sz w:val="22"/>
              </w:rPr>
              <w:t>12</w:t>
            </w:r>
          </w:p>
        </w:tc>
        <w:tc>
          <w:tcPr>
            <w:tcW w:w="1275" w:type="dxa"/>
            <w:tcBorders>
              <w:top w:val="single" w:sz="6" w:space="0" w:color="000000"/>
              <w:left w:val="single" w:sz="6" w:space="0" w:color="000000"/>
              <w:bottom w:val="single" w:sz="6" w:space="0" w:color="000000"/>
              <w:right w:val="single" w:sz="6" w:space="0" w:color="000000"/>
            </w:tcBorders>
          </w:tcPr>
          <w:p w14:paraId="653C677F" w14:textId="77777777" w:rsidR="00D726B2" w:rsidRPr="0080364A" w:rsidRDefault="00D726B2" w:rsidP="00E858EF">
            <w:pPr>
              <w:suppressAutoHyphens/>
              <w:jc w:val="center"/>
              <w:rPr>
                <w:sz w:val="22"/>
              </w:rPr>
            </w:pPr>
            <w:r w:rsidRPr="0080364A">
              <w:rPr>
                <w:sz w:val="22"/>
              </w:rPr>
              <w:t>12</w:t>
            </w:r>
          </w:p>
        </w:tc>
        <w:tc>
          <w:tcPr>
            <w:tcW w:w="2836" w:type="dxa"/>
            <w:tcBorders>
              <w:top w:val="single" w:sz="6" w:space="0" w:color="000000"/>
              <w:left w:val="single" w:sz="6" w:space="0" w:color="000000"/>
              <w:bottom w:val="single" w:sz="6" w:space="0" w:color="000000"/>
              <w:right w:val="single" w:sz="6" w:space="0" w:color="000000"/>
            </w:tcBorders>
          </w:tcPr>
          <w:p w14:paraId="595B5092" w14:textId="77777777" w:rsidR="00D726B2" w:rsidRPr="0080364A" w:rsidRDefault="00D726B2" w:rsidP="00E858EF">
            <w:pPr>
              <w:suppressAutoHyphens/>
              <w:jc w:val="center"/>
              <w:rPr>
                <w:sz w:val="22"/>
              </w:rPr>
            </w:pPr>
            <w:r w:rsidRPr="0080364A">
              <w:rPr>
                <w:sz w:val="22"/>
              </w:rPr>
              <w:t>5</w:t>
            </w:r>
          </w:p>
        </w:tc>
      </w:tr>
    </w:tbl>
    <w:p w14:paraId="641269EA" w14:textId="77777777" w:rsidR="00D726B2" w:rsidRPr="00043183" w:rsidRDefault="00D726B2"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sz w:val="20"/>
          <w:szCs w:val="20"/>
        </w:rPr>
      </w:pPr>
    </w:p>
    <w:p w14:paraId="31761638" w14:textId="77777777" w:rsidR="00D726B2" w:rsidRPr="00D06384" w:rsidRDefault="00D726B2" w:rsidP="00370745">
      <w:pPr>
        <w:pStyle w:val="Paragrafoelenco"/>
        <w:numPr>
          <w:ilvl w:val="0"/>
          <w:numId w:val="10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spacing w:after="160"/>
        <w:rPr>
          <w:color w:val="000000"/>
        </w:rPr>
      </w:pPr>
      <w:r>
        <w:rPr>
          <w:color w:val="000000"/>
        </w:rPr>
        <w:t>Presence</w:t>
      </w:r>
      <w:r w:rsidRPr="00191003">
        <w:rPr>
          <w:color w:val="000000"/>
        </w:rPr>
        <w:t xml:space="preserve"> of figurines:  they occur </w:t>
      </w:r>
      <w:r>
        <w:rPr>
          <w:color w:val="000000"/>
        </w:rPr>
        <w:t>o</w:t>
      </w:r>
      <w:r w:rsidRPr="00191003">
        <w:rPr>
          <w:color w:val="000000"/>
        </w:rPr>
        <w:t>n 10 larnakes, usually at the end of the ridge pole</w:t>
      </w:r>
      <w:r>
        <w:rPr>
          <w:color w:val="000000"/>
        </w:rPr>
        <w:t>.</w:t>
      </w:r>
    </w:p>
    <w:p w14:paraId="1A3F1E84" w14:textId="77777777" w:rsidR="00D726B2" w:rsidRPr="00191003" w:rsidRDefault="00D726B2" w:rsidP="00E858EF">
      <w:pPr>
        <w:pStyle w:val="Titolo3"/>
        <w:keepNext w:val="0"/>
        <w:keepLines w:val="0"/>
        <w:suppressAutoHyphens/>
      </w:pPr>
      <w:bookmarkStart w:id="1185" w:name="_Toc517807634"/>
      <w:bookmarkStart w:id="1186" w:name="_Toc519894706"/>
      <w:r w:rsidRPr="00191003">
        <w:rPr>
          <w:color w:val="000000"/>
        </w:rPr>
        <w:t>Analysis</w:t>
      </w:r>
      <w:r w:rsidRPr="00191003">
        <w:t xml:space="preserve"> of </w:t>
      </w:r>
      <w:r>
        <w:t xml:space="preserve">the </w:t>
      </w:r>
      <w:r w:rsidRPr="00191003">
        <w:t>iconog</w:t>
      </w:r>
      <w:r>
        <w:t>raphy of decorated larnakes in the Far-East</w:t>
      </w:r>
      <w:r w:rsidRPr="00191003">
        <w:t xml:space="preserve"> area</w:t>
      </w:r>
      <w:bookmarkEnd w:id="1185"/>
      <w:bookmarkEnd w:id="1186"/>
    </w:p>
    <w:p w14:paraId="02825BF7" w14:textId="244275BB" w:rsidR="00D726B2" w:rsidRPr="00191003" w:rsidRDefault="00D726B2" w:rsidP="00E858EF">
      <w:pPr>
        <w:suppressAutoHyphens/>
      </w:pPr>
      <w:r w:rsidRPr="00191003">
        <w:t xml:space="preserve">From the sample of larnakes securely found in burial contexts in </w:t>
      </w:r>
      <w:r>
        <w:t>the Far-East</w:t>
      </w:r>
      <w:r w:rsidRPr="00191003">
        <w:t xml:space="preserve"> region </w:t>
      </w:r>
      <w:r>
        <w:t>(</w:t>
      </w:r>
      <w:r w:rsidRPr="00191003">
        <w:t>131 items</w:t>
      </w:r>
      <w:r>
        <w:t>)</w:t>
      </w:r>
      <w:r w:rsidRPr="00191003">
        <w:t xml:space="preserve">, the presence of decoration </w:t>
      </w:r>
      <w:r>
        <w:t>is</w:t>
      </w:r>
      <w:r w:rsidRPr="00191003">
        <w:t xml:space="preserve"> registered </w:t>
      </w:r>
      <w:r>
        <w:t>for</w:t>
      </w:r>
      <w:r w:rsidRPr="00191003">
        <w:t xml:space="preserve"> 50% (65 larnakes</w:t>
      </w:r>
      <w:r w:rsidR="00D52A83">
        <w:t>, see: Appendix: Far-East</w:t>
      </w:r>
      <w:r w:rsidRPr="00191003">
        <w:t xml:space="preserve">). </w:t>
      </w:r>
    </w:p>
    <w:p w14:paraId="5E0EB412" w14:textId="77777777" w:rsidR="00D726B2" w:rsidRPr="00191003" w:rsidRDefault="00D726B2" w:rsidP="00E858EF">
      <w:pPr>
        <w:suppressAutoHyphens/>
      </w:pPr>
    </w:p>
    <w:p w14:paraId="751F1039" w14:textId="77777777" w:rsidR="00D726B2" w:rsidRDefault="00D726B2" w:rsidP="00E858EF">
      <w:pPr>
        <w:suppressAutoHyphens/>
        <w:rPr>
          <w:b/>
        </w:rPr>
      </w:pPr>
      <w:r>
        <w:rPr>
          <w:noProof/>
          <w:lang w:val="it-IT"/>
        </w:rPr>
        <w:drawing>
          <wp:inline distT="0" distB="0" distL="0" distR="0" wp14:anchorId="46FDF319" wp14:editId="7370232A">
            <wp:extent cx="4722126" cy="2339975"/>
            <wp:effectExtent l="0" t="0" r="2540" b="3175"/>
            <wp:docPr id="202" name="Gra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14:paraId="43BE4AF3" w14:textId="690748A6" w:rsidR="00D726B2" w:rsidRDefault="00D726B2" w:rsidP="00E858EF">
      <w:pPr>
        <w:pStyle w:val="Didascalia"/>
        <w:suppressAutoHyphens/>
      </w:pPr>
      <w:bookmarkStart w:id="1187" w:name="_Toc520212478"/>
      <w:r>
        <w:t>Figure 5-82</w:t>
      </w:r>
      <w:r w:rsidR="00BD7A4F">
        <w:t>.</w:t>
      </w:r>
      <w:r>
        <w:t xml:space="preserve"> Far-East </w:t>
      </w:r>
      <w:r w:rsidR="00AD1B4B">
        <w:t xml:space="preserve">area </w:t>
      </w:r>
      <w:r>
        <w:t>larnax decoration</w:t>
      </w:r>
      <w:bookmarkEnd w:id="1187"/>
    </w:p>
    <w:p w14:paraId="764E2A02" w14:textId="77777777" w:rsidR="00D726B2" w:rsidRDefault="00D726B2" w:rsidP="00E858EF">
      <w:pPr>
        <w:suppressAutoHyphens/>
      </w:pPr>
    </w:p>
    <w:p w14:paraId="2FAE97D9" w14:textId="089E5EBC" w:rsidR="00D726B2" w:rsidRPr="000342D7" w:rsidRDefault="00D726B2" w:rsidP="00E858EF">
      <w:pPr>
        <w:pStyle w:val="Testofumetto"/>
        <w:suppressAutoHyphens/>
      </w:pPr>
      <w:bookmarkStart w:id="1188" w:name="_Toc520212667"/>
      <w:r>
        <w:t>Table 5-42</w:t>
      </w:r>
      <w:r w:rsidR="00BA7AB7">
        <w:t>.</w:t>
      </w:r>
      <w:r>
        <w:t xml:space="preserve"> Decoration, Far-East</w:t>
      </w:r>
      <w:bookmarkEnd w:id="1188"/>
      <w:r w:rsidR="00AD1B4B">
        <w:t xml:space="preserve"> area</w:t>
      </w:r>
    </w:p>
    <w:tbl>
      <w:tblPr>
        <w:tblW w:w="0" w:type="auto"/>
        <w:tblInd w:w="8" w:type="dxa"/>
        <w:tblCellMar>
          <w:left w:w="0" w:type="dxa"/>
          <w:right w:w="0" w:type="dxa"/>
        </w:tblCellMar>
        <w:tblLook w:val="04A0" w:firstRow="1" w:lastRow="0" w:firstColumn="1" w:lastColumn="0" w:noHBand="0" w:noVBand="1"/>
      </w:tblPr>
      <w:tblGrid>
        <w:gridCol w:w="1275"/>
        <w:gridCol w:w="1583"/>
        <w:gridCol w:w="1328"/>
        <w:gridCol w:w="2126"/>
      </w:tblGrid>
      <w:tr w:rsidR="00D726B2" w:rsidRPr="00203D81" w14:paraId="7B7BD7F1" w14:textId="77777777" w:rsidTr="00A05142">
        <w:trPr>
          <w:trHeight w:val="315"/>
        </w:trPr>
        <w:tc>
          <w:tcPr>
            <w:tcW w:w="1275" w:type="dxa"/>
            <w:tcBorders>
              <w:top w:val="single" w:sz="6" w:space="0" w:color="000000"/>
              <w:left w:val="single" w:sz="6" w:space="0" w:color="000000"/>
              <w:bottom w:val="single" w:sz="6" w:space="0" w:color="000000"/>
              <w:right w:val="single" w:sz="6" w:space="0" w:color="000000"/>
            </w:tcBorders>
          </w:tcPr>
          <w:p w14:paraId="580422E4" w14:textId="77777777" w:rsidR="00D726B2" w:rsidRPr="00203D81" w:rsidRDefault="00D726B2" w:rsidP="00E858EF">
            <w:pPr>
              <w:suppressAutoHyphens/>
              <w:jc w:val="center"/>
              <w:rPr>
                <w:sz w:val="20"/>
              </w:rPr>
            </w:pPr>
            <w:r w:rsidRPr="00203D81">
              <w:rPr>
                <w:sz w:val="20"/>
              </w:rPr>
              <w:t>Decorated</w:t>
            </w:r>
          </w:p>
        </w:tc>
        <w:tc>
          <w:tcPr>
            <w:tcW w:w="1583" w:type="dxa"/>
            <w:tcBorders>
              <w:top w:val="single" w:sz="6" w:space="0" w:color="000000"/>
              <w:left w:val="single" w:sz="6" w:space="0" w:color="000000"/>
              <w:bottom w:val="single" w:sz="6" w:space="0" w:color="000000"/>
              <w:right w:val="single" w:sz="6" w:space="0" w:color="000000"/>
            </w:tcBorders>
          </w:tcPr>
          <w:p w14:paraId="31BB7479" w14:textId="77777777" w:rsidR="00D726B2" w:rsidRPr="00203D81" w:rsidRDefault="00D726B2" w:rsidP="00E858EF">
            <w:pPr>
              <w:suppressAutoHyphens/>
              <w:jc w:val="center"/>
              <w:rPr>
                <w:sz w:val="20"/>
              </w:rPr>
            </w:pPr>
            <w:r w:rsidRPr="00203D81">
              <w:rPr>
                <w:sz w:val="20"/>
              </w:rPr>
              <w:t>Undecorated</w:t>
            </w:r>
          </w:p>
        </w:tc>
        <w:tc>
          <w:tcPr>
            <w:tcW w:w="1328" w:type="dxa"/>
            <w:tcBorders>
              <w:top w:val="single" w:sz="6" w:space="0" w:color="000000"/>
              <w:left w:val="single" w:sz="6" w:space="0" w:color="000000"/>
              <w:bottom w:val="single" w:sz="6" w:space="0" w:color="000000"/>
              <w:right w:val="single" w:sz="6" w:space="0" w:color="000000"/>
            </w:tcBorders>
          </w:tcPr>
          <w:p w14:paraId="7F701228" w14:textId="77777777" w:rsidR="00D726B2" w:rsidRPr="00203D81" w:rsidRDefault="00D726B2" w:rsidP="00E858EF">
            <w:pPr>
              <w:suppressAutoHyphens/>
              <w:jc w:val="center"/>
              <w:rPr>
                <w:sz w:val="20"/>
              </w:rPr>
            </w:pPr>
            <w:r w:rsidRPr="00203D81">
              <w:rPr>
                <w:sz w:val="20"/>
              </w:rPr>
              <w:t>Unknown</w:t>
            </w:r>
          </w:p>
        </w:tc>
        <w:tc>
          <w:tcPr>
            <w:tcW w:w="2126" w:type="dxa"/>
            <w:tcBorders>
              <w:top w:val="single" w:sz="6" w:space="0" w:color="000000"/>
              <w:left w:val="single" w:sz="6" w:space="0" w:color="000000"/>
              <w:bottom w:val="single" w:sz="6" w:space="0" w:color="000000"/>
              <w:right w:val="single" w:sz="6" w:space="0" w:color="000000"/>
            </w:tcBorders>
          </w:tcPr>
          <w:p w14:paraId="09757E52" w14:textId="77777777" w:rsidR="00D726B2" w:rsidRPr="00203D81" w:rsidRDefault="00D726B2" w:rsidP="00E858EF">
            <w:pPr>
              <w:suppressAutoHyphens/>
              <w:jc w:val="center"/>
              <w:rPr>
                <w:sz w:val="20"/>
              </w:rPr>
            </w:pPr>
            <w:r w:rsidRPr="00203D81">
              <w:rPr>
                <w:sz w:val="20"/>
              </w:rPr>
              <w:t>Incised decoration</w:t>
            </w:r>
          </w:p>
        </w:tc>
      </w:tr>
      <w:tr w:rsidR="00D726B2" w:rsidRPr="00203D81" w14:paraId="23666D8B" w14:textId="77777777" w:rsidTr="00A05142">
        <w:trPr>
          <w:trHeight w:val="315"/>
        </w:trPr>
        <w:tc>
          <w:tcPr>
            <w:tcW w:w="1275" w:type="dxa"/>
            <w:tcBorders>
              <w:top w:val="single" w:sz="6" w:space="0" w:color="000000"/>
              <w:left w:val="single" w:sz="6" w:space="0" w:color="000000"/>
              <w:bottom w:val="single" w:sz="6" w:space="0" w:color="000000"/>
              <w:right w:val="single" w:sz="6" w:space="0" w:color="000000"/>
            </w:tcBorders>
          </w:tcPr>
          <w:p w14:paraId="591835AE" w14:textId="77777777" w:rsidR="00D726B2" w:rsidRPr="00203D81" w:rsidRDefault="00D726B2" w:rsidP="00E858EF">
            <w:pPr>
              <w:suppressAutoHyphens/>
              <w:jc w:val="center"/>
              <w:rPr>
                <w:sz w:val="20"/>
              </w:rPr>
            </w:pPr>
            <w:r w:rsidRPr="00203D81">
              <w:rPr>
                <w:sz w:val="20"/>
              </w:rPr>
              <w:t>65</w:t>
            </w:r>
          </w:p>
        </w:tc>
        <w:tc>
          <w:tcPr>
            <w:tcW w:w="1583" w:type="dxa"/>
            <w:tcBorders>
              <w:top w:val="single" w:sz="6" w:space="0" w:color="000000"/>
              <w:left w:val="single" w:sz="6" w:space="0" w:color="000000"/>
              <w:bottom w:val="single" w:sz="6" w:space="0" w:color="000000"/>
              <w:right w:val="single" w:sz="6" w:space="0" w:color="000000"/>
            </w:tcBorders>
          </w:tcPr>
          <w:p w14:paraId="10D03B3E" w14:textId="77777777" w:rsidR="00D726B2" w:rsidRPr="00203D81" w:rsidRDefault="00D726B2" w:rsidP="00E858EF">
            <w:pPr>
              <w:suppressAutoHyphens/>
              <w:jc w:val="center"/>
              <w:rPr>
                <w:sz w:val="20"/>
              </w:rPr>
            </w:pPr>
            <w:r w:rsidRPr="00203D81">
              <w:rPr>
                <w:sz w:val="20"/>
              </w:rPr>
              <w:t>6</w:t>
            </w:r>
          </w:p>
        </w:tc>
        <w:tc>
          <w:tcPr>
            <w:tcW w:w="1328" w:type="dxa"/>
            <w:tcBorders>
              <w:top w:val="single" w:sz="6" w:space="0" w:color="000000"/>
              <w:left w:val="single" w:sz="6" w:space="0" w:color="000000"/>
              <w:bottom w:val="single" w:sz="6" w:space="0" w:color="000000"/>
              <w:right w:val="single" w:sz="6" w:space="0" w:color="000000"/>
            </w:tcBorders>
          </w:tcPr>
          <w:p w14:paraId="1F7D63A3" w14:textId="77777777" w:rsidR="00D726B2" w:rsidRPr="00203D81" w:rsidRDefault="00D726B2" w:rsidP="00E858EF">
            <w:pPr>
              <w:suppressAutoHyphens/>
              <w:jc w:val="center"/>
              <w:rPr>
                <w:sz w:val="20"/>
              </w:rPr>
            </w:pPr>
            <w:r w:rsidRPr="00203D81">
              <w:rPr>
                <w:sz w:val="20"/>
              </w:rPr>
              <w:t>59</w:t>
            </w:r>
          </w:p>
        </w:tc>
        <w:tc>
          <w:tcPr>
            <w:tcW w:w="2126" w:type="dxa"/>
            <w:tcBorders>
              <w:top w:val="single" w:sz="6" w:space="0" w:color="000000"/>
              <w:left w:val="single" w:sz="6" w:space="0" w:color="000000"/>
              <w:bottom w:val="single" w:sz="6" w:space="0" w:color="000000"/>
              <w:right w:val="single" w:sz="6" w:space="0" w:color="000000"/>
            </w:tcBorders>
          </w:tcPr>
          <w:p w14:paraId="28641AD7" w14:textId="77777777" w:rsidR="00D726B2" w:rsidRPr="00203D81" w:rsidRDefault="00D726B2" w:rsidP="00E858EF">
            <w:pPr>
              <w:suppressAutoHyphens/>
              <w:jc w:val="center"/>
              <w:rPr>
                <w:sz w:val="20"/>
              </w:rPr>
            </w:pPr>
            <w:r w:rsidRPr="00203D81">
              <w:rPr>
                <w:sz w:val="20"/>
              </w:rPr>
              <w:t>0</w:t>
            </w:r>
          </w:p>
        </w:tc>
      </w:tr>
    </w:tbl>
    <w:p w14:paraId="2B853342" w14:textId="77777777" w:rsidR="00D726B2" w:rsidRPr="00191003" w:rsidRDefault="00D726B2" w:rsidP="00E858EF">
      <w:pPr>
        <w:suppressAutoHyphens/>
        <w:rPr>
          <w:b/>
        </w:rPr>
      </w:pPr>
    </w:p>
    <w:p w14:paraId="300C2293" w14:textId="467199EC" w:rsidR="00D726B2" w:rsidRDefault="00D726B2" w:rsidP="00E858EF">
      <w:pPr>
        <w:suppressAutoHyphens/>
      </w:pPr>
      <w:r w:rsidRPr="00191003">
        <w:t>Within the decorated sample</w:t>
      </w:r>
      <w:r>
        <w:t>,</w:t>
      </w:r>
      <w:r w:rsidRPr="00191003">
        <w:t xml:space="preserve"> </w:t>
      </w:r>
      <w:r>
        <w:t>the</w:t>
      </w:r>
      <w:r w:rsidRPr="00191003">
        <w:t xml:space="preserve"> shapes </w:t>
      </w:r>
      <w:r>
        <w:t xml:space="preserve">of the </w:t>
      </w:r>
      <w:r w:rsidRPr="00191003">
        <w:t>larnakes are distributed as follow</w:t>
      </w:r>
      <w:r>
        <w:t>s</w:t>
      </w:r>
      <w:r w:rsidRPr="00191003">
        <w:t>:</w:t>
      </w:r>
    </w:p>
    <w:p w14:paraId="0F2AC71B" w14:textId="77777777" w:rsidR="00A05142" w:rsidRPr="00191003" w:rsidRDefault="00A05142" w:rsidP="00E858EF">
      <w:pPr>
        <w:suppressAutoHyphens/>
      </w:pPr>
    </w:p>
    <w:p w14:paraId="5C9732B3" w14:textId="77777777" w:rsidR="00D726B2" w:rsidRPr="007167C1" w:rsidRDefault="00D726B2" w:rsidP="00E858EF">
      <w:pPr>
        <w:suppressAutoHyphens/>
        <w:rPr>
          <w:sz w:val="20"/>
          <w:szCs w:val="20"/>
        </w:rPr>
      </w:pPr>
      <w:r w:rsidRPr="007167C1">
        <w:rPr>
          <w:noProof/>
          <w:sz w:val="20"/>
          <w:szCs w:val="20"/>
          <w:lang w:val="it-IT"/>
        </w:rPr>
        <w:drawing>
          <wp:inline distT="0" distB="0" distL="0" distR="0" wp14:anchorId="6BA98864" wp14:editId="169E1EEB">
            <wp:extent cx="4680000" cy="2520000"/>
            <wp:effectExtent l="0" t="0" r="19050" b="20320"/>
            <wp:docPr id="203" name="Gra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14:paraId="2F80D9F1" w14:textId="577AF33A" w:rsidR="00D726B2" w:rsidRDefault="00D726B2" w:rsidP="00E858EF">
      <w:pPr>
        <w:pStyle w:val="Didascalia"/>
        <w:suppressAutoHyphens/>
      </w:pPr>
      <w:bookmarkStart w:id="1189" w:name="_Toc520212479"/>
      <w:r w:rsidRPr="007167C1">
        <w:t>Fig</w:t>
      </w:r>
      <w:r>
        <w:t>ure 5-83</w:t>
      </w:r>
      <w:r w:rsidR="00BD7A4F">
        <w:t>.</w:t>
      </w:r>
      <w:r>
        <w:t xml:space="preserve"> Shape distribution, Far-East</w:t>
      </w:r>
      <w:bookmarkEnd w:id="1189"/>
      <w:r w:rsidR="00AD1B4B">
        <w:t xml:space="preserve"> area</w:t>
      </w:r>
    </w:p>
    <w:p w14:paraId="3761F58C" w14:textId="77777777" w:rsidR="00A05142" w:rsidRPr="00A05142" w:rsidRDefault="00A05142" w:rsidP="00E858EF">
      <w:pPr>
        <w:suppressAutoHyphens/>
      </w:pPr>
    </w:p>
    <w:p w14:paraId="7D35AF04" w14:textId="77777777" w:rsidR="00D726B2" w:rsidRPr="00191003" w:rsidRDefault="00D726B2" w:rsidP="00E858EF">
      <w:pPr>
        <w:suppressAutoHyphens/>
      </w:pPr>
      <w:r>
        <w:tab/>
        <w:t>Despite the poor</w:t>
      </w:r>
      <w:r w:rsidRPr="00191003">
        <w:t xml:space="preserve"> preserv</w:t>
      </w:r>
      <w:r>
        <w:t>ation</w:t>
      </w:r>
      <w:r w:rsidRPr="00191003">
        <w:t xml:space="preserve"> condition of</w:t>
      </w:r>
      <w:r>
        <w:t xml:space="preserve"> many</w:t>
      </w:r>
      <w:r w:rsidRPr="00191003">
        <w:t xml:space="preserve"> larnakes and </w:t>
      </w:r>
      <w:r>
        <w:t xml:space="preserve">the </w:t>
      </w:r>
      <w:r w:rsidRPr="00191003">
        <w:t xml:space="preserve">publication limits, it is possible to conduct a detailed iconographical analysis on 54 items </w:t>
      </w:r>
      <w:r>
        <w:t>or</w:t>
      </w:r>
      <w:r w:rsidRPr="00191003">
        <w:t xml:space="preserve"> 83% of</w:t>
      </w:r>
      <w:r>
        <w:t xml:space="preserve"> the</w:t>
      </w:r>
      <w:r w:rsidRPr="00191003">
        <w:t xml:space="preserve"> decorated larnakes.</w:t>
      </w:r>
    </w:p>
    <w:p w14:paraId="0F881CB3" w14:textId="77777777" w:rsidR="00D726B2" w:rsidRPr="00191003" w:rsidRDefault="00D726B2" w:rsidP="00E858EF">
      <w:pPr>
        <w:suppressAutoHyphens/>
        <w:ind w:firstLine="567"/>
      </w:pPr>
      <w:r w:rsidRPr="00191003">
        <w:t xml:space="preserve">There is a further group </w:t>
      </w:r>
      <w:r>
        <w:t>of</w:t>
      </w:r>
      <w:r w:rsidRPr="00191003">
        <w:t xml:space="preserve"> larnakes considered possible </w:t>
      </w:r>
      <w:r>
        <w:t>for</w:t>
      </w:r>
      <w:r w:rsidRPr="00191003">
        <w:t xml:space="preserve"> the present study because there is no precise information about their buri</w:t>
      </w:r>
      <w:r>
        <w:t>al context. This group for the Far-East</w:t>
      </w:r>
      <w:r w:rsidRPr="00191003">
        <w:t xml:space="preserve"> region is particularly numerous (38 larnakes)</w:t>
      </w:r>
      <w:r>
        <w:t>,</w:t>
      </w:r>
      <w:r w:rsidRPr="00191003">
        <w:t xml:space="preserve"> and 19 are decorated:</w:t>
      </w:r>
    </w:p>
    <w:p w14:paraId="73C1B666" w14:textId="77777777" w:rsidR="00D726B2" w:rsidRPr="00191003" w:rsidRDefault="00D726B2" w:rsidP="00E858EF">
      <w:pPr>
        <w:pStyle w:val="Paragrafoelenco"/>
        <w:numPr>
          <w:ilvl w:val="0"/>
          <w:numId w:val="91"/>
        </w:numPr>
        <w:suppressAutoHyphens/>
        <w:spacing w:after="160"/>
      </w:pPr>
      <w:r w:rsidRPr="00191003">
        <w:t xml:space="preserve">A bathtub larnax from the settlement of Palaikastro (Dawkins 1903-1904: 213; Bosanquet and Dawkins 1923: 154 pl. XXXIV) decorated with </w:t>
      </w:r>
      <w:r>
        <w:t>large</w:t>
      </w:r>
      <w:r w:rsidRPr="00191003">
        <w:t xml:space="preserve"> papyri (Evans </w:t>
      </w:r>
      <w:r>
        <w:t>produced</w:t>
      </w:r>
      <w:r w:rsidRPr="00191003">
        <w:t xml:space="preserve"> </w:t>
      </w:r>
      <w:r>
        <w:t>a</w:t>
      </w:r>
      <w:r w:rsidRPr="00191003">
        <w:t xml:space="preserve"> drawing of the same larnax and said it came from Zafer Papoura</w:t>
      </w:r>
      <w:r>
        <w:t>,</w:t>
      </w:r>
      <w:r w:rsidRPr="00191003">
        <w:t xml:space="preserve"> but </w:t>
      </w:r>
      <w:r>
        <w:t>this</w:t>
      </w:r>
      <w:r w:rsidRPr="00191003">
        <w:t xml:space="preserve"> is wrong</w:t>
      </w:r>
      <w:r>
        <w:t>: see</w:t>
      </w:r>
      <w:r w:rsidRPr="00191003">
        <w:t xml:space="preserve"> Evans </w:t>
      </w:r>
      <w:r>
        <w:t>1935;</w:t>
      </w:r>
      <w:r w:rsidRPr="00191003">
        <w:t xml:space="preserve"> 329, 272 a)</w:t>
      </w:r>
      <w:r>
        <w:t>.</w:t>
      </w:r>
    </w:p>
    <w:p w14:paraId="697F49CF" w14:textId="77777777" w:rsidR="00D726B2" w:rsidRPr="00191003" w:rsidRDefault="00D726B2" w:rsidP="00E858EF">
      <w:pPr>
        <w:pStyle w:val="Paragrafoelenco"/>
        <w:numPr>
          <w:ilvl w:val="0"/>
          <w:numId w:val="91"/>
        </w:numPr>
        <w:suppressAutoHyphens/>
        <w:spacing w:after="160"/>
      </w:pPr>
      <w:r w:rsidRPr="00191003">
        <w:t>Six larnakes (</w:t>
      </w:r>
      <w:r>
        <w:t>four</w:t>
      </w:r>
      <w:r w:rsidRPr="00191003">
        <w:t xml:space="preserve"> bathtub</w:t>
      </w:r>
      <w:r>
        <w:t>s,</w:t>
      </w:r>
      <w:r w:rsidRPr="00191003">
        <w:t xml:space="preserve"> two chest</w:t>
      </w:r>
      <w:r>
        <w:t>-</w:t>
      </w:r>
      <w:r w:rsidRPr="00191003">
        <w:t>shaped from Petras Papoures)</w:t>
      </w:r>
      <w:r>
        <w:t>,</w:t>
      </w:r>
      <w:r w:rsidRPr="00191003">
        <w:t xml:space="preserve"> decorated with fish and octopi as</w:t>
      </w:r>
      <w:r>
        <w:t xml:space="preserve"> the</w:t>
      </w:r>
      <w:r w:rsidRPr="00191003">
        <w:t xml:space="preserve"> main </w:t>
      </w:r>
      <w:r>
        <w:t>motif</w:t>
      </w:r>
      <w:r w:rsidRPr="00191003">
        <w:t xml:space="preserve">s (Tsipopoulou 1995a; Tsipopoulou </w:t>
      </w:r>
      <w:r>
        <w:t xml:space="preserve">and </w:t>
      </w:r>
      <w:r w:rsidRPr="00191003">
        <w:t xml:space="preserve">Vagnetti 1997). </w:t>
      </w:r>
    </w:p>
    <w:p w14:paraId="533F739F" w14:textId="77777777" w:rsidR="00D726B2" w:rsidRPr="00191003" w:rsidRDefault="00D726B2" w:rsidP="00E858EF">
      <w:pPr>
        <w:pStyle w:val="Paragrafoelenco"/>
        <w:numPr>
          <w:ilvl w:val="0"/>
          <w:numId w:val="91"/>
        </w:numPr>
        <w:suppressAutoHyphens/>
        <w:spacing w:after="160"/>
      </w:pPr>
      <w:r w:rsidRPr="00191003">
        <w:t>Four bathtub larnakes decorated with octopi and fish from the following locations: Piskokephalo (Tsipopoulou</w:t>
      </w:r>
      <w:r>
        <w:t xml:space="preserve"> and </w:t>
      </w:r>
      <w:r w:rsidRPr="00191003">
        <w:t>Vagnetti 1997: 474-475, pl. 157)</w:t>
      </w:r>
      <w:r>
        <w:t>;</w:t>
      </w:r>
      <w:r w:rsidRPr="00191003">
        <w:t xml:space="preserve"> Praisos Papoures (Tsipopoulou</w:t>
      </w:r>
      <w:r>
        <w:t xml:space="preserve"> and</w:t>
      </w:r>
      <w:r w:rsidRPr="00191003">
        <w:t xml:space="preserve"> Vagnetti 1997: 473-9, pl.183b, 185 a-b)</w:t>
      </w:r>
      <w:r>
        <w:t>;</w:t>
      </w:r>
      <w:r w:rsidRPr="00191003">
        <w:t xml:space="preserve"> Sitia modern village (Tsipopoulou</w:t>
      </w:r>
      <w:r>
        <w:t xml:space="preserve"> and</w:t>
      </w:r>
      <w:r w:rsidRPr="00191003">
        <w:t xml:space="preserve"> Vagnetti 1995: 138, </w:t>
      </w:r>
      <w:r>
        <w:t>F</w:t>
      </w:r>
      <w:r w:rsidRPr="00191003">
        <w:t>ig</w:t>
      </w:r>
      <w:r>
        <w:t>s</w:t>
      </w:r>
      <w:r w:rsidRPr="00191003">
        <w:t>. 105-106)</w:t>
      </w:r>
      <w:r>
        <w:t>;</w:t>
      </w:r>
      <w:r w:rsidRPr="00191003">
        <w:t xml:space="preserve"> Sklavoi (Michailidou Pappa 1972: 345; Merousis 2000: 181)</w:t>
      </w:r>
      <w:r>
        <w:t>.</w:t>
      </w:r>
    </w:p>
    <w:p w14:paraId="44438A68" w14:textId="77777777" w:rsidR="00D726B2" w:rsidRPr="00191003" w:rsidRDefault="00D726B2" w:rsidP="00E858EF">
      <w:pPr>
        <w:pStyle w:val="Paragrafoelenco"/>
        <w:numPr>
          <w:ilvl w:val="0"/>
          <w:numId w:val="91"/>
        </w:numPr>
        <w:suppressAutoHyphens/>
        <w:spacing w:after="160"/>
      </w:pPr>
      <w:r w:rsidRPr="00191003">
        <w:t>A bathtub larnax from Tourloti decorated with birds</w:t>
      </w:r>
      <w:r>
        <w:t xml:space="preserve"> and</w:t>
      </w:r>
      <w:r w:rsidRPr="00191003">
        <w:t xml:space="preserve"> stylised palm</w:t>
      </w:r>
      <w:r>
        <w:t xml:space="preserve"> trees</w:t>
      </w:r>
      <w:r w:rsidRPr="00191003">
        <w:t xml:space="preserve"> (Tsipopoulou </w:t>
      </w:r>
      <w:r>
        <w:t xml:space="preserve">and </w:t>
      </w:r>
      <w:r w:rsidRPr="00191003">
        <w:t>Vagnetti 1999: 123-142)</w:t>
      </w:r>
      <w:r>
        <w:t>.</w:t>
      </w:r>
    </w:p>
    <w:p w14:paraId="6E2183FB" w14:textId="77777777" w:rsidR="00D726B2" w:rsidRPr="00191003" w:rsidRDefault="00D726B2" w:rsidP="00E858EF">
      <w:pPr>
        <w:pStyle w:val="Paragrafoelenco"/>
        <w:numPr>
          <w:ilvl w:val="0"/>
          <w:numId w:val="91"/>
        </w:numPr>
        <w:suppressAutoHyphens/>
        <w:spacing w:after="160"/>
      </w:pPr>
      <w:r w:rsidRPr="00191003">
        <w:t>Two bathtub</w:t>
      </w:r>
      <w:r>
        <w:t>s</w:t>
      </w:r>
      <w:r w:rsidRPr="00191003">
        <w:t xml:space="preserve"> from Tourtouli</w:t>
      </w:r>
      <w:r>
        <w:t>,</w:t>
      </w:r>
      <w:r w:rsidRPr="00191003">
        <w:t xml:space="preserve"> decorated with octopi and fishes (</w:t>
      </w:r>
      <w:r w:rsidRPr="00733192">
        <w:rPr>
          <w:i/>
        </w:rPr>
        <w:t>KChr</w:t>
      </w:r>
      <w:r w:rsidRPr="00191003">
        <w:t xml:space="preserve"> 19 1965: 283; </w:t>
      </w:r>
      <w:r w:rsidRPr="00733192">
        <w:rPr>
          <w:i/>
        </w:rPr>
        <w:t>ADelt</w:t>
      </w:r>
      <w:r w:rsidRPr="00191003">
        <w:t xml:space="preserve"> 21 1966: 414-416; Kanta 1980: 177, 178-179)</w:t>
      </w:r>
      <w:r>
        <w:t>.</w:t>
      </w:r>
    </w:p>
    <w:p w14:paraId="16D129F9" w14:textId="77777777" w:rsidR="00D726B2" w:rsidRPr="00191003" w:rsidRDefault="00D726B2" w:rsidP="00E858EF">
      <w:pPr>
        <w:pStyle w:val="Paragrafoelenco"/>
        <w:numPr>
          <w:ilvl w:val="0"/>
          <w:numId w:val="91"/>
        </w:numPr>
        <w:suppressAutoHyphens/>
        <w:spacing w:after="160"/>
      </w:pPr>
      <w:r w:rsidRPr="00191003">
        <w:t>Two chest</w:t>
      </w:r>
      <w:r>
        <w:t>-</w:t>
      </w:r>
      <w:r w:rsidRPr="00191003">
        <w:t xml:space="preserve">shaped </w:t>
      </w:r>
      <w:r>
        <w:t>larnakes</w:t>
      </w:r>
      <w:r w:rsidRPr="00191003">
        <w:t xml:space="preserve"> from Kanene (</w:t>
      </w:r>
      <w:r w:rsidRPr="00733192">
        <w:rPr>
          <w:i/>
        </w:rPr>
        <w:t>KChr</w:t>
      </w:r>
      <w:r w:rsidRPr="00191003">
        <w:t xml:space="preserve"> 4 1950: 534; KChr 5 1951: 445; Wroncka 1959:</w:t>
      </w:r>
      <w:r>
        <w:t xml:space="preserve"> </w:t>
      </w:r>
      <w:r w:rsidRPr="00191003">
        <w:t>535; Kanta 1980: 197-98) and another from Kavousi (Boyd 1904: 20)</w:t>
      </w:r>
      <w:r>
        <w:t>,</w:t>
      </w:r>
      <w:r w:rsidRPr="00191003">
        <w:t xml:space="preserve"> for which there </w:t>
      </w:r>
      <w:r>
        <w:t>is</w:t>
      </w:r>
      <w:r w:rsidRPr="00191003">
        <w:t xml:space="preserve"> no detailed info</w:t>
      </w:r>
      <w:r>
        <w:t>rmation</w:t>
      </w:r>
      <w:r w:rsidRPr="00191003">
        <w:t xml:space="preserve"> about their decoration</w:t>
      </w:r>
      <w:r>
        <w:t>.</w:t>
      </w:r>
    </w:p>
    <w:p w14:paraId="586546CD" w14:textId="77777777" w:rsidR="00D726B2" w:rsidRPr="00191003" w:rsidRDefault="00D726B2" w:rsidP="00E858EF">
      <w:pPr>
        <w:pStyle w:val="Titolo4"/>
        <w:keepNext w:val="0"/>
        <w:keepLines w:val="0"/>
        <w:suppressAutoHyphens/>
      </w:pPr>
      <w:bookmarkStart w:id="1190" w:name="_Toc517807635"/>
      <w:r>
        <w:t>Is it possible to note</w:t>
      </w:r>
      <w:r w:rsidRPr="00191003">
        <w:t xml:space="preserve"> the presence of </w:t>
      </w:r>
      <w:r>
        <w:t>‘</w:t>
      </w:r>
      <w:r w:rsidRPr="00191003">
        <w:t xml:space="preserve">peculiar </w:t>
      </w:r>
      <w:r>
        <w:t>motif</w:t>
      </w:r>
      <w:r w:rsidRPr="00191003">
        <w:t>s</w:t>
      </w:r>
      <w:r>
        <w:t>’</w:t>
      </w:r>
      <w:r w:rsidRPr="00191003">
        <w:t xml:space="preserve"> with </w:t>
      </w:r>
      <w:r>
        <w:t>little</w:t>
      </w:r>
      <w:r w:rsidRPr="00191003">
        <w:t xml:space="preserve"> or no comparison </w:t>
      </w:r>
      <w:r>
        <w:t>to the</w:t>
      </w:r>
      <w:r w:rsidRPr="00191003">
        <w:t xml:space="preserve"> pottery repertoire?</w:t>
      </w:r>
      <w:bookmarkEnd w:id="1190"/>
    </w:p>
    <w:p w14:paraId="405A0D80" w14:textId="77777777" w:rsidR="00D726B2" w:rsidRPr="00191003" w:rsidRDefault="00D726B2" w:rsidP="00E858EF">
      <w:pPr>
        <w:suppressAutoHyphens/>
      </w:pPr>
      <w:r>
        <w:t>Regarding</w:t>
      </w:r>
      <w:r w:rsidRPr="00191003">
        <w:t xml:space="preserve"> the </w:t>
      </w:r>
      <w:r>
        <w:t>motifs recorded within the sample, only four</w:t>
      </w:r>
      <w:r w:rsidRPr="00191003">
        <w:t xml:space="preserve"> larnakes </w:t>
      </w:r>
      <w:r>
        <w:t>display</w:t>
      </w:r>
      <w:r w:rsidRPr="00191003">
        <w:t xml:space="preserve"> peculiar </w:t>
      </w:r>
      <w:r>
        <w:t>motif</w:t>
      </w:r>
      <w:r w:rsidRPr="00191003">
        <w:t>s:</w:t>
      </w:r>
    </w:p>
    <w:p w14:paraId="59C4B7F9" w14:textId="77777777" w:rsidR="00D726B2" w:rsidRPr="00191003" w:rsidRDefault="00D726B2" w:rsidP="00E858EF">
      <w:pPr>
        <w:suppressAutoHyphens/>
      </w:pPr>
    </w:p>
    <w:p w14:paraId="6AD2A871" w14:textId="77777777" w:rsidR="00D726B2" w:rsidRPr="00191003" w:rsidRDefault="00D726B2" w:rsidP="00370745">
      <w:pPr>
        <w:pStyle w:val="Paragrafoelenco"/>
        <w:numPr>
          <w:ilvl w:val="0"/>
          <w:numId w:val="98"/>
        </w:numPr>
        <w:suppressAutoHyphens/>
        <w:spacing w:after="160"/>
        <w:rPr>
          <w:b/>
        </w:rPr>
      </w:pPr>
      <w:r w:rsidRPr="00191003">
        <w:rPr>
          <w:b/>
        </w:rPr>
        <w:t xml:space="preserve">493 Alazzomouri Pachyammos MH 3689 </w:t>
      </w:r>
      <w:r w:rsidRPr="00191003">
        <w:t>(long sides</w:t>
      </w:r>
      <w:r>
        <w:t xml:space="preserve"> A and B</w:t>
      </w:r>
      <w:r w:rsidRPr="00191003">
        <w:t>)</w:t>
      </w:r>
      <w:r>
        <w:t xml:space="preserve"> </w:t>
      </w:r>
      <w:r w:rsidRPr="005A6E17">
        <w:t>Boyd-</w:t>
      </w:r>
      <w:r>
        <w:t xml:space="preserve">Hawes 1908: </w:t>
      </w:r>
      <w:r w:rsidRPr="005A6E17">
        <w:t>4</w:t>
      </w:r>
      <w:r>
        <w:t xml:space="preserve">6, pl. 10 n. 44; Kanta 1980: </w:t>
      </w:r>
      <w:r w:rsidRPr="005A6E17">
        <w:t xml:space="preserve">143, </w:t>
      </w:r>
      <w:r>
        <w:t xml:space="preserve">fig. 56: 1,2; Merousis 2000: 171; Spiliotopoulou 2010: 73; Langohr 2009: </w:t>
      </w:r>
      <w:r w:rsidRPr="005A6E17">
        <w:t>148-149</w:t>
      </w:r>
      <w:r>
        <w:t>)</w:t>
      </w:r>
    </w:p>
    <w:p w14:paraId="2E94E0DA" w14:textId="77777777" w:rsidR="00D726B2" w:rsidRPr="00191003" w:rsidRDefault="00D726B2" w:rsidP="00E858EF">
      <w:pPr>
        <w:pStyle w:val="Paragrafoelenco"/>
        <w:numPr>
          <w:ilvl w:val="0"/>
          <w:numId w:val="77"/>
        </w:numPr>
        <w:suppressAutoHyphens/>
        <w:spacing w:after="160"/>
      </w:pPr>
      <w:r w:rsidRPr="00191003">
        <w:t xml:space="preserve">Suckling </w:t>
      </w:r>
      <w:r>
        <w:t>calf</w:t>
      </w:r>
      <w:r w:rsidRPr="00191003">
        <w:t xml:space="preserve"> and </w:t>
      </w:r>
      <w:r>
        <w:t>large</w:t>
      </w:r>
      <w:r w:rsidRPr="00191003">
        <w:t xml:space="preserve"> cow</w:t>
      </w:r>
    </w:p>
    <w:p w14:paraId="2082D0F5" w14:textId="77777777" w:rsidR="00D726B2" w:rsidRPr="00191003" w:rsidRDefault="00D726B2" w:rsidP="00E858EF">
      <w:pPr>
        <w:pStyle w:val="Paragrafoelenco"/>
        <w:suppressAutoHyphens/>
      </w:pPr>
      <w:r w:rsidRPr="00191003">
        <w:t>On one long side are two large-scale quadrupeds</w:t>
      </w:r>
      <w:r>
        <w:t xml:space="preserve"> opposite each other</w:t>
      </w:r>
      <w:r w:rsidRPr="00191003">
        <w:t>. The one on the left, a cow</w:t>
      </w:r>
      <w:r>
        <w:t>,</w:t>
      </w:r>
      <w:r w:rsidRPr="00191003">
        <w:t xml:space="preserve"> has a suckling c</w:t>
      </w:r>
      <w:r>
        <w:t>alf</w:t>
      </w:r>
      <w:r w:rsidRPr="00191003">
        <w:t xml:space="preserve"> under it.</w:t>
      </w:r>
    </w:p>
    <w:p w14:paraId="5596FE9A" w14:textId="77777777" w:rsidR="00D726B2" w:rsidRPr="00191003" w:rsidRDefault="00D726B2" w:rsidP="00370745">
      <w:pPr>
        <w:pStyle w:val="Paragrafoelenco"/>
        <w:numPr>
          <w:ilvl w:val="0"/>
          <w:numId w:val="98"/>
        </w:numPr>
        <w:suppressAutoHyphens/>
        <w:spacing w:after="160"/>
      </w:pPr>
      <w:r w:rsidRPr="00191003">
        <w:rPr>
          <w:b/>
        </w:rPr>
        <w:t>538 Episkopi Pankalos Spiti</w:t>
      </w:r>
      <w:r w:rsidRPr="00191003">
        <w:t xml:space="preserve"> (long</w:t>
      </w:r>
      <w:r>
        <w:t>-</w:t>
      </w:r>
      <w:r w:rsidRPr="00191003">
        <w:t>side</w:t>
      </w:r>
      <w:r>
        <w:t>s of</w:t>
      </w:r>
      <w:r w:rsidRPr="00191003">
        <w:t xml:space="preserve"> lid and body, only one short</w:t>
      </w:r>
      <w:r>
        <w:t>-</w:t>
      </w:r>
      <w:r w:rsidRPr="00191003">
        <w:t>side body)</w:t>
      </w:r>
      <w:r>
        <w:t xml:space="preserve"> (Platon 1947:</w:t>
      </w:r>
      <w:r w:rsidRPr="00B243E3">
        <w:t xml:space="preserve"> 638; Verm</w:t>
      </w:r>
      <w:r>
        <w:t>e</w:t>
      </w:r>
      <w:r w:rsidRPr="00B243E3">
        <w:t>ule 1965</w:t>
      </w:r>
      <w:r>
        <w:t>: 136 fig. 35; Rutkowski 1968: 226; Mavryiannaki 1972: 25, 52; Long 1974:</w:t>
      </w:r>
      <w:r w:rsidRPr="00B243E3">
        <w:t xml:space="preserve"> 28, 55; Davaras 1976:</w:t>
      </w:r>
      <w:r>
        <w:t xml:space="preserve"> </w:t>
      </w:r>
      <w:r w:rsidRPr="00B243E3">
        <w:t>176, fig. 105, 2</w:t>
      </w:r>
      <w:r>
        <w:t>58-60, figs. 145-47; Kanta 1980:</w:t>
      </w:r>
      <w:r w:rsidRPr="00B243E3">
        <w:t xml:space="preserve"> 150, 156-157; fig. 63;</w:t>
      </w:r>
      <w:r>
        <w:t xml:space="preserve"> </w:t>
      </w:r>
      <w:r w:rsidRPr="00B243E3">
        <w:t>Papadakis 1982:</w:t>
      </w:r>
      <w:r>
        <w:t xml:space="preserve"> 71; Morgan 1987: 174, 191; Pologiorgi 1990: 219; Merousis 2000:</w:t>
      </w:r>
      <w:r w:rsidRPr="00B243E3">
        <w:t xml:space="preserve"> 134-135; Spilioto</w:t>
      </w:r>
      <w:r>
        <w:t>poulou 2010:  68-69; Langohr 2009:</w:t>
      </w:r>
      <w:r w:rsidRPr="00B243E3">
        <w:t xml:space="preserve"> 152-155</w:t>
      </w:r>
    </w:p>
    <w:p w14:paraId="1CB22B3F" w14:textId="77777777" w:rsidR="00D726B2" w:rsidRPr="00191003" w:rsidRDefault="00D726B2" w:rsidP="00E858EF">
      <w:pPr>
        <w:pStyle w:val="Paragrafoelenco"/>
        <w:suppressAutoHyphens/>
        <w:rPr>
          <w:u w:val="single"/>
        </w:rPr>
      </w:pPr>
      <w:r w:rsidRPr="00191003">
        <w:rPr>
          <w:u w:val="single"/>
        </w:rPr>
        <w:t>Side A left panel</w:t>
      </w:r>
    </w:p>
    <w:p w14:paraId="7A31C66E" w14:textId="77777777" w:rsidR="00D726B2" w:rsidRPr="00191003" w:rsidRDefault="00D726B2" w:rsidP="00E858EF">
      <w:pPr>
        <w:pStyle w:val="Paragrafoelenco"/>
        <w:numPr>
          <w:ilvl w:val="0"/>
          <w:numId w:val="93"/>
        </w:numPr>
        <w:suppressAutoHyphens/>
        <w:spacing w:after="160"/>
      </w:pPr>
      <w:r w:rsidRPr="00191003">
        <w:t>Kylikes (?) (2)</w:t>
      </w:r>
    </w:p>
    <w:p w14:paraId="62967327" w14:textId="77777777" w:rsidR="00D726B2" w:rsidRPr="00191003" w:rsidRDefault="00D726B2" w:rsidP="00E858EF">
      <w:pPr>
        <w:pStyle w:val="Paragrafoelenco"/>
        <w:numPr>
          <w:ilvl w:val="0"/>
          <w:numId w:val="93"/>
        </w:numPr>
        <w:suppressAutoHyphens/>
        <w:spacing w:after="160"/>
      </w:pPr>
      <w:r w:rsidRPr="00191003">
        <w:t>Sistrum (?)</w:t>
      </w:r>
    </w:p>
    <w:p w14:paraId="40CC8F7C" w14:textId="77777777" w:rsidR="00D726B2" w:rsidRPr="00191003" w:rsidRDefault="00D726B2" w:rsidP="00E858EF">
      <w:pPr>
        <w:pStyle w:val="Paragrafoelenco"/>
        <w:numPr>
          <w:ilvl w:val="0"/>
          <w:numId w:val="93"/>
        </w:numPr>
        <w:suppressAutoHyphens/>
        <w:spacing w:after="160"/>
      </w:pPr>
      <w:r w:rsidRPr="00191003">
        <w:t>Unidentified circular objects (2)</w:t>
      </w:r>
    </w:p>
    <w:p w14:paraId="02A96C9B" w14:textId="77777777" w:rsidR="00D726B2" w:rsidRPr="00191003" w:rsidRDefault="00D726B2" w:rsidP="00E858EF">
      <w:pPr>
        <w:pStyle w:val="Paragrafoelenco"/>
        <w:suppressAutoHyphens/>
      </w:pPr>
      <w:r>
        <w:t>S</w:t>
      </w:r>
      <w:r w:rsidRPr="00191003">
        <w:t xml:space="preserve">ix human figures appear in this panel. Three are on a chariot </w:t>
      </w:r>
      <w:r>
        <w:t xml:space="preserve">being </w:t>
      </w:r>
      <w:r w:rsidRPr="00191003">
        <w:t>drag</w:t>
      </w:r>
      <w:r>
        <w:t>ged</w:t>
      </w:r>
      <w:r w:rsidRPr="00191003">
        <w:t xml:space="preserve"> by a quadruped without legs (?) that is represented above an octopus. From left to right</w:t>
      </w:r>
      <w:r>
        <w:t>,</w:t>
      </w:r>
      <w:r w:rsidRPr="00191003">
        <w:t xml:space="preserve"> the figures are holding</w:t>
      </w:r>
      <w:r>
        <w:t xml:space="preserve"> the following</w:t>
      </w:r>
      <w:r w:rsidRPr="00191003">
        <w:t>: a sistrum? (</w:t>
      </w:r>
      <w:r>
        <w:t>a</w:t>
      </w:r>
      <w:r w:rsidRPr="00191003">
        <w:t>n unidentified almost rectangular object)</w:t>
      </w:r>
      <w:r>
        <w:t>;</w:t>
      </w:r>
      <w:r w:rsidRPr="00191003">
        <w:t xml:space="preserve"> two unidentified circular object</w:t>
      </w:r>
      <w:r>
        <w:t>s</w:t>
      </w:r>
      <w:r w:rsidRPr="00191003">
        <w:t xml:space="preserve"> (one </w:t>
      </w:r>
      <w:r>
        <w:t>larger</w:t>
      </w:r>
      <w:r w:rsidRPr="00191003">
        <w:t xml:space="preserve"> and one smaller)</w:t>
      </w:r>
      <w:r>
        <w:t>; and</w:t>
      </w:r>
      <w:r w:rsidRPr="00191003">
        <w:t xml:space="preserve"> the reins. The other three figures are above the quadruped: the first </w:t>
      </w:r>
      <w:r>
        <w:t>has</w:t>
      </w:r>
      <w:r w:rsidRPr="00191003">
        <w:t xml:space="preserve"> upraised arms, the second and the third</w:t>
      </w:r>
      <w:r>
        <w:t xml:space="preserve"> are</w:t>
      </w:r>
      <w:r w:rsidRPr="00191003">
        <w:t xml:space="preserve"> holding a cup (kylikes?). The first two</w:t>
      </w:r>
      <w:r>
        <w:t xml:space="preserve"> figures</w:t>
      </w:r>
      <w:r w:rsidRPr="00191003">
        <w:t xml:space="preserve"> are smaller in scale without legs</w:t>
      </w:r>
      <w:r>
        <w:t>,</w:t>
      </w:r>
      <w:r w:rsidRPr="00191003">
        <w:t xml:space="preserve"> while the third is </w:t>
      </w:r>
      <w:r>
        <w:t>larger</w:t>
      </w:r>
      <w:r w:rsidRPr="00191003">
        <w:t xml:space="preserve"> and </w:t>
      </w:r>
      <w:r>
        <w:t>has</w:t>
      </w:r>
      <w:r w:rsidRPr="00191003">
        <w:t xml:space="preserve"> legs.</w:t>
      </w:r>
    </w:p>
    <w:p w14:paraId="38B820A5" w14:textId="77777777" w:rsidR="00D726B2" w:rsidRPr="00191003" w:rsidRDefault="00D726B2" w:rsidP="00E858EF">
      <w:pPr>
        <w:pStyle w:val="Paragrafoelenco"/>
        <w:suppressAutoHyphens/>
        <w:rPr>
          <w:u w:val="single"/>
        </w:rPr>
      </w:pPr>
      <w:r w:rsidRPr="00191003">
        <w:rPr>
          <w:u w:val="single"/>
        </w:rPr>
        <w:t>Side A central frame</w:t>
      </w:r>
    </w:p>
    <w:p w14:paraId="0AC9257A" w14:textId="77777777" w:rsidR="00D726B2" w:rsidRPr="00191003" w:rsidRDefault="00D726B2" w:rsidP="00370745">
      <w:pPr>
        <w:pStyle w:val="Paragrafoelenco"/>
        <w:numPr>
          <w:ilvl w:val="0"/>
          <w:numId w:val="99"/>
        </w:numPr>
        <w:suppressAutoHyphens/>
        <w:spacing w:after="160"/>
      </w:pPr>
      <w:r w:rsidRPr="00191003">
        <w:t xml:space="preserve">Vertical object </w:t>
      </w:r>
    </w:p>
    <w:p w14:paraId="61AF6108" w14:textId="77777777" w:rsidR="00D726B2" w:rsidRPr="00191003" w:rsidRDefault="00D726B2" w:rsidP="00370745">
      <w:pPr>
        <w:pStyle w:val="Paragrafoelenco"/>
        <w:numPr>
          <w:ilvl w:val="0"/>
          <w:numId w:val="99"/>
        </w:numPr>
        <w:suppressAutoHyphens/>
        <w:spacing w:after="160"/>
      </w:pPr>
      <w:r w:rsidRPr="00191003">
        <w:t>Leash (?)</w:t>
      </w:r>
    </w:p>
    <w:p w14:paraId="202A5416" w14:textId="77777777" w:rsidR="00D726B2" w:rsidRPr="00191003" w:rsidRDefault="00D726B2" w:rsidP="00E858EF">
      <w:pPr>
        <w:pStyle w:val="Paragrafoelenco"/>
        <w:suppressAutoHyphens/>
      </w:pPr>
      <w:r w:rsidRPr="00191003">
        <w:t>Human figure with legs</w:t>
      </w:r>
      <w:r>
        <w:t>,</w:t>
      </w:r>
      <w:r w:rsidRPr="00191003">
        <w:t xml:space="preserve"> holding </w:t>
      </w:r>
      <w:r>
        <w:t>i</w:t>
      </w:r>
      <w:r w:rsidRPr="00191003">
        <w:t xml:space="preserve">n his left hand a vertical object (?) and </w:t>
      </w:r>
      <w:r>
        <w:t>i</w:t>
      </w:r>
      <w:r w:rsidRPr="00191003">
        <w:t xml:space="preserve">n </w:t>
      </w:r>
      <w:r>
        <w:t>his</w:t>
      </w:r>
      <w:r w:rsidRPr="00191003">
        <w:t xml:space="preserve"> right hand a leash holding the quadruped on the right</w:t>
      </w:r>
      <w:r>
        <w:t>-</w:t>
      </w:r>
      <w:r w:rsidRPr="00191003">
        <w:t xml:space="preserve">hand side </w:t>
      </w:r>
      <w:r>
        <w:t xml:space="preserve">of the </w:t>
      </w:r>
      <w:r w:rsidRPr="00191003">
        <w:t>panel.</w:t>
      </w:r>
    </w:p>
    <w:p w14:paraId="12E8A437" w14:textId="77777777" w:rsidR="00D726B2" w:rsidRPr="00191003" w:rsidRDefault="00D726B2" w:rsidP="00E858EF">
      <w:pPr>
        <w:pStyle w:val="Paragrafoelenco"/>
        <w:suppressAutoHyphens/>
        <w:rPr>
          <w:u w:val="single"/>
        </w:rPr>
      </w:pPr>
      <w:r w:rsidRPr="00191003">
        <w:rPr>
          <w:u w:val="single"/>
        </w:rPr>
        <w:t>Side A right panel</w:t>
      </w:r>
    </w:p>
    <w:p w14:paraId="01F08BC1" w14:textId="77777777" w:rsidR="00D726B2" w:rsidRPr="00191003" w:rsidRDefault="00D726B2" w:rsidP="00370745">
      <w:pPr>
        <w:pStyle w:val="Paragrafoelenco"/>
        <w:numPr>
          <w:ilvl w:val="0"/>
          <w:numId w:val="100"/>
        </w:numPr>
        <w:suppressAutoHyphens/>
        <w:spacing w:after="160"/>
        <w:rPr>
          <w:u w:val="single"/>
        </w:rPr>
      </w:pPr>
      <w:r w:rsidRPr="00191003">
        <w:t xml:space="preserve">Suckling baby quadruped and </w:t>
      </w:r>
      <w:r>
        <w:t>large</w:t>
      </w:r>
      <w:r w:rsidRPr="00191003">
        <w:t xml:space="preserve"> quadruped</w:t>
      </w:r>
    </w:p>
    <w:p w14:paraId="042E2051" w14:textId="77777777" w:rsidR="00D726B2" w:rsidRPr="00191003" w:rsidRDefault="00D726B2" w:rsidP="00370745">
      <w:pPr>
        <w:pStyle w:val="Paragrafoelenco"/>
        <w:numPr>
          <w:ilvl w:val="0"/>
          <w:numId w:val="100"/>
        </w:numPr>
        <w:suppressAutoHyphens/>
        <w:spacing w:after="160"/>
        <w:rPr>
          <w:u w:val="single"/>
        </w:rPr>
      </w:pPr>
      <w:r w:rsidRPr="00191003">
        <w:t>Kylix (?)</w:t>
      </w:r>
    </w:p>
    <w:p w14:paraId="789A758D" w14:textId="77777777" w:rsidR="00D726B2" w:rsidRPr="00191003" w:rsidRDefault="00D726B2" w:rsidP="00370745">
      <w:pPr>
        <w:pStyle w:val="Paragrafoelenco"/>
        <w:numPr>
          <w:ilvl w:val="0"/>
          <w:numId w:val="100"/>
        </w:numPr>
        <w:suppressAutoHyphens/>
        <w:spacing w:after="160"/>
        <w:rPr>
          <w:u w:val="single"/>
        </w:rPr>
      </w:pPr>
      <w:r w:rsidRPr="00191003">
        <w:t>Unidentified circular object (?)</w:t>
      </w:r>
    </w:p>
    <w:p w14:paraId="589CA6E9" w14:textId="39A400B9" w:rsidR="00D726B2" w:rsidRDefault="00D726B2" w:rsidP="00E858EF">
      <w:pPr>
        <w:pStyle w:val="Paragrafoelenco"/>
        <w:suppressAutoHyphens/>
      </w:pPr>
      <w:r w:rsidRPr="00191003">
        <w:t>A large</w:t>
      </w:r>
      <w:r>
        <w:t xml:space="preserve"> </w:t>
      </w:r>
      <w:r w:rsidRPr="00191003">
        <w:t xml:space="preserve">human figure with both upraised arms and legs holding </w:t>
      </w:r>
      <w:r>
        <w:t>in his</w:t>
      </w:r>
      <w:r w:rsidRPr="00191003">
        <w:t xml:space="preserve"> left</w:t>
      </w:r>
      <w:r>
        <w:t xml:space="preserve"> hand</w:t>
      </w:r>
      <w:r w:rsidRPr="00191003">
        <w:t xml:space="preserve"> a kylix and </w:t>
      </w:r>
      <w:r>
        <w:t>on</w:t>
      </w:r>
      <w:r w:rsidRPr="00191003">
        <w:t xml:space="preserve"> his wrist the leash of the animal. </w:t>
      </w:r>
      <w:r>
        <w:t>I</w:t>
      </w:r>
      <w:r w:rsidRPr="00191003">
        <w:t>n the other hand</w:t>
      </w:r>
      <w:r>
        <w:t>,</w:t>
      </w:r>
      <w:r w:rsidRPr="00191003">
        <w:t xml:space="preserve"> he is holding an unidentified circular object</w:t>
      </w:r>
      <w:r>
        <w:t>,</w:t>
      </w:r>
      <w:r w:rsidRPr="00191003">
        <w:t xml:space="preserve"> </w:t>
      </w:r>
      <w:r>
        <w:t>the same as</w:t>
      </w:r>
      <w:r w:rsidRPr="00191003">
        <w:t xml:space="preserve"> on the left</w:t>
      </w:r>
      <w:r>
        <w:t>-</w:t>
      </w:r>
      <w:r w:rsidRPr="00191003">
        <w:t>hand panel on the same side</w:t>
      </w:r>
      <w:r>
        <w:t>.</w:t>
      </w:r>
    </w:p>
    <w:p w14:paraId="63BC7E24" w14:textId="77777777" w:rsidR="00A05142" w:rsidRPr="00191003" w:rsidRDefault="00A05142" w:rsidP="00E858EF">
      <w:pPr>
        <w:pStyle w:val="Paragrafoelenco"/>
        <w:suppressAutoHyphens/>
      </w:pPr>
    </w:p>
    <w:p w14:paraId="0CBC1D94" w14:textId="77777777" w:rsidR="00D726B2" w:rsidRPr="00191003" w:rsidRDefault="00D726B2" w:rsidP="00E858EF">
      <w:pPr>
        <w:pStyle w:val="Paragrafoelenco"/>
        <w:suppressAutoHyphens/>
        <w:rPr>
          <w:u w:val="single"/>
        </w:rPr>
      </w:pPr>
      <w:r w:rsidRPr="00191003">
        <w:rPr>
          <w:u w:val="single"/>
        </w:rPr>
        <w:t>Side A left panel lid</w:t>
      </w:r>
    </w:p>
    <w:p w14:paraId="27C75D95" w14:textId="77777777" w:rsidR="00D726B2" w:rsidRPr="00191003" w:rsidRDefault="00D726B2" w:rsidP="00370745">
      <w:pPr>
        <w:pStyle w:val="Paragrafoelenco"/>
        <w:numPr>
          <w:ilvl w:val="0"/>
          <w:numId w:val="101"/>
        </w:numPr>
        <w:suppressAutoHyphens/>
        <w:spacing w:after="160"/>
      </w:pPr>
      <w:r w:rsidRPr="00191003">
        <w:t xml:space="preserve">Suckling </w:t>
      </w:r>
      <w:r>
        <w:t>calf</w:t>
      </w:r>
      <w:r w:rsidRPr="00191003">
        <w:t xml:space="preserve"> and </w:t>
      </w:r>
      <w:r>
        <w:t>large</w:t>
      </w:r>
      <w:r w:rsidRPr="00191003">
        <w:t xml:space="preserve"> cow</w:t>
      </w:r>
    </w:p>
    <w:p w14:paraId="265DD40E" w14:textId="77777777" w:rsidR="00D726B2" w:rsidRPr="00191003" w:rsidRDefault="00D726B2" w:rsidP="00370745">
      <w:pPr>
        <w:pStyle w:val="Paragrafoelenco"/>
        <w:numPr>
          <w:ilvl w:val="0"/>
          <w:numId w:val="101"/>
        </w:numPr>
        <w:suppressAutoHyphens/>
        <w:spacing w:after="160"/>
      </w:pPr>
      <w:r w:rsidRPr="00191003">
        <w:t>Leash</w:t>
      </w:r>
    </w:p>
    <w:p w14:paraId="789CD607" w14:textId="77777777" w:rsidR="00D726B2" w:rsidRPr="00191003" w:rsidRDefault="00D726B2" w:rsidP="00E858EF">
      <w:pPr>
        <w:pStyle w:val="Paragrafoelenco"/>
        <w:suppressAutoHyphens/>
        <w:ind w:left="1068"/>
      </w:pPr>
      <w:r w:rsidRPr="00191003">
        <w:t xml:space="preserve">A human figure without legs is holding a suckling three-horned cow that is feeding with </w:t>
      </w:r>
      <w:r>
        <w:t>a</w:t>
      </w:r>
      <w:r w:rsidRPr="00191003">
        <w:t xml:space="preserve"> suckling </w:t>
      </w:r>
      <w:r>
        <w:t>calf</w:t>
      </w:r>
      <w:r w:rsidRPr="00191003">
        <w:t xml:space="preserve"> below it</w:t>
      </w:r>
      <w:r>
        <w:t>.</w:t>
      </w:r>
    </w:p>
    <w:p w14:paraId="33CBCC8B" w14:textId="77777777" w:rsidR="00D726B2" w:rsidRPr="00191003" w:rsidRDefault="00D726B2" w:rsidP="00E858EF">
      <w:pPr>
        <w:pStyle w:val="Paragrafoelenco"/>
        <w:suppressAutoHyphens/>
        <w:rPr>
          <w:u w:val="single"/>
        </w:rPr>
      </w:pPr>
      <w:r w:rsidRPr="00191003">
        <w:rPr>
          <w:u w:val="single"/>
        </w:rPr>
        <w:t>Side A right panel lid</w:t>
      </w:r>
    </w:p>
    <w:p w14:paraId="2C72D008" w14:textId="77777777" w:rsidR="00D726B2" w:rsidRPr="00191003" w:rsidRDefault="00D726B2" w:rsidP="00E858EF">
      <w:pPr>
        <w:pStyle w:val="Paragrafoelenco"/>
        <w:suppressAutoHyphens/>
        <w:ind w:left="1080"/>
      </w:pPr>
      <w:r w:rsidRPr="00191003">
        <w:t>Opposite stags bitten by dogs (part of a hunting scene?)</w:t>
      </w:r>
      <w:r>
        <w:t>.</w:t>
      </w:r>
    </w:p>
    <w:p w14:paraId="4BA38D16" w14:textId="77777777" w:rsidR="00D726B2" w:rsidRPr="00191003" w:rsidRDefault="00D726B2" w:rsidP="00E858EF">
      <w:pPr>
        <w:pStyle w:val="Paragrafoelenco"/>
        <w:suppressAutoHyphens/>
        <w:rPr>
          <w:u w:val="single"/>
        </w:rPr>
      </w:pPr>
      <w:r w:rsidRPr="00191003">
        <w:rPr>
          <w:u w:val="single"/>
        </w:rPr>
        <w:t>Side B left panel</w:t>
      </w:r>
    </w:p>
    <w:p w14:paraId="5C685816" w14:textId="77777777" w:rsidR="00D726B2" w:rsidRPr="00191003" w:rsidRDefault="00D726B2" w:rsidP="00E858EF">
      <w:pPr>
        <w:pStyle w:val="Paragrafoelenco"/>
        <w:numPr>
          <w:ilvl w:val="0"/>
          <w:numId w:val="93"/>
        </w:numPr>
        <w:suppressAutoHyphens/>
        <w:spacing w:after="160"/>
      </w:pPr>
      <w:r w:rsidRPr="00191003">
        <w:t>Leash</w:t>
      </w:r>
    </w:p>
    <w:p w14:paraId="2A082EB1" w14:textId="77777777" w:rsidR="00D726B2" w:rsidRPr="00191003" w:rsidRDefault="00D726B2" w:rsidP="00E858EF">
      <w:pPr>
        <w:pStyle w:val="Paragrafoelenco"/>
        <w:suppressAutoHyphens/>
      </w:pPr>
      <w:r w:rsidRPr="00191003">
        <w:t>Human figure without legs</w:t>
      </w:r>
      <w:r>
        <w:t>,</w:t>
      </w:r>
      <w:r w:rsidRPr="00191003">
        <w:t xml:space="preserve"> holding a leash </w:t>
      </w:r>
      <w:r>
        <w:t xml:space="preserve">and </w:t>
      </w:r>
      <w:r w:rsidRPr="00191003">
        <w:t>a dog without legs. Two dogs biting a stag (hunting scene)</w:t>
      </w:r>
      <w:r>
        <w:t>.</w:t>
      </w:r>
    </w:p>
    <w:p w14:paraId="16F408F5" w14:textId="77777777" w:rsidR="00D726B2" w:rsidRPr="00191003" w:rsidRDefault="00D726B2" w:rsidP="00E858EF">
      <w:pPr>
        <w:pStyle w:val="Paragrafoelenco"/>
        <w:suppressAutoHyphens/>
        <w:rPr>
          <w:u w:val="single"/>
        </w:rPr>
      </w:pPr>
      <w:r w:rsidRPr="00191003">
        <w:rPr>
          <w:u w:val="single"/>
        </w:rPr>
        <w:t>Side B right panel</w:t>
      </w:r>
    </w:p>
    <w:p w14:paraId="2B084B83" w14:textId="77777777" w:rsidR="00D726B2" w:rsidRPr="00191003" w:rsidRDefault="00D726B2" w:rsidP="00370745">
      <w:pPr>
        <w:pStyle w:val="Paragrafoelenco"/>
        <w:numPr>
          <w:ilvl w:val="0"/>
          <w:numId w:val="100"/>
        </w:numPr>
        <w:suppressAutoHyphens/>
        <w:spacing w:after="160"/>
        <w:rPr>
          <w:u w:val="single"/>
        </w:rPr>
      </w:pPr>
      <w:r w:rsidRPr="00191003">
        <w:t>Arrow</w:t>
      </w:r>
    </w:p>
    <w:p w14:paraId="7845B661" w14:textId="77777777" w:rsidR="00D726B2" w:rsidRPr="00191003" w:rsidRDefault="00D726B2" w:rsidP="00E858EF">
      <w:pPr>
        <w:pStyle w:val="Paragrafoelenco"/>
        <w:suppressAutoHyphens/>
      </w:pPr>
      <w:r w:rsidRPr="00191003">
        <w:t xml:space="preserve">A </w:t>
      </w:r>
      <w:r>
        <w:t xml:space="preserve">large, standing </w:t>
      </w:r>
      <w:r w:rsidRPr="00191003">
        <w:t xml:space="preserve">human figure with legs </w:t>
      </w:r>
      <w:r>
        <w:t>is holding</w:t>
      </w:r>
      <w:r w:rsidRPr="00191003">
        <w:t xml:space="preserve"> an arrow towards a stag</w:t>
      </w:r>
      <w:r>
        <w:t xml:space="preserve"> being</w:t>
      </w:r>
      <w:r w:rsidRPr="00191003">
        <w:t xml:space="preserve"> bitten by three dogs</w:t>
      </w:r>
      <w:r>
        <w:t>. Another</w:t>
      </w:r>
      <w:r w:rsidRPr="00191003">
        <w:t xml:space="preserve"> large human figure with both </w:t>
      </w:r>
      <w:r>
        <w:t xml:space="preserve">arms </w:t>
      </w:r>
      <w:r w:rsidRPr="00191003">
        <w:t xml:space="preserve">upraised </w:t>
      </w:r>
      <w:r>
        <w:t>is</w:t>
      </w:r>
      <w:r w:rsidRPr="00191003">
        <w:t xml:space="preserve"> holding </w:t>
      </w:r>
      <w:r>
        <w:t>in his</w:t>
      </w:r>
      <w:r w:rsidRPr="00191003">
        <w:t xml:space="preserve"> left</w:t>
      </w:r>
      <w:r>
        <w:t xml:space="preserve"> hand</w:t>
      </w:r>
      <w:r w:rsidRPr="00191003">
        <w:t xml:space="preserve"> a kylix and </w:t>
      </w:r>
      <w:r>
        <w:t>attached to</w:t>
      </w:r>
      <w:r w:rsidRPr="00191003">
        <w:t xml:space="preserve"> his wrist </w:t>
      </w:r>
      <w:r>
        <w:t xml:space="preserve">is </w:t>
      </w:r>
      <w:r w:rsidRPr="00191003">
        <w:t xml:space="preserve">the leash of the animal. </w:t>
      </w:r>
      <w:r>
        <w:t>I</w:t>
      </w:r>
      <w:r w:rsidRPr="00191003">
        <w:t>n the other hand</w:t>
      </w:r>
      <w:r>
        <w:t>,</w:t>
      </w:r>
      <w:r w:rsidRPr="00191003">
        <w:t xml:space="preserve"> he is holding an unidentified circular object</w:t>
      </w:r>
      <w:r>
        <w:t>,</w:t>
      </w:r>
      <w:r w:rsidRPr="00191003">
        <w:t xml:space="preserve"> </w:t>
      </w:r>
      <w:r>
        <w:t>the same as</w:t>
      </w:r>
      <w:r w:rsidRPr="00191003">
        <w:t xml:space="preserve"> on the left</w:t>
      </w:r>
      <w:r>
        <w:t>-</w:t>
      </w:r>
      <w:r w:rsidRPr="00191003">
        <w:t>hand panel on the same side (hunting scene)</w:t>
      </w:r>
      <w:r>
        <w:t>.</w:t>
      </w:r>
    </w:p>
    <w:p w14:paraId="2572A69E" w14:textId="77777777" w:rsidR="00D726B2" w:rsidRPr="00191003" w:rsidRDefault="00D726B2" w:rsidP="00E858EF">
      <w:pPr>
        <w:pStyle w:val="Paragrafoelenco"/>
        <w:suppressAutoHyphens/>
        <w:rPr>
          <w:u w:val="single"/>
        </w:rPr>
      </w:pPr>
      <w:r w:rsidRPr="00191003">
        <w:rPr>
          <w:u w:val="single"/>
        </w:rPr>
        <w:t>Side B left panel lid</w:t>
      </w:r>
    </w:p>
    <w:p w14:paraId="3A6ECD25" w14:textId="77777777" w:rsidR="00D726B2" w:rsidRPr="00191003" w:rsidRDefault="00D726B2" w:rsidP="00370745">
      <w:pPr>
        <w:pStyle w:val="Paragrafoelenco"/>
        <w:numPr>
          <w:ilvl w:val="0"/>
          <w:numId w:val="101"/>
        </w:numPr>
        <w:suppressAutoHyphens/>
        <w:spacing w:after="160"/>
      </w:pPr>
      <w:r w:rsidRPr="00191003">
        <w:t>Arrow</w:t>
      </w:r>
    </w:p>
    <w:p w14:paraId="47C0E4CD" w14:textId="77777777" w:rsidR="00D726B2" w:rsidRPr="00191003" w:rsidRDefault="00D726B2" w:rsidP="00E858EF">
      <w:pPr>
        <w:pStyle w:val="Paragrafoelenco"/>
        <w:suppressAutoHyphens/>
        <w:ind w:left="1068"/>
      </w:pPr>
      <w:r w:rsidRPr="00191003">
        <w:t>A human figure without legs is holding an arrow towards a stag. In the scene are two stags</w:t>
      </w:r>
      <w:r>
        <w:t>, with the</w:t>
      </w:r>
      <w:r w:rsidRPr="00191003">
        <w:t xml:space="preserve"> right</w:t>
      </w:r>
      <w:r>
        <w:t xml:space="preserve"> one being</w:t>
      </w:r>
      <w:r w:rsidRPr="00191003">
        <w:t xml:space="preserve"> bitten by four dogs</w:t>
      </w:r>
    </w:p>
    <w:p w14:paraId="4E165694" w14:textId="77777777" w:rsidR="00D726B2" w:rsidRPr="00191003" w:rsidRDefault="00D726B2" w:rsidP="00E858EF">
      <w:pPr>
        <w:pStyle w:val="Paragrafoelenco"/>
        <w:suppressAutoHyphens/>
        <w:rPr>
          <w:u w:val="single"/>
        </w:rPr>
      </w:pPr>
      <w:r w:rsidRPr="00191003">
        <w:rPr>
          <w:u w:val="single"/>
        </w:rPr>
        <w:t>Side B right panel lid</w:t>
      </w:r>
    </w:p>
    <w:p w14:paraId="4A0437E4" w14:textId="77777777" w:rsidR="00D726B2" w:rsidRPr="00191003" w:rsidRDefault="00D726B2" w:rsidP="00E858EF">
      <w:pPr>
        <w:pStyle w:val="Paragrafoelenco"/>
        <w:suppressAutoHyphens/>
        <w:ind w:left="1416"/>
      </w:pPr>
      <w:r>
        <w:t>Large</w:t>
      </w:r>
      <w:r w:rsidRPr="00191003">
        <w:t xml:space="preserve"> and small stags </w:t>
      </w:r>
      <w:r>
        <w:t xml:space="preserve">being </w:t>
      </w:r>
      <w:r w:rsidRPr="00191003">
        <w:t>bitten by two dogs</w:t>
      </w:r>
      <w:r>
        <w:t>.</w:t>
      </w:r>
    </w:p>
    <w:p w14:paraId="1EE114A6" w14:textId="77777777" w:rsidR="00D726B2" w:rsidRPr="00191003" w:rsidRDefault="00D726B2" w:rsidP="00E858EF">
      <w:pPr>
        <w:pStyle w:val="Paragrafoelenco"/>
        <w:suppressAutoHyphens/>
        <w:rPr>
          <w:u w:val="single"/>
        </w:rPr>
      </w:pPr>
      <w:r w:rsidRPr="00191003">
        <w:rPr>
          <w:u w:val="single"/>
        </w:rPr>
        <w:t>Side C panel</w:t>
      </w:r>
    </w:p>
    <w:p w14:paraId="3BE1F095" w14:textId="77777777" w:rsidR="00D726B2" w:rsidRPr="00191003" w:rsidRDefault="00D726B2" w:rsidP="00370745">
      <w:pPr>
        <w:pStyle w:val="Paragrafoelenco"/>
        <w:numPr>
          <w:ilvl w:val="0"/>
          <w:numId w:val="101"/>
        </w:numPr>
        <w:suppressAutoHyphens/>
        <w:spacing w:after="160"/>
      </w:pPr>
      <w:r w:rsidRPr="00191003">
        <w:t xml:space="preserve">Suckling </w:t>
      </w:r>
      <w:r>
        <w:t>fawn</w:t>
      </w:r>
      <w:r w:rsidRPr="00191003">
        <w:t xml:space="preserve"> and </w:t>
      </w:r>
      <w:r>
        <w:t>large</w:t>
      </w:r>
      <w:r w:rsidRPr="00191003">
        <w:t xml:space="preserve"> stag</w:t>
      </w:r>
    </w:p>
    <w:p w14:paraId="65D75A85" w14:textId="77777777" w:rsidR="00D726B2" w:rsidRPr="00191003" w:rsidRDefault="00D726B2" w:rsidP="00E858EF">
      <w:pPr>
        <w:pStyle w:val="Paragrafoelenco"/>
        <w:suppressAutoHyphens/>
        <w:ind w:left="1068"/>
      </w:pPr>
      <w:r w:rsidRPr="00191003">
        <w:t xml:space="preserve">One </w:t>
      </w:r>
      <w:r>
        <w:t>large</w:t>
      </w:r>
      <w:r w:rsidRPr="00191003">
        <w:t xml:space="preserve"> </w:t>
      </w:r>
      <w:r>
        <w:t>doe</w:t>
      </w:r>
      <w:r w:rsidRPr="00191003">
        <w:t xml:space="preserve"> with a suck</w:t>
      </w:r>
      <w:r>
        <w:t>l</w:t>
      </w:r>
      <w:r w:rsidRPr="00191003">
        <w:t xml:space="preserve">ing </w:t>
      </w:r>
      <w:r>
        <w:t>fawn</w:t>
      </w:r>
      <w:r w:rsidRPr="00191003">
        <w:t xml:space="preserve"> and an</w:t>
      </w:r>
      <w:r>
        <w:t>other stag,</w:t>
      </w:r>
      <w:r w:rsidRPr="00191003">
        <w:t xml:space="preserve"> opposite</w:t>
      </w:r>
      <w:r>
        <w:t>, being</w:t>
      </w:r>
      <w:r w:rsidRPr="00191003">
        <w:t xml:space="preserve"> bitten by two dogs.</w:t>
      </w:r>
    </w:p>
    <w:p w14:paraId="11B88AB8" w14:textId="77777777" w:rsidR="00D726B2" w:rsidRPr="00191003" w:rsidRDefault="00D726B2" w:rsidP="00E858EF">
      <w:pPr>
        <w:suppressAutoHyphens/>
        <w:ind w:left="360" w:firstLine="348"/>
      </w:pPr>
      <w:r>
        <w:t>A</w:t>
      </w:r>
      <w:r w:rsidRPr="00191003">
        <w:t xml:space="preserve">ll the human figures are rendered in silhouette and represented probably in profile (only one </w:t>
      </w:r>
      <w:r>
        <w:t>large</w:t>
      </w:r>
      <w:r w:rsidRPr="00191003">
        <w:t xml:space="preserve"> eye). They are wearing the same dress with scale pattern, except for the figure on</w:t>
      </w:r>
      <w:r>
        <w:t xml:space="preserve"> the</w:t>
      </w:r>
      <w:r w:rsidRPr="00191003">
        <w:t xml:space="preserve"> </w:t>
      </w:r>
      <w:r>
        <w:t>S</w:t>
      </w:r>
      <w:r w:rsidRPr="00191003">
        <w:t>ide A left panel lid</w:t>
      </w:r>
      <w:r>
        <w:t>,</w:t>
      </w:r>
      <w:r w:rsidRPr="00191003">
        <w:t xml:space="preserve"> wh</w:t>
      </w:r>
      <w:r>
        <w:t>ose</w:t>
      </w:r>
      <w:r w:rsidRPr="00191003">
        <w:t xml:space="preserve"> dress is not decorated with scale pattern. Vegetal </w:t>
      </w:r>
      <w:r>
        <w:t>motif</w:t>
      </w:r>
      <w:r w:rsidRPr="00191003">
        <w:t xml:space="preserve">s </w:t>
      </w:r>
      <w:r>
        <w:t>such as</w:t>
      </w:r>
      <w:r w:rsidRPr="00191003">
        <w:t xml:space="preserve"> palm</w:t>
      </w:r>
      <w:r>
        <w:t xml:space="preserve"> trees</w:t>
      </w:r>
      <w:r w:rsidRPr="00191003">
        <w:t xml:space="preserve"> and rosette</w:t>
      </w:r>
      <w:r>
        <w:t>s</w:t>
      </w:r>
      <w:r w:rsidRPr="00191003">
        <w:t xml:space="preserve"> are in some panel</w:t>
      </w:r>
      <w:r>
        <w:t>s,</w:t>
      </w:r>
      <w:r w:rsidRPr="00191003">
        <w:t xml:space="preserve"> as well as well as </w:t>
      </w:r>
      <w:r>
        <w:t xml:space="preserve">a </w:t>
      </w:r>
      <w:r w:rsidRPr="00191003">
        <w:t>rock pattern rendered like</w:t>
      </w:r>
      <w:r>
        <w:t xml:space="preserve"> a</w:t>
      </w:r>
      <w:r w:rsidRPr="00191003">
        <w:t xml:space="preserve"> wavy border. On </w:t>
      </w:r>
      <w:r>
        <w:t>S</w:t>
      </w:r>
      <w:r w:rsidRPr="00191003">
        <w:t>ide D</w:t>
      </w:r>
      <w:r>
        <w:t xml:space="preserve"> of the chest,</w:t>
      </w:r>
      <w:r w:rsidRPr="00191003">
        <w:t xml:space="preserve"> an octopus </w:t>
      </w:r>
      <w:r>
        <w:t>occupies</w:t>
      </w:r>
      <w:r w:rsidRPr="00191003">
        <w:t xml:space="preserve"> almost all the available</w:t>
      </w:r>
      <w:r>
        <w:t xml:space="preserve"> space</w:t>
      </w:r>
      <w:r w:rsidRPr="00191003">
        <w:t xml:space="preserve"> (above it</w:t>
      </w:r>
      <w:r>
        <w:t xml:space="preserve"> are</w:t>
      </w:r>
      <w:r w:rsidRPr="00191003">
        <w:t xml:space="preserve"> small palm</w:t>
      </w:r>
      <w:r>
        <w:t xml:space="preserve"> trees</w:t>
      </w:r>
      <w:r w:rsidRPr="00191003">
        <w:t xml:space="preserve"> and spirals) and on the lid panel </w:t>
      </w:r>
      <w:r>
        <w:t xml:space="preserve">on the </w:t>
      </w:r>
      <w:r w:rsidRPr="00191003">
        <w:t xml:space="preserve">same side </w:t>
      </w:r>
      <w:r>
        <w:t xml:space="preserve">are </w:t>
      </w:r>
      <w:r w:rsidRPr="00191003">
        <w:t>two palm trees.</w:t>
      </w:r>
    </w:p>
    <w:p w14:paraId="6FAE659F" w14:textId="77777777" w:rsidR="00D726B2" w:rsidRPr="00191003" w:rsidRDefault="00D726B2" w:rsidP="00370745">
      <w:pPr>
        <w:pStyle w:val="Paragrafoelenco"/>
        <w:numPr>
          <w:ilvl w:val="0"/>
          <w:numId w:val="98"/>
        </w:numPr>
        <w:suppressAutoHyphens/>
        <w:spacing w:after="160"/>
        <w:rPr>
          <w:b/>
        </w:rPr>
      </w:pPr>
      <w:r w:rsidRPr="00191003">
        <w:rPr>
          <w:b/>
        </w:rPr>
        <w:t xml:space="preserve">406 Palaikastro Hagia Triada HM 1619 </w:t>
      </w:r>
      <w:r w:rsidRPr="00191003">
        <w:t>(long</w:t>
      </w:r>
      <w:r>
        <w:t>-</w:t>
      </w:r>
      <w:r w:rsidRPr="00191003">
        <w:t>side A)</w:t>
      </w:r>
      <w:r>
        <w:t xml:space="preserve"> (</w:t>
      </w:r>
      <w:r w:rsidRPr="00CF4BE5">
        <w:t>Bosanquet 1</w:t>
      </w:r>
      <w:r>
        <w:t>901-02,300-301, pl. XVIII-XIX; Evans 1906: 10; Rutkowski 1968: 223; Michailidou Pappa 1972: 199; Watrous 1991: 293, pl. 82 a-c; Merousis 2000: 168; Spiliotopoulou 2010:</w:t>
      </w:r>
      <w:r w:rsidRPr="00CF4BE5">
        <w:t xml:space="preserve"> 62 n. 67</w:t>
      </w:r>
      <w:r>
        <w:t>)</w:t>
      </w:r>
    </w:p>
    <w:p w14:paraId="107D681F" w14:textId="77777777" w:rsidR="00D726B2" w:rsidRPr="00191003" w:rsidRDefault="00D726B2" w:rsidP="00E858EF">
      <w:pPr>
        <w:pStyle w:val="Paragrafoelenco"/>
        <w:numPr>
          <w:ilvl w:val="0"/>
          <w:numId w:val="93"/>
        </w:numPr>
        <w:suppressAutoHyphens/>
        <w:spacing w:after="160"/>
        <w:rPr>
          <w:b/>
        </w:rPr>
      </w:pPr>
      <w:r w:rsidRPr="00191003">
        <w:t>Column</w:t>
      </w:r>
    </w:p>
    <w:p w14:paraId="36101B58" w14:textId="77777777" w:rsidR="00D726B2" w:rsidRPr="00191003" w:rsidRDefault="00D726B2" w:rsidP="00E858EF">
      <w:pPr>
        <w:pStyle w:val="Paragrafoelenco"/>
        <w:numPr>
          <w:ilvl w:val="0"/>
          <w:numId w:val="93"/>
        </w:numPr>
        <w:suppressAutoHyphens/>
        <w:spacing w:after="160"/>
        <w:rPr>
          <w:b/>
        </w:rPr>
      </w:pPr>
      <w:r w:rsidRPr="00191003">
        <w:t xml:space="preserve">Winged animal (griffon?) </w:t>
      </w:r>
    </w:p>
    <w:p w14:paraId="4ADF0224" w14:textId="5140091D" w:rsidR="00D726B2" w:rsidRPr="00191003" w:rsidRDefault="00D726B2" w:rsidP="00E858EF">
      <w:pPr>
        <w:pStyle w:val="Paragrafoelenco"/>
        <w:suppressAutoHyphens/>
        <w:ind w:left="708"/>
      </w:pPr>
      <w:r w:rsidRPr="00191003">
        <w:t>In two panels on one long side are</w:t>
      </w:r>
      <w:r>
        <w:t>,</w:t>
      </w:r>
      <w:r w:rsidRPr="00191003">
        <w:t xml:space="preserve"> on the left</w:t>
      </w:r>
      <w:r>
        <w:t>-</w:t>
      </w:r>
      <w:r w:rsidRPr="00191003">
        <w:t>hand panel</w:t>
      </w:r>
      <w:r>
        <w:t>,</w:t>
      </w:r>
      <w:r w:rsidRPr="00191003">
        <w:t xml:space="preserve"> a pair of horns of consecration with double </w:t>
      </w:r>
      <w:r>
        <w:t>a</w:t>
      </w:r>
      <w:r w:rsidRPr="00191003">
        <w:t>xe</w:t>
      </w:r>
      <w:r>
        <w:t>s</w:t>
      </w:r>
      <w:r w:rsidRPr="00191003">
        <w:t xml:space="preserve"> in the middle above a column</w:t>
      </w:r>
      <w:r>
        <w:t>-</w:t>
      </w:r>
      <w:r w:rsidRPr="00191003">
        <w:t>like structure, which is depicted in the middle of two papyri (as if it w</w:t>
      </w:r>
      <w:r>
        <w:t>ere</w:t>
      </w:r>
      <w:r w:rsidRPr="00191003">
        <w:t xml:space="preserve"> another flower). On the right-hand side panel</w:t>
      </w:r>
      <w:r>
        <w:t>,</w:t>
      </w:r>
      <w:r w:rsidRPr="00191003">
        <w:t xml:space="preserve"> there is a quadruped </w:t>
      </w:r>
      <w:r>
        <w:t>near</w:t>
      </w:r>
      <w:r w:rsidRPr="00191003">
        <w:t xml:space="preserve"> a flower (smelling/eating a flower?) with bird</w:t>
      </w:r>
      <w:r>
        <w:t xml:space="preserve"> </w:t>
      </w:r>
      <w:r w:rsidRPr="00191003">
        <w:t xml:space="preserve">(?) wings. The </w:t>
      </w:r>
      <w:r>
        <w:t>‘</w:t>
      </w:r>
      <w:r w:rsidRPr="00191003">
        <w:t>combination</w:t>
      </w:r>
      <w:r>
        <w:t>’</w:t>
      </w:r>
      <w:r w:rsidRPr="00191003">
        <w:t xml:space="preserve"> of </w:t>
      </w:r>
      <w:r>
        <w:t xml:space="preserve">an </w:t>
      </w:r>
      <w:r w:rsidRPr="00191003">
        <w:t xml:space="preserve">animal (birds, cows, goats, stags etc.) near a flower (smelling/eating a flower?) occurs </w:t>
      </w:r>
      <w:r>
        <w:t>o</w:t>
      </w:r>
      <w:r w:rsidRPr="00191003">
        <w:t xml:space="preserve">n other larnakes as well (i.e. </w:t>
      </w:r>
      <w:r>
        <w:t>L</w:t>
      </w:r>
      <w:r w:rsidRPr="00191003">
        <w:t xml:space="preserve">arnax 264 </w:t>
      </w:r>
      <w:r>
        <w:t>Armenoi</w:t>
      </w:r>
      <w:r w:rsidRPr="00191003">
        <w:t xml:space="preserve"> MR 1709, 267 </w:t>
      </w:r>
      <w:r>
        <w:t>Armenoi</w:t>
      </w:r>
      <w:r w:rsidRPr="00191003">
        <w:t xml:space="preserve"> MR 1712). </w:t>
      </w:r>
    </w:p>
    <w:p w14:paraId="6861F8B1" w14:textId="77777777" w:rsidR="00D726B2" w:rsidRPr="00191003" w:rsidRDefault="00D726B2" w:rsidP="00370745">
      <w:pPr>
        <w:pStyle w:val="Paragrafoelenco"/>
        <w:numPr>
          <w:ilvl w:val="0"/>
          <w:numId w:val="98"/>
        </w:numPr>
        <w:suppressAutoHyphens/>
        <w:spacing w:after="160"/>
      </w:pPr>
      <w:r w:rsidRPr="00191003">
        <w:rPr>
          <w:b/>
        </w:rPr>
        <w:t>22 Mochlos</w:t>
      </w:r>
      <w:r>
        <w:rPr>
          <w:b/>
        </w:rPr>
        <w:t xml:space="preserve"> Limenaria</w:t>
      </w:r>
      <w:r w:rsidRPr="00191003">
        <w:rPr>
          <w:b/>
        </w:rPr>
        <w:t xml:space="preserve"> SM 12033</w:t>
      </w:r>
      <w:r w:rsidRPr="00191003">
        <w:t xml:space="preserve"> (inside)</w:t>
      </w:r>
      <w:r>
        <w:t xml:space="preserve"> (</w:t>
      </w:r>
      <w:r w:rsidRPr="00964AB4">
        <w:t>Soles et al. 2011: 27-28 fig. 5 pl. 5</w:t>
      </w:r>
    </w:p>
    <w:p w14:paraId="118E816F" w14:textId="77777777" w:rsidR="00D726B2" w:rsidRPr="00191003" w:rsidRDefault="00D726B2" w:rsidP="00E858EF">
      <w:pPr>
        <w:pStyle w:val="Paragrafoelenco"/>
        <w:numPr>
          <w:ilvl w:val="0"/>
          <w:numId w:val="93"/>
        </w:numPr>
        <w:suppressAutoHyphens/>
        <w:spacing w:after="160"/>
      </w:pPr>
      <w:r>
        <w:t>Anthropomorphic</w:t>
      </w:r>
      <w:r w:rsidRPr="00191003">
        <w:t xml:space="preserve"> figure with animal head</w:t>
      </w:r>
    </w:p>
    <w:p w14:paraId="23083EB7" w14:textId="77777777" w:rsidR="00D726B2" w:rsidRPr="00191003" w:rsidRDefault="00D726B2" w:rsidP="00E858EF">
      <w:pPr>
        <w:pStyle w:val="Paragrafoelenco"/>
        <w:suppressAutoHyphens/>
      </w:pPr>
      <w:r w:rsidRPr="00191003">
        <w:t>In the interior of this bathtub larna</w:t>
      </w:r>
      <w:r>
        <w:t>x</w:t>
      </w:r>
      <w:r w:rsidRPr="00191003">
        <w:t xml:space="preserve"> are two </w:t>
      </w:r>
      <w:r>
        <w:t>anthropomorphic</w:t>
      </w:r>
      <w:r w:rsidRPr="00191003">
        <w:t xml:space="preserve"> figures, both rendered in silhouette and in profile. One is very peculiar because it has an animal head (possibly jackal?). The other </w:t>
      </w:r>
      <w:r>
        <w:t>figure has</w:t>
      </w:r>
      <w:r w:rsidRPr="00191003">
        <w:t xml:space="preserve"> a human head and long hair</w:t>
      </w:r>
      <w:r>
        <w:t>y</w:t>
      </w:r>
      <w:r w:rsidRPr="00191003">
        <w:t xml:space="preserve"> arms on the hips (for further interpretation o</w:t>
      </w:r>
      <w:r>
        <w:t>f</w:t>
      </w:r>
      <w:r w:rsidRPr="00191003">
        <w:t xml:space="preserve"> the two figures</w:t>
      </w:r>
      <w:r>
        <w:t>, see</w:t>
      </w:r>
      <w:r w:rsidRPr="00191003">
        <w:t xml:space="preserve"> S</w:t>
      </w:r>
      <w:r>
        <w:t xml:space="preserve">oles et al. </w:t>
      </w:r>
      <w:r w:rsidRPr="00191003">
        <w:t xml:space="preserve">2011: 27-28 </w:t>
      </w:r>
      <w:r>
        <w:t>F</w:t>
      </w:r>
      <w:r w:rsidRPr="00191003">
        <w:t>ig. 5 pl. 5)</w:t>
      </w:r>
      <w:r>
        <w:t>.</w:t>
      </w:r>
    </w:p>
    <w:p w14:paraId="0E5ABF96" w14:textId="77777777" w:rsidR="00D726B2" w:rsidRPr="00191003" w:rsidRDefault="00D726B2" w:rsidP="00E858EF">
      <w:pPr>
        <w:suppressAutoHyphens/>
        <w:ind w:firstLine="567"/>
      </w:pPr>
      <w:r w:rsidRPr="00191003">
        <w:t>A chest</w:t>
      </w:r>
      <w:r>
        <w:t>-</w:t>
      </w:r>
      <w:r w:rsidRPr="00191003">
        <w:t>shaped</w:t>
      </w:r>
      <w:r>
        <w:t xml:space="preserve"> larnax from Mochlos</w:t>
      </w:r>
      <w:r w:rsidRPr="00191003">
        <w:t xml:space="preserve"> (20</w:t>
      </w:r>
      <w:r>
        <w:t xml:space="preserve"> Mochlos Limenaria</w:t>
      </w:r>
      <w:r w:rsidRPr="00191003">
        <w:t xml:space="preserve"> SM 11341</w:t>
      </w:r>
      <w:r>
        <w:t xml:space="preserve">: Soles et al. </w:t>
      </w:r>
      <w:r w:rsidRPr="000638BA">
        <w:t>2011: 25-27 fig. 3 pl. 3</w:t>
      </w:r>
      <w:r w:rsidRPr="00191003">
        <w:t xml:space="preserve">) </w:t>
      </w:r>
      <w:r>
        <w:t>has</w:t>
      </w:r>
      <w:r w:rsidRPr="00191003">
        <w:t xml:space="preserve"> two human figures </w:t>
      </w:r>
      <w:r>
        <w:t xml:space="preserve">on the </w:t>
      </w:r>
      <w:r w:rsidRPr="00191003">
        <w:t>short</w:t>
      </w:r>
      <w:r>
        <w:t>-</w:t>
      </w:r>
      <w:r w:rsidRPr="00191003">
        <w:t>side panel in silhouette. The</w:t>
      </w:r>
      <w:r>
        <w:t xml:space="preserve"> figures</w:t>
      </w:r>
      <w:r w:rsidRPr="00191003">
        <w:t xml:space="preserve"> are in profile, with </w:t>
      </w:r>
      <w:r>
        <w:t>figure-</w:t>
      </w:r>
      <w:r w:rsidRPr="00191003">
        <w:t>eight</w:t>
      </w:r>
      <w:r>
        <w:t>-</w:t>
      </w:r>
      <w:r w:rsidRPr="00191003">
        <w:t>shaped bod</w:t>
      </w:r>
      <w:r>
        <w:t>ies,</w:t>
      </w:r>
      <w:r w:rsidRPr="00191003">
        <w:t xml:space="preserve"> circular heads and linear arms and legs. They are one in front of the other</w:t>
      </w:r>
      <w:r>
        <w:t>,</w:t>
      </w:r>
      <w:r w:rsidRPr="00191003">
        <w:t xml:space="preserve"> with their hands almost touching (for further interpretation o</w:t>
      </w:r>
      <w:r>
        <w:t>f</w:t>
      </w:r>
      <w:r w:rsidRPr="00191003">
        <w:t xml:space="preserve"> the scene</w:t>
      </w:r>
      <w:r>
        <w:t>, see</w:t>
      </w:r>
      <w:r w:rsidRPr="00191003">
        <w:t xml:space="preserve"> Soles, </w:t>
      </w:r>
      <w:r>
        <w:t xml:space="preserve">et al. </w:t>
      </w:r>
      <w:r w:rsidRPr="00191003">
        <w:t xml:space="preserve">2011: 25-27 </w:t>
      </w:r>
      <w:r>
        <w:t>F</w:t>
      </w:r>
      <w:r w:rsidRPr="00191003">
        <w:t>ig. 3 pl. 3).</w:t>
      </w:r>
      <w:r>
        <w:t xml:space="preserve"> On t</w:t>
      </w:r>
      <w:r w:rsidRPr="00191003">
        <w:t>wo chest</w:t>
      </w:r>
      <w:r>
        <w:t>-</w:t>
      </w:r>
      <w:r w:rsidRPr="00191003">
        <w:t>shaped larnakes from Episkopi Pankalos Spiti (532</w:t>
      </w:r>
      <w:r>
        <w:t xml:space="preserve"> </w:t>
      </w:r>
      <w:r w:rsidRPr="00191003">
        <w:t>Episkopi Pankalos Spiti HM 7625 and the other</w:t>
      </w:r>
      <w:r>
        <w:t>,</w:t>
      </w:r>
      <w:r w:rsidRPr="00191003">
        <w:t xml:space="preserve"> 536</w:t>
      </w:r>
      <w:r>
        <w:t xml:space="preserve"> </w:t>
      </w:r>
      <w:r w:rsidRPr="00191003">
        <w:t>Episkopi Pankalos Spiti</w:t>
      </w:r>
      <w:r>
        <w:t>, are</w:t>
      </w:r>
      <w:r w:rsidRPr="00191003">
        <w:t xml:space="preserve"> </w:t>
      </w:r>
      <w:r>
        <w:t>on display in the</w:t>
      </w:r>
      <w:r w:rsidRPr="00191003">
        <w:t xml:space="preserve"> Ierapetra collection)</w:t>
      </w:r>
      <w:r>
        <w:t>,</w:t>
      </w:r>
      <w:r w:rsidRPr="00191003">
        <w:t xml:space="preserve"> the animal figure</w:t>
      </w:r>
      <w:r>
        <w:t>s</w:t>
      </w:r>
      <w:r w:rsidRPr="00191003">
        <w:t xml:space="preserve"> are represented in an unusual (unrealistic?) way.</w:t>
      </w:r>
    </w:p>
    <w:p w14:paraId="4A748D72" w14:textId="77777777" w:rsidR="00D726B2" w:rsidRPr="00191003" w:rsidRDefault="00D726B2" w:rsidP="00E858EF">
      <w:pPr>
        <w:suppressAutoHyphens/>
        <w:ind w:firstLine="567"/>
      </w:pPr>
      <w:r>
        <w:t>O</w:t>
      </w:r>
      <w:r w:rsidRPr="00191003">
        <w:t>n 532</w:t>
      </w:r>
      <w:r w:rsidRPr="000638BA">
        <w:t xml:space="preserve"> </w:t>
      </w:r>
      <w:r w:rsidRPr="00191003">
        <w:t>Episkopi Pankalos Spiti HM 7625</w:t>
      </w:r>
      <w:r>
        <w:t>,</w:t>
      </w:r>
      <w:r w:rsidRPr="00191003">
        <w:t xml:space="preserve"> one of the two bulls on </w:t>
      </w:r>
      <w:r>
        <w:t>S</w:t>
      </w:r>
      <w:r w:rsidRPr="00191003">
        <w:t xml:space="preserve">ide A left panel </w:t>
      </w:r>
      <w:r>
        <w:t>has</w:t>
      </w:r>
      <w:r w:rsidRPr="00191003">
        <w:t xml:space="preserve"> feet on the vertical panel, while </w:t>
      </w:r>
      <w:r>
        <w:t>o</w:t>
      </w:r>
      <w:r w:rsidRPr="00191003">
        <w:t>n 536 the three animals are upside</w:t>
      </w:r>
      <w:r>
        <w:t>-</w:t>
      </w:r>
      <w:r w:rsidRPr="00191003">
        <w:t>down (reflecting probably the way in which the larnax was put</w:t>
      </w:r>
      <w:r>
        <w:t xml:space="preserve"> together</w:t>
      </w:r>
      <w:r w:rsidRPr="00191003">
        <w:t xml:space="preserve"> by the painter when decorated).</w:t>
      </w:r>
    </w:p>
    <w:p w14:paraId="746331D7" w14:textId="77777777" w:rsidR="00D726B2" w:rsidRPr="00191003" w:rsidRDefault="00D726B2" w:rsidP="00E858EF">
      <w:pPr>
        <w:pStyle w:val="Paragrafoelenco"/>
        <w:suppressAutoHyphens/>
        <w:ind w:left="0"/>
      </w:pPr>
      <w:r>
        <w:tab/>
      </w:r>
      <w:r w:rsidRPr="00191003">
        <w:t>Seven larnakes, four of which</w:t>
      </w:r>
      <w:r>
        <w:t xml:space="preserve"> are</w:t>
      </w:r>
      <w:r w:rsidRPr="00191003">
        <w:t xml:space="preserve"> from Mochlos, </w:t>
      </w:r>
      <w:r>
        <w:t>have</w:t>
      </w:r>
      <w:r w:rsidRPr="00191003">
        <w:t xml:space="preserve"> a decoration that</w:t>
      </w:r>
      <w:r>
        <w:t xml:space="preserve"> </w:t>
      </w:r>
      <w:r w:rsidRPr="00191003">
        <w:t xml:space="preserve">has been registered only in this region, </w:t>
      </w:r>
      <w:r>
        <w:t>with</w:t>
      </w:r>
      <w:r w:rsidRPr="00191003">
        <w:t xml:space="preserve"> trickles of painting or splashes (Jackson Pollock style) (</w:t>
      </w:r>
      <w:r>
        <w:t>e.g.</w:t>
      </w:r>
      <w:r w:rsidRPr="00191003">
        <w:t xml:space="preserve"> 21 Mochlos</w:t>
      </w:r>
      <w:r>
        <w:t xml:space="preserve"> Limenaria</w:t>
      </w:r>
      <w:r w:rsidRPr="00191003">
        <w:t xml:space="preserve"> SM 11340</w:t>
      </w:r>
      <w:r>
        <w:t>,</w:t>
      </w:r>
      <w:r w:rsidRPr="00191003">
        <w:t xml:space="preserve"> </w:t>
      </w:r>
      <w:r>
        <w:t>on which,</w:t>
      </w:r>
      <w:r w:rsidRPr="00191003">
        <w:t xml:space="preserve"> along with solid painted frames</w:t>
      </w:r>
      <w:r>
        <w:t>,</w:t>
      </w:r>
      <w:r w:rsidRPr="00191003">
        <w:t xml:space="preserve"> this type of decoration </w:t>
      </w:r>
      <w:r>
        <w:t>is</w:t>
      </w:r>
      <w:r w:rsidRPr="00191003">
        <w:t xml:space="preserve"> the only one </w:t>
      </w:r>
      <w:r>
        <w:t>o</w:t>
      </w:r>
      <w:r w:rsidRPr="00191003">
        <w:t>n this larnax</w:t>
      </w:r>
      <w:r>
        <w:t>,</w:t>
      </w:r>
      <w:r w:rsidRPr="00191003">
        <w:t xml:space="preserve"> </w:t>
      </w:r>
      <w:r>
        <w:t>see</w:t>
      </w:r>
      <w:r w:rsidRPr="00191003">
        <w:t xml:space="preserve"> Soles</w:t>
      </w:r>
      <w:r>
        <w:t xml:space="preserve"> et al.</w:t>
      </w:r>
      <w:r w:rsidRPr="00191003">
        <w:t xml:space="preserve"> 2011: 27 </w:t>
      </w:r>
      <w:r>
        <w:t>F</w:t>
      </w:r>
      <w:r w:rsidRPr="00191003">
        <w:t>ig. 4 pl. 4).</w:t>
      </w:r>
    </w:p>
    <w:p w14:paraId="1C7C06BC" w14:textId="77777777" w:rsidR="00D726B2" w:rsidRPr="00191003" w:rsidRDefault="00D726B2" w:rsidP="00E858EF">
      <w:pPr>
        <w:pStyle w:val="Titolo4"/>
        <w:keepNext w:val="0"/>
        <w:keepLines w:val="0"/>
        <w:suppressAutoHyphens/>
      </w:pPr>
      <w:bookmarkStart w:id="1191" w:name="_Toc517807636"/>
      <w:r>
        <w:t>Motif</w:t>
      </w:r>
      <w:r w:rsidRPr="00191003">
        <w:t>s occurrence</w:t>
      </w:r>
      <w:bookmarkEnd w:id="1191"/>
    </w:p>
    <w:p w14:paraId="5D1B1710" w14:textId="5B75285A" w:rsidR="00D726B2" w:rsidRPr="00191003" w:rsidRDefault="00D726B2" w:rsidP="00E858EF">
      <w:pPr>
        <w:suppressAutoHyphens/>
      </w:pPr>
      <w:r w:rsidRPr="00191003">
        <w:t xml:space="preserve">The total number of identified </w:t>
      </w:r>
      <w:r>
        <w:t>motif</w:t>
      </w:r>
      <w:r w:rsidRPr="00191003">
        <w:t>s (</w:t>
      </w:r>
      <w:r w:rsidR="005D54EA">
        <w:t>Furumark</w:t>
      </w:r>
      <w:r w:rsidRPr="00191003">
        <w:t xml:space="preserve"> </w:t>
      </w:r>
      <w:r>
        <w:t>motif</w:t>
      </w:r>
      <w:r w:rsidRPr="00191003">
        <w:t xml:space="preserve">s) </w:t>
      </w:r>
      <w:r>
        <w:t>is</w:t>
      </w:r>
      <w:r w:rsidRPr="00191003">
        <w:t xml:space="preserve"> 44 (31 </w:t>
      </w:r>
      <w:r w:rsidR="005D54EA">
        <w:t>Furumark</w:t>
      </w:r>
      <w:r w:rsidRPr="00191003">
        <w:t xml:space="preserve"> </w:t>
      </w:r>
      <w:r>
        <w:t>motif</w:t>
      </w:r>
      <w:r w:rsidRPr="00191003">
        <w:t>s have not been registered). The</w:t>
      </w:r>
      <w:r>
        <w:t xml:space="preserve"> motifs</w:t>
      </w:r>
      <w:r w:rsidRPr="00191003">
        <w:t xml:space="preserve"> are distributed </w:t>
      </w:r>
      <w:r>
        <w:t>among</w:t>
      </w:r>
      <w:r w:rsidRPr="00191003">
        <w:t xml:space="preserve"> the sample of the 54 securely decorated larnakes for which there </w:t>
      </w:r>
      <w:r>
        <w:t>is</w:t>
      </w:r>
      <w:r w:rsidRPr="00191003">
        <w:t xml:space="preserve"> information </w:t>
      </w:r>
      <w:r>
        <w:t>regarding decoration. Wavy lines (FM 53:</w:t>
      </w:r>
      <w:r w:rsidRPr="00191003">
        <w:t xml:space="preserve"> 21 larnakes) </w:t>
      </w:r>
      <w:r>
        <w:t>are</w:t>
      </w:r>
      <w:r w:rsidRPr="00191003">
        <w:t xml:space="preserve"> the most common motif in term</w:t>
      </w:r>
      <w:r>
        <w:t>s</w:t>
      </w:r>
      <w:r w:rsidRPr="00191003">
        <w:t xml:space="preserve"> of number</w:t>
      </w:r>
      <w:r>
        <w:t>s</w:t>
      </w:r>
      <w:r w:rsidRPr="00191003">
        <w:t xml:space="preserve"> of larnakes</w:t>
      </w:r>
      <w:r>
        <w:t>,</w:t>
      </w:r>
      <w:r w:rsidRPr="00191003">
        <w:t xml:space="preserve"> follo</w:t>
      </w:r>
      <w:r>
        <w:t>wed by cuttlefish/octopi (FM 21:</w:t>
      </w:r>
      <w:r w:rsidRPr="00191003">
        <w:t xml:space="preserve"> 20 larnakes)</w:t>
      </w:r>
      <w:r>
        <w:t>, running spirals (FM 46:</w:t>
      </w:r>
      <w:r w:rsidRPr="00191003">
        <w:t xml:space="preserve"> 13 larnakes) and isolated semicircle</w:t>
      </w:r>
      <w:r>
        <w:t>s (FM 43:</w:t>
      </w:r>
      <w:r w:rsidRPr="00191003">
        <w:t xml:space="preserve"> 11 larnakes). The vast majority of </w:t>
      </w:r>
      <w:r>
        <w:t>motif</w:t>
      </w:r>
      <w:r w:rsidRPr="00191003">
        <w:t xml:space="preserve">s occur in </w:t>
      </w:r>
      <w:r>
        <w:t>fewer</w:t>
      </w:r>
      <w:r w:rsidRPr="00191003">
        <w:t xml:space="preserve"> than five larnakes (32 </w:t>
      </w:r>
      <w:r>
        <w:t>motif</w:t>
      </w:r>
      <w:r w:rsidRPr="00191003">
        <w:t>s)</w:t>
      </w:r>
      <w:r>
        <w:t>.</w:t>
      </w:r>
      <w:r w:rsidRPr="00191003">
        <w:t xml:space="preserve"> </w:t>
      </w:r>
    </w:p>
    <w:p w14:paraId="7350A690" w14:textId="77777777" w:rsidR="00D726B2" w:rsidRDefault="00D726B2" w:rsidP="00E858EF">
      <w:pPr>
        <w:suppressAutoHyphens/>
        <w:sectPr w:rsidR="00D726B2" w:rsidSect="00F71C84">
          <w:footerReference w:type="default" r:id="rId287"/>
          <w:type w:val="continuous"/>
          <w:pgSz w:w="11900" w:h="16840"/>
          <w:pgMar w:top="1418" w:right="1134" w:bottom="1134" w:left="2268" w:header="709" w:footer="709" w:gutter="0"/>
          <w:cols w:space="708"/>
          <w:docGrid w:linePitch="360"/>
        </w:sectPr>
      </w:pPr>
    </w:p>
    <w:p w14:paraId="7812D5C6" w14:textId="77777777" w:rsidR="00D726B2" w:rsidRPr="00191003" w:rsidRDefault="00D726B2" w:rsidP="00E858EF">
      <w:pPr>
        <w:suppressAutoHyphens/>
      </w:pPr>
    </w:p>
    <w:p w14:paraId="05A009B0" w14:textId="77777777" w:rsidR="00D726B2" w:rsidRPr="00191003" w:rsidRDefault="00D726B2" w:rsidP="00E858EF">
      <w:pPr>
        <w:suppressAutoHyphens/>
      </w:pPr>
    </w:p>
    <w:p w14:paraId="0FEACF79" w14:textId="22D1D9A1" w:rsidR="00D726B2" w:rsidRDefault="00D726B2" w:rsidP="00E858EF">
      <w:pPr>
        <w:pStyle w:val="Didascalia"/>
        <w:suppressAutoHyphens/>
      </w:pPr>
      <w:bookmarkStart w:id="1192" w:name="_Toc520212480"/>
      <w:r>
        <w:rPr>
          <w:noProof/>
          <w:lang w:val="it-IT"/>
        </w:rPr>
        <w:drawing>
          <wp:inline distT="0" distB="0" distL="0" distR="0" wp14:anchorId="40E7B8D0" wp14:editId="750A96AF">
            <wp:extent cx="5469147" cy="9069789"/>
            <wp:effectExtent l="0" t="0" r="17780" b="17145"/>
            <wp:docPr id="34" name="Gra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r>
        <w:t>Figure 5-84</w:t>
      </w:r>
      <w:r w:rsidR="00BD7A4F">
        <w:t>.</w:t>
      </w:r>
      <w:r w:rsidRPr="00FA7063">
        <w:t xml:space="preserve"> </w:t>
      </w:r>
      <w:r w:rsidR="005D54EA">
        <w:t>Furumark</w:t>
      </w:r>
      <w:r>
        <w:t xml:space="preserve"> motif occurrence in</w:t>
      </w:r>
      <w:r w:rsidRPr="005944CF">
        <w:t xml:space="preserve"> </w:t>
      </w:r>
      <w:r>
        <w:t>larnakes from the Far-East area</w:t>
      </w:r>
      <w:bookmarkEnd w:id="1192"/>
    </w:p>
    <w:p w14:paraId="3E260DD4" w14:textId="77777777" w:rsidR="00D726B2" w:rsidRDefault="00D726B2" w:rsidP="00E858EF">
      <w:pPr>
        <w:suppressAutoHyphens/>
        <w:sectPr w:rsidR="00D726B2" w:rsidSect="00F71C84">
          <w:type w:val="continuous"/>
          <w:pgSz w:w="11900" w:h="16840"/>
          <w:pgMar w:top="907" w:right="1134" w:bottom="851" w:left="2268" w:header="709" w:footer="709" w:gutter="0"/>
          <w:cols w:space="708"/>
          <w:docGrid w:linePitch="360"/>
        </w:sectPr>
      </w:pPr>
    </w:p>
    <w:p w14:paraId="54ED52AF" w14:textId="77777777" w:rsidR="00D726B2" w:rsidRPr="00191003" w:rsidRDefault="00D726B2" w:rsidP="00E858EF">
      <w:pPr>
        <w:suppressAutoHyphens/>
      </w:pPr>
      <w:r>
        <w:tab/>
        <w:t>Among</w:t>
      </w:r>
      <w:r w:rsidRPr="00191003">
        <w:t xml:space="preserve"> the most common </w:t>
      </w:r>
      <w:r>
        <w:t>motif</w:t>
      </w:r>
      <w:r w:rsidRPr="00191003">
        <w:t xml:space="preserve">s, cuttlefish/octopi </w:t>
      </w:r>
      <w:r>
        <w:t>are</w:t>
      </w:r>
      <w:r w:rsidRPr="00191003">
        <w:t xml:space="preserve"> </w:t>
      </w:r>
      <w:r>
        <w:t>often</w:t>
      </w:r>
      <w:r w:rsidRPr="00191003">
        <w:t xml:space="preserve"> used for </w:t>
      </w:r>
      <w:r>
        <w:t xml:space="preserve">the </w:t>
      </w:r>
      <w:r w:rsidRPr="00191003">
        <w:t>external decoration of bathtub larnakes</w:t>
      </w:r>
      <w:r>
        <w:t>’</w:t>
      </w:r>
      <w:r w:rsidRPr="00191003">
        <w:t xml:space="preserve"> main panels (and sometimes also </w:t>
      </w:r>
      <w:r>
        <w:t>o</w:t>
      </w:r>
      <w:r w:rsidRPr="00191003">
        <w:t>n chest</w:t>
      </w:r>
      <w:r>
        <w:t>-</w:t>
      </w:r>
      <w:r w:rsidRPr="00191003">
        <w:t>shaped).</w:t>
      </w:r>
      <w:r>
        <w:t xml:space="preserve"> Regarding</w:t>
      </w:r>
      <w:r w:rsidRPr="00191003">
        <w:t xml:space="preserve"> the general occurrence of </w:t>
      </w:r>
      <w:r>
        <w:t>motif</w:t>
      </w:r>
      <w:r w:rsidRPr="00191003">
        <w:t>s (</w:t>
      </w:r>
      <w:r>
        <w:t xml:space="preserve">i.e. </w:t>
      </w:r>
      <w:r w:rsidRPr="00191003">
        <w:t xml:space="preserve">how many times they occur </w:t>
      </w:r>
      <w:r>
        <w:t>on</w:t>
      </w:r>
      <w:r w:rsidRPr="00191003">
        <w:t xml:space="preserve"> larnakes)</w:t>
      </w:r>
      <w:r>
        <w:t>,</w:t>
      </w:r>
      <w:r w:rsidRPr="00191003">
        <w:t xml:space="preserve"> the following larnakes can be isolated:</w:t>
      </w:r>
    </w:p>
    <w:p w14:paraId="5875AC5E" w14:textId="77777777" w:rsidR="00D726B2" w:rsidRPr="00191003" w:rsidRDefault="00D726B2" w:rsidP="00370745">
      <w:pPr>
        <w:pStyle w:val="Paragrafoelenco"/>
        <w:numPr>
          <w:ilvl w:val="0"/>
          <w:numId w:val="118"/>
        </w:numPr>
        <w:suppressAutoHyphens/>
        <w:spacing w:after="160"/>
      </w:pPr>
      <w:r w:rsidRPr="00191003">
        <w:t xml:space="preserve">Man (FM 1): </w:t>
      </w:r>
      <w:r>
        <w:t>12</w:t>
      </w:r>
      <w:r w:rsidRPr="00191003">
        <w:t xml:space="preserve"> human figures are distributed through</w:t>
      </w:r>
      <w:r>
        <w:t>out the</w:t>
      </w:r>
      <w:r w:rsidRPr="00191003">
        <w:t xml:space="preserve"> panel and frame decoration </w:t>
      </w:r>
      <w:r>
        <w:t>o</w:t>
      </w:r>
      <w:r w:rsidRPr="00191003">
        <w:t xml:space="preserve">n </w:t>
      </w:r>
      <w:r>
        <w:t>L</w:t>
      </w:r>
      <w:r w:rsidRPr="00191003">
        <w:t>arnax 538 Episkopi Pankalos Spiti IC 822</w:t>
      </w:r>
      <w:r>
        <w:t>.</w:t>
      </w:r>
    </w:p>
    <w:p w14:paraId="35626CE3" w14:textId="77777777" w:rsidR="00D726B2" w:rsidRPr="00191003" w:rsidRDefault="00D726B2" w:rsidP="00370745">
      <w:pPr>
        <w:pStyle w:val="Paragrafoelenco"/>
        <w:numPr>
          <w:ilvl w:val="0"/>
          <w:numId w:val="118"/>
        </w:numPr>
        <w:suppressAutoHyphens/>
        <w:spacing w:after="160"/>
        <w:rPr>
          <w:rFonts w:eastAsia="Times New Roman"/>
          <w:color w:val="000000"/>
        </w:rPr>
      </w:pPr>
      <w:r w:rsidRPr="00191003">
        <w:t xml:space="preserve">Stag (FM 5): </w:t>
      </w:r>
      <w:r>
        <w:t>11</w:t>
      </w:r>
      <w:r w:rsidRPr="00191003">
        <w:t xml:space="preserve"> stags are distributed through</w:t>
      </w:r>
      <w:r>
        <w:t>out the</w:t>
      </w:r>
      <w:r w:rsidRPr="00191003">
        <w:t xml:space="preserve"> panel decoration </w:t>
      </w:r>
      <w:r>
        <w:t>o</w:t>
      </w:r>
      <w:r w:rsidRPr="00191003">
        <w:t xml:space="preserve">n </w:t>
      </w:r>
      <w:r>
        <w:t>L</w:t>
      </w:r>
      <w:r w:rsidRPr="00191003">
        <w:t>arnax 538 Episkopi Pankalos Spiti IC 822</w:t>
      </w:r>
      <w:r>
        <w:t>.</w:t>
      </w:r>
    </w:p>
    <w:p w14:paraId="1BF81908" w14:textId="77777777" w:rsidR="00D726B2" w:rsidRPr="00191003" w:rsidRDefault="00D726B2" w:rsidP="00370745">
      <w:pPr>
        <w:pStyle w:val="Paragrafoelenco"/>
        <w:numPr>
          <w:ilvl w:val="0"/>
          <w:numId w:val="118"/>
        </w:numPr>
        <w:suppressAutoHyphens/>
        <w:spacing w:after="160"/>
        <w:rPr>
          <w:rFonts w:eastAsia="Times New Roman"/>
          <w:color w:val="000000"/>
        </w:rPr>
      </w:pPr>
      <w:r w:rsidRPr="00191003">
        <w:t xml:space="preserve">Various animals (FM 8): </w:t>
      </w:r>
      <w:r>
        <w:t>16</w:t>
      </w:r>
      <w:r w:rsidRPr="00191003">
        <w:t xml:space="preserve"> dogs are distributed through</w:t>
      </w:r>
      <w:r>
        <w:t>out the</w:t>
      </w:r>
      <w:r w:rsidRPr="00191003">
        <w:t xml:space="preserve"> panel decoration </w:t>
      </w:r>
      <w:r>
        <w:t>o</w:t>
      </w:r>
      <w:r w:rsidRPr="00191003">
        <w:t xml:space="preserve">n </w:t>
      </w:r>
      <w:r>
        <w:t>L</w:t>
      </w:r>
      <w:r w:rsidRPr="00191003">
        <w:t>arnax 538 Episkopi Pankalos Spiti IC 822</w:t>
      </w:r>
      <w:r>
        <w:t>.</w:t>
      </w:r>
    </w:p>
    <w:p w14:paraId="17E51636" w14:textId="38426AC4" w:rsidR="00D726B2" w:rsidRPr="00191003" w:rsidRDefault="00D726B2" w:rsidP="00370745">
      <w:pPr>
        <w:pStyle w:val="Paragrafoelenco"/>
        <w:numPr>
          <w:ilvl w:val="0"/>
          <w:numId w:val="118"/>
        </w:numPr>
        <w:suppressAutoHyphens/>
        <w:spacing w:after="160"/>
        <w:rPr>
          <w:rFonts w:eastAsia="Times New Roman"/>
          <w:color w:val="000000"/>
        </w:rPr>
      </w:pPr>
      <w:r w:rsidRPr="00191003">
        <w:rPr>
          <w:rFonts w:eastAsia="Times New Roman"/>
          <w:color w:val="000000"/>
        </w:rPr>
        <w:t xml:space="preserve">Papyri (FM 11): respectively </w:t>
      </w:r>
      <w:r>
        <w:rPr>
          <w:rFonts w:eastAsia="Times New Roman"/>
          <w:color w:val="000000"/>
        </w:rPr>
        <w:t>10</w:t>
      </w:r>
      <w:r w:rsidRPr="00191003">
        <w:rPr>
          <w:rFonts w:eastAsia="Times New Roman"/>
          <w:color w:val="000000"/>
        </w:rPr>
        <w:t xml:space="preserve"> and </w:t>
      </w:r>
      <w:r>
        <w:rPr>
          <w:rFonts w:eastAsia="Times New Roman"/>
          <w:color w:val="000000"/>
        </w:rPr>
        <w:t>20</w:t>
      </w:r>
      <w:r w:rsidRPr="00191003">
        <w:rPr>
          <w:rFonts w:eastAsia="Times New Roman"/>
          <w:color w:val="000000"/>
        </w:rPr>
        <w:t xml:space="preserve"> papyri are distributed horizontally all around two bathtub</w:t>
      </w:r>
      <w:r>
        <w:rPr>
          <w:rFonts w:eastAsia="Times New Roman"/>
          <w:color w:val="000000"/>
        </w:rPr>
        <w:t>s:</w:t>
      </w:r>
      <w:r w:rsidRPr="00191003">
        <w:rPr>
          <w:rFonts w:eastAsia="Times New Roman"/>
          <w:color w:val="000000"/>
        </w:rPr>
        <w:t xml:space="preserve"> 231 Gra Lygia AE13050</w:t>
      </w:r>
      <w:r>
        <w:rPr>
          <w:rFonts w:eastAsia="Times New Roman"/>
          <w:color w:val="000000"/>
        </w:rPr>
        <w:t xml:space="preserve"> (</w:t>
      </w:r>
      <w:r w:rsidRPr="00D22FB8">
        <w:rPr>
          <w:rFonts w:eastAsia="Times New Roman"/>
          <w:color w:val="000000"/>
        </w:rPr>
        <w:t>Apostolakou 1998: 81-83</w:t>
      </w:r>
      <w:r w:rsidR="00DC6A3F">
        <w:rPr>
          <w:rFonts w:eastAsia="Times New Roman"/>
          <w:color w:val="000000"/>
        </w:rPr>
        <w:t>,</w:t>
      </w:r>
      <w:r w:rsidRPr="00D22FB8">
        <w:rPr>
          <w:rFonts w:eastAsia="Times New Roman"/>
          <w:color w:val="000000"/>
        </w:rPr>
        <w:t xml:space="preserve"> fig. 60</w:t>
      </w:r>
      <w:r w:rsidR="00DC6A3F">
        <w:rPr>
          <w:rFonts w:eastAsia="Times New Roman"/>
          <w:color w:val="000000"/>
        </w:rPr>
        <w:t>,</w:t>
      </w:r>
      <w:r w:rsidRPr="00D22FB8">
        <w:rPr>
          <w:rFonts w:eastAsia="Times New Roman"/>
          <w:color w:val="000000"/>
        </w:rPr>
        <w:t xml:space="preserve">  pl. 23</w:t>
      </w:r>
      <w:r>
        <w:rPr>
          <w:rFonts w:eastAsia="Times New Roman"/>
          <w:color w:val="000000"/>
        </w:rPr>
        <w:t>)</w:t>
      </w:r>
      <w:r w:rsidRPr="00191003">
        <w:rPr>
          <w:rFonts w:eastAsia="Times New Roman"/>
          <w:color w:val="000000"/>
        </w:rPr>
        <w:t xml:space="preserve"> and 18 Mochlos SM 11370</w:t>
      </w:r>
      <w:r>
        <w:rPr>
          <w:rFonts w:eastAsia="Times New Roman"/>
          <w:color w:val="000000"/>
        </w:rPr>
        <w:t xml:space="preserve"> (</w:t>
      </w:r>
      <w:r w:rsidRPr="00D22FB8">
        <w:rPr>
          <w:rFonts w:eastAsia="Times New Roman"/>
          <w:color w:val="000000"/>
        </w:rPr>
        <w:t>Soles</w:t>
      </w:r>
      <w:r>
        <w:rPr>
          <w:rFonts w:eastAsia="Times New Roman"/>
          <w:color w:val="000000"/>
        </w:rPr>
        <w:t xml:space="preserve"> et al.</w:t>
      </w:r>
      <w:r w:rsidRPr="00D22FB8">
        <w:rPr>
          <w:rFonts w:eastAsia="Times New Roman"/>
          <w:color w:val="000000"/>
        </w:rPr>
        <w:t xml:space="preserve"> 2011:</w:t>
      </w:r>
      <w:r>
        <w:rPr>
          <w:rFonts w:eastAsia="Times New Roman"/>
          <w:color w:val="000000"/>
        </w:rPr>
        <w:t xml:space="preserve"> </w:t>
      </w:r>
      <w:r w:rsidRPr="00D22FB8">
        <w:rPr>
          <w:rFonts w:eastAsia="Times New Roman"/>
          <w:color w:val="000000"/>
        </w:rPr>
        <w:t>24-25, fig. 1, pl. 1</w:t>
      </w:r>
      <w:r>
        <w:rPr>
          <w:rFonts w:eastAsia="Times New Roman"/>
          <w:color w:val="000000"/>
        </w:rPr>
        <w:t>).</w:t>
      </w:r>
    </w:p>
    <w:p w14:paraId="4A91C1F9" w14:textId="77777777" w:rsidR="00D726B2" w:rsidRPr="00191003" w:rsidRDefault="00D726B2" w:rsidP="00370745">
      <w:pPr>
        <w:pStyle w:val="Paragrafoelenco"/>
        <w:numPr>
          <w:ilvl w:val="0"/>
          <w:numId w:val="118"/>
        </w:numPr>
        <w:suppressAutoHyphens/>
        <w:spacing w:after="160"/>
        <w:rPr>
          <w:rFonts w:eastAsia="Times New Roman"/>
          <w:color w:val="000000"/>
        </w:rPr>
      </w:pPr>
      <w:r w:rsidRPr="00191003">
        <w:rPr>
          <w:rFonts w:eastAsia="Times New Roman"/>
          <w:color w:val="000000"/>
        </w:rPr>
        <w:t xml:space="preserve">Multiple stem and tongue pattern (FM 19): </w:t>
      </w:r>
      <w:r>
        <w:rPr>
          <w:rFonts w:eastAsia="Times New Roman"/>
          <w:color w:val="000000"/>
        </w:rPr>
        <w:t>12</w:t>
      </w:r>
      <w:r w:rsidRPr="00191003">
        <w:rPr>
          <w:rFonts w:eastAsia="Times New Roman"/>
          <w:color w:val="000000"/>
        </w:rPr>
        <w:t xml:space="preserve"> multiple stem and tongue pattern arrow shape</w:t>
      </w:r>
      <w:r>
        <w:rPr>
          <w:rFonts w:eastAsia="Times New Roman"/>
          <w:color w:val="000000"/>
        </w:rPr>
        <w:t>s</w:t>
      </w:r>
      <w:r w:rsidRPr="00191003">
        <w:rPr>
          <w:rFonts w:eastAsia="Times New Roman"/>
          <w:color w:val="000000"/>
        </w:rPr>
        <w:t xml:space="preserve"> are </w:t>
      </w:r>
      <w:r>
        <w:rPr>
          <w:rFonts w:eastAsia="Times New Roman"/>
          <w:color w:val="000000"/>
        </w:rPr>
        <w:t>on</w:t>
      </w:r>
      <w:r w:rsidRPr="00191003">
        <w:rPr>
          <w:rFonts w:eastAsia="Times New Roman"/>
          <w:color w:val="000000"/>
        </w:rPr>
        <w:t xml:space="preserve"> bathtub 230 Gra Lygia AE 13046</w:t>
      </w:r>
      <w:r>
        <w:rPr>
          <w:rFonts w:eastAsia="Times New Roman"/>
          <w:color w:val="000000"/>
        </w:rPr>
        <w:t xml:space="preserve"> (</w:t>
      </w:r>
      <w:r w:rsidRPr="002F0097">
        <w:rPr>
          <w:rFonts w:eastAsia="Times New Roman"/>
          <w:color w:val="000000"/>
        </w:rPr>
        <w:t>Apostolakou 1998</w:t>
      </w:r>
      <w:r>
        <w:rPr>
          <w:rFonts w:eastAsia="Times New Roman"/>
          <w:color w:val="000000"/>
        </w:rPr>
        <w:t xml:space="preserve">: </w:t>
      </w:r>
      <w:r w:rsidRPr="002F0097">
        <w:rPr>
          <w:rFonts w:eastAsia="Times New Roman"/>
          <w:color w:val="000000"/>
        </w:rPr>
        <w:t>71-73 fig. 49 a-d  pl. 22 a-d</w:t>
      </w:r>
      <w:r>
        <w:rPr>
          <w:rFonts w:eastAsia="Times New Roman"/>
          <w:color w:val="000000"/>
        </w:rPr>
        <w:t>).</w:t>
      </w:r>
    </w:p>
    <w:p w14:paraId="54CB5BAD" w14:textId="77777777" w:rsidR="00D726B2" w:rsidRPr="00191003" w:rsidRDefault="00D726B2" w:rsidP="00370745">
      <w:pPr>
        <w:pStyle w:val="Paragrafoelenco"/>
        <w:numPr>
          <w:ilvl w:val="0"/>
          <w:numId w:val="118"/>
        </w:numPr>
        <w:suppressAutoHyphens/>
        <w:spacing w:after="160"/>
        <w:rPr>
          <w:rFonts w:eastAsia="Times New Roman"/>
          <w:color w:val="000000"/>
        </w:rPr>
      </w:pPr>
      <w:r w:rsidRPr="00191003">
        <w:rPr>
          <w:rFonts w:eastAsia="Times New Roman"/>
          <w:color w:val="000000"/>
        </w:rPr>
        <w:t xml:space="preserve">Fish (FM 20): nine fish are </w:t>
      </w:r>
      <w:r>
        <w:rPr>
          <w:rFonts w:eastAsia="Times New Roman"/>
          <w:color w:val="000000"/>
        </w:rPr>
        <w:t>on</w:t>
      </w:r>
      <w:r w:rsidRPr="00191003">
        <w:rPr>
          <w:rFonts w:eastAsia="Times New Roman"/>
          <w:color w:val="000000"/>
        </w:rPr>
        <w:t xml:space="preserve"> the decoration of chest</w:t>
      </w:r>
      <w:r>
        <w:rPr>
          <w:rFonts w:eastAsia="Times New Roman"/>
          <w:color w:val="000000"/>
        </w:rPr>
        <w:t>-shaped</w:t>
      </w:r>
      <w:r w:rsidRPr="00191003">
        <w:rPr>
          <w:rFonts w:eastAsia="Times New Roman"/>
          <w:color w:val="000000"/>
        </w:rPr>
        <w:t xml:space="preserve"> </w:t>
      </w:r>
      <w:r>
        <w:rPr>
          <w:rFonts w:eastAsia="Times New Roman"/>
          <w:color w:val="000000"/>
        </w:rPr>
        <w:t>L</w:t>
      </w:r>
      <w:r w:rsidRPr="00191003">
        <w:rPr>
          <w:rFonts w:eastAsia="Times New Roman"/>
          <w:color w:val="000000"/>
        </w:rPr>
        <w:t>arnax 227 Gra Lygia AE 22704</w:t>
      </w:r>
      <w:r>
        <w:rPr>
          <w:rFonts w:eastAsia="Times New Roman"/>
          <w:color w:val="000000"/>
        </w:rPr>
        <w:t xml:space="preserve"> (</w:t>
      </w:r>
      <w:r w:rsidRPr="002F0097">
        <w:rPr>
          <w:rFonts w:eastAsia="Times New Roman"/>
          <w:color w:val="000000"/>
        </w:rPr>
        <w:t>Apostolakou 1998 53: 66-70 fig. 46-47 pl. 20 a-d</w:t>
      </w:r>
      <w:r>
        <w:rPr>
          <w:rFonts w:eastAsia="Times New Roman"/>
          <w:color w:val="000000"/>
        </w:rPr>
        <w:t>).</w:t>
      </w:r>
    </w:p>
    <w:p w14:paraId="1888DD1B" w14:textId="77777777" w:rsidR="00D726B2" w:rsidRPr="00191003" w:rsidRDefault="00D726B2" w:rsidP="00370745">
      <w:pPr>
        <w:pStyle w:val="Paragrafoelenco"/>
        <w:numPr>
          <w:ilvl w:val="0"/>
          <w:numId w:val="118"/>
        </w:numPr>
        <w:suppressAutoHyphens/>
        <w:spacing w:after="160"/>
        <w:rPr>
          <w:rFonts w:eastAsia="Times New Roman"/>
          <w:color w:val="000000"/>
        </w:rPr>
      </w:pPr>
      <w:r w:rsidRPr="00191003">
        <w:rPr>
          <w:rFonts w:eastAsia="Times New Roman"/>
          <w:color w:val="000000"/>
        </w:rPr>
        <w:t>Stemmed spirals (FM 51): multiple number</w:t>
      </w:r>
      <w:r>
        <w:rPr>
          <w:rFonts w:eastAsia="Times New Roman"/>
          <w:color w:val="000000"/>
        </w:rPr>
        <w:t>s</w:t>
      </w:r>
      <w:r w:rsidRPr="00191003">
        <w:rPr>
          <w:rFonts w:eastAsia="Times New Roman"/>
          <w:color w:val="000000"/>
        </w:rPr>
        <w:t xml:space="preserve"> of stemmed spirals in rows appear </w:t>
      </w:r>
      <w:r>
        <w:rPr>
          <w:rFonts w:eastAsia="Times New Roman"/>
          <w:color w:val="000000"/>
        </w:rPr>
        <w:t>o</w:t>
      </w:r>
      <w:r w:rsidRPr="00191003">
        <w:rPr>
          <w:rFonts w:eastAsia="Times New Roman"/>
          <w:color w:val="000000"/>
        </w:rPr>
        <w:t>n two chest</w:t>
      </w:r>
      <w:r>
        <w:rPr>
          <w:rFonts w:eastAsia="Times New Roman"/>
          <w:color w:val="000000"/>
        </w:rPr>
        <w:t>-shaped larnakes</w:t>
      </w:r>
      <w:r w:rsidRPr="00191003">
        <w:rPr>
          <w:rFonts w:eastAsia="Times New Roman"/>
          <w:color w:val="000000"/>
        </w:rPr>
        <w:t xml:space="preserve"> from Achladia (397</w:t>
      </w:r>
      <w:r>
        <w:rPr>
          <w:rFonts w:eastAsia="Times New Roman"/>
          <w:color w:val="000000"/>
        </w:rPr>
        <w:t xml:space="preserve"> Achladia and</w:t>
      </w:r>
      <w:r w:rsidRPr="00191003">
        <w:rPr>
          <w:rFonts w:eastAsia="Times New Roman"/>
          <w:color w:val="000000"/>
        </w:rPr>
        <w:t xml:space="preserve"> 398</w:t>
      </w:r>
      <w:r>
        <w:rPr>
          <w:rFonts w:eastAsia="Times New Roman"/>
          <w:color w:val="000000"/>
        </w:rPr>
        <w:t xml:space="preserve"> Achladia: Tsi</w:t>
      </w:r>
      <w:r w:rsidRPr="00DE1A35">
        <w:rPr>
          <w:rFonts w:eastAsia="Times New Roman"/>
          <w:color w:val="000000"/>
        </w:rPr>
        <w:t>opoulou</w:t>
      </w:r>
      <w:r>
        <w:rPr>
          <w:rFonts w:eastAsia="Times New Roman"/>
          <w:color w:val="000000"/>
        </w:rPr>
        <w:t xml:space="preserve"> and</w:t>
      </w:r>
      <w:r w:rsidRPr="00DE1A35">
        <w:rPr>
          <w:rFonts w:eastAsia="Times New Roman"/>
          <w:color w:val="000000"/>
        </w:rPr>
        <w:t xml:space="preserve"> Vagnetti 1995, 118</w:t>
      </w:r>
      <w:r>
        <w:rPr>
          <w:rFonts w:eastAsia="Times New Roman"/>
          <w:color w:val="000000"/>
        </w:rPr>
        <w:t>;</w:t>
      </w:r>
      <w:r w:rsidRPr="00DE1A35">
        <w:rPr>
          <w:rFonts w:eastAsia="Times New Roman"/>
          <w:color w:val="000000"/>
        </w:rPr>
        <w:t xml:space="preserve"> Spiliotopoulou 2010, 60</w:t>
      </w:r>
      <w:r w:rsidRPr="00191003">
        <w:rPr>
          <w:rFonts w:eastAsia="Times New Roman"/>
          <w:color w:val="000000"/>
        </w:rPr>
        <w:t xml:space="preserve">), </w:t>
      </w:r>
      <w:r>
        <w:rPr>
          <w:rFonts w:eastAsia="Times New Roman"/>
          <w:color w:val="000000"/>
        </w:rPr>
        <w:t>o</w:t>
      </w:r>
      <w:r w:rsidRPr="00191003">
        <w:rPr>
          <w:rFonts w:eastAsia="Times New Roman"/>
          <w:color w:val="000000"/>
        </w:rPr>
        <w:t xml:space="preserve">n a chest 539 </w:t>
      </w:r>
      <w:r w:rsidRPr="00191003">
        <w:t>Episkopi Pankalos Spiti IC 823</w:t>
      </w:r>
      <w:r>
        <w:t xml:space="preserve"> (</w:t>
      </w:r>
      <w:r w:rsidRPr="0083427E">
        <w:t>Papadakis 1982:</w:t>
      </w:r>
      <w:r>
        <w:t xml:space="preserve"> </w:t>
      </w:r>
      <w:r w:rsidRPr="0083427E">
        <w:t xml:space="preserve">73; Kanta </w:t>
      </w:r>
      <w:r>
        <w:t xml:space="preserve">1980:146-60; Spiliotopoulou 2010: 69; Langohr 2009: </w:t>
      </w:r>
      <w:r w:rsidRPr="0083427E">
        <w:t>152-15</w:t>
      </w:r>
      <w:r>
        <w:t>)</w:t>
      </w:r>
      <w:r w:rsidRPr="00191003">
        <w:t>,</w:t>
      </w:r>
      <w:r>
        <w:t xml:space="preserve"> and</w:t>
      </w:r>
      <w:r w:rsidRPr="00191003">
        <w:t xml:space="preserve"> in a bathtub</w:t>
      </w:r>
      <w:r>
        <w:t xml:space="preserve"> from</w:t>
      </w:r>
      <w:r w:rsidRPr="00191003">
        <w:t xml:space="preserve"> 231 Gra Lygia AE13050</w:t>
      </w:r>
      <w:r>
        <w:t xml:space="preserve"> (</w:t>
      </w:r>
      <w:r w:rsidRPr="0083427E">
        <w:t>Apostolakou 1998: 81-83 fig. 60  pl. 23</w:t>
      </w:r>
      <w:r>
        <w:t>).</w:t>
      </w:r>
    </w:p>
    <w:p w14:paraId="559725CE" w14:textId="77777777" w:rsidR="00D726B2" w:rsidRPr="00191003" w:rsidRDefault="00D726B2" w:rsidP="00370745">
      <w:pPr>
        <w:pStyle w:val="Paragrafoelenco"/>
        <w:numPr>
          <w:ilvl w:val="0"/>
          <w:numId w:val="118"/>
        </w:numPr>
        <w:suppressAutoHyphens/>
        <w:spacing w:after="160"/>
        <w:rPr>
          <w:rFonts w:eastAsia="Times New Roman"/>
          <w:color w:val="000000"/>
        </w:rPr>
      </w:pPr>
      <w:r w:rsidRPr="00191003">
        <w:rPr>
          <w:rFonts w:eastAsia="Times New Roman"/>
          <w:color w:val="000000"/>
        </w:rPr>
        <w:t xml:space="preserve">Hatched loop (FM 63): more than </w:t>
      </w:r>
      <w:r>
        <w:rPr>
          <w:rFonts w:eastAsia="Times New Roman"/>
          <w:color w:val="000000"/>
        </w:rPr>
        <w:t>20</w:t>
      </w:r>
      <w:r w:rsidRPr="00191003">
        <w:rPr>
          <w:rFonts w:eastAsia="Times New Roman"/>
          <w:color w:val="000000"/>
        </w:rPr>
        <w:t xml:space="preserve"> simple hatched loop </w:t>
      </w:r>
      <w:r>
        <w:rPr>
          <w:rFonts w:eastAsia="Times New Roman"/>
          <w:color w:val="000000"/>
        </w:rPr>
        <w:t>motif</w:t>
      </w:r>
      <w:r w:rsidRPr="00191003">
        <w:rPr>
          <w:rFonts w:eastAsia="Times New Roman"/>
          <w:color w:val="000000"/>
        </w:rPr>
        <w:t>s decorate the frame (</w:t>
      </w:r>
      <w:r>
        <w:rPr>
          <w:rFonts w:eastAsia="Times New Roman"/>
          <w:color w:val="000000"/>
        </w:rPr>
        <w:t>in</w:t>
      </w:r>
      <w:r w:rsidRPr="00191003">
        <w:rPr>
          <w:rFonts w:eastAsia="Times New Roman"/>
          <w:color w:val="000000"/>
        </w:rPr>
        <w:t xml:space="preserve"> the corner) of the chest</w:t>
      </w:r>
      <w:r>
        <w:rPr>
          <w:rFonts w:eastAsia="Times New Roman"/>
          <w:color w:val="000000"/>
        </w:rPr>
        <w:t>-shaped</w:t>
      </w:r>
      <w:r w:rsidRPr="00191003">
        <w:rPr>
          <w:rFonts w:eastAsia="Times New Roman"/>
          <w:color w:val="000000"/>
        </w:rPr>
        <w:t xml:space="preserve"> </w:t>
      </w:r>
      <w:r>
        <w:rPr>
          <w:rFonts w:eastAsia="Times New Roman"/>
          <w:color w:val="000000"/>
        </w:rPr>
        <w:t>L</w:t>
      </w:r>
      <w:r w:rsidRPr="00191003">
        <w:rPr>
          <w:rFonts w:eastAsia="Times New Roman"/>
          <w:color w:val="000000"/>
        </w:rPr>
        <w:t xml:space="preserve">arnax 535 </w:t>
      </w:r>
      <w:r w:rsidRPr="00191003">
        <w:t>Episkopi Pankalos Spiti</w:t>
      </w:r>
      <w:r>
        <w:t xml:space="preserve"> (Pini 1968:</w:t>
      </w:r>
      <w:r w:rsidRPr="00360EF1">
        <w:t xml:space="preserve"> 78; Ka</w:t>
      </w:r>
      <w:r>
        <w:t>nta 1980: 156-158; Langohr 2009</w:t>
      </w:r>
      <w:r w:rsidRPr="00360EF1">
        <w:t xml:space="preserve"> 152-155</w:t>
      </w:r>
      <w:r>
        <w:t>).</w:t>
      </w:r>
    </w:p>
    <w:p w14:paraId="2292373D" w14:textId="77777777" w:rsidR="00D726B2" w:rsidRPr="00191003" w:rsidRDefault="00D726B2" w:rsidP="00E858EF">
      <w:pPr>
        <w:pStyle w:val="Titolo4"/>
        <w:keepNext w:val="0"/>
        <w:keepLines w:val="0"/>
        <w:suppressAutoHyphens/>
      </w:pPr>
      <w:bookmarkStart w:id="1193" w:name="_Toc517807637"/>
      <w:r w:rsidRPr="00191003">
        <w:t>Difference between bath</w:t>
      </w:r>
      <w:r>
        <w:t>tubs</w:t>
      </w:r>
      <w:r w:rsidRPr="00191003">
        <w:t xml:space="preserve"> and chest</w:t>
      </w:r>
      <w:r>
        <w:t>-</w:t>
      </w:r>
      <w:r w:rsidRPr="00191003">
        <w:t>shaped</w:t>
      </w:r>
      <w:bookmarkEnd w:id="1193"/>
    </w:p>
    <w:p w14:paraId="5E5DEC1C" w14:textId="77777777" w:rsidR="00D726B2" w:rsidRPr="00191003" w:rsidRDefault="00D726B2" w:rsidP="00E858EF">
      <w:pPr>
        <w:suppressAutoHyphens/>
      </w:pPr>
      <w:r>
        <w:t>The Far-East area</w:t>
      </w:r>
      <w:r w:rsidRPr="00191003">
        <w:t xml:space="preserve"> is the only region where </w:t>
      </w:r>
      <w:r>
        <w:t xml:space="preserve">the </w:t>
      </w:r>
      <w:r w:rsidRPr="00191003">
        <w:t xml:space="preserve">bathtub larnax type is more </w:t>
      </w:r>
      <w:r>
        <w:t xml:space="preserve">frequent </w:t>
      </w:r>
      <w:r w:rsidRPr="00191003">
        <w:t>than chest</w:t>
      </w:r>
      <w:r>
        <w:t>-shaped</w:t>
      </w:r>
      <w:r w:rsidRPr="00191003">
        <w:t xml:space="preserve"> larnakes. Decorated bathtubs represent 45% </w:t>
      </w:r>
      <w:r>
        <w:t>of</w:t>
      </w:r>
      <w:r w:rsidRPr="00191003">
        <w:t xml:space="preserve"> the total number of secure bathtubs found in the region. </w:t>
      </w:r>
      <w:r>
        <w:t>Among</w:t>
      </w:r>
      <w:r w:rsidRPr="00191003">
        <w:t xml:space="preserve"> possible larnakes bathtubs </w:t>
      </w:r>
      <w:r>
        <w:t xml:space="preserve">are </w:t>
      </w:r>
      <w:r w:rsidRPr="00191003">
        <w:t>the most common type as well (72%)</w:t>
      </w:r>
      <w:r>
        <w:t>,</w:t>
      </w:r>
      <w:r w:rsidRPr="00191003">
        <w:t xml:space="preserve"> and 82% of possible bathtub larnakes are decorated.</w:t>
      </w:r>
    </w:p>
    <w:p w14:paraId="5437DCEA" w14:textId="77777777" w:rsidR="00D726B2" w:rsidRPr="00191003" w:rsidRDefault="00D726B2" w:rsidP="00E858EF">
      <w:pPr>
        <w:suppressAutoHyphens/>
      </w:pPr>
      <w:r>
        <w:tab/>
        <w:t>Regarding the</w:t>
      </w:r>
      <w:r w:rsidRPr="00191003">
        <w:t xml:space="preserve"> organi</w:t>
      </w:r>
      <w:r>
        <w:t>s</w:t>
      </w:r>
      <w:r w:rsidRPr="00191003">
        <w:t>ation of the decoration</w:t>
      </w:r>
      <w:r>
        <w:t>,</w:t>
      </w:r>
      <w:r w:rsidRPr="00191003">
        <w:t xml:space="preserve"> bathtub larnakes can be decorated either horizontally (one or more horizontal panel</w:t>
      </w:r>
      <w:r>
        <w:t>s</w:t>
      </w:r>
      <w:r w:rsidRPr="00191003">
        <w:t xml:space="preserve"> </w:t>
      </w:r>
      <w:r>
        <w:t>on which</w:t>
      </w:r>
      <w:r w:rsidRPr="00191003">
        <w:t xml:space="preserve"> </w:t>
      </w:r>
      <w:r>
        <w:t>motif</w:t>
      </w:r>
      <w:r w:rsidRPr="00191003">
        <w:t>s are distributed all around the larnax horizontally) or following a vertical panel/frame division. In the case of bathtub</w:t>
      </w:r>
      <w:r>
        <w:t>s,</w:t>
      </w:r>
      <w:r w:rsidRPr="00191003">
        <w:t xml:space="preserve"> any </w:t>
      </w:r>
      <w:r>
        <w:t>type</w:t>
      </w:r>
      <w:r w:rsidRPr="00191003">
        <w:t xml:space="preserve"> of panel/frame distinction is rendered t</w:t>
      </w:r>
      <w:r>
        <w:t>h</w:t>
      </w:r>
      <w:r w:rsidRPr="00191003">
        <w:t>rough painting (no incision or frame in relief). Unfortunately, it is not possible to verify for the entire secure sample of bathtubs from th</w:t>
      </w:r>
      <w:r>
        <w:t>is</w:t>
      </w:r>
      <w:r w:rsidRPr="00191003">
        <w:t xml:space="preserve"> region </w:t>
      </w:r>
      <w:r>
        <w:t>whether</w:t>
      </w:r>
      <w:r w:rsidRPr="00191003">
        <w:t xml:space="preserve"> they are decorate</w:t>
      </w:r>
      <w:r>
        <w:t>d both inside and outside (30% have no information</w:t>
      </w:r>
      <w:r w:rsidRPr="00191003">
        <w:t>), but 44% of them are. From the sample available</w:t>
      </w:r>
      <w:r>
        <w:t>,</w:t>
      </w:r>
      <w:r w:rsidRPr="00191003">
        <w:t xml:space="preserve"> there </w:t>
      </w:r>
      <w:r>
        <w:t>is</w:t>
      </w:r>
      <w:r w:rsidRPr="00191003">
        <w:t xml:space="preserve"> no evidence of panel division</w:t>
      </w:r>
      <w:r>
        <w:t>s</w:t>
      </w:r>
      <w:r w:rsidRPr="00191003">
        <w:t xml:space="preserve"> </w:t>
      </w:r>
      <w:r>
        <w:t>o</w:t>
      </w:r>
      <w:r w:rsidRPr="00191003">
        <w:t>n the inside decoration, which normally is represented by wavy lines, fish, isolated semicircles,</w:t>
      </w:r>
      <w:r>
        <w:t xml:space="preserve"> and</w:t>
      </w:r>
      <w:r w:rsidRPr="00191003">
        <w:t xml:space="preserve"> dripping/trickle decoration. Only in the case of </w:t>
      </w:r>
      <w:r>
        <w:t>L</w:t>
      </w:r>
      <w:r w:rsidRPr="00191003">
        <w:t>arnax 22 Mochlos SM 12033</w:t>
      </w:r>
      <w:r>
        <w:t xml:space="preserve"> are</w:t>
      </w:r>
      <w:r w:rsidRPr="00191003">
        <w:t xml:space="preserve"> two </w:t>
      </w:r>
      <w:r>
        <w:t>anthropomorphic figures visible on</w:t>
      </w:r>
      <w:r w:rsidRPr="00191003">
        <w:t xml:space="preserve"> the inside.</w:t>
      </w:r>
    </w:p>
    <w:p w14:paraId="7E22E8AD" w14:textId="77777777" w:rsidR="00D726B2" w:rsidRPr="00191003" w:rsidRDefault="00D726B2" w:rsidP="00E858EF">
      <w:pPr>
        <w:suppressAutoHyphens/>
      </w:pPr>
      <w:r>
        <w:tab/>
      </w:r>
      <w:r w:rsidRPr="00191003">
        <w:t xml:space="preserve">As </w:t>
      </w:r>
      <w:r>
        <w:t>with</w:t>
      </w:r>
      <w:r w:rsidRPr="00191003">
        <w:t xml:space="preserve"> </w:t>
      </w:r>
      <w:r>
        <w:t>motif</w:t>
      </w:r>
      <w:r w:rsidRPr="00191003">
        <w:t xml:space="preserve"> occurrence</w:t>
      </w:r>
      <w:r>
        <w:t>,</w:t>
      </w:r>
      <w:r w:rsidRPr="00191003">
        <w:t xml:space="preserve"> marine </w:t>
      </w:r>
      <w:r>
        <w:t>motif</w:t>
      </w:r>
      <w:r w:rsidRPr="00191003">
        <w:t xml:space="preserve">s (cuttlefish/octopi in particular) </w:t>
      </w:r>
      <w:r>
        <w:t>are</w:t>
      </w:r>
      <w:r w:rsidRPr="00191003">
        <w:t xml:space="preserve"> very popular in the region. The</w:t>
      </w:r>
      <w:r>
        <w:t>se motifs</w:t>
      </w:r>
      <w:r w:rsidRPr="00191003">
        <w:t xml:space="preserve"> </w:t>
      </w:r>
      <w:r>
        <w:t>are</w:t>
      </w:r>
      <w:r w:rsidRPr="00191003">
        <w:t xml:space="preserve"> a very common decoration along with papyri in bathtub larnakes (the way in which th</w:t>
      </w:r>
      <w:r>
        <w:t>ese</w:t>
      </w:r>
      <w:r w:rsidRPr="00191003">
        <w:t xml:space="preserve"> </w:t>
      </w:r>
      <w:r>
        <w:t>motif</w:t>
      </w:r>
      <w:r w:rsidRPr="00191003">
        <w:t xml:space="preserve">s </w:t>
      </w:r>
      <w:r>
        <w:t>are</w:t>
      </w:r>
      <w:r w:rsidRPr="00191003">
        <w:t xml:space="preserve"> represented </w:t>
      </w:r>
      <w:r>
        <w:t>means they can</w:t>
      </w:r>
      <w:r w:rsidRPr="00191003">
        <w:t xml:space="preserve"> fill all the space of an entire side of the bathtub)</w:t>
      </w:r>
      <w:r>
        <w:t>,</w:t>
      </w:r>
      <w:r w:rsidRPr="00191003">
        <w:t xml:space="preserve"> although the </w:t>
      </w:r>
      <w:r>
        <w:t>motif</w:t>
      </w:r>
      <w:r w:rsidRPr="00191003">
        <w:t xml:space="preserve">s </w:t>
      </w:r>
      <w:r>
        <w:t>are</w:t>
      </w:r>
      <w:r w:rsidRPr="00191003">
        <w:t xml:space="preserve"> used </w:t>
      </w:r>
      <w:r>
        <w:t>o</w:t>
      </w:r>
      <w:r w:rsidRPr="00191003">
        <w:t>n chest</w:t>
      </w:r>
      <w:r>
        <w:t>-shaped</w:t>
      </w:r>
      <w:r w:rsidRPr="00191003">
        <w:t xml:space="preserve"> larn</w:t>
      </w:r>
      <w:r>
        <w:t>ax</w:t>
      </w:r>
      <w:r w:rsidRPr="00191003">
        <w:t xml:space="preserve"> decoration in this region</w:t>
      </w:r>
      <w:r>
        <w:t xml:space="preserve"> also</w:t>
      </w:r>
      <w:r w:rsidRPr="00191003">
        <w:t xml:space="preserve"> (of the </w:t>
      </w:r>
      <w:r>
        <w:t>20</w:t>
      </w:r>
      <w:r w:rsidRPr="00191003">
        <w:t xml:space="preserve"> larnakes </w:t>
      </w:r>
      <w:r>
        <w:t>on which</w:t>
      </w:r>
      <w:r w:rsidRPr="00191003">
        <w:t xml:space="preserve"> the </w:t>
      </w:r>
      <w:r>
        <w:t>motifs</w:t>
      </w:r>
      <w:r w:rsidRPr="00191003">
        <w:t xml:space="preserve"> of octopi</w:t>
      </w:r>
      <w:r>
        <w:t>/</w:t>
      </w:r>
      <w:r w:rsidRPr="00191003">
        <w:t xml:space="preserve">papyri </w:t>
      </w:r>
      <w:r>
        <w:t>are</w:t>
      </w:r>
      <w:r w:rsidRPr="00191003">
        <w:t xml:space="preserve"> registered</w:t>
      </w:r>
      <w:r>
        <w:t>,</w:t>
      </w:r>
      <w:r w:rsidRPr="00191003">
        <w:t xml:space="preserve"> 13 are bathtub</w:t>
      </w:r>
      <w:r>
        <w:t>s</w:t>
      </w:r>
      <w:r w:rsidRPr="00191003">
        <w:t xml:space="preserve"> and </w:t>
      </w:r>
      <w:r>
        <w:t>seven</w:t>
      </w:r>
      <w:r w:rsidRPr="00191003">
        <w:t xml:space="preserve"> chest</w:t>
      </w:r>
      <w:r>
        <w:t>-</w:t>
      </w:r>
      <w:r w:rsidRPr="00191003">
        <w:t>shaped).</w:t>
      </w:r>
    </w:p>
    <w:p w14:paraId="1C4535BA" w14:textId="77777777" w:rsidR="00D726B2" w:rsidRPr="00191003" w:rsidRDefault="00D726B2" w:rsidP="00E858EF">
      <w:pPr>
        <w:pStyle w:val="Titolo4"/>
        <w:keepNext w:val="0"/>
        <w:keepLines w:val="0"/>
        <w:suppressAutoHyphens/>
      </w:pPr>
      <w:bookmarkStart w:id="1194" w:name="_Toc517807638"/>
      <w:r w:rsidRPr="00191003">
        <w:t>Difference between frames and panel</w:t>
      </w:r>
      <w:r>
        <w:t>s</w:t>
      </w:r>
      <w:bookmarkEnd w:id="1194"/>
    </w:p>
    <w:p w14:paraId="262AE43C" w14:textId="77777777" w:rsidR="00D726B2" w:rsidRPr="00191003" w:rsidRDefault="00D726B2" w:rsidP="00E858EF">
      <w:pPr>
        <w:suppressAutoHyphens/>
      </w:pPr>
      <w:r w:rsidRPr="00191003">
        <w:t xml:space="preserve">From </w:t>
      </w:r>
      <w:r>
        <w:t>a</w:t>
      </w:r>
      <w:r w:rsidRPr="00191003">
        <w:t xml:space="preserve"> morphological </w:t>
      </w:r>
      <w:r>
        <w:t>perspective,</w:t>
      </w:r>
      <w:r w:rsidRPr="00191003">
        <w:t xml:space="preserve"> the division</w:t>
      </w:r>
      <w:r>
        <w:t>s</w:t>
      </w:r>
      <w:r w:rsidRPr="00191003">
        <w:t xml:space="preserve"> between </w:t>
      </w:r>
      <w:r>
        <w:t xml:space="preserve">the </w:t>
      </w:r>
      <w:r w:rsidRPr="00191003">
        <w:t>frame</w:t>
      </w:r>
      <w:r>
        <w:t>s</w:t>
      </w:r>
      <w:r w:rsidRPr="00191003">
        <w:t xml:space="preserve"> and panel</w:t>
      </w:r>
      <w:r>
        <w:t>s</w:t>
      </w:r>
      <w:r w:rsidRPr="00191003">
        <w:t xml:space="preserve"> in </w:t>
      </w:r>
      <w:r>
        <w:t>chest-shaped larnakes from the Far-East</w:t>
      </w:r>
      <w:r w:rsidRPr="00191003">
        <w:t xml:space="preserve"> region </w:t>
      </w:r>
      <w:r>
        <w:t>are</w:t>
      </w:r>
      <w:r w:rsidRPr="00191003">
        <w:t xml:space="preserve"> </w:t>
      </w:r>
      <w:r>
        <w:t>often</w:t>
      </w:r>
      <w:r w:rsidRPr="00191003">
        <w:t xml:space="preserve"> rendered </w:t>
      </w:r>
      <w:r>
        <w:t>via</w:t>
      </w:r>
      <w:r w:rsidRPr="00191003">
        <w:t xml:space="preserve"> raised panels. Full</w:t>
      </w:r>
      <w:r>
        <w:t>y</w:t>
      </w:r>
      <w:r w:rsidRPr="00191003">
        <w:t xml:space="preserve"> painted or simpl</w:t>
      </w:r>
      <w:r>
        <w:t>e</w:t>
      </w:r>
      <w:r w:rsidRPr="00191003">
        <w:t xml:space="preserve"> outlines are the most common decoration for frames.</w:t>
      </w:r>
      <w:r>
        <w:t xml:space="preserve"> </w:t>
      </w:r>
      <w:r w:rsidRPr="00191003">
        <w:t xml:space="preserve">In terms of </w:t>
      </w:r>
      <w:r>
        <w:t>motif</w:t>
      </w:r>
      <w:r w:rsidRPr="00191003">
        <w:t>s</w:t>
      </w:r>
      <w:r>
        <w:t>,</w:t>
      </w:r>
      <w:r w:rsidRPr="00191003">
        <w:t xml:space="preserve"> the</w:t>
      </w:r>
      <w:r>
        <w:t xml:space="preserve"> following</w:t>
      </w:r>
      <w:r w:rsidRPr="00191003">
        <w:t xml:space="preserve"> occur most in frames:</w:t>
      </w:r>
    </w:p>
    <w:p w14:paraId="56828619" w14:textId="77777777" w:rsidR="00D726B2" w:rsidRPr="00191003" w:rsidRDefault="00D726B2" w:rsidP="00E858EF">
      <w:pPr>
        <w:pStyle w:val="Paragrafoelenco"/>
        <w:numPr>
          <w:ilvl w:val="0"/>
          <w:numId w:val="78"/>
        </w:numPr>
        <w:suppressAutoHyphens/>
        <w:spacing w:after="160"/>
      </w:pPr>
      <w:r w:rsidRPr="00191003">
        <w:t>Zigzag (FM 61)  (5 larnakes)</w:t>
      </w:r>
    </w:p>
    <w:p w14:paraId="685F3EAD" w14:textId="77777777" w:rsidR="00D726B2" w:rsidRPr="00191003" w:rsidRDefault="00D726B2" w:rsidP="00E858EF">
      <w:pPr>
        <w:pStyle w:val="Paragrafoelenco"/>
        <w:numPr>
          <w:ilvl w:val="0"/>
          <w:numId w:val="78"/>
        </w:numPr>
        <w:suppressAutoHyphens/>
        <w:spacing w:after="160"/>
      </w:pPr>
      <w:r w:rsidRPr="00191003">
        <w:t>Running spirals (FM 46) (4 larnakes)</w:t>
      </w:r>
    </w:p>
    <w:p w14:paraId="28F46BA2" w14:textId="77777777" w:rsidR="00D726B2" w:rsidRPr="00191003" w:rsidRDefault="00D726B2" w:rsidP="00E858EF">
      <w:pPr>
        <w:pStyle w:val="Paragrafoelenco"/>
        <w:numPr>
          <w:ilvl w:val="0"/>
          <w:numId w:val="78"/>
        </w:numPr>
        <w:suppressAutoHyphens/>
        <w:spacing w:after="160"/>
      </w:pPr>
      <w:r w:rsidRPr="00191003">
        <w:t>Parallel chevrons (FM 58)</w:t>
      </w:r>
      <w:r>
        <w:t xml:space="preserve"> (4 larnakes)</w:t>
      </w:r>
    </w:p>
    <w:p w14:paraId="43D1F833" w14:textId="77777777" w:rsidR="00D726B2" w:rsidRPr="00191003" w:rsidRDefault="00D726B2" w:rsidP="00E858EF">
      <w:pPr>
        <w:suppressAutoHyphens/>
      </w:pPr>
      <w:r w:rsidRPr="00191003">
        <w:t xml:space="preserve">These three </w:t>
      </w:r>
      <w:r>
        <w:t>motif</w:t>
      </w:r>
      <w:r w:rsidRPr="00191003">
        <w:t>s are usually used in pair</w:t>
      </w:r>
      <w:r>
        <w:t>s</w:t>
      </w:r>
      <w:r w:rsidRPr="00191003">
        <w:t xml:space="preserve"> or all </w:t>
      </w:r>
      <w:r>
        <w:t>together and</w:t>
      </w:r>
      <w:r w:rsidRPr="00191003">
        <w:t xml:space="preserve"> repeated all around the frames.</w:t>
      </w:r>
      <w:r>
        <w:t xml:space="preserve"> </w:t>
      </w:r>
      <w:r w:rsidRPr="00191003">
        <w:t>It is interesting that wavy lines are not us</w:t>
      </w:r>
      <w:r>
        <w:t>ed for frame decoration in the Far-East</w:t>
      </w:r>
      <w:r w:rsidRPr="00191003">
        <w:t xml:space="preserve"> region</w:t>
      </w:r>
      <w:r>
        <w:t>;</w:t>
      </w:r>
      <w:r w:rsidRPr="00191003">
        <w:t xml:space="preserve"> instead</w:t>
      </w:r>
      <w:r>
        <w:t>,</w:t>
      </w:r>
      <w:r w:rsidRPr="00191003">
        <w:t xml:space="preserve"> they are </w:t>
      </w:r>
      <w:r>
        <w:t>often</w:t>
      </w:r>
      <w:r w:rsidRPr="00191003">
        <w:t xml:space="preserve"> used </w:t>
      </w:r>
      <w:r>
        <w:t>on the</w:t>
      </w:r>
      <w:r w:rsidRPr="00191003">
        <w:t xml:space="preserve"> inside decoration of bathtub</w:t>
      </w:r>
      <w:r>
        <w:t>s,</w:t>
      </w:r>
      <w:r w:rsidRPr="00191003">
        <w:t xml:space="preserve"> while wavy border</w:t>
      </w:r>
      <w:r>
        <w:t>s</w:t>
      </w:r>
      <w:r w:rsidRPr="00191003">
        <w:t xml:space="preserve"> are used as frame division</w:t>
      </w:r>
      <w:r>
        <w:t>s</w:t>
      </w:r>
      <w:r w:rsidRPr="00191003">
        <w:t xml:space="preserve"> in bathtub</w:t>
      </w:r>
      <w:r>
        <w:t>s</w:t>
      </w:r>
      <w:r w:rsidRPr="00191003">
        <w:t>.</w:t>
      </w:r>
    </w:p>
    <w:p w14:paraId="692B87E7" w14:textId="77777777" w:rsidR="00D726B2" w:rsidRPr="00191003" w:rsidRDefault="00D726B2" w:rsidP="00E858EF">
      <w:pPr>
        <w:pStyle w:val="Titolo4"/>
        <w:keepNext w:val="0"/>
        <w:keepLines w:val="0"/>
        <w:suppressAutoHyphens/>
      </w:pPr>
      <w:bookmarkStart w:id="1195" w:name="_Toc517807639"/>
      <w:r w:rsidRPr="00191003">
        <w:t xml:space="preserve">Identifying larnakes </w:t>
      </w:r>
      <w:r>
        <w:t xml:space="preserve">that </w:t>
      </w:r>
      <w:r w:rsidRPr="00191003">
        <w:t>are similar</w:t>
      </w:r>
      <w:r>
        <w:t>ly decorated</w:t>
      </w:r>
      <w:bookmarkEnd w:id="1195"/>
    </w:p>
    <w:p w14:paraId="46099EC8" w14:textId="77777777" w:rsidR="00D726B2" w:rsidRDefault="00D726B2" w:rsidP="00E858EF">
      <w:pPr>
        <w:pStyle w:val="Paragrafoelenco"/>
        <w:suppressAutoHyphens/>
        <w:ind w:left="0"/>
      </w:pPr>
      <w:r>
        <w:t>Groups of larnakes that belong to different workshops active in the Far-East</w:t>
      </w:r>
      <w:r w:rsidRPr="00191003">
        <w:t xml:space="preserve"> area</w:t>
      </w:r>
      <w:r>
        <w:t>,</w:t>
      </w:r>
      <w:r w:rsidRPr="00191003">
        <w:t xml:space="preserve"> have been identified by Tsipopoulou</w:t>
      </w:r>
      <w:r>
        <w:t xml:space="preserve"> and</w:t>
      </w:r>
      <w:r w:rsidRPr="00191003">
        <w:t xml:space="preserve"> Vagnetti (1997: 473-479).</w:t>
      </w:r>
      <w:r>
        <w:t xml:space="preserve"> These groups are not all reported here (see possible group 2) because not all the larnakes condidered in their study come from secure burial location (some of them have unknown provenance). </w:t>
      </w:r>
      <w:r w:rsidRPr="00191003">
        <w:t>To these it is possible to add:</w:t>
      </w:r>
    </w:p>
    <w:p w14:paraId="7A1D2DC7" w14:textId="77777777" w:rsidR="00D726B2" w:rsidRPr="00191003" w:rsidRDefault="00D726B2" w:rsidP="00E858EF">
      <w:pPr>
        <w:pStyle w:val="Paragrafoelenco"/>
        <w:suppressAutoHyphens/>
        <w:ind w:left="0"/>
      </w:pPr>
      <w:r>
        <w:t xml:space="preserve">Possible </w:t>
      </w:r>
      <w:r w:rsidRPr="00191003">
        <w:t>Group 1: wavy border, chevrons, stemmed spirals (bathtubs)</w:t>
      </w:r>
    </w:p>
    <w:p w14:paraId="4C72244D" w14:textId="77777777" w:rsidR="00D726B2" w:rsidRPr="00191003" w:rsidRDefault="00D726B2" w:rsidP="00E858EF">
      <w:pPr>
        <w:pStyle w:val="Paragrafoelenco"/>
        <w:suppressAutoHyphens/>
        <w:ind w:left="708"/>
      </w:pPr>
      <w:r w:rsidRPr="00191003">
        <w:t>Kanta identif</w:t>
      </w:r>
      <w:r>
        <w:t>ied</w:t>
      </w:r>
      <w:r w:rsidRPr="00191003">
        <w:t xml:space="preserve"> a group of five bathtub sarcophagi (she identifies the same hand), f</w:t>
      </w:r>
      <w:r>
        <w:t>our from Far-East</w:t>
      </w:r>
      <w:r w:rsidRPr="00191003">
        <w:t xml:space="preserve"> Crete and one from </w:t>
      </w:r>
      <w:r>
        <w:t xml:space="preserve">the </w:t>
      </w:r>
      <w:r w:rsidRPr="00191003">
        <w:t>Knossos area (from Katsambas</w:t>
      </w:r>
      <w:r>
        <w:t>,</w:t>
      </w:r>
      <w:r w:rsidRPr="00191003">
        <w:t xml:space="preserve"> </w:t>
      </w:r>
      <w:r>
        <w:t>but</w:t>
      </w:r>
      <w:r w:rsidRPr="00191003">
        <w:t xml:space="preserve"> it has not been included </w:t>
      </w:r>
      <w:r>
        <w:t>in</w:t>
      </w:r>
      <w:r w:rsidRPr="00191003">
        <w:t xml:space="preserve"> the secure sample because it has no secure burial provenance) </w:t>
      </w:r>
      <w:r>
        <w:t>have</w:t>
      </w:r>
      <w:r w:rsidRPr="00191003">
        <w:t xml:space="preserve"> the same decoration (stemmed spirals, parallel chevrons and wavy border</w:t>
      </w:r>
      <w:r>
        <w:t>s</w:t>
      </w:r>
      <w:r w:rsidRPr="00191003">
        <w:t>)</w:t>
      </w:r>
      <w:r>
        <w:t>,</w:t>
      </w:r>
      <w:r w:rsidRPr="00191003">
        <w:t xml:space="preserve"> to which it is possible to add another bathtub from Mochlos (22 SM</w:t>
      </w:r>
      <w:r>
        <w:t xml:space="preserve"> Mochlos Limenaria</w:t>
      </w:r>
      <w:r w:rsidRPr="00191003">
        <w:t xml:space="preserve"> 12033</w:t>
      </w:r>
      <w:r>
        <w:t xml:space="preserve">: </w:t>
      </w:r>
      <w:r w:rsidRPr="00191003">
        <w:t>Soles</w:t>
      </w:r>
      <w:r>
        <w:t xml:space="preserve"> et al.</w:t>
      </w:r>
      <w:r w:rsidRPr="00191003">
        <w:t xml:space="preserve"> 2011: 23-24</w:t>
      </w:r>
      <w:r>
        <w:t xml:space="preserve">, </w:t>
      </w:r>
      <w:r w:rsidRPr="00964AB4">
        <w:t>fig. 5 pl. 5</w:t>
      </w:r>
      <w:r w:rsidRPr="00191003">
        <w:t>).</w:t>
      </w:r>
    </w:p>
    <w:p w14:paraId="51E7854C" w14:textId="77777777" w:rsidR="00D726B2" w:rsidRPr="00191003" w:rsidRDefault="00D726B2" w:rsidP="00E858EF">
      <w:pPr>
        <w:suppressAutoHyphens/>
      </w:pPr>
      <w:r>
        <w:t xml:space="preserve">Possible </w:t>
      </w:r>
      <w:r w:rsidRPr="00191003">
        <w:t>Group 2: chest</w:t>
      </w:r>
      <w:r>
        <w:t>-</w:t>
      </w:r>
      <w:r w:rsidRPr="00191003">
        <w:t>shaped with octopi (chests)</w:t>
      </w:r>
    </w:p>
    <w:p w14:paraId="39F1A0F5" w14:textId="77777777" w:rsidR="00D726B2" w:rsidRPr="00191003" w:rsidRDefault="00D726B2" w:rsidP="00E858EF">
      <w:pPr>
        <w:suppressAutoHyphens/>
        <w:ind w:left="708"/>
      </w:pPr>
      <w:r w:rsidRPr="00191003">
        <w:t>Three chest</w:t>
      </w:r>
      <w:r>
        <w:t>-</w:t>
      </w:r>
      <w:r w:rsidRPr="00191003">
        <w:t>shaped larnakes</w:t>
      </w:r>
      <w:r>
        <w:t>,</w:t>
      </w:r>
      <w:r w:rsidRPr="00191003">
        <w:t xml:space="preserve"> two from Achladia (397 Achladia and 395 Achladia Kimouriotis MAN 7459</w:t>
      </w:r>
      <w:r>
        <w:t xml:space="preserve"> </w:t>
      </w:r>
      <w:r w:rsidRPr="00733192">
        <w:rPr>
          <w:i/>
        </w:rPr>
        <w:t>ADelt</w:t>
      </w:r>
      <w:r>
        <w:t xml:space="preserve"> 34 1979:</w:t>
      </w:r>
      <w:r w:rsidRPr="00FC09AE">
        <w:t xml:space="preserve"> 410; Tsipopoulou </w:t>
      </w:r>
      <w:r>
        <w:t xml:space="preserve">and </w:t>
      </w:r>
      <w:r w:rsidRPr="00FC09AE">
        <w:t>Vagnet</w:t>
      </w:r>
      <w:r>
        <w:t>ti 1995:</w:t>
      </w:r>
      <w:r w:rsidRPr="00FC09AE">
        <w:t xml:space="preserve"> 13</w:t>
      </w:r>
      <w:r>
        <w:t>1-134 Fig. 95-98; Merousis 2000: 140; Spiliotopoulou 2010:</w:t>
      </w:r>
      <w:r w:rsidRPr="00FC09AE">
        <w:t xml:space="preserve"> 61 n. 61</w:t>
      </w:r>
      <w:r w:rsidRPr="00191003">
        <w:t>) and one from Petras Papoures (465</w:t>
      </w:r>
      <w:r>
        <w:t xml:space="preserve"> </w:t>
      </w:r>
      <w:r w:rsidRPr="00191003">
        <w:t>Petras Papoures SM 3530</w:t>
      </w:r>
      <w:r>
        <w:t>: Xanthoudidis 1904: 55; Mavryiannaki 1972:</w:t>
      </w:r>
      <w:r w:rsidRPr="008A1BFA">
        <w:t xml:space="preserve"> 85;</w:t>
      </w:r>
      <w:r>
        <w:t xml:space="preserve"> </w:t>
      </w:r>
      <w:r w:rsidRPr="008A1BFA">
        <w:t>Kanta 198</w:t>
      </w:r>
      <w:r>
        <w:t>0:</w:t>
      </w:r>
      <w:r w:rsidRPr="008A1BFA">
        <w:t xml:space="preserve"> 176-177, pl. 65.6; Tsipopoulou</w:t>
      </w:r>
      <w:r>
        <w:t xml:space="preserve"> and Vagnetti 1995: 134-138</w:t>
      </w:r>
      <w:r w:rsidRPr="008A1BFA">
        <w:t>; fig. 99-101</w:t>
      </w:r>
      <w:r w:rsidRPr="00191003">
        <w:t>)</w:t>
      </w:r>
      <w:r>
        <w:t>,</w:t>
      </w:r>
      <w:r w:rsidRPr="00191003">
        <w:t xml:space="preserve"> </w:t>
      </w:r>
      <w:r>
        <w:t>have</w:t>
      </w:r>
      <w:r w:rsidRPr="00191003">
        <w:t xml:space="preserve"> the</w:t>
      </w:r>
      <w:r>
        <w:t>ir</w:t>
      </w:r>
      <w:r w:rsidRPr="00191003">
        <w:t xml:space="preserve"> long sides decorated </w:t>
      </w:r>
      <w:r w:rsidRPr="00EE557C">
        <w:t>with octopi. The frames are decorated with running spirals and zigzags (Tsipopoulou and Vagnetti 1997: 473</w:t>
      </w:r>
      <w:r>
        <w:t>)</w:t>
      </w:r>
      <w:r w:rsidRPr="00191003">
        <w:t>.</w:t>
      </w:r>
      <w:r>
        <w:t xml:space="preserve"> </w:t>
      </w:r>
      <w:r w:rsidRPr="00191003">
        <w:t xml:space="preserve">It is possible to add to this group </w:t>
      </w:r>
      <w:r>
        <w:t>an</w:t>
      </w:r>
      <w:r w:rsidRPr="00191003">
        <w:t xml:space="preserve">other three larnakes: one </w:t>
      </w:r>
      <w:r>
        <w:t>of</w:t>
      </w:r>
      <w:r w:rsidRPr="00191003">
        <w:t xml:space="preserve"> unknown provenance </w:t>
      </w:r>
      <w:r>
        <w:t xml:space="preserve">that is </w:t>
      </w:r>
      <w:r w:rsidRPr="00191003">
        <w:t xml:space="preserve">part of the archaeological collection of the </w:t>
      </w:r>
      <w:r>
        <w:t>U</w:t>
      </w:r>
      <w:r w:rsidRPr="00191003">
        <w:t>niversity of Zurich</w:t>
      </w:r>
      <w:r>
        <w:t>,</w:t>
      </w:r>
      <w:r w:rsidRPr="00191003">
        <w:t xml:space="preserve"> which </w:t>
      </w:r>
      <w:r>
        <w:t>has an</w:t>
      </w:r>
      <w:r w:rsidRPr="00191003">
        <w:t xml:space="preserve"> exact comparison with </w:t>
      </w:r>
      <w:r>
        <w:t xml:space="preserve">Larnax 397 Achladia: </w:t>
      </w:r>
      <w:r w:rsidRPr="00191003">
        <w:t>long sides divided in</w:t>
      </w:r>
      <w:r>
        <w:t>to</w:t>
      </w:r>
      <w:r w:rsidRPr="00191003">
        <w:t xml:space="preserve"> two panel</w:t>
      </w:r>
      <w:r>
        <w:t>s</w:t>
      </w:r>
      <w:r w:rsidRPr="00191003">
        <w:t xml:space="preserve"> both decorated with octopi, </w:t>
      </w:r>
      <w:r>
        <w:t xml:space="preserve">and </w:t>
      </w:r>
      <w:r w:rsidRPr="00191003">
        <w:t>frames decorated with zigzag</w:t>
      </w:r>
      <w:r>
        <w:t>s</w:t>
      </w:r>
      <w:r w:rsidRPr="00191003">
        <w:t xml:space="preserve"> and running spirals (Tsipopoulou</w:t>
      </w:r>
      <w:r>
        <w:t xml:space="preserve"> and</w:t>
      </w:r>
      <w:r w:rsidRPr="00191003">
        <w:t xml:space="preserve"> Vagnetti 1995: 138 </w:t>
      </w:r>
      <w:r>
        <w:t>Figs</w:t>
      </w:r>
      <w:r w:rsidRPr="00191003">
        <w:t>. 103-104; Tsipopoulou</w:t>
      </w:r>
      <w:r>
        <w:t xml:space="preserve"> and</w:t>
      </w:r>
      <w:r w:rsidRPr="00191003">
        <w:t xml:space="preserve"> Vagnetti 1997: 473</w:t>
      </w:r>
      <w:r>
        <w:t>); and an</w:t>
      </w:r>
      <w:r w:rsidRPr="00191003">
        <w:t xml:space="preserve">other two larnakes with different motif decoration on </w:t>
      </w:r>
      <w:r>
        <w:t>their long sides:</w:t>
      </w:r>
      <w:r w:rsidRPr="00191003">
        <w:t xml:space="preserve"> </w:t>
      </w:r>
      <w:r>
        <w:t xml:space="preserve">398 </w:t>
      </w:r>
      <w:r w:rsidRPr="00191003">
        <w:t xml:space="preserve">Achladia and another </w:t>
      </w:r>
      <w:r w:rsidRPr="00E54ADE">
        <w:t>possibility from Petras Papoures. Both</w:t>
      </w:r>
      <w:r>
        <w:t xml:space="preserve"> larnakes</w:t>
      </w:r>
      <w:r w:rsidRPr="00191003">
        <w:t xml:space="preserve"> are decorated with horns of consecration and double axes (Tsipopoulou</w:t>
      </w:r>
      <w:r>
        <w:t xml:space="preserve"> and</w:t>
      </w:r>
      <w:r w:rsidRPr="00191003">
        <w:t xml:space="preserve"> Vagnetti 1995: 118, 138). This possible workshop of chest</w:t>
      </w:r>
      <w:r>
        <w:t>-</w:t>
      </w:r>
      <w:r w:rsidRPr="00191003">
        <w:t>shaped larnakes must have been located between Achladia and Petras.</w:t>
      </w:r>
    </w:p>
    <w:p w14:paraId="05B8A382" w14:textId="77777777" w:rsidR="00D726B2" w:rsidRPr="00191003" w:rsidRDefault="00D726B2" w:rsidP="00E858EF">
      <w:pPr>
        <w:pStyle w:val="Paragrafoelenco"/>
        <w:suppressAutoHyphens/>
        <w:ind w:left="0"/>
      </w:pPr>
      <w:r w:rsidRPr="00191003">
        <w:t xml:space="preserve">Possible </w:t>
      </w:r>
      <w:r>
        <w:t>G</w:t>
      </w:r>
      <w:r w:rsidRPr="00191003">
        <w:t xml:space="preserve">roup </w:t>
      </w:r>
      <w:r>
        <w:t>3</w:t>
      </w:r>
      <w:r w:rsidRPr="00191003">
        <w:t>: dripping trickle decoration</w:t>
      </w:r>
    </w:p>
    <w:p w14:paraId="1765772A" w14:textId="77777777" w:rsidR="00D726B2" w:rsidRPr="00191003" w:rsidRDefault="00D726B2" w:rsidP="00E858EF">
      <w:pPr>
        <w:pStyle w:val="Paragrafoelenco"/>
        <w:suppressAutoHyphens/>
        <w:ind w:left="708"/>
      </w:pPr>
      <w:r w:rsidRPr="00191003">
        <w:t xml:space="preserve">Four larnakes from Mochlos </w:t>
      </w:r>
      <w:r>
        <w:t>have</w:t>
      </w:r>
      <w:r w:rsidRPr="00191003">
        <w:t xml:space="preserve"> this type of decoration coexisting with other </w:t>
      </w:r>
      <w:r>
        <w:t>motif</w:t>
      </w:r>
      <w:r w:rsidRPr="00191003">
        <w:t xml:space="preserve">s or </w:t>
      </w:r>
      <w:r>
        <w:t>as</w:t>
      </w:r>
      <w:r w:rsidRPr="00191003">
        <w:t xml:space="preserve"> the only type of decoration </w:t>
      </w:r>
      <w:r>
        <w:t>o</w:t>
      </w:r>
      <w:r w:rsidRPr="00191003">
        <w:t>n the larnax (this type of decoration has been used as well for pithoi in the same cemetery</w:t>
      </w:r>
      <w:r>
        <w:t>: see</w:t>
      </w:r>
      <w:r w:rsidRPr="00191003">
        <w:t xml:space="preserve"> Soles</w:t>
      </w:r>
      <w:r>
        <w:t xml:space="preserve"> et al. </w:t>
      </w:r>
      <w:r w:rsidRPr="00191003">
        <w:t xml:space="preserve"> 2011: 29-34).</w:t>
      </w:r>
    </w:p>
    <w:p w14:paraId="2A993DEE" w14:textId="77777777" w:rsidR="00D726B2" w:rsidRPr="00191003" w:rsidRDefault="00D726B2" w:rsidP="00E858EF">
      <w:pPr>
        <w:pStyle w:val="Paragrafoelenco"/>
        <w:suppressAutoHyphens/>
        <w:ind w:left="0"/>
      </w:pPr>
      <w:r w:rsidRPr="00191003">
        <w:t>The similarities in morphology and decoration between the larnakes from Mochlos and the event</w:t>
      </w:r>
      <w:r>
        <w:t>ual identification of sarcophagus</w:t>
      </w:r>
      <w:r w:rsidRPr="00191003">
        <w:t xml:space="preserve"> painters have already been examined (Soles,</w:t>
      </w:r>
      <w:r>
        <w:t xml:space="preserve"> at al. </w:t>
      </w:r>
      <w:r w:rsidRPr="00191003">
        <w:t>2011: 22-24). Furthermore</w:t>
      </w:r>
      <w:r>
        <w:t>,</w:t>
      </w:r>
      <w:r w:rsidRPr="00191003">
        <w:t xml:space="preserve"> the petrographic analysis conducted on </w:t>
      </w:r>
      <w:r>
        <w:t xml:space="preserve">the </w:t>
      </w:r>
      <w:r w:rsidRPr="00191003">
        <w:t xml:space="preserve">Mochlos larnakes (Nodarou 2010) </w:t>
      </w:r>
      <w:r>
        <w:t>revealed</w:t>
      </w:r>
      <w:r w:rsidRPr="00191003">
        <w:t xml:space="preserve"> that one of the nine sarcophagi with no visible signs of decoration was imported (signs of decoration on this sarcophagus are visible only </w:t>
      </w:r>
      <w:r>
        <w:t>under</w:t>
      </w:r>
      <w:r w:rsidRPr="00191003">
        <w:t xml:space="preserve"> ultraviolet light</w:t>
      </w:r>
      <w:r>
        <w:t>: see</w:t>
      </w:r>
      <w:r w:rsidRPr="00191003">
        <w:t xml:space="preserve"> Soles,</w:t>
      </w:r>
      <w:r>
        <w:t xml:space="preserve"> et al. </w:t>
      </w:r>
      <w:r w:rsidRPr="00191003">
        <w:t>2011: 23).</w:t>
      </w:r>
    </w:p>
    <w:p w14:paraId="466DD75C" w14:textId="67E7E702" w:rsidR="00D726B2" w:rsidRPr="00191003" w:rsidRDefault="00D726B2" w:rsidP="00E858EF">
      <w:pPr>
        <w:pStyle w:val="Titolo3"/>
        <w:keepNext w:val="0"/>
        <w:keepLines w:val="0"/>
        <w:suppressAutoHyphens/>
      </w:pPr>
      <w:bookmarkStart w:id="1196" w:name="_Toc517807640"/>
      <w:bookmarkStart w:id="1197" w:name="_Toc519894707"/>
      <w:r w:rsidRPr="00191003">
        <w:t>Conclusion</w:t>
      </w:r>
      <w:r>
        <w:t>s</w:t>
      </w:r>
      <w:bookmarkEnd w:id="1196"/>
      <w:r>
        <w:t xml:space="preserve">, Far-East </w:t>
      </w:r>
      <w:bookmarkEnd w:id="1197"/>
      <w:r w:rsidR="00AD1B4B">
        <w:t>area</w:t>
      </w:r>
    </w:p>
    <w:p w14:paraId="7EEBC7A0" w14:textId="77777777" w:rsidR="00D726B2" w:rsidRPr="00191003" w:rsidRDefault="00D726B2" w:rsidP="00E858EF">
      <w:pPr>
        <w:suppressAutoHyphens/>
      </w:pPr>
      <w:r>
        <w:t>F</w:t>
      </w:r>
      <w:r w:rsidRPr="00191003">
        <w:t xml:space="preserve">rom </w:t>
      </w:r>
      <w:r>
        <w:t xml:space="preserve">both </w:t>
      </w:r>
      <w:r w:rsidRPr="00191003">
        <w:t>the morphological and iconographic</w:t>
      </w:r>
      <w:r>
        <w:t>al perspectives, larnakes from the Far-East</w:t>
      </w:r>
      <w:r w:rsidRPr="00191003">
        <w:t xml:space="preserve"> area </w:t>
      </w:r>
      <w:r>
        <w:t>have</w:t>
      </w:r>
      <w:r w:rsidRPr="00191003">
        <w:t xml:space="preserve"> a very low degree of standardi</w:t>
      </w:r>
      <w:r>
        <w:t>s</w:t>
      </w:r>
      <w:r w:rsidRPr="00191003">
        <w:t>ation and occurrence of varieties</w:t>
      </w:r>
      <w:r>
        <w:t>:</w:t>
      </w:r>
      <w:r w:rsidRPr="00191003">
        <w:t xml:space="preserve"> the adoption of both larnax typologies with the preference for bathtub shapes</w:t>
      </w:r>
      <w:r>
        <w:t>;</w:t>
      </w:r>
      <w:r w:rsidRPr="00191003">
        <w:t xml:space="preserve"> the presence of a range of varie</w:t>
      </w:r>
      <w:r>
        <w:t>ties</w:t>
      </w:r>
      <w:r w:rsidRPr="00191003">
        <w:t xml:space="preserve"> </w:t>
      </w:r>
      <w:r>
        <w:t>regarding</w:t>
      </w:r>
      <w:r w:rsidRPr="00191003">
        <w:t xml:space="preserve"> morphological features (</w:t>
      </w:r>
      <w:r>
        <w:t>e.g.</w:t>
      </w:r>
      <w:r w:rsidRPr="00191003">
        <w:t xml:space="preserve"> bathtub-like shape lid, </w:t>
      </w:r>
      <w:r>
        <w:t xml:space="preserve">four or six </w:t>
      </w:r>
      <w:r w:rsidRPr="00191003">
        <w:t>raised and incised panel</w:t>
      </w:r>
      <w:r>
        <w:t>s</w:t>
      </w:r>
      <w:r w:rsidRPr="00191003">
        <w:t>, a variety of figurines at the end of the ridge pole)</w:t>
      </w:r>
      <w:r>
        <w:t>;</w:t>
      </w:r>
      <w:r w:rsidRPr="00191003">
        <w:t xml:space="preserve"> the occurrence of peculiar </w:t>
      </w:r>
      <w:r>
        <w:t>motif</w:t>
      </w:r>
      <w:r w:rsidRPr="00191003">
        <w:t>s</w:t>
      </w:r>
      <w:r>
        <w:t>;</w:t>
      </w:r>
      <w:r w:rsidRPr="00191003">
        <w:t xml:space="preserve"> and </w:t>
      </w:r>
      <w:r>
        <w:t xml:space="preserve">the </w:t>
      </w:r>
      <w:r w:rsidRPr="00191003">
        <w:t xml:space="preserve">high number of </w:t>
      </w:r>
      <w:r>
        <w:t>motif</w:t>
      </w:r>
      <w:r w:rsidRPr="00191003">
        <w:t>s from</w:t>
      </w:r>
      <w:r>
        <w:t xml:space="preserve"> the</w:t>
      </w:r>
      <w:r w:rsidRPr="00191003">
        <w:t xml:space="preserve"> pottery repertoire.</w:t>
      </w:r>
    </w:p>
    <w:p w14:paraId="365631D9" w14:textId="6FEB54E6" w:rsidR="00D726B2" w:rsidRDefault="00D726B2" w:rsidP="00E858EF">
      <w:pPr>
        <w:suppressAutoHyphens/>
      </w:pPr>
      <w:r>
        <w:tab/>
        <w:t>The Far-East</w:t>
      </w:r>
      <w:r w:rsidRPr="00191003">
        <w:t xml:space="preserve"> region can be isolated from the rest of Crete in </w:t>
      </w:r>
      <w:r>
        <w:t>terms</w:t>
      </w:r>
      <w:r w:rsidRPr="00191003">
        <w:t xml:space="preserve"> of larnax morphology because it </w:t>
      </w:r>
      <w:r>
        <w:t>is</w:t>
      </w:r>
      <w:r w:rsidRPr="00191003">
        <w:t xml:space="preserve"> the only one region where bathtub larnakes are not only more common than chest</w:t>
      </w:r>
      <w:r>
        <w:t>-shaped in terms quantity</w:t>
      </w:r>
      <w:r w:rsidRPr="00191003">
        <w:t xml:space="preserve"> (63% bathtubs larnakes, 37% chest larnakes), but they are also more popular in terms of </w:t>
      </w:r>
      <w:r>
        <w:t xml:space="preserve">the </w:t>
      </w:r>
      <w:r w:rsidRPr="00191003">
        <w:t xml:space="preserve">number of tombs </w:t>
      </w:r>
      <w:r>
        <w:t>with</w:t>
      </w:r>
      <w:r w:rsidRPr="00191003">
        <w:t xml:space="preserve"> which </w:t>
      </w:r>
      <w:r w:rsidRPr="00C662C3">
        <w:t>they are associated (Fig. 5-85).</w:t>
      </w:r>
    </w:p>
    <w:p w14:paraId="3224F550" w14:textId="77777777" w:rsidR="00110E08" w:rsidRPr="00191003" w:rsidRDefault="00110E08" w:rsidP="00E858EF">
      <w:pPr>
        <w:suppressAutoHyphens/>
      </w:pPr>
    </w:p>
    <w:p w14:paraId="23C31AE4" w14:textId="77777777" w:rsidR="00D726B2" w:rsidRPr="00191003" w:rsidRDefault="00D726B2" w:rsidP="00E858EF">
      <w:pPr>
        <w:suppressAutoHyphens/>
      </w:pPr>
      <w:r>
        <w:rPr>
          <w:noProof/>
          <w:lang w:val="it-IT"/>
        </w:rPr>
        <w:drawing>
          <wp:inline distT="0" distB="0" distL="0" distR="0" wp14:anchorId="56098E49" wp14:editId="40EBD4CF">
            <wp:extent cx="4680000" cy="2520000"/>
            <wp:effectExtent l="0" t="0" r="6350" b="13970"/>
            <wp:docPr id="204" name="Gra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14:paraId="0EEB5421" w14:textId="6796BBFE" w:rsidR="00D726B2" w:rsidRPr="00AF5BCA" w:rsidRDefault="00D726B2" w:rsidP="00E858EF">
      <w:pPr>
        <w:pStyle w:val="Didascalia"/>
        <w:suppressAutoHyphens/>
      </w:pPr>
      <w:bookmarkStart w:id="1198" w:name="_Toc520212481"/>
      <w:r w:rsidRPr="00AF5BCA">
        <w:t>Fig</w:t>
      </w:r>
      <w:r>
        <w:t>ure 5-85</w:t>
      </w:r>
      <w:r w:rsidR="00BD7A4F">
        <w:t>.</w:t>
      </w:r>
      <w:r>
        <w:t xml:space="preserve"> La</w:t>
      </w:r>
      <w:r w:rsidR="00DC6A3F">
        <w:t>r</w:t>
      </w:r>
      <w:r>
        <w:t>nax types in LM III tombs</w:t>
      </w:r>
      <w:bookmarkEnd w:id="1198"/>
    </w:p>
    <w:p w14:paraId="39453883" w14:textId="77777777" w:rsidR="00110E08" w:rsidRDefault="00D726B2" w:rsidP="00E858EF">
      <w:pPr>
        <w:suppressAutoHyphens/>
        <w:rPr>
          <w:color w:val="000000"/>
        </w:rPr>
      </w:pPr>
      <w:r>
        <w:rPr>
          <w:color w:val="000000"/>
        </w:rPr>
        <w:tab/>
      </w:r>
    </w:p>
    <w:p w14:paraId="75072B69" w14:textId="0D95720E" w:rsidR="00D726B2" w:rsidRPr="00191003" w:rsidRDefault="00D726B2" w:rsidP="00E858EF">
      <w:pPr>
        <w:suppressAutoHyphens/>
        <w:ind w:firstLine="708"/>
      </w:pPr>
      <w:r>
        <w:rPr>
          <w:color w:val="000000"/>
        </w:rPr>
        <w:t>Despite</w:t>
      </w:r>
      <w:r w:rsidRPr="00191003">
        <w:rPr>
          <w:color w:val="000000"/>
        </w:rPr>
        <w:t xml:space="preserve"> the difficulties due to the </w:t>
      </w:r>
      <w:r>
        <w:rPr>
          <w:color w:val="000000"/>
        </w:rPr>
        <w:t>low</w:t>
      </w:r>
      <w:r w:rsidRPr="00191003">
        <w:rPr>
          <w:color w:val="000000"/>
        </w:rPr>
        <w:t xml:space="preserve"> tendency towards standardi</w:t>
      </w:r>
      <w:r>
        <w:rPr>
          <w:color w:val="000000"/>
        </w:rPr>
        <w:t>s</w:t>
      </w:r>
      <w:r w:rsidRPr="00191003">
        <w:rPr>
          <w:color w:val="000000"/>
        </w:rPr>
        <w:t>ation, if we desc</w:t>
      </w:r>
      <w:r>
        <w:rPr>
          <w:color w:val="000000"/>
        </w:rPr>
        <w:t>ribe a standard larnax from Far-East</w:t>
      </w:r>
      <w:r w:rsidRPr="00191003">
        <w:rPr>
          <w:color w:val="000000"/>
        </w:rPr>
        <w:t xml:space="preserve"> Crete</w:t>
      </w:r>
      <w:r>
        <w:rPr>
          <w:color w:val="000000"/>
        </w:rPr>
        <w:t>,</w:t>
      </w:r>
      <w:r w:rsidRPr="00191003">
        <w:rPr>
          <w:color w:val="000000"/>
        </w:rPr>
        <w:t xml:space="preserve"> it would have the following characteristics: a decorated bath</w:t>
      </w:r>
      <w:r>
        <w:rPr>
          <w:color w:val="000000"/>
        </w:rPr>
        <w:t>tub</w:t>
      </w:r>
      <w:r w:rsidRPr="00191003">
        <w:rPr>
          <w:color w:val="000000"/>
        </w:rPr>
        <w:t xml:space="preserve"> larnax with handles and a hole at the bottom. Panel division</w:t>
      </w:r>
      <w:r>
        <w:rPr>
          <w:color w:val="000000"/>
        </w:rPr>
        <w:t>s were</w:t>
      </w:r>
      <w:r w:rsidRPr="00191003">
        <w:rPr>
          <w:color w:val="000000"/>
        </w:rPr>
        <w:t xml:space="preserve"> rendered with painted panels. The presence of </w:t>
      </w:r>
      <w:r>
        <w:rPr>
          <w:color w:val="000000"/>
        </w:rPr>
        <w:t xml:space="preserve">a </w:t>
      </w:r>
      <w:r w:rsidRPr="00191003">
        <w:rPr>
          <w:color w:val="000000"/>
        </w:rPr>
        <w:t xml:space="preserve">figurine at the end of the ridge pole is very high in this region (10 examples). </w:t>
      </w:r>
      <w:r w:rsidRPr="00191003">
        <w:t xml:space="preserve">Securely decorated larnakes of the </w:t>
      </w:r>
      <w:r>
        <w:t>Far-East</w:t>
      </w:r>
      <w:r w:rsidRPr="00191003">
        <w:t xml:space="preserve"> region represent 50% of the total number of secure larnakes, while for the remaining percentage</w:t>
      </w:r>
      <w:r>
        <w:t>, there is either</w:t>
      </w:r>
      <w:r w:rsidRPr="00191003">
        <w:t xml:space="preserve"> no information or they are undecorated.</w:t>
      </w:r>
      <w:r>
        <w:t xml:space="preserve"> </w:t>
      </w:r>
      <w:r w:rsidRPr="00191003">
        <w:t>The vast majority of decorated larnakes are bathtub shaped.</w:t>
      </w:r>
    </w:p>
    <w:p w14:paraId="0957F7DA" w14:textId="77777777" w:rsidR="00110E08" w:rsidRDefault="00D726B2" w:rsidP="00E858EF">
      <w:pPr>
        <w:pStyle w:val="Didascalia"/>
        <w:suppressAutoHyphens/>
        <w:contextualSpacing w:val="0"/>
      </w:pPr>
      <w:r w:rsidRPr="00851E11">
        <w:rPr>
          <w:noProof/>
        </w:rPr>
        <w:t xml:space="preserve"> </w:t>
      </w:r>
      <w:bookmarkStart w:id="1199" w:name="_Toc520212482"/>
      <w:r>
        <w:rPr>
          <w:noProof/>
          <w:lang w:val="it-IT"/>
        </w:rPr>
        <w:drawing>
          <wp:inline distT="0" distB="0" distL="0" distR="0" wp14:anchorId="07736236" wp14:editId="7AE265E2">
            <wp:extent cx="4680000" cy="2520000"/>
            <wp:effectExtent l="0" t="0" r="6350" b="13970"/>
            <wp:docPr id="205" name="Gra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bookmarkEnd w:id="1199"/>
      <w:r w:rsidRPr="00191003">
        <w:t xml:space="preserve"> </w:t>
      </w:r>
    </w:p>
    <w:p w14:paraId="7800B776" w14:textId="1CB6FC8E" w:rsidR="00D726B2" w:rsidRDefault="00D726B2" w:rsidP="00E858EF">
      <w:pPr>
        <w:pStyle w:val="Didascalia"/>
        <w:suppressAutoHyphens/>
      </w:pPr>
      <w:bookmarkStart w:id="1200" w:name="_Toc520212483"/>
      <w:r w:rsidRPr="000342D7">
        <w:t>Fig</w:t>
      </w:r>
      <w:r w:rsidRPr="00E7753F">
        <w:t>ure 5-</w:t>
      </w:r>
      <w:r>
        <w:t>86</w:t>
      </w:r>
      <w:r w:rsidR="00BD7A4F">
        <w:t>.</w:t>
      </w:r>
      <w:r w:rsidRPr="00E7753F">
        <w:t xml:space="preserve"> </w:t>
      </w:r>
      <w:r>
        <w:t>D</w:t>
      </w:r>
      <w:r w:rsidRPr="00E7753F">
        <w:t>istribution larnakes</w:t>
      </w:r>
      <w:r>
        <w:t xml:space="preserve"> types</w:t>
      </w:r>
      <w:r w:rsidRPr="00E7753F">
        <w:t xml:space="preserve"> </w:t>
      </w:r>
      <w:r>
        <w:t xml:space="preserve">with decoration </w:t>
      </w:r>
      <w:r w:rsidRPr="00E7753F">
        <w:t xml:space="preserve">in the </w:t>
      </w:r>
      <w:r>
        <w:t>Far-East</w:t>
      </w:r>
      <w:r w:rsidRPr="00E7753F">
        <w:t xml:space="preserve"> </w:t>
      </w:r>
      <w:bookmarkEnd w:id="1200"/>
      <w:r w:rsidR="00AD1B4B">
        <w:t>area</w:t>
      </w:r>
    </w:p>
    <w:p w14:paraId="521FD669" w14:textId="77777777" w:rsidR="00110E08" w:rsidRPr="00E7753F" w:rsidRDefault="00110E08" w:rsidP="00E858EF">
      <w:pPr>
        <w:suppressAutoHyphens/>
      </w:pPr>
    </w:p>
    <w:p w14:paraId="4E8B2832" w14:textId="77777777" w:rsidR="00D726B2" w:rsidRPr="00191003" w:rsidRDefault="00D726B2" w:rsidP="00E858EF">
      <w:pPr>
        <w:suppressAutoHyphens/>
      </w:pPr>
      <w:r w:rsidRPr="00191003">
        <w:t xml:space="preserve"> </w:t>
      </w:r>
      <w:r w:rsidRPr="00191003">
        <w:rPr>
          <w:noProof/>
          <w:lang w:val="it-IT"/>
        </w:rPr>
        <w:drawing>
          <wp:inline distT="0" distB="0" distL="0" distR="0" wp14:anchorId="2E19C23F" wp14:editId="48A77236">
            <wp:extent cx="4680000" cy="2340000"/>
            <wp:effectExtent l="0" t="0" r="19050" b="22225"/>
            <wp:docPr id="206" name="Gra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14:paraId="4B91E998" w14:textId="3303A209" w:rsidR="00D726B2" w:rsidRPr="001668C0" w:rsidRDefault="00D726B2" w:rsidP="00E858EF">
      <w:pPr>
        <w:pStyle w:val="Didascalia"/>
        <w:suppressAutoHyphens/>
      </w:pPr>
      <w:bookmarkStart w:id="1201" w:name="_Toc520212484"/>
      <w:r>
        <w:t>Figure 5-87</w:t>
      </w:r>
      <w:r w:rsidR="00BD7A4F">
        <w:t>.</w:t>
      </w:r>
      <w:r>
        <w:t xml:space="preserve"> Distribution of larnax types </w:t>
      </w:r>
      <w:r w:rsidRPr="001668C0">
        <w:t xml:space="preserve">in the </w:t>
      </w:r>
      <w:r>
        <w:t>Far-East</w:t>
      </w:r>
      <w:r w:rsidRPr="001668C0">
        <w:t xml:space="preserve"> </w:t>
      </w:r>
      <w:bookmarkEnd w:id="1201"/>
      <w:r w:rsidR="00AD1B4B">
        <w:t>area</w:t>
      </w:r>
    </w:p>
    <w:p w14:paraId="37BB477B" w14:textId="77777777" w:rsidR="00D726B2" w:rsidRPr="00E7753F" w:rsidRDefault="00D726B2" w:rsidP="00E858EF">
      <w:pPr>
        <w:suppressAutoHyphens/>
        <w:rPr>
          <w:sz w:val="20"/>
          <w:szCs w:val="20"/>
        </w:rPr>
      </w:pPr>
    </w:p>
    <w:p w14:paraId="26B21CAA" w14:textId="600EC008" w:rsidR="00D726B2" w:rsidRPr="00191003" w:rsidRDefault="00D726B2" w:rsidP="00E858EF">
      <w:pPr>
        <w:suppressAutoHyphens/>
      </w:pPr>
      <w:r>
        <w:tab/>
        <w:t>Regarding</w:t>
      </w:r>
      <w:r w:rsidRPr="00191003">
        <w:t xml:space="preserve"> larnax iconography, four larnakes </w:t>
      </w:r>
      <w:r>
        <w:t>have</w:t>
      </w:r>
      <w:r w:rsidRPr="00191003">
        <w:t xml:space="preserve"> peculiar </w:t>
      </w:r>
      <w:r>
        <w:t>motif</w:t>
      </w:r>
      <w:r w:rsidRPr="00191003">
        <w:t>s. In particular</w:t>
      </w:r>
      <w:r>
        <w:t>,</w:t>
      </w:r>
      <w:r w:rsidRPr="00191003">
        <w:t xml:space="preserve"> a chest</w:t>
      </w:r>
      <w:r>
        <w:t>-</w:t>
      </w:r>
      <w:r w:rsidRPr="00191003">
        <w:t xml:space="preserve">shaped larnax from Episkopi Pankalos </w:t>
      </w:r>
      <w:r>
        <w:t>is notable</w:t>
      </w:r>
      <w:r w:rsidRPr="00191003">
        <w:t xml:space="preserve"> for the number of human figures represented (12) and the scene</w:t>
      </w:r>
      <w:r>
        <w:t>s</w:t>
      </w:r>
      <w:r w:rsidRPr="00191003">
        <w:t xml:space="preserve"> (chariot scene and hunting scene). </w:t>
      </w:r>
      <w:r>
        <w:t>O</w:t>
      </w:r>
      <w:r w:rsidRPr="00191003">
        <w:t xml:space="preserve">n the other three larnakes are isolated peculiar </w:t>
      </w:r>
      <w:r>
        <w:t>motif</w:t>
      </w:r>
      <w:r w:rsidRPr="00191003">
        <w:t>s</w:t>
      </w:r>
      <w:r>
        <w:t xml:space="preserve"> (e.g. 20 Mochlos Limenaria SM 11341</w:t>
      </w:r>
      <w:r w:rsidR="00DC6A3F">
        <w:t>)</w:t>
      </w:r>
      <w:r w:rsidRPr="00191003">
        <w:t>.</w:t>
      </w:r>
      <w:r>
        <w:t xml:space="preserve"> </w:t>
      </w:r>
      <w:r w:rsidRPr="00191003">
        <w:t xml:space="preserve">The number of pottery </w:t>
      </w:r>
      <w:r>
        <w:t>motif</w:t>
      </w:r>
      <w:r w:rsidRPr="00191003">
        <w:t>s identified is 44</w:t>
      </w:r>
      <w:r>
        <w:t>,</w:t>
      </w:r>
      <w:r w:rsidRPr="00191003">
        <w:t xml:space="preserve"> </w:t>
      </w:r>
      <w:r>
        <w:t>which</w:t>
      </w:r>
      <w:r w:rsidRPr="00191003">
        <w:t xml:space="preserve"> is high</w:t>
      </w:r>
      <w:r>
        <w:t>,</w:t>
      </w:r>
      <w:r w:rsidRPr="00191003">
        <w:t xml:space="preserve"> especially </w:t>
      </w:r>
      <w:r>
        <w:t>relative</w:t>
      </w:r>
      <w:r w:rsidRPr="00191003">
        <w:t xml:space="preserve"> to the number of available decorated larnakes. Wavy lines and octopi </w:t>
      </w:r>
      <w:r>
        <w:t>are</w:t>
      </w:r>
      <w:r w:rsidRPr="00191003">
        <w:t xml:space="preserve"> the most common </w:t>
      </w:r>
      <w:r>
        <w:t xml:space="preserve">motifs </w:t>
      </w:r>
      <w:r w:rsidRPr="00191003">
        <w:t xml:space="preserve">used in this area. </w:t>
      </w:r>
      <w:r>
        <w:t>However,</w:t>
      </w:r>
      <w:r w:rsidRPr="00191003">
        <w:t xml:space="preserve"> wavy lines seem to be used in </w:t>
      </w:r>
      <w:r>
        <w:t xml:space="preserve">a </w:t>
      </w:r>
      <w:r w:rsidRPr="00191003">
        <w:t>slightly different way</w:t>
      </w:r>
      <w:r>
        <w:t xml:space="preserve"> if compared to the other regions (cf.</w:t>
      </w:r>
      <w:r w:rsidRPr="00191003">
        <w:t xml:space="preserve"> </w:t>
      </w:r>
      <w:r>
        <w:t>C</w:t>
      </w:r>
      <w:r w:rsidRPr="00191003">
        <w:t>entral region, Knossos and Mesara</w:t>
      </w:r>
      <w:r>
        <w:t xml:space="preserve">) and they are </w:t>
      </w:r>
      <w:r w:rsidRPr="00191003">
        <w:t xml:space="preserve">not used </w:t>
      </w:r>
      <w:r>
        <w:t>often</w:t>
      </w:r>
      <w:r w:rsidRPr="00191003">
        <w:t xml:space="preserve"> for frame decoration or as </w:t>
      </w:r>
      <w:r>
        <w:t xml:space="preserve">a </w:t>
      </w:r>
      <w:r w:rsidRPr="00191003">
        <w:t xml:space="preserve">geometric/abstract decorative motif for the </w:t>
      </w:r>
      <w:r>
        <w:t>entire</w:t>
      </w:r>
      <w:r w:rsidRPr="00191003">
        <w:t xml:space="preserve"> larnax</w:t>
      </w:r>
      <w:r>
        <w:t>, but instead combined with other motives in panel decoration (e.g. cf. bathtub larnakes 494 Alazzomouri Pachyammos HM 7402)</w:t>
      </w:r>
      <w:r w:rsidRPr="00191003">
        <w:t>. This simple decorative pattern seems to be substitute</w:t>
      </w:r>
      <w:r>
        <w:t>d</w:t>
      </w:r>
      <w:r w:rsidRPr="00191003">
        <w:t xml:space="preserve"> by trickle and splash decoration (cf. Mochlos larnakes). The presence of plastic figurine</w:t>
      </w:r>
      <w:r>
        <w:t>s</w:t>
      </w:r>
      <w:r w:rsidRPr="00191003">
        <w:t xml:space="preserve"> on ridgepole ends seems popular </w:t>
      </w:r>
      <w:r>
        <w:t>on</w:t>
      </w:r>
      <w:r w:rsidRPr="00191003">
        <w:t xml:space="preserve"> chest</w:t>
      </w:r>
      <w:r>
        <w:t>-</w:t>
      </w:r>
      <w:r w:rsidRPr="00191003">
        <w:t xml:space="preserve">shaped larnakes from this region (found </w:t>
      </w:r>
      <w:r>
        <w:t>o</w:t>
      </w:r>
      <w:r w:rsidRPr="00191003">
        <w:t xml:space="preserve">n </w:t>
      </w:r>
      <w:r>
        <w:t>five</w:t>
      </w:r>
      <w:r w:rsidRPr="00191003">
        <w:t xml:space="preserve"> larnakes). </w:t>
      </w:r>
      <w:r>
        <w:t>D</w:t>
      </w:r>
      <w:r w:rsidRPr="00191003">
        <w:t>ifference</w:t>
      </w:r>
      <w:r>
        <w:t>s</w:t>
      </w:r>
      <w:r w:rsidRPr="00191003">
        <w:t xml:space="preserve"> in </w:t>
      </w:r>
      <w:r>
        <w:t xml:space="preserve">the </w:t>
      </w:r>
      <w:r w:rsidRPr="00191003">
        <w:t>chest</w:t>
      </w:r>
      <w:r>
        <w:t>-</w:t>
      </w:r>
      <w:r w:rsidRPr="00191003">
        <w:t>shaped morphology (</w:t>
      </w:r>
      <w:r>
        <w:t xml:space="preserve">i.e. the </w:t>
      </w:r>
      <w:r w:rsidRPr="00191003">
        <w:t xml:space="preserve">absence of feet for some larnakes and a lid characterised by a less sloping form) </w:t>
      </w:r>
      <w:r>
        <w:t>are also noticeable</w:t>
      </w:r>
      <w:r w:rsidRPr="00191003">
        <w:t xml:space="preserve"> in this region.</w:t>
      </w:r>
    </w:p>
    <w:p w14:paraId="1A027D94" w14:textId="77777777" w:rsidR="00D726B2" w:rsidRPr="00191003" w:rsidRDefault="00D726B2" w:rsidP="00E858EF">
      <w:pPr>
        <w:suppressAutoHyphens/>
      </w:pPr>
      <w:r>
        <w:tab/>
      </w:r>
      <w:r w:rsidRPr="00191003">
        <w:t xml:space="preserve">The presence of one or more workshops in the area </w:t>
      </w:r>
      <w:r>
        <w:t>was</w:t>
      </w:r>
      <w:r w:rsidRPr="00191003">
        <w:t xml:space="preserve"> proposed by</w:t>
      </w:r>
      <w:r>
        <w:t xml:space="preserve"> </w:t>
      </w:r>
      <w:r w:rsidRPr="00191003">
        <w:t xml:space="preserve">Kanta </w:t>
      </w:r>
      <w:r>
        <w:t>(</w:t>
      </w:r>
      <w:r w:rsidRPr="00191003">
        <w:t>1980: 291</w:t>
      </w:r>
      <w:r>
        <w:t>) and</w:t>
      </w:r>
      <w:r w:rsidRPr="00191003">
        <w:t xml:space="preserve"> Tsipopoulou </w:t>
      </w:r>
      <w:r>
        <w:t xml:space="preserve">and </w:t>
      </w:r>
      <w:r w:rsidRPr="00191003">
        <w:t xml:space="preserve">Vagnetti </w:t>
      </w:r>
      <w:r>
        <w:t>(</w:t>
      </w:r>
      <w:r w:rsidRPr="00191003">
        <w:t xml:space="preserve">1997: 473-479). </w:t>
      </w:r>
      <w:r>
        <w:t>In addition to</w:t>
      </w:r>
      <w:r w:rsidRPr="00191003">
        <w:t xml:space="preserve"> the various hypotheses</w:t>
      </w:r>
      <w:r>
        <w:t>,</w:t>
      </w:r>
      <w:r w:rsidRPr="00191003">
        <w:t xml:space="preserve"> Palaikastro</w:t>
      </w:r>
      <w:r>
        <w:t xml:space="preserve"> is</w:t>
      </w:r>
      <w:r w:rsidRPr="00191003">
        <w:t xml:space="preserve"> identified </w:t>
      </w:r>
      <w:r>
        <w:t xml:space="preserve">as </w:t>
      </w:r>
      <w:r w:rsidRPr="00191003">
        <w:t>a possible centre for larnax decoration (</w:t>
      </w:r>
      <w:r>
        <w:t xml:space="preserve">Soles et al. </w:t>
      </w:r>
      <w:r w:rsidRPr="00191003">
        <w:t>2011:</w:t>
      </w:r>
      <w:r>
        <w:t xml:space="preserve"> 24; Langohr and  Cunningham 2006). However, even if problems linked to larnax production have not been examined in the present work, it is possible that beyond the existence of local workshops, artisans were moving as well (</w:t>
      </w:r>
      <w:r w:rsidRPr="00191003">
        <w:t>Kanta 1980: 292</w:t>
      </w:r>
      <w:r>
        <w:t>).</w:t>
      </w:r>
      <w:r w:rsidRPr="00191003">
        <w:t xml:space="preserve"> </w:t>
      </w:r>
      <w:r>
        <w:t xml:space="preserve">This hypothesis is convincing considering </w:t>
      </w:r>
      <w:r w:rsidRPr="00191003">
        <w:t>the scale and possibl</w:t>
      </w:r>
      <w:r>
        <w:t>e</w:t>
      </w:r>
      <w:r w:rsidRPr="00191003">
        <w:t xml:space="preserve"> diffic</w:t>
      </w:r>
      <w:r>
        <w:t>ulties in transporting larnakes over long distances. Furthermore, t</w:t>
      </w:r>
      <w:r w:rsidRPr="00191003">
        <w:t>he close relationship between pottery and larnax decoration is visible at Mochlos (Soles</w:t>
      </w:r>
      <w:r>
        <w:t xml:space="preserve"> et al. </w:t>
      </w:r>
      <w:r w:rsidRPr="00191003">
        <w:t>2011:24).</w:t>
      </w:r>
    </w:p>
    <w:p w14:paraId="6C9845BE" w14:textId="77777777" w:rsidR="00D726B2" w:rsidRPr="00191003" w:rsidRDefault="00D726B2" w:rsidP="00E858EF">
      <w:pPr>
        <w:suppressAutoHyphens/>
      </w:pPr>
      <w:r>
        <w:tab/>
      </w:r>
      <w:r w:rsidRPr="00191003">
        <w:t xml:space="preserve">Generally, the analysis of painted larnakes from the </w:t>
      </w:r>
      <w:r>
        <w:t>Far-East</w:t>
      </w:r>
      <w:r w:rsidRPr="00191003">
        <w:t xml:space="preserve"> region demonstrates a series of differences between this and the other Cretan regions, both </w:t>
      </w:r>
      <w:r>
        <w:t>in terms of</w:t>
      </w:r>
      <w:r w:rsidRPr="00191003">
        <w:t xml:space="preserve"> </w:t>
      </w:r>
      <w:r>
        <w:t>motif</w:t>
      </w:r>
      <w:r w:rsidRPr="00191003">
        <w:t xml:space="preserve"> occurrence and organi</w:t>
      </w:r>
      <w:r>
        <w:t>s</w:t>
      </w:r>
      <w:r w:rsidRPr="00191003">
        <w:t xml:space="preserve">ation and </w:t>
      </w:r>
      <w:r>
        <w:t xml:space="preserve">the </w:t>
      </w:r>
      <w:r w:rsidRPr="00191003">
        <w:t>morphological characteristics of larnakes. The absence of standardi</w:t>
      </w:r>
      <w:r>
        <w:t>s</w:t>
      </w:r>
      <w:r w:rsidRPr="00191003">
        <w:t xml:space="preserve">ation and the variety concerning both morphology and decoration </w:t>
      </w:r>
      <w:r>
        <w:t>suggests a</w:t>
      </w:r>
      <w:r w:rsidRPr="00191003">
        <w:t xml:space="preserve"> different hypothesis:</w:t>
      </w:r>
    </w:p>
    <w:p w14:paraId="28B885F5" w14:textId="77777777" w:rsidR="00D726B2" w:rsidRPr="00191003" w:rsidRDefault="00D726B2" w:rsidP="00370745">
      <w:pPr>
        <w:pStyle w:val="Paragrafoelenco"/>
        <w:numPr>
          <w:ilvl w:val="0"/>
          <w:numId w:val="106"/>
        </w:numPr>
        <w:suppressAutoHyphens/>
        <w:spacing w:after="160"/>
      </w:pPr>
      <w:r w:rsidRPr="00191003">
        <w:t xml:space="preserve">Local variation within the region could </w:t>
      </w:r>
      <w:r>
        <w:t xml:space="preserve">mean that </w:t>
      </w:r>
      <w:r w:rsidRPr="00191003">
        <w:t>larna</w:t>
      </w:r>
      <w:r>
        <w:t>kes</w:t>
      </w:r>
      <w:r w:rsidRPr="00191003">
        <w:t xml:space="preserve"> </w:t>
      </w:r>
      <w:r>
        <w:t>were</w:t>
      </w:r>
      <w:r w:rsidRPr="00191003">
        <w:t xml:space="preserve"> one of the main media though which to express differentiation and ostentation within the burial arena</w:t>
      </w:r>
      <w:r>
        <w:t>.</w:t>
      </w:r>
    </w:p>
    <w:p w14:paraId="49F7CC43" w14:textId="77777777" w:rsidR="00D726B2" w:rsidRPr="00191003" w:rsidRDefault="00D726B2" w:rsidP="00370745">
      <w:pPr>
        <w:pStyle w:val="Paragrafoelenco"/>
        <w:numPr>
          <w:ilvl w:val="0"/>
          <w:numId w:val="106"/>
        </w:numPr>
        <w:suppressAutoHyphens/>
        <w:spacing w:after="160"/>
      </w:pPr>
      <w:r w:rsidRPr="00191003">
        <w:t xml:space="preserve">The preference </w:t>
      </w:r>
      <w:r>
        <w:t>for</w:t>
      </w:r>
      <w:r w:rsidRPr="00191003">
        <w:t xml:space="preserve"> bathtub larnakes </w:t>
      </w:r>
      <w:r>
        <w:t>is different from</w:t>
      </w:r>
      <w:r w:rsidRPr="00191003">
        <w:t xml:space="preserve"> of all the other Cretan region</w:t>
      </w:r>
      <w:r>
        <w:t>s</w:t>
      </w:r>
      <w:r w:rsidRPr="00191003">
        <w:t>. Chest</w:t>
      </w:r>
      <w:r>
        <w:t>-</w:t>
      </w:r>
      <w:r w:rsidRPr="00191003">
        <w:t>shaped larnakes</w:t>
      </w:r>
      <w:r>
        <w:t>,</w:t>
      </w:r>
      <w:r w:rsidRPr="00191003">
        <w:t xml:space="preserve"> however</w:t>
      </w:r>
      <w:r>
        <w:t>,</w:t>
      </w:r>
      <w:r w:rsidRPr="00191003">
        <w:t xml:space="preserve"> are adopted as well</w:t>
      </w:r>
      <w:r>
        <w:t>,</w:t>
      </w:r>
      <w:r w:rsidRPr="00191003">
        <w:t xml:space="preserve"> and associated in the same tombs with </w:t>
      </w:r>
      <w:r>
        <w:t>bathtub</w:t>
      </w:r>
      <w:r w:rsidRPr="00191003">
        <w:t xml:space="preserve"> larnakes. However</w:t>
      </w:r>
      <w:r>
        <w:t>,</w:t>
      </w:r>
      <w:r w:rsidRPr="00191003">
        <w:t xml:space="preserve"> this peculiar choice </w:t>
      </w:r>
      <w:r>
        <w:t>of</w:t>
      </w:r>
      <w:r w:rsidRPr="00191003">
        <w:t xml:space="preserve"> burial receptacle type in the </w:t>
      </w:r>
      <w:r>
        <w:t>Far-East</w:t>
      </w:r>
      <w:r w:rsidRPr="00191003">
        <w:t xml:space="preserve"> underlines </w:t>
      </w:r>
      <w:r>
        <w:t>the</w:t>
      </w:r>
      <w:r w:rsidRPr="00191003">
        <w:t xml:space="preserve"> explicit will of the local elite to express difference though burial custom.</w:t>
      </w:r>
    </w:p>
    <w:p w14:paraId="42641263" w14:textId="77777777" w:rsidR="00D726B2" w:rsidRPr="00191003" w:rsidRDefault="00D726B2" w:rsidP="00E858EF">
      <w:pPr>
        <w:pStyle w:val="Paragrafoelenco"/>
        <w:suppressAutoHyphens/>
      </w:pPr>
    </w:p>
    <w:p w14:paraId="142236F6" w14:textId="77777777" w:rsidR="00D726B2" w:rsidRPr="00E7753F" w:rsidRDefault="00D726B2" w:rsidP="00E858EF">
      <w:pPr>
        <w:pStyle w:val="Titolo2"/>
        <w:keepNext w:val="0"/>
        <w:keepLines w:val="0"/>
        <w:suppressAutoHyphens/>
      </w:pPr>
      <w:bookmarkStart w:id="1202" w:name="_Toc517807641"/>
      <w:bookmarkStart w:id="1203" w:name="_Toc519894708"/>
      <w:r w:rsidRPr="00E7753F">
        <w:t>Regional trends and local variations in larnakes</w:t>
      </w:r>
      <w:bookmarkEnd w:id="1202"/>
      <w:bookmarkEnd w:id="1203"/>
    </w:p>
    <w:p w14:paraId="7FA32A6B" w14:textId="12FA1B1B" w:rsidR="00D726B2" w:rsidRPr="00191003" w:rsidRDefault="00D726B2" w:rsidP="00E858EF">
      <w:pPr>
        <w:suppressAutoHyphens/>
      </w:pPr>
      <w:r w:rsidRPr="00191003">
        <w:t>From the analysis of larna</w:t>
      </w:r>
      <w:r>
        <w:t>x</w:t>
      </w:r>
      <w:r w:rsidRPr="00191003">
        <w:t xml:space="preserve"> morphological features</w:t>
      </w:r>
      <w:r>
        <w:t>,</w:t>
      </w:r>
      <w:r w:rsidRPr="00191003">
        <w:t xml:space="preserve"> it </w:t>
      </w:r>
      <w:r>
        <w:t>is</w:t>
      </w:r>
      <w:r w:rsidRPr="00191003">
        <w:t xml:space="preserve"> possible to understand that difference in larnax morphology exists and </w:t>
      </w:r>
      <w:r>
        <w:t>that there is</w:t>
      </w:r>
      <w:r w:rsidRPr="00191003">
        <w:t xml:space="preserve"> </w:t>
      </w:r>
      <w:r>
        <w:t>a clear difference in the</w:t>
      </w:r>
      <w:r w:rsidRPr="00191003">
        <w:t xml:space="preserve"> distrib</w:t>
      </w:r>
      <w:r>
        <w:t xml:space="preserve">ution of the two larnax types: </w:t>
      </w:r>
      <w:r w:rsidRPr="00191003">
        <w:t xml:space="preserve">bathtubs are predominant </w:t>
      </w:r>
      <w:r>
        <w:t>in the east</w:t>
      </w:r>
      <w:r w:rsidRPr="00191003">
        <w:t>. However</w:t>
      </w:r>
      <w:r>
        <w:t>,</w:t>
      </w:r>
      <w:r w:rsidRPr="00191003">
        <w:t xml:space="preserve"> </w:t>
      </w:r>
      <w:r>
        <w:t>in addition to</w:t>
      </w:r>
      <w:r w:rsidRPr="00191003">
        <w:t xml:space="preserve"> this macro-scale difference, other micro-scale variations appear within the two standardised shapes. These differences concern single morphological areas of the larnax (i.e. feet, panel division, lid typology, handles); they do not affect the general morphology of each type, and in some cases they represent regional features (</w:t>
      </w:r>
      <w:r>
        <w:t>e.g. the presence</w:t>
      </w:r>
      <w:r w:rsidRPr="00191003">
        <w:t xml:space="preserve"> of a large number of holes </w:t>
      </w:r>
      <w:r>
        <w:t>in the</w:t>
      </w:r>
      <w:r w:rsidRPr="00191003">
        <w:t xml:space="preserve"> larnax panels, a feature that </w:t>
      </w:r>
      <w:r>
        <w:t>is</w:t>
      </w:r>
      <w:r w:rsidRPr="00191003">
        <w:t xml:space="preserve"> a peculiarity of larnakes from the </w:t>
      </w:r>
      <w:r>
        <w:t>Mid-West</w:t>
      </w:r>
      <w:r w:rsidRPr="00191003">
        <w:t xml:space="preserve"> area)</w:t>
      </w:r>
      <w:r>
        <w:t xml:space="preserve"> and,</w:t>
      </w:r>
      <w:r w:rsidRPr="00191003">
        <w:t xml:space="preserve"> in other cases</w:t>
      </w:r>
      <w:r>
        <w:t>,</w:t>
      </w:r>
      <w:r w:rsidRPr="00191003">
        <w:t xml:space="preserve"> local variability (</w:t>
      </w:r>
      <w:r w:rsidRPr="00E7753F">
        <w:t>e.</w:t>
      </w:r>
      <w:r>
        <w:t>g.</w:t>
      </w:r>
      <w:r w:rsidRPr="00191003">
        <w:t xml:space="preserve"> </w:t>
      </w:r>
      <w:r>
        <w:t xml:space="preserve">the </w:t>
      </w:r>
      <w:r w:rsidRPr="00191003">
        <w:t xml:space="preserve">presence of </w:t>
      </w:r>
      <w:r>
        <w:t xml:space="preserve">a </w:t>
      </w:r>
      <w:r w:rsidRPr="00191003">
        <w:t xml:space="preserve">very high lid confined to larnakes from </w:t>
      </w:r>
      <w:r>
        <w:t xml:space="preserve">the </w:t>
      </w:r>
      <w:r w:rsidRPr="00191003">
        <w:t>Gazi area).</w:t>
      </w:r>
      <w:r>
        <w:t xml:space="preserve"> </w:t>
      </w:r>
      <w:r w:rsidRPr="00191003">
        <w:t xml:space="preserve">The analysis of larnax iconography </w:t>
      </w:r>
      <w:r w:rsidR="00F40869">
        <w:t>shows</w:t>
      </w:r>
      <w:r w:rsidRPr="00191003">
        <w:t xml:space="preserve"> </w:t>
      </w:r>
      <w:r w:rsidR="00F40869">
        <w:t>inter</w:t>
      </w:r>
      <w:r w:rsidR="00C041B7">
        <w:t>e</w:t>
      </w:r>
      <w:r w:rsidR="00F40869">
        <w:t>sting</w:t>
      </w:r>
      <w:r w:rsidRPr="00191003">
        <w:t xml:space="preserve"> data </w:t>
      </w:r>
      <w:r>
        <w:t>regarding the</w:t>
      </w:r>
      <w:r w:rsidRPr="00191003">
        <w:t xml:space="preserve"> </w:t>
      </w:r>
      <w:r>
        <w:t>motif</w:t>
      </w:r>
      <w:r w:rsidRPr="00191003">
        <w:t xml:space="preserve"> repertoire</w:t>
      </w:r>
      <w:r w:rsidR="004B5FA2">
        <w:t xml:space="preserve"> characterising</w:t>
      </w:r>
      <w:r w:rsidR="00F40869">
        <w:t xml:space="preserve"> their decoration</w:t>
      </w:r>
      <w:r w:rsidRPr="00191003">
        <w:t xml:space="preserve">. </w:t>
      </w:r>
    </w:p>
    <w:p w14:paraId="319F4DC6" w14:textId="4B811E3D" w:rsidR="00D726B2" w:rsidRDefault="00D726B2" w:rsidP="00E858EF">
      <w:pPr>
        <w:suppressAutoHyphens/>
      </w:pPr>
      <w:r>
        <w:tab/>
      </w:r>
      <w:r w:rsidRPr="00191003">
        <w:t xml:space="preserve">The number of </w:t>
      </w:r>
      <w:r w:rsidR="005D54EA">
        <w:t>Furumark</w:t>
      </w:r>
      <w:r w:rsidRPr="00191003">
        <w:t xml:space="preserve"> </w:t>
      </w:r>
      <w:r>
        <w:t>motif</w:t>
      </w:r>
      <w:r w:rsidRPr="00191003">
        <w:t>s occurring in LM III Cretan larnakes is generally high (6</w:t>
      </w:r>
      <w:r>
        <w:t>4</w:t>
      </w:r>
      <w:r w:rsidRPr="00191003">
        <w:t xml:space="preserve"> </w:t>
      </w:r>
      <w:r>
        <w:t xml:space="preserve">out </w:t>
      </w:r>
      <w:r w:rsidRPr="00191003">
        <w:t>of a total of 7</w:t>
      </w:r>
      <w:r>
        <w:t>7</w:t>
      </w:r>
      <w:r w:rsidRPr="00191003">
        <w:t xml:space="preserve"> </w:t>
      </w:r>
      <w:r>
        <w:t>motif</w:t>
      </w:r>
      <w:r w:rsidRPr="00191003">
        <w:t xml:space="preserve">s), although there are </w:t>
      </w:r>
      <w:r>
        <w:t>motif</w:t>
      </w:r>
      <w:r w:rsidRPr="00191003">
        <w:t xml:space="preserve">s </w:t>
      </w:r>
      <w:r>
        <w:t>that</w:t>
      </w:r>
      <w:r w:rsidRPr="00191003">
        <w:t xml:space="preserve"> never occur and</w:t>
      </w:r>
      <w:r>
        <w:t>,</w:t>
      </w:r>
      <w:r w:rsidRPr="00191003">
        <w:t xml:space="preserve"> consequently</w:t>
      </w:r>
      <w:r>
        <w:t>, these</w:t>
      </w:r>
      <w:r w:rsidRPr="00191003">
        <w:t xml:space="preserve"> have not been included in the dataset (1</w:t>
      </w:r>
      <w:r>
        <w:t>3</w:t>
      </w:r>
      <w:r w:rsidRPr="00191003">
        <w:t xml:space="preserve"> </w:t>
      </w:r>
      <w:r>
        <w:t>FM motif</w:t>
      </w:r>
      <w:r w:rsidRPr="00191003">
        <w:t>s</w:t>
      </w:r>
      <w:r>
        <w:t xml:space="preserve"> never occur on larnakes</w:t>
      </w:r>
      <w:r w:rsidRPr="00191003">
        <w:t>).</w:t>
      </w:r>
      <w:r>
        <w:t xml:space="preserve"> Thus,</w:t>
      </w:r>
      <w:r w:rsidRPr="00191003">
        <w:t xml:space="preserve"> it is possible to conclude that the vast majority of </w:t>
      </w:r>
      <w:r>
        <w:t>motif</w:t>
      </w:r>
      <w:r w:rsidRPr="00191003">
        <w:t>s painted on LM III larnakes are the same</w:t>
      </w:r>
      <w:r>
        <w:t xml:space="preserve"> motifs used in</w:t>
      </w:r>
      <w:r w:rsidRPr="00191003">
        <w:t xml:space="preserve"> contemporary pottery decoration. This observation is confirmed by data from the context (in some cases</w:t>
      </w:r>
      <w:r>
        <w:t>,</w:t>
      </w:r>
      <w:r w:rsidRPr="00191003">
        <w:t xml:space="preserve"> larnakes share with pottery the same decorative </w:t>
      </w:r>
      <w:r>
        <w:t>motif</w:t>
      </w:r>
      <w:r w:rsidRPr="00191003">
        <w:t>s).</w:t>
      </w:r>
    </w:p>
    <w:p w14:paraId="477764FE" w14:textId="32B7CC03" w:rsidR="00D726B2" w:rsidRPr="00191003" w:rsidRDefault="00D726B2" w:rsidP="00E858EF">
      <w:pPr>
        <w:suppressAutoHyphens/>
      </w:pPr>
      <w:r>
        <w:tab/>
        <w:t>However, this does not mean that painted decoration on larnakes has exactly the same features as pottery decoration. Instead, the presence</w:t>
      </w:r>
      <w:r w:rsidRPr="00191003">
        <w:t xml:space="preserve"> of </w:t>
      </w:r>
      <w:r>
        <w:t xml:space="preserve">peculiar features, such as polychrome decoration, </w:t>
      </w:r>
      <w:r w:rsidRPr="00191003">
        <w:t xml:space="preserve">hybrid </w:t>
      </w:r>
      <w:r>
        <w:t>motif</w:t>
      </w:r>
      <w:r w:rsidRPr="00191003">
        <w:t xml:space="preserve">s </w:t>
      </w:r>
      <w:r>
        <w:t xml:space="preserve">(i.e. motifs that can be identified as two different FM motifs, e.g. bird and argonaut in 314 Apodoulou Sopatakia) or the difficulty identifying a specific </w:t>
      </w:r>
      <w:r w:rsidR="005D54EA">
        <w:t>Furumark</w:t>
      </w:r>
      <w:r>
        <w:t xml:space="preserve"> motif (e.g. some motifs occurring in the larnax repertoire have no exact paralled in the pottery repertoire, such as human figures and rock patterns or some representations of palm trees and papyri; in other cases, there are motifs that are difficult to associate with the pottery repertoire because they are similar to more than one motif, such as bivalve and papyri) reveals the high degree of experimentation and variation occurring in larnax painted decoration.</w:t>
      </w:r>
    </w:p>
    <w:p w14:paraId="4A6A49BA" w14:textId="77777777" w:rsidR="00D726B2" w:rsidRPr="00C63E87" w:rsidRDefault="00D726B2" w:rsidP="00E858EF">
      <w:pPr>
        <w:suppressAutoHyphens/>
        <w:rPr>
          <w:highlight w:val="yellow"/>
        </w:rPr>
      </w:pPr>
      <w:r>
        <w:tab/>
      </w:r>
      <w:r w:rsidRPr="00191003">
        <w:t>A regional differentiation exist</w:t>
      </w:r>
      <w:r>
        <w:t>s</w:t>
      </w:r>
      <w:r w:rsidRPr="00191003">
        <w:t xml:space="preserve"> </w:t>
      </w:r>
      <w:r>
        <w:t>regarding the</w:t>
      </w:r>
      <w:r w:rsidRPr="00191003">
        <w:t xml:space="preserve"> </w:t>
      </w:r>
      <w:r>
        <w:t>motif</w:t>
      </w:r>
      <w:r w:rsidRPr="00191003">
        <w:t xml:space="preserve">s adopted </w:t>
      </w:r>
      <w:r>
        <w:t>for</w:t>
      </w:r>
      <w:r w:rsidRPr="00191003">
        <w:t xml:space="preserve"> larnax decoration, </w:t>
      </w:r>
      <w:r>
        <w:t>especially concerning the</w:t>
      </w:r>
      <w:r w:rsidRPr="00191003">
        <w:t xml:space="preserve"> popularity of different </w:t>
      </w:r>
      <w:r>
        <w:t>motif</w:t>
      </w:r>
      <w:r w:rsidRPr="00191003">
        <w:t xml:space="preserve">s in different regions, or the avoidance of some </w:t>
      </w:r>
      <w:r>
        <w:t>motif</w:t>
      </w:r>
      <w:r w:rsidRPr="00191003">
        <w:t>s instead of others. However</w:t>
      </w:r>
      <w:r>
        <w:t>,</w:t>
      </w:r>
      <w:r w:rsidRPr="00191003">
        <w:t xml:space="preserve"> there are </w:t>
      </w:r>
      <w:r>
        <w:t>motif</w:t>
      </w:r>
      <w:r w:rsidRPr="00191003">
        <w:t>s that occur in the decoration of l</w:t>
      </w:r>
      <w:r>
        <w:t>arnakes from every region (e.g. FM 53 wavy lines etc.</w:t>
      </w:r>
      <w:r w:rsidRPr="00E7753F">
        <w:t>).</w:t>
      </w:r>
    </w:p>
    <w:p w14:paraId="6A9B3C29" w14:textId="43638A48" w:rsidR="00D726B2" w:rsidRDefault="00D726B2" w:rsidP="00E858EF">
      <w:pPr>
        <w:suppressAutoHyphens/>
      </w:pPr>
      <w:r>
        <w:tab/>
      </w:r>
      <w:r w:rsidRPr="00191003">
        <w:t xml:space="preserve">It is interesting to observe how the number of </w:t>
      </w:r>
      <w:r>
        <w:t>motifs</w:t>
      </w:r>
      <w:r w:rsidRPr="00191003">
        <w:t xml:space="preserve"> adopted in each region varies. This variation</w:t>
      </w:r>
      <w:r>
        <w:t>,</w:t>
      </w:r>
      <w:r w:rsidRPr="00191003">
        <w:t xml:space="preserve"> on </w:t>
      </w:r>
      <w:r>
        <w:t xml:space="preserve">the </w:t>
      </w:r>
      <w:r w:rsidRPr="00191003">
        <w:t>one hand</w:t>
      </w:r>
      <w:r>
        <w:t>,</w:t>
      </w:r>
      <w:r w:rsidRPr="00191003">
        <w:t xml:space="preserve"> depends on the sample of decorated larnakes available for each region </w:t>
      </w:r>
      <w:r>
        <w:t>(e.g. Knossos 21 larnakes and Mid-West</w:t>
      </w:r>
      <w:r w:rsidRPr="00191003">
        <w:t xml:space="preserve"> 80 larnakes), but there are regions where the </w:t>
      </w:r>
      <w:r>
        <w:t>motif</w:t>
      </w:r>
      <w:r w:rsidRPr="00191003">
        <w:t xml:space="preserve"> repertoire is larger</w:t>
      </w:r>
      <w:r>
        <w:t xml:space="preserve"> than in others</w:t>
      </w:r>
      <w:r w:rsidRPr="00191003">
        <w:t xml:space="preserve"> (</w:t>
      </w:r>
      <w:r>
        <w:t>e.g.</w:t>
      </w:r>
      <w:r w:rsidRPr="00191003">
        <w:t xml:space="preserve"> if we compare the regions of Knossos, Mesara and </w:t>
      </w:r>
      <w:r>
        <w:t>the Mid-East,</w:t>
      </w:r>
      <w:r w:rsidRPr="00191003">
        <w:t xml:space="preserve"> for which the sample is around </w:t>
      </w:r>
      <w:r>
        <w:t>20</w:t>
      </w:r>
      <w:r w:rsidRPr="00191003">
        <w:t xml:space="preserve"> larnakes, it is possible to observe how larnax decoration in the Mesara region </w:t>
      </w:r>
      <w:r>
        <w:t>uses proportionally more</w:t>
      </w:r>
      <w:r w:rsidRPr="00191003">
        <w:t xml:space="preserve"> </w:t>
      </w:r>
      <w:r>
        <w:t>motif</w:t>
      </w:r>
      <w:r w:rsidRPr="00191003">
        <w:t xml:space="preserve">s, </w:t>
      </w:r>
      <w:r>
        <w:t>and thus has</w:t>
      </w:r>
      <w:r w:rsidRPr="00191003">
        <w:t xml:space="preserve"> a richer and more variable repertoire; </w:t>
      </w:r>
      <w:r>
        <w:t>and</w:t>
      </w:r>
      <w:r w:rsidRPr="00191003">
        <w:t xml:space="preserve"> the </w:t>
      </w:r>
      <w:r>
        <w:t>Mid-West</w:t>
      </w:r>
      <w:r w:rsidRPr="00191003">
        <w:t xml:space="preserve"> </w:t>
      </w:r>
      <w:r>
        <w:t>repertoire is richer and more varied than the Central region</w:t>
      </w:r>
      <w:r w:rsidRPr="00191003">
        <w:t>).</w:t>
      </w:r>
    </w:p>
    <w:p w14:paraId="5CBCCD30" w14:textId="77777777" w:rsidR="00110E08" w:rsidRDefault="00110E08" w:rsidP="00E858EF">
      <w:pPr>
        <w:suppressAutoHyphens/>
      </w:pPr>
    </w:p>
    <w:tbl>
      <w:tblPr>
        <w:tblStyle w:val="Grigliatabella"/>
        <w:tblW w:w="0" w:type="auto"/>
        <w:tblLook w:val="04A0" w:firstRow="1" w:lastRow="0" w:firstColumn="1" w:lastColumn="0" w:noHBand="0" w:noVBand="1"/>
      </w:tblPr>
      <w:tblGrid>
        <w:gridCol w:w="1079"/>
        <w:gridCol w:w="1079"/>
        <w:gridCol w:w="1080"/>
        <w:gridCol w:w="1080"/>
        <w:gridCol w:w="1080"/>
        <w:gridCol w:w="1080"/>
        <w:gridCol w:w="1080"/>
        <w:gridCol w:w="1080"/>
      </w:tblGrid>
      <w:tr w:rsidR="00DF7EC8" w14:paraId="4E02B21C" w14:textId="77777777" w:rsidTr="009F59EB">
        <w:tc>
          <w:tcPr>
            <w:tcW w:w="1079" w:type="dxa"/>
          </w:tcPr>
          <w:p w14:paraId="70156613" w14:textId="77777777" w:rsidR="00DF7EC8" w:rsidRPr="004676E3" w:rsidRDefault="00DF7EC8" w:rsidP="004676E3">
            <w:pPr>
              <w:suppressAutoHyphens/>
              <w:jc w:val="center"/>
              <w:rPr>
                <w:sz w:val="16"/>
                <w:szCs w:val="16"/>
              </w:rPr>
            </w:pPr>
          </w:p>
        </w:tc>
        <w:tc>
          <w:tcPr>
            <w:tcW w:w="1079" w:type="dxa"/>
          </w:tcPr>
          <w:p w14:paraId="7FF9DFC2" w14:textId="3FD88C1F" w:rsidR="00DF7EC8" w:rsidRPr="009F59EB" w:rsidRDefault="00914AA4" w:rsidP="004676E3">
            <w:pPr>
              <w:suppressAutoHyphens/>
              <w:jc w:val="center"/>
              <w:rPr>
                <w:b/>
                <w:sz w:val="16"/>
                <w:szCs w:val="16"/>
              </w:rPr>
            </w:pPr>
            <w:r w:rsidRPr="009F59EB">
              <w:rPr>
                <w:b/>
                <w:sz w:val="16"/>
                <w:szCs w:val="16"/>
              </w:rPr>
              <w:t>FW</w:t>
            </w:r>
          </w:p>
        </w:tc>
        <w:tc>
          <w:tcPr>
            <w:tcW w:w="1080" w:type="dxa"/>
          </w:tcPr>
          <w:p w14:paraId="300A153B" w14:textId="71845F4B" w:rsidR="00DF7EC8" w:rsidRPr="009F59EB" w:rsidRDefault="00914AA4" w:rsidP="004676E3">
            <w:pPr>
              <w:suppressAutoHyphens/>
              <w:jc w:val="center"/>
              <w:rPr>
                <w:b/>
                <w:sz w:val="16"/>
                <w:szCs w:val="16"/>
              </w:rPr>
            </w:pPr>
            <w:r w:rsidRPr="009F59EB">
              <w:rPr>
                <w:b/>
                <w:sz w:val="16"/>
                <w:szCs w:val="16"/>
              </w:rPr>
              <w:t>MW</w:t>
            </w:r>
          </w:p>
        </w:tc>
        <w:tc>
          <w:tcPr>
            <w:tcW w:w="1080" w:type="dxa"/>
          </w:tcPr>
          <w:p w14:paraId="0DDD46BD" w14:textId="7E48BEDF" w:rsidR="00DF7EC8" w:rsidRPr="009F59EB" w:rsidRDefault="00914AA4" w:rsidP="004676E3">
            <w:pPr>
              <w:suppressAutoHyphens/>
              <w:jc w:val="center"/>
              <w:rPr>
                <w:b/>
                <w:sz w:val="16"/>
                <w:szCs w:val="16"/>
              </w:rPr>
            </w:pPr>
            <w:r w:rsidRPr="009F59EB">
              <w:rPr>
                <w:b/>
                <w:sz w:val="16"/>
                <w:szCs w:val="16"/>
              </w:rPr>
              <w:t>M</w:t>
            </w:r>
          </w:p>
        </w:tc>
        <w:tc>
          <w:tcPr>
            <w:tcW w:w="1080" w:type="dxa"/>
          </w:tcPr>
          <w:p w14:paraId="7CEF6D04" w14:textId="47CF7051" w:rsidR="00DF7EC8" w:rsidRPr="009F59EB" w:rsidRDefault="00914AA4" w:rsidP="004676E3">
            <w:pPr>
              <w:suppressAutoHyphens/>
              <w:jc w:val="center"/>
              <w:rPr>
                <w:b/>
                <w:sz w:val="16"/>
                <w:szCs w:val="16"/>
              </w:rPr>
            </w:pPr>
            <w:r w:rsidRPr="009F59EB">
              <w:rPr>
                <w:b/>
                <w:sz w:val="16"/>
                <w:szCs w:val="16"/>
              </w:rPr>
              <w:t>KN</w:t>
            </w:r>
          </w:p>
        </w:tc>
        <w:tc>
          <w:tcPr>
            <w:tcW w:w="1080" w:type="dxa"/>
          </w:tcPr>
          <w:p w14:paraId="083620AD" w14:textId="7556A25B" w:rsidR="00DF7EC8" w:rsidRPr="009F59EB" w:rsidRDefault="00914AA4" w:rsidP="004676E3">
            <w:pPr>
              <w:tabs>
                <w:tab w:val="left" w:pos="493"/>
              </w:tabs>
              <w:suppressAutoHyphens/>
              <w:jc w:val="center"/>
              <w:rPr>
                <w:b/>
                <w:sz w:val="16"/>
                <w:szCs w:val="16"/>
              </w:rPr>
            </w:pPr>
            <w:r w:rsidRPr="009F59EB">
              <w:rPr>
                <w:b/>
                <w:sz w:val="16"/>
                <w:szCs w:val="16"/>
              </w:rPr>
              <w:t>C</w:t>
            </w:r>
          </w:p>
        </w:tc>
        <w:tc>
          <w:tcPr>
            <w:tcW w:w="1080" w:type="dxa"/>
          </w:tcPr>
          <w:p w14:paraId="1F9047D2" w14:textId="78B51147" w:rsidR="00DF7EC8" w:rsidRPr="009F59EB" w:rsidRDefault="00914AA4" w:rsidP="004676E3">
            <w:pPr>
              <w:suppressAutoHyphens/>
              <w:jc w:val="center"/>
              <w:rPr>
                <w:b/>
                <w:sz w:val="16"/>
                <w:szCs w:val="16"/>
              </w:rPr>
            </w:pPr>
            <w:r w:rsidRPr="009F59EB">
              <w:rPr>
                <w:b/>
                <w:sz w:val="16"/>
                <w:szCs w:val="16"/>
              </w:rPr>
              <w:t>ME</w:t>
            </w:r>
          </w:p>
        </w:tc>
        <w:tc>
          <w:tcPr>
            <w:tcW w:w="1080" w:type="dxa"/>
          </w:tcPr>
          <w:p w14:paraId="7D1FF4E3" w14:textId="1FEE83DF" w:rsidR="00DF7EC8" w:rsidRPr="009F59EB" w:rsidRDefault="00B94ED2" w:rsidP="004676E3">
            <w:pPr>
              <w:suppressAutoHyphens/>
              <w:jc w:val="center"/>
              <w:rPr>
                <w:b/>
                <w:sz w:val="16"/>
                <w:szCs w:val="16"/>
              </w:rPr>
            </w:pPr>
            <w:r>
              <w:rPr>
                <w:b/>
                <w:sz w:val="16"/>
                <w:szCs w:val="16"/>
              </w:rPr>
              <w:t>FE</w:t>
            </w:r>
          </w:p>
        </w:tc>
      </w:tr>
      <w:tr w:rsidR="00DF7EC8" w14:paraId="16094251" w14:textId="77777777" w:rsidTr="009F59EB">
        <w:tc>
          <w:tcPr>
            <w:tcW w:w="1079" w:type="dxa"/>
          </w:tcPr>
          <w:p w14:paraId="5877A992" w14:textId="432A10EF" w:rsidR="00DF7EC8" w:rsidRPr="009F59EB" w:rsidRDefault="00BB5282" w:rsidP="004676E3">
            <w:pPr>
              <w:suppressAutoHyphens/>
              <w:jc w:val="center"/>
              <w:rPr>
                <w:b/>
                <w:sz w:val="16"/>
                <w:szCs w:val="16"/>
              </w:rPr>
            </w:pPr>
            <w:r w:rsidRPr="009F59EB">
              <w:rPr>
                <w:b/>
                <w:sz w:val="16"/>
                <w:szCs w:val="16"/>
              </w:rPr>
              <w:t xml:space="preserve">Total </w:t>
            </w:r>
            <w:r w:rsidR="00914AA4" w:rsidRPr="009F59EB">
              <w:rPr>
                <w:b/>
                <w:sz w:val="16"/>
                <w:szCs w:val="16"/>
              </w:rPr>
              <w:t>attested FM motives</w:t>
            </w:r>
          </w:p>
        </w:tc>
        <w:tc>
          <w:tcPr>
            <w:tcW w:w="1079" w:type="dxa"/>
          </w:tcPr>
          <w:p w14:paraId="01B1383C" w14:textId="1850B159" w:rsidR="00DF7EC8" w:rsidRPr="004676E3" w:rsidRDefault="00914AA4" w:rsidP="004676E3">
            <w:pPr>
              <w:suppressAutoHyphens/>
              <w:jc w:val="center"/>
              <w:rPr>
                <w:sz w:val="16"/>
                <w:szCs w:val="16"/>
              </w:rPr>
            </w:pPr>
            <w:r w:rsidRPr="004676E3">
              <w:rPr>
                <w:sz w:val="16"/>
                <w:szCs w:val="16"/>
              </w:rPr>
              <w:t>2</w:t>
            </w:r>
          </w:p>
        </w:tc>
        <w:tc>
          <w:tcPr>
            <w:tcW w:w="1080" w:type="dxa"/>
          </w:tcPr>
          <w:p w14:paraId="06C70262" w14:textId="6AB067D0" w:rsidR="00DF7EC8" w:rsidRPr="004676E3" w:rsidRDefault="00914AA4" w:rsidP="004676E3">
            <w:pPr>
              <w:suppressAutoHyphens/>
              <w:jc w:val="center"/>
              <w:rPr>
                <w:sz w:val="16"/>
                <w:szCs w:val="16"/>
              </w:rPr>
            </w:pPr>
            <w:r w:rsidRPr="004676E3">
              <w:rPr>
                <w:sz w:val="16"/>
                <w:szCs w:val="16"/>
              </w:rPr>
              <w:t>55</w:t>
            </w:r>
          </w:p>
        </w:tc>
        <w:tc>
          <w:tcPr>
            <w:tcW w:w="1080" w:type="dxa"/>
          </w:tcPr>
          <w:p w14:paraId="1BB32001" w14:textId="0C8B9784" w:rsidR="00DF7EC8" w:rsidRPr="004676E3" w:rsidRDefault="00914AA4" w:rsidP="004676E3">
            <w:pPr>
              <w:suppressAutoHyphens/>
              <w:jc w:val="center"/>
              <w:rPr>
                <w:sz w:val="16"/>
                <w:szCs w:val="16"/>
              </w:rPr>
            </w:pPr>
            <w:r w:rsidRPr="004676E3">
              <w:rPr>
                <w:sz w:val="16"/>
                <w:szCs w:val="16"/>
              </w:rPr>
              <w:t>38</w:t>
            </w:r>
          </w:p>
        </w:tc>
        <w:tc>
          <w:tcPr>
            <w:tcW w:w="1080" w:type="dxa"/>
          </w:tcPr>
          <w:p w14:paraId="41DF8BE3" w14:textId="62406D94" w:rsidR="00DF7EC8" w:rsidRPr="004676E3" w:rsidRDefault="00914AA4" w:rsidP="004676E3">
            <w:pPr>
              <w:suppressAutoHyphens/>
              <w:jc w:val="center"/>
              <w:rPr>
                <w:sz w:val="16"/>
                <w:szCs w:val="16"/>
              </w:rPr>
            </w:pPr>
            <w:r w:rsidRPr="004676E3">
              <w:rPr>
                <w:sz w:val="16"/>
                <w:szCs w:val="16"/>
              </w:rPr>
              <w:t>14</w:t>
            </w:r>
          </w:p>
        </w:tc>
        <w:tc>
          <w:tcPr>
            <w:tcW w:w="1080" w:type="dxa"/>
          </w:tcPr>
          <w:p w14:paraId="380663A3" w14:textId="5CB8C3AB" w:rsidR="00DF7EC8" w:rsidRPr="004676E3" w:rsidRDefault="00914AA4" w:rsidP="004676E3">
            <w:pPr>
              <w:suppressAutoHyphens/>
              <w:jc w:val="center"/>
              <w:rPr>
                <w:sz w:val="16"/>
                <w:szCs w:val="16"/>
              </w:rPr>
            </w:pPr>
            <w:r w:rsidRPr="004676E3">
              <w:rPr>
                <w:sz w:val="16"/>
                <w:szCs w:val="16"/>
              </w:rPr>
              <w:t>42</w:t>
            </w:r>
          </w:p>
        </w:tc>
        <w:tc>
          <w:tcPr>
            <w:tcW w:w="1080" w:type="dxa"/>
          </w:tcPr>
          <w:p w14:paraId="6829300A" w14:textId="37376F75" w:rsidR="00DF7EC8" w:rsidRPr="004676E3" w:rsidRDefault="00914AA4" w:rsidP="004676E3">
            <w:pPr>
              <w:suppressAutoHyphens/>
              <w:jc w:val="center"/>
              <w:rPr>
                <w:sz w:val="16"/>
                <w:szCs w:val="16"/>
              </w:rPr>
            </w:pPr>
            <w:r w:rsidRPr="004676E3">
              <w:rPr>
                <w:sz w:val="16"/>
                <w:szCs w:val="16"/>
              </w:rPr>
              <w:t>24</w:t>
            </w:r>
          </w:p>
        </w:tc>
        <w:tc>
          <w:tcPr>
            <w:tcW w:w="1080" w:type="dxa"/>
          </w:tcPr>
          <w:p w14:paraId="0F24E8F2" w14:textId="64BBAA67" w:rsidR="00DF7EC8" w:rsidRPr="004676E3" w:rsidRDefault="00914AA4" w:rsidP="004676E3">
            <w:pPr>
              <w:suppressAutoHyphens/>
              <w:jc w:val="center"/>
              <w:rPr>
                <w:sz w:val="16"/>
                <w:szCs w:val="16"/>
              </w:rPr>
            </w:pPr>
            <w:r w:rsidRPr="004676E3">
              <w:rPr>
                <w:sz w:val="16"/>
                <w:szCs w:val="16"/>
              </w:rPr>
              <w:t>44</w:t>
            </w:r>
          </w:p>
        </w:tc>
      </w:tr>
      <w:tr w:rsidR="00DF7EC8" w14:paraId="6690ECB2" w14:textId="77777777" w:rsidTr="009F59EB">
        <w:tc>
          <w:tcPr>
            <w:tcW w:w="1079" w:type="dxa"/>
          </w:tcPr>
          <w:p w14:paraId="7C41CBF4" w14:textId="39BE8341" w:rsidR="00DF7EC8" w:rsidRPr="009F59EB" w:rsidRDefault="004676E3" w:rsidP="004676E3">
            <w:pPr>
              <w:suppressAutoHyphens/>
              <w:jc w:val="center"/>
              <w:rPr>
                <w:b/>
                <w:sz w:val="16"/>
                <w:szCs w:val="16"/>
              </w:rPr>
            </w:pPr>
            <w:r w:rsidRPr="009F59EB">
              <w:rPr>
                <w:b/>
                <w:sz w:val="16"/>
                <w:szCs w:val="16"/>
              </w:rPr>
              <w:t>No. of decorated larnakes</w:t>
            </w:r>
          </w:p>
        </w:tc>
        <w:tc>
          <w:tcPr>
            <w:tcW w:w="1079" w:type="dxa"/>
          </w:tcPr>
          <w:p w14:paraId="033A4821" w14:textId="2986C8B7" w:rsidR="00DF7EC8" w:rsidRPr="004676E3" w:rsidRDefault="00842297" w:rsidP="004676E3">
            <w:pPr>
              <w:suppressAutoHyphens/>
              <w:jc w:val="center"/>
              <w:rPr>
                <w:sz w:val="16"/>
                <w:szCs w:val="16"/>
              </w:rPr>
            </w:pPr>
            <w:r w:rsidRPr="004676E3">
              <w:rPr>
                <w:sz w:val="16"/>
                <w:szCs w:val="16"/>
              </w:rPr>
              <w:t>1</w:t>
            </w:r>
          </w:p>
        </w:tc>
        <w:tc>
          <w:tcPr>
            <w:tcW w:w="1080" w:type="dxa"/>
          </w:tcPr>
          <w:p w14:paraId="6DEDD075" w14:textId="32CEEFAB" w:rsidR="00DF7EC8" w:rsidRPr="004676E3" w:rsidRDefault="00842297" w:rsidP="004676E3">
            <w:pPr>
              <w:suppressAutoHyphens/>
              <w:jc w:val="center"/>
              <w:rPr>
                <w:sz w:val="16"/>
                <w:szCs w:val="16"/>
              </w:rPr>
            </w:pPr>
            <w:r w:rsidRPr="004676E3">
              <w:rPr>
                <w:sz w:val="16"/>
                <w:szCs w:val="16"/>
              </w:rPr>
              <w:t>80</w:t>
            </w:r>
          </w:p>
        </w:tc>
        <w:tc>
          <w:tcPr>
            <w:tcW w:w="1080" w:type="dxa"/>
          </w:tcPr>
          <w:p w14:paraId="57631ABB" w14:textId="7F5B96D9" w:rsidR="00DF7EC8" w:rsidRPr="004676E3" w:rsidRDefault="00CC2A61" w:rsidP="004676E3">
            <w:pPr>
              <w:suppressAutoHyphens/>
              <w:jc w:val="center"/>
              <w:rPr>
                <w:sz w:val="16"/>
                <w:szCs w:val="16"/>
              </w:rPr>
            </w:pPr>
            <w:r w:rsidRPr="004676E3">
              <w:rPr>
                <w:sz w:val="16"/>
                <w:szCs w:val="16"/>
              </w:rPr>
              <w:t>23</w:t>
            </w:r>
          </w:p>
        </w:tc>
        <w:tc>
          <w:tcPr>
            <w:tcW w:w="1080" w:type="dxa"/>
          </w:tcPr>
          <w:p w14:paraId="10055D04" w14:textId="77B70248" w:rsidR="00DF7EC8" w:rsidRPr="004676E3" w:rsidRDefault="00CC2A61" w:rsidP="004676E3">
            <w:pPr>
              <w:suppressAutoHyphens/>
              <w:jc w:val="center"/>
              <w:rPr>
                <w:sz w:val="16"/>
                <w:szCs w:val="16"/>
              </w:rPr>
            </w:pPr>
            <w:r w:rsidRPr="004676E3">
              <w:rPr>
                <w:sz w:val="16"/>
                <w:szCs w:val="16"/>
              </w:rPr>
              <w:t>21</w:t>
            </w:r>
          </w:p>
        </w:tc>
        <w:tc>
          <w:tcPr>
            <w:tcW w:w="1080" w:type="dxa"/>
          </w:tcPr>
          <w:p w14:paraId="38CE1734" w14:textId="60D87A82" w:rsidR="00DF7EC8" w:rsidRPr="004676E3" w:rsidRDefault="00DE13BD" w:rsidP="004676E3">
            <w:pPr>
              <w:suppressAutoHyphens/>
              <w:jc w:val="center"/>
              <w:rPr>
                <w:sz w:val="16"/>
                <w:szCs w:val="16"/>
              </w:rPr>
            </w:pPr>
            <w:r w:rsidRPr="004676E3">
              <w:rPr>
                <w:sz w:val="16"/>
                <w:szCs w:val="16"/>
              </w:rPr>
              <w:t>81</w:t>
            </w:r>
          </w:p>
        </w:tc>
        <w:tc>
          <w:tcPr>
            <w:tcW w:w="1080" w:type="dxa"/>
          </w:tcPr>
          <w:p w14:paraId="555CFAEF" w14:textId="2710EAD9" w:rsidR="00DF7EC8" w:rsidRPr="004676E3" w:rsidRDefault="00DE13BD" w:rsidP="004676E3">
            <w:pPr>
              <w:suppressAutoHyphens/>
              <w:jc w:val="center"/>
              <w:rPr>
                <w:sz w:val="16"/>
                <w:szCs w:val="16"/>
              </w:rPr>
            </w:pPr>
            <w:r w:rsidRPr="004676E3">
              <w:rPr>
                <w:sz w:val="16"/>
                <w:szCs w:val="16"/>
              </w:rPr>
              <w:t>19</w:t>
            </w:r>
          </w:p>
        </w:tc>
        <w:tc>
          <w:tcPr>
            <w:tcW w:w="1080" w:type="dxa"/>
          </w:tcPr>
          <w:p w14:paraId="6B1382E1" w14:textId="4F0E3D01" w:rsidR="00DF7EC8" w:rsidRPr="004676E3" w:rsidRDefault="00DE13BD" w:rsidP="004676E3">
            <w:pPr>
              <w:suppressAutoHyphens/>
              <w:jc w:val="center"/>
              <w:rPr>
                <w:sz w:val="16"/>
                <w:szCs w:val="16"/>
              </w:rPr>
            </w:pPr>
            <w:r w:rsidRPr="004676E3">
              <w:rPr>
                <w:sz w:val="16"/>
                <w:szCs w:val="16"/>
              </w:rPr>
              <w:t>65</w:t>
            </w:r>
          </w:p>
        </w:tc>
      </w:tr>
      <w:tr w:rsidR="00DF7EC8" w14:paraId="684FCEC6" w14:textId="77777777" w:rsidTr="009F59EB">
        <w:tc>
          <w:tcPr>
            <w:tcW w:w="1079" w:type="dxa"/>
          </w:tcPr>
          <w:p w14:paraId="60D54559" w14:textId="1C45CA2C" w:rsidR="00DF7EC8" w:rsidRPr="009F59EB" w:rsidRDefault="004676E3" w:rsidP="004676E3">
            <w:pPr>
              <w:suppressAutoHyphens/>
              <w:jc w:val="center"/>
              <w:rPr>
                <w:b/>
                <w:sz w:val="16"/>
                <w:szCs w:val="16"/>
              </w:rPr>
            </w:pPr>
            <w:r w:rsidRPr="009F59EB">
              <w:rPr>
                <w:b/>
                <w:sz w:val="16"/>
                <w:szCs w:val="16"/>
              </w:rPr>
              <w:t>Ratio of motives to no. of</w:t>
            </w:r>
            <w:r w:rsidR="00135517">
              <w:rPr>
                <w:b/>
                <w:sz w:val="16"/>
                <w:szCs w:val="16"/>
              </w:rPr>
              <w:t xml:space="preserve"> decorated larnakes</w:t>
            </w:r>
          </w:p>
        </w:tc>
        <w:tc>
          <w:tcPr>
            <w:tcW w:w="1079" w:type="dxa"/>
          </w:tcPr>
          <w:p w14:paraId="70D25B9E" w14:textId="5CBE392A" w:rsidR="00DF7EC8" w:rsidRPr="004676E3" w:rsidRDefault="004676E3" w:rsidP="004676E3">
            <w:pPr>
              <w:suppressAutoHyphens/>
              <w:jc w:val="center"/>
              <w:rPr>
                <w:sz w:val="16"/>
                <w:szCs w:val="16"/>
              </w:rPr>
            </w:pPr>
            <w:r w:rsidRPr="004676E3">
              <w:rPr>
                <w:sz w:val="16"/>
                <w:szCs w:val="16"/>
              </w:rPr>
              <w:t>2</w:t>
            </w:r>
          </w:p>
        </w:tc>
        <w:tc>
          <w:tcPr>
            <w:tcW w:w="1080" w:type="dxa"/>
          </w:tcPr>
          <w:p w14:paraId="5111B901" w14:textId="08A3F753" w:rsidR="00DF7EC8" w:rsidRPr="004676E3" w:rsidRDefault="004676E3" w:rsidP="004676E3">
            <w:pPr>
              <w:suppressAutoHyphens/>
              <w:jc w:val="center"/>
              <w:rPr>
                <w:sz w:val="16"/>
                <w:szCs w:val="16"/>
              </w:rPr>
            </w:pPr>
            <w:r w:rsidRPr="004676E3">
              <w:rPr>
                <w:sz w:val="16"/>
                <w:szCs w:val="16"/>
              </w:rPr>
              <w:t>0.69</w:t>
            </w:r>
          </w:p>
        </w:tc>
        <w:tc>
          <w:tcPr>
            <w:tcW w:w="1080" w:type="dxa"/>
          </w:tcPr>
          <w:p w14:paraId="2FF337E7" w14:textId="1553D052" w:rsidR="00DF7EC8" w:rsidRPr="004676E3" w:rsidRDefault="004676E3" w:rsidP="004676E3">
            <w:pPr>
              <w:suppressAutoHyphens/>
              <w:jc w:val="center"/>
              <w:rPr>
                <w:sz w:val="16"/>
                <w:szCs w:val="16"/>
              </w:rPr>
            </w:pPr>
            <w:r w:rsidRPr="004676E3">
              <w:rPr>
                <w:sz w:val="16"/>
                <w:szCs w:val="16"/>
              </w:rPr>
              <w:t>1.65</w:t>
            </w:r>
          </w:p>
        </w:tc>
        <w:tc>
          <w:tcPr>
            <w:tcW w:w="1080" w:type="dxa"/>
          </w:tcPr>
          <w:p w14:paraId="20B458E9" w14:textId="4B6B90DC" w:rsidR="00DF7EC8" w:rsidRPr="004676E3" w:rsidRDefault="004676E3" w:rsidP="004676E3">
            <w:pPr>
              <w:suppressAutoHyphens/>
              <w:jc w:val="center"/>
              <w:rPr>
                <w:sz w:val="16"/>
                <w:szCs w:val="16"/>
              </w:rPr>
            </w:pPr>
            <w:r w:rsidRPr="004676E3">
              <w:rPr>
                <w:sz w:val="16"/>
                <w:szCs w:val="16"/>
              </w:rPr>
              <w:t>0.67</w:t>
            </w:r>
          </w:p>
        </w:tc>
        <w:tc>
          <w:tcPr>
            <w:tcW w:w="1080" w:type="dxa"/>
          </w:tcPr>
          <w:p w14:paraId="41C39AC4" w14:textId="78A1352A" w:rsidR="00DF7EC8" w:rsidRPr="004676E3" w:rsidRDefault="004676E3" w:rsidP="004676E3">
            <w:pPr>
              <w:suppressAutoHyphens/>
              <w:jc w:val="center"/>
              <w:rPr>
                <w:sz w:val="16"/>
                <w:szCs w:val="16"/>
              </w:rPr>
            </w:pPr>
            <w:r w:rsidRPr="004676E3">
              <w:rPr>
                <w:sz w:val="16"/>
                <w:szCs w:val="16"/>
              </w:rPr>
              <w:t>0.52</w:t>
            </w:r>
          </w:p>
        </w:tc>
        <w:tc>
          <w:tcPr>
            <w:tcW w:w="1080" w:type="dxa"/>
          </w:tcPr>
          <w:p w14:paraId="08152CEB" w14:textId="5B818604" w:rsidR="00DF7EC8" w:rsidRPr="004676E3" w:rsidRDefault="004676E3" w:rsidP="004676E3">
            <w:pPr>
              <w:suppressAutoHyphens/>
              <w:jc w:val="center"/>
              <w:rPr>
                <w:sz w:val="16"/>
                <w:szCs w:val="16"/>
              </w:rPr>
            </w:pPr>
            <w:r w:rsidRPr="004676E3">
              <w:rPr>
                <w:sz w:val="16"/>
                <w:szCs w:val="16"/>
              </w:rPr>
              <w:t>1.26</w:t>
            </w:r>
          </w:p>
        </w:tc>
        <w:tc>
          <w:tcPr>
            <w:tcW w:w="1080" w:type="dxa"/>
          </w:tcPr>
          <w:p w14:paraId="2F68F370" w14:textId="61A440CB" w:rsidR="00DF7EC8" w:rsidRPr="004676E3" w:rsidRDefault="004676E3" w:rsidP="004676E3">
            <w:pPr>
              <w:suppressAutoHyphens/>
              <w:jc w:val="center"/>
              <w:rPr>
                <w:sz w:val="16"/>
                <w:szCs w:val="16"/>
              </w:rPr>
            </w:pPr>
            <w:r w:rsidRPr="004676E3">
              <w:rPr>
                <w:sz w:val="16"/>
                <w:szCs w:val="16"/>
              </w:rPr>
              <w:t>0.68</w:t>
            </w:r>
          </w:p>
        </w:tc>
      </w:tr>
    </w:tbl>
    <w:p w14:paraId="57E2A998" w14:textId="7B886776" w:rsidR="00D726B2" w:rsidRPr="009C391B" w:rsidRDefault="00E1180B" w:rsidP="00422526">
      <w:pPr>
        <w:pStyle w:val="Didascalia"/>
        <w:suppressAutoHyphens/>
        <w:spacing w:before="360" w:after="0"/>
      </w:pPr>
      <w:bookmarkStart w:id="1204" w:name="_Toc520212485"/>
      <w:r>
        <w:t>Table 5-53</w:t>
      </w:r>
      <w:r w:rsidR="00A1239D">
        <w:t>.</w:t>
      </w:r>
      <w:r w:rsidR="008A2A3E">
        <w:t xml:space="preserve"> Ratio of motives to number of larnakes</w:t>
      </w:r>
      <w:bookmarkEnd w:id="1204"/>
    </w:p>
    <w:p w14:paraId="2D911592" w14:textId="77777777" w:rsidR="00D726B2" w:rsidRPr="00191003" w:rsidRDefault="00D726B2" w:rsidP="00E858EF">
      <w:pPr>
        <w:suppressAutoHyphens/>
      </w:pPr>
    </w:p>
    <w:p w14:paraId="31F5445A" w14:textId="77777777" w:rsidR="00D726B2" w:rsidRPr="00191003" w:rsidRDefault="00D726B2" w:rsidP="00E858EF">
      <w:pPr>
        <w:suppressAutoHyphens/>
      </w:pPr>
      <w:r w:rsidRPr="00191003">
        <w:rPr>
          <w:noProof/>
          <w:lang w:val="it-IT"/>
        </w:rPr>
        <w:drawing>
          <wp:inline distT="0" distB="0" distL="0" distR="0" wp14:anchorId="4116A263" wp14:editId="107762DA">
            <wp:extent cx="4680000" cy="2520000"/>
            <wp:effectExtent l="0" t="0" r="6350" b="13970"/>
            <wp:docPr id="208" name="Gra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14:paraId="294C0105" w14:textId="2D6C13EE" w:rsidR="00D726B2" w:rsidRPr="009C391B" w:rsidRDefault="00D726B2" w:rsidP="00E858EF">
      <w:pPr>
        <w:pStyle w:val="Didascalia"/>
        <w:suppressAutoHyphens/>
      </w:pPr>
      <w:bookmarkStart w:id="1205" w:name="_Toc520212486"/>
      <w:r w:rsidRPr="009C391B">
        <w:t>Fig</w:t>
      </w:r>
      <w:r w:rsidR="00E1180B">
        <w:t>ure 5-88</w:t>
      </w:r>
      <w:r w:rsidR="00BD7A4F">
        <w:t>.</w:t>
      </w:r>
      <w:r>
        <w:t xml:space="preserve"> </w:t>
      </w:r>
      <w:r w:rsidR="005E400B">
        <w:t>O</w:t>
      </w:r>
      <w:r>
        <w:t>ccurrence of pottery moti</w:t>
      </w:r>
      <w:r w:rsidR="005E400B">
        <w:t>f</w:t>
      </w:r>
      <w:r>
        <w:t xml:space="preserve">s in decorated larnakes </w:t>
      </w:r>
      <w:r w:rsidR="00F3012F">
        <w:t xml:space="preserve">by </w:t>
      </w:r>
      <w:r>
        <w:t>region</w:t>
      </w:r>
      <w:r w:rsidR="00F3012F">
        <w:t xml:space="preserve"> of Crete</w:t>
      </w:r>
      <w:bookmarkEnd w:id="1205"/>
    </w:p>
    <w:p w14:paraId="63CFEBDD" w14:textId="77777777" w:rsidR="00D726B2" w:rsidRPr="00191003" w:rsidRDefault="00D726B2" w:rsidP="00E858EF">
      <w:pPr>
        <w:suppressAutoHyphens/>
      </w:pPr>
      <w:r>
        <w:tab/>
      </w:r>
      <w:r w:rsidRPr="00191003">
        <w:t>Larnax decoration</w:t>
      </w:r>
      <w:r>
        <w:t>,</w:t>
      </w:r>
      <w:r w:rsidRPr="00191003">
        <w:t xml:space="preserve"> as well as that on pottery</w:t>
      </w:r>
      <w:r>
        <w:t>,</w:t>
      </w:r>
      <w:r w:rsidRPr="00191003">
        <w:t xml:space="preserve"> is characterised by</w:t>
      </w:r>
      <w:r>
        <w:t xml:space="preserve"> the</w:t>
      </w:r>
      <w:r w:rsidRPr="00191003">
        <w:t xml:space="preserve"> repetition of </w:t>
      </w:r>
      <w:r>
        <w:t>motif</w:t>
      </w:r>
      <w:r w:rsidRPr="00191003">
        <w:t xml:space="preserve">s. The larnax shape plays an important role in the choice of </w:t>
      </w:r>
      <w:r>
        <w:t>motif</w:t>
      </w:r>
      <w:r w:rsidRPr="00191003">
        <w:t xml:space="preserve">s (i.e. </w:t>
      </w:r>
      <w:r>
        <w:t>the d</w:t>
      </w:r>
      <w:r w:rsidRPr="00191003">
        <w:t xml:space="preserve">ifference between </w:t>
      </w:r>
      <w:r>
        <w:t>motif</w:t>
      </w:r>
      <w:r w:rsidRPr="00191003">
        <w:t xml:space="preserve">s painted </w:t>
      </w:r>
      <w:r>
        <w:t>o</w:t>
      </w:r>
      <w:r w:rsidRPr="00191003">
        <w:t>n panel</w:t>
      </w:r>
      <w:r>
        <w:t>s</w:t>
      </w:r>
      <w:r w:rsidRPr="00191003">
        <w:t xml:space="preserve"> and </w:t>
      </w:r>
      <w:r>
        <w:t>those</w:t>
      </w:r>
      <w:r w:rsidRPr="00191003">
        <w:t xml:space="preserve"> painted </w:t>
      </w:r>
      <w:r>
        <w:t>o</w:t>
      </w:r>
      <w:r w:rsidRPr="00191003">
        <w:t xml:space="preserve">n frames and </w:t>
      </w:r>
      <w:r>
        <w:t>motif</w:t>
      </w:r>
      <w:r w:rsidRPr="00191003">
        <w:t>s used for bathtubs). Larnax morphology (</w:t>
      </w:r>
      <w:r>
        <w:t xml:space="preserve">i.e. the </w:t>
      </w:r>
      <w:r w:rsidRPr="00191003">
        <w:t xml:space="preserve">presence of panels, feet, etc.), </w:t>
      </w:r>
      <w:r>
        <w:t>in addition to</w:t>
      </w:r>
      <w:r w:rsidRPr="00191003">
        <w:t xml:space="preserve"> the greater space to be painted, </w:t>
      </w:r>
      <w:r>
        <w:t>was</w:t>
      </w:r>
      <w:r w:rsidRPr="00191003">
        <w:t xml:space="preserve"> possibly the main </w:t>
      </w:r>
      <w:r>
        <w:t>concern</w:t>
      </w:r>
      <w:r w:rsidRPr="00191003">
        <w:t xml:space="preserve"> and difficulty for a larnax painter. This</w:t>
      </w:r>
      <w:r>
        <w:t xml:space="preserve"> aspect</w:t>
      </w:r>
      <w:r w:rsidRPr="00191003">
        <w:t xml:space="preserve"> could possibl</w:t>
      </w:r>
      <w:r>
        <w:t>y</w:t>
      </w:r>
      <w:r w:rsidRPr="00191003">
        <w:t xml:space="preserve"> expla</w:t>
      </w:r>
      <w:r>
        <w:t>in</w:t>
      </w:r>
      <w:r w:rsidRPr="00191003">
        <w:t xml:space="preserve"> the repetition of the same motif many times, or their</w:t>
      </w:r>
      <w:r>
        <w:t xml:space="preserve"> </w:t>
      </w:r>
      <w:r w:rsidRPr="00191003">
        <w:t xml:space="preserve">representation </w:t>
      </w:r>
      <w:r>
        <w:t>at large scale</w:t>
      </w:r>
      <w:r w:rsidRPr="00191003">
        <w:t xml:space="preserve"> (to fill all the space available </w:t>
      </w:r>
      <w:r>
        <w:t>on</w:t>
      </w:r>
      <w:r w:rsidRPr="00191003">
        <w:t xml:space="preserve"> a panel), or </w:t>
      </w:r>
      <w:r>
        <w:t>a method</w:t>
      </w:r>
      <w:r w:rsidRPr="00191003">
        <w:t xml:space="preserve"> of filling completely the space with </w:t>
      </w:r>
      <w:r>
        <w:t>motif</w:t>
      </w:r>
      <w:r w:rsidRPr="00191003">
        <w:t xml:space="preserve">s </w:t>
      </w:r>
      <w:r>
        <w:t>that</w:t>
      </w:r>
      <w:r w:rsidRPr="00191003">
        <w:t xml:space="preserve"> seems to have no order, which ha</w:t>
      </w:r>
      <w:r>
        <w:t>s</w:t>
      </w:r>
      <w:r w:rsidRPr="00191003">
        <w:t xml:space="preserve"> been described as a </w:t>
      </w:r>
      <w:r>
        <w:t>type</w:t>
      </w:r>
      <w:r w:rsidRPr="00191003">
        <w:t xml:space="preserve"> of </w:t>
      </w:r>
      <w:r w:rsidRPr="00191003">
        <w:rPr>
          <w:i/>
        </w:rPr>
        <w:t>horror vacui</w:t>
      </w:r>
      <w:r w:rsidRPr="00191003">
        <w:t xml:space="preserve"> (a larnax from 6 Kalochorafitis HM 20590</w:t>
      </w:r>
      <w:r>
        <w:t xml:space="preserve">: see </w:t>
      </w:r>
      <w:r w:rsidRPr="00191003">
        <w:t>Karetsou</w:t>
      </w:r>
      <w:r>
        <w:t xml:space="preserve"> and</w:t>
      </w:r>
      <w:r w:rsidRPr="00191003">
        <w:t xml:space="preserve"> Girella 2015: 50-55).</w:t>
      </w:r>
    </w:p>
    <w:p w14:paraId="3A986F54" w14:textId="77777777" w:rsidR="00D726B2" w:rsidRPr="00191003" w:rsidRDefault="00D726B2" w:rsidP="00E858EF">
      <w:pPr>
        <w:suppressAutoHyphens/>
      </w:pPr>
      <w:r>
        <w:tab/>
      </w:r>
      <w:r w:rsidRPr="00191003">
        <w:t>Instead</w:t>
      </w:r>
      <w:r>
        <w:t>,</w:t>
      </w:r>
      <w:r w:rsidRPr="00191003">
        <w:t xml:space="preserve"> the </w:t>
      </w:r>
      <w:r>
        <w:t>presence</w:t>
      </w:r>
      <w:r w:rsidRPr="00191003">
        <w:t xml:space="preserve"> of </w:t>
      </w:r>
      <w:r>
        <w:t>motif</w:t>
      </w:r>
      <w:r w:rsidRPr="00191003">
        <w:t>s that are completely absent from</w:t>
      </w:r>
      <w:r>
        <w:t xml:space="preserve"> the</w:t>
      </w:r>
      <w:r w:rsidRPr="00191003">
        <w:t xml:space="preserve"> pottery repertoire </w:t>
      </w:r>
      <w:r>
        <w:t>is</w:t>
      </w:r>
      <w:r w:rsidRPr="00191003">
        <w:t xml:space="preserve"> considered almost an exception and confined to isolated items, which have been found in all regions where larnakes </w:t>
      </w:r>
      <w:r>
        <w:t>were</w:t>
      </w:r>
      <w:r w:rsidRPr="00191003">
        <w:t xml:space="preserve"> adopted. However</w:t>
      </w:r>
      <w:r>
        <w:t>,</w:t>
      </w:r>
      <w:r w:rsidRPr="00191003">
        <w:t xml:space="preserve"> beyond the occurrence of </w:t>
      </w:r>
      <w:r>
        <w:t>motif</w:t>
      </w:r>
      <w:r w:rsidRPr="00191003">
        <w:t xml:space="preserve">s extraneous to </w:t>
      </w:r>
      <w:r>
        <w:t xml:space="preserve">the </w:t>
      </w:r>
      <w:r w:rsidRPr="00191003">
        <w:t xml:space="preserve">pottery repertoire, </w:t>
      </w:r>
      <w:r>
        <w:t xml:space="preserve">isolated </w:t>
      </w:r>
      <w:r w:rsidRPr="00191003">
        <w:t xml:space="preserve">larnakes </w:t>
      </w:r>
      <w:r>
        <w:t>contain scenes</w:t>
      </w:r>
      <w:r w:rsidRPr="00191003">
        <w:t xml:space="preserve"> (</w:t>
      </w:r>
      <w:r>
        <w:t>e.g. a</w:t>
      </w:r>
      <w:r w:rsidRPr="00191003">
        <w:t xml:space="preserve"> hunting scene) </w:t>
      </w:r>
      <w:r>
        <w:t>in which</w:t>
      </w:r>
      <w:r w:rsidRPr="00191003">
        <w:t xml:space="preserve"> the presence of human figure</w:t>
      </w:r>
      <w:r>
        <w:t>s</w:t>
      </w:r>
      <w:r w:rsidRPr="00191003">
        <w:t xml:space="preserve">, along with animal, vegetal and geometrical </w:t>
      </w:r>
      <w:r>
        <w:t>motif</w:t>
      </w:r>
      <w:r w:rsidRPr="00191003">
        <w:t>s, contribute to create a scene that c</w:t>
      </w:r>
      <w:r>
        <w:t>ould</w:t>
      </w:r>
      <w:r w:rsidRPr="00191003">
        <w:t xml:space="preserve"> possibly have a narrative </w:t>
      </w:r>
      <w:r>
        <w:t>purpose</w:t>
      </w:r>
      <w:r w:rsidRPr="00191003">
        <w:t>.</w:t>
      </w:r>
      <w:r>
        <w:t xml:space="preserve"> </w:t>
      </w:r>
      <w:r w:rsidRPr="00191003">
        <w:t>Analysing larnakes’ morphological features and iconography following regional division</w:t>
      </w:r>
      <w:r>
        <w:t>s</w:t>
      </w:r>
      <w:r w:rsidRPr="00191003">
        <w:t xml:space="preserve"> allows</w:t>
      </w:r>
      <w:r>
        <w:t xml:space="preserve"> us</w:t>
      </w:r>
      <w:r w:rsidRPr="00191003">
        <w:t xml:space="preserve"> to understand th</w:t>
      </w:r>
      <w:r>
        <w:t>e following</w:t>
      </w:r>
      <w:r w:rsidRPr="00191003">
        <w:t>:</w:t>
      </w:r>
    </w:p>
    <w:p w14:paraId="04F3AE87" w14:textId="77777777" w:rsidR="00D726B2" w:rsidRPr="00191003" w:rsidRDefault="00D726B2" w:rsidP="00370745">
      <w:pPr>
        <w:pStyle w:val="Paragrafoelenco"/>
        <w:numPr>
          <w:ilvl w:val="0"/>
          <w:numId w:val="107"/>
        </w:numPr>
        <w:suppressAutoHyphens/>
        <w:spacing w:after="160"/>
      </w:pPr>
      <w:r w:rsidRPr="00191003">
        <w:t xml:space="preserve">There are </w:t>
      </w:r>
      <w:r>
        <w:t xml:space="preserve">regional </w:t>
      </w:r>
      <w:r w:rsidRPr="00191003">
        <w:t xml:space="preserve">features </w:t>
      </w:r>
    </w:p>
    <w:p w14:paraId="137B2FB0" w14:textId="77777777" w:rsidR="00D726B2" w:rsidRPr="00191003" w:rsidRDefault="00D726B2" w:rsidP="00370745">
      <w:pPr>
        <w:pStyle w:val="Paragrafoelenco"/>
        <w:numPr>
          <w:ilvl w:val="0"/>
          <w:numId w:val="107"/>
        </w:numPr>
        <w:suppressAutoHyphens/>
        <w:spacing w:after="160"/>
      </w:pPr>
      <w:r w:rsidRPr="00191003">
        <w:t>There are common trends adopted in more than one region</w:t>
      </w:r>
    </w:p>
    <w:p w14:paraId="77E120B7" w14:textId="77777777" w:rsidR="00D726B2" w:rsidRDefault="00D726B2" w:rsidP="00370745">
      <w:pPr>
        <w:pStyle w:val="Paragrafoelenco"/>
        <w:numPr>
          <w:ilvl w:val="0"/>
          <w:numId w:val="107"/>
        </w:numPr>
        <w:suppressAutoHyphens/>
        <w:spacing w:after="160"/>
      </w:pPr>
      <w:r w:rsidRPr="00191003">
        <w:t xml:space="preserve">There are features confined to a small area in a way </w:t>
      </w:r>
      <w:r>
        <w:t xml:space="preserve">that </w:t>
      </w:r>
      <w:r w:rsidRPr="00191003">
        <w:t>can be considered local</w:t>
      </w:r>
    </w:p>
    <w:p w14:paraId="38F0D72A" w14:textId="5AAE2E20" w:rsidR="002478C0" w:rsidRPr="00191003" w:rsidRDefault="002478C0" w:rsidP="00370745">
      <w:pPr>
        <w:pStyle w:val="Paragrafoelenco"/>
        <w:numPr>
          <w:ilvl w:val="0"/>
          <w:numId w:val="107"/>
        </w:numPr>
        <w:suppressAutoHyphens/>
        <w:spacing w:after="160"/>
      </w:pPr>
      <w:r>
        <w:t xml:space="preserve">There are differences in the treatment and presentation of the body  </w:t>
      </w:r>
    </w:p>
    <w:p w14:paraId="12B10C03" w14:textId="77777777" w:rsidR="00D726B2" w:rsidRPr="00191003" w:rsidRDefault="00D726B2" w:rsidP="00E858EF">
      <w:pPr>
        <w:suppressAutoHyphens/>
      </w:pPr>
      <w:r>
        <w:tab/>
      </w:r>
      <w:r w:rsidRPr="00191003">
        <w:t xml:space="preserve">The </w:t>
      </w:r>
      <w:r>
        <w:t>initial observation</w:t>
      </w:r>
      <w:r w:rsidRPr="00191003">
        <w:t xml:space="preserve"> from the analysis is that the custom of using clay larnakes as burial receptacle</w:t>
      </w:r>
      <w:r>
        <w:t>s</w:t>
      </w:r>
      <w:r w:rsidRPr="00191003">
        <w:t xml:space="preserve"> </w:t>
      </w:r>
      <w:r>
        <w:t>was ubiquitous</w:t>
      </w:r>
      <w:r w:rsidRPr="00191003">
        <w:t xml:space="preserve"> in Crete during the LM III</w:t>
      </w:r>
      <w:r>
        <w:t>,</w:t>
      </w:r>
      <w:r w:rsidRPr="00191003">
        <w:t xml:space="preserve"> except for the </w:t>
      </w:r>
      <w:r w:rsidRPr="00733192">
        <w:t>Far-West region. As previously stated, the presence of a single larnax burial</w:t>
      </w:r>
      <w:r>
        <w:t xml:space="preserve"> there</w:t>
      </w:r>
      <w:r w:rsidRPr="00733192">
        <w:t xml:space="preserve"> suggests that this burial practice was known in this region but deliberately not used. Consequently, using or not using a larnax in a burial carried a specific meaning, and the Far-West community decided not to use them. Thus, they marked a difference in burial</w:t>
      </w:r>
      <w:r w:rsidRPr="00191003">
        <w:t xml:space="preserve"> choice in relation to the rest of the island. </w:t>
      </w:r>
    </w:p>
    <w:p w14:paraId="2D268890" w14:textId="77777777" w:rsidR="00D726B2" w:rsidRPr="00191003" w:rsidRDefault="00D726B2" w:rsidP="00E858EF">
      <w:pPr>
        <w:suppressAutoHyphens/>
      </w:pPr>
      <w:r>
        <w:tab/>
      </w:r>
      <w:r w:rsidRPr="00191003">
        <w:t>If</w:t>
      </w:r>
      <w:r>
        <w:t>,</w:t>
      </w:r>
      <w:r w:rsidRPr="00191003">
        <w:t xml:space="preserve"> </w:t>
      </w:r>
      <w:r>
        <w:t>however,</w:t>
      </w:r>
      <w:r w:rsidRPr="00191003">
        <w:t xml:space="preserve"> larnakes </w:t>
      </w:r>
      <w:r>
        <w:t>were</w:t>
      </w:r>
      <w:r w:rsidRPr="00191003">
        <w:t xml:space="preserve"> adopted in every ot</w:t>
      </w:r>
      <w:r>
        <w:t>her region, from the Mid-West to the Far-East</w:t>
      </w:r>
      <w:r w:rsidRPr="00191003">
        <w:t xml:space="preserve">, </w:t>
      </w:r>
      <w:r>
        <w:t>then</w:t>
      </w:r>
      <w:r w:rsidRPr="00191003">
        <w:t xml:space="preserve"> there is another macro</w:t>
      </w:r>
      <w:r>
        <w:t>-scale</w:t>
      </w:r>
      <w:r w:rsidRPr="00191003">
        <w:t xml:space="preserve"> difference </w:t>
      </w:r>
      <w:r>
        <w:t>that</w:t>
      </w:r>
      <w:r w:rsidRPr="00191003">
        <w:t xml:space="preserve"> concerns the type of larnax adopted. The systematic adoption of bathtub larnakes </w:t>
      </w:r>
      <w:r>
        <w:t>is</w:t>
      </w:r>
      <w:r w:rsidRPr="00191003">
        <w:t xml:space="preserve"> considered an eastern Crete c</w:t>
      </w:r>
      <w:r>
        <w:t>usto</w:t>
      </w:r>
      <w:r w:rsidRPr="00191003">
        <w:t>m</w:t>
      </w:r>
      <w:r>
        <w:t>, more popular in the Far-East</w:t>
      </w:r>
      <w:r w:rsidRPr="00191003">
        <w:t xml:space="preserve"> area. In this region</w:t>
      </w:r>
      <w:r>
        <w:t>,</w:t>
      </w:r>
      <w:r w:rsidRPr="00191003">
        <w:t xml:space="preserve"> along with the choice of using bathtubs more than chest</w:t>
      </w:r>
      <w:r>
        <w:t>-</w:t>
      </w:r>
      <w:r w:rsidRPr="00191003">
        <w:t>shaped larnakes</w:t>
      </w:r>
      <w:r>
        <w:t>,</w:t>
      </w:r>
      <w:r w:rsidRPr="00191003">
        <w:t xml:space="preserve"> </w:t>
      </w:r>
      <w:r>
        <w:t>there is</w:t>
      </w:r>
      <w:r w:rsidRPr="00191003">
        <w:t xml:space="preserve"> a general lack of standardi</w:t>
      </w:r>
      <w:r>
        <w:t>s</w:t>
      </w:r>
      <w:r w:rsidRPr="00191003">
        <w:t xml:space="preserve">ation in larnax morphology and </w:t>
      </w:r>
      <w:r>
        <w:t>the presence</w:t>
      </w:r>
      <w:r w:rsidRPr="00191003">
        <w:t xml:space="preserve"> of peculiar representation</w:t>
      </w:r>
      <w:r>
        <w:t>s</w:t>
      </w:r>
      <w:r w:rsidRPr="00191003">
        <w:t xml:space="preserve"> in larnax iconography and a high number of pottery </w:t>
      </w:r>
      <w:r>
        <w:t>motif</w:t>
      </w:r>
      <w:r w:rsidRPr="00191003">
        <w:t>s. Th</w:t>
      </w:r>
      <w:r>
        <w:t>ese aspects</w:t>
      </w:r>
      <w:r w:rsidRPr="00191003">
        <w:t xml:space="preserve"> </w:t>
      </w:r>
      <w:r>
        <w:t>indicate</w:t>
      </w:r>
      <w:r w:rsidRPr="00191003">
        <w:t xml:space="preserve"> th</w:t>
      </w:r>
      <w:r>
        <w:t>at larnakes in the Far-East</w:t>
      </w:r>
      <w:r w:rsidRPr="00191003">
        <w:t xml:space="preserve"> area were adopted and represented an important medium for ostentation within burial</w:t>
      </w:r>
      <w:r>
        <w:t>s</w:t>
      </w:r>
      <w:r w:rsidRPr="00191003">
        <w:t>, but the way in which this was expressed was local. This</w:t>
      </w:r>
      <w:r>
        <w:t xml:space="preserve"> aspect</w:t>
      </w:r>
      <w:r w:rsidRPr="00191003">
        <w:t xml:space="preserve"> is more evident </w:t>
      </w:r>
      <w:r>
        <w:t>when regarding</w:t>
      </w:r>
      <w:r w:rsidRPr="00191003">
        <w:t xml:space="preserve"> how standardised the use of chest</w:t>
      </w:r>
      <w:r>
        <w:t>-</w:t>
      </w:r>
      <w:r w:rsidRPr="00191003">
        <w:t xml:space="preserve">shaped larnakes from the </w:t>
      </w:r>
      <w:r>
        <w:t>Mid-West</w:t>
      </w:r>
      <w:r w:rsidRPr="00C804BB">
        <w:t xml:space="preserve"> region to the </w:t>
      </w:r>
      <w:r>
        <w:t>Mid-East region was.</w:t>
      </w:r>
      <w:r w:rsidRPr="00191003">
        <w:t xml:space="preserve"> </w:t>
      </w:r>
    </w:p>
    <w:p w14:paraId="3A51BC01" w14:textId="5D880E69" w:rsidR="00D726B2" w:rsidRPr="00191003" w:rsidRDefault="00D726B2" w:rsidP="00E858EF">
      <w:pPr>
        <w:suppressAutoHyphens/>
      </w:pPr>
      <w:r>
        <w:tab/>
      </w:r>
      <w:r w:rsidRPr="00191003">
        <w:t xml:space="preserve">It is relevant to note how these differences in larnax adoption appear in two regions that </w:t>
      </w:r>
      <w:r>
        <w:t>are</w:t>
      </w:r>
      <w:r w:rsidRPr="00191003">
        <w:t xml:space="preserve"> considered peripheral from </w:t>
      </w:r>
      <w:r>
        <w:t>a</w:t>
      </w:r>
      <w:r w:rsidRPr="00191003">
        <w:t xml:space="preserve"> geographical </w:t>
      </w:r>
      <w:r>
        <w:t>perspective</w:t>
      </w:r>
      <w:r w:rsidRPr="00191003">
        <w:t xml:space="preserve">. Indeed, the </w:t>
      </w:r>
      <w:r>
        <w:t>Far-West and Far-East of</w:t>
      </w:r>
      <w:r w:rsidRPr="00191003">
        <w:t xml:space="preserve"> Crete appear to be more </w:t>
      </w:r>
      <w:r>
        <w:t>‘</w:t>
      </w:r>
      <w:r w:rsidRPr="00191003">
        <w:t>autonomous</w:t>
      </w:r>
      <w:r>
        <w:t>’</w:t>
      </w:r>
      <w:r w:rsidRPr="00191003">
        <w:t xml:space="preserve"> in the way in which they </w:t>
      </w:r>
      <w:r>
        <w:t>used</w:t>
      </w:r>
      <w:r w:rsidRPr="00191003">
        <w:t xml:space="preserve"> larnakes. The</w:t>
      </w:r>
      <w:r>
        <w:t>se areas</w:t>
      </w:r>
      <w:r w:rsidRPr="00191003">
        <w:t xml:space="preserve"> seem to know how larnakes were used elsewhere, but they differentiate themselves </w:t>
      </w:r>
      <w:r>
        <w:t xml:space="preserve">by </w:t>
      </w:r>
      <w:r w:rsidRPr="00191003">
        <w:t>either refusing their adoption</w:t>
      </w:r>
      <w:r>
        <w:t xml:space="preserve"> (Far-West</w:t>
      </w:r>
      <w:r w:rsidR="00D52A83">
        <w:t>, see: Fig. 5-91</w:t>
      </w:r>
      <w:r w:rsidRPr="00191003">
        <w:t>) or preferring a different type</w:t>
      </w:r>
      <w:r>
        <w:t xml:space="preserve"> of larnax receptacle (Far-East</w:t>
      </w:r>
      <w:r w:rsidR="00D52A83">
        <w:t>, see: Fig. 5-92</w:t>
      </w:r>
      <w:r w:rsidRPr="00191003">
        <w:t>).</w:t>
      </w:r>
    </w:p>
    <w:p w14:paraId="6CA634F9" w14:textId="4A3430A5" w:rsidR="00D726B2" w:rsidRPr="00191003" w:rsidRDefault="00D726B2" w:rsidP="00E858EF">
      <w:pPr>
        <w:suppressAutoHyphens/>
      </w:pPr>
      <w:r>
        <w:tab/>
      </w:r>
      <w:r w:rsidRPr="00191003">
        <w:t>However</w:t>
      </w:r>
      <w:r>
        <w:t>,</w:t>
      </w:r>
      <w:r w:rsidRPr="00191003">
        <w:t xml:space="preserve"> </w:t>
      </w:r>
      <w:r>
        <w:t>regarding</w:t>
      </w:r>
      <w:r w:rsidRPr="00191003">
        <w:t xml:space="preserve"> the five regions</w:t>
      </w:r>
      <w:r>
        <w:t xml:space="preserve"> (Mid-West, Mesara, Knossos, C</w:t>
      </w:r>
      <w:r w:rsidRPr="00191003">
        <w:t>entre</w:t>
      </w:r>
      <w:r>
        <w:t>, Mid-East</w:t>
      </w:r>
      <w:r w:rsidRPr="00191003">
        <w:t>) that share the general preference for chest</w:t>
      </w:r>
      <w:r>
        <w:t>-</w:t>
      </w:r>
      <w:r w:rsidRPr="00191003">
        <w:t>shaped larnakes, it is possible to find variation and peculiarity in larnax morphological features and iconography that</w:t>
      </w:r>
      <w:r>
        <w:t>,</w:t>
      </w:r>
      <w:r w:rsidRPr="00191003">
        <w:t xml:space="preserve"> in s</w:t>
      </w:r>
      <w:r>
        <w:t>o</w:t>
      </w:r>
      <w:r w:rsidRPr="00191003">
        <w:t>me case</w:t>
      </w:r>
      <w:r>
        <w:t>s,</w:t>
      </w:r>
      <w:r w:rsidRPr="00191003">
        <w:t xml:space="preserve"> </w:t>
      </w:r>
      <w:r>
        <w:t>are</w:t>
      </w:r>
      <w:r w:rsidRPr="00191003">
        <w:t xml:space="preserve"> co</w:t>
      </w:r>
      <w:r>
        <w:t>nsidered regional (</w:t>
      </w:r>
      <w:r w:rsidRPr="00191003">
        <w:t>e.</w:t>
      </w:r>
      <w:r>
        <w:t>g.</w:t>
      </w:r>
      <w:r w:rsidRPr="00191003">
        <w:t xml:space="preserve"> </w:t>
      </w:r>
      <w:r>
        <w:t xml:space="preserve">a </w:t>
      </w:r>
      <w:r w:rsidRPr="00191003">
        <w:t>preference for flat lid</w:t>
      </w:r>
      <w:r>
        <w:t>s</w:t>
      </w:r>
      <w:r w:rsidRPr="00191003">
        <w:t xml:space="preserve"> in the Mesara region</w:t>
      </w:r>
      <w:r>
        <w:t xml:space="preserve"> that seems to be linked to the traditions associated with tholos tombs;</w:t>
      </w:r>
      <w:r w:rsidRPr="00191003">
        <w:t xml:space="preserve"> </w:t>
      </w:r>
      <w:r>
        <w:t xml:space="preserve">or the </w:t>
      </w:r>
      <w:r w:rsidRPr="00191003">
        <w:t>very standardised mo</w:t>
      </w:r>
      <w:r>
        <w:t>rphology of chests in the Mid-West</w:t>
      </w:r>
      <w:r w:rsidRPr="00191003">
        <w:t xml:space="preserve"> area and </w:t>
      </w:r>
      <w:r>
        <w:t xml:space="preserve">the </w:t>
      </w:r>
      <w:r w:rsidRPr="00191003">
        <w:t>presence of a rich decoration</w:t>
      </w:r>
      <w:r>
        <w:t>;</w:t>
      </w:r>
      <w:r w:rsidRPr="00191003">
        <w:t xml:space="preserve"> </w:t>
      </w:r>
      <w:r>
        <w:t xml:space="preserve">while </w:t>
      </w:r>
      <w:r w:rsidRPr="00191003">
        <w:t xml:space="preserve">richly decorated larnakes in </w:t>
      </w:r>
      <w:r>
        <w:t xml:space="preserve">the </w:t>
      </w:r>
      <w:r w:rsidRPr="00191003">
        <w:t>Knossos area</w:t>
      </w:r>
      <w:r>
        <w:t xml:space="preserve"> are rare</w:t>
      </w:r>
      <w:r w:rsidRPr="00191003">
        <w:t>), in other cases local (i.e.</w:t>
      </w:r>
      <w:r>
        <w:t xml:space="preserve"> the</w:t>
      </w:r>
      <w:r w:rsidRPr="00191003">
        <w:t xml:space="preserve"> presence of polychrome decoration or incised decoration)</w:t>
      </w:r>
      <w:r>
        <w:t>,</w:t>
      </w:r>
      <w:r w:rsidRPr="00191003">
        <w:t xml:space="preserve"> and in</w:t>
      </w:r>
      <w:r>
        <w:t xml:space="preserve"> yet</w:t>
      </w:r>
      <w:r w:rsidRPr="00191003">
        <w:t xml:space="preserve"> other cases reveal the influence of a region different from the one in which they </w:t>
      </w:r>
      <w:r>
        <w:t>were</w:t>
      </w:r>
      <w:r w:rsidRPr="00191003">
        <w:t xml:space="preserve"> classified for the study purpose</w:t>
      </w:r>
      <w:r>
        <w:t xml:space="preserve">. </w:t>
      </w:r>
      <w:r w:rsidRPr="00191003">
        <w:t>This is</w:t>
      </w:r>
      <w:r>
        <w:t>,</w:t>
      </w:r>
      <w:r w:rsidRPr="00191003">
        <w:t xml:space="preserve"> for example</w:t>
      </w:r>
      <w:r>
        <w:t>,</w:t>
      </w:r>
      <w:r w:rsidRPr="00191003">
        <w:t xml:space="preserve"> the case of the larnakes found in the cemeteries of Apodoulou,</w:t>
      </w:r>
      <w:r>
        <w:t xml:space="preserve"> Kalochorafitis and Klima that display</w:t>
      </w:r>
      <w:r w:rsidRPr="00191003">
        <w:t xml:space="preserve"> an influence from </w:t>
      </w:r>
      <w:r w:rsidRPr="00733192">
        <w:t>the Mid-West region</w:t>
      </w:r>
      <w:r w:rsidRPr="00191003">
        <w:t xml:space="preserve"> (</w:t>
      </w:r>
      <w:r>
        <w:t xml:space="preserve">i.e. the </w:t>
      </w:r>
      <w:r w:rsidRPr="00191003">
        <w:t xml:space="preserve">presence of peculiar </w:t>
      </w:r>
      <w:r>
        <w:t>motif</w:t>
      </w:r>
      <w:r w:rsidRPr="00191003">
        <w:t xml:space="preserve">s and of </w:t>
      </w:r>
      <w:r>
        <w:t xml:space="preserve">a </w:t>
      </w:r>
      <w:r w:rsidRPr="00191003">
        <w:t xml:space="preserve">high number of </w:t>
      </w:r>
      <w:r>
        <w:t>motif</w:t>
      </w:r>
      <w:r w:rsidRPr="00191003">
        <w:t>s). This is probably also true for the larnakes from the cemeteries of Gazi, Giophyrakia and Kavrochori (</w:t>
      </w:r>
      <w:r>
        <w:t xml:space="preserve">the </w:t>
      </w:r>
      <w:r w:rsidRPr="00191003">
        <w:t xml:space="preserve">presence of peculiar </w:t>
      </w:r>
      <w:r>
        <w:t>motif</w:t>
      </w:r>
      <w:r w:rsidRPr="00191003">
        <w:t xml:space="preserve">s and of </w:t>
      </w:r>
      <w:r>
        <w:t xml:space="preserve">a </w:t>
      </w:r>
      <w:r w:rsidRPr="00191003">
        <w:t xml:space="preserve">high number of </w:t>
      </w:r>
      <w:r>
        <w:t>motif</w:t>
      </w:r>
      <w:r w:rsidRPr="00191003">
        <w:t xml:space="preserve">s </w:t>
      </w:r>
      <w:r>
        <w:t>influenced from the Mid-West</w:t>
      </w:r>
      <w:r w:rsidRPr="00191003">
        <w:t xml:space="preserve">). </w:t>
      </w:r>
      <w:r>
        <w:t>From</w:t>
      </w:r>
      <w:r w:rsidRPr="00191003">
        <w:t xml:space="preserve"> the same perspective</w:t>
      </w:r>
      <w:r>
        <w:t>,</w:t>
      </w:r>
      <w:r w:rsidRPr="00191003">
        <w:t xml:space="preserve"> the adoption of </w:t>
      </w:r>
      <w:r>
        <w:t>a few</w:t>
      </w:r>
      <w:r w:rsidRPr="00191003">
        <w:t xml:space="preserve"> bathtub larnakes in some </w:t>
      </w:r>
      <w:r>
        <w:t>Mid-East</w:t>
      </w:r>
      <w:r w:rsidRPr="00191003">
        <w:t xml:space="preserve"> burials can be interpreted as </w:t>
      </w:r>
      <w:r>
        <w:t>the result of influence from the Far-East</w:t>
      </w:r>
      <w:r w:rsidRPr="00191003">
        <w:t xml:space="preserve"> area. It is interesting to note how geographical proximity in all these cases played an important role</w:t>
      </w:r>
      <w:r w:rsidR="00D52A83">
        <w:t xml:space="preserve"> (see: Fi</w:t>
      </w:r>
      <w:r w:rsidR="000B3F58">
        <w:t>g</w:t>
      </w:r>
      <w:r w:rsidR="00D52A83">
        <w:t>. 5-92)</w:t>
      </w:r>
      <w:r w:rsidRPr="00191003">
        <w:t>.</w:t>
      </w:r>
    </w:p>
    <w:p w14:paraId="3F4B20A7" w14:textId="77777777" w:rsidR="00D726B2" w:rsidRPr="00191003" w:rsidRDefault="00D726B2" w:rsidP="00E858EF">
      <w:pPr>
        <w:suppressAutoHyphens/>
      </w:pPr>
      <w:r>
        <w:tab/>
      </w:r>
      <w:r w:rsidRPr="00191003">
        <w:t xml:space="preserve">The occurrence of local variation (and by the term </w:t>
      </w:r>
      <w:r>
        <w:t>‘</w:t>
      </w:r>
      <w:r w:rsidRPr="00191003">
        <w:t>local</w:t>
      </w:r>
      <w:r>
        <w:t>’</w:t>
      </w:r>
      <w:r w:rsidRPr="00191003">
        <w:t xml:space="preserve"> I mean characteristics that are present in larnakes found in the same cemetery or in cemeteries </w:t>
      </w:r>
      <w:r>
        <w:t>that</w:t>
      </w:r>
      <w:r w:rsidRPr="00191003">
        <w:t xml:space="preserve"> are geographically close) </w:t>
      </w:r>
      <w:r>
        <w:t>regarding</w:t>
      </w:r>
      <w:r w:rsidRPr="00191003">
        <w:t xml:space="preserve"> larnax morphology and iconography </w:t>
      </w:r>
      <w:r>
        <w:t>is</w:t>
      </w:r>
      <w:r w:rsidRPr="00191003">
        <w:t xml:space="preserve"> a very important aspect for understand</w:t>
      </w:r>
      <w:r>
        <w:t>ing</w:t>
      </w:r>
      <w:r w:rsidRPr="00191003">
        <w:t xml:space="preserve"> the role of larnakes in LM III burials in Crete. </w:t>
      </w:r>
    </w:p>
    <w:p w14:paraId="40308B99" w14:textId="77777777" w:rsidR="00D726B2" w:rsidRPr="00191003" w:rsidRDefault="00D726B2" w:rsidP="00E858EF">
      <w:pPr>
        <w:suppressAutoHyphens/>
      </w:pPr>
      <w:r>
        <w:tab/>
      </w:r>
      <w:r w:rsidRPr="00191003">
        <w:t>The presence of local features and</w:t>
      </w:r>
      <w:r>
        <w:t>,</w:t>
      </w:r>
      <w:r w:rsidRPr="00191003">
        <w:t xml:space="preserve"> consequently</w:t>
      </w:r>
      <w:r>
        <w:t>,</w:t>
      </w:r>
      <w:r w:rsidRPr="00191003">
        <w:t xml:space="preserve"> of a local taste and choice in larnakes, </w:t>
      </w:r>
      <w:r>
        <w:t xml:space="preserve">suggests </w:t>
      </w:r>
      <w:r w:rsidRPr="00191003">
        <w:t xml:space="preserve">that these items functioned locally for local communities. Larnakes represented a </w:t>
      </w:r>
      <w:r>
        <w:t xml:space="preserve">competition </w:t>
      </w:r>
      <w:r w:rsidRPr="00191003">
        <w:t>medium for families and elites everywhere,</w:t>
      </w:r>
      <w:r>
        <w:t xml:space="preserve"> except those in Far-West</w:t>
      </w:r>
      <w:r w:rsidRPr="00191003">
        <w:t xml:space="preserve"> Crete. However</w:t>
      </w:r>
      <w:r>
        <w:t>,</w:t>
      </w:r>
      <w:r w:rsidRPr="00191003">
        <w:t xml:space="preserve"> these families and elites were not competing </w:t>
      </w:r>
      <w:r>
        <w:t>o</w:t>
      </w:r>
      <w:r w:rsidRPr="00191003">
        <w:t>n a large regional scale; instead</w:t>
      </w:r>
      <w:r>
        <w:t>,</w:t>
      </w:r>
      <w:r w:rsidRPr="00191003">
        <w:t xml:space="preserve"> it is more reasonable to assume that this competition happened </w:t>
      </w:r>
      <w:r>
        <w:t>o</w:t>
      </w:r>
      <w:r w:rsidRPr="00191003">
        <w:t xml:space="preserve">n a local scale. </w:t>
      </w:r>
    </w:p>
    <w:p w14:paraId="216839C3" w14:textId="13C2B8CC" w:rsidR="005E400B" w:rsidRDefault="00D726B2" w:rsidP="00E858EF">
      <w:pPr>
        <w:suppressAutoHyphens/>
        <w:sectPr w:rsidR="005E400B" w:rsidSect="00F71C84">
          <w:type w:val="continuous"/>
          <w:pgSz w:w="11900" w:h="16840"/>
          <w:pgMar w:top="1418" w:right="1134" w:bottom="1134" w:left="2268" w:header="709" w:footer="709" w:gutter="0"/>
          <w:cols w:space="708"/>
          <w:docGrid w:linePitch="360"/>
        </w:sectPr>
      </w:pPr>
      <w:r>
        <w:tab/>
      </w:r>
      <w:r w:rsidRPr="00191003">
        <w:t>Indeed</w:t>
      </w:r>
      <w:r>
        <w:t>,</w:t>
      </w:r>
      <w:r w:rsidRPr="00191003">
        <w:t xml:space="preserve"> larnakes were a medium of ostentation for the local Cretan elites, but they were not used in the same way. They were used more in some regions than in others, and the importance reserved </w:t>
      </w:r>
      <w:r>
        <w:t>for</w:t>
      </w:r>
      <w:r w:rsidRPr="00191003">
        <w:t xml:space="preserve"> specific larnax aspects vary</w:t>
      </w:r>
      <w:r>
        <w:t>,</w:t>
      </w:r>
      <w:r w:rsidRPr="00191003">
        <w:t xml:space="preserve"> not only from region to region (</w:t>
      </w:r>
      <w:r>
        <w:t>e.g.</w:t>
      </w:r>
      <w:r w:rsidRPr="00191003">
        <w:t xml:space="preserve"> iconography was more important</w:t>
      </w:r>
      <w:r>
        <w:t xml:space="preserve"> in the Mid-West and Far-East</w:t>
      </w:r>
      <w:r w:rsidRPr="00191003">
        <w:t xml:space="preserve"> region</w:t>
      </w:r>
      <w:r>
        <w:t>s,</w:t>
      </w:r>
      <w:r w:rsidRPr="00191003">
        <w:t xml:space="preserve"> for example, tha</w:t>
      </w:r>
      <w:r>
        <w:t>n</w:t>
      </w:r>
      <w:r w:rsidRPr="00191003">
        <w:t xml:space="preserve"> in</w:t>
      </w:r>
      <w:r>
        <w:t xml:space="preserve"> the</w:t>
      </w:r>
      <w:r w:rsidRPr="00191003">
        <w:t xml:space="preserve"> Knossos area), but</w:t>
      </w:r>
      <w:r>
        <w:t>,</w:t>
      </w:r>
      <w:r w:rsidRPr="00191003">
        <w:t xml:space="preserve"> in some cases</w:t>
      </w:r>
      <w:r>
        <w:t>,</w:t>
      </w:r>
      <w:r w:rsidRPr="00191003">
        <w:t xml:space="preserve"> </w:t>
      </w:r>
      <w:r>
        <w:t>among</w:t>
      </w:r>
      <w:r w:rsidRPr="00191003">
        <w:t xml:space="preserve"> different cemetery clusters within the same region (</w:t>
      </w:r>
      <w:r>
        <w:t>e.g. the</w:t>
      </w:r>
      <w:r w:rsidRPr="00191003">
        <w:t xml:space="preserve"> northwest area of Mesara </w:t>
      </w:r>
      <w:r>
        <w:t>compared with</w:t>
      </w:r>
      <w:r w:rsidRPr="00191003">
        <w:t xml:space="preserve"> the other Mesara cemeteries; Amnissos Karteros-Artsa with incised decoration from the rest of </w:t>
      </w:r>
      <w:r>
        <w:t>the C</w:t>
      </w:r>
      <w:r w:rsidRPr="00191003">
        <w:t xml:space="preserve">entral area; </w:t>
      </w:r>
      <w:r>
        <w:t xml:space="preserve">and </w:t>
      </w:r>
      <w:r w:rsidRPr="00191003">
        <w:t xml:space="preserve">polychrome decoration at Armenoi </w:t>
      </w:r>
      <w:r>
        <w:t>from the rest of the Mid-West</w:t>
      </w:r>
      <w:r w:rsidRPr="00191003">
        <w:t xml:space="preserve"> area</w:t>
      </w:r>
    </w:p>
    <w:p w14:paraId="3993F3A1" w14:textId="46D33A97" w:rsidR="00114007" w:rsidRPr="003340A1" w:rsidRDefault="005439C4" w:rsidP="00422526">
      <w:pPr>
        <w:pStyle w:val="Didascalia"/>
        <w:suppressAutoHyphens/>
        <w:rPr>
          <w:szCs w:val="20"/>
        </w:rPr>
      </w:pPr>
      <w:r w:rsidRPr="003340A1">
        <w:rPr>
          <w:szCs w:val="20"/>
        </w:rPr>
        <w:t>F</w:t>
      </w:r>
      <w:bookmarkStart w:id="1206" w:name="_Toc520212487"/>
      <w:r w:rsidR="005F4C6D" w:rsidRPr="00422526">
        <w:rPr>
          <w:b w:val="0"/>
          <w:iCs w:val="0"/>
          <w:szCs w:val="20"/>
        </w:rPr>
        <w:t>igure 5-89</w:t>
      </w:r>
      <w:r w:rsidR="00C918E5">
        <w:rPr>
          <w:szCs w:val="20"/>
        </w:rPr>
        <w:t>.</w:t>
      </w:r>
      <w:r w:rsidR="00D50433" w:rsidRPr="003340A1">
        <w:rPr>
          <w:szCs w:val="20"/>
        </w:rPr>
        <w:t xml:space="preserve"> </w:t>
      </w:r>
      <w:r w:rsidR="00D726B2" w:rsidRPr="00422526">
        <w:rPr>
          <w:b w:val="0"/>
          <w:iCs w:val="0"/>
          <w:szCs w:val="20"/>
        </w:rPr>
        <w:t>Distribution of number of larnakes per cemetery</w:t>
      </w:r>
      <w:bookmarkEnd w:id="1206"/>
      <w:r w:rsidR="00D726B2" w:rsidRPr="003340A1">
        <w:rPr>
          <w:szCs w:val="20"/>
        </w:rPr>
        <w:t xml:space="preserve">   </w:t>
      </w:r>
    </w:p>
    <w:p w14:paraId="7CDA6D8F" w14:textId="5B7F2651" w:rsidR="005C5E50" w:rsidRDefault="005C5E50" w:rsidP="00422526">
      <w:pPr>
        <w:suppressAutoHyphens/>
        <w:jc w:val="left"/>
      </w:pPr>
    </w:p>
    <w:p w14:paraId="62A9F16C" w14:textId="77777777" w:rsidR="005C5E50" w:rsidRDefault="005C5E50" w:rsidP="00422526">
      <w:pPr>
        <w:suppressAutoHyphens/>
        <w:jc w:val="left"/>
      </w:pPr>
    </w:p>
    <w:p w14:paraId="2C9F9A6C" w14:textId="0F174D13" w:rsidR="005C5E50" w:rsidRDefault="005C5E50" w:rsidP="00422526">
      <w:pPr>
        <w:suppressAutoHyphens/>
        <w:jc w:val="left"/>
      </w:pPr>
    </w:p>
    <w:p w14:paraId="01F3E114" w14:textId="77777777" w:rsidR="005C5E50" w:rsidRDefault="005C5E50" w:rsidP="00422526">
      <w:pPr>
        <w:suppressAutoHyphens/>
        <w:jc w:val="left"/>
      </w:pPr>
    </w:p>
    <w:p w14:paraId="040E6674" w14:textId="77777777" w:rsidR="005C5E50" w:rsidRDefault="005C5E50" w:rsidP="00422526">
      <w:pPr>
        <w:suppressAutoHyphens/>
        <w:jc w:val="left"/>
      </w:pPr>
    </w:p>
    <w:p w14:paraId="377D2DBC" w14:textId="1AE85BA2" w:rsidR="005C5E50" w:rsidRDefault="005C5E50" w:rsidP="00422526">
      <w:pPr>
        <w:suppressAutoHyphens/>
        <w:jc w:val="left"/>
      </w:pPr>
    </w:p>
    <w:p w14:paraId="58505B9B" w14:textId="5F101A69" w:rsidR="005C5E50" w:rsidRDefault="00133BB9" w:rsidP="00422526">
      <w:pPr>
        <w:suppressAutoHyphens/>
        <w:jc w:val="left"/>
      </w:pPr>
      <w:r>
        <w:rPr>
          <w:noProof/>
          <w:lang w:val="it-IT"/>
        </w:rPr>
        <w:drawing>
          <wp:anchor distT="0" distB="0" distL="114300" distR="114300" simplePos="0" relativeHeight="251659264" behindDoc="0" locked="0" layoutInCell="1" allowOverlap="1" wp14:anchorId="506A16B6" wp14:editId="7D886B1B">
            <wp:simplePos x="0" y="0"/>
            <wp:positionH relativeFrom="margin">
              <wp:align>center</wp:align>
            </wp:positionH>
            <wp:positionV relativeFrom="margin">
              <wp:align>center</wp:align>
            </wp:positionV>
            <wp:extent cx="8416925" cy="4668520"/>
            <wp:effectExtent l="0" t="5397" r="10477" b="10478"/>
            <wp:wrapSquare wrapText="bothSides"/>
            <wp:docPr id="213" name="Immagine 213" descr="Macintosh HD:Users:angela:Desktop:Senza tit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angela:Desktop:Senza titolo.pn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rot="16200000">
                      <a:off x="0" y="0"/>
                      <a:ext cx="8416925" cy="4668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40DBB1" w14:textId="3F4DA96D" w:rsidR="00114007" w:rsidRDefault="00114007" w:rsidP="00422526">
      <w:pPr>
        <w:suppressAutoHyphens/>
        <w:jc w:val="left"/>
        <w:sectPr w:rsidR="00114007" w:rsidSect="00422526">
          <w:pgSz w:w="11900" w:h="16840"/>
          <w:pgMar w:top="907" w:right="1134" w:bottom="851" w:left="2268" w:header="709" w:footer="709" w:gutter="0"/>
          <w:cols w:space="708"/>
          <w:docGrid w:linePitch="360"/>
        </w:sectPr>
      </w:pPr>
    </w:p>
    <w:p w14:paraId="1E1D1383" w14:textId="77777777" w:rsidR="00D726B2" w:rsidRDefault="00D726B2" w:rsidP="00E858EF">
      <w:pPr>
        <w:tabs>
          <w:tab w:val="left" w:pos="2816"/>
        </w:tabs>
        <w:suppressAutoHyphens/>
        <w:spacing w:line="276" w:lineRule="auto"/>
        <w:jc w:val="center"/>
        <w:rPr>
          <w:noProof/>
        </w:rPr>
      </w:pPr>
      <w:r>
        <w:rPr>
          <w:noProof/>
          <w:lang w:val="it-IT"/>
        </w:rPr>
        <w:drawing>
          <wp:inline distT="0" distB="0" distL="0" distR="0" wp14:anchorId="46CB491F" wp14:editId="7FC10226">
            <wp:extent cx="4912794" cy="8344793"/>
            <wp:effectExtent l="0" t="1588" r="953" b="952"/>
            <wp:docPr id="210" name="Immagine 18" descr="Macintosh HD:Users:angela:Desktop:maps for thesis draft + chapters with illustrations:GENERAL CRETE MAPS:map larnax quantitative distribution after John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gela:Desktop:maps for thesis draft + chapters with illustrations:GENERAL CRETE MAPS:map larnax quantitative distribution after John_.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rot="5400000">
                      <a:off x="0" y="0"/>
                      <a:ext cx="4921779" cy="8360054"/>
                    </a:xfrm>
                    <a:prstGeom prst="rect">
                      <a:avLst/>
                    </a:prstGeom>
                    <a:noFill/>
                    <a:ln>
                      <a:noFill/>
                    </a:ln>
                  </pic:spPr>
                </pic:pic>
              </a:graphicData>
            </a:graphic>
          </wp:inline>
        </w:drawing>
      </w:r>
    </w:p>
    <w:p w14:paraId="5C824BCD" w14:textId="212087A6" w:rsidR="00D726B2" w:rsidRDefault="00D726B2" w:rsidP="00E858EF">
      <w:pPr>
        <w:pStyle w:val="Didascalia"/>
        <w:suppressAutoHyphens/>
        <w:sectPr w:rsidR="00D726B2" w:rsidSect="00F71C84">
          <w:pgSz w:w="16840" w:h="11900" w:orient="landscape"/>
          <w:pgMar w:top="2268" w:right="1418" w:bottom="1134" w:left="1134" w:header="709" w:footer="709" w:gutter="0"/>
          <w:cols w:space="708"/>
          <w:docGrid w:linePitch="360"/>
        </w:sectPr>
      </w:pPr>
      <w:bookmarkStart w:id="1207" w:name="_Toc520212488"/>
      <w:r w:rsidRPr="00E7753F">
        <w:t>Figure 5-</w:t>
      </w:r>
      <w:r w:rsidR="005F4C6D">
        <w:t>90</w:t>
      </w:r>
      <w:r w:rsidRPr="00E7753F">
        <w:t xml:space="preserve">  Map</w:t>
      </w:r>
      <w:r w:rsidR="00922929">
        <w:t>:</w:t>
      </w:r>
      <w:r>
        <w:t xml:space="preserve"> Number of larnakes per cemetery (geographical distribution)</w:t>
      </w:r>
      <w:bookmarkEnd w:id="1207"/>
    </w:p>
    <w:p w14:paraId="0DA2CEB1" w14:textId="77777777" w:rsidR="00D726B2" w:rsidRDefault="00D726B2" w:rsidP="00E858EF">
      <w:pPr>
        <w:tabs>
          <w:tab w:val="left" w:pos="2816"/>
        </w:tabs>
        <w:suppressAutoHyphens/>
        <w:spacing w:line="240" w:lineRule="auto"/>
        <w:jc w:val="center"/>
      </w:pPr>
      <w:r>
        <w:rPr>
          <w:noProof/>
          <w:lang w:val="it-IT"/>
        </w:rPr>
        <w:drawing>
          <wp:inline distT="0" distB="0" distL="0" distR="0" wp14:anchorId="2A7C6E7B" wp14:editId="762B6121">
            <wp:extent cx="4974746" cy="8451910"/>
            <wp:effectExtent l="0" t="5080" r="0" b="0"/>
            <wp:docPr id="211" name="Immagine 22" descr="Macintosh HD:Users:angela:Desktop:maps for thesis draft + chapters with illustrations:GENERAL CRETE MAPS:map larnax typologies distribution after colour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gela:Desktop:maps for thesis draft + chapters with illustrations:GENERAL CRETE MAPS:map larnax typologies distribution after colour .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rot="5400000">
                      <a:off x="0" y="0"/>
                      <a:ext cx="4985401" cy="8470013"/>
                    </a:xfrm>
                    <a:prstGeom prst="rect">
                      <a:avLst/>
                    </a:prstGeom>
                    <a:noFill/>
                    <a:ln>
                      <a:noFill/>
                    </a:ln>
                  </pic:spPr>
                </pic:pic>
              </a:graphicData>
            </a:graphic>
          </wp:inline>
        </w:drawing>
      </w:r>
    </w:p>
    <w:p w14:paraId="39E02043" w14:textId="1FFEFB4A" w:rsidR="00D726B2" w:rsidRDefault="005F4C6D" w:rsidP="00E858EF">
      <w:pPr>
        <w:pStyle w:val="Didascalia"/>
        <w:suppressAutoHyphens/>
        <w:spacing w:after="0"/>
        <w:sectPr w:rsidR="00D726B2" w:rsidSect="00F71C84">
          <w:pgSz w:w="16840" w:h="11900" w:orient="landscape"/>
          <w:pgMar w:top="2268" w:right="1418" w:bottom="1134" w:left="1134" w:header="709" w:footer="709" w:gutter="0"/>
          <w:cols w:space="708"/>
          <w:docGrid w:linePitch="360"/>
        </w:sectPr>
      </w:pPr>
      <w:bookmarkStart w:id="1208" w:name="_Toc520212489"/>
      <w:r>
        <w:t>Figure 5-91</w:t>
      </w:r>
      <w:r w:rsidR="00D726B2">
        <w:t xml:space="preserve"> Map</w:t>
      </w:r>
      <w:r w:rsidR="00922929">
        <w:t>:</w:t>
      </w:r>
      <w:r w:rsidR="00D726B2">
        <w:t xml:space="preserve"> Distribution of types of larnakes through</w:t>
      </w:r>
      <w:r w:rsidR="005E400B">
        <w:t>out</w:t>
      </w:r>
      <w:r w:rsidR="00D726B2">
        <w:t xml:space="preserve"> Crete</w:t>
      </w:r>
      <w:bookmarkEnd w:id="1208"/>
    </w:p>
    <w:p w14:paraId="1B147112" w14:textId="77777777" w:rsidR="005B0105" w:rsidRDefault="005B0105">
      <w:pPr>
        <w:widowControl/>
        <w:spacing w:line="240" w:lineRule="auto"/>
        <w:contextualSpacing w:val="0"/>
        <w:jc w:val="left"/>
        <w:rPr>
          <w:rFonts w:eastAsiaTheme="majorEastAsia"/>
          <w:b/>
          <w:bCs/>
          <w:kern w:val="28"/>
          <w:sz w:val="32"/>
          <w:szCs w:val="28"/>
          <w:highlight w:val="lightGray"/>
        </w:rPr>
      </w:pPr>
      <w:bookmarkStart w:id="1209" w:name="_Toc393044329"/>
      <w:bookmarkStart w:id="1210" w:name="_Toc519894709"/>
      <w:r>
        <w:rPr>
          <w:sz w:val="32"/>
          <w:highlight w:val="lightGray"/>
        </w:rPr>
        <w:br w:type="page"/>
      </w:r>
    </w:p>
    <w:p w14:paraId="122ABFC8" w14:textId="3CE0E741" w:rsidR="00832319" w:rsidRPr="005B0105" w:rsidRDefault="00832319" w:rsidP="005B0105">
      <w:pPr>
        <w:pStyle w:val="Titolo1"/>
      </w:pPr>
      <w:r w:rsidRPr="005B0105">
        <w:t>DISCUSSION: USE OF TOMBS WITH LARNAKES</w:t>
      </w:r>
      <w:bookmarkEnd w:id="1209"/>
      <w:bookmarkEnd w:id="1210"/>
      <w:r w:rsidRPr="005B0105">
        <w:t xml:space="preserve"> </w:t>
      </w:r>
    </w:p>
    <w:p w14:paraId="0D0C0D56" w14:textId="77777777" w:rsidR="00832319" w:rsidRPr="00F066FC" w:rsidRDefault="00832319" w:rsidP="00E858EF">
      <w:pPr>
        <w:pStyle w:val="Titolo2"/>
        <w:keepNext w:val="0"/>
        <w:keepLines w:val="0"/>
        <w:suppressAutoHyphens/>
      </w:pPr>
      <w:bookmarkStart w:id="1211" w:name="_Toc393044330"/>
      <w:bookmarkStart w:id="1212" w:name="_Toc519894710"/>
      <w:r w:rsidRPr="00F066FC">
        <w:t>Introduction</w:t>
      </w:r>
      <w:bookmarkEnd w:id="1211"/>
      <w:bookmarkEnd w:id="1212"/>
    </w:p>
    <w:p w14:paraId="22686021" w14:textId="77777777" w:rsidR="00832319" w:rsidRPr="005E493D" w:rsidRDefault="00832319" w:rsidP="00E858EF">
      <w:pPr>
        <w:suppressAutoHyphens/>
      </w:pPr>
      <w:r w:rsidRPr="005E493D">
        <w:t xml:space="preserve">Summarising the results from the </w:t>
      </w:r>
      <w:r>
        <w:t>different aspects of</w:t>
      </w:r>
      <w:r w:rsidRPr="005E493D">
        <w:t xml:space="preserve"> burials with larnakes (i.e. tomb architecture, burial methods and skeletal remains, grave goods assemblage, larnax morphology</w:t>
      </w:r>
      <w:r>
        <w:t xml:space="preserve"> and iconography) allows us to examine</w:t>
      </w:r>
      <w:r w:rsidRPr="005E493D">
        <w:t xml:space="preserve"> how the differences present in each of the burial aspects examined </w:t>
      </w:r>
      <w:r>
        <w:t>are related contextually. This examination</w:t>
      </w:r>
      <w:r w:rsidRPr="005E493D">
        <w:t xml:space="preserve"> helps to clarify whether the patterns that characterise burial contexts with larnakes can be considered homogenous, and from which perspective (chronological or geographical). Furthermore, the discussions helps us understand whether </w:t>
      </w:r>
      <w:r>
        <w:t>each region is different or whether any single region stands out as distinct</w:t>
      </w:r>
      <w:r w:rsidRPr="005E493D">
        <w:t>; whether they are homogenous or differentiate themselves from the contexts of other interments (burial with larnakes vs other interments); and whether there are differences/variations in larnax use within the same region, with the possibility to isolate in each region tombs that could possibly represent status groups beyond the regional centres (Preston 2004: 340).</w:t>
      </w:r>
    </w:p>
    <w:p w14:paraId="193C9B32" w14:textId="77777777" w:rsidR="00832319" w:rsidRPr="005E493D" w:rsidRDefault="00832319" w:rsidP="00E858EF">
      <w:pPr>
        <w:suppressAutoHyphens/>
      </w:pPr>
      <w:r w:rsidRPr="005E493D">
        <w:tab/>
        <w:t xml:space="preserve">To </w:t>
      </w:r>
      <w:r>
        <w:t xml:space="preserve">examine </w:t>
      </w:r>
      <w:r w:rsidRPr="005E493D">
        <w:t xml:space="preserve">these aspects, it is useful to describe what </w:t>
      </w:r>
      <w:r>
        <w:t xml:space="preserve">we have determined </w:t>
      </w:r>
      <w:r w:rsidRPr="005E493D">
        <w:t>in each region considering the following aspects:</w:t>
      </w:r>
    </w:p>
    <w:p w14:paraId="451A9266" w14:textId="77777777" w:rsidR="00832319" w:rsidRPr="005E493D" w:rsidRDefault="00832319" w:rsidP="00370745">
      <w:pPr>
        <w:pStyle w:val="Paragrafoelenco"/>
        <w:numPr>
          <w:ilvl w:val="0"/>
          <w:numId w:val="119"/>
        </w:numPr>
        <w:suppressAutoHyphens/>
      </w:pPr>
      <w:r w:rsidRPr="005E493D">
        <w:t>Where and when larnakes were adopted</w:t>
      </w:r>
    </w:p>
    <w:p w14:paraId="276F269A" w14:textId="77777777" w:rsidR="00832319" w:rsidRPr="005E493D" w:rsidRDefault="00832319" w:rsidP="00370745">
      <w:pPr>
        <w:pStyle w:val="Paragrafoelenco"/>
        <w:numPr>
          <w:ilvl w:val="0"/>
          <w:numId w:val="119"/>
        </w:numPr>
        <w:suppressAutoHyphens/>
      </w:pPr>
      <w:r w:rsidRPr="005E493D">
        <w:t>The type of larnax and whether they are decorated, and whether it is possible to identify a standardised pattern in its morphology and decoration</w:t>
      </w:r>
    </w:p>
    <w:p w14:paraId="6E28A9B9" w14:textId="77777777" w:rsidR="00832319" w:rsidRPr="005E493D" w:rsidRDefault="00832319" w:rsidP="00370745">
      <w:pPr>
        <w:pStyle w:val="Paragrafoelenco"/>
        <w:numPr>
          <w:ilvl w:val="0"/>
          <w:numId w:val="119"/>
        </w:numPr>
        <w:suppressAutoHyphens/>
      </w:pPr>
      <w:r w:rsidRPr="005E493D">
        <w:t>Association with types of tomb and how monumental they are</w:t>
      </w:r>
    </w:p>
    <w:p w14:paraId="29041EDC" w14:textId="77777777" w:rsidR="00832319" w:rsidRPr="005E493D" w:rsidRDefault="00832319" w:rsidP="00370745">
      <w:pPr>
        <w:pStyle w:val="Paragrafoelenco"/>
        <w:numPr>
          <w:ilvl w:val="0"/>
          <w:numId w:val="119"/>
        </w:numPr>
        <w:suppressAutoHyphens/>
      </w:pPr>
      <w:r w:rsidRPr="005E493D">
        <w:t>If larnakes are associated with other burial methods</w:t>
      </w:r>
    </w:p>
    <w:p w14:paraId="1E20B31E" w14:textId="77777777" w:rsidR="00832319" w:rsidRPr="00345E66" w:rsidRDefault="00832319" w:rsidP="00370745">
      <w:pPr>
        <w:pStyle w:val="Paragrafoelenco"/>
        <w:numPr>
          <w:ilvl w:val="0"/>
          <w:numId w:val="119"/>
        </w:numPr>
        <w:suppressAutoHyphens/>
      </w:pPr>
      <w:r w:rsidRPr="005E493D">
        <w:t xml:space="preserve">How larnakes are used in terms of burial depositions (individual/multiple burials; presence/absence of skeletal manipulation practices; </w:t>
      </w:r>
      <w:r w:rsidRPr="00345E66">
        <w:t>gender/age association)</w:t>
      </w:r>
    </w:p>
    <w:p w14:paraId="67844D87" w14:textId="77777777" w:rsidR="00832319" w:rsidRPr="005E493D" w:rsidRDefault="00832319" w:rsidP="00E858EF">
      <w:pPr>
        <w:suppressAutoHyphens/>
      </w:pPr>
      <w:r w:rsidRPr="005E493D">
        <w:tab/>
        <w:t>Also, what is the function of the grave goods associated with larnakes (this involves a functional anal</w:t>
      </w:r>
      <w:r>
        <w:t>ysis of grave goods assemblages:</w:t>
      </w:r>
      <w:r w:rsidRPr="005E493D">
        <w:t xml:space="preserve"> have they a strong individual meaning or were they used by a small group to construct different identities expressed also through other contextual burial elements)? Answering this question provides a perspective on the following:</w:t>
      </w:r>
    </w:p>
    <w:p w14:paraId="599F26C2" w14:textId="77777777" w:rsidR="00832319" w:rsidRPr="005E493D" w:rsidRDefault="00832319" w:rsidP="00370745">
      <w:pPr>
        <w:pStyle w:val="Paragrafoelenco"/>
        <w:numPr>
          <w:ilvl w:val="0"/>
          <w:numId w:val="123"/>
        </w:numPr>
        <w:suppressAutoHyphens/>
      </w:pPr>
      <w:r w:rsidRPr="005E493D">
        <w:t>How larnakes functioned within burial contexts (</w:t>
      </w:r>
      <w:r>
        <w:t xml:space="preserve">what </w:t>
      </w:r>
      <w:r w:rsidRPr="005E493D">
        <w:t xml:space="preserve">actions </w:t>
      </w:r>
      <w:r>
        <w:t xml:space="preserve">are </w:t>
      </w:r>
      <w:r w:rsidRPr="005E493D">
        <w:t xml:space="preserve">connected to the larnax that </w:t>
      </w:r>
      <w:r>
        <w:t xml:space="preserve">can be </w:t>
      </w:r>
      <w:r w:rsidRPr="005E493D">
        <w:t>detect</w:t>
      </w:r>
      <w:r>
        <w:t>ed</w:t>
      </w:r>
      <w:r w:rsidRPr="005E493D">
        <w:t xml:space="preserve"> through contextual analysis)</w:t>
      </w:r>
    </w:p>
    <w:p w14:paraId="499EBDD6" w14:textId="77777777" w:rsidR="00832319" w:rsidRPr="005E493D" w:rsidRDefault="00832319" w:rsidP="00370745">
      <w:pPr>
        <w:pStyle w:val="Paragrafoelenco"/>
        <w:numPr>
          <w:ilvl w:val="0"/>
          <w:numId w:val="123"/>
        </w:numPr>
        <w:suppressAutoHyphens/>
      </w:pPr>
      <w:r w:rsidRPr="005E493D">
        <w:t>Identifying a uniform pattern or differences regarding choices expressed through larnax use (i.e. the expression of different identities through the adoption of different contextual patterns in larnax burials)</w:t>
      </w:r>
    </w:p>
    <w:p w14:paraId="69E5A104" w14:textId="77777777" w:rsidR="00832319" w:rsidRPr="005E493D" w:rsidRDefault="00832319" w:rsidP="00370745">
      <w:pPr>
        <w:pStyle w:val="Paragrafoelenco"/>
        <w:numPr>
          <w:ilvl w:val="0"/>
          <w:numId w:val="123"/>
        </w:numPr>
        <w:suppressAutoHyphens/>
      </w:pPr>
      <w:r w:rsidRPr="005E493D">
        <w:t>The circumstances that led to larnax adoption in LM III burials</w:t>
      </w:r>
    </w:p>
    <w:p w14:paraId="295F1456" w14:textId="77CBE5D6" w:rsidR="00832319" w:rsidRPr="00F066FC" w:rsidRDefault="00832319" w:rsidP="00E858EF">
      <w:pPr>
        <w:pStyle w:val="Titolo2"/>
        <w:keepNext w:val="0"/>
        <w:keepLines w:val="0"/>
        <w:suppressAutoHyphens/>
      </w:pPr>
      <w:bookmarkStart w:id="1213" w:name="_Toc519894711"/>
      <w:r>
        <w:t>Far-West</w:t>
      </w:r>
      <w:bookmarkEnd w:id="1213"/>
      <w:r w:rsidRPr="00F066FC">
        <w:t xml:space="preserve"> </w:t>
      </w:r>
      <w:r w:rsidR="00AD1B4B">
        <w:t>area</w:t>
      </w:r>
    </w:p>
    <w:p w14:paraId="3F9BE0B6" w14:textId="77777777" w:rsidR="00832319" w:rsidRPr="00F066FC" w:rsidRDefault="00832319" w:rsidP="00E858EF">
      <w:pPr>
        <w:pStyle w:val="Titolo3"/>
        <w:keepNext w:val="0"/>
        <w:keepLines w:val="0"/>
        <w:suppressAutoHyphens/>
      </w:pPr>
      <w:bookmarkStart w:id="1214" w:name="_Toc393044332"/>
      <w:bookmarkStart w:id="1215" w:name="_Toc519894712"/>
      <w:r w:rsidRPr="00F066FC">
        <w:t>Analysis</w:t>
      </w:r>
      <w:bookmarkEnd w:id="1214"/>
      <w:bookmarkEnd w:id="1215"/>
    </w:p>
    <w:p w14:paraId="5A088C2B" w14:textId="77777777" w:rsidR="00832319" w:rsidRPr="005E493D" w:rsidRDefault="00832319" w:rsidP="00E858EF">
      <w:pPr>
        <w:pStyle w:val="Paragrafoelenco"/>
        <w:suppressAutoHyphens/>
        <w:ind w:left="0"/>
        <w:rPr>
          <w:color w:val="000000"/>
        </w:rPr>
      </w:pPr>
      <w:r w:rsidRPr="005E493D">
        <w:t xml:space="preserve">In the </w:t>
      </w:r>
      <w:r>
        <w:t>Far-West</w:t>
      </w:r>
      <w:r w:rsidRPr="005E493D">
        <w:t xml:space="preserve"> region, the adoption of clay larnakes in tombs for burial purposes is re</w:t>
      </w:r>
      <w:r>
        <w:t>covered</w:t>
      </w:r>
      <w:r w:rsidRPr="005E493D">
        <w:t xml:space="preserve"> only in one tomb, at Koumpes Chania, dated to the LM IIIA-B. This tomb is part of the cemetery of Chania, where more than 150 tombs were found belonging to the Late Minoan period (Andreadaki-Vlazaki </w:t>
      </w:r>
      <w:r>
        <w:t>2011: 112). The type of larnax used</w:t>
      </w:r>
      <w:r w:rsidRPr="005E493D">
        <w:t xml:space="preserve"> is a bathtub, with four handles and decorated with an o</w:t>
      </w:r>
      <w:r>
        <w:t>ctopus/cuttlefish and wavy line</w:t>
      </w:r>
      <w:r w:rsidRPr="005E493D">
        <w:t xml:space="preserve"> </w:t>
      </w:r>
      <w:r>
        <w:t>motif</w:t>
      </w:r>
      <w:r w:rsidRPr="005E493D">
        <w:t>s. The decoration is visible only on the outside. This larnax was found in a chamber tomb with a dromos</w:t>
      </w:r>
      <w:r>
        <w:rPr>
          <w:color w:val="000000"/>
        </w:rPr>
        <w:t xml:space="preserve"> and a</w:t>
      </w:r>
      <w:r w:rsidRPr="005E493D">
        <w:rPr>
          <w:color w:val="000000"/>
        </w:rPr>
        <w:t>ccording to the excavation report</w:t>
      </w:r>
      <w:r>
        <w:rPr>
          <w:color w:val="000000"/>
        </w:rPr>
        <w:t xml:space="preserve"> it represents the last phase of use of the tomb (LM IIIB).</w:t>
      </w:r>
    </w:p>
    <w:p w14:paraId="14F63699" w14:textId="77777777" w:rsidR="00832319" w:rsidRPr="005E493D" w:rsidRDefault="00832319" w:rsidP="00E858EF">
      <w:pPr>
        <w:pStyle w:val="Paragrafoelenco"/>
        <w:suppressAutoHyphens/>
        <w:ind w:left="0"/>
        <w:rPr>
          <w:color w:val="000000"/>
        </w:rPr>
      </w:pPr>
      <w:r w:rsidRPr="005E493D">
        <w:rPr>
          <w:color w:val="000000"/>
        </w:rPr>
        <w:tab/>
        <w:t>Generally, the choice of burial in</w:t>
      </w:r>
      <w:r>
        <w:rPr>
          <w:color w:val="000000"/>
        </w:rPr>
        <w:t xml:space="preserve"> clay</w:t>
      </w:r>
      <w:r w:rsidRPr="005E493D">
        <w:rPr>
          <w:color w:val="000000"/>
        </w:rPr>
        <w:t xml:space="preserve"> containers in the </w:t>
      </w:r>
      <w:r>
        <w:rPr>
          <w:color w:val="000000"/>
        </w:rPr>
        <w:t>Far-West</w:t>
      </w:r>
      <w:r w:rsidRPr="005E493D">
        <w:rPr>
          <w:color w:val="000000"/>
        </w:rPr>
        <w:t xml:space="preserve"> region is considered an exception and seems to have been restricted to a few individuals who preferred them to the more common floor, pit or bench deposition. The </w:t>
      </w:r>
      <w:r>
        <w:rPr>
          <w:color w:val="000000"/>
        </w:rPr>
        <w:t>group that</w:t>
      </w:r>
      <w:r w:rsidRPr="005E493D">
        <w:rPr>
          <w:color w:val="000000"/>
        </w:rPr>
        <w:t xml:space="preserve"> chose to </w:t>
      </w:r>
      <w:r>
        <w:rPr>
          <w:color w:val="000000"/>
        </w:rPr>
        <w:t xml:space="preserve">use </w:t>
      </w:r>
      <w:r w:rsidRPr="005E493D">
        <w:rPr>
          <w:color w:val="000000"/>
        </w:rPr>
        <w:t xml:space="preserve">a bathtub </w:t>
      </w:r>
      <w:r>
        <w:rPr>
          <w:color w:val="000000"/>
        </w:rPr>
        <w:t>larnax as burial receptacle chose also to reuse</w:t>
      </w:r>
      <w:r w:rsidRPr="005E493D">
        <w:rPr>
          <w:color w:val="000000"/>
        </w:rPr>
        <w:t xml:space="preserve"> an existing small chamber tomb already occupied by a floor burial. Unfortunately, the lack of information about the skeleton associated with the larnax and the lack of grave goods do not allow any hypothesis regarding the identification of the two individuals (i.e. gender or display of social status). Consequently, the discussion regarding this larnax burial is only based on larnax shape and decoration, which share some elements (shape: bathtub; decoration: octopi/cuttlefish) with larnakes popular in the east region (the </w:t>
      </w:r>
      <w:r>
        <w:rPr>
          <w:color w:val="000000"/>
        </w:rPr>
        <w:t>Far-East</w:t>
      </w:r>
      <w:r w:rsidRPr="005E493D">
        <w:rPr>
          <w:color w:val="000000"/>
        </w:rPr>
        <w:t xml:space="preserve"> in particular).</w:t>
      </w:r>
    </w:p>
    <w:p w14:paraId="4499516A" w14:textId="77777777" w:rsidR="00832319" w:rsidRPr="005E493D" w:rsidRDefault="00832319" w:rsidP="00E858EF">
      <w:pPr>
        <w:pStyle w:val="Paragrafoelenco"/>
        <w:suppressAutoHyphens/>
        <w:ind w:left="0"/>
        <w:rPr>
          <w:color w:val="000000"/>
        </w:rPr>
      </w:pPr>
      <w:r w:rsidRPr="005E493D">
        <w:rPr>
          <w:color w:val="000000"/>
        </w:rPr>
        <w:tab/>
        <w:t>The reuse of a pre-existing tomb and the association with a pre-existing floor burial allows for the hypothesis that the two individuals, the one buried on the floor and the one in the larnax, had something in common in order to share the same tomb (belong</w:t>
      </w:r>
      <w:r>
        <w:rPr>
          <w:color w:val="000000"/>
        </w:rPr>
        <w:t>ing</w:t>
      </w:r>
      <w:r w:rsidRPr="005E493D">
        <w:rPr>
          <w:color w:val="000000"/>
        </w:rPr>
        <w:t xml:space="preserve"> to the same family group?). Although the reason</w:t>
      </w:r>
      <w:r>
        <w:rPr>
          <w:color w:val="000000"/>
        </w:rPr>
        <w:t xml:space="preserve"> why</w:t>
      </w:r>
      <w:r w:rsidRPr="005E493D">
        <w:rPr>
          <w:color w:val="000000"/>
        </w:rPr>
        <w:t xml:space="preserve"> this individual</w:t>
      </w:r>
      <w:r>
        <w:rPr>
          <w:color w:val="000000"/>
        </w:rPr>
        <w:t xml:space="preserve"> or his/her family social group</w:t>
      </w:r>
      <w:r w:rsidRPr="005E493D">
        <w:rPr>
          <w:color w:val="000000"/>
        </w:rPr>
        <w:t xml:space="preserve"> chose a deposition method considered extraneous from the burial choice commonly adopted in the </w:t>
      </w:r>
      <w:r>
        <w:rPr>
          <w:color w:val="000000"/>
        </w:rPr>
        <w:t>Far-West</w:t>
      </w:r>
      <w:r w:rsidRPr="005E493D">
        <w:rPr>
          <w:color w:val="000000"/>
        </w:rPr>
        <w:t xml:space="preserve"> region remains unclear. Bathtub larnax depositions are not even used in the neighbouring </w:t>
      </w:r>
      <w:r>
        <w:rPr>
          <w:color w:val="000000"/>
        </w:rPr>
        <w:t>Mid-West</w:t>
      </w:r>
      <w:r w:rsidRPr="005E493D">
        <w:rPr>
          <w:color w:val="000000"/>
        </w:rPr>
        <w:t xml:space="preserve"> regio</w:t>
      </w:r>
      <w:r>
        <w:rPr>
          <w:color w:val="000000"/>
        </w:rPr>
        <w:t xml:space="preserve">n, where all the clay larnakes used </w:t>
      </w:r>
      <w:r w:rsidRPr="005E493D">
        <w:rPr>
          <w:color w:val="000000"/>
        </w:rPr>
        <w:t>are chest-shaped.</w:t>
      </w:r>
    </w:p>
    <w:p w14:paraId="48D53470" w14:textId="77777777" w:rsidR="00832319" w:rsidRDefault="00832319" w:rsidP="00E858EF">
      <w:pPr>
        <w:pStyle w:val="Paragrafoelenco"/>
        <w:suppressAutoHyphens/>
        <w:ind w:left="0"/>
        <w:rPr>
          <w:color w:val="000000"/>
        </w:rPr>
      </w:pPr>
      <w:r w:rsidRPr="005E493D">
        <w:rPr>
          <w:color w:val="000000"/>
        </w:rPr>
        <w:tab/>
        <w:t xml:space="preserve">Larnax use in the </w:t>
      </w:r>
      <w:r>
        <w:rPr>
          <w:color w:val="000000"/>
        </w:rPr>
        <w:t>Far-West</w:t>
      </w:r>
      <w:r w:rsidRPr="005E493D">
        <w:rPr>
          <w:color w:val="000000"/>
        </w:rPr>
        <w:t xml:space="preserve"> is not associated with tomb monumentality nor with a wealthy grave goods assemblage (even if this last factor could be </w:t>
      </w:r>
      <w:r>
        <w:rPr>
          <w:color w:val="000000"/>
        </w:rPr>
        <w:t xml:space="preserve">affected </w:t>
      </w:r>
      <w:r w:rsidRPr="005E493D">
        <w:rPr>
          <w:color w:val="000000"/>
        </w:rPr>
        <w:t xml:space="preserve">by looting activities). This evidence contrasts with the general tendency towards mortuary ostentation observed in </w:t>
      </w:r>
      <w:r>
        <w:rPr>
          <w:color w:val="000000"/>
        </w:rPr>
        <w:t>Far-West</w:t>
      </w:r>
      <w:r w:rsidRPr="005E493D">
        <w:rPr>
          <w:color w:val="000000"/>
        </w:rPr>
        <w:t xml:space="preserve"> burials during the LM IIIB (which should correspond to the phase during which the larnax burial was introduced into the chamber tomb) (Preston 2000: 204; 2004a: 342).</w:t>
      </w:r>
    </w:p>
    <w:p w14:paraId="364979DD" w14:textId="77777777" w:rsidR="00832319" w:rsidRPr="00F066FC" w:rsidRDefault="00832319" w:rsidP="00E858EF">
      <w:pPr>
        <w:pStyle w:val="Titolo3"/>
        <w:keepNext w:val="0"/>
        <w:keepLines w:val="0"/>
        <w:numPr>
          <w:ilvl w:val="0"/>
          <w:numId w:val="0"/>
        </w:numPr>
        <w:suppressAutoHyphens/>
        <w:ind w:left="1224" w:hanging="504"/>
      </w:pPr>
      <w:bookmarkStart w:id="1216" w:name="_Toc393044333"/>
      <w:bookmarkStart w:id="1217" w:name="_Toc519894713"/>
      <w:r w:rsidRPr="00F066FC">
        <w:t>6.2.2 Conclusions</w:t>
      </w:r>
      <w:bookmarkEnd w:id="1216"/>
      <w:bookmarkEnd w:id="1217"/>
    </w:p>
    <w:p w14:paraId="3BD4F092" w14:textId="77777777" w:rsidR="00832319" w:rsidRPr="005E493D" w:rsidRDefault="00832319" w:rsidP="00E858EF">
      <w:pPr>
        <w:pStyle w:val="Paragrafoelenco"/>
        <w:suppressAutoHyphens/>
        <w:ind w:left="0"/>
        <w:rPr>
          <w:color w:val="000000"/>
        </w:rPr>
      </w:pPr>
      <w:r w:rsidRPr="005E493D">
        <w:rPr>
          <w:color w:val="000000"/>
        </w:rPr>
        <w:t xml:space="preserve">The </w:t>
      </w:r>
      <w:r>
        <w:rPr>
          <w:color w:val="000000"/>
        </w:rPr>
        <w:t>Far-West</w:t>
      </w:r>
      <w:r w:rsidRPr="005E493D">
        <w:rPr>
          <w:color w:val="000000"/>
        </w:rPr>
        <w:t xml:space="preserve"> region differs from the rest of the island in terms of larnax adoption. As observed by Laura Preston (2004b: 189-191), the </w:t>
      </w:r>
      <w:r>
        <w:rPr>
          <w:color w:val="000000"/>
        </w:rPr>
        <w:t xml:space="preserve">use </w:t>
      </w:r>
      <w:r w:rsidRPr="005E493D">
        <w:rPr>
          <w:color w:val="000000"/>
        </w:rPr>
        <w:t xml:space="preserve">of a bathtub larnax only in one </w:t>
      </w:r>
      <w:r>
        <w:rPr>
          <w:color w:val="000000"/>
        </w:rPr>
        <w:t xml:space="preserve">surviving </w:t>
      </w:r>
      <w:r w:rsidRPr="005E493D">
        <w:rPr>
          <w:color w:val="000000"/>
        </w:rPr>
        <w:t xml:space="preserve">tomb confirms the knowledge of the existence of larnakes as burial containers in the </w:t>
      </w:r>
      <w:r>
        <w:rPr>
          <w:color w:val="000000"/>
        </w:rPr>
        <w:t>Far-West</w:t>
      </w:r>
      <w:r w:rsidRPr="005E493D">
        <w:rPr>
          <w:color w:val="000000"/>
        </w:rPr>
        <w:t xml:space="preserve"> regio</w:t>
      </w:r>
      <w:r>
        <w:rPr>
          <w:color w:val="000000"/>
        </w:rPr>
        <w:t>n. Consequently, the decision</w:t>
      </w:r>
      <w:r w:rsidRPr="005E493D">
        <w:rPr>
          <w:color w:val="000000"/>
        </w:rPr>
        <w:t xml:space="preserve"> not</w:t>
      </w:r>
      <w:r>
        <w:rPr>
          <w:color w:val="000000"/>
        </w:rPr>
        <w:t xml:space="preserve"> to adopt larnakes </w:t>
      </w:r>
      <w:r w:rsidRPr="005E493D">
        <w:rPr>
          <w:color w:val="000000"/>
        </w:rPr>
        <w:t>or, generally, any other type of burial container indicates a deliberate choice of burial customs that underlines the difference of burial practices compared with the other regions of the island.</w:t>
      </w:r>
    </w:p>
    <w:p w14:paraId="731DF058" w14:textId="77777777" w:rsidR="00832319" w:rsidRPr="005E493D" w:rsidRDefault="00832319" w:rsidP="00E858EF">
      <w:pPr>
        <w:pStyle w:val="Paragrafoelenco"/>
        <w:suppressAutoHyphens/>
        <w:ind w:left="0"/>
        <w:rPr>
          <w:color w:val="000000"/>
        </w:rPr>
      </w:pPr>
      <w:r w:rsidRPr="005E493D">
        <w:rPr>
          <w:color w:val="000000"/>
        </w:rPr>
        <w:tab/>
        <w:t xml:space="preserve">From this perspective, the avoidance of coffin use could be one of the ways in which the </w:t>
      </w:r>
      <w:r>
        <w:rPr>
          <w:color w:val="000000"/>
        </w:rPr>
        <w:t>Far-West</w:t>
      </w:r>
      <w:r w:rsidRPr="005E493D">
        <w:rPr>
          <w:color w:val="000000"/>
        </w:rPr>
        <w:t xml:space="preserve"> region expressed a different regional identity in LM III (along with a regional pottery workshop and the use of an a</w:t>
      </w:r>
      <w:r>
        <w:rPr>
          <w:color w:val="000000"/>
        </w:rPr>
        <w:t>dministrative system based on the Linear B script</w:t>
      </w:r>
      <w:r w:rsidRPr="005E493D">
        <w:rPr>
          <w:color w:val="000000"/>
        </w:rPr>
        <w:t xml:space="preserve">, see Preston 2004a: 342). All these factors could be considered symptoms of a different political situation in the </w:t>
      </w:r>
      <w:r>
        <w:rPr>
          <w:color w:val="000000"/>
        </w:rPr>
        <w:t>Far-West</w:t>
      </w:r>
      <w:r w:rsidRPr="005E493D">
        <w:rPr>
          <w:color w:val="000000"/>
        </w:rPr>
        <w:t xml:space="preserve"> compared with the other Cretan regions, especially during LM IIIB.</w:t>
      </w:r>
    </w:p>
    <w:p w14:paraId="5E9A61F8" w14:textId="77777777" w:rsidR="00832319" w:rsidRPr="005E493D" w:rsidRDefault="00832319" w:rsidP="00E858EF">
      <w:pPr>
        <w:pStyle w:val="Paragrafoelenco"/>
        <w:suppressAutoHyphens/>
        <w:ind w:left="0"/>
        <w:rPr>
          <w:color w:val="000000"/>
        </w:rPr>
      </w:pPr>
      <w:r w:rsidRPr="005E493D">
        <w:rPr>
          <w:color w:val="000000"/>
        </w:rPr>
        <w:tab/>
        <w:t xml:space="preserve">Therefore, to understand more about burial customs in the </w:t>
      </w:r>
      <w:r>
        <w:rPr>
          <w:color w:val="000000"/>
        </w:rPr>
        <w:t>Far-West</w:t>
      </w:r>
      <w:r w:rsidRPr="005E493D">
        <w:rPr>
          <w:color w:val="000000"/>
        </w:rPr>
        <w:t xml:space="preserve"> region, it is worth considering the data from non-receptacle burials (i.e. depositions on the floor, in pits and on benches) to see if it is possible to find any comparisons with other Cretan regions. In fact, if receptacle ‘rejection’ is considered an exclusive </w:t>
      </w:r>
      <w:r>
        <w:rPr>
          <w:color w:val="000000"/>
        </w:rPr>
        <w:t>Far-West</w:t>
      </w:r>
      <w:r w:rsidRPr="005E493D">
        <w:rPr>
          <w:color w:val="000000"/>
        </w:rPr>
        <w:t xml:space="preserve"> phenomenon, the high popularity of the non-receptacle interment</w:t>
      </w:r>
      <w:r>
        <w:rPr>
          <w:color w:val="000000"/>
        </w:rPr>
        <w:t xml:space="preserve"> </w:t>
      </w:r>
      <w:r w:rsidRPr="005E493D">
        <w:rPr>
          <w:color w:val="000000"/>
        </w:rPr>
        <w:t xml:space="preserve">is comparable with other regions. In particular, this is valid for the contiguous </w:t>
      </w:r>
      <w:r>
        <w:rPr>
          <w:color w:val="000000"/>
        </w:rPr>
        <w:t>Mid-West</w:t>
      </w:r>
      <w:r w:rsidRPr="005E493D">
        <w:rPr>
          <w:color w:val="000000"/>
        </w:rPr>
        <w:t xml:space="preserve"> region (although </w:t>
      </w:r>
      <w:r>
        <w:rPr>
          <w:color w:val="000000"/>
        </w:rPr>
        <w:t xml:space="preserve">evidence for </w:t>
      </w:r>
      <w:r w:rsidRPr="005E493D">
        <w:rPr>
          <w:color w:val="000000"/>
        </w:rPr>
        <w:t xml:space="preserve">the preference for non-receptacle burials </w:t>
      </w:r>
      <w:r>
        <w:rPr>
          <w:color w:val="000000"/>
        </w:rPr>
        <w:t xml:space="preserve">is </w:t>
      </w:r>
      <w:r w:rsidRPr="005E493D">
        <w:rPr>
          <w:color w:val="000000"/>
        </w:rPr>
        <w:t>confined to one cemetery, Armenoi) and for the Knossos area (Preston 2000: 227 Fig. 9.4).</w:t>
      </w:r>
    </w:p>
    <w:p w14:paraId="63AD46A0" w14:textId="77777777" w:rsidR="00832319" w:rsidRPr="005E493D" w:rsidRDefault="00832319" w:rsidP="00E858EF">
      <w:pPr>
        <w:pStyle w:val="Paragrafoelenco"/>
        <w:suppressAutoHyphens/>
        <w:ind w:left="0"/>
        <w:rPr>
          <w:color w:val="000000"/>
        </w:rPr>
      </w:pPr>
      <w:r w:rsidRPr="005E493D">
        <w:rPr>
          <w:color w:val="000000"/>
        </w:rPr>
        <w:tab/>
        <w:t xml:space="preserve">In these two regions the presence of non-receptacle burials coexisted in the same cemetery, if not in the same tomb, where receptacle burials (in the case of the analysis conducted in the present study) were used (i.e. </w:t>
      </w:r>
      <w:r>
        <w:rPr>
          <w:color w:val="000000"/>
        </w:rPr>
        <w:t>Mid-West</w:t>
      </w:r>
      <w:r w:rsidRPr="005E493D">
        <w:rPr>
          <w:color w:val="000000"/>
        </w:rPr>
        <w:t xml:space="preserve">: Maroulas and Armenoi; Knossos Zafer Papoura and Mavro Spelio). Within the </w:t>
      </w:r>
      <w:r>
        <w:rPr>
          <w:color w:val="000000"/>
        </w:rPr>
        <w:t>Mid-West</w:t>
      </w:r>
      <w:r w:rsidRPr="005E493D">
        <w:rPr>
          <w:color w:val="000000"/>
        </w:rPr>
        <w:t xml:space="preserve"> and Knossos regions, in a few significant cemeteries, there was a complete avoidance of receptacle use (e.g. </w:t>
      </w:r>
      <w:r>
        <w:rPr>
          <w:color w:val="000000"/>
        </w:rPr>
        <w:t>Mid-West</w:t>
      </w:r>
      <w:r w:rsidRPr="005E493D">
        <w:rPr>
          <w:color w:val="000000"/>
        </w:rPr>
        <w:t>: Phylaki corbel-vaulted tomb; Knossos: Isopata and Kephala, although in use until LM IIIA2</w:t>
      </w:r>
      <w:r>
        <w:rPr>
          <w:color w:val="000000"/>
        </w:rPr>
        <w:t>:</w:t>
      </w:r>
      <w:r w:rsidRPr="005E493D">
        <w:rPr>
          <w:color w:val="000000"/>
        </w:rPr>
        <w:t xml:space="preserve"> Hatzaki 2016: 198 Table 25.1). Therefore, burial customs adopted in </w:t>
      </w:r>
      <w:r>
        <w:rPr>
          <w:color w:val="000000"/>
        </w:rPr>
        <w:t>Far-West</w:t>
      </w:r>
      <w:r w:rsidRPr="005E493D">
        <w:rPr>
          <w:color w:val="000000"/>
        </w:rPr>
        <w:t xml:space="preserve"> Crete, even if they have a comparison elsewhere on the island, are a clear sign of an</w:t>
      </w:r>
      <w:r>
        <w:rPr>
          <w:color w:val="000000"/>
        </w:rPr>
        <w:t xml:space="preserve"> almost homogenous and distinct</w:t>
      </w:r>
      <w:r w:rsidRPr="005E493D">
        <w:rPr>
          <w:color w:val="000000"/>
        </w:rPr>
        <w:t xml:space="preserve"> funerary behaviour when compared with the other Cretan regions.</w:t>
      </w:r>
    </w:p>
    <w:p w14:paraId="097B58AC" w14:textId="3CBA7ED8" w:rsidR="00832319" w:rsidRPr="005E493D" w:rsidRDefault="00832319" w:rsidP="00E858EF">
      <w:pPr>
        <w:pStyle w:val="Paragrafoelenco"/>
        <w:suppressAutoHyphens/>
        <w:ind w:left="0"/>
        <w:rPr>
          <w:color w:val="000000"/>
        </w:rPr>
      </w:pPr>
      <w:r w:rsidRPr="005E493D">
        <w:rPr>
          <w:color w:val="000000"/>
        </w:rPr>
        <w:tab/>
        <w:t xml:space="preserve">Since the present study focuses on burial with larnakes, it is not possible to examine how burial customs were articulated in the </w:t>
      </w:r>
      <w:r>
        <w:rPr>
          <w:color w:val="000000"/>
        </w:rPr>
        <w:t>Far-West</w:t>
      </w:r>
      <w:r w:rsidRPr="005E493D">
        <w:rPr>
          <w:color w:val="000000"/>
        </w:rPr>
        <w:t xml:space="preserve"> region (i.e. an analysis of tomb architecture, skeletal remains and grave goods assemblage of non-larnax burials). However, as stated in Laura Preston’s study (2004: 242), tombs without larnakes in the </w:t>
      </w:r>
      <w:r>
        <w:rPr>
          <w:color w:val="000000"/>
        </w:rPr>
        <w:t>Far-West</w:t>
      </w:r>
      <w:r w:rsidRPr="005E493D">
        <w:rPr>
          <w:color w:val="000000"/>
        </w:rPr>
        <w:t xml:space="preserve"> region display an increase of mortuary ostentation and interest in mortuary display, especially in LM IIIB; whereas, elsewhere on the island, there was a general decline in mortuary display. In this sense, the evidence from the burials is supported by the activity and popularity of Chania workshop </w:t>
      </w:r>
      <w:r>
        <w:rPr>
          <w:color w:val="000000"/>
        </w:rPr>
        <w:t xml:space="preserve">ceramic </w:t>
      </w:r>
      <w:r w:rsidRPr="005E493D">
        <w:rPr>
          <w:color w:val="000000"/>
        </w:rPr>
        <w:t>ware everywhere on the island and the presence of a text-based administrative system using Linear B.</w:t>
      </w:r>
    </w:p>
    <w:p w14:paraId="5C056B37" w14:textId="643D3F92" w:rsidR="00832319" w:rsidRPr="00F066FC" w:rsidRDefault="00832319" w:rsidP="00E858EF">
      <w:pPr>
        <w:pStyle w:val="Titolo2"/>
        <w:keepNext w:val="0"/>
        <w:keepLines w:val="0"/>
        <w:suppressAutoHyphens/>
      </w:pPr>
      <w:bookmarkStart w:id="1218" w:name="_Toc519894714"/>
      <w:r>
        <w:t>Mid-West</w:t>
      </w:r>
      <w:bookmarkEnd w:id="1218"/>
      <w:r w:rsidRPr="00F066FC">
        <w:t xml:space="preserve"> </w:t>
      </w:r>
      <w:r w:rsidR="00AD1B4B">
        <w:t>area</w:t>
      </w:r>
    </w:p>
    <w:p w14:paraId="56EF07AD" w14:textId="77777777" w:rsidR="00832319" w:rsidRPr="00F066FC" w:rsidRDefault="00832319" w:rsidP="00E858EF">
      <w:pPr>
        <w:pStyle w:val="Titolo3"/>
        <w:keepNext w:val="0"/>
        <w:keepLines w:val="0"/>
        <w:suppressAutoHyphens/>
      </w:pPr>
      <w:bookmarkStart w:id="1219" w:name="_Toc515640388"/>
      <w:bookmarkStart w:id="1220" w:name="_Toc515640419"/>
      <w:bookmarkStart w:id="1221" w:name="_Toc515640481"/>
      <w:bookmarkStart w:id="1222" w:name="_Toc393044335"/>
      <w:bookmarkStart w:id="1223" w:name="_Toc519894715"/>
      <w:r w:rsidRPr="00F066FC">
        <w:t>Analysis</w:t>
      </w:r>
      <w:bookmarkEnd w:id="1219"/>
      <w:bookmarkEnd w:id="1220"/>
      <w:bookmarkEnd w:id="1221"/>
      <w:bookmarkEnd w:id="1222"/>
      <w:bookmarkEnd w:id="1223"/>
      <w:r w:rsidRPr="00F066FC">
        <w:t xml:space="preserve"> </w:t>
      </w:r>
    </w:p>
    <w:p w14:paraId="2B066ADD" w14:textId="77777777" w:rsidR="00832319" w:rsidRPr="005E493D" w:rsidRDefault="00832319" w:rsidP="00E858EF">
      <w:pPr>
        <w:pStyle w:val="Paragrafoelenco"/>
        <w:suppressAutoHyphens/>
        <w:ind w:left="0"/>
        <w:rPr>
          <w:color w:val="000000"/>
        </w:rPr>
      </w:pPr>
      <w:r w:rsidRPr="005E493D">
        <w:t xml:space="preserve">Cemeteries in which larnax use is attested in the </w:t>
      </w:r>
      <w:r>
        <w:t>Mid-West</w:t>
      </w:r>
      <w:r w:rsidRPr="005E493D">
        <w:t xml:space="preserve"> area are mainly located in the northern part.</w:t>
      </w:r>
      <w:r w:rsidRPr="005E493D">
        <w:rPr>
          <w:color w:val="000000"/>
        </w:rPr>
        <w:t xml:space="preserve"> From the analysis of the cemeteries with larnakes in the </w:t>
      </w:r>
      <w:r>
        <w:rPr>
          <w:color w:val="000000"/>
        </w:rPr>
        <w:t>Mid-West region emerge</w:t>
      </w:r>
      <w:r w:rsidRPr="005E493D">
        <w:rPr>
          <w:color w:val="000000"/>
        </w:rPr>
        <w:t xml:space="preserve"> two different patterns:</w:t>
      </w:r>
    </w:p>
    <w:p w14:paraId="303E7328" w14:textId="77777777" w:rsidR="00832319" w:rsidRPr="005E493D" w:rsidRDefault="00832319" w:rsidP="00370745">
      <w:pPr>
        <w:pStyle w:val="Paragrafoelenco"/>
        <w:numPr>
          <w:ilvl w:val="0"/>
          <w:numId w:val="124"/>
        </w:numPr>
        <w:suppressAutoHyphens/>
        <w:rPr>
          <w:color w:val="000000"/>
        </w:rPr>
      </w:pPr>
      <w:r w:rsidRPr="005E493D">
        <w:rPr>
          <w:color w:val="000000"/>
        </w:rPr>
        <w:t>Small communities building and using small isolated chamber t</w:t>
      </w:r>
      <w:r>
        <w:rPr>
          <w:color w:val="000000"/>
        </w:rPr>
        <w:t>ombs near</w:t>
      </w:r>
      <w:r w:rsidRPr="005E493D">
        <w:rPr>
          <w:color w:val="000000"/>
        </w:rPr>
        <w:t xml:space="preserve"> by </w:t>
      </w:r>
    </w:p>
    <w:p w14:paraId="66D49B52" w14:textId="77777777" w:rsidR="00832319" w:rsidRPr="005E493D" w:rsidRDefault="00832319" w:rsidP="00370745">
      <w:pPr>
        <w:pStyle w:val="Paragrafoelenco"/>
        <w:numPr>
          <w:ilvl w:val="0"/>
          <w:numId w:val="124"/>
        </w:numPr>
        <w:suppressAutoHyphens/>
        <w:rPr>
          <w:color w:val="000000"/>
        </w:rPr>
      </w:pPr>
      <w:r w:rsidRPr="005E493D">
        <w:rPr>
          <w:color w:val="000000"/>
        </w:rPr>
        <w:t>Large cemeteries built and shared by different communities (e.g. Armenoi, Maroulas)</w:t>
      </w:r>
    </w:p>
    <w:p w14:paraId="0557982C" w14:textId="77777777" w:rsidR="00832319" w:rsidRPr="005E493D" w:rsidRDefault="00832319" w:rsidP="00E858EF">
      <w:pPr>
        <w:pStyle w:val="Paragrafoelenco"/>
        <w:suppressAutoHyphens/>
        <w:ind w:left="0"/>
      </w:pPr>
      <w:r w:rsidRPr="005E493D">
        <w:t xml:space="preserve">Larnakes began to appear in burial contexts from LM IIIA2 (five tombs distributed between the cemeteries of Choumeri, Dramia, Pankalochori, Pigi and Stravromenos), with </w:t>
      </w:r>
      <w:r>
        <w:t xml:space="preserve">a </w:t>
      </w:r>
      <w:r w:rsidRPr="005E493D">
        <w:t>peak of use dated to LM IIIA2-B and a few coffins found in tombs still</w:t>
      </w:r>
      <w:r>
        <w:t xml:space="preserve"> in</w:t>
      </w:r>
      <w:r w:rsidRPr="005E493D">
        <w:t xml:space="preserve"> use in LM IIIB2 in the cemeteries at Armenoi, Maroulas and Pigi.</w:t>
      </w:r>
    </w:p>
    <w:p w14:paraId="0C757B5F" w14:textId="77777777" w:rsidR="00832319" w:rsidRPr="005E493D" w:rsidRDefault="00832319" w:rsidP="00E858EF">
      <w:pPr>
        <w:pStyle w:val="Paragrafoelenco"/>
        <w:suppressAutoHyphens/>
        <w:ind w:left="0"/>
      </w:pPr>
      <w:r w:rsidRPr="005E493D">
        <w:tab/>
        <w:t xml:space="preserve">Although larnakes are generally adopted in the vast majority of cemeteries in the </w:t>
      </w:r>
      <w:r>
        <w:t>Mid-West area, based on</w:t>
      </w:r>
      <w:r w:rsidRPr="005E493D">
        <w:t xml:space="preserve"> their occurrence in tombs, they do not represent the most popular interment type for the region. However, this result is biased by the data from Armenoi cemetery, the largest cemetery</w:t>
      </w:r>
      <w:r>
        <w:t xml:space="preserve"> excavated</w:t>
      </w:r>
      <w:r w:rsidRPr="005E493D">
        <w:t xml:space="preserve"> in the region (and on the island so far), in terms of numbers of tombs. At Armenoi, floor and pit burials are preferred to the chest-shaped larnakes that were adopted only in a small percentage of tombs. Therefore, larnakes are the most popular interment type everywhere in the </w:t>
      </w:r>
      <w:r>
        <w:t>Mid-West, except in</w:t>
      </w:r>
      <w:r w:rsidRPr="005E493D">
        <w:t xml:space="preserve"> the Armenoi cemetery.</w:t>
      </w:r>
    </w:p>
    <w:p w14:paraId="120AA582" w14:textId="77777777" w:rsidR="00832319" w:rsidRPr="005E493D" w:rsidRDefault="00832319" w:rsidP="00E858EF">
      <w:pPr>
        <w:pStyle w:val="Paragrafoelenco"/>
        <w:suppressAutoHyphens/>
        <w:ind w:left="0"/>
        <w:rPr>
          <w:color w:val="000000"/>
        </w:rPr>
      </w:pPr>
      <w:r w:rsidRPr="005E493D">
        <w:tab/>
        <w:t xml:space="preserve">Of the two typologies of larnax in use in Crete during LM III, only chest-shaped </w:t>
      </w:r>
      <w:r>
        <w:t xml:space="preserve">examples </w:t>
      </w:r>
      <w:r w:rsidRPr="005E493D">
        <w:t xml:space="preserve">seem to have been adopted in the </w:t>
      </w:r>
      <w:r>
        <w:t>Mid-West</w:t>
      </w:r>
      <w:r w:rsidRPr="005E493D">
        <w:t xml:space="preserve"> region. </w:t>
      </w:r>
      <w:r w:rsidRPr="005E493D">
        <w:rPr>
          <w:color w:val="000000"/>
        </w:rPr>
        <w:t xml:space="preserve">The standard larnax is a decorated chest-shaped with gabled lid and four feet, holes in the body and raised panels (the mean dimension of a ‘standard larnax’ in the </w:t>
      </w:r>
      <w:r>
        <w:rPr>
          <w:color w:val="000000"/>
        </w:rPr>
        <w:t>Mid-West</w:t>
      </w:r>
      <w:r w:rsidRPr="005E493D">
        <w:rPr>
          <w:color w:val="000000"/>
        </w:rPr>
        <w:t xml:space="preserve"> is as follows: length 107cm; height 91cm; width 43</w:t>
      </w:r>
      <w:r>
        <w:rPr>
          <w:color w:val="000000"/>
        </w:rPr>
        <w:t xml:space="preserve"> </w:t>
      </w:r>
      <w:r w:rsidRPr="005E493D">
        <w:rPr>
          <w:color w:val="000000"/>
        </w:rPr>
        <w:t>cm).</w:t>
      </w:r>
    </w:p>
    <w:p w14:paraId="3D7C3655" w14:textId="77777777" w:rsidR="00832319" w:rsidRPr="005E493D" w:rsidRDefault="00832319" w:rsidP="00E858EF">
      <w:pPr>
        <w:pStyle w:val="Paragrafoelenco"/>
        <w:suppressAutoHyphens/>
        <w:ind w:left="0"/>
        <w:rPr>
          <w:color w:val="000000"/>
        </w:rPr>
      </w:pPr>
      <w:r w:rsidRPr="005E493D">
        <w:rPr>
          <w:color w:val="000000"/>
        </w:rPr>
        <w:tab/>
        <w:t>The majority of larnakes are decorated</w:t>
      </w:r>
      <w:r>
        <w:rPr>
          <w:color w:val="000000"/>
        </w:rPr>
        <w:t xml:space="preserve"> (67%)</w:t>
      </w:r>
      <w:r w:rsidRPr="005E493D">
        <w:rPr>
          <w:color w:val="000000"/>
        </w:rPr>
        <w:t xml:space="preserve"> with a high variety of </w:t>
      </w:r>
      <w:r>
        <w:rPr>
          <w:color w:val="000000"/>
        </w:rPr>
        <w:t>motif</w:t>
      </w:r>
      <w:r w:rsidRPr="005E493D">
        <w:rPr>
          <w:color w:val="000000"/>
        </w:rPr>
        <w:t>s. The occurrence of representational scenes containing human figures cannot be considered an isolated pattern (they occur in five larnakes distributed among the cemeteries of Armenoi, Maroulas and Pigi). Three larnakes have a polychrome decoration (they represent</w:t>
      </w:r>
      <w:r>
        <w:rPr>
          <w:color w:val="000000"/>
        </w:rPr>
        <w:t xml:space="preserve"> the only sample of larnax with polychrome decoration found so far in the entire region).</w:t>
      </w:r>
    </w:p>
    <w:p w14:paraId="613D2701" w14:textId="77777777" w:rsidR="00832319" w:rsidRPr="005E493D" w:rsidRDefault="00832319" w:rsidP="00E858EF">
      <w:pPr>
        <w:pStyle w:val="Paragrafoelenco"/>
        <w:suppressAutoHyphens/>
        <w:ind w:left="0"/>
        <w:rPr>
          <w:color w:val="000000"/>
        </w:rPr>
      </w:pPr>
      <w:r w:rsidRPr="005E493D">
        <w:rPr>
          <w:color w:val="000000"/>
        </w:rPr>
        <w:tab/>
        <w:t xml:space="preserve">Based on this evidence, the existence of one or more workshops responsible for larnax production in the </w:t>
      </w:r>
      <w:r>
        <w:rPr>
          <w:color w:val="000000"/>
        </w:rPr>
        <w:t>Mid-West</w:t>
      </w:r>
      <w:r w:rsidRPr="005E493D">
        <w:rPr>
          <w:color w:val="000000"/>
        </w:rPr>
        <w:t xml:space="preserve"> area is highly possible, as already proposed by scholars (Kanta 1972; Kanta 1980; Merousis 2011) and confirmed by this analysis (Chapter 5). This hypothesis is suggested, on the one hand, based on the results of the analysis of </w:t>
      </w:r>
      <w:r>
        <w:rPr>
          <w:color w:val="000000"/>
        </w:rPr>
        <w:t>motif</w:t>
      </w:r>
      <w:r w:rsidRPr="005E493D">
        <w:rPr>
          <w:color w:val="000000"/>
        </w:rPr>
        <w:t xml:space="preserve"> occurrences, which are almost all ascribable to the pottery repertoire; and, on the other hand, by the evidence from a tomb in which a larnax and a krater were decorated with the</w:t>
      </w:r>
      <w:r>
        <w:rPr>
          <w:color w:val="000000"/>
        </w:rPr>
        <w:t xml:space="preserve"> same pattern (Maroulas Tomb 7). The majority of l</w:t>
      </w:r>
      <w:r w:rsidRPr="005E493D">
        <w:rPr>
          <w:color w:val="000000"/>
        </w:rPr>
        <w:t>arnakes could have possibly been produced in the same workshops responsible for pottery production.</w:t>
      </w:r>
    </w:p>
    <w:p w14:paraId="020E4030" w14:textId="77777777" w:rsidR="00832319" w:rsidRPr="005E493D" w:rsidRDefault="00832319" w:rsidP="00E858EF">
      <w:pPr>
        <w:pStyle w:val="Paragrafoelenco"/>
        <w:suppressAutoHyphens/>
        <w:ind w:left="0"/>
        <w:rPr>
          <w:color w:val="000000"/>
        </w:rPr>
      </w:pPr>
      <w:r w:rsidRPr="005E493D">
        <w:rPr>
          <w:color w:val="000000"/>
        </w:rPr>
        <w:tab/>
        <w:t>The occurrence of representational scenes and of polychrome decoration on some coffins suggests the existence of a high degree of</w:t>
      </w:r>
      <w:r>
        <w:rPr>
          <w:color w:val="000000"/>
        </w:rPr>
        <w:t xml:space="preserve"> local</w:t>
      </w:r>
      <w:r w:rsidRPr="005E493D">
        <w:rPr>
          <w:color w:val="000000"/>
        </w:rPr>
        <w:t xml:space="preserve"> specialisation in larnax production in the </w:t>
      </w:r>
      <w:r>
        <w:rPr>
          <w:color w:val="000000"/>
        </w:rPr>
        <w:t>Mid-West</w:t>
      </w:r>
      <w:r w:rsidRPr="005E493D">
        <w:rPr>
          <w:color w:val="000000"/>
        </w:rPr>
        <w:t xml:space="preserve"> region, involving specific requests. This is particularly true for</w:t>
      </w:r>
      <w:r>
        <w:rPr>
          <w:color w:val="000000"/>
        </w:rPr>
        <w:t xml:space="preserve"> the</w:t>
      </w:r>
      <w:r w:rsidRPr="005E493D">
        <w:rPr>
          <w:color w:val="000000"/>
        </w:rPr>
        <w:t xml:space="preserve"> Armenoi cemetery, which has a high concentration of larnakes decorated with </w:t>
      </w:r>
      <w:r w:rsidRPr="00A47AA6">
        <w:rPr>
          <w:color w:val="000000"/>
        </w:rPr>
        <w:t>representational scenes</w:t>
      </w:r>
      <w:r w:rsidRPr="005E493D">
        <w:rPr>
          <w:color w:val="000000"/>
        </w:rPr>
        <w:t xml:space="preserve"> and two polychrome larnakes. </w:t>
      </w:r>
    </w:p>
    <w:p w14:paraId="77C11759" w14:textId="77777777" w:rsidR="00832319" w:rsidRPr="005E493D" w:rsidRDefault="00832319" w:rsidP="00E858EF">
      <w:pPr>
        <w:pStyle w:val="Paragrafoelenco"/>
        <w:suppressAutoHyphens/>
        <w:ind w:left="0"/>
        <w:rPr>
          <w:color w:val="000000"/>
        </w:rPr>
      </w:pPr>
      <w:r w:rsidRPr="005E493D">
        <w:rPr>
          <w:color w:val="000000"/>
        </w:rPr>
        <w:tab/>
        <w:t xml:space="preserve">The data from this cemetery regarding larnax iconography reveal a probable higher degree of ostentation expressed through larnax decoration than in other areas, which corresponds with distinctiveness of the scenes represented and the occurrence of coffins with polychrome decoration, features that are rare in the region and, in </w:t>
      </w:r>
      <w:r>
        <w:rPr>
          <w:color w:val="000000"/>
        </w:rPr>
        <w:t>general, over the entire island (in fact larnakes are not in every LM III tomb).</w:t>
      </w:r>
    </w:p>
    <w:p w14:paraId="45A9AE17" w14:textId="77777777" w:rsidR="00832319" w:rsidRPr="005E493D" w:rsidRDefault="00832319" w:rsidP="00E858EF">
      <w:pPr>
        <w:pStyle w:val="Paragrafoelenco"/>
        <w:suppressAutoHyphens/>
        <w:ind w:left="0"/>
      </w:pPr>
      <w:r w:rsidRPr="005E493D">
        <w:tab/>
        <w:t xml:space="preserve">The combination of a chamber tomb with a larnax is well established in this region (the association between </w:t>
      </w:r>
      <w:r>
        <w:t>larnakes and other tomb typ</w:t>
      </w:r>
      <w:r w:rsidRPr="005E493D">
        <w:t>es is an exception), in accordance with the general trend of the region, in which chamber tombs ar</w:t>
      </w:r>
      <w:r>
        <w:t>e the most popular tomb type</w:t>
      </w:r>
      <w:r w:rsidRPr="005E493D">
        <w:t xml:space="preserve"> adopted, at least among archaeologically visible burial types. Larnakes are generally associated with chamber tombs of small size, and generally not characterised by monumental features.</w:t>
      </w:r>
    </w:p>
    <w:p w14:paraId="19888365" w14:textId="6F8E1255" w:rsidR="00832319" w:rsidRPr="005E493D" w:rsidRDefault="00832319" w:rsidP="00E858EF">
      <w:pPr>
        <w:pStyle w:val="Paragrafoelenco"/>
        <w:suppressAutoHyphens/>
        <w:ind w:left="0"/>
      </w:pPr>
      <w:r w:rsidRPr="005E493D">
        <w:tab/>
        <w:t>However, this evidence is not valid for Armenoi, where half of the tombs in which larnakes have been found are notable for their monumentality (both considering their dimension and mo</w:t>
      </w:r>
      <w:r>
        <w:t>numental architectural features:</w:t>
      </w:r>
      <w:r w:rsidRPr="005E493D">
        <w:t xml:space="preserve"> see</w:t>
      </w:r>
      <w:r w:rsidR="00813F84">
        <w:t xml:space="preserve"> Papadopoulou 2015;</w:t>
      </w:r>
      <w:r w:rsidRPr="005E493D">
        <w:t xml:space="preserve"> Papadopoulou 2017). Consequently, architectural monumentality does not represent generally a pattern in the </w:t>
      </w:r>
      <w:r>
        <w:t>Mid-West</w:t>
      </w:r>
      <w:r w:rsidRPr="005E493D">
        <w:t xml:space="preserve"> area, but can be considered a peculiar</w:t>
      </w:r>
      <w:r>
        <w:t xml:space="preserve"> feature occurring at Armenoi. </w:t>
      </w:r>
      <w:r w:rsidRPr="005E493D">
        <w:t>The only other tomb</w:t>
      </w:r>
      <w:r>
        <w:t xml:space="preserve"> with larnax/larnakes</w:t>
      </w:r>
      <w:r w:rsidRPr="005E493D">
        <w:t xml:space="preserve"> outside Armenoi that can be considered monumental is the corbel-vaulted tomb at Margarites, but this is an exception, considering that this tomb type too is rare within the </w:t>
      </w:r>
      <w:r>
        <w:t>Mid-West area.</w:t>
      </w:r>
    </w:p>
    <w:p w14:paraId="252587C5" w14:textId="77777777" w:rsidR="00832319" w:rsidRPr="005E493D" w:rsidRDefault="00832319" w:rsidP="00E858EF">
      <w:pPr>
        <w:suppressAutoHyphens/>
        <w:rPr>
          <w:color w:val="000000"/>
        </w:rPr>
      </w:pPr>
      <w:r w:rsidRPr="005E493D">
        <w:tab/>
        <w:t>Even though the presence of other receptacle types is re</w:t>
      </w:r>
      <w:r>
        <w:t>covered</w:t>
      </w:r>
      <w:r w:rsidRPr="005E493D">
        <w:t xml:space="preserve"> in </w:t>
      </w:r>
      <w:r>
        <w:t>Mid-West</w:t>
      </w:r>
      <w:r w:rsidRPr="005E493D">
        <w:t xml:space="preserve"> Crete (i.e. pithos, stamnos and wooden biers), they are not associated in the same tomb with larnakes (except for the only wooden bier burial found at Armenoi with three larnakes; in the case of the Maroulas cemetery, pithos burials occur in the same cemetery with larnakes, but not in the same tomb). Regarding burial receptacle types adopted in this area, chest-shaped larnakes are by far the most popular. The use of the other larnax type, the bathtub, seems</w:t>
      </w:r>
      <w:r>
        <w:t xml:space="preserve"> to have been</w:t>
      </w:r>
      <w:r w:rsidRPr="005E493D">
        <w:t xml:space="preserve"> completely avoided.</w:t>
      </w:r>
      <w:r w:rsidRPr="005E493D">
        <w:rPr>
          <w:color w:val="000000"/>
        </w:rPr>
        <w:t xml:space="preserve"> The other interment types associated with larnakes in the same tomb are mainly depositions on the floor and, in a few cases, pit interments. </w:t>
      </w:r>
    </w:p>
    <w:p w14:paraId="2BD64E62" w14:textId="77777777" w:rsidR="00832319" w:rsidRPr="005E493D" w:rsidRDefault="00832319" w:rsidP="00E858EF">
      <w:pPr>
        <w:pStyle w:val="Paragrafoelenco"/>
        <w:suppressAutoHyphens/>
        <w:ind w:left="0"/>
      </w:pPr>
      <w:r w:rsidRPr="005E493D">
        <w:tab/>
        <w:t>Due to the scarce information available regarding skeletal material, the information concerning the association of skeletons and larnakes is very partial because, for the vast majority of cases, there is no precise information (either they have not been found or they have not been reported) about the number of skeletons in a larnax, the relative burial stage, or the gender and age.</w:t>
      </w:r>
    </w:p>
    <w:p w14:paraId="5789D9D2" w14:textId="77777777" w:rsidR="00832319" w:rsidRPr="005E493D" w:rsidRDefault="00832319" w:rsidP="00E858EF">
      <w:pPr>
        <w:pStyle w:val="Paragrafoelenco"/>
        <w:suppressAutoHyphens/>
        <w:ind w:left="0"/>
      </w:pPr>
      <w:r>
        <w:t>F</w:t>
      </w:r>
      <w:r w:rsidRPr="005E493D">
        <w:t>rom the small sample of tombs for which this information is available, it seems that larnakes were used for single burials, mainly for primary deposition.</w:t>
      </w:r>
    </w:p>
    <w:p w14:paraId="5E762D6C" w14:textId="77777777" w:rsidR="00832319" w:rsidRPr="005E493D" w:rsidRDefault="00832319" w:rsidP="00E858EF">
      <w:pPr>
        <w:pStyle w:val="Paragrafoelenco"/>
        <w:suppressAutoHyphens/>
        <w:ind w:left="0"/>
      </w:pPr>
      <w:r w:rsidRPr="005E493D">
        <w:tab/>
        <w:t xml:space="preserve">The sample </w:t>
      </w:r>
      <w:r>
        <w:t xml:space="preserve">with data on </w:t>
      </w:r>
      <w:r w:rsidRPr="005E493D">
        <w:t>gender and age is even smaller and does not allow the observation of any patterns regarding the association of a specific gender or age group with larnakes. On the contrary, larnakes seem to have been used indiscriminately for both male and female burials and all age groups, without any peculiar feature that could be connected to differences linked to the gender or the age of the individual buried.</w:t>
      </w:r>
    </w:p>
    <w:p w14:paraId="76B963CB" w14:textId="77777777" w:rsidR="00832319" w:rsidRPr="005E493D" w:rsidRDefault="00832319" w:rsidP="00E858EF">
      <w:pPr>
        <w:pStyle w:val="Paragrafoelenco"/>
        <w:suppressAutoHyphens/>
        <w:ind w:left="0"/>
      </w:pPr>
      <w:r w:rsidRPr="005E493D">
        <w:tab/>
        <w:t xml:space="preserve">It is possible to state that in the </w:t>
      </w:r>
      <w:r>
        <w:t>Mid-West</w:t>
      </w:r>
      <w:r w:rsidRPr="005E493D">
        <w:t xml:space="preserve"> region, generally, larnakes were used for individual burials (reused a few times). Considering</w:t>
      </w:r>
      <w:r w:rsidRPr="005E493D">
        <w:rPr>
          <w:color w:val="000000"/>
        </w:rPr>
        <w:t xml:space="preserve"> the burial stage of other interment typologies found in the same tombs with larnakes, pit burials are all secondary depositions. Floor burials, in the vast majority of cases, are secondary depositions also, except for Armenoi, where a number of floor burials represent primary depositions.</w:t>
      </w:r>
      <w:r w:rsidRPr="005E493D">
        <w:t xml:space="preserve"> Regarding burial stage, it is useful to reconstruct all the possible ways of using a tomb with a larnax in the </w:t>
      </w:r>
      <w:r>
        <w:t>Mid-West</w:t>
      </w:r>
      <w:r w:rsidRPr="005E493D">
        <w:t xml:space="preserve"> area according to the deposition evidence available: </w:t>
      </w:r>
    </w:p>
    <w:p w14:paraId="4136619A" w14:textId="77777777" w:rsidR="00832319" w:rsidRPr="005E493D" w:rsidRDefault="00832319" w:rsidP="00370745">
      <w:pPr>
        <w:pStyle w:val="Paragrafoelenco"/>
        <w:numPr>
          <w:ilvl w:val="0"/>
          <w:numId w:val="120"/>
        </w:numPr>
        <w:suppressAutoHyphens/>
      </w:pPr>
      <w:r w:rsidRPr="005E493D">
        <w:t>Individual primary burial within a single larnax (tomb used only once).</w:t>
      </w:r>
    </w:p>
    <w:p w14:paraId="5E4B185A" w14:textId="77777777" w:rsidR="00832319" w:rsidRPr="005E493D" w:rsidRDefault="00832319" w:rsidP="00370745">
      <w:pPr>
        <w:pStyle w:val="Paragrafoelenco"/>
        <w:numPr>
          <w:ilvl w:val="0"/>
          <w:numId w:val="120"/>
        </w:numPr>
        <w:suppressAutoHyphens/>
      </w:pPr>
      <w:r w:rsidRPr="005E493D">
        <w:t>More than one individual primary burial in more than one larnax (tomb reopened once or more and other larnakes with their respective burials placed in the tomb).</w:t>
      </w:r>
    </w:p>
    <w:p w14:paraId="01F21282" w14:textId="77777777" w:rsidR="00832319" w:rsidRPr="005E493D" w:rsidRDefault="00832319" w:rsidP="00370745">
      <w:pPr>
        <w:pStyle w:val="Paragrafoelenco"/>
        <w:numPr>
          <w:ilvl w:val="0"/>
          <w:numId w:val="120"/>
        </w:numPr>
        <w:suppressAutoHyphens/>
      </w:pPr>
      <w:r w:rsidRPr="005E493D">
        <w:t>Two individual depositions in the same larnax (tomb reopened and same larnax reused for another burial).</w:t>
      </w:r>
    </w:p>
    <w:p w14:paraId="3EBCC896" w14:textId="77777777" w:rsidR="00832319" w:rsidRPr="005E493D" w:rsidRDefault="00832319" w:rsidP="00370745">
      <w:pPr>
        <w:pStyle w:val="Paragrafoelenco"/>
        <w:numPr>
          <w:ilvl w:val="0"/>
          <w:numId w:val="120"/>
        </w:numPr>
        <w:suppressAutoHyphens/>
      </w:pPr>
      <w:r w:rsidRPr="005E493D">
        <w:t>Individual primary burial in one or more larnakes, one or more secondary burials on the floor (larnax or larnakes emptied to make space for the new burials and pre-existing burials moved to the floor).</w:t>
      </w:r>
    </w:p>
    <w:p w14:paraId="6B6807A5" w14:textId="77777777" w:rsidR="00832319" w:rsidRPr="005E493D" w:rsidRDefault="00832319" w:rsidP="00370745">
      <w:pPr>
        <w:pStyle w:val="Paragrafoelenco"/>
        <w:numPr>
          <w:ilvl w:val="0"/>
          <w:numId w:val="120"/>
        </w:numPr>
        <w:suppressAutoHyphens/>
      </w:pPr>
      <w:r w:rsidRPr="005E493D">
        <w:t>One or more individual primary burials in one or more larnakes; one or more individual primary burials on the floor (tomb reopened more than once, other primary burials added to the deposition already existing, the placing of further larnakes and further depositions on the floor).</w:t>
      </w:r>
    </w:p>
    <w:p w14:paraId="10FA3E07" w14:textId="77777777" w:rsidR="00832319" w:rsidRPr="005E493D" w:rsidRDefault="00832319" w:rsidP="00370745">
      <w:pPr>
        <w:pStyle w:val="Paragrafoelenco"/>
        <w:numPr>
          <w:ilvl w:val="0"/>
          <w:numId w:val="120"/>
        </w:numPr>
        <w:suppressAutoHyphens/>
      </w:pPr>
      <w:r w:rsidRPr="005E493D">
        <w:t>Primary individual burials in larnakes, primary individual burials on the floor, primary individual burials in a stamnos (tomb opened many times and each time a burial added, in some cases changing the burial method).</w:t>
      </w:r>
    </w:p>
    <w:p w14:paraId="6B2A5A66" w14:textId="77777777" w:rsidR="00832319" w:rsidRPr="005E493D" w:rsidRDefault="00832319" w:rsidP="00370745">
      <w:pPr>
        <w:pStyle w:val="Paragrafoelenco"/>
        <w:numPr>
          <w:ilvl w:val="0"/>
          <w:numId w:val="120"/>
        </w:numPr>
        <w:suppressAutoHyphens/>
      </w:pPr>
      <w:r w:rsidRPr="005E493D">
        <w:t>One or more individual primary burials on the floor and secondary burials in the larnax (pre-existing burials moved into the larnax to make space for new floor burials; larnax used as a secondary burial container).</w:t>
      </w:r>
    </w:p>
    <w:p w14:paraId="52DADC50" w14:textId="77777777" w:rsidR="00832319" w:rsidRPr="005E493D" w:rsidRDefault="00832319" w:rsidP="00370745">
      <w:pPr>
        <w:pStyle w:val="Paragrafoelenco"/>
        <w:numPr>
          <w:ilvl w:val="0"/>
          <w:numId w:val="120"/>
        </w:numPr>
        <w:suppressAutoHyphens/>
      </w:pPr>
      <w:r w:rsidRPr="005E493D">
        <w:t>One or more primary individual burials in one or more larnakes, secondary burials in a pit (tomb reopened more than once; larnax emptied and skeletal remains moved into a pit).</w:t>
      </w:r>
    </w:p>
    <w:p w14:paraId="3142BA36" w14:textId="77777777" w:rsidR="00832319" w:rsidRPr="005E493D" w:rsidRDefault="00832319" w:rsidP="00370745">
      <w:pPr>
        <w:pStyle w:val="Paragrafoelenco"/>
        <w:numPr>
          <w:ilvl w:val="0"/>
          <w:numId w:val="120"/>
        </w:numPr>
        <w:suppressAutoHyphens/>
      </w:pPr>
      <w:r w:rsidRPr="005E493D">
        <w:t>One or more primary individual burials in one or more larnakes, secondary burials in a pit or on the floor (tomb reopened more than once; larnax emptied and skeletal remains moved onto the floor or in a pit).</w:t>
      </w:r>
    </w:p>
    <w:p w14:paraId="67EE7897" w14:textId="77777777" w:rsidR="00832319" w:rsidRPr="00F066FC" w:rsidRDefault="00832319" w:rsidP="00E858EF">
      <w:pPr>
        <w:suppressAutoHyphens/>
        <w:ind w:firstLine="567"/>
      </w:pPr>
      <w:r w:rsidRPr="005E493D">
        <w:t xml:space="preserve">The mean number of interments in tombs with larnakes is approximately three, and for more than half of the sample of tombs, the minimum number of interments is one or two. On average, enough space is reserved for each larnax within a tomb. </w:t>
      </w:r>
      <w:r w:rsidRPr="00F066FC">
        <w:t xml:space="preserve">Furthermore, it is possible to recognise two general tendencies in terms of burial behaviour towards the individual in </w:t>
      </w:r>
      <w:r>
        <w:t>Mid-West</w:t>
      </w:r>
      <w:r w:rsidRPr="00F066FC">
        <w:t xml:space="preserve"> Crete: </w:t>
      </w:r>
    </w:p>
    <w:p w14:paraId="429523EE" w14:textId="77777777" w:rsidR="00832319" w:rsidRPr="005E493D" w:rsidRDefault="00832319" w:rsidP="00370745">
      <w:pPr>
        <w:pStyle w:val="Paragrafoelenco"/>
        <w:numPr>
          <w:ilvl w:val="0"/>
          <w:numId w:val="121"/>
        </w:numPr>
        <w:suppressAutoHyphens/>
      </w:pPr>
      <w:r w:rsidRPr="005E493D">
        <w:t>Possible Group 1: the</w:t>
      </w:r>
      <w:r>
        <w:t xml:space="preserve"> </w:t>
      </w:r>
      <w:r w:rsidRPr="005E493D">
        <w:t xml:space="preserve">minimum number of </w:t>
      </w:r>
      <w:r>
        <w:t>interments within the tomb is</w:t>
      </w:r>
      <w:r w:rsidRPr="005E493D">
        <w:t xml:space="preserve"> two; tombs were designed to be used once, or at most twice; this reveals the importance given to the deceased’s individuality, reinforced by the use of larnakes for individual burials (e.g. cemeteries of Maroulas, Apostoli, Mesi, Voliones).</w:t>
      </w:r>
    </w:p>
    <w:p w14:paraId="6E902A97" w14:textId="77777777" w:rsidR="00832319" w:rsidRPr="005E493D" w:rsidRDefault="00832319" w:rsidP="00370745">
      <w:pPr>
        <w:pStyle w:val="Paragrafoelenco"/>
        <w:numPr>
          <w:ilvl w:val="0"/>
          <w:numId w:val="121"/>
        </w:numPr>
        <w:suppressAutoHyphens/>
      </w:pPr>
      <w:r w:rsidRPr="005E493D">
        <w:t>Possible Group 2: the minimum number of interments is more than two; tombs used more than once, with a larnax or floor burials, either emptying and reusing the larnakes already in use in the tomb. This could be a deliberate choice, planned since the first phase of use of these tombs, or it could be the result of changing conditions (limited availability of resources).</w:t>
      </w:r>
    </w:p>
    <w:p w14:paraId="2BBEC77C" w14:textId="77777777" w:rsidR="00832319" w:rsidRPr="005E493D" w:rsidRDefault="00832319" w:rsidP="00E858EF">
      <w:pPr>
        <w:suppressAutoHyphens/>
      </w:pPr>
      <w:r w:rsidRPr="005E493D">
        <w:tab/>
        <w:t xml:space="preserve">Information about grave goods assemblages in tombs with larnakes from the </w:t>
      </w:r>
      <w:r>
        <w:t>Mid-West</w:t>
      </w:r>
      <w:r w:rsidRPr="005E493D">
        <w:t xml:space="preserve"> region reveals that pottery was the most common material class. However, in more than 70% of the sample of tombs analysed, the presence of no</w:t>
      </w:r>
      <w:r>
        <w:t>n-ceramic</w:t>
      </w:r>
      <w:r w:rsidRPr="005E493D">
        <w:t xml:space="preserve"> items is reported. These items are frequently represented by jewellery in bronze, stone, faience or glass. The occurrence of items made of precious materials (ivory/gold/silver) is rare in tombs with larnakes and confined to a few tombs (e.g. chamber tomb at Pankalochori and corbel-vaulted tomb at Margarites). A number of tombs contain seals. Less common is the presence of weapons. Generally, jewellery and weapons (no</w:t>
      </w:r>
      <w:r>
        <w:t>n-ceramic</w:t>
      </w:r>
      <w:r w:rsidRPr="005E493D">
        <w:t xml:space="preserve"> artefacts) are considered among the probable possessions of the deceased. Their popularity suggests that the practice of burying them with the deceased must have been quite common in this region.</w:t>
      </w:r>
    </w:p>
    <w:p w14:paraId="50F7B7CA" w14:textId="77777777" w:rsidR="00832319" w:rsidRPr="005E493D" w:rsidRDefault="00832319" w:rsidP="00E858EF">
      <w:pPr>
        <w:suppressAutoHyphens/>
      </w:pPr>
      <w:r w:rsidRPr="005E493D">
        <w:tab/>
        <w:t xml:space="preserve">Regarding the data emerging from the analysis of pottery typologies, small stirrup jars of different shapes are the most common pottery type, and their presence is registered in more than 80% of tombs. Their function as pouring vessels or perfumed oil containers (Hatzaki 2016: 200) is linked with offerings/ritual activities performed during funerals or in honour of the deceased, or some of them could be personal belongings of the deceased. Other types of pot, such as incense burners (quite common in the </w:t>
      </w:r>
      <w:r>
        <w:t>Mid-West</w:t>
      </w:r>
      <w:r w:rsidRPr="005E493D">
        <w:t xml:space="preserve"> region), kalathos and braziers, were probably connected with offering ceremonies. The presence of shapes such as rhytons and kraters are confined to a limited number of tombs. Furthermore, these vessels have usually a single occurrence per tomb, irrespective of the number of actual burials in the tomb, confirming that</w:t>
      </w:r>
      <w:r>
        <w:t xml:space="preserve"> a</w:t>
      </w:r>
      <w:r w:rsidRPr="005E493D">
        <w:t xml:space="preserve"> form of symbolic value connected probably to ritual activities was attributed to them.</w:t>
      </w:r>
    </w:p>
    <w:p w14:paraId="4A528EC2" w14:textId="77777777" w:rsidR="00832319" w:rsidRPr="005E493D" w:rsidRDefault="00832319" w:rsidP="00E858EF">
      <w:pPr>
        <w:suppressAutoHyphens/>
      </w:pPr>
      <w:r w:rsidRPr="005E493D">
        <w:tab/>
        <w:t>The evidence for drinking vessels is plentiful (cups, conical cups and goblets). The presence of this type of pot may be connected with drinking ceremonies/offering activities that would have been performed during the funeral (when the burial was introduced into the tomb) or in honour of the deceased (at a later stage: e.g. the reopening of the tomb for the introduction of further burials). If stirrup jars are generally homogeneously distributed within all cemeteries, the occurrence of drinking vessels is less common at Armenoi, in comparison with all the other cemeteries. This could support the hypothesis that drinking vessels used for ceremonies or offering activities would have been deposited elsewhere at Armenoi (e.g. ceremonial pits? Although it is not possible to confirm this hypot</w:t>
      </w:r>
      <w:r>
        <w:t>hesis due to publication limited:</w:t>
      </w:r>
      <w:r w:rsidRPr="005E493D">
        <w:t xml:space="preserve"> see Tzedakis</w:t>
      </w:r>
      <w:r>
        <w:t xml:space="preserve"> and</w:t>
      </w:r>
      <w:r w:rsidRPr="005E493D">
        <w:t xml:space="preserve"> Martlew 2012: 242).</w:t>
      </w:r>
    </w:p>
    <w:p w14:paraId="5C3B822A" w14:textId="77777777" w:rsidR="00832319" w:rsidRPr="005E493D" w:rsidRDefault="00832319" w:rsidP="00E858EF">
      <w:pPr>
        <w:suppressAutoHyphens/>
        <w:rPr>
          <w:color w:val="000000"/>
        </w:rPr>
      </w:pPr>
      <w:r w:rsidRPr="005E493D">
        <w:tab/>
        <w:t>In terms of the number of pots per tomb, the mean number is 18, more than double the mean of non-pottery artefacts per tomb (mean non-pottery artefacts per tomb = 6), confirming that depositing objects used during ceremonial activities was actually more common than ‘sacrificing’ for burial purposes the precious personal objects of the deceased.</w:t>
      </w:r>
      <w:r w:rsidRPr="005E493D">
        <w:rPr>
          <w:color w:val="000000"/>
        </w:rPr>
        <w:t xml:space="preserve"> In a few tombs, more than 15 pots were found, but only in one tomb from Pigi Grambela were more than 40 pots found. The high number of pots associated with this tomb coincides with the relatively high number of burials: at least seven individuals.</w:t>
      </w:r>
    </w:p>
    <w:p w14:paraId="71FD6F5B" w14:textId="77777777" w:rsidR="00832319" w:rsidRPr="00F066FC" w:rsidRDefault="00832319" w:rsidP="00E858EF">
      <w:pPr>
        <w:pStyle w:val="Titolo3"/>
        <w:keepNext w:val="0"/>
        <w:keepLines w:val="0"/>
        <w:suppressAutoHyphens/>
      </w:pPr>
      <w:bookmarkStart w:id="1224" w:name="_Toc515640389"/>
      <w:bookmarkStart w:id="1225" w:name="_Toc515640420"/>
      <w:bookmarkStart w:id="1226" w:name="_Toc515640482"/>
      <w:bookmarkStart w:id="1227" w:name="_Toc393044336"/>
      <w:bookmarkStart w:id="1228" w:name="_Toc519894716"/>
      <w:r w:rsidRPr="00F066FC">
        <w:t>Conclusion</w:t>
      </w:r>
      <w:bookmarkEnd w:id="1224"/>
      <w:bookmarkEnd w:id="1225"/>
      <w:bookmarkEnd w:id="1226"/>
      <w:r w:rsidRPr="00F066FC">
        <w:t>s</w:t>
      </w:r>
      <w:bookmarkEnd w:id="1227"/>
      <w:bookmarkEnd w:id="1228"/>
    </w:p>
    <w:p w14:paraId="22A5D7B1" w14:textId="77777777" w:rsidR="00832319" w:rsidRPr="005E493D" w:rsidRDefault="00832319" w:rsidP="00E858EF">
      <w:pPr>
        <w:suppressAutoHyphens/>
        <w:rPr>
          <w:color w:val="000000"/>
        </w:rPr>
      </w:pPr>
      <w:r w:rsidRPr="005E493D">
        <w:rPr>
          <w:color w:val="000000"/>
        </w:rPr>
        <w:t xml:space="preserve">In the </w:t>
      </w:r>
      <w:r>
        <w:rPr>
          <w:color w:val="000000"/>
        </w:rPr>
        <w:t>Mid-West</w:t>
      </w:r>
      <w:r w:rsidRPr="005E493D">
        <w:rPr>
          <w:color w:val="000000"/>
        </w:rPr>
        <w:t xml:space="preserve"> region, burial contexts with larnakes are characterised by a general homogeneity visible in contextual burial patterns (tomb architecture, larnax characteristics, burial methods, grave goods assemblage). As suggested by the adoption of the painted larnax as a burial container, the individuality of the deceased was generally respected and preserved. However, more than being an individual possession, the tomb and the larnax itself could have belonged to a family. From this perspective, the reuse of the tomb and frequently also of the larnakes, as well as being linked to the changing availability of resources, would have functioned as a way to establish strong connections with ancestors, sharing with them the burial and also their prestige. </w:t>
      </w:r>
    </w:p>
    <w:p w14:paraId="4F506EDA" w14:textId="77777777" w:rsidR="00832319" w:rsidRPr="00F066FC" w:rsidRDefault="00832319" w:rsidP="00E858EF">
      <w:pPr>
        <w:suppressAutoHyphens/>
      </w:pPr>
      <w:r w:rsidRPr="005E493D">
        <w:rPr>
          <w:color w:val="000000"/>
        </w:rPr>
        <w:tab/>
        <w:t xml:space="preserve">As stated previously, the general degree of display of tombs with larnakes in the </w:t>
      </w:r>
      <w:r>
        <w:rPr>
          <w:color w:val="000000"/>
        </w:rPr>
        <w:t>Mid-West</w:t>
      </w:r>
      <w:r w:rsidRPr="005E493D">
        <w:rPr>
          <w:color w:val="000000"/>
        </w:rPr>
        <w:t xml:space="preserve"> region is expressed through pottery assemblage and decorated larnakes more than through architectural monumentality and grave goods in precious materials. </w:t>
      </w:r>
      <w:r w:rsidRPr="00F066FC">
        <w:rPr>
          <w:color w:val="000000"/>
        </w:rPr>
        <w:t xml:space="preserve">However, within this relatively homogeneous scenario, </w:t>
      </w:r>
      <w:r w:rsidRPr="00F066FC">
        <w:t>the chamber tomb at Pankalochori and the corbel-vaulted tomb at Margarites are notable in the region for the</w:t>
      </w:r>
      <w:r w:rsidRPr="00F066FC">
        <w:rPr>
          <w:color w:val="000000"/>
        </w:rPr>
        <w:t xml:space="preserve"> </w:t>
      </w:r>
      <w:r w:rsidRPr="00F066FC">
        <w:t>distribution of valuable materials, artefact type and assemblage wealth (in the case of Margarites tomb also for the architectural investment: a large, corbel-vaulted tomb). These tombs are isolated, and they c</w:t>
      </w:r>
      <w:r w:rsidRPr="005E493D">
        <w:t>ould</w:t>
      </w:r>
      <w:r w:rsidRPr="00F066FC">
        <w:t xml:space="preserve"> represent groups of a certain status that would have still benefited from a certain quantity of expendable resources (Preston 2004: 340).</w:t>
      </w:r>
    </w:p>
    <w:p w14:paraId="5BB97AF5" w14:textId="77777777" w:rsidR="00832319" w:rsidRPr="005E493D" w:rsidRDefault="00832319" w:rsidP="00E858EF">
      <w:pPr>
        <w:suppressAutoHyphens/>
        <w:rPr>
          <w:color w:val="000000"/>
        </w:rPr>
      </w:pPr>
      <w:r w:rsidRPr="005E493D">
        <w:rPr>
          <w:color w:val="000000"/>
        </w:rPr>
        <w:tab/>
        <w:t xml:space="preserve">From this same perspective, but also considering other burial aspects, the cemetery at Armenoi is notable in the </w:t>
      </w:r>
      <w:r>
        <w:rPr>
          <w:color w:val="000000"/>
        </w:rPr>
        <w:t>Mid-West</w:t>
      </w:r>
      <w:r w:rsidRPr="005E493D">
        <w:rPr>
          <w:color w:val="000000"/>
        </w:rPr>
        <w:t xml:space="preserve"> region, although it uses the same symbolic vocabulary. These differences consist of a higher degree of ostentation performed through burial contextual elements. However, these practices could be evidence of burial practices belonging to a previous chronological phase (LM IIIA1) and, therefore, they would have been aligned with the ostentation practices performed within palatial elite burials (e.g. as visible in final palatial burial</w:t>
      </w:r>
      <w:r>
        <w:rPr>
          <w:color w:val="000000"/>
        </w:rPr>
        <w:t xml:space="preserve"> at</w:t>
      </w:r>
      <w:r w:rsidRPr="00E20695">
        <w:rPr>
          <w:color w:val="000000"/>
        </w:rPr>
        <w:t xml:space="preserve"> </w:t>
      </w:r>
      <w:r w:rsidRPr="005E493D">
        <w:rPr>
          <w:color w:val="000000"/>
        </w:rPr>
        <w:t>Knossos and in other selected bu</w:t>
      </w:r>
      <w:r>
        <w:rPr>
          <w:color w:val="000000"/>
        </w:rPr>
        <w:t>rial contexts on the island, such as</w:t>
      </w:r>
      <w:r w:rsidRPr="005E493D">
        <w:rPr>
          <w:color w:val="000000"/>
        </w:rPr>
        <w:t xml:space="preserve"> Kalyvia and Archanes: Preston 2004a)</w:t>
      </w:r>
    </w:p>
    <w:p w14:paraId="75AEFA11" w14:textId="77777777" w:rsidR="00832319" w:rsidRPr="00F066FC" w:rsidRDefault="00832319" w:rsidP="00E858EF">
      <w:pPr>
        <w:suppressAutoHyphens/>
      </w:pPr>
      <w:r w:rsidRPr="005E493D">
        <w:rPr>
          <w:color w:val="000000"/>
        </w:rPr>
        <w:tab/>
        <w:t xml:space="preserve">On the one hand, general regional patterns were adopted (chamber tombs, larnakes, predominance of pottery in the burial assemblage), on the other hand, different choices were expressed within the adoption of the regional burial customs. These differences are primarily visible through the preference for interment methods other than larnakes. </w:t>
      </w:r>
      <w:r>
        <w:rPr>
          <w:color w:val="000000"/>
        </w:rPr>
        <w:t xml:space="preserve">At Armenoi cemetery </w:t>
      </w:r>
      <w:r w:rsidRPr="00F066FC">
        <w:t xml:space="preserve">the general tendencies of the area are not completely avoided but are not the most popular. Furthermore, when these features are adopted they display differences. </w:t>
      </w:r>
    </w:p>
    <w:p w14:paraId="54BC620C" w14:textId="77777777" w:rsidR="00832319" w:rsidRPr="005E493D" w:rsidRDefault="00832319" w:rsidP="00E858EF">
      <w:pPr>
        <w:pStyle w:val="Paragrafoelenco"/>
        <w:suppressAutoHyphens/>
        <w:ind w:left="0"/>
        <w:rPr>
          <w:color w:val="000000"/>
        </w:rPr>
      </w:pPr>
      <w:r w:rsidRPr="005E493D">
        <w:rPr>
          <w:color w:val="000000"/>
        </w:rPr>
        <w:tab/>
        <w:t xml:space="preserve">If, in the </w:t>
      </w:r>
      <w:r>
        <w:rPr>
          <w:color w:val="000000"/>
        </w:rPr>
        <w:t>Mid-West</w:t>
      </w:r>
      <w:r w:rsidRPr="005E493D">
        <w:rPr>
          <w:color w:val="000000"/>
        </w:rPr>
        <w:t xml:space="preserve"> region, the burial custom could be summarised by the adoption of small chamber tombs, clay decorated larnakes and pottery grave goods assemblages, instead, at Armenoi, even if all the three features are visible, they are not always adopted together. Second, when they do all appear, they present different characteristics in comparison with the other cemeteries of the region (i.e. monumental chamber tombs, polychrome larnakes decorated with representational scenes, high number of seals in the grave goods assemblage).</w:t>
      </w:r>
    </w:p>
    <w:p w14:paraId="5A0A5A92" w14:textId="77777777" w:rsidR="00832319" w:rsidRPr="005E493D" w:rsidRDefault="00832319" w:rsidP="00E858EF">
      <w:pPr>
        <w:pStyle w:val="Paragrafoelenco"/>
        <w:suppressAutoHyphens/>
        <w:ind w:left="0"/>
        <w:rPr>
          <w:color w:val="000000"/>
        </w:rPr>
      </w:pPr>
      <w:r w:rsidRPr="005E493D">
        <w:rPr>
          <w:color w:val="000000"/>
        </w:rPr>
        <w:tab/>
        <w:t xml:space="preserve">At Armenoi, in tombs where larnakes were adopted, a higher degree of display is expressed through architecture, larnakes and the assemblage. These differences are not realised through radically different choices (e.g. different tomb type or different types of burial containers adopted), but within the shared custom, expressing a higher degree of social competition between different groups and the availability of expertise and resources very rarely found in other cemeteries in the </w:t>
      </w:r>
      <w:r>
        <w:rPr>
          <w:color w:val="000000"/>
        </w:rPr>
        <w:t>Mid-West</w:t>
      </w:r>
      <w:r w:rsidRPr="005E493D">
        <w:rPr>
          <w:color w:val="000000"/>
        </w:rPr>
        <w:t xml:space="preserve"> region (i.e. the architectural expertise needed for building a monumental tomb; knowledge of a different repertoire and techniques to paint a polychrome larnax and represent the rare scenes painted in some of the larnakes found at Armenoi; the availability of precious materials such as gold and ivory and the possibility of sacrificing them in burials).</w:t>
      </w:r>
    </w:p>
    <w:p w14:paraId="5A4188AD" w14:textId="77777777" w:rsidR="00832319" w:rsidRPr="005E493D" w:rsidRDefault="00832319" w:rsidP="00E858EF">
      <w:pPr>
        <w:pStyle w:val="Paragrafoelenco"/>
        <w:suppressAutoHyphens/>
        <w:ind w:left="0"/>
        <w:rPr>
          <w:color w:val="000000"/>
        </w:rPr>
      </w:pPr>
      <w:r w:rsidRPr="005E493D">
        <w:rPr>
          <w:color w:val="000000"/>
        </w:rPr>
        <w:tab/>
        <w:t xml:space="preserve">Focusing especially on the presence of larnax burials in the </w:t>
      </w:r>
      <w:r>
        <w:rPr>
          <w:color w:val="000000"/>
        </w:rPr>
        <w:t>Mid-West</w:t>
      </w:r>
      <w:r w:rsidRPr="005E493D">
        <w:rPr>
          <w:color w:val="000000"/>
        </w:rPr>
        <w:t xml:space="preserve"> region and, in particular, for the Armenoi cemetery, might have provided a biased perception of the funerary practices adopted. Despite a general standardisation, the evidence from the contextual analysis of the </w:t>
      </w:r>
      <w:r>
        <w:rPr>
          <w:color w:val="000000"/>
        </w:rPr>
        <w:t>Mid-West</w:t>
      </w:r>
      <w:r w:rsidRPr="005E493D">
        <w:rPr>
          <w:color w:val="000000"/>
        </w:rPr>
        <w:t xml:space="preserve"> region burials displays a degree of complexity expressed not only through the adoption of larnax burials and the contextual features characterising their use, but also through the adoption of other interment methods, which in this region are mainly represented by floor burials. This interment type is the preferred method at Armenoi, and, consequently, because of the size and the number of individuals buried there, it is the most popular deposition practice adopted within the </w:t>
      </w:r>
      <w:r>
        <w:rPr>
          <w:color w:val="000000"/>
        </w:rPr>
        <w:t>Mid-West</w:t>
      </w:r>
      <w:r w:rsidRPr="005E493D">
        <w:rPr>
          <w:color w:val="000000"/>
        </w:rPr>
        <w:t xml:space="preserve"> region. In fact, if we consider that the minimum number of skeletons reported for Armenoi is 1,000, and from our analysis the minimum number of burials retrieved from all the tombs with larnakes from </w:t>
      </w:r>
      <w:r>
        <w:rPr>
          <w:color w:val="000000"/>
        </w:rPr>
        <w:t>Mid-West</w:t>
      </w:r>
      <w:r w:rsidRPr="005E493D">
        <w:rPr>
          <w:color w:val="000000"/>
        </w:rPr>
        <w:t xml:space="preserve"> region is 193 (including Armenoi and the other primary floor burials attested in the same tomb with larnakes), we can easily discern how a small number of families chose to adopt burials with larnakes. The picture emerging from the </w:t>
      </w:r>
      <w:r>
        <w:rPr>
          <w:color w:val="000000"/>
        </w:rPr>
        <w:t>Mid-West</w:t>
      </w:r>
      <w:r w:rsidRPr="005E493D">
        <w:rPr>
          <w:color w:val="000000"/>
        </w:rPr>
        <w:t xml:space="preserve"> region does not represent an isolated occurrence but finds a comparison in the other large cemeteries of the island (e.g. Chania, Knossos Zafer Papoura). Consequently, on a larger scale, larnax burials were a deposition method adopted by a relatively small part of the LM III Cretan elites.</w:t>
      </w:r>
    </w:p>
    <w:p w14:paraId="1F25356F" w14:textId="1CBCB58F" w:rsidR="00832319" w:rsidRPr="00F066FC" w:rsidRDefault="00832319" w:rsidP="00E858EF">
      <w:pPr>
        <w:pStyle w:val="Titolo2"/>
        <w:keepNext w:val="0"/>
        <w:keepLines w:val="0"/>
        <w:suppressAutoHyphens/>
      </w:pPr>
      <w:bookmarkStart w:id="1229" w:name="_Toc393044337"/>
      <w:bookmarkStart w:id="1230" w:name="_Toc519894717"/>
      <w:r w:rsidRPr="00F066FC">
        <w:t>Mesara</w:t>
      </w:r>
      <w:bookmarkEnd w:id="1229"/>
      <w:bookmarkEnd w:id="1230"/>
      <w:r w:rsidR="00AD1B4B">
        <w:t xml:space="preserve"> area</w:t>
      </w:r>
    </w:p>
    <w:p w14:paraId="717F9BF8" w14:textId="77777777" w:rsidR="00832319" w:rsidRPr="00F066FC" w:rsidRDefault="00832319" w:rsidP="00E858EF">
      <w:pPr>
        <w:pStyle w:val="Titolo3"/>
        <w:keepNext w:val="0"/>
        <w:keepLines w:val="0"/>
        <w:suppressAutoHyphens/>
      </w:pPr>
      <w:bookmarkStart w:id="1231" w:name="_Toc515640390"/>
      <w:bookmarkStart w:id="1232" w:name="_Toc515640421"/>
      <w:bookmarkStart w:id="1233" w:name="_Toc515640483"/>
      <w:bookmarkStart w:id="1234" w:name="_Toc393044338"/>
      <w:bookmarkStart w:id="1235" w:name="_Toc519894718"/>
      <w:r w:rsidRPr="00F066FC">
        <w:t>Analysis</w:t>
      </w:r>
      <w:bookmarkEnd w:id="1231"/>
      <w:bookmarkEnd w:id="1232"/>
      <w:bookmarkEnd w:id="1233"/>
      <w:bookmarkEnd w:id="1234"/>
      <w:bookmarkEnd w:id="1235"/>
      <w:r w:rsidRPr="00F066FC">
        <w:t xml:space="preserve"> </w:t>
      </w:r>
    </w:p>
    <w:p w14:paraId="478F5F39" w14:textId="77777777" w:rsidR="00832319" w:rsidRPr="005E493D" w:rsidRDefault="00832319" w:rsidP="00E858EF">
      <w:pPr>
        <w:pStyle w:val="Paragrafoelenco"/>
        <w:suppressAutoHyphens/>
        <w:ind w:left="0"/>
      </w:pPr>
      <w:r w:rsidRPr="005E493D">
        <w:t xml:space="preserve">In the Mesara area, larnakes were adopted in the vast majority of the cemeteries in use during the LM III. </w:t>
      </w:r>
      <w:r>
        <w:t xml:space="preserve">Cemeteries with larnakes </w:t>
      </w:r>
      <w:r w:rsidRPr="005E493D">
        <w:t xml:space="preserve">were </w:t>
      </w:r>
      <w:r>
        <w:t>in use</w:t>
      </w:r>
      <w:r w:rsidRPr="005E493D">
        <w:t xml:space="preserve"> since the LM IIIA phase (few burials dated to LM IIIA: Agia Triada tholos and Kamilari tholos, without specifying whether LM IIIA1 or LM IIIA2). The peak of their use corresponds to LM IIIA2-B. Few tombs with larnakes were still in use in LM IIIC. The practice of reusing pre-existing tholoi </w:t>
      </w:r>
      <w:r>
        <w:t>with larnakes is considered a peculiarity</w:t>
      </w:r>
      <w:r w:rsidRPr="005E493D">
        <w:t xml:space="preserve"> of this region. However, the majority of burial locations were newly established in LM III. LM III cemeteries with larnakes are mainly clustered in the western part of the region (western Mesara) in two areas: by the Ieropotamos, not far from the three large settlements (Phaistos-Agia Triada and Kommos), and on the southwest slope of Mt Psiloritis on the border with the Amari Valley. The only important cemetery of the Mesara area where there is no evidence for larnax burials is Kalyvia, where, instead, depositions are attested on the floor, benches, pits and in one case (Tomb 9) a wooden bier.</w:t>
      </w:r>
    </w:p>
    <w:p w14:paraId="6244D75C" w14:textId="77777777" w:rsidR="00832319" w:rsidRPr="005E493D" w:rsidRDefault="00832319" w:rsidP="00E858EF">
      <w:pPr>
        <w:pStyle w:val="Paragrafoelenco"/>
        <w:suppressAutoHyphens/>
        <w:ind w:left="0"/>
      </w:pPr>
      <w:r w:rsidRPr="005E493D">
        <w:tab/>
        <w:t xml:space="preserve">The larnakes found in the Mesara area are mainly chest-shaped and mostly undecorated. Bathtub larnakes are an exception and they are not from secure burial locations. From a morphological perspective, chest-shaped larnakes from this area are less standardised than in the </w:t>
      </w:r>
      <w:r>
        <w:t>Mid-West</w:t>
      </w:r>
      <w:r w:rsidRPr="005E493D">
        <w:t>, which is a pattern (lack of standardisation within the adopted chest-shape and numerous vari</w:t>
      </w:r>
      <w:r>
        <w:t>ation</w:t>
      </w:r>
      <w:r w:rsidRPr="005E493D">
        <w:t xml:space="preserve"> in minor morphological features) shared with the Central region.</w:t>
      </w:r>
    </w:p>
    <w:p w14:paraId="0606D378" w14:textId="77777777" w:rsidR="00832319" w:rsidRPr="005E493D" w:rsidRDefault="00832319" w:rsidP="00E858EF">
      <w:pPr>
        <w:pStyle w:val="Paragrafoelenco"/>
        <w:suppressAutoHyphens/>
        <w:ind w:left="0"/>
      </w:pPr>
      <w:r w:rsidRPr="005E493D">
        <w:tab/>
        <w:t>The highest number of larnakes</w:t>
      </w:r>
      <w:r>
        <w:t xml:space="preserve"> recorded</w:t>
      </w:r>
      <w:r w:rsidRPr="005E493D">
        <w:t xml:space="preserve"> and the vast majority of decorated ones are clustered in the northwest area of the region, distributed among the cemeteries of Kalochorafitis, Klima and Apodoulou. From these three cemeteries come also all the larnakes decorated with representational scenes and in which occur human figures (i.e. Kalochoraphitis and Apodoulou Sata). The remaining decorated coffins found in the region are decorated with repetitive </w:t>
      </w:r>
      <w:r>
        <w:t>motif</w:t>
      </w:r>
      <w:r w:rsidRPr="005E493D">
        <w:t>s (i.e. wavy lines or a simple outline), or instead are undecorated.</w:t>
      </w:r>
    </w:p>
    <w:p w14:paraId="4EEB5D69" w14:textId="77777777" w:rsidR="00832319" w:rsidRPr="005E493D" w:rsidRDefault="00832319" w:rsidP="00E858EF">
      <w:pPr>
        <w:suppressAutoHyphens/>
      </w:pPr>
      <w:r w:rsidRPr="005E493D">
        <w:tab/>
        <w:t>The Mesara area has high variety in terms of tomb typologies associated with larnakes, but the most popular tomb type is the chamber tomb. Investment in building new tombs, some also with monumental features, is visible in the northwest area of the region (Kalochoraphitis, Klima and Apodoulou). In particular, at Apodoulou is noted the use of only corbel-vaulted tombs. In the remaining area of the Mesara region, tombs with larnakes are found either in chamber tombs of small dimension and no monumental features, or pits (e.g. Liliana cemetery), or by pre-existing tombs reused by introducing</w:t>
      </w:r>
      <w:r>
        <w:t xml:space="preserve"> a larnax burial</w:t>
      </w:r>
      <w:r w:rsidRPr="005E493D">
        <w:t xml:space="preserve"> (e.g. tholos of Kamilari, tholos of Agia Triada).</w:t>
      </w:r>
    </w:p>
    <w:p w14:paraId="366B758A" w14:textId="77777777" w:rsidR="00832319" w:rsidRPr="005E493D" w:rsidRDefault="00832319" w:rsidP="00E858EF">
      <w:pPr>
        <w:pStyle w:val="Paragrafoelenco"/>
        <w:suppressAutoHyphens/>
        <w:ind w:left="0"/>
      </w:pPr>
      <w:r w:rsidRPr="005E493D">
        <w:tab/>
        <w:t>A high variety is visible also considering other burial methods associated with larnakes (i.e. floor, pit burials, burials on a bench, and also other burial containers such as as the stone sarcophagus and wooden bier, and also a different way of treating the body, such as cremation in vases). These other interment methods either occurred in tombs with larnakes, or they represent the interment type adopted in cemeteries where larnakes were not used (e.g. Kalyvia deposition on the floor, bench or pit).</w:t>
      </w:r>
    </w:p>
    <w:p w14:paraId="5388F44A" w14:textId="77777777" w:rsidR="00832319" w:rsidRPr="005E493D" w:rsidRDefault="00832319" w:rsidP="00E858EF">
      <w:pPr>
        <w:pStyle w:val="Paragrafoelenco"/>
        <w:suppressAutoHyphens/>
        <w:ind w:left="0"/>
      </w:pPr>
      <w:r w:rsidRPr="005E493D">
        <w:tab/>
        <w:t>Regarding other container types (i.e. pithos, wooden biers/coffins, stone sarcophagus), due to their limited occurrence, they are considered isolated choices in the Mesara region. This is also true for cremated burials in vases, which are isolated cases of the later use (or reuse) of tombs, revealing the initial spread of a different burial custom (cremation) in LM IIIC.</w:t>
      </w:r>
    </w:p>
    <w:p w14:paraId="4810ADD3" w14:textId="77777777" w:rsidR="00832319" w:rsidRPr="005E493D" w:rsidRDefault="00832319" w:rsidP="00E858EF">
      <w:pPr>
        <w:suppressAutoHyphens/>
      </w:pPr>
      <w:r w:rsidRPr="005E493D">
        <w:tab/>
        <w:t>The mean minimum number of interments from the sample available of tombs with larnakes in the Mesara area is four burials per tomb. This evidence suggests that, generally, in the Mesara area, tombs with larnakes were used for more than one burial, which were introduced into the tomb by adding other larnakes (e.g. Klima) and later emptying the larnax (moving skeletal remains onto the floor or into a pit) and reusing them for the most recent burials or, instead, for secondary burial deposition. This practice allowed the group owner of the tomb (family group) to use the tomb and the larnakes for a potentially long period and for many members of the group (e.g. Kalochoraphitis Anevolema Tomb D, the skeletal materials retrieved from the tomb correspond to 17 individuals).</w:t>
      </w:r>
    </w:p>
    <w:p w14:paraId="42E9438E" w14:textId="77777777" w:rsidR="00832319" w:rsidRPr="005E493D" w:rsidRDefault="00832319" w:rsidP="00E858EF">
      <w:pPr>
        <w:suppressAutoHyphens/>
      </w:pPr>
      <w:r w:rsidRPr="005E493D">
        <w:tab/>
        <w:t>The evidence available from the sample in respect of the burial stage associated with larnakes does not allow us to understand whether larnakes were used preferably for primary or secondary deposition use (many contexts are disturbed). The vast majority of the burial contexts suggest later disturbance and, in the sample of tombs examined, the skeletal remains associated with larnakes have</w:t>
      </w:r>
      <w:r>
        <w:t xml:space="preserve"> </w:t>
      </w:r>
      <w:r w:rsidRPr="005E493D">
        <w:t>almost all been manipulated (Nafplioti 2015).</w:t>
      </w:r>
    </w:p>
    <w:p w14:paraId="09D17881" w14:textId="77777777" w:rsidR="00832319" w:rsidRPr="005E493D" w:rsidRDefault="00832319" w:rsidP="00E858EF">
      <w:pPr>
        <w:suppressAutoHyphens/>
      </w:pPr>
      <w:r w:rsidRPr="005E493D">
        <w:tab/>
        <w:t>The sample of tombs for which information about the gender and the age of the skeletal rem</w:t>
      </w:r>
      <w:r>
        <w:t>ains is available is very small</w:t>
      </w:r>
      <w:r w:rsidRPr="005E493D">
        <w:t>, and only for an even smaller sample of these tombs is this information based on anthropological studies (tombs B and D at Kalochorafitis Anevolema). From this small sample, no evidence emerges regarding a connection between larnakes, gender and age. Instead, the intense reuse of larnakes suggest that these two aspects, coffin–gender/age of the deceased, were not related.</w:t>
      </w:r>
    </w:p>
    <w:p w14:paraId="44089F24" w14:textId="77777777" w:rsidR="00832319" w:rsidRPr="005E493D" w:rsidRDefault="00832319" w:rsidP="00E858EF">
      <w:pPr>
        <w:pStyle w:val="Paragrafoelenco"/>
        <w:suppressAutoHyphens/>
        <w:ind w:left="0"/>
      </w:pPr>
      <w:r w:rsidRPr="005E493D">
        <w:tab/>
        <w:t>Pottery items occur in each tomb and they are much more common than no</w:t>
      </w:r>
      <w:r>
        <w:t>n-ceramic</w:t>
      </w:r>
      <w:r w:rsidRPr="005E493D">
        <w:t xml:space="preserve"> materials. A few tombs display a high variety of materials or the presence of prestigious materials in their assemblages (less than three tombs in the sample). Pottery grave goods are much more common within the assemblages with larnakes in the Mesara, although the deposition of no</w:t>
      </w:r>
      <w:r>
        <w:t>n-ceramic</w:t>
      </w:r>
      <w:r w:rsidRPr="005E493D">
        <w:t xml:space="preserve"> materials is common also. Jewellery items are more common than weapons (54% of tombs contain jewellery, 37% of tombs contain weapons).</w:t>
      </w:r>
    </w:p>
    <w:p w14:paraId="19CDFD59" w14:textId="77777777" w:rsidR="00832319" w:rsidRPr="005E493D" w:rsidRDefault="00832319" w:rsidP="00E858EF">
      <w:pPr>
        <w:pStyle w:val="Paragrafoelenco"/>
        <w:suppressAutoHyphens/>
        <w:ind w:left="0"/>
      </w:pPr>
      <w:r w:rsidRPr="005E493D">
        <w:tab/>
        <w:t>Weapons are usually attested in small numbers in each tomb with larnakes in the region, except for one tomb at Stavros Galias, which has a high concentration of bronze objects in the assemblage (weapons and a vase associated with Burial I on a wooden bier: Karetsou 1975: 1042; Girella 2015: 366). This burial could be the only evidence for a small-scale warrior burial in the area of Mesara (wooden bier and bronze tools) (Girella 2015: 368), not often found elsewhere on the island in the same tomb where larnax burials were used.</w:t>
      </w:r>
    </w:p>
    <w:p w14:paraId="0E7D0DEF" w14:textId="77777777" w:rsidR="00832319" w:rsidRPr="005E493D" w:rsidRDefault="00832319" w:rsidP="00E858EF">
      <w:pPr>
        <w:suppressAutoHyphens/>
      </w:pPr>
      <w:r w:rsidRPr="005E493D">
        <w:tab/>
        <w:t xml:space="preserve">Regarding the data emerging from the analysis of pottery typologies, stirrup jars are the most common pottery type, found in more than 70% of tombs. A particularly high concentration of stirrup jars is visible at Kalochorafitis cemetery (60% of the total number of stirrup jars). The popularity of this shape, along with jugs, has been linked to the use of these types of vase during drinking ceremonies (Girella 2015: 365). </w:t>
      </w:r>
    </w:p>
    <w:p w14:paraId="6E8C520D" w14:textId="77777777" w:rsidR="00832319" w:rsidRPr="005E493D" w:rsidRDefault="00832319" w:rsidP="00E858EF">
      <w:pPr>
        <w:pStyle w:val="Paragrafoelenco"/>
        <w:suppressAutoHyphens/>
        <w:ind w:left="0"/>
      </w:pPr>
      <w:r w:rsidRPr="005E493D">
        <w:tab/>
        <w:t>The presence of drinking vessels (goblet, cup, conical cup) is very common as well in the sample of the assemblage examined (67% of tombs), but this class of vessels is generally found in small numbers in the assemblages. The presence of specific types (e.g. as in the case of the kylix found in Tomb B at Kalochoraphitis) and the variety of the shapes of the drinking sets functioned as a mark of the social status of the deceased, related also to the expression of the deceased’s individual identity (Girella 2015: 365-366).</w:t>
      </w:r>
    </w:p>
    <w:p w14:paraId="1834C0D3" w14:textId="77777777" w:rsidR="00832319" w:rsidRPr="005E493D" w:rsidRDefault="00832319" w:rsidP="00E858EF">
      <w:pPr>
        <w:pStyle w:val="Paragrafoelenco"/>
        <w:suppressAutoHyphens/>
        <w:ind w:left="0"/>
      </w:pPr>
      <w:r w:rsidRPr="005E493D">
        <w:tab/>
        <w:t>Regarding the location of assemblage items within the tombs, it is interesting to note how drinking vessels are exclusively found outside the larnakes, while stirrup jars (along with personal items such as jewellery or bronze tools) are usually found within the larnakes (Girella 2015:365). Even if the data available regarding the position of different items within the burials is scarce and they have not been analysed for the present study, this evidence could reveal that in specific contexts stirrup jars could have had an importance not only linked to the rite performed, but they could have functioned also for expressing status, as suggested by the presence of items imported from Chania in the Kalochoraphitis assemblage (as with no</w:t>
      </w:r>
      <w:r>
        <w:t>n-ceramic</w:t>
      </w:r>
      <w:r w:rsidRPr="005E493D">
        <w:t xml:space="preserve"> items buried with</w:t>
      </w:r>
      <w:r>
        <w:t xml:space="preserve"> the deceased within the larnax (</w:t>
      </w:r>
      <w:r w:rsidRPr="005E493D">
        <w:t>i.e. jewellery items and weapons or comb and mirrors etc.).</w:t>
      </w:r>
    </w:p>
    <w:p w14:paraId="3AD61B1F" w14:textId="77777777" w:rsidR="00832319" w:rsidRPr="005E493D" w:rsidRDefault="00832319" w:rsidP="00E858EF">
      <w:pPr>
        <w:pStyle w:val="Paragrafoelenco"/>
        <w:suppressAutoHyphens/>
        <w:ind w:left="0"/>
      </w:pPr>
      <w:r w:rsidRPr="005E493D">
        <w:tab/>
        <w:t>Generally, the fact that the mean number of pottery items is 10 per tomb, which is almost double that of no</w:t>
      </w:r>
      <w:r>
        <w:t>n-ceramic</w:t>
      </w:r>
      <w:r w:rsidRPr="005E493D">
        <w:t xml:space="preserve"> items (6), which in any case are not registered in all assemblages, could underline how in some tombs with larnakes the occurrence of specific pottery shapes and imported items could have functioned for display purposes considering the lack of prestigious materials, maybe replacing their function. Furthermore, the occurrence of pottery shapes probably used for ceremonies (stirrup jars, jugs, goblets and cups), along with the evidence of the reuse of the tomb and the larnax itself for more than one individual burial, could be all interpreted in terms of a group/family owned tomb with larnakes. </w:t>
      </w:r>
    </w:p>
    <w:p w14:paraId="42DB3E24" w14:textId="77777777" w:rsidR="00832319" w:rsidRPr="00F066FC" w:rsidRDefault="00832319" w:rsidP="00E858EF">
      <w:pPr>
        <w:pStyle w:val="Titolo3"/>
        <w:keepNext w:val="0"/>
        <w:keepLines w:val="0"/>
        <w:suppressAutoHyphens/>
      </w:pPr>
      <w:bookmarkStart w:id="1236" w:name="_Toc515640391"/>
      <w:bookmarkStart w:id="1237" w:name="_Toc515640422"/>
      <w:bookmarkStart w:id="1238" w:name="_Toc515640484"/>
      <w:bookmarkStart w:id="1239" w:name="_Toc393044339"/>
      <w:bookmarkStart w:id="1240" w:name="_Toc519894719"/>
      <w:r w:rsidRPr="00F066FC">
        <w:t>Conclusions</w:t>
      </w:r>
      <w:bookmarkEnd w:id="1236"/>
      <w:bookmarkEnd w:id="1237"/>
      <w:bookmarkEnd w:id="1238"/>
      <w:bookmarkEnd w:id="1239"/>
      <w:bookmarkEnd w:id="1240"/>
    </w:p>
    <w:p w14:paraId="6FEBC8A9" w14:textId="77777777" w:rsidR="00832319" w:rsidRPr="005E493D" w:rsidRDefault="00832319" w:rsidP="00E858EF">
      <w:pPr>
        <w:pStyle w:val="Paragrafoelenco"/>
        <w:suppressAutoHyphens/>
        <w:ind w:left="0"/>
      </w:pPr>
      <w:r w:rsidRPr="005E493D">
        <w:t>In the Mesara area, the adoption of larnakes is characterised by the same contextual association generally observed across the entire island (chamber tomb, clay chest, stirrup jar). However, after a deeper examination of the burial contexts with larnakes, a more varied picture emerges.</w:t>
      </w:r>
    </w:p>
    <w:p w14:paraId="437DF694" w14:textId="77777777" w:rsidR="00832319" w:rsidRPr="005E493D" w:rsidRDefault="00832319" w:rsidP="00E858EF">
      <w:pPr>
        <w:pStyle w:val="Paragrafoelenco"/>
        <w:suppressAutoHyphens/>
        <w:ind w:left="0"/>
      </w:pPr>
      <w:r w:rsidRPr="005E493D">
        <w:tab/>
        <w:t xml:space="preserve">Burial choices in terms of architecture are not homogeneous; there is reuse of old burial locations, the building of new cemeteries and also the adoption of different tomb types. Despite the general lack of display regarding tomb monumentality, there are two exceptions in the northwest area: the corbel-vaulted tomb at Apodoulou Sata and Chamber Tomb B at Kalochorafitis Anevolema B. In the first case, the architectural monumentality of the tomb is not accompanied by evidence of a wealthy assemblage. Instead, the assemblages have a high degree of variability of material types and items, visible also in the pottery assemblage (e.g. 50 stirrup jars recovered in this tomb; furthermore, the presence of uncommon shapes, such as feeding bottle and bird vase, and Chania imports). It is worth noting that these two tombs have a high concentration of larnakes (parts of them are decorated with representational </w:t>
      </w:r>
      <w:r>
        <w:t>motif</w:t>
      </w:r>
      <w:r w:rsidRPr="005E493D">
        <w:t>s). This evidence suggests a higher level of burial ostentation in both cases.</w:t>
      </w:r>
    </w:p>
    <w:p w14:paraId="526956EB" w14:textId="77777777" w:rsidR="00832319" w:rsidRPr="005E493D" w:rsidRDefault="00832319" w:rsidP="00E858EF">
      <w:pPr>
        <w:pStyle w:val="Paragrafoelenco"/>
        <w:suppressAutoHyphens/>
        <w:ind w:left="0"/>
      </w:pPr>
      <w:r w:rsidRPr="005E493D">
        <w:tab/>
        <w:t>Lack of uniformity emerges also from the analysis of interment methods associated with larnakes, even though the adoption of other burial deposition methods with larnakes is confined to a limited number of tombs, in particular Agia Triada cemetery (northeast area) and in one tomb at Stavros Galias, in which larnakes were associated respectively with a stone sarcophagus and wooden bier burial. Also, in the case of these two tombs, from the analysis of the composition and character of the grave goods offerings, a higher degree of status display emerges. This is particularly true for the bronze assemblage of the Stavros Galias tomb (it is, however, possible that the burial assemblage of the Agia Triada tombs was deeply disturbed/reused/looted).</w:t>
      </w:r>
    </w:p>
    <w:p w14:paraId="2E385654" w14:textId="77777777" w:rsidR="00832319" w:rsidRPr="005E493D" w:rsidRDefault="00832319" w:rsidP="00E858EF">
      <w:pPr>
        <w:pStyle w:val="Paragrafoelenco"/>
        <w:suppressAutoHyphens/>
        <w:ind w:left="0"/>
      </w:pPr>
      <w:r w:rsidRPr="005E493D">
        <w:tab/>
        <w:t xml:space="preserve">Finally, diversity is visible regarding larnax decoration also. In the cemeteries in the northwest area of the region, there is a prevalence for the adoption of ‘richly’ decorated larnakes. From these differences, it emerges that within the Mesara area strategies for burial ostentation were still practised in burials with larnakes. This aspect reveals the existence of competition among local elites. This competition sometimes involved explicit investment in already established wealth markers, such as tomb architecture and rich assemblages, even if on a small scale (e.g. weapons and seals), and on a large scale at Kalyvia, whereas larnax burials were not adopted (Preston 2004; Savignoni 1904). In the vast majority of cases, however, new strategies were applied, with an important role played by larnakes and pottery assemblages. </w:t>
      </w:r>
    </w:p>
    <w:p w14:paraId="4254B001" w14:textId="77777777" w:rsidR="00832319" w:rsidRPr="00F066FC" w:rsidRDefault="00832319" w:rsidP="00E858EF">
      <w:pPr>
        <w:pStyle w:val="Paragrafoelenco"/>
        <w:suppressAutoHyphens/>
        <w:ind w:left="0"/>
      </w:pPr>
      <w:r w:rsidRPr="005E493D">
        <w:tab/>
        <w:t xml:space="preserve">Both larnakes and pottery assemblages functioned as media of status display: larnakes through the occurrence of decorated representation (i.e. the occurrence of representational [unique] scene composition), and grave goods assemblages through the careful composition and character of pottery types associated with the burials. </w:t>
      </w:r>
      <w:r w:rsidRPr="00F066FC">
        <w:t>These two tendencies are both symptoms of the existence of local elites in local hierarchies. These elites functioned at a reduced level of power, for which the main evidence is limited access to valuable materials and prestigious items. However, the evidence of their status and competition is the result of a redistribution</w:t>
      </w:r>
      <w:r>
        <w:t xml:space="preserve"> of power among several centres (e.g. see also the shift in the urban development of Agia Triada in LM IIIA2 late: Privitera 2014: 440-441). </w:t>
      </w:r>
    </w:p>
    <w:p w14:paraId="45F0E7E3" w14:textId="0E8DE98C" w:rsidR="00832319" w:rsidRPr="00F066FC" w:rsidRDefault="00832319" w:rsidP="00E858EF">
      <w:pPr>
        <w:pStyle w:val="Titolo2"/>
        <w:keepNext w:val="0"/>
        <w:keepLines w:val="0"/>
        <w:suppressAutoHyphens/>
      </w:pPr>
      <w:bookmarkStart w:id="1241" w:name="_Toc393044340"/>
      <w:bookmarkStart w:id="1242" w:name="_Toc519894720"/>
      <w:r w:rsidRPr="00F066FC">
        <w:t>Knossos</w:t>
      </w:r>
      <w:bookmarkEnd w:id="1241"/>
      <w:bookmarkEnd w:id="1242"/>
      <w:r w:rsidR="00AD1B4B">
        <w:t xml:space="preserve"> area</w:t>
      </w:r>
    </w:p>
    <w:p w14:paraId="45FCBAEB" w14:textId="77777777" w:rsidR="00832319" w:rsidRPr="00F066FC" w:rsidRDefault="00832319" w:rsidP="00E858EF">
      <w:pPr>
        <w:pStyle w:val="Titolo3"/>
        <w:keepNext w:val="0"/>
        <w:keepLines w:val="0"/>
        <w:suppressAutoHyphens/>
      </w:pPr>
      <w:bookmarkStart w:id="1243" w:name="_Toc515640392"/>
      <w:bookmarkStart w:id="1244" w:name="_Toc515640423"/>
      <w:bookmarkStart w:id="1245" w:name="_Toc515640485"/>
      <w:bookmarkStart w:id="1246" w:name="_Toc393044341"/>
      <w:bookmarkStart w:id="1247" w:name="_Toc519894721"/>
      <w:r w:rsidRPr="00F066FC">
        <w:t>Analysis</w:t>
      </w:r>
      <w:bookmarkEnd w:id="1243"/>
      <w:bookmarkEnd w:id="1244"/>
      <w:bookmarkEnd w:id="1245"/>
      <w:bookmarkEnd w:id="1246"/>
      <w:bookmarkEnd w:id="1247"/>
    </w:p>
    <w:p w14:paraId="0B9B9FD8" w14:textId="77777777" w:rsidR="00832319" w:rsidRPr="005E493D" w:rsidRDefault="00832319" w:rsidP="00E858EF">
      <w:pPr>
        <w:pStyle w:val="Paragrafoelenco"/>
        <w:suppressAutoHyphens/>
        <w:ind w:left="0"/>
      </w:pPr>
      <w:r w:rsidRPr="005E493D">
        <w:t>In the Knossos region, larnakes are mainly distributed north of the palace of Knossos (only Gypsades is south</w:t>
      </w:r>
      <w:r>
        <w:t xml:space="preserve"> and Mavro Spelio east of the Knossos palace</w:t>
      </w:r>
      <w:r w:rsidRPr="005E493D">
        <w:t>), following the course of the river Kairatos. Four out of seven cemeteries where larnakes are securely attested were already in use before LM III and reused in LM III with the introduction of larnax burials. However, three cemeteries were newly built in LM III. All the cemeteries seem to have been established before the collapse of the Knossos palace (first phase of LM IIIA2 for the present study). The standardised use of larnax burials was introduced from LM IIIA2 onwards (Preston 2004a, 2004b; Hatzaki 2016).</w:t>
      </w:r>
    </w:p>
    <w:p w14:paraId="6C4FC61B" w14:textId="77777777" w:rsidR="00832319" w:rsidRPr="005E493D" w:rsidRDefault="00832319" w:rsidP="00E858EF">
      <w:pPr>
        <w:pStyle w:val="Paragrafoelenco"/>
        <w:suppressAutoHyphens/>
        <w:ind w:left="0"/>
      </w:pPr>
      <w:r w:rsidRPr="005E493D">
        <w:tab/>
        <w:t>The highest number of tombs with larnak</w:t>
      </w:r>
      <w:r>
        <w:t>es is at Zafer Papoura, which has</w:t>
      </w:r>
      <w:r w:rsidRPr="005E493D">
        <w:t xml:space="preserve"> the largest </w:t>
      </w:r>
      <w:r>
        <w:t>number of excavated tombs</w:t>
      </w:r>
      <w:r w:rsidRPr="005E493D">
        <w:t xml:space="preserve">. All cemeteries have more than a single tomb, except for Mastambas (only one tomb, although it is possible that there are other in the area). The only type of larnax adopted in burial contexts is chest-shaped; bathtubs are attested, but in few </w:t>
      </w:r>
      <w:r>
        <w:t>examples, and they are from in</w:t>
      </w:r>
      <w:r w:rsidRPr="005E493D">
        <w:t>secure burial context or</w:t>
      </w:r>
      <w:r>
        <w:t xml:space="preserve"> from</w:t>
      </w:r>
      <w:r w:rsidRPr="005E493D">
        <w:t xml:space="preserve"> settlements. Undecorated larnakes are much more common than decorated ones. The sample for which it is possible to examine the decoration is small (13 items) due to data limits. Few are decorated, and then mainly with simple repetitive </w:t>
      </w:r>
      <w:r>
        <w:t>motif</w:t>
      </w:r>
      <w:r w:rsidRPr="005E493D">
        <w:t xml:space="preserve">s. There are two exceptions, even though in both cases there are data limit problems either due to the preservation of the decoration or to the context. </w:t>
      </w:r>
      <w:r>
        <w:t xml:space="preserve">Evening allowing for </w:t>
      </w:r>
      <w:r w:rsidRPr="005E493D">
        <w:t xml:space="preserve">the data limits, decorated larnakes were not popular, and their function within the burial stage was probably limited (or secondary). </w:t>
      </w:r>
    </w:p>
    <w:p w14:paraId="4B6FF331" w14:textId="77777777" w:rsidR="00832319" w:rsidRPr="005E493D" w:rsidRDefault="00832319" w:rsidP="00E858EF">
      <w:pPr>
        <w:pStyle w:val="Paragrafoelenco"/>
        <w:suppressAutoHyphens/>
        <w:ind w:left="0"/>
      </w:pPr>
      <w:r w:rsidRPr="005E493D">
        <w:tab/>
        <w:t xml:space="preserve">It is likely that, in the Knossos cemeteries, decorated larnakes were </w:t>
      </w:r>
      <w:r>
        <w:t>less</w:t>
      </w:r>
      <w:r w:rsidRPr="005E493D">
        <w:t xml:space="preserve"> used as a medium of display within the burial context; so, probably, this either means they were used within the burial for display/differentiating purposes (burial display in post-palatial Knossos functioned with a reduced level or display within the burial) or they were not needed because of the previous prestige expressed through earlier burials </w:t>
      </w:r>
      <w:r>
        <w:t xml:space="preserve">for </w:t>
      </w:r>
      <w:r w:rsidRPr="005E493D">
        <w:t>which the groups adopting clay larnakes were benefitting.</w:t>
      </w:r>
    </w:p>
    <w:p w14:paraId="20D18288" w14:textId="77777777" w:rsidR="00832319" w:rsidRPr="005E493D" w:rsidRDefault="00832319" w:rsidP="00E858EF">
      <w:pPr>
        <w:pStyle w:val="Paragrafoelenco"/>
        <w:suppressAutoHyphens/>
        <w:ind w:left="0"/>
      </w:pPr>
      <w:r w:rsidRPr="005E493D">
        <w:tab/>
        <w:t xml:space="preserve">The vast majority of the cemeteries where larnakes were adopted </w:t>
      </w:r>
      <w:r>
        <w:t>display a variety of tomb types</w:t>
      </w:r>
      <w:r w:rsidRPr="005E493D">
        <w:t>. However, regarding the tombs with larnakes, this variety seems reduced, and the association of chamber tomb-larnax burial is by far the most adopted. The association of larnakes with both corbel-vaulted tombs and pit caves is an isolated phenomenon. There is slightly more evidence for the association of larnakes and shaft graves.</w:t>
      </w:r>
    </w:p>
    <w:p w14:paraId="20896C2E" w14:textId="77777777" w:rsidR="00832319" w:rsidRPr="005E493D" w:rsidRDefault="00832319" w:rsidP="00E858EF">
      <w:pPr>
        <w:pStyle w:val="Paragrafoelenco"/>
        <w:suppressAutoHyphens/>
        <w:ind w:left="0"/>
      </w:pPr>
      <w:r w:rsidRPr="005E493D">
        <w:tab/>
        <w:t>It is important to note that shaft graves and pit caves occur in association with larnakes only in the Knossos region and nowhere else on the island. Furthermore, both shaft graves and chamber tombs, in some cases, have peculiar features, such as the presence of multiple chambers or irregularity of shape. From the data available, larnakes seem absent from monumental tombs in the Knossos region, where there is evidence for the largest and most monumental tombs on the entire island (Preston 2004). The only exception to these data is one tomb at Katsambas</w:t>
      </w:r>
      <w:r>
        <w:t>. H</w:t>
      </w:r>
      <w:r w:rsidRPr="005E493D">
        <w:t>owever, this was in use since LM IIIA1 and a deposition on a wooden bier was found also. Thus, the monumentality is possibly connected with the wooden bier, as with all the other tombs of the cemetery, and not with the clay larnake</w:t>
      </w:r>
      <w:r>
        <w:t>s, which were a later intrusion</w:t>
      </w:r>
      <w:r w:rsidRPr="005E493D">
        <w:t xml:space="preserve">. The use of multiple chamber tombs at Mavro Spelio is a sign of monumentality, although these tombs </w:t>
      </w:r>
      <w:r>
        <w:t xml:space="preserve">were cut in </w:t>
      </w:r>
      <w:r w:rsidRPr="005E493D">
        <w:t>the neo-palatial phase</w:t>
      </w:r>
      <w:r>
        <w:t>, and then</w:t>
      </w:r>
      <w:r w:rsidRPr="005E493D">
        <w:t xml:space="preserve"> reused in LM III with larnax burials (e.g. Quadruple Chamber Tomb IX). Consequently, the general investment in tomb architecture for this cemetery should be referred to a previous phase. Instead, in this cemetery, in the final post-palatial period, single chamber tombs with dromoi were built. </w:t>
      </w:r>
    </w:p>
    <w:p w14:paraId="5307F335" w14:textId="77777777" w:rsidR="00832319" w:rsidRPr="005E493D" w:rsidRDefault="00832319" w:rsidP="00E858EF">
      <w:pPr>
        <w:pStyle w:val="Paragrafoelenco"/>
        <w:suppressAutoHyphens/>
        <w:ind w:left="0"/>
      </w:pPr>
      <w:r w:rsidRPr="005E493D">
        <w:tab/>
        <w:t>It is possible to conclude that the occurrence of monumentality in the Knossos region does not seem connected with larnax use, and it seems a feature that follows chronological variation, more than being connected to synchronic features (i.e. different resources available from different groups).</w:t>
      </w:r>
    </w:p>
    <w:p w14:paraId="730A1191" w14:textId="77777777" w:rsidR="00832319" w:rsidRPr="005E493D" w:rsidRDefault="00832319" w:rsidP="00E858EF">
      <w:pPr>
        <w:pStyle w:val="Paragrafoelenco"/>
        <w:suppressAutoHyphens/>
        <w:ind w:left="0"/>
      </w:pPr>
      <w:r w:rsidRPr="005E493D">
        <w:tab/>
        <w:t xml:space="preserve">Larnakes are not the exclusive burial method adopted in cemeteries where they have been found, except for Mastambas (only one tomb). Tombs without larnax </w:t>
      </w:r>
      <w:r>
        <w:t>burials make up</w:t>
      </w:r>
      <w:r w:rsidRPr="005E493D">
        <w:t xml:space="preserve"> the majority in four out of seven cemeteries (Zafer Papoura, Katsambas, Sellopoulo and Lower Gypsades). In these cemeteries, instead of larnakes, other types of burial receptacle made of wood (Katsambas, Upper Gypsades) or other interment methods, such as the floor or pit burials (Zafer Papoura, Sellopoulo, Mavro Spelio) were used. At cemeteries where l</w:t>
      </w:r>
      <w:r>
        <w:t>arnax burials are not recorded</w:t>
      </w:r>
      <w:r w:rsidRPr="005E493D">
        <w:t xml:space="preserve"> (e.g. Isopata, Agios Ioannis), either wooden receptacles or bench burials are attested. The only burial method that occurs in different cemeteries and is never associated with larnakes (neither in the same cemetery nor in the same tomb) is deposition on benches. </w:t>
      </w:r>
    </w:p>
    <w:p w14:paraId="6450D54B" w14:textId="77777777" w:rsidR="00832319" w:rsidRPr="005E493D" w:rsidRDefault="00832319" w:rsidP="00E858EF">
      <w:pPr>
        <w:pStyle w:val="Paragrafoelenco"/>
        <w:suppressAutoHyphens/>
        <w:ind w:left="0"/>
      </w:pPr>
      <w:r w:rsidRPr="005E493D">
        <w:tab/>
        <w:t>The Knossos area (and the Central region but in a larger sample of tombs) has the highest occurrence of</w:t>
      </w:r>
      <w:r>
        <w:t xml:space="preserve"> attested</w:t>
      </w:r>
      <w:r w:rsidRPr="005E493D">
        <w:t xml:space="preserve"> wooden bier burials on the entire island. However, wooden bier/coffins and clay chest-shaped larnakes seem to have been in use in two different chronological phases (no evidence for wooden bier/coffin burials after LM IIIA1).</w:t>
      </w:r>
    </w:p>
    <w:p w14:paraId="0C139490" w14:textId="77777777" w:rsidR="00832319" w:rsidRPr="00F066FC" w:rsidRDefault="00832319" w:rsidP="00E858EF">
      <w:pPr>
        <w:suppressAutoHyphens/>
      </w:pPr>
      <w:r w:rsidRPr="005E493D">
        <w:tab/>
        <w:t xml:space="preserve">Regarding other deposition methods recovered in the same tomb with larnakes, these are, in the vast majority of cases, floor burials (e.g. Zafer Papoura), and there is evidence also for pit burials (though on a much smaller scale). Due to the popularity of floor burials in the previous phase, the coexistence of floor depositions and receptacle burials could be a sign </w:t>
      </w:r>
      <w:r>
        <w:t xml:space="preserve">that </w:t>
      </w:r>
      <w:r w:rsidRPr="005E493D">
        <w:t>the earlier practice</w:t>
      </w:r>
      <w:r>
        <w:t xml:space="preserve"> were not completely abandoned</w:t>
      </w:r>
      <w:r w:rsidRPr="005E493D">
        <w:t xml:space="preserve">. </w:t>
      </w:r>
      <w:r w:rsidRPr="00F066FC">
        <w:t xml:space="preserve">The only other burial container used in association with larnakes in the same tomb is </w:t>
      </w:r>
      <w:r>
        <w:t xml:space="preserve">a </w:t>
      </w:r>
      <w:r w:rsidRPr="00F066FC">
        <w:t>wooden bier/coffin (Katsambas Tomb H).</w:t>
      </w:r>
    </w:p>
    <w:p w14:paraId="66370485" w14:textId="77777777" w:rsidR="00832319" w:rsidRPr="005E493D" w:rsidRDefault="00832319" w:rsidP="00E858EF">
      <w:pPr>
        <w:pStyle w:val="Paragrafoelenco"/>
        <w:suppressAutoHyphens/>
        <w:ind w:left="0"/>
      </w:pPr>
      <w:r w:rsidRPr="005E493D">
        <w:tab/>
        <w:t xml:space="preserve">Despite the scarce evidence available from the dataset, it is possible to note that tombs with larnakes in Knossos region were used for more than one burial, but the tendency registered within the tombs shows that, generally, the addition of a new burial does not compromise the already existing one (e.g. in a larnax or on the floor). Furthermore, even when the existing burials are disturbed, the practice does not involve the manipulation of the body (e.g. breaking larnakes and adding new ones at Lower Gypsades). This means that, generally, the individual space occupied by the deceased was respected, and the introduction of new burials coincided with the introduction of another clay larnax or a deposition on the floor. Although the presence of secondary burial use for larnakes is attested (e.g. Lower Gypsades), it is generally possible to observe an effort to preserve the individuality of the deceased. </w:t>
      </w:r>
    </w:p>
    <w:p w14:paraId="67B54299" w14:textId="77777777" w:rsidR="00832319" w:rsidRPr="005E493D" w:rsidRDefault="00832319" w:rsidP="00E858EF">
      <w:pPr>
        <w:pStyle w:val="Paragrafoelenco"/>
        <w:suppressAutoHyphens/>
        <w:ind w:left="0"/>
      </w:pPr>
      <w:r w:rsidRPr="005E493D">
        <w:tab/>
        <w:t>The evidence for secondary burial depositions in tomb</w:t>
      </w:r>
      <w:r>
        <w:t>s</w:t>
      </w:r>
      <w:r w:rsidRPr="005E493D">
        <w:t xml:space="preserve"> with larnakes, even if not attested on a large scale, represents a change towards more varied burial customs in respect of body treatment, especially regarding the previous phase (final palatial); whereas, secondary burial depositions were avoided and attest to the will of preserving the deceased body intact (Hatzaki 2016: 201).</w:t>
      </w:r>
    </w:p>
    <w:p w14:paraId="2FC8D115" w14:textId="77777777" w:rsidR="00832319" w:rsidRPr="005E493D" w:rsidRDefault="00832319" w:rsidP="00E858EF">
      <w:pPr>
        <w:suppressAutoHyphens/>
      </w:pPr>
      <w:r w:rsidRPr="005E493D">
        <w:tab/>
        <w:t>Regarding gender and age, the sample of tombs for which there is information is very small and does not allow any specific association (also because no anthropologic</w:t>
      </w:r>
      <w:r>
        <w:t>al studies have been conducted on</w:t>
      </w:r>
      <w:r w:rsidRPr="005E493D">
        <w:t xml:space="preserve"> the skeletal remains, with the only exception being Uppe</w:t>
      </w:r>
      <w:r>
        <w:t>r Gypsades: see Hood et al. 1958-1959: 200 n.</w:t>
      </w:r>
      <w:r w:rsidRPr="005E493D">
        <w:t xml:space="preserve"> 4; Preston 2000: 157)</w:t>
      </w:r>
    </w:p>
    <w:p w14:paraId="4609E2E1" w14:textId="77777777" w:rsidR="00832319" w:rsidRPr="005E493D" w:rsidRDefault="00832319" w:rsidP="00E858EF">
      <w:pPr>
        <w:pStyle w:val="Paragrafoelenco"/>
        <w:suppressAutoHyphens/>
        <w:ind w:left="0"/>
      </w:pPr>
      <w:r w:rsidRPr="005E493D">
        <w:tab/>
        <w:t xml:space="preserve">Regarding the material variety within the assemblage, the number of tombs with larnakes in </w:t>
      </w:r>
      <w:r>
        <w:t>the Knossos region that display</w:t>
      </w:r>
      <w:r w:rsidRPr="005E493D">
        <w:t xml:space="preserve"> a degree of variety is higher than</w:t>
      </w:r>
      <w:r>
        <w:t xml:space="preserve"> in</w:t>
      </w:r>
      <w:r w:rsidRPr="005E493D">
        <w:t xml:space="preserve"> other regions. Furthermore, the presence of precious materials is slightly higher in comparison with the other regions (i.e. gold and ivory, especially at Mavro Spelio, Katsambas, Upper Gypsades). However, the proportion of material variety and wealth from the sample of tombs analysed is not comparable at all to the wealth assemblages in tombs from the previous phase (LM II-LM IIIA1), does not represent a significantly different pattern in comparison with burials with larnakes across the island, </w:t>
      </w:r>
      <w:r>
        <w:t>and can be explained through</w:t>
      </w:r>
      <w:r w:rsidRPr="005E493D">
        <w:t xml:space="preserve"> the reuse of pre-existing burials.</w:t>
      </w:r>
    </w:p>
    <w:p w14:paraId="045199D3" w14:textId="499780D3" w:rsidR="00832319" w:rsidRPr="005E493D" w:rsidRDefault="00832319" w:rsidP="00E858EF">
      <w:pPr>
        <w:pStyle w:val="Paragrafoelenco"/>
        <w:suppressAutoHyphens/>
        <w:ind w:left="0"/>
      </w:pPr>
      <w:r w:rsidRPr="005E493D">
        <w:tab/>
        <w:t>Pottery is the most common material found in the vast majority of tombs</w:t>
      </w:r>
      <w:r w:rsidR="00C041B7">
        <w:t>, but</w:t>
      </w:r>
      <w:r w:rsidRPr="005E493D">
        <w:t xml:space="preserve"> </w:t>
      </w:r>
      <w:r w:rsidR="00FC1AB1">
        <w:t xml:space="preserve">non-ceramic items occur </w:t>
      </w:r>
      <w:r w:rsidRPr="005E493D">
        <w:t>in nearly 80% of tombs. The two classes of no</w:t>
      </w:r>
      <w:r>
        <w:t>n-ceramic</w:t>
      </w:r>
      <w:r w:rsidRPr="005E493D">
        <w:t xml:space="preserve"> items with the highest occurrence are jewellery/body adornment objects (in particular beads, rings and seals). Except for knives, the deposition of objects from other classes (including other types of weapons) is rare and confined to a few tombs.</w:t>
      </w:r>
    </w:p>
    <w:p w14:paraId="4986DD16" w14:textId="77777777" w:rsidR="00832319" w:rsidRPr="005E493D" w:rsidRDefault="00832319" w:rsidP="00E858EF">
      <w:pPr>
        <w:pStyle w:val="Paragrafoelenco"/>
        <w:suppressAutoHyphens/>
        <w:ind w:left="0"/>
      </w:pPr>
      <w:r>
        <w:tab/>
        <w:t>Regarding pottery types</w:t>
      </w:r>
      <w:r w:rsidRPr="005E493D">
        <w:t xml:space="preserve"> occurrence, the most common shape is the stirrup jar. The occurrence of drinking and pouri</w:t>
      </w:r>
      <w:r>
        <w:t>ng shapes is much less common (but</w:t>
      </w:r>
      <w:r w:rsidRPr="005E493D">
        <w:t>, Katsambas Tomb H has a high concentration of drinking and pouring shapes). What is interesting to note is the popularity of braziers (a shape very rare in burial contexts from other regions) and the complete absence of ritual vessels (i.e. rhyton, kernos, ring vase).</w:t>
      </w:r>
    </w:p>
    <w:p w14:paraId="55DC7FFD" w14:textId="77777777" w:rsidR="00832319" w:rsidRPr="005E493D" w:rsidRDefault="00832319" w:rsidP="00E858EF">
      <w:pPr>
        <w:pStyle w:val="Paragrafoelenco"/>
        <w:suppressAutoHyphens/>
        <w:ind w:left="0"/>
      </w:pPr>
      <w:r w:rsidRPr="005E493D">
        <w:tab/>
        <w:t>The evidence from the grave goods assemblages (more evidence for personal possessions of the deceased, i.e. no</w:t>
      </w:r>
      <w:r>
        <w:t>n-ceramic</w:t>
      </w:r>
      <w:r w:rsidRPr="005E493D">
        <w:t xml:space="preserve"> items) confirms the evidence from the burial deposition customs and indicates much care for individuality, which in the case of the Knossos region displays a form of continuity with the burial customs of the previous phase (slow change and regional tradition).</w:t>
      </w:r>
    </w:p>
    <w:p w14:paraId="0726F570" w14:textId="77777777" w:rsidR="00832319" w:rsidRPr="00F066FC" w:rsidRDefault="00832319" w:rsidP="00E858EF">
      <w:pPr>
        <w:pStyle w:val="Titolo3"/>
        <w:keepNext w:val="0"/>
        <w:keepLines w:val="0"/>
        <w:suppressAutoHyphens/>
      </w:pPr>
      <w:bookmarkStart w:id="1248" w:name="_Toc515640393"/>
      <w:bookmarkStart w:id="1249" w:name="_Toc515640424"/>
      <w:bookmarkStart w:id="1250" w:name="_Toc515640486"/>
      <w:bookmarkStart w:id="1251" w:name="_Toc393044342"/>
      <w:bookmarkStart w:id="1252" w:name="_Toc519894722"/>
      <w:r w:rsidRPr="00F066FC">
        <w:t>Conclusion</w:t>
      </w:r>
      <w:bookmarkEnd w:id="1248"/>
      <w:bookmarkEnd w:id="1249"/>
      <w:bookmarkEnd w:id="1250"/>
      <w:r w:rsidRPr="00F066FC">
        <w:t>s</w:t>
      </w:r>
      <w:bookmarkEnd w:id="1251"/>
      <w:bookmarkEnd w:id="1252"/>
    </w:p>
    <w:p w14:paraId="7CA28C12" w14:textId="1815745D" w:rsidR="00832319" w:rsidRPr="00F066FC" w:rsidRDefault="00832319" w:rsidP="00E858EF">
      <w:pPr>
        <w:suppressAutoHyphens/>
      </w:pPr>
      <w:r w:rsidRPr="005E493D">
        <w:t xml:space="preserve">The evidence that emerges from the contextual analysis of tombs with larnakes in the Knossos region provides a relatively homogenous panorama </w:t>
      </w:r>
      <w:r>
        <w:t xml:space="preserve">in which larnakes </w:t>
      </w:r>
      <w:r w:rsidR="00C041B7">
        <w:t xml:space="preserve">are </w:t>
      </w:r>
      <w:r>
        <w:t xml:space="preserve">not </w:t>
      </w:r>
      <w:r w:rsidR="00C041B7">
        <w:t>associated</w:t>
      </w:r>
      <w:r>
        <w:t xml:space="preserve"> with </w:t>
      </w:r>
      <w:r w:rsidRPr="005E493D">
        <w:t xml:space="preserve">the use of </w:t>
      </w:r>
      <w:r>
        <w:t xml:space="preserve">monumental tombs </w:t>
      </w:r>
      <w:r w:rsidR="00C041B7">
        <w:t>or with</w:t>
      </w:r>
      <w:r>
        <w:t xml:space="preserve"> grave goods </w:t>
      </w:r>
      <w:r w:rsidRPr="005E493D">
        <w:t xml:space="preserve">assemblages </w:t>
      </w:r>
      <w:r w:rsidR="00C041B7">
        <w:t>rich in</w:t>
      </w:r>
      <w:r w:rsidRPr="005E493D">
        <w:t xml:space="preserve"> pots, even though the same symbolic vocabulary is still in use in the burials. </w:t>
      </w:r>
      <w:r w:rsidRPr="00F066FC">
        <w:t>This general trend</w:t>
      </w:r>
      <w:r>
        <w:t xml:space="preserve"> (lack of tomb monumentalit</w:t>
      </w:r>
      <w:r w:rsidR="00C041B7">
        <w:t>y</w:t>
      </w:r>
      <w:r>
        <w:t xml:space="preserve"> and </w:t>
      </w:r>
      <w:r w:rsidR="00C041B7">
        <w:t xml:space="preserve">of </w:t>
      </w:r>
      <w:r>
        <w:t>particularly rich grave good assemblage</w:t>
      </w:r>
      <w:r w:rsidR="00E81198">
        <w:t>s in association with larnakes</w:t>
      </w:r>
      <w:r>
        <w:t>)</w:t>
      </w:r>
      <w:r w:rsidRPr="00F066FC">
        <w:t xml:space="preserve"> is comparable with what was generally happening in</w:t>
      </w:r>
      <w:r>
        <w:t xml:space="preserve"> tombs with larnakes in </w:t>
      </w:r>
      <w:r w:rsidRPr="00F066FC">
        <w:t>the other regions.</w:t>
      </w:r>
      <w:r>
        <w:t xml:space="preserve"> Therefore burial customs linked to larnax use</w:t>
      </w:r>
      <w:r w:rsidRPr="00F066FC">
        <w:t xml:space="preserve"> </w:t>
      </w:r>
      <w:r>
        <w:t xml:space="preserve">represent a shift especially </w:t>
      </w:r>
      <w:r w:rsidRPr="00F066FC">
        <w:t>looking at previous burials from the same region (LM II- LMIIIA1</w:t>
      </w:r>
      <w:r>
        <w:t xml:space="preserve"> burials at Knossos</w:t>
      </w:r>
      <w:r w:rsidRPr="00F066FC">
        <w:t xml:space="preserve">). </w:t>
      </w:r>
    </w:p>
    <w:p w14:paraId="02E48C33" w14:textId="77777777" w:rsidR="00832319" w:rsidRPr="005E493D" w:rsidRDefault="00832319" w:rsidP="00E858EF">
      <w:pPr>
        <w:pStyle w:val="Paragrafoelenco"/>
        <w:suppressAutoHyphens/>
        <w:ind w:left="0"/>
      </w:pPr>
      <w:r w:rsidRPr="005E493D">
        <w:tab/>
        <w:t xml:space="preserve">The first piece of evidence to highlight is that cemeteries in which larnax use is attested were all built before LM IIIA2. Few cemeteries were newly built in the LM III phase at Knossos, and those that were are characterised by a general tendency for homogeneity (prevalence of chamber tombs) and a lack of architectural investment (e.g. Zafer Papoura). The only monumental tomb where larnax burials are associated (Katsambas H) was constructed in LM IIIA1. Consequently, its first chronological use is probably represented by the wooden bier. If this hypothesis is valid, clay larnax burials represent a reuse in the case of this monumental tomb at Katsambas, as with the reuse of multiple chamber tombs at Mavro Spelio. Compared with the previous phase (LM II in particular), no </w:t>
      </w:r>
      <w:r>
        <w:t xml:space="preserve">special </w:t>
      </w:r>
      <w:r w:rsidRPr="005E493D">
        <w:t xml:space="preserve">architectural investment is connected with larnax use in the Knossos region. </w:t>
      </w:r>
    </w:p>
    <w:p w14:paraId="14E3252C" w14:textId="77777777" w:rsidR="00832319" w:rsidRPr="005E493D" w:rsidRDefault="00832319" w:rsidP="00E858EF">
      <w:pPr>
        <w:pStyle w:val="Paragrafoelenco"/>
        <w:suppressAutoHyphens/>
        <w:ind w:left="0"/>
      </w:pPr>
      <w:r w:rsidRPr="005E493D">
        <w:tab/>
        <w:t>The evidence from assemblage composition confirms the same trend of a lack of ostentation.  Generally, variety of material is present, although not on a large scale. This is valid also for the presence of precious no</w:t>
      </w:r>
      <w:r>
        <w:t>n-ceramic items. The few exceptions in</w:t>
      </w:r>
      <w:r w:rsidRPr="005E493D">
        <w:t xml:space="preserve"> the dataset can be explained as reused contexts and as memories of past wealth customs. </w:t>
      </w:r>
    </w:p>
    <w:p w14:paraId="6915B5A4" w14:textId="77777777" w:rsidR="00832319" w:rsidRPr="00F066FC" w:rsidRDefault="00832319" w:rsidP="00E858EF">
      <w:pPr>
        <w:pStyle w:val="Paragrafoelenco"/>
        <w:suppressAutoHyphens/>
        <w:ind w:left="0"/>
      </w:pPr>
      <w:r w:rsidRPr="005E493D">
        <w:tab/>
        <w:t xml:space="preserve">In addition to the use of tomb architecture and assemblages, the adoption of clay larnakes as burial containers represents a shift in the Knossos burials. The introduction of larnax burials brings also evidence for secondary burial use, even if not on a significant scale, and a certain degree of care for the individual body, even if to a much lower degree than in the previous period. These aspects are confirmed also by the occurrence of personal possessions within the assemblage. The still visible care for the individual, along with the coexistence of larnakes with other burial methods (e.g. floor burials, especially at Zafer Papoura), indicates that the shift to a new burial custom was not sudden in the Knossos region. </w:t>
      </w:r>
      <w:r w:rsidRPr="00F066FC">
        <w:t xml:space="preserve">Indeed, rather than a synchronic diversity linked to the different group use of different cemeteries, in the Knossos region the use of larnakes seems instead to be characterised by a standardised and homogenous pattern that suggests a chronological variation. </w:t>
      </w:r>
    </w:p>
    <w:p w14:paraId="00E64F51" w14:textId="77777777" w:rsidR="00832319" w:rsidRPr="005E493D" w:rsidRDefault="00832319" w:rsidP="00E858EF">
      <w:pPr>
        <w:suppressAutoHyphens/>
      </w:pPr>
      <w:r w:rsidRPr="005E493D">
        <w:tab/>
        <w:t xml:space="preserve">These differences are the results of a change in the political economic situation and reveal a general lack of the previous condition that allowed the existence of wealthy burials and a high degree of burial competition (with an even higher degree of ostentation in LM II and more standardised, and with a lower level of ostentation in LM IIIA1). For the surviving Knossian elites, burials continued to function as a place of display and competition among individuals, even if at a much lower scale, using the inherited customs and transforming them according to the new </w:t>
      </w:r>
      <w:r>
        <w:t xml:space="preserve">socio-political </w:t>
      </w:r>
      <w:r w:rsidRPr="005E493D">
        <w:t>situation.</w:t>
      </w:r>
    </w:p>
    <w:p w14:paraId="1E7D77C5" w14:textId="77777777" w:rsidR="00832319" w:rsidRPr="005E493D" w:rsidRDefault="00832319" w:rsidP="00E858EF">
      <w:pPr>
        <w:suppressAutoHyphens/>
      </w:pPr>
      <w:r w:rsidRPr="005E493D">
        <w:tab/>
        <w:t xml:space="preserve">This means that the use of (decorated) larnakes as a medium of display in the Knossos area cannot be considered an avoided practice. However, regarding the general evidence about larnax adoption and use, larnakes were adopted probably from the LM IIIA2 phase onward and confined to certain cemeteries and certain groups, or maybe to certain predominant individuals among the elites. </w:t>
      </w:r>
    </w:p>
    <w:p w14:paraId="4E6893E3" w14:textId="0A1DD9EC" w:rsidR="00832319" w:rsidRPr="00F066FC" w:rsidRDefault="00832319" w:rsidP="00E858EF">
      <w:pPr>
        <w:pStyle w:val="Titolo2"/>
        <w:keepNext w:val="0"/>
        <w:keepLines w:val="0"/>
        <w:suppressAutoHyphens/>
      </w:pPr>
      <w:bookmarkStart w:id="1253" w:name="_Toc393044343"/>
      <w:bookmarkStart w:id="1254" w:name="_Toc519894723"/>
      <w:r w:rsidRPr="00F066FC">
        <w:t>Centr</w:t>
      </w:r>
      <w:r w:rsidR="00AD1B4B">
        <w:t>al area</w:t>
      </w:r>
      <w:bookmarkEnd w:id="1253"/>
      <w:bookmarkEnd w:id="1254"/>
    </w:p>
    <w:p w14:paraId="1CFE5035" w14:textId="77777777" w:rsidR="00832319" w:rsidRPr="00F066FC" w:rsidRDefault="00832319" w:rsidP="00E858EF">
      <w:pPr>
        <w:pStyle w:val="Titolo3"/>
        <w:keepNext w:val="0"/>
        <w:keepLines w:val="0"/>
        <w:suppressAutoHyphens/>
      </w:pPr>
      <w:bookmarkStart w:id="1255" w:name="_Toc515640394"/>
      <w:bookmarkStart w:id="1256" w:name="_Toc515640425"/>
      <w:bookmarkStart w:id="1257" w:name="_Toc515640487"/>
      <w:bookmarkStart w:id="1258" w:name="_Toc393044344"/>
      <w:bookmarkStart w:id="1259" w:name="_Toc519894724"/>
      <w:r w:rsidRPr="00F066FC">
        <w:t>Analysis</w:t>
      </w:r>
      <w:bookmarkEnd w:id="1255"/>
      <w:bookmarkEnd w:id="1256"/>
      <w:bookmarkEnd w:id="1257"/>
      <w:bookmarkEnd w:id="1258"/>
      <w:bookmarkEnd w:id="1259"/>
      <w:r w:rsidRPr="00F066FC">
        <w:t xml:space="preserve"> </w:t>
      </w:r>
    </w:p>
    <w:p w14:paraId="6357D03A" w14:textId="77777777" w:rsidR="00832319" w:rsidRPr="005E493D" w:rsidRDefault="00832319" w:rsidP="00E858EF">
      <w:pPr>
        <w:pStyle w:val="Paragrafoelenco"/>
        <w:suppressAutoHyphens/>
        <w:ind w:left="0"/>
      </w:pPr>
      <w:r w:rsidRPr="005E493D">
        <w:t>Generally distributed throughout the entire region, larnakes were a popular interment type among Central region burials. However, it is possible to identify some clusters in areas where the density of tombs with larnakes is higher. These are the area around Archan</w:t>
      </w:r>
      <w:r>
        <w:t>es, southwest of Knossos (Gazi-</w:t>
      </w:r>
      <w:r w:rsidRPr="005E493D">
        <w:t xml:space="preserve">Tylissos-Pentamodi), and east of Knossos (Amnissos Karteros-Gournes-Episkopi Pediada). Usually, larnakes are associated with newly built LM III tombs, although in few isolated cases they are also attested for earlier burial structures (i.e. Archanes and Episkopi Pediada). Cemeteries where larnakes are attested are not very large, usually one or two tombs, with few exceptions (e.g. a maximum of 20 tombs at Episkopi Pediada). </w:t>
      </w:r>
    </w:p>
    <w:p w14:paraId="3ADC2C25" w14:textId="77777777" w:rsidR="00832319" w:rsidRPr="005E493D" w:rsidRDefault="00832319" w:rsidP="00E858EF">
      <w:pPr>
        <w:pStyle w:val="Paragrafoelenco"/>
        <w:suppressAutoHyphens/>
        <w:ind w:left="0"/>
      </w:pPr>
      <w:r w:rsidRPr="005E493D">
        <w:tab/>
        <w:t>Regarding tomb architecture, these cemeteries are relatively homogenous (the use of chamber tombs is attested everywhere), except for Archanes Phourni, where there is a great degree of architectural experimentation. Larnax use was a popular interment type from LM IIIA2 onwards, reaching its peak of popularity in LM IIIB. However, there is an isolated tomb, probably dated to the LM IIIA initial phase at Voritsi, if the chronology of tomb use is correct (Kanta 1980: 77), which is one of the earliest</w:t>
      </w:r>
      <w:r>
        <w:t xml:space="preserve"> documented</w:t>
      </w:r>
      <w:r w:rsidRPr="005E493D">
        <w:t xml:space="preserve"> examples of larnax use in Crete. In the following phase (LM IIIC), there is no evidence for larnax use in Central Crete.</w:t>
      </w:r>
    </w:p>
    <w:p w14:paraId="2B965093" w14:textId="38340031" w:rsidR="00832319" w:rsidRPr="005E493D" w:rsidRDefault="00832319" w:rsidP="00E858EF">
      <w:pPr>
        <w:pStyle w:val="Paragrafoelenco"/>
        <w:suppressAutoHyphens/>
        <w:ind w:left="0"/>
      </w:pPr>
      <w:r w:rsidRPr="005E493D">
        <w:tab/>
        <w:t>The most common larnax type is a chest-shaped larnax. The use of bathtubs in burial contexts is attested but rare (all the bathtub larnakes from the Central region are distributed east of Knossos,</w:t>
      </w:r>
      <w:r w:rsidR="00DF057B">
        <w:t xml:space="preserve"> except from a bath larnax from the tholos of Krousonas yet unpublished,</w:t>
      </w:r>
      <w:r w:rsidRPr="005E493D">
        <w:t xml:space="preserve"> probably indicating a certain influence from the eastern regions of the island where bathtubs are more common). The Central area is the region where the highest number of larnakes was found, although these data could be the result of a higher intensity of excavation in the</w:t>
      </w:r>
      <w:r>
        <w:t xml:space="preserve"> region</w:t>
      </w:r>
      <w:r w:rsidRPr="005E493D">
        <w:t>.</w:t>
      </w:r>
    </w:p>
    <w:p w14:paraId="409DD5AB" w14:textId="30AA2DED" w:rsidR="00832319" w:rsidRPr="005E493D" w:rsidRDefault="00832319" w:rsidP="00E858EF">
      <w:pPr>
        <w:pStyle w:val="Paragrafoelenco"/>
        <w:suppressAutoHyphens/>
        <w:ind w:left="0"/>
      </w:pPr>
      <w:r w:rsidRPr="005E493D">
        <w:tab/>
        <w:t xml:space="preserve">It is not possible to state whether decorated larnakes are more common than undecorated larnakes due to the data limits (for 40% of the sample there is no secure information about the presence/absence of decoration). From the analysis regarding </w:t>
      </w:r>
      <w:r>
        <w:t>motif</w:t>
      </w:r>
      <w:r w:rsidRPr="005E493D">
        <w:t xml:space="preserve"> occurrence, the preference for repetitive </w:t>
      </w:r>
      <w:r>
        <w:t>motif</w:t>
      </w:r>
      <w:r w:rsidRPr="005E493D">
        <w:t xml:space="preserve">s and the prevalence of larnakes entirely decorated with abstract/geometric </w:t>
      </w:r>
      <w:r>
        <w:t>motif</w:t>
      </w:r>
      <w:r w:rsidRPr="005E493D">
        <w:t xml:space="preserve">s and floral/vegetal </w:t>
      </w:r>
      <w:r>
        <w:t>motif</w:t>
      </w:r>
      <w:r w:rsidRPr="005E493D">
        <w:t xml:space="preserve">s is clear. Few larnakes have unique decoration or peculiar </w:t>
      </w:r>
      <w:r>
        <w:t>motif</w:t>
      </w:r>
      <w:r w:rsidRPr="005E493D">
        <w:t>s. Except for the area between Gazi and Kavrochori, which has a cluster</w:t>
      </w:r>
      <w:r>
        <w:t xml:space="preserve"> apparently</w:t>
      </w:r>
      <w:r w:rsidRPr="005E493D">
        <w:t xml:space="preserve"> influenced by the customs of decorated larnakes from the </w:t>
      </w:r>
      <w:r>
        <w:t>Mid-West</w:t>
      </w:r>
      <w:r w:rsidRPr="005E493D">
        <w:t xml:space="preserve"> area, the few other artefacts with these characteristics are distributed throughout the region and occur only once within their respective cemeteries. Instead, the presence of workshops is attested for the area around Gazi-Kavrochori-Tylissos, but also for Archanes</w:t>
      </w:r>
      <w:r w:rsidR="00F77304">
        <w:t>-</w:t>
      </w:r>
      <w:r w:rsidRPr="005E493D">
        <w:t>Agios Syllas-Metochi Kalou.</w:t>
      </w:r>
    </w:p>
    <w:p w14:paraId="021AD8CB" w14:textId="77777777" w:rsidR="00832319" w:rsidRPr="005E493D" w:rsidRDefault="00832319" w:rsidP="00E858EF">
      <w:pPr>
        <w:pStyle w:val="Paragrafoelenco"/>
        <w:suppressAutoHyphens/>
        <w:ind w:left="0"/>
      </w:pPr>
      <w:r w:rsidRPr="005E493D">
        <w:tab/>
        <w:t>The occurrence of incised decoration</w:t>
      </w:r>
      <w:r>
        <w:t xml:space="preserve"> is attested for a few larnakes</w:t>
      </w:r>
      <w:r w:rsidRPr="005E493D">
        <w:t>. Usually, on these larnakes, there are no signs of painted decoration. Furthermore, a higher degree of minor scale variations regarding larnax morphological features (e.g. type of lid, presence of plastic decoration) occur on larnakes from this region and can be compared to those from the Mesara region. Thus, if larnakes from Central Crete display a fairly standardised pattern in terms of painted decoration, experimentation occurs with other features, such as the occurrence of impressed or incised decoration (a larnax from Artsa and a larnax from Amnissos Karteros respectively), the occurrence of plastic figurines at the end of the ridge poles (a larnax from Metochi Kalou, but also a ‘crescent shape’ or horn-shape ending for the ridge pole of other larnakes), or variations in lid morphology (e.g. the saddle lid on a larnax from Moni) and type of panel division (e.g. Episkopi Christos). The occurrence of all these variations in larnakes from Central Crete reveals that there was an investment in larnakes and that they were used as a medium for identity display within the burial context.</w:t>
      </w:r>
    </w:p>
    <w:p w14:paraId="5AFB84CA" w14:textId="62844F6B" w:rsidR="00832319" w:rsidRPr="005E493D" w:rsidRDefault="00832319" w:rsidP="00E858EF">
      <w:pPr>
        <w:pStyle w:val="Paragrafoelenco"/>
        <w:suppressAutoHyphens/>
        <w:ind w:left="0"/>
      </w:pPr>
      <w:r w:rsidRPr="005E493D">
        <w:tab/>
        <w:t xml:space="preserve">Regarding tomb architecture, the association of larnakes and chamber tombs is the most common association. However, </w:t>
      </w:r>
      <w:r>
        <w:t>other tomb types are</w:t>
      </w:r>
      <w:r w:rsidRPr="005E493D">
        <w:t xml:space="preserve"> also attested. Chamber tombs generally do not have features of monumentality. However, of these homogenous customs in terms of tomb architecture, the cemetery at Archanes Phourni is an exception. First, the cemeter</w:t>
      </w:r>
      <w:r>
        <w:t>y has a variety of tomb typ</w:t>
      </w:r>
      <w:r w:rsidRPr="005E493D">
        <w:t>es associated with larnakes (i.e. corbel-vaulted, burial building and burial enclosure), some of which are not attested in any other contemporary burial context on the island. Second, there is evidence for tomb monumentality, particular in Tholos A (the largest tomb</w:t>
      </w:r>
      <w:r w:rsidR="00B23F3A">
        <w:t xml:space="preserve"> with a larnax</w:t>
      </w:r>
      <w:r w:rsidRPr="005E493D">
        <w:t xml:space="preserve"> of the Central area with an annex). Architectural experimentation and monumentality indicate a different degree of resources in terms of investment and architectural knowledge concentrated in the cemetery at Archanes Phourni. The elite who built new tombs and used them in the LM III period at Archanes Phourni would have competed on a different scale in terms of exhibiting wealth compared with the other cemeteries of the Central region.</w:t>
      </w:r>
    </w:p>
    <w:p w14:paraId="7E221731" w14:textId="77777777" w:rsidR="00832319" w:rsidRPr="005E493D" w:rsidRDefault="00832319" w:rsidP="00E858EF">
      <w:pPr>
        <w:suppressAutoHyphens/>
        <w:rPr>
          <w:color w:val="000000"/>
        </w:rPr>
      </w:pPr>
      <w:r w:rsidRPr="005E493D">
        <w:tab/>
        <w:t xml:space="preserve">In the Central region, larnakes are the most common burial method adopted in LM III tombs, even if there are other burial methods associated in other tombs in the same cemetery and also in the same tomb with larnakes. Furthermore, the number of tombs with larnakes is in the majority in the Central area. Regarding the occurrence of other burial methods along with larnakes, floor and pit burials are the most commonly associated with larnakes. However, in this region, in a limited number of tombs, it is possible to observe the occurrence of wooden bier burials, but also reused MM larnakes. While wooden bier/coffin burials have been found elsewhere on LM III Crete, burials in association with larnakes in the same tomb (even if in only a few samples) and the reuse of MM larnakes </w:t>
      </w:r>
      <w:r>
        <w:t xml:space="preserve">are </w:t>
      </w:r>
      <w:r w:rsidRPr="005E493D">
        <w:t>burial practice</w:t>
      </w:r>
      <w:r>
        <w:t>s</w:t>
      </w:r>
      <w:r w:rsidRPr="005E493D">
        <w:t xml:space="preserve"> attested only in Central Crete and confined only to two tombs (Archanes Aniphoros Tomb 1; </w:t>
      </w:r>
      <w:r w:rsidRPr="005E493D">
        <w:rPr>
          <w:color w:val="000000"/>
        </w:rPr>
        <w:t xml:space="preserve">Episkopi Pediada Malathres Tomb 2). </w:t>
      </w:r>
    </w:p>
    <w:p w14:paraId="7CE0B386" w14:textId="77777777" w:rsidR="00832319" w:rsidRPr="005E493D" w:rsidRDefault="00832319" w:rsidP="00E858EF">
      <w:pPr>
        <w:suppressAutoHyphens/>
        <w:rPr>
          <w:color w:val="000000"/>
        </w:rPr>
      </w:pPr>
      <w:r w:rsidRPr="005E493D">
        <w:rPr>
          <w:color w:val="000000"/>
        </w:rPr>
        <w:tab/>
        <w:t xml:space="preserve">The reuse of old larnakes can be interpreted in different ways, but reveals some interesting aspects. First, a form of continuity was perceived between MM and LM larnakes by the two communities using these cemeteries. Second, reusing an MM coffin underlines the will to display a connection with the past tradition expressed through the reuse of an item still perceived as appropriate for burial purposes. </w:t>
      </w:r>
    </w:p>
    <w:p w14:paraId="53541E47" w14:textId="77777777" w:rsidR="00832319" w:rsidRPr="005E493D" w:rsidRDefault="00832319" w:rsidP="00E858EF">
      <w:pPr>
        <w:suppressAutoHyphens/>
        <w:rPr>
          <w:color w:val="000000"/>
        </w:rPr>
      </w:pPr>
      <w:r w:rsidRPr="005E493D">
        <w:tab/>
        <w:t>The evidence from the burial stage of skeletal remains linked to the different burial methods adopted does not allow to us discriminate whether some methods (</w:t>
      </w:r>
      <w:r w:rsidRPr="005E493D">
        <w:rPr>
          <w:color w:val="000000"/>
        </w:rPr>
        <w:t>e.g. pit burials) were specifically associated with primary or secondary depositions. Instead, all the burial methods adopted, larnakes included, include both burial stages. In particular, regarding larnakes, the tombs for which there is evidence of primary burial depositions are more than for the ones where larnakes were associated with secondary buri</w:t>
      </w:r>
      <w:r>
        <w:rPr>
          <w:color w:val="000000"/>
        </w:rPr>
        <w:t>als. This evidence indicates that</w:t>
      </w:r>
      <w:r w:rsidRPr="005E493D">
        <w:rPr>
          <w:color w:val="000000"/>
        </w:rPr>
        <w:t xml:space="preserve"> the customs linked to the manipulation of skeletal remains in the Central area were not homogenous, as they can also be demonstrated by two different burial practices attested in the following two tombs. In Tholos B at Archanes, the disarticulated skeletal remains of at least 19 individuals were deposited within a larnax, and in a tomb from Gournes, a larnax was reused ‘adding’ burials on top of the pre-existing ones already present. This is proved by the primary deposition being found at the top of the other two disarticulated skeletons already occupying the larnax (this means that the larnax was reopened in a following phase and the final deposition was added to the already existing ones).</w:t>
      </w:r>
    </w:p>
    <w:p w14:paraId="5D1A7AB5" w14:textId="77777777" w:rsidR="00832319" w:rsidRPr="005E493D" w:rsidRDefault="00832319" w:rsidP="00E858EF">
      <w:pPr>
        <w:pStyle w:val="Paragrafoelenco"/>
        <w:suppressAutoHyphens/>
        <w:ind w:left="0"/>
        <w:rPr>
          <w:color w:val="000000"/>
        </w:rPr>
      </w:pPr>
      <w:r w:rsidRPr="005E493D">
        <w:tab/>
        <w:t>Regarding the gender and the age of the individuals found in tombs with larnakes, the sample is too small to understand any possible association, and, as in the case with other regions, both genders and all the ages are roughly</w:t>
      </w:r>
      <w:r>
        <w:t xml:space="preserve"> equally</w:t>
      </w:r>
      <w:r w:rsidRPr="005E493D">
        <w:t xml:space="preserve"> represented in the sample for which there is information.</w:t>
      </w:r>
    </w:p>
    <w:p w14:paraId="5BE267B1" w14:textId="77777777" w:rsidR="00832319" w:rsidRPr="00F066FC" w:rsidRDefault="00832319" w:rsidP="00E858EF">
      <w:pPr>
        <w:suppressAutoHyphens/>
      </w:pPr>
      <w:r w:rsidRPr="005E493D">
        <w:tab/>
        <w:t xml:space="preserve">From the analysis of grave goods materials occurring in tombs with larnakes in the Central region, the cemetery at Archanes Phourni is notable for its material type variety and the occurrence of precious items (Burial Building 3; pit of the ivories and pit of the bronzes and Tholos A). </w:t>
      </w:r>
      <w:r w:rsidRPr="00F066FC">
        <w:t>This is true also for two chamber tombs found near Amnissos (Amnissos Karteros and Karteros Agia Photeini).</w:t>
      </w:r>
      <w:r w:rsidRPr="005E493D">
        <w:t xml:space="preserve"> </w:t>
      </w:r>
      <w:r w:rsidRPr="00F066FC">
        <w:t xml:space="preserve">The general tendencies regarding material type variety in the </w:t>
      </w:r>
      <w:r w:rsidRPr="005E493D">
        <w:t>C</w:t>
      </w:r>
      <w:r w:rsidRPr="00F066FC">
        <w:t>entral region display a preference towards pottery artefacts, followed by stone and bronze items. This is a feature found in almost all Cretan regions.</w:t>
      </w:r>
    </w:p>
    <w:p w14:paraId="17B0C765" w14:textId="77777777" w:rsidR="00832319" w:rsidRPr="005E493D" w:rsidRDefault="00832319" w:rsidP="00E858EF">
      <w:pPr>
        <w:pStyle w:val="Paragrafoelenco"/>
        <w:suppressAutoHyphens/>
        <w:ind w:left="0"/>
      </w:pPr>
      <w:r w:rsidRPr="005E493D">
        <w:tab/>
        <w:t>The occurrence of no</w:t>
      </w:r>
      <w:r>
        <w:t>n-ceramic</w:t>
      </w:r>
      <w:r w:rsidRPr="005E493D">
        <w:t xml:space="preserve"> items is common, occurring in more than 70% of the sample of tombs with larnakes for which information about grave goods assemblages is available. Jewellery, mainly represented by beads and rings, is the most common class of no</w:t>
      </w:r>
      <w:r>
        <w:t>n-ceramic</w:t>
      </w:r>
      <w:r w:rsidRPr="005E493D">
        <w:t xml:space="preserve"> items. An interesting and peculiar piece of data for this region is the high occurrence of metal and stone vessels (respectively found in 13 and 20 tombs). However, while stone vases seem to be proportionally distributed among all the tombs, the vast majority of metal vessels were found at Archanes</w:t>
      </w:r>
      <w:r>
        <w:t xml:space="preserve"> Phourni (grave enclosure pit 4:</w:t>
      </w:r>
      <w:r w:rsidRPr="005E493D">
        <w:t xml:space="preserve"> Sakellarakis </w:t>
      </w:r>
      <w:r>
        <w:t xml:space="preserve">and </w:t>
      </w:r>
      <w:r w:rsidRPr="005E493D">
        <w:t>Sakellaraki 1997: 191). Seals and rings have a high occurrence in Central Crete tombs (with a particularly high concentration of gold rings found in three tombs</w:t>
      </w:r>
      <w:r>
        <w:t>:</w:t>
      </w:r>
      <w:r w:rsidRPr="009E2FE5">
        <w:t xml:space="preserve"> </w:t>
      </w:r>
      <w:r w:rsidRPr="00D6101B">
        <w:t>Archanes Katsoprinia, Kyparissi Vathia</w:t>
      </w:r>
      <w:r>
        <w:t xml:space="preserve"> and</w:t>
      </w:r>
      <w:r w:rsidRPr="00D6101B">
        <w:t xml:space="preserve"> </w:t>
      </w:r>
      <w:r>
        <w:t>Amnissos Karteros</w:t>
      </w:r>
      <w:r w:rsidRPr="005E493D">
        <w:t>). Weapons are much less common, and they are mainly represented by knives.</w:t>
      </w:r>
    </w:p>
    <w:p w14:paraId="73DE3C37" w14:textId="77777777" w:rsidR="00832319" w:rsidRPr="005E493D" w:rsidRDefault="00832319" w:rsidP="00E858EF">
      <w:pPr>
        <w:pStyle w:val="Paragrafoelenco"/>
        <w:suppressAutoHyphens/>
        <w:ind w:left="0"/>
      </w:pPr>
      <w:r w:rsidRPr="005E493D">
        <w:tab/>
        <w:t>Regarding pottery typology occurrence, the most common shape is</w:t>
      </w:r>
      <w:r>
        <w:t xml:space="preserve"> the</w:t>
      </w:r>
      <w:r w:rsidRPr="005E493D">
        <w:t xml:space="preserve"> stirrup jars. </w:t>
      </w:r>
      <w:r>
        <w:t xml:space="preserve">However </w:t>
      </w:r>
      <w:r w:rsidRPr="005E493D">
        <w:t>pouring (jugs) and drinking shapes (goblets)</w:t>
      </w:r>
      <w:r>
        <w:t xml:space="preserve"> are common also, and there is</w:t>
      </w:r>
      <w:r w:rsidRPr="005E493D">
        <w:t xml:space="preserve"> not much difference between the</w:t>
      </w:r>
      <w:r>
        <w:t xml:space="preserve"> frequency of</w:t>
      </w:r>
      <w:r w:rsidRPr="005E493D">
        <w:t xml:space="preserve"> occurrence of stirrup jars and these other two typologies, which are probably linked to drinking consumption during rituals. The highest occurrence of pottery items within a tomb is at Ligortyno; however, the number of vessels is not more than 25. A general high occurrence of pottery items has been observed at Episkopi Pediada cemetery also. In contrast, Archanes Phourni has a relatively low number of pots. Considering the evidence </w:t>
      </w:r>
      <w:r>
        <w:t xml:space="preserve">for </w:t>
      </w:r>
      <w:r w:rsidRPr="005E493D">
        <w:t>the pre</w:t>
      </w:r>
      <w:r>
        <w:t xml:space="preserve">sence of no-ceramic </w:t>
      </w:r>
      <w:r w:rsidRPr="005E493D">
        <w:t xml:space="preserve">items, it is possible that in this cemetery the common pottery assemblage was replaced by items made of other materials, which are often precious (e.g. metal vessels). </w:t>
      </w:r>
    </w:p>
    <w:p w14:paraId="2FB8F19C" w14:textId="77777777" w:rsidR="00832319" w:rsidRPr="00F066FC" w:rsidRDefault="00832319" w:rsidP="00E858EF">
      <w:pPr>
        <w:pStyle w:val="Titolo3"/>
        <w:keepNext w:val="0"/>
        <w:keepLines w:val="0"/>
        <w:suppressAutoHyphens/>
      </w:pPr>
      <w:bookmarkStart w:id="1260" w:name="_Toc515640395"/>
      <w:bookmarkStart w:id="1261" w:name="_Toc515640426"/>
      <w:bookmarkStart w:id="1262" w:name="_Toc515640488"/>
      <w:bookmarkStart w:id="1263" w:name="_Toc393044345"/>
      <w:bookmarkStart w:id="1264" w:name="_Toc519894725"/>
      <w:r w:rsidRPr="00F066FC">
        <w:t>Conclusion</w:t>
      </w:r>
      <w:bookmarkEnd w:id="1260"/>
      <w:bookmarkEnd w:id="1261"/>
      <w:bookmarkEnd w:id="1262"/>
      <w:r w:rsidRPr="00F066FC">
        <w:t>s</w:t>
      </w:r>
      <w:bookmarkEnd w:id="1263"/>
      <w:bookmarkEnd w:id="1264"/>
    </w:p>
    <w:p w14:paraId="6519A93D" w14:textId="77777777" w:rsidR="00832319" w:rsidRPr="005E493D" w:rsidRDefault="00832319" w:rsidP="00E858EF">
      <w:pPr>
        <w:suppressAutoHyphens/>
      </w:pPr>
      <w:r w:rsidRPr="005E493D">
        <w:t xml:space="preserve">From the contextual analysis of burials with larnakes in the Central region, it emerges that this burial method was the most popular within the region. The features that characterise its adoption are relatively homogenous </w:t>
      </w:r>
      <w:r>
        <w:t xml:space="preserve">in </w:t>
      </w:r>
      <w:r w:rsidRPr="005E493D">
        <w:t xml:space="preserve">shape </w:t>
      </w:r>
      <w:r>
        <w:t>and decoration (chest-shaped is</w:t>
      </w:r>
      <w:r w:rsidRPr="005E493D">
        <w:t xml:space="preserve"> the main shape adopted, while bathtub samples are very few; with very simple decoration mainly with abstract or vegetal </w:t>
      </w:r>
      <w:r>
        <w:t>motif</w:t>
      </w:r>
      <w:r w:rsidRPr="005E493D">
        <w:t xml:space="preserve">s, usually repeated). However, within these broad tendencies, it is possible to note a high degree of experimentation regarding minor morphological features (e.g. lid shape; consistent variation in terms of size, presence of figurines etc.) and decoration (isolated occurrence of peculiar </w:t>
      </w:r>
      <w:r>
        <w:t>motif</w:t>
      </w:r>
      <w:r w:rsidRPr="005E493D">
        <w:t xml:space="preserve">s or incised decoration). Indeed, when these features are attested, they reveal a higher degree of investment expressed through larnakes (manufacture and decoration). These features occur particularly in the area of the cemeteries of Gazi-Giophyrakia-Kavrochori, in the area around southwest </w:t>
      </w:r>
      <w:r>
        <w:t xml:space="preserve">of </w:t>
      </w:r>
      <w:r w:rsidRPr="005E493D">
        <w:t>Archanes (i.e. Archanes Phourni, Kyparissi Vathia, Metochi Kalou), and, finally, east of Knossos (Amnissos-Nirou Chani-Episkopi Pediada) and can be compared to larnakes from the Mesara area.</w:t>
      </w:r>
    </w:p>
    <w:p w14:paraId="247E7283" w14:textId="77777777" w:rsidR="00832319" w:rsidRPr="005E493D" w:rsidRDefault="00832319" w:rsidP="00E858EF">
      <w:pPr>
        <w:suppressAutoHyphens/>
      </w:pPr>
      <w:r w:rsidRPr="005E493D">
        <w:tab/>
        <w:t xml:space="preserve">The variations expressed within the homogenous chest-shaped larnax adoption are not visible in tomb architecture, in which the only exception for the uniform adoption of chamber tombs of small dimensions is at the Archanes Phourni cemetery. Archanes Phourni was one of the few pre-existing cemeteries in use until LM III with larnax burials. The tomb architecture reveals experimentation and wealth, meaning that ostentation and competition by the local elites were expressed through tomb architecture, not only larnakes. This means that the community (or the elites of the community) that built the LM III tombs at Archanes had a privileged access to resources (both in terms of architectural skills and economic investment) that was not available to other communities/elites of the Central area. </w:t>
      </w:r>
    </w:p>
    <w:p w14:paraId="21FBCDE7" w14:textId="77777777" w:rsidR="00832319" w:rsidRPr="005E493D" w:rsidRDefault="00832319" w:rsidP="00E858EF">
      <w:pPr>
        <w:suppressAutoHyphens/>
      </w:pPr>
      <w:r w:rsidRPr="005E493D">
        <w:tab/>
        <w:t xml:space="preserve">It is, however, possible that the architectural experimentation and ostentation at Phourni is linked to the first phase of LM III (LM IIIA1-A2) and, consequently, as already visible at Knossos, indicates a change through time (of resource availability and social competition within a delimited area sharing one cemetery) more than a synchronic difference within the Central area. Furthermore, there is a strong connection in terms of burial customs and experimentation between Archanes Phourni and the cemeteries around Knossos. </w:t>
      </w:r>
    </w:p>
    <w:p w14:paraId="5416E73D" w14:textId="77777777" w:rsidR="00832319" w:rsidRPr="005E493D" w:rsidRDefault="00832319" w:rsidP="00E858EF">
      <w:pPr>
        <w:suppressAutoHyphens/>
      </w:pPr>
      <w:r w:rsidRPr="005E493D">
        <w:tab/>
        <w:t>The same pattern is also visible when considering grave goods assemblages. Generally, in Central area tombs, assemblages suggest high investment in the pottery repertoire (e.g. Ligortyno), which reveals a focus on the actions performed by the group more than the individual buried; however, Archanes Phourni is notable for the material variety and precious materials that were probably the personal possessions of the deceased, underling the importance of the individual buried.</w:t>
      </w:r>
    </w:p>
    <w:p w14:paraId="0DB20494" w14:textId="77777777" w:rsidR="00832319" w:rsidRPr="005E493D" w:rsidRDefault="00832319" w:rsidP="00E858EF">
      <w:pPr>
        <w:suppressAutoHyphens/>
      </w:pPr>
      <w:r w:rsidRPr="005E493D">
        <w:tab/>
        <w:t>Regarding burial deposition methods, it is more difficult to find a uniform pattern. The association of larnakes with floor and pit burials and the use of larnakes for individual burials seems well attested. Less common is evidence of the reuse of larnakes for secondary multiple burials (e.g. Archanes tholos Tomb B). However, these data cannot be considered reliable because of the high number of tombs and the information concerning burial deposition methods and burial stages is very poor or impossible to retrieve. This is true also for the possible connection between larnakes and a specific gender or age group (i.e. very small sample of tombs for which the data are available).</w:t>
      </w:r>
    </w:p>
    <w:p w14:paraId="01664716" w14:textId="6996A9FA" w:rsidR="00832319" w:rsidRDefault="00832319" w:rsidP="00E858EF">
      <w:pPr>
        <w:suppressAutoHyphens/>
      </w:pPr>
      <w:r w:rsidRPr="005E493D">
        <w:tab/>
        <w:t>The understanding that emerges from the Central region is a homogeneity with a general investment, ostentation and social competition expressed by the local elites, mainly though larnakes and pottery assemblages. Archanes Phourni is the only exception in this area and, instead, displays a similar pattern to the Knossos area. These differences are manifest both at Phourni and Knossos through architecture monumentality and wealth assemblage, and greater focus on individuality seems to be the result of diachronic differences (LM IIIA1, first phase of LM IIIA2), revealing the still strong presence of the recent-past burial customs (e.g. burial customs at Knossos during the final palatial phase).</w:t>
      </w:r>
    </w:p>
    <w:p w14:paraId="5403CE76" w14:textId="77777777" w:rsidR="00203D81" w:rsidRPr="005E493D" w:rsidRDefault="00203D81" w:rsidP="00E858EF">
      <w:pPr>
        <w:suppressAutoHyphens/>
      </w:pPr>
    </w:p>
    <w:p w14:paraId="65FAA751" w14:textId="77777777" w:rsidR="005B0105" w:rsidRDefault="005B0105">
      <w:pPr>
        <w:widowControl/>
        <w:spacing w:line="240" w:lineRule="auto"/>
        <w:contextualSpacing w:val="0"/>
        <w:jc w:val="left"/>
        <w:rPr>
          <w:rFonts w:eastAsiaTheme="majorEastAsia"/>
          <w:b/>
          <w:sz w:val="26"/>
        </w:rPr>
      </w:pPr>
      <w:bookmarkStart w:id="1265" w:name="_Toc519894726"/>
      <w:r>
        <w:br w:type="page"/>
      </w:r>
    </w:p>
    <w:p w14:paraId="4BC1B5A3" w14:textId="7FDA1911" w:rsidR="00832319" w:rsidRPr="005E493D" w:rsidRDefault="00832319" w:rsidP="00E858EF">
      <w:pPr>
        <w:pStyle w:val="Titolo2"/>
        <w:keepNext w:val="0"/>
        <w:keepLines w:val="0"/>
        <w:suppressAutoHyphens/>
      </w:pPr>
      <w:r>
        <w:t>Mid-East</w:t>
      </w:r>
      <w:bookmarkEnd w:id="1265"/>
      <w:r w:rsidR="00AD1B4B">
        <w:t xml:space="preserve"> area</w:t>
      </w:r>
    </w:p>
    <w:p w14:paraId="61621338" w14:textId="77777777" w:rsidR="00832319" w:rsidRPr="00F066FC" w:rsidRDefault="00832319" w:rsidP="00E858EF">
      <w:pPr>
        <w:pStyle w:val="Titolo3"/>
        <w:keepNext w:val="0"/>
        <w:keepLines w:val="0"/>
        <w:suppressAutoHyphens/>
      </w:pPr>
      <w:bookmarkStart w:id="1266" w:name="_Toc515640396"/>
      <w:bookmarkStart w:id="1267" w:name="_Toc515640427"/>
      <w:bookmarkStart w:id="1268" w:name="_Toc515640489"/>
      <w:bookmarkStart w:id="1269" w:name="_Toc393044347"/>
      <w:bookmarkStart w:id="1270" w:name="_Toc519894727"/>
      <w:r w:rsidRPr="00F066FC">
        <w:t>Analysis</w:t>
      </w:r>
      <w:bookmarkEnd w:id="1266"/>
      <w:bookmarkEnd w:id="1267"/>
      <w:bookmarkEnd w:id="1268"/>
      <w:bookmarkEnd w:id="1269"/>
      <w:bookmarkEnd w:id="1270"/>
      <w:r w:rsidRPr="00F066FC">
        <w:t xml:space="preserve"> </w:t>
      </w:r>
    </w:p>
    <w:p w14:paraId="0A882AF5" w14:textId="77777777" w:rsidR="00832319" w:rsidRPr="005E493D" w:rsidRDefault="00832319" w:rsidP="00E858EF">
      <w:pPr>
        <w:suppressAutoHyphens/>
      </w:pPr>
      <w:r w:rsidRPr="005E493D">
        <w:t xml:space="preserve">Larnakes are adopted for roughly half of the cemeteries in the </w:t>
      </w:r>
      <w:r>
        <w:t>Mid-East</w:t>
      </w:r>
      <w:r w:rsidRPr="005E493D">
        <w:t xml:space="preserve"> area and are distributed among a limited number of them. The largest cemeteries are located </w:t>
      </w:r>
      <w:r>
        <w:t xml:space="preserve">close to </w:t>
      </w:r>
      <w:r w:rsidRPr="005E493D">
        <w:t>the north coast or in the proximity (Malia, Milatos, Elounda). A few</w:t>
      </w:r>
      <w:r>
        <w:t xml:space="preserve"> others are distributed in the c</w:t>
      </w:r>
      <w:r w:rsidRPr="005E493D">
        <w:t xml:space="preserve">entral area and east of the Lasithi plateau, and only two cemeteries (formed by single tombs) are located on the south coast. Malia and Psari Phorada are the only two pre-existing cemeteries reused during LM III with larnax burials. Larnax use is attested since LM IIIA (at Elounda and Tzermiadon Trapeza), although it is difficult to understand whether they were introduced </w:t>
      </w:r>
      <w:r>
        <w:t xml:space="preserve">as early as </w:t>
      </w:r>
      <w:r w:rsidRPr="005E493D">
        <w:t>LM IIIA1. The peak phase of tombs with larnakes corresponds to LM IIIB (later if compared with the other regions). Some tombs with larnakes are dated to LM IIIC or are in use until LM IIIC. In both cases, there is no secure information to date the actual</w:t>
      </w:r>
      <w:r>
        <w:t xml:space="preserve"> manufacture and</w:t>
      </w:r>
      <w:r w:rsidRPr="005E493D">
        <w:t xml:space="preserve"> use of larnakes to this later phase; instead, it is more reasonable that larnakes were introduced in the later phase of LM IIIB (e.g. corbel-vaulted tombs at Plati and Kritsa Lakkoi). </w:t>
      </w:r>
    </w:p>
    <w:p w14:paraId="24E4A3CA" w14:textId="77777777" w:rsidR="00832319" w:rsidRPr="005E493D" w:rsidRDefault="00832319" w:rsidP="00E858EF">
      <w:pPr>
        <w:pStyle w:val="Paragrafoelenco"/>
        <w:suppressAutoHyphens/>
        <w:ind w:left="0"/>
      </w:pPr>
      <w:r w:rsidRPr="005E493D">
        <w:tab/>
        <w:t>The most common type of larnax is chest-shaped. However, bathtub larnakes began to appear in this region even though they are a small sample. In terms of decoration, the secure percentage of decorated items is very poor (i.e. there is no information about the presence of decoration at</w:t>
      </w:r>
      <w:r>
        <w:t xml:space="preserve"> the</w:t>
      </w:r>
      <w:r w:rsidRPr="005E493D">
        <w:t xml:space="preserve"> Elounda cemetery). The occurrence of peculiar decorative </w:t>
      </w:r>
      <w:r>
        <w:t>motif</w:t>
      </w:r>
      <w:r w:rsidRPr="005E493D">
        <w:t xml:space="preserve">s and the general investment of larnax decoration and iconography is only a minor phenomenon in this region (the only exception being Milatos larnax). The </w:t>
      </w:r>
      <w:r>
        <w:t>small sample of decorated larnakes</w:t>
      </w:r>
      <w:r w:rsidRPr="005E493D">
        <w:t xml:space="preserve"> tends towards repeated </w:t>
      </w:r>
      <w:r>
        <w:t>motif</w:t>
      </w:r>
      <w:r w:rsidRPr="005E493D">
        <w:t xml:space="preserve">s (abstract </w:t>
      </w:r>
      <w:r>
        <w:t>motif</w:t>
      </w:r>
      <w:r w:rsidRPr="005E493D">
        <w:t xml:space="preserve">s) and a slightly higher occurrence of marine </w:t>
      </w:r>
      <w:r>
        <w:t>motif</w:t>
      </w:r>
      <w:r w:rsidRPr="005E493D">
        <w:t xml:space="preserve">s on bathtub larnakes. In general, it seems that the investment of resources in larnakes in the </w:t>
      </w:r>
      <w:r>
        <w:t>Mid-East</w:t>
      </w:r>
      <w:r w:rsidRPr="005E493D">
        <w:t xml:space="preserve"> region was limited.</w:t>
      </w:r>
    </w:p>
    <w:p w14:paraId="726C4B5B" w14:textId="77777777" w:rsidR="00832319" w:rsidRPr="005E493D" w:rsidRDefault="00832319" w:rsidP="00E858EF">
      <w:pPr>
        <w:pStyle w:val="Paragrafoelenco"/>
        <w:suppressAutoHyphens/>
        <w:ind w:left="0"/>
      </w:pPr>
      <w:r w:rsidRPr="005E493D">
        <w:tab/>
        <w:t xml:space="preserve">The </w:t>
      </w:r>
      <w:r>
        <w:t>Mid-East</w:t>
      </w:r>
      <w:r w:rsidRPr="005E493D">
        <w:t xml:space="preserve"> area displays a high degree of v</w:t>
      </w:r>
      <w:r>
        <w:t>ariety in terms of tomb typ</w:t>
      </w:r>
      <w:r w:rsidRPr="005E493D">
        <w:t>es and it is the only region whe</w:t>
      </w:r>
      <w:r>
        <w:t>re the most common tomb type</w:t>
      </w:r>
      <w:r w:rsidRPr="005E493D">
        <w:t xml:space="preserve"> associated with larnax burials is not chamber tombs but cave/rock shelters. In add</w:t>
      </w:r>
      <w:r>
        <w:t>ition to these two main typ</w:t>
      </w:r>
      <w:r w:rsidRPr="005E493D">
        <w:t>es, the other tomb types (i.e. larnax receptacle, reused structure, corbel-vaulted) are isolated choices and usually only occur once</w:t>
      </w:r>
      <w:r>
        <w:t xml:space="preserve"> in any cemeteries</w:t>
      </w:r>
      <w:r w:rsidRPr="005E493D">
        <w:t xml:space="preserve">. It is interesting to observe some patterns that characterise tomb distribution. All the cave/rock-shelter tombs are concentrated in one cemetery (Elounda), while at Malia three different tomb typologies are attested. This choice traces two different trajectories that reveal the influence of </w:t>
      </w:r>
      <w:r>
        <w:t>Far-East</w:t>
      </w:r>
      <w:r w:rsidRPr="005E493D">
        <w:t xml:space="preserve"> burial customs (cave/rock shelters were adopted in the </w:t>
      </w:r>
      <w:r>
        <w:t>Far-East</w:t>
      </w:r>
      <w:r w:rsidRPr="005E493D">
        <w:t xml:space="preserve"> region) for the eastern area of the </w:t>
      </w:r>
      <w:r>
        <w:t>Mid-East</w:t>
      </w:r>
      <w:r w:rsidRPr="005E493D">
        <w:t xml:space="preserve"> region.</w:t>
      </w:r>
    </w:p>
    <w:p w14:paraId="3F93CD22" w14:textId="77777777" w:rsidR="00832319" w:rsidRPr="005E493D" w:rsidRDefault="00832319" w:rsidP="00E858EF">
      <w:pPr>
        <w:pStyle w:val="Paragrafoelenco"/>
        <w:suppressAutoHyphens/>
        <w:ind w:left="0"/>
      </w:pPr>
      <w:r w:rsidRPr="005E493D">
        <w:tab/>
        <w:t xml:space="preserve">Tombs in the </w:t>
      </w:r>
      <w:r>
        <w:t>Mid-East</w:t>
      </w:r>
      <w:r w:rsidRPr="005E493D">
        <w:t xml:space="preserve"> region are not monumental. In particular, the use of cave/rock shelters as tombs indicates almost no investment in tomb architecture (i.e. using a natural feature of the landscape). The almost complete lack of any monumentality emerges from the analysis of tomb architecture in respect both of tomb size and monumental features (the only exception is one tomb at Milatos that has a chamber of slightly larger dimensions). </w:t>
      </w:r>
    </w:p>
    <w:p w14:paraId="24315A8F" w14:textId="77777777" w:rsidR="00832319" w:rsidRPr="005E493D" w:rsidRDefault="00832319" w:rsidP="00E858EF">
      <w:pPr>
        <w:pStyle w:val="Paragrafoelenco"/>
        <w:suppressAutoHyphens/>
        <w:ind w:left="0"/>
      </w:pPr>
      <w:r w:rsidRPr="005E493D">
        <w:tab/>
        <w:t xml:space="preserve">Along with chest-shaped and bathtub larnakes, other types of burial receptacles are attested in the </w:t>
      </w:r>
      <w:r>
        <w:t>Mid-East</w:t>
      </w:r>
      <w:r w:rsidRPr="005E493D">
        <w:t xml:space="preserve"> region. These types can occur in the same cemetery with larnakes but not in association in the same tombs (e.g. Elounda wooden biers, but in the great majority pithos burials; there are clay biers and cremated burials in pyxides at Kritsa). The analysis of burial methods associated with larnakes in the </w:t>
      </w:r>
      <w:r>
        <w:t>Mid-East</w:t>
      </w:r>
      <w:r w:rsidRPr="005E493D">
        <w:t xml:space="preserve"> region reveals that larnakes were rarely associated with other burial methods. Instead, for the majority of the sample, larnakes are the only burial method adopted within tombs. In the few samples for which larnakes are associated with other burial methods, only in one case are these by non-receptacle burial (floor deposition at Kritsa). In a few isolated cases, other receptacle burials occur (pithos burials). In only one case is a larnax associated</w:t>
      </w:r>
      <w:r>
        <w:t xml:space="preserve"> with a different burial custom:</w:t>
      </w:r>
      <w:r w:rsidRPr="005E493D">
        <w:t xml:space="preserve"> at Malia, where a cremated burial in a vase was found in the same tomb with larnax burials.</w:t>
      </w:r>
    </w:p>
    <w:p w14:paraId="146BE530" w14:textId="77777777" w:rsidR="00832319" w:rsidRPr="005E493D" w:rsidRDefault="00832319" w:rsidP="00E858EF">
      <w:pPr>
        <w:pStyle w:val="Paragrafoelenco"/>
        <w:suppressAutoHyphens/>
        <w:ind w:left="0"/>
      </w:pPr>
      <w:r w:rsidRPr="005E493D">
        <w:tab/>
        <w:t xml:space="preserve">Information regarding skeletal remains associated with larnakes is scarce, although from the evidence available it seems reasonable that larnakes in the </w:t>
      </w:r>
      <w:r>
        <w:t>Mid-East</w:t>
      </w:r>
      <w:r w:rsidRPr="005E493D">
        <w:t xml:space="preserve"> region could have been almost exclusively reserved for individual burials. As yet, there is only a single piece of evidence regarding secondary burial arrangements in a larnax (Milatos Tomb 6: two bodies in one chest with primary and secondary arrangements at the same time), while floor and pit burials are completely absent. If a new burial had to be introduced in a tomb, there is evidence for two options practised in the </w:t>
      </w:r>
      <w:r>
        <w:t>Mid-East</w:t>
      </w:r>
      <w:r w:rsidRPr="005E493D">
        <w:t xml:space="preserve"> region:</w:t>
      </w:r>
    </w:p>
    <w:p w14:paraId="0A440F9F" w14:textId="77777777" w:rsidR="00832319" w:rsidRPr="005E493D" w:rsidRDefault="00832319" w:rsidP="00370745">
      <w:pPr>
        <w:pStyle w:val="Paragrafoelenco"/>
        <w:numPr>
          <w:ilvl w:val="0"/>
          <w:numId w:val="122"/>
        </w:numPr>
        <w:suppressAutoHyphens/>
      </w:pPr>
      <w:r w:rsidRPr="005E493D">
        <w:t>Introducing a new burial container (e.g. Milatos Tomb 2)</w:t>
      </w:r>
    </w:p>
    <w:p w14:paraId="70180E8A" w14:textId="77777777" w:rsidR="00832319" w:rsidRPr="005E493D" w:rsidRDefault="00832319" w:rsidP="00370745">
      <w:pPr>
        <w:pStyle w:val="Paragrafoelenco"/>
        <w:numPr>
          <w:ilvl w:val="0"/>
          <w:numId w:val="122"/>
        </w:numPr>
        <w:suppressAutoHyphens/>
      </w:pPr>
      <w:r w:rsidRPr="005E493D">
        <w:t>Add this burial to the one already occupying the larnax instead of moving the bones elsewhere in the tomb (i.e. floor or pit secondary deposition) (e.g. Elounda tombs 24, 25, 26)</w:t>
      </w:r>
    </w:p>
    <w:p w14:paraId="65F2C4C8" w14:textId="77777777" w:rsidR="00832319" w:rsidRPr="005E493D" w:rsidRDefault="00832319" w:rsidP="00E858EF">
      <w:pPr>
        <w:pStyle w:val="Paragrafoelenco"/>
        <w:suppressAutoHyphens/>
        <w:ind w:left="0"/>
      </w:pPr>
      <w:r w:rsidRPr="005E493D">
        <w:t>The association of tombs with larnakes with a limited number of burials and the practice of not emptying and reusing the larnax are confirmed by the mean minimum number of interments per tomb (2) and by the number of grave goods found in the sample analysed, which in very few cases is more than 10 (pottery and no-pottery items).</w:t>
      </w:r>
    </w:p>
    <w:p w14:paraId="2D742837" w14:textId="77777777" w:rsidR="00832319" w:rsidRPr="005E493D" w:rsidRDefault="00832319" w:rsidP="00E858EF">
      <w:pPr>
        <w:pStyle w:val="Paragrafoelenco"/>
        <w:suppressAutoHyphens/>
        <w:ind w:left="0"/>
      </w:pPr>
      <w:r w:rsidRPr="005E493D">
        <w:tab/>
        <w:t xml:space="preserve">From the analysis of the grave goods assemblages, there is a general lack of material variety and the rare presence of precious items, with the exception of Tomb 6 at Milatos. However, it is possible that these data are biased due to plundering activities. In any case, the occurrence of precious material such as gold or ivory is confined to a very limited number of tombs (silver is absent). </w:t>
      </w:r>
    </w:p>
    <w:p w14:paraId="5C378D9C" w14:textId="77777777" w:rsidR="00832319" w:rsidRPr="005E493D" w:rsidRDefault="00832319" w:rsidP="00E858EF">
      <w:pPr>
        <w:pStyle w:val="Paragrafoelenco"/>
        <w:suppressAutoHyphens/>
        <w:ind w:left="0"/>
      </w:pPr>
      <w:r w:rsidRPr="005E493D">
        <w:tab/>
        <w:t>The popularity of pots in comparison with no</w:t>
      </w:r>
      <w:r>
        <w:t>n-ceramic</w:t>
      </w:r>
      <w:r w:rsidRPr="005E493D">
        <w:t xml:space="preserve"> items within the assemblage is more visible in this region, where the occurrence of no</w:t>
      </w:r>
      <w:r>
        <w:t>n-ceramic items is recovered</w:t>
      </w:r>
      <w:r w:rsidRPr="005E493D">
        <w:t xml:space="preserve"> in roughly half of the sample of tombs with larnakes. Both jewellery items and weapons are popular categories in the sample (beads and knives in the two categories, respectively, are the most common items), while stone vases and seals are relatively common also. In accordance with the analysis of material types, one tomb from Milatos (Tomb 6) stands out from the rest of the sample, both regarding quantity and type of objects (i.e. six stone vessels, five ivory combs, two rings, etc.). However, regarding pottery occurrence, this tomb had only a limited number of pots confined to the category of pouring and consumption shapes.</w:t>
      </w:r>
    </w:p>
    <w:p w14:paraId="5A408C63" w14:textId="77777777" w:rsidR="00832319" w:rsidRPr="005E493D" w:rsidRDefault="00832319" w:rsidP="00E858EF">
      <w:pPr>
        <w:pStyle w:val="Paragrafoelenco"/>
        <w:suppressAutoHyphens/>
        <w:ind w:left="0"/>
      </w:pPr>
      <w:r w:rsidRPr="005E493D">
        <w:tab/>
        <w:t xml:space="preserve">As previously observed regarding deposition burials, generally, the total number of pottery items found in </w:t>
      </w:r>
      <w:r>
        <w:t>Mid-East</w:t>
      </w:r>
      <w:r w:rsidRPr="005E493D">
        <w:t xml:space="preserve"> tombs is low and only more than 10 in a few cases. One tomb at Kritsa and other tombs at Psari Phorada are notable for the shape variety and quantity. The difference in terms of popularity and quantity observed in the other regions between stirrup jars and other shapes is not attested in the </w:t>
      </w:r>
      <w:r>
        <w:t>Mid-East</w:t>
      </w:r>
      <w:r w:rsidRPr="005E493D">
        <w:t xml:space="preserve"> area. Storage vessels are </w:t>
      </w:r>
      <w:r>
        <w:t xml:space="preserve">fewer </w:t>
      </w:r>
      <w:r w:rsidRPr="005E493D">
        <w:t>in quantity compared with pouring and consumption vessels. Other pottery categories (e.g. ritual vessels, burning/lighting) are rare.</w:t>
      </w:r>
    </w:p>
    <w:p w14:paraId="79568F53" w14:textId="77777777" w:rsidR="00832319" w:rsidRPr="00F066FC" w:rsidRDefault="00832319" w:rsidP="00E858EF">
      <w:pPr>
        <w:pStyle w:val="Titolo3"/>
        <w:keepNext w:val="0"/>
        <w:keepLines w:val="0"/>
        <w:suppressAutoHyphens/>
      </w:pPr>
      <w:bookmarkStart w:id="1271" w:name="_Toc515640397"/>
      <w:bookmarkStart w:id="1272" w:name="_Toc515640428"/>
      <w:bookmarkStart w:id="1273" w:name="_Toc515640490"/>
      <w:bookmarkStart w:id="1274" w:name="_Toc393044348"/>
      <w:bookmarkStart w:id="1275" w:name="_Toc519894728"/>
      <w:r w:rsidRPr="00F066FC">
        <w:t>Conclusions</w:t>
      </w:r>
      <w:bookmarkEnd w:id="1271"/>
      <w:bookmarkEnd w:id="1272"/>
      <w:bookmarkEnd w:id="1273"/>
      <w:bookmarkEnd w:id="1274"/>
      <w:bookmarkEnd w:id="1275"/>
    </w:p>
    <w:p w14:paraId="08C5496F" w14:textId="77777777" w:rsidR="00832319" w:rsidRPr="005E493D" w:rsidRDefault="00832319" w:rsidP="00E858EF">
      <w:pPr>
        <w:pStyle w:val="Paragrafoelenco"/>
        <w:suppressAutoHyphens/>
        <w:ind w:left="0"/>
      </w:pPr>
      <w:r w:rsidRPr="005E493D">
        <w:t xml:space="preserve">From the evidence of the analysis of different aspects concerning burials with larnakes, the </w:t>
      </w:r>
      <w:r>
        <w:t>Mid-East</w:t>
      </w:r>
      <w:r w:rsidRPr="005E493D">
        <w:t xml:space="preserve"> area displays different choices from the Central and west areas. These differences concern tomb architecture and burial methods (cave/rock shelter; preference for burial containers). A general lack of investment in burials is apparent regarding tomb monumentality (which is almost absent), grave goods assemblages and larnax decoration. The only exception is at Milatos cemetery, where different tombs have signs of ostentation in different categories (Tomb 4 has relative architecture monumentality; Tomb 6 has a wealthy grave goods assemblage; Tomb 2 has a decorated larnax and pottery assemblage). The fragmentary nature of this evidence is probably the result of plundering activities that have affected the evidence from the grave goods assemblages but could also be evidence of social competition expressed through burials by the local elite families at Milatos.</w:t>
      </w:r>
    </w:p>
    <w:p w14:paraId="139ED88E" w14:textId="77777777" w:rsidR="00832319" w:rsidRPr="005E493D" w:rsidRDefault="00832319" w:rsidP="00E858EF">
      <w:pPr>
        <w:pStyle w:val="Paragrafoelenco"/>
        <w:suppressAutoHyphens/>
        <w:ind w:left="0"/>
      </w:pPr>
      <w:r w:rsidRPr="005E493D">
        <w:tab/>
        <w:t>Differences are apparent also in terms of burial methods. These concern the almost complete lack of evidence for the practice of emptying and reusing larnakes. The individuality of the deceased seems to have great importance, with implications regarding possible belonging/connection between the individual and his/her burial container (i.e. a specific larnax for a specific person). However, larnax manufacture seems to lack investment or ostentation in the burial containers of individuals, which is confirmed by the evidence from the grave goods assemblages.</w:t>
      </w:r>
    </w:p>
    <w:p w14:paraId="4FE68006" w14:textId="77777777" w:rsidR="00832319" w:rsidRPr="005E493D" w:rsidRDefault="00832319" w:rsidP="00E858EF">
      <w:pPr>
        <w:pStyle w:val="Paragrafoelenco"/>
        <w:suppressAutoHyphens/>
        <w:ind w:left="0"/>
      </w:pPr>
      <w:r w:rsidRPr="005E493D">
        <w:tab/>
        <w:t xml:space="preserve">Furthermore, regarding the variety of burial containers adopted (chest-shaped larnakes, bathtub larnakes, pithoi) from the contextual analysis, there is no particular association linked to a specific area, gender or age, or rich/poor assemblage. Instead, receptacle preference in this region corresponds to the almost complete rejection of non-receptacle burials (i.e. floor, pit and bench burials). </w:t>
      </w:r>
    </w:p>
    <w:p w14:paraId="58CA481C" w14:textId="55412D0E" w:rsidR="00832319" w:rsidRPr="005E493D" w:rsidRDefault="00021330" w:rsidP="00021330">
      <w:pPr>
        <w:pStyle w:val="Paragrafoelenco"/>
        <w:suppressAutoHyphens/>
        <w:ind w:left="0"/>
      </w:pPr>
      <w:r>
        <w:t xml:space="preserve">            </w:t>
      </w:r>
      <w:r w:rsidR="00832319" w:rsidRPr="005E493D">
        <w:t xml:space="preserve">If in the west/Central Cretan regions it is possible to see differences in the standardised burial features (chamber tomb, chest-shaped larnax, stirrup jar), in the </w:t>
      </w:r>
      <w:r w:rsidR="00832319">
        <w:t>Mid-East</w:t>
      </w:r>
      <w:r w:rsidR="00832319" w:rsidRPr="005E493D">
        <w:t xml:space="preserve"> area these burial features, even if adopted, are not as common and standardised. The different choices expressed through the adoption of different receptacle burials could be considered macro-scale differences, and it has not been possible to explain them through the analysis of b</w:t>
      </w:r>
      <w:r w:rsidR="00832319">
        <w:t xml:space="preserve">urial contexts. </w:t>
      </w:r>
      <w:r w:rsidR="00832319" w:rsidRPr="005E493D">
        <w:t>One hypothesis could be that they were expressing individual choices based on the strong connection observed between the la</w:t>
      </w:r>
      <w:r w:rsidR="00832319">
        <w:t>rnax and the individual buried.</w:t>
      </w:r>
      <w:r w:rsidR="00832319" w:rsidRPr="005E493D">
        <w:t xml:space="preserve"> However, it is possible to confine </w:t>
      </w:r>
      <w:r w:rsidR="00832319">
        <w:t xml:space="preserve">the variety of burial receptacles </w:t>
      </w:r>
      <w:r w:rsidR="00832319" w:rsidRPr="005E493D">
        <w:t>geographically as customs adopted in the eastern part of the region.</w:t>
      </w:r>
    </w:p>
    <w:p w14:paraId="633D4385" w14:textId="31145B43" w:rsidR="00832319" w:rsidRDefault="00832319" w:rsidP="00E858EF">
      <w:pPr>
        <w:pStyle w:val="Paragrafoelenco"/>
        <w:suppressAutoHyphens/>
        <w:ind w:left="0"/>
      </w:pPr>
      <w:r w:rsidRPr="005E493D">
        <w:tab/>
        <w:t xml:space="preserve">It seems that the community in the </w:t>
      </w:r>
      <w:r>
        <w:t>Mid-East</w:t>
      </w:r>
      <w:r w:rsidRPr="005E493D">
        <w:t xml:space="preserve"> region were selecting and adopting specific customs common elsewhere in the island (e.g. care for the individual) and adapting them to their needs (e.g. preservation of the individuality of the deceased through different types of burial containers). The presence of burial containers represented an investment, even if less so in terms of skills and resources in comparison with the other areas.</w:t>
      </w:r>
    </w:p>
    <w:p w14:paraId="74FDDD5F" w14:textId="5C4CA05D" w:rsidR="00203D81" w:rsidRDefault="00203D81">
      <w:pPr>
        <w:widowControl/>
        <w:spacing w:line="240" w:lineRule="auto"/>
        <w:contextualSpacing w:val="0"/>
        <w:jc w:val="left"/>
      </w:pPr>
      <w:r>
        <w:br w:type="page"/>
      </w:r>
    </w:p>
    <w:p w14:paraId="40542DFE" w14:textId="6D0092FD" w:rsidR="00832319" w:rsidRPr="00F066FC" w:rsidRDefault="00832319" w:rsidP="00E858EF">
      <w:pPr>
        <w:pStyle w:val="Titolo2"/>
        <w:keepNext w:val="0"/>
        <w:keepLines w:val="0"/>
        <w:suppressAutoHyphens/>
      </w:pPr>
      <w:bookmarkStart w:id="1276" w:name="_Toc519894729"/>
      <w:r>
        <w:t>Far-East</w:t>
      </w:r>
      <w:bookmarkEnd w:id="1276"/>
      <w:r w:rsidR="00AD1B4B">
        <w:t xml:space="preserve"> area</w:t>
      </w:r>
    </w:p>
    <w:p w14:paraId="78753998" w14:textId="77777777" w:rsidR="00832319" w:rsidRPr="00F066FC" w:rsidRDefault="00832319" w:rsidP="00E858EF">
      <w:pPr>
        <w:pStyle w:val="Titolo3"/>
        <w:keepNext w:val="0"/>
        <w:keepLines w:val="0"/>
        <w:suppressAutoHyphens/>
      </w:pPr>
      <w:bookmarkStart w:id="1277" w:name="_Toc515640398"/>
      <w:bookmarkStart w:id="1278" w:name="_Toc515640429"/>
      <w:bookmarkStart w:id="1279" w:name="_Toc515640491"/>
      <w:bookmarkStart w:id="1280" w:name="_Toc393044350"/>
      <w:bookmarkStart w:id="1281" w:name="_Toc519894730"/>
      <w:r w:rsidRPr="00F066FC">
        <w:t>Analysis</w:t>
      </w:r>
      <w:bookmarkEnd w:id="1277"/>
      <w:bookmarkEnd w:id="1278"/>
      <w:bookmarkEnd w:id="1279"/>
      <w:bookmarkEnd w:id="1280"/>
      <w:bookmarkEnd w:id="1281"/>
      <w:r w:rsidRPr="00F066FC">
        <w:t xml:space="preserve"> </w:t>
      </w:r>
    </w:p>
    <w:p w14:paraId="442F71A2" w14:textId="77777777" w:rsidR="00832319" w:rsidRPr="005E493D" w:rsidRDefault="00832319" w:rsidP="00E858EF">
      <w:pPr>
        <w:suppressAutoHyphens/>
      </w:pPr>
      <w:r w:rsidRPr="005E493D">
        <w:t xml:space="preserve">The adoption of larnakes as burial receptacles is the case for the vast majority of cemeteries in </w:t>
      </w:r>
      <w:r>
        <w:t>Far-East</w:t>
      </w:r>
      <w:r w:rsidRPr="005E493D">
        <w:t xml:space="preserve"> Crete. In cemeteries where larnakes are absent, in most cases there is evidence for the adoption of another type of burial container, such as a pithos (e.g. Zou, Pachyammos Aisa Langada, Mochlos Artisan’s quarter). Cemeteries with larnakes are mainly distributed on the north coast and inland, in some cases following </w:t>
      </w:r>
      <w:r>
        <w:t xml:space="preserve">paths </w:t>
      </w:r>
      <w:r w:rsidRPr="005E493D">
        <w:t xml:space="preserve">to the south coast (as in the case of Ierapetra Isthmus and the area south of Sitia). Gra Lygia is the only cemetery on the south coast, and Palaikastro the only cemetery on the east coast. In the </w:t>
      </w:r>
      <w:r>
        <w:t>Far-East</w:t>
      </w:r>
      <w:r w:rsidRPr="005E493D">
        <w:t xml:space="preserve"> area, larnax burials are not associated with already existing tombs (the only two exceptions are the reused MM house with a larnax burial at Gournia and the cave at Palaikastro Petsofà, previously in use in LM II). Regarding tomb numbers, cemeteries generally have a low number of tombs. Mochlos, Palaikastro and Myrsini are the largest cemeteries in the area with a maximum of 31 tombs at Mochlos Limenaria (not all of them have </w:t>
      </w:r>
      <w:r>
        <w:t>larnakes as burial receptacles; Palaikastro cemetery is quite spread).</w:t>
      </w:r>
    </w:p>
    <w:p w14:paraId="6B271F9A" w14:textId="77777777" w:rsidR="00832319" w:rsidRPr="005E493D" w:rsidRDefault="00832319" w:rsidP="00E858EF">
      <w:pPr>
        <w:pStyle w:val="Paragrafoelenco"/>
        <w:suppressAutoHyphens/>
        <w:ind w:left="0"/>
      </w:pPr>
      <w:r w:rsidRPr="005E493D">
        <w:tab/>
        <w:t xml:space="preserve">Regarding chronology, three of the tombs with larnakes in this region have their first phase of use in LM IIIA1, and the second in LM IIIA2, according to the chronology of the pottery associated (e.g. Mochlos Limenaria tombs 10, 15 and 30). The remaining samples of tombs have a long phase of use in the vast majority of cases (LM III A-B), while LM IIIB was the peak of larnax popularity (high numbers of tombs are dated to the LM IIIB). Few tombs dated to LM IIIC reveal the use of larnakes (only LM IIIC phase: Berati Piskokephalo, Mouliana Sellades B, Myrsini IA). If correct, the evidence emerging from the chronological distribution of tombs with larnakes in the </w:t>
      </w:r>
      <w:r>
        <w:t>Far-East</w:t>
      </w:r>
      <w:r w:rsidRPr="005E493D">
        <w:t xml:space="preserve"> region indicates that, in this area, tombs with larnakes were in use for the entire LM III (first tombs LM IIIA1, A2; latest tombs LM IIIC). However, it is important to note that both the two starting and ending phases are represented by only a small sample of tombs.</w:t>
      </w:r>
    </w:p>
    <w:p w14:paraId="56F44949" w14:textId="77777777" w:rsidR="00832319" w:rsidRPr="005E493D" w:rsidRDefault="00832319" w:rsidP="00E858EF">
      <w:pPr>
        <w:suppressAutoHyphens/>
      </w:pPr>
      <w:r w:rsidRPr="005E493D">
        <w:tab/>
      </w:r>
      <w:r>
        <w:t>Far-East</w:t>
      </w:r>
      <w:r w:rsidRPr="005E493D">
        <w:t xml:space="preserve"> Crete is the only region where bathtub larnakes are more popular than chest-shaped (the occurrence of bathtubs is almost </w:t>
      </w:r>
      <w:r>
        <w:t xml:space="preserve">twice </w:t>
      </w:r>
      <w:r w:rsidRPr="005E493D">
        <w:t xml:space="preserve">that of chest-shaped). The presence of decoration is visible in almost half the sample, and both the typologies are well represented in the decorated sample. </w:t>
      </w:r>
    </w:p>
    <w:p w14:paraId="74AC568C" w14:textId="77777777" w:rsidR="00832319" w:rsidRPr="005E493D" w:rsidRDefault="00832319" w:rsidP="00E858EF">
      <w:pPr>
        <w:pStyle w:val="Paragrafoelenco"/>
        <w:suppressAutoHyphens/>
        <w:ind w:left="0"/>
      </w:pPr>
      <w:r w:rsidRPr="005E493D">
        <w:tab/>
        <w:t xml:space="preserve">The high occurrence of marine </w:t>
      </w:r>
      <w:r>
        <w:t>motif</w:t>
      </w:r>
      <w:r w:rsidRPr="005E493D">
        <w:t xml:space="preserve">s in this region could be linked to the popularity of the bathtub shape. A possible explanation of the preference of marine </w:t>
      </w:r>
      <w:r>
        <w:t>motif</w:t>
      </w:r>
      <w:r w:rsidRPr="005E493D">
        <w:t>s for decorating bathtubs is linked to the shape morphology: cuttlefish/octopus tentacles are an ‘easy’ way of filling the space of the long sides of bathtubs, and the body of the octopus can be used as a division for the space of the panel, creating two symmetrical decorative spaces. The investment in larnax decoration seems to</w:t>
      </w:r>
      <w:r>
        <w:t xml:space="preserve"> be</w:t>
      </w:r>
      <w:r w:rsidRPr="005E493D">
        <w:t xml:space="preserve"> important in the </w:t>
      </w:r>
      <w:r>
        <w:t>Far-East</w:t>
      </w:r>
      <w:r w:rsidRPr="005E493D">
        <w:t xml:space="preserve"> area. The presence of richly decorated larnakes along with the occurrence of peculiar/unique </w:t>
      </w:r>
      <w:r>
        <w:t>motif</w:t>
      </w:r>
      <w:r w:rsidRPr="005E493D">
        <w:t xml:space="preserve">s is registered in four cemeteries. In particular, at Episkopi Pankalos Spiti (a large and fully decorated chest-shaped sarcophagus with representational scenes involving human figures, objects, animals, and marine and floral </w:t>
      </w:r>
      <w:r>
        <w:t>motif</w:t>
      </w:r>
      <w:r w:rsidRPr="005E493D">
        <w:t xml:space="preserve">s) and at Mochlos Limenaria (two sarcophagi with human-like or human figures), the occurrence of richly decorated larnakes suggest the probable activity of local workshops, which were a resource investment dedicated to larnax decoration. This feature represents a variation in comparison with the evidence registered in the </w:t>
      </w:r>
      <w:r>
        <w:t>Mid-East</w:t>
      </w:r>
      <w:r w:rsidRPr="005E493D">
        <w:t xml:space="preserve"> area, where larnakes seemed to have a generally low investment.</w:t>
      </w:r>
    </w:p>
    <w:p w14:paraId="128141AE" w14:textId="77777777" w:rsidR="00832319" w:rsidRPr="005E493D" w:rsidRDefault="00832319" w:rsidP="00E858EF">
      <w:pPr>
        <w:pStyle w:val="Paragrafoelenco"/>
        <w:suppressAutoHyphens/>
        <w:ind w:left="0"/>
      </w:pPr>
      <w:r>
        <w:tab/>
        <w:t>Regarding tomb type</w:t>
      </w:r>
      <w:r w:rsidRPr="005E493D">
        <w:t>, chamber tombs are the most popular type, although balanced by the occurrence of other tomb types (i.e. cave/rock shelters, pits, corbel-vaulted tombs). Consequently, a variety of d</w:t>
      </w:r>
      <w:r>
        <w:t>ifferent typ</w:t>
      </w:r>
      <w:r w:rsidRPr="005E493D">
        <w:t>es are visible, but the general preference is for chamber tombs.</w:t>
      </w:r>
    </w:p>
    <w:p w14:paraId="03C17DC4" w14:textId="77777777" w:rsidR="00832319" w:rsidRPr="005E493D" w:rsidRDefault="00832319" w:rsidP="00E858EF">
      <w:pPr>
        <w:pStyle w:val="Paragrafoelenco"/>
        <w:suppressAutoHyphens/>
        <w:ind w:left="0"/>
      </w:pPr>
      <w:r w:rsidRPr="005E493D">
        <w:tab/>
        <w:t xml:space="preserve">Regarding tomb size and monumentality, the general trend in the </w:t>
      </w:r>
      <w:r>
        <w:t>Mid-East</w:t>
      </w:r>
      <w:r w:rsidRPr="005E493D">
        <w:t xml:space="preserve"> region is the same in the </w:t>
      </w:r>
      <w:r>
        <w:t>Far-East</w:t>
      </w:r>
      <w:r w:rsidRPr="005E493D">
        <w:t>. From the available sample, chamber dimensions are usually small with almost</w:t>
      </w:r>
      <w:r>
        <w:t xml:space="preserve"> no</w:t>
      </w:r>
      <w:r w:rsidRPr="005E493D">
        <w:t xml:space="preserve"> occurrence of monumentality (only pits). As in the neighbouring region, the lack of investment in tomb architecture can be explained as the result of a lack of architectural expertise and knowledge and a lack of economical resources invested in burials. These aspects, more than being the symptom of a real lack of resources, suggest the choice of not </w:t>
      </w:r>
      <w:r>
        <w:t>sacrificing</w:t>
      </w:r>
      <w:r w:rsidRPr="005E493D">
        <w:t xml:space="preserve"> to burial</w:t>
      </w:r>
      <w:r>
        <w:t>s</w:t>
      </w:r>
      <w:r w:rsidRPr="005E493D">
        <w:t xml:space="preserve"> architecture the resources available by the local elites.</w:t>
      </w:r>
    </w:p>
    <w:p w14:paraId="31027B9B" w14:textId="77777777" w:rsidR="00832319" w:rsidRPr="005E493D" w:rsidRDefault="00832319" w:rsidP="00E858EF">
      <w:pPr>
        <w:pStyle w:val="Paragrafoelenco"/>
        <w:suppressAutoHyphens/>
        <w:ind w:left="0"/>
      </w:pPr>
      <w:r w:rsidRPr="005E493D">
        <w:tab/>
        <w:t xml:space="preserve">In the </w:t>
      </w:r>
      <w:r>
        <w:t>Far-East</w:t>
      </w:r>
      <w:r w:rsidRPr="005E493D">
        <w:t xml:space="preserve"> area, in addition to bathtub and chest-shaped larnakes, pithoi are a very common burial receptacle also. While the two larnakes shapes do occur together in the same tomb, pithoi are very rarely associated in the same tomb with larnakes. Their occurrence is registered in burial locations without larnakes or in the same cemetery with larnakes but in different tombs (e.g. Mochlos Limenaria). In addition to burial receptacles, floor and pit depositions are also attested in the </w:t>
      </w:r>
      <w:r>
        <w:t>Far-East</w:t>
      </w:r>
      <w:r w:rsidRPr="005E493D">
        <w:t xml:space="preserve"> region, but it is probable that they are connected with secondary burial depositions. A varied panorama emerges, but this variety concerns receptacle types more than other types of burial methods.</w:t>
      </w:r>
    </w:p>
    <w:p w14:paraId="474CB403" w14:textId="77777777" w:rsidR="00832319" w:rsidRPr="005E493D" w:rsidRDefault="00832319" w:rsidP="00E858EF">
      <w:pPr>
        <w:pStyle w:val="Paragrafoelenco"/>
        <w:suppressAutoHyphens/>
        <w:ind w:left="0"/>
      </w:pPr>
      <w:r w:rsidRPr="005E493D">
        <w:tab/>
        <w:t>From the analysis of the burials, generally, tombs with larnakes were not used for many burials. The minimum number of individuals is usually between one and five, with the exception of two cave/rock shelters (one at Palaikastro Petsofà, where the skeletal remains of at least 20 individuals were identified distributed between the two larnakes, the floor and the filling; and in the cave/rock shelter at Pachyammos Alazzomouri were found the skeletal remains of at least eight individuals distributed within the larnax, on the floor and the filling).</w:t>
      </w:r>
    </w:p>
    <w:p w14:paraId="64A2B499" w14:textId="77777777" w:rsidR="00832319" w:rsidRPr="005E493D" w:rsidRDefault="00832319" w:rsidP="00E858EF">
      <w:pPr>
        <w:pStyle w:val="Paragrafoelenco"/>
        <w:suppressAutoHyphens/>
        <w:ind w:left="0"/>
      </w:pPr>
      <w:r w:rsidRPr="005E493D">
        <w:tab/>
        <w:t xml:space="preserve">Regarding burial customs, the preference for individual depositions in burial containers in the </w:t>
      </w:r>
      <w:r>
        <w:t>Far-East</w:t>
      </w:r>
      <w:r w:rsidRPr="005E493D">
        <w:t xml:space="preserve"> region displays evidence of larnax reuse, although still respecting the individuality of the deceased (i.e. normally a maximum of two individuals were buried in the same larnax, as in Mochlos Tomb 10; otherwise, the larnax was emptied, moving the skeletal remains of previous burials elsewhere in the tomb, or other larnakes were introduced into the tomb). From the analysis of the skeletal remains, the collective tombs were probably used by a (family) group for a long period (e.g. Tomb 13 at Mochlos), but not often in the </w:t>
      </w:r>
      <w:r>
        <w:t>Far-East</w:t>
      </w:r>
      <w:r w:rsidRPr="005E493D">
        <w:t xml:space="preserve"> region.</w:t>
      </w:r>
    </w:p>
    <w:p w14:paraId="50F745CC" w14:textId="77777777" w:rsidR="00832319" w:rsidRPr="005E493D" w:rsidRDefault="00832319" w:rsidP="00203D81">
      <w:r w:rsidRPr="005E493D">
        <w:tab/>
        <w:t>The occurrence of other types of receptacle burials along with larnakes is almost completely absent. There are only isolated cases, such as Mochlos Tomb 13, with broken bones in a jar; at Palaikastro Markoulaki, with a pithos fragment associated with a child burial; and at Berati Piskokephalo, where a larnax, a pithos and a pyxis with cremated burials were found. The occurrence in the same tomb of chest-shaped larnakes and bathtubs is not very common (only in 12% of tombs). This evidence supports the hypothesis that difference</w:t>
      </w:r>
      <w:r>
        <w:t>s could have existed between</w:t>
      </w:r>
      <w:r w:rsidRPr="005E493D">
        <w:t xml:space="preserve"> the two larnax shapes.</w:t>
      </w:r>
    </w:p>
    <w:p w14:paraId="393D7262" w14:textId="77777777" w:rsidR="00832319" w:rsidRPr="005E493D" w:rsidRDefault="00832319" w:rsidP="00E858EF">
      <w:pPr>
        <w:pStyle w:val="Paragrafoelenco"/>
        <w:suppressAutoHyphens/>
        <w:ind w:left="0"/>
      </w:pPr>
      <w:r w:rsidRPr="005E493D">
        <w:tab/>
        <w:t>Unfortunately, the data from the skeletal remains analysis regarding gender and age does not allow any possible connection between gender or age identity and the adoption of a specific larnax type (e.g. bathtubs used for females, chests for males, or one type associated with a certain age group).</w:t>
      </w:r>
    </w:p>
    <w:p w14:paraId="0559FA30" w14:textId="7CED3709" w:rsidR="00832319" w:rsidRPr="005E493D" w:rsidRDefault="00832319" w:rsidP="00E858EF">
      <w:pPr>
        <w:pStyle w:val="Paragrafoelenco"/>
        <w:suppressAutoHyphens/>
        <w:ind w:left="0"/>
      </w:pPr>
      <w:r w:rsidRPr="005E493D">
        <w:tab/>
        <w:t xml:space="preserve">One possible hypothesis is that bathtubs were an easier shape in terms of manufacture and decoration and resembled the old version of coffins used during the EM/MM phase. Consequently, bathtubs were a cheaper version of burial container than chest-shaped. In contrast, chest-shaped larnakes were the more expensive and ‘exotic’ shape (influenced by the Central/west area of the island). </w:t>
      </w:r>
      <w:r w:rsidR="00D15350">
        <w:t xml:space="preserve">The adoption of the two types of clay coffins could </w:t>
      </w:r>
      <w:r w:rsidR="003D7FCB">
        <w:t xml:space="preserve">also </w:t>
      </w:r>
      <w:r w:rsidR="00D15350">
        <w:t xml:space="preserve">be </w:t>
      </w:r>
      <w:r w:rsidR="006A0AC5">
        <w:t>related t</w:t>
      </w:r>
      <w:r w:rsidR="003D7FCB">
        <w:t>o</w:t>
      </w:r>
      <w:r w:rsidR="006A0AC5">
        <w:t xml:space="preserve"> different treatment of the body. </w:t>
      </w:r>
      <w:r w:rsidRPr="005E493D">
        <w:t xml:space="preserve">At the bottom of this hypothetical scale of value of burial containers adopted in the </w:t>
      </w:r>
      <w:r>
        <w:t>Far-East</w:t>
      </w:r>
      <w:r w:rsidRPr="005E493D">
        <w:t xml:space="preserve"> region are pithoi. The data from the iconographical analysis supports this possible hypothesis (if pithoi are decorated, the decoration is usually dripping or simple outlines, cfr. Mochlos; bathtub larnakes are usually decorated with abstract or repeated marine </w:t>
      </w:r>
      <w:r>
        <w:t>motif</w:t>
      </w:r>
      <w:r w:rsidRPr="005E493D">
        <w:t>s). The most r</w:t>
      </w:r>
      <w:r>
        <w:t>ich and complex</w:t>
      </w:r>
      <w:r w:rsidRPr="005E493D">
        <w:t xml:space="preserve"> decorative representation is found on chest-shaped larnakes (e.g. Episkopi Pankalos or the Spiti larnax; the Palaikastro Agia Triada larnax).</w:t>
      </w:r>
    </w:p>
    <w:p w14:paraId="67DFBC15" w14:textId="77777777" w:rsidR="00832319" w:rsidRPr="005E493D" w:rsidRDefault="00832319" w:rsidP="00E858EF">
      <w:pPr>
        <w:suppressAutoHyphens/>
      </w:pPr>
      <w:r w:rsidRPr="005E493D">
        <w:tab/>
        <w:t xml:space="preserve">From the analysis of the assemblages of the tomb samples, except for the trend common within all the regions of the prevalence of pottery artefacts, there is a degree of variety and wealth regarding materials (gold and ivory occur in nine and five tombs respectively from a sample of 67). The occurrence of precious materials is not concentrated in one cemetery; instead, it is possible to isolate tombs that have a high material variety and precious material occurrence (i.e. Mochlos Limenaria Tomb 10, Mouliana Sellades Tomb B, Pachyammos Alazzomouri Tomb 3, Palaikastro ASPA, Palaikastro Petsofà and Praisos Fotoula). The occurrence of precious materials seems not to be connected with architectural monumentality (at least from the data available). </w:t>
      </w:r>
    </w:p>
    <w:p w14:paraId="0D3F57C2" w14:textId="77777777" w:rsidR="00832319" w:rsidRPr="005E493D" w:rsidRDefault="00832319" w:rsidP="00E858EF">
      <w:pPr>
        <w:pStyle w:val="Paragrafoelenco"/>
        <w:suppressAutoHyphens/>
        <w:ind w:left="0"/>
      </w:pPr>
      <w:r w:rsidRPr="005E493D">
        <w:tab/>
        <w:t>The attention reserved for the individual is confirmed also by the popularity of no</w:t>
      </w:r>
      <w:r>
        <w:t>n-ceramic</w:t>
      </w:r>
      <w:r w:rsidRPr="005E493D">
        <w:t xml:space="preserve"> artefacts (64% of the tombs). No</w:t>
      </w:r>
      <w:r>
        <w:t>n-ceramic</w:t>
      </w:r>
      <w:r w:rsidRPr="005E493D">
        <w:t xml:space="preserve"> items in </w:t>
      </w:r>
      <w:r>
        <w:t>Far-East</w:t>
      </w:r>
      <w:r w:rsidRPr="005E493D">
        <w:t xml:space="preserve"> tombs are characterised by variety, with a preponderance of jewellery items, followed by knives and seals.</w:t>
      </w:r>
    </w:p>
    <w:p w14:paraId="5216770E" w14:textId="77777777" w:rsidR="00832319" w:rsidRPr="005E493D" w:rsidRDefault="00832319" w:rsidP="00203D81">
      <w:r w:rsidRPr="005E493D">
        <w:tab/>
        <w:t xml:space="preserve">The evidence from the pottery assemblage follows the general pattern of the island (except the </w:t>
      </w:r>
      <w:r>
        <w:t>Mid-East</w:t>
      </w:r>
      <w:r w:rsidRPr="005E493D">
        <w:t>) with a preponderance of stirrup jars followed by preparation and consumption vessels. It is interesting to note the high occurrence of ceremonial vessels (such as rhyta being particularly concentrated in two tombs at Mochlos) and kraters (kraters and rhyta occur usually i</w:t>
      </w:r>
      <w:r>
        <w:t>n the same tombs and cemeteries:</w:t>
      </w:r>
      <w:r w:rsidRPr="005E493D">
        <w:t xml:space="preserve"> e.g. Gra Lygia, Mochlos, Myrsini).</w:t>
      </w:r>
    </w:p>
    <w:p w14:paraId="42E23C29" w14:textId="77777777" w:rsidR="00832319" w:rsidRPr="005E493D" w:rsidRDefault="00832319" w:rsidP="00E858EF">
      <w:pPr>
        <w:pStyle w:val="Paragrafoelenco"/>
        <w:suppressAutoHyphens/>
        <w:ind w:left="0"/>
      </w:pPr>
      <w:r w:rsidRPr="005E493D">
        <w:tab/>
        <w:t>Based on this evidence, a certain degree of wealth and ostentation not only emerges from the presence of precious materials and no</w:t>
      </w:r>
      <w:r>
        <w:t>n-ceramic</w:t>
      </w:r>
      <w:r w:rsidRPr="005E493D">
        <w:t xml:space="preserve"> items, but also from the pottery assemblage. These two aspects usually do not coexist in the same tomb; consequently, when the no-pottery assemblage is rich and varied, the pottery assemblage does not display the same level of wealth, and vice versa. Instead, the two aspects can occur in the same cemetery but in different tombs (e.g. Mochlos). These differences of ostentation through grave goods assemblages cannot be explained by chronological differences (i.e. tombs with wealthy no</w:t>
      </w:r>
      <w:r>
        <w:t>n-ceramic</w:t>
      </w:r>
      <w:r w:rsidRPr="005E493D">
        <w:t xml:space="preserve"> assemblages having a different chronology than tombs with a rich pottery assemblage), but they must have had different accessibility to material resources by different family groups, or differences between the individuals.</w:t>
      </w:r>
    </w:p>
    <w:p w14:paraId="7C2AD632" w14:textId="77777777" w:rsidR="00832319" w:rsidRPr="005E493D" w:rsidRDefault="00832319" w:rsidP="00E858EF">
      <w:pPr>
        <w:pStyle w:val="Titolo3"/>
        <w:keepNext w:val="0"/>
        <w:keepLines w:val="0"/>
        <w:suppressAutoHyphens/>
        <w:rPr>
          <w:b w:val="0"/>
        </w:rPr>
      </w:pPr>
      <w:bookmarkStart w:id="1282" w:name="_Toc515640399"/>
      <w:bookmarkStart w:id="1283" w:name="_Toc515640430"/>
      <w:bookmarkStart w:id="1284" w:name="_Toc515640492"/>
      <w:bookmarkStart w:id="1285" w:name="_Toc393044351"/>
      <w:bookmarkStart w:id="1286" w:name="_Toc519894731"/>
      <w:r w:rsidRPr="00F066FC">
        <w:t>Conclusions</w:t>
      </w:r>
      <w:bookmarkEnd w:id="1282"/>
      <w:bookmarkEnd w:id="1283"/>
      <w:bookmarkEnd w:id="1284"/>
      <w:bookmarkEnd w:id="1285"/>
      <w:bookmarkEnd w:id="1286"/>
    </w:p>
    <w:p w14:paraId="12682C2F" w14:textId="77777777" w:rsidR="00832319" w:rsidRPr="005E493D" w:rsidRDefault="00832319" w:rsidP="00E858EF">
      <w:pPr>
        <w:pStyle w:val="Paragrafoelenco"/>
        <w:suppressAutoHyphens/>
        <w:ind w:left="0"/>
      </w:pPr>
      <w:r w:rsidRPr="005E493D">
        <w:t xml:space="preserve">The analysis of the contextual aspects of larnax burials from </w:t>
      </w:r>
      <w:r>
        <w:t>Far-East</w:t>
      </w:r>
      <w:r w:rsidRPr="005E493D">
        <w:t xml:space="preserve"> Crete reveals continuity with the customs observed in the </w:t>
      </w:r>
      <w:r>
        <w:t>Mid-East</w:t>
      </w:r>
      <w:r w:rsidRPr="005E493D">
        <w:t xml:space="preserve"> region, such as the absence of tomb architectural monumentality; the adoption of other tomb typologies along with chamber tombs; the presence of cave/rock-shelter tombs; the general preference for receptacle burials, in particular for bathtubs larnakes, which in this region are more common than chest-shaped larnakes; and the connection between larnakes and individual burials.</w:t>
      </w:r>
    </w:p>
    <w:p w14:paraId="4173CFD4" w14:textId="77777777" w:rsidR="00832319" w:rsidRPr="005E493D" w:rsidRDefault="00832319" w:rsidP="00E858EF">
      <w:pPr>
        <w:pStyle w:val="Paragrafoelenco"/>
        <w:suppressAutoHyphens/>
        <w:ind w:left="0"/>
      </w:pPr>
      <w:r w:rsidRPr="005E493D">
        <w:tab/>
        <w:t xml:space="preserve">However, </w:t>
      </w:r>
      <w:r>
        <w:t>Far-East</w:t>
      </w:r>
      <w:r w:rsidRPr="005E493D">
        <w:t xml:space="preserve"> burials display also a certain degree of social competition absent in the neighbouring regions, both through larnax decoration and through the grave goods assemblages. The occurrence of precious materials in the assemblages along with fine pottery used for rituals or ceremonial activities (e.g. rhyton and krater) in addition to the occurrence of rich and uniquely decorated and shaped larnakes can be interpreted as ostentation. </w:t>
      </w:r>
    </w:p>
    <w:p w14:paraId="12F8E02B" w14:textId="77777777" w:rsidR="00832319" w:rsidRDefault="00832319" w:rsidP="00E858EF">
      <w:pPr>
        <w:pStyle w:val="Paragrafoelenco"/>
        <w:suppressAutoHyphens/>
        <w:ind w:left="0"/>
      </w:pPr>
      <w:r w:rsidRPr="005E493D">
        <w:tab/>
        <w:t>However, these three aspects (the material variety and wealth of assemblage, the variety and abundance of pottery repertoire in the assemblage, and the presence of richly decorated larnakes) do not occur all together in the same tombs, but two often occur in the same tomb (variety and abundance of pottery repertoire in the assemblage, presence of richly decorated larnakes</w:t>
      </w:r>
      <w:r>
        <w:t>.</w:t>
      </w:r>
    </w:p>
    <w:p w14:paraId="70BC9787" w14:textId="77777777" w:rsidR="00832319" w:rsidRPr="005E493D" w:rsidRDefault="00832319" w:rsidP="00E858EF">
      <w:pPr>
        <w:pStyle w:val="Paragrafoelenco"/>
        <w:suppressAutoHyphens/>
        <w:ind w:left="0"/>
      </w:pPr>
      <w:r w:rsidRPr="005E493D">
        <w:tab/>
        <w:t xml:space="preserve">Different methods of ostentation occurred in different tombs, indicating that there was no standard for competition between </w:t>
      </w:r>
      <w:r>
        <w:t>Far-East</w:t>
      </w:r>
      <w:r w:rsidRPr="005E493D">
        <w:t xml:space="preserve"> elite groups. Furthermore, this lack of standardisation reveals also the difference in availability of material resources and that th</w:t>
      </w:r>
      <w:r>
        <w:t xml:space="preserve">ese resources </w:t>
      </w:r>
      <w:r w:rsidRPr="005E493D">
        <w:t>ere not concentrated in a particular cemetery</w:t>
      </w:r>
      <w:r>
        <w:t xml:space="preserve"> (and therefore accessible by some groups using a cemetery)</w:t>
      </w:r>
      <w:r w:rsidRPr="005E493D">
        <w:t xml:space="preserve"> but more or less homogenously distributed within the area.</w:t>
      </w:r>
    </w:p>
    <w:p w14:paraId="0E0E01F1" w14:textId="77777777" w:rsidR="00832319" w:rsidRPr="005E493D" w:rsidRDefault="00832319" w:rsidP="00E858EF">
      <w:pPr>
        <w:pStyle w:val="Paragrafoelenco"/>
        <w:suppressAutoHyphens/>
        <w:ind w:left="0"/>
      </w:pPr>
      <w:r w:rsidRPr="005E493D">
        <w:tab/>
        <w:t>Even if a great bond between the larnax and the individual buried th</w:t>
      </w:r>
      <w:r>
        <w:t>ere remained visible, the reuse of</w:t>
      </w:r>
      <w:r w:rsidRPr="005E493D">
        <w:t xml:space="preserve"> the burial receptacle was practised in the </w:t>
      </w:r>
      <w:r>
        <w:t>Far-East</w:t>
      </w:r>
      <w:r w:rsidRPr="005E493D">
        <w:t xml:space="preserve">, and often floor and pit depositions are used for secondary burial depositions corresponding to the first use of the larnax. This type of practice is well attested in almost all Cretan regions, except for the </w:t>
      </w:r>
      <w:r>
        <w:t>Mid-East</w:t>
      </w:r>
      <w:r w:rsidRPr="005E493D">
        <w:t xml:space="preserve">. </w:t>
      </w:r>
    </w:p>
    <w:p w14:paraId="4A6D439B" w14:textId="77777777" w:rsidR="00832319" w:rsidRPr="005E493D" w:rsidRDefault="00832319" w:rsidP="00E858EF">
      <w:pPr>
        <w:pStyle w:val="Paragrafoelenco"/>
        <w:suppressAutoHyphens/>
        <w:ind w:left="0"/>
      </w:pPr>
      <w:r w:rsidRPr="005E493D">
        <w:tab/>
        <w:t>According to the data available, the choice of adopting a bathtub larnax or a chest-shaped larnax does not seem to be linked to the gender or the age of the deceased. Differences connected to his or her social status are difficult to reconstruct from the data from the grave goods assemblage sample. However, what is possible to reconstruct is a clear regional difference between the two types. The bathtub shape is a typical feature of burials from east Crete, while the chest-shaped were the most widely adopted, and particularly standardised, in the Centre and west.</w:t>
      </w:r>
    </w:p>
    <w:p w14:paraId="5CC76EF8" w14:textId="77777777" w:rsidR="00832319" w:rsidRPr="005E493D" w:rsidRDefault="00832319" w:rsidP="00E858EF">
      <w:pPr>
        <w:pStyle w:val="Paragrafoelenco"/>
        <w:suppressAutoHyphens/>
        <w:ind w:left="0"/>
      </w:pPr>
      <w:r w:rsidRPr="005E493D">
        <w:tab/>
        <w:t xml:space="preserve">Indeed, using a larnax instead of a pithos represents a difference as well, because a larnax was more of an investment of material resources than a pithos. Moreover, adopting a chest-shaped instead of a bathtub larnax meant a different choice: on the one hand, because it represents probably an even higher investment in terms of resources, and, on the other hand, because it probably would have represented a ‘less local’ burial receptacle for the </w:t>
      </w:r>
      <w:r>
        <w:t>Far-East</w:t>
      </w:r>
      <w:r w:rsidRPr="005E493D">
        <w:t>, referencing a burial custom used in the Centre and west of Crete.</w:t>
      </w:r>
    </w:p>
    <w:p w14:paraId="69F8FBE1" w14:textId="77777777" w:rsidR="00832319" w:rsidRPr="005E493D" w:rsidRDefault="00832319" w:rsidP="00E858EF">
      <w:pPr>
        <w:suppressAutoHyphens/>
      </w:pPr>
      <w:r w:rsidRPr="005E493D">
        <w:tab/>
        <w:t xml:space="preserve">The general picture emerging from </w:t>
      </w:r>
      <w:r>
        <w:t>Far-East</w:t>
      </w:r>
      <w:r w:rsidRPr="005E493D">
        <w:t xml:space="preserve"> larnax burials reveals less standardised habits. If, on the one side, the basic burial ‘package’ common all over Crete is present (chamber tomb-larnax-stirrup jar), on the other side, this was not adopted uniformly, but selected customs were chosen, others avoided (e.g. tomb monumentality), and others were readapted according to local tradition, tastes and the availability of resources and needs.</w:t>
      </w:r>
    </w:p>
    <w:p w14:paraId="7509FA8A" w14:textId="77777777" w:rsidR="00832319" w:rsidRPr="00B13799" w:rsidRDefault="00832319" w:rsidP="00E858EF">
      <w:pPr>
        <w:pStyle w:val="Titolo2"/>
        <w:keepNext w:val="0"/>
        <w:keepLines w:val="0"/>
        <w:suppressAutoHyphens/>
      </w:pPr>
      <w:bookmarkStart w:id="1287" w:name="_Toc393044352"/>
      <w:bookmarkStart w:id="1288" w:name="_Toc519894732"/>
      <w:r>
        <w:t>Chapter c</w:t>
      </w:r>
      <w:r w:rsidRPr="00533DD0">
        <w:t>onclusion</w:t>
      </w:r>
      <w:r w:rsidRPr="00B13799">
        <w:t>s</w:t>
      </w:r>
      <w:bookmarkEnd w:id="1287"/>
      <w:bookmarkEnd w:id="1288"/>
    </w:p>
    <w:p w14:paraId="1ADD636A" w14:textId="77777777" w:rsidR="00832319" w:rsidRPr="005E493D" w:rsidRDefault="00832319" w:rsidP="00E858EF">
      <w:pPr>
        <w:suppressAutoHyphens/>
      </w:pPr>
      <w:r w:rsidRPr="005E493D">
        <w:t xml:space="preserve">Contextualising larnakes within </w:t>
      </w:r>
      <w:r>
        <w:t>the burials in which they were used</w:t>
      </w:r>
      <w:r w:rsidRPr="005E493D">
        <w:t xml:space="preserve"> and considering them from a regional perspective allows us to isolate the presence of some homogenous patterns that characterise their adoption throughout the island (e.g. association with chamber tombs; association with pottery assemblages; association with individual burials; and a tendency towards reuse). At the same time, we can identify which variations have a regional scale and which are the result of specific burial choices of local communities.</w:t>
      </w:r>
    </w:p>
    <w:p w14:paraId="3A3BA6E9" w14:textId="77777777" w:rsidR="00832319" w:rsidRPr="005E493D" w:rsidRDefault="00832319" w:rsidP="00E858EF">
      <w:pPr>
        <w:pStyle w:val="Paragrafoelenco"/>
        <w:suppressAutoHyphens/>
        <w:ind w:left="0"/>
      </w:pPr>
      <w:r w:rsidRPr="005E493D">
        <w:tab/>
        <w:t>One of the general patterns regards the central role of the larnax within the burials where it was adopted. The presence of a larnax represents an investment. Consequently, the larnax had a value and its presence added a value that was not always a shared value for all the members of the Cretan elites. The choice of burying the deceased using a different interment method and, particularly, the avoidance of larnakes represents the most popular choice among the members of the LM III post-palatial elites. Therefore, the vast majority of these elites recognised the function and probably also the value of larnakes but deliberately preferred the adoption of other interment types, probably not clay receptacles such as larnakes or pithoi. An interesting piece of data in this respect is that these elites were the ones who used the largest cemeteries of the island (e.g. Armenoi, Chania, Zafer Papoura) and, consequently, were responsible for their construction</w:t>
      </w:r>
      <w:r>
        <w:t>.</w:t>
      </w:r>
      <w:r w:rsidRPr="005E493D">
        <w:t xml:space="preserve"> </w:t>
      </w:r>
      <w:r>
        <w:t>T</w:t>
      </w:r>
      <w:r w:rsidRPr="005E493D">
        <w:t>he</w:t>
      </w:r>
      <w:r>
        <w:t>se</w:t>
      </w:r>
      <w:r w:rsidRPr="005E493D">
        <w:t xml:space="preserve"> elites</w:t>
      </w:r>
      <w:r>
        <w:t xml:space="preserve"> in particular</w:t>
      </w:r>
      <w:r w:rsidRPr="005E493D">
        <w:t xml:space="preserve"> were using or acquiring burial ostentation through tomb monumentality and the deposition of precious items within the assemblage, a burial custom that does not </w:t>
      </w:r>
      <w:r>
        <w:t xml:space="preserve">normally apply to </w:t>
      </w:r>
      <w:r w:rsidRPr="005E493D">
        <w:t xml:space="preserve">usual larnax burials. Instead, those features were adopted at Knossos during the final palatial period. Therefore, the occurrence of this pattern could allow the hypothesis that the choice of not choosing a clay burial receptacle represented a strong connection with the previous final palatial elites. </w:t>
      </w:r>
    </w:p>
    <w:p w14:paraId="1D7F0479" w14:textId="77777777" w:rsidR="00832319" w:rsidRPr="005E493D" w:rsidRDefault="00832319" w:rsidP="00E858EF">
      <w:pPr>
        <w:pStyle w:val="Paragrafoelenco"/>
        <w:suppressAutoHyphens/>
        <w:ind w:left="0"/>
      </w:pPr>
      <w:r w:rsidRPr="005E493D">
        <w:tab/>
        <w:t xml:space="preserve">A larnax in a tomb implies a series of actions performed during the funeral and during the rites performed after (e.g. ceremonies in honour of the deceased, manipulation of the body of the deceased). These actions produced a series of material evidence that, on the one hand, follow a general standardised pattern and, on the other hand, were carefully selected by the tomb users (family groups) to construct and display their identities. In this respect, the varied and strong locally shaped pattern that emerges from the eastern area (Mid and </w:t>
      </w:r>
      <w:r>
        <w:t>Far-East</w:t>
      </w:r>
      <w:r w:rsidRPr="005E493D">
        <w:t>) reveals how these would not have been structured by outsiders but shaped according to the tastes and needs of the groups using the small/medium scale cemeteries in the area.</w:t>
      </w:r>
    </w:p>
    <w:p w14:paraId="2CDB68E7" w14:textId="77777777" w:rsidR="00832319" w:rsidRPr="005E493D" w:rsidRDefault="00832319" w:rsidP="00E858EF">
      <w:pPr>
        <w:suppressAutoHyphens/>
      </w:pPr>
      <w:r w:rsidRPr="005E493D">
        <w:tab/>
        <w:t>However, if the evidence examined does not allow for a specific hypothesis regarding the identification of these identities, nevertheless, it is possible to reconstruct some of the burial customs connected to burials with larnakes. The more or less small groups of people using a tomb with larnax/larnakes reveal two tendencies towards the preservation of the individuality of the deceased:</w:t>
      </w:r>
    </w:p>
    <w:p w14:paraId="643656AD" w14:textId="6592AD0E" w:rsidR="000D48C7" w:rsidRDefault="00832319" w:rsidP="000D48C7">
      <w:pPr>
        <w:pStyle w:val="Paragrafoelenco"/>
        <w:numPr>
          <w:ilvl w:val="0"/>
          <w:numId w:val="125"/>
        </w:numPr>
        <w:suppressAutoHyphens/>
      </w:pPr>
      <w:r w:rsidRPr="005E493D">
        <w:t xml:space="preserve">Much visible respect was manifested towards the individual buried </w:t>
      </w:r>
      <w:r w:rsidR="0090255F">
        <w:t>through the</w:t>
      </w:r>
      <w:r w:rsidRPr="005E493D">
        <w:t xml:space="preserve"> care </w:t>
      </w:r>
      <w:r w:rsidR="0090255F">
        <w:t xml:space="preserve">and treatment </w:t>
      </w:r>
      <w:r w:rsidRPr="005E493D">
        <w:t xml:space="preserve">of the body </w:t>
      </w:r>
      <w:r w:rsidR="003D7FCB">
        <w:t xml:space="preserve">and </w:t>
      </w:r>
      <w:r w:rsidR="0090255F">
        <w:t>also t</w:t>
      </w:r>
      <w:r w:rsidR="003D7FCB">
        <w:t>h</w:t>
      </w:r>
      <w:r w:rsidR="0090255F">
        <w:t xml:space="preserve">rough </w:t>
      </w:r>
      <w:r w:rsidRPr="005E493D">
        <w:t xml:space="preserve">the space reserved for </w:t>
      </w:r>
      <w:r>
        <w:t>the individual within the tomb</w:t>
      </w:r>
      <w:r w:rsidR="00327FC7">
        <w:t xml:space="preserve">. In this case </w:t>
      </w:r>
      <w:r w:rsidRPr="005E493D">
        <w:t>either the tomb was not reused, or other deceased individuals were introduced in other containers (often other larnakes) or interment types; furthermore, a significant number of personal possessions of the deceased were placed as grave goods (as marks of identit</w:t>
      </w:r>
      <w:r>
        <w:t>y?</w:t>
      </w:r>
      <w:r w:rsidRPr="005E493D">
        <w:t>).</w:t>
      </w:r>
    </w:p>
    <w:p w14:paraId="538EE21B" w14:textId="6F81CA8C" w:rsidR="00832319" w:rsidRPr="005E493D" w:rsidRDefault="008A06E2" w:rsidP="00370745">
      <w:pPr>
        <w:pStyle w:val="Paragrafoelenco"/>
        <w:numPr>
          <w:ilvl w:val="0"/>
          <w:numId w:val="125"/>
        </w:numPr>
        <w:suppressAutoHyphens/>
      </w:pPr>
      <w:r>
        <w:t>T</w:t>
      </w:r>
      <w:r w:rsidR="000D48C7" w:rsidRPr="005E493D">
        <w:t>he tomb with the larnax itself bec</w:t>
      </w:r>
      <w:r w:rsidR="00400C64">
        <w:t>a</w:t>
      </w:r>
      <w:r w:rsidR="000D48C7" w:rsidRPr="005E493D">
        <w:t>me a stage for the family</w:t>
      </w:r>
      <w:r w:rsidR="00750D1A">
        <w:t xml:space="preserve"> to express their identity/identities</w:t>
      </w:r>
      <w:r w:rsidR="000D48C7" w:rsidRPr="005E493D">
        <w:t>.</w:t>
      </w:r>
      <w:r>
        <w:t xml:space="preserve"> </w:t>
      </w:r>
      <w:r w:rsidR="00AD301B">
        <w:t>The</w:t>
      </w:r>
      <w:r w:rsidR="00832319" w:rsidRPr="005E493D">
        <w:t xml:space="preserve"> body of the deceased</w:t>
      </w:r>
      <w:r w:rsidR="00AD301B">
        <w:t xml:space="preserve"> was manipulated</w:t>
      </w:r>
      <w:r w:rsidR="00832319" w:rsidRPr="005E493D">
        <w:t xml:space="preserve"> a</w:t>
      </w:r>
      <w:r w:rsidR="00832319">
        <w:t xml:space="preserve">nd a greater care </w:t>
      </w:r>
      <w:r w:rsidR="00400C64">
        <w:t>wa</w:t>
      </w:r>
      <w:r w:rsidR="00832319">
        <w:t>s reserved for</w:t>
      </w:r>
      <w:r w:rsidR="00832319" w:rsidRPr="005E493D">
        <w:t xml:space="preserve"> the ceremonies performed in honour of the deceased (</w:t>
      </w:r>
      <w:r w:rsidR="00832319">
        <w:t xml:space="preserve">visible through the </w:t>
      </w:r>
      <w:r w:rsidR="00832319" w:rsidRPr="005E493D">
        <w:t xml:space="preserve">high occurrence of pots within the assemblage). </w:t>
      </w:r>
    </w:p>
    <w:p w14:paraId="2B84F802" w14:textId="77777777" w:rsidR="00832319" w:rsidRPr="005E493D" w:rsidRDefault="00832319" w:rsidP="00E858EF">
      <w:pPr>
        <w:suppressAutoHyphens/>
      </w:pPr>
      <w:r w:rsidRPr="005E493D">
        <w:t>These two tendencies reveal also, in some cases, a clear geographical pattern (e.g. individuality preserved at Knossos, not preserved in the Mesara area) and can be interpreted considering the changes and transformations happening in Crete at the time of larnax adoption. In fact, the attention reserved for the individual reveals an influence of the previous final palatial burial customs, while the intensity of the reuse of larnakes and the attention towards communal rites are innovative elements but also reveal a strong connection with the remote past of Cretan burial customs.</w:t>
      </w:r>
    </w:p>
    <w:p w14:paraId="272B222B" w14:textId="77777777" w:rsidR="00832319" w:rsidRPr="005E493D" w:rsidRDefault="00832319" w:rsidP="00E858EF">
      <w:pPr>
        <w:suppressAutoHyphens/>
      </w:pPr>
    </w:p>
    <w:p w14:paraId="3CCAA35D" w14:textId="77777777" w:rsidR="00832319" w:rsidRPr="005E493D" w:rsidRDefault="00832319" w:rsidP="00E858EF">
      <w:pPr>
        <w:suppressAutoHyphens/>
      </w:pPr>
    </w:p>
    <w:p w14:paraId="60C1A940" w14:textId="30120652" w:rsidR="00797284" w:rsidRPr="00934D28" w:rsidRDefault="00832319" w:rsidP="00203D81">
      <w:pPr>
        <w:pStyle w:val="Titolo1"/>
      </w:pPr>
      <w:r>
        <w:br w:type="page"/>
      </w:r>
      <w:bookmarkStart w:id="1289" w:name="_Toc519894733"/>
      <w:r w:rsidR="00797284" w:rsidRPr="00934D28">
        <w:t>CONCLUSIONS</w:t>
      </w:r>
      <w:bookmarkEnd w:id="1289"/>
    </w:p>
    <w:p w14:paraId="0086EB13" w14:textId="4F2C3E3E" w:rsidR="00797284" w:rsidRPr="00D766FB" w:rsidRDefault="00797284" w:rsidP="00E858EF">
      <w:pPr>
        <w:pStyle w:val="Titolo2"/>
        <w:keepNext w:val="0"/>
        <w:keepLines w:val="0"/>
        <w:suppressAutoHyphens/>
        <w:spacing w:after="240"/>
      </w:pPr>
      <w:bookmarkStart w:id="1290" w:name="_Toc519894734"/>
      <w:r w:rsidRPr="00D766FB">
        <w:t>Main results</w:t>
      </w:r>
      <w:bookmarkEnd w:id="1290"/>
    </w:p>
    <w:p w14:paraId="52F4DDD1" w14:textId="77777777" w:rsidR="00797284" w:rsidRPr="00AE15D0" w:rsidRDefault="00797284" w:rsidP="00E858EF">
      <w:pPr>
        <w:suppressAutoHyphens/>
      </w:pPr>
      <w:r>
        <w:t>The contextual approach adopted in this thesis, studying larnakes as burial receptacles inextricably linked to the burial in which they were placed, is new in the field of larnax studies. The approach follows the new interest in understanding human actions through the material evidence detected in</w:t>
      </w:r>
      <w:r w:rsidRPr="00AE15D0">
        <w:t xml:space="preserve"> tombs </w:t>
      </w:r>
      <w:r>
        <w:t xml:space="preserve">that has </w:t>
      </w:r>
      <w:r w:rsidRPr="00AE15D0">
        <w:t>emerged recently in the field of Aegean mortuary studies (Boyd</w:t>
      </w:r>
      <w:r>
        <w:t xml:space="preserve"> and </w:t>
      </w:r>
      <w:r w:rsidRPr="00AE15D0">
        <w:t>Dakouri-Hild 2016: 8).</w:t>
      </w:r>
      <w:r>
        <w:t xml:space="preserve"> Therefore, considering not only the patterns of larnax distribution on their own, but instead examining them in relation to the other elements of the burial, allowed us to answer affirmatively the main question concerning whether the adoption of larnax coffins represented ‘meaningful action’ within the funerary customs of LM III Crete.</w:t>
      </w:r>
    </w:p>
    <w:p w14:paraId="16EE7152" w14:textId="77777777" w:rsidR="00797284" w:rsidRDefault="00797284" w:rsidP="00E858EF">
      <w:pPr>
        <w:suppressAutoHyphens/>
      </w:pPr>
      <w:r>
        <w:tab/>
        <w:t>T</w:t>
      </w:r>
      <w:r w:rsidRPr="00AE15D0">
        <w:t xml:space="preserve">o </w:t>
      </w:r>
      <w:r>
        <w:t>understand further the ‘meaning’ behind larnax adoption, the main aspect examined in this thesis concerned the distributional patterns and their adoptions through space to identify and interpret the general tendency and the variations that occur. From the results, larnakes were generally adopted as burial receptacles for individual burials within chamber tombs of small dimension and with a low degree of monumentality, associated mainly with pottery assemblages. If, on the one hand, this pattern represents the standard contextual features found in association with larnakes within LM III burials in Crete, on the other hand, even though this ‘burial package’ was probably known everywhere on the island during LM III period, it was not adopted everywhere and, furthermore, it was not adopted in the same way, but instead is characterised by different degrees of standardisation or variation.</w:t>
      </w:r>
    </w:p>
    <w:p w14:paraId="547E2649" w14:textId="77777777" w:rsidR="00797284" w:rsidRDefault="00797284" w:rsidP="00E858EF">
      <w:pPr>
        <w:suppressAutoHyphens/>
      </w:pPr>
      <w:r>
        <w:tab/>
        <w:t xml:space="preserve">Beginning with the data from the macro-regional scale distribution of larnakes, as already noted by Laura Preston (2004: 189-191), the almost complete absence of larnakes is clustered in a specific area, the Chania region (Far-West Crete). However, the ‘rejection’ of larnakes and clay receptacles in this Far-West region does not involve other contextual burial elements (e.g. chamber tombs and pottery assemblages). The main focus of this research (tombs with larnakes) means it has not been possible to examine the reasons that led to larnakes being avoided in the Far-West region. However, the Chania area, during the final palatial period, benefitted from a degree of independence in comparison with other second-order Cretan centres (Bennet 1985), and Chania seems to have maintained this privileged and predominant role into the following post-palatial period, as is visible from the other material culture (e.g. Chaniot pottery workshop; Kanta 1980; Langohr 2009; and the Chaniot Linear B archive: see Hallager and Andreadaki-Vlasaki 1997). Thus, this ‘independence’ is visible also in the burial sphere, in particular expressed through the rejection of burial container use (there is no evidence of any other type of burial container) and is evidence of a </w:t>
      </w:r>
      <w:r w:rsidRPr="00C34EFA">
        <w:t>distinct regional identity, even though it ha</w:t>
      </w:r>
      <w:r>
        <w:t>s</w:t>
      </w:r>
      <w:r w:rsidRPr="00C34EFA">
        <w:t xml:space="preserve"> not be</w:t>
      </w:r>
      <w:r>
        <w:t>en</w:t>
      </w:r>
      <w:r w:rsidRPr="00C34EFA">
        <w:t xml:space="preserve"> possible to </w:t>
      </w:r>
      <w:r>
        <w:t>determine</w:t>
      </w:r>
      <w:r w:rsidRPr="00C34EFA">
        <w:t xml:space="preserve"> what this regional identity consists</w:t>
      </w:r>
      <w:r>
        <w:t xml:space="preserve"> of</w:t>
      </w:r>
      <w:r w:rsidRPr="00C34EFA">
        <w:t>.</w:t>
      </w:r>
    </w:p>
    <w:p w14:paraId="068FB403" w14:textId="77777777" w:rsidR="00797284" w:rsidRDefault="00797284" w:rsidP="00E858EF">
      <w:pPr>
        <w:suppressAutoHyphens/>
      </w:pPr>
      <w:r>
        <w:tab/>
        <w:t xml:space="preserve">However, if the Far-West area displays a relatively uniform pattern regarding larnax ‘rejection’, it was not the only region where other types of interment were preferred to larnax receptacles. In the Mid-West region, even if larnax adoption is attested in almost all the cemeteries of the area, larnakes were only adopted in fewer than 20% of the total number of tombs (the majority of them are clustered in the large cemetery of Armenoi). Furthermore, if we consider in detail the minimum number of individual burials associated with other interment types, this is approximately five times larger than the number of individuals associated with larnax burials. The same pattern is apparent in the Knossos region, although with different characteristics (e.g. larnakes were not adopted in all the cemeteries in use during LM III). </w:t>
      </w:r>
    </w:p>
    <w:p w14:paraId="51F9835F" w14:textId="77777777" w:rsidR="00797284" w:rsidRDefault="00797284" w:rsidP="00E858EF">
      <w:pPr>
        <w:suppressAutoHyphens/>
      </w:pPr>
      <w:r>
        <w:tab/>
        <w:t xml:space="preserve">The use of larnakes as burial receptacles in LM III tombs was a widespread custom throughout Crete (known everywhere and attested in the majority of cemeteries in use during LM III phase) but it was not the interment method most often adopted. Instead, the evidence emerging from the analysis indicates that larnakes were adopted by a portion of the LM III elite groups. Thus, both the presence and the absence of larnakes in burial contexts are evidence of the </w:t>
      </w:r>
      <w:r w:rsidRPr="00DC6AD9">
        <w:t xml:space="preserve">significant and meaningful role </w:t>
      </w:r>
      <w:r>
        <w:t>of that particular burial receptacle</w:t>
      </w:r>
      <w:r w:rsidRPr="00DC6AD9">
        <w:t xml:space="preserve"> </w:t>
      </w:r>
      <w:r>
        <w:t xml:space="preserve">in </w:t>
      </w:r>
      <w:r w:rsidRPr="00DC6AD9">
        <w:t>the fun</w:t>
      </w:r>
      <w:r>
        <w:t xml:space="preserve">eral arena in LM III Crete. </w:t>
      </w:r>
    </w:p>
    <w:p w14:paraId="6C31BAC3" w14:textId="77777777" w:rsidR="00797284" w:rsidRDefault="00797284" w:rsidP="00E858EF">
      <w:pPr>
        <w:suppressAutoHyphens/>
      </w:pPr>
      <w:r>
        <w:tab/>
        <w:t xml:space="preserve">It is apparent from the results of the analysis that </w:t>
      </w:r>
      <w:r w:rsidRPr="00DC6AD9">
        <w:t>this meaning was constructed and determined both by larnax features</w:t>
      </w:r>
      <w:r>
        <w:t>, by the way in which they were used,</w:t>
      </w:r>
      <w:r w:rsidRPr="00DC6AD9">
        <w:t xml:space="preserve"> and through the contextual association with other burial elements</w:t>
      </w:r>
      <w:r>
        <w:t xml:space="preserve">, and it was signified locally through variation visible on a small-scale level. </w:t>
      </w:r>
    </w:p>
    <w:p w14:paraId="4AD6B038" w14:textId="77777777" w:rsidR="00797284" w:rsidRDefault="00797284" w:rsidP="00E858EF">
      <w:pPr>
        <w:suppressAutoHyphens/>
      </w:pPr>
      <w:r>
        <w:tab/>
        <w:t xml:space="preserve">As confirmed by the evidence from the regional analysis of the distribution of tombs with larnakes (Chapter 3), the adoption of the ‘burial package’ implies that the use of larnakes as burial receptacles illustrates that the custom of using tombs to express identity differences and social competition was not a restricted phenomenon (i.e. adopted only by palatial elites, or elites of second-order centres), but was accepted and adapted by communities of different social levels (e.g. a higher number of burial evidence from LM III Crete throughout the island). Therefore, these local communities were adapting the custom to a ‘local flavour’ and manipulating these contextual features according to their own needs, even while maintaining a certain degree of standardisation. </w:t>
      </w:r>
    </w:p>
    <w:p w14:paraId="2933250B" w14:textId="77777777" w:rsidR="00797284" w:rsidRDefault="00797284" w:rsidP="00E858EF">
      <w:pPr>
        <w:suppressAutoHyphens/>
      </w:pPr>
      <w:r>
        <w:tab/>
        <w:t>Considering this local adaptation and appropriation process, it is possible to interpret the micro-scale differences characterising contextual burial patterns, for example, regarding the chest-shaped larnax morphological features or iconography identified in the broad Mid-West/Central area (Chapter 5.11), or the preference of a certain pottery typology over others (e.g. higher occurrence of goblets in the Mid-West region, see Chapter 4.3.4.5).</w:t>
      </w:r>
    </w:p>
    <w:p w14:paraId="2A20E287" w14:textId="77777777" w:rsidR="00797284" w:rsidRDefault="00797284" w:rsidP="00E858EF">
      <w:pPr>
        <w:suppressAutoHyphens/>
      </w:pPr>
      <w:r>
        <w:tab/>
        <w:t>The regional analysis distribution allows the identification of a very general pattern regarding the standardisation degree apparent in larnax burials:</w:t>
      </w:r>
    </w:p>
    <w:p w14:paraId="4A9F0C1D" w14:textId="77777777" w:rsidR="00797284" w:rsidRDefault="00797284" w:rsidP="00370745">
      <w:pPr>
        <w:pStyle w:val="Paragrafoelenco"/>
        <w:numPr>
          <w:ilvl w:val="0"/>
          <w:numId w:val="126"/>
        </w:numPr>
        <w:suppressAutoHyphens/>
      </w:pPr>
      <w:r>
        <w:t>Tombs with larnakes in the broad Mid-West/Central area (i.e. Mid-West, Mesara, Centre and Knossos) share a higher degree of homogeneity (i.e. chest-shaped larnakes and the predominance of chamber tombs) with isolated cases of a higher degree of variation in contextual burial patterns (e.g. Armenoi, Archanes Phourni, Agia Triada).</w:t>
      </w:r>
    </w:p>
    <w:p w14:paraId="52A0A1C8" w14:textId="77777777" w:rsidR="00797284" w:rsidRPr="003458F8" w:rsidRDefault="00797284" w:rsidP="00370745">
      <w:pPr>
        <w:pStyle w:val="Paragrafoelenco"/>
        <w:numPr>
          <w:ilvl w:val="0"/>
          <w:numId w:val="126"/>
        </w:numPr>
        <w:suppressAutoHyphens/>
      </w:pPr>
      <w:r>
        <w:t>The patterns emerging from east Crete (i.e. partially from the Mid-east region, but especially from the Far-East region) display much less homogeneity (e.g. the adoption of both bathtub and chest-shaped larnakes and pithoi burials; the occurrence of many different types of tomb typology, see Chapter 3.11.2) and a range of diversity occurring generally (i.e. not in isolated tombs, but a spread phenomenon) in different contextual elements of the burial (i.e. differences in tomb typology adopted; differences in respect of the receptacle type adopted; difference in assemblage composition).</w:t>
      </w:r>
    </w:p>
    <w:p w14:paraId="776B490C" w14:textId="77777777" w:rsidR="00797284" w:rsidRDefault="00797284" w:rsidP="00E858EF">
      <w:pPr>
        <w:suppressAutoHyphens/>
      </w:pPr>
      <w:r>
        <w:t>The interpretation of the macro-scale evidence from the regional distribution analysis suggests that the peripheral regions (i.e. Far-West and Far-East) adopted different burial customs (different also within each other) and expressed through these different identities how they benefitted from a higher degree of autonomy compared with the rest of the island.</w:t>
      </w:r>
    </w:p>
    <w:p w14:paraId="69DE57EE" w14:textId="77777777" w:rsidR="00797284" w:rsidRDefault="00797284" w:rsidP="00E858EF">
      <w:pPr>
        <w:suppressAutoHyphens/>
      </w:pPr>
      <w:r>
        <w:tab/>
        <w:t>It is important to consider these results from the perspective of the political situation in Crete. The lack of central power (Knossos final palatial control) in post-palatial Crete did not involve a situation of drastic and sudden change in Cretan political organisation and communities. Instead, the cultural customs established during the period of Knossian influence were accepted at different scales by local elites and adapted and used as a new medium of social competition according to the local traditions and needs (Preston 2000: 258).</w:t>
      </w:r>
    </w:p>
    <w:p w14:paraId="11E027FF" w14:textId="77777777" w:rsidR="00797284" w:rsidRDefault="00797284" w:rsidP="00E858EF">
      <w:pPr>
        <w:suppressAutoHyphens/>
      </w:pPr>
      <w:r>
        <w:tab/>
        <w:t>What does adopting burials with larnakes mean from this perspective?</w:t>
      </w:r>
    </w:p>
    <w:p w14:paraId="5F6B0FA4" w14:textId="77777777" w:rsidR="00797284" w:rsidRDefault="00797284" w:rsidP="00E858EF">
      <w:pPr>
        <w:suppressAutoHyphens/>
      </w:pPr>
      <w:r>
        <w:tab/>
        <w:t xml:space="preserve">First, such burials do not have a straightforward univocal meaning; and second, this meaning was different when constructed locally. </w:t>
      </w:r>
    </w:p>
    <w:p w14:paraId="2943F4A6" w14:textId="77777777" w:rsidR="00797284" w:rsidRDefault="00797284" w:rsidP="00E858EF">
      <w:pPr>
        <w:suppressAutoHyphens/>
      </w:pPr>
      <w:r>
        <w:tab/>
        <w:t xml:space="preserve">Indeed, the use of larnakes was one of the most important media selectively adopted and ‘signified’ by local communities, following the collapse of Knossos, to renegotiate their social position and express/construct it through burial with their identities. However, the contextual patterns examined in the present study (e.g. skeletal remains, gender and age association) do not allow us to understand more about the range of identities expressed (e.g. whether the use of different characteristics for a clay receptacle signifies differences in gender, age or status). Nevertheless, it is interesting to underline the occurrence of a pattern regarding ostentation practices in tomb with larnakes. The high degree of investment in tomb architecture and the deposition of valuable materials are isolated phenomena occurring in only a few tombs (Chapter 6). These phenomena represent a shift from the burial customs adopted during the final palatial period at Knossos. Therefore, it is possible that status ostentation within burials was expressed using clay artefacts, both pottery assemblage items and larnakes. </w:t>
      </w:r>
    </w:p>
    <w:p w14:paraId="2F0D57A0" w14:textId="77777777" w:rsidR="00797284" w:rsidRDefault="00797284" w:rsidP="00E858EF">
      <w:pPr>
        <w:suppressAutoHyphens/>
      </w:pPr>
      <w:r>
        <w:tab/>
        <w:t>The occurrence of a larnax in a tomb represented not only a meaningful action expressing identity, but also an ‘added’ value because of the labour and investment required to make it. The process of manufacturing and decorating a larnax involved a certain degree of risk (e.g. during the firing), knowledge (e.g. both in respect of manufacture and decoration) and effort (and more risk) when the larnax had to be transported and placed within a tomb. Consequently, the groups choosing to use a larnax as an interment method were investing a certain amount of resources in it and identifying it as an important medium that was recognised not only by the members of this group, but that was known all over the island.</w:t>
      </w:r>
    </w:p>
    <w:p w14:paraId="2DE76E5E" w14:textId="77777777" w:rsidR="00797284" w:rsidRDefault="00797284" w:rsidP="00E858EF">
      <w:pPr>
        <w:suppressAutoHyphens/>
      </w:pPr>
      <w:r>
        <w:tab/>
        <w:t>Therefore, the degree of variety occurring both in larnakes and in the pottery assemblage associated with larnakes (e.g. larnax iconography, different typologies of pottery and imported artefacts, see chapters 4 and 5) was an alternative method of ostentation used by a section of the Cretan elites. Alternatively, it is possible that, instead of tomb monumentality and the deposition of precious material objects within the assemblage, larnakes and selected pottery types in the assemblage were a medium through which some families/communities expressed status.</w:t>
      </w:r>
    </w:p>
    <w:p w14:paraId="2281CC70" w14:textId="77777777" w:rsidR="00797284" w:rsidRDefault="00797284" w:rsidP="00E858EF">
      <w:pPr>
        <w:suppressAutoHyphens/>
      </w:pPr>
      <w:r>
        <w:tab/>
        <w:t>Another important piece of evidence comes from the analysis of the skeletal remains associated with larnakes (Chapter 4.2). Despite the data limits affecting skeletal remains and their burial stage, the broad picture emerging reveals that there was a certain connection between larnakes and the individual persona buried (in individual burials), but this was not an exclusive relationship, and in the vast majority of cases was not supposed to last forever. The different groups responsible for the burial had different attitudes towards the individual buried in the larnax:</w:t>
      </w:r>
    </w:p>
    <w:p w14:paraId="688CB8AE" w14:textId="77777777" w:rsidR="00797284" w:rsidRDefault="00797284" w:rsidP="00370745">
      <w:pPr>
        <w:pStyle w:val="Paragrafoelenco"/>
        <w:numPr>
          <w:ilvl w:val="0"/>
          <w:numId w:val="127"/>
        </w:numPr>
        <w:suppressAutoHyphens/>
      </w:pPr>
      <w:r w:rsidRPr="005902A4">
        <w:t>The</w:t>
      </w:r>
      <w:r>
        <w:t xml:space="preserve"> group paid </w:t>
      </w:r>
      <w:r w:rsidRPr="005902A4">
        <w:t xml:space="preserve">attention </w:t>
      </w:r>
      <w:r>
        <w:t>to</w:t>
      </w:r>
      <w:r w:rsidRPr="005902A4">
        <w:t xml:space="preserve"> the construction and representation of the identity of the individual buried within the larnax by depositing as grave goods more personal possession</w:t>
      </w:r>
      <w:r>
        <w:t>s</w:t>
      </w:r>
      <w:r w:rsidRPr="005902A4">
        <w:t xml:space="preserve"> of the deceased </w:t>
      </w:r>
      <w:r>
        <w:t>rather than</w:t>
      </w:r>
      <w:r w:rsidRPr="005902A4">
        <w:t xml:space="preserve"> pots/items used during the ceremonies. Furthermore, they </w:t>
      </w:r>
      <w:r>
        <w:t xml:space="preserve">respected </w:t>
      </w:r>
      <w:r w:rsidRPr="005902A4">
        <w:t>the space and the body of the individual buried within the larnax</w:t>
      </w:r>
      <w:r>
        <w:t xml:space="preserve"> by</w:t>
      </w:r>
      <w:r w:rsidRPr="005902A4">
        <w:t xml:space="preserve"> not manipulating the skeleton (e.g</w:t>
      </w:r>
      <w:r>
        <w:t xml:space="preserve">. introducing other depositions by introducing new larnakes or other interments methods) </w:t>
      </w:r>
      <w:r w:rsidRPr="005902A4">
        <w:t>and not adding further depositions in the same larnax</w:t>
      </w:r>
      <w:r>
        <w:t xml:space="preserve"> alter (e.g. Maroulas and Elounda)</w:t>
      </w:r>
      <w:r w:rsidRPr="005902A4">
        <w:t xml:space="preserve"> or </w:t>
      </w:r>
      <w:r>
        <w:t xml:space="preserve">in some cases </w:t>
      </w:r>
      <w:r w:rsidRPr="005902A4">
        <w:t xml:space="preserve">even in the same tomb (e.g. Apostoli). </w:t>
      </w:r>
    </w:p>
    <w:p w14:paraId="7995DCCD" w14:textId="77777777" w:rsidR="00797284" w:rsidRPr="005D48A3" w:rsidRDefault="00797284" w:rsidP="00370745">
      <w:pPr>
        <w:pStyle w:val="Paragrafoelenco"/>
        <w:numPr>
          <w:ilvl w:val="0"/>
          <w:numId w:val="127"/>
        </w:numPr>
        <w:suppressAutoHyphens/>
      </w:pPr>
      <w:r w:rsidRPr="005902A4">
        <w:t>It is possible that even if there was a one</w:t>
      </w:r>
      <w:r>
        <w:t>-</w:t>
      </w:r>
      <w:r w:rsidRPr="005902A4">
        <w:t>to</w:t>
      </w:r>
      <w:r>
        <w:t>-</w:t>
      </w:r>
      <w:r w:rsidRPr="005902A4">
        <w:t>one relation</w:t>
      </w:r>
      <w:r>
        <w:t>ship between the</w:t>
      </w:r>
      <w:r w:rsidRPr="005902A4">
        <w:t xml:space="preserve"> larnax</w:t>
      </w:r>
      <w:r>
        <w:t xml:space="preserve"> and the </w:t>
      </w:r>
      <w:r w:rsidRPr="005902A4">
        <w:t>individual</w:t>
      </w:r>
      <w:r>
        <w:t>,</w:t>
      </w:r>
      <w:r w:rsidRPr="005902A4">
        <w:t xml:space="preserve"> this could have been </w:t>
      </w:r>
      <w:r>
        <w:t>temporary. The evidence from the</w:t>
      </w:r>
      <w:r w:rsidRPr="005902A4">
        <w:t xml:space="preserve"> sample of tomb</w:t>
      </w:r>
      <w:r>
        <w:t>s</w:t>
      </w:r>
      <w:r w:rsidRPr="005902A4">
        <w:t xml:space="preserve"> examined </w:t>
      </w:r>
      <w:r>
        <w:t>indicates</w:t>
      </w:r>
      <w:r w:rsidRPr="005902A4">
        <w:t xml:space="preserve"> that after a certain </w:t>
      </w:r>
      <w:r>
        <w:t>period</w:t>
      </w:r>
      <w:r w:rsidRPr="005902A4">
        <w:t xml:space="preserve"> the members of the group </w:t>
      </w:r>
      <w:r>
        <w:t xml:space="preserve">using the tombs </w:t>
      </w:r>
      <w:r w:rsidRPr="005902A4">
        <w:t xml:space="preserve">were manipulating the body and </w:t>
      </w:r>
      <w:r>
        <w:t>the assemblage related to it to use</w:t>
      </w:r>
      <w:r w:rsidRPr="005902A4">
        <w:t xml:space="preserve"> the larnax for new burials or </w:t>
      </w:r>
      <w:r>
        <w:t>the</w:t>
      </w:r>
      <w:r w:rsidRPr="005902A4">
        <w:t xml:space="preserve"> receptacle for secondary burials.</w:t>
      </w:r>
    </w:p>
    <w:p w14:paraId="05448C67" w14:textId="77777777" w:rsidR="00797284" w:rsidRDefault="00797284" w:rsidP="00E858EF">
      <w:pPr>
        <w:suppressAutoHyphens/>
      </w:pPr>
      <w:r>
        <w:tab/>
        <w:t>The general evidence emerging from the sample of tombs analysed suggests that the second attitude is more common. Therefore, it is likely that tombs with larnakes were used by different-sized elite groups (elite family groups), and that tombs with larnakes were used (for a relatively long period) for burying more than one member of these (family?) groups.</w:t>
      </w:r>
    </w:p>
    <w:p w14:paraId="31CAFC7F" w14:textId="77777777" w:rsidR="00797284" w:rsidRDefault="00797284" w:rsidP="00E858EF">
      <w:pPr>
        <w:suppressAutoHyphens/>
      </w:pPr>
      <w:r>
        <w:tab/>
        <w:t>The identification of different practices regarding larnax use as a burial receptacle is another piece of evidence indicating that the elite groups using tombs with larnakes were adopting different strategies towards the construction and expression of individualities and identity. However, these identities and meanings were shared and manipulated by the members of these groups. First, mainly through the construction and preservation of the identity of the individual buried; and second, by the appropriation of the identity and values expressed by the individual burial and through their projection in a relatively long-term place (more than a generation).</w:t>
      </w:r>
    </w:p>
    <w:p w14:paraId="2973832D" w14:textId="39E477B6" w:rsidR="00797284" w:rsidRPr="00AE15D0" w:rsidRDefault="00797284" w:rsidP="00E858EF">
      <w:pPr>
        <w:pStyle w:val="Titolo2"/>
        <w:keepNext w:val="0"/>
        <w:keepLines w:val="0"/>
        <w:suppressAutoHyphens/>
      </w:pPr>
      <w:bookmarkStart w:id="1291" w:name="_Toc519894735"/>
      <w:r w:rsidRPr="00D766FB">
        <w:t>Future research</w:t>
      </w:r>
      <w:bookmarkEnd w:id="1291"/>
    </w:p>
    <w:p w14:paraId="4F7C1795" w14:textId="77777777" w:rsidR="00797284" w:rsidRDefault="00797284" w:rsidP="00E858EF">
      <w:pPr>
        <w:suppressAutoHyphens/>
      </w:pPr>
      <w:r>
        <w:t>The results concerning the regional distribution of larnakes and their contextual burial patterns and the analogies and differences that characterise larnax use, beyond the patterns already identified in the present work, reveal a degree of complexity that prompts further questions that could form part of future research.</w:t>
      </w:r>
    </w:p>
    <w:p w14:paraId="66A19ED8" w14:textId="77777777" w:rsidR="00797284" w:rsidRDefault="00797284" w:rsidP="00E858EF">
      <w:pPr>
        <w:suppressAutoHyphens/>
      </w:pPr>
      <w:r>
        <w:tab/>
        <w:t xml:space="preserve">The standardisation and, at the same time, variety observed in larnax morphology and iconography reveal the existence of regional and local patterns of larnax production (for the regional perspective, see Chapter 5). However, this thesis, focusing on larnakes in relation to contextual burial patterns and on the identification of the patterns that characterise larnax use, does not focus on features that concern larnax productions and markets. </w:t>
      </w:r>
    </w:p>
    <w:p w14:paraId="6157BE00" w14:textId="614449F4" w:rsidR="00797284" w:rsidRDefault="00797284" w:rsidP="00E858EF">
      <w:pPr>
        <w:suppressAutoHyphens/>
      </w:pPr>
      <w:r>
        <w:tab/>
        <w:t>In this respect, an approach that combines the analysis of macroscopic morphological features, the study of the pottery fabrics of larnakes though petrographic analysis (as has already been done by Nodarou for larnakes from Kalochorafitis and Mochlos: see Nodarou 2010; 2015), and an experimental re-making of a larnax would help to better understand the process and the challenges of larnax making and, also, their chronological or spatial development in terms of internal characteristics (i.e. if and how larnax variation depends on regional or chronological varieties). Furthermore, such an approach would help to determine the patterns that characterise the relationship between larnakes and pottery production: i.e. whether there are specific patterns that characterise larnax fabric and what are the similarities and the differences between pottery fabrics, as already identified by Nodarou (2015: 354), and to understand whether any differences exist in the production processes of the two types of larnakes (e.g. were chest-shaped and bathtub larnakes produced in the same workshops? Were different types of expertise involved in the making of the two types?</w:t>
      </w:r>
      <w:r w:rsidR="00694948">
        <w:t xml:space="preserve"> </w:t>
      </w:r>
      <w:r>
        <w:t xml:space="preserve">Finally, this approach would help us understand whether larnax production has any common features with the production of the other types of clay receptacle adopted during the same period (e.g. the pithos). </w:t>
      </w:r>
    </w:p>
    <w:p w14:paraId="7E20F7AA" w14:textId="77777777" w:rsidR="00797284" w:rsidRDefault="00797284" w:rsidP="00E858EF">
      <w:pPr>
        <w:suppressAutoHyphens/>
      </w:pPr>
      <w:r>
        <w:tab/>
        <w:t>As with many clay vessels, larnax production involved decoration. In this respect, the analysis of the iconographical motifs (Chapter 5) helped to quantify how much in terms of motifs and repertoire larnakes share with pottery decoration. The result was that the vast majority of the motifs painted on larnakes are shared with the pottery repertoire. Nevertheless, painting a larnax was not the same thing as painting a pot: first, for a series of reasons linked to larnax morphological features (e.g. panel structure, more space to be filled with motifs, see Chapter 5); and second, because the larnax functioned as a burial receptacle. Therefore, if, on the one hand, it is easy to find the same types of motif painted on a larnax and on contemporary pottery typologies (sometimes even deposited as grave goods in the same tomb), on the other hand, these same motifs were adapted and arranged differently because they were painted on an object with a different shape and a different (and new) function. Therefore, the decorative repertoire of larnakes is an interesting new field that should be examined bearing in mind the burial context.</w:t>
      </w:r>
    </w:p>
    <w:p w14:paraId="51CA23A7" w14:textId="77777777" w:rsidR="00797284" w:rsidRDefault="00797284" w:rsidP="00E858EF">
      <w:pPr>
        <w:suppressAutoHyphens/>
      </w:pPr>
      <w:r>
        <w:tab/>
        <w:t xml:space="preserve">The analysis of the motifs in this study does not involve any interpretation regarding their symbolic value and meaning on larnakes because that is beyond the aim of the present work, which focuses on the role of the larnax within the burial context. However, this does not mean that the choice of motifs painted on a larnax was meaningless, and that they were placed randomly in a panel, or that the occurrence in terms of association (e.g. wavy lines and octopus) was accidental. Instead, a careful examination of the decoration characteristics (e.g. occurrence of local/regional stylistic varieties, stylistic differences occurring on two larnakes from the same tomb or even within the same larnax, e.g. Soles et al. 2011; Tsipopoulou and Vagnetti 1995; 1997) would provide more information about the process of decorating a larnax and about the reasons that led to the choice of certain motifs and/or scenes. </w:t>
      </w:r>
    </w:p>
    <w:p w14:paraId="52C690EA" w14:textId="77777777" w:rsidR="00797284" w:rsidRDefault="00797284" w:rsidP="00E858EF">
      <w:pPr>
        <w:suppressAutoHyphens/>
      </w:pPr>
      <w:r>
        <w:tab/>
        <w:t>The combination of the results emerging from the analysis of these features should help to clarify issues crucial for identifying the process of larnax production (e.g. whether there were artisans within the workshops who specialised in larnax production) and market (e.g. was larnax production influenced by regional/local tastes? Does it reveal the choices of the individual/family buying/commissioning it?). The ultimate aim of this analysis of larnax production and market is to understand more about the existence of such variety (both in larnakes and in the contextual elements with which they were associated). Thus, this means we understand that larnakes are a meaningful object within the burial and that they vary, and then understand what these variations mean.</w:t>
      </w:r>
    </w:p>
    <w:p w14:paraId="26B23348" w14:textId="77777777" w:rsidR="00797284" w:rsidRDefault="00797284" w:rsidP="00E858EF">
      <w:pPr>
        <w:suppressAutoHyphens/>
      </w:pPr>
      <w:r>
        <w:tab/>
        <w:t>There are other aspects of the burial context not examined in the present thesis that would help us understand why there are local/regional variations among larnax adoption. An examination of assemblage items associated with larnax burials, considering their position within the tomb and their association within the different interments placed within the tomb (e.g. in cases in which there is a bathtub and a chest-shaped larnax in the same burial, and distinguishing which are the grave goods associated with the bathtub deposition and which with the chest-shaped deposition) would help to understand more about the identities expressed. This type of contextual analysis could be conducted only with full access to the excavation reports and data that at the moment is available form a small sample of tombs and few cemeteries (e.g. Mochlos). For example, in this thesis, an attempt was made to understand whether the contextual variations characterising larnax adoption were linked to the gender of the individual buried. This aspect has been examined previously, but only using information from the analysis of anthropological remains (available only for a very small sample of tombs) and did not provide any significant results (hypothetically, gender was not a significant factor in larnax use). However, the relationship between larnakes and gender identity could be explored through the grave goods type association also. A different approach towards the contextual analysis of grave goods assemblages would help to understand more about the identities expressed through LM III burials, and not only through larnax adoption (e.g. gender or age, social identities: see Papadopoulou 2017: 140; D’Agata 2015: 94-96; Soles 2008: 200-202).</w:t>
      </w:r>
    </w:p>
    <w:p w14:paraId="1D661591" w14:textId="77777777" w:rsidR="00797284" w:rsidRDefault="00797284" w:rsidP="00E858EF">
      <w:pPr>
        <w:suppressAutoHyphens/>
      </w:pPr>
      <w:r>
        <w:tab/>
        <w:t>To have a better understanding of the different choices and strategies adopted by Cretan elites in LM III following the fall of Knossos, it is important to examine the contextual burial evidence in burials without larnakes (this is what Preston has already done) and, in this way, try to obtain a complete picture of all the patterns expressed within the funerary arena. B</w:t>
      </w:r>
      <w:r w:rsidRPr="00A87E5B">
        <w:t>eyond the regional</w:t>
      </w:r>
      <w:r>
        <w:t>/local</w:t>
      </w:r>
      <w:r w:rsidRPr="00A87E5B">
        <w:t xml:space="preserve"> featu</w:t>
      </w:r>
      <w:r>
        <w:t>res that emerged in this present work, t</w:t>
      </w:r>
      <w:r w:rsidRPr="00A87E5B">
        <w:t>he exam</w:t>
      </w:r>
      <w:r>
        <w:t>ination</w:t>
      </w:r>
      <w:r w:rsidRPr="00A87E5B">
        <w:t xml:space="preserve"> of these issues w</w:t>
      </w:r>
      <w:r>
        <w:t>ould</w:t>
      </w:r>
      <w:r w:rsidRPr="00A87E5B">
        <w:t xml:space="preserve"> represent a significant step forward in explor</w:t>
      </w:r>
      <w:r>
        <w:t>ing</w:t>
      </w:r>
      <w:r w:rsidRPr="00A87E5B">
        <w:t xml:space="preserve"> the reasons that led </w:t>
      </w:r>
      <w:r>
        <w:t xml:space="preserve">a group (family group) </w:t>
      </w:r>
      <w:r w:rsidRPr="00A87E5B">
        <w:t xml:space="preserve">to adopt a certain type of clay burial receptacle </w:t>
      </w:r>
      <w:r>
        <w:t>associated with a specific tomb type and with the deposition of certain types of items as a grave goods assemblage. Consequently, this examination would mean detecting the reasons for the different approaches to self-representation within the burial arena by family groups.</w:t>
      </w:r>
    </w:p>
    <w:p w14:paraId="70562F4B" w14:textId="77777777" w:rsidR="00797284" w:rsidRDefault="00797284" w:rsidP="00E858EF">
      <w:pPr>
        <w:suppressAutoHyphens/>
      </w:pPr>
    </w:p>
    <w:p w14:paraId="074F2C9D" w14:textId="77777777" w:rsidR="00D04230" w:rsidRDefault="00D04230" w:rsidP="00E858EF">
      <w:pPr>
        <w:suppressAutoHyphens/>
        <w:spacing w:line="240" w:lineRule="auto"/>
        <w:contextualSpacing w:val="0"/>
        <w:jc w:val="left"/>
      </w:pPr>
    </w:p>
    <w:p w14:paraId="41E9FEB9" w14:textId="77777777" w:rsidR="00303EFE" w:rsidRDefault="00303EFE" w:rsidP="00E858EF">
      <w:pPr>
        <w:suppressAutoHyphens/>
        <w:sectPr w:rsidR="00303EFE" w:rsidSect="00F71C84">
          <w:footerReference w:type="even" r:id="rId296"/>
          <w:footerReference w:type="default" r:id="rId297"/>
          <w:pgSz w:w="11900" w:h="16840"/>
          <w:pgMar w:top="1418" w:right="1134" w:bottom="1134" w:left="2268" w:header="708" w:footer="708" w:gutter="0"/>
          <w:cols w:space="708"/>
          <w:docGrid w:linePitch="360"/>
        </w:sectPr>
      </w:pPr>
    </w:p>
    <w:p w14:paraId="28C0E078" w14:textId="1F8B8AB9" w:rsidR="00832319" w:rsidRPr="005E493D" w:rsidRDefault="00700A85" w:rsidP="00E858EF">
      <w:pPr>
        <w:pStyle w:val="Titolo1"/>
        <w:keepNext w:val="0"/>
        <w:keepLines w:val="0"/>
        <w:numPr>
          <w:ilvl w:val="0"/>
          <w:numId w:val="0"/>
        </w:numPr>
        <w:suppressAutoHyphens/>
      </w:pPr>
      <w:bookmarkStart w:id="1292" w:name="_Toc519894736"/>
      <w:r>
        <w:t>Bibliography</w:t>
      </w:r>
      <w:bookmarkEnd w:id="1292"/>
    </w:p>
    <w:p w14:paraId="48DDCC75" w14:textId="2E6AE4B3" w:rsidR="00303EFE" w:rsidRPr="00303EFE" w:rsidRDefault="00303EFE" w:rsidP="00E858EF">
      <w:pPr>
        <w:suppressAutoHyphens/>
        <w:rPr>
          <w:b/>
        </w:rPr>
      </w:pPr>
      <w:r w:rsidRPr="00303EFE">
        <w:rPr>
          <w:b/>
        </w:rPr>
        <w:t>Abbreviations</w:t>
      </w:r>
    </w:p>
    <w:p w14:paraId="7FF988C1" w14:textId="77777777" w:rsidR="00303EFE" w:rsidRPr="003A24AB" w:rsidRDefault="00303EFE" w:rsidP="00E858EF">
      <w:pPr>
        <w:suppressAutoHyphens/>
      </w:pPr>
      <w:r w:rsidRPr="003A24AB">
        <w:t xml:space="preserve">AAA </w:t>
      </w:r>
      <w:r w:rsidRPr="003A24AB">
        <w:rPr>
          <w:lang w:val="el-GR"/>
        </w:rPr>
        <w:t>Αρχαιολογικά Αναλεκτα εξ Αθηνών</w:t>
      </w:r>
    </w:p>
    <w:p w14:paraId="230055AB" w14:textId="77777777" w:rsidR="00303EFE" w:rsidRPr="003A24AB" w:rsidRDefault="00303EFE" w:rsidP="00E858EF">
      <w:pPr>
        <w:suppressAutoHyphens/>
        <w:rPr>
          <w:lang w:val="el-GR"/>
        </w:rPr>
      </w:pPr>
      <w:r w:rsidRPr="003A24AB">
        <w:t xml:space="preserve">ADelt </w:t>
      </w:r>
      <w:r w:rsidRPr="003A24AB">
        <w:rPr>
          <w:lang w:val="el-GR"/>
        </w:rPr>
        <w:t>Αρχαιολογικόν Δελτίον</w:t>
      </w:r>
    </w:p>
    <w:p w14:paraId="5EE336D8" w14:textId="77777777" w:rsidR="00303EFE" w:rsidRPr="003A24AB" w:rsidRDefault="00303EFE" w:rsidP="00E858EF">
      <w:pPr>
        <w:suppressAutoHyphens/>
      </w:pPr>
      <w:r w:rsidRPr="003A24AB">
        <w:t>AJA American Journal of Archaeology</w:t>
      </w:r>
    </w:p>
    <w:p w14:paraId="4DBBDF60" w14:textId="77777777" w:rsidR="00303EFE" w:rsidRPr="003A24AB" w:rsidRDefault="00303EFE" w:rsidP="00E858EF">
      <w:pPr>
        <w:suppressAutoHyphens/>
      </w:pPr>
      <w:r w:rsidRPr="003A24AB">
        <w:t>AR Archaeological Reports</w:t>
      </w:r>
    </w:p>
    <w:p w14:paraId="3B7536B9" w14:textId="77777777" w:rsidR="00303EFE" w:rsidRPr="003A24AB" w:rsidRDefault="00303EFE" w:rsidP="00E858EF">
      <w:pPr>
        <w:suppressAutoHyphens/>
      </w:pPr>
      <w:r w:rsidRPr="003A24AB">
        <w:t>BCH Bulletin de Correspondance Hellénique</w:t>
      </w:r>
    </w:p>
    <w:p w14:paraId="1AC130AD" w14:textId="77777777" w:rsidR="00303EFE" w:rsidRPr="003A24AB" w:rsidRDefault="00303EFE" w:rsidP="00E858EF">
      <w:pPr>
        <w:suppressAutoHyphens/>
      </w:pPr>
      <w:r w:rsidRPr="003A24AB">
        <w:t>BSA Annual of the British School at Athens</w:t>
      </w:r>
    </w:p>
    <w:p w14:paraId="00750BAF" w14:textId="77777777" w:rsidR="00303EFE" w:rsidRPr="003A24AB" w:rsidRDefault="00303EFE" w:rsidP="00E858EF">
      <w:pPr>
        <w:suppressAutoHyphens/>
        <w:rPr>
          <w:lang w:val="el-GR"/>
        </w:rPr>
      </w:pPr>
      <w:r w:rsidRPr="003A24AB">
        <w:t xml:space="preserve">KChr </w:t>
      </w:r>
      <w:r w:rsidRPr="003A24AB">
        <w:rPr>
          <w:lang w:val="el-GR"/>
        </w:rPr>
        <w:t>Κρητικά Χρονικά</w:t>
      </w:r>
    </w:p>
    <w:p w14:paraId="254DD9D8" w14:textId="13D60177" w:rsidR="00303EFE" w:rsidRPr="003A24AB" w:rsidRDefault="00303EFE" w:rsidP="00E858EF">
      <w:pPr>
        <w:suppressAutoHyphens/>
        <w:rPr>
          <w:lang w:val="el-GR"/>
        </w:rPr>
      </w:pPr>
      <w:r w:rsidRPr="003A24AB">
        <w:t xml:space="preserve">Prakt </w:t>
      </w:r>
      <w:r w:rsidRPr="003A24AB">
        <w:rPr>
          <w:lang w:val="el-GR"/>
        </w:rPr>
        <w:t>Πρακτικά της ε</w:t>
      </w:r>
      <w:r w:rsidR="00267541">
        <w:rPr>
          <w:lang w:val="el-GR"/>
        </w:rPr>
        <w:t>ν</w:t>
      </w:r>
      <w:r w:rsidRPr="003A24AB">
        <w:rPr>
          <w:lang w:val="el-GR"/>
        </w:rPr>
        <w:t xml:space="preserve"> Αθήναις Αρχαιολογικής Εταιρείας</w:t>
      </w:r>
    </w:p>
    <w:p w14:paraId="36AAFFD3" w14:textId="77777777" w:rsidR="00303EFE" w:rsidRPr="0014173B" w:rsidRDefault="00303EFE" w:rsidP="0014173B"/>
    <w:p w14:paraId="59250426" w14:textId="77777777" w:rsidR="00303EFE" w:rsidRPr="00303EFE" w:rsidRDefault="00303EFE" w:rsidP="00E858EF">
      <w:pPr>
        <w:suppressAutoHyphens/>
        <w:rPr>
          <w:b/>
        </w:rPr>
      </w:pPr>
      <w:r w:rsidRPr="00303EFE">
        <w:rPr>
          <w:b/>
        </w:rPr>
        <w:t>Bibliography</w:t>
      </w:r>
    </w:p>
    <w:p w14:paraId="7C1D1AB1" w14:textId="77777777" w:rsidR="00303EFE" w:rsidRDefault="00303EFE" w:rsidP="00E858EF">
      <w:pPr>
        <w:suppressAutoHyphens/>
      </w:pPr>
      <w:r>
        <w:t>For general chronicle collections, the name of periodical, volume, year and page are cited without attributing to a specific author.</w:t>
      </w:r>
    </w:p>
    <w:p w14:paraId="0395DFEE" w14:textId="77777777" w:rsidR="00303EFE" w:rsidRDefault="00303EFE" w:rsidP="00E858EF">
      <w:pPr>
        <w:suppressAutoHyphens/>
        <w:autoSpaceDE w:val="0"/>
        <w:autoSpaceDN w:val="0"/>
        <w:adjustRightInd w:val="0"/>
      </w:pPr>
    </w:p>
    <w:p w14:paraId="27BC6908" w14:textId="77777777" w:rsidR="00303EFE" w:rsidRDefault="00303EFE" w:rsidP="006C7EAA">
      <w:pPr>
        <w:suppressAutoHyphens/>
        <w:autoSpaceDE w:val="0"/>
        <w:autoSpaceDN w:val="0"/>
        <w:adjustRightInd w:val="0"/>
        <w:spacing w:after="100"/>
      </w:pPr>
      <w:r w:rsidRPr="00467720">
        <w:t>Åkerström, A.</w:t>
      </w:r>
      <w:r>
        <w:t>,</w:t>
      </w:r>
      <w:r w:rsidRPr="00AB55D4">
        <w:t xml:space="preserve"> 1978. Mycenaean problems. </w:t>
      </w:r>
      <w:r w:rsidRPr="00AB55D4">
        <w:rPr>
          <w:i/>
        </w:rPr>
        <w:t>Opusc</w:t>
      </w:r>
      <w:r>
        <w:rPr>
          <w:i/>
        </w:rPr>
        <w:t>u</w:t>
      </w:r>
      <w:r w:rsidRPr="00AB55D4">
        <w:rPr>
          <w:i/>
        </w:rPr>
        <w:t>la Atheniensia</w:t>
      </w:r>
      <w:r>
        <w:t>,</w:t>
      </w:r>
      <w:r w:rsidRPr="00AB55D4">
        <w:rPr>
          <w:i/>
        </w:rPr>
        <w:t xml:space="preserve"> </w:t>
      </w:r>
      <w:r w:rsidRPr="00BA2849">
        <w:t>12</w:t>
      </w:r>
      <w:r w:rsidRPr="00AB55D4">
        <w:t>: 19-86.</w:t>
      </w:r>
    </w:p>
    <w:p w14:paraId="02161AE5" w14:textId="77777777" w:rsidR="00303EFE" w:rsidRDefault="00303EFE" w:rsidP="00E858EF">
      <w:pPr>
        <w:suppressAutoHyphens/>
        <w:autoSpaceDE w:val="0"/>
        <w:autoSpaceDN w:val="0"/>
        <w:adjustRightInd w:val="0"/>
      </w:pPr>
    </w:p>
    <w:p w14:paraId="52987630" w14:textId="74D478A4" w:rsidR="00303EFE" w:rsidRPr="00467720" w:rsidRDefault="00303EFE" w:rsidP="00EA543E">
      <w:pPr>
        <w:suppressAutoHyphens/>
        <w:autoSpaceDE w:val="0"/>
        <w:autoSpaceDN w:val="0"/>
        <w:adjustRightInd w:val="0"/>
        <w:spacing w:after="100"/>
        <w:contextualSpacing w:val="0"/>
      </w:pPr>
      <w:r>
        <w:t xml:space="preserve">Alberti, L., 2004. The Late Minoan II-IIIA1 warrior graves at Knossos: the burial assemblages. In: G. Cadogan, E. Hatzaki and A. </w:t>
      </w:r>
      <w:r w:rsidRPr="005B122C">
        <w:t>Vasilakis</w:t>
      </w:r>
      <w:r>
        <w:t xml:space="preserve">, eds. </w:t>
      </w:r>
      <w:r w:rsidRPr="00A67D51">
        <w:rPr>
          <w:i/>
        </w:rPr>
        <w:t xml:space="preserve">Knossos: </w:t>
      </w:r>
      <w:r>
        <w:rPr>
          <w:i/>
        </w:rPr>
        <w:t>P</w:t>
      </w:r>
      <w:r w:rsidRPr="00A67D51">
        <w:rPr>
          <w:i/>
        </w:rPr>
        <w:t xml:space="preserve">alace, </w:t>
      </w:r>
      <w:r>
        <w:rPr>
          <w:i/>
        </w:rPr>
        <w:t>C</w:t>
      </w:r>
      <w:r w:rsidRPr="00A67D51">
        <w:rPr>
          <w:i/>
        </w:rPr>
        <w:t xml:space="preserve">ity, </w:t>
      </w:r>
      <w:r>
        <w:rPr>
          <w:i/>
        </w:rPr>
        <w:t>S</w:t>
      </w:r>
      <w:r w:rsidRPr="00A67D51">
        <w:rPr>
          <w:i/>
        </w:rPr>
        <w:t>tate</w:t>
      </w:r>
      <w:r w:rsidRPr="00290D1B">
        <w:t>. Proceedings of the Conference in Herakleion Organised by the British School at Athens and the 23rd Ephoreia of Prehistoric and Classical Antiquities of Herakleion, in November 2000, for the centenary of Sir Arthur Evans's excavations at Knossos</w:t>
      </w:r>
      <w:r>
        <w:rPr>
          <w:i/>
        </w:rPr>
        <w:t>,</w:t>
      </w:r>
      <w:r>
        <w:t xml:space="preserve"> </w:t>
      </w:r>
      <w:r w:rsidRPr="005928A0">
        <w:t>British School at Athens Studies</w:t>
      </w:r>
      <w:r w:rsidRPr="005D7D65">
        <w:t xml:space="preserve">, </w:t>
      </w:r>
      <w:r w:rsidRPr="00C00F49">
        <w:t>12</w:t>
      </w:r>
      <w:r>
        <w:t xml:space="preserve">: 127-36. </w:t>
      </w:r>
      <w:r w:rsidRPr="004C7E1C">
        <w:t>London: British School at Athens.</w:t>
      </w:r>
    </w:p>
    <w:p w14:paraId="3DFAF57E" w14:textId="77777777" w:rsidR="00303EFE" w:rsidRDefault="00303EFE" w:rsidP="00E858EF">
      <w:pPr>
        <w:suppressAutoHyphens/>
      </w:pPr>
      <w:r w:rsidRPr="00AB55D4">
        <w:t>Alexiou, S.</w:t>
      </w:r>
      <w:r>
        <w:t>,</w:t>
      </w:r>
      <w:r w:rsidRPr="00AB55D4">
        <w:t xml:space="preserve"> 1954. </w:t>
      </w:r>
      <w:r w:rsidRPr="00AB55D4">
        <w:rPr>
          <w:lang w:val="el-GR"/>
        </w:rPr>
        <w:t>Υστερομινωικός τάφος Παχυάμμου</w:t>
      </w:r>
      <w:r>
        <w:rPr>
          <w:lang w:val="en-AU"/>
        </w:rPr>
        <w:t>.</w:t>
      </w:r>
      <w:r w:rsidRPr="00AB55D4">
        <w:rPr>
          <w:lang w:val="el-GR"/>
        </w:rPr>
        <w:t xml:space="preserve"> </w:t>
      </w:r>
      <w:r w:rsidRPr="00BA2849">
        <w:rPr>
          <w:i/>
          <w:lang w:val="el-GR"/>
        </w:rPr>
        <w:t>KChr</w:t>
      </w:r>
      <w:r>
        <w:rPr>
          <w:lang w:val="el-GR"/>
        </w:rPr>
        <w:t xml:space="preserve"> </w:t>
      </w:r>
      <w:r w:rsidRPr="00BA2849">
        <w:rPr>
          <w:lang w:val="el-GR"/>
        </w:rPr>
        <w:t>8</w:t>
      </w:r>
      <w:r w:rsidRPr="00AB55D4">
        <w:t>: 399-412.</w:t>
      </w:r>
    </w:p>
    <w:p w14:paraId="5FA8A562" w14:textId="77777777" w:rsidR="00303EFE" w:rsidRPr="00467720" w:rsidRDefault="00303EFE" w:rsidP="00E858EF">
      <w:pPr>
        <w:suppressAutoHyphens/>
      </w:pPr>
    </w:p>
    <w:p w14:paraId="63DD8CCC" w14:textId="1402F452" w:rsidR="00303EFE" w:rsidRDefault="00303EFE" w:rsidP="00E858EF">
      <w:pPr>
        <w:suppressAutoHyphens/>
        <w:rPr>
          <w:lang w:val="el-GR"/>
        </w:rPr>
      </w:pPr>
      <w:r w:rsidRPr="007F3911">
        <w:t>Alexiou, S.</w:t>
      </w:r>
      <w:r>
        <w:t>,</w:t>
      </w:r>
      <w:r w:rsidRPr="007F3911">
        <w:t xml:space="preserve"> 1967a</w:t>
      </w:r>
      <w:r w:rsidRPr="00467720">
        <w:t xml:space="preserve">. </w:t>
      </w:r>
      <w:r w:rsidRPr="00467720">
        <w:rPr>
          <w:i/>
          <w:lang w:val="el-GR"/>
        </w:rPr>
        <w:t>Υστερομινωικοί Τάφοι Λιμένος Κνωσ</w:t>
      </w:r>
      <w:r w:rsidR="00A02575">
        <w:rPr>
          <w:i/>
          <w:lang w:val="el-GR"/>
        </w:rPr>
        <w:t>ού</w:t>
      </w:r>
      <w:r w:rsidRPr="00467720">
        <w:rPr>
          <w:i/>
          <w:lang w:val="el-GR"/>
        </w:rPr>
        <w:t xml:space="preserve"> Κατσαμπά</w:t>
      </w:r>
      <w:r w:rsidRPr="00AB55D4">
        <w:rPr>
          <w:lang w:val="el-GR"/>
        </w:rPr>
        <w:t>. Athens: Εν Αθηναις.</w:t>
      </w:r>
    </w:p>
    <w:p w14:paraId="456F530A" w14:textId="77777777" w:rsidR="00303EFE" w:rsidRPr="00467720" w:rsidRDefault="00303EFE" w:rsidP="00E858EF">
      <w:pPr>
        <w:suppressAutoHyphens/>
        <w:rPr>
          <w:lang w:val="el-GR"/>
        </w:rPr>
      </w:pPr>
    </w:p>
    <w:p w14:paraId="5AD173CF" w14:textId="77777777" w:rsidR="00303EFE" w:rsidRDefault="00303EFE" w:rsidP="00E858EF">
      <w:pPr>
        <w:suppressAutoHyphens/>
      </w:pPr>
      <w:r w:rsidRPr="007F3911">
        <w:t>Alexiou, S.</w:t>
      </w:r>
      <w:r>
        <w:t>,</w:t>
      </w:r>
      <w:r w:rsidRPr="007F3911">
        <w:t xml:space="preserve"> 1967b</w:t>
      </w:r>
      <w:r w:rsidRPr="00467720">
        <w:t>. Μικρα</w:t>
      </w:r>
      <w:r>
        <w:rPr>
          <w:lang w:val="el-GR"/>
        </w:rPr>
        <w:t>ί</w:t>
      </w:r>
      <w:r w:rsidRPr="00467720">
        <w:t xml:space="preserve"> ανασκαφαί και </w:t>
      </w:r>
      <w:r>
        <w:t>Π</w:t>
      </w:r>
      <w:r w:rsidRPr="00467720">
        <w:t>ερισυλλογή αρχ</w:t>
      </w:r>
      <w:r>
        <w:t>αί</w:t>
      </w:r>
      <w:r w:rsidRPr="00467720">
        <w:t>ων εις Κρήτην.</w:t>
      </w:r>
      <w:r>
        <w:t xml:space="preserve"> </w:t>
      </w:r>
      <w:r w:rsidRPr="00BA2849">
        <w:rPr>
          <w:i/>
        </w:rPr>
        <w:t>Prakt</w:t>
      </w:r>
      <w:r w:rsidRPr="00AB55D4">
        <w:t>: 210-215.</w:t>
      </w:r>
    </w:p>
    <w:p w14:paraId="3054A97C" w14:textId="77777777" w:rsidR="00303EFE" w:rsidRPr="00467720" w:rsidRDefault="00303EFE" w:rsidP="00E858EF">
      <w:pPr>
        <w:suppressAutoHyphens/>
      </w:pPr>
    </w:p>
    <w:p w14:paraId="3AF6D95B" w14:textId="77777777" w:rsidR="00303EFE" w:rsidRDefault="00303EFE" w:rsidP="00E858EF">
      <w:pPr>
        <w:tabs>
          <w:tab w:val="left" w:pos="0"/>
        </w:tabs>
        <w:suppressAutoHyphens/>
        <w:autoSpaceDE w:val="0"/>
        <w:autoSpaceDN w:val="0"/>
        <w:adjustRightInd w:val="0"/>
        <w:spacing w:after="40"/>
        <w:rPr>
          <w:i/>
          <w:lang w:val="el-GR"/>
        </w:rPr>
      </w:pPr>
      <w:r w:rsidRPr="007F3911">
        <w:t>Alexiou, S.</w:t>
      </w:r>
      <w:r>
        <w:t>,</w:t>
      </w:r>
      <w:r w:rsidRPr="007F3911">
        <w:t xml:space="preserve"> 1972</w:t>
      </w:r>
      <w:r w:rsidRPr="00467720">
        <w:t xml:space="preserve">. </w:t>
      </w:r>
      <w:r w:rsidRPr="00467720">
        <w:rPr>
          <w:lang w:val="el-GR"/>
        </w:rPr>
        <w:t xml:space="preserve">Λάρνακες και αγγεία εκ τάφου παρά το Γάζι Ηρακλείου. </w:t>
      </w:r>
      <w:r w:rsidRPr="00AB55D4">
        <w:rPr>
          <w:i/>
        </w:rPr>
        <w:t>A</w:t>
      </w:r>
      <w:r w:rsidRPr="00AB55D4">
        <w:rPr>
          <w:i/>
          <w:lang w:val="el-GR"/>
        </w:rPr>
        <w:t>ρχαιολογική Εφημερίς</w:t>
      </w:r>
      <w:r w:rsidRPr="00290D1B">
        <w:rPr>
          <w:lang w:val="el-GR"/>
        </w:rPr>
        <w:t>: 86-98.</w:t>
      </w:r>
      <w:r w:rsidRPr="00AB55D4">
        <w:rPr>
          <w:i/>
          <w:lang w:val="el-GR"/>
        </w:rPr>
        <w:t xml:space="preserve"> </w:t>
      </w:r>
    </w:p>
    <w:p w14:paraId="2AFD53B3" w14:textId="77777777" w:rsidR="00303EFE" w:rsidRPr="00467720" w:rsidRDefault="00303EFE" w:rsidP="00E858EF">
      <w:pPr>
        <w:tabs>
          <w:tab w:val="left" w:pos="0"/>
        </w:tabs>
        <w:suppressAutoHyphens/>
        <w:autoSpaceDE w:val="0"/>
        <w:autoSpaceDN w:val="0"/>
        <w:adjustRightInd w:val="0"/>
        <w:spacing w:after="40"/>
        <w:rPr>
          <w:i/>
          <w:lang w:val="el-GR"/>
        </w:rPr>
      </w:pPr>
    </w:p>
    <w:p w14:paraId="5380B31F"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B55D4">
        <w:rPr>
          <w:color w:val="000000"/>
        </w:rPr>
        <w:t>Aluia, S.</w:t>
      </w:r>
      <w:r>
        <w:rPr>
          <w:color w:val="000000"/>
        </w:rPr>
        <w:t>,</w:t>
      </w:r>
      <w:r w:rsidRPr="00AB55D4">
        <w:rPr>
          <w:color w:val="000000"/>
        </w:rPr>
        <w:t xml:space="preserve"> 2011. The re-use </w:t>
      </w:r>
      <w:r>
        <w:rPr>
          <w:color w:val="000000"/>
        </w:rPr>
        <w:t>o</w:t>
      </w:r>
      <w:r w:rsidRPr="00AB55D4">
        <w:rPr>
          <w:color w:val="000000"/>
        </w:rPr>
        <w:t xml:space="preserve">f tholos B at the Ayia Triada cemetery. </w:t>
      </w:r>
      <w:r w:rsidRPr="00A67D51">
        <w:rPr>
          <w:i/>
          <w:color w:val="000000"/>
        </w:rPr>
        <w:t>Rivista di Archeologia</w:t>
      </w:r>
      <w:r>
        <w:rPr>
          <w:color w:val="000000"/>
        </w:rPr>
        <w:t>,</w:t>
      </w:r>
      <w:r w:rsidRPr="00AB55D4">
        <w:rPr>
          <w:color w:val="000000"/>
        </w:rPr>
        <w:t xml:space="preserve"> 35: 137-145.</w:t>
      </w:r>
    </w:p>
    <w:p w14:paraId="0B6495D7"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2CD509F6" w14:textId="77777777" w:rsidR="00303EFE" w:rsidRDefault="00303EFE" w:rsidP="00E858EF">
      <w:pPr>
        <w:suppressAutoHyphens/>
        <w:autoSpaceDE w:val="0"/>
        <w:autoSpaceDN w:val="0"/>
        <w:adjustRightInd w:val="0"/>
        <w:rPr>
          <w:color w:val="000000"/>
        </w:rPr>
      </w:pPr>
      <w:r>
        <w:t xml:space="preserve">Anastasiadou, M., 2015 The seals. </w:t>
      </w:r>
      <w:r w:rsidRPr="007F66CB">
        <w:rPr>
          <w:bCs/>
          <w:color w:val="000000"/>
        </w:rPr>
        <w:t>In</w:t>
      </w:r>
      <w:r>
        <w:rPr>
          <w:bCs/>
          <w:color w:val="000000"/>
        </w:rPr>
        <w:t>:</w:t>
      </w:r>
      <w:r w:rsidRPr="007F66CB">
        <w:rPr>
          <w:bCs/>
          <w:color w:val="000000"/>
        </w:rPr>
        <w:t xml:space="preserve"> A. Karetsou and L. Girella</w:t>
      </w:r>
      <w:r>
        <w:rPr>
          <w:bCs/>
          <w:color w:val="000000"/>
        </w:rPr>
        <w:t>, eds.</w:t>
      </w:r>
      <w:r w:rsidRPr="007F66CB">
        <w:rPr>
          <w:bCs/>
          <w:color w:val="000000"/>
        </w:rPr>
        <w:t xml:space="preserve"> </w:t>
      </w:r>
      <w:r w:rsidRPr="007F66CB">
        <w:rPr>
          <w:i/>
        </w:rPr>
        <w:t>Kalochorafitis: Two Chamber Tombs from the LM IIIA2-B Cemetery. A Contribution to Postpalatial Funerary Practice in the Mesara</w:t>
      </w:r>
      <w:r w:rsidRPr="007F66CB">
        <w:t xml:space="preserve">. </w:t>
      </w:r>
      <w:r w:rsidRPr="005928A0">
        <w:t>Studi di Archeologia Cretese,</w:t>
      </w:r>
      <w:r>
        <w:t xml:space="preserve"> 12: 257-267</w:t>
      </w:r>
      <w:r w:rsidRPr="007F66CB">
        <w:t xml:space="preserve">. Padova: Bottega di Erasmo </w:t>
      </w:r>
      <w:r w:rsidRPr="007F66CB">
        <w:rPr>
          <w:color w:val="000000"/>
        </w:rPr>
        <w:t>A. Ausilio.</w:t>
      </w:r>
    </w:p>
    <w:p w14:paraId="03EBE655" w14:textId="77777777" w:rsidR="00303EFE" w:rsidRPr="00467720"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0BEFF4B1" w14:textId="77777777" w:rsidR="00303EFE" w:rsidRDefault="00303EFE" w:rsidP="00E858EF">
      <w:pPr>
        <w:suppressAutoHyphens/>
        <w:autoSpaceDE w:val="0"/>
        <w:autoSpaceDN w:val="0"/>
        <w:adjustRightInd w:val="0"/>
      </w:pPr>
      <w:r w:rsidRPr="00AB55D4">
        <w:t>Andreadaki-Vlasaki, M.</w:t>
      </w:r>
      <w:r>
        <w:t>,</w:t>
      </w:r>
      <w:r w:rsidRPr="00AB55D4">
        <w:t xml:space="preserve"> 1997. La necropole du Minoen Recent III de la ville de La Canee</w:t>
      </w:r>
      <w:r>
        <w:t>.</w:t>
      </w:r>
      <w:r w:rsidRPr="00AB55D4">
        <w:t xml:space="preserve"> In</w:t>
      </w:r>
      <w:r>
        <w:t>:</w:t>
      </w:r>
      <w:r w:rsidRPr="00AB55D4">
        <w:t xml:space="preserve"> J. Driessen and A. Farnoux</w:t>
      </w:r>
      <w:r>
        <w:t xml:space="preserve">, </w:t>
      </w:r>
      <w:r w:rsidRPr="00AB55D4">
        <w:t>eds</w:t>
      </w:r>
      <w:r>
        <w:t xml:space="preserve">. </w:t>
      </w:r>
      <w:r w:rsidRPr="00BA2849">
        <w:rPr>
          <w:i/>
        </w:rPr>
        <w:t>La Crète</w:t>
      </w:r>
      <w:r w:rsidRPr="0054377E">
        <w:rPr>
          <w:i/>
        </w:rPr>
        <w:t xml:space="preserve"> </w:t>
      </w:r>
      <w:r>
        <w:rPr>
          <w:i/>
        </w:rPr>
        <w:t>m</w:t>
      </w:r>
      <w:r w:rsidRPr="0054377E">
        <w:rPr>
          <w:i/>
        </w:rPr>
        <w:t>ycénienne</w:t>
      </w:r>
      <w:r>
        <w:rPr>
          <w:i/>
        </w:rPr>
        <w:t>.</w:t>
      </w:r>
      <w:r w:rsidRPr="0054377E">
        <w:rPr>
          <w:i/>
        </w:rPr>
        <w:t xml:space="preserve"> </w:t>
      </w:r>
      <w:r w:rsidRPr="00290D1B">
        <w:t>Actes de la table ronde internationale organisée par l'Ecole française d'Athènes 26-28 mars 1991. Bulletin de Correspondance Hellénique</w:t>
      </w:r>
      <w:r w:rsidRPr="005928A0">
        <w:t>,</w:t>
      </w:r>
      <w:r w:rsidRPr="00AB55D4">
        <w:rPr>
          <w:i/>
        </w:rPr>
        <w:t xml:space="preserve"> </w:t>
      </w:r>
      <w:r w:rsidRPr="00AB55D4">
        <w:t>Supplement 30: 487-509. Athènes: École française d'Athènes.</w:t>
      </w:r>
    </w:p>
    <w:p w14:paraId="0F8AEB6B" w14:textId="77777777" w:rsidR="00303EFE" w:rsidRPr="00467720" w:rsidRDefault="00303EFE" w:rsidP="00E858EF">
      <w:pPr>
        <w:suppressAutoHyphens/>
        <w:autoSpaceDE w:val="0"/>
        <w:autoSpaceDN w:val="0"/>
        <w:adjustRightInd w:val="0"/>
      </w:pPr>
    </w:p>
    <w:p w14:paraId="5F76156D" w14:textId="77777777" w:rsidR="00303EFE" w:rsidRDefault="00303EFE" w:rsidP="00E858EF">
      <w:pPr>
        <w:suppressAutoHyphens/>
      </w:pPr>
      <w:r w:rsidRPr="00AB55D4">
        <w:t>Andreadaki-Vlazaki, M</w:t>
      </w:r>
      <w:r>
        <w:t>.,</w:t>
      </w:r>
      <w:r w:rsidRPr="00AB55D4">
        <w:t xml:space="preserve"> 2011. </w:t>
      </w:r>
      <w:r w:rsidRPr="00AB55D4">
        <w:rPr>
          <w:lang w:val="el-GR"/>
        </w:rPr>
        <w:t xml:space="preserve">Το </w:t>
      </w:r>
      <w:r w:rsidRPr="00AB55D4">
        <w:t>“</w:t>
      </w:r>
      <w:r w:rsidRPr="00AB55D4">
        <w:rPr>
          <w:lang w:val="el-GR"/>
        </w:rPr>
        <w:t>παλίμψηστον</w:t>
      </w:r>
      <w:r w:rsidRPr="00AB55D4">
        <w:t xml:space="preserve">” </w:t>
      </w:r>
      <w:r w:rsidRPr="00AB55D4">
        <w:rPr>
          <w:lang w:val="el-GR"/>
        </w:rPr>
        <w:t xml:space="preserve">της αρχαίας Κυδωνίας. </w:t>
      </w:r>
      <w:r w:rsidRPr="00AB55D4">
        <w:t>In</w:t>
      </w:r>
      <w:r>
        <w:t>:</w:t>
      </w:r>
      <w:r w:rsidRPr="00AB55D4">
        <w:t xml:space="preserve"> M. Andreadaki-Vlazaki and E. Papadopoulou</w:t>
      </w:r>
      <w:r>
        <w:t>,</w:t>
      </w:r>
      <w:r w:rsidRPr="00AB55D4">
        <w:t xml:space="preserve"> eds</w:t>
      </w:r>
      <w:r>
        <w:t xml:space="preserve">. </w:t>
      </w:r>
      <w:r w:rsidRPr="00AB55D4">
        <w:rPr>
          <w:i/>
        </w:rPr>
        <w:t>Πεπραγμένα Ι’ Διεθνούς Κρητολογικού Συνεδρίου</w:t>
      </w:r>
      <w:r>
        <w:t>.</w:t>
      </w:r>
      <w:r w:rsidRPr="00AB55D4">
        <w:rPr>
          <w:i/>
        </w:rPr>
        <w:t xml:space="preserve"> </w:t>
      </w:r>
      <w:r w:rsidRPr="00AF19B7">
        <w:rPr>
          <w:i/>
          <w:lang w:val="el-GR"/>
        </w:rPr>
        <w:t>Χανιά, 1-8 Οκτωβρίου 2006</w:t>
      </w:r>
      <w:r w:rsidRPr="00AF19B7">
        <w:rPr>
          <w:i/>
        </w:rPr>
        <w:t>, Α</w:t>
      </w:r>
      <w:r w:rsidRPr="00290D1B">
        <w:rPr>
          <w:i/>
        </w:rPr>
        <w:t>: 8</w:t>
      </w:r>
      <w:r w:rsidRPr="00AB55D4">
        <w:t>5-151. Chania: Philologikos Syllogos o Chrysostomos.</w:t>
      </w:r>
    </w:p>
    <w:p w14:paraId="5020E138" w14:textId="77777777" w:rsidR="00303EFE" w:rsidRDefault="00303EFE" w:rsidP="00E858EF">
      <w:pPr>
        <w:suppressAutoHyphens/>
      </w:pPr>
    </w:p>
    <w:p w14:paraId="5BA5A003" w14:textId="66A61521" w:rsidR="00A12A78" w:rsidRDefault="00A12A78" w:rsidP="00E858EF">
      <w:pPr>
        <w:suppressAutoHyphens/>
      </w:pPr>
      <w:r>
        <w:t>Ara</w:t>
      </w:r>
      <w:r w:rsidR="00265272">
        <w:t xml:space="preserve">vantinos, V. 2010, </w:t>
      </w:r>
      <w:r w:rsidR="00265272" w:rsidRPr="00263DD6">
        <w:rPr>
          <w:i/>
        </w:rPr>
        <w:t>The Archaeological Museum of Thebes</w:t>
      </w:r>
      <w:r w:rsidR="00265272">
        <w:t>, Athens, John S. Latsis Public Benefit Foundation</w:t>
      </w:r>
      <w:r w:rsidR="006E4C49">
        <w:t>.</w:t>
      </w:r>
    </w:p>
    <w:p w14:paraId="5D216ED7" w14:textId="6C516932" w:rsidR="006E4C49" w:rsidRDefault="00422526" w:rsidP="00E858EF">
      <w:pPr>
        <w:suppressAutoHyphens/>
      </w:pPr>
      <w:hyperlink r:id="rId298" w:history="1">
        <w:r w:rsidR="006E4C49" w:rsidRPr="00163EC0">
          <w:rPr>
            <w:rStyle w:val="Collegamentoipertestuale"/>
          </w:rPr>
          <w:t>http://www.latsis-foundation.org/eng/electronic-library/the-museum-cycle/the-archaeological-museum-of-thebes</w:t>
        </w:r>
      </w:hyperlink>
    </w:p>
    <w:p w14:paraId="70E73A35" w14:textId="77777777" w:rsidR="006E4C49" w:rsidRPr="00467720" w:rsidRDefault="006E4C49" w:rsidP="00E858EF">
      <w:pPr>
        <w:suppressAutoHyphens/>
      </w:pPr>
    </w:p>
    <w:p w14:paraId="186D0D65" w14:textId="77777777" w:rsidR="00303EFE" w:rsidRDefault="00303EFE" w:rsidP="00E858EF">
      <w:pPr>
        <w:suppressAutoHyphens/>
        <w:autoSpaceDE w:val="0"/>
        <w:autoSpaceDN w:val="0"/>
        <w:adjustRightInd w:val="0"/>
      </w:pPr>
      <w:r w:rsidRPr="00AB55D4">
        <w:t>Banou</w:t>
      </w:r>
      <w:r>
        <w:t>,</w:t>
      </w:r>
      <w:r w:rsidRPr="00AB55D4">
        <w:t xml:space="preserve"> Ε.</w:t>
      </w:r>
      <w:r>
        <w:t>,</w:t>
      </w:r>
      <w:r w:rsidRPr="00AB55D4">
        <w:t xml:space="preserve"> 1990</w:t>
      </w:r>
      <w:r>
        <w:t>.</w:t>
      </w:r>
      <w:r w:rsidRPr="00AB55D4">
        <w:t xml:space="preserve"> Το οδοντόφρακτο κράνος από το ΥΜ ΙΙΙ νεκροταφείο στους Αρμένους Ρεθύμνης, In</w:t>
      </w:r>
      <w:r>
        <w:t>:</w:t>
      </w:r>
      <w:r w:rsidRPr="00AB55D4">
        <w:t xml:space="preserve"> B. Niniou-Kindeli</w:t>
      </w:r>
      <w:r>
        <w:t>, ed.</w:t>
      </w:r>
      <w:r w:rsidRPr="00AB55D4">
        <w:t xml:space="preserve"> </w:t>
      </w:r>
      <w:r w:rsidRPr="00AB55D4">
        <w:rPr>
          <w:i/>
        </w:rPr>
        <w:t>Πεπραγμένα του ΣΤ' Διεθνούς Κρητολογικού Συνεδρίου</w:t>
      </w:r>
      <w:r>
        <w:t>.</w:t>
      </w:r>
      <w:r w:rsidRPr="00AB55D4">
        <w:rPr>
          <w:i/>
        </w:rPr>
        <w:t xml:space="preserve"> </w:t>
      </w:r>
      <w:r w:rsidRPr="00290D1B">
        <w:t>Χανιά</w:t>
      </w:r>
      <w:r w:rsidRPr="005928A0">
        <w:t>,</w:t>
      </w:r>
      <w:r w:rsidRPr="00AB55D4">
        <w:rPr>
          <w:i/>
        </w:rPr>
        <w:t xml:space="preserve"> </w:t>
      </w:r>
      <w:r w:rsidRPr="00290D1B">
        <w:t>1986, A2</w:t>
      </w:r>
      <w:r w:rsidRPr="006055A5">
        <w:t>:</w:t>
      </w:r>
      <w:r w:rsidRPr="00AB55D4">
        <w:rPr>
          <w:i/>
        </w:rPr>
        <w:t xml:space="preserve"> </w:t>
      </w:r>
      <w:r w:rsidRPr="00290D1B">
        <w:t>39-47</w:t>
      </w:r>
      <w:r w:rsidRPr="00AB55D4">
        <w:rPr>
          <w:i/>
        </w:rPr>
        <w:t>.</w:t>
      </w:r>
      <w:r w:rsidRPr="00AB55D4">
        <w:t xml:space="preserve"> Chania: Philologikos Syllogos o Chrysostomos. </w:t>
      </w:r>
    </w:p>
    <w:p w14:paraId="2AA78C52" w14:textId="77777777" w:rsidR="00303EFE" w:rsidRPr="00467720" w:rsidRDefault="00303EFE" w:rsidP="00E858EF">
      <w:pPr>
        <w:suppressAutoHyphens/>
        <w:autoSpaceDE w:val="0"/>
        <w:autoSpaceDN w:val="0"/>
        <w:adjustRightInd w:val="0"/>
      </w:pPr>
    </w:p>
    <w:p w14:paraId="78BEFB34" w14:textId="77777777" w:rsidR="00303EFE" w:rsidRDefault="00303EFE" w:rsidP="00E858EF">
      <w:pPr>
        <w:suppressAutoHyphens/>
        <w:autoSpaceDE w:val="0"/>
        <w:autoSpaceDN w:val="0"/>
        <w:adjustRightInd w:val="0"/>
      </w:pPr>
      <w:r w:rsidRPr="00AB55D4">
        <w:t>Banou, E.</w:t>
      </w:r>
      <w:r>
        <w:t>,</w:t>
      </w:r>
      <w:r w:rsidRPr="00AB55D4">
        <w:t xml:space="preserve"> 2005. Late Minoan III Mochlos (East Crete) versus Late Minoan III Viannos (</w:t>
      </w:r>
      <w:r>
        <w:t>c</w:t>
      </w:r>
      <w:r w:rsidRPr="00AB55D4">
        <w:t>entral eastern Crete). In</w:t>
      </w:r>
      <w:r>
        <w:t>:</w:t>
      </w:r>
      <w:r w:rsidRPr="00AB55D4">
        <w:t xml:space="preserve"> A. L. D’Agata and J. Moody</w:t>
      </w:r>
      <w:r>
        <w:t>,</w:t>
      </w:r>
      <w:r w:rsidRPr="00AB55D4">
        <w:t xml:space="preserve"> eds</w:t>
      </w:r>
      <w:r>
        <w:t>.</w:t>
      </w:r>
      <w:r w:rsidRPr="00AB55D4">
        <w:t xml:space="preserve"> </w:t>
      </w:r>
      <w:r w:rsidRPr="00AB55D4">
        <w:rPr>
          <w:i/>
        </w:rPr>
        <w:t xml:space="preserve">Ariadne's threads: </w:t>
      </w:r>
      <w:r>
        <w:rPr>
          <w:i/>
        </w:rPr>
        <w:t>C</w:t>
      </w:r>
      <w:r w:rsidRPr="00AB55D4">
        <w:rPr>
          <w:i/>
        </w:rPr>
        <w:t xml:space="preserve">onnections between Crete and the Greek </w:t>
      </w:r>
      <w:r>
        <w:rPr>
          <w:i/>
        </w:rPr>
        <w:t>M</w:t>
      </w:r>
      <w:r w:rsidRPr="00AB55D4">
        <w:rPr>
          <w:i/>
        </w:rPr>
        <w:t xml:space="preserve">ainland in Late Minoan III (LM IIIA2 to LM </w:t>
      </w:r>
      <w:r w:rsidRPr="00090F0C">
        <w:rPr>
          <w:i/>
        </w:rPr>
        <w:t>IIIC)</w:t>
      </w:r>
      <w:r w:rsidRPr="00A67D51">
        <w:rPr>
          <w:i/>
        </w:rPr>
        <w:t xml:space="preserve">. </w:t>
      </w:r>
      <w:r w:rsidRPr="00290D1B">
        <w:t>Proceedings of the International Workshop held at the Scuola Archeologica Italiana 5-6 April 2003,</w:t>
      </w:r>
      <w:r w:rsidRPr="00AB55D4">
        <w:t xml:space="preserve"> Tripodes 3: 146-184. Atene: Scuola Archeologica Italiana di Atene.</w:t>
      </w:r>
    </w:p>
    <w:p w14:paraId="51B7FCCA" w14:textId="77777777" w:rsidR="00303EFE" w:rsidRPr="00AB55D4" w:rsidRDefault="00303EFE" w:rsidP="00E858EF">
      <w:pPr>
        <w:suppressAutoHyphens/>
        <w:autoSpaceDE w:val="0"/>
        <w:autoSpaceDN w:val="0"/>
        <w:adjustRightInd w:val="0"/>
      </w:pPr>
    </w:p>
    <w:p w14:paraId="1A69B7D0" w14:textId="77777777" w:rsidR="00303EFE" w:rsidRDefault="00303EFE" w:rsidP="00E858EF">
      <w:pPr>
        <w:tabs>
          <w:tab w:val="left" w:pos="0"/>
        </w:tabs>
        <w:suppressAutoHyphens/>
        <w:autoSpaceDE w:val="0"/>
        <w:autoSpaceDN w:val="0"/>
        <w:adjustRightInd w:val="0"/>
        <w:spacing w:after="40"/>
      </w:pPr>
      <w:r w:rsidRPr="00AB55D4">
        <w:t>Banou, E. and Rethemiothakis, G.</w:t>
      </w:r>
      <w:r>
        <w:t>,</w:t>
      </w:r>
      <w:r w:rsidRPr="00AB55D4">
        <w:t xml:space="preserve"> 1997. Centre and periphery: new evidence for the relations between Knossos and the area of Viannos in the LM II-HIA periods. In</w:t>
      </w:r>
      <w:r>
        <w:t>:</w:t>
      </w:r>
      <w:r w:rsidRPr="00AB55D4">
        <w:t xml:space="preserve"> J. Driessen and A. Farnoux</w:t>
      </w:r>
      <w:r>
        <w:t>,</w:t>
      </w:r>
      <w:r w:rsidRPr="00AB55D4">
        <w:t xml:space="preserve"> eds</w:t>
      </w:r>
      <w:r>
        <w:t>.</w:t>
      </w:r>
      <w:r w:rsidRPr="00AB55D4">
        <w:rPr>
          <w:i/>
        </w:rPr>
        <w:t xml:space="preserve"> La Crète </w:t>
      </w:r>
      <w:r>
        <w:rPr>
          <w:i/>
        </w:rPr>
        <w:t>m</w:t>
      </w:r>
      <w:r w:rsidRPr="00AB55D4">
        <w:rPr>
          <w:i/>
        </w:rPr>
        <w:t>ycénienne</w:t>
      </w:r>
      <w:r>
        <w:rPr>
          <w:i/>
        </w:rPr>
        <w:t xml:space="preserve">. </w:t>
      </w:r>
      <w:r w:rsidRPr="00290D1B">
        <w:t>Actes de la table ronde internationale organisée par l'Ecole française d'Athènes 26-28 mars 1991.</w:t>
      </w:r>
      <w:r w:rsidRPr="00AB55D4">
        <w:rPr>
          <w:i/>
        </w:rPr>
        <w:t xml:space="preserve"> </w:t>
      </w:r>
      <w:r w:rsidRPr="00290D1B">
        <w:t>Bulletin de Correspondance Hellénique</w:t>
      </w:r>
      <w:r w:rsidRPr="005928A0">
        <w:t>,</w:t>
      </w:r>
      <w:r w:rsidRPr="00AB55D4">
        <w:rPr>
          <w:i/>
        </w:rPr>
        <w:t xml:space="preserve"> </w:t>
      </w:r>
      <w:r w:rsidRPr="00AB55D4">
        <w:t>Supplement 30: 23-57. Athènes: École française d'Athènes.</w:t>
      </w:r>
      <w:r>
        <w:t xml:space="preserve"> </w:t>
      </w:r>
    </w:p>
    <w:p w14:paraId="64BD65A6" w14:textId="77777777" w:rsidR="00303EFE" w:rsidRPr="00467720" w:rsidRDefault="00303EFE" w:rsidP="00E858EF">
      <w:pPr>
        <w:tabs>
          <w:tab w:val="left" w:pos="0"/>
        </w:tabs>
        <w:suppressAutoHyphens/>
        <w:autoSpaceDE w:val="0"/>
        <w:autoSpaceDN w:val="0"/>
        <w:adjustRightInd w:val="0"/>
        <w:spacing w:after="40"/>
      </w:pPr>
    </w:p>
    <w:p w14:paraId="50F18F42" w14:textId="77777777" w:rsidR="00303EFE" w:rsidRDefault="00303EFE" w:rsidP="00E858EF">
      <w:pPr>
        <w:suppressAutoHyphens/>
      </w:pPr>
      <w:r w:rsidRPr="00AB55D4">
        <w:t>Barrett, J.C.</w:t>
      </w:r>
      <w:r>
        <w:t>,</w:t>
      </w:r>
      <w:r w:rsidRPr="00AB55D4">
        <w:t xml:space="preserve"> 1988. The living, the dead and the ancestors: Neolithic and Early Bronze Age mortuary practices. In</w:t>
      </w:r>
      <w:r>
        <w:t>:</w:t>
      </w:r>
      <w:r w:rsidRPr="00AB55D4">
        <w:t xml:space="preserve"> J.C. Barrett and I.A. Kinnes</w:t>
      </w:r>
      <w:r>
        <w:t>,</w:t>
      </w:r>
      <w:r w:rsidRPr="00AB55D4">
        <w:t xml:space="preserve"> eds</w:t>
      </w:r>
      <w:r>
        <w:t>.</w:t>
      </w:r>
      <w:r w:rsidRPr="00AB55D4">
        <w:t xml:space="preserve"> </w:t>
      </w:r>
      <w:r w:rsidRPr="00AB55D4">
        <w:rPr>
          <w:i/>
        </w:rPr>
        <w:t>The Archaeology of Contexts in the Neolithic and Bronze Age</w:t>
      </w:r>
      <w:r w:rsidRPr="00AB55D4">
        <w:t xml:space="preserve">. </w:t>
      </w:r>
      <w:r w:rsidRPr="00AB55D4">
        <w:rPr>
          <w:i/>
        </w:rPr>
        <w:t>Recent Trends</w:t>
      </w:r>
      <w:r w:rsidRPr="00AB55D4">
        <w:t>: 30-41. Sheffield: Department of Archaeology and Prehistory, University of Sheffield.</w:t>
      </w:r>
      <w:r>
        <w:t xml:space="preserve"> </w:t>
      </w:r>
      <w:r w:rsidRPr="00AB55D4">
        <w:t xml:space="preserve"> </w:t>
      </w:r>
    </w:p>
    <w:p w14:paraId="5E11BDC7" w14:textId="77777777" w:rsidR="00303EFE" w:rsidRPr="00467720" w:rsidRDefault="00303EFE" w:rsidP="00E858EF">
      <w:pPr>
        <w:suppressAutoHyphens/>
      </w:pPr>
    </w:p>
    <w:p w14:paraId="69AA5D39"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B55D4">
        <w:rPr>
          <w:color w:val="000000"/>
        </w:rPr>
        <w:t>Barron, A.</w:t>
      </w:r>
      <w:r>
        <w:rPr>
          <w:color w:val="000000"/>
        </w:rPr>
        <w:t>,</w:t>
      </w:r>
      <w:r w:rsidRPr="00AB55D4">
        <w:rPr>
          <w:color w:val="000000"/>
        </w:rPr>
        <w:t xml:space="preserve"> 2013. </w:t>
      </w:r>
      <w:r w:rsidRPr="00A67D51">
        <w:rPr>
          <w:i/>
          <w:color w:val="000000"/>
        </w:rPr>
        <w:t>The Value of the Past: Minoan and Minoanizing Larnakes at the Knossos North Cemetery</w:t>
      </w:r>
      <w:r w:rsidRPr="00AB55D4">
        <w:rPr>
          <w:color w:val="000000"/>
        </w:rPr>
        <w:t>. Unpuplished MA thesis</w:t>
      </w:r>
      <w:r>
        <w:rPr>
          <w:color w:val="000000"/>
        </w:rPr>
        <w:t>,</w:t>
      </w:r>
      <w:r w:rsidRPr="00AB55D4">
        <w:rPr>
          <w:color w:val="000000"/>
        </w:rPr>
        <w:t xml:space="preserve"> University of Sydney.</w:t>
      </w:r>
    </w:p>
    <w:p w14:paraId="47C73D0E"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417E2AC3" w14:textId="77777777" w:rsidR="00303EFE" w:rsidRDefault="00303EFE" w:rsidP="00E858EF">
      <w:pPr>
        <w:suppressAutoHyphens/>
        <w:autoSpaceDE w:val="0"/>
        <w:autoSpaceDN w:val="0"/>
        <w:adjustRightInd w:val="0"/>
      </w:pPr>
      <w:r w:rsidRPr="00AB55D4">
        <w:t>Baxevani, K.</w:t>
      </w:r>
      <w:r>
        <w:t>,</w:t>
      </w:r>
      <w:r w:rsidRPr="00AB55D4">
        <w:t xml:space="preserve"> 1995. A Minoan Larnax from Pigi, Rethymnou with </w:t>
      </w:r>
      <w:r>
        <w:t>r</w:t>
      </w:r>
      <w:r w:rsidRPr="00AB55D4">
        <w:t xml:space="preserve">eligious and </w:t>
      </w:r>
      <w:r>
        <w:t>f</w:t>
      </w:r>
      <w:r w:rsidRPr="00AB55D4">
        <w:t xml:space="preserve">unerary </w:t>
      </w:r>
      <w:r>
        <w:t>i</w:t>
      </w:r>
      <w:r w:rsidRPr="00AB55D4">
        <w:t>conography</w:t>
      </w:r>
      <w:r>
        <w:t>.</w:t>
      </w:r>
      <w:r w:rsidRPr="00AB55D4">
        <w:t xml:space="preserve"> In</w:t>
      </w:r>
      <w:r>
        <w:t>:</w:t>
      </w:r>
      <w:r w:rsidRPr="00AB55D4">
        <w:t xml:space="preserve"> C. Morris</w:t>
      </w:r>
      <w:r>
        <w:t>,</w:t>
      </w:r>
      <w:r w:rsidRPr="00AB55D4">
        <w:t xml:space="preserve"> ed. </w:t>
      </w:r>
      <w:r w:rsidRPr="00AB55D4">
        <w:rPr>
          <w:i/>
        </w:rPr>
        <w:t>Klados. Essays in Honour of J.N. Coldstream</w:t>
      </w:r>
      <w:r>
        <w:t>.</w:t>
      </w:r>
      <w:r w:rsidRPr="00290D1B">
        <w:t xml:space="preserve"> Bulletin of the Institute of Classical Studies</w:t>
      </w:r>
      <w:r w:rsidRPr="00AB55D4">
        <w:t>: 15-33. London</w:t>
      </w:r>
      <w:r>
        <w:t>:</w:t>
      </w:r>
      <w:r w:rsidRPr="00AB55D4">
        <w:t xml:space="preserve"> University of London, Institute of Classical Studies.</w:t>
      </w:r>
    </w:p>
    <w:p w14:paraId="203B4B2A" w14:textId="77777777" w:rsidR="00303EFE" w:rsidRPr="00467720"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1DBF594F" w14:textId="77777777" w:rsidR="00303EFE" w:rsidRDefault="00303EFE" w:rsidP="00E858EF">
      <w:pPr>
        <w:suppressAutoHyphens/>
        <w:autoSpaceDE w:val="0"/>
        <w:autoSpaceDN w:val="0"/>
        <w:adjustRightInd w:val="0"/>
      </w:pPr>
      <w:r w:rsidRPr="007F3911">
        <w:t xml:space="preserve">Baxevani-Kouzioni K. </w:t>
      </w:r>
      <w:r w:rsidRPr="000C550D">
        <w:t>and Markoulaki, S.</w:t>
      </w:r>
      <w:r>
        <w:t>,</w:t>
      </w:r>
      <w:r w:rsidRPr="000C550D">
        <w:t xml:space="preserve"> 1996</w:t>
      </w:r>
      <w:r>
        <w:t>.</w:t>
      </w:r>
      <w:r w:rsidRPr="000C550D">
        <w:t xml:space="preserve"> </w:t>
      </w:r>
      <w:r w:rsidRPr="007F3911">
        <w:rPr>
          <w:lang w:val="fr-FR"/>
        </w:rPr>
        <w:t>Une tombe à chambre</w:t>
      </w:r>
      <w:r w:rsidRPr="007F3911">
        <w:t xml:space="preserve"> MR III de Pankalochori (nome de Rethymnon). </w:t>
      </w:r>
      <w:r>
        <w:rPr>
          <w:i/>
        </w:rPr>
        <w:t>BCH</w:t>
      </w:r>
      <w:r>
        <w:t>,</w:t>
      </w:r>
      <w:r w:rsidRPr="007F3911">
        <w:t xml:space="preserve"> 120 2: 641-703</w:t>
      </w:r>
      <w:r w:rsidRPr="00AB55D4">
        <w:t>.</w:t>
      </w:r>
    </w:p>
    <w:p w14:paraId="50D1F760" w14:textId="77777777" w:rsidR="00303EFE" w:rsidRDefault="00303EFE" w:rsidP="00E858EF">
      <w:pPr>
        <w:suppressAutoHyphens/>
        <w:autoSpaceDE w:val="0"/>
        <w:autoSpaceDN w:val="0"/>
        <w:adjustRightInd w:val="0"/>
        <w:rPr>
          <w:i/>
        </w:rPr>
      </w:pPr>
    </w:p>
    <w:p w14:paraId="220C0940" w14:textId="77777777" w:rsidR="00303EFE" w:rsidRPr="00F516CE" w:rsidRDefault="00303EFE" w:rsidP="00E858EF">
      <w:pPr>
        <w:suppressAutoHyphens/>
        <w:autoSpaceDE w:val="0"/>
        <w:autoSpaceDN w:val="0"/>
        <w:adjustRightInd w:val="0"/>
      </w:pPr>
      <w:r w:rsidRPr="005928A0">
        <w:t xml:space="preserve">Belli, P., 1997. Architecture as craftsmanship: LM </w:t>
      </w:r>
      <w:r w:rsidRPr="005D7D65">
        <w:t>III tholoi and their builders. In</w:t>
      </w:r>
      <w:r>
        <w:t>:</w:t>
      </w:r>
      <w:r w:rsidRPr="005928A0">
        <w:t xml:space="preserve"> R. Laffineur and P.</w:t>
      </w:r>
      <w:r w:rsidRPr="005D7D65">
        <w:t xml:space="preserve"> Betancourt</w:t>
      </w:r>
      <w:r>
        <w:t>,</w:t>
      </w:r>
      <w:r w:rsidRPr="005928A0">
        <w:t xml:space="preserve"> eds</w:t>
      </w:r>
      <w:r>
        <w:t>.</w:t>
      </w:r>
      <w:r w:rsidRPr="005928A0">
        <w:t xml:space="preserve"> </w:t>
      </w:r>
      <w:r w:rsidRPr="005928A0">
        <w:rPr>
          <w:i/>
        </w:rPr>
        <w:t>Techne: Craftsmen, Craftswomen and Crafstmanship in the Aegean Bronze Age</w:t>
      </w:r>
      <w:r>
        <w:t>.</w:t>
      </w:r>
      <w:r w:rsidRPr="005928A0">
        <w:rPr>
          <w:i/>
        </w:rPr>
        <w:t xml:space="preserve"> </w:t>
      </w:r>
      <w:r w:rsidRPr="00290D1B">
        <w:t>Proceedings of the 6th international Aegean conference, 18-21 April, 1996,</w:t>
      </w:r>
      <w:r w:rsidRPr="005928A0">
        <w:t xml:space="preserve"> Aegaeum,</w:t>
      </w:r>
      <w:r w:rsidRPr="005D7D65">
        <w:t xml:space="preserve"> 16:</w:t>
      </w:r>
      <w:r w:rsidRPr="004D043B">
        <w:t xml:space="preserve"> 251-255. Liege: University of Liege.</w:t>
      </w:r>
    </w:p>
    <w:p w14:paraId="42CB9AE4" w14:textId="77777777" w:rsidR="00303EFE" w:rsidRDefault="00303EFE" w:rsidP="00E858EF">
      <w:pPr>
        <w:suppressAutoHyphens/>
        <w:autoSpaceDE w:val="0"/>
        <w:autoSpaceDN w:val="0"/>
        <w:adjustRightInd w:val="0"/>
        <w:rPr>
          <w:i/>
        </w:rPr>
      </w:pPr>
    </w:p>
    <w:p w14:paraId="1801F0FA" w14:textId="77777777" w:rsidR="00303EFE" w:rsidRDefault="00303EFE" w:rsidP="00E858EF">
      <w:pPr>
        <w:suppressAutoHyphens/>
        <w:autoSpaceDE w:val="0"/>
        <w:autoSpaceDN w:val="0"/>
        <w:adjustRightInd w:val="0"/>
      </w:pPr>
      <w:r>
        <w:t>Bennet, J.,</w:t>
      </w:r>
      <w:r w:rsidRPr="00F516CE">
        <w:t xml:space="preserve"> 1985. The structure of the Linear B</w:t>
      </w:r>
      <w:r>
        <w:t xml:space="preserve"> administration at Knossos. </w:t>
      </w:r>
      <w:r>
        <w:rPr>
          <w:i/>
        </w:rPr>
        <w:t>AJA</w:t>
      </w:r>
      <w:r>
        <w:t>,</w:t>
      </w:r>
      <w:r w:rsidRPr="007F66CB">
        <w:rPr>
          <w:i/>
        </w:rPr>
        <w:t xml:space="preserve"> </w:t>
      </w:r>
      <w:r>
        <w:t xml:space="preserve">89: </w:t>
      </w:r>
      <w:r w:rsidRPr="00F516CE">
        <w:t>231-249.</w:t>
      </w:r>
    </w:p>
    <w:p w14:paraId="1D8659A0" w14:textId="77777777" w:rsidR="00303EFE" w:rsidRPr="00467720" w:rsidRDefault="00303EFE" w:rsidP="00E858EF">
      <w:pPr>
        <w:suppressAutoHyphens/>
        <w:autoSpaceDE w:val="0"/>
        <w:autoSpaceDN w:val="0"/>
        <w:adjustRightInd w:val="0"/>
        <w:rPr>
          <w:i/>
        </w:rPr>
      </w:pPr>
    </w:p>
    <w:p w14:paraId="46290872" w14:textId="77777777" w:rsidR="00303EFE" w:rsidRDefault="00303EFE" w:rsidP="00E858EF">
      <w:pPr>
        <w:suppressAutoHyphens/>
        <w:autoSpaceDE w:val="0"/>
        <w:autoSpaceDN w:val="0"/>
        <w:adjustRightInd w:val="0"/>
      </w:pPr>
      <w:r w:rsidRPr="000C550D">
        <w:rPr>
          <w:color w:val="000000"/>
        </w:rPr>
        <w:t>Bennet,</w:t>
      </w:r>
      <w:r>
        <w:rPr>
          <w:color w:val="000000"/>
        </w:rPr>
        <w:t xml:space="preserve"> </w:t>
      </w:r>
      <w:r w:rsidRPr="000C550D">
        <w:rPr>
          <w:color w:val="000000"/>
        </w:rPr>
        <w:t>J.</w:t>
      </w:r>
      <w:r>
        <w:rPr>
          <w:color w:val="000000"/>
        </w:rPr>
        <w:t>,</w:t>
      </w:r>
      <w:r w:rsidRPr="000C550D">
        <w:rPr>
          <w:color w:val="000000"/>
        </w:rPr>
        <w:t xml:space="preserve"> </w:t>
      </w:r>
      <w:r w:rsidRPr="005928A0">
        <w:rPr>
          <w:color w:val="000000"/>
        </w:rPr>
        <w:t>1986</w:t>
      </w:r>
      <w:r>
        <w:rPr>
          <w:color w:val="000000"/>
        </w:rPr>
        <w:t>.</w:t>
      </w:r>
      <w:r w:rsidRPr="005928A0">
        <w:rPr>
          <w:color w:val="000000"/>
        </w:rPr>
        <w:t xml:space="preserve"> </w:t>
      </w:r>
      <w:r w:rsidRPr="005928A0">
        <w:rPr>
          <w:i/>
        </w:rPr>
        <w:t>Aspects of the Administrative Organisation of LM I1-IIIB Crete: A Study based on</w:t>
      </w:r>
      <w:r w:rsidRPr="000C550D">
        <w:rPr>
          <w:i/>
        </w:rPr>
        <w:t xml:space="preserve"> Archaeological and Textual Data</w:t>
      </w:r>
      <w:r w:rsidRPr="000C550D">
        <w:t>. Unpublished PhD thesis, University</w:t>
      </w:r>
      <w:r>
        <w:t xml:space="preserve"> </w:t>
      </w:r>
      <w:r w:rsidRPr="000C550D">
        <w:t>of Cambridge</w:t>
      </w:r>
      <w:r>
        <w:t>.</w:t>
      </w:r>
    </w:p>
    <w:p w14:paraId="2F35D588" w14:textId="77777777" w:rsidR="00303EFE" w:rsidRDefault="00303EFE" w:rsidP="00E858EF">
      <w:pPr>
        <w:suppressAutoHyphens/>
        <w:autoSpaceDE w:val="0"/>
        <w:autoSpaceDN w:val="0"/>
        <w:adjustRightInd w:val="0"/>
      </w:pPr>
    </w:p>
    <w:p w14:paraId="3F4D8D43" w14:textId="77777777" w:rsidR="00303EFE" w:rsidRDefault="00303EFE" w:rsidP="00E858EF">
      <w:pPr>
        <w:suppressAutoHyphens/>
        <w:autoSpaceDE w:val="0"/>
        <w:autoSpaceDN w:val="0"/>
        <w:adjustRightInd w:val="0"/>
      </w:pPr>
      <w:r w:rsidRPr="005928A0">
        <w:t>Bennet, J.,</w:t>
      </w:r>
      <w:r w:rsidRPr="005D7D65">
        <w:t xml:space="preserve"> 1987. Knossos and LM III Crete: a Post-Palatial palace?</w:t>
      </w:r>
      <w:r w:rsidRPr="004D043B">
        <w:t xml:space="preserve"> </w:t>
      </w:r>
      <w:r>
        <w:t xml:space="preserve">In: </w:t>
      </w:r>
      <w:r w:rsidRPr="004D043B">
        <w:t>R. Hägg and N. Marinatos, eds.</w:t>
      </w:r>
      <w:r w:rsidRPr="001A0D2F">
        <w:t xml:space="preserve"> </w:t>
      </w:r>
      <w:r w:rsidRPr="001A0D2F">
        <w:rPr>
          <w:i/>
        </w:rPr>
        <w:t>The Function of the Minoan Palaces</w:t>
      </w:r>
      <w:r>
        <w:rPr>
          <w:i/>
        </w:rPr>
        <w:t xml:space="preserve">. </w:t>
      </w:r>
      <w:r w:rsidRPr="00290D1B">
        <w:t>Proceedings of the 4th international symposium at the Swedish Institute in Athens, 10-16 June 1984</w:t>
      </w:r>
      <w:r w:rsidRPr="005928A0">
        <w:t>: 307-312. Göteborg: Astroms.</w:t>
      </w:r>
    </w:p>
    <w:p w14:paraId="1D31086D" w14:textId="77777777" w:rsidR="00303EFE" w:rsidRPr="000C550D" w:rsidRDefault="00303EFE" w:rsidP="00E858EF">
      <w:pPr>
        <w:suppressAutoHyphens/>
        <w:autoSpaceDE w:val="0"/>
        <w:autoSpaceDN w:val="0"/>
        <w:adjustRightInd w:val="0"/>
      </w:pPr>
    </w:p>
    <w:p w14:paraId="7D1D0334" w14:textId="77777777" w:rsidR="00303EFE" w:rsidRDefault="00303EFE" w:rsidP="00E858EF">
      <w:pPr>
        <w:suppressAutoHyphens/>
        <w:autoSpaceDE w:val="0"/>
        <w:autoSpaceDN w:val="0"/>
        <w:adjustRightInd w:val="0"/>
      </w:pPr>
      <w:r w:rsidRPr="00AB55D4">
        <w:rPr>
          <w:color w:val="000000"/>
        </w:rPr>
        <w:t>Bennet, J.</w:t>
      </w:r>
      <w:r>
        <w:rPr>
          <w:color w:val="000000"/>
        </w:rPr>
        <w:t>,</w:t>
      </w:r>
      <w:r w:rsidRPr="00AB55D4">
        <w:rPr>
          <w:color w:val="000000"/>
        </w:rPr>
        <w:t xml:space="preserve"> 1990. </w:t>
      </w:r>
      <w:r w:rsidRPr="00AB55D4">
        <w:t>Knossos in context: comparative perspectives on the Linear B administration of LMII-III Crete</w:t>
      </w:r>
      <w:r>
        <w:t xml:space="preserve">. </w:t>
      </w:r>
      <w:r>
        <w:rPr>
          <w:i/>
        </w:rPr>
        <w:t>AJA</w:t>
      </w:r>
      <w:r>
        <w:t>,</w:t>
      </w:r>
      <w:r w:rsidRPr="00AB55D4">
        <w:rPr>
          <w:i/>
        </w:rPr>
        <w:t xml:space="preserve"> </w:t>
      </w:r>
      <w:r w:rsidRPr="00290D1B">
        <w:t>94</w:t>
      </w:r>
      <w:r w:rsidRPr="00AB55D4">
        <w:t>: 193-211.</w:t>
      </w:r>
    </w:p>
    <w:p w14:paraId="5D10D847" w14:textId="77777777" w:rsidR="00303EFE" w:rsidRDefault="00303EFE" w:rsidP="00E858EF">
      <w:pPr>
        <w:suppressAutoHyphens/>
        <w:autoSpaceDE w:val="0"/>
        <w:autoSpaceDN w:val="0"/>
        <w:adjustRightInd w:val="0"/>
      </w:pPr>
    </w:p>
    <w:p w14:paraId="6A45F554" w14:textId="77777777" w:rsidR="00303EFE" w:rsidRDefault="00303EFE" w:rsidP="00E858EF">
      <w:pPr>
        <w:suppressAutoHyphens/>
        <w:autoSpaceDE w:val="0"/>
        <w:autoSpaceDN w:val="0"/>
        <w:adjustRightInd w:val="0"/>
      </w:pPr>
      <w:r>
        <w:t>Bennet, J.,</w:t>
      </w:r>
      <w:r w:rsidRPr="00F516CE">
        <w:t xml:space="preserve"> 1995. Space through time: diachronic perspectives on the spatial organization</w:t>
      </w:r>
      <w:r>
        <w:t xml:space="preserve"> of the Pylian state. I</w:t>
      </w:r>
      <w:r w:rsidRPr="00F516CE">
        <w:t>n</w:t>
      </w:r>
      <w:r>
        <w:t>:</w:t>
      </w:r>
      <w:r w:rsidRPr="00F516CE">
        <w:t xml:space="preserve"> R</w:t>
      </w:r>
      <w:r>
        <w:t>.</w:t>
      </w:r>
      <w:r w:rsidRPr="00F516CE">
        <w:t xml:space="preserve"> Laffineur and W-D</w:t>
      </w:r>
      <w:r>
        <w:t>.</w:t>
      </w:r>
      <w:r w:rsidRPr="00F516CE">
        <w:t xml:space="preserve"> Niemeier</w:t>
      </w:r>
      <w:r>
        <w:t>,</w:t>
      </w:r>
      <w:r w:rsidRPr="00F516CE">
        <w:t xml:space="preserve"> eds</w:t>
      </w:r>
      <w:r>
        <w:t>.</w:t>
      </w:r>
      <w:r w:rsidRPr="00F516CE">
        <w:t xml:space="preserve"> </w:t>
      </w:r>
      <w:r w:rsidRPr="00A67D51">
        <w:rPr>
          <w:i/>
        </w:rPr>
        <w:t>Politeia: Society and State in the Aegean Bronze Age</w:t>
      </w:r>
      <w:r>
        <w:rPr>
          <w:i/>
        </w:rPr>
        <w:t>.</w:t>
      </w:r>
      <w:r w:rsidRPr="006A54B1">
        <w:rPr>
          <w:i/>
        </w:rPr>
        <w:t xml:space="preserve"> </w:t>
      </w:r>
      <w:r w:rsidRPr="00290D1B">
        <w:t>Proceedings of the 5th International Aegean Conference, University of Heidelberg, Archäologisches Institut, 10-13 April</w:t>
      </w:r>
      <w:r>
        <w:t>,</w:t>
      </w:r>
      <w:r w:rsidRPr="00290D1B">
        <w:t xml:space="preserve"> 1994</w:t>
      </w:r>
      <w:r>
        <w:t>,</w:t>
      </w:r>
      <w:r w:rsidRPr="00A67D51">
        <w:rPr>
          <w:i/>
        </w:rPr>
        <w:t xml:space="preserve"> </w:t>
      </w:r>
      <w:r>
        <w:t>Aegaeum 12:</w:t>
      </w:r>
      <w:r w:rsidRPr="00F516CE">
        <w:t xml:space="preserve"> 587-601. Belgium: Kliemo SA.</w:t>
      </w:r>
    </w:p>
    <w:p w14:paraId="18E19A0B" w14:textId="77777777" w:rsidR="00303EFE" w:rsidRPr="00467720" w:rsidRDefault="00303EFE" w:rsidP="00E858EF">
      <w:pPr>
        <w:suppressAutoHyphens/>
        <w:autoSpaceDE w:val="0"/>
        <w:autoSpaceDN w:val="0"/>
        <w:adjustRightInd w:val="0"/>
      </w:pPr>
    </w:p>
    <w:p w14:paraId="21DF5B82" w14:textId="77777777" w:rsidR="00303EFE" w:rsidRDefault="00303EFE" w:rsidP="00E858EF">
      <w:pPr>
        <w:suppressAutoHyphens/>
        <w:rPr>
          <w:color w:val="000000"/>
        </w:rPr>
      </w:pPr>
      <w:r w:rsidRPr="005928A0">
        <w:rPr>
          <w:color w:val="000000"/>
        </w:rPr>
        <w:t>Bennet, J., 2015. Telltale depictions: A c</w:t>
      </w:r>
      <w:r w:rsidRPr="005D7D65">
        <w:rPr>
          <w:color w:val="000000"/>
        </w:rPr>
        <w:t>ontextual view of</w:t>
      </w:r>
      <w:r w:rsidRPr="004D043B">
        <w:rPr>
          <w:color w:val="000000"/>
        </w:rPr>
        <w:t xml:space="preserve"> Mycenaean wall paintings. In: H. Brecoul</w:t>
      </w:r>
      <w:r w:rsidRPr="001A0D2F">
        <w:rPr>
          <w:color w:val="000000"/>
        </w:rPr>
        <w:t>aki, J. Davis and S. Stocker,</w:t>
      </w:r>
      <w:r w:rsidRPr="00AF19B7">
        <w:rPr>
          <w:color w:val="000000"/>
        </w:rPr>
        <w:t xml:space="preserve"> eds. </w:t>
      </w:r>
      <w:r w:rsidRPr="0021518F">
        <w:rPr>
          <w:i/>
          <w:color w:val="000000"/>
        </w:rPr>
        <w:t xml:space="preserve">Mycenaean wall painting in context: New discoveries, Old Finds Reconsidered. </w:t>
      </w:r>
      <w:r w:rsidRPr="0021518F">
        <w:rPr>
          <w:color w:val="000000"/>
        </w:rPr>
        <w:t>Meletimata 72: 21-34. Athens: National Hellenic Research Foundation, Institute of Historical Research.</w:t>
      </w:r>
    </w:p>
    <w:p w14:paraId="10C656F5" w14:textId="77777777" w:rsidR="00303EFE" w:rsidRPr="00467720" w:rsidRDefault="00303EFE" w:rsidP="00E858EF">
      <w:pPr>
        <w:suppressAutoHyphens/>
        <w:rPr>
          <w:color w:val="000000"/>
        </w:rPr>
      </w:pPr>
    </w:p>
    <w:p w14:paraId="2402A87B" w14:textId="77777777" w:rsidR="00303EFE" w:rsidRDefault="00303EFE" w:rsidP="00E858EF">
      <w:pPr>
        <w:suppressAutoHyphens/>
        <w:spacing w:after="40"/>
        <w:rPr>
          <w:rFonts w:eastAsia="Times New Roman"/>
        </w:rPr>
      </w:pPr>
      <w:r w:rsidRPr="00AB55D4">
        <w:rPr>
          <w:rFonts w:eastAsia="Times New Roman"/>
          <w:iCs/>
        </w:rPr>
        <w:t>Benzi, Μ.</w:t>
      </w:r>
      <w:r>
        <w:rPr>
          <w:rFonts w:eastAsia="Times New Roman"/>
          <w:iCs/>
        </w:rPr>
        <w:t>,</w:t>
      </w:r>
      <w:r w:rsidRPr="00AB55D4">
        <w:rPr>
          <w:rFonts w:eastAsia="Times New Roman"/>
          <w:iCs/>
        </w:rPr>
        <w:t xml:space="preserve"> 1999. Riti di passaggio sulla larnax dalla </w:t>
      </w:r>
      <w:r>
        <w:rPr>
          <w:rFonts w:eastAsia="Times New Roman"/>
          <w:iCs/>
        </w:rPr>
        <w:t>t</w:t>
      </w:r>
      <w:r w:rsidRPr="00AB55D4">
        <w:rPr>
          <w:rFonts w:eastAsia="Times New Roman"/>
          <w:iCs/>
        </w:rPr>
        <w:t>omba 22 di Tanagra? In</w:t>
      </w:r>
      <w:r>
        <w:rPr>
          <w:rFonts w:eastAsia="Times New Roman"/>
          <w:iCs/>
        </w:rPr>
        <w:t>:</w:t>
      </w:r>
      <w:r w:rsidRPr="00AB55D4">
        <w:rPr>
          <w:rFonts w:eastAsia="Times New Roman"/>
          <w:iCs/>
        </w:rPr>
        <w:t xml:space="preserve"> V. La Rosa, D. Palermo</w:t>
      </w:r>
      <w:r>
        <w:rPr>
          <w:rFonts w:eastAsia="Times New Roman"/>
          <w:iCs/>
        </w:rPr>
        <w:t xml:space="preserve"> and</w:t>
      </w:r>
      <w:r w:rsidRPr="00AB55D4">
        <w:rPr>
          <w:rFonts w:eastAsia="Times New Roman"/>
          <w:iCs/>
        </w:rPr>
        <w:t xml:space="preserve"> L. Vagnetti</w:t>
      </w:r>
      <w:r>
        <w:rPr>
          <w:rFonts w:eastAsia="Times New Roman"/>
          <w:iCs/>
        </w:rPr>
        <w:t>, eds.</w:t>
      </w:r>
      <w:r w:rsidRPr="00AB55D4">
        <w:rPr>
          <w:rFonts w:eastAsia="Times New Roman"/>
          <w:iCs/>
        </w:rPr>
        <w:t xml:space="preserve"> </w:t>
      </w:r>
      <w:r w:rsidRPr="00A67D51">
        <w:rPr>
          <w:rFonts w:eastAsia="Times New Roman"/>
          <w:i/>
          <w:iCs/>
        </w:rPr>
        <w:t>Επί πόντον πλαζόμενοι: simposio italiano di studi Egei dedicato a Luigi Bernabò Brea e Giovanni Puglise Carratelli</w:t>
      </w:r>
      <w:r>
        <w:rPr>
          <w:rFonts w:eastAsia="Times New Roman"/>
          <w:i/>
          <w:iCs/>
        </w:rPr>
        <w:t xml:space="preserve">. </w:t>
      </w:r>
      <w:r w:rsidRPr="00290D1B">
        <w:rPr>
          <w:rFonts w:eastAsia="Times New Roman"/>
          <w:iCs/>
        </w:rPr>
        <w:t>Roma 18-20 febbraio 1998</w:t>
      </w:r>
      <w:r w:rsidRPr="00AB55D4">
        <w:rPr>
          <w:rFonts w:eastAsia="Times New Roman"/>
          <w:iCs/>
        </w:rPr>
        <w:t xml:space="preserve">: </w:t>
      </w:r>
      <w:r w:rsidRPr="00AB55D4">
        <w:rPr>
          <w:rStyle w:val="st"/>
          <w:rFonts w:eastAsia="Times New Roman"/>
        </w:rPr>
        <w:t xml:space="preserve">215-233. </w:t>
      </w:r>
      <w:r w:rsidRPr="00AB55D4">
        <w:rPr>
          <w:rFonts w:eastAsia="Times New Roman"/>
        </w:rPr>
        <w:t>Roma: Scuola Archeologica Italiana di Atene.</w:t>
      </w:r>
    </w:p>
    <w:p w14:paraId="1506485C" w14:textId="77777777" w:rsidR="00303EFE" w:rsidRDefault="00303EFE" w:rsidP="00E858EF">
      <w:pPr>
        <w:suppressAutoHyphens/>
        <w:spacing w:after="40"/>
        <w:rPr>
          <w:rFonts w:eastAsia="Times New Roman"/>
        </w:rPr>
      </w:pPr>
    </w:p>
    <w:p w14:paraId="2D12A473" w14:textId="77777777" w:rsidR="00303EFE" w:rsidRDefault="00303EFE" w:rsidP="00E858EF">
      <w:pPr>
        <w:suppressAutoHyphens/>
        <w:autoSpaceDE w:val="0"/>
        <w:autoSpaceDN w:val="0"/>
        <w:adjustRightInd w:val="0"/>
      </w:pPr>
      <w:r>
        <w:t>Binford, L.,</w:t>
      </w:r>
      <w:r w:rsidRPr="00F516CE">
        <w:t xml:space="preserve"> 1971. Mortuary practices: their study and th</w:t>
      </w:r>
      <w:r>
        <w:t xml:space="preserve">eir potential. In: J. Brown, ed. </w:t>
      </w:r>
      <w:r w:rsidRPr="00A67D51">
        <w:rPr>
          <w:i/>
        </w:rPr>
        <w:t>Approaches to the Social Dimensions of Mortuary Practices.</w:t>
      </w:r>
      <w:r>
        <w:t xml:space="preserve"> </w:t>
      </w:r>
      <w:r w:rsidRPr="005928A0">
        <w:t>Memoirs of the Society f</w:t>
      </w:r>
      <w:r w:rsidRPr="005D7D65">
        <w:t>or American Anthropo</w:t>
      </w:r>
      <w:r w:rsidRPr="004D043B">
        <w:t>logy</w:t>
      </w:r>
      <w:r>
        <w:t xml:space="preserve"> </w:t>
      </w:r>
      <w:r w:rsidRPr="004D043B">
        <w:t>25</w:t>
      </w:r>
      <w:r>
        <w:t>:</w:t>
      </w:r>
      <w:r w:rsidRPr="00F516CE">
        <w:t xml:space="preserve"> 6-29. Washington: Society for American</w:t>
      </w:r>
      <w:r>
        <w:t xml:space="preserve"> </w:t>
      </w:r>
      <w:r w:rsidRPr="00F516CE">
        <w:t>Archaeology.</w:t>
      </w:r>
    </w:p>
    <w:p w14:paraId="3F3B9E01" w14:textId="77777777" w:rsidR="00303EFE" w:rsidRPr="00AB55D4" w:rsidRDefault="00303EFE" w:rsidP="00E858EF">
      <w:pPr>
        <w:suppressAutoHyphens/>
        <w:spacing w:after="40"/>
        <w:rPr>
          <w:rFonts w:eastAsia="Times New Roman"/>
        </w:rPr>
      </w:pPr>
    </w:p>
    <w:p w14:paraId="6D29581D" w14:textId="77777777" w:rsidR="00303EFE" w:rsidRDefault="00303EFE" w:rsidP="00E858EF">
      <w:pPr>
        <w:suppressAutoHyphens/>
        <w:rPr>
          <w:color w:val="000000"/>
          <w:lang w:val="el-GR"/>
        </w:rPr>
      </w:pPr>
      <w:r w:rsidRPr="00AB55D4">
        <w:rPr>
          <w:color w:val="000000"/>
        </w:rPr>
        <w:t>Borgna</w:t>
      </w:r>
      <w:r>
        <w:rPr>
          <w:color w:val="000000"/>
        </w:rPr>
        <w:t>, E.,</w:t>
      </w:r>
      <w:r w:rsidRPr="00AB55D4">
        <w:rPr>
          <w:color w:val="000000"/>
        </w:rPr>
        <w:t xml:space="preserve"> 2017: LM IIIB Pottery at Phaistos. In</w:t>
      </w:r>
      <w:r>
        <w:rPr>
          <w:color w:val="000000"/>
        </w:rPr>
        <w:t>:</w:t>
      </w:r>
      <w:r w:rsidRPr="00AB55D4">
        <w:rPr>
          <w:color w:val="000000"/>
        </w:rPr>
        <w:t xml:space="preserve"> C. Langohr</w:t>
      </w:r>
      <w:r>
        <w:rPr>
          <w:color w:val="000000"/>
        </w:rPr>
        <w:t xml:space="preserve">, </w:t>
      </w:r>
      <w:r w:rsidRPr="00AB55D4">
        <w:rPr>
          <w:color w:val="000000"/>
        </w:rPr>
        <w:t xml:space="preserve">ed. </w:t>
      </w:r>
      <w:r w:rsidRPr="00A67D51">
        <w:rPr>
          <w:i/>
          <w:color w:val="000000"/>
        </w:rPr>
        <w:t xml:space="preserve">How </w:t>
      </w:r>
      <w:r>
        <w:rPr>
          <w:i/>
          <w:color w:val="000000"/>
        </w:rPr>
        <w:t>L</w:t>
      </w:r>
      <w:r w:rsidRPr="00A67D51">
        <w:rPr>
          <w:i/>
          <w:color w:val="000000"/>
        </w:rPr>
        <w:t xml:space="preserve">ong is a </w:t>
      </w:r>
      <w:r>
        <w:rPr>
          <w:i/>
          <w:color w:val="000000"/>
        </w:rPr>
        <w:t>C</w:t>
      </w:r>
      <w:r w:rsidRPr="00A67D51">
        <w:rPr>
          <w:i/>
          <w:color w:val="000000"/>
        </w:rPr>
        <w:t>entury? Late Minoan IIIB Pottery: Relative Chronology and Regional Differences</w:t>
      </w:r>
      <w:r w:rsidRPr="00AB55D4">
        <w:rPr>
          <w:color w:val="000000"/>
        </w:rPr>
        <w:t xml:space="preserve">. Aegis 12: 313-329. </w:t>
      </w:r>
      <w:r w:rsidRPr="00AB55D4">
        <w:rPr>
          <w:color w:val="000000"/>
          <w:lang w:val="el-GR"/>
        </w:rPr>
        <w:t>Louvain-la-Neuve (Belgique): UCL, Presses universitaries de Louvain.</w:t>
      </w:r>
    </w:p>
    <w:p w14:paraId="662642E0" w14:textId="77777777" w:rsidR="00303EFE" w:rsidRPr="00467720" w:rsidRDefault="00303EFE" w:rsidP="00E858EF">
      <w:pPr>
        <w:suppressAutoHyphens/>
        <w:autoSpaceDE w:val="0"/>
        <w:autoSpaceDN w:val="0"/>
        <w:adjustRightInd w:val="0"/>
      </w:pPr>
    </w:p>
    <w:p w14:paraId="64E06C68" w14:textId="77777777" w:rsidR="00303EFE" w:rsidRDefault="00303EFE" w:rsidP="00E858EF">
      <w:pPr>
        <w:tabs>
          <w:tab w:val="left" w:pos="220"/>
          <w:tab w:val="left" w:pos="720"/>
        </w:tabs>
        <w:suppressAutoHyphens/>
        <w:autoSpaceDE w:val="0"/>
        <w:autoSpaceDN w:val="0"/>
        <w:adjustRightInd w:val="0"/>
      </w:pPr>
      <w:r w:rsidRPr="00AB55D4">
        <w:t>Bosanquet, R.C.</w:t>
      </w:r>
      <w:r>
        <w:t>,</w:t>
      </w:r>
      <w:r w:rsidRPr="00AB55D4">
        <w:t xml:space="preserve"> 1901-1902a.</w:t>
      </w:r>
      <w:r>
        <w:t xml:space="preserve"> </w:t>
      </w:r>
      <w:r w:rsidRPr="00AB55D4">
        <w:t xml:space="preserve">Excavations at Praesos I. </w:t>
      </w:r>
      <w:r>
        <w:rPr>
          <w:i/>
        </w:rPr>
        <w:t>BSA</w:t>
      </w:r>
      <w:r w:rsidRPr="00AB55D4">
        <w:rPr>
          <w:i/>
        </w:rPr>
        <w:t xml:space="preserve"> </w:t>
      </w:r>
      <w:r w:rsidRPr="00BA2849">
        <w:t>8</w:t>
      </w:r>
      <w:r w:rsidRPr="00AB55D4">
        <w:t xml:space="preserve">: 231-270. </w:t>
      </w:r>
    </w:p>
    <w:p w14:paraId="10ABB43E" w14:textId="77777777" w:rsidR="00303EFE" w:rsidRPr="00467720" w:rsidRDefault="00303EFE" w:rsidP="00E858EF">
      <w:pPr>
        <w:tabs>
          <w:tab w:val="left" w:pos="220"/>
          <w:tab w:val="left" w:pos="720"/>
        </w:tabs>
        <w:suppressAutoHyphens/>
        <w:autoSpaceDE w:val="0"/>
        <w:autoSpaceDN w:val="0"/>
        <w:adjustRightInd w:val="0"/>
      </w:pPr>
    </w:p>
    <w:p w14:paraId="262E5590" w14:textId="77777777" w:rsidR="00303EFE" w:rsidRDefault="00303EFE" w:rsidP="00E858EF">
      <w:pPr>
        <w:tabs>
          <w:tab w:val="left" w:pos="220"/>
          <w:tab w:val="left" w:pos="720"/>
        </w:tabs>
        <w:suppressAutoHyphens/>
        <w:autoSpaceDE w:val="0"/>
        <w:autoSpaceDN w:val="0"/>
        <w:adjustRightInd w:val="0"/>
      </w:pPr>
      <w:r w:rsidRPr="00AB55D4">
        <w:t>Bosanquet, R.C.</w:t>
      </w:r>
      <w:r>
        <w:t>,</w:t>
      </w:r>
      <w:r w:rsidRPr="00AB55D4">
        <w:t xml:space="preserve"> 1901-1902b. Excavations at Palaikastro I. </w:t>
      </w:r>
      <w:r>
        <w:rPr>
          <w:i/>
        </w:rPr>
        <w:t>BSA</w:t>
      </w:r>
      <w:r w:rsidRPr="00AB55D4">
        <w:rPr>
          <w:i/>
        </w:rPr>
        <w:t xml:space="preserve"> </w:t>
      </w:r>
      <w:r w:rsidRPr="00BA2849">
        <w:t>8</w:t>
      </w:r>
      <w:r w:rsidRPr="00AB55D4">
        <w:t>: 286-316.</w:t>
      </w:r>
    </w:p>
    <w:p w14:paraId="5A954123" w14:textId="77777777" w:rsidR="00303EFE" w:rsidRDefault="00303EFE" w:rsidP="00E858EF">
      <w:pPr>
        <w:tabs>
          <w:tab w:val="left" w:pos="220"/>
          <w:tab w:val="left" w:pos="720"/>
        </w:tabs>
        <w:suppressAutoHyphens/>
        <w:autoSpaceDE w:val="0"/>
        <w:autoSpaceDN w:val="0"/>
        <w:adjustRightInd w:val="0"/>
      </w:pPr>
    </w:p>
    <w:p w14:paraId="2AF0D506" w14:textId="77777777" w:rsidR="00303EFE" w:rsidRPr="00290D1B" w:rsidRDefault="00303EFE" w:rsidP="00E858EF">
      <w:pPr>
        <w:pStyle w:val="Default"/>
        <w:suppressAutoHyphens/>
        <w:spacing w:line="360" w:lineRule="auto"/>
        <w:jc w:val="both"/>
        <w:rPr>
          <w:lang w:val="en-US"/>
        </w:rPr>
      </w:pPr>
      <w:r w:rsidRPr="00F165F4">
        <w:t>Bosanquet, R.</w:t>
      </w:r>
      <w:r>
        <w:t xml:space="preserve"> </w:t>
      </w:r>
      <w:r w:rsidRPr="00F165F4">
        <w:t>C.</w:t>
      </w:r>
      <w:r>
        <w:t>,</w:t>
      </w:r>
      <w:r w:rsidRPr="00F165F4">
        <w:t xml:space="preserve"> Dawkins, R. M., Tod,</w:t>
      </w:r>
      <w:r>
        <w:t xml:space="preserve"> M. N</w:t>
      </w:r>
      <w:r w:rsidRPr="00F165F4">
        <w:t>.</w:t>
      </w:r>
      <w:r>
        <w:t>,</w:t>
      </w:r>
      <w:r w:rsidRPr="00F165F4">
        <w:t xml:space="preserve"> Duckworth, W. L. H. and Myres J. L.</w:t>
      </w:r>
      <w:r>
        <w:t>,</w:t>
      </w:r>
      <w:r w:rsidRPr="00F165F4">
        <w:rPr>
          <w:lang w:val="en-GB"/>
        </w:rPr>
        <w:t xml:space="preserve"> 1902-1903. </w:t>
      </w:r>
      <w:r w:rsidRPr="00F165F4">
        <w:t xml:space="preserve">Excavations at Palaikastro. II. </w:t>
      </w:r>
      <w:r>
        <w:rPr>
          <w:i/>
          <w:lang w:val="en-US"/>
        </w:rPr>
        <w:t>BSA</w:t>
      </w:r>
      <w:r w:rsidRPr="00F165F4">
        <w:rPr>
          <w:i/>
          <w:lang w:val="en-US"/>
        </w:rPr>
        <w:t xml:space="preserve"> </w:t>
      </w:r>
      <w:r w:rsidRPr="00C00F49">
        <w:rPr>
          <w:lang w:val="en-US"/>
        </w:rPr>
        <w:t>9</w:t>
      </w:r>
      <w:r w:rsidRPr="00290D1B">
        <w:rPr>
          <w:lang w:val="en-US"/>
        </w:rPr>
        <w:t>: 274-387.</w:t>
      </w:r>
    </w:p>
    <w:p w14:paraId="742923F0" w14:textId="77777777" w:rsidR="00303EFE" w:rsidRPr="00467720" w:rsidRDefault="00303EFE" w:rsidP="00E858EF">
      <w:pPr>
        <w:pStyle w:val="Default"/>
        <w:suppressAutoHyphens/>
        <w:spacing w:line="360" w:lineRule="auto"/>
        <w:jc w:val="both"/>
      </w:pPr>
    </w:p>
    <w:p w14:paraId="6954A971" w14:textId="77777777" w:rsidR="00303EFE" w:rsidRPr="00F165F4" w:rsidRDefault="00303EFE" w:rsidP="00E858EF">
      <w:pPr>
        <w:suppressAutoHyphens/>
        <w:autoSpaceDE w:val="0"/>
        <w:autoSpaceDN w:val="0"/>
        <w:adjustRightInd w:val="0"/>
      </w:pPr>
      <w:r w:rsidRPr="00AB55D4">
        <w:t>Bosanquet, R. C. and Dawkins R. M.</w:t>
      </w:r>
      <w:r>
        <w:t>,</w:t>
      </w:r>
      <w:r w:rsidRPr="00AB55D4">
        <w:t xml:space="preserve"> 1923</w:t>
      </w:r>
      <w:r>
        <w:rPr>
          <w:i/>
        </w:rPr>
        <w:t>.</w:t>
      </w:r>
      <w:r w:rsidRPr="00AB55D4">
        <w:rPr>
          <w:i/>
        </w:rPr>
        <w:t xml:space="preserve"> The Unpublished Objects from the Palaikastro Excavations 1902-1906</w:t>
      </w:r>
      <w:r w:rsidRPr="00AB55D4">
        <w:t>. Supplementary pap</w:t>
      </w:r>
      <w:r>
        <w:t>er, British School at Athens 1.</w:t>
      </w:r>
      <w:r w:rsidRPr="00AB55D4">
        <w:t> London: Macmillan &amp; Co.</w:t>
      </w:r>
    </w:p>
    <w:p w14:paraId="6FF54C9C" w14:textId="77777777" w:rsidR="00303EFE" w:rsidRPr="00467720" w:rsidRDefault="00303EFE" w:rsidP="00E858EF">
      <w:pPr>
        <w:tabs>
          <w:tab w:val="left" w:pos="220"/>
          <w:tab w:val="left" w:pos="720"/>
        </w:tabs>
        <w:suppressAutoHyphens/>
        <w:autoSpaceDE w:val="0"/>
        <w:autoSpaceDN w:val="0"/>
        <w:adjustRightInd w:val="0"/>
      </w:pPr>
    </w:p>
    <w:p w14:paraId="3088E07A" w14:textId="77777777" w:rsidR="00303EFE" w:rsidRPr="00467720" w:rsidRDefault="00303EFE" w:rsidP="00E858EF">
      <w:pPr>
        <w:tabs>
          <w:tab w:val="left" w:pos="220"/>
          <w:tab w:val="left" w:pos="720"/>
        </w:tabs>
        <w:suppressAutoHyphens/>
        <w:autoSpaceDE w:val="0"/>
        <w:autoSpaceDN w:val="0"/>
        <w:adjustRightInd w:val="0"/>
      </w:pPr>
      <w:r w:rsidRPr="00C740C3">
        <w:t>Boyd Hawes, H., Williams B. E., Saeger R. B.</w:t>
      </w:r>
      <w:r>
        <w:t xml:space="preserve"> and</w:t>
      </w:r>
      <w:r w:rsidRPr="00C740C3">
        <w:t xml:space="preserve"> Hall E. H.</w:t>
      </w:r>
      <w:r>
        <w:t>,</w:t>
      </w:r>
      <w:r w:rsidRPr="00C740C3">
        <w:t xml:space="preserve"> eds</w:t>
      </w:r>
      <w:r>
        <w:t>.</w:t>
      </w:r>
      <w:r w:rsidRPr="00C740C3">
        <w:t xml:space="preserve"> 1908. </w:t>
      </w:r>
      <w:r w:rsidRPr="004E3707">
        <w:rPr>
          <w:i/>
        </w:rPr>
        <w:t>Gournia, Vasiliki and other Prehistoric Sites on t</w:t>
      </w:r>
      <w:r w:rsidRPr="00755235">
        <w:rPr>
          <w:i/>
        </w:rPr>
        <w:t xml:space="preserve">he Isthmus </w:t>
      </w:r>
      <w:r w:rsidRPr="00A10A3D">
        <w:rPr>
          <w:i/>
        </w:rPr>
        <w:t>of Ierapetra, Crete</w:t>
      </w:r>
      <w:r w:rsidRPr="00A10A3D">
        <w:t>. Philadelphia: The American Exploration Society Free Museum of Science and Art.</w:t>
      </w:r>
    </w:p>
    <w:p w14:paraId="0E188011" w14:textId="77777777" w:rsidR="00303EFE" w:rsidRPr="00467720" w:rsidRDefault="00303EFE" w:rsidP="00E858EF">
      <w:pPr>
        <w:suppressAutoHyphens/>
      </w:pPr>
    </w:p>
    <w:p w14:paraId="5CF5B430" w14:textId="77777777"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pPr>
      <w:r w:rsidRPr="00AB55D4">
        <w:rPr>
          <w:color w:val="000000"/>
        </w:rPr>
        <w:t>Boyd, M. J.</w:t>
      </w:r>
      <w:r>
        <w:rPr>
          <w:color w:val="000000"/>
        </w:rPr>
        <w:t>,</w:t>
      </w:r>
      <w:r w:rsidRPr="00AB55D4">
        <w:rPr>
          <w:color w:val="000000"/>
        </w:rPr>
        <w:t xml:space="preserve"> 2014.</w:t>
      </w:r>
      <w:r w:rsidRPr="00AB55D4">
        <w:t xml:space="preserve"> The materiality of performance in Mycenaean funerary practices</w:t>
      </w:r>
      <w:r>
        <w:t>.</w:t>
      </w:r>
      <w:r w:rsidRPr="00AB55D4">
        <w:t xml:space="preserve"> </w:t>
      </w:r>
      <w:r w:rsidRPr="00AB55D4">
        <w:rPr>
          <w:i/>
        </w:rPr>
        <w:t xml:space="preserve">World Archaeology </w:t>
      </w:r>
      <w:r w:rsidRPr="00BA2849">
        <w:t>46</w:t>
      </w:r>
      <w:r w:rsidRPr="00AB55D4">
        <w:t>: 192-205.</w:t>
      </w:r>
    </w:p>
    <w:p w14:paraId="590E6F20" w14:textId="77777777"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pPr>
    </w:p>
    <w:p w14:paraId="19CA08BA" w14:textId="77777777" w:rsidR="00303EFE" w:rsidRDefault="00303EFE" w:rsidP="00E858EF">
      <w:pPr>
        <w:suppressAutoHyphens/>
        <w:spacing w:before="120"/>
        <w:rPr>
          <w:color w:val="000000" w:themeColor="text1"/>
        </w:rPr>
      </w:pPr>
      <w:r w:rsidRPr="00F516CE">
        <w:rPr>
          <w:color w:val="000000" w:themeColor="text1"/>
        </w:rPr>
        <w:t xml:space="preserve">Boyd, M. </w:t>
      </w:r>
      <w:r>
        <w:rPr>
          <w:color w:val="000000" w:themeColor="text1"/>
        </w:rPr>
        <w:t xml:space="preserve">J., </w:t>
      </w:r>
      <w:r w:rsidRPr="00F516CE">
        <w:rPr>
          <w:color w:val="000000" w:themeColor="text1"/>
        </w:rPr>
        <w:t>2015</w:t>
      </w:r>
      <w:r>
        <w:rPr>
          <w:color w:val="000000" w:themeColor="text1"/>
        </w:rPr>
        <w:t>.</w:t>
      </w:r>
      <w:r w:rsidRPr="00F516CE">
        <w:rPr>
          <w:color w:val="000000" w:themeColor="text1"/>
        </w:rPr>
        <w:t xml:space="preserve"> Becoming Mycenaean? The </w:t>
      </w:r>
      <w:r>
        <w:rPr>
          <w:color w:val="000000" w:themeColor="text1"/>
        </w:rPr>
        <w:t>l</w:t>
      </w:r>
      <w:r w:rsidRPr="00F516CE">
        <w:rPr>
          <w:color w:val="000000" w:themeColor="text1"/>
        </w:rPr>
        <w:t xml:space="preserve">iving, the </w:t>
      </w:r>
      <w:r>
        <w:rPr>
          <w:color w:val="000000" w:themeColor="text1"/>
        </w:rPr>
        <w:t>d</w:t>
      </w:r>
      <w:r w:rsidRPr="00F516CE">
        <w:rPr>
          <w:color w:val="000000" w:themeColor="text1"/>
        </w:rPr>
        <w:t xml:space="preserve">ead, and the </w:t>
      </w:r>
      <w:r>
        <w:rPr>
          <w:color w:val="000000" w:themeColor="text1"/>
        </w:rPr>
        <w:t>a</w:t>
      </w:r>
      <w:r w:rsidRPr="00F516CE">
        <w:rPr>
          <w:color w:val="000000" w:themeColor="text1"/>
        </w:rPr>
        <w:t xml:space="preserve">ncestors in the </w:t>
      </w:r>
      <w:r>
        <w:rPr>
          <w:color w:val="000000" w:themeColor="text1"/>
        </w:rPr>
        <w:t>t</w:t>
      </w:r>
      <w:r w:rsidRPr="00F516CE">
        <w:rPr>
          <w:color w:val="000000" w:themeColor="text1"/>
        </w:rPr>
        <w:t xml:space="preserve">ransformation of </w:t>
      </w:r>
      <w:r>
        <w:rPr>
          <w:color w:val="000000" w:themeColor="text1"/>
        </w:rPr>
        <w:t>s</w:t>
      </w:r>
      <w:r w:rsidRPr="00F516CE">
        <w:rPr>
          <w:color w:val="000000" w:themeColor="text1"/>
        </w:rPr>
        <w:t xml:space="preserve">ociety in </w:t>
      </w:r>
      <w:r>
        <w:rPr>
          <w:color w:val="000000" w:themeColor="text1"/>
        </w:rPr>
        <w:t>s</w:t>
      </w:r>
      <w:r w:rsidRPr="00F516CE">
        <w:rPr>
          <w:color w:val="000000" w:themeColor="text1"/>
        </w:rPr>
        <w:t xml:space="preserve">econd </w:t>
      </w:r>
      <w:r>
        <w:rPr>
          <w:color w:val="000000" w:themeColor="text1"/>
        </w:rPr>
        <w:t>m</w:t>
      </w:r>
      <w:r w:rsidRPr="00F516CE">
        <w:rPr>
          <w:color w:val="000000" w:themeColor="text1"/>
        </w:rPr>
        <w:t xml:space="preserve">illennium BC </w:t>
      </w:r>
      <w:r>
        <w:rPr>
          <w:color w:val="000000" w:themeColor="text1"/>
        </w:rPr>
        <w:t>s</w:t>
      </w:r>
      <w:r w:rsidRPr="00F516CE">
        <w:rPr>
          <w:color w:val="000000" w:themeColor="text1"/>
        </w:rPr>
        <w:t>outhern G</w:t>
      </w:r>
      <w:r>
        <w:rPr>
          <w:color w:val="000000" w:themeColor="text1"/>
        </w:rPr>
        <w:t>reece. In: C. Renfrew, M. Boyd and I. Morley, eds.</w:t>
      </w:r>
      <w:r w:rsidRPr="00F516CE">
        <w:rPr>
          <w:color w:val="000000" w:themeColor="text1"/>
        </w:rPr>
        <w:t xml:space="preserve"> </w:t>
      </w:r>
      <w:r w:rsidRPr="00F516CE">
        <w:rPr>
          <w:i/>
          <w:iCs/>
          <w:color w:val="000000" w:themeColor="text1"/>
        </w:rPr>
        <w:t xml:space="preserve">Death Rituals, Social Order and the Archaeology of Immortality in the Ancient World: </w:t>
      </w:r>
      <w:r>
        <w:rPr>
          <w:i/>
          <w:iCs/>
          <w:color w:val="000000" w:themeColor="text1"/>
        </w:rPr>
        <w:t>‘</w:t>
      </w:r>
      <w:r w:rsidRPr="00F516CE">
        <w:rPr>
          <w:i/>
          <w:iCs/>
          <w:color w:val="000000" w:themeColor="text1"/>
        </w:rPr>
        <w:t>Death Shall Have No Dominion</w:t>
      </w:r>
      <w:r>
        <w:rPr>
          <w:i/>
          <w:iCs/>
          <w:color w:val="000000" w:themeColor="text1"/>
        </w:rPr>
        <w:t>’</w:t>
      </w:r>
      <w:r>
        <w:rPr>
          <w:color w:val="000000" w:themeColor="text1"/>
        </w:rPr>
        <w:t>: 187-199</w:t>
      </w:r>
      <w:r w:rsidRPr="00F516CE">
        <w:rPr>
          <w:color w:val="000000" w:themeColor="text1"/>
        </w:rPr>
        <w:t>. Cambridg</w:t>
      </w:r>
      <w:r>
        <w:rPr>
          <w:color w:val="000000" w:themeColor="text1"/>
        </w:rPr>
        <w:t xml:space="preserve">e: Cambridge University Press. </w:t>
      </w:r>
    </w:p>
    <w:p w14:paraId="76BD82D6" w14:textId="77777777"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pPr>
    </w:p>
    <w:p w14:paraId="5F513F94" w14:textId="77777777" w:rsidR="00303EFE" w:rsidRDefault="00303EFE" w:rsidP="00E858EF">
      <w:pPr>
        <w:suppressAutoHyphens/>
      </w:pPr>
      <w:r w:rsidRPr="00AB55D4">
        <w:t>Boyd, M. J. and Dakouri-Hild, A.</w:t>
      </w:r>
      <w:r>
        <w:t>,</w:t>
      </w:r>
      <w:r w:rsidRPr="00AB55D4">
        <w:t xml:space="preserve"> 2016</w:t>
      </w:r>
      <w:r>
        <w:t>.</w:t>
      </w:r>
      <w:r w:rsidRPr="00AB55D4">
        <w:t xml:space="preserve"> Staging </w:t>
      </w:r>
      <w:r>
        <w:t>d</w:t>
      </w:r>
      <w:r w:rsidRPr="00AB55D4">
        <w:t xml:space="preserve">eath: an </w:t>
      </w:r>
      <w:r>
        <w:t>i</w:t>
      </w:r>
      <w:r w:rsidRPr="00AB55D4">
        <w:t>ntroduction. In</w:t>
      </w:r>
      <w:r>
        <w:t>:</w:t>
      </w:r>
      <w:r w:rsidRPr="00AB55D4">
        <w:t xml:space="preserve"> A. Dakouri-Hild and M. J. Boyd</w:t>
      </w:r>
      <w:r>
        <w:t>,</w:t>
      </w:r>
      <w:r w:rsidRPr="00AB55D4">
        <w:t xml:space="preserve"> eds</w:t>
      </w:r>
      <w:r>
        <w:t>.</w:t>
      </w:r>
      <w:r w:rsidRPr="00AB55D4">
        <w:t xml:space="preserve"> </w:t>
      </w:r>
      <w:r w:rsidRPr="00AB55D4">
        <w:rPr>
          <w:i/>
        </w:rPr>
        <w:t>Staging Death Funerary Performance, Architecture and Landscape in the Aegean</w:t>
      </w:r>
      <w:r w:rsidRPr="00AB55D4">
        <w:t>: 1-11. Berlin: De Gruyter.</w:t>
      </w:r>
    </w:p>
    <w:p w14:paraId="4B010A13" w14:textId="77777777" w:rsidR="00303EFE" w:rsidRDefault="00303EFE" w:rsidP="00E858EF">
      <w:pPr>
        <w:suppressAutoHyphens/>
      </w:pPr>
    </w:p>
    <w:p w14:paraId="01EC57AB" w14:textId="77777777" w:rsidR="00303EFE" w:rsidRPr="00F21AB0" w:rsidRDefault="00303EFE" w:rsidP="00E858EF">
      <w:pPr>
        <w:suppressAutoHyphens/>
        <w:autoSpaceDE w:val="0"/>
        <w:autoSpaceDN w:val="0"/>
        <w:adjustRightInd w:val="0"/>
      </w:pPr>
      <w:r w:rsidRPr="00BB79CE">
        <w:t>Boyd, M.</w:t>
      </w:r>
      <w:r>
        <w:t xml:space="preserve"> </w:t>
      </w:r>
      <w:r w:rsidRPr="00BB79CE">
        <w:t>J.</w:t>
      </w:r>
      <w:r>
        <w:t>,</w:t>
      </w:r>
      <w:r w:rsidRPr="00BB79CE">
        <w:t xml:space="preserve"> 2016. Destruction and other material acts of transformation in Mycenaean funerary practice</w:t>
      </w:r>
      <w:r>
        <w:t>. In: K. Harrell and J. Driessen,</w:t>
      </w:r>
      <w:r w:rsidRPr="00BB79CE">
        <w:t xml:space="preserve"> </w:t>
      </w:r>
      <w:r w:rsidRPr="00290D1B">
        <w:rPr>
          <w:i/>
        </w:rPr>
        <w:t>Thravsma</w:t>
      </w:r>
      <w:r>
        <w:rPr>
          <w:i/>
        </w:rPr>
        <w:t>:</w:t>
      </w:r>
      <w:r w:rsidRPr="00BB79CE">
        <w:t xml:space="preserve"> </w:t>
      </w:r>
      <w:r w:rsidRPr="00A67D51">
        <w:rPr>
          <w:i/>
        </w:rPr>
        <w:t>Contextualising the Intentional Destruction of Objects in the Bronze Age Aegean and Cyprus.</w:t>
      </w:r>
      <w:r>
        <w:t xml:space="preserve"> Aegis, Actes de Colloques, 9:</w:t>
      </w:r>
      <w:r w:rsidRPr="00BB79CE">
        <w:t>155-165.</w:t>
      </w:r>
      <w:r>
        <w:t xml:space="preserve"> </w:t>
      </w:r>
      <w:r w:rsidRPr="00F21AB0">
        <w:t>Louvain-La-</w:t>
      </w:r>
      <w:r>
        <w:t>Neuve</w:t>
      </w:r>
      <w:r w:rsidRPr="00F21AB0">
        <w:t>: Presses universitaires de Louvain</w:t>
      </w:r>
      <w:r>
        <w:t>.</w:t>
      </w:r>
    </w:p>
    <w:p w14:paraId="62EBE9A6" w14:textId="77777777" w:rsidR="00303EFE" w:rsidRPr="007F3911" w:rsidRDefault="00303EFE" w:rsidP="00E858EF">
      <w:pPr>
        <w:suppressAutoHyphens/>
      </w:pPr>
    </w:p>
    <w:p w14:paraId="0F6F7DCC" w14:textId="77777777" w:rsidR="00303EFE" w:rsidRDefault="00303EFE" w:rsidP="00E858EF">
      <w:pPr>
        <w:suppressAutoHyphens/>
        <w:autoSpaceDE w:val="0"/>
        <w:autoSpaceDN w:val="0"/>
        <w:adjustRightInd w:val="0"/>
      </w:pPr>
      <w:r w:rsidRPr="00AB55D4">
        <w:t>Branigan, K.</w:t>
      </w:r>
      <w:r>
        <w:t>,</w:t>
      </w:r>
      <w:r w:rsidRPr="00AB55D4">
        <w:t xml:space="preserve"> 1993. </w:t>
      </w:r>
      <w:r w:rsidRPr="00AB55D4">
        <w:rPr>
          <w:i/>
        </w:rPr>
        <w:t>Dancing with Death: Life and Death in Southern Crete c. 3000-2000BC</w:t>
      </w:r>
      <w:r w:rsidRPr="00AB55D4">
        <w:t>. Amsterdam: AM Hakkert.</w:t>
      </w:r>
    </w:p>
    <w:p w14:paraId="4339A239" w14:textId="77777777" w:rsidR="00303EFE" w:rsidRDefault="00303EFE" w:rsidP="00E858EF">
      <w:pPr>
        <w:suppressAutoHyphens/>
        <w:autoSpaceDE w:val="0"/>
        <w:autoSpaceDN w:val="0"/>
        <w:adjustRightInd w:val="0"/>
      </w:pPr>
    </w:p>
    <w:p w14:paraId="15113781" w14:textId="77777777" w:rsidR="00303EFE" w:rsidRPr="00A67D51" w:rsidRDefault="00303EFE" w:rsidP="00E858EF">
      <w:pPr>
        <w:suppressAutoHyphens/>
        <w:spacing w:before="120"/>
      </w:pPr>
      <w:r>
        <w:t>Briault, C., 2007</w:t>
      </w:r>
      <w:r w:rsidRPr="00F516CE">
        <w:t xml:space="preserve">. High fidelity or Chinese whispers? </w:t>
      </w:r>
      <w:r>
        <w:t>C</w:t>
      </w:r>
      <w:r w:rsidRPr="00F516CE">
        <w:t xml:space="preserve">ult symbols and ritual transmission in the Bronze Age Aegean. </w:t>
      </w:r>
      <w:r w:rsidRPr="00F516CE">
        <w:rPr>
          <w:rStyle w:val="Enfasicorsivo"/>
        </w:rPr>
        <w:t>Journal of Mediterranean Archaeology</w:t>
      </w:r>
      <w:r>
        <w:rPr>
          <w:rStyle w:val="Enfasicorsivo"/>
        </w:rPr>
        <w:t>,</w:t>
      </w:r>
      <w:r>
        <w:t xml:space="preserve"> 20 2: 239–265.</w:t>
      </w:r>
    </w:p>
    <w:p w14:paraId="508B1EB0" w14:textId="77777777" w:rsidR="00303EFE" w:rsidRPr="00467720" w:rsidRDefault="00303EFE" w:rsidP="00E858EF">
      <w:pPr>
        <w:suppressAutoHyphens/>
        <w:autoSpaceDE w:val="0"/>
        <w:autoSpaceDN w:val="0"/>
        <w:adjustRightInd w:val="0"/>
        <w:rPr>
          <w:i/>
        </w:rPr>
      </w:pPr>
    </w:p>
    <w:p w14:paraId="04252314"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B55D4">
        <w:rPr>
          <w:color w:val="000000"/>
        </w:rPr>
        <w:t>Brock, J. K.</w:t>
      </w:r>
      <w:r>
        <w:rPr>
          <w:color w:val="000000"/>
        </w:rPr>
        <w:t>,</w:t>
      </w:r>
      <w:r w:rsidRPr="00AB55D4">
        <w:rPr>
          <w:color w:val="000000"/>
        </w:rPr>
        <w:t xml:space="preserve"> 1957. </w:t>
      </w:r>
      <w:r w:rsidRPr="00A67D51">
        <w:rPr>
          <w:i/>
          <w:color w:val="000000"/>
        </w:rPr>
        <w:t xml:space="preserve">Fortetsa: </w:t>
      </w:r>
      <w:r>
        <w:rPr>
          <w:i/>
          <w:color w:val="000000"/>
        </w:rPr>
        <w:t>E</w:t>
      </w:r>
      <w:r w:rsidRPr="00A67D51">
        <w:rPr>
          <w:i/>
          <w:color w:val="000000"/>
        </w:rPr>
        <w:t xml:space="preserve">arly Greek </w:t>
      </w:r>
      <w:r>
        <w:rPr>
          <w:i/>
          <w:color w:val="000000"/>
        </w:rPr>
        <w:t>T</w:t>
      </w:r>
      <w:r w:rsidRPr="00A67D51">
        <w:rPr>
          <w:i/>
          <w:color w:val="000000"/>
        </w:rPr>
        <w:t>ombs near Knossos</w:t>
      </w:r>
      <w:r>
        <w:rPr>
          <w:color w:val="000000"/>
        </w:rPr>
        <w:t xml:space="preserve">. </w:t>
      </w:r>
      <w:r w:rsidRPr="00AB55D4">
        <w:rPr>
          <w:color w:val="000000"/>
        </w:rPr>
        <w:t>Cambridge: University Press.</w:t>
      </w:r>
    </w:p>
    <w:p w14:paraId="1FBF6147"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0C039E50" w14:textId="77777777" w:rsidR="00303EFE" w:rsidRPr="00595A63" w:rsidRDefault="00303EFE" w:rsidP="00E858EF">
      <w:pPr>
        <w:suppressAutoHyphens/>
        <w:rPr>
          <w:color w:val="000000"/>
        </w:rPr>
      </w:pPr>
      <w:r w:rsidRPr="00595A63">
        <w:t>Brysbaert, A.</w:t>
      </w:r>
      <w:r>
        <w:t>, 2008</w:t>
      </w:r>
      <w:r w:rsidRPr="00595A63">
        <w:t xml:space="preserve"> </w:t>
      </w:r>
      <w:r w:rsidRPr="00595A63">
        <w:rPr>
          <w:color w:val="000000"/>
        </w:rPr>
        <w:t>Painted plaster from Bronze Age Thebes, Boeotia (Greece): a technological study.</w:t>
      </w:r>
      <w:r w:rsidRPr="00595A63">
        <w:t xml:space="preserve"> </w:t>
      </w:r>
      <w:r w:rsidRPr="00595A63">
        <w:rPr>
          <w:i/>
          <w:color w:val="000000"/>
        </w:rPr>
        <w:t>Journal of Archaeological Science</w:t>
      </w:r>
      <w:r>
        <w:rPr>
          <w:color w:val="000000"/>
        </w:rPr>
        <w:t>,</w:t>
      </w:r>
      <w:r w:rsidRPr="00595A63">
        <w:rPr>
          <w:i/>
          <w:color w:val="000000"/>
        </w:rPr>
        <w:t xml:space="preserve"> </w:t>
      </w:r>
      <w:r w:rsidRPr="00290D1B">
        <w:rPr>
          <w:color w:val="000000"/>
        </w:rPr>
        <w:t>35</w:t>
      </w:r>
      <w:r w:rsidRPr="00595A63">
        <w:rPr>
          <w:color w:val="000000"/>
        </w:rPr>
        <w:t>: 2761–2769.</w:t>
      </w:r>
    </w:p>
    <w:p w14:paraId="01DD1B6A"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1A715567" w14:textId="77777777" w:rsidR="00303EFE" w:rsidRDefault="00303EFE" w:rsidP="00E858EF">
      <w:pPr>
        <w:suppressAutoHyphens/>
      </w:pPr>
      <w:r w:rsidRPr="00AB55D4">
        <w:t>Burke, B.</w:t>
      </w:r>
      <w:r>
        <w:t>,</w:t>
      </w:r>
      <w:r w:rsidRPr="00AB55D4">
        <w:t xml:space="preserve"> 2005. Materialization of Mycenaean </w:t>
      </w:r>
      <w:r>
        <w:t>i</w:t>
      </w:r>
      <w:r w:rsidRPr="00AB55D4">
        <w:t>deology and the Ayia Triada Sarcophagus</w:t>
      </w:r>
      <w:r>
        <w:t>.</w:t>
      </w:r>
      <w:r w:rsidRPr="00AB55D4">
        <w:t xml:space="preserve"> </w:t>
      </w:r>
      <w:r>
        <w:rPr>
          <w:i/>
          <w:iCs/>
        </w:rPr>
        <w:t>AJA</w:t>
      </w:r>
      <w:r w:rsidRPr="00AB55D4">
        <w:rPr>
          <w:i/>
        </w:rPr>
        <w:t xml:space="preserve"> 109</w:t>
      </w:r>
      <w:r w:rsidRPr="00AB55D4">
        <w:t>: 403-422.</w:t>
      </w:r>
    </w:p>
    <w:p w14:paraId="08E60420" w14:textId="77777777" w:rsidR="00303EFE" w:rsidRPr="00467720" w:rsidRDefault="00303EFE" w:rsidP="00E858EF">
      <w:pPr>
        <w:suppressAutoHyphens/>
      </w:pPr>
    </w:p>
    <w:p w14:paraId="7B38F07A" w14:textId="77777777" w:rsidR="00303EFE" w:rsidRDefault="00303EFE" w:rsidP="00E858EF">
      <w:pPr>
        <w:suppressAutoHyphens/>
        <w:autoSpaceDE w:val="0"/>
        <w:autoSpaceDN w:val="0"/>
        <w:adjustRightInd w:val="0"/>
        <w:rPr>
          <w:i/>
        </w:rPr>
      </w:pPr>
      <w:r w:rsidRPr="00AB55D4">
        <w:t>Catling, H.</w:t>
      </w:r>
      <w:r>
        <w:t xml:space="preserve"> </w:t>
      </w:r>
      <w:r w:rsidRPr="00AB55D4">
        <w:t>W.</w:t>
      </w:r>
      <w:r>
        <w:t>,</w:t>
      </w:r>
      <w:r w:rsidRPr="00AB55D4">
        <w:t xml:space="preserve"> 1996. The Subminoan phase in </w:t>
      </w:r>
      <w:r>
        <w:t>t</w:t>
      </w:r>
      <w:r w:rsidRPr="00AB55D4">
        <w:t>he North Cemetery. In</w:t>
      </w:r>
      <w:r>
        <w:t>:</w:t>
      </w:r>
      <w:r w:rsidRPr="00AB55D4">
        <w:t xml:space="preserve"> N. Coldstream and H. Catling</w:t>
      </w:r>
      <w:r>
        <w:t>,</w:t>
      </w:r>
      <w:r w:rsidRPr="00AB55D4">
        <w:t xml:space="preserve"> eds. </w:t>
      </w:r>
      <w:r w:rsidRPr="00AB55D4">
        <w:rPr>
          <w:i/>
        </w:rPr>
        <w:t xml:space="preserve">Knossos North Cemetery: Early Greek Tombs, </w:t>
      </w:r>
      <w:r>
        <w:t xml:space="preserve">vol. </w:t>
      </w:r>
      <w:r w:rsidRPr="001A0D2F">
        <w:t>2</w:t>
      </w:r>
      <w:r w:rsidRPr="00290D1B">
        <w:t>: 639-649.</w:t>
      </w:r>
      <w:r w:rsidRPr="00AB55D4">
        <w:rPr>
          <w:i/>
        </w:rPr>
        <w:t xml:space="preserve"> </w:t>
      </w:r>
      <w:r w:rsidRPr="00A67D51">
        <w:t>London: British School at Athens.</w:t>
      </w:r>
    </w:p>
    <w:p w14:paraId="526E62A5" w14:textId="77777777" w:rsidR="00303EFE" w:rsidRDefault="00303EFE" w:rsidP="00E858EF">
      <w:pPr>
        <w:suppressAutoHyphens/>
        <w:autoSpaceDE w:val="0"/>
        <w:autoSpaceDN w:val="0"/>
        <w:adjustRightInd w:val="0"/>
        <w:rPr>
          <w:i/>
        </w:rPr>
      </w:pPr>
    </w:p>
    <w:p w14:paraId="6FCB2430" w14:textId="77777777" w:rsidR="00303EFE" w:rsidRDefault="00303EFE" w:rsidP="00E858EF">
      <w:pPr>
        <w:suppressAutoHyphens/>
        <w:autoSpaceDE w:val="0"/>
        <w:autoSpaceDN w:val="0"/>
        <w:adjustRightInd w:val="0"/>
      </w:pPr>
      <w:r w:rsidRPr="00CD01F4">
        <w:t>Cavanagh, W.</w:t>
      </w:r>
      <w:r>
        <w:t xml:space="preserve"> </w:t>
      </w:r>
      <w:r w:rsidRPr="00CD01F4">
        <w:t>G.</w:t>
      </w:r>
      <w:r>
        <w:t>,</w:t>
      </w:r>
      <w:r w:rsidRPr="00CD01F4">
        <w:t xml:space="preserve"> 1987. Cluster analysis of Mycenaean chamber tombs. In</w:t>
      </w:r>
      <w:r>
        <w:t>:</w:t>
      </w:r>
      <w:r w:rsidRPr="00CD01F4">
        <w:t xml:space="preserve"> R. Laffineur</w:t>
      </w:r>
      <w:r>
        <w:t>,</w:t>
      </w:r>
      <w:r w:rsidRPr="00CD01F4">
        <w:t xml:space="preserve"> ed. </w:t>
      </w:r>
      <w:r w:rsidRPr="00A67D51">
        <w:rPr>
          <w:i/>
        </w:rPr>
        <w:t>Thanatos: les coutumes funéraires en Egée à l'age du bronze</w:t>
      </w:r>
      <w:r>
        <w:t>.</w:t>
      </w:r>
      <w:r w:rsidRPr="00A67D51">
        <w:rPr>
          <w:i/>
        </w:rPr>
        <w:t xml:space="preserve"> </w:t>
      </w:r>
      <w:r w:rsidRPr="00290D1B">
        <w:t>Actes colloque de Liège, 21-23 avril 1986</w:t>
      </w:r>
      <w:r>
        <w:t>,</w:t>
      </w:r>
      <w:r w:rsidRPr="004D043B">
        <w:t> </w:t>
      </w:r>
      <w:r w:rsidRPr="00CD01F4">
        <w:t>Aegaeum 1: 161-169. Liège: Université de l'Etat, Histoire de l'art et archéologie de la Grèce antique.</w:t>
      </w:r>
    </w:p>
    <w:p w14:paraId="5F3833E1" w14:textId="77777777" w:rsidR="00303EFE" w:rsidRPr="00467720" w:rsidRDefault="00303EFE" w:rsidP="00E858EF">
      <w:pPr>
        <w:suppressAutoHyphens/>
        <w:autoSpaceDE w:val="0"/>
        <w:autoSpaceDN w:val="0"/>
        <w:adjustRightInd w:val="0"/>
        <w:rPr>
          <w:i/>
        </w:rPr>
      </w:pPr>
    </w:p>
    <w:p w14:paraId="0A2B350E" w14:textId="77777777" w:rsidR="00303EFE" w:rsidRDefault="00303EFE" w:rsidP="00E858EF">
      <w:pPr>
        <w:suppressAutoHyphens/>
        <w:autoSpaceDE w:val="0"/>
        <w:autoSpaceDN w:val="0"/>
        <w:adjustRightInd w:val="0"/>
        <w:rPr>
          <w:i/>
        </w:rPr>
      </w:pPr>
      <w:r w:rsidRPr="00AB55D4">
        <w:t>Cavanagh, W.</w:t>
      </w:r>
      <w:r>
        <w:t xml:space="preserve"> </w:t>
      </w:r>
      <w:r w:rsidRPr="00AB55D4">
        <w:t>G.</w:t>
      </w:r>
      <w:r>
        <w:t>,</w:t>
      </w:r>
      <w:r w:rsidRPr="00AB55D4">
        <w:t xml:space="preserve"> 1996. The burial customs. In</w:t>
      </w:r>
      <w:r>
        <w:t>:</w:t>
      </w:r>
      <w:r w:rsidRPr="00AB55D4">
        <w:t xml:space="preserve"> N. Coldstream and H. Catling</w:t>
      </w:r>
      <w:r>
        <w:t>,</w:t>
      </w:r>
      <w:r w:rsidRPr="00AB55D4">
        <w:t xml:space="preserve"> eds</w:t>
      </w:r>
      <w:r>
        <w:t>.</w:t>
      </w:r>
      <w:r w:rsidRPr="00AB55D4">
        <w:t xml:space="preserve"> </w:t>
      </w:r>
      <w:r w:rsidRPr="00AB55D4">
        <w:rPr>
          <w:i/>
        </w:rPr>
        <w:t>Knossos North Cemetery: Early Greek Tombs</w:t>
      </w:r>
      <w:r>
        <w:t>, vol. 2</w:t>
      </w:r>
      <w:r w:rsidRPr="00290D1B">
        <w:t>: 651-675</w:t>
      </w:r>
      <w:r w:rsidRPr="00AB55D4">
        <w:rPr>
          <w:i/>
        </w:rPr>
        <w:t xml:space="preserve">. </w:t>
      </w:r>
      <w:r w:rsidRPr="00A67D51">
        <w:t>London: British School at Athens</w:t>
      </w:r>
      <w:r w:rsidRPr="00AB55D4">
        <w:rPr>
          <w:i/>
        </w:rPr>
        <w:t>.</w:t>
      </w:r>
    </w:p>
    <w:p w14:paraId="369F064B" w14:textId="77777777" w:rsidR="00303EFE" w:rsidRDefault="00303EFE" w:rsidP="00E858EF">
      <w:pPr>
        <w:suppressAutoHyphens/>
        <w:rPr>
          <w:color w:val="000000"/>
        </w:rPr>
      </w:pPr>
    </w:p>
    <w:p w14:paraId="0DC14B88" w14:textId="77777777" w:rsidR="00303EFE" w:rsidRPr="00A67D51" w:rsidRDefault="00303EFE" w:rsidP="00E858EF">
      <w:pPr>
        <w:suppressAutoHyphens/>
      </w:pPr>
      <w:r>
        <w:rPr>
          <w:color w:val="000000"/>
        </w:rPr>
        <w:t xml:space="preserve">Cavanagh, W. G. and Mee, C., 1998. </w:t>
      </w:r>
      <w:r w:rsidRPr="00A67D51">
        <w:rPr>
          <w:i/>
          <w:color w:val="000000"/>
        </w:rPr>
        <w:t xml:space="preserve">A Private Place: Death </w:t>
      </w:r>
      <w:r>
        <w:rPr>
          <w:i/>
          <w:color w:val="000000"/>
        </w:rPr>
        <w:t xml:space="preserve">in </w:t>
      </w:r>
      <w:r w:rsidRPr="00A67D51">
        <w:rPr>
          <w:i/>
          <w:color w:val="000000"/>
        </w:rPr>
        <w:t>Prehistoric Greece</w:t>
      </w:r>
      <w:r>
        <w:rPr>
          <w:color w:val="000000"/>
        </w:rPr>
        <w:t xml:space="preserve">. </w:t>
      </w:r>
      <w:r>
        <w:t>SIMA 125</w:t>
      </w:r>
      <w:r w:rsidRPr="007F66CB">
        <w:t>. Göteborg: Åströms</w:t>
      </w:r>
      <w:r>
        <w:t>.</w:t>
      </w:r>
    </w:p>
    <w:p w14:paraId="4B7B638B" w14:textId="77777777" w:rsidR="00303EFE" w:rsidRPr="00AB55D4" w:rsidRDefault="00303EFE" w:rsidP="00E858EF">
      <w:pPr>
        <w:suppressAutoHyphens/>
        <w:autoSpaceDE w:val="0"/>
        <w:autoSpaceDN w:val="0"/>
        <w:adjustRightInd w:val="0"/>
        <w:rPr>
          <w:i/>
        </w:rPr>
      </w:pPr>
    </w:p>
    <w:p w14:paraId="57A69BBE"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lang w:val="el-GR"/>
        </w:rPr>
      </w:pPr>
      <w:r w:rsidRPr="00AB55D4">
        <w:rPr>
          <w:color w:val="000000"/>
        </w:rPr>
        <w:t>Chaniotis, A.</w:t>
      </w:r>
      <w:r>
        <w:rPr>
          <w:color w:val="000000"/>
        </w:rPr>
        <w:t>,</w:t>
      </w:r>
      <w:r w:rsidRPr="00AB55D4">
        <w:rPr>
          <w:color w:val="000000"/>
        </w:rPr>
        <w:t xml:space="preserve"> 1989.</w:t>
      </w:r>
      <w:r w:rsidRPr="00AB55D4">
        <w:rPr>
          <w:color w:val="000000"/>
          <w:lang w:val="el-GR"/>
        </w:rPr>
        <w:t xml:space="preserve"> Μινωικά ευρήματα απο τον Άγιο Μύρονα σε ενα τουρκικό έγγραφο. </w:t>
      </w:r>
      <w:r w:rsidRPr="00BA2849">
        <w:rPr>
          <w:i/>
          <w:color w:val="000000"/>
        </w:rPr>
        <w:t>KChr</w:t>
      </w:r>
      <w:r>
        <w:rPr>
          <w:color w:val="000000"/>
        </w:rPr>
        <w:t xml:space="preserve"> </w:t>
      </w:r>
      <w:r w:rsidRPr="00BA2849">
        <w:rPr>
          <w:lang w:val="el-GR"/>
        </w:rPr>
        <w:t>28</w:t>
      </w:r>
      <w:r w:rsidRPr="00290D1B">
        <w:rPr>
          <w:lang w:val="en-AU"/>
        </w:rPr>
        <w:t>:</w:t>
      </w:r>
      <w:r w:rsidRPr="00290D1B">
        <w:rPr>
          <w:lang w:val="el-GR"/>
        </w:rPr>
        <w:t xml:space="preserve"> 58-63.</w:t>
      </w:r>
    </w:p>
    <w:p w14:paraId="2DB1B678" w14:textId="77777777" w:rsidR="00303EFE" w:rsidRPr="00467720"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i/>
          <w:lang w:val="el-GR"/>
        </w:rPr>
      </w:pPr>
    </w:p>
    <w:p w14:paraId="15B1E965" w14:textId="77777777" w:rsidR="00303EFE" w:rsidRDefault="00303EFE" w:rsidP="00E858EF">
      <w:pPr>
        <w:suppressAutoHyphens/>
        <w:autoSpaceDE w:val="0"/>
        <w:autoSpaceDN w:val="0"/>
        <w:adjustRightInd w:val="0"/>
      </w:pPr>
      <w:r w:rsidRPr="00AB55D4">
        <w:rPr>
          <w:color w:val="000000"/>
        </w:rPr>
        <w:t>Cherry,</w:t>
      </w:r>
      <w:r>
        <w:rPr>
          <w:color w:val="000000"/>
        </w:rPr>
        <w:t xml:space="preserve"> </w:t>
      </w:r>
      <w:r w:rsidRPr="00AB55D4">
        <w:rPr>
          <w:color w:val="000000"/>
        </w:rPr>
        <w:t>J</w:t>
      </w:r>
      <w:r>
        <w:rPr>
          <w:color w:val="000000"/>
        </w:rPr>
        <w:t>.</w:t>
      </w:r>
      <w:r w:rsidRPr="00AB55D4">
        <w:rPr>
          <w:color w:val="000000"/>
        </w:rPr>
        <w:t xml:space="preserve"> </w:t>
      </w:r>
      <w:r>
        <w:rPr>
          <w:color w:val="000000"/>
        </w:rPr>
        <w:t xml:space="preserve">F., </w:t>
      </w:r>
      <w:r w:rsidRPr="00AB55D4">
        <w:rPr>
          <w:color w:val="000000"/>
        </w:rPr>
        <w:t xml:space="preserve">1983. </w:t>
      </w:r>
      <w:r w:rsidRPr="00AB55D4">
        <w:t>Polities and palaces: some problems in Minoan state formation. In</w:t>
      </w:r>
      <w:r>
        <w:t>:</w:t>
      </w:r>
      <w:r w:rsidRPr="00AB55D4">
        <w:t xml:space="preserve"> C. Renfrew and J. Cherry</w:t>
      </w:r>
      <w:r>
        <w:t>,</w:t>
      </w:r>
      <w:r w:rsidRPr="00AB55D4">
        <w:t xml:space="preserve"> eds</w:t>
      </w:r>
      <w:r>
        <w:t>.</w:t>
      </w:r>
      <w:r w:rsidRPr="00AB55D4">
        <w:t xml:space="preserve"> </w:t>
      </w:r>
      <w:r w:rsidRPr="00AB55D4">
        <w:rPr>
          <w:i/>
        </w:rPr>
        <w:t>Peer Polity Interaction and Socio-political Change</w:t>
      </w:r>
      <w:r w:rsidRPr="00AB55D4">
        <w:t>: 19-45. Cambridge: Cambridge University Press</w:t>
      </w:r>
      <w:r>
        <w:t>.</w:t>
      </w:r>
    </w:p>
    <w:p w14:paraId="65538C53" w14:textId="77777777" w:rsidR="00303EFE" w:rsidRDefault="00303EFE" w:rsidP="00E858EF">
      <w:pPr>
        <w:suppressAutoHyphens/>
        <w:autoSpaceDE w:val="0"/>
        <w:autoSpaceDN w:val="0"/>
        <w:adjustRightInd w:val="0"/>
      </w:pPr>
    </w:p>
    <w:p w14:paraId="513B34AD" w14:textId="77777777" w:rsidR="00303EFE" w:rsidRDefault="00303EFE" w:rsidP="00E858EF">
      <w:pPr>
        <w:suppressAutoHyphens/>
        <w:autoSpaceDE w:val="0"/>
        <w:autoSpaceDN w:val="0"/>
        <w:adjustRightInd w:val="0"/>
      </w:pPr>
      <w:r w:rsidRPr="00F516CE">
        <w:t>Cherry, J</w:t>
      </w:r>
      <w:r>
        <w:t>. F.,</w:t>
      </w:r>
      <w:r w:rsidRPr="00F516CE">
        <w:t xml:space="preserve"> 1992. Beazley in the Bronze Age? Reflections on attribution studies in</w:t>
      </w:r>
      <w:r>
        <w:t xml:space="preserve"> Aegean prehistory. I</w:t>
      </w:r>
      <w:r w:rsidRPr="00F516CE">
        <w:t>n</w:t>
      </w:r>
      <w:r>
        <w:t>:</w:t>
      </w:r>
      <w:r w:rsidRPr="00F516CE">
        <w:t xml:space="preserve"> R</w:t>
      </w:r>
      <w:r>
        <w:t>.</w:t>
      </w:r>
      <w:r w:rsidRPr="00F516CE">
        <w:t xml:space="preserve"> Laff</w:t>
      </w:r>
      <w:r>
        <w:t xml:space="preserve">ineur and J. Crowley, eds. </w:t>
      </w:r>
      <w:r w:rsidRPr="00A67D51">
        <w:rPr>
          <w:rFonts w:eastAsia="Arial Unicode MS"/>
          <w:i/>
        </w:rPr>
        <w:t>Ε</w:t>
      </w:r>
      <w:r>
        <w:rPr>
          <w:rFonts w:eastAsia="Arial Unicode MS"/>
          <w:i/>
          <w:lang w:val="el-GR"/>
        </w:rPr>
        <w:t>ΙΚΩΝ</w:t>
      </w:r>
      <w:r w:rsidRPr="00A67D51">
        <w:rPr>
          <w:i/>
        </w:rPr>
        <w:t>. Aegean Bronze Age Iconography: Shaping a Methodolog</w:t>
      </w:r>
      <w:r>
        <w:rPr>
          <w:i/>
        </w:rPr>
        <w:t>y</w:t>
      </w:r>
      <w:r>
        <w:rPr>
          <w:rFonts w:eastAsia="Arial Unicode MS"/>
        </w:rPr>
        <w:t xml:space="preserve">. </w:t>
      </w:r>
      <w:r w:rsidRPr="00290D1B">
        <w:rPr>
          <w:rFonts w:eastAsia="Arial Unicode MS"/>
        </w:rPr>
        <w:t>Proceedings of the 4th International Aegean Conference, University of Tasmania, Hobart, Australia, 6-9 April 199</w:t>
      </w:r>
      <w:r>
        <w:rPr>
          <w:rFonts w:eastAsia="Arial Unicode MS"/>
        </w:rPr>
        <w:t>2,</w:t>
      </w:r>
      <w:r w:rsidRPr="004D043B">
        <w:t xml:space="preserve"> </w:t>
      </w:r>
      <w:r>
        <w:t>Aegaeum 8:</w:t>
      </w:r>
      <w:r w:rsidRPr="00F516CE">
        <w:t xml:space="preserve"> 125-144. Belgium: Buteneers.</w:t>
      </w:r>
    </w:p>
    <w:p w14:paraId="6760B998" w14:textId="77777777" w:rsidR="00303EFE" w:rsidRDefault="00303EFE" w:rsidP="00E858EF">
      <w:pPr>
        <w:suppressAutoHyphens/>
        <w:autoSpaceDE w:val="0"/>
        <w:autoSpaceDN w:val="0"/>
        <w:adjustRightInd w:val="0"/>
      </w:pPr>
    </w:p>
    <w:p w14:paraId="04BCF9E1" w14:textId="011FC989" w:rsidR="00303EFE" w:rsidRDefault="00303EFE" w:rsidP="00E858EF">
      <w:pPr>
        <w:suppressAutoHyphens/>
        <w:rPr>
          <w:color w:val="000000"/>
        </w:rPr>
      </w:pPr>
      <w:r>
        <w:rPr>
          <w:color w:val="000000"/>
        </w:rPr>
        <w:t xml:space="preserve">Christakis, K., 2016. From potter’s mark to the potter who marks. </w:t>
      </w:r>
      <w:r w:rsidRPr="007F66CB">
        <w:rPr>
          <w:color w:val="000000"/>
        </w:rPr>
        <w:t>In</w:t>
      </w:r>
      <w:r>
        <w:rPr>
          <w:color w:val="000000"/>
        </w:rPr>
        <w:t>:</w:t>
      </w:r>
      <w:r w:rsidRPr="007F66CB">
        <w:rPr>
          <w:color w:val="000000"/>
        </w:rPr>
        <w:t xml:space="preserve"> M. Mina, S. Triantaphyllou and Y. </w:t>
      </w:r>
      <w:r w:rsidR="004A3CF1">
        <w:rPr>
          <w:color w:val="000000"/>
          <w:lang w:val="it-IT"/>
        </w:rPr>
        <w:t>Papadatos</w:t>
      </w:r>
      <w:r>
        <w:rPr>
          <w:color w:val="000000"/>
        </w:rPr>
        <w:t>,</w:t>
      </w:r>
      <w:r w:rsidRPr="007F66CB">
        <w:rPr>
          <w:color w:val="000000"/>
        </w:rPr>
        <w:t xml:space="preserve"> eds</w:t>
      </w:r>
      <w:r>
        <w:rPr>
          <w:color w:val="000000"/>
        </w:rPr>
        <w:t>.</w:t>
      </w:r>
      <w:r w:rsidRPr="007F66CB">
        <w:rPr>
          <w:color w:val="000000"/>
        </w:rPr>
        <w:t xml:space="preserve"> </w:t>
      </w:r>
      <w:r w:rsidRPr="007F66CB">
        <w:rPr>
          <w:i/>
          <w:color w:val="000000"/>
        </w:rPr>
        <w:t>An Archaeology of Prehistoric Bodies and Embodied Identities in the Ea</w:t>
      </w:r>
      <w:r>
        <w:rPr>
          <w:i/>
          <w:color w:val="000000"/>
        </w:rPr>
        <w:t>stern Mediterranean</w:t>
      </w:r>
      <w:r w:rsidRPr="006055A5">
        <w:rPr>
          <w:color w:val="000000"/>
        </w:rPr>
        <w:t>:</w:t>
      </w:r>
      <w:r>
        <w:rPr>
          <w:i/>
          <w:color w:val="000000"/>
        </w:rPr>
        <w:t xml:space="preserve"> </w:t>
      </w:r>
      <w:r w:rsidRPr="00E4348F">
        <w:rPr>
          <w:color w:val="000000"/>
        </w:rPr>
        <w:t>136-144</w:t>
      </w:r>
      <w:r w:rsidRPr="007F66CB">
        <w:rPr>
          <w:color w:val="000000"/>
        </w:rPr>
        <w:t>. Oxford: Oxbow.</w:t>
      </w:r>
    </w:p>
    <w:p w14:paraId="60CAD14D" w14:textId="77777777" w:rsidR="00303EFE" w:rsidRPr="00467720" w:rsidRDefault="00303EFE" w:rsidP="00E858EF">
      <w:pPr>
        <w:suppressAutoHyphens/>
        <w:autoSpaceDE w:val="0"/>
        <w:autoSpaceDN w:val="0"/>
        <w:adjustRightInd w:val="0"/>
      </w:pPr>
    </w:p>
    <w:p w14:paraId="5FCC6963" w14:textId="77777777" w:rsidR="00303EFE" w:rsidRPr="00290D1B" w:rsidRDefault="00303EFE" w:rsidP="00E858EF">
      <w:pPr>
        <w:suppressAutoHyphens/>
        <w:autoSpaceDE w:val="0"/>
        <w:autoSpaceDN w:val="0"/>
        <w:adjustRightInd w:val="0"/>
        <w:rPr>
          <w:lang w:val="en-US"/>
        </w:rPr>
      </w:pPr>
      <w:r w:rsidRPr="00AB55D4">
        <w:rPr>
          <w:color w:val="000000"/>
        </w:rPr>
        <w:t>Coldstream, J.</w:t>
      </w:r>
      <w:r>
        <w:rPr>
          <w:color w:val="000000"/>
        </w:rPr>
        <w:t xml:space="preserve"> </w:t>
      </w:r>
      <w:r w:rsidRPr="00AB55D4">
        <w:rPr>
          <w:color w:val="000000"/>
        </w:rPr>
        <w:t>N.</w:t>
      </w:r>
      <w:r>
        <w:rPr>
          <w:color w:val="000000"/>
        </w:rPr>
        <w:t>,</w:t>
      </w:r>
      <w:r w:rsidRPr="00AB55D4">
        <w:rPr>
          <w:color w:val="000000"/>
        </w:rPr>
        <w:t xml:space="preserve"> 1963</w:t>
      </w:r>
      <w:r>
        <w:rPr>
          <w:color w:val="000000"/>
        </w:rPr>
        <w:t>.</w:t>
      </w:r>
      <w:r w:rsidRPr="00AB55D4">
        <w:rPr>
          <w:color w:val="000000"/>
        </w:rPr>
        <w:t xml:space="preserve"> Five tomb at Knossos. </w:t>
      </w:r>
      <w:r>
        <w:rPr>
          <w:i/>
          <w:lang w:val="en-US"/>
        </w:rPr>
        <w:t>BSA</w:t>
      </w:r>
      <w:r w:rsidRPr="00AB55D4">
        <w:rPr>
          <w:i/>
          <w:lang w:val="en-US"/>
        </w:rPr>
        <w:t xml:space="preserve"> </w:t>
      </w:r>
      <w:r w:rsidRPr="00290D1B">
        <w:rPr>
          <w:lang w:val="en-US"/>
        </w:rPr>
        <w:t>58: 30-43.</w:t>
      </w:r>
    </w:p>
    <w:p w14:paraId="3FF3E2D1" w14:textId="77777777" w:rsidR="00303EFE" w:rsidRPr="00AB55D4" w:rsidRDefault="00303EFE" w:rsidP="00E858EF">
      <w:pPr>
        <w:suppressAutoHyphens/>
        <w:autoSpaceDE w:val="0"/>
        <w:autoSpaceDN w:val="0"/>
        <w:adjustRightInd w:val="0"/>
        <w:rPr>
          <w:color w:val="000000"/>
        </w:rPr>
      </w:pPr>
    </w:p>
    <w:p w14:paraId="0A513C54" w14:textId="77777777" w:rsidR="00303EFE" w:rsidRDefault="00303EFE" w:rsidP="00E858EF">
      <w:pPr>
        <w:suppressAutoHyphens/>
        <w:autoSpaceDE w:val="0"/>
        <w:autoSpaceDN w:val="0"/>
        <w:adjustRightInd w:val="0"/>
      </w:pPr>
      <w:r w:rsidRPr="00AB55D4">
        <w:t xml:space="preserve">Coldstream, </w:t>
      </w:r>
      <w:r>
        <w:t xml:space="preserve">J. </w:t>
      </w:r>
      <w:r w:rsidRPr="00AB55D4">
        <w:t>N. and Catling, H</w:t>
      </w:r>
      <w:r>
        <w:t>,</w:t>
      </w:r>
      <w:r w:rsidRPr="00AB55D4">
        <w:t xml:space="preserve"> eds</w:t>
      </w:r>
      <w:r>
        <w:t>.</w:t>
      </w:r>
      <w:r w:rsidRPr="00AB55D4">
        <w:t xml:space="preserve"> 1996. </w:t>
      </w:r>
      <w:r w:rsidRPr="00AB55D4">
        <w:rPr>
          <w:i/>
        </w:rPr>
        <w:t>Knossos North Cemetery: Early Greek Tombs</w:t>
      </w:r>
      <w:r>
        <w:t>, vol.</w:t>
      </w:r>
      <w:r w:rsidRPr="00AB55D4">
        <w:rPr>
          <w:i/>
        </w:rPr>
        <w:t xml:space="preserve"> </w:t>
      </w:r>
      <w:r>
        <w:t>1</w:t>
      </w:r>
      <w:r w:rsidRPr="00290D1B">
        <w:t>-</w:t>
      </w:r>
      <w:r>
        <w:t>4</w:t>
      </w:r>
      <w:r w:rsidRPr="00AB55D4">
        <w:t>. London: British School at Athens.</w:t>
      </w:r>
    </w:p>
    <w:p w14:paraId="6984122B" w14:textId="77777777" w:rsidR="00303EFE" w:rsidRPr="00467720" w:rsidRDefault="00303EFE" w:rsidP="00E858EF">
      <w:pPr>
        <w:suppressAutoHyphens/>
        <w:autoSpaceDE w:val="0"/>
        <w:autoSpaceDN w:val="0"/>
        <w:adjustRightInd w:val="0"/>
      </w:pPr>
    </w:p>
    <w:p w14:paraId="0AB9E98B" w14:textId="77777777" w:rsidR="00303EFE" w:rsidRDefault="00303EFE" w:rsidP="00E858EF">
      <w:pPr>
        <w:suppressAutoHyphens/>
      </w:pPr>
      <w:r w:rsidRPr="00AB55D4">
        <w:t>Coulson, W. D. E., Day, L. P. and Gesell, G. C.</w:t>
      </w:r>
      <w:r>
        <w:t>,</w:t>
      </w:r>
      <w:r w:rsidRPr="00AB55D4">
        <w:t xml:space="preserve"> 1983. Excavations and Survey at Kavousi 1978-1981. </w:t>
      </w:r>
      <w:r w:rsidRPr="00A67D51">
        <w:rPr>
          <w:i/>
        </w:rPr>
        <w:t xml:space="preserve">Hesperia </w:t>
      </w:r>
      <w:r w:rsidRPr="00BA2849">
        <w:t>52</w:t>
      </w:r>
      <w:r w:rsidRPr="00AB55D4">
        <w:t>: 389-420.</w:t>
      </w:r>
    </w:p>
    <w:p w14:paraId="19413EE2" w14:textId="77777777" w:rsidR="00303EFE" w:rsidRPr="00467720" w:rsidRDefault="00303EFE" w:rsidP="00E858EF">
      <w:pPr>
        <w:suppressAutoHyphens/>
      </w:pPr>
    </w:p>
    <w:p w14:paraId="77161F38" w14:textId="77777777" w:rsidR="00303EFE" w:rsidRDefault="00303EFE" w:rsidP="00E858EF">
      <w:pPr>
        <w:suppressAutoHyphens/>
        <w:autoSpaceDE w:val="0"/>
        <w:autoSpaceDN w:val="0"/>
        <w:adjustRightInd w:val="0"/>
      </w:pPr>
      <w:r w:rsidRPr="00AB55D4">
        <w:rPr>
          <w:color w:val="000000"/>
        </w:rPr>
        <w:t>Crowley, J. and Morris, C.</w:t>
      </w:r>
      <w:r>
        <w:rPr>
          <w:color w:val="000000"/>
        </w:rPr>
        <w:t>,</w:t>
      </w:r>
      <w:r w:rsidRPr="00AB55D4">
        <w:rPr>
          <w:color w:val="000000"/>
        </w:rPr>
        <w:t xml:space="preserve"> 1995. </w:t>
      </w:r>
      <w:r w:rsidRPr="00AB55D4">
        <w:t xml:space="preserve">Pictorial </w:t>
      </w:r>
      <w:r>
        <w:t>p</w:t>
      </w:r>
      <w:r w:rsidRPr="00AB55D4">
        <w:t xml:space="preserve">ottery of Late Minoan II-IIIA2 </w:t>
      </w:r>
      <w:r>
        <w:t>e</w:t>
      </w:r>
      <w:r w:rsidRPr="00AB55D4">
        <w:t xml:space="preserve">arly from Knossos. </w:t>
      </w:r>
      <w:r>
        <w:rPr>
          <w:i/>
          <w:lang w:val="en-US"/>
        </w:rPr>
        <w:t>BSA</w:t>
      </w:r>
      <w:r w:rsidRPr="00AB55D4">
        <w:t xml:space="preserve"> 90: 157-182.</w:t>
      </w:r>
    </w:p>
    <w:p w14:paraId="26B88D40" w14:textId="77777777" w:rsidR="00303EFE" w:rsidRPr="00467720" w:rsidRDefault="00303EFE" w:rsidP="00E858EF">
      <w:pPr>
        <w:suppressAutoHyphens/>
        <w:autoSpaceDE w:val="0"/>
        <w:autoSpaceDN w:val="0"/>
        <w:adjustRightInd w:val="0"/>
      </w:pPr>
    </w:p>
    <w:p w14:paraId="110F84EE"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lang w:eastAsia="en-US"/>
        </w:rPr>
      </w:pPr>
      <w:r w:rsidRPr="00AB55D4">
        <w:rPr>
          <w:lang w:eastAsia="en-US"/>
        </w:rPr>
        <w:t>Cucuzza, N.</w:t>
      </w:r>
      <w:r>
        <w:rPr>
          <w:lang w:eastAsia="en-US"/>
        </w:rPr>
        <w:t>,</w:t>
      </w:r>
      <w:r w:rsidRPr="00AB55D4">
        <w:rPr>
          <w:lang w:eastAsia="en-US"/>
        </w:rPr>
        <w:t xml:space="preserve"> 2002</w:t>
      </w:r>
      <w:r>
        <w:rPr>
          <w:lang w:eastAsia="en-US"/>
        </w:rPr>
        <w:t>.</w:t>
      </w:r>
      <w:r w:rsidRPr="00AB55D4">
        <w:rPr>
          <w:lang w:eastAsia="en-US"/>
        </w:rPr>
        <w:t xml:space="preserve"> Osservazioni sui costumi funerari dell’area di Festòs ed Haghia Triada nel TM IIIA1-A2 iniziale</w:t>
      </w:r>
      <w:r>
        <w:rPr>
          <w:lang w:eastAsia="en-US"/>
        </w:rPr>
        <w:t>.</w:t>
      </w:r>
      <w:r w:rsidRPr="00AB55D4">
        <w:rPr>
          <w:lang w:eastAsia="en-US"/>
        </w:rPr>
        <w:t xml:space="preserve"> </w:t>
      </w:r>
      <w:r w:rsidRPr="00AB55D4">
        <w:rPr>
          <w:i/>
          <w:lang w:eastAsia="en-US"/>
        </w:rPr>
        <w:t>Creta Antica</w:t>
      </w:r>
      <w:r w:rsidRPr="00AB55D4">
        <w:rPr>
          <w:lang w:eastAsia="en-US"/>
        </w:rPr>
        <w:t xml:space="preserve"> 3: 133-166.</w:t>
      </w:r>
    </w:p>
    <w:p w14:paraId="1B6B462D" w14:textId="77777777" w:rsidR="00303EFE" w:rsidRPr="00467720"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lang w:eastAsia="en-US"/>
        </w:rPr>
      </w:pPr>
    </w:p>
    <w:p w14:paraId="7D6FEA29" w14:textId="77777777" w:rsidR="00303EFE" w:rsidRDefault="00303EFE" w:rsidP="00E858EF">
      <w:pPr>
        <w:suppressAutoHyphens/>
        <w:rPr>
          <w:lang w:eastAsia="en-US"/>
        </w:rPr>
      </w:pPr>
      <w:r w:rsidRPr="00AB55D4">
        <w:rPr>
          <w:color w:val="000000"/>
        </w:rPr>
        <w:t>Cucuzza, N.</w:t>
      </w:r>
      <w:r>
        <w:rPr>
          <w:color w:val="000000"/>
        </w:rPr>
        <w:t>,</w:t>
      </w:r>
      <w:r w:rsidRPr="00AB55D4">
        <w:rPr>
          <w:color w:val="000000"/>
        </w:rPr>
        <w:t xml:space="preserve"> 2003. </w:t>
      </w:r>
      <w:r w:rsidRPr="00AB55D4">
        <w:rPr>
          <w:lang w:eastAsia="en-US"/>
        </w:rPr>
        <w:t>Il volo del grifo: Osservazioni sulla Haghia Triada «micenea»</w:t>
      </w:r>
      <w:r>
        <w:rPr>
          <w:lang w:eastAsia="en-US"/>
        </w:rPr>
        <w:t>.</w:t>
      </w:r>
      <w:r w:rsidRPr="00AB55D4">
        <w:rPr>
          <w:lang w:eastAsia="en-US"/>
        </w:rPr>
        <w:t xml:space="preserve"> </w:t>
      </w:r>
      <w:r w:rsidRPr="00AB55D4">
        <w:rPr>
          <w:i/>
          <w:lang w:eastAsia="en-US"/>
        </w:rPr>
        <w:t>Creta Antica</w:t>
      </w:r>
      <w:r w:rsidRPr="00AB55D4">
        <w:rPr>
          <w:lang w:eastAsia="en-US"/>
        </w:rPr>
        <w:t xml:space="preserve"> 4: 199-272.</w:t>
      </w:r>
    </w:p>
    <w:p w14:paraId="4977217A" w14:textId="77777777" w:rsidR="00303EFE" w:rsidRPr="00467720" w:rsidRDefault="00303EFE" w:rsidP="00E858EF">
      <w:pPr>
        <w:suppressAutoHyphens/>
        <w:rPr>
          <w:lang w:eastAsia="en-US"/>
        </w:rPr>
      </w:pPr>
    </w:p>
    <w:p w14:paraId="7A4C2573" w14:textId="77777777" w:rsidR="00303EFE" w:rsidRDefault="00303EFE" w:rsidP="00E858EF">
      <w:pPr>
        <w:suppressAutoHyphens/>
        <w:autoSpaceDE w:val="0"/>
        <w:autoSpaceDN w:val="0"/>
        <w:adjustRightInd w:val="0"/>
      </w:pPr>
      <w:r w:rsidRPr="00AB55D4">
        <w:rPr>
          <w:color w:val="000000"/>
        </w:rPr>
        <w:t>D’Agata, A. L.</w:t>
      </w:r>
      <w:r>
        <w:rPr>
          <w:color w:val="000000"/>
        </w:rPr>
        <w:t>,</w:t>
      </w:r>
      <w:r w:rsidRPr="00AB55D4">
        <w:rPr>
          <w:color w:val="000000"/>
        </w:rPr>
        <w:t xml:space="preserve"> 2005.</w:t>
      </w:r>
      <w:r w:rsidRPr="00AB55D4">
        <w:t xml:space="preserve"> Central </w:t>
      </w:r>
      <w:r>
        <w:t>s</w:t>
      </w:r>
      <w:r w:rsidRPr="00AB55D4">
        <w:t xml:space="preserve">outhern Crete and its </w:t>
      </w:r>
      <w:r>
        <w:t>r</w:t>
      </w:r>
      <w:r w:rsidRPr="00AB55D4">
        <w:t>elations with the Greek Mainland in the</w:t>
      </w:r>
      <w:r>
        <w:t xml:space="preserve"> p</w:t>
      </w:r>
      <w:r w:rsidRPr="00AB55D4">
        <w:t xml:space="preserve">ostpalatial </w:t>
      </w:r>
      <w:r>
        <w:t>p</w:t>
      </w:r>
      <w:r w:rsidRPr="00AB55D4">
        <w:t>eriod. In</w:t>
      </w:r>
      <w:r>
        <w:t>:</w:t>
      </w:r>
      <w:r w:rsidRPr="00AB55D4">
        <w:t xml:space="preserve"> A. L. D’Agata and J. Moody</w:t>
      </w:r>
      <w:r>
        <w:t>,</w:t>
      </w:r>
      <w:r w:rsidRPr="00AB55D4">
        <w:t xml:space="preserve"> eds</w:t>
      </w:r>
      <w:r>
        <w:t>.</w:t>
      </w:r>
      <w:r w:rsidRPr="00AB55D4">
        <w:t xml:space="preserve"> </w:t>
      </w:r>
      <w:r w:rsidRPr="00AB55D4">
        <w:rPr>
          <w:i/>
        </w:rPr>
        <w:t xml:space="preserve">Ariadne's threads: </w:t>
      </w:r>
      <w:r>
        <w:rPr>
          <w:i/>
        </w:rPr>
        <w:t>C</w:t>
      </w:r>
      <w:r w:rsidRPr="00AB55D4">
        <w:rPr>
          <w:i/>
        </w:rPr>
        <w:t xml:space="preserve">onnections </w:t>
      </w:r>
      <w:r>
        <w:rPr>
          <w:i/>
        </w:rPr>
        <w:t>B</w:t>
      </w:r>
      <w:r w:rsidRPr="00AB55D4">
        <w:rPr>
          <w:i/>
        </w:rPr>
        <w:t xml:space="preserve">etween Crete and the Greek </w:t>
      </w:r>
      <w:r>
        <w:rPr>
          <w:i/>
        </w:rPr>
        <w:t>M</w:t>
      </w:r>
      <w:r w:rsidRPr="00AB55D4">
        <w:rPr>
          <w:i/>
        </w:rPr>
        <w:t>ainland in Late Minoan III (LM IIIA2 to LM IIIC)</w:t>
      </w:r>
      <w:r w:rsidRPr="00AB55D4">
        <w:t>. Proceedings of the International Workshop held at the Scuola Archeologica Italiana</w:t>
      </w:r>
      <w:r>
        <w:t>,</w:t>
      </w:r>
      <w:r w:rsidRPr="00AB55D4">
        <w:t xml:space="preserve"> 5-6 April</w:t>
      </w:r>
      <w:r>
        <w:t>,</w:t>
      </w:r>
      <w:r w:rsidRPr="00AB55D4">
        <w:t xml:space="preserve"> 2003</w:t>
      </w:r>
      <w:r>
        <w:t>.</w:t>
      </w:r>
      <w:r w:rsidRPr="00AB55D4">
        <w:t xml:space="preserve"> Tripodes 3: 109-130. Atene: Scuola Archeologica Italiana di Atene.</w:t>
      </w:r>
    </w:p>
    <w:p w14:paraId="5645AEB4" w14:textId="77777777" w:rsidR="00303EFE" w:rsidRPr="00467720" w:rsidRDefault="00303EFE" w:rsidP="00E858EF">
      <w:pPr>
        <w:suppressAutoHyphens/>
        <w:autoSpaceDE w:val="0"/>
        <w:autoSpaceDN w:val="0"/>
        <w:adjustRightInd w:val="0"/>
      </w:pPr>
    </w:p>
    <w:p w14:paraId="4A4C0808" w14:textId="77777777" w:rsidR="00303EFE" w:rsidRDefault="00303EFE" w:rsidP="00E858EF">
      <w:pPr>
        <w:suppressAutoHyphens/>
        <w:autoSpaceDE w:val="0"/>
        <w:autoSpaceDN w:val="0"/>
        <w:adjustRightInd w:val="0"/>
      </w:pPr>
      <w:r w:rsidRPr="00AB55D4">
        <w:t>D’Agata, A.</w:t>
      </w:r>
      <w:r>
        <w:t xml:space="preserve"> </w:t>
      </w:r>
      <w:r w:rsidRPr="00AB55D4">
        <w:t xml:space="preserve">L. 2015. Funerary behaviour and social identities in LM III Crete: The evidence from the chambers toms at Ligortyno. </w:t>
      </w:r>
      <w:r w:rsidRPr="00AB55D4">
        <w:rPr>
          <w:i/>
        </w:rPr>
        <w:t>Studi Micenei Egeo Anatolici, Nuova Serie</w:t>
      </w:r>
      <w:r w:rsidRPr="00AB55D4">
        <w:t xml:space="preserve"> 1: 57-103.</w:t>
      </w:r>
    </w:p>
    <w:p w14:paraId="61DCF02C" w14:textId="77777777" w:rsidR="00303EFE" w:rsidRPr="00467720" w:rsidRDefault="00303EFE" w:rsidP="00E858EF">
      <w:pPr>
        <w:suppressAutoHyphens/>
        <w:autoSpaceDE w:val="0"/>
        <w:autoSpaceDN w:val="0"/>
        <w:adjustRightInd w:val="0"/>
      </w:pPr>
    </w:p>
    <w:p w14:paraId="73F6BCF2" w14:textId="77777777" w:rsidR="00303EFE" w:rsidRDefault="00303EFE" w:rsidP="00E858EF">
      <w:pPr>
        <w:suppressAutoHyphens/>
        <w:autoSpaceDE w:val="0"/>
        <w:autoSpaceDN w:val="0"/>
        <w:adjustRightInd w:val="0"/>
      </w:pPr>
      <w:r w:rsidRPr="00AB55D4">
        <w:t>D’Agata, A.</w:t>
      </w:r>
      <w:r>
        <w:t xml:space="preserve"> </w:t>
      </w:r>
      <w:r w:rsidRPr="00AB55D4">
        <w:t xml:space="preserve">L. and De Angelis, S. 2016. Funerals of Late Minoan III Crete: </w:t>
      </w:r>
      <w:r>
        <w:t>r</w:t>
      </w:r>
      <w:r w:rsidRPr="00AB55D4">
        <w:t xml:space="preserve">itual </w:t>
      </w:r>
      <w:r>
        <w:t>ac</w:t>
      </w:r>
      <w:r w:rsidRPr="00AB55D4">
        <w:t xml:space="preserve">ts, </w:t>
      </w:r>
      <w:r>
        <w:t>s</w:t>
      </w:r>
      <w:r w:rsidRPr="00AB55D4">
        <w:t xml:space="preserve">pecial </w:t>
      </w:r>
      <w:r>
        <w:t>v</w:t>
      </w:r>
      <w:r w:rsidRPr="00AB55D4">
        <w:t xml:space="preserve">essels and </w:t>
      </w:r>
      <w:r>
        <w:t>p</w:t>
      </w:r>
      <w:r w:rsidRPr="00AB55D4">
        <w:t xml:space="preserve">olitical </w:t>
      </w:r>
      <w:r>
        <w:t>a</w:t>
      </w:r>
      <w:r w:rsidRPr="00AB55D4">
        <w:t>ffiliations in the 14th and 13th centuries BC. In</w:t>
      </w:r>
      <w:r>
        <w:t>:</w:t>
      </w:r>
      <w:r w:rsidRPr="00AB55D4">
        <w:t xml:space="preserve"> E. Alram-Stern, F. Blakolmer, S. Deger-Jalkotzy, R. Laffineur, J. Weilhartner</w:t>
      </w:r>
      <w:r>
        <w:t>,</w:t>
      </w:r>
      <w:r w:rsidRPr="00AB55D4">
        <w:t xml:space="preserve"> eds</w:t>
      </w:r>
      <w:r>
        <w:t>.</w:t>
      </w:r>
      <w:r w:rsidRPr="00AB55D4">
        <w:t xml:space="preserve"> </w:t>
      </w:r>
      <w:r w:rsidRPr="00AB55D4">
        <w:rPr>
          <w:i/>
        </w:rPr>
        <w:t>Metaphysis. Ritual, Myth and Symbolism in the Aegean Bronze Age</w:t>
      </w:r>
      <w:r>
        <w:t>.</w:t>
      </w:r>
      <w:r w:rsidRPr="00AB55D4">
        <w:t xml:space="preserve"> </w:t>
      </w:r>
      <w:r w:rsidRPr="00290D1B">
        <w:t>Proceedings of the International Aegean Conference, Vienna, Institute for Oriental and European Archaeology, Aegean and Anatolia Department, Austrian Academy of Sciences and Institute of Classical Archaeology, University of Vienna, 22-25 April</w:t>
      </w:r>
      <w:r>
        <w:t>,</w:t>
      </w:r>
      <w:r w:rsidRPr="00290D1B">
        <w:t xml:space="preserve"> 2014</w:t>
      </w:r>
      <w:r w:rsidRPr="00AB55D4">
        <w:t>. Aegaeum 39: 213-222. Leuven-Liège: Peeters.</w:t>
      </w:r>
    </w:p>
    <w:p w14:paraId="5BBB7E82" w14:textId="77777777" w:rsidR="00303EFE" w:rsidRPr="00467720" w:rsidRDefault="00303EFE" w:rsidP="00E858EF">
      <w:pPr>
        <w:suppressAutoHyphens/>
        <w:autoSpaceDE w:val="0"/>
        <w:autoSpaceDN w:val="0"/>
        <w:adjustRightInd w:val="0"/>
      </w:pPr>
    </w:p>
    <w:p w14:paraId="42F11EF6" w14:textId="77777777" w:rsidR="00303EFE" w:rsidRDefault="00303EFE" w:rsidP="00E858EF">
      <w:pPr>
        <w:suppressAutoHyphens/>
      </w:pPr>
      <w:r w:rsidRPr="00AB55D4">
        <w:t xml:space="preserve">Dakouri-Hild, A. 2016. Getting to </w:t>
      </w:r>
      <w:r>
        <w:t>f</w:t>
      </w:r>
      <w:r w:rsidRPr="00AB55D4">
        <w:t xml:space="preserve">unerary </w:t>
      </w:r>
      <w:r>
        <w:t>p</w:t>
      </w:r>
      <w:r w:rsidRPr="00AB55D4">
        <w:t xml:space="preserve">lace in a </w:t>
      </w:r>
      <w:r>
        <w:t>f</w:t>
      </w:r>
      <w:r w:rsidRPr="00AB55D4">
        <w:t xml:space="preserve">airly </w:t>
      </w:r>
      <w:r>
        <w:t>s</w:t>
      </w:r>
      <w:r w:rsidRPr="00AB55D4">
        <w:t xml:space="preserve">hort </w:t>
      </w:r>
      <w:r>
        <w:t>s</w:t>
      </w:r>
      <w:r w:rsidRPr="00AB55D4">
        <w:t xml:space="preserve">tretch of </w:t>
      </w:r>
      <w:r>
        <w:t>t</w:t>
      </w:r>
      <w:r w:rsidRPr="00AB55D4">
        <w:t xml:space="preserve">ime: </w:t>
      </w:r>
      <w:r>
        <w:t>d</w:t>
      </w:r>
      <w:r w:rsidRPr="00AB55D4">
        <w:t xml:space="preserve">eath and </w:t>
      </w:r>
      <w:r>
        <w:t>p</w:t>
      </w:r>
      <w:r w:rsidRPr="00AB55D4">
        <w:t xml:space="preserve">erformance in the </w:t>
      </w:r>
      <w:r>
        <w:t>p</w:t>
      </w:r>
      <w:r w:rsidRPr="00AB55D4">
        <w:t>rehistoric</w:t>
      </w:r>
      <w:r>
        <w:t xml:space="preserve"> </w:t>
      </w:r>
      <w:r w:rsidRPr="00AB55D4">
        <w:t>Aegean. In</w:t>
      </w:r>
      <w:r>
        <w:t>:</w:t>
      </w:r>
      <w:r w:rsidRPr="00AB55D4">
        <w:t xml:space="preserve"> A. Dakouri-Hild and M.J. Boyd</w:t>
      </w:r>
      <w:r>
        <w:t>,</w:t>
      </w:r>
      <w:r w:rsidRPr="00AB55D4">
        <w:t xml:space="preserve"> eds</w:t>
      </w:r>
      <w:r>
        <w:t>.</w:t>
      </w:r>
      <w:r w:rsidRPr="00AB55D4">
        <w:t xml:space="preserve"> </w:t>
      </w:r>
      <w:r w:rsidRPr="00AB55D4">
        <w:rPr>
          <w:i/>
        </w:rPr>
        <w:t>Staging Death. Funerary Performance, Architecture and Landscape in the Aegean</w:t>
      </w:r>
      <w:r w:rsidRPr="00290D1B">
        <w:t>: 11-30.</w:t>
      </w:r>
      <w:r w:rsidRPr="00AB55D4">
        <w:rPr>
          <w:i/>
        </w:rPr>
        <w:t xml:space="preserve"> </w:t>
      </w:r>
      <w:r w:rsidRPr="00AB55D4">
        <w:t>Berlin: De Gruyter.</w:t>
      </w:r>
    </w:p>
    <w:p w14:paraId="373DA620" w14:textId="77777777" w:rsidR="00303EFE" w:rsidRPr="00467720" w:rsidRDefault="00303EFE" w:rsidP="00E858EF">
      <w:pPr>
        <w:suppressAutoHyphens/>
      </w:pPr>
    </w:p>
    <w:p w14:paraId="531ADC89" w14:textId="6016BDE0"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rPr>
      </w:pPr>
      <w:r w:rsidRPr="00AB55D4">
        <w:rPr>
          <w:color w:val="000000"/>
        </w:rPr>
        <w:t>Damargne, P. 1945.</w:t>
      </w:r>
      <w:r>
        <w:rPr>
          <w:color w:val="000000"/>
        </w:rPr>
        <w:t xml:space="preserve"> </w:t>
      </w:r>
      <w:r w:rsidRPr="00A67D51">
        <w:rPr>
          <w:i/>
          <w:color w:val="000000"/>
          <w:lang w:val="it-IT"/>
        </w:rPr>
        <w:t xml:space="preserve">Fouilles exécutées à </w:t>
      </w:r>
      <w:r w:rsidR="00F7367B">
        <w:rPr>
          <w:i/>
          <w:color w:val="000000"/>
          <w:lang w:val="it-IT"/>
        </w:rPr>
        <w:t>Malia</w:t>
      </w:r>
      <w:r w:rsidRPr="00A67D51">
        <w:rPr>
          <w:i/>
          <w:color w:val="000000"/>
          <w:lang w:val="it-IT"/>
        </w:rPr>
        <w:t>: Exploration des necropoles (1921-1933).</w:t>
      </w:r>
      <w:r w:rsidRPr="00AB55D4">
        <w:rPr>
          <w:color w:val="000000"/>
          <w:lang w:val="it-IT"/>
        </w:rPr>
        <w:t xml:space="preserve"> </w:t>
      </w:r>
      <w:r w:rsidRPr="00AB55D4">
        <w:rPr>
          <w:color w:val="000000"/>
        </w:rPr>
        <w:t>Paris: libr. Orientaliste Paul Geuthner</w:t>
      </w:r>
      <w:r>
        <w:rPr>
          <w:color w:val="000000"/>
        </w:rPr>
        <w:t>.</w:t>
      </w:r>
    </w:p>
    <w:p w14:paraId="488B557A" w14:textId="77777777" w:rsidR="00303EFE" w:rsidRPr="00467720"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rPr>
      </w:pPr>
    </w:p>
    <w:p w14:paraId="245AFDC4" w14:textId="77777777" w:rsidR="00303EFE" w:rsidRDefault="00303EFE" w:rsidP="00E858EF">
      <w:pPr>
        <w:tabs>
          <w:tab w:val="left" w:pos="220"/>
          <w:tab w:val="left" w:pos="720"/>
        </w:tabs>
        <w:suppressAutoHyphens/>
        <w:autoSpaceDE w:val="0"/>
        <w:autoSpaceDN w:val="0"/>
        <w:adjustRightInd w:val="0"/>
      </w:pPr>
      <w:r w:rsidRPr="00AB55D4">
        <w:t>Darcque, P. and Poursat J. C.</w:t>
      </w:r>
      <w:r>
        <w:t>,</w:t>
      </w:r>
      <w:r w:rsidRPr="00AB55D4">
        <w:t xml:space="preserve"> eds</w:t>
      </w:r>
      <w:r>
        <w:t>. 1997.</w:t>
      </w:r>
      <w:r w:rsidRPr="00AB55D4">
        <w:t xml:space="preserve"> </w:t>
      </w:r>
      <w:r w:rsidRPr="00A67D51">
        <w:rPr>
          <w:i/>
        </w:rPr>
        <w:t>L'iconographie minoenne: actes de la table ronde d'Athènes (21-22 avril 1983)</w:t>
      </w:r>
      <w:r>
        <w:t>.</w:t>
      </w:r>
      <w:r w:rsidRPr="00AB55D4">
        <w:t xml:space="preserve"> Athènes: École française d'Athènes: 5-19.</w:t>
      </w:r>
      <w:r>
        <w:t xml:space="preserve"> </w:t>
      </w:r>
      <w:r w:rsidRPr="00AB55D4">
        <w:t>Paris: Dépositaire, Diffusion de Boccard.</w:t>
      </w:r>
    </w:p>
    <w:p w14:paraId="51C616E1" w14:textId="77777777" w:rsidR="00303EFE" w:rsidRPr="00467720" w:rsidRDefault="00303EFE" w:rsidP="00E858EF">
      <w:pPr>
        <w:tabs>
          <w:tab w:val="left" w:pos="220"/>
          <w:tab w:val="left" w:pos="720"/>
        </w:tabs>
        <w:suppressAutoHyphens/>
        <w:autoSpaceDE w:val="0"/>
        <w:autoSpaceDN w:val="0"/>
        <w:adjustRightInd w:val="0"/>
      </w:pPr>
    </w:p>
    <w:p w14:paraId="376884F0" w14:textId="2F0D2094"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lang w:val="el-GR"/>
        </w:rPr>
      </w:pPr>
      <w:r w:rsidRPr="00AB55D4">
        <w:rPr>
          <w:color w:val="000000"/>
        </w:rPr>
        <w:t xml:space="preserve">Davaras, C. 1966. </w:t>
      </w:r>
      <w:r w:rsidRPr="00AB55D4">
        <w:rPr>
          <w:color w:val="000000"/>
          <w:lang w:val="el-GR"/>
        </w:rPr>
        <w:t>Ανασκαφή θολωτού τάφου Μάλεμε.</w:t>
      </w:r>
      <w:r w:rsidR="001806BA">
        <w:rPr>
          <w:color w:val="000000"/>
          <w:lang w:val="el-GR"/>
        </w:rPr>
        <w:t xml:space="preserve"> </w:t>
      </w:r>
      <w:r w:rsidRPr="00BA2849">
        <w:rPr>
          <w:i/>
          <w:color w:val="000000"/>
          <w:lang w:val="el-GR"/>
        </w:rPr>
        <w:t>Prakt</w:t>
      </w:r>
      <w:r w:rsidRPr="00AB55D4">
        <w:rPr>
          <w:lang w:val="el-GR"/>
        </w:rPr>
        <w:t>: 185 188.</w:t>
      </w:r>
    </w:p>
    <w:p w14:paraId="3FC0C4CD" w14:textId="77777777" w:rsidR="00303EFE" w:rsidRPr="00467720"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lang w:val="el-GR"/>
        </w:rPr>
      </w:pPr>
    </w:p>
    <w:p w14:paraId="614ACF9A" w14:textId="77777777" w:rsidR="00303EFE" w:rsidRDefault="00303EFE" w:rsidP="00E858EF">
      <w:pPr>
        <w:suppressAutoHyphens/>
        <w:autoSpaceDE w:val="0"/>
        <w:autoSpaceDN w:val="0"/>
        <w:adjustRightInd w:val="0"/>
      </w:pPr>
      <w:r w:rsidRPr="00AB55D4">
        <w:rPr>
          <w:color w:val="000000"/>
        </w:rPr>
        <w:t xml:space="preserve">Davaras, C. 1973. </w:t>
      </w:r>
      <w:r w:rsidRPr="00AB55D4">
        <w:t>Cremations in Minoan and Sub-Minoan Crete. In</w:t>
      </w:r>
      <w:r>
        <w:t>:</w:t>
      </w:r>
      <w:r w:rsidRPr="00AB55D4">
        <w:t xml:space="preserve"> </w:t>
      </w:r>
      <w:r w:rsidRPr="00A67D51">
        <w:rPr>
          <w:i/>
        </w:rPr>
        <w:t>Antichità Cretesi: Studi in onore di Doro Levi</w:t>
      </w:r>
      <w:r>
        <w:rPr>
          <w:i/>
        </w:rPr>
        <w:t>.</w:t>
      </w:r>
      <w:r w:rsidRPr="00AB55D4">
        <w:t xml:space="preserve"> Cronache di Archeologia 12: 158–167. Catania Università di Catania, Istituto di Archeologia.</w:t>
      </w:r>
    </w:p>
    <w:p w14:paraId="0E0B2CB4" w14:textId="77777777" w:rsidR="00303EFE" w:rsidRPr="00467720" w:rsidRDefault="00303EFE" w:rsidP="00E858EF">
      <w:pPr>
        <w:suppressAutoHyphens/>
        <w:autoSpaceDE w:val="0"/>
        <w:autoSpaceDN w:val="0"/>
        <w:adjustRightInd w:val="0"/>
      </w:pPr>
    </w:p>
    <w:p w14:paraId="5DBE9C21" w14:textId="77777777" w:rsidR="00303EFE" w:rsidRDefault="00303EFE" w:rsidP="00E858EF">
      <w:pPr>
        <w:suppressAutoHyphens/>
      </w:pPr>
      <w:r w:rsidRPr="00AB55D4">
        <w:t>Davaras, C. and Banou E.</w:t>
      </w:r>
      <w:r>
        <w:t>,</w:t>
      </w:r>
      <w:r w:rsidRPr="00AB55D4">
        <w:t xml:space="preserve"> 2003. A post-palatial tomb at Kalochoraphitis Mesara, </w:t>
      </w:r>
      <w:r w:rsidRPr="00AB55D4">
        <w:rPr>
          <w:i/>
        </w:rPr>
        <w:t xml:space="preserve">Cretan Studies </w:t>
      </w:r>
      <w:r w:rsidRPr="00BA2849">
        <w:t>8</w:t>
      </w:r>
      <w:r w:rsidRPr="00AB55D4">
        <w:t>: 41-78.</w:t>
      </w:r>
    </w:p>
    <w:p w14:paraId="7478744E" w14:textId="77777777" w:rsidR="00303EFE" w:rsidRPr="00467720" w:rsidRDefault="00303EFE" w:rsidP="00E858EF">
      <w:pPr>
        <w:suppressAutoHyphens/>
      </w:pPr>
    </w:p>
    <w:p w14:paraId="4C12B7C4" w14:textId="5063A935" w:rsidR="00303EFE" w:rsidRDefault="00303EFE" w:rsidP="00E858EF">
      <w:pPr>
        <w:suppressAutoHyphens/>
        <w:autoSpaceDE w:val="0"/>
        <w:autoSpaceDN w:val="0"/>
        <w:adjustRightInd w:val="0"/>
      </w:pPr>
      <w:r w:rsidRPr="00467720">
        <w:t>Davaras, C.</w:t>
      </w:r>
      <w:r>
        <w:t>, 1971.</w:t>
      </w:r>
      <w:r w:rsidRPr="00467720">
        <w:t xml:space="preserve"> </w:t>
      </w:r>
      <w:r w:rsidRPr="00467720">
        <w:rPr>
          <w:lang w:val="el-GR"/>
        </w:rPr>
        <w:t xml:space="preserve">Ανασκαφαί εις Στύλον Αποκορώνου, </w:t>
      </w:r>
      <w:r w:rsidRPr="00BA2849">
        <w:rPr>
          <w:i/>
          <w:lang w:val="el-GR"/>
        </w:rPr>
        <w:t xml:space="preserve">ΑΑΑ </w:t>
      </w:r>
      <w:r w:rsidRPr="00AB55D4">
        <w:t>4: 42-44.</w:t>
      </w:r>
      <w:r>
        <w:t xml:space="preserve"> </w:t>
      </w:r>
    </w:p>
    <w:p w14:paraId="0520B58B" w14:textId="77777777" w:rsidR="00303EFE" w:rsidRPr="00467720"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p>
    <w:p w14:paraId="52E15915" w14:textId="77777777"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rPr>
      </w:pPr>
      <w:r w:rsidRPr="00AB55D4">
        <w:rPr>
          <w:color w:val="000000"/>
        </w:rPr>
        <w:t>Dawkins, R. M.</w:t>
      </w:r>
      <w:r>
        <w:rPr>
          <w:color w:val="000000"/>
        </w:rPr>
        <w:t>,</w:t>
      </w:r>
      <w:r w:rsidRPr="00AB55D4">
        <w:rPr>
          <w:color w:val="000000"/>
        </w:rPr>
        <w:t xml:space="preserve"> 1913-14. Excavations at plati in Lasithi, Crete. </w:t>
      </w:r>
      <w:r>
        <w:rPr>
          <w:i/>
          <w:lang w:val="en-US"/>
        </w:rPr>
        <w:t>BSA</w:t>
      </w:r>
      <w:r w:rsidRPr="00AB55D4">
        <w:rPr>
          <w:i/>
          <w:lang w:val="en-US"/>
        </w:rPr>
        <w:t xml:space="preserve"> </w:t>
      </w:r>
      <w:r w:rsidRPr="00BA2849">
        <w:rPr>
          <w:lang w:val="en-US"/>
        </w:rPr>
        <w:t>20</w:t>
      </w:r>
      <w:r w:rsidRPr="00290D1B">
        <w:rPr>
          <w:lang w:val="en-US"/>
        </w:rPr>
        <w:t>: 1-17</w:t>
      </w:r>
      <w:r w:rsidRPr="001A0D2F">
        <w:rPr>
          <w:lang w:val="en-US"/>
        </w:rPr>
        <w:t>.</w:t>
      </w:r>
      <w:r w:rsidRPr="00AB55D4">
        <w:rPr>
          <w:color w:val="000000"/>
        </w:rPr>
        <w:t xml:space="preserve"> </w:t>
      </w:r>
    </w:p>
    <w:p w14:paraId="2A234E53" w14:textId="77777777"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rPr>
      </w:pPr>
    </w:p>
    <w:p w14:paraId="27809BDF" w14:textId="77777777" w:rsidR="00303EFE" w:rsidRPr="00290D1B"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lang w:val="en-US"/>
        </w:rPr>
      </w:pPr>
      <w:r w:rsidRPr="00AB55D4">
        <w:t>Dawkins R. M. and Currelly C. T.</w:t>
      </w:r>
      <w:r>
        <w:t>,</w:t>
      </w:r>
      <w:r w:rsidRPr="00AB55D4">
        <w:t xml:space="preserve"> </w:t>
      </w:r>
      <w:r w:rsidRPr="00AB55D4">
        <w:rPr>
          <w:iCs/>
          <w:color w:val="000000"/>
        </w:rPr>
        <w:t xml:space="preserve">1903-1904. Excavations at Palaikastro III. </w:t>
      </w:r>
      <w:r>
        <w:rPr>
          <w:i/>
          <w:lang w:val="en-US"/>
        </w:rPr>
        <w:t>BSA</w:t>
      </w:r>
      <w:r w:rsidRPr="00AB55D4">
        <w:rPr>
          <w:i/>
          <w:lang w:val="en-US"/>
        </w:rPr>
        <w:t xml:space="preserve"> </w:t>
      </w:r>
      <w:r w:rsidRPr="00BA2849">
        <w:rPr>
          <w:lang w:val="en-US"/>
        </w:rPr>
        <w:t>10</w:t>
      </w:r>
      <w:r w:rsidRPr="00290D1B">
        <w:rPr>
          <w:lang w:val="en-US"/>
        </w:rPr>
        <w:t>: 192-231.</w:t>
      </w:r>
    </w:p>
    <w:p w14:paraId="0BE88C10" w14:textId="77777777"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rPr>
      </w:pPr>
    </w:p>
    <w:p w14:paraId="7351F150"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r>
        <w:t xml:space="preserve">Dawkins R. M., Hawes, C. H. </w:t>
      </w:r>
      <w:r w:rsidRPr="00AB55D4">
        <w:t>and Bosanquet, R. C.</w:t>
      </w:r>
      <w:r>
        <w:t>,</w:t>
      </w:r>
      <w:r w:rsidRPr="00AB55D4">
        <w:t xml:space="preserve"> 1904-1905. Excavations at Palaikastro. IV.</w:t>
      </w:r>
      <w:r>
        <w:t xml:space="preserve"> </w:t>
      </w:r>
      <w:r>
        <w:rPr>
          <w:i/>
        </w:rPr>
        <w:t xml:space="preserve">BSA </w:t>
      </w:r>
      <w:r w:rsidRPr="00BA2849">
        <w:t>11</w:t>
      </w:r>
      <w:r w:rsidRPr="00AB55D4">
        <w:t>: 258-308.</w:t>
      </w:r>
    </w:p>
    <w:p w14:paraId="29A39069" w14:textId="77777777" w:rsidR="00303EFE" w:rsidRPr="00467720"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rPr>
      </w:pPr>
    </w:p>
    <w:p w14:paraId="02E7D9D9" w14:textId="77777777" w:rsidR="00303EFE" w:rsidRDefault="00303EFE" w:rsidP="00E858EF">
      <w:pPr>
        <w:suppressAutoHyphens/>
      </w:pPr>
      <w:r w:rsidRPr="00AB55D4">
        <w:t xml:space="preserve">Demakopoulou, K. </w:t>
      </w:r>
      <w:r>
        <w:t>a</w:t>
      </w:r>
      <w:r w:rsidRPr="00AB55D4">
        <w:t>nd Konsola, N.</w:t>
      </w:r>
      <w:r>
        <w:t>,</w:t>
      </w:r>
      <w:r w:rsidRPr="00AB55D4">
        <w:t xml:space="preserve"> 1981. </w:t>
      </w:r>
      <w:r w:rsidRPr="00AB55D4">
        <w:rPr>
          <w:i/>
        </w:rPr>
        <w:t>Αρχαιολογικό Μουσείο της Θήβας</w:t>
      </w:r>
      <w:r w:rsidRPr="00AB55D4">
        <w:t>. Αθήνα: Υπουργείο Πολιτισμού - Γενική Διεύθυνση Αρχαιοτήτων και Αναστηλώσεως.</w:t>
      </w:r>
    </w:p>
    <w:p w14:paraId="139D1B2C" w14:textId="77777777" w:rsidR="00303EFE" w:rsidRPr="00467720" w:rsidRDefault="00303EFE" w:rsidP="00E858EF">
      <w:pPr>
        <w:suppressAutoHyphens/>
      </w:pPr>
    </w:p>
    <w:p w14:paraId="0D282974" w14:textId="7B9A4DC3"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r w:rsidRPr="00AB55D4">
        <w:rPr>
          <w:color w:val="000000"/>
        </w:rPr>
        <w:t>Dickinson, O.</w:t>
      </w:r>
      <w:r>
        <w:rPr>
          <w:color w:val="000000"/>
        </w:rPr>
        <w:t>,</w:t>
      </w:r>
      <w:r w:rsidRPr="00AB55D4">
        <w:rPr>
          <w:color w:val="000000"/>
        </w:rPr>
        <w:t xml:space="preserve"> 1983</w:t>
      </w:r>
      <w:r w:rsidR="00572146">
        <w:rPr>
          <w:color w:val="000000"/>
        </w:rPr>
        <w:t>.</w:t>
      </w:r>
      <w:r w:rsidRPr="00AB55D4">
        <w:t xml:space="preserve"> Cist graves and chamber tombs</w:t>
      </w:r>
      <w:r>
        <w:t>.</w:t>
      </w:r>
      <w:r w:rsidRPr="00AB55D4">
        <w:t xml:space="preserve"> </w:t>
      </w:r>
      <w:r>
        <w:rPr>
          <w:i/>
          <w:lang w:val="en-US"/>
        </w:rPr>
        <w:t>BSA</w:t>
      </w:r>
      <w:r w:rsidRPr="00AB55D4">
        <w:t xml:space="preserve"> 78: 55-67.</w:t>
      </w:r>
    </w:p>
    <w:p w14:paraId="58CAEFAD" w14:textId="1A5F31AB" w:rsidR="00303EFE" w:rsidRPr="00467720" w:rsidRDefault="00303EFE" w:rsidP="00E858EF">
      <w:pPr>
        <w:tabs>
          <w:tab w:val="left" w:pos="0"/>
        </w:tabs>
        <w:suppressAutoHyphens/>
        <w:autoSpaceDE w:val="0"/>
        <w:autoSpaceDN w:val="0"/>
        <w:adjustRightInd w:val="0"/>
        <w:spacing w:after="40"/>
        <w:rPr>
          <w:i/>
        </w:rPr>
      </w:pPr>
    </w:p>
    <w:p w14:paraId="7C59A3F3" w14:textId="77777777" w:rsidR="00303EFE" w:rsidRDefault="00303EFE" w:rsidP="00E858EF">
      <w:pPr>
        <w:suppressAutoHyphens/>
        <w:autoSpaceDE w:val="0"/>
        <w:autoSpaceDN w:val="0"/>
        <w:adjustRightInd w:val="0"/>
      </w:pPr>
      <w:r w:rsidRPr="00AB55D4">
        <w:t>Dimopoulou, N.</w:t>
      </w:r>
      <w:r>
        <w:t>,</w:t>
      </w:r>
      <w:r w:rsidRPr="00AB55D4">
        <w:t xml:space="preserve"> 1999. The Neopalatial </w:t>
      </w:r>
      <w:r>
        <w:t>c</w:t>
      </w:r>
      <w:r w:rsidRPr="00AB55D4">
        <w:t xml:space="preserve">emetery of the Knossian </w:t>
      </w:r>
      <w:r>
        <w:t>h</w:t>
      </w:r>
      <w:r w:rsidRPr="00AB55D4">
        <w:t xml:space="preserve">arbour-town at Poros: </w:t>
      </w:r>
      <w:r>
        <w:t>m</w:t>
      </w:r>
      <w:r w:rsidRPr="00AB55D4">
        <w:t xml:space="preserve">ortuary </w:t>
      </w:r>
      <w:r>
        <w:t>b</w:t>
      </w:r>
      <w:r w:rsidRPr="00AB55D4">
        <w:t xml:space="preserve">ehaviour and </w:t>
      </w:r>
      <w:r>
        <w:t>s</w:t>
      </w:r>
      <w:r w:rsidRPr="00AB55D4">
        <w:t xml:space="preserve">ocial </w:t>
      </w:r>
      <w:r>
        <w:t>r</w:t>
      </w:r>
      <w:r w:rsidRPr="00AB55D4">
        <w:t>anking. In</w:t>
      </w:r>
      <w:r>
        <w:t>:</w:t>
      </w:r>
      <w:r w:rsidRPr="00AB55D4">
        <w:t xml:space="preserve"> I. Kilian-Dirlmeier et M. Egg</w:t>
      </w:r>
      <w:r>
        <w:t>,</w:t>
      </w:r>
      <w:r w:rsidRPr="00AB55D4">
        <w:t xml:space="preserve"> eds</w:t>
      </w:r>
      <w:r>
        <w:t>.</w:t>
      </w:r>
      <w:r w:rsidRPr="00AB55D4">
        <w:t xml:space="preserve"> </w:t>
      </w:r>
      <w:r w:rsidRPr="00AB55D4">
        <w:rPr>
          <w:i/>
        </w:rPr>
        <w:t>Eliten in der Bronzezeit. Ergebnisse zweier Kolloquien in Mainz und Athen</w:t>
      </w:r>
      <w:r>
        <w:t xml:space="preserve">, </w:t>
      </w:r>
      <w:r w:rsidRPr="00290D1B">
        <w:t>vol. 1</w:t>
      </w:r>
      <w:r w:rsidRPr="004D043B">
        <w:t>:</w:t>
      </w:r>
      <w:r w:rsidRPr="00AB55D4">
        <w:t xml:space="preserve"> 27-36. Mainz: Römisch -Germanisches Zentralmuseum.</w:t>
      </w:r>
    </w:p>
    <w:p w14:paraId="15F394E5" w14:textId="77777777" w:rsidR="00303EFE" w:rsidRDefault="00303EFE" w:rsidP="00E858EF">
      <w:pPr>
        <w:suppressAutoHyphens/>
        <w:autoSpaceDE w:val="0"/>
        <w:autoSpaceDN w:val="0"/>
        <w:adjustRightInd w:val="0"/>
      </w:pPr>
    </w:p>
    <w:p w14:paraId="3CA3D328" w14:textId="77777777" w:rsidR="00303EFE" w:rsidRDefault="00303EFE" w:rsidP="00E858EF">
      <w:pPr>
        <w:tabs>
          <w:tab w:val="left" w:pos="0"/>
        </w:tabs>
        <w:suppressAutoHyphens/>
        <w:autoSpaceDE w:val="0"/>
        <w:autoSpaceDN w:val="0"/>
        <w:adjustRightInd w:val="0"/>
        <w:spacing w:after="40"/>
        <w:rPr>
          <w:i/>
        </w:rPr>
      </w:pPr>
      <w:r w:rsidRPr="00AB55D4">
        <w:rPr>
          <w:color w:val="262626"/>
        </w:rPr>
        <w:t>Dimopoulou-Rethemiotaki, N</w:t>
      </w:r>
      <w:r>
        <w:rPr>
          <w:color w:val="262626"/>
        </w:rPr>
        <w:t>.</w:t>
      </w:r>
      <w:r w:rsidRPr="00AB55D4">
        <w:rPr>
          <w:color w:val="262626"/>
        </w:rPr>
        <w:t xml:space="preserve"> and Rethemiotakis, G.</w:t>
      </w:r>
      <w:r>
        <w:rPr>
          <w:color w:val="262626"/>
        </w:rPr>
        <w:t>,</w:t>
      </w:r>
      <w:r w:rsidRPr="00AB55D4">
        <w:rPr>
          <w:color w:val="262626"/>
        </w:rPr>
        <w:t xml:space="preserve"> 1978. </w:t>
      </w:r>
      <w:r w:rsidRPr="00AB55D4">
        <w:rPr>
          <w:color w:val="262626"/>
          <w:lang w:val="el-GR"/>
        </w:rPr>
        <w:t xml:space="preserve">Υστερομινωικό νεκροταφείο στο Μετόχι Καλού Ηερακλείου. </w:t>
      </w:r>
      <w:r>
        <w:rPr>
          <w:i/>
          <w:lang w:val="el-GR"/>
        </w:rPr>
        <w:t>ADelt</w:t>
      </w:r>
      <w:r w:rsidRPr="00AB55D4">
        <w:rPr>
          <w:i/>
          <w:lang w:val="el-GR"/>
        </w:rPr>
        <w:t xml:space="preserve"> </w:t>
      </w:r>
      <w:r w:rsidRPr="00290D1B">
        <w:rPr>
          <w:lang w:val="el-GR"/>
        </w:rPr>
        <w:t>33</w:t>
      </w:r>
      <w:r>
        <w:rPr>
          <w:lang w:val="en-AU"/>
        </w:rPr>
        <w:t xml:space="preserve"> </w:t>
      </w:r>
      <w:r w:rsidRPr="00290D1B">
        <w:rPr>
          <w:lang w:val="el-GR"/>
        </w:rPr>
        <w:t>A: 40</w:t>
      </w:r>
      <w:r w:rsidRPr="00290D1B">
        <w:t>-109.</w:t>
      </w:r>
    </w:p>
    <w:p w14:paraId="73E887AF" w14:textId="77777777" w:rsidR="00303EFE" w:rsidRDefault="00303EFE" w:rsidP="00E858EF">
      <w:pPr>
        <w:tabs>
          <w:tab w:val="left" w:pos="0"/>
        </w:tabs>
        <w:suppressAutoHyphens/>
        <w:autoSpaceDE w:val="0"/>
        <w:autoSpaceDN w:val="0"/>
        <w:adjustRightInd w:val="0"/>
        <w:spacing w:after="40"/>
        <w:rPr>
          <w:i/>
        </w:rPr>
      </w:pPr>
    </w:p>
    <w:p w14:paraId="3AAA42D4" w14:textId="77777777" w:rsidR="00303EFE" w:rsidRDefault="00303EFE" w:rsidP="00E858EF">
      <w:pPr>
        <w:suppressAutoHyphens/>
        <w:autoSpaceDE w:val="0"/>
        <w:autoSpaceDN w:val="0"/>
        <w:adjustRightInd w:val="0"/>
      </w:pPr>
      <w:r w:rsidRPr="00F516CE">
        <w:t>Dobres, M-A and Robb, J</w:t>
      </w:r>
      <w:r>
        <w:t>.</w:t>
      </w:r>
      <w:r w:rsidRPr="00F516CE">
        <w:t>, 2000. Agency in archaeo</w:t>
      </w:r>
      <w:r>
        <w:t xml:space="preserve">logy: paradigm or platitude? In: M-A. Dobres and J. Rob, eds. </w:t>
      </w:r>
      <w:r w:rsidRPr="00A67D51">
        <w:rPr>
          <w:i/>
        </w:rPr>
        <w:t>Agency in Archaeology</w:t>
      </w:r>
      <w:r>
        <w:t>:</w:t>
      </w:r>
      <w:r w:rsidRPr="00F516CE">
        <w:t xml:space="preserve"> 3-17. London: Routledge.</w:t>
      </w:r>
    </w:p>
    <w:p w14:paraId="30D29B67" w14:textId="77777777" w:rsidR="00303EFE" w:rsidRDefault="00303EFE" w:rsidP="00E858EF">
      <w:pPr>
        <w:suppressAutoHyphens/>
        <w:autoSpaceDE w:val="0"/>
        <w:autoSpaceDN w:val="0"/>
        <w:adjustRightInd w:val="0"/>
      </w:pPr>
    </w:p>
    <w:p w14:paraId="480E7CF0" w14:textId="510137AD" w:rsidR="0096198A" w:rsidRPr="00905611" w:rsidRDefault="00303EFE" w:rsidP="00400C64">
      <w:pPr>
        <w:suppressAutoHyphens/>
        <w:spacing w:before="120"/>
      </w:pPr>
      <w:r>
        <w:rPr>
          <w:lang w:val="en-US" w:eastAsia="el-GR"/>
        </w:rPr>
        <w:t>Earle, T., 1990. S</w:t>
      </w:r>
      <w:r w:rsidRPr="00F516CE">
        <w:rPr>
          <w:lang w:val="en-US" w:eastAsia="el-GR"/>
        </w:rPr>
        <w:t xml:space="preserve">tyle and </w:t>
      </w:r>
      <w:r>
        <w:rPr>
          <w:lang w:val="en-US" w:eastAsia="el-GR"/>
        </w:rPr>
        <w:t>i</w:t>
      </w:r>
      <w:r w:rsidRPr="00F516CE">
        <w:rPr>
          <w:lang w:val="en-US" w:eastAsia="el-GR"/>
        </w:rPr>
        <w:t xml:space="preserve">conography as </w:t>
      </w:r>
      <w:r>
        <w:rPr>
          <w:lang w:val="en-US" w:eastAsia="el-GR"/>
        </w:rPr>
        <w:t>l</w:t>
      </w:r>
      <w:r w:rsidRPr="00F516CE">
        <w:rPr>
          <w:lang w:val="en-US" w:eastAsia="el-GR"/>
        </w:rPr>
        <w:t>e</w:t>
      </w:r>
      <w:r>
        <w:rPr>
          <w:lang w:val="en-US" w:eastAsia="el-GR"/>
        </w:rPr>
        <w:t>gitimation in complex chiefdoms.</w:t>
      </w:r>
      <w:r w:rsidRPr="00F516CE">
        <w:rPr>
          <w:lang w:val="en-US" w:eastAsia="el-GR"/>
        </w:rPr>
        <w:t xml:space="preserve"> </w:t>
      </w:r>
      <w:r>
        <w:rPr>
          <w:lang w:val="en-US"/>
        </w:rPr>
        <w:t>I</w:t>
      </w:r>
      <w:r w:rsidRPr="00F516CE">
        <w:rPr>
          <w:lang w:val="en-US"/>
        </w:rPr>
        <w:t>n</w:t>
      </w:r>
      <w:r>
        <w:rPr>
          <w:lang w:val="en-US"/>
        </w:rPr>
        <w:t>: C. A. Conkey and C.A. Hastorf, eds.</w:t>
      </w:r>
      <w:r w:rsidRPr="00F516CE">
        <w:rPr>
          <w:lang w:val="en-US"/>
        </w:rPr>
        <w:t> </w:t>
      </w:r>
      <w:r w:rsidRPr="00F516CE">
        <w:rPr>
          <w:i/>
          <w:lang w:val="en-US"/>
        </w:rPr>
        <w:t>The Uses of Style in Archaeology</w:t>
      </w:r>
      <w:r>
        <w:rPr>
          <w:lang w:val="en-US"/>
        </w:rPr>
        <w:t xml:space="preserve">: </w:t>
      </w:r>
      <w:r w:rsidRPr="00F516CE">
        <w:rPr>
          <w:lang w:val="en-US"/>
        </w:rPr>
        <w:t>73-81</w:t>
      </w:r>
      <w:r>
        <w:rPr>
          <w:lang w:val="en-US"/>
        </w:rPr>
        <w:t>.</w:t>
      </w:r>
      <w:r w:rsidRPr="00F516CE">
        <w:rPr>
          <w:lang w:val="en-US"/>
        </w:rPr>
        <w:t xml:space="preserve"> </w:t>
      </w:r>
      <w:r>
        <w:t>Cambridge</w:t>
      </w:r>
      <w:r w:rsidRPr="00905611">
        <w:t>: Cambridge University Press</w:t>
      </w:r>
      <w:r>
        <w:t>.</w:t>
      </w:r>
    </w:p>
    <w:p w14:paraId="29FFD10A" w14:textId="77777777" w:rsidR="00303EFE" w:rsidRPr="00467720" w:rsidRDefault="00303EFE" w:rsidP="00400C64">
      <w:pPr>
        <w:suppressAutoHyphens/>
        <w:spacing w:before="120"/>
      </w:pPr>
    </w:p>
    <w:p w14:paraId="2CDA4446" w14:textId="36C1B76C" w:rsidR="004B3011" w:rsidRPr="00400C64" w:rsidRDefault="0096198A" w:rsidP="00E858EF">
      <w:pPr>
        <w:suppressAutoHyphens/>
        <w:autoSpaceDE w:val="0"/>
        <w:autoSpaceDN w:val="0"/>
        <w:adjustRightInd w:val="0"/>
        <w:rPr>
          <w:lang w:val="el-GR"/>
        </w:rPr>
      </w:pPr>
      <w:r>
        <w:t>Evangelou, G.</w:t>
      </w:r>
      <w:r w:rsidR="00400C64">
        <w:t xml:space="preserve"> </w:t>
      </w:r>
      <w:r>
        <w:t xml:space="preserve">N. 2009. </w:t>
      </w:r>
      <w:r w:rsidRPr="00400C64">
        <w:rPr>
          <w:i/>
          <w:lang w:val="el-GR"/>
        </w:rPr>
        <w:t>Πρακτικές ταφή</w:t>
      </w:r>
      <w:r w:rsidR="003D4091" w:rsidRPr="00400C64">
        <w:rPr>
          <w:i/>
          <w:lang w:val="el-GR"/>
        </w:rPr>
        <w:t>ς κατά τη νεοανακτορική, τελική ανακτορική</w:t>
      </w:r>
      <w:r w:rsidR="00496CAC" w:rsidRPr="00400C64">
        <w:rPr>
          <w:i/>
          <w:lang w:val="el-GR"/>
        </w:rPr>
        <w:t xml:space="preserve"> και μετανακτορική περίοδο στην Κεντρική Κρήτη</w:t>
      </w:r>
      <w:r w:rsidR="00496CAC" w:rsidRPr="00400C64">
        <w:rPr>
          <w:lang w:val="el-GR"/>
        </w:rPr>
        <w:t>.</w:t>
      </w:r>
      <w:r w:rsidR="004B3011" w:rsidRPr="00400C64">
        <w:rPr>
          <w:lang w:val="el-GR"/>
        </w:rPr>
        <w:t xml:space="preserve"> PhD thesis, University of Athens,.</w:t>
      </w:r>
    </w:p>
    <w:p w14:paraId="5B8FEF6D" w14:textId="77777777" w:rsidR="00BE0C7C" w:rsidRPr="00400C64" w:rsidRDefault="004B3011" w:rsidP="00E858EF">
      <w:pPr>
        <w:suppressAutoHyphens/>
        <w:autoSpaceDE w:val="0"/>
        <w:autoSpaceDN w:val="0"/>
        <w:adjustRightInd w:val="0"/>
        <w:rPr>
          <w:lang w:val="el-GR"/>
        </w:rPr>
      </w:pPr>
      <w:r w:rsidRPr="00400C64">
        <w:rPr>
          <w:lang w:val="el-GR"/>
        </w:rPr>
        <w:t>http:/thesis.ekt.gr/thesisBookReader/id/22581#page/1/mode/2up</w:t>
      </w:r>
    </w:p>
    <w:p w14:paraId="531E81E3" w14:textId="77777777" w:rsidR="00303EFE" w:rsidRPr="00AB55D4" w:rsidRDefault="00303EFE" w:rsidP="00E858EF">
      <w:pPr>
        <w:suppressAutoHyphens/>
        <w:autoSpaceDE w:val="0"/>
        <w:autoSpaceDN w:val="0"/>
        <w:adjustRightInd w:val="0"/>
      </w:pPr>
    </w:p>
    <w:p w14:paraId="5469BC0D" w14:textId="77777777" w:rsidR="00303EFE" w:rsidRDefault="00303EFE" w:rsidP="00E858EF">
      <w:pPr>
        <w:suppressAutoHyphens/>
      </w:pPr>
      <w:r w:rsidRPr="00AB55D4">
        <w:t>Evans, A.</w:t>
      </w:r>
      <w:r>
        <w:t xml:space="preserve">, </w:t>
      </w:r>
      <w:r w:rsidRPr="00AB55D4">
        <w:t xml:space="preserve">1906. The Prehistoric Tombs of Knossos, </w:t>
      </w:r>
      <w:r w:rsidRPr="00AB55D4">
        <w:rPr>
          <w:i/>
        </w:rPr>
        <w:t xml:space="preserve">Archaeologia </w:t>
      </w:r>
      <w:r w:rsidRPr="00BA2849">
        <w:t>59</w:t>
      </w:r>
      <w:r w:rsidRPr="00AB55D4">
        <w:t xml:space="preserve">: 391-562. </w:t>
      </w:r>
    </w:p>
    <w:p w14:paraId="77602FB6" w14:textId="77777777" w:rsidR="00303EFE" w:rsidRDefault="00303EFE" w:rsidP="00E858EF">
      <w:pPr>
        <w:suppressAutoHyphens/>
      </w:pPr>
    </w:p>
    <w:p w14:paraId="40135606" w14:textId="77777777" w:rsidR="00303EFE" w:rsidRDefault="00303EFE" w:rsidP="00E858EF">
      <w:pPr>
        <w:suppressAutoHyphens/>
        <w:autoSpaceDE w:val="0"/>
        <w:autoSpaceDN w:val="0"/>
        <w:adjustRightInd w:val="0"/>
        <w:rPr>
          <w:color w:val="000000"/>
        </w:rPr>
      </w:pPr>
      <w:r>
        <w:t>Evans, A.,</w:t>
      </w:r>
      <w:r w:rsidRPr="00A94DAE">
        <w:t xml:space="preserve"> 19</w:t>
      </w:r>
      <w:r>
        <w:t>30</w:t>
      </w:r>
      <w:r w:rsidRPr="00A94DAE">
        <w:t xml:space="preserve">. </w:t>
      </w:r>
      <w:r w:rsidRPr="00A94DAE">
        <w:rPr>
          <w:i/>
        </w:rPr>
        <w:t>The Palace of Minos, Vol I</w:t>
      </w:r>
      <w:r>
        <w:rPr>
          <w:i/>
        </w:rPr>
        <w:t>II</w:t>
      </w:r>
      <w:r w:rsidRPr="00A94DAE">
        <w:rPr>
          <w:i/>
        </w:rPr>
        <w:t xml:space="preserve"> .</w:t>
      </w:r>
      <w:r>
        <w:rPr>
          <w:i/>
        </w:rPr>
        <w:t xml:space="preserve"> </w:t>
      </w:r>
      <w:r w:rsidRPr="00A94DAE">
        <w:t>London: MacMillan and Co.</w:t>
      </w:r>
      <w:r w:rsidRPr="00A94DAE">
        <w:rPr>
          <w:color w:val="000000"/>
        </w:rPr>
        <w:t xml:space="preserve"> </w:t>
      </w:r>
    </w:p>
    <w:p w14:paraId="40D7F63A" w14:textId="77777777" w:rsidR="00303EFE" w:rsidRDefault="00303EFE" w:rsidP="00E858EF">
      <w:pPr>
        <w:suppressAutoHyphens/>
        <w:autoSpaceDE w:val="0"/>
        <w:autoSpaceDN w:val="0"/>
        <w:adjustRightInd w:val="0"/>
        <w:rPr>
          <w:color w:val="000000"/>
        </w:rPr>
      </w:pPr>
    </w:p>
    <w:p w14:paraId="380DE4F0" w14:textId="77777777" w:rsidR="00303EFE" w:rsidRDefault="00303EFE" w:rsidP="00E858EF">
      <w:pPr>
        <w:suppressAutoHyphens/>
        <w:autoSpaceDE w:val="0"/>
        <w:autoSpaceDN w:val="0"/>
        <w:adjustRightInd w:val="0"/>
        <w:rPr>
          <w:color w:val="000000"/>
        </w:rPr>
      </w:pPr>
      <w:r>
        <w:t>Evans, A.,</w:t>
      </w:r>
      <w:r w:rsidRPr="00A94DAE">
        <w:t xml:space="preserve"> 19</w:t>
      </w:r>
      <w:r>
        <w:t>35</w:t>
      </w:r>
      <w:r w:rsidRPr="00A94DAE">
        <w:t xml:space="preserve">. </w:t>
      </w:r>
      <w:r w:rsidRPr="00A94DAE">
        <w:rPr>
          <w:i/>
        </w:rPr>
        <w:t>The Palace of Minos, Vol I</w:t>
      </w:r>
      <w:r>
        <w:rPr>
          <w:i/>
        </w:rPr>
        <w:t>V.</w:t>
      </w:r>
      <w:r w:rsidRPr="00E267B1">
        <w:t xml:space="preserve"> </w:t>
      </w:r>
      <w:r w:rsidRPr="00A94DAE">
        <w:t>London: MacMillan and Co.</w:t>
      </w:r>
    </w:p>
    <w:p w14:paraId="0814AB2D" w14:textId="77777777" w:rsidR="00303EFE" w:rsidRPr="00467720" w:rsidRDefault="00303EFE" w:rsidP="00E858EF">
      <w:pPr>
        <w:suppressAutoHyphens/>
      </w:pPr>
    </w:p>
    <w:p w14:paraId="1BF7849D" w14:textId="77777777"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pPr>
      <w:r w:rsidRPr="00AB55D4">
        <w:rPr>
          <w:color w:val="000000"/>
        </w:rPr>
        <w:t>Farnoux, A.</w:t>
      </w:r>
      <w:r>
        <w:rPr>
          <w:color w:val="000000"/>
        </w:rPr>
        <w:t>,</w:t>
      </w:r>
      <w:r w:rsidRPr="00AB55D4">
        <w:rPr>
          <w:color w:val="000000"/>
        </w:rPr>
        <w:t xml:space="preserve"> 1989-1990. </w:t>
      </w:r>
      <w:r w:rsidRPr="00AB55D4">
        <w:t>Malia</w:t>
      </w:r>
      <w:r>
        <w:t>,</w:t>
      </w:r>
      <w:r w:rsidRPr="00AB55D4">
        <w:t xml:space="preserve"> la fin du Bronze Recent</w:t>
      </w:r>
      <w:r>
        <w:t>.</w:t>
      </w:r>
      <w:r w:rsidRPr="00AB55D4">
        <w:t xml:space="preserve"> </w:t>
      </w:r>
      <w:r w:rsidRPr="00A67D51">
        <w:rPr>
          <w:i/>
        </w:rPr>
        <w:t xml:space="preserve">Acta Archaeologica Lovaniensa </w:t>
      </w:r>
      <w:r w:rsidRPr="00BA2849">
        <w:t>28-29</w:t>
      </w:r>
      <w:r w:rsidRPr="00AB55D4">
        <w:t>: 25-34.</w:t>
      </w:r>
    </w:p>
    <w:p w14:paraId="01A73569" w14:textId="77777777" w:rsidR="00303EFE" w:rsidRPr="00467720"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pPr>
    </w:p>
    <w:p w14:paraId="06B89D5E" w14:textId="77777777" w:rsidR="00303EFE" w:rsidRDefault="00303EFE" w:rsidP="00E858EF">
      <w:pPr>
        <w:suppressAutoHyphens/>
        <w:autoSpaceDE w:val="0"/>
        <w:autoSpaceDN w:val="0"/>
        <w:adjustRightInd w:val="0"/>
      </w:pPr>
      <w:r w:rsidRPr="00AB55D4">
        <w:t>Farnoux, A.</w:t>
      </w:r>
      <w:r>
        <w:t xml:space="preserve">, </w:t>
      </w:r>
      <w:r w:rsidRPr="00AB55D4">
        <w:t>1990</w:t>
      </w:r>
      <w:r>
        <w:t>.</w:t>
      </w:r>
      <w:r w:rsidRPr="00AB55D4">
        <w:rPr>
          <w:color w:val="000000"/>
        </w:rPr>
        <w:t xml:space="preserve"> </w:t>
      </w:r>
      <w:r w:rsidRPr="00A67D51">
        <w:rPr>
          <w:i/>
        </w:rPr>
        <w:t xml:space="preserve">Malia, une ville de Crète à la fin du Bronze Récent. </w:t>
      </w:r>
      <w:r w:rsidRPr="00AB55D4">
        <w:t>Unpublished PhD thesis</w:t>
      </w:r>
      <w:r>
        <w:t>,</w:t>
      </w:r>
      <w:r w:rsidRPr="00AB55D4">
        <w:t xml:space="preserve"> Université de Paris IV Sorbonne</w:t>
      </w:r>
      <w:r>
        <w:t>.</w:t>
      </w:r>
      <w:r w:rsidRPr="00AB55D4">
        <w:t xml:space="preserve"> </w:t>
      </w:r>
    </w:p>
    <w:p w14:paraId="7379D6AB" w14:textId="77777777" w:rsidR="00303EFE" w:rsidRPr="00467720" w:rsidRDefault="00303EFE" w:rsidP="00E858EF">
      <w:pPr>
        <w:suppressAutoHyphens/>
        <w:autoSpaceDE w:val="0"/>
        <w:autoSpaceDN w:val="0"/>
        <w:adjustRightInd w:val="0"/>
      </w:pPr>
    </w:p>
    <w:p w14:paraId="242D5A51" w14:textId="77777777" w:rsidR="00303EFE" w:rsidRDefault="00303EFE" w:rsidP="00E858EF">
      <w:pPr>
        <w:suppressAutoHyphens/>
        <w:autoSpaceDE w:val="0"/>
        <w:autoSpaceDN w:val="0"/>
        <w:adjustRightInd w:val="0"/>
      </w:pPr>
      <w:r w:rsidRPr="00467720">
        <w:rPr>
          <w:color w:val="000000"/>
        </w:rPr>
        <w:t>Farnoux, A.</w:t>
      </w:r>
      <w:r>
        <w:rPr>
          <w:color w:val="000000"/>
        </w:rPr>
        <w:t>,</w:t>
      </w:r>
      <w:r w:rsidRPr="00467720">
        <w:rPr>
          <w:color w:val="000000"/>
        </w:rPr>
        <w:t xml:space="preserve"> 1992. </w:t>
      </w:r>
      <w:r w:rsidRPr="00467720">
        <w:t xml:space="preserve">Malia et la Crète. </w:t>
      </w:r>
      <w:r>
        <w:t>L</w:t>
      </w:r>
      <w:r w:rsidRPr="00467720">
        <w:t xml:space="preserve">’époque mycénienne, </w:t>
      </w:r>
      <w:r w:rsidRPr="00A67D51">
        <w:rPr>
          <w:i/>
        </w:rPr>
        <w:t>Revue Archéologique</w:t>
      </w:r>
      <w:r>
        <w:rPr>
          <w:i/>
        </w:rPr>
        <w:t xml:space="preserve"> </w:t>
      </w:r>
      <w:r w:rsidRPr="00BA2849">
        <w:t>22 1</w:t>
      </w:r>
      <w:r w:rsidRPr="00467720">
        <w:t>: 201-216.</w:t>
      </w:r>
    </w:p>
    <w:p w14:paraId="7AEE9EC7" w14:textId="77777777" w:rsidR="00303EFE" w:rsidRPr="00467720" w:rsidRDefault="00303EFE" w:rsidP="00E858EF">
      <w:pPr>
        <w:suppressAutoHyphens/>
        <w:autoSpaceDE w:val="0"/>
        <w:autoSpaceDN w:val="0"/>
        <w:adjustRightInd w:val="0"/>
      </w:pPr>
    </w:p>
    <w:p w14:paraId="2F4E31D4" w14:textId="77777777" w:rsidR="00303EFE" w:rsidRDefault="00303EFE" w:rsidP="00E858EF">
      <w:pPr>
        <w:tabs>
          <w:tab w:val="left" w:pos="0"/>
        </w:tabs>
        <w:suppressAutoHyphens/>
        <w:autoSpaceDE w:val="0"/>
        <w:autoSpaceDN w:val="0"/>
        <w:adjustRightInd w:val="0"/>
        <w:spacing w:after="40"/>
      </w:pPr>
      <w:r w:rsidRPr="00AB55D4">
        <w:rPr>
          <w:color w:val="000000"/>
        </w:rPr>
        <w:t>Farnoux, A.</w:t>
      </w:r>
      <w:r>
        <w:rPr>
          <w:color w:val="000000"/>
        </w:rPr>
        <w:t>,</w:t>
      </w:r>
      <w:r w:rsidRPr="00AB55D4">
        <w:rPr>
          <w:color w:val="000000"/>
        </w:rPr>
        <w:t xml:space="preserve"> 1997.</w:t>
      </w:r>
      <w:r>
        <w:rPr>
          <w:color w:val="000000"/>
        </w:rPr>
        <w:t xml:space="preserve"> </w:t>
      </w:r>
      <w:r w:rsidRPr="00AB55D4">
        <w:t xml:space="preserve">Malia aux Minoen Récent II et IIIA1. </w:t>
      </w:r>
      <w:r>
        <w:t xml:space="preserve">In: </w:t>
      </w:r>
      <w:r w:rsidRPr="00AB55D4">
        <w:t>J. Driessen and A. Farnoux</w:t>
      </w:r>
      <w:r>
        <w:t>, eds.</w:t>
      </w:r>
      <w:r w:rsidRPr="00AB55D4">
        <w:rPr>
          <w:i/>
        </w:rPr>
        <w:t xml:space="preserve"> La Crète </w:t>
      </w:r>
      <w:r>
        <w:rPr>
          <w:i/>
        </w:rPr>
        <w:t>m</w:t>
      </w:r>
      <w:r w:rsidRPr="00AB55D4">
        <w:rPr>
          <w:i/>
        </w:rPr>
        <w:t>ycénienne: actes de la table ronde internationale organisée par l'Ecole française d'Athènes 26-28 mars 1991</w:t>
      </w:r>
      <w:r>
        <w:rPr>
          <w:i/>
        </w:rPr>
        <w:t>.</w:t>
      </w:r>
      <w:r w:rsidRPr="00AB55D4">
        <w:rPr>
          <w:i/>
        </w:rPr>
        <w:t xml:space="preserve"> </w:t>
      </w:r>
      <w:r>
        <w:rPr>
          <w:i/>
        </w:rPr>
        <w:t>BCH</w:t>
      </w:r>
      <w:r w:rsidRPr="00AB55D4">
        <w:rPr>
          <w:i/>
        </w:rPr>
        <w:t xml:space="preserve"> </w:t>
      </w:r>
      <w:r w:rsidRPr="00AB55D4">
        <w:t>Supplement 30: 135-147. Athènes: École française d'Athènes.</w:t>
      </w:r>
    </w:p>
    <w:p w14:paraId="65DA5D77" w14:textId="77777777" w:rsidR="00303EFE" w:rsidRPr="00467720" w:rsidRDefault="00303EFE" w:rsidP="00E858EF">
      <w:pPr>
        <w:tabs>
          <w:tab w:val="left" w:pos="0"/>
        </w:tabs>
        <w:suppressAutoHyphens/>
        <w:autoSpaceDE w:val="0"/>
        <w:autoSpaceDN w:val="0"/>
        <w:adjustRightInd w:val="0"/>
        <w:spacing w:after="40"/>
      </w:pPr>
    </w:p>
    <w:p w14:paraId="05409B11" w14:textId="77777777" w:rsidR="00303EFE" w:rsidRDefault="00303EFE" w:rsidP="00E858EF">
      <w:pPr>
        <w:suppressAutoHyphens/>
      </w:pPr>
      <w:r w:rsidRPr="00AB55D4">
        <w:t>Faure, P.</w:t>
      </w:r>
      <w:r>
        <w:t>,</w:t>
      </w:r>
      <w:r w:rsidRPr="00AB55D4">
        <w:t xml:space="preserve"> 1960. Reserches de spéléologie et de topographie Crétoises</w:t>
      </w:r>
      <w:r>
        <w:t>.</w:t>
      </w:r>
      <w:r w:rsidRPr="00AB55D4">
        <w:rPr>
          <w:i/>
        </w:rPr>
        <w:t xml:space="preserve"> </w:t>
      </w:r>
      <w:r>
        <w:rPr>
          <w:i/>
        </w:rPr>
        <w:t>BCH</w:t>
      </w:r>
      <w:r w:rsidRPr="00AB55D4">
        <w:rPr>
          <w:i/>
        </w:rPr>
        <w:t xml:space="preserve"> </w:t>
      </w:r>
      <w:r w:rsidRPr="00AB55D4">
        <w:t>84:</w:t>
      </w:r>
      <w:r>
        <w:t xml:space="preserve"> </w:t>
      </w:r>
      <w:r w:rsidRPr="00AB55D4">
        <w:t>189- 220</w:t>
      </w:r>
      <w:r>
        <w:t>.</w:t>
      </w:r>
    </w:p>
    <w:p w14:paraId="1A897FD1" w14:textId="77777777" w:rsidR="00303EFE" w:rsidRPr="00467720" w:rsidRDefault="00303EFE" w:rsidP="00E858EF">
      <w:pPr>
        <w:suppressAutoHyphens/>
      </w:pPr>
    </w:p>
    <w:p w14:paraId="27F947F3" w14:textId="77777777" w:rsidR="00303EFE" w:rsidRDefault="00303EFE" w:rsidP="00E858EF">
      <w:pPr>
        <w:suppressAutoHyphens/>
      </w:pPr>
      <w:r w:rsidRPr="00AB55D4">
        <w:t>Forsdyke, E.</w:t>
      </w:r>
      <w:r>
        <w:t>,</w:t>
      </w:r>
      <w:r w:rsidRPr="00AB55D4">
        <w:t xml:space="preserve"> 1926-1927. The Mavro Spelio cemetery at Knossos</w:t>
      </w:r>
      <w:r>
        <w:t>.</w:t>
      </w:r>
      <w:r w:rsidRPr="00AB55D4">
        <w:t xml:space="preserve"> </w:t>
      </w:r>
      <w:r>
        <w:rPr>
          <w:i/>
          <w:lang w:val="en-US"/>
        </w:rPr>
        <w:t>BSA</w:t>
      </w:r>
      <w:r w:rsidRPr="00AB55D4">
        <w:t xml:space="preserve"> 28: 243-296.</w:t>
      </w:r>
    </w:p>
    <w:p w14:paraId="2149F2A5" w14:textId="77777777" w:rsidR="00303EFE" w:rsidRPr="00467720" w:rsidRDefault="00303EFE" w:rsidP="00E858EF">
      <w:pPr>
        <w:suppressAutoHyphens/>
      </w:pPr>
    </w:p>
    <w:p w14:paraId="2CEE74B7" w14:textId="77777777" w:rsidR="00303EFE" w:rsidRDefault="00303EFE" w:rsidP="00E858EF">
      <w:pPr>
        <w:suppressAutoHyphens/>
      </w:pPr>
      <w:r w:rsidRPr="00AB55D4">
        <w:t>Furumark, A.</w:t>
      </w:r>
      <w:r>
        <w:t>,</w:t>
      </w:r>
      <w:r w:rsidRPr="00AB55D4">
        <w:t xml:space="preserve"> 1972. </w:t>
      </w:r>
      <w:r w:rsidRPr="00A67D51">
        <w:rPr>
          <w:i/>
        </w:rPr>
        <w:t>Mycenaean Pottery I Analysis and Classification</w:t>
      </w:r>
      <w:r w:rsidRPr="00AB55D4">
        <w:t>. Acta Instituti Atheniensis regni Sueciaae, Series in 4°</w:t>
      </w:r>
      <w:r>
        <w:t>,</w:t>
      </w:r>
      <w:r w:rsidRPr="00AB55D4">
        <w:t xml:space="preserve"> XX: 1. Stockholm: P. Astrom.</w:t>
      </w:r>
    </w:p>
    <w:p w14:paraId="530062FA" w14:textId="77777777" w:rsidR="00303EFE" w:rsidRPr="00467720" w:rsidRDefault="00303EFE" w:rsidP="00E858EF">
      <w:pPr>
        <w:suppressAutoHyphens/>
        <w:rPr>
          <w:color w:val="000000"/>
        </w:rPr>
      </w:pPr>
    </w:p>
    <w:p w14:paraId="50E1EA22" w14:textId="77777777" w:rsidR="00303EFE" w:rsidRDefault="00303EFE" w:rsidP="00E858EF">
      <w:pPr>
        <w:suppressAutoHyphens/>
      </w:pPr>
      <w:r w:rsidRPr="00AB55D4">
        <w:t>Galanakis, Y.</w:t>
      </w:r>
      <w:r>
        <w:t>,</w:t>
      </w:r>
      <w:r w:rsidRPr="00AB55D4">
        <w:t xml:space="preserve"> 2011. Late Bronze Age tholos tombs in West Crete: some architectural observations. </w:t>
      </w:r>
      <w:r>
        <w:t xml:space="preserve">In: </w:t>
      </w:r>
      <w:r w:rsidRPr="00AB55D4">
        <w:t>M. Andreadaki-Vlazaki and E. Papadopoulou</w:t>
      </w:r>
      <w:r>
        <w:t>, eds.</w:t>
      </w:r>
      <w:r w:rsidRPr="00AB55D4">
        <w:t xml:space="preserve"> </w:t>
      </w:r>
      <w:r w:rsidRPr="00AB55D4">
        <w:rPr>
          <w:i/>
        </w:rPr>
        <w:t>Πεπραγμένα Ι’ Διεθνούς Κρητολογικού Συνεδρίου</w:t>
      </w:r>
      <w:r>
        <w:t>.</w:t>
      </w:r>
      <w:r w:rsidRPr="00AB55D4">
        <w:rPr>
          <w:i/>
        </w:rPr>
        <w:t xml:space="preserve"> </w:t>
      </w:r>
      <w:r w:rsidRPr="00290D1B">
        <w:rPr>
          <w:lang w:val="el-GR"/>
        </w:rPr>
        <w:t>Χανιά, 1-8 Οκτωβρίου 2006</w:t>
      </w:r>
      <w:r w:rsidRPr="00290D1B">
        <w:t>, Α2</w:t>
      </w:r>
      <w:r w:rsidRPr="00AB55D4">
        <w:t>: 591-607. Chania: Philologikos Syllogos o Chrysostomos.</w:t>
      </w:r>
    </w:p>
    <w:p w14:paraId="05E007FA" w14:textId="77777777" w:rsidR="00303EFE" w:rsidRPr="00467720" w:rsidRDefault="00303EFE" w:rsidP="00E858EF">
      <w:pPr>
        <w:suppressAutoHyphens/>
      </w:pPr>
    </w:p>
    <w:p w14:paraId="7E9EAB54" w14:textId="77777777" w:rsidR="00303EFE" w:rsidRDefault="00303EFE" w:rsidP="00E858EF">
      <w:pPr>
        <w:suppressAutoHyphens/>
        <w:rPr>
          <w:color w:val="000000"/>
        </w:rPr>
      </w:pPr>
      <w:r>
        <w:rPr>
          <w:color w:val="000000"/>
        </w:rPr>
        <w:t>Galanakis, Y.,</w:t>
      </w:r>
      <w:r w:rsidRPr="001778F1">
        <w:rPr>
          <w:color w:val="000000"/>
        </w:rPr>
        <w:t xml:space="preserve"> 2013. </w:t>
      </w:r>
      <w:r w:rsidRPr="001778F1">
        <w:rPr>
          <w:i/>
          <w:color w:val="000000"/>
        </w:rPr>
        <w:t xml:space="preserve">The Aegean </w:t>
      </w:r>
      <w:r>
        <w:rPr>
          <w:i/>
          <w:color w:val="000000"/>
        </w:rPr>
        <w:t>W</w:t>
      </w:r>
      <w:r w:rsidRPr="001778F1">
        <w:rPr>
          <w:i/>
          <w:color w:val="000000"/>
        </w:rPr>
        <w:t xml:space="preserve">orld: A guide to the Cycladic, Minoan and Mycenaean </w:t>
      </w:r>
      <w:r>
        <w:rPr>
          <w:i/>
          <w:color w:val="000000"/>
        </w:rPr>
        <w:t>A</w:t>
      </w:r>
      <w:r w:rsidRPr="001778F1">
        <w:rPr>
          <w:i/>
          <w:color w:val="000000"/>
        </w:rPr>
        <w:t>ntiquities in the Ashmolean Museum</w:t>
      </w:r>
      <w:r w:rsidRPr="001778F1">
        <w:rPr>
          <w:color w:val="000000"/>
        </w:rPr>
        <w:t>. Athens: Kapon Editions.</w:t>
      </w:r>
    </w:p>
    <w:p w14:paraId="281FA77C" w14:textId="77777777" w:rsidR="00303EFE" w:rsidRPr="00467720" w:rsidRDefault="00303EFE" w:rsidP="00E858EF">
      <w:pPr>
        <w:suppressAutoHyphens/>
      </w:pPr>
    </w:p>
    <w:p w14:paraId="6168FE29" w14:textId="77777777" w:rsidR="00303EFE" w:rsidRDefault="00303EFE" w:rsidP="00E858EF">
      <w:pPr>
        <w:suppressAutoHyphens/>
      </w:pPr>
      <w:r w:rsidRPr="00AB55D4">
        <w:t>Galanakis, Y.</w:t>
      </w:r>
      <w:r>
        <w:t>,</w:t>
      </w:r>
      <w:r w:rsidRPr="00AB55D4">
        <w:t xml:space="preserve"> 2016</w:t>
      </w:r>
      <w:r>
        <w:t>a</w:t>
      </w:r>
      <w:r w:rsidRPr="00AB55D4">
        <w:t xml:space="preserve">. A Roof for the </w:t>
      </w:r>
      <w:r>
        <w:t>d</w:t>
      </w:r>
      <w:r w:rsidRPr="00AB55D4">
        <w:t xml:space="preserve">ead: </w:t>
      </w:r>
      <w:r>
        <w:t>t</w:t>
      </w:r>
      <w:r w:rsidRPr="00AB55D4">
        <w:t xml:space="preserve">omb </w:t>
      </w:r>
      <w:r>
        <w:t>d</w:t>
      </w:r>
      <w:r w:rsidRPr="00AB55D4">
        <w:t>esign and the “</w:t>
      </w:r>
      <w:r>
        <w:t>d</w:t>
      </w:r>
      <w:r w:rsidRPr="00AB55D4">
        <w:t xml:space="preserve">omestication of </w:t>
      </w:r>
      <w:r>
        <w:t>d</w:t>
      </w:r>
      <w:r w:rsidRPr="00AB55D4">
        <w:t xml:space="preserve">eath” in Mycenaean </w:t>
      </w:r>
      <w:r>
        <w:t>f</w:t>
      </w:r>
      <w:r w:rsidRPr="00AB55D4">
        <w:t xml:space="preserve">unerary Architecture. </w:t>
      </w:r>
      <w:r>
        <w:t xml:space="preserve">In: </w:t>
      </w:r>
      <w:r w:rsidRPr="00AB55D4">
        <w:t>A. Dakouri-Hild and M.</w:t>
      </w:r>
      <w:r>
        <w:t xml:space="preserve"> </w:t>
      </w:r>
      <w:r w:rsidRPr="00AB55D4">
        <w:t>J. Boyd</w:t>
      </w:r>
      <w:r>
        <w:t>, eds.</w:t>
      </w:r>
      <w:r w:rsidRPr="00AB55D4">
        <w:t xml:space="preserve"> </w:t>
      </w:r>
      <w:r w:rsidRPr="00AB55D4">
        <w:rPr>
          <w:i/>
        </w:rPr>
        <w:t>Staging Death. Funerary Performance, Architecture and Landscape in the Aegean</w:t>
      </w:r>
      <w:r w:rsidRPr="00290D1B">
        <w:t>:</w:t>
      </w:r>
      <w:r w:rsidRPr="00AB55D4">
        <w:rPr>
          <w:i/>
        </w:rPr>
        <w:t xml:space="preserve"> </w:t>
      </w:r>
      <w:r w:rsidRPr="00BA2849">
        <w:t>155-177</w:t>
      </w:r>
      <w:r w:rsidRPr="00AB55D4">
        <w:rPr>
          <w:i/>
        </w:rPr>
        <w:t xml:space="preserve">. </w:t>
      </w:r>
      <w:r w:rsidRPr="00AB55D4">
        <w:t>Berlin: De Gruyter.</w:t>
      </w:r>
    </w:p>
    <w:p w14:paraId="13EB5AFE" w14:textId="77777777" w:rsidR="00303EFE" w:rsidRDefault="00303EFE" w:rsidP="00E858EF">
      <w:pPr>
        <w:suppressAutoHyphens/>
      </w:pPr>
    </w:p>
    <w:p w14:paraId="470E6B8F" w14:textId="073B52B3" w:rsidR="00303EFE" w:rsidRDefault="00303EFE" w:rsidP="00E858EF">
      <w:pPr>
        <w:suppressAutoHyphens/>
        <w:rPr>
          <w:color w:val="000000"/>
        </w:rPr>
      </w:pPr>
      <w:r w:rsidRPr="003F648F">
        <w:rPr>
          <w:color w:val="000000"/>
        </w:rPr>
        <w:t>Galanakis, Y.</w:t>
      </w:r>
      <w:r>
        <w:rPr>
          <w:color w:val="000000"/>
        </w:rPr>
        <w:t>,</w:t>
      </w:r>
      <w:r w:rsidRPr="003F648F">
        <w:rPr>
          <w:color w:val="000000"/>
        </w:rPr>
        <w:t xml:space="preserve"> 2016b. Fire, </w:t>
      </w:r>
      <w:r>
        <w:rPr>
          <w:color w:val="000000"/>
        </w:rPr>
        <w:t>f</w:t>
      </w:r>
      <w:r w:rsidRPr="003F648F">
        <w:rPr>
          <w:color w:val="000000"/>
        </w:rPr>
        <w:t xml:space="preserve">ragmentation and the </w:t>
      </w:r>
      <w:r>
        <w:rPr>
          <w:color w:val="000000"/>
        </w:rPr>
        <w:t>b</w:t>
      </w:r>
      <w:r w:rsidRPr="003F648F">
        <w:rPr>
          <w:color w:val="000000"/>
        </w:rPr>
        <w:t xml:space="preserve">ody in the Late Bronze Age Aegean. </w:t>
      </w:r>
      <w:r>
        <w:rPr>
          <w:color w:val="000000"/>
        </w:rPr>
        <w:t xml:space="preserve">In: </w:t>
      </w:r>
      <w:r w:rsidRPr="003F648F">
        <w:rPr>
          <w:color w:val="000000"/>
        </w:rPr>
        <w:t xml:space="preserve">M. Mina, S. Triantaphyllou and Y. </w:t>
      </w:r>
      <w:r w:rsidR="004A3CF1">
        <w:rPr>
          <w:color w:val="000000"/>
        </w:rPr>
        <w:t>Papadatos</w:t>
      </w:r>
      <w:r>
        <w:rPr>
          <w:color w:val="000000"/>
        </w:rPr>
        <w:t>, eds.</w:t>
      </w:r>
      <w:r w:rsidRPr="003F648F">
        <w:rPr>
          <w:color w:val="000000"/>
        </w:rPr>
        <w:t xml:space="preserve"> </w:t>
      </w:r>
      <w:r w:rsidRPr="003F648F">
        <w:rPr>
          <w:i/>
          <w:color w:val="000000"/>
        </w:rPr>
        <w:t>An Archaeology of Prehistoric Bodies and Embodied Identities in the Eastern Mediterranean</w:t>
      </w:r>
      <w:r w:rsidRPr="006055A5">
        <w:rPr>
          <w:color w:val="000000"/>
        </w:rPr>
        <w:t>:</w:t>
      </w:r>
      <w:r w:rsidRPr="003F648F">
        <w:rPr>
          <w:i/>
          <w:color w:val="000000"/>
        </w:rPr>
        <w:t xml:space="preserve"> </w:t>
      </w:r>
      <w:r w:rsidRPr="003F648F">
        <w:rPr>
          <w:color w:val="000000"/>
        </w:rPr>
        <w:t>189-196. Oxford: Oxbow.</w:t>
      </w:r>
    </w:p>
    <w:p w14:paraId="0F412A03" w14:textId="77777777" w:rsidR="00303EFE" w:rsidRDefault="00303EFE" w:rsidP="00E858EF">
      <w:pPr>
        <w:suppressAutoHyphens/>
      </w:pPr>
    </w:p>
    <w:p w14:paraId="51F57F7E" w14:textId="77777777" w:rsidR="00303EFE" w:rsidRPr="00C21D8A" w:rsidRDefault="00303EFE" w:rsidP="00E858EF">
      <w:pPr>
        <w:suppressAutoHyphens/>
      </w:pPr>
      <w:r w:rsidRPr="00C21D8A">
        <w:t>Gallou, C.</w:t>
      </w:r>
      <w:r>
        <w:t>,</w:t>
      </w:r>
      <w:r w:rsidRPr="00C21D8A">
        <w:t xml:space="preserve"> 2005. </w:t>
      </w:r>
      <w:r w:rsidRPr="00C21D8A">
        <w:rPr>
          <w:i/>
        </w:rPr>
        <w:t xml:space="preserve">The Mycenaean Cult of the Dead. </w:t>
      </w:r>
      <w:r w:rsidRPr="00C21D8A">
        <w:t xml:space="preserve">BAR International </w:t>
      </w:r>
      <w:r w:rsidRPr="001A0D2F">
        <w:t>Series</w:t>
      </w:r>
      <w:r w:rsidRPr="00290D1B">
        <w:rPr>
          <w:rFonts w:eastAsia="Times New Roman"/>
          <w:shd w:val="clear" w:color="auto" w:fill="FFFFFF"/>
        </w:rPr>
        <w:t xml:space="preserve"> 1889</w:t>
      </w:r>
      <w:r w:rsidRPr="001A0D2F">
        <w:t>. Oxford</w:t>
      </w:r>
      <w:r w:rsidRPr="00C21D8A">
        <w:t>: British Archaeological Reports.</w:t>
      </w:r>
    </w:p>
    <w:p w14:paraId="5228ECC6" w14:textId="77777777" w:rsidR="00303EFE" w:rsidRPr="00AB55D4" w:rsidRDefault="00303EFE" w:rsidP="00E858EF">
      <w:pPr>
        <w:suppressAutoHyphens/>
      </w:pPr>
    </w:p>
    <w:p w14:paraId="07104645" w14:textId="77777777" w:rsidR="00303EFE" w:rsidRDefault="00303EFE" w:rsidP="00E858EF">
      <w:pPr>
        <w:suppressAutoHyphens/>
      </w:pPr>
      <w:r w:rsidRPr="00AB55D4">
        <w:t>Gavrilaki, I.</w:t>
      </w:r>
      <w:r>
        <w:t>,</w:t>
      </w:r>
      <w:r w:rsidRPr="00AB55D4">
        <w:t xml:space="preserve"> 1994. Una </w:t>
      </w:r>
      <w:r>
        <w:t>t</w:t>
      </w:r>
      <w:r w:rsidRPr="00AB55D4">
        <w:t xml:space="preserve">ombe du MR IIIB dans la </w:t>
      </w:r>
      <w:r>
        <w:t>r</w:t>
      </w:r>
      <w:r w:rsidRPr="00AB55D4">
        <w:t xml:space="preserve">égion de Réthymnon. </w:t>
      </w:r>
      <w:r>
        <w:rPr>
          <w:color w:val="000000"/>
        </w:rPr>
        <w:t xml:space="preserve">In: </w:t>
      </w:r>
      <w:r w:rsidRPr="00AB55D4">
        <w:rPr>
          <w:color w:val="000000"/>
        </w:rPr>
        <w:t>L. Rocchetti</w:t>
      </w:r>
      <w:r>
        <w:rPr>
          <w:color w:val="000000"/>
        </w:rPr>
        <w:t xml:space="preserve">, ed. </w:t>
      </w:r>
      <w:r w:rsidRPr="00A67D51">
        <w:rPr>
          <w:i/>
          <w:color w:val="000000"/>
        </w:rPr>
        <w:t>Sybrita: la Valle di Amari fra bronzo e ferro</w:t>
      </w:r>
      <w:r w:rsidRPr="00AB55D4">
        <w:rPr>
          <w:color w:val="000000"/>
        </w:rPr>
        <w:t xml:space="preserve">. </w:t>
      </w:r>
      <w:r w:rsidRPr="00AB55D4">
        <w:t>Incunabula Graeca 96: 31-60.</w:t>
      </w:r>
      <w:r w:rsidRPr="00AB55D4">
        <w:rPr>
          <w:i/>
        </w:rPr>
        <w:t xml:space="preserve"> </w:t>
      </w:r>
      <w:r w:rsidRPr="00AB55D4">
        <w:t>Roma: Gruppo editoriale internazionale.</w:t>
      </w:r>
    </w:p>
    <w:p w14:paraId="16646C7B" w14:textId="77777777" w:rsidR="00303EFE" w:rsidRPr="00467720" w:rsidRDefault="00303EFE" w:rsidP="00E858EF">
      <w:pPr>
        <w:suppressAutoHyphens/>
      </w:pPr>
    </w:p>
    <w:p w14:paraId="25A272FE" w14:textId="77777777" w:rsidR="00303EFE" w:rsidRDefault="00303EFE" w:rsidP="00E858EF">
      <w:pPr>
        <w:suppressAutoHyphens/>
      </w:pPr>
      <w:r w:rsidRPr="00467720">
        <w:t>Gell, A.</w:t>
      </w:r>
      <w:r>
        <w:t>,</w:t>
      </w:r>
      <w:r w:rsidRPr="00467720">
        <w:t xml:space="preserve"> 1998.</w:t>
      </w:r>
      <w:r>
        <w:t xml:space="preserve"> </w:t>
      </w:r>
      <w:r w:rsidRPr="00467720">
        <w:rPr>
          <w:i/>
        </w:rPr>
        <w:t>Art and Agency: An Anthropological Theory</w:t>
      </w:r>
      <w:r w:rsidRPr="00467720">
        <w:t>. Oxford: Clarendon Press.</w:t>
      </w:r>
    </w:p>
    <w:p w14:paraId="6422389D" w14:textId="77777777" w:rsidR="00303EFE" w:rsidRPr="00467720" w:rsidRDefault="00303EFE" w:rsidP="00E858EF">
      <w:pPr>
        <w:suppressAutoHyphens/>
      </w:pPr>
    </w:p>
    <w:p w14:paraId="0FE2BDAC"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467720">
        <w:rPr>
          <w:color w:val="000000"/>
        </w:rPr>
        <w:t>Girella, L.</w:t>
      </w:r>
      <w:r>
        <w:rPr>
          <w:color w:val="000000"/>
        </w:rPr>
        <w:t>,</w:t>
      </w:r>
      <w:r w:rsidRPr="00467720">
        <w:rPr>
          <w:color w:val="000000"/>
        </w:rPr>
        <w:t xml:space="preserve"> 2011. </w:t>
      </w:r>
      <w:r>
        <w:rPr>
          <w:color w:val="000000"/>
        </w:rPr>
        <w:t>T</w:t>
      </w:r>
      <w:r w:rsidRPr="00467720">
        <w:t xml:space="preserve">he Kamilari project publication. </w:t>
      </w:r>
      <w:r w:rsidRPr="00A67D51">
        <w:rPr>
          <w:i/>
          <w:color w:val="000000"/>
        </w:rPr>
        <w:t xml:space="preserve">Rivista di Archeologia </w:t>
      </w:r>
      <w:r w:rsidRPr="00BA2849">
        <w:rPr>
          <w:color w:val="000000"/>
        </w:rPr>
        <w:t>35</w:t>
      </w:r>
      <w:r w:rsidRPr="00467720">
        <w:rPr>
          <w:color w:val="000000"/>
        </w:rPr>
        <w:t>: 123-136.</w:t>
      </w:r>
    </w:p>
    <w:p w14:paraId="089332C6" w14:textId="77777777" w:rsidR="00303EFE" w:rsidRPr="00467720" w:rsidRDefault="00303EFE" w:rsidP="00E858EF">
      <w:pPr>
        <w:suppressAutoHyphens/>
      </w:pPr>
    </w:p>
    <w:p w14:paraId="120F8DC1" w14:textId="77777777" w:rsidR="00303EFE" w:rsidRDefault="00303EFE" w:rsidP="00E858EF">
      <w:pPr>
        <w:suppressAutoHyphens/>
      </w:pPr>
      <w:r w:rsidRPr="00AB55D4">
        <w:t>Godart, L. and Tzedakis, Y.</w:t>
      </w:r>
      <w:r>
        <w:t>,</w:t>
      </w:r>
      <w:r w:rsidRPr="00AB55D4">
        <w:t xml:space="preserve"> 1992</w:t>
      </w:r>
      <w:r w:rsidRPr="00AB55D4">
        <w:rPr>
          <w:i/>
        </w:rPr>
        <w:t xml:space="preserve">. Témoignages </w:t>
      </w:r>
      <w:r>
        <w:rPr>
          <w:i/>
        </w:rPr>
        <w:t>a</w:t>
      </w:r>
      <w:r w:rsidRPr="00AB55D4">
        <w:rPr>
          <w:i/>
        </w:rPr>
        <w:t>rchéologiques et épigraphiques en Crète occidentale du Néolithique au Minoen Récent III B.</w:t>
      </w:r>
      <w:r w:rsidRPr="00AB55D4">
        <w:rPr>
          <w:rFonts w:eastAsia="Times New Roman"/>
          <w:color w:val="4A4A4A"/>
          <w:shd w:val="clear" w:color="auto" w:fill="FFFFFF"/>
        </w:rPr>
        <w:t xml:space="preserve"> </w:t>
      </w:r>
      <w:r w:rsidRPr="00AB55D4">
        <w:t>Incunabula Graeca 93</w:t>
      </w:r>
      <w:r>
        <w:t>.</w:t>
      </w:r>
      <w:r w:rsidRPr="00AB55D4">
        <w:rPr>
          <w:i/>
        </w:rPr>
        <w:t xml:space="preserve"> </w:t>
      </w:r>
      <w:r w:rsidRPr="00AB55D4">
        <w:t>Roma: Gruppo editoriale internazionale</w:t>
      </w:r>
      <w:r>
        <w:t>.</w:t>
      </w:r>
    </w:p>
    <w:p w14:paraId="79BDE4F3" w14:textId="77777777" w:rsidR="00303EFE" w:rsidRPr="00AB55D4" w:rsidRDefault="00303EFE" w:rsidP="00E858EF">
      <w:pPr>
        <w:suppressAutoHyphens/>
        <w:rPr>
          <w:i/>
        </w:rPr>
      </w:pPr>
    </w:p>
    <w:p w14:paraId="05053531" w14:textId="77777777" w:rsidR="00303EFE" w:rsidRDefault="00303EFE" w:rsidP="00E858EF">
      <w:pPr>
        <w:suppressAutoHyphens/>
        <w:autoSpaceDE w:val="0"/>
        <w:autoSpaceDN w:val="0"/>
        <w:adjustRightInd w:val="0"/>
      </w:pPr>
      <w:r w:rsidRPr="00AB55D4">
        <w:t>Godart, L. and Tzedakis, Y.</w:t>
      </w:r>
      <w:r>
        <w:t>,</w:t>
      </w:r>
      <w:r w:rsidRPr="00AB55D4">
        <w:t xml:space="preserve"> 1994: Les nécropoles d’Apodoulou et d’Armenoi au MR IIIB. </w:t>
      </w:r>
      <w:r>
        <w:t xml:space="preserve">In: </w:t>
      </w:r>
      <w:r w:rsidRPr="00AB55D4">
        <w:t xml:space="preserve">L. Rocchetti. </w:t>
      </w:r>
      <w:r w:rsidRPr="00AB55D4">
        <w:rPr>
          <w:i/>
        </w:rPr>
        <w:t>Sybrita: la Valle di Amari fra bronzo e ferro</w:t>
      </w:r>
      <w:r w:rsidRPr="006055A5">
        <w:t>:</w:t>
      </w:r>
      <w:r w:rsidRPr="00AB55D4">
        <w:t xml:space="preserve"> 61-66. Incunabula Graeca 96.</w:t>
      </w:r>
      <w:r>
        <w:t xml:space="preserve"> </w:t>
      </w:r>
      <w:r w:rsidRPr="00AB55D4">
        <w:t>Roma: Gruppo editoriale internazionale.</w:t>
      </w:r>
    </w:p>
    <w:p w14:paraId="33D65678" w14:textId="77777777" w:rsidR="00303EFE" w:rsidRPr="00467720" w:rsidRDefault="00303EFE" w:rsidP="00E858EF">
      <w:pPr>
        <w:suppressAutoHyphens/>
        <w:autoSpaceDE w:val="0"/>
        <w:autoSpaceDN w:val="0"/>
        <w:adjustRightInd w:val="0"/>
      </w:pPr>
    </w:p>
    <w:p w14:paraId="40BFFFE0" w14:textId="7FE45ADB" w:rsidR="00303EFE" w:rsidRDefault="00303EFE" w:rsidP="00E858EF">
      <w:pPr>
        <w:suppressAutoHyphens/>
        <w:autoSpaceDE w:val="0"/>
        <w:autoSpaceDN w:val="0"/>
        <w:adjustRightInd w:val="0"/>
      </w:pPr>
      <w:r w:rsidRPr="00AB55D4">
        <w:t>Godart, L. and Tzedakis, Y.</w:t>
      </w:r>
      <w:r>
        <w:t>,</w:t>
      </w:r>
      <w:r w:rsidRPr="00AB55D4">
        <w:t xml:space="preserve"> 1995. Les recherches à Apodoulou</w:t>
      </w:r>
      <w:r>
        <w:t>.</w:t>
      </w:r>
      <w:r w:rsidRPr="00AB55D4">
        <w:t xml:space="preserve"> </w:t>
      </w:r>
      <w:r>
        <w:t xml:space="preserve">In: </w:t>
      </w:r>
      <w:r w:rsidRPr="00AB55D4">
        <w:t>Ν. Ε.</w:t>
      </w:r>
      <w:r w:rsidR="006F1FDB">
        <w:t xml:space="preserve"> Papadogiannakis</w:t>
      </w:r>
      <w:r>
        <w:rPr>
          <w:lang w:val="el-GR"/>
        </w:rPr>
        <w:t xml:space="preserve">, ed. </w:t>
      </w:r>
      <w:r w:rsidRPr="00AB55D4">
        <w:rPr>
          <w:i/>
        </w:rPr>
        <w:t>Πεπραγμένα του Ζ' Διεθνούς Κρητολογικού Συνεδρίου</w:t>
      </w:r>
      <w:r w:rsidRPr="00290D1B">
        <w:t>. Ρέθυμνον 1991, A1</w:t>
      </w:r>
      <w:r w:rsidRPr="001A0D2F">
        <w:t>: 3</w:t>
      </w:r>
      <w:r w:rsidRPr="00AB55D4">
        <w:t>53-357</w:t>
      </w:r>
      <w:r>
        <w:t>.</w:t>
      </w:r>
      <w:r w:rsidRPr="00AB55D4">
        <w:t xml:space="preserve"> Ρέθυμνο: Ιστορική και Λαογραφική Εταιρεία Ρέθυμνης.</w:t>
      </w:r>
    </w:p>
    <w:p w14:paraId="20C81CC1" w14:textId="77777777" w:rsidR="00303EFE" w:rsidRPr="00467720" w:rsidRDefault="00303EFE" w:rsidP="00E858EF">
      <w:pPr>
        <w:suppressAutoHyphens/>
        <w:autoSpaceDE w:val="0"/>
        <w:autoSpaceDN w:val="0"/>
        <w:adjustRightInd w:val="0"/>
      </w:pPr>
    </w:p>
    <w:p w14:paraId="3803CC90" w14:textId="77777777" w:rsidR="00303EFE" w:rsidRDefault="00303EFE" w:rsidP="00E858EF">
      <w:pPr>
        <w:suppressAutoHyphens/>
        <w:spacing w:after="40"/>
        <w:rPr>
          <w:i/>
        </w:rPr>
      </w:pPr>
      <w:r w:rsidRPr="00AB55D4">
        <w:t>Hägg, R. and Sieruin, F.</w:t>
      </w:r>
      <w:r>
        <w:t>,</w:t>
      </w:r>
      <w:r w:rsidRPr="00AB55D4">
        <w:t xml:space="preserve"> 1982. On the origin of the wooden coffin in the</w:t>
      </w:r>
      <w:r>
        <w:t xml:space="preserve"> </w:t>
      </w:r>
      <w:r w:rsidRPr="00AB55D4">
        <w:t xml:space="preserve">Late Bronze Age Greece. </w:t>
      </w:r>
      <w:r>
        <w:rPr>
          <w:i/>
          <w:lang w:val="en-US"/>
        </w:rPr>
        <w:t>BSA</w:t>
      </w:r>
      <w:r w:rsidRPr="00AB55D4">
        <w:rPr>
          <w:i/>
          <w:lang w:val="en-US"/>
        </w:rPr>
        <w:t xml:space="preserve"> </w:t>
      </w:r>
      <w:r w:rsidRPr="00BA2849">
        <w:t>76:</w:t>
      </w:r>
      <w:r w:rsidRPr="00AB55D4">
        <w:rPr>
          <w:i/>
        </w:rPr>
        <w:t xml:space="preserve"> </w:t>
      </w:r>
      <w:r w:rsidRPr="00BA2849">
        <w:t>177-186</w:t>
      </w:r>
      <w:r w:rsidRPr="00AB55D4">
        <w:rPr>
          <w:i/>
        </w:rPr>
        <w:t>.</w:t>
      </w:r>
    </w:p>
    <w:p w14:paraId="04CB8FDA" w14:textId="77777777" w:rsidR="00303EFE" w:rsidRPr="00AB55D4" w:rsidRDefault="00303EFE" w:rsidP="00E858EF">
      <w:pPr>
        <w:suppressAutoHyphens/>
        <w:spacing w:after="40"/>
        <w:rPr>
          <w:i/>
        </w:rPr>
      </w:pPr>
    </w:p>
    <w:p w14:paraId="105A4204" w14:textId="77777777" w:rsidR="00303EFE" w:rsidRDefault="00303EFE" w:rsidP="00E858EF">
      <w:pPr>
        <w:suppressAutoHyphens/>
        <w:autoSpaceDE w:val="0"/>
        <w:autoSpaceDN w:val="0"/>
        <w:adjustRightInd w:val="0"/>
      </w:pPr>
      <w:r w:rsidRPr="00AB55D4">
        <w:t xml:space="preserve">Hallager, </w:t>
      </w:r>
      <w:r>
        <w:t>B. P.</w:t>
      </w:r>
      <w:r w:rsidRPr="00AB55D4">
        <w:t>, 1997. Terminology - the Late Minoan kylix, goblet and footed cup</w:t>
      </w:r>
      <w:r>
        <w:t>.</w:t>
      </w:r>
      <w:r w:rsidRPr="00AB55D4">
        <w:t xml:space="preserve"> </w:t>
      </w:r>
      <w:r>
        <w:t xml:space="preserve">In: </w:t>
      </w:r>
      <w:r w:rsidRPr="00AB55D4">
        <w:t>E</w:t>
      </w:r>
      <w:r>
        <w:t>.</w:t>
      </w:r>
      <w:r w:rsidRPr="00AB55D4">
        <w:t xml:space="preserve"> and B</w:t>
      </w:r>
      <w:r>
        <w:t>.</w:t>
      </w:r>
      <w:r w:rsidRPr="00AB55D4">
        <w:t xml:space="preserve"> Hallager</w:t>
      </w:r>
      <w:r>
        <w:t>, eds.</w:t>
      </w:r>
      <w:r w:rsidRPr="00AB55D4">
        <w:t xml:space="preserve"> </w:t>
      </w:r>
      <w:r w:rsidRPr="00AB55D4">
        <w:rPr>
          <w:i/>
        </w:rPr>
        <w:t xml:space="preserve">Late Minoan III Pottery: Chronology and Terminology. </w:t>
      </w:r>
      <w:r w:rsidRPr="00290D1B">
        <w:t>Acts of a meeting held at the Danish Institute at Athens, August 12 -14, 1994</w:t>
      </w:r>
      <w:r w:rsidRPr="001A0D2F">
        <w:t>: 15-47</w:t>
      </w:r>
      <w:r w:rsidRPr="00AB55D4">
        <w:t>. Aarhus: Aarhus University Press.</w:t>
      </w:r>
      <w:r w:rsidRPr="00947DED">
        <w:t xml:space="preserve"> </w:t>
      </w:r>
    </w:p>
    <w:p w14:paraId="71A3402F" w14:textId="77777777" w:rsidR="00303EFE" w:rsidRPr="00AB55D4" w:rsidRDefault="00303EFE" w:rsidP="00E858EF">
      <w:pPr>
        <w:suppressAutoHyphens/>
        <w:autoSpaceDE w:val="0"/>
        <w:autoSpaceDN w:val="0"/>
        <w:adjustRightInd w:val="0"/>
      </w:pPr>
    </w:p>
    <w:p w14:paraId="1EE235C6" w14:textId="77777777" w:rsidR="00303EFE" w:rsidRDefault="00303EFE" w:rsidP="00E858EF">
      <w:pPr>
        <w:suppressAutoHyphens/>
        <w:autoSpaceDE w:val="0"/>
        <w:autoSpaceDN w:val="0"/>
        <w:adjustRightInd w:val="0"/>
      </w:pPr>
      <w:r w:rsidRPr="00AB55D4">
        <w:t>Hallager, B.</w:t>
      </w:r>
      <w:r>
        <w:t xml:space="preserve"> </w:t>
      </w:r>
      <w:r w:rsidRPr="00AB55D4">
        <w:t>P. and McGeorge P.J.P.</w:t>
      </w:r>
      <w:r>
        <w:t>,</w:t>
      </w:r>
      <w:r w:rsidRPr="00AB55D4">
        <w:t xml:space="preserve"> 1992. </w:t>
      </w:r>
      <w:r w:rsidRPr="00AB55D4">
        <w:rPr>
          <w:i/>
        </w:rPr>
        <w:t>Late Minoan III Burials at Khania. The Tombs, Finds and Deceased in Odos Palama</w:t>
      </w:r>
      <w:r w:rsidRPr="00AB55D4">
        <w:t>. SIMA 93. Göteborg: Åströms</w:t>
      </w:r>
      <w:r>
        <w:t>.</w:t>
      </w:r>
    </w:p>
    <w:p w14:paraId="6735B994" w14:textId="77777777" w:rsidR="00303EFE" w:rsidRPr="00AB55D4" w:rsidRDefault="00303EFE" w:rsidP="00E858EF">
      <w:pPr>
        <w:suppressAutoHyphens/>
        <w:autoSpaceDE w:val="0"/>
        <w:autoSpaceDN w:val="0"/>
        <w:adjustRightInd w:val="0"/>
      </w:pPr>
    </w:p>
    <w:p w14:paraId="131D5C01" w14:textId="77777777" w:rsidR="00303EFE" w:rsidRDefault="00303EFE" w:rsidP="00E858EF">
      <w:pPr>
        <w:suppressAutoHyphens/>
        <w:autoSpaceDE w:val="0"/>
        <w:autoSpaceDN w:val="0"/>
        <w:adjustRightInd w:val="0"/>
      </w:pPr>
      <w:r w:rsidRPr="00AB55D4">
        <w:t>Hallager, E. and Andreadaki-Vlasaki, M</w:t>
      </w:r>
      <w:r>
        <w:t>.,</w:t>
      </w:r>
      <w:r w:rsidRPr="00AB55D4">
        <w:t xml:space="preserve"> 1997. New Linear B tablets from Khania</w:t>
      </w:r>
      <w:r>
        <w:t>.</w:t>
      </w:r>
      <w:r w:rsidRPr="00AB55D4">
        <w:t xml:space="preserve"> </w:t>
      </w:r>
      <w:r>
        <w:t xml:space="preserve">In: </w:t>
      </w:r>
      <w:r w:rsidRPr="00AB55D4">
        <w:t>J. Driessen and A. Farnoux</w:t>
      </w:r>
      <w:r>
        <w:t>, eds.</w:t>
      </w:r>
      <w:r w:rsidRPr="00AB55D4">
        <w:t xml:space="preserve"> </w:t>
      </w:r>
      <w:r w:rsidRPr="00AB55D4">
        <w:rPr>
          <w:i/>
        </w:rPr>
        <w:t xml:space="preserve">La Crète </w:t>
      </w:r>
      <w:r>
        <w:rPr>
          <w:i/>
        </w:rPr>
        <w:t>m</w:t>
      </w:r>
      <w:r w:rsidRPr="00AB55D4">
        <w:rPr>
          <w:i/>
        </w:rPr>
        <w:t>ycénienne: actes de la table ronde internationale organisée par l'Ecole française d'Athènes 26-28 mars 199</w:t>
      </w:r>
      <w:r>
        <w:t xml:space="preserve">1. </w:t>
      </w:r>
      <w:r w:rsidRPr="00AB55D4">
        <w:rPr>
          <w:i/>
        </w:rPr>
        <w:t xml:space="preserve">Bulletin de Correspondance Hellénique </w:t>
      </w:r>
      <w:r w:rsidRPr="00AB55D4">
        <w:t>Supplement 30:</w:t>
      </w:r>
      <w:r>
        <w:t xml:space="preserve"> </w:t>
      </w:r>
      <w:r w:rsidRPr="00AB55D4">
        <w:t>169-174. Athènes: École française d'Athènes</w:t>
      </w:r>
      <w:r>
        <w:t>.</w:t>
      </w:r>
    </w:p>
    <w:p w14:paraId="685F41CA" w14:textId="77777777" w:rsidR="00303EFE" w:rsidRDefault="00303EFE" w:rsidP="00E858EF">
      <w:pPr>
        <w:suppressAutoHyphens/>
        <w:autoSpaceDE w:val="0"/>
        <w:autoSpaceDN w:val="0"/>
        <w:adjustRightInd w:val="0"/>
      </w:pPr>
    </w:p>
    <w:p w14:paraId="296BE1C3" w14:textId="77777777" w:rsidR="00303EFE" w:rsidRDefault="00303EFE" w:rsidP="00E858EF">
      <w:pPr>
        <w:suppressAutoHyphens/>
        <w:autoSpaceDE w:val="0"/>
        <w:autoSpaceDN w:val="0"/>
        <w:adjustRightInd w:val="0"/>
      </w:pPr>
      <w:r w:rsidRPr="001A0D2F">
        <w:t>Hallager, E. and</w:t>
      </w:r>
      <w:r w:rsidRPr="00AF19B7">
        <w:t xml:space="preserve"> Hallager, B. P., 2011. </w:t>
      </w:r>
      <w:r w:rsidRPr="00AF19B7">
        <w:rPr>
          <w:i/>
        </w:rPr>
        <w:t>The Greek-Swedish Excavations at the Agia Aikaterini Square, Kastelli, Khania 1970-1987 and 2001</w:t>
      </w:r>
      <w:r w:rsidRPr="006055A5">
        <w:rPr>
          <w:i/>
        </w:rPr>
        <w:t>, The Late Minoan IIIB:1 and IIIA:2 Settlements</w:t>
      </w:r>
      <w:r w:rsidRPr="006055A5">
        <w:t>. Acta Instituti Atheniensis Regni Sueciae. Stockholm.</w:t>
      </w:r>
    </w:p>
    <w:p w14:paraId="2AC0C797" w14:textId="77777777" w:rsidR="00303EFE" w:rsidRPr="00AB55D4" w:rsidRDefault="00303EFE" w:rsidP="00E858EF">
      <w:pPr>
        <w:suppressAutoHyphens/>
        <w:autoSpaceDE w:val="0"/>
        <w:autoSpaceDN w:val="0"/>
        <w:adjustRightInd w:val="0"/>
      </w:pPr>
    </w:p>
    <w:p w14:paraId="40B5A5DA" w14:textId="77777777"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i/>
          <w:lang w:val="en-US"/>
        </w:rPr>
      </w:pPr>
      <w:r w:rsidRPr="00AB55D4">
        <w:rPr>
          <w:bCs/>
          <w:color w:val="000000"/>
        </w:rPr>
        <w:t xml:space="preserve">Halstead, </w:t>
      </w:r>
      <w:r w:rsidRPr="00AB55D4">
        <w:rPr>
          <w:bCs/>
          <w:color w:val="000000"/>
          <w:lang w:val="it-IT"/>
        </w:rPr>
        <w:t>P.</w:t>
      </w:r>
      <w:r>
        <w:rPr>
          <w:bCs/>
          <w:color w:val="000000"/>
          <w:lang w:val="it-IT"/>
        </w:rPr>
        <w:t>,</w:t>
      </w:r>
      <w:r w:rsidRPr="00AB55D4">
        <w:rPr>
          <w:bCs/>
          <w:color w:val="000000"/>
        </w:rPr>
        <w:t xml:space="preserve"> 1977. The Bronze Age </w:t>
      </w:r>
      <w:r>
        <w:rPr>
          <w:bCs/>
          <w:color w:val="000000"/>
        </w:rPr>
        <w:t>d</w:t>
      </w:r>
      <w:r w:rsidRPr="00AB55D4">
        <w:rPr>
          <w:bCs/>
          <w:color w:val="000000"/>
        </w:rPr>
        <w:t xml:space="preserve">emography of Crete and Greece: A </w:t>
      </w:r>
      <w:r>
        <w:rPr>
          <w:bCs/>
          <w:color w:val="000000"/>
        </w:rPr>
        <w:t>n</w:t>
      </w:r>
      <w:r w:rsidRPr="00AB55D4">
        <w:rPr>
          <w:bCs/>
          <w:color w:val="000000"/>
        </w:rPr>
        <w:t xml:space="preserve">ote. </w:t>
      </w:r>
      <w:r>
        <w:rPr>
          <w:i/>
          <w:lang w:val="en-US"/>
        </w:rPr>
        <w:t>BSA</w:t>
      </w:r>
      <w:r w:rsidRPr="00AB55D4">
        <w:rPr>
          <w:i/>
          <w:lang w:val="en-US"/>
        </w:rPr>
        <w:t xml:space="preserve"> </w:t>
      </w:r>
      <w:r w:rsidRPr="00BA2849">
        <w:rPr>
          <w:lang w:val="en-US"/>
        </w:rPr>
        <w:t>72: 107-111</w:t>
      </w:r>
      <w:r w:rsidRPr="00AB55D4">
        <w:rPr>
          <w:i/>
          <w:lang w:val="en-US"/>
        </w:rPr>
        <w:t>.</w:t>
      </w:r>
    </w:p>
    <w:p w14:paraId="13A8664D" w14:textId="77777777" w:rsidR="00303EFE" w:rsidRPr="00AB55D4"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i/>
          <w:lang w:val="en-US"/>
        </w:rPr>
      </w:pPr>
    </w:p>
    <w:p w14:paraId="3E69641A" w14:textId="77777777" w:rsidR="00303EFE" w:rsidRDefault="00303EFE" w:rsidP="00E858EF">
      <w:pPr>
        <w:suppressAutoHyphens/>
        <w:rPr>
          <w:lang w:val="en"/>
        </w:rPr>
      </w:pPr>
      <w:r w:rsidRPr="00AB55D4">
        <w:t>Härke, H.</w:t>
      </w:r>
      <w:r>
        <w:t>,</w:t>
      </w:r>
      <w:r w:rsidRPr="00AB55D4">
        <w:t xml:space="preserve"> 1997. The nature of burial data. </w:t>
      </w:r>
      <w:r>
        <w:t xml:space="preserve">In: </w:t>
      </w:r>
      <w:r w:rsidRPr="00AB55D4">
        <w:t>C.</w:t>
      </w:r>
      <w:r>
        <w:t xml:space="preserve"> </w:t>
      </w:r>
      <w:r w:rsidRPr="00AB55D4">
        <w:t xml:space="preserve">K. Jensen and </w:t>
      </w:r>
      <w:r w:rsidRPr="00AB55D4">
        <w:rPr>
          <w:lang w:val="en"/>
        </w:rPr>
        <w:t>K.</w:t>
      </w:r>
      <w:r>
        <w:rPr>
          <w:lang w:val="en"/>
        </w:rPr>
        <w:t xml:space="preserve"> </w:t>
      </w:r>
      <w:r w:rsidRPr="00AB55D4">
        <w:rPr>
          <w:lang w:val="en"/>
        </w:rPr>
        <w:t>H. Nielsen</w:t>
      </w:r>
      <w:r>
        <w:rPr>
          <w:lang w:val="en"/>
        </w:rPr>
        <w:t>, eds.</w:t>
      </w:r>
      <w:r w:rsidRPr="00AB55D4">
        <w:rPr>
          <w:lang w:val="en"/>
        </w:rPr>
        <w:t xml:space="preserve"> </w:t>
      </w:r>
      <w:r w:rsidRPr="00AB55D4">
        <w:rPr>
          <w:i/>
          <w:iCs/>
          <w:lang w:val="en"/>
        </w:rPr>
        <w:t>Burial and Society: the Chronological and Social Analysis of Archaeological Burial Data</w:t>
      </w:r>
      <w:r w:rsidRPr="00AB55D4">
        <w:rPr>
          <w:lang w:val="en"/>
        </w:rPr>
        <w:t>: 19-27. Aarhus, Oxford and Oakville (Connecticut): Aarhus University Press.</w:t>
      </w:r>
    </w:p>
    <w:p w14:paraId="6C3201E6" w14:textId="77777777" w:rsidR="00303EFE" w:rsidRDefault="00303EFE" w:rsidP="00E858EF">
      <w:pPr>
        <w:suppressAutoHyphens/>
        <w:rPr>
          <w:lang w:val="en"/>
        </w:rPr>
      </w:pPr>
    </w:p>
    <w:p w14:paraId="557FC732" w14:textId="77777777" w:rsidR="00303EFE" w:rsidRDefault="00303EFE" w:rsidP="00E858EF">
      <w:pPr>
        <w:suppressAutoHyphens/>
      </w:pPr>
      <w:r w:rsidRPr="00BB79CE">
        <w:t>Harrell K. and Driessen J.</w:t>
      </w:r>
      <w:r>
        <w:t>,</w:t>
      </w:r>
      <w:r w:rsidRPr="00BB79CE">
        <w:t xml:space="preserve"> eds</w:t>
      </w:r>
      <w:r>
        <w:t>.</w:t>
      </w:r>
      <w:r w:rsidRPr="00BB79CE">
        <w:t xml:space="preserve"> 2016. </w:t>
      </w:r>
      <w:r w:rsidRPr="00A67D51">
        <w:rPr>
          <w:i/>
        </w:rPr>
        <w:t>Thravsma. Contextualising the Intentional Destruction of Objects in th</w:t>
      </w:r>
      <w:r w:rsidRPr="008A0E31">
        <w:rPr>
          <w:i/>
        </w:rPr>
        <w:t>e Bronze Age Aegean and Cyprus</w:t>
      </w:r>
      <w:r>
        <w:rPr>
          <w:i/>
        </w:rPr>
        <w:t>.</w:t>
      </w:r>
      <w:r w:rsidRPr="008A0E31">
        <w:rPr>
          <w:i/>
        </w:rPr>
        <w:t xml:space="preserve"> </w:t>
      </w:r>
      <w:r w:rsidRPr="008A0E31">
        <w:t>Aegis</w:t>
      </w:r>
      <w:r>
        <w:t xml:space="preserve"> </w:t>
      </w:r>
      <w:r w:rsidRPr="00A67D51">
        <w:t>9</w:t>
      </w:r>
      <w:r w:rsidRPr="008A0E31">
        <w:rPr>
          <w:i/>
        </w:rPr>
        <w:t xml:space="preserve">. </w:t>
      </w:r>
      <w:r w:rsidRPr="00BB79CE">
        <w:t>Louvain-La-Neuve: Presses universitaires de Louvain</w:t>
      </w:r>
      <w:r>
        <w:t>.</w:t>
      </w:r>
    </w:p>
    <w:p w14:paraId="22099FB5" w14:textId="77777777" w:rsidR="00303EFE" w:rsidRPr="00AB55D4" w:rsidRDefault="00303EFE" w:rsidP="00E858EF">
      <w:pPr>
        <w:suppressAutoHyphens/>
        <w:rPr>
          <w:lang w:val="en"/>
        </w:rPr>
      </w:pPr>
    </w:p>
    <w:p w14:paraId="6640B4B9" w14:textId="77777777" w:rsidR="00303EFE" w:rsidRDefault="00303EFE" w:rsidP="00E858EF">
      <w:pPr>
        <w:suppressAutoHyphens/>
        <w:autoSpaceDE w:val="0"/>
        <w:autoSpaceDN w:val="0"/>
        <w:adjustRightInd w:val="0"/>
      </w:pPr>
      <w:r w:rsidRPr="00AB55D4">
        <w:rPr>
          <w:color w:val="000000"/>
        </w:rPr>
        <w:t>Hatzaki, E.</w:t>
      </w:r>
      <w:r>
        <w:rPr>
          <w:color w:val="000000"/>
        </w:rPr>
        <w:t xml:space="preserve">, </w:t>
      </w:r>
      <w:r w:rsidRPr="00AB55D4">
        <w:rPr>
          <w:color w:val="000000"/>
        </w:rPr>
        <w:t xml:space="preserve">2005. Postpalatial Knossos: town and cemeteries from LM IIIA2 to LM IIC. </w:t>
      </w:r>
      <w:r>
        <w:t xml:space="preserve">In: </w:t>
      </w:r>
      <w:r w:rsidRPr="00AB55D4">
        <w:t>A. L. D’Agata and J. Moody</w:t>
      </w:r>
      <w:r>
        <w:t>, eds.</w:t>
      </w:r>
      <w:r w:rsidRPr="00AB55D4">
        <w:t xml:space="preserve"> </w:t>
      </w:r>
      <w:r w:rsidRPr="00AB55D4">
        <w:rPr>
          <w:i/>
        </w:rPr>
        <w:t xml:space="preserve">Ariadne's threads: </w:t>
      </w:r>
      <w:r>
        <w:rPr>
          <w:i/>
        </w:rPr>
        <w:t>C</w:t>
      </w:r>
      <w:r w:rsidRPr="00AB55D4">
        <w:rPr>
          <w:i/>
        </w:rPr>
        <w:t xml:space="preserve">onnections </w:t>
      </w:r>
      <w:r>
        <w:rPr>
          <w:i/>
        </w:rPr>
        <w:t>B</w:t>
      </w:r>
      <w:r w:rsidRPr="00AB55D4">
        <w:rPr>
          <w:i/>
        </w:rPr>
        <w:t xml:space="preserve">etween Crete and the Greek </w:t>
      </w:r>
      <w:r>
        <w:rPr>
          <w:i/>
        </w:rPr>
        <w:t>M</w:t>
      </w:r>
      <w:r w:rsidRPr="00AB55D4">
        <w:rPr>
          <w:i/>
        </w:rPr>
        <w:t>ainland in Late Minoan III (LM IIIA2 to LM IIIC)</w:t>
      </w:r>
      <w:r w:rsidRPr="00AB55D4">
        <w:t>. Proceedings of the International Workshop held at the Scuola Archeologica Italiana</w:t>
      </w:r>
      <w:r>
        <w:t>,</w:t>
      </w:r>
      <w:r w:rsidRPr="00AB55D4">
        <w:t xml:space="preserve"> 5-6 April 2003</w:t>
      </w:r>
      <w:r>
        <w:t>,</w:t>
      </w:r>
      <w:r w:rsidRPr="00AB55D4">
        <w:t xml:space="preserve"> Tripodes 3: 65-95. Atene: Scuola Archeologica Italiana di Atene.</w:t>
      </w:r>
    </w:p>
    <w:p w14:paraId="5B621278" w14:textId="77777777" w:rsidR="00303EFE" w:rsidRDefault="00303EFE" w:rsidP="00E858EF">
      <w:pPr>
        <w:suppressAutoHyphens/>
        <w:autoSpaceDE w:val="0"/>
        <w:autoSpaceDN w:val="0"/>
        <w:adjustRightInd w:val="0"/>
      </w:pPr>
    </w:p>
    <w:p w14:paraId="5C6B69B2" w14:textId="77777777" w:rsidR="00303EFE" w:rsidRDefault="00303EFE" w:rsidP="00E858EF">
      <w:pPr>
        <w:suppressAutoHyphens/>
        <w:autoSpaceDE w:val="0"/>
        <w:autoSpaceDN w:val="0"/>
        <w:adjustRightInd w:val="0"/>
      </w:pPr>
      <w:r w:rsidRPr="001A0D2F">
        <w:t>Hatzaki, E.,</w:t>
      </w:r>
      <w:r w:rsidRPr="00AF19B7">
        <w:t xml:space="preserve"> 2007. Final Palatial (LM II- IIIA2) and Postpalatial (LM IIIB-LM IIIC early): MUM south sector long corridor cists, MUM pits (8, 10-11), makritikhos “kitchen”, MUM north platform pits, and SEX southern half groups. In: N. Momigliano</w:t>
      </w:r>
      <w:r w:rsidRPr="00290D1B">
        <w:t xml:space="preserve">, ed. </w:t>
      </w:r>
      <w:r w:rsidRPr="001A0D2F">
        <w:rPr>
          <w:i/>
        </w:rPr>
        <w:t>Knossos Pottery Handbook. Neolitic and Bronze Age (Minoan)</w:t>
      </w:r>
      <w:r w:rsidRPr="001A0D2F">
        <w:t>. British School at Athens Studies 14: 197-251. London: British School at Athens.</w:t>
      </w:r>
    </w:p>
    <w:p w14:paraId="1FC2C548" w14:textId="77777777" w:rsidR="00303EFE" w:rsidRDefault="00303EFE" w:rsidP="00E858EF">
      <w:pPr>
        <w:suppressAutoHyphens/>
        <w:autoSpaceDE w:val="0"/>
        <w:autoSpaceDN w:val="0"/>
        <w:adjustRightInd w:val="0"/>
      </w:pPr>
    </w:p>
    <w:p w14:paraId="0E17190D" w14:textId="77777777" w:rsidR="00303EFE" w:rsidRPr="00D7600A" w:rsidRDefault="00303EFE" w:rsidP="00E858EF">
      <w:pPr>
        <w:suppressAutoHyphens/>
        <w:autoSpaceDE w:val="0"/>
        <w:autoSpaceDN w:val="0"/>
        <w:adjustRightInd w:val="0"/>
      </w:pPr>
      <w:r>
        <w:t xml:space="preserve">Hatzaki, E., 2012. </w:t>
      </w:r>
      <w:r w:rsidRPr="00A762F6">
        <w:t xml:space="preserve">Mortuary </w:t>
      </w:r>
      <w:r w:rsidRPr="00281E8D">
        <w:t xml:space="preserve">practices and ideology in Bronze Age and Early Iron Age Crete. </w:t>
      </w:r>
      <w:r>
        <w:t>In: G.</w:t>
      </w:r>
      <w:r w:rsidRPr="00281E8D">
        <w:t xml:space="preserve"> Cado</w:t>
      </w:r>
      <w:r>
        <w:t>gan, M. Iacovou, K. Kopaka and J.</w:t>
      </w:r>
      <w:r w:rsidRPr="00281E8D">
        <w:t xml:space="preserve"> Whitley</w:t>
      </w:r>
      <w:r>
        <w:t xml:space="preserve">, eds. </w:t>
      </w:r>
      <w:r w:rsidRPr="00A67D51">
        <w:rPr>
          <w:i/>
        </w:rPr>
        <w:t xml:space="preserve">Parallel lives: Ancient </w:t>
      </w:r>
      <w:r>
        <w:rPr>
          <w:i/>
        </w:rPr>
        <w:t>I</w:t>
      </w:r>
      <w:r w:rsidRPr="00A67D51">
        <w:rPr>
          <w:i/>
        </w:rPr>
        <w:t xml:space="preserve">sland </w:t>
      </w:r>
      <w:r>
        <w:rPr>
          <w:i/>
        </w:rPr>
        <w:t>S</w:t>
      </w:r>
      <w:r w:rsidRPr="00A67D51">
        <w:rPr>
          <w:i/>
        </w:rPr>
        <w:t xml:space="preserve">ocieties in Crete and Cyprus. </w:t>
      </w:r>
      <w:r w:rsidRPr="00290D1B">
        <w:t>Papers arising from the Conference in Nicosia organised by the British School at Athens, the University of Crete and the University of Cyprus, in November-December 2006</w:t>
      </w:r>
      <w:r w:rsidRPr="001A0D2F">
        <w:t>.</w:t>
      </w:r>
      <w:r>
        <w:t xml:space="preserve"> British School at Athens Studies 20: 307-313. London</w:t>
      </w:r>
      <w:r w:rsidRPr="00D7600A">
        <w:t>: British School at Athens</w:t>
      </w:r>
      <w:r>
        <w:t>.</w:t>
      </w:r>
    </w:p>
    <w:p w14:paraId="2728BC8D" w14:textId="77777777" w:rsidR="00303EFE" w:rsidRPr="00AB55D4" w:rsidRDefault="00303EFE" w:rsidP="00E858EF">
      <w:pPr>
        <w:suppressAutoHyphens/>
        <w:autoSpaceDE w:val="0"/>
        <w:autoSpaceDN w:val="0"/>
        <w:adjustRightInd w:val="0"/>
      </w:pPr>
    </w:p>
    <w:p w14:paraId="60D622DF" w14:textId="767E83C2" w:rsidR="00303EFE" w:rsidRDefault="00303EFE" w:rsidP="00E858EF">
      <w:pPr>
        <w:suppressAutoHyphens/>
        <w:rPr>
          <w:color w:val="000000"/>
        </w:rPr>
      </w:pPr>
      <w:r w:rsidRPr="00AB55D4">
        <w:rPr>
          <w:color w:val="000000"/>
        </w:rPr>
        <w:t>Hatzaki, E.</w:t>
      </w:r>
      <w:r>
        <w:rPr>
          <w:color w:val="000000"/>
        </w:rPr>
        <w:t>,</w:t>
      </w:r>
      <w:r w:rsidRPr="00AB55D4">
        <w:rPr>
          <w:color w:val="000000"/>
        </w:rPr>
        <w:t xml:space="preserve"> 2016. </w:t>
      </w:r>
      <w:r>
        <w:rPr>
          <w:color w:val="000000"/>
        </w:rPr>
        <w:t>S</w:t>
      </w:r>
      <w:r w:rsidRPr="00AB55D4">
        <w:rPr>
          <w:color w:val="000000"/>
        </w:rPr>
        <w:t xml:space="preserve">patial and </w:t>
      </w:r>
      <w:r>
        <w:rPr>
          <w:color w:val="000000"/>
        </w:rPr>
        <w:t>t</w:t>
      </w:r>
      <w:r w:rsidRPr="00AB55D4">
        <w:rPr>
          <w:color w:val="000000"/>
        </w:rPr>
        <w:t xml:space="preserve">emporal </w:t>
      </w:r>
      <w:r>
        <w:rPr>
          <w:color w:val="000000"/>
        </w:rPr>
        <w:t>v</w:t>
      </w:r>
      <w:r w:rsidRPr="00AB55D4">
        <w:rPr>
          <w:color w:val="000000"/>
        </w:rPr>
        <w:t xml:space="preserve">ariability in </w:t>
      </w:r>
      <w:r>
        <w:rPr>
          <w:color w:val="000000"/>
        </w:rPr>
        <w:t>i</w:t>
      </w:r>
      <w:r w:rsidRPr="00AB55D4">
        <w:rPr>
          <w:color w:val="000000"/>
        </w:rPr>
        <w:t xml:space="preserve">dentity and </w:t>
      </w:r>
      <w:r>
        <w:rPr>
          <w:color w:val="000000"/>
        </w:rPr>
        <w:t>r</w:t>
      </w:r>
      <w:r w:rsidRPr="00AB55D4">
        <w:rPr>
          <w:color w:val="000000"/>
        </w:rPr>
        <w:t xml:space="preserve">epresentation within the Bronze Age </w:t>
      </w:r>
      <w:r>
        <w:rPr>
          <w:color w:val="000000"/>
        </w:rPr>
        <w:t>c</w:t>
      </w:r>
      <w:r w:rsidRPr="00AB55D4">
        <w:rPr>
          <w:color w:val="000000"/>
        </w:rPr>
        <w:t xml:space="preserve">emeteries of Knossos, Crete. </w:t>
      </w:r>
      <w:r>
        <w:rPr>
          <w:color w:val="000000"/>
        </w:rPr>
        <w:t xml:space="preserve">In: </w:t>
      </w:r>
      <w:r w:rsidRPr="00AB55D4">
        <w:rPr>
          <w:color w:val="000000"/>
        </w:rPr>
        <w:t xml:space="preserve">M. Mina, S. Triantaphyllou and Y. </w:t>
      </w:r>
      <w:r w:rsidR="004A3CF1">
        <w:rPr>
          <w:color w:val="000000"/>
        </w:rPr>
        <w:t>Papadatos</w:t>
      </w:r>
      <w:r>
        <w:rPr>
          <w:color w:val="000000"/>
        </w:rPr>
        <w:t>, eds.</w:t>
      </w:r>
      <w:r w:rsidRPr="00AB55D4">
        <w:rPr>
          <w:color w:val="000000"/>
        </w:rPr>
        <w:t xml:space="preserve"> </w:t>
      </w:r>
      <w:r w:rsidRPr="00AB55D4">
        <w:rPr>
          <w:i/>
          <w:color w:val="000000"/>
        </w:rPr>
        <w:t>An Archaeology of Prehistoric Bodies and Embodied Identities in the Eastern Mediterranean</w:t>
      </w:r>
      <w:r w:rsidRPr="00290D1B">
        <w:rPr>
          <w:color w:val="000000"/>
        </w:rPr>
        <w:t>: 197</w:t>
      </w:r>
      <w:r w:rsidRPr="001A0D2F">
        <w:rPr>
          <w:color w:val="000000"/>
        </w:rPr>
        <w:t>-</w:t>
      </w:r>
      <w:r w:rsidRPr="00AB55D4">
        <w:rPr>
          <w:color w:val="000000"/>
        </w:rPr>
        <w:t>203. Oxford: Oxbow.</w:t>
      </w:r>
    </w:p>
    <w:p w14:paraId="1204A0F4" w14:textId="77777777" w:rsidR="00303EFE" w:rsidRPr="00AB55D4" w:rsidRDefault="00303EFE" w:rsidP="00E858EF">
      <w:pPr>
        <w:suppressAutoHyphens/>
        <w:rPr>
          <w:color w:val="000000"/>
        </w:rPr>
      </w:pPr>
    </w:p>
    <w:p w14:paraId="569F5F3F" w14:textId="77777777" w:rsidR="00303EFE" w:rsidRPr="00AB55D4" w:rsidRDefault="00303EFE" w:rsidP="00E858EF">
      <w:pPr>
        <w:suppressAutoHyphens/>
      </w:pPr>
      <w:r w:rsidRPr="001A0D2F">
        <w:t>Hatzidakis, J.,</w:t>
      </w:r>
      <w:r w:rsidRPr="00AF19B7">
        <w:t xml:space="preserve"> 1913. Kretische Graeber. </w:t>
      </w:r>
      <w:r w:rsidRPr="00AF19B7">
        <w:rPr>
          <w:i/>
        </w:rPr>
        <w:t xml:space="preserve">Mitteilungen des Deutschen Archaologischen Instituts, Athenische Abteilung </w:t>
      </w:r>
      <w:r w:rsidRPr="000B0EAC">
        <w:t>XXXVIII: 43-50.</w:t>
      </w:r>
    </w:p>
    <w:p w14:paraId="3B15CCFA" w14:textId="77777777" w:rsidR="00303EFE" w:rsidRDefault="00303EFE" w:rsidP="00E858EF">
      <w:pPr>
        <w:suppressAutoHyphens/>
      </w:pPr>
    </w:p>
    <w:p w14:paraId="4E656B89" w14:textId="77777777" w:rsidR="00303EFE" w:rsidRDefault="00303EFE" w:rsidP="00E858EF">
      <w:pPr>
        <w:suppressAutoHyphens/>
        <w:rPr>
          <w:lang w:val="el-GR"/>
        </w:rPr>
      </w:pPr>
      <w:r w:rsidRPr="00AB55D4">
        <w:t>Hatzidakis, J.</w:t>
      </w:r>
      <w:r>
        <w:t>,</w:t>
      </w:r>
      <w:r w:rsidRPr="00AB55D4">
        <w:t xml:space="preserve"> 1918 </w:t>
      </w:r>
      <w:r w:rsidRPr="00AB55D4">
        <w:rPr>
          <w:lang w:val="el-GR"/>
        </w:rPr>
        <w:t>Μινωικοί τάφοι εν Κρήτη</w:t>
      </w:r>
      <w:r>
        <w:rPr>
          <w:lang w:val="el-GR"/>
        </w:rPr>
        <w:t>.</w:t>
      </w:r>
      <w:r w:rsidRPr="00AB55D4">
        <w:rPr>
          <w:lang w:val="el-GR"/>
        </w:rPr>
        <w:t xml:space="preserve"> </w:t>
      </w:r>
      <w:r w:rsidRPr="00BA2849">
        <w:rPr>
          <w:i/>
          <w:lang w:val="el-GR"/>
        </w:rPr>
        <w:t>ADelt</w:t>
      </w:r>
      <w:r>
        <w:rPr>
          <w:lang w:val="el-GR"/>
        </w:rPr>
        <w:t xml:space="preserve"> </w:t>
      </w:r>
      <w:r w:rsidRPr="00BA2849">
        <w:rPr>
          <w:lang w:val="el-GR"/>
        </w:rPr>
        <w:t>4</w:t>
      </w:r>
      <w:r w:rsidRPr="00051FCC">
        <w:rPr>
          <w:lang w:val="el-GR"/>
        </w:rPr>
        <w:t>:</w:t>
      </w:r>
      <w:r w:rsidRPr="00AB55D4">
        <w:rPr>
          <w:lang w:val="el-GR"/>
        </w:rPr>
        <w:t xml:space="preserve"> 45-87.</w:t>
      </w:r>
    </w:p>
    <w:p w14:paraId="23DB4302" w14:textId="77777777" w:rsidR="00303EFE" w:rsidRPr="00AB55D4" w:rsidRDefault="00303EFE" w:rsidP="00E858EF">
      <w:pPr>
        <w:suppressAutoHyphens/>
      </w:pPr>
    </w:p>
    <w:p w14:paraId="2DA66E35" w14:textId="77777777" w:rsidR="00303EFE" w:rsidRDefault="00303EFE" w:rsidP="00E858EF">
      <w:pPr>
        <w:suppressAutoHyphens/>
      </w:pPr>
      <w:r w:rsidRPr="00AB55D4">
        <w:t>Hatzidakis, J.</w:t>
      </w:r>
      <w:r>
        <w:t>,</w:t>
      </w:r>
      <w:r w:rsidRPr="00AB55D4">
        <w:t xml:space="preserve"> 1921. </w:t>
      </w:r>
      <w:r w:rsidRPr="00AB55D4">
        <w:rPr>
          <w:i/>
        </w:rPr>
        <w:t xml:space="preserve">Tylissos à l'époque minoenne, suivi d' une note sur les larnax de Tylissos. </w:t>
      </w:r>
      <w:r w:rsidRPr="00AB55D4">
        <w:t>Paris: Geuthner.</w:t>
      </w:r>
    </w:p>
    <w:p w14:paraId="64DEAFDC" w14:textId="77777777" w:rsidR="00303EFE" w:rsidRPr="00AB55D4" w:rsidRDefault="00303EFE" w:rsidP="00E858EF">
      <w:pPr>
        <w:suppressAutoHyphens/>
        <w:rPr>
          <w:i/>
        </w:rPr>
      </w:pPr>
    </w:p>
    <w:p w14:paraId="4E0D6523" w14:textId="77777777" w:rsidR="00303EFE" w:rsidRDefault="00303EFE" w:rsidP="00E858EF">
      <w:pPr>
        <w:suppressAutoHyphens/>
      </w:pPr>
      <w:r w:rsidRPr="00AB55D4">
        <w:t xml:space="preserve">Hodder, I. 1982. Theoretical archaeology: a reactionary view. </w:t>
      </w:r>
      <w:r>
        <w:t xml:space="preserve">In: </w:t>
      </w:r>
      <w:r w:rsidRPr="00AB55D4">
        <w:t>I. Hodder</w:t>
      </w:r>
      <w:r>
        <w:t xml:space="preserve">, ed. </w:t>
      </w:r>
      <w:r w:rsidRPr="00AB55D4">
        <w:rPr>
          <w:i/>
        </w:rPr>
        <w:t>Symbolic and Structural Archaeology</w:t>
      </w:r>
      <w:r w:rsidRPr="00AB55D4">
        <w:t xml:space="preserve">: 1-16. Cambridge: Cambridge University Press. </w:t>
      </w:r>
    </w:p>
    <w:p w14:paraId="72EDBDDD" w14:textId="77777777" w:rsidR="00303EFE" w:rsidRPr="00AB55D4" w:rsidRDefault="00303EFE" w:rsidP="00E858EF">
      <w:pPr>
        <w:suppressAutoHyphens/>
      </w:pPr>
    </w:p>
    <w:p w14:paraId="2599B26F" w14:textId="77777777" w:rsidR="00303EFE" w:rsidRDefault="00303EFE" w:rsidP="00E858EF">
      <w:pPr>
        <w:suppressAutoHyphens/>
      </w:pPr>
      <w:r w:rsidRPr="00AB55D4">
        <w:t>Hodder, I.</w:t>
      </w:r>
      <w:r>
        <w:t>,</w:t>
      </w:r>
      <w:r w:rsidRPr="00AB55D4">
        <w:t xml:space="preserve"> 1987. The contextual analysis of symbolic meanings. </w:t>
      </w:r>
      <w:r>
        <w:t xml:space="preserve">In: </w:t>
      </w:r>
      <w:r w:rsidRPr="00AB55D4">
        <w:t>I. Hodder</w:t>
      </w:r>
      <w:r>
        <w:t xml:space="preserve">, ed. </w:t>
      </w:r>
      <w:r w:rsidRPr="00AB55D4">
        <w:rPr>
          <w:i/>
        </w:rPr>
        <w:t>The Archaeology of Contextual Meanings</w:t>
      </w:r>
      <w:r w:rsidRPr="00AB55D4">
        <w:t xml:space="preserve">: 1-10. Cambridge: Cambridge University Press. </w:t>
      </w:r>
    </w:p>
    <w:p w14:paraId="145F1C93" w14:textId="77777777" w:rsidR="00303EFE" w:rsidRDefault="00303EFE" w:rsidP="00E858EF">
      <w:pPr>
        <w:suppressAutoHyphens/>
      </w:pPr>
    </w:p>
    <w:p w14:paraId="1FD7FB7C" w14:textId="77777777" w:rsidR="00303EFE" w:rsidRPr="00A67D51" w:rsidRDefault="00303EFE" w:rsidP="00E858EF">
      <w:pPr>
        <w:suppressAutoHyphens/>
      </w:pPr>
      <w:r w:rsidRPr="00C21D8A">
        <w:t>Hodder, I.</w:t>
      </w:r>
      <w:r>
        <w:t>,</w:t>
      </w:r>
      <w:r w:rsidRPr="00C21D8A">
        <w:t xml:space="preserve"> 2012</w:t>
      </w:r>
      <w:r>
        <w:t>.</w:t>
      </w:r>
      <w:r w:rsidRPr="00C21D8A">
        <w:t xml:space="preserve"> </w:t>
      </w:r>
      <w:r w:rsidRPr="00A67D51">
        <w:rPr>
          <w:i/>
        </w:rPr>
        <w:t xml:space="preserve">Entangled: an </w:t>
      </w:r>
      <w:r>
        <w:rPr>
          <w:i/>
        </w:rPr>
        <w:t>A</w:t>
      </w:r>
      <w:r w:rsidRPr="00A67D51">
        <w:rPr>
          <w:i/>
        </w:rPr>
        <w:t>rchaeology of the</w:t>
      </w:r>
      <w:r>
        <w:rPr>
          <w:i/>
        </w:rPr>
        <w:t xml:space="preserve"> R</w:t>
      </w:r>
      <w:r w:rsidRPr="00A67D51">
        <w:rPr>
          <w:i/>
        </w:rPr>
        <w:t xml:space="preserve">elationships between </w:t>
      </w:r>
      <w:r>
        <w:rPr>
          <w:i/>
        </w:rPr>
        <w:t>H</w:t>
      </w:r>
      <w:r w:rsidRPr="00A67D51">
        <w:rPr>
          <w:i/>
        </w:rPr>
        <w:t xml:space="preserve">umans and </w:t>
      </w:r>
      <w:r>
        <w:rPr>
          <w:i/>
        </w:rPr>
        <w:t>T</w:t>
      </w:r>
      <w:r w:rsidRPr="00A67D51">
        <w:rPr>
          <w:i/>
        </w:rPr>
        <w:t>hings</w:t>
      </w:r>
      <w:r w:rsidRPr="00C21D8A">
        <w:t>. Oxford: Wiley-Blackwell</w:t>
      </w:r>
      <w:r>
        <w:t>.</w:t>
      </w:r>
    </w:p>
    <w:p w14:paraId="3BD793D9" w14:textId="77777777" w:rsidR="00303EFE" w:rsidRPr="00AB55D4" w:rsidRDefault="00303EFE" w:rsidP="00E858EF">
      <w:pPr>
        <w:suppressAutoHyphens/>
      </w:pPr>
    </w:p>
    <w:p w14:paraId="584FB077" w14:textId="77777777"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lang w:val="en-US"/>
        </w:rPr>
      </w:pPr>
      <w:r w:rsidRPr="00AB55D4">
        <w:rPr>
          <w:color w:val="000000"/>
        </w:rPr>
        <w:t>Hogarth, D. G.</w:t>
      </w:r>
      <w:r>
        <w:rPr>
          <w:color w:val="000000"/>
        </w:rPr>
        <w:t>,</w:t>
      </w:r>
      <w:r w:rsidRPr="00AB55D4">
        <w:rPr>
          <w:color w:val="000000"/>
        </w:rPr>
        <w:t xml:space="preserve"> 1899-1900. Knossos: early town and cemeteries. </w:t>
      </w:r>
      <w:r>
        <w:rPr>
          <w:i/>
          <w:lang w:val="en-US"/>
        </w:rPr>
        <w:t>BSA</w:t>
      </w:r>
      <w:r w:rsidRPr="00AB55D4">
        <w:rPr>
          <w:i/>
          <w:lang w:val="en-US"/>
        </w:rPr>
        <w:t xml:space="preserve"> </w:t>
      </w:r>
      <w:r w:rsidRPr="00AB55D4">
        <w:rPr>
          <w:lang w:val="en-US"/>
        </w:rPr>
        <w:t>6: 70-84.</w:t>
      </w:r>
    </w:p>
    <w:p w14:paraId="0431ADC2" w14:textId="77777777" w:rsidR="00303EFE" w:rsidRPr="00AB55D4"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lang w:val="en-US"/>
        </w:rPr>
      </w:pPr>
    </w:p>
    <w:p w14:paraId="00E3ADDE" w14:textId="77777777" w:rsidR="00303EFE" w:rsidRDefault="00303EFE" w:rsidP="00E858EF">
      <w:pPr>
        <w:suppressAutoHyphens/>
        <w:autoSpaceDE w:val="0"/>
        <w:autoSpaceDN w:val="0"/>
        <w:adjustRightInd w:val="0"/>
      </w:pPr>
      <w:r w:rsidRPr="00AB55D4">
        <w:t>Hood, M. S. F.</w:t>
      </w:r>
      <w:r>
        <w:t>,</w:t>
      </w:r>
      <w:r w:rsidRPr="00AB55D4">
        <w:t xml:space="preserve"> 1956.</w:t>
      </w:r>
      <w:r>
        <w:t xml:space="preserve"> </w:t>
      </w:r>
      <w:r w:rsidRPr="00AB55D4">
        <w:t xml:space="preserve">Another </w:t>
      </w:r>
      <w:r>
        <w:t>w</w:t>
      </w:r>
      <w:r w:rsidRPr="00AB55D4">
        <w:t>arrior-</w:t>
      </w:r>
      <w:r>
        <w:t>g</w:t>
      </w:r>
      <w:r w:rsidRPr="00AB55D4">
        <w:t xml:space="preserve">rave at Ayios Ioannis near Knossos. </w:t>
      </w:r>
      <w:r>
        <w:rPr>
          <w:i/>
          <w:lang w:val="en-US"/>
        </w:rPr>
        <w:t>BSA</w:t>
      </w:r>
      <w:r w:rsidRPr="00AB55D4">
        <w:t xml:space="preserve"> 51: 81-99.</w:t>
      </w:r>
    </w:p>
    <w:p w14:paraId="3991CE94" w14:textId="77777777" w:rsidR="00303EFE" w:rsidRPr="00AB55D4" w:rsidRDefault="00303EFE" w:rsidP="00E858EF">
      <w:pPr>
        <w:suppressAutoHyphens/>
        <w:autoSpaceDE w:val="0"/>
        <w:autoSpaceDN w:val="0"/>
        <w:adjustRightInd w:val="0"/>
      </w:pPr>
    </w:p>
    <w:p w14:paraId="29AECEB2" w14:textId="77777777" w:rsidR="00303EFE" w:rsidRDefault="00303EFE" w:rsidP="00E858EF">
      <w:pPr>
        <w:suppressAutoHyphens/>
        <w:autoSpaceDE w:val="0"/>
        <w:autoSpaceDN w:val="0"/>
        <w:adjustRightInd w:val="0"/>
        <w:rPr>
          <w:color w:val="000000"/>
        </w:rPr>
      </w:pPr>
      <w:r w:rsidRPr="00AB55D4">
        <w:rPr>
          <w:color w:val="000000"/>
        </w:rPr>
        <w:t>Hood, M. S. F.</w:t>
      </w:r>
      <w:r>
        <w:rPr>
          <w:color w:val="000000"/>
        </w:rPr>
        <w:t>,</w:t>
      </w:r>
      <w:r w:rsidRPr="00AB55D4">
        <w:rPr>
          <w:color w:val="000000"/>
        </w:rPr>
        <w:t xml:space="preserve"> 1960.</w:t>
      </w:r>
      <w:r>
        <w:rPr>
          <w:color w:val="000000"/>
        </w:rPr>
        <w:t xml:space="preserve"> </w:t>
      </w:r>
      <w:r w:rsidRPr="00AB55D4">
        <w:t>Tholos tombs of the Aegean</w:t>
      </w:r>
      <w:r>
        <w:t>.</w:t>
      </w:r>
      <w:r w:rsidRPr="00AB55D4">
        <w:t xml:space="preserve"> </w:t>
      </w:r>
      <w:r w:rsidRPr="00AB55D4">
        <w:rPr>
          <w:i/>
        </w:rPr>
        <w:t xml:space="preserve">Antiquity </w:t>
      </w:r>
      <w:r w:rsidRPr="00BA2849">
        <w:t>34</w:t>
      </w:r>
      <w:r w:rsidRPr="00AB55D4">
        <w:t xml:space="preserve">: </w:t>
      </w:r>
      <w:r w:rsidRPr="00AB55D4">
        <w:rPr>
          <w:color w:val="000000"/>
        </w:rPr>
        <w:t xml:space="preserve">166-176. </w:t>
      </w:r>
    </w:p>
    <w:p w14:paraId="323C5A2E" w14:textId="77777777" w:rsidR="00303EFE" w:rsidRDefault="00303EFE" w:rsidP="00E858EF">
      <w:pPr>
        <w:suppressAutoHyphens/>
        <w:autoSpaceDE w:val="0"/>
        <w:autoSpaceDN w:val="0"/>
        <w:adjustRightInd w:val="0"/>
        <w:rPr>
          <w:color w:val="000000"/>
        </w:rPr>
      </w:pPr>
    </w:p>
    <w:p w14:paraId="505C768B" w14:textId="77777777" w:rsidR="00303EFE" w:rsidRDefault="00303EFE" w:rsidP="00E858EF">
      <w:pPr>
        <w:suppressAutoHyphens/>
        <w:autoSpaceDE w:val="0"/>
        <w:autoSpaceDN w:val="0"/>
        <w:adjustRightInd w:val="0"/>
        <w:rPr>
          <w:color w:val="000000"/>
        </w:rPr>
      </w:pPr>
      <w:r w:rsidRPr="002253F8">
        <w:t>Hood M.</w:t>
      </w:r>
      <w:r>
        <w:t xml:space="preserve"> </w:t>
      </w:r>
      <w:r w:rsidRPr="002253F8">
        <w:t>S.</w:t>
      </w:r>
      <w:r>
        <w:t xml:space="preserve"> </w:t>
      </w:r>
      <w:r w:rsidRPr="002253F8">
        <w:t xml:space="preserve">F., </w:t>
      </w:r>
      <w:r>
        <w:t xml:space="preserve">and </w:t>
      </w:r>
      <w:r w:rsidRPr="002253F8">
        <w:t>de Jong P.</w:t>
      </w:r>
      <w:r>
        <w:t>,</w:t>
      </w:r>
      <w:r w:rsidRPr="002253F8">
        <w:t xml:space="preserve"> 1952</w:t>
      </w:r>
      <w:r>
        <w:t>.</w:t>
      </w:r>
      <w:r w:rsidRPr="002253F8">
        <w:t xml:space="preserve"> Late Minoan </w:t>
      </w:r>
      <w:r>
        <w:t>w</w:t>
      </w:r>
      <w:r w:rsidRPr="002253F8">
        <w:t xml:space="preserve">arrior </w:t>
      </w:r>
      <w:r>
        <w:t>g</w:t>
      </w:r>
      <w:r w:rsidRPr="002253F8">
        <w:t>raves from Ayios Ioannis and t</w:t>
      </w:r>
      <w:r>
        <w:t xml:space="preserve">he New Hospital Site at Knossos. </w:t>
      </w:r>
      <w:r>
        <w:rPr>
          <w:i/>
          <w:lang w:val="en-US"/>
        </w:rPr>
        <w:t xml:space="preserve">BSA </w:t>
      </w:r>
      <w:r>
        <w:t>47:</w:t>
      </w:r>
      <w:r w:rsidRPr="002253F8">
        <w:t xml:space="preserve"> 243-277</w:t>
      </w:r>
      <w:r>
        <w:t>.</w:t>
      </w:r>
    </w:p>
    <w:p w14:paraId="063C988D" w14:textId="77777777" w:rsidR="00303EFE" w:rsidRPr="00AB55D4" w:rsidRDefault="00303EFE" w:rsidP="00E858EF">
      <w:pPr>
        <w:suppressAutoHyphens/>
        <w:autoSpaceDE w:val="0"/>
        <w:autoSpaceDN w:val="0"/>
        <w:adjustRightInd w:val="0"/>
        <w:rPr>
          <w:color w:val="000000"/>
        </w:rPr>
      </w:pPr>
    </w:p>
    <w:p w14:paraId="5DB51BD5" w14:textId="77777777" w:rsidR="00303EFE" w:rsidRPr="00105D82"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r w:rsidRPr="000729A5">
        <w:t>Hood, M.</w:t>
      </w:r>
      <w:r>
        <w:t xml:space="preserve"> </w:t>
      </w:r>
      <w:r w:rsidRPr="000729A5">
        <w:t>S.</w:t>
      </w:r>
      <w:r>
        <w:t xml:space="preserve"> </w:t>
      </w:r>
      <w:r w:rsidRPr="000729A5">
        <w:t>F., Warren, P. and Cadogan, G.</w:t>
      </w:r>
      <w:r>
        <w:t>,</w:t>
      </w:r>
      <w:r w:rsidRPr="000729A5">
        <w:t xml:space="preserve"> 1964. Travels in Crete, 1962</w:t>
      </w:r>
      <w:r>
        <w:t>.</w:t>
      </w:r>
      <w:r w:rsidRPr="000729A5">
        <w:t xml:space="preserve"> </w:t>
      </w:r>
      <w:r>
        <w:rPr>
          <w:i/>
          <w:lang w:val="en-US"/>
        </w:rPr>
        <w:t>BSA</w:t>
      </w:r>
      <w:r w:rsidRPr="00105D82">
        <w:t xml:space="preserve"> 59</w:t>
      </w:r>
      <w:r>
        <w:t xml:space="preserve">: </w:t>
      </w:r>
      <w:r w:rsidRPr="00105D82">
        <w:t xml:space="preserve">50-99. </w:t>
      </w:r>
    </w:p>
    <w:p w14:paraId="07F9A694" w14:textId="77777777" w:rsidR="00303EFE" w:rsidRPr="00F21AB0"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0F783A56" w14:textId="77777777" w:rsidR="00303EFE" w:rsidRPr="00AB55D4" w:rsidRDefault="00303EFE" w:rsidP="00E858EF">
      <w:pPr>
        <w:suppressAutoHyphens/>
        <w:autoSpaceDE w:val="0"/>
        <w:autoSpaceDN w:val="0"/>
        <w:adjustRightInd w:val="0"/>
      </w:pPr>
      <w:r w:rsidRPr="000729A5">
        <w:t>Hood, M.</w:t>
      </w:r>
      <w:r>
        <w:t xml:space="preserve"> </w:t>
      </w:r>
      <w:r w:rsidRPr="000729A5">
        <w:t>S.</w:t>
      </w:r>
      <w:r>
        <w:t xml:space="preserve"> </w:t>
      </w:r>
      <w:r w:rsidRPr="000729A5">
        <w:t>F., Huxley</w:t>
      </w:r>
      <w:r w:rsidRPr="00467720">
        <w:t>, G., Sanders, N., Werner A. E.</w:t>
      </w:r>
      <w:r>
        <w:t>,</w:t>
      </w:r>
      <w:r w:rsidRPr="00467720">
        <w:t xml:space="preserve"> 1958-1959. A Minoan cemetery on upper Gypsade</w:t>
      </w:r>
      <w:r>
        <w:t>s.</w:t>
      </w:r>
      <w:r w:rsidRPr="00467720">
        <w:t xml:space="preserve"> </w:t>
      </w:r>
      <w:r>
        <w:rPr>
          <w:i/>
          <w:lang w:val="en-US"/>
        </w:rPr>
        <w:t>BSA</w:t>
      </w:r>
      <w:r w:rsidRPr="00AB55D4">
        <w:t xml:space="preserve"> 53-4: 194-262.</w:t>
      </w:r>
    </w:p>
    <w:p w14:paraId="12629C0F" w14:textId="77777777" w:rsidR="00303EFE" w:rsidRDefault="00303EFE" w:rsidP="00E858EF">
      <w:pPr>
        <w:suppressAutoHyphens/>
      </w:pPr>
    </w:p>
    <w:p w14:paraId="6C09A25F" w14:textId="77777777" w:rsidR="00303EFE" w:rsidRDefault="00303EFE" w:rsidP="00E858EF">
      <w:pPr>
        <w:suppressAutoHyphens/>
      </w:pPr>
      <w:r w:rsidRPr="00467720">
        <w:t>Immerwahr, S.</w:t>
      </w:r>
      <w:r>
        <w:t>,</w:t>
      </w:r>
      <w:r w:rsidRPr="00467720">
        <w:t xml:space="preserve"> 1990. </w:t>
      </w:r>
      <w:r w:rsidRPr="00A67D51">
        <w:rPr>
          <w:i/>
          <w:lang w:val="en-US"/>
        </w:rPr>
        <w:t xml:space="preserve">Aegean </w:t>
      </w:r>
      <w:r>
        <w:rPr>
          <w:i/>
          <w:lang w:val="en-US"/>
        </w:rPr>
        <w:t>P</w:t>
      </w:r>
      <w:r w:rsidRPr="00A67D51">
        <w:rPr>
          <w:i/>
          <w:lang w:val="en-US"/>
        </w:rPr>
        <w:t>ainting in the Bronze Age</w:t>
      </w:r>
      <w:r w:rsidRPr="00A67D51">
        <w:rPr>
          <w:i/>
        </w:rPr>
        <w:t xml:space="preserve">. </w:t>
      </w:r>
      <w:r w:rsidRPr="00AB55D4">
        <w:t xml:space="preserve">University Park: Pennsylvania State University Press. </w:t>
      </w:r>
    </w:p>
    <w:p w14:paraId="48A6F5D2" w14:textId="77777777" w:rsidR="00303EFE" w:rsidRPr="00AB55D4" w:rsidRDefault="00303EFE" w:rsidP="00E858EF">
      <w:pPr>
        <w:suppressAutoHyphens/>
        <w:rPr>
          <w:rFonts w:eastAsia="Times New Roman"/>
          <w:iCs/>
        </w:rPr>
      </w:pPr>
    </w:p>
    <w:p w14:paraId="483154ED" w14:textId="77777777" w:rsidR="00303EFE" w:rsidRDefault="00303EFE" w:rsidP="00E858EF">
      <w:pPr>
        <w:suppressAutoHyphens/>
        <w:rPr>
          <w:rFonts w:eastAsia="Times New Roman"/>
        </w:rPr>
      </w:pPr>
      <w:r w:rsidRPr="00AB55D4">
        <w:rPr>
          <w:rFonts w:eastAsia="Times New Roman"/>
          <w:iCs/>
          <w:lang w:val="en-US"/>
        </w:rPr>
        <w:t>Immerwah</w:t>
      </w:r>
      <w:r w:rsidRPr="00AB55D4">
        <w:rPr>
          <w:rFonts w:eastAsia="Times New Roman"/>
          <w:iCs/>
        </w:rPr>
        <w:t>r</w:t>
      </w:r>
      <w:r w:rsidRPr="00AB55D4">
        <w:rPr>
          <w:rFonts w:eastAsia="Times New Roman"/>
          <w:iCs/>
          <w:lang w:val="en-US"/>
        </w:rPr>
        <w:t>, S.</w:t>
      </w:r>
      <w:r>
        <w:rPr>
          <w:rFonts w:eastAsia="Times New Roman"/>
          <w:iCs/>
          <w:lang w:val="en-US"/>
        </w:rPr>
        <w:t>,</w:t>
      </w:r>
      <w:r w:rsidRPr="00AB55D4">
        <w:rPr>
          <w:rFonts w:eastAsia="Times New Roman"/>
          <w:iCs/>
          <w:lang w:val="en-US"/>
        </w:rPr>
        <w:t xml:space="preserve"> 1995. </w:t>
      </w:r>
      <w:r w:rsidRPr="00AB55D4">
        <w:rPr>
          <w:rStyle w:val="Enfasicorsivo"/>
          <w:rFonts w:eastAsia="Times New Roman"/>
          <w:lang w:val="en-US"/>
        </w:rPr>
        <w:t>Death and the Tanagra</w:t>
      </w:r>
      <w:r w:rsidRPr="00AB55D4">
        <w:rPr>
          <w:rStyle w:val="st"/>
          <w:rFonts w:eastAsia="Times New Roman"/>
          <w:lang w:val="en-US"/>
        </w:rPr>
        <w:t xml:space="preserve"> </w:t>
      </w:r>
      <w:r>
        <w:rPr>
          <w:rStyle w:val="st"/>
          <w:rFonts w:eastAsia="Times New Roman"/>
          <w:lang w:val="en-US"/>
        </w:rPr>
        <w:t>l</w:t>
      </w:r>
      <w:r w:rsidRPr="00AB55D4">
        <w:rPr>
          <w:rStyle w:val="st"/>
          <w:rFonts w:eastAsia="Times New Roman"/>
          <w:lang w:val="en-US"/>
        </w:rPr>
        <w:t xml:space="preserve">arnakes, </w:t>
      </w:r>
      <w:r>
        <w:rPr>
          <w:rStyle w:val="st"/>
          <w:rFonts w:eastAsia="Times New Roman"/>
          <w:lang w:val="en-US"/>
        </w:rPr>
        <w:t xml:space="preserve">In: </w:t>
      </w:r>
      <w:r>
        <w:rPr>
          <w:rFonts w:eastAsia="Times New Roman"/>
        </w:rPr>
        <w:t>J</w:t>
      </w:r>
      <w:r w:rsidRPr="00AB55D4">
        <w:rPr>
          <w:rFonts w:eastAsia="Times New Roman"/>
        </w:rPr>
        <w:t>. B. Carter and S. P. Morris</w:t>
      </w:r>
      <w:r>
        <w:rPr>
          <w:rFonts w:eastAsia="Times New Roman"/>
        </w:rPr>
        <w:t xml:space="preserve">, eds. </w:t>
      </w:r>
      <w:r w:rsidRPr="00A67D51">
        <w:rPr>
          <w:rFonts w:eastAsia="Times New Roman"/>
          <w:i/>
        </w:rPr>
        <w:t>The</w:t>
      </w:r>
      <w:r>
        <w:rPr>
          <w:rFonts w:eastAsia="Times New Roman"/>
          <w:i/>
        </w:rPr>
        <w:t xml:space="preserve"> A</w:t>
      </w:r>
      <w:r w:rsidRPr="00A67D51">
        <w:rPr>
          <w:rFonts w:eastAsia="Times New Roman"/>
          <w:i/>
        </w:rPr>
        <w:t xml:space="preserve">ges of Homer: a </w:t>
      </w:r>
      <w:r>
        <w:rPr>
          <w:rFonts w:eastAsia="Times New Roman"/>
          <w:i/>
        </w:rPr>
        <w:t>T</w:t>
      </w:r>
      <w:r w:rsidRPr="00A67D51">
        <w:rPr>
          <w:rFonts w:eastAsia="Times New Roman"/>
          <w:i/>
        </w:rPr>
        <w:t xml:space="preserve">ribute to Emily Townsend Vermeule </w:t>
      </w:r>
      <w:r w:rsidRPr="00A67D51">
        <w:rPr>
          <w:rStyle w:val="st"/>
          <w:rFonts w:eastAsia="Times New Roman"/>
          <w:i/>
          <w:lang w:val="en-US"/>
        </w:rPr>
        <w:t>109-121</w:t>
      </w:r>
      <w:r w:rsidRPr="00AB55D4">
        <w:rPr>
          <w:rStyle w:val="st"/>
          <w:rFonts w:eastAsia="Times New Roman"/>
          <w:lang w:val="en-US"/>
        </w:rPr>
        <w:t>.</w:t>
      </w:r>
      <w:r>
        <w:rPr>
          <w:rStyle w:val="st"/>
          <w:rFonts w:eastAsia="Times New Roman"/>
          <w:lang w:val="en-US"/>
        </w:rPr>
        <w:t xml:space="preserve"> </w:t>
      </w:r>
      <w:r w:rsidRPr="00AB55D4">
        <w:rPr>
          <w:rFonts w:eastAsia="Times New Roman"/>
        </w:rPr>
        <w:t>Austin: University of Texas Press.</w:t>
      </w:r>
    </w:p>
    <w:p w14:paraId="2793E78F" w14:textId="77777777" w:rsidR="00303EFE" w:rsidRPr="00AB55D4" w:rsidRDefault="00303EFE" w:rsidP="00E858EF">
      <w:pPr>
        <w:suppressAutoHyphens/>
        <w:rPr>
          <w:rFonts w:eastAsia="Times New Roman"/>
        </w:rPr>
      </w:pPr>
    </w:p>
    <w:p w14:paraId="70271C28" w14:textId="77777777" w:rsidR="00303EFE" w:rsidRDefault="00303EFE" w:rsidP="00E858EF">
      <w:pPr>
        <w:suppressAutoHyphens/>
      </w:pPr>
      <w:r w:rsidRPr="00AB55D4">
        <w:t>Joly, R.</w:t>
      </w:r>
      <w:r>
        <w:t>,</w:t>
      </w:r>
      <w:r w:rsidRPr="00AB55D4">
        <w:t xml:space="preserve"> 1928. Deux larnakes trouvés à Mallia. </w:t>
      </w:r>
      <w:r>
        <w:rPr>
          <w:i/>
        </w:rPr>
        <w:t>BCH</w:t>
      </w:r>
      <w:r w:rsidRPr="00AB55D4">
        <w:rPr>
          <w:i/>
        </w:rPr>
        <w:t xml:space="preserve"> </w:t>
      </w:r>
      <w:r w:rsidRPr="00BA2849">
        <w:t>52</w:t>
      </w:r>
      <w:r w:rsidRPr="00AB55D4">
        <w:t>: 148-157.</w:t>
      </w:r>
    </w:p>
    <w:p w14:paraId="2770281D" w14:textId="77777777" w:rsidR="00303EFE" w:rsidRPr="00AB55D4" w:rsidRDefault="00303EFE" w:rsidP="00E858EF">
      <w:pPr>
        <w:suppressAutoHyphens/>
      </w:pPr>
    </w:p>
    <w:p w14:paraId="14BFA480" w14:textId="77777777" w:rsidR="00303EFE" w:rsidRDefault="00303EFE" w:rsidP="00E858EF">
      <w:pPr>
        <w:suppressAutoHyphens/>
      </w:pPr>
      <w:r w:rsidRPr="00AB55D4">
        <w:t>Joubin, A.</w:t>
      </w:r>
      <w:r>
        <w:t>,</w:t>
      </w:r>
      <w:r w:rsidRPr="00AB55D4">
        <w:t xml:space="preserve"> 1892. Urnes funeraires cretoises. </w:t>
      </w:r>
      <w:r>
        <w:rPr>
          <w:i/>
        </w:rPr>
        <w:t>BCH</w:t>
      </w:r>
      <w:r w:rsidRPr="00AB55D4">
        <w:rPr>
          <w:i/>
        </w:rPr>
        <w:t xml:space="preserve"> </w:t>
      </w:r>
      <w:r w:rsidRPr="00BA2849">
        <w:t>16</w:t>
      </w:r>
      <w:r w:rsidRPr="00AB55D4">
        <w:t>: 295-298.</w:t>
      </w:r>
    </w:p>
    <w:p w14:paraId="17166C50" w14:textId="77777777" w:rsidR="00303EFE" w:rsidRPr="00AB55D4" w:rsidRDefault="00303EFE" w:rsidP="00E858EF">
      <w:pPr>
        <w:suppressAutoHyphens/>
      </w:pPr>
    </w:p>
    <w:p w14:paraId="5245FA2D" w14:textId="77777777" w:rsidR="00303EFE" w:rsidRDefault="00303EFE" w:rsidP="00E858EF">
      <w:pPr>
        <w:suppressAutoHyphens/>
      </w:pPr>
      <w:r w:rsidRPr="00AB55D4">
        <w:t>Kanta, A.</w:t>
      </w:r>
      <w:r>
        <w:t>,</w:t>
      </w:r>
      <w:r w:rsidRPr="00AB55D4">
        <w:t xml:space="preserve"> 1973.</w:t>
      </w:r>
      <w:r>
        <w:t xml:space="preserve"> </w:t>
      </w:r>
      <w:r w:rsidRPr="00AB55D4">
        <w:rPr>
          <w:lang w:val="el-GR"/>
        </w:rPr>
        <w:t>Υστερομινωική σαρκοφ</w:t>
      </w:r>
      <w:r>
        <w:rPr>
          <w:lang w:val="el-GR"/>
        </w:rPr>
        <w:t>ά</w:t>
      </w:r>
      <w:r w:rsidRPr="00AB55D4">
        <w:rPr>
          <w:lang w:val="el-GR"/>
        </w:rPr>
        <w:t xml:space="preserve">γος απο το Χωρίον Μαρουλάς Ρεθύμνης. </w:t>
      </w:r>
      <w:r w:rsidRPr="00BA2849">
        <w:rPr>
          <w:i/>
          <w:lang w:val="el-GR"/>
        </w:rPr>
        <w:t>AAA</w:t>
      </w:r>
      <w:r>
        <w:rPr>
          <w:lang w:val="el-GR"/>
        </w:rPr>
        <w:t xml:space="preserve"> </w:t>
      </w:r>
      <w:r w:rsidRPr="00BA2849">
        <w:t>VI</w:t>
      </w:r>
      <w:r w:rsidRPr="00AB55D4">
        <w:rPr>
          <w:i/>
        </w:rPr>
        <w:t xml:space="preserve"> 2</w:t>
      </w:r>
      <w:r w:rsidRPr="006055A5">
        <w:t>:</w:t>
      </w:r>
      <w:r w:rsidRPr="00AB55D4">
        <w:rPr>
          <w:i/>
        </w:rPr>
        <w:t xml:space="preserve"> </w:t>
      </w:r>
      <w:r w:rsidRPr="00AB55D4">
        <w:t>315-323</w:t>
      </w:r>
      <w:r>
        <w:t>.</w:t>
      </w:r>
    </w:p>
    <w:p w14:paraId="619B6444" w14:textId="77777777" w:rsidR="00303EFE" w:rsidRPr="00AB55D4" w:rsidRDefault="00303EFE" w:rsidP="00E858EF">
      <w:pPr>
        <w:suppressAutoHyphens/>
        <w:rPr>
          <w:i/>
        </w:rPr>
      </w:pPr>
    </w:p>
    <w:p w14:paraId="21626F54" w14:textId="77777777" w:rsidR="00303EFE" w:rsidRDefault="00303EFE" w:rsidP="00E858EF">
      <w:pPr>
        <w:suppressAutoHyphens/>
        <w:autoSpaceDE w:val="0"/>
        <w:autoSpaceDN w:val="0"/>
        <w:adjustRightInd w:val="0"/>
      </w:pPr>
      <w:r w:rsidRPr="00AB55D4">
        <w:rPr>
          <w:color w:val="000000"/>
        </w:rPr>
        <w:t>Kanta, A.</w:t>
      </w:r>
      <w:r>
        <w:rPr>
          <w:color w:val="000000"/>
        </w:rPr>
        <w:t>,</w:t>
      </w:r>
      <w:r w:rsidRPr="00AB55D4">
        <w:rPr>
          <w:color w:val="000000"/>
        </w:rPr>
        <w:t xml:space="preserve"> 1980. </w:t>
      </w:r>
      <w:r w:rsidRPr="00AB55D4">
        <w:rPr>
          <w:i/>
        </w:rPr>
        <w:t>The Late Minoan III Period on Crete: A Survey of Sites, Pottery and their Distribution.</w:t>
      </w:r>
      <w:r w:rsidRPr="00AB55D4">
        <w:t xml:space="preserve"> SIMA 58. Göteborg: Åströms</w:t>
      </w:r>
      <w:r>
        <w:t>.</w:t>
      </w:r>
    </w:p>
    <w:p w14:paraId="5855AF33" w14:textId="77777777" w:rsidR="00303EFE" w:rsidRPr="00AB55D4" w:rsidRDefault="00303EFE" w:rsidP="00E858EF">
      <w:pPr>
        <w:suppressAutoHyphens/>
        <w:autoSpaceDE w:val="0"/>
        <w:autoSpaceDN w:val="0"/>
        <w:adjustRightInd w:val="0"/>
      </w:pPr>
    </w:p>
    <w:p w14:paraId="6A2F0E84" w14:textId="77777777" w:rsidR="00303EFE" w:rsidRDefault="00303EFE" w:rsidP="00E858EF">
      <w:pPr>
        <w:suppressAutoHyphens/>
        <w:autoSpaceDE w:val="0"/>
        <w:autoSpaceDN w:val="0"/>
        <w:adjustRightInd w:val="0"/>
      </w:pPr>
      <w:r w:rsidRPr="00AB55D4">
        <w:rPr>
          <w:color w:val="000000"/>
        </w:rPr>
        <w:t>Kanta, A.</w:t>
      </w:r>
      <w:r>
        <w:rPr>
          <w:color w:val="000000"/>
        </w:rPr>
        <w:t>,</w:t>
      </w:r>
      <w:r w:rsidRPr="00AB55D4">
        <w:rPr>
          <w:color w:val="000000"/>
        </w:rPr>
        <w:t xml:space="preserve"> 1997. </w:t>
      </w:r>
      <w:r w:rsidRPr="00AB55D4">
        <w:t xml:space="preserve">Late Bronze Age </w:t>
      </w:r>
      <w:r>
        <w:t>t</w:t>
      </w:r>
      <w:r w:rsidRPr="00AB55D4">
        <w:t xml:space="preserve">holos </w:t>
      </w:r>
      <w:r>
        <w:t>t</w:t>
      </w:r>
      <w:r w:rsidRPr="00AB55D4">
        <w:t xml:space="preserve">ombs, </w:t>
      </w:r>
      <w:r>
        <w:t>o</w:t>
      </w:r>
      <w:r w:rsidRPr="00AB55D4">
        <w:t xml:space="preserve">rigins and </w:t>
      </w:r>
      <w:r>
        <w:t>e</w:t>
      </w:r>
      <w:r w:rsidRPr="00AB55D4">
        <w:t>volution</w:t>
      </w:r>
      <w:r>
        <w:t>:</w:t>
      </w:r>
      <w:r w:rsidRPr="00AB55D4">
        <w:t xml:space="preserve"> The </w:t>
      </w:r>
      <w:r>
        <w:t>m</w:t>
      </w:r>
      <w:r w:rsidRPr="00AB55D4">
        <w:t xml:space="preserve">issing </w:t>
      </w:r>
      <w:r>
        <w:t>l</w:t>
      </w:r>
      <w:r w:rsidRPr="00AB55D4">
        <w:t>inks</w:t>
      </w:r>
      <w:r>
        <w:t>.</w:t>
      </w:r>
      <w:r w:rsidRPr="00AB55D4">
        <w:t xml:space="preserve"> </w:t>
      </w:r>
      <w:r>
        <w:t xml:space="preserve">In: </w:t>
      </w:r>
      <w:r w:rsidRPr="00AB55D4">
        <w:t>J. Driessen and A. Farnoux</w:t>
      </w:r>
      <w:r>
        <w:t>, eds.</w:t>
      </w:r>
      <w:r w:rsidRPr="00AB55D4">
        <w:t xml:space="preserve"> </w:t>
      </w:r>
      <w:r w:rsidRPr="00AB55D4">
        <w:rPr>
          <w:i/>
        </w:rPr>
        <w:t xml:space="preserve">La Crète </w:t>
      </w:r>
      <w:r>
        <w:rPr>
          <w:i/>
        </w:rPr>
        <w:t>m</w:t>
      </w:r>
      <w:r w:rsidRPr="00AB55D4">
        <w:rPr>
          <w:i/>
        </w:rPr>
        <w:t>ycénienne: actes de la table ronde internationale organisée par l'Ecole française d'Athènes 26-28 mars 1991</w:t>
      </w:r>
      <w:r>
        <w:rPr>
          <w:i/>
        </w:rPr>
        <w:t>.</w:t>
      </w:r>
      <w:r w:rsidRPr="00AB55D4">
        <w:rPr>
          <w:i/>
        </w:rPr>
        <w:t xml:space="preserve"> Bulletin de Correspondance Hellénique </w:t>
      </w:r>
      <w:r w:rsidRPr="00AB55D4">
        <w:t>Supplement 30: 229-247. Athènes: École française d'Athènes.</w:t>
      </w:r>
    </w:p>
    <w:p w14:paraId="2A4CD9BC" w14:textId="77777777" w:rsidR="00303EFE" w:rsidRDefault="00303EFE" w:rsidP="00E858EF">
      <w:pPr>
        <w:suppressAutoHyphens/>
        <w:autoSpaceDE w:val="0"/>
        <w:autoSpaceDN w:val="0"/>
        <w:adjustRightInd w:val="0"/>
      </w:pPr>
    </w:p>
    <w:p w14:paraId="6149DDD5" w14:textId="77777777" w:rsidR="00303EFE" w:rsidRPr="00920738" w:rsidRDefault="00303EFE" w:rsidP="00E858EF">
      <w:pPr>
        <w:suppressAutoHyphens/>
      </w:pPr>
      <w:r>
        <w:t xml:space="preserve">Kanta, A., 2001. The cremations of Olous and the custom of cremation in Bronze Age Crete. In: N. Stampolidis, ed. </w:t>
      </w:r>
      <w:r w:rsidRPr="00A67D51">
        <w:rPr>
          <w:i/>
        </w:rPr>
        <w:t>Kαύσεις στην Εποχή του Χαλκού και την πρώιμη Εποχή του Σιδήρου</w:t>
      </w:r>
      <w:r w:rsidRPr="00290D1B">
        <w:t>. πρακτικά του Συμποσίου Ρόδος 29 Απριλίου - 2 Μαîου 1999</w:t>
      </w:r>
      <w:r w:rsidRPr="001A0D2F">
        <w:t>: 59-68</w:t>
      </w:r>
      <w:r>
        <w:t xml:space="preserve">. </w:t>
      </w:r>
      <w:r w:rsidRPr="00732C86">
        <w:t>Αθήνα: Πανεπιστήμιο Κρήτης</w:t>
      </w:r>
      <w:r>
        <w:t>.</w:t>
      </w:r>
    </w:p>
    <w:p w14:paraId="69D01ABB" w14:textId="77777777" w:rsidR="00303EFE" w:rsidRDefault="00303EFE" w:rsidP="00E858EF">
      <w:pPr>
        <w:suppressAutoHyphens/>
        <w:autoSpaceDE w:val="0"/>
        <w:autoSpaceDN w:val="0"/>
        <w:adjustRightInd w:val="0"/>
      </w:pPr>
    </w:p>
    <w:p w14:paraId="7813D68A" w14:textId="63F0D7EC" w:rsidR="00CF3E3F" w:rsidRDefault="00CF3E3F" w:rsidP="00CF3E3F">
      <w:pPr>
        <w:suppressAutoHyphens/>
        <w:autoSpaceDE w:val="0"/>
        <w:autoSpaceDN w:val="0"/>
        <w:adjustRightInd w:val="0"/>
      </w:pPr>
      <w:r>
        <w:t>Kapranos</w:t>
      </w:r>
      <w:r w:rsidRPr="00AB55D4">
        <w:t xml:space="preserve">, </w:t>
      </w:r>
      <w:r>
        <w:t>E</w:t>
      </w:r>
      <w:r w:rsidRPr="00AB55D4">
        <w:t>.</w:t>
      </w:r>
      <w:r>
        <w:t>,</w:t>
      </w:r>
      <w:r w:rsidRPr="00AB55D4">
        <w:t xml:space="preserve"> 2010. </w:t>
      </w:r>
      <w:r w:rsidRPr="00AB55D4">
        <w:rPr>
          <w:lang w:val="el-GR"/>
        </w:rPr>
        <w:t xml:space="preserve">Υστερομινωικός θαλαμωτός τάφος στην Πηγή Ρεθύμνου, </w:t>
      </w:r>
      <w:r w:rsidRPr="00AB55D4">
        <w:t xml:space="preserve">476-484. </w:t>
      </w:r>
      <w:r>
        <w:t xml:space="preserve">In: </w:t>
      </w:r>
      <w:r w:rsidRPr="00AB55D4">
        <w:t>M. Andrianakis and I Tzachili</w:t>
      </w:r>
      <w:r>
        <w:t xml:space="preserve">, eds. </w:t>
      </w:r>
      <w:r w:rsidRPr="00A67D51">
        <w:rPr>
          <w:i/>
        </w:rPr>
        <w:t>Aρχαιολογικό έργο Κρήτης 1: Πρακτικά της 1ης Συνάντησης: Ρέθυμνο, 28-30 Νοεμβρίου 2008</w:t>
      </w:r>
      <w:r w:rsidRPr="00AB55D4">
        <w:t>: 476-484. Ρέθυμνο: Φιλοσοφική Σχολή Πανεπιστημίου Κρήτης.</w:t>
      </w:r>
    </w:p>
    <w:p w14:paraId="77D9C2D1" w14:textId="77777777" w:rsidR="00CF3E3F" w:rsidRDefault="00CF3E3F" w:rsidP="00E858EF">
      <w:pPr>
        <w:suppressAutoHyphens/>
        <w:autoSpaceDE w:val="0"/>
        <w:autoSpaceDN w:val="0"/>
        <w:adjustRightInd w:val="0"/>
      </w:pPr>
    </w:p>
    <w:p w14:paraId="1E3A3B55" w14:textId="174CE16A" w:rsidR="00CF3E3F" w:rsidRPr="00F165F4" w:rsidRDefault="00CF3E3F" w:rsidP="00CF3E3F">
      <w:pPr>
        <w:suppressAutoHyphens/>
        <w:autoSpaceDE w:val="0"/>
        <w:autoSpaceDN w:val="0"/>
        <w:adjustRightInd w:val="0"/>
      </w:pPr>
      <w:r>
        <w:t>Kapranos</w:t>
      </w:r>
      <w:r w:rsidRPr="00AB55D4">
        <w:t xml:space="preserve">, </w:t>
      </w:r>
      <w:r>
        <w:t>E</w:t>
      </w:r>
      <w:r w:rsidRPr="00AB55D4">
        <w:t>.</w:t>
      </w:r>
      <w:r>
        <w:t>,</w:t>
      </w:r>
      <w:r w:rsidRPr="00AB55D4">
        <w:t xml:space="preserve"> 2012. </w:t>
      </w:r>
      <w:r w:rsidRPr="00AB55D4">
        <w:rPr>
          <w:lang w:val="el-GR"/>
        </w:rPr>
        <w:t xml:space="preserve">Υστερομινωικός θαλαμωτός τάφος στο Σφακάκι. </w:t>
      </w:r>
      <w:r>
        <w:t xml:space="preserve">In: </w:t>
      </w:r>
      <w:r w:rsidRPr="00AB55D4">
        <w:t>M. Andrianakis, P. Barthalitou and I</w:t>
      </w:r>
      <w:r w:rsidR="00735B76">
        <w:t>.</w:t>
      </w:r>
      <w:r w:rsidRPr="00AB55D4">
        <w:t xml:space="preserve"> Tzachili</w:t>
      </w:r>
      <w:r>
        <w:t xml:space="preserve">, eds. </w:t>
      </w:r>
      <w:r w:rsidRPr="00A67D51">
        <w:rPr>
          <w:i/>
        </w:rPr>
        <w:t>Aρχαιολογικό έργο Κρήτης 2: Πρακτικά της 1ης Συνάντησης: Ρέθυμνο, 26-28 Νοεμβρίου 2010</w:t>
      </w:r>
      <w:r w:rsidRPr="00AB55D4">
        <w:t>: 405-411. Ρέθυμνο: Φιλοσοφική Σχολή Πανεπιστημίου Κρήτης</w:t>
      </w:r>
      <w:r>
        <w:t>.</w:t>
      </w:r>
    </w:p>
    <w:p w14:paraId="6D457F86" w14:textId="77777777" w:rsidR="00CF3E3F" w:rsidRPr="00AB55D4" w:rsidRDefault="00CF3E3F" w:rsidP="00E858EF">
      <w:pPr>
        <w:suppressAutoHyphens/>
        <w:autoSpaceDE w:val="0"/>
        <w:autoSpaceDN w:val="0"/>
        <w:adjustRightInd w:val="0"/>
      </w:pPr>
    </w:p>
    <w:p w14:paraId="6F9E566A" w14:textId="77777777" w:rsidR="00303EFE" w:rsidRDefault="00303EFE" w:rsidP="00E858EF">
      <w:pPr>
        <w:tabs>
          <w:tab w:val="left" w:pos="0"/>
        </w:tabs>
        <w:suppressAutoHyphens/>
        <w:autoSpaceDE w:val="0"/>
        <w:autoSpaceDN w:val="0"/>
        <w:adjustRightInd w:val="0"/>
        <w:spacing w:after="40"/>
      </w:pPr>
      <w:r w:rsidRPr="00AB55D4">
        <w:t>Karamaliki, N.</w:t>
      </w:r>
      <w:r>
        <w:t xml:space="preserve">, </w:t>
      </w:r>
      <w:r w:rsidRPr="00AB55D4">
        <w:t>2006.</w:t>
      </w:r>
      <w:r>
        <w:t xml:space="preserve"> </w:t>
      </w:r>
      <w:r w:rsidRPr="00AB55D4">
        <w:rPr>
          <w:lang w:val="el-GR"/>
        </w:rPr>
        <w:t>Υστερομινωικός θαλαμωτός τάφος στον Κοφινά Μελιδονίου.</w:t>
      </w:r>
      <w:r w:rsidRPr="00AB55D4">
        <w:t xml:space="preserve"> </w:t>
      </w:r>
      <w:r>
        <w:t xml:space="preserve">In: </w:t>
      </w:r>
      <w:r w:rsidRPr="00AB55D4">
        <w:t>E. Gavrilaki and G. Z. Tzifopoulos</w:t>
      </w:r>
      <w:r>
        <w:t>, eds.</w:t>
      </w:r>
      <w:r w:rsidRPr="00AB55D4">
        <w:t xml:space="preserve"> </w:t>
      </w:r>
      <w:r w:rsidRPr="00AB55D4">
        <w:rPr>
          <w:i/>
        </w:rPr>
        <w:t>Ο Μυλοπόταμος από την αρχαιότητα ως σήμερα: περιβάλλον, αρχαιολογία, ιστορία, λαογραφία, κοινωνιολογία: πρακτικά διεθνούς συνεδρίου </w:t>
      </w:r>
      <w:r w:rsidRPr="00AB55D4">
        <w:rPr>
          <w:i/>
          <w:lang w:val="el-GR"/>
        </w:rPr>
        <w:t>ΙΙ</w:t>
      </w:r>
      <w:r w:rsidRPr="00AB55D4">
        <w:t>: 153-181. Rethymno: Ιστορική και Λαογραφική Εταιρεία Ρεθύμνου.</w:t>
      </w:r>
    </w:p>
    <w:p w14:paraId="28662296" w14:textId="77777777" w:rsidR="00303EFE" w:rsidRPr="00AB55D4" w:rsidRDefault="00303EFE" w:rsidP="00E858EF">
      <w:pPr>
        <w:tabs>
          <w:tab w:val="left" w:pos="0"/>
        </w:tabs>
        <w:suppressAutoHyphens/>
        <w:autoSpaceDE w:val="0"/>
        <w:autoSpaceDN w:val="0"/>
        <w:adjustRightInd w:val="0"/>
        <w:spacing w:after="40"/>
      </w:pPr>
    </w:p>
    <w:p w14:paraId="7149948E" w14:textId="77777777" w:rsidR="00303EFE" w:rsidRDefault="00303EFE" w:rsidP="00E858EF">
      <w:pPr>
        <w:suppressAutoHyphens/>
        <w:rPr>
          <w:color w:val="000000"/>
        </w:rPr>
      </w:pPr>
      <w:r w:rsidRPr="00AB55D4">
        <w:rPr>
          <w:color w:val="000000"/>
        </w:rPr>
        <w:t>Kardulias, P. N.</w:t>
      </w:r>
      <w:r>
        <w:rPr>
          <w:color w:val="000000"/>
        </w:rPr>
        <w:t>,</w:t>
      </w:r>
      <w:r w:rsidRPr="00AB55D4">
        <w:rPr>
          <w:color w:val="000000"/>
        </w:rPr>
        <w:t xml:space="preserve"> ed.</w:t>
      </w:r>
      <w:r w:rsidRPr="00AB55D4">
        <w:rPr>
          <w:i/>
          <w:color w:val="000000"/>
        </w:rPr>
        <w:t xml:space="preserve"> </w:t>
      </w:r>
      <w:r w:rsidRPr="00AB55D4">
        <w:rPr>
          <w:color w:val="000000"/>
        </w:rPr>
        <w:t xml:space="preserve">1994. </w:t>
      </w:r>
      <w:r w:rsidRPr="00AB55D4">
        <w:rPr>
          <w:i/>
          <w:color w:val="000000"/>
        </w:rPr>
        <w:t xml:space="preserve">Beyond the </w:t>
      </w:r>
      <w:r>
        <w:rPr>
          <w:i/>
          <w:color w:val="000000"/>
        </w:rPr>
        <w:t>S</w:t>
      </w:r>
      <w:r w:rsidRPr="00AB55D4">
        <w:rPr>
          <w:i/>
          <w:color w:val="000000"/>
        </w:rPr>
        <w:t xml:space="preserve">ite: </w:t>
      </w:r>
      <w:r>
        <w:rPr>
          <w:i/>
          <w:color w:val="000000"/>
        </w:rPr>
        <w:t>R</w:t>
      </w:r>
      <w:r w:rsidRPr="00AB55D4">
        <w:rPr>
          <w:i/>
          <w:color w:val="000000"/>
        </w:rPr>
        <w:t xml:space="preserve">egional </w:t>
      </w:r>
      <w:r>
        <w:rPr>
          <w:i/>
          <w:color w:val="000000"/>
        </w:rPr>
        <w:t>S</w:t>
      </w:r>
      <w:r w:rsidRPr="00AB55D4">
        <w:rPr>
          <w:i/>
          <w:color w:val="000000"/>
        </w:rPr>
        <w:t xml:space="preserve">tudies in the Aegean </w:t>
      </w:r>
      <w:r>
        <w:rPr>
          <w:i/>
          <w:color w:val="000000"/>
        </w:rPr>
        <w:t>A</w:t>
      </w:r>
      <w:r w:rsidRPr="00AB55D4">
        <w:rPr>
          <w:i/>
          <w:color w:val="000000"/>
        </w:rPr>
        <w:t>rea.</w:t>
      </w:r>
      <w:r w:rsidRPr="00AB55D4">
        <w:rPr>
          <w:color w:val="000000"/>
        </w:rPr>
        <w:t xml:space="preserve"> Lanham: University Press of America</w:t>
      </w:r>
      <w:r>
        <w:rPr>
          <w:color w:val="000000"/>
        </w:rPr>
        <w:t>.</w:t>
      </w:r>
    </w:p>
    <w:p w14:paraId="2ED4F10A" w14:textId="77777777" w:rsidR="00303EFE" w:rsidRPr="00AB55D4" w:rsidRDefault="00303EFE" w:rsidP="00E858EF">
      <w:pPr>
        <w:suppressAutoHyphens/>
        <w:autoSpaceDE w:val="0"/>
        <w:autoSpaceDN w:val="0"/>
        <w:adjustRightInd w:val="0"/>
      </w:pPr>
    </w:p>
    <w:p w14:paraId="3A2FE460"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B55D4">
        <w:rPr>
          <w:color w:val="000000"/>
        </w:rPr>
        <w:t>Karetsou, A.</w:t>
      </w:r>
      <w:r>
        <w:rPr>
          <w:color w:val="000000"/>
        </w:rPr>
        <w:t>,</w:t>
      </w:r>
      <w:r w:rsidRPr="00AB55D4">
        <w:rPr>
          <w:color w:val="000000"/>
        </w:rPr>
        <w:t xml:space="preserve"> 1975. </w:t>
      </w:r>
      <w:r w:rsidRPr="00AB55D4">
        <w:rPr>
          <w:color w:val="000000"/>
          <w:lang w:val="el-GR"/>
        </w:rPr>
        <w:t>Περισυλλογή αρχαίοων στήν Κεντρική Κρήτη.</w:t>
      </w:r>
      <w:r>
        <w:rPr>
          <w:color w:val="000000"/>
          <w:lang w:val="el-GR"/>
        </w:rPr>
        <w:t xml:space="preserve"> </w:t>
      </w:r>
      <w:r w:rsidRPr="00BA2849">
        <w:rPr>
          <w:i/>
          <w:color w:val="000000"/>
          <w:lang w:val="el-GR"/>
        </w:rPr>
        <w:t>Prakt</w:t>
      </w:r>
      <w:r w:rsidRPr="006055A5">
        <w:rPr>
          <w:lang w:val="el-GR"/>
        </w:rPr>
        <w:t>:</w:t>
      </w:r>
      <w:r w:rsidRPr="00AB55D4">
        <w:rPr>
          <w:color w:val="000000"/>
        </w:rPr>
        <w:t xml:space="preserve"> 522-526.</w:t>
      </w:r>
    </w:p>
    <w:p w14:paraId="5A590540"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242B41F1" w14:textId="77777777" w:rsidR="00303EFE" w:rsidRPr="00CA564C" w:rsidRDefault="00303EFE" w:rsidP="00E858EF">
      <w:pPr>
        <w:suppressAutoHyphens/>
        <w:autoSpaceDE w:val="0"/>
        <w:autoSpaceDN w:val="0"/>
        <w:adjustRightInd w:val="0"/>
      </w:pPr>
      <w:r w:rsidRPr="00B66F09">
        <w:t>Karetsou, A. and Andreadaki-Vlasaki, M.</w:t>
      </w:r>
      <w:r>
        <w:t>,</w:t>
      </w:r>
      <w:r w:rsidRPr="00B66F09">
        <w:t xml:space="preserve"> eds</w:t>
      </w:r>
      <w:r>
        <w:t>.</w:t>
      </w:r>
      <w:r w:rsidRPr="00B66F09">
        <w:t xml:space="preserve"> 2000: </w:t>
      </w:r>
      <w:r w:rsidRPr="00B66F09">
        <w:rPr>
          <w:i/>
        </w:rPr>
        <w:t>Κρήτη - Αίγυπτος: πολιτισμικοί δεσμοί τριών χιλιετιώ</w:t>
      </w:r>
      <w:r w:rsidRPr="00B66F09">
        <w:rPr>
          <w:i/>
          <w:lang w:val="el-GR"/>
        </w:rPr>
        <w:t>ν</w:t>
      </w:r>
      <w:r w:rsidRPr="00B66F09">
        <w:t xml:space="preserve">: 86-93. Αθήνα: Υπουργείο Πολιτισμού - Αρχαιολογικό Μουσείο Ηρακλείου. </w:t>
      </w:r>
    </w:p>
    <w:p w14:paraId="2A8D7E4A"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11329827" w14:textId="77777777" w:rsidR="00303EFE" w:rsidRDefault="00303EFE" w:rsidP="00E858EF">
      <w:pPr>
        <w:suppressAutoHyphens/>
        <w:autoSpaceDE w:val="0"/>
        <w:autoSpaceDN w:val="0"/>
        <w:adjustRightInd w:val="0"/>
        <w:rPr>
          <w:color w:val="000000"/>
        </w:rPr>
      </w:pPr>
      <w:r w:rsidRPr="00AB55D4">
        <w:rPr>
          <w:color w:val="000000"/>
        </w:rPr>
        <w:t>Karetsou, A. and Girella, L.</w:t>
      </w:r>
      <w:r>
        <w:rPr>
          <w:color w:val="000000"/>
        </w:rPr>
        <w:t>,</w:t>
      </w:r>
      <w:r w:rsidRPr="00AB55D4">
        <w:rPr>
          <w:color w:val="000000"/>
        </w:rPr>
        <w:t xml:space="preserve"> 2015. </w:t>
      </w:r>
      <w:r w:rsidRPr="00AB55D4">
        <w:rPr>
          <w:i/>
        </w:rPr>
        <w:t>Kalochorafitis: Two Chamber Tombs from the LM IIIA2-B Cemetery. A Contribution to Postpalatial Funerary Practice in the Mesara</w:t>
      </w:r>
      <w:r w:rsidRPr="00AB55D4">
        <w:t xml:space="preserve">. Studi di Archeologia Cretese 12. Padova: Bottega di Erasmo </w:t>
      </w:r>
      <w:r w:rsidRPr="00AB55D4">
        <w:rPr>
          <w:color w:val="000000"/>
        </w:rPr>
        <w:t>A. Ausilio.</w:t>
      </w:r>
    </w:p>
    <w:p w14:paraId="5D03DDA4" w14:textId="77777777" w:rsidR="00303EFE" w:rsidRDefault="00303EFE" w:rsidP="00E858EF">
      <w:pPr>
        <w:suppressAutoHyphens/>
        <w:autoSpaceDE w:val="0"/>
        <w:autoSpaceDN w:val="0"/>
        <w:adjustRightInd w:val="0"/>
      </w:pPr>
    </w:p>
    <w:p w14:paraId="785AD5BC" w14:textId="5816EFDC" w:rsidR="00303EFE" w:rsidRDefault="00303EFE" w:rsidP="00E858EF">
      <w:pPr>
        <w:suppressAutoHyphens/>
        <w:autoSpaceDE w:val="0"/>
        <w:autoSpaceDN w:val="0"/>
        <w:adjustRightInd w:val="0"/>
        <w:rPr>
          <w:color w:val="000000"/>
        </w:rPr>
      </w:pPr>
      <w:r>
        <w:t>Kotsaki</w:t>
      </w:r>
      <w:r w:rsidR="00400C64">
        <w:t>s</w:t>
      </w:r>
      <w:r>
        <w:t xml:space="preserve">, K., 2016. Bodies in the eastern Mediterranean. </w:t>
      </w:r>
      <w:r>
        <w:rPr>
          <w:color w:val="000000"/>
        </w:rPr>
        <w:t xml:space="preserve">In: </w:t>
      </w:r>
      <w:r w:rsidRPr="007F66CB">
        <w:rPr>
          <w:color w:val="000000"/>
        </w:rPr>
        <w:t xml:space="preserve">M. Mina, S. Triantaphyllou and Y. </w:t>
      </w:r>
      <w:r w:rsidR="001806BA">
        <w:rPr>
          <w:color w:val="000000"/>
        </w:rPr>
        <w:t>Papadatos</w:t>
      </w:r>
      <w:r>
        <w:rPr>
          <w:color w:val="000000"/>
        </w:rPr>
        <w:t>, eds.</w:t>
      </w:r>
      <w:r w:rsidRPr="007F66CB">
        <w:rPr>
          <w:color w:val="000000"/>
        </w:rPr>
        <w:t xml:space="preserve"> </w:t>
      </w:r>
      <w:r w:rsidRPr="007F66CB">
        <w:rPr>
          <w:i/>
          <w:color w:val="000000"/>
        </w:rPr>
        <w:t>An Archaeology of Prehistoric Bodies and Embodied Identities in the Ea</w:t>
      </w:r>
      <w:r>
        <w:rPr>
          <w:i/>
          <w:color w:val="000000"/>
        </w:rPr>
        <w:t>stern Mediterranean</w:t>
      </w:r>
      <w:r w:rsidRPr="006055A5">
        <w:rPr>
          <w:color w:val="000000"/>
        </w:rPr>
        <w:t>:</w:t>
      </w:r>
      <w:r>
        <w:rPr>
          <w:i/>
          <w:color w:val="000000"/>
        </w:rPr>
        <w:t xml:space="preserve"> </w:t>
      </w:r>
      <w:r>
        <w:rPr>
          <w:color w:val="000000"/>
        </w:rPr>
        <w:t>224-227</w:t>
      </w:r>
      <w:r w:rsidRPr="007F66CB">
        <w:rPr>
          <w:color w:val="000000"/>
        </w:rPr>
        <w:t>. Oxford: Oxbow.</w:t>
      </w:r>
    </w:p>
    <w:p w14:paraId="4FC6827C" w14:textId="77777777" w:rsidR="00303EFE" w:rsidRPr="00AB55D4" w:rsidRDefault="00303EFE" w:rsidP="00E858EF">
      <w:pPr>
        <w:suppressAutoHyphens/>
        <w:autoSpaceDE w:val="0"/>
        <w:autoSpaceDN w:val="0"/>
        <w:adjustRightInd w:val="0"/>
      </w:pPr>
    </w:p>
    <w:p w14:paraId="0D88AC30" w14:textId="77777777" w:rsidR="00303EFE" w:rsidRPr="00290D1B" w:rsidRDefault="00303EFE" w:rsidP="00E858EF">
      <w:pPr>
        <w:suppressAutoHyphens/>
      </w:pPr>
      <w:r w:rsidRPr="00AB55D4">
        <w:t>Kramer-Hajos, M.</w:t>
      </w:r>
      <w:r>
        <w:t>,</w:t>
      </w:r>
      <w:r w:rsidRPr="00AB55D4">
        <w:t xml:space="preserve"> 2015. Mourning on the </w:t>
      </w:r>
      <w:r>
        <w:t>l</w:t>
      </w:r>
      <w:r w:rsidRPr="00AB55D4">
        <w:t xml:space="preserve">arnakes at Tanagra: </w:t>
      </w:r>
      <w:r>
        <w:t>g</w:t>
      </w:r>
      <w:r w:rsidRPr="00AB55D4">
        <w:t xml:space="preserve">ender and </w:t>
      </w:r>
      <w:r>
        <w:t>a</w:t>
      </w:r>
      <w:r w:rsidRPr="00AB55D4">
        <w:t>gency in Late Bronze Age Greece</w:t>
      </w:r>
      <w:r>
        <w:t>.</w:t>
      </w:r>
      <w:r w:rsidRPr="00AB55D4">
        <w:t xml:space="preserve"> </w:t>
      </w:r>
      <w:r w:rsidRPr="00AB55D4">
        <w:rPr>
          <w:i/>
        </w:rPr>
        <w:t xml:space="preserve">Hesperia </w:t>
      </w:r>
      <w:r w:rsidRPr="00290D1B">
        <w:t>84 (4)</w:t>
      </w:r>
      <w:r w:rsidRPr="001A0D2F">
        <w:t>:</w:t>
      </w:r>
      <w:r w:rsidRPr="00290D1B">
        <w:t xml:space="preserve"> </w:t>
      </w:r>
      <w:r w:rsidRPr="001A0D2F">
        <w:t>627-667</w:t>
      </w:r>
      <w:r w:rsidRPr="00290D1B">
        <w:t>.</w:t>
      </w:r>
    </w:p>
    <w:p w14:paraId="4F425872" w14:textId="77777777" w:rsidR="00303EFE" w:rsidRDefault="00303EFE" w:rsidP="00E858EF">
      <w:pPr>
        <w:suppressAutoHyphens/>
        <w:rPr>
          <w:i/>
        </w:rPr>
      </w:pPr>
    </w:p>
    <w:p w14:paraId="3F47F14B" w14:textId="77777777" w:rsidR="00303EFE" w:rsidRDefault="00303EFE" w:rsidP="00E858EF">
      <w:pPr>
        <w:suppressAutoHyphens/>
      </w:pPr>
      <w:r>
        <w:t>Krzyszkowska, O. H., 1996. Forniture in the Aegean Bronze Age. In: G.</w:t>
      </w:r>
      <w:r w:rsidRPr="000B6084">
        <w:t xml:space="preserve"> Herrmann</w:t>
      </w:r>
      <w:r>
        <w:t xml:space="preserve">, ed. </w:t>
      </w:r>
      <w:r w:rsidRPr="00A67D51">
        <w:rPr>
          <w:i/>
        </w:rPr>
        <w:t>The Furniture of Wester</w:t>
      </w:r>
      <w:r w:rsidRPr="008D651D">
        <w:rPr>
          <w:i/>
        </w:rPr>
        <w:t xml:space="preserve">n Asia, </w:t>
      </w:r>
      <w:r>
        <w:rPr>
          <w:i/>
        </w:rPr>
        <w:t>A</w:t>
      </w:r>
      <w:r w:rsidRPr="008D651D">
        <w:rPr>
          <w:i/>
        </w:rPr>
        <w:t>ncient and</w:t>
      </w:r>
      <w:r>
        <w:rPr>
          <w:i/>
        </w:rPr>
        <w:t xml:space="preserve"> T</w:t>
      </w:r>
      <w:r w:rsidRPr="008D651D">
        <w:rPr>
          <w:i/>
        </w:rPr>
        <w:t>raditional</w:t>
      </w:r>
      <w:r w:rsidRPr="00290D1B">
        <w:t>. Papers of the Conference Held at the Institute of Archaeology, University College London, June 28 to 30, 1993</w:t>
      </w:r>
      <w:r w:rsidRPr="001A0D2F">
        <w:t xml:space="preserve">: </w:t>
      </w:r>
      <w:r>
        <w:t>85-103. Mainz</w:t>
      </w:r>
      <w:r w:rsidRPr="000B590A">
        <w:t>: Philipp von Zabern</w:t>
      </w:r>
      <w:r>
        <w:t>.</w:t>
      </w:r>
    </w:p>
    <w:p w14:paraId="4600A8F5" w14:textId="77777777" w:rsidR="00303EFE" w:rsidRDefault="00303EFE" w:rsidP="00E858EF">
      <w:pPr>
        <w:suppressAutoHyphens/>
        <w:rPr>
          <w:i/>
        </w:rPr>
      </w:pPr>
    </w:p>
    <w:p w14:paraId="225E8943" w14:textId="77777777" w:rsidR="00303EFE" w:rsidRPr="00F516CE" w:rsidRDefault="00303EFE" w:rsidP="00E858EF">
      <w:pPr>
        <w:suppressAutoHyphens/>
        <w:spacing w:before="120"/>
        <w:rPr>
          <w:bCs/>
        </w:rPr>
      </w:pPr>
      <w:r w:rsidRPr="00F516CE">
        <w:rPr>
          <w:color w:val="1A1A1A"/>
        </w:rPr>
        <w:t>Krzyszkowska, O. H.</w:t>
      </w:r>
      <w:r>
        <w:rPr>
          <w:color w:val="1A1A1A"/>
        </w:rPr>
        <w:t>, 2007.</w:t>
      </w:r>
      <w:r w:rsidRPr="00F516CE">
        <w:rPr>
          <w:color w:val="1A1A1A"/>
        </w:rPr>
        <w:t xml:space="preserve"> </w:t>
      </w:r>
      <w:r w:rsidRPr="00A67D51">
        <w:rPr>
          <w:bCs/>
          <w:i/>
        </w:rPr>
        <w:t>Well Built Mycenae, Fascicule 24: The Ivories and Objects of Bone, Antler and Boar's Tusk</w:t>
      </w:r>
      <w:r>
        <w:rPr>
          <w:bCs/>
        </w:rPr>
        <w:t>. Oxford</w:t>
      </w:r>
      <w:r w:rsidRPr="001602C8">
        <w:rPr>
          <w:bCs/>
        </w:rPr>
        <w:t>: Oxbow</w:t>
      </w:r>
      <w:r>
        <w:rPr>
          <w:bCs/>
        </w:rPr>
        <w:t>.</w:t>
      </w:r>
    </w:p>
    <w:p w14:paraId="1FC4830B" w14:textId="77777777" w:rsidR="00303EFE" w:rsidRPr="00AB55D4" w:rsidRDefault="00303EFE" w:rsidP="00E858EF">
      <w:pPr>
        <w:suppressAutoHyphens/>
        <w:rPr>
          <w:i/>
        </w:rPr>
      </w:pPr>
    </w:p>
    <w:p w14:paraId="50E3FD35" w14:textId="77777777" w:rsidR="00303EFE" w:rsidRDefault="00303EFE" w:rsidP="00E858EF">
      <w:pPr>
        <w:suppressAutoHyphens/>
        <w:autoSpaceDE w:val="0"/>
        <w:autoSpaceDN w:val="0"/>
        <w:adjustRightInd w:val="0"/>
      </w:pPr>
      <w:r w:rsidRPr="00AB55D4">
        <w:t>La Rosa, V.</w:t>
      </w:r>
      <w:r>
        <w:t>,</w:t>
      </w:r>
      <w:r w:rsidRPr="00AB55D4">
        <w:t xml:space="preserve"> 1992-93. Nuovi dati sulla tomba del sarcofago dipinto di H. Triada. </w:t>
      </w:r>
      <w:r>
        <w:t xml:space="preserve">In: </w:t>
      </w:r>
      <w:r w:rsidRPr="00AB55D4">
        <w:t>V. La Rosa, D. Palermo and L. Vagnetti.</w:t>
      </w:r>
      <w:r>
        <w:t>, eds.</w:t>
      </w:r>
      <w:r w:rsidRPr="00AB55D4">
        <w:t xml:space="preserve"> </w:t>
      </w:r>
      <w:r w:rsidRPr="00AB55D4">
        <w:rPr>
          <w:i/>
        </w:rPr>
        <w:t>Επί πόντον πλαζόμενοι</w:t>
      </w:r>
      <w:r>
        <w:rPr>
          <w:i/>
        </w:rPr>
        <w:t>.</w:t>
      </w:r>
      <w:r w:rsidRPr="00290D1B">
        <w:t xml:space="preserve"> </w:t>
      </w:r>
      <w:r>
        <w:t>S</w:t>
      </w:r>
      <w:r w:rsidRPr="00290D1B">
        <w:t>imposio italiano di studi Egei dedicato a Luigi Bernabò Brea e Giovanni Puglise Carratelli,</w:t>
      </w:r>
      <w:r w:rsidRPr="001A0D2F">
        <w:t xml:space="preserve"> </w:t>
      </w:r>
      <w:r w:rsidRPr="00290D1B">
        <w:t>Roma 18-20 febbraio 1998</w:t>
      </w:r>
      <w:r w:rsidRPr="001A0D2F">
        <w:t>:</w:t>
      </w:r>
      <w:r w:rsidRPr="00AB55D4">
        <w:t xml:space="preserve"> 177-188. Roma: Scuola Archeologica Italiana di Atene.</w:t>
      </w:r>
    </w:p>
    <w:p w14:paraId="5575CDA4" w14:textId="77777777" w:rsidR="00303EFE" w:rsidRPr="00AB55D4" w:rsidRDefault="00303EFE" w:rsidP="00E858EF">
      <w:pPr>
        <w:suppressAutoHyphens/>
        <w:autoSpaceDE w:val="0"/>
        <w:autoSpaceDN w:val="0"/>
        <w:adjustRightInd w:val="0"/>
      </w:pPr>
    </w:p>
    <w:p w14:paraId="235F024B" w14:textId="77777777" w:rsidR="00303EFE" w:rsidRDefault="00303EFE" w:rsidP="00E858EF">
      <w:pPr>
        <w:suppressAutoHyphens/>
        <w:autoSpaceDE w:val="0"/>
        <w:autoSpaceDN w:val="0"/>
        <w:adjustRightInd w:val="0"/>
      </w:pPr>
      <w:r w:rsidRPr="00AB55D4">
        <w:t>La Rosa, V.</w:t>
      </w:r>
      <w:r>
        <w:t>,</w:t>
      </w:r>
      <w:r w:rsidRPr="00AB55D4">
        <w:t xml:space="preserve"> 1997. Haghia Triada à l'époque mycénienne: </w:t>
      </w:r>
      <w:r>
        <w:t>l</w:t>
      </w:r>
      <w:r w:rsidRPr="00AB55D4">
        <w:t xml:space="preserve">'utopie d'une ville capitale. </w:t>
      </w:r>
      <w:r>
        <w:t xml:space="preserve">In: </w:t>
      </w:r>
      <w:r w:rsidRPr="00AB55D4">
        <w:t>J. Driessen and A. Farnoux</w:t>
      </w:r>
      <w:r>
        <w:t>, eds.</w:t>
      </w:r>
      <w:r w:rsidRPr="00AB55D4">
        <w:t xml:space="preserve"> </w:t>
      </w:r>
      <w:r w:rsidRPr="00AB55D4">
        <w:rPr>
          <w:i/>
        </w:rPr>
        <w:t xml:space="preserve">La Crète </w:t>
      </w:r>
      <w:r>
        <w:rPr>
          <w:i/>
        </w:rPr>
        <w:t>m</w:t>
      </w:r>
      <w:r w:rsidRPr="00AB55D4">
        <w:rPr>
          <w:i/>
        </w:rPr>
        <w:t>ycénienne</w:t>
      </w:r>
      <w:r>
        <w:rPr>
          <w:i/>
        </w:rPr>
        <w:t>.</w:t>
      </w:r>
      <w:r w:rsidRPr="00AB55D4">
        <w:rPr>
          <w:i/>
        </w:rPr>
        <w:t xml:space="preserve"> </w:t>
      </w:r>
      <w:r w:rsidRPr="00290D1B">
        <w:t>Actes de la table ronde internationale organisée par l'Ecole française d'Athènes 26-28 mars 1991</w:t>
      </w:r>
      <w:r w:rsidRPr="001A0D2F">
        <w:t xml:space="preserve">. </w:t>
      </w:r>
      <w:r w:rsidRPr="00290D1B">
        <w:t>Bulletin de Correspondance Hellénique</w:t>
      </w:r>
      <w:r>
        <w:t>,</w:t>
      </w:r>
      <w:r w:rsidRPr="00290D1B">
        <w:t xml:space="preserve"> </w:t>
      </w:r>
      <w:r w:rsidRPr="00AB55D4">
        <w:t>Supplement 30: 249-266. Athènes: École française d'Athènes</w:t>
      </w:r>
      <w:r>
        <w:t>.</w:t>
      </w:r>
    </w:p>
    <w:p w14:paraId="0EE7B870" w14:textId="77777777" w:rsidR="00303EFE" w:rsidRPr="00AB55D4" w:rsidRDefault="00303EFE" w:rsidP="00E858EF">
      <w:pPr>
        <w:suppressAutoHyphens/>
        <w:autoSpaceDE w:val="0"/>
        <w:autoSpaceDN w:val="0"/>
        <w:adjustRightInd w:val="0"/>
      </w:pPr>
    </w:p>
    <w:p w14:paraId="6A9B5536" w14:textId="77777777" w:rsidR="00303EFE" w:rsidRDefault="00303EFE" w:rsidP="00E858EF">
      <w:pPr>
        <w:suppressAutoHyphens/>
        <w:autoSpaceDE w:val="0"/>
        <w:autoSpaceDN w:val="0"/>
        <w:adjustRightInd w:val="0"/>
      </w:pPr>
      <w:r w:rsidRPr="00AB55D4">
        <w:t>La Rosa, V.</w:t>
      </w:r>
      <w:r>
        <w:t>,</w:t>
      </w:r>
      <w:r w:rsidRPr="00AB55D4">
        <w:t xml:space="preserve"> 1998. La c.d. tomba degli ori e il nuovo settore nord-est dell’insediamento di Haghia Triada</w:t>
      </w:r>
      <w:r>
        <w:t>.</w:t>
      </w:r>
      <w:r w:rsidRPr="00AB55D4">
        <w:t xml:space="preserve"> </w:t>
      </w:r>
      <w:r w:rsidRPr="00AB55D4">
        <w:rPr>
          <w:i/>
        </w:rPr>
        <w:t>Annuario della Scuola Archeologica di Atene</w:t>
      </w:r>
      <w:r w:rsidRPr="00AB55D4">
        <w:t xml:space="preserve"> 70-71: 121-167.</w:t>
      </w:r>
    </w:p>
    <w:p w14:paraId="6420DF1E" w14:textId="77777777" w:rsidR="00303EFE" w:rsidRPr="00AB55D4" w:rsidRDefault="00303EFE" w:rsidP="00E858EF">
      <w:pPr>
        <w:suppressAutoHyphens/>
        <w:autoSpaceDE w:val="0"/>
        <w:autoSpaceDN w:val="0"/>
        <w:adjustRightInd w:val="0"/>
      </w:pPr>
    </w:p>
    <w:p w14:paraId="5C1C6E51" w14:textId="77777777" w:rsidR="00303EFE" w:rsidRDefault="00303EFE" w:rsidP="00E858EF">
      <w:pPr>
        <w:suppressAutoHyphens/>
        <w:autoSpaceDE w:val="0"/>
        <w:autoSpaceDN w:val="0"/>
        <w:adjustRightInd w:val="0"/>
      </w:pPr>
      <w:r w:rsidRPr="00AB55D4">
        <w:t>La Rosa, V.</w:t>
      </w:r>
      <w:r>
        <w:t>,</w:t>
      </w:r>
      <w:r w:rsidRPr="00AB55D4">
        <w:t xml:space="preserve"> 2000a. The </w:t>
      </w:r>
      <w:r>
        <w:t>p</w:t>
      </w:r>
      <w:r w:rsidRPr="00AB55D4">
        <w:t xml:space="preserve">ainted </w:t>
      </w:r>
      <w:r>
        <w:t>s</w:t>
      </w:r>
      <w:r w:rsidRPr="00AB55D4">
        <w:t xml:space="preserve">arcophagus: </w:t>
      </w:r>
      <w:r>
        <w:t>d</w:t>
      </w:r>
      <w:r w:rsidRPr="00AB55D4">
        <w:t xml:space="preserve">etermining the </w:t>
      </w:r>
      <w:r>
        <w:t>c</w:t>
      </w:r>
      <w:r w:rsidRPr="00AB55D4">
        <w:t xml:space="preserve">hronology. </w:t>
      </w:r>
      <w:r>
        <w:t xml:space="preserve">In: </w:t>
      </w:r>
      <w:r w:rsidRPr="00AB55D4">
        <w:t>S. Sherratt</w:t>
      </w:r>
      <w:r>
        <w:t xml:space="preserve">, ed. </w:t>
      </w:r>
      <w:r w:rsidRPr="00AB55D4">
        <w:rPr>
          <w:i/>
        </w:rPr>
        <w:t>The wall paintings of Ther</w:t>
      </w:r>
      <w:r>
        <w:rPr>
          <w:i/>
        </w:rPr>
        <w:t>a</w:t>
      </w:r>
      <w:r>
        <w:t>.</w:t>
      </w:r>
      <w:r>
        <w:rPr>
          <w:i/>
        </w:rPr>
        <w:t xml:space="preserve"> </w:t>
      </w:r>
      <w:r w:rsidRPr="00290D1B">
        <w:t>Proceedings of the First International Symposium: Petros M. Nomikos Conference Centre, Thera, Hellas, 30 August - 4 September 1997</w:t>
      </w:r>
      <w:r w:rsidRPr="001A0D2F">
        <w:t>:</w:t>
      </w:r>
      <w:r w:rsidRPr="00AB55D4">
        <w:t xml:space="preserve"> 996-997. Athens: Pergamos</w:t>
      </w:r>
      <w:r>
        <w:t>.</w:t>
      </w:r>
    </w:p>
    <w:p w14:paraId="49C11342" w14:textId="77777777" w:rsidR="00303EFE" w:rsidRPr="00AB55D4" w:rsidRDefault="00303EFE" w:rsidP="00E858EF">
      <w:pPr>
        <w:suppressAutoHyphens/>
        <w:autoSpaceDE w:val="0"/>
        <w:autoSpaceDN w:val="0"/>
        <w:adjustRightInd w:val="0"/>
      </w:pPr>
    </w:p>
    <w:p w14:paraId="751B6093" w14:textId="70B53E0F" w:rsidR="00303EFE" w:rsidRDefault="00303EFE" w:rsidP="00400C64">
      <w:pPr>
        <w:suppressAutoHyphens/>
        <w:autoSpaceDE w:val="0"/>
        <w:autoSpaceDN w:val="0"/>
        <w:adjustRightInd w:val="0"/>
      </w:pPr>
      <w:r w:rsidRPr="00AB55D4">
        <w:t>La Rosa, V.</w:t>
      </w:r>
      <w:r>
        <w:t>,</w:t>
      </w:r>
      <w:r w:rsidRPr="00AB55D4">
        <w:t xml:space="preserve"> 2000b. To </w:t>
      </w:r>
      <w:r>
        <w:t>w</w:t>
      </w:r>
      <w:r w:rsidRPr="00AB55D4">
        <w:t xml:space="preserve">hom did the </w:t>
      </w:r>
      <w:r>
        <w:t>q</w:t>
      </w:r>
      <w:r w:rsidRPr="00AB55D4">
        <w:t xml:space="preserve">ueen Tiyi </w:t>
      </w:r>
      <w:r>
        <w:t>s</w:t>
      </w:r>
      <w:r w:rsidRPr="00AB55D4">
        <w:t xml:space="preserve">carab </w:t>
      </w:r>
      <w:r>
        <w:t>f</w:t>
      </w:r>
      <w:r w:rsidRPr="00AB55D4">
        <w:t xml:space="preserve">ound at Hagia Triada </w:t>
      </w:r>
      <w:r>
        <w:t>b</w:t>
      </w:r>
      <w:r w:rsidRPr="00AB55D4">
        <w:t xml:space="preserve">elong ? </w:t>
      </w:r>
      <w:r>
        <w:t xml:space="preserve">In: </w:t>
      </w:r>
      <w:r w:rsidRPr="00AB55D4">
        <w:t>Laffineur, R. and Crowley, J.</w:t>
      </w:r>
      <w:r>
        <w:t>, eds.</w:t>
      </w:r>
      <w:r w:rsidRPr="00AB55D4">
        <w:t xml:space="preserve"> 1992. </w:t>
      </w:r>
      <w:r w:rsidRPr="00A67D51">
        <w:rPr>
          <w:rFonts w:eastAsia="Arial Unicode MS"/>
          <w:i/>
        </w:rPr>
        <w:t>Ε</w:t>
      </w:r>
      <w:r>
        <w:rPr>
          <w:rFonts w:eastAsia="Arial Unicode MS"/>
          <w:i/>
          <w:lang w:val="el-GR"/>
        </w:rPr>
        <w:t>ΙΚΩΝ</w:t>
      </w:r>
      <w:r w:rsidRPr="00A67D51">
        <w:rPr>
          <w:rFonts w:eastAsia="Arial Unicode MS"/>
          <w:i/>
        </w:rPr>
        <w:t xml:space="preserve">: Aegean Bronze Age iconography: </w:t>
      </w:r>
      <w:r>
        <w:rPr>
          <w:rFonts w:eastAsia="Arial Unicode MS"/>
          <w:i/>
        </w:rPr>
        <w:t>S</w:t>
      </w:r>
      <w:r w:rsidRPr="00A67D51">
        <w:rPr>
          <w:rFonts w:eastAsia="Arial Unicode MS"/>
          <w:i/>
        </w:rPr>
        <w:t xml:space="preserve">haping a </w:t>
      </w:r>
      <w:r>
        <w:rPr>
          <w:rFonts w:eastAsia="Arial Unicode MS"/>
          <w:i/>
        </w:rPr>
        <w:t>M</w:t>
      </w:r>
      <w:r w:rsidRPr="00A67D51">
        <w:rPr>
          <w:rFonts w:eastAsia="Arial Unicode MS"/>
          <w:i/>
        </w:rPr>
        <w:t>ethodology</w:t>
      </w:r>
      <w:r>
        <w:rPr>
          <w:rFonts w:eastAsia="Arial Unicode MS"/>
        </w:rPr>
        <w:t xml:space="preserve">. </w:t>
      </w:r>
      <w:r w:rsidRPr="00290D1B">
        <w:rPr>
          <w:rFonts w:eastAsia="Arial Unicode MS"/>
        </w:rPr>
        <w:t>Proceedings of the 4th International Aegean Conference, University of Tasmania, Hobart, Australia, 6-9 April 1992</w:t>
      </w:r>
      <w:r w:rsidRPr="001A0D2F">
        <w:rPr>
          <w:rFonts w:eastAsia="Arial Unicode MS"/>
        </w:rPr>
        <w:t>.</w:t>
      </w:r>
      <w:r w:rsidRPr="00AB55D4">
        <w:rPr>
          <w:rFonts w:eastAsia="Arial Unicode MS"/>
        </w:rPr>
        <w:t xml:space="preserve"> Aegaeum 8</w:t>
      </w:r>
      <w:r>
        <w:rPr>
          <w:rFonts w:eastAsia="Arial Unicode MS"/>
        </w:rPr>
        <w:t xml:space="preserve">: 86-93. </w:t>
      </w:r>
      <w:r w:rsidRPr="00AB55D4">
        <w:rPr>
          <w:rFonts w:eastAsia="Arial Unicode MS"/>
        </w:rPr>
        <w:t xml:space="preserve">Liège: </w:t>
      </w:r>
      <w:r w:rsidRPr="00AB55D4">
        <w:t>Buteneers.</w:t>
      </w:r>
    </w:p>
    <w:p w14:paraId="3654E283" w14:textId="77777777" w:rsidR="00303EFE" w:rsidRPr="00AB55D4" w:rsidRDefault="00303EFE" w:rsidP="00E858EF">
      <w:pPr>
        <w:suppressAutoHyphens/>
        <w:rPr>
          <w:rFonts w:eastAsia="Arial Unicode MS"/>
        </w:rPr>
      </w:pPr>
    </w:p>
    <w:p w14:paraId="71827FD9" w14:textId="7FD366EE" w:rsidR="00303EFE" w:rsidRDefault="00303EFE" w:rsidP="00E858EF">
      <w:pPr>
        <w:suppressAutoHyphens/>
        <w:rPr>
          <w:color w:val="000000"/>
          <w:lang w:val="el-GR"/>
        </w:rPr>
      </w:pPr>
      <w:r w:rsidRPr="00AB55D4">
        <w:rPr>
          <w:color w:val="000000"/>
        </w:rPr>
        <w:t>Langohr, C.</w:t>
      </w:r>
      <w:r>
        <w:rPr>
          <w:color w:val="000000"/>
        </w:rPr>
        <w:t>,</w:t>
      </w:r>
      <w:r w:rsidRPr="00AB55D4">
        <w:rPr>
          <w:color w:val="000000"/>
        </w:rPr>
        <w:t xml:space="preserve"> 2009. </w:t>
      </w:r>
      <w:r w:rsidRPr="00A67D51">
        <w:rPr>
          <w:i/>
          <w:color w:val="000000"/>
          <w:lang w:val="el-GR"/>
        </w:rPr>
        <w:t>ΠΕΡΙΦΕΡ</w:t>
      </w:r>
      <w:r w:rsidR="006F1FDB">
        <w:rPr>
          <w:i/>
          <w:color w:val="000000"/>
          <w:lang w:val="el-GR"/>
        </w:rPr>
        <w:t>E</w:t>
      </w:r>
      <w:r w:rsidRPr="00A67D51">
        <w:rPr>
          <w:i/>
          <w:color w:val="000000"/>
          <w:lang w:val="el-GR"/>
        </w:rPr>
        <w:t>ΙΑ Étude régionale de la Créte aux Minoen Récent II-IIIB (1450-1200 av. J.–C)</w:t>
      </w:r>
      <w:r>
        <w:rPr>
          <w:i/>
          <w:color w:val="000000"/>
          <w:lang w:val="el-GR"/>
        </w:rPr>
        <w:t>.</w:t>
      </w:r>
      <w:r w:rsidRPr="00A67D51">
        <w:rPr>
          <w:i/>
          <w:color w:val="000000"/>
          <w:lang w:val="el-GR"/>
        </w:rPr>
        <w:t xml:space="preserve"> La Créte centrale et occidentale.</w:t>
      </w:r>
      <w:r w:rsidRPr="00AB55D4">
        <w:rPr>
          <w:color w:val="000000"/>
          <w:lang w:val="el-GR"/>
        </w:rPr>
        <w:t xml:space="preserve"> Aegis 3. Louvain-la-Neuve</w:t>
      </w:r>
      <w:r>
        <w:rPr>
          <w:color w:val="000000"/>
          <w:lang w:val="el-GR"/>
        </w:rPr>
        <w:t xml:space="preserve">: </w:t>
      </w:r>
      <w:r w:rsidRPr="00AB55D4">
        <w:rPr>
          <w:color w:val="000000"/>
          <w:lang w:val="el-GR"/>
        </w:rPr>
        <w:t xml:space="preserve">UCL, Presses universitaries de Louvain. </w:t>
      </w:r>
    </w:p>
    <w:p w14:paraId="366F93E1" w14:textId="77777777" w:rsidR="00303EFE" w:rsidRPr="00AB55D4" w:rsidRDefault="00303EFE" w:rsidP="00E858EF">
      <w:pPr>
        <w:suppressAutoHyphens/>
        <w:rPr>
          <w:color w:val="000000"/>
        </w:rPr>
      </w:pPr>
    </w:p>
    <w:p w14:paraId="7188F5E1"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lang w:eastAsia="en-US"/>
        </w:rPr>
      </w:pPr>
      <w:r w:rsidRPr="00AB55D4">
        <w:rPr>
          <w:color w:val="000000"/>
        </w:rPr>
        <w:t>Laviosa, C.</w:t>
      </w:r>
      <w:r>
        <w:rPr>
          <w:color w:val="000000"/>
        </w:rPr>
        <w:t>,</w:t>
      </w:r>
      <w:r w:rsidRPr="00AB55D4">
        <w:rPr>
          <w:color w:val="000000"/>
        </w:rPr>
        <w:t xml:space="preserve"> 1970. </w:t>
      </w:r>
      <w:r w:rsidRPr="00AB55D4">
        <w:rPr>
          <w:lang w:eastAsia="en-US"/>
        </w:rPr>
        <w:t xml:space="preserve">La tomba Tardo Minoica di Goudies presso Mires. </w:t>
      </w:r>
      <w:r w:rsidRPr="00BA2849">
        <w:rPr>
          <w:i/>
          <w:lang w:eastAsia="en-US"/>
        </w:rPr>
        <w:t>KChr</w:t>
      </w:r>
      <w:r>
        <w:rPr>
          <w:lang w:eastAsia="en-US"/>
        </w:rPr>
        <w:t xml:space="preserve"> </w:t>
      </w:r>
      <w:r w:rsidRPr="00BA2849">
        <w:rPr>
          <w:lang w:val="el-GR"/>
        </w:rPr>
        <w:t>22</w:t>
      </w:r>
      <w:r w:rsidRPr="006055A5">
        <w:rPr>
          <w:lang w:val="el-GR"/>
        </w:rPr>
        <w:t>:</w:t>
      </w:r>
      <w:r w:rsidRPr="00AB55D4">
        <w:rPr>
          <w:i/>
          <w:lang w:val="el-GR"/>
        </w:rPr>
        <w:t xml:space="preserve"> </w:t>
      </w:r>
      <w:r w:rsidRPr="00AB55D4">
        <w:rPr>
          <w:lang w:eastAsia="en-US"/>
        </w:rPr>
        <w:t>98-118.</w:t>
      </w:r>
    </w:p>
    <w:p w14:paraId="2E4D9C18"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lang w:val="el-GR"/>
        </w:rPr>
      </w:pPr>
    </w:p>
    <w:p w14:paraId="726A1929" w14:textId="77777777" w:rsidR="00303EFE" w:rsidRDefault="00303EFE" w:rsidP="00E858EF">
      <w:pPr>
        <w:suppressAutoHyphens/>
        <w:autoSpaceDE w:val="0"/>
        <w:autoSpaceDN w:val="0"/>
        <w:adjustRightInd w:val="0"/>
      </w:pPr>
      <w:r>
        <w:t xml:space="preserve">Legarra Herrero, B., 2009. The Minoan fallacy: cultural diversity and mortuary behaviour on Crete at the beginning of the Bronze Age. </w:t>
      </w:r>
      <w:r w:rsidRPr="00A67D51">
        <w:rPr>
          <w:i/>
        </w:rPr>
        <w:t xml:space="preserve">Oxford Journal of Archaeology </w:t>
      </w:r>
      <w:r w:rsidRPr="00BA2849">
        <w:t>28</w:t>
      </w:r>
      <w:r>
        <w:t>: 29-57.</w:t>
      </w:r>
    </w:p>
    <w:p w14:paraId="6B542EEE"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lang w:val="el-GR"/>
        </w:rPr>
      </w:pPr>
    </w:p>
    <w:p w14:paraId="1799562D" w14:textId="77777777" w:rsidR="00303EFE" w:rsidRDefault="00303EFE" w:rsidP="00E858EF">
      <w:pPr>
        <w:suppressAutoHyphens/>
      </w:pPr>
      <w:r w:rsidRPr="00AB55D4">
        <w:t>Legarra Herrero, B.</w:t>
      </w:r>
      <w:r>
        <w:t>,</w:t>
      </w:r>
      <w:r w:rsidRPr="00AB55D4">
        <w:t xml:space="preserve"> 2014. </w:t>
      </w:r>
      <w:r w:rsidRPr="00AB55D4">
        <w:rPr>
          <w:i/>
        </w:rPr>
        <w:t>Mortuary Behavior and Social Trajectories in Pre- and Protopalatial Crete.</w:t>
      </w:r>
      <w:r w:rsidRPr="00AB55D4">
        <w:rPr>
          <w:rFonts w:eastAsia="Times New Roman"/>
          <w:color w:val="4A4A4A"/>
          <w:shd w:val="clear" w:color="auto" w:fill="FFFFFF"/>
        </w:rPr>
        <w:t xml:space="preserve"> </w:t>
      </w:r>
      <w:r w:rsidRPr="00AB55D4">
        <w:t>Prehistory monographs 44</w:t>
      </w:r>
      <w:r w:rsidRPr="00AB55D4">
        <w:rPr>
          <w:i/>
        </w:rPr>
        <w:t xml:space="preserve">. </w:t>
      </w:r>
      <w:r w:rsidRPr="00AB55D4">
        <w:t>Philadelphia (Pennsylvania): INSTAP Academic Press.</w:t>
      </w:r>
    </w:p>
    <w:p w14:paraId="708BBD9C" w14:textId="77777777" w:rsidR="00303EFE" w:rsidRDefault="00303EFE" w:rsidP="00E858EF">
      <w:pPr>
        <w:suppressAutoHyphens/>
      </w:pPr>
    </w:p>
    <w:p w14:paraId="3BF5EB87" w14:textId="42D56123" w:rsidR="00303EFE" w:rsidRDefault="00303EFE" w:rsidP="00E858EF">
      <w:pPr>
        <w:suppressAutoHyphens/>
        <w:rPr>
          <w:color w:val="000000"/>
        </w:rPr>
      </w:pPr>
      <w:r>
        <w:t xml:space="preserve">Legarra Herrero, B., 2016. Body in a pickle: burials jars, individualism and group identities in Middle Minoan Crete. </w:t>
      </w:r>
      <w:r>
        <w:rPr>
          <w:color w:val="000000"/>
        </w:rPr>
        <w:t xml:space="preserve">In: </w:t>
      </w:r>
      <w:r w:rsidRPr="007F66CB">
        <w:rPr>
          <w:color w:val="000000"/>
        </w:rPr>
        <w:t>M. Mina, S. Triantaphyllou and Y.</w:t>
      </w:r>
      <w:r w:rsidR="001806BA">
        <w:rPr>
          <w:color w:val="000000"/>
        </w:rPr>
        <w:t xml:space="preserve"> Papadatos</w:t>
      </w:r>
      <w:r>
        <w:rPr>
          <w:color w:val="000000"/>
        </w:rPr>
        <w:t>, eds.</w:t>
      </w:r>
      <w:r w:rsidRPr="007F66CB">
        <w:rPr>
          <w:color w:val="000000"/>
        </w:rPr>
        <w:t xml:space="preserve"> </w:t>
      </w:r>
      <w:r w:rsidRPr="007F66CB">
        <w:rPr>
          <w:i/>
          <w:color w:val="000000"/>
        </w:rPr>
        <w:t>An Archaeology of Prehistoric Bodies and Embodied Identities in the Ea</w:t>
      </w:r>
      <w:r>
        <w:rPr>
          <w:i/>
          <w:color w:val="000000"/>
        </w:rPr>
        <w:t>stern Mediterranean</w:t>
      </w:r>
      <w:r w:rsidRPr="006055A5">
        <w:rPr>
          <w:color w:val="000000"/>
        </w:rPr>
        <w:t>:</w:t>
      </w:r>
      <w:r>
        <w:rPr>
          <w:i/>
          <w:color w:val="000000"/>
        </w:rPr>
        <w:t xml:space="preserve"> </w:t>
      </w:r>
      <w:r>
        <w:rPr>
          <w:color w:val="000000"/>
        </w:rPr>
        <w:t>180-188</w:t>
      </w:r>
      <w:r w:rsidRPr="007F66CB">
        <w:rPr>
          <w:color w:val="000000"/>
        </w:rPr>
        <w:t>. Oxford: Oxbow.</w:t>
      </w:r>
    </w:p>
    <w:p w14:paraId="64597C92" w14:textId="77777777" w:rsidR="00303EFE" w:rsidRPr="00AB55D4" w:rsidRDefault="00303EFE" w:rsidP="00E858EF">
      <w:pPr>
        <w:suppressAutoHyphens/>
        <w:rPr>
          <w:i/>
        </w:rPr>
      </w:pPr>
    </w:p>
    <w:p w14:paraId="580CE7C5"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r w:rsidRPr="00AB55D4">
        <w:rPr>
          <w:color w:val="000000"/>
        </w:rPr>
        <w:t>Levi, D.</w:t>
      </w:r>
      <w:r>
        <w:rPr>
          <w:color w:val="000000"/>
        </w:rPr>
        <w:t>,</w:t>
      </w:r>
      <w:r w:rsidRPr="00AB55D4">
        <w:rPr>
          <w:color w:val="000000"/>
        </w:rPr>
        <w:t xml:space="preserve"> 1961-2: </w:t>
      </w:r>
      <w:r w:rsidRPr="00AB55D4">
        <w:t xml:space="preserve">La tomba a tholos di Kamilari presso Festòs. </w:t>
      </w:r>
      <w:r w:rsidRPr="00AB55D4">
        <w:rPr>
          <w:i/>
        </w:rPr>
        <w:t xml:space="preserve">Annuario della Scuola Archeologica di Atene </w:t>
      </w:r>
      <w:r w:rsidRPr="00BA2849">
        <w:t>23/24</w:t>
      </w:r>
      <w:r w:rsidRPr="00AB55D4">
        <w:t>: 7-148.</w:t>
      </w:r>
    </w:p>
    <w:p w14:paraId="02245EA4"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p>
    <w:p w14:paraId="484F6689" w14:textId="77777777" w:rsidR="00303EFE" w:rsidRDefault="00303EFE" w:rsidP="00E858EF">
      <w:pPr>
        <w:suppressAutoHyphens/>
      </w:pPr>
      <w:r w:rsidRPr="00AB55D4">
        <w:t>Lewartowski K.</w:t>
      </w:r>
      <w:r>
        <w:t>,</w:t>
      </w:r>
      <w:r w:rsidRPr="00AB55D4">
        <w:t xml:space="preserve"> 2000. </w:t>
      </w:r>
      <w:r w:rsidRPr="00AB55D4">
        <w:rPr>
          <w:i/>
        </w:rPr>
        <w:t xml:space="preserve">Late Helladic Simple Graves. A study of Mycenaean </w:t>
      </w:r>
      <w:r>
        <w:rPr>
          <w:i/>
        </w:rPr>
        <w:t>B</w:t>
      </w:r>
      <w:r w:rsidRPr="00AB55D4">
        <w:rPr>
          <w:i/>
        </w:rPr>
        <w:t xml:space="preserve">urial </w:t>
      </w:r>
      <w:r>
        <w:rPr>
          <w:i/>
        </w:rPr>
        <w:t>C</w:t>
      </w:r>
      <w:r w:rsidRPr="00AB55D4">
        <w:rPr>
          <w:i/>
        </w:rPr>
        <w:t>ustoms</w:t>
      </w:r>
      <w:r w:rsidRPr="00AB55D4">
        <w:t xml:space="preserve">. BAR, British </w:t>
      </w:r>
      <w:r>
        <w:t>A</w:t>
      </w:r>
      <w:r w:rsidRPr="00AB55D4">
        <w:t xml:space="preserve">rchaeological </w:t>
      </w:r>
      <w:r>
        <w:t>R</w:t>
      </w:r>
      <w:r w:rsidRPr="00AB55D4">
        <w:t>eports Internationals. Oxford: Archaeopress.</w:t>
      </w:r>
    </w:p>
    <w:p w14:paraId="291D6F03" w14:textId="77777777" w:rsidR="00303EFE" w:rsidRDefault="00303EFE" w:rsidP="00E858EF">
      <w:pPr>
        <w:suppressAutoHyphens/>
      </w:pPr>
    </w:p>
    <w:p w14:paraId="69389D61" w14:textId="77777777" w:rsidR="00303EFE" w:rsidRDefault="00303EFE" w:rsidP="00E858EF">
      <w:pPr>
        <w:suppressAutoHyphens/>
      </w:pPr>
      <w:r>
        <w:rPr>
          <w:color w:val="000000"/>
        </w:rPr>
        <w:t xml:space="preserve">Lindblom, M., 2001. </w:t>
      </w:r>
      <w:r w:rsidRPr="001A7FF5">
        <w:rPr>
          <w:i/>
          <w:color w:val="000000"/>
        </w:rPr>
        <w:t xml:space="preserve">Marks and </w:t>
      </w:r>
      <w:r>
        <w:rPr>
          <w:i/>
          <w:color w:val="000000"/>
        </w:rPr>
        <w:t>M</w:t>
      </w:r>
      <w:r w:rsidRPr="001A7FF5">
        <w:rPr>
          <w:i/>
          <w:color w:val="000000"/>
        </w:rPr>
        <w:t xml:space="preserve">akers: </w:t>
      </w:r>
      <w:r>
        <w:rPr>
          <w:i/>
          <w:color w:val="000000"/>
        </w:rPr>
        <w:t>A</w:t>
      </w:r>
      <w:r w:rsidRPr="001A7FF5">
        <w:rPr>
          <w:i/>
          <w:color w:val="000000"/>
        </w:rPr>
        <w:t xml:space="preserve">ppearance, </w:t>
      </w:r>
      <w:r>
        <w:rPr>
          <w:i/>
          <w:color w:val="000000"/>
        </w:rPr>
        <w:t>D</w:t>
      </w:r>
      <w:r w:rsidRPr="001A7FF5">
        <w:rPr>
          <w:i/>
          <w:color w:val="000000"/>
        </w:rPr>
        <w:t xml:space="preserve">istribution and </w:t>
      </w:r>
      <w:r>
        <w:rPr>
          <w:i/>
          <w:color w:val="000000"/>
        </w:rPr>
        <w:t>F</w:t>
      </w:r>
      <w:r w:rsidRPr="001A7FF5">
        <w:rPr>
          <w:i/>
          <w:color w:val="000000"/>
        </w:rPr>
        <w:t xml:space="preserve">unction of Middle and Late Helladic </w:t>
      </w:r>
      <w:r>
        <w:rPr>
          <w:i/>
          <w:color w:val="000000"/>
        </w:rPr>
        <w:t>M</w:t>
      </w:r>
      <w:r w:rsidRPr="001A7FF5">
        <w:rPr>
          <w:i/>
          <w:color w:val="000000"/>
        </w:rPr>
        <w:t>anufacturers'</w:t>
      </w:r>
      <w:r>
        <w:rPr>
          <w:i/>
          <w:color w:val="000000"/>
        </w:rPr>
        <w:t xml:space="preserve"> M</w:t>
      </w:r>
      <w:r w:rsidRPr="001A7FF5">
        <w:rPr>
          <w:i/>
          <w:color w:val="000000"/>
        </w:rPr>
        <w:t xml:space="preserve">arks on Aeginetan </w:t>
      </w:r>
      <w:r>
        <w:rPr>
          <w:i/>
          <w:color w:val="000000"/>
        </w:rPr>
        <w:t>P</w:t>
      </w:r>
      <w:r w:rsidRPr="001A7FF5">
        <w:rPr>
          <w:i/>
          <w:color w:val="000000"/>
        </w:rPr>
        <w:t>ottery</w:t>
      </w:r>
      <w:r>
        <w:rPr>
          <w:color w:val="000000"/>
        </w:rPr>
        <w:t xml:space="preserve">. </w:t>
      </w:r>
      <w:r>
        <w:t>SIMA 12</w:t>
      </w:r>
      <w:r w:rsidRPr="007F66CB">
        <w:t>8. Göteborg: Åströms</w:t>
      </w:r>
      <w:r>
        <w:t>.</w:t>
      </w:r>
    </w:p>
    <w:p w14:paraId="3BFA8388" w14:textId="77777777" w:rsidR="00303EFE" w:rsidRPr="00AB55D4" w:rsidRDefault="00303EFE" w:rsidP="00E858EF">
      <w:pPr>
        <w:suppressAutoHyphens/>
      </w:pPr>
    </w:p>
    <w:p w14:paraId="1494C476" w14:textId="77777777" w:rsidR="00303EFE" w:rsidRDefault="00303EFE" w:rsidP="00E858EF">
      <w:pPr>
        <w:suppressAutoHyphens/>
      </w:pPr>
      <w:r w:rsidRPr="00AB55D4">
        <w:t>Long, C. R.</w:t>
      </w:r>
      <w:r>
        <w:t>,</w:t>
      </w:r>
      <w:r w:rsidRPr="00AB55D4">
        <w:t xml:space="preserve"> 1974. </w:t>
      </w:r>
      <w:r w:rsidRPr="00AB55D4">
        <w:rPr>
          <w:i/>
          <w:iCs/>
        </w:rPr>
        <w:t>The Ayia Triadha Sarcophagus: A study of Late Minoan and Mycenaean Funerary Practices and Beliefs.</w:t>
      </w:r>
      <w:r w:rsidRPr="00AB55D4">
        <w:rPr>
          <w:iCs/>
        </w:rPr>
        <w:t xml:space="preserve"> </w:t>
      </w:r>
      <w:r w:rsidRPr="00AB55D4">
        <w:t>SIMA 41. Göteborg: Åströms.</w:t>
      </w:r>
    </w:p>
    <w:p w14:paraId="2A41A45B" w14:textId="77777777" w:rsidR="00303EFE" w:rsidRPr="00AB55D4" w:rsidRDefault="00303EFE" w:rsidP="00E858EF">
      <w:pPr>
        <w:suppressAutoHyphens/>
      </w:pPr>
    </w:p>
    <w:p w14:paraId="334B0775" w14:textId="77777777" w:rsidR="00303EFE" w:rsidRDefault="00303EFE" w:rsidP="00E858EF">
      <w:pPr>
        <w:suppressAutoHyphens/>
      </w:pPr>
      <w:r w:rsidRPr="00AB55D4">
        <w:rPr>
          <w:color w:val="000000"/>
        </w:rPr>
        <w:t>Löwe, W.</w:t>
      </w:r>
      <w:r>
        <w:rPr>
          <w:color w:val="000000"/>
        </w:rPr>
        <w:t>,</w:t>
      </w:r>
      <w:r w:rsidRPr="00AB55D4">
        <w:rPr>
          <w:color w:val="000000"/>
        </w:rPr>
        <w:t xml:space="preserve"> 1996. </w:t>
      </w:r>
      <w:r w:rsidRPr="00AB55D4">
        <w:rPr>
          <w:i/>
          <w:iCs/>
        </w:rPr>
        <w:t>Spätbronzezeitliche Bestattungen auf Kreta.</w:t>
      </w:r>
      <w:r w:rsidRPr="00AB55D4">
        <w:rPr>
          <w:iCs/>
        </w:rPr>
        <w:t xml:space="preserve"> </w:t>
      </w:r>
      <w:r w:rsidRPr="00AB55D4">
        <w:t xml:space="preserve">BAR International Series 642. Oxford: British Archaeological Reports. </w:t>
      </w:r>
    </w:p>
    <w:p w14:paraId="6069E985" w14:textId="77777777" w:rsidR="00303EFE" w:rsidRPr="00AB55D4" w:rsidRDefault="00303EFE" w:rsidP="00E858EF">
      <w:pPr>
        <w:suppressAutoHyphens/>
      </w:pPr>
    </w:p>
    <w:p w14:paraId="5A30813C" w14:textId="77777777" w:rsidR="00303EFE" w:rsidRDefault="00303EFE" w:rsidP="00E858EF">
      <w:pPr>
        <w:suppressAutoHyphens/>
      </w:pPr>
      <w:r w:rsidRPr="00AB55D4">
        <w:t>Mandalaki, S.</w:t>
      </w:r>
      <w:r>
        <w:t>,</w:t>
      </w:r>
      <w:r w:rsidRPr="00AB55D4">
        <w:t xml:space="preserve"> 2011. </w:t>
      </w:r>
      <w:r w:rsidRPr="00AB55D4">
        <w:rPr>
          <w:lang w:val="el-GR"/>
        </w:rPr>
        <w:t xml:space="preserve">Υστερομινωικός λαξευτός τάφος Καρτερού. </w:t>
      </w:r>
      <w:r>
        <w:t xml:space="preserve">In: </w:t>
      </w:r>
      <w:r w:rsidRPr="00AB55D4">
        <w:t>M. Andreadaki-Vlazaki and E. Papadopoulou</w:t>
      </w:r>
      <w:r>
        <w:t>, eds.</w:t>
      </w:r>
      <w:r w:rsidRPr="00AB55D4">
        <w:t xml:space="preserve"> </w:t>
      </w:r>
      <w:r w:rsidRPr="00AB55D4">
        <w:rPr>
          <w:i/>
        </w:rPr>
        <w:t>Πεπραγμένα Ι’ Διεθνούς Κρητολογικού Συνεδρίου</w:t>
      </w:r>
      <w:r>
        <w:t xml:space="preserve">. </w:t>
      </w:r>
      <w:r w:rsidRPr="00290D1B">
        <w:rPr>
          <w:lang w:val="el-GR"/>
        </w:rPr>
        <w:t>Χανιά, 1-8 Οκτωβρίου 2006</w:t>
      </w:r>
      <w:r w:rsidRPr="00290D1B">
        <w:t>, Α2</w:t>
      </w:r>
      <w:r w:rsidRPr="001A0D2F">
        <w:t>:</w:t>
      </w:r>
      <w:r w:rsidRPr="00290D1B">
        <w:t xml:space="preserve"> </w:t>
      </w:r>
      <w:r w:rsidRPr="00AB55D4">
        <w:t>287-300. Chania: Philologikos Syllogos o Chrysostomos.</w:t>
      </w:r>
    </w:p>
    <w:p w14:paraId="11DAC68C" w14:textId="77777777" w:rsidR="00303EFE" w:rsidRPr="00AB55D4" w:rsidRDefault="00303EFE" w:rsidP="00E858EF">
      <w:pPr>
        <w:suppressAutoHyphens/>
      </w:pPr>
    </w:p>
    <w:p w14:paraId="10FFA3FB" w14:textId="77777777" w:rsidR="00303EFE" w:rsidRDefault="00303EFE" w:rsidP="00E858EF">
      <w:pPr>
        <w:suppressAutoHyphens/>
        <w:spacing w:after="40"/>
      </w:pPr>
      <w:r w:rsidRPr="00AB55D4">
        <w:t>Marinatos, N.</w:t>
      </w:r>
      <w:r>
        <w:t>,</w:t>
      </w:r>
      <w:r w:rsidRPr="00AB55D4">
        <w:t xml:space="preserve"> 1997. Minoan and mycenaean larnakes: a comparison. </w:t>
      </w:r>
      <w:r>
        <w:t xml:space="preserve">In: </w:t>
      </w:r>
      <w:r w:rsidRPr="00AB55D4">
        <w:t>J. Driessen and A. Farnoux</w:t>
      </w:r>
      <w:r>
        <w:t>, eds.</w:t>
      </w:r>
      <w:r w:rsidRPr="00AB55D4">
        <w:rPr>
          <w:i/>
        </w:rPr>
        <w:t xml:space="preserve"> La Crète </w:t>
      </w:r>
      <w:r>
        <w:rPr>
          <w:i/>
        </w:rPr>
        <w:t>m</w:t>
      </w:r>
      <w:r w:rsidRPr="00AB55D4">
        <w:rPr>
          <w:i/>
        </w:rPr>
        <w:t>ycénienne</w:t>
      </w:r>
      <w:r>
        <w:t>.</w:t>
      </w:r>
      <w:r w:rsidRPr="00AB55D4">
        <w:rPr>
          <w:i/>
        </w:rPr>
        <w:t xml:space="preserve"> </w:t>
      </w:r>
      <w:r w:rsidRPr="00290D1B">
        <w:t>Actes de la table ronde internationale organisée par l'Ecole française d'Athènes, 26-28 mars 199</w:t>
      </w:r>
      <w:r w:rsidRPr="001A0D2F">
        <w:t xml:space="preserve">1. </w:t>
      </w:r>
      <w:r w:rsidRPr="00290D1B">
        <w:t>Bulletin de Correspondance Hellénique,</w:t>
      </w:r>
      <w:r w:rsidRPr="00AB55D4">
        <w:rPr>
          <w:i/>
        </w:rPr>
        <w:t xml:space="preserve"> </w:t>
      </w:r>
      <w:r w:rsidRPr="00AB55D4">
        <w:t>Supplement 30: 281-292. Athènes: École française d'Athènes.</w:t>
      </w:r>
    </w:p>
    <w:p w14:paraId="3A4293B9" w14:textId="77777777" w:rsidR="00303EFE" w:rsidRPr="00AB55D4" w:rsidRDefault="00303EFE" w:rsidP="00E858EF">
      <w:pPr>
        <w:suppressAutoHyphens/>
        <w:spacing w:after="40"/>
        <w:rPr>
          <w:i/>
        </w:rPr>
      </w:pPr>
    </w:p>
    <w:p w14:paraId="2729FB3F" w14:textId="0EFC60F2"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r w:rsidRPr="00AB55D4">
        <w:rPr>
          <w:color w:val="000000"/>
        </w:rPr>
        <w:t>Marinatos, S.</w:t>
      </w:r>
      <w:r>
        <w:rPr>
          <w:color w:val="000000"/>
        </w:rPr>
        <w:t>,</w:t>
      </w:r>
      <w:r w:rsidRPr="00AB55D4">
        <w:rPr>
          <w:color w:val="000000"/>
        </w:rPr>
        <w:t xml:space="preserve"> 1927-1928. </w:t>
      </w:r>
      <w:r w:rsidRPr="00AB55D4">
        <w:rPr>
          <w:color w:val="000000"/>
          <w:lang w:val="el-GR"/>
        </w:rPr>
        <w:t>Υστεριμιν</w:t>
      </w:r>
      <w:r w:rsidR="001F3E19">
        <w:rPr>
          <w:color w:val="000000"/>
          <w:lang w:val="el-GR"/>
        </w:rPr>
        <w:t>ω</w:t>
      </w:r>
      <w:r w:rsidRPr="00AB55D4">
        <w:rPr>
          <w:color w:val="000000"/>
          <w:lang w:val="el-GR"/>
        </w:rPr>
        <w:t>ικός λαξευτός τάφος εν Καρτερω Κρητής</w:t>
      </w:r>
      <w:r>
        <w:rPr>
          <w:color w:val="000000"/>
          <w:lang w:val="en-AU"/>
        </w:rPr>
        <w:t>.</w:t>
      </w:r>
      <w:r w:rsidRPr="00AB55D4">
        <w:rPr>
          <w:color w:val="000000"/>
          <w:lang w:val="el-GR"/>
        </w:rPr>
        <w:t xml:space="preserve"> </w:t>
      </w:r>
      <w:r w:rsidRPr="00BA2849">
        <w:rPr>
          <w:i/>
          <w:color w:val="000000"/>
          <w:lang w:val="el-GR"/>
        </w:rPr>
        <w:t xml:space="preserve">ADelt </w:t>
      </w:r>
      <w:r w:rsidRPr="00BA2849">
        <w:t>11</w:t>
      </w:r>
      <w:r w:rsidRPr="00AB55D4">
        <w:t>: 68-90.</w:t>
      </w:r>
    </w:p>
    <w:p w14:paraId="10986DF7"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p>
    <w:p w14:paraId="42BF5A8C" w14:textId="77777777" w:rsidR="00303EFE" w:rsidRDefault="00303EFE" w:rsidP="00E858EF">
      <w:pPr>
        <w:suppressAutoHyphens/>
      </w:pPr>
      <w:r w:rsidRPr="00AB55D4">
        <w:t>Marinatos, S. and Hirmer, M.</w:t>
      </w:r>
      <w:r>
        <w:t>,</w:t>
      </w:r>
      <w:r w:rsidRPr="00AB55D4">
        <w:t xml:space="preserve"> 1960. </w:t>
      </w:r>
      <w:r w:rsidRPr="00AB55D4">
        <w:rPr>
          <w:i/>
        </w:rPr>
        <w:t>Crete and Mycenae. </w:t>
      </w:r>
      <w:r w:rsidRPr="00BA2849">
        <w:t>London</w:t>
      </w:r>
      <w:r w:rsidRPr="003C2C49">
        <w:t>:</w:t>
      </w:r>
      <w:r w:rsidRPr="00AB55D4">
        <w:t xml:space="preserve"> Thames and Hudson.</w:t>
      </w:r>
    </w:p>
    <w:p w14:paraId="42018114" w14:textId="77777777" w:rsidR="00303EFE" w:rsidRPr="00AB55D4" w:rsidRDefault="00303EFE" w:rsidP="00E858EF">
      <w:pPr>
        <w:suppressAutoHyphens/>
      </w:pPr>
    </w:p>
    <w:p w14:paraId="4EC1BC66" w14:textId="77777777" w:rsidR="00303EFE" w:rsidRDefault="00303EFE" w:rsidP="00E858EF">
      <w:pPr>
        <w:suppressAutoHyphens/>
        <w:autoSpaceDE w:val="0"/>
        <w:autoSpaceDN w:val="0"/>
        <w:adjustRightInd w:val="0"/>
      </w:pPr>
      <w:r w:rsidRPr="00AB55D4">
        <w:t>Mavriyannaki, C.</w:t>
      </w:r>
      <w:r>
        <w:t>,</w:t>
      </w:r>
      <w:r w:rsidRPr="00AB55D4">
        <w:t xml:space="preserve"> 1967-1968. Incinerazioni del Tardo Minoici III nella Creta Occidentale. Un riesame dell’uso della cremazione nel mondo miceneo del XIII e XII secolo</w:t>
      </w:r>
      <w:r>
        <w:t>.</w:t>
      </w:r>
      <w:r w:rsidRPr="00AB55D4">
        <w:t xml:space="preserve"> </w:t>
      </w:r>
      <w:r w:rsidRPr="00AB55D4">
        <w:rPr>
          <w:i/>
        </w:rPr>
        <w:t>Annuario della Scuola Archeologica di Atene</w:t>
      </w:r>
      <w:r w:rsidRPr="00AB55D4">
        <w:t xml:space="preserve"> 29-30: 167-179.</w:t>
      </w:r>
    </w:p>
    <w:p w14:paraId="7965709D" w14:textId="77777777" w:rsidR="00303EFE" w:rsidRPr="00AB55D4" w:rsidRDefault="00303EFE" w:rsidP="00E858EF">
      <w:pPr>
        <w:suppressAutoHyphens/>
        <w:autoSpaceDE w:val="0"/>
        <w:autoSpaceDN w:val="0"/>
        <w:adjustRightInd w:val="0"/>
      </w:pPr>
    </w:p>
    <w:p w14:paraId="439E35E4" w14:textId="77777777" w:rsidR="00303EFE" w:rsidRDefault="00303EFE" w:rsidP="00E858EF">
      <w:pPr>
        <w:suppressAutoHyphens/>
        <w:autoSpaceDE w:val="0"/>
        <w:autoSpaceDN w:val="0"/>
        <w:adjustRightInd w:val="0"/>
      </w:pPr>
      <w:r w:rsidRPr="00AB55D4">
        <w:t>Mavriyannaki, C.</w:t>
      </w:r>
      <w:r>
        <w:t>,</w:t>
      </w:r>
      <w:r w:rsidRPr="00AB55D4">
        <w:t xml:space="preserve"> 1972. </w:t>
      </w:r>
      <w:r w:rsidRPr="00AB55D4">
        <w:rPr>
          <w:i/>
        </w:rPr>
        <w:t>Recherches sur les larnakes minoennes de la Crete occidentale.</w:t>
      </w:r>
      <w:r w:rsidRPr="00AB55D4">
        <w:t xml:space="preserve"> Incunabula Graeca 54. Roma: Edizioni dell'Ateneo.</w:t>
      </w:r>
    </w:p>
    <w:p w14:paraId="2786333D" w14:textId="77777777" w:rsidR="00303EFE" w:rsidRPr="00AB55D4" w:rsidRDefault="00303EFE" w:rsidP="00E858EF">
      <w:pPr>
        <w:suppressAutoHyphens/>
        <w:autoSpaceDE w:val="0"/>
        <w:autoSpaceDN w:val="0"/>
        <w:adjustRightInd w:val="0"/>
      </w:pPr>
    </w:p>
    <w:p w14:paraId="6268629B" w14:textId="77777777" w:rsidR="00303EFE" w:rsidRPr="00290D1B"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lang w:val="el-GR"/>
        </w:rPr>
      </w:pPr>
      <w:r w:rsidRPr="00AB55D4">
        <w:t>Mavriyannaki, C.</w:t>
      </w:r>
      <w:r>
        <w:t>,</w:t>
      </w:r>
      <w:r w:rsidRPr="00AB55D4">
        <w:t xml:space="preserve"> 1975. </w:t>
      </w:r>
      <w:r w:rsidRPr="00AB55D4">
        <w:rPr>
          <w:lang w:val="el-GR"/>
        </w:rPr>
        <w:t>Το νεκροταφείον Ατσιπάδων Αγ</w:t>
      </w:r>
      <w:r>
        <w:rPr>
          <w:lang w:val="el-GR"/>
        </w:rPr>
        <w:t>ί</w:t>
      </w:r>
      <w:r w:rsidRPr="00AB55D4">
        <w:rPr>
          <w:lang w:val="el-GR"/>
        </w:rPr>
        <w:t>ου Βασιλείου Ρεθύμνης.</w:t>
      </w:r>
      <w:r w:rsidRPr="00AB55D4">
        <w:rPr>
          <w:i/>
        </w:rPr>
        <w:t xml:space="preserve"> A</w:t>
      </w:r>
      <w:r w:rsidRPr="00AB55D4">
        <w:rPr>
          <w:i/>
          <w:lang w:val="el-GR"/>
        </w:rPr>
        <w:t>ρχαιολογική Εφημερίς</w:t>
      </w:r>
      <w:r w:rsidRPr="001A0D2F">
        <w:rPr>
          <w:lang w:val="el-GR"/>
        </w:rPr>
        <w:t>:</w:t>
      </w:r>
      <w:r w:rsidRPr="00290D1B">
        <w:rPr>
          <w:lang w:val="el-GR"/>
        </w:rPr>
        <w:t xml:space="preserve"> 41-58. </w:t>
      </w:r>
    </w:p>
    <w:p w14:paraId="599BBE08"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p>
    <w:p w14:paraId="46D61E0F" w14:textId="77777777" w:rsidR="00303EFE" w:rsidRDefault="00303EFE" w:rsidP="00E858EF">
      <w:pPr>
        <w:suppressAutoHyphens/>
        <w:autoSpaceDE w:val="0"/>
        <w:autoSpaceDN w:val="0"/>
        <w:adjustRightInd w:val="0"/>
      </w:pPr>
      <w:r w:rsidRPr="00AB55D4">
        <w:rPr>
          <w:color w:val="000000"/>
        </w:rPr>
        <w:t>Mavriyannaki, C.</w:t>
      </w:r>
      <w:r>
        <w:rPr>
          <w:color w:val="000000"/>
        </w:rPr>
        <w:t>,</w:t>
      </w:r>
      <w:r w:rsidRPr="00AB55D4">
        <w:rPr>
          <w:color w:val="000000"/>
        </w:rPr>
        <w:t xml:space="preserve"> 1985.</w:t>
      </w:r>
      <w:r w:rsidRPr="00AB55D4">
        <w:t xml:space="preserve"> Une larnax inscrite provenant de Choumeri Mylopotamou. </w:t>
      </w:r>
      <w:r w:rsidRPr="00A67D51">
        <w:rPr>
          <w:i/>
        </w:rPr>
        <w:t>Kadmos</w:t>
      </w:r>
      <w:r w:rsidRPr="00BA2849">
        <w:t xml:space="preserve"> 24</w:t>
      </w:r>
      <w:r w:rsidRPr="00AB55D4">
        <w:t>: 13-22.</w:t>
      </w:r>
    </w:p>
    <w:p w14:paraId="1F4C0788" w14:textId="77777777" w:rsidR="00303EFE" w:rsidRPr="00AB55D4" w:rsidRDefault="00303EFE" w:rsidP="00E858EF">
      <w:pPr>
        <w:suppressAutoHyphens/>
        <w:autoSpaceDE w:val="0"/>
        <w:autoSpaceDN w:val="0"/>
        <w:adjustRightInd w:val="0"/>
      </w:pPr>
    </w:p>
    <w:p w14:paraId="42C9BD54" w14:textId="77777777"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bCs/>
          <w:color w:val="000000"/>
          <w:lang w:val="el-GR"/>
        </w:rPr>
      </w:pPr>
      <w:r w:rsidRPr="00AB55D4">
        <w:rPr>
          <w:bCs/>
          <w:color w:val="000000"/>
        </w:rPr>
        <w:t>McGeorge, P. J. P.</w:t>
      </w:r>
      <w:r>
        <w:rPr>
          <w:bCs/>
          <w:color w:val="000000"/>
        </w:rPr>
        <w:t>,</w:t>
      </w:r>
      <w:r w:rsidRPr="00AB55D4">
        <w:rPr>
          <w:bCs/>
          <w:color w:val="000000"/>
        </w:rPr>
        <w:t xml:space="preserve"> 1988</w:t>
      </w:r>
      <w:r>
        <w:rPr>
          <w:bCs/>
          <w:color w:val="000000"/>
        </w:rPr>
        <w:t>.</w:t>
      </w:r>
      <w:r w:rsidRPr="00AB55D4">
        <w:rPr>
          <w:bCs/>
          <w:color w:val="000000"/>
        </w:rPr>
        <w:t xml:space="preserve"> </w:t>
      </w:r>
      <w:r w:rsidRPr="00AB55D4">
        <w:rPr>
          <w:bCs/>
          <w:color w:val="000000"/>
          <w:lang w:val="el-GR"/>
        </w:rPr>
        <w:t xml:space="preserve">Μυθικοί Πυγμαίοι και Γίγαντες: Νεά στοιχεία για το ύψος των Μινωιτών. </w:t>
      </w:r>
      <w:r w:rsidRPr="00A67D51">
        <w:rPr>
          <w:bCs/>
          <w:i/>
          <w:color w:val="000000"/>
          <w:lang w:val="el-GR"/>
        </w:rPr>
        <w:t>Κρητική Εστία</w:t>
      </w:r>
      <w:r w:rsidRPr="00BA2849">
        <w:rPr>
          <w:bCs/>
          <w:color w:val="000000"/>
          <w:lang w:val="el-GR"/>
        </w:rPr>
        <w:t xml:space="preserve"> 2</w:t>
      </w:r>
      <w:r w:rsidRPr="00AB55D4">
        <w:rPr>
          <w:bCs/>
          <w:color w:val="000000"/>
          <w:lang w:val="el-GR"/>
        </w:rPr>
        <w:t>: 10-18.</w:t>
      </w:r>
    </w:p>
    <w:p w14:paraId="50711FF3" w14:textId="77777777" w:rsidR="00303EFE" w:rsidRPr="00AB55D4"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bCs/>
          <w:color w:val="000000"/>
          <w:lang w:val="el-GR"/>
        </w:rPr>
      </w:pPr>
    </w:p>
    <w:p w14:paraId="1EE37E5A" w14:textId="77777777"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pPr>
      <w:r w:rsidRPr="00AB55D4">
        <w:rPr>
          <w:bCs/>
          <w:color w:val="000000"/>
        </w:rPr>
        <w:t>McGeorge, P. J. P.</w:t>
      </w:r>
      <w:r>
        <w:rPr>
          <w:bCs/>
          <w:color w:val="000000"/>
        </w:rPr>
        <w:t>,</w:t>
      </w:r>
      <w:r w:rsidRPr="00AB55D4">
        <w:rPr>
          <w:bCs/>
          <w:color w:val="000000"/>
        </w:rPr>
        <w:t xml:space="preserve"> </w:t>
      </w:r>
      <w:r>
        <w:rPr>
          <w:bCs/>
          <w:color w:val="000000"/>
        </w:rPr>
        <w:t xml:space="preserve">1989. </w:t>
      </w:r>
      <w:r w:rsidRPr="00AB55D4">
        <w:rPr>
          <w:bCs/>
          <w:color w:val="000000"/>
        </w:rPr>
        <w:t xml:space="preserve">A comparative study of the mean life expectation of the Minoans. </w:t>
      </w:r>
      <w:r>
        <w:t xml:space="preserve">In: </w:t>
      </w:r>
      <w:r w:rsidRPr="00AB55D4">
        <w:t>B. Niniou-Kindeli</w:t>
      </w:r>
      <w:r>
        <w:t xml:space="preserve">, ed. </w:t>
      </w:r>
      <w:r w:rsidRPr="00AB55D4">
        <w:rPr>
          <w:i/>
        </w:rPr>
        <w:t>Πεπραγμένα του ΣΤ' Διεθνούς Κρητολογικού Συνεδρίου</w:t>
      </w:r>
      <w:r>
        <w:t>.</w:t>
      </w:r>
      <w:r w:rsidRPr="00290D1B">
        <w:t xml:space="preserve"> Χανιά 1986, A1</w:t>
      </w:r>
      <w:r w:rsidRPr="001A0D2F">
        <w:t>:</w:t>
      </w:r>
      <w:r w:rsidRPr="00AB55D4">
        <w:rPr>
          <w:i/>
        </w:rPr>
        <w:t xml:space="preserve"> </w:t>
      </w:r>
      <w:r w:rsidRPr="00BA2849">
        <w:t>419-428</w:t>
      </w:r>
      <w:r w:rsidRPr="00AB55D4">
        <w:rPr>
          <w:i/>
        </w:rPr>
        <w:t>.</w:t>
      </w:r>
      <w:r w:rsidRPr="00AB55D4">
        <w:t xml:space="preserve"> Chania: Philologikos Syllogos o Chrysostomos.</w:t>
      </w:r>
    </w:p>
    <w:p w14:paraId="18730AB4" w14:textId="77777777" w:rsidR="00303EFE" w:rsidRPr="00AB55D4"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pPr>
    </w:p>
    <w:p w14:paraId="106E6439" w14:textId="77777777" w:rsidR="00303EFE" w:rsidRDefault="00303EFE" w:rsidP="00E858EF">
      <w:pPr>
        <w:suppressAutoHyphens/>
        <w:autoSpaceDE w:val="0"/>
        <w:autoSpaceDN w:val="0"/>
        <w:adjustRightInd w:val="0"/>
      </w:pPr>
      <w:r w:rsidRPr="00AB55D4">
        <w:t>Mee C. and Cavanagh, W.</w:t>
      </w:r>
      <w:r>
        <w:t xml:space="preserve"> </w:t>
      </w:r>
      <w:r w:rsidRPr="00AB55D4">
        <w:t>G.</w:t>
      </w:r>
      <w:r>
        <w:t>,</w:t>
      </w:r>
      <w:r w:rsidRPr="00AB55D4">
        <w:t xml:space="preserve"> 1990. The spatial distribution of Mycenaean tombs</w:t>
      </w:r>
      <w:r>
        <w:t>.</w:t>
      </w:r>
      <w:r w:rsidRPr="00AB55D4">
        <w:t xml:space="preserve"> </w:t>
      </w:r>
      <w:r>
        <w:rPr>
          <w:i/>
          <w:lang w:val="en-US"/>
        </w:rPr>
        <w:t>BSA</w:t>
      </w:r>
      <w:r w:rsidRPr="00AB55D4">
        <w:rPr>
          <w:i/>
          <w:lang w:val="en-US"/>
        </w:rPr>
        <w:t xml:space="preserve"> </w:t>
      </w:r>
      <w:r w:rsidRPr="00AB55D4">
        <w:t>85</w:t>
      </w:r>
      <w:r>
        <w:t>:</w:t>
      </w:r>
      <w:r w:rsidRPr="00AB55D4">
        <w:t xml:space="preserve"> 225-243.</w:t>
      </w:r>
    </w:p>
    <w:p w14:paraId="7607A776" w14:textId="77777777" w:rsidR="00303EFE" w:rsidRPr="00AB55D4" w:rsidRDefault="00303EFE" w:rsidP="00E858EF">
      <w:pPr>
        <w:suppressAutoHyphens/>
        <w:autoSpaceDE w:val="0"/>
        <w:autoSpaceDN w:val="0"/>
        <w:adjustRightInd w:val="0"/>
      </w:pPr>
    </w:p>
    <w:p w14:paraId="1EB04205" w14:textId="54EE0C38" w:rsidR="00303EFE" w:rsidRDefault="00303EFE" w:rsidP="00E858EF">
      <w:pPr>
        <w:suppressAutoHyphens/>
      </w:pPr>
      <w:r w:rsidRPr="00AB55D4">
        <w:rPr>
          <w:color w:val="000000"/>
        </w:rPr>
        <w:t>Merousis, N.</w:t>
      </w:r>
      <w:r>
        <w:rPr>
          <w:color w:val="000000"/>
        </w:rPr>
        <w:t>,</w:t>
      </w:r>
      <w:r w:rsidRPr="00AB55D4">
        <w:rPr>
          <w:color w:val="000000"/>
        </w:rPr>
        <w:t xml:space="preserve"> 2000. </w:t>
      </w:r>
      <w:r w:rsidRPr="00AB55D4">
        <w:rPr>
          <w:i/>
          <w:color w:val="000000"/>
          <w:lang w:val="el-GR"/>
        </w:rPr>
        <w:t>Οι εικονογραφικοί κύκλοι των ΥΜ ΙΙΙ λαρ</w:t>
      </w:r>
      <w:r w:rsidR="001F3E19">
        <w:rPr>
          <w:i/>
          <w:color w:val="000000"/>
          <w:lang w:val="el-GR"/>
        </w:rPr>
        <w:t>ν</w:t>
      </w:r>
      <w:r w:rsidRPr="00AB55D4">
        <w:rPr>
          <w:i/>
          <w:color w:val="000000"/>
          <w:lang w:val="el-GR"/>
        </w:rPr>
        <w:t>άκων. Οι διαστάσεις της εικονογραφίας στα πλαίσια των ταφικών πρακτικώ</w:t>
      </w:r>
      <w:r w:rsidRPr="00AB55D4">
        <w:rPr>
          <w:color w:val="000000"/>
          <w:lang w:val="el-GR"/>
        </w:rPr>
        <w:t>ν</w:t>
      </w:r>
      <w:r>
        <w:rPr>
          <w:color w:val="000000"/>
          <w:lang w:val="el-GR"/>
        </w:rPr>
        <w:t>.</w:t>
      </w:r>
      <w:r w:rsidRPr="00AB55D4">
        <w:rPr>
          <w:color w:val="000000"/>
          <w:lang w:val="el-GR"/>
        </w:rPr>
        <w:t xml:space="preserve"> </w:t>
      </w:r>
      <w:r w:rsidRPr="00AB55D4">
        <w:t>PhD Thesis, Aristotle University Thessaloniki.</w:t>
      </w:r>
    </w:p>
    <w:p w14:paraId="6AE17FDF" w14:textId="77777777" w:rsidR="00303EFE" w:rsidRPr="00AB55D4" w:rsidRDefault="00303EFE" w:rsidP="00E858EF">
      <w:pPr>
        <w:suppressAutoHyphens/>
        <w:rPr>
          <w:color w:val="000000"/>
        </w:rPr>
      </w:pPr>
    </w:p>
    <w:p w14:paraId="67F387D8" w14:textId="77777777" w:rsidR="00303EFE" w:rsidRDefault="00303EFE" w:rsidP="00E858EF">
      <w:pPr>
        <w:suppressAutoHyphens/>
        <w:rPr>
          <w:color w:val="000000"/>
        </w:rPr>
      </w:pPr>
      <w:r w:rsidRPr="00AB55D4">
        <w:rPr>
          <w:color w:val="000000"/>
        </w:rPr>
        <w:t>Merousis, N.</w:t>
      </w:r>
      <w:r>
        <w:rPr>
          <w:color w:val="000000"/>
        </w:rPr>
        <w:t>,</w:t>
      </w:r>
      <w:r w:rsidRPr="00AB55D4">
        <w:rPr>
          <w:color w:val="000000"/>
        </w:rPr>
        <w:t xml:space="preserve"> 2007-2008: </w:t>
      </w:r>
      <w:r w:rsidRPr="00AB55D4">
        <w:rPr>
          <w:color w:val="000000"/>
          <w:lang w:val="el-GR"/>
        </w:rPr>
        <w:t>Υστερομινωικ</w:t>
      </w:r>
      <w:r>
        <w:rPr>
          <w:color w:val="000000"/>
          <w:lang w:val="el-GR"/>
        </w:rPr>
        <w:t>έ</w:t>
      </w:r>
      <w:r w:rsidRPr="00AB55D4">
        <w:rPr>
          <w:color w:val="000000"/>
          <w:lang w:val="el-GR"/>
        </w:rPr>
        <w:t>ς ΙΙΙ Λ</w:t>
      </w:r>
      <w:r>
        <w:rPr>
          <w:color w:val="000000"/>
          <w:lang w:val="el-GR"/>
        </w:rPr>
        <w:t>ά</w:t>
      </w:r>
      <w:r w:rsidRPr="00AB55D4">
        <w:rPr>
          <w:color w:val="000000"/>
          <w:lang w:val="el-GR"/>
        </w:rPr>
        <w:t>ρνακες στο Εθνικ</w:t>
      </w:r>
      <w:r>
        <w:rPr>
          <w:color w:val="000000"/>
          <w:lang w:val="el-GR"/>
        </w:rPr>
        <w:t>ό</w:t>
      </w:r>
      <w:r w:rsidRPr="00AB55D4">
        <w:rPr>
          <w:color w:val="000000"/>
          <w:lang w:val="el-GR"/>
        </w:rPr>
        <w:t xml:space="preserve"> Αρχαιολογικ</w:t>
      </w:r>
      <w:r>
        <w:rPr>
          <w:color w:val="000000"/>
          <w:lang w:val="el-GR"/>
        </w:rPr>
        <w:t>ό</w:t>
      </w:r>
      <w:r w:rsidRPr="00AB55D4">
        <w:rPr>
          <w:color w:val="000000"/>
          <w:lang w:val="el-GR"/>
        </w:rPr>
        <w:t xml:space="preserve"> Μουσε</w:t>
      </w:r>
      <w:r>
        <w:rPr>
          <w:color w:val="000000"/>
          <w:lang w:val="el-GR"/>
        </w:rPr>
        <w:t>ί</w:t>
      </w:r>
      <w:r w:rsidRPr="00AB55D4">
        <w:rPr>
          <w:color w:val="000000"/>
          <w:lang w:val="el-GR"/>
        </w:rPr>
        <w:t xml:space="preserve">ο. </w:t>
      </w:r>
      <w:r w:rsidRPr="00BA2849">
        <w:rPr>
          <w:i/>
          <w:color w:val="000000"/>
        </w:rPr>
        <w:t xml:space="preserve">AAA </w:t>
      </w:r>
      <w:r w:rsidRPr="00BA2849">
        <w:t>40-41</w:t>
      </w:r>
      <w:r w:rsidRPr="006055A5">
        <w:t>:</w:t>
      </w:r>
      <w:r w:rsidRPr="00AB55D4">
        <w:rPr>
          <w:i/>
        </w:rPr>
        <w:t xml:space="preserve"> </w:t>
      </w:r>
      <w:r w:rsidRPr="00AB55D4">
        <w:rPr>
          <w:color w:val="000000"/>
        </w:rPr>
        <w:t>77-92.</w:t>
      </w:r>
    </w:p>
    <w:p w14:paraId="04AF50CC" w14:textId="77777777" w:rsidR="00303EFE" w:rsidRPr="00AB55D4" w:rsidRDefault="00303EFE" w:rsidP="00E858EF">
      <w:pPr>
        <w:suppressAutoHyphens/>
        <w:rPr>
          <w:color w:val="000000"/>
        </w:rPr>
      </w:pPr>
    </w:p>
    <w:p w14:paraId="54BB6817" w14:textId="77777777" w:rsidR="00303EFE" w:rsidRDefault="00303EFE" w:rsidP="00E858EF">
      <w:pPr>
        <w:suppressAutoHyphens/>
        <w:autoSpaceDE w:val="0"/>
        <w:autoSpaceDN w:val="0"/>
        <w:adjustRightInd w:val="0"/>
      </w:pPr>
      <w:r w:rsidRPr="00AB55D4">
        <w:t>Merousis, Ν.</w:t>
      </w:r>
      <w:r>
        <w:t>,</w:t>
      </w:r>
      <w:r w:rsidRPr="00AB55D4">
        <w:t xml:space="preserve"> 2011. </w:t>
      </w:r>
      <w:r w:rsidRPr="00AB55D4">
        <w:rPr>
          <w:lang w:val="el-GR"/>
        </w:rPr>
        <w:t>Τεχνίτες και εργαστήρια λαρνάκων στην ΥΜ ΙΙΙ δυτική Κρήτη</w:t>
      </w:r>
      <w:r w:rsidRPr="00AB55D4">
        <w:t xml:space="preserve">. </w:t>
      </w:r>
      <w:r>
        <w:t xml:space="preserve">In: </w:t>
      </w:r>
      <w:r w:rsidRPr="00AB55D4">
        <w:t>M. Andreadaki-Vlazaki and E. Papadopoulou</w:t>
      </w:r>
      <w:r>
        <w:t>, eds.</w:t>
      </w:r>
      <w:r w:rsidRPr="00AB55D4">
        <w:t xml:space="preserve"> </w:t>
      </w:r>
      <w:r w:rsidRPr="00AB55D4">
        <w:rPr>
          <w:i/>
        </w:rPr>
        <w:t>Πεπραγμένα Ι’ Διεθνούς Κρητολογικού Συνεδρίου</w:t>
      </w:r>
      <w:r>
        <w:t>.</w:t>
      </w:r>
      <w:r w:rsidRPr="00AB55D4">
        <w:rPr>
          <w:i/>
        </w:rPr>
        <w:t xml:space="preserve"> </w:t>
      </w:r>
      <w:r w:rsidRPr="00290D1B">
        <w:rPr>
          <w:lang w:val="el-GR"/>
        </w:rPr>
        <w:t>Χανιά, 1-8 Οκτωβρίου 2006</w:t>
      </w:r>
      <w:r w:rsidRPr="00290D1B">
        <w:t>, Α3</w:t>
      </w:r>
      <w:r w:rsidRPr="00AB55D4">
        <w:t xml:space="preserve">: 81-106. Chania: Philologikos Syllogos o Chrysostomos. </w:t>
      </w:r>
    </w:p>
    <w:p w14:paraId="34952D39" w14:textId="77777777" w:rsidR="00303EFE" w:rsidRPr="00AB55D4" w:rsidRDefault="00303EFE" w:rsidP="00E858EF">
      <w:pPr>
        <w:suppressAutoHyphens/>
        <w:autoSpaceDE w:val="0"/>
        <w:autoSpaceDN w:val="0"/>
        <w:adjustRightInd w:val="0"/>
      </w:pPr>
    </w:p>
    <w:p w14:paraId="59F4A8A4" w14:textId="77777777" w:rsidR="00303EFE" w:rsidRDefault="00303EFE" w:rsidP="00E858EF">
      <w:pPr>
        <w:suppressAutoHyphens/>
        <w:autoSpaceDE w:val="0"/>
        <w:autoSpaceDN w:val="0"/>
        <w:adjustRightInd w:val="0"/>
      </w:pPr>
      <w:r w:rsidRPr="00AB55D4">
        <w:t>Michailidou-Pappa, Α.</w:t>
      </w:r>
      <w:r>
        <w:t>,</w:t>
      </w:r>
      <w:r w:rsidRPr="00AB55D4">
        <w:t xml:space="preserve"> 1972. Κρητική λάρνακα στο Μουσείο Θεσσαλονίκης. </w:t>
      </w:r>
      <w:r>
        <w:rPr>
          <w:i/>
          <w:lang w:val="el-GR"/>
        </w:rPr>
        <w:t>KChr</w:t>
      </w:r>
      <w:r w:rsidRPr="00AB55D4">
        <w:rPr>
          <w:i/>
          <w:lang w:val="el-GR"/>
        </w:rPr>
        <w:t xml:space="preserve"> </w:t>
      </w:r>
      <w:r w:rsidRPr="00BA2849">
        <w:rPr>
          <w:lang w:val="el-GR"/>
        </w:rPr>
        <w:t>24</w:t>
      </w:r>
      <w:r w:rsidRPr="006055A5">
        <w:rPr>
          <w:lang w:val="el-GR"/>
        </w:rPr>
        <w:t>:</w:t>
      </w:r>
      <w:r w:rsidRPr="00AB55D4">
        <w:t xml:space="preserve"> 325-35.</w:t>
      </w:r>
    </w:p>
    <w:p w14:paraId="19F6799E" w14:textId="77777777" w:rsidR="00303EFE" w:rsidRPr="00AB55D4" w:rsidRDefault="00303EFE" w:rsidP="00E858EF">
      <w:pPr>
        <w:suppressAutoHyphens/>
        <w:autoSpaceDE w:val="0"/>
        <w:autoSpaceDN w:val="0"/>
        <w:adjustRightInd w:val="0"/>
      </w:pPr>
    </w:p>
    <w:p w14:paraId="1FA4544E" w14:textId="77777777" w:rsidR="00303EFE" w:rsidRPr="001A0D2F" w:rsidRDefault="00303EFE" w:rsidP="00E858EF">
      <w:pPr>
        <w:tabs>
          <w:tab w:val="left" w:pos="220"/>
          <w:tab w:val="left" w:pos="720"/>
        </w:tabs>
        <w:suppressAutoHyphens/>
        <w:autoSpaceDE w:val="0"/>
        <w:autoSpaceDN w:val="0"/>
        <w:adjustRightInd w:val="0"/>
      </w:pPr>
      <w:r w:rsidRPr="001A0D2F">
        <w:rPr>
          <w:rFonts w:eastAsia="Times New Roman"/>
          <w:iCs/>
          <w:lang w:val="en-US"/>
        </w:rPr>
        <w:t>Morgan, L.,</w:t>
      </w:r>
      <w:r w:rsidRPr="00AF19B7">
        <w:rPr>
          <w:rFonts w:eastAsia="Times New Roman"/>
          <w:iCs/>
          <w:lang w:val="en-US"/>
        </w:rPr>
        <w:t xml:space="preserve"> 1985. </w:t>
      </w:r>
      <w:r w:rsidRPr="00AF19B7">
        <w:t xml:space="preserve">Idea, idiom and iconography. </w:t>
      </w:r>
      <w:r w:rsidRPr="001A0D2F">
        <w:t xml:space="preserve">In: P. Darcque and J. C. Poursat, eds. </w:t>
      </w:r>
      <w:r w:rsidRPr="001A0D2F">
        <w:rPr>
          <w:i/>
        </w:rPr>
        <w:t xml:space="preserve">L'iconographie minoenne. </w:t>
      </w:r>
      <w:r w:rsidRPr="00290D1B">
        <w:t>Ctes de la table ronde d'Athènes</w:t>
      </w:r>
      <w:r w:rsidRPr="001A0D2F">
        <w:t xml:space="preserve">, </w:t>
      </w:r>
      <w:r w:rsidRPr="00290D1B">
        <w:t>21-22 avril</w:t>
      </w:r>
      <w:r w:rsidRPr="001A0D2F">
        <w:t>,</w:t>
      </w:r>
      <w:r w:rsidRPr="00290D1B">
        <w:t xml:space="preserve"> 1983</w:t>
      </w:r>
      <w:r w:rsidRPr="001A0D2F">
        <w:t>:</w:t>
      </w:r>
      <w:r w:rsidRPr="00AF19B7">
        <w:t xml:space="preserve"> Athènes: École française d'Athènes: 5-19. </w:t>
      </w:r>
      <w:r w:rsidRPr="001A0D2F">
        <w:t>Paris: Dépositaire, Diffusion de Boccard.</w:t>
      </w:r>
    </w:p>
    <w:p w14:paraId="7E42E6C2" w14:textId="77777777" w:rsidR="00303EFE" w:rsidRPr="001A0D2F" w:rsidRDefault="00303EFE" w:rsidP="00E858EF">
      <w:pPr>
        <w:tabs>
          <w:tab w:val="left" w:pos="220"/>
          <w:tab w:val="left" w:pos="720"/>
        </w:tabs>
        <w:suppressAutoHyphens/>
        <w:autoSpaceDE w:val="0"/>
        <w:autoSpaceDN w:val="0"/>
        <w:adjustRightInd w:val="0"/>
        <w:rPr>
          <w:rFonts w:eastAsia="Times New Roman"/>
          <w:iCs/>
          <w:lang w:val="en-US"/>
        </w:rPr>
      </w:pPr>
    </w:p>
    <w:p w14:paraId="679BAA0B" w14:textId="77777777" w:rsidR="00303EFE" w:rsidRPr="001A0D2F" w:rsidRDefault="00303EFE" w:rsidP="00E858EF">
      <w:pPr>
        <w:tabs>
          <w:tab w:val="left" w:pos="220"/>
          <w:tab w:val="left" w:pos="720"/>
        </w:tabs>
        <w:suppressAutoHyphens/>
        <w:autoSpaceDE w:val="0"/>
        <w:autoSpaceDN w:val="0"/>
        <w:adjustRightInd w:val="0"/>
      </w:pPr>
      <w:r w:rsidRPr="001A0D2F">
        <w:rPr>
          <w:rFonts w:eastAsia="Times New Roman"/>
          <w:iCs/>
          <w:lang w:val="en-US"/>
        </w:rPr>
        <w:t xml:space="preserve">Morgan, L., 1987. </w:t>
      </w:r>
      <w:r w:rsidRPr="001A0D2F">
        <w:t xml:space="preserve">A minoan larnax from Knossos. </w:t>
      </w:r>
      <w:r w:rsidRPr="001A0D2F">
        <w:rPr>
          <w:i/>
          <w:lang w:val="en-US"/>
        </w:rPr>
        <w:t>BSA</w:t>
      </w:r>
      <w:r w:rsidRPr="001A0D2F">
        <w:t xml:space="preserve"> 82, 171-200.</w:t>
      </w:r>
    </w:p>
    <w:p w14:paraId="59D754B7" w14:textId="77777777" w:rsidR="00303EFE" w:rsidRPr="001A0D2F" w:rsidRDefault="00303EFE" w:rsidP="00E858EF">
      <w:pPr>
        <w:tabs>
          <w:tab w:val="left" w:pos="220"/>
          <w:tab w:val="left" w:pos="720"/>
        </w:tabs>
        <w:suppressAutoHyphens/>
        <w:autoSpaceDE w:val="0"/>
        <w:autoSpaceDN w:val="0"/>
        <w:adjustRightInd w:val="0"/>
      </w:pPr>
    </w:p>
    <w:p w14:paraId="34D9DFD3" w14:textId="77777777" w:rsidR="00303EFE" w:rsidRPr="001A0D2F" w:rsidRDefault="00303EFE" w:rsidP="00E858EF">
      <w:pPr>
        <w:suppressAutoHyphens/>
      </w:pPr>
      <w:r w:rsidRPr="001A0D2F">
        <w:t xml:space="preserve">Morgan, L., 1988. </w:t>
      </w:r>
      <w:r w:rsidRPr="001A0D2F">
        <w:rPr>
          <w:i/>
          <w:lang w:val="en-US"/>
        </w:rPr>
        <w:t>The Miniature Wall Paintings of Thera: A Study in Aegean Culture and Iconography.</w:t>
      </w:r>
      <w:r w:rsidRPr="001A0D2F">
        <w:rPr>
          <w:lang w:val="en-US"/>
        </w:rPr>
        <w:t xml:space="preserve"> C</w:t>
      </w:r>
      <w:r w:rsidRPr="001A0D2F">
        <w:t>ambridge: Cambridge University Press.</w:t>
      </w:r>
    </w:p>
    <w:p w14:paraId="256C7859" w14:textId="77777777" w:rsidR="00303EFE" w:rsidRPr="001A0D2F" w:rsidRDefault="00303EFE" w:rsidP="00E858EF">
      <w:pPr>
        <w:suppressAutoHyphens/>
      </w:pPr>
    </w:p>
    <w:p w14:paraId="4D51A7E0" w14:textId="77777777" w:rsidR="00303EFE" w:rsidRPr="001B5661" w:rsidRDefault="00303EFE" w:rsidP="00E858EF">
      <w:pPr>
        <w:suppressAutoHyphens/>
      </w:pPr>
      <w:r w:rsidRPr="001A0D2F">
        <w:t xml:space="preserve">Morgan, L., 2000. New discoveries and new ideas in Aegean wall painting. In: L. Morgan, ed. </w:t>
      </w:r>
      <w:r w:rsidRPr="001A0D2F">
        <w:rPr>
          <w:i/>
        </w:rPr>
        <w:t>Aegean Wall Painting: a Tribute to Mark Cameron.</w:t>
      </w:r>
      <w:r w:rsidRPr="001A0D2F">
        <w:t xml:space="preserve"> British School at Athens studies 13: 21-24. London: British School at Athens.</w:t>
      </w:r>
    </w:p>
    <w:p w14:paraId="50A22965" w14:textId="77777777" w:rsidR="00303EFE" w:rsidRDefault="00303EFE" w:rsidP="00E858EF">
      <w:pPr>
        <w:suppressAutoHyphens/>
      </w:pPr>
    </w:p>
    <w:p w14:paraId="781AEC8B" w14:textId="77777777" w:rsidR="00303EFE" w:rsidRDefault="00303EFE" w:rsidP="00E858EF">
      <w:pPr>
        <w:tabs>
          <w:tab w:val="left" w:pos="220"/>
          <w:tab w:val="left" w:pos="720"/>
        </w:tabs>
        <w:suppressAutoHyphens/>
        <w:autoSpaceDE w:val="0"/>
        <w:autoSpaceDN w:val="0"/>
        <w:adjustRightInd w:val="0"/>
      </w:pPr>
      <w:r w:rsidRPr="00AB55D4">
        <w:rPr>
          <w:rFonts w:eastAsia="Times New Roman"/>
          <w:iCs/>
          <w:lang w:val="en-US"/>
        </w:rPr>
        <w:t>Morris, C.</w:t>
      </w:r>
      <w:r>
        <w:rPr>
          <w:rFonts w:eastAsia="Times New Roman"/>
          <w:iCs/>
          <w:lang w:val="en-US"/>
        </w:rPr>
        <w:t>,</w:t>
      </w:r>
      <w:r w:rsidRPr="00AB55D4">
        <w:rPr>
          <w:rFonts w:eastAsia="Times New Roman"/>
          <w:iCs/>
          <w:lang w:val="en-US"/>
        </w:rPr>
        <w:t xml:space="preserve"> 1993.</w:t>
      </w:r>
      <w:r>
        <w:rPr>
          <w:rFonts w:eastAsia="Times New Roman"/>
          <w:iCs/>
          <w:lang w:val="en-US"/>
        </w:rPr>
        <w:t xml:space="preserve"> </w:t>
      </w:r>
      <w:r w:rsidRPr="00AB55D4">
        <w:t xml:space="preserve">Hands up for the individual! </w:t>
      </w:r>
      <w:r>
        <w:t>T</w:t>
      </w:r>
      <w:r w:rsidRPr="00AB55D4">
        <w:t xml:space="preserve">he role of attribution studies in the Bronze Age Aegean. </w:t>
      </w:r>
      <w:r w:rsidRPr="00A67D51">
        <w:rPr>
          <w:i/>
        </w:rPr>
        <w:t xml:space="preserve">Cambridge Archaeological Journal </w:t>
      </w:r>
      <w:r w:rsidRPr="00BA2849">
        <w:t>3</w:t>
      </w:r>
      <w:r w:rsidRPr="00A67D51">
        <w:rPr>
          <w:i/>
        </w:rPr>
        <w:t xml:space="preserve"> </w:t>
      </w:r>
      <w:r>
        <w:t>(</w:t>
      </w:r>
      <w:r w:rsidRPr="00BA2849">
        <w:t>1</w:t>
      </w:r>
      <w:r>
        <w:t>)</w:t>
      </w:r>
      <w:r w:rsidRPr="00AB55D4">
        <w:t xml:space="preserve">: 41- 66. </w:t>
      </w:r>
    </w:p>
    <w:p w14:paraId="3BF17D11" w14:textId="77777777" w:rsidR="00303EFE" w:rsidRPr="00AB55D4" w:rsidRDefault="00303EFE" w:rsidP="00E858EF">
      <w:pPr>
        <w:tabs>
          <w:tab w:val="left" w:pos="220"/>
          <w:tab w:val="left" w:pos="720"/>
        </w:tabs>
        <w:suppressAutoHyphens/>
        <w:autoSpaceDE w:val="0"/>
        <w:autoSpaceDN w:val="0"/>
        <w:adjustRightInd w:val="0"/>
        <w:rPr>
          <w:rFonts w:eastAsia="Times New Roman"/>
          <w:iCs/>
          <w:lang w:val="en-US"/>
        </w:rPr>
      </w:pPr>
    </w:p>
    <w:p w14:paraId="3A57D6A8" w14:textId="77777777" w:rsidR="00303EFE" w:rsidRDefault="00303EFE" w:rsidP="00E858EF">
      <w:pPr>
        <w:suppressAutoHyphens/>
        <w:autoSpaceDE w:val="0"/>
        <w:autoSpaceDN w:val="0"/>
        <w:adjustRightInd w:val="0"/>
      </w:pPr>
      <w:r w:rsidRPr="00AB55D4">
        <w:rPr>
          <w:color w:val="000000"/>
        </w:rPr>
        <w:t>Morris, C.</w:t>
      </w:r>
      <w:r>
        <w:rPr>
          <w:color w:val="000000"/>
        </w:rPr>
        <w:t>,</w:t>
      </w:r>
      <w:r w:rsidRPr="00AB55D4">
        <w:rPr>
          <w:color w:val="000000"/>
        </w:rPr>
        <w:t xml:space="preserve"> 1995</w:t>
      </w:r>
      <w:r w:rsidRPr="00AB55D4">
        <w:t xml:space="preserve">. Fishy tales from Knossos: a Minoan larnax and vase painter. </w:t>
      </w:r>
      <w:r>
        <w:t xml:space="preserve">In: </w:t>
      </w:r>
      <w:r w:rsidRPr="00AB55D4">
        <w:t>C. Morris</w:t>
      </w:r>
      <w:r>
        <w:t xml:space="preserve">, ed. </w:t>
      </w:r>
      <w:r w:rsidRPr="00AB55D4">
        <w:rPr>
          <w:i/>
        </w:rPr>
        <w:t>Klados. Essays in Honour of J.</w:t>
      </w:r>
      <w:r>
        <w:rPr>
          <w:i/>
        </w:rPr>
        <w:t xml:space="preserve"> </w:t>
      </w:r>
      <w:r w:rsidRPr="00AB55D4">
        <w:rPr>
          <w:i/>
        </w:rPr>
        <w:t>N.</w:t>
      </w:r>
      <w:r w:rsidRPr="00290D1B">
        <w:t xml:space="preserve"> Coldstream Bulletin of the Institute of Classical Studies</w:t>
      </w:r>
      <w:r w:rsidRPr="001A0D2F">
        <w:t>:</w:t>
      </w:r>
      <w:r w:rsidRPr="00AB55D4">
        <w:t xml:space="preserve"> 185-193. London University of London, Institute of Classical Studies.</w:t>
      </w:r>
    </w:p>
    <w:p w14:paraId="56D2D0EF" w14:textId="77777777" w:rsidR="00303EFE" w:rsidRPr="00A67D51" w:rsidRDefault="00303EFE" w:rsidP="00E858EF">
      <w:pPr>
        <w:suppressAutoHyphens/>
        <w:autoSpaceDE w:val="0"/>
        <w:autoSpaceDN w:val="0"/>
        <w:adjustRightInd w:val="0"/>
        <w:rPr>
          <w:i/>
        </w:rPr>
      </w:pPr>
    </w:p>
    <w:p w14:paraId="70A63BDC"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r w:rsidRPr="0017600E">
        <w:rPr>
          <w:color w:val="000000"/>
        </w:rPr>
        <w:t>Mountjoy,</w:t>
      </w:r>
      <w:r w:rsidRPr="00A67D51">
        <w:rPr>
          <w:i/>
          <w:color w:val="000000"/>
        </w:rPr>
        <w:t xml:space="preserve"> </w:t>
      </w:r>
      <w:r w:rsidRPr="0017600E">
        <w:rPr>
          <w:color w:val="000000"/>
        </w:rPr>
        <w:t>P. A.</w:t>
      </w:r>
      <w:r>
        <w:rPr>
          <w:color w:val="000000"/>
        </w:rPr>
        <w:t>,</w:t>
      </w:r>
      <w:r w:rsidRPr="0017600E">
        <w:rPr>
          <w:color w:val="000000"/>
        </w:rPr>
        <w:t xml:space="preserve"> 1986</w:t>
      </w:r>
      <w:r w:rsidRPr="00A67D51">
        <w:rPr>
          <w:i/>
          <w:color w:val="000000"/>
        </w:rPr>
        <w:t>. Mycenaean</w:t>
      </w:r>
      <w:r w:rsidRPr="00AB55D4">
        <w:rPr>
          <w:color w:val="000000"/>
        </w:rPr>
        <w:t xml:space="preserve"> </w:t>
      </w:r>
      <w:r w:rsidRPr="00BA2849">
        <w:rPr>
          <w:i/>
          <w:color w:val="000000"/>
        </w:rPr>
        <w:t>Decorated Pottery: a Guide to Identification</w:t>
      </w:r>
      <w:r w:rsidRPr="00AB55D4">
        <w:rPr>
          <w:color w:val="000000"/>
        </w:rPr>
        <w:t xml:space="preserve">. SIMA 78. </w:t>
      </w:r>
      <w:r w:rsidRPr="00AB55D4">
        <w:t>Göteborg: Åströms.</w:t>
      </w:r>
    </w:p>
    <w:p w14:paraId="34535B5D"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7CE4BCBF"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B55D4">
        <w:rPr>
          <w:color w:val="000000"/>
        </w:rPr>
        <w:t>Mountjoy, P. A.</w:t>
      </w:r>
      <w:r>
        <w:rPr>
          <w:color w:val="000000"/>
        </w:rPr>
        <w:t>,</w:t>
      </w:r>
      <w:r w:rsidRPr="00AB55D4">
        <w:rPr>
          <w:color w:val="000000"/>
        </w:rPr>
        <w:t xml:space="preserve"> 1993. </w:t>
      </w:r>
      <w:r w:rsidRPr="00A67D51">
        <w:rPr>
          <w:i/>
          <w:color w:val="000000"/>
        </w:rPr>
        <w:t>Mycenaean Pottery: An Introduction.</w:t>
      </w:r>
      <w:r w:rsidRPr="00AB55D4">
        <w:rPr>
          <w:color w:val="000000"/>
        </w:rPr>
        <w:t> Oxford: Oxford University Committee for Archaeology</w:t>
      </w:r>
      <w:r>
        <w:rPr>
          <w:color w:val="000000"/>
        </w:rPr>
        <w:t>.</w:t>
      </w:r>
    </w:p>
    <w:p w14:paraId="6F261557" w14:textId="77777777" w:rsidR="00311C1E" w:rsidRDefault="00311C1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230DA57D" w14:textId="7CA2D7DF" w:rsidR="00311C1E" w:rsidRPr="00400C64" w:rsidRDefault="00311C1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lang w:val="it-IT"/>
        </w:rPr>
      </w:pPr>
      <w:r>
        <w:rPr>
          <w:color w:val="000000"/>
        </w:rPr>
        <w:t xml:space="preserve">Muhly, P. 1992. </w:t>
      </w:r>
      <w:r w:rsidRPr="00400C64">
        <w:rPr>
          <w:i/>
          <w:color w:val="000000"/>
        </w:rPr>
        <w:t>M</w:t>
      </w:r>
      <w:r w:rsidRPr="00400C64">
        <w:rPr>
          <w:i/>
          <w:color w:val="000000"/>
          <w:lang w:val="el-GR"/>
        </w:rPr>
        <w:t>ινωικός Λαξευτός Τάφος στον Πόρο Ηερακείου</w:t>
      </w:r>
      <w:r>
        <w:rPr>
          <w:color w:val="000000"/>
          <w:lang w:val="el-GR"/>
        </w:rPr>
        <w:t xml:space="preserve">, Athens </w:t>
      </w:r>
    </w:p>
    <w:p w14:paraId="6E29F3E7"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5A7EE352" w14:textId="77777777" w:rsidR="00303EFE" w:rsidRDefault="00303EFE" w:rsidP="00E858EF">
      <w:pPr>
        <w:suppressAutoHyphens/>
        <w:autoSpaceDE w:val="0"/>
        <w:autoSpaceDN w:val="0"/>
        <w:adjustRightInd w:val="0"/>
      </w:pPr>
      <w:r w:rsidRPr="00AB55D4">
        <w:t>Murphy, J.</w:t>
      </w:r>
      <w:r>
        <w:t>,</w:t>
      </w:r>
      <w:r w:rsidRPr="00AB55D4">
        <w:t xml:space="preserve"> 2011. Landscape and </w:t>
      </w:r>
      <w:r>
        <w:t>s</w:t>
      </w:r>
      <w:r w:rsidRPr="00AB55D4">
        <w:t xml:space="preserve">ocial </w:t>
      </w:r>
      <w:r>
        <w:t>n</w:t>
      </w:r>
      <w:r w:rsidRPr="00AB55D4">
        <w:t xml:space="preserve">arratives: A study of </w:t>
      </w:r>
      <w:r>
        <w:t>r</w:t>
      </w:r>
      <w:r w:rsidRPr="00AB55D4">
        <w:t xml:space="preserve">egional </w:t>
      </w:r>
      <w:r>
        <w:t>s</w:t>
      </w:r>
      <w:r w:rsidRPr="00AB55D4">
        <w:t xml:space="preserve">ocial </w:t>
      </w:r>
      <w:r>
        <w:t>s</w:t>
      </w:r>
      <w:r w:rsidRPr="00AB55D4">
        <w:t xml:space="preserve">tructures in </w:t>
      </w:r>
      <w:r>
        <w:t>p</w:t>
      </w:r>
      <w:r w:rsidRPr="00AB55D4">
        <w:t xml:space="preserve">repalatial Crete. </w:t>
      </w:r>
      <w:r>
        <w:t xml:space="preserve">In: </w:t>
      </w:r>
      <w:r w:rsidRPr="00AB55D4">
        <w:t>J. Murphy</w:t>
      </w:r>
      <w:r>
        <w:t>, ed.</w:t>
      </w:r>
      <w:r w:rsidRPr="00AB55D4">
        <w:t xml:space="preserve"> </w:t>
      </w:r>
      <w:r w:rsidRPr="00A67D51">
        <w:rPr>
          <w:i/>
        </w:rPr>
        <w:t xml:space="preserve">Prehistoric Crete: </w:t>
      </w:r>
      <w:r>
        <w:rPr>
          <w:i/>
        </w:rPr>
        <w:t>R</w:t>
      </w:r>
      <w:r w:rsidRPr="00A67D51">
        <w:rPr>
          <w:i/>
        </w:rPr>
        <w:t xml:space="preserve">egional and </w:t>
      </w:r>
      <w:r>
        <w:rPr>
          <w:i/>
        </w:rPr>
        <w:t>D</w:t>
      </w:r>
      <w:r w:rsidRPr="00A67D51">
        <w:rPr>
          <w:i/>
        </w:rPr>
        <w:t>iachronic</w:t>
      </w:r>
      <w:r>
        <w:rPr>
          <w:i/>
        </w:rPr>
        <w:t xml:space="preserve"> S</w:t>
      </w:r>
      <w:r w:rsidRPr="00A67D51">
        <w:rPr>
          <w:i/>
        </w:rPr>
        <w:t xml:space="preserve">tudies on </w:t>
      </w:r>
      <w:r>
        <w:rPr>
          <w:i/>
        </w:rPr>
        <w:t>M</w:t>
      </w:r>
      <w:r w:rsidRPr="00A67D51">
        <w:rPr>
          <w:i/>
        </w:rPr>
        <w:t>ortuary</w:t>
      </w:r>
      <w:r>
        <w:rPr>
          <w:i/>
        </w:rPr>
        <w:t xml:space="preserve"> S</w:t>
      </w:r>
      <w:r w:rsidRPr="00A67D51">
        <w:rPr>
          <w:i/>
        </w:rPr>
        <w:t>ystems</w:t>
      </w:r>
      <w:r w:rsidRPr="00AB55D4">
        <w:t>: 23-48. Philadelphia (Pennsylvania): INSTAP Academic Press.</w:t>
      </w:r>
    </w:p>
    <w:p w14:paraId="50E3AB1D" w14:textId="77777777" w:rsidR="00303EFE" w:rsidRPr="00AB55D4" w:rsidRDefault="00303EFE" w:rsidP="00E858EF">
      <w:pPr>
        <w:suppressAutoHyphens/>
        <w:autoSpaceDE w:val="0"/>
        <w:autoSpaceDN w:val="0"/>
        <w:adjustRightInd w:val="0"/>
      </w:pPr>
    </w:p>
    <w:p w14:paraId="492847B5" w14:textId="77777777" w:rsidR="00303EFE" w:rsidRPr="00290D1B" w:rsidRDefault="00303EFE" w:rsidP="00E858EF">
      <w:pPr>
        <w:suppressAutoHyphens/>
        <w:autoSpaceDE w:val="0"/>
        <w:autoSpaceDN w:val="0"/>
        <w:adjustRightInd w:val="0"/>
      </w:pPr>
      <w:r w:rsidRPr="00AB55D4">
        <w:t>Musgrave, J. H.</w:t>
      </w:r>
      <w:r>
        <w:t>,</w:t>
      </w:r>
      <w:r w:rsidRPr="00AB55D4">
        <w:t xml:space="preserve"> 1996. The human bones. </w:t>
      </w:r>
      <w:r>
        <w:t xml:space="preserve">In: </w:t>
      </w:r>
      <w:r w:rsidRPr="00AB55D4">
        <w:t>N. Coldstream and H. Catling</w:t>
      </w:r>
      <w:r>
        <w:t>, eds.</w:t>
      </w:r>
      <w:r w:rsidRPr="00AB55D4">
        <w:t xml:space="preserve"> </w:t>
      </w:r>
      <w:r w:rsidRPr="00AB55D4">
        <w:rPr>
          <w:i/>
        </w:rPr>
        <w:t>Knossos North Cemetery: Early Greek Tombs</w:t>
      </w:r>
      <w:r>
        <w:t>, vol. 2</w:t>
      </w:r>
      <w:r w:rsidRPr="00290D1B">
        <w:t>: 677-702. London: British School at Athens.</w:t>
      </w:r>
    </w:p>
    <w:p w14:paraId="2953D23B" w14:textId="77777777" w:rsidR="00303EFE" w:rsidRPr="00AB55D4" w:rsidRDefault="00303EFE" w:rsidP="00E858EF">
      <w:pPr>
        <w:suppressAutoHyphens/>
        <w:autoSpaceDE w:val="0"/>
        <w:autoSpaceDN w:val="0"/>
        <w:adjustRightInd w:val="0"/>
      </w:pPr>
    </w:p>
    <w:p w14:paraId="0FB4F55B" w14:textId="77777777" w:rsidR="00303EFE" w:rsidRDefault="00303EFE" w:rsidP="00E858EF">
      <w:pPr>
        <w:suppressAutoHyphens/>
        <w:autoSpaceDE w:val="0"/>
        <w:autoSpaceDN w:val="0"/>
        <w:adjustRightInd w:val="0"/>
        <w:rPr>
          <w:color w:val="000000"/>
        </w:rPr>
      </w:pPr>
      <w:r w:rsidRPr="00AB55D4">
        <w:rPr>
          <w:bCs/>
          <w:color w:val="000000"/>
        </w:rPr>
        <w:t>Nafplioti, A.</w:t>
      </w:r>
      <w:r>
        <w:rPr>
          <w:bCs/>
          <w:color w:val="000000"/>
        </w:rPr>
        <w:t>,</w:t>
      </w:r>
      <w:r w:rsidRPr="00AB55D4">
        <w:rPr>
          <w:bCs/>
          <w:color w:val="000000"/>
        </w:rPr>
        <w:t xml:space="preserve"> 2015. The Human Skeletal Remains. </w:t>
      </w:r>
      <w:r>
        <w:rPr>
          <w:bCs/>
          <w:color w:val="000000"/>
        </w:rPr>
        <w:t xml:space="preserve">In: </w:t>
      </w:r>
      <w:r w:rsidRPr="00AB55D4">
        <w:rPr>
          <w:bCs/>
          <w:color w:val="000000"/>
        </w:rPr>
        <w:t>A. Karetsou and L. Girella</w:t>
      </w:r>
      <w:r>
        <w:rPr>
          <w:bCs/>
          <w:color w:val="000000"/>
        </w:rPr>
        <w:t>,</w:t>
      </w:r>
      <w:r w:rsidRPr="00AB55D4">
        <w:rPr>
          <w:bCs/>
          <w:color w:val="000000"/>
        </w:rPr>
        <w:t xml:space="preserve"> </w:t>
      </w:r>
      <w:r w:rsidRPr="00AB55D4">
        <w:rPr>
          <w:i/>
        </w:rPr>
        <w:t>Kalochorafitis: Two Chamber Tombs from the LM IIIA2-B Cemetery. A Contribution to Postpalatial Funerary Practice in the Mesara</w:t>
      </w:r>
      <w:r w:rsidRPr="00AB55D4">
        <w:t>.</w:t>
      </w:r>
      <w:r>
        <w:t xml:space="preserve"> </w:t>
      </w:r>
      <w:r w:rsidRPr="00AB55D4">
        <w:t xml:space="preserve">Studi di Archeologia Cretese 12: 227-342. Padova: Bottega di Erasmo </w:t>
      </w:r>
      <w:r w:rsidRPr="00AB55D4">
        <w:rPr>
          <w:color w:val="000000"/>
        </w:rPr>
        <w:t>A. Ausilio.</w:t>
      </w:r>
    </w:p>
    <w:p w14:paraId="2C356852" w14:textId="77777777" w:rsidR="00303EFE" w:rsidRPr="00AB55D4" w:rsidRDefault="00303EFE" w:rsidP="00E858EF">
      <w:pPr>
        <w:suppressAutoHyphens/>
        <w:autoSpaceDE w:val="0"/>
        <w:autoSpaceDN w:val="0"/>
        <w:adjustRightInd w:val="0"/>
        <w:rPr>
          <w:color w:val="000000"/>
        </w:rPr>
      </w:pPr>
    </w:p>
    <w:p w14:paraId="17EFD77A" w14:textId="031FE69B"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r w:rsidRPr="00AB55D4">
        <w:t>Nodarou</w:t>
      </w:r>
      <w:r>
        <w:t>,</w:t>
      </w:r>
      <w:r w:rsidRPr="00AB55D4">
        <w:t xml:space="preserve"> E.</w:t>
      </w:r>
      <w:r>
        <w:t xml:space="preserve">, </w:t>
      </w:r>
      <w:r w:rsidRPr="00AB55D4">
        <w:t xml:space="preserve">2010. Petrographic </w:t>
      </w:r>
      <w:r>
        <w:t>a</w:t>
      </w:r>
      <w:r w:rsidRPr="00AB55D4">
        <w:t xml:space="preserve">nalysis of the Late Minoan III </w:t>
      </w:r>
      <w:r>
        <w:t>c</w:t>
      </w:r>
      <w:r w:rsidRPr="00AB55D4">
        <w:t>erami</w:t>
      </w:r>
      <w:r w:rsidR="00400C64">
        <w:t>c</w:t>
      </w:r>
      <w:r w:rsidRPr="00AB55D4">
        <w:t xml:space="preserve">s. </w:t>
      </w:r>
      <w:r>
        <w:t xml:space="preserve">In: </w:t>
      </w:r>
      <w:r w:rsidRPr="00AB55D4">
        <w:t>A. R. Smith</w:t>
      </w:r>
      <w:r>
        <w:t>,</w:t>
      </w:r>
      <w:r w:rsidRPr="00AB55D4">
        <w:t xml:space="preserve"> </w:t>
      </w:r>
      <w:r w:rsidRPr="00A67D51">
        <w:rPr>
          <w:i/>
        </w:rPr>
        <w:t>Mochlos IIB: period IV, the Mycenaean settlement and cemetery: the pottery</w:t>
      </w:r>
      <w:r w:rsidRPr="00AB55D4">
        <w:t>. Prehistory monographs 27</w:t>
      </w:r>
      <w:r>
        <w:t>:</w:t>
      </w:r>
      <w:r w:rsidRPr="00AB55D4">
        <w:t xml:space="preserve"> 3-14. Philadelphia (Pennsylvania): INSTAP Academic Press.</w:t>
      </w:r>
    </w:p>
    <w:p w14:paraId="672A13F2"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p>
    <w:p w14:paraId="544C26B2" w14:textId="4B57AF77" w:rsidR="00303EFE" w:rsidRDefault="00303EFE" w:rsidP="00E858EF">
      <w:pPr>
        <w:suppressAutoHyphens/>
        <w:autoSpaceDE w:val="0"/>
        <w:autoSpaceDN w:val="0"/>
        <w:adjustRightInd w:val="0"/>
        <w:rPr>
          <w:color w:val="000000"/>
        </w:rPr>
      </w:pPr>
      <w:r w:rsidRPr="00AB55D4">
        <w:rPr>
          <w:bCs/>
          <w:color w:val="000000"/>
        </w:rPr>
        <w:t>Nodarou, E.</w:t>
      </w:r>
      <w:r>
        <w:rPr>
          <w:bCs/>
          <w:color w:val="000000"/>
        </w:rPr>
        <w:t>,</w:t>
      </w:r>
      <w:r w:rsidRPr="00AB55D4">
        <w:rPr>
          <w:bCs/>
          <w:color w:val="000000"/>
        </w:rPr>
        <w:t xml:space="preserve"> 2015.</w:t>
      </w:r>
      <w:r w:rsidR="001F3E19">
        <w:rPr>
          <w:bCs/>
          <w:color w:val="000000"/>
        </w:rPr>
        <w:t xml:space="preserve"> </w:t>
      </w:r>
      <w:r w:rsidRPr="00AB55D4">
        <w:rPr>
          <w:bCs/>
          <w:color w:val="000000"/>
        </w:rPr>
        <w:t xml:space="preserve">Petrographic </w:t>
      </w:r>
      <w:r>
        <w:rPr>
          <w:bCs/>
          <w:color w:val="000000"/>
        </w:rPr>
        <w:t>a</w:t>
      </w:r>
      <w:r w:rsidRPr="00AB55D4">
        <w:rPr>
          <w:bCs/>
          <w:color w:val="000000"/>
        </w:rPr>
        <w:t xml:space="preserve">nalysis. </w:t>
      </w:r>
      <w:r>
        <w:rPr>
          <w:bCs/>
          <w:color w:val="000000"/>
        </w:rPr>
        <w:t xml:space="preserve">In: </w:t>
      </w:r>
      <w:r w:rsidRPr="00AB55D4">
        <w:rPr>
          <w:bCs/>
          <w:color w:val="000000"/>
        </w:rPr>
        <w:t>A. Karetsou and L. Girella</w:t>
      </w:r>
      <w:r>
        <w:rPr>
          <w:bCs/>
          <w:color w:val="000000"/>
        </w:rPr>
        <w:t>,</w:t>
      </w:r>
      <w:r w:rsidRPr="00AB55D4">
        <w:rPr>
          <w:bCs/>
          <w:color w:val="000000"/>
        </w:rPr>
        <w:t xml:space="preserve"> </w:t>
      </w:r>
      <w:r w:rsidRPr="00AB55D4">
        <w:rPr>
          <w:i/>
        </w:rPr>
        <w:t>Kalochorafitis: Two Chamber Tombs from the LM IIIA2-B Cemetery. A Contribution to Postpalatial Funerary Practice in the Mesara</w:t>
      </w:r>
      <w:r w:rsidRPr="00AB55D4">
        <w:t>.</w:t>
      </w:r>
      <w:r>
        <w:t xml:space="preserve"> </w:t>
      </w:r>
      <w:r w:rsidRPr="00AB55D4">
        <w:t xml:space="preserve">Studi di Archeologia Cretese 12: 343-363. Padova: Bottega di Erasmo </w:t>
      </w:r>
      <w:r w:rsidRPr="00AB55D4">
        <w:rPr>
          <w:color w:val="000000"/>
        </w:rPr>
        <w:t>A. Ausilio.</w:t>
      </w:r>
    </w:p>
    <w:p w14:paraId="08755734" w14:textId="77777777" w:rsidR="00303EFE" w:rsidRPr="00AB55D4" w:rsidRDefault="00303EFE" w:rsidP="00E858EF">
      <w:pPr>
        <w:suppressAutoHyphens/>
        <w:autoSpaceDE w:val="0"/>
        <w:autoSpaceDN w:val="0"/>
        <w:adjustRightInd w:val="0"/>
      </w:pPr>
    </w:p>
    <w:p w14:paraId="189F25E2" w14:textId="77777777" w:rsidR="00303EFE" w:rsidRDefault="00303EFE" w:rsidP="00E858EF">
      <w:pPr>
        <w:suppressAutoHyphens/>
      </w:pPr>
      <w:r w:rsidRPr="00AB55D4">
        <w:t>Orsi, P.</w:t>
      </w:r>
      <w:r>
        <w:t>,</w:t>
      </w:r>
      <w:r w:rsidRPr="00AB55D4">
        <w:t xml:space="preserve"> 1890. Urne funebri cretesi dipinte su vasi allo stile di Micene</w:t>
      </w:r>
      <w:r>
        <w:t>.</w:t>
      </w:r>
      <w:r w:rsidRPr="00AB55D4">
        <w:t xml:space="preserve"> </w:t>
      </w:r>
      <w:r w:rsidRPr="00AB55D4">
        <w:rPr>
          <w:i/>
        </w:rPr>
        <w:t xml:space="preserve">Monumenti Antichi </w:t>
      </w:r>
      <w:r w:rsidRPr="00BA2849">
        <w:t>I</w:t>
      </w:r>
      <w:r w:rsidRPr="006055A5">
        <w:t>:</w:t>
      </w:r>
      <w:r w:rsidRPr="00AB55D4">
        <w:rPr>
          <w:i/>
        </w:rPr>
        <w:t xml:space="preserve"> </w:t>
      </w:r>
      <w:r w:rsidRPr="00AB55D4">
        <w:t>201-230.</w:t>
      </w:r>
    </w:p>
    <w:p w14:paraId="2C7D0739" w14:textId="77777777" w:rsidR="00303EFE" w:rsidRDefault="00303EFE" w:rsidP="00E858EF">
      <w:pPr>
        <w:suppressAutoHyphens/>
      </w:pPr>
    </w:p>
    <w:p w14:paraId="538AF16B" w14:textId="77777777" w:rsidR="00303EFE" w:rsidRPr="00F516CE" w:rsidRDefault="00303EFE" w:rsidP="00E858EF">
      <w:pPr>
        <w:suppressAutoHyphens/>
        <w:autoSpaceDE w:val="0"/>
        <w:autoSpaceDN w:val="0"/>
        <w:adjustRightInd w:val="0"/>
        <w:rPr>
          <w:color w:val="000000"/>
        </w:rPr>
      </w:pPr>
      <w:r w:rsidRPr="00F516CE">
        <w:rPr>
          <w:color w:val="000000"/>
        </w:rPr>
        <w:t>Osborn</w:t>
      </w:r>
      <w:r>
        <w:rPr>
          <w:color w:val="000000"/>
        </w:rPr>
        <w:t>e, R. and Tanner, J., eds. 2007.</w:t>
      </w:r>
      <w:r w:rsidRPr="00F516CE">
        <w:rPr>
          <w:color w:val="000000"/>
        </w:rPr>
        <w:t xml:space="preserve"> </w:t>
      </w:r>
      <w:r w:rsidRPr="00A67D51">
        <w:rPr>
          <w:i/>
          <w:color w:val="000000"/>
        </w:rPr>
        <w:t>Art's Agency and Art History</w:t>
      </w:r>
      <w:r w:rsidRPr="00F516CE">
        <w:rPr>
          <w:color w:val="000000"/>
        </w:rPr>
        <w:t>. Oxford: Blackwell.</w:t>
      </w:r>
    </w:p>
    <w:p w14:paraId="145C7C4D" w14:textId="77777777" w:rsidR="00303EFE" w:rsidRPr="00AB55D4" w:rsidRDefault="00303EFE" w:rsidP="00E858EF">
      <w:pPr>
        <w:suppressAutoHyphens/>
      </w:pPr>
    </w:p>
    <w:p w14:paraId="3B195510" w14:textId="77777777" w:rsidR="00303EFE" w:rsidRDefault="00303EFE" w:rsidP="00E858EF">
      <w:pPr>
        <w:suppressAutoHyphens/>
      </w:pPr>
      <w:r w:rsidRPr="00AB55D4">
        <w:t>Papadopoulou</w:t>
      </w:r>
      <w:r>
        <w:t>,</w:t>
      </w:r>
      <w:r w:rsidRPr="00AB55D4">
        <w:t xml:space="preserve"> E.</w:t>
      </w:r>
      <w:r>
        <w:t>,</w:t>
      </w:r>
      <w:r w:rsidRPr="00AB55D4">
        <w:t xml:space="preserve"> 1996</w:t>
      </w:r>
      <w:r>
        <w:t>.</w:t>
      </w:r>
      <w:r w:rsidRPr="00AB55D4">
        <w:t xml:space="preserve"> Mυκηναϊκά έθιμα ταφής στο μινωικό πολιτισμό: ταφικές στήλες από το YM νεκροταφείο Aρμένων Pεθύμνης. </w:t>
      </w:r>
      <w:r>
        <w:t xml:space="preserve">In: </w:t>
      </w:r>
      <w:r w:rsidRPr="00AB55D4">
        <w:t>E. De Miro, L. Godart and A. Sacconi</w:t>
      </w:r>
      <w:r>
        <w:t>, eds.</w:t>
      </w:r>
      <w:r w:rsidRPr="00AB55D4">
        <w:t xml:space="preserve"> </w:t>
      </w:r>
      <w:r w:rsidRPr="00AB55D4">
        <w:rPr>
          <w:i/>
        </w:rPr>
        <w:t>Atti e memorie del secondo</w:t>
      </w:r>
      <w:r w:rsidRPr="00AF19B7">
        <w:rPr>
          <w:i/>
        </w:rPr>
        <w:t xml:space="preserve"> Congresso Internazionale di Micenologia</w:t>
      </w:r>
      <w:r>
        <w:t>.</w:t>
      </w:r>
      <w:r w:rsidRPr="00290D1B">
        <w:t xml:space="preserve"> Roma-Napoli, 14-20 ottobre 1991</w:t>
      </w:r>
      <w:r w:rsidRPr="001A0D2F">
        <w:t>:</w:t>
      </w:r>
      <w:r w:rsidRPr="00AB55D4">
        <w:t xml:space="preserve"> 1471-1478.</w:t>
      </w:r>
      <w:r>
        <w:t xml:space="preserve"> </w:t>
      </w:r>
      <w:r w:rsidRPr="00BA2849">
        <w:t>Incunabula Graeca 98</w:t>
      </w:r>
      <w:r>
        <w:t>.</w:t>
      </w:r>
      <w:r w:rsidRPr="00AB55D4">
        <w:t xml:space="preserve"> Roma: Gruppo Editoriale Internazionale.</w:t>
      </w:r>
    </w:p>
    <w:p w14:paraId="55E11E67" w14:textId="77777777" w:rsidR="00303EFE" w:rsidRPr="00AB55D4" w:rsidRDefault="00303EFE" w:rsidP="00E858EF">
      <w:pPr>
        <w:suppressAutoHyphens/>
      </w:pPr>
    </w:p>
    <w:p w14:paraId="38583C38" w14:textId="77777777" w:rsidR="00303EFE" w:rsidRDefault="00303EFE" w:rsidP="00E858EF">
      <w:pPr>
        <w:suppressAutoHyphens/>
        <w:autoSpaceDE w:val="0"/>
        <w:autoSpaceDN w:val="0"/>
        <w:adjustRightInd w:val="0"/>
      </w:pPr>
      <w:r w:rsidRPr="00AB55D4">
        <w:t>Papadopoulou, E.</w:t>
      </w:r>
      <w:r>
        <w:t>,</w:t>
      </w:r>
      <w:r w:rsidRPr="00AB55D4">
        <w:t xml:space="preserve"> 1997. Une tombe à tholos “ intra muros”: le cas du cimetière MR d’Arménoi</w:t>
      </w:r>
      <w:r>
        <w:t>.</w:t>
      </w:r>
      <w:r w:rsidRPr="00AB55D4">
        <w:t xml:space="preserve"> </w:t>
      </w:r>
      <w:r>
        <w:t xml:space="preserve">In: </w:t>
      </w:r>
      <w:r w:rsidRPr="00AB55D4">
        <w:t>J. Driessen and A. Farnoux</w:t>
      </w:r>
      <w:r>
        <w:t>, eds.</w:t>
      </w:r>
      <w:r w:rsidRPr="00AB55D4">
        <w:t xml:space="preserve"> </w:t>
      </w:r>
      <w:r w:rsidRPr="00AB55D4">
        <w:rPr>
          <w:i/>
        </w:rPr>
        <w:t xml:space="preserve">La Crète </w:t>
      </w:r>
      <w:r>
        <w:rPr>
          <w:i/>
        </w:rPr>
        <w:t>m</w:t>
      </w:r>
      <w:r w:rsidRPr="00AB55D4">
        <w:rPr>
          <w:i/>
        </w:rPr>
        <w:t>ycénienne</w:t>
      </w:r>
      <w:r>
        <w:rPr>
          <w:i/>
        </w:rPr>
        <w:t>.</w:t>
      </w:r>
      <w:r w:rsidRPr="00AB55D4">
        <w:rPr>
          <w:i/>
        </w:rPr>
        <w:t xml:space="preserve"> </w:t>
      </w:r>
      <w:r w:rsidRPr="00290D1B">
        <w:t>Actes de la table ronde internationale organisée par l'ecole française d'Athènes 26-28 mars 1991. Bulletin de Correspondance Hellénique</w:t>
      </w:r>
      <w:r>
        <w:t>,</w:t>
      </w:r>
      <w:r w:rsidRPr="00290D1B">
        <w:t xml:space="preserve"> </w:t>
      </w:r>
      <w:r w:rsidRPr="00AB55D4">
        <w:t>Supplement 30: 319-340. Athènes: École française d'Athènes.</w:t>
      </w:r>
    </w:p>
    <w:p w14:paraId="2C0B1247" w14:textId="77777777" w:rsidR="00303EFE" w:rsidRPr="00AB55D4" w:rsidRDefault="00303EFE" w:rsidP="00E858EF">
      <w:pPr>
        <w:suppressAutoHyphens/>
        <w:autoSpaceDE w:val="0"/>
        <w:autoSpaceDN w:val="0"/>
        <w:adjustRightInd w:val="0"/>
      </w:pPr>
    </w:p>
    <w:p w14:paraId="3FC8F0C7" w14:textId="79DE6EBE" w:rsidR="00303EFE" w:rsidRDefault="00303EFE" w:rsidP="00E858EF">
      <w:pPr>
        <w:tabs>
          <w:tab w:val="left" w:pos="0"/>
        </w:tabs>
        <w:suppressAutoHyphens/>
        <w:autoSpaceDE w:val="0"/>
        <w:autoSpaceDN w:val="0"/>
        <w:adjustRightInd w:val="0"/>
        <w:spacing w:after="40"/>
      </w:pPr>
      <w:r w:rsidRPr="00AB55D4">
        <w:t>Papadopoulou, E.</w:t>
      </w:r>
      <w:r>
        <w:t>,</w:t>
      </w:r>
      <w:r w:rsidRPr="00AB55D4">
        <w:t xml:space="preserve"> 2006. </w:t>
      </w:r>
      <w:r w:rsidRPr="00AB55D4">
        <w:rPr>
          <w:lang w:val="el-GR"/>
        </w:rPr>
        <w:t>Υστερομινωι</w:t>
      </w:r>
      <w:r w:rsidR="00F27811">
        <w:rPr>
          <w:lang w:val="el-GR"/>
        </w:rPr>
        <w:t>κός</w:t>
      </w:r>
      <w:r w:rsidRPr="00AB55D4">
        <w:rPr>
          <w:lang w:val="el-GR"/>
        </w:rPr>
        <w:t xml:space="preserve"> θολωτός τάφος στις Μαργαρίτες Μυλοποτάμου. </w:t>
      </w:r>
      <w:r>
        <w:t xml:space="preserve">In: </w:t>
      </w:r>
      <w:r w:rsidRPr="00AB55D4">
        <w:t>E. Gavrilaki and G. Z. Tzifopoulos</w:t>
      </w:r>
      <w:r>
        <w:t>, eds.</w:t>
      </w:r>
      <w:r w:rsidRPr="00AB55D4">
        <w:t xml:space="preserve"> </w:t>
      </w:r>
      <w:r w:rsidRPr="00AB55D4">
        <w:rPr>
          <w:i/>
        </w:rPr>
        <w:t>Ο Μυλοπόταμος από την αρχαιότητα ως σήμερα: περιβάλλον, αρχαιολογία, ιστορία, λαογραφία, κοινωνιολογία: πρακτικά διεθνούς συνεδρίου </w:t>
      </w:r>
      <w:r w:rsidRPr="00AB55D4">
        <w:rPr>
          <w:i/>
          <w:lang w:val="el-GR"/>
        </w:rPr>
        <w:t>ΙΙ</w:t>
      </w:r>
      <w:r w:rsidRPr="00AB55D4">
        <w:t>: 129-152. Rethymno: Ιστορική και Λαογραφική Εταιρεία Ρεθύμνου.</w:t>
      </w:r>
    </w:p>
    <w:p w14:paraId="1AC9EAF8" w14:textId="77777777" w:rsidR="00303EFE" w:rsidRPr="00AB55D4" w:rsidRDefault="00303EFE" w:rsidP="00E858EF">
      <w:pPr>
        <w:tabs>
          <w:tab w:val="left" w:pos="0"/>
        </w:tabs>
        <w:suppressAutoHyphens/>
        <w:autoSpaceDE w:val="0"/>
        <w:autoSpaceDN w:val="0"/>
        <w:adjustRightInd w:val="0"/>
        <w:spacing w:after="40"/>
      </w:pPr>
    </w:p>
    <w:p w14:paraId="4F47FC6B" w14:textId="77777777" w:rsidR="00303EFE" w:rsidRDefault="00303EFE" w:rsidP="00E858EF">
      <w:pPr>
        <w:suppressAutoHyphens/>
      </w:pPr>
      <w:r w:rsidRPr="00AB55D4">
        <w:t>Papadopoulou, E.</w:t>
      </w:r>
      <w:r>
        <w:t>,</w:t>
      </w:r>
      <w:r w:rsidRPr="00AB55D4">
        <w:t xml:space="preserve"> 2011. </w:t>
      </w:r>
      <w:r w:rsidRPr="00AB55D4">
        <w:rPr>
          <w:lang w:val="el-GR"/>
        </w:rPr>
        <w:t xml:space="preserve">Νέα δεδομένα απο το υστερομινωικό νεκροταφέιο στο Μαρουλά Ρεθύμνης. </w:t>
      </w:r>
      <w:r>
        <w:t xml:space="preserve">In: </w:t>
      </w:r>
      <w:r w:rsidRPr="00AB55D4">
        <w:t>M. Andreadaki-Vlazaki and E. Papadopoulou</w:t>
      </w:r>
      <w:r>
        <w:t>, eds.</w:t>
      </w:r>
      <w:r w:rsidRPr="00AB55D4">
        <w:t xml:space="preserve"> </w:t>
      </w:r>
      <w:r w:rsidRPr="00AB55D4">
        <w:rPr>
          <w:i/>
        </w:rPr>
        <w:t>Πεπραγμένα Ι’ Διεθνούς Κρητολογικού Συνεδρίου</w:t>
      </w:r>
      <w:r>
        <w:t>.</w:t>
      </w:r>
      <w:r w:rsidRPr="00AB55D4">
        <w:rPr>
          <w:i/>
        </w:rPr>
        <w:t xml:space="preserve"> </w:t>
      </w:r>
      <w:r w:rsidRPr="00290D1B">
        <w:rPr>
          <w:lang w:val="el-GR"/>
        </w:rPr>
        <w:t>Χανιά, 1-8 Οκτωβρίου 2006</w:t>
      </w:r>
      <w:r w:rsidRPr="00290D1B">
        <w:t>, Α2</w:t>
      </w:r>
      <w:r w:rsidRPr="001A0D2F">
        <w:t xml:space="preserve">: </w:t>
      </w:r>
      <w:r w:rsidRPr="00AF19B7">
        <w:t>609-633</w:t>
      </w:r>
      <w:r w:rsidRPr="00AB55D4">
        <w:t>. Chania: Philologikos Syllogos o Chrysostomos.</w:t>
      </w:r>
    </w:p>
    <w:p w14:paraId="78213C8C" w14:textId="77777777" w:rsidR="007F5349" w:rsidRDefault="007F5349" w:rsidP="00E858EF">
      <w:pPr>
        <w:suppressAutoHyphens/>
      </w:pPr>
    </w:p>
    <w:p w14:paraId="17AB63EC" w14:textId="1AC75533" w:rsidR="00303EFE" w:rsidRPr="00400C64" w:rsidRDefault="007F5349" w:rsidP="00E858EF">
      <w:pPr>
        <w:suppressAutoHyphens/>
        <w:rPr>
          <w:lang w:val="it-IT"/>
        </w:rPr>
      </w:pPr>
      <w:r w:rsidRPr="00AB55D4">
        <w:t>Papadopoulou, E.</w:t>
      </w:r>
      <w:r>
        <w:t>,</w:t>
      </w:r>
      <w:r w:rsidRPr="00AB55D4">
        <w:t xml:space="preserve"> 201</w:t>
      </w:r>
      <w:r>
        <w:t>5</w:t>
      </w:r>
      <w:r w:rsidRPr="00400C64">
        <w:rPr>
          <w:i/>
        </w:rPr>
        <w:t>.</w:t>
      </w:r>
      <w:r w:rsidRPr="00400C64">
        <w:rPr>
          <w:i/>
          <w:lang w:val="el-GR"/>
        </w:rPr>
        <w:t xml:space="preserve"> Ταφικές Πρακτικές κατά την Υστερομινωική ΙΙΙ περίοδο στη Δθτική Κρήτη</w:t>
      </w:r>
      <w:r w:rsidR="005750AF" w:rsidRPr="00400C64">
        <w:rPr>
          <w:i/>
          <w:lang w:val="el-GR"/>
        </w:rPr>
        <w:t>:</w:t>
      </w:r>
      <w:r w:rsidRPr="00400C64">
        <w:rPr>
          <w:i/>
          <w:lang w:val="el-GR"/>
        </w:rPr>
        <w:t xml:space="preserve"> τα </w:t>
      </w:r>
      <w:r w:rsidR="0073048A" w:rsidRPr="00400C64">
        <w:rPr>
          <w:i/>
          <w:lang w:val="el-GR"/>
        </w:rPr>
        <w:t>παραδείματα των νεκροταφείων στους Αρμένους και στο Μαρουλά Ρεθύ</w:t>
      </w:r>
      <w:r w:rsidR="005750AF" w:rsidRPr="00400C64">
        <w:rPr>
          <w:i/>
          <w:lang w:val="el-GR"/>
        </w:rPr>
        <w:t>μνου.</w:t>
      </w:r>
      <w:r w:rsidR="005750AF">
        <w:rPr>
          <w:lang w:val="el-GR"/>
        </w:rPr>
        <w:t xml:space="preserve"> PhD thesis, University of Ioannina. http://thesis.ekt.gr/thesisBookReader/id/35316#page/1/mode/2up</w:t>
      </w:r>
    </w:p>
    <w:p w14:paraId="2E1CCE8E" w14:textId="77777777" w:rsidR="007F5349" w:rsidRPr="00AB55D4" w:rsidRDefault="007F5349" w:rsidP="00E858EF">
      <w:pPr>
        <w:suppressAutoHyphens/>
      </w:pPr>
    </w:p>
    <w:p w14:paraId="2525206A" w14:textId="77777777" w:rsidR="00303EFE" w:rsidRDefault="00303EFE" w:rsidP="00E858EF">
      <w:pPr>
        <w:suppressAutoHyphens/>
        <w:autoSpaceDE w:val="0"/>
        <w:autoSpaceDN w:val="0"/>
        <w:adjustRightInd w:val="0"/>
      </w:pPr>
      <w:r w:rsidRPr="00AB55D4">
        <w:t>Papadopoulou, E.</w:t>
      </w:r>
      <w:r>
        <w:t>,</w:t>
      </w:r>
      <w:r w:rsidRPr="00AB55D4">
        <w:t xml:space="preserve"> 2017. LM III Mortuary Practices in west Crete: the </w:t>
      </w:r>
      <w:r>
        <w:t>c</w:t>
      </w:r>
      <w:r w:rsidRPr="00AB55D4">
        <w:t xml:space="preserve">emeteries of Maroulas and Armenoi near Rethymnon. </w:t>
      </w:r>
      <w:r w:rsidRPr="00AB55D4">
        <w:rPr>
          <w:i/>
        </w:rPr>
        <w:t>Studi Micenei Egeo Anatolici, Nuova Serie</w:t>
      </w:r>
      <w:r w:rsidRPr="00AB55D4">
        <w:t xml:space="preserve"> 3: 131-157.</w:t>
      </w:r>
    </w:p>
    <w:p w14:paraId="1C594785" w14:textId="77777777" w:rsidR="00303EFE" w:rsidRDefault="00303EFE" w:rsidP="00E858EF">
      <w:pPr>
        <w:suppressAutoHyphens/>
        <w:autoSpaceDE w:val="0"/>
        <w:autoSpaceDN w:val="0"/>
        <w:adjustRightInd w:val="0"/>
      </w:pPr>
    </w:p>
    <w:p w14:paraId="281977F5" w14:textId="654B7632" w:rsidR="00303EFE" w:rsidRDefault="00303EFE" w:rsidP="00E858EF">
      <w:pPr>
        <w:tabs>
          <w:tab w:val="left" w:pos="0"/>
        </w:tabs>
        <w:suppressAutoHyphens/>
        <w:autoSpaceDE w:val="0"/>
        <w:autoSpaceDN w:val="0"/>
        <w:adjustRightInd w:val="0"/>
        <w:spacing w:after="40"/>
      </w:pPr>
      <w:r w:rsidRPr="00AB55D4">
        <w:t>Papapostol</w:t>
      </w:r>
      <w:r w:rsidR="008C5AC8">
        <w:rPr>
          <w:lang w:val="it-IT"/>
        </w:rPr>
        <w:t>ou</w:t>
      </w:r>
      <w:r w:rsidRPr="00AB55D4">
        <w:t>, I. A.</w:t>
      </w:r>
      <w:r>
        <w:t>,</w:t>
      </w:r>
      <w:r w:rsidRPr="00AB55D4">
        <w:t xml:space="preserve"> 1974. </w:t>
      </w:r>
      <w:r w:rsidRPr="00AB55D4">
        <w:rPr>
          <w:lang w:val="el-GR"/>
        </w:rPr>
        <w:t>Περισυλλογή αρχαίων εις Δυτική Κρήτην.</w:t>
      </w:r>
      <w:r>
        <w:rPr>
          <w:lang w:val="el-GR"/>
        </w:rPr>
        <w:t xml:space="preserve"> </w:t>
      </w:r>
      <w:r w:rsidRPr="00BA2849">
        <w:rPr>
          <w:i/>
          <w:lang w:val="el-GR"/>
        </w:rPr>
        <w:t>Prakt</w:t>
      </w:r>
      <w:r w:rsidRPr="00AB55D4">
        <w:t>: 247-256.</w:t>
      </w:r>
    </w:p>
    <w:p w14:paraId="741BC625" w14:textId="77777777" w:rsidR="00303EFE" w:rsidRPr="00AB55D4" w:rsidRDefault="00303EFE" w:rsidP="00E858EF">
      <w:pPr>
        <w:suppressAutoHyphens/>
        <w:autoSpaceDE w:val="0"/>
        <w:autoSpaceDN w:val="0"/>
        <w:adjustRightInd w:val="0"/>
      </w:pPr>
    </w:p>
    <w:p w14:paraId="688D78F8" w14:textId="1B0240CC"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B55D4">
        <w:rPr>
          <w:color w:val="000000"/>
        </w:rPr>
        <w:t>Papapostol</w:t>
      </w:r>
      <w:r w:rsidR="008C5AC8">
        <w:rPr>
          <w:color w:val="000000"/>
        </w:rPr>
        <w:t>ou</w:t>
      </w:r>
      <w:r w:rsidRPr="00AB55D4">
        <w:rPr>
          <w:color w:val="000000"/>
        </w:rPr>
        <w:t>, I. A.</w:t>
      </w:r>
      <w:r>
        <w:rPr>
          <w:color w:val="000000"/>
        </w:rPr>
        <w:t>,</w:t>
      </w:r>
      <w:r w:rsidRPr="00AB55D4">
        <w:rPr>
          <w:color w:val="000000"/>
        </w:rPr>
        <w:t xml:space="preserve"> 1975.</w:t>
      </w:r>
      <w:r w:rsidRPr="00AB55D4">
        <w:rPr>
          <w:i/>
          <w:lang w:val="el-GR"/>
        </w:rPr>
        <w:t xml:space="preserve"> </w:t>
      </w:r>
      <w:r w:rsidRPr="00AB55D4">
        <w:rPr>
          <w:lang w:val="el-GR"/>
        </w:rPr>
        <w:t>Περισυλλογή αρχαιών στη Δυτική Κρήτη</w:t>
      </w:r>
      <w:r w:rsidRPr="00AB55D4">
        <w:rPr>
          <w:i/>
          <w:lang w:val="el-GR"/>
        </w:rPr>
        <w:t>.</w:t>
      </w:r>
      <w:r w:rsidR="008C5AC8">
        <w:rPr>
          <w:i/>
          <w:lang w:val="el-GR"/>
        </w:rPr>
        <w:t xml:space="preserve"> </w:t>
      </w:r>
      <w:r>
        <w:rPr>
          <w:i/>
          <w:lang w:val="el-GR"/>
        </w:rPr>
        <w:t>Prakt</w:t>
      </w:r>
      <w:r w:rsidRPr="006055A5">
        <w:rPr>
          <w:lang w:val="el-GR"/>
        </w:rPr>
        <w:t>:</w:t>
      </w:r>
      <w:r w:rsidRPr="00AB55D4">
        <w:rPr>
          <w:color w:val="000000"/>
        </w:rPr>
        <w:t xml:space="preserve"> 515.</w:t>
      </w:r>
    </w:p>
    <w:p w14:paraId="1666A1EE" w14:textId="77777777" w:rsidR="00303EFE" w:rsidRPr="00AB55D4" w:rsidRDefault="00303EFE" w:rsidP="00E858EF">
      <w:pPr>
        <w:tabs>
          <w:tab w:val="left" w:pos="0"/>
        </w:tabs>
        <w:suppressAutoHyphens/>
        <w:autoSpaceDE w:val="0"/>
        <w:autoSpaceDN w:val="0"/>
        <w:adjustRightInd w:val="0"/>
        <w:spacing w:after="40"/>
      </w:pPr>
    </w:p>
    <w:p w14:paraId="7A5EE726" w14:textId="77777777" w:rsidR="00303EFE" w:rsidRDefault="00303EFE" w:rsidP="00E858EF">
      <w:pPr>
        <w:suppressAutoHyphens/>
      </w:pPr>
      <w:r w:rsidRPr="00AB55D4">
        <w:t>Paribeni, R.</w:t>
      </w:r>
      <w:r>
        <w:t>,</w:t>
      </w:r>
      <w:r w:rsidRPr="00AB55D4">
        <w:t xml:space="preserve"> 1904. Ricerche nel sepolcreto di Haghia Triada presso Phaestos</w:t>
      </w:r>
      <w:r>
        <w:t>.</w:t>
      </w:r>
      <w:r w:rsidRPr="00AB55D4">
        <w:t xml:space="preserve"> </w:t>
      </w:r>
      <w:r w:rsidRPr="00AB55D4">
        <w:rPr>
          <w:i/>
        </w:rPr>
        <w:t xml:space="preserve">Monumenti Antichi </w:t>
      </w:r>
      <w:r w:rsidRPr="00BA2849">
        <w:t>XVI</w:t>
      </w:r>
      <w:r w:rsidRPr="00AB55D4">
        <w:t>: 677-756.</w:t>
      </w:r>
    </w:p>
    <w:p w14:paraId="25D685C8" w14:textId="77777777" w:rsidR="00303EFE" w:rsidRPr="00AB55D4" w:rsidRDefault="00303EFE" w:rsidP="00E858EF">
      <w:pPr>
        <w:suppressAutoHyphens/>
      </w:pPr>
    </w:p>
    <w:p w14:paraId="31D70F91" w14:textId="77777777" w:rsidR="00303EFE" w:rsidRDefault="00303EFE" w:rsidP="00E858EF">
      <w:pPr>
        <w:suppressAutoHyphens/>
      </w:pPr>
      <w:r w:rsidRPr="00AB55D4">
        <w:t>Parker Pearson, M.</w:t>
      </w:r>
      <w:r>
        <w:t>,</w:t>
      </w:r>
      <w:r w:rsidRPr="00AB55D4">
        <w:t xml:space="preserve"> 1982. Mortuary practices, society and ideology: an ethnoarchaeological study. </w:t>
      </w:r>
      <w:r>
        <w:t xml:space="preserve">In: </w:t>
      </w:r>
      <w:r w:rsidRPr="00AB55D4">
        <w:t>I. Hodder</w:t>
      </w:r>
      <w:r>
        <w:t xml:space="preserve">, ed. </w:t>
      </w:r>
      <w:r w:rsidRPr="00AB55D4">
        <w:rPr>
          <w:i/>
        </w:rPr>
        <w:t>Symbolic and Structural Archaeology</w:t>
      </w:r>
      <w:r w:rsidRPr="00AB55D4">
        <w:t xml:space="preserve">: 99-113. Cambridge: Cambridge University Press. </w:t>
      </w:r>
    </w:p>
    <w:p w14:paraId="227CF336" w14:textId="77777777" w:rsidR="00303EFE" w:rsidRPr="00AB55D4" w:rsidRDefault="00303EFE" w:rsidP="00E858EF">
      <w:pPr>
        <w:suppressAutoHyphens/>
      </w:pPr>
    </w:p>
    <w:p w14:paraId="2E8B27AC" w14:textId="77777777" w:rsidR="00303EFE" w:rsidRDefault="00303EFE" w:rsidP="00E858EF">
      <w:pPr>
        <w:suppressAutoHyphens/>
      </w:pPr>
      <w:r w:rsidRPr="00AB55D4">
        <w:t>Parker Pearson, M.</w:t>
      </w:r>
      <w:r>
        <w:t>,</w:t>
      </w:r>
      <w:r w:rsidRPr="00AB55D4">
        <w:t xml:space="preserve"> 1993. The powerful dead: archaeological relationships between the living and the dead. </w:t>
      </w:r>
      <w:r w:rsidRPr="00AB55D4">
        <w:rPr>
          <w:i/>
        </w:rPr>
        <w:t>Cambridge Archaeological Journal</w:t>
      </w:r>
      <w:r w:rsidRPr="00AB55D4">
        <w:t xml:space="preserve"> 3 </w:t>
      </w:r>
      <w:r>
        <w:t>(</w:t>
      </w:r>
      <w:r w:rsidRPr="00AB55D4">
        <w:t>2</w:t>
      </w:r>
      <w:r>
        <w:t>)</w:t>
      </w:r>
      <w:r w:rsidRPr="00AB55D4">
        <w:t xml:space="preserve">: 203-229. </w:t>
      </w:r>
    </w:p>
    <w:p w14:paraId="2B7DCF25" w14:textId="77777777" w:rsidR="00303EFE" w:rsidRPr="00AB55D4" w:rsidRDefault="00303EFE" w:rsidP="00E858EF">
      <w:pPr>
        <w:suppressAutoHyphens/>
      </w:pPr>
    </w:p>
    <w:p w14:paraId="14809A3B" w14:textId="77777777" w:rsidR="00303EFE" w:rsidRDefault="00303EFE" w:rsidP="00E858EF">
      <w:pPr>
        <w:suppressAutoHyphens/>
      </w:pPr>
      <w:r w:rsidRPr="00AB55D4">
        <w:t>Parker</w:t>
      </w:r>
      <w:r>
        <w:t xml:space="preserve"> </w:t>
      </w:r>
      <w:r w:rsidRPr="00AB55D4">
        <w:t>Pearson, M.</w:t>
      </w:r>
      <w:r>
        <w:t>,</w:t>
      </w:r>
      <w:r w:rsidRPr="00AB55D4">
        <w:t xml:space="preserve"> 1998. Performance as valuation: Early Bronze Age burials as theatrical complexity. </w:t>
      </w:r>
      <w:r>
        <w:t xml:space="preserve">In: </w:t>
      </w:r>
      <w:r w:rsidRPr="00AB55D4">
        <w:t>D. Baley and S. Mills</w:t>
      </w:r>
      <w:r>
        <w:t>, eds.</w:t>
      </w:r>
      <w:r w:rsidRPr="00AB55D4">
        <w:t xml:space="preserve"> </w:t>
      </w:r>
      <w:r w:rsidRPr="00AB55D4">
        <w:rPr>
          <w:i/>
        </w:rPr>
        <w:t>Archaeology of Value: Essays on Prestige and Processes of Valuation</w:t>
      </w:r>
      <w:r w:rsidRPr="00AB55D4">
        <w:t xml:space="preserve">: 32-41. BAR International Series 730. Oxford: British Archaeological Reports. </w:t>
      </w:r>
    </w:p>
    <w:p w14:paraId="24A99078" w14:textId="77777777" w:rsidR="00303EFE" w:rsidRPr="00AB55D4" w:rsidRDefault="00303EFE" w:rsidP="00E858EF">
      <w:pPr>
        <w:suppressAutoHyphens/>
      </w:pPr>
    </w:p>
    <w:p w14:paraId="18180691" w14:textId="77777777" w:rsidR="00303EFE" w:rsidRDefault="00303EFE" w:rsidP="00E858EF">
      <w:pPr>
        <w:suppressAutoHyphens/>
      </w:pPr>
      <w:r w:rsidRPr="00AB55D4">
        <w:t>Parker Pearson, M.</w:t>
      </w:r>
      <w:r>
        <w:t>,</w:t>
      </w:r>
      <w:r w:rsidRPr="00AB55D4">
        <w:t xml:space="preserve"> 1999. </w:t>
      </w:r>
      <w:r w:rsidRPr="00AB55D4">
        <w:rPr>
          <w:i/>
        </w:rPr>
        <w:t>The Archaeology of Death and Burial</w:t>
      </w:r>
      <w:r w:rsidRPr="00AB55D4">
        <w:t>. Stroud: Sutton.</w:t>
      </w:r>
    </w:p>
    <w:p w14:paraId="6CC09A47" w14:textId="77777777" w:rsidR="00303EFE" w:rsidRPr="0014173B" w:rsidRDefault="00303EFE" w:rsidP="0014173B"/>
    <w:p w14:paraId="33EB7913" w14:textId="77777777"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rPr>
      </w:pPr>
      <w:r w:rsidRPr="001A0D2F">
        <w:rPr>
          <w:color w:val="000000"/>
        </w:rPr>
        <w:t xml:space="preserve">Pendlebury </w:t>
      </w:r>
      <w:r w:rsidRPr="001A0D2F">
        <w:rPr>
          <w:i/>
          <w:iCs/>
          <w:color w:val="000000"/>
        </w:rPr>
        <w:t>et al.</w:t>
      </w:r>
      <w:r w:rsidRPr="001A0D2F">
        <w:rPr>
          <w:iCs/>
          <w:color w:val="000000"/>
        </w:rPr>
        <w:t>,</w:t>
      </w:r>
      <w:r w:rsidRPr="001A0D2F">
        <w:rPr>
          <w:color w:val="000000"/>
        </w:rPr>
        <w:t xml:space="preserve"> 1937-</w:t>
      </w:r>
      <w:r w:rsidRPr="00AB55D4">
        <w:rPr>
          <w:color w:val="000000"/>
        </w:rPr>
        <w:t xml:space="preserve">1938: Excavations in the plain of Lasithi III. Karphi: IV. The Tombs. </w:t>
      </w:r>
      <w:r>
        <w:rPr>
          <w:i/>
          <w:lang w:val="en-US"/>
        </w:rPr>
        <w:t>BSA</w:t>
      </w:r>
      <w:r w:rsidRPr="00AB55D4">
        <w:t xml:space="preserve"> 38: </w:t>
      </w:r>
      <w:r w:rsidRPr="00AB55D4">
        <w:rPr>
          <w:color w:val="000000"/>
        </w:rPr>
        <w:t>100-112</w:t>
      </w:r>
      <w:r>
        <w:rPr>
          <w:color w:val="000000"/>
        </w:rPr>
        <w:t>.</w:t>
      </w:r>
      <w:r w:rsidRPr="00AB55D4">
        <w:rPr>
          <w:color w:val="000000"/>
        </w:rPr>
        <w:t xml:space="preserve"> </w:t>
      </w:r>
    </w:p>
    <w:p w14:paraId="6B909B4D" w14:textId="77777777" w:rsidR="00303EFE" w:rsidRPr="00AB55D4"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color w:val="000000"/>
        </w:rPr>
      </w:pPr>
    </w:p>
    <w:p w14:paraId="25A2CB2A" w14:textId="77777777" w:rsidR="00303EFE" w:rsidRDefault="00303EFE" w:rsidP="00E858EF">
      <w:pPr>
        <w:suppressAutoHyphens/>
      </w:pPr>
      <w:r w:rsidRPr="00AB55D4">
        <w:t>Pendlebury, J.</w:t>
      </w:r>
      <w:r>
        <w:t xml:space="preserve"> </w:t>
      </w:r>
      <w:r w:rsidRPr="00AB55D4">
        <w:t>D.</w:t>
      </w:r>
      <w:r>
        <w:t>,</w:t>
      </w:r>
      <w:r w:rsidRPr="00AB55D4">
        <w:t xml:space="preserve"> 1939. </w:t>
      </w:r>
      <w:r w:rsidRPr="00AB55D4">
        <w:rPr>
          <w:i/>
        </w:rPr>
        <w:t>Archaeology of Crete: An Introduction</w:t>
      </w:r>
      <w:r w:rsidRPr="00AB55D4">
        <w:t>. London: Methuen.</w:t>
      </w:r>
    </w:p>
    <w:p w14:paraId="7158DD33" w14:textId="77777777" w:rsidR="00303EFE" w:rsidRPr="00AB55D4" w:rsidRDefault="00303EFE" w:rsidP="00E858EF">
      <w:pPr>
        <w:suppressAutoHyphens/>
      </w:pPr>
    </w:p>
    <w:p w14:paraId="792AF0A6" w14:textId="77777777" w:rsidR="00303EFE" w:rsidRDefault="00303EFE" w:rsidP="00E858EF">
      <w:pPr>
        <w:suppressAutoHyphens/>
      </w:pPr>
      <w:r w:rsidRPr="00AB55D4">
        <w:t xml:space="preserve">Pendlebury, J. D., Eccles, E. and Money-Coutts, M. 1935. Journeys in Crete, 1934. </w:t>
      </w:r>
      <w:r>
        <w:rPr>
          <w:i/>
          <w:lang w:val="en-US"/>
        </w:rPr>
        <w:t>BSA</w:t>
      </w:r>
      <w:r w:rsidRPr="00AB55D4">
        <w:t xml:space="preserve"> 32-33: 80-100.</w:t>
      </w:r>
    </w:p>
    <w:p w14:paraId="7F5F0BB5" w14:textId="77777777" w:rsidR="00303EFE" w:rsidRPr="00AB55D4" w:rsidRDefault="00303EFE" w:rsidP="00E858EF">
      <w:pPr>
        <w:suppressAutoHyphens/>
      </w:pPr>
    </w:p>
    <w:p w14:paraId="7C51253F"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lang w:eastAsia="en-US"/>
        </w:rPr>
      </w:pPr>
      <w:r w:rsidRPr="00AB55D4">
        <w:t>Perna</w:t>
      </w:r>
      <w:r>
        <w:t>,</w:t>
      </w:r>
      <w:r w:rsidRPr="00AB55D4">
        <w:t xml:space="preserve"> K.</w:t>
      </w:r>
      <w:r>
        <w:t>,</w:t>
      </w:r>
      <w:r w:rsidRPr="00AB55D4">
        <w:t xml:space="preserve"> 2001. </w:t>
      </w:r>
      <w:r w:rsidRPr="00AB55D4">
        <w:rPr>
          <w:lang w:eastAsia="en-US"/>
        </w:rPr>
        <w:t>Rituali e rappresentazione del potere nella Creta del TM IIIA2/B</w:t>
      </w:r>
      <w:r>
        <w:rPr>
          <w:lang w:eastAsia="en-US"/>
        </w:rPr>
        <w:t xml:space="preserve">. </w:t>
      </w:r>
      <w:r w:rsidRPr="00AB55D4">
        <w:rPr>
          <w:i/>
          <w:lang w:eastAsia="en-US"/>
        </w:rPr>
        <w:t xml:space="preserve">Creta Antica </w:t>
      </w:r>
      <w:r w:rsidRPr="00BA2849">
        <w:rPr>
          <w:lang w:eastAsia="en-US"/>
        </w:rPr>
        <w:t>2</w:t>
      </w:r>
      <w:r w:rsidRPr="00BF34CE">
        <w:rPr>
          <w:lang w:eastAsia="en-US"/>
        </w:rPr>
        <w:t>:</w:t>
      </w:r>
      <w:r w:rsidRPr="00AB55D4">
        <w:rPr>
          <w:lang w:eastAsia="en-US"/>
        </w:rPr>
        <w:t xml:space="preserve"> 125-138.</w:t>
      </w:r>
    </w:p>
    <w:p w14:paraId="500EE3E3"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lang w:eastAsia="en-US"/>
        </w:rPr>
      </w:pPr>
    </w:p>
    <w:p w14:paraId="66495AFF" w14:textId="77777777" w:rsidR="00303EFE" w:rsidRDefault="00303EFE" w:rsidP="00E858EF">
      <w:pPr>
        <w:suppressAutoHyphens/>
        <w:autoSpaceDE w:val="0"/>
        <w:autoSpaceDN w:val="0"/>
        <w:adjustRightInd w:val="0"/>
      </w:pPr>
      <w:r w:rsidRPr="00AB55D4">
        <w:t>Perna, K.</w:t>
      </w:r>
      <w:r>
        <w:t>,</w:t>
      </w:r>
      <w:r w:rsidRPr="00AB55D4">
        <w:t xml:space="preserve"> 2011</w:t>
      </w:r>
      <w:r>
        <w:t>.</w:t>
      </w:r>
      <w:r w:rsidRPr="00AB55D4">
        <w:t xml:space="preserve"> The LM IIIC </w:t>
      </w:r>
      <w:r>
        <w:t>b</w:t>
      </w:r>
      <w:r w:rsidRPr="00AB55D4">
        <w:t xml:space="preserve">urial </w:t>
      </w:r>
      <w:r>
        <w:t>c</w:t>
      </w:r>
      <w:r w:rsidRPr="00AB55D4">
        <w:t xml:space="preserve">ulture in </w:t>
      </w:r>
      <w:r>
        <w:t>c</w:t>
      </w:r>
      <w:r w:rsidRPr="00AB55D4">
        <w:t xml:space="preserve">rete: A </w:t>
      </w:r>
      <w:r>
        <w:t>s</w:t>
      </w:r>
      <w:r w:rsidRPr="00AB55D4">
        <w:t>ocio-</w:t>
      </w:r>
      <w:r>
        <w:t>e</w:t>
      </w:r>
      <w:r w:rsidRPr="00AB55D4">
        <w:t xml:space="preserve">conomic </w:t>
      </w:r>
      <w:r>
        <w:t>p</w:t>
      </w:r>
      <w:r w:rsidRPr="00AB55D4">
        <w:t xml:space="preserve">erspective. </w:t>
      </w:r>
      <w:r>
        <w:t xml:space="preserve">In: </w:t>
      </w:r>
      <w:r w:rsidRPr="00AB55D4">
        <w:t>J. Murphy</w:t>
      </w:r>
      <w:r>
        <w:t>, ed.</w:t>
      </w:r>
      <w:r w:rsidRPr="00AB55D4">
        <w:t xml:space="preserve"> </w:t>
      </w:r>
      <w:r w:rsidRPr="00A67D51">
        <w:rPr>
          <w:i/>
        </w:rPr>
        <w:t xml:space="preserve">Prehistoric Crete: </w:t>
      </w:r>
      <w:r>
        <w:rPr>
          <w:i/>
        </w:rPr>
        <w:t>R</w:t>
      </w:r>
      <w:r w:rsidRPr="00A67D51">
        <w:rPr>
          <w:i/>
        </w:rPr>
        <w:t xml:space="preserve">egional and </w:t>
      </w:r>
      <w:r>
        <w:rPr>
          <w:i/>
        </w:rPr>
        <w:t>D</w:t>
      </w:r>
      <w:r w:rsidRPr="00A67D51">
        <w:rPr>
          <w:i/>
        </w:rPr>
        <w:t xml:space="preserve">iachronic </w:t>
      </w:r>
      <w:r>
        <w:rPr>
          <w:i/>
        </w:rPr>
        <w:t>S</w:t>
      </w:r>
      <w:r w:rsidRPr="00A67D51">
        <w:rPr>
          <w:i/>
        </w:rPr>
        <w:t xml:space="preserve">tudies on </w:t>
      </w:r>
      <w:r>
        <w:rPr>
          <w:i/>
        </w:rPr>
        <w:t>M</w:t>
      </w:r>
      <w:r w:rsidRPr="00A67D51">
        <w:rPr>
          <w:i/>
        </w:rPr>
        <w:t xml:space="preserve">ortuary </w:t>
      </w:r>
      <w:r>
        <w:rPr>
          <w:i/>
        </w:rPr>
        <w:t>S</w:t>
      </w:r>
      <w:r w:rsidRPr="00A67D51">
        <w:rPr>
          <w:i/>
        </w:rPr>
        <w:t>ystems</w:t>
      </w:r>
      <w:r w:rsidRPr="00AB55D4">
        <w:t>: 119-164. Philadelphia (Pennsylvania): INSTAP Academic Press.</w:t>
      </w:r>
    </w:p>
    <w:p w14:paraId="2734D92E" w14:textId="77777777" w:rsidR="00303EFE" w:rsidRPr="00AB55D4" w:rsidRDefault="00303EFE" w:rsidP="00E858EF">
      <w:pPr>
        <w:suppressAutoHyphens/>
        <w:autoSpaceDE w:val="0"/>
        <w:autoSpaceDN w:val="0"/>
        <w:adjustRightInd w:val="0"/>
      </w:pPr>
    </w:p>
    <w:p w14:paraId="317C8CCF"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B55D4">
        <w:rPr>
          <w:color w:val="000000"/>
        </w:rPr>
        <w:t>Pernier, L.</w:t>
      </w:r>
      <w:r>
        <w:rPr>
          <w:color w:val="000000"/>
        </w:rPr>
        <w:t>,</w:t>
      </w:r>
      <w:r w:rsidRPr="00AB55D4">
        <w:rPr>
          <w:color w:val="000000"/>
        </w:rPr>
        <w:t xml:space="preserve"> 1907. Scavi e scoperte. Periodo preellenico. </w:t>
      </w:r>
      <w:r w:rsidRPr="00AB55D4">
        <w:rPr>
          <w:i/>
          <w:color w:val="000000"/>
        </w:rPr>
        <w:t>Ausonia</w:t>
      </w:r>
      <w:r w:rsidRPr="00BA2849">
        <w:rPr>
          <w:color w:val="000000"/>
        </w:rPr>
        <w:t xml:space="preserve"> 2</w:t>
      </w:r>
      <w:r w:rsidRPr="006055A5">
        <w:rPr>
          <w:color w:val="000000"/>
        </w:rPr>
        <w:t>:</w:t>
      </w:r>
      <w:r w:rsidRPr="00AB55D4">
        <w:rPr>
          <w:i/>
          <w:color w:val="000000"/>
        </w:rPr>
        <w:t xml:space="preserve"> </w:t>
      </w:r>
      <w:r w:rsidRPr="00AB55D4">
        <w:rPr>
          <w:color w:val="000000"/>
        </w:rPr>
        <w:t>114-128.</w:t>
      </w:r>
    </w:p>
    <w:p w14:paraId="1232A589"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3C05456C" w14:textId="77777777" w:rsidR="00303EFE" w:rsidRDefault="00303EFE" w:rsidP="00E858EF">
      <w:pPr>
        <w:suppressAutoHyphens/>
        <w:spacing w:after="40"/>
      </w:pPr>
      <w:r w:rsidRPr="00AB55D4">
        <w:t>Persson, A.</w:t>
      </w:r>
      <w:r>
        <w:t>,</w:t>
      </w:r>
      <w:r w:rsidRPr="00AB55D4">
        <w:t xml:space="preserve"> 1942. </w:t>
      </w:r>
      <w:r w:rsidRPr="00AB55D4">
        <w:rPr>
          <w:i/>
        </w:rPr>
        <w:t>New tombs at Dendra near Midea</w:t>
      </w:r>
      <w:r w:rsidRPr="00AB55D4">
        <w:t>. Lund: C.W.</w:t>
      </w:r>
      <w:r>
        <w:t xml:space="preserve"> </w:t>
      </w:r>
      <w:r w:rsidRPr="00AB55D4">
        <w:t>R. Gleerup.</w:t>
      </w:r>
    </w:p>
    <w:p w14:paraId="3145131B" w14:textId="77777777" w:rsidR="00303EFE" w:rsidRPr="00AB55D4" w:rsidRDefault="00303EFE" w:rsidP="00E858EF">
      <w:pPr>
        <w:suppressAutoHyphens/>
        <w:spacing w:after="40"/>
      </w:pPr>
    </w:p>
    <w:p w14:paraId="41FAC89A"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r w:rsidRPr="00AB55D4">
        <w:t>Petroulakis, E.</w:t>
      </w:r>
      <w:r>
        <w:t>,</w:t>
      </w:r>
      <w:r w:rsidRPr="00AB55D4">
        <w:t xml:space="preserve"> 1915. </w:t>
      </w:r>
      <w:r w:rsidRPr="00AB55D4">
        <w:rPr>
          <w:lang w:val="el-GR"/>
        </w:rPr>
        <w:t xml:space="preserve">Κρητικής Ατσιπάδας τάφοι, </w:t>
      </w:r>
      <w:r w:rsidRPr="00AB55D4">
        <w:rPr>
          <w:i/>
        </w:rPr>
        <w:t>A</w:t>
      </w:r>
      <w:r w:rsidRPr="00AB55D4">
        <w:rPr>
          <w:i/>
          <w:lang w:val="el-GR"/>
        </w:rPr>
        <w:t>ρχαιολογική Εφημερίς</w:t>
      </w:r>
      <w:r w:rsidRPr="00AB55D4">
        <w:rPr>
          <w:i/>
        </w:rPr>
        <w:t xml:space="preserve"> </w:t>
      </w:r>
      <w:r w:rsidRPr="00BA2849">
        <w:t>54</w:t>
      </w:r>
      <w:r w:rsidRPr="006055A5">
        <w:t>:</w:t>
      </w:r>
      <w:r w:rsidRPr="00AB55D4">
        <w:t xml:space="preserve"> 48-50. </w:t>
      </w:r>
    </w:p>
    <w:p w14:paraId="4CEE94F6"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p>
    <w:p w14:paraId="77D5731C" w14:textId="77777777" w:rsidR="00303EFE" w:rsidRPr="00AB55D4" w:rsidRDefault="00303EFE" w:rsidP="00E858EF">
      <w:pPr>
        <w:suppressAutoHyphens/>
      </w:pPr>
      <w:r w:rsidRPr="00AB55D4">
        <w:t>Phialon, P. and Farruggio, S.</w:t>
      </w:r>
      <w:r>
        <w:t>,</w:t>
      </w:r>
      <w:r w:rsidRPr="00AB55D4">
        <w:t xml:space="preserve"> 2005 Réflexions sur l'usage des larnakès et cercueils en Grèce Mycénienne. </w:t>
      </w:r>
      <w:r w:rsidRPr="00AB55D4">
        <w:rPr>
          <w:i/>
        </w:rPr>
        <w:t>Revue archéologique</w:t>
      </w:r>
      <w:r w:rsidRPr="00AB55D4">
        <w:t xml:space="preserve"> 40: 227-254. </w:t>
      </w:r>
    </w:p>
    <w:p w14:paraId="52ADFFE4"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783EBE71"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B55D4">
        <w:rPr>
          <w:color w:val="000000"/>
        </w:rPr>
        <w:t>Picón, C. et al.</w:t>
      </w:r>
      <w:r>
        <w:rPr>
          <w:color w:val="000000"/>
        </w:rPr>
        <w:t>,</w:t>
      </w:r>
      <w:r w:rsidRPr="00AB55D4">
        <w:rPr>
          <w:color w:val="000000"/>
        </w:rPr>
        <w:t xml:space="preserve"> 2007</w:t>
      </w:r>
      <w:r>
        <w:rPr>
          <w:color w:val="000000"/>
        </w:rPr>
        <w:t>.</w:t>
      </w:r>
      <w:r w:rsidRPr="00AB55D4">
        <w:rPr>
          <w:color w:val="000000"/>
        </w:rPr>
        <w:t xml:space="preserve"> </w:t>
      </w:r>
      <w:r w:rsidRPr="00A67D51">
        <w:rPr>
          <w:i/>
          <w:color w:val="000000"/>
        </w:rPr>
        <w:t>Art of the classical world in the Metropolitan Museum of Art: Greece, Cyprus, Etruria, Rome.</w:t>
      </w:r>
      <w:r w:rsidRPr="00AB55D4">
        <w:rPr>
          <w:color w:val="000000"/>
        </w:rPr>
        <w:t xml:space="preserve"> New York: Metropolitan Museum of Art Yale University Press</w:t>
      </w:r>
      <w:r>
        <w:rPr>
          <w:color w:val="000000"/>
        </w:rPr>
        <w:t>.</w:t>
      </w:r>
    </w:p>
    <w:p w14:paraId="1A1CF57B"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6402300C" w14:textId="77777777" w:rsidR="00303EFE" w:rsidRDefault="00303EFE" w:rsidP="00E858EF">
      <w:pPr>
        <w:suppressAutoHyphens/>
      </w:pPr>
      <w:r w:rsidRPr="00AB55D4">
        <w:rPr>
          <w:color w:val="000000"/>
        </w:rPr>
        <w:t>Pini, I.</w:t>
      </w:r>
      <w:r>
        <w:rPr>
          <w:color w:val="000000"/>
        </w:rPr>
        <w:t>,</w:t>
      </w:r>
      <w:r w:rsidRPr="00AB55D4">
        <w:rPr>
          <w:color w:val="000000"/>
        </w:rPr>
        <w:t xml:space="preserve"> 1968. </w:t>
      </w:r>
      <w:r w:rsidRPr="00E218A3">
        <w:rPr>
          <w:i/>
          <w:iCs/>
        </w:rPr>
        <w:t>Beiträge</w:t>
      </w:r>
      <w:r>
        <w:rPr>
          <w:i/>
        </w:rPr>
        <w:t xml:space="preserve"> </w:t>
      </w:r>
      <w:r w:rsidRPr="00E218A3">
        <w:rPr>
          <w:i/>
        </w:rPr>
        <w:t>zur</w:t>
      </w:r>
      <w:r w:rsidRPr="00AB55D4">
        <w:rPr>
          <w:i/>
        </w:rPr>
        <w:t xml:space="preserve"> Minoischen Gräberkunde</w:t>
      </w:r>
      <w:r w:rsidRPr="00AB55D4">
        <w:t>. Wiesbaden: F Steiner.</w:t>
      </w:r>
    </w:p>
    <w:p w14:paraId="42FA1753" w14:textId="77777777" w:rsidR="00303EFE" w:rsidRPr="00AB55D4" w:rsidRDefault="00303EFE" w:rsidP="00E858EF">
      <w:pPr>
        <w:suppressAutoHyphens/>
      </w:pPr>
    </w:p>
    <w:p w14:paraId="0F5D9243" w14:textId="77777777" w:rsidR="00303EFE" w:rsidRDefault="00303EFE" w:rsidP="00E858EF">
      <w:pPr>
        <w:suppressAutoHyphens/>
        <w:autoSpaceDE w:val="0"/>
        <w:autoSpaceDN w:val="0"/>
        <w:adjustRightInd w:val="0"/>
      </w:pPr>
      <w:r w:rsidRPr="00AB55D4">
        <w:t>Platon, L.</w:t>
      </w:r>
      <w:r>
        <w:t>,</w:t>
      </w:r>
      <w:r w:rsidRPr="00AB55D4">
        <w:t xml:space="preserve"> 2012. New evidence on the origin of the Late Minoan III chest-shaped </w:t>
      </w:r>
      <w:r>
        <w:t>l</w:t>
      </w:r>
      <w:r w:rsidRPr="00AB55D4">
        <w:t xml:space="preserve">arnax. </w:t>
      </w:r>
      <w:r>
        <w:t xml:space="preserve">In: </w:t>
      </w:r>
      <w:r w:rsidRPr="00AB55D4">
        <w:t>E. Mantzourani, P.P. Betancourt</w:t>
      </w:r>
      <w:r>
        <w:t>,</w:t>
      </w:r>
      <w:r w:rsidRPr="00AB55D4">
        <w:t xml:space="preserve"> eds. </w:t>
      </w:r>
      <w:r w:rsidRPr="00AB55D4">
        <w:rPr>
          <w:i/>
        </w:rPr>
        <w:t xml:space="preserve">Philistor. Studies in Honor of Costis </w:t>
      </w:r>
      <w:r>
        <w:rPr>
          <w:i/>
        </w:rPr>
        <w:t xml:space="preserve">Davaras. </w:t>
      </w:r>
      <w:r w:rsidRPr="00AB55D4">
        <w:t>Prehistory Monographs 36</w:t>
      </w:r>
      <w:r>
        <w:t xml:space="preserve">: </w:t>
      </w:r>
      <w:r w:rsidRPr="00AB55D4">
        <w:t>161-169</w:t>
      </w:r>
      <w:r>
        <w:t>.</w:t>
      </w:r>
      <w:r w:rsidRPr="00AB55D4">
        <w:t xml:space="preserve"> Philadelphia (Pennsylvania): INSTAP Academic Press. </w:t>
      </w:r>
    </w:p>
    <w:p w14:paraId="13C0D648" w14:textId="77777777" w:rsidR="00303EFE" w:rsidRPr="00AB55D4" w:rsidRDefault="00303EFE" w:rsidP="00E858EF">
      <w:pPr>
        <w:suppressAutoHyphens/>
        <w:autoSpaceDE w:val="0"/>
        <w:autoSpaceDN w:val="0"/>
        <w:adjustRightInd w:val="0"/>
      </w:pPr>
    </w:p>
    <w:p w14:paraId="67E935A3" w14:textId="77777777"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i/>
          <w:lang w:val="el-GR"/>
        </w:rPr>
      </w:pPr>
      <w:r w:rsidRPr="00AB55D4">
        <w:rPr>
          <w:color w:val="000000"/>
        </w:rPr>
        <w:t>Platon, N.</w:t>
      </w:r>
      <w:r>
        <w:rPr>
          <w:color w:val="000000"/>
        </w:rPr>
        <w:t>,</w:t>
      </w:r>
      <w:r w:rsidRPr="00AB55D4">
        <w:rPr>
          <w:color w:val="000000"/>
        </w:rPr>
        <w:t xml:space="preserve"> 1952a.</w:t>
      </w:r>
      <w:r>
        <w:rPr>
          <w:color w:val="000000"/>
        </w:rPr>
        <w:t xml:space="preserve"> </w:t>
      </w:r>
      <w:r w:rsidRPr="00AB55D4">
        <w:rPr>
          <w:color w:val="000000"/>
          <w:lang w:val="el-GR"/>
        </w:rPr>
        <w:t>Ανασκαφή ΥΜΙΙΙ λαξευτων τάφων εις την περιοχή Επισκοπη και Σταμνιων Πεδιάδος Ηρακλείου</w:t>
      </w:r>
      <w:r>
        <w:rPr>
          <w:color w:val="000000"/>
          <w:lang w:val="el-GR"/>
        </w:rPr>
        <w:t>.</w:t>
      </w:r>
      <w:r w:rsidRPr="00BA2849">
        <w:rPr>
          <w:i/>
          <w:color w:val="000000"/>
          <w:lang w:val="el-GR"/>
        </w:rPr>
        <w:t>Prakt</w:t>
      </w:r>
      <w:r w:rsidRPr="006055A5">
        <w:rPr>
          <w:lang w:val="el-GR"/>
        </w:rPr>
        <w:t>:</w:t>
      </w:r>
      <w:r w:rsidRPr="00AB55D4">
        <w:rPr>
          <w:i/>
          <w:lang w:val="el-GR"/>
        </w:rPr>
        <w:t xml:space="preserve"> </w:t>
      </w:r>
      <w:r w:rsidRPr="00BA2849">
        <w:rPr>
          <w:lang w:val="el-GR"/>
        </w:rPr>
        <w:t>619-630</w:t>
      </w:r>
      <w:r w:rsidRPr="00AB55D4">
        <w:rPr>
          <w:i/>
          <w:lang w:val="el-GR"/>
        </w:rPr>
        <w:t>.</w:t>
      </w:r>
    </w:p>
    <w:p w14:paraId="78BB91DE" w14:textId="77777777" w:rsidR="00303EFE" w:rsidRPr="00AB55D4"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i/>
          <w:lang w:val="el-GR"/>
        </w:rPr>
      </w:pPr>
    </w:p>
    <w:p w14:paraId="4ED7E1D1" w14:textId="77777777" w:rsidR="00303EFE" w:rsidRDefault="00303EFE" w:rsidP="00E858EF">
      <w:pPr>
        <w:suppressAutoHyphens/>
        <w:autoSpaceDE w:val="0"/>
        <w:autoSpaceDN w:val="0"/>
        <w:adjustRightInd w:val="0"/>
      </w:pPr>
      <w:r w:rsidRPr="00AB55D4">
        <w:t>Platon, N.</w:t>
      </w:r>
      <w:r>
        <w:t xml:space="preserve">, </w:t>
      </w:r>
      <w:r w:rsidRPr="00AB55D4">
        <w:t>1952b</w:t>
      </w:r>
      <w:r w:rsidRPr="00AB55D4">
        <w:rPr>
          <w:lang w:val="el-GR"/>
        </w:rPr>
        <w:t>. Ανασκαφή περιοχής Σητείας</w:t>
      </w:r>
      <w:r>
        <w:rPr>
          <w:lang w:val="el-GR"/>
        </w:rPr>
        <w:t>.</w:t>
      </w:r>
      <w:r w:rsidRPr="00BA2849">
        <w:rPr>
          <w:i/>
          <w:lang w:val="el-GR"/>
        </w:rPr>
        <w:t>Prakt</w:t>
      </w:r>
      <w:r w:rsidRPr="001A0D2F">
        <w:t>:</w:t>
      </w:r>
      <w:r w:rsidRPr="00AB55D4">
        <w:t xml:space="preserve"> 630-648</w:t>
      </w:r>
      <w:r>
        <w:t>.</w:t>
      </w:r>
    </w:p>
    <w:p w14:paraId="4AFEE59E" w14:textId="77777777" w:rsidR="00303EFE" w:rsidRPr="00AB55D4" w:rsidRDefault="00303EFE" w:rsidP="00E858EF">
      <w:pPr>
        <w:suppressAutoHyphens/>
        <w:autoSpaceDE w:val="0"/>
        <w:autoSpaceDN w:val="0"/>
        <w:adjustRightInd w:val="0"/>
      </w:pPr>
    </w:p>
    <w:p w14:paraId="2FBBBE4F" w14:textId="77777777"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i/>
          <w:lang w:val="el-GR"/>
        </w:rPr>
      </w:pPr>
      <w:r w:rsidRPr="00AB55D4">
        <w:rPr>
          <w:color w:val="000000"/>
        </w:rPr>
        <w:t>Platon, N.</w:t>
      </w:r>
      <w:r>
        <w:rPr>
          <w:color w:val="000000"/>
        </w:rPr>
        <w:t>,</w:t>
      </w:r>
      <w:r w:rsidRPr="00AB55D4">
        <w:rPr>
          <w:color w:val="000000"/>
        </w:rPr>
        <w:t xml:space="preserve"> 1953. </w:t>
      </w:r>
      <w:r w:rsidRPr="00AB55D4">
        <w:rPr>
          <w:color w:val="000000"/>
          <w:lang w:val="el-GR"/>
        </w:rPr>
        <w:t>Ανασκαφή περιοχής Σητείας</w:t>
      </w:r>
      <w:r>
        <w:rPr>
          <w:color w:val="000000"/>
          <w:lang w:val="el-GR"/>
        </w:rPr>
        <w:t>.</w:t>
      </w:r>
      <w:r w:rsidRPr="00BA2849">
        <w:rPr>
          <w:i/>
          <w:color w:val="000000"/>
          <w:lang w:val="el-GR"/>
        </w:rPr>
        <w:t>Prakt</w:t>
      </w:r>
      <w:r w:rsidRPr="00290D1B">
        <w:rPr>
          <w:lang w:val="el-GR"/>
        </w:rPr>
        <w:t>: 288-297.</w:t>
      </w:r>
    </w:p>
    <w:p w14:paraId="5080A35B" w14:textId="77777777" w:rsidR="00303EFE" w:rsidRPr="00AB55D4"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i/>
          <w:lang w:val="el-GR"/>
        </w:rPr>
      </w:pPr>
    </w:p>
    <w:p w14:paraId="7207BEE9" w14:textId="407C836A"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lang w:val="el-GR"/>
        </w:rPr>
      </w:pPr>
      <w:r w:rsidRPr="00AB55D4">
        <w:rPr>
          <w:color w:val="000000"/>
        </w:rPr>
        <w:t>Platon, N.</w:t>
      </w:r>
      <w:r>
        <w:rPr>
          <w:color w:val="000000"/>
        </w:rPr>
        <w:t>,</w:t>
      </w:r>
      <w:r w:rsidRPr="00AB55D4">
        <w:rPr>
          <w:color w:val="000000"/>
        </w:rPr>
        <w:t xml:space="preserve"> 1960. </w:t>
      </w:r>
      <w:r w:rsidRPr="00AB55D4">
        <w:rPr>
          <w:color w:val="000000"/>
          <w:lang w:val="el-GR"/>
        </w:rPr>
        <w:t>Ανασκαφή περιοχής Πραισ</w:t>
      </w:r>
      <w:r w:rsidR="008C5AC8">
        <w:rPr>
          <w:color w:val="000000"/>
          <w:lang w:val="el-GR"/>
        </w:rPr>
        <w:t>ού</w:t>
      </w:r>
      <w:r w:rsidRPr="00AB55D4">
        <w:rPr>
          <w:color w:val="000000"/>
          <w:lang w:val="el-GR"/>
        </w:rPr>
        <w:t>.</w:t>
      </w:r>
      <w:r w:rsidR="00A73BFD">
        <w:rPr>
          <w:color w:val="000000"/>
          <w:lang w:val="el-GR"/>
        </w:rPr>
        <w:t xml:space="preserve"> </w:t>
      </w:r>
      <w:r w:rsidRPr="00BA2849">
        <w:rPr>
          <w:i/>
          <w:color w:val="000000"/>
          <w:lang w:val="el-GR"/>
        </w:rPr>
        <w:t>Prakt</w:t>
      </w:r>
      <w:r w:rsidRPr="00290D1B">
        <w:rPr>
          <w:lang w:val="el-GR"/>
        </w:rPr>
        <w:t>:</w:t>
      </w:r>
      <w:r w:rsidRPr="00AB55D4">
        <w:rPr>
          <w:i/>
          <w:lang w:val="el-GR"/>
        </w:rPr>
        <w:t xml:space="preserve"> </w:t>
      </w:r>
      <w:r w:rsidRPr="00AB55D4">
        <w:rPr>
          <w:lang w:val="el-GR"/>
        </w:rPr>
        <w:t>294-307.</w:t>
      </w:r>
    </w:p>
    <w:p w14:paraId="2E33DD38" w14:textId="77777777" w:rsidR="00303EFE" w:rsidRPr="00AB55D4"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rPr>
          <w:i/>
          <w:lang w:val="el-GR"/>
        </w:rPr>
      </w:pPr>
    </w:p>
    <w:p w14:paraId="16BA6877" w14:textId="3596A7AD"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r w:rsidRPr="00AB55D4">
        <w:rPr>
          <w:rFonts w:eastAsia="Times New Roman"/>
          <w:iCs/>
          <w:lang w:val="en-US"/>
        </w:rPr>
        <w:t>Pologiorgi, M.</w:t>
      </w:r>
      <w:r>
        <w:rPr>
          <w:rFonts w:eastAsia="Times New Roman"/>
          <w:iCs/>
          <w:lang w:val="en-US"/>
        </w:rPr>
        <w:t xml:space="preserve">, </w:t>
      </w:r>
      <w:r w:rsidRPr="00AB55D4">
        <w:t xml:space="preserve">1981. </w:t>
      </w:r>
      <w:r w:rsidRPr="00AB55D4">
        <w:rPr>
          <w:lang w:val="el-GR"/>
        </w:rPr>
        <w:t>Δύο ταφές της ΥΜ ΙΙΙ περ</w:t>
      </w:r>
      <w:r w:rsidR="00A73BFD">
        <w:rPr>
          <w:lang w:val="el-GR"/>
        </w:rPr>
        <w:t>ι</w:t>
      </w:r>
      <w:r w:rsidRPr="00AB55D4">
        <w:rPr>
          <w:lang w:val="el-GR"/>
        </w:rPr>
        <w:t xml:space="preserve">όδου στο χωριό Βολιώνες επαρχίας Αμαρίου. </w:t>
      </w:r>
      <w:r w:rsidRPr="00BA2849">
        <w:rPr>
          <w:i/>
          <w:lang w:val="el-GR"/>
        </w:rPr>
        <w:t xml:space="preserve">ADelt </w:t>
      </w:r>
      <w:r w:rsidRPr="00AB55D4">
        <w:rPr>
          <w:lang w:val="el-GR"/>
        </w:rPr>
        <w:t>36</w:t>
      </w:r>
      <w:r w:rsidRPr="00AB55D4">
        <w:t>: 82-205.</w:t>
      </w:r>
    </w:p>
    <w:p w14:paraId="08465CC6" w14:textId="77777777" w:rsidR="00303EFE" w:rsidRPr="006757C5"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p>
    <w:p w14:paraId="0E61CC9C"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r w:rsidRPr="00467720">
        <w:rPr>
          <w:color w:val="000000"/>
        </w:rPr>
        <w:t>Pologiorgi, M.</w:t>
      </w:r>
      <w:r>
        <w:rPr>
          <w:color w:val="000000"/>
        </w:rPr>
        <w:t>,</w:t>
      </w:r>
      <w:r w:rsidRPr="00467720">
        <w:rPr>
          <w:color w:val="000000"/>
        </w:rPr>
        <w:t xml:space="preserve"> 1987. Αρχαιότητες στην περιοχή του χωριού Αποδούλου Αμαρίου Ρεθύμνου</w:t>
      </w:r>
      <w:r>
        <w:rPr>
          <w:color w:val="000000"/>
        </w:rPr>
        <w:t>.</w:t>
      </w:r>
      <w:r w:rsidRPr="00467720">
        <w:rPr>
          <w:color w:val="000000"/>
        </w:rPr>
        <w:t xml:space="preserve"> </w:t>
      </w:r>
      <w:r w:rsidRPr="00467720">
        <w:rPr>
          <w:i/>
        </w:rPr>
        <w:t xml:space="preserve">Studi Micenei Egeo Anatolici </w:t>
      </w:r>
      <w:r w:rsidRPr="00BA2849">
        <w:t>26</w:t>
      </w:r>
      <w:r w:rsidRPr="00AB55D4">
        <w:t>: 125-160.</w:t>
      </w:r>
    </w:p>
    <w:p w14:paraId="58F32462"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p>
    <w:p w14:paraId="02C7A7C9" w14:textId="77777777" w:rsidR="00303EFE" w:rsidRDefault="00303EFE" w:rsidP="00E858EF">
      <w:pPr>
        <w:suppressAutoHyphens/>
        <w:autoSpaceDE w:val="0"/>
        <w:autoSpaceDN w:val="0"/>
        <w:adjustRightInd w:val="0"/>
      </w:pPr>
      <w:r w:rsidRPr="00AB55D4">
        <w:rPr>
          <w:rFonts w:eastAsia="Times New Roman"/>
          <w:iCs/>
          <w:lang w:val="en-US"/>
        </w:rPr>
        <w:t>Pologiorgi, M.</w:t>
      </w:r>
      <w:r>
        <w:rPr>
          <w:rFonts w:eastAsia="Times New Roman"/>
          <w:iCs/>
          <w:lang w:val="en-US"/>
        </w:rPr>
        <w:t>,</w:t>
      </w:r>
      <w:r w:rsidRPr="00AB55D4">
        <w:rPr>
          <w:rFonts w:eastAsia="Times New Roman"/>
          <w:iCs/>
          <w:lang w:val="en-US"/>
        </w:rPr>
        <w:t xml:space="preserve"> 1990. </w:t>
      </w:r>
      <w:r w:rsidRPr="00AB55D4">
        <w:rPr>
          <w:rFonts w:eastAsia="Times New Roman"/>
          <w:iCs/>
          <w:lang w:val="el-GR"/>
        </w:rPr>
        <w:t>Παρατηρήσεις στην παρ</w:t>
      </w:r>
      <w:r w:rsidRPr="00AB55D4">
        <w:rPr>
          <w:rFonts w:eastAsia="Times New Roman"/>
          <w:iCs/>
          <w:vanish/>
          <w:lang w:val="es-ES_tradnl"/>
        </w:rPr>
        <w:t>in﷽﷽﷽﷽﷽﷽﷽﷽ουωικαρα</w:t>
      </w:r>
      <w:r w:rsidRPr="00467720">
        <w:rPr>
          <w:rFonts w:eastAsia="Times New Roman"/>
          <w:iCs/>
          <w:vanish/>
          <w:lang w:val="es-ES_tradnl"/>
        </w:rPr>
        <w:pgNum/>
      </w:r>
      <w:r w:rsidRPr="00467720">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467720">
        <w:rPr>
          <w:rFonts w:eastAsia="Times New Roman"/>
          <w:iCs/>
          <w:vanish/>
          <w:lang w:val="es-ES_tradnl"/>
        </w:rPr>
        <w:t xml:space="preserve">e to achieve rectly"nf quality management S is defined as "a controlled way. </w:t>
      </w:r>
      <w:r w:rsidRPr="00467720">
        <w:rPr>
          <w:rFonts w:eastAsia="Times New Roman"/>
          <w:iCs/>
          <w:vanish/>
          <w:lang w:val="es-ES_tradnl"/>
        </w:rPr>
        <w:pgNum/>
      </w:r>
      <w:r w:rsidRPr="00467720">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AB55D4">
        <w:rPr>
          <w:rFonts w:eastAsia="Times New Roman"/>
          <w:iCs/>
          <w:vanish/>
          <w:lang w:val="es-ES_tradnl"/>
        </w:rPr>
        <w:pgNum/>
      </w:r>
      <w:r w:rsidRPr="00467720">
        <w:rPr>
          <w:rFonts w:eastAsia="Times New Roman"/>
          <w:iCs/>
          <w:lang w:val="el-GR"/>
        </w:rPr>
        <w:t>άσταση</w:t>
      </w:r>
      <w:r>
        <w:rPr>
          <w:rFonts w:eastAsia="Times New Roman"/>
          <w:iCs/>
          <w:lang w:val="el-GR"/>
        </w:rPr>
        <w:t xml:space="preserve"> </w:t>
      </w:r>
      <w:r w:rsidRPr="00467720">
        <w:rPr>
          <w:rFonts w:eastAsia="Times New Roman"/>
          <w:iCs/>
          <w:lang w:val="el-GR"/>
        </w:rPr>
        <w:t>με</w:t>
      </w:r>
      <w:r>
        <w:rPr>
          <w:rFonts w:eastAsia="Times New Roman"/>
          <w:iCs/>
          <w:lang w:val="el-GR"/>
        </w:rPr>
        <w:t xml:space="preserve"> </w:t>
      </w:r>
      <w:r w:rsidRPr="00467720">
        <w:rPr>
          <w:rFonts w:eastAsia="Times New Roman"/>
          <w:iCs/>
          <w:lang w:val="el-GR"/>
        </w:rPr>
        <w:t xml:space="preserve">υψωμένα χέρια σε υστερομινωική ΙΙΙ λάρνακα από το Αποδούλου, επαρχίας Αμαρίου. </w:t>
      </w:r>
      <w:r>
        <w:t xml:space="preserve">In: </w:t>
      </w:r>
      <w:r w:rsidRPr="00AB55D4">
        <w:t>B. Niniou-Kindeli</w:t>
      </w:r>
      <w:r>
        <w:t>, ed.</w:t>
      </w:r>
      <w:r w:rsidRPr="00AB55D4">
        <w:t xml:space="preserve"> </w:t>
      </w:r>
      <w:r w:rsidRPr="00AB55D4">
        <w:rPr>
          <w:i/>
        </w:rPr>
        <w:t>Πεπραγμένα του ΣΤ' Διεθνούς Κρητολογικού Συνεδρίου</w:t>
      </w:r>
      <w:r w:rsidRPr="00290D1B">
        <w:t>. Χανιά 1986, A2: 207-232.</w:t>
      </w:r>
      <w:r w:rsidRPr="001A0D2F">
        <w:t xml:space="preserve"> </w:t>
      </w:r>
      <w:r w:rsidRPr="00AB55D4">
        <w:t>Chania: Philologikos Syllogos o Chrysostomos.</w:t>
      </w:r>
    </w:p>
    <w:p w14:paraId="407C77E0" w14:textId="77777777" w:rsidR="00303EFE" w:rsidRPr="00AB55D4" w:rsidRDefault="00303EFE" w:rsidP="00E858EF">
      <w:pPr>
        <w:suppressAutoHyphens/>
        <w:autoSpaceDE w:val="0"/>
        <w:autoSpaceDN w:val="0"/>
        <w:adjustRightInd w:val="0"/>
      </w:pPr>
    </w:p>
    <w:p w14:paraId="020FAC84"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B55D4">
        <w:rPr>
          <w:color w:val="000000"/>
        </w:rPr>
        <w:t>Pomerance, L.</w:t>
      </w:r>
      <w:r>
        <w:rPr>
          <w:color w:val="000000"/>
        </w:rPr>
        <w:t>,</w:t>
      </w:r>
      <w:r w:rsidRPr="00AB55D4">
        <w:rPr>
          <w:color w:val="000000"/>
        </w:rPr>
        <w:t xml:space="preserve"> 1977. The </w:t>
      </w:r>
      <w:r>
        <w:rPr>
          <w:color w:val="000000"/>
        </w:rPr>
        <w:t>p</w:t>
      </w:r>
      <w:r w:rsidRPr="00AB55D4">
        <w:rPr>
          <w:color w:val="000000"/>
        </w:rPr>
        <w:t xml:space="preserve">ossible </w:t>
      </w:r>
      <w:r>
        <w:rPr>
          <w:color w:val="000000"/>
        </w:rPr>
        <w:t>r</w:t>
      </w:r>
      <w:r w:rsidRPr="00AB55D4">
        <w:rPr>
          <w:color w:val="000000"/>
        </w:rPr>
        <w:t xml:space="preserve">ole of </w:t>
      </w:r>
      <w:r>
        <w:rPr>
          <w:color w:val="000000"/>
        </w:rPr>
        <w:t>t</w:t>
      </w:r>
      <w:r w:rsidRPr="00AB55D4">
        <w:rPr>
          <w:color w:val="000000"/>
        </w:rPr>
        <w:t xml:space="preserve">omb </w:t>
      </w:r>
      <w:r>
        <w:rPr>
          <w:color w:val="000000"/>
        </w:rPr>
        <w:t>r</w:t>
      </w:r>
      <w:r w:rsidRPr="00AB55D4">
        <w:rPr>
          <w:color w:val="000000"/>
        </w:rPr>
        <w:t xml:space="preserve">obbers and </w:t>
      </w:r>
      <w:r>
        <w:rPr>
          <w:color w:val="000000"/>
        </w:rPr>
        <w:t>v</w:t>
      </w:r>
      <w:r w:rsidRPr="00AB55D4">
        <w:rPr>
          <w:color w:val="000000"/>
        </w:rPr>
        <w:t>iziers of the 18</w:t>
      </w:r>
      <w:r w:rsidRPr="00AB55D4">
        <w:rPr>
          <w:color w:val="000000"/>
          <w:vertAlign w:val="superscript"/>
        </w:rPr>
        <w:t>th</w:t>
      </w:r>
      <w:r w:rsidRPr="00AB55D4">
        <w:rPr>
          <w:color w:val="000000"/>
        </w:rPr>
        <w:t xml:space="preserve"> </w:t>
      </w:r>
      <w:r>
        <w:rPr>
          <w:color w:val="000000"/>
        </w:rPr>
        <w:t>d</w:t>
      </w:r>
      <w:r w:rsidRPr="00AB55D4">
        <w:rPr>
          <w:color w:val="000000"/>
        </w:rPr>
        <w:t xml:space="preserve">ynasty in </w:t>
      </w:r>
      <w:r>
        <w:rPr>
          <w:color w:val="000000"/>
        </w:rPr>
        <w:t>c</w:t>
      </w:r>
      <w:r w:rsidRPr="00AB55D4">
        <w:rPr>
          <w:color w:val="000000"/>
        </w:rPr>
        <w:t xml:space="preserve">onfusing Minoan </w:t>
      </w:r>
      <w:r>
        <w:rPr>
          <w:color w:val="000000"/>
        </w:rPr>
        <w:t>c</w:t>
      </w:r>
      <w:r w:rsidRPr="00AB55D4">
        <w:rPr>
          <w:color w:val="000000"/>
        </w:rPr>
        <w:t xml:space="preserve">hronology. </w:t>
      </w:r>
      <w:r>
        <w:rPr>
          <w:color w:val="000000"/>
        </w:rPr>
        <w:t xml:space="preserve">In: </w:t>
      </w:r>
      <w:r w:rsidRPr="00A67D51">
        <w:rPr>
          <w:i/>
          <w:color w:val="000000"/>
        </w:rPr>
        <w:t>Antichità cretesi: studi in onore di Doro Levi</w:t>
      </w:r>
      <w:r w:rsidRPr="00290D1B">
        <w:rPr>
          <w:color w:val="000000"/>
        </w:rPr>
        <w:t>. Cronache di archeologia </w:t>
      </w:r>
      <w:r w:rsidRPr="00AF19B7">
        <w:rPr>
          <w:color w:val="000000"/>
        </w:rPr>
        <w:t xml:space="preserve">12: </w:t>
      </w:r>
      <w:r w:rsidRPr="00AB55D4">
        <w:rPr>
          <w:color w:val="000000"/>
        </w:rPr>
        <w:t>21-30. Catania: Università di Catania, Istituto di Archeologia.</w:t>
      </w:r>
    </w:p>
    <w:p w14:paraId="2E59E9CB"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4A6AE02C" w14:textId="77777777" w:rsidR="00303EFE" w:rsidRDefault="00303EFE" w:rsidP="00E858EF">
      <w:pPr>
        <w:suppressAutoHyphens/>
        <w:autoSpaceDE w:val="0"/>
        <w:autoSpaceDN w:val="0"/>
        <w:adjustRightInd w:val="0"/>
        <w:rPr>
          <w:color w:val="000000"/>
        </w:rPr>
      </w:pPr>
      <w:r w:rsidRPr="00AB55D4">
        <w:t>Popham, M</w:t>
      </w:r>
      <w:r>
        <w:t>.</w:t>
      </w:r>
      <w:r w:rsidRPr="00AB55D4">
        <w:t xml:space="preserve">, 1970. </w:t>
      </w:r>
      <w:r w:rsidRPr="00A67D51">
        <w:rPr>
          <w:i/>
        </w:rPr>
        <w:t>Destruction of the Palace of Knossos: Pottery of the Late Minoan IIIA Period</w:t>
      </w:r>
      <w:r>
        <w:rPr>
          <w:i/>
        </w:rPr>
        <w:t>.</w:t>
      </w:r>
      <w:r w:rsidRPr="00AB55D4">
        <w:t xml:space="preserve"> (SIMA 12). Göteborg: Aströms.</w:t>
      </w:r>
      <w:r w:rsidRPr="00AB55D4">
        <w:rPr>
          <w:color w:val="000000"/>
        </w:rPr>
        <w:t xml:space="preserve"> </w:t>
      </w:r>
    </w:p>
    <w:p w14:paraId="0126D726" w14:textId="77777777" w:rsidR="00303EFE" w:rsidRDefault="00303EFE" w:rsidP="00E858EF">
      <w:pPr>
        <w:suppressAutoHyphens/>
      </w:pPr>
    </w:p>
    <w:p w14:paraId="4A187424" w14:textId="77777777" w:rsidR="00303EFE" w:rsidRDefault="00303EFE" w:rsidP="00E858EF">
      <w:pPr>
        <w:suppressAutoHyphens/>
      </w:pPr>
      <w:r>
        <w:t xml:space="preserve">Poursat, J. C., 1977a. </w:t>
      </w:r>
      <w:r w:rsidRPr="00C25374">
        <w:rPr>
          <w:i/>
        </w:rPr>
        <w:t>Catalogue des ivoires mycéniens du Musée national d'Athène</w:t>
      </w:r>
      <w:r>
        <w:rPr>
          <w:i/>
        </w:rPr>
        <w:t xml:space="preserve">. </w:t>
      </w:r>
      <w:r>
        <w:t>Athènes</w:t>
      </w:r>
      <w:r w:rsidRPr="00FA0C76">
        <w:t>: École française d'Athènes</w:t>
      </w:r>
      <w:r>
        <w:t>.</w:t>
      </w:r>
    </w:p>
    <w:p w14:paraId="272C70C8" w14:textId="77777777" w:rsidR="00303EFE" w:rsidRDefault="00303EFE" w:rsidP="00E858EF">
      <w:pPr>
        <w:suppressAutoHyphens/>
      </w:pPr>
    </w:p>
    <w:p w14:paraId="6EEF7694" w14:textId="77777777" w:rsidR="00303EFE" w:rsidRDefault="00303EFE" w:rsidP="00E858EF">
      <w:pPr>
        <w:suppressAutoHyphens/>
      </w:pPr>
      <w:r>
        <w:t xml:space="preserve">Poursat, J. C., 1977b. </w:t>
      </w:r>
      <w:r>
        <w:rPr>
          <w:i/>
        </w:rPr>
        <w:t>Les Ivoires Myceniens</w:t>
      </w:r>
      <w:r w:rsidRPr="00C25374">
        <w:rPr>
          <w:i/>
        </w:rPr>
        <w:t>: Essai sur la Formation d'un Art Mycénien</w:t>
      </w:r>
      <w:r>
        <w:t>. Athènes</w:t>
      </w:r>
      <w:r w:rsidRPr="00FA0C76">
        <w:t>: École française d'Athènes</w:t>
      </w:r>
      <w:r>
        <w:t>.</w:t>
      </w:r>
    </w:p>
    <w:p w14:paraId="73A5085E" w14:textId="77777777" w:rsidR="00303EFE" w:rsidRPr="00AB55D4" w:rsidRDefault="00303EFE" w:rsidP="00E858EF">
      <w:pPr>
        <w:suppressAutoHyphens/>
        <w:autoSpaceDE w:val="0"/>
        <w:autoSpaceDN w:val="0"/>
        <w:adjustRightInd w:val="0"/>
      </w:pPr>
    </w:p>
    <w:p w14:paraId="1D3F010D" w14:textId="77777777" w:rsidR="00303EFE" w:rsidRDefault="00303EFE" w:rsidP="00E858EF">
      <w:pPr>
        <w:suppressAutoHyphens/>
        <w:autoSpaceDE w:val="0"/>
        <w:autoSpaceDN w:val="0"/>
        <w:adjustRightInd w:val="0"/>
      </w:pPr>
      <w:r w:rsidRPr="00AB55D4">
        <w:t>Preston, L.</w:t>
      </w:r>
      <w:r>
        <w:t>,</w:t>
      </w:r>
      <w:r w:rsidRPr="00AB55D4">
        <w:t xml:space="preserve"> 1999. </w:t>
      </w:r>
      <w:r w:rsidRPr="00AB55D4">
        <w:rPr>
          <w:lang w:val="en-US"/>
        </w:rPr>
        <w:t xml:space="preserve">Mortuary practices and the negotiation of social identities at LM II Knossos. </w:t>
      </w:r>
      <w:r>
        <w:rPr>
          <w:i/>
          <w:lang w:val="en-US"/>
        </w:rPr>
        <w:t>BSA</w:t>
      </w:r>
      <w:r w:rsidRPr="00AB55D4">
        <w:rPr>
          <w:i/>
          <w:lang w:val="en-US"/>
        </w:rPr>
        <w:t xml:space="preserve"> </w:t>
      </w:r>
      <w:r w:rsidRPr="00AB55D4">
        <w:rPr>
          <w:lang w:val="en-US"/>
        </w:rPr>
        <w:t>94: 131</w:t>
      </w:r>
      <w:r w:rsidRPr="00AB55D4">
        <w:t>–43.</w:t>
      </w:r>
    </w:p>
    <w:p w14:paraId="15180FCA" w14:textId="77777777" w:rsidR="00303EFE" w:rsidRPr="00AB55D4" w:rsidRDefault="00303EFE" w:rsidP="00E858EF">
      <w:pPr>
        <w:suppressAutoHyphens/>
        <w:autoSpaceDE w:val="0"/>
        <w:autoSpaceDN w:val="0"/>
        <w:adjustRightInd w:val="0"/>
      </w:pPr>
    </w:p>
    <w:p w14:paraId="57227779" w14:textId="77777777" w:rsidR="00303EFE" w:rsidRDefault="00303EFE" w:rsidP="00E858EF">
      <w:pPr>
        <w:suppressAutoHyphens/>
        <w:autoSpaceDE w:val="0"/>
        <w:autoSpaceDN w:val="0"/>
        <w:adjustRightInd w:val="0"/>
      </w:pPr>
      <w:r w:rsidRPr="00AB55D4">
        <w:t>Preston, L.</w:t>
      </w:r>
      <w:r>
        <w:t>,</w:t>
      </w:r>
      <w:r w:rsidRPr="00AB55D4">
        <w:t xml:space="preserve"> 2000. </w:t>
      </w:r>
      <w:r w:rsidRPr="00AB55D4">
        <w:rPr>
          <w:i/>
        </w:rPr>
        <w:t>A Mortuary Approach to Cultural Interaction and Political Dynamics on Late Minoan II-IIIB Crete.</w:t>
      </w:r>
      <w:r w:rsidRPr="00AB55D4">
        <w:t xml:space="preserve"> PhD Thesis, University College London.</w:t>
      </w:r>
    </w:p>
    <w:p w14:paraId="604E348C" w14:textId="77777777" w:rsidR="00303EFE" w:rsidRDefault="00303EFE" w:rsidP="00E858EF">
      <w:pPr>
        <w:suppressAutoHyphens/>
        <w:autoSpaceDE w:val="0"/>
        <w:autoSpaceDN w:val="0"/>
        <w:adjustRightInd w:val="0"/>
      </w:pPr>
    </w:p>
    <w:p w14:paraId="3342C5A9" w14:textId="77777777" w:rsidR="00303EFE" w:rsidRDefault="00303EFE" w:rsidP="00E858EF">
      <w:pPr>
        <w:suppressAutoHyphens/>
        <w:autoSpaceDE w:val="0"/>
        <w:autoSpaceDN w:val="0"/>
        <w:adjustRightInd w:val="0"/>
      </w:pPr>
      <w:r w:rsidRPr="00AB55D4">
        <w:t>Preston, L.</w:t>
      </w:r>
      <w:r>
        <w:t xml:space="preserve">, </w:t>
      </w:r>
      <w:r w:rsidRPr="00AB55D4">
        <w:t xml:space="preserve">2004a. A Mortuary Perspective on Political Changes in Late Minoan II-IIIB Crete. </w:t>
      </w:r>
      <w:r>
        <w:rPr>
          <w:i/>
        </w:rPr>
        <w:t>AJA</w:t>
      </w:r>
      <w:r w:rsidRPr="00AB55D4">
        <w:rPr>
          <w:i/>
        </w:rPr>
        <w:t xml:space="preserve"> </w:t>
      </w:r>
      <w:r w:rsidRPr="00AB55D4">
        <w:t>108 3: 321-348.</w:t>
      </w:r>
    </w:p>
    <w:p w14:paraId="23A5C654" w14:textId="77777777" w:rsidR="00303EFE" w:rsidRPr="00AB55D4" w:rsidRDefault="00303EFE" w:rsidP="00E858EF">
      <w:pPr>
        <w:suppressAutoHyphens/>
        <w:autoSpaceDE w:val="0"/>
        <w:autoSpaceDN w:val="0"/>
        <w:adjustRightInd w:val="0"/>
      </w:pPr>
    </w:p>
    <w:p w14:paraId="29B64781" w14:textId="77777777" w:rsidR="00303EFE" w:rsidRDefault="00303EFE" w:rsidP="00E858EF">
      <w:pPr>
        <w:suppressAutoHyphens/>
        <w:autoSpaceDE w:val="0"/>
        <w:autoSpaceDN w:val="0"/>
        <w:adjustRightInd w:val="0"/>
      </w:pPr>
      <w:r w:rsidRPr="00AB55D4">
        <w:t>Preston, L.</w:t>
      </w:r>
      <w:r>
        <w:t>,</w:t>
      </w:r>
      <w:r w:rsidRPr="00AB55D4">
        <w:t xml:space="preserve"> 2004b. Contextualising the </w:t>
      </w:r>
      <w:r>
        <w:t>l</w:t>
      </w:r>
      <w:r w:rsidRPr="00AB55D4">
        <w:t xml:space="preserve">arnax: </w:t>
      </w:r>
      <w:r>
        <w:t>t</w:t>
      </w:r>
      <w:r w:rsidRPr="00AB55D4">
        <w:t xml:space="preserve">radition, </w:t>
      </w:r>
      <w:r>
        <w:t>i</w:t>
      </w:r>
      <w:r w:rsidRPr="00AB55D4">
        <w:t xml:space="preserve">nnovation and </w:t>
      </w:r>
      <w:r>
        <w:t>r</w:t>
      </w:r>
      <w:r w:rsidRPr="00AB55D4">
        <w:t xml:space="preserve">egionalism in </w:t>
      </w:r>
      <w:r>
        <w:t>c</w:t>
      </w:r>
      <w:r w:rsidRPr="00AB55D4">
        <w:t xml:space="preserve">offin </w:t>
      </w:r>
      <w:r>
        <w:t>u</w:t>
      </w:r>
      <w:r w:rsidRPr="00AB55D4">
        <w:t xml:space="preserve">se on LM II-IIIB Crete. </w:t>
      </w:r>
      <w:r w:rsidRPr="00AB55D4">
        <w:rPr>
          <w:i/>
          <w:iCs/>
        </w:rPr>
        <w:t>Oxford Journal of Archaeology</w:t>
      </w:r>
      <w:r w:rsidRPr="00AB55D4">
        <w:rPr>
          <w:i/>
        </w:rPr>
        <w:t xml:space="preserve"> </w:t>
      </w:r>
      <w:r w:rsidRPr="00AB55D4">
        <w:t>23</w:t>
      </w:r>
      <w:r w:rsidRPr="006055A5">
        <w:t>:</w:t>
      </w:r>
      <w:r w:rsidRPr="00AB55D4">
        <w:t xml:space="preserve"> 177-197.</w:t>
      </w:r>
    </w:p>
    <w:p w14:paraId="50E1E22D" w14:textId="77777777" w:rsidR="00303EFE" w:rsidRPr="00AB55D4" w:rsidRDefault="00303EFE" w:rsidP="00E858EF">
      <w:pPr>
        <w:suppressAutoHyphens/>
        <w:autoSpaceDE w:val="0"/>
        <w:autoSpaceDN w:val="0"/>
        <w:adjustRightInd w:val="0"/>
      </w:pPr>
    </w:p>
    <w:p w14:paraId="04AEA8AD" w14:textId="77777777" w:rsidR="00303EFE" w:rsidRDefault="00303EFE" w:rsidP="00E858EF">
      <w:pPr>
        <w:suppressAutoHyphens/>
        <w:autoSpaceDE w:val="0"/>
        <w:autoSpaceDN w:val="0"/>
        <w:adjustRightInd w:val="0"/>
      </w:pPr>
      <w:r w:rsidRPr="00AB55D4">
        <w:t>Preston, L.</w:t>
      </w:r>
      <w:r>
        <w:t xml:space="preserve">, </w:t>
      </w:r>
      <w:r w:rsidRPr="00AB55D4">
        <w:t xml:space="preserve">2004c. Final Palatial Knossos and Postpalatial Crete: A mortuary perspective on political dynamics. </w:t>
      </w:r>
      <w:r>
        <w:t xml:space="preserve">In: </w:t>
      </w:r>
      <w:r w:rsidRPr="00AB55D4">
        <w:t>G. Cadogan, E. Hatzaki and A. Vasilakis</w:t>
      </w:r>
      <w:r>
        <w:t>, eds.</w:t>
      </w:r>
      <w:r w:rsidRPr="00AB55D4">
        <w:t xml:space="preserve"> </w:t>
      </w:r>
      <w:r w:rsidRPr="00AB55D4">
        <w:rPr>
          <w:i/>
        </w:rPr>
        <w:t xml:space="preserve">Knossos: Palace, City, State. </w:t>
      </w:r>
      <w:r w:rsidRPr="00290D1B">
        <w:t>Proceedings of the Conference in Herakleion Organised by the British School at Athens and the 23rd Ephoreia of Prehistoric and Classical Antiquities of Herakleion, in November 2000, for the Centenary of Sir Arthur Evans’s Excavations at Knossos</w:t>
      </w:r>
      <w:r w:rsidRPr="00AF19B7">
        <w:t>:</w:t>
      </w:r>
      <w:r w:rsidRPr="00AB55D4">
        <w:rPr>
          <w:i/>
        </w:rPr>
        <w:t xml:space="preserve"> </w:t>
      </w:r>
      <w:r w:rsidRPr="00AB55D4">
        <w:t>137-145. London: British School at Athens.</w:t>
      </w:r>
    </w:p>
    <w:p w14:paraId="3B899D89" w14:textId="77777777" w:rsidR="00303EFE" w:rsidRPr="00AB55D4" w:rsidRDefault="00303EFE" w:rsidP="00E858EF">
      <w:pPr>
        <w:suppressAutoHyphens/>
        <w:autoSpaceDE w:val="0"/>
        <w:autoSpaceDN w:val="0"/>
        <w:adjustRightInd w:val="0"/>
      </w:pPr>
    </w:p>
    <w:p w14:paraId="296D5C73"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B55D4">
        <w:rPr>
          <w:color w:val="000000"/>
        </w:rPr>
        <w:t>Privitera, S.</w:t>
      </w:r>
      <w:r>
        <w:rPr>
          <w:color w:val="000000"/>
        </w:rPr>
        <w:t>,</w:t>
      </w:r>
      <w:r w:rsidRPr="00AB55D4">
        <w:rPr>
          <w:color w:val="000000"/>
        </w:rPr>
        <w:t xml:space="preserve"> 2011. La tomba 9 della necropoli di Kalyvia a Festòs: Una riconsiderazione. </w:t>
      </w:r>
      <w:r>
        <w:rPr>
          <w:color w:val="000000"/>
        </w:rPr>
        <w:t xml:space="preserve">In: </w:t>
      </w:r>
      <w:r w:rsidRPr="00AB55D4">
        <w:rPr>
          <w:color w:val="000000"/>
        </w:rPr>
        <w:t>F. Carinci, N. Cucuzza, P. Militello e O. Palio</w:t>
      </w:r>
      <w:r>
        <w:rPr>
          <w:color w:val="000000"/>
        </w:rPr>
        <w:t>, eds.</w:t>
      </w:r>
      <w:r w:rsidRPr="00AB55D4">
        <w:rPr>
          <w:color w:val="000000"/>
        </w:rPr>
        <w:t xml:space="preserve"> </w:t>
      </w:r>
      <w:r w:rsidRPr="00A67D51">
        <w:rPr>
          <w:i/>
          <w:color w:val="000000"/>
        </w:rPr>
        <w:t>Κρήτης Μινωίδος: tradizione e identità minoica tra produzione artigianale, pratiche cerimoniali e memoria del passato</w:t>
      </w:r>
      <w:r>
        <w:rPr>
          <w:color w:val="000000"/>
        </w:rPr>
        <w:t xml:space="preserve">. </w:t>
      </w:r>
      <w:r w:rsidRPr="00290D1B">
        <w:rPr>
          <w:color w:val="000000"/>
        </w:rPr>
        <w:t>Studi offerti a Vincenzo La Rosa per il suo 70. Compleanno.</w:t>
      </w:r>
      <w:r w:rsidRPr="00AF19B7">
        <w:rPr>
          <w:color w:val="000000"/>
        </w:rPr>
        <w:t xml:space="preserve"> </w:t>
      </w:r>
      <w:r w:rsidRPr="00AF19B7">
        <w:t>S</w:t>
      </w:r>
      <w:r w:rsidRPr="00AB55D4">
        <w:t xml:space="preserve">tudi di archeologia cretese 10: </w:t>
      </w:r>
      <w:r w:rsidRPr="00AB55D4">
        <w:rPr>
          <w:lang w:val="en-US"/>
        </w:rPr>
        <w:t>263-272</w:t>
      </w:r>
      <w:r w:rsidRPr="00AB55D4">
        <w:t xml:space="preserve">. </w:t>
      </w:r>
      <w:r w:rsidRPr="00AB55D4">
        <w:rPr>
          <w:color w:val="000000"/>
        </w:rPr>
        <w:t>Padova: Bottega d'Erasmo A. Ausilio.</w:t>
      </w:r>
    </w:p>
    <w:p w14:paraId="5C597DFE" w14:textId="77777777" w:rsidR="00297D5A" w:rsidRDefault="00297D5A"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70437354" w14:textId="7CF614A0" w:rsidR="00297D5A" w:rsidRDefault="00297D5A" w:rsidP="00297D5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Pr>
          <w:color w:val="000000"/>
        </w:rPr>
        <w:t>Privitera, S. 2014</w:t>
      </w:r>
      <w:r w:rsidRPr="00AB55D4">
        <w:rPr>
          <w:color w:val="000000"/>
        </w:rPr>
        <w:t>.</w:t>
      </w:r>
      <w:r>
        <w:rPr>
          <w:color w:val="000000"/>
        </w:rPr>
        <w:t xml:space="preserve"> Grain storage and political economi in Bronze Age Crete: Contextualizing Ayia Triada’s Silo Complexes. </w:t>
      </w:r>
      <w:r w:rsidRPr="00EE198B">
        <w:rPr>
          <w:i/>
          <w:color w:val="000000"/>
        </w:rPr>
        <w:t xml:space="preserve">AJA </w:t>
      </w:r>
      <w:r>
        <w:rPr>
          <w:color w:val="000000"/>
        </w:rPr>
        <w:t>118.3: 429-449.</w:t>
      </w:r>
    </w:p>
    <w:p w14:paraId="07823A5C" w14:textId="77777777" w:rsidR="00297D5A" w:rsidRDefault="00297D5A" w:rsidP="00297D5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p>
    <w:p w14:paraId="63806CC9"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p>
    <w:p w14:paraId="50DA4006" w14:textId="77777777" w:rsidR="00303EFE" w:rsidRDefault="00303EFE" w:rsidP="00E858EF">
      <w:pPr>
        <w:tabs>
          <w:tab w:val="left" w:pos="0"/>
        </w:tabs>
        <w:suppressAutoHyphens/>
        <w:autoSpaceDE w:val="0"/>
        <w:autoSpaceDN w:val="0"/>
        <w:adjustRightInd w:val="0"/>
        <w:spacing w:after="40"/>
      </w:pPr>
      <w:r w:rsidRPr="00AB55D4">
        <w:t>Procopiou, N., Godart, L. and Tzigounaki, A.</w:t>
      </w:r>
      <w:r>
        <w:t>,</w:t>
      </w:r>
      <w:r w:rsidRPr="00AB55D4">
        <w:t xml:space="preserve"> 1990.</w:t>
      </w:r>
      <w:r w:rsidRPr="00AB55D4">
        <w:rPr>
          <w:lang w:val="el-GR"/>
        </w:rPr>
        <w:t xml:space="preserve"> ΥΜ θολωτός τάφος Σάτας Αμαρίου Ρεθύμνης, </w:t>
      </w:r>
      <w:r>
        <w:t xml:space="preserve">In: </w:t>
      </w:r>
      <w:r w:rsidRPr="00AB55D4">
        <w:t>B. Niniou-Kindeli</w:t>
      </w:r>
      <w:r>
        <w:t xml:space="preserve">, ed. </w:t>
      </w:r>
      <w:r w:rsidRPr="00AB55D4">
        <w:rPr>
          <w:i/>
        </w:rPr>
        <w:t>Πεπραγμένα του ΣΤ' Διεθνούς Κρητολογικού Συνεδρίου, Χανιά 1986, A2</w:t>
      </w:r>
      <w:r w:rsidRPr="00290D1B">
        <w:t>: 185-205.</w:t>
      </w:r>
      <w:r w:rsidRPr="001A0D2F">
        <w:t xml:space="preserve"> </w:t>
      </w:r>
      <w:r w:rsidRPr="00AB55D4">
        <w:t>Chania: Philologikos Syllogos o Chrysostomos.</w:t>
      </w:r>
    </w:p>
    <w:p w14:paraId="103EFD81" w14:textId="77777777" w:rsidR="00BE0C7C" w:rsidRDefault="00BE0C7C" w:rsidP="00E858EF">
      <w:pPr>
        <w:tabs>
          <w:tab w:val="left" w:pos="0"/>
        </w:tabs>
        <w:suppressAutoHyphens/>
        <w:autoSpaceDE w:val="0"/>
        <w:autoSpaceDN w:val="0"/>
        <w:adjustRightInd w:val="0"/>
        <w:spacing w:after="40"/>
      </w:pPr>
    </w:p>
    <w:p w14:paraId="5FD6FA53" w14:textId="44946814" w:rsidR="00303EFE" w:rsidRPr="00400C64" w:rsidRDefault="00E47860" w:rsidP="00E858EF">
      <w:pPr>
        <w:tabs>
          <w:tab w:val="left" w:pos="0"/>
        </w:tabs>
        <w:suppressAutoHyphens/>
        <w:autoSpaceDE w:val="0"/>
        <w:autoSpaceDN w:val="0"/>
        <w:adjustRightInd w:val="0"/>
        <w:spacing w:after="40"/>
        <w:rPr>
          <w:lang w:val="it-IT"/>
        </w:rPr>
      </w:pPr>
      <w:r w:rsidRPr="00400C64">
        <w:t xml:space="preserve">Psallida, M.A. 2012. </w:t>
      </w:r>
      <w:r w:rsidR="006B546A" w:rsidRPr="00400C64">
        <w:rPr>
          <w:i/>
          <w:lang w:val="el-GR"/>
        </w:rPr>
        <w:t>Τα νεκροταφεία στην Ανατολική Κρήτη κατά την ΥΜ ΙΙΙ πε</w:t>
      </w:r>
      <w:r w:rsidR="00B55977" w:rsidRPr="00400C64">
        <w:rPr>
          <w:i/>
          <w:lang w:val="el-GR"/>
        </w:rPr>
        <w:t>ρίοδο:  τοπογραφία, κτερίσματα, ταφικές πρακτικές</w:t>
      </w:r>
      <w:r w:rsidR="00B55977" w:rsidRPr="00400C64">
        <w:rPr>
          <w:lang w:val="el-GR"/>
        </w:rPr>
        <w:t>.</w:t>
      </w:r>
      <w:r w:rsidR="00B55977" w:rsidRPr="00400C64">
        <w:rPr>
          <w:lang w:val="it-IT"/>
        </w:rPr>
        <w:t xml:space="preserve"> PhD thesis, University of Athens.</w:t>
      </w:r>
    </w:p>
    <w:p w14:paraId="7AEBA514" w14:textId="3D28F2CB" w:rsidR="00A34F65" w:rsidRPr="00400C64" w:rsidRDefault="002F02E8" w:rsidP="00E858EF">
      <w:pPr>
        <w:tabs>
          <w:tab w:val="left" w:pos="0"/>
        </w:tabs>
        <w:suppressAutoHyphens/>
        <w:autoSpaceDE w:val="0"/>
        <w:autoSpaceDN w:val="0"/>
        <w:adjustRightInd w:val="0"/>
        <w:spacing w:after="40"/>
        <w:rPr>
          <w:lang w:val="it-IT"/>
        </w:rPr>
      </w:pPr>
      <w:r w:rsidRPr="00400C64">
        <w:rPr>
          <w:lang w:val="it-IT"/>
        </w:rPr>
        <w:t>https://thesis.ekt.gr/thesisBookReader/id/33250#</w:t>
      </w:r>
      <w:r w:rsidR="00A34F65" w:rsidRPr="00400C64">
        <w:rPr>
          <w:lang w:val="it-IT"/>
        </w:rPr>
        <w:t>page /1/mode/2up</w:t>
      </w:r>
    </w:p>
    <w:p w14:paraId="66F71967" w14:textId="77777777" w:rsidR="00A34F65" w:rsidRPr="00400C64" w:rsidRDefault="00A34F65" w:rsidP="00E858EF">
      <w:pPr>
        <w:tabs>
          <w:tab w:val="left" w:pos="0"/>
        </w:tabs>
        <w:suppressAutoHyphens/>
        <w:autoSpaceDE w:val="0"/>
        <w:autoSpaceDN w:val="0"/>
        <w:adjustRightInd w:val="0"/>
        <w:spacing w:after="40"/>
        <w:rPr>
          <w:lang w:val="it-IT"/>
        </w:rPr>
      </w:pPr>
    </w:p>
    <w:p w14:paraId="554E1B51" w14:textId="77777777" w:rsidR="00303EFE" w:rsidRPr="00290D1B" w:rsidRDefault="00303EFE" w:rsidP="00E858EF">
      <w:pPr>
        <w:suppressAutoHyphens/>
        <w:rPr>
          <w:color w:val="000000"/>
        </w:rPr>
      </w:pPr>
      <w:r w:rsidRPr="00AB55D4">
        <w:rPr>
          <w:color w:val="000000"/>
        </w:rPr>
        <w:t>Relaki, M.</w:t>
      </w:r>
      <w:r>
        <w:rPr>
          <w:color w:val="000000"/>
        </w:rPr>
        <w:t>,</w:t>
      </w:r>
      <w:r w:rsidRPr="00AB55D4">
        <w:rPr>
          <w:color w:val="000000"/>
        </w:rPr>
        <w:t xml:space="preserve"> 2004. Constructing a </w:t>
      </w:r>
      <w:r>
        <w:rPr>
          <w:color w:val="000000"/>
        </w:rPr>
        <w:t>r</w:t>
      </w:r>
      <w:r w:rsidRPr="00AB55D4">
        <w:rPr>
          <w:color w:val="000000"/>
        </w:rPr>
        <w:t xml:space="preserve">egion: </w:t>
      </w:r>
      <w:r>
        <w:rPr>
          <w:color w:val="000000"/>
        </w:rPr>
        <w:t>t</w:t>
      </w:r>
      <w:r w:rsidRPr="00AB55D4">
        <w:rPr>
          <w:color w:val="000000"/>
        </w:rPr>
        <w:t xml:space="preserve">he </w:t>
      </w:r>
      <w:r>
        <w:rPr>
          <w:color w:val="000000"/>
        </w:rPr>
        <w:t>c</w:t>
      </w:r>
      <w:r w:rsidRPr="00AB55D4">
        <w:rPr>
          <w:color w:val="000000"/>
        </w:rPr>
        <w:t xml:space="preserve">ontested </w:t>
      </w:r>
      <w:r>
        <w:rPr>
          <w:color w:val="000000"/>
        </w:rPr>
        <w:t>l</w:t>
      </w:r>
      <w:r w:rsidRPr="00AB55D4">
        <w:rPr>
          <w:color w:val="000000"/>
        </w:rPr>
        <w:t xml:space="preserve">andscapes of </w:t>
      </w:r>
      <w:r>
        <w:rPr>
          <w:color w:val="000000"/>
        </w:rPr>
        <w:t>p</w:t>
      </w:r>
      <w:r w:rsidRPr="00AB55D4">
        <w:rPr>
          <w:color w:val="000000"/>
        </w:rPr>
        <w:t xml:space="preserve">repalatial Mesara. </w:t>
      </w:r>
      <w:r>
        <w:rPr>
          <w:color w:val="000000"/>
        </w:rPr>
        <w:t xml:space="preserve">In: </w:t>
      </w:r>
      <w:r w:rsidRPr="00AB55D4">
        <w:rPr>
          <w:color w:val="000000"/>
        </w:rPr>
        <w:t>C. Barrett and P. Halstead</w:t>
      </w:r>
      <w:r>
        <w:rPr>
          <w:color w:val="000000"/>
        </w:rPr>
        <w:t>, eds.</w:t>
      </w:r>
      <w:r w:rsidRPr="00AB55D4">
        <w:rPr>
          <w:color w:val="000000"/>
        </w:rPr>
        <w:t xml:space="preserve"> </w:t>
      </w:r>
      <w:r w:rsidRPr="00AB55D4">
        <w:rPr>
          <w:i/>
          <w:color w:val="000000"/>
        </w:rPr>
        <w:t xml:space="preserve">The </w:t>
      </w:r>
      <w:r>
        <w:rPr>
          <w:i/>
          <w:color w:val="000000"/>
        </w:rPr>
        <w:t>E</w:t>
      </w:r>
      <w:r w:rsidRPr="00AB55D4">
        <w:rPr>
          <w:i/>
          <w:color w:val="000000"/>
        </w:rPr>
        <w:t xml:space="preserve">mergence of </w:t>
      </w:r>
      <w:r>
        <w:rPr>
          <w:i/>
          <w:color w:val="000000"/>
        </w:rPr>
        <w:t>C</w:t>
      </w:r>
      <w:r w:rsidRPr="00AB55D4">
        <w:rPr>
          <w:i/>
          <w:color w:val="000000"/>
        </w:rPr>
        <w:t xml:space="preserve">ivilisation </w:t>
      </w:r>
      <w:r>
        <w:rPr>
          <w:i/>
          <w:color w:val="000000"/>
        </w:rPr>
        <w:t>R</w:t>
      </w:r>
      <w:r w:rsidRPr="00AB55D4">
        <w:rPr>
          <w:i/>
          <w:color w:val="000000"/>
        </w:rPr>
        <w:t>evisited</w:t>
      </w:r>
      <w:r w:rsidRPr="00290D1B">
        <w:rPr>
          <w:color w:val="000000"/>
        </w:rPr>
        <w:t>: 170-188. Oxford: Oxbow.</w:t>
      </w:r>
    </w:p>
    <w:p w14:paraId="307AD21C" w14:textId="77777777" w:rsidR="00303EFE" w:rsidRPr="00AB55D4" w:rsidRDefault="00303EFE" w:rsidP="00E858EF">
      <w:pPr>
        <w:suppressAutoHyphens/>
        <w:rPr>
          <w:i/>
          <w:color w:val="000000"/>
        </w:rPr>
      </w:pPr>
    </w:p>
    <w:p w14:paraId="72DB5449" w14:textId="311C4016" w:rsidR="00303EFE" w:rsidRDefault="00303EFE" w:rsidP="00E858EF">
      <w:pPr>
        <w:tabs>
          <w:tab w:val="left" w:pos="0"/>
        </w:tabs>
        <w:suppressAutoHyphens/>
        <w:autoSpaceDE w:val="0"/>
        <w:autoSpaceDN w:val="0"/>
        <w:adjustRightInd w:val="0"/>
        <w:spacing w:after="40"/>
        <w:rPr>
          <w:i/>
          <w:lang w:val="el-GR"/>
        </w:rPr>
      </w:pPr>
      <w:r w:rsidRPr="00AB55D4">
        <w:t>Rethemiotakis, G.</w:t>
      </w:r>
      <w:r>
        <w:t>,</w:t>
      </w:r>
      <w:r w:rsidRPr="00AB55D4">
        <w:t xml:space="preserve"> 1979. Λ</w:t>
      </w:r>
      <w:r w:rsidRPr="00AB55D4">
        <w:rPr>
          <w:lang w:val="el-GR"/>
        </w:rPr>
        <w:t>άρνακες και αγγεία από το Καβροχώρι Ηρακλείου</w:t>
      </w:r>
      <w:r>
        <w:rPr>
          <w:lang w:val="el-GR"/>
        </w:rPr>
        <w:t>.</w:t>
      </w:r>
      <w:r w:rsidRPr="00AB55D4">
        <w:rPr>
          <w:lang w:val="el-GR"/>
        </w:rPr>
        <w:t xml:space="preserve"> </w:t>
      </w:r>
      <w:r w:rsidRPr="00BA2849">
        <w:rPr>
          <w:i/>
          <w:lang w:val="el-GR"/>
        </w:rPr>
        <w:t>ADelt</w:t>
      </w:r>
      <w:r>
        <w:rPr>
          <w:lang w:val="el-GR"/>
        </w:rPr>
        <w:t xml:space="preserve"> </w:t>
      </w:r>
      <w:r w:rsidRPr="00AB55D4">
        <w:rPr>
          <w:i/>
          <w:lang w:val="el-GR"/>
        </w:rPr>
        <w:t>34 A</w:t>
      </w:r>
      <w:r w:rsidRPr="00290D1B">
        <w:rPr>
          <w:lang w:val="el-GR"/>
        </w:rPr>
        <w:t>: 228-259.</w:t>
      </w:r>
    </w:p>
    <w:p w14:paraId="633D65BC" w14:textId="77777777" w:rsidR="00303EFE" w:rsidRPr="00AB55D4" w:rsidRDefault="00303EFE" w:rsidP="00E858EF">
      <w:pPr>
        <w:tabs>
          <w:tab w:val="left" w:pos="0"/>
        </w:tabs>
        <w:suppressAutoHyphens/>
        <w:autoSpaceDE w:val="0"/>
        <w:autoSpaceDN w:val="0"/>
        <w:adjustRightInd w:val="0"/>
        <w:spacing w:after="40"/>
        <w:rPr>
          <w:i/>
          <w:lang w:val="el-GR"/>
        </w:rPr>
      </w:pPr>
    </w:p>
    <w:p w14:paraId="4574C8D2" w14:textId="00D25429" w:rsidR="00303EFE" w:rsidRDefault="00303EFE" w:rsidP="00E858EF">
      <w:pPr>
        <w:suppressAutoHyphens/>
      </w:pPr>
      <w:r w:rsidRPr="00AB55D4">
        <w:rPr>
          <w:color w:val="000000"/>
        </w:rPr>
        <w:t>Rethemiotakis,</w:t>
      </w:r>
      <w:r>
        <w:rPr>
          <w:color w:val="000000"/>
        </w:rPr>
        <w:t xml:space="preserve"> </w:t>
      </w:r>
      <w:r w:rsidRPr="00AB55D4">
        <w:rPr>
          <w:color w:val="000000"/>
        </w:rPr>
        <w:t>G.</w:t>
      </w:r>
      <w:r>
        <w:rPr>
          <w:color w:val="000000"/>
        </w:rPr>
        <w:t xml:space="preserve">, </w:t>
      </w:r>
      <w:r w:rsidRPr="00AB55D4">
        <w:rPr>
          <w:color w:val="000000"/>
        </w:rPr>
        <w:t xml:space="preserve">1987. </w:t>
      </w:r>
      <w:r w:rsidRPr="00AB55D4">
        <w:rPr>
          <w:lang w:val="el-GR"/>
        </w:rPr>
        <w:t>Υστερομινωικός θαλομ</w:t>
      </w:r>
      <w:r w:rsidR="00AA1EC2">
        <w:rPr>
          <w:lang w:val="el-GR"/>
        </w:rPr>
        <w:t>ω</w:t>
      </w:r>
      <w:r w:rsidRPr="00AB55D4">
        <w:rPr>
          <w:lang w:val="el-GR"/>
        </w:rPr>
        <w:t>τ</w:t>
      </w:r>
      <w:r w:rsidR="00AA1EC2">
        <w:rPr>
          <w:lang w:val="el-GR"/>
        </w:rPr>
        <w:t>ό</w:t>
      </w:r>
      <w:r w:rsidRPr="00AB55D4">
        <w:rPr>
          <w:lang w:val="el-GR"/>
        </w:rPr>
        <w:t xml:space="preserve">ς τάφος στο Κυπαρίσσι </w:t>
      </w:r>
      <w:r w:rsidRPr="00AB55D4">
        <w:t xml:space="preserve">Ηρακλείου. </w:t>
      </w:r>
      <w:r>
        <w:t xml:space="preserve">In: </w:t>
      </w:r>
      <w:r w:rsidRPr="00A67D51">
        <w:rPr>
          <w:i/>
        </w:rPr>
        <w:t>Ειλαπίνη: τόμος τιμητικός για τον καθηγητή Νικόλαο Πλάτωνα</w:t>
      </w:r>
      <w:r>
        <w:t>:</w:t>
      </w:r>
      <w:r w:rsidRPr="00AB55D4">
        <w:t xml:space="preserve"> 235-243. Ηράκλειο: Βικελαία Δημοτική Βιβλιοθήκη</w:t>
      </w:r>
      <w:r>
        <w:t>.</w:t>
      </w:r>
    </w:p>
    <w:p w14:paraId="2C48ECDE" w14:textId="77777777" w:rsidR="00303EFE" w:rsidRPr="00AB55D4" w:rsidRDefault="00303EFE" w:rsidP="00E858EF">
      <w:pPr>
        <w:suppressAutoHyphens/>
      </w:pPr>
    </w:p>
    <w:p w14:paraId="04B3CC8E" w14:textId="77777777" w:rsidR="00303EFE" w:rsidRDefault="00303EFE" w:rsidP="00E858EF">
      <w:pPr>
        <w:suppressAutoHyphens/>
        <w:autoSpaceDE w:val="0"/>
        <w:autoSpaceDN w:val="0"/>
        <w:adjustRightInd w:val="0"/>
      </w:pPr>
      <w:r w:rsidRPr="00AB55D4">
        <w:t>Rethemiotakis, G.</w:t>
      </w:r>
      <w:r>
        <w:t>,</w:t>
      </w:r>
      <w:r w:rsidRPr="00AB55D4">
        <w:t xml:space="preserve"> 1995. </w:t>
      </w:r>
      <w:r w:rsidRPr="00AB55D4">
        <w:rPr>
          <w:lang w:val="el-GR"/>
        </w:rPr>
        <w:t xml:space="preserve">Μινωική λάρνακα από Κλήμα Μεσαρας. </w:t>
      </w:r>
      <w:r w:rsidRPr="00AB55D4">
        <w:rPr>
          <w:i/>
        </w:rPr>
        <w:t>A</w:t>
      </w:r>
      <w:r w:rsidRPr="00AB55D4">
        <w:rPr>
          <w:i/>
          <w:lang w:val="el-GR"/>
        </w:rPr>
        <w:t>ρχαιολογική Εφημερίς</w:t>
      </w:r>
      <w:r w:rsidRPr="006055A5">
        <w:rPr>
          <w:lang w:val="el-GR"/>
        </w:rPr>
        <w:t>:</w:t>
      </w:r>
      <w:r w:rsidRPr="00AB55D4">
        <w:rPr>
          <w:i/>
          <w:lang w:val="el-GR"/>
        </w:rPr>
        <w:t xml:space="preserve"> </w:t>
      </w:r>
      <w:r w:rsidRPr="00AB55D4">
        <w:t>163-185.</w:t>
      </w:r>
    </w:p>
    <w:p w14:paraId="00BB1724" w14:textId="77777777" w:rsidR="00303EFE" w:rsidRPr="00AB55D4" w:rsidRDefault="00303EFE" w:rsidP="00E858EF">
      <w:pPr>
        <w:suppressAutoHyphens/>
        <w:autoSpaceDE w:val="0"/>
        <w:autoSpaceDN w:val="0"/>
        <w:adjustRightInd w:val="0"/>
      </w:pPr>
    </w:p>
    <w:p w14:paraId="2473725B" w14:textId="77777777" w:rsidR="00303EFE" w:rsidRDefault="00303EFE" w:rsidP="00E858EF">
      <w:pPr>
        <w:suppressAutoHyphens/>
        <w:autoSpaceDE w:val="0"/>
        <w:autoSpaceDN w:val="0"/>
        <w:adjustRightInd w:val="0"/>
      </w:pPr>
      <w:r w:rsidRPr="00AB55D4">
        <w:t>Rethemiotakis, G.</w:t>
      </w:r>
      <w:r>
        <w:t>,</w:t>
      </w:r>
      <w:r w:rsidRPr="00AB55D4">
        <w:t xml:space="preserve"> 1997. A </w:t>
      </w:r>
      <w:r>
        <w:t>c</w:t>
      </w:r>
      <w:r w:rsidRPr="00AB55D4">
        <w:t xml:space="preserve">hest-shaped </w:t>
      </w:r>
      <w:r>
        <w:t>v</w:t>
      </w:r>
      <w:r w:rsidRPr="00AB55D4">
        <w:t xml:space="preserve">essel and Other LM IIIC Pottery from Kastelli Pediada. </w:t>
      </w:r>
      <w:r>
        <w:t xml:space="preserve">In: </w:t>
      </w:r>
      <w:r w:rsidRPr="00AB55D4">
        <w:t>J. Driessen and A. Farnoux</w:t>
      </w:r>
      <w:r>
        <w:t>, eds.</w:t>
      </w:r>
      <w:r w:rsidRPr="00AB55D4">
        <w:t xml:space="preserve"> </w:t>
      </w:r>
      <w:r w:rsidRPr="00AB55D4">
        <w:rPr>
          <w:i/>
        </w:rPr>
        <w:t xml:space="preserve">La Crète </w:t>
      </w:r>
      <w:r>
        <w:rPr>
          <w:i/>
        </w:rPr>
        <w:t>m</w:t>
      </w:r>
      <w:r w:rsidRPr="00AB55D4">
        <w:rPr>
          <w:i/>
        </w:rPr>
        <w:t>ycénienne</w:t>
      </w:r>
      <w:r>
        <w:t>.</w:t>
      </w:r>
      <w:r w:rsidRPr="00290D1B">
        <w:t xml:space="preserve"> </w:t>
      </w:r>
      <w:r>
        <w:t>A</w:t>
      </w:r>
      <w:r w:rsidRPr="00290D1B">
        <w:t>ctes de la table ronde internationale organisée par l'Ecole française d'Athènes 26-28 mars 1991</w:t>
      </w:r>
      <w:r w:rsidRPr="00AF19B7">
        <w:t xml:space="preserve">. </w:t>
      </w:r>
      <w:r w:rsidRPr="00290D1B">
        <w:t>Bulletin de Correspondance Hellénique</w:t>
      </w:r>
      <w:r w:rsidRPr="00AB55D4">
        <w:rPr>
          <w:i/>
        </w:rPr>
        <w:t xml:space="preserve"> </w:t>
      </w:r>
      <w:r w:rsidRPr="00AB55D4">
        <w:t>Supplement 30: 407-421. Athènes: École française d'Athènes.</w:t>
      </w:r>
    </w:p>
    <w:p w14:paraId="7BF6E253" w14:textId="77777777" w:rsidR="00303EFE" w:rsidRPr="00AB55D4" w:rsidRDefault="00303EFE" w:rsidP="00E858EF">
      <w:pPr>
        <w:suppressAutoHyphens/>
        <w:autoSpaceDE w:val="0"/>
        <w:autoSpaceDN w:val="0"/>
        <w:adjustRightInd w:val="0"/>
      </w:pPr>
    </w:p>
    <w:p w14:paraId="49558A9E" w14:textId="27751C69" w:rsidR="00303EFE" w:rsidRDefault="00303EFE" w:rsidP="00E858EF">
      <w:pPr>
        <w:suppressAutoHyphens/>
        <w:rPr>
          <w:lang w:eastAsia="en-US"/>
        </w:rPr>
      </w:pPr>
      <w:r w:rsidRPr="00AB55D4">
        <w:rPr>
          <w:color w:val="000000"/>
        </w:rPr>
        <w:t>Rethemiotakis, G.</w:t>
      </w:r>
      <w:r>
        <w:rPr>
          <w:color w:val="000000"/>
        </w:rPr>
        <w:t>,</w:t>
      </w:r>
      <w:r w:rsidRPr="00AB55D4">
        <w:rPr>
          <w:color w:val="000000"/>
        </w:rPr>
        <w:t xml:space="preserve"> 2013. Λάρνακες απο το Κυπαρίσσι Ηρακλ</w:t>
      </w:r>
      <w:r w:rsidR="00AA1EC2">
        <w:rPr>
          <w:color w:val="000000"/>
        </w:rPr>
        <w:t>ε</w:t>
      </w:r>
      <w:r w:rsidRPr="00AB55D4">
        <w:rPr>
          <w:color w:val="000000"/>
        </w:rPr>
        <w:t>ίου νεα στοιχεία για την παρουσία της εικόνας του Μινωικού ανάκτορου σε παραστάσεις νεκρολατρείας.</w:t>
      </w:r>
      <w:r w:rsidRPr="00AB55D4">
        <w:rPr>
          <w:smallCaps/>
          <w:lang w:val="el-GR" w:eastAsia="en-US"/>
        </w:rPr>
        <w:t xml:space="preserve"> </w:t>
      </w:r>
      <w:r>
        <w:rPr>
          <w:lang w:eastAsia="en-US"/>
        </w:rPr>
        <w:t xml:space="preserve">In: </w:t>
      </w:r>
      <w:r w:rsidRPr="00AB55D4">
        <w:rPr>
          <w:lang w:eastAsia="en-US"/>
        </w:rPr>
        <w:t>E. P. Sioubara and K. Psaroudakis</w:t>
      </w:r>
      <w:r>
        <w:rPr>
          <w:lang w:val="en-US" w:eastAsia="en-US"/>
        </w:rPr>
        <w:t>, eds.</w:t>
      </w:r>
      <w:r w:rsidRPr="00AB55D4">
        <w:rPr>
          <w:lang w:val="en-US" w:eastAsia="en-US"/>
        </w:rPr>
        <w:t xml:space="preserve"> </w:t>
      </w:r>
      <w:r w:rsidRPr="00A67D51">
        <w:rPr>
          <w:i/>
          <w:lang w:eastAsia="en-US"/>
        </w:rPr>
        <w:t>24 μελέτες για τον Δάσκαλο Πέτρο Θέμελη από τους μαθητές και τους συνεργάτες του</w:t>
      </w:r>
      <w:r>
        <w:rPr>
          <w:lang w:eastAsia="en-US"/>
        </w:rPr>
        <w:t>:</w:t>
      </w:r>
      <w:r w:rsidRPr="00AB55D4">
        <w:rPr>
          <w:lang w:eastAsia="en-US"/>
        </w:rPr>
        <w:t xml:space="preserve"> 1-15. Αθήνα: Εταιρεία Μεσσηνιακών Αρχαιολογικών Σπουδών.</w:t>
      </w:r>
    </w:p>
    <w:p w14:paraId="1FF366C0" w14:textId="77777777" w:rsidR="00F52D43" w:rsidRDefault="00F52D43" w:rsidP="00E858EF">
      <w:pPr>
        <w:suppressAutoHyphens/>
        <w:rPr>
          <w:lang w:eastAsia="en-US"/>
        </w:rPr>
      </w:pPr>
    </w:p>
    <w:p w14:paraId="71B3A663" w14:textId="3DACBE17" w:rsidR="00303EFE" w:rsidRDefault="008F3C47" w:rsidP="00E858EF">
      <w:pPr>
        <w:suppressAutoHyphens/>
        <w:rPr>
          <w:lang w:val="it-IT" w:eastAsia="en-US"/>
        </w:rPr>
      </w:pPr>
      <w:r>
        <w:rPr>
          <w:lang w:val="it-IT" w:eastAsia="en-US"/>
        </w:rPr>
        <w:t xml:space="preserve">Robb, J. 2010. Beyond Agency. </w:t>
      </w:r>
      <w:r w:rsidRPr="00F52D43">
        <w:rPr>
          <w:i/>
          <w:lang w:val="it-IT" w:eastAsia="en-US"/>
        </w:rPr>
        <w:t>World Archaeology</w:t>
      </w:r>
      <w:r>
        <w:rPr>
          <w:lang w:val="it-IT" w:eastAsia="en-US"/>
        </w:rPr>
        <w:t xml:space="preserve"> 42/4</w:t>
      </w:r>
      <w:r w:rsidR="00DC1CC0">
        <w:rPr>
          <w:lang w:val="it-IT" w:eastAsia="en-US"/>
        </w:rPr>
        <w:t>:493-520.</w:t>
      </w:r>
    </w:p>
    <w:p w14:paraId="20B793C5" w14:textId="77777777" w:rsidR="00DC1CC0" w:rsidRPr="00F52D43" w:rsidRDefault="00DC1CC0" w:rsidP="00E858EF">
      <w:pPr>
        <w:suppressAutoHyphens/>
        <w:rPr>
          <w:lang w:val="it-IT" w:eastAsia="en-US"/>
        </w:rPr>
      </w:pPr>
    </w:p>
    <w:p w14:paraId="14031FC0" w14:textId="77777777" w:rsidR="00303EFE" w:rsidRDefault="00303EFE" w:rsidP="00E858EF">
      <w:pPr>
        <w:suppressAutoHyphens/>
        <w:autoSpaceDE w:val="0"/>
        <w:autoSpaceDN w:val="0"/>
        <w:adjustRightInd w:val="0"/>
      </w:pPr>
      <w:r w:rsidRPr="00AB55D4">
        <w:t>Rutkowski, B.</w:t>
      </w:r>
      <w:r>
        <w:t>,</w:t>
      </w:r>
      <w:r w:rsidRPr="00AB55D4">
        <w:t xml:space="preserve"> 1964. Les sarcophages minoens et mycéniens en dehors de la Gréce. </w:t>
      </w:r>
      <w:r w:rsidRPr="00AB55D4">
        <w:rPr>
          <w:i/>
        </w:rPr>
        <w:t xml:space="preserve">Archaeologia </w:t>
      </w:r>
      <w:r w:rsidRPr="00BA2849">
        <w:t>XV</w:t>
      </w:r>
      <w:r w:rsidRPr="00AB55D4">
        <w:t>: 153-175.</w:t>
      </w:r>
    </w:p>
    <w:p w14:paraId="56E5BEEC" w14:textId="77777777" w:rsidR="00303EFE" w:rsidRDefault="00303EFE" w:rsidP="00E858EF">
      <w:pPr>
        <w:suppressAutoHyphens/>
        <w:autoSpaceDE w:val="0"/>
        <w:autoSpaceDN w:val="0"/>
        <w:adjustRightInd w:val="0"/>
      </w:pPr>
    </w:p>
    <w:p w14:paraId="46DA4A16" w14:textId="06138BD3" w:rsidR="00303EFE" w:rsidRPr="009828C4" w:rsidRDefault="00303EFE" w:rsidP="00E858EF">
      <w:pPr>
        <w:suppressAutoHyphens/>
        <w:autoSpaceDE w:val="0"/>
        <w:autoSpaceDN w:val="0"/>
        <w:adjustRightInd w:val="0"/>
      </w:pPr>
      <w:r w:rsidRPr="00AF19B7">
        <w:t xml:space="preserve">Rutkowski, B., 1966. </w:t>
      </w:r>
      <w:r w:rsidRPr="009828C4">
        <w:rPr>
          <w:i/>
        </w:rPr>
        <w:t>Larnaksy Eg</w:t>
      </w:r>
      <w:r w:rsidR="00DC1CC0">
        <w:rPr>
          <w:i/>
        </w:rPr>
        <w:t>e</w:t>
      </w:r>
      <w:r w:rsidRPr="009828C4">
        <w:rPr>
          <w:i/>
        </w:rPr>
        <w:t>jskie</w:t>
      </w:r>
      <w:r w:rsidRPr="009828C4">
        <w:t>. Wroclaw: Zakad Narodowy im. Osloinskich, Wydawn. Polskiej Akademii Nauk.</w:t>
      </w:r>
    </w:p>
    <w:p w14:paraId="3F590C7A" w14:textId="77777777" w:rsidR="00303EFE" w:rsidRPr="009828C4" w:rsidRDefault="00303EFE" w:rsidP="00E858EF">
      <w:pPr>
        <w:suppressAutoHyphens/>
        <w:autoSpaceDE w:val="0"/>
        <w:autoSpaceDN w:val="0"/>
        <w:adjustRightInd w:val="0"/>
      </w:pPr>
    </w:p>
    <w:p w14:paraId="56408008" w14:textId="77777777" w:rsidR="00303EFE" w:rsidRPr="009828C4" w:rsidRDefault="00303EFE" w:rsidP="00E858EF">
      <w:pPr>
        <w:suppressAutoHyphens/>
        <w:autoSpaceDE w:val="0"/>
        <w:autoSpaceDN w:val="0"/>
        <w:adjustRightInd w:val="0"/>
      </w:pPr>
      <w:r w:rsidRPr="009828C4">
        <w:t xml:space="preserve">Rutkowski, B., 1968. The origin of the minoan coffin. </w:t>
      </w:r>
      <w:r w:rsidRPr="009828C4">
        <w:rPr>
          <w:i/>
          <w:lang w:val="en-US"/>
        </w:rPr>
        <w:t>BSA</w:t>
      </w:r>
      <w:r w:rsidRPr="009828C4">
        <w:t xml:space="preserve"> 63: 219-227.</w:t>
      </w:r>
    </w:p>
    <w:p w14:paraId="037C9956" w14:textId="77777777" w:rsidR="00303EFE" w:rsidRPr="009828C4" w:rsidRDefault="00303EFE" w:rsidP="00E858EF">
      <w:pPr>
        <w:suppressAutoHyphens/>
        <w:autoSpaceDE w:val="0"/>
        <w:autoSpaceDN w:val="0"/>
        <w:adjustRightInd w:val="0"/>
      </w:pPr>
    </w:p>
    <w:p w14:paraId="5E133755" w14:textId="78C9F413" w:rsidR="00303EFE" w:rsidRPr="009828C4" w:rsidRDefault="00303EFE" w:rsidP="00E858EF">
      <w:pPr>
        <w:suppressAutoHyphens/>
        <w:rPr>
          <w:lang w:val="el-GR"/>
        </w:rPr>
      </w:pPr>
      <w:r w:rsidRPr="009828C4">
        <w:t xml:space="preserve">Sakellarakis, Y., 1966. </w:t>
      </w:r>
      <w:r w:rsidRPr="009828C4">
        <w:rPr>
          <w:lang w:val="el-GR"/>
        </w:rPr>
        <w:t>Υστερομινωικό νεκροτ</w:t>
      </w:r>
      <w:r w:rsidR="00DC1CC0">
        <w:rPr>
          <w:lang w:val="el-GR"/>
        </w:rPr>
        <w:t>α</w:t>
      </w:r>
      <w:r w:rsidRPr="009828C4">
        <w:rPr>
          <w:lang w:val="el-GR"/>
        </w:rPr>
        <w:t>φ</w:t>
      </w:r>
      <w:r w:rsidR="00DC1CC0">
        <w:rPr>
          <w:lang w:val="el-GR"/>
        </w:rPr>
        <w:t>εί</w:t>
      </w:r>
      <w:r w:rsidRPr="009828C4">
        <w:rPr>
          <w:lang w:val="el-GR"/>
        </w:rPr>
        <w:t>ο στις Αρχάνες.</w:t>
      </w:r>
      <w:r w:rsidRPr="009828C4">
        <w:t xml:space="preserve"> </w:t>
      </w:r>
      <w:r w:rsidRPr="009828C4">
        <w:rPr>
          <w:i/>
        </w:rPr>
        <w:t xml:space="preserve">ADelt </w:t>
      </w:r>
      <w:r w:rsidRPr="009828C4">
        <w:rPr>
          <w:i/>
          <w:lang w:val="el-GR"/>
        </w:rPr>
        <w:t>20</w:t>
      </w:r>
      <w:r w:rsidRPr="009828C4">
        <w:rPr>
          <w:lang w:val="el-GR"/>
        </w:rPr>
        <w:t>, 110-118.</w:t>
      </w:r>
    </w:p>
    <w:p w14:paraId="223E8F79" w14:textId="77777777" w:rsidR="00303EFE" w:rsidRPr="009828C4" w:rsidRDefault="00303EFE" w:rsidP="00E858EF">
      <w:pPr>
        <w:suppressAutoHyphens/>
        <w:rPr>
          <w:lang w:val="el-GR"/>
        </w:rPr>
      </w:pPr>
    </w:p>
    <w:p w14:paraId="5512D565" w14:textId="77777777" w:rsidR="00303EFE" w:rsidRPr="009828C4" w:rsidRDefault="00303EFE" w:rsidP="00E858EF">
      <w:pPr>
        <w:suppressAutoHyphens/>
        <w:autoSpaceDE w:val="0"/>
        <w:autoSpaceDN w:val="0"/>
        <w:adjustRightInd w:val="0"/>
      </w:pPr>
      <w:r w:rsidRPr="009828C4">
        <w:t xml:space="preserve">Sakellarakis, Y. and Sapouna-Sakellaraki, E., 1992. Archanes-Phourni. Archanes-Tourkoyeitonia. In: J. W. Myers, E. E. Myers and G. Cadogan, eds. </w:t>
      </w:r>
      <w:r w:rsidRPr="009828C4">
        <w:rPr>
          <w:i/>
        </w:rPr>
        <w:t>The Aerial Atlas of Ancient Crete</w:t>
      </w:r>
      <w:r w:rsidRPr="009828C4">
        <w:t>:</w:t>
      </w:r>
      <w:r w:rsidRPr="009828C4">
        <w:rPr>
          <w:i/>
        </w:rPr>
        <w:t xml:space="preserve"> </w:t>
      </w:r>
      <w:r w:rsidRPr="009828C4">
        <w:t>54-62. Berkeley: University of California Press.</w:t>
      </w:r>
    </w:p>
    <w:p w14:paraId="4E91659F" w14:textId="77777777" w:rsidR="00303EFE" w:rsidRPr="009828C4" w:rsidRDefault="00303EFE" w:rsidP="00E858EF">
      <w:pPr>
        <w:suppressAutoHyphens/>
        <w:rPr>
          <w:lang w:val="el-GR"/>
        </w:rPr>
      </w:pPr>
    </w:p>
    <w:p w14:paraId="3AF46E1D" w14:textId="76A5869E" w:rsidR="00303EFE" w:rsidRPr="009828C4" w:rsidRDefault="00303EFE" w:rsidP="00E858EF">
      <w:pPr>
        <w:suppressAutoHyphens/>
      </w:pPr>
      <w:r w:rsidRPr="009828C4">
        <w:t>Sakellarakis, Y. and Sapouna-Sakellaraki E., 1996</w:t>
      </w:r>
      <w:r w:rsidR="005C28EF">
        <w:t>.</w:t>
      </w:r>
      <w:r w:rsidRPr="009828C4">
        <w:t xml:space="preserve"> Mycenaean Archanes. In: E. De Miro, L. Godart and A. Sacconi, eds. </w:t>
      </w:r>
      <w:r w:rsidRPr="009828C4">
        <w:rPr>
          <w:i/>
        </w:rPr>
        <w:t>Atti e memorie del secondo Congresso Internazionale di Micenologia</w:t>
      </w:r>
      <w:r w:rsidRPr="00290D1B">
        <w:t>. Roma-Napoli, 14-20 ottobre 1991. Incunabula Graeca 98</w:t>
      </w:r>
      <w:r w:rsidRPr="00AF19B7">
        <w:t>: 1111-1117. Roma: Gruppo Editoriale</w:t>
      </w:r>
      <w:r w:rsidRPr="009828C4">
        <w:t xml:space="preserve"> Internazionale.</w:t>
      </w:r>
    </w:p>
    <w:p w14:paraId="4E3110D9" w14:textId="77777777" w:rsidR="00303EFE" w:rsidRPr="009828C4" w:rsidRDefault="00303EFE" w:rsidP="00E858EF">
      <w:pPr>
        <w:suppressAutoHyphens/>
        <w:rPr>
          <w:i/>
        </w:rPr>
      </w:pPr>
    </w:p>
    <w:p w14:paraId="4B602528" w14:textId="77777777" w:rsidR="00303EFE" w:rsidRPr="009828C4" w:rsidRDefault="00303EFE" w:rsidP="00E858EF">
      <w:pPr>
        <w:suppressAutoHyphens/>
        <w:autoSpaceDE w:val="0"/>
        <w:autoSpaceDN w:val="0"/>
        <w:adjustRightInd w:val="0"/>
      </w:pPr>
      <w:r w:rsidRPr="009828C4">
        <w:t xml:space="preserve">Sakellarakis, Y. and Sapouna-Sakellaraki E., 1997. </w:t>
      </w:r>
      <w:r w:rsidRPr="009828C4">
        <w:rPr>
          <w:i/>
        </w:rPr>
        <w:t>Archanes: Minoan Crete in a New Light</w:t>
      </w:r>
      <w:r w:rsidRPr="009828C4">
        <w:t>. Vol. 1, 2 Athens: Ammos Editions.</w:t>
      </w:r>
    </w:p>
    <w:p w14:paraId="427E3E95" w14:textId="77777777" w:rsidR="00303EFE" w:rsidRPr="009828C4" w:rsidRDefault="00303EFE" w:rsidP="00E858EF">
      <w:pPr>
        <w:suppressAutoHyphens/>
        <w:autoSpaceDE w:val="0"/>
        <w:autoSpaceDN w:val="0"/>
        <w:adjustRightInd w:val="0"/>
      </w:pPr>
    </w:p>
    <w:p w14:paraId="0033A5D0" w14:textId="472A5635" w:rsidR="00303EFE" w:rsidRDefault="00303EFE" w:rsidP="00E858EF">
      <w:pPr>
        <w:suppressAutoHyphens/>
      </w:pPr>
      <w:r w:rsidRPr="009828C4">
        <w:t xml:space="preserve">Sapouna-Sakellaraki, E. S., 1990. </w:t>
      </w:r>
      <w:r w:rsidRPr="009828C4">
        <w:rPr>
          <w:i/>
        </w:rPr>
        <w:t>Archanes a l'Epoque Myc</w:t>
      </w:r>
      <w:r w:rsidR="00FB5172">
        <w:rPr>
          <w:i/>
          <w:lang w:val="it-IT"/>
        </w:rPr>
        <w:t>é</w:t>
      </w:r>
      <w:r w:rsidRPr="009828C4">
        <w:rPr>
          <w:i/>
        </w:rPr>
        <w:t>nienne.</w:t>
      </w:r>
      <w:r w:rsidRPr="009828C4">
        <w:t xml:space="preserve"> Athènes: École Française d'Athènes.</w:t>
      </w:r>
    </w:p>
    <w:p w14:paraId="586CBB35" w14:textId="77777777" w:rsidR="00303EFE" w:rsidRPr="00AB55D4" w:rsidRDefault="00303EFE" w:rsidP="00E858EF">
      <w:pPr>
        <w:suppressAutoHyphens/>
      </w:pPr>
    </w:p>
    <w:p w14:paraId="5E56C542" w14:textId="77777777" w:rsidR="00303EFE" w:rsidRDefault="00303EFE" w:rsidP="00E858EF">
      <w:pPr>
        <w:tabs>
          <w:tab w:val="left" w:pos="220"/>
          <w:tab w:val="left" w:pos="720"/>
        </w:tabs>
        <w:suppressAutoHyphens/>
        <w:autoSpaceDE w:val="0"/>
        <w:autoSpaceDN w:val="0"/>
        <w:adjustRightInd w:val="0"/>
      </w:pPr>
      <w:r w:rsidRPr="00AB55D4">
        <w:t>Savignoni, L.</w:t>
      </w:r>
      <w:r>
        <w:t>,</w:t>
      </w:r>
      <w:r w:rsidRPr="00AB55D4">
        <w:t xml:space="preserve"> 1904. Scavi e scoperte nella necropoli di Phaestos. </w:t>
      </w:r>
      <w:r w:rsidRPr="00AB55D4">
        <w:rPr>
          <w:i/>
        </w:rPr>
        <w:t>Monumenti Antichi</w:t>
      </w:r>
      <w:r w:rsidRPr="00BA2849">
        <w:t xml:space="preserve"> XIV</w:t>
      </w:r>
      <w:r w:rsidRPr="00AB55D4">
        <w:t>: 501-675. </w:t>
      </w:r>
    </w:p>
    <w:p w14:paraId="41DA5782" w14:textId="77777777" w:rsidR="00303EFE" w:rsidRPr="00AB55D4" w:rsidRDefault="00303EFE" w:rsidP="00E858EF">
      <w:pPr>
        <w:tabs>
          <w:tab w:val="left" w:pos="220"/>
          <w:tab w:val="left" w:pos="720"/>
        </w:tabs>
        <w:suppressAutoHyphens/>
        <w:autoSpaceDE w:val="0"/>
        <w:autoSpaceDN w:val="0"/>
        <w:adjustRightInd w:val="0"/>
      </w:pPr>
    </w:p>
    <w:p w14:paraId="705BEA98"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r w:rsidRPr="0062782E">
        <w:t>Saxe, A. A.</w:t>
      </w:r>
      <w:r>
        <w:t>,</w:t>
      </w:r>
      <w:r w:rsidRPr="0062782E">
        <w:t xml:space="preserve"> 1970. S</w:t>
      </w:r>
      <w:r w:rsidRPr="009A2E52">
        <w:rPr>
          <w:i/>
        </w:rPr>
        <w:t>ocial Dimensions of Mortuary Practices</w:t>
      </w:r>
      <w:r w:rsidRPr="009A2E52">
        <w:t>.</w:t>
      </w:r>
      <w:r w:rsidRPr="0064559F">
        <w:t xml:space="preserve"> Unpublished</w:t>
      </w:r>
      <w:r w:rsidRPr="0009095F">
        <w:t xml:space="preserve"> PhD</w:t>
      </w:r>
      <w:r w:rsidRPr="007A4EC9">
        <w:t xml:space="preserve"> thesis University of </w:t>
      </w:r>
      <w:r w:rsidRPr="0062782E">
        <w:t>Michigan.</w:t>
      </w:r>
    </w:p>
    <w:p w14:paraId="1143B74B"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p>
    <w:p w14:paraId="6DDB6547" w14:textId="77777777" w:rsidR="00303EFE" w:rsidRDefault="00303EFE" w:rsidP="00E858EF">
      <w:pPr>
        <w:pStyle w:val="Paragrafoelenco"/>
        <w:suppressAutoHyphens/>
        <w:ind w:left="0"/>
        <w:rPr>
          <w:i/>
          <w:color w:val="000000" w:themeColor="text1"/>
          <w:lang w:val="it-IT"/>
        </w:rPr>
      </w:pPr>
      <w:r w:rsidRPr="00B76E6A">
        <w:rPr>
          <w:bCs/>
          <w:color w:val="000000" w:themeColor="text1"/>
        </w:rPr>
        <w:t>Schepartz, L. A., Fox, S. C.</w:t>
      </w:r>
      <w:r>
        <w:rPr>
          <w:bCs/>
          <w:color w:val="000000" w:themeColor="text1"/>
        </w:rPr>
        <w:t xml:space="preserve"> </w:t>
      </w:r>
      <w:r w:rsidRPr="00B76E6A">
        <w:rPr>
          <w:color w:val="000000" w:themeColor="text1"/>
        </w:rPr>
        <w:t xml:space="preserve">and </w:t>
      </w:r>
      <w:r w:rsidRPr="00B76E6A">
        <w:rPr>
          <w:bCs/>
          <w:color w:val="000000" w:themeColor="text1"/>
        </w:rPr>
        <w:t>Bourbou, C.</w:t>
      </w:r>
      <w:r>
        <w:rPr>
          <w:bCs/>
          <w:color w:val="000000" w:themeColor="text1"/>
        </w:rPr>
        <w:t xml:space="preserve">, </w:t>
      </w:r>
      <w:r w:rsidRPr="00B76E6A">
        <w:rPr>
          <w:bCs/>
          <w:color w:val="000000" w:themeColor="text1"/>
        </w:rPr>
        <w:t>eds</w:t>
      </w:r>
      <w:r>
        <w:rPr>
          <w:bCs/>
          <w:color w:val="000000" w:themeColor="text1"/>
        </w:rPr>
        <w:t>.</w:t>
      </w:r>
      <w:r w:rsidRPr="00B76E6A">
        <w:rPr>
          <w:bCs/>
          <w:color w:val="000000" w:themeColor="text1"/>
        </w:rPr>
        <w:t xml:space="preserve"> 2009. </w:t>
      </w:r>
      <w:r w:rsidRPr="00B76E6A">
        <w:rPr>
          <w:i/>
          <w:color w:val="000000" w:themeColor="text1"/>
        </w:rPr>
        <w:t>New Directions in the Skeletal Biology of Greece.</w:t>
      </w:r>
      <w:r w:rsidRPr="00B76E6A">
        <w:rPr>
          <w:i/>
          <w:color w:val="000000" w:themeColor="text1"/>
          <w:lang w:val="it-IT"/>
        </w:rPr>
        <w:t> </w:t>
      </w:r>
      <w:r w:rsidRPr="00BA2849">
        <w:rPr>
          <w:color w:val="000000" w:themeColor="text1"/>
          <w:lang w:val="it-IT"/>
        </w:rPr>
        <w:t>Princeton: American School of Classical Studies at Athens</w:t>
      </w:r>
      <w:r>
        <w:rPr>
          <w:i/>
          <w:color w:val="000000" w:themeColor="text1"/>
          <w:lang w:val="it-IT"/>
        </w:rPr>
        <w:t>.</w:t>
      </w:r>
    </w:p>
    <w:p w14:paraId="14C93501"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pPr>
    </w:p>
    <w:p w14:paraId="06032389" w14:textId="77777777" w:rsidR="00303EFE" w:rsidRDefault="00303EFE" w:rsidP="00E858EF">
      <w:pPr>
        <w:suppressAutoHyphens/>
        <w:autoSpaceDE w:val="0"/>
        <w:autoSpaceDN w:val="0"/>
        <w:adjustRightInd w:val="0"/>
      </w:pPr>
      <w:r w:rsidRPr="00AB55D4">
        <w:t>Seager, R.</w:t>
      </w:r>
      <w:r>
        <w:t>,</w:t>
      </w:r>
      <w:r w:rsidRPr="00AB55D4">
        <w:t xml:space="preserve"> 1909. Excavations on the island of Mochlos, Crete</w:t>
      </w:r>
      <w:r>
        <w:t>.</w:t>
      </w:r>
      <w:r w:rsidRPr="00AB55D4">
        <w:t xml:space="preserve"> </w:t>
      </w:r>
      <w:r>
        <w:rPr>
          <w:i/>
        </w:rPr>
        <w:t>AJA</w:t>
      </w:r>
      <w:r w:rsidRPr="00AB55D4">
        <w:rPr>
          <w:i/>
        </w:rPr>
        <w:t xml:space="preserve">, </w:t>
      </w:r>
      <w:r w:rsidRPr="00BA2849">
        <w:t>13</w:t>
      </w:r>
      <w:r w:rsidRPr="00AB55D4">
        <w:t>: 273-303.</w:t>
      </w:r>
    </w:p>
    <w:p w14:paraId="4176ECC7" w14:textId="77777777" w:rsidR="00303EFE" w:rsidRPr="00AB55D4" w:rsidRDefault="00303EFE" w:rsidP="00E858EF">
      <w:pPr>
        <w:suppressAutoHyphens/>
        <w:autoSpaceDE w:val="0"/>
        <w:autoSpaceDN w:val="0"/>
        <w:adjustRightInd w:val="0"/>
      </w:pPr>
    </w:p>
    <w:p w14:paraId="0A665601" w14:textId="77777777" w:rsidR="00303EFE" w:rsidRDefault="00303EFE" w:rsidP="00E858EF">
      <w:pPr>
        <w:suppressAutoHyphens/>
        <w:autoSpaceDE w:val="0"/>
        <w:autoSpaceDN w:val="0"/>
        <w:adjustRightInd w:val="0"/>
      </w:pPr>
      <w:r w:rsidRPr="00AB55D4">
        <w:t>Seager, R.</w:t>
      </w:r>
      <w:r>
        <w:t>,</w:t>
      </w:r>
      <w:r w:rsidRPr="00AB55D4">
        <w:t xml:space="preserve"> 1916. </w:t>
      </w:r>
      <w:r w:rsidRPr="00AB55D4">
        <w:rPr>
          <w:i/>
        </w:rPr>
        <w:t>The Cemetery of Pachyammos</w:t>
      </w:r>
      <w:r w:rsidRPr="00AB55D4">
        <w:t>, Crete. Philadelphia: University Museum.</w:t>
      </w:r>
    </w:p>
    <w:p w14:paraId="12FE1153" w14:textId="77777777" w:rsidR="00303EFE" w:rsidRDefault="00303EFE" w:rsidP="00E858EF">
      <w:pPr>
        <w:suppressAutoHyphens/>
        <w:autoSpaceDE w:val="0"/>
        <w:autoSpaceDN w:val="0"/>
        <w:adjustRightInd w:val="0"/>
      </w:pPr>
    </w:p>
    <w:p w14:paraId="37EB5008" w14:textId="77777777" w:rsidR="00303EFE" w:rsidRDefault="00303EFE" w:rsidP="00E858EF">
      <w:pPr>
        <w:suppressAutoHyphens/>
        <w:autoSpaceDE w:val="0"/>
        <w:autoSpaceDN w:val="0"/>
        <w:adjustRightInd w:val="0"/>
      </w:pPr>
      <w:r>
        <w:t xml:space="preserve">Shelmerdine, C.W., 2005. Response to Anna Lucia D’Agata, “Central southern Crete and its relations with the Greek Mainsland in the postpalatial period”. In: </w:t>
      </w:r>
      <w:r w:rsidRPr="007F66CB">
        <w:t>A. L. D’Agata and J. Moody</w:t>
      </w:r>
      <w:r>
        <w:t>, eds.</w:t>
      </w:r>
      <w:r w:rsidRPr="007F66CB">
        <w:t xml:space="preserve"> </w:t>
      </w:r>
      <w:r>
        <w:rPr>
          <w:i/>
        </w:rPr>
        <w:t>Ariadne's threads</w:t>
      </w:r>
      <w:r w:rsidRPr="007F66CB">
        <w:rPr>
          <w:i/>
        </w:rPr>
        <w:t xml:space="preserve">: </w:t>
      </w:r>
      <w:r>
        <w:rPr>
          <w:i/>
        </w:rPr>
        <w:t>C</w:t>
      </w:r>
      <w:r w:rsidRPr="007F66CB">
        <w:rPr>
          <w:i/>
        </w:rPr>
        <w:t xml:space="preserve">onnections between Crete and the Greek </w:t>
      </w:r>
      <w:r>
        <w:rPr>
          <w:i/>
        </w:rPr>
        <w:t>M</w:t>
      </w:r>
      <w:r w:rsidRPr="007F66CB">
        <w:rPr>
          <w:i/>
        </w:rPr>
        <w:t>ainland in Late Minoan III (LM IIIA2 to LM IIIC)</w:t>
      </w:r>
      <w:r w:rsidRPr="007F66CB">
        <w:t>. Proceedings of the International Workshop held at the Scuola Archeologica Italiana</w:t>
      </w:r>
      <w:r>
        <w:t xml:space="preserve"> 5-6 April 2003. Tripodes 3: 131-137</w:t>
      </w:r>
      <w:r w:rsidRPr="007F66CB">
        <w:t>.</w:t>
      </w:r>
      <w:r>
        <w:t xml:space="preserve"> </w:t>
      </w:r>
      <w:r w:rsidRPr="007F66CB">
        <w:t>Atene: Scuola Archeologica Italiana di Atene.</w:t>
      </w:r>
    </w:p>
    <w:p w14:paraId="596A0332" w14:textId="77777777" w:rsidR="00303EFE" w:rsidRDefault="00303EFE" w:rsidP="00E858EF">
      <w:pPr>
        <w:suppressAutoHyphens/>
        <w:autoSpaceDE w:val="0"/>
        <w:autoSpaceDN w:val="0"/>
        <w:adjustRightInd w:val="0"/>
      </w:pPr>
    </w:p>
    <w:p w14:paraId="53096928" w14:textId="77777777" w:rsidR="00303EFE" w:rsidRPr="001074E0" w:rsidRDefault="00303EFE" w:rsidP="00E858EF">
      <w:pPr>
        <w:suppressAutoHyphens/>
        <w:autoSpaceDE w:val="0"/>
        <w:autoSpaceDN w:val="0"/>
        <w:adjustRightInd w:val="0"/>
      </w:pPr>
      <w:r w:rsidRPr="001074E0">
        <w:t>Shennan, S</w:t>
      </w:r>
      <w:r>
        <w:t>.</w:t>
      </w:r>
      <w:r w:rsidRPr="001074E0">
        <w:t xml:space="preserve">, 1989. Introduction: archaeological approaches to cultural identity. </w:t>
      </w:r>
      <w:r>
        <w:t xml:space="preserve">In: I. </w:t>
      </w:r>
      <w:r w:rsidRPr="001074E0">
        <w:t>Hodder</w:t>
      </w:r>
      <w:r>
        <w:t>,</w:t>
      </w:r>
      <w:r w:rsidRPr="001074E0">
        <w:t xml:space="preserve"> </w:t>
      </w:r>
      <w:r w:rsidRPr="00A67D51">
        <w:rPr>
          <w:i/>
        </w:rPr>
        <w:t>Archaeological Approaches to Cultural Identity</w:t>
      </w:r>
      <w:r>
        <w:t>:</w:t>
      </w:r>
      <w:r w:rsidRPr="001074E0">
        <w:t xml:space="preserve"> 1-32. London: Unwin Hyman.</w:t>
      </w:r>
    </w:p>
    <w:p w14:paraId="2B141520" w14:textId="77777777" w:rsidR="00303EFE" w:rsidRPr="001074E0" w:rsidRDefault="00303EFE" w:rsidP="00E858EF">
      <w:pPr>
        <w:suppressAutoHyphens/>
        <w:autoSpaceDE w:val="0"/>
        <w:autoSpaceDN w:val="0"/>
        <w:adjustRightInd w:val="0"/>
      </w:pPr>
    </w:p>
    <w:p w14:paraId="3C7B2E30" w14:textId="77777777" w:rsidR="00303EFE" w:rsidRDefault="00303EFE" w:rsidP="00E858EF">
      <w:pPr>
        <w:suppressAutoHyphens/>
        <w:autoSpaceDE w:val="0"/>
        <w:autoSpaceDN w:val="0"/>
        <w:adjustRightInd w:val="0"/>
      </w:pPr>
      <w:r w:rsidRPr="001074E0">
        <w:t>Sherratt, A and Sherratt, S</w:t>
      </w:r>
      <w:r>
        <w:t>.</w:t>
      </w:r>
      <w:r w:rsidRPr="001074E0">
        <w:t>, 1991. From luxuries to commodities: th</w:t>
      </w:r>
      <w:r>
        <w:t>e</w:t>
      </w:r>
      <w:r w:rsidRPr="001074E0">
        <w:t xml:space="preserve"> nature of Mediterra</w:t>
      </w:r>
      <w:r>
        <w:t xml:space="preserve">nean Bronze Age trading systems. In: </w:t>
      </w:r>
      <w:r w:rsidRPr="001074E0">
        <w:t>NH Gale</w:t>
      </w:r>
      <w:r>
        <w:t xml:space="preserve">, ed. </w:t>
      </w:r>
      <w:r w:rsidRPr="00A67D51">
        <w:rPr>
          <w:i/>
        </w:rPr>
        <w:t>Bronze Age Trade in the Mediterranean</w:t>
      </w:r>
      <w:r>
        <w:rPr>
          <w:i/>
        </w:rPr>
        <w:t>.</w:t>
      </w:r>
      <w:r w:rsidRPr="00290D1B">
        <w:t xml:space="preserve"> Papers presented at the conference held at Rewley House, Oxford, in December 1989 </w:t>
      </w:r>
      <w:r w:rsidRPr="00AF19B7">
        <w:t>(SIMA 90): 3</w:t>
      </w:r>
      <w:r w:rsidRPr="001074E0">
        <w:t>51-386. Jonsered: Astroms.</w:t>
      </w:r>
    </w:p>
    <w:p w14:paraId="5CA7BECD" w14:textId="77777777" w:rsidR="00303EFE" w:rsidRPr="00AB55D4" w:rsidRDefault="00303EFE" w:rsidP="00E858EF">
      <w:pPr>
        <w:suppressAutoHyphens/>
        <w:autoSpaceDE w:val="0"/>
        <w:autoSpaceDN w:val="0"/>
        <w:adjustRightInd w:val="0"/>
      </w:pPr>
    </w:p>
    <w:p w14:paraId="2A4FB6BC" w14:textId="77777777" w:rsidR="00303EFE" w:rsidRDefault="00303EFE" w:rsidP="00E858EF">
      <w:pPr>
        <w:suppressAutoHyphens/>
        <w:rPr>
          <w:color w:val="000000"/>
        </w:rPr>
      </w:pPr>
      <w:r w:rsidRPr="00AB55D4">
        <w:rPr>
          <w:color w:val="000000"/>
        </w:rPr>
        <w:t>Silverman</w:t>
      </w:r>
      <w:r>
        <w:rPr>
          <w:color w:val="000000"/>
        </w:rPr>
        <w:t>, J.,</w:t>
      </w:r>
      <w:r w:rsidRPr="00AB55D4">
        <w:rPr>
          <w:color w:val="000000"/>
        </w:rPr>
        <w:t xml:space="preserve"> 1978: </w:t>
      </w:r>
      <w:r w:rsidRPr="00467720">
        <w:rPr>
          <w:i/>
          <w:color w:val="000000"/>
        </w:rPr>
        <w:t xml:space="preserve">The Gournia </w:t>
      </w:r>
      <w:r>
        <w:rPr>
          <w:i/>
          <w:color w:val="000000"/>
        </w:rPr>
        <w:t>C</w:t>
      </w:r>
      <w:r w:rsidRPr="00467720">
        <w:rPr>
          <w:i/>
          <w:color w:val="000000"/>
        </w:rPr>
        <w:t xml:space="preserve">ollection in the University Museum: a </w:t>
      </w:r>
      <w:r>
        <w:rPr>
          <w:i/>
          <w:color w:val="000000"/>
        </w:rPr>
        <w:t>S</w:t>
      </w:r>
      <w:r w:rsidRPr="00467720">
        <w:rPr>
          <w:i/>
          <w:color w:val="000000"/>
        </w:rPr>
        <w:t xml:space="preserve">tudy in </w:t>
      </w:r>
      <w:r>
        <w:rPr>
          <w:i/>
          <w:color w:val="000000"/>
        </w:rPr>
        <w:t>E</w:t>
      </w:r>
      <w:r w:rsidRPr="00467720">
        <w:rPr>
          <w:i/>
          <w:color w:val="000000"/>
        </w:rPr>
        <w:t xml:space="preserve">ast Cretan </w:t>
      </w:r>
      <w:r>
        <w:rPr>
          <w:i/>
          <w:color w:val="000000"/>
        </w:rPr>
        <w:t>P</w:t>
      </w:r>
      <w:r w:rsidRPr="00467720">
        <w:rPr>
          <w:i/>
          <w:color w:val="000000"/>
        </w:rPr>
        <w:t>ottery</w:t>
      </w:r>
      <w:r w:rsidRPr="00AB55D4">
        <w:rPr>
          <w:color w:val="000000"/>
        </w:rPr>
        <w:t>. Ann Arbor: University Microfilms.</w:t>
      </w:r>
    </w:p>
    <w:p w14:paraId="4F22123A" w14:textId="77777777" w:rsidR="00303EFE" w:rsidRDefault="00303EFE" w:rsidP="00E858EF">
      <w:pPr>
        <w:suppressAutoHyphens/>
        <w:rPr>
          <w:color w:val="000000"/>
        </w:rPr>
      </w:pPr>
    </w:p>
    <w:p w14:paraId="6922234B" w14:textId="77777777" w:rsidR="00303EFE" w:rsidRDefault="00303EFE" w:rsidP="00E858EF">
      <w:pPr>
        <w:suppressAutoHyphens/>
        <w:autoSpaceDE w:val="0"/>
        <w:autoSpaceDN w:val="0"/>
        <w:adjustRightInd w:val="0"/>
      </w:pPr>
      <w:r>
        <w:t xml:space="preserve">Smith, R. A., 2005. Minoans, Mycenaeans and Mochlos: the formation of regional identity in Late Minoan III Crete: In: </w:t>
      </w:r>
      <w:r w:rsidRPr="007F66CB">
        <w:t>A. L. D’Agata and J. Moody</w:t>
      </w:r>
      <w:r>
        <w:t>, eds.</w:t>
      </w:r>
      <w:r w:rsidRPr="007F66CB">
        <w:t xml:space="preserve"> </w:t>
      </w:r>
      <w:r>
        <w:rPr>
          <w:i/>
        </w:rPr>
        <w:t>Ariadne's threads</w:t>
      </w:r>
      <w:r w:rsidRPr="007F66CB">
        <w:rPr>
          <w:i/>
        </w:rPr>
        <w:t xml:space="preserve">: </w:t>
      </w:r>
      <w:r>
        <w:rPr>
          <w:i/>
        </w:rPr>
        <w:t>C</w:t>
      </w:r>
      <w:r w:rsidRPr="007F66CB">
        <w:rPr>
          <w:i/>
        </w:rPr>
        <w:t xml:space="preserve">onnections between Crete and the Greek </w:t>
      </w:r>
      <w:r>
        <w:rPr>
          <w:i/>
        </w:rPr>
        <w:t>M</w:t>
      </w:r>
      <w:r w:rsidRPr="007F66CB">
        <w:rPr>
          <w:i/>
        </w:rPr>
        <w:t>ainland in Late Minoan III (LM IIIA2 to LM IIIC)</w:t>
      </w:r>
      <w:r w:rsidRPr="007F66CB">
        <w:t>. Proceedings of the International Workshop held at the Scuola Archeologica Italiana</w:t>
      </w:r>
      <w:r>
        <w:t xml:space="preserve"> 5-6 April 2003. Tripodes 3: 185-204</w:t>
      </w:r>
      <w:r w:rsidRPr="007F66CB">
        <w:t>.</w:t>
      </w:r>
      <w:r>
        <w:t xml:space="preserve"> </w:t>
      </w:r>
      <w:r w:rsidRPr="007F66CB">
        <w:t>Atene: Scuola Archeologica Italiana di Atene.</w:t>
      </w:r>
    </w:p>
    <w:p w14:paraId="5DB0E77C" w14:textId="77777777" w:rsidR="00303EFE" w:rsidRPr="00AB55D4" w:rsidRDefault="00303EFE" w:rsidP="00E858EF">
      <w:pPr>
        <w:suppressAutoHyphens/>
        <w:rPr>
          <w:color w:val="000000"/>
        </w:rPr>
      </w:pPr>
    </w:p>
    <w:p w14:paraId="66AD67D2" w14:textId="77777777" w:rsidR="00303EFE" w:rsidRDefault="00303EFE" w:rsidP="00E858EF">
      <w:pPr>
        <w:tabs>
          <w:tab w:val="left" w:pos="0"/>
          <w:tab w:val="left" w:pos="851"/>
        </w:tabs>
        <w:suppressAutoHyphens/>
        <w:autoSpaceDE w:val="0"/>
        <w:autoSpaceDN w:val="0"/>
        <w:adjustRightInd w:val="0"/>
        <w:spacing w:after="40"/>
      </w:pPr>
      <w:r w:rsidRPr="00AB55D4">
        <w:t>Smith, R. A.</w:t>
      </w:r>
      <w:r>
        <w:t>,</w:t>
      </w:r>
      <w:r w:rsidRPr="00AB55D4">
        <w:t xml:space="preserve"> 2010. </w:t>
      </w:r>
      <w:r w:rsidRPr="00A67D51">
        <w:rPr>
          <w:i/>
        </w:rPr>
        <w:t>Mochlos IIB: period IV, the Mycenaean settlement and cemetery: the pottery</w:t>
      </w:r>
      <w:r w:rsidRPr="00AB55D4">
        <w:t>. Prehistory monographs 27. Philadelphia (Pennsylvania): INSTAP Academic Press.</w:t>
      </w:r>
    </w:p>
    <w:p w14:paraId="2574D316" w14:textId="77777777" w:rsidR="00303EFE" w:rsidRDefault="00303EFE" w:rsidP="00E858EF">
      <w:pPr>
        <w:tabs>
          <w:tab w:val="left" w:pos="0"/>
          <w:tab w:val="left" w:pos="851"/>
        </w:tabs>
        <w:suppressAutoHyphens/>
        <w:autoSpaceDE w:val="0"/>
        <w:autoSpaceDN w:val="0"/>
        <w:adjustRightInd w:val="0"/>
        <w:spacing w:after="40"/>
      </w:pPr>
    </w:p>
    <w:p w14:paraId="0DD2A6C5" w14:textId="77777777" w:rsidR="00303EFE" w:rsidRDefault="00303EFE" w:rsidP="00E858EF">
      <w:pPr>
        <w:suppressAutoHyphens/>
        <w:autoSpaceDE w:val="0"/>
        <w:autoSpaceDN w:val="0"/>
        <w:adjustRightInd w:val="0"/>
      </w:pPr>
      <w:r>
        <w:t xml:space="preserve">Smith, R. A., 2011 Pottery in domestic and mortuary contexts at Late Minoan III Mochlos: the case of the missing kylikes. In: K. T. Glowacki and N. Vogeikoff-Brogan, eds. </w:t>
      </w:r>
      <w:r w:rsidRPr="00A67D51">
        <w:rPr>
          <w:i/>
        </w:rPr>
        <w:t>Stega: the Archaeology of Houses and Households in Ancient Crete</w:t>
      </w:r>
      <w:r w:rsidRPr="006E33AE">
        <w:rPr>
          <w:i/>
        </w:rPr>
        <w:t>.</w:t>
      </w:r>
      <w:r>
        <w:t xml:space="preserve"> Hesperia Supplement 44: 297-306. Princeton: American School of Classical Studies at Athens.</w:t>
      </w:r>
    </w:p>
    <w:p w14:paraId="65549ABF" w14:textId="77777777" w:rsidR="00303EFE" w:rsidRPr="00A67D51" w:rsidRDefault="00303EFE" w:rsidP="00E858EF">
      <w:pPr>
        <w:suppressAutoHyphens/>
        <w:autoSpaceDE w:val="0"/>
        <w:autoSpaceDN w:val="0"/>
        <w:adjustRightInd w:val="0"/>
      </w:pPr>
    </w:p>
    <w:p w14:paraId="79C180A7" w14:textId="77777777" w:rsidR="00303EFE" w:rsidRDefault="00303EFE" w:rsidP="00E858EF">
      <w:pPr>
        <w:suppressAutoHyphens/>
        <w:rPr>
          <w:color w:val="000000"/>
          <w:lang w:val="el-GR"/>
        </w:rPr>
      </w:pPr>
      <w:r>
        <w:t xml:space="preserve">Smith, R. A., 2017. </w:t>
      </w:r>
      <w:r w:rsidRPr="00E834C5">
        <w:t xml:space="preserve">Late Minoan IIIB Pottery from the </w:t>
      </w:r>
      <w:r>
        <w:t>c</w:t>
      </w:r>
      <w:r w:rsidRPr="00E834C5">
        <w:t>emetery at</w:t>
      </w:r>
      <w:r>
        <w:t xml:space="preserve"> </w:t>
      </w:r>
      <w:r w:rsidRPr="00E834C5">
        <w:t>Myrsini-Aspropilia</w:t>
      </w:r>
      <w:r>
        <w:t xml:space="preserve">. </w:t>
      </w:r>
      <w:r>
        <w:rPr>
          <w:color w:val="000000"/>
        </w:rPr>
        <w:t xml:space="preserve">In: </w:t>
      </w:r>
      <w:r w:rsidRPr="007F66CB">
        <w:rPr>
          <w:color w:val="000000"/>
        </w:rPr>
        <w:t>C. Langohr</w:t>
      </w:r>
      <w:r>
        <w:rPr>
          <w:color w:val="000000"/>
        </w:rPr>
        <w:t xml:space="preserve">, ed. </w:t>
      </w:r>
      <w:r w:rsidRPr="00A67D51">
        <w:rPr>
          <w:i/>
          <w:color w:val="000000"/>
        </w:rPr>
        <w:t xml:space="preserve">How </w:t>
      </w:r>
      <w:r>
        <w:rPr>
          <w:i/>
          <w:color w:val="000000"/>
        </w:rPr>
        <w:t>L</w:t>
      </w:r>
      <w:r w:rsidRPr="00A67D51">
        <w:rPr>
          <w:i/>
          <w:color w:val="000000"/>
        </w:rPr>
        <w:t xml:space="preserve">ong is a </w:t>
      </w:r>
      <w:r>
        <w:rPr>
          <w:i/>
          <w:color w:val="000000"/>
        </w:rPr>
        <w:t>C</w:t>
      </w:r>
      <w:r w:rsidRPr="00A67D51">
        <w:rPr>
          <w:i/>
          <w:color w:val="000000"/>
        </w:rPr>
        <w:t>entury? Late Minoan IIIB Pottery: Relative Chronology and Regional Differences.</w:t>
      </w:r>
      <w:r w:rsidRPr="007F66CB">
        <w:rPr>
          <w:color w:val="000000"/>
        </w:rPr>
        <w:t xml:space="preserve"> Aegis</w:t>
      </w:r>
      <w:r>
        <w:rPr>
          <w:color w:val="000000"/>
        </w:rPr>
        <w:t xml:space="preserve"> </w:t>
      </w:r>
      <w:r w:rsidRPr="007F66CB">
        <w:rPr>
          <w:color w:val="000000"/>
        </w:rPr>
        <w:t xml:space="preserve">12: </w:t>
      </w:r>
      <w:r>
        <w:rPr>
          <w:color w:val="000000"/>
        </w:rPr>
        <w:t>341-353</w:t>
      </w:r>
      <w:r w:rsidRPr="007F66CB">
        <w:rPr>
          <w:color w:val="000000"/>
        </w:rPr>
        <w:t xml:space="preserve">. </w:t>
      </w:r>
      <w:r w:rsidRPr="007F66CB">
        <w:rPr>
          <w:color w:val="000000"/>
          <w:lang w:val="el-GR"/>
        </w:rPr>
        <w:t>Louvain-la-Neuv</w:t>
      </w:r>
      <w:r>
        <w:rPr>
          <w:color w:val="000000"/>
          <w:lang w:val="el-GR"/>
        </w:rPr>
        <w:t xml:space="preserve">e: </w:t>
      </w:r>
      <w:r w:rsidRPr="007F66CB">
        <w:rPr>
          <w:color w:val="000000"/>
          <w:lang w:val="el-GR"/>
        </w:rPr>
        <w:t>UCL, Presses universitaries de Louvain.</w:t>
      </w:r>
    </w:p>
    <w:p w14:paraId="0F717CC2" w14:textId="77777777" w:rsidR="00303EFE" w:rsidRDefault="00303EFE" w:rsidP="00E858EF">
      <w:pPr>
        <w:tabs>
          <w:tab w:val="left" w:pos="0"/>
          <w:tab w:val="left" w:pos="851"/>
        </w:tabs>
        <w:suppressAutoHyphens/>
        <w:autoSpaceDE w:val="0"/>
        <w:autoSpaceDN w:val="0"/>
        <w:adjustRightInd w:val="0"/>
        <w:spacing w:after="40"/>
      </w:pPr>
    </w:p>
    <w:p w14:paraId="1AC93DBA" w14:textId="51D24288" w:rsidR="00303EFE" w:rsidRDefault="00303EFE" w:rsidP="00E858EF">
      <w:pPr>
        <w:suppressAutoHyphens/>
        <w:autoSpaceDE w:val="0"/>
        <w:autoSpaceDN w:val="0"/>
        <w:adjustRightInd w:val="0"/>
      </w:pPr>
      <w:r>
        <w:t>Smith, R. A. and Dabney, K. N., 2014. The life of a tomb: investigating the use, reuse, and reconstruction of Mycenaean chamber t</w:t>
      </w:r>
      <w:r w:rsidRPr="00246048">
        <w:t>ombs at Ayia Sotira, Nemea</w:t>
      </w:r>
      <w:r>
        <w:t>. In: D.</w:t>
      </w:r>
      <w:r w:rsidRPr="006E71E0">
        <w:t xml:space="preserve"> W. Rupp </w:t>
      </w:r>
      <w:r>
        <w:t>and J.</w:t>
      </w:r>
      <w:r w:rsidRPr="006E71E0">
        <w:t xml:space="preserve"> E. Tomlinson</w:t>
      </w:r>
      <w:r>
        <w:t xml:space="preserve">, eds. </w:t>
      </w:r>
      <w:r w:rsidRPr="00A67D51">
        <w:rPr>
          <w:i/>
        </w:rPr>
        <w:t xml:space="preserve">Meditations on the </w:t>
      </w:r>
      <w:r>
        <w:rPr>
          <w:i/>
        </w:rPr>
        <w:t>D</w:t>
      </w:r>
      <w:r w:rsidRPr="00A67D51">
        <w:rPr>
          <w:i/>
        </w:rPr>
        <w:t xml:space="preserve">iversity of the </w:t>
      </w:r>
      <w:r>
        <w:rPr>
          <w:i/>
        </w:rPr>
        <w:t>B</w:t>
      </w:r>
      <w:r w:rsidRPr="00A67D51">
        <w:rPr>
          <w:i/>
        </w:rPr>
        <w:t xml:space="preserve">uilt </w:t>
      </w:r>
      <w:r>
        <w:rPr>
          <w:i/>
        </w:rPr>
        <w:t>E</w:t>
      </w:r>
      <w:r w:rsidRPr="00A67D51">
        <w:rPr>
          <w:i/>
        </w:rPr>
        <w:t xml:space="preserve">nvironment in the Aegean Basin and </w:t>
      </w:r>
      <w:r>
        <w:rPr>
          <w:i/>
        </w:rPr>
        <w:t>B</w:t>
      </w:r>
      <w:r w:rsidRPr="00A67D51">
        <w:rPr>
          <w:i/>
        </w:rPr>
        <w:t>eyond</w:t>
      </w:r>
      <w:r>
        <w:rPr>
          <w:i/>
        </w:rPr>
        <w:t>.</w:t>
      </w:r>
      <w:r w:rsidRPr="00A67D51">
        <w:rPr>
          <w:i/>
        </w:rPr>
        <w:t xml:space="preserve"> </w:t>
      </w:r>
      <w:r w:rsidRPr="00290D1B">
        <w:t>Proceedings of a colloquium in memory of Frederick E. Winter, Athens, 22-23 June 2012</w:t>
      </w:r>
      <w:r w:rsidRPr="00AF19B7">
        <w:t xml:space="preserve">. </w:t>
      </w:r>
      <w:r w:rsidRPr="00A04A5E">
        <w:t>Publications of the Canadian Institute in Greece</w:t>
      </w:r>
      <w:r>
        <w:t xml:space="preserve"> 8: 145-160. Athens: Canadian Institute in Greece.</w:t>
      </w:r>
    </w:p>
    <w:p w14:paraId="3551CA95" w14:textId="77777777" w:rsidR="00303EFE" w:rsidRPr="00AB55D4" w:rsidRDefault="00303EFE" w:rsidP="00E858EF">
      <w:pPr>
        <w:suppressAutoHyphens/>
        <w:autoSpaceDE w:val="0"/>
        <w:autoSpaceDN w:val="0"/>
        <w:adjustRightInd w:val="0"/>
      </w:pPr>
    </w:p>
    <w:p w14:paraId="1DD590F2" w14:textId="77777777" w:rsidR="00303EFE" w:rsidRDefault="00303EFE" w:rsidP="00E858EF">
      <w:pPr>
        <w:tabs>
          <w:tab w:val="left" w:pos="0"/>
          <w:tab w:val="left" w:pos="851"/>
        </w:tabs>
        <w:suppressAutoHyphens/>
        <w:autoSpaceDE w:val="0"/>
        <w:autoSpaceDN w:val="0"/>
        <w:adjustRightInd w:val="0"/>
        <w:spacing w:after="40"/>
      </w:pPr>
      <w:r w:rsidRPr="00AB55D4">
        <w:t>Soles, J.</w:t>
      </w:r>
      <w:r>
        <w:t xml:space="preserve">, </w:t>
      </w:r>
      <w:r w:rsidRPr="00AB55D4">
        <w:t xml:space="preserve">2003. </w:t>
      </w:r>
      <w:r w:rsidRPr="00BE4619">
        <w:rPr>
          <w:i/>
        </w:rPr>
        <w:t xml:space="preserve">Mochlos IA: period III, Neopalatial </w:t>
      </w:r>
      <w:r>
        <w:rPr>
          <w:i/>
        </w:rPr>
        <w:t>S</w:t>
      </w:r>
      <w:r w:rsidRPr="00BE4619">
        <w:rPr>
          <w:i/>
        </w:rPr>
        <w:t xml:space="preserve">ettlement on the </w:t>
      </w:r>
      <w:r>
        <w:rPr>
          <w:i/>
        </w:rPr>
        <w:t>C</w:t>
      </w:r>
      <w:r w:rsidRPr="00BE4619">
        <w:rPr>
          <w:i/>
        </w:rPr>
        <w:t xml:space="preserve">oast: the </w:t>
      </w:r>
      <w:r>
        <w:rPr>
          <w:i/>
        </w:rPr>
        <w:t>A</w:t>
      </w:r>
      <w:r w:rsidRPr="00BE4619">
        <w:rPr>
          <w:i/>
        </w:rPr>
        <w:t xml:space="preserve">rtisans' </w:t>
      </w:r>
      <w:r>
        <w:rPr>
          <w:i/>
        </w:rPr>
        <w:t>Q</w:t>
      </w:r>
      <w:r w:rsidRPr="00BE4619">
        <w:rPr>
          <w:i/>
        </w:rPr>
        <w:t xml:space="preserve">uarter and the </w:t>
      </w:r>
      <w:r>
        <w:rPr>
          <w:i/>
        </w:rPr>
        <w:t>F</w:t>
      </w:r>
      <w:r w:rsidRPr="00BE4619">
        <w:rPr>
          <w:i/>
        </w:rPr>
        <w:t xml:space="preserve">armhouse at Chalinomouri: the </w:t>
      </w:r>
      <w:r>
        <w:rPr>
          <w:i/>
        </w:rPr>
        <w:t>S</w:t>
      </w:r>
      <w:r w:rsidRPr="00BE4619">
        <w:rPr>
          <w:i/>
        </w:rPr>
        <w:t>ites</w:t>
      </w:r>
      <w:r w:rsidRPr="00AB55D4">
        <w:t>. Prehistory monographs 7</w:t>
      </w:r>
      <w:r w:rsidRPr="00AB55D4">
        <w:rPr>
          <w:i/>
        </w:rPr>
        <w:t xml:space="preserve">. </w:t>
      </w:r>
      <w:r w:rsidRPr="00AB55D4">
        <w:t>Philadelphia (Pennsylvania): INSTAP Academic Press.</w:t>
      </w:r>
    </w:p>
    <w:p w14:paraId="25264D16" w14:textId="77777777" w:rsidR="00303EFE" w:rsidRPr="00AB55D4" w:rsidRDefault="00303EFE" w:rsidP="00E858EF">
      <w:pPr>
        <w:tabs>
          <w:tab w:val="left" w:pos="0"/>
          <w:tab w:val="left" w:pos="851"/>
        </w:tabs>
        <w:suppressAutoHyphens/>
        <w:autoSpaceDE w:val="0"/>
        <w:autoSpaceDN w:val="0"/>
        <w:adjustRightInd w:val="0"/>
        <w:spacing w:after="40"/>
      </w:pPr>
    </w:p>
    <w:p w14:paraId="49680F2C" w14:textId="77777777" w:rsidR="00303EFE" w:rsidRDefault="00303EFE" w:rsidP="00E858EF">
      <w:pPr>
        <w:tabs>
          <w:tab w:val="left" w:pos="0"/>
          <w:tab w:val="left" w:pos="851"/>
        </w:tabs>
        <w:suppressAutoHyphens/>
        <w:autoSpaceDE w:val="0"/>
        <w:autoSpaceDN w:val="0"/>
        <w:adjustRightInd w:val="0"/>
        <w:spacing w:after="40"/>
      </w:pPr>
      <w:r w:rsidRPr="00AB55D4">
        <w:t>Soles, J.</w:t>
      </w:r>
      <w:r>
        <w:t>,</w:t>
      </w:r>
      <w:r w:rsidRPr="00AB55D4">
        <w:t xml:space="preserve"> 2008. </w:t>
      </w:r>
      <w:r w:rsidRPr="00AB55D4">
        <w:rPr>
          <w:i/>
        </w:rPr>
        <w:t xml:space="preserve">Mochlos IIA: period IV, the Mycenaean </w:t>
      </w:r>
      <w:r>
        <w:rPr>
          <w:i/>
        </w:rPr>
        <w:t>S</w:t>
      </w:r>
      <w:r w:rsidRPr="00AB55D4">
        <w:rPr>
          <w:i/>
        </w:rPr>
        <w:t xml:space="preserve">ettlement and </w:t>
      </w:r>
      <w:r>
        <w:rPr>
          <w:i/>
        </w:rPr>
        <w:t>C</w:t>
      </w:r>
      <w:r w:rsidRPr="00AB55D4">
        <w:rPr>
          <w:i/>
        </w:rPr>
        <w:t xml:space="preserve">emetery: the </w:t>
      </w:r>
      <w:r>
        <w:rPr>
          <w:i/>
        </w:rPr>
        <w:t>S</w:t>
      </w:r>
      <w:r w:rsidRPr="00AB55D4">
        <w:rPr>
          <w:i/>
        </w:rPr>
        <w:t>ites</w:t>
      </w:r>
      <w:r w:rsidRPr="00AB55D4">
        <w:t>. Prehistory monographs 23</w:t>
      </w:r>
      <w:r w:rsidRPr="00AB55D4">
        <w:rPr>
          <w:i/>
        </w:rPr>
        <w:t xml:space="preserve">. </w:t>
      </w:r>
      <w:r w:rsidRPr="00AB55D4">
        <w:t>Philadelphia (Pennsylvania): INSTAP Academic Press.</w:t>
      </w:r>
    </w:p>
    <w:p w14:paraId="381ADE15" w14:textId="77777777" w:rsidR="00303EFE" w:rsidRPr="0083626F" w:rsidRDefault="00303EFE" w:rsidP="00E858EF">
      <w:pPr>
        <w:tabs>
          <w:tab w:val="left" w:pos="0"/>
          <w:tab w:val="left" w:pos="851"/>
        </w:tabs>
        <w:suppressAutoHyphens/>
        <w:autoSpaceDE w:val="0"/>
        <w:autoSpaceDN w:val="0"/>
        <w:adjustRightInd w:val="0"/>
        <w:spacing w:after="40"/>
      </w:pPr>
    </w:p>
    <w:p w14:paraId="79C68FF6" w14:textId="77777777" w:rsidR="00303EFE" w:rsidRPr="00AB55D4"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ind w:left="0"/>
      </w:pPr>
      <w:r w:rsidRPr="00AB55D4">
        <w:t xml:space="preserve">Soles, </w:t>
      </w:r>
      <w:r w:rsidRPr="00AB55D4">
        <w:rPr>
          <w:bCs/>
          <w:color w:val="000000"/>
        </w:rPr>
        <w:t>J.</w:t>
      </w:r>
      <w:r>
        <w:rPr>
          <w:bCs/>
          <w:color w:val="000000"/>
        </w:rPr>
        <w:t>,</w:t>
      </w:r>
      <w:r w:rsidRPr="00AB55D4">
        <w:rPr>
          <w:bCs/>
          <w:color w:val="000000"/>
        </w:rPr>
        <w:t xml:space="preserve"> 2008. Conclusions: Life and Death in a small Late Minoan III Community. </w:t>
      </w:r>
      <w:r>
        <w:rPr>
          <w:bCs/>
          <w:color w:val="000000"/>
        </w:rPr>
        <w:t xml:space="preserve">In: J. Soles </w:t>
      </w:r>
      <w:r w:rsidRPr="00BE4619">
        <w:rPr>
          <w:i/>
        </w:rPr>
        <w:t xml:space="preserve">Mochlos IIA: </w:t>
      </w:r>
      <w:r>
        <w:rPr>
          <w:i/>
        </w:rPr>
        <w:t>P</w:t>
      </w:r>
      <w:r w:rsidRPr="00BE4619">
        <w:rPr>
          <w:i/>
        </w:rPr>
        <w:t xml:space="preserve">eriod IV, the Mycenaean </w:t>
      </w:r>
      <w:r>
        <w:rPr>
          <w:i/>
        </w:rPr>
        <w:t>S</w:t>
      </w:r>
      <w:r w:rsidRPr="00BE4619">
        <w:rPr>
          <w:i/>
        </w:rPr>
        <w:t xml:space="preserve">ettlement and </w:t>
      </w:r>
      <w:r>
        <w:rPr>
          <w:i/>
        </w:rPr>
        <w:t>C</w:t>
      </w:r>
      <w:r w:rsidRPr="00BE4619">
        <w:rPr>
          <w:i/>
        </w:rPr>
        <w:t xml:space="preserve">emetery: the </w:t>
      </w:r>
      <w:r>
        <w:rPr>
          <w:i/>
        </w:rPr>
        <w:t>S</w:t>
      </w:r>
      <w:r w:rsidRPr="00BE4619">
        <w:rPr>
          <w:i/>
        </w:rPr>
        <w:t>ites</w:t>
      </w:r>
      <w:r w:rsidRPr="00AB55D4">
        <w:t>. Prehistory monographs 23: 185-205</w:t>
      </w:r>
      <w:r w:rsidRPr="00AB55D4">
        <w:rPr>
          <w:i/>
        </w:rPr>
        <w:t xml:space="preserve">. </w:t>
      </w:r>
      <w:r w:rsidRPr="00AB55D4">
        <w:t>Philadelphia (Pennsylvania): INSTAP Academic Press.</w:t>
      </w:r>
    </w:p>
    <w:p w14:paraId="518DC362" w14:textId="77777777" w:rsidR="00303EFE" w:rsidRPr="00AB55D4" w:rsidRDefault="00303EFE" w:rsidP="00E858EF">
      <w:pPr>
        <w:tabs>
          <w:tab w:val="left" w:pos="0"/>
          <w:tab w:val="left" w:pos="851"/>
        </w:tabs>
        <w:suppressAutoHyphens/>
        <w:autoSpaceDE w:val="0"/>
        <w:autoSpaceDN w:val="0"/>
        <w:adjustRightInd w:val="0"/>
        <w:spacing w:after="40"/>
      </w:pPr>
    </w:p>
    <w:p w14:paraId="468D598C" w14:textId="77777777" w:rsidR="00303EFE" w:rsidRDefault="00303EFE" w:rsidP="00E858EF">
      <w:pPr>
        <w:suppressAutoHyphens/>
        <w:autoSpaceDE w:val="0"/>
        <w:autoSpaceDN w:val="0"/>
        <w:adjustRightInd w:val="0"/>
      </w:pPr>
      <w:r w:rsidRPr="00AB55D4">
        <w:t>Soles, J. and Davaras, C.</w:t>
      </w:r>
      <w:r>
        <w:t>,</w:t>
      </w:r>
      <w:r w:rsidRPr="00AB55D4">
        <w:t xml:space="preserve"> 1996. Excavations at Mochlos, 1992-1993. </w:t>
      </w:r>
      <w:r w:rsidRPr="00AB55D4">
        <w:rPr>
          <w:i/>
        </w:rPr>
        <w:t>Hesperia 65</w:t>
      </w:r>
      <w:r w:rsidRPr="00AB55D4">
        <w:t>: 175-230.</w:t>
      </w:r>
    </w:p>
    <w:p w14:paraId="37B12C9F" w14:textId="77777777" w:rsidR="00303EFE" w:rsidRPr="00AB55D4" w:rsidRDefault="00303EFE" w:rsidP="00E858EF">
      <w:pPr>
        <w:suppressAutoHyphens/>
        <w:autoSpaceDE w:val="0"/>
        <w:autoSpaceDN w:val="0"/>
        <w:adjustRightInd w:val="0"/>
      </w:pPr>
    </w:p>
    <w:p w14:paraId="2309A4A8" w14:textId="77777777" w:rsidR="00303EFE" w:rsidRDefault="00303EFE" w:rsidP="00E858EF">
      <w:pPr>
        <w:tabs>
          <w:tab w:val="left" w:pos="0"/>
          <w:tab w:val="left" w:pos="851"/>
        </w:tabs>
        <w:suppressAutoHyphens/>
        <w:autoSpaceDE w:val="0"/>
        <w:autoSpaceDN w:val="0"/>
        <w:adjustRightInd w:val="0"/>
        <w:spacing w:after="40"/>
      </w:pPr>
      <w:r w:rsidRPr="00AB55D4">
        <w:t xml:space="preserve">Soles, J. et al. 2011. </w:t>
      </w:r>
      <w:r w:rsidRPr="00BE4619">
        <w:rPr>
          <w:i/>
        </w:rPr>
        <w:t xml:space="preserve">Mochlos IIC: period IV, the Mycenaean </w:t>
      </w:r>
      <w:r>
        <w:rPr>
          <w:i/>
        </w:rPr>
        <w:t>S</w:t>
      </w:r>
      <w:r w:rsidRPr="00BE4619">
        <w:rPr>
          <w:i/>
        </w:rPr>
        <w:t xml:space="preserve">ettlement and </w:t>
      </w:r>
      <w:r>
        <w:rPr>
          <w:i/>
        </w:rPr>
        <w:t>C</w:t>
      </w:r>
      <w:r w:rsidRPr="00BE4619">
        <w:rPr>
          <w:i/>
        </w:rPr>
        <w:t xml:space="preserve">emetery: the </w:t>
      </w:r>
      <w:r>
        <w:rPr>
          <w:i/>
        </w:rPr>
        <w:t>H</w:t>
      </w:r>
      <w:r w:rsidRPr="00BE4619">
        <w:rPr>
          <w:i/>
        </w:rPr>
        <w:t xml:space="preserve">uman </w:t>
      </w:r>
      <w:r>
        <w:rPr>
          <w:i/>
        </w:rPr>
        <w:t>R</w:t>
      </w:r>
      <w:r w:rsidRPr="00BE4619">
        <w:rPr>
          <w:i/>
        </w:rPr>
        <w:t xml:space="preserve">emains and other </w:t>
      </w:r>
      <w:r>
        <w:rPr>
          <w:i/>
        </w:rPr>
        <w:t>F</w:t>
      </w:r>
      <w:r w:rsidRPr="00BE4619">
        <w:rPr>
          <w:i/>
        </w:rPr>
        <w:t>inds.</w:t>
      </w:r>
      <w:r>
        <w:t xml:space="preserve"> </w:t>
      </w:r>
      <w:r w:rsidRPr="00AB55D4">
        <w:t>Prehistory monographs 33</w:t>
      </w:r>
      <w:r w:rsidRPr="00AB55D4">
        <w:rPr>
          <w:i/>
        </w:rPr>
        <w:t xml:space="preserve">. </w:t>
      </w:r>
      <w:r w:rsidRPr="00AB55D4">
        <w:t>Philadelphia (Pennsylvania): INSTAP Academic Press.</w:t>
      </w:r>
    </w:p>
    <w:p w14:paraId="43FE9327" w14:textId="77777777" w:rsidR="00303EFE" w:rsidRPr="00AB55D4" w:rsidRDefault="00303EFE" w:rsidP="00E858EF">
      <w:pPr>
        <w:tabs>
          <w:tab w:val="left" w:pos="0"/>
          <w:tab w:val="left" w:pos="851"/>
        </w:tabs>
        <w:suppressAutoHyphens/>
        <w:autoSpaceDE w:val="0"/>
        <w:autoSpaceDN w:val="0"/>
        <w:adjustRightInd w:val="0"/>
        <w:spacing w:after="40"/>
      </w:pPr>
    </w:p>
    <w:p w14:paraId="18601C02" w14:textId="77777777" w:rsidR="00303EFE" w:rsidRDefault="00303EFE" w:rsidP="00E858EF">
      <w:pPr>
        <w:tabs>
          <w:tab w:val="left" w:pos="0"/>
          <w:tab w:val="left" w:pos="851"/>
        </w:tabs>
        <w:suppressAutoHyphens/>
        <w:autoSpaceDE w:val="0"/>
        <w:autoSpaceDN w:val="0"/>
        <w:adjustRightInd w:val="0"/>
        <w:spacing w:after="40"/>
      </w:pPr>
      <w:r w:rsidRPr="00AB55D4">
        <w:t xml:space="preserve">Soles, </w:t>
      </w:r>
      <w:r w:rsidRPr="00AB55D4">
        <w:rPr>
          <w:bCs/>
          <w:color w:val="000000"/>
        </w:rPr>
        <w:t>J. and Triantaphyllou, S.</w:t>
      </w:r>
      <w:r>
        <w:rPr>
          <w:bCs/>
          <w:color w:val="000000"/>
        </w:rPr>
        <w:t>,</w:t>
      </w:r>
      <w:r w:rsidRPr="00AB55D4">
        <w:rPr>
          <w:bCs/>
          <w:color w:val="000000"/>
        </w:rPr>
        <w:t xml:space="preserve"> 2008. The Late Minoan III Cemetery at Limenaria.</w:t>
      </w:r>
      <w:r>
        <w:rPr>
          <w:bCs/>
          <w:color w:val="000000"/>
        </w:rPr>
        <w:t xml:space="preserve"> In: J. Soles</w:t>
      </w:r>
      <w:r w:rsidRPr="00AB55D4">
        <w:rPr>
          <w:bCs/>
          <w:color w:val="000000"/>
        </w:rPr>
        <w:t xml:space="preserve"> </w:t>
      </w:r>
      <w:r w:rsidRPr="00AB55D4">
        <w:rPr>
          <w:i/>
        </w:rPr>
        <w:t xml:space="preserve">Mochlos IIA: period IV, the Mycenaean </w:t>
      </w:r>
      <w:r>
        <w:rPr>
          <w:i/>
        </w:rPr>
        <w:t>S</w:t>
      </w:r>
      <w:r w:rsidRPr="00AB55D4">
        <w:rPr>
          <w:i/>
        </w:rPr>
        <w:t xml:space="preserve">ettlement and </w:t>
      </w:r>
      <w:r>
        <w:rPr>
          <w:i/>
        </w:rPr>
        <w:t>C</w:t>
      </w:r>
      <w:r w:rsidRPr="00AB55D4">
        <w:rPr>
          <w:i/>
        </w:rPr>
        <w:t xml:space="preserve">emetery: the </w:t>
      </w:r>
      <w:r>
        <w:rPr>
          <w:i/>
        </w:rPr>
        <w:t>S</w:t>
      </w:r>
      <w:r w:rsidRPr="00AB55D4">
        <w:rPr>
          <w:i/>
        </w:rPr>
        <w:t>ites</w:t>
      </w:r>
      <w:r w:rsidRPr="00AB55D4">
        <w:t>. Prehistory monographs 23: 129-184</w:t>
      </w:r>
      <w:r w:rsidRPr="00AB55D4">
        <w:rPr>
          <w:i/>
        </w:rPr>
        <w:t xml:space="preserve">. </w:t>
      </w:r>
      <w:r w:rsidRPr="00AB55D4">
        <w:t>Philadelphia (Pennsylvania): INSTAP Academic Press.</w:t>
      </w:r>
    </w:p>
    <w:p w14:paraId="3A1F2E3A" w14:textId="77777777" w:rsidR="00303EFE" w:rsidRPr="0083626F" w:rsidRDefault="00303EFE" w:rsidP="00E858EF">
      <w:pPr>
        <w:tabs>
          <w:tab w:val="left" w:pos="0"/>
          <w:tab w:val="left" w:pos="851"/>
        </w:tabs>
        <w:suppressAutoHyphens/>
        <w:autoSpaceDE w:val="0"/>
        <w:autoSpaceDN w:val="0"/>
        <w:adjustRightInd w:val="0"/>
        <w:spacing w:after="40"/>
      </w:pPr>
    </w:p>
    <w:p w14:paraId="593D3512" w14:textId="77777777" w:rsidR="00303EFE" w:rsidRPr="0017600E" w:rsidRDefault="00303EFE" w:rsidP="00E858EF">
      <w:pPr>
        <w:tabs>
          <w:tab w:val="left" w:pos="0"/>
          <w:tab w:val="left" w:pos="851"/>
        </w:tabs>
        <w:suppressAutoHyphens/>
        <w:autoSpaceDE w:val="0"/>
        <w:autoSpaceDN w:val="0"/>
        <w:adjustRightInd w:val="0"/>
        <w:spacing w:after="40"/>
      </w:pPr>
      <w:r w:rsidRPr="00AB55D4">
        <w:rPr>
          <w:bCs/>
          <w:color w:val="000000"/>
        </w:rPr>
        <w:t>Sole</w:t>
      </w:r>
      <w:r>
        <w:rPr>
          <w:bCs/>
          <w:color w:val="000000"/>
        </w:rPr>
        <w:t>s, J.</w:t>
      </w:r>
      <w:r w:rsidRPr="00AB55D4">
        <w:rPr>
          <w:bCs/>
          <w:color w:val="000000"/>
        </w:rPr>
        <w:t xml:space="preserve"> and Walker, C.</w:t>
      </w:r>
      <w:r>
        <w:rPr>
          <w:bCs/>
          <w:color w:val="000000"/>
        </w:rPr>
        <w:t>,</w:t>
      </w:r>
      <w:r w:rsidRPr="00AB55D4">
        <w:rPr>
          <w:bCs/>
          <w:color w:val="000000"/>
        </w:rPr>
        <w:t xml:space="preserve"> 2003. Human Skeletal remains. </w:t>
      </w:r>
      <w:r>
        <w:rPr>
          <w:bCs/>
          <w:color w:val="000000"/>
        </w:rPr>
        <w:t xml:space="preserve">In: </w:t>
      </w:r>
      <w:r w:rsidRPr="00AB55D4">
        <w:rPr>
          <w:bCs/>
          <w:color w:val="000000"/>
        </w:rPr>
        <w:t xml:space="preserve">J. Soles </w:t>
      </w:r>
      <w:r w:rsidRPr="00BE4619">
        <w:rPr>
          <w:i/>
        </w:rPr>
        <w:t xml:space="preserve">Mochlos IA: period III, Neopalatial </w:t>
      </w:r>
      <w:r>
        <w:rPr>
          <w:i/>
        </w:rPr>
        <w:t>S</w:t>
      </w:r>
      <w:r w:rsidRPr="00BE4619">
        <w:rPr>
          <w:i/>
        </w:rPr>
        <w:t xml:space="preserve">ettlement on the </w:t>
      </w:r>
      <w:r>
        <w:rPr>
          <w:i/>
        </w:rPr>
        <w:t>C</w:t>
      </w:r>
      <w:r w:rsidRPr="00BE4619">
        <w:rPr>
          <w:i/>
        </w:rPr>
        <w:t xml:space="preserve">oast: the </w:t>
      </w:r>
      <w:r>
        <w:rPr>
          <w:i/>
        </w:rPr>
        <w:t>A</w:t>
      </w:r>
      <w:r w:rsidRPr="00BE4619">
        <w:rPr>
          <w:i/>
        </w:rPr>
        <w:t xml:space="preserve">rtisans' </w:t>
      </w:r>
      <w:r>
        <w:rPr>
          <w:i/>
        </w:rPr>
        <w:t>Q</w:t>
      </w:r>
      <w:r w:rsidRPr="00BE4619">
        <w:rPr>
          <w:i/>
        </w:rPr>
        <w:t xml:space="preserve">uarter and the </w:t>
      </w:r>
      <w:r>
        <w:rPr>
          <w:i/>
        </w:rPr>
        <w:t>F</w:t>
      </w:r>
      <w:r w:rsidRPr="00BE4619">
        <w:rPr>
          <w:i/>
        </w:rPr>
        <w:t xml:space="preserve">armhouse at Chalinomouri: the </w:t>
      </w:r>
      <w:r>
        <w:rPr>
          <w:i/>
        </w:rPr>
        <w:t>S</w:t>
      </w:r>
      <w:r w:rsidRPr="00BE4619">
        <w:rPr>
          <w:i/>
        </w:rPr>
        <w:t>ites</w:t>
      </w:r>
      <w:r w:rsidRPr="00AB55D4">
        <w:t>. Prehistory monographs 7</w:t>
      </w:r>
      <w:r w:rsidRPr="00290D1B">
        <w:t>: 135-147.</w:t>
      </w:r>
      <w:r w:rsidRPr="00AB55D4">
        <w:rPr>
          <w:i/>
        </w:rPr>
        <w:t xml:space="preserve"> </w:t>
      </w:r>
      <w:r w:rsidRPr="00AB55D4">
        <w:t>Philadelphia (Pennsylvania): INSTAP Academic Press.</w:t>
      </w:r>
    </w:p>
    <w:p w14:paraId="1C29D0C1" w14:textId="77777777" w:rsidR="00303EFE" w:rsidRPr="00AB55D4" w:rsidRDefault="00303EFE" w:rsidP="00E858EF">
      <w:pPr>
        <w:tabs>
          <w:tab w:val="left" w:pos="0"/>
          <w:tab w:val="left" w:pos="851"/>
        </w:tabs>
        <w:suppressAutoHyphens/>
        <w:autoSpaceDE w:val="0"/>
        <w:autoSpaceDN w:val="0"/>
        <w:adjustRightInd w:val="0"/>
        <w:spacing w:after="40"/>
      </w:pPr>
    </w:p>
    <w:p w14:paraId="0B3A2E18" w14:textId="77777777" w:rsidR="00303EFE" w:rsidRDefault="00303EFE" w:rsidP="00E858EF">
      <w:pPr>
        <w:suppressAutoHyphens/>
      </w:pPr>
      <w:r w:rsidRPr="00AB55D4">
        <w:rPr>
          <w:rFonts w:eastAsia="Times New Roman"/>
          <w:iCs/>
        </w:rPr>
        <w:t>Soles, J., Rethemiotakis, G. and Nicgorski M. A.</w:t>
      </w:r>
      <w:r>
        <w:rPr>
          <w:rFonts w:eastAsia="Times New Roman"/>
          <w:iCs/>
        </w:rPr>
        <w:t>,</w:t>
      </w:r>
      <w:r w:rsidRPr="00AB55D4">
        <w:rPr>
          <w:rFonts w:eastAsia="Times New Roman"/>
          <w:iCs/>
        </w:rPr>
        <w:t xml:space="preserve"> 2011. Burial </w:t>
      </w:r>
      <w:r>
        <w:rPr>
          <w:rFonts w:eastAsia="Times New Roman"/>
          <w:iCs/>
        </w:rPr>
        <w:t>c</w:t>
      </w:r>
      <w:r w:rsidRPr="00AB55D4">
        <w:rPr>
          <w:rFonts w:eastAsia="Times New Roman"/>
          <w:iCs/>
        </w:rPr>
        <w:t xml:space="preserve">ontainers: </w:t>
      </w:r>
      <w:r>
        <w:rPr>
          <w:rFonts w:eastAsia="Times New Roman"/>
          <w:iCs/>
        </w:rPr>
        <w:t>s</w:t>
      </w:r>
      <w:r w:rsidRPr="00AB55D4">
        <w:rPr>
          <w:rFonts w:eastAsia="Times New Roman"/>
          <w:iCs/>
        </w:rPr>
        <w:t xml:space="preserve">arcophagi, </w:t>
      </w:r>
      <w:r>
        <w:rPr>
          <w:rFonts w:eastAsia="Times New Roman"/>
          <w:iCs/>
        </w:rPr>
        <w:t>p</w:t>
      </w:r>
      <w:r w:rsidRPr="00AB55D4">
        <w:rPr>
          <w:rFonts w:eastAsia="Times New Roman"/>
          <w:iCs/>
        </w:rPr>
        <w:t xml:space="preserve">ithoi, and </w:t>
      </w:r>
      <w:r>
        <w:rPr>
          <w:rFonts w:eastAsia="Times New Roman"/>
          <w:iCs/>
        </w:rPr>
        <w:t>j</w:t>
      </w:r>
      <w:r w:rsidRPr="00AB55D4">
        <w:rPr>
          <w:rFonts w:eastAsia="Times New Roman"/>
          <w:iCs/>
        </w:rPr>
        <w:t xml:space="preserve">ars. </w:t>
      </w:r>
      <w:r>
        <w:t xml:space="preserve">In: </w:t>
      </w:r>
      <w:r w:rsidRPr="00AB55D4">
        <w:t xml:space="preserve">J.S. Soles </w:t>
      </w:r>
      <w:r>
        <w:t xml:space="preserve">et al. </w:t>
      </w:r>
      <w:r w:rsidRPr="00AB55D4">
        <w:rPr>
          <w:i/>
        </w:rPr>
        <w:t>Mochlos IIC Period IV. The Mycenaean Settlement and Cemetery: The Human Remains and Other Finds</w:t>
      </w:r>
      <w:r w:rsidRPr="00AB55D4">
        <w:t>: 21-34. Prehistory monographs 33. Philadelphia (Pennsylvania): INSTAP Academic Press.</w:t>
      </w:r>
    </w:p>
    <w:p w14:paraId="5207081D" w14:textId="77777777" w:rsidR="00303EFE" w:rsidRPr="00AB55D4" w:rsidRDefault="00303EFE" w:rsidP="00E858EF">
      <w:pPr>
        <w:suppressAutoHyphens/>
      </w:pPr>
    </w:p>
    <w:p w14:paraId="72CF1F9E" w14:textId="1A92F21D" w:rsidR="00303EFE" w:rsidRDefault="00303EFE" w:rsidP="00E858EF">
      <w:pPr>
        <w:suppressAutoHyphens/>
        <w:rPr>
          <w:color w:val="000000"/>
        </w:rPr>
      </w:pPr>
      <w:r w:rsidRPr="00AB55D4">
        <w:rPr>
          <w:color w:val="000000"/>
        </w:rPr>
        <w:t>Spiliotopoulou, A.</w:t>
      </w:r>
      <w:r>
        <w:rPr>
          <w:color w:val="000000"/>
        </w:rPr>
        <w:t>,</w:t>
      </w:r>
      <w:r w:rsidRPr="00AB55D4">
        <w:rPr>
          <w:color w:val="000000"/>
        </w:rPr>
        <w:t xml:space="preserve"> 2010. </w:t>
      </w:r>
      <w:r w:rsidRPr="00AB55D4">
        <w:rPr>
          <w:i/>
          <w:color w:val="000000"/>
          <w:lang w:val="el-GR"/>
        </w:rPr>
        <w:t>Λάρνακες Υστεροχαλκής ΙΙΙ περιόδου στην Κρήτη, Αρχαι</w:t>
      </w:r>
      <w:r w:rsidR="00042184">
        <w:rPr>
          <w:i/>
          <w:color w:val="000000"/>
          <w:lang w:val="el-GR"/>
        </w:rPr>
        <w:t>ο</w:t>
      </w:r>
      <w:r w:rsidRPr="00AB55D4">
        <w:rPr>
          <w:i/>
          <w:color w:val="000000"/>
          <w:lang w:val="el-GR"/>
        </w:rPr>
        <w:t>λογικές και κοινωνικέ</w:t>
      </w:r>
      <w:r w:rsidR="00042184">
        <w:rPr>
          <w:i/>
          <w:color w:val="000000"/>
          <w:lang w:val="el-GR"/>
        </w:rPr>
        <w:t>ς</w:t>
      </w:r>
      <w:r w:rsidRPr="00AB55D4">
        <w:rPr>
          <w:i/>
          <w:color w:val="000000"/>
          <w:lang w:val="el-GR"/>
        </w:rPr>
        <w:t xml:space="preserve"> συνάφειες</w:t>
      </w:r>
      <w:r w:rsidRPr="00AB55D4">
        <w:rPr>
          <w:color w:val="000000"/>
          <w:lang w:val="el-GR"/>
        </w:rPr>
        <w:t>.</w:t>
      </w:r>
      <w:r w:rsidRPr="00AB55D4">
        <w:rPr>
          <w:color w:val="000000"/>
        </w:rPr>
        <w:t xml:space="preserve"> Unpublished MA Dissertation, University of Crete Rethymnon.</w:t>
      </w:r>
    </w:p>
    <w:p w14:paraId="0EFCDD7F" w14:textId="77777777" w:rsidR="00303EFE" w:rsidRPr="00AB55D4" w:rsidRDefault="00303EFE" w:rsidP="00E858EF">
      <w:pPr>
        <w:suppressAutoHyphens/>
        <w:rPr>
          <w:color w:val="000000"/>
        </w:rPr>
      </w:pPr>
    </w:p>
    <w:p w14:paraId="15CA1699" w14:textId="77777777" w:rsidR="00303EFE" w:rsidRDefault="00303EFE" w:rsidP="00E858EF">
      <w:pPr>
        <w:suppressAutoHyphens/>
      </w:pPr>
      <w:r w:rsidRPr="00AB55D4">
        <w:t>Spyropoulos, T. G.</w:t>
      </w:r>
      <w:r>
        <w:t>,</w:t>
      </w:r>
      <w:r w:rsidRPr="00AB55D4">
        <w:t xml:space="preserve"> 1969a. Ανασκαφή μυκηναϊκού νεκροταφείου Τανάγρας.</w:t>
      </w:r>
      <w:r>
        <w:t xml:space="preserve"> </w:t>
      </w:r>
      <w:r w:rsidRPr="00BA2849">
        <w:rPr>
          <w:i/>
        </w:rPr>
        <w:t>Prakt</w:t>
      </w:r>
      <w:r w:rsidRPr="00AB55D4">
        <w:t>: 5-15.</w:t>
      </w:r>
    </w:p>
    <w:p w14:paraId="04D1ADAC" w14:textId="77777777" w:rsidR="00303EFE" w:rsidRPr="00AB55D4" w:rsidRDefault="00303EFE" w:rsidP="00E858EF">
      <w:pPr>
        <w:suppressAutoHyphens/>
      </w:pPr>
    </w:p>
    <w:p w14:paraId="7B005AE6" w14:textId="77777777" w:rsidR="00303EFE" w:rsidRDefault="00303EFE" w:rsidP="00E858EF">
      <w:pPr>
        <w:suppressAutoHyphens/>
      </w:pPr>
      <w:r w:rsidRPr="00AB55D4">
        <w:t>Spyropoulos, T. G.</w:t>
      </w:r>
      <w:r>
        <w:t>,</w:t>
      </w:r>
      <w:r w:rsidRPr="00AB55D4">
        <w:t xml:space="preserve"> 1969b. Το μυκηναϊκόν νεκροταφείον της Τανάγρας. </w:t>
      </w:r>
      <w:r w:rsidRPr="00BA2849">
        <w:rPr>
          <w:i/>
        </w:rPr>
        <w:t>AAA</w:t>
      </w:r>
      <w:r>
        <w:t xml:space="preserve"> </w:t>
      </w:r>
      <w:r w:rsidRPr="00AB55D4">
        <w:rPr>
          <w:i/>
        </w:rPr>
        <w:t>II</w:t>
      </w:r>
      <w:r w:rsidRPr="00AB55D4">
        <w:t>: 20-25.</w:t>
      </w:r>
    </w:p>
    <w:p w14:paraId="57AC2B54" w14:textId="77777777" w:rsidR="00303EFE" w:rsidRPr="00AB55D4" w:rsidRDefault="00303EFE" w:rsidP="00E858EF">
      <w:pPr>
        <w:suppressAutoHyphens/>
      </w:pPr>
    </w:p>
    <w:p w14:paraId="03072670" w14:textId="77777777" w:rsidR="00303EFE" w:rsidRDefault="00303EFE" w:rsidP="00E858EF">
      <w:pPr>
        <w:suppressAutoHyphens/>
      </w:pPr>
      <w:r w:rsidRPr="00AB55D4">
        <w:t>Spyropoulos, T. G.</w:t>
      </w:r>
      <w:r>
        <w:t>,</w:t>
      </w:r>
      <w:r w:rsidRPr="00AB55D4">
        <w:t xml:space="preserve"> 1970a. Ανασκαφή μυκηναϊκο</w:t>
      </w:r>
      <w:r w:rsidRPr="00AB55D4">
        <w:rPr>
          <w:vanish/>
        </w:rPr>
        <w:tab/>
      </w:r>
      <w:r w:rsidRPr="00467720">
        <w:rPr>
          <w:vanish/>
        </w:rPr>
        <w:pgNum/>
      </w:r>
      <w:r w:rsidRPr="00467720">
        <w:rPr>
          <w:vanish/>
        </w:rPr>
        <w:t>﷽﷽﷽﷽﷽﷽﷽﷽</w:t>
      </w:r>
      <w:r w:rsidRPr="00AB55D4">
        <w:rPr>
          <w:vanish/>
        </w:rPr>
        <w:t>αςνα</w:t>
      </w:r>
      <w:r w:rsidRPr="00467720">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467720">
        <w:rPr>
          <w:vanish/>
        </w:rPr>
        <w:t xml:space="preserve">e to achieve rectly"nf quality management S is defined as </w:t>
      </w:r>
      <w:r w:rsidRPr="00AB55D4">
        <w:rPr>
          <w:vanish/>
        </w:rPr>
        <w:t xml:space="preserve">"a controlled way. </w:t>
      </w:r>
      <w:r w:rsidRPr="00467720">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467720">
        <w:rPr>
          <w:vanish/>
        </w:rPr>
        <w:tab/>
      </w:r>
      <w:r w:rsidRPr="00467720">
        <w:rPr>
          <w:vanish/>
        </w:rPr>
        <w:pgNum/>
      </w:r>
      <w:r w:rsidRPr="00467720">
        <w:rPr>
          <w:vanish/>
        </w:rPr>
        <w:t>﷽﷽﷽﷽﷽﷽﷽﷽</w:t>
      </w:r>
      <w:r w:rsidRPr="00AB55D4">
        <w:rPr>
          <w:vanish/>
        </w:rPr>
        <w:t>αςνα</w:t>
      </w:r>
      <w:r w:rsidRPr="00467720">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467720">
        <w:rPr>
          <w:vanish/>
        </w:rPr>
        <w:t xml:space="preserve">e to achieve rectly"nf quality management S is defined as "a controlled way. </w:t>
      </w:r>
      <w:r w:rsidRPr="00467720">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AB55D4">
        <w:rPr>
          <w:vanish/>
        </w:rPr>
        <w:pgNum/>
      </w:r>
      <w:r w:rsidRPr="00467720">
        <w:t>ύ νεκροταφείου Τανάγρας.</w:t>
      </w:r>
      <w:r>
        <w:t xml:space="preserve"> </w:t>
      </w:r>
      <w:r w:rsidRPr="008B7017">
        <w:rPr>
          <w:i/>
        </w:rPr>
        <w:t>Prakt</w:t>
      </w:r>
      <w:r w:rsidRPr="00AB55D4">
        <w:t>: 29-36.</w:t>
      </w:r>
    </w:p>
    <w:p w14:paraId="445A3FE6" w14:textId="77777777" w:rsidR="00303EFE" w:rsidRPr="00AB55D4" w:rsidRDefault="00303EFE" w:rsidP="00E858EF">
      <w:pPr>
        <w:suppressAutoHyphens/>
      </w:pPr>
    </w:p>
    <w:p w14:paraId="555230A6" w14:textId="77777777" w:rsidR="00303EFE" w:rsidRDefault="00303EFE" w:rsidP="00E858EF">
      <w:pPr>
        <w:suppressAutoHyphens/>
      </w:pPr>
      <w:r w:rsidRPr="00AB55D4">
        <w:t>Spyropoulos, T. G.</w:t>
      </w:r>
      <w:r>
        <w:t>,</w:t>
      </w:r>
      <w:r w:rsidRPr="00AB55D4">
        <w:t xml:space="preserve"> 1970b. Ανασκαφή εις το μυκηναϊκόν νεκροταφείον της Τανάγρας. </w:t>
      </w:r>
      <w:r w:rsidRPr="008B7017">
        <w:rPr>
          <w:i/>
        </w:rPr>
        <w:t>AAA</w:t>
      </w:r>
      <w:r>
        <w:t xml:space="preserve"> </w:t>
      </w:r>
      <w:r w:rsidRPr="00AB55D4">
        <w:rPr>
          <w:i/>
        </w:rPr>
        <w:t>III</w:t>
      </w:r>
      <w:r w:rsidRPr="00AB55D4">
        <w:t>: 184-197.</w:t>
      </w:r>
    </w:p>
    <w:p w14:paraId="4D2135D5" w14:textId="77777777" w:rsidR="00303EFE" w:rsidRPr="00AB55D4" w:rsidRDefault="00303EFE" w:rsidP="00E858EF">
      <w:pPr>
        <w:suppressAutoHyphens/>
      </w:pPr>
    </w:p>
    <w:p w14:paraId="0E1B0AF1" w14:textId="77777777" w:rsidR="00303EFE" w:rsidRDefault="00303EFE" w:rsidP="00E858EF">
      <w:pPr>
        <w:suppressAutoHyphens/>
      </w:pPr>
      <w:r w:rsidRPr="00AB55D4">
        <w:t>Spyropoulos, T. G.</w:t>
      </w:r>
      <w:r>
        <w:t>,</w:t>
      </w:r>
      <w:r w:rsidRPr="00AB55D4">
        <w:t xml:space="preserve"> 1971. Ανασκαφή μυκηναϊκού νεκροταφείου Τανάγρας. </w:t>
      </w:r>
      <w:r w:rsidRPr="00BA2849">
        <w:rPr>
          <w:i/>
        </w:rPr>
        <w:t>Prakt</w:t>
      </w:r>
      <w:r w:rsidRPr="00AB55D4">
        <w:t>: 7-14.</w:t>
      </w:r>
    </w:p>
    <w:p w14:paraId="3E7F7BDE" w14:textId="77777777" w:rsidR="00303EFE" w:rsidRPr="00AB55D4" w:rsidRDefault="00303EFE" w:rsidP="00E858EF">
      <w:pPr>
        <w:suppressAutoHyphens/>
      </w:pPr>
    </w:p>
    <w:p w14:paraId="3BBFD5F4" w14:textId="77777777" w:rsidR="00303EFE" w:rsidRDefault="00303EFE" w:rsidP="00E858EF">
      <w:pPr>
        <w:suppressAutoHyphens/>
      </w:pPr>
      <w:r w:rsidRPr="00AB55D4">
        <w:t>Spyropoulos, T. G.</w:t>
      </w:r>
      <w:r>
        <w:t>,</w:t>
      </w:r>
      <w:r w:rsidRPr="00AB55D4">
        <w:t xml:space="preserve"> 1972. Terracotta sarcofagi. </w:t>
      </w:r>
      <w:r w:rsidRPr="00AB55D4">
        <w:rPr>
          <w:i/>
        </w:rPr>
        <w:t>Archaeology 25</w:t>
      </w:r>
      <w:r w:rsidRPr="00AB55D4">
        <w:t>: 206-209.</w:t>
      </w:r>
    </w:p>
    <w:p w14:paraId="497FD778" w14:textId="77777777" w:rsidR="00303EFE" w:rsidRPr="00AB55D4" w:rsidRDefault="00303EFE" w:rsidP="00E858EF">
      <w:pPr>
        <w:suppressAutoHyphens/>
      </w:pPr>
    </w:p>
    <w:p w14:paraId="4879EAAA" w14:textId="77777777" w:rsidR="00303EFE" w:rsidRDefault="00303EFE" w:rsidP="00E858EF">
      <w:pPr>
        <w:suppressAutoHyphens/>
      </w:pPr>
      <w:r w:rsidRPr="00AB55D4">
        <w:t>Spyropoulos, T. G.</w:t>
      </w:r>
      <w:r>
        <w:t>,</w:t>
      </w:r>
      <w:r w:rsidRPr="00AB55D4">
        <w:t xml:space="preserve"> 1973. Ανασκαφή μυκηναϊκού νεκροταφείου Τανάγρας</w:t>
      </w:r>
      <w:r>
        <w:t xml:space="preserve">. </w:t>
      </w:r>
      <w:r w:rsidRPr="00BA2849">
        <w:rPr>
          <w:i/>
        </w:rPr>
        <w:t>Prak</w:t>
      </w:r>
      <w:r>
        <w:t>t</w:t>
      </w:r>
      <w:r w:rsidRPr="00AB55D4">
        <w:t>: 11-21.</w:t>
      </w:r>
    </w:p>
    <w:p w14:paraId="082C4DF5" w14:textId="77777777" w:rsidR="00303EFE" w:rsidRPr="00AB55D4" w:rsidRDefault="00303EFE" w:rsidP="00E858EF">
      <w:pPr>
        <w:suppressAutoHyphens/>
      </w:pPr>
    </w:p>
    <w:p w14:paraId="26B76D72" w14:textId="77777777" w:rsidR="00303EFE" w:rsidRDefault="00303EFE" w:rsidP="00E858EF">
      <w:pPr>
        <w:suppressAutoHyphens/>
      </w:pPr>
      <w:r w:rsidRPr="00AB55D4">
        <w:t>Spyropoulos, T. G.</w:t>
      </w:r>
      <w:r>
        <w:t>,</w:t>
      </w:r>
      <w:r w:rsidRPr="00AB55D4">
        <w:t xml:space="preserve"> 1974. Ανασκαφή μυκηναϊκής Τανάγρας</w:t>
      </w:r>
      <w:r>
        <w:t xml:space="preserve">. </w:t>
      </w:r>
      <w:r w:rsidRPr="00BA2849">
        <w:rPr>
          <w:i/>
        </w:rPr>
        <w:t>Prakt</w:t>
      </w:r>
      <w:r w:rsidRPr="00AB55D4">
        <w:t>: 9-33.</w:t>
      </w:r>
    </w:p>
    <w:p w14:paraId="65EE8627" w14:textId="77777777" w:rsidR="00303EFE" w:rsidRPr="00AB55D4" w:rsidRDefault="00303EFE" w:rsidP="00E858EF">
      <w:pPr>
        <w:suppressAutoHyphens/>
      </w:pPr>
    </w:p>
    <w:p w14:paraId="0A9D7AE9" w14:textId="77777777" w:rsidR="00303EFE" w:rsidRDefault="00303EFE" w:rsidP="00E858EF">
      <w:pPr>
        <w:suppressAutoHyphens/>
      </w:pPr>
      <w:r w:rsidRPr="00AB55D4">
        <w:t>Spyropoulos, T. G.</w:t>
      </w:r>
      <w:r>
        <w:t>,</w:t>
      </w:r>
      <w:r w:rsidRPr="00AB55D4">
        <w:t xml:space="preserve"> 1975. Ανασκαφή μυκηναϊκής Τανάγρας. </w:t>
      </w:r>
      <w:r w:rsidRPr="008B7017">
        <w:rPr>
          <w:i/>
        </w:rPr>
        <w:t>Prakt</w:t>
      </w:r>
      <w:r>
        <w:rPr>
          <w:i/>
        </w:rPr>
        <w:t xml:space="preserve"> </w:t>
      </w:r>
      <w:r w:rsidRPr="00AB55D4">
        <w:rPr>
          <w:lang w:val="el-GR"/>
        </w:rPr>
        <w:t>B</w:t>
      </w:r>
      <w:r w:rsidRPr="00AB55D4">
        <w:t>: 415-427.</w:t>
      </w:r>
    </w:p>
    <w:p w14:paraId="5680EFF8" w14:textId="77777777" w:rsidR="00303EFE" w:rsidRPr="00AB55D4" w:rsidRDefault="00303EFE" w:rsidP="00E858EF">
      <w:pPr>
        <w:suppressAutoHyphens/>
      </w:pPr>
    </w:p>
    <w:p w14:paraId="2B82E732" w14:textId="77777777" w:rsidR="00303EFE" w:rsidRDefault="00303EFE" w:rsidP="00E858EF">
      <w:pPr>
        <w:suppressAutoHyphens/>
      </w:pPr>
      <w:r w:rsidRPr="00AB55D4">
        <w:t>Spyropoulos, T. G.</w:t>
      </w:r>
      <w:r>
        <w:t>,</w:t>
      </w:r>
      <w:r w:rsidRPr="00AB55D4">
        <w:t xml:space="preserve"> 1976. Ανασκαφή μυκηναϊκής Τανάγρας.</w:t>
      </w:r>
      <w:r>
        <w:t xml:space="preserve"> </w:t>
      </w:r>
      <w:r w:rsidRPr="008B7017">
        <w:rPr>
          <w:i/>
        </w:rPr>
        <w:t>Prakt</w:t>
      </w:r>
      <w:r w:rsidRPr="00AB55D4">
        <w:t>: 61-68.</w:t>
      </w:r>
    </w:p>
    <w:p w14:paraId="57EC246E" w14:textId="77777777" w:rsidR="00303EFE" w:rsidRPr="00AB55D4" w:rsidRDefault="00303EFE" w:rsidP="00E858EF">
      <w:pPr>
        <w:suppressAutoHyphens/>
      </w:pPr>
    </w:p>
    <w:p w14:paraId="193E83CE" w14:textId="77777777" w:rsidR="00303EFE" w:rsidRDefault="00303EFE" w:rsidP="00E858EF">
      <w:pPr>
        <w:suppressAutoHyphens/>
      </w:pPr>
      <w:r w:rsidRPr="00AB55D4">
        <w:t>Spyropoulos, T. G.</w:t>
      </w:r>
      <w:r>
        <w:t>,</w:t>
      </w:r>
      <w:r w:rsidRPr="00AB55D4">
        <w:t xml:space="preserve"> 1977. Ανασκαφή μυκηναϊκής Τανάγρας. </w:t>
      </w:r>
      <w:r w:rsidRPr="008B7017">
        <w:rPr>
          <w:i/>
        </w:rPr>
        <w:t>Prakt</w:t>
      </w:r>
      <w:r>
        <w:rPr>
          <w:i/>
        </w:rPr>
        <w:t xml:space="preserve"> </w:t>
      </w:r>
      <w:r w:rsidRPr="00AB55D4">
        <w:t>A: 25-31.</w:t>
      </w:r>
    </w:p>
    <w:p w14:paraId="0E532246" w14:textId="77777777" w:rsidR="00303EFE" w:rsidRPr="00AB55D4" w:rsidRDefault="00303EFE" w:rsidP="00E858EF">
      <w:pPr>
        <w:suppressAutoHyphens/>
      </w:pPr>
    </w:p>
    <w:p w14:paraId="26567FE5" w14:textId="77777777" w:rsidR="00303EFE" w:rsidRDefault="00303EFE" w:rsidP="00E858EF">
      <w:pPr>
        <w:suppressAutoHyphens/>
      </w:pPr>
      <w:r w:rsidRPr="00AB55D4">
        <w:t>Spyropoulos, T. G.</w:t>
      </w:r>
      <w:r>
        <w:t>,</w:t>
      </w:r>
      <w:r w:rsidRPr="00AB55D4">
        <w:t xml:space="preserve"> 1979. Ανασκαφή μυκηναϊκής Τανάγρας.</w:t>
      </w:r>
      <w:r>
        <w:t xml:space="preserve"> </w:t>
      </w:r>
      <w:r w:rsidRPr="008B7017">
        <w:rPr>
          <w:i/>
        </w:rPr>
        <w:t>Prakt</w:t>
      </w:r>
      <w:r w:rsidRPr="00AB55D4">
        <w:t>: 27-39.</w:t>
      </w:r>
    </w:p>
    <w:p w14:paraId="5F752AF6" w14:textId="77777777" w:rsidR="00303EFE" w:rsidRPr="00AB55D4" w:rsidRDefault="00303EFE" w:rsidP="00E858EF">
      <w:pPr>
        <w:suppressAutoHyphens/>
      </w:pPr>
    </w:p>
    <w:p w14:paraId="2CFE171B" w14:textId="77777777" w:rsidR="00303EFE" w:rsidRDefault="00303EFE" w:rsidP="00E858EF">
      <w:pPr>
        <w:suppressAutoHyphens/>
      </w:pPr>
      <w:r w:rsidRPr="00AB55D4">
        <w:t>Spyropoulos, T. G.</w:t>
      </w:r>
      <w:r>
        <w:t>,</w:t>
      </w:r>
      <w:r w:rsidRPr="00AB55D4">
        <w:t xml:space="preserve"> 1984. Ανασκαφή Τανάγρας. </w:t>
      </w:r>
      <w:r w:rsidRPr="008B7017">
        <w:rPr>
          <w:i/>
        </w:rPr>
        <w:t>Prakt</w:t>
      </w:r>
      <w:r>
        <w:rPr>
          <w:i/>
        </w:rPr>
        <w:t xml:space="preserve"> </w:t>
      </w:r>
      <w:r w:rsidRPr="00AB55D4">
        <w:t>A: 143-145.</w:t>
      </w:r>
    </w:p>
    <w:p w14:paraId="2AC92454" w14:textId="77777777" w:rsidR="00303EFE" w:rsidRPr="00AB55D4" w:rsidRDefault="00303EFE" w:rsidP="00E858EF">
      <w:pPr>
        <w:suppressAutoHyphens/>
        <w:autoSpaceDE w:val="0"/>
        <w:autoSpaceDN w:val="0"/>
        <w:adjustRightInd w:val="0"/>
      </w:pPr>
    </w:p>
    <w:p w14:paraId="018362DE" w14:textId="6F612096" w:rsidR="00303EFE" w:rsidRDefault="00303EFE" w:rsidP="00E858EF">
      <w:pPr>
        <w:suppressAutoHyphens/>
        <w:rPr>
          <w:rFonts w:eastAsia="Times New Roman"/>
        </w:rPr>
      </w:pPr>
      <w:r w:rsidRPr="00AB55D4">
        <w:rPr>
          <w:color w:val="000000"/>
        </w:rPr>
        <w:t>Taramelli, A.</w:t>
      </w:r>
      <w:r>
        <w:rPr>
          <w:color w:val="000000"/>
        </w:rPr>
        <w:t>,</w:t>
      </w:r>
      <w:r w:rsidRPr="00AB55D4">
        <w:rPr>
          <w:color w:val="000000"/>
        </w:rPr>
        <w:t xml:space="preserve"> 1901</w:t>
      </w:r>
      <w:r w:rsidR="005E603B">
        <w:rPr>
          <w:color w:val="000000"/>
        </w:rPr>
        <w:t>.</w:t>
      </w:r>
      <w:r w:rsidRPr="00AB55D4">
        <w:rPr>
          <w:color w:val="000000"/>
        </w:rPr>
        <w:t xml:space="preserve"> </w:t>
      </w:r>
      <w:r w:rsidRPr="00AB55D4">
        <w:rPr>
          <w:rFonts w:eastAsia="Times New Roman"/>
        </w:rPr>
        <w:t xml:space="preserve">Cretan Expedition XX. A Visit to the Grotto of Camares on Mount Ida. </w:t>
      </w:r>
      <w:r>
        <w:rPr>
          <w:rFonts w:eastAsia="Times New Roman"/>
          <w:i/>
        </w:rPr>
        <w:t>AJA</w:t>
      </w:r>
      <w:r w:rsidRPr="00A67D51">
        <w:rPr>
          <w:rFonts w:eastAsia="Times New Roman"/>
          <w:i/>
        </w:rPr>
        <w:t xml:space="preserve"> </w:t>
      </w:r>
      <w:r w:rsidRPr="00BA2849">
        <w:rPr>
          <w:rFonts w:eastAsia="Times New Roman"/>
        </w:rPr>
        <w:t>5</w:t>
      </w:r>
      <w:r w:rsidRPr="00A67D51">
        <w:rPr>
          <w:rFonts w:eastAsia="Times New Roman"/>
          <w:i/>
        </w:rPr>
        <w:t xml:space="preserve"> </w:t>
      </w:r>
      <w:r>
        <w:rPr>
          <w:rFonts w:eastAsia="Times New Roman"/>
        </w:rPr>
        <w:t>(</w:t>
      </w:r>
      <w:r w:rsidRPr="00290D1B">
        <w:rPr>
          <w:rFonts w:eastAsia="Times New Roman"/>
        </w:rPr>
        <w:t>4</w:t>
      </w:r>
      <w:r>
        <w:rPr>
          <w:rFonts w:eastAsia="Times New Roman"/>
        </w:rPr>
        <w:t>)</w:t>
      </w:r>
      <w:r w:rsidRPr="00AF19B7">
        <w:rPr>
          <w:rFonts w:eastAsia="Times New Roman"/>
        </w:rPr>
        <w:t>: 437-451.</w:t>
      </w:r>
    </w:p>
    <w:p w14:paraId="2874828A" w14:textId="77777777" w:rsidR="00303EFE" w:rsidRPr="00AB55D4" w:rsidRDefault="00303EFE" w:rsidP="00E858EF">
      <w:pPr>
        <w:suppressAutoHyphens/>
        <w:rPr>
          <w:rFonts w:eastAsia="Times New Roman"/>
        </w:rPr>
      </w:pPr>
    </w:p>
    <w:p w14:paraId="18C0C233" w14:textId="77777777" w:rsidR="00303EFE" w:rsidRDefault="00303EFE" w:rsidP="00E858EF">
      <w:pPr>
        <w:suppressAutoHyphens/>
      </w:pPr>
      <w:r w:rsidRPr="00AB55D4">
        <w:t>Touloupa, Ε.</w:t>
      </w:r>
      <w:r>
        <w:t>,</w:t>
      </w:r>
      <w:r w:rsidRPr="00AB55D4">
        <w:t xml:space="preserve"> 1968, Πήλιναι κρητικαί λάρνακες εν τω Εθνικώ Μουσείω</w:t>
      </w:r>
      <w:r>
        <w:t>.</w:t>
      </w:r>
      <w:r w:rsidRPr="00AB55D4">
        <w:t xml:space="preserve"> </w:t>
      </w:r>
      <w:r w:rsidRPr="00BA2849">
        <w:rPr>
          <w:i/>
        </w:rPr>
        <w:t>AAA</w:t>
      </w:r>
      <w:r>
        <w:t xml:space="preserve"> </w:t>
      </w:r>
      <w:r w:rsidRPr="00AB55D4">
        <w:t>1: 54-58.</w:t>
      </w:r>
    </w:p>
    <w:p w14:paraId="35E6EA3E" w14:textId="77777777" w:rsidR="00303EFE" w:rsidRPr="00AB55D4" w:rsidRDefault="00303EFE" w:rsidP="00E858EF">
      <w:pPr>
        <w:suppressAutoHyphens/>
      </w:pPr>
    </w:p>
    <w:p w14:paraId="76B52832" w14:textId="77777777" w:rsidR="00303EFE" w:rsidRDefault="00303EFE" w:rsidP="00E858EF">
      <w:pPr>
        <w:suppressAutoHyphens/>
      </w:pPr>
      <w:r w:rsidRPr="00AB55D4">
        <w:rPr>
          <w:color w:val="000000"/>
        </w:rPr>
        <w:t>Triantaphyllou, S.</w:t>
      </w:r>
      <w:r>
        <w:rPr>
          <w:color w:val="000000"/>
        </w:rPr>
        <w:t>,</w:t>
      </w:r>
      <w:r w:rsidRPr="00AB55D4">
        <w:rPr>
          <w:color w:val="000000"/>
        </w:rPr>
        <w:t xml:space="preserve"> 2005 </w:t>
      </w:r>
      <w:r w:rsidRPr="00AB55D4">
        <w:rPr>
          <w:lang w:val="en-US" w:eastAsia="en-US"/>
        </w:rPr>
        <w:t xml:space="preserve">The Human Remains, Appendix. </w:t>
      </w:r>
      <w:r>
        <w:rPr>
          <w:lang w:val="en-US" w:eastAsia="en-US"/>
        </w:rPr>
        <w:t xml:space="preserve">In: </w:t>
      </w:r>
      <w:r w:rsidRPr="00AB55D4">
        <w:rPr>
          <w:lang w:val="en-US" w:eastAsia="en-US"/>
        </w:rPr>
        <w:t xml:space="preserve">Y. </w:t>
      </w:r>
      <w:r w:rsidRPr="00AB55D4">
        <w:rPr>
          <w:smallCaps/>
          <w:lang w:val="en-US" w:eastAsia="en-US"/>
        </w:rPr>
        <w:t>Papadatos</w:t>
      </w:r>
      <w:r w:rsidRPr="00AB55D4">
        <w:rPr>
          <w:lang w:val="en-US" w:eastAsia="en-US"/>
        </w:rPr>
        <w:t xml:space="preserve">, </w:t>
      </w:r>
      <w:r w:rsidRPr="00AB55D4">
        <w:rPr>
          <w:i/>
          <w:lang w:val="en-US" w:eastAsia="en-US"/>
        </w:rPr>
        <w:t xml:space="preserve">Tholos Tomb Gamma. </w:t>
      </w:r>
      <w:r w:rsidRPr="00AB55D4">
        <w:rPr>
          <w:i/>
          <w:lang w:val="fr-FR" w:eastAsia="en-US"/>
        </w:rPr>
        <w:t>A prepalatial Tholos Tomb at Phourni, Archanes</w:t>
      </w:r>
      <w:r w:rsidRPr="00AB55D4">
        <w:rPr>
          <w:lang w:val="fr-FR" w:eastAsia="en-US"/>
        </w:rPr>
        <w:t xml:space="preserve">. </w:t>
      </w:r>
      <w:r w:rsidRPr="00AB55D4">
        <w:t>Prehistory monographs</w:t>
      </w:r>
      <w:r>
        <w:t xml:space="preserve"> </w:t>
      </w:r>
      <w:r w:rsidRPr="00AB55D4">
        <w:t>17</w:t>
      </w:r>
      <w:r w:rsidRPr="006055A5">
        <w:t>:</w:t>
      </w:r>
      <w:r w:rsidRPr="00AB55D4">
        <w:rPr>
          <w:i/>
        </w:rPr>
        <w:t xml:space="preserve"> </w:t>
      </w:r>
      <w:r w:rsidRPr="00BA2849">
        <w:t>67-85</w:t>
      </w:r>
      <w:r w:rsidRPr="00AB55D4">
        <w:rPr>
          <w:i/>
        </w:rPr>
        <w:t xml:space="preserve">. </w:t>
      </w:r>
      <w:r w:rsidRPr="00AB55D4">
        <w:t>Philadelphia (Pennsylvania): INSTAP Academic Press.</w:t>
      </w:r>
    </w:p>
    <w:p w14:paraId="1ED3FC41" w14:textId="77777777" w:rsidR="00303EFE" w:rsidRPr="00AB55D4" w:rsidRDefault="00303EFE" w:rsidP="00E858EF">
      <w:pPr>
        <w:suppressAutoHyphens/>
        <w:rPr>
          <w:lang w:val="fr-FR" w:eastAsia="en-US"/>
        </w:rPr>
      </w:pPr>
    </w:p>
    <w:p w14:paraId="45810747" w14:textId="77777777" w:rsidR="00303EFE" w:rsidRDefault="00303EFE" w:rsidP="00E858EF">
      <w:pPr>
        <w:suppressAutoHyphens/>
      </w:pPr>
      <w:r w:rsidRPr="00AB55D4">
        <w:t>Triantaphyllou, S.</w:t>
      </w:r>
      <w:r>
        <w:t>,</w:t>
      </w:r>
      <w:r w:rsidRPr="00AB55D4">
        <w:t xml:space="preserve"> 2011. The Human Remains. </w:t>
      </w:r>
      <w:r>
        <w:t xml:space="preserve">In: </w:t>
      </w:r>
      <w:r w:rsidRPr="00AB55D4">
        <w:t>J.S. Soles and C. Davaras</w:t>
      </w:r>
      <w:r>
        <w:t>, eds.</w:t>
      </w:r>
      <w:r w:rsidRPr="00AB55D4">
        <w:t xml:space="preserve"> </w:t>
      </w:r>
      <w:r w:rsidRPr="00AB55D4">
        <w:rPr>
          <w:i/>
        </w:rPr>
        <w:t>Mochlos IIC Period IV. The Mycenaean Settlement and Cemetery: The Human Remains and Other Finds</w:t>
      </w:r>
      <w:r w:rsidRPr="00AB55D4">
        <w:t>: 1-21. Prehistory monographs 33. Philadelphia (Pennsylvania): INSTAP Academic Press.</w:t>
      </w:r>
    </w:p>
    <w:p w14:paraId="02011B71" w14:textId="77777777" w:rsidR="00303EFE" w:rsidRDefault="00303EFE" w:rsidP="00E858EF">
      <w:pPr>
        <w:suppressAutoHyphens/>
      </w:pPr>
    </w:p>
    <w:p w14:paraId="7F86800F" w14:textId="77777777" w:rsidR="00303EFE" w:rsidRPr="001E59F3" w:rsidRDefault="00303EFE" w:rsidP="00E858EF">
      <w:pPr>
        <w:suppressAutoHyphens/>
        <w:autoSpaceDE w:val="0"/>
        <w:autoSpaceDN w:val="0"/>
        <w:adjustRightInd w:val="0"/>
        <w:rPr>
          <w:iCs/>
        </w:rPr>
      </w:pPr>
      <w:r w:rsidRPr="00AB55D4">
        <w:rPr>
          <w:rFonts w:eastAsia="Times New Roman"/>
          <w:iCs/>
          <w:lang w:val="en-US"/>
        </w:rPr>
        <w:t xml:space="preserve">Tsipopoulou, M. and Vagnetti, L. 1995. </w:t>
      </w:r>
      <w:r w:rsidRPr="00A67D51">
        <w:rPr>
          <w:i/>
          <w:iCs/>
        </w:rPr>
        <w:t>Achladia. Scavi e ricerche della Missione Greco-Italiana in Creta Orientale.</w:t>
      </w:r>
      <w:r w:rsidRPr="00AB55D4">
        <w:rPr>
          <w:iCs/>
        </w:rPr>
        <w:t xml:space="preserve"> Incunabula Graeca 97: 1991-1993</w:t>
      </w:r>
      <w:r w:rsidRPr="00AB55D4">
        <w:t>. Roma: Gruppo editorale internazionale.</w:t>
      </w:r>
    </w:p>
    <w:p w14:paraId="65EBC0A0" w14:textId="77777777" w:rsidR="00303EFE" w:rsidRDefault="00303EFE" w:rsidP="00E858EF">
      <w:pPr>
        <w:suppressAutoHyphens/>
      </w:pPr>
    </w:p>
    <w:p w14:paraId="2049B0BD" w14:textId="77777777" w:rsidR="00303EFE" w:rsidRPr="00AB55D4" w:rsidRDefault="00303EFE" w:rsidP="00E858EF">
      <w:pPr>
        <w:suppressAutoHyphens/>
        <w:autoSpaceDE w:val="0"/>
        <w:autoSpaceDN w:val="0"/>
        <w:adjustRightInd w:val="0"/>
      </w:pPr>
      <w:r w:rsidRPr="00AB55D4">
        <w:rPr>
          <w:rFonts w:eastAsia="Times New Roman"/>
          <w:iCs/>
          <w:lang w:val="en-US"/>
        </w:rPr>
        <w:t>Tsipopoulou, M. and Vagnetti, L.</w:t>
      </w:r>
      <w:r>
        <w:rPr>
          <w:rFonts w:eastAsia="Times New Roman"/>
          <w:iCs/>
          <w:lang w:val="en-US"/>
        </w:rPr>
        <w:t>,</w:t>
      </w:r>
      <w:r w:rsidRPr="00AB55D4">
        <w:rPr>
          <w:rFonts w:eastAsia="Times New Roman"/>
          <w:iCs/>
          <w:lang w:val="en-US"/>
        </w:rPr>
        <w:t xml:space="preserve"> 1997. </w:t>
      </w:r>
      <w:r w:rsidRPr="00AB55D4">
        <w:rPr>
          <w:iCs/>
        </w:rPr>
        <w:t xml:space="preserve">Workshop </w:t>
      </w:r>
      <w:r>
        <w:rPr>
          <w:iCs/>
        </w:rPr>
        <w:t>a</w:t>
      </w:r>
      <w:r w:rsidRPr="00AB55D4">
        <w:rPr>
          <w:iCs/>
        </w:rPr>
        <w:t>ttributions for some Late Minoan III East Cretan Larnakes</w:t>
      </w:r>
      <w:r w:rsidRPr="00AB55D4">
        <w:t xml:space="preserve">. </w:t>
      </w:r>
      <w:r>
        <w:t xml:space="preserve">In: </w:t>
      </w:r>
      <w:r w:rsidRPr="00AB55D4">
        <w:t>R. Laffineur and P. P. Betancourt</w:t>
      </w:r>
      <w:r>
        <w:t>, eds.</w:t>
      </w:r>
      <w:r w:rsidRPr="00AB55D4">
        <w:t xml:space="preserve"> </w:t>
      </w:r>
      <w:r w:rsidRPr="00A67D51">
        <w:rPr>
          <w:i/>
        </w:rPr>
        <w:t xml:space="preserve">Τέχνη: </w:t>
      </w:r>
      <w:r>
        <w:rPr>
          <w:i/>
        </w:rPr>
        <w:t>C</w:t>
      </w:r>
      <w:r w:rsidRPr="00A67D51">
        <w:rPr>
          <w:i/>
        </w:rPr>
        <w:t xml:space="preserve">raftsmen, </w:t>
      </w:r>
      <w:r>
        <w:rPr>
          <w:i/>
        </w:rPr>
        <w:t>C</w:t>
      </w:r>
      <w:r w:rsidRPr="00A67D51">
        <w:rPr>
          <w:i/>
        </w:rPr>
        <w:t xml:space="preserve">raftswomen and </w:t>
      </w:r>
      <w:r>
        <w:rPr>
          <w:i/>
        </w:rPr>
        <w:t>C</w:t>
      </w:r>
      <w:r w:rsidRPr="00A67D51">
        <w:rPr>
          <w:i/>
        </w:rPr>
        <w:t>raftsmanship in the Aegean Bronze Age</w:t>
      </w:r>
      <w:r>
        <w:t>.</w:t>
      </w:r>
      <w:r w:rsidRPr="00290D1B">
        <w:t xml:space="preserve"> Proceedings of the 6th International Aegean Conference Philadelphia, Temple University, 18-21 April 1996</w:t>
      </w:r>
      <w:r w:rsidRPr="00AF19B7">
        <w:t xml:space="preserve">. </w:t>
      </w:r>
      <w:r w:rsidRPr="00AB55D4">
        <w:t>Aegeaum 16: 474-478. Belgium: Kliemo</w:t>
      </w:r>
      <w:r>
        <w:t>.</w:t>
      </w:r>
    </w:p>
    <w:p w14:paraId="460E0ABE" w14:textId="77777777" w:rsidR="00303EFE" w:rsidRDefault="00303EFE" w:rsidP="00E858EF">
      <w:pPr>
        <w:suppressAutoHyphens/>
      </w:pPr>
    </w:p>
    <w:p w14:paraId="23BEEAD3" w14:textId="77777777" w:rsidR="00303EFE" w:rsidRPr="00AB55D4" w:rsidRDefault="00303EFE" w:rsidP="00E858EF">
      <w:pPr>
        <w:suppressAutoHyphens/>
        <w:rPr>
          <w:rFonts w:eastAsia="Times New Roman"/>
          <w:iCs/>
          <w:lang w:val="en-US"/>
        </w:rPr>
      </w:pPr>
      <w:r w:rsidRPr="00AB55D4">
        <w:rPr>
          <w:rFonts w:eastAsia="Times New Roman"/>
          <w:iCs/>
          <w:lang w:val="en-US"/>
        </w:rPr>
        <w:t>Tsipopoulou, M. and Vagnetti, L.</w:t>
      </w:r>
      <w:r>
        <w:rPr>
          <w:rFonts w:eastAsia="Times New Roman"/>
          <w:iCs/>
          <w:lang w:val="en-US"/>
        </w:rPr>
        <w:t>,</w:t>
      </w:r>
      <w:r w:rsidRPr="00AB55D4">
        <w:rPr>
          <w:rFonts w:eastAsia="Times New Roman"/>
          <w:iCs/>
          <w:lang w:val="en-US"/>
        </w:rPr>
        <w:t xml:space="preserve"> 1999. </w:t>
      </w:r>
      <w:r w:rsidRPr="00AB55D4">
        <w:rPr>
          <w:color w:val="343434"/>
        </w:rPr>
        <w:t>A bath-tub larnax from Tourloti (Sitia), East Crete</w:t>
      </w:r>
      <w:r>
        <w:rPr>
          <w:color w:val="343434"/>
        </w:rPr>
        <w:t>.</w:t>
      </w:r>
      <w:r w:rsidRPr="00AB55D4">
        <w:rPr>
          <w:color w:val="343434"/>
        </w:rPr>
        <w:t xml:space="preserve"> </w:t>
      </w:r>
      <w:r w:rsidRPr="00AB55D4">
        <w:rPr>
          <w:i/>
        </w:rPr>
        <w:t>Studi Micenei Egeo Anatolici</w:t>
      </w:r>
      <w:r w:rsidRPr="00AB55D4">
        <w:rPr>
          <w:color w:val="424242"/>
        </w:rPr>
        <w:t xml:space="preserve"> 41: 123-143.</w:t>
      </w:r>
    </w:p>
    <w:p w14:paraId="6E436549" w14:textId="77777777" w:rsidR="00303EFE" w:rsidRPr="00AB55D4" w:rsidRDefault="00303EFE" w:rsidP="00E858EF">
      <w:pPr>
        <w:suppressAutoHyphens/>
      </w:pPr>
    </w:p>
    <w:p w14:paraId="2A918A0C" w14:textId="77777777" w:rsidR="00303EFE" w:rsidRDefault="00303EFE" w:rsidP="00E858EF">
      <w:pPr>
        <w:suppressAutoHyphens/>
        <w:autoSpaceDE w:val="0"/>
        <w:autoSpaceDN w:val="0"/>
        <w:adjustRightInd w:val="0"/>
        <w:rPr>
          <w:i/>
        </w:rPr>
      </w:pPr>
      <w:r w:rsidRPr="00AB55D4">
        <w:t>Tsipopoulou, M and Vagnetti L.</w:t>
      </w:r>
      <w:r>
        <w:t>,</w:t>
      </w:r>
      <w:r w:rsidRPr="00AB55D4">
        <w:t xml:space="preserve"> 2006. Late Minoan III </w:t>
      </w:r>
      <w:r>
        <w:t>e</w:t>
      </w:r>
      <w:r w:rsidRPr="00AB55D4">
        <w:t xml:space="preserve">vidence from Kritsa, Mirabello. </w:t>
      </w:r>
      <w:r>
        <w:t xml:space="preserve">In: </w:t>
      </w:r>
      <w:r w:rsidRPr="00AB55D4">
        <w:t>E. Tambakaki and A. Kaloutsakis</w:t>
      </w:r>
      <w:r>
        <w:t>, eds.</w:t>
      </w:r>
      <w:r w:rsidRPr="00AB55D4">
        <w:rPr>
          <w:lang w:val="el-GR"/>
        </w:rPr>
        <w:t xml:space="preserve"> </w:t>
      </w:r>
      <w:r w:rsidRPr="00AB55D4">
        <w:rPr>
          <w:i/>
        </w:rPr>
        <w:t xml:space="preserve">Πεπραγμένα του </w:t>
      </w:r>
      <w:r w:rsidRPr="00AB55D4">
        <w:rPr>
          <w:i/>
          <w:lang w:val="el-GR"/>
        </w:rPr>
        <w:t>Θ</w:t>
      </w:r>
      <w:r w:rsidRPr="00AB55D4">
        <w:rPr>
          <w:i/>
        </w:rPr>
        <w:t>' Διεθνούς Κρητολογικού Συνεδρίου, Ελούντα1 6 Οκτοβρίου 2001</w:t>
      </w:r>
      <w:r w:rsidRPr="006055A5">
        <w:t>:</w:t>
      </w:r>
      <w:r w:rsidRPr="00AB55D4">
        <w:rPr>
          <w:i/>
        </w:rPr>
        <w:t xml:space="preserve"> </w:t>
      </w:r>
      <w:r w:rsidRPr="00AB55D4">
        <w:t>201-210. Ηράκλειο: Εταιρία Κρητικών Ιστορικών Μελετών</w:t>
      </w:r>
      <w:r w:rsidRPr="00AB55D4">
        <w:rPr>
          <w:i/>
        </w:rPr>
        <w:t>.</w:t>
      </w:r>
    </w:p>
    <w:p w14:paraId="2C69B0D3" w14:textId="77777777" w:rsidR="00303EFE" w:rsidRPr="00AB55D4" w:rsidRDefault="00303EFE" w:rsidP="00E858EF">
      <w:pPr>
        <w:suppressAutoHyphens/>
        <w:autoSpaceDE w:val="0"/>
        <w:autoSpaceDN w:val="0"/>
        <w:adjustRightInd w:val="0"/>
        <w:rPr>
          <w:lang w:val="el-GR"/>
        </w:rPr>
      </w:pPr>
    </w:p>
    <w:p w14:paraId="6DB1468C" w14:textId="1B13CB10" w:rsidR="00303EFE" w:rsidRDefault="00303EFE" w:rsidP="00E858EF">
      <w:pPr>
        <w:suppressAutoHyphens/>
        <w:spacing w:after="40"/>
      </w:pPr>
      <w:r w:rsidRPr="00AB55D4">
        <w:t>Tsountas, C.</w:t>
      </w:r>
      <w:r>
        <w:t>,</w:t>
      </w:r>
      <w:r w:rsidRPr="00AB55D4">
        <w:t xml:space="preserve"> 1888</w:t>
      </w:r>
      <w:r w:rsidR="005E603B">
        <w:t>.</w:t>
      </w:r>
      <w:r w:rsidRPr="00AB55D4">
        <w:t xml:space="preserve"> </w:t>
      </w:r>
      <w:r w:rsidRPr="00AB55D4">
        <w:rPr>
          <w:lang w:val="el-GR"/>
        </w:rPr>
        <w:t>Ανασκαφαί τάφων εν Μ</w:t>
      </w:r>
      <w:r w:rsidR="005E603B">
        <w:rPr>
          <w:lang w:val="el-GR"/>
        </w:rPr>
        <w:t>υ</w:t>
      </w:r>
      <w:r w:rsidRPr="00AB55D4">
        <w:rPr>
          <w:lang w:val="el-GR"/>
        </w:rPr>
        <w:t>κήναις</w:t>
      </w:r>
      <w:r>
        <w:rPr>
          <w:lang w:val="el-GR"/>
        </w:rPr>
        <w:t>.</w:t>
      </w:r>
      <w:r w:rsidRPr="00AB55D4">
        <w:rPr>
          <w:lang w:val="el-GR"/>
        </w:rPr>
        <w:t xml:space="preserve"> </w:t>
      </w:r>
      <w:r w:rsidRPr="00AB55D4">
        <w:rPr>
          <w:i/>
        </w:rPr>
        <w:t>A</w:t>
      </w:r>
      <w:r w:rsidRPr="00AB55D4">
        <w:rPr>
          <w:i/>
          <w:lang w:val="el-GR"/>
        </w:rPr>
        <w:t>ρχαιολογική Εφημερίς</w:t>
      </w:r>
      <w:r w:rsidRPr="00AB55D4">
        <w:t>: 119-179.</w:t>
      </w:r>
    </w:p>
    <w:p w14:paraId="44EC5608" w14:textId="77777777" w:rsidR="00303EFE" w:rsidRPr="00AB55D4" w:rsidRDefault="00303EFE" w:rsidP="00E858EF">
      <w:pPr>
        <w:suppressAutoHyphens/>
        <w:spacing w:after="40"/>
      </w:pPr>
    </w:p>
    <w:p w14:paraId="39AD3D69" w14:textId="77777777" w:rsidR="00303EFE" w:rsidRDefault="00303EFE" w:rsidP="00E858EF">
      <w:pPr>
        <w:suppressAutoHyphens/>
      </w:pPr>
      <w:r w:rsidRPr="00AB55D4">
        <w:t>Tzedakis, Y.</w:t>
      </w:r>
      <w:r>
        <w:t>,</w:t>
      </w:r>
      <w:r w:rsidRPr="00AB55D4">
        <w:t xml:space="preserve"> 1971. Λάρνακες Υστερομινωϊκού νεκροταφείου Αρμένων Ρεθύμνης. </w:t>
      </w:r>
      <w:r w:rsidRPr="00BA2849">
        <w:rPr>
          <w:i/>
        </w:rPr>
        <w:t>AAA</w:t>
      </w:r>
      <w:r>
        <w:t xml:space="preserve"> </w:t>
      </w:r>
      <w:r w:rsidRPr="00BA2849">
        <w:t>IV</w:t>
      </w:r>
      <w:r w:rsidRPr="00AB55D4">
        <w:t>: 216-222.</w:t>
      </w:r>
    </w:p>
    <w:p w14:paraId="4619AA14" w14:textId="77777777" w:rsidR="00303EFE" w:rsidRPr="00AB55D4" w:rsidRDefault="00303EFE" w:rsidP="00E858EF">
      <w:pPr>
        <w:suppressAutoHyphens/>
      </w:pPr>
    </w:p>
    <w:p w14:paraId="619E9F4D" w14:textId="77777777" w:rsidR="00303EFE" w:rsidRPr="009828C4" w:rsidRDefault="00303EFE" w:rsidP="00E858EF">
      <w:pPr>
        <w:suppressAutoHyphens/>
      </w:pPr>
      <w:r w:rsidRPr="00AB55D4">
        <w:t>Tzedakis, Y.</w:t>
      </w:r>
      <w:r>
        <w:t>,</w:t>
      </w:r>
      <w:r w:rsidRPr="00AB55D4">
        <w:t xml:space="preserve"> 1996. La nécropole d’Armenoi. </w:t>
      </w:r>
      <w:r>
        <w:t xml:space="preserve">In: </w:t>
      </w:r>
      <w:r w:rsidRPr="00AB55D4">
        <w:t>E. De Miro, L. Godart and A. Sacconi</w:t>
      </w:r>
      <w:r>
        <w:t>, eds.</w:t>
      </w:r>
      <w:r w:rsidRPr="00AB55D4">
        <w:t xml:space="preserve"> </w:t>
      </w:r>
      <w:r w:rsidRPr="00AB55D4">
        <w:rPr>
          <w:i/>
        </w:rPr>
        <w:t>Atti e memorie del secondo Congresso Internazionale di Micenologia</w:t>
      </w:r>
      <w:r w:rsidRPr="00290D1B">
        <w:t>. Roma-Napoli, 14-20 ottobre 1991 Incunabula Graeca 98</w:t>
      </w:r>
      <w:r w:rsidRPr="00AF19B7">
        <w:t>: 1121-1130. Roma: Gruppo Editoriale Internazionale.</w:t>
      </w:r>
    </w:p>
    <w:p w14:paraId="1D52253E" w14:textId="77777777" w:rsidR="00303EFE" w:rsidRPr="00AB55D4" w:rsidRDefault="00303EFE" w:rsidP="00E858EF">
      <w:pPr>
        <w:suppressAutoHyphens/>
      </w:pPr>
    </w:p>
    <w:p w14:paraId="736B6DF3" w14:textId="77777777" w:rsidR="00303EFE" w:rsidRDefault="00303EFE" w:rsidP="00E858EF">
      <w:pPr>
        <w:suppressAutoHyphens/>
        <w:autoSpaceDE w:val="0"/>
        <w:autoSpaceDN w:val="0"/>
        <w:adjustRightInd w:val="0"/>
      </w:pPr>
      <w:r w:rsidRPr="00AB55D4">
        <w:t>Tzedakis, Y. and Martlew, H.</w:t>
      </w:r>
      <w:r>
        <w:t>,</w:t>
      </w:r>
      <w:r w:rsidRPr="00AB55D4">
        <w:t xml:space="preserve"> eds</w:t>
      </w:r>
      <w:r>
        <w:t>.</w:t>
      </w:r>
      <w:r w:rsidRPr="00AB55D4">
        <w:t xml:space="preserve"> 1999. </w:t>
      </w:r>
      <w:r w:rsidRPr="00AB55D4">
        <w:rPr>
          <w:i/>
        </w:rPr>
        <w:t>Archaeology Meets Science. Minoans and Mycenaeans</w:t>
      </w:r>
      <w:r>
        <w:t>.</w:t>
      </w:r>
      <w:r w:rsidRPr="00AB55D4">
        <w:rPr>
          <w:i/>
        </w:rPr>
        <w:t xml:space="preserve"> </w:t>
      </w:r>
      <w:r w:rsidRPr="00290D1B">
        <w:t xml:space="preserve">Flavours of their Time National Archaeological Museum, 12 July-27 November 1999, </w:t>
      </w:r>
      <w:r w:rsidRPr="00AF19B7">
        <w:t>Athens:</w:t>
      </w:r>
      <w:r w:rsidRPr="00AB55D4">
        <w:t xml:space="preserve"> Greek Ministry of Culture, National Archaeological Museum</w:t>
      </w:r>
      <w:r>
        <w:t>.</w:t>
      </w:r>
    </w:p>
    <w:p w14:paraId="7B65E67B" w14:textId="77777777" w:rsidR="00303EFE" w:rsidRDefault="00303EFE" w:rsidP="00E858EF">
      <w:pPr>
        <w:suppressAutoHyphens/>
        <w:autoSpaceDE w:val="0"/>
        <w:autoSpaceDN w:val="0"/>
        <w:adjustRightInd w:val="0"/>
      </w:pPr>
    </w:p>
    <w:p w14:paraId="0F47E968" w14:textId="77777777" w:rsidR="00303EFE" w:rsidRPr="00AB55D4" w:rsidRDefault="00303EFE" w:rsidP="00E858EF">
      <w:pPr>
        <w:suppressAutoHyphens/>
        <w:autoSpaceDE w:val="0"/>
        <w:autoSpaceDN w:val="0"/>
        <w:adjustRightInd w:val="0"/>
      </w:pPr>
      <w:r>
        <w:t>Tzedakis Y and</w:t>
      </w:r>
      <w:r w:rsidRPr="00AB55D4">
        <w:t xml:space="preserve"> Martlew H.</w:t>
      </w:r>
      <w:r>
        <w:t>,</w:t>
      </w:r>
      <w:r w:rsidRPr="00AB55D4">
        <w:t xml:space="preserve"> 2007. A Chorotaxia at the Late Minoan III Cemetery of Armenoi. </w:t>
      </w:r>
      <w:r>
        <w:t xml:space="preserve">In: </w:t>
      </w:r>
      <w:r w:rsidRPr="00AB55D4">
        <w:t>P.P. Betancourt, M.C. Nelson and E. H. Williams</w:t>
      </w:r>
      <w:r>
        <w:t>, eds.</w:t>
      </w:r>
      <w:r w:rsidRPr="00AB55D4">
        <w:t xml:space="preserve"> </w:t>
      </w:r>
      <w:r w:rsidRPr="00AB55D4">
        <w:rPr>
          <w:i/>
        </w:rPr>
        <w:t>Krinoi kai limenes. Studies in Honor of Joseph and Maria Shaw</w:t>
      </w:r>
      <w:r w:rsidRPr="006055A5">
        <w:t>:</w:t>
      </w:r>
      <w:r w:rsidRPr="00AB55D4">
        <w:rPr>
          <w:i/>
        </w:rPr>
        <w:t xml:space="preserve"> </w:t>
      </w:r>
      <w:r w:rsidRPr="00AB55D4">
        <w:t xml:space="preserve">67-73. Prehistory Monographs 22. Philadelphia (Pennsylvania): INSTAP Academic Press. </w:t>
      </w:r>
    </w:p>
    <w:p w14:paraId="54D203D6" w14:textId="77777777" w:rsidR="00303EFE" w:rsidRPr="00AB55D4" w:rsidRDefault="00303EFE" w:rsidP="00E858EF">
      <w:pPr>
        <w:suppressAutoHyphens/>
        <w:autoSpaceDE w:val="0"/>
        <w:autoSpaceDN w:val="0"/>
        <w:adjustRightInd w:val="0"/>
      </w:pPr>
    </w:p>
    <w:p w14:paraId="17EA0668" w14:textId="77777777" w:rsidR="00303EFE" w:rsidRDefault="00303EFE" w:rsidP="00E858EF">
      <w:pPr>
        <w:suppressAutoHyphens/>
        <w:autoSpaceDE w:val="0"/>
        <w:autoSpaceDN w:val="0"/>
        <w:adjustRightInd w:val="0"/>
      </w:pPr>
      <w:r w:rsidRPr="00AB55D4">
        <w:t>Tzedakis, Y. and Martlew, H.</w:t>
      </w:r>
      <w:r>
        <w:t>,</w:t>
      </w:r>
      <w:r w:rsidRPr="00AB55D4">
        <w:t xml:space="preserve"> 2012. Armenoi: </w:t>
      </w:r>
      <w:r>
        <w:t>t</w:t>
      </w:r>
      <w:r w:rsidRPr="00AB55D4">
        <w:t xml:space="preserve">he </w:t>
      </w:r>
      <w:r>
        <w:t>l</w:t>
      </w:r>
      <w:r w:rsidRPr="00AB55D4">
        <w:t xml:space="preserve">ate </w:t>
      </w:r>
      <w:r>
        <w:t>m</w:t>
      </w:r>
      <w:r w:rsidRPr="00AB55D4">
        <w:t xml:space="preserve">inoan III </w:t>
      </w:r>
      <w:r>
        <w:t>n</w:t>
      </w:r>
      <w:r w:rsidRPr="00AB55D4">
        <w:t xml:space="preserve">ecropolis and the </w:t>
      </w:r>
      <w:r>
        <w:t>t</w:t>
      </w:r>
      <w:r w:rsidRPr="00AB55D4">
        <w:t xml:space="preserve">own. </w:t>
      </w:r>
      <w:r>
        <w:t xml:space="preserve">In: </w:t>
      </w:r>
      <w:r w:rsidRPr="00AB55D4">
        <w:t>E. Mantzourani, P.P. Betancourt</w:t>
      </w:r>
      <w:r>
        <w:t>, eds.</w:t>
      </w:r>
      <w:r w:rsidRPr="00AB55D4">
        <w:t xml:space="preserve"> </w:t>
      </w:r>
      <w:r w:rsidRPr="00AB55D4">
        <w:rPr>
          <w:i/>
        </w:rPr>
        <w:t>Philistor. Studies in Honor of Costis Davaras</w:t>
      </w:r>
      <w:r w:rsidRPr="00AB55D4">
        <w:t xml:space="preserve">: 239-246. Prehistory Monographs 36. Philadelphia (Pennsylvania): INSTAP Academic Press. </w:t>
      </w:r>
    </w:p>
    <w:p w14:paraId="08047935" w14:textId="77777777" w:rsidR="00303EFE" w:rsidRPr="00AB55D4" w:rsidRDefault="00303EFE" w:rsidP="00E858EF">
      <w:pPr>
        <w:suppressAutoHyphens/>
        <w:autoSpaceDE w:val="0"/>
        <w:autoSpaceDN w:val="0"/>
        <w:adjustRightInd w:val="0"/>
      </w:pPr>
    </w:p>
    <w:p w14:paraId="2EAAAD4A" w14:textId="77777777" w:rsidR="00303EFE"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ind w:left="0"/>
        <w:rPr>
          <w:color w:val="000000"/>
        </w:rPr>
      </w:pPr>
      <w:r w:rsidRPr="00AB55D4">
        <w:rPr>
          <w:color w:val="000000"/>
        </w:rPr>
        <w:t>Tzedakis, Y. Chryssoulaki, S., Voutsaki, S. and Venieri, Y. 1989: Les routes minoennes: rapport préliminare. Defense de la circulation ou circulation de la défense</w:t>
      </w:r>
      <w:r>
        <w:rPr>
          <w:color w:val="000000"/>
        </w:rPr>
        <w:t xml:space="preserve">. </w:t>
      </w:r>
      <w:r>
        <w:rPr>
          <w:i/>
        </w:rPr>
        <w:t>BCH</w:t>
      </w:r>
      <w:r w:rsidRPr="00AB55D4">
        <w:rPr>
          <w:i/>
        </w:rPr>
        <w:t xml:space="preserve"> </w:t>
      </w:r>
      <w:r w:rsidRPr="00AB55D4">
        <w:rPr>
          <w:color w:val="000000"/>
        </w:rPr>
        <w:t>113: 43-75.</w:t>
      </w:r>
    </w:p>
    <w:p w14:paraId="64C6AAD9" w14:textId="77777777" w:rsidR="00303EFE" w:rsidRPr="00AB55D4" w:rsidRDefault="00303EFE" w:rsidP="00E858EF">
      <w:pPr>
        <w:pStyle w:val="Paragrafoelenc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ind w:left="0"/>
        <w:rPr>
          <w:color w:val="000000"/>
        </w:rPr>
      </w:pPr>
    </w:p>
    <w:p w14:paraId="3495452A" w14:textId="77777777" w:rsidR="00303EFE"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r w:rsidRPr="00AB55D4">
        <w:rPr>
          <w:color w:val="000000"/>
        </w:rPr>
        <w:t>Tzigounaki</w:t>
      </w:r>
      <w:r>
        <w:rPr>
          <w:color w:val="000000"/>
        </w:rPr>
        <w:t>, A.,</w:t>
      </w:r>
      <w:r w:rsidRPr="00AB55D4">
        <w:rPr>
          <w:color w:val="000000"/>
        </w:rPr>
        <w:t xml:space="preserve"> 1996: La presenza postpalaziale nell’area di Apodoulou (Creta). </w:t>
      </w:r>
      <w:r>
        <w:t xml:space="preserve">In: </w:t>
      </w:r>
      <w:r w:rsidRPr="00AB55D4">
        <w:t>E. De Miro, L. Godart and A. Sacconi</w:t>
      </w:r>
      <w:r>
        <w:t>, eds.</w:t>
      </w:r>
      <w:r w:rsidRPr="00AB55D4">
        <w:t xml:space="preserve"> </w:t>
      </w:r>
      <w:r w:rsidRPr="00AB55D4">
        <w:rPr>
          <w:i/>
        </w:rPr>
        <w:t>Atti e memorie del secondo Congresso Internazionale di Micenologia</w:t>
      </w:r>
      <w:r>
        <w:t>.</w:t>
      </w:r>
      <w:r w:rsidRPr="00290D1B">
        <w:t xml:space="preserve"> Roma-Napoli, 14-20 ottobre 1991 Incunabula Graeca 98</w:t>
      </w:r>
      <w:r w:rsidRPr="00AF19B7">
        <w:t xml:space="preserve">: </w:t>
      </w:r>
      <w:r w:rsidRPr="00AF19B7">
        <w:rPr>
          <w:color w:val="000000"/>
        </w:rPr>
        <w:t>1489-1497</w:t>
      </w:r>
      <w:r w:rsidRPr="00AF19B7">
        <w:t xml:space="preserve">. </w:t>
      </w:r>
      <w:r w:rsidRPr="009828C4">
        <w:t xml:space="preserve">Roma: Gruppo Editoriale </w:t>
      </w:r>
      <w:r w:rsidRPr="00AB55D4">
        <w:t>Internazionale</w:t>
      </w:r>
      <w:r w:rsidRPr="00AB55D4">
        <w:rPr>
          <w:color w:val="000000"/>
        </w:rPr>
        <w:t>.</w:t>
      </w:r>
    </w:p>
    <w:p w14:paraId="5D8B192C" w14:textId="77777777" w:rsidR="00303EFE" w:rsidRPr="00AB55D4" w:rsidRDefault="00303EFE" w:rsidP="00E8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autoSpaceDN w:val="0"/>
        <w:adjustRightInd w:val="0"/>
        <w:rPr>
          <w:color w:val="000000"/>
        </w:rPr>
      </w:pPr>
    </w:p>
    <w:p w14:paraId="3C51A0AD" w14:textId="77777777" w:rsidR="00303EFE" w:rsidRDefault="00303EFE" w:rsidP="00E858EF">
      <w:pPr>
        <w:suppressAutoHyphens/>
      </w:pPr>
      <w:r w:rsidRPr="00AB55D4">
        <w:t>Van Effenterre, H.</w:t>
      </w:r>
      <w:r>
        <w:t>,</w:t>
      </w:r>
      <w:r w:rsidRPr="00AB55D4">
        <w:t xml:space="preserve"> 1948. </w:t>
      </w:r>
      <w:r w:rsidRPr="00AB55D4">
        <w:rPr>
          <w:i/>
        </w:rPr>
        <w:t>Nécropoles du Mirabello</w:t>
      </w:r>
      <w:r w:rsidRPr="00AB55D4">
        <w:t>. Études Cretoises VIII. Paris: P. Geuthner.</w:t>
      </w:r>
    </w:p>
    <w:p w14:paraId="228DD1B5" w14:textId="77777777" w:rsidR="00303EFE" w:rsidRPr="00AB55D4" w:rsidRDefault="00303EFE" w:rsidP="00E858EF">
      <w:pPr>
        <w:suppressAutoHyphens/>
      </w:pPr>
    </w:p>
    <w:p w14:paraId="35B2E3D2" w14:textId="5C434754" w:rsidR="00303EFE" w:rsidRDefault="00303EFE" w:rsidP="00E858EF">
      <w:pPr>
        <w:suppressAutoHyphens/>
        <w:autoSpaceDE w:val="0"/>
        <w:autoSpaceDN w:val="0"/>
        <w:adjustRightInd w:val="0"/>
      </w:pPr>
      <w:r w:rsidRPr="00AB55D4">
        <w:t>Van Effenterre, H. and Van Effenterre, M.</w:t>
      </w:r>
      <w:r>
        <w:t>,</w:t>
      </w:r>
      <w:r w:rsidRPr="00AB55D4">
        <w:t xml:space="preserve"> 1963. </w:t>
      </w:r>
      <w:r w:rsidRPr="00AB55D4">
        <w:rPr>
          <w:i/>
        </w:rPr>
        <w:t>Fouilles ex</w:t>
      </w:r>
      <w:r w:rsidR="00320B79">
        <w:rPr>
          <w:i/>
        </w:rPr>
        <w:t>é</w:t>
      </w:r>
      <w:r w:rsidRPr="00AB55D4">
        <w:rPr>
          <w:i/>
        </w:rPr>
        <w:t>cut</w:t>
      </w:r>
      <w:r w:rsidR="00320B79">
        <w:rPr>
          <w:i/>
        </w:rPr>
        <w:t>é</w:t>
      </w:r>
      <w:r w:rsidRPr="00AB55D4">
        <w:rPr>
          <w:i/>
        </w:rPr>
        <w:t xml:space="preserve">es </w:t>
      </w:r>
      <w:r w:rsidR="00320B79">
        <w:rPr>
          <w:i/>
        </w:rPr>
        <w:t>à</w:t>
      </w:r>
      <w:r w:rsidRPr="00AB55D4">
        <w:rPr>
          <w:i/>
        </w:rPr>
        <w:t xml:space="preserve"> Mallia: Etude du site (1956-1957) par une mission arch</w:t>
      </w:r>
      <w:r w:rsidR="009C635E">
        <w:rPr>
          <w:i/>
        </w:rPr>
        <w:t>é</w:t>
      </w:r>
      <w:r w:rsidRPr="00AB55D4">
        <w:rPr>
          <w:i/>
        </w:rPr>
        <w:t>ologique de l'Universite de Caen sous la direction d'Henri van Effenterre et Exploration des n</w:t>
      </w:r>
      <w:r w:rsidR="00A50FFC">
        <w:rPr>
          <w:i/>
        </w:rPr>
        <w:t>é</w:t>
      </w:r>
      <w:r w:rsidRPr="00AB55D4">
        <w:rPr>
          <w:i/>
        </w:rPr>
        <w:t>cropoles (1915-1928) par Joseph Hazzidakis et al.; second fascicule</w:t>
      </w:r>
      <w:r w:rsidRPr="00AB55D4">
        <w:t>. Études Cr</w:t>
      </w:r>
      <w:r w:rsidR="00A50FFC">
        <w:t>é</w:t>
      </w:r>
      <w:r w:rsidRPr="00AB55D4">
        <w:t>toises XIII. Paris: P. Geuthner.</w:t>
      </w:r>
    </w:p>
    <w:p w14:paraId="2ADACBAD" w14:textId="77777777" w:rsidR="00303EFE" w:rsidRPr="00AB55D4" w:rsidRDefault="00303EFE" w:rsidP="00E858EF">
      <w:pPr>
        <w:suppressAutoHyphens/>
        <w:autoSpaceDE w:val="0"/>
        <w:autoSpaceDN w:val="0"/>
        <w:adjustRightInd w:val="0"/>
      </w:pPr>
    </w:p>
    <w:p w14:paraId="26C48444" w14:textId="77777777" w:rsidR="00303EFE" w:rsidRDefault="00303EFE" w:rsidP="00E858EF">
      <w:pPr>
        <w:suppressAutoHyphens/>
        <w:autoSpaceDE w:val="0"/>
        <w:autoSpaceDN w:val="0"/>
        <w:adjustRightInd w:val="0"/>
      </w:pPr>
      <w:r w:rsidRPr="00AB55D4">
        <w:t>Vavouranakis, G.</w:t>
      </w:r>
      <w:r>
        <w:t>,</w:t>
      </w:r>
      <w:r w:rsidRPr="00AB55D4">
        <w:t xml:space="preserve"> 2006. Burials and the </w:t>
      </w:r>
      <w:r>
        <w:t>l</w:t>
      </w:r>
      <w:r w:rsidRPr="00AB55D4">
        <w:t xml:space="preserve">andscapes of </w:t>
      </w:r>
      <w:r>
        <w:t>G</w:t>
      </w:r>
      <w:r w:rsidRPr="00AB55D4">
        <w:t xml:space="preserve">ournia, Crete, in the Bronze Age. </w:t>
      </w:r>
      <w:r>
        <w:t xml:space="preserve">In: </w:t>
      </w:r>
      <w:r w:rsidRPr="00AB55D4">
        <w:t>E. C. Robertson, J. D.</w:t>
      </w:r>
      <w:r>
        <w:t xml:space="preserve"> </w:t>
      </w:r>
      <w:r w:rsidRPr="00AB55D4">
        <w:t>Seibert, D. C. Fernandez, M. U. Zender</w:t>
      </w:r>
      <w:r>
        <w:t>, eds.</w:t>
      </w:r>
      <w:r w:rsidRPr="00AB55D4">
        <w:t xml:space="preserve"> </w:t>
      </w:r>
      <w:r w:rsidRPr="00AB55D4">
        <w:rPr>
          <w:i/>
        </w:rPr>
        <w:t xml:space="preserve">Space and </w:t>
      </w:r>
      <w:r>
        <w:rPr>
          <w:i/>
        </w:rPr>
        <w:t>S</w:t>
      </w:r>
      <w:r w:rsidRPr="00AB55D4">
        <w:rPr>
          <w:i/>
        </w:rPr>
        <w:t xml:space="preserve">patial </w:t>
      </w:r>
      <w:r>
        <w:rPr>
          <w:i/>
        </w:rPr>
        <w:t>A</w:t>
      </w:r>
      <w:r w:rsidRPr="00AB55D4">
        <w:rPr>
          <w:i/>
        </w:rPr>
        <w:t xml:space="preserve">nalysis in </w:t>
      </w:r>
      <w:r>
        <w:rPr>
          <w:i/>
        </w:rPr>
        <w:t>A</w:t>
      </w:r>
      <w:r w:rsidRPr="00AB55D4">
        <w:rPr>
          <w:i/>
        </w:rPr>
        <w:t xml:space="preserve">rchaeology: </w:t>
      </w:r>
      <w:r w:rsidRPr="00AB55D4">
        <w:t>233-242. Calgary: Calgary University Press</w:t>
      </w:r>
      <w:r>
        <w:t>.</w:t>
      </w:r>
    </w:p>
    <w:p w14:paraId="5C12E511" w14:textId="77777777" w:rsidR="00303EFE" w:rsidRPr="00AB55D4" w:rsidRDefault="00303EFE" w:rsidP="00E858EF">
      <w:pPr>
        <w:suppressAutoHyphens/>
        <w:autoSpaceDE w:val="0"/>
        <w:autoSpaceDN w:val="0"/>
        <w:adjustRightInd w:val="0"/>
      </w:pPr>
    </w:p>
    <w:p w14:paraId="5BEA9823" w14:textId="77777777" w:rsidR="00303EFE" w:rsidRDefault="00303EFE" w:rsidP="00E858EF">
      <w:pPr>
        <w:suppressAutoHyphens/>
      </w:pPr>
      <w:r w:rsidRPr="00AB55D4">
        <w:t>Vavouranakis, G.</w:t>
      </w:r>
      <w:r>
        <w:t>,</w:t>
      </w:r>
      <w:r w:rsidRPr="00AB55D4">
        <w:t xml:space="preserve"> 2007. </w:t>
      </w:r>
      <w:r w:rsidRPr="00AB55D4">
        <w:rPr>
          <w:i/>
        </w:rPr>
        <w:t>Funerary Landscapes East of Lasithi, Crete, in the Bronze Age.</w:t>
      </w:r>
      <w:r w:rsidRPr="00AB55D4">
        <w:t xml:space="preserve"> BAR, British archaeological reports Internationals. Oxford: Archaeopress.</w:t>
      </w:r>
    </w:p>
    <w:p w14:paraId="51DB642F" w14:textId="77777777" w:rsidR="00303EFE" w:rsidRPr="00AB55D4" w:rsidRDefault="00303EFE" w:rsidP="00E858EF">
      <w:pPr>
        <w:suppressAutoHyphens/>
      </w:pPr>
    </w:p>
    <w:p w14:paraId="689F475F" w14:textId="77777777" w:rsidR="00303EFE" w:rsidRDefault="00303EFE" w:rsidP="00E858EF">
      <w:pPr>
        <w:suppressAutoHyphens/>
      </w:pPr>
      <w:r w:rsidRPr="00AB55D4">
        <w:t>Vavouranakis, G.</w:t>
      </w:r>
      <w:r>
        <w:t>,</w:t>
      </w:r>
      <w:r w:rsidRPr="00AB55D4">
        <w:t xml:space="preserve"> 2014. Funerary </w:t>
      </w:r>
      <w:r>
        <w:t>p</w:t>
      </w:r>
      <w:r w:rsidRPr="00AB55D4">
        <w:t xml:space="preserve">ithoi in Bronze Age Crete: </w:t>
      </w:r>
      <w:r>
        <w:t>t</w:t>
      </w:r>
      <w:r w:rsidRPr="00AB55D4">
        <w:t xml:space="preserve">heir </w:t>
      </w:r>
      <w:r>
        <w:t>i</w:t>
      </w:r>
      <w:r w:rsidRPr="00AB55D4">
        <w:t xml:space="preserve">ntroduction and </w:t>
      </w:r>
      <w:r>
        <w:t>s</w:t>
      </w:r>
      <w:r w:rsidRPr="00AB55D4">
        <w:t xml:space="preserve">ignificance at the </w:t>
      </w:r>
      <w:r>
        <w:t>t</w:t>
      </w:r>
      <w:r w:rsidRPr="00AB55D4">
        <w:t xml:space="preserve">hreshold of Minoan </w:t>
      </w:r>
      <w:r>
        <w:t>p</w:t>
      </w:r>
      <w:r w:rsidRPr="00AB55D4">
        <w:t xml:space="preserve">alatial </w:t>
      </w:r>
      <w:r>
        <w:t>s</w:t>
      </w:r>
      <w:r w:rsidRPr="00AB55D4">
        <w:t xml:space="preserve">ociety. </w:t>
      </w:r>
      <w:r>
        <w:rPr>
          <w:i/>
        </w:rPr>
        <w:t>AJA</w:t>
      </w:r>
      <w:r w:rsidRPr="00AB55D4">
        <w:rPr>
          <w:i/>
        </w:rPr>
        <w:t xml:space="preserve"> </w:t>
      </w:r>
      <w:r w:rsidRPr="00AB55D4">
        <w:t>118 2: 197-222.</w:t>
      </w:r>
    </w:p>
    <w:p w14:paraId="418201B8" w14:textId="77777777" w:rsidR="00303EFE" w:rsidRPr="00AB55D4" w:rsidRDefault="00303EFE" w:rsidP="00E858EF">
      <w:pPr>
        <w:suppressAutoHyphens/>
      </w:pPr>
    </w:p>
    <w:p w14:paraId="3388D380" w14:textId="77777777" w:rsidR="00303EFE" w:rsidRDefault="00303EFE" w:rsidP="00E858EF">
      <w:pPr>
        <w:suppressAutoHyphens/>
      </w:pPr>
      <w:r w:rsidRPr="00AB55D4">
        <w:t>Vermeule, E.</w:t>
      </w:r>
      <w:r>
        <w:t>,</w:t>
      </w:r>
      <w:r w:rsidRPr="00AB55D4">
        <w:t xml:space="preserve"> 1965: Painted </w:t>
      </w:r>
      <w:r>
        <w:t>M</w:t>
      </w:r>
      <w:r w:rsidRPr="00AB55D4">
        <w:t xml:space="preserve">ycenaean larnakes. </w:t>
      </w:r>
      <w:r w:rsidRPr="00AB55D4">
        <w:rPr>
          <w:i/>
        </w:rPr>
        <w:t>Journal of Hellenic Studies 85</w:t>
      </w:r>
      <w:r w:rsidRPr="00AB55D4">
        <w:t>:123-148.</w:t>
      </w:r>
    </w:p>
    <w:p w14:paraId="23269F4E" w14:textId="77777777" w:rsidR="00303EFE" w:rsidRPr="00AB55D4" w:rsidRDefault="00303EFE" w:rsidP="00E858EF">
      <w:pPr>
        <w:suppressAutoHyphens/>
      </w:pPr>
    </w:p>
    <w:p w14:paraId="1BBA49F5" w14:textId="77777777" w:rsidR="00303EFE" w:rsidRDefault="00303EFE" w:rsidP="00E858EF">
      <w:pPr>
        <w:suppressAutoHyphens/>
      </w:pPr>
      <w:r w:rsidRPr="00AB55D4">
        <w:t>Vermeule, E. and Karageorghis V.</w:t>
      </w:r>
      <w:r>
        <w:t>,</w:t>
      </w:r>
      <w:r w:rsidRPr="00AB55D4">
        <w:t xml:space="preserve"> 1982. </w:t>
      </w:r>
      <w:r w:rsidRPr="00AB55D4">
        <w:rPr>
          <w:i/>
        </w:rPr>
        <w:t>Mycenaean pictorial vase painting.</w:t>
      </w:r>
      <w:r w:rsidRPr="00AB55D4">
        <w:t xml:space="preserve"> Cambridge, Massachussetts: Harvard University Press</w:t>
      </w:r>
      <w:r>
        <w:t>.</w:t>
      </w:r>
    </w:p>
    <w:p w14:paraId="54B3EE94" w14:textId="77777777" w:rsidR="00303EFE" w:rsidRPr="00AB55D4" w:rsidRDefault="00303EFE" w:rsidP="00E858EF">
      <w:pPr>
        <w:suppressAutoHyphens/>
      </w:pPr>
    </w:p>
    <w:p w14:paraId="15D494E9" w14:textId="77777777" w:rsidR="00303EFE" w:rsidRPr="00AF19B7" w:rsidRDefault="00303EFE" w:rsidP="00E858EF">
      <w:pPr>
        <w:suppressAutoHyphens/>
        <w:autoSpaceDE w:val="0"/>
        <w:autoSpaceDN w:val="0"/>
        <w:adjustRightInd w:val="0"/>
      </w:pPr>
      <w:r w:rsidRPr="00AB55D4">
        <w:t>Voutsaki S.</w:t>
      </w:r>
      <w:r>
        <w:t>,</w:t>
      </w:r>
      <w:r w:rsidRPr="00AB55D4">
        <w:t xml:space="preserve"> 1995</w:t>
      </w:r>
      <w:r>
        <w:t>a</w:t>
      </w:r>
      <w:r w:rsidRPr="00AB55D4">
        <w:t xml:space="preserve">. Social and </w:t>
      </w:r>
      <w:r>
        <w:t>p</w:t>
      </w:r>
      <w:r w:rsidRPr="00AB55D4">
        <w:t xml:space="preserve">olitical </w:t>
      </w:r>
      <w:r>
        <w:t>p</w:t>
      </w:r>
      <w:r w:rsidRPr="00AB55D4">
        <w:t xml:space="preserve">rocesses in the Mycenaean Argolid: the </w:t>
      </w:r>
      <w:r>
        <w:t>e</w:t>
      </w:r>
      <w:r w:rsidRPr="00AB55D4">
        <w:t xml:space="preserve">vidence from the </w:t>
      </w:r>
      <w:r>
        <w:t>m</w:t>
      </w:r>
      <w:r w:rsidRPr="00AB55D4">
        <w:t xml:space="preserve">ortuary </w:t>
      </w:r>
      <w:r>
        <w:t>p</w:t>
      </w:r>
      <w:r w:rsidRPr="00AB55D4">
        <w:t xml:space="preserve">ractices. </w:t>
      </w:r>
      <w:r>
        <w:t xml:space="preserve">In: </w:t>
      </w:r>
      <w:r w:rsidRPr="00AB55D4">
        <w:t>R. Laffineur and W. D. Niemeier</w:t>
      </w:r>
      <w:r>
        <w:t>, eds.</w:t>
      </w:r>
      <w:r w:rsidRPr="00AB55D4">
        <w:t xml:space="preserve"> </w:t>
      </w:r>
      <w:r w:rsidRPr="00AB55D4">
        <w:rPr>
          <w:i/>
        </w:rPr>
        <w:t>Politeia. Society and State in the Aegean Bronze Age</w:t>
      </w:r>
      <w:r>
        <w:rPr>
          <w:i/>
        </w:rPr>
        <w:t>.</w:t>
      </w:r>
      <w:r w:rsidRPr="00290D1B">
        <w:t xml:space="preserve"> Proceedings of the 5th International Aegean Conference, University of Heidelberg, Archäologisches Institut, 10-13 April 1994. </w:t>
      </w:r>
      <w:r w:rsidRPr="00AF19B7">
        <w:t>Aegaeum 12: 55-64 Liège: Kliemo.</w:t>
      </w:r>
    </w:p>
    <w:p w14:paraId="17616CC3" w14:textId="77777777" w:rsidR="00303EFE" w:rsidRDefault="00303EFE" w:rsidP="00E858EF">
      <w:pPr>
        <w:suppressAutoHyphens/>
        <w:autoSpaceDE w:val="0"/>
        <w:autoSpaceDN w:val="0"/>
        <w:adjustRightInd w:val="0"/>
      </w:pPr>
    </w:p>
    <w:p w14:paraId="0F963E93" w14:textId="77777777" w:rsidR="00303EFE" w:rsidRPr="00AF19B7" w:rsidRDefault="00303EFE" w:rsidP="00E858EF">
      <w:pPr>
        <w:suppressAutoHyphens/>
        <w:autoSpaceDE w:val="0"/>
        <w:autoSpaceDN w:val="0"/>
        <w:adjustRightInd w:val="0"/>
      </w:pPr>
      <w:r w:rsidRPr="004517AD">
        <w:t>Voutsaki, S</w:t>
      </w:r>
      <w:r>
        <w:t>.</w:t>
      </w:r>
      <w:r w:rsidRPr="004517AD">
        <w:t>, 1995b. Value and exchange in pre-monetary societies: anthropological</w:t>
      </w:r>
      <w:r>
        <w:t xml:space="preserve"> debates and Aegean archaeology. I</w:t>
      </w:r>
      <w:r w:rsidRPr="004517AD">
        <w:t>n</w:t>
      </w:r>
      <w:r>
        <w:t>:</w:t>
      </w:r>
      <w:r w:rsidRPr="004517AD">
        <w:t xml:space="preserve"> C Gillis, C Risberg an</w:t>
      </w:r>
      <w:r>
        <w:t>d B Sjoberg, eds.</w:t>
      </w:r>
      <w:r w:rsidRPr="004517AD">
        <w:t xml:space="preserve"> </w:t>
      </w:r>
      <w:r w:rsidRPr="00A67D51">
        <w:rPr>
          <w:i/>
        </w:rPr>
        <w:t xml:space="preserve">Trade and Production in Premonetary Greece: Aspects of Trade. </w:t>
      </w:r>
      <w:r w:rsidRPr="00290D1B">
        <w:t>Proceedings of the third international workshop, Athens 1993</w:t>
      </w:r>
      <w:r w:rsidRPr="00AF19B7">
        <w:t>: 7-17. Jonsered: Astroms.</w:t>
      </w:r>
    </w:p>
    <w:p w14:paraId="11EB36B1" w14:textId="77777777" w:rsidR="00303EFE" w:rsidRDefault="00303EFE" w:rsidP="00E858EF">
      <w:pPr>
        <w:suppressAutoHyphens/>
        <w:autoSpaceDE w:val="0"/>
        <w:autoSpaceDN w:val="0"/>
        <w:adjustRightInd w:val="0"/>
      </w:pPr>
    </w:p>
    <w:p w14:paraId="079DDB01" w14:textId="77777777" w:rsidR="00303EFE" w:rsidRDefault="00303EFE" w:rsidP="00E858EF">
      <w:pPr>
        <w:suppressAutoHyphens/>
        <w:autoSpaceDE w:val="0"/>
        <w:autoSpaceDN w:val="0"/>
        <w:adjustRightInd w:val="0"/>
      </w:pPr>
      <w:r w:rsidRPr="004517AD">
        <w:t>Voutsaki, S</w:t>
      </w:r>
      <w:r>
        <w:t>.</w:t>
      </w:r>
      <w:r w:rsidRPr="004517AD">
        <w:t xml:space="preserve">, 1998. Mortuary evidence, symbolic meanings and social change: a comparison between Messenia and the </w:t>
      </w:r>
      <w:r>
        <w:t xml:space="preserve">Argolid in the Mycenaean Period. In: </w:t>
      </w:r>
      <w:r w:rsidRPr="004517AD">
        <w:t>K Branigan</w:t>
      </w:r>
      <w:r>
        <w:t xml:space="preserve">, ed. </w:t>
      </w:r>
      <w:r w:rsidRPr="00A67D51">
        <w:rPr>
          <w:i/>
        </w:rPr>
        <w:t>Cemetery and Society in the Aegean Bronze Age</w:t>
      </w:r>
      <w:r>
        <w:t>:</w:t>
      </w:r>
      <w:r w:rsidRPr="004517AD">
        <w:t xml:space="preserve"> 41-58. Sheffield: Sheffield Academic Press.</w:t>
      </w:r>
    </w:p>
    <w:p w14:paraId="4DE75967" w14:textId="77777777" w:rsidR="00303EFE" w:rsidRDefault="00303EFE" w:rsidP="00E858EF">
      <w:pPr>
        <w:suppressAutoHyphens/>
        <w:autoSpaceDE w:val="0"/>
        <w:autoSpaceDN w:val="0"/>
        <w:adjustRightInd w:val="0"/>
      </w:pPr>
    </w:p>
    <w:p w14:paraId="3F5DAC6B" w14:textId="77777777" w:rsidR="00303EFE" w:rsidRPr="00A67D51" w:rsidRDefault="00303EFE" w:rsidP="00E858EF">
      <w:pPr>
        <w:suppressAutoHyphens/>
      </w:pPr>
      <w:r>
        <w:t xml:space="preserve">Voutsaki, S., 2003. Archaeology and the construction of the past in nineteenth century Greece. In: H. Hokwerda, </w:t>
      </w:r>
      <w:r w:rsidRPr="00A67D51">
        <w:rPr>
          <w:i/>
        </w:rPr>
        <w:t>Constructions of Greek Past: Identy and Historical Consciousness fron Antiquity to the Present</w:t>
      </w:r>
      <w:r w:rsidRPr="006055A5">
        <w:t>:</w:t>
      </w:r>
      <w:r>
        <w:t xml:space="preserve"> 231-255. Groningen: Brill.</w:t>
      </w:r>
    </w:p>
    <w:p w14:paraId="07AC6336" w14:textId="77777777" w:rsidR="00303EFE" w:rsidRPr="00AB55D4" w:rsidRDefault="00303EFE" w:rsidP="00E858EF">
      <w:pPr>
        <w:suppressAutoHyphens/>
        <w:autoSpaceDE w:val="0"/>
        <w:autoSpaceDN w:val="0"/>
        <w:adjustRightInd w:val="0"/>
      </w:pPr>
    </w:p>
    <w:p w14:paraId="7B66B607" w14:textId="77777777" w:rsidR="00303EFE" w:rsidRDefault="00303EFE" w:rsidP="00E858EF">
      <w:pPr>
        <w:suppressAutoHyphens/>
      </w:pPr>
      <w:r w:rsidRPr="00AB55D4">
        <w:t>Voutsaki S.</w:t>
      </w:r>
      <w:r>
        <w:t>,</w:t>
      </w:r>
      <w:r w:rsidRPr="00AB55D4">
        <w:t xml:space="preserve"> 2010: Agency and personhood at the onset of the Mycenaean period. </w:t>
      </w:r>
      <w:r w:rsidRPr="00AB55D4">
        <w:rPr>
          <w:i/>
        </w:rPr>
        <w:t>Archaeological Dialogues</w:t>
      </w:r>
      <w:r>
        <w:rPr>
          <w:i/>
        </w:rPr>
        <w:t xml:space="preserve"> </w:t>
      </w:r>
      <w:r w:rsidRPr="00BA2849">
        <w:t>17</w:t>
      </w:r>
      <w:r w:rsidRPr="00AB55D4">
        <w:t>: 65-92.</w:t>
      </w:r>
    </w:p>
    <w:p w14:paraId="2E621937" w14:textId="77777777" w:rsidR="00303EFE" w:rsidRPr="00AB55D4" w:rsidRDefault="00303EFE" w:rsidP="00E858EF">
      <w:pPr>
        <w:suppressAutoHyphens/>
      </w:pPr>
    </w:p>
    <w:p w14:paraId="046E1166" w14:textId="77777777" w:rsidR="00303EFE" w:rsidRDefault="00303EFE" w:rsidP="00E858EF">
      <w:pPr>
        <w:suppressAutoHyphens/>
        <w:autoSpaceDE w:val="0"/>
        <w:autoSpaceDN w:val="0"/>
        <w:adjustRightInd w:val="0"/>
      </w:pPr>
      <w:r w:rsidRPr="00AB55D4">
        <w:t>Voutsaki S.</w:t>
      </w:r>
      <w:r>
        <w:t>,</w:t>
      </w:r>
      <w:r w:rsidRPr="00AB55D4">
        <w:t xml:space="preserve"> 2012, From </w:t>
      </w:r>
      <w:r>
        <w:t>v</w:t>
      </w:r>
      <w:r w:rsidRPr="00AB55D4">
        <w:t xml:space="preserve">alue to </w:t>
      </w:r>
      <w:r>
        <w:t>m</w:t>
      </w:r>
      <w:r w:rsidRPr="00AB55D4">
        <w:t xml:space="preserve">eanings, from </w:t>
      </w:r>
      <w:r>
        <w:t>t</w:t>
      </w:r>
      <w:r w:rsidRPr="00AB55D4">
        <w:t xml:space="preserve">hings to </w:t>
      </w:r>
      <w:r>
        <w:t>p</w:t>
      </w:r>
      <w:r w:rsidRPr="00AB55D4">
        <w:t xml:space="preserve">ersons: </w:t>
      </w:r>
      <w:r>
        <w:t>t</w:t>
      </w:r>
      <w:r w:rsidRPr="00AB55D4">
        <w:t xml:space="preserve">he </w:t>
      </w:r>
      <w:r>
        <w:t>g</w:t>
      </w:r>
      <w:r w:rsidRPr="00AB55D4">
        <w:t xml:space="preserve">rave </w:t>
      </w:r>
      <w:r>
        <w:t>c</w:t>
      </w:r>
      <w:r w:rsidRPr="00AB55D4">
        <w:t xml:space="preserve">ircles of Mycenae </w:t>
      </w:r>
      <w:r>
        <w:t>r</w:t>
      </w:r>
      <w:r w:rsidRPr="00AB55D4">
        <w:t xml:space="preserve">econsidered. </w:t>
      </w:r>
      <w:r>
        <w:t xml:space="preserve">In: </w:t>
      </w:r>
      <w:r w:rsidRPr="00AB55D4">
        <w:t>J.Κ. Papadopoulos and G. Urton</w:t>
      </w:r>
      <w:r>
        <w:t>, eds.</w:t>
      </w:r>
      <w:r w:rsidRPr="00AB55D4">
        <w:t xml:space="preserve"> </w:t>
      </w:r>
      <w:r w:rsidRPr="00A67D51">
        <w:rPr>
          <w:i/>
        </w:rPr>
        <w:t>The Construction of Value in the Ancient World</w:t>
      </w:r>
      <w:r>
        <w:t xml:space="preserve">: </w:t>
      </w:r>
      <w:r w:rsidRPr="00AB55D4">
        <w:t>160-185. Los Angeles: Cotsen Institute of Archaeology, University of California.</w:t>
      </w:r>
    </w:p>
    <w:p w14:paraId="0D9E354C" w14:textId="77777777" w:rsidR="00303EFE" w:rsidRDefault="00303EFE" w:rsidP="00E858EF">
      <w:pPr>
        <w:suppressAutoHyphens/>
        <w:autoSpaceDE w:val="0"/>
        <w:autoSpaceDN w:val="0"/>
        <w:adjustRightInd w:val="0"/>
      </w:pPr>
    </w:p>
    <w:p w14:paraId="096F63C7" w14:textId="77777777" w:rsidR="00303EFE" w:rsidRPr="00AB55D4" w:rsidRDefault="00303EFE" w:rsidP="00E858EF">
      <w:pPr>
        <w:suppressAutoHyphens/>
        <w:autoSpaceDE w:val="0"/>
        <w:autoSpaceDN w:val="0"/>
        <w:adjustRightInd w:val="0"/>
      </w:pPr>
      <w:r w:rsidRPr="00AB55D4">
        <w:t>Warren, P.</w:t>
      </w:r>
      <w:r>
        <w:t>,</w:t>
      </w:r>
      <w:r w:rsidRPr="00AB55D4">
        <w:t xml:space="preserve"> 1969. </w:t>
      </w:r>
      <w:r w:rsidRPr="00A67D51">
        <w:rPr>
          <w:i/>
        </w:rPr>
        <w:t>Minoan Stone Vases.</w:t>
      </w:r>
      <w:r w:rsidRPr="00AB55D4">
        <w:t xml:space="preserve"> Cambridge: Cambridge University Press. </w:t>
      </w:r>
    </w:p>
    <w:p w14:paraId="1153817E" w14:textId="77777777" w:rsidR="00303EFE" w:rsidRPr="00AB55D4" w:rsidRDefault="00303EFE" w:rsidP="00E858EF">
      <w:pPr>
        <w:suppressAutoHyphens/>
        <w:autoSpaceDE w:val="0"/>
        <w:autoSpaceDN w:val="0"/>
        <w:adjustRightInd w:val="0"/>
      </w:pPr>
    </w:p>
    <w:p w14:paraId="4B9B7B17" w14:textId="77777777" w:rsidR="00303EFE" w:rsidRDefault="00303EFE" w:rsidP="00E858EF">
      <w:pPr>
        <w:suppressAutoHyphens/>
        <w:autoSpaceDE w:val="0"/>
        <w:autoSpaceDN w:val="0"/>
        <w:adjustRightInd w:val="0"/>
      </w:pPr>
      <w:r w:rsidRPr="00AB55D4">
        <w:t>Warren, P</w:t>
      </w:r>
      <w:r>
        <w:t>.,</w:t>
      </w:r>
      <w:r w:rsidRPr="00AB55D4">
        <w:t xml:space="preserve"> 1997. Late Minoan III pottery from the city of Knossos: Stratigraphical Museum Extension site</w:t>
      </w:r>
      <w:r>
        <w:t>.</w:t>
      </w:r>
      <w:r w:rsidRPr="00AB55D4">
        <w:t xml:space="preserve"> </w:t>
      </w:r>
      <w:r>
        <w:t xml:space="preserve">In: </w:t>
      </w:r>
      <w:r w:rsidRPr="00AB55D4">
        <w:t>E and B Hallager</w:t>
      </w:r>
      <w:r>
        <w:t>, eds.</w:t>
      </w:r>
      <w:r w:rsidRPr="00AB55D4">
        <w:t xml:space="preserve"> </w:t>
      </w:r>
      <w:r w:rsidRPr="00A67D51">
        <w:rPr>
          <w:i/>
        </w:rPr>
        <w:t xml:space="preserve">Late Minoan III Pottery: Chronology and Terminology. </w:t>
      </w:r>
      <w:r w:rsidRPr="00290D1B">
        <w:t>Acts of a meeting held at the Danish Institute at Athens, August 12 -14,</w:t>
      </w:r>
      <w:r>
        <w:t xml:space="preserve"> </w:t>
      </w:r>
      <w:r w:rsidRPr="00290D1B">
        <w:t>1994</w:t>
      </w:r>
      <w:r w:rsidRPr="00AF19B7">
        <w:t>:</w:t>
      </w:r>
      <w:r>
        <w:t xml:space="preserve"> </w:t>
      </w:r>
      <w:r w:rsidRPr="00AF19B7">
        <w:t>157-184.</w:t>
      </w:r>
      <w:r w:rsidRPr="00AB55D4">
        <w:t xml:space="preserve"> Aarhus: Aarhus University Press.</w:t>
      </w:r>
    </w:p>
    <w:p w14:paraId="26CE03AA" w14:textId="77777777" w:rsidR="00303EFE" w:rsidRPr="00AB55D4" w:rsidRDefault="00303EFE" w:rsidP="00E858EF">
      <w:pPr>
        <w:suppressAutoHyphens/>
        <w:autoSpaceDE w:val="0"/>
        <w:autoSpaceDN w:val="0"/>
        <w:adjustRightInd w:val="0"/>
      </w:pPr>
    </w:p>
    <w:p w14:paraId="486F5039" w14:textId="77777777" w:rsidR="00303EFE" w:rsidRDefault="00303EFE" w:rsidP="00E858EF">
      <w:pPr>
        <w:suppressAutoHyphens/>
        <w:autoSpaceDE w:val="0"/>
        <w:autoSpaceDN w:val="0"/>
        <w:adjustRightInd w:val="0"/>
      </w:pPr>
      <w:r w:rsidRPr="00AB55D4">
        <w:rPr>
          <w:color w:val="000000"/>
        </w:rPr>
        <w:t>Watrous, L. V.</w:t>
      </w:r>
      <w:r>
        <w:rPr>
          <w:color w:val="000000"/>
        </w:rPr>
        <w:t>,</w:t>
      </w:r>
      <w:r w:rsidRPr="00AB55D4">
        <w:rPr>
          <w:color w:val="000000"/>
        </w:rPr>
        <w:t xml:space="preserve"> 1991. </w:t>
      </w:r>
      <w:r w:rsidRPr="00AB55D4">
        <w:t xml:space="preserve">The origin and iconography of the LM painted larnax. </w:t>
      </w:r>
      <w:r w:rsidRPr="00AB55D4">
        <w:rPr>
          <w:i/>
        </w:rPr>
        <w:t>Hesperia: The Journal of the American School of Classical Studies at Athens 60</w:t>
      </w:r>
      <w:r w:rsidRPr="00AB55D4">
        <w:t>: 285-30.</w:t>
      </w:r>
    </w:p>
    <w:p w14:paraId="71656EC6" w14:textId="77777777" w:rsidR="00303EFE" w:rsidRPr="00AB55D4" w:rsidRDefault="00303EFE" w:rsidP="00E858EF">
      <w:pPr>
        <w:suppressAutoHyphens/>
        <w:autoSpaceDE w:val="0"/>
        <w:autoSpaceDN w:val="0"/>
        <w:adjustRightInd w:val="0"/>
        <w:rPr>
          <w:i/>
        </w:rPr>
      </w:pPr>
    </w:p>
    <w:p w14:paraId="5B579A7D" w14:textId="77777777" w:rsidR="00303EFE" w:rsidRDefault="00303EFE" w:rsidP="00E858EF">
      <w:pPr>
        <w:suppressAutoHyphens/>
        <w:autoSpaceDE w:val="0"/>
        <w:autoSpaceDN w:val="0"/>
        <w:adjustRightInd w:val="0"/>
      </w:pPr>
      <w:r w:rsidRPr="00AB55D4">
        <w:t>Watrous, L.</w:t>
      </w:r>
      <w:r>
        <w:t xml:space="preserve"> </w:t>
      </w:r>
      <w:r w:rsidRPr="00AB55D4">
        <w:t>V. and Blitzer</w:t>
      </w:r>
      <w:r>
        <w:t>,</w:t>
      </w:r>
      <w:r w:rsidRPr="00AB55D4">
        <w:t xml:space="preserve"> H</w:t>
      </w:r>
      <w:r>
        <w:t>.,</w:t>
      </w:r>
      <w:r w:rsidRPr="00AB55D4">
        <w:t xml:space="preserve"> 1997. Central Crete in Late Minoan II-IIIB 1: </w:t>
      </w:r>
      <w:r>
        <w:t>t</w:t>
      </w:r>
      <w:r w:rsidRPr="00AB55D4">
        <w:t xml:space="preserve">he archaeological background of the Knossos tablets. </w:t>
      </w:r>
      <w:r>
        <w:t xml:space="preserve">In: </w:t>
      </w:r>
      <w:r w:rsidRPr="00AB55D4">
        <w:t>J. Driessen and A. Farnoux</w:t>
      </w:r>
      <w:r>
        <w:t>, eds.</w:t>
      </w:r>
      <w:r w:rsidRPr="00AB55D4">
        <w:rPr>
          <w:i/>
        </w:rPr>
        <w:t xml:space="preserve"> La Crète </w:t>
      </w:r>
      <w:r>
        <w:rPr>
          <w:i/>
        </w:rPr>
        <w:t>m</w:t>
      </w:r>
      <w:r w:rsidRPr="00AB55D4">
        <w:rPr>
          <w:i/>
        </w:rPr>
        <w:t>ycénienne</w:t>
      </w:r>
      <w:r>
        <w:rPr>
          <w:i/>
        </w:rPr>
        <w:t>.</w:t>
      </w:r>
      <w:r w:rsidRPr="00AB55D4">
        <w:rPr>
          <w:i/>
        </w:rPr>
        <w:t xml:space="preserve"> </w:t>
      </w:r>
      <w:r w:rsidRPr="00290D1B">
        <w:t xml:space="preserve">Actes de la table ronde internationale organisée par l'Ecole française d'Athènes 26-28 mars 1991. Bulletin de Correspondance Hellénique </w:t>
      </w:r>
      <w:r w:rsidRPr="00AF19B7">
        <w:t>Supplement 30: 511-516. Athènes: École fran</w:t>
      </w:r>
      <w:r w:rsidRPr="00AB55D4">
        <w:t xml:space="preserve">çaise d'Athènes. </w:t>
      </w:r>
    </w:p>
    <w:p w14:paraId="4ACE914A" w14:textId="77777777" w:rsidR="00303EFE" w:rsidRPr="00AB55D4" w:rsidRDefault="00303EFE" w:rsidP="00E858EF">
      <w:pPr>
        <w:suppressAutoHyphens/>
        <w:autoSpaceDE w:val="0"/>
        <w:autoSpaceDN w:val="0"/>
        <w:adjustRightInd w:val="0"/>
      </w:pPr>
    </w:p>
    <w:p w14:paraId="71A8A297" w14:textId="77777777" w:rsidR="00303EFE" w:rsidRDefault="00303EFE" w:rsidP="00E858EF">
      <w:pPr>
        <w:suppressAutoHyphens/>
        <w:autoSpaceDE w:val="0"/>
        <w:autoSpaceDN w:val="0"/>
        <w:adjustRightInd w:val="0"/>
      </w:pPr>
      <w:r w:rsidRPr="00AB55D4">
        <w:t>Watrous, L.</w:t>
      </w:r>
      <w:r>
        <w:t xml:space="preserve"> </w:t>
      </w:r>
      <w:r w:rsidRPr="00AB55D4">
        <w:t>V., Hadzi-Vallianou, D. and Blitzer</w:t>
      </w:r>
      <w:r>
        <w:t>, H.,</w:t>
      </w:r>
      <w:r w:rsidRPr="00AB55D4">
        <w:t xml:space="preserve"> eds</w:t>
      </w:r>
      <w:r>
        <w:t>.</w:t>
      </w:r>
      <w:r w:rsidRPr="00AB55D4">
        <w:t xml:space="preserve"> 2004</w:t>
      </w:r>
      <w:r>
        <w:t>.</w:t>
      </w:r>
      <w:r w:rsidRPr="00AB55D4">
        <w:t xml:space="preserve"> </w:t>
      </w:r>
      <w:r w:rsidRPr="00A67D51">
        <w:rPr>
          <w:i/>
        </w:rPr>
        <w:t>The Plain of Phaistos. Cycles of Social Complexity in the Mesara Region of Crete.</w:t>
      </w:r>
      <w:r w:rsidRPr="00AB55D4">
        <w:t xml:space="preserve"> Monumenta</w:t>
      </w:r>
      <w:r>
        <w:t>n</w:t>
      </w:r>
      <w:r w:rsidRPr="00AB55D4">
        <w:t>Archaeologica 23: 277-304 Los Angeles:</w:t>
      </w:r>
      <w:r>
        <w:t xml:space="preserve"> </w:t>
      </w:r>
      <w:r w:rsidRPr="00AB55D4">
        <w:t>Cotsen Institute of Archaeology at UCLA</w:t>
      </w:r>
      <w:r>
        <w:t>.</w:t>
      </w:r>
    </w:p>
    <w:p w14:paraId="6D726B78" w14:textId="77777777" w:rsidR="00303EFE" w:rsidRPr="00AB55D4" w:rsidRDefault="00303EFE" w:rsidP="00E858EF">
      <w:pPr>
        <w:suppressAutoHyphens/>
        <w:autoSpaceDE w:val="0"/>
        <w:autoSpaceDN w:val="0"/>
        <w:adjustRightInd w:val="0"/>
      </w:pPr>
    </w:p>
    <w:p w14:paraId="5991DB18" w14:textId="77777777" w:rsidR="00303EFE" w:rsidRDefault="00303EFE" w:rsidP="00E858EF">
      <w:pPr>
        <w:suppressAutoHyphens/>
        <w:autoSpaceDE w:val="0"/>
        <w:autoSpaceDN w:val="0"/>
        <w:adjustRightInd w:val="0"/>
      </w:pPr>
      <w:r w:rsidRPr="00AB55D4">
        <w:t>Wicks, Y.</w:t>
      </w:r>
      <w:r>
        <w:t>,</w:t>
      </w:r>
      <w:r w:rsidRPr="00AB55D4">
        <w:t xml:space="preserve"> 2015. </w:t>
      </w:r>
      <w:r w:rsidRPr="00AB55D4">
        <w:rPr>
          <w:i/>
        </w:rPr>
        <w:t>Bronze “</w:t>
      </w:r>
      <w:r>
        <w:rPr>
          <w:i/>
        </w:rPr>
        <w:t>B</w:t>
      </w:r>
      <w:r w:rsidRPr="00AB55D4">
        <w:rPr>
          <w:i/>
        </w:rPr>
        <w:t xml:space="preserve">athtub” </w:t>
      </w:r>
      <w:r>
        <w:rPr>
          <w:i/>
        </w:rPr>
        <w:t>C</w:t>
      </w:r>
      <w:r w:rsidRPr="00AB55D4">
        <w:rPr>
          <w:i/>
        </w:rPr>
        <w:t xml:space="preserve">offins: in the </w:t>
      </w:r>
      <w:r>
        <w:rPr>
          <w:i/>
        </w:rPr>
        <w:t>C</w:t>
      </w:r>
      <w:r w:rsidRPr="00AB55D4">
        <w:rPr>
          <w:i/>
        </w:rPr>
        <w:t xml:space="preserve">ontext of 8th-6th </w:t>
      </w:r>
      <w:r>
        <w:rPr>
          <w:i/>
        </w:rPr>
        <w:t>C</w:t>
      </w:r>
      <w:r w:rsidRPr="00AB55D4">
        <w:rPr>
          <w:i/>
        </w:rPr>
        <w:t xml:space="preserve">entury BC Babylonian, Assyrian and Elamite </w:t>
      </w:r>
      <w:r>
        <w:rPr>
          <w:i/>
        </w:rPr>
        <w:t>F</w:t>
      </w:r>
      <w:r w:rsidRPr="00AB55D4">
        <w:rPr>
          <w:i/>
        </w:rPr>
        <w:t xml:space="preserve">unerary </w:t>
      </w:r>
      <w:r>
        <w:rPr>
          <w:i/>
        </w:rPr>
        <w:t>P</w:t>
      </w:r>
      <w:r w:rsidRPr="00AB55D4">
        <w:rPr>
          <w:i/>
        </w:rPr>
        <w:t>ractices</w:t>
      </w:r>
      <w:r w:rsidRPr="00AB55D4">
        <w:t>.</w:t>
      </w:r>
      <w:r w:rsidRPr="00AB55D4">
        <w:rPr>
          <w:rFonts w:eastAsia="Times New Roman"/>
          <w:color w:val="666666"/>
          <w:shd w:val="clear" w:color="auto" w:fill="F8F5F3"/>
        </w:rPr>
        <w:t xml:space="preserve"> </w:t>
      </w:r>
      <w:r w:rsidRPr="00AB55D4">
        <w:t>Oxford: Archaeopress.</w:t>
      </w:r>
    </w:p>
    <w:p w14:paraId="4B8F1557" w14:textId="77777777" w:rsidR="00303EFE" w:rsidRPr="00AB55D4" w:rsidRDefault="00303EFE" w:rsidP="00E858EF">
      <w:pPr>
        <w:suppressAutoHyphens/>
        <w:autoSpaceDE w:val="0"/>
        <w:autoSpaceDN w:val="0"/>
        <w:adjustRightInd w:val="0"/>
      </w:pPr>
    </w:p>
    <w:p w14:paraId="4B327A7B" w14:textId="77777777" w:rsidR="00303EFE" w:rsidRDefault="00303EFE" w:rsidP="00E858EF">
      <w:pPr>
        <w:suppressAutoHyphens/>
        <w:autoSpaceDE w:val="0"/>
        <w:autoSpaceDN w:val="0"/>
        <w:adjustRightInd w:val="0"/>
      </w:pPr>
      <w:r w:rsidRPr="00AB55D4">
        <w:t>Wilkinson, T.</w:t>
      </w:r>
      <w:r>
        <w:t>,</w:t>
      </w:r>
      <w:r w:rsidRPr="00AB55D4">
        <w:t xml:space="preserve"> 2014. Dressing the house, dressing the pots: textile-inspired decoration in the late 3rd and 2nd millenia BC east Mediterranean. </w:t>
      </w:r>
      <w:r>
        <w:t xml:space="preserve">In: </w:t>
      </w:r>
      <w:r w:rsidRPr="00AB55D4">
        <w:t xml:space="preserve">Y. Galanakis, T. Wilkinson and </w:t>
      </w:r>
      <w:r>
        <w:t xml:space="preserve">D. </w:t>
      </w:r>
      <w:r w:rsidRPr="00AB55D4">
        <w:t>J. Bennet</w:t>
      </w:r>
      <w:r>
        <w:t>, eds.</w:t>
      </w:r>
      <w:r w:rsidRPr="00AB55D4">
        <w:t xml:space="preserve"> </w:t>
      </w:r>
      <w:r w:rsidRPr="00A67D51">
        <w:rPr>
          <w:i/>
        </w:rPr>
        <w:t xml:space="preserve">Αθύρματα: Critical </w:t>
      </w:r>
      <w:r>
        <w:rPr>
          <w:i/>
        </w:rPr>
        <w:t>E</w:t>
      </w:r>
      <w:r w:rsidRPr="00A67D51">
        <w:rPr>
          <w:i/>
        </w:rPr>
        <w:t xml:space="preserve">ssays on the </w:t>
      </w:r>
      <w:r>
        <w:rPr>
          <w:i/>
        </w:rPr>
        <w:t>A</w:t>
      </w:r>
      <w:r w:rsidRPr="00A67D51">
        <w:rPr>
          <w:i/>
        </w:rPr>
        <w:t>rchaeology of the</w:t>
      </w:r>
      <w:r>
        <w:rPr>
          <w:i/>
        </w:rPr>
        <w:t xml:space="preserve"> E</w:t>
      </w:r>
      <w:r w:rsidRPr="00A67D51">
        <w:rPr>
          <w:i/>
        </w:rPr>
        <w:t xml:space="preserve">eastern Mediterranean in </w:t>
      </w:r>
      <w:r>
        <w:rPr>
          <w:i/>
        </w:rPr>
        <w:t>H</w:t>
      </w:r>
      <w:r w:rsidRPr="00A67D51">
        <w:rPr>
          <w:i/>
        </w:rPr>
        <w:t>onour of E. Susan Sherratt</w:t>
      </w:r>
      <w:r w:rsidRPr="006055A5">
        <w:t>:</w:t>
      </w:r>
      <w:r w:rsidRPr="00AB55D4">
        <w:t xml:space="preserve"> 261-274. Oxford: Archaeopress.</w:t>
      </w:r>
    </w:p>
    <w:p w14:paraId="6A918C49" w14:textId="77777777" w:rsidR="00303EFE" w:rsidRPr="00AB55D4" w:rsidRDefault="00303EFE" w:rsidP="00E858EF">
      <w:pPr>
        <w:suppressAutoHyphens/>
        <w:autoSpaceDE w:val="0"/>
        <w:autoSpaceDN w:val="0"/>
        <w:adjustRightInd w:val="0"/>
      </w:pPr>
    </w:p>
    <w:p w14:paraId="6CBFB0EC" w14:textId="77777777" w:rsidR="00303EFE" w:rsidRDefault="00303EFE" w:rsidP="00E858EF">
      <w:pPr>
        <w:suppressAutoHyphens/>
        <w:autoSpaceDE w:val="0"/>
        <w:autoSpaceDN w:val="0"/>
        <w:adjustRightInd w:val="0"/>
      </w:pPr>
      <w:r w:rsidRPr="00AB55D4">
        <w:t>Wright, J.</w:t>
      </w:r>
      <w:r>
        <w:t>,</w:t>
      </w:r>
      <w:r w:rsidRPr="00AB55D4">
        <w:t xml:space="preserve"> 2004, Mycenaean </w:t>
      </w:r>
      <w:r>
        <w:t>d</w:t>
      </w:r>
      <w:r w:rsidRPr="00AB55D4">
        <w:t xml:space="preserve">rinking </w:t>
      </w:r>
      <w:r>
        <w:t>s</w:t>
      </w:r>
      <w:r w:rsidRPr="00AB55D4">
        <w:t xml:space="preserve">ervices and </w:t>
      </w:r>
      <w:r>
        <w:t>s</w:t>
      </w:r>
      <w:r w:rsidRPr="00AB55D4">
        <w:t xml:space="preserve">tandards of </w:t>
      </w:r>
      <w:r>
        <w:t>e</w:t>
      </w:r>
      <w:r w:rsidRPr="00AB55D4">
        <w:t xml:space="preserve">tiquette. </w:t>
      </w:r>
      <w:r>
        <w:t xml:space="preserve">In: </w:t>
      </w:r>
      <w:r w:rsidRPr="00AB55D4">
        <w:t>P. Halstead, J. Barrett</w:t>
      </w:r>
      <w:r>
        <w:t>, eds.</w:t>
      </w:r>
      <w:r w:rsidRPr="00AB55D4">
        <w:t xml:space="preserve"> </w:t>
      </w:r>
      <w:r w:rsidRPr="00AB55D4">
        <w:rPr>
          <w:i/>
        </w:rPr>
        <w:t>Food, Cuisine and Society in Prehistoric Greece.</w:t>
      </w:r>
      <w:r w:rsidRPr="00AB55D4">
        <w:t xml:space="preserve"> Sheffield Studies in Aegean Archaeology 5: 90-104. Oxford: Oxbow</w:t>
      </w:r>
      <w:r>
        <w:t>.</w:t>
      </w:r>
    </w:p>
    <w:p w14:paraId="10F336DD" w14:textId="77777777" w:rsidR="00303EFE" w:rsidRDefault="00303EFE" w:rsidP="00E858EF">
      <w:pPr>
        <w:suppressAutoHyphens/>
        <w:autoSpaceDE w:val="0"/>
        <w:autoSpaceDN w:val="0"/>
        <w:adjustRightInd w:val="0"/>
      </w:pPr>
    </w:p>
    <w:p w14:paraId="5D8C69C4" w14:textId="77777777" w:rsidR="00303EFE" w:rsidRPr="00A67D51" w:rsidRDefault="00303EFE" w:rsidP="00E858EF">
      <w:pPr>
        <w:suppressAutoHyphens/>
      </w:pPr>
      <w:r w:rsidRPr="004757C4">
        <w:t>Wright, J.</w:t>
      </w:r>
      <w:r>
        <w:t>,</w:t>
      </w:r>
      <w:r w:rsidRPr="004757C4">
        <w:t xml:space="preserve"> 2008. Chamber tombs, family and state in Mycenaean Greece. </w:t>
      </w:r>
      <w:r>
        <w:t xml:space="preserve">In: </w:t>
      </w:r>
      <w:r w:rsidRPr="004757C4">
        <w:t>C. Gallou, M. Georgiad</w:t>
      </w:r>
      <w:r>
        <w:t xml:space="preserve">is and G.M. Muskett., eds. </w:t>
      </w:r>
      <w:r w:rsidRPr="00A67D51">
        <w:rPr>
          <w:i/>
        </w:rPr>
        <w:t>Dioskouroi:</w:t>
      </w:r>
      <w:r>
        <w:rPr>
          <w:i/>
        </w:rPr>
        <w:t xml:space="preserve"> S</w:t>
      </w:r>
      <w:r w:rsidRPr="00A67D51">
        <w:rPr>
          <w:i/>
        </w:rPr>
        <w:t xml:space="preserve">tudies </w:t>
      </w:r>
      <w:r>
        <w:rPr>
          <w:i/>
        </w:rPr>
        <w:t>P</w:t>
      </w:r>
      <w:r w:rsidRPr="00A67D51">
        <w:rPr>
          <w:i/>
        </w:rPr>
        <w:t>resented to W.G. Cavanagh and C.B. Mee on the</w:t>
      </w:r>
      <w:r>
        <w:rPr>
          <w:i/>
        </w:rPr>
        <w:t xml:space="preserve"> A</w:t>
      </w:r>
      <w:r w:rsidRPr="00A67D51">
        <w:rPr>
          <w:i/>
        </w:rPr>
        <w:t xml:space="preserve">nniverary of their 30-year joint </w:t>
      </w:r>
      <w:r>
        <w:rPr>
          <w:i/>
        </w:rPr>
        <w:t>C</w:t>
      </w:r>
      <w:r w:rsidRPr="00A67D51">
        <w:rPr>
          <w:i/>
        </w:rPr>
        <w:t xml:space="preserve">ontribution to Aegean </w:t>
      </w:r>
      <w:r>
        <w:rPr>
          <w:i/>
        </w:rPr>
        <w:t>A</w:t>
      </w:r>
      <w:r w:rsidRPr="00A67D51">
        <w:rPr>
          <w:i/>
        </w:rPr>
        <w:t>rchaeology</w:t>
      </w:r>
      <w:r w:rsidRPr="006055A5">
        <w:t>:</w:t>
      </w:r>
      <w:r w:rsidRPr="004757C4">
        <w:t xml:space="preserve"> 144-153. Oxford</w:t>
      </w:r>
      <w:r>
        <w:t>:</w:t>
      </w:r>
      <w:r w:rsidRPr="004757C4">
        <w:t xml:space="preserve"> Archaeopress.</w:t>
      </w:r>
    </w:p>
    <w:p w14:paraId="6EC267DB" w14:textId="77777777" w:rsidR="00303EFE" w:rsidRPr="00AB55D4" w:rsidRDefault="00303EFE" w:rsidP="00E858EF">
      <w:pPr>
        <w:suppressAutoHyphens/>
        <w:autoSpaceDE w:val="0"/>
        <w:autoSpaceDN w:val="0"/>
        <w:adjustRightInd w:val="0"/>
      </w:pPr>
    </w:p>
    <w:p w14:paraId="33172CBA" w14:textId="77777777" w:rsidR="00303EFE" w:rsidRDefault="00303EFE" w:rsidP="00E858EF">
      <w:pPr>
        <w:suppressAutoHyphens/>
      </w:pPr>
      <w:r w:rsidRPr="00AB55D4">
        <w:t>Xanthoudides, S.</w:t>
      </w:r>
      <w:r>
        <w:t>,</w:t>
      </w:r>
      <w:r w:rsidRPr="00AB55D4">
        <w:t xml:space="preserve"> 1904.</w:t>
      </w:r>
      <w:r w:rsidRPr="00AB55D4">
        <w:rPr>
          <w:lang w:val="el-GR"/>
        </w:rPr>
        <w:t xml:space="preserve"> </w:t>
      </w:r>
      <w:r w:rsidRPr="00AB55D4">
        <w:t>‘</w:t>
      </w:r>
      <w:r w:rsidRPr="00AB55D4">
        <w:rPr>
          <w:lang w:val="el-GR"/>
        </w:rPr>
        <w:t xml:space="preserve">Εκ Κρήτης. </w:t>
      </w:r>
      <w:r w:rsidRPr="00AB55D4">
        <w:rPr>
          <w:i/>
        </w:rPr>
        <w:t>A</w:t>
      </w:r>
      <w:r w:rsidRPr="00AB55D4">
        <w:rPr>
          <w:i/>
          <w:lang w:val="el-GR"/>
        </w:rPr>
        <w:t>ρχαιολογική Εφημερίς</w:t>
      </w:r>
      <w:r w:rsidRPr="006055A5">
        <w:rPr>
          <w:lang w:val="el-GR"/>
        </w:rPr>
        <w:t>:</w:t>
      </w:r>
      <w:r w:rsidRPr="00AB55D4">
        <w:t xml:space="preserve"> 1-56.</w:t>
      </w:r>
    </w:p>
    <w:p w14:paraId="1B1BB244" w14:textId="77777777" w:rsidR="00303EFE" w:rsidRPr="00AB55D4" w:rsidRDefault="00303EFE" w:rsidP="00E858EF">
      <w:pPr>
        <w:suppressAutoHyphens/>
      </w:pPr>
    </w:p>
    <w:p w14:paraId="10929440" w14:textId="52CA9255" w:rsidR="00303EFE" w:rsidRDefault="00303EFE" w:rsidP="00E858EF">
      <w:pPr>
        <w:suppressAutoHyphens/>
      </w:pPr>
      <w:r w:rsidRPr="00AB55D4">
        <w:t>Xanthoudides, S.</w:t>
      </w:r>
      <w:r>
        <w:t>,</w:t>
      </w:r>
      <w:r w:rsidRPr="00AB55D4">
        <w:t xml:space="preserve"> 1920-1921a. </w:t>
      </w:r>
      <w:r w:rsidRPr="00AB55D4">
        <w:rPr>
          <w:lang w:val="el-GR"/>
        </w:rPr>
        <w:t>Λαξευτ</w:t>
      </w:r>
      <w:r w:rsidR="00FA770A">
        <w:rPr>
          <w:lang w:val="el-GR"/>
        </w:rPr>
        <w:t>οί</w:t>
      </w:r>
      <w:r w:rsidRPr="00AB55D4">
        <w:rPr>
          <w:lang w:val="el-GR"/>
        </w:rPr>
        <w:t xml:space="preserve"> μυν</w:t>
      </w:r>
      <w:r w:rsidR="004101DC">
        <w:rPr>
          <w:lang w:val="el-GR"/>
        </w:rPr>
        <w:t>ωι</w:t>
      </w:r>
      <w:r w:rsidRPr="00AB55D4">
        <w:rPr>
          <w:lang w:val="el-GR"/>
        </w:rPr>
        <w:t>κ</w:t>
      </w:r>
      <w:r w:rsidR="004101DC">
        <w:rPr>
          <w:lang w:val="el-GR"/>
        </w:rPr>
        <w:t>οί</w:t>
      </w:r>
      <w:r w:rsidRPr="00AB55D4">
        <w:rPr>
          <w:lang w:val="el-GR"/>
        </w:rPr>
        <w:t xml:space="preserve"> τάφοι Μιλάτου. </w:t>
      </w:r>
      <w:r w:rsidRPr="00BA2849">
        <w:rPr>
          <w:i/>
          <w:lang w:val="el-GR"/>
        </w:rPr>
        <w:t>ADelt</w:t>
      </w:r>
      <w:r>
        <w:rPr>
          <w:lang w:val="el-GR"/>
        </w:rPr>
        <w:t xml:space="preserve"> </w:t>
      </w:r>
      <w:r w:rsidRPr="00BA2849">
        <w:rPr>
          <w:lang w:val="el-GR"/>
        </w:rPr>
        <w:t>6</w:t>
      </w:r>
      <w:r w:rsidRPr="00AB55D4">
        <w:t>: 154-157</w:t>
      </w:r>
      <w:r>
        <w:t>.</w:t>
      </w:r>
    </w:p>
    <w:p w14:paraId="624E21E8" w14:textId="77777777" w:rsidR="00303EFE" w:rsidRPr="00AB55D4" w:rsidRDefault="00303EFE" w:rsidP="00E858EF">
      <w:pPr>
        <w:suppressAutoHyphens/>
        <w:rPr>
          <w:b/>
          <w:color w:val="000000"/>
          <w:lang w:eastAsia="ja-JP"/>
        </w:rPr>
      </w:pPr>
    </w:p>
    <w:p w14:paraId="6A77A622" w14:textId="018B2351" w:rsidR="00303EFE" w:rsidRDefault="00303EFE" w:rsidP="00E858EF">
      <w:pPr>
        <w:suppressAutoHyphens/>
      </w:pPr>
      <w:r w:rsidRPr="00AB55D4">
        <w:t>Xanthoudides, S.</w:t>
      </w:r>
      <w:r>
        <w:t>,</w:t>
      </w:r>
      <w:r w:rsidRPr="00AB55D4">
        <w:t xml:space="preserve"> 1920-1921b.</w:t>
      </w:r>
      <w:r>
        <w:t xml:space="preserve"> </w:t>
      </w:r>
      <w:r w:rsidRPr="00AB55D4">
        <w:rPr>
          <w:lang w:val="el-GR"/>
        </w:rPr>
        <w:t>Λαξευτός μυν</w:t>
      </w:r>
      <w:r w:rsidR="004101DC">
        <w:rPr>
          <w:lang w:val="el-GR"/>
        </w:rPr>
        <w:t>ωι</w:t>
      </w:r>
      <w:r w:rsidRPr="00AB55D4">
        <w:rPr>
          <w:lang w:val="el-GR"/>
        </w:rPr>
        <w:t>κός τάφος Επισκοπ</w:t>
      </w:r>
      <w:r w:rsidR="004101DC">
        <w:rPr>
          <w:lang w:val="el-GR"/>
        </w:rPr>
        <w:t>ή</w:t>
      </w:r>
      <w:r w:rsidRPr="00AB55D4">
        <w:rPr>
          <w:lang w:val="el-GR"/>
        </w:rPr>
        <w:t>ς Ιεράπετρ</w:t>
      </w:r>
      <w:r w:rsidR="000408BC">
        <w:rPr>
          <w:lang w:val="el-GR"/>
        </w:rPr>
        <w:t>ας</w:t>
      </w:r>
      <w:r w:rsidRPr="00AB55D4">
        <w:rPr>
          <w:lang w:val="el-GR"/>
        </w:rPr>
        <w:t xml:space="preserve">. </w:t>
      </w:r>
      <w:r w:rsidRPr="000408BC">
        <w:rPr>
          <w:i/>
          <w:lang w:val="el-GR"/>
        </w:rPr>
        <w:t>ADel</w:t>
      </w:r>
      <w:r w:rsidRPr="00F52D43">
        <w:rPr>
          <w:i/>
          <w:lang w:val="el-GR"/>
        </w:rPr>
        <w:t xml:space="preserve">t </w:t>
      </w:r>
      <w:r w:rsidRPr="00BA2849">
        <w:rPr>
          <w:lang w:val="el-GR"/>
        </w:rPr>
        <w:t>6</w:t>
      </w:r>
      <w:r w:rsidRPr="00AB55D4">
        <w:t>: 157-162.</w:t>
      </w:r>
    </w:p>
    <w:p w14:paraId="0B2D52ED" w14:textId="77777777" w:rsidR="00303EFE" w:rsidRPr="00AB55D4" w:rsidRDefault="00303EFE" w:rsidP="00E858EF">
      <w:pPr>
        <w:suppressAutoHyphens/>
        <w:rPr>
          <w:b/>
          <w:color w:val="000000"/>
          <w:lang w:eastAsia="ja-JP"/>
        </w:rPr>
      </w:pPr>
    </w:p>
    <w:p w14:paraId="64D30924" w14:textId="6BF8498F" w:rsidR="00303EFE" w:rsidRDefault="00303EFE" w:rsidP="00E858EF">
      <w:pPr>
        <w:suppressAutoHyphens/>
      </w:pPr>
      <w:r w:rsidRPr="00AB55D4">
        <w:t>Xanthoudides, S.</w:t>
      </w:r>
      <w:r>
        <w:t>,</w:t>
      </w:r>
      <w:r w:rsidRPr="00AB55D4">
        <w:t xml:space="preserve"> 1924a. </w:t>
      </w:r>
      <w:r w:rsidRPr="00AB55D4">
        <w:rPr>
          <w:lang w:val="el-GR"/>
        </w:rPr>
        <w:t>Ανασκαφή Νίρου Χάνι.</w:t>
      </w:r>
      <w:r w:rsidR="000408BC">
        <w:rPr>
          <w:lang w:val="el-GR"/>
        </w:rPr>
        <w:t xml:space="preserve"> </w:t>
      </w:r>
      <w:r w:rsidRPr="00BA2849">
        <w:rPr>
          <w:i/>
          <w:lang w:val="el-GR"/>
        </w:rPr>
        <w:t>Prakt</w:t>
      </w:r>
      <w:r w:rsidRPr="006055A5">
        <w:rPr>
          <w:lang w:val="el-GR"/>
        </w:rPr>
        <w:t>:</w:t>
      </w:r>
      <w:r w:rsidRPr="00AB55D4">
        <w:t xml:space="preserve"> 125-129.</w:t>
      </w:r>
    </w:p>
    <w:p w14:paraId="0F128904" w14:textId="77777777" w:rsidR="00303EFE" w:rsidRPr="00AB55D4" w:rsidRDefault="00303EFE" w:rsidP="00E858EF">
      <w:pPr>
        <w:suppressAutoHyphens/>
        <w:rPr>
          <w:lang w:eastAsia="en-US"/>
        </w:rPr>
      </w:pPr>
    </w:p>
    <w:p w14:paraId="551F173F" w14:textId="77777777" w:rsidR="00303EFE" w:rsidRDefault="00303EFE" w:rsidP="00E858EF">
      <w:pPr>
        <w:suppressAutoHyphens/>
        <w:rPr>
          <w:lang w:eastAsia="en-US"/>
        </w:rPr>
      </w:pPr>
      <w:r w:rsidRPr="00AB55D4">
        <w:t>Xanthoudides, S.</w:t>
      </w:r>
      <w:r>
        <w:t>,</w:t>
      </w:r>
      <w:r w:rsidRPr="00AB55D4">
        <w:t xml:space="preserve"> 1924b. </w:t>
      </w:r>
      <w:r w:rsidRPr="00AB55D4">
        <w:rPr>
          <w:i/>
          <w:lang w:val="en-US" w:eastAsia="en-US"/>
        </w:rPr>
        <w:t>The Vaulted Tombs of Mesara</w:t>
      </w:r>
      <w:r w:rsidRPr="00AB55D4">
        <w:rPr>
          <w:lang w:eastAsia="en-US"/>
        </w:rPr>
        <w:t xml:space="preserve">: </w:t>
      </w:r>
      <w:r>
        <w:rPr>
          <w:i/>
          <w:lang w:eastAsia="en-US"/>
        </w:rPr>
        <w:t>a</w:t>
      </w:r>
      <w:r w:rsidRPr="00A67D51">
        <w:rPr>
          <w:i/>
          <w:lang w:eastAsia="en-US"/>
        </w:rPr>
        <w:t xml:space="preserve">n </w:t>
      </w:r>
      <w:r>
        <w:rPr>
          <w:i/>
          <w:lang w:eastAsia="en-US"/>
        </w:rPr>
        <w:t>A</w:t>
      </w:r>
      <w:r w:rsidRPr="00A67D51">
        <w:rPr>
          <w:i/>
          <w:lang w:eastAsia="en-US"/>
        </w:rPr>
        <w:t xml:space="preserve">ccount of </w:t>
      </w:r>
      <w:r>
        <w:rPr>
          <w:i/>
          <w:lang w:eastAsia="en-US"/>
        </w:rPr>
        <w:t>S</w:t>
      </w:r>
      <w:r w:rsidRPr="00A67D51">
        <w:rPr>
          <w:i/>
          <w:lang w:eastAsia="en-US"/>
        </w:rPr>
        <w:t xml:space="preserve">ome </w:t>
      </w:r>
      <w:r>
        <w:rPr>
          <w:i/>
          <w:lang w:eastAsia="en-US"/>
        </w:rPr>
        <w:t>E</w:t>
      </w:r>
      <w:r w:rsidRPr="00A67D51">
        <w:rPr>
          <w:i/>
          <w:lang w:eastAsia="en-US"/>
        </w:rPr>
        <w:t xml:space="preserve">arly </w:t>
      </w:r>
      <w:r>
        <w:rPr>
          <w:i/>
          <w:lang w:eastAsia="en-US"/>
        </w:rPr>
        <w:t>C</w:t>
      </w:r>
      <w:r w:rsidRPr="00A67D51">
        <w:rPr>
          <w:i/>
          <w:lang w:eastAsia="en-US"/>
        </w:rPr>
        <w:t xml:space="preserve">emeteries of </w:t>
      </w:r>
      <w:r>
        <w:rPr>
          <w:i/>
          <w:lang w:eastAsia="en-US"/>
        </w:rPr>
        <w:t>S</w:t>
      </w:r>
      <w:r w:rsidRPr="00A67D51">
        <w:rPr>
          <w:i/>
          <w:lang w:eastAsia="en-US"/>
        </w:rPr>
        <w:t>outhern Crete</w:t>
      </w:r>
      <w:r w:rsidRPr="00AB55D4">
        <w:rPr>
          <w:lang w:eastAsia="en-US"/>
        </w:rPr>
        <w:t>. London: Hodder &amp; Stoughton Ltd.</w:t>
      </w:r>
    </w:p>
    <w:p w14:paraId="24CBBFF4" w14:textId="77777777" w:rsidR="00303EFE" w:rsidRPr="00AB55D4" w:rsidRDefault="00303EFE" w:rsidP="00E858EF">
      <w:pPr>
        <w:suppressAutoHyphens/>
        <w:rPr>
          <w:lang w:eastAsia="en-US"/>
        </w:rPr>
      </w:pPr>
    </w:p>
    <w:p w14:paraId="378FB4FB" w14:textId="51D67B8B" w:rsidR="00303EFE" w:rsidRDefault="00303EFE" w:rsidP="00E858EF">
      <w:pPr>
        <w:suppressAutoHyphens/>
        <w:autoSpaceDE w:val="0"/>
        <w:autoSpaceDN w:val="0"/>
        <w:adjustRightInd w:val="0"/>
        <w:rPr>
          <w:color w:val="000000"/>
        </w:rPr>
      </w:pPr>
      <w:r w:rsidRPr="00AB55D4">
        <w:rPr>
          <w:color w:val="000000"/>
        </w:rPr>
        <w:t>Zachariadou, O.</w:t>
      </w:r>
      <w:r>
        <w:rPr>
          <w:color w:val="000000"/>
        </w:rPr>
        <w:t>,</w:t>
      </w:r>
      <w:r w:rsidRPr="00AB55D4">
        <w:rPr>
          <w:color w:val="000000"/>
        </w:rPr>
        <w:t xml:space="preserve"> 1978. Θαλαμοειδ</w:t>
      </w:r>
      <w:r w:rsidR="002A19CD">
        <w:rPr>
          <w:color w:val="000000"/>
          <w:lang w:val="el-GR"/>
        </w:rPr>
        <w:t>ή</w:t>
      </w:r>
      <w:r w:rsidRPr="00AB55D4">
        <w:rPr>
          <w:color w:val="000000"/>
        </w:rPr>
        <w:t>ς τάφος στην Αρκάσα Καρπάθου</w:t>
      </w:r>
      <w:r>
        <w:rPr>
          <w:color w:val="000000"/>
        </w:rPr>
        <w:t>.</w:t>
      </w:r>
      <w:r w:rsidRPr="00AB55D4">
        <w:rPr>
          <w:color w:val="000000"/>
        </w:rPr>
        <w:t xml:space="preserve"> </w:t>
      </w:r>
      <w:r w:rsidRPr="00AB55D4">
        <w:rPr>
          <w:i/>
          <w:lang w:val="el-GR"/>
        </w:rPr>
        <w:t>Α</w:t>
      </w:r>
      <w:r>
        <w:rPr>
          <w:i/>
          <w:lang w:val="el-GR"/>
        </w:rPr>
        <w:t xml:space="preserve">Delt </w:t>
      </w:r>
      <w:r w:rsidRPr="00AB55D4">
        <w:rPr>
          <w:i/>
          <w:lang w:val="el-GR"/>
        </w:rPr>
        <w:t>33</w:t>
      </w:r>
      <w:r w:rsidRPr="006055A5">
        <w:t>:</w:t>
      </w:r>
      <w:r w:rsidRPr="00AB55D4">
        <w:rPr>
          <w:color w:val="000000"/>
        </w:rPr>
        <w:t xml:space="preserve"> 249-295.</w:t>
      </w:r>
    </w:p>
    <w:p w14:paraId="1F1EC3A6" w14:textId="77777777" w:rsidR="00303EFE" w:rsidRPr="00AB55D4" w:rsidRDefault="00303EFE" w:rsidP="00E858EF">
      <w:pPr>
        <w:suppressAutoHyphens/>
        <w:autoSpaceDE w:val="0"/>
        <w:autoSpaceDN w:val="0"/>
        <w:adjustRightInd w:val="0"/>
        <w:rPr>
          <w:color w:val="000000"/>
        </w:rPr>
      </w:pPr>
    </w:p>
    <w:p w14:paraId="7A446F33" w14:textId="5703367F" w:rsidR="00303EFE" w:rsidRPr="00BA2849" w:rsidRDefault="00303EFE" w:rsidP="00E858EF">
      <w:pPr>
        <w:suppressAutoHyphens/>
        <w:rPr>
          <w:lang w:val="el-GR"/>
        </w:rPr>
      </w:pPr>
      <w:r w:rsidRPr="00AB55D4">
        <w:t>Zervos, C.</w:t>
      </w:r>
      <w:r>
        <w:t xml:space="preserve">, </w:t>
      </w:r>
      <w:r w:rsidRPr="00AB55D4">
        <w:t xml:space="preserve">1956. </w:t>
      </w:r>
      <w:r w:rsidRPr="00A67D51">
        <w:rPr>
          <w:i/>
        </w:rPr>
        <w:t>L'art de la Cr</w:t>
      </w:r>
      <w:r w:rsidR="002E1607">
        <w:rPr>
          <w:i/>
        </w:rPr>
        <w:t>è</w:t>
      </w:r>
      <w:r w:rsidRPr="00A67D51">
        <w:rPr>
          <w:i/>
        </w:rPr>
        <w:t>te N</w:t>
      </w:r>
      <w:r w:rsidR="009A649D">
        <w:rPr>
          <w:i/>
        </w:rPr>
        <w:t>é</w:t>
      </w:r>
      <w:r w:rsidRPr="00A67D51">
        <w:rPr>
          <w:i/>
        </w:rPr>
        <w:t>olithique et Minoenne</w:t>
      </w:r>
      <w:r w:rsidRPr="00AB55D4">
        <w:t>. Paris: Editions "Cahiers d'art"</w:t>
      </w:r>
      <w:r>
        <w:t>.</w:t>
      </w:r>
    </w:p>
    <w:p w14:paraId="5E6EFF95" w14:textId="77777777" w:rsidR="00832319" w:rsidRDefault="00832319" w:rsidP="00E858EF">
      <w:pPr>
        <w:suppressAutoHyphens/>
      </w:pPr>
    </w:p>
    <w:p w14:paraId="66427A83" w14:textId="6B7E00A3" w:rsidR="00303EFE" w:rsidRDefault="00303EFE" w:rsidP="00E858EF">
      <w:pPr>
        <w:suppressAutoHyphens/>
        <w:spacing w:line="240" w:lineRule="auto"/>
        <w:contextualSpacing w:val="0"/>
        <w:jc w:val="left"/>
        <w:rPr>
          <w:b/>
          <w:iCs/>
          <w:sz w:val="20"/>
          <w:szCs w:val="18"/>
        </w:rPr>
      </w:pPr>
      <w:r>
        <w:br w:type="page"/>
      </w:r>
    </w:p>
    <w:p w14:paraId="04BD472E" w14:textId="6C606A14" w:rsidR="00B7613B" w:rsidRDefault="00303EFE" w:rsidP="00E858EF">
      <w:pPr>
        <w:pStyle w:val="Titolo1"/>
        <w:keepNext w:val="0"/>
        <w:keepLines w:val="0"/>
        <w:numPr>
          <w:ilvl w:val="0"/>
          <w:numId w:val="0"/>
        </w:numPr>
        <w:suppressAutoHyphens/>
      </w:pPr>
      <w:bookmarkStart w:id="1293" w:name="_Toc519894737"/>
      <w:r>
        <w:t>Appendix</w:t>
      </w:r>
      <w:bookmarkEnd w:id="1293"/>
      <w:r w:rsidR="00B7613B">
        <w:t xml:space="preserve"> </w:t>
      </w:r>
    </w:p>
    <w:p w14:paraId="5BEB6BD8" w14:textId="269254FF" w:rsidR="00D726B2" w:rsidRPr="00B7613B" w:rsidRDefault="00B7613B" w:rsidP="00B7613B">
      <w:pPr>
        <w:rPr>
          <w:b/>
        </w:rPr>
      </w:pPr>
      <w:r w:rsidRPr="00B7613B">
        <w:rPr>
          <w:b/>
          <w:sz w:val="32"/>
        </w:rPr>
        <w:t xml:space="preserve">Larnakes </w:t>
      </w:r>
      <w:r w:rsidR="005A1746">
        <w:rPr>
          <w:b/>
          <w:sz w:val="32"/>
        </w:rPr>
        <w:t>cited in Chapter 5</w:t>
      </w:r>
    </w:p>
    <w:p w14:paraId="12FCC858" w14:textId="77777777" w:rsidR="00B7613B" w:rsidRDefault="00B7613B" w:rsidP="003860B7">
      <w:pPr>
        <w:rPr>
          <w:b/>
          <w:szCs w:val="28"/>
        </w:rPr>
      </w:pPr>
    </w:p>
    <w:p w14:paraId="28C0EE03" w14:textId="56D38A6F" w:rsidR="003860B7" w:rsidRPr="003860B7" w:rsidRDefault="003860B7" w:rsidP="003860B7">
      <w:pPr>
        <w:rPr>
          <w:b/>
          <w:szCs w:val="28"/>
          <w:lang w:val="it-IT"/>
        </w:rPr>
      </w:pPr>
      <w:r w:rsidRPr="003860B7">
        <w:rPr>
          <w:b/>
          <w:szCs w:val="28"/>
        </w:rPr>
        <w:t>Key to Appendix</w:t>
      </w:r>
    </w:p>
    <w:p w14:paraId="0C77C27C" w14:textId="77777777" w:rsidR="003860B7" w:rsidRDefault="003860B7" w:rsidP="003860B7"/>
    <w:p w14:paraId="696CB6E8" w14:textId="314E83A6" w:rsidR="003860B7" w:rsidRPr="00E13132" w:rsidRDefault="003860B7" w:rsidP="003860B7">
      <w:pPr>
        <w:rPr>
          <w:lang w:val="it-IT"/>
        </w:rPr>
      </w:pPr>
      <w:r w:rsidRPr="003773DF">
        <w:rPr>
          <w:b/>
        </w:rPr>
        <w:t>ID larnax:</w:t>
      </w:r>
      <w:r>
        <w:t xml:space="preserve"> </w:t>
      </w:r>
      <w:r w:rsidR="002A19CD">
        <w:rPr>
          <w:lang w:val="it-IT"/>
        </w:rPr>
        <w:t xml:space="preserve">individual </w:t>
      </w:r>
      <w:r>
        <w:t xml:space="preserve">number given in the database to the larnakes in order to identify them. </w:t>
      </w:r>
      <w:r>
        <w:rPr>
          <w:lang w:val="it-IT"/>
        </w:rPr>
        <w:t>T</w:t>
      </w:r>
      <w:r w:rsidRPr="00E13132">
        <w:rPr>
          <w:lang w:val="it-IT"/>
        </w:rPr>
        <w:t>hese ID nos. are used in Chapter 5</w:t>
      </w:r>
    </w:p>
    <w:p w14:paraId="0AB1D467" w14:textId="77777777" w:rsidR="003860B7" w:rsidRDefault="003860B7" w:rsidP="003860B7">
      <w:r w:rsidRPr="00806EB4">
        <w:rPr>
          <w:b/>
        </w:rPr>
        <w:t>Inv. number</w:t>
      </w:r>
      <w:r>
        <w:t>: inventory number of larnakes in museums or collection</w:t>
      </w:r>
    </w:p>
    <w:p w14:paraId="632E1908" w14:textId="77777777" w:rsidR="003860B7" w:rsidRDefault="003860B7" w:rsidP="003860B7">
      <w:r w:rsidRPr="00650868">
        <w:rPr>
          <w:b/>
        </w:rPr>
        <w:t>ID tomb</w:t>
      </w:r>
      <w:r>
        <w:t>: progressive number given in the database to the tombs in which larnakes were found in order to identify them</w:t>
      </w:r>
    </w:p>
    <w:p w14:paraId="7A8328C9" w14:textId="77777777" w:rsidR="003860B7" w:rsidRDefault="003860B7" w:rsidP="003860B7">
      <w:r w:rsidRPr="00806EB4">
        <w:rPr>
          <w:b/>
        </w:rPr>
        <w:t>Burial location</w:t>
      </w:r>
      <w:r>
        <w:t>: burial location where the larnax was found.</w:t>
      </w:r>
    </w:p>
    <w:p w14:paraId="14C0A1E8" w14:textId="77777777" w:rsidR="003860B7" w:rsidRDefault="003860B7" w:rsidP="003860B7">
      <w:r w:rsidRPr="00323A7C">
        <w:rPr>
          <w:b/>
        </w:rPr>
        <w:t>Chest:</w:t>
      </w:r>
      <w:r>
        <w:t xml:space="preserve"> chest-shaped larnax</w:t>
      </w:r>
    </w:p>
    <w:p w14:paraId="3D0FF090" w14:textId="77777777" w:rsidR="003860B7" w:rsidRDefault="003860B7" w:rsidP="003860B7">
      <w:r w:rsidRPr="00323A7C">
        <w:rPr>
          <w:b/>
        </w:rPr>
        <w:t>Bath:</w:t>
      </w:r>
      <w:r>
        <w:t xml:space="preserve"> bath-shaped larnax</w:t>
      </w:r>
    </w:p>
    <w:p w14:paraId="278C8F64" w14:textId="77777777" w:rsidR="003860B7" w:rsidRDefault="003860B7" w:rsidP="003860B7">
      <w:r w:rsidRPr="00323A7C">
        <w:rPr>
          <w:b/>
        </w:rPr>
        <w:t>Lid:</w:t>
      </w:r>
      <w:r>
        <w:t xml:space="preserve"> lid of a larnax</w:t>
      </w:r>
    </w:p>
    <w:p w14:paraId="5665C951" w14:textId="77777777" w:rsidR="003860B7" w:rsidRDefault="003860B7" w:rsidP="003860B7">
      <w:r w:rsidRPr="00323A7C">
        <w:rPr>
          <w:b/>
        </w:rPr>
        <w:t>Fragment:</w:t>
      </w:r>
      <w:r>
        <w:t xml:space="preserve"> fragmentary larnax</w:t>
      </w:r>
    </w:p>
    <w:p w14:paraId="19E90809" w14:textId="77777777" w:rsidR="003860B7" w:rsidRDefault="003860B7" w:rsidP="003860B7">
      <w:pPr>
        <w:rPr>
          <w:lang w:val="de-DE"/>
        </w:rPr>
      </w:pPr>
      <w:r w:rsidRPr="008C0C4F">
        <w:rPr>
          <w:b/>
        </w:rPr>
        <w:t>L</w:t>
      </w:r>
      <w:r w:rsidRPr="008C0C4F">
        <w:rPr>
          <w:b/>
          <w:lang w:val="de-DE"/>
        </w:rPr>
        <w:t>öwe:</w:t>
      </w:r>
      <w:r>
        <w:rPr>
          <w:lang w:val="it-IT"/>
        </w:rPr>
        <w:t xml:space="preserve"> reference to the tomb number in Wanda </w:t>
      </w:r>
      <w:r>
        <w:t>L</w:t>
      </w:r>
      <w:r>
        <w:rPr>
          <w:lang w:val="de-DE"/>
        </w:rPr>
        <w:t>öwe catalogue (</w:t>
      </w:r>
      <w:r>
        <w:t>L</w:t>
      </w:r>
      <w:r>
        <w:rPr>
          <w:lang w:val="de-DE"/>
        </w:rPr>
        <w:t>öwe 1996)</w:t>
      </w:r>
    </w:p>
    <w:p w14:paraId="1BE6126B" w14:textId="77777777" w:rsidR="003860B7" w:rsidRPr="00806EB4" w:rsidRDefault="003860B7" w:rsidP="003860B7">
      <w:pPr>
        <w:rPr>
          <w:lang w:val="it-IT"/>
        </w:rPr>
      </w:pPr>
      <w:r w:rsidRPr="008C0C4F">
        <w:rPr>
          <w:b/>
          <w:lang w:val="it-IT"/>
        </w:rPr>
        <w:t>Bibliography</w:t>
      </w:r>
      <w:r>
        <w:rPr>
          <w:lang w:val="it-IT"/>
        </w:rPr>
        <w:t>: main bibliographical references for each larnax</w:t>
      </w:r>
    </w:p>
    <w:p w14:paraId="645D61D8" w14:textId="77777777" w:rsidR="003860B7" w:rsidRDefault="003860B7" w:rsidP="003860B7"/>
    <w:p w14:paraId="4C82620A" w14:textId="40F80515" w:rsidR="003860B7" w:rsidRDefault="003860B7" w:rsidP="003860B7"/>
    <w:p w14:paraId="05E7BC3E" w14:textId="262D402F" w:rsidR="003860B7" w:rsidRDefault="003860B7" w:rsidP="003860B7"/>
    <w:p w14:paraId="3104249D" w14:textId="06FD7733" w:rsidR="003860B7" w:rsidRDefault="003860B7" w:rsidP="003860B7"/>
    <w:p w14:paraId="44D2A30A" w14:textId="5FC5835C" w:rsidR="003860B7" w:rsidRDefault="003860B7" w:rsidP="003860B7"/>
    <w:p w14:paraId="374D3A43" w14:textId="77777777" w:rsidR="003860B7" w:rsidRPr="003860B7" w:rsidRDefault="003860B7" w:rsidP="003860B7"/>
    <w:p w14:paraId="48AD873D" w14:textId="77777777" w:rsidR="0014173B" w:rsidRDefault="0014173B" w:rsidP="00E858EF">
      <w:pPr>
        <w:suppressAutoHyphens/>
        <w:rPr>
          <w:highlight w:val="lightGray"/>
        </w:rPr>
        <w:sectPr w:rsidR="0014173B" w:rsidSect="00F71C84">
          <w:pgSz w:w="11900" w:h="16840"/>
          <w:pgMar w:top="1418" w:right="1134" w:bottom="1134" w:left="2268" w:header="708" w:footer="708" w:gutter="0"/>
          <w:cols w:space="708"/>
          <w:docGrid w:linePitch="360"/>
        </w:sectPr>
      </w:pPr>
    </w:p>
    <w:p w14:paraId="68B8BB28" w14:textId="77777777" w:rsidR="00D76105" w:rsidRDefault="00D76105" w:rsidP="003860B7">
      <w:pPr>
        <w:rPr>
          <w:b/>
          <w:sz w:val="28"/>
        </w:rPr>
      </w:pPr>
      <w:r>
        <w:rPr>
          <w:b/>
          <w:sz w:val="28"/>
        </w:rPr>
        <w:t>Far-West Area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2"/>
        <w:gridCol w:w="850"/>
        <w:gridCol w:w="1701"/>
        <w:gridCol w:w="992"/>
        <w:gridCol w:w="8646"/>
      </w:tblGrid>
      <w:tr w:rsidR="00CD596A" w:rsidRPr="00D76105" w14:paraId="35A94A0D" w14:textId="77777777" w:rsidTr="00F52D43">
        <w:trPr>
          <w:trHeight w:val="315"/>
        </w:trPr>
        <w:tc>
          <w:tcPr>
            <w:tcW w:w="1102" w:type="dxa"/>
            <w:shd w:val="clear" w:color="auto" w:fill="auto"/>
            <w:noWrap/>
            <w:vAlign w:val="bottom"/>
            <w:hideMark/>
          </w:tcPr>
          <w:p w14:paraId="307FF722" w14:textId="77777777" w:rsidR="00D76105" w:rsidRPr="00D76105" w:rsidRDefault="00D76105" w:rsidP="00D76105">
            <w:pPr>
              <w:widowControl/>
              <w:spacing w:line="240" w:lineRule="auto"/>
              <w:contextualSpacing w:val="0"/>
              <w:jc w:val="left"/>
              <w:rPr>
                <w:rFonts w:ascii="Calibri" w:eastAsia="Times New Roman" w:hAnsi="Calibri"/>
                <w:b/>
                <w:bCs/>
                <w:lang w:eastAsia="en-GB"/>
              </w:rPr>
            </w:pPr>
            <w:r w:rsidRPr="00D76105">
              <w:rPr>
                <w:rFonts w:ascii="Calibri" w:eastAsia="Times New Roman" w:hAnsi="Calibri"/>
                <w:b/>
                <w:bCs/>
                <w:lang w:eastAsia="en-GB"/>
              </w:rPr>
              <w:t>ID TOMB</w:t>
            </w:r>
          </w:p>
        </w:tc>
        <w:tc>
          <w:tcPr>
            <w:tcW w:w="850" w:type="dxa"/>
            <w:shd w:val="clear" w:color="auto" w:fill="auto"/>
            <w:noWrap/>
            <w:vAlign w:val="bottom"/>
            <w:hideMark/>
          </w:tcPr>
          <w:p w14:paraId="3838AA6B"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BATH</w:t>
            </w:r>
          </w:p>
        </w:tc>
        <w:tc>
          <w:tcPr>
            <w:tcW w:w="1701" w:type="dxa"/>
            <w:shd w:val="clear" w:color="auto" w:fill="auto"/>
            <w:noWrap/>
            <w:vAlign w:val="bottom"/>
            <w:hideMark/>
          </w:tcPr>
          <w:p w14:paraId="70EEA741" w14:textId="77777777" w:rsidR="00D76105" w:rsidRPr="00D76105" w:rsidRDefault="00D76105" w:rsidP="00D76105">
            <w:pPr>
              <w:widowControl/>
              <w:spacing w:line="240" w:lineRule="auto"/>
              <w:contextualSpacing w:val="0"/>
              <w:jc w:val="left"/>
              <w:rPr>
                <w:rFonts w:ascii="Calibri" w:eastAsia="Times New Roman" w:hAnsi="Calibri"/>
                <w:b/>
                <w:bCs/>
                <w:lang w:eastAsia="en-GB"/>
              </w:rPr>
            </w:pPr>
            <w:r w:rsidRPr="00D76105">
              <w:rPr>
                <w:rFonts w:ascii="Calibri" w:eastAsia="Times New Roman" w:hAnsi="Calibri"/>
                <w:b/>
                <w:bCs/>
                <w:lang w:eastAsia="en-GB"/>
              </w:rPr>
              <w:t>BURIAL LOCATION</w:t>
            </w:r>
          </w:p>
        </w:tc>
        <w:tc>
          <w:tcPr>
            <w:tcW w:w="992" w:type="dxa"/>
            <w:shd w:val="clear" w:color="auto" w:fill="auto"/>
            <w:noWrap/>
            <w:vAlign w:val="bottom"/>
            <w:hideMark/>
          </w:tcPr>
          <w:p w14:paraId="0E936765" w14:textId="2C1D4528" w:rsidR="00D76105" w:rsidRPr="00D76105" w:rsidRDefault="00D76105" w:rsidP="00D76105">
            <w:pPr>
              <w:widowControl/>
              <w:spacing w:line="240" w:lineRule="auto"/>
              <w:contextualSpacing w:val="0"/>
              <w:jc w:val="left"/>
              <w:rPr>
                <w:rFonts w:ascii="Calibri" w:eastAsia="Times New Roman" w:hAnsi="Calibri"/>
                <w:b/>
                <w:bCs/>
                <w:lang w:eastAsia="en-GB"/>
              </w:rPr>
            </w:pPr>
            <w:r w:rsidRPr="00D76105">
              <w:rPr>
                <w:rFonts w:ascii="Calibri" w:eastAsia="Times New Roman" w:hAnsi="Calibri"/>
                <w:b/>
                <w:bCs/>
                <w:lang w:eastAsia="en-GB"/>
              </w:rPr>
              <w:t>L</w:t>
            </w:r>
            <w:r w:rsidR="00FB5263">
              <w:rPr>
                <w:rFonts w:ascii="Calibri" w:eastAsia="Times New Roman" w:hAnsi="Calibri"/>
                <w:b/>
                <w:bCs/>
                <w:lang w:val="de-DE" w:eastAsia="en-GB"/>
              </w:rPr>
              <w:t>ö</w:t>
            </w:r>
            <w:r w:rsidRPr="00D76105">
              <w:rPr>
                <w:rFonts w:ascii="Calibri" w:eastAsia="Times New Roman" w:hAnsi="Calibri"/>
                <w:b/>
                <w:bCs/>
                <w:lang w:eastAsia="en-GB"/>
              </w:rPr>
              <w:t>we</w:t>
            </w:r>
          </w:p>
        </w:tc>
        <w:tc>
          <w:tcPr>
            <w:tcW w:w="8646" w:type="dxa"/>
            <w:shd w:val="clear" w:color="auto" w:fill="auto"/>
            <w:noWrap/>
            <w:vAlign w:val="bottom"/>
            <w:hideMark/>
          </w:tcPr>
          <w:p w14:paraId="47F24E0E" w14:textId="77777777" w:rsidR="00D76105" w:rsidRPr="00D76105" w:rsidRDefault="00D76105" w:rsidP="00D76105">
            <w:pPr>
              <w:widowControl/>
              <w:spacing w:line="240" w:lineRule="auto"/>
              <w:contextualSpacing w:val="0"/>
              <w:jc w:val="left"/>
              <w:rPr>
                <w:rFonts w:ascii="Calibri" w:eastAsia="Times New Roman" w:hAnsi="Calibri"/>
                <w:b/>
                <w:bCs/>
                <w:lang w:eastAsia="en-GB"/>
              </w:rPr>
            </w:pPr>
            <w:r w:rsidRPr="00D76105">
              <w:rPr>
                <w:rFonts w:ascii="Calibri" w:eastAsia="Times New Roman" w:hAnsi="Calibri"/>
                <w:b/>
                <w:bCs/>
                <w:lang w:eastAsia="en-GB"/>
              </w:rPr>
              <w:t>bibliography</w:t>
            </w:r>
          </w:p>
        </w:tc>
      </w:tr>
      <w:tr w:rsidR="00CD596A" w:rsidRPr="00D76105" w14:paraId="583A6399" w14:textId="77777777" w:rsidTr="00F52D43">
        <w:trPr>
          <w:trHeight w:val="315"/>
        </w:trPr>
        <w:tc>
          <w:tcPr>
            <w:tcW w:w="1102" w:type="dxa"/>
            <w:shd w:val="clear" w:color="auto" w:fill="auto"/>
            <w:noWrap/>
            <w:vAlign w:val="bottom"/>
            <w:hideMark/>
          </w:tcPr>
          <w:p w14:paraId="3A8A9BD5"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T162</w:t>
            </w:r>
          </w:p>
        </w:tc>
        <w:tc>
          <w:tcPr>
            <w:tcW w:w="850" w:type="dxa"/>
            <w:shd w:val="clear" w:color="auto" w:fill="auto"/>
            <w:noWrap/>
            <w:vAlign w:val="bottom"/>
            <w:hideMark/>
          </w:tcPr>
          <w:p w14:paraId="7288FC5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1701" w:type="dxa"/>
            <w:shd w:val="clear" w:color="auto" w:fill="auto"/>
            <w:noWrap/>
            <w:vAlign w:val="bottom"/>
            <w:hideMark/>
          </w:tcPr>
          <w:p w14:paraId="0C448346"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CHANIA KOUMPES</w:t>
            </w:r>
          </w:p>
        </w:tc>
        <w:tc>
          <w:tcPr>
            <w:tcW w:w="992" w:type="dxa"/>
            <w:shd w:val="clear" w:color="auto" w:fill="auto"/>
            <w:noWrap/>
            <w:vAlign w:val="bottom"/>
            <w:hideMark/>
          </w:tcPr>
          <w:p w14:paraId="3B6CD1C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1131</w:t>
            </w:r>
          </w:p>
        </w:tc>
        <w:tc>
          <w:tcPr>
            <w:tcW w:w="8646" w:type="dxa"/>
            <w:shd w:val="clear" w:color="auto" w:fill="auto"/>
            <w:noWrap/>
            <w:vAlign w:val="bottom"/>
            <w:hideMark/>
          </w:tcPr>
          <w:p w14:paraId="58B94FE2"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 xml:space="preserve">ADelt 83 1983: 360, pl. 157 g-d; Godart and Tzedakis 1992: 55; Andreadaki-Vlasaki 1997: 487-509, 496; Merousis 2000: 188; Langohr 2009: 165 n.400; Spiliotopoulou 2010: 47 pl.1.2 </w:t>
            </w:r>
          </w:p>
        </w:tc>
      </w:tr>
      <w:tr w:rsidR="00CD596A" w:rsidRPr="00D76105" w14:paraId="3DAEBAA5" w14:textId="77777777" w:rsidTr="00F52D43">
        <w:trPr>
          <w:trHeight w:val="315"/>
        </w:trPr>
        <w:tc>
          <w:tcPr>
            <w:tcW w:w="1102" w:type="dxa"/>
            <w:shd w:val="clear" w:color="auto" w:fill="auto"/>
            <w:noWrap/>
            <w:vAlign w:val="bottom"/>
            <w:hideMark/>
          </w:tcPr>
          <w:p w14:paraId="530BBDE5"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p>
        </w:tc>
        <w:tc>
          <w:tcPr>
            <w:tcW w:w="850" w:type="dxa"/>
            <w:shd w:val="clear" w:color="auto" w:fill="auto"/>
            <w:noWrap/>
            <w:vAlign w:val="bottom"/>
            <w:hideMark/>
          </w:tcPr>
          <w:p w14:paraId="0480E7D1" w14:textId="77777777" w:rsidR="00D76105" w:rsidRPr="00D76105" w:rsidRDefault="00D76105" w:rsidP="00D76105">
            <w:pPr>
              <w:widowControl/>
              <w:spacing w:line="240" w:lineRule="auto"/>
              <w:contextualSpacing w:val="0"/>
              <w:jc w:val="left"/>
              <w:rPr>
                <w:rFonts w:eastAsia="Times New Roman"/>
                <w:sz w:val="20"/>
                <w:szCs w:val="20"/>
                <w:lang w:eastAsia="en-GB"/>
              </w:rPr>
            </w:pPr>
          </w:p>
        </w:tc>
        <w:tc>
          <w:tcPr>
            <w:tcW w:w="1701" w:type="dxa"/>
            <w:shd w:val="clear" w:color="auto" w:fill="auto"/>
            <w:noWrap/>
            <w:vAlign w:val="bottom"/>
            <w:hideMark/>
          </w:tcPr>
          <w:p w14:paraId="6049E66F" w14:textId="77777777" w:rsidR="00D76105" w:rsidRPr="00D76105" w:rsidRDefault="00D76105" w:rsidP="00D76105">
            <w:pPr>
              <w:widowControl/>
              <w:spacing w:line="240" w:lineRule="auto"/>
              <w:contextualSpacing w:val="0"/>
              <w:jc w:val="left"/>
              <w:rPr>
                <w:rFonts w:eastAsia="Times New Roman"/>
                <w:sz w:val="20"/>
                <w:szCs w:val="20"/>
                <w:lang w:eastAsia="en-GB"/>
              </w:rPr>
            </w:pPr>
          </w:p>
        </w:tc>
        <w:tc>
          <w:tcPr>
            <w:tcW w:w="992" w:type="dxa"/>
            <w:shd w:val="clear" w:color="auto" w:fill="auto"/>
            <w:noWrap/>
            <w:vAlign w:val="bottom"/>
            <w:hideMark/>
          </w:tcPr>
          <w:p w14:paraId="0E1A224B" w14:textId="77777777" w:rsidR="00D76105" w:rsidRPr="00D76105" w:rsidRDefault="00D76105" w:rsidP="00D76105">
            <w:pPr>
              <w:widowControl/>
              <w:spacing w:line="240" w:lineRule="auto"/>
              <w:contextualSpacing w:val="0"/>
              <w:jc w:val="left"/>
              <w:rPr>
                <w:rFonts w:eastAsia="Times New Roman"/>
                <w:sz w:val="20"/>
                <w:szCs w:val="20"/>
                <w:lang w:eastAsia="en-GB"/>
              </w:rPr>
            </w:pPr>
          </w:p>
        </w:tc>
        <w:tc>
          <w:tcPr>
            <w:tcW w:w="8646" w:type="dxa"/>
            <w:shd w:val="clear" w:color="auto" w:fill="auto"/>
            <w:noWrap/>
            <w:vAlign w:val="bottom"/>
            <w:hideMark/>
          </w:tcPr>
          <w:p w14:paraId="1BA2554A" w14:textId="77777777" w:rsidR="00D76105" w:rsidRPr="00D76105" w:rsidRDefault="00D76105" w:rsidP="00D76105">
            <w:pPr>
              <w:widowControl/>
              <w:spacing w:line="240" w:lineRule="auto"/>
              <w:contextualSpacing w:val="0"/>
              <w:jc w:val="left"/>
              <w:rPr>
                <w:rFonts w:eastAsia="Times New Roman"/>
                <w:sz w:val="20"/>
                <w:szCs w:val="20"/>
                <w:lang w:eastAsia="en-GB"/>
              </w:rPr>
            </w:pPr>
          </w:p>
        </w:tc>
      </w:tr>
    </w:tbl>
    <w:p w14:paraId="5E4B2B9A" w14:textId="77777777" w:rsidR="00D76105" w:rsidRDefault="00D76105" w:rsidP="003860B7">
      <w:pPr>
        <w:rPr>
          <w:b/>
          <w:sz w:val="28"/>
        </w:rPr>
      </w:pPr>
    </w:p>
    <w:p w14:paraId="6D3D3DBE" w14:textId="733B1FB5" w:rsidR="00D76105" w:rsidRDefault="00D76105" w:rsidP="003860B7">
      <w:pPr>
        <w:rPr>
          <w:b/>
          <w:sz w:val="28"/>
        </w:rPr>
      </w:pPr>
    </w:p>
    <w:p w14:paraId="448EB7F4" w14:textId="7D2AC903" w:rsidR="00D76105" w:rsidRDefault="00D76105" w:rsidP="003860B7">
      <w:pPr>
        <w:rPr>
          <w:b/>
          <w:sz w:val="28"/>
        </w:rPr>
      </w:pPr>
      <w:r>
        <w:rPr>
          <w:b/>
          <w:sz w:val="28"/>
        </w:rPr>
        <w:t>Mid-West Area</w:t>
      </w:r>
    </w:p>
    <w:tbl>
      <w:tblPr>
        <w:tblW w:w="131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4"/>
        <w:gridCol w:w="1128"/>
        <w:gridCol w:w="842"/>
        <w:gridCol w:w="1785"/>
        <w:gridCol w:w="844"/>
        <w:gridCol w:w="533"/>
        <w:gridCol w:w="747"/>
        <w:gridCol w:w="6271"/>
      </w:tblGrid>
      <w:tr w:rsidR="00D76105" w:rsidRPr="00D76105" w14:paraId="6565BBC2" w14:textId="77777777" w:rsidTr="00F52D43">
        <w:trPr>
          <w:trHeight w:val="315"/>
        </w:trPr>
        <w:tc>
          <w:tcPr>
            <w:tcW w:w="1034" w:type="dxa"/>
            <w:shd w:val="clear" w:color="auto" w:fill="auto"/>
            <w:noWrap/>
            <w:vAlign w:val="bottom"/>
            <w:hideMark/>
          </w:tcPr>
          <w:p w14:paraId="398607CF" w14:textId="77777777" w:rsidR="00D76105" w:rsidRPr="00D76105" w:rsidRDefault="00D76105" w:rsidP="00D76105">
            <w:pPr>
              <w:widowControl/>
              <w:spacing w:line="240" w:lineRule="auto"/>
              <w:contextualSpacing w:val="0"/>
              <w:jc w:val="left"/>
              <w:rPr>
                <w:rFonts w:ascii="Calibri" w:eastAsia="Times New Roman" w:hAnsi="Calibri"/>
                <w:b/>
                <w:bCs/>
                <w:lang w:eastAsia="en-GB"/>
              </w:rPr>
            </w:pPr>
            <w:r w:rsidRPr="00D76105">
              <w:rPr>
                <w:rFonts w:ascii="Calibri" w:eastAsia="Times New Roman" w:hAnsi="Calibri"/>
                <w:b/>
                <w:bCs/>
                <w:lang w:eastAsia="en-GB"/>
              </w:rPr>
              <w:t>ID  LARNAX</w:t>
            </w:r>
          </w:p>
        </w:tc>
        <w:tc>
          <w:tcPr>
            <w:tcW w:w="1128" w:type="dxa"/>
            <w:shd w:val="clear" w:color="auto" w:fill="auto"/>
            <w:noWrap/>
            <w:vAlign w:val="bottom"/>
            <w:hideMark/>
          </w:tcPr>
          <w:p w14:paraId="65E659ED" w14:textId="77777777" w:rsidR="00D76105" w:rsidRPr="00D76105" w:rsidRDefault="00D76105" w:rsidP="00D76105">
            <w:pPr>
              <w:widowControl/>
              <w:spacing w:line="240" w:lineRule="auto"/>
              <w:contextualSpacing w:val="0"/>
              <w:jc w:val="left"/>
              <w:rPr>
                <w:rFonts w:ascii="Calibri" w:eastAsia="Times New Roman" w:hAnsi="Calibri"/>
                <w:b/>
                <w:bCs/>
                <w:lang w:eastAsia="en-GB"/>
              </w:rPr>
            </w:pPr>
            <w:r w:rsidRPr="00D76105">
              <w:rPr>
                <w:rFonts w:ascii="Calibri" w:eastAsia="Times New Roman" w:hAnsi="Calibri"/>
                <w:b/>
                <w:bCs/>
                <w:lang w:eastAsia="en-GB"/>
              </w:rPr>
              <w:t>INV. NUMBER</w:t>
            </w:r>
          </w:p>
        </w:tc>
        <w:tc>
          <w:tcPr>
            <w:tcW w:w="842" w:type="dxa"/>
            <w:shd w:val="clear" w:color="auto" w:fill="auto"/>
            <w:noWrap/>
            <w:vAlign w:val="bottom"/>
            <w:hideMark/>
          </w:tcPr>
          <w:p w14:paraId="5114CF1C" w14:textId="77777777" w:rsidR="00D76105" w:rsidRPr="00D76105" w:rsidRDefault="00D76105" w:rsidP="00D76105">
            <w:pPr>
              <w:widowControl/>
              <w:spacing w:line="240" w:lineRule="auto"/>
              <w:contextualSpacing w:val="0"/>
              <w:jc w:val="left"/>
              <w:rPr>
                <w:rFonts w:ascii="Calibri" w:eastAsia="Times New Roman" w:hAnsi="Calibri"/>
                <w:b/>
                <w:bCs/>
                <w:lang w:eastAsia="en-GB"/>
              </w:rPr>
            </w:pPr>
            <w:r w:rsidRPr="00D76105">
              <w:rPr>
                <w:rFonts w:ascii="Calibri" w:eastAsia="Times New Roman" w:hAnsi="Calibri"/>
                <w:b/>
                <w:bCs/>
                <w:lang w:eastAsia="en-GB"/>
              </w:rPr>
              <w:t>ID TOMB</w:t>
            </w:r>
          </w:p>
        </w:tc>
        <w:tc>
          <w:tcPr>
            <w:tcW w:w="1785" w:type="dxa"/>
            <w:shd w:val="clear" w:color="auto" w:fill="auto"/>
            <w:noWrap/>
            <w:vAlign w:val="bottom"/>
            <w:hideMark/>
          </w:tcPr>
          <w:p w14:paraId="265A423C" w14:textId="77777777" w:rsidR="00D76105" w:rsidRPr="00D76105" w:rsidRDefault="00D76105" w:rsidP="00D76105">
            <w:pPr>
              <w:widowControl/>
              <w:spacing w:line="240" w:lineRule="auto"/>
              <w:contextualSpacing w:val="0"/>
              <w:jc w:val="left"/>
              <w:rPr>
                <w:rFonts w:ascii="Calibri" w:eastAsia="Times New Roman" w:hAnsi="Calibri"/>
                <w:b/>
                <w:bCs/>
                <w:lang w:eastAsia="en-GB"/>
              </w:rPr>
            </w:pPr>
            <w:r w:rsidRPr="00D76105">
              <w:rPr>
                <w:rFonts w:ascii="Calibri" w:eastAsia="Times New Roman" w:hAnsi="Calibri"/>
                <w:b/>
                <w:bCs/>
                <w:lang w:eastAsia="en-GB"/>
              </w:rPr>
              <w:t>BURIAL LOCATION</w:t>
            </w:r>
          </w:p>
        </w:tc>
        <w:tc>
          <w:tcPr>
            <w:tcW w:w="844" w:type="dxa"/>
            <w:shd w:val="clear" w:color="auto" w:fill="auto"/>
            <w:noWrap/>
            <w:vAlign w:val="bottom"/>
            <w:hideMark/>
          </w:tcPr>
          <w:p w14:paraId="6FABC233"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CHEST</w:t>
            </w:r>
          </w:p>
        </w:tc>
        <w:tc>
          <w:tcPr>
            <w:tcW w:w="533" w:type="dxa"/>
            <w:shd w:val="clear" w:color="auto" w:fill="auto"/>
            <w:noWrap/>
            <w:vAlign w:val="bottom"/>
            <w:hideMark/>
          </w:tcPr>
          <w:p w14:paraId="2B460688"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LID</w:t>
            </w:r>
          </w:p>
        </w:tc>
        <w:tc>
          <w:tcPr>
            <w:tcW w:w="747" w:type="dxa"/>
            <w:shd w:val="clear" w:color="auto" w:fill="auto"/>
            <w:noWrap/>
            <w:vAlign w:val="bottom"/>
            <w:hideMark/>
          </w:tcPr>
          <w:p w14:paraId="38754761" w14:textId="77777777" w:rsidR="00D76105" w:rsidRPr="00D76105" w:rsidRDefault="00D76105" w:rsidP="00D76105">
            <w:pPr>
              <w:widowControl/>
              <w:spacing w:line="240" w:lineRule="auto"/>
              <w:contextualSpacing w:val="0"/>
              <w:jc w:val="left"/>
              <w:rPr>
                <w:rFonts w:ascii="Calibri" w:eastAsia="Times New Roman" w:hAnsi="Calibri"/>
                <w:b/>
                <w:bCs/>
                <w:lang w:eastAsia="en-GB"/>
              </w:rPr>
            </w:pPr>
            <w:r w:rsidRPr="00D76105">
              <w:rPr>
                <w:rFonts w:ascii="Calibri" w:eastAsia="Times New Roman" w:hAnsi="Calibri"/>
                <w:b/>
                <w:bCs/>
                <w:lang w:eastAsia="en-GB"/>
              </w:rPr>
              <w:t>Löwe</w:t>
            </w:r>
          </w:p>
        </w:tc>
        <w:tc>
          <w:tcPr>
            <w:tcW w:w="6271" w:type="dxa"/>
            <w:shd w:val="clear" w:color="auto" w:fill="auto"/>
            <w:noWrap/>
            <w:vAlign w:val="bottom"/>
            <w:hideMark/>
          </w:tcPr>
          <w:p w14:paraId="06402205" w14:textId="77777777" w:rsidR="00D76105" w:rsidRPr="00D76105" w:rsidRDefault="00D76105" w:rsidP="00D76105">
            <w:pPr>
              <w:widowControl/>
              <w:spacing w:line="240" w:lineRule="auto"/>
              <w:contextualSpacing w:val="0"/>
              <w:jc w:val="left"/>
              <w:rPr>
                <w:rFonts w:ascii="Calibri" w:eastAsia="Times New Roman" w:hAnsi="Calibri"/>
                <w:b/>
                <w:bCs/>
                <w:lang w:eastAsia="en-GB"/>
              </w:rPr>
            </w:pPr>
            <w:r w:rsidRPr="00D76105">
              <w:rPr>
                <w:rFonts w:ascii="Calibri" w:eastAsia="Times New Roman" w:hAnsi="Calibri"/>
                <w:b/>
                <w:bCs/>
                <w:lang w:eastAsia="en-GB"/>
              </w:rPr>
              <w:t>bibliography</w:t>
            </w:r>
          </w:p>
        </w:tc>
      </w:tr>
      <w:tr w:rsidR="00D76105" w:rsidRPr="00D76105" w14:paraId="6A14B8DD" w14:textId="77777777" w:rsidTr="00F52D43">
        <w:trPr>
          <w:trHeight w:val="315"/>
        </w:trPr>
        <w:tc>
          <w:tcPr>
            <w:tcW w:w="1034" w:type="dxa"/>
            <w:shd w:val="clear" w:color="auto" w:fill="auto"/>
            <w:noWrap/>
            <w:vAlign w:val="bottom"/>
            <w:hideMark/>
          </w:tcPr>
          <w:p w14:paraId="0AE0E62F"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345</w:t>
            </w:r>
          </w:p>
        </w:tc>
        <w:tc>
          <w:tcPr>
            <w:tcW w:w="1128" w:type="dxa"/>
            <w:shd w:val="clear" w:color="auto" w:fill="auto"/>
            <w:noWrap/>
            <w:vAlign w:val="bottom"/>
            <w:hideMark/>
          </w:tcPr>
          <w:p w14:paraId="70EB515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2173</w:t>
            </w:r>
          </w:p>
        </w:tc>
        <w:tc>
          <w:tcPr>
            <w:tcW w:w="842" w:type="dxa"/>
            <w:shd w:val="clear" w:color="auto" w:fill="auto"/>
            <w:noWrap/>
            <w:vAlign w:val="bottom"/>
            <w:hideMark/>
          </w:tcPr>
          <w:p w14:paraId="0E9C869F"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T150</w:t>
            </w:r>
          </w:p>
        </w:tc>
        <w:tc>
          <w:tcPr>
            <w:tcW w:w="1785" w:type="dxa"/>
            <w:shd w:val="clear" w:color="auto" w:fill="auto"/>
            <w:noWrap/>
            <w:vAlign w:val="bottom"/>
            <w:hideMark/>
          </w:tcPr>
          <w:p w14:paraId="25E539BC"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ADELE</w:t>
            </w:r>
          </w:p>
        </w:tc>
        <w:tc>
          <w:tcPr>
            <w:tcW w:w="844" w:type="dxa"/>
            <w:shd w:val="clear" w:color="auto" w:fill="auto"/>
            <w:noWrap/>
            <w:vAlign w:val="bottom"/>
            <w:hideMark/>
          </w:tcPr>
          <w:p w14:paraId="65E4AF12"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111D343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2868B9F6"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796</w:t>
            </w:r>
          </w:p>
        </w:tc>
        <w:tc>
          <w:tcPr>
            <w:tcW w:w="6271" w:type="dxa"/>
            <w:shd w:val="clear" w:color="auto" w:fill="auto"/>
            <w:noWrap/>
            <w:vAlign w:val="bottom"/>
            <w:hideMark/>
          </w:tcPr>
          <w:p w14:paraId="54B2CAA3"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17 1961-2: 301; ADelt 29 1973-4: 929; KChr 17 1963: 394; Papapostolou 1974: 252-256, pls.186, g-d; Kanta 1980: 216; Godart and Tzedakis 1990: 81; Merousis 2000: 106 pl. 16.9; Spiliotopoulou 2010: 48 pl. 1.3; Langohr 2009: 150-151</w:t>
            </w:r>
          </w:p>
        </w:tc>
      </w:tr>
      <w:tr w:rsidR="00D76105" w:rsidRPr="00D76105" w14:paraId="7C250906" w14:textId="77777777" w:rsidTr="00F52D43">
        <w:trPr>
          <w:trHeight w:val="315"/>
        </w:trPr>
        <w:tc>
          <w:tcPr>
            <w:tcW w:w="1034" w:type="dxa"/>
            <w:shd w:val="clear" w:color="auto" w:fill="auto"/>
            <w:noWrap/>
            <w:vAlign w:val="bottom"/>
            <w:hideMark/>
          </w:tcPr>
          <w:p w14:paraId="3804D479"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346</w:t>
            </w:r>
          </w:p>
        </w:tc>
        <w:tc>
          <w:tcPr>
            <w:tcW w:w="1128" w:type="dxa"/>
            <w:shd w:val="clear" w:color="auto" w:fill="auto"/>
            <w:noWrap/>
            <w:vAlign w:val="bottom"/>
            <w:hideMark/>
          </w:tcPr>
          <w:p w14:paraId="2C57E5CC"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2174</w:t>
            </w:r>
          </w:p>
        </w:tc>
        <w:tc>
          <w:tcPr>
            <w:tcW w:w="842" w:type="dxa"/>
            <w:shd w:val="clear" w:color="auto" w:fill="auto"/>
            <w:noWrap/>
            <w:vAlign w:val="bottom"/>
            <w:hideMark/>
          </w:tcPr>
          <w:p w14:paraId="431793A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T150</w:t>
            </w:r>
          </w:p>
        </w:tc>
        <w:tc>
          <w:tcPr>
            <w:tcW w:w="1785" w:type="dxa"/>
            <w:shd w:val="clear" w:color="auto" w:fill="auto"/>
            <w:noWrap/>
            <w:vAlign w:val="bottom"/>
            <w:hideMark/>
          </w:tcPr>
          <w:p w14:paraId="7A8877FB"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ADELE</w:t>
            </w:r>
          </w:p>
        </w:tc>
        <w:tc>
          <w:tcPr>
            <w:tcW w:w="844" w:type="dxa"/>
            <w:shd w:val="clear" w:color="auto" w:fill="auto"/>
            <w:noWrap/>
            <w:vAlign w:val="bottom"/>
            <w:hideMark/>
          </w:tcPr>
          <w:p w14:paraId="606FE439"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3F934B47"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10BBC434"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796</w:t>
            </w:r>
          </w:p>
        </w:tc>
        <w:tc>
          <w:tcPr>
            <w:tcW w:w="6271" w:type="dxa"/>
            <w:shd w:val="clear" w:color="auto" w:fill="auto"/>
            <w:noWrap/>
            <w:vAlign w:val="bottom"/>
            <w:hideMark/>
          </w:tcPr>
          <w:p w14:paraId="0E62B777"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17 1961-2: 301; ADelt 29 1973-4: 929; KChr 17 1963: 394;Papapostolou 1974: 252-256, pls.188 a-b; Kanta 1980: 216; Godart and Tzedakis 1990: 81; Merousis 2000: 106 pl. 16 n. 8; Spiliotopoulou 2010: 48 pl. 1 n. 4; Langohr 2009: 150-151</w:t>
            </w:r>
          </w:p>
        </w:tc>
      </w:tr>
      <w:tr w:rsidR="00D76105" w:rsidRPr="00D76105" w14:paraId="47899F23" w14:textId="77777777" w:rsidTr="00F52D43">
        <w:trPr>
          <w:trHeight w:val="315"/>
        </w:trPr>
        <w:tc>
          <w:tcPr>
            <w:tcW w:w="1034" w:type="dxa"/>
            <w:shd w:val="clear" w:color="auto" w:fill="auto"/>
            <w:noWrap/>
            <w:vAlign w:val="bottom"/>
            <w:hideMark/>
          </w:tcPr>
          <w:p w14:paraId="33D81F3F"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344</w:t>
            </w:r>
          </w:p>
        </w:tc>
        <w:tc>
          <w:tcPr>
            <w:tcW w:w="1128" w:type="dxa"/>
            <w:shd w:val="clear" w:color="auto" w:fill="auto"/>
            <w:noWrap/>
            <w:vAlign w:val="bottom"/>
            <w:hideMark/>
          </w:tcPr>
          <w:p w14:paraId="0533754E"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4437 or MR 21511</w:t>
            </w:r>
          </w:p>
        </w:tc>
        <w:tc>
          <w:tcPr>
            <w:tcW w:w="842" w:type="dxa"/>
            <w:shd w:val="clear" w:color="auto" w:fill="auto"/>
            <w:noWrap/>
            <w:vAlign w:val="bottom"/>
            <w:hideMark/>
          </w:tcPr>
          <w:p w14:paraId="2227D46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T149</w:t>
            </w:r>
          </w:p>
        </w:tc>
        <w:tc>
          <w:tcPr>
            <w:tcW w:w="1785" w:type="dxa"/>
            <w:shd w:val="clear" w:color="auto" w:fill="auto"/>
            <w:noWrap/>
            <w:vAlign w:val="bottom"/>
            <w:hideMark/>
          </w:tcPr>
          <w:p w14:paraId="6D0C4D8E"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APOSTOLI</w:t>
            </w:r>
          </w:p>
        </w:tc>
        <w:tc>
          <w:tcPr>
            <w:tcW w:w="844" w:type="dxa"/>
            <w:shd w:val="clear" w:color="auto" w:fill="auto"/>
            <w:noWrap/>
            <w:vAlign w:val="bottom"/>
            <w:hideMark/>
          </w:tcPr>
          <w:p w14:paraId="0C082E22"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30DE976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66634E71"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807</w:t>
            </w:r>
          </w:p>
        </w:tc>
        <w:tc>
          <w:tcPr>
            <w:tcW w:w="6271" w:type="dxa"/>
            <w:shd w:val="clear" w:color="auto" w:fill="auto"/>
            <w:noWrap/>
            <w:vAlign w:val="bottom"/>
            <w:hideMark/>
          </w:tcPr>
          <w:p w14:paraId="0AC520D7"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43 1988: 556 pl. 345 a-b; AR 34 1987/8:75 ; BCH 118 1994: 827; KretEstia 2 1988: 311; Godart and Tzedakis 1992:84 pl. 11-112; Gavrilakis 1994: 31-59; Merousis 2000: 110 n. 16; Spiliotopoulou 2010: 52 pl. 5.25; Langohr 2009: 143</w:t>
            </w:r>
          </w:p>
        </w:tc>
      </w:tr>
      <w:tr w:rsidR="00D76105" w:rsidRPr="00D76105" w14:paraId="32666C83" w14:textId="77777777" w:rsidTr="00F52D43">
        <w:trPr>
          <w:trHeight w:val="315"/>
        </w:trPr>
        <w:tc>
          <w:tcPr>
            <w:tcW w:w="1034" w:type="dxa"/>
            <w:shd w:val="clear" w:color="auto" w:fill="auto"/>
            <w:noWrap/>
            <w:vAlign w:val="bottom"/>
            <w:hideMark/>
          </w:tcPr>
          <w:p w14:paraId="05AAE30D"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263</w:t>
            </w:r>
          </w:p>
        </w:tc>
        <w:tc>
          <w:tcPr>
            <w:tcW w:w="1128" w:type="dxa"/>
            <w:shd w:val="clear" w:color="auto" w:fill="auto"/>
            <w:noWrap/>
            <w:vAlign w:val="bottom"/>
            <w:hideMark/>
          </w:tcPr>
          <w:p w14:paraId="07D51B54"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1710</w:t>
            </w:r>
          </w:p>
        </w:tc>
        <w:tc>
          <w:tcPr>
            <w:tcW w:w="842" w:type="dxa"/>
            <w:shd w:val="clear" w:color="auto" w:fill="auto"/>
            <w:noWrap/>
            <w:vAlign w:val="bottom"/>
            <w:hideMark/>
          </w:tcPr>
          <w:p w14:paraId="1586226F"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T115</w:t>
            </w:r>
          </w:p>
        </w:tc>
        <w:tc>
          <w:tcPr>
            <w:tcW w:w="1785" w:type="dxa"/>
            <w:shd w:val="clear" w:color="auto" w:fill="auto"/>
            <w:noWrap/>
            <w:vAlign w:val="bottom"/>
            <w:hideMark/>
          </w:tcPr>
          <w:p w14:paraId="55E3C9A6"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ARMENOI 10</w:t>
            </w:r>
          </w:p>
        </w:tc>
        <w:tc>
          <w:tcPr>
            <w:tcW w:w="844" w:type="dxa"/>
            <w:shd w:val="clear" w:color="auto" w:fill="auto"/>
            <w:noWrap/>
            <w:vAlign w:val="bottom"/>
            <w:hideMark/>
          </w:tcPr>
          <w:p w14:paraId="1EBBD08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263BA21D"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58C6E88F"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817</w:t>
            </w:r>
          </w:p>
        </w:tc>
        <w:tc>
          <w:tcPr>
            <w:tcW w:w="6271" w:type="dxa"/>
            <w:shd w:val="clear" w:color="auto" w:fill="auto"/>
            <w:noWrap/>
            <w:vAlign w:val="bottom"/>
            <w:hideMark/>
          </w:tcPr>
          <w:p w14:paraId="61D48E5D"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1971: 513, fig. 3, pl  524 g; Tzedakis 1971: 216-222, fig. 8; Godart and Tzedakis 1992: 85-94, pl. 121; Kanta 1980: 213-214 pl. 48 2,4; BCH 96 1972: 813 fig. 514; Hiller 1977: pl. 22 d-5; Watrous 1991: 292, pl. 88b; Merousis 2000: 112 pl. 8.19; Spiliotopoulou 2010: 56 pl. 6.41; Langohr 2009: 144-150; Tzedakis and Martlew 2012: 239-245, fig. 26.3; Papadopoulou 2017: 148</w:t>
            </w:r>
          </w:p>
        </w:tc>
      </w:tr>
      <w:tr w:rsidR="00D76105" w:rsidRPr="00D76105" w14:paraId="0CB5D177" w14:textId="77777777" w:rsidTr="00F52D43">
        <w:trPr>
          <w:trHeight w:val="315"/>
        </w:trPr>
        <w:tc>
          <w:tcPr>
            <w:tcW w:w="1034" w:type="dxa"/>
            <w:shd w:val="clear" w:color="auto" w:fill="auto"/>
            <w:noWrap/>
            <w:vAlign w:val="bottom"/>
            <w:hideMark/>
          </w:tcPr>
          <w:p w14:paraId="1E5DB88E"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264</w:t>
            </w:r>
          </w:p>
        </w:tc>
        <w:tc>
          <w:tcPr>
            <w:tcW w:w="1128" w:type="dxa"/>
            <w:shd w:val="clear" w:color="auto" w:fill="auto"/>
            <w:noWrap/>
            <w:vAlign w:val="bottom"/>
            <w:hideMark/>
          </w:tcPr>
          <w:p w14:paraId="0C7DE6B2"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1709</w:t>
            </w:r>
          </w:p>
        </w:tc>
        <w:tc>
          <w:tcPr>
            <w:tcW w:w="842" w:type="dxa"/>
            <w:shd w:val="clear" w:color="auto" w:fill="auto"/>
            <w:noWrap/>
            <w:vAlign w:val="bottom"/>
            <w:hideMark/>
          </w:tcPr>
          <w:p w14:paraId="5507FC9A"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T115</w:t>
            </w:r>
          </w:p>
        </w:tc>
        <w:tc>
          <w:tcPr>
            <w:tcW w:w="1785" w:type="dxa"/>
            <w:shd w:val="clear" w:color="auto" w:fill="auto"/>
            <w:noWrap/>
            <w:vAlign w:val="bottom"/>
            <w:hideMark/>
          </w:tcPr>
          <w:p w14:paraId="2E7273CB"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ARMENOI 10</w:t>
            </w:r>
          </w:p>
        </w:tc>
        <w:tc>
          <w:tcPr>
            <w:tcW w:w="844" w:type="dxa"/>
            <w:shd w:val="clear" w:color="auto" w:fill="auto"/>
            <w:noWrap/>
            <w:vAlign w:val="bottom"/>
            <w:hideMark/>
          </w:tcPr>
          <w:p w14:paraId="77D0F009"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2595797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72609460"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817</w:t>
            </w:r>
          </w:p>
        </w:tc>
        <w:tc>
          <w:tcPr>
            <w:tcW w:w="6271" w:type="dxa"/>
            <w:shd w:val="clear" w:color="auto" w:fill="auto"/>
            <w:noWrap/>
            <w:vAlign w:val="bottom"/>
            <w:hideMark/>
          </w:tcPr>
          <w:p w14:paraId="7E292D25"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1971: 513, fig. 3, pl  524 d; Tzedakis 1971: 216-222, fig. 6; Godart and Tzedakis 1992: 85-94, pl. 122-124; Kanta 1980: 213-214 ; BCH 96 1972: 812 fig. 512; Hiller 1977: pl. 22 d-5; Watrous 1991: 292, pl. 87e-,c; Merousis 2000: 111  n. 18; Spiliotopoulou 2010: 56-57 pl. 6 n. 42; Langohr 2009: 144-150; Tzedakis and Martlew 2012: 239-245, fig. 26.3; Papadopoulou 2017: 148</w:t>
            </w:r>
          </w:p>
        </w:tc>
      </w:tr>
      <w:tr w:rsidR="00D76105" w:rsidRPr="00D76105" w14:paraId="1F9C8B96" w14:textId="77777777" w:rsidTr="00F52D43">
        <w:trPr>
          <w:trHeight w:val="315"/>
        </w:trPr>
        <w:tc>
          <w:tcPr>
            <w:tcW w:w="1034" w:type="dxa"/>
            <w:shd w:val="clear" w:color="auto" w:fill="auto"/>
            <w:noWrap/>
            <w:vAlign w:val="bottom"/>
            <w:hideMark/>
          </w:tcPr>
          <w:p w14:paraId="363180CC"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265</w:t>
            </w:r>
          </w:p>
        </w:tc>
        <w:tc>
          <w:tcPr>
            <w:tcW w:w="1128" w:type="dxa"/>
            <w:shd w:val="clear" w:color="auto" w:fill="auto"/>
            <w:noWrap/>
            <w:vAlign w:val="bottom"/>
            <w:hideMark/>
          </w:tcPr>
          <w:p w14:paraId="2426DF4A"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1707</w:t>
            </w:r>
          </w:p>
        </w:tc>
        <w:tc>
          <w:tcPr>
            <w:tcW w:w="842" w:type="dxa"/>
            <w:shd w:val="clear" w:color="auto" w:fill="auto"/>
            <w:noWrap/>
            <w:vAlign w:val="bottom"/>
            <w:hideMark/>
          </w:tcPr>
          <w:p w14:paraId="0250D0CF"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T116</w:t>
            </w:r>
          </w:p>
        </w:tc>
        <w:tc>
          <w:tcPr>
            <w:tcW w:w="1785" w:type="dxa"/>
            <w:shd w:val="clear" w:color="auto" w:fill="auto"/>
            <w:noWrap/>
            <w:vAlign w:val="bottom"/>
            <w:hideMark/>
          </w:tcPr>
          <w:p w14:paraId="71674E24"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ARMENOI 11</w:t>
            </w:r>
          </w:p>
        </w:tc>
        <w:tc>
          <w:tcPr>
            <w:tcW w:w="844" w:type="dxa"/>
            <w:shd w:val="clear" w:color="auto" w:fill="auto"/>
            <w:noWrap/>
            <w:vAlign w:val="bottom"/>
            <w:hideMark/>
          </w:tcPr>
          <w:p w14:paraId="232DBD15" w14:textId="77777777" w:rsidR="00D76105" w:rsidRPr="00D76105" w:rsidRDefault="00D76105" w:rsidP="00D76105">
            <w:pPr>
              <w:widowControl/>
              <w:spacing w:line="240" w:lineRule="auto"/>
              <w:contextualSpacing w:val="0"/>
              <w:jc w:val="right"/>
              <w:rPr>
                <w:rFonts w:ascii="Calibri" w:eastAsia="Times New Roman" w:hAnsi="Calibri"/>
                <w:color w:val="008000"/>
                <w:lang w:eastAsia="en-GB"/>
              </w:rPr>
            </w:pPr>
            <w:r w:rsidRPr="00D76105">
              <w:rPr>
                <w:rFonts w:ascii="Calibri" w:eastAsia="Times New Roman" w:hAnsi="Calibri"/>
                <w:color w:val="008000"/>
                <w:lang w:eastAsia="en-GB"/>
              </w:rPr>
              <w:t>1</w:t>
            </w:r>
          </w:p>
        </w:tc>
        <w:tc>
          <w:tcPr>
            <w:tcW w:w="533" w:type="dxa"/>
            <w:shd w:val="clear" w:color="auto" w:fill="auto"/>
            <w:noWrap/>
            <w:vAlign w:val="bottom"/>
            <w:hideMark/>
          </w:tcPr>
          <w:p w14:paraId="2CBB9EBB" w14:textId="77777777" w:rsidR="00D76105" w:rsidRPr="00D76105" w:rsidRDefault="00D76105" w:rsidP="00D76105">
            <w:pPr>
              <w:widowControl/>
              <w:spacing w:line="240" w:lineRule="auto"/>
              <w:contextualSpacing w:val="0"/>
              <w:jc w:val="right"/>
              <w:rPr>
                <w:rFonts w:ascii="Calibri" w:eastAsia="Times New Roman" w:hAnsi="Calibri"/>
                <w:color w:val="008000"/>
                <w:lang w:eastAsia="en-GB"/>
              </w:rPr>
            </w:pPr>
            <w:r w:rsidRPr="00D76105">
              <w:rPr>
                <w:rFonts w:ascii="Calibri" w:eastAsia="Times New Roman" w:hAnsi="Calibri"/>
                <w:color w:val="008000"/>
                <w:lang w:eastAsia="en-GB"/>
              </w:rPr>
              <w:t>0</w:t>
            </w:r>
          </w:p>
        </w:tc>
        <w:tc>
          <w:tcPr>
            <w:tcW w:w="747" w:type="dxa"/>
            <w:shd w:val="clear" w:color="auto" w:fill="auto"/>
            <w:noWrap/>
            <w:vAlign w:val="bottom"/>
            <w:hideMark/>
          </w:tcPr>
          <w:p w14:paraId="34C52614"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818</w:t>
            </w:r>
          </w:p>
        </w:tc>
        <w:tc>
          <w:tcPr>
            <w:tcW w:w="6271" w:type="dxa"/>
            <w:shd w:val="clear" w:color="auto" w:fill="auto"/>
            <w:noWrap/>
            <w:vAlign w:val="bottom"/>
            <w:hideMark/>
          </w:tcPr>
          <w:p w14:paraId="0A52A54F"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1971: 513; Tzedakis 1971: 216-222, fig. 4; Godart and Tzedakis 1992: 85-94, pl. 125-126.1; Kanta 1980: 213-214; BCH 96 1972: 811 fig. 510;  fig. 512; Long 1974: 24, 36, 40, 56, 61 fig. 40; Hiller 1977 f202 pl. 22 g; Betancourt 1985: pl. 27b; Watrous 1991: 300, pl. 92 a, b, e; Merousis 2000: 112-113 pl. 7.20; Tzedakis and Martlew 2007: 67-73, fig. 8.3; Spiliotopoulou 2010: 57, pl. 7.43; Langohr 2009: 144-150; Tzedakis and Martlew 2012: 239-245, fig. 26.5; Papadopoulou 2017: 148</w:t>
            </w:r>
          </w:p>
        </w:tc>
      </w:tr>
      <w:tr w:rsidR="00D76105" w:rsidRPr="00D76105" w14:paraId="65601DC3" w14:textId="77777777" w:rsidTr="00F52D43">
        <w:trPr>
          <w:trHeight w:val="315"/>
        </w:trPr>
        <w:tc>
          <w:tcPr>
            <w:tcW w:w="1034" w:type="dxa"/>
            <w:shd w:val="clear" w:color="auto" w:fill="auto"/>
            <w:noWrap/>
            <w:vAlign w:val="bottom"/>
            <w:hideMark/>
          </w:tcPr>
          <w:p w14:paraId="53A3C2B2"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266</w:t>
            </w:r>
          </w:p>
        </w:tc>
        <w:tc>
          <w:tcPr>
            <w:tcW w:w="1128" w:type="dxa"/>
            <w:shd w:val="clear" w:color="auto" w:fill="auto"/>
            <w:noWrap/>
            <w:vAlign w:val="bottom"/>
            <w:hideMark/>
          </w:tcPr>
          <w:p w14:paraId="4C711243"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1708</w:t>
            </w:r>
          </w:p>
        </w:tc>
        <w:tc>
          <w:tcPr>
            <w:tcW w:w="842" w:type="dxa"/>
            <w:shd w:val="clear" w:color="auto" w:fill="auto"/>
            <w:noWrap/>
            <w:vAlign w:val="bottom"/>
            <w:hideMark/>
          </w:tcPr>
          <w:p w14:paraId="28D667E3"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T117</w:t>
            </w:r>
          </w:p>
        </w:tc>
        <w:tc>
          <w:tcPr>
            <w:tcW w:w="1785" w:type="dxa"/>
            <w:shd w:val="clear" w:color="auto" w:fill="auto"/>
            <w:noWrap/>
            <w:vAlign w:val="bottom"/>
            <w:hideMark/>
          </w:tcPr>
          <w:p w14:paraId="445C373F"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ARMENOI 17</w:t>
            </w:r>
          </w:p>
        </w:tc>
        <w:tc>
          <w:tcPr>
            <w:tcW w:w="844" w:type="dxa"/>
            <w:shd w:val="clear" w:color="auto" w:fill="auto"/>
            <w:noWrap/>
            <w:vAlign w:val="bottom"/>
            <w:hideMark/>
          </w:tcPr>
          <w:p w14:paraId="20C0462D"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0B51017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3DB21942"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824</w:t>
            </w:r>
          </w:p>
        </w:tc>
        <w:tc>
          <w:tcPr>
            <w:tcW w:w="6271" w:type="dxa"/>
            <w:shd w:val="clear" w:color="auto" w:fill="auto"/>
            <w:noWrap/>
            <w:vAlign w:val="bottom"/>
            <w:hideMark/>
          </w:tcPr>
          <w:p w14:paraId="747FC972" w14:textId="29690E3E"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1971: 515; Tzedakis 1971: 216-222 fig. 7;  BCH 96 1972: 805 fig. 513; Godart and Tzedakis 1992: 85-94, pl. 126.3-4; Kanta 1980: 213-214;  Long 1974: 62, 76 fig. 91; Hiller 1977:  202 pl. 22 f; Watrous 1991: 292, pl. 88a; Merousis 2000: 113-114 pl. 8.21; Spiliotopoulou 2010: 57 pl. 7 .44; Langohr 2009: 144-150; Tzedakis</w:t>
            </w:r>
            <w:r w:rsidR="00EB7F24">
              <w:rPr>
                <w:rFonts w:ascii="Calibri" w:eastAsia="Times New Roman" w:hAnsi="Calibri"/>
                <w:lang w:eastAsia="en-GB"/>
              </w:rPr>
              <w:t xml:space="preserve"> and </w:t>
            </w:r>
            <w:r w:rsidRPr="00D76105">
              <w:rPr>
                <w:rFonts w:ascii="Calibri" w:eastAsia="Times New Roman" w:hAnsi="Calibri"/>
                <w:lang w:eastAsia="en-GB"/>
              </w:rPr>
              <w:t xml:space="preserve"> Martlew 2012: 239-245, fig. 26.5; Papadopoulou 2017: 148</w:t>
            </w:r>
          </w:p>
        </w:tc>
      </w:tr>
      <w:tr w:rsidR="00D76105" w:rsidRPr="00D76105" w14:paraId="49F5D87F" w14:textId="77777777" w:rsidTr="00F52D43">
        <w:trPr>
          <w:trHeight w:val="315"/>
        </w:trPr>
        <w:tc>
          <w:tcPr>
            <w:tcW w:w="1034" w:type="dxa"/>
            <w:shd w:val="clear" w:color="auto" w:fill="auto"/>
            <w:noWrap/>
            <w:vAlign w:val="bottom"/>
            <w:hideMark/>
          </w:tcPr>
          <w:p w14:paraId="3362ABB7"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267</w:t>
            </w:r>
          </w:p>
        </w:tc>
        <w:tc>
          <w:tcPr>
            <w:tcW w:w="1128" w:type="dxa"/>
            <w:shd w:val="clear" w:color="auto" w:fill="auto"/>
            <w:noWrap/>
            <w:vAlign w:val="bottom"/>
            <w:hideMark/>
          </w:tcPr>
          <w:p w14:paraId="6B625834"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1712</w:t>
            </w:r>
          </w:p>
        </w:tc>
        <w:tc>
          <w:tcPr>
            <w:tcW w:w="842" w:type="dxa"/>
            <w:shd w:val="clear" w:color="auto" w:fill="auto"/>
            <w:noWrap/>
            <w:vAlign w:val="bottom"/>
            <w:hideMark/>
          </w:tcPr>
          <w:p w14:paraId="36DEC31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T118</w:t>
            </w:r>
          </w:p>
        </w:tc>
        <w:tc>
          <w:tcPr>
            <w:tcW w:w="1785" w:type="dxa"/>
            <w:shd w:val="clear" w:color="auto" w:fill="auto"/>
            <w:noWrap/>
            <w:vAlign w:val="bottom"/>
            <w:hideMark/>
          </w:tcPr>
          <w:p w14:paraId="1AEF417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ARMENOI 24</w:t>
            </w:r>
          </w:p>
        </w:tc>
        <w:tc>
          <w:tcPr>
            <w:tcW w:w="844" w:type="dxa"/>
            <w:shd w:val="clear" w:color="auto" w:fill="auto"/>
            <w:noWrap/>
            <w:vAlign w:val="bottom"/>
            <w:hideMark/>
          </w:tcPr>
          <w:p w14:paraId="67AF529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4C0034F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3EFC8D7F"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831</w:t>
            </w:r>
          </w:p>
        </w:tc>
        <w:tc>
          <w:tcPr>
            <w:tcW w:w="6271" w:type="dxa"/>
            <w:shd w:val="clear" w:color="auto" w:fill="auto"/>
            <w:noWrap/>
            <w:vAlign w:val="bottom"/>
            <w:hideMark/>
          </w:tcPr>
          <w:p w14:paraId="79CD0997"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1971: 516 pl- 527 b-g; Tzedakis 1971: 216-222 fig. 5;  BCH 96 1972: 805 fig. 511; Godart and Tzedakis 1992: 85-94, pl. 129-120 1-2; Kanta 1980: 213-214; Long 1974: 62, 76 fig. 91; Hiller 1977:  202 pl. 22 a; Watrous 1991: 292, pl. 87f-g; Merousis 2000: 114 pl. 8  n. 22; Spiliotopoulou 2010: 57 pl. 7 n. 45; Langohr 2009: 144-150; Tzedakis and Martlew 2012: 239-245, fig. 26.4; Papadopoulou 2017: 148</w:t>
            </w:r>
          </w:p>
        </w:tc>
      </w:tr>
      <w:tr w:rsidR="00D76105" w:rsidRPr="00D76105" w14:paraId="2C282F2B" w14:textId="77777777" w:rsidTr="00F52D43">
        <w:trPr>
          <w:trHeight w:val="315"/>
        </w:trPr>
        <w:tc>
          <w:tcPr>
            <w:tcW w:w="1034" w:type="dxa"/>
            <w:shd w:val="clear" w:color="auto" w:fill="auto"/>
            <w:noWrap/>
            <w:vAlign w:val="bottom"/>
            <w:hideMark/>
          </w:tcPr>
          <w:p w14:paraId="777F56AD"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268</w:t>
            </w:r>
          </w:p>
        </w:tc>
        <w:tc>
          <w:tcPr>
            <w:tcW w:w="1128" w:type="dxa"/>
            <w:shd w:val="clear" w:color="auto" w:fill="auto"/>
            <w:noWrap/>
            <w:vAlign w:val="bottom"/>
            <w:hideMark/>
          </w:tcPr>
          <w:p w14:paraId="6B2D232E"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1706</w:t>
            </w:r>
          </w:p>
        </w:tc>
        <w:tc>
          <w:tcPr>
            <w:tcW w:w="842" w:type="dxa"/>
            <w:shd w:val="clear" w:color="auto" w:fill="auto"/>
            <w:noWrap/>
            <w:vAlign w:val="bottom"/>
            <w:hideMark/>
          </w:tcPr>
          <w:p w14:paraId="3DAB9120"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T118</w:t>
            </w:r>
          </w:p>
        </w:tc>
        <w:tc>
          <w:tcPr>
            <w:tcW w:w="1785" w:type="dxa"/>
            <w:shd w:val="clear" w:color="auto" w:fill="auto"/>
            <w:noWrap/>
            <w:vAlign w:val="bottom"/>
            <w:hideMark/>
          </w:tcPr>
          <w:p w14:paraId="79EB4460"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ARMENOI 24</w:t>
            </w:r>
          </w:p>
        </w:tc>
        <w:tc>
          <w:tcPr>
            <w:tcW w:w="844" w:type="dxa"/>
            <w:shd w:val="clear" w:color="auto" w:fill="auto"/>
            <w:noWrap/>
            <w:vAlign w:val="bottom"/>
            <w:hideMark/>
          </w:tcPr>
          <w:p w14:paraId="51AB0937"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298D6404"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3042A98C"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831</w:t>
            </w:r>
          </w:p>
        </w:tc>
        <w:tc>
          <w:tcPr>
            <w:tcW w:w="6271" w:type="dxa"/>
            <w:shd w:val="clear" w:color="auto" w:fill="auto"/>
            <w:noWrap/>
            <w:vAlign w:val="bottom"/>
            <w:hideMark/>
          </w:tcPr>
          <w:p w14:paraId="086F2D44"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1971: 516; Tzedakis 1971: 216-222 fig. 9; BCH 96 1972: 805 fig. 515; Godart and Tzedakis 1992: 85-94, pl. 126.2; Kanta 1980: 213-214; Hiller 1977: 202 pl. 22 c; Watrous 1991: 292, pl. 91e; Merousis 2000: 115 n. 23; Tzedakis and Martlew 2007: 67-73 fig. 8.8; Spiliotopoulou 2010: 57-58, pl. 8 n. 46; Langohr 2009: 144-150; Tzedakis and Martlew 2012: 239-245, fig. 26.7; Papadopoulou 2017: 148</w:t>
            </w:r>
          </w:p>
        </w:tc>
      </w:tr>
      <w:tr w:rsidR="00D76105" w:rsidRPr="00D76105" w14:paraId="3203273C" w14:textId="77777777" w:rsidTr="00F52D43">
        <w:trPr>
          <w:trHeight w:val="315"/>
        </w:trPr>
        <w:tc>
          <w:tcPr>
            <w:tcW w:w="1034" w:type="dxa"/>
            <w:shd w:val="clear" w:color="auto" w:fill="auto"/>
            <w:noWrap/>
            <w:vAlign w:val="bottom"/>
            <w:hideMark/>
          </w:tcPr>
          <w:p w14:paraId="1CA65792"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269</w:t>
            </w:r>
          </w:p>
        </w:tc>
        <w:tc>
          <w:tcPr>
            <w:tcW w:w="1128" w:type="dxa"/>
            <w:shd w:val="clear" w:color="auto" w:fill="auto"/>
            <w:noWrap/>
            <w:vAlign w:val="bottom"/>
            <w:hideMark/>
          </w:tcPr>
          <w:p w14:paraId="347A3270"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1703</w:t>
            </w:r>
          </w:p>
        </w:tc>
        <w:tc>
          <w:tcPr>
            <w:tcW w:w="842" w:type="dxa"/>
            <w:shd w:val="clear" w:color="auto" w:fill="auto"/>
            <w:noWrap/>
            <w:vAlign w:val="bottom"/>
            <w:hideMark/>
          </w:tcPr>
          <w:p w14:paraId="4EEDC795"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T119</w:t>
            </w:r>
          </w:p>
        </w:tc>
        <w:tc>
          <w:tcPr>
            <w:tcW w:w="1785" w:type="dxa"/>
            <w:shd w:val="clear" w:color="auto" w:fill="auto"/>
            <w:noWrap/>
            <w:vAlign w:val="bottom"/>
            <w:hideMark/>
          </w:tcPr>
          <w:p w14:paraId="130E7141"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ARMENOI 55</w:t>
            </w:r>
          </w:p>
        </w:tc>
        <w:tc>
          <w:tcPr>
            <w:tcW w:w="844" w:type="dxa"/>
            <w:shd w:val="clear" w:color="auto" w:fill="auto"/>
            <w:noWrap/>
            <w:vAlign w:val="bottom"/>
            <w:hideMark/>
          </w:tcPr>
          <w:p w14:paraId="2C1B811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363404D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04AB1390"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862</w:t>
            </w:r>
          </w:p>
        </w:tc>
        <w:tc>
          <w:tcPr>
            <w:tcW w:w="6271" w:type="dxa"/>
            <w:shd w:val="clear" w:color="auto" w:fill="auto"/>
            <w:noWrap/>
            <w:vAlign w:val="bottom"/>
            <w:hideMark/>
          </w:tcPr>
          <w:p w14:paraId="321A3229"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27 1972: 642 pl. 598 b; BCH 101 1977: 656; Godart and Tzedakis 1992: 85-94, pl. 120.3 , 127.1; Kanta 1980: 213-214; Merousis 2000: 115 pl.9  n. 24; Spiliotopoulou 2010: 58 pl. 8 n. 47; Langohr 2009: 144-150; Tzedakis and Martlew 2012: 239-245; Papadopoulou 2017: 148</w:t>
            </w:r>
          </w:p>
        </w:tc>
      </w:tr>
      <w:tr w:rsidR="00D76105" w:rsidRPr="00D76105" w14:paraId="55C0DEF7" w14:textId="77777777" w:rsidTr="00F52D43">
        <w:trPr>
          <w:trHeight w:val="315"/>
        </w:trPr>
        <w:tc>
          <w:tcPr>
            <w:tcW w:w="1034" w:type="dxa"/>
            <w:shd w:val="clear" w:color="auto" w:fill="auto"/>
            <w:noWrap/>
            <w:vAlign w:val="bottom"/>
            <w:hideMark/>
          </w:tcPr>
          <w:p w14:paraId="3E05088E"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270</w:t>
            </w:r>
          </w:p>
        </w:tc>
        <w:tc>
          <w:tcPr>
            <w:tcW w:w="1128" w:type="dxa"/>
            <w:shd w:val="clear" w:color="auto" w:fill="auto"/>
            <w:noWrap/>
            <w:vAlign w:val="bottom"/>
            <w:hideMark/>
          </w:tcPr>
          <w:p w14:paraId="62260EAB"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2829 OR 5121</w:t>
            </w:r>
          </w:p>
        </w:tc>
        <w:tc>
          <w:tcPr>
            <w:tcW w:w="842" w:type="dxa"/>
            <w:shd w:val="clear" w:color="auto" w:fill="auto"/>
            <w:noWrap/>
            <w:vAlign w:val="bottom"/>
            <w:hideMark/>
          </w:tcPr>
          <w:p w14:paraId="690DA337"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T120</w:t>
            </w:r>
          </w:p>
        </w:tc>
        <w:tc>
          <w:tcPr>
            <w:tcW w:w="1785" w:type="dxa"/>
            <w:shd w:val="clear" w:color="auto" w:fill="auto"/>
            <w:noWrap/>
            <w:vAlign w:val="bottom"/>
            <w:hideMark/>
          </w:tcPr>
          <w:p w14:paraId="4B3B60CD"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ARMENOI 139</w:t>
            </w:r>
          </w:p>
        </w:tc>
        <w:tc>
          <w:tcPr>
            <w:tcW w:w="844" w:type="dxa"/>
            <w:shd w:val="clear" w:color="auto" w:fill="auto"/>
            <w:noWrap/>
            <w:vAlign w:val="bottom"/>
            <w:hideMark/>
          </w:tcPr>
          <w:p w14:paraId="3FFD80E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7B47BF83"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0A8B065F"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946</w:t>
            </w:r>
          </w:p>
        </w:tc>
        <w:tc>
          <w:tcPr>
            <w:tcW w:w="6271" w:type="dxa"/>
            <w:shd w:val="clear" w:color="auto" w:fill="auto"/>
            <w:noWrap/>
            <w:vAlign w:val="bottom"/>
            <w:hideMark/>
          </w:tcPr>
          <w:p w14:paraId="12800EB5"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35 1980: 517 pl. 319 e, 320 a; BCH 105 1981: 879; BCH 113 1989: 692; Godart and Tzedakis 1992: 85-94; Kanta 1980: 213-214;Spiliotopoulou 2010: 58, pl. 7 n. 49;  Langohr 2009: 144-150; Tzedakis and Martlew 2012: 239-245, fig. 26.6; Papadopoulou 2017: 148</w:t>
            </w:r>
          </w:p>
        </w:tc>
      </w:tr>
      <w:tr w:rsidR="00D76105" w:rsidRPr="00D76105" w14:paraId="286DFE4F" w14:textId="77777777" w:rsidTr="00F52D43">
        <w:trPr>
          <w:trHeight w:val="315"/>
        </w:trPr>
        <w:tc>
          <w:tcPr>
            <w:tcW w:w="1034" w:type="dxa"/>
            <w:shd w:val="clear" w:color="auto" w:fill="auto"/>
            <w:noWrap/>
            <w:vAlign w:val="bottom"/>
            <w:hideMark/>
          </w:tcPr>
          <w:p w14:paraId="63367FD2"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272</w:t>
            </w:r>
          </w:p>
        </w:tc>
        <w:tc>
          <w:tcPr>
            <w:tcW w:w="1128" w:type="dxa"/>
            <w:shd w:val="clear" w:color="auto" w:fill="auto"/>
            <w:noWrap/>
            <w:vAlign w:val="bottom"/>
            <w:hideMark/>
          </w:tcPr>
          <w:p w14:paraId="3CD2902D"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MC 22608</w:t>
            </w:r>
          </w:p>
        </w:tc>
        <w:tc>
          <w:tcPr>
            <w:tcW w:w="842" w:type="dxa"/>
            <w:shd w:val="clear" w:color="auto" w:fill="auto"/>
            <w:noWrap/>
            <w:vAlign w:val="bottom"/>
            <w:hideMark/>
          </w:tcPr>
          <w:p w14:paraId="74F1F5F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T122</w:t>
            </w:r>
          </w:p>
        </w:tc>
        <w:tc>
          <w:tcPr>
            <w:tcW w:w="1785" w:type="dxa"/>
            <w:shd w:val="clear" w:color="auto" w:fill="auto"/>
            <w:noWrap/>
            <w:vAlign w:val="bottom"/>
            <w:hideMark/>
          </w:tcPr>
          <w:p w14:paraId="01763351"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ARMENOI 132</w:t>
            </w:r>
          </w:p>
        </w:tc>
        <w:tc>
          <w:tcPr>
            <w:tcW w:w="844" w:type="dxa"/>
            <w:shd w:val="clear" w:color="auto" w:fill="auto"/>
            <w:noWrap/>
            <w:vAlign w:val="bottom"/>
            <w:hideMark/>
          </w:tcPr>
          <w:p w14:paraId="2E9B669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1ABBA997"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2C65D911"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939</w:t>
            </w:r>
          </w:p>
        </w:tc>
        <w:tc>
          <w:tcPr>
            <w:tcW w:w="6271" w:type="dxa"/>
            <w:shd w:val="clear" w:color="auto" w:fill="auto"/>
            <w:noWrap/>
            <w:vAlign w:val="bottom"/>
            <w:hideMark/>
          </w:tcPr>
          <w:p w14:paraId="5A451CC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35 1980: 515 pl. 319b; BCH 105 1981: 879; BCH 113 1989: 692; Godart and Tzedakis 1992: 85-94; Tzedakis and Martlew 1999: 242 fig; Papadopoulou 2017: 148</w:t>
            </w:r>
          </w:p>
        </w:tc>
      </w:tr>
      <w:tr w:rsidR="00D76105" w:rsidRPr="00D76105" w14:paraId="432CF479" w14:textId="77777777" w:rsidTr="00F52D43">
        <w:trPr>
          <w:trHeight w:val="315"/>
        </w:trPr>
        <w:tc>
          <w:tcPr>
            <w:tcW w:w="1034" w:type="dxa"/>
            <w:shd w:val="clear" w:color="auto" w:fill="auto"/>
            <w:noWrap/>
            <w:vAlign w:val="bottom"/>
            <w:hideMark/>
          </w:tcPr>
          <w:p w14:paraId="1EC1F02C"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273</w:t>
            </w:r>
          </w:p>
        </w:tc>
        <w:tc>
          <w:tcPr>
            <w:tcW w:w="1128" w:type="dxa"/>
            <w:shd w:val="clear" w:color="auto" w:fill="auto"/>
            <w:noWrap/>
            <w:vAlign w:val="bottom"/>
            <w:hideMark/>
          </w:tcPr>
          <w:p w14:paraId="112788CD"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842" w:type="dxa"/>
            <w:shd w:val="clear" w:color="auto" w:fill="auto"/>
            <w:noWrap/>
            <w:vAlign w:val="bottom"/>
            <w:hideMark/>
          </w:tcPr>
          <w:p w14:paraId="34B7D885"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T123</w:t>
            </w:r>
          </w:p>
        </w:tc>
        <w:tc>
          <w:tcPr>
            <w:tcW w:w="1785" w:type="dxa"/>
            <w:shd w:val="clear" w:color="auto" w:fill="auto"/>
            <w:noWrap/>
            <w:vAlign w:val="bottom"/>
            <w:hideMark/>
          </w:tcPr>
          <w:p w14:paraId="0BFA3B10"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ARMENOI 108</w:t>
            </w:r>
          </w:p>
        </w:tc>
        <w:tc>
          <w:tcPr>
            <w:tcW w:w="844" w:type="dxa"/>
            <w:shd w:val="clear" w:color="auto" w:fill="auto"/>
            <w:noWrap/>
            <w:vAlign w:val="bottom"/>
            <w:hideMark/>
          </w:tcPr>
          <w:p w14:paraId="19B8990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59D253B7"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74E26E97"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915</w:t>
            </w:r>
          </w:p>
        </w:tc>
        <w:tc>
          <w:tcPr>
            <w:tcW w:w="6271" w:type="dxa"/>
            <w:shd w:val="clear" w:color="auto" w:fill="auto"/>
            <w:noWrap/>
            <w:vAlign w:val="bottom"/>
            <w:hideMark/>
          </w:tcPr>
          <w:p w14:paraId="2DB99244"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33 1978: 379 pl- 195 a-b; BCH 103 1979: 611; BCH 110 1986: 756 pl. 149; Godart and Tzedakis 1992: 85-94; Kanta 1980: 213-21;  Langohr 2009: 144-150; Tzedakis and Martlew 2012: 239-245; Papadopoulou 2017: 148</w:t>
            </w:r>
          </w:p>
        </w:tc>
      </w:tr>
      <w:tr w:rsidR="00D76105" w:rsidRPr="00D76105" w14:paraId="09130913" w14:textId="77777777" w:rsidTr="00F52D43">
        <w:trPr>
          <w:trHeight w:val="315"/>
        </w:trPr>
        <w:tc>
          <w:tcPr>
            <w:tcW w:w="1034" w:type="dxa"/>
            <w:shd w:val="clear" w:color="auto" w:fill="auto"/>
            <w:noWrap/>
            <w:vAlign w:val="bottom"/>
            <w:hideMark/>
          </w:tcPr>
          <w:p w14:paraId="2EABA185"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274</w:t>
            </w:r>
          </w:p>
        </w:tc>
        <w:tc>
          <w:tcPr>
            <w:tcW w:w="1128" w:type="dxa"/>
            <w:shd w:val="clear" w:color="auto" w:fill="auto"/>
            <w:noWrap/>
            <w:vAlign w:val="bottom"/>
            <w:hideMark/>
          </w:tcPr>
          <w:p w14:paraId="096043CF"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842" w:type="dxa"/>
            <w:shd w:val="clear" w:color="auto" w:fill="auto"/>
            <w:noWrap/>
            <w:vAlign w:val="bottom"/>
            <w:hideMark/>
          </w:tcPr>
          <w:p w14:paraId="4D16238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T124</w:t>
            </w:r>
          </w:p>
        </w:tc>
        <w:tc>
          <w:tcPr>
            <w:tcW w:w="1785" w:type="dxa"/>
            <w:shd w:val="clear" w:color="auto" w:fill="auto"/>
            <w:noWrap/>
            <w:vAlign w:val="bottom"/>
            <w:hideMark/>
          </w:tcPr>
          <w:p w14:paraId="655DEF3F"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ARMENOI 118</w:t>
            </w:r>
          </w:p>
        </w:tc>
        <w:tc>
          <w:tcPr>
            <w:tcW w:w="844" w:type="dxa"/>
            <w:shd w:val="clear" w:color="auto" w:fill="auto"/>
            <w:noWrap/>
            <w:vAlign w:val="bottom"/>
            <w:hideMark/>
          </w:tcPr>
          <w:p w14:paraId="5FB031B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0570B7B7"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5044A6B8"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925</w:t>
            </w:r>
          </w:p>
        </w:tc>
        <w:tc>
          <w:tcPr>
            <w:tcW w:w="6271" w:type="dxa"/>
            <w:shd w:val="clear" w:color="auto" w:fill="auto"/>
            <w:noWrap/>
            <w:vAlign w:val="bottom"/>
            <w:hideMark/>
          </w:tcPr>
          <w:p w14:paraId="74BCC65E"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33 1978: 379 pl-. 197 b-g; BCH 103 1979: 611; BCH 110 1986: 756 pl. 150; Godart and Tzedakis 1992: 85-94 pl 131.2; Kanta 1980: 213-21;  Langohr 2009: 144-150; Tzedakis and Martlew 2012: 239-245; Papadopoulou 2017: 148</w:t>
            </w:r>
          </w:p>
        </w:tc>
      </w:tr>
      <w:tr w:rsidR="00D76105" w:rsidRPr="00D76105" w14:paraId="4E3B4A6B" w14:textId="77777777" w:rsidTr="00F52D43">
        <w:trPr>
          <w:trHeight w:val="315"/>
        </w:trPr>
        <w:tc>
          <w:tcPr>
            <w:tcW w:w="1034" w:type="dxa"/>
            <w:shd w:val="clear" w:color="auto" w:fill="auto"/>
            <w:noWrap/>
            <w:vAlign w:val="bottom"/>
            <w:hideMark/>
          </w:tcPr>
          <w:p w14:paraId="3A4FDA5F"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347</w:t>
            </w:r>
          </w:p>
        </w:tc>
        <w:tc>
          <w:tcPr>
            <w:tcW w:w="1128" w:type="dxa"/>
            <w:shd w:val="clear" w:color="auto" w:fill="auto"/>
            <w:noWrap/>
            <w:vAlign w:val="bottom"/>
            <w:hideMark/>
          </w:tcPr>
          <w:p w14:paraId="24793865"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2392</w:t>
            </w:r>
          </w:p>
        </w:tc>
        <w:tc>
          <w:tcPr>
            <w:tcW w:w="842" w:type="dxa"/>
            <w:shd w:val="clear" w:color="auto" w:fill="auto"/>
            <w:noWrap/>
            <w:vAlign w:val="bottom"/>
            <w:hideMark/>
          </w:tcPr>
          <w:p w14:paraId="597531EA"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T151</w:t>
            </w:r>
          </w:p>
        </w:tc>
        <w:tc>
          <w:tcPr>
            <w:tcW w:w="1785" w:type="dxa"/>
            <w:shd w:val="clear" w:color="auto" w:fill="auto"/>
            <w:noWrap/>
            <w:vAlign w:val="bottom"/>
            <w:hideMark/>
          </w:tcPr>
          <w:p w14:paraId="0008B2D5"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CHOUMERI</w:t>
            </w:r>
          </w:p>
        </w:tc>
        <w:tc>
          <w:tcPr>
            <w:tcW w:w="844" w:type="dxa"/>
            <w:shd w:val="clear" w:color="auto" w:fill="auto"/>
            <w:noWrap/>
            <w:vAlign w:val="bottom"/>
            <w:hideMark/>
          </w:tcPr>
          <w:p w14:paraId="68C13A2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57E16494"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7CDC6AE3"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1132</w:t>
            </w:r>
          </w:p>
        </w:tc>
        <w:tc>
          <w:tcPr>
            <w:tcW w:w="6271" w:type="dxa"/>
            <w:shd w:val="clear" w:color="auto" w:fill="auto"/>
            <w:noWrap/>
            <w:vAlign w:val="bottom"/>
            <w:hideMark/>
          </w:tcPr>
          <w:p w14:paraId="2EFD8099"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Platon 1951: 445;  KChr 1952: 479; Hood et al. 1964: 55; Kanta 198:, 202; Mavriyannaki 1985: 13-22, pl. 1; Godart and Tzedakis 1992: 94; Merousis 2000: 188-189; Spiliotopoulou 2010: 54 n. 33; Langohr 2009: 158</w:t>
            </w:r>
          </w:p>
        </w:tc>
      </w:tr>
      <w:tr w:rsidR="00D76105" w:rsidRPr="00D76105" w14:paraId="5C74476D" w14:textId="77777777" w:rsidTr="00F52D43">
        <w:trPr>
          <w:trHeight w:val="315"/>
        </w:trPr>
        <w:tc>
          <w:tcPr>
            <w:tcW w:w="1034" w:type="dxa"/>
            <w:shd w:val="clear" w:color="auto" w:fill="auto"/>
            <w:noWrap/>
            <w:vAlign w:val="bottom"/>
            <w:hideMark/>
          </w:tcPr>
          <w:p w14:paraId="53A2C6BB"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233</w:t>
            </w:r>
          </w:p>
        </w:tc>
        <w:tc>
          <w:tcPr>
            <w:tcW w:w="1128" w:type="dxa"/>
            <w:shd w:val="clear" w:color="auto" w:fill="auto"/>
            <w:noWrap/>
            <w:vAlign w:val="bottom"/>
            <w:hideMark/>
          </w:tcPr>
          <w:p w14:paraId="26AEE84D"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NAM 12835</w:t>
            </w:r>
          </w:p>
        </w:tc>
        <w:tc>
          <w:tcPr>
            <w:tcW w:w="842" w:type="dxa"/>
            <w:shd w:val="clear" w:color="auto" w:fill="auto"/>
            <w:noWrap/>
            <w:vAlign w:val="bottom"/>
            <w:hideMark/>
          </w:tcPr>
          <w:p w14:paraId="1F1288D3"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NA</w:t>
            </w:r>
          </w:p>
        </w:tc>
        <w:tc>
          <w:tcPr>
            <w:tcW w:w="1785" w:type="dxa"/>
            <w:shd w:val="clear" w:color="auto" w:fill="auto"/>
            <w:noWrap/>
            <w:vAlign w:val="bottom"/>
            <w:hideMark/>
          </w:tcPr>
          <w:p w14:paraId="2517B8A2"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MAROULAS</w:t>
            </w:r>
          </w:p>
        </w:tc>
        <w:tc>
          <w:tcPr>
            <w:tcW w:w="844" w:type="dxa"/>
            <w:shd w:val="clear" w:color="auto" w:fill="auto"/>
            <w:noWrap/>
            <w:vAlign w:val="bottom"/>
            <w:hideMark/>
          </w:tcPr>
          <w:p w14:paraId="1A12D84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5FFEC7F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4C4A6230"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6271" w:type="dxa"/>
            <w:shd w:val="clear" w:color="auto" w:fill="auto"/>
            <w:noWrap/>
            <w:vAlign w:val="bottom"/>
            <w:hideMark/>
          </w:tcPr>
          <w:p w14:paraId="5CA5B742"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Touloupa 1968: 54-58. fig. 1- 2; Merousis 2007/2008: 77-92  fig. 1-4; Spiliotopoulou 2010: 49 pl. 2 n.9</w:t>
            </w:r>
          </w:p>
        </w:tc>
      </w:tr>
      <w:tr w:rsidR="00D76105" w:rsidRPr="00D76105" w14:paraId="3BC4CB4E" w14:textId="77777777" w:rsidTr="00F52D43">
        <w:trPr>
          <w:trHeight w:val="315"/>
        </w:trPr>
        <w:tc>
          <w:tcPr>
            <w:tcW w:w="1034" w:type="dxa"/>
            <w:shd w:val="clear" w:color="auto" w:fill="auto"/>
            <w:noWrap/>
            <w:vAlign w:val="bottom"/>
            <w:hideMark/>
          </w:tcPr>
          <w:p w14:paraId="73E50260"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234</w:t>
            </w:r>
          </w:p>
        </w:tc>
        <w:tc>
          <w:tcPr>
            <w:tcW w:w="1128" w:type="dxa"/>
            <w:shd w:val="clear" w:color="auto" w:fill="auto"/>
            <w:noWrap/>
            <w:vAlign w:val="bottom"/>
            <w:hideMark/>
          </w:tcPr>
          <w:p w14:paraId="33991EA7"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NAM 12834</w:t>
            </w:r>
          </w:p>
        </w:tc>
        <w:tc>
          <w:tcPr>
            <w:tcW w:w="842" w:type="dxa"/>
            <w:shd w:val="clear" w:color="auto" w:fill="auto"/>
            <w:noWrap/>
            <w:vAlign w:val="bottom"/>
            <w:hideMark/>
          </w:tcPr>
          <w:p w14:paraId="1439B73A"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NA</w:t>
            </w:r>
          </w:p>
        </w:tc>
        <w:tc>
          <w:tcPr>
            <w:tcW w:w="1785" w:type="dxa"/>
            <w:shd w:val="clear" w:color="auto" w:fill="auto"/>
            <w:noWrap/>
            <w:vAlign w:val="bottom"/>
            <w:hideMark/>
          </w:tcPr>
          <w:p w14:paraId="0536D549"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MAROULAS</w:t>
            </w:r>
          </w:p>
        </w:tc>
        <w:tc>
          <w:tcPr>
            <w:tcW w:w="844" w:type="dxa"/>
            <w:shd w:val="clear" w:color="auto" w:fill="auto"/>
            <w:noWrap/>
            <w:vAlign w:val="bottom"/>
            <w:hideMark/>
          </w:tcPr>
          <w:p w14:paraId="23A1014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72B9C2C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5B720D8E"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6271" w:type="dxa"/>
            <w:shd w:val="clear" w:color="auto" w:fill="auto"/>
            <w:noWrap/>
            <w:vAlign w:val="bottom"/>
            <w:hideMark/>
          </w:tcPr>
          <w:p w14:paraId="417EE284"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Touloupa 1968: 54-58; Merousis 2007/2008: 77-92  fig. 11-13; Spiliotopoulou 2010: 49 pl. 2 n.11</w:t>
            </w:r>
          </w:p>
        </w:tc>
      </w:tr>
      <w:tr w:rsidR="00D76105" w:rsidRPr="00D76105" w14:paraId="4861E535" w14:textId="77777777" w:rsidTr="00F52D43">
        <w:trPr>
          <w:trHeight w:val="315"/>
        </w:trPr>
        <w:tc>
          <w:tcPr>
            <w:tcW w:w="1034" w:type="dxa"/>
            <w:shd w:val="clear" w:color="auto" w:fill="auto"/>
            <w:noWrap/>
            <w:vAlign w:val="bottom"/>
            <w:hideMark/>
          </w:tcPr>
          <w:p w14:paraId="07B831A7"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235</w:t>
            </w:r>
          </w:p>
        </w:tc>
        <w:tc>
          <w:tcPr>
            <w:tcW w:w="1128" w:type="dxa"/>
            <w:shd w:val="clear" w:color="auto" w:fill="auto"/>
            <w:noWrap/>
            <w:vAlign w:val="bottom"/>
            <w:hideMark/>
          </w:tcPr>
          <w:p w14:paraId="40557DA1"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NAM 12836</w:t>
            </w:r>
          </w:p>
        </w:tc>
        <w:tc>
          <w:tcPr>
            <w:tcW w:w="842" w:type="dxa"/>
            <w:shd w:val="clear" w:color="auto" w:fill="auto"/>
            <w:noWrap/>
            <w:vAlign w:val="bottom"/>
            <w:hideMark/>
          </w:tcPr>
          <w:p w14:paraId="2AC1588A"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NA</w:t>
            </w:r>
          </w:p>
        </w:tc>
        <w:tc>
          <w:tcPr>
            <w:tcW w:w="1785" w:type="dxa"/>
            <w:shd w:val="clear" w:color="auto" w:fill="auto"/>
            <w:noWrap/>
            <w:vAlign w:val="bottom"/>
            <w:hideMark/>
          </w:tcPr>
          <w:p w14:paraId="566E71CF"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MAROULAS</w:t>
            </w:r>
          </w:p>
        </w:tc>
        <w:tc>
          <w:tcPr>
            <w:tcW w:w="844" w:type="dxa"/>
            <w:shd w:val="clear" w:color="auto" w:fill="auto"/>
            <w:noWrap/>
            <w:vAlign w:val="bottom"/>
            <w:hideMark/>
          </w:tcPr>
          <w:p w14:paraId="6610FD92"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34DCAF0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11340D25"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6271" w:type="dxa"/>
            <w:shd w:val="clear" w:color="auto" w:fill="auto"/>
            <w:noWrap/>
            <w:vAlign w:val="bottom"/>
            <w:hideMark/>
          </w:tcPr>
          <w:p w14:paraId="14E8F73F"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Touloupa 1968: 54-58 fig. 3-4 ; Merousis 2007/2008: 77-92  fig. 7-10, 14-17; Spiliotopoulou 2010: 49 pl. 2 n.10</w:t>
            </w:r>
          </w:p>
        </w:tc>
      </w:tr>
      <w:tr w:rsidR="00D76105" w:rsidRPr="00D76105" w14:paraId="2D528DB6" w14:textId="77777777" w:rsidTr="00F52D43">
        <w:trPr>
          <w:trHeight w:val="315"/>
        </w:trPr>
        <w:tc>
          <w:tcPr>
            <w:tcW w:w="1034" w:type="dxa"/>
            <w:shd w:val="clear" w:color="auto" w:fill="auto"/>
            <w:noWrap/>
            <w:vAlign w:val="bottom"/>
            <w:hideMark/>
          </w:tcPr>
          <w:p w14:paraId="6EA2FA5E"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242</w:t>
            </w:r>
          </w:p>
        </w:tc>
        <w:tc>
          <w:tcPr>
            <w:tcW w:w="1128" w:type="dxa"/>
            <w:shd w:val="clear" w:color="auto" w:fill="auto"/>
            <w:noWrap/>
            <w:vAlign w:val="bottom"/>
            <w:hideMark/>
          </w:tcPr>
          <w:p w14:paraId="7D6BD95D"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ΜT 10544</w:t>
            </w:r>
          </w:p>
        </w:tc>
        <w:tc>
          <w:tcPr>
            <w:tcW w:w="842" w:type="dxa"/>
            <w:shd w:val="clear" w:color="auto" w:fill="auto"/>
            <w:noWrap/>
            <w:vAlign w:val="bottom"/>
            <w:hideMark/>
          </w:tcPr>
          <w:p w14:paraId="2D7EB04F"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T107</w:t>
            </w:r>
          </w:p>
        </w:tc>
        <w:tc>
          <w:tcPr>
            <w:tcW w:w="1785" w:type="dxa"/>
            <w:shd w:val="clear" w:color="auto" w:fill="auto"/>
            <w:noWrap/>
            <w:vAlign w:val="bottom"/>
            <w:hideMark/>
          </w:tcPr>
          <w:p w14:paraId="703E9359"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MAROULAS</w:t>
            </w:r>
          </w:p>
        </w:tc>
        <w:tc>
          <w:tcPr>
            <w:tcW w:w="844" w:type="dxa"/>
            <w:shd w:val="clear" w:color="auto" w:fill="auto"/>
            <w:noWrap/>
            <w:vAlign w:val="bottom"/>
            <w:hideMark/>
          </w:tcPr>
          <w:p w14:paraId="2BA7B69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5C13AE9E"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7A1ECA59"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1146</w:t>
            </w:r>
          </w:p>
        </w:tc>
        <w:tc>
          <w:tcPr>
            <w:tcW w:w="6271" w:type="dxa"/>
            <w:shd w:val="clear" w:color="auto" w:fill="auto"/>
            <w:noWrap/>
            <w:vAlign w:val="bottom"/>
            <w:hideMark/>
          </w:tcPr>
          <w:p w14:paraId="0A45A834"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19 1964: 447; ADelt 24 1969: 293; ADelt 25 1970: 347 pl. 299; Michailidou Pappa 1972: 358 pl. 9 3-5, pl. 11 1;  Kanta 1973 : 315-323; Kanta 1980: 214-215; Godart and Tzedakis 1992: 95; Merousis 2000: 154, pl. 15 n. 117; Langohr 2009: 151-152</w:t>
            </w:r>
          </w:p>
        </w:tc>
      </w:tr>
      <w:tr w:rsidR="00D76105" w:rsidRPr="00D76105" w14:paraId="03E5C6EA" w14:textId="77777777" w:rsidTr="00F52D43">
        <w:trPr>
          <w:trHeight w:val="315"/>
        </w:trPr>
        <w:tc>
          <w:tcPr>
            <w:tcW w:w="1034" w:type="dxa"/>
            <w:shd w:val="clear" w:color="auto" w:fill="auto"/>
            <w:noWrap/>
            <w:vAlign w:val="bottom"/>
            <w:hideMark/>
          </w:tcPr>
          <w:p w14:paraId="53134925"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243</w:t>
            </w:r>
          </w:p>
        </w:tc>
        <w:tc>
          <w:tcPr>
            <w:tcW w:w="1128" w:type="dxa"/>
            <w:shd w:val="clear" w:color="auto" w:fill="auto"/>
            <w:noWrap/>
            <w:vAlign w:val="bottom"/>
            <w:hideMark/>
          </w:tcPr>
          <w:p w14:paraId="25E9FBF7"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MΡ 2383</w:t>
            </w:r>
          </w:p>
        </w:tc>
        <w:tc>
          <w:tcPr>
            <w:tcW w:w="842" w:type="dxa"/>
            <w:shd w:val="clear" w:color="auto" w:fill="auto"/>
            <w:noWrap/>
            <w:vAlign w:val="bottom"/>
            <w:hideMark/>
          </w:tcPr>
          <w:p w14:paraId="1C73FF4F"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T107</w:t>
            </w:r>
          </w:p>
        </w:tc>
        <w:tc>
          <w:tcPr>
            <w:tcW w:w="1785" w:type="dxa"/>
            <w:shd w:val="clear" w:color="auto" w:fill="auto"/>
            <w:noWrap/>
            <w:vAlign w:val="bottom"/>
            <w:hideMark/>
          </w:tcPr>
          <w:p w14:paraId="2916459A"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MAROULAS</w:t>
            </w:r>
          </w:p>
        </w:tc>
        <w:tc>
          <w:tcPr>
            <w:tcW w:w="844" w:type="dxa"/>
            <w:shd w:val="clear" w:color="auto" w:fill="auto"/>
            <w:noWrap/>
            <w:vAlign w:val="bottom"/>
            <w:hideMark/>
          </w:tcPr>
          <w:p w14:paraId="5678FEDC"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w:t>
            </w:r>
          </w:p>
        </w:tc>
        <w:tc>
          <w:tcPr>
            <w:tcW w:w="533" w:type="dxa"/>
            <w:shd w:val="clear" w:color="auto" w:fill="auto"/>
            <w:noWrap/>
            <w:vAlign w:val="bottom"/>
            <w:hideMark/>
          </w:tcPr>
          <w:p w14:paraId="7AD6168F"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0</w:t>
            </w:r>
          </w:p>
        </w:tc>
        <w:tc>
          <w:tcPr>
            <w:tcW w:w="747" w:type="dxa"/>
            <w:shd w:val="clear" w:color="auto" w:fill="auto"/>
            <w:noWrap/>
            <w:vAlign w:val="bottom"/>
            <w:hideMark/>
          </w:tcPr>
          <w:p w14:paraId="022C6796"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1146</w:t>
            </w:r>
          </w:p>
        </w:tc>
        <w:tc>
          <w:tcPr>
            <w:tcW w:w="6271" w:type="dxa"/>
            <w:shd w:val="clear" w:color="auto" w:fill="auto"/>
            <w:noWrap/>
            <w:vAlign w:val="bottom"/>
            <w:hideMark/>
          </w:tcPr>
          <w:p w14:paraId="7C8E8DE0"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19 1964: 447; ADelt 24 1969: 293; ADelt 25 1970: 347 pl. 299; Michailidou Pappa 1972: 358;  Kanta 1973 : 315-323 fig. 1-3; Kanta 1980: 214-215 fig. 102. 3-4; Godart and Tzedakis 1992: 95; Watrous 1991: 300 pl. 89 b Merousis 2000: 154 pl. 15 n. 118; Spiliotopoulou 2010: 49 pl. 2 n. 8 Langohr 2009: 151-152</w:t>
            </w:r>
          </w:p>
        </w:tc>
      </w:tr>
      <w:tr w:rsidR="00D76105" w:rsidRPr="00D76105" w14:paraId="5EAD186E" w14:textId="77777777" w:rsidTr="00F52D43">
        <w:trPr>
          <w:trHeight w:val="315"/>
        </w:trPr>
        <w:tc>
          <w:tcPr>
            <w:tcW w:w="1034" w:type="dxa"/>
            <w:shd w:val="clear" w:color="auto" w:fill="auto"/>
            <w:noWrap/>
            <w:vAlign w:val="bottom"/>
            <w:hideMark/>
          </w:tcPr>
          <w:p w14:paraId="210C9EDB"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244</w:t>
            </w:r>
          </w:p>
        </w:tc>
        <w:tc>
          <w:tcPr>
            <w:tcW w:w="1128" w:type="dxa"/>
            <w:shd w:val="clear" w:color="auto" w:fill="auto"/>
            <w:noWrap/>
            <w:vAlign w:val="bottom"/>
            <w:hideMark/>
          </w:tcPr>
          <w:p w14:paraId="7C36F299"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MP 2175</w:t>
            </w:r>
          </w:p>
        </w:tc>
        <w:tc>
          <w:tcPr>
            <w:tcW w:w="842" w:type="dxa"/>
            <w:shd w:val="clear" w:color="auto" w:fill="auto"/>
            <w:noWrap/>
            <w:vAlign w:val="bottom"/>
            <w:hideMark/>
          </w:tcPr>
          <w:p w14:paraId="6305DCE1"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T108</w:t>
            </w:r>
          </w:p>
        </w:tc>
        <w:tc>
          <w:tcPr>
            <w:tcW w:w="1785" w:type="dxa"/>
            <w:shd w:val="clear" w:color="auto" w:fill="auto"/>
            <w:noWrap/>
            <w:vAlign w:val="bottom"/>
            <w:hideMark/>
          </w:tcPr>
          <w:p w14:paraId="72F782F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MAROULAS</w:t>
            </w:r>
          </w:p>
        </w:tc>
        <w:tc>
          <w:tcPr>
            <w:tcW w:w="844" w:type="dxa"/>
            <w:shd w:val="clear" w:color="auto" w:fill="auto"/>
            <w:noWrap/>
            <w:vAlign w:val="bottom"/>
            <w:hideMark/>
          </w:tcPr>
          <w:p w14:paraId="1C685F2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6B16325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4D969DD5"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1149</w:t>
            </w:r>
          </w:p>
        </w:tc>
        <w:tc>
          <w:tcPr>
            <w:tcW w:w="6271" w:type="dxa"/>
            <w:shd w:val="clear" w:color="auto" w:fill="auto"/>
            <w:noWrap/>
            <w:vAlign w:val="bottom"/>
            <w:hideMark/>
          </w:tcPr>
          <w:p w14:paraId="2631C707"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29 1973/74: 929; Papapostolou 1974: 248-249, pls.185, b; Kanta 1980: 215;Godart and Tzedakis 1992: 95 pl- 154.1; Merousis 2000: 155  n. 120; Spiliotopoulou 2010: 48 pl. 1 n. 5; Langohr 2009: 150-151</w:t>
            </w:r>
          </w:p>
        </w:tc>
      </w:tr>
      <w:tr w:rsidR="00D76105" w:rsidRPr="00D76105" w14:paraId="7D9D29BB" w14:textId="77777777" w:rsidTr="00F52D43">
        <w:trPr>
          <w:trHeight w:val="315"/>
        </w:trPr>
        <w:tc>
          <w:tcPr>
            <w:tcW w:w="1034" w:type="dxa"/>
            <w:shd w:val="clear" w:color="auto" w:fill="auto"/>
            <w:noWrap/>
            <w:vAlign w:val="bottom"/>
            <w:hideMark/>
          </w:tcPr>
          <w:p w14:paraId="318F1957"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245</w:t>
            </w:r>
          </w:p>
        </w:tc>
        <w:tc>
          <w:tcPr>
            <w:tcW w:w="1128" w:type="dxa"/>
            <w:shd w:val="clear" w:color="auto" w:fill="auto"/>
            <w:noWrap/>
            <w:vAlign w:val="bottom"/>
            <w:hideMark/>
          </w:tcPr>
          <w:p w14:paraId="59CBEF3A"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MΡ 2176</w:t>
            </w:r>
          </w:p>
        </w:tc>
        <w:tc>
          <w:tcPr>
            <w:tcW w:w="842" w:type="dxa"/>
            <w:shd w:val="clear" w:color="auto" w:fill="auto"/>
            <w:noWrap/>
            <w:vAlign w:val="bottom"/>
            <w:hideMark/>
          </w:tcPr>
          <w:p w14:paraId="7FA56EFD"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T108</w:t>
            </w:r>
          </w:p>
        </w:tc>
        <w:tc>
          <w:tcPr>
            <w:tcW w:w="1785" w:type="dxa"/>
            <w:shd w:val="clear" w:color="auto" w:fill="auto"/>
            <w:noWrap/>
            <w:vAlign w:val="bottom"/>
            <w:hideMark/>
          </w:tcPr>
          <w:p w14:paraId="089FE7D5"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MAROULAS</w:t>
            </w:r>
          </w:p>
        </w:tc>
        <w:tc>
          <w:tcPr>
            <w:tcW w:w="844" w:type="dxa"/>
            <w:shd w:val="clear" w:color="auto" w:fill="auto"/>
            <w:noWrap/>
            <w:vAlign w:val="bottom"/>
            <w:hideMark/>
          </w:tcPr>
          <w:p w14:paraId="798D9D0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48CE471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2C8B5CFC"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1149</w:t>
            </w:r>
          </w:p>
        </w:tc>
        <w:tc>
          <w:tcPr>
            <w:tcW w:w="6271" w:type="dxa"/>
            <w:shd w:val="clear" w:color="auto" w:fill="auto"/>
            <w:noWrap/>
            <w:vAlign w:val="bottom"/>
            <w:hideMark/>
          </w:tcPr>
          <w:p w14:paraId="797AF886"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29 1973/74: 929; Papapostolou 1974: 248-249, pls.186, a-b; Kanta 1980: 215; Godart and Tzedakis 1992: 95 pl- 154.1; Merousis 2000: 156  n. 121; Spiliotopoulou 2010: 48 pl. 1 n. 6; Langohr 2009, 150-151</w:t>
            </w:r>
          </w:p>
        </w:tc>
      </w:tr>
      <w:tr w:rsidR="00D76105" w:rsidRPr="00D76105" w14:paraId="7F877236" w14:textId="77777777" w:rsidTr="00F52D43">
        <w:trPr>
          <w:trHeight w:val="315"/>
        </w:trPr>
        <w:tc>
          <w:tcPr>
            <w:tcW w:w="1034" w:type="dxa"/>
            <w:shd w:val="clear" w:color="auto" w:fill="auto"/>
            <w:noWrap/>
            <w:vAlign w:val="bottom"/>
            <w:hideMark/>
          </w:tcPr>
          <w:p w14:paraId="1156F148"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246</w:t>
            </w:r>
          </w:p>
        </w:tc>
        <w:tc>
          <w:tcPr>
            <w:tcW w:w="1128" w:type="dxa"/>
            <w:shd w:val="clear" w:color="auto" w:fill="auto"/>
            <w:noWrap/>
            <w:vAlign w:val="bottom"/>
            <w:hideMark/>
          </w:tcPr>
          <w:p w14:paraId="4F7324DB"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MΡ 2177</w:t>
            </w:r>
          </w:p>
        </w:tc>
        <w:tc>
          <w:tcPr>
            <w:tcW w:w="842" w:type="dxa"/>
            <w:shd w:val="clear" w:color="auto" w:fill="auto"/>
            <w:noWrap/>
            <w:vAlign w:val="bottom"/>
            <w:hideMark/>
          </w:tcPr>
          <w:p w14:paraId="0F59CD43"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T108</w:t>
            </w:r>
          </w:p>
        </w:tc>
        <w:tc>
          <w:tcPr>
            <w:tcW w:w="1785" w:type="dxa"/>
            <w:shd w:val="clear" w:color="auto" w:fill="auto"/>
            <w:noWrap/>
            <w:vAlign w:val="bottom"/>
            <w:hideMark/>
          </w:tcPr>
          <w:p w14:paraId="032445CE"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MAROULAS</w:t>
            </w:r>
          </w:p>
        </w:tc>
        <w:tc>
          <w:tcPr>
            <w:tcW w:w="844" w:type="dxa"/>
            <w:shd w:val="clear" w:color="auto" w:fill="auto"/>
            <w:noWrap/>
            <w:vAlign w:val="bottom"/>
            <w:hideMark/>
          </w:tcPr>
          <w:p w14:paraId="2196A7B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2BAD9E1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3E97553D"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1149</w:t>
            </w:r>
          </w:p>
        </w:tc>
        <w:tc>
          <w:tcPr>
            <w:tcW w:w="6271" w:type="dxa"/>
            <w:shd w:val="clear" w:color="auto" w:fill="auto"/>
            <w:noWrap/>
            <w:vAlign w:val="bottom"/>
            <w:hideMark/>
          </w:tcPr>
          <w:p w14:paraId="4EADE06C"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29 1973/74: 929; Papapostolou 1974: 248-249, pls.187, a-b; Kanta 1980: 215;Godart and Tzedakis 1992: 95 pl- 154.1; Merousis 2000: 155 pl. 16 n. 119; Spiliotopoulou 2010: 48 pl. 2 n. 7; Langohr 2009: 150-151</w:t>
            </w:r>
          </w:p>
        </w:tc>
      </w:tr>
      <w:tr w:rsidR="00D76105" w:rsidRPr="00D76105" w14:paraId="7D705D06" w14:textId="77777777" w:rsidTr="00F52D43">
        <w:trPr>
          <w:trHeight w:val="315"/>
        </w:trPr>
        <w:tc>
          <w:tcPr>
            <w:tcW w:w="1034" w:type="dxa"/>
            <w:shd w:val="clear" w:color="auto" w:fill="auto"/>
            <w:noWrap/>
            <w:vAlign w:val="bottom"/>
            <w:hideMark/>
          </w:tcPr>
          <w:p w14:paraId="0A357FCD"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321</w:t>
            </w:r>
          </w:p>
        </w:tc>
        <w:tc>
          <w:tcPr>
            <w:tcW w:w="1128" w:type="dxa"/>
            <w:shd w:val="clear" w:color="auto" w:fill="auto"/>
            <w:noWrap/>
            <w:vAlign w:val="bottom"/>
            <w:hideMark/>
          </w:tcPr>
          <w:p w14:paraId="41748A74"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842" w:type="dxa"/>
            <w:shd w:val="clear" w:color="auto" w:fill="auto"/>
            <w:noWrap/>
            <w:vAlign w:val="bottom"/>
            <w:hideMark/>
          </w:tcPr>
          <w:p w14:paraId="2EF059B6"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T135</w:t>
            </w:r>
          </w:p>
        </w:tc>
        <w:tc>
          <w:tcPr>
            <w:tcW w:w="1785" w:type="dxa"/>
            <w:shd w:val="clear" w:color="auto" w:fill="auto"/>
            <w:noWrap/>
            <w:vAlign w:val="bottom"/>
            <w:hideMark/>
          </w:tcPr>
          <w:p w14:paraId="55AE5F3A"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MAROULAS MEZARIA</w:t>
            </w:r>
          </w:p>
        </w:tc>
        <w:tc>
          <w:tcPr>
            <w:tcW w:w="844" w:type="dxa"/>
            <w:shd w:val="clear" w:color="auto" w:fill="auto"/>
            <w:noWrap/>
            <w:vAlign w:val="bottom"/>
            <w:hideMark/>
          </w:tcPr>
          <w:p w14:paraId="1D88122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082E4DF3"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73711195"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6271" w:type="dxa"/>
            <w:shd w:val="clear" w:color="auto" w:fill="auto"/>
            <w:noWrap/>
            <w:vAlign w:val="bottom"/>
            <w:hideMark/>
          </w:tcPr>
          <w:p w14:paraId="53BC64B5"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2001-2004:448-449; Papadopoulou 2011: 609-633 fig. 2; AR 2011-2012: 62; Papadopoulou 2017: 131-157</w:t>
            </w:r>
          </w:p>
        </w:tc>
      </w:tr>
      <w:tr w:rsidR="00D76105" w:rsidRPr="00D76105" w14:paraId="566D01D4" w14:textId="77777777" w:rsidTr="00F52D43">
        <w:trPr>
          <w:trHeight w:val="315"/>
        </w:trPr>
        <w:tc>
          <w:tcPr>
            <w:tcW w:w="1034" w:type="dxa"/>
            <w:shd w:val="clear" w:color="auto" w:fill="auto"/>
            <w:noWrap/>
            <w:vAlign w:val="bottom"/>
            <w:hideMark/>
          </w:tcPr>
          <w:p w14:paraId="5AADB740"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324</w:t>
            </w:r>
          </w:p>
        </w:tc>
        <w:tc>
          <w:tcPr>
            <w:tcW w:w="1128" w:type="dxa"/>
            <w:shd w:val="clear" w:color="auto" w:fill="auto"/>
            <w:noWrap/>
            <w:vAlign w:val="bottom"/>
            <w:hideMark/>
          </w:tcPr>
          <w:p w14:paraId="555BE6B1"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842" w:type="dxa"/>
            <w:shd w:val="clear" w:color="auto" w:fill="auto"/>
            <w:noWrap/>
            <w:vAlign w:val="bottom"/>
            <w:hideMark/>
          </w:tcPr>
          <w:p w14:paraId="41AE0957"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T138</w:t>
            </w:r>
          </w:p>
        </w:tc>
        <w:tc>
          <w:tcPr>
            <w:tcW w:w="1785" w:type="dxa"/>
            <w:shd w:val="clear" w:color="auto" w:fill="auto"/>
            <w:noWrap/>
            <w:vAlign w:val="bottom"/>
            <w:hideMark/>
          </w:tcPr>
          <w:p w14:paraId="4CA91DCE"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MAROULAS MEZARIA</w:t>
            </w:r>
          </w:p>
        </w:tc>
        <w:tc>
          <w:tcPr>
            <w:tcW w:w="844" w:type="dxa"/>
            <w:shd w:val="clear" w:color="auto" w:fill="auto"/>
            <w:noWrap/>
            <w:vAlign w:val="bottom"/>
            <w:hideMark/>
          </w:tcPr>
          <w:p w14:paraId="0EE94174"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2580BBE9"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56B5990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6271" w:type="dxa"/>
            <w:shd w:val="clear" w:color="auto" w:fill="auto"/>
            <w:noWrap/>
            <w:vAlign w:val="bottom"/>
            <w:hideMark/>
          </w:tcPr>
          <w:p w14:paraId="0FBCBB60"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2001-2004: 449; Papadopoulou 2011: 609-633 fig. 3; AR 2011-2012: 62; Papadopoulou 2017: 131-157</w:t>
            </w:r>
          </w:p>
        </w:tc>
      </w:tr>
      <w:tr w:rsidR="00D76105" w:rsidRPr="00D76105" w14:paraId="4F8AD747" w14:textId="77777777" w:rsidTr="00F52D43">
        <w:trPr>
          <w:trHeight w:val="315"/>
        </w:trPr>
        <w:tc>
          <w:tcPr>
            <w:tcW w:w="1034" w:type="dxa"/>
            <w:shd w:val="clear" w:color="auto" w:fill="auto"/>
            <w:noWrap/>
            <w:vAlign w:val="bottom"/>
            <w:hideMark/>
          </w:tcPr>
          <w:p w14:paraId="2EEC0572"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326</w:t>
            </w:r>
          </w:p>
        </w:tc>
        <w:tc>
          <w:tcPr>
            <w:tcW w:w="1128" w:type="dxa"/>
            <w:shd w:val="clear" w:color="auto" w:fill="auto"/>
            <w:noWrap/>
            <w:vAlign w:val="bottom"/>
            <w:hideMark/>
          </w:tcPr>
          <w:p w14:paraId="2F99C1AE"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842" w:type="dxa"/>
            <w:shd w:val="clear" w:color="auto" w:fill="auto"/>
            <w:noWrap/>
            <w:vAlign w:val="bottom"/>
            <w:hideMark/>
          </w:tcPr>
          <w:p w14:paraId="38A7ECD4"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T139</w:t>
            </w:r>
          </w:p>
        </w:tc>
        <w:tc>
          <w:tcPr>
            <w:tcW w:w="1785" w:type="dxa"/>
            <w:shd w:val="clear" w:color="auto" w:fill="auto"/>
            <w:noWrap/>
            <w:vAlign w:val="bottom"/>
            <w:hideMark/>
          </w:tcPr>
          <w:p w14:paraId="1D3558D6"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MAROULAS MEZARIA</w:t>
            </w:r>
          </w:p>
        </w:tc>
        <w:tc>
          <w:tcPr>
            <w:tcW w:w="844" w:type="dxa"/>
            <w:shd w:val="clear" w:color="auto" w:fill="auto"/>
            <w:noWrap/>
            <w:vAlign w:val="bottom"/>
            <w:hideMark/>
          </w:tcPr>
          <w:p w14:paraId="229DB8B9"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17C466C7"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64A7A467"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6271" w:type="dxa"/>
            <w:shd w:val="clear" w:color="auto" w:fill="auto"/>
            <w:noWrap/>
            <w:vAlign w:val="bottom"/>
            <w:hideMark/>
          </w:tcPr>
          <w:p w14:paraId="0E5AE18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2001-2004: 449; Papadopoulou 2011: 609-633 fig. 4; AR 2011-2012: 62; Papadopoulou 2017: 131-157, fig.8.</w:t>
            </w:r>
          </w:p>
        </w:tc>
      </w:tr>
      <w:tr w:rsidR="00D76105" w:rsidRPr="00D76105" w14:paraId="478C8255" w14:textId="77777777" w:rsidTr="00F52D43">
        <w:trPr>
          <w:trHeight w:val="315"/>
        </w:trPr>
        <w:tc>
          <w:tcPr>
            <w:tcW w:w="1034" w:type="dxa"/>
            <w:shd w:val="clear" w:color="auto" w:fill="auto"/>
            <w:noWrap/>
            <w:vAlign w:val="bottom"/>
            <w:hideMark/>
          </w:tcPr>
          <w:p w14:paraId="1C719377"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922</w:t>
            </w:r>
          </w:p>
        </w:tc>
        <w:tc>
          <w:tcPr>
            <w:tcW w:w="1128" w:type="dxa"/>
            <w:shd w:val="clear" w:color="auto" w:fill="auto"/>
            <w:noWrap/>
            <w:vAlign w:val="bottom"/>
            <w:hideMark/>
          </w:tcPr>
          <w:p w14:paraId="4C32F972"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842" w:type="dxa"/>
            <w:shd w:val="clear" w:color="auto" w:fill="auto"/>
            <w:noWrap/>
            <w:vAlign w:val="bottom"/>
            <w:hideMark/>
          </w:tcPr>
          <w:p w14:paraId="5A98739D"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T397</w:t>
            </w:r>
          </w:p>
        </w:tc>
        <w:tc>
          <w:tcPr>
            <w:tcW w:w="1785" w:type="dxa"/>
            <w:shd w:val="clear" w:color="auto" w:fill="auto"/>
            <w:noWrap/>
            <w:vAlign w:val="bottom"/>
            <w:hideMark/>
          </w:tcPr>
          <w:p w14:paraId="259828C6"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MELIDONI</w:t>
            </w:r>
          </w:p>
        </w:tc>
        <w:tc>
          <w:tcPr>
            <w:tcW w:w="844" w:type="dxa"/>
            <w:shd w:val="clear" w:color="auto" w:fill="auto"/>
            <w:noWrap/>
            <w:vAlign w:val="bottom"/>
            <w:hideMark/>
          </w:tcPr>
          <w:p w14:paraId="59610C7E"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7B29326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7680C56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6271" w:type="dxa"/>
            <w:shd w:val="clear" w:color="auto" w:fill="auto"/>
            <w:noWrap/>
            <w:vAlign w:val="bottom"/>
            <w:hideMark/>
          </w:tcPr>
          <w:p w14:paraId="45221500"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Karamaliki 2006: 153-181</w:t>
            </w:r>
          </w:p>
        </w:tc>
      </w:tr>
      <w:tr w:rsidR="00D76105" w:rsidRPr="00D76105" w14:paraId="4B13975A" w14:textId="77777777" w:rsidTr="00F52D43">
        <w:trPr>
          <w:trHeight w:val="315"/>
        </w:trPr>
        <w:tc>
          <w:tcPr>
            <w:tcW w:w="1034" w:type="dxa"/>
            <w:shd w:val="clear" w:color="auto" w:fill="auto"/>
            <w:noWrap/>
            <w:vAlign w:val="bottom"/>
            <w:hideMark/>
          </w:tcPr>
          <w:p w14:paraId="7470CED8"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249</w:t>
            </w:r>
          </w:p>
        </w:tc>
        <w:tc>
          <w:tcPr>
            <w:tcW w:w="1128" w:type="dxa"/>
            <w:shd w:val="clear" w:color="auto" w:fill="auto"/>
            <w:noWrap/>
            <w:vAlign w:val="bottom"/>
            <w:hideMark/>
          </w:tcPr>
          <w:p w14:paraId="26BC17C0"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2385</w:t>
            </w:r>
          </w:p>
        </w:tc>
        <w:tc>
          <w:tcPr>
            <w:tcW w:w="842" w:type="dxa"/>
            <w:shd w:val="clear" w:color="auto" w:fill="auto"/>
            <w:noWrap/>
            <w:vAlign w:val="bottom"/>
            <w:hideMark/>
          </w:tcPr>
          <w:p w14:paraId="18E7EE27"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T369</w:t>
            </w:r>
          </w:p>
        </w:tc>
        <w:tc>
          <w:tcPr>
            <w:tcW w:w="1785" w:type="dxa"/>
            <w:shd w:val="clear" w:color="auto" w:fill="auto"/>
            <w:noWrap/>
            <w:vAlign w:val="bottom"/>
            <w:hideMark/>
          </w:tcPr>
          <w:p w14:paraId="14A81A00"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MESI</w:t>
            </w:r>
          </w:p>
        </w:tc>
        <w:tc>
          <w:tcPr>
            <w:tcW w:w="844" w:type="dxa"/>
            <w:shd w:val="clear" w:color="auto" w:fill="auto"/>
            <w:noWrap/>
            <w:vAlign w:val="bottom"/>
            <w:hideMark/>
          </w:tcPr>
          <w:p w14:paraId="0FFA1E9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097416E5"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459EFDB9"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6271" w:type="dxa"/>
            <w:shd w:val="clear" w:color="auto" w:fill="auto"/>
            <w:noWrap/>
            <w:vAlign w:val="bottom"/>
            <w:hideMark/>
          </w:tcPr>
          <w:p w14:paraId="7F787453"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Kanta 1980 :215 ; Mavriyannaki 1972 : 28, 47-55, pl. VIII-XI; Merousis 2000: 158-159 n. 127; Spiliotopoulou 2010: 49-50 n. 12; Langohr 2009: 152</w:t>
            </w:r>
          </w:p>
        </w:tc>
      </w:tr>
      <w:tr w:rsidR="00D76105" w:rsidRPr="00D76105" w14:paraId="590DA892" w14:textId="77777777" w:rsidTr="00F52D43">
        <w:trPr>
          <w:trHeight w:val="315"/>
        </w:trPr>
        <w:tc>
          <w:tcPr>
            <w:tcW w:w="1034" w:type="dxa"/>
            <w:shd w:val="clear" w:color="auto" w:fill="auto"/>
            <w:noWrap/>
            <w:vAlign w:val="bottom"/>
            <w:hideMark/>
          </w:tcPr>
          <w:p w14:paraId="49A233A2"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250</w:t>
            </w:r>
          </w:p>
        </w:tc>
        <w:tc>
          <w:tcPr>
            <w:tcW w:w="1128" w:type="dxa"/>
            <w:shd w:val="clear" w:color="auto" w:fill="auto"/>
            <w:noWrap/>
            <w:vAlign w:val="bottom"/>
            <w:hideMark/>
          </w:tcPr>
          <w:p w14:paraId="6EA3A2D1"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504</w:t>
            </w:r>
          </w:p>
        </w:tc>
        <w:tc>
          <w:tcPr>
            <w:tcW w:w="842" w:type="dxa"/>
            <w:shd w:val="clear" w:color="auto" w:fill="auto"/>
            <w:noWrap/>
            <w:vAlign w:val="bottom"/>
            <w:hideMark/>
          </w:tcPr>
          <w:p w14:paraId="16AA2B62"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T369</w:t>
            </w:r>
          </w:p>
        </w:tc>
        <w:tc>
          <w:tcPr>
            <w:tcW w:w="1785" w:type="dxa"/>
            <w:shd w:val="clear" w:color="auto" w:fill="auto"/>
            <w:noWrap/>
            <w:vAlign w:val="bottom"/>
            <w:hideMark/>
          </w:tcPr>
          <w:p w14:paraId="194F010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MESI</w:t>
            </w:r>
          </w:p>
        </w:tc>
        <w:tc>
          <w:tcPr>
            <w:tcW w:w="844" w:type="dxa"/>
            <w:shd w:val="clear" w:color="auto" w:fill="auto"/>
            <w:noWrap/>
            <w:vAlign w:val="bottom"/>
            <w:hideMark/>
          </w:tcPr>
          <w:p w14:paraId="06E74CC0"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0</w:t>
            </w:r>
          </w:p>
        </w:tc>
        <w:tc>
          <w:tcPr>
            <w:tcW w:w="533" w:type="dxa"/>
            <w:shd w:val="clear" w:color="auto" w:fill="auto"/>
            <w:noWrap/>
            <w:vAlign w:val="bottom"/>
            <w:hideMark/>
          </w:tcPr>
          <w:p w14:paraId="7278281B"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w:t>
            </w:r>
          </w:p>
        </w:tc>
        <w:tc>
          <w:tcPr>
            <w:tcW w:w="747" w:type="dxa"/>
            <w:shd w:val="clear" w:color="auto" w:fill="auto"/>
            <w:noWrap/>
            <w:vAlign w:val="bottom"/>
            <w:hideMark/>
          </w:tcPr>
          <w:p w14:paraId="06A7832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6271" w:type="dxa"/>
            <w:shd w:val="clear" w:color="auto" w:fill="auto"/>
            <w:noWrap/>
            <w:vAlign w:val="bottom"/>
            <w:hideMark/>
          </w:tcPr>
          <w:p w14:paraId="635F4602"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Joubin 1892: 295-297 pl. 1; Kanta 1980 :215 ; Mavriyannaki 1972 : 28, 55-57, pl. XII;  Merousis 2000: 158 n. 126; Spiliotopoulou 2010: 50 n. 13; Langohr 2009: 152</w:t>
            </w:r>
          </w:p>
        </w:tc>
      </w:tr>
      <w:tr w:rsidR="00D76105" w:rsidRPr="00D76105" w14:paraId="00957D52" w14:textId="77777777" w:rsidTr="00F52D43">
        <w:trPr>
          <w:trHeight w:val="315"/>
        </w:trPr>
        <w:tc>
          <w:tcPr>
            <w:tcW w:w="1034" w:type="dxa"/>
            <w:shd w:val="clear" w:color="auto" w:fill="auto"/>
            <w:noWrap/>
            <w:vAlign w:val="bottom"/>
            <w:hideMark/>
          </w:tcPr>
          <w:p w14:paraId="7C08CDD0"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248</w:t>
            </w:r>
          </w:p>
        </w:tc>
        <w:tc>
          <w:tcPr>
            <w:tcW w:w="1128" w:type="dxa"/>
            <w:shd w:val="clear" w:color="auto" w:fill="auto"/>
            <w:noWrap/>
            <w:vAlign w:val="bottom"/>
            <w:hideMark/>
          </w:tcPr>
          <w:p w14:paraId="78CCB087"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2387</w:t>
            </w:r>
          </w:p>
        </w:tc>
        <w:tc>
          <w:tcPr>
            <w:tcW w:w="842" w:type="dxa"/>
            <w:shd w:val="clear" w:color="auto" w:fill="auto"/>
            <w:noWrap/>
            <w:vAlign w:val="bottom"/>
            <w:hideMark/>
          </w:tcPr>
          <w:p w14:paraId="5F9D1092"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T114</w:t>
            </w:r>
          </w:p>
        </w:tc>
        <w:tc>
          <w:tcPr>
            <w:tcW w:w="1785" w:type="dxa"/>
            <w:shd w:val="clear" w:color="auto" w:fill="auto"/>
            <w:noWrap/>
            <w:vAlign w:val="bottom"/>
            <w:hideMark/>
          </w:tcPr>
          <w:p w14:paraId="27918FAD"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MONI ARSANI</w:t>
            </w:r>
          </w:p>
        </w:tc>
        <w:tc>
          <w:tcPr>
            <w:tcW w:w="844" w:type="dxa"/>
            <w:shd w:val="clear" w:color="auto" w:fill="auto"/>
            <w:noWrap/>
            <w:vAlign w:val="bottom"/>
            <w:hideMark/>
          </w:tcPr>
          <w:p w14:paraId="1641A323"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6F1C2D89"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270BC6F9"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1159</w:t>
            </w:r>
          </w:p>
        </w:tc>
        <w:tc>
          <w:tcPr>
            <w:tcW w:w="6271" w:type="dxa"/>
            <w:shd w:val="clear" w:color="auto" w:fill="auto"/>
            <w:noWrap/>
            <w:vAlign w:val="bottom"/>
            <w:hideMark/>
          </w:tcPr>
          <w:p w14:paraId="09DD0F02"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AA 1942: 199;  Hood et al. 1964: 66 n. 8; Mavriyannaki 1972: 22-28, 44- 47 pl. 4-7; Godart and Tzedakis 1992: 94; Langohr 2009:157</w:t>
            </w:r>
          </w:p>
        </w:tc>
      </w:tr>
      <w:tr w:rsidR="00D76105" w:rsidRPr="00D76105" w14:paraId="176BD006" w14:textId="77777777" w:rsidTr="00F52D43">
        <w:trPr>
          <w:trHeight w:val="315"/>
        </w:trPr>
        <w:tc>
          <w:tcPr>
            <w:tcW w:w="1034" w:type="dxa"/>
            <w:shd w:val="clear" w:color="auto" w:fill="auto"/>
            <w:noWrap/>
            <w:vAlign w:val="bottom"/>
            <w:hideMark/>
          </w:tcPr>
          <w:p w14:paraId="01F5721C"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27</w:t>
            </w:r>
          </w:p>
        </w:tc>
        <w:tc>
          <w:tcPr>
            <w:tcW w:w="1128" w:type="dxa"/>
            <w:shd w:val="clear" w:color="auto" w:fill="auto"/>
            <w:noWrap/>
            <w:vAlign w:val="bottom"/>
            <w:hideMark/>
          </w:tcPr>
          <w:p w14:paraId="40273BF1"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MR3360</w:t>
            </w:r>
          </w:p>
        </w:tc>
        <w:tc>
          <w:tcPr>
            <w:tcW w:w="842" w:type="dxa"/>
            <w:shd w:val="clear" w:color="auto" w:fill="auto"/>
            <w:noWrap/>
            <w:vAlign w:val="bottom"/>
            <w:hideMark/>
          </w:tcPr>
          <w:p w14:paraId="3C33727D"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T15</w:t>
            </w:r>
          </w:p>
        </w:tc>
        <w:tc>
          <w:tcPr>
            <w:tcW w:w="1785" w:type="dxa"/>
            <w:shd w:val="clear" w:color="auto" w:fill="auto"/>
            <w:noWrap/>
            <w:vAlign w:val="bottom"/>
            <w:hideMark/>
          </w:tcPr>
          <w:p w14:paraId="1CBC0027"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PANKALOCHORI</w:t>
            </w:r>
          </w:p>
        </w:tc>
        <w:tc>
          <w:tcPr>
            <w:tcW w:w="844" w:type="dxa"/>
            <w:shd w:val="clear" w:color="auto" w:fill="auto"/>
            <w:noWrap/>
            <w:vAlign w:val="bottom"/>
            <w:hideMark/>
          </w:tcPr>
          <w:p w14:paraId="735E8A5E"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0CEF2CD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4E96FA5C"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1161</w:t>
            </w:r>
          </w:p>
        </w:tc>
        <w:tc>
          <w:tcPr>
            <w:tcW w:w="6271" w:type="dxa"/>
            <w:shd w:val="clear" w:color="auto" w:fill="auto"/>
            <w:noWrap/>
            <w:vAlign w:val="bottom"/>
            <w:hideMark/>
          </w:tcPr>
          <w:p w14:paraId="110F6A40"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38 1983: 31; BCH 114 1990: 832; Godart and Tzedakis 1992: 97; Baxevani and Markoulaki 1996: 641-703 fi. 32-34;Langohr 2009: 153-15</w:t>
            </w:r>
          </w:p>
        </w:tc>
      </w:tr>
      <w:tr w:rsidR="00D76105" w:rsidRPr="00D76105" w14:paraId="0A94E06B" w14:textId="77777777" w:rsidTr="00F52D43">
        <w:trPr>
          <w:trHeight w:val="315"/>
        </w:trPr>
        <w:tc>
          <w:tcPr>
            <w:tcW w:w="1034" w:type="dxa"/>
            <w:shd w:val="clear" w:color="auto" w:fill="auto"/>
            <w:noWrap/>
            <w:vAlign w:val="bottom"/>
            <w:hideMark/>
          </w:tcPr>
          <w:p w14:paraId="1E18478E"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28</w:t>
            </w:r>
          </w:p>
        </w:tc>
        <w:tc>
          <w:tcPr>
            <w:tcW w:w="1128" w:type="dxa"/>
            <w:shd w:val="clear" w:color="auto" w:fill="auto"/>
            <w:noWrap/>
            <w:vAlign w:val="bottom"/>
            <w:hideMark/>
          </w:tcPr>
          <w:p w14:paraId="247DD01B"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3359</w:t>
            </w:r>
          </w:p>
        </w:tc>
        <w:tc>
          <w:tcPr>
            <w:tcW w:w="842" w:type="dxa"/>
            <w:shd w:val="clear" w:color="auto" w:fill="auto"/>
            <w:noWrap/>
            <w:vAlign w:val="bottom"/>
            <w:hideMark/>
          </w:tcPr>
          <w:p w14:paraId="09A55429"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T15</w:t>
            </w:r>
          </w:p>
        </w:tc>
        <w:tc>
          <w:tcPr>
            <w:tcW w:w="1785" w:type="dxa"/>
            <w:shd w:val="clear" w:color="auto" w:fill="auto"/>
            <w:noWrap/>
            <w:vAlign w:val="bottom"/>
            <w:hideMark/>
          </w:tcPr>
          <w:p w14:paraId="269A4CC9"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PANKALOCHORI</w:t>
            </w:r>
          </w:p>
        </w:tc>
        <w:tc>
          <w:tcPr>
            <w:tcW w:w="844" w:type="dxa"/>
            <w:shd w:val="clear" w:color="auto" w:fill="auto"/>
            <w:noWrap/>
            <w:vAlign w:val="bottom"/>
            <w:hideMark/>
          </w:tcPr>
          <w:p w14:paraId="0880951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47E42D35"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17A71748"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1161</w:t>
            </w:r>
          </w:p>
        </w:tc>
        <w:tc>
          <w:tcPr>
            <w:tcW w:w="6271" w:type="dxa"/>
            <w:shd w:val="clear" w:color="auto" w:fill="auto"/>
            <w:noWrap/>
            <w:vAlign w:val="bottom"/>
            <w:hideMark/>
          </w:tcPr>
          <w:p w14:paraId="0034F482"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38 1983: 31; BCH 114 1990: 832; Godart and Tzedakis 1992: 97; Baxevani and Markoulaki 1996: 641-703 fig. 36-39; Langohr 2009: 153-15</w:t>
            </w:r>
          </w:p>
        </w:tc>
      </w:tr>
      <w:tr w:rsidR="00D76105" w:rsidRPr="00D76105" w14:paraId="7C2BC59F" w14:textId="77777777" w:rsidTr="00F52D43">
        <w:trPr>
          <w:trHeight w:val="315"/>
        </w:trPr>
        <w:tc>
          <w:tcPr>
            <w:tcW w:w="1034" w:type="dxa"/>
            <w:shd w:val="clear" w:color="auto" w:fill="auto"/>
            <w:noWrap/>
            <w:vAlign w:val="bottom"/>
            <w:hideMark/>
          </w:tcPr>
          <w:p w14:paraId="0C721D67"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29</w:t>
            </w:r>
          </w:p>
        </w:tc>
        <w:tc>
          <w:tcPr>
            <w:tcW w:w="1128" w:type="dxa"/>
            <w:shd w:val="clear" w:color="auto" w:fill="auto"/>
            <w:noWrap/>
            <w:vAlign w:val="bottom"/>
            <w:hideMark/>
          </w:tcPr>
          <w:p w14:paraId="10DEA093"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3358</w:t>
            </w:r>
          </w:p>
        </w:tc>
        <w:tc>
          <w:tcPr>
            <w:tcW w:w="842" w:type="dxa"/>
            <w:shd w:val="clear" w:color="auto" w:fill="auto"/>
            <w:noWrap/>
            <w:vAlign w:val="bottom"/>
            <w:hideMark/>
          </w:tcPr>
          <w:p w14:paraId="47C2D96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T15</w:t>
            </w:r>
          </w:p>
        </w:tc>
        <w:tc>
          <w:tcPr>
            <w:tcW w:w="1785" w:type="dxa"/>
            <w:shd w:val="clear" w:color="auto" w:fill="auto"/>
            <w:noWrap/>
            <w:vAlign w:val="bottom"/>
            <w:hideMark/>
          </w:tcPr>
          <w:p w14:paraId="191B51F6"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PANKALOCHORI</w:t>
            </w:r>
          </w:p>
        </w:tc>
        <w:tc>
          <w:tcPr>
            <w:tcW w:w="844" w:type="dxa"/>
            <w:shd w:val="clear" w:color="auto" w:fill="auto"/>
            <w:noWrap/>
            <w:vAlign w:val="bottom"/>
            <w:hideMark/>
          </w:tcPr>
          <w:p w14:paraId="4824026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287D714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6F6E8ECC"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1161</w:t>
            </w:r>
          </w:p>
        </w:tc>
        <w:tc>
          <w:tcPr>
            <w:tcW w:w="6271" w:type="dxa"/>
            <w:shd w:val="clear" w:color="auto" w:fill="auto"/>
            <w:noWrap/>
            <w:vAlign w:val="bottom"/>
            <w:hideMark/>
          </w:tcPr>
          <w:p w14:paraId="7F690D2F"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38 1983: 31; BCH 114 1990: 832; Godart and Tzedakis 1992: 97; Baxevani and Markoulaki 1996: 641-703 fig. 40-43; Langohr 2009: 153-155</w:t>
            </w:r>
          </w:p>
        </w:tc>
      </w:tr>
      <w:tr w:rsidR="00D76105" w:rsidRPr="00D76105" w14:paraId="283546A0" w14:textId="77777777" w:rsidTr="00F52D43">
        <w:trPr>
          <w:trHeight w:val="315"/>
        </w:trPr>
        <w:tc>
          <w:tcPr>
            <w:tcW w:w="1034" w:type="dxa"/>
            <w:shd w:val="clear" w:color="auto" w:fill="auto"/>
            <w:noWrap/>
            <w:vAlign w:val="bottom"/>
            <w:hideMark/>
          </w:tcPr>
          <w:p w14:paraId="36496736"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372</w:t>
            </w:r>
          </w:p>
        </w:tc>
        <w:tc>
          <w:tcPr>
            <w:tcW w:w="1128" w:type="dxa"/>
            <w:shd w:val="clear" w:color="auto" w:fill="auto"/>
            <w:noWrap/>
            <w:vAlign w:val="bottom"/>
            <w:hideMark/>
          </w:tcPr>
          <w:p w14:paraId="39096599"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842" w:type="dxa"/>
            <w:shd w:val="clear" w:color="auto" w:fill="auto"/>
            <w:noWrap/>
            <w:vAlign w:val="bottom"/>
            <w:hideMark/>
          </w:tcPr>
          <w:p w14:paraId="388B7666"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T157</w:t>
            </w:r>
          </w:p>
        </w:tc>
        <w:tc>
          <w:tcPr>
            <w:tcW w:w="1785" w:type="dxa"/>
            <w:shd w:val="clear" w:color="auto" w:fill="auto"/>
            <w:noWrap/>
            <w:vAlign w:val="bottom"/>
            <w:hideMark/>
          </w:tcPr>
          <w:p w14:paraId="5949FC66"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PIGI</w:t>
            </w:r>
          </w:p>
        </w:tc>
        <w:tc>
          <w:tcPr>
            <w:tcW w:w="844" w:type="dxa"/>
            <w:shd w:val="clear" w:color="auto" w:fill="auto"/>
            <w:noWrap/>
            <w:vAlign w:val="bottom"/>
            <w:hideMark/>
          </w:tcPr>
          <w:p w14:paraId="0664AAA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5EF2803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182E5BE9"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 -</w:t>
            </w:r>
          </w:p>
        </w:tc>
        <w:tc>
          <w:tcPr>
            <w:tcW w:w="6271" w:type="dxa"/>
            <w:shd w:val="clear" w:color="auto" w:fill="auto"/>
            <w:noWrap/>
            <w:vAlign w:val="bottom"/>
            <w:hideMark/>
          </w:tcPr>
          <w:p w14:paraId="4588B284"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Epaminondas 2010:  476-89; AR 2009-2010, 189, fig. 193</w:t>
            </w:r>
          </w:p>
        </w:tc>
      </w:tr>
      <w:tr w:rsidR="00D76105" w:rsidRPr="00D76105" w14:paraId="5650BE6D" w14:textId="77777777" w:rsidTr="00F52D43">
        <w:trPr>
          <w:trHeight w:val="315"/>
        </w:trPr>
        <w:tc>
          <w:tcPr>
            <w:tcW w:w="1034" w:type="dxa"/>
            <w:shd w:val="clear" w:color="auto" w:fill="auto"/>
            <w:noWrap/>
            <w:vAlign w:val="bottom"/>
            <w:hideMark/>
          </w:tcPr>
          <w:p w14:paraId="1EE32558"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374</w:t>
            </w:r>
          </w:p>
        </w:tc>
        <w:tc>
          <w:tcPr>
            <w:tcW w:w="1128" w:type="dxa"/>
            <w:shd w:val="clear" w:color="auto" w:fill="auto"/>
            <w:noWrap/>
            <w:vAlign w:val="bottom"/>
            <w:hideMark/>
          </w:tcPr>
          <w:p w14:paraId="0B1C63CF"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1696</w:t>
            </w:r>
          </w:p>
        </w:tc>
        <w:tc>
          <w:tcPr>
            <w:tcW w:w="842" w:type="dxa"/>
            <w:shd w:val="clear" w:color="auto" w:fill="auto"/>
            <w:noWrap/>
            <w:vAlign w:val="bottom"/>
            <w:hideMark/>
          </w:tcPr>
          <w:p w14:paraId="5B2DB093"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T159</w:t>
            </w:r>
          </w:p>
        </w:tc>
        <w:tc>
          <w:tcPr>
            <w:tcW w:w="1785" w:type="dxa"/>
            <w:shd w:val="clear" w:color="auto" w:fill="auto"/>
            <w:noWrap/>
            <w:vAlign w:val="bottom"/>
            <w:hideMark/>
          </w:tcPr>
          <w:p w14:paraId="02DBCFF9"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PIGI</w:t>
            </w:r>
          </w:p>
        </w:tc>
        <w:tc>
          <w:tcPr>
            <w:tcW w:w="844" w:type="dxa"/>
            <w:shd w:val="clear" w:color="auto" w:fill="auto"/>
            <w:noWrap/>
            <w:vAlign w:val="bottom"/>
            <w:hideMark/>
          </w:tcPr>
          <w:p w14:paraId="45C62B65"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5E7B946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45F9855E"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1164</w:t>
            </w:r>
          </w:p>
        </w:tc>
        <w:tc>
          <w:tcPr>
            <w:tcW w:w="6271" w:type="dxa"/>
            <w:shd w:val="clear" w:color="auto" w:fill="auto"/>
            <w:noWrap/>
            <w:vAlign w:val="bottom"/>
            <w:hideMark/>
          </w:tcPr>
          <w:p w14:paraId="107E3F5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Baxevani 1995: 16-33; KChr 21 1969: 543; ADelt 24 1969: 435-36, pl.443; ADelt 25 1970: 476; AR 17 1970-1: 32; BCH 95 1971: 1063, figs. 566-71; Mavriyannaki 1972: 28-29; Hiller 1977:199-200; Schachermeyr 1979b:342-43; Kanta 1980: 212; Popham 1980:167; Godart and Tzedakis 1992: 98; Merousis 2000: 175-176 pl. 19 n. 168; Spiliotopoulu 2008: 50-51 pl. 3 n. 16; Langohr 2009: 152-153</w:t>
            </w:r>
          </w:p>
        </w:tc>
      </w:tr>
      <w:tr w:rsidR="00D76105" w:rsidRPr="00D76105" w14:paraId="497A36B0" w14:textId="77777777" w:rsidTr="00F52D43">
        <w:trPr>
          <w:trHeight w:val="315"/>
        </w:trPr>
        <w:tc>
          <w:tcPr>
            <w:tcW w:w="1034" w:type="dxa"/>
            <w:shd w:val="clear" w:color="auto" w:fill="auto"/>
            <w:noWrap/>
            <w:vAlign w:val="bottom"/>
            <w:hideMark/>
          </w:tcPr>
          <w:p w14:paraId="72A642EC"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375</w:t>
            </w:r>
          </w:p>
        </w:tc>
        <w:tc>
          <w:tcPr>
            <w:tcW w:w="1128" w:type="dxa"/>
            <w:shd w:val="clear" w:color="auto" w:fill="auto"/>
            <w:noWrap/>
            <w:vAlign w:val="bottom"/>
            <w:hideMark/>
          </w:tcPr>
          <w:p w14:paraId="6F624414"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MC 1699</w:t>
            </w:r>
          </w:p>
        </w:tc>
        <w:tc>
          <w:tcPr>
            <w:tcW w:w="842" w:type="dxa"/>
            <w:shd w:val="clear" w:color="auto" w:fill="auto"/>
            <w:noWrap/>
            <w:vAlign w:val="bottom"/>
            <w:hideMark/>
          </w:tcPr>
          <w:p w14:paraId="27DAA64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T159</w:t>
            </w:r>
          </w:p>
        </w:tc>
        <w:tc>
          <w:tcPr>
            <w:tcW w:w="1785" w:type="dxa"/>
            <w:shd w:val="clear" w:color="auto" w:fill="auto"/>
            <w:noWrap/>
            <w:vAlign w:val="bottom"/>
            <w:hideMark/>
          </w:tcPr>
          <w:p w14:paraId="0A29EB1B"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PIGI</w:t>
            </w:r>
          </w:p>
        </w:tc>
        <w:tc>
          <w:tcPr>
            <w:tcW w:w="844" w:type="dxa"/>
            <w:shd w:val="clear" w:color="auto" w:fill="auto"/>
            <w:noWrap/>
            <w:vAlign w:val="bottom"/>
            <w:hideMark/>
          </w:tcPr>
          <w:p w14:paraId="052D213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2F5FC32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07CE5AEE"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1164</w:t>
            </w:r>
          </w:p>
        </w:tc>
        <w:tc>
          <w:tcPr>
            <w:tcW w:w="6271" w:type="dxa"/>
            <w:shd w:val="clear" w:color="auto" w:fill="auto"/>
            <w:noWrap/>
            <w:vAlign w:val="bottom"/>
            <w:hideMark/>
          </w:tcPr>
          <w:p w14:paraId="128312F0"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 xml:space="preserve">KChr 21 1969: 543; ADelt 24 1969: 435-36, pl.443; ADelt 25 1970: 476; AR 17 1970-1: 32; BCH 95 1971: 1063, figs. 566-71; Mavriyannaki 1972: 28-29; Hiller 1977:199-200; Schachermeyr 1979b:342-43; Kanta 1980:212; Popham 1980:167; Godart and Tzedakis 1992: 98; Merousis 2000: 177 n. 170; Merousis 2000: 176 n. 169 Spiliotopoulu 2008: 50-51 pl. 3 n. 17; Langohr 2009: 152-153: </w:t>
            </w:r>
          </w:p>
        </w:tc>
      </w:tr>
      <w:tr w:rsidR="00D76105" w:rsidRPr="00D76105" w14:paraId="5212A6CC" w14:textId="77777777" w:rsidTr="00F52D43">
        <w:trPr>
          <w:trHeight w:val="315"/>
        </w:trPr>
        <w:tc>
          <w:tcPr>
            <w:tcW w:w="1034" w:type="dxa"/>
            <w:shd w:val="clear" w:color="auto" w:fill="auto"/>
            <w:noWrap/>
            <w:vAlign w:val="bottom"/>
            <w:hideMark/>
          </w:tcPr>
          <w:p w14:paraId="7090CBEF"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349</w:t>
            </w:r>
          </w:p>
        </w:tc>
        <w:tc>
          <w:tcPr>
            <w:tcW w:w="1128" w:type="dxa"/>
            <w:shd w:val="clear" w:color="auto" w:fill="auto"/>
            <w:noWrap/>
            <w:vAlign w:val="bottom"/>
            <w:hideMark/>
          </w:tcPr>
          <w:p w14:paraId="7DEC9365"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2358</w:t>
            </w:r>
          </w:p>
        </w:tc>
        <w:tc>
          <w:tcPr>
            <w:tcW w:w="842" w:type="dxa"/>
            <w:shd w:val="clear" w:color="auto" w:fill="auto"/>
            <w:noWrap/>
            <w:vAlign w:val="bottom"/>
            <w:hideMark/>
          </w:tcPr>
          <w:p w14:paraId="77DF8864"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T153</w:t>
            </w:r>
          </w:p>
        </w:tc>
        <w:tc>
          <w:tcPr>
            <w:tcW w:w="1785" w:type="dxa"/>
            <w:shd w:val="clear" w:color="auto" w:fill="auto"/>
            <w:noWrap/>
            <w:vAlign w:val="bottom"/>
            <w:hideMark/>
          </w:tcPr>
          <w:p w14:paraId="55806A86"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STAVROMENOS</w:t>
            </w:r>
          </w:p>
        </w:tc>
        <w:tc>
          <w:tcPr>
            <w:tcW w:w="844" w:type="dxa"/>
            <w:shd w:val="clear" w:color="auto" w:fill="auto"/>
            <w:noWrap/>
            <w:vAlign w:val="bottom"/>
            <w:hideMark/>
          </w:tcPr>
          <w:p w14:paraId="3A837CC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6157DAC7"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0270EC5F"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1172</w:t>
            </w:r>
          </w:p>
        </w:tc>
        <w:tc>
          <w:tcPr>
            <w:tcW w:w="6271" w:type="dxa"/>
            <w:shd w:val="clear" w:color="auto" w:fill="auto"/>
            <w:noWrap/>
            <w:vAlign w:val="bottom"/>
            <w:hideMark/>
          </w:tcPr>
          <w:p w14:paraId="4128B774"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ADelt 16 1960: 272, pl.234d; ADelt33 1978: 381, pl.198a, b; ADelt 36 1981: 403-404; Ergon 1960: 212; AR  1960-1: 25; AR 32 1985-6: 95, fig.146; BCH  85 1961: 894, figs.11-12; BCH 110 1986: 753;BCH 113 1989: 692; Faure 1960: 202-203; 1962:42; Hood et al. 1964:64, fig.8 ; Pini 1968:92; Tzedakis 1971: 367-68; Kanta 1980:212, figs.87, 88, 102; Mavriyannaki 1972: 27; Kanta 1980: 211-212, fig. 102: 1-2; Godart and Tzedakis 1992: 98-99; Merousis 2000: 183; Langohr 2009: 155-156; Spiliotopoulou 2010: 51 pl. 4 n. 18.</w:t>
            </w:r>
          </w:p>
        </w:tc>
      </w:tr>
      <w:tr w:rsidR="00D76105" w:rsidRPr="00D76105" w14:paraId="1EE1A5CB" w14:textId="77777777" w:rsidTr="00F52D43">
        <w:trPr>
          <w:trHeight w:val="315"/>
        </w:trPr>
        <w:tc>
          <w:tcPr>
            <w:tcW w:w="1034" w:type="dxa"/>
            <w:shd w:val="clear" w:color="auto" w:fill="auto"/>
            <w:noWrap/>
            <w:vAlign w:val="bottom"/>
            <w:hideMark/>
          </w:tcPr>
          <w:p w14:paraId="3095BFCB"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342</w:t>
            </w:r>
          </w:p>
        </w:tc>
        <w:tc>
          <w:tcPr>
            <w:tcW w:w="1128" w:type="dxa"/>
            <w:shd w:val="clear" w:color="auto" w:fill="auto"/>
            <w:noWrap/>
            <w:vAlign w:val="bottom"/>
            <w:hideMark/>
          </w:tcPr>
          <w:p w14:paraId="7BEBA6DC"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3145</w:t>
            </w:r>
          </w:p>
        </w:tc>
        <w:tc>
          <w:tcPr>
            <w:tcW w:w="842" w:type="dxa"/>
            <w:shd w:val="clear" w:color="auto" w:fill="auto"/>
            <w:noWrap/>
            <w:vAlign w:val="bottom"/>
            <w:hideMark/>
          </w:tcPr>
          <w:p w14:paraId="1A6D3724"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T147</w:t>
            </w:r>
          </w:p>
        </w:tc>
        <w:tc>
          <w:tcPr>
            <w:tcW w:w="1785" w:type="dxa"/>
            <w:shd w:val="clear" w:color="auto" w:fill="auto"/>
            <w:noWrap/>
            <w:vAlign w:val="bottom"/>
            <w:hideMark/>
          </w:tcPr>
          <w:p w14:paraId="6AE9253C"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VOLIONES</w:t>
            </w:r>
          </w:p>
        </w:tc>
        <w:tc>
          <w:tcPr>
            <w:tcW w:w="844" w:type="dxa"/>
            <w:shd w:val="clear" w:color="auto" w:fill="auto"/>
            <w:noWrap/>
            <w:vAlign w:val="bottom"/>
            <w:hideMark/>
          </w:tcPr>
          <w:p w14:paraId="0D4661BE"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60205BB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546B3CF8"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1174</w:t>
            </w:r>
          </w:p>
        </w:tc>
        <w:tc>
          <w:tcPr>
            <w:tcW w:w="6271" w:type="dxa"/>
            <w:shd w:val="clear" w:color="auto" w:fill="auto"/>
            <w:noWrap/>
            <w:vAlign w:val="bottom"/>
            <w:hideMark/>
          </w:tcPr>
          <w:p w14:paraId="310EC67E"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Pologiorgi ADelt 1981: 82-205,  fig. 4-5,pl. 43β-γ , 44; AD 37 1982: 385, pls.271b, 272a-b; AR 29 1982-3: 60; BCH 107 1983: 829; Godart and Tzedakis 1992: 99; Merousis 2000: 124 n. 45; Spiliotopoulou 2010: 52-53, pl. 5 26; Langohr 2009: 143-144</w:t>
            </w:r>
          </w:p>
        </w:tc>
      </w:tr>
      <w:tr w:rsidR="00D76105" w:rsidRPr="00D76105" w14:paraId="0EB8A218" w14:textId="77777777" w:rsidTr="00F52D43">
        <w:trPr>
          <w:trHeight w:val="315"/>
        </w:trPr>
        <w:tc>
          <w:tcPr>
            <w:tcW w:w="1034" w:type="dxa"/>
            <w:shd w:val="clear" w:color="auto" w:fill="auto"/>
            <w:noWrap/>
            <w:vAlign w:val="bottom"/>
            <w:hideMark/>
          </w:tcPr>
          <w:p w14:paraId="51A2244D"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343</w:t>
            </w:r>
          </w:p>
        </w:tc>
        <w:tc>
          <w:tcPr>
            <w:tcW w:w="1128" w:type="dxa"/>
            <w:shd w:val="clear" w:color="auto" w:fill="auto"/>
            <w:noWrap/>
            <w:vAlign w:val="bottom"/>
            <w:hideMark/>
          </w:tcPr>
          <w:p w14:paraId="545789B8"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MR 3146</w:t>
            </w:r>
          </w:p>
        </w:tc>
        <w:tc>
          <w:tcPr>
            <w:tcW w:w="842" w:type="dxa"/>
            <w:shd w:val="clear" w:color="auto" w:fill="auto"/>
            <w:noWrap/>
            <w:vAlign w:val="bottom"/>
            <w:hideMark/>
          </w:tcPr>
          <w:p w14:paraId="3D4B3953"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T148</w:t>
            </w:r>
          </w:p>
        </w:tc>
        <w:tc>
          <w:tcPr>
            <w:tcW w:w="1785" w:type="dxa"/>
            <w:shd w:val="clear" w:color="auto" w:fill="auto"/>
            <w:noWrap/>
            <w:vAlign w:val="bottom"/>
            <w:hideMark/>
          </w:tcPr>
          <w:p w14:paraId="09E30B0F"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VOLIONES</w:t>
            </w:r>
          </w:p>
        </w:tc>
        <w:tc>
          <w:tcPr>
            <w:tcW w:w="844" w:type="dxa"/>
            <w:shd w:val="clear" w:color="auto" w:fill="auto"/>
            <w:noWrap/>
            <w:vAlign w:val="bottom"/>
            <w:hideMark/>
          </w:tcPr>
          <w:p w14:paraId="662BF31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533" w:type="dxa"/>
            <w:shd w:val="clear" w:color="auto" w:fill="auto"/>
            <w:noWrap/>
            <w:vAlign w:val="bottom"/>
            <w:hideMark/>
          </w:tcPr>
          <w:p w14:paraId="3F1AE0B3"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747" w:type="dxa"/>
            <w:shd w:val="clear" w:color="auto" w:fill="auto"/>
            <w:noWrap/>
            <w:vAlign w:val="bottom"/>
            <w:hideMark/>
          </w:tcPr>
          <w:p w14:paraId="052B1736" w14:textId="77777777" w:rsidR="00D76105" w:rsidRPr="00D76105" w:rsidRDefault="00D76105" w:rsidP="00D76105">
            <w:pPr>
              <w:widowControl/>
              <w:spacing w:line="240" w:lineRule="auto"/>
              <w:contextualSpacing w:val="0"/>
              <w:jc w:val="right"/>
              <w:rPr>
                <w:rFonts w:ascii="Calibri" w:eastAsia="Times New Roman" w:hAnsi="Calibri"/>
                <w:lang w:eastAsia="en-GB"/>
              </w:rPr>
            </w:pPr>
            <w:r w:rsidRPr="00D76105">
              <w:rPr>
                <w:rFonts w:ascii="Calibri" w:eastAsia="Times New Roman" w:hAnsi="Calibri"/>
                <w:lang w:eastAsia="en-GB"/>
              </w:rPr>
              <w:t>1175</w:t>
            </w:r>
          </w:p>
        </w:tc>
        <w:tc>
          <w:tcPr>
            <w:tcW w:w="6271" w:type="dxa"/>
            <w:shd w:val="clear" w:color="auto" w:fill="auto"/>
            <w:noWrap/>
            <w:vAlign w:val="bottom"/>
            <w:hideMark/>
          </w:tcPr>
          <w:p w14:paraId="61262079" w14:textId="77777777" w:rsidR="00D76105" w:rsidRPr="00D76105" w:rsidRDefault="00D76105" w:rsidP="00D76105">
            <w:pPr>
              <w:widowControl/>
              <w:spacing w:line="240" w:lineRule="auto"/>
              <w:contextualSpacing w:val="0"/>
              <w:jc w:val="left"/>
              <w:rPr>
                <w:rFonts w:ascii="Calibri" w:eastAsia="Times New Roman" w:hAnsi="Calibri"/>
                <w:lang w:eastAsia="en-GB"/>
              </w:rPr>
            </w:pPr>
            <w:r w:rsidRPr="00D76105">
              <w:rPr>
                <w:rFonts w:ascii="Calibri" w:eastAsia="Times New Roman" w:hAnsi="Calibri"/>
                <w:lang w:eastAsia="en-GB"/>
              </w:rPr>
              <w:t>Pologiorgi ADelt 1981, 82-205,  fig. 10, PL. 47 ; AD 37 (1982) 385 and pls.271b, 272a-b; AR 29 (1982-3) 60; BCH 107 (1983) 829; Godart and Tzedakis 1992, 99; Merousis 200: 124-125 n. 46; Spiliotopoulou 2010: 52-53, pl. 5 27; Langohr 2009, 143-144</w:t>
            </w:r>
          </w:p>
        </w:tc>
      </w:tr>
    </w:tbl>
    <w:p w14:paraId="60EBED52" w14:textId="77777777" w:rsidR="00D76105" w:rsidRDefault="00D76105" w:rsidP="003860B7">
      <w:pPr>
        <w:rPr>
          <w:b/>
          <w:sz w:val="28"/>
        </w:rPr>
      </w:pPr>
    </w:p>
    <w:p w14:paraId="6D6E66D5" w14:textId="0494F0F1" w:rsidR="00D76105" w:rsidRDefault="00D76105" w:rsidP="003860B7">
      <w:pPr>
        <w:rPr>
          <w:b/>
          <w:sz w:val="28"/>
        </w:rPr>
      </w:pPr>
      <w:r>
        <w:rPr>
          <w:b/>
          <w:sz w:val="28"/>
        </w:rPr>
        <w:t>Mesara Area</w:t>
      </w:r>
    </w:p>
    <w:tbl>
      <w:tblPr>
        <w:tblW w:w="131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
        <w:gridCol w:w="825"/>
        <w:gridCol w:w="842"/>
        <w:gridCol w:w="1904"/>
        <w:gridCol w:w="844"/>
        <w:gridCol w:w="747"/>
        <w:gridCol w:w="6983"/>
      </w:tblGrid>
      <w:tr w:rsidR="00D76105" w:rsidRPr="00D76105" w14:paraId="51A8C12D" w14:textId="77777777" w:rsidTr="00D76105">
        <w:trPr>
          <w:trHeight w:val="315"/>
        </w:trPr>
        <w:tc>
          <w:tcPr>
            <w:tcW w:w="1034" w:type="dxa"/>
            <w:shd w:val="clear" w:color="auto" w:fill="auto"/>
            <w:noWrap/>
            <w:vAlign w:val="bottom"/>
            <w:hideMark/>
          </w:tcPr>
          <w:p w14:paraId="37AD5A77"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ID LARNAX</w:t>
            </w:r>
          </w:p>
        </w:tc>
        <w:tc>
          <w:tcPr>
            <w:tcW w:w="825" w:type="dxa"/>
            <w:shd w:val="clear" w:color="auto" w:fill="auto"/>
            <w:noWrap/>
            <w:vAlign w:val="bottom"/>
            <w:hideMark/>
          </w:tcPr>
          <w:p w14:paraId="107450AA"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INV. N.</w:t>
            </w:r>
          </w:p>
        </w:tc>
        <w:tc>
          <w:tcPr>
            <w:tcW w:w="842" w:type="dxa"/>
            <w:shd w:val="clear" w:color="auto" w:fill="auto"/>
            <w:noWrap/>
            <w:vAlign w:val="bottom"/>
            <w:hideMark/>
          </w:tcPr>
          <w:p w14:paraId="59473D88"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ID TOMB</w:t>
            </w:r>
          </w:p>
        </w:tc>
        <w:tc>
          <w:tcPr>
            <w:tcW w:w="1904" w:type="dxa"/>
            <w:shd w:val="clear" w:color="auto" w:fill="auto"/>
            <w:noWrap/>
            <w:vAlign w:val="bottom"/>
            <w:hideMark/>
          </w:tcPr>
          <w:p w14:paraId="1D1077F4"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BURIAL LOCATION</w:t>
            </w:r>
          </w:p>
        </w:tc>
        <w:tc>
          <w:tcPr>
            <w:tcW w:w="844" w:type="dxa"/>
            <w:shd w:val="clear" w:color="auto" w:fill="auto"/>
            <w:noWrap/>
            <w:vAlign w:val="bottom"/>
            <w:hideMark/>
          </w:tcPr>
          <w:p w14:paraId="1BD6948C"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CHEST</w:t>
            </w:r>
          </w:p>
        </w:tc>
        <w:tc>
          <w:tcPr>
            <w:tcW w:w="747" w:type="dxa"/>
            <w:shd w:val="clear" w:color="auto" w:fill="auto"/>
            <w:noWrap/>
            <w:vAlign w:val="bottom"/>
            <w:hideMark/>
          </w:tcPr>
          <w:p w14:paraId="120D8E96"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Löwe</w:t>
            </w:r>
          </w:p>
        </w:tc>
        <w:tc>
          <w:tcPr>
            <w:tcW w:w="6983" w:type="dxa"/>
            <w:shd w:val="clear" w:color="auto" w:fill="auto"/>
            <w:noWrap/>
            <w:vAlign w:val="bottom"/>
            <w:hideMark/>
          </w:tcPr>
          <w:p w14:paraId="2D23CE29"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bibliography</w:t>
            </w:r>
          </w:p>
        </w:tc>
      </w:tr>
      <w:tr w:rsidR="00D76105" w:rsidRPr="00D76105" w14:paraId="1F5CE56D" w14:textId="77777777" w:rsidTr="00D76105">
        <w:trPr>
          <w:trHeight w:val="315"/>
        </w:trPr>
        <w:tc>
          <w:tcPr>
            <w:tcW w:w="1034" w:type="dxa"/>
            <w:shd w:val="clear" w:color="auto" w:fill="auto"/>
            <w:noWrap/>
            <w:vAlign w:val="bottom"/>
            <w:hideMark/>
          </w:tcPr>
          <w:p w14:paraId="5207C3B9"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297</w:t>
            </w:r>
          </w:p>
        </w:tc>
        <w:tc>
          <w:tcPr>
            <w:tcW w:w="825" w:type="dxa"/>
            <w:shd w:val="clear" w:color="auto" w:fill="auto"/>
            <w:noWrap/>
            <w:vAlign w:val="bottom"/>
            <w:hideMark/>
          </w:tcPr>
          <w:p w14:paraId="0EEC6B06"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MR 2342</w:t>
            </w:r>
          </w:p>
        </w:tc>
        <w:tc>
          <w:tcPr>
            <w:tcW w:w="842" w:type="dxa"/>
            <w:shd w:val="clear" w:color="auto" w:fill="auto"/>
            <w:noWrap/>
            <w:vAlign w:val="bottom"/>
            <w:hideMark/>
          </w:tcPr>
          <w:p w14:paraId="1ED27E5A"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T128</w:t>
            </w:r>
          </w:p>
        </w:tc>
        <w:tc>
          <w:tcPr>
            <w:tcW w:w="1904" w:type="dxa"/>
            <w:shd w:val="clear" w:color="auto" w:fill="auto"/>
            <w:noWrap/>
            <w:vAlign w:val="bottom"/>
            <w:hideMark/>
          </w:tcPr>
          <w:p w14:paraId="0C460CE1"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APODOULOU FRANGOU TOU LOURI</w:t>
            </w:r>
          </w:p>
        </w:tc>
        <w:tc>
          <w:tcPr>
            <w:tcW w:w="844" w:type="dxa"/>
            <w:shd w:val="clear" w:color="auto" w:fill="auto"/>
            <w:noWrap/>
            <w:vAlign w:val="bottom"/>
            <w:hideMark/>
          </w:tcPr>
          <w:p w14:paraId="7668C07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2BACA64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802</w:t>
            </w:r>
          </w:p>
        </w:tc>
        <w:tc>
          <w:tcPr>
            <w:tcW w:w="6983" w:type="dxa"/>
            <w:shd w:val="clear" w:color="auto" w:fill="auto"/>
            <w:noWrap/>
            <w:vAlign w:val="bottom"/>
            <w:hideMark/>
          </w:tcPr>
          <w:p w14:paraId="197457E7"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ADelt 34 1979: 401 tav. 213;  ADelt 36 1981: 402-403; Pologiorgi  1987: 125-160; Godart and Tzedakis 1992: 84; Tzigounaki 1996: 1489-1497;  Langohr 2009: 14;  Spiliotopoulou 2010: 52, pl.  5 n. 24</w:t>
            </w:r>
          </w:p>
        </w:tc>
      </w:tr>
      <w:tr w:rsidR="00D76105" w:rsidRPr="00D76105" w14:paraId="142D370C" w14:textId="77777777" w:rsidTr="00D76105">
        <w:trPr>
          <w:trHeight w:val="315"/>
        </w:trPr>
        <w:tc>
          <w:tcPr>
            <w:tcW w:w="1034" w:type="dxa"/>
            <w:shd w:val="clear" w:color="auto" w:fill="auto"/>
            <w:noWrap/>
            <w:vAlign w:val="bottom"/>
            <w:hideMark/>
          </w:tcPr>
          <w:p w14:paraId="49DA5C64"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298</w:t>
            </w:r>
          </w:p>
        </w:tc>
        <w:tc>
          <w:tcPr>
            <w:tcW w:w="825" w:type="dxa"/>
            <w:shd w:val="clear" w:color="auto" w:fill="auto"/>
            <w:noWrap/>
            <w:vAlign w:val="bottom"/>
            <w:hideMark/>
          </w:tcPr>
          <w:p w14:paraId="59174157"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MR 2343</w:t>
            </w:r>
          </w:p>
        </w:tc>
        <w:tc>
          <w:tcPr>
            <w:tcW w:w="842" w:type="dxa"/>
            <w:shd w:val="clear" w:color="auto" w:fill="auto"/>
            <w:noWrap/>
            <w:vAlign w:val="bottom"/>
            <w:hideMark/>
          </w:tcPr>
          <w:p w14:paraId="6C329EB7"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T128</w:t>
            </w:r>
          </w:p>
        </w:tc>
        <w:tc>
          <w:tcPr>
            <w:tcW w:w="1904" w:type="dxa"/>
            <w:shd w:val="clear" w:color="auto" w:fill="auto"/>
            <w:noWrap/>
            <w:vAlign w:val="bottom"/>
            <w:hideMark/>
          </w:tcPr>
          <w:p w14:paraId="6CFFB2D6"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APODOULOU FRANGOU TOU LOURI</w:t>
            </w:r>
          </w:p>
        </w:tc>
        <w:tc>
          <w:tcPr>
            <w:tcW w:w="844" w:type="dxa"/>
            <w:shd w:val="clear" w:color="auto" w:fill="auto"/>
            <w:noWrap/>
            <w:vAlign w:val="bottom"/>
            <w:hideMark/>
          </w:tcPr>
          <w:p w14:paraId="287CAC5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51ED1F8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802</w:t>
            </w:r>
          </w:p>
        </w:tc>
        <w:tc>
          <w:tcPr>
            <w:tcW w:w="6983" w:type="dxa"/>
            <w:shd w:val="clear" w:color="auto" w:fill="auto"/>
            <w:noWrap/>
            <w:vAlign w:val="bottom"/>
            <w:hideMark/>
          </w:tcPr>
          <w:p w14:paraId="10E09E7F"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 xml:space="preserve"> ADelt 34 1979: 401 tav. 21; ADelt 36 1981: 402-403; Pologiorgi  1987: 125-160 pl. 16 n. 7; Godart and Tzedakis 1992: 84; Tzigounaki 1996:1489-1497;  Langohr 2009: 14;  Spiliotopoulou 2010: 52, pl.  4 n. 23</w:t>
            </w:r>
          </w:p>
        </w:tc>
      </w:tr>
      <w:tr w:rsidR="00D76105" w:rsidRPr="00D76105" w14:paraId="1D271A58" w14:textId="77777777" w:rsidTr="00D76105">
        <w:trPr>
          <w:trHeight w:val="315"/>
        </w:trPr>
        <w:tc>
          <w:tcPr>
            <w:tcW w:w="1034" w:type="dxa"/>
            <w:shd w:val="clear" w:color="auto" w:fill="auto"/>
            <w:noWrap/>
            <w:vAlign w:val="bottom"/>
            <w:hideMark/>
          </w:tcPr>
          <w:p w14:paraId="25A570B9"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308</w:t>
            </w:r>
          </w:p>
        </w:tc>
        <w:tc>
          <w:tcPr>
            <w:tcW w:w="825" w:type="dxa"/>
            <w:shd w:val="clear" w:color="auto" w:fill="auto"/>
            <w:noWrap/>
            <w:vAlign w:val="bottom"/>
            <w:hideMark/>
          </w:tcPr>
          <w:p w14:paraId="56E226DF"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MR 3635 or 2344</w:t>
            </w:r>
          </w:p>
        </w:tc>
        <w:tc>
          <w:tcPr>
            <w:tcW w:w="842" w:type="dxa"/>
            <w:shd w:val="clear" w:color="auto" w:fill="auto"/>
            <w:noWrap/>
            <w:vAlign w:val="bottom"/>
            <w:hideMark/>
          </w:tcPr>
          <w:p w14:paraId="3CFA25A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T132</w:t>
            </w:r>
          </w:p>
        </w:tc>
        <w:tc>
          <w:tcPr>
            <w:tcW w:w="1904" w:type="dxa"/>
            <w:shd w:val="clear" w:color="auto" w:fill="auto"/>
            <w:noWrap/>
            <w:vAlign w:val="bottom"/>
            <w:hideMark/>
          </w:tcPr>
          <w:p w14:paraId="63838668"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APODOULOU SATA</w:t>
            </w:r>
          </w:p>
        </w:tc>
        <w:tc>
          <w:tcPr>
            <w:tcW w:w="844" w:type="dxa"/>
            <w:shd w:val="clear" w:color="auto" w:fill="auto"/>
            <w:noWrap/>
            <w:vAlign w:val="bottom"/>
            <w:hideMark/>
          </w:tcPr>
          <w:p w14:paraId="47C81E9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634A8CC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1169</w:t>
            </w:r>
          </w:p>
        </w:tc>
        <w:tc>
          <w:tcPr>
            <w:tcW w:w="6983" w:type="dxa"/>
            <w:shd w:val="clear" w:color="auto" w:fill="auto"/>
            <w:noWrap/>
            <w:vAlign w:val="bottom"/>
            <w:hideMark/>
          </w:tcPr>
          <w:p w14:paraId="3E06924B"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Procopiou  et al.1990: fig 2-3, pl. 31; Godart and Tzedakis 1992: 82-83 pl. CVII,1-2; Tzigounaki 1996: 1489-1497, fig.7; Merousis 2000: 179-180; Langohr 2009: 140-141; Spiliotopoulou 2010: 53 pl. 5 n. 28</w:t>
            </w:r>
          </w:p>
        </w:tc>
      </w:tr>
      <w:tr w:rsidR="00D76105" w:rsidRPr="00D76105" w14:paraId="5A2FE074" w14:textId="77777777" w:rsidTr="00D76105">
        <w:trPr>
          <w:trHeight w:val="315"/>
        </w:trPr>
        <w:tc>
          <w:tcPr>
            <w:tcW w:w="1034" w:type="dxa"/>
            <w:shd w:val="clear" w:color="auto" w:fill="auto"/>
            <w:noWrap/>
            <w:vAlign w:val="bottom"/>
            <w:hideMark/>
          </w:tcPr>
          <w:p w14:paraId="002A664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309</w:t>
            </w:r>
          </w:p>
        </w:tc>
        <w:tc>
          <w:tcPr>
            <w:tcW w:w="825" w:type="dxa"/>
            <w:shd w:val="clear" w:color="auto" w:fill="auto"/>
            <w:noWrap/>
            <w:vAlign w:val="bottom"/>
            <w:hideMark/>
          </w:tcPr>
          <w:p w14:paraId="75A38AFC"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MR 3636 or 2345</w:t>
            </w:r>
          </w:p>
        </w:tc>
        <w:tc>
          <w:tcPr>
            <w:tcW w:w="842" w:type="dxa"/>
            <w:shd w:val="clear" w:color="auto" w:fill="auto"/>
            <w:noWrap/>
            <w:vAlign w:val="bottom"/>
            <w:hideMark/>
          </w:tcPr>
          <w:p w14:paraId="1E17DEC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T132</w:t>
            </w:r>
          </w:p>
        </w:tc>
        <w:tc>
          <w:tcPr>
            <w:tcW w:w="1904" w:type="dxa"/>
            <w:shd w:val="clear" w:color="auto" w:fill="auto"/>
            <w:noWrap/>
            <w:vAlign w:val="bottom"/>
            <w:hideMark/>
          </w:tcPr>
          <w:p w14:paraId="14CA82D7"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APODOULOU SATA</w:t>
            </w:r>
          </w:p>
        </w:tc>
        <w:tc>
          <w:tcPr>
            <w:tcW w:w="844" w:type="dxa"/>
            <w:shd w:val="clear" w:color="auto" w:fill="auto"/>
            <w:noWrap/>
            <w:vAlign w:val="bottom"/>
            <w:hideMark/>
          </w:tcPr>
          <w:p w14:paraId="380A1FF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7779007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1169</w:t>
            </w:r>
          </w:p>
        </w:tc>
        <w:tc>
          <w:tcPr>
            <w:tcW w:w="6983" w:type="dxa"/>
            <w:shd w:val="clear" w:color="auto" w:fill="auto"/>
            <w:noWrap/>
            <w:vAlign w:val="bottom"/>
            <w:hideMark/>
          </w:tcPr>
          <w:p w14:paraId="78150A0F"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Procopiou et al. 1990: fig 2-3, pl. 31; Godart and Tzedakis 1992: 82-83 pl. CVII,1-2; Tzigounaki 1996: 1489-1497, fig.7; Merousis 2000: 179-180; Langohr 2009:  140-141; Spiliotopoulou 2010: 53 pl. 5 n. 29</w:t>
            </w:r>
          </w:p>
        </w:tc>
      </w:tr>
      <w:tr w:rsidR="00D76105" w:rsidRPr="00D76105" w14:paraId="0EA96C6D" w14:textId="77777777" w:rsidTr="00D76105">
        <w:trPr>
          <w:trHeight w:val="315"/>
        </w:trPr>
        <w:tc>
          <w:tcPr>
            <w:tcW w:w="1034" w:type="dxa"/>
            <w:shd w:val="clear" w:color="auto" w:fill="auto"/>
            <w:noWrap/>
            <w:vAlign w:val="bottom"/>
            <w:hideMark/>
          </w:tcPr>
          <w:p w14:paraId="79C2977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314</w:t>
            </w:r>
          </w:p>
        </w:tc>
        <w:tc>
          <w:tcPr>
            <w:tcW w:w="825" w:type="dxa"/>
            <w:shd w:val="clear" w:color="auto" w:fill="auto"/>
            <w:noWrap/>
            <w:vAlign w:val="bottom"/>
            <w:hideMark/>
          </w:tcPr>
          <w:p w14:paraId="393A459E"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 xml:space="preserve">MC </w:t>
            </w:r>
          </w:p>
        </w:tc>
        <w:tc>
          <w:tcPr>
            <w:tcW w:w="842" w:type="dxa"/>
            <w:shd w:val="clear" w:color="auto" w:fill="auto"/>
            <w:noWrap/>
            <w:vAlign w:val="bottom"/>
            <w:hideMark/>
          </w:tcPr>
          <w:p w14:paraId="0B8D82A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T133</w:t>
            </w:r>
          </w:p>
        </w:tc>
        <w:tc>
          <w:tcPr>
            <w:tcW w:w="1904" w:type="dxa"/>
            <w:shd w:val="clear" w:color="auto" w:fill="auto"/>
            <w:noWrap/>
            <w:vAlign w:val="bottom"/>
            <w:hideMark/>
          </w:tcPr>
          <w:p w14:paraId="4EDA5314"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APODOULOU SOPATAKIA</w:t>
            </w:r>
          </w:p>
        </w:tc>
        <w:tc>
          <w:tcPr>
            <w:tcW w:w="844" w:type="dxa"/>
            <w:shd w:val="clear" w:color="auto" w:fill="auto"/>
            <w:noWrap/>
            <w:vAlign w:val="bottom"/>
            <w:hideMark/>
          </w:tcPr>
          <w:p w14:paraId="28B1FD42"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4F4DA265"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806</w:t>
            </w:r>
          </w:p>
        </w:tc>
        <w:tc>
          <w:tcPr>
            <w:tcW w:w="6983" w:type="dxa"/>
            <w:shd w:val="clear" w:color="auto" w:fill="auto"/>
            <w:noWrap/>
            <w:vAlign w:val="bottom"/>
            <w:hideMark/>
          </w:tcPr>
          <w:p w14:paraId="705BD93A"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ADelt 24 1970: 478, pl 419 b; Mavryiannaki 1972: 25, 37; Kanta 1980: 207, 296; Pologiorgi 1987: 125-160; Pologiorgi 1990: 207-232; Godart and Tzedakis: 82; Merousis 2000: 108; Langohr 2009: 139-140; Spiliotopoulou 2010: 51-52 pl. 4 n. 20</w:t>
            </w:r>
          </w:p>
        </w:tc>
      </w:tr>
      <w:tr w:rsidR="00D76105" w:rsidRPr="00D76105" w14:paraId="2324179F" w14:textId="77777777" w:rsidTr="00D76105">
        <w:trPr>
          <w:trHeight w:val="315"/>
        </w:trPr>
        <w:tc>
          <w:tcPr>
            <w:tcW w:w="1034" w:type="dxa"/>
            <w:shd w:val="clear" w:color="auto" w:fill="auto"/>
            <w:noWrap/>
            <w:vAlign w:val="bottom"/>
            <w:hideMark/>
          </w:tcPr>
          <w:p w14:paraId="14B149D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145</w:t>
            </w:r>
          </w:p>
        </w:tc>
        <w:tc>
          <w:tcPr>
            <w:tcW w:w="825" w:type="dxa"/>
            <w:shd w:val="clear" w:color="auto" w:fill="auto"/>
            <w:noWrap/>
            <w:vAlign w:val="bottom"/>
            <w:hideMark/>
          </w:tcPr>
          <w:p w14:paraId="706BB34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842" w:type="dxa"/>
            <w:shd w:val="clear" w:color="auto" w:fill="auto"/>
            <w:noWrap/>
            <w:vAlign w:val="bottom"/>
            <w:hideMark/>
          </w:tcPr>
          <w:p w14:paraId="6ECA48CB"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T78</w:t>
            </w:r>
          </w:p>
        </w:tc>
        <w:tc>
          <w:tcPr>
            <w:tcW w:w="1904" w:type="dxa"/>
            <w:shd w:val="clear" w:color="auto" w:fill="auto"/>
            <w:noWrap/>
            <w:vAlign w:val="bottom"/>
            <w:hideMark/>
          </w:tcPr>
          <w:p w14:paraId="61577A06"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GOUDIES</w:t>
            </w:r>
          </w:p>
        </w:tc>
        <w:tc>
          <w:tcPr>
            <w:tcW w:w="844" w:type="dxa"/>
            <w:shd w:val="clear" w:color="auto" w:fill="auto"/>
            <w:noWrap/>
            <w:vAlign w:val="bottom"/>
            <w:hideMark/>
          </w:tcPr>
          <w:p w14:paraId="73F10FC5"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01F6DF5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706</w:t>
            </w:r>
          </w:p>
        </w:tc>
        <w:tc>
          <w:tcPr>
            <w:tcW w:w="6983" w:type="dxa"/>
            <w:shd w:val="clear" w:color="auto" w:fill="auto"/>
            <w:noWrap/>
            <w:vAlign w:val="bottom"/>
            <w:hideMark/>
          </w:tcPr>
          <w:p w14:paraId="76E3FB14"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Laviosa 1970: 99-118 fig.5, 6, 11; Merousis 2000: 129-130; Spiliotopoulou 2010: 108-109 pl. N. 305 35</w:t>
            </w:r>
          </w:p>
        </w:tc>
      </w:tr>
      <w:tr w:rsidR="00D76105" w:rsidRPr="00D76105" w14:paraId="0D802248" w14:textId="77777777" w:rsidTr="00D76105">
        <w:trPr>
          <w:trHeight w:val="315"/>
        </w:trPr>
        <w:tc>
          <w:tcPr>
            <w:tcW w:w="1034" w:type="dxa"/>
            <w:shd w:val="clear" w:color="auto" w:fill="auto"/>
            <w:noWrap/>
            <w:vAlign w:val="bottom"/>
            <w:hideMark/>
          </w:tcPr>
          <w:p w14:paraId="3AAAE1C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146</w:t>
            </w:r>
          </w:p>
        </w:tc>
        <w:tc>
          <w:tcPr>
            <w:tcW w:w="825" w:type="dxa"/>
            <w:shd w:val="clear" w:color="auto" w:fill="auto"/>
            <w:noWrap/>
            <w:vAlign w:val="bottom"/>
            <w:hideMark/>
          </w:tcPr>
          <w:p w14:paraId="48A4D09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842" w:type="dxa"/>
            <w:shd w:val="clear" w:color="auto" w:fill="auto"/>
            <w:noWrap/>
            <w:vAlign w:val="bottom"/>
            <w:hideMark/>
          </w:tcPr>
          <w:p w14:paraId="75E3BC6C"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T78</w:t>
            </w:r>
          </w:p>
        </w:tc>
        <w:tc>
          <w:tcPr>
            <w:tcW w:w="1904" w:type="dxa"/>
            <w:shd w:val="clear" w:color="auto" w:fill="auto"/>
            <w:noWrap/>
            <w:vAlign w:val="bottom"/>
            <w:hideMark/>
          </w:tcPr>
          <w:p w14:paraId="3CC06D93"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GOUDIES</w:t>
            </w:r>
          </w:p>
        </w:tc>
        <w:tc>
          <w:tcPr>
            <w:tcW w:w="844" w:type="dxa"/>
            <w:shd w:val="clear" w:color="auto" w:fill="auto"/>
            <w:noWrap/>
            <w:vAlign w:val="bottom"/>
            <w:hideMark/>
          </w:tcPr>
          <w:p w14:paraId="3D38816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3BCA61C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706</w:t>
            </w:r>
          </w:p>
        </w:tc>
        <w:tc>
          <w:tcPr>
            <w:tcW w:w="6983" w:type="dxa"/>
            <w:shd w:val="clear" w:color="auto" w:fill="auto"/>
            <w:noWrap/>
            <w:vAlign w:val="bottom"/>
            <w:hideMark/>
          </w:tcPr>
          <w:p w14:paraId="5E16030E"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Laviosa 1970: 99-118 fig. 7, 8, 12</w:t>
            </w:r>
          </w:p>
        </w:tc>
      </w:tr>
      <w:tr w:rsidR="00D76105" w:rsidRPr="00D76105" w14:paraId="110E7550" w14:textId="77777777" w:rsidTr="00D76105">
        <w:trPr>
          <w:trHeight w:val="315"/>
        </w:trPr>
        <w:tc>
          <w:tcPr>
            <w:tcW w:w="1034" w:type="dxa"/>
            <w:shd w:val="clear" w:color="auto" w:fill="auto"/>
            <w:noWrap/>
            <w:vAlign w:val="bottom"/>
            <w:hideMark/>
          </w:tcPr>
          <w:p w14:paraId="07AFD0BE"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8</w:t>
            </w:r>
          </w:p>
        </w:tc>
        <w:tc>
          <w:tcPr>
            <w:tcW w:w="825" w:type="dxa"/>
            <w:shd w:val="clear" w:color="auto" w:fill="auto"/>
            <w:noWrap/>
            <w:vAlign w:val="bottom"/>
            <w:hideMark/>
          </w:tcPr>
          <w:p w14:paraId="7EE7BF6B"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20587</w:t>
            </w:r>
          </w:p>
        </w:tc>
        <w:tc>
          <w:tcPr>
            <w:tcW w:w="842" w:type="dxa"/>
            <w:shd w:val="clear" w:color="auto" w:fill="auto"/>
            <w:noWrap/>
            <w:vAlign w:val="bottom"/>
            <w:hideMark/>
          </w:tcPr>
          <w:p w14:paraId="1BA76721"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T01</w:t>
            </w:r>
          </w:p>
        </w:tc>
        <w:tc>
          <w:tcPr>
            <w:tcW w:w="1904" w:type="dxa"/>
            <w:shd w:val="clear" w:color="auto" w:fill="auto"/>
            <w:noWrap/>
            <w:vAlign w:val="bottom"/>
            <w:hideMark/>
          </w:tcPr>
          <w:p w14:paraId="002C2F30"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KALOCHORAFITIS ANEVOLEMA</w:t>
            </w:r>
          </w:p>
        </w:tc>
        <w:tc>
          <w:tcPr>
            <w:tcW w:w="844" w:type="dxa"/>
            <w:shd w:val="clear" w:color="auto" w:fill="auto"/>
            <w:noWrap/>
            <w:vAlign w:val="bottom"/>
            <w:hideMark/>
          </w:tcPr>
          <w:p w14:paraId="3A1B01E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3923EC7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461</w:t>
            </w:r>
          </w:p>
        </w:tc>
        <w:tc>
          <w:tcPr>
            <w:tcW w:w="6983" w:type="dxa"/>
            <w:shd w:val="clear" w:color="auto" w:fill="auto"/>
            <w:noWrap/>
            <w:vAlign w:val="bottom"/>
            <w:hideMark/>
          </w:tcPr>
          <w:p w14:paraId="32340772"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 xml:space="preserve"> ADelt 29 1973/4: 85; Karetsou and Girella 2015: 51-53, fig. 3.3, 3.4</w:t>
            </w:r>
          </w:p>
        </w:tc>
      </w:tr>
      <w:tr w:rsidR="00D76105" w:rsidRPr="00D76105" w14:paraId="4945AB20" w14:textId="77777777" w:rsidTr="00D76105">
        <w:trPr>
          <w:trHeight w:val="315"/>
        </w:trPr>
        <w:tc>
          <w:tcPr>
            <w:tcW w:w="1034" w:type="dxa"/>
            <w:shd w:val="clear" w:color="auto" w:fill="auto"/>
            <w:noWrap/>
            <w:vAlign w:val="bottom"/>
            <w:hideMark/>
          </w:tcPr>
          <w:p w14:paraId="72B729D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w:t>
            </w:r>
          </w:p>
        </w:tc>
        <w:tc>
          <w:tcPr>
            <w:tcW w:w="825" w:type="dxa"/>
            <w:shd w:val="clear" w:color="auto" w:fill="auto"/>
            <w:noWrap/>
            <w:vAlign w:val="bottom"/>
            <w:hideMark/>
          </w:tcPr>
          <w:p w14:paraId="77CC3A1F"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20586</w:t>
            </w:r>
          </w:p>
        </w:tc>
        <w:tc>
          <w:tcPr>
            <w:tcW w:w="842" w:type="dxa"/>
            <w:shd w:val="clear" w:color="auto" w:fill="auto"/>
            <w:noWrap/>
            <w:vAlign w:val="bottom"/>
            <w:hideMark/>
          </w:tcPr>
          <w:p w14:paraId="70DEB98F"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T01</w:t>
            </w:r>
          </w:p>
        </w:tc>
        <w:tc>
          <w:tcPr>
            <w:tcW w:w="1904" w:type="dxa"/>
            <w:shd w:val="clear" w:color="auto" w:fill="auto"/>
            <w:noWrap/>
            <w:vAlign w:val="bottom"/>
            <w:hideMark/>
          </w:tcPr>
          <w:p w14:paraId="2B819E5C"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KALOCHORAFITIS ANEVOLEMA</w:t>
            </w:r>
          </w:p>
        </w:tc>
        <w:tc>
          <w:tcPr>
            <w:tcW w:w="844" w:type="dxa"/>
            <w:shd w:val="clear" w:color="auto" w:fill="auto"/>
            <w:noWrap/>
            <w:vAlign w:val="bottom"/>
            <w:hideMark/>
          </w:tcPr>
          <w:p w14:paraId="26A4E932"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1F92D85E"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461</w:t>
            </w:r>
          </w:p>
        </w:tc>
        <w:tc>
          <w:tcPr>
            <w:tcW w:w="6983" w:type="dxa"/>
            <w:shd w:val="clear" w:color="auto" w:fill="auto"/>
            <w:noWrap/>
            <w:vAlign w:val="bottom"/>
            <w:hideMark/>
          </w:tcPr>
          <w:p w14:paraId="5F834046"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ADelt 29 1973/4: 85; Karetsou and Girella 2015: 50-51 fig. 3.2</w:t>
            </w:r>
          </w:p>
        </w:tc>
      </w:tr>
      <w:tr w:rsidR="00D76105" w:rsidRPr="00D76105" w14:paraId="6497FF3E" w14:textId="77777777" w:rsidTr="00D76105">
        <w:trPr>
          <w:trHeight w:val="315"/>
        </w:trPr>
        <w:tc>
          <w:tcPr>
            <w:tcW w:w="1034" w:type="dxa"/>
            <w:shd w:val="clear" w:color="auto" w:fill="auto"/>
            <w:noWrap/>
            <w:vAlign w:val="bottom"/>
            <w:hideMark/>
          </w:tcPr>
          <w:p w14:paraId="10C2C17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7</w:t>
            </w:r>
          </w:p>
        </w:tc>
        <w:tc>
          <w:tcPr>
            <w:tcW w:w="825" w:type="dxa"/>
            <w:shd w:val="clear" w:color="auto" w:fill="auto"/>
            <w:noWrap/>
            <w:vAlign w:val="bottom"/>
            <w:hideMark/>
          </w:tcPr>
          <w:p w14:paraId="1A84E014"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20589</w:t>
            </w:r>
          </w:p>
        </w:tc>
        <w:tc>
          <w:tcPr>
            <w:tcW w:w="842" w:type="dxa"/>
            <w:shd w:val="clear" w:color="auto" w:fill="auto"/>
            <w:noWrap/>
            <w:vAlign w:val="bottom"/>
            <w:hideMark/>
          </w:tcPr>
          <w:p w14:paraId="76951DAE"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T01</w:t>
            </w:r>
          </w:p>
        </w:tc>
        <w:tc>
          <w:tcPr>
            <w:tcW w:w="1904" w:type="dxa"/>
            <w:shd w:val="clear" w:color="auto" w:fill="auto"/>
            <w:noWrap/>
            <w:vAlign w:val="bottom"/>
            <w:hideMark/>
          </w:tcPr>
          <w:p w14:paraId="51A081D0"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KALOCHORAFITIS ANEVOLEMA</w:t>
            </w:r>
          </w:p>
        </w:tc>
        <w:tc>
          <w:tcPr>
            <w:tcW w:w="844" w:type="dxa"/>
            <w:shd w:val="clear" w:color="auto" w:fill="auto"/>
            <w:noWrap/>
            <w:vAlign w:val="bottom"/>
            <w:hideMark/>
          </w:tcPr>
          <w:p w14:paraId="15A0EE1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59DAC6E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461</w:t>
            </w:r>
          </w:p>
        </w:tc>
        <w:tc>
          <w:tcPr>
            <w:tcW w:w="6983" w:type="dxa"/>
            <w:shd w:val="clear" w:color="auto" w:fill="auto"/>
            <w:noWrap/>
            <w:vAlign w:val="bottom"/>
            <w:hideMark/>
          </w:tcPr>
          <w:p w14:paraId="390DE1B0"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 xml:space="preserve"> ADelt 29 1973/4: 85; Karetsou and Girella 2015: 54-57 fig. 3.6, 3.7, 3.8</w:t>
            </w:r>
          </w:p>
        </w:tc>
      </w:tr>
      <w:tr w:rsidR="00D76105" w:rsidRPr="00D76105" w14:paraId="0F054EBC" w14:textId="77777777" w:rsidTr="00D76105">
        <w:trPr>
          <w:trHeight w:val="315"/>
        </w:trPr>
        <w:tc>
          <w:tcPr>
            <w:tcW w:w="1034" w:type="dxa"/>
            <w:shd w:val="clear" w:color="auto" w:fill="auto"/>
            <w:noWrap/>
            <w:vAlign w:val="bottom"/>
            <w:hideMark/>
          </w:tcPr>
          <w:p w14:paraId="3627D35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6</w:t>
            </w:r>
          </w:p>
        </w:tc>
        <w:tc>
          <w:tcPr>
            <w:tcW w:w="825" w:type="dxa"/>
            <w:shd w:val="clear" w:color="auto" w:fill="auto"/>
            <w:noWrap/>
            <w:vAlign w:val="bottom"/>
            <w:hideMark/>
          </w:tcPr>
          <w:p w14:paraId="30E3F7C4"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20590</w:t>
            </w:r>
          </w:p>
        </w:tc>
        <w:tc>
          <w:tcPr>
            <w:tcW w:w="842" w:type="dxa"/>
            <w:shd w:val="clear" w:color="auto" w:fill="auto"/>
            <w:noWrap/>
            <w:vAlign w:val="bottom"/>
            <w:hideMark/>
          </w:tcPr>
          <w:p w14:paraId="34A4EC67"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T01</w:t>
            </w:r>
          </w:p>
        </w:tc>
        <w:tc>
          <w:tcPr>
            <w:tcW w:w="1904" w:type="dxa"/>
            <w:shd w:val="clear" w:color="auto" w:fill="auto"/>
            <w:noWrap/>
            <w:vAlign w:val="bottom"/>
            <w:hideMark/>
          </w:tcPr>
          <w:p w14:paraId="360DE8DC"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KALOCHORAFITIS ANEVOLEMA</w:t>
            </w:r>
          </w:p>
        </w:tc>
        <w:tc>
          <w:tcPr>
            <w:tcW w:w="844" w:type="dxa"/>
            <w:shd w:val="clear" w:color="auto" w:fill="auto"/>
            <w:noWrap/>
            <w:vAlign w:val="bottom"/>
            <w:hideMark/>
          </w:tcPr>
          <w:p w14:paraId="4EAB17A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14B7A323"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461</w:t>
            </w:r>
          </w:p>
        </w:tc>
        <w:tc>
          <w:tcPr>
            <w:tcW w:w="6983" w:type="dxa"/>
            <w:shd w:val="clear" w:color="auto" w:fill="auto"/>
            <w:noWrap/>
            <w:vAlign w:val="bottom"/>
            <w:hideMark/>
          </w:tcPr>
          <w:p w14:paraId="63FA290A"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ADelt 29 1973/4: 85; Karetsou and Girella 2015: 59-125 fig.3.9, 3.10, 3.11, 3.12, 3.13, 3.14, 3.15, 3.16</w:t>
            </w:r>
          </w:p>
        </w:tc>
      </w:tr>
      <w:tr w:rsidR="00D76105" w:rsidRPr="00D76105" w14:paraId="5CF04051" w14:textId="77777777" w:rsidTr="00D76105">
        <w:trPr>
          <w:trHeight w:val="315"/>
        </w:trPr>
        <w:tc>
          <w:tcPr>
            <w:tcW w:w="1034" w:type="dxa"/>
            <w:shd w:val="clear" w:color="auto" w:fill="auto"/>
            <w:noWrap/>
            <w:vAlign w:val="bottom"/>
            <w:hideMark/>
          </w:tcPr>
          <w:p w14:paraId="59AA3D9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15</w:t>
            </w:r>
          </w:p>
        </w:tc>
        <w:tc>
          <w:tcPr>
            <w:tcW w:w="825" w:type="dxa"/>
            <w:shd w:val="clear" w:color="auto" w:fill="auto"/>
            <w:noWrap/>
            <w:vAlign w:val="bottom"/>
            <w:hideMark/>
          </w:tcPr>
          <w:p w14:paraId="7308B126"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larnax C</w:t>
            </w:r>
          </w:p>
        </w:tc>
        <w:tc>
          <w:tcPr>
            <w:tcW w:w="842" w:type="dxa"/>
            <w:shd w:val="clear" w:color="auto" w:fill="auto"/>
            <w:noWrap/>
            <w:vAlign w:val="bottom"/>
            <w:hideMark/>
          </w:tcPr>
          <w:p w14:paraId="2F80F7F7"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T04</w:t>
            </w:r>
          </w:p>
        </w:tc>
        <w:tc>
          <w:tcPr>
            <w:tcW w:w="1904" w:type="dxa"/>
            <w:shd w:val="clear" w:color="auto" w:fill="auto"/>
            <w:noWrap/>
            <w:vAlign w:val="bottom"/>
            <w:hideMark/>
          </w:tcPr>
          <w:p w14:paraId="01B58DA2"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KALOCHORAFITIS ANEVOLEMA</w:t>
            </w:r>
          </w:p>
        </w:tc>
        <w:tc>
          <w:tcPr>
            <w:tcW w:w="844" w:type="dxa"/>
            <w:shd w:val="clear" w:color="auto" w:fill="auto"/>
            <w:noWrap/>
            <w:vAlign w:val="bottom"/>
            <w:hideMark/>
          </w:tcPr>
          <w:p w14:paraId="2D073D9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09D2BD7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 xml:space="preserve"> -</w:t>
            </w:r>
          </w:p>
        </w:tc>
        <w:tc>
          <w:tcPr>
            <w:tcW w:w="6983" w:type="dxa"/>
            <w:shd w:val="clear" w:color="auto" w:fill="auto"/>
            <w:noWrap/>
            <w:vAlign w:val="bottom"/>
            <w:hideMark/>
          </w:tcPr>
          <w:p w14:paraId="74BB9FD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Karetsou and Girella 2015: 128-136</w:t>
            </w:r>
          </w:p>
        </w:tc>
      </w:tr>
      <w:tr w:rsidR="00D76105" w:rsidRPr="00D76105" w14:paraId="72B5F4A6" w14:textId="77777777" w:rsidTr="00D76105">
        <w:trPr>
          <w:trHeight w:val="315"/>
        </w:trPr>
        <w:tc>
          <w:tcPr>
            <w:tcW w:w="1034" w:type="dxa"/>
            <w:shd w:val="clear" w:color="auto" w:fill="auto"/>
            <w:noWrap/>
            <w:vAlign w:val="bottom"/>
            <w:hideMark/>
          </w:tcPr>
          <w:p w14:paraId="07E04044"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16</w:t>
            </w:r>
          </w:p>
        </w:tc>
        <w:tc>
          <w:tcPr>
            <w:tcW w:w="825" w:type="dxa"/>
            <w:shd w:val="clear" w:color="auto" w:fill="auto"/>
            <w:noWrap/>
            <w:vAlign w:val="bottom"/>
            <w:hideMark/>
          </w:tcPr>
          <w:p w14:paraId="410E2634"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13655</w:t>
            </w:r>
          </w:p>
        </w:tc>
        <w:tc>
          <w:tcPr>
            <w:tcW w:w="842" w:type="dxa"/>
            <w:shd w:val="clear" w:color="auto" w:fill="auto"/>
            <w:noWrap/>
            <w:vAlign w:val="bottom"/>
            <w:hideMark/>
          </w:tcPr>
          <w:p w14:paraId="56DC66E4"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T05</w:t>
            </w:r>
          </w:p>
        </w:tc>
        <w:tc>
          <w:tcPr>
            <w:tcW w:w="1904" w:type="dxa"/>
            <w:shd w:val="clear" w:color="auto" w:fill="auto"/>
            <w:noWrap/>
            <w:vAlign w:val="bottom"/>
            <w:hideMark/>
          </w:tcPr>
          <w:p w14:paraId="6064160A" w14:textId="4F4C8CC3"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KALOCHORAFITIS PRINAR</w:t>
            </w:r>
            <w:r w:rsidR="00CD596A">
              <w:rPr>
                <w:rFonts w:ascii="Calibri" w:eastAsia="Times New Roman" w:hAnsi="Calibri"/>
                <w:color w:val="000000"/>
                <w:lang w:eastAsia="en-GB"/>
              </w:rPr>
              <w:t>I</w:t>
            </w:r>
            <w:r w:rsidRPr="00D76105">
              <w:rPr>
                <w:rFonts w:ascii="Calibri" w:eastAsia="Times New Roman" w:hAnsi="Calibri"/>
                <w:color w:val="000000"/>
                <w:lang w:eastAsia="en-GB"/>
              </w:rPr>
              <w:t>A</w:t>
            </w:r>
          </w:p>
        </w:tc>
        <w:tc>
          <w:tcPr>
            <w:tcW w:w="844" w:type="dxa"/>
            <w:shd w:val="clear" w:color="auto" w:fill="auto"/>
            <w:noWrap/>
            <w:vAlign w:val="bottom"/>
            <w:hideMark/>
          </w:tcPr>
          <w:p w14:paraId="7AAE55F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0D25113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462</w:t>
            </w:r>
          </w:p>
        </w:tc>
        <w:tc>
          <w:tcPr>
            <w:tcW w:w="6983" w:type="dxa"/>
            <w:shd w:val="clear" w:color="auto" w:fill="auto"/>
            <w:noWrap/>
            <w:vAlign w:val="bottom"/>
            <w:hideMark/>
          </w:tcPr>
          <w:p w14:paraId="62124A36"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ADelt 17 1961/2: 286; KChron 1963: 385; Alexiou 1971: 337; Kanta 1980: 104; Davaras and Banou 2003: 63-64 pl. 19-20; Merousis 2000: 138;</w:t>
            </w:r>
          </w:p>
        </w:tc>
      </w:tr>
      <w:tr w:rsidR="00D76105" w:rsidRPr="00D76105" w14:paraId="2BDFB562" w14:textId="77777777" w:rsidTr="00D76105">
        <w:trPr>
          <w:trHeight w:val="315"/>
        </w:trPr>
        <w:tc>
          <w:tcPr>
            <w:tcW w:w="1034" w:type="dxa"/>
            <w:shd w:val="clear" w:color="auto" w:fill="auto"/>
            <w:noWrap/>
            <w:vAlign w:val="bottom"/>
            <w:hideMark/>
          </w:tcPr>
          <w:p w14:paraId="497767E2"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17</w:t>
            </w:r>
          </w:p>
        </w:tc>
        <w:tc>
          <w:tcPr>
            <w:tcW w:w="825" w:type="dxa"/>
            <w:shd w:val="clear" w:color="auto" w:fill="auto"/>
            <w:noWrap/>
            <w:vAlign w:val="bottom"/>
            <w:hideMark/>
          </w:tcPr>
          <w:p w14:paraId="04D93261"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13654</w:t>
            </w:r>
          </w:p>
        </w:tc>
        <w:tc>
          <w:tcPr>
            <w:tcW w:w="842" w:type="dxa"/>
            <w:shd w:val="clear" w:color="auto" w:fill="auto"/>
            <w:noWrap/>
            <w:vAlign w:val="bottom"/>
            <w:hideMark/>
          </w:tcPr>
          <w:p w14:paraId="1B6E6E96"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T05</w:t>
            </w:r>
          </w:p>
        </w:tc>
        <w:tc>
          <w:tcPr>
            <w:tcW w:w="1904" w:type="dxa"/>
            <w:shd w:val="clear" w:color="auto" w:fill="auto"/>
            <w:noWrap/>
            <w:vAlign w:val="bottom"/>
            <w:hideMark/>
          </w:tcPr>
          <w:p w14:paraId="76951E92" w14:textId="46C1054F"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KALOCHORAFITIS PRINAR</w:t>
            </w:r>
            <w:r w:rsidR="00CD596A">
              <w:rPr>
                <w:rFonts w:ascii="Calibri" w:eastAsia="Times New Roman" w:hAnsi="Calibri"/>
                <w:color w:val="000000"/>
                <w:lang w:eastAsia="en-GB"/>
              </w:rPr>
              <w:t>I</w:t>
            </w:r>
            <w:r w:rsidRPr="00D76105">
              <w:rPr>
                <w:rFonts w:ascii="Calibri" w:eastAsia="Times New Roman" w:hAnsi="Calibri"/>
                <w:color w:val="000000"/>
                <w:lang w:eastAsia="en-GB"/>
              </w:rPr>
              <w:t>A</w:t>
            </w:r>
          </w:p>
        </w:tc>
        <w:tc>
          <w:tcPr>
            <w:tcW w:w="844" w:type="dxa"/>
            <w:shd w:val="clear" w:color="auto" w:fill="auto"/>
            <w:noWrap/>
            <w:vAlign w:val="bottom"/>
            <w:hideMark/>
          </w:tcPr>
          <w:p w14:paraId="51C2BC14"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36B61A9E"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462</w:t>
            </w:r>
          </w:p>
        </w:tc>
        <w:tc>
          <w:tcPr>
            <w:tcW w:w="6983" w:type="dxa"/>
            <w:shd w:val="clear" w:color="auto" w:fill="auto"/>
            <w:noWrap/>
            <w:vAlign w:val="bottom"/>
            <w:hideMark/>
          </w:tcPr>
          <w:p w14:paraId="0327E097"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ADelt 17 1961/2: 286; KChron 1963: 385; Alexiou  1971: 337; Kanta 1980: 104; Davaras and Banou 2003: 64-65 pl. 21</w:t>
            </w:r>
          </w:p>
        </w:tc>
      </w:tr>
      <w:tr w:rsidR="00D76105" w:rsidRPr="00D76105" w14:paraId="3166E678" w14:textId="77777777" w:rsidTr="00D76105">
        <w:trPr>
          <w:trHeight w:val="315"/>
        </w:trPr>
        <w:tc>
          <w:tcPr>
            <w:tcW w:w="1034" w:type="dxa"/>
            <w:shd w:val="clear" w:color="auto" w:fill="auto"/>
            <w:noWrap/>
            <w:vAlign w:val="bottom"/>
            <w:hideMark/>
          </w:tcPr>
          <w:p w14:paraId="403E30BE"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143</w:t>
            </w:r>
          </w:p>
        </w:tc>
        <w:tc>
          <w:tcPr>
            <w:tcW w:w="825" w:type="dxa"/>
            <w:shd w:val="clear" w:color="auto" w:fill="auto"/>
            <w:noWrap/>
            <w:vAlign w:val="bottom"/>
            <w:hideMark/>
          </w:tcPr>
          <w:p w14:paraId="2CE0C616"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F. 3072</w:t>
            </w:r>
          </w:p>
        </w:tc>
        <w:tc>
          <w:tcPr>
            <w:tcW w:w="842" w:type="dxa"/>
            <w:shd w:val="clear" w:color="auto" w:fill="auto"/>
            <w:noWrap/>
            <w:vAlign w:val="bottom"/>
            <w:hideMark/>
          </w:tcPr>
          <w:p w14:paraId="461C0465"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T77</w:t>
            </w:r>
          </w:p>
        </w:tc>
        <w:tc>
          <w:tcPr>
            <w:tcW w:w="1904" w:type="dxa"/>
            <w:shd w:val="clear" w:color="auto" w:fill="auto"/>
            <w:noWrap/>
            <w:vAlign w:val="bottom"/>
            <w:hideMark/>
          </w:tcPr>
          <w:p w14:paraId="3BE17EB1"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KAMILARI</w:t>
            </w:r>
          </w:p>
        </w:tc>
        <w:tc>
          <w:tcPr>
            <w:tcW w:w="844" w:type="dxa"/>
            <w:shd w:val="clear" w:color="auto" w:fill="auto"/>
            <w:noWrap/>
            <w:vAlign w:val="bottom"/>
            <w:hideMark/>
          </w:tcPr>
          <w:p w14:paraId="54C62AA2"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515E7CFD"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468</w:t>
            </w:r>
          </w:p>
        </w:tc>
        <w:tc>
          <w:tcPr>
            <w:tcW w:w="6983" w:type="dxa"/>
            <w:shd w:val="clear" w:color="auto" w:fill="auto"/>
            <w:noWrap/>
            <w:vAlign w:val="bottom"/>
            <w:hideMark/>
          </w:tcPr>
          <w:p w14:paraId="30EDE495"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Levi 1961/62: 24-26 fig. 22, 23,31; Spiliotopoulou 2010: 112 n. 323</w:t>
            </w:r>
          </w:p>
        </w:tc>
      </w:tr>
      <w:tr w:rsidR="00D76105" w:rsidRPr="00D76105" w14:paraId="3386D197" w14:textId="77777777" w:rsidTr="00D76105">
        <w:trPr>
          <w:trHeight w:val="315"/>
        </w:trPr>
        <w:tc>
          <w:tcPr>
            <w:tcW w:w="1034" w:type="dxa"/>
            <w:shd w:val="clear" w:color="auto" w:fill="auto"/>
            <w:noWrap/>
            <w:vAlign w:val="bottom"/>
            <w:hideMark/>
          </w:tcPr>
          <w:p w14:paraId="53A4683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152</w:t>
            </w:r>
          </w:p>
        </w:tc>
        <w:tc>
          <w:tcPr>
            <w:tcW w:w="825" w:type="dxa"/>
            <w:shd w:val="clear" w:color="auto" w:fill="auto"/>
            <w:noWrap/>
            <w:vAlign w:val="bottom"/>
            <w:hideMark/>
          </w:tcPr>
          <w:p w14:paraId="653F62B8"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30485</w:t>
            </w:r>
          </w:p>
        </w:tc>
        <w:tc>
          <w:tcPr>
            <w:tcW w:w="842" w:type="dxa"/>
            <w:shd w:val="clear" w:color="auto" w:fill="auto"/>
            <w:noWrap/>
            <w:vAlign w:val="bottom"/>
            <w:hideMark/>
          </w:tcPr>
          <w:p w14:paraId="4BBB0B07"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T80</w:t>
            </w:r>
          </w:p>
        </w:tc>
        <w:tc>
          <w:tcPr>
            <w:tcW w:w="1904" w:type="dxa"/>
            <w:shd w:val="clear" w:color="auto" w:fill="auto"/>
            <w:noWrap/>
            <w:vAlign w:val="bottom"/>
            <w:hideMark/>
          </w:tcPr>
          <w:p w14:paraId="61A2F1BE"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KLIMA</w:t>
            </w:r>
          </w:p>
        </w:tc>
        <w:tc>
          <w:tcPr>
            <w:tcW w:w="844" w:type="dxa"/>
            <w:shd w:val="clear" w:color="auto" w:fill="auto"/>
            <w:noWrap/>
            <w:vAlign w:val="bottom"/>
            <w:hideMark/>
          </w:tcPr>
          <w:p w14:paraId="4320FCE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639440C7"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480</w:t>
            </w:r>
          </w:p>
        </w:tc>
        <w:tc>
          <w:tcPr>
            <w:tcW w:w="6983" w:type="dxa"/>
            <w:shd w:val="clear" w:color="auto" w:fill="auto"/>
            <w:noWrap/>
            <w:vAlign w:val="bottom"/>
            <w:hideMark/>
          </w:tcPr>
          <w:p w14:paraId="4985F7F8"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ADelt 38 1983: 354 tav. 152 a-st; Rethemiotakis  1995: 163-181, fig. 3-7, pl. 42 a-b, 43 a-g; Merousis 2000: 140; Spiliotopoulou 2010: 110-111, pl. 35 316</w:t>
            </w:r>
          </w:p>
        </w:tc>
      </w:tr>
      <w:tr w:rsidR="00D76105" w:rsidRPr="00D76105" w14:paraId="0B550465" w14:textId="77777777" w:rsidTr="00D76105">
        <w:trPr>
          <w:trHeight w:val="315"/>
        </w:trPr>
        <w:tc>
          <w:tcPr>
            <w:tcW w:w="1034" w:type="dxa"/>
            <w:shd w:val="clear" w:color="auto" w:fill="auto"/>
            <w:noWrap/>
            <w:vAlign w:val="bottom"/>
            <w:hideMark/>
          </w:tcPr>
          <w:p w14:paraId="5623684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153</w:t>
            </w:r>
          </w:p>
        </w:tc>
        <w:tc>
          <w:tcPr>
            <w:tcW w:w="825" w:type="dxa"/>
            <w:shd w:val="clear" w:color="auto" w:fill="auto"/>
            <w:noWrap/>
            <w:vAlign w:val="bottom"/>
            <w:hideMark/>
          </w:tcPr>
          <w:p w14:paraId="2764E84E"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larnax III</w:t>
            </w:r>
          </w:p>
        </w:tc>
        <w:tc>
          <w:tcPr>
            <w:tcW w:w="842" w:type="dxa"/>
            <w:shd w:val="clear" w:color="auto" w:fill="auto"/>
            <w:noWrap/>
            <w:vAlign w:val="bottom"/>
            <w:hideMark/>
          </w:tcPr>
          <w:p w14:paraId="6530B0C1"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T80</w:t>
            </w:r>
          </w:p>
        </w:tc>
        <w:tc>
          <w:tcPr>
            <w:tcW w:w="1904" w:type="dxa"/>
            <w:shd w:val="clear" w:color="auto" w:fill="auto"/>
            <w:noWrap/>
            <w:vAlign w:val="bottom"/>
            <w:hideMark/>
          </w:tcPr>
          <w:p w14:paraId="17F9D3B4"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KLIMA</w:t>
            </w:r>
          </w:p>
        </w:tc>
        <w:tc>
          <w:tcPr>
            <w:tcW w:w="844" w:type="dxa"/>
            <w:shd w:val="clear" w:color="auto" w:fill="auto"/>
            <w:noWrap/>
            <w:vAlign w:val="bottom"/>
            <w:hideMark/>
          </w:tcPr>
          <w:p w14:paraId="663B4FF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0C77C40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480</w:t>
            </w:r>
          </w:p>
        </w:tc>
        <w:tc>
          <w:tcPr>
            <w:tcW w:w="6983" w:type="dxa"/>
            <w:shd w:val="clear" w:color="auto" w:fill="auto"/>
            <w:noWrap/>
            <w:vAlign w:val="bottom"/>
            <w:hideMark/>
          </w:tcPr>
          <w:p w14:paraId="69A8C9DD"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ADelt 38 1983: 354 tav. 152 a-st; Rethemiotakis 1995: 163-181, pl. 44 a-b 45 a-b; Spiliotopoulou 2010: 110-111, pl. 36 317</w:t>
            </w:r>
          </w:p>
        </w:tc>
      </w:tr>
      <w:tr w:rsidR="00D76105" w:rsidRPr="00D76105" w14:paraId="5F640803" w14:textId="77777777" w:rsidTr="00D76105">
        <w:trPr>
          <w:trHeight w:val="315"/>
        </w:trPr>
        <w:tc>
          <w:tcPr>
            <w:tcW w:w="1034" w:type="dxa"/>
            <w:shd w:val="clear" w:color="auto" w:fill="auto"/>
            <w:noWrap/>
            <w:vAlign w:val="bottom"/>
            <w:hideMark/>
          </w:tcPr>
          <w:p w14:paraId="579659C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154</w:t>
            </w:r>
          </w:p>
        </w:tc>
        <w:tc>
          <w:tcPr>
            <w:tcW w:w="825" w:type="dxa"/>
            <w:shd w:val="clear" w:color="auto" w:fill="auto"/>
            <w:noWrap/>
            <w:vAlign w:val="bottom"/>
            <w:hideMark/>
          </w:tcPr>
          <w:p w14:paraId="3DFE0A65"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larnax IV</w:t>
            </w:r>
          </w:p>
        </w:tc>
        <w:tc>
          <w:tcPr>
            <w:tcW w:w="842" w:type="dxa"/>
            <w:shd w:val="clear" w:color="auto" w:fill="auto"/>
            <w:noWrap/>
            <w:vAlign w:val="bottom"/>
            <w:hideMark/>
          </w:tcPr>
          <w:p w14:paraId="55E190E4"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T80</w:t>
            </w:r>
          </w:p>
        </w:tc>
        <w:tc>
          <w:tcPr>
            <w:tcW w:w="1904" w:type="dxa"/>
            <w:shd w:val="clear" w:color="auto" w:fill="auto"/>
            <w:noWrap/>
            <w:vAlign w:val="bottom"/>
            <w:hideMark/>
          </w:tcPr>
          <w:p w14:paraId="4980709D"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KLIMA</w:t>
            </w:r>
          </w:p>
        </w:tc>
        <w:tc>
          <w:tcPr>
            <w:tcW w:w="844" w:type="dxa"/>
            <w:shd w:val="clear" w:color="auto" w:fill="auto"/>
            <w:noWrap/>
            <w:vAlign w:val="bottom"/>
            <w:hideMark/>
          </w:tcPr>
          <w:p w14:paraId="5F6D258E"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79468F5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480</w:t>
            </w:r>
          </w:p>
        </w:tc>
        <w:tc>
          <w:tcPr>
            <w:tcW w:w="6983" w:type="dxa"/>
            <w:shd w:val="clear" w:color="auto" w:fill="auto"/>
            <w:noWrap/>
            <w:vAlign w:val="bottom"/>
            <w:hideMark/>
          </w:tcPr>
          <w:p w14:paraId="22F65693"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ADelt 38 1983: 354 tav. 152 a-st; Rethemiotakis  1995: 163-181,  pl. 45 g,  46 a-b;  Spiliotopoulou 2010: 110-111, pl. 36 318</w:t>
            </w:r>
          </w:p>
        </w:tc>
      </w:tr>
      <w:tr w:rsidR="00D76105" w:rsidRPr="00D76105" w14:paraId="446E8C2B" w14:textId="77777777" w:rsidTr="00D76105">
        <w:trPr>
          <w:trHeight w:val="315"/>
        </w:trPr>
        <w:tc>
          <w:tcPr>
            <w:tcW w:w="1034" w:type="dxa"/>
            <w:shd w:val="clear" w:color="auto" w:fill="auto"/>
            <w:noWrap/>
            <w:vAlign w:val="bottom"/>
            <w:hideMark/>
          </w:tcPr>
          <w:p w14:paraId="1B94474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172</w:t>
            </w:r>
          </w:p>
        </w:tc>
        <w:tc>
          <w:tcPr>
            <w:tcW w:w="825" w:type="dxa"/>
            <w:shd w:val="clear" w:color="auto" w:fill="auto"/>
            <w:noWrap/>
            <w:vAlign w:val="bottom"/>
            <w:hideMark/>
          </w:tcPr>
          <w:p w14:paraId="227FA073"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84035</w:t>
            </w:r>
          </w:p>
        </w:tc>
        <w:tc>
          <w:tcPr>
            <w:tcW w:w="842" w:type="dxa"/>
            <w:shd w:val="clear" w:color="auto" w:fill="auto"/>
            <w:noWrap/>
            <w:vAlign w:val="bottom"/>
            <w:hideMark/>
          </w:tcPr>
          <w:p w14:paraId="153B28F5"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T85</w:t>
            </w:r>
          </w:p>
        </w:tc>
        <w:tc>
          <w:tcPr>
            <w:tcW w:w="1904" w:type="dxa"/>
            <w:shd w:val="clear" w:color="auto" w:fill="auto"/>
            <w:noWrap/>
            <w:vAlign w:val="bottom"/>
            <w:hideMark/>
          </w:tcPr>
          <w:p w14:paraId="199EF5EE"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LILIANA</w:t>
            </w:r>
          </w:p>
        </w:tc>
        <w:tc>
          <w:tcPr>
            <w:tcW w:w="844" w:type="dxa"/>
            <w:shd w:val="clear" w:color="auto" w:fill="auto"/>
            <w:noWrap/>
            <w:vAlign w:val="bottom"/>
            <w:hideMark/>
          </w:tcPr>
          <w:p w14:paraId="024D6469"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6E11C56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742</w:t>
            </w:r>
          </w:p>
        </w:tc>
        <w:tc>
          <w:tcPr>
            <w:tcW w:w="6983" w:type="dxa"/>
            <w:shd w:val="clear" w:color="auto" w:fill="auto"/>
            <w:noWrap/>
            <w:vAlign w:val="bottom"/>
            <w:hideMark/>
          </w:tcPr>
          <w:p w14:paraId="3ACF7955"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Savignoni 1904: 647-648 fig. 118; Kanta 1980: 100; Di Vita et al. 1984: 221 fig. 398-399; Merousis 2000: 187; Spiliotopoulou 2010: 112 n. 325</w:t>
            </w:r>
          </w:p>
        </w:tc>
      </w:tr>
      <w:tr w:rsidR="00D76105" w:rsidRPr="00D76105" w14:paraId="2A9945EF" w14:textId="77777777" w:rsidTr="00D76105">
        <w:trPr>
          <w:trHeight w:val="315"/>
        </w:trPr>
        <w:tc>
          <w:tcPr>
            <w:tcW w:w="1034" w:type="dxa"/>
            <w:shd w:val="clear" w:color="auto" w:fill="auto"/>
            <w:noWrap/>
            <w:vAlign w:val="bottom"/>
            <w:hideMark/>
          </w:tcPr>
          <w:p w14:paraId="600422BD"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192</w:t>
            </w:r>
          </w:p>
        </w:tc>
        <w:tc>
          <w:tcPr>
            <w:tcW w:w="825" w:type="dxa"/>
            <w:shd w:val="clear" w:color="auto" w:fill="auto"/>
            <w:noWrap/>
            <w:vAlign w:val="bottom"/>
            <w:hideMark/>
          </w:tcPr>
          <w:p w14:paraId="19B593B0"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9339 or 1339</w:t>
            </w:r>
          </w:p>
        </w:tc>
        <w:tc>
          <w:tcPr>
            <w:tcW w:w="842" w:type="dxa"/>
            <w:shd w:val="clear" w:color="auto" w:fill="auto"/>
            <w:noWrap/>
            <w:vAlign w:val="bottom"/>
            <w:hideMark/>
          </w:tcPr>
          <w:p w14:paraId="65EF976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T94</w:t>
            </w:r>
          </w:p>
        </w:tc>
        <w:tc>
          <w:tcPr>
            <w:tcW w:w="1904" w:type="dxa"/>
            <w:shd w:val="clear" w:color="auto" w:fill="auto"/>
            <w:noWrap/>
            <w:vAlign w:val="bottom"/>
            <w:hideMark/>
          </w:tcPr>
          <w:p w14:paraId="33907422"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MIRES</w:t>
            </w:r>
          </w:p>
        </w:tc>
        <w:tc>
          <w:tcPr>
            <w:tcW w:w="844" w:type="dxa"/>
            <w:shd w:val="clear" w:color="auto" w:fill="auto"/>
            <w:noWrap/>
            <w:vAlign w:val="bottom"/>
            <w:hideMark/>
          </w:tcPr>
          <w:p w14:paraId="47C3FFC9"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4538AE24"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705</w:t>
            </w:r>
          </w:p>
        </w:tc>
        <w:tc>
          <w:tcPr>
            <w:tcW w:w="6983" w:type="dxa"/>
            <w:shd w:val="clear" w:color="auto" w:fill="auto"/>
            <w:noWrap/>
            <w:vAlign w:val="bottom"/>
            <w:hideMark/>
          </w:tcPr>
          <w:p w14:paraId="2A7D790A"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Platon 1940: 489; Laviosa 1970: 99 n. 1; Kanta 1980: 89;Spiliotopoulou 2010: 109 n. 307</w:t>
            </w:r>
          </w:p>
        </w:tc>
      </w:tr>
      <w:tr w:rsidR="00D76105" w:rsidRPr="00D76105" w14:paraId="285DE192" w14:textId="77777777" w:rsidTr="00D76105">
        <w:trPr>
          <w:trHeight w:val="315"/>
        </w:trPr>
        <w:tc>
          <w:tcPr>
            <w:tcW w:w="1034" w:type="dxa"/>
            <w:shd w:val="clear" w:color="auto" w:fill="auto"/>
            <w:noWrap/>
            <w:vAlign w:val="bottom"/>
            <w:hideMark/>
          </w:tcPr>
          <w:p w14:paraId="551C985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205</w:t>
            </w:r>
          </w:p>
        </w:tc>
        <w:tc>
          <w:tcPr>
            <w:tcW w:w="825" w:type="dxa"/>
            <w:shd w:val="clear" w:color="auto" w:fill="auto"/>
            <w:noWrap/>
            <w:vAlign w:val="bottom"/>
            <w:hideMark/>
          </w:tcPr>
          <w:p w14:paraId="450E575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842" w:type="dxa"/>
            <w:shd w:val="clear" w:color="auto" w:fill="auto"/>
            <w:noWrap/>
            <w:vAlign w:val="bottom"/>
            <w:hideMark/>
          </w:tcPr>
          <w:p w14:paraId="523994D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T101</w:t>
            </w:r>
          </w:p>
        </w:tc>
        <w:tc>
          <w:tcPr>
            <w:tcW w:w="1904" w:type="dxa"/>
            <w:shd w:val="clear" w:color="auto" w:fill="auto"/>
            <w:noWrap/>
            <w:vAlign w:val="bottom"/>
            <w:hideMark/>
          </w:tcPr>
          <w:p w14:paraId="0610266C"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STAVROS GALIAS</w:t>
            </w:r>
          </w:p>
        </w:tc>
        <w:tc>
          <w:tcPr>
            <w:tcW w:w="844" w:type="dxa"/>
            <w:shd w:val="clear" w:color="auto" w:fill="auto"/>
            <w:noWrap/>
            <w:vAlign w:val="bottom"/>
            <w:hideMark/>
          </w:tcPr>
          <w:p w14:paraId="349EABB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462D7074"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425</w:t>
            </w:r>
          </w:p>
        </w:tc>
        <w:tc>
          <w:tcPr>
            <w:tcW w:w="6983" w:type="dxa"/>
            <w:shd w:val="clear" w:color="auto" w:fill="auto"/>
            <w:noWrap/>
            <w:vAlign w:val="bottom"/>
            <w:hideMark/>
          </w:tcPr>
          <w:p w14:paraId="583FF31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KChr 1963: 405; ADelt 19 1964: 441;Karetsou 1975: 522-526; Kanta 1980: 89-90; Merousis 2000: 182; Spiliotopoulou 2010: 109; Langohr 2009, 121-122.</w:t>
            </w:r>
          </w:p>
        </w:tc>
      </w:tr>
      <w:tr w:rsidR="00D76105" w:rsidRPr="00D76105" w14:paraId="74D9F9EA" w14:textId="77777777" w:rsidTr="00D76105">
        <w:trPr>
          <w:trHeight w:val="315"/>
        </w:trPr>
        <w:tc>
          <w:tcPr>
            <w:tcW w:w="1034" w:type="dxa"/>
            <w:shd w:val="clear" w:color="auto" w:fill="auto"/>
            <w:noWrap/>
            <w:vAlign w:val="bottom"/>
            <w:hideMark/>
          </w:tcPr>
          <w:p w14:paraId="34A36F9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581</w:t>
            </w:r>
          </w:p>
        </w:tc>
        <w:tc>
          <w:tcPr>
            <w:tcW w:w="825" w:type="dxa"/>
            <w:shd w:val="clear" w:color="auto" w:fill="auto"/>
            <w:noWrap/>
            <w:vAlign w:val="bottom"/>
            <w:hideMark/>
          </w:tcPr>
          <w:p w14:paraId="7CFBB2C3"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1612</w:t>
            </w:r>
          </w:p>
        </w:tc>
        <w:tc>
          <w:tcPr>
            <w:tcW w:w="842" w:type="dxa"/>
            <w:shd w:val="clear" w:color="auto" w:fill="auto"/>
            <w:noWrap/>
            <w:vAlign w:val="bottom"/>
            <w:hideMark/>
          </w:tcPr>
          <w:p w14:paraId="5F05DFAB"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T269</w:t>
            </w:r>
          </w:p>
        </w:tc>
        <w:tc>
          <w:tcPr>
            <w:tcW w:w="1904" w:type="dxa"/>
            <w:shd w:val="clear" w:color="auto" w:fill="auto"/>
            <w:noWrap/>
            <w:vAlign w:val="bottom"/>
            <w:hideMark/>
          </w:tcPr>
          <w:p w14:paraId="7F6294A2"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VASILIKA ANOGEIA</w:t>
            </w:r>
          </w:p>
        </w:tc>
        <w:tc>
          <w:tcPr>
            <w:tcW w:w="844" w:type="dxa"/>
            <w:shd w:val="clear" w:color="auto" w:fill="auto"/>
            <w:noWrap/>
            <w:vAlign w:val="bottom"/>
            <w:hideMark/>
          </w:tcPr>
          <w:p w14:paraId="03ED122D"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38DEFD9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782</w:t>
            </w:r>
          </w:p>
        </w:tc>
        <w:tc>
          <w:tcPr>
            <w:tcW w:w="6983" w:type="dxa"/>
            <w:shd w:val="clear" w:color="auto" w:fill="auto"/>
            <w:noWrap/>
            <w:vAlign w:val="bottom"/>
            <w:hideMark/>
          </w:tcPr>
          <w:p w14:paraId="5DB49C38"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Orsi 1890: 203-208, pl.1.1, 3; Paribeni 1904:679; Pendlebury et al. 1932-3:88; Pendlebury 1939:264; KChr 2 1948: 527;KChr 6 1952: 485 ; Pini 1968:93; Hood 1978:45, fig.24; Schachermeyr 1979:336; Kanta 1980:93; Merousis 200: 123 pl. 10 n. 42</w:t>
            </w:r>
          </w:p>
        </w:tc>
      </w:tr>
      <w:tr w:rsidR="00D76105" w:rsidRPr="00D76105" w14:paraId="603A3586" w14:textId="77777777" w:rsidTr="00D76105">
        <w:trPr>
          <w:trHeight w:val="315"/>
        </w:trPr>
        <w:tc>
          <w:tcPr>
            <w:tcW w:w="1034" w:type="dxa"/>
            <w:shd w:val="clear" w:color="auto" w:fill="auto"/>
            <w:noWrap/>
            <w:vAlign w:val="bottom"/>
            <w:hideMark/>
          </w:tcPr>
          <w:p w14:paraId="6955839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582</w:t>
            </w:r>
          </w:p>
        </w:tc>
        <w:tc>
          <w:tcPr>
            <w:tcW w:w="825" w:type="dxa"/>
            <w:shd w:val="clear" w:color="auto" w:fill="auto"/>
            <w:noWrap/>
            <w:vAlign w:val="bottom"/>
            <w:hideMark/>
          </w:tcPr>
          <w:p w14:paraId="10A5FBD2"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163</w:t>
            </w:r>
          </w:p>
        </w:tc>
        <w:tc>
          <w:tcPr>
            <w:tcW w:w="842" w:type="dxa"/>
            <w:shd w:val="clear" w:color="auto" w:fill="auto"/>
            <w:noWrap/>
            <w:vAlign w:val="bottom"/>
            <w:hideMark/>
          </w:tcPr>
          <w:p w14:paraId="4ABA511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T269</w:t>
            </w:r>
          </w:p>
        </w:tc>
        <w:tc>
          <w:tcPr>
            <w:tcW w:w="1904" w:type="dxa"/>
            <w:shd w:val="clear" w:color="auto" w:fill="auto"/>
            <w:noWrap/>
            <w:vAlign w:val="bottom"/>
            <w:hideMark/>
          </w:tcPr>
          <w:p w14:paraId="68C6138E"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VASILIKA ANOGEIA</w:t>
            </w:r>
          </w:p>
        </w:tc>
        <w:tc>
          <w:tcPr>
            <w:tcW w:w="844" w:type="dxa"/>
            <w:shd w:val="clear" w:color="auto" w:fill="auto"/>
            <w:noWrap/>
            <w:vAlign w:val="bottom"/>
            <w:hideMark/>
          </w:tcPr>
          <w:p w14:paraId="11E928D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747" w:type="dxa"/>
            <w:shd w:val="clear" w:color="auto" w:fill="auto"/>
            <w:noWrap/>
            <w:vAlign w:val="bottom"/>
            <w:hideMark/>
          </w:tcPr>
          <w:p w14:paraId="38D1B74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782</w:t>
            </w:r>
          </w:p>
        </w:tc>
        <w:tc>
          <w:tcPr>
            <w:tcW w:w="6983" w:type="dxa"/>
            <w:shd w:val="clear" w:color="auto" w:fill="auto"/>
            <w:noWrap/>
            <w:vAlign w:val="bottom"/>
            <w:hideMark/>
          </w:tcPr>
          <w:p w14:paraId="6070BE1D"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Orsi 1890:203-208, pl.1.1, 3; Paribeni 1904:679; Pendlebury et al. 1932-3:88; Pendlebury 1939:264; KChr 2 1948: 527;KChr 6 1952: 485 ; Pini 1968:93; Hood 1978:45, fig.24; Schachermeyr 1979:336; Kanta 1980:93; Merousis 200: 123; Spiliotopoulou 2010: 108</w:t>
            </w:r>
          </w:p>
        </w:tc>
      </w:tr>
    </w:tbl>
    <w:p w14:paraId="4B2C5CA5" w14:textId="55FC3D3A" w:rsidR="00D76105" w:rsidRDefault="00D76105" w:rsidP="003860B7">
      <w:pPr>
        <w:rPr>
          <w:b/>
          <w:sz w:val="28"/>
        </w:rPr>
      </w:pPr>
    </w:p>
    <w:p w14:paraId="48C5BD20" w14:textId="64F55368" w:rsidR="00D76105" w:rsidRDefault="00D76105" w:rsidP="003860B7">
      <w:pPr>
        <w:rPr>
          <w:b/>
          <w:sz w:val="28"/>
        </w:rPr>
      </w:pPr>
    </w:p>
    <w:p w14:paraId="328DB45E" w14:textId="24DCF922" w:rsidR="00D76105" w:rsidRDefault="00D76105" w:rsidP="003860B7">
      <w:pPr>
        <w:rPr>
          <w:b/>
          <w:sz w:val="28"/>
        </w:rPr>
      </w:pPr>
      <w:r>
        <w:rPr>
          <w:b/>
          <w:sz w:val="28"/>
        </w:rPr>
        <w:t>Knossos Area</w:t>
      </w:r>
    </w:p>
    <w:tbl>
      <w:tblPr>
        <w:tblW w:w="47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2"/>
        <w:gridCol w:w="850"/>
        <w:gridCol w:w="855"/>
        <w:gridCol w:w="1567"/>
        <w:gridCol w:w="850"/>
        <w:gridCol w:w="565"/>
        <w:gridCol w:w="994"/>
        <w:gridCol w:w="6794"/>
      </w:tblGrid>
      <w:tr w:rsidR="00F46468" w:rsidRPr="00D76105" w14:paraId="2A6861D3" w14:textId="77777777" w:rsidTr="00F52D43">
        <w:trPr>
          <w:trHeight w:val="315"/>
        </w:trPr>
        <w:tc>
          <w:tcPr>
            <w:tcW w:w="406" w:type="pct"/>
            <w:shd w:val="clear" w:color="auto" w:fill="auto"/>
            <w:noWrap/>
            <w:vAlign w:val="bottom"/>
            <w:hideMark/>
          </w:tcPr>
          <w:p w14:paraId="5C8F5DDD"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ID LARNAX</w:t>
            </w:r>
          </w:p>
        </w:tc>
        <w:tc>
          <w:tcPr>
            <w:tcW w:w="313" w:type="pct"/>
            <w:shd w:val="clear" w:color="auto" w:fill="auto"/>
            <w:noWrap/>
            <w:vAlign w:val="bottom"/>
            <w:hideMark/>
          </w:tcPr>
          <w:p w14:paraId="0310BF68"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INV. N.</w:t>
            </w:r>
          </w:p>
        </w:tc>
        <w:tc>
          <w:tcPr>
            <w:tcW w:w="315" w:type="pct"/>
            <w:shd w:val="clear" w:color="auto" w:fill="auto"/>
            <w:noWrap/>
            <w:vAlign w:val="bottom"/>
            <w:hideMark/>
          </w:tcPr>
          <w:p w14:paraId="348B9D46"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ID TOMB</w:t>
            </w:r>
          </w:p>
        </w:tc>
        <w:tc>
          <w:tcPr>
            <w:tcW w:w="577" w:type="pct"/>
            <w:shd w:val="clear" w:color="auto" w:fill="auto"/>
            <w:noWrap/>
            <w:vAlign w:val="bottom"/>
            <w:hideMark/>
          </w:tcPr>
          <w:p w14:paraId="6B1D4B83"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BURIAL LOCATION</w:t>
            </w:r>
          </w:p>
        </w:tc>
        <w:tc>
          <w:tcPr>
            <w:tcW w:w="313" w:type="pct"/>
            <w:shd w:val="clear" w:color="auto" w:fill="auto"/>
            <w:noWrap/>
            <w:vAlign w:val="bottom"/>
            <w:hideMark/>
          </w:tcPr>
          <w:p w14:paraId="5DE6E390"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CHEST</w:t>
            </w:r>
          </w:p>
        </w:tc>
        <w:tc>
          <w:tcPr>
            <w:tcW w:w="208" w:type="pct"/>
            <w:shd w:val="clear" w:color="auto" w:fill="auto"/>
            <w:noWrap/>
            <w:vAlign w:val="bottom"/>
            <w:hideMark/>
          </w:tcPr>
          <w:p w14:paraId="7DB4F8A1"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LID</w:t>
            </w:r>
          </w:p>
        </w:tc>
        <w:tc>
          <w:tcPr>
            <w:tcW w:w="366" w:type="pct"/>
            <w:shd w:val="clear" w:color="auto" w:fill="auto"/>
            <w:noWrap/>
            <w:vAlign w:val="bottom"/>
            <w:hideMark/>
          </w:tcPr>
          <w:p w14:paraId="22B33938"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Löwe</w:t>
            </w:r>
          </w:p>
        </w:tc>
        <w:tc>
          <w:tcPr>
            <w:tcW w:w="2501" w:type="pct"/>
            <w:shd w:val="clear" w:color="auto" w:fill="auto"/>
            <w:noWrap/>
            <w:vAlign w:val="bottom"/>
            <w:hideMark/>
          </w:tcPr>
          <w:p w14:paraId="50A6CF37" w14:textId="77777777" w:rsidR="00D76105" w:rsidRPr="00D76105" w:rsidRDefault="00D76105"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bibliography</w:t>
            </w:r>
          </w:p>
        </w:tc>
      </w:tr>
      <w:tr w:rsidR="00F46468" w:rsidRPr="00D76105" w14:paraId="2BB1BFDA" w14:textId="77777777" w:rsidTr="00F52D43">
        <w:trPr>
          <w:trHeight w:val="315"/>
        </w:trPr>
        <w:tc>
          <w:tcPr>
            <w:tcW w:w="406" w:type="pct"/>
            <w:shd w:val="clear" w:color="auto" w:fill="auto"/>
            <w:noWrap/>
            <w:vAlign w:val="bottom"/>
            <w:hideMark/>
          </w:tcPr>
          <w:p w14:paraId="017DA443"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676</w:t>
            </w:r>
          </w:p>
        </w:tc>
        <w:tc>
          <w:tcPr>
            <w:tcW w:w="313" w:type="pct"/>
            <w:shd w:val="clear" w:color="auto" w:fill="auto"/>
            <w:noWrap/>
            <w:vAlign w:val="bottom"/>
            <w:hideMark/>
          </w:tcPr>
          <w:p w14:paraId="4C135231"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14692</w:t>
            </w:r>
          </w:p>
        </w:tc>
        <w:tc>
          <w:tcPr>
            <w:tcW w:w="315" w:type="pct"/>
            <w:shd w:val="clear" w:color="auto" w:fill="auto"/>
            <w:noWrap/>
            <w:vAlign w:val="bottom"/>
            <w:hideMark/>
          </w:tcPr>
          <w:p w14:paraId="1C44EFF4"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T301</w:t>
            </w:r>
          </w:p>
        </w:tc>
        <w:tc>
          <w:tcPr>
            <w:tcW w:w="577" w:type="pct"/>
            <w:shd w:val="clear" w:color="auto" w:fill="auto"/>
            <w:noWrap/>
            <w:vAlign w:val="bottom"/>
            <w:hideMark/>
          </w:tcPr>
          <w:p w14:paraId="1BB633E4"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KATSAMBAS</w:t>
            </w:r>
          </w:p>
        </w:tc>
        <w:tc>
          <w:tcPr>
            <w:tcW w:w="313" w:type="pct"/>
            <w:shd w:val="clear" w:color="auto" w:fill="auto"/>
            <w:noWrap/>
            <w:vAlign w:val="bottom"/>
            <w:hideMark/>
          </w:tcPr>
          <w:p w14:paraId="37F179E9"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45DEAF7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0AFD6D0D"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449</w:t>
            </w:r>
          </w:p>
        </w:tc>
        <w:tc>
          <w:tcPr>
            <w:tcW w:w="2501" w:type="pct"/>
            <w:shd w:val="clear" w:color="auto" w:fill="auto"/>
            <w:noWrap/>
            <w:vAlign w:val="bottom"/>
            <w:hideMark/>
          </w:tcPr>
          <w:p w14:paraId="374D4DE3"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Alexiou 1967: 26-40 pl. 23 a; Kanta 1980: 29; Merousis 2000: 139 n. 82;  Spiliotopoulou 2010: 86, pl. 24 n. 181</w:t>
            </w:r>
          </w:p>
        </w:tc>
      </w:tr>
      <w:tr w:rsidR="00F46468" w:rsidRPr="00D76105" w14:paraId="5CEAA4D4" w14:textId="77777777" w:rsidTr="00F52D43">
        <w:trPr>
          <w:trHeight w:val="315"/>
        </w:trPr>
        <w:tc>
          <w:tcPr>
            <w:tcW w:w="406" w:type="pct"/>
            <w:shd w:val="clear" w:color="auto" w:fill="auto"/>
            <w:noWrap/>
            <w:vAlign w:val="bottom"/>
            <w:hideMark/>
          </w:tcPr>
          <w:p w14:paraId="5D19E57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118</w:t>
            </w:r>
          </w:p>
        </w:tc>
        <w:tc>
          <w:tcPr>
            <w:tcW w:w="313" w:type="pct"/>
            <w:shd w:val="clear" w:color="auto" w:fill="auto"/>
            <w:noWrap/>
            <w:vAlign w:val="bottom"/>
            <w:hideMark/>
          </w:tcPr>
          <w:p w14:paraId="4585B757"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35D750A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T61</w:t>
            </w:r>
          </w:p>
        </w:tc>
        <w:tc>
          <w:tcPr>
            <w:tcW w:w="577" w:type="pct"/>
            <w:shd w:val="clear" w:color="auto" w:fill="auto"/>
            <w:noWrap/>
            <w:vAlign w:val="bottom"/>
            <w:hideMark/>
          </w:tcPr>
          <w:p w14:paraId="203E24E2"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LOWER GYPSADES</w:t>
            </w:r>
          </w:p>
        </w:tc>
        <w:tc>
          <w:tcPr>
            <w:tcW w:w="313" w:type="pct"/>
            <w:shd w:val="clear" w:color="auto" w:fill="auto"/>
            <w:noWrap/>
            <w:vAlign w:val="bottom"/>
            <w:hideMark/>
          </w:tcPr>
          <w:p w14:paraId="0B19C28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76477E84"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2FCD7BE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543</w:t>
            </w:r>
          </w:p>
        </w:tc>
        <w:tc>
          <w:tcPr>
            <w:tcW w:w="2501" w:type="pct"/>
            <w:shd w:val="clear" w:color="auto" w:fill="auto"/>
            <w:noWrap/>
            <w:vAlign w:val="bottom"/>
            <w:hideMark/>
          </w:tcPr>
          <w:p w14:paraId="791605D5"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Coldstream 1963: 32-33 fig. 2 pl. 10 b; Spiliotopoulou 2010: 87 pl. 25 n. 188</w:t>
            </w:r>
          </w:p>
        </w:tc>
      </w:tr>
      <w:tr w:rsidR="00F46468" w:rsidRPr="00D76105" w14:paraId="6D697A51" w14:textId="77777777" w:rsidTr="00F52D43">
        <w:trPr>
          <w:trHeight w:val="315"/>
        </w:trPr>
        <w:tc>
          <w:tcPr>
            <w:tcW w:w="406" w:type="pct"/>
            <w:shd w:val="clear" w:color="auto" w:fill="auto"/>
            <w:noWrap/>
            <w:vAlign w:val="bottom"/>
            <w:hideMark/>
          </w:tcPr>
          <w:p w14:paraId="30C23AF3"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119</w:t>
            </w:r>
          </w:p>
        </w:tc>
        <w:tc>
          <w:tcPr>
            <w:tcW w:w="313" w:type="pct"/>
            <w:shd w:val="clear" w:color="auto" w:fill="auto"/>
            <w:noWrap/>
            <w:vAlign w:val="bottom"/>
            <w:hideMark/>
          </w:tcPr>
          <w:p w14:paraId="265C3F44"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3BF3D604"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T61</w:t>
            </w:r>
          </w:p>
        </w:tc>
        <w:tc>
          <w:tcPr>
            <w:tcW w:w="577" w:type="pct"/>
            <w:shd w:val="clear" w:color="auto" w:fill="auto"/>
            <w:noWrap/>
            <w:vAlign w:val="bottom"/>
            <w:hideMark/>
          </w:tcPr>
          <w:p w14:paraId="146627C7"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LOWER GYPSADES</w:t>
            </w:r>
          </w:p>
        </w:tc>
        <w:tc>
          <w:tcPr>
            <w:tcW w:w="313" w:type="pct"/>
            <w:shd w:val="clear" w:color="auto" w:fill="auto"/>
            <w:noWrap/>
            <w:vAlign w:val="bottom"/>
            <w:hideMark/>
          </w:tcPr>
          <w:p w14:paraId="2E10CC5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557C17A5"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14A4005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543</w:t>
            </w:r>
          </w:p>
        </w:tc>
        <w:tc>
          <w:tcPr>
            <w:tcW w:w="2501" w:type="pct"/>
            <w:shd w:val="clear" w:color="auto" w:fill="auto"/>
            <w:noWrap/>
            <w:vAlign w:val="bottom"/>
            <w:hideMark/>
          </w:tcPr>
          <w:p w14:paraId="72ACE210"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Coldstream 1963: 33; Spiliotopoulou 2010: 88 n. 189</w:t>
            </w:r>
          </w:p>
        </w:tc>
      </w:tr>
      <w:tr w:rsidR="00F46468" w:rsidRPr="00D76105" w14:paraId="7F049479" w14:textId="77777777" w:rsidTr="00F52D43">
        <w:trPr>
          <w:trHeight w:val="315"/>
        </w:trPr>
        <w:tc>
          <w:tcPr>
            <w:tcW w:w="406" w:type="pct"/>
            <w:shd w:val="clear" w:color="auto" w:fill="auto"/>
            <w:noWrap/>
            <w:vAlign w:val="bottom"/>
            <w:hideMark/>
          </w:tcPr>
          <w:p w14:paraId="0286750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32</w:t>
            </w:r>
          </w:p>
        </w:tc>
        <w:tc>
          <w:tcPr>
            <w:tcW w:w="313" w:type="pct"/>
            <w:shd w:val="clear" w:color="auto" w:fill="auto"/>
            <w:noWrap/>
            <w:vAlign w:val="bottom"/>
            <w:hideMark/>
          </w:tcPr>
          <w:p w14:paraId="7B447444"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0C2D560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T17</w:t>
            </w:r>
          </w:p>
        </w:tc>
        <w:tc>
          <w:tcPr>
            <w:tcW w:w="577" w:type="pct"/>
            <w:shd w:val="clear" w:color="auto" w:fill="auto"/>
            <w:noWrap/>
            <w:vAlign w:val="bottom"/>
            <w:hideMark/>
          </w:tcPr>
          <w:p w14:paraId="424A4F17"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MAVRO SPELIO</w:t>
            </w:r>
          </w:p>
        </w:tc>
        <w:tc>
          <w:tcPr>
            <w:tcW w:w="313" w:type="pct"/>
            <w:shd w:val="clear" w:color="auto" w:fill="auto"/>
            <w:noWrap/>
            <w:vAlign w:val="bottom"/>
            <w:hideMark/>
          </w:tcPr>
          <w:p w14:paraId="37C90B8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36CD3D7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7ABD151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557</w:t>
            </w:r>
          </w:p>
        </w:tc>
        <w:tc>
          <w:tcPr>
            <w:tcW w:w="2501" w:type="pct"/>
            <w:shd w:val="clear" w:color="auto" w:fill="auto"/>
            <w:noWrap/>
            <w:vAlign w:val="bottom"/>
            <w:hideMark/>
          </w:tcPr>
          <w:p w14:paraId="42DEF90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Forsdyke 1926/27: 257 (tomb V); Spiliotopoulou 2010: 95-97</w:t>
            </w:r>
          </w:p>
        </w:tc>
      </w:tr>
      <w:tr w:rsidR="00F46468" w:rsidRPr="00D76105" w14:paraId="56CC34AE" w14:textId="77777777" w:rsidTr="00F52D43">
        <w:trPr>
          <w:trHeight w:val="315"/>
        </w:trPr>
        <w:tc>
          <w:tcPr>
            <w:tcW w:w="406" w:type="pct"/>
            <w:shd w:val="clear" w:color="auto" w:fill="auto"/>
            <w:noWrap/>
            <w:vAlign w:val="bottom"/>
            <w:hideMark/>
          </w:tcPr>
          <w:p w14:paraId="6DC0EDB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40</w:t>
            </w:r>
          </w:p>
        </w:tc>
        <w:tc>
          <w:tcPr>
            <w:tcW w:w="313" w:type="pct"/>
            <w:shd w:val="clear" w:color="auto" w:fill="auto"/>
            <w:noWrap/>
            <w:vAlign w:val="bottom"/>
            <w:hideMark/>
          </w:tcPr>
          <w:p w14:paraId="1D6CD782"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73944F18"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T17</w:t>
            </w:r>
          </w:p>
        </w:tc>
        <w:tc>
          <w:tcPr>
            <w:tcW w:w="577" w:type="pct"/>
            <w:shd w:val="clear" w:color="auto" w:fill="auto"/>
            <w:noWrap/>
            <w:vAlign w:val="bottom"/>
            <w:hideMark/>
          </w:tcPr>
          <w:p w14:paraId="1BAB46C1"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MAVRO SPELIO</w:t>
            </w:r>
          </w:p>
        </w:tc>
        <w:tc>
          <w:tcPr>
            <w:tcW w:w="313" w:type="pct"/>
            <w:shd w:val="clear" w:color="auto" w:fill="auto"/>
            <w:noWrap/>
            <w:vAlign w:val="bottom"/>
            <w:hideMark/>
          </w:tcPr>
          <w:p w14:paraId="14C6177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208" w:type="pct"/>
            <w:shd w:val="clear" w:color="auto" w:fill="auto"/>
            <w:noWrap/>
            <w:vAlign w:val="bottom"/>
            <w:hideMark/>
          </w:tcPr>
          <w:p w14:paraId="0E7F9A7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366" w:type="pct"/>
            <w:shd w:val="clear" w:color="auto" w:fill="auto"/>
            <w:noWrap/>
            <w:vAlign w:val="bottom"/>
            <w:hideMark/>
          </w:tcPr>
          <w:p w14:paraId="50554D0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557</w:t>
            </w:r>
          </w:p>
        </w:tc>
        <w:tc>
          <w:tcPr>
            <w:tcW w:w="2501" w:type="pct"/>
            <w:shd w:val="clear" w:color="auto" w:fill="auto"/>
            <w:noWrap/>
            <w:vAlign w:val="bottom"/>
            <w:hideMark/>
          </w:tcPr>
          <w:p w14:paraId="7377D250"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Forsdyke 1926/27: 257 (tomb V); Spiliotopoulou 2010: 95-97</w:t>
            </w:r>
          </w:p>
        </w:tc>
      </w:tr>
      <w:tr w:rsidR="00F46468" w:rsidRPr="00D76105" w14:paraId="1B1813FE" w14:textId="77777777" w:rsidTr="00F52D43">
        <w:trPr>
          <w:trHeight w:val="315"/>
        </w:trPr>
        <w:tc>
          <w:tcPr>
            <w:tcW w:w="406" w:type="pct"/>
            <w:shd w:val="clear" w:color="auto" w:fill="auto"/>
            <w:noWrap/>
            <w:vAlign w:val="bottom"/>
            <w:hideMark/>
          </w:tcPr>
          <w:p w14:paraId="730DED85"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41</w:t>
            </w:r>
          </w:p>
        </w:tc>
        <w:tc>
          <w:tcPr>
            <w:tcW w:w="313" w:type="pct"/>
            <w:shd w:val="clear" w:color="auto" w:fill="auto"/>
            <w:noWrap/>
            <w:vAlign w:val="bottom"/>
            <w:hideMark/>
          </w:tcPr>
          <w:p w14:paraId="785E003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493C77AF"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T17</w:t>
            </w:r>
          </w:p>
        </w:tc>
        <w:tc>
          <w:tcPr>
            <w:tcW w:w="577" w:type="pct"/>
            <w:shd w:val="clear" w:color="auto" w:fill="auto"/>
            <w:noWrap/>
            <w:vAlign w:val="bottom"/>
            <w:hideMark/>
          </w:tcPr>
          <w:p w14:paraId="2FC845B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MAVRO SPELIO</w:t>
            </w:r>
          </w:p>
        </w:tc>
        <w:tc>
          <w:tcPr>
            <w:tcW w:w="313" w:type="pct"/>
            <w:shd w:val="clear" w:color="auto" w:fill="auto"/>
            <w:noWrap/>
            <w:vAlign w:val="bottom"/>
            <w:hideMark/>
          </w:tcPr>
          <w:p w14:paraId="3127992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208" w:type="pct"/>
            <w:shd w:val="clear" w:color="auto" w:fill="auto"/>
            <w:noWrap/>
            <w:vAlign w:val="bottom"/>
            <w:hideMark/>
          </w:tcPr>
          <w:p w14:paraId="572C64C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366" w:type="pct"/>
            <w:shd w:val="clear" w:color="auto" w:fill="auto"/>
            <w:noWrap/>
            <w:vAlign w:val="bottom"/>
            <w:hideMark/>
          </w:tcPr>
          <w:p w14:paraId="5D233C2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557</w:t>
            </w:r>
          </w:p>
        </w:tc>
        <w:tc>
          <w:tcPr>
            <w:tcW w:w="2501" w:type="pct"/>
            <w:shd w:val="clear" w:color="auto" w:fill="auto"/>
            <w:noWrap/>
            <w:vAlign w:val="bottom"/>
            <w:hideMark/>
          </w:tcPr>
          <w:p w14:paraId="2BC7626F"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Forsdyke 1926/27: 257 (tomb V); Spiliotopoulou 2010: 95-97</w:t>
            </w:r>
          </w:p>
        </w:tc>
      </w:tr>
      <w:tr w:rsidR="00F46468" w:rsidRPr="00D76105" w14:paraId="16BE3D9A" w14:textId="77777777" w:rsidTr="00F52D43">
        <w:trPr>
          <w:trHeight w:val="315"/>
        </w:trPr>
        <w:tc>
          <w:tcPr>
            <w:tcW w:w="406" w:type="pct"/>
            <w:shd w:val="clear" w:color="auto" w:fill="auto"/>
            <w:noWrap/>
            <w:vAlign w:val="bottom"/>
            <w:hideMark/>
          </w:tcPr>
          <w:p w14:paraId="05C3BEA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42</w:t>
            </w:r>
          </w:p>
        </w:tc>
        <w:tc>
          <w:tcPr>
            <w:tcW w:w="313" w:type="pct"/>
            <w:shd w:val="clear" w:color="auto" w:fill="auto"/>
            <w:noWrap/>
            <w:vAlign w:val="bottom"/>
            <w:hideMark/>
          </w:tcPr>
          <w:p w14:paraId="4176F705"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0BEF648B"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T17</w:t>
            </w:r>
          </w:p>
        </w:tc>
        <w:tc>
          <w:tcPr>
            <w:tcW w:w="577" w:type="pct"/>
            <w:shd w:val="clear" w:color="auto" w:fill="auto"/>
            <w:noWrap/>
            <w:vAlign w:val="bottom"/>
            <w:hideMark/>
          </w:tcPr>
          <w:p w14:paraId="79F0E748"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MAVRO SPELIO</w:t>
            </w:r>
          </w:p>
        </w:tc>
        <w:tc>
          <w:tcPr>
            <w:tcW w:w="313" w:type="pct"/>
            <w:shd w:val="clear" w:color="auto" w:fill="auto"/>
            <w:noWrap/>
            <w:vAlign w:val="bottom"/>
            <w:hideMark/>
          </w:tcPr>
          <w:p w14:paraId="29E5BD9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208" w:type="pct"/>
            <w:shd w:val="clear" w:color="auto" w:fill="auto"/>
            <w:noWrap/>
            <w:vAlign w:val="bottom"/>
            <w:hideMark/>
          </w:tcPr>
          <w:p w14:paraId="6DA78DF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366" w:type="pct"/>
            <w:shd w:val="clear" w:color="auto" w:fill="auto"/>
            <w:noWrap/>
            <w:vAlign w:val="bottom"/>
            <w:hideMark/>
          </w:tcPr>
          <w:p w14:paraId="4FFD3DF4"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557</w:t>
            </w:r>
          </w:p>
        </w:tc>
        <w:tc>
          <w:tcPr>
            <w:tcW w:w="2501" w:type="pct"/>
            <w:shd w:val="clear" w:color="auto" w:fill="auto"/>
            <w:noWrap/>
            <w:vAlign w:val="bottom"/>
            <w:hideMark/>
          </w:tcPr>
          <w:p w14:paraId="413E8698"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Forsdyke 1926/27: 257 (tomb V); Spiliotopoulou 2010: 95-97</w:t>
            </w:r>
          </w:p>
        </w:tc>
      </w:tr>
      <w:tr w:rsidR="00F46468" w:rsidRPr="00D76105" w14:paraId="2CD3BC3B" w14:textId="77777777" w:rsidTr="00F52D43">
        <w:trPr>
          <w:trHeight w:val="315"/>
        </w:trPr>
        <w:tc>
          <w:tcPr>
            <w:tcW w:w="406" w:type="pct"/>
            <w:shd w:val="clear" w:color="auto" w:fill="auto"/>
            <w:noWrap/>
            <w:vAlign w:val="bottom"/>
            <w:hideMark/>
          </w:tcPr>
          <w:p w14:paraId="1B4E0242"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47</w:t>
            </w:r>
          </w:p>
        </w:tc>
        <w:tc>
          <w:tcPr>
            <w:tcW w:w="313" w:type="pct"/>
            <w:shd w:val="clear" w:color="auto" w:fill="auto"/>
            <w:noWrap/>
            <w:vAlign w:val="bottom"/>
            <w:hideMark/>
          </w:tcPr>
          <w:p w14:paraId="1AB9522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52907FA6"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T20</w:t>
            </w:r>
          </w:p>
        </w:tc>
        <w:tc>
          <w:tcPr>
            <w:tcW w:w="577" w:type="pct"/>
            <w:shd w:val="clear" w:color="auto" w:fill="auto"/>
            <w:noWrap/>
            <w:vAlign w:val="bottom"/>
            <w:hideMark/>
          </w:tcPr>
          <w:p w14:paraId="0C7DDDF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MAVRO SPELIO</w:t>
            </w:r>
          </w:p>
        </w:tc>
        <w:tc>
          <w:tcPr>
            <w:tcW w:w="313" w:type="pct"/>
            <w:shd w:val="clear" w:color="auto" w:fill="auto"/>
            <w:noWrap/>
            <w:vAlign w:val="bottom"/>
            <w:hideMark/>
          </w:tcPr>
          <w:p w14:paraId="53B944B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058D0CB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0F2DE78E"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 xml:space="preserve"> -</w:t>
            </w:r>
          </w:p>
        </w:tc>
        <w:tc>
          <w:tcPr>
            <w:tcW w:w="2501" w:type="pct"/>
            <w:shd w:val="clear" w:color="auto" w:fill="auto"/>
            <w:noWrap/>
            <w:vAlign w:val="bottom"/>
            <w:hideMark/>
          </w:tcPr>
          <w:p w14:paraId="6F18FDF6"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Forsdyke 1926/27: 270 fig. 24  (tomb X ); Spiliotopoulou 2010: 95-97</w:t>
            </w:r>
          </w:p>
        </w:tc>
      </w:tr>
      <w:tr w:rsidR="00F46468" w:rsidRPr="00D76105" w14:paraId="41C332D3" w14:textId="77777777" w:rsidTr="00F52D43">
        <w:trPr>
          <w:trHeight w:val="315"/>
        </w:trPr>
        <w:tc>
          <w:tcPr>
            <w:tcW w:w="406" w:type="pct"/>
            <w:shd w:val="clear" w:color="auto" w:fill="auto"/>
            <w:noWrap/>
            <w:vAlign w:val="bottom"/>
            <w:hideMark/>
          </w:tcPr>
          <w:p w14:paraId="51E8F2A2"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49</w:t>
            </w:r>
          </w:p>
        </w:tc>
        <w:tc>
          <w:tcPr>
            <w:tcW w:w="313" w:type="pct"/>
            <w:shd w:val="clear" w:color="auto" w:fill="auto"/>
            <w:noWrap/>
            <w:vAlign w:val="bottom"/>
            <w:hideMark/>
          </w:tcPr>
          <w:p w14:paraId="70B10A77"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52EB5A5C"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T21</w:t>
            </w:r>
          </w:p>
        </w:tc>
        <w:tc>
          <w:tcPr>
            <w:tcW w:w="577" w:type="pct"/>
            <w:shd w:val="clear" w:color="auto" w:fill="auto"/>
            <w:noWrap/>
            <w:vAlign w:val="bottom"/>
            <w:hideMark/>
          </w:tcPr>
          <w:p w14:paraId="29F66140"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MAVRO SPELIO</w:t>
            </w:r>
          </w:p>
        </w:tc>
        <w:tc>
          <w:tcPr>
            <w:tcW w:w="313" w:type="pct"/>
            <w:shd w:val="clear" w:color="auto" w:fill="auto"/>
            <w:noWrap/>
            <w:vAlign w:val="bottom"/>
            <w:hideMark/>
          </w:tcPr>
          <w:p w14:paraId="6BFDA85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7D2F23F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14845E6E"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560</w:t>
            </w:r>
          </w:p>
        </w:tc>
        <w:tc>
          <w:tcPr>
            <w:tcW w:w="2501" w:type="pct"/>
            <w:shd w:val="clear" w:color="auto" w:fill="auto"/>
            <w:noWrap/>
            <w:vAlign w:val="bottom"/>
            <w:hideMark/>
          </w:tcPr>
          <w:p w14:paraId="35275A62"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Forsdyke 1926/27: 271-272 fig.26   (tomb XI); Spiliotopoulou 2010: 95-97</w:t>
            </w:r>
          </w:p>
        </w:tc>
      </w:tr>
      <w:tr w:rsidR="00F46468" w:rsidRPr="00D76105" w14:paraId="6906C73A" w14:textId="77777777" w:rsidTr="00F52D43">
        <w:trPr>
          <w:trHeight w:val="315"/>
        </w:trPr>
        <w:tc>
          <w:tcPr>
            <w:tcW w:w="406" w:type="pct"/>
            <w:shd w:val="clear" w:color="auto" w:fill="auto"/>
            <w:noWrap/>
            <w:vAlign w:val="bottom"/>
            <w:hideMark/>
          </w:tcPr>
          <w:p w14:paraId="78819E9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52</w:t>
            </w:r>
          </w:p>
        </w:tc>
        <w:tc>
          <w:tcPr>
            <w:tcW w:w="313" w:type="pct"/>
            <w:shd w:val="clear" w:color="auto" w:fill="auto"/>
            <w:noWrap/>
            <w:vAlign w:val="bottom"/>
            <w:hideMark/>
          </w:tcPr>
          <w:p w14:paraId="1FAE142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7448A5A3"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T24</w:t>
            </w:r>
          </w:p>
        </w:tc>
        <w:tc>
          <w:tcPr>
            <w:tcW w:w="577" w:type="pct"/>
            <w:shd w:val="clear" w:color="auto" w:fill="auto"/>
            <w:noWrap/>
            <w:vAlign w:val="bottom"/>
            <w:hideMark/>
          </w:tcPr>
          <w:p w14:paraId="22074D43"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MAVRO SPELIO</w:t>
            </w:r>
          </w:p>
        </w:tc>
        <w:tc>
          <w:tcPr>
            <w:tcW w:w="313" w:type="pct"/>
            <w:shd w:val="clear" w:color="auto" w:fill="auto"/>
            <w:noWrap/>
            <w:vAlign w:val="bottom"/>
            <w:hideMark/>
          </w:tcPr>
          <w:p w14:paraId="0D2BBE5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6230B4A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018FC10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565</w:t>
            </w:r>
          </w:p>
        </w:tc>
        <w:tc>
          <w:tcPr>
            <w:tcW w:w="2501" w:type="pct"/>
            <w:shd w:val="clear" w:color="auto" w:fill="auto"/>
            <w:noWrap/>
            <w:vAlign w:val="bottom"/>
            <w:hideMark/>
          </w:tcPr>
          <w:p w14:paraId="02ED69F6"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Forsdyke 1926/27: 275-276 fig.30  (tomb XVI); Spiliotopoulou 2010: 95-97</w:t>
            </w:r>
          </w:p>
        </w:tc>
      </w:tr>
      <w:tr w:rsidR="00F46468" w:rsidRPr="00D76105" w14:paraId="3948CE59" w14:textId="77777777" w:rsidTr="00F52D43">
        <w:trPr>
          <w:trHeight w:val="315"/>
        </w:trPr>
        <w:tc>
          <w:tcPr>
            <w:tcW w:w="406" w:type="pct"/>
            <w:shd w:val="clear" w:color="auto" w:fill="auto"/>
            <w:noWrap/>
            <w:vAlign w:val="bottom"/>
            <w:hideMark/>
          </w:tcPr>
          <w:p w14:paraId="4415DEA3"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882</w:t>
            </w:r>
          </w:p>
        </w:tc>
        <w:tc>
          <w:tcPr>
            <w:tcW w:w="313" w:type="pct"/>
            <w:shd w:val="clear" w:color="auto" w:fill="auto"/>
            <w:noWrap/>
            <w:vAlign w:val="bottom"/>
            <w:hideMark/>
          </w:tcPr>
          <w:p w14:paraId="160AE74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3B57ADB7"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T380</w:t>
            </w:r>
          </w:p>
        </w:tc>
        <w:tc>
          <w:tcPr>
            <w:tcW w:w="577" w:type="pct"/>
            <w:shd w:val="clear" w:color="auto" w:fill="auto"/>
            <w:noWrap/>
            <w:vAlign w:val="bottom"/>
            <w:hideMark/>
          </w:tcPr>
          <w:p w14:paraId="2DB0294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SELLOPOULO</w:t>
            </w:r>
          </w:p>
        </w:tc>
        <w:tc>
          <w:tcPr>
            <w:tcW w:w="313" w:type="pct"/>
            <w:shd w:val="clear" w:color="auto" w:fill="auto"/>
            <w:noWrap/>
            <w:vAlign w:val="bottom"/>
            <w:hideMark/>
          </w:tcPr>
          <w:p w14:paraId="5A2CAD42"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7EFFB1B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3251932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481</w:t>
            </w:r>
          </w:p>
        </w:tc>
        <w:tc>
          <w:tcPr>
            <w:tcW w:w="2501" w:type="pct"/>
            <w:shd w:val="clear" w:color="auto" w:fill="auto"/>
            <w:noWrap/>
            <w:vAlign w:val="bottom"/>
            <w:hideMark/>
          </w:tcPr>
          <w:p w14:paraId="7E87C2CA"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Hogarth1899/1900: 81 tav. 12; Hood and Smyth  1981: 36 n. 27</w:t>
            </w:r>
          </w:p>
        </w:tc>
      </w:tr>
      <w:tr w:rsidR="00F46468" w:rsidRPr="00D76105" w14:paraId="427B4A93" w14:textId="77777777" w:rsidTr="00F52D43">
        <w:trPr>
          <w:trHeight w:val="315"/>
        </w:trPr>
        <w:tc>
          <w:tcPr>
            <w:tcW w:w="406" w:type="pct"/>
            <w:shd w:val="clear" w:color="auto" w:fill="auto"/>
            <w:noWrap/>
            <w:vAlign w:val="bottom"/>
            <w:hideMark/>
          </w:tcPr>
          <w:p w14:paraId="3920F5B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883</w:t>
            </w:r>
          </w:p>
        </w:tc>
        <w:tc>
          <w:tcPr>
            <w:tcW w:w="313" w:type="pct"/>
            <w:shd w:val="clear" w:color="auto" w:fill="auto"/>
            <w:noWrap/>
            <w:vAlign w:val="bottom"/>
            <w:hideMark/>
          </w:tcPr>
          <w:p w14:paraId="407E341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44A1E17A"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T380</w:t>
            </w:r>
          </w:p>
        </w:tc>
        <w:tc>
          <w:tcPr>
            <w:tcW w:w="577" w:type="pct"/>
            <w:shd w:val="clear" w:color="auto" w:fill="auto"/>
            <w:noWrap/>
            <w:vAlign w:val="bottom"/>
            <w:hideMark/>
          </w:tcPr>
          <w:p w14:paraId="1153CDDB"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SELLOPOULO</w:t>
            </w:r>
          </w:p>
        </w:tc>
        <w:tc>
          <w:tcPr>
            <w:tcW w:w="313" w:type="pct"/>
            <w:shd w:val="clear" w:color="auto" w:fill="auto"/>
            <w:noWrap/>
            <w:vAlign w:val="bottom"/>
            <w:hideMark/>
          </w:tcPr>
          <w:p w14:paraId="570CF77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277D7C53"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1417409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481</w:t>
            </w:r>
          </w:p>
        </w:tc>
        <w:tc>
          <w:tcPr>
            <w:tcW w:w="2501" w:type="pct"/>
            <w:shd w:val="clear" w:color="auto" w:fill="auto"/>
            <w:noWrap/>
            <w:vAlign w:val="bottom"/>
            <w:hideMark/>
          </w:tcPr>
          <w:p w14:paraId="5B14A7EE"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Hogarth1899/1900: 81 tav. 12; Hood and Smyth  1981: 36 n. 27</w:t>
            </w:r>
          </w:p>
        </w:tc>
      </w:tr>
      <w:tr w:rsidR="00F46468" w:rsidRPr="00D76105" w14:paraId="6BEFE252" w14:textId="77777777" w:rsidTr="00F52D43">
        <w:trPr>
          <w:trHeight w:val="315"/>
        </w:trPr>
        <w:tc>
          <w:tcPr>
            <w:tcW w:w="406" w:type="pct"/>
            <w:shd w:val="clear" w:color="auto" w:fill="auto"/>
            <w:noWrap/>
            <w:vAlign w:val="bottom"/>
            <w:hideMark/>
          </w:tcPr>
          <w:p w14:paraId="0EE8BF93"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884</w:t>
            </w:r>
          </w:p>
        </w:tc>
        <w:tc>
          <w:tcPr>
            <w:tcW w:w="313" w:type="pct"/>
            <w:shd w:val="clear" w:color="auto" w:fill="auto"/>
            <w:noWrap/>
            <w:vAlign w:val="bottom"/>
            <w:hideMark/>
          </w:tcPr>
          <w:p w14:paraId="120A1989"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288259EA"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T380</w:t>
            </w:r>
          </w:p>
        </w:tc>
        <w:tc>
          <w:tcPr>
            <w:tcW w:w="577" w:type="pct"/>
            <w:shd w:val="clear" w:color="auto" w:fill="auto"/>
            <w:noWrap/>
            <w:vAlign w:val="bottom"/>
            <w:hideMark/>
          </w:tcPr>
          <w:p w14:paraId="2BC021E1"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SELLOPOULO</w:t>
            </w:r>
          </w:p>
        </w:tc>
        <w:tc>
          <w:tcPr>
            <w:tcW w:w="313" w:type="pct"/>
            <w:shd w:val="clear" w:color="auto" w:fill="auto"/>
            <w:noWrap/>
            <w:vAlign w:val="bottom"/>
            <w:hideMark/>
          </w:tcPr>
          <w:p w14:paraId="04E06D3D"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30CB6EFD"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076DB1B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481</w:t>
            </w:r>
          </w:p>
        </w:tc>
        <w:tc>
          <w:tcPr>
            <w:tcW w:w="2501" w:type="pct"/>
            <w:shd w:val="clear" w:color="auto" w:fill="auto"/>
            <w:noWrap/>
            <w:vAlign w:val="bottom"/>
            <w:hideMark/>
          </w:tcPr>
          <w:p w14:paraId="16483A43"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Hogarth1899/1900: 81 tav. 12; Hood and Smyth  1981: 36 n. 27</w:t>
            </w:r>
          </w:p>
        </w:tc>
      </w:tr>
      <w:tr w:rsidR="00F46468" w:rsidRPr="00D76105" w14:paraId="788C9C3A" w14:textId="77777777" w:rsidTr="00F52D43">
        <w:trPr>
          <w:trHeight w:val="315"/>
        </w:trPr>
        <w:tc>
          <w:tcPr>
            <w:tcW w:w="406" w:type="pct"/>
            <w:shd w:val="clear" w:color="auto" w:fill="auto"/>
            <w:noWrap/>
            <w:vAlign w:val="bottom"/>
            <w:hideMark/>
          </w:tcPr>
          <w:p w14:paraId="6CCA56A7"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104</w:t>
            </w:r>
          </w:p>
        </w:tc>
        <w:tc>
          <w:tcPr>
            <w:tcW w:w="313" w:type="pct"/>
            <w:shd w:val="clear" w:color="auto" w:fill="auto"/>
            <w:noWrap/>
            <w:vAlign w:val="bottom"/>
            <w:hideMark/>
          </w:tcPr>
          <w:p w14:paraId="296B300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101ED4B7"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T52</w:t>
            </w:r>
          </w:p>
        </w:tc>
        <w:tc>
          <w:tcPr>
            <w:tcW w:w="577" w:type="pct"/>
            <w:shd w:val="clear" w:color="auto" w:fill="auto"/>
            <w:noWrap/>
            <w:vAlign w:val="bottom"/>
            <w:hideMark/>
          </w:tcPr>
          <w:p w14:paraId="09D3253C"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UPPER GYPSADES</w:t>
            </w:r>
          </w:p>
        </w:tc>
        <w:tc>
          <w:tcPr>
            <w:tcW w:w="313" w:type="pct"/>
            <w:shd w:val="clear" w:color="auto" w:fill="auto"/>
            <w:noWrap/>
            <w:vAlign w:val="bottom"/>
            <w:hideMark/>
          </w:tcPr>
          <w:p w14:paraId="04481D7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5D9FB16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5264AAD5"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529</w:t>
            </w:r>
          </w:p>
        </w:tc>
        <w:tc>
          <w:tcPr>
            <w:tcW w:w="2501" w:type="pct"/>
            <w:shd w:val="clear" w:color="auto" w:fill="auto"/>
            <w:noWrap/>
            <w:vAlign w:val="bottom"/>
            <w:hideMark/>
          </w:tcPr>
          <w:p w14:paraId="7AFA89FD"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Hood et al. 1958/1959: 227 fig. 24b, pl. 61 d-f; Watrous 1991: p. 84 a -b; Merousis 2000: 143 n. 92; Spiliotopoulou 2010: 88 pl. 27 n. 197</w:t>
            </w:r>
          </w:p>
        </w:tc>
      </w:tr>
      <w:tr w:rsidR="00F46468" w:rsidRPr="00D76105" w14:paraId="017B0FFF" w14:textId="77777777" w:rsidTr="00F52D43">
        <w:trPr>
          <w:trHeight w:val="315"/>
        </w:trPr>
        <w:tc>
          <w:tcPr>
            <w:tcW w:w="406" w:type="pct"/>
            <w:shd w:val="clear" w:color="auto" w:fill="auto"/>
            <w:noWrap/>
            <w:vAlign w:val="bottom"/>
            <w:hideMark/>
          </w:tcPr>
          <w:p w14:paraId="45525DDF"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105</w:t>
            </w:r>
          </w:p>
        </w:tc>
        <w:tc>
          <w:tcPr>
            <w:tcW w:w="313" w:type="pct"/>
            <w:shd w:val="clear" w:color="auto" w:fill="auto"/>
            <w:noWrap/>
            <w:vAlign w:val="bottom"/>
            <w:hideMark/>
          </w:tcPr>
          <w:p w14:paraId="03E81725"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79CCA5D4"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T53</w:t>
            </w:r>
          </w:p>
        </w:tc>
        <w:tc>
          <w:tcPr>
            <w:tcW w:w="577" w:type="pct"/>
            <w:shd w:val="clear" w:color="auto" w:fill="auto"/>
            <w:noWrap/>
            <w:vAlign w:val="bottom"/>
            <w:hideMark/>
          </w:tcPr>
          <w:p w14:paraId="3B02A97B"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UPPER GYPSADES</w:t>
            </w:r>
          </w:p>
        </w:tc>
        <w:tc>
          <w:tcPr>
            <w:tcW w:w="313" w:type="pct"/>
            <w:shd w:val="clear" w:color="auto" w:fill="auto"/>
            <w:noWrap/>
            <w:vAlign w:val="bottom"/>
            <w:hideMark/>
          </w:tcPr>
          <w:p w14:paraId="702CAA13"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7C85854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2957B21E"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530</w:t>
            </w:r>
          </w:p>
        </w:tc>
        <w:tc>
          <w:tcPr>
            <w:tcW w:w="2501" w:type="pct"/>
            <w:shd w:val="clear" w:color="auto" w:fill="auto"/>
            <w:noWrap/>
            <w:vAlign w:val="bottom"/>
            <w:hideMark/>
          </w:tcPr>
          <w:p w14:paraId="2458E5F8"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Hood et al. 1958/1959: 231 fig. 24c, pl. 61 a;  Merousis 2000: 144 n. 93; Spiliotopoulou 2010: 89 pl. 27 n. 198</w:t>
            </w:r>
          </w:p>
        </w:tc>
      </w:tr>
      <w:tr w:rsidR="00F46468" w:rsidRPr="00D76105" w14:paraId="405826A1" w14:textId="77777777" w:rsidTr="00F52D43">
        <w:trPr>
          <w:trHeight w:val="315"/>
        </w:trPr>
        <w:tc>
          <w:tcPr>
            <w:tcW w:w="406" w:type="pct"/>
            <w:shd w:val="clear" w:color="auto" w:fill="auto"/>
            <w:noWrap/>
            <w:vAlign w:val="bottom"/>
            <w:hideMark/>
          </w:tcPr>
          <w:p w14:paraId="6921664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112</w:t>
            </w:r>
          </w:p>
        </w:tc>
        <w:tc>
          <w:tcPr>
            <w:tcW w:w="313" w:type="pct"/>
            <w:shd w:val="clear" w:color="auto" w:fill="auto"/>
            <w:noWrap/>
            <w:vAlign w:val="bottom"/>
            <w:hideMark/>
          </w:tcPr>
          <w:p w14:paraId="415CA36E"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19F693C5"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T58</w:t>
            </w:r>
          </w:p>
        </w:tc>
        <w:tc>
          <w:tcPr>
            <w:tcW w:w="577" w:type="pct"/>
            <w:shd w:val="clear" w:color="auto" w:fill="auto"/>
            <w:noWrap/>
            <w:vAlign w:val="bottom"/>
            <w:hideMark/>
          </w:tcPr>
          <w:p w14:paraId="238FBA1F"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UPPER GYPSADES</w:t>
            </w:r>
          </w:p>
        </w:tc>
        <w:tc>
          <w:tcPr>
            <w:tcW w:w="313" w:type="pct"/>
            <w:shd w:val="clear" w:color="auto" w:fill="auto"/>
            <w:noWrap/>
            <w:vAlign w:val="bottom"/>
            <w:hideMark/>
          </w:tcPr>
          <w:p w14:paraId="5BE3EAA9"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51AE4676"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25D1FA61"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536</w:t>
            </w:r>
          </w:p>
        </w:tc>
        <w:tc>
          <w:tcPr>
            <w:tcW w:w="2501" w:type="pct"/>
            <w:shd w:val="clear" w:color="auto" w:fill="auto"/>
            <w:noWrap/>
            <w:vAlign w:val="bottom"/>
            <w:hideMark/>
          </w:tcPr>
          <w:p w14:paraId="037F2918"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Hood at al.  1958/1959: 231-232 fig. 25, pl. 61 b-c;  Spiliotopoulou 2010: 91 pl. 28 n. 205</w:t>
            </w:r>
          </w:p>
        </w:tc>
      </w:tr>
      <w:tr w:rsidR="00F46468" w:rsidRPr="00D76105" w14:paraId="4C8D2526" w14:textId="77777777" w:rsidTr="00F52D43">
        <w:trPr>
          <w:trHeight w:val="315"/>
        </w:trPr>
        <w:tc>
          <w:tcPr>
            <w:tcW w:w="406" w:type="pct"/>
            <w:shd w:val="clear" w:color="auto" w:fill="auto"/>
            <w:noWrap/>
            <w:vAlign w:val="bottom"/>
            <w:hideMark/>
          </w:tcPr>
          <w:p w14:paraId="10CECF13"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857</w:t>
            </w:r>
          </w:p>
        </w:tc>
        <w:tc>
          <w:tcPr>
            <w:tcW w:w="313" w:type="pct"/>
            <w:shd w:val="clear" w:color="auto" w:fill="auto"/>
            <w:noWrap/>
            <w:vAlign w:val="bottom"/>
            <w:hideMark/>
          </w:tcPr>
          <w:p w14:paraId="68EAC48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118314FD"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T363</w:t>
            </w:r>
          </w:p>
        </w:tc>
        <w:tc>
          <w:tcPr>
            <w:tcW w:w="577" w:type="pct"/>
            <w:shd w:val="clear" w:color="auto" w:fill="auto"/>
            <w:noWrap/>
            <w:vAlign w:val="bottom"/>
            <w:hideMark/>
          </w:tcPr>
          <w:p w14:paraId="6CC8F77D"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UPPER GYPSADES</w:t>
            </w:r>
          </w:p>
        </w:tc>
        <w:tc>
          <w:tcPr>
            <w:tcW w:w="313" w:type="pct"/>
            <w:shd w:val="clear" w:color="auto" w:fill="auto"/>
            <w:noWrap/>
            <w:vAlign w:val="bottom"/>
            <w:hideMark/>
          </w:tcPr>
          <w:p w14:paraId="74CB5E7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38F4A06D"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1BBB464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 xml:space="preserve"> -</w:t>
            </w:r>
          </w:p>
        </w:tc>
        <w:tc>
          <w:tcPr>
            <w:tcW w:w="2501" w:type="pct"/>
            <w:shd w:val="clear" w:color="auto" w:fill="auto"/>
            <w:noWrap/>
            <w:vAlign w:val="bottom"/>
            <w:hideMark/>
          </w:tcPr>
          <w:p w14:paraId="7A849D22"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ADelt 48 1993, 445-448; D'Agata 2015: 57-103</w:t>
            </w:r>
          </w:p>
        </w:tc>
      </w:tr>
      <w:tr w:rsidR="00F46468" w:rsidRPr="00D76105" w14:paraId="696D93D4" w14:textId="77777777" w:rsidTr="00F52D43">
        <w:trPr>
          <w:trHeight w:val="315"/>
        </w:trPr>
        <w:tc>
          <w:tcPr>
            <w:tcW w:w="406" w:type="pct"/>
            <w:shd w:val="clear" w:color="auto" w:fill="auto"/>
            <w:noWrap/>
            <w:vAlign w:val="bottom"/>
            <w:hideMark/>
          </w:tcPr>
          <w:p w14:paraId="5DD7102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64</w:t>
            </w:r>
          </w:p>
        </w:tc>
        <w:tc>
          <w:tcPr>
            <w:tcW w:w="313" w:type="pct"/>
            <w:shd w:val="clear" w:color="auto" w:fill="auto"/>
            <w:noWrap/>
            <w:vAlign w:val="bottom"/>
            <w:hideMark/>
          </w:tcPr>
          <w:p w14:paraId="1E9275FE"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AE 1128</w:t>
            </w:r>
          </w:p>
        </w:tc>
        <w:tc>
          <w:tcPr>
            <w:tcW w:w="315" w:type="pct"/>
            <w:shd w:val="clear" w:color="auto" w:fill="auto"/>
            <w:noWrap/>
            <w:vAlign w:val="bottom"/>
            <w:hideMark/>
          </w:tcPr>
          <w:p w14:paraId="73C546FF"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T30</w:t>
            </w:r>
          </w:p>
        </w:tc>
        <w:tc>
          <w:tcPr>
            <w:tcW w:w="577" w:type="pct"/>
            <w:shd w:val="clear" w:color="auto" w:fill="auto"/>
            <w:noWrap/>
            <w:vAlign w:val="bottom"/>
            <w:hideMark/>
          </w:tcPr>
          <w:p w14:paraId="7241878A"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ZAFER PAPOURA</w:t>
            </w:r>
          </w:p>
        </w:tc>
        <w:tc>
          <w:tcPr>
            <w:tcW w:w="313" w:type="pct"/>
            <w:shd w:val="clear" w:color="auto" w:fill="auto"/>
            <w:noWrap/>
            <w:vAlign w:val="bottom"/>
            <w:hideMark/>
          </w:tcPr>
          <w:p w14:paraId="56F9B05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43EEF982"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41E6CC63"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670</w:t>
            </w:r>
          </w:p>
        </w:tc>
        <w:tc>
          <w:tcPr>
            <w:tcW w:w="2501" w:type="pct"/>
            <w:shd w:val="clear" w:color="auto" w:fill="auto"/>
            <w:noWrap/>
            <w:vAlign w:val="bottom"/>
            <w:hideMark/>
          </w:tcPr>
          <w:p w14:paraId="4E3BDBD7"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Evans1906: 419 fig. 26 a-b; Merousis 2000: 145-146 n. 96; Spiliotopoulou 2010: 91-92 pl. 29 210; Galanakis 2013: 57 fig. 95</w:t>
            </w:r>
          </w:p>
        </w:tc>
      </w:tr>
      <w:tr w:rsidR="00F46468" w:rsidRPr="00D76105" w14:paraId="0741168E" w14:textId="77777777" w:rsidTr="00F52D43">
        <w:trPr>
          <w:trHeight w:val="315"/>
        </w:trPr>
        <w:tc>
          <w:tcPr>
            <w:tcW w:w="406" w:type="pct"/>
            <w:shd w:val="clear" w:color="auto" w:fill="auto"/>
            <w:noWrap/>
            <w:vAlign w:val="bottom"/>
            <w:hideMark/>
          </w:tcPr>
          <w:p w14:paraId="2BCD2C3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94</w:t>
            </w:r>
          </w:p>
        </w:tc>
        <w:tc>
          <w:tcPr>
            <w:tcW w:w="313" w:type="pct"/>
            <w:shd w:val="clear" w:color="auto" w:fill="auto"/>
            <w:noWrap/>
            <w:vAlign w:val="bottom"/>
            <w:hideMark/>
          </w:tcPr>
          <w:p w14:paraId="79263203"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49599CD8"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T47</w:t>
            </w:r>
          </w:p>
        </w:tc>
        <w:tc>
          <w:tcPr>
            <w:tcW w:w="577" w:type="pct"/>
            <w:shd w:val="clear" w:color="auto" w:fill="auto"/>
            <w:noWrap/>
            <w:vAlign w:val="bottom"/>
            <w:hideMark/>
          </w:tcPr>
          <w:p w14:paraId="0DE2D8C6"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ZAFER PAPOURA</w:t>
            </w:r>
          </w:p>
        </w:tc>
        <w:tc>
          <w:tcPr>
            <w:tcW w:w="313" w:type="pct"/>
            <w:shd w:val="clear" w:color="auto" w:fill="auto"/>
            <w:noWrap/>
            <w:vAlign w:val="bottom"/>
            <w:hideMark/>
          </w:tcPr>
          <w:p w14:paraId="52A2D049"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4B1D6EBD"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432E29E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667</w:t>
            </w:r>
          </w:p>
        </w:tc>
        <w:tc>
          <w:tcPr>
            <w:tcW w:w="2501" w:type="pct"/>
            <w:shd w:val="clear" w:color="auto" w:fill="auto"/>
            <w:noWrap/>
            <w:vAlign w:val="bottom"/>
            <w:hideMark/>
          </w:tcPr>
          <w:p w14:paraId="5D0AED5E"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Evans 1906: 473</w:t>
            </w:r>
          </w:p>
        </w:tc>
      </w:tr>
      <w:tr w:rsidR="00F46468" w:rsidRPr="00D76105" w14:paraId="263C8243" w14:textId="77777777" w:rsidTr="00F52D43">
        <w:trPr>
          <w:trHeight w:val="315"/>
        </w:trPr>
        <w:tc>
          <w:tcPr>
            <w:tcW w:w="406" w:type="pct"/>
            <w:shd w:val="clear" w:color="auto" w:fill="auto"/>
            <w:noWrap/>
            <w:vAlign w:val="bottom"/>
            <w:hideMark/>
          </w:tcPr>
          <w:p w14:paraId="670AEC2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96</w:t>
            </w:r>
          </w:p>
        </w:tc>
        <w:tc>
          <w:tcPr>
            <w:tcW w:w="313" w:type="pct"/>
            <w:shd w:val="clear" w:color="auto" w:fill="auto"/>
            <w:noWrap/>
            <w:vAlign w:val="bottom"/>
            <w:hideMark/>
          </w:tcPr>
          <w:p w14:paraId="291342B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p>
        </w:tc>
        <w:tc>
          <w:tcPr>
            <w:tcW w:w="315" w:type="pct"/>
            <w:shd w:val="clear" w:color="auto" w:fill="auto"/>
            <w:noWrap/>
            <w:vAlign w:val="bottom"/>
            <w:hideMark/>
          </w:tcPr>
          <w:p w14:paraId="62F3C53E"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T49</w:t>
            </w:r>
          </w:p>
        </w:tc>
        <w:tc>
          <w:tcPr>
            <w:tcW w:w="577" w:type="pct"/>
            <w:shd w:val="clear" w:color="auto" w:fill="auto"/>
            <w:noWrap/>
            <w:vAlign w:val="bottom"/>
            <w:hideMark/>
          </w:tcPr>
          <w:p w14:paraId="3CE2B60A"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ZAFER PAPOURA</w:t>
            </w:r>
          </w:p>
        </w:tc>
        <w:tc>
          <w:tcPr>
            <w:tcW w:w="313" w:type="pct"/>
            <w:shd w:val="clear" w:color="auto" w:fill="auto"/>
            <w:noWrap/>
            <w:vAlign w:val="bottom"/>
            <w:hideMark/>
          </w:tcPr>
          <w:p w14:paraId="606E614B"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059754E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19A1403E"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675</w:t>
            </w:r>
          </w:p>
        </w:tc>
        <w:tc>
          <w:tcPr>
            <w:tcW w:w="2501" w:type="pct"/>
            <w:shd w:val="clear" w:color="auto" w:fill="auto"/>
            <w:noWrap/>
            <w:vAlign w:val="bottom"/>
            <w:hideMark/>
          </w:tcPr>
          <w:p w14:paraId="5A2A5CF1"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Evans 1906: 476-477</w:t>
            </w:r>
          </w:p>
        </w:tc>
      </w:tr>
      <w:tr w:rsidR="00F46468" w:rsidRPr="00D76105" w14:paraId="7B73DCBD" w14:textId="77777777" w:rsidTr="00F52D43">
        <w:trPr>
          <w:trHeight w:val="315"/>
        </w:trPr>
        <w:tc>
          <w:tcPr>
            <w:tcW w:w="406" w:type="pct"/>
            <w:shd w:val="clear" w:color="auto" w:fill="auto"/>
            <w:noWrap/>
            <w:vAlign w:val="bottom"/>
            <w:hideMark/>
          </w:tcPr>
          <w:p w14:paraId="7A5E0FB7"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99</w:t>
            </w:r>
          </w:p>
        </w:tc>
        <w:tc>
          <w:tcPr>
            <w:tcW w:w="313" w:type="pct"/>
            <w:shd w:val="clear" w:color="auto" w:fill="auto"/>
            <w:noWrap/>
            <w:vAlign w:val="bottom"/>
            <w:hideMark/>
          </w:tcPr>
          <w:p w14:paraId="058DD55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AE13050</w:t>
            </w:r>
          </w:p>
        </w:tc>
        <w:tc>
          <w:tcPr>
            <w:tcW w:w="315" w:type="pct"/>
            <w:shd w:val="clear" w:color="auto" w:fill="auto"/>
            <w:noWrap/>
            <w:vAlign w:val="bottom"/>
            <w:hideMark/>
          </w:tcPr>
          <w:p w14:paraId="2D3E602B"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T50</w:t>
            </w:r>
          </w:p>
        </w:tc>
        <w:tc>
          <w:tcPr>
            <w:tcW w:w="577" w:type="pct"/>
            <w:shd w:val="clear" w:color="auto" w:fill="auto"/>
            <w:noWrap/>
            <w:vAlign w:val="bottom"/>
            <w:hideMark/>
          </w:tcPr>
          <w:p w14:paraId="4CFC2B3C"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ZAFER PAPOURA</w:t>
            </w:r>
          </w:p>
        </w:tc>
        <w:tc>
          <w:tcPr>
            <w:tcW w:w="313" w:type="pct"/>
            <w:shd w:val="clear" w:color="auto" w:fill="auto"/>
            <w:noWrap/>
            <w:vAlign w:val="bottom"/>
            <w:hideMark/>
          </w:tcPr>
          <w:p w14:paraId="01137FEE"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208" w:type="pct"/>
            <w:shd w:val="clear" w:color="auto" w:fill="auto"/>
            <w:noWrap/>
            <w:vAlign w:val="bottom"/>
            <w:hideMark/>
          </w:tcPr>
          <w:p w14:paraId="641F8CD9"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366" w:type="pct"/>
            <w:shd w:val="clear" w:color="auto" w:fill="auto"/>
            <w:noWrap/>
            <w:vAlign w:val="bottom"/>
            <w:hideMark/>
          </w:tcPr>
          <w:p w14:paraId="296B544D"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677</w:t>
            </w:r>
          </w:p>
        </w:tc>
        <w:tc>
          <w:tcPr>
            <w:tcW w:w="2501" w:type="pct"/>
            <w:shd w:val="clear" w:color="auto" w:fill="auto"/>
            <w:noWrap/>
            <w:vAlign w:val="bottom"/>
            <w:hideMark/>
          </w:tcPr>
          <w:p w14:paraId="158DC965"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Evans 1906: 480-482, pl. 102a-b; Merousis 2000: 146 n. 97; Spiliotopoulou 2008: 95 pl. 29 231 Galanakis 2013: 57 fig. 97</w:t>
            </w:r>
          </w:p>
        </w:tc>
      </w:tr>
    </w:tbl>
    <w:p w14:paraId="4C4E4579" w14:textId="26E82F94" w:rsidR="00D76105" w:rsidRDefault="00D76105" w:rsidP="003860B7">
      <w:pPr>
        <w:rPr>
          <w:b/>
          <w:sz w:val="28"/>
        </w:rPr>
      </w:pPr>
    </w:p>
    <w:p w14:paraId="5024C620" w14:textId="77777777" w:rsidR="00D76105" w:rsidRDefault="00D76105" w:rsidP="003860B7">
      <w:pPr>
        <w:rPr>
          <w:b/>
          <w:sz w:val="28"/>
        </w:rPr>
      </w:pPr>
    </w:p>
    <w:p w14:paraId="2442DF3A" w14:textId="77777777" w:rsidR="00D76105" w:rsidRDefault="00D76105">
      <w:pPr>
        <w:widowControl/>
        <w:spacing w:line="240" w:lineRule="auto"/>
        <w:contextualSpacing w:val="0"/>
        <w:jc w:val="left"/>
        <w:rPr>
          <w:b/>
          <w:sz w:val="28"/>
        </w:rPr>
      </w:pPr>
      <w:r>
        <w:rPr>
          <w:b/>
          <w:sz w:val="28"/>
        </w:rPr>
        <w:br w:type="page"/>
      </w:r>
    </w:p>
    <w:p w14:paraId="28BD89C8" w14:textId="1CE1FA0F" w:rsidR="00ED770B" w:rsidRPr="00D76105" w:rsidRDefault="003860B7" w:rsidP="003860B7">
      <w:pPr>
        <w:rPr>
          <w:b/>
        </w:rPr>
      </w:pPr>
      <w:r w:rsidRPr="00D76105">
        <w:rPr>
          <w:b/>
          <w:sz w:val="28"/>
        </w:rPr>
        <w:t>Central Area</w:t>
      </w:r>
    </w:p>
    <w:p w14:paraId="518933BC" w14:textId="3C66CFA3" w:rsidR="003860B7" w:rsidRPr="003860B7" w:rsidRDefault="003860B7" w:rsidP="003860B7">
      <w:pPr>
        <w:rPr>
          <w:highlight w:val="lightGray"/>
        </w:rPr>
      </w:pPr>
    </w:p>
    <w:tbl>
      <w:tblPr>
        <w:tblW w:w="13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4"/>
        <w:gridCol w:w="1027"/>
        <w:gridCol w:w="842"/>
        <w:gridCol w:w="1865"/>
        <w:gridCol w:w="844"/>
        <w:gridCol w:w="767"/>
        <w:gridCol w:w="1477"/>
        <w:gridCol w:w="747"/>
        <w:gridCol w:w="4865"/>
      </w:tblGrid>
      <w:tr w:rsidR="003860B7" w:rsidRPr="003860B7" w14:paraId="2EFC3D6F" w14:textId="77777777" w:rsidTr="00F52D43">
        <w:trPr>
          <w:trHeight w:val="315"/>
        </w:trPr>
        <w:tc>
          <w:tcPr>
            <w:tcW w:w="1034" w:type="dxa"/>
            <w:shd w:val="clear" w:color="auto" w:fill="auto"/>
            <w:noWrap/>
            <w:vAlign w:val="bottom"/>
            <w:hideMark/>
          </w:tcPr>
          <w:p w14:paraId="0639E63B" w14:textId="77777777" w:rsidR="003860B7" w:rsidRPr="003860B7" w:rsidRDefault="003860B7" w:rsidP="003860B7">
            <w:pPr>
              <w:widowControl/>
              <w:spacing w:line="240" w:lineRule="auto"/>
              <w:contextualSpacing w:val="0"/>
              <w:jc w:val="left"/>
              <w:rPr>
                <w:rFonts w:ascii="Calibri" w:eastAsia="Times New Roman" w:hAnsi="Calibri" w:cs="Calibri"/>
                <w:b/>
                <w:bCs/>
                <w:color w:val="000000"/>
                <w:lang w:eastAsia="en-GB"/>
              </w:rPr>
            </w:pPr>
            <w:r w:rsidRPr="003860B7">
              <w:rPr>
                <w:rFonts w:ascii="Calibri" w:eastAsia="Times New Roman" w:hAnsi="Calibri" w:cs="Calibri"/>
                <w:b/>
                <w:bCs/>
                <w:color w:val="000000"/>
                <w:lang w:eastAsia="en-GB"/>
              </w:rPr>
              <w:t>ID LARNAX</w:t>
            </w:r>
          </w:p>
        </w:tc>
        <w:tc>
          <w:tcPr>
            <w:tcW w:w="1027" w:type="dxa"/>
            <w:shd w:val="clear" w:color="auto" w:fill="auto"/>
            <w:noWrap/>
            <w:vAlign w:val="bottom"/>
            <w:hideMark/>
          </w:tcPr>
          <w:p w14:paraId="76420700" w14:textId="77777777" w:rsidR="003860B7" w:rsidRPr="003860B7" w:rsidRDefault="003860B7" w:rsidP="003860B7">
            <w:pPr>
              <w:widowControl/>
              <w:spacing w:line="240" w:lineRule="auto"/>
              <w:contextualSpacing w:val="0"/>
              <w:jc w:val="left"/>
              <w:rPr>
                <w:rFonts w:ascii="Calibri" w:eastAsia="Times New Roman" w:hAnsi="Calibri" w:cs="Calibri"/>
                <w:b/>
                <w:bCs/>
                <w:lang w:eastAsia="en-GB"/>
              </w:rPr>
            </w:pPr>
            <w:r w:rsidRPr="003860B7">
              <w:rPr>
                <w:rFonts w:ascii="Calibri" w:eastAsia="Times New Roman" w:hAnsi="Calibri" w:cs="Calibri"/>
                <w:b/>
                <w:bCs/>
                <w:lang w:eastAsia="en-GB"/>
              </w:rPr>
              <w:t>INV. N.</w:t>
            </w:r>
          </w:p>
        </w:tc>
        <w:tc>
          <w:tcPr>
            <w:tcW w:w="842" w:type="dxa"/>
            <w:shd w:val="clear" w:color="auto" w:fill="auto"/>
            <w:noWrap/>
            <w:vAlign w:val="bottom"/>
            <w:hideMark/>
          </w:tcPr>
          <w:p w14:paraId="5E137339" w14:textId="77777777" w:rsidR="003860B7" w:rsidRPr="003860B7" w:rsidRDefault="003860B7" w:rsidP="003860B7">
            <w:pPr>
              <w:widowControl/>
              <w:spacing w:line="240" w:lineRule="auto"/>
              <w:contextualSpacing w:val="0"/>
              <w:jc w:val="left"/>
              <w:rPr>
                <w:rFonts w:ascii="Calibri" w:eastAsia="Times New Roman" w:hAnsi="Calibri" w:cs="Calibri"/>
                <w:b/>
                <w:bCs/>
                <w:lang w:eastAsia="en-GB"/>
              </w:rPr>
            </w:pPr>
            <w:r w:rsidRPr="003860B7">
              <w:rPr>
                <w:rFonts w:ascii="Calibri" w:eastAsia="Times New Roman" w:hAnsi="Calibri" w:cs="Calibri"/>
                <w:b/>
                <w:bCs/>
                <w:lang w:eastAsia="en-GB"/>
              </w:rPr>
              <w:t>ID TOMB</w:t>
            </w:r>
          </w:p>
        </w:tc>
        <w:tc>
          <w:tcPr>
            <w:tcW w:w="1865" w:type="dxa"/>
            <w:shd w:val="clear" w:color="auto" w:fill="auto"/>
            <w:noWrap/>
            <w:vAlign w:val="bottom"/>
            <w:hideMark/>
          </w:tcPr>
          <w:p w14:paraId="2B384506" w14:textId="77777777" w:rsidR="003860B7" w:rsidRPr="003860B7" w:rsidRDefault="003860B7" w:rsidP="003860B7">
            <w:pPr>
              <w:widowControl/>
              <w:spacing w:line="240" w:lineRule="auto"/>
              <w:contextualSpacing w:val="0"/>
              <w:jc w:val="left"/>
              <w:rPr>
                <w:rFonts w:ascii="Calibri" w:eastAsia="Times New Roman" w:hAnsi="Calibri" w:cs="Calibri"/>
                <w:b/>
                <w:bCs/>
                <w:lang w:eastAsia="en-GB"/>
              </w:rPr>
            </w:pPr>
            <w:r w:rsidRPr="003860B7">
              <w:rPr>
                <w:rFonts w:ascii="Calibri" w:eastAsia="Times New Roman" w:hAnsi="Calibri" w:cs="Calibri"/>
                <w:b/>
                <w:bCs/>
                <w:lang w:eastAsia="en-GB"/>
              </w:rPr>
              <w:t>BURIAL LOCATION</w:t>
            </w:r>
          </w:p>
        </w:tc>
        <w:tc>
          <w:tcPr>
            <w:tcW w:w="844" w:type="dxa"/>
            <w:shd w:val="clear" w:color="auto" w:fill="auto"/>
            <w:noWrap/>
            <w:vAlign w:val="bottom"/>
            <w:hideMark/>
          </w:tcPr>
          <w:p w14:paraId="28BCBF90" w14:textId="77777777" w:rsidR="003860B7" w:rsidRPr="003860B7" w:rsidRDefault="003860B7" w:rsidP="003860B7">
            <w:pPr>
              <w:widowControl/>
              <w:spacing w:line="240" w:lineRule="auto"/>
              <w:contextualSpacing w:val="0"/>
              <w:jc w:val="left"/>
              <w:rPr>
                <w:rFonts w:ascii="Calibri" w:eastAsia="Times New Roman" w:hAnsi="Calibri" w:cs="Calibri"/>
                <w:b/>
                <w:bCs/>
                <w:lang w:eastAsia="en-GB"/>
              </w:rPr>
            </w:pPr>
            <w:r w:rsidRPr="003860B7">
              <w:rPr>
                <w:rFonts w:ascii="Calibri" w:eastAsia="Times New Roman" w:hAnsi="Calibri" w:cs="Calibri"/>
                <w:b/>
                <w:bCs/>
                <w:lang w:eastAsia="en-GB"/>
              </w:rPr>
              <w:t>CHEST</w:t>
            </w:r>
          </w:p>
        </w:tc>
        <w:tc>
          <w:tcPr>
            <w:tcW w:w="767" w:type="dxa"/>
            <w:shd w:val="clear" w:color="auto" w:fill="auto"/>
            <w:noWrap/>
            <w:vAlign w:val="bottom"/>
            <w:hideMark/>
          </w:tcPr>
          <w:p w14:paraId="6C0DBC9E" w14:textId="77777777" w:rsidR="003860B7" w:rsidRPr="003860B7" w:rsidRDefault="003860B7" w:rsidP="003860B7">
            <w:pPr>
              <w:widowControl/>
              <w:spacing w:line="240" w:lineRule="auto"/>
              <w:contextualSpacing w:val="0"/>
              <w:jc w:val="left"/>
              <w:rPr>
                <w:rFonts w:ascii="Calibri" w:eastAsia="Times New Roman" w:hAnsi="Calibri" w:cs="Calibri"/>
                <w:b/>
                <w:bCs/>
                <w:lang w:eastAsia="en-GB"/>
              </w:rPr>
            </w:pPr>
            <w:r w:rsidRPr="003860B7">
              <w:rPr>
                <w:rFonts w:ascii="Calibri" w:eastAsia="Times New Roman" w:hAnsi="Calibri" w:cs="Calibri"/>
                <w:b/>
                <w:bCs/>
                <w:lang w:eastAsia="en-GB"/>
              </w:rPr>
              <w:t>BATH</w:t>
            </w:r>
          </w:p>
        </w:tc>
        <w:tc>
          <w:tcPr>
            <w:tcW w:w="1477" w:type="dxa"/>
            <w:shd w:val="clear" w:color="auto" w:fill="auto"/>
            <w:noWrap/>
            <w:vAlign w:val="bottom"/>
            <w:hideMark/>
          </w:tcPr>
          <w:p w14:paraId="6609FA46" w14:textId="77777777" w:rsidR="003860B7" w:rsidRPr="003860B7" w:rsidRDefault="003860B7" w:rsidP="003860B7">
            <w:pPr>
              <w:widowControl/>
              <w:spacing w:line="240" w:lineRule="auto"/>
              <w:contextualSpacing w:val="0"/>
              <w:jc w:val="left"/>
              <w:rPr>
                <w:rFonts w:ascii="Calibri" w:eastAsia="Times New Roman" w:hAnsi="Calibri" w:cs="Calibri"/>
                <w:b/>
                <w:bCs/>
                <w:lang w:eastAsia="en-GB"/>
              </w:rPr>
            </w:pPr>
            <w:r w:rsidRPr="003860B7">
              <w:rPr>
                <w:rFonts w:ascii="Calibri" w:eastAsia="Times New Roman" w:hAnsi="Calibri" w:cs="Calibri"/>
                <w:b/>
                <w:bCs/>
                <w:lang w:eastAsia="en-GB"/>
              </w:rPr>
              <w:t>FRAGMENTS</w:t>
            </w:r>
          </w:p>
        </w:tc>
        <w:tc>
          <w:tcPr>
            <w:tcW w:w="747" w:type="dxa"/>
            <w:shd w:val="clear" w:color="auto" w:fill="auto"/>
            <w:noWrap/>
            <w:vAlign w:val="bottom"/>
            <w:hideMark/>
          </w:tcPr>
          <w:p w14:paraId="27D33974" w14:textId="77777777" w:rsidR="003860B7" w:rsidRPr="003860B7" w:rsidRDefault="003860B7" w:rsidP="003860B7">
            <w:pPr>
              <w:widowControl/>
              <w:spacing w:line="240" w:lineRule="auto"/>
              <w:contextualSpacing w:val="0"/>
              <w:jc w:val="left"/>
              <w:rPr>
                <w:rFonts w:ascii="Calibri" w:eastAsia="Times New Roman" w:hAnsi="Calibri" w:cs="Calibri"/>
                <w:b/>
                <w:bCs/>
                <w:lang w:eastAsia="en-GB"/>
              </w:rPr>
            </w:pPr>
            <w:r w:rsidRPr="003860B7">
              <w:rPr>
                <w:rFonts w:ascii="Calibri" w:eastAsia="Times New Roman" w:hAnsi="Calibri" w:cs="Calibri"/>
                <w:b/>
                <w:bCs/>
                <w:lang w:eastAsia="en-GB"/>
              </w:rPr>
              <w:t>Löwe</w:t>
            </w:r>
          </w:p>
        </w:tc>
        <w:tc>
          <w:tcPr>
            <w:tcW w:w="4865" w:type="dxa"/>
            <w:shd w:val="clear" w:color="auto" w:fill="auto"/>
            <w:noWrap/>
            <w:vAlign w:val="bottom"/>
            <w:hideMark/>
          </w:tcPr>
          <w:p w14:paraId="6D4FF1CD" w14:textId="77777777" w:rsidR="003860B7" w:rsidRPr="003860B7" w:rsidRDefault="003860B7" w:rsidP="003860B7">
            <w:pPr>
              <w:widowControl/>
              <w:spacing w:line="240" w:lineRule="auto"/>
              <w:contextualSpacing w:val="0"/>
              <w:jc w:val="left"/>
              <w:rPr>
                <w:rFonts w:ascii="Calibri" w:eastAsia="Times New Roman" w:hAnsi="Calibri" w:cs="Calibri"/>
                <w:b/>
                <w:bCs/>
                <w:lang w:eastAsia="en-GB"/>
              </w:rPr>
            </w:pPr>
            <w:r w:rsidRPr="003860B7">
              <w:rPr>
                <w:rFonts w:ascii="Calibri" w:eastAsia="Times New Roman" w:hAnsi="Calibri" w:cs="Calibri"/>
                <w:b/>
                <w:bCs/>
                <w:lang w:eastAsia="en-GB"/>
              </w:rPr>
              <w:t>bibliography</w:t>
            </w:r>
          </w:p>
        </w:tc>
      </w:tr>
      <w:tr w:rsidR="003860B7" w:rsidRPr="003860B7" w14:paraId="68D763BF" w14:textId="77777777" w:rsidTr="00F52D43">
        <w:trPr>
          <w:trHeight w:val="315"/>
        </w:trPr>
        <w:tc>
          <w:tcPr>
            <w:tcW w:w="1034" w:type="dxa"/>
            <w:shd w:val="clear" w:color="auto" w:fill="auto"/>
            <w:noWrap/>
            <w:vAlign w:val="bottom"/>
            <w:hideMark/>
          </w:tcPr>
          <w:p w14:paraId="1DCD9DD3"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586</w:t>
            </w:r>
          </w:p>
        </w:tc>
        <w:tc>
          <w:tcPr>
            <w:tcW w:w="1027" w:type="dxa"/>
            <w:shd w:val="clear" w:color="auto" w:fill="auto"/>
            <w:noWrap/>
            <w:vAlign w:val="bottom"/>
            <w:hideMark/>
          </w:tcPr>
          <w:p w14:paraId="742C5A9A"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9336</w:t>
            </w:r>
          </w:p>
        </w:tc>
        <w:tc>
          <w:tcPr>
            <w:tcW w:w="842" w:type="dxa"/>
            <w:shd w:val="clear" w:color="auto" w:fill="auto"/>
            <w:noWrap/>
            <w:vAlign w:val="bottom"/>
            <w:hideMark/>
          </w:tcPr>
          <w:p w14:paraId="649CB390"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T271</w:t>
            </w:r>
          </w:p>
        </w:tc>
        <w:tc>
          <w:tcPr>
            <w:tcW w:w="1865" w:type="dxa"/>
            <w:shd w:val="clear" w:color="auto" w:fill="auto"/>
            <w:noWrap/>
            <w:vAlign w:val="bottom"/>
            <w:hideMark/>
          </w:tcPr>
          <w:p w14:paraId="6AA1919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AGIOS MYRON</w:t>
            </w:r>
          </w:p>
        </w:tc>
        <w:tc>
          <w:tcPr>
            <w:tcW w:w="844" w:type="dxa"/>
            <w:shd w:val="clear" w:color="auto" w:fill="auto"/>
            <w:noWrap/>
            <w:vAlign w:val="bottom"/>
            <w:hideMark/>
          </w:tcPr>
          <w:p w14:paraId="535C79B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1DB581F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57470A6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5B6754C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347</w:t>
            </w:r>
          </w:p>
        </w:tc>
        <w:tc>
          <w:tcPr>
            <w:tcW w:w="4865" w:type="dxa"/>
            <w:shd w:val="clear" w:color="auto" w:fill="auto"/>
            <w:noWrap/>
            <w:vAlign w:val="bottom"/>
            <w:hideMark/>
          </w:tcPr>
          <w:p w14:paraId="262B5E8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 xml:space="preserve"> EEKS 4 1941: 269; AA 1942: 197-98; Pendlebury 1939:294; Dunbabin 1947:191; Pini 1968:76; Kanta 1980:15-16, fig. 113.2; Spiliotopoulou 2010: 76-77</w:t>
            </w:r>
          </w:p>
        </w:tc>
      </w:tr>
      <w:tr w:rsidR="003860B7" w:rsidRPr="003860B7" w14:paraId="3A4C944B" w14:textId="77777777" w:rsidTr="00F52D43">
        <w:trPr>
          <w:trHeight w:val="315"/>
        </w:trPr>
        <w:tc>
          <w:tcPr>
            <w:tcW w:w="1034" w:type="dxa"/>
            <w:shd w:val="clear" w:color="auto" w:fill="auto"/>
            <w:noWrap/>
            <w:vAlign w:val="bottom"/>
            <w:hideMark/>
          </w:tcPr>
          <w:p w14:paraId="2A1A8163"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692</w:t>
            </w:r>
          </w:p>
        </w:tc>
        <w:tc>
          <w:tcPr>
            <w:tcW w:w="1027" w:type="dxa"/>
            <w:shd w:val="clear" w:color="auto" w:fill="auto"/>
            <w:noWrap/>
            <w:vAlign w:val="bottom"/>
            <w:hideMark/>
          </w:tcPr>
          <w:p w14:paraId="55E27520"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6BB4355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T302</w:t>
            </w:r>
          </w:p>
        </w:tc>
        <w:tc>
          <w:tcPr>
            <w:tcW w:w="1865" w:type="dxa"/>
            <w:shd w:val="clear" w:color="auto" w:fill="auto"/>
            <w:noWrap/>
            <w:vAlign w:val="bottom"/>
            <w:hideMark/>
          </w:tcPr>
          <w:p w14:paraId="7B707B2A"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AGIOS SYLLAS</w:t>
            </w:r>
          </w:p>
        </w:tc>
        <w:tc>
          <w:tcPr>
            <w:tcW w:w="844" w:type="dxa"/>
            <w:shd w:val="clear" w:color="auto" w:fill="auto"/>
            <w:noWrap/>
            <w:vAlign w:val="bottom"/>
            <w:hideMark/>
          </w:tcPr>
          <w:p w14:paraId="2531EBA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07292C3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51924B0A"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7455B1A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349</w:t>
            </w:r>
          </w:p>
        </w:tc>
        <w:tc>
          <w:tcPr>
            <w:tcW w:w="4865" w:type="dxa"/>
            <w:shd w:val="clear" w:color="auto" w:fill="auto"/>
            <w:noWrap/>
            <w:vAlign w:val="bottom"/>
            <w:hideMark/>
          </w:tcPr>
          <w:p w14:paraId="168D002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Karetsou 1975: 522-526, pl . 337 a-b</w:t>
            </w:r>
          </w:p>
        </w:tc>
      </w:tr>
      <w:tr w:rsidR="003860B7" w:rsidRPr="003860B7" w14:paraId="6F062EB6" w14:textId="77777777" w:rsidTr="00F52D43">
        <w:trPr>
          <w:trHeight w:val="315"/>
        </w:trPr>
        <w:tc>
          <w:tcPr>
            <w:tcW w:w="1034" w:type="dxa"/>
            <w:shd w:val="clear" w:color="auto" w:fill="auto"/>
            <w:noWrap/>
            <w:vAlign w:val="bottom"/>
            <w:hideMark/>
          </w:tcPr>
          <w:p w14:paraId="26E1C1D6"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693</w:t>
            </w:r>
          </w:p>
        </w:tc>
        <w:tc>
          <w:tcPr>
            <w:tcW w:w="1027" w:type="dxa"/>
            <w:shd w:val="clear" w:color="auto" w:fill="auto"/>
            <w:noWrap/>
            <w:vAlign w:val="bottom"/>
            <w:hideMark/>
          </w:tcPr>
          <w:p w14:paraId="3DD5F83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21492</w:t>
            </w:r>
          </w:p>
        </w:tc>
        <w:tc>
          <w:tcPr>
            <w:tcW w:w="842" w:type="dxa"/>
            <w:shd w:val="clear" w:color="auto" w:fill="auto"/>
            <w:noWrap/>
            <w:vAlign w:val="bottom"/>
            <w:hideMark/>
          </w:tcPr>
          <w:p w14:paraId="54A169F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T302</w:t>
            </w:r>
          </w:p>
        </w:tc>
        <w:tc>
          <w:tcPr>
            <w:tcW w:w="1865" w:type="dxa"/>
            <w:shd w:val="clear" w:color="auto" w:fill="auto"/>
            <w:noWrap/>
            <w:vAlign w:val="bottom"/>
            <w:hideMark/>
          </w:tcPr>
          <w:p w14:paraId="4F6C1EB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AGIOS SYLLAS</w:t>
            </w:r>
          </w:p>
        </w:tc>
        <w:tc>
          <w:tcPr>
            <w:tcW w:w="844" w:type="dxa"/>
            <w:shd w:val="clear" w:color="auto" w:fill="auto"/>
            <w:noWrap/>
            <w:vAlign w:val="bottom"/>
            <w:hideMark/>
          </w:tcPr>
          <w:p w14:paraId="01E2825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69ADDCE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4E00595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7E70642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349</w:t>
            </w:r>
          </w:p>
        </w:tc>
        <w:tc>
          <w:tcPr>
            <w:tcW w:w="4865" w:type="dxa"/>
            <w:shd w:val="clear" w:color="auto" w:fill="auto"/>
            <w:noWrap/>
            <w:vAlign w:val="bottom"/>
            <w:hideMark/>
          </w:tcPr>
          <w:p w14:paraId="38BE13B1"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Karetsou 1975: 522-526 pl . 338 a-b</w:t>
            </w:r>
          </w:p>
        </w:tc>
      </w:tr>
      <w:tr w:rsidR="003860B7" w:rsidRPr="003860B7" w14:paraId="5FE3CCE8" w14:textId="77777777" w:rsidTr="00F52D43">
        <w:trPr>
          <w:trHeight w:val="315"/>
        </w:trPr>
        <w:tc>
          <w:tcPr>
            <w:tcW w:w="1034" w:type="dxa"/>
            <w:shd w:val="clear" w:color="auto" w:fill="auto"/>
            <w:noWrap/>
            <w:vAlign w:val="bottom"/>
            <w:hideMark/>
          </w:tcPr>
          <w:p w14:paraId="5B3AEBE9"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696</w:t>
            </w:r>
          </w:p>
        </w:tc>
        <w:tc>
          <w:tcPr>
            <w:tcW w:w="1027" w:type="dxa"/>
            <w:shd w:val="clear" w:color="auto" w:fill="auto"/>
            <w:noWrap/>
            <w:vAlign w:val="bottom"/>
            <w:hideMark/>
          </w:tcPr>
          <w:p w14:paraId="7E7923C8"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22295</w:t>
            </w:r>
          </w:p>
        </w:tc>
        <w:tc>
          <w:tcPr>
            <w:tcW w:w="842" w:type="dxa"/>
            <w:shd w:val="clear" w:color="auto" w:fill="auto"/>
            <w:noWrap/>
            <w:vAlign w:val="bottom"/>
            <w:hideMark/>
          </w:tcPr>
          <w:p w14:paraId="085E9D3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T303</w:t>
            </w:r>
          </w:p>
        </w:tc>
        <w:tc>
          <w:tcPr>
            <w:tcW w:w="1865" w:type="dxa"/>
            <w:shd w:val="clear" w:color="auto" w:fill="auto"/>
            <w:noWrap/>
            <w:vAlign w:val="bottom"/>
            <w:hideMark/>
          </w:tcPr>
          <w:p w14:paraId="30C19CF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AGIOS SYLLAS</w:t>
            </w:r>
          </w:p>
        </w:tc>
        <w:tc>
          <w:tcPr>
            <w:tcW w:w="844" w:type="dxa"/>
            <w:shd w:val="clear" w:color="auto" w:fill="auto"/>
            <w:noWrap/>
            <w:vAlign w:val="bottom"/>
            <w:hideMark/>
          </w:tcPr>
          <w:p w14:paraId="0EAECD94"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63115C3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2C0A8AD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2B7CEEB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351</w:t>
            </w:r>
          </w:p>
        </w:tc>
        <w:tc>
          <w:tcPr>
            <w:tcW w:w="4865" w:type="dxa"/>
            <w:shd w:val="clear" w:color="auto" w:fill="auto"/>
            <w:noWrap/>
            <w:vAlign w:val="bottom"/>
            <w:hideMark/>
          </w:tcPr>
          <w:p w14:paraId="72DE941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 xml:space="preserve"> ADelt 1978: 352-353, pl 179b</w:t>
            </w:r>
          </w:p>
        </w:tc>
      </w:tr>
      <w:tr w:rsidR="003860B7" w:rsidRPr="003860B7" w14:paraId="3AC7801E" w14:textId="77777777" w:rsidTr="00F52D43">
        <w:trPr>
          <w:trHeight w:val="315"/>
        </w:trPr>
        <w:tc>
          <w:tcPr>
            <w:tcW w:w="1034" w:type="dxa"/>
            <w:shd w:val="clear" w:color="auto" w:fill="auto"/>
            <w:noWrap/>
            <w:vAlign w:val="bottom"/>
            <w:hideMark/>
          </w:tcPr>
          <w:p w14:paraId="4138D40C"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698</w:t>
            </w:r>
          </w:p>
        </w:tc>
        <w:tc>
          <w:tcPr>
            <w:tcW w:w="1027" w:type="dxa"/>
            <w:shd w:val="clear" w:color="auto" w:fill="auto"/>
            <w:noWrap/>
            <w:vAlign w:val="bottom"/>
            <w:hideMark/>
          </w:tcPr>
          <w:p w14:paraId="3C2B9C30"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22297</w:t>
            </w:r>
          </w:p>
        </w:tc>
        <w:tc>
          <w:tcPr>
            <w:tcW w:w="842" w:type="dxa"/>
            <w:shd w:val="clear" w:color="auto" w:fill="auto"/>
            <w:noWrap/>
            <w:vAlign w:val="bottom"/>
            <w:hideMark/>
          </w:tcPr>
          <w:p w14:paraId="7013B061"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T303</w:t>
            </w:r>
          </w:p>
        </w:tc>
        <w:tc>
          <w:tcPr>
            <w:tcW w:w="1865" w:type="dxa"/>
            <w:shd w:val="clear" w:color="auto" w:fill="auto"/>
            <w:noWrap/>
            <w:vAlign w:val="bottom"/>
            <w:hideMark/>
          </w:tcPr>
          <w:p w14:paraId="3E627C5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AGIOS SYLLAS</w:t>
            </w:r>
          </w:p>
        </w:tc>
        <w:tc>
          <w:tcPr>
            <w:tcW w:w="844" w:type="dxa"/>
            <w:shd w:val="clear" w:color="auto" w:fill="auto"/>
            <w:noWrap/>
            <w:vAlign w:val="bottom"/>
            <w:hideMark/>
          </w:tcPr>
          <w:p w14:paraId="6349D0D4"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21DD351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3E49EE7F"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354F5AC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351</w:t>
            </w:r>
          </w:p>
        </w:tc>
        <w:tc>
          <w:tcPr>
            <w:tcW w:w="4865" w:type="dxa"/>
            <w:shd w:val="clear" w:color="auto" w:fill="auto"/>
            <w:noWrap/>
            <w:vAlign w:val="bottom"/>
            <w:hideMark/>
          </w:tcPr>
          <w:p w14:paraId="40593EB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 xml:space="preserve"> ADelt 1978: 352-353, pl 179b</w:t>
            </w:r>
          </w:p>
        </w:tc>
      </w:tr>
      <w:tr w:rsidR="003860B7" w:rsidRPr="003860B7" w14:paraId="4E52F73F" w14:textId="77777777" w:rsidTr="00F52D43">
        <w:trPr>
          <w:trHeight w:val="315"/>
        </w:trPr>
        <w:tc>
          <w:tcPr>
            <w:tcW w:w="1034" w:type="dxa"/>
            <w:shd w:val="clear" w:color="auto" w:fill="auto"/>
            <w:noWrap/>
            <w:vAlign w:val="bottom"/>
            <w:hideMark/>
          </w:tcPr>
          <w:p w14:paraId="128ADAFD"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709</w:t>
            </w:r>
          </w:p>
        </w:tc>
        <w:tc>
          <w:tcPr>
            <w:tcW w:w="1027" w:type="dxa"/>
            <w:shd w:val="clear" w:color="auto" w:fill="auto"/>
            <w:noWrap/>
            <w:vAlign w:val="bottom"/>
            <w:hideMark/>
          </w:tcPr>
          <w:p w14:paraId="73FFD873"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14345</w:t>
            </w:r>
          </w:p>
        </w:tc>
        <w:tc>
          <w:tcPr>
            <w:tcW w:w="842" w:type="dxa"/>
            <w:shd w:val="clear" w:color="auto" w:fill="auto"/>
            <w:noWrap/>
            <w:vAlign w:val="bottom"/>
            <w:hideMark/>
          </w:tcPr>
          <w:p w14:paraId="391FAAF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T309</w:t>
            </w:r>
          </w:p>
        </w:tc>
        <w:tc>
          <w:tcPr>
            <w:tcW w:w="1865" w:type="dxa"/>
            <w:shd w:val="clear" w:color="auto" w:fill="auto"/>
            <w:noWrap/>
            <w:vAlign w:val="bottom"/>
            <w:hideMark/>
          </w:tcPr>
          <w:p w14:paraId="0EEF857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ARCHANES PHOURNI</w:t>
            </w:r>
          </w:p>
        </w:tc>
        <w:tc>
          <w:tcPr>
            <w:tcW w:w="844" w:type="dxa"/>
            <w:shd w:val="clear" w:color="auto" w:fill="auto"/>
            <w:noWrap/>
            <w:vAlign w:val="bottom"/>
            <w:hideMark/>
          </w:tcPr>
          <w:p w14:paraId="15DF68F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36C9A91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7167978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2E2D62F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395</w:t>
            </w:r>
          </w:p>
        </w:tc>
        <w:tc>
          <w:tcPr>
            <w:tcW w:w="4865" w:type="dxa"/>
            <w:shd w:val="clear" w:color="auto" w:fill="auto"/>
            <w:noWrap/>
            <w:vAlign w:val="bottom"/>
            <w:hideMark/>
          </w:tcPr>
          <w:p w14:paraId="1E3ABC3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Sakellarakis  1965: 110-118, pl. 57-58; Sapouna-Sakellaraki 1990: 77-78, fig.18; Sakellarakis and Sakellaraki 1997: 478-487, fig. 472; Kanta 1980: 32; Merousis 2000: 119; Spiliotopoulou 2010: 83-84</w:t>
            </w:r>
          </w:p>
        </w:tc>
      </w:tr>
      <w:tr w:rsidR="003860B7" w:rsidRPr="003860B7" w14:paraId="3D09EE4A" w14:textId="77777777" w:rsidTr="00F52D43">
        <w:trPr>
          <w:trHeight w:val="315"/>
        </w:trPr>
        <w:tc>
          <w:tcPr>
            <w:tcW w:w="1034" w:type="dxa"/>
            <w:shd w:val="clear" w:color="auto" w:fill="auto"/>
            <w:noWrap/>
            <w:vAlign w:val="bottom"/>
            <w:hideMark/>
          </w:tcPr>
          <w:p w14:paraId="5FE41C5A"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712</w:t>
            </w:r>
          </w:p>
        </w:tc>
        <w:tc>
          <w:tcPr>
            <w:tcW w:w="1027" w:type="dxa"/>
            <w:shd w:val="clear" w:color="auto" w:fill="auto"/>
            <w:noWrap/>
            <w:vAlign w:val="bottom"/>
            <w:hideMark/>
          </w:tcPr>
          <w:p w14:paraId="4D209B2F"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76EE48E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T312</w:t>
            </w:r>
          </w:p>
        </w:tc>
        <w:tc>
          <w:tcPr>
            <w:tcW w:w="1865" w:type="dxa"/>
            <w:shd w:val="clear" w:color="auto" w:fill="auto"/>
            <w:noWrap/>
            <w:vAlign w:val="bottom"/>
            <w:hideMark/>
          </w:tcPr>
          <w:p w14:paraId="2E6F4578"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ARCHANES PHOURNI</w:t>
            </w:r>
          </w:p>
        </w:tc>
        <w:tc>
          <w:tcPr>
            <w:tcW w:w="844" w:type="dxa"/>
            <w:shd w:val="clear" w:color="auto" w:fill="auto"/>
            <w:noWrap/>
            <w:vAlign w:val="bottom"/>
            <w:hideMark/>
          </w:tcPr>
          <w:p w14:paraId="7DC8E32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1EBE87B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0E6839FD"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4F856A9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393</w:t>
            </w:r>
          </w:p>
        </w:tc>
        <w:tc>
          <w:tcPr>
            <w:tcW w:w="4865" w:type="dxa"/>
            <w:shd w:val="clear" w:color="auto" w:fill="auto"/>
            <w:noWrap/>
            <w:vAlign w:val="bottom"/>
            <w:hideMark/>
          </w:tcPr>
          <w:p w14:paraId="4C56E7D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Sapouna-Sakellaraki 1990: 82-83; Sakellarakis and Sakellaraki 1997: 481-482 fig 467; Spiliotopoulou 2010: 84-85</w:t>
            </w:r>
          </w:p>
        </w:tc>
      </w:tr>
      <w:tr w:rsidR="003860B7" w:rsidRPr="003860B7" w14:paraId="542BA0E0" w14:textId="77777777" w:rsidTr="00F52D43">
        <w:trPr>
          <w:trHeight w:val="315"/>
        </w:trPr>
        <w:tc>
          <w:tcPr>
            <w:tcW w:w="1034" w:type="dxa"/>
            <w:shd w:val="clear" w:color="auto" w:fill="auto"/>
            <w:noWrap/>
            <w:vAlign w:val="bottom"/>
            <w:hideMark/>
          </w:tcPr>
          <w:p w14:paraId="41076107"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713</w:t>
            </w:r>
          </w:p>
        </w:tc>
        <w:tc>
          <w:tcPr>
            <w:tcW w:w="1027" w:type="dxa"/>
            <w:shd w:val="clear" w:color="auto" w:fill="auto"/>
            <w:noWrap/>
            <w:vAlign w:val="bottom"/>
            <w:hideMark/>
          </w:tcPr>
          <w:p w14:paraId="532222B5"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5F9A5970"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T313</w:t>
            </w:r>
          </w:p>
        </w:tc>
        <w:tc>
          <w:tcPr>
            <w:tcW w:w="1865" w:type="dxa"/>
            <w:shd w:val="clear" w:color="auto" w:fill="auto"/>
            <w:noWrap/>
            <w:vAlign w:val="bottom"/>
            <w:hideMark/>
          </w:tcPr>
          <w:p w14:paraId="3F65F5C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ARCHANES PHOURNI</w:t>
            </w:r>
          </w:p>
        </w:tc>
        <w:tc>
          <w:tcPr>
            <w:tcW w:w="844" w:type="dxa"/>
            <w:shd w:val="clear" w:color="auto" w:fill="auto"/>
            <w:noWrap/>
            <w:vAlign w:val="bottom"/>
            <w:hideMark/>
          </w:tcPr>
          <w:p w14:paraId="4593AAB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4D080D6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48F6549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2D175B6D"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393</w:t>
            </w:r>
          </w:p>
        </w:tc>
        <w:tc>
          <w:tcPr>
            <w:tcW w:w="4865" w:type="dxa"/>
            <w:shd w:val="clear" w:color="auto" w:fill="auto"/>
            <w:noWrap/>
            <w:vAlign w:val="bottom"/>
            <w:hideMark/>
          </w:tcPr>
          <w:p w14:paraId="741B3E2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Sapouna-Sakellaraki 1990: 82-83; Sakellarakis and Sakellaraki 1997: 482 fig. 468; Spiliotopoulou 2010: 84-85</w:t>
            </w:r>
          </w:p>
        </w:tc>
      </w:tr>
      <w:tr w:rsidR="003860B7" w:rsidRPr="003860B7" w14:paraId="7DE01D9F" w14:textId="77777777" w:rsidTr="00F52D43">
        <w:trPr>
          <w:trHeight w:val="315"/>
        </w:trPr>
        <w:tc>
          <w:tcPr>
            <w:tcW w:w="1034" w:type="dxa"/>
            <w:shd w:val="clear" w:color="auto" w:fill="auto"/>
            <w:noWrap/>
            <w:vAlign w:val="bottom"/>
            <w:hideMark/>
          </w:tcPr>
          <w:p w14:paraId="28C79B66"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714</w:t>
            </w:r>
          </w:p>
        </w:tc>
        <w:tc>
          <w:tcPr>
            <w:tcW w:w="1027" w:type="dxa"/>
            <w:shd w:val="clear" w:color="auto" w:fill="auto"/>
            <w:noWrap/>
            <w:vAlign w:val="bottom"/>
            <w:hideMark/>
          </w:tcPr>
          <w:p w14:paraId="0CA172B9"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28BACE71"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T314</w:t>
            </w:r>
          </w:p>
        </w:tc>
        <w:tc>
          <w:tcPr>
            <w:tcW w:w="1865" w:type="dxa"/>
            <w:shd w:val="clear" w:color="auto" w:fill="auto"/>
            <w:noWrap/>
            <w:vAlign w:val="bottom"/>
            <w:hideMark/>
          </w:tcPr>
          <w:p w14:paraId="218E977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ARCHANES PHOURNI</w:t>
            </w:r>
          </w:p>
        </w:tc>
        <w:tc>
          <w:tcPr>
            <w:tcW w:w="844" w:type="dxa"/>
            <w:shd w:val="clear" w:color="auto" w:fill="auto"/>
            <w:noWrap/>
            <w:vAlign w:val="bottom"/>
            <w:hideMark/>
          </w:tcPr>
          <w:p w14:paraId="7655CF4D"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54FEAEB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4981722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0604390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 xml:space="preserve"> -</w:t>
            </w:r>
          </w:p>
        </w:tc>
        <w:tc>
          <w:tcPr>
            <w:tcW w:w="4865" w:type="dxa"/>
            <w:shd w:val="clear" w:color="auto" w:fill="auto"/>
            <w:noWrap/>
            <w:vAlign w:val="bottom"/>
            <w:hideMark/>
          </w:tcPr>
          <w:p w14:paraId="6B0D7220"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Sapouna-Sakellaraki 1990: 82-83; Sakellarakis and Sakellaraki 1997: 482 fig. 468; Spiliotopoulou 2010: 84-85</w:t>
            </w:r>
          </w:p>
        </w:tc>
      </w:tr>
      <w:tr w:rsidR="003860B7" w:rsidRPr="003860B7" w14:paraId="7525339A" w14:textId="77777777" w:rsidTr="00F52D43">
        <w:trPr>
          <w:trHeight w:val="315"/>
        </w:trPr>
        <w:tc>
          <w:tcPr>
            <w:tcW w:w="1034" w:type="dxa"/>
            <w:shd w:val="clear" w:color="auto" w:fill="auto"/>
            <w:noWrap/>
            <w:vAlign w:val="bottom"/>
            <w:hideMark/>
          </w:tcPr>
          <w:p w14:paraId="19DD6176"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717</w:t>
            </w:r>
          </w:p>
        </w:tc>
        <w:tc>
          <w:tcPr>
            <w:tcW w:w="1027" w:type="dxa"/>
            <w:shd w:val="clear" w:color="auto" w:fill="auto"/>
            <w:noWrap/>
            <w:vAlign w:val="bottom"/>
            <w:hideMark/>
          </w:tcPr>
          <w:p w14:paraId="5CF0B9B7"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1A11971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T317</w:t>
            </w:r>
          </w:p>
        </w:tc>
        <w:tc>
          <w:tcPr>
            <w:tcW w:w="1865" w:type="dxa"/>
            <w:shd w:val="clear" w:color="auto" w:fill="auto"/>
            <w:noWrap/>
            <w:vAlign w:val="bottom"/>
            <w:hideMark/>
          </w:tcPr>
          <w:p w14:paraId="2FDF3A7B"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ARCHANES PHOURNI</w:t>
            </w:r>
          </w:p>
        </w:tc>
        <w:tc>
          <w:tcPr>
            <w:tcW w:w="844" w:type="dxa"/>
            <w:shd w:val="clear" w:color="auto" w:fill="auto"/>
            <w:noWrap/>
            <w:vAlign w:val="bottom"/>
            <w:hideMark/>
          </w:tcPr>
          <w:p w14:paraId="21D35FB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450AEF6E"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4F90188A"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660A4E3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389</w:t>
            </w:r>
          </w:p>
        </w:tc>
        <w:tc>
          <w:tcPr>
            <w:tcW w:w="4865" w:type="dxa"/>
            <w:shd w:val="clear" w:color="auto" w:fill="auto"/>
            <w:noWrap/>
            <w:vAlign w:val="bottom"/>
            <w:hideMark/>
          </w:tcPr>
          <w:p w14:paraId="34672C8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Sapouna-Sakellarakis 1990: 77-83, fig. 24 a-c; Sakellarakis and Sakellaraki 1997: 478-479, fig 462-464;Merousis 2000: 118; Spiliotopoulou 2010: 83.</w:t>
            </w:r>
          </w:p>
        </w:tc>
      </w:tr>
      <w:tr w:rsidR="003860B7" w:rsidRPr="003860B7" w14:paraId="0EED98FB" w14:textId="77777777" w:rsidTr="00F52D43">
        <w:trPr>
          <w:trHeight w:val="315"/>
        </w:trPr>
        <w:tc>
          <w:tcPr>
            <w:tcW w:w="1034" w:type="dxa"/>
            <w:shd w:val="clear" w:color="auto" w:fill="auto"/>
            <w:noWrap/>
            <w:vAlign w:val="bottom"/>
            <w:hideMark/>
          </w:tcPr>
          <w:p w14:paraId="2F3989FE"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718</w:t>
            </w:r>
          </w:p>
        </w:tc>
        <w:tc>
          <w:tcPr>
            <w:tcW w:w="1027" w:type="dxa"/>
            <w:shd w:val="clear" w:color="auto" w:fill="auto"/>
            <w:noWrap/>
            <w:vAlign w:val="bottom"/>
            <w:hideMark/>
          </w:tcPr>
          <w:p w14:paraId="4D6F903E"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4BFD727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T317</w:t>
            </w:r>
          </w:p>
        </w:tc>
        <w:tc>
          <w:tcPr>
            <w:tcW w:w="1865" w:type="dxa"/>
            <w:shd w:val="clear" w:color="auto" w:fill="auto"/>
            <w:noWrap/>
            <w:vAlign w:val="bottom"/>
            <w:hideMark/>
          </w:tcPr>
          <w:p w14:paraId="551E08B0"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ARCHANES PHOURNI</w:t>
            </w:r>
          </w:p>
        </w:tc>
        <w:tc>
          <w:tcPr>
            <w:tcW w:w="844" w:type="dxa"/>
            <w:shd w:val="clear" w:color="auto" w:fill="auto"/>
            <w:noWrap/>
            <w:vAlign w:val="bottom"/>
            <w:hideMark/>
          </w:tcPr>
          <w:p w14:paraId="7C403BA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473C545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707CB17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7AB1524F"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389</w:t>
            </w:r>
          </w:p>
        </w:tc>
        <w:tc>
          <w:tcPr>
            <w:tcW w:w="4865" w:type="dxa"/>
            <w:shd w:val="clear" w:color="auto" w:fill="auto"/>
            <w:noWrap/>
            <w:vAlign w:val="bottom"/>
            <w:hideMark/>
          </w:tcPr>
          <w:p w14:paraId="7FAF9B81"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Sapouna-Sakellarakis 1990: 77-83, fig.22;Sakellarakis and Sakellaraki 1997: 478-487, fig 465-466; Long 1970: 50, 75; Kanta 1980: 33; Watrous 1991: pl. 82h; Merousis 2000: 118; Spiliotopoulou 2008: 83</w:t>
            </w:r>
          </w:p>
        </w:tc>
      </w:tr>
      <w:tr w:rsidR="003860B7" w:rsidRPr="003860B7" w14:paraId="1530D088" w14:textId="77777777" w:rsidTr="00F52D43">
        <w:trPr>
          <w:trHeight w:val="315"/>
        </w:trPr>
        <w:tc>
          <w:tcPr>
            <w:tcW w:w="1034" w:type="dxa"/>
            <w:shd w:val="clear" w:color="auto" w:fill="auto"/>
            <w:noWrap/>
            <w:vAlign w:val="bottom"/>
            <w:hideMark/>
          </w:tcPr>
          <w:p w14:paraId="4C128510"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822</w:t>
            </w:r>
          </w:p>
        </w:tc>
        <w:tc>
          <w:tcPr>
            <w:tcW w:w="1027" w:type="dxa"/>
            <w:shd w:val="clear" w:color="auto" w:fill="auto"/>
            <w:noWrap/>
            <w:vAlign w:val="bottom"/>
            <w:hideMark/>
          </w:tcPr>
          <w:p w14:paraId="7D87934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9216</w:t>
            </w:r>
          </w:p>
        </w:tc>
        <w:tc>
          <w:tcPr>
            <w:tcW w:w="842" w:type="dxa"/>
            <w:shd w:val="clear" w:color="auto" w:fill="auto"/>
            <w:noWrap/>
            <w:vAlign w:val="bottom"/>
            <w:hideMark/>
          </w:tcPr>
          <w:p w14:paraId="5529C3D0"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T354</w:t>
            </w:r>
          </w:p>
        </w:tc>
        <w:tc>
          <w:tcPr>
            <w:tcW w:w="1865" w:type="dxa"/>
            <w:shd w:val="clear" w:color="auto" w:fill="auto"/>
            <w:noWrap/>
            <w:vAlign w:val="bottom"/>
            <w:hideMark/>
          </w:tcPr>
          <w:p w14:paraId="3E49E53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EPISKOPI PEDIADA AGIOS APOSTOLOS</w:t>
            </w:r>
          </w:p>
        </w:tc>
        <w:tc>
          <w:tcPr>
            <w:tcW w:w="844" w:type="dxa"/>
            <w:shd w:val="clear" w:color="auto" w:fill="auto"/>
            <w:noWrap/>
            <w:vAlign w:val="bottom"/>
            <w:hideMark/>
          </w:tcPr>
          <w:p w14:paraId="33EC5DD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0DD873D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1477" w:type="dxa"/>
            <w:shd w:val="clear" w:color="auto" w:fill="auto"/>
            <w:noWrap/>
            <w:vAlign w:val="bottom"/>
            <w:hideMark/>
          </w:tcPr>
          <w:p w14:paraId="43E0F98A"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28D1F55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405</w:t>
            </w:r>
          </w:p>
        </w:tc>
        <w:tc>
          <w:tcPr>
            <w:tcW w:w="4865" w:type="dxa"/>
            <w:shd w:val="clear" w:color="auto" w:fill="auto"/>
            <w:noWrap/>
            <w:vAlign w:val="bottom"/>
            <w:hideMark/>
          </w:tcPr>
          <w:p w14:paraId="19BD7B53"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ADelt 1933-5: 51-54, fig. 8;Mavriyannaki 1972: 30;Kanta 1980: 58-59; Merousis 2000: 135; Spiliotopoulou 2008: 105</w:t>
            </w:r>
          </w:p>
        </w:tc>
      </w:tr>
      <w:tr w:rsidR="003860B7" w:rsidRPr="003860B7" w14:paraId="45DF15E8" w14:textId="77777777" w:rsidTr="00F52D43">
        <w:trPr>
          <w:trHeight w:val="315"/>
        </w:trPr>
        <w:tc>
          <w:tcPr>
            <w:tcW w:w="1034" w:type="dxa"/>
            <w:shd w:val="clear" w:color="auto" w:fill="auto"/>
            <w:noWrap/>
            <w:vAlign w:val="bottom"/>
            <w:hideMark/>
          </w:tcPr>
          <w:p w14:paraId="0CBCBFC9"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596</w:t>
            </w:r>
          </w:p>
        </w:tc>
        <w:tc>
          <w:tcPr>
            <w:tcW w:w="1027" w:type="dxa"/>
            <w:shd w:val="clear" w:color="auto" w:fill="auto"/>
            <w:noWrap/>
            <w:vAlign w:val="bottom"/>
            <w:hideMark/>
          </w:tcPr>
          <w:p w14:paraId="4016355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22132</w:t>
            </w:r>
          </w:p>
        </w:tc>
        <w:tc>
          <w:tcPr>
            <w:tcW w:w="842" w:type="dxa"/>
            <w:shd w:val="clear" w:color="auto" w:fill="auto"/>
            <w:noWrap/>
            <w:vAlign w:val="bottom"/>
            <w:hideMark/>
          </w:tcPr>
          <w:p w14:paraId="2F095B1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T276</w:t>
            </w:r>
          </w:p>
        </w:tc>
        <w:tc>
          <w:tcPr>
            <w:tcW w:w="1865" w:type="dxa"/>
            <w:shd w:val="clear" w:color="auto" w:fill="auto"/>
            <w:noWrap/>
            <w:vAlign w:val="bottom"/>
            <w:hideMark/>
          </w:tcPr>
          <w:p w14:paraId="14F77CC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GAZI</w:t>
            </w:r>
          </w:p>
        </w:tc>
        <w:tc>
          <w:tcPr>
            <w:tcW w:w="844" w:type="dxa"/>
            <w:shd w:val="clear" w:color="auto" w:fill="auto"/>
            <w:noWrap/>
            <w:vAlign w:val="bottom"/>
            <w:hideMark/>
          </w:tcPr>
          <w:p w14:paraId="757BDEAC"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2C1A65A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0BBA39D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0249D13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427</w:t>
            </w:r>
          </w:p>
        </w:tc>
        <w:tc>
          <w:tcPr>
            <w:tcW w:w="4865" w:type="dxa"/>
            <w:shd w:val="clear" w:color="auto" w:fill="auto"/>
            <w:noWrap/>
            <w:vAlign w:val="bottom"/>
            <w:hideMark/>
          </w:tcPr>
          <w:p w14:paraId="64EBD1D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ADelt 33 1978: 357-358, pl.183d; Merousis 2000: 128; Spiliotopoulou 2008: 79</w:t>
            </w:r>
          </w:p>
        </w:tc>
      </w:tr>
      <w:tr w:rsidR="003860B7" w:rsidRPr="003860B7" w14:paraId="104305D8" w14:textId="77777777" w:rsidTr="00F52D43">
        <w:trPr>
          <w:trHeight w:val="315"/>
        </w:trPr>
        <w:tc>
          <w:tcPr>
            <w:tcW w:w="1034" w:type="dxa"/>
            <w:shd w:val="clear" w:color="auto" w:fill="auto"/>
            <w:noWrap/>
            <w:vAlign w:val="bottom"/>
            <w:hideMark/>
          </w:tcPr>
          <w:p w14:paraId="1A58311C"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590</w:t>
            </w:r>
          </w:p>
        </w:tc>
        <w:tc>
          <w:tcPr>
            <w:tcW w:w="1027" w:type="dxa"/>
            <w:shd w:val="clear" w:color="auto" w:fill="auto"/>
            <w:noWrap/>
            <w:vAlign w:val="bottom"/>
            <w:hideMark/>
          </w:tcPr>
          <w:p w14:paraId="4460D21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11145</w:t>
            </w:r>
          </w:p>
        </w:tc>
        <w:tc>
          <w:tcPr>
            <w:tcW w:w="842" w:type="dxa"/>
            <w:shd w:val="clear" w:color="auto" w:fill="auto"/>
            <w:noWrap/>
            <w:vAlign w:val="bottom"/>
            <w:hideMark/>
          </w:tcPr>
          <w:p w14:paraId="5169A5A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T273</w:t>
            </w:r>
          </w:p>
        </w:tc>
        <w:tc>
          <w:tcPr>
            <w:tcW w:w="1865" w:type="dxa"/>
            <w:shd w:val="clear" w:color="auto" w:fill="auto"/>
            <w:noWrap/>
            <w:vAlign w:val="bottom"/>
            <w:hideMark/>
          </w:tcPr>
          <w:p w14:paraId="5D05194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GAZI SKAPHIDARA</w:t>
            </w:r>
          </w:p>
        </w:tc>
        <w:tc>
          <w:tcPr>
            <w:tcW w:w="844" w:type="dxa"/>
            <w:shd w:val="clear" w:color="auto" w:fill="auto"/>
            <w:noWrap/>
            <w:vAlign w:val="bottom"/>
            <w:hideMark/>
          </w:tcPr>
          <w:p w14:paraId="27A7FE0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72C8493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08AD056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70B49B7A"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431</w:t>
            </w:r>
          </w:p>
        </w:tc>
        <w:tc>
          <w:tcPr>
            <w:tcW w:w="4865" w:type="dxa"/>
            <w:shd w:val="clear" w:color="auto" w:fill="auto"/>
            <w:noWrap/>
            <w:vAlign w:val="bottom"/>
            <w:hideMark/>
          </w:tcPr>
          <w:p w14:paraId="5BBD8277"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KChr 11 1957: 335</w:t>
            </w:r>
          </w:p>
        </w:tc>
      </w:tr>
      <w:tr w:rsidR="003860B7" w:rsidRPr="003860B7" w14:paraId="64162880" w14:textId="77777777" w:rsidTr="00F52D43">
        <w:trPr>
          <w:trHeight w:val="315"/>
        </w:trPr>
        <w:tc>
          <w:tcPr>
            <w:tcW w:w="1034" w:type="dxa"/>
            <w:shd w:val="clear" w:color="auto" w:fill="auto"/>
            <w:noWrap/>
            <w:vAlign w:val="bottom"/>
            <w:hideMark/>
          </w:tcPr>
          <w:p w14:paraId="7643F78C"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591</w:t>
            </w:r>
          </w:p>
        </w:tc>
        <w:tc>
          <w:tcPr>
            <w:tcW w:w="1027" w:type="dxa"/>
            <w:shd w:val="clear" w:color="auto" w:fill="auto"/>
            <w:noWrap/>
            <w:vAlign w:val="bottom"/>
            <w:hideMark/>
          </w:tcPr>
          <w:p w14:paraId="287CAC06"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18985</w:t>
            </w:r>
          </w:p>
        </w:tc>
        <w:tc>
          <w:tcPr>
            <w:tcW w:w="842" w:type="dxa"/>
            <w:shd w:val="clear" w:color="auto" w:fill="auto"/>
            <w:noWrap/>
            <w:vAlign w:val="bottom"/>
            <w:hideMark/>
          </w:tcPr>
          <w:p w14:paraId="51E026E3"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T274</w:t>
            </w:r>
          </w:p>
        </w:tc>
        <w:tc>
          <w:tcPr>
            <w:tcW w:w="1865" w:type="dxa"/>
            <w:shd w:val="clear" w:color="auto" w:fill="auto"/>
            <w:noWrap/>
            <w:vAlign w:val="bottom"/>
            <w:hideMark/>
          </w:tcPr>
          <w:p w14:paraId="1F40C1F6"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GAZI SKAPHIDARA</w:t>
            </w:r>
          </w:p>
        </w:tc>
        <w:tc>
          <w:tcPr>
            <w:tcW w:w="844" w:type="dxa"/>
            <w:shd w:val="clear" w:color="auto" w:fill="auto"/>
            <w:noWrap/>
            <w:vAlign w:val="bottom"/>
            <w:hideMark/>
          </w:tcPr>
          <w:p w14:paraId="125DB8A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3080F68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5E7E13B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25C77E0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430</w:t>
            </w:r>
          </w:p>
        </w:tc>
        <w:tc>
          <w:tcPr>
            <w:tcW w:w="4865" w:type="dxa"/>
            <w:shd w:val="clear" w:color="auto" w:fill="auto"/>
            <w:noWrap/>
            <w:vAlign w:val="bottom"/>
            <w:hideMark/>
          </w:tcPr>
          <w:p w14:paraId="713A492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Alexiou 1972: 86-98, pl.34-40; Kanta 1980: 20-21.</w:t>
            </w:r>
          </w:p>
        </w:tc>
      </w:tr>
      <w:tr w:rsidR="003860B7" w:rsidRPr="003860B7" w14:paraId="4DD2E01E" w14:textId="77777777" w:rsidTr="00F52D43">
        <w:trPr>
          <w:trHeight w:val="315"/>
        </w:trPr>
        <w:tc>
          <w:tcPr>
            <w:tcW w:w="1034" w:type="dxa"/>
            <w:shd w:val="clear" w:color="auto" w:fill="auto"/>
            <w:noWrap/>
            <w:vAlign w:val="bottom"/>
            <w:hideMark/>
          </w:tcPr>
          <w:p w14:paraId="411C98BB"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592</w:t>
            </w:r>
          </w:p>
        </w:tc>
        <w:tc>
          <w:tcPr>
            <w:tcW w:w="1027" w:type="dxa"/>
            <w:shd w:val="clear" w:color="auto" w:fill="auto"/>
            <w:noWrap/>
            <w:vAlign w:val="bottom"/>
            <w:hideMark/>
          </w:tcPr>
          <w:p w14:paraId="011C1CCC"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18986</w:t>
            </w:r>
          </w:p>
        </w:tc>
        <w:tc>
          <w:tcPr>
            <w:tcW w:w="842" w:type="dxa"/>
            <w:shd w:val="clear" w:color="auto" w:fill="auto"/>
            <w:noWrap/>
            <w:vAlign w:val="bottom"/>
            <w:hideMark/>
          </w:tcPr>
          <w:p w14:paraId="2E896FF0"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T274</w:t>
            </w:r>
          </w:p>
        </w:tc>
        <w:tc>
          <w:tcPr>
            <w:tcW w:w="1865" w:type="dxa"/>
            <w:shd w:val="clear" w:color="auto" w:fill="auto"/>
            <w:noWrap/>
            <w:vAlign w:val="bottom"/>
            <w:hideMark/>
          </w:tcPr>
          <w:p w14:paraId="69981C0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GAZI SKAPHIDARA</w:t>
            </w:r>
          </w:p>
        </w:tc>
        <w:tc>
          <w:tcPr>
            <w:tcW w:w="844" w:type="dxa"/>
            <w:shd w:val="clear" w:color="auto" w:fill="auto"/>
            <w:noWrap/>
            <w:vAlign w:val="bottom"/>
            <w:hideMark/>
          </w:tcPr>
          <w:p w14:paraId="0B776B8F"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7F65FB4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0664D03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6493D11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430</w:t>
            </w:r>
          </w:p>
        </w:tc>
        <w:tc>
          <w:tcPr>
            <w:tcW w:w="4865" w:type="dxa"/>
            <w:shd w:val="clear" w:color="auto" w:fill="auto"/>
            <w:noWrap/>
            <w:vAlign w:val="bottom"/>
            <w:hideMark/>
          </w:tcPr>
          <w:p w14:paraId="15C8A79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Alexiou 1972 86-98, pl.34-40; Kanta 1980: 20-21.</w:t>
            </w:r>
          </w:p>
        </w:tc>
      </w:tr>
      <w:tr w:rsidR="003860B7" w:rsidRPr="003860B7" w14:paraId="54FA24D7" w14:textId="77777777" w:rsidTr="00F52D43">
        <w:trPr>
          <w:trHeight w:val="315"/>
        </w:trPr>
        <w:tc>
          <w:tcPr>
            <w:tcW w:w="1034" w:type="dxa"/>
            <w:shd w:val="clear" w:color="auto" w:fill="auto"/>
            <w:noWrap/>
            <w:vAlign w:val="bottom"/>
            <w:hideMark/>
          </w:tcPr>
          <w:p w14:paraId="2DECAD93"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593</w:t>
            </w:r>
          </w:p>
        </w:tc>
        <w:tc>
          <w:tcPr>
            <w:tcW w:w="1027" w:type="dxa"/>
            <w:shd w:val="clear" w:color="auto" w:fill="auto"/>
            <w:noWrap/>
            <w:vAlign w:val="bottom"/>
            <w:hideMark/>
          </w:tcPr>
          <w:p w14:paraId="6BCBAF9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18987</w:t>
            </w:r>
          </w:p>
        </w:tc>
        <w:tc>
          <w:tcPr>
            <w:tcW w:w="842" w:type="dxa"/>
            <w:shd w:val="clear" w:color="auto" w:fill="auto"/>
            <w:noWrap/>
            <w:vAlign w:val="bottom"/>
            <w:hideMark/>
          </w:tcPr>
          <w:p w14:paraId="001C8090"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T274</w:t>
            </w:r>
          </w:p>
        </w:tc>
        <w:tc>
          <w:tcPr>
            <w:tcW w:w="1865" w:type="dxa"/>
            <w:shd w:val="clear" w:color="auto" w:fill="auto"/>
            <w:noWrap/>
            <w:vAlign w:val="bottom"/>
            <w:hideMark/>
          </w:tcPr>
          <w:p w14:paraId="607CD11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GAZI SKAPHIDARA</w:t>
            </w:r>
          </w:p>
        </w:tc>
        <w:tc>
          <w:tcPr>
            <w:tcW w:w="844" w:type="dxa"/>
            <w:shd w:val="clear" w:color="auto" w:fill="auto"/>
            <w:noWrap/>
            <w:vAlign w:val="bottom"/>
            <w:hideMark/>
          </w:tcPr>
          <w:p w14:paraId="2F6DD20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231EE54E"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734FB2DB"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538D6D6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430</w:t>
            </w:r>
          </w:p>
        </w:tc>
        <w:tc>
          <w:tcPr>
            <w:tcW w:w="4865" w:type="dxa"/>
            <w:shd w:val="clear" w:color="auto" w:fill="auto"/>
            <w:noWrap/>
            <w:vAlign w:val="bottom"/>
            <w:hideMark/>
          </w:tcPr>
          <w:p w14:paraId="73A9D26A"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Alexiou 1972: 86-98, pl.34-40; Kanta 1980: 20-21.</w:t>
            </w:r>
          </w:p>
        </w:tc>
      </w:tr>
      <w:tr w:rsidR="003860B7" w:rsidRPr="003860B7" w14:paraId="07EFB33F" w14:textId="77777777" w:rsidTr="00F52D43">
        <w:trPr>
          <w:trHeight w:val="315"/>
        </w:trPr>
        <w:tc>
          <w:tcPr>
            <w:tcW w:w="1034" w:type="dxa"/>
            <w:shd w:val="clear" w:color="auto" w:fill="auto"/>
            <w:noWrap/>
            <w:vAlign w:val="bottom"/>
            <w:hideMark/>
          </w:tcPr>
          <w:p w14:paraId="1B644185"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594</w:t>
            </w:r>
          </w:p>
        </w:tc>
        <w:tc>
          <w:tcPr>
            <w:tcW w:w="1027" w:type="dxa"/>
            <w:shd w:val="clear" w:color="auto" w:fill="auto"/>
            <w:noWrap/>
            <w:vAlign w:val="bottom"/>
            <w:hideMark/>
          </w:tcPr>
          <w:p w14:paraId="703256F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18988</w:t>
            </w:r>
          </w:p>
        </w:tc>
        <w:tc>
          <w:tcPr>
            <w:tcW w:w="842" w:type="dxa"/>
            <w:shd w:val="clear" w:color="auto" w:fill="auto"/>
            <w:noWrap/>
            <w:vAlign w:val="bottom"/>
            <w:hideMark/>
          </w:tcPr>
          <w:p w14:paraId="564039A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T274</w:t>
            </w:r>
          </w:p>
        </w:tc>
        <w:tc>
          <w:tcPr>
            <w:tcW w:w="1865" w:type="dxa"/>
            <w:shd w:val="clear" w:color="auto" w:fill="auto"/>
            <w:noWrap/>
            <w:vAlign w:val="bottom"/>
            <w:hideMark/>
          </w:tcPr>
          <w:p w14:paraId="78F0540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GAZI SKAPHIDARA</w:t>
            </w:r>
          </w:p>
        </w:tc>
        <w:tc>
          <w:tcPr>
            <w:tcW w:w="844" w:type="dxa"/>
            <w:shd w:val="clear" w:color="auto" w:fill="auto"/>
            <w:noWrap/>
            <w:vAlign w:val="bottom"/>
            <w:hideMark/>
          </w:tcPr>
          <w:p w14:paraId="36D41EEE"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02B3658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3749E5EC"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2906635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430</w:t>
            </w:r>
          </w:p>
        </w:tc>
        <w:tc>
          <w:tcPr>
            <w:tcW w:w="4865" w:type="dxa"/>
            <w:shd w:val="clear" w:color="auto" w:fill="auto"/>
            <w:noWrap/>
            <w:vAlign w:val="bottom"/>
            <w:hideMark/>
          </w:tcPr>
          <w:p w14:paraId="751D8121"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Alexiou1972: 86-98, pl.34-40; Kanta 1980, 20-21.</w:t>
            </w:r>
          </w:p>
        </w:tc>
      </w:tr>
      <w:tr w:rsidR="003860B7" w:rsidRPr="003860B7" w14:paraId="392A7566" w14:textId="77777777" w:rsidTr="00F52D43">
        <w:trPr>
          <w:trHeight w:val="315"/>
        </w:trPr>
        <w:tc>
          <w:tcPr>
            <w:tcW w:w="1034" w:type="dxa"/>
            <w:shd w:val="clear" w:color="auto" w:fill="auto"/>
            <w:noWrap/>
            <w:vAlign w:val="bottom"/>
            <w:hideMark/>
          </w:tcPr>
          <w:p w14:paraId="11BC2CDD"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595</w:t>
            </w:r>
          </w:p>
        </w:tc>
        <w:tc>
          <w:tcPr>
            <w:tcW w:w="1027" w:type="dxa"/>
            <w:shd w:val="clear" w:color="auto" w:fill="auto"/>
            <w:noWrap/>
            <w:vAlign w:val="bottom"/>
            <w:hideMark/>
          </w:tcPr>
          <w:p w14:paraId="7B11DDD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18860</w:t>
            </w:r>
          </w:p>
        </w:tc>
        <w:tc>
          <w:tcPr>
            <w:tcW w:w="842" w:type="dxa"/>
            <w:shd w:val="clear" w:color="auto" w:fill="auto"/>
            <w:noWrap/>
            <w:vAlign w:val="bottom"/>
            <w:hideMark/>
          </w:tcPr>
          <w:p w14:paraId="777987B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T275</w:t>
            </w:r>
          </w:p>
        </w:tc>
        <w:tc>
          <w:tcPr>
            <w:tcW w:w="1865" w:type="dxa"/>
            <w:shd w:val="clear" w:color="auto" w:fill="auto"/>
            <w:noWrap/>
            <w:vAlign w:val="bottom"/>
            <w:hideMark/>
          </w:tcPr>
          <w:p w14:paraId="0C58008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GAZI VILLAGE</w:t>
            </w:r>
          </w:p>
        </w:tc>
        <w:tc>
          <w:tcPr>
            <w:tcW w:w="844" w:type="dxa"/>
            <w:shd w:val="clear" w:color="auto" w:fill="auto"/>
            <w:noWrap/>
            <w:vAlign w:val="bottom"/>
            <w:hideMark/>
          </w:tcPr>
          <w:p w14:paraId="2719D3F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24E4E9FF"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7CF1918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5A68191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429</w:t>
            </w:r>
          </w:p>
        </w:tc>
        <w:tc>
          <w:tcPr>
            <w:tcW w:w="4865" w:type="dxa"/>
            <w:shd w:val="clear" w:color="auto" w:fill="auto"/>
            <w:noWrap/>
            <w:vAlign w:val="bottom"/>
            <w:hideMark/>
          </w:tcPr>
          <w:p w14:paraId="6696904B"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Alexiou 1972: 86-98, pl.34-40; Kanta 1980: 20-21.</w:t>
            </w:r>
          </w:p>
        </w:tc>
      </w:tr>
      <w:tr w:rsidR="003860B7" w:rsidRPr="003860B7" w14:paraId="3D40DD09" w14:textId="77777777" w:rsidTr="00F52D43">
        <w:trPr>
          <w:trHeight w:val="315"/>
        </w:trPr>
        <w:tc>
          <w:tcPr>
            <w:tcW w:w="1034" w:type="dxa"/>
            <w:shd w:val="clear" w:color="auto" w:fill="auto"/>
            <w:noWrap/>
            <w:vAlign w:val="bottom"/>
            <w:hideMark/>
          </w:tcPr>
          <w:p w14:paraId="2CE68FF7"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599</w:t>
            </w:r>
          </w:p>
        </w:tc>
        <w:tc>
          <w:tcPr>
            <w:tcW w:w="1027" w:type="dxa"/>
            <w:shd w:val="clear" w:color="auto" w:fill="auto"/>
            <w:noWrap/>
            <w:vAlign w:val="bottom"/>
            <w:hideMark/>
          </w:tcPr>
          <w:p w14:paraId="242DBC4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12026</w:t>
            </w:r>
          </w:p>
        </w:tc>
        <w:tc>
          <w:tcPr>
            <w:tcW w:w="842" w:type="dxa"/>
            <w:shd w:val="clear" w:color="auto" w:fill="auto"/>
            <w:noWrap/>
            <w:vAlign w:val="bottom"/>
            <w:hideMark/>
          </w:tcPr>
          <w:p w14:paraId="099C45C3"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T279</w:t>
            </w:r>
          </w:p>
        </w:tc>
        <w:tc>
          <w:tcPr>
            <w:tcW w:w="1865" w:type="dxa"/>
            <w:shd w:val="clear" w:color="auto" w:fill="auto"/>
            <w:noWrap/>
            <w:vAlign w:val="bottom"/>
            <w:hideMark/>
          </w:tcPr>
          <w:p w14:paraId="4B2D0123"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GIOPHYRAKIA</w:t>
            </w:r>
          </w:p>
        </w:tc>
        <w:tc>
          <w:tcPr>
            <w:tcW w:w="844" w:type="dxa"/>
            <w:shd w:val="clear" w:color="auto" w:fill="auto"/>
            <w:noWrap/>
            <w:vAlign w:val="bottom"/>
            <w:hideMark/>
          </w:tcPr>
          <w:p w14:paraId="1891778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1FA256E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31EC708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56A59CA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432</w:t>
            </w:r>
          </w:p>
        </w:tc>
        <w:tc>
          <w:tcPr>
            <w:tcW w:w="4865" w:type="dxa"/>
            <w:shd w:val="clear" w:color="auto" w:fill="auto"/>
            <w:noWrap/>
            <w:vAlign w:val="bottom"/>
            <w:hideMark/>
          </w:tcPr>
          <w:p w14:paraId="2A77493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KChr 13 1959: 367-68; BCH 84 1960: 839-40, fig.1; AA 1962: 166; Pini 1968:80; Schachermeyr 1979:313; Kanta 1980:21</w:t>
            </w:r>
          </w:p>
        </w:tc>
      </w:tr>
      <w:tr w:rsidR="003860B7" w:rsidRPr="003860B7" w14:paraId="5CB34314" w14:textId="77777777" w:rsidTr="00F52D43">
        <w:trPr>
          <w:trHeight w:val="315"/>
        </w:trPr>
        <w:tc>
          <w:tcPr>
            <w:tcW w:w="1034" w:type="dxa"/>
            <w:shd w:val="clear" w:color="auto" w:fill="auto"/>
            <w:noWrap/>
            <w:vAlign w:val="bottom"/>
            <w:hideMark/>
          </w:tcPr>
          <w:p w14:paraId="7C6C6720"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600</w:t>
            </w:r>
          </w:p>
        </w:tc>
        <w:tc>
          <w:tcPr>
            <w:tcW w:w="1027" w:type="dxa"/>
            <w:shd w:val="clear" w:color="auto" w:fill="auto"/>
            <w:noWrap/>
            <w:vAlign w:val="bottom"/>
            <w:hideMark/>
          </w:tcPr>
          <w:p w14:paraId="65BD340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12027</w:t>
            </w:r>
          </w:p>
        </w:tc>
        <w:tc>
          <w:tcPr>
            <w:tcW w:w="842" w:type="dxa"/>
            <w:shd w:val="clear" w:color="auto" w:fill="auto"/>
            <w:noWrap/>
            <w:vAlign w:val="bottom"/>
            <w:hideMark/>
          </w:tcPr>
          <w:p w14:paraId="2682D9A0"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T279</w:t>
            </w:r>
          </w:p>
        </w:tc>
        <w:tc>
          <w:tcPr>
            <w:tcW w:w="1865" w:type="dxa"/>
            <w:shd w:val="clear" w:color="auto" w:fill="auto"/>
            <w:noWrap/>
            <w:vAlign w:val="bottom"/>
            <w:hideMark/>
          </w:tcPr>
          <w:p w14:paraId="04E38F1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GIOPHYRAKIA</w:t>
            </w:r>
          </w:p>
        </w:tc>
        <w:tc>
          <w:tcPr>
            <w:tcW w:w="844" w:type="dxa"/>
            <w:shd w:val="clear" w:color="auto" w:fill="auto"/>
            <w:noWrap/>
            <w:vAlign w:val="bottom"/>
            <w:hideMark/>
          </w:tcPr>
          <w:p w14:paraId="28F62A0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06B6DD8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305D6A7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0ACA630D"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432</w:t>
            </w:r>
          </w:p>
        </w:tc>
        <w:tc>
          <w:tcPr>
            <w:tcW w:w="4865" w:type="dxa"/>
            <w:shd w:val="clear" w:color="auto" w:fill="auto"/>
            <w:noWrap/>
            <w:vAlign w:val="bottom"/>
            <w:hideMark/>
          </w:tcPr>
          <w:p w14:paraId="11469AF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KChr 13 1959: 367-68; BCH 84 1960: 839-40, fig.1; AA 1962: 166; Pini 1968:80; Schachermeyr 1979:313; Kanta 1980:21</w:t>
            </w:r>
          </w:p>
        </w:tc>
      </w:tr>
      <w:tr w:rsidR="003860B7" w:rsidRPr="003860B7" w14:paraId="10061D35" w14:textId="77777777" w:rsidTr="00F52D43">
        <w:trPr>
          <w:trHeight w:val="315"/>
        </w:trPr>
        <w:tc>
          <w:tcPr>
            <w:tcW w:w="1034" w:type="dxa"/>
            <w:shd w:val="clear" w:color="auto" w:fill="auto"/>
            <w:noWrap/>
            <w:vAlign w:val="bottom"/>
            <w:hideMark/>
          </w:tcPr>
          <w:p w14:paraId="64213832"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727</w:t>
            </w:r>
          </w:p>
        </w:tc>
        <w:tc>
          <w:tcPr>
            <w:tcW w:w="1027" w:type="dxa"/>
            <w:shd w:val="clear" w:color="auto" w:fill="auto"/>
            <w:noWrap/>
            <w:vAlign w:val="bottom"/>
            <w:hideMark/>
          </w:tcPr>
          <w:p w14:paraId="6975BF83"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6540ED43"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T320</w:t>
            </w:r>
          </w:p>
        </w:tc>
        <w:tc>
          <w:tcPr>
            <w:tcW w:w="1865" w:type="dxa"/>
            <w:shd w:val="clear" w:color="auto" w:fill="auto"/>
            <w:noWrap/>
            <w:vAlign w:val="bottom"/>
            <w:hideMark/>
          </w:tcPr>
          <w:p w14:paraId="06DB1A08"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GOURNES</w:t>
            </w:r>
          </w:p>
        </w:tc>
        <w:tc>
          <w:tcPr>
            <w:tcW w:w="844" w:type="dxa"/>
            <w:shd w:val="clear" w:color="auto" w:fill="auto"/>
            <w:noWrap/>
            <w:vAlign w:val="bottom"/>
            <w:hideMark/>
          </w:tcPr>
          <w:p w14:paraId="1E824D9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07E78BE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58EEBB9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599E685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434</w:t>
            </w:r>
          </w:p>
        </w:tc>
        <w:tc>
          <w:tcPr>
            <w:tcW w:w="4865" w:type="dxa"/>
            <w:shd w:val="clear" w:color="auto" w:fill="auto"/>
            <w:noWrap/>
            <w:vAlign w:val="bottom"/>
            <w:hideMark/>
          </w:tcPr>
          <w:p w14:paraId="2D14BF9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Hatzidakis 1918: 63-87 fig. 16; Kanta 1980: 47-50</w:t>
            </w:r>
          </w:p>
        </w:tc>
      </w:tr>
      <w:tr w:rsidR="003860B7" w:rsidRPr="003860B7" w14:paraId="021883F5" w14:textId="77777777" w:rsidTr="00F52D43">
        <w:trPr>
          <w:trHeight w:val="315"/>
        </w:trPr>
        <w:tc>
          <w:tcPr>
            <w:tcW w:w="1034" w:type="dxa"/>
            <w:shd w:val="clear" w:color="auto" w:fill="auto"/>
            <w:noWrap/>
            <w:vAlign w:val="bottom"/>
            <w:hideMark/>
          </w:tcPr>
          <w:p w14:paraId="559B3393"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729</w:t>
            </w:r>
          </w:p>
        </w:tc>
        <w:tc>
          <w:tcPr>
            <w:tcW w:w="1027" w:type="dxa"/>
            <w:shd w:val="clear" w:color="auto" w:fill="auto"/>
            <w:noWrap/>
            <w:vAlign w:val="bottom"/>
            <w:hideMark/>
          </w:tcPr>
          <w:p w14:paraId="3E166685"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7C67C72B"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T321</w:t>
            </w:r>
          </w:p>
        </w:tc>
        <w:tc>
          <w:tcPr>
            <w:tcW w:w="1865" w:type="dxa"/>
            <w:shd w:val="clear" w:color="auto" w:fill="auto"/>
            <w:noWrap/>
            <w:vAlign w:val="bottom"/>
            <w:hideMark/>
          </w:tcPr>
          <w:p w14:paraId="3450A81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GOURNES</w:t>
            </w:r>
          </w:p>
        </w:tc>
        <w:tc>
          <w:tcPr>
            <w:tcW w:w="844" w:type="dxa"/>
            <w:shd w:val="clear" w:color="auto" w:fill="auto"/>
            <w:noWrap/>
            <w:vAlign w:val="bottom"/>
            <w:hideMark/>
          </w:tcPr>
          <w:p w14:paraId="154C804D"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32E2C19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1477" w:type="dxa"/>
            <w:shd w:val="clear" w:color="auto" w:fill="auto"/>
            <w:noWrap/>
            <w:vAlign w:val="bottom"/>
            <w:hideMark/>
          </w:tcPr>
          <w:p w14:paraId="4028CF5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78A6F32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435</w:t>
            </w:r>
          </w:p>
        </w:tc>
        <w:tc>
          <w:tcPr>
            <w:tcW w:w="4865" w:type="dxa"/>
            <w:shd w:val="clear" w:color="auto" w:fill="auto"/>
            <w:noWrap/>
            <w:vAlign w:val="bottom"/>
            <w:hideMark/>
          </w:tcPr>
          <w:p w14:paraId="37CB0200"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Hatzidakis 1918: 63-87 fig. 23; Kanta 1980: 47-50</w:t>
            </w:r>
          </w:p>
        </w:tc>
      </w:tr>
      <w:tr w:rsidR="003860B7" w:rsidRPr="003860B7" w14:paraId="4FCFF6A4" w14:textId="77777777" w:rsidTr="00F52D43">
        <w:trPr>
          <w:trHeight w:val="315"/>
        </w:trPr>
        <w:tc>
          <w:tcPr>
            <w:tcW w:w="1034" w:type="dxa"/>
            <w:shd w:val="clear" w:color="auto" w:fill="auto"/>
            <w:noWrap/>
            <w:vAlign w:val="bottom"/>
            <w:hideMark/>
          </w:tcPr>
          <w:p w14:paraId="018B0C33"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735</w:t>
            </w:r>
          </w:p>
        </w:tc>
        <w:tc>
          <w:tcPr>
            <w:tcW w:w="1027" w:type="dxa"/>
            <w:shd w:val="clear" w:color="auto" w:fill="auto"/>
            <w:noWrap/>
            <w:vAlign w:val="bottom"/>
            <w:hideMark/>
          </w:tcPr>
          <w:p w14:paraId="4E5FAADD"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472AC2C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T325</w:t>
            </w:r>
          </w:p>
        </w:tc>
        <w:tc>
          <w:tcPr>
            <w:tcW w:w="1865" w:type="dxa"/>
            <w:shd w:val="clear" w:color="auto" w:fill="auto"/>
            <w:noWrap/>
            <w:vAlign w:val="bottom"/>
            <w:hideMark/>
          </w:tcPr>
          <w:p w14:paraId="4E8066D3"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GOUVES SYKIA</w:t>
            </w:r>
          </w:p>
        </w:tc>
        <w:tc>
          <w:tcPr>
            <w:tcW w:w="844" w:type="dxa"/>
            <w:shd w:val="clear" w:color="auto" w:fill="auto"/>
            <w:noWrap/>
            <w:vAlign w:val="bottom"/>
            <w:hideMark/>
          </w:tcPr>
          <w:p w14:paraId="2EF58E8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1D68F39C"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5E566E1A"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34CAD1C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439</w:t>
            </w:r>
          </w:p>
        </w:tc>
        <w:tc>
          <w:tcPr>
            <w:tcW w:w="4865" w:type="dxa"/>
            <w:shd w:val="clear" w:color="auto" w:fill="auto"/>
            <w:noWrap/>
            <w:vAlign w:val="bottom"/>
            <w:hideMark/>
          </w:tcPr>
          <w:p w14:paraId="63DDD20C"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ADelt 1964: 441-2; Davaras 1976: 30, fig. 17; Kanta 1980: 69; Watrous 1991: pl. 91d; Merousis 2000: 129; Spiliotopoulou 2010: 103</w:t>
            </w:r>
          </w:p>
        </w:tc>
      </w:tr>
      <w:tr w:rsidR="003860B7" w:rsidRPr="003860B7" w14:paraId="0384CC36" w14:textId="77777777" w:rsidTr="00F52D43">
        <w:trPr>
          <w:trHeight w:val="315"/>
        </w:trPr>
        <w:tc>
          <w:tcPr>
            <w:tcW w:w="1034" w:type="dxa"/>
            <w:shd w:val="clear" w:color="auto" w:fill="auto"/>
            <w:noWrap/>
            <w:vAlign w:val="bottom"/>
            <w:hideMark/>
          </w:tcPr>
          <w:p w14:paraId="7835DB13"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627</w:t>
            </w:r>
          </w:p>
        </w:tc>
        <w:tc>
          <w:tcPr>
            <w:tcW w:w="1027" w:type="dxa"/>
            <w:shd w:val="clear" w:color="auto" w:fill="auto"/>
            <w:noWrap/>
            <w:vAlign w:val="bottom"/>
            <w:hideMark/>
          </w:tcPr>
          <w:p w14:paraId="45225E84"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5290B61C"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T287</w:t>
            </w:r>
          </w:p>
        </w:tc>
        <w:tc>
          <w:tcPr>
            <w:tcW w:w="1865" w:type="dxa"/>
            <w:shd w:val="clear" w:color="auto" w:fill="auto"/>
            <w:noWrap/>
            <w:vAlign w:val="bottom"/>
            <w:hideMark/>
          </w:tcPr>
          <w:p w14:paraId="14A726F1"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KARNARI SPILIAROUDI</w:t>
            </w:r>
          </w:p>
        </w:tc>
        <w:tc>
          <w:tcPr>
            <w:tcW w:w="844" w:type="dxa"/>
            <w:shd w:val="clear" w:color="auto" w:fill="auto"/>
            <w:noWrap/>
            <w:vAlign w:val="bottom"/>
            <w:hideMark/>
          </w:tcPr>
          <w:p w14:paraId="6B8DAC1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350ECAB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13838D5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38D2520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377</w:t>
            </w:r>
          </w:p>
        </w:tc>
        <w:tc>
          <w:tcPr>
            <w:tcW w:w="4865" w:type="dxa"/>
            <w:shd w:val="clear" w:color="auto" w:fill="auto"/>
            <w:noWrap/>
            <w:vAlign w:val="bottom"/>
            <w:hideMark/>
          </w:tcPr>
          <w:p w14:paraId="77A1569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 xml:space="preserve">KChr 3 1949: 594; Pini 1968:82; Sapouna-Sakellaraki 1990:69, fig. 2 </w:t>
            </w:r>
          </w:p>
        </w:tc>
      </w:tr>
      <w:tr w:rsidR="003860B7" w:rsidRPr="003860B7" w14:paraId="50C90DE8" w14:textId="77777777" w:rsidTr="00F52D43">
        <w:trPr>
          <w:trHeight w:val="315"/>
        </w:trPr>
        <w:tc>
          <w:tcPr>
            <w:tcW w:w="1034" w:type="dxa"/>
            <w:shd w:val="clear" w:color="auto" w:fill="auto"/>
            <w:noWrap/>
            <w:vAlign w:val="bottom"/>
            <w:hideMark/>
          </w:tcPr>
          <w:p w14:paraId="189ADACF"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628</w:t>
            </w:r>
          </w:p>
        </w:tc>
        <w:tc>
          <w:tcPr>
            <w:tcW w:w="1027" w:type="dxa"/>
            <w:shd w:val="clear" w:color="auto" w:fill="auto"/>
            <w:noWrap/>
            <w:vAlign w:val="bottom"/>
            <w:hideMark/>
          </w:tcPr>
          <w:p w14:paraId="07C8EA9B"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41DCE0A6"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T287</w:t>
            </w:r>
          </w:p>
        </w:tc>
        <w:tc>
          <w:tcPr>
            <w:tcW w:w="1865" w:type="dxa"/>
            <w:shd w:val="clear" w:color="auto" w:fill="auto"/>
            <w:noWrap/>
            <w:vAlign w:val="bottom"/>
            <w:hideMark/>
          </w:tcPr>
          <w:p w14:paraId="51A31DD0"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KARNARI SPILIAROUDI</w:t>
            </w:r>
          </w:p>
        </w:tc>
        <w:tc>
          <w:tcPr>
            <w:tcW w:w="844" w:type="dxa"/>
            <w:shd w:val="clear" w:color="auto" w:fill="auto"/>
            <w:noWrap/>
            <w:vAlign w:val="bottom"/>
            <w:hideMark/>
          </w:tcPr>
          <w:p w14:paraId="79BBA8C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2F46A99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44E4006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79F082B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377</w:t>
            </w:r>
          </w:p>
        </w:tc>
        <w:tc>
          <w:tcPr>
            <w:tcW w:w="4865" w:type="dxa"/>
            <w:shd w:val="clear" w:color="auto" w:fill="auto"/>
            <w:noWrap/>
            <w:vAlign w:val="bottom"/>
            <w:hideMark/>
          </w:tcPr>
          <w:p w14:paraId="1AD3F77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 xml:space="preserve">KChr 3 1949: 594; Pini 1968:82; Sapouna-Sakellaraki 1990:69, fig. 2 </w:t>
            </w:r>
          </w:p>
        </w:tc>
      </w:tr>
      <w:tr w:rsidR="003860B7" w:rsidRPr="003860B7" w14:paraId="2EE93CAB" w14:textId="77777777" w:rsidTr="00F52D43">
        <w:trPr>
          <w:trHeight w:val="315"/>
        </w:trPr>
        <w:tc>
          <w:tcPr>
            <w:tcW w:w="1034" w:type="dxa"/>
            <w:shd w:val="clear" w:color="auto" w:fill="auto"/>
            <w:noWrap/>
            <w:vAlign w:val="bottom"/>
            <w:hideMark/>
          </w:tcPr>
          <w:p w14:paraId="4C276548"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633</w:t>
            </w:r>
          </w:p>
        </w:tc>
        <w:tc>
          <w:tcPr>
            <w:tcW w:w="1027" w:type="dxa"/>
            <w:shd w:val="clear" w:color="auto" w:fill="auto"/>
            <w:noWrap/>
            <w:vAlign w:val="bottom"/>
            <w:hideMark/>
          </w:tcPr>
          <w:p w14:paraId="1E65597E"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3127048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T289</w:t>
            </w:r>
          </w:p>
        </w:tc>
        <w:tc>
          <w:tcPr>
            <w:tcW w:w="1865" w:type="dxa"/>
            <w:shd w:val="clear" w:color="auto" w:fill="auto"/>
            <w:noWrap/>
            <w:vAlign w:val="bottom"/>
            <w:hideMark/>
          </w:tcPr>
          <w:p w14:paraId="40E65D87"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KARNARI TRAGOMANDRA</w:t>
            </w:r>
          </w:p>
        </w:tc>
        <w:tc>
          <w:tcPr>
            <w:tcW w:w="844" w:type="dxa"/>
            <w:shd w:val="clear" w:color="auto" w:fill="auto"/>
            <w:noWrap/>
            <w:vAlign w:val="bottom"/>
            <w:hideMark/>
          </w:tcPr>
          <w:p w14:paraId="609EE8BF"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4B53C60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67E0977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2E1F8E6B"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382</w:t>
            </w:r>
          </w:p>
        </w:tc>
        <w:tc>
          <w:tcPr>
            <w:tcW w:w="4865" w:type="dxa"/>
            <w:shd w:val="clear" w:color="auto" w:fill="auto"/>
            <w:noWrap/>
            <w:vAlign w:val="bottom"/>
            <w:hideMark/>
          </w:tcPr>
          <w:p w14:paraId="0BA75EB7"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Ergon 1985: 76-77; Sapouna-Sakellaraki 1990:69, fig. 2, 74-75, fig. 14; Sakellarakis and Sakellaraki 1997: 483, fig. 469; Merousis 2000: 119-120; Spiliotopoulou 2010: 85</w:t>
            </w:r>
          </w:p>
        </w:tc>
      </w:tr>
      <w:tr w:rsidR="003860B7" w:rsidRPr="003860B7" w14:paraId="37516EB7" w14:textId="77777777" w:rsidTr="00F52D43">
        <w:trPr>
          <w:trHeight w:val="315"/>
        </w:trPr>
        <w:tc>
          <w:tcPr>
            <w:tcW w:w="1034" w:type="dxa"/>
            <w:shd w:val="clear" w:color="auto" w:fill="auto"/>
            <w:noWrap/>
            <w:vAlign w:val="bottom"/>
            <w:hideMark/>
          </w:tcPr>
          <w:p w14:paraId="44C929B6"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634</w:t>
            </w:r>
          </w:p>
        </w:tc>
        <w:tc>
          <w:tcPr>
            <w:tcW w:w="1027" w:type="dxa"/>
            <w:shd w:val="clear" w:color="auto" w:fill="auto"/>
            <w:noWrap/>
            <w:vAlign w:val="bottom"/>
            <w:hideMark/>
          </w:tcPr>
          <w:p w14:paraId="745210CB"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0B5B283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T289</w:t>
            </w:r>
          </w:p>
        </w:tc>
        <w:tc>
          <w:tcPr>
            <w:tcW w:w="1865" w:type="dxa"/>
            <w:shd w:val="clear" w:color="auto" w:fill="auto"/>
            <w:noWrap/>
            <w:vAlign w:val="bottom"/>
            <w:hideMark/>
          </w:tcPr>
          <w:p w14:paraId="4323ACF6"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KARNARI TRAGOMANDRA</w:t>
            </w:r>
          </w:p>
        </w:tc>
        <w:tc>
          <w:tcPr>
            <w:tcW w:w="844" w:type="dxa"/>
            <w:shd w:val="clear" w:color="auto" w:fill="auto"/>
            <w:noWrap/>
            <w:vAlign w:val="bottom"/>
            <w:hideMark/>
          </w:tcPr>
          <w:p w14:paraId="4AAF3C6C"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3FADDA0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0B91C30B"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71F42C9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382</w:t>
            </w:r>
          </w:p>
        </w:tc>
        <w:tc>
          <w:tcPr>
            <w:tcW w:w="4865" w:type="dxa"/>
            <w:shd w:val="clear" w:color="auto" w:fill="auto"/>
            <w:noWrap/>
            <w:vAlign w:val="bottom"/>
            <w:hideMark/>
          </w:tcPr>
          <w:p w14:paraId="3F5EEA5B"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Ergon 1985: 76-77; Sapouna-Sakellaraki 1990:69, fig. 2, 74-75, fig. 14; Sakellarakis and Sakellaraki 1997: 483, fig. 470; Merousis 2000: 119-120; Spiliotopoulou 2008: 85</w:t>
            </w:r>
          </w:p>
        </w:tc>
      </w:tr>
      <w:tr w:rsidR="003860B7" w:rsidRPr="003860B7" w14:paraId="1B0DE00D" w14:textId="77777777" w:rsidTr="00F52D43">
        <w:trPr>
          <w:trHeight w:val="315"/>
        </w:trPr>
        <w:tc>
          <w:tcPr>
            <w:tcW w:w="1034" w:type="dxa"/>
            <w:shd w:val="clear" w:color="auto" w:fill="auto"/>
            <w:noWrap/>
            <w:vAlign w:val="bottom"/>
            <w:hideMark/>
          </w:tcPr>
          <w:p w14:paraId="4A112B29"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936</w:t>
            </w:r>
          </w:p>
        </w:tc>
        <w:tc>
          <w:tcPr>
            <w:tcW w:w="1027" w:type="dxa"/>
            <w:shd w:val="clear" w:color="auto" w:fill="auto"/>
            <w:noWrap/>
            <w:vAlign w:val="bottom"/>
            <w:hideMark/>
          </w:tcPr>
          <w:p w14:paraId="0FB1A514"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2D16BA4C"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T407</w:t>
            </w:r>
          </w:p>
        </w:tc>
        <w:tc>
          <w:tcPr>
            <w:tcW w:w="1865" w:type="dxa"/>
            <w:shd w:val="clear" w:color="auto" w:fill="auto"/>
            <w:noWrap/>
            <w:vAlign w:val="bottom"/>
            <w:hideMark/>
          </w:tcPr>
          <w:p w14:paraId="5BF5BAC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KARTEROS AGIA PHOTEINI</w:t>
            </w:r>
          </w:p>
        </w:tc>
        <w:tc>
          <w:tcPr>
            <w:tcW w:w="844" w:type="dxa"/>
            <w:shd w:val="clear" w:color="auto" w:fill="auto"/>
            <w:noWrap/>
            <w:vAlign w:val="bottom"/>
            <w:hideMark/>
          </w:tcPr>
          <w:p w14:paraId="7D0AE424"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25DF2B5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7D8EA8F4"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64F49E9C"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 xml:space="preserve"> -</w:t>
            </w:r>
          </w:p>
        </w:tc>
        <w:tc>
          <w:tcPr>
            <w:tcW w:w="4865" w:type="dxa"/>
            <w:shd w:val="clear" w:color="auto" w:fill="auto"/>
            <w:noWrap/>
            <w:vAlign w:val="bottom"/>
            <w:hideMark/>
          </w:tcPr>
          <w:p w14:paraId="1775BE2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Mandalaki 2011:287-300</w:t>
            </w:r>
          </w:p>
        </w:tc>
      </w:tr>
      <w:tr w:rsidR="003860B7" w:rsidRPr="003860B7" w14:paraId="374248A1" w14:textId="77777777" w:rsidTr="00F52D43">
        <w:trPr>
          <w:trHeight w:val="315"/>
        </w:trPr>
        <w:tc>
          <w:tcPr>
            <w:tcW w:w="1034" w:type="dxa"/>
            <w:shd w:val="clear" w:color="auto" w:fill="auto"/>
            <w:noWrap/>
            <w:vAlign w:val="bottom"/>
            <w:hideMark/>
          </w:tcPr>
          <w:p w14:paraId="7E59176E"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853</w:t>
            </w:r>
          </w:p>
        </w:tc>
        <w:tc>
          <w:tcPr>
            <w:tcW w:w="1027" w:type="dxa"/>
            <w:shd w:val="clear" w:color="auto" w:fill="auto"/>
            <w:noWrap/>
            <w:vAlign w:val="bottom"/>
            <w:hideMark/>
          </w:tcPr>
          <w:p w14:paraId="3AE4C674"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759E34C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T337</w:t>
            </w:r>
          </w:p>
        </w:tc>
        <w:tc>
          <w:tcPr>
            <w:tcW w:w="1865" w:type="dxa"/>
            <w:shd w:val="clear" w:color="auto" w:fill="auto"/>
            <w:noWrap/>
            <w:vAlign w:val="bottom"/>
            <w:hideMark/>
          </w:tcPr>
          <w:p w14:paraId="515B413B"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KASANOI</w:t>
            </w:r>
          </w:p>
        </w:tc>
        <w:tc>
          <w:tcPr>
            <w:tcW w:w="844" w:type="dxa"/>
            <w:shd w:val="clear" w:color="auto" w:fill="auto"/>
            <w:noWrap/>
            <w:vAlign w:val="bottom"/>
            <w:hideMark/>
          </w:tcPr>
          <w:p w14:paraId="34E2625B"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6BE4027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253E8A8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6B55696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 xml:space="preserve"> -</w:t>
            </w:r>
          </w:p>
        </w:tc>
        <w:tc>
          <w:tcPr>
            <w:tcW w:w="4865" w:type="dxa"/>
            <w:shd w:val="clear" w:color="auto" w:fill="auto"/>
            <w:noWrap/>
            <w:vAlign w:val="bottom"/>
            <w:hideMark/>
          </w:tcPr>
          <w:p w14:paraId="46B8B69C"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Alexiou 1971: 284-286 ; Kanta 1980: 78; Merousis 2000: 138-139; Spiliotopoulou 2010: 105</w:t>
            </w:r>
          </w:p>
        </w:tc>
      </w:tr>
      <w:tr w:rsidR="003860B7" w:rsidRPr="003860B7" w14:paraId="3D231C23" w14:textId="77777777" w:rsidTr="00F52D43">
        <w:trPr>
          <w:trHeight w:val="315"/>
        </w:trPr>
        <w:tc>
          <w:tcPr>
            <w:tcW w:w="1034" w:type="dxa"/>
            <w:shd w:val="clear" w:color="auto" w:fill="auto"/>
            <w:noWrap/>
            <w:vAlign w:val="bottom"/>
            <w:hideMark/>
          </w:tcPr>
          <w:p w14:paraId="04E906AF"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603</w:t>
            </w:r>
          </w:p>
        </w:tc>
        <w:tc>
          <w:tcPr>
            <w:tcW w:w="1027" w:type="dxa"/>
            <w:shd w:val="clear" w:color="auto" w:fill="auto"/>
            <w:noWrap/>
            <w:vAlign w:val="bottom"/>
            <w:hideMark/>
          </w:tcPr>
          <w:p w14:paraId="7AB211E8"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21900</w:t>
            </w:r>
          </w:p>
        </w:tc>
        <w:tc>
          <w:tcPr>
            <w:tcW w:w="842" w:type="dxa"/>
            <w:shd w:val="clear" w:color="auto" w:fill="auto"/>
            <w:noWrap/>
            <w:vAlign w:val="bottom"/>
            <w:hideMark/>
          </w:tcPr>
          <w:p w14:paraId="1C65E32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T280</w:t>
            </w:r>
          </w:p>
        </w:tc>
        <w:tc>
          <w:tcPr>
            <w:tcW w:w="1865" w:type="dxa"/>
            <w:shd w:val="clear" w:color="auto" w:fill="auto"/>
            <w:noWrap/>
            <w:vAlign w:val="bottom"/>
            <w:hideMark/>
          </w:tcPr>
          <w:p w14:paraId="0BC8EC6C"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KAVROCHORI</w:t>
            </w:r>
          </w:p>
        </w:tc>
        <w:tc>
          <w:tcPr>
            <w:tcW w:w="844" w:type="dxa"/>
            <w:shd w:val="clear" w:color="auto" w:fill="auto"/>
            <w:noWrap/>
            <w:vAlign w:val="bottom"/>
            <w:hideMark/>
          </w:tcPr>
          <w:p w14:paraId="3622B21E"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6C17FC4B"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6F36A974"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1F0FA9AC"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474</w:t>
            </w:r>
          </w:p>
        </w:tc>
        <w:tc>
          <w:tcPr>
            <w:tcW w:w="4865" w:type="dxa"/>
            <w:shd w:val="clear" w:color="auto" w:fill="auto"/>
            <w:noWrap/>
            <w:vAlign w:val="bottom"/>
            <w:hideMark/>
          </w:tcPr>
          <w:p w14:paraId="36ECFFE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ADelt 31 1976: 350-51, pls.273d-e, 274a-b; ADelt  34 1979: 228-259, pls. 91-94; Merousis 2000: 137 pl. 13</w:t>
            </w:r>
          </w:p>
        </w:tc>
      </w:tr>
      <w:tr w:rsidR="003860B7" w:rsidRPr="003860B7" w14:paraId="594672A8" w14:textId="77777777" w:rsidTr="00F52D43">
        <w:trPr>
          <w:trHeight w:val="315"/>
        </w:trPr>
        <w:tc>
          <w:tcPr>
            <w:tcW w:w="1034" w:type="dxa"/>
            <w:shd w:val="clear" w:color="auto" w:fill="auto"/>
            <w:noWrap/>
            <w:vAlign w:val="bottom"/>
            <w:hideMark/>
          </w:tcPr>
          <w:p w14:paraId="06FB39EB"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604</w:t>
            </w:r>
          </w:p>
        </w:tc>
        <w:tc>
          <w:tcPr>
            <w:tcW w:w="1027" w:type="dxa"/>
            <w:shd w:val="clear" w:color="auto" w:fill="auto"/>
            <w:noWrap/>
            <w:vAlign w:val="bottom"/>
            <w:hideMark/>
          </w:tcPr>
          <w:p w14:paraId="6EE99F9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21899</w:t>
            </w:r>
          </w:p>
        </w:tc>
        <w:tc>
          <w:tcPr>
            <w:tcW w:w="842" w:type="dxa"/>
            <w:shd w:val="clear" w:color="auto" w:fill="auto"/>
            <w:noWrap/>
            <w:vAlign w:val="bottom"/>
            <w:hideMark/>
          </w:tcPr>
          <w:p w14:paraId="139D79E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T280</w:t>
            </w:r>
          </w:p>
        </w:tc>
        <w:tc>
          <w:tcPr>
            <w:tcW w:w="1865" w:type="dxa"/>
            <w:shd w:val="clear" w:color="auto" w:fill="auto"/>
            <w:noWrap/>
            <w:vAlign w:val="bottom"/>
            <w:hideMark/>
          </w:tcPr>
          <w:p w14:paraId="1B5A05A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KAVROCHORI</w:t>
            </w:r>
          </w:p>
        </w:tc>
        <w:tc>
          <w:tcPr>
            <w:tcW w:w="844" w:type="dxa"/>
            <w:shd w:val="clear" w:color="auto" w:fill="auto"/>
            <w:noWrap/>
            <w:vAlign w:val="bottom"/>
            <w:hideMark/>
          </w:tcPr>
          <w:p w14:paraId="6797D21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466401A4"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059FD46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5FA38B5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474</w:t>
            </w:r>
          </w:p>
        </w:tc>
        <w:tc>
          <w:tcPr>
            <w:tcW w:w="4865" w:type="dxa"/>
            <w:shd w:val="clear" w:color="auto" w:fill="auto"/>
            <w:noWrap/>
            <w:vAlign w:val="bottom"/>
            <w:hideMark/>
          </w:tcPr>
          <w:p w14:paraId="20257D5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AD 31 1976: 350-51, pls.273d-e, 274a-b; ADelt  34 1979: 228-259, pls. 91-94; Merousis 2000: 137</w:t>
            </w:r>
          </w:p>
        </w:tc>
      </w:tr>
      <w:tr w:rsidR="003860B7" w:rsidRPr="003860B7" w14:paraId="118136D6" w14:textId="77777777" w:rsidTr="00F52D43">
        <w:trPr>
          <w:trHeight w:val="315"/>
        </w:trPr>
        <w:tc>
          <w:tcPr>
            <w:tcW w:w="1034" w:type="dxa"/>
            <w:shd w:val="clear" w:color="auto" w:fill="auto"/>
            <w:noWrap/>
            <w:vAlign w:val="bottom"/>
            <w:hideMark/>
          </w:tcPr>
          <w:p w14:paraId="7EA98120"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645</w:t>
            </w:r>
          </w:p>
        </w:tc>
        <w:tc>
          <w:tcPr>
            <w:tcW w:w="1027" w:type="dxa"/>
            <w:shd w:val="clear" w:color="auto" w:fill="auto"/>
            <w:noWrap/>
            <w:vAlign w:val="bottom"/>
            <w:hideMark/>
          </w:tcPr>
          <w:p w14:paraId="47CBB09F"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6C43914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T292</w:t>
            </w:r>
          </w:p>
        </w:tc>
        <w:tc>
          <w:tcPr>
            <w:tcW w:w="1865" w:type="dxa"/>
            <w:shd w:val="clear" w:color="auto" w:fill="auto"/>
            <w:noWrap/>
            <w:vAlign w:val="bottom"/>
            <w:hideMark/>
          </w:tcPr>
          <w:p w14:paraId="772A83D3"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KYPARISSI VATHIA</w:t>
            </w:r>
          </w:p>
        </w:tc>
        <w:tc>
          <w:tcPr>
            <w:tcW w:w="844" w:type="dxa"/>
            <w:shd w:val="clear" w:color="auto" w:fill="auto"/>
            <w:noWrap/>
            <w:vAlign w:val="bottom"/>
            <w:hideMark/>
          </w:tcPr>
          <w:p w14:paraId="351026DF"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47AFFE2C"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45B6AA9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0BBA223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680</w:t>
            </w:r>
          </w:p>
        </w:tc>
        <w:tc>
          <w:tcPr>
            <w:tcW w:w="4865" w:type="dxa"/>
            <w:shd w:val="clear" w:color="auto" w:fill="auto"/>
            <w:noWrap/>
            <w:vAlign w:val="bottom"/>
            <w:hideMark/>
          </w:tcPr>
          <w:p w14:paraId="7EBF71E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Rethemiotakis 2013: fig. 1-2</w:t>
            </w:r>
          </w:p>
        </w:tc>
      </w:tr>
      <w:tr w:rsidR="003860B7" w:rsidRPr="003860B7" w14:paraId="4E7F8463" w14:textId="77777777" w:rsidTr="00F52D43">
        <w:trPr>
          <w:trHeight w:val="315"/>
        </w:trPr>
        <w:tc>
          <w:tcPr>
            <w:tcW w:w="1034" w:type="dxa"/>
            <w:shd w:val="clear" w:color="auto" w:fill="auto"/>
            <w:noWrap/>
            <w:vAlign w:val="bottom"/>
            <w:hideMark/>
          </w:tcPr>
          <w:p w14:paraId="25215EB9"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646</w:t>
            </w:r>
          </w:p>
        </w:tc>
        <w:tc>
          <w:tcPr>
            <w:tcW w:w="1027" w:type="dxa"/>
            <w:shd w:val="clear" w:color="auto" w:fill="auto"/>
            <w:noWrap/>
            <w:vAlign w:val="bottom"/>
            <w:hideMark/>
          </w:tcPr>
          <w:p w14:paraId="0C3BB4C7"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6992FA67"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T292</w:t>
            </w:r>
          </w:p>
        </w:tc>
        <w:tc>
          <w:tcPr>
            <w:tcW w:w="1865" w:type="dxa"/>
            <w:shd w:val="clear" w:color="auto" w:fill="auto"/>
            <w:noWrap/>
            <w:vAlign w:val="bottom"/>
            <w:hideMark/>
          </w:tcPr>
          <w:p w14:paraId="469D1F87"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KYPARISSI VATHIA</w:t>
            </w:r>
          </w:p>
        </w:tc>
        <w:tc>
          <w:tcPr>
            <w:tcW w:w="844" w:type="dxa"/>
            <w:shd w:val="clear" w:color="auto" w:fill="auto"/>
            <w:noWrap/>
            <w:vAlign w:val="bottom"/>
            <w:hideMark/>
          </w:tcPr>
          <w:p w14:paraId="14CF5D4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723A417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3FEE2F7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2F9F11B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680</w:t>
            </w:r>
          </w:p>
        </w:tc>
        <w:tc>
          <w:tcPr>
            <w:tcW w:w="4865" w:type="dxa"/>
            <w:shd w:val="clear" w:color="auto" w:fill="auto"/>
            <w:noWrap/>
            <w:vAlign w:val="bottom"/>
            <w:hideMark/>
          </w:tcPr>
          <w:p w14:paraId="04766EA6"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Rethemiotakis 2013: fig. 5-8</w:t>
            </w:r>
          </w:p>
        </w:tc>
      </w:tr>
      <w:tr w:rsidR="003860B7" w:rsidRPr="003860B7" w14:paraId="5F0D7D4B" w14:textId="77777777" w:rsidTr="00F52D43">
        <w:trPr>
          <w:trHeight w:val="315"/>
        </w:trPr>
        <w:tc>
          <w:tcPr>
            <w:tcW w:w="1034" w:type="dxa"/>
            <w:shd w:val="clear" w:color="auto" w:fill="auto"/>
            <w:noWrap/>
            <w:vAlign w:val="bottom"/>
            <w:hideMark/>
          </w:tcPr>
          <w:p w14:paraId="0D0698A5"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648</w:t>
            </w:r>
          </w:p>
        </w:tc>
        <w:tc>
          <w:tcPr>
            <w:tcW w:w="1027" w:type="dxa"/>
            <w:shd w:val="clear" w:color="auto" w:fill="auto"/>
            <w:noWrap/>
            <w:vAlign w:val="bottom"/>
            <w:hideMark/>
          </w:tcPr>
          <w:p w14:paraId="511A9AC7"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AKE 429</w:t>
            </w:r>
          </w:p>
        </w:tc>
        <w:tc>
          <w:tcPr>
            <w:tcW w:w="842" w:type="dxa"/>
            <w:shd w:val="clear" w:color="auto" w:fill="auto"/>
            <w:noWrap/>
            <w:vAlign w:val="bottom"/>
            <w:hideMark/>
          </w:tcPr>
          <w:p w14:paraId="04B09DE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T293</w:t>
            </w:r>
          </w:p>
        </w:tc>
        <w:tc>
          <w:tcPr>
            <w:tcW w:w="1865" w:type="dxa"/>
            <w:shd w:val="clear" w:color="auto" w:fill="auto"/>
            <w:noWrap/>
            <w:vAlign w:val="bottom"/>
            <w:hideMark/>
          </w:tcPr>
          <w:p w14:paraId="06A6B06A"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KYPARISSI VATHIA</w:t>
            </w:r>
          </w:p>
        </w:tc>
        <w:tc>
          <w:tcPr>
            <w:tcW w:w="844" w:type="dxa"/>
            <w:shd w:val="clear" w:color="auto" w:fill="auto"/>
            <w:noWrap/>
            <w:vAlign w:val="bottom"/>
            <w:hideMark/>
          </w:tcPr>
          <w:p w14:paraId="43CA91E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4D4BF1A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7582905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2CE889C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681</w:t>
            </w:r>
          </w:p>
        </w:tc>
        <w:tc>
          <w:tcPr>
            <w:tcW w:w="4865" w:type="dxa"/>
            <w:shd w:val="clear" w:color="auto" w:fill="auto"/>
            <w:noWrap/>
            <w:vAlign w:val="bottom"/>
            <w:hideMark/>
          </w:tcPr>
          <w:p w14:paraId="6FF9D92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Rethemiotakis 2013: fig. 5-8</w:t>
            </w:r>
          </w:p>
        </w:tc>
      </w:tr>
      <w:tr w:rsidR="003860B7" w:rsidRPr="003860B7" w14:paraId="7A0E245D" w14:textId="77777777" w:rsidTr="00F52D43">
        <w:trPr>
          <w:trHeight w:val="315"/>
        </w:trPr>
        <w:tc>
          <w:tcPr>
            <w:tcW w:w="1034" w:type="dxa"/>
            <w:shd w:val="clear" w:color="auto" w:fill="auto"/>
            <w:noWrap/>
            <w:vAlign w:val="bottom"/>
            <w:hideMark/>
          </w:tcPr>
          <w:p w14:paraId="238CA075"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649</w:t>
            </w:r>
          </w:p>
        </w:tc>
        <w:tc>
          <w:tcPr>
            <w:tcW w:w="1027" w:type="dxa"/>
            <w:shd w:val="clear" w:color="auto" w:fill="auto"/>
            <w:noWrap/>
            <w:vAlign w:val="bottom"/>
            <w:hideMark/>
          </w:tcPr>
          <w:p w14:paraId="64F465CB"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0EF20CEB"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T293</w:t>
            </w:r>
          </w:p>
        </w:tc>
        <w:tc>
          <w:tcPr>
            <w:tcW w:w="1865" w:type="dxa"/>
            <w:shd w:val="clear" w:color="auto" w:fill="auto"/>
            <w:noWrap/>
            <w:vAlign w:val="bottom"/>
            <w:hideMark/>
          </w:tcPr>
          <w:p w14:paraId="76E6439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KYPARISSI VATHIA</w:t>
            </w:r>
          </w:p>
        </w:tc>
        <w:tc>
          <w:tcPr>
            <w:tcW w:w="844" w:type="dxa"/>
            <w:shd w:val="clear" w:color="auto" w:fill="auto"/>
            <w:noWrap/>
            <w:vAlign w:val="bottom"/>
            <w:hideMark/>
          </w:tcPr>
          <w:p w14:paraId="7ABD2A1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4603990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13128D1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49BA91C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681</w:t>
            </w:r>
          </w:p>
        </w:tc>
        <w:tc>
          <w:tcPr>
            <w:tcW w:w="4865" w:type="dxa"/>
            <w:shd w:val="clear" w:color="auto" w:fill="auto"/>
            <w:noWrap/>
            <w:vAlign w:val="bottom"/>
            <w:hideMark/>
          </w:tcPr>
          <w:p w14:paraId="1576650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Rethemiotakis 2013: fig. 13-16</w:t>
            </w:r>
          </w:p>
        </w:tc>
      </w:tr>
      <w:tr w:rsidR="003860B7" w:rsidRPr="003860B7" w14:paraId="41FE7D46" w14:textId="77777777" w:rsidTr="00F52D43">
        <w:trPr>
          <w:trHeight w:val="315"/>
        </w:trPr>
        <w:tc>
          <w:tcPr>
            <w:tcW w:w="1034" w:type="dxa"/>
            <w:shd w:val="clear" w:color="auto" w:fill="auto"/>
            <w:noWrap/>
            <w:vAlign w:val="bottom"/>
            <w:hideMark/>
          </w:tcPr>
          <w:p w14:paraId="0B9602CB"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813</w:t>
            </w:r>
          </w:p>
        </w:tc>
        <w:tc>
          <w:tcPr>
            <w:tcW w:w="1027" w:type="dxa"/>
            <w:shd w:val="clear" w:color="auto" w:fill="auto"/>
            <w:noWrap/>
            <w:vAlign w:val="bottom"/>
            <w:hideMark/>
          </w:tcPr>
          <w:p w14:paraId="14F5D4BB"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CA 921 (Louvre)</w:t>
            </w:r>
          </w:p>
        </w:tc>
        <w:tc>
          <w:tcPr>
            <w:tcW w:w="842" w:type="dxa"/>
            <w:shd w:val="clear" w:color="auto" w:fill="auto"/>
            <w:noWrap/>
            <w:vAlign w:val="bottom"/>
            <w:hideMark/>
          </w:tcPr>
          <w:p w14:paraId="35EEB92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T351</w:t>
            </w:r>
          </w:p>
        </w:tc>
        <w:tc>
          <w:tcPr>
            <w:tcW w:w="1865" w:type="dxa"/>
            <w:shd w:val="clear" w:color="auto" w:fill="auto"/>
            <w:noWrap/>
            <w:vAlign w:val="bottom"/>
            <w:hideMark/>
          </w:tcPr>
          <w:p w14:paraId="22415E31"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LIGORTYNO</w:t>
            </w:r>
          </w:p>
        </w:tc>
        <w:tc>
          <w:tcPr>
            <w:tcW w:w="844" w:type="dxa"/>
            <w:shd w:val="clear" w:color="auto" w:fill="auto"/>
            <w:noWrap/>
            <w:vAlign w:val="bottom"/>
            <w:hideMark/>
          </w:tcPr>
          <w:p w14:paraId="40C7358C"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355E1B1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76423C6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6613858B"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683</w:t>
            </w:r>
          </w:p>
        </w:tc>
        <w:tc>
          <w:tcPr>
            <w:tcW w:w="4865" w:type="dxa"/>
            <w:shd w:val="clear" w:color="auto" w:fill="auto"/>
            <w:noWrap/>
            <w:vAlign w:val="bottom"/>
            <w:hideMark/>
          </w:tcPr>
          <w:p w14:paraId="15F70EC6"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 xml:space="preserve"> Rutkowski 1964, 153-155, pls. 1-2; Mavriyannaki 1974: 46-47, no. 1, pls. 16-17; D'Agata 2015</w:t>
            </w:r>
          </w:p>
        </w:tc>
      </w:tr>
      <w:tr w:rsidR="003860B7" w:rsidRPr="003860B7" w14:paraId="1942AC24" w14:textId="77777777" w:rsidTr="00F52D43">
        <w:trPr>
          <w:trHeight w:val="315"/>
        </w:trPr>
        <w:tc>
          <w:tcPr>
            <w:tcW w:w="1034" w:type="dxa"/>
            <w:shd w:val="clear" w:color="auto" w:fill="auto"/>
            <w:noWrap/>
            <w:vAlign w:val="bottom"/>
            <w:hideMark/>
          </w:tcPr>
          <w:p w14:paraId="5B18BADF"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655</w:t>
            </w:r>
          </w:p>
        </w:tc>
        <w:tc>
          <w:tcPr>
            <w:tcW w:w="1027" w:type="dxa"/>
            <w:shd w:val="clear" w:color="auto" w:fill="auto"/>
            <w:noWrap/>
            <w:vAlign w:val="bottom"/>
            <w:hideMark/>
          </w:tcPr>
          <w:p w14:paraId="5EC5F20C"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19024</w:t>
            </w:r>
          </w:p>
        </w:tc>
        <w:tc>
          <w:tcPr>
            <w:tcW w:w="842" w:type="dxa"/>
            <w:shd w:val="clear" w:color="auto" w:fill="auto"/>
            <w:noWrap/>
            <w:vAlign w:val="bottom"/>
            <w:hideMark/>
          </w:tcPr>
          <w:p w14:paraId="6AE3ABEB"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T295</w:t>
            </w:r>
          </w:p>
        </w:tc>
        <w:tc>
          <w:tcPr>
            <w:tcW w:w="1865" w:type="dxa"/>
            <w:shd w:val="clear" w:color="auto" w:fill="auto"/>
            <w:noWrap/>
            <w:vAlign w:val="bottom"/>
            <w:hideMark/>
          </w:tcPr>
          <w:p w14:paraId="3B47565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METHOCHI KALOU</w:t>
            </w:r>
          </w:p>
        </w:tc>
        <w:tc>
          <w:tcPr>
            <w:tcW w:w="844" w:type="dxa"/>
            <w:shd w:val="clear" w:color="auto" w:fill="auto"/>
            <w:noWrap/>
            <w:vAlign w:val="bottom"/>
            <w:hideMark/>
          </w:tcPr>
          <w:p w14:paraId="3AC8777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379BCF9F"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6F78D3DC"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09649B9B"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700</w:t>
            </w:r>
          </w:p>
        </w:tc>
        <w:tc>
          <w:tcPr>
            <w:tcW w:w="4865" w:type="dxa"/>
            <w:shd w:val="clear" w:color="auto" w:fill="auto"/>
            <w:noWrap/>
            <w:vAlign w:val="bottom"/>
            <w:hideMark/>
          </w:tcPr>
          <w:p w14:paraId="73B2465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Dimopoulou and Rethemiotakis  1978: 89 pl. 17 a; Spiliotopoulou 2010: 98-101</w:t>
            </w:r>
          </w:p>
        </w:tc>
      </w:tr>
      <w:tr w:rsidR="003860B7" w:rsidRPr="003860B7" w14:paraId="65D71054" w14:textId="77777777" w:rsidTr="00F52D43">
        <w:trPr>
          <w:trHeight w:val="315"/>
        </w:trPr>
        <w:tc>
          <w:tcPr>
            <w:tcW w:w="1034" w:type="dxa"/>
            <w:shd w:val="clear" w:color="auto" w:fill="auto"/>
            <w:noWrap/>
            <w:vAlign w:val="bottom"/>
            <w:hideMark/>
          </w:tcPr>
          <w:p w14:paraId="2DD29DD9"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656</w:t>
            </w:r>
          </w:p>
        </w:tc>
        <w:tc>
          <w:tcPr>
            <w:tcW w:w="1027" w:type="dxa"/>
            <w:shd w:val="clear" w:color="auto" w:fill="auto"/>
            <w:noWrap/>
            <w:vAlign w:val="bottom"/>
            <w:hideMark/>
          </w:tcPr>
          <w:p w14:paraId="03FE4D3A"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19025</w:t>
            </w:r>
          </w:p>
        </w:tc>
        <w:tc>
          <w:tcPr>
            <w:tcW w:w="842" w:type="dxa"/>
            <w:shd w:val="clear" w:color="auto" w:fill="auto"/>
            <w:noWrap/>
            <w:vAlign w:val="bottom"/>
            <w:hideMark/>
          </w:tcPr>
          <w:p w14:paraId="4DE550C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T296</w:t>
            </w:r>
          </w:p>
        </w:tc>
        <w:tc>
          <w:tcPr>
            <w:tcW w:w="1865" w:type="dxa"/>
            <w:shd w:val="clear" w:color="auto" w:fill="auto"/>
            <w:noWrap/>
            <w:vAlign w:val="bottom"/>
            <w:hideMark/>
          </w:tcPr>
          <w:p w14:paraId="7159EB8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METHOCHI KALOU</w:t>
            </w:r>
          </w:p>
        </w:tc>
        <w:tc>
          <w:tcPr>
            <w:tcW w:w="844" w:type="dxa"/>
            <w:shd w:val="clear" w:color="auto" w:fill="auto"/>
            <w:noWrap/>
            <w:vAlign w:val="bottom"/>
            <w:hideMark/>
          </w:tcPr>
          <w:p w14:paraId="21AD0A6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06742CF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31ECDD2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66EC5B6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701</w:t>
            </w:r>
          </w:p>
        </w:tc>
        <w:tc>
          <w:tcPr>
            <w:tcW w:w="4865" w:type="dxa"/>
            <w:shd w:val="clear" w:color="auto" w:fill="auto"/>
            <w:noWrap/>
            <w:vAlign w:val="bottom"/>
            <w:hideMark/>
          </w:tcPr>
          <w:p w14:paraId="147BA0D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Dimopoulou and Rethemiotakis 1978: 90; Spiliotopoulou 2010: 98-101</w:t>
            </w:r>
          </w:p>
        </w:tc>
      </w:tr>
      <w:tr w:rsidR="003860B7" w:rsidRPr="003860B7" w14:paraId="13E66753" w14:textId="77777777" w:rsidTr="00F52D43">
        <w:trPr>
          <w:trHeight w:val="315"/>
        </w:trPr>
        <w:tc>
          <w:tcPr>
            <w:tcW w:w="1034" w:type="dxa"/>
            <w:shd w:val="clear" w:color="auto" w:fill="auto"/>
            <w:noWrap/>
            <w:vAlign w:val="bottom"/>
            <w:hideMark/>
          </w:tcPr>
          <w:p w14:paraId="069A62C0"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658</w:t>
            </w:r>
          </w:p>
        </w:tc>
        <w:tc>
          <w:tcPr>
            <w:tcW w:w="1027" w:type="dxa"/>
            <w:shd w:val="clear" w:color="auto" w:fill="auto"/>
            <w:noWrap/>
            <w:vAlign w:val="bottom"/>
            <w:hideMark/>
          </w:tcPr>
          <w:p w14:paraId="6BCB195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21820</w:t>
            </w:r>
          </w:p>
        </w:tc>
        <w:tc>
          <w:tcPr>
            <w:tcW w:w="842" w:type="dxa"/>
            <w:shd w:val="clear" w:color="auto" w:fill="auto"/>
            <w:noWrap/>
            <w:vAlign w:val="bottom"/>
            <w:hideMark/>
          </w:tcPr>
          <w:p w14:paraId="69991F23"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T298</w:t>
            </w:r>
          </w:p>
        </w:tc>
        <w:tc>
          <w:tcPr>
            <w:tcW w:w="1865" w:type="dxa"/>
            <w:shd w:val="clear" w:color="auto" w:fill="auto"/>
            <w:noWrap/>
            <w:vAlign w:val="bottom"/>
            <w:hideMark/>
          </w:tcPr>
          <w:p w14:paraId="324C6273"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METHOCHI KALOU</w:t>
            </w:r>
          </w:p>
        </w:tc>
        <w:tc>
          <w:tcPr>
            <w:tcW w:w="844" w:type="dxa"/>
            <w:shd w:val="clear" w:color="auto" w:fill="auto"/>
            <w:noWrap/>
            <w:vAlign w:val="bottom"/>
            <w:hideMark/>
          </w:tcPr>
          <w:p w14:paraId="37699C5C"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69A0534E"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46A8C80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540E959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703</w:t>
            </w:r>
          </w:p>
        </w:tc>
        <w:tc>
          <w:tcPr>
            <w:tcW w:w="4865" w:type="dxa"/>
            <w:shd w:val="clear" w:color="auto" w:fill="auto"/>
            <w:noWrap/>
            <w:vAlign w:val="bottom"/>
            <w:hideMark/>
          </w:tcPr>
          <w:p w14:paraId="4E8D0ADC"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Dimopoulou and Rethemiotakis 1978: 91, pl. 17b; Spiliotopoulou 2010: 98-101</w:t>
            </w:r>
          </w:p>
        </w:tc>
      </w:tr>
      <w:tr w:rsidR="003860B7" w:rsidRPr="003860B7" w14:paraId="7B8727CB" w14:textId="77777777" w:rsidTr="00F52D43">
        <w:trPr>
          <w:trHeight w:val="315"/>
        </w:trPr>
        <w:tc>
          <w:tcPr>
            <w:tcW w:w="1034" w:type="dxa"/>
            <w:shd w:val="clear" w:color="auto" w:fill="auto"/>
            <w:noWrap/>
            <w:vAlign w:val="bottom"/>
            <w:hideMark/>
          </w:tcPr>
          <w:p w14:paraId="0916A6FC"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659</w:t>
            </w:r>
          </w:p>
        </w:tc>
        <w:tc>
          <w:tcPr>
            <w:tcW w:w="1027" w:type="dxa"/>
            <w:shd w:val="clear" w:color="auto" w:fill="auto"/>
            <w:noWrap/>
            <w:vAlign w:val="bottom"/>
            <w:hideMark/>
          </w:tcPr>
          <w:p w14:paraId="4510BE21"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21816</w:t>
            </w:r>
          </w:p>
        </w:tc>
        <w:tc>
          <w:tcPr>
            <w:tcW w:w="842" w:type="dxa"/>
            <w:shd w:val="clear" w:color="auto" w:fill="auto"/>
            <w:noWrap/>
            <w:vAlign w:val="bottom"/>
            <w:hideMark/>
          </w:tcPr>
          <w:p w14:paraId="2E5AD4C0"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T298</w:t>
            </w:r>
          </w:p>
        </w:tc>
        <w:tc>
          <w:tcPr>
            <w:tcW w:w="1865" w:type="dxa"/>
            <w:shd w:val="clear" w:color="auto" w:fill="auto"/>
            <w:noWrap/>
            <w:vAlign w:val="bottom"/>
            <w:hideMark/>
          </w:tcPr>
          <w:p w14:paraId="6DA09EA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METHOCHI KALOU</w:t>
            </w:r>
          </w:p>
        </w:tc>
        <w:tc>
          <w:tcPr>
            <w:tcW w:w="844" w:type="dxa"/>
            <w:shd w:val="clear" w:color="auto" w:fill="auto"/>
            <w:noWrap/>
            <w:vAlign w:val="bottom"/>
            <w:hideMark/>
          </w:tcPr>
          <w:p w14:paraId="45F2F21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143D2CA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09E6B82C"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7334179E"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703</w:t>
            </w:r>
          </w:p>
        </w:tc>
        <w:tc>
          <w:tcPr>
            <w:tcW w:w="4865" w:type="dxa"/>
            <w:shd w:val="clear" w:color="auto" w:fill="auto"/>
            <w:noWrap/>
            <w:vAlign w:val="bottom"/>
            <w:hideMark/>
          </w:tcPr>
          <w:p w14:paraId="307B0BF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Dimopoulou and Rethemiotakis 1978: 92; Spiliotopoulou 2010: 98-101</w:t>
            </w:r>
          </w:p>
        </w:tc>
      </w:tr>
      <w:tr w:rsidR="003860B7" w:rsidRPr="003860B7" w14:paraId="508FAEC7" w14:textId="77777777" w:rsidTr="00F52D43">
        <w:trPr>
          <w:trHeight w:val="315"/>
        </w:trPr>
        <w:tc>
          <w:tcPr>
            <w:tcW w:w="1034" w:type="dxa"/>
            <w:shd w:val="clear" w:color="auto" w:fill="auto"/>
            <w:noWrap/>
            <w:vAlign w:val="bottom"/>
            <w:hideMark/>
          </w:tcPr>
          <w:p w14:paraId="0B0E9CDF"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661</w:t>
            </w:r>
          </w:p>
        </w:tc>
        <w:tc>
          <w:tcPr>
            <w:tcW w:w="1027" w:type="dxa"/>
            <w:shd w:val="clear" w:color="auto" w:fill="auto"/>
            <w:noWrap/>
            <w:vAlign w:val="bottom"/>
            <w:hideMark/>
          </w:tcPr>
          <w:p w14:paraId="4AA4CFE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21812</w:t>
            </w:r>
          </w:p>
        </w:tc>
        <w:tc>
          <w:tcPr>
            <w:tcW w:w="842" w:type="dxa"/>
            <w:shd w:val="clear" w:color="auto" w:fill="auto"/>
            <w:noWrap/>
            <w:vAlign w:val="bottom"/>
            <w:hideMark/>
          </w:tcPr>
          <w:p w14:paraId="2FC7E5C6"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T298</w:t>
            </w:r>
          </w:p>
        </w:tc>
        <w:tc>
          <w:tcPr>
            <w:tcW w:w="1865" w:type="dxa"/>
            <w:shd w:val="clear" w:color="auto" w:fill="auto"/>
            <w:noWrap/>
            <w:vAlign w:val="bottom"/>
            <w:hideMark/>
          </w:tcPr>
          <w:p w14:paraId="22C69A26"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METHOCHI KALOU</w:t>
            </w:r>
          </w:p>
        </w:tc>
        <w:tc>
          <w:tcPr>
            <w:tcW w:w="844" w:type="dxa"/>
            <w:shd w:val="clear" w:color="auto" w:fill="auto"/>
            <w:noWrap/>
            <w:vAlign w:val="bottom"/>
            <w:hideMark/>
          </w:tcPr>
          <w:p w14:paraId="381466A4"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01B27C5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375807FE"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4737699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703</w:t>
            </w:r>
          </w:p>
        </w:tc>
        <w:tc>
          <w:tcPr>
            <w:tcW w:w="4865" w:type="dxa"/>
            <w:shd w:val="clear" w:color="auto" w:fill="auto"/>
            <w:noWrap/>
            <w:vAlign w:val="bottom"/>
            <w:hideMark/>
          </w:tcPr>
          <w:p w14:paraId="33DA1621"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Dimopoulou and Rethemiotakis  1978: 93-94 pl. 18 a, 19 a-b; Spiliotopoulou 2010: 98-101</w:t>
            </w:r>
          </w:p>
        </w:tc>
      </w:tr>
      <w:tr w:rsidR="003860B7" w:rsidRPr="003860B7" w14:paraId="0A4B8AAC" w14:textId="77777777" w:rsidTr="00F52D43">
        <w:trPr>
          <w:trHeight w:val="315"/>
        </w:trPr>
        <w:tc>
          <w:tcPr>
            <w:tcW w:w="1034" w:type="dxa"/>
            <w:shd w:val="clear" w:color="auto" w:fill="auto"/>
            <w:noWrap/>
            <w:vAlign w:val="bottom"/>
            <w:hideMark/>
          </w:tcPr>
          <w:p w14:paraId="3330EA60"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664</w:t>
            </w:r>
          </w:p>
        </w:tc>
        <w:tc>
          <w:tcPr>
            <w:tcW w:w="1027" w:type="dxa"/>
            <w:shd w:val="clear" w:color="auto" w:fill="auto"/>
            <w:noWrap/>
            <w:vAlign w:val="bottom"/>
            <w:hideMark/>
          </w:tcPr>
          <w:p w14:paraId="769C35CB"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21817 b</w:t>
            </w:r>
          </w:p>
        </w:tc>
        <w:tc>
          <w:tcPr>
            <w:tcW w:w="842" w:type="dxa"/>
            <w:shd w:val="clear" w:color="auto" w:fill="auto"/>
            <w:noWrap/>
            <w:vAlign w:val="bottom"/>
            <w:hideMark/>
          </w:tcPr>
          <w:p w14:paraId="61C8B38A"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T298</w:t>
            </w:r>
          </w:p>
        </w:tc>
        <w:tc>
          <w:tcPr>
            <w:tcW w:w="1865" w:type="dxa"/>
            <w:shd w:val="clear" w:color="auto" w:fill="auto"/>
            <w:noWrap/>
            <w:vAlign w:val="bottom"/>
            <w:hideMark/>
          </w:tcPr>
          <w:p w14:paraId="6B9CACA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METHOCHI KALOU</w:t>
            </w:r>
          </w:p>
        </w:tc>
        <w:tc>
          <w:tcPr>
            <w:tcW w:w="844" w:type="dxa"/>
            <w:shd w:val="clear" w:color="auto" w:fill="auto"/>
            <w:noWrap/>
            <w:vAlign w:val="bottom"/>
            <w:hideMark/>
          </w:tcPr>
          <w:p w14:paraId="749804EA"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67" w:type="dxa"/>
            <w:shd w:val="clear" w:color="auto" w:fill="auto"/>
            <w:noWrap/>
            <w:vAlign w:val="bottom"/>
            <w:hideMark/>
          </w:tcPr>
          <w:p w14:paraId="0701703C"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5D3B5E9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47" w:type="dxa"/>
            <w:shd w:val="clear" w:color="auto" w:fill="auto"/>
            <w:noWrap/>
            <w:vAlign w:val="bottom"/>
            <w:hideMark/>
          </w:tcPr>
          <w:p w14:paraId="49A810C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703</w:t>
            </w:r>
          </w:p>
        </w:tc>
        <w:tc>
          <w:tcPr>
            <w:tcW w:w="4865" w:type="dxa"/>
            <w:shd w:val="clear" w:color="auto" w:fill="auto"/>
            <w:noWrap/>
            <w:vAlign w:val="bottom"/>
            <w:hideMark/>
          </w:tcPr>
          <w:p w14:paraId="4F97B6C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Dimopoulou and Rethemiotakis  1978: 94; Spiliotopoulou 2010: 98-101</w:t>
            </w:r>
          </w:p>
        </w:tc>
      </w:tr>
      <w:tr w:rsidR="003860B7" w:rsidRPr="003860B7" w14:paraId="20F8BCBD" w14:textId="77777777" w:rsidTr="00F52D43">
        <w:trPr>
          <w:trHeight w:val="315"/>
        </w:trPr>
        <w:tc>
          <w:tcPr>
            <w:tcW w:w="1034" w:type="dxa"/>
            <w:shd w:val="clear" w:color="auto" w:fill="auto"/>
            <w:noWrap/>
            <w:vAlign w:val="bottom"/>
            <w:hideMark/>
          </w:tcPr>
          <w:p w14:paraId="0F139991"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666</w:t>
            </w:r>
          </w:p>
        </w:tc>
        <w:tc>
          <w:tcPr>
            <w:tcW w:w="1027" w:type="dxa"/>
            <w:shd w:val="clear" w:color="auto" w:fill="auto"/>
            <w:noWrap/>
            <w:vAlign w:val="bottom"/>
            <w:hideMark/>
          </w:tcPr>
          <w:p w14:paraId="7DF7022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21817 a</w:t>
            </w:r>
          </w:p>
        </w:tc>
        <w:tc>
          <w:tcPr>
            <w:tcW w:w="842" w:type="dxa"/>
            <w:shd w:val="clear" w:color="auto" w:fill="auto"/>
            <w:noWrap/>
            <w:vAlign w:val="bottom"/>
            <w:hideMark/>
          </w:tcPr>
          <w:p w14:paraId="081B6286"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T297</w:t>
            </w:r>
          </w:p>
        </w:tc>
        <w:tc>
          <w:tcPr>
            <w:tcW w:w="1865" w:type="dxa"/>
            <w:shd w:val="clear" w:color="auto" w:fill="auto"/>
            <w:noWrap/>
            <w:vAlign w:val="bottom"/>
            <w:hideMark/>
          </w:tcPr>
          <w:p w14:paraId="1D9F70F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METHOCHI KALOU</w:t>
            </w:r>
          </w:p>
        </w:tc>
        <w:tc>
          <w:tcPr>
            <w:tcW w:w="844" w:type="dxa"/>
            <w:shd w:val="clear" w:color="auto" w:fill="auto"/>
            <w:noWrap/>
            <w:vAlign w:val="bottom"/>
            <w:hideMark/>
          </w:tcPr>
          <w:p w14:paraId="08BE909A"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11BE0CA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42F76E8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29581C6B"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702</w:t>
            </w:r>
          </w:p>
        </w:tc>
        <w:tc>
          <w:tcPr>
            <w:tcW w:w="4865" w:type="dxa"/>
            <w:shd w:val="clear" w:color="auto" w:fill="auto"/>
            <w:noWrap/>
            <w:vAlign w:val="bottom"/>
            <w:hideMark/>
          </w:tcPr>
          <w:p w14:paraId="3446F383"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Dimopoulou and Rethemiotakis 1978: 91; Spiliotopoulou 2010: 98-101</w:t>
            </w:r>
          </w:p>
        </w:tc>
      </w:tr>
      <w:tr w:rsidR="003860B7" w:rsidRPr="003860B7" w14:paraId="0952B67E" w14:textId="77777777" w:rsidTr="00F52D43">
        <w:trPr>
          <w:trHeight w:val="315"/>
        </w:trPr>
        <w:tc>
          <w:tcPr>
            <w:tcW w:w="1034" w:type="dxa"/>
            <w:shd w:val="clear" w:color="auto" w:fill="auto"/>
            <w:noWrap/>
            <w:vAlign w:val="bottom"/>
            <w:hideMark/>
          </w:tcPr>
          <w:p w14:paraId="016D5177"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667</w:t>
            </w:r>
          </w:p>
        </w:tc>
        <w:tc>
          <w:tcPr>
            <w:tcW w:w="1027" w:type="dxa"/>
            <w:shd w:val="clear" w:color="auto" w:fill="auto"/>
            <w:noWrap/>
            <w:vAlign w:val="bottom"/>
            <w:hideMark/>
          </w:tcPr>
          <w:p w14:paraId="59DAFB8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21819</w:t>
            </w:r>
          </w:p>
        </w:tc>
        <w:tc>
          <w:tcPr>
            <w:tcW w:w="842" w:type="dxa"/>
            <w:shd w:val="clear" w:color="auto" w:fill="auto"/>
            <w:noWrap/>
            <w:vAlign w:val="bottom"/>
            <w:hideMark/>
          </w:tcPr>
          <w:p w14:paraId="40F12857"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T299</w:t>
            </w:r>
          </w:p>
        </w:tc>
        <w:tc>
          <w:tcPr>
            <w:tcW w:w="1865" w:type="dxa"/>
            <w:shd w:val="clear" w:color="auto" w:fill="auto"/>
            <w:noWrap/>
            <w:vAlign w:val="bottom"/>
            <w:hideMark/>
          </w:tcPr>
          <w:p w14:paraId="7EA567EB"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METHOCHI KALOU</w:t>
            </w:r>
          </w:p>
        </w:tc>
        <w:tc>
          <w:tcPr>
            <w:tcW w:w="844" w:type="dxa"/>
            <w:shd w:val="clear" w:color="auto" w:fill="auto"/>
            <w:noWrap/>
            <w:vAlign w:val="bottom"/>
            <w:hideMark/>
          </w:tcPr>
          <w:p w14:paraId="2A90AC2A"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0B29A29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574F8B2B"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219AC45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704</w:t>
            </w:r>
          </w:p>
        </w:tc>
        <w:tc>
          <w:tcPr>
            <w:tcW w:w="4865" w:type="dxa"/>
            <w:shd w:val="clear" w:color="auto" w:fill="auto"/>
            <w:noWrap/>
            <w:vAlign w:val="bottom"/>
            <w:hideMark/>
          </w:tcPr>
          <w:p w14:paraId="496A2D2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Dimopoulou and Rethemiotakis 1978: 95-96, pl. 18 b, 19 b-c; Spiliotopoulou 2010: 98-101</w:t>
            </w:r>
          </w:p>
        </w:tc>
      </w:tr>
      <w:tr w:rsidR="003860B7" w:rsidRPr="003860B7" w14:paraId="3499B3FB" w14:textId="77777777" w:rsidTr="00F52D43">
        <w:trPr>
          <w:trHeight w:val="315"/>
        </w:trPr>
        <w:tc>
          <w:tcPr>
            <w:tcW w:w="1034" w:type="dxa"/>
            <w:shd w:val="clear" w:color="auto" w:fill="auto"/>
            <w:noWrap/>
            <w:vAlign w:val="bottom"/>
            <w:hideMark/>
          </w:tcPr>
          <w:p w14:paraId="452FAF47"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669</w:t>
            </w:r>
          </w:p>
        </w:tc>
        <w:tc>
          <w:tcPr>
            <w:tcW w:w="1027" w:type="dxa"/>
            <w:shd w:val="clear" w:color="auto" w:fill="auto"/>
            <w:noWrap/>
            <w:vAlign w:val="bottom"/>
            <w:hideMark/>
          </w:tcPr>
          <w:p w14:paraId="516416C6"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21815</w:t>
            </w:r>
          </w:p>
        </w:tc>
        <w:tc>
          <w:tcPr>
            <w:tcW w:w="842" w:type="dxa"/>
            <w:shd w:val="clear" w:color="auto" w:fill="auto"/>
            <w:noWrap/>
            <w:vAlign w:val="bottom"/>
            <w:hideMark/>
          </w:tcPr>
          <w:p w14:paraId="07CA9DEC"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T299</w:t>
            </w:r>
          </w:p>
        </w:tc>
        <w:tc>
          <w:tcPr>
            <w:tcW w:w="1865" w:type="dxa"/>
            <w:shd w:val="clear" w:color="auto" w:fill="auto"/>
            <w:noWrap/>
            <w:vAlign w:val="bottom"/>
            <w:hideMark/>
          </w:tcPr>
          <w:p w14:paraId="0319211C"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METHOCHI KALOU</w:t>
            </w:r>
          </w:p>
        </w:tc>
        <w:tc>
          <w:tcPr>
            <w:tcW w:w="844" w:type="dxa"/>
            <w:shd w:val="clear" w:color="auto" w:fill="auto"/>
            <w:noWrap/>
            <w:vAlign w:val="bottom"/>
            <w:hideMark/>
          </w:tcPr>
          <w:p w14:paraId="7617CF6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0A7C0D3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5413D85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185E4D0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704</w:t>
            </w:r>
          </w:p>
        </w:tc>
        <w:tc>
          <w:tcPr>
            <w:tcW w:w="4865" w:type="dxa"/>
            <w:shd w:val="clear" w:color="auto" w:fill="auto"/>
            <w:noWrap/>
            <w:vAlign w:val="bottom"/>
            <w:hideMark/>
          </w:tcPr>
          <w:p w14:paraId="74BDE8D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Dimopoulou and Rethemiotakis  1978: 97, pl. 20 a; Spiliotopoulou 2010: 98-101</w:t>
            </w:r>
          </w:p>
        </w:tc>
      </w:tr>
      <w:tr w:rsidR="003860B7" w:rsidRPr="003860B7" w14:paraId="2BBBC87E" w14:textId="77777777" w:rsidTr="00F52D43">
        <w:trPr>
          <w:trHeight w:val="315"/>
        </w:trPr>
        <w:tc>
          <w:tcPr>
            <w:tcW w:w="1034" w:type="dxa"/>
            <w:shd w:val="clear" w:color="auto" w:fill="auto"/>
            <w:noWrap/>
            <w:vAlign w:val="bottom"/>
            <w:hideMark/>
          </w:tcPr>
          <w:p w14:paraId="079A690C"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671</w:t>
            </w:r>
          </w:p>
        </w:tc>
        <w:tc>
          <w:tcPr>
            <w:tcW w:w="1027" w:type="dxa"/>
            <w:shd w:val="clear" w:color="auto" w:fill="auto"/>
            <w:noWrap/>
            <w:vAlign w:val="bottom"/>
            <w:hideMark/>
          </w:tcPr>
          <w:p w14:paraId="49BCA210"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21818</w:t>
            </w:r>
          </w:p>
        </w:tc>
        <w:tc>
          <w:tcPr>
            <w:tcW w:w="842" w:type="dxa"/>
            <w:shd w:val="clear" w:color="auto" w:fill="auto"/>
            <w:noWrap/>
            <w:vAlign w:val="bottom"/>
            <w:hideMark/>
          </w:tcPr>
          <w:p w14:paraId="64A21C3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T299</w:t>
            </w:r>
          </w:p>
        </w:tc>
        <w:tc>
          <w:tcPr>
            <w:tcW w:w="1865" w:type="dxa"/>
            <w:shd w:val="clear" w:color="auto" w:fill="auto"/>
            <w:noWrap/>
            <w:vAlign w:val="bottom"/>
            <w:hideMark/>
          </w:tcPr>
          <w:p w14:paraId="3A20A8F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METHOCHI KALOU</w:t>
            </w:r>
          </w:p>
        </w:tc>
        <w:tc>
          <w:tcPr>
            <w:tcW w:w="844" w:type="dxa"/>
            <w:shd w:val="clear" w:color="auto" w:fill="auto"/>
            <w:noWrap/>
            <w:vAlign w:val="bottom"/>
            <w:hideMark/>
          </w:tcPr>
          <w:p w14:paraId="11FE0C4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5A29DAC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12BA0B9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065B3B6F"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704</w:t>
            </w:r>
          </w:p>
        </w:tc>
        <w:tc>
          <w:tcPr>
            <w:tcW w:w="4865" w:type="dxa"/>
            <w:shd w:val="clear" w:color="auto" w:fill="auto"/>
            <w:noWrap/>
            <w:vAlign w:val="bottom"/>
            <w:hideMark/>
          </w:tcPr>
          <w:p w14:paraId="7503BEC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Dimopoulou and Rethemiotakis  1978: 97-98, pl. 20 b; Spiliotopoulou 2010: 98-101</w:t>
            </w:r>
          </w:p>
        </w:tc>
      </w:tr>
      <w:tr w:rsidR="003860B7" w:rsidRPr="003860B7" w14:paraId="299F4571" w14:textId="77777777" w:rsidTr="00F52D43">
        <w:trPr>
          <w:trHeight w:val="315"/>
        </w:trPr>
        <w:tc>
          <w:tcPr>
            <w:tcW w:w="1034" w:type="dxa"/>
            <w:shd w:val="clear" w:color="auto" w:fill="auto"/>
            <w:noWrap/>
            <w:vAlign w:val="bottom"/>
            <w:hideMark/>
          </w:tcPr>
          <w:p w14:paraId="5E0753BA"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605</w:t>
            </w:r>
          </w:p>
        </w:tc>
        <w:tc>
          <w:tcPr>
            <w:tcW w:w="1027" w:type="dxa"/>
            <w:shd w:val="clear" w:color="auto" w:fill="auto"/>
            <w:noWrap/>
            <w:vAlign w:val="bottom"/>
            <w:hideMark/>
          </w:tcPr>
          <w:p w14:paraId="5A23EB1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11620</w:t>
            </w:r>
          </w:p>
        </w:tc>
        <w:tc>
          <w:tcPr>
            <w:tcW w:w="842" w:type="dxa"/>
            <w:shd w:val="clear" w:color="auto" w:fill="auto"/>
            <w:noWrap/>
            <w:vAlign w:val="bottom"/>
            <w:hideMark/>
          </w:tcPr>
          <w:p w14:paraId="2EFFFB53"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T281</w:t>
            </w:r>
          </w:p>
        </w:tc>
        <w:tc>
          <w:tcPr>
            <w:tcW w:w="1865" w:type="dxa"/>
            <w:shd w:val="clear" w:color="auto" w:fill="auto"/>
            <w:noWrap/>
            <w:vAlign w:val="bottom"/>
            <w:hideMark/>
          </w:tcPr>
          <w:p w14:paraId="2D596AA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MONI</w:t>
            </w:r>
          </w:p>
        </w:tc>
        <w:tc>
          <w:tcPr>
            <w:tcW w:w="844" w:type="dxa"/>
            <w:shd w:val="clear" w:color="auto" w:fill="auto"/>
            <w:noWrap/>
            <w:vAlign w:val="bottom"/>
            <w:hideMark/>
          </w:tcPr>
          <w:p w14:paraId="5A5E72A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7461112F"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4ADD31D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22CD98AA"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707</w:t>
            </w:r>
          </w:p>
        </w:tc>
        <w:tc>
          <w:tcPr>
            <w:tcW w:w="4865" w:type="dxa"/>
            <w:shd w:val="clear" w:color="auto" w:fill="auto"/>
            <w:noWrap/>
            <w:vAlign w:val="bottom"/>
            <w:hideMark/>
          </w:tcPr>
          <w:p w14:paraId="446674E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AR 1958: 16; KChr 12 1958: 467; BCH 83 1959: 740; AA 1962: 166; Faure 1964:74 n.6; Pini 1968: 87; Kanta 1980:15 fig. 113.3; Merousis 2000: 166; Spiliotopoulou 2010: 80-81</w:t>
            </w:r>
          </w:p>
        </w:tc>
      </w:tr>
      <w:tr w:rsidR="003860B7" w:rsidRPr="003860B7" w14:paraId="0111AFA6" w14:textId="77777777" w:rsidTr="00F52D43">
        <w:trPr>
          <w:trHeight w:val="315"/>
        </w:trPr>
        <w:tc>
          <w:tcPr>
            <w:tcW w:w="1034" w:type="dxa"/>
            <w:shd w:val="clear" w:color="auto" w:fill="auto"/>
            <w:noWrap/>
            <w:vAlign w:val="bottom"/>
            <w:hideMark/>
          </w:tcPr>
          <w:p w14:paraId="5E37C821"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606</w:t>
            </w:r>
          </w:p>
        </w:tc>
        <w:tc>
          <w:tcPr>
            <w:tcW w:w="1027" w:type="dxa"/>
            <w:shd w:val="clear" w:color="auto" w:fill="auto"/>
            <w:noWrap/>
            <w:vAlign w:val="bottom"/>
            <w:hideMark/>
          </w:tcPr>
          <w:p w14:paraId="1D059027"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11621</w:t>
            </w:r>
          </w:p>
        </w:tc>
        <w:tc>
          <w:tcPr>
            <w:tcW w:w="842" w:type="dxa"/>
            <w:shd w:val="clear" w:color="auto" w:fill="auto"/>
            <w:noWrap/>
            <w:vAlign w:val="bottom"/>
            <w:hideMark/>
          </w:tcPr>
          <w:p w14:paraId="7977ECC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T281</w:t>
            </w:r>
          </w:p>
        </w:tc>
        <w:tc>
          <w:tcPr>
            <w:tcW w:w="1865" w:type="dxa"/>
            <w:shd w:val="clear" w:color="auto" w:fill="auto"/>
            <w:noWrap/>
            <w:vAlign w:val="bottom"/>
            <w:hideMark/>
          </w:tcPr>
          <w:p w14:paraId="08C45D00"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MONI</w:t>
            </w:r>
          </w:p>
        </w:tc>
        <w:tc>
          <w:tcPr>
            <w:tcW w:w="844" w:type="dxa"/>
            <w:shd w:val="clear" w:color="auto" w:fill="auto"/>
            <w:noWrap/>
            <w:vAlign w:val="bottom"/>
            <w:hideMark/>
          </w:tcPr>
          <w:p w14:paraId="70308B7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11630C2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1FD514F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4C91624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707</w:t>
            </w:r>
          </w:p>
        </w:tc>
        <w:tc>
          <w:tcPr>
            <w:tcW w:w="4865" w:type="dxa"/>
            <w:shd w:val="clear" w:color="auto" w:fill="auto"/>
            <w:noWrap/>
            <w:vAlign w:val="bottom"/>
            <w:hideMark/>
          </w:tcPr>
          <w:p w14:paraId="007419E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AR 1958: 16; KChr 12 1958: 467; BCH 83 1959: 740; AA 1962: 166; Faure 1964:74 n.6; Pini 1968:87; Kanta 1980:15; Merousis 2000: 166; Spiliotopoulou 2010: 80-81</w:t>
            </w:r>
          </w:p>
        </w:tc>
      </w:tr>
      <w:tr w:rsidR="003860B7" w:rsidRPr="003860B7" w14:paraId="1A572841" w14:textId="77777777" w:rsidTr="00F52D43">
        <w:trPr>
          <w:trHeight w:val="315"/>
        </w:trPr>
        <w:tc>
          <w:tcPr>
            <w:tcW w:w="1034" w:type="dxa"/>
            <w:shd w:val="clear" w:color="auto" w:fill="auto"/>
            <w:noWrap/>
            <w:vAlign w:val="bottom"/>
            <w:hideMark/>
          </w:tcPr>
          <w:p w14:paraId="1E8C1DCB"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755</w:t>
            </w:r>
          </w:p>
        </w:tc>
        <w:tc>
          <w:tcPr>
            <w:tcW w:w="1027" w:type="dxa"/>
            <w:shd w:val="clear" w:color="auto" w:fill="auto"/>
            <w:noWrap/>
            <w:vAlign w:val="bottom"/>
            <w:hideMark/>
          </w:tcPr>
          <w:p w14:paraId="005FB35A"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72702A2B"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T334</w:t>
            </w:r>
          </w:p>
        </w:tc>
        <w:tc>
          <w:tcPr>
            <w:tcW w:w="1865" w:type="dxa"/>
            <w:shd w:val="clear" w:color="auto" w:fill="auto"/>
            <w:noWrap/>
            <w:vAlign w:val="bottom"/>
            <w:hideMark/>
          </w:tcPr>
          <w:p w14:paraId="540EAB18"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NIROU CHANI VATHEIANOS KAMPOS</w:t>
            </w:r>
          </w:p>
        </w:tc>
        <w:tc>
          <w:tcPr>
            <w:tcW w:w="844" w:type="dxa"/>
            <w:shd w:val="clear" w:color="auto" w:fill="auto"/>
            <w:noWrap/>
            <w:vAlign w:val="bottom"/>
            <w:hideMark/>
          </w:tcPr>
          <w:p w14:paraId="51C6A4E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4CB08B4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2BDB20F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108B9FB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785</w:t>
            </w:r>
          </w:p>
        </w:tc>
        <w:tc>
          <w:tcPr>
            <w:tcW w:w="4865" w:type="dxa"/>
            <w:shd w:val="clear" w:color="auto" w:fill="auto"/>
            <w:noWrap/>
            <w:vAlign w:val="bottom"/>
            <w:hideMark/>
          </w:tcPr>
          <w:p w14:paraId="577ABAA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AA 1934: 249-251; BCH 1934: 272-273; Alexiou 1958: 218, pl. IA, fig 2; Vermeule 1965: 136, fig. 2B; Mavriyannaki 1972: 42; Long 1974: 30, 31, 76, fig. 31; Kanta 1980: 43-45; Morgan 1987: 191; Pologiorgi 1990: 158; Watrous 1991: 292, fig. 84h; Merousis 2000: 122-123; Spiliotopoulou 2010: 102-103</w:t>
            </w:r>
          </w:p>
        </w:tc>
      </w:tr>
      <w:tr w:rsidR="003860B7" w:rsidRPr="003860B7" w14:paraId="45E39075" w14:textId="77777777" w:rsidTr="00F52D43">
        <w:trPr>
          <w:trHeight w:val="315"/>
        </w:trPr>
        <w:tc>
          <w:tcPr>
            <w:tcW w:w="1034" w:type="dxa"/>
            <w:shd w:val="clear" w:color="auto" w:fill="auto"/>
            <w:noWrap/>
            <w:vAlign w:val="bottom"/>
            <w:hideMark/>
          </w:tcPr>
          <w:p w14:paraId="1CB01710"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609</w:t>
            </w:r>
          </w:p>
        </w:tc>
        <w:tc>
          <w:tcPr>
            <w:tcW w:w="1027" w:type="dxa"/>
            <w:shd w:val="clear" w:color="auto" w:fill="auto"/>
            <w:noWrap/>
            <w:vAlign w:val="bottom"/>
            <w:hideMark/>
          </w:tcPr>
          <w:p w14:paraId="2A71854C"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1616</w:t>
            </w:r>
          </w:p>
        </w:tc>
        <w:tc>
          <w:tcPr>
            <w:tcW w:w="842" w:type="dxa"/>
            <w:shd w:val="clear" w:color="auto" w:fill="auto"/>
            <w:noWrap/>
            <w:vAlign w:val="bottom"/>
            <w:hideMark/>
          </w:tcPr>
          <w:p w14:paraId="60138F3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T281</w:t>
            </w:r>
          </w:p>
        </w:tc>
        <w:tc>
          <w:tcPr>
            <w:tcW w:w="1865" w:type="dxa"/>
            <w:shd w:val="clear" w:color="auto" w:fill="auto"/>
            <w:noWrap/>
            <w:vAlign w:val="bottom"/>
            <w:hideMark/>
          </w:tcPr>
          <w:p w14:paraId="69696227"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PENTAMODI</w:t>
            </w:r>
          </w:p>
        </w:tc>
        <w:tc>
          <w:tcPr>
            <w:tcW w:w="844" w:type="dxa"/>
            <w:shd w:val="clear" w:color="auto" w:fill="auto"/>
            <w:noWrap/>
            <w:vAlign w:val="bottom"/>
            <w:hideMark/>
          </w:tcPr>
          <w:p w14:paraId="0AE76F14"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6B9CFDDF"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00C4494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053BE69D"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721</w:t>
            </w:r>
          </w:p>
        </w:tc>
        <w:tc>
          <w:tcPr>
            <w:tcW w:w="4865" w:type="dxa"/>
            <w:shd w:val="clear" w:color="auto" w:fill="auto"/>
            <w:noWrap/>
            <w:vAlign w:val="bottom"/>
            <w:hideMark/>
          </w:tcPr>
          <w:p w14:paraId="660AC2E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Orsi 1890: 209-211, pl. 1.2; Mavriyannaki 1972: 42; Spiliotopoulou 2010, 81 n. 157</w:t>
            </w:r>
          </w:p>
        </w:tc>
      </w:tr>
      <w:tr w:rsidR="003860B7" w:rsidRPr="003860B7" w14:paraId="1CED2D37" w14:textId="77777777" w:rsidTr="00F52D43">
        <w:trPr>
          <w:trHeight w:val="315"/>
        </w:trPr>
        <w:tc>
          <w:tcPr>
            <w:tcW w:w="1034" w:type="dxa"/>
            <w:shd w:val="clear" w:color="auto" w:fill="auto"/>
            <w:noWrap/>
            <w:vAlign w:val="bottom"/>
            <w:hideMark/>
          </w:tcPr>
          <w:p w14:paraId="4629BB1C"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639</w:t>
            </w:r>
          </w:p>
        </w:tc>
        <w:tc>
          <w:tcPr>
            <w:tcW w:w="1027" w:type="dxa"/>
            <w:shd w:val="clear" w:color="auto" w:fill="auto"/>
            <w:noWrap/>
            <w:vAlign w:val="bottom"/>
            <w:hideMark/>
          </w:tcPr>
          <w:p w14:paraId="49FBFC8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ΗΜ 18791</w:t>
            </w:r>
          </w:p>
        </w:tc>
        <w:tc>
          <w:tcPr>
            <w:tcW w:w="842" w:type="dxa"/>
            <w:shd w:val="clear" w:color="auto" w:fill="auto"/>
            <w:noWrap/>
            <w:vAlign w:val="bottom"/>
            <w:hideMark/>
          </w:tcPr>
          <w:p w14:paraId="6312F12C"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T376</w:t>
            </w:r>
          </w:p>
        </w:tc>
        <w:tc>
          <w:tcPr>
            <w:tcW w:w="1865" w:type="dxa"/>
            <w:shd w:val="clear" w:color="auto" w:fill="auto"/>
            <w:noWrap/>
            <w:vAlign w:val="bottom"/>
            <w:hideMark/>
          </w:tcPr>
          <w:p w14:paraId="68BB1F0A"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PHOINIKIA</w:t>
            </w:r>
          </w:p>
        </w:tc>
        <w:tc>
          <w:tcPr>
            <w:tcW w:w="844" w:type="dxa"/>
            <w:shd w:val="clear" w:color="auto" w:fill="auto"/>
            <w:noWrap/>
            <w:vAlign w:val="bottom"/>
            <w:hideMark/>
          </w:tcPr>
          <w:p w14:paraId="6DA2BEB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177B448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6F00C4FC"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0B91DE8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749</w:t>
            </w:r>
          </w:p>
        </w:tc>
        <w:tc>
          <w:tcPr>
            <w:tcW w:w="4865" w:type="dxa"/>
            <w:shd w:val="clear" w:color="auto" w:fill="auto"/>
            <w:noWrap/>
            <w:vAlign w:val="bottom"/>
            <w:hideMark/>
          </w:tcPr>
          <w:p w14:paraId="76119E27"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ADelt 75 1970:455 pl.397 a-c</w:t>
            </w:r>
          </w:p>
        </w:tc>
      </w:tr>
      <w:tr w:rsidR="003860B7" w:rsidRPr="003860B7" w14:paraId="0F6BC781" w14:textId="77777777" w:rsidTr="00F52D43">
        <w:trPr>
          <w:trHeight w:val="315"/>
        </w:trPr>
        <w:tc>
          <w:tcPr>
            <w:tcW w:w="1034" w:type="dxa"/>
            <w:shd w:val="clear" w:color="auto" w:fill="auto"/>
            <w:noWrap/>
            <w:vAlign w:val="bottom"/>
            <w:hideMark/>
          </w:tcPr>
          <w:p w14:paraId="51EC51F3"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640</w:t>
            </w:r>
          </w:p>
        </w:tc>
        <w:tc>
          <w:tcPr>
            <w:tcW w:w="1027" w:type="dxa"/>
            <w:shd w:val="clear" w:color="auto" w:fill="auto"/>
            <w:noWrap/>
            <w:vAlign w:val="bottom"/>
            <w:hideMark/>
          </w:tcPr>
          <w:p w14:paraId="7210AF3E"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051FC0C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T376</w:t>
            </w:r>
          </w:p>
        </w:tc>
        <w:tc>
          <w:tcPr>
            <w:tcW w:w="1865" w:type="dxa"/>
            <w:shd w:val="clear" w:color="auto" w:fill="auto"/>
            <w:noWrap/>
            <w:vAlign w:val="bottom"/>
            <w:hideMark/>
          </w:tcPr>
          <w:p w14:paraId="2E346C3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PHOINIKIA</w:t>
            </w:r>
          </w:p>
        </w:tc>
        <w:tc>
          <w:tcPr>
            <w:tcW w:w="844" w:type="dxa"/>
            <w:shd w:val="clear" w:color="auto" w:fill="auto"/>
            <w:noWrap/>
            <w:vAlign w:val="bottom"/>
            <w:hideMark/>
          </w:tcPr>
          <w:p w14:paraId="2C292BFD"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42895BDB"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2A95BD5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4D8CC7AF"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749</w:t>
            </w:r>
          </w:p>
        </w:tc>
        <w:tc>
          <w:tcPr>
            <w:tcW w:w="4865" w:type="dxa"/>
            <w:shd w:val="clear" w:color="auto" w:fill="auto"/>
            <w:noWrap/>
            <w:vAlign w:val="bottom"/>
            <w:hideMark/>
          </w:tcPr>
          <w:p w14:paraId="2CD556B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ADelt 75 1970: 455 pl.397 a-c</w:t>
            </w:r>
          </w:p>
        </w:tc>
      </w:tr>
      <w:tr w:rsidR="003860B7" w:rsidRPr="003860B7" w14:paraId="7EFB3EFD" w14:textId="77777777" w:rsidTr="00F52D43">
        <w:trPr>
          <w:trHeight w:val="315"/>
        </w:trPr>
        <w:tc>
          <w:tcPr>
            <w:tcW w:w="1034" w:type="dxa"/>
            <w:shd w:val="clear" w:color="auto" w:fill="auto"/>
            <w:noWrap/>
            <w:vAlign w:val="bottom"/>
            <w:hideMark/>
          </w:tcPr>
          <w:p w14:paraId="34D1555D"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641</w:t>
            </w:r>
          </w:p>
        </w:tc>
        <w:tc>
          <w:tcPr>
            <w:tcW w:w="1027" w:type="dxa"/>
            <w:shd w:val="clear" w:color="auto" w:fill="auto"/>
            <w:noWrap/>
            <w:vAlign w:val="bottom"/>
            <w:hideMark/>
          </w:tcPr>
          <w:p w14:paraId="5DC49EC9"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5B0C623B"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T376</w:t>
            </w:r>
          </w:p>
        </w:tc>
        <w:tc>
          <w:tcPr>
            <w:tcW w:w="1865" w:type="dxa"/>
            <w:shd w:val="clear" w:color="auto" w:fill="auto"/>
            <w:noWrap/>
            <w:vAlign w:val="bottom"/>
            <w:hideMark/>
          </w:tcPr>
          <w:p w14:paraId="052149C7"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PHOINIKIA</w:t>
            </w:r>
          </w:p>
        </w:tc>
        <w:tc>
          <w:tcPr>
            <w:tcW w:w="844" w:type="dxa"/>
            <w:shd w:val="clear" w:color="auto" w:fill="auto"/>
            <w:noWrap/>
            <w:vAlign w:val="bottom"/>
            <w:hideMark/>
          </w:tcPr>
          <w:p w14:paraId="691810B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5B450F0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035E1FEB"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4CFB197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749</w:t>
            </w:r>
          </w:p>
        </w:tc>
        <w:tc>
          <w:tcPr>
            <w:tcW w:w="4865" w:type="dxa"/>
            <w:shd w:val="clear" w:color="auto" w:fill="auto"/>
            <w:noWrap/>
            <w:vAlign w:val="bottom"/>
            <w:hideMark/>
          </w:tcPr>
          <w:p w14:paraId="580CD2A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ADelt 75 1970: 455 pl.397 a-c</w:t>
            </w:r>
          </w:p>
        </w:tc>
      </w:tr>
      <w:tr w:rsidR="003860B7" w:rsidRPr="003860B7" w14:paraId="49C21DCC" w14:textId="77777777" w:rsidTr="00F52D43">
        <w:trPr>
          <w:trHeight w:val="315"/>
        </w:trPr>
        <w:tc>
          <w:tcPr>
            <w:tcW w:w="1034" w:type="dxa"/>
            <w:shd w:val="clear" w:color="auto" w:fill="auto"/>
            <w:noWrap/>
            <w:vAlign w:val="bottom"/>
            <w:hideMark/>
          </w:tcPr>
          <w:p w14:paraId="07AC71B1"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746</w:t>
            </w:r>
          </w:p>
        </w:tc>
        <w:tc>
          <w:tcPr>
            <w:tcW w:w="1027" w:type="dxa"/>
            <w:shd w:val="clear" w:color="auto" w:fill="auto"/>
            <w:noWrap/>
            <w:vAlign w:val="bottom"/>
            <w:hideMark/>
          </w:tcPr>
          <w:p w14:paraId="7D92377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18859</w:t>
            </w:r>
          </w:p>
        </w:tc>
        <w:tc>
          <w:tcPr>
            <w:tcW w:w="842" w:type="dxa"/>
            <w:shd w:val="clear" w:color="auto" w:fill="auto"/>
            <w:noWrap/>
            <w:vAlign w:val="bottom"/>
            <w:hideMark/>
          </w:tcPr>
          <w:p w14:paraId="6D67AC58"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T329</w:t>
            </w:r>
          </w:p>
        </w:tc>
        <w:tc>
          <w:tcPr>
            <w:tcW w:w="1865" w:type="dxa"/>
            <w:shd w:val="clear" w:color="auto" w:fill="auto"/>
            <w:noWrap/>
            <w:vAlign w:val="bottom"/>
            <w:hideMark/>
          </w:tcPr>
          <w:p w14:paraId="3D4BA893"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PREVELIANA</w:t>
            </w:r>
          </w:p>
        </w:tc>
        <w:tc>
          <w:tcPr>
            <w:tcW w:w="844" w:type="dxa"/>
            <w:shd w:val="clear" w:color="auto" w:fill="auto"/>
            <w:noWrap/>
            <w:vAlign w:val="bottom"/>
            <w:hideMark/>
          </w:tcPr>
          <w:p w14:paraId="1A8EEBF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77FE3C8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6F65589D"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1E05813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753</w:t>
            </w:r>
          </w:p>
        </w:tc>
        <w:tc>
          <w:tcPr>
            <w:tcW w:w="4865" w:type="dxa"/>
            <w:shd w:val="clear" w:color="auto" w:fill="auto"/>
            <w:noWrap/>
            <w:vAlign w:val="bottom"/>
            <w:hideMark/>
          </w:tcPr>
          <w:p w14:paraId="5439D58B"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Alexiou 1970: 253, pl.354; ADelt 1971: 492; Kanta 1980: 86; Merousis 2000: 179; Spiliotopoulou 2010: 76.</w:t>
            </w:r>
          </w:p>
        </w:tc>
      </w:tr>
      <w:tr w:rsidR="003860B7" w:rsidRPr="003860B7" w14:paraId="5CA59A91" w14:textId="77777777" w:rsidTr="00F52D43">
        <w:trPr>
          <w:trHeight w:val="315"/>
        </w:trPr>
        <w:tc>
          <w:tcPr>
            <w:tcW w:w="1034" w:type="dxa"/>
            <w:shd w:val="clear" w:color="auto" w:fill="auto"/>
            <w:noWrap/>
            <w:vAlign w:val="bottom"/>
            <w:hideMark/>
          </w:tcPr>
          <w:p w14:paraId="36FDEEF4"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747</w:t>
            </w:r>
          </w:p>
        </w:tc>
        <w:tc>
          <w:tcPr>
            <w:tcW w:w="1027" w:type="dxa"/>
            <w:shd w:val="clear" w:color="auto" w:fill="auto"/>
            <w:noWrap/>
            <w:vAlign w:val="bottom"/>
            <w:hideMark/>
          </w:tcPr>
          <w:p w14:paraId="46C4EA4C"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0B5D2F6B"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T329</w:t>
            </w:r>
          </w:p>
        </w:tc>
        <w:tc>
          <w:tcPr>
            <w:tcW w:w="1865" w:type="dxa"/>
            <w:shd w:val="clear" w:color="auto" w:fill="auto"/>
            <w:noWrap/>
            <w:vAlign w:val="bottom"/>
            <w:hideMark/>
          </w:tcPr>
          <w:p w14:paraId="10F0CC21"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PREVELIANA</w:t>
            </w:r>
          </w:p>
        </w:tc>
        <w:tc>
          <w:tcPr>
            <w:tcW w:w="844" w:type="dxa"/>
            <w:shd w:val="clear" w:color="auto" w:fill="auto"/>
            <w:noWrap/>
            <w:vAlign w:val="bottom"/>
            <w:hideMark/>
          </w:tcPr>
          <w:p w14:paraId="00D3C09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568F4574"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5168579F"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2AF643F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753</w:t>
            </w:r>
          </w:p>
        </w:tc>
        <w:tc>
          <w:tcPr>
            <w:tcW w:w="4865" w:type="dxa"/>
            <w:shd w:val="clear" w:color="auto" w:fill="auto"/>
            <w:noWrap/>
            <w:vAlign w:val="bottom"/>
            <w:hideMark/>
          </w:tcPr>
          <w:p w14:paraId="4499D5A3"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Alexiou 1970: 253, pl.354; ADelt 1971: 492; Kanta 1980: 86; Merousis 2000: 179; Spiliotopoulou 2010: 76.</w:t>
            </w:r>
          </w:p>
        </w:tc>
      </w:tr>
      <w:tr w:rsidR="003860B7" w:rsidRPr="003860B7" w14:paraId="554FED9F" w14:textId="77777777" w:rsidTr="00F52D43">
        <w:trPr>
          <w:trHeight w:val="315"/>
        </w:trPr>
        <w:tc>
          <w:tcPr>
            <w:tcW w:w="1034" w:type="dxa"/>
            <w:shd w:val="clear" w:color="auto" w:fill="auto"/>
            <w:noWrap/>
            <w:vAlign w:val="bottom"/>
            <w:hideMark/>
          </w:tcPr>
          <w:p w14:paraId="58278A09"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751</w:t>
            </w:r>
          </w:p>
        </w:tc>
        <w:tc>
          <w:tcPr>
            <w:tcW w:w="1027" w:type="dxa"/>
            <w:shd w:val="clear" w:color="auto" w:fill="auto"/>
            <w:noWrap/>
            <w:vAlign w:val="bottom"/>
            <w:hideMark/>
          </w:tcPr>
          <w:p w14:paraId="7FE7618B"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6A960F60"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T332</w:t>
            </w:r>
          </w:p>
        </w:tc>
        <w:tc>
          <w:tcPr>
            <w:tcW w:w="1865" w:type="dxa"/>
            <w:shd w:val="clear" w:color="auto" w:fill="auto"/>
            <w:noWrap/>
            <w:vAlign w:val="bottom"/>
            <w:hideMark/>
          </w:tcPr>
          <w:p w14:paraId="19D8B5B6"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SKOTEINO</w:t>
            </w:r>
          </w:p>
        </w:tc>
        <w:tc>
          <w:tcPr>
            <w:tcW w:w="844" w:type="dxa"/>
            <w:shd w:val="clear" w:color="auto" w:fill="auto"/>
            <w:noWrap/>
            <w:vAlign w:val="bottom"/>
            <w:hideMark/>
          </w:tcPr>
          <w:p w14:paraId="29BFC6CF"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67" w:type="dxa"/>
            <w:shd w:val="clear" w:color="auto" w:fill="auto"/>
            <w:noWrap/>
            <w:vAlign w:val="bottom"/>
            <w:hideMark/>
          </w:tcPr>
          <w:p w14:paraId="3D3AB5D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105DB26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47" w:type="dxa"/>
            <w:shd w:val="clear" w:color="auto" w:fill="auto"/>
            <w:noWrap/>
            <w:vAlign w:val="bottom"/>
            <w:hideMark/>
          </w:tcPr>
          <w:p w14:paraId="7591B19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 xml:space="preserve"> -</w:t>
            </w:r>
          </w:p>
        </w:tc>
        <w:tc>
          <w:tcPr>
            <w:tcW w:w="4865" w:type="dxa"/>
            <w:shd w:val="clear" w:color="auto" w:fill="auto"/>
            <w:noWrap/>
            <w:vAlign w:val="bottom"/>
            <w:hideMark/>
          </w:tcPr>
          <w:p w14:paraId="7157EDE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Kanta 1980: 68, fig. 31.3; Merousis 2000: 181; Spiliotopoulou 2010: 107</w:t>
            </w:r>
          </w:p>
        </w:tc>
      </w:tr>
      <w:tr w:rsidR="003860B7" w:rsidRPr="003860B7" w14:paraId="2C992D37" w14:textId="77777777" w:rsidTr="00F52D43">
        <w:trPr>
          <w:trHeight w:val="315"/>
        </w:trPr>
        <w:tc>
          <w:tcPr>
            <w:tcW w:w="1034" w:type="dxa"/>
            <w:shd w:val="clear" w:color="auto" w:fill="auto"/>
            <w:noWrap/>
            <w:vAlign w:val="bottom"/>
            <w:hideMark/>
          </w:tcPr>
          <w:p w14:paraId="765BDA14"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613</w:t>
            </w:r>
          </w:p>
        </w:tc>
        <w:tc>
          <w:tcPr>
            <w:tcW w:w="1027" w:type="dxa"/>
            <w:shd w:val="clear" w:color="auto" w:fill="auto"/>
            <w:noWrap/>
            <w:vAlign w:val="bottom"/>
            <w:hideMark/>
          </w:tcPr>
          <w:p w14:paraId="3CCA31FE"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33ECB983"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T283</w:t>
            </w:r>
          </w:p>
        </w:tc>
        <w:tc>
          <w:tcPr>
            <w:tcW w:w="1865" w:type="dxa"/>
            <w:shd w:val="clear" w:color="auto" w:fill="auto"/>
            <w:noWrap/>
            <w:vAlign w:val="bottom"/>
            <w:hideMark/>
          </w:tcPr>
          <w:p w14:paraId="1B95A11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STAVRAKIA</w:t>
            </w:r>
          </w:p>
        </w:tc>
        <w:tc>
          <w:tcPr>
            <w:tcW w:w="844" w:type="dxa"/>
            <w:shd w:val="clear" w:color="auto" w:fill="auto"/>
            <w:noWrap/>
            <w:vAlign w:val="bottom"/>
            <w:hideMark/>
          </w:tcPr>
          <w:p w14:paraId="5650F82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7B4C7DA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407D642F"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257923EF"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772</w:t>
            </w:r>
          </w:p>
        </w:tc>
        <w:tc>
          <w:tcPr>
            <w:tcW w:w="4865" w:type="dxa"/>
            <w:shd w:val="clear" w:color="auto" w:fill="auto"/>
            <w:noWrap/>
            <w:vAlign w:val="bottom"/>
            <w:hideMark/>
          </w:tcPr>
          <w:p w14:paraId="33645EE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AD 18 1963: 312; KChr 17 1963: 398; AR 1964-5: 28; AA 1971: 337; Pini 1968: 92; Kanta 1980:16; Merousis 2000: 182; Spiliotopoulou 2010: 81-82</w:t>
            </w:r>
          </w:p>
        </w:tc>
      </w:tr>
      <w:tr w:rsidR="003860B7" w:rsidRPr="003860B7" w14:paraId="1AB63118" w14:textId="77777777" w:rsidTr="00F52D43">
        <w:trPr>
          <w:trHeight w:val="315"/>
        </w:trPr>
        <w:tc>
          <w:tcPr>
            <w:tcW w:w="1034" w:type="dxa"/>
            <w:shd w:val="clear" w:color="auto" w:fill="auto"/>
            <w:noWrap/>
            <w:vAlign w:val="bottom"/>
            <w:hideMark/>
          </w:tcPr>
          <w:p w14:paraId="0B686F66"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614</w:t>
            </w:r>
          </w:p>
        </w:tc>
        <w:tc>
          <w:tcPr>
            <w:tcW w:w="1027" w:type="dxa"/>
            <w:shd w:val="clear" w:color="auto" w:fill="auto"/>
            <w:noWrap/>
            <w:vAlign w:val="bottom"/>
            <w:hideMark/>
          </w:tcPr>
          <w:p w14:paraId="40865C6B"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7D944FD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T283</w:t>
            </w:r>
          </w:p>
        </w:tc>
        <w:tc>
          <w:tcPr>
            <w:tcW w:w="1865" w:type="dxa"/>
            <w:shd w:val="clear" w:color="auto" w:fill="auto"/>
            <w:noWrap/>
            <w:vAlign w:val="bottom"/>
            <w:hideMark/>
          </w:tcPr>
          <w:p w14:paraId="3DC78BD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STAVRAKIA</w:t>
            </w:r>
          </w:p>
        </w:tc>
        <w:tc>
          <w:tcPr>
            <w:tcW w:w="844" w:type="dxa"/>
            <w:shd w:val="clear" w:color="auto" w:fill="auto"/>
            <w:noWrap/>
            <w:vAlign w:val="bottom"/>
            <w:hideMark/>
          </w:tcPr>
          <w:p w14:paraId="2B4CEC3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410E881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6586D3B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0074B74D"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772</w:t>
            </w:r>
          </w:p>
        </w:tc>
        <w:tc>
          <w:tcPr>
            <w:tcW w:w="4865" w:type="dxa"/>
            <w:shd w:val="clear" w:color="auto" w:fill="auto"/>
            <w:noWrap/>
            <w:vAlign w:val="bottom"/>
            <w:hideMark/>
          </w:tcPr>
          <w:p w14:paraId="18A8B1B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AD 18 1963: 312; KChr 17 1963: 398; AR 1964-5: 28; AA 1971: 337; Pini 1968: 92; Kanta 1980:16; Merousis 2000: 182; Spiliotopoulou 2008: 81-82</w:t>
            </w:r>
          </w:p>
        </w:tc>
      </w:tr>
      <w:tr w:rsidR="003860B7" w:rsidRPr="003860B7" w14:paraId="1FE22B12" w14:textId="77777777" w:rsidTr="00F52D43">
        <w:trPr>
          <w:trHeight w:val="315"/>
        </w:trPr>
        <w:tc>
          <w:tcPr>
            <w:tcW w:w="1034" w:type="dxa"/>
            <w:shd w:val="clear" w:color="auto" w:fill="auto"/>
            <w:noWrap/>
            <w:vAlign w:val="bottom"/>
            <w:hideMark/>
          </w:tcPr>
          <w:p w14:paraId="5A861782"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616</w:t>
            </w:r>
          </w:p>
        </w:tc>
        <w:tc>
          <w:tcPr>
            <w:tcW w:w="1027" w:type="dxa"/>
            <w:shd w:val="clear" w:color="auto" w:fill="auto"/>
            <w:noWrap/>
            <w:vAlign w:val="bottom"/>
            <w:hideMark/>
          </w:tcPr>
          <w:p w14:paraId="6540B7B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7405</w:t>
            </w:r>
          </w:p>
        </w:tc>
        <w:tc>
          <w:tcPr>
            <w:tcW w:w="842" w:type="dxa"/>
            <w:shd w:val="clear" w:color="auto" w:fill="auto"/>
            <w:noWrap/>
            <w:vAlign w:val="bottom"/>
            <w:hideMark/>
          </w:tcPr>
          <w:p w14:paraId="7ED5F08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T286</w:t>
            </w:r>
          </w:p>
        </w:tc>
        <w:tc>
          <w:tcPr>
            <w:tcW w:w="1865" w:type="dxa"/>
            <w:shd w:val="clear" w:color="auto" w:fill="auto"/>
            <w:noWrap/>
            <w:vAlign w:val="bottom"/>
            <w:hideMark/>
          </w:tcPr>
          <w:p w14:paraId="707A4D1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TYLISSOS</w:t>
            </w:r>
          </w:p>
        </w:tc>
        <w:tc>
          <w:tcPr>
            <w:tcW w:w="844" w:type="dxa"/>
            <w:shd w:val="clear" w:color="auto" w:fill="auto"/>
            <w:noWrap/>
            <w:vAlign w:val="bottom"/>
            <w:hideMark/>
          </w:tcPr>
          <w:p w14:paraId="1EEBDBD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595DD6BE"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000418BC"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3835926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775</w:t>
            </w:r>
          </w:p>
        </w:tc>
        <w:tc>
          <w:tcPr>
            <w:tcW w:w="4865" w:type="dxa"/>
            <w:shd w:val="clear" w:color="auto" w:fill="auto"/>
            <w:noWrap/>
            <w:vAlign w:val="bottom"/>
            <w:hideMark/>
          </w:tcPr>
          <w:p w14:paraId="7A3D61E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Hatzidakis 1921: 82-86; Kanta 1980: 10-11; Merousis 2000: 184-185; Spiliotopoulou 2008: 81</w:t>
            </w:r>
          </w:p>
        </w:tc>
      </w:tr>
      <w:tr w:rsidR="003860B7" w:rsidRPr="003860B7" w14:paraId="4168358F" w14:textId="77777777" w:rsidTr="00F52D43">
        <w:trPr>
          <w:trHeight w:val="315"/>
        </w:trPr>
        <w:tc>
          <w:tcPr>
            <w:tcW w:w="1034" w:type="dxa"/>
            <w:shd w:val="clear" w:color="auto" w:fill="auto"/>
            <w:noWrap/>
            <w:vAlign w:val="bottom"/>
            <w:hideMark/>
          </w:tcPr>
          <w:p w14:paraId="429B1C18"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617</w:t>
            </w:r>
          </w:p>
        </w:tc>
        <w:tc>
          <w:tcPr>
            <w:tcW w:w="1027" w:type="dxa"/>
            <w:shd w:val="clear" w:color="auto" w:fill="auto"/>
            <w:noWrap/>
            <w:vAlign w:val="bottom"/>
            <w:hideMark/>
          </w:tcPr>
          <w:p w14:paraId="5391944B"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7406</w:t>
            </w:r>
          </w:p>
        </w:tc>
        <w:tc>
          <w:tcPr>
            <w:tcW w:w="842" w:type="dxa"/>
            <w:shd w:val="clear" w:color="auto" w:fill="auto"/>
            <w:noWrap/>
            <w:vAlign w:val="bottom"/>
            <w:hideMark/>
          </w:tcPr>
          <w:p w14:paraId="12F2D757"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T286</w:t>
            </w:r>
          </w:p>
        </w:tc>
        <w:tc>
          <w:tcPr>
            <w:tcW w:w="1865" w:type="dxa"/>
            <w:shd w:val="clear" w:color="auto" w:fill="auto"/>
            <w:noWrap/>
            <w:vAlign w:val="bottom"/>
            <w:hideMark/>
          </w:tcPr>
          <w:p w14:paraId="093BF32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TYLISSOS</w:t>
            </w:r>
          </w:p>
        </w:tc>
        <w:tc>
          <w:tcPr>
            <w:tcW w:w="844" w:type="dxa"/>
            <w:shd w:val="clear" w:color="auto" w:fill="auto"/>
            <w:noWrap/>
            <w:vAlign w:val="bottom"/>
            <w:hideMark/>
          </w:tcPr>
          <w:p w14:paraId="5BEB209D"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664F08E4"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0114F53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1C0FDF0D"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775</w:t>
            </w:r>
          </w:p>
        </w:tc>
        <w:tc>
          <w:tcPr>
            <w:tcW w:w="4865" w:type="dxa"/>
            <w:shd w:val="clear" w:color="auto" w:fill="auto"/>
            <w:noWrap/>
            <w:vAlign w:val="bottom"/>
            <w:hideMark/>
          </w:tcPr>
          <w:p w14:paraId="27ECC5AD"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Hatzidakis 1921: 82-86; Kanta 1980: 10-11; Merousis 2000: 184-185; Spiliotopoulou 2008: 81</w:t>
            </w:r>
          </w:p>
        </w:tc>
      </w:tr>
      <w:tr w:rsidR="003860B7" w:rsidRPr="003860B7" w14:paraId="687CE6A0" w14:textId="77777777" w:rsidTr="00F52D43">
        <w:trPr>
          <w:trHeight w:val="315"/>
        </w:trPr>
        <w:tc>
          <w:tcPr>
            <w:tcW w:w="1034" w:type="dxa"/>
            <w:shd w:val="clear" w:color="auto" w:fill="auto"/>
            <w:noWrap/>
            <w:vAlign w:val="bottom"/>
            <w:hideMark/>
          </w:tcPr>
          <w:p w14:paraId="55DB7784"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618</w:t>
            </w:r>
          </w:p>
        </w:tc>
        <w:tc>
          <w:tcPr>
            <w:tcW w:w="1027" w:type="dxa"/>
            <w:shd w:val="clear" w:color="auto" w:fill="auto"/>
            <w:noWrap/>
            <w:vAlign w:val="bottom"/>
            <w:hideMark/>
          </w:tcPr>
          <w:p w14:paraId="5F84ECE6"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7407</w:t>
            </w:r>
          </w:p>
        </w:tc>
        <w:tc>
          <w:tcPr>
            <w:tcW w:w="842" w:type="dxa"/>
            <w:shd w:val="clear" w:color="auto" w:fill="auto"/>
            <w:noWrap/>
            <w:vAlign w:val="bottom"/>
            <w:hideMark/>
          </w:tcPr>
          <w:p w14:paraId="09812D9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T286</w:t>
            </w:r>
          </w:p>
        </w:tc>
        <w:tc>
          <w:tcPr>
            <w:tcW w:w="1865" w:type="dxa"/>
            <w:shd w:val="clear" w:color="auto" w:fill="auto"/>
            <w:noWrap/>
            <w:vAlign w:val="bottom"/>
            <w:hideMark/>
          </w:tcPr>
          <w:p w14:paraId="3BBFB5C1"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TYLISSOS</w:t>
            </w:r>
          </w:p>
        </w:tc>
        <w:tc>
          <w:tcPr>
            <w:tcW w:w="844" w:type="dxa"/>
            <w:shd w:val="clear" w:color="auto" w:fill="auto"/>
            <w:noWrap/>
            <w:vAlign w:val="bottom"/>
            <w:hideMark/>
          </w:tcPr>
          <w:p w14:paraId="44AC7F2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28971DC4"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485DA1D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4B15E94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775</w:t>
            </w:r>
          </w:p>
        </w:tc>
        <w:tc>
          <w:tcPr>
            <w:tcW w:w="4865" w:type="dxa"/>
            <w:shd w:val="clear" w:color="auto" w:fill="auto"/>
            <w:noWrap/>
            <w:vAlign w:val="bottom"/>
            <w:hideMark/>
          </w:tcPr>
          <w:p w14:paraId="22A32987"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Hatzidakis 1921: 82-86; Kanta 1980: 10-11; Merousis 2000: 184-185; Spiliotopoulou 2010: 81</w:t>
            </w:r>
          </w:p>
        </w:tc>
      </w:tr>
      <w:tr w:rsidR="003860B7" w:rsidRPr="003860B7" w14:paraId="74A81B86" w14:textId="77777777" w:rsidTr="00F52D43">
        <w:trPr>
          <w:trHeight w:val="315"/>
        </w:trPr>
        <w:tc>
          <w:tcPr>
            <w:tcW w:w="1034" w:type="dxa"/>
            <w:shd w:val="clear" w:color="auto" w:fill="auto"/>
            <w:noWrap/>
            <w:vAlign w:val="bottom"/>
            <w:hideMark/>
          </w:tcPr>
          <w:p w14:paraId="1AA86603"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749</w:t>
            </w:r>
          </w:p>
        </w:tc>
        <w:tc>
          <w:tcPr>
            <w:tcW w:w="1027" w:type="dxa"/>
            <w:shd w:val="clear" w:color="auto" w:fill="auto"/>
            <w:noWrap/>
            <w:vAlign w:val="bottom"/>
            <w:hideMark/>
          </w:tcPr>
          <w:p w14:paraId="495E4B6B"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418028E7"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T330</w:t>
            </w:r>
          </w:p>
        </w:tc>
        <w:tc>
          <w:tcPr>
            <w:tcW w:w="1865" w:type="dxa"/>
            <w:shd w:val="clear" w:color="auto" w:fill="auto"/>
            <w:noWrap/>
            <w:vAlign w:val="bottom"/>
            <w:hideMark/>
          </w:tcPr>
          <w:p w14:paraId="6CAE085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TZIGOUNOUNAS</w:t>
            </w:r>
          </w:p>
        </w:tc>
        <w:tc>
          <w:tcPr>
            <w:tcW w:w="844" w:type="dxa"/>
            <w:shd w:val="clear" w:color="auto" w:fill="auto"/>
            <w:noWrap/>
            <w:vAlign w:val="bottom"/>
            <w:hideMark/>
          </w:tcPr>
          <w:p w14:paraId="6B84184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67" w:type="dxa"/>
            <w:shd w:val="clear" w:color="auto" w:fill="auto"/>
            <w:noWrap/>
            <w:vAlign w:val="bottom"/>
            <w:hideMark/>
          </w:tcPr>
          <w:p w14:paraId="45A427B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4593B1A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4E13334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779</w:t>
            </w:r>
          </w:p>
        </w:tc>
        <w:tc>
          <w:tcPr>
            <w:tcW w:w="4865" w:type="dxa"/>
            <w:shd w:val="clear" w:color="auto" w:fill="auto"/>
            <w:noWrap/>
            <w:vAlign w:val="bottom"/>
            <w:hideMark/>
          </w:tcPr>
          <w:p w14:paraId="51A2FBF1"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KChr 1953: 491; KChr 1954: 515; Kanta 1980: 69-70, fig. 143:16; Watrous 1991: pl.85a; Merousis 2000: 190; Spiliotopoulou 2008: 107-108</w:t>
            </w:r>
          </w:p>
        </w:tc>
      </w:tr>
      <w:tr w:rsidR="003860B7" w:rsidRPr="003860B7" w14:paraId="48C31EAF" w14:textId="77777777" w:rsidTr="00F52D43">
        <w:trPr>
          <w:trHeight w:val="315"/>
        </w:trPr>
        <w:tc>
          <w:tcPr>
            <w:tcW w:w="1034" w:type="dxa"/>
            <w:shd w:val="clear" w:color="auto" w:fill="auto"/>
            <w:noWrap/>
            <w:vAlign w:val="bottom"/>
            <w:hideMark/>
          </w:tcPr>
          <w:p w14:paraId="7034CEC0"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615</w:t>
            </w:r>
          </w:p>
        </w:tc>
        <w:tc>
          <w:tcPr>
            <w:tcW w:w="1027" w:type="dxa"/>
            <w:shd w:val="clear" w:color="auto" w:fill="auto"/>
            <w:noWrap/>
            <w:vAlign w:val="bottom"/>
            <w:hideMark/>
          </w:tcPr>
          <w:p w14:paraId="34EC8B52"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71A98E18"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T284</w:t>
            </w:r>
          </w:p>
        </w:tc>
        <w:tc>
          <w:tcPr>
            <w:tcW w:w="1865" w:type="dxa"/>
            <w:shd w:val="clear" w:color="auto" w:fill="auto"/>
            <w:noWrap/>
            <w:vAlign w:val="bottom"/>
            <w:hideMark/>
          </w:tcPr>
          <w:p w14:paraId="10BD2F9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TZORMPATZANA</w:t>
            </w:r>
          </w:p>
        </w:tc>
        <w:tc>
          <w:tcPr>
            <w:tcW w:w="844" w:type="dxa"/>
            <w:shd w:val="clear" w:color="auto" w:fill="auto"/>
            <w:noWrap/>
            <w:vAlign w:val="bottom"/>
            <w:hideMark/>
          </w:tcPr>
          <w:p w14:paraId="44D7C43E"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24905930"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50BA580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17D023B2"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 xml:space="preserve"> -</w:t>
            </w:r>
          </w:p>
        </w:tc>
        <w:tc>
          <w:tcPr>
            <w:tcW w:w="4865" w:type="dxa"/>
            <w:shd w:val="clear" w:color="auto" w:fill="auto"/>
            <w:noWrap/>
            <w:vAlign w:val="bottom"/>
            <w:hideMark/>
          </w:tcPr>
          <w:p w14:paraId="26F60FA6"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KChr 2 1948: 526; Kanta 1980:23</w:t>
            </w:r>
          </w:p>
        </w:tc>
      </w:tr>
      <w:tr w:rsidR="003860B7" w:rsidRPr="003860B7" w14:paraId="3B368B55" w14:textId="77777777" w:rsidTr="00F52D43">
        <w:trPr>
          <w:trHeight w:val="315"/>
        </w:trPr>
        <w:tc>
          <w:tcPr>
            <w:tcW w:w="1034" w:type="dxa"/>
            <w:shd w:val="clear" w:color="auto" w:fill="auto"/>
            <w:noWrap/>
            <w:vAlign w:val="bottom"/>
            <w:hideMark/>
          </w:tcPr>
          <w:p w14:paraId="007CEF1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p>
        </w:tc>
        <w:tc>
          <w:tcPr>
            <w:tcW w:w="1027" w:type="dxa"/>
            <w:shd w:val="clear" w:color="auto" w:fill="auto"/>
            <w:noWrap/>
            <w:vAlign w:val="bottom"/>
            <w:hideMark/>
          </w:tcPr>
          <w:p w14:paraId="53EC7B07" w14:textId="77777777" w:rsidR="003860B7" w:rsidRPr="003860B7" w:rsidRDefault="003860B7" w:rsidP="003860B7">
            <w:pPr>
              <w:widowControl/>
              <w:spacing w:line="240" w:lineRule="auto"/>
              <w:contextualSpacing w:val="0"/>
              <w:jc w:val="left"/>
              <w:rPr>
                <w:rFonts w:eastAsia="Times New Roman"/>
                <w:sz w:val="20"/>
                <w:szCs w:val="20"/>
                <w:lang w:eastAsia="en-GB"/>
              </w:rPr>
            </w:pPr>
          </w:p>
        </w:tc>
        <w:tc>
          <w:tcPr>
            <w:tcW w:w="842" w:type="dxa"/>
            <w:shd w:val="clear" w:color="auto" w:fill="auto"/>
            <w:noWrap/>
            <w:vAlign w:val="bottom"/>
            <w:hideMark/>
          </w:tcPr>
          <w:p w14:paraId="32388E31" w14:textId="77777777" w:rsidR="003860B7" w:rsidRPr="003860B7" w:rsidRDefault="003860B7" w:rsidP="003860B7">
            <w:pPr>
              <w:widowControl/>
              <w:spacing w:line="240" w:lineRule="auto"/>
              <w:contextualSpacing w:val="0"/>
              <w:jc w:val="left"/>
              <w:rPr>
                <w:rFonts w:eastAsia="Times New Roman"/>
                <w:sz w:val="20"/>
                <w:szCs w:val="20"/>
                <w:lang w:eastAsia="en-GB"/>
              </w:rPr>
            </w:pPr>
          </w:p>
        </w:tc>
        <w:tc>
          <w:tcPr>
            <w:tcW w:w="1865" w:type="dxa"/>
            <w:shd w:val="clear" w:color="auto" w:fill="auto"/>
            <w:noWrap/>
            <w:vAlign w:val="bottom"/>
            <w:hideMark/>
          </w:tcPr>
          <w:p w14:paraId="3EB3BA27" w14:textId="77777777" w:rsidR="003860B7" w:rsidRPr="003860B7" w:rsidRDefault="003860B7" w:rsidP="003860B7">
            <w:pPr>
              <w:widowControl/>
              <w:spacing w:line="240" w:lineRule="auto"/>
              <w:contextualSpacing w:val="0"/>
              <w:jc w:val="left"/>
              <w:rPr>
                <w:rFonts w:eastAsia="Times New Roman"/>
                <w:sz w:val="20"/>
                <w:szCs w:val="20"/>
                <w:lang w:eastAsia="en-GB"/>
              </w:rPr>
            </w:pPr>
          </w:p>
        </w:tc>
        <w:tc>
          <w:tcPr>
            <w:tcW w:w="844" w:type="dxa"/>
            <w:shd w:val="clear" w:color="auto" w:fill="auto"/>
            <w:noWrap/>
            <w:vAlign w:val="bottom"/>
            <w:hideMark/>
          </w:tcPr>
          <w:p w14:paraId="0FF94788" w14:textId="77777777" w:rsidR="003860B7" w:rsidRPr="003860B7" w:rsidRDefault="003860B7" w:rsidP="003860B7">
            <w:pPr>
              <w:widowControl/>
              <w:spacing w:line="240" w:lineRule="auto"/>
              <w:contextualSpacing w:val="0"/>
              <w:jc w:val="left"/>
              <w:rPr>
                <w:rFonts w:eastAsia="Times New Roman"/>
                <w:sz w:val="20"/>
                <w:szCs w:val="20"/>
                <w:lang w:eastAsia="en-GB"/>
              </w:rPr>
            </w:pPr>
          </w:p>
        </w:tc>
        <w:tc>
          <w:tcPr>
            <w:tcW w:w="767" w:type="dxa"/>
            <w:shd w:val="clear" w:color="auto" w:fill="auto"/>
            <w:noWrap/>
            <w:vAlign w:val="bottom"/>
            <w:hideMark/>
          </w:tcPr>
          <w:p w14:paraId="6939EC51" w14:textId="77777777" w:rsidR="003860B7" w:rsidRPr="003860B7" w:rsidRDefault="003860B7" w:rsidP="003860B7">
            <w:pPr>
              <w:widowControl/>
              <w:spacing w:line="240" w:lineRule="auto"/>
              <w:contextualSpacing w:val="0"/>
              <w:jc w:val="left"/>
              <w:rPr>
                <w:rFonts w:eastAsia="Times New Roman"/>
                <w:sz w:val="20"/>
                <w:szCs w:val="20"/>
                <w:lang w:eastAsia="en-GB"/>
              </w:rPr>
            </w:pPr>
          </w:p>
        </w:tc>
        <w:tc>
          <w:tcPr>
            <w:tcW w:w="1477" w:type="dxa"/>
            <w:shd w:val="clear" w:color="auto" w:fill="auto"/>
            <w:noWrap/>
            <w:vAlign w:val="bottom"/>
            <w:hideMark/>
          </w:tcPr>
          <w:p w14:paraId="6E2BDD4E" w14:textId="77777777" w:rsidR="003860B7" w:rsidRPr="003860B7" w:rsidRDefault="003860B7" w:rsidP="003860B7">
            <w:pPr>
              <w:widowControl/>
              <w:spacing w:line="240" w:lineRule="auto"/>
              <w:contextualSpacing w:val="0"/>
              <w:jc w:val="left"/>
              <w:rPr>
                <w:rFonts w:eastAsia="Times New Roman"/>
                <w:sz w:val="20"/>
                <w:szCs w:val="20"/>
                <w:lang w:eastAsia="en-GB"/>
              </w:rPr>
            </w:pPr>
          </w:p>
        </w:tc>
        <w:tc>
          <w:tcPr>
            <w:tcW w:w="747" w:type="dxa"/>
            <w:shd w:val="clear" w:color="auto" w:fill="auto"/>
            <w:noWrap/>
            <w:vAlign w:val="bottom"/>
            <w:hideMark/>
          </w:tcPr>
          <w:p w14:paraId="23D5D92C" w14:textId="77777777" w:rsidR="003860B7" w:rsidRPr="003860B7" w:rsidRDefault="003860B7" w:rsidP="003860B7">
            <w:pPr>
              <w:widowControl/>
              <w:spacing w:line="240" w:lineRule="auto"/>
              <w:contextualSpacing w:val="0"/>
              <w:jc w:val="left"/>
              <w:rPr>
                <w:rFonts w:eastAsia="Times New Roman"/>
                <w:sz w:val="20"/>
                <w:szCs w:val="20"/>
                <w:lang w:eastAsia="en-GB"/>
              </w:rPr>
            </w:pPr>
          </w:p>
        </w:tc>
        <w:tc>
          <w:tcPr>
            <w:tcW w:w="4865" w:type="dxa"/>
            <w:shd w:val="clear" w:color="auto" w:fill="auto"/>
            <w:noWrap/>
            <w:vAlign w:val="bottom"/>
            <w:hideMark/>
          </w:tcPr>
          <w:p w14:paraId="5DF92CBF" w14:textId="77777777" w:rsidR="003860B7" w:rsidRPr="003860B7" w:rsidRDefault="003860B7" w:rsidP="003860B7">
            <w:pPr>
              <w:widowControl/>
              <w:spacing w:line="240" w:lineRule="auto"/>
              <w:contextualSpacing w:val="0"/>
              <w:jc w:val="left"/>
              <w:rPr>
                <w:rFonts w:eastAsia="Times New Roman"/>
                <w:sz w:val="20"/>
                <w:szCs w:val="20"/>
                <w:lang w:eastAsia="en-GB"/>
              </w:rPr>
            </w:pPr>
          </w:p>
        </w:tc>
      </w:tr>
      <w:tr w:rsidR="003860B7" w:rsidRPr="003860B7" w14:paraId="69A4F57B" w14:textId="77777777" w:rsidTr="00F52D43">
        <w:trPr>
          <w:trHeight w:val="315"/>
        </w:trPr>
        <w:tc>
          <w:tcPr>
            <w:tcW w:w="4768" w:type="dxa"/>
            <w:gridSpan w:val="4"/>
            <w:shd w:val="clear" w:color="auto" w:fill="auto"/>
            <w:noWrap/>
            <w:vAlign w:val="bottom"/>
            <w:hideMark/>
          </w:tcPr>
          <w:p w14:paraId="368BFD98" w14:textId="493F09B4" w:rsidR="003860B7" w:rsidRPr="003860B7" w:rsidRDefault="006D34C4" w:rsidP="003860B7">
            <w:pPr>
              <w:widowControl/>
              <w:spacing w:line="240" w:lineRule="auto"/>
              <w:contextualSpacing w:val="0"/>
              <w:jc w:val="left"/>
              <w:rPr>
                <w:rFonts w:ascii="Calibri" w:eastAsia="Times New Roman" w:hAnsi="Calibri" w:cs="Calibri"/>
                <w:b/>
                <w:bCs/>
                <w:color w:val="000000"/>
                <w:lang w:eastAsia="en-GB"/>
              </w:rPr>
            </w:pPr>
            <w:r>
              <w:rPr>
                <w:rFonts w:ascii="Calibri" w:eastAsia="Times New Roman" w:hAnsi="Calibri" w:cs="Calibri"/>
                <w:b/>
                <w:bCs/>
                <w:color w:val="000000"/>
                <w:lang w:eastAsia="en-GB"/>
              </w:rPr>
              <w:t xml:space="preserve">LARNAKES WITH </w:t>
            </w:r>
            <w:r w:rsidR="003860B7" w:rsidRPr="003860B7">
              <w:rPr>
                <w:rFonts w:ascii="Calibri" w:eastAsia="Times New Roman" w:hAnsi="Calibri" w:cs="Calibri"/>
                <w:b/>
                <w:bCs/>
                <w:color w:val="000000"/>
                <w:lang w:eastAsia="en-GB"/>
              </w:rPr>
              <w:t>INCISED DECORATION OR FROM POSSIBLE BURIAL LOCATION</w:t>
            </w:r>
            <w:r>
              <w:rPr>
                <w:rFonts w:ascii="Calibri" w:eastAsia="Times New Roman" w:hAnsi="Calibri" w:cs="Calibri"/>
                <w:b/>
                <w:bCs/>
                <w:color w:val="000000"/>
                <w:lang w:eastAsia="en-GB"/>
              </w:rPr>
              <w:t xml:space="preserve"> CENTRAL AREA</w:t>
            </w:r>
          </w:p>
        </w:tc>
        <w:tc>
          <w:tcPr>
            <w:tcW w:w="844" w:type="dxa"/>
            <w:shd w:val="clear" w:color="auto" w:fill="auto"/>
            <w:noWrap/>
            <w:vAlign w:val="bottom"/>
            <w:hideMark/>
          </w:tcPr>
          <w:p w14:paraId="338C6F29" w14:textId="77777777" w:rsidR="003860B7" w:rsidRPr="003860B7" w:rsidRDefault="003860B7" w:rsidP="003860B7">
            <w:pPr>
              <w:widowControl/>
              <w:spacing w:line="240" w:lineRule="auto"/>
              <w:contextualSpacing w:val="0"/>
              <w:jc w:val="left"/>
              <w:rPr>
                <w:rFonts w:ascii="Calibri" w:eastAsia="Times New Roman" w:hAnsi="Calibri" w:cs="Calibri"/>
                <w:b/>
                <w:bCs/>
                <w:color w:val="000000"/>
                <w:lang w:eastAsia="en-GB"/>
              </w:rPr>
            </w:pPr>
          </w:p>
        </w:tc>
        <w:tc>
          <w:tcPr>
            <w:tcW w:w="767" w:type="dxa"/>
            <w:shd w:val="clear" w:color="auto" w:fill="auto"/>
            <w:noWrap/>
            <w:vAlign w:val="bottom"/>
            <w:hideMark/>
          </w:tcPr>
          <w:p w14:paraId="2D91418D" w14:textId="77777777" w:rsidR="003860B7" w:rsidRPr="003860B7" w:rsidRDefault="003860B7" w:rsidP="003860B7">
            <w:pPr>
              <w:widowControl/>
              <w:spacing w:line="240" w:lineRule="auto"/>
              <w:contextualSpacing w:val="0"/>
              <w:jc w:val="left"/>
              <w:rPr>
                <w:rFonts w:eastAsia="Times New Roman"/>
                <w:sz w:val="20"/>
                <w:szCs w:val="20"/>
                <w:lang w:eastAsia="en-GB"/>
              </w:rPr>
            </w:pPr>
          </w:p>
        </w:tc>
        <w:tc>
          <w:tcPr>
            <w:tcW w:w="1477" w:type="dxa"/>
            <w:shd w:val="clear" w:color="auto" w:fill="auto"/>
            <w:noWrap/>
            <w:vAlign w:val="bottom"/>
            <w:hideMark/>
          </w:tcPr>
          <w:p w14:paraId="388C86E7" w14:textId="77777777" w:rsidR="003860B7" w:rsidRPr="003860B7" w:rsidRDefault="003860B7" w:rsidP="003860B7">
            <w:pPr>
              <w:widowControl/>
              <w:spacing w:line="240" w:lineRule="auto"/>
              <w:contextualSpacing w:val="0"/>
              <w:jc w:val="left"/>
              <w:rPr>
                <w:rFonts w:eastAsia="Times New Roman"/>
                <w:sz w:val="20"/>
                <w:szCs w:val="20"/>
                <w:lang w:eastAsia="en-GB"/>
              </w:rPr>
            </w:pPr>
          </w:p>
        </w:tc>
        <w:tc>
          <w:tcPr>
            <w:tcW w:w="747" w:type="dxa"/>
            <w:shd w:val="clear" w:color="auto" w:fill="auto"/>
            <w:noWrap/>
            <w:vAlign w:val="bottom"/>
            <w:hideMark/>
          </w:tcPr>
          <w:p w14:paraId="02202D1B" w14:textId="77777777" w:rsidR="003860B7" w:rsidRPr="003860B7" w:rsidRDefault="003860B7" w:rsidP="003860B7">
            <w:pPr>
              <w:widowControl/>
              <w:spacing w:line="240" w:lineRule="auto"/>
              <w:contextualSpacing w:val="0"/>
              <w:jc w:val="left"/>
              <w:rPr>
                <w:rFonts w:eastAsia="Times New Roman"/>
                <w:sz w:val="20"/>
                <w:szCs w:val="20"/>
                <w:lang w:eastAsia="en-GB"/>
              </w:rPr>
            </w:pPr>
          </w:p>
        </w:tc>
        <w:tc>
          <w:tcPr>
            <w:tcW w:w="4865" w:type="dxa"/>
            <w:shd w:val="clear" w:color="auto" w:fill="auto"/>
            <w:noWrap/>
            <w:vAlign w:val="bottom"/>
            <w:hideMark/>
          </w:tcPr>
          <w:p w14:paraId="276F087A" w14:textId="77777777" w:rsidR="003860B7" w:rsidRPr="003860B7" w:rsidRDefault="003860B7" w:rsidP="003860B7">
            <w:pPr>
              <w:widowControl/>
              <w:spacing w:line="240" w:lineRule="auto"/>
              <w:contextualSpacing w:val="0"/>
              <w:jc w:val="left"/>
              <w:rPr>
                <w:rFonts w:eastAsia="Times New Roman"/>
                <w:sz w:val="20"/>
                <w:szCs w:val="20"/>
                <w:lang w:eastAsia="en-GB"/>
              </w:rPr>
            </w:pPr>
          </w:p>
        </w:tc>
      </w:tr>
      <w:tr w:rsidR="003860B7" w:rsidRPr="003860B7" w14:paraId="6E8BA0E8" w14:textId="77777777" w:rsidTr="00F52D43">
        <w:trPr>
          <w:trHeight w:val="315"/>
        </w:trPr>
        <w:tc>
          <w:tcPr>
            <w:tcW w:w="1034" w:type="dxa"/>
            <w:shd w:val="clear" w:color="auto" w:fill="auto"/>
            <w:noWrap/>
            <w:vAlign w:val="bottom"/>
            <w:hideMark/>
          </w:tcPr>
          <w:p w14:paraId="786A5343"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763</w:t>
            </w:r>
          </w:p>
        </w:tc>
        <w:tc>
          <w:tcPr>
            <w:tcW w:w="1027" w:type="dxa"/>
            <w:shd w:val="clear" w:color="auto" w:fill="auto"/>
            <w:noWrap/>
            <w:vAlign w:val="bottom"/>
            <w:hideMark/>
          </w:tcPr>
          <w:p w14:paraId="22091A8B"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524BFADF" w14:textId="77777777" w:rsidR="003860B7" w:rsidRPr="003860B7" w:rsidRDefault="003860B7" w:rsidP="003860B7">
            <w:pPr>
              <w:widowControl/>
              <w:spacing w:line="240" w:lineRule="auto"/>
              <w:contextualSpacing w:val="0"/>
              <w:jc w:val="left"/>
              <w:rPr>
                <w:rFonts w:eastAsia="Times New Roman"/>
                <w:sz w:val="20"/>
                <w:szCs w:val="20"/>
                <w:lang w:eastAsia="en-GB"/>
              </w:rPr>
            </w:pPr>
          </w:p>
        </w:tc>
        <w:tc>
          <w:tcPr>
            <w:tcW w:w="1865" w:type="dxa"/>
            <w:shd w:val="clear" w:color="auto" w:fill="auto"/>
            <w:noWrap/>
            <w:vAlign w:val="bottom"/>
            <w:hideMark/>
          </w:tcPr>
          <w:p w14:paraId="47E4159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AMNISSOS KARTEROS MAPHEZE</w:t>
            </w:r>
          </w:p>
        </w:tc>
        <w:tc>
          <w:tcPr>
            <w:tcW w:w="844" w:type="dxa"/>
            <w:shd w:val="clear" w:color="auto" w:fill="auto"/>
            <w:noWrap/>
            <w:vAlign w:val="bottom"/>
            <w:hideMark/>
          </w:tcPr>
          <w:p w14:paraId="141C9D1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28C267E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4518AA6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5E4E5F6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470</w:t>
            </w:r>
          </w:p>
        </w:tc>
        <w:tc>
          <w:tcPr>
            <w:tcW w:w="4865" w:type="dxa"/>
            <w:shd w:val="clear" w:color="auto" w:fill="auto"/>
            <w:noWrap/>
            <w:vAlign w:val="bottom"/>
            <w:hideMark/>
          </w:tcPr>
          <w:p w14:paraId="7FAEC36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Marinatos 1927-28: 68-90 pl. 2; Kanta 1980: 39-40; Langohr 2009: 60-61</w:t>
            </w:r>
          </w:p>
        </w:tc>
      </w:tr>
      <w:tr w:rsidR="003860B7" w:rsidRPr="003860B7" w14:paraId="781F3BFC" w14:textId="77777777" w:rsidTr="00F52D43">
        <w:trPr>
          <w:trHeight w:val="315"/>
        </w:trPr>
        <w:tc>
          <w:tcPr>
            <w:tcW w:w="1034" w:type="dxa"/>
            <w:shd w:val="clear" w:color="auto" w:fill="auto"/>
            <w:noWrap/>
            <w:vAlign w:val="bottom"/>
            <w:hideMark/>
          </w:tcPr>
          <w:p w14:paraId="7DA8D798"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753</w:t>
            </w:r>
          </w:p>
        </w:tc>
        <w:tc>
          <w:tcPr>
            <w:tcW w:w="1027" w:type="dxa"/>
            <w:shd w:val="clear" w:color="auto" w:fill="auto"/>
            <w:noWrap/>
            <w:vAlign w:val="bottom"/>
            <w:hideMark/>
          </w:tcPr>
          <w:p w14:paraId="5163D109"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7D5738FB" w14:textId="77777777" w:rsidR="003860B7" w:rsidRPr="003860B7" w:rsidRDefault="003860B7" w:rsidP="003860B7">
            <w:pPr>
              <w:widowControl/>
              <w:spacing w:line="240" w:lineRule="auto"/>
              <w:contextualSpacing w:val="0"/>
              <w:jc w:val="left"/>
              <w:rPr>
                <w:rFonts w:eastAsia="Times New Roman"/>
                <w:sz w:val="20"/>
                <w:szCs w:val="20"/>
                <w:lang w:eastAsia="en-GB"/>
              </w:rPr>
            </w:pPr>
          </w:p>
        </w:tc>
        <w:tc>
          <w:tcPr>
            <w:tcW w:w="1865" w:type="dxa"/>
            <w:shd w:val="clear" w:color="auto" w:fill="auto"/>
            <w:noWrap/>
            <w:vAlign w:val="bottom"/>
            <w:hideMark/>
          </w:tcPr>
          <w:p w14:paraId="1631F8E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ARTSA</w:t>
            </w:r>
          </w:p>
        </w:tc>
        <w:tc>
          <w:tcPr>
            <w:tcW w:w="844" w:type="dxa"/>
            <w:shd w:val="clear" w:color="auto" w:fill="auto"/>
            <w:noWrap/>
            <w:vAlign w:val="bottom"/>
            <w:hideMark/>
          </w:tcPr>
          <w:p w14:paraId="1626C2B6"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68087F34"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2904EBD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3CD8A445"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404</w:t>
            </w:r>
          </w:p>
        </w:tc>
        <w:tc>
          <w:tcPr>
            <w:tcW w:w="4865" w:type="dxa"/>
            <w:shd w:val="clear" w:color="auto" w:fill="auto"/>
            <w:noWrap/>
            <w:vAlign w:val="bottom"/>
            <w:hideMark/>
          </w:tcPr>
          <w:p w14:paraId="5E22CCF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Xanthoudidis 1904: 1-21</w:t>
            </w:r>
          </w:p>
        </w:tc>
      </w:tr>
      <w:tr w:rsidR="003860B7" w:rsidRPr="003860B7" w14:paraId="21F634F2" w14:textId="77777777" w:rsidTr="00F52D43">
        <w:trPr>
          <w:trHeight w:val="315"/>
        </w:trPr>
        <w:tc>
          <w:tcPr>
            <w:tcW w:w="1034" w:type="dxa"/>
            <w:shd w:val="clear" w:color="auto" w:fill="auto"/>
            <w:noWrap/>
            <w:vAlign w:val="bottom"/>
            <w:hideMark/>
          </w:tcPr>
          <w:p w14:paraId="614D1B38"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597</w:t>
            </w:r>
          </w:p>
        </w:tc>
        <w:tc>
          <w:tcPr>
            <w:tcW w:w="1027" w:type="dxa"/>
            <w:shd w:val="clear" w:color="auto" w:fill="auto"/>
            <w:noWrap/>
            <w:vAlign w:val="bottom"/>
            <w:hideMark/>
          </w:tcPr>
          <w:p w14:paraId="661A2A1A"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AKE 427</w:t>
            </w:r>
          </w:p>
        </w:tc>
        <w:tc>
          <w:tcPr>
            <w:tcW w:w="842" w:type="dxa"/>
            <w:shd w:val="clear" w:color="auto" w:fill="auto"/>
            <w:noWrap/>
            <w:vAlign w:val="bottom"/>
            <w:hideMark/>
          </w:tcPr>
          <w:p w14:paraId="14CE23D4"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T277</w:t>
            </w:r>
          </w:p>
        </w:tc>
        <w:tc>
          <w:tcPr>
            <w:tcW w:w="1865" w:type="dxa"/>
            <w:shd w:val="clear" w:color="auto" w:fill="auto"/>
            <w:noWrap/>
            <w:vAlign w:val="bottom"/>
            <w:hideMark/>
          </w:tcPr>
          <w:p w14:paraId="43414393"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GAZI</w:t>
            </w:r>
          </w:p>
        </w:tc>
        <w:tc>
          <w:tcPr>
            <w:tcW w:w="844" w:type="dxa"/>
            <w:shd w:val="clear" w:color="auto" w:fill="auto"/>
            <w:noWrap/>
            <w:vAlign w:val="bottom"/>
            <w:hideMark/>
          </w:tcPr>
          <w:p w14:paraId="39CA23C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1ACBB781"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144B8F6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31C93D7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 xml:space="preserve"> -</w:t>
            </w:r>
          </w:p>
        </w:tc>
        <w:tc>
          <w:tcPr>
            <w:tcW w:w="4865" w:type="dxa"/>
            <w:shd w:val="clear" w:color="auto" w:fill="auto"/>
            <w:noWrap/>
            <w:vAlign w:val="bottom"/>
            <w:hideMark/>
          </w:tcPr>
          <w:p w14:paraId="10477F95"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Gazi (odos Kamarioti ) personal comunication of Eleni Tziraki</w:t>
            </w:r>
          </w:p>
        </w:tc>
      </w:tr>
      <w:tr w:rsidR="003860B7" w:rsidRPr="003860B7" w14:paraId="47897B09" w14:textId="77777777" w:rsidTr="00F52D43">
        <w:trPr>
          <w:trHeight w:val="315"/>
        </w:trPr>
        <w:tc>
          <w:tcPr>
            <w:tcW w:w="1034" w:type="dxa"/>
            <w:shd w:val="clear" w:color="auto" w:fill="auto"/>
            <w:noWrap/>
            <w:vAlign w:val="bottom"/>
            <w:hideMark/>
          </w:tcPr>
          <w:p w14:paraId="7D59FC21"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707</w:t>
            </w:r>
          </w:p>
        </w:tc>
        <w:tc>
          <w:tcPr>
            <w:tcW w:w="1027" w:type="dxa"/>
            <w:shd w:val="clear" w:color="auto" w:fill="auto"/>
            <w:noWrap/>
            <w:vAlign w:val="bottom"/>
            <w:hideMark/>
          </w:tcPr>
          <w:p w14:paraId="002A847D"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7A2964AE" w14:textId="77777777" w:rsidR="003860B7" w:rsidRPr="003860B7" w:rsidRDefault="003860B7" w:rsidP="003860B7">
            <w:pPr>
              <w:widowControl/>
              <w:spacing w:line="240" w:lineRule="auto"/>
              <w:contextualSpacing w:val="0"/>
              <w:jc w:val="left"/>
              <w:rPr>
                <w:rFonts w:eastAsia="Times New Roman"/>
                <w:sz w:val="20"/>
                <w:szCs w:val="20"/>
                <w:lang w:eastAsia="en-GB"/>
              </w:rPr>
            </w:pPr>
          </w:p>
        </w:tc>
        <w:tc>
          <w:tcPr>
            <w:tcW w:w="1865" w:type="dxa"/>
            <w:shd w:val="clear" w:color="auto" w:fill="auto"/>
            <w:noWrap/>
            <w:vAlign w:val="bottom"/>
            <w:hideMark/>
          </w:tcPr>
          <w:p w14:paraId="21086D0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ARCHANES MERTIOTIS</w:t>
            </w:r>
          </w:p>
        </w:tc>
        <w:tc>
          <w:tcPr>
            <w:tcW w:w="844" w:type="dxa"/>
            <w:shd w:val="clear" w:color="auto" w:fill="auto"/>
            <w:noWrap/>
            <w:vAlign w:val="bottom"/>
            <w:hideMark/>
          </w:tcPr>
          <w:p w14:paraId="5B4BC3DD"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04A5EE13"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6CAAFAE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7667A1D7"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386</w:t>
            </w:r>
          </w:p>
        </w:tc>
        <w:tc>
          <w:tcPr>
            <w:tcW w:w="4865" w:type="dxa"/>
            <w:shd w:val="clear" w:color="auto" w:fill="auto"/>
            <w:noWrap/>
            <w:vAlign w:val="bottom"/>
            <w:hideMark/>
          </w:tcPr>
          <w:p w14:paraId="00B8AB1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Sapouna-Sakellaraki 1990:69, fig. 2, 76-77, fig. 16; Sakellaraki and Sakellarakis 1997: 478, fig.463.</w:t>
            </w:r>
          </w:p>
        </w:tc>
      </w:tr>
      <w:tr w:rsidR="003860B7" w:rsidRPr="003860B7" w14:paraId="57730328" w14:textId="77777777" w:rsidTr="00F52D43">
        <w:trPr>
          <w:trHeight w:val="315"/>
        </w:trPr>
        <w:tc>
          <w:tcPr>
            <w:tcW w:w="1034" w:type="dxa"/>
            <w:shd w:val="clear" w:color="auto" w:fill="auto"/>
            <w:noWrap/>
            <w:vAlign w:val="bottom"/>
            <w:hideMark/>
          </w:tcPr>
          <w:p w14:paraId="0041D9A6"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708</w:t>
            </w:r>
          </w:p>
        </w:tc>
        <w:tc>
          <w:tcPr>
            <w:tcW w:w="1027" w:type="dxa"/>
            <w:shd w:val="clear" w:color="auto" w:fill="auto"/>
            <w:noWrap/>
            <w:vAlign w:val="bottom"/>
            <w:hideMark/>
          </w:tcPr>
          <w:p w14:paraId="794757EB"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p>
        </w:tc>
        <w:tc>
          <w:tcPr>
            <w:tcW w:w="842" w:type="dxa"/>
            <w:shd w:val="clear" w:color="auto" w:fill="auto"/>
            <w:noWrap/>
            <w:vAlign w:val="bottom"/>
            <w:hideMark/>
          </w:tcPr>
          <w:p w14:paraId="4104CF6E" w14:textId="77777777" w:rsidR="003860B7" w:rsidRPr="003860B7" w:rsidRDefault="003860B7" w:rsidP="003860B7">
            <w:pPr>
              <w:widowControl/>
              <w:spacing w:line="240" w:lineRule="auto"/>
              <w:contextualSpacing w:val="0"/>
              <w:jc w:val="left"/>
              <w:rPr>
                <w:rFonts w:eastAsia="Times New Roman"/>
                <w:sz w:val="20"/>
                <w:szCs w:val="20"/>
                <w:lang w:eastAsia="en-GB"/>
              </w:rPr>
            </w:pPr>
          </w:p>
        </w:tc>
        <w:tc>
          <w:tcPr>
            <w:tcW w:w="1865" w:type="dxa"/>
            <w:shd w:val="clear" w:color="auto" w:fill="auto"/>
            <w:noWrap/>
            <w:vAlign w:val="bottom"/>
            <w:hideMark/>
          </w:tcPr>
          <w:p w14:paraId="709676F7"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ARCHANES MESAMPELA</w:t>
            </w:r>
          </w:p>
        </w:tc>
        <w:tc>
          <w:tcPr>
            <w:tcW w:w="844" w:type="dxa"/>
            <w:shd w:val="clear" w:color="auto" w:fill="auto"/>
            <w:noWrap/>
            <w:vAlign w:val="bottom"/>
            <w:hideMark/>
          </w:tcPr>
          <w:p w14:paraId="575ED0EC"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6B81DCDA"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70027F5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2ADC3F64"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387</w:t>
            </w:r>
          </w:p>
        </w:tc>
        <w:tc>
          <w:tcPr>
            <w:tcW w:w="4865" w:type="dxa"/>
            <w:shd w:val="clear" w:color="auto" w:fill="auto"/>
            <w:noWrap/>
            <w:vAlign w:val="bottom"/>
            <w:hideMark/>
          </w:tcPr>
          <w:p w14:paraId="5E78B2DF"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Sapouna-Sakellaraki 1990: 69, 77</w:t>
            </w:r>
          </w:p>
        </w:tc>
      </w:tr>
      <w:tr w:rsidR="003860B7" w:rsidRPr="003860B7" w14:paraId="00EC404A" w14:textId="77777777" w:rsidTr="00F52D43">
        <w:trPr>
          <w:trHeight w:val="315"/>
        </w:trPr>
        <w:tc>
          <w:tcPr>
            <w:tcW w:w="1034" w:type="dxa"/>
            <w:shd w:val="clear" w:color="auto" w:fill="auto"/>
            <w:noWrap/>
            <w:vAlign w:val="bottom"/>
            <w:hideMark/>
          </w:tcPr>
          <w:p w14:paraId="724CEFD1" w14:textId="77777777" w:rsidR="003860B7" w:rsidRPr="003860B7" w:rsidRDefault="003860B7" w:rsidP="003860B7">
            <w:pPr>
              <w:widowControl/>
              <w:spacing w:line="240" w:lineRule="auto"/>
              <w:contextualSpacing w:val="0"/>
              <w:jc w:val="right"/>
              <w:rPr>
                <w:rFonts w:ascii="Calibri" w:eastAsia="Times New Roman" w:hAnsi="Calibri" w:cs="Calibri"/>
                <w:color w:val="000000"/>
                <w:lang w:eastAsia="en-GB"/>
              </w:rPr>
            </w:pPr>
            <w:r w:rsidRPr="003860B7">
              <w:rPr>
                <w:rFonts w:ascii="Calibri" w:eastAsia="Times New Roman" w:hAnsi="Calibri" w:cs="Calibri"/>
                <w:color w:val="000000"/>
                <w:lang w:eastAsia="en-GB"/>
              </w:rPr>
              <w:t>842</w:t>
            </w:r>
          </w:p>
        </w:tc>
        <w:tc>
          <w:tcPr>
            <w:tcW w:w="1027" w:type="dxa"/>
            <w:shd w:val="clear" w:color="auto" w:fill="auto"/>
            <w:noWrap/>
            <w:vAlign w:val="bottom"/>
            <w:hideMark/>
          </w:tcPr>
          <w:p w14:paraId="0C992069"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HM 842</w:t>
            </w:r>
          </w:p>
        </w:tc>
        <w:tc>
          <w:tcPr>
            <w:tcW w:w="842" w:type="dxa"/>
            <w:shd w:val="clear" w:color="auto" w:fill="auto"/>
            <w:noWrap/>
            <w:vAlign w:val="bottom"/>
            <w:hideMark/>
          </w:tcPr>
          <w:p w14:paraId="697D1CCE"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p>
        </w:tc>
        <w:tc>
          <w:tcPr>
            <w:tcW w:w="1865" w:type="dxa"/>
            <w:shd w:val="clear" w:color="auto" w:fill="auto"/>
            <w:noWrap/>
            <w:vAlign w:val="bottom"/>
            <w:hideMark/>
          </w:tcPr>
          <w:p w14:paraId="7FC701AB" w14:textId="77777777" w:rsidR="003860B7" w:rsidRPr="003860B7" w:rsidRDefault="003860B7" w:rsidP="003860B7">
            <w:pPr>
              <w:widowControl/>
              <w:spacing w:line="240" w:lineRule="auto"/>
              <w:contextualSpacing w:val="0"/>
              <w:jc w:val="left"/>
              <w:rPr>
                <w:rFonts w:ascii="Calibri" w:eastAsia="Times New Roman" w:hAnsi="Calibri" w:cs="Calibri"/>
                <w:lang w:eastAsia="en-GB"/>
              </w:rPr>
            </w:pPr>
            <w:r w:rsidRPr="003860B7">
              <w:rPr>
                <w:rFonts w:ascii="Calibri" w:eastAsia="Times New Roman" w:hAnsi="Calibri" w:cs="Calibri"/>
                <w:lang w:eastAsia="en-GB"/>
              </w:rPr>
              <w:t>EPISKOPI PEDIADA CHRISTOS</w:t>
            </w:r>
          </w:p>
        </w:tc>
        <w:tc>
          <w:tcPr>
            <w:tcW w:w="844" w:type="dxa"/>
            <w:shd w:val="clear" w:color="auto" w:fill="auto"/>
            <w:noWrap/>
            <w:vAlign w:val="bottom"/>
            <w:hideMark/>
          </w:tcPr>
          <w:p w14:paraId="10980079"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1</w:t>
            </w:r>
          </w:p>
        </w:tc>
        <w:tc>
          <w:tcPr>
            <w:tcW w:w="767" w:type="dxa"/>
            <w:shd w:val="clear" w:color="auto" w:fill="auto"/>
            <w:noWrap/>
            <w:vAlign w:val="bottom"/>
            <w:hideMark/>
          </w:tcPr>
          <w:p w14:paraId="3256E578"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1477" w:type="dxa"/>
            <w:shd w:val="clear" w:color="auto" w:fill="auto"/>
            <w:noWrap/>
            <w:vAlign w:val="bottom"/>
            <w:hideMark/>
          </w:tcPr>
          <w:p w14:paraId="4AADF95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0</w:t>
            </w:r>
          </w:p>
        </w:tc>
        <w:tc>
          <w:tcPr>
            <w:tcW w:w="747" w:type="dxa"/>
            <w:shd w:val="clear" w:color="auto" w:fill="auto"/>
            <w:noWrap/>
            <w:vAlign w:val="bottom"/>
            <w:hideMark/>
          </w:tcPr>
          <w:p w14:paraId="0F4298A2" w14:textId="77777777" w:rsidR="003860B7" w:rsidRPr="003860B7" w:rsidRDefault="003860B7" w:rsidP="003860B7">
            <w:pPr>
              <w:widowControl/>
              <w:spacing w:line="240" w:lineRule="auto"/>
              <w:contextualSpacing w:val="0"/>
              <w:jc w:val="right"/>
              <w:rPr>
                <w:rFonts w:ascii="Calibri" w:eastAsia="Times New Roman" w:hAnsi="Calibri" w:cs="Calibri"/>
                <w:lang w:eastAsia="en-GB"/>
              </w:rPr>
            </w:pPr>
            <w:r w:rsidRPr="003860B7">
              <w:rPr>
                <w:rFonts w:ascii="Calibri" w:eastAsia="Times New Roman" w:hAnsi="Calibri" w:cs="Calibri"/>
                <w:lang w:eastAsia="en-GB"/>
              </w:rPr>
              <w:t>406</w:t>
            </w:r>
          </w:p>
        </w:tc>
        <w:tc>
          <w:tcPr>
            <w:tcW w:w="4865" w:type="dxa"/>
            <w:shd w:val="clear" w:color="auto" w:fill="auto"/>
            <w:noWrap/>
            <w:vAlign w:val="bottom"/>
            <w:hideMark/>
          </w:tcPr>
          <w:p w14:paraId="08E62A2A" w14:textId="77777777" w:rsidR="003860B7" w:rsidRPr="003860B7" w:rsidRDefault="003860B7" w:rsidP="003860B7">
            <w:pPr>
              <w:widowControl/>
              <w:spacing w:line="240" w:lineRule="auto"/>
              <w:contextualSpacing w:val="0"/>
              <w:jc w:val="left"/>
              <w:rPr>
                <w:rFonts w:ascii="Calibri" w:eastAsia="Times New Roman" w:hAnsi="Calibri" w:cs="Calibri"/>
                <w:i/>
                <w:iCs/>
                <w:lang w:eastAsia="en-GB"/>
              </w:rPr>
            </w:pPr>
            <w:r w:rsidRPr="003860B7">
              <w:rPr>
                <w:rFonts w:ascii="Calibri" w:eastAsia="Times New Roman" w:hAnsi="Calibri" w:cs="Calibri"/>
                <w:i/>
                <w:iCs/>
                <w:lang w:eastAsia="en-GB"/>
              </w:rPr>
              <w:t>EEKS</w:t>
            </w:r>
            <w:r w:rsidRPr="003860B7">
              <w:rPr>
                <w:rFonts w:ascii="Calibri" w:eastAsia="Times New Roman" w:hAnsi="Calibri" w:cs="Calibri"/>
                <w:lang w:eastAsia="en-GB"/>
              </w:rPr>
              <w:t xml:space="preserve"> 1941, 270; Kanta 1980: 66-68</w:t>
            </w:r>
          </w:p>
        </w:tc>
      </w:tr>
    </w:tbl>
    <w:p w14:paraId="50546D3A" w14:textId="39803EB9" w:rsidR="003860B7" w:rsidRDefault="003860B7" w:rsidP="00E858EF">
      <w:pPr>
        <w:suppressAutoHyphens/>
        <w:rPr>
          <w:highlight w:val="lightGray"/>
        </w:rPr>
      </w:pPr>
    </w:p>
    <w:p w14:paraId="07F31B99" w14:textId="14766EA3" w:rsidR="003860B7" w:rsidRPr="003860B7" w:rsidRDefault="003860B7" w:rsidP="003860B7">
      <w:pPr>
        <w:rPr>
          <w:highlight w:val="lightGray"/>
        </w:rPr>
      </w:pPr>
    </w:p>
    <w:p w14:paraId="1E7F2395" w14:textId="69B87AB9" w:rsidR="003860B7" w:rsidRPr="00D76105" w:rsidRDefault="00D76105" w:rsidP="003860B7">
      <w:pPr>
        <w:rPr>
          <w:b/>
          <w:sz w:val="28"/>
          <w:highlight w:val="lightGray"/>
        </w:rPr>
      </w:pPr>
      <w:r w:rsidRPr="00D76105">
        <w:rPr>
          <w:b/>
          <w:sz w:val="28"/>
        </w:rPr>
        <w:t>Mid-East Area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6"/>
        <w:gridCol w:w="731"/>
        <w:gridCol w:w="561"/>
        <w:gridCol w:w="1050"/>
        <w:gridCol w:w="284"/>
        <w:gridCol w:w="322"/>
        <w:gridCol w:w="429"/>
        <w:gridCol w:w="421"/>
        <w:gridCol w:w="387"/>
        <w:gridCol w:w="8788"/>
      </w:tblGrid>
      <w:tr w:rsidR="0033571D" w:rsidRPr="00D76105" w14:paraId="50CE7642" w14:textId="77777777" w:rsidTr="00F52D43">
        <w:trPr>
          <w:trHeight w:val="315"/>
        </w:trPr>
        <w:tc>
          <w:tcPr>
            <w:tcW w:w="636" w:type="dxa"/>
            <w:shd w:val="clear" w:color="auto" w:fill="auto"/>
            <w:noWrap/>
            <w:vAlign w:val="bottom"/>
            <w:hideMark/>
          </w:tcPr>
          <w:p w14:paraId="27D71D00" w14:textId="77777777" w:rsidR="0064274C" w:rsidRPr="00D76105" w:rsidRDefault="0064274C"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ID LARNAX</w:t>
            </w:r>
          </w:p>
        </w:tc>
        <w:tc>
          <w:tcPr>
            <w:tcW w:w="731" w:type="dxa"/>
            <w:shd w:val="clear" w:color="auto" w:fill="auto"/>
            <w:noWrap/>
            <w:vAlign w:val="bottom"/>
            <w:hideMark/>
          </w:tcPr>
          <w:p w14:paraId="02804492" w14:textId="77777777" w:rsidR="0064274C" w:rsidRPr="00D76105" w:rsidRDefault="0064274C"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INV. N.</w:t>
            </w:r>
          </w:p>
        </w:tc>
        <w:tc>
          <w:tcPr>
            <w:tcW w:w="561" w:type="dxa"/>
            <w:shd w:val="clear" w:color="auto" w:fill="auto"/>
            <w:noWrap/>
            <w:vAlign w:val="bottom"/>
            <w:hideMark/>
          </w:tcPr>
          <w:p w14:paraId="0DD35807" w14:textId="77777777" w:rsidR="0064274C" w:rsidRPr="00D76105" w:rsidRDefault="0064274C"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ID TOMB</w:t>
            </w:r>
          </w:p>
        </w:tc>
        <w:tc>
          <w:tcPr>
            <w:tcW w:w="1334" w:type="dxa"/>
            <w:gridSpan w:val="2"/>
            <w:shd w:val="clear" w:color="auto" w:fill="auto"/>
            <w:noWrap/>
            <w:vAlign w:val="bottom"/>
            <w:hideMark/>
          </w:tcPr>
          <w:p w14:paraId="7FE4C6DA" w14:textId="77777777" w:rsidR="0064274C" w:rsidRPr="00D76105" w:rsidRDefault="0064274C"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BURIAL LOCATION</w:t>
            </w:r>
          </w:p>
        </w:tc>
        <w:tc>
          <w:tcPr>
            <w:tcW w:w="322" w:type="dxa"/>
            <w:shd w:val="clear" w:color="auto" w:fill="auto"/>
            <w:noWrap/>
            <w:vAlign w:val="bottom"/>
            <w:hideMark/>
          </w:tcPr>
          <w:p w14:paraId="06ADA6E3" w14:textId="77777777" w:rsidR="0064274C" w:rsidRPr="00D76105" w:rsidRDefault="0064274C"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CHEST</w:t>
            </w:r>
          </w:p>
        </w:tc>
        <w:tc>
          <w:tcPr>
            <w:tcW w:w="429" w:type="dxa"/>
            <w:shd w:val="clear" w:color="auto" w:fill="auto"/>
            <w:noWrap/>
            <w:vAlign w:val="bottom"/>
            <w:hideMark/>
          </w:tcPr>
          <w:p w14:paraId="4EE81886" w14:textId="77777777" w:rsidR="0064274C" w:rsidRPr="00D76105" w:rsidRDefault="0064274C" w:rsidP="00D76105">
            <w:pPr>
              <w:widowControl/>
              <w:spacing w:line="240" w:lineRule="auto"/>
              <w:contextualSpacing w:val="0"/>
              <w:jc w:val="left"/>
              <w:rPr>
                <w:rFonts w:ascii="Calibri" w:eastAsia="Times New Roman" w:hAnsi="Calibri"/>
                <w:b/>
                <w:bCs/>
                <w:color w:val="000000"/>
                <w:lang w:eastAsia="en-GB"/>
              </w:rPr>
            </w:pPr>
            <w:r w:rsidRPr="00D76105">
              <w:rPr>
                <w:rFonts w:ascii="Calibri" w:eastAsia="Times New Roman" w:hAnsi="Calibri"/>
                <w:b/>
                <w:bCs/>
                <w:color w:val="000000"/>
                <w:lang w:eastAsia="en-GB"/>
              </w:rPr>
              <w:t>BATH</w:t>
            </w:r>
          </w:p>
        </w:tc>
        <w:tc>
          <w:tcPr>
            <w:tcW w:w="808" w:type="dxa"/>
            <w:gridSpan w:val="2"/>
            <w:shd w:val="clear" w:color="auto" w:fill="auto"/>
            <w:noWrap/>
            <w:vAlign w:val="bottom"/>
            <w:hideMark/>
          </w:tcPr>
          <w:p w14:paraId="3901A027" w14:textId="77777777" w:rsidR="0064274C" w:rsidRPr="005A1746" w:rsidRDefault="0064274C" w:rsidP="00D76105">
            <w:pPr>
              <w:widowControl/>
              <w:spacing w:line="240" w:lineRule="auto"/>
              <w:contextualSpacing w:val="0"/>
              <w:jc w:val="left"/>
              <w:rPr>
                <w:rFonts w:ascii="Calibri" w:eastAsia="Times New Roman" w:hAnsi="Calibri"/>
                <w:b/>
                <w:bCs/>
                <w:color w:val="000000"/>
                <w:lang w:eastAsia="en-GB"/>
              </w:rPr>
            </w:pPr>
            <w:r w:rsidRPr="005A1746">
              <w:rPr>
                <w:rFonts w:ascii="Calibri" w:eastAsia="Times New Roman" w:hAnsi="Calibri"/>
                <w:b/>
                <w:bCs/>
                <w:color w:val="000000"/>
                <w:lang w:eastAsia="en-GB"/>
              </w:rPr>
              <w:t>Löwe</w:t>
            </w:r>
          </w:p>
        </w:tc>
        <w:tc>
          <w:tcPr>
            <w:tcW w:w="8788" w:type="dxa"/>
            <w:shd w:val="clear" w:color="auto" w:fill="auto"/>
            <w:noWrap/>
            <w:vAlign w:val="bottom"/>
            <w:hideMark/>
          </w:tcPr>
          <w:p w14:paraId="2BD9779C" w14:textId="37A42970" w:rsidR="0064274C" w:rsidRPr="00D76105" w:rsidRDefault="0064274C"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b/>
                <w:bCs/>
                <w:color w:val="000000"/>
                <w:lang w:eastAsia="en-GB"/>
              </w:rPr>
              <w:t>bibliography</w:t>
            </w:r>
          </w:p>
        </w:tc>
      </w:tr>
      <w:tr w:rsidR="0033571D" w:rsidRPr="00D76105" w14:paraId="5F8B01DD" w14:textId="77777777" w:rsidTr="00F52D43">
        <w:trPr>
          <w:trHeight w:val="315"/>
        </w:trPr>
        <w:tc>
          <w:tcPr>
            <w:tcW w:w="636" w:type="dxa"/>
            <w:shd w:val="clear" w:color="auto" w:fill="auto"/>
            <w:noWrap/>
            <w:vAlign w:val="bottom"/>
            <w:hideMark/>
          </w:tcPr>
          <w:p w14:paraId="1B9BB2F9"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508</w:t>
            </w:r>
          </w:p>
        </w:tc>
        <w:tc>
          <w:tcPr>
            <w:tcW w:w="731" w:type="dxa"/>
            <w:shd w:val="clear" w:color="auto" w:fill="auto"/>
            <w:noWrap/>
            <w:vAlign w:val="bottom"/>
            <w:hideMark/>
          </w:tcPr>
          <w:p w14:paraId="3F2DAAA3"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p>
        </w:tc>
        <w:tc>
          <w:tcPr>
            <w:tcW w:w="561" w:type="dxa"/>
            <w:shd w:val="clear" w:color="auto" w:fill="auto"/>
            <w:noWrap/>
            <w:vAlign w:val="bottom"/>
            <w:hideMark/>
          </w:tcPr>
          <w:p w14:paraId="55F8012F"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T217</w:t>
            </w:r>
          </w:p>
        </w:tc>
        <w:tc>
          <w:tcPr>
            <w:tcW w:w="1334" w:type="dxa"/>
            <w:gridSpan w:val="2"/>
            <w:shd w:val="clear" w:color="auto" w:fill="auto"/>
            <w:noWrap/>
            <w:vAlign w:val="bottom"/>
            <w:hideMark/>
          </w:tcPr>
          <w:p w14:paraId="26525D57"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KRITSA</w:t>
            </w:r>
          </w:p>
        </w:tc>
        <w:tc>
          <w:tcPr>
            <w:tcW w:w="322" w:type="dxa"/>
            <w:shd w:val="clear" w:color="auto" w:fill="auto"/>
            <w:noWrap/>
            <w:vAlign w:val="bottom"/>
            <w:hideMark/>
          </w:tcPr>
          <w:p w14:paraId="40D39059"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429" w:type="dxa"/>
            <w:shd w:val="clear" w:color="auto" w:fill="auto"/>
            <w:noWrap/>
            <w:vAlign w:val="bottom"/>
            <w:hideMark/>
          </w:tcPr>
          <w:p w14:paraId="0F557396"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808" w:type="dxa"/>
            <w:gridSpan w:val="2"/>
            <w:shd w:val="clear" w:color="auto" w:fill="auto"/>
            <w:noWrap/>
            <w:vAlign w:val="bottom"/>
            <w:hideMark/>
          </w:tcPr>
          <w:p w14:paraId="5C3FFF62" w14:textId="77777777" w:rsidR="0064274C" w:rsidRPr="005A1746" w:rsidRDefault="0064274C" w:rsidP="00D76105">
            <w:pPr>
              <w:widowControl/>
              <w:spacing w:line="240" w:lineRule="auto"/>
              <w:contextualSpacing w:val="0"/>
              <w:jc w:val="right"/>
              <w:rPr>
                <w:rFonts w:ascii="Calibri" w:eastAsia="Times New Roman" w:hAnsi="Calibri"/>
                <w:bCs/>
                <w:color w:val="000000"/>
                <w:lang w:eastAsia="en-GB"/>
              </w:rPr>
            </w:pPr>
            <w:r w:rsidRPr="005A1746">
              <w:rPr>
                <w:rFonts w:ascii="Calibri" w:eastAsia="Times New Roman" w:hAnsi="Calibri"/>
                <w:bCs/>
                <w:color w:val="000000"/>
                <w:lang w:eastAsia="en-GB"/>
              </w:rPr>
              <w:t>163</w:t>
            </w:r>
          </w:p>
        </w:tc>
        <w:tc>
          <w:tcPr>
            <w:tcW w:w="8788" w:type="dxa"/>
            <w:shd w:val="clear" w:color="auto" w:fill="auto"/>
            <w:noWrap/>
            <w:vAlign w:val="bottom"/>
            <w:hideMark/>
          </w:tcPr>
          <w:p w14:paraId="0EDD6C28" w14:textId="7B695735" w:rsidR="0064274C" w:rsidRPr="00D76105" w:rsidRDefault="0064274C"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color w:val="000000"/>
                <w:lang w:eastAsia="en-GB"/>
              </w:rPr>
              <w:t>KChr 5 1951: 44-5; Kanta 1980: 134-139; Merousis 2000: 148-149 n. 104; Tsipopoulou and Vagnetti 2006: 201-210; Spiliotopoulou 2010: 69 n. 101-103; Langohr 2009: 88</w:t>
            </w:r>
          </w:p>
        </w:tc>
      </w:tr>
      <w:tr w:rsidR="0033571D" w:rsidRPr="00D76105" w14:paraId="08BBBA94" w14:textId="77777777" w:rsidTr="00F52D43">
        <w:trPr>
          <w:trHeight w:val="315"/>
        </w:trPr>
        <w:tc>
          <w:tcPr>
            <w:tcW w:w="636" w:type="dxa"/>
            <w:shd w:val="clear" w:color="auto" w:fill="auto"/>
            <w:noWrap/>
            <w:vAlign w:val="bottom"/>
            <w:hideMark/>
          </w:tcPr>
          <w:p w14:paraId="72D35220"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509</w:t>
            </w:r>
          </w:p>
        </w:tc>
        <w:tc>
          <w:tcPr>
            <w:tcW w:w="731" w:type="dxa"/>
            <w:shd w:val="clear" w:color="auto" w:fill="auto"/>
            <w:noWrap/>
            <w:vAlign w:val="bottom"/>
            <w:hideMark/>
          </w:tcPr>
          <w:p w14:paraId="30028379"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p>
        </w:tc>
        <w:tc>
          <w:tcPr>
            <w:tcW w:w="561" w:type="dxa"/>
            <w:shd w:val="clear" w:color="auto" w:fill="auto"/>
            <w:noWrap/>
            <w:vAlign w:val="bottom"/>
            <w:hideMark/>
          </w:tcPr>
          <w:p w14:paraId="6B7A7785"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T217</w:t>
            </w:r>
          </w:p>
        </w:tc>
        <w:tc>
          <w:tcPr>
            <w:tcW w:w="1334" w:type="dxa"/>
            <w:gridSpan w:val="2"/>
            <w:shd w:val="clear" w:color="auto" w:fill="auto"/>
            <w:noWrap/>
            <w:vAlign w:val="bottom"/>
            <w:hideMark/>
          </w:tcPr>
          <w:p w14:paraId="54481CDB"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KRITSA</w:t>
            </w:r>
          </w:p>
        </w:tc>
        <w:tc>
          <w:tcPr>
            <w:tcW w:w="322" w:type="dxa"/>
            <w:shd w:val="clear" w:color="auto" w:fill="auto"/>
            <w:noWrap/>
            <w:vAlign w:val="bottom"/>
            <w:hideMark/>
          </w:tcPr>
          <w:p w14:paraId="6D87DAFE"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429" w:type="dxa"/>
            <w:shd w:val="clear" w:color="auto" w:fill="auto"/>
            <w:noWrap/>
            <w:vAlign w:val="bottom"/>
            <w:hideMark/>
          </w:tcPr>
          <w:p w14:paraId="0FE92F86"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808" w:type="dxa"/>
            <w:gridSpan w:val="2"/>
            <w:shd w:val="clear" w:color="auto" w:fill="auto"/>
            <w:noWrap/>
            <w:vAlign w:val="bottom"/>
            <w:hideMark/>
          </w:tcPr>
          <w:p w14:paraId="7FD0D4DC" w14:textId="77777777" w:rsidR="0064274C" w:rsidRPr="005A1746" w:rsidRDefault="0064274C" w:rsidP="00D76105">
            <w:pPr>
              <w:widowControl/>
              <w:spacing w:line="240" w:lineRule="auto"/>
              <w:contextualSpacing w:val="0"/>
              <w:jc w:val="right"/>
              <w:rPr>
                <w:rFonts w:ascii="Calibri" w:eastAsia="Times New Roman" w:hAnsi="Calibri"/>
                <w:bCs/>
                <w:color w:val="000000"/>
                <w:lang w:eastAsia="en-GB"/>
              </w:rPr>
            </w:pPr>
            <w:r w:rsidRPr="005A1746">
              <w:rPr>
                <w:rFonts w:ascii="Calibri" w:eastAsia="Times New Roman" w:hAnsi="Calibri"/>
                <w:bCs/>
                <w:color w:val="000000"/>
                <w:lang w:eastAsia="en-GB"/>
              </w:rPr>
              <w:t>163</w:t>
            </w:r>
          </w:p>
        </w:tc>
        <w:tc>
          <w:tcPr>
            <w:tcW w:w="8788" w:type="dxa"/>
            <w:shd w:val="clear" w:color="auto" w:fill="auto"/>
            <w:noWrap/>
            <w:vAlign w:val="bottom"/>
            <w:hideMark/>
          </w:tcPr>
          <w:p w14:paraId="2A3D3234" w14:textId="1D2FC210" w:rsidR="0064274C" w:rsidRPr="00D76105" w:rsidRDefault="0064274C"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color w:val="000000"/>
                <w:lang w:eastAsia="en-GB"/>
              </w:rPr>
              <w:t>KChr 5 1951: 44-5; Kanta 1980: 134-139; Merousis 2000: 148-149 n. 104; Tsipopoulou and Vagnetti 2006: 201-210; Spiliotopoulou 2010: 69 n. 101-103; Langohr 2009: 88</w:t>
            </w:r>
          </w:p>
        </w:tc>
      </w:tr>
      <w:tr w:rsidR="0033571D" w:rsidRPr="00D76105" w14:paraId="5E50DEBF" w14:textId="77777777" w:rsidTr="00F52D43">
        <w:trPr>
          <w:trHeight w:val="315"/>
        </w:trPr>
        <w:tc>
          <w:tcPr>
            <w:tcW w:w="636" w:type="dxa"/>
            <w:shd w:val="clear" w:color="auto" w:fill="auto"/>
            <w:noWrap/>
            <w:vAlign w:val="bottom"/>
            <w:hideMark/>
          </w:tcPr>
          <w:p w14:paraId="24F17065"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510</w:t>
            </w:r>
          </w:p>
        </w:tc>
        <w:tc>
          <w:tcPr>
            <w:tcW w:w="731" w:type="dxa"/>
            <w:shd w:val="clear" w:color="auto" w:fill="auto"/>
            <w:noWrap/>
            <w:vAlign w:val="bottom"/>
            <w:hideMark/>
          </w:tcPr>
          <w:p w14:paraId="5D71A81C"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p>
        </w:tc>
        <w:tc>
          <w:tcPr>
            <w:tcW w:w="561" w:type="dxa"/>
            <w:shd w:val="clear" w:color="auto" w:fill="auto"/>
            <w:noWrap/>
            <w:vAlign w:val="bottom"/>
            <w:hideMark/>
          </w:tcPr>
          <w:p w14:paraId="6C4B16B5"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T217</w:t>
            </w:r>
          </w:p>
        </w:tc>
        <w:tc>
          <w:tcPr>
            <w:tcW w:w="1334" w:type="dxa"/>
            <w:gridSpan w:val="2"/>
            <w:shd w:val="clear" w:color="auto" w:fill="auto"/>
            <w:noWrap/>
            <w:vAlign w:val="bottom"/>
            <w:hideMark/>
          </w:tcPr>
          <w:p w14:paraId="17B3041C"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KRITSA</w:t>
            </w:r>
          </w:p>
        </w:tc>
        <w:tc>
          <w:tcPr>
            <w:tcW w:w="322" w:type="dxa"/>
            <w:shd w:val="clear" w:color="auto" w:fill="auto"/>
            <w:noWrap/>
            <w:vAlign w:val="bottom"/>
            <w:hideMark/>
          </w:tcPr>
          <w:p w14:paraId="49B15E71"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429" w:type="dxa"/>
            <w:shd w:val="clear" w:color="auto" w:fill="auto"/>
            <w:noWrap/>
            <w:vAlign w:val="bottom"/>
            <w:hideMark/>
          </w:tcPr>
          <w:p w14:paraId="3480FEB3"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808" w:type="dxa"/>
            <w:gridSpan w:val="2"/>
            <w:shd w:val="clear" w:color="auto" w:fill="auto"/>
            <w:noWrap/>
            <w:vAlign w:val="bottom"/>
            <w:hideMark/>
          </w:tcPr>
          <w:p w14:paraId="53B7F736" w14:textId="77777777" w:rsidR="0064274C" w:rsidRPr="005A1746" w:rsidRDefault="0064274C" w:rsidP="00D76105">
            <w:pPr>
              <w:widowControl/>
              <w:spacing w:line="240" w:lineRule="auto"/>
              <w:contextualSpacing w:val="0"/>
              <w:jc w:val="right"/>
              <w:rPr>
                <w:rFonts w:ascii="Calibri" w:eastAsia="Times New Roman" w:hAnsi="Calibri"/>
                <w:bCs/>
                <w:color w:val="000000"/>
                <w:lang w:eastAsia="en-GB"/>
              </w:rPr>
            </w:pPr>
            <w:r w:rsidRPr="005A1746">
              <w:rPr>
                <w:rFonts w:ascii="Calibri" w:eastAsia="Times New Roman" w:hAnsi="Calibri"/>
                <w:bCs/>
                <w:color w:val="000000"/>
                <w:lang w:eastAsia="en-GB"/>
              </w:rPr>
              <w:t>163</w:t>
            </w:r>
          </w:p>
        </w:tc>
        <w:tc>
          <w:tcPr>
            <w:tcW w:w="8788" w:type="dxa"/>
            <w:shd w:val="clear" w:color="auto" w:fill="auto"/>
            <w:noWrap/>
            <w:vAlign w:val="bottom"/>
            <w:hideMark/>
          </w:tcPr>
          <w:p w14:paraId="7DF94173" w14:textId="5D714401" w:rsidR="0064274C" w:rsidRPr="00D76105" w:rsidRDefault="0064274C"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color w:val="000000"/>
                <w:lang w:eastAsia="en-GB"/>
              </w:rPr>
              <w:t>KChr 5 1951: 44-5; Kanta 1980: 134-139; Merousis 2000: 148-149 n. 104; Tsipopoulou and Vagnetti 2006: 201-210; Spiliotopoulou 2010: 69 n. 101-103; Langohr 2009: 88</w:t>
            </w:r>
          </w:p>
        </w:tc>
      </w:tr>
      <w:tr w:rsidR="0033571D" w:rsidRPr="00D76105" w14:paraId="153DC6BB" w14:textId="77777777" w:rsidTr="00F52D43">
        <w:trPr>
          <w:trHeight w:val="315"/>
        </w:trPr>
        <w:tc>
          <w:tcPr>
            <w:tcW w:w="636" w:type="dxa"/>
            <w:shd w:val="clear" w:color="auto" w:fill="auto"/>
            <w:noWrap/>
            <w:vAlign w:val="bottom"/>
            <w:hideMark/>
          </w:tcPr>
          <w:p w14:paraId="5F7E3CE5"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511</w:t>
            </w:r>
          </w:p>
        </w:tc>
        <w:tc>
          <w:tcPr>
            <w:tcW w:w="731" w:type="dxa"/>
            <w:shd w:val="clear" w:color="auto" w:fill="auto"/>
            <w:noWrap/>
            <w:vAlign w:val="bottom"/>
            <w:hideMark/>
          </w:tcPr>
          <w:p w14:paraId="08F31288"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MAN 12601</w:t>
            </w:r>
          </w:p>
        </w:tc>
        <w:tc>
          <w:tcPr>
            <w:tcW w:w="561" w:type="dxa"/>
            <w:shd w:val="clear" w:color="auto" w:fill="auto"/>
            <w:noWrap/>
            <w:vAlign w:val="bottom"/>
            <w:hideMark/>
          </w:tcPr>
          <w:p w14:paraId="701AB01D"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T219</w:t>
            </w:r>
          </w:p>
        </w:tc>
        <w:tc>
          <w:tcPr>
            <w:tcW w:w="1334" w:type="dxa"/>
            <w:gridSpan w:val="2"/>
            <w:shd w:val="clear" w:color="auto" w:fill="auto"/>
            <w:noWrap/>
            <w:vAlign w:val="bottom"/>
            <w:hideMark/>
          </w:tcPr>
          <w:p w14:paraId="4AE33807"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KRITSA LAKKOI</w:t>
            </w:r>
          </w:p>
        </w:tc>
        <w:tc>
          <w:tcPr>
            <w:tcW w:w="322" w:type="dxa"/>
            <w:shd w:val="clear" w:color="auto" w:fill="auto"/>
            <w:noWrap/>
            <w:vAlign w:val="bottom"/>
            <w:hideMark/>
          </w:tcPr>
          <w:p w14:paraId="09E9492D"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429" w:type="dxa"/>
            <w:shd w:val="clear" w:color="auto" w:fill="auto"/>
            <w:noWrap/>
            <w:vAlign w:val="bottom"/>
            <w:hideMark/>
          </w:tcPr>
          <w:p w14:paraId="55A8F4A6"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808" w:type="dxa"/>
            <w:gridSpan w:val="2"/>
            <w:shd w:val="clear" w:color="auto" w:fill="auto"/>
            <w:noWrap/>
            <w:vAlign w:val="bottom"/>
            <w:hideMark/>
          </w:tcPr>
          <w:p w14:paraId="4DBE7213" w14:textId="77777777" w:rsidR="0064274C" w:rsidRPr="005A1746" w:rsidRDefault="0064274C" w:rsidP="00D76105">
            <w:pPr>
              <w:widowControl/>
              <w:spacing w:line="240" w:lineRule="auto"/>
              <w:contextualSpacing w:val="0"/>
              <w:jc w:val="left"/>
              <w:rPr>
                <w:rFonts w:ascii="Calibri" w:eastAsia="Times New Roman" w:hAnsi="Calibri"/>
                <w:bCs/>
                <w:color w:val="000000"/>
                <w:lang w:eastAsia="en-GB"/>
              </w:rPr>
            </w:pPr>
            <w:r w:rsidRPr="005A1746">
              <w:rPr>
                <w:rFonts w:ascii="Calibri" w:eastAsia="Times New Roman" w:hAnsi="Calibri"/>
                <w:bCs/>
                <w:color w:val="000000"/>
                <w:lang w:eastAsia="en-GB"/>
              </w:rPr>
              <w:t xml:space="preserve"> -</w:t>
            </w:r>
          </w:p>
        </w:tc>
        <w:tc>
          <w:tcPr>
            <w:tcW w:w="8788" w:type="dxa"/>
            <w:shd w:val="clear" w:color="auto" w:fill="auto"/>
            <w:noWrap/>
            <w:vAlign w:val="bottom"/>
            <w:hideMark/>
          </w:tcPr>
          <w:p w14:paraId="40298E1D" w14:textId="04EFAD93" w:rsidR="0064274C" w:rsidRPr="00D76105" w:rsidRDefault="0064274C"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color w:val="000000"/>
                <w:lang w:eastAsia="en-GB"/>
              </w:rPr>
              <w:t>Tsipopoulou and Vagnetti 1997, 473-480 pl. CLXXXVc, CLXXXVIa; Merousis 2000: 149 n. 106; Tsipopoulou and Vagnetti 2006: 201-210;  Spiliotopoulou 2010: 69-70 pl 14 n. 105 ; Langohr 2009: 88</w:t>
            </w:r>
          </w:p>
        </w:tc>
      </w:tr>
      <w:tr w:rsidR="0033571D" w:rsidRPr="00D76105" w14:paraId="4187AA9A" w14:textId="77777777" w:rsidTr="00F52D43">
        <w:trPr>
          <w:trHeight w:val="315"/>
        </w:trPr>
        <w:tc>
          <w:tcPr>
            <w:tcW w:w="636" w:type="dxa"/>
            <w:shd w:val="clear" w:color="auto" w:fill="auto"/>
            <w:noWrap/>
            <w:vAlign w:val="bottom"/>
            <w:hideMark/>
          </w:tcPr>
          <w:p w14:paraId="7DFD9F63"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512</w:t>
            </w:r>
          </w:p>
        </w:tc>
        <w:tc>
          <w:tcPr>
            <w:tcW w:w="731" w:type="dxa"/>
            <w:shd w:val="clear" w:color="auto" w:fill="auto"/>
            <w:noWrap/>
            <w:vAlign w:val="bottom"/>
            <w:hideMark/>
          </w:tcPr>
          <w:p w14:paraId="05D8A6A8"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MAN 12600</w:t>
            </w:r>
          </w:p>
        </w:tc>
        <w:tc>
          <w:tcPr>
            <w:tcW w:w="561" w:type="dxa"/>
            <w:shd w:val="clear" w:color="auto" w:fill="auto"/>
            <w:noWrap/>
            <w:vAlign w:val="bottom"/>
            <w:hideMark/>
          </w:tcPr>
          <w:p w14:paraId="637E4116"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T219</w:t>
            </w:r>
          </w:p>
        </w:tc>
        <w:tc>
          <w:tcPr>
            <w:tcW w:w="1334" w:type="dxa"/>
            <w:gridSpan w:val="2"/>
            <w:shd w:val="clear" w:color="auto" w:fill="auto"/>
            <w:noWrap/>
            <w:vAlign w:val="bottom"/>
            <w:hideMark/>
          </w:tcPr>
          <w:p w14:paraId="7D93E2D2"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KRITSA LAKKOI</w:t>
            </w:r>
          </w:p>
        </w:tc>
        <w:tc>
          <w:tcPr>
            <w:tcW w:w="322" w:type="dxa"/>
            <w:shd w:val="clear" w:color="auto" w:fill="auto"/>
            <w:noWrap/>
            <w:vAlign w:val="bottom"/>
            <w:hideMark/>
          </w:tcPr>
          <w:p w14:paraId="2D719FD4"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429" w:type="dxa"/>
            <w:shd w:val="clear" w:color="auto" w:fill="auto"/>
            <w:noWrap/>
            <w:vAlign w:val="bottom"/>
            <w:hideMark/>
          </w:tcPr>
          <w:p w14:paraId="7B0D667F"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808" w:type="dxa"/>
            <w:gridSpan w:val="2"/>
            <w:shd w:val="clear" w:color="auto" w:fill="auto"/>
            <w:noWrap/>
            <w:vAlign w:val="bottom"/>
            <w:hideMark/>
          </w:tcPr>
          <w:p w14:paraId="4C221836" w14:textId="77777777" w:rsidR="0064274C" w:rsidRPr="005A1746" w:rsidRDefault="0064274C" w:rsidP="00D76105">
            <w:pPr>
              <w:widowControl/>
              <w:spacing w:line="240" w:lineRule="auto"/>
              <w:contextualSpacing w:val="0"/>
              <w:jc w:val="left"/>
              <w:rPr>
                <w:rFonts w:ascii="Calibri" w:eastAsia="Times New Roman" w:hAnsi="Calibri"/>
                <w:bCs/>
                <w:color w:val="000000"/>
                <w:lang w:eastAsia="en-GB"/>
              </w:rPr>
            </w:pPr>
            <w:r w:rsidRPr="005A1746">
              <w:rPr>
                <w:rFonts w:ascii="Calibri" w:eastAsia="Times New Roman" w:hAnsi="Calibri"/>
                <w:bCs/>
                <w:color w:val="000000"/>
                <w:lang w:eastAsia="en-GB"/>
              </w:rPr>
              <w:t xml:space="preserve"> -</w:t>
            </w:r>
          </w:p>
        </w:tc>
        <w:tc>
          <w:tcPr>
            <w:tcW w:w="8788" w:type="dxa"/>
            <w:shd w:val="clear" w:color="auto" w:fill="auto"/>
            <w:noWrap/>
            <w:vAlign w:val="bottom"/>
            <w:hideMark/>
          </w:tcPr>
          <w:p w14:paraId="39711036" w14:textId="31C02D6D" w:rsidR="0064274C" w:rsidRPr="00D76105" w:rsidRDefault="0064274C"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color w:val="000000"/>
                <w:lang w:eastAsia="en-GB"/>
              </w:rPr>
              <w:t>Tsipopoulou and Vagnetti 1997: 473-480 pl. CLXXXVIb-c, CLXXXVIIa-b; Merousis 2000: 149 n. 105 pl. 18; Tsipopoulou and Vagnetti 2006: 201-210; Spiliotopoulou 2010: 69 pl. 14 n. 104; Langohr 2009: 88</w:t>
            </w:r>
          </w:p>
        </w:tc>
      </w:tr>
      <w:tr w:rsidR="0033571D" w:rsidRPr="00D76105" w14:paraId="77ACD296" w14:textId="77777777" w:rsidTr="00F52D43">
        <w:trPr>
          <w:trHeight w:val="315"/>
        </w:trPr>
        <w:tc>
          <w:tcPr>
            <w:tcW w:w="636" w:type="dxa"/>
            <w:shd w:val="clear" w:color="auto" w:fill="auto"/>
            <w:noWrap/>
            <w:vAlign w:val="bottom"/>
            <w:hideMark/>
          </w:tcPr>
          <w:p w14:paraId="0CA8BEA0"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787</w:t>
            </w:r>
          </w:p>
        </w:tc>
        <w:tc>
          <w:tcPr>
            <w:tcW w:w="731" w:type="dxa"/>
            <w:shd w:val="clear" w:color="auto" w:fill="auto"/>
            <w:noWrap/>
            <w:vAlign w:val="bottom"/>
            <w:hideMark/>
          </w:tcPr>
          <w:p w14:paraId="40A5AA16"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12030</w:t>
            </w:r>
          </w:p>
        </w:tc>
        <w:tc>
          <w:tcPr>
            <w:tcW w:w="561" w:type="dxa"/>
            <w:shd w:val="clear" w:color="auto" w:fill="auto"/>
            <w:noWrap/>
            <w:vAlign w:val="bottom"/>
            <w:hideMark/>
          </w:tcPr>
          <w:p w14:paraId="2E7ADD0B"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T344</w:t>
            </w:r>
          </w:p>
        </w:tc>
        <w:tc>
          <w:tcPr>
            <w:tcW w:w="1334" w:type="dxa"/>
            <w:gridSpan w:val="2"/>
            <w:shd w:val="clear" w:color="auto" w:fill="auto"/>
            <w:noWrap/>
            <w:vAlign w:val="bottom"/>
            <w:hideMark/>
          </w:tcPr>
          <w:p w14:paraId="3A7EBAAD"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MALIA AGIA PELAGIA</w:t>
            </w:r>
          </w:p>
        </w:tc>
        <w:tc>
          <w:tcPr>
            <w:tcW w:w="322" w:type="dxa"/>
            <w:shd w:val="clear" w:color="auto" w:fill="auto"/>
            <w:noWrap/>
            <w:vAlign w:val="bottom"/>
            <w:hideMark/>
          </w:tcPr>
          <w:p w14:paraId="2ACC43DC"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429" w:type="dxa"/>
            <w:shd w:val="clear" w:color="auto" w:fill="auto"/>
            <w:noWrap/>
            <w:vAlign w:val="bottom"/>
            <w:hideMark/>
          </w:tcPr>
          <w:p w14:paraId="79540D8F"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808" w:type="dxa"/>
            <w:gridSpan w:val="2"/>
            <w:shd w:val="clear" w:color="auto" w:fill="auto"/>
            <w:noWrap/>
            <w:vAlign w:val="bottom"/>
            <w:hideMark/>
          </w:tcPr>
          <w:p w14:paraId="28992175" w14:textId="77777777" w:rsidR="0064274C" w:rsidRPr="005A1746" w:rsidRDefault="0064274C" w:rsidP="00D76105">
            <w:pPr>
              <w:widowControl/>
              <w:spacing w:line="240" w:lineRule="auto"/>
              <w:contextualSpacing w:val="0"/>
              <w:jc w:val="right"/>
              <w:rPr>
                <w:rFonts w:ascii="Calibri" w:eastAsia="Times New Roman" w:hAnsi="Calibri"/>
                <w:bCs/>
                <w:color w:val="000000"/>
                <w:lang w:eastAsia="en-GB"/>
              </w:rPr>
            </w:pPr>
            <w:r w:rsidRPr="005A1746">
              <w:rPr>
                <w:rFonts w:ascii="Calibri" w:eastAsia="Times New Roman" w:hAnsi="Calibri"/>
                <w:bCs/>
                <w:color w:val="000000"/>
                <w:lang w:eastAsia="en-GB"/>
              </w:rPr>
              <w:t>688</w:t>
            </w:r>
          </w:p>
        </w:tc>
        <w:tc>
          <w:tcPr>
            <w:tcW w:w="8788" w:type="dxa"/>
            <w:shd w:val="clear" w:color="auto" w:fill="auto"/>
            <w:noWrap/>
            <w:vAlign w:val="bottom"/>
            <w:hideMark/>
          </w:tcPr>
          <w:p w14:paraId="100A56B3" w14:textId="19AEB3E0" w:rsidR="0064274C" w:rsidRPr="00D76105" w:rsidRDefault="0064274C"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color w:val="000000"/>
                <w:lang w:eastAsia="en-GB"/>
              </w:rPr>
              <w:t>ADelt 4 1918: 17; Hatzidakis  1919: 60; Van Effenterre 1963: 121-125, pl. 49 n. 1; Kanta 1980: 51; Rutkowski 1966: 121 n. 57 d; Merousis 2000: 151-151 n.112; Langohr 2009:81; Spiliotopoulou 2010, 106 pl. 33 n. 294</w:t>
            </w:r>
          </w:p>
        </w:tc>
      </w:tr>
      <w:tr w:rsidR="0033571D" w:rsidRPr="00D76105" w14:paraId="406648D9" w14:textId="77777777" w:rsidTr="00F52D43">
        <w:trPr>
          <w:trHeight w:val="315"/>
        </w:trPr>
        <w:tc>
          <w:tcPr>
            <w:tcW w:w="636" w:type="dxa"/>
            <w:shd w:val="clear" w:color="auto" w:fill="auto"/>
            <w:noWrap/>
            <w:vAlign w:val="bottom"/>
            <w:hideMark/>
          </w:tcPr>
          <w:p w14:paraId="3C17C239"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788</w:t>
            </w:r>
          </w:p>
        </w:tc>
        <w:tc>
          <w:tcPr>
            <w:tcW w:w="731" w:type="dxa"/>
            <w:shd w:val="clear" w:color="auto" w:fill="auto"/>
            <w:noWrap/>
            <w:vAlign w:val="bottom"/>
            <w:hideMark/>
          </w:tcPr>
          <w:p w14:paraId="7682D6C0"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7911</w:t>
            </w:r>
          </w:p>
        </w:tc>
        <w:tc>
          <w:tcPr>
            <w:tcW w:w="561" w:type="dxa"/>
            <w:shd w:val="clear" w:color="auto" w:fill="auto"/>
            <w:noWrap/>
            <w:vAlign w:val="bottom"/>
            <w:hideMark/>
          </w:tcPr>
          <w:p w14:paraId="14757FFC"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T344</w:t>
            </w:r>
          </w:p>
        </w:tc>
        <w:tc>
          <w:tcPr>
            <w:tcW w:w="1334" w:type="dxa"/>
            <w:gridSpan w:val="2"/>
            <w:shd w:val="clear" w:color="auto" w:fill="auto"/>
            <w:noWrap/>
            <w:vAlign w:val="bottom"/>
            <w:hideMark/>
          </w:tcPr>
          <w:p w14:paraId="7ABBA050"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MALIA AGIA PELAGIA</w:t>
            </w:r>
          </w:p>
        </w:tc>
        <w:tc>
          <w:tcPr>
            <w:tcW w:w="322" w:type="dxa"/>
            <w:shd w:val="clear" w:color="auto" w:fill="auto"/>
            <w:noWrap/>
            <w:vAlign w:val="bottom"/>
            <w:hideMark/>
          </w:tcPr>
          <w:p w14:paraId="0B021EFE"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429" w:type="dxa"/>
            <w:shd w:val="clear" w:color="auto" w:fill="auto"/>
            <w:noWrap/>
            <w:vAlign w:val="bottom"/>
            <w:hideMark/>
          </w:tcPr>
          <w:p w14:paraId="6B6BA88C"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808" w:type="dxa"/>
            <w:gridSpan w:val="2"/>
            <w:shd w:val="clear" w:color="auto" w:fill="auto"/>
            <w:noWrap/>
            <w:vAlign w:val="bottom"/>
            <w:hideMark/>
          </w:tcPr>
          <w:p w14:paraId="1C2DFE7E" w14:textId="77777777" w:rsidR="00D76105" w:rsidRPr="005A1746" w:rsidRDefault="00D76105" w:rsidP="00D76105">
            <w:pPr>
              <w:widowControl/>
              <w:spacing w:line="240" w:lineRule="auto"/>
              <w:contextualSpacing w:val="0"/>
              <w:jc w:val="right"/>
              <w:rPr>
                <w:rFonts w:ascii="Calibri" w:eastAsia="Times New Roman" w:hAnsi="Calibri"/>
                <w:bCs/>
                <w:color w:val="000000"/>
                <w:lang w:eastAsia="en-GB"/>
              </w:rPr>
            </w:pPr>
            <w:r w:rsidRPr="005A1746">
              <w:rPr>
                <w:rFonts w:ascii="Calibri" w:eastAsia="Times New Roman" w:hAnsi="Calibri"/>
                <w:bCs/>
                <w:color w:val="000000"/>
                <w:lang w:eastAsia="en-GB"/>
              </w:rPr>
              <w:t>688</w:t>
            </w:r>
          </w:p>
        </w:tc>
        <w:tc>
          <w:tcPr>
            <w:tcW w:w="8788" w:type="dxa"/>
            <w:shd w:val="clear" w:color="auto" w:fill="auto"/>
            <w:noWrap/>
            <w:vAlign w:val="bottom"/>
            <w:hideMark/>
          </w:tcPr>
          <w:p w14:paraId="2B88F686"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ADelt 4 1918: 17; Hatzidakis 1919: 60; Joly 1928: 148-150 pl 8; Van Effenterre 1963: 121-125, pl. 49 n. 2; Kanta 1980: 51; Rutkowski 1966: 121 n. 57 c ;235-236; Merousis 2000: 151-151 n.111 ; Langohr 2009: 81 Spiliotopoulou 2010:, 106 pl. 33 n. 293</w:t>
            </w:r>
          </w:p>
        </w:tc>
      </w:tr>
      <w:tr w:rsidR="0033571D" w:rsidRPr="00D76105" w14:paraId="05FCD191" w14:textId="77777777" w:rsidTr="00F52D43">
        <w:trPr>
          <w:trHeight w:val="315"/>
        </w:trPr>
        <w:tc>
          <w:tcPr>
            <w:tcW w:w="636" w:type="dxa"/>
            <w:shd w:val="clear" w:color="auto" w:fill="auto"/>
            <w:noWrap/>
            <w:vAlign w:val="bottom"/>
            <w:hideMark/>
          </w:tcPr>
          <w:p w14:paraId="2F058254"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801</w:t>
            </w:r>
          </w:p>
        </w:tc>
        <w:tc>
          <w:tcPr>
            <w:tcW w:w="731" w:type="dxa"/>
            <w:shd w:val="clear" w:color="auto" w:fill="auto"/>
            <w:noWrap/>
            <w:vAlign w:val="bottom"/>
            <w:hideMark/>
          </w:tcPr>
          <w:p w14:paraId="01658DA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7910</w:t>
            </w:r>
          </w:p>
        </w:tc>
        <w:tc>
          <w:tcPr>
            <w:tcW w:w="561" w:type="dxa"/>
            <w:shd w:val="clear" w:color="auto" w:fill="auto"/>
            <w:noWrap/>
            <w:vAlign w:val="bottom"/>
            <w:hideMark/>
          </w:tcPr>
          <w:p w14:paraId="2FF84843"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T346</w:t>
            </w:r>
          </w:p>
        </w:tc>
        <w:tc>
          <w:tcPr>
            <w:tcW w:w="1334" w:type="dxa"/>
            <w:gridSpan w:val="2"/>
            <w:shd w:val="clear" w:color="auto" w:fill="auto"/>
            <w:noWrap/>
            <w:vAlign w:val="bottom"/>
            <w:hideMark/>
          </w:tcPr>
          <w:p w14:paraId="62F91133"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MALIA AGIOS DIMITRIOS</w:t>
            </w:r>
          </w:p>
        </w:tc>
        <w:tc>
          <w:tcPr>
            <w:tcW w:w="322" w:type="dxa"/>
            <w:shd w:val="clear" w:color="auto" w:fill="auto"/>
            <w:noWrap/>
            <w:vAlign w:val="bottom"/>
            <w:hideMark/>
          </w:tcPr>
          <w:p w14:paraId="0815B539"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429" w:type="dxa"/>
            <w:shd w:val="clear" w:color="auto" w:fill="auto"/>
            <w:noWrap/>
            <w:vAlign w:val="bottom"/>
            <w:hideMark/>
          </w:tcPr>
          <w:p w14:paraId="43D605DA"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808" w:type="dxa"/>
            <w:gridSpan w:val="2"/>
            <w:shd w:val="clear" w:color="auto" w:fill="auto"/>
            <w:noWrap/>
            <w:vAlign w:val="bottom"/>
            <w:hideMark/>
          </w:tcPr>
          <w:p w14:paraId="04AB543D" w14:textId="77777777" w:rsidR="00D76105" w:rsidRPr="005A1746" w:rsidRDefault="00D76105" w:rsidP="00D76105">
            <w:pPr>
              <w:widowControl/>
              <w:spacing w:line="240" w:lineRule="auto"/>
              <w:contextualSpacing w:val="0"/>
              <w:jc w:val="right"/>
              <w:rPr>
                <w:rFonts w:ascii="Calibri" w:eastAsia="Times New Roman" w:hAnsi="Calibri"/>
                <w:bCs/>
                <w:color w:val="000000"/>
                <w:lang w:eastAsia="en-GB"/>
              </w:rPr>
            </w:pPr>
            <w:r w:rsidRPr="005A1746">
              <w:rPr>
                <w:rFonts w:ascii="Calibri" w:eastAsia="Times New Roman" w:hAnsi="Calibri"/>
                <w:bCs/>
                <w:color w:val="000000"/>
                <w:lang w:eastAsia="en-GB"/>
              </w:rPr>
              <w:t>687</w:t>
            </w:r>
          </w:p>
        </w:tc>
        <w:tc>
          <w:tcPr>
            <w:tcW w:w="8788" w:type="dxa"/>
            <w:shd w:val="clear" w:color="auto" w:fill="auto"/>
            <w:noWrap/>
            <w:vAlign w:val="bottom"/>
            <w:hideMark/>
          </w:tcPr>
          <w:p w14:paraId="3BCB6C0C"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Joly 1928: 151-153 fig. 1-2, pl. 9; Van Effenterre 1963: 125-126 pl. 51; Rutkowski 1966: 121 n. 57f; Van Effenterre 1980: 44 fig. 60-61; Watrous 1991: 293 pl. 88 f; Merousis 2000: 152 n.113; Langohr 2009: 81 Spiliotopoulou 2010: 106-107 pl.33 n. 295.</w:t>
            </w:r>
          </w:p>
        </w:tc>
      </w:tr>
      <w:tr w:rsidR="0033571D" w:rsidRPr="00D76105" w14:paraId="3D2A6CD5" w14:textId="77777777" w:rsidTr="00F52D43">
        <w:trPr>
          <w:trHeight w:val="315"/>
        </w:trPr>
        <w:tc>
          <w:tcPr>
            <w:tcW w:w="636" w:type="dxa"/>
            <w:shd w:val="clear" w:color="auto" w:fill="auto"/>
            <w:noWrap/>
            <w:vAlign w:val="bottom"/>
            <w:hideMark/>
          </w:tcPr>
          <w:p w14:paraId="4F006CE9"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783</w:t>
            </w:r>
          </w:p>
        </w:tc>
        <w:tc>
          <w:tcPr>
            <w:tcW w:w="731" w:type="dxa"/>
            <w:shd w:val="clear" w:color="auto" w:fill="auto"/>
            <w:noWrap/>
            <w:vAlign w:val="bottom"/>
            <w:hideMark/>
          </w:tcPr>
          <w:p w14:paraId="5E5EFA30"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MH 7408</w:t>
            </w:r>
          </w:p>
        </w:tc>
        <w:tc>
          <w:tcPr>
            <w:tcW w:w="561" w:type="dxa"/>
            <w:shd w:val="clear" w:color="auto" w:fill="auto"/>
            <w:noWrap/>
            <w:vAlign w:val="bottom"/>
            <w:hideMark/>
          </w:tcPr>
          <w:p w14:paraId="7CB0F194"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T343</w:t>
            </w:r>
          </w:p>
        </w:tc>
        <w:tc>
          <w:tcPr>
            <w:tcW w:w="1334" w:type="dxa"/>
            <w:gridSpan w:val="2"/>
            <w:shd w:val="clear" w:color="auto" w:fill="auto"/>
            <w:noWrap/>
            <w:vAlign w:val="bottom"/>
            <w:hideMark/>
          </w:tcPr>
          <w:p w14:paraId="2B30BB6B"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MALIA AZIMO</w:t>
            </w:r>
          </w:p>
        </w:tc>
        <w:tc>
          <w:tcPr>
            <w:tcW w:w="322" w:type="dxa"/>
            <w:shd w:val="clear" w:color="auto" w:fill="auto"/>
            <w:noWrap/>
            <w:vAlign w:val="bottom"/>
            <w:hideMark/>
          </w:tcPr>
          <w:p w14:paraId="0792CD11"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429" w:type="dxa"/>
            <w:shd w:val="clear" w:color="auto" w:fill="auto"/>
            <w:noWrap/>
            <w:vAlign w:val="bottom"/>
            <w:hideMark/>
          </w:tcPr>
          <w:p w14:paraId="25D1CCCF"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808" w:type="dxa"/>
            <w:gridSpan w:val="2"/>
            <w:shd w:val="clear" w:color="auto" w:fill="auto"/>
            <w:noWrap/>
            <w:vAlign w:val="bottom"/>
            <w:hideMark/>
          </w:tcPr>
          <w:p w14:paraId="7CAAED8C" w14:textId="77777777" w:rsidR="0064274C" w:rsidRPr="005A1746" w:rsidRDefault="0064274C" w:rsidP="00D76105">
            <w:pPr>
              <w:widowControl/>
              <w:spacing w:line="240" w:lineRule="auto"/>
              <w:contextualSpacing w:val="0"/>
              <w:jc w:val="right"/>
              <w:rPr>
                <w:rFonts w:ascii="Calibri" w:eastAsia="Times New Roman" w:hAnsi="Calibri"/>
                <w:bCs/>
                <w:color w:val="000000"/>
                <w:lang w:eastAsia="en-GB"/>
              </w:rPr>
            </w:pPr>
            <w:r w:rsidRPr="005A1746">
              <w:rPr>
                <w:rFonts w:ascii="Calibri" w:eastAsia="Times New Roman" w:hAnsi="Calibri"/>
                <w:bCs/>
                <w:color w:val="000000"/>
                <w:lang w:eastAsia="en-GB"/>
              </w:rPr>
              <w:t>692</w:t>
            </w:r>
          </w:p>
        </w:tc>
        <w:tc>
          <w:tcPr>
            <w:tcW w:w="8788" w:type="dxa"/>
            <w:shd w:val="clear" w:color="auto" w:fill="auto"/>
            <w:noWrap/>
            <w:vAlign w:val="bottom"/>
            <w:hideMark/>
          </w:tcPr>
          <w:p w14:paraId="6AB50269" w14:textId="68072AC1" w:rsidR="0064274C" w:rsidRPr="00D76105" w:rsidRDefault="0064274C"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color w:val="000000"/>
                <w:lang w:eastAsia="en-GB"/>
              </w:rPr>
              <w:t>Van Effenterre 1963: 116-118 pl. 46 n. 4; Rutkowski 1966: 121 n. 57a; Merousis 2000: 150-151 n.110;Langohr 2009: 81; Spiliotopoulou 2010: 105-106 pl. 33 n. 290.</w:t>
            </w:r>
          </w:p>
        </w:tc>
      </w:tr>
      <w:tr w:rsidR="0033571D" w:rsidRPr="00D76105" w14:paraId="016B3F40" w14:textId="77777777" w:rsidTr="00F52D43">
        <w:trPr>
          <w:trHeight w:val="315"/>
        </w:trPr>
        <w:tc>
          <w:tcPr>
            <w:tcW w:w="636" w:type="dxa"/>
            <w:shd w:val="clear" w:color="auto" w:fill="auto"/>
            <w:noWrap/>
            <w:vAlign w:val="bottom"/>
            <w:hideMark/>
          </w:tcPr>
          <w:p w14:paraId="1F9DF66E"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803</w:t>
            </w:r>
          </w:p>
        </w:tc>
        <w:tc>
          <w:tcPr>
            <w:tcW w:w="731" w:type="dxa"/>
            <w:shd w:val="clear" w:color="auto" w:fill="auto"/>
            <w:noWrap/>
            <w:vAlign w:val="bottom"/>
            <w:hideMark/>
          </w:tcPr>
          <w:p w14:paraId="0A03A5A4"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larnax A</w:t>
            </w:r>
          </w:p>
        </w:tc>
        <w:tc>
          <w:tcPr>
            <w:tcW w:w="561" w:type="dxa"/>
            <w:shd w:val="clear" w:color="auto" w:fill="auto"/>
            <w:noWrap/>
            <w:vAlign w:val="bottom"/>
            <w:hideMark/>
          </w:tcPr>
          <w:p w14:paraId="48F64996"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T394</w:t>
            </w:r>
          </w:p>
        </w:tc>
        <w:tc>
          <w:tcPr>
            <w:tcW w:w="1334" w:type="dxa"/>
            <w:gridSpan w:val="2"/>
            <w:shd w:val="clear" w:color="auto" w:fill="auto"/>
            <w:noWrap/>
            <w:vAlign w:val="bottom"/>
            <w:hideMark/>
          </w:tcPr>
          <w:p w14:paraId="2B71E47F"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MALIA KOKKINO PYRGOS</w:t>
            </w:r>
          </w:p>
        </w:tc>
        <w:tc>
          <w:tcPr>
            <w:tcW w:w="322" w:type="dxa"/>
            <w:shd w:val="clear" w:color="auto" w:fill="auto"/>
            <w:noWrap/>
            <w:vAlign w:val="bottom"/>
            <w:hideMark/>
          </w:tcPr>
          <w:p w14:paraId="4B57B048"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429" w:type="dxa"/>
            <w:shd w:val="clear" w:color="auto" w:fill="auto"/>
            <w:noWrap/>
            <w:vAlign w:val="bottom"/>
            <w:hideMark/>
          </w:tcPr>
          <w:p w14:paraId="7E129351"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808" w:type="dxa"/>
            <w:gridSpan w:val="2"/>
            <w:shd w:val="clear" w:color="auto" w:fill="auto"/>
            <w:noWrap/>
            <w:vAlign w:val="bottom"/>
            <w:hideMark/>
          </w:tcPr>
          <w:p w14:paraId="29AA9079" w14:textId="77777777" w:rsidR="0064274C" w:rsidRPr="005A1746" w:rsidRDefault="0064274C" w:rsidP="00D76105">
            <w:pPr>
              <w:widowControl/>
              <w:spacing w:line="240" w:lineRule="auto"/>
              <w:contextualSpacing w:val="0"/>
              <w:jc w:val="right"/>
              <w:rPr>
                <w:rFonts w:ascii="Calibri" w:eastAsia="Times New Roman" w:hAnsi="Calibri"/>
                <w:bCs/>
                <w:color w:val="000000"/>
                <w:lang w:eastAsia="en-GB"/>
              </w:rPr>
            </w:pPr>
            <w:r w:rsidRPr="005A1746">
              <w:rPr>
                <w:rFonts w:ascii="Calibri" w:eastAsia="Times New Roman" w:hAnsi="Calibri"/>
                <w:bCs/>
                <w:color w:val="000000"/>
                <w:lang w:eastAsia="en-GB"/>
              </w:rPr>
              <w:t>693</w:t>
            </w:r>
          </w:p>
        </w:tc>
        <w:tc>
          <w:tcPr>
            <w:tcW w:w="8788" w:type="dxa"/>
            <w:shd w:val="clear" w:color="auto" w:fill="auto"/>
            <w:noWrap/>
            <w:vAlign w:val="bottom"/>
            <w:hideMark/>
          </w:tcPr>
          <w:p w14:paraId="5145E4E6" w14:textId="00A67EFE" w:rsidR="0064274C" w:rsidRPr="00D76105" w:rsidRDefault="0064274C"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color w:val="000000"/>
                <w:lang w:eastAsia="en-GB"/>
              </w:rPr>
              <w:t xml:space="preserve">Van Effenterre 1963: 127-128, pl. 52; Van Effenterre 1980; Merousis 2000: 153; Langohr 2009: 81; Spiliotopoulou 2010: 107 pl. 34 n.296; </w:t>
            </w:r>
          </w:p>
        </w:tc>
      </w:tr>
      <w:tr w:rsidR="0033571D" w:rsidRPr="00D76105" w14:paraId="49F2F4E9" w14:textId="77777777" w:rsidTr="00F52D43">
        <w:trPr>
          <w:trHeight w:val="315"/>
        </w:trPr>
        <w:tc>
          <w:tcPr>
            <w:tcW w:w="636" w:type="dxa"/>
            <w:shd w:val="clear" w:color="auto" w:fill="auto"/>
            <w:noWrap/>
            <w:vAlign w:val="bottom"/>
            <w:hideMark/>
          </w:tcPr>
          <w:p w14:paraId="0A6618C0"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804</w:t>
            </w:r>
          </w:p>
        </w:tc>
        <w:tc>
          <w:tcPr>
            <w:tcW w:w="731" w:type="dxa"/>
            <w:shd w:val="clear" w:color="auto" w:fill="auto"/>
            <w:noWrap/>
            <w:vAlign w:val="bottom"/>
            <w:hideMark/>
          </w:tcPr>
          <w:p w14:paraId="09D02E75"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8555</w:t>
            </w:r>
          </w:p>
        </w:tc>
        <w:tc>
          <w:tcPr>
            <w:tcW w:w="561" w:type="dxa"/>
            <w:shd w:val="clear" w:color="auto" w:fill="auto"/>
            <w:noWrap/>
            <w:vAlign w:val="bottom"/>
            <w:hideMark/>
          </w:tcPr>
          <w:p w14:paraId="12930008"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T347</w:t>
            </w:r>
          </w:p>
        </w:tc>
        <w:tc>
          <w:tcPr>
            <w:tcW w:w="1334" w:type="dxa"/>
            <w:gridSpan w:val="2"/>
            <w:shd w:val="clear" w:color="auto" w:fill="auto"/>
            <w:noWrap/>
            <w:vAlign w:val="bottom"/>
            <w:hideMark/>
          </w:tcPr>
          <w:p w14:paraId="2C74F39C"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MALIA PIERRE MEULIERES</w:t>
            </w:r>
          </w:p>
        </w:tc>
        <w:tc>
          <w:tcPr>
            <w:tcW w:w="322" w:type="dxa"/>
            <w:shd w:val="clear" w:color="auto" w:fill="auto"/>
            <w:noWrap/>
            <w:vAlign w:val="bottom"/>
            <w:hideMark/>
          </w:tcPr>
          <w:p w14:paraId="1DB26873"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429" w:type="dxa"/>
            <w:shd w:val="clear" w:color="auto" w:fill="auto"/>
            <w:noWrap/>
            <w:vAlign w:val="bottom"/>
            <w:hideMark/>
          </w:tcPr>
          <w:p w14:paraId="605DCB85"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808" w:type="dxa"/>
            <w:gridSpan w:val="2"/>
            <w:shd w:val="clear" w:color="auto" w:fill="auto"/>
            <w:noWrap/>
            <w:vAlign w:val="bottom"/>
            <w:hideMark/>
          </w:tcPr>
          <w:p w14:paraId="0955974E" w14:textId="77777777" w:rsidR="0064274C" w:rsidRPr="005A1746" w:rsidRDefault="0064274C" w:rsidP="00D76105">
            <w:pPr>
              <w:widowControl/>
              <w:spacing w:line="240" w:lineRule="auto"/>
              <w:contextualSpacing w:val="0"/>
              <w:jc w:val="right"/>
              <w:rPr>
                <w:rFonts w:ascii="Calibri" w:eastAsia="Times New Roman" w:hAnsi="Calibri"/>
                <w:bCs/>
                <w:color w:val="000000"/>
                <w:lang w:eastAsia="en-GB"/>
              </w:rPr>
            </w:pPr>
            <w:r w:rsidRPr="005A1746">
              <w:rPr>
                <w:rFonts w:ascii="Calibri" w:eastAsia="Times New Roman" w:hAnsi="Calibri"/>
                <w:bCs/>
                <w:color w:val="000000"/>
                <w:lang w:eastAsia="en-GB"/>
              </w:rPr>
              <w:t>695</w:t>
            </w:r>
          </w:p>
        </w:tc>
        <w:tc>
          <w:tcPr>
            <w:tcW w:w="8788" w:type="dxa"/>
            <w:shd w:val="clear" w:color="auto" w:fill="auto"/>
            <w:noWrap/>
            <w:vAlign w:val="bottom"/>
            <w:hideMark/>
          </w:tcPr>
          <w:p w14:paraId="65F6D915" w14:textId="73B4FE99" w:rsidR="0064274C" w:rsidRPr="00D76105" w:rsidRDefault="0064274C"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color w:val="000000"/>
                <w:lang w:eastAsia="en-GB"/>
              </w:rPr>
              <w:t>Van Effenterre 1963: 98, pl. 39; Kanta 1980: 51;  Merousis 2000: 153 n. 114; Langohr 2009: 81; Spiliotopoulou 2010: 107 pl. 34 n. 298</w:t>
            </w:r>
          </w:p>
        </w:tc>
      </w:tr>
      <w:tr w:rsidR="0033571D" w:rsidRPr="00D76105" w14:paraId="71291403" w14:textId="77777777" w:rsidTr="00F52D43">
        <w:trPr>
          <w:trHeight w:val="315"/>
        </w:trPr>
        <w:tc>
          <w:tcPr>
            <w:tcW w:w="636" w:type="dxa"/>
            <w:shd w:val="clear" w:color="auto" w:fill="auto"/>
            <w:noWrap/>
            <w:vAlign w:val="bottom"/>
            <w:hideMark/>
          </w:tcPr>
          <w:p w14:paraId="08AA7945"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809</w:t>
            </w:r>
          </w:p>
        </w:tc>
        <w:tc>
          <w:tcPr>
            <w:tcW w:w="731" w:type="dxa"/>
            <w:shd w:val="clear" w:color="auto" w:fill="auto"/>
            <w:noWrap/>
            <w:vAlign w:val="bottom"/>
            <w:hideMark/>
          </w:tcPr>
          <w:p w14:paraId="0EFB11C1"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p>
        </w:tc>
        <w:tc>
          <w:tcPr>
            <w:tcW w:w="561" w:type="dxa"/>
            <w:shd w:val="clear" w:color="auto" w:fill="auto"/>
            <w:noWrap/>
            <w:vAlign w:val="bottom"/>
            <w:hideMark/>
          </w:tcPr>
          <w:p w14:paraId="50E4C9BE"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T348</w:t>
            </w:r>
          </w:p>
        </w:tc>
        <w:tc>
          <w:tcPr>
            <w:tcW w:w="1334" w:type="dxa"/>
            <w:gridSpan w:val="2"/>
            <w:shd w:val="clear" w:color="auto" w:fill="auto"/>
            <w:noWrap/>
            <w:vAlign w:val="bottom"/>
            <w:hideMark/>
          </w:tcPr>
          <w:p w14:paraId="741C5370"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MALIA VILLAGE</w:t>
            </w:r>
          </w:p>
        </w:tc>
        <w:tc>
          <w:tcPr>
            <w:tcW w:w="322" w:type="dxa"/>
            <w:shd w:val="clear" w:color="auto" w:fill="auto"/>
            <w:noWrap/>
            <w:vAlign w:val="bottom"/>
            <w:hideMark/>
          </w:tcPr>
          <w:p w14:paraId="7DB9F295"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429" w:type="dxa"/>
            <w:shd w:val="clear" w:color="auto" w:fill="auto"/>
            <w:noWrap/>
            <w:vAlign w:val="bottom"/>
            <w:hideMark/>
          </w:tcPr>
          <w:p w14:paraId="619C4AEB"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808" w:type="dxa"/>
            <w:gridSpan w:val="2"/>
            <w:shd w:val="clear" w:color="auto" w:fill="auto"/>
            <w:noWrap/>
            <w:vAlign w:val="bottom"/>
            <w:hideMark/>
          </w:tcPr>
          <w:p w14:paraId="43F2FEE6" w14:textId="77777777" w:rsidR="0064274C" w:rsidRPr="005A1746" w:rsidRDefault="0064274C" w:rsidP="00D76105">
            <w:pPr>
              <w:widowControl/>
              <w:spacing w:line="240" w:lineRule="auto"/>
              <w:contextualSpacing w:val="0"/>
              <w:jc w:val="right"/>
              <w:rPr>
                <w:rFonts w:ascii="Calibri" w:eastAsia="Times New Roman" w:hAnsi="Calibri"/>
                <w:color w:val="000000"/>
                <w:lang w:eastAsia="en-GB"/>
              </w:rPr>
            </w:pPr>
            <w:r w:rsidRPr="005A1746">
              <w:rPr>
                <w:rFonts w:ascii="Calibri" w:eastAsia="Times New Roman" w:hAnsi="Calibri"/>
                <w:color w:val="000000"/>
                <w:lang w:eastAsia="en-GB"/>
              </w:rPr>
              <w:t>686</w:t>
            </w:r>
          </w:p>
        </w:tc>
        <w:tc>
          <w:tcPr>
            <w:tcW w:w="8788" w:type="dxa"/>
            <w:shd w:val="clear" w:color="auto" w:fill="auto"/>
            <w:noWrap/>
            <w:vAlign w:val="bottom"/>
            <w:hideMark/>
          </w:tcPr>
          <w:p w14:paraId="247D2CB6" w14:textId="2D0A5C97" w:rsidR="0064274C" w:rsidRPr="00D76105" w:rsidRDefault="0064274C"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color w:val="000000"/>
                <w:lang w:eastAsia="en-GB"/>
              </w:rPr>
              <w:t>Ergon 1974: 115; Kanta 1980: 52; Merousis 2000: 153-154 n. 116; Langohr 2008: 81; Spiliotopoulou 2010: 107 n. 299</w:t>
            </w:r>
          </w:p>
        </w:tc>
      </w:tr>
      <w:tr w:rsidR="0033571D" w:rsidRPr="00D76105" w14:paraId="7A4BEDF4" w14:textId="77777777" w:rsidTr="00F52D43">
        <w:trPr>
          <w:trHeight w:val="315"/>
        </w:trPr>
        <w:tc>
          <w:tcPr>
            <w:tcW w:w="636" w:type="dxa"/>
            <w:shd w:val="clear" w:color="auto" w:fill="auto"/>
            <w:noWrap/>
            <w:vAlign w:val="bottom"/>
            <w:hideMark/>
          </w:tcPr>
          <w:p w14:paraId="4FF1A562"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517</w:t>
            </w:r>
          </w:p>
        </w:tc>
        <w:tc>
          <w:tcPr>
            <w:tcW w:w="731" w:type="dxa"/>
            <w:shd w:val="clear" w:color="auto" w:fill="auto"/>
            <w:noWrap/>
            <w:vAlign w:val="bottom"/>
            <w:hideMark/>
          </w:tcPr>
          <w:p w14:paraId="046288D5"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1614</w:t>
            </w:r>
          </w:p>
        </w:tc>
        <w:tc>
          <w:tcPr>
            <w:tcW w:w="561" w:type="dxa"/>
            <w:shd w:val="clear" w:color="auto" w:fill="auto"/>
            <w:noWrap/>
            <w:vAlign w:val="bottom"/>
            <w:hideMark/>
          </w:tcPr>
          <w:p w14:paraId="5327F9E4"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T222</w:t>
            </w:r>
          </w:p>
        </w:tc>
        <w:tc>
          <w:tcPr>
            <w:tcW w:w="1334" w:type="dxa"/>
            <w:gridSpan w:val="2"/>
            <w:shd w:val="clear" w:color="auto" w:fill="auto"/>
            <w:noWrap/>
            <w:vAlign w:val="bottom"/>
            <w:hideMark/>
          </w:tcPr>
          <w:p w14:paraId="3FAA879B"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MILATOS</w:t>
            </w:r>
          </w:p>
        </w:tc>
        <w:tc>
          <w:tcPr>
            <w:tcW w:w="322" w:type="dxa"/>
            <w:shd w:val="clear" w:color="auto" w:fill="auto"/>
            <w:noWrap/>
            <w:vAlign w:val="bottom"/>
            <w:hideMark/>
          </w:tcPr>
          <w:p w14:paraId="0C210EBE"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429" w:type="dxa"/>
            <w:shd w:val="clear" w:color="auto" w:fill="auto"/>
            <w:noWrap/>
            <w:vAlign w:val="bottom"/>
            <w:hideMark/>
          </w:tcPr>
          <w:p w14:paraId="6B3F42CC"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808" w:type="dxa"/>
            <w:gridSpan w:val="2"/>
            <w:shd w:val="clear" w:color="auto" w:fill="auto"/>
            <w:noWrap/>
            <w:vAlign w:val="bottom"/>
            <w:hideMark/>
          </w:tcPr>
          <w:p w14:paraId="74F279A7" w14:textId="77777777" w:rsidR="0064274C" w:rsidRPr="005A1746" w:rsidRDefault="0064274C" w:rsidP="00D76105">
            <w:pPr>
              <w:widowControl/>
              <w:spacing w:line="240" w:lineRule="auto"/>
              <w:contextualSpacing w:val="0"/>
              <w:jc w:val="right"/>
              <w:rPr>
                <w:rFonts w:ascii="Calibri" w:eastAsia="Times New Roman" w:hAnsi="Calibri"/>
                <w:bCs/>
                <w:color w:val="000000"/>
                <w:lang w:eastAsia="en-GB"/>
              </w:rPr>
            </w:pPr>
            <w:r w:rsidRPr="005A1746">
              <w:rPr>
                <w:rFonts w:ascii="Calibri" w:eastAsia="Times New Roman" w:hAnsi="Calibri"/>
                <w:bCs/>
                <w:color w:val="000000"/>
                <w:lang w:eastAsia="en-GB"/>
              </w:rPr>
              <w:t>202</w:t>
            </w:r>
          </w:p>
        </w:tc>
        <w:tc>
          <w:tcPr>
            <w:tcW w:w="8788" w:type="dxa"/>
            <w:shd w:val="clear" w:color="auto" w:fill="auto"/>
            <w:noWrap/>
            <w:vAlign w:val="bottom"/>
            <w:hideMark/>
          </w:tcPr>
          <w:p w14:paraId="77A11913" w14:textId="001D405A" w:rsidR="0064274C" w:rsidRPr="00D76105" w:rsidRDefault="0064274C"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color w:val="000000"/>
                <w:lang w:eastAsia="en-GB"/>
              </w:rPr>
              <w:t>Orsi 1890: 208-209, pl. 1-2; Kanta 1980: 125, fig. 52.5; Watrous 1991: pl. 85f; Merousis 2000: p. 163; Spiliotopoulou 2010: 70, pl. 14; Langohr 2009: 135-139</w:t>
            </w:r>
          </w:p>
        </w:tc>
      </w:tr>
      <w:tr w:rsidR="0033571D" w:rsidRPr="00D76105" w14:paraId="72C2E94B" w14:textId="77777777" w:rsidTr="00F52D43">
        <w:trPr>
          <w:trHeight w:val="315"/>
        </w:trPr>
        <w:tc>
          <w:tcPr>
            <w:tcW w:w="636" w:type="dxa"/>
            <w:shd w:val="clear" w:color="auto" w:fill="auto"/>
            <w:noWrap/>
            <w:vAlign w:val="bottom"/>
            <w:hideMark/>
          </w:tcPr>
          <w:p w14:paraId="4DF493D0"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520</w:t>
            </w:r>
          </w:p>
        </w:tc>
        <w:tc>
          <w:tcPr>
            <w:tcW w:w="731" w:type="dxa"/>
            <w:shd w:val="clear" w:color="auto" w:fill="auto"/>
            <w:noWrap/>
            <w:vAlign w:val="bottom"/>
            <w:hideMark/>
          </w:tcPr>
          <w:p w14:paraId="3AD77B3D"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1617</w:t>
            </w:r>
          </w:p>
        </w:tc>
        <w:tc>
          <w:tcPr>
            <w:tcW w:w="561" w:type="dxa"/>
            <w:shd w:val="clear" w:color="auto" w:fill="auto"/>
            <w:noWrap/>
            <w:vAlign w:val="bottom"/>
            <w:hideMark/>
          </w:tcPr>
          <w:p w14:paraId="779FA37B"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T223</w:t>
            </w:r>
          </w:p>
        </w:tc>
        <w:tc>
          <w:tcPr>
            <w:tcW w:w="1334" w:type="dxa"/>
            <w:gridSpan w:val="2"/>
            <w:shd w:val="clear" w:color="auto" w:fill="auto"/>
            <w:noWrap/>
            <w:vAlign w:val="bottom"/>
            <w:hideMark/>
          </w:tcPr>
          <w:p w14:paraId="424F9B1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MILATOS</w:t>
            </w:r>
          </w:p>
        </w:tc>
        <w:tc>
          <w:tcPr>
            <w:tcW w:w="322" w:type="dxa"/>
            <w:shd w:val="clear" w:color="auto" w:fill="auto"/>
            <w:noWrap/>
            <w:vAlign w:val="bottom"/>
            <w:hideMark/>
          </w:tcPr>
          <w:p w14:paraId="02FDD9D7"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429" w:type="dxa"/>
            <w:shd w:val="clear" w:color="auto" w:fill="auto"/>
            <w:noWrap/>
            <w:vAlign w:val="bottom"/>
            <w:hideMark/>
          </w:tcPr>
          <w:p w14:paraId="5F9AB2B8" w14:textId="77777777" w:rsidR="00D76105" w:rsidRPr="00D76105" w:rsidRDefault="00D76105"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808" w:type="dxa"/>
            <w:gridSpan w:val="2"/>
            <w:shd w:val="clear" w:color="auto" w:fill="auto"/>
            <w:noWrap/>
            <w:vAlign w:val="bottom"/>
            <w:hideMark/>
          </w:tcPr>
          <w:p w14:paraId="4CC71DBA" w14:textId="77777777" w:rsidR="00D76105" w:rsidRPr="005A1746" w:rsidRDefault="00D76105" w:rsidP="00D76105">
            <w:pPr>
              <w:widowControl/>
              <w:spacing w:line="240" w:lineRule="auto"/>
              <w:contextualSpacing w:val="0"/>
              <w:jc w:val="right"/>
              <w:rPr>
                <w:rFonts w:ascii="Calibri" w:eastAsia="Times New Roman" w:hAnsi="Calibri"/>
                <w:bCs/>
                <w:color w:val="000000"/>
                <w:lang w:eastAsia="en-GB"/>
              </w:rPr>
            </w:pPr>
            <w:r w:rsidRPr="005A1746">
              <w:rPr>
                <w:rFonts w:ascii="Calibri" w:eastAsia="Times New Roman" w:hAnsi="Calibri"/>
                <w:bCs/>
                <w:color w:val="000000"/>
                <w:lang w:eastAsia="en-GB"/>
              </w:rPr>
              <w:t>203</w:t>
            </w:r>
          </w:p>
        </w:tc>
        <w:tc>
          <w:tcPr>
            <w:tcW w:w="8788" w:type="dxa"/>
            <w:shd w:val="clear" w:color="auto" w:fill="auto"/>
            <w:noWrap/>
            <w:vAlign w:val="bottom"/>
            <w:hideMark/>
          </w:tcPr>
          <w:p w14:paraId="0DCC5419" w14:textId="77777777" w:rsidR="00D76105" w:rsidRPr="00D76105" w:rsidRDefault="00D76105"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Evans 1906: 483-493 pl.489; Alexiou 1958: 217-218, 293, pl. IA, fig. 1; Vermule 1965: 136; Kanta 1980: 125-126 pl. 54.7 ; Morgan 1987: 191; Pologiorgi 1990: 217-218; Merousis 2000: 163-164; Spiliotopoulou 2010: 70,  pl. 14 n. 108; Langohr 2009: 83-84</w:t>
            </w:r>
          </w:p>
        </w:tc>
      </w:tr>
      <w:tr w:rsidR="0033571D" w:rsidRPr="00D76105" w14:paraId="2AB88241" w14:textId="77777777" w:rsidTr="00F52D43">
        <w:trPr>
          <w:trHeight w:val="315"/>
        </w:trPr>
        <w:tc>
          <w:tcPr>
            <w:tcW w:w="636" w:type="dxa"/>
            <w:shd w:val="clear" w:color="auto" w:fill="auto"/>
            <w:noWrap/>
            <w:vAlign w:val="bottom"/>
            <w:hideMark/>
          </w:tcPr>
          <w:p w14:paraId="3A7CD483"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522</w:t>
            </w:r>
          </w:p>
        </w:tc>
        <w:tc>
          <w:tcPr>
            <w:tcW w:w="731" w:type="dxa"/>
            <w:shd w:val="clear" w:color="auto" w:fill="auto"/>
            <w:noWrap/>
            <w:vAlign w:val="bottom"/>
            <w:hideMark/>
          </w:tcPr>
          <w:p w14:paraId="61F17F94"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7400</w:t>
            </w:r>
          </w:p>
        </w:tc>
        <w:tc>
          <w:tcPr>
            <w:tcW w:w="561" w:type="dxa"/>
            <w:shd w:val="clear" w:color="auto" w:fill="auto"/>
            <w:noWrap/>
            <w:vAlign w:val="bottom"/>
            <w:hideMark/>
          </w:tcPr>
          <w:p w14:paraId="08B83061"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T224</w:t>
            </w:r>
          </w:p>
        </w:tc>
        <w:tc>
          <w:tcPr>
            <w:tcW w:w="1334" w:type="dxa"/>
            <w:gridSpan w:val="2"/>
            <w:shd w:val="clear" w:color="auto" w:fill="auto"/>
            <w:noWrap/>
            <w:vAlign w:val="bottom"/>
            <w:hideMark/>
          </w:tcPr>
          <w:p w14:paraId="1D24A406"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MILATOS</w:t>
            </w:r>
          </w:p>
        </w:tc>
        <w:tc>
          <w:tcPr>
            <w:tcW w:w="322" w:type="dxa"/>
            <w:shd w:val="clear" w:color="auto" w:fill="auto"/>
            <w:noWrap/>
            <w:vAlign w:val="bottom"/>
            <w:hideMark/>
          </w:tcPr>
          <w:p w14:paraId="21B54928"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429" w:type="dxa"/>
            <w:shd w:val="clear" w:color="auto" w:fill="auto"/>
            <w:noWrap/>
            <w:vAlign w:val="bottom"/>
            <w:hideMark/>
          </w:tcPr>
          <w:p w14:paraId="42C4483E"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808" w:type="dxa"/>
            <w:gridSpan w:val="2"/>
            <w:shd w:val="clear" w:color="auto" w:fill="auto"/>
            <w:noWrap/>
            <w:vAlign w:val="bottom"/>
            <w:hideMark/>
          </w:tcPr>
          <w:p w14:paraId="7F143BA6" w14:textId="77777777" w:rsidR="0064274C" w:rsidRPr="005A1746" w:rsidRDefault="0064274C" w:rsidP="00D76105">
            <w:pPr>
              <w:widowControl/>
              <w:spacing w:line="240" w:lineRule="auto"/>
              <w:contextualSpacing w:val="0"/>
              <w:jc w:val="right"/>
              <w:rPr>
                <w:rFonts w:ascii="Calibri" w:eastAsia="Times New Roman" w:hAnsi="Calibri"/>
                <w:bCs/>
                <w:color w:val="000000"/>
                <w:lang w:eastAsia="en-GB"/>
              </w:rPr>
            </w:pPr>
            <w:r w:rsidRPr="005A1746">
              <w:rPr>
                <w:rFonts w:ascii="Calibri" w:eastAsia="Times New Roman" w:hAnsi="Calibri"/>
                <w:bCs/>
                <w:color w:val="000000"/>
                <w:lang w:eastAsia="en-GB"/>
              </w:rPr>
              <w:t>204</w:t>
            </w:r>
          </w:p>
        </w:tc>
        <w:tc>
          <w:tcPr>
            <w:tcW w:w="8788" w:type="dxa"/>
            <w:shd w:val="clear" w:color="auto" w:fill="auto"/>
            <w:noWrap/>
            <w:vAlign w:val="bottom"/>
            <w:hideMark/>
          </w:tcPr>
          <w:p w14:paraId="61A8FB2B" w14:textId="70D68BAD" w:rsidR="0064274C" w:rsidRPr="00D76105" w:rsidRDefault="0064274C"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color w:val="000000"/>
                <w:lang w:eastAsia="en-GB"/>
              </w:rPr>
              <w:t>ADelt 6 1920-1: 154-157 fig. 4; Kanta 1980, 127-128, fig. 52.6, pl. 133.2; Morgan 1987, 183; Lõwe 1997: 142 n. 204; Merousis 2000, 163-164; Spiliotopoulou 70 pl.15 n. 109; Langohr 2008, 135-139.</w:t>
            </w:r>
          </w:p>
        </w:tc>
      </w:tr>
      <w:tr w:rsidR="0033571D" w:rsidRPr="00D76105" w14:paraId="0B4E2A95" w14:textId="77777777" w:rsidTr="00F52D43">
        <w:trPr>
          <w:trHeight w:val="315"/>
        </w:trPr>
        <w:tc>
          <w:tcPr>
            <w:tcW w:w="636" w:type="dxa"/>
            <w:shd w:val="clear" w:color="auto" w:fill="auto"/>
            <w:noWrap/>
            <w:vAlign w:val="bottom"/>
            <w:hideMark/>
          </w:tcPr>
          <w:p w14:paraId="0369C518"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525</w:t>
            </w:r>
          </w:p>
        </w:tc>
        <w:tc>
          <w:tcPr>
            <w:tcW w:w="731" w:type="dxa"/>
            <w:shd w:val="clear" w:color="auto" w:fill="auto"/>
            <w:noWrap/>
            <w:vAlign w:val="bottom"/>
            <w:hideMark/>
          </w:tcPr>
          <w:p w14:paraId="0BBAD628"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HM 7611</w:t>
            </w:r>
          </w:p>
        </w:tc>
        <w:tc>
          <w:tcPr>
            <w:tcW w:w="561" w:type="dxa"/>
            <w:shd w:val="clear" w:color="auto" w:fill="auto"/>
            <w:noWrap/>
            <w:vAlign w:val="bottom"/>
            <w:hideMark/>
          </w:tcPr>
          <w:p w14:paraId="19B664FF"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T225</w:t>
            </w:r>
          </w:p>
        </w:tc>
        <w:tc>
          <w:tcPr>
            <w:tcW w:w="1334" w:type="dxa"/>
            <w:gridSpan w:val="2"/>
            <w:shd w:val="clear" w:color="auto" w:fill="auto"/>
            <w:noWrap/>
            <w:vAlign w:val="bottom"/>
            <w:hideMark/>
          </w:tcPr>
          <w:p w14:paraId="054D416A"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MILATOS</w:t>
            </w:r>
          </w:p>
        </w:tc>
        <w:tc>
          <w:tcPr>
            <w:tcW w:w="322" w:type="dxa"/>
            <w:shd w:val="clear" w:color="auto" w:fill="auto"/>
            <w:noWrap/>
            <w:vAlign w:val="bottom"/>
            <w:hideMark/>
          </w:tcPr>
          <w:p w14:paraId="7FD32A83"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429" w:type="dxa"/>
            <w:shd w:val="clear" w:color="auto" w:fill="auto"/>
            <w:noWrap/>
            <w:vAlign w:val="bottom"/>
            <w:hideMark/>
          </w:tcPr>
          <w:p w14:paraId="6312EDD5"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808" w:type="dxa"/>
            <w:gridSpan w:val="2"/>
            <w:shd w:val="clear" w:color="auto" w:fill="auto"/>
            <w:noWrap/>
            <w:vAlign w:val="bottom"/>
            <w:hideMark/>
          </w:tcPr>
          <w:p w14:paraId="683AE329" w14:textId="77777777" w:rsidR="0064274C" w:rsidRPr="005A1746" w:rsidRDefault="0064274C" w:rsidP="00D76105">
            <w:pPr>
              <w:widowControl/>
              <w:spacing w:line="240" w:lineRule="auto"/>
              <w:contextualSpacing w:val="0"/>
              <w:jc w:val="right"/>
              <w:rPr>
                <w:rFonts w:ascii="Calibri" w:eastAsia="Times New Roman" w:hAnsi="Calibri"/>
                <w:bCs/>
                <w:color w:val="000000"/>
                <w:lang w:eastAsia="en-GB"/>
              </w:rPr>
            </w:pPr>
            <w:r w:rsidRPr="005A1746">
              <w:rPr>
                <w:rFonts w:ascii="Calibri" w:eastAsia="Times New Roman" w:hAnsi="Calibri"/>
                <w:bCs/>
                <w:color w:val="000000"/>
                <w:lang w:eastAsia="en-GB"/>
              </w:rPr>
              <w:t>205</w:t>
            </w:r>
          </w:p>
        </w:tc>
        <w:tc>
          <w:tcPr>
            <w:tcW w:w="8788" w:type="dxa"/>
            <w:shd w:val="clear" w:color="auto" w:fill="auto"/>
            <w:noWrap/>
            <w:vAlign w:val="bottom"/>
            <w:hideMark/>
          </w:tcPr>
          <w:p w14:paraId="0889033F" w14:textId="596E6C2C" w:rsidR="0064274C" w:rsidRPr="00D76105" w:rsidRDefault="0064274C"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color w:val="000000"/>
                <w:lang w:eastAsia="en-GB"/>
              </w:rPr>
              <w:t>ADelt 6 1920-1: 154-57 fig. 1; Kanta 1980: 127-128; Morgan 1987: 183;  Merousis 2000: 164-165; Spiliotopoulou 2010: 70-71 pl. 15 n. 110; Langohr 2009: 135-139</w:t>
            </w:r>
          </w:p>
        </w:tc>
      </w:tr>
      <w:tr w:rsidR="0033571D" w:rsidRPr="00D76105" w14:paraId="26DD524F" w14:textId="77777777" w:rsidTr="00F52D43">
        <w:trPr>
          <w:trHeight w:val="315"/>
        </w:trPr>
        <w:tc>
          <w:tcPr>
            <w:tcW w:w="636" w:type="dxa"/>
            <w:shd w:val="clear" w:color="auto" w:fill="auto"/>
            <w:noWrap/>
            <w:vAlign w:val="bottom"/>
            <w:hideMark/>
          </w:tcPr>
          <w:p w14:paraId="50C44D6D"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530</w:t>
            </w:r>
          </w:p>
        </w:tc>
        <w:tc>
          <w:tcPr>
            <w:tcW w:w="731" w:type="dxa"/>
            <w:shd w:val="clear" w:color="auto" w:fill="auto"/>
            <w:noWrap/>
            <w:vAlign w:val="bottom"/>
            <w:hideMark/>
          </w:tcPr>
          <w:p w14:paraId="15DB2A63"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8962 larnax A</w:t>
            </w:r>
          </w:p>
        </w:tc>
        <w:tc>
          <w:tcPr>
            <w:tcW w:w="561" w:type="dxa"/>
            <w:shd w:val="clear" w:color="auto" w:fill="auto"/>
            <w:noWrap/>
            <w:vAlign w:val="bottom"/>
            <w:hideMark/>
          </w:tcPr>
          <w:p w14:paraId="13F5DF00"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T227</w:t>
            </w:r>
          </w:p>
        </w:tc>
        <w:tc>
          <w:tcPr>
            <w:tcW w:w="1334" w:type="dxa"/>
            <w:gridSpan w:val="2"/>
            <w:shd w:val="clear" w:color="auto" w:fill="auto"/>
            <w:noWrap/>
            <w:vAlign w:val="bottom"/>
            <w:hideMark/>
          </w:tcPr>
          <w:p w14:paraId="5A78BDF8"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MILATOS</w:t>
            </w:r>
          </w:p>
        </w:tc>
        <w:tc>
          <w:tcPr>
            <w:tcW w:w="322" w:type="dxa"/>
            <w:shd w:val="clear" w:color="auto" w:fill="auto"/>
            <w:noWrap/>
            <w:vAlign w:val="bottom"/>
            <w:hideMark/>
          </w:tcPr>
          <w:p w14:paraId="651CAB0F"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429" w:type="dxa"/>
            <w:shd w:val="clear" w:color="auto" w:fill="auto"/>
            <w:noWrap/>
            <w:vAlign w:val="bottom"/>
            <w:hideMark/>
          </w:tcPr>
          <w:p w14:paraId="17DB41BB"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808" w:type="dxa"/>
            <w:gridSpan w:val="2"/>
            <w:shd w:val="clear" w:color="auto" w:fill="auto"/>
            <w:noWrap/>
            <w:vAlign w:val="bottom"/>
            <w:hideMark/>
          </w:tcPr>
          <w:p w14:paraId="51757042" w14:textId="77777777" w:rsidR="0064274C" w:rsidRPr="005A1746" w:rsidRDefault="0064274C" w:rsidP="00D76105">
            <w:pPr>
              <w:widowControl/>
              <w:spacing w:line="240" w:lineRule="auto"/>
              <w:contextualSpacing w:val="0"/>
              <w:jc w:val="right"/>
              <w:rPr>
                <w:rFonts w:ascii="Calibri" w:eastAsia="Times New Roman" w:hAnsi="Calibri"/>
                <w:bCs/>
                <w:color w:val="000000"/>
                <w:lang w:eastAsia="en-GB"/>
              </w:rPr>
            </w:pPr>
            <w:r w:rsidRPr="005A1746">
              <w:rPr>
                <w:rFonts w:ascii="Calibri" w:eastAsia="Times New Roman" w:hAnsi="Calibri"/>
                <w:bCs/>
                <w:color w:val="000000"/>
                <w:lang w:eastAsia="en-GB"/>
              </w:rPr>
              <w:t>208</w:t>
            </w:r>
          </w:p>
        </w:tc>
        <w:tc>
          <w:tcPr>
            <w:tcW w:w="8788" w:type="dxa"/>
            <w:shd w:val="clear" w:color="auto" w:fill="auto"/>
            <w:noWrap/>
            <w:vAlign w:val="bottom"/>
            <w:hideMark/>
          </w:tcPr>
          <w:p w14:paraId="36383F33" w14:textId="6BA8D097" w:rsidR="0064274C" w:rsidRPr="00D76105" w:rsidRDefault="0064274C"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lang w:eastAsia="en-GB"/>
              </w:rPr>
              <w:t>ADelt 35 1980: 521-522 pl.324 st ; Spiliotopoulou 2010: 71 n. 111; Langohr 2009: 83-84</w:t>
            </w:r>
          </w:p>
        </w:tc>
      </w:tr>
      <w:tr w:rsidR="0033571D" w:rsidRPr="00D76105" w14:paraId="14AA5CCB" w14:textId="77777777" w:rsidTr="00F52D43">
        <w:trPr>
          <w:trHeight w:val="315"/>
        </w:trPr>
        <w:tc>
          <w:tcPr>
            <w:tcW w:w="636" w:type="dxa"/>
            <w:shd w:val="clear" w:color="auto" w:fill="auto"/>
            <w:noWrap/>
            <w:vAlign w:val="bottom"/>
            <w:hideMark/>
          </w:tcPr>
          <w:p w14:paraId="13AB5ED1"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545</w:t>
            </w:r>
          </w:p>
        </w:tc>
        <w:tc>
          <w:tcPr>
            <w:tcW w:w="731" w:type="dxa"/>
            <w:shd w:val="clear" w:color="auto" w:fill="auto"/>
            <w:noWrap/>
            <w:vAlign w:val="bottom"/>
            <w:hideMark/>
          </w:tcPr>
          <w:p w14:paraId="306141A8"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p>
        </w:tc>
        <w:tc>
          <w:tcPr>
            <w:tcW w:w="561" w:type="dxa"/>
            <w:shd w:val="clear" w:color="auto" w:fill="auto"/>
            <w:noWrap/>
            <w:vAlign w:val="bottom"/>
            <w:hideMark/>
          </w:tcPr>
          <w:p w14:paraId="1E2099AF"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T232</w:t>
            </w:r>
          </w:p>
        </w:tc>
        <w:tc>
          <w:tcPr>
            <w:tcW w:w="1334" w:type="dxa"/>
            <w:gridSpan w:val="2"/>
            <w:shd w:val="clear" w:color="auto" w:fill="auto"/>
            <w:noWrap/>
            <w:vAlign w:val="bottom"/>
            <w:hideMark/>
          </w:tcPr>
          <w:p w14:paraId="63B48545" w14:textId="77777777" w:rsidR="0064274C" w:rsidRPr="00D76105" w:rsidRDefault="0064274C"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TERTSA</w:t>
            </w:r>
          </w:p>
        </w:tc>
        <w:tc>
          <w:tcPr>
            <w:tcW w:w="322" w:type="dxa"/>
            <w:shd w:val="clear" w:color="auto" w:fill="auto"/>
            <w:noWrap/>
            <w:vAlign w:val="bottom"/>
            <w:hideMark/>
          </w:tcPr>
          <w:p w14:paraId="1F6998D6"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429" w:type="dxa"/>
            <w:shd w:val="clear" w:color="auto" w:fill="auto"/>
            <w:noWrap/>
            <w:vAlign w:val="bottom"/>
            <w:hideMark/>
          </w:tcPr>
          <w:p w14:paraId="31190B61" w14:textId="77777777" w:rsidR="0064274C" w:rsidRPr="00D76105" w:rsidRDefault="0064274C"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808" w:type="dxa"/>
            <w:gridSpan w:val="2"/>
            <w:shd w:val="clear" w:color="auto" w:fill="auto"/>
            <w:noWrap/>
            <w:vAlign w:val="bottom"/>
            <w:hideMark/>
          </w:tcPr>
          <w:p w14:paraId="28D66693" w14:textId="77777777" w:rsidR="0064274C" w:rsidRPr="005A1746" w:rsidRDefault="0064274C" w:rsidP="00D76105">
            <w:pPr>
              <w:widowControl/>
              <w:spacing w:line="240" w:lineRule="auto"/>
              <w:contextualSpacing w:val="0"/>
              <w:jc w:val="right"/>
              <w:rPr>
                <w:rFonts w:ascii="Calibri" w:eastAsia="Times New Roman" w:hAnsi="Calibri"/>
                <w:bCs/>
                <w:color w:val="000000"/>
                <w:lang w:eastAsia="en-GB"/>
              </w:rPr>
            </w:pPr>
            <w:r w:rsidRPr="005A1746">
              <w:rPr>
                <w:rFonts w:ascii="Calibri" w:eastAsia="Times New Roman" w:hAnsi="Calibri"/>
                <w:bCs/>
                <w:color w:val="000000"/>
                <w:lang w:eastAsia="en-GB"/>
              </w:rPr>
              <w:t>774</w:t>
            </w:r>
          </w:p>
        </w:tc>
        <w:tc>
          <w:tcPr>
            <w:tcW w:w="8788" w:type="dxa"/>
            <w:shd w:val="clear" w:color="auto" w:fill="auto"/>
            <w:noWrap/>
            <w:vAlign w:val="bottom"/>
            <w:hideMark/>
          </w:tcPr>
          <w:p w14:paraId="4256BD56" w14:textId="0B07A0F5" w:rsidR="0064274C" w:rsidRPr="00D76105" w:rsidRDefault="0064274C"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color w:val="000000"/>
                <w:lang w:eastAsia="en-GB"/>
              </w:rPr>
              <w:t>ADelt 36 1981:389; BCH 106 1982: 621; Banou and Rethemiotakis 1997: 23-57 fig. 29</w:t>
            </w:r>
          </w:p>
        </w:tc>
      </w:tr>
      <w:tr w:rsidR="0033571D" w:rsidRPr="00D76105" w14:paraId="6A3EFD1A" w14:textId="77777777" w:rsidTr="00F52D43">
        <w:trPr>
          <w:trHeight w:val="315"/>
        </w:trPr>
        <w:tc>
          <w:tcPr>
            <w:tcW w:w="636" w:type="dxa"/>
            <w:shd w:val="clear" w:color="auto" w:fill="auto"/>
            <w:noWrap/>
            <w:vAlign w:val="bottom"/>
            <w:hideMark/>
          </w:tcPr>
          <w:p w14:paraId="66B69556" w14:textId="77777777" w:rsidR="006C0C47" w:rsidRPr="00D76105" w:rsidRDefault="006C0C47"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934</w:t>
            </w:r>
          </w:p>
        </w:tc>
        <w:tc>
          <w:tcPr>
            <w:tcW w:w="731" w:type="dxa"/>
            <w:shd w:val="clear" w:color="auto" w:fill="auto"/>
            <w:noWrap/>
            <w:vAlign w:val="bottom"/>
            <w:hideMark/>
          </w:tcPr>
          <w:p w14:paraId="058BE9EC" w14:textId="77777777" w:rsidR="006C0C47" w:rsidRPr="00D76105" w:rsidRDefault="006C0C47" w:rsidP="00D76105">
            <w:pPr>
              <w:widowControl/>
              <w:spacing w:line="240" w:lineRule="auto"/>
              <w:contextualSpacing w:val="0"/>
              <w:jc w:val="right"/>
              <w:rPr>
                <w:rFonts w:ascii="Calibri" w:eastAsia="Times New Roman" w:hAnsi="Calibri"/>
                <w:color w:val="000000"/>
                <w:lang w:eastAsia="en-GB"/>
              </w:rPr>
            </w:pPr>
          </w:p>
        </w:tc>
        <w:tc>
          <w:tcPr>
            <w:tcW w:w="561" w:type="dxa"/>
            <w:shd w:val="clear" w:color="auto" w:fill="auto"/>
            <w:noWrap/>
            <w:vAlign w:val="bottom"/>
            <w:hideMark/>
          </w:tcPr>
          <w:p w14:paraId="6399C8DE" w14:textId="77777777" w:rsidR="006C0C47" w:rsidRPr="00D76105" w:rsidRDefault="006C0C47"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T406</w:t>
            </w:r>
          </w:p>
        </w:tc>
        <w:tc>
          <w:tcPr>
            <w:tcW w:w="1334" w:type="dxa"/>
            <w:gridSpan w:val="2"/>
            <w:shd w:val="clear" w:color="auto" w:fill="auto"/>
            <w:noWrap/>
            <w:vAlign w:val="bottom"/>
            <w:hideMark/>
          </w:tcPr>
          <w:p w14:paraId="1DBBC717" w14:textId="77777777" w:rsidR="006C0C47" w:rsidRPr="00D76105" w:rsidRDefault="006C0C47"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PSARI PHORADA</w:t>
            </w:r>
          </w:p>
        </w:tc>
        <w:tc>
          <w:tcPr>
            <w:tcW w:w="322" w:type="dxa"/>
            <w:shd w:val="clear" w:color="auto" w:fill="auto"/>
            <w:noWrap/>
            <w:vAlign w:val="bottom"/>
            <w:hideMark/>
          </w:tcPr>
          <w:p w14:paraId="47D17A0C" w14:textId="77777777" w:rsidR="006C0C47" w:rsidRPr="00D76105" w:rsidRDefault="006C0C47"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1</w:t>
            </w:r>
          </w:p>
        </w:tc>
        <w:tc>
          <w:tcPr>
            <w:tcW w:w="429" w:type="dxa"/>
            <w:shd w:val="clear" w:color="auto" w:fill="auto"/>
            <w:noWrap/>
            <w:vAlign w:val="bottom"/>
            <w:hideMark/>
          </w:tcPr>
          <w:p w14:paraId="4A43FD25" w14:textId="77777777" w:rsidR="006C0C47" w:rsidRPr="00D76105" w:rsidRDefault="006C0C47"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0</w:t>
            </w:r>
          </w:p>
        </w:tc>
        <w:tc>
          <w:tcPr>
            <w:tcW w:w="808" w:type="dxa"/>
            <w:gridSpan w:val="2"/>
            <w:shd w:val="clear" w:color="auto" w:fill="auto"/>
            <w:noWrap/>
            <w:vAlign w:val="bottom"/>
            <w:hideMark/>
          </w:tcPr>
          <w:p w14:paraId="2D5345AA" w14:textId="77777777" w:rsidR="006C0C47" w:rsidRPr="005A1746" w:rsidRDefault="006C0C47" w:rsidP="00D76105">
            <w:pPr>
              <w:widowControl/>
              <w:spacing w:line="240" w:lineRule="auto"/>
              <w:contextualSpacing w:val="0"/>
              <w:jc w:val="left"/>
              <w:rPr>
                <w:rFonts w:ascii="Calibri" w:eastAsia="Times New Roman" w:hAnsi="Calibri"/>
                <w:bCs/>
                <w:color w:val="000000"/>
                <w:lang w:eastAsia="en-GB"/>
              </w:rPr>
            </w:pPr>
            <w:r w:rsidRPr="005A1746">
              <w:rPr>
                <w:rFonts w:ascii="Calibri" w:eastAsia="Times New Roman" w:hAnsi="Calibri"/>
                <w:bCs/>
                <w:color w:val="000000"/>
                <w:lang w:eastAsia="en-GB"/>
              </w:rPr>
              <w:t xml:space="preserve"> -</w:t>
            </w:r>
          </w:p>
        </w:tc>
        <w:tc>
          <w:tcPr>
            <w:tcW w:w="8788" w:type="dxa"/>
            <w:shd w:val="clear" w:color="auto" w:fill="auto"/>
            <w:noWrap/>
            <w:vAlign w:val="bottom"/>
            <w:hideMark/>
          </w:tcPr>
          <w:p w14:paraId="4046768E" w14:textId="04D8AEB6" w:rsidR="006C0C47" w:rsidRPr="00D76105" w:rsidRDefault="006C0C47"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color w:val="000000"/>
                <w:lang w:eastAsia="en-GB"/>
              </w:rPr>
              <w:t>Banou and Rethemiotakis 1997: 23-57 fig. 28</w:t>
            </w:r>
          </w:p>
        </w:tc>
      </w:tr>
      <w:tr w:rsidR="0033571D" w:rsidRPr="00D76105" w14:paraId="6D534657" w14:textId="77777777" w:rsidTr="00F52D43">
        <w:trPr>
          <w:trHeight w:val="315"/>
        </w:trPr>
        <w:tc>
          <w:tcPr>
            <w:tcW w:w="636" w:type="dxa"/>
            <w:shd w:val="clear" w:color="auto" w:fill="auto"/>
            <w:noWrap/>
            <w:vAlign w:val="bottom"/>
            <w:hideMark/>
          </w:tcPr>
          <w:p w14:paraId="0D80AE48" w14:textId="77777777" w:rsidR="006C0C47" w:rsidRPr="00D76105" w:rsidRDefault="006C0C47" w:rsidP="00D76105">
            <w:pPr>
              <w:widowControl/>
              <w:spacing w:line="240" w:lineRule="auto"/>
              <w:contextualSpacing w:val="0"/>
              <w:jc w:val="left"/>
              <w:rPr>
                <w:rFonts w:eastAsia="Times New Roman"/>
                <w:sz w:val="20"/>
                <w:szCs w:val="20"/>
                <w:lang w:eastAsia="en-GB"/>
              </w:rPr>
            </w:pPr>
          </w:p>
        </w:tc>
        <w:tc>
          <w:tcPr>
            <w:tcW w:w="731" w:type="dxa"/>
            <w:shd w:val="clear" w:color="auto" w:fill="auto"/>
            <w:noWrap/>
            <w:vAlign w:val="bottom"/>
            <w:hideMark/>
          </w:tcPr>
          <w:p w14:paraId="1CAABFD9" w14:textId="77777777" w:rsidR="006C0C47" w:rsidRPr="00D76105" w:rsidRDefault="006C0C47" w:rsidP="00D76105">
            <w:pPr>
              <w:widowControl/>
              <w:spacing w:line="240" w:lineRule="auto"/>
              <w:contextualSpacing w:val="0"/>
              <w:jc w:val="left"/>
              <w:rPr>
                <w:rFonts w:eastAsia="Times New Roman"/>
                <w:sz w:val="20"/>
                <w:szCs w:val="20"/>
                <w:lang w:eastAsia="en-GB"/>
              </w:rPr>
            </w:pPr>
          </w:p>
        </w:tc>
        <w:tc>
          <w:tcPr>
            <w:tcW w:w="561" w:type="dxa"/>
            <w:shd w:val="clear" w:color="auto" w:fill="auto"/>
            <w:noWrap/>
            <w:vAlign w:val="bottom"/>
            <w:hideMark/>
          </w:tcPr>
          <w:p w14:paraId="5D8EAA71" w14:textId="77777777" w:rsidR="006C0C47" w:rsidRPr="00D76105" w:rsidRDefault="006C0C47" w:rsidP="00D76105">
            <w:pPr>
              <w:widowControl/>
              <w:spacing w:line="240" w:lineRule="auto"/>
              <w:contextualSpacing w:val="0"/>
              <w:jc w:val="left"/>
              <w:rPr>
                <w:rFonts w:eastAsia="Times New Roman"/>
                <w:sz w:val="20"/>
                <w:szCs w:val="20"/>
                <w:lang w:eastAsia="en-GB"/>
              </w:rPr>
            </w:pPr>
          </w:p>
        </w:tc>
        <w:tc>
          <w:tcPr>
            <w:tcW w:w="1334" w:type="dxa"/>
            <w:gridSpan w:val="2"/>
            <w:shd w:val="clear" w:color="auto" w:fill="auto"/>
            <w:noWrap/>
            <w:vAlign w:val="bottom"/>
            <w:hideMark/>
          </w:tcPr>
          <w:p w14:paraId="452D9D3F" w14:textId="77777777" w:rsidR="006C0C47" w:rsidRPr="00D76105" w:rsidRDefault="006C0C47" w:rsidP="00D76105">
            <w:pPr>
              <w:widowControl/>
              <w:spacing w:line="240" w:lineRule="auto"/>
              <w:contextualSpacing w:val="0"/>
              <w:jc w:val="left"/>
              <w:rPr>
                <w:rFonts w:eastAsia="Times New Roman"/>
                <w:sz w:val="20"/>
                <w:szCs w:val="20"/>
                <w:lang w:eastAsia="en-GB"/>
              </w:rPr>
            </w:pPr>
          </w:p>
        </w:tc>
        <w:tc>
          <w:tcPr>
            <w:tcW w:w="322" w:type="dxa"/>
            <w:shd w:val="clear" w:color="auto" w:fill="auto"/>
            <w:noWrap/>
            <w:vAlign w:val="bottom"/>
            <w:hideMark/>
          </w:tcPr>
          <w:p w14:paraId="01F65ED2" w14:textId="77777777" w:rsidR="006C0C47" w:rsidRPr="00D76105" w:rsidRDefault="006C0C47" w:rsidP="00D76105">
            <w:pPr>
              <w:widowControl/>
              <w:spacing w:line="240" w:lineRule="auto"/>
              <w:contextualSpacing w:val="0"/>
              <w:jc w:val="left"/>
              <w:rPr>
                <w:rFonts w:eastAsia="Times New Roman"/>
                <w:sz w:val="20"/>
                <w:szCs w:val="20"/>
                <w:lang w:eastAsia="en-GB"/>
              </w:rPr>
            </w:pPr>
          </w:p>
        </w:tc>
        <w:tc>
          <w:tcPr>
            <w:tcW w:w="429" w:type="dxa"/>
            <w:shd w:val="clear" w:color="auto" w:fill="auto"/>
            <w:noWrap/>
            <w:vAlign w:val="bottom"/>
            <w:hideMark/>
          </w:tcPr>
          <w:p w14:paraId="63A0451A" w14:textId="77777777" w:rsidR="006C0C47" w:rsidRPr="00D76105" w:rsidRDefault="006C0C47" w:rsidP="00D76105">
            <w:pPr>
              <w:widowControl/>
              <w:spacing w:line="240" w:lineRule="auto"/>
              <w:contextualSpacing w:val="0"/>
              <w:jc w:val="left"/>
              <w:rPr>
                <w:rFonts w:eastAsia="Times New Roman"/>
                <w:sz w:val="20"/>
                <w:szCs w:val="20"/>
                <w:lang w:eastAsia="en-GB"/>
              </w:rPr>
            </w:pPr>
          </w:p>
        </w:tc>
        <w:tc>
          <w:tcPr>
            <w:tcW w:w="808" w:type="dxa"/>
            <w:gridSpan w:val="2"/>
            <w:shd w:val="clear" w:color="auto" w:fill="auto"/>
            <w:noWrap/>
            <w:vAlign w:val="bottom"/>
            <w:hideMark/>
          </w:tcPr>
          <w:p w14:paraId="1687D3BC" w14:textId="77777777" w:rsidR="006C0C47" w:rsidRPr="005A1746" w:rsidRDefault="006C0C47" w:rsidP="00D76105">
            <w:pPr>
              <w:widowControl/>
              <w:spacing w:line="240" w:lineRule="auto"/>
              <w:contextualSpacing w:val="0"/>
              <w:jc w:val="left"/>
              <w:rPr>
                <w:rFonts w:eastAsia="Times New Roman"/>
                <w:sz w:val="20"/>
                <w:szCs w:val="20"/>
                <w:lang w:eastAsia="en-GB"/>
              </w:rPr>
            </w:pPr>
          </w:p>
        </w:tc>
        <w:tc>
          <w:tcPr>
            <w:tcW w:w="8788" w:type="dxa"/>
            <w:shd w:val="clear" w:color="auto" w:fill="auto"/>
            <w:noWrap/>
            <w:vAlign w:val="bottom"/>
            <w:hideMark/>
          </w:tcPr>
          <w:p w14:paraId="58B9DCAA" w14:textId="77777777" w:rsidR="006C0C47" w:rsidRPr="00D76105" w:rsidRDefault="006C0C47" w:rsidP="00D76105">
            <w:pPr>
              <w:widowControl/>
              <w:spacing w:line="240" w:lineRule="auto"/>
              <w:contextualSpacing w:val="0"/>
              <w:jc w:val="left"/>
              <w:rPr>
                <w:rFonts w:eastAsia="Times New Roman"/>
                <w:sz w:val="20"/>
                <w:szCs w:val="20"/>
                <w:lang w:eastAsia="en-GB"/>
              </w:rPr>
            </w:pPr>
          </w:p>
        </w:tc>
      </w:tr>
      <w:tr w:rsidR="0033571D" w:rsidRPr="00D76105" w14:paraId="135B107D" w14:textId="77777777" w:rsidTr="00F52D43">
        <w:trPr>
          <w:trHeight w:val="315"/>
        </w:trPr>
        <w:tc>
          <w:tcPr>
            <w:tcW w:w="13609" w:type="dxa"/>
            <w:gridSpan w:val="10"/>
            <w:shd w:val="clear" w:color="auto" w:fill="auto"/>
            <w:noWrap/>
            <w:vAlign w:val="bottom"/>
            <w:hideMark/>
          </w:tcPr>
          <w:p w14:paraId="64EA80C6" w14:textId="0B7D38AB" w:rsidR="0033571D" w:rsidRPr="00D76105" w:rsidRDefault="0033571D" w:rsidP="00D76105">
            <w:pPr>
              <w:widowControl/>
              <w:spacing w:line="240" w:lineRule="auto"/>
              <w:contextualSpacing w:val="0"/>
              <w:jc w:val="left"/>
              <w:rPr>
                <w:rFonts w:eastAsia="Times New Roman"/>
                <w:sz w:val="20"/>
                <w:szCs w:val="20"/>
                <w:lang w:eastAsia="en-GB"/>
              </w:rPr>
            </w:pPr>
            <w:r>
              <w:rPr>
                <w:rFonts w:ascii="Calibri" w:eastAsia="Times New Roman" w:hAnsi="Calibri"/>
                <w:b/>
                <w:bCs/>
                <w:color w:val="000000"/>
                <w:lang w:eastAsia="en-GB"/>
              </w:rPr>
              <w:t xml:space="preserve">LARNAKES WITH THE </w:t>
            </w:r>
            <w:r w:rsidRPr="00D76105">
              <w:rPr>
                <w:rFonts w:ascii="Calibri" w:eastAsia="Times New Roman" w:hAnsi="Calibri"/>
                <w:b/>
                <w:bCs/>
                <w:color w:val="000000"/>
                <w:lang w:eastAsia="en-GB"/>
              </w:rPr>
              <w:t xml:space="preserve">OCCURRENCE OF </w:t>
            </w:r>
            <w:r>
              <w:rPr>
                <w:rFonts w:ascii="Calibri" w:eastAsia="Times New Roman" w:hAnsi="Calibri"/>
                <w:b/>
                <w:bCs/>
                <w:color w:val="000000"/>
                <w:lang w:eastAsia="en-GB"/>
              </w:rPr>
              <w:t xml:space="preserve">PLASTIC </w:t>
            </w:r>
            <w:r w:rsidRPr="00D76105">
              <w:rPr>
                <w:rFonts w:ascii="Calibri" w:eastAsia="Times New Roman" w:hAnsi="Calibri"/>
                <w:b/>
                <w:bCs/>
                <w:color w:val="000000"/>
                <w:lang w:eastAsia="en-GB"/>
              </w:rPr>
              <w:t>FIGURINE</w:t>
            </w:r>
          </w:p>
        </w:tc>
      </w:tr>
      <w:tr w:rsidR="0033571D" w:rsidRPr="00D76105" w14:paraId="399AB327" w14:textId="77777777" w:rsidTr="00F52D43">
        <w:trPr>
          <w:trHeight w:val="315"/>
        </w:trPr>
        <w:tc>
          <w:tcPr>
            <w:tcW w:w="636" w:type="dxa"/>
            <w:shd w:val="clear" w:color="auto" w:fill="auto"/>
            <w:noWrap/>
            <w:vAlign w:val="bottom"/>
            <w:hideMark/>
          </w:tcPr>
          <w:p w14:paraId="279435BF" w14:textId="77777777" w:rsidR="006C0C47" w:rsidRPr="00D76105" w:rsidRDefault="006C0C47" w:rsidP="00D76105">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color w:val="000000"/>
                <w:lang w:eastAsia="en-GB"/>
              </w:rPr>
              <w:t>529</w:t>
            </w:r>
          </w:p>
        </w:tc>
        <w:tc>
          <w:tcPr>
            <w:tcW w:w="731" w:type="dxa"/>
            <w:shd w:val="clear" w:color="auto" w:fill="auto"/>
            <w:noWrap/>
            <w:vAlign w:val="bottom"/>
            <w:hideMark/>
          </w:tcPr>
          <w:p w14:paraId="7BDEABE9" w14:textId="77777777" w:rsidR="006C0C47" w:rsidRPr="00D76105" w:rsidRDefault="006C0C47"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8961 larnax B</w:t>
            </w:r>
          </w:p>
        </w:tc>
        <w:tc>
          <w:tcPr>
            <w:tcW w:w="561" w:type="dxa"/>
            <w:shd w:val="clear" w:color="auto" w:fill="auto"/>
            <w:noWrap/>
            <w:vAlign w:val="bottom"/>
            <w:hideMark/>
          </w:tcPr>
          <w:p w14:paraId="28760D72" w14:textId="77777777" w:rsidR="006C0C47" w:rsidRPr="00D76105" w:rsidRDefault="006C0C47"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T227</w:t>
            </w:r>
          </w:p>
        </w:tc>
        <w:tc>
          <w:tcPr>
            <w:tcW w:w="1050" w:type="dxa"/>
            <w:shd w:val="clear" w:color="auto" w:fill="auto"/>
            <w:noWrap/>
            <w:vAlign w:val="bottom"/>
            <w:hideMark/>
          </w:tcPr>
          <w:p w14:paraId="53EE955F" w14:textId="77777777" w:rsidR="006C0C47" w:rsidRPr="00D76105" w:rsidRDefault="006C0C47" w:rsidP="00D76105">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color w:val="000000"/>
                <w:lang w:eastAsia="en-GB"/>
              </w:rPr>
              <w:t>MILATOS</w:t>
            </w:r>
          </w:p>
        </w:tc>
        <w:tc>
          <w:tcPr>
            <w:tcW w:w="606" w:type="dxa"/>
            <w:gridSpan w:val="2"/>
            <w:shd w:val="clear" w:color="auto" w:fill="auto"/>
            <w:noWrap/>
            <w:vAlign w:val="bottom"/>
            <w:hideMark/>
          </w:tcPr>
          <w:p w14:paraId="02E537E1" w14:textId="77777777" w:rsidR="006C0C47" w:rsidRPr="00D76105" w:rsidRDefault="006C0C47" w:rsidP="00D76105">
            <w:pPr>
              <w:widowControl/>
              <w:spacing w:line="240" w:lineRule="auto"/>
              <w:contextualSpacing w:val="0"/>
              <w:jc w:val="left"/>
              <w:rPr>
                <w:rFonts w:ascii="Calibri" w:eastAsia="Times New Roman" w:hAnsi="Calibri"/>
                <w:color w:val="000000"/>
                <w:lang w:eastAsia="en-GB"/>
              </w:rPr>
            </w:pPr>
          </w:p>
        </w:tc>
        <w:tc>
          <w:tcPr>
            <w:tcW w:w="429" w:type="dxa"/>
            <w:shd w:val="clear" w:color="auto" w:fill="auto"/>
            <w:noWrap/>
            <w:vAlign w:val="bottom"/>
            <w:hideMark/>
          </w:tcPr>
          <w:p w14:paraId="2E9D6877" w14:textId="77777777" w:rsidR="006C0C47" w:rsidRPr="00D76105" w:rsidRDefault="006C0C47" w:rsidP="00D76105">
            <w:pPr>
              <w:widowControl/>
              <w:spacing w:line="240" w:lineRule="auto"/>
              <w:contextualSpacing w:val="0"/>
              <w:jc w:val="left"/>
              <w:rPr>
                <w:rFonts w:eastAsia="Times New Roman"/>
                <w:sz w:val="20"/>
                <w:szCs w:val="20"/>
                <w:lang w:eastAsia="en-GB"/>
              </w:rPr>
            </w:pPr>
          </w:p>
        </w:tc>
        <w:tc>
          <w:tcPr>
            <w:tcW w:w="421" w:type="dxa"/>
            <w:shd w:val="clear" w:color="auto" w:fill="auto"/>
            <w:noWrap/>
            <w:vAlign w:val="bottom"/>
            <w:hideMark/>
          </w:tcPr>
          <w:p w14:paraId="67BD59C6" w14:textId="77777777" w:rsidR="006C0C47" w:rsidRPr="005A1746" w:rsidRDefault="006C0C47" w:rsidP="00D76105">
            <w:pPr>
              <w:widowControl/>
              <w:spacing w:line="240" w:lineRule="auto"/>
              <w:contextualSpacing w:val="0"/>
              <w:jc w:val="left"/>
              <w:rPr>
                <w:rFonts w:eastAsia="Times New Roman"/>
                <w:sz w:val="20"/>
                <w:szCs w:val="20"/>
                <w:lang w:eastAsia="en-GB"/>
              </w:rPr>
            </w:pPr>
          </w:p>
        </w:tc>
        <w:tc>
          <w:tcPr>
            <w:tcW w:w="9175" w:type="dxa"/>
            <w:gridSpan w:val="2"/>
            <w:shd w:val="clear" w:color="auto" w:fill="auto"/>
            <w:noWrap/>
            <w:vAlign w:val="bottom"/>
            <w:hideMark/>
          </w:tcPr>
          <w:p w14:paraId="60F1DC3B" w14:textId="755A656A" w:rsidR="006C0C47" w:rsidRPr="00D76105" w:rsidRDefault="006C0C47" w:rsidP="00D76105">
            <w:pPr>
              <w:widowControl/>
              <w:spacing w:line="240" w:lineRule="auto"/>
              <w:contextualSpacing w:val="0"/>
              <w:jc w:val="left"/>
              <w:rPr>
                <w:rFonts w:eastAsia="Times New Roman"/>
                <w:sz w:val="20"/>
                <w:szCs w:val="20"/>
                <w:lang w:eastAsia="en-GB"/>
              </w:rPr>
            </w:pPr>
            <w:r w:rsidRPr="00D76105">
              <w:rPr>
                <w:rFonts w:ascii="Calibri" w:eastAsia="Times New Roman" w:hAnsi="Calibri"/>
                <w:lang w:eastAsia="en-GB"/>
              </w:rPr>
              <w:t>ADelt 35 19</w:t>
            </w:r>
            <w:r w:rsidR="0033571D">
              <w:rPr>
                <w:rFonts w:ascii="Calibri" w:eastAsia="Times New Roman" w:hAnsi="Calibri"/>
                <w:lang w:eastAsia="en-GB"/>
              </w:rPr>
              <w:t>80</w:t>
            </w:r>
            <w:r w:rsidRPr="00D76105">
              <w:rPr>
                <w:rFonts w:ascii="Calibri" w:eastAsia="Times New Roman" w:hAnsi="Calibri"/>
                <w:lang w:eastAsia="en-GB"/>
              </w:rPr>
              <w:t>-522 pl.324 st;</w:t>
            </w:r>
            <w:r w:rsidR="002F5748">
              <w:rPr>
                <w:rFonts w:ascii="Calibri" w:eastAsia="Times New Roman" w:hAnsi="Calibri"/>
                <w:lang w:eastAsia="en-GB"/>
              </w:rPr>
              <w:t xml:space="preserve"> </w:t>
            </w:r>
            <w:r w:rsidRPr="00D76105">
              <w:rPr>
                <w:rFonts w:ascii="Calibri" w:eastAsia="Times New Roman" w:hAnsi="Calibri"/>
                <w:lang w:eastAsia="en-GB"/>
              </w:rPr>
              <w:t>Spiliotopoulou 2008: 71; Langohr 2009: 83-84</w:t>
            </w:r>
          </w:p>
        </w:tc>
      </w:tr>
    </w:tbl>
    <w:p w14:paraId="4424BE9E" w14:textId="57C79940" w:rsidR="003860B7" w:rsidRDefault="003860B7" w:rsidP="00E858EF">
      <w:pPr>
        <w:suppressAutoHyphens/>
        <w:rPr>
          <w:highlight w:val="lightGray"/>
        </w:rPr>
      </w:pPr>
    </w:p>
    <w:p w14:paraId="1F4F05A4" w14:textId="359832CE" w:rsidR="00B7613B" w:rsidRPr="00B7613B" w:rsidRDefault="00B7613B" w:rsidP="00E858EF">
      <w:pPr>
        <w:suppressAutoHyphens/>
        <w:rPr>
          <w:b/>
          <w:sz w:val="28"/>
          <w:highlight w:val="lightGray"/>
        </w:rPr>
      </w:pPr>
    </w:p>
    <w:p w14:paraId="2AE1D497" w14:textId="229A0975" w:rsidR="00B7613B" w:rsidRDefault="00B7613B" w:rsidP="00E858EF">
      <w:pPr>
        <w:suppressAutoHyphens/>
        <w:rPr>
          <w:b/>
          <w:sz w:val="28"/>
        </w:rPr>
      </w:pPr>
      <w:r w:rsidRPr="00B7613B">
        <w:rPr>
          <w:b/>
          <w:sz w:val="28"/>
        </w:rPr>
        <w:t>Far-East Area</w:t>
      </w:r>
    </w:p>
    <w:tbl>
      <w:tblPr>
        <w:tblW w:w="13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
        <w:gridCol w:w="858"/>
        <w:gridCol w:w="698"/>
        <w:gridCol w:w="1624"/>
        <w:gridCol w:w="338"/>
        <w:gridCol w:w="338"/>
        <w:gridCol w:w="338"/>
        <w:gridCol w:w="338"/>
        <w:gridCol w:w="996"/>
        <w:gridCol w:w="7370"/>
      </w:tblGrid>
      <w:tr w:rsidR="00CE6093" w:rsidRPr="00B7613B" w14:paraId="473F01F4" w14:textId="77777777" w:rsidTr="00F52D43">
        <w:trPr>
          <w:trHeight w:val="315"/>
        </w:trPr>
        <w:tc>
          <w:tcPr>
            <w:tcW w:w="852" w:type="dxa"/>
            <w:shd w:val="clear" w:color="auto" w:fill="auto"/>
            <w:noWrap/>
            <w:vAlign w:val="bottom"/>
          </w:tcPr>
          <w:p w14:paraId="2E8D38E7" w14:textId="6C0B3572"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b/>
                <w:bCs/>
                <w:color w:val="000000"/>
                <w:lang w:eastAsia="en-GB"/>
              </w:rPr>
              <w:t>ID LARNAX</w:t>
            </w:r>
          </w:p>
        </w:tc>
        <w:tc>
          <w:tcPr>
            <w:tcW w:w="858" w:type="dxa"/>
            <w:shd w:val="clear" w:color="auto" w:fill="auto"/>
            <w:noWrap/>
            <w:vAlign w:val="bottom"/>
          </w:tcPr>
          <w:p w14:paraId="7ACCBE5F" w14:textId="050E4743"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b/>
                <w:bCs/>
                <w:color w:val="000000"/>
                <w:lang w:eastAsia="en-GB"/>
              </w:rPr>
              <w:t>INV. N.</w:t>
            </w:r>
          </w:p>
        </w:tc>
        <w:tc>
          <w:tcPr>
            <w:tcW w:w="698" w:type="dxa"/>
            <w:shd w:val="clear" w:color="auto" w:fill="auto"/>
            <w:noWrap/>
            <w:vAlign w:val="bottom"/>
          </w:tcPr>
          <w:p w14:paraId="1BB03528" w14:textId="0FD08320"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b/>
                <w:bCs/>
                <w:color w:val="000000"/>
                <w:lang w:eastAsia="en-GB"/>
              </w:rPr>
              <w:t>ID TOMB</w:t>
            </w:r>
          </w:p>
        </w:tc>
        <w:tc>
          <w:tcPr>
            <w:tcW w:w="1624" w:type="dxa"/>
            <w:shd w:val="clear" w:color="auto" w:fill="auto"/>
            <w:noWrap/>
            <w:vAlign w:val="bottom"/>
          </w:tcPr>
          <w:p w14:paraId="51F3EFB6" w14:textId="4D43156D"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b/>
                <w:bCs/>
                <w:color w:val="000000"/>
                <w:lang w:eastAsia="en-GB"/>
              </w:rPr>
              <w:t>BURIAL LOCATION</w:t>
            </w:r>
          </w:p>
        </w:tc>
        <w:tc>
          <w:tcPr>
            <w:tcW w:w="338" w:type="dxa"/>
            <w:shd w:val="clear" w:color="auto" w:fill="auto"/>
            <w:noWrap/>
            <w:vAlign w:val="bottom"/>
          </w:tcPr>
          <w:p w14:paraId="163FEB17" w14:textId="2199D649"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b/>
                <w:bCs/>
                <w:color w:val="000000"/>
                <w:lang w:eastAsia="en-GB"/>
              </w:rPr>
              <w:t>CHEST</w:t>
            </w:r>
          </w:p>
        </w:tc>
        <w:tc>
          <w:tcPr>
            <w:tcW w:w="338" w:type="dxa"/>
            <w:shd w:val="clear" w:color="auto" w:fill="auto"/>
            <w:noWrap/>
            <w:vAlign w:val="bottom"/>
          </w:tcPr>
          <w:p w14:paraId="2D2AA042" w14:textId="25BE6046"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D76105">
              <w:rPr>
                <w:rFonts w:ascii="Calibri" w:eastAsia="Times New Roman" w:hAnsi="Calibri"/>
                <w:b/>
                <w:bCs/>
                <w:color w:val="000000"/>
                <w:lang w:eastAsia="en-GB"/>
              </w:rPr>
              <w:t>BATH</w:t>
            </w:r>
          </w:p>
        </w:tc>
        <w:tc>
          <w:tcPr>
            <w:tcW w:w="338" w:type="dxa"/>
            <w:shd w:val="clear" w:color="auto" w:fill="auto"/>
            <w:noWrap/>
            <w:vAlign w:val="bottom"/>
          </w:tcPr>
          <w:p w14:paraId="5752C1B7" w14:textId="7F665DAF" w:rsidR="00CE6093" w:rsidRPr="00F52D43" w:rsidRDefault="00B42D4C" w:rsidP="00B7613B">
            <w:pPr>
              <w:widowControl/>
              <w:spacing w:line="240" w:lineRule="auto"/>
              <w:contextualSpacing w:val="0"/>
              <w:jc w:val="right"/>
              <w:rPr>
                <w:rFonts w:ascii="Calibri" w:eastAsia="Times New Roman" w:hAnsi="Calibri"/>
                <w:b/>
                <w:color w:val="000000"/>
                <w:u w:val="single"/>
                <w:lang w:eastAsia="en-GB"/>
              </w:rPr>
            </w:pPr>
            <w:r>
              <w:rPr>
                <w:rFonts w:ascii="Calibri" w:eastAsia="Times New Roman" w:hAnsi="Calibri"/>
                <w:b/>
                <w:color w:val="000000"/>
                <w:u w:val="single"/>
                <w:lang w:eastAsia="en-GB"/>
              </w:rPr>
              <w:t>LID</w:t>
            </w:r>
          </w:p>
        </w:tc>
        <w:tc>
          <w:tcPr>
            <w:tcW w:w="338" w:type="dxa"/>
            <w:shd w:val="clear" w:color="auto" w:fill="auto"/>
            <w:noWrap/>
            <w:vAlign w:val="bottom"/>
          </w:tcPr>
          <w:p w14:paraId="1CDE7D19" w14:textId="2839BEDB" w:rsidR="00CE6093" w:rsidRPr="00F52D43" w:rsidRDefault="00B42D4C" w:rsidP="00B7613B">
            <w:pPr>
              <w:widowControl/>
              <w:spacing w:line="240" w:lineRule="auto"/>
              <w:contextualSpacing w:val="0"/>
              <w:jc w:val="right"/>
              <w:rPr>
                <w:rFonts w:ascii="Calibri" w:eastAsia="Times New Roman" w:hAnsi="Calibri"/>
                <w:b/>
                <w:color w:val="000000"/>
                <w:u w:val="single"/>
                <w:lang w:eastAsia="en-GB"/>
              </w:rPr>
            </w:pPr>
            <w:r>
              <w:rPr>
                <w:rFonts w:ascii="Calibri" w:eastAsia="Times New Roman" w:hAnsi="Calibri"/>
                <w:b/>
                <w:color w:val="000000"/>
                <w:u w:val="single"/>
                <w:lang w:eastAsia="en-GB"/>
              </w:rPr>
              <w:t>FRAGMENT</w:t>
            </w:r>
          </w:p>
        </w:tc>
        <w:tc>
          <w:tcPr>
            <w:tcW w:w="996" w:type="dxa"/>
            <w:shd w:val="clear" w:color="auto" w:fill="auto"/>
            <w:noWrap/>
            <w:vAlign w:val="bottom"/>
          </w:tcPr>
          <w:p w14:paraId="1E71E5FA" w14:textId="46460B09" w:rsidR="00CE6093" w:rsidRPr="00B7613B" w:rsidRDefault="00CE6093" w:rsidP="00B7613B">
            <w:pPr>
              <w:widowControl/>
              <w:spacing w:line="240" w:lineRule="auto"/>
              <w:contextualSpacing w:val="0"/>
              <w:jc w:val="right"/>
              <w:rPr>
                <w:rFonts w:ascii="Calibri" w:eastAsia="Times New Roman" w:hAnsi="Calibri"/>
                <w:lang w:eastAsia="en-GB"/>
              </w:rPr>
            </w:pPr>
            <w:r w:rsidRPr="005A1746">
              <w:rPr>
                <w:rFonts w:ascii="Calibri" w:eastAsia="Times New Roman" w:hAnsi="Calibri"/>
                <w:b/>
                <w:bCs/>
                <w:color w:val="000000"/>
                <w:lang w:eastAsia="en-GB"/>
              </w:rPr>
              <w:t>Löwe</w:t>
            </w:r>
          </w:p>
        </w:tc>
        <w:tc>
          <w:tcPr>
            <w:tcW w:w="7370" w:type="dxa"/>
            <w:shd w:val="clear" w:color="auto" w:fill="auto"/>
            <w:noWrap/>
            <w:vAlign w:val="bottom"/>
          </w:tcPr>
          <w:p w14:paraId="12905CA6" w14:textId="77B5EF3A"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D76105">
              <w:rPr>
                <w:rFonts w:ascii="Calibri" w:eastAsia="Times New Roman" w:hAnsi="Calibri"/>
                <w:b/>
                <w:bCs/>
                <w:color w:val="000000"/>
                <w:lang w:eastAsia="en-GB"/>
              </w:rPr>
              <w:t>bibliography</w:t>
            </w:r>
          </w:p>
        </w:tc>
      </w:tr>
      <w:tr w:rsidR="00CE6093" w:rsidRPr="00B7613B" w14:paraId="768D4F8C" w14:textId="77777777" w:rsidTr="00F52D43">
        <w:trPr>
          <w:trHeight w:val="315"/>
        </w:trPr>
        <w:tc>
          <w:tcPr>
            <w:tcW w:w="852" w:type="dxa"/>
            <w:shd w:val="clear" w:color="auto" w:fill="auto"/>
            <w:noWrap/>
            <w:vAlign w:val="bottom"/>
            <w:hideMark/>
          </w:tcPr>
          <w:p w14:paraId="289D32D3"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401</w:t>
            </w:r>
          </w:p>
        </w:tc>
        <w:tc>
          <w:tcPr>
            <w:tcW w:w="858" w:type="dxa"/>
            <w:shd w:val="clear" w:color="auto" w:fill="auto"/>
            <w:noWrap/>
            <w:vAlign w:val="bottom"/>
            <w:hideMark/>
          </w:tcPr>
          <w:p w14:paraId="31B38126"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HM 3529</w:t>
            </w:r>
          </w:p>
        </w:tc>
        <w:tc>
          <w:tcPr>
            <w:tcW w:w="698" w:type="dxa"/>
            <w:shd w:val="clear" w:color="auto" w:fill="auto"/>
            <w:noWrap/>
            <w:vAlign w:val="bottom"/>
            <w:hideMark/>
          </w:tcPr>
          <w:p w14:paraId="4E6E66FF"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T173</w:t>
            </w:r>
          </w:p>
        </w:tc>
        <w:tc>
          <w:tcPr>
            <w:tcW w:w="1624" w:type="dxa"/>
            <w:shd w:val="clear" w:color="auto" w:fill="auto"/>
            <w:noWrap/>
            <w:vAlign w:val="bottom"/>
            <w:hideMark/>
          </w:tcPr>
          <w:p w14:paraId="7C721674"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MOULIANA</w:t>
            </w:r>
          </w:p>
        </w:tc>
        <w:tc>
          <w:tcPr>
            <w:tcW w:w="338" w:type="dxa"/>
            <w:shd w:val="clear" w:color="auto" w:fill="auto"/>
            <w:noWrap/>
            <w:vAlign w:val="bottom"/>
            <w:hideMark/>
          </w:tcPr>
          <w:p w14:paraId="3FD46DD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53864A70"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61E27E28"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490EABB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52DE1D2A"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238</w:t>
            </w:r>
          </w:p>
        </w:tc>
        <w:tc>
          <w:tcPr>
            <w:tcW w:w="7370" w:type="dxa"/>
            <w:shd w:val="clear" w:color="auto" w:fill="auto"/>
            <w:noWrap/>
            <w:vAlign w:val="bottom"/>
            <w:hideMark/>
          </w:tcPr>
          <w:p w14:paraId="2E11A901"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Xanthoudidis 1904: 38-42, fig. 9; Kanta 1980: 175, fig. 81.5, 114.2; Merousis 2000: 166-167; Spiliotopoulou 2010: 61 n.64</w:t>
            </w:r>
          </w:p>
        </w:tc>
      </w:tr>
      <w:tr w:rsidR="00CE6093" w:rsidRPr="00B7613B" w14:paraId="2DFCCFA7" w14:textId="77777777" w:rsidTr="00F52D43">
        <w:trPr>
          <w:trHeight w:val="315"/>
        </w:trPr>
        <w:tc>
          <w:tcPr>
            <w:tcW w:w="852" w:type="dxa"/>
            <w:shd w:val="clear" w:color="auto" w:fill="auto"/>
            <w:noWrap/>
            <w:vAlign w:val="bottom"/>
            <w:hideMark/>
          </w:tcPr>
          <w:p w14:paraId="263192F1"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389</w:t>
            </w:r>
          </w:p>
        </w:tc>
        <w:tc>
          <w:tcPr>
            <w:tcW w:w="858" w:type="dxa"/>
            <w:shd w:val="clear" w:color="auto" w:fill="auto"/>
            <w:noWrap/>
            <w:vAlign w:val="bottom"/>
            <w:hideMark/>
          </w:tcPr>
          <w:p w14:paraId="56DEDC60"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3EB92AE3"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T164</w:t>
            </w:r>
          </w:p>
        </w:tc>
        <w:tc>
          <w:tcPr>
            <w:tcW w:w="1624" w:type="dxa"/>
            <w:shd w:val="clear" w:color="auto" w:fill="auto"/>
            <w:noWrap/>
            <w:vAlign w:val="bottom"/>
            <w:hideMark/>
          </w:tcPr>
          <w:p w14:paraId="60AF2266"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MYRSINI</w:t>
            </w:r>
          </w:p>
        </w:tc>
        <w:tc>
          <w:tcPr>
            <w:tcW w:w="338" w:type="dxa"/>
            <w:shd w:val="clear" w:color="auto" w:fill="auto"/>
            <w:noWrap/>
            <w:vAlign w:val="bottom"/>
            <w:hideMark/>
          </w:tcPr>
          <w:p w14:paraId="39C79E63"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3A14150E"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2F7892CD"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3FA49EB6"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29697699"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7370" w:type="dxa"/>
            <w:shd w:val="clear" w:color="auto" w:fill="auto"/>
            <w:noWrap/>
            <w:vAlign w:val="bottom"/>
            <w:hideMark/>
          </w:tcPr>
          <w:p w14:paraId="4DF79430"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ADelt 1959: 372-373; Kanta 1980: 163-173</w:t>
            </w:r>
          </w:p>
        </w:tc>
      </w:tr>
      <w:tr w:rsidR="00CE6093" w:rsidRPr="00B7613B" w14:paraId="626622EF" w14:textId="77777777" w:rsidTr="00F52D43">
        <w:trPr>
          <w:trHeight w:val="315"/>
        </w:trPr>
        <w:tc>
          <w:tcPr>
            <w:tcW w:w="852" w:type="dxa"/>
            <w:shd w:val="clear" w:color="auto" w:fill="auto"/>
            <w:noWrap/>
            <w:vAlign w:val="bottom"/>
            <w:hideMark/>
          </w:tcPr>
          <w:p w14:paraId="56B707D1"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406</w:t>
            </w:r>
          </w:p>
        </w:tc>
        <w:tc>
          <w:tcPr>
            <w:tcW w:w="858" w:type="dxa"/>
            <w:shd w:val="clear" w:color="auto" w:fill="auto"/>
            <w:noWrap/>
            <w:vAlign w:val="bottom"/>
            <w:hideMark/>
          </w:tcPr>
          <w:p w14:paraId="46B3C813"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HM 1619</w:t>
            </w:r>
          </w:p>
        </w:tc>
        <w:tc>
          <w:tcPr>
            <w:tcW w:w="698" w:type="dxa"/>
            <w:shd w:val="clear" w:color="auto" w:fill="auto"/>
            <w:noWrap/>
            <w:vAlign w:val="bottom"/>
            <w:hideMark/>
          </w:tcPr>
          <w:p w14:paraId="7A0F50FF"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T176</w:t>
            </w:r>
          </w:p>
        </w:tc>
        <w:tc>
          <w:tcPr>
            <w:tcW w:w="1624" w:type="dxa"/>
            <w:shd w:val="clear" w:color="auto" w:fill="auto"/>
            <w:noWrap/>
            <w:vAlign w:val="bottom"/>
            <w:hideMark/>
          </w:tcPr>
          <w:p w14:paraId="38A34D82"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AGIA TRIADA</w:t>
            </w:r>
          </w:p>
        </w:tc>
        <w:tc>
          <w:tcPr>
            <w:tcW w:w="338" w:type="dxa"/>
            <w:shd w:val="clear" w:color="auto" w:fill="auto"/>
            <w:noWrap/>
            <w:vAlign w:val="bottom"/>
            <w:hideMark/>
          </w:tcPr>
          <w:p w14:paraId="6BE14C44"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3D37B6F4"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1D7277FF"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4B7244CF"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79C68480"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267</w:t>
            </w:r>
          </w:p>
        </w:tc>
        <w:tc>
          <w:tcPr>
            <w:tcW w:w="7370" w:type="dxa"/>
            <w:shd w:val="clear" w:color="auto" w:fill="auto"/>
            <w:noWrap/>
            <w:vAlign w:val="bottom"/>
            <w:hideMark/>
          </w:tcPr>
          <w:p w14:paraId="4FD61165"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Bosanquet  1901-02: 300-301, pl. XVIII-XIX;  Evans 1906: 10; Rutkowski 1968: 223; Michailidou Pappa 1972: 199; Watrous 1991: 293, pl. 82 a-c; Merousis 2000: 168; Spiliotopoulou 2010: 62 n. 67</w:t>
            </w:r>
          </w:p>
        </w:tc>
      </w:tr>
      <w:tr w:rsidR="00CE6093" w:rsidRPr="00B7613B" w14:paraId="26869E4F" w14:textId="77777777" w:rsidTr="00F52D43">
        <w:trPr>
          <w:trHeight w:val="315"/>
        </w:trPr>
        <w:tc>
          <w:tcPr>
            <w:tcW w:w="852" w:type="dxa"/>
            <w:shd w:val="clear" w:color="auto" w:fill="auto"/>
            <w:noWrap/>
            <w:vAlign w:val="bottom"/>
            <w:hideMark/>
          </w:tcPr>
          <w:p w14:paraId="03572376"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407</w:t>
            </w:r>
          </w:p>
        </w:tc>
        <w:tc>
          <w:tcPr>
            <w:tcW w:w="858" w:type="dxa"/>
            <w:shd w:val="clear" w:color="auto" w:fill="auto"/>
            <w:noWrap/>
            <w:vAlign w:val="bottom"/>
            <w:hideMark/>
          </w:tcPr>
          <w:p w14:paraId="40F82A47"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0B7AB96B"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T176</w:t>
            </w:r>
          </w:p>
        </w:tc>
        <w:tc>
          <w:tcPr>
            <w:tcW w:w="1624" w:type="dxa"/>
            <w:shd w:val="clear" w:color="auto" w:fill="auto"/>
            <w:noWrap/>
            <w:vAlign w:val="bottom"/>
            <w:hideMark/>
          </w:tcPr>
          <w:p w14:paraId="7E27E641"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AGIA TRIADA</w:t>
            </w:r>
          </w:p>
        </w:tc>
        <w:tc>
          <w:tcPr>
            <w:tcW w:w="338" w:type="dxa"/>
            <w:shd w:val="clear" w:color="auto" w:fill="auto"/>
            <w:noWrap/>
            <w:vAlign w:val="bottom"/>
            <w:hideMark/>
          </w:tcPr>
          <w:p w14:paraId="5BB9482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6E11891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31C4DC12"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683B78AD"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4C917264"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267</w:t>
            </w:r>
          </w:p>
        </w:tc>
        <w:tc>
          <w:tcPr>
            <w:tcW w:w="7370" w:type="dxa"/>
            <w:shd w:val="clear" w:color="auto" w:fill="auto"/>
            <w:noWrap/>
            <w:vAlign w:val="bottom"/>
            <w:hideMark/>
          </w:tcPr>
          <w:p w14:paraId="02DE559A"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 xml:space="preserve">Bosanquet 1901-02: 300-301; </w:t>
            </w:r>
          </w:p>
        </w:tc>
      </w:tr>
      <w:tr w:rsidR="00CE6093" w:rsidRPr="00B7613B" w14:paraId="4E221370" w14:textId="77777777" w:rsidTr="00F52D43">
        <w:trPr>
          <w:trHeight w:val="315"/>
        </w:trPr>
        <w:tc>
          <w:tcPr>
            <w:tcW w:w="852" w:type="dxa"/>
            <w:shd w:val="clear" w:color="auto" w:fill="auto"/>
            <w:noWrap/>
            <w:vAlign w:val="bottom"/>
            <w:hideMark/>
          </w:tcPr>
          <w:p w14:paraId="1573FA5F"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408</w:t>
            </w:r>
          </w:p>
        </w:tc>
        <w:tc>
          <w:tcPr>
            <w:tcW w:w="858" w:type="dxa"/>
            <w:shd w:val="clear" w:color="auto" w:fill="auto"/>
            <w:noWrap/>
            <w:vAlign w:val="bottom"/>
            <w:hideMark/>
          </w:tcPr>
          <w:p w14:paraId="1D58C570"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BM A745</w:t>
            </w:r>
          </w:p>
        </w:tc>
        <w:tc>
          <w:tcPr>
            <w:tcW w:w="698" w:type="dxa"/>
            <w:shd w:val="clear" w:color="auto" w:fill="auto"/>
            <w:noWrap/>
            <w:vAlign w:val="bottom"/>
            <w:hideMark/>
          </w:tcPr>
          <w:p w14:paraId="719B12A1"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T184</w:t>
            </w:r>
          </w:p>
        </w:tc>
        <w:tc>
          <w:tcPr>
            <w:tcW w:w="1624" w:type="dxa"/>
            <w:shd w:val="clear" w:color="auto" w:fill="auto"/>
            <w:noWrap/>
            <w:vAlign w:val="bottom"/>
            <w:hideMark/>
          </w:tcPr>
          <w:p w14:paraId="6526AC7D"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AGIA TRIADA</w:t>
            </w:r>
          </w:p>
        </w:tc>
        <w:tc>
          <w:tcPr>
            <w:tcW w:w="338" w:type="dxa"/>
            <w:shd w:val="clear" w:color="auto" w:fill="auto"/>
            <w:noWrap/>
            <w:vAlign w:val="bottom"/>
            <w:hideMark/>
          </w:tcPr>
          <w:p w14:paraId="17B416F2"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72E10C17"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3E99C7D1"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2C936156"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2D09F3DD"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277</w:t>
            </w:r>
          </w:p>
        </w:tc>
        <w:tc>
          <w:tcPr>
            <w:tcW w:w="7370" w:type="dxa"/>
            <w:shd w:val="clear" w:color="auto" w:fill="auto"/>
            <w:noWrap/>
            <w:vAlign w:val="bottom"/>
            <w:hideMark/>
          </w:tcPr>
          <w:p w14:paraId="71DD3408"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Bosanquet BSA 1901-02: 301-302, fig. 15, 16; Bosanquet and Dawkins 1923: 154;  Spiliotopoulou 2010: 62 n.69</w:t>
            </w:r>
          </w:p>
        </w:tc>
      </w:tr>
      <w:tr w:rsidR="00CE6093" w:rsidRPr="00B7613B" w14:paraId="3A89A2D9" w14:textId="77777777" w:rsidTr="00F52D43">
        <w:trPr>
          <w:trHeight w:val="315"/>
        </w:trPr>
        <w:tc>
          <w:tcPr>
            <w:tcW w:w="852" w:type="dxa"/>
            <w:shd w:val="clear" w:color="auto" w:fill="auto"/>
            <w:noWrap/>
            <w:vAlign w:val="bottom"/>
            <w:hideMark/>
          </w:tcPr>
          <w:p w14:paraId="0C508556"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411</w:t>
            </w:r>
          </w:p>
        </w:tc>
        <w:tc>
          <w:tcPr>
            <w:tcW w:w="858" w:type="dxa"/>
            <w:shd w:val="clear" w:color="auto" w:fill="auto"/>
            <w:noWrap/>
            <w:vAlign w:val="bottom"/>
            <w:hideMark/>
          </w:tcPr>
          <w:p w14:paraId="0817D8F6"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15EB08FF"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T177</w:t>
            </w:r>
          </w:p>
        </w:tc>
        <w:tc>
          <w:tcPr>
            <w:tcW w:w="1624" w:type="dxa"/>
            <w:shd w:val="clear" w:color="auto" w:fill="auto"/>
            <w:noWrap/>
            <w:vAlign w:val="bottom"/>
            <w:hideMark/>
          </w:tcPr>
          <w:p w14:paraId="74C4D7E1"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AGIA TRIADA</w:t>
            </w:r>
          </w:p>
        </w:tc>
        <w:tc>
          <w:tcPr>
            <w:tcW w:w="338" w:type="dxa"/>
            <w:shd w:val="clear" w:color="auto" w:fill="auto"/>
            <w:noWrap/>
            <w:vAlign w:val="bottom"/>
            <w:hideMark/>
          </w:tcPr>
          <w:p w14:paraId="3E9ACA40"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534DC84C"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6A09FDA6"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1C54B4AE"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78A435D9"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268</w:t>
            </w:r>
          </w:p>
        </w:tc>
        <w:tc>
          <w:tcPr>
            <w:tcW w:w="7370" w:type="dxa"/>
            <w:shd w:val="clear" w:color="auto" w:fill="auto"/>
            <w:noWrap/>
            <w:vAlign w:val="bottom"/>
            <w:hideMark/>
          </w:tcPr>
          <w:p w14:paraId="4EB2C057"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Bosanquet 1901-02: 301, fig. 15, 16</w:t>
            </w:r>
          </w:p>
        </w:tc>
      </w:tr>
      <w:tr w:rsidR="00CE6093" w:rsidRPr="00B7613B" w14:paraId="001C415B" w14:textId="77777777" w:rsidTr="00F52D43">
        <w:trPr>
          <w:trHeight w:val="315"/>
        </w:trPr>
        <w:tc>
          <w:tcPr>
            <w:tcW w:w="852" w:type="dxa"/>
            <w:shd w:val="clear" w:color="auto" w:fill="auto"/>
            <w:noWrap/>
            <w:vAlign w:val="bottom"/>
            <w:hideMark/>
          </w:tcPr>
          <w:p w14:paraId="4D391F1F"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410</w:t>
            </w:r>
          </w:p>
        </w:tc>
        <w:tc>
          <w:tcPr>
            <w:tcW w:w="858" w:type="dxa"/>
            <w:shd w:val="clear" w:color="auto" w:fill="auto"/>
            <w:noWrap/>
            <w:vAlign w:val="bottom"/>
            <w:hideMark/>
          </w:tcPr>
          <w:p w14:paraId="236BBC42"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BM A472</w:t>
            </w:r>
          </w:p>
        </w:tc>
        <w:tc>
          <w:tcPr>
            <w:tcW w:w="698" w:type="dxa"/>
            <w:shd w:val="clear" w:color="auto" w:fill="auto"/>
            <w:noWrap/>
            <w:vAlign w:val="bottom"/>
            <w:hideMark/>
          </w:tcPr>
          <w:p w14:paraId="7721FB34"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T178</w:t>
            </w:r>
          </w:p>
        </w:tc>
        <w:tc>
          <w:tcPr>
            <w:tcW w:w="1624" w:type="dxa"/>
            <w:shd w:val="clear" w:color="auto" w:fill="auto"/>
            <w:noWrap/>
            <w:vAlign w:val="bottom"/>
            <w:hideMark/>
          </w:tcPr>
          <w:p w14:paraId="6DAEE1D0"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CLIFF-TOP, ASPA (1)</w:t>
            </w:r>
          </w:p>
        </w:tc>
        <w:tc>
          <w:tcPr>
            <w:tcW w:w="338" w:type="dxa"/>
            <w:shd w:val="clear" w:color="auto" w:fill="auto"/>
            <w:noWrap/>
            <w:vAlign w:val="bottom"/>
            <w:hideMark/>
          </w:tcPr>
          <w:p w14:paraId="6919E65D"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21A77D17"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3176A623"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2FD04AD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64D3971B"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270-271</w:t>
            </w:r>
          </w:p>
        </w:tc>
        <w:tc>
          <w:tcPr>
            <w:tcW w:w="7370" w:type="dxa"/>
            <w:shd w:val="clear" w:color="auto" w:fill="auto"/>
            <w:noWrap/>
            <w:vAlign w:val="bottom"/>
            <w:hideMark/>
          </w:tcPr>
          <w:p w14:paraId="2458DCD3"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Bosanquest  1901-02: 301, fig. 17; Bosanquet and Dawkins 1923: 155 n. 2</w:t>
            </w:r>
          </w:p>
        </w:tc>
      </w:tr>
      <w:tr w:rsidR="00CE6093" w:rsidRPr="00B7613B" w14:paraId="11D7BF3D" w14:textId="77777777" w:rsidTr="00F52D43">
        <w:trPr>
          <w:trHeight w:val="315"/>
        </w:trPr>
        <w:tc>
          <w:tcPr>
            <w:tcW w:w="852" w:type="dxa"/>
            <w:shd w:val="clear" w:color="auto" w:fill="auto"/>
            <w:noWrap/>
            <w:vAlign w:val="bottom"/>
            <w:hideMark/>
          </w:tcPr>
          <w:p w14:paraId="5703E419"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417</w:t>
            </w:r>
          </w:p>
        </w:tc>
        <w:tc>
          <w:tcPr>
            <w:tcW w:w="858" w:type="dxa"/>
            <w:shd w:val="clear" w:color="auto" w:fill="auto"/>
            <w:noWrap/>
            <w:vAlign w:val="bottom"/>
            <w:hideMark/>
          </w:tcPr>
          <w:p w14:paraId="4B527B1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3648C15A"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T182</w:t>
            </w:r>
          </w:p>
        </w:tc>
        <w:tc>
          <w:tcPr>
            <w:tcW w:w="1624" w:type="dxa"/>
            <w:shd w:val="clear" w:color="auto" w:fill="auto"/>
            <w:noWrap/>
            <w:vAlign w:val="bottom"/>
            <w:hideMark/>
          </w:tcPr>
          <w:p w14:paraId="202E62AE"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CLIFF-TOP, ASPA (2)</w:t>
            </w:r>
          </w:p>
        </w:tc>
        <w:tc>
          <w:tcPr>
            <w:tcW w:w="338" w:type="dxa"/>
            <w:shd w:val="clear" w:color="auto" w:fill="auto"/>
            <w:noWrap/>
            <w:vAlign w:val="bottom"/>
            <w:hideMark/>
          </w:tcPr>
          <w:p w14:paraId="2E8C5D8B"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59ED570A"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013107A8"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50FF768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7372B8E3"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275</w:t>
            </w:r>
          </w:p>
        </w:tc>
        <w:tc>
          <w:tcPr>
            <w:tcW w:w="7370" w:type="dxa"/>
            <w:shd w:val="clear" w:color="auto" w:fill="auto"/>
            <w:noWrap/>
            <w:vAlign w:val="bottom"/>
            <w:hideMark/>
          </w:tcPr>
          <w:p w14:paraId="132BC957"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Currelly 1903-1904:228-229, fig. 9-10</w:t>
            </w:r>
          </w:p>
        </w:tc>
      </w:tr>
      <w:tr w:rsidR="00CE6093" w:rsidRPr="00B7613B" w14:paraId="38C5E72D" w14:textId="77777777" w:rsidTr="00F52D43">
        <w:trPr>
          <w:trHeight w:val="315"/>
        </w:trPr>
        <w:tc>
          <w:tcPr>
            <w:tcW w:w="852" w:type="dxa"/>
            <w:shd w:val="clear" w:color="auto" w:fill="auto"/>
            <w:noWrap/>
            <w:vAlign w:val="bottom"/>
            <w:hideMark/>
          </w:tcPr>
          <w:p w14:paraId="1CD03638"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443</w:t>
            </w:r>
          </w:p>
        </w:tc>
        <w:tc>
          <w:tcPr>
            <w:tcW w:w="858" w:type="dxa"/>
            <w:shd w:val="clear" w:color="auto" w:fill="auto"/>
            <w:noWrap/>
            <w:vAlign w:val="bottom"/>
            <w:hideMark/>
          </w:tcPr>
          <w:p w14:paraId="7ABCB883"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AE 1910.783</w:t>
            </w:r>
          </w:p>
        </w:tc>
        <w:tc>
          <w:tcPr>
            <w:tcW w:w="698" w:type="dxa"/>
            <w:shd w:val="clear" w:color="auto" w:fill="auto"/>
            <w:noWrap/>
            <w:vAlign w:val="bottom"/>
            <w:hideMark/>
          </w:tcPr>
          <w:p w14:paraId="34FF864E"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T184</w:t>
            </w:r>
          </w:p>
        </w:tc>
        <w:tc>
          <w:tcPr>
            <w:tcW w:w="1624" w:type="dxa"/>
            <w:shd w:val="clear" w:color="auto" w:fill="auto"/>
            <w:noWrap/>
            <w:vAlign w:val="bottom"/>
            <w:hideMark/>
          </w:tcPr>
          <w:p w14:paraId="49D03CF8"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CLIFF-TOP, ASPA (2)</w:t>
            </w:r>
          </w:p>
        </w:tc>
        <w:tc>
          <w:tcPr>
            <w:tcW w:w="338" w:type="dxa"/>
            <w:shd w:val="clear" w:color="auto" w:fill="auto"/>
            <w:noWrap/>
            <w:vAlign w:val="bottom"/>
            <w:hideMark/>
          </w:tcPr>
          <w:p w14:paraId="54BFDFBE"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5FF75A3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2F4C897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26421E0E"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5187BCAD"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277</w:t>
            </w:r>
          </w:p>
        </w:tc>
        <w:tc>
          <w:tcPr>
            <w:tcW w:w="7370" w:type="dxa"/>
            <w:shd w:val="clear" w:color="auto" w:fill="auto"/>
            <w:noWrap/>
            <w:vAlign w:val="bottom"/>
            <w:hideMark/>
          </w:tcPr>
          <w:p w14:paraId="5F5E1E86"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Currelly 1903-1904: 231</w:t>
            </w:r>
          </w:p>
        </w:tc>
      </w:tr>
      <w:tr w:rsidR="00CE6093" w:rsidRPr="00B7613B" w14:paraId="1B8C7193" w14:textId="77777777" w:rsidTr="00F52D43">
        <w:trPr>
          <w:trHeight w:val="315"/>
        </w:trPr>
        <w:tc>
          <w:tcPr>
            <w:tcW w:w="852" w:type="dxa"/>
            <w:shd w:val="clear" w:color="auto" w:fill="auto"/>
            <w:noWrap/>
            <w:vAlign w:val="bottom"/>
            <w:hideMark/>
          </w:tcPr>
          <w:p w14:paraId="1B4283CA"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432</w:t>
            </w:r>
          </w:p>
        </w:tc>
        <w:tc>
          <w:tcPr>
            <w:tcW w:w="858" w:type="dxa"/>
            <w:shd w:val="clear" w:color="auto" w:fill="auto"/>
            <w:noWrap/>
            <w:vAlign w:val="bottom"/>
            <w:hideMark/>
          </w:tcPr>
          <w:p w14:paraId="61C69913"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BM A743</w:t>
            </w:r>
          </w:p>
        </w:tc>
        <w:tc>
          <w:tcPr>
            <w:tcW w:w="698" w:type="dxa"/>
            <w:shd w:val="clear" w:color="auto" w:fill="auto"/>
            <w:noWrap/>
            <w:vAlign w:val="bottom"/>
            <w:hideMark/>
          </w:tcPr>
          <w:p w14:paraId="1AEB4CB0"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T191</w:t>
            </w:r>
          </w:p>
        </w:tc>
        <w:tc>
          <w:tcPr>
            <w:tcW w:w="1624" w:type="dxa"/>
            <w:shd w:val="clear" w:color="auto" w:fill="auto"/>
            <w:noWrap/>
            <w:vAlign w:val="bottom"/>
            <w:hideMark/>
          </w:tcPr>
          <w:p w14:paraId="4FE9CD29"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FOOT PETSOFA</w:t>
            </w:r>
          </w:p>
        </w:tc>
        <w:tc>
          <w:tcPr>
            <w:tcW w:w="338" w:type="dxa"/>
            <w:shd w:val="clear" w:color="auto" w:fill="auto"/>
            <w:noWrap/>
            <w:vAlign w:val="bottom"/>
            <w:hideMark/>
          </w:tcPr>
          <w:p w14:paraId="577073D6"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1018BFB2"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207ED92C"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3D5E27BB"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6026F3FE"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281</w:t>
            </w:r>
          </w:p>
        </w:tc>
        <w:tc>
          <w:tcPr>
            <w:tcW w:w="7370" w:type="dxa"/>
            <w:shd w:val="clear" w:color="auto" w:fill="auto"/>
            <w:noWrap/>
            <w:vAlign w:val="bottom"/>
            <w:hideMark/>
          </w:tcPr>
          <w:p w14:paraId="516B46EA"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Dawkins 1905-1906: 1-8; Platon 1908: 97-98; Preston 2000: appendix G;</w:t>
            </w:r>
          </w:p>
        </w:tc>
      </w:tr>
      <w:tr w:rsidR="00CE6093" w:rsidRPr="00B7613B" w14:paraId="6CF85C67" w14:textId="77777777" w:rsidTr="00F52D43">
        <w:trPr>
          <w:trHeight w:val="315"/>
        </w:trPr>
        <w:tc>
          <w:tcPr>
            <w:tcW w:w="852" w:type="dxa"/>
            <w:shd w:val="clear" w:color="auto" w:fill="auto"/>
            <w:noWrap/>
            <w:vAlign w:val="bottom"/>
            <w:hideMark/>
          </w:tcPr>
          <w:p w14:paraId="75EDE3D3"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434</w:t>
            </w:r>
          </w:p>
        </w:tc>
        <w:tc>
          <w:tcPr>
            <w:tcW w:w="858" w:type="dxa"/>
            <w:shd w:val="clear" w:color="auto" w:fill="auto"/>
            <w:noWrap/>
            <w:vAlign w:val="bottom"/>
            <w:hideMark/>
          </w:tcPr>
          <w:p w14:paraId="424A042C"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2C8EE2D4"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T191</w:t>
            </w:r>
          </w:p>
        </w:tc>
        <w:tc>
          <w:tcPr>
            <w:tcW w:w="1624" w:type="dxa"/>
            <w:shd w:val="clear" w:color="auto" w:fill="auto"/>
            <w:noWrap/>
            <w:vAlign w:val="bottom"/>
            <w:hideMark/>
          </w:tcPr>
          <w:p w14:paraId="00A0A680"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FOOT PETSOFA</w:t>
            </w:r>
          </w:p>
        </w:tc>
        <w:tc>
          <w:tcPr>
            <w:tcW w:w="338" w:type="dxa"/>
            <w:shd w:val="clear" w:color="auto" w:fill="auto"/>
            <w:noWrap/>
            <w:vAlign w:val="bottom"/>
            <w:hideMark/>
          </w:tcPr>
          <w:p w14:paraId="2E203AEB"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2581089D"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623439B3"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0896753D"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0F1C61DB"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281</w:t>
            </w:r>
          </w:p>
        </w:tc>
        <w:tc>
          <w:tcPr>
            <w:tcW w:w="7370" w:type="dxa"/>
            <w:shd w:val="clear" w:color="auto" w:fill="auto"/>
            <w:noWrap/>
            <w:vAlign w:val="bottom"/>
            <w:hideMark/>
          </w:tcPr>
          <w:p w14:paraId="4EE2C6FB"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Dawkins 1905-1906: 1-7; Platon 1908: 97-98;  Preston 2000 appendix G;</w:t>
            </w:r>
          </w:p>
        </w:tc>
      </w:tr>
      <w:tr w:rsidR="00CE6093" w:rsidRPr="00B7613B" w14:paraId="25594DF9" w14:textId="77777777" w:rsidTr="00F52D43">
        <w:trPr>
          <w:trHeight w:val="315"/>
        </w:trPr>
        <w:tc>
          <w:tcPr>
            <w:tcW w:w="852" w:type="dxa"/>
            <w:shd w:val="clear" w:color="auto" w:fill="auto"/>
            <w:noWrap/>
            <w:vAlign w:val="bottom"/>
            <w:hideMark/>
          </w:tcPr>
          <w:p w14:paraId="0EFDD7BA"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444</w:t>
            </w:r>
          </w:p>
        </w:tc>
        <w:tc>
          <w:tcPr>
            <w:tcW w:w="858" w:type="dxa"/>
            <w:shd w:val="clear" w:color="auto" w:fill="auto"/>
            <w:noWrap/>
            <w:vAlign w:val="bottom"/>
            <w:hideMark/>
          </w:tcPr>
          <w:p w14:paraId="3B49BB3C"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MS 12281</w:t>
            </w:r>
          </w:p>
        </w:tc>
        <w:tc>
          <w:tcPr>
            <w:tcW w:w="698" w:type="dxa"/>
            <w:shd w:val="clear" w:color="auto" w:fill="auto"/>
            <w:noWrap/>
            <w:vAlign w:val="bottom"/>
            <w:hideMark/>
          </w:tcPr>
          <w:p w14:paraId="16A0BD46"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T193</w:t>
            </w:r>
          </w:p>
        </w:tc>
        <w:tc>
          <w:tcPr>
            <w:tcW w:w="1624" w:type="dxa"/>
            <w:shd w:val="clear" w:color="auto" w:fill="auto"/>
            <w:noWrap/>
            <w:vAlign w:val="bottom"/>
            <w:hideMark/>
          </w:tcPr>
          <w:p w14:paraId="2F89DD0E"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MESONISI</w:t>
            </w:r>
          </w:p>
        </w:tc>
        <w:tc>
          <w:tcPr>
            <w:tcW w:w="338" w:type="dxa"/>
            <w:shd w:val="clear" w:color="auto" w:fill="auto"/>
            <w:noWrap/>
            <w:vAlign w:val="bottom"/>
            <w:hideMark/>
          </w:tcPr>
          <w:p w14:paraId="56F2258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22964B71"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7AD8E5A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6DEEE299"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00780AEF" w14:textId="77777777" w:rsidR="00CE6093" w:rsidRPr="00B7613B" w:rsidRDefault="00CE6093" w:rsidP="00B7613B">
            <w:pPr>
              <w:widowControl/>
              <w:spacing w:line="240" w:lineRule="auto"/>
              <w:contextualSpacing w:val="0"/>
              <w:jc w:val="left"/>
              <w:rPr>
                <w:rFonts w:ascii="Calibri" w:eastAsia="Times New Roman" w:hAnsi="Calibri"/>
                <w:lang w:eastAsia="en-GB"/>
              </w:rPr>
            </w:pPr>
            <w:r w:rsidRPr="00B7613B">
              <w:rPr>
                <w:rFonts w:ascii="Calibri" w:eastAsia="Times New Roman" w:hAnsi="Calibri"/>
                <w:lang w:eastAsia="en-GB"/>
              </w:rPr>
              <w:t xml:space="preserve"> -</w:t>
            </w:r>
          </w:p>
        </w:tc>
        <w:tc>
          <w:tcPr>
            <w:tcW w:w="7370" w:type="dxa"/>
            <w:shd w:val="clear" w:color="auto" w:fill="auto"/>
            <w:noWrap/>
            <w:vAlign w:val="bottom"/>
            <w:hideMark/>
          </w:tcPr>
          <w:p w14:paraId="18483656"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ADelt 56-59 2001-2004: 495; AR 2012-2013: 62</w:t>
            </w:r>
          </w:p>
        </w:tc>
      </w:tr>
      <w:tr w:rsidR="00CE6093" w:rsidRPr="00B7613B" w14:paraId="1E27807B" w14:textId="77777777" w:rsidTr="00F52D43">
        <w:trPr>
          <w:trHeight w:val="315"/>
        </w:trPr>
        <w:tc>
          <w:tcPr>
            <w:tcW w:w="852" w:type="dxa"/>
            <w:shd w:val="clear" w:color="auto" w:fill="auto"/>
            <w:noWrap/>
            <w:vAlign w:val="bottom"/>
            <w:hideMark/>
          </w:tcPr>
          <w:p w14:paraId="6E11086F"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445</w:t>
            </w:r>
          </w:p>
        </w:tc>
        <w:tc>
          <w:tcPr>
            <w:tcW w:w="858" w:type="dxa"/>
            <w:shd w:val="clear" w:color="auto" w:fill="auto"/>
            <w:noWrap/>
            <w:vAlign w:val="bottom"/>
            <w:hideMark/>
          </w:tcPr>
          <w:p w14:paraId="1E7D6AA6"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MS 12282</w:t>
            </w:r>
          </w:p>
        </w:tc>
        <w:tc>
          <w:tcPr>
            <w:tcW w:w="698" w:type="dxa"/>
            <w:shd w:val="clear" w:color="auto" w:fill="auto"/>
            <w:noWrap/>
            <w:vAlign w:val="bottom"/>
            <w:hideMark/>
          </w:tcPr>
          <w:p w14:paraId="4C7115C8"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T193</w:t>
            </w:r>
          </w:p>
        </w:tc>
        <w:tc>
          <w:tcPr>
            <w:tcW w:w="1624" w:type="dxa"/>
            <w:shd w:val="clear" w:color="auto" w:fill="auto"/>
            <w:noWrap/>
            <w:vAlign w:val="bottom"/>
            <w:hideMark/>
          </w:tcPr>
          <w:p w14:paraId="295D6B54"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MESONISI</w:t>
            </w:r>
          </w:p>
        </w:tc>
        <w:tc>
          <w:tcPr>
            <w:tcW w:w="338" w:type="dxa"/>
            <w:shd w:val="clear" w:color="auto" w:fill="auto"/>
            <w:noWrap/>
            <w:vAlign w:val="bottom"/>
            <w:hideMark/>
          </w:tcPr>
          <w:p w14:paraId="7FEB4EE7"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013EE883"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656A8EFA"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43FBFF2A"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3578B43E" w14:textId="77777777" w:rsidR="00CE6093" w:rsidRPr="00B7613B" w:rsidRDefault="00CE6093" w:rsidP="00B7613B">
            <w:pPr>
              <w:widowControl/>
              <w:spacing w:line="240" w:lineRule="auto"/>
              <w:contextualSpacing w:val="0"/>
              <w:jc w:val="left"/>
              <w:rPr>
                <w:rFonts w:ascii="Calibri" w:eastAsia="Times New Roman" w:hAnsi="Calibri"/>
                <w:lang w:eastAsia="en-GB"/>
              </w:rPr>
            </w:pPr>
            <w:r w:rsidRPr="00B7613B">
              <w:rPr>
                <w:rFonts w:ascii="Calibri" w:eastAsia="Times New Roman" w:hAnsi="Calibri"/>
                <w:lang w:eastAsia="en-GB"/>
              </w:rPr>
              <w:t xml:space="preserve"> -</w:t>
            </w:r>
          </w:p>
        </w:tc>
        <w:tc>
          <w:tcPr>
            <w:tcW w:w="7370" w:type="dxa"/>
            <w:shd w:val="clear" w:color="auto" w:fill="auto"/>
            <w:noWrap/>
            <w:vAlign w:val="bottom"/>
            <w:hideMark/>
          </w:tcPr>
          <w:p w14:paraId="72A77B06"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ADelt 56-59 2001-2004: 495; pl 90 γ; AR 2012-2013: 62</w:t>
            </w:r>
          </w:p>
        </w:tc>
      </w:tr>
      <w:tr w:rsidR="00CE6093" w:rsidRPr="00B7613B" w14:paraId="45E2AC94" w14:textId="77777777" w:rsidTr="00F52D43">
        <w:trPr>
          <w:trHeight w:val="315"/>
        </w:trPr>
        <w:tc>
          <w:tcPr>
            <w:tcW w:w="852" w:type="dxa"/>
            <w:shd w:val="clear" w:color="auto" w:fill="auto"/>
            <w:noWrap/>
            <w:vAlign w:val="bottom"/>
            <w:hideMark/>
          </w:tcPr>
          <w:p w14:paraId="6C78A65A"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446</w:t>
            </w:r>
          </w:p>
        </w:tc>
        <w:tc>
          <w:tcPr>
            <w:tcW w:w="858" w:type="dxa"/>
            <w:shd w:val="clear" w:color="auto" w:fill="auto"/>
            <w:noWrap/>
            <w:vAlign w:val="bottom"/>
            <w:hideMark/>
          </w:tcPr>
          <w:p w14:paraId="6B92C952"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MS 12283</w:t>
            </w:r>
          </w:p>
        </w:tc>
        <w:tc>
          <w:tcPr>
            <w:tcW w:w="698" w:type="dxa"/>
            <w:shd w:val="clear" w:color="auto" w:fill="auto"/>
            <w:noWrap/>
            <w:vAlign w:val="bottom"/>
            <w:hideMark/>
          </w:tcPr>
          <w:p w14:paraId="79424E17"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T193</w:t>
            </w:r>
          </w:p>
        </w:tc>
        <w:tc>
          <w:tcPr>
            <w:tcW w:w="1624" w:type="dxa"/>
            <w:shd w:val="clear" w:color="auto" w:fill="auto"/>
            <w:noWrap/>
            <w:vAlign w:val="bottom"/>
            <w:hideMark/>
          </w:tcPr>
          <w:p w14:paraId="7FBAB992"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MESONISI</w:t>
            </w:r>
          </w:p>
        </w:tc>
        <w:tc>
          <w:tcPr>
            <w:tcW w:w="338" w:type="dxa"/>
            <w:shd w:val="clear" w:color="auto" w:fill="auto"/>
            <w:noWrap/>
            <w:vAlign w:val="bottom"/>
            <w:hideMark/>
          </w:tcPr>
          <w:p w14:paraId="396E0190"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4C3EBDF7"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1E0A7F9B"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13CE0CBE"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62CB87AC" w14:textId="77777777" w:rsidR="00CE6093" w:rsidRPr="00B7613B" w:rsidRDefault="00CE6093" w:rsidP="00B7613B">
            <w:pPr>
              <w:widowControl/>
              <w:spacing w:line="240" w:lineRule="auto"/>
              <w:contextualSpacing w:val="0"/>
              <w:jc w:val="left"/>
              <w:rPr>
                <w:rFonts w:ascii="Calibri" w:eastAsia="Times New Roman" w:hAnsi="Calibri"/>
                <w:lang w:eastAsia="en-GB"/>
              </w:rPr>
            </w:pPr>
            <w:r w:rsidRPr="00B7613B">
              <w:rPr>
                <w:rFonts w:ascii="Calibri" w:eastAsia="Times New Roman" w:hAnsi="Calibri"/>
                <w:lang w:eastAsia="en-GB"/>
              </w:rPr>
              <w:t xml:space="preserve"> -</w:t>
            </w:r>
          </w:p>
        </w:tc>
        <w:tc>
          <w:tcPr>
            <w:tcW w:w="7370" w:type="dxa"/>
            <w:shd w:val="clear" w:color="auto" w:fill="auto"/>
            <w:noWrap/>
            <w:vAlign w:val="bottom"/>
            <w:hideMark/>
          </w:tcPr>
          <w:p w14:paraId="3520C998"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ADelt 56-59 2001-2004: 495; AR 2012-2013: 62</w:t>
            </w:r>
          </w:p>
        </w:tc>
      </w:tr>
      <w:tr w:rsidR="00CE6093" w:rsidRPr="00B7613B" w14:paraId="3715C34D" w14:textId="77777777" w:rsidTr="00F52D43">
        <w:trPr>
          <w:trHeight w:val="315"/>
        </w:trPr>
        <w:tc>
          <w:tcPr>
            <w:tcW w:w="852" w:type="dxa"/>
            <w:shd w:val="clear" w:color="auto" w:fill="auto"/>
            <w:noWrap/>
            <w:vAlign w:val="bottom"/>
            <w:hideMark/>
          </w:tcPr>
          <w:p w14:paraId="240373DF"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447</w:t>
            </w:r>
          </w:p>
        </w:tc>
        <w:tc>
          <w:tcPr>
            <w:tcW w:w="858" w:type="dxa"/>
            <w:shd w:val="clear" w:color="auto" w:fill="auto"/>
            <w:noWrap/>
            <w:vAlign w:val="bottom"/>
            <w:hideMark/>
          </w:tcPr>
          <w:p w14:paraId="3380FE24"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76A27388"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T193</w:t>
            </w:r>
          </w:p>
        </w:tc>
        <w:tc>
          <w:tcPr>
            <w:tcW w:w="1624" w:type="dxa"/>
            <w:shd w:val="clear" w:color="auto" w:fill="auto"/>
            <w:noWrap/>
            <w:vAlign w:val="bottom"/>
            <w:hideMark/>
          </w:tcPr>
          <w:p w14:paraId="51371B0C"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MESONISI</w:t>
            </w:r>
          </w:p>
        </w:tc>
        <w:tc>
          <w:tcPr>
            <w:tcW w:w="338" w:type="dxa"/>
            <w:shd w:val="clear" w:color="auto" w:fill="auto"/>
            <w:noWrap/>
            <w:vAlign w:val="bottom"/>
            <w:hideMark/>
          </w:tcPr>
          <w:p w14:paraId="4A1571E7"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33BF7CE4"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542705BA"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781394AC"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223B7E1A" w14:textId="77777777" w:rsidR="00CE6093" w:rsidRPr="00B7613B" w:rsidRDefault="00CE6093" w:rsidP="00B7613B">
            <w:pPr>
              <w:widowControl/>
              <w:spacing w:line="240" w:lineRule="auto"/>
              <w:contextualSpacing w:val="0"/>
              <w:jc w:val="left"/>
              <w:rPr>
                <w:rFonts w:ascii="Calibri" w:eastAsia="Times New Roman" w:hAnsi="Calibri"/>
                <w:lang w:eastAsia="en-GB"/>
              </w:rPr>
            </w:pPr>
            <w:r w:rsidRPr="00B7613B">
              <w:rPr>
                <w:rFonts w:ascii="Calibri" w:eastAsia="Times New Roman" w:hAnsi="Calibri"/>
                <w:lang w:eastAsia="en-GB"/>
              </w:rPr>
              <w:t xml:space="preserve"> -</w:t>
            </w:r>
          </w:p>
        </w:tc>
        <w:tc>
          <w:tcPr>
            <w:tcW w:w="7370" w:type="dxa"/>
            <w:shd w:val="clear" w:color="auto" w:fill="auto"/>
            <w:noWrap/>
            <w:vAlign w:val="bottom"/>
            <w:hideMark/>
          </w:tcPr>
          <w:p w14:paraId="5F616969"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ADelt 56-59 2001-2004: 495; AR 2012-2013: 62</w:t>
            </w:r>
          </w:p>
        </w:tc>
      </w:tr>
      <w:tr w:rsidR="00CE6093" w:rsidRPr="00B7613B" w14:paraId="42A983A4" w14:textId="77777777" w:rsidTr="00F52D43">
        <w:trPr>
          <w:trHeight w:val="315"/>
        </w:trPr>
        <w:tc>
          <w:tcPr>
            <w:tcW w:w="852" w:type="dxa"/>
            <w:shd w:val="clear" w:color="auto" w:fill="auto"/>
            <w:noWrap/>
            <w:vAlign w:val="bottom"/>
            <w:hideMark/>
          </w:tcPr>
          <w:p w14:paraId="58F238DD"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448</w:t>
            </w:r>
          </w:p>
        </w:tc>
        <w:tc>
          <w:tcPr>
            <w:tcW w:w="858" w:type="dxa"/>
            <w:shd w:val="clear" w:color="auto" w:fill="auto"/>
            <w:noWrap/>
            <w:vAlign w:val="bottom"/>
            <w:hideMark/>
          </w:tcPr>
          <w:p w14:paraId="5F7C5298"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3F798908"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T193</w:t>
            </w:r>
          </w:p>
        </w:tc>
        <w:tc>
          <w:tcPr>
            <w:tcW w:w="1624" w:type="dxa"/>
            <w:shd w:val="clear" w:color="auto" w:fill="auto"/>
            <w:noWrap/>
            <w:vAlign w:val="bottom"/>
            <w:hideMark/>
          </w:tcPr>
          <w:p w14:paraId="348ABC64"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MESONISI</w:t>
            </w:r>
          </w:p>
        </w:tc>
        <w:tc>
          <w:tcPr>
            <w:tcW w:w="338" w:type="dxa"/>
            <w:shd w:val="clear" w:color="auto" w:fill="auto"/>
            <w:noWrap/>
            <w:vAlign w:val="bottom"/>
            <w:hideMark/>
          </w:tcPr>
          <w:p w14:paraId="496A22EB"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07CA5C01"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7938428A"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7E5DA077"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68E1EAA4" w14:textId="77777777" w:rsidR="00CE6093" w:rsidRPr="00B7613B" w:rsidRDefault="00CE6093" w:rsidP="00B7613B">
            <w:pPr>
              <w:widowControl/>
              <w:spacing w:line="240" w:lineRule="auto"/>
              <w:contextualSpacing w:val="0"/>
              <w:jc w:val="left"/>
              <w:rPr>
                <w:rFonts w:ascii="Calibri" w:eastAsia="Times New Roman" w:hAnsi="Calibri"/>
                <w:lang w:eastAsia="en-GB"/>
              </w:rPr>
            </w:pPr>
            <w:r w:rsidRPr="00B7613B">
              <w:rPr>
                <w:rFonts w:ascii="Calibri" w:eastAsia="Times New Roman" w:hAnsi="Calibri"/>
                <w:lang w:eastAsia="en-GB"/>
              </w:rPr>
              <w:t xml:space="preserve"> -</w:t>
            </w:r>
          </w:p>
        </w:tc>
        <w:tc>
          <w:tcPr>
            <w:tcW w:w="7370" w:type="dxa"/>
            <w:shd w:val="clear" w:color="auto" w:fill="auto"/>
            <w:noWrap/>
            <w:vAlign w:val="bottom"/>
            <w:hideMark/>
          </w:tcPr>
          <w:p w14:paraId="3DF387B2"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ADelt 56-59 2001-2004: 495; AR 2012-2013: 62</w:t>
            </w:r>
          </w:p>
        </w:tc>
      </w:tr>
      <w:tr w:rsidR="00CE6093" w:rsidRPr="00B7613B" w14:paraId="14455A4E" w14:textId="77777777" w:rsidTr="00F52D43">
        <w:trPr>
          <w:trHeight w:val="315"/>
        </w:trPr>
        <w:tc>
          <w:tcPr>
            <w:tcW w:w="852" w:type="dxa"/>
            <w:shd w:val="clear" w:color="auto" w:fill="auto"/>
            <w:noWrap/>
            <w:vAlign w:val="bottom"/>
            <w:hideMark/>
          </w:tcPr>
          <w:p w14:paraId="7C2C0B7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449</w:t>
            </w:r>
          </w:p>
        </w:tc>
        <w:tc>
          <w:tcPr>
            <w:tcW w:w="858" w:type="dxa"/>
            <w:shd w:val="clear" w:color="auto" w:fill="auto"/>
            <w:noWrap/>
            <w:vAlign w:val="bottom"/>
            <w:hideMark/>
          </w:tcPr>
          <w:p w14:paraId="40C08263"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3456E59C"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T193</w:t>
            </w:r>
          </w:p>
        </w:tc>
        <w:tc>
          <w:tcPr>
            <w:tcW w:w="1624" w:type="dxa"/>
            <w:shd w:val="clear" w:color="auto" w:fill="auto"/>
            <w:noWrap/>
            <w:vAlign w:val="bottom"/>
            <w:hideMark/>
          </w:tcPr>
          <w:p w14:paraId="04B35CC1"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MESONISI</w:t>
            </w:r>
          </w:p>
        </w:tc>
        <w:tc>
          <w:tcPr>
            <w:tcW w:w="338" w:type="dxa"/>
            <w:shd w:val="clear" w:color="auto" w:fill="auto"/>
            <w:noWrap/>
            <w:vAlign w:val="bottom"/>
            <w:hideMark/>
          </w:tcPr>
          <w:p w14:paraId="6FFA0BBC"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66A13144"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50EBF537"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072B0DF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19C334B7" w14:textId="77777777" w:rsidR="00CE6093" w:rsidRPr="00B7613B" w:rsidRDefault="00CE6093" w:rsidP="00B7613B">
            <w:pPr>
              <w:widowControl/>
              <w:spacing w:line="240" w:lineRule="auto"/>
              <w:contextualSpacing w:val="0"/>
              <w:jc w:val="left"/>
              <w:rPr>
                <w:rFonts w:ascii="Calibri" w:eastAsia="Times New Roman" w:hAnsi="Calibri"/>
                <w:lang w:eastAsia="en-GB"/>
              </w:rPr>
            </w:pPr>
            <w:r w:rsidRPr="00B7613B">
              <w:rPr>
                <w:rFonts w:ascii="Calibri" w:eastAsia="Times New Roman" w:hAnsi="Calibri"/>
                <w:lang w:eastAsia="en-GB"/>
              </w:rPr>
              <w:t xml:space="preserve"> -</w:t>
            </w:r>
          </w:p>
        </w:tc>
        <w:tc>
          <w:tcPr>
            <w:tcW w:w="7370" w:type="dxa"/>
            <w:shd w:val="clear" w:color="auto" w:fill="auto"/>
            <w:noWrap/>
            <w:vAlign w:val="bottom"/>
            <w:hideMark/>
          </w:tcPr>
          <w:p w14:paraId="70CA199C"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ADelt 56-59 2001-2004: 495; AR 2012-2013: 62</w:t>
            </w:r>
          </w:p>
        </w:tc>
      </w:tr>
      <w:tr w:rsidR="00CE6093" w:rsidRPr="00B7613B" w14:paraId="1C58F0FB" w14:textId="77777777" w:rsidTr="00F52D43">
        <w:trPr>
          <w:trHeight w:val="315"/>
        </w:trPr>
        <w:tc>
          <w:tcPr>
            <w:tcW w:w="852" w:type="dxa"/>
            <w:shd w:val="clear" w:color="auto" w:fill="auto"/>
            <w:noWrap/>
            <w:vAlign w:val="bottom"/>
            <w:hideMark/>
          </w:tcPr>
          <w:p w14:paraId="43A613B7"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450</w:t>
            </w:r>
          </w:p>
        </w:tc>
        <w:tc>
          <w:tcPr>
            <w:tcW w:w="858" w:type="dxa"/>
            <w:shd w:val="clear" w:color="auto" w:fill="auto"/>
            <w:noWrap/>
            <w:vAlign w:val="bottom"/>
            <w:hideMark/>
          </w:tcPr>
          <w:p w14:paraId="554F21DB"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57D2A83F"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T193</w:t>
            </w:r>
          </w:p>
        </w:tc>
        <w:tc>
          <w:tcPr>
            <w:tcW w:w="1624" w:type="dxa"/>
            <w:shd w:val="clear" w:color="auto" w:fill="auto"/>
            <w:noWrap/>
            <w:vAlign w:val="bottom"/>
            <w:hideMark/>
          </w:tcPr>
          <w:p w14:paraId="478D62FC"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MESONISI</w:t>
            </w:r>
          </w:p>
        </w:tc>
        <w:tc>
          <w:tcPr>
            <w:tcW w:w="338" w:type="dxa"/>
            <w:shd w:val="clear" w:color="auto" w:fill="auto"/>
            <w:noWrap/>
            <w:vAlign w:val="bottom"/>
            <w:hideMark/>
          </w:tcPr>
          <w:p w14:paraId="161B3F2E"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2E539530"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578F253B"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29943DA0"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370CD9E6"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7370" w:type="dxa"/>
            <w:shd w:val="clear" w:color="auto" w:fill="auto"/>
            <w:noWrap/>
            <w:vAlign w:val="bottom"/>
            <w:hideMark/>
          </w:tcPr>
          <w:p w14:paraId="03101DEE"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ADelt 56-59 2001-2004: 495; AR 2012-2013: 62</w:t>
            </w:r>
          </w:p>
        </w:tc>
      </w:tr>
      <w:tr w:rsidR="00CE6093" w:rsidRPr="00B7613B" w14:paraId="3D88F780" w14:textId="77777777" w:rsidTr="00F52D43">
        <w:trPr>
          <w:trHeight w:val="315"/>
        </w:trPr>
        <w:tc>
          <w:tcPr>
            <w:tcW w:w="852" w:type="dxa"/>
            <w:shd w:val="clear" w:color="auto" w:fill="auto"/>
            <w:noWrap/>
            <w:vAlign w:val="bottom"/>
            <w:hideMark/>
          </w:tcPr>
          <w:p w14:paraId="1B218589"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451</w:t>
            </w:r>
          </w:p>
        </w:tc>
        <w:tc>
          <w:tcPr>
            <w:tcW w:w="858" w:type="dxa"/>
            <w:shd w:val="clear" w:color="auto" w:fill="auto"/>
            <w:noWrap/>
            <w:vAlign w:val="bottom"/>
            <w:hideMark/>
          </w:tcPr>
          <w:p w14:paraId="700C93A9"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2D89B1C2"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T193</w:t>
            </w:r>
          </w:p>
        </w:tc>
        <w:tc>
          <w:tcPr>
            <w:tcW w:w="1624" w:type="dxa"/>
            <w:shd w:val="clear" w:color="auto" w:fill="auto"/>
            <w:noWrap/>
            <w:vAlign w:val="bottom"/>
            <w:hideMark/>
          </w:tcPr>
          <w:p w14:paraId="16752098"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PALAIKASTRO MESONISI</w:t>
            </w:r>
          </w:p>
        </w:tc>
        <w:tc>
          <w:tcPr>
            <w:tcW w:w="338" w:type="dxa"/>
            <w:shd w:val="clear" w:color="auto" w:fill="auto"/>
            <w:noWrap/>
            <w:vAlign w:val="bottom"/>
            <w:hideMark/>
          </w:tcPr>
          <w:p w14:paraId="267014C7"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34D9DA8E"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24A23F4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7F62110E"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703541DD" w14:textId="77777777" w:rsidR="00CE6093" w:rsidRPr="00B7613B" w:rsidRDefault="00CE6093" w:rsidP="00B7613B">
            <w:pPr>
              <w:widowControl/>
              <w:spacing w:line="240" w:lineRule="auto"/>
              <w:contextualSpacing w:val="0"/>
              <w:jc w:val="left"/>
              <w:rPr>
                <w:rFonts w:ascii="Calibri" w:eastAsia="Times New Roman" w:hAnsi="Calibri"/>
                <w:lang w:eastAsia="en-GB"/>
              </w:rPr>
            </w:pPr>
            <w:r w:rsidRPr="00B7613B">
              <w:rPr>
                <w:rFonts w:ascii="Calibri" w:eastAsia="Times New Roman" w:hAnsi="Calibri"/>
                <w:lang w:eastAsia="en-GB"/>
              </w:rPr>
              <w:t xml:space="preserve"> -</w:t>
            </w:r>
          </w:p>
        </w:tc>
        <w:tc>
          <w:tcPr>
            <w:tcW w:w="7370" w:type="dxa"/>
            <w:shd w:val="clear" w:color="auto" w:fill="auto"/>
            <w:noWrap/>
            <w:vAlign w:val="bottom"/>
            <w:hideMark/>
          </w:tcPr>
          <w:p w14:paraId="462CBE2F"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ADelt 56-59 2001-2004: 495; AR 2012-2013: 62</w:t>
            </w:r>
          </w:p>
        </w:tc>
      </w:tr>
      <w:tr w:rsidR="00CE6093" w:rsidRPr="00B7613B" w14:paraId="09C1B9D8" w14:textId="77777777" w:rsidTr="00F52D43">
        <w:trPr>
          <w:trHeight w:val="315"/>
        </w:trPr>
        <w:tc>
          <w:tcPr>
            <w:tcW w:w="852" w:type="dxa"/>
            <w:shd w:val="clear" w:color="auto" w:fill="auto"/>
            <w:noWrap/>
            <w:vAlign w:val="bottom"/>
            <w:hideMark/>
          </w:tcPr>
          <w:p w14:paraId="4A8BCEF4"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465</w:t>
            </w:r>
          </w:p>
        </w:tc>
        <w:tc>
          <w:tcPr>
            <w:tcW w:w="858" w:type="dxa"/>
            <w:shd w:val="clear" w:color="auto" w:fill="auto"/>
            <w:noWrap/>
            <w:vAlign w:val="bottom"/>
            <w:hideMark/>
          </w:tcPr>
          <w:p w14:paraId="708F3E3B"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ΜS 3530</w:t>
            </w:r>
          </w:p>
        </w:tc>
        <w:tc>
          <w:tcPr>
            <w:tcW w:w="698" w:type="dxa"/>
            <w:shd w:val="clear" w:color="auto" w:fill="auto"/>
            <w:noWrap/>
            <w:vAlign w:val="bottom"/>
            <w:hideMark/>
          </w:tcPr>
          <w:p w14:paraId="4253443C"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T202</w:t>
            </w:r>
          </w:p>
        </w:tc>
        <w:tc>
          <w:tcPr>
            <w:tcW w:w="1624" w:type="dxa"/>
            <w:shd w:val="clear" w:color="auto" w:fill="auto"/>
            <w:noWrap/>
            <w:vAlign w:val="bottom"/>
            <w:hideMark/>
          </w:tcPr>
          <w:p w14:paraId="0F6D93BB"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PETRAS PAPOURES</w:t>
            </w:r>
          </w:p>
        </w:tc>
        <w:tc>
          <w:tcPr>
            <w:tcW w:w="338" w:type="dxa"/>
            <w:shd w:val="clear" w:color="auto" w:fill="auto"/>
            <w:noWrap/>
            <w:vAlign w:val="bottom"/>
            <w:hideMark/>
          </w:tcPr>
          <w:p w14:paraId="79C92FEB"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3640330C"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57F323C2"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25AF9F7F"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5D8692B1"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308</w:t>
            </w:r>
          </w:p>
        </w:tc>
        <w:tc>
          <w:tcPr>
            <w:tcW w:w="7370" w:type="dxa"/>
            <w:shd w:val="clear" w:color="auto" w:fill="auto"/>
            <w:noWrap/>
            <w:vAlign w:val="bottom"/>
            <w:hideMark/>
          </w:tcPr>
          <w:p w14:paraId="0EB67C0D"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Xanthoudidis 1904: 55; Mavryiannaki 1972: 85;Kanta 1980: 176-177, pl. 65.6; Tsipopoulou and Vagnetti 1995: 134-138 ; fig. 99-101; Merousis 2000: 174; Spiliotopoulou 2010: 63 pl. 10.73; Langohr 2009: 524</w:t>
            </w:r>
          </w:p>
        </w:tc>
      </w:tr>
      <w:tr w:rsidR="00CE6093" w:rsidRPr="00B7613B" w14:paraId="6262D43C" w14:textId="77777777" w:rsidTr="00F52D43">
        <w:trPr>
          <w:trHeight w:val="315"/>
        </w:trPr>
        <w:tc>
          <w:tcPr>
            <w:tcW w:w="852" w:type="dxa"/>
            <w:shd w:val="clear" w:color="auto" w:fill="auto"/>
            <w:noWrap/>
            <w:vAlign w:val="bottom"/>
            <w:hideMark/>
          </w:tcPr>
          <w:p w14:paraId="68035301"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457</w:t>
            </w:r>
          </w:p>
        </w:tc>
        <w:tc>
          <w:tcPr>
            <w:tcW w:w="858" w:type="dxa"/>
            <w:shd w:val="clear" w:color="auto" w:fill="auto"/>
            <w:noWrap/>
            <w:vAlign w:val="bottom"/>
            <w:hideMark/>
          </w:tcPr>
          <w:p w14:paraId="62944EC3"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6E9E8347"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T197</w:t>
            </w:r>
          </w:p>
        </w:tc>
        <w:tc>
          <w:tcPr>
            <w:tcW w:w="1624" w:type="dxa"/>
            <w:shd w:val="clear" w:color="auto" w:fill="auto"/>
            <w:noWrap/>
            <w:vAlign w:val="bottom"/>
            <w:hideMark/>
          </w:tcPr>
          <w:p w14:paraId="521F1EF9"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PRAISOS</w:t>
            </w:r>
          </w:p>
        </w:tc>
        <w:tc>
          <w:tcPr>
            <w:tcW w:w="338" w:type="dxa"/>
            <w:shd w:val="clear" w:color="auto" w:fill="auto"/>
            <w:noWrap/>
            <w:vAlign w:val="bottom"/>
            <w:hideMark/>
          </w:tcPr>
          <w:p w14:paraId="0EF40AC1"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434D4EDA"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07D6D8A4"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5841BE14"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6D25EF70"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293</w:t>
            </w:r>
          </w:p>
        </w:tc>
        <w:tc>
          <w:tcPr>
            <w:tcW w:w="7370" w:type="dxa"/>
            <w:shd w:val="clear" w:color="auto" w:fill="auto"/>
            <w:noWrap/>
            <w:vAlign w:val="bottom"/>
            <w:hideMark/>
          </w:tcPr>
          <w:p w14:paraId="635F8449"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Bosanquet 1901-1902: 245-248;  Bosanquet and Dawkins 1923: 153 n. 1;  Mavriyannaki 1972: 69; Kanta 1980: 179; Merousis 2000: 178; Spiliotopoulou 2010: 64</w:t>
            </w:r>
          </w:p>
        </w:tc>
      </w:tr>
      <w:tr w:rsidR="00CE6093" w:rsidRPr="00B7613B" w14:paraId="3EF3952E" w14:textId="77777777" w:rsidTr="00F52D43">
        <w:trPr>
          <w:trHeight w:val="315"/>
        </w:trPr>
        <w:tc>
          <w:tcPr>
            <w:tcW w:w="852" w:type="dxa"/>
            <w:shd w:val="clear" w:color="auto" w:fill="auto"/>
            <w:noWrap/>
            <w:vAlign w:val="bottom"/>
            <w:hideMark/>
          </w:tcPr>
          <w:p w14:paraId="0474FB56"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458</w:t>
            </w:r>
          </w:p>
        </w:tc>
        <w:tc>
          <w:tcPr>
            <w:tcW w:w="858" w:type="dxa"/>
            <w:shd w:val="clear" w:color="auto" w:fill="auto"/>
            <w:noWrap/>
            <w:vAlign w:val="bottom"/>
            <w:hideMark/>
          </w:tcPr>
          <w:p w14:paraId="16DAB72F"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5FB24E9A"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T197</w:t>
            </w:r>
          </w:p>
        </w:tc>
        <w:tc>
          <w:tcPr>
            <w:tcW w:w="1624" w:type="dxa"/>
            <w:shd w:val="clear" w:color="auto" w:fill="auto"/>
            <w:noWrap/>
            <w:vAlign w:val="bottom"/>
            <w:hideMark/>
          </w:tcPr>
          <w:p w14:paraId="567E638E"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PRAISOS</w:t>
            </w:r>
          </w:p>
        </w:tc>
        <w:tc>
          <w:tcPr>
            <w:tcW w:w="338" w:type="dxa"/>
            <w:shd w:val="clear" w:color="auto" w:fill="auto"/>
            <w:noWrap/>
            <w:vAlign w:val="bottom"/>
            <w:hideMark/>
          </w:tcPr>
          <w:p w14:paraId="49BE10DB"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1B998C5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6CA96C7F"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3AB43940"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2F05227E"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293</w:t>
            </w:r>
          </w:p>
        </w:tc>
        <w:tc>
          <w:tcPr>
            <w:tcW w:w="7370" w:type="dxa"/>
            <w:shd w:val="clear" w:color="auto" w:fill="auto"/>
            <w:noWrap/>
            <w:vAlign w:val="bottom"/>
            <w:hideMark/>
          </w:tcPr>
          <w:p w14:paraId="7309183B"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Bosanquet 1901-1902: 245-248;  Bosanquet and Dawkins 1923: 153 fn. 1;  Mavriyannaki 1972: 69; Kanta 1980: 179; Merousis 2000: 178; Spiliotopoulou 2010: 64</w:t>
            </w:r>
          </w:p>
        </w:tc>
      </w:tr>
      <w:tr w:rsidR="00CE6093" w:rsidRPr="00B7613B" w14:paraId="12FCD38B" w14:textId="77777777" w:rsidTr="00F52D43">
        <w:trPr>
          <w:trHeight w:val="315"/>
        </w:trPr>
        <w:tc>
          <w:tcPr>
            <w:tcW w:w="852" w:type="dxa"/>
            <w:shd w:val="clear" w:color="auto" w:fill="auto"/>
            <w:noWrap/>
            <w:vAlign w:val="bottom"/>
            <w:hideMark/>
          </w:tcPr>
          <w:p w14:paraId="21AEE86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461</w:t>
            </w:r>
          </w:p>
        </w:tc>
        <w:tc>
          <w:tcPr>
            <w:tcW w:w="858" w:type="dxa"/>
            <w:shd w:val="clear" w:color="auto" w:fill="auto"/>
            <w:noWrap/>
            <w:vAlign w:val="bottom"/>
            <w:hideMark/>
          </w:tcPr>
          <w:p w14:paraId="4E1626A2"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42D4FAAE"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T199</w:t>
            </w:r>
          </w:p>
        </w:tc>
        <w:tc>
          <w:tcPr>
            <w:tcW w:w="1624" w:type="dxa"/>
            <w:shd w:val="clear" w:color="auto" w:fill="auto"/>
            <w:noWrap/>
            <w:vAlign w:val="bottom"/>
            <w:hideMark/>
          </w:tcPr>
          <w:p w14:paraId="7FA1B947"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PRAISOS KAPSALOS</w:t>
            </w:r>
          </w:p>
        </w:tc>
        <w:tc>
          <w:tcPr>
            <w:tcW w:w="338" w:type="dxa"/>
            <w:shd w:val="clear" w:color="auto" w:fill="auto"/>
            <w:noWrap/>
            <w:vAlign w:val="bottom"/>
            <w:hideMark/>
          </w:tcPr>
          <w:p w14:paraId="7A4DD159"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16654D94"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475DDF30"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774805A8"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996" w:type="dxa"/>
            <w:shd w:val="clear" w:color="auto" w:fill="auto"/>
            <w:noWrap/>
            <w:vAlign w:val="bottom"/>
            <w:hideMark/>
          </w:tcPr>
          <w:p w14:paraId="210DFA57"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298</w:t>
            </w:r>
          </w:p>
        </w:tc>
        <w:tc>
          <w:tcPr>
            <w:tcW w:w="7370" w:type="dxa"/>
            <w:shd w:val="clear" w:color="auto" w:fill="auto"/>
            <w:noWrap/>
            <w:vAlign w:val="bottom"/>
            <w:hideMark/>
          </w:tcPr>
          <w:p w14:paraId="30499C45"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Planton1960: 301-303; Kanta 1980: 179-180, fig. 71.1</w:t>
            </w:r>
          </w:p>
        </w:tc>
      </w:tr>
      <w:tr w:rsidR="00CE6093" w:rsidRPr="00B7613B" w14:paraId="4832575D" w14:textId="77777777" w:rsidTr="00F52D43">
        <w:trPr>
          <w:trHeight w:val="315"/>
        </w:trPr>
        <w:tc>
          <w:tcPr>
            <w:tcW w:w="852" w:type="dxa"/>
            <w:shd w:val="clear" w:color="auto" w:fill="auto"/>
            <w:noWrap/>
            <w:vAlign w:val="bottom"/>
            <w:hideMark/>
          </w:tcPr>
          <w:p w14:paraId="084C321F"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480</w:t>
            </w:r>
          </w:p>
        </w:tc>
        <w:tc>
          <w:tcPr>
            <w:tcW w:w="858" w:type="dxa"/>
            <w:shd w:val="clear" w:color="auto" w:fill="auto"/>
            <w:noWrap/>
            <w:vAlign w:val="bottom"/>
            <w:hideMark/>
          </w:tcPr>
          <w:p w14:paraId="6E2B92B2"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18A7A2CA"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T206</w:t>
            </w:r>
          </w:p>
        </w:tc>
        <w:tc>
          <w:tcPr>
            <w:tcW w:w="1624" w:type="dxa"/>
            <w:shd w:val="clear" w:color="auto" w:fill="auto"/>
            <w:noWrap/>
            <w:vAlign w:val="bottom"/>
            <w:hideMark/>
          </w:tcPr>
          <w:p w14:paraId="721CD70D"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SITIA MODERN VILLAGE</w:t>
            </w:r>
          </w:p>
        </w:tc>
        <w:tc>
          <w:tcPr>
            <w:tcW w:w="338" w:type="dxa"/>
            <w:shd w:val="clear" w:color="auto" w:fill="auto"/>
            <w:noWrap/>
            <w:vAlign w:val="bottom"/>
            <w:hideMark/>
          </w:tcPr>
          <w:p w14:paraId="57730C5A"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73ADB1A2"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698484FE"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1BEEE8E8"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3769BD96"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305</w:t>
            </w:r>
          </w:p>
        </w:tc>
        <w:tc>
          <w:tcPr>
            <w:tcW w:w="7370" w:type="dxa"/>
            <w:shd w:val="clear" w:color="auto" w:fill="auto"/>
            <w:noWrap/>
            <w:vAlign w:val="bottom"/>
            <w:hideMark/>
          </w:tcPr>
          <w:p w14:paraId="6E9AEAE5"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Platon 1953: 292 ; Kanta 1980: 177; Langohr 2009: 534.</w:t>
            </w:r>
          </w:p>
        </w:tc>
      </w:tr>
      <w:tr w:rsidR="00CE6093" w:rsidRPr="00B7613B" w14:paraId="0715D481" w14:textId="77777777" w:rsidTr="00F52D43">
        <w:trPr>
          <w:trHeight w:val="315"/>
        </w:trPr>
        <w:tc>
          <w:tcPr>
            <w:tcW w:w="852" w:type="dxa"/>
            <w:shd w:val="clear" w:color="auto" w:fill="auto"/>
            <w:noWrap/>
            <w:vAlign w:val="bottom"/>
            <w:hideMark/>
          </w:tcPr>
          <w:p w14:paraId="4E4E7482"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513</w:t>
            </w:r>
          </w:p>
        </w:tc>
        <w:tc>
          <w:tcPr>
            <w:tcW w:w="858" w:type="dxa"/>
            <w:shd w:val="clear" w:color="auto" w:fill="auto"/>
            <w:noWrap/>
            <w:vAlign w:val="bottom"/>
            <w:hideMark/>
          </w:tcPr>
          <w:p w14:paraId="32D88462"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MS 9987</w:t>
            </w:r>
          </w:p>
        </w:tc>
        <w:tc>
          <w:tcPr>
            <w:tcW w:w="698" w:type="dxa"/>
            <w:shd w:val="clear" w:color="auto" w:fill="auto"/>
            <w:noWrap/>
            <w:vAlign w:val="bottom"/>
            <w:hideMark/>
          </w:tcPr>
          <w:p w14:paraId="375B5F52"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T220</w:t>
            </w:r>
          </w:p>
        </w:tc>
        <w:tc>
          <w:tcPr>
            <w:tcW w:w="1624" w:type="dxa"/>
            <w:shd w:val="clear" w:color="auto" w:fill="auto"/>
            <w:noWrap/>
            <w:vAlign w:val="bottom"/>
            <w:hideMark/>
          </w:tcPr>
          <w:p w14:paraId="47649DB6"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SPHAKA KERATIDI</w:t>
            </w:r>
          </w:p>
        </w:tc>
        <w:tc>
          <w:tcPr>
            <w:tcW w:w="338" w:type="dxa"/>
            <w:shd w:val="clear" w:color="auto" w:fill="auto"/>
            <w:noWrap/>
            <w:vAlign w:val="bottom"/>
            <w:hideMark/>
          </w:tcPr>
          <w:p w14:paraId="7A032F8C"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6744054B"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378BFCC4"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106CC1F9"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375A2DF9"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319</w:t>
            </w:r>
          </w:p>
        </w:tc>
        <w:tc>
          <w:tcPr>
            <w:tcW w:w="7370" w:type="dxa"/>
            <w:shd w:val="clear" w:color="auto" w:fill="auto"/>
            <w:noWrap/>
            <w:vAlign w:val="bottom"/>
            <w:hideMark/>
          </w:tcPr>
          <w:p w14:paraId="19A26BFF"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KChr 8 1954: 516; KChr 13 1959: 389; KChr 14 1960: 526; Kanta 1980: 173, 66.6; Langohr 2009: 500</w:t>
            </w:r>
          </w:p>
        </w:tc>
      </w:tr>
      <w:tr w:rsidR="00CE6093" w:rsidRPr="00B7613B" w14:paraId="6714496F" w14:textId="77777777" w:rsidTr="00F52D43">
        <w:trPr>
          <w:trHeight w:val="315"/>
        </w:trPr>
        <w:tc>
          <w:tcPr>
            <w:tcW w:w="852" w:type="dxa"/>
            <w:shd w:val="clear" w:color="auto" w:fill="auto"/>
            <w:noWrap/>
            <w:vAlign w:val="bottom"/>
            <w:hideMark/>
          </w:tcPr>
          <w:p w14:paraId="6B861B8C"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551</w:t>
            </w:r>
          </w:p>
        </w:tc>
        <w:tc>
          <w:tcPr>
            <w:tcW w:w="858" w:type="dxa"/>
            <w:shd w:val="clear" w:color="auto" w:fill="auto"/>
            <w:noWrap/>
            <w:vAlign w:val="bottom"/>
            <w:hideMark/>
          </w:tcPr>
          <w:p w14:paraId="12DBBD07"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12EF7011"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T237</w:t>
            </w:r>
          </w:p>
        </w:tc>
        <w:tc>
          <w:tcPr>
            <w:tcW w:w="1624" w:type="dxa"/>
            <w:shd w:val="clear" w:color="auto" w:fill="auto"/>
            <w:noWrap/>
            <w:vAlign w:val="bottom"/>
            <w:hideMark/>
          </w:tcPr>
          <w:p w14:paraId="06AAEA56"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VASILIKI AGIOS THEODOROS</w:t>
            </w:r>
          </w:p>
        </w:tc>
        <w:tc>
          <w:tcPr>
            <w:tcW w:w="338" w:type="dxa"/>
            <w:shd w:val="clear" w:color="auto" w:fill="auto"/>
            <w:noWrap/>
            <w:vAlign w:val="bottom"/>
            <w:hideMark/>
          </w:tcPr>
          <w:p w14:paraId="65EC948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400AA3C2"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73392376"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72126BD6"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996" w:type="dxa"/>
            <w:shd w:val="clear" w:color="auto" w:fill="auto"/>
            <w:noWrap/>
            <w:vAlign w:val="bottom"/>
            <w:hideMark/>
          </w:tcPr>
          <w:p w14:paraId="47BFE841"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327</w:t>
            </w:r>
          </w:p>
        </w:tc>
        <w:tc>
          <w:tcPr>
            <w:tcW w:w="7370" w:type="dxa"/>
            <w:shd w:val="clear" w:color="auto" w:fill="auto"/>
            <w:noWrap/>
            <w:vAlign w:val="bottom"/>
            <w:hideMark/>
          </w:tcPr>
          <w:p w14:paraId="283DD4AA"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Seager 1907:113, 129-32, pl. 30; Pendlebury 1939:265; Kanta 1980:146</w:t>
            </w:r>
          </w:p>
        </w:tc>
      </w:tr>
      <w:tr w:rsidR="00CE6093" w:rsidRPr="00B7613B" w14:paraId="4DCCD248" w14:textId="77777777" w:rsidTr="00F52D43">
        <w:trPr>
          <w:trHeight w:val="315"/>
        </w:trPr>
        <w:tc>
          <w:tcPr>
            <w:tcW w:w="852" w:type="dxa"/>
            <w:shd w:val="clear" w:color="auto" w:fill="auto"/>
            <w:noWrap/>
            <w:vAlign w:val="bottom"/>
            <w:hideMark/>
          </w:tcPr>
          <w:p w14:paraId="105212B3"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552</w:t>
            </w:r>
          </w:p>
        </w:tc>
        <w:tc>
          <w:tcPr>
            <w:tcW w:w="858" w:type="dxa"/>
            <w:shd w:val="clear" w:color="auto" w:fill="auto"/>
            <w:noWrap/>
            <w:vAlign w:val="bottom"/>
            <w:hideMark/>
          </w:tcPr>
          <w:p w14:paraId="37A41BAB"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2DC64344"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T238</w:t>
            </w:r>
          </w:p>
        </w:tc>
        <w:tc>
          <w:tcPr>
            <w:tcW w:w="1624" w:type="dxa"/>
            <w:shd w:val="clear" w:color="auto" w:fill="auto"/>
            <w:noWrap/>
            <w:vAlign w:val="bottom"/>
            <w:hideMark/>
          </w:tcPr>
          <w:p w14:paraId="2A0F60DF"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VASILIKI AGIOS THEODOROS</w:t>
            </w:r>
          </w:p>
        </w:tc>
        <w:tc>
          <w:tcPr>
            <w:tcW w:w="338" w:type="dxa"/>
            <w:shd w:val="clear" w:color="auto" w:fill="auto"/>
            <w:noWrap/>
            <w:vAlign w:val="bottom"/>
            <w:hideMark/>
          </w:tcPr>
          <w:p w14:paraId="2B040455"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542708FE"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7890E97D"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6A5A4BDB"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251CFCAF"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328</w:t>
            </w:r>
          </w:p>
        </w:tc>
        <w:tc>
          <w:tcPr>
            <w:tcW w:w="7370" w:type="dxa"/>
            <w:shd w:val="clear" w:color="auto" w:fill="auto"/>
            <w:noWrap/>
            <w:vAlign w:val="bottom"/>
            <w:hideMark/>
          </w:tcPr>
          <w:p w14:paraId="64167D2B"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Seager 1907:113, 129-32, pl. 30; Pendlebury 1939:265; Kanta 1980:146</w:t>
            </w:r>
          </w:p>
        </w:tc>
      </w:tr>
      <w:tr w:rsidR="00CE6093" w:rsidRPr="00B7613B" w14:paraId="18D19087" w14:textId="77777777" w:rsidTr="00F52D43">
        <w:trPr>
          <w:trHeight w:val="315"/>
        </w:trPr>
        <w:tc>
          <w:tcPr>
            <w:tcW w:w="852" w:type="dxa"/>
            <w:shd w:val="clear" w:color="auto" w:fill="auto"/>
            <w:noWrap/>
            <w:vAlign w:val="bottom"/>
            <w:hideMark/>
          </w:tcPr>
          <w:p w14:paraId="45ABF111"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405</w:t>
            </w:r>
          </w:p>
        </w:tc>
        <w:tc>
          <w:tcPr>
            <w:tcW w:w="858" w:type="dxa"/>
            <w:shd w:val="clear" w:color="auto" w:fill="auto"/>
            <w:noWrap/>
            <w:vAlign w:val="bottom"/>
            <w:hideMark/>
          </w:tcPr>
          <w:p w14:paraId="704BFC01"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p>
        </w:tc>
        <w:tc>
          <w:tcPr>
            <w:tcW w:w="698" w:type="dxa"/>
            <w:shd w:val="clear" w:color="auto" w:fill="auto"/>
            <w:noWrap/>
            <w:vAlign w:val="bottom"/>
            <w:hideMark/>
          </w:tcPr>
          <w:p w14:paraId="2E0FA29B"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T175</w:t>
            </w:r>
          </w:p>
        </w:tc>
        <w:tc>
          <w:tcPr>
            <w:tcW w:w="1624" w:type="dxa"/>
            <w:shd w:val="clear" w:color="auto" w:fill="auto"/>
            <w:noWrap/>
            <w:vAlign w:val="bottom"/>
            <w:hideMark/>
          </w:tcPr>
          <w:p w14:paraId="28DDF20C"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XEROKAMARA</w:t>
            </w:r>
          </w:p>
        </w:tc>
        <w:tc>
          <w:tcPr>
            <w:tcW w:w="338" w:type="dxa"/>
            <w:shd w:val="clear" w:color="auto" w:fill="auto"/>
            <w:noWrap/>
            <w:vAlign w:val="bottom"/>
            <w:hideMark/>
          </w:tcPr>
          <w:p w14:paraId="659B72C0"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1</w:t>
            </w:r>
          </w:p>
        </w:tc>
        <w:tc>
          <w:tcPr>
            <w:tcW w:w="338" w:type="dxa"/>
            <w:shd w:val="clear" w:color="auto" w:fill="auto"/>
            <w:noWrap/>
            <w:vAlign w:val="bottom"/>
            <w:hideMark/>
          </w:tcPr>
          <w:p w14:paraId="178E1907"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4162DCE3"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338" w:type="dxa"/>
            <w:shd w:val="clear" w:color="auto" w:fill="auto"/>
            <w:noWrap/>
            <w:vAlign w:val="bottom"/>
            <w:hideMark/>
          </w:tcPr>
          <w:p w14:paraId="08C0C4EA" w14:textId="77777777" w:rsidR="00CE6093" w:rsidRPr="00B7613B" w:rsidRDefault="00CE6093" w:rsidP="00B7613B">
            <w:pPr>
              <w:widowControl/>
              <w:spacing w:line="240" w:lineRule="auto"/>
              <w:contextualSpacing w:val="0"/>
              <w:jc w:val="right"/>
              <w:rPr>
                <w:rFonts w:ascii="Calibri" w:eastAsia="Times New Roman" w:hAnsi="Calibri"/>
                <w:color w:val="000000"/>
                <w:lang w:eastAsia="en-GB"/>
              </w:rPr>
            </w:pPr>
            <w:r w:rsidRPr="00B7613B">
              <w:rPr>
                <w:rFonts w:ascii="Calibri" w:eastAsia="Times New Roman" w:hAnsi="Calibri"/>
                <w:color w:val="000000"/>
                <w:lang w:eastAsia="en-GB"/>
              </w:rPr>
              <w:t>0</w:t>
            </w:r>
          </w:p>
        </w:tc>
        <w:tc>
          <w:tcPr>
            <w:tcW w:w="996" w:type="dxa"/>
            <w:shd w:val="clear" w:color="auto" w:fill="auto"/>
            <w:noWrap/>
            <w:vAlign w:val="bottom"/>
            <w:hideMark/>
          </w:tcPr>
          <w:p w14:paraId="664EED51" w14:textId="77777777" w:rsidR="00CE6093" w:rsidRPr="00B7613B" w:rsidRDefault="00CE6093" w:rsidP="00B7613B">
            <w:pPr>
              <w:widowControl/>
              <w:spacing w:line="240" w:lineRule="auto"/>
              <w:contextualSpacing w:val="0"/>
              <w:jc w:val="right"/>
              <w:rPr>
                <w:rFonts w:ascii="Calibri" w:eastAsia="Times New Roman" w:hAnsi="Calibri"/>
                <w:lang w:eastAsia="en-GB"/>
              </w:rPr>
            </w:pPr>
            <w:r w:rsidRPr="00B7613B">
              <w:rPr>
                <w:rFonts w:ascii="Calibri" w:eastAsia="Times New Roman" w:hAnsi="Calibri"/>
                <w:lang w:eastAsia="en-GB"/>
              </w:rPr>
              <w:t>309</w:t>
            </w:r>
          </w:p>
        </w:tc>
        <w:tc>
          <w:tcPr>
            <w:tcW w:w="7370" w:type="dxa"/>
            <w:shd w:val="clear" w:color="auto" w:fill="auto"/>
            <w:noWrap/>
            <w:vAlign w:val="bottom"/>
            <w:hideMark/>
          </w:tcPr>
          <w:p w14:paraId="7CF331FC" w14:textId="77777777" w:rsidR="00CE6093" w:rsidRPr="00B7613B" w:rsidRDefault="00CE6093" w:rsidP="00B7613B">
            <w:pPr>
              <w:widowControl/>
              <w:spacing w:line="240" w:lineRule="auto"/>
              <w:contextualSpacing w:val="0"/>
              <w:jc w:val="left"/>
              <w:rPr>
                <w:rFonts w:ascii="Calibri" w:eastAsia="Times New Roman" w:hAnsi="Calibri"/>
                <w:color w:val="000000"/>
                <w:lang w:eastAsia="en-GB"/>
              </w:rPr>
            </w:pPr>
            <w:r w:rsidRPr="00B7613B">
              <w:rPr>
                <w:rFonts w:ascii="Calibri" w:eastAsia="Times New Roman" w:hAnsi="Calibri"/>
                <w:color w:val="000000"/>
                <w:lang w:eastAsia="en-GB"/>
              </w:rPr>
              <w:t>Kanta 1980: 198; Merousis 2000: 168; Spiliotopoulou 2010: 62 n, 66</w:t>
            </w:r>
          </w:p>
        </w:tc>
      </w:tr>
    </w:tbl>
    <w:p w14:paraId="0A698DCC" w14:textId="77777777" w:rsidR="00B7613B" w:rsidRPr="00B7613B" w:rsidRDefault="00B7613B" w:rsidP="00E858EF">
      <w:pPr>
        <w:suppressAutoHyphens/>
        <w:rPr>
          <w:b/>
          <w:sz w:val="28"/>
          <w:highlight w:val="lightGray"/>
        </w:rPr>
      </w:pPr>
    </w:p>
    <w:sectPr w:rsidR="00B7613B" w:rsidRPr="00B7613B" w:rsidSect="00B7613B">
      <w:pgSz w:w="16840" w:h="11900" w:orient="landscape"/>
      <w:pgMar w:top="2268" w:right="1418" w:bottom="1134" w:left="1418" w:header="709" w:footer="709"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73" w:author="Autore" w:initials="A">
    <w:p w14:paraId="7F8416F6" w14:textId="492D6A78" w:rsidR="00422526" w:rsidRDefault="00422526">
      <w:pPr>
        <w:pStyle w:val="Testocommento"/>
      </w:pPr>
      <w:r>
        <w:rPr>
          <w:rStyle w:val="Rimandocommento"/>
        </w:rPr>
        <w:annotationRef/>
      </w:r>
      <w:r>
        <w:t>Move heading to next page</w:t>
      </w:r>
    </w:p>
  </w:comment>
  <w:comment w:id="758" w:author="Autore" w:initials="A">
    <w:p w14:paraId="739517A5" w14:textId="5967FE40" w:rsidR="00422526" w:rsidRDefault="00422526">
      <w:pPr>
        <w:pStyle w:val="Testocommento"/>
      </w:pPr>
      <w:r>
        <w:rPr>
          <w:rStyle w:val="Rimandocommento"/>
        </w:rPr>
        <w:annotationRef/>
      </w:r>
      <w:r>
        <w:t>Far East?</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647F8A" w14:textId="77777777" w:rsidR="00422526" w:rsidRDefault="00422526" w:rsidP="00F138BF">
      <w:r>
        <w:separator/>
      </w:r>
    </w:p>
  </w:endnote>
  <w:endnote w:type="continuationSeparator" w:id="0">
    <w:p w14:paraId="7338BEA8" w14:textId="77777777" w:rsidR="00422526" w:rsidRDefault="00422526" w:rsidP="00F138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MS Gothic">
    <w:altName w:val="ＭＳ ゴシック"/>
    <w:charset w:val="80"/>
    <w:family w:val="modern"/>
    <w:pitch w:val="fixed"/>
    <w:sig w:usb0="E00002FF" w:usb1="6AC7FDFB" w:usb2="08000012" w:usb3="00000000" w:csb0="0002009F" w:csb1="00000000"/>
  </w:font>
  <w:font w:name="Segoe UI Symbol">
    <w:altName w:val="Athelas Bold Italic"/>
    <w:charset w:val="00"/>
    <w:family w:val="swiss"/>
    <w:pitch w:val="variable"/>
    <w:sig w:usb0="800001E3" w:usb1="1200FFEF" w:usb2="00040000" w:usb3="00000000" w:csb0="00000001" w:csb1="00000000"/>
  </w:font>
  <w:font w:name="Arial Unicode MS">
    <w:panose1 w:val="020B0604020202020204"/>
    <w:charset w:val="00"/>
    <w:family w:val="auto"/>
    <w:pitch w:val="variable"/>
    <w:sig w:usb0="F7FFAFFF" w:usb1="E9DFFFFF" w:usb2="0000003F" w:usb3="00000000" w:csb0="003F01F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793E55" w14:textId="77777777" w:rsidR="00422526" w:rsidRDefault="00422526" w:rsidP="00382E7B">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separate"/>
    </w:r>
    <w:r>
      <w:rPr>
        <w:rStyle w:val="Numeropagina"/>
        <w:noProof/>
      </w:rPr>
      <w:t>2</w:t>
    </w:r>
    <w:r>
      <w:rPr>
        <w:rStyle w:val="Numeropagina"/>
      </w:rPr>
      <w:fldChar w:fldCharType="end"/>
    </w:r>
  </w:p>
  <w:p w14:paraId="6B592482" w14:textId="77777777" w:rsidR="00422526" w:rsidRDefault="00422526" w:rsidP="00382E7B">
    <w:pPr>
      <w:pStyle w:val="Pidipa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2831769"/>
      <w:docPartObj>
        <w:docPartGallery w:val="Page Numbers (Bottom of Page)"/>
        <w:docPartUnique/>
      </w:docPartObj>
    </w:sdtPr>
    <w:sdtEndPr>
      <w:rPr>
        <w:noProof/>
      </w:rPr>
    </w:sdtEndPr>
    <w:sdtContent>
      <w:p w14:paraId="2A955702" w14:textId="2A7D82F8" w:rsidR="00422526" w:rsidRDefault="00422526" w:rsidP="00C96815">
        <w:pPr>
          <w:pStyle w:val="Pidipagina"/>
          <w:spacing w:line="240" w:lineRule="auto"/>
          <w:jc w:val="right"/>
        </w:pPr>
      </w:p>
      <w:p w14:paraId="7B67B86C" w14:textId="5590AEF9" w:rsidR="00422526" w:rsidRDefault="00422526" w:rsidP="00C96815">
        <w:pPr>
          <w:pStyle w:val="Pidipagina"/>
          <w:spacing w:line="240" w:lineRule="auto"/>
          <w:jc w:val="right"/>
        </w:pPr>
        <w:r>
          <w:fldChar w:fldCharType="begin"/>
        </w:r>
        <w:r>
          <w:instrText xml:space="preserve"> PAGE   \* MERGEFORMAT </w:instrText>
        </w:r>
        <w:r>
          <w:fldChar w:fldCharType="separate"/>
        </w:r>
        <w:r w:rsidR="00E94993">
          <w:rPr>
            <w:noProof/>
          </w:rPr>
          <w:t>345</w:t>
        </w:r>
        <w:r>
          <w:rPr>
            <w:noProof/>
          </w:rPr>
          <w:fldChar w:fldCharType="end"/>
        </w:r>
      </w:p>
    </w:sdtContent>
  </w:sdt>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452589" w14:textId="157B166A" w:rsidR="00422526" w:rsidRDefault="00422526">
    <w:pPr>
      <w:pStyle w:val="Pidipagina"/>
      <w:jc w:val="right"/>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0225703"/>
      <w:docPartObj>
        <w:docPartGallery w:val="Page Numbers (Bottom of Page)"/>
        <w:docPartUnique/>
      </w:docPartObj>
    </w:sdtPr>
    <w:sdtEndPr>
      <w:rPr>
        <w:noProof/>
      </w:rPr>
    </w:sdtEndPr>
    <w:sdtContent>
      <w:p w14:paraId="587ABB52" w14:textId="77777777" w:rsidR="00422526" w:rsidRDefault="00422526">
        <w:pPr>
          <w:pStyle w:val="Pidipagina"/>
          <w:jc w:val="right"/>
        </w:pPr>
      </w:p>
      <w:p w14:paraId="15834093" w14:textId="63A55354" w:rsidR="00422526" w:rsidRDefault="00422526">
        <w:pPr>
          <w:pStyle w:val="Pidipagina"/>
          <w:jc w:val="right"/>
        </w:pPr>
        <w:r>
          <w:fldChar w:fldCharType="begin"/>
        </w:r>
        <w:r>
          <w:instrText xml:space="preserve"> PAGE   \* MERGEFORMAT </w:instrText>
        </w:r>
        <w:r>
          <w:fldChar w:fldCharType="separate"/>
        </w:r>
        <w:r w:rsidR="00E94993">
          <w:rPr>
            <w:noProof/>
          </w:rPr>
          <w:t>287</w:t>
        </w:r>
        <w:r>
          <w:rPr>
            <w:noProof/>
          </w:rPr>
          <w:fldChar w:fldCharType="end"/>
        </w:r>
      </w:p>
    </w:sdtContent>
  </w:sdt>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9618487"/>
      <w:docPartObj>
        <w:docPartGallery w:val="Page Numbers (Bottom of Page)"/>
        <w:docPartUnique/>
      </w:docPartObj>
    </w:sdtPr>
    <w:sdtEndPr>
      <w:rPr>
        <w:noProof/>
      </w:rPr>
    </w:sdtEndPr>
    <w:sdtContent>
      <w:p w14:paraId="060F7517" w14:textId="0D28F2C1" w:rsidR="00422526" w:rsidRDefault="00422526" w:rsidP="0080364A">
        <w:pPr>
          <w:pStyle w:val="Didascalia"/>
          <w:jc w:val="right"/>
        </w:pPr>
        <w:r>
          <w:fldChar w:fldCharType="begin"/>
        </w:r>
        <w:r>
          <w:instrText xml:space="preserve"> PAGE   \* MERGEFORMAT </w:instrText>
        </w:r>
        <w:r>
          <w:fldChar w:fldCharType="separate"/>
        </w:r>
        <w:r w:rsidR="00E94993">
          <w:rPr>
            <w:noProof/>
          </w:rPr>
          <w:t>346</w:t>
        </w:r>
        <w:r>
          <w:rPr>
            <w:noProof/>
          </w:rPr>
          <w:fldChar w:fldCharType="end"/>
        </w:r>
      </w:p>
    </w:sdtContent>
  </w:sdt>
  <w:p w14:paraId="1A0BB718" w14:textId="77777777" w:rsidR="00422526" w:rsidRDefault="00422526" w:rsidP="00C96815">
    <w:pPr>
      <w:pStyle w:val="Pidipagina"/>
      <w:spacing w:line="240" w:lineRule="auto"/>
      <w:ind w:right="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5815918"/>
      <w:docPartObj>
        <w:docPartGallery w:val="Page Numbers (Bottom of Page)"/>
        <w:docPartUnique/>
      </w:docPartObj>
    </w:sdtPr>
    <w:sdtEndPr>
      <w:rPr>
        <w:noProof/>
      </w:rPr>
    </w:sdtEndPr>
    <w:sdtContent>
      <w:p w14:paraId="40767C65" w14:textId="77777777" w:rsidR="00422526" w:rsidRDefault="00422526" w:rsidP="00C96815">
        <w:pPr>
          <w:pStyle w:val="Pidipagina"/>
          <w:spacing w:line="240" w:lineRule="auto"/>
          <w:jc w:val="right"/>
        </w:pPr>
      </w:p>
      <w:p w14:paraId="1C8F09E2" w14:textId="77777777" w:rsidR="00422526" w:rsidRDefault="00422526" w:rsidP="00C96815">
        <w:pPr>
          <w:pStyle w:val="Pidipagina"/>
          <w:spacing w:line="240" w:lineRule="auto"/>
          <w:jc w:val="right"/>
        </w:pPr>
        <w:r>
          <w:fldChar w:fldCharType="begin"/>
        </w:r>
        <w:r>
          <w:instrText xml:space="preserve"> PAGE   \* MERGEFORMAT </w:instrText>
        </w:r>
        <w:r>
          <w:fldChar w:fldCharType="separate"/>
        </w:r>
        <w:r w:rsidR="00E94993">
          <w:rPr>
            <w:noProof/>
          </w:rPr>
          <w:t>374</w:t>
        </w:r>
        <w:r>
          <w:rPr>
            <w:noProof/>
          </w:rPr>
          <w:fldChar w:fldCharType="end"/>
        </w:r>
      </w:p>
    </w:sdtContent>
  </w:sdt>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C9BBB1" w14:textId="77777777" w:rsidR="00422526" w:rsidRDefault="00422526" w:rsidP="00F138BF">
    <w:pPr>
      <w:pStyle w:val="Pidipagina"/>
      <w:rPr>
        <w:rStyle w:val="Numeropagina"/>
      </w:rPr>
    </w:pPr>
    <w:r>
      <w:rPr>
        <w:rStyle w:val="Numeropagina"/>
      </w:rPr>
      <w:fldChar w:fldCharType="begin"/>
    </w:r>
    <w:r>
      <w:rPr>
        <w:rStyle w:val="Numeropagina"/>
      </w:rPr>
      <w:instrText xml:space="preserve">PAGE  </w:instrText>
    </w:r>
    <w:r>
      <w:rPr>
        <w:rStyle w:val="Numeropagina"/>
      </w:rPr>
      <w:fldChar w:fldCharType="end"/>
    </w:r>
  </w:p>
  <w:p w14:paraId="3B062517" w14:textId="77777777" w:rsidR="00422526" w:rsidRDefault="00422526" w:rsidP="00F138BF">
    <w:pPr>
      <w:pStyle w:val="Pidipagina"/>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9652891"/>
      <w:docPartObj>
        <w:docPartGallery w:val="Page Numbers (Bottom of Page)"/>
        <w:docPartUnique/>
      </w:docPartObj>
    </w:sdtPr>
    <w:sdtEndPr>
      <w:rPr>
        <w:noProof/>
      </w:rPr>
    </w:sdtEndPr>
    <w:sdtContent>
      <w:p w14:paraId="7538BF7A" w14:textId="77777777" w:rsidR="00422526" w:rsidRDefault="00422526" w:rsidP="00F4682D">
        <w:pPr>
          <w:pStyle w:val="Pidipagina"/>
          <w:spacing w:line="240" w:lineRule="auto"/>
          <w:jc w:val="right"/>
        </w:pPr>
      </w:p>
      <w:p w14:paraId="239B86FA" w14:textId="5B415A79" w:rsidR="00422526" w:rsidRDefault="00422526" w:rsidP="00F4682D">
        <w:pPr>
          <w:pStyle w:val="Pidipagina"/>
          <w:spacing w:line="240" w:lineRule="auto"/>
          <w:jc w:val="right"/>
        </w:pPr>
        <w:r>
          <w:fldChar w:fldCharType="begin"/>
        </w:r>
        <w:r>
          <w:instrText xml:space="preserve"> PAGE   \* MERGEFORMAT </w:instrText>
        </w:r>
        <w:r>
          <w:fldChar w:fldCharType="separate"/>
        </w:r>
        <w:r w:rsidR="00E94993">
          <w:rPr>
            <w:noProof/>
          </w:rPr>
          <w:t>483</w:t>
        </w:r>
        <w:r>
          <w:rPr>
            <w:noProof/>
          </w:rPr>
          <w:fldChar w:fldCharType="end"/>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29FC86" w14:textId="77777777" w:rsidR="00422526" w:rsidRDefault="00422526" w:rsidP="00F138BF">
      <w:r>
        <w:separator/>
      </w:r>
    </w:p>
  </w:footnote>
  <w:footnote w:type="continuationSeparator" w:id="0">
    <w:p w14:paraId="2A1241A3" w14:textId="77777777" w:rsidR="00422526" w:rsidRDefault="00422526" w:rsidP="00F138BF">
      <w:r>
        <w:continuationSeparator/>
      </w:r>
    </w:p>
  </w:footnote>
  <w:footnote w:id="1">
    <w:p w14:paraId="63D47AD6" w14:textId="77777777" w:rsidR="00422526" w:rsidRDefault="00422526" w:rsidP="00D726B2">
      <w:pPr>
        <w:pStyle w:val="Testonotaapidipagina"/>
      </w:pPr>
      <w:r>
        <w:rPr>
          <w:rStyle w:val="Rimandonotaapidipagina"/>
        </w:rPr>
        <w:footnoteRef/>
      </w:r>
      <w:r>
        <w:t xml:space="preserve"> </w:t>
      </w:r>
      <w:r w:rsidRPr="00683502">
        <w:t>We know there were feet, but not how many</w:t>
      </w:r>
      <w:r>
        <w: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D0F787" w14:textId="77777777" w:rsidR="00422526" w:rsidRDefault="00422526">
    <w:pPr>
      <w:pStyle w:val="Intestazion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hybridMultilevel"/>
    <w:tmpl w:val="E7B238DA"/>
    <w:lvl w:ilvl="0" w:tplc="75943E34">
      <w:start w:val="1"/>
      <w:numFmt w:val="bullet"/>
      <w:lvlText w:val="•"/>
      <w:lvlJc w:val="left"/>
      <w:pPr>
        <w:ind w:left="786" w:hanging="360"/>
      </w:pPr>
      <w:rPr>
        <w:color w:val="auto"/>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6"/>
    <w:multiLevelType w:val="hybridMultilevel"/>
    <w:tmpl w:val="00000006"/>
    <w:lvl w:ilvl="0" w:tplc="000001F5">
      <w:start w:val="1"/>
      <w:numFmt w:val="bullet"/>
      <w:lvlText w:val="•"/>
      <w:lvlJc w:val="left"/>
      <w:pPr>
        <w:ind w:left="720" w:hanging="360"/>
      </w:pPr>
    </w:lvl>
    <w:lvl w:ilvl="1" w:tplc="000001F6">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4183DA2"/>
    <w:multiLevelType w:val="hybridMultilevel"/>
    <w:tmpl w:val="3B28DD4C"/>
    <w:lvl w:ilvl="0" w:tplc="00000259">
      <w:start w:val="1"/>
      <w:numFmt w:val="bullet"/>
      <w:lvlText w:val="-"/>
      <w:lvlJc w:val="left"/>
      <w:pPr>
        <w:ind w:left="779" w:hanging="360"/>
      </w:pPr>
    </w:lvl>
    <w:lvl w:ilvl="1" w:tplc="04100003" w:tentative="1">
      <w:start w:val="1"/>
      <w:numFmt w:val="bullet"/>
      <w:lvlText w:val="o"/>
      <w:lvlJc w:val="left"/>
      <w:pPr>
        <w:ind w:left="1499" w:hanging="360"/>
      </w:pPr>
      <w:rPr>
        <w:rFonts w:ascii="Courier New" w:hAnsi="Courier New" w:cs="Courier New" w:hint="default"/>
      </w:rPr>
    </w:lvl>
    <w:lvl w:ilvl="2" w:tplc="04100005" w:tentative="1">
      <w:start w:val="1"/>
      <w:numFmt w:val="bullet"/>
      <w:lvlText w:val=""/>
      <w:lvlJc w:val="left"/>
      <w:pPr>
        <w:ind w:left="2219" w:hanging="360"/>
      </w:pPr>
      <w:rPr>
        <w:rFonts w:ascii="Wingdings" w:hAnsi="Wingdings" w:hint="default"/>
      </w:rPr>
    </w:lvl>
    <w:lvl w:ilvl="3" w:tplc="04100001" w:tentative="1">
      <w:start w:val="1"/>
      <w:numFmt w:val="bullet"/>
      <w:lvlText w:val=""/>
      <w:lvlJc w:val="left"/>
      <w:pPr>
        <w:ind w:left="2939" w:hanging="360"/>
      </w:pPr>
      <w:rPr>
        <w:rFonts w:ascii="Symbol" w:hAnsi="Symbol" w:hint="default"/>
      </w:rPr>
    </w:lvl>
    <w:lvl w:ilvl="4" w:tplc="04100003" w:tentative="1">
      <w:start w:val="1"/>
      <w:numFmt w:val="bullet"/>
      <w:lvlText w:val="o"/>
      <w:lvlJc w:val="left"/>
      <w:pPr>
        <w:ind w:left="3659" w:hanging="360"/>
      </w:pPr>
      <w:rPr>
        <w:rFonts w:ascii="Courier New" w:hAnsi="Courier New" w:cs="Courier New" w:hint="default"/>
      </w:rPr>
    </w:lvl>
    <w:lvl w:ilvl="5" w:tplc="04100005" w:tentative="1">
      <w:start w:val="1"/>
      <w:numFmt w:val="bullet"/>
      <w:lvlText w:val=""/>
      <w:lvlJc w:val="left"/>
      <w:pPr>
        <w:ind w:left="4379" w:hanging="360"/>
      </w:pPr>
      <w:rPr>
        <w:rFonts w:ascii="Wingdings" w:hAnsi="Wingdings" w:hint="default"/>
      </w:rPr>
    </w:lvl>
    <w:lvl w:ilvl="6" w:tplc="04100001" w:tentative="1">
      <w:start w:val="1"/>
      <w:numFmt w:val="bullet"/>
      <w:lvlText w:val=""/>
      <w:lvlJc w:val="left"/>
      <w:pPr>
        <w:ind w:left="5099" w:hanging="360"/>
      </w:pPr>
      <w:rPr>
        <w:rFonts w:ascii="Symbol" w:hAnsi="Symbol" w:hint="default"/>
      </w:rPr>
    </w:lvl>
    <w:lvl w:ilvl="7" w:tplc="04100003" w:tentative="1">
      <w:start w:val="1"/>
      <w:numFmt w:val="bullet"/>
      <w:lvlText w:val="o"/>
      <w:lvlJc w:val="left"/>
      <w:pPr>
        <w:ind w:left="5819" w:hanging="360"/>
      </w:pPr>
      <w:rPr>
        <w:rFonts w:ascii="Courier New" w:hAnsi="Courier New" w:cs="Courier New" w:hint="default"/>
      </w:rPr>
    </w:lvl>
    <w:lvl w:ilvl="8" w:tplc="04100005" w:tentative="1">
      <w:start w:val="1"/>
      <w:numFmt w:val="bullet"/>
      <w:lvlText w:val=""/>
      <w:lvlJc w:val="left"/>
      <w:pPr>
        <w:ind w:left="6539" w:hanging="360"/>
      </w:pPr>
      <w:rPr>
        <w:rFonts w:ascii="Wingdings" w:hAnsi="Wingdings" w:hint="default"/>
      </w:rPr>
    </w:lvl>
  </w:abstractNum>
  <w:abstractNum w:abstractNumId="3">
    <w:nsid w:val="04C40730"/>
    <w:multiLevelType w:val="hybridMultilevel"/>
    <w:tmpl w:val="D1FE8D48"/>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05BF1AC7"/>
    <w:multiLevelType w:val="hybridMultilevel"/>
    <w:tmpl w:val="E7BA8D22"/>
    <w:lvl w:ilvl="0" w:tplc="04100001">
      <w:start w:val="1"/>
      <w:numFmt w:val="bullet"/>
      <w:lvlText w:val=""/>
      <w:lvlJc w:val="left"/>
      <w:pPr>
        <w:ind w:left="771" w:hanging="360"/>
      </w:pPr>
      <w:rPr>
        <w:rFonts w:ascii="Symbol" w:hAnsi="Symbol" w:hint="default"/>
      </w:rPr>
    </w:lvl>
    <w:lvl w:ilvl="1" w:tplc="04100003" w:tentative="1">
      <w:start w:val="1"/>
      <w:numFmt w:val="bullet"/>
      <w:lvlText w:val="o"/>
      <w:lvlJc w:val="left"/>
      <w:pPr>
        <w:ind w:left="1491" w:hanging="360"/>
      </w:pPr>
      <w:rPr>
        <w:rFonts w:ascii="Courier New" w:hAnsi="Courier New" w:hint="default"/>
      </w:rPr>
    </w:lvl>
    <w:lvl w:ilvl="2" w:tplc="04100005" w:tentative="1">
      <w:start w:val="1"/>
      <w:numFmt w:val="bullet"/>
      <w:lvlText w:val=""/>
      <w:lvlJc w:val="left"/>
      <w:pPr>
        <w:ind w:left="2211" w:hanging="360"/>
      </w:pPr>
      <w:rPr>
        <w:rFonts w:ascii="Wingdings" w:hAnsi="Wingdings" w:hint="default"/>
      </w:rPr>
    </w:lvl>
    <w:lvl w:ilvl="3" w:tplc="04100001" w:tentative="1">
      <w:start w:val="1"/>
      <w:numFmt w:val="bullet"/>
      <w:lvlText w:val=""/>
      <w:lvlJc w:val="left"/>
      <w:pPr>
        <w:ind w:left="2931" w:hanging="360"/>
      </w:pPr>
      <w:rPr>
        <w:rFonts w:ascii="Symbol" w:hAnsi="Symbol" w:hint="default"/>
      </w:rPr>
    </w:lvl>
    <w:lvl w:ilvl="4" w:tplc="04100003" w:tentative="1">
      <w:start w:val="1"/>
      <w:numFmt w:val="bullet"/>
      <w:lvlText w:val="o"/>
      <w:lvlJc w:val="left"/>
      <w:pPr>
        <w:ind w:left="3651" w:hanging="360"/>
      </w:pPr>
      <w:rPr>
        <w:rFonts w:ascii="Courier New" w:hAnsi="Courier New" w:hint="default"/>
      </w:rPr>
    </w:lvl>
    <w:lvl w:ilvl="5" w:tplc="04100005" w:tentative="1">
      <w:start w:val="1"/>
      <w:numFmt w:val="bullet"/>
      <w:lvlText w:val=""/>
      <w:lvlJc w:val="left"/>
      <w:pPr>
        <w:ind w:left="4371" w:hanging="360"/>
      </w:pPr>
      <w:rPr>
        <w:rFonts w:ascii="Wingdings" w:hAnsi="Wingdings" w:hint="default"/>
      </w:rPr>
    </w:lvl>
    <w:lvl w:ilvl="6" w:tplc="04100001" w:tentative="1">
      <w:start w:val="1"/>
      <w:numFmt w:val="bullet"/>
      <w:lvlText w:val=""/>
      <w:lvlJc w:val="left"/>
      <w:pPr>
        <w:ind w:left="5091" w:hanging="360"/>
      </w:pPr>
      <w:rPr>
        <w:rFonts w:ascii="Symbol" w:hAnsi="Symbol" w:hint="default"/>
      </w:rPr>
    </w:lvl>
    <w:lvl w:ilvl="7" w:tplc="04100003" w:tentative="1">
      <w:start w:val="1"/>
      <w:numFmt w:val="bullet"/>
      <w:lvlText w:val="o"/>
      <w:lvlJc w:val="left"/>
      <w:pPr>
        <w:ind w:left="5811" w:hanging="360"/>
      </w:pPr>
      <w:rPr>
        <w:rFonts w:ascii="Courier New" w:hAnsi="Courier New" w:hint="default"/>
      </w:rPr>
    </w:lvl>
    <w:lvl w:ilvl="8" w:tplc="04100005" w:tentative="1">
      <w:start w:val="1"/>
      <w:numFmt w:val="bullet"/>
      <w:lvlText w:val=""/>
      <w:lvlJc w:val="left"/>
      <w:pPr>
        <w:ind w:left="6531" w:hanging="360"/>
      </w:pPr>
      <w:rPr>
        <w:rFonts w:ascii="Wingdings" w:hAnsi="Wingdings" w:hint="default"/>
      </w:rPr>
    </w:lvl>
  </w:abstractNum>
  <w:abstractNum w:abstractNumId="5">
    <w:nsid w:val="065E77ED"/>
    <w:multiLevelType w:val="hybridMultilevel"/>
    <w:tmpl w:val="21205436"/>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nsid w:val="070F6F46"/>
    <w:multiLevelType w:val="hybridMultilevel"/>
    <w:tmpl w:val="614E4E6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nsid w:val="0A2E35A1"/>
    <w:multiLevelType w:val="hybridMultilevel"/>
    <w:tmpl w:val="7DAE01F4"/>
    <w:lvl w:ilvl="0" w:tplc="000002BD">
      <w:start w:val="1"/>
      <w:numFmt w:val="bullet"/>
      <w:lvlText w:val="-"/>
      <w:lvlJc w:val="left"/>
      <w:pPr>
        <w:ind w:left="720" w:hanging="360"/>
      </w:pPr>
    </w:lvl>
    <w:lvl w:ilvl="1" w:tplc="04100003">
      <w:start w:val="1"/>
      <w:numFmt w:val="bullet"/>
      <w:lvlText w:val="o"/>
      <w:lvlJc w:val="left"/>
      <w:pPr>
        <w:ind w:left="1440" w:hanging="360"/>
      </w:pPr>
      <w:rPr>
        <w:rFonts w:ascii="Courier New" w:hAnsi="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0ADD76E5"/>
    <w:multiLevelType w:val="hybridMultilevel"/>
    <w:tmpl w:val="E342F63E"/>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0AEB0C18"/>
    <w:multiLevelType w:val="hybridMultilevel"/>
    <w:tmpl w:val="2A54289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0CB81F91"/>
    <w:multiLevelType w:val="hybridMultilevel"/>
    <w:tmpl w:val="BD948DBC"/>
    <w:lvl w:ilvl="0" w:tplc="F2D68678">
      <w:start w:val="1"/>
      <w:numFmt w:val="decimal"/>
      <w:lvlText w:val="%1."/>
      <w:lvlJc w:val="left"/>
      <w:pPr>
        <w:ind w:left="785" w:hanging="360"/>
      </w:pPr>
      <w:rPr>
        <w:rFonts w:ascii="Times New Roman" w:hAnsi="Times New Roman" w:cs="Times New Roman" w:hint="default"/>
      </w:rPr>
    </w:lvl>
    <w:lvl w:ilvl="1" w:tplc="000002BD">
      <w:start w:val="1"/>
      <w:numFmt w:val="bullet"/>
      <w:lvlText w:val="-"/>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nsid w:val="0F4E492F"/>
    <w:multiLevelType w:val="hybridMultilevel"/>
    <w:tmpl w:val="EC728958"/>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nsid w:val="0FCF3B80"/>
    <w:multiLevelType w:val="hybridMultilevel"/>
    <w:tmpl w:val="53B01E64"/>
    <w:lvl w:ilvl="0" w:tplc="68F614FA">
      <w:start w:val="1"/>
      <w:numFmt w:val="decimal"/>
      <w:lvlText w:val="%1."/>
      <w:lvlJc w:val="left"/>
      <w:pPr>
        <w:ind w:left="720" w:hanging="360"/>
      </w:pPr>
      <w:rPr>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nsid w:val="100D67B8"/>
    <w:multiLevelType w:val="hybridMultilevel"/>
    <w:tmpl w:val="95AC7C1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11495308"/>
    <w:multiLevelType w:val="hybridMultilevel"/>
    <w:tmpl w:val="5E5EB386"/>
    <w:lvl w:ilvl="0" w:tplc="6290A91C">
      <w:numFmt w:val="bullet"/>
      <w:lvlText w:val="-"/>
      <w:lvlJc w:val="left"/>
      <w:pPr>
        <w:ind w:left="1068" w:hanging="360"/>
      </w:pPr>
      <w:rPr>
        <w:rFonts w:ascii="Cambria" w:eastAsiaTheme="minorHAnsi" w:hAnsi="Cambria" w:cstheme="minorBidi" w:hint="default"/>
      </w:rPr>
    </w:lvl>
    <w:lvl w:ilvl="1" w:tplc="04100003" w:tentative="1">
      <w:start w:val="1"/>
      <w:numFmt w:val="bullet"/>
      <w:lvlText w:val="o"/>
      <w:lvlJc w:val="left"/>
      <w:pPr>
        <w:ind w:left="1788" w:hanging="360"/>
      </w:pPr>
      <w:rPr>
        <w:rFonts w:ascii="Courier New" w:hAnsi="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15">
    <w:nsid w:val="11CD25F8"/>
    <w:multiLevelType w:val="hybridMultilevel"/>
    <w:tmpl w:val="907A140E"/>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12422F48"/>
    <w:multiLevelType w:val="hybridMultilevel"/>
    <w:tmpl w:val="483A332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14F07703"/>
    <w:multiLevelType w:val="hybridMultilevel"/>
    <w:tmpl w:val="14A2F704"/>
    <w:lvl w:ilvl="0" w:tplc="04100005">
      <w:start w:val="1"/>
      <w:numFmt w:val="bullet"/>
      <w:lvlText w:val=""/>
      <w:lvlJc w:val="left"/>
      <w:pPr>
        <w:ind w:left="784" w:hanging="360"/>
      </w:pPr>
      <w:rPr>
        <w:rFonts w:ascii="Wingdings" w:hAnsi="Wingdings" w:hint="default"/>
      </w:rPr>
    </w:lvl>
    <w:lvl w:ilvl="1" w:tplc="04100003" w:tentative="1">
      <w:start w:val="1"/>
      <w:numFmt w:val="bullet"/>
      <w:lvlText w:val="o"/>
      <w:lvlJc w:val="left"/>
      <w:pPr>
        <w:ind w:left="1504" w:hanging="360"/>
      </w:pPr>
      <w:rPr>
        <w:rFonts w:ascii="Courier New" w:hAnsi="Courier New" w:hint="default"/>
      </w:rPr>
    </w:lvl>
    <w:lvl w:ilvl="2" w:tplc="04100005" w:tentative="1">
      <w:start w:val="1"/>
      <w:numFmt w:val="bullet"/>
      <w:lvlText w:val=""/>
      <w:lvlJc w:val="left"/>
      <w:pPr>
        <w:ind w:left="2224" w:hanging="360"/>
      </w:pPr>
      <w:rPr>
        <w:rFonts w:ascii="Wingdings" w:hAnsi="Wingdings" w:hint="default"/>
      </w:rPr>
    </w:lvl>
    <w:lvl w:ilvl="3" w:tplc="04100001" w:tentative="1">
      <w:start w:val="1"/>
      <w:numFmt w:val="bullet"/>
      <w:lvlText w:val=""/>
      <w:lvlJc w:val="left"/>
      <w:pPr>
        <w:ind w:left="2944" w:hanging="360"/>
      </w:pPr>
      <w:rPr>
        <w:rFonts w:ascii="Symbol" w:hAnsi="Symbol" w:hint="default"/>
      </w:rPr>
    </w:lvl>
    <w:lvl w:ilvl="4" w:tplc="04100003" w:tentative="1">
      <w:start w:val="1"/>
      <w:numFmt w:val="bullet"/>
      <w:lvlText w:val="o"/>
      <w:lvlJc w:val="left"/>
      <w:pPr>
        <w:ind w:left="3664" w:hanging="360"/>
      </w:pPr>
      <w:rPr>
        <w:rFonts w:ascii="Courier New" w:hAnsi="Courier New" w:hint="default"/>
      </w:rPr>
    </w:lvl>
    <w:lvl w:ilvl="5" w:tplc="04100005" w:tentative="1">
      <w:start w:val="1"/>
      <w:numFmt w:val="bullet"/>
      <w:lvlText w:val=""/>
      <w:lvlJc w:val="left"/>
      <w:pPr>
        <w:ind w:left="4384" w:hanging="360"/>
      </w:pPr>
      <w:rPr>
        <w:rFonts w:ascii="Wingdings" w:hAnsi="Wingdings" w:hint="default"/>
      </w:rPr>
    </w:lvl>
    <w:lvl w:ilvl="6" w:tplc="04100001" w:tentative="1">
      <w:start w:val="1"/>
      <w:numFmt w:val="bullet"/>
      <w:lvlText w:val=""/>
      <w:lvlJc w:val="left"/>
      <w:pPr>
        <w:ind w:left="5104" w:hanging="360"/>
      </w:pPr>
      <w:rPr>
        <w:rFonts w:ascii="Symbol" w:hAnsi="Symbol" w:hint="default"/>
      </w:rPr>
    </w:lvl>
    <w:lvl w:ilvl="7" w:tplc="04100003" w:tentative="1">
      <w:start w:val="1"/>
      <w:numFmt w:val="bullet"/>
      <w:lvlText w:val="o"/>
      <w:lvlJc w:val="left"/>
      <w:pPr>
        <w:ind w:left="5824" w:hanging="360"/>
      </w:pPr>
      <w:rPr>
        <w:rFonts w:ascii="Courier New" w:hAnsi="Courier New" w:hint="default"/>
      </w:rPr>
    </w:lvl>
    <w:lvl w:ilvl="8" w:tplc="04100005" w:tentative="1">
      <w:start w:val="1"/>
      <w:numFmt w:val="bullet"/>
      <w:lvlText w:val=""/>
      <w:lvlJc w:val="left"/>
      <w:pPr>
        <w:ind w:left="6544" w:hanging="360"/>
      </w:pPr>
      <w:rPr>
        <w:rFonts w:ascii="Wingdings" w:hAnsi="Wingdings" w:hint="default"/>
      </w:rPr>
    </w:lvl>
  </w:abstractNum>
  <w:abstractNum w:abstractNumId="18">
    <w:nsid w:val="14FB0971"/>
    <w:multiLevelType w:val="hybridMultilevel"/>
    <w:tmpl w:val="D6503EA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15934A44"/>
    <w:multiLevelType w:val="hybridMultilevel"/>
    <w:tmpl w:val="8E908CC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nsid w:val="1674130A"/>
    <w:multiLevelType w:val="hybridMultilevel"/>
    <w:tmpl w:val="24ECF6F8"/>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1985451E"/>
    <w:multiLevelType w:val="hybridMultilevel"/>
    <w:tmpl w:val="9A02BE40"/>
    <w:lvl w:ilvl="0" w:tplc="6290A91C">
      <w:numFmt w:val="bullet"/>
      <w:lvlText w:val="-"/>
      <w:lvlJc w:val="left"/>
      <w:pPr>
        <w:ind w:left="720" w:hanging="360"/>
      </w:pPr>
      <w:rPr>
        <w:rFonts w:ascii="Cambria" w:eastAsiaTheme="minorHAnsi" w:hAnsi="Cambria" w:cstheme="minorBidi"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1BE440AF"/>
    <w:multiLevelType w:val="hybridMultilevel"/>
    <w:tmpl w:val="8A3235D0"/>
    <w:lvl w:ilvl="0" w:tplc="32E0255E">
      <w:start w:val="1"/>
      <w:numFmt w:val="none"/>
      <w:lvlText w:val="(i)"/>
      <w:lvlJc w:val="left"/>
      <w:pPr>
        <w:ind w:left="1068" w:hanging="360"/>
      </w:pPr>
      <w:rPr>
        <w:rFonts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23">
    <w:nsid w:val="1CC60B26"/>
    <w:multiLevelType w:val="hybridMultilevel"/>
    <w:tmpl w:val="CD6C5E90"/>
    <w:lvl w:ilvl="0" w:tplc="0410000F">
      <w:start w:val="1"/>
      <w:numFmt w:val="decimal"/>
      <w:lvlText w:val="%1."/>
      <w:lvlJc w:val="left"/>
      <w:pPr>
        <w:ind w:left="920" w:hanging="360"/>
      </w:pPr>
    </w:lvl>
    <w:lvl w:ilvl="1" w:tplc="04100019" w:tentative="1">
      <w:start w:val="1"/>
      <w:numFmt w:val="lowerLetter"/>
      <w:lvlText w:val="%2."/>
      <w:lvlJc w:val="left"/>
      <w:pPr>
        <w:ind w:left="1640" w:hanging="360"/>
      </w:pPr>
    </w:lvl>
    <w:lvl w:ilvl="2" w:tplc="0410001B" w:tentative="1">
      <w:start w:val="1"/>
      <w:numFmt w:val="lowerRoman"/>
      <w:lvlText w:val="%3."/>
      <w:lvlJc w:val="right"/>
      <w:pPr>
        <w:ind w:left="2360" w:hanging="180"/>
      </w:pPr>
    </w:lvl>
    <w:lvl w:ilvl="3" w:tplc="0410000F" w:tentative="1">
      <w:start w:val="1"/>
      <w:numFmt w:val="decimal"/>
      <w:lvlText w:val="%4."/>
      <w:lvlJc w:val="left"/>
      <w:pPr>
        <w:ind w:left="3080" w:hanging="360"/>
      </w:pPr>
    </w:lvl>
    <w:lvl w:ilvl="4" w:tplc="04100019" w:tentative="1">
      <w:start w:val="1"/>
      <w:numFmt w:val="lowerLetter"/>
      <w:lvlText w:val="%5."/>
      <w:lvlJc w:val="left"/>
      <w:pPr>
        <w:ind w:left="3800" w:hanging="360"/>
      </w:pPr>
    </w:lvl>
    <w:lvl w:ilvl="5" w:tplc="0410001B" w:tentative="1">
      <w:start w:val="1"/>
      <w:numFmt w:val="lowerRoman"/>
      <w:lvlText w:val="%6."/>
      <w:lvlJc w:val="right"/>
      <w:pPr>
        <w:ind w:left="4520" w:hanging="180"/>
      </w:pPr>
    </w:lvl>
    <w:lvl w:ilvl="6" w:tplc="0410000F" w:tentative="1">
      <w:start w:val="1"/>
      <w:numFmt w:val="decimal"/>
      <w:lvlText w:val="%7."/>
      <w:lvlJc w:val="left"/>
      <w:pPr>
        <w:ind w:left="5240" w:hanging="360"/>
      </w:pPr>
    </w:lvl>
    <w:lvl w:ilvl="7" w:tplc="04100019" w:tentative="1">
      <w:start w:val="1"/>
      <w:numFmt w:val="lowerLetter"/>
      <w:lvlText w:val="%8."/>
      <w:lvlJc w:val="left"/>
      <w:pPr>
        <w:ind w:left="5960" w:hanging="360"/>
      </w:pPr>
    </w:lvl>
    <w:lvl w:ilvl="8" w:tplc="0410001B" w:tentative="1">
      <w:start w:val="1"/>
      <w:numFmt w:val="lowerRoman"/>
      <w:lvlText w:val="%9."/>
      <w:lvlJc w:val="right"/>
      <w:pPr>
        <w:ind w:left="6680" w:hanging="180"/>
      </w:pPr>
    </w:lvl>
  </w:abstractNum>
  <w:abstractNum w:abstractNumId="24">
    <w:nsid w:val="1DF912BC"/>
    <w:multiLevelType w:val="hybridMultilevel"/>
    <w:tmpl w:val="7DCA40B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1F466F25"/>
    <w:multiLevelType w:val="hybridMultilevel"/>
    <w:tmpl w:val="3E1C1F2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nsid w:val="1F7D274A"/>
    <w:multiLevelType w:val="hybridMultilevel"/>
    <w:tmpl w:val="FC1C8BB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nsid w:val="20120759"/>
    <w:multiLevelType w:val="hybridMultilevel"/>
    <w:tmpl w:val="9188BA22"/>
    <w:lvl w:ilvl="0" w:tplc="3B3CFB28">
      <w:start w:val="1"/>
      <w:numFmt w:val="decimal"/>
      <w:lvlText w:val="%1."/>
      <w:lvlJc w:val="left"/>
      <w:pPr>
        <w:ind w:left="720" w:hanging="360"/>
      </w:pPr>
      <w:rPr>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8">
    <w:nsid w:val="205636A7"/>
    <w:multiLevelType w:val="hybridMultilevel"/>
    <w:tmpl w:val="AD704C7C"/>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nsid w:val="20575791"/>
    <w:multiLevelType w:val="hybridMultilevel"/>
    <w:tmpl w:val="1890D53E"/>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nsid w:val="20620D88"/>
    <w:multiLevelType w:val="hybridMultilevel"/>
    <w:tmpl w:val="A5FE970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nsid w:val="20CF6EF0"/>
    <w:multiLevelType w:val="hybridMultilevel"/>
    <w:tmpl w:val="774E7DC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nsid w:val="21660CA6"/>
    <w:multiLevelType w:val="hybridMultilevel"/>
    <w:tmpl w:val="C5943C1A"/>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nsid w:val="220564A9"/>
    <w:multiLevelType w:val="hybridMultilevel"/>
    <w:tmpl w:val="FF02A752"/>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nsid w:val="2253113F"/>
    <w:multiLevelType w:val="hybridMultilevel"/>
    <w:tmpl w:val="8B48DADC"/>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nsid w:val="22CA5ECC"/>
    <w:multiLevelType w:val="hybridMultilevel"/>
    <w:tmpl w:val="23CE057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nsid w:val="237A46B7"/>
    <w:multiLevelType w:val="hybridMultilevel"/>
    <w:tmpl w:val="F78A103A"/>
    <w:lvl w:ilvl="0" w:tplc="6290A91C">
      <w:numFmt w:val="bullet"/>
      <w:lvlText w:val="-"/>
      <w:lvlJc w:val="left"/>
      <w:pPr>
        <w:ind w:left="360" w:hanging="360"/>
      </w:pPr>
      <w:rPr>
        <w:rFonts w:ascii="Cambria" w:eastAsiaTheme="minorHAnsi" w:hAnsi="Cambria" w:cstheme="minorBidi" w:hint="default"/>
      </w:rPr>
    </w:lvl>
    <w:lvl w:ilvl="1" w:tplc="04100003" w:tentative="1">
      <w:start w:val="1"/>
      <w:numFmt w:val="bullet"/>
      <w:lvlText w:val="o"/>
      <w:lvlJc w:val="left"/>
      <w:pPr>
        <w:ind w:left="1080" w:hanging="360"/>
      </w:pPr>
      <w:rPr>
        <w:rFonts w:ascii="Courier New" w:hAnsi="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7">
    <w:nsid w:val="240F7958"/>
    <w:multiLevelType w:val="hybridMultilevel"/>
    <w:tmpl w:val="F2C8ABF0"/>
    <w:lvl w:ilvl="0" w:tplc="000002BD">
      <w:start w:val="1"/>
      <w:numFmt w:val="bullet"/>
      <w:lvlText w:val="-"/>
      <w:lvlJc w:val="left"/>
      <w:pPr>
        <w:ind w:left="1428" w:hanging="360"/>
      </w:pPr>
    </w:lvl>
    <w:lvl w:ilvl="1" w:tplc="04100003" w:tentative="1">
      <w:start w:val="1"/>
      <w:numFmt w:val="bullet"/>
      <w:lvlText w:val="o"/>
      <w:lvlJc w:val="left"/>
      <w:pPr>
        <w:ind w:left="2148" w:hanging="360"/>
      </w:pPr>
      <w:rPr>
        <w:rFonts w:ascii="Courier New" w:hAnsi="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38">
    <w:nsid w:val="24353C08"/>
    <w:multiLevelType w:val="hybridMultilevel"/>
    <w:tmpl w:val="638C7F0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nsid w:val="25014601"/>
    <w:multiLevelType w:val="hybridMultilevel"/>
    <w:tmpl w:val="8B8858EA"/>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nsid w:val="25183B62"/>
    <w:multiLevelType w:val="hybridMultilevel"/>
    <w:tmpl w:val="D714A354"/>
    <w:lvl w:ilvl="0" w:tplc="000002BD">
      <w:start w:val="1"/>
      <w:numFmt w:val="bullet"/>
      <w:lvlText w:val="-"/>
      <w:lvlJc w:val="left"/>
      <w:pPr>
        <w:ind w:left="1428" w:hanging="360"/>
      </w:pPr>
    </w:lvl>
    <w:lvl w:ilvl="1" w:tplc="04100003" w:tentative="1">
      <w:start w:val="1"/>
      <w:numFmt w:val="bullet"/>
      <w:lvlText w:val="o"/>
      <w:lvlJc w:val="left"/>
      <w:pPr>
        <w:ind w:left="2148" w:hanging="360"/>
      </w:pPr>
      <w:rPr>
        <w:rFonts w:ascii="Courier New" w:hAnsi="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41">
    <w:nsid w:val="255D1E9C"/>
    <w:multiLevelType w:val="hybridMultilevel"/>
    <w:tmpl w:val="F3D02C3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nsid w:val="25CC382C"/>
    <w:multiLevelType w:val="hybridMultilevel"/>
    <w:tmpl w:val="7998200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nsid w:val="25EC76DA"/>
    <w:multiLevelType w:val="hybridMultilevel"/>
    <w:tmpl w:val="AD02DA3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4">
    <w:nsid w:val="276745AF"/>
    <w:multiLevelType w:val="hybridMultilevel"/>
    <w:tmpl w:val="0AAE049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5">
    <w:nsid w:val="28061C32"/>
    <w:multiLevelType w:val="hybridMultilevel"/>
    <w:tmpl w:val="3F4CC926"/>
    <w:lvl w:ilvl="0" w:tplc="70AAAF9A">
      <w:start w:val="1"/>
      <w:numFmt w:val="decimal"/>
      <w:lvlText w:val="%1."/>
      <w:lvlJc w:val="left"/>
      <w:pPr>
        <w:ind w:left="785" w:hanging="360"/>
      </w:pPr>
      <w:rPr>
        <w:sz w:val="20"/>
        <w:szCs w:val="2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6">
    <w:nsid w:val="282378A2"/>
    <w:multiLevelType w:val="hybridMultilevel"/>
    <w:tmpl w:val="CEB8E39C"/>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7">
    <w:nsid w:val="2A105A82"/>
    <w:multiLevelType w:val="hybridMultilevel"/>
    <w:tmpl w:val="5C1645F4"/>
    <w:lvl w:ilvl="0" w:tplc="68F614FA">
      <w:start w:val="1"/>
      <w:numFmt w:val="decimal"/>
      <w:lvlText w:val="%1."/>
      <w:lvlJc w:val="left"/>
      <w:pPr>
        <w:ind w:left="720" w:hanging="360"/>
      </w:pPr>
      <w:rPr>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8">
    <w:nsid w:val="2A4C5829"/>
    <w:multiLevelType w:val="hybridMultilevel"/>
    <w:tmpl w:val="B4326DAE"/>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nsid w:val="2C0F07D8"/>
    <w:multiLevelType w:val="hybridMultilevel"/>
    <w:tmpl w:val="527E16A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0">
    <w:nsid w:val="2C2B3A7A"/>
    <w:multiLevelType w:val="hybridMultilevel"/>
    <w:tmpl w:val="3660817A"/>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1">
    <w:nsid w:val="2D892E85"/>
    <w:multiLevelType w:val="hybridMultilevel"/>
    <w:tmpl w:val="A9989870"/>
    <w:lvl w:ilvl="0" w:tplc="31060F20">
      <w:numFmt w:val="bullet"/>
      <w:lvlText w:val="-"/>
      <w:lvlJc w:val="left"/>
      <w:pPr>
        <w:ind w:left="360" w:hanging="360"/>
      </w:pPr>
      <w:rPr>
        <w:rFonts w:ascii="Times New Roman" w:hAnsi="Times New Roman" w:cs="Times New Roman" w:hint="default"/>
        <w:b w:val="0"/>
        <w:i w:val="0"/>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nsid w:val="2E287929"/>
    <w:multiLevelType w:val="hybridMultilevel"/>
    <w:tmpl w:val="CFA692A2"/>
    <w:lvl w:ilvl="0" w:tplc="04100005">
      <w:start w:val="1"/>
      <w:numFmt w:val="bullet"/>
      <w:lvlText w:val=""/>
      <w:lvlJc w:val="left"/>
      <w:pPr>
        <w:ind w:left="2160" w:hanging="360"/>
      </w:pPr>
      <w:rPr>
        <w:rFonts w:ascii="Wingdings" w:hAnsi="Wingdings" w:hint="default"/>
      </w:rPr>
    </w:lvl>
    <w:lvl w:ilvl="1" w:tplc="04100003" w:tentative="1">
      <w:start w:val="1"/>
      <w:numFmt w:val="bullet"/>
      <w:lvlText w:val="o"/>
      <w:lvlJc w:val="left"/>
      <w:pPr>
        <w:ind w:left="2880" w:hanging="360"/>
      </w:pPr>
      <w:rPr>
        <w:rFonts w:ascii="Courier New" w:hAnsi="Courier New" w:hint="default"/>
      </w:rPr>
    </w:lvl>
    <w:lvl w:ilvl="2" w:tplc="04100005" w:tentative="1">
      <w:start w:val="1"/>
      <w:numFmt w:val="bullet"/>
      <w:lvlText w:val=""/>
      <w:lvlJc w:val="left"/>
      <w:pPr>
        <w:ind w:left="3600" w:hanging="360"/>
      </w:pPr>
      <w:rPr>
        <w:rFonts w:ascii="Wingdings" w:hAnsi="Wingdings" w:hint="default"/>
      </w:rPr>
    </w:lvl>
    <w:lvl w:ilvl="3" w:tplc="04100001" w:tentative="1">
      <w:start w:val="1"/>
      <w:numFmt w:val="bullet"/>
      <w:lvlText w:val=""/>
      <w:lvlJc w:val="left"/>
      <w:pPr>
        <w:ind w:left="4320" w:hanging="360"/>
      </w:pPr>
      <w:rPr>
        <w:rFonts w:ascii="Symbol" w:hAnsi="Symbol" w:hint="default"/>
      </w:rPr>
    </w:lvl>
    <w:lvl w:ilvl="4" w:tplc="04100003" w:tentative="1">
      <w:start w:val="1"/>
      <w:numFmt w:val="bullet"/>
      <w:lvlText w:val="o"/>
      <w:lvlJc w:val="left"/>
      <w:pPr>
        <w:ind w:left="5040" w:hanging="360"/>
      </w:pPr>
      <w:rPr>
        <w:rFonts w:ascii="Courier New" w:hAnsi="Courier New" w:hint="default"/>
      </w:rPr>
    </w:lvl>
    <w:lvl w:ilvl="5" w:tplc="04100005" w:tentative="1">
      <w:start w:val="1"/>
      <w:numFmt w:val="bullet"/>
      <w:lvlText w:val=""/>
      <w:lvlJc w:val="left"/>
      <w:pPr>
        <w:ind w:left="5760" w:hanging="360"/>
      </w:pPr>
      <w:rPr>
        <w:rFonts w:ascii="Wingdings" w:hAnsi="Wingdings" w:hint="default"/>
      </w:rPr>
    </w:lvl>
    <w:lvl w:ilvl="6" w:tplc="04100001" w:tentative="1">
      <w:start w:val="1"/>
      <w:numFmt w:val="bullet"/>
      <w:lvlText w:val=""/>
      <w:lvlJc w:val="left"/>
      <w:pPr>
        <w:ind w:left="6480" w:hanging="360"/>
      </w:pPr>
      <w:rPr>
        <w:rFonts w:ascii="Symbol" w:hAnsi="Symbol" w:hint="default"/>
      </w:rPr>
    </w:lvl>
    <w:lvl w:ilvl="7" w:tplc="04100003" w:tentative="1">
      <w:start w:val="1"/>
      <w:numFmt w:val="bullet"/>
      <w:lvlText w:val="o"/>
      <w:lvlJc w:val="left"/>
      <w:pPr>
        <w:ind w:left="7200" w:hanging="360"/>
      </w:pPr>
      <w:rPr>
        <w:rFonts w:ascii="Courier New" w:hAnsi="Courier New" w:hint="default"/>
      </w:rPr>
    </w:lvl>
    <w:lvl w:ilvl="8" w:tplc="04100005" w:tentative="1">
      <w:start w:val="1"/>
      <w:numFmt w:val="bullet"/>
      <w:lvlText w:val=""/>
      <w:lvlJc w:val="left"/>
      <w:pPr>
        <w:ind w:left="7920" w:hanging="360"/>
      </w:pPr>
      <w:rPr>
        <w:rFonts w:ascii="Wingdings" w:hAnsi="Wingdings" w:hint="default"/>
      </w:rPr>
    </w:lvl>
  </w:abstractNum>
  <w:abstractNum w:abstractNumId="53">
    <w:nsid w:val="2F337CCA"/>
    <w:multiLevelType w:val="hybridMultilevel"/>
    <w:tmpl w:val="BD948DBC"/>
    <w:lvl w:ilvl="0" w:tplc="F2D68678">
      <w:start w:val="1"/>
      <w:numFmt w:val="decimal"/>
      <w:lvlText w:val="%1."/>
      <w:lvlJc w:val="left"/>
      <w:pPr>
        <w:ind w:left="785" w:hanging="360"/>
      </w:pPr>
      <w:rPr>
        <w:rFonts w:ascii="Times New Roman" w:hAnsi="Times New Roman" w:cs="Times New Roman" w:hint="default"/>
      </w:rPr>
    </w:lvl>
    <w:lvl w:ilvl="1" w:tplc="000002BD">
      <w:start w:val="1"/>
      <w:numFmt w:val="bullet"/>
      <w:lvlText w:val="-"/>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4">
    <w:nsid w:val="2FA33CA6"/>
    <w:multiLevelType w:val="hybridMultilevel"/>
    <w:tmpl w:val="FA7E766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5">
    <w:nsid w:val="317A4D27"/>
    <w:multiLevelType w:val="hybridMultilevel"/>
    <w:tmpl w:val="1796533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6">
    <w:nsid w:val="31DF0458"/>
    <w:multiLevelType w:val="hybridMultilevel"/>
    <w:tmpl w:val="C14878CC"/>
    <w:lvl w:ilvl="0" w:tplc="04100001">
      <w:start w:val="1"/>
      <w:numFmt w:val="bullet"/>
      <w:lvlText w:val=""/>
      <w:lvlJc w:val="left"/>
      <w:pPr>
        <w:ind w:left="771" w:hanging="360"/>
      </w:pPr>
      <w:rPr>
        <w:rFonts w:ascii="Symbol" w:hAnsi="Symbol" w:hint="default"/>
      </w:rPr>
    </w:lvl>
    <w:lvl w:ilvl="1" w:tplc="04100003" w:tentative="1">
      <w:start w:val="1"/>
      <w:numFmt w:val="bullet"/>
      <w:lvlText w:val="o"/>
      <w:lvlJc w:val="left"/>
      <w:pPr>
        <w:ind w:left="1491" w:hanging="360"/>
      </w:pPr>
      <w:rPr>
        <w:rFonts w:ascii="Courier New" w:hAnsi="Courier New" w:hint="default"/>
      </w:rPr>
    </w:lvl>
    <w:lvl w:ilvl="2" w:tplc="04100005" w:tentative="1">
      <w:start w:val="1"/>
      <w:numFmt w:val="bullet"/>
      <w:lvlText w:val=""/>
      <w:lvlJc w:val="left"/>
      <w:pPr>
        <w:ind w:left="2211" w:hanging="360"/>
      </w:pPr>
      <w:rPr>
        <w:rFonts w:ascii="Wingdings" w:hAnsi="Wingdings" w:hint="default"/>
      </w:rPr>
    </w:lvl>
    <w:lvl w:ilvl="3" w:tplc="04100001" w:tentative="1">
      <w:start w:val="1"/>
      <w:numFmt w:val="bullet"/>
      <w:lvlText w:val=""/>
      <w:lvlJc w:val="left"/>
      <w:pPr>
        <w:ind w:left="2931" w:hanging="360"/>
      </w:pPr>
      <w:rPr>
        <w:rFonts w:ascii="Symbol" w:hAnsi="Symbol" w:hint="default"/>
      </w:rPr>
    </w:lvl>
    <w:lvl w:ilvl="4" w:tplc="04100003" w:tentative="1">
      <w:start w:val="1"/>
      <w:numFmt w:val="bullet"/>
      <w:lvlText w:val="o"/>
      <w:lvlJc w:val="left"/>
      <w:pPr>
        <w:ind w:left="3651" w:hanging="360"/>
      </w:pPr>
      <w:rPr>
        <w:rFonts w:ascii="Courier New" w:hAnsi="Courier New" w:hint="default"/>
      </w:rPr>
    </w:lvl>
    <w:lvl w:ilvl="5" w:tplc="04100005" w:tentative="1">
      <w:start w:val="1"/>
      <w:numFmt w:val="bullet"/>
      <w:lvlText w:val=""/>
      <w:lvlJc w:val="left"/>
      <w:pPr>
        <w:ind w:left="4371" w:hanging="360"/>
      </w:pPr>
      <w:rPr>
        <w:rFonts w:ascii="Wingdings" w:hAnsi="Wingdings" w:hint="default"/>
      </w:rPr>
    </w:lvl>
    <w:lvl w:ilvl="6" w:tplc="04100001" w:tentative="1">
      <w:start w:val="1"/>
      <w:numFmt w:val="bullet"/>
      <w:lvlText w:val=""/>
      <w:lvlJc w:val="left"/>
      <w:pPr>
        <w:ind w:left="5091" w:hanging="360"/>
      </w:pPr>
      <w:rPr>
        <w:rFonts w:ascii="Symbol" w:hAnsi="Symbol" w:hint="default"/>
      </w:rPr>
    </w:lvl>
    <w:lvl w:ilvl="7" w:tplc="04100003" w:tentative="1">
      <w:start w:val="1"/>
      <w:numFmt w:val="bullet"/>
      <w:lvlText w:val="o"/>
      <w:lvlJc w:val="left"/>
      <w:pPr>
        <w:ind w:left="5811" w:hanging="360"/>
      </w:pPr>
      <w:rPr>
        <w:rFonts w:ascii="Courier New" w:hAnsi="Courier New" w:hint="default"/>
      </w:rPr>
    </w:lvl>
    <w:lvl w:ilvl="8" w:tplc="04100005" w:tentative="1">
      <w:start w:val="1"/>
      <w:numFmt w:val="bullet"/>
      <w:lvlText w:val=""/>
      <w:lvlJc w:val="left"/>
      <w:pPr>
        <w:ind w:left="6531" w:hanging="360"/>
      </w:pPr>
      <w:rPr>
        <w:rFonts w:ascii="Wingdings" w:hAnsi="Wingdings" w:hint="default"/>
      </w:rPr>
    </w:lvl>
  </w:abstractNum>
  <w:abstractNum w:abstractNumId="57">
    <w:nsid w:val="32F64940"/>
    <w:multiLevelType w:val="hybridMultilevel"/>
    <w:tmpl w:val="915CDCFC"/>
    <w:lvl w:ilvl="0" w:tplc="F09AD2BE">
      <w:start w:val="1"/>
      <w:numFmt w:val="lowerRoman"/>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8">
    <w:nsid w:val="331B6038"/>
    <w:multiLevelType w:val="hybridMultilevel"/>
    <w:tmpl w:val="F9FAAEA8"/>
    <w:lvl w:ilvl="0" w:tplc="F6B4DE56">
      <w:start w:val="1"/>
      <w:numFmt w:val="decimal"/>
      <w:lvlText w:val="%1)"/>
      <w:lvlJc w:val="left"/>
      <w:pPr>
        <w:ind w:left="720" w:hanging="360"/>
      </w:pPr>
      <w:rPr>
        <w:color w:val="auto"/>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9">
    <w:nsid w:val="334B7D21"/>
    <w:multiLevelType w:val="hybridMultilevel"/>
    <w:tmpl w:val="5A94553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0">
    <w:nsid w:val="336B421D"/>
    <w:multiLevelType w:val="hybridMultilevel"/>
    <w:tmpl w:val="2DE2B1B4"/>
    <w:lvl w:ilvl="0" w:tplc="000002BD">
      <w:start w:val="1"/>
      <w:numFmt w:val="bullet"/>
      <w:lvlText w:val="-"/>
      <w:lvlJc w:val="left"/>
      <w:pPr>
        <w:ind w:left="720" w:hanging="360"/>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nsid w:val="33D704F5"/>
    <w:multiLevelType w:val="hybridMultilevel"/>
    <w:tmpl w:val="C67AEE62"/>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2">
    <w:nsid w:val="34085EEF"/>
    <w:multiLevelType w:val="hybridMultilevel"/>
    <w:tmpl w:val="C750DB08"/>
    <w:lvl w:ilvl="0" w:tplc="000002BD">
      <w:start w:val="1"/>
      <w:numFmt w:val="bullet"/>
      <w:lvlText w:val="-"/>
      <w:lvlJc w:val="left"/>
      <w:pPr>
        <w:ind w:left="720" w:hanging="360"/>
      </w:pPr>
    </w:lvl>
    <w:lvl w:ilvl="1" w:tplc="04100003">
      <w:start w:val="1"/>
      <w:numFmt w:val="bullet"/>
      <w:lvlText w:val="o"/>
      <w:lvlJc w:val="left"/>
      <w:pPr>
        <w:ind w:left="1440" w:hanging="360"/>
      </w:pPr>
      <w:rPr>
        <w:rFonts w:ascii="Courier New" w:hAnsi="Courier New" w:hint="default"/>
      </w:rPr>
    </w:lvl>
    <w:lvl w:ilvl="2" w:tplc="BDAAB0B2">
      <w:start w:val="1"/>
      <w:numFmt w:val="bullet"/>
      <w:lvlText w:val=""/>
      <w:lvlJc w:val="left"/>
      <w:pPr>
        <w:ind w:left="2160" w:hanging="360"/>
      </w:pPr>
      <w:rPr>
        <w:rFonts w:ascii="Times New Roman" w:hAnsi="Times New Roman" w:cs="Times New Roman" w:hint="default"/>
        <w:sz w:val="22"/>
        <w:szCs w:val="22"/>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3">
    <w:nsid w:val="34C231B2"/>
    <w:multiLevelType w:val="hybridMultilevel"/>
    <w:tmpl w:val="6EBEF07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4">
    <w:nsid w:val="34DF0EC4"/>
    <w:multiLevelType w:val="hybridMultilevel"/>
    <w:tmpl w:val="6FD6E7A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5">
    <w:nsid w:val="361929AD"/>
    <w:multiLevelType w:val="hybridMultilevel"/>
    <w:tmpl w:val="FF865E3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6">
    <w:nsid w:val="372427F6"/>
    <w:multiLevelType w:val="hybridMultilevel"/>
    <w:tmpl w:val="9052067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7">
    <w:nsid w:val="389150E6"/>
    <w:multiLevelType w:val="hybridMultilevel"/>
    <w:tmpl w:val="91981C56"/>
    <w:lvl w:ilvl="0" w:tplc="04100011">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8">
    <w:nsid w:val="3E7E2244"/>
    <w:multiLevelType w:val="hybridMultilevel"/>
    <w:tmpl w:val="81844D18"/>
    <w:lvl w:ilvl="0" w:tplc="04100001">
      <w:start w:val="1"/>
      <w:numFmt w:val="bullet"/>
      <w:lvlText w:val=""/>
      <w:lvlJc w:val="left"/>
      <w:pPr>
        <w:ind w:left="1131" w:hanging="360"/>
      </w:pPr>
      <w:rPr>
        <w:rFonts w:ascii="Symbol" w:hAnsi="Symbol" w:hint="default"/>
      </w:rPr>
    </w:lvl>
    <w:lvl w:ilvl="1" w:tplc="04100003" w:tentative="1">
      <w:start w:val="1"/>
      <w:numFmt w:val="bullet"/>
      <w:lvlText w:val="o"/>
      <w:lvlJc w:val="left"/>
      <w:pPr>
        <w:ind w:left="1851" w:hanging="360"/>
      </w:pPr>
      <w:rPr>
        <w:rFonts w:ascii="Courier New" w:hAnsi="Courier New" w:hint="default"/>
      </w:rPr>
    </w:lvl>
    <w:lvl w:ilvl="2" w:tplc="04100005" w:tentative="1">
      <w:start w:val="1"/>
      <w:numFmt w:val="bullet"/>
      <w:lvlText w:val=""/>
      <w:lvlJc w:val="left"/>
      <w:pPr>
        <w:ind w:left="2571" w:hanging="360"/>
      </w:pPr>
      <w:rPr>
        <w:rFonts w:ascii="Wingdings" w:hAnsi="Wingdings" w:hint="default"/>
      </w:rPr>
    </w:lvl>
    <w:lvl w:ilvl="3" w:tplc="04100001" w:tentative="1">
      <w:start w:val="1"/>
      <w:numFmt w:val="bullet"/>
      <w:lvlText w:val=""/>
      <w:lvlJc w:val="left"/>
      <w:pPr>
        <w:ind w:left="3291" w:hanging="360"/>
      </w:pPr>
      <w:rPr>
        <w:rFonts w:ascii="Symbol" w:hAnsi="Symbol" w:hint="default"/>
      </w:rPr>
    </w:lvl>
    <w:lvl w:ilvl="4" w:tplc="04100003" w:tentative="1">
      <w:start w:val="1"/>
      <w:numFmt w:val="bullet"/>
      <w:lvlText w:val="o"/>
      <w:lvlJc w:val="left"/>
      <w:pPr>
        <w:ind w:left="4011" w:hanging="360"/>
      </w:pPr>
      <w:rPr>
        <w:rFonts w:ascii="Courier New" w:hAnsi="Courier New" w:hint="default"/>
      </w:rPr>
    </w:lvl>
    <w:lvl w:ilvl="5" w:tplc="04100005" w:tentative="1">
      <w:start w:val="1"/>
      <w:numFmt w:val="bullet"/>
      <w:lvlText w:val=""/>
      <w:lvlJc w:val="left"/>
      <w:pPr>
        <w:ind w:left="4731" w:hanging="360"/>
      </w:pPr>
      <w:rPr>
        <w:rFonts w:ascii="Wingdings" w:hAnsi="Wingdings" w:hint="default"/>
      </w:rPr>
    </w:lvl>
    <w:lvl w:ilvl="6" w:tplc="04100001" w:tentative="1">
      <w:start w:val="1"/>
      <w:numFmt w:val="bullet"/>
      <w:lvlText w:val=""/>
      <w:lvlJc w:val="left"/>
      <w:pPr>
        <w:ind w:left="5451" w:hanging="360"/>
      </w:pPr>
      <w:rPr>
        <w:rFonts w:ascii="Symbol" w:hAnsi="Symbol" w:hint="default"/>
      </w:rPr>
    </w:lvl>
    <w:lvl w:ilvl="7" w:tplc="04100003" w:tentative="1">
      <w:start w:val="1"/>
      <w:numFmt w:val="bullet"/>
      <w:lvlText w:val="o"/>
      <w:lvlJc w:val="left"/>
      <w:pPr>
        <w:ind w:left="6171" w:hanging="360"/>
      </w:pPr>
      <w:rPr>
        <w:rFonts w:ascii="Courier New" w:hAnsi="Courier New" w:hint="default"/>
      </w:rPr>
    </w:lvl>
    <w:lvl w:ilvl="8" w:tplc="04100005" w:tentative="1">
      <w:start w:val="1"/>
      <w:numFmt w:val="bullet"/>
      <w:lvlText w:val=""/>
      <w:lvlJc w:val="left"/>
      <w:pPr>
        <w:ind w:left="6891" w:hanging="360"/>
      </w:pPr>
      <w:rPr>
        <w:rFonts w:ascii="Wingdings" w:hAnsi="Wingdings" w:hint="default"/>
      </w:rPr>
    </w:lvl>
  </w:abstractNum>
  <w:abstractNum w:abstractNumId="69">
    <w:nsid w:val="418437EB"/>
    <w:multiLevelType w:val="hybridMultilevel"/>
    <w:tmpl w:val="025A8A8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0">
    <w:nsid w:val="41FE7E58"/>
    <w:multiLevelType w:val="hybridMultilevel"/>
    <w:tmpl w:val="87B4939A"/>
    <w:lvl w:ilvl="0" w:tplc="0410000F">
      <w:start w:val="1"/>
      <w:numFmt w:val="decimal"/>
      <w:lvlText w:val="%1."/>
      <w:lvlJc w:val="left"/>
      <w:pPr>
        <w:ind w:left="771" w:hanging="360"/>
      </w:pPr>
    </w:lvl>
    <w:lvl w:ilvl="1" w:tplc="04100019" w:tentative="1">
      <w:start w:val="1"/>
      <w:numFmt w:val="lowerLetter"/>
      <w:lvlText w:val="%2."/>
      <w:lvlJc w:val="left"/>
      <w:pPr>
        <w:ind w:left="1491" w:hanging="360"/>
      </w:pPr>
    </w:lvl>
    <w:lvl w:ilvl="2" w:tplc="0410001B" w:tentative="1">
      <w:start w:val="1"/>
      <w:numFmt w:val="lowerRoman"/>
      <w:lvlText w:val="%3."/>
      <w:lvlJc w:val="right"/>
      <w:pPr>
        <w:ind w:left="2211" w:hanging="180"/>
      </w:pPr>
    </w:lvl>
    <w:lvl w:ilvl="3" w:tplc="0410000F" w:tentative="1">
      <w:start w:val="1"/>
      <w:numFmt w:val="decimal"/>
      <w:lvlText w:val="%4."/>
      <w:lvlJc w:val="left"/>
      <w:pPr>
        <w:ind w:left="2931" w:hanging="360"/>
      </w:pPr>
    </w:lvl>
    <w:lvl w:ilvl="4" w:tplc="04100019" w:tentative="1">
      <w:start w:val="1"/>
      <w:numFmt w:val="lowerLetter"/>
      <w:lvlText w:val="%5."/>
      <w:lvlJc w:val="left"/>
      <w:pPr>
        <w:ind w:left="3651" w:hanging="360"/>
      </w:pPr>
    </w:lvl>
    <w:lvl w:ilvl="5" w:tplc="0410001B" w:tentative="1">
      <w:start w:val="1"/>
      <w:numFmt w:val="lowerRoman"/>
      <w:lvlText w:val="%6."/>
      <w:lvlJc w:val="right"/>
      <w:pPr>
        <w:ind w:left="4371" w:hanging="180"/>
      </w:pPr>
    </w:lvl>
    <w:lvl w:ilvl="6" w:tplc="0410000F" w:tentative="1">
      <w:start w:val="1"/>
      <w:numFmt w:val="decimal"/>
      <w:lvlText w:val="%7."/>
      <w:lvlJc w:val="left"/>
      <w:pPr>
        <w:ind w:left="5091" w:hanging="360"/>
      </w:pPr>
    </w:lvl>
    <w:lvl w:ilvl="7" w:tplc="04100019" w:tentative="1">
      <w:start w:val="1"/>
      <w:numFmt w:val="lowerLetter"/>
      <w:lvlText w:val="%8."/>
      <w:lvlJc w:val="left"/>
      <w:pPr>
        <w:ind w:left="5811" w:hanging="360"/>
      </w:pPr>
    </w:lvl>
    <w:lvl w:ilvl="8" w:tplc="0410001B" w:tentative="1">
      <w:start w:val="1"/>
      <w:numFmt w:val="lowerRoman"/>
      <w:lvlText w:val="%9."/>
      <w:lvlJc w:val="right"/>
      <w:pPr>
        <w:ind w:left="6531" w:hanging="180"/>
      </w:pPr>
    </w:lvl>
  </w:abstractNum>
  <w:abstractNum w:abstractNumId="71">
    <w:nsid w:val="42520832"/>
    <w:multiLevelType w:val="hybridMultilevel"/>
    <w:tmpl w:val="40BCF6B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2">
    <w:nsid w:val="43E84C1B"/>
    <w:multiLevelType w:val="hybridMultilevel"/>
    <w:tmpl w:val="F2E61AC0"/>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3">
    <w:nsid w:val="45436C3C"/>
    <w:multiLevelType w:val="hybridMultilevel"/>
    <w:tmpl w:val="FEE0734A"/>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4">
    <w:nsid w:val="471B25FB"/>
    <w:multiLevelType w:val="hybridMultilevel"/>
    <w:tmpl w:val="4C8E6CF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5">
    <w:nsid w:val="471E7CC1"/>
    <w:multiLevelType w:val="hybridMultilevel"/>
    <w:tmpl w:val="95263AE0"/>
    <w:lvl w:ilvl="0" w:tplc="000002BD">
      <w:start w:val="1"/>
      <w:numFmt w:val="bullet"/>
      <w:lvlText w:val="-"/>
      <w:lvlJc w:val="left"/>
      <w:pPr>
        <w:ind w:left="360" w:hanging="360"/>
      </w:pPr>
    </w:lvl>
    <w:lvl w:ilvl="1" w:tplc="04100003">
      <w:start w:val="1"/>
      <w:numFmt w:val="bullet"/>
      <w:lvlText w:val="o"/>
      <w:lvlJc w:val="left"/>
      <w:pPr>
        <w:ind w:left="1080" w:hanging="360"/>
      </w:pPr>
      <w:rPr>
        <w:rFonts w:ascii="Courier New" w:hAnsi="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76">
    <w:nsid w:val="48DA1BD9"/>
    <w:multiLevelType w:val="hybridMultilevel"/>
    <w:tmpl w:val="E9D098D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7">
    <w:nsid w:val="49837395"/>
    <w:multiLevelType w:val="hybridMultilevel"/>
    <w:tmpl w:val="C1E4F7C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8">
    <w:nsid w:val="4AE91AED"/>
    <w:multiLevelType w:val="hybridMultilevel"/>
    <w:tmpl w:val="5426A0A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9">
    <w:nsid w:val="4B0F533A"/>
    <w:multiLevelType w:val="hybridMultilevel"/>
    <w:tmpl w:val="FCC0E60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0">
    <w:nsid w:val="4DED55CA"/>
    <w:multiLevelType w:val="hybridMultilevel"/>
    <w:tmpl w:val="D9D68C1A"/>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1">
    <w:nsid w:val="4DFC79F3"/>
    <w:multiLevelType w:val="hybridMultilevel"/>
    <w:tmpl w:val="6C5A2014"/>
    <w:lvl w:ilvl="0" w:tplc="6290A91C">
      <w:numFmt w:val="bullet"/>
      <w:lvlText w:val="-"/>
      <w:lvlJc w:val="left"/>
      <w:pPr>
        <w:ind w:left="1080" w:hanging="360"/>
      </w:pPr>
      <w:rPr>
        <w:rFonts w:ascii="Cambria" w:eastAsiaTheme="minorHAnsi" w:hAnsi="Cambria" w:cstheme="minorBidi" w:hint="default"/>
      </w:rPr>
    </w:lvl>
    <w:lvl w:ilvl="1" w:tplc="04100003" w:tentative="1">
      <w:start w:val="1"/>
      <w:numFmt w:val="bullet"/>
      <w:lvlText w:val="o"/>
      <w:lvlJc w:val="left"/>
      <w:pPr>
        <w:ind w:left="1800" w:hanging="360"/>
      </w:pPr>
      <w:rPr>
        <w:rFonts w:ascii="Courier New" w:hAnsi="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82">
    <w:nsid w:val="4EAA225E"/>
    <w:multiLevelType w:val="hybridMultilevel"/>
    <w:tmpl w:val="34D4F36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3">
    <w:nsid w:val="4F23455D"/>
    <w:multiLevelType w:val="hybridMultilevel"/>
    <w:tmpl w:val="6C8A5F3A"/>
    <w:lvl w:ilvl="0" w:tplc="9AAC40CA">
      <w:start w:val="1"/>
      <w:numFmt w:val="decimal"/>
      <w:lvlText w:val="%1."/>
      <w:lvlJc w:val="left"/>
      <w:pPr>
        <w:ind w:left="720" w:hanging="360"/>
      </w:pPr>
      <w:rPr>
        <w:b/>
        <w:sz w:val="24"/>
        <w:szCs w:val="24"/>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4">
    <w:nsid w:val="528152CB"/>
    <w:multiLevelType w:val="hybridMultilevel"/>
    <w:tmpl w:val="F9D2712C"/>
    <w:lvl w:ilvl="0" w:tplc="04100001">
      <w:start w:val="1"/>
      <w:numFmt w:val="bullet"/>
      <w:lvlText w:val=""/>
      <w:lvlJc w:val="left"/>
      <w:pPr>
        <w:ind w:left="784" w:hanging="360"/>
      </w:pPr>
      <w:rPr>
        <w:rFonts w:ascii="Symbol" w:hAnsi="Symbol" w:hint="default"/>
      </w:rPr>
    </w:lvl>
    <w:lvl w:ilvl="1" w:tplc="04100003" w:tentative="1">
      <w:start w:val="1"/>
      <w:numFmt w:val="bullet"/>
      <w:lvlText w:val="o"/>
      <w:lvlJc w:val="left"/>
      <w:pPr>
        <w:ind w:left="1504" w:hanging="360"/>
      </w:pPr>
      <w:rPr>
        <w:rFonts w:ascii="Courier New" w:hAnsi="Courier New" w:hint="default"/>
      </w:rPr>
    </w:lvl>
    <w:lvl w:ilvl="2" w:tplc="04100005" w:tentative="1">
      <w:start w:val="1"/>
      <w:numFmt w:val="bullet"/>
      <w:lvlText w:val=""/>
      <w:lvlJc w:val="left"/>
      <w:pPr>
        <w:ind w:left="2224" w:hanging="360"/>
      </w:pPr>
      <w:rPr>
        <w:rFonts w:ascii="Wingdings" w:hAnsi="Wingdings" w:hint="default"/>
      </w:rPr>
    </w:lvl>
    <w:lvl w:ilvl="3" w:tplc="04100001" w:tentative="1">
      <w:start w:val="1"/>
      <w:numFmt w:val="bullet"/>
      <w:lvlText w:val=""/>
      <w:lvlJc w:val="left"/>
      <w:pPr>
        <w:ind w:left="2944" w:hanging="360"/>
      </w:pPr>
      <w:rPr>
        <w:rFonts w:ascii="Symbol" w:hAnsi="Symbol" w:hint="default"/>
      </w:rPr>
    </w:lvl>
    <w:lvl w:ilvl="4" w:tplc="04100003" w:tentative="1">
      <w:start w:val="1"/>
      <w:numFmt w:val="bullet"/>
      <w:lvlText w:val="o"/>
      <w:lvlJc w:val="left"/>
      <w:pPr>
        <w:ind w:left="3664" w:hanging="360"/>
      </w:pPr>
      <w:rPr>
        <w:rFonts w:ascii="Courier New" w:hAnsi="Courier New" w:hint="default"/>
      </w:rPr>
    </w:lvl>
    <w:lvl w:ilvl="5" w:tplc="04100005" w:tentative="1">
      <w:start w:val="1"/>
      <w:numFmt w:val="bullet"/>
      <w:lvlText w:val=""/>
      <w:lvlJc w:val="left"/>
      <w:pPr>
        <w:ind w:left="4384" w:hanging="360"/>
      </w:pPr>
      <w:rPr>
        <w:rFonts w:ascii="Wingdings" w:hAnsi="Wingdings" w:hint="default"/>
      </w:rPr>
    </w:lvl>
    <w:lvl w:ilvl="6" w:tplc="04100001" w:tentative="1">
      <w:start w:val="1"/>
      <w:numFmt w:val="bullet"/>
      <w:lvlText w:val=""/>
      <w:lvlJc w:val="left"/>
      <w:pPr>
        <w:ind w:left="5104" w:hanging="360"/>
      </w:pPr>
      <w:rPr>
        <w:rFonts w:ascii="Symbol" w:hAnsi="Symbol" w:hint="default"/>
      </w:rPr>
    </w:lvl>
    <w:lvl w:ilvl="7" w:tplc="04100003" w:tentative="1">
      <w:start w:val="1"/>
      <w:numFmt w:val="bullet"/>
      <w:lvlText w:val="o"/>
      <w:lvlJc w:val="left"/>
      <w:pPr>
        <w:ind w:left="5824" w:hanging="360"/>
      </w:pPr>
      <w:rPr>
        <w:rFonts w:ascii="Courier New" w:hAnsi="Courier New" w:hint="default"/>
      </w:rPr>
    </w:lvl>
    <w:lvl w:ilvl="8" w:tplc="04100005" w:tentative="1">
      <w:start w:val="1"/>
      <w:numFmt w:val="bullet"/>
      <w:lvlText w:val=""/>
      <w:lvlJc w:val="left"/>
      <w:pPr>
        <w:ind w:left="6544" w:hanging="360"/>
      </w:pPr>
      <w:rPr>
        <w:rFonts w:ascii="Wingdings" w:hAnsi="Wingdings" w:hint="default"/>
      </w:rPr>
    </w:lvl>
  </w:abstractNum>
  <w:abstractNum w:abstractNumId="85">
    <w:nsid w:val="54190069"/>
    <w:multiLevelType w:val="hybridMultilevel"/>
    <w:tmpl w:val="D654EE62"/>
    <w:lvl w:ilvl="0" w:tplc="6290A91C">
      <w:numFmt w:val="bullet"/>
      <w:lvlText w:val="-"/>
      <w:lvlJc w:val="left"/>
      <w:pPr>
        <w:ind w:left="720" w:hanging="360"/>
      </w:pPr>
      <w:rPr>
        <w:rFonts w:ascii="Cambria" w:eastAsiaTheme="minorHAnsi" w:hAnsi="Cambria" w:cstheme="minorBidi"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6">
    <w:nsid w:val="55416B6C"/>
    <w:multiLevelType w:val="hybridMultilevel"/>
    <w:tmpl w:val="15D029EE"/>
    <w:lvl w:ilvl="0" w:tplc="04100001">
      <w:start w:val="1"/>
      <w:numFmt w:val="bullet"/>
      <w:lvlText w:val=""/>
      <w:lvlJc w:val="left"/>
      <w:pPr>
        <w:ind w:left="1068" w:hanging="360"/>
      </w:pPr>
      <w:rPr>
        <w:rFonts w:ascii="Symbol" w:hAnsi="Symbol" w:hint="default"/>
      </w:rPr>
    </w:lvl>
    <w:lvl w:ilvl="1" w:tplc="04100003" w:tentative="1">
      <w:start w:val="1"/>
      <w:numFmt w:val="bullet"/>
      <w:lvlText w:val="o"/>
      <w:lvlJc w:val="left"/>
      <w:pPr>
        <w:ind w:left="1788" w:hanging="360"/>
      </w:pPr>
      <w:rPr>
        <w:rFonts w:ascii="Courier New" w:hAnsi="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87">
    <w:nsid w:val="55806923"/>
    <w:multiLevelType w:val="hybridMultilevel"/>
    <w:tmpl w:val="4520536E"/>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8">
    <w:nsid w:val="5619355B"/>
    <w:multiLevelType w:val="hybridMultilevel"/>
    <w:tmpl w:val="3CE8D922"/>
    <w:lvl w:ilvl="0" w:tplc="04100011">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9">
    <w:nsid w:val="56D1533C"/>
    <w:multiLevelType w:val="multilevel"/>
    <w:tmpl w:val="28A6D0BE"/>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0">
    <w:nsid w:val="58061BDC"/>
    <w:multiLevelType w:val="hybridMultilevel"/>
    <w:tmpl w:val="0B4CE06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1">
    <w:nsid w:val="59345D6D"/>
    <w:multiLevelType w:val="hybridMultilevel"/>
    <w:tmpl w:val="9998D8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nsid w:val="5AD73987"/>
    <w:multiLevelType w:val="hybridMultilevel"/>
    <w:tmpl w:val="461AB8C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3">
    <w:nsid w:val="5C9A4672"/>
    <w:multiLevelType w:val="hybridMultilevel"/>
    <w:tmpl w:val="767008C4"/>
    <w:lvl w:ilvl="0" w:tplc="6290A91C">
      <w:numFmt w:val="bullet"/>
      <w:lvlText w:val="-"/>
      <w:lvlJc w:val="left"/>
      <w:pPr>
        <w:ind w:left="1080" w:hanging="360"/>
      </w:pPr>
      <w:rPr>
        <w:rFonts w:ascii="Cambria" w:eastAsiaTheme="minorHAnsi" w:hAnsi="Cambria" w:cstheme="minorBidi" w:hint="default"/>
      </w:rPr>
    </w:lvl>
    <w:lvl w:ilvl="1" w:tplc="04100003" w:tentative="1">
      <w:start w:val="1"/>
      <w:numFmt w:val="bullet"/>
      <w:lvlText w:val="o"/>
      <w:lvlJc w:val="left"/>
      <w:pPr>
        <w:ind w:left="1800" w:hanging="360"/>
      </w:pPr>
      <w:rPr>
        <w:rFonts w:ascii="Courier New" w:hAnsi="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94">
    <w:nsid w:val="5D8B5ABB"/>
    <w:multiLevelType w:val="hybridMultilevel"/>
    <w:tmpl w:val="991671FE"/>
    <w:lvl w:ilvl="0" w:tplc="A5B0C4D6">
      <w:start w:val="1"/>
      <w:numFmt w:val="bullet"/>
      <w:lvlText w:val=""/>
      <w:lvlJc w:val="left"/>
      <w:pPr>
        <w:ind w:left="2160" w:hanging="360"/>
      </w:pPr>
      <w:rPr>
        <w:rFonts w:ascii="Wingdings" w:hAnsi="Wingdings" w:hint="default"/>
        <w:sz w:val="22"/>
        <w:szCs w:val="22"/>
      </w:rPr>
    </w:lvl>
    <w:lvl w:ilvl="1" w:tplc="04100003" w:tentative="1">
      <w:start w:val="1"/>
      <w:numFmt w:val="bullet"/>
      <w:lvlText w:val="o"/>
      <w:lvlJc w:val="left"/>
      <w:pPr>
        <w:ind w:left="2880" w:hanging="360"/>
      </w:pPr>
      <w:rPr>
        <w:rFonts w:ascii="Courier New" w:hAnsi="Courier New" w:hint="default"/>
      </w:rPr>
    </w:lvl>
    <w:lvl w:ilvl="2" w:tplc="04100005" w:tentative="1">
      <w:start w:val="1"/>
      <w:numFmt w:val="bullet"/>
      <w:lvlText w:val=""/>
      <w:lvlJc w:val="left"/>
      <w:pPr>
        <w:ind w:left="3600" w:hanging="360"/>
      </w:pPr>
      <w:rPr>
        <w:rFonts w:ascii="Wingdings" w:hAnsi="Wingdings" w:hint="default"/>
      </w:rPr>
    </w:lvl>
    <w:lvl w:ilvl="3" w:tplc="04100001" w:tentative="1">
      <w:start w:val="1"/>
      <w:numFmt w:val="bullet"/>
      <w:lvlText w:val=""/>
      <w:lvlJc w:val="left"/>
      <w:pPr>
        <w:ind w:left="4320" w:hanging="360"/>
      </w:pPr>
      <w:rPr>
        <w:rFonts w:ascii="Symbol" w:hAnsi="Symbol" w:hint="default"/>
      </w:rPr>
    </w:lvl>
    <w:lvl w:ilvl="4" w:tplc="04100003" w:tentative="1">
      <w:start w:val="1"/>
      <w:numFmt w:val="bullet"/>
      <w:lvlText w:val="o"/>
      <w:lvlJc w:val="left"/>
      <w:pPr>
        <w:ind w:left="5040" w:hanging="360"/>
      </w:pPr>
      <w:rPr>
        <w:rFonts w:ascii="Courier New" w:hAnsi="Courier New" w:hint="default"/>
      </w:rPr>
    </w:lvl>
    <w:lvl w:ilvl="5" w:tplc="04100005" w:tentative="1">
      <w:start w:val="1"/>
      <w:numFmt w:val="bullet"/>
      <w:lvlText w:val=""/>
      <w:lvlJc w:val="left"/>
      <w:pPr>
        <w:ind w:left="5760" w:hanging="360"/>
      </w:pPr>
      <w:rPr>
        <w:rFonts w:ascii="Wingdings" w:hAnsi="Wingdings" w:hint="default"/>
      </w:rPr>
    </w:lvl>
    <w:lvl w:ilvl="6" w:tplc="04100001" w:tentative="1">
      <w:start w:val="1"/>
      <w:numFmt w:val="bullet"/>
      <w:lvlText w:val=""/>
      <w:lvlJc w:val="left"/>
      <w:pPr>
        <w:ind w:left="6480" w:hanging="360"/>
      </w:pPr>
      <w:rPr>
        <w:rFonts w:ascii="Symbol" w:hAnsi="Symbol" w:hint="default"/>
      </w:rPr>
    </w:lvl>
    <w:lvl w:ilvl="7" w:tplc="04100003" w:tentative="1">
      <w:start w:val="1"/>
      <w:numFmt w:val="bullet"/>
      <w:lvlText w:val="o"/>
      <w:lvlJc w:val="left"/>
      <w:pPr>
        <w:ind w:left="7200" w:hanging="360"/>
      </w:pPr>
      <w:rPr>
        <w:rFonts w:ascii="Courier New" w:hAnsi="Courier New" w:hint="default"/>
      </w:rPr>
    </w:lvl>
    <w:lvl w:ilvl="8" w:tplc="04100005" w:tentative="1">
      <w:start w:val="1"/>
      <w:numFmt w:val="bullet"/>
      <w:lvlText w:val=""/>
      <w:lvlJc w:val="left"/>
      <w:pPr>
        <w:ind w:left="7920" w:hanging="360"/>
      </w:pPr>
      <w:rPr>
        <w:rFonts w:ascii="Wingdings" w:hAnsi="Wingdings" w:hint="default"/>
      </w:rPr>
    </w:lvl>
  </w:abstractNum>
  <w:abstractNum w:abstractNumId="95">
    <w:nsid w:val="5EBF1D2C"/>
    <w:multiLevelType w:val="hybridMultilevel"/>
    <w:tmpl w:val="8FDA454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6">
    <w:nsid w:val="5FFF0EC8"/>
    <w:multiLevelType w:val="hybridMultilevel"/>
    <w:tmpl w:val="751ACAC6"/>
    <w:lvl w:ilvl="0" w:tplc="000002BD">
      <w:start w:val="1"/>
      <w:numFmt w:val="bullet"/>
      <w:lvlText w:val="-"/>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nsid w:val="60444C7B"/>
    <w:multiLevelType w:val="hybridMultilevel"/>
    <w:tmpl w:val="ADD8BB2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8">
    <w:nsid w:val="607B2C04"/>
    <w:multiLevelType w:val="hybridMultilevel"/>
    <w:tmpl w:val="BC70B4C0"/>
    <w:lvl w:ilvl="0" w:tplc="13367DA2">
      <w:start w:val="1"/>
      <w:numFmt w:val="bullet"/>
      <w:lvlText w:val=""/>
      <w:lvlJc w:val="left"/>
      <w:pPr>
        <w:ind w:left="1068" w:hanging="360"/>
      </w:pPr>
      <w:rPr>
        <w:rFonts w:ascii="Symbol" w:hAnsi="Symbol" w:hint="default"/>
      </w:rPr>
    </w:lvl>
    <w:lvl w:ilvl="1" w:tplc="04100003">
      <w:start w:val="1"/>
      <w:numFmt w:val="bullet"/>
      <w:lvlText w:val="o"/>
      <w:lvlJc w:val="left"/>
      <w:pPr>
        <w:ind w:left="2508" w:hanging="360"/>
      </w:pPr>
      <w:rPr>
        <w:rFonts w:ascii="Courier New" w:hAnsi="Courier New" w:hint="default"/>
      </w:rPr>
    </w:lvl>
    <w:lvl w:ilvl="2" w:tplc="04100005" w:tentative="1">
      <w:start w:val="1"/>
      <w:numFmt w:val="bullet"/>
      <w:lvlText w:val=""/>
      <w:lvlJc w:val="left"/>
      <w:pPr>
        <w:ind w:left="3228" w:hanging="360"/>
      </w:pPr>
      <w:rPr>
        <w:rFonts w:ascii="Wingdings" w:hAnsi="Wingdings" w:hint="default"/>
      </w:rPr>
    </w:lvl>
    <w:lvl w:ilvl="3" w:tplc="04100001" w:tentative="1">
      <w:start w:val="1"/>
      <w:numFmt w:val="bullet"/>
      <w:lvlText w:val=""/>
      <w:lvlJc w:val="left"/>
      <w:pPr>
        <w:ind w:left="3948" w:hanging="360"/>
      </w:pPr>
      <w:rPr>
        <w:rFonts w:ascii="Symbol" w:hAnsi="Symbol" w:hint="default"/>
      </w:rPr>
    </w:lvl>
    <w:lvl w:ilvl="4" w:tplc="04100003" w:tentative="1">
      <w:start w:val="1"/>
      <w:numFmt w:val="bullet"/>
      <w:lvlText w:val="o"/>
      <w:lvlJc w:val="left"/>
      <w:pPr>
        <w:ind w:left="4668" w:hanging="360"/>
      </w:pPr>
      <w:rPr>
        <w:rFonts w:ascii="Courier New" w:hAnsi="Courier New" w:hint="default"/>
      </w:rPr>
    </w:lvl>
    <w:lvl w:ilvl="5" w:tplc="04100005" w:tentative="1">
      <w:start w:val="1"/>
      <w:numFmt w:val="bullet"/>
      <w:lvlText w:val=""/>
      <w:lvlJc w:val="left"/>
      <w:pPr>
        <w:ind w:left="5388" w:hanging="360"/>
      </w:pPr>
      <w:rPr>
        <w:rFonts w:ascii="Wingdings" w:hAnsi="Wingdings" w:hint="default"/>
      </w:rPr>
    </w:lvl>
    <w:lvl w:ilvl="6" w:tplc="04100001" w:tentative="1">
      <w:start w:val="1"/>
      <w:numFmt w:val="bullet"/>
      <w:lvlText w:val=""/>
      <w:lvlJc w:val="left"/>
      <w:pPr>
        <w:ind w:left="6108" w:hanging="360"/>
      </w:pPr>
      <w:rPr>
        <w:rFonts w:ascii="Symbol" w:hAnsi="Symbol" w:hint="default"/>
      </w:rPr>
    </w:lvl>
    <w:lvl w:ilvl="7" w:tplc="04100003" w:tentative="1">
      <w:start w:val="1"/>
      <w:numFmt w:val="bullet"/>
      <w:lvlText w:val="o"/>
      <w:lvlJc w:val="left"/>
      <w:pPr>
        <w:ind w:left="6828" w:hanging="360"/>
      </w:pPr>
      <w:rPr>
        <w:rFonts w:ascii="Courier New" w:hAnsi="Courier New" w:hint="default"/>
      </w:rPr>
    </w:lvl>
    <w:lvl w:ilvl="8" w:tplc="04100005" w:tentative="1">
      <w:start w:val="1"/>
      <w:numFmt w:val="bullet"/>
      <w:lvlText w:val=""/>
      <w:lvlJc w:val="left"/>
      <w:pPr>
        <w:ind w:left="7548" w:hanging="360"/>
      </w:pPr>
      <w:rPr>
        <w:rFonts w:ascii="Wingdings" w:hAnsi="Wingdings" w:hint="default"/>
      </w:rPr>
    </w:lvl>
  </w:abstractNum>
  <w:abstractNum w:abstractNumId="99">
    <w:nsid w:val="637848B7"/>
    <w:multiLevelType w:val="hybridMultilevel"/>
    <w:tmpl w:val="D37E09F6"/>
    <w:lvl w:ilvl="0" w:tplc="0410000F">
      <w:start w:val="1"/>
      <w:numFmt w:val="decimal"/>
      <w:lvlText w:val="%1."/>
      <w:lvlJc w:val="left"/>
      <w:pPr>
        <w:ind w:left="153" w:hanging="360"/>
      </w:pPr>
    </w:lvl>
    <w:lvl w:ilvl="1" w:tplc="04100019">
      <w:start w:val="1"/>
      <w:numFmt w:val="lowerLetter"/>
      <w:lvlText w:val="%2."/>
      <w:lvlJc w:val="left"/>
      <w:pPr>
        <w:ind w:left="873" w:hanging="360"/>
      </w:pPr>
    </w:lvl>
    <w:lvl w:ilvl="2" w:tplc="0410001B" w:tentative="1">
      <w:start w:val="1"/>
      <w:numFmt w:val="lowerRoman"/>
      <w:lvlText w:val="%3."/>
      <w:lvlJc w:val="right"/>
      <w:pPr>
        <w:ind w:left="1593" w:hanging="180"/>
      </w:pPr>
    </w:lvl>
    <w:lvl w:ilvl="3" w:tplc="0410000F" w:tentative="1">
      <w:start w:val="1"/>
      <w:numFmt w:val="decimal"/>
      <w:lvlText w:val="%4."/>
      <w:lvlJc w:val="left"/>
      <w:pPr>
        <w:ind w:left="2313" w:hanging="360"/>
      </w:pPr>
    </w:lvl>
    <w:lvl w:ilvl="4" w:tplc="04100019" w:tentative="1">
      <w:start w:val="1"/>
      <w:numFmt w:val="lowerLetter"/>
      <w:lvlText w:val="%5."/>
      <w:lvlJc w:val="left"/>
      <w:pPr>
        <w:ind w:left="3033" w:hanging="360"/>
      </w:pPr>
    </w:lvl>
    <w:lvl w:ilvl="5" w:tplc="0410001B" w:tentative="1">
      <w:start w:val="1"/>
      <w:numFmt w:val="lowerRoman"/>
      <w:lvlText w:val="%6."/>
      <w:lvlJc w:val="right"/>
      <w:pPr>
        <w:ind w:left="3753" w:hanging="180"/>
      </w:pPr>
    </w:lvl>
    <w:lvl w:ilvl="6" w:tplc="0410000F" w:tentative="1">
      <w:start w:val="1"/>
      <w:numFmt w:val="decimal"/>
      <w:lvlText w:val="%7."/>
      <w:lvlJc w:val="left"/>
      <w:pPr>
        <w:ind w:left="4473" w:hanging="360"/>
      </w:pPr>
    </w:lvl>
    <w:lvl w:ilvl="7" w:tplc="04100019" w:tentative="1">
      <w:start w:val="1"/>
      <w:numFmt w:val="lowerLetter"/>
      <w:lvlText w:val="%8."/>
      <w:lvlJc w:val="left"/>
      <w:pPr>
        <w:ind w:left="5193" w:hanging="360"/>
      </w:pPr>
    </w:lvl>
    <w:lvl w:ilvl="8" w:tplc="0410001B" w:tentative="1">
      <w:start w:val="1"/>
      <w:numFmt w:val="lowerRoman"/>
      <w:lvlText w:val="%9."/>
      <w:lvlJc w:val="right"/>
      <w:pPr>
        <w:ind w:left="5913" w:hanging="180"/>
      </w:pPr>
    </w:lvl>
  </w:abstractNum>
  <w:abstractNum w:abstractNumId="100">
    <w:nsid w:val="66133721"/>
    <w:multiLevelType w:val="hybridMultilevel"/>
    <w:tmpl w:val="EC7A9C5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1">
    <w:nsid w:val="67A0201D"/>
    <w:multiLevelType w:val="hybridMultilevel"/>
    <w:tmpl w:val="5C082FF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2">
    <w:nsid w:val="68695777"/>
    <w:multiLevelType w:val="hybridMultilevel"/>
    <w:tmpl w:val="547C92D6"/>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3">
    <w:nsid w:val="6A6D2343"/>
    <w:multiLevelType w:val="hybridMultilevel"/>
    <w:tmpl w:val="B4E2B1E0"/>
    <w:lvl w:ilvl="0" w:tplc="0410000F">
      <w:start w:val="1"/>
      <w:numFmt w:val="decimal"/>
      <w:lvlText w:val="%1."/>
      <w:lvlJc w:val="left"/>
      <w:pPr>
        <w:ind w:left="771" w:hanging="360"/>
      </w:pPr>
    </w:lvl>
    <w:lvl w:ilvl="1" w:tplc="04100019">
      <w:start w:val="1"/>
      <w:numFmt w:val="lowerLetter"/>
      <w:lvlText w:val="%2."/>
      <w:lvlJc w:val="left"/>
      <w:pPr>
        <w:ind w:left="1491" w:hanging="360"/>
      </w:pPr>
    </w:lvl>
    <w:lvl w:ilvl="2" w:tplc="0410001B" w:tentative="1">
      <w:start w:val="1"/>
      <w:numFmt w:val="lowerRoman"/>
      <w:lvlText w:val="%3."/>
      <w:lvlJc w:val="right"/>
      <w:pPr>
        <w:ind w:left="2211" w:hanging="180"/>
      </w:pPr>
    </w:lvl>
    <w:lvl w:ilvl="3" w:tplc="0410000F" w:tentative="1">
      <w:start w:val="1"/>
      <w:numFmt w:val="decimal"/>
      <w:lvlText w:val="%4."/>
      <w:lvlJc w:val="left"/>
      <w:pPr>
        <w:ind w:left="2931" w:hanging="360"/>
      </w:pPr>
    </w:lvl>
    <w:lvl w:ilvl="4" w:tplc="04100019" w:tentative="1">
      <w:start w:val="1"/>
      <w:numFmt w:val="lowerLetter"/>
      <w:lvlText w:val="%5."/>
      <w:lvlJc w:val="left"/>
      <w:pPr>
        <w:ind w:left="3651" w:hanging="360"/>
      </w:pPr>
    </w:lvl>
    <w:lvl w:ilvl="5" w:tplc="0410001B" w:tentative="1">
      <w:start w:val="1"/>
      <w:numFmt w:val="lowerRoman"/>
      <w:lvlText w:val="%6."/>
      <w:lvlJc w:val="right"/>
      <w:pPr>
        <w:ind w:left="4371" w:hanging="180"/>
      </w:pPr>
    </w:lvl>
    <w:lvl w:ilvl="6" w:tplc="0410000F" w:tentative="1">
      <w:start w:val="1"/>
      <w:numFmt w:val="decimal"/>
      <w:lvlText w:val="%7."/>
      <w:lvlJc w:val="left"/>
      <w:pPr>
        <w:ind w:left="5091" w:hanging="360"/>
      </w:pPr>
    </w:lvl>
    <w:lvl w:ilvl="7" w:tplc="04100019" w:tentative="1">
      <w:start w:val="1"/>
      <w:numFmt w:val="lowerLetter"/>
      <w:lvlText w:val="%8."/>
      <w:lvlJc w:val="left"/>
      <w:pPr>
        <w:ind w:left="5811" w:hanging="360"/>
      </w:pPr>
    </w:lvl>
    <w:lvl w:ilvl="8" w:tplc="0410001B" w:tentative="1">
      <w:start w:val="1"/>
      <w:numFmt w:val="lowerRoman"/>
      <w:lvlText w:val="%9."/>
      <w:lvlJc w:val="right"/>
      <w:pPr>
        <w:ind w:left="6531" w:hanging="180"/>
      </w:pPr>
    </w:lvl>
  </w:abstractNum>
  <w:abstractNum w:abstractNumId="104">
    <w:nsid w:val="6B51457E"/>
    <w:multiLevelType w:val="hybridMultilevel"/>
    <w:tmpl w:val="6CBC084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05">
    <w:nsid w:val="6B8E077F"/>
    <w:multiLevelType w:val="hybridMultilevel"/>
    <w:tmpl w:val="91A876E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6">
    <w:nsid w:val="6BD23329"/>
    <w:multiLevelType w:val="hybridMultilevel"/>
    <w:tmpl w:val="B3F074C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7">
    <w:nsid w:val="6C1C3300"/>
    <w:multiLevelType w:val="multilevel"/>
    <w:tmpl w:val="F9FE253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108">
    <w:nsid w:val="6CD02959"/>
    <w:multiLevelType w:val="hybridMultilevel"/>
    <w:tmpl w:val="FC2CF2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9">
    <w:nsid w:val="6E8A04DD"/>
    <w:multiLevelType w:val="hybridMultilevel"/>
    <w:tmpl w:val="6CF0AE2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0">
    <w:nsid w:val="6F6A0D5C"/>
    <w:multiLevelType w:val="hybridMultilevel"/>
    <w:tmpl w:val="64D8467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1">
    <w:nsid w:val="6FC34BC4"/>
    <w:multiLevelType w:val="hybridMultilevel"/>
    <w:tmpl w:val="EBBAF09E"/>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2">
    <w:nsid w:val="70134A35"/>
    <w:multiLevelType w:val="hybridMultilevel"/>
    <w:tmpl w:val="4F0281FE"/>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3">
    <w:nsid w:val="70D277CD"/>
    <w:multiLevelType w:val="hybridMultilevel"/>
    <w:tmpl w:val="6C0C626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4">
    <w:nsid w:val="71372658"/>
    <w:multiLevelType w:val="hybridMultilevel"/>
    <w:tmpl w:val="0054DFEA"/>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5">
    <w:nsid w:val="76864506"/>
    <w:multiLevelType w:val="hybridMultilevel"/>
    <w:tmpl w:val="80D6106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6">
    <w:nsid w:val="76CD60E0"/>
    <w:multiLevelType w:val="hybridMultilevel"/>
    <w:tmpl w:val="3F4CC926"/>
    <w:lvl w:ilvl="0" w:tplc="70AAAF9A">
      <w:start w:val="1"/>
      <w:numFmt w:val="decimal"/>
      <w:lvlText w:val="%1."/>
      <w:lvlJc w:val="left"/>
      <w:pPr>
        <w:ind w:left="785" w:hanging="360"/>
      </w:pPr>
      <w:rPr>
        <w:sz w:val="20"/>
        <w:szCs w:val="2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7">
    <w:nsid w:val="78787638"/>
    <w:multiLevelType w:val="hybridMultilevel"/>
    <w:tmpl w:val="2DCC59E8"/>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8">
    <w:nsid w:val="7A3A55B7"/>
    <w:multiLevelType w:val="hybridMultilevel"/>
    <w:tmpl w:val="32EAA4A6"/>
    <w:lvl w:ilvl="0" w:tplc="000002BD">
      <w:start w:val="1"/>
      <w:numFmt w:val="bullet"/>
      <w:lvlText w:val="-"/>
      <w:lvlJc w:val="left"/>
      <w:pPr>
        <w:ind w:left="1440" w:hanging="360"/>
      </w:p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9">
    <w:nsid w:val="7A9C7AC5"/>
    <w:multiLevelType w:val="multilevel"/>
    <w:tmpl w:val="ED1AA93C"/>
    <w:lvl w:ilvl="0">
      <w:start w:val="1"/>
      <w:numFmt w:val="decimal"/>
      <w:pStyle w:val="Titolo1"/>
      <w:lvlText w:val="%1"/>
      <w:lvlJc w:val="left"/>
      <w:pPr>
        <w:tabs>
          <w:tab w:val="num" w:pos="720"/>
        </w:tabs>
        <w:ind w:left="432" w:hanging="432"/>
      </w:pPr>
      <w:rPr>
        <w:rFonts w:ascii="Times New Roman" w:hAnsi="Times New Roman" w:cs="Times New Roman" w:hint="default"/>
        <w:b/>
        <w:bCs/>
        <w:i w:val="0"/>
        <w:iCs w:val="0"/>
        <w:caps w:val="0"/>
        <w:strike w:val="0"/>
        <w:dstrike w:val="0"/>
        <w:vanish w:val="0"/>
        <w:color w:val="auto"/>
        <w:sz w:val="32"/>
        <w:szCs w:val="28"/>
        <w:u w:val="none"/>
        <w:vertAlign w:val="baseline"/>
      </w:rPr>
    </w:lvl>
    <w:lvl w:ilvl="1">
      <w:start w:val="1"/>
      <w:numFmt w:val="decimal"/>
      <w:pStyle w:val="Titolo2"/>
      <w:lvlText w:val="%1.%2"/>
      <w:lvlJc w:val="left"/>
      <w:pPr>
        <w:tabs>
          <w:tab w:val="num" w:pos="1080"/>
        </w:tabs>
        <w:ind w:left="1080" w:hanging="1080"/>
      </w:pPr>
      <w:rPr>
        <w:rFonts w:ascii="Times New Roman" w:hAnsi="Times New Roman" w:cs="Times New Roman" w:hint="default"/>
        <w:b/>
        <w:bCs w:val="0"/>
        <w:i w:val="0"/>
        <w:iCs w:val="0"/>
        <w:caps w:val="0"/>
        <w:color w:val="000000"/>
        <w:sz w:val="24"/>
        <w:szCs w:val="24"/>
        <w:u w:val="none"/>
      </w:rPr>
    </w:lvl>
    <w:lvl w:ilvl="2">
      <w:start w:val="1"/>
      <w:numFmt w:val="decimal"/>
      <w:pStyle w:val="Titolo3"/>
      <w:lvlText w:val="%1.%2.%3"/>
      <w:lvlJc w:val="left"/>
      <w:pPr>
        <w:tabs>
          <w:tab w:val="num" w:pos="1080"/>
        </w:tabs>
        <w:ind w:left="1080" w:hanging="1080"/>
      </w:pPr>
      <w:rPr>
        <w:rFonts w:ascii="Times New Roman" w:hAnsi="Times New Roman" w:cs="Times New Roman" w:hint="default"/>
        <w:b/>
        <w:i w:val="0"/>
        <w:color w:val="000000"/>
        <w:sz w:val="24"/>
        <w:szCs w:val="24"/>
      </w:rPr>
    </w:lvl>
    <w:lvl w:ilvl="3">
      <w:start w:val="1"/>
      <w:numFmt w:val="decimal"/>
      <w:pStyle w:val="Titolo4"/>
      <w:lvlText w:val="%1.%2.%3.%4"/>
      <w:lvlJc w:val="left"/>
      <w:pPr>
        <w:tabs>
          <w:tab w:val="num" w:pos="1440"/>
        </w:tabs>
        <w:ind w:left="864" w:hanging="864"/>
      </w:pPr>
      <w:rPr>
        <w:rFonts w:hint="default"/>
        <w:b/>
        <w:color w:val="auto"/>
      </w:rPr>
    </w:lvl>
    <w:lvl w:ilvl="4">
      <w:start w:val="1"/>
      <w:numFmt w:val="decimal"/>
      <w:pStyle w:val="Titolo5"/>
      <w:lvlText w:val="%1.%2.%3.%4.%5"/>
      <w:lvlJc w:val="left"/>
      <w:pPr>
        <w:tabs>
          <w:tab w:val="num" w:pos="1800"/>
        </w:tabs>
        <w:ind w:left="1008" w:hanging="1008"/>
      </w:pPr>
      <w:rPr>
        <w:rFonts w:hint="default"/>
      </w:rPr>
    </w:lvl>
    <w:lvl w:ilvl="5">
      <w:start w:val="1"/>
      <w:numFmt w:val="decimal"/>
      <w:pStyle w:val="Titolo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ascii="Times New Roman" w:hAnsi="Times New Roman" w:hint="default"/>
        <w:b/>
        <w:i w:val="0"/>
        <w:sz w:val="24"/>
      </w:rPr>
    </w:lvl>
  </w:abstractNum>
  <w:abstractNum w:abstractNumId="120">
    <w:nsid w:val="7B901C29"/>
    <w:multiLevelType w:val="hybridMultilevel"/>
    <w:tmpl w:val="F99EA3EC"/>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1">
    <w:nsid w:val="7D4A6425"/>
    <w:multiLevelType w:val="hybridMultilevel"/>
    <w:tmpl w:val="421EEA5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2">
    <w:nsid w:val="7DCA0119"/>
    <w:multiLevelType w:val="hybridMultilevel"/>
    <w:tmpl w:val="B7B04CBC"/>
    <w:lvl w:ilvl="0" w:tplc="000002BD">
      <w:start w:val="1"/>
      <w:numFmt w:val="bullet"/>
      <w:lvlText w:val="-"/>
      <w:lvlJc w:val="left"/>
      <w:pPr>
        <w:ind w:left="1080" w:hanging="360"/>
      </w:pPr>
    </w:lvl>
    <w:lvl w:ilvl="1" w:tplc="04100003" w:tentative="1">
      <w:start w:val="1"/>
      <w:numFmt w:val="bullet"/>
      <w:lvlText w:val="o"/>
      <w:lvlJc w:val="left"/>
      <w:pPr>
        <w:ind w:left="1800" w:hanging="360"/>
      </w:pPr>
      <w:rPr>
        <w:rFonts w:ascii="Courier New" w:hAnsi="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23">
    <w:nsid w:val="7DEE6C22"/>
    <w:multiLevelType w:val="hybridMultilevel"/>
    <w:tmpl w:val="6240A446"/>
    <w:lvl w:ilvl="0" w:tplc="04100019">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4">
    <w:nsid w:val="7EDE4EB6"/>
    <w:multiLevelType w:val="hybridMultilevel"/>
    <w:tmpl w:val="E550F11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5">
    <w:nsid w:val="7F4A7FBD"/>
    <w:multiLevelType w:val="hybridMultilevel"/>
    <w:tmpl w:val="AE1027AE"/>
    <w:lvl w:ilvl="0" w:tplc="000002BD">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68"/>
  </w:num>
  <w:num w:numId="2">
    <w:abstractNumId w:val="14"/>
  </w:num>
  <w:num w:numId="3">
    <w:abstractNumId w:val="107"/>
  </w:num>
  <w:num w:numId="4">
    <w:abstractNumId w:val="119"/>
  </w:num>
  <w:num w:numId="5">
    <w:abstractNumId w:val="119"/>
    <w:lvlOverride w:ilvl="0">
      <w:lvl w:ilvl="0">
        <w:start w:val="1"/>
        <w:numFmt w:val="decimal"/>
        <w:pStyle w:val="Titolo1"/>
        <w:lvlText w:val="%1"/>
        <w:lvlJc w:val="left"/>
        <w:pPr>
          <w:tabs>
            <w:tab w:val="num" w:pos="720"/>
          </w:tabs>
          <w:ind w:left="432" w:hanging="432"/>
        </w:pPr>
        <w:rPr>
          <w:rFonts w:ascii="Times New Roman" w:hAnsi="Times New Roman" w:cs="Times New Roman" w:hint="default"/>
          <w:b/>
          <w:bCs/>
          <w:i w:val="0"/>
          <w:iCs w:val="0"/>
          <w:caps w:val="0"/>
          <w:strike w:val="0"/>
          <w:dstrike w:val="0"/>
          <w:vanish w:val="0"/>
          <w:color w:val="auto"/>
          <w:sz w:val="28"/>
          <w:szCs w:val="28"/>
          <w:vertAlign w:val="baseline"/>
        </w:rPr>
      </w:lvl>
    </w:lvlOverride>
    <w:lvlOverride w:ilvl="1">
      <w:lvl w:ilvl="1">
        <w:start w:val="1"/>
        <w:numFmt w:val="decimal"/>
        <w:pStyle w:val="Titolo2"/>
        <w:lvlText w:val="%1.%2"/>
        <w:lvlJc w:val="left"/>
        <w:pPr>
          <w:tabs>
            <w:tab w:val="num" w:pos="1080"/>
          </w:tabs>
          <w:ind w:left="1080" w:hanging="1080"/>
        </w:pPr>
        <w:rPr>
          <w:b/>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Titolo3"/>
        <w:lvlText w:val="%1.%2.%3"/>
        <w:lvlJc w:val="left"/>
        <w:pPr>
          <w:tabs>
            <w:tab w:val="num" w:pos="1080"/>
          </w:tabs>
          <w:ind w:left="1080" w:hanging="1080"/>
        </w:pPr>
        <w:rPr>
          <w:rFonts w:ascii="Times New Roman" w:hAnsi="Times New Roman" w:cs="Times New Roman" w:hint="default"/>
          <w:b/>
          <w:i w:val="0"/>
          <w:color w:val="000000"/>
          <w:sz w:val="24"/>
          <w:szCs w:val="24"/>
        </w:rPr>
      </w:lvl>
    </w:lvlOverride>
    <w:lvlOverride w:ilvl="3">
      <w:lvl w:ilvl="3">
        <w:start w:val="1"/>
        <w:numFmt w:val="decimal"/>
        <w:pStyle w:val="Titolo4"/>
        <w:lvlText w:val="%1.%2.%3.%4"/>
        <w:lvlJc w:val="left"/>
        <w:pPr>
          <w:tabs>
            <w:tab w:val="num" w:pos="1440"/>
          </w:tabs>
          <w:ind w:left="864" w:hanging="864"/>
        </w:pPr>
        <w:rPr>
          <w:rFonts w:hint="default"/>
        </w:rPr>
      </w:lvl>
    </w:lvlOverride>
    <w:lvlOverride w:ilvl="4">
      <w:lvl w:ilvl="4">
        <w:start w:val="1"/>
        <w:numFmt w:val="decimal"/>
        <w:pStyle w:val="Titolo5"/>
        <w:lvlText w:val="%1.%2.%3.%4.%5"/>
        <w:lvlJc w:val="left"/>
        <w:pPr>
          <w:tabs>
            <w:tab w:val="num" w:pos="1800"/>
          </w:tabs>
          <w:ind w:left="1008" w:hanging="1008"/>
        </w:pPr>
        <w:rPr>
          <w:rFonts w:hint="default"/>
        </w:rPr>
      </w:lvl>
    </w:lvlOverride>
    <w:lvlOverride w:ilvl="5">
      <w:lvl w:ilvl="5">
        <w:start w:val="1"/>
        <w:numFmt w:val="decimal"/>
        <w:pStyle w:val="Titolo6"/>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ascii="Times New Roman" w:hAnsi="Times New Roman" w:hint="default"/>
          <w:b/>
          <w:i w:val="0"/>
          <w:sz w:val="24"/>
        </w:rPr>
      </w:lvl>
    </w:lvlOverride>
  </w:num>
  <w:num w:numId="6">
    <w:abstractNumId w:val="36"/>
  </w:num>
  <w:num w:numId="7">
    <w:abstractNumId w:val="46"/>
  </w:num>
  <w:num w:numId="8">
    <w:abstractNumId w:val="89"/>
  </w:num>
  <w:num w:numId="9">
    <w:abstractNumId w:val="91"/>
  </w:num>
  <w:num w:numId="10">
    <w:abstractNumId w:val="0"/>
  </w:num>
  <w:num w:numId="11">
    <w:abstractNumId w:val="1"/>
  </w:num>
  <w:num w:numId="12">
    <w:abstractNumId w:val="2"/>
  </w:num>
  <w:num w:numId="13">
    <w:abstractNumId w:val="58"/>
  </w:num>
  <w:num w:numId="14">
    <w:abstractNumId w:val="79"/>
  </w:num>
  <w:num w:numId="15">
    <w:abstractNumId w:val="100"/>
  </w:num>
  <w:num w:numId="16">
    <w:abstractNumId w:val="105"/>
  </w:num>
  <w:num w:numId="17">
    <w:abstractNumId w:val="61"/>
  </w:num>
  <w:num w:numId="18">
    <w:abstractNumId w:val="72"/>
  </w:num>
  <w:num w:numId="19">
    <w:abstractNumId w:val="8"/>
  </w:num>
  <w:num w:numId="20">
    <w:abstractNumId w:val="32"/>
  </w:num>
  <w:num w:numId="21">
    <w:abstractNumId w:val="62"/>
  </w:num>
  <w:num w:numId="22">
    <w:abstractNumId w:val="94"/>
  </w:num>
  <w:num w:numId="23">
    <w:abstractNumId w:val="52"/>
  </w:num>
  <w:num w:numId="24">
    <w:abstractNumId w:val="125"/>
  </w:num>
  <w:num w:numId="25">
    <w:abstractNumId w:val="75"/>
  </w:num>
  <w:num w:numId="26">
    <w:abstractNumId w:val="88"/>
  </w:num>
  <w:num w:numId="27">
    <w:abstractNumId w:val="28"/>
  </w:num>
  <w:num w:numId="28">
    <w:abstractNumId w:val="26"/>
  </w:num>
  <w:num w:numId="29">
    <w:abstractNumId w:val="121"/>
  </w:num>
  <w:num w:numId="30">
    <w:abstractNumId w:val="43"/>
  </w:num>
  <w:num w:numId="31">
    <w:abstractNumId w:val="77"/>
  </w:num>
  <w:num w:numId="32">
    <w:abstractNumId w:val="103"/>
  </w:num>
  <w:num w:numId="33">
    <w:abstractNumId w:val="23"/>
  </w:num>
  <w:num w:numId="34">
    <w:abstractNumId w:val="6"/>
  </w:num>
  <w:num w:numId="35">
    <w:abstractNumId w:val="110"/>
  </w:num>
  <w:num w:numId="36">
    <w:abstractNumId w:val="44"/>
  </w:num>
  <w:num w:numId="37">
    <w:abstractNumId w:val="4"/>
  </w:num>
  <w:num w:numId="38">
    <w:abstractNumId w:val="65"/>
  </w:num>
  <w:num w:numId="39">
    <w:abstractNumId w:val="59"/>
  </w:num>
  <w:num w:numId="40">
    <w:abstractNumId w:val="78"/>
  </w:num>
  <w:num w:numId="41">
    <w:abstractNumId w:val="54"/>
  </w:num>
  <w:num w:numId="42">
    <w:abstractNumId w:val="25"/>
  </w:num>
  <w:num w:numId="43">
    <w:abstractNumId w:val="13"/>
  </w:num>
  <w:num w:numId="44">
    <w:abstractNumId w:val="31"/>
  </w:num>
  <w:num w:numId="45">
    <w:abstractNumId w:val="63"/>
  </w:num>
  <w:num w:numId="46">
    <w:abstractNumId w:val="48"/>
  </w:num>
  <w:num w:numId="47">
    <w:abstractNumId w:val="33"/>
  </w:num>
  <w:num w:numId="48">
    <w:abstractNumId w:val="120"/>
  </w:num>
  <w:num w:numId="49">
    <w:abstractNumId w:val="73"/>
  </w:num>
  <w:num w:numId="50">
    <w:abstractNumId w:val="102"/>
  </w:num>
  <w:num w:numId="51">
    <w:abstractNumId w:val="19"/>
  </w:num>
  <w:num w:numId="52">
    <w:abstractNumId w:val="109"/>
  </w:num>
  <w:num w:numId="53">
    <w:abstractNumId w:val="92"/>
  </w:num>
  <w:num w:numId="54">
    <w:abstractNumId w:val="95"/>
  </w:num>
  <w:num w:numId="55">
    <w:abstractNumId w:val="55"/>
  </w:num>
  <w:num w:numId="56">
    <w:abstractNumId w:val="38"/>
  </w:num>
  <w:num w:numId="57">
    <w:abstractNumId w:val="124"/>
  </w:num>
  <w:num w:numId="58">
    <w:abstractNumId w:val="41"/>
  </w:num>
  <w:num w:numId="59">
    <w:abstractNumId w:val="56"/>
  </w:num>
  <w:num w:numId="60">
    <w:abstractNumId w:val="112"/>
  </w:num>
  <w:num w:numId="61">
    <w:abstractNumId w:val="7"/>
  </w:num>
  <w:num w:numId="62">
    <w:abstractNumId w:val="34"/>
  </w:num>
  <w:num w:numId="63">
    <w:abstractNumId w:val="50"/>
  </w:num>
  <w:num w:numId="64">
    <w:abstractNumId w:val="39"/>
  </w:num>
  <w:num w:numId="65">
    <w:abstractNumId w:val="3"/>
  </w:num>
  <w:num w:numId="66">
    <w:abstractNumId w:val="111"/>
  </w:num>
  <w:num w:numId="67">
    <w:abstractNumId w:val="5"/>
  </w:num>
  <w:num w:numId="68">
    <w:abstractNumId w:val="99"/>
  </w:num>
  <w:num w:numId="69">
    <w:abstractNumId w:val="122"/>
  </w:num>
  <w:num w:numId="70">
    <w:abstractNumId w:val="67"/>
  </w:num>
  <w:num w:numId="71">
    <w:abstractNumId w:val="74"/>
  </w:num>
  <w:num w:numId="72">
    <w:abstractNumId w:val="93"/>
  </w:num>
  <w:num w:numId="73">
    <w:abstractNumId w:val="81"/>
  </w:num>
  <w:num w:numId="74">
    <w:abstractNumId w:val="106"/>
  </w:num>
  <w:num w:numId="75">
    <w:abstractNumId w:val="64"/>
  </w:num>
  <w:num w:numId="76">
    <w:abstractNumId w:val="101"/>
  </w:num>
  <w:num w:numId="77">
    <w:abstractNumId w:val="114"/>
  </w:num>
  <w:num w:numId="78">
    <w:abstractNumId w:val="17"/>
  </w:num>
  <w:num w:numId="79">
    <w:abstractNumId w:val="76"/>
  </w:num>
  <w:num w:numId="80">
    <w:abstractNumId w:val="27"/>
  </w:num>
  <w:num w:numId="81">
    <w:abstractNumId w:val="83"/>
  </w:num>
  <w:num w:numId="82">
    <w:abstractNumId w:val="49"/>
  </w:num>
  <w:num w:numId="83">
    <w:abstractNumId w:val="71"/>
  </w:num>
  <w:num w:numId="84">
    <w:abstractNumId w:val="90"/>
  </w:num>
  <w:num w:numId="85">
    <w:abstractNumId w:val="82"/>
  </w:num>
  <w:num w:numId="86">
    <w:abstractNumId w:val="18"/>
  </w:num>
  <w:num w:numId="87">
    <w:abstractNumId w:val="24"/>
  </w:num>
  <w:num w:numId="88">
    <w:abstractNumId w:val="97"/>
  </w:num>
  <w:num w:numId="89">
    <w:abstractNumId w:val="116"/>
  </w:num>
  <w:num w:numId="90">
    <w:abstractNumId w:val="117"/>
  </w:num>
  <w:num w:numId="91">
    <w:abstractNumId w:val="66"/>
  </w:num>
  <w:num w:numId="92">
    <w:abstractNumId w:val="47"/>
  </w:num>
  <w:num w:numId="93">
    <w:abstractNumId w:val="16"/>
  </w:num>
  <w:num w:numId="94">
    <w:abstractNumId w:val="53"/>
  </w:num>
  <w:num w:numId="95">
    <w:abstractNumId w:val="37"/>
  </w:num>
  <w:num w:numId="96">
    <w:abstractNumId w:val="40"/>
  </w:num>
  <w:num w:numId="97">
    <w:abstractNumId w:val="84"/>
  </w:num>
  <w:num w:numId="98">
    <w:abstractNumId w:val="12"/>
  </w:num>
  <w:num w:numId="99">
    <w:abstractNumId w:val="113"/>
  </w:num>
  <w:num w:numId="100">
    <w:abstractNumId w:val="69"/>
  </w:num>
  <w:num w:numId="101">
    <w:abstractNumId w:val="86"/>
  </w:num>
  <w:num w:numId="102">
    <w:abstractNumId w:val="11"/>
  </w:num>
  <w:num w:numId="103">
    <w:abstractNumId w:val="35"/>
  </w:num>
  <w:num w:numId="104">
    <w:abstractNumId w:val="15"/>
  </w:num>
  <w:num w:numId="105">
    <w:abstractNumId w:val="30"/>
  </w:num>
  <w:num w:numId="106">
    <w:abstractNumId w:val="80"/>
  </w:num>
  <w:num w:numId="107">
    <w:abstractNumId w:val="70"/>
  </w:num>
  <w:num w:numId="108">
    <w:abstractNumId w:val="29"/>
  </w:num>
  <w:num w:numId="109">
    <w:abstractNumId w:val="87"/>
  </w:num>
  <w:num w:numId="110">
    <w:abstractNumId w:val="104"/>
  </w:num>
  <w:num w:numId="111">
    <w:abstractNumId w:val="20"/>
  </w:num>
  <w:num w:numId="112">
    <w:abstractNumId w:val="9"/>
  </w:num>
  <w:num w:numId="113">
    <w:abstractNumId w:val="60"/>
  </w:num>
  <w:num w:numId="114">
    <w:abstractNumId w:val="96"/>
  </w:num>
  <w:num w:numId="115">
    <w:abstractNumId w:val="118"/>
  </w:num>
  <w:num w:numId="116">
    <w:abstractNumId w:val="51"/>
  </w:num>
  <w:num w:numId="117">
    <w:abstractNumId w:val="45"/>
  </w:num>
  <w:num w:numId="118">
    <w:abstractNumId w:val="10"/>
  </w:num>
  <w:num w:numId="119">
    <w:abstractNumId w:val="98"/>
  </w:num>
  <w:num w:numId="120">
    <w:abstractNumId w:val="57"/>
  </w:num>
  <w:num w:numId="121">
    <w:abstractNumId w:val="123"/>
  </w:num>
  <w:num w:numId="122">
    <w:abstractNumId w:val="22"/>
  </w:num>
  <w:num w:numId="123">
    <w:abstractNumId w:val="42"/>
  </w:num>
  <w:num w:numId="124">
    <w:abstractNumId w:val="21"/>
  </w:num>
  <w:num w:numId="125">
    <w:abstractNumId w:val="115"/>
  </w:num>
  <w:num w:numId="126">
    <w:abstractNumId w:val="85"/>
  </w:num>
  <w:num w:numId="127">
    <w:abstractNumId w:val="108"/>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removePersonalInformation/>
  <w:removeDateAndTime/>
  <w:displayBackgroundShape/>
  <w:mirrorMargins/>
  <w:hideSpellingErrors/>
  <w:hideGrammaticalErrors/>
  <w:stylePaneSortMethod w:val="0000"/>
  <w:revisionView w:markup="0"/>
  <w:defaultTabStop w:val="708"/>
  <w:hyphenationZone w:val="283"/>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7496"/>
    <w:rsid w:val="00000C52"/>
    <w:rsid w:val="00000DF1"/>
    <w:rsid w:val="000021AA"/>
    <w:rsid w:val="00002624"/>
    <w:rsid w:val="0000574F"/>
    <w:rsid w:val="000078FB"/>
    <w:rsid w:val="0001663C"/>
    <w:rsid w:val="00021330"/>
    <w:rsid w:val="00021C31"/>
    <w:rsid w:val="000222BF"/>
    <w:rsid w:val="00022308"/>
    <w:rsid w:val="00022775"/>
    <w:rsid w:val="000231EC"/>
    <w:rsid w:val="000243C2"/>
    <w:rsid w:val="00025E70"/>
    <w:rsid w:val="00030E55"/>
    <w:rsid w:val="00032063"/>
    <w:rsid w:val="0003356E"/>
    <w:rsid w:val="000336AD"/>
    <w:rsid w:val="000342B5"/>
    <w:rsid w:val="00035A6A"/>
    <w:rsid w:val="00035E64"/>
    <w:rsid w:val="00036698"/>
    <w:rsid w:val="00040354"/>
    <w:rsid w:val="000408BC"/>
    <w:rsid w:val="00042184"/>
    <w:rsid w:val="00044FC9"/>
    <w:rsid w:val="00052CC3"/>
    <w:rsid w:val="00056F63"/>
    <w:rsid w:val="00056F6E"/>
    <w:rsid w:val="00060D75"/>
    <w:rsid w:val="00061104"/>
    <w:rsid w:val="000616EE"/>
    <w:rsid w:val="00063045"/>
    <w:rsid w:val="0006359E"/>
    <w:rsid w:val="0006392C"/>
    <w:rsid w:val="00063A6B"/>
    <w:rsid w:val="000644BE"/>
    <w:rsid w:val="000650AB"/>
    <w:rsid w:val="0007012D"/>
    <w:rsid w:val="00073F21"/>
    <w:rsid w:val="000742F3"/>
    <w:rsid w:val="00074411"/>
    <w:rsid w:val="000758DC"/>
    <w:rsid w:val="00076F7A"/>
    <w:rsid w:val="00083DC0"/>
    <w:rsid w:val="00084B59"/>
    <w:rsid w:val="00086042"/>
    <w:rsid w:val="00087C10"/>
    <w:rsid w:val="00091382"/>
    <w:rsid w:val="00094268"/>
    <w:rsid w:val="000951B0"/>
    <w:rsid w:val="0009572C"/>
    <w:rsid w:val="00095FAD"/>
    <w:rsid w:val="00096C5A"/>
    <w:rsid w:val="000A0026"/>
    <w:rsid w:val="000A08B8"/>
    <w:rsid w:val="000A27A5"/>
    <w:rsid w:val="000A3CA6"/>
    <w:rsid w:val="000A616F"/>
    <w:rsid w:val="000A6220"/>
    <w:rsid w:val="000A7496"/>
    <w:rsid w:val="000B043D"/>
    <w:rsid w:val="000B1042"/>
    <w:rsid w:val="000B3F58"/>
    <w:rsid w:val="000B65DB"/>
    <w:rsid w:val="000B660B"/>
    <w:rsid w:val="000B7180"/>
    <w:rsid w:val="000B749F"/>
    <w:rsid w:val="000B7890"/>
    <w:rsid w:val="000C32EF"/>
    <w:rsid w:val="000C48AD"/>
    <w:rsid w:val="000C61EC"/>
    <w:rsid w:val="000D0EDB"/>
    <w:rsid w:val="000D1A8B"/>
    <w:rsid w:val="000D2F50"/>
    <w:rsid w:val="000D48C7"/>
    <w:rsid w:val="000D49C0"/>
    <w:rsid w:val="000D7DE7"/>
    <w:rsid w:val="000D7FC6"/>
    <w:rsid w:val="000E0FFE"/>
    <w:rsid w:val="000E108F"/>
    <w:rsid w:val="000E54AA"/>
    <w:rsid w:val="000E56CE"/>
    <w:rsid w:val="000E6D34"/>
    <w:rsid w:val="000F1984"/>
    <w:rsid w:val="000F1DC9"/>
    <w:rsid w:val="000F3349"/>
    <w:rsid w:val="000F3761"/>
    <w:rsid w:val="000F4D14"/>
    <w:rsid w:val="000F5D49"/>
    <w:rsid w:val="0010331B"/>
    <w:rsid w:val="00103A1D"/>
    <w:rsid w:val="00105C3B"/>
    <w:rsid w:val="00105DE7"/>
    <w:rsid w:val="00110A26"/>
    <w:rsid w:val="00110E08"/>
    <w:rsid w:val="00111D5D"/>
    <w:rsid w:val="0011337B"/>
    <w:rsid w:val="00114007"/>
    <w:rsid w:val="0011492D"/>
    <w:rsid w:val="00114B76"/>
    <w:rsid w:val="00115497"/>
    <w:rsid w:val="00115BD1"/>
    <w:rsid w:val="00117AA5"/>
    <w:rsid w:val="00124E26"/>
    <w:rsid w:val="00125D97"/>
    <w:rsid w:val="0012651B"/>
    <w:rsid w:val="001267DB"/>
    <w:rsid w:val="00130A56"/>
    <w:rsid w:val="00133BB9"/>
    <w:rsid w:val="00134237"/>
    <w:rsid w:val="00134E30"/>
    <w:rsid w:val="00135517"/>
    <w:rsid w:val="0013668E"/>
    <w:rsid w:val="0014091D"/>
    <w:rsid w:val="00140A57"/>
    <w:rsid w:val="0014173B"/>
    <w:rsid w:val="00141B93"/>
    <w:rsid w:val="001423DD"/>
    <w:rsid w:val="00144247"/>
    <w:rsid w:val="00144DE8"/>
    <w:rsid w:val="00145DCC"/>
    <w:rsid w:val="001473A8"/>
    <w:rsid w:val="001507EE"/>
    <w:rsid w:val="00150B00"/>
    <w:rsid w:val="00152A43"/>
    <w:rsid w:val="00156D4F"/>
    <w:rsid w:val="00156EB4"/>
    <w:rsid w:val="001603D5"/>
    <w:rsid w:val="00160D24"/>
    <w:rsid w:val="00163E2C"/>
    <w:rsid w:val="001643DC"/>
    <w:rsid w:val="00165F28"/>
    <w:rsid w:val="00166885"/>
    <w:rsid w:val="00166FCC"/>
    <w:rsid w:val="001679EA"/>
    <w:rsid w:val="001749D0"/>
    <w:rsid w:val="00174F80"/>
    <w:rsid w:val="001753C0"/>
    <w:rsid w:val="00175938"/>
    <w:rsid w:val="00176760"/>
    <w:rsid w:val="00177E09"/>
    <w:rsid w:val="001806BA"/>
    <w:rsid w:val="001806F8"/>
    <w:rsid w:val="001817E7"/>
    <w:rsid w:val="00192D5D"/>
    <w:rsid w:val="00193349"/>
    <w:rsid w:val="001960C4"/>
    <w:rsid w:val="001A0346"/>
    <w:rsid w:val="001A3593"/>
    <w:rsid w:val="001A3FBA"/>
    <w:rsid w:val="001A4F1A"/>
    <w:rsid w:val="001B0D9B"/>
    <w:rsid w:val="001B151E"/>
    <w:rsid w:val="001B2427"/>
    <w:rsid w:val="001B5374"/>
    <w:rsid w:val="001C06A5"/>
    <w:rsid w:val="001C06B6"/>
    <w:rsid w:val="001C4CC1"/>
    <w:rsid w:val="001D0E8B"/>
    <w:rsid w:val="001D377B"/>
    <w:rsid w:val="001D44F1"/>
    <w:rsid w:val="001D4C68"/>
    <w:rsid w:val="001D606A"/>
    <w:rsid w:val="001E0B30"/>
    <w:rsid w:val="001E1634"/>
    <w:rsid w:val="001E62AF"/>
    <w:rsid w:val="001F325F"/>
    <w:rsid w:val="001F3E19"/>
    <w:rsid w:val="001F536B"/>
    <w:rsid w:val="001F7701"/>
    <w:rsid w:val="001F7A1B"/>
    <w:rsid w:val="001F7B6B"/>
    <w:rsid w:val="002031FB"/>
    <w:rsid w:val="00203BF0"/>
    <w:rsid w:val="00203D81"/>
    <w:rsid w:val="00204FC7"/>
    <w:rsid w:val="00205694"/>
    <w:rsid w:val="00206999"/>
    <w:rsid w:val="00207D94"/>
    <w:rsid w:val="00207DD7"/>
    <w:rsid w:val="00210F78"/>
    <w:rsid w:val="00211B35"/>
    <w:rsid w:val="00212695"/>
    <w:rsid w:val="00213E3C"/>
    <w:rsid w:val="00215726"/>
    <w:rsid w:val="002179FF"/>
    <w:rsid w:val="00220DAC"/>
    <w:rsid w:val="0022449F"/>
    <w:rsid w:val="00224BEA"/>
    <w:rsid w:val="00227622"/>
    <w:rsid w:val="00227980"/>
    <w:rsid w:val="00227DDD"/>
    <w:rsid w:val="0023296B"/>
    <w:rsid w:val="00234173"/>
    <w:rsid w:val="002347AE"/>
    <w:rsid w:val="00234F08"/>
    <w:rsid w:val="002358F3"/>
    <w:rsid w:val="00237EC5"/>
    <w:rsid w:val="00240B38"/>
    <w:rsid w:val="0024325B"/>
    <w:rsid w:val="0024331C"/>
    <w:rsid w:val="002434EC"/>
    <w:rsid w:val="00244882"/>
    <w:rsid w:val="00244CEE"/>
    <w:rsid w:val="002478C0"/>
    <w:rsid w:val="00247BA7"/>
    <w:rsid w:val="002510DA"/>
    <w:rsid w:val="00251888"/>
    <w:rsid w:val="002539B8"/>
    <w:rsid w:val="00255364"/>
    <w:rsid w:val="00255BE5"/>
    <w:rsid w:val="00260D59"/>
    <w:rsid w:val="002628E8"/>
    <w:rsid w:val="00263DD6"/>
    <w:rsid w:val="00263E02"/>
    <w:rsid w:val="0026417B"/>
    <w:rsid w:val="00264743"/>
    <w:rsid w:val="00265272"/>
    <w:rsid w:val="0026694F"/>
    <w:rsid w:val="00267541"/>
    <w:rsid w:val="00270A92"/>
    <w:rsid w:val="002735B2"/>
    <w:rsid w:val="002752C8"/>
    <w:rsid w:val="0027733E"/>
    <w:rsid w:val="002815E1"/>
    <w:rsid w:val="00281AA2"/>
    <w:rsid w:val="00286212"/>
    <w:rsid w:val="00286295"/>
    <w:rsid w:val="00286A4C"/>
    <w:rsid w:val="002870B2"/>
    <w:rsid w:val="0029143E"/>
    <w:rsid w:val="002929A6"/>
    <w:rsid w:val="00292F90"/>
    <w:rsid w:val="0029352E"/>
    <w:rsid w:val="00295B4C"/>
    <w:rsid w:val="00297D5A"/>
    <w:rsid w:val="00297F4B"/>
    <w:rsid w:val="002A1968"/>
    <w:rsid w:val="002A19CD"/>
    <w:rsid w:val="002A58FB"/>
    <w:rsid w:val="002A5D8C"/>
    <w:rsid w:val="002A5EF4"/>
    <w:rsid w:val="002B00AD"/>
    <w:rsid w:val="002B077F"/>
    <w:rsid w:val="002B3145"/>
    <w:rsid w:val="002B3FDC"/>
    <w:rsid w:val="002C2EB3"/>
    <w:rsid w:val="002C4287"/>
    <w:rsid w:val="002C551D"/>
    <w:rsid w:val="002C583A"/>
    <w:rsid w:val="002C6A9F"/>
    <w:rsid w:val="002C6AA2"/>
    <w:rsid w:val="002D0BE0"/>
    <w:rsid w:val="002D1CAC"/>
    <w:rsid w:val="002D30A3"/>
    <w:rsid w:val="002D39F7"/>
    <w:rsid w:val="002D43FA"/>
    <w:rsid w:val="002D6B8D"/>
    <w:rsid w:val="002D6FCF"/>
    <w:rsid w:val="002D7ED1"/>
    <w:rsid w:val="002E01A2"/>
    <w:rsid w:val="002E1607"/>
    <w:rsid w:val="002E32DD"/>
    <w:rsid w:val="002E63C4"/>
    <w:rsid w:val="002E7C2D"/>
    <w:rsid w:val="002F02E8"/>
    <w:rsid w:val="002F2E06"/>
    <w:rsid w:val="002F399A"/>
    <w:rsid w:val="002F3DBA"/>
    <w:rsid w:val="002F54D9"/>
    <w:rsid w:val="002F5748"/>
    <w:rsid w:val="002F65B0"/>
    <w:rsid w:val="00301A7B"/>
    <w:rsid w:val="00303886"/>
    <w:rsid w:val="00303DF3"/>
    <w:rsid w:val="00303EFE"/>
    <w:rsid w:val="003058D3"/>
    <w:rsid w:val="00306B1D"/>
    <w:rsid w:val="00307590"/>
    <w:rsid w:val="0031108F"/>
    <w:rsid w:val="00311C1E"/>
    <w:rsid w:val="00313240"/>
    <w:rsid w:val="00315FF2"/>
    <w:rsid w:val="00316B9E"/>
    <w:rsid w:val="00316C19"/>
    <w:rsid w:val="00316C90"/>
    <w:rsid w:val="00316D8A"/>
    <w:rsid w:val="00320B79"/>
    <w:rsid w:val="00320BA1"/>
    <w:rsid w:val="00321827"/>
    <w:rsid w:val="00321A70"/>
    <w:rsid w:val="003240AD"/>
    <w:rsid w:val="00324665"/>
    <w:rsid w:val="00325A14"/>
    <w:rsid w:val="003271DD"/>
    <w:rsid w:val="00327FC7"/>
    <w:rsid w:val="00330FFD"/>
    <w:rsid w:val="003316FA"/>
    <w:rsid w:val="00332A9E"/>
    <w:rsid w:val="003340A1"/>
    <w:rsid w:val="0033450D"/>
    <w:rsid w:val="0033571D"/>
    <w:rsid w:val="00336C81"/>
    <w:rsid w:val="0033795F"/>
    <w:rsid w:val="00337DAB"/>
    <w:rsid w:val="0034225D"/>
    <w:rsid w:val="00342F5E"/>
    <w:rsid w:val="00343643"/>
    <w:rsid w:val="00343DA8"/>
    <w:rsid w:val="0034666D"/>
    <w:rsid w:val="00347D11"/>
    <w:rsid w:val="00352D33"/>
    <w:rsid w:val="00352F44"/>
    <w:rsid w:val="0035340C"/>
    <w:rsid w:val="00355F24"/>
    <w:rsid w:val="003566A9"/>
    <w:rsid w:val="003617E4"/>
    <w:rsid w:val="00363472"/>
    <w:rsid w:val="00363CE1"/>
    <w:rsid w:val="00364049"/>
    <w:rsid w:val="00370745"/>
    <w:rsid w:val="00370EAE"/>
    <w:rsid w:val="0037165C"/>
    <w:rsid w:val="00372BC9"/>
    <w:rsid w:val="003742E6"/>
    <w:rsid w:val="003776EB"/>
    <w:rsid w:val="00380948"/>
    <w:rsid w:val="00380CD2"/>
    <w:rsid w:val="00382E7B"/>
    <w:rsid w:val="00385EED"/>
    <w:rsid w:val="003860B7"/>
    <w:rsid w:val="0038702D"/>
    <w:rsid w:val="003870B8"/>
    <w:rsid w:val="00391E84"/>
    <w:rsid w:val="00392782"/>
    <w:rsid w:val="003956E1"/>
    <w:rsid w:val="00396E9A"/>
    <w:rsid w:val="00397C23"/>
    <w:rsid w:val="003A01CD"/>
    <w:rsid w:val="003A24AB"/>
    <w:rsid w:val="003A31D8"/>
    <w:rsid w:val="003A3731"/>
    <w:rsid w:val="003A3B52"/>
    <w:rsid w:val="003A3B93"/>
    <w:rsid w:val="003A5C2C"/>
    <w:rsid w:val="003B3C1D"/>
    <w:rsid w:val="003B54E0"/>
    <w:rsid w:val="003B7063"/>
    <w:rsid w:val="003B7664"/>
    <w:rsid w:val="003C17EF"/>
    <w:rsid w:val="003C27DF"/>
    <w:rsid w:val="003C2CE9"/>
    <w:rsid w:val="003C4641"/>
    <w:rsid w:val="003C6148"/>
    <w:rsid w:val="003D0ADE"/>
    <w:rsid w:val="003D2142"/>
    <w:rsid w:val="003D31DD"/>
    <w:rsid w:val="003D4091"/>
    <w:rsid w:val="003D480F"/>
    <w:rsid w:val="003D7FCB"/>
    <w:rsid w:val="003E063E"/>
    <w:rsid w:val="003E4AEE"/>
    <w:rsid w:val="003E6A50"/>
    <w:rsid w:val="003E6C89"/>
    <w:rsid w:val="003E73BB"/>
    <w:rsid w:val="003F393C"/>
    <w:rsid w:val="003F41F9"/>
    <w:rsid w:val="003F5B12"/>
    <w:rsid w:val="003F6B71"/>
    <w:rsid w:val="00400C64"/>
    <w:rsid w:val="00402BBB"/>
    <w:rsid w:val="00405DEF"/>
    <w:rsid w:val="004078DF"/>
    <w:rsid w:val="004101DC"/>
    <w:rsid w:val="00412C3C"/>
    <w:rsid w:val="00414A7F"/>
    <w:rsid w:val="00415D90"/>
    <w:rsid w:val="00422526"/>
    <w:rsid w:val="00423D97"/>
    <w:rsid w:val="00424EB4"/>
    <w:rsid w:val="004315D6"/>
    <w:rsid w:val="00431A8D"/>
    <w:rsid w:val="004333BA"/>
    <w:rsid w:val="004368B3"/>
    <w:rsid w:val="00436A40"/>
    <w:rsid w:val="00437108"/>
    <w:rsid w:val="00440C8D"/>
    <w:rsid w:val="00446916"/>
    <w:rsid w:val="0045067E"/>
    <w:rsid w:val="004538B1"/>
    <w:rsid w:val="00454C43"/>
    <w:rsid w:val="00454CEC"/>
    <w:rsid w:val="004614B4"/>
    <w:rsid w:val="0046317F"/>
    <w:rsid w:val="004651C3"/>
    <w:rsid w:val="00466ECC"/>
    <w:rsid w:val="00466FB3"/>
    <w:rsid w:val="004676E3"/>
    <w:rsid w:val="00472FA5"/>
    <w:rsid w:val="00480841"/>
    <w:rsid w:val="004808C5"/>
    <w:rsid w:val="00481267"/>
    <w:rsid w:val="00481EA2"/>
    <w:rsid w:val="004853D4"/>
    <w:rsid w:val="004909F1"/>
    <w:rsid w:val="00494015"/>
    <w:rsid w:val="00494331"/>
    <w:rsid w:val="00496ADF"/>
    <w:rsid w:val="00496CAC"/>
    <w:rsid w:val="004A1D6B"/>
    <w:rsid w:val="004A32D7"/>
    <w:rsid w:val="004A3CF1"/>
    <w:rsid w:val="004A55B5"/>
    <w:rsid w:val="004A5D3E"/>
    <w:rsid w:val="004A7295"/>
    <w:rsid w:val="004B010D"/>
    <w:rsid w:val="004B2680"/>
    <w:rsid w:val="004B3011"/>
    <w:rsid w:val="004B40F2"/>
    <w:rsid w:val="004B5FA2"/>
    <w:rsid w:val="004B6F6C"/>
    <w:rsid w:val="004B6FFF"/>
    <w:rsid w:val="004B7E9B"/>
    <w:rsid w:val="004C4697"/>
    <w:rsid w:val="004D2057"/>
    <w:rsid w:val="004D429D"/>
    <w:rsid w:val="004D619C"/>
    <w:rsid w:val="004D7343"/>
    <w:rsid w:val="004D7ADC"/>
    <w:rsid w:val="004E008E"/>
    <w:rsid w:val="004E27AA"/>
    <w:rsid w:val="004E3793"/>
    <w:rsid w:val="004E551B"/>
    <w:rsid w:val="004E5FF0"/>
    <w:rsid w:val="004E717E"/>
    <w:rsid w:val="004E7AB4"/>
    <w:rsid w:val="004F0491"/>
    <w:rsid w:val="004F06B5"/>
    <w:rsid w:val="004F3DF7"/>
    <w:rsid w:val="004F5DF1"/>
    <w:rsid w:val="004F6B06"/>
    <w:rsid w:val="00500CFA"/>
    <w:rsid w:val="00504CCA"/>
    <w:rsid w:val="00505B94"/>
    <w:rsid w:val="00507721"/>
    <w:rsid w:val="0050774F"/>
    <w:rsid w:val="005109B3"/>
    <w:rsid w:val="00516FEC"/>
    <w:rsid w:val="0052012B"/>
    <w:rsid w:val="00520825"/>
    <w:rsid w:val="00523E6E"/>
    <w:rsid w:val="00527309"/>
    <w:rsid w:val="005303DB"/>
    <w:rsid w:val="00534858"/>
    <w:rsid w:val="00535798"/>
    <w:rsid w:val="005358A8"/>
    <w:rsid w:val="00536404"/>
    <w:rsid w:val="005421B0"/>
    <w:rsid w:val="005439C4"/>
    <w:rsid w:val="00545E04"/>
    <w:rsid w:val="00547821"/>
    <w:rsid w:val="00547B8E"/>
    <w:rsid w:val="00552E05"/>
    <w:rsid w:val="005539B9"/>
    <w:rsid w:val="0055436C"/>
    <w:rsid w:val="00554C46"/>
    <w:rsid w:val="005659E8"/>
    <w:rsid w:val="00566789"/>
    <w:rsid w:val="005720E7"/>
    <w:rsid w:val="00572146"/>
    <w:rsid w:val="0057221D"/>
    <w:rsid w:val="00573EC6"/>
    <w:rsid w:val="005750AF"/>
    <w:rsid w:val="0057700B"/>
    <w:rsid w:val="0057768C"/>
    <w:rsid w:val="00584F6A"/>
    <w:rsid w:val="005859F7"/>
    <w:rsid w:val="00585A39"/>
    <w:rsid w:val="00585BB7"/>
    <w:rsid w:val="00587700"/>
    <w:rsid w:val="005928CF"/>
    <w:rsid w:val="00597723"/>
    <w:rsid w:val="005A01D2"/>
    <w:rsid w:val="005A0531"/>
    <w:rsid w:val="005A0EA8"/>
    <w:rsid w:val="005A1746"/>
    <w:rsid w:val="005A1A55"/>
    <w:rsid w:val="005A30F8"/>
    <w:rsid w:val="005A4072"/>
    <w:rsid w:val="005B0105"/>
    <w:rsid w:val="005B22D5"/>
    <w:rsid w:val="005B2899"/>
    <w:rsid w:val="005B39B9"/>
    <w:rsid w:val="005B5102"/>
    <w:rsid w:val="005B5E0E"/>
    <w:rsid w:val="005B5E84"/>
    <w:rsid w:val="005B7F41"/>
    <w:rsid w:val="005C07D3"/>
    <w:rsid w:val="005C0C60"/>
    <w:rsid w:val="005C12A7"/>
    <w:rsid w:val="005C1410"/>
    <w:rsid w:val="005C18DE"/>
    <w:rsid w:val="005C2202"/>
    <w:rsid w:val="005C28EF"/>
    <w:rsid w:val="005C5E50"/>
    <w:rsid w:val="005D012E"/>
    <w:rsid w:val="005D017D"/>
    <w:rsid w:val="005D04E4"/>
    <w:rsid w:val="005D54EA"/>
    <w:rsid w:val="005D558D"/>
    <w:rsid w:val="005D5993"/>
    <w:rsid w:val="005D79C1"/>
    <w:rsid w:val="005E1471"/>
    <w:rsid w:val="005E1C18"/>
    <w:rsid w:val="005E1CF9"/>
    <w:rsid w:val="005E400B"/>
    <w:rsid w:val="005E603B"/>
    <w:rsid w:val="005E6206"/>
    <w:rsid w:val="005E7F89"/>
    <w:rsid w:val="005F1806"/>
    <w:rsid w:val="005F1C25"/>
    <w:rsid w:val="005F4C6D"/>
    <w:rsid w:val="005F5496"/>
    <w:rsid w:val="005F65FC"/>
    <w:rsid w:val="005F693E"/>
    <w:rsid w:val="005F75D2"/>
    <w:rsid w:val="00600DE3"/>
    <w:rsid w:val="00602641"/>
    <w:rsid w:val="00604A12"/>
    <w:rsid w:val="00606628"/>
    <w:rsid w:val="00610AFD"/>
    <w:rsid w:val="00611407"/>
    <w:rsid w:val="00611564"/>
    <w:rsid w:val="0061190A"/>
    <w:rsid w:val="00612039"/>
    <w:rsid w:val="00612B00"/>
    <w:rsid w:val="00613A8D"/>
    <w:rsid w:val="00614700"/>
    <w:rsid w:val="006149C9"/>
    <w:rsid w:val="00614BAF"/>
    <w:rsid w:val="0061733A"/>
    <w:rsid w:val="00617EBB"/>
    <w:rsid w:val="00620A08"/>
    <w:rsid w:val="006238A7"/>
    <w:rsid w:val="006242AB"/>
    <w:rsid w:val="00625D72"/>
    <w:rsid w:val="00631B99"/>
    <w:rsid w:val="006330FF"/>
    <w:rsid w:val="0063485C"/>
    <w:rsid w:val="00634E44"/>
    <w:rsid w:val="00637F9F"/>
    <w:rsid w:val="00640890"/>
    <w:rsid w:val="00640F68"/>
    <w:rsid w:val="006419A6"/>
    <w:rsid w:val="0064274C"/>
    <w:rsid w:val="00642B26"/>
    <w:rsid w:val="00642C44"/>
    <w:rsid w:val="0065077B"/>
    <w:rsid w:val="00650958"/>
    <w:rsid w:val="00651250"/>
    <w:rsid w:val="00652FF8"/>
    <w:rsid w:val="00656D8F"/>
    <w:rsid w:val="0066037A"/>
    <w:rsid w:val="00662E95"/>
    <w:rsid w:val="0066337C"/>
    <w:rsid w:val="006657BE"/>
    <w:rsid w:val="00671E26"/>
    <w:rsid w:val="00672B21"/>
    <w:rsid w:val="00676506"/>
    <w:rsid w:val="00676A41"/>
    <w:rsid w:val="006813EC"/>
    <w:rsid w:val="006829BB"/>
    <w:rsid w:val="00682EA6"/>
    <w:rsid w:val="00686B42"/>
    <w:rsid w:val="00690D91"/>
    <w:rsid w:val="00691212"/>
    <w:rsid w:val="00691FA8"/>
    <w:rsid w:val="006924AA"/>
    <w:rsid w:val="006934A7"/>
    <w:rsid w:val="0069369C"/>
    <w:rsid w:val="006943E5"/>
    <w:rsid w:val="00694948"/>
    <w:rsid w:val="00695DDB"/>
    <w:rsid w:val="006A046C"/>
    <w:rsid w:val="006A0AC5"/>
    <w:rsid w:val="006A21DC"/>
    <w:rsid w:val="006A3CB7"/>
    <w:rsid w:val="006A4255"/>
    <w:rsid w:val="006A726F"/>
    <w:rsid w:val="006A75A6"/>
    <w:rsid w:val="006B0E38"/>
    <w:rsid w:val="006B2092"/>
    <w:rsid w:val="006B21EE"/>
    <w:rsid w:val="006B25EA"/>
    <w:rsid w:val="006B3ACB"/>
    <w:rsid w:val="006B4D30"/>
    <w:rsid w:val="006B546A"/>
    <w:rsid w:val="006C0C47"/>
    <w:rsid w:val="006C0E3D"/>
    <w:rsid w:val="006C163C"/>
    <w:rsid w:val="006C2644"/>
    <w:rsid w:val="006C7EAA"/>
    <w:rsid w:val="006D1C11"/>
    <w:rsid w:val="006D34C4"/>
    <w:rsid w:val="006D445C"/>
    <w:rsid w:val="006D45D4"/>
    <w:rsid w:val="006E044C"/>
    <w:rsid w:val="006E11F7"/>
    <w:rsid w:val="006E2DAD"/>
    <w:rsid w:val="006E3D73"/>
    <w:rsid w:val="006E4C49"/>
    <w:rsid w:val="006F1FDB"/>
    <w:rsid w:val="006F27DE"/>
    <w:rsid w:val="006F31C5"/>
    <w:rsid w:val="006F6E4D"/>
    <w:rsid w:val="00700A85"/>
    <w:rsid w:val="00700D40"/>
    <w:rsid w:val="00703CE3"/>
    <w:rsid w:val="007044AD"/>
    <w:rsid w:val="00706E23"/>
    <w:rsid w:val="007075F9"/>
    <w:rsid w:val="00710754"/>
    <w:rsid w:val="0071090D"/>
    <w:rsid w:val="007124DF"/>
    <w:rsid w:val="00713B30"/>
    <w:rsid w:val="00714003"/>
    <w:rsid w:val="0071461E"/>
    <w:rsid w:val="00715077"/>
    <w:rsid w:val="00720DC5"/>
    <w:rsid w:val="00722BC4"/>
    <w:rsid w:val="00726EAE"/>
    <w:rsid w:val="00727324"/>
    <w:rsid w:val="0073048A"/>
    <w:rsid w:val="00732D8B"/>
    <w:rsid w:val="00732DAE"/>
    <w:rsid w:val="00733C3D"/>
    <w:rsid w:val="007341B0"/>
    <w:rsid w:val="00735B76"/>
    <w:rsid w:val="00736EE3"/>
    <w:rsid w:val="00741CE0"/>
    <w:rsid w:val="007451A4"/>
    <w:rsid w:val="007462D1"/>
    <w:rsid w:val="007473C9"/>
    <w:rsid w:val="00750171"/>
    <w:rsid w:val="00750BAA"/>
    <w:rsid w:val="00750D1A"/>
    <w:rsid w:val="00751DED"/>
    <w:rsid w:val="00754B11"/>
    <w:rsid w:val="0075522A"/>
    <w:rsid w:val="00761573"/>
    <w:rsid w:val="00763446"/>
    <w:rsid w:val="007634AB"/>
    <w:rsid w:val="00765B4F"/>
    <w:rsid w:val="00766F6D"/>
    <w:rsid w:val="00767845"/>
    <w:rsid w:val="0077272D"/>
    <w:rsid w:val="00773071"/>
    <w:rsid w:val="00774FD6"/>
    <w:rsid w:val="00776A63"/>
    <w:rsid w:val="00776C11"/>
    <w:rsid w:val="00777214"/>
    <w:rsid w:val="00784971"/>
    <w:rsid w:val="00784991"/>
    <w:rsid w:val="00784E10"/>
    <w:rsid w:val="007856F9"/>
    <w:rsid w:val="0078574D"/>
    <w:rsid w:val="00785A3F"/>
    <w:rsid w:val="00790A53"/>
    <w:rsid w:val="0079145A"/>
    <w:rsid w:val="00792CCE"/>
    <w:rsid w:val="00793A7B"/>
    <w:rsid w:val="00795003"/>
    <w:rsid w:val="00795A32"/>
    <w:rsid w:val="00796282"/>
    <w:rsid w:val="007967CC"/>
    <w:rsid w:val="00797284"/>
    <w:rsid w:val="00797EEA"/>
    <w:rsid w:val="007A0218"/>
    <w:rsid w:val="007A2730"/>
    <w:rsid w:val="007A7C9F"/>
    <w:rsid w:val="007B3616"/>
    <w:rsid w:val="007B52FA"/>
    <w:rsid w:val="007B628E"/>
    <w:rsid w:val="007B6A7F"/>
    <w:rsid w:val="007B7E8D"/>
    <w:rsid w:val="007C3C20"/>
    <w:rsid w:val="007C6F5C"/>
    <w:rsid w:val="007D1875"/>
    <w:rsid w:val="007D19E3"/>
    <w:rsid w:val="007D1B44"/>
    <w:rsid w:val="007D3735"/>
    <w:rsid w:val="007D403C"/>
    <w:rsid w:val="007D4943"/>
    <w:rsid w:val="007D78B3"/>
    <w:rsid w:val="007E0007"/>
    <w:rsid w:val="007E1ED2"/>
    <w:rsid w:val="007E4B19"/>
    <w:rsid w:val="007E70E9"/>
    <w:rsid w:val="007F0F35"/>
    <w:rsid w:val="007F1BA9"/>
    <w:rsid w:val="007F30E0"/>
    <w:rsid w:val="007F3B63"/>
    <w:rsid w:val="007F5349"/>
    <w:rsid w:val="007F606B"/>
    <w:rsid w:val="007F7D55"/>
    <w:rsid w:val="008021F6"/>
    <w:rsid w:val="00802D71"/>
    <w:rsid w:val="00803297"/>
    <w:rsid w:val="0080349C"/>
    <w:rsid w:val="0080364A"/>
    <w:rsid w:val="00803996"/>
    <w:rsid w:val="008041D1"/>
    <w:rsid w:val="00810DAE"/>
    <w:rsid w:val="008124C3"/>
    <w:rsid w:val="0081276F"/>
    <w:rsid w:val="00813F84"/>
    <w:rsid w:val="008147EC"/>
    <w:rsid w:val="008161D4"/>
    <w:rsid w:val="008203BC"/>
    <w:rsid w:val="008225B6"/>
    <w:rsid w:val="008246F6"/>
    <w:rsid w:val="00825305"/>
    <w:rsid w:val="008256DB"/>
    <w:rsid w:val="008322D1"/>
    <w:rsid w:val="00832319"/>
    <w:rsid w:val="00835A0C"/>
    <w:rsid w:val="00836A6E"/>
    <w:rsid w:val="0084034A"/>
    <w:rsid w:val="00841751"/>
    <w:rsid w:val="00841BDE"/>
    <w:rsid w:val="00841E86"/>
    <w:rsid w:val="00842297"/>
    <w:rsid w:val="00843ECE"/>
    <w:rsid w:val="008477A9"/>
    <w:rsid w:val="00847D9C"/>
    <w:rsid w:val="00851E1D"/>
    <w:rsid w:val="0085454D"/>
    <w:rsid w:val="00854C97"/>
    <w:rsid w:val="008557BA"/>
    <w:rsid w:val="00855DED"/>
    <w:rsid w:val="00856777"/>
    <w:rsid w:val="008611FC"/>
    <w:rsid w:val="00861335"/>
    <w:rsid w:val="00862DBB"/>
    <w:rsid w:val="008643DC"/>
    <w:rsid w:val="00864D3A"/>
    <w:rsid w:val="008670DD"/>
    <w:rsid w:val="00867BFE"/>
    <w:rsid w:val="00871024"/>
    <w:rsid w:val="00872A84"/>
    <w:rsid w:val="00873FFE"/>
    <w:rsid w:val="00874C0C"/>
    <w:rsid w:val="00877830"/>
    <w:rsid w:val="00881B2D"/>
    <w:rsid w:val="00884C05"/>
    <w:rsid w:val="008871EC"/>
    <w:rsid w:val="008900F3"/>
    <w:rsid w:val="008920C7"/>
    <w:rsid w:val="008940B3"/>
    <w:rsid w:val="008A06E2"/>
    <w:rsid w:val="008A13C1"/>
    <w:rsid w:val="008A1408"/>
    <w:rsid w:val="008A2A3E"/>
    <w:rsid w:val="008A474E"/>
    <w:rsid w:val="008A5009"/>
    <w:rsid w:val="008A6B1C"/>
    <w:rsid w:val="008A7A5C"/>
    <w:rsid w:val="008A7E05"/>
    <w:rsid w:val="008B0817"/>
    <w:rsid w:val="008B2D95"/>
    <w:rsid w:val="008B34DF"/>
    <w:rsid w:val="008C34F6"/>
    <w:rsid w:val="008C4A2E"/>
    <w:rsid w:val="008C4DFA"/>
    <w:rsid w:val="008C56D3"/>
    <w:rsid w:val="008C5AC8"/>
    <w:rsid w:val="008C5EF7"/>
    <w:rsid w:val="008C6D75"/>
    <w:rsid w:val="008D5E5D"/>
    <w:rsid w:val="008D5EB2"/>
    <w:rsid w:val="008D5F0C"/>
    <w:rsid w:val="008D5F87"/>
    <w:rsid w:val="008D697F"/>
    <w:rsid w:val="008D72CF"/>
    <w:rsid w:val="008D7575"/>
    <w:rsid w:val="008D7EE6"/>
    <w:rsid w:val="008E4152"/>
    <w:rsid w:val="008E5971"/>
    <w:rsid w:val="008E5D20"/>
    <w:rsid w:val="008F0DD8"/>
    <w:rsid w:val="008F16EE"/>
    <w:rsid w:val="008F18AA"/>
    <w:rsid w:val="008F29CF"/>
    <w:rsid w:val="008F3C47"/>
    <w:rsid w:val="008F5EAD"/>
    <w:rsid w:val="008F7066"/>
    <w:rsid w:val="009001FB"/>
    <w:rsid w:val="0090255F"/>
    <w:rsid w:val="00902FF0"/>
    <w:rsid w:val="00903132"/>
    <w:rsid w:val="00904126"/>
    <w:rsid w:val="00906D08"/>
    <w:rsid w:val="00906E67"/>
    <w:rsid w:val="009071B7"/>
    <w:rsid w:val="00907EBB"/>
    <w:rsid w:val="00910750"/>
    <w:rsid w:val="009118E9"/>
    <w:rsid w:val="00913FF1"/>
    <w:rsid w:val="00914AA4"/>
    <w:rsid w:val="00914BBA"/>
    <w:rsid w:val="00914C15"/>
    <w:rsid w:val="0092225C"/>
    <w:rsid w:val="00922929"/>
    <w:rsid w:val="009230D6"/>
    <w:rsid w:val="009260C5"/>
    <w:rsid w:val="00926705"/>
    <w:rsid w:val="009271CD"/>
    <w:rsid w:val="00927E02"/>
    <w:rsid w:val="009339C5"/>
    <w:rsid w:val="0093416E"/>
    <w:rsid w:val="009369A3"/>
    <w:rsid w:val="00940A4B"/>
    <w:rsid w:val="00940F6A"/>
    <w:rsid w:val="00942894"/>
    <w:rsid w:val="009462D2"/>
    <w:rsid w:val="009464EC"/>
    <w:rsid w:val="00951987"/>
    <w:rsid w:val="0095238C"/>
    <w:rsid w:val="009536C0"/>
    <w:rsid w:val="009549CA"/>
    <w:rsid w:val="0095517B"/>
    <w:rsid w:val="009565FD"/>
    <w:rsid w:val="00960641"/>
    <w:rsid w:val="00960C99"/>
    <w:rsid w:val="0096102D"/>
    <w:rsid w:val="0096198A"/>
    <w:rsid w:val="009623D0"/>
    <w:rsid w:val="00962739"/>
    <w:rsid w:val="009664E6"/>
    <w:rsid w:val="00976013"/>
    <w:rsid w:val="00976437"/>
    <w:rsid w:val="009772AF"/>
    <w:rsid w:val="009826B2"/>
    <w:rsid w:val="0098405C"/>
    <w:rsid w:val="00984F28"/>
    <w:rsid w:val="00990069"/>
    <w:rsid w:val="00991685"/>
    <w:rsid w:val="00992905"/>
    <w:rsid w:val="009938BB"/>
    <w:rsid w:val="00993BD1"/>
    <w:rsid w:val="00993F4E"/>
    <w:rsid w:val="00995DF8"/>
    <w:rsid w:val="00996CB5"/>
    <w:rsid w:val="00996D6D"/>
    <w:rsid w:val="009A2FE2"/>
    <w:rsid w:val="009A40D7"/>
    <w:rsid w:val="009A649D"/>
    <w:rsid w:val="009A6C25"/>
    <w:rsid w:val="009A6C90"/>
    <w:rsid w:val="009B15E9"/>
    <w:rsid w:val="009B203F"/>
    <w:rsid w:val="009B2F18"/>
    <w:rsid w:val="009B42C6"/>
    <w:rsid w:val="009B70F8"/>
    <w:rsid w:val="009C0F67"/>
    <w:rsid w:val="009C32A9"/>
    <w:rsid w:val="009C34BB"/>
    <w:rsid w:val="009C635E"/>
    <w:rsid w:val="009C7841"/>
    <w:rsid w:val="009D0EA1"/>
    <w:rsid w:val="009D3544"/>
    <w:rsid w:val="009D54AE"/>
    <w:rsid w:val="009D5E8B"/>
    <w:rsid w:val="009D5FBB"/>
    <w:rsid w:val="009D66F8"/>
    <w:rsid w:val="009D6B51"/>
    <w:rsid w:val="009D7CB9"/>
    <w:rsid w:val="009E06E2"/>
    <w:rsid w:val="009E3C40"/>
    <w:rsid w:val="009E47D2"/>
    <w:rsid w:val="009E530B"/>
    <w:rsid w:val="009E582B"/>
    <w:rsid w:val="009E6A2C"/>
    <w:rsid w:val="009E6C29"/>
    <w:rsid w:val="009F0A38"/>
    <w:rsid w:val="009F300E"/>
    <w:rsid w:val="009F34EB"/>
    <w:rsid w:val="009F5320"/>
    <w:rsid w:val="009F59EB"/>
    <w:rsid w:val="009F64B7"/>
    <w:rsid w:val="00A00059"/>
    <w:rsid w:val="00A02575"/>
    <w:rsid w:val="00A0279A"/>
    <w:rsid w:val="00A02C1C"/>
    <w:rsid w:val="00A033B2"/>
    <w:rsid w:val="00A05142"/>
    <w:rsid w:val="00A07347"/>
    <w:rsid w:val="00A11D41"/>
    <w:rsid w:val="00A12265"/>
    <w:rsid w:val="00A1239D"/>
    <w:rsid w:val="00A12A78"/>
    <w:rsid w:val="00A13105"/>
    <w:rsid w:val="00A15BFB"/>
    <w:rsid w:val="00A15EAE"/>
    <w:rsid w:val="00A16622"/>
    <w:rsid w:val="00A24716"/>
    <w:rsid w:val="00A26920"/>
    <w:rsid w:val="00A310AC"/>
    <w:rsid w:val="00A34F65"/>
    <w:rsid w:val="00A375E1"/>
    <w:rsid w:val="00A378FF"/>
    <w:rsid w:val="00A379D3"/>
    <w:rsid w:val="00A37A3A"/>
    <w:rsid w:val="00A40C19"/>
    <w:rsid w:val="00A420DB"/>
    <w:rsid w:val="00A4231C"/>
    <w:rsid w:val="00A467B1"/>
    <w:rsid w:val="00A50B1F"/>
    <w:rsid w:val="00A50FFC"/>
    <w:rsid w:val="00A51599"/>
    <w:rsid w:val="00A521AD"/>
    <w:rsid w:val="00A542E2"/>
    <w:rsid w:val="00A544A5"/>
    <w:rsid w:val="00A56503"/>
    <w:rsid w:val="00A57E40"/>
    <w:rsid w:val="00A60758"/>
    <w:rsid w:val="00A6323C"/>
    <w:rsid w:val="00A6359D"/>
    <w:rsid w:val="00A708DE"/>
    <w:rsid w:val="00A724D4"/>
    <w:rsid w:val="00A72976"/>
    <w:rsid w:val="00A72E52"/>
    <w:rsid w:val="00A72E7B"/>
    <w:rsid w:val="00A738E4"/>
    <w:rsid w:val="00A73BFD"/>
    <w:rsid w:val="00A73D1B"/>
    <w:rsid w:val="00A83E38"/>
    <w:rsid w:val="00A84A49"/>
    <w:rsid w:val="00A84BD8"/>
    <w:rsid w:val="00A907DC"/>
    <w:rsid w:val="00A95925"/>
    <w:rsid w:val="00A97F13"/>
    <w:rsid w:val="00AA1EC2"/>
    <w:rsid w:val="00AA2FA0"/>
    <w:rsid w:val="00AB28F3"/>
    <w:rsid w:val="00AB2F68"/>
    <w:rsid w:val="00AB40E6"/>
    <w:rsid w:val="00AB5345"/>
    <w:rsid w:val="00AB61EE"/>
    <w:rsid w:val="00AC05D8"/>
    <w:rsid w:val="00AC1737"/>
    <w:rsid w:val="00AC3722"/>
    <w:rsid w:val="00AC3CDF"/>
    <w:rsid w:val="00AC777C"/>
    <w:rsid w:val="00AD0580"/>
    <w:rsid w:val="00AD0624"/>
    <w:rsid w:val="00AD0E5A"/>
    <w:rsid w:val="00AD12E3"/>
    <w:rsid w:val="00AD1A2E"/>
    <w:rsid w:val="00AD1B4B"/>
    <w:rsid w:val="00AD2751"/>
    <w:rsid w:val="00AD301B"/>
    <w:rsid w:val="00AD37EB"/>
    <w:rsid w:val="00AD43E5"/>
    <w:rsid w:val="00AD455A"/>
    <w:rsid w:val="00AD4FEC"/>
    <w:rsid w:val="00AD5BCB"/>
    <w:rsid w:val="00AD6632"/>
    <w:rsid w:val="00AD6D23"/>
    <w:rsid w:val="00AD7968"/>
    <w:rsid w:val="00AE1441"/>
    <w:rsid w:val="00AE33CC"/>
    <w:rsid w:val="00AE7C8F"/>
    <w:rsid w:val="00AF02C2"/>
    <w:rsid w:val="00AF156F"/>
    <w:rsid w:val="00AF23B3"/>
    <w:rsid w:val="00AF2BE8"/>
    <w:rsid w:val="00AF54DE"/>
    <w:rsid w:val="00AF66FB"/>
    <w:rsid w:val="00AF69CE"/>
    <w:rsid w:val="00AF6C86"/>
    <w:rsid w:val="00B0224F"/>
    <w:rsid w:val="00B02AE5"/>
    <w:rsid w:val="00B06086"/>
    <w:rsid w:val="00B06A8B"/>
    <w:rsid w:val="00B148F0"/>
    <w:rsid w:val="00B16B2A"/>
    <w:rsid w:val="00B2004B"/>
    <w:rsid w:val="00B20AFE"/>
    <w:rsid w:val="00B2143B"/>
    <w:rsid w:val="00B23F3A"/>
    <w:rsid w:val="00B26CC7"/>
    <w:rsid w:val="00B32428"/>
    <w:rsid w:val="00B33604"/>
    <w:rsid w:val="00B35129"/>
    <w:rsid w:val="00B36D94"/>
    <w:rsid w:val="00B36F3C"/>
    <w:rsid w:val="00B4188C"/>
    <w:rsid w:val="00B4246A"/>
    <w:rsid w:val="00B42D4C"/>
    <w:rsid w:val="00B4412C"/>
    <w:rsid w:val="00B44830"/>
    <w:rsid w:val="00B44E5B"/>
    <w:rsid w:val="00B50C69"/>
    <w:rsid w:val="00B51E0F"/>
    <w:rsid w:val="00B52216"/>
    <w:rsid w:val="00B55977"/>
    <w:rsid w:val="00B62A39"/>
    <w:rsid w:val="00B63564"/>
    <w:rsid w:val="00B65B6C"/>
    <w:rsid w:val="00B70D8B"/>
    <w:rsid w:val="00B733E7"/>
    <w:rsid w:val="00B73EFD"/>
    <w:rsid w:val="00B73F59"/>
    <w:rsid w:val="00B7412C"/>
    <w:rsid w:val="00B7574E"/>
    <w:rsid w:val="00B7579A"/>
    <w:rsid w:val="00B7613B"/>
    <w:rsid w:val="00B762EF"/>
    <w:rsid w:val="00B8034A"/>
    <w:rsid w:val="00B824D9"/>
    <w:rsid w:val="00B85D9E"/>
    <w:rsid w:val="00B8759A"/>
    <w:rsid w:val="00B91226"/>
    <w:rsid w:val="00B9165B"/>
    <w:rsid w:val="00B91D5A"/>
    <w:rsid w:val="00B93157"/>
    <w:rsid w:val="00B93159"/>
    <w:rsid w:val="00B939C0"/>
    <w:rsid w:val="00B94635"/>
    <w:rsid w:val="00B94ED2"/>
    <w:rsid w:val="00B97B18"/>
    <w:rsid w:val="00BA06DD"/>
    <w:rsid w:val="00BA1F52"/>
    <w:rsid w:val="00BA20B4"/>
    <w:rsid w:val="00BA3A3F"/>
    <w:rsid w:val="00BA4386"/>
    <w:rsid w:val="00BA659B"/>
    <w:rsid w:val="00BA7AB7"/>
    <w:rsid w:val="00BB5282"/>
    <w:rsid w:val="00BC44FE"/>
    <w:rsid w:val="00BC56D2"/>
    <w:rsid w:val="00BC7C62"/>
    <w:rsid w:val="00BD0F61"/>
    <w:rsid w:val="00BD2A38"/>
    <w:rsid w:val="00BD3554"/>
    <w:rsid w:val="00BD41AC"/>
    <w:rsid w:val="00BD5A03"/>
    <w:rsid w:val="00BD7A4F"/>
    <w:rsid w:val="00BE0C7C"/>
    <w:rsid w:val="00BE3256"/>
    <w:rsid w:val="00BE74F5"/>
    <w:rsid w:val="00BF21DA"/>
    <w:rsid w:val="00BF2839"/>
    <w:rsid w:val="00C02C68"/>
    <w:rsid w:val="00C041B7"/>
    <w:rsid w:val="00C100D9"/>
    <w:rsid w:val="00C1010E"/>
    <w:rsid w:val="00C15847"/>
    <w:rsid w:val="00C1766C"/>
    <w:rsid w:val="00C17E32"/>
    <w:rsid w:val="00C207C2"/>
    <w:rsid w:val="00C21552"/>
    <w:rsid w:val="00C24A34"/>
    <w:rsid w:val="00C251AA"/>
    <w:rsid w:val="00C27E67"/>
    <w:rsid w:val="00C337C3"/>
    <w:rsid w:val="00C34A2D"/>
    <w:rsid w:val="00C35895"/>
    <w:rsid w:val="00C36D32"/>
    <w:rsid w:val="00C409DD"/>
    <w:rsid w:val="00C40C93"/>
    <w:rsid w:val="00C42299"/>
    <w:rsid w:val="00C4273E"/>
    <w:rsid w:val="00C45210"/>
    <w:rsid w:val="00C45C77"/>
    <w:rsid w:val="00C46CA8"/>
    <w:rsid w:val="00C47A60"/>
    <w:rsid w:val="00C50BF1"/>
    <w:rsid w:val="00C50EB9"/>
    <w:rsid w:val="00C51984"/>
    <w:rsid w:val="00C52333"/>
    <w:rsid w:val="00C53BB7"/>
    <w:rsid w:val="00C540C5"/>
    <w:rsid w:val="00C5596F"/>
    <w:rsid w:val="00C56DA1"/>
    <w:rsid w:val="00C577E4"/>
    <w:rsid w:val="00C605BB"/>
    <w:rsid w:val="00C61EC3"/>
    <w:rsid w:val="00C62F77"/>
    <w:rsid w:val="00C6337F"/>
    <w:rsid w:val="00C6381A"/>
    <w:rsid w:val="00C65DF3"/>
    <w:rsid w:val="00C65FCE"/>
    <w:rsid w:val="00C708B8"/>
    <w:rsid w:val="00C7139A"/>
    <w:rsid w:val="00C72573"/>
    <w:rsid w:val="00C736DB"/>
    <w:rsid w:val="00C7370F"/>
    <w:rsid w:val="00C737E6"/>
    <w:rsid w:val="00C76D77"/>
    <w:rsid w:val="00C77D2B"/>
    <w:rsid w:val="00C77EED"/>
    <w:rsid w:val="00C803A8"/>
    <w:rsid w:val="00C824BC"/>
    <w:rsid w:val="00C8257B"/>
    <w:rsid w:val="00C84203"/>
    <w:rsid w:val="00C86E5C"/>
    <w:rsid w:val="00C918E5"/>
    <w:rsid w:val="00C92F02"/>
    <w:rsid w:val="00C94069"/>
    <w:rsid w:val="00C95567"/>
    <w:rsid w:val="00C96815"/>
    <w:rsid w:val="00CA2ED6"/>
    <w:rsid w:val="00CB171C"/>
    <w:rsid w:val="00CB5607"/>
    <w:rsid w:val="00CB65EE"/>
    <w:rsid w:val="00CB7B10"/>
    <w:rsid w:val="00CC2A61"/>
    <w:rsid w:val="00CC350E"/>
    <w:rsid w:val="00CC581F"/>
    <w:rsid w:val="00CC72E9"/>
    <w:rsid w:val="00CC78C9"/>
    <w:rsid w:val="00CD0284"/>
    <w:rsid w:val="00CD09DB"/>
    <w:rsid w:val="00CD40A4"/>
    <w:rsid w:val="00CD498C"/>
    <w:rsid w:val="00CD5587"/>
    <w:rsid w:val="00CD596A"/>
    <w:rsid w:val="00CE0263"/>
    <w:rsid w:val="00CE427D"/>
    <w:rsid w:val="00CE48C6"/>
    <w:rsid w:val="00CE6093"/>
    <w:rsid w:val="00CE6A65"/>
    <w:rsid w:val="00CF14EF"/>
    <w:rsid w:val="00CF3E3F"/>
    <w:rsid w:val="00CF4AD0"/>
    <w:rsid w:val="00CF5A7C"/>
    <w:rsid w:val="00CF7083"/>
    <w:rsid w:val="00D02AAA"/>
    <w:rsid w:val="00D037C7"/>
    <w:rsid w:val="00D03FC5"/>
    <w:rsid w:val="00D04230"/>
    <w:rsid w:val="00D0465F"/>
    <w:rsid w:val="00D06DF5"/>
    <w:rsid w:val="00D07C14"/>
    <w:rsid w:val="00D10206"/>
    <w:rsid w:val="00D10721"/>
    <w:rsid w:val="00D10A43"/>
    <w:rsid w:val="00D11200"/>
    <w:rsid w:val="00D121C4"/>
    <w:rsid w:val="00D12544"/>
    <w:rsid w:val="00D12F0D"/>
    <w:rsid w:val="00D1495A"/>
    <w:rsid w:val="00D14A88"/>
    <w:rsid w:val="00D15062"/>
    <w:rsid w:val="00D15350"/>
    <w:rsid w:val="00D15B35"/>
    <w:rsid w:val="00D169A7"/>
    <w:rsid w:val="00D17628"/>
    <w:rsid w:val="00D27C4F"/>
    <w:rsid w:val="00D31167"/>
    <w:rsid w:val="00D31977"/>
    <w:rsid w:val="00D31AA6"/>
    <w:rsid w:val="00D34B82"/>
    <w:rsid w:val="00D41F05"/>
    <w:rsid w:val="00D433EC"/>
    <w:rsid w:val="00D435F3"/>
    <w:rsid w:val="00D44FF0"/>
    <w:rsid w:val="00D4573A"/>
    <w:rsid w:val="00D50433"/>
    <w:rsid w:val="00D5122E"/>
    <w:rsid w:val="00D51567"/>
    <w:rsid w:val="00D52399"/>
    <w:rsid w:val="00D52A83"/>
    <w:rsid w:val="00D52EA0"/>
    <w:rsid w:val="00D5702D"/>
    <w:rsid w:val="00D651E8"/>
    <w:rsid w:val="00D71332"/>
    <w:rsid w:val="00D71B48"/>
    <w:rsid w:val="00D726B2"/>
    <w:rsid w:val="00D74E14"/>
    <w:rsid w:val="00D76105"/>
    <w:rsid w:val="00D81C03"/>
    <w:rsid w:val="00D84C94"/>
    <w:rsid w:val="00D9209F"/>
    <w:rsid w:val="00DA300D"/>
    <w:rsid w:val="00DA3BF2"/>
    <w:rsid w:val="00DA44D7"/>
    <w:rsid w:val="00DA729F"/>
    <w:rsid w:val="00DB11B9"/>
    <w:rsid w:val="00DB172C"/>
    <w:rsid w:val="00DB1D65"/>
    <w:rsid w:val="00DB3DEB"/>
    <w:rsid w:val="00DB5E40"/>
    <w:rsid w:val="00DB677C"/>
    <w:rsid w:val="00DB70B1"/>
    <w:rsid w:val="00DC1C35"/>
    <w:rsid w:val="00DC1CC0"/>
    <w:rsid w:val="00DC3C6D"/>
    <w:rsid w:val="00DC4D16"/>
    <w:rsid w:val="00DC6690"/>
    <w:rsid w:val="00DC6918"/>
    <w:rsid w:val="00DC6A3F"/>
    <w:rsid w:val="00DD00E9"/>
    <w:rsid w:val="00DD3164"/>
    <w:rsid w:val="00DD3A1C"/>
    <w:rsid w:val="00DD3FD8"/>
    <w:rsid w:val="00DD5369"/>
    <w:rsid w:val="00DE0620"/>
    <w:rsid w:val="00DE0F16"/>
    <w:rsid w:val="00DE13BD"/>
    <w:rsid w:val="00DE2BFC"/>
    <w:rsid w:val="00DE4BD4"/>
    <w:rsid w:val="00DE6AF9"/>
    <w:rsid w:val="00DF03E3"/>
    <w:rsid w:val="00DF057B"/>
    <w:rsid w:val="00DF36D7"/>
    <w:rsid w:val="00DF3BF5"/>
    <w:rsid w:val="00DF6AF0"/>
    <w:rsid w:val="00DF7EC8"/>
    <w:rsid w:val="00E00FFC"/>
    <w:rsid w:val="00E05631"/>
    <w:rsid w:val="00E0589A"/>
    <w:rsid w:val="00E11360"/>
    <w:rsid w:val="00E1180B"/>
    <w:rsid w:val="00E1219F"/>
    <w:rsid w:val="00E13ED1"/>
    <w:rsid w:val="00E147D5"/>
    <w:rsid w:val="00E16646"/>
    <w:rsid w:val="00E20083"/>
    <w:rsid w:val="00E207CB"/>
    <w:rsid w:val="00E2373F"/>
    <w:rsid w:val="00E2412D"/>
    <w:rsid w:val="00E248CD"/>
    <w:rsid w:val="00E263C1"/>
    <w:rsid w:val="00E26E58"/>
    <w:rsid w:val="00E27126"/>
    <w:rsid w:val="00E27C70"/>
    <w:rsid w:val="00E30C9C"/>
    <w:rsid w:val="00E30CD7"/>
    <w:rsid w:val="00E31325"/>
    <w:rsid w:val="00E33E29"/>
    <w:rsid w:val="00E34AEB"/>
    <w:rsid w:val="00E35082"/>
    <w:rsid w:val="00E358A0"/>
    <w:rsid w:val="00E41C83"/>
    <w:rsid w:val="00E47860"/>
    <w:rsid w:val="00E51236"/>
    <w:rsid w:val="00E51324"/>
    <w:rsid w:val="00E519D5"/>
    <w:rsid w:val="00E5400E"/>
    <w:rsid w:val="00E57938"/>
    <w:rsid w:val="00E6098F"/>
    <w:rsid w:val="00E62469"/>
    <w:rsid w:val="00E63411"/>
    <w:rsid w:val="00E714CC"/>
    <w:rsid w:val="00E71657"/>
    <w:rsid w:val="00E7322B"/>
    <w:rsid w:val="00E7506E"/>
    <w:rsid w:val="00E77EA1"/>
    <w:rsid w:val="00E81198"/>
    <w:rsid w:val="00E84F3F"/>
    <w:rsid w:val="00E858EF"/>
    <w:rsid w:val="00E86BF1"/>
    <w:rsid w:val="00E90214"/>
    <w:rsid w:val="00E92B46"/>
    <w:rsid w:val="00E94993"/>
    <w:rsid w:val="00E94B6E"/>
    <w:rsid w:val="00E9620F"/>
    <w:rsid w:val="00EA038B"/>
    <w:rsid w:val="00EA2EDE"/>
    <w:rsid w:val="00EA3764"/>
    <w:rsid w:val="00EA3AC8"/>
    <w:rsid w:val="00EA42CB"/>
    <w:rsid w:val="00EA543E"/>
    <w:rsid w:val="00EA54B7"/>
    <w:rsid w:val="00EA550F"/>
    <w:rsid w:val="00EA5560"/>
    <w:rsid w:val="00EB00B2"/>
    <w:rsid w:val="00EB10BD"/>
    <w:rsid w:val="00EB2A8E"/>
    <w:rsid w:val="00EB4C41"/>
    <w:rsid w:val="00EB5EE2"/>
    <w:rsid w:val="00EB7F24"/>
    <w:rsid w:val="00EC0EF2"/>
    <w:rsid w:val="00EC1E2B"/>
    <w:rsid w:val="00EC2325"/>
    <w:rsid w:val="00EC2F39"/>
    <w:rsid w:val="00EC52B7"/>
    <w:rsid w:val="00EC5583"/>
    <w:rsid w:val="00ED012C"/>
    <w:rsid w:val="00ED101B"/>
    <w:rsid w:val="00ED3C63"/>
    <w:rsid w:val="00ED51BD"/>
    <w:rsid w:val="00ED649F"/>
    <w:rsid w:val="00ED770B"/>
    <w:rsid w:val="00ED7D15"/>
    <w:rsid w:val="00EE2F15"/>
    <w:rsid w:val="00EE3AC2"/>
    <w:rsid w:val="00EF3B58"/>
    <w:rsid w:val="00EF43D7"/>
    <w:rsid w:val="00EF451A"/>
    <w:rsid w:val="00EF455A"/>
    <w:rsid w:val="00EF4EFE"/>
    <w:rsid w:val="00F00726"/>
    <w:rsid w:val="00F013A4"/>
    <w:rsid w:val="00F01472"/>
    <w:rsid w:val="00F01AFA"/>
    <w:rsid w:val="00F02B7C"/>
    <w:rsid w:val="00F05243"/>
    <w:rsid w:val="00F0529B"/>
    <w:rsid w:val="00F0708B"/>
    <w:rsid w:val="00F07230"/>
    <w:rsid w:val="00F10756"/>
    <w:rsid w:val="00F11209"/>
    <w:rsid w:val="00F11B0E"/>
    <w:rsid w:val="00F136FC"/>
    <w:rsid w:val="00F138BF"/>
    <w:rsid w:val="00F1482C"/>
    <w:rsid w:val="00F1500A"/>
    <w:rsid w:val="00F1560D"/>
    <w:rsid w:val="00F15AC8"/>
    <w:rsid w:val="00F21160"/>
    <w:rsid w:val="00F21FAC"/>
    <w:rsid w:val="00F232F8"/>
    <w:rsid w:val="00F25CFD"/>
    <w:rsid w:val="00F26350"/>
    <w:rsid w:val="00F27811"/>
    <w:rsid w:val="00F3012F"/>
    <w:rsid w:val="00F3068D"/>
    <w:rsid w:val="00F3209F"/>
    <w:rsid w:val="00F33A53"/>
    <w:rsid w:val="00F3490B"/>
    <w:rsid w:val="00F349AD"/>
    <w:rsid w:val="00F34D93"/>
    <w:rsid w:val="00F34F62"/>
    <w:rsid w:val="00F36AD0"/>
    <w:rsid w:val="00F40869"/>
    <w:rsid w:val="00F43D0C"/>
    <w:rsid w:val="00F46468"/>
    <w:rsid w:val="00F4682D"/>
    <w:rsid w:val="00F46A41"/>
    <w:rsid w:val="00F47517"/>
    <w:rsid w:val="00F52D43"/>
    <w:rsid w:val="00F533FF"/>
    <w:rsid w:val="00F57943"/>
    <w:rsid w:val="00F57AE6"/>
    <w:rsid w:val="00F60862"/>
    <w:rsid w:val="00F648BF"/>
    <w:rsid w:val="00F67E62"/>
    <w:rsid w:val="00F71C84"/>
    <w:rsid w:val="00F7367B"/>
    <w:rsid w:val="00F73FE5"/>
    <w:rsid w:val="00F74FC6"/>
    <w:rsid w:val="00F75502"/>
    <w:rsid w:val="00F7661C"/>
    <w:rsid w:val="00F77304"/>
    <w:rsid w:val="00F80A4E"/>
    <w:rsid w:val="00F811E2"/>
    <w:rsid w:val="00F83F81"/>
    <w:rsid w:val="00F86125"/>
    <w:rsid w:val="00F8628B"/>
    <w:rsid w:val="00F8666F"/>
    <w:rsid w:val="00F86B40"/>
    <w:rsid w:val="00F91050"/>
    <w:rsid w:val="00F91085"/>
    <w:rsid w:val="00F928E0"/>
    <w:rsid w:val="00F933A7"/>
    <w:rsid w:val="00F93F4E"/>
    <w:rsid w:val="00FA2795"/>
    <w:rsid w:val="00FA45FF"/>
    <w:rsid w:val="00FA770A"/>
    <w:rsid w:val="00FB0604"/>
    <w:rsid w:val="00FB1C52"/>
    <w:rsid w:val="00FB3EE3"/>
    <w:rsid w:val="00FB46E8"/>
    <w:rsid w:val="00FB4709"/>
    <w:rsid w:val="00FB5172"/>
    <w:rsid w:val="00FB5263"/>
    <w:rsid w:val="00FB677B"/>
    <w:rsid w:val="00FB7436"/>
    <w:rsid w:val="00FC121B"/>
    <w:rsid w:val="00FC1AB1"/>
    <w:rsid w:val="00FC3FD7"/>
    <w:rsid w:val="00FD18BF"/>
    <w:rsid w:val="00FD2B35"/>
    <w:rsid w:val="00FD6565"/>
    <w:rsid w:val="00FE1700"/>
    <w:rsid w:val="00FE227E"/>
    <w:rsid w:val="00FE2348"/>
    <w:rsid w:val="00FE69E4"/>
    <w:rsid w:val="00FF05BC"/>
    <w:rsid w:val="00FF5391"/>
    <w:rsid w:val="00FF5FF0"/>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3EAC72E"/>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F4682D"/>
    <w:pPr>
      <w:widowControl w:val="0"/>
      <w:spacing w:line="360" w:lineRule="auto"/>
      <w:contextualSpacing/>
      <w:jc w:val="both"/>
    </w:pPr>
    <w:rPr>
      <w:rFonts w:ascii="Times New Roman" w:hAnsi="Times New Roman" w:cs="Times New Roman"/>
      <w:lang w:val="en-GB"/>
    </w:rPr>
  </w:style>
  <w:style w:type="paragraph" w:styleId="Titolo1">
    <w:name w:val="heading 1"/>
    <w:basedOn w:val="Titolo"/>
    <w:next w:val="Normale"/>
    <w:link w:val="Titolo1Carattere"/>
    <w:uiPriority w:val="9"/>
    <w:qFormat/>
    <w:rsid w:val="00EF451A"/>
    <w:pPr>
      <w:keepNext/>
      <w:keepLines/>
      <w:numPr>
        <w:numId w:val="4"/>
      </w:numPr>
      <w:pBdr>
        <w:bottom w:val="none" w:sz="0" w:space="0" w:color="auto"/>
      </w:pBdr>
      <w:spacing w:before="400" w:after="400"/>
      <w:ind w:left="431" w:hanging="431"/>
      <w:contextualSpacing w:val="0"/>
      <w:jc w:val="left"/>
      <w:outlineLvl w:val="0"/>
    </w:pPr>
    <w:rPr>
      <w:rFonts w:ascii="Times New Roman" w:hAnsi="Times New Roman"/>
      <w:b/>
      <w:bCs/>
      <w:color w:val="auto"/>
      <w:spacing w:val="0"/>
      <w:sz w:val="28"/>
      <w:szCs w:val="28"/>
    </w:rPr>
  </w:style>
  <w:style w:type="paragraph" w:styleId="Titolo2">
    <w:name w:val="heading 2"/>
    <w:basedOn w:val="Normale"/>
    <w:next w:val="Normale"/>
    <w:link w:val="Titolo2Carattere"/>
    <w:uiPriority w:val="9"/>
    <w:unhideWhenUsed/>
    <w:qFormat/>
    <w:rsid w:val="007F3B63"/>
    <w:pPr>
      <w:keepNext/>
      <w:keepLines/>
      <w:numPr>
        <w:ilvl w:val="1"/>
        <w:numId w:val="5"/>
      </w:numPr>
      <w:tabs>
        <w:tab w:val="clear" w:pos="1080"/>
        <w:tab w:val="num" w:pos="709"/>
      </w:tabs>
      <w:spacing w:before="360" w:after="200"/>
      <w:ind w:left="1077" w:hanging="1077"/>
      <w:jc w:val="left"/>
      <w:outlineLvl w:val="1"/>
    </w:pPr>
    <w:rPr>
      <w:rFonts w:eastAsiaTheme="majorEastAsia"/>
      <w:b/>
      <w:sz w:val="26"/>
    </w:rPr>
  </w:style>
  <w:style w:type="paragraph" w:styleId="Titolo3">
    <w:name w:val="heading 3"/>
    <w:basedOn w:val="Normale"/>
    <w:next w:val="Normale"/>
    <w:link w:val="Titolo3Carattere"/>
    <w:uiPriority w:val="9"/>
    <w:unhideWhenUsed/>
    <w:qFormat/>
    <w:rsid w:val="00A95925"/>
    <w:pPr>
      <w:keepNext/>
      <w:keepLines/>
      <w:numPr>
        <w:ilvl w:val="2"/>
        <w:numId w:val="4"/>
      </w:numPr>
      <w:tabs>
        <w:tab w:val="left" w:pos="851"/>
      </w:tabs>
      <w:spacing w:before="240" w:after="120"/>
      <w:ind w:left="1077" w:hanging="1077"/>
      <w:contextualSpacing w:val="0"/>
      <w:jc w:val="left"/>
      <w:outlineLvl w:val="2"/>
    </w:pPr>
    <w:rPr>
      <w:rFonts w:eastAsiaTheme="majorEastAsia" w:cstheme="majorBidi"/>
      <w:b/>
      <w:bCs/>
    </w:rPr>
  </w:style>
  <w:style w:type="paragraph" w:styleId="Titolo4">
    <w:name w:val="heading 4"/>
    <w:basedOn w:val="Normale"/>
    <w:next w:val="Normale"/>
    <w:link w:val="Titolo4Carattere"/>
    <w:uiPriority w:val="9"/>
    <w:unhideWhenUsed/>
    <w:qFormat/>
    <w:rsid w:val="00A95925"/>
    <w:pPr>
      <w:keepNext/>
      <w:keepLines/>
      <w:numPr>
        <w:ilvl w:val="3"/>
        <w:numId w:val="4"/>
      </w:numPr>
      <w:spacing w:before="240" w:after="120"/>
      <w:ind w:left="862" w:hanging="862"/>
      <w:jc w:val="left"/>
      <w:outlineLvl w:val="3"/>
    </w:pPr>
    <w:rPr>
      <w:rFonts w:eastAsiaTheme="majorEastAsia" w:cstheme="majorBidi"/>
      <w:b/>
      <w:bCs/>
      <w:i/>
      <w:iCs/>
    </w:rPr>
  </w:style>
  <w:style w:type="paragraph" w:styleId="Titolo5">
    <w:name w:val="heading 5"/>
    <w:basedOn w:val="Normale"/>
    <w:next w:val="Normale"/>
    <w:link w:val="Titolo5Carattere"/>
    <w:uiPriority w:val="9"/>
    <w:semiHidden/>
    <w:unhideWhenUsed/>
    <w:qFormat/>
    <w:rsid w:val="00EA42CB"/>
    <w:pPr>
      <w:keepNext/>
      <w:keepLines/>
      <w:numPr>
        <w:ilvl w:val="4"/>
        <w:numId w:val="4"/>
      </w:numPr>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EA42CB"/>
    <w:pPr>
      <w:keepNext/>
      <w:keepLines/>
      <w:numPr>
        <w:ilvl w:val="5"/>
        <w:numId w:val="4"/>
      </w:numPr>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EA42CB"/>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EA42CB"/>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Titolo9">
    <w:name w:val="heading 9"/>
    <w:basedOn w:val="Normale"/>
    <w:next w:val="Normale"/>
    <w:link w:val="Titolo9Carattere"/>
    <w:uiPriority w:val="9"/>
    <w:semiHidden/>
    <w:unhideWhenUsed/>
    <w:qFormat/>
    <w:rsid w:val="00EA42CB"/>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C40C93"/>
    <w:pPr>
      <w:ind w:left="720"/>
    </w:pPr>
  </w:style>
  <w:style w:type="paragraph" w:customStyle="1" w:styleId="Default">
    <w:name w:val="Default"/>
    <w:rsid w:val="00DD3164"/>
    <w:pPr>
      <w:widowControl w:val="0"/>
      <w:autoSpaceDE w:val="0"/>
      <w:autoSpaceDN w:val="0"/>
      <w:adjustRightInd w:val="0"/>
    </w:pPr>
    <w:rPr>
      <w:rFonts w:ascii="Times New Roman" w:hAnsi="Times New Roman" w:cs="Times New Roman"/>
      <w:color w:val="000000"/>
    </w:rPr>
  </w:style>
  <w:style w:type="paragraph" w:styleId="Pidipagina">
    <w:name w:val="footer"/>
    <w:basedOn w:val="Normale"/>
    <w:link w:val="PidipaginaCarattere"/>
    <w:uiPriority w:val="99"/>
    <w:unhideWhenUsed/>
    <w:rsid w:val="00F60862"/>
    <w:pPr>
      <w:tabs>
        <w:tab w:val="center" w:pos="4819"/>
        <w:tab w:val="right" w:pos="9638"/>
      </w:tabs>
    </w:pPr>
  </w:style>
  <w:style w:type="character" w:customStyle="1" w:styleId="PidipaginaCarattere">
    <w:name w:val="Piè di pagina Carattere"/>
    <w:basedOn w:val="Caratterepredefinitoparagrafo"/>
    <w:link w:val="Pidipagina"/>
    <w:uiPriority w:val="99"/>
    <w:rsid w:val="00F60862"/>
  </w:style>
  <w:style w:type="character" w:styleId="Numeropagina">
    <w:name w:val="page number"/>
    <w:basedOn w:val="Caratterepredefinitoparagrafo"/>
    <w:uiPriority w:val="99"/>
    <w:semiHidden/>
    <w:unhideWhenUsed/>
    <w:rsid w:val="00F60862"/>
  </w:style>
  <w:style w:type="character" w:customStyle="1" w:styleId="Titolo1Carattere">
    <w:name w:val="Titolo 1 Carattere"/>
    <w:basedOn w:val="Caratterepredefinitoparagrafo"/>
    <w:link w:val="Titolo1"/>
    <w:uiPriority w:val="9"/>
    <w:rsid w:val="00EF451A"/>
    <w:rPr>
      <w:rFonts w:ascii="Times New Roman" w:eastAsiaTheme="majorEastAsia" w:hAnsi="Times New Roman" w:cstheme="majorBidi"/>
      <w:b/>
      <w:bCs/>
      <w:kern w:val="28"/>
      <w:sz w:val="28"/>
      <w:szCs w:val="28"/>
      <w:lang w:val="en-GB"/>
    </w:rPr>
  </w:style>
  <w:style w:type="character" w:customStyle="1" w:styleId="Titolo2Carattere">
    <w:name w:val="Titolo 2 Carattere"/>
    <w:basedOn w:val="Caratterepredefinitoparagrafo"/>
    <w:link w:val="Titolo2"/>
    <w:uiPriority w:val="9"/>
    <w:rsid w:val="007F3B63"/>
    <w:rPr>
      <w:rFonts w:ascii="Times New Roman" w:eastAsiaTheme="majorEastAsia" w:hAnsi="Times New Roman" w:cs="Times New Roman"/>
      <w:b/>
      <w:sz w:val="26"/>
      <w:lang w:val="en-GB"/>
    </w:rPr>
  </w:style>
  <w:style w:type="character" w:customStyle="1" w:styleId="Titolo3Carattere">
    <w:name w:val="Titolo 3 Carattere"/>
    <w:basedOn w:val="Caratterepredefinitoparagrafo"/>
    <w:link w:val="Titolo3"/>
    <w:uiPriority w:val="9"/>
    <w:rsid w:val="00A95925"/>
    <w:rPr>
      <w:rFonts w:ascii="Times New Roman" w:eastAsiaTheme="majorEastAsia" w:hAnsi="Times New Roman" w:cstheme="majorBidi"/>
      <w:b/>
      <w:bCs/>
      <w:lang w:val="en-GB"/>
    </w:rPr>
  </w:style>
  <w:style w:type="character" w:customStyle="1" w:styleId="Titolo4Carattere">
    <w:name w:val="Titolo 4 Carattere"/>
    <w:basedOn w:val="Caratterepredefinitoparagrafo"/>
    <w:link w:val="Titolo4"/>
    <w:uiPriority w:val="9"/>
    <w:rsid w:val="00A95925"/>
    <w:rPr>
      <w:rFonts w:ascii="Times New Roman" w:eastAsiaTheme="majorEastAsia" w:hAnsi="Times New Roman" w:cstheme="majorBidi"/>
      <w:b/>
      <w:bCs/>
      <w:i/>
      <w:iCs/>
      <w:lang w:val="en-GB"/>
    </w:rPr>
  </w:style>
  <w:style w:type="character" w:customStyle="1" w:styleId="Titolo5Carattere">
    <w:name w:val="Titolo 5 Carattere"/>
    <w:basedOn w:val="Caratterepredefinitoparagrafo"/>
    <w:link w:val="Titolo5"/>
    <w:uiPriority w:val="9"/>
    <w:semiHidden/>
    <w:rsid w:val="00EA42CB"/>
    <w:rPr>
      <w:rFonts w:asciiTheme="majorHAnsi" w:eastAsiaTheme="majorEastAsia" w:hAnsiTheme="majorHAnsi" w:cstheme="majorBidi"/>
      <w:color w:val="243F60" w:themeColor="accent1" w:themeShade="7F"/>
      <w:lang w:val="en-GB"/>
    </w:rPr>
  </w:style>
  <w:style w:type="character" w:customStyle="1" w:styleId="Titolo6Carattere">
    <w:name w:val="Titolo 6 Carattere"/>
    <w:basedOn w:val="Caratterepredefinitoparagrafo"/>
    <w:link w:val="Titolo6"/>
    <w:uiPriority w:val="9"/>
    <w:semiHidden/>
    <w:rsid w:val="00EA42CB"/>
    <w:rPr>
      <w:rFonts w:asciiTheme="majorHAnsi" w:eastAsiaTheme="majorEastAsia" w:hAnsiTheme="majorHAnsi" w:cstheme="majorBidi"/>
      <w:i/>
      <w:iCs/>
      <w:color w:val="243F60" w:themeColor="accent1" w:themeShade="7F"/>
      <w:lang w:val="en-GB"/>
    </w:rPr>
  </w:style>
  <w:style w:type="character" w:customStyle="1" w:styleId="Titolo7Carattere">
    <w:name w:val="Titolo 7 Carattere"/>
    <w:basedOn w:val="Caratterepredefinitoparagrafo"/>
    <w:link w:val="Titolo7"/>
    <w:uiPriority w:val="9"/>
    <w:semiHidden/>
    <w:rsid w:val="00EA42CB"/>
    <w:rPr>
      <w:rFonts w:asciiTheme="majorHAnsi" w:eastAsiaTheme="majorEastAsia" w:hAnsiTheme="majorHAnsi" w:cstheme="majorBidi"/>
      <w:i/>
      <w:iCs/>
      <w:color w:val="404040" w:themeColor="text1" w:themeTint="BF"/>
      <w:lang w:val="en-GB"/>
    </w:rPr>
  </w:style>
  <w:style w:type="character" w:customStyle="1" w:styleId="Titolo8Carattere">
    <w:name w:val="Titolo 8 Carattere"/>
    <w:basedOn w:val="Caratterepredefinitoparagrafo"/>
    <w:link w:val="Titolo8"/>
    <w:uiPriority w:val="9"/>
    <w:semiHidden/>
    <w:rsid w:val="00EA42CB"/>
    <w:rPr>
      <w:rFonts w:asciiTheme="majorHAnsi" w:eastAsiaTheme="majorEastAsia" w:hAnsiTheme="majorHAnsi" w:cstheme="majorBidi"/>
      <w:color w:val="404040" w:themeColor="text1" w:themeTint="BF"/>
      <w:sz w:val="20"/>
      <w:szCs w:val="20"/>
      <w:lang w:val="en-GB"/>
    </w:rPr>
  </w:style>
  <w:style w:type="character" w:customStyle="1" w:styleId="Titolo9Carattere">
    <w:name w:val="Titolo 9 Carattere"/>
    <w:basedOn w:val="Caratterepredefinitoparagrafo"/>
    <w:link w:val="Titolo9"/>
    <w:uiPriority w:val="9"/>
    <w:semiHidden/>
    <w:rsid w:val="00EA42CB"/>
    <w:rPr>
      <w:rFonts w:asciiTheme="majorHAnsi" w:eastAsiaTheme="majorEastAsia" w:hAnsiTheme="majorHAnsi" w:cstheme="majorBidi"/>
      <w:i/>
      <w:iCs/>
      <w:color w:val="404040" w:themeColor="text1" w:themeTint="BF"/>
      <w:sz w:val="20"/>
      <w:szCs w:val="20"/>
      <w:lang w:val="en-GB"/>
    </w:rPr>
  </w:style>
  <w:style w:type="paragraph" w:styleId="Titolo">
    <w:name w:val="Title"/>
    <w:basedOn w:val="Normale"/>
    <w:next w:val="Normale"/>
    <w:link w:val="TitoloCarattere"/>
    <w:uiPriority w:val="10"/>
    <w:qFormat/>
    <w:rsid w:val="00861335"/>
    <w:pPr>
      <w:pBdr>
        <w:bottom w:val="single" w:sz="8" w:space="4" w:color="4F81BD" w:themeColor="accent1"/>
      </w:pBdr>
      <w:spacing w:after="300"/>
    </w:pPr>
    <w:rPr>
      <w:rFonts w:asciiTheme="majorHAnsi" w:eastAsiaTheme="majorEastAsia" w:hAnsiTheme="majorHAnsi" w:cstheme="majorBidi"/>
      <w:color w:val="17365D" w:themeColor="text2" w:themeShade="BF"/>
      <w:spacing w:val="5"/>
      <w:kern w:val="28"/>
      <w:sz w:val="52"/>
      <w:szCs w:val="52"/>
    </w:rPr>
  </w:style>
  <w:style w:type="character" w:customStyle="1" w:styleId="TitoloCarattere">
    <w:name w:val="Titolo Carattere"/>
    <w:basedOn w:val="Caratterepredefinitoparagrafo"/>
    <w:link w:val="Titolo"/>
    <w:uiPriority w:val="10"/>
    <w:rsid w:val="00861335"/>
    <w:rPr>
      <w:rFonts w:asciiTheme="majorHAnsi" w:eastAsiaTheme="majorEastAsia" w:hAnsiTheme="majorHAnsi" w:cstheme="majorBidi"/>
      <w:color w:val="17365D" w:themeColor="text2" w:themeShade="BF"/>
      <w:spacing w:val="5"/>
      <w:kern w:val="28"/>
      <w:sz w:val="52"/>
      <w:szCs w:val="52"/>
    </w:rPr>
  </w:style>
  <w:style w:type="paragraph" w:styleId="Sommario1">
    <w:name w:val="toc 1"/>
    <w:basedOn w:val="Normale"/>
    <w:next w:val="Normale"/>
    <w:uiPriority w:val="39"/>
    <w:unhideWhenUsed/>
    <w:rsid w:val="009536C0"/>
    <w:pPr>
      <w:spacing w:before="120"/>
      <w:ind w:left="709" w:hanging="709"/>
      <w:jc w:val="left"/>
    </w:pPr>
    <w:rPr>
      <w:b/>
      <w:sz w:val="22"/>
      <w:szCs w:val="22"/>
    </w:rPr>
  </w:style>
  <w:style w:type="paragraph" w:styleId="Sommario2">
    <w:name w:val="toc 2"/>
    <w:basedOn w:val="Normale"/>
    <w:next w:val="Normale"/>
    <w:autoRedefine/>
    <w:uiPriority w:val="39"/>
    <w:unhideWhenUsed/>
    <w:rsid w:val="009536C0"/>
    <w:pPr>
      <w:ind w:left="993" w:hanging="709"/>
      <w:contextualSpacing w:val="0"/>
      <w:jc w:val="left"/>
    </w:pPr>
    <w:rPr>
      <w:sz w:val="22"/>
      <w:szCs w:val="22"/>
    </w:rPr>
  </w:style>
  <w:style w:type="paragraph" w:styleId="Sommario3">
    <w:name w:val="toc 3"/>
    <w:basedOn w:val="Normale"/>
    <w:next w:val="Normale"/>
    <w:autoRedefine/>
    <w:uiPriority w:val="39"/>
    <w:unhideWhenUsed/>
    <w:rsid w:val="009536C0"/>
    <w:pPr>
      <w:ind w:left="1276" w:hanging="709"/>
      <w:jc w:val="left"/>
    </w:pPr>
    <w:rPr>
      <w:sz w:val="22"/>
      <w:szCs w:val="22"/>
    </w:rPr>
  </w:style>
  <w:style w:type="paragraph" w:styleId="Sommario4">
    <w:name w:val="toc 4"/>
    <w:basedOn w:val="Normale"/>
    <w:next w:val="Normale"/>
    <w:autoRedefine/>
    <w:uiPriority w:val="39"/>
    <w:unhideWhenUsed/>
    <w:rsid w:val="009536C0"/>
    <w:pPr>
      <w:ind w:left="1560" w:hanging="709"/>
      <w:jc w:val="left"/>
    </w:pPr>
    <w:rPr>
      <w:i/>
      <w:sz w:val="22"/>
      <w:szCs w:val="18"/>
    </w:rPr>
  </w:style>
  <w:style w:type="paragraph" w:styleId="Sommario5">
    <w:name w:val="toc 5"/>
    <w:basedOn w:val="Normale"/>
    <w:next w:val="Normale"/>
    <w:autoRedefine/>
    <w:uiPriority w:val="39"/>
    <w:unhideWhenUsed/>
    <w:rsid w:val="008F5EAD"/>
    <w:pPr>
      <w:ind w:left="960"/>
    </w:pPr>
    <w:rPr>
      <w:sz w:val="18"/>
      <w:szCs w:val="18"/>
    </w:rPr>
  </w:style>
  <w:style w:type="paragraph" w:styleId="Sommario6">
    <w:name w:val="toc 6"/>
    <w:basedOn w:val="Normale"/>
    <w:next w:val="Normale"/>
    <w:autoRedefine/>
    <w:uiPriority w:val="39"/>
    <w:unhideWhenUsed/>
    <w:rsid w:val="008F5EAD"/>
    <w:pPr>
      <w:ind w:left="1200"/>
    </w:pPr>
    <w:rPr>
      <w:sz w:val="18"/>
      <w:szCs w:val="18"/>
    </w:rPr>
  </w:style>
  <w:style w:type="paragraph" w:styleId="Sommario7">
    <w:name w:val="toc 7"/>
    <w:basedOn w:val="Normale"/>
    <w:next w:val="Normale"/>
    <w:autoRedefine/>
    <w:uiPriority w:val="39"/>
    <w:unhideWhenUsed/>
    <w:rsid w:val="008F5EAD"/>
    <w:pPr>
      <w:ind w:left="1440"/>
    </w:pPr>
    <w:rPr>
      <w:sz w:val="18"/>
      <w:szCs w:val="18"/>
    </w:rPr>
  </w:style>
  <w:style w:type="paragraph" w:styleId="Sommario8">
    <w:name w:val="toc 8"/>
    <w:basedOn w:val="Normale"/>
    <w:next w:val="Normale"/>
    <w:autoRedefine/>
    <w:uiPriority w:val="39"/>
    <w:unhideWhenUsed/>
    <w:rsid w:val="008F5EAD"/>
    <w:pPr>
      <w:ind w:left="1680"/>
    </w:pPr>
    <w:rPr>
      <w:sz w:val="18"/>
      <w:szCs w:val="18"/>
    </w:rPr>
  </w:style>
  <w:style w:type="paragraph" w:styleId="Sommario9">
    <w:name w:val="toc 9"/>
    <w:basedOn w:val="Normale"/>
    <w:next w:val="Normale"/>
    <w:autoRedefine/>
    <w:uiPriority w:val="39"/>
    <w:unhideWhenUsed/>
    <w:rsid w:val="008F5EAD"/>
    <w:pPr>
      <w:ind w:left="1920"/>
    </w:pPr>
    <w:rPr>
      <w:sz w:val="18"/>
      <w:szCs w:val="18"/>
    </w:rPr>
  </w:style>
  <w:style w:type="paragraph" w:styleId="Testofumetto">
    <w:name w:val="Balloon Text"/>
    <w:basedOn w:val="Normale"/>
    <w:link w:val="TestofumettoCarattere"/>
    <w:uiPriority w:val="99"/>
    <w:unhideWhenUsed/>
    <w:qFormat/>
    <w:rsid w:val="007F3B63"/>
    <w:pPr>
      <w:spacing w:after="120" w:line="240" w:lineRule="auto"/>
      <w:contextualSpacing w:val="0"/>
      <w:jc w:val="left"/>
    </w:pPr>
    <w:rPr>
      <w:rFonts w:cs="Lucida Grande"/>
      <w:b/>
      <w:sz w:val="20"/>
      <w:szCs w:val="18"/>
    </w:rPr>
  </w:style>
  <w:style w:type="character" w:customStyle="1" w:styleId="TestofumettoCarattere">
    <w:name w:val="Testo fumetto Carattere"/>
    <w:basedOn w:val="Caratterepredefinitoparagrafo"/>
    <w:link w:val="Testofumetto"/>
    <w:uiPriority w:val="99"/>
    <w:rsid w:val="007F3B63"/>
    <w:rPr>
      <w:rFonts w:ascii="Times New Roman" w:hAnsi="Times New Roman" w:cs="Lucida Grande"/>
      <w:b/>
      <w:sz w:val="20"/>
      <w:szCs w:val="18"/>
      <w:lang w:val="en-GB"/>
    </w:rPr>
  </w:style>
  <w:style w:type="character" w:styleId="Rimandocommento">
    <w:name w:val="annotation reference"/>
    <w:basedOn w:val="Caratterepredefinitoparagrafo"/>
    <w:uiPriority w:val="99"/>
    <w:semiHidden/>
    <w:unhideWhenUsed/>
    <w:rsid w:val="00AE7C8F"/>
    <w:rPr>
      <w:sz w:val="16"/>
      <w:szCs w:val="16"/>
    </w:rPr>
  </w:style>
  <w:style w:type="paragraph" w:styleId="Testocommento">
    <w:name w:val="annotation text"/>
    <w:basedOn w:val="Normale"/>
    <w:link w:val="TestocommentoCarattere"/>
    <w:uiPriority w:val="99"/>
    <w:unhideWhenUsed/>
    <w:rsid w:val="00AE7C8F"/>
    <w:rPr>
      <w:sz w:val="20"/>
      <w:szCs w:val="20"/>
    </w:rPr>
  </w:style>
  <w:style w:type="character" w:customStyle="1" w:styleId="TestocommentoCarattere">
    <w:name w:val="Testo commento Carattere"/>
    <w:basedOn w:val="Caratterepredefinitoparagrafo"/>
    <w:link w:val="Testocommento"/>
    <w:uiPriority w:val="99"/>
    <w:rsid w:val="00AE7C8F"/>
    <w:rPr>
      <w:sz w:val="20"/>
      <w:szCs w:val="20"/>
    </w:rPr>
  </w:style>
  <w:style w:type="paragraph" w:styleId="Soggettocommento">
    <w:name w:val="annotation subject"/>
    <w:basedOn w:val="Testocommento"/>
    <w:next w:val="Testocommento"/>
    <w:link w:val="SoggettocommentoCarattere"/>
    <w:uiPriority w:val="99"/>
    <w:semiHidden/>
    <w:unhideWhenUsed/>
    <w:rsid w:val="00AE7C8F"/>
    <w:rPr>
      <w:b/>
      <w:bCs/>
    </w:rPr>
  </w:style>
  <w:style w:type="character" w:customStyle="1" w:styleId="SoggettocommentoCarattere">
    <w:name w:val="Soggetto commento Carattere"/>
    <w:basedOn w:val="TestocommentoCarattere"/>
    <w:link w:val="Soggettocommento"/>
    <w:uiPriority w:val="99"/>
    <w:semiHidden/>
    <w:rsid w:val="00AE7C8F"/>
    <w:rPr>
      <w:b/>
      <w:bCs/>
      <w:sz w:val="20"/>
      <w:szCs w:val="20"/>
    </w:rPr>
  </w:style>
  <w:style w:type="paragraph" w:styleId="Didascalia">
    <w:name w:val="caption"/>
    <w:basedOn w:val="Normale"/>
    <w:next w:val="Normale"/>
    <w:uiPriority w:val="35"/>
    <w:unhideWhenUsed/>
    <w:qFormat/>
    <w:rsid w:val="007F3B63"/>
    <w:pPr>
      <w:spacing w:after="200" w:line="240" w:lineRule="auto"/>
      <w:jc w:val="left"/>
    </w:pPr>
    <w:rPr>
      <w:b/>
      <w:iCs/>
      <w:sz w:val="20"/>
      <w:szCs w:val="18"/>
    </w:rPr>
  </w:style>
  <w:style w:type="paragraph" w:styleId="Intestazione">
    <w:name w:val="header"/>
    <w:basedOn w:val="Normale"/>
    <w:link w:val="IntestazioneCarattere"/>
    <w:uiPriority w:val="99"/>
    <w:unhideWhenUsed/>
    <w:rsid w:val="006813EC"/>
    <w:pPr>
      <w:tabs>
        <w:tab w:val="center" w:pos="4513"/>
        <w:tab w:val="right" w:pos="9026"/>
      </w:tabs>
    </w:pPr>
  </w:style>
  <w:style w:type="character" w:customStyle="1" w:styleId="IntestazioneCarattere">
    <w:name w:val="Intestazione Carattere"/>
    <w:basedOn w:val="Caratterepredefinitoparagrafo"/>
    <w:link w:val="Intestazione"/>
    <w:uiPriority w:val="99"/>
    <w:rsid w:val="006813EC"/>
  </w:style>
  <w:style w:type="paragraph" w:customStyle="1" w:styleId="titoloangi4">
    <w:name w:val="titolo angi 4"/>
    <w:basedOn w:val="Titolo3"/>
    <w:qFormat/>
    <w:rsid w:val="00391E84"/>
    <w:pPr>
      <w:keepLines w:val="0"/>
      <w:numPr>
        <w:ilvl w:val="0"/>
        <w:numId w:val="0"/>
      </w:numPr>
      <w:tabs>
        <w:tab w:val="left" w:pos="1843"/>
      </w:tabs>
      <w:spacing w:before="120" w:after="40"/>
      <w:ind w:left="864" w:hanging="864"/>
    </w:pPr>
    <w:rPr>
      <w:rFonts w:ascii="Cambria" w:eastAsia="Times New Roman" w:hAnsi="Cambria" w:cs="Times New Roman"/>
      <w:b w:val="0"/>
      <w:i/>
      <w:sz w:val="22"/>
      <w:szCs w:val="22"/>
    </w:rPr>
  </w:style>
  <w:style w:type="paragraph" w:styleId="Testonotaapidipagina">
    <w:name w:val="footnote text"/>
    <w:basedOn w:val="Normale"/>
    <w:link w:val="TestonotaapidipaginaCarattere"/>
    <w:uiPriority w:val="99"/>
    <w:unhideWhenUsed/>
    <w:rsid w:val="00391E84"/>
    <w:rPr>
      <w:rFonts w:eastAsiaTheme="minorHAnsi"/>
      <w:sz w:val="20"/>
      <w:szCs w:val="20"/>
      <w:lang w:eastAsia="en-US"/>
    </w:rPr>
  </w:style>
  <w:style w:type="character" w:customStyle="1" w:styleId="TestonotaapidipaginaCarattere">
    <w:name w:val="Testo nota a piè di pagina Carattere"/>
    <w:basedOn w:val="Caratterepredefinitoparagrafo"/>
    <w:link w:val="Testonotaapidipagina"/>
    <w:uiPriority w:val="99"/>
    <w:rsid w:val="00391E84"/>
    <w:rPr>
      <w:rFonts w:ascii="Times New Roman" w:eastAsiaTheme="minorHAnsi" w:hAnsi="Times New Roman"/>
      <w:sz w:val="20"/>
      <w:szCs w:val="20"/>
      <w:lang w:eastAsia="en-US"/>
    </w:rPr>
  </w:style>
  <w:style w:type="paragraph" w:styleId="Titolosommario">
    <w:name w:val="TOC Heading"/>
    <w:basedOn w:val="Titolo1"/>
    <w:next w:val="Normale"/>
    <w:uiPriority w:val="39"/>
    <w:unhideWhenUsed/>
    <w:qFormat/>
    <w:rsid w:val="00391E84"/>
    <w:pPr>
      <w:tabs>
        <w:tab w:val="clear" w:pos="720"/>
      </w:tabs>
      <w:spacing w:before="480" w:after="0"/>
      <w:ind w:left="432" w:hanging="432"/>
      <w:jc w:val="both"/>
      <w:outlineLvl w:val="9"/>
    </w:pPr>
    <w:rPr>
      <w:rFonts w:asciiTheme="majorHAnsi" w:hAnsiTheme="majorHAnsi"/>
      <w:color w:val="365F91" w:themeColor="accent1" w:themeShade="BF"/>
      <w:kern w:val="0"/>
    </w:rPr>
  </w:style>
  <w:style w:type="numbering" w:styleId="111111">
    <w:name w:val="Outline List 2"/>
    <w:basedOn w:val="Nessunelenco"/>
    <w:uiPriority w:val="99"/>
    <w:semiHidden/>
    <w:unhideWhenUsed/>
    <w:rsid w:val="00391E84"/>
    <w:pPr>
      <w:numPr>
        <w:numId w:val="8"/>
      </w:numPr>
    </w:pPr>
  </w:style>
  <w:style w:type="table" w:styleId="Grigliatabella">
    <w:name w:val="Table Grid"/>
    <w:basedOn w:val="Tabellanormale"/>
    <w:uiPriority w:val="59"/>
    <w:rsid w:val="008940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llegamentoipertestuale">
    <w:name w:val="Hyperlink"/>
    <w:basedOn w:val="Caratterepredefinitoparagrafo"/>
    <w:uiPriority w:val="99"/>
    <w:unhideWhenUsed/>
    <w:rsid w:val="008940B3"/>
    <w:rPr>
      <w:color w:val="0000FF" w:themeColor="hyperlink"/>
      <w:u w:val="single"/>
    </w:rPr>
  </w:style>
  <w:style w:type="paragraph" w:styleId="Revisione">
    <w:name w:val="Revision"/>
    <w:hidden/>
    <w:uiPriority w:val="99"/>
    <w:semiHidden/>
    <w:rsid w:val="008940B3"/>
    <w:rPr>
      <w:rFonts w:ascii="Times New Roman" w:hAnsi="Times New Roman"/>
    </w:rPr>
  </w:style>
  <w:style w:type="table" w:styleId="Sfondochiaro">
    <w:name w:val="Light Shading"/>
    <w:basedOn w:val="Tabellanormale"/>
    <w:uiPriority w:val="60"/>
    <w:rsid w:val="008940B3"/>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Elencochiaro">
    <w:name w:val="Light List"/>
    <w:basedOn w:val="Tabellanormale"/>
    <w:uiPriority w:val="61"/>
    <w:rsid w:val="001A4F1A"/>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Indicedellefigure">
    <w:name w:val="table of figures"/>
    <w:basedOn w:val="Normale"/>
    <w:next w:val="Normale"/>
    <w:uiPriority w:val="99"/>
    <w:unhideWhenUsed/>
    <w:rsid w:val="004B6F6C"/>
    <w:pPr>
      <w:ind w:left="709" w:hanging="709"/>
      <w:jc w:val="left"/>
    </w:pPr>
    <w:rPr>
      <w:sz w:val="22"/>
    </w:rPr>
  </w:style>
  <w:style w:type="table" w:styleId="Elencochiaro-Colore1">
    <w:name w:val="Light List Accent 1"/>
    <w:basedOn w:val="Tabellanormale"/>
    <w:uiPriority w:val="61"/>
    <w:rsid w:val="001A4F1A"/>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Grigliachiara">
    <w:name w:val="Light Grid"/>
    <w:basedOn w:val="Tabellanormale"/>
    <w:uiPriority w:val="62"/>
    <w:rsid w:val="001A4F1A"/>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Mappadocumento">
    <w:name w:val="Document Map"/>
    <w:basedOn w:val="Normale"/>
    <w:link w:val="MappadocumentoCarattere"/>
    <w:uiPriority w:val="99"/>
    <w:semiHidden/>
    <w:unhideWhenUsed/>
    <w:rsid w:val="001A4F1A"/>
    <w:pPr>
      <w:spacing w:line="240" w:lineRule="auto"/>
      <w:contextualSpacing w:val="0"/>
      <w:jc w:val="left"/>
    </w:pPr>
    <w:rPr>
      <w:rFonts w:ascii="Lucida Grande" w:hAnsi="Lucida Grande" w:cs="Lucida Grande"/>
      <w:lang w:val="it-IT"/>
    </w:rPr>
  </w:style>
  <w:style w:type="character" w:customStyle="1" w:styleId="MappadocumentoCarattere">
    <w:name w:val="Mappa documento Carattere"/>
    <w:basedOn w:val="Caratterepredefinitoparagrafo"/>
    <w:link w:val="Mappadocumento"/>
    <w:uiPriority w:val="99"/>
    <w:semiHidden/>
    <w:rsid w:val="001A4F1A"/>
    <w:rPr>
      <w:rFonts w:ascii="Lucida Grande" w:hAnsi="Lucida Grande" w:cs="Lucida Grande"/>
    </w:rPr>
  </w:style>
  <w:style w:type="paragraph" w:styleId="NormaleWeb">
    <w:name w:val="Normal (Web)"/>
    <w:basedOn w:val="Normale"/>
    <w:uiPriority w:val="99"/>
    <w:semiHidden/>
    <w:unhideWhenUsed/>
    <w:rsid w:val="00D726B2"/>
    <w:pPr>
      <w:spacing w:before="100" w:beforeAutospacing="1" w:after="100" w:afterAutospacing="1" w:line="240" w:lineRule="auto"/>
      <w:contextualSpacing w:val="0"/>
      <w:jc w:val="left"/>
    </w:pPr>
    <w:rPr>
      <w:rFonts w:eastAsia="Times New Roman"/>
      <w:lang w:eastAsia="en-GB"/>
    </w:rPr>
  </w:style>
  <w:style w:type="character" w:styleId="Rimandonotaapidipagina">
    <w:name w:val="footnote reference"/>
    <w:basedOn w:val="Caratterepredefinitoparagrafo"/>
    <w:uiPriority w:val="99"/>
    <w:unhideWhenUsed/>
    <w:rsid w:val="00D726B2"/>
    <w:rPr>
      <w:vertAlign w:val="superscript"/>
    </w:rPr>
  </w:style>
  <w:style w:type="character" w:customStyle="1" w:styleId="st">
    <w:name w:val="st"/>
    <w:basedOn w:val="Caratterepredefinitoparagrafo"/>
    <w:rsid w:val="00303EFE"/>
  </w:style>
  <w:style w:type="character" w:styleId="Enfasicorsivo">
    <w:name w:val="Emphasis"/>
    <w:basedOn w:val="Caratterepredefinitoparagrafo"/>
    <w:uiPriority w:val="20"/>
    <w:qFormat/>
    <w:rsid w:val="00303EFE"/>
    <w:rPr>
      <w:i/>
      <w:iCs/>
    </w:rPr>
  </w:style>
  <w:style w:type="character" w:styleId="Collegamentovisitato">
    <w:name w:val="FollowedHyperlink"/>
    <w:basedOn w:val="Caratterepredefinitoparagrafo"/>
    <w:uiPriority w:val="99"/>
    <w:semiHidden/>
    <w:unhideWhenUsed/>
    <w:rsid w:val="00303EFE"/>
    <w:rPr>
      <w:color w:val="800080" w:themeColor="followedHyperlink"/>
      <w:u w:val="single"/>
    </w:rPr>
  </w:style>
  <w:style w:type="character" w:customStyle="1" w:styleId="UnresolvedMention">
    <w:name w:val="Unresolved Mention"/>
    <w:basedOn w:val="Caratterepredefinitoparagrafo"/>
    <w:uiPriority w:val="99"/>
    <w:semiHidden/>
    <w:unhideWhenUsed/>
    <w:rsid w:val="00163E2C"/>
    <w:rPr>
      <w:color w:val="605E5C"/>
      <w:shd w:val="clear" w:color="auto" w:fill="E1DFDD"/>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F4682D"/>
    <w:pPr>
      <w:widowControl w:val="0"/>
      <w:spacing w:line="360" w:lineRule="auto"/>
      <w:contextualSpacing/>
      <w:jc w:val="both"/>
    </w:pPr>
    <w:rPr>
      <w:rFonts w:ascii="Times New Roman" w:hAnsi="Times New Roman" w:cs="Times New Roman"/>
      <w:lang w:val="en-GB"/>
    </w:rPr>
  </w:style>
  <w:style w:type="paragraph" w:styleId="Titolo1">
    <w:name w:val="heading 1"/>
    <w:basedOn w:val="Titolo"/>
    <w:next w:val="Normale"/>
    <w:link w:val="Titolo1Carattere"/>
    <w:uiPriority w:val="9"/>
    <w:qFormat/>
    <w:rsid w:val="00EF451A"/>
    <w:pPr>
      <w:keepNext/>
      <w:keepLines/>
      <w:numPr>
        <w:numId w:val="4"/>
      </w:numPr>
      <w:pBdr>
        <w:bottom w:val="none" w:sz="0" w:space="0" w:color="auto"/>
      </w:pBdr>
      <w:spacing w:before="400" w:after="400"/>
      <w:ind w:left="431" w:hanging="431"/>
      <w:contextualSpacing w:val="0"/>
      <w:jc w:val="left"/>
      <w:outlineLvl w:val="0"/>
    </w:pPr>
    <w:rPr>
      <w:rFonts w:ascii="Times New Roman" w:hAnsi="Times New Roman"/>
      <w:b/>
      <w:bCs/>
      <w:color w:val="auto"/>
      <w:spacing w:val="0"/>
      <w:sz w:val="28"/>
      <w:szCs w:val="28"/>
    </w:rPr>
  </w:style>
  <w:style w:type="paragraph" w:styleId="Titolo2">
    <w:name w:val="heading 2"/>
    <w:basedOn w:val="Normale"/>
    <w:next w:val="Normale"/>
    <w:link w:val="Titolo2Carattere"/>
    <w:uiPriority w:val="9"/>
    <w:unhideWhenUsed/>
    <w:qFormat/>
    <w:rsid w:val="007F3B63"/>
    <w:pPr>
      <w:keepNext/>
      <w:keepLines/>
      <w:numPr>
        <w:ilvl w:val="1"/>
        <w:numId w:val="5"/>
      </w:numPr>
      <w:tabs>
        <w:tab w:val="clear" w:pos="1080"/>
        <w:tab w:val="num" w:pos="709"/>
      </w:tabs>
      <w:spacing w:before="360" w:after="200"/>
      <w:ind w:left="1077" w:hanging="1077"/>
      <w:jc w:val="left"/>
      <w:outlineLvl w:val="1"/>
    </w:pPr>
    <w:rPr>
      <w:rFonts w:eastAsiaTheme="majorEastAsia"/>
      <w:b/>
      <w:sz w:val="26"/>
    </w:rPr>
  </w:style>
  <w:style w:type="paragraph" w:styleId="Titolo3">
    <w:name w:val="heading 3"/>
    <w:basedOn w:val="Normale"/>
    <w:next w:val="Normale"/>
    <w:link w:val="Titolo3Carattere"/>
    <w:uiPriority w:val="9"/>
    <w:unhideWhenUsed/>
    <w:qFormat/>
    <w:rsid w:val="00A95925"/>
    <w:pPr>
      <w:keepNext/>
      <w:keepLines/>
      <w:numPr>
        <w:ilvl w:val="2"/>
        <w:numId w:val="4"/>
      </w:numPr>
      <w:tabs>
        <w:tab w:val="left" w:pos="851"/>
      </w:tabs>
      <w:spacing w:before="240" w:after="120"/>
      <w:ind w:left="1077" w:hanging="1077"/>
      <w:contextualSpacing w:val="0"/>
      <w:jc w:val="left"/>
      <w:outlineLvl w:val="2"/>
    </w:pPr>
    <w:rPr>
      <w:rFonts w:eastAsiaTheme="majorEastAsia" w:cstheme="majorBidi"/>
      <w:b/>
      <w:bCs/>
    </w:rPr>
  </w:style>
  <w:style w:type="paragraph" w:styleId="Titolo4">
    <w:name w:val="heading 4"/>
    <w:basedOn w:val="Normale"/>
    <w:next w:val="Normale"/>
    <w:link w:val="Titolo4Carattere"/>
    <w:uiPriority w:val="9"/>
    <w:unhideWhenUsed/>
    <w:qFormat/>
    <w:rsid w:val="00A95925"/>
    <w:pPr>
      <w:keepNext/>
      <w:keepLines/>
      <w:numPr>
        <w:ilvl w:val="3"/>
        <w:numId w:val="4"/>
      </w:numPr>
      <w:spacing w:before="240" w:after="120"/>
      <w:ind w:left="862" w:hanging="862"/>
      <w:jc w:val="left"/>
      <w:outlineLvl w:val="3"/>
    </w:pPr>
    <w:rPr>
      <w:rFonts w:eastAsiaTheme="majorEastAsia" w:cstheme="majorBidi"/>
      <w:b/>
      <w:bCs/>
      <w:i/>
      <w:iCs/>
    </w:rPr>
  </w:style>
  <w:style w:type="paragraph" w:styleId="Titolo5">
    <w:name w:val="heading 5"/>
    <w:basedOn w:val="Normale"/>
    <w:next w:val="Normale"/>
    <w:link w:val="Titolo5Carattere"/>
    <w:uiPriority w:val="9"/>
    <w:semiHidden/>
    <w:unhideWhenUsed/>
    <w:qFormat/>
    <w:rsid w:val="00EA42CB"/>
    <w:pPr>
      <w:keepNext/>
      <w:keepLines/>
      <w:numPr>
        <w:ilvl w:val="4"/>
        <w:numId w:val="4"/>
      </w:numPr>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EA42CB"/>
    <w:pPr>
      <w:keepNext/>
      <w:keepLines/>
      <w:numPr>
        <w:ilvl w:val="5"/>
        <w:numId w:val="4"/>
      </w:numPr>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EA42CB"/>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EA42CB"/>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Titolo9">
    <w:name w:val="heading 9"/>
    <w:basedOn w:val="Normale"/>
    <w:next w:val="Normale"/>
    <w:link w:val="Titolo9Carattere"/>
    <w:uiPriority w:val="9"/>
    <w:semiHidden/>
    <w:unhideWhenUsed/>
    <w:qFormat/>
    <w:rsid w:val="00EA42CB"/>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C40C93"/>
    <w:pPr>
      <w:ind w:left="720"/>
    </w:pPr>
  </w:style>
  <w:style w:type="paragraph" w:customStyle="1" w:styleId="Default">
    <w:name w:val="Default"/>
    <w:rsid w:val="00DD3164"/>
    <w:pPr>
      <w:widowControl w:val="0"/>
      <w:autoSpaceDE w:val="0"/>
      <w:autoSpaceDN w:val="0"/>
      <w:adjustRightInd w:val="0"/>
    </w:pPr>
    <w:rPr>
      <w:rFonts w:ascii="Times New Roman" w:hAnsi="Times New Roman" w:cs="Times New Roman"/>
      <w:color w:val="000000"/>
    </w:rPr>
  </w:style>
  <w:style w:type="paragraph" w:styleId="Pidipagina">
    <w:name w:val="footer"/>
    <w:basedOn w:val="Normale"/>
    <w:link w:val="PidipaginaCarattere"/>
    <w:uiPriority w:val="99"/>
    <w:unhideWhenUsed/>
    <w:rsid w:val="00F60862"/>
    <w:pPr>
      <w:tabs>
        <w:tab w:val="center" w:pos="4819"/>
        <w:tab w:val="right" w:pos="9638"/>
      </w:tabs>
    </w:pPr>
  </w:style>
  <w:style w:type="character" w:customStyle="1" w:styleId="PidipaginaCarattere">
    <w:name w:val="Piè di pagina Carattere"/>
    <w:basedOn w:val="Caratterepredefinitoparagrafo"/>
    <w:link w:val="Pidipagina"/>
    <w:uiPriority w:val="99"/>
    <w:rsid w:val="00F60862"/>
  </w:style>
  <w:style w:type="character" w:styleId="Numeropagina">
    <w:name w:val="page number"/>
    <w:basedOn w:val="Caratterepredefinitoparagrafo"/>
    <w:uiPriority w:val="99"/>
    <w:semiHidden/>
    <w:unhideWhenUsed/>
    <w:rsid w:val="00F60862"/>
  </w:style>
  <w:style w:type="character" w:customStyle="1" w:styleId="Titolo1Carattere">
    <w:name w:val="Titolo 1 Carattere"/>
    <w:basedOn w:val="Caratterepredefinitoparagrafo"/>
    <w:link w:val="Titolo1"/>
    <w:uiPriority w:val="9"/>
    <w:rsid w:val="00EF451A"/>
    <w:rPr>
      <w:rFonts w:ascii="Times New Roman" w:eastAsiaTheme="majorEastAsia" w:hAnsi="Times New Roman" w:cstheme="majorBidi"/>
      <w:b/>
      <w:bCs/>
      <w:kern w:val="28"/>
      <w:sz w:val="28"/>
      <w:szCs w:val="28"/>
      <w:lang w:val="en-GB"/>
    </w:rPr>
  </w:style>
  <w:style w:type="character" w:customStyle="1" w:styleId="Titolo2Carattere">
    <w:name w:val="Titolo 2 Carattere"/>
    <w:basedOn w:val="Caratterepredefinitoparagrafo"/>
    <w:link w:val="Titolo2"/>
    <w:uiPriority w:val="9"/>
    <w:rsid w:val="007F3B63"/>
    <w:rPr>
      <w:rFonts w:ascii="Times New Roman" w:eastAsiaTheme="majorEastAsia" w:hAnsi="Times New Roman" w:cs="Times New Roman"/>
      <w:b/>
      <w:sz w:val="26"/>
      <w:lang w:val="en-GB"/>
    </w:rPr>
  </w:style>
  <w:style w:type="character" w:customStyle="1" w:styleId="Titolo3Carattere">
    <w:name w:val="Titolo 3 Carattere"/>
    <w:basedOn w:val="Caratterepredefinitoparagrafo"/>
    <w:link w:val="Titolo3"/>
    <w:uiPriority w:val="9"/>
    <w:rsid w:val="00A95925"/>
    <w:rPr>
      <w:rFonts w:ascii="Times New Roman" w:eastAsiaTheme="majorEastAsia" w:hAnsi="Times New Roman" w:cstheme="majorBidi"/>
      <w:b/>
      <w:bCs/>
      <w:lang w:val="en-GB"/>
    </w:rPr>
  </w:style>
  <w:style w:type="character" w:customStyle="1" w:styleId="Titolo4Carattere">
    <w:name w:val="Titolo 4 Carattere"/>
    <w:basedOn w:val="Caratterepredefinitoparagrafo"/>
    <w:link w:val="Titolo4"/>
    <w:uiPriority w:val="9"/>
    <w:rsid w:val="00A95925"/>
    <w:rPr>
      <w:rFonts w:ascii="Times New Roman" w:eastAsiaTheme="majorEastAsia" w:hAnsi="Times New Roman" w:cstheme="majorBidi"/>
      <w:b/>
      <w:bCs/>
      <w:i/>
      <w:iCs/>
      <w:lang w:val="en-GB"/>
    </w:rPr>
  </w:style>
  <w:style w:type="character" w:customStyle="1" w:styleId="Titolo5Carattere">
    <w:name w:val="Titolo 5 Carattere"/>
    <w:basedOn w:val="Caratterepredefinitoparagrafo"/>
    <w:link w:val="Titolo5"/>
    <w:uiPriority w:val="9"/>
    <w:semiHidden/>
    <w:rsid w:val="00EA42CB"/>
    <w:rPr>
      <w:rFonts w:asciiTheme="majorHAnsi" w:eastAsiaTheme="majorEastAsia" w:hAnsiTheme="majorHAnsi" w:cstheme="majorBidi"/>
      <w:color w:val="243F60" w:themeColor="accent1" w:themeShade="7F"/>
      <w:lang w:val="en-GB"/>
    </w:rPr>
  </w:style>
  <w:style w:type="character" w:customStyle="1" w:styleId="Titolo6Carattere">
    <w:name w:val="Titolo 6 Carattere"/>
    <w:basedOn w:val="Caratterepredefinitoparagrafo"/>
    <w:link w:val="Titolo6"/>
    <w:uiPriority w:val="9"/>
    <w:semiHidden/>
    <w:rsid w:val="00EA42CB"/>
    <w:rPr>
      <w:rFonts w:asciiTheme="majorHAnsi" w:eastAsiaTheme="majorEastAsia" w:hAnsiTheme="majorHAnsi" w:cstheme="majorBidi"/>
      <w:i/>
      <w:iCs/>
      <w:color w:val="243F60" w:themeColor="accent1" w:themeShade="7F"/>
      <w:lang w:val="en-GB"/>
    </w:rPr>
  </w:style>
  <w:style w:type="character" w:customStyle="1" w:styleId="Titolo7Carattere">
    <w:name w:val="Titolo 7 Carattere"/>
    <w:basedOn w:val="Caratterepredefinitoparagrafo"/>
    <w:link w:val="Titolo7"/>
    <w:uiPriority w:val="9"/>
    <w:semiHidden/>
    <w:rsid w:val="00EA42CB"/>
    <w:rPr>
      <w:rFonts w:asciiTheme="majorHAnsi" w:eastAsiaTheme="majorEastAsia" w:hAnsiTheme="majorHAnsi" w:cstheme="majorBidi"/>
      <w:i/>
      <w:iCs/>
      <w:color w:val="404040" w:themeColor="text1" w:themeTint="BF"/>
      <w:lang w:val="en-GB"/>
    </w:rPr>
  </w:style>
  <w:style w:type="character" w:customStyle="1" w:styleId="Titolo8Carattere">
    <w:name w:val="Titolo 8 Carattere"/>
    <w:basedOn w:val="Caratterepredefinitoparagrafo"/>
    <w:link w:val="Titolo8"/>
    <w:uiPriority w:val="9"/>
    <w:semiHidden/>
    <w:rsid w:val="00EA42CB"/>
    <w:rPr>
      <w:rFonts w:asciiTheme="majorHAnsi" w:eastAsiaTheme="majorEastAsia" w:hAnsiTheme="majorHAnsi" w:cstheme="majorBidi"/>
      <w:color w:val="404040" w:themeColor="text1" w:themeTint="BF"/>
      <w:sz w:val="20"/>
      <w:szCs w:val="20"/>
      <w:lang w:val="en-GB"/>
    </w:rPr>
  </w:style>
  <w:style w:type="character" w:customStyle="1" w:styleId="Titolo9Carattere">
    <w:name w:val="Titolo 9 Carattere"/>
    <w:basedOn w:val="Caratterepredefinitoparagrafo"/>
    <w:link w:val="Titolo9"/>
    <w:uiPriority w:val="9"/>
    <w:semiHidden/>
    <w:rsid w:val="00EA42CB"/>
    <w:rPr>
      <w:rFonts w:asciiTheme="majorHAnsi" w:eastAsiaTheme="majorEastAsia" w:hAnsiTheme="majorHAnsi" w:cstheme="majorBidi"/>
      <w:i/>
      <w:iCs/>
      <w:color w:val="404040" w:themeColor="text1" w:themeTint="BF"/>
      <w:sz w:val="20"/>
      <w:szCs w:val="20"/>
      <w:lang w:val="en-GB"/>
    </w:rPr>
  </w:style>
  <w:style w:type="paragraph" w:styleId="Titolo">
    <w:name w:val="Title"/>
    <w:basedOn w:val="Normale"/>
    <w:next w:val="Normale"/>
    <w:link w:val="TitoloCarattere"/>
    <w:uiPriority w:val="10"/>
    <w:qFormat/>
    <w:rsid w:val="00861335"/>
    <w:pPr>
      <w:pBdr>
        <w:bottom w:val="single" w:sz="8" w:space="4" w:color="4F81BD" w:themeColor="accent1"/>
      </w:pBdr>
      <w:spacing w:after="300"/>
    </w:pPr>
    <w:rPr>
      <w:rFonts w:asciiTheme="majorHAnsi" w:eastAsiaTheme="majorEastAsia" w:hAnsiTheme="majorHAnsi" w:cstheme="majorBidi"/>
      <w:color w:val="17365D" w:themeColor="text2" w:themeShade="BF"/>
      <w:spacing w:val="5"/>
      <w:kern w:val="28"/>
      <w:sz w:val="52"/>
      <w:szCs w:val="52"/>
    </w:rPr>
  </w:style>
  <w:style w:type="character" w:customStyle="1" w:styleId="TitoloCarattere">
    <w:name w:val="Titolo Carattere"/>
    <w:basedOn w:val="Caratterepredefinitoparagrafo"/>
    <w:link w:val="Titolo"/>
    <w:uiPriority w:val="10"/>
    <w:rsid w:val="00861335"/>
    <w:rPr>
      <w:rFonts w:asciiTheme="majorHAnsi" w:eastAsiaTheme="majorEastAsia" w:hAnsiTheme="majorHAnsi" w:cstheme="majorBidi"/>
      <w:color w:val="17365D" w:themeColor="text2" w:themeShade="BF"/>
      <w:spacing w:val="5"/>
      <w:kern w:val="28"/>
      <w:sz w:val="52"/>
      <w:szCs w:val="52"/>
    </w:rPr>
  </w:style>
  <w:style w:type="paragraph" w:styleId="Sommario1">
    <w:name w:val="toc 1"/>
    <w:basedOn w:val="Normale"/>
    <w:next w:val="Normale"/>
    <w:uiPriority w:val="39"/>
    <w:unhideWhenUsed/>
    <w:rsid w:val="009536C0"/>
    <w:pPr>
      <w:spacing w:before="120"/>
      <w:ind w:left="709" w:hanging="709"/>
      <w:jc w:val="left"/>
    </w:pPr>
    <w:rPr>
      <w:b/>
      <w:sz w:val="22"/>
      <w:szCs w:val="22"/>
    </w:rPr>
  </w:style>
  <w:style w:type="paragraph" w:styleId="Sommario2">
    <w:name w:val="toc 2"/>
    <w:basedOn w:val="Normale"/>
    <w:next w:val="Normale"/>
    <w:autoRedefine/>
    <w:uiPriority w:val="39"/>
    <w:unhideWhenUsed/>
    <w:rsid w:val="009536C0"/>
    <w:pPr>
      <w:ind w:left="993" w:hanging="709"/>
      <w:contextualSpacing w:val="0"/>
      <w:jc w:val="left"/>
    </w:pPr>
    <w:rPr>
      <w:sz w:val="22"/>
      <w:szCs w:val="22"/>
    </w:rPr>
  </w:style>
  <w:style w:type="paragraph" w:styleId="Sommario3">
    <w:name w:val="toc 3"/>
    <w:basedOn w:val="Normale"/>
    <w:next w:val="Normale"/>
    <w:autoRedefine/>
    <w:uiPriority w:val="39"/>
    <w:unhideWhenUsed/>
    <w:rsid w:val="009536C0"/>
    <w:pPr>
      <w:ind w:left="1276" w:hanging="709"/>
      <w:jc w:val="left"/>
    </w:pPr>
    <w:rPr>
      <w:sz w:val="22"/>
      <w:szCs w:val="22"/>
    </w:rPr>
  </w:style>
  <w:style w:type="paragraph" w:styleId="Sommario4">
    <w:name w:val="toc 4"/>
    <w:basedOn w:val="Normale"/>
    <w:next w:val="Normale"/>
    <w:autoRedefine/>
    <w:uiPriority w:val="39"/>
    <w:unhideWhenUsed/>
    <w:rsid w:val="009536C0"/>
    <w:pPr>
      <w:ind w:left="1560" w:hanging="709"/>
      <w:jc w:val="left"/>
    </w:pPr>
    <w:rPr>
      <w:i/>
      <w:sz w:val="22"/>
      <w:szCs w:val="18"/>
    </w:rPr>
  </w:style>
  <w:style w:type="paragraph" w:styleId="Sommario5">
    <w:name w:val="toc 5"/>
    <w:basedOn w:val="Normale"/>
    <w:next w:val="Normale"/>
    <w:autoRedefine/>
    <w:uiPriority w:val="39"/>
    <w:unhideWhenUsed/>
    <w:rsid w:val="008F5EAD"/>
    <w:pPr>
      <w:ind w:left="960"/>
    </w:pPr>
    <w:rPr>
      <w:sz w:val="18"/>
      <w:szCs w:val="18"/>
    </w:rPr>
  </w:style>
  <w:style w:type="paragraph" w:styleId="Sommario6">
    <w:name w:val="toc 6"/>
    <w:basedOn w:val="Normale"/>
    <w:next w:val="Normale"/>
    <w:autoRedefine/>
    <w:uiPriority w:val="39"/>
    <w:unhideWhenUsed/>
    <w:rsid w:val="008F5EAD"/>
    <w:pPr>
      <w:ind w:left="1200"/>
    </w:pPr>
    <w:rPr>
      <w:sz w:val="18"/>
      <w:szCs w:val="18"/>
    </w:rPr>
  </w:style>
  <w:style w:type="paragraph" w:styleId="Sommario7">
    <w:name w:val="toc 7"/>
    <w:basedOn w:val="Normale"/>
    <w:next w:val="Normale"/>
    <w:autoRedefine/>
    <w:uiPriority w:val="39"/>
    <w:unhideWhenUsed/>
    <w:rsid w:val="008F5EAD"/>
    <w:pPr>
      <w:ind w:left="1440"/>
    </w:pPr>
    <w:rPr>
      <w:sz w:val="18"/>
      <w:szCs w:val="18"/>
    </w:rPr>
  </w:style>
  <w:style w:type="paragraph" w:styleId="Sommario8">
    <w:name w:val="toc 8"/>
    <w:basedOn w:val="Normale"/>
    <w:next w:val="Normale"/>
    <w:autoRedefine/>
    <w:uiPriority w:val="39"/>
    <w:unhideWhenUsed/>
    <w:rsid w:val="008F5EAD"/>
    <w:pPr>
      <w:ind w:left="1680"/>
    </w:pPr>
    <w:rPr>
      <w:sz w:val="18"/>
      <w:szCs w:val="18"/>
    </w:rPr>
  </w:style>
  <w:style w:type="paragraph" w:styleId="Sommario9">
    <w:name w:val="toc 9"/>
    <w:basedOn w:val="Normale"/>
    <w:next w:val="Normale"/>
    <w:autoRedefine/>
    <w:uiPriority w:val="39"/>
    <w:unhideWhenUsed/>
    <w:rsid w:val="008F5EAD"/>
    <w:pPr>
      <w:ind w:left="1920"/>
    </w:pPr>
    <w:rPr>
      <w:sz w:val="18"/>
      <w:szCs w:val="18"/>
    </w:rPr>
  </w:style>
  <w:style w:type="paragraph" w:styleId="Testofumetto">
    <w:name w:val="Balloon Text"/>
    <w:basedOn w:val="Normale"/>
    <w:link w:val="TestofumettoCarattere"/>
    <w:uiPriority w:val="99"/>
    <w:unhideWhenUsed/>
    <w:qFormat/>
    <w:rsid w:val="007F3B63"/>
    <w:pPr>
      <w:spacing w:after="120" w:line="240" w:lineRule="auto"/>
      <w:contextualSpacing w:val="0"/>
      <w:jc w:val="left"/>
    </w:pPr>
    <w:rPr>
      <w:rFonts w:cs="Lucida Grande"/>
      <w:b/>
      <w:sz w:val="20"/>
      <w:szCs w:val="18"/>
    </w:rPr>
  </w:style>
  <w:style w:type="character" w:customStyle="1" w:styleId="TestofumettoCarattere">
    <w:name w:val="Testo fumetto Carattere"/>
    <w:basedOn w:val="Caratterepredefinitoparagrafo"/>
    <w:link w:val="Testofumetto"/>
    <w:uiPriority w:val="99"/>
    <w:rsid w:val="007F3B63"/>
    <w:rPr>
      <w:rFonts w:ascii="Times New Roman" w:hAnsi="Times New Roman" w:cs="Lucida Grande"/>
      <w:b/>
      <w:sz w:val="20"/>
      <w:szCs w:val="18"/>
      <w:lang w:val="en-GB"/>
    </w:rPr>
  </w:style>
  <w:style w:type="character" w:styleId="Rimandocommento">
    <w:name w:val="annotation reference"/>
    <w:basedOn w:val="Caratterepredefinitoparagrafo"/>
    <w:uiPriority w:val="99"/>
    <w:semiHidden/>
    <w:unhideWhenUsed/>
    <w:rsid w:val="00AE7C8F"/>
    <w:rPr>
      <w:sz w:val="16"/>
      <w:szCs w:val="16"/>
    </w:rPr>
  </w:style>
  <w:style w:type="paragraph" w:styleId="Testocommento">
    <w:name w:val="annotation text"/>
    <w:basedOn w:val="Normale"/>
    <w:link w:val="TestocommentoCarattere"/>
    <w:uiPriority w:val="99"/>
    <w:unhideWhenUsed/>
    <w:rsid w:val="00AE7C8F"/>
    <w:rPr>
      <w:sz w:val="20"/>
      <w:szCs w:val="20"/>
    </w:rPr>
  </w:style>
  <w:style w:type="character" w:customStyle="1" w:styleId="TestocommentoCarattere">
    <w:name w:val="Testo commento Carattere"/>
    <w:basedOn w:val="Caratterepredefinitoparagrafo"/>
    <w:link w:val="Testocommento"/>
    <w:uiPriority w:val="99"/>
    <w:rsid w:val="00AE7C8F"/>
    <w:rPr>
      <w:sz w:val="20"/>
      <w:szCs w:val="20"/>
    </w:rPr>
  </w:style>
  <w:style w:type="paragraph" w:styleId="Soggettocommento">
    <w:name w:val="annotation subject"/>
    <w:basedOn w:val="Testocommento"/>
    <w:next w:val="Testocommento"/>
    <w:link w:val="SoggettocommentoCarattere"/>
    <w:uiPriority w:val="99"/>
    <w:semiHidden/>
    <w:unhideWhenUsed/>
    <w:rsid w:val="00AE7C8F"/>
    <w:rPr>
      <w:b/>
      <w:bCs/>
    </w:rPr>
  </w:style>
  <w:style w:type="character" w:customStyle="1" w:styleId="SoggettocommentoCarattere">
    <w:name w:val="Soggetto commento Carattere"/>
    <w:basedOn w:val="TestocommentoCarattere"/>
    <w:link w:val="Soggettocommento"/>
    <w:uiPriority w:val="99"/>
    <w:semiHidden/>
    <w:rsid w:val="00AE7C8F"/>
    <w:rPr>
      <w:b/>
      <w:bCs/>
      <w:sz w:val="20"/>
      <w:szCs w:val="20"/>
    </w:rPr>
  </w:style>
  <w:style w:type="paragraph" w:styleId="Didascalia">
    <w:name w:val="caption"/>
    <w:basedOn w:val="Normale"/>
    <w:next w:val="Normale"/>
    <w:uiPriority w:val="35"/>
    <w:unhideWhenUsed/>
    <w:qFormat/>
    <w:rsid w:val="007F3B63"/>
    <w:pPr>
      <w:spacing w:after="200" w:line="240" w:lineRule="auto"/>
      <w:jc w:val="left"/>
    </w:pPr>
    <w:rPr>
      <w:b/>
      <w:iCs/>
      <w:sz w:val="20"/>
      <w:szCs w:val="18"/>
    </w:rPr>
  </w:style>
  <w:style w:type="paragraph" w:styleId="Intestazione">
    <w:name w:val="header"/>
    <w:basedOn w:val="Normale"/>
    <w:link w:val="IntestazioneCarattere"/>
    <w:uiPriority w:val="99"/>
    <w:unhideWhenUsed/>
    <w:rsid w:val="006813EC"/>
    <w:pPr>
      <w:tabs>
        <w:tab w:val="center" w:pos="4513"/>
        <w:tab w:val="right" w:pos="9026"/>
      </w:tabs>
    </w:pPr>
  </w:style>
  <w:style w:type="character" w:customStyle="1" w:styleId="IntestazioneCarattere">
    <w:name w:val="Intestazione Carattere"/>
    <w:basedOn w:val="Caratterepredefinitoparagrafo"/>
    <w:link w:val="Intestazione"/>
    <w:uiPriority w:val="99"/>
    <w:rsid w:val="006813EC"/>
  </w:style>
  <w:style w:type="paragraph" w:customStyle="1" w:styleId="titoloangi4">
    <w:name w:val="titolo angi 4"/>
    <w:basedOn w:val="Titolo3"/>
    <w:qFormat/>
    <w:rsid w:val="00391E84"/>
    <w:pPr>
      <w:keepLines w:val="0"/>
      <w:numPr>
        <w:ilvl w:val="0"/>
        <w:numId w:val="0"/>
      </w:numPr>
      <w:tabs>
        <w:tab w:val="left" w:pos="1843"/>
      </w:tabs>
      <w:spacing w:before="120" w:after="40"/>
      <w:ind w:left="864" w:hanging="864"/>
    </w:pPr>
    <w:rPr>
      <w:rFonts w:ascii="Cambria" w:eastAsia="Times New Roman" w:hAnsi="Cambria" w:cs="Times New Roman"/>
      <w:b w:val="0"/>
      <w:i/>
      <w:sz w:val="22"/>
      <w:szCs w:val="22"/>
    </w:rPr>
  </w:style>
  <w:style w:type="paragraph" w:styleId="Testonotaapidipagina">
    <w:name w:val="footnote text"/>
    <w:basedOn w:val="Normale"/>
    <w:link w:val="TestonotaapidipaginaCarattere"/>
    <w:uiPriority w:val="99"/>
    <w:unhideWhenUsed/>
    <w:rsid w:val="00391E84"/>
    <w:rPr>
      <w:rFonts w:eastAsiaTheme="minorHAnsi"/>
      <w:sz w:val="20"/>
      <w:szCs w:val="20"/>
      <w:lang w:eastAsia="en-US"/>
    </w:rPr>
  </w:style>
  <w:style w:type="character" w:customStyle="1" w:styleId="TestonotaapidipaginaCarattere">
    <w:name w:val="Testo nota a piè di pagina Carattere"/>
    <w:basedOn w:val="Caratterepredefinitoparagrafo"/>
    <w:link w:val="Testonotaapidipagina"/>
    <w:uiPriority w:val="99"/>
    <w:rsid w:val="00391E84"/>
    <w:rPr>
      <w:rFonts w:ascii="Times New Roman" w:eastAsiaTheme="minorHAnsi" w:hAnsi="Times New Roman"/>
      <w:sz w:val="20"/>
      <w:szCs w:val="20"/>
      <w:lang w:eastAsia="en-US"/>
    </w:rPr>
  </w:style>
  <w:style w:type="paragraph" w:styleId="Titolosommario">
    <w:name w:val="TOC Heading"/>
    <w:basedOn w:val="Titolo1"/>
    <w:next w:val="Normale"/>
    <w:uiPriority w:val="39"/>
    <w:unhideWhenUsed/>
    <w:qFormat/>
    <w:rsid w:val="00391E84"/>
    <w:pPr>
      <w:tabs>
        <w:tab w:val="clear" w:pos="720"/>
      </w:tabs>
      <w:spacing w:before="480" w:after="0"/>
      <w:ind w:left="432" w:hanging="432"/>
      <w:jc w:val="both"/>
      <w:outlineLvl w:val="9"/>
    </w:pPr>
    <w:rPr>
      <w:rFonts w:asciiTheme="majorHAnsi" w:hAnsiTheme="majorHAnsi"/>
      <w:color w:val="365F91" w:themeColor="accent1" w:themeShade="BF"/>
      <w:kern w:val="0"/>
    </w:rPr>
  </w:style>
  <w:style w:type="numbering" w:styleId="111111">
    <w:name w:val="Outline List 2"/>
    <w:basedOn w:val="Nessunelenco"/>
    <w:uiPriority w:val="99"/>
    <w:semiHidden/>
    <w:unhideWhenUsed/>
    <w:rsid w:val="00391E84"/>
    <w:pPr>
      <w:numPr>
        <w:numId w:val="8"/>
      </w:numPr>
    </w:pPr>
  </w:style>
  <w:style w:type="table" w:styleId="Grigliatabella">
    <w:name w:val="Table Grid"/>
    <w:basedOn w:val="Tabellanormale"/>
    <w:uiPriority w:val="59"/>
    <w:rsid w:val="008940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llegamentoipertestuale">
    <w:name w:val="Hyperlink"/>
    <w:basedOn w:val="Caratterepredefinitoparagrafo"/>
    <w:uiPriority w:val="99"/>
    <w:unhideWhenUsed/>
    <w:rsid w:val="008940B3"/>
    <w:rPr>
      <w:color w:val="0000FF" w:themeColor="hyperlink"/>
      <w:u w:val="single"/>
    </w:rPr>
  </w:style>
  <w:style w:type="paragraph" w:styleId="Revisione">
    <w:name w:val="Revision"/>
    <w:hidden/>
    <w:uiPriority w:val="99"/>
    <w:semiHidden/>
    <w:rsid w:val="008940B3"/>
    <w:rPr>
      <w:rFonts w:ascii="Times New Roman" w:hAnsi="Times New Roman"/>
    </w:rPr>
  </w:style>
  <w:style w:type="table" w:styleId="Sfondochiaro">
    <w:name w:val="Light Shading"/>
    <w:basedOn w:val="Tabellanormale"/>
    <w:uiPriority w:val="60"/>
    <w:rsid w:val="008940B3"/>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Elencochiaro">
    <w:name w:val="Light List"/>
    <w:basedOn w:val="Tabellanormale"/>
    <w:uiPriority w:val="61"/>
    <w:rsid w:val="001A4F1A"/>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Indicedellefigure">
    <w:name w:val="table of figures"/>
    <w:basedOn w:val="Normale"/>
    <w:next w:val="Normale"/>
    <w:uiPriority w:val="99"/>
    <w:unhideWhenUsed/>
    <w:rsid w:val="004B6F6C"/>
    <w:pPr>
      <w:ind w:left="709" w:hanging="709"/>
      <w:jc w:val="left"/>
    </w:pPr>
    <w:rPr>
      <w:sz w:val="22"/>
    </w:rPr>
  </w:style>
  <w:style w:type="table" w:styleId="Elencochiaro-Colore1">
    <w:name w:val="Light List Accent 1"/>
    <w:basedOn w:val="Tabellanormale"/>
    <w:uiPriority w:val="61"/>
    <w:rsid w:val="001A4F1A"/>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Grigliachiara">
    <w:name w:val="Light Grid"/>
    <w:basedOn w:val="Tabellanormale"/>
    <w:uiPriority w:val="62"/>
    <w:rsid w:val="001A4F1A"/>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Mappadocumento">
    <w:name w:val="Document Map"/>
    <w:basedOn w:val="Normale"/>
    <w:link w:val="MappadocumentoCarattere"/>
    <w:uiPriority w:val="99"/>
    <w:semiHidden/>
    <w:unhideWhenUsed/>
    <w:rsid w:val="001A4F1A"/>
    <w:pPr>
      <w:spacing w:line="240" w:lineRule="auto"/>
      <w:contextualSpacing w:val="0"/>
      <w:jc w:val="left"/>
    </w:pPr>
    <w:rPr>
      <w:rFonts w:ascii="Lucida Grande" w:hAnsi="Lucida Grande" w:cs="Lucida Grande"/>
      <w:lang w:val="it-IT"/>
    </w:rPr>
  </w:style>
  <w:style w:type="character" w:customStyle="1" w:styleId="MappadocumentoCarattere">
    <w:name w:val="Mappa documento Carattere"/>
    <w:basedOn w:val="Caratterepredefinitoparagrafo"/>
    <w:link w:val="Mappadocumento"/>
    <w:uiPriority w:val="99"/>
    <w:semiHidden/>
    <w:rsid w:val="001A4F1A"/>
    <w:rPr>
      <w:rFonts w:ascii="Lucida Grande" w:hAnsi="Lucida Grande" w:cs="Lucida Grande"/>
    </w:rPr>
  </w:style>
  <w:style w:type="paragraph" w:styleId="NormaleWeb">
    <w:name w:val="Normal (Web)"/>
    <w:basedOn w:val="Normale"/>
    <w:uiPriority w:val="99"/>
    <w:semiHidden/>
    <w:unhideWhenUsed/>
    <w:rsid w:val="00D726B2"/>
    <w:pPr>
      <w:spacing w:before="100" w:beforeAutospacing="1" w:after="100" w:afterAutospacing="1" w:line="240" w:lineRule="auto"/>
      <w:contextualSpacing w:val="0"/>
      <w:jc w:val="left"/>
    </w:pPr>
    <w:rPr>
      <w:rFonts w:eastAsia="Times New Roman"/>
      <w:lang w:eastAsia="en-GB"/>
    </w:rPr>
  </w:style>
  <w:style w:type="character" w:styleId="Rimandonotaapidipagina">
    <w:name w:val="footnote reference"/>
    <w:basedOn w:val="Caratterepredefinitoparagrafo"/>
    <w:uiPriority w:val="99"/>
    <w:unhideWhenUsed/>
    <w:rsid w:val="00D726B2"/>
    <w:rPr>
      <w:vertAlign w:val="superscript"/>
    </w:rPr>
  </w:style>
  <w:style w:type="character" w:customStyle="1" w:styleId="st">
    <w:name w:val="st"/>
    <w:basedOn w:val="Caratterepredefinitoparagrafo"/>
    <w:rsid w:val="00303EFE"/>
  </w:style>
  <w:style w:type="character" w:styleId="Enfasicorsivo">
    <w:name w:val="Emphasis"/>
    <w:basedOn w:val="Caratterepredefinitoparagrafo"/>
    <w:uiPriority w:val="20"/>
    <w:qFormat/>
    <w:rsid w:val="00303EFE"/>
    <w:rPr>
      <w:i/>
      <w:iCs/>
    </w:rPr>
  </w:style>
  <w:style w:type="character" w:styleId="Collegamentovisitato">
    <w:name w:val="FollowedHyperlink"/>
    <w:basedOn w:val="Caratterepredefinitoparagrafo"/>
    <w:uiPriority w:val="99"/>
    <w:semiHidden/>
    <w:unhideWhenUsed/>
    <w:rsid w:val="00303EFE"/>
    <w:rPr>
      <w:color w:val="800080" w:themeColor="followedHyperlink"/>
      <w:u w:val="single"/>
    </w:rPr>
  </w:style>
  <w:style w:type="character" w:customStyle="1" w:styleId="UnresolvedMention">
    <w:name w:val="Unresolved Mention"/>
    <w:basedOn w:val="Caratterepredefinitoparagrafo"/>
    <w:uiPriority w:val="99"/>
    <w:semiHidden/>
    <w:unhideWhenUsed/>
    <w:rsid w:val="00163E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248301">
      <w:bodyDiv w:val="1"/>
      <w:marLeft w:val="0"/>
      <w:marRight w:val="0"/>
      <w:marTop w:val="0"/>
      <w:marBottom w:val="0"/>
      <w:divBdr>
        <w:top w:val="none" w:sz="0" w:space="0" w:color="auto"/>
        <w:left w:val="none" w:sz="0" w:space="0" w:color="auto"/>
        <w:bottom w:val="none" w:sz="0" w:space="0" w:color="auto"/>
        <w:right w:val="none" w:sz="0" w:space="0" w:color="auto"/>
      </w:divBdr>
    </w:div>
    <w:div w:id="363794469">
      <w:bodyDiv w:val="1"/>
      <w:marLeft w:val="0"/>
      <w:marRight w:val="0"/>
      <w:marTop w:val="0"/>
      <w:marBottom w:val="0"/>
      <w:divBdr>
        <w:top w:val="none" w:sz="0" w:space="0" w:color="auto"/>
        <w:left w:val="none" w:sz="0" w:space="0" w:color="auto"/>
        <w:bottom w:val="none" w:sz="0" w:space="0" w:color="auto"/>
        <w:right w:val="none" w:sz="0" w:space="0" w:color="auto"/>
      </w:divBdr>
    </w:div>
    <w:div w:id="592056994">
      <w:bodyDiv w:val="1"/>
      <w:marLeft w:val="0"/>
      <w:marRight w:val="0"/>
      <w:marTop w:val="0"/>
      <w:marBottom w:val="0"/>
      <w:divBdr>
        <w:top w:val="none" w:sz="0" w:space="0" w:color="auto"/>
        <w:left w:val="none" w:sz="0" w:space="0" w:color="auto"/>
        <w:bottom w:val="none" w:sz="0" w:space="0" w:color="auto"/>
        <w:right w:val="none" w:sz="0" w:space="0" w:color="auto"/>
      </w:divBdr>
    </w:div>
    <w:div w:id="1133519560">
      <w:bodyDiv w:val="1"/>
      <w:marLeft w:val="0"/>
      <w:marRight w:val="0"/>
      <w:marTop w:val="0"/>
      <w:marBottom w:val="0"/>
      <w:divBdr>
        <w:top w:val="none" w:sz="0" w:space="0" w:color="auto"/>
        <w:left w:val="none" w:sz="0" w:space="0" w:color="auto"/>
        <w:bottom w:val="none" w:sz="0" w:space="0" w:color="auto"/>
        <w:right w:val="none" w:sz="0" w:space="0" w:color="auto"/>
      </w:divBdr>
    </w:div>
    <w:div w:id="1289357960">
      <w:bodyDiv w:val="1"/>
      <w:marLeft w:val="0"/>
      <w:marRight w:val="0"/>
      <w:marTop w:val="0"/>
      <w:marBottom w:val="0"/>
      <w:divBdr>
        <w:top w:val="none" w:sz="0" w:space="0" w:color="auto"/>
        <w:left w:val="none" w:sz="0" w:space="0" w:color="auto"/>
        <w:bottom w:val="none" w:sz="0" w:space="0" w:color="auto"/>
        <w:right w:val="none" w:sz="0" w:space="0" w:color="auto"/>
      </w:divBdr>
    </w:div>
    <w:div w:id="1441100463">
      <w:bodyDiv w:val="1"/>
      <w:marLeft w:val="0"/>
      <w:marRight w:val="0"/>
      <w:marTop w:val="0"/>
      <w:marBottom w:val="0"/>
      <w:divBdr>
        <w:top w:val="none" w:sz="0" w:space="0" w:color="auto"/>
        <w:left w:val="none" w:sz="0" w:space="0" w:color="auto"/>
        <w:bottom w:val="none" w:sz="0" w:space="0" w:color="auto"/>
        <w:right w:val="none" w:sz="0" w:space="0" w:color="auto"/>
      </w:divBdr>
    </w:div>
    <w:div w:id="14726771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chart" Target="charts/chart81.xml"/><Relationship Id="rId107" Type="http://schemas.openxmlformats.org/officeDocument/2006/relationships/chart" Target="charts/chart82.xml"/><Relationship Id="rId108" Type="http://schemas.openxmlformats.org/officeDocument/2006/relationships/chart" Target="charts/chart83.xml"/><Relationship Id="rId109" Type="http://schemas.openxmlformats.org/officeDocument/2006/relationships/chart" Target="charts/chart84.xml"/><Relationship Id="rId70" Type="http://schemas.openxmlformats.org/officeDocument/2006/relationships/chart" Target="charts/chart45.xml"/><Relationship Id="rId71" Type="http://schemas.openxmlformats.org/officeDocument/2006/relationships/chart" Target="charts/chart46.xml"/><Relationship Id="rId72" Type="http://schemas.openxmlformats.org/officeDocument/2006/relationships/chart" Target="charts/chart47.xml"/><Relationship Id="rId73" Type="http://schemas.openxmlformats.org/officeDocument/2006/relationships/chart" Target="charts/chart48.xml"/><Relationship Id="rId74" Type="http://schemas.openxmlformats.org/officeDocument/2006/relationships/chart" Target="charts/chart49.xml"/><Relationship Id="rId75" Type="http://schemas.openxmlformats.org/officeDocument/2006/relationships/chart" Target="charts/chart50.xml"/><Relationship Id="rId76" Type="http://schemas.openxmlformats.org/officeDocument/2006/relationships/chart" Target="charts/chart51.xml"/><Relationship Id="rId77" Type="http://schemas.openxmlformats.org/officeDocument/2006/relationships/chart" Target="charts/chart52.xml"/><Relationship Id="rId78" Type="http://schemas.openxmlformats.org/officeDocument/2006/relationships/chart" Target="charts/chart53.xml"/><Relationship Id="rId79" Type="http://schemas.openxmlformats.org/officeDocument/2006/relationships/chart" Target="charts/chart54.xml"/><Relationship Id="rId170" Type="http://schemas.openxmlformats.org/officeDocument/2006/relationships/image" Target="media/image35.jpeg"/><Relationship Id="rId171" Type="http://schemas.microsoft.com/office/2007/relationships/hdphoto" Target="media/hdphoto23.wdp"/><Relationship Id="rId172" Type="http://schemas.openxmlformats.org/officeDocument/2006/relationships/image" Target="media/image36.jpeg"/><Relationship Id="rId173" Type="http://schemas.microsoft.com/office/2007/relationships/hdphoto" Target="media/hdphoto24.wdp"/><Relationship Id="rId174" Type="http://schemas.openxmlformats.org/officeDocument/2006/relationships/image" Target="media/image37.jpeg"/><Relationship Id="rId175" Type="http://schemas.microsoft.com/office/2007/relationships/hdphoto" Target="media/hdphoto25.wdp"/><Relationship Id="rId176" Type="http://schemas.openxmlformats.org/officeDocument/2006/relationships/image" Target="media/image38.jpeg"/><Relationship Id="rId177" Type="http://schemas.microsoft.com/office/2007/relationships/hdphoto" Target="media/hdphoto26.wdp"/><Relationship Id="rId178" Type="http://schemas.openxmlformats.org/officeDocument/2006/relationships/image" Target="media/image39.jpeg"/><Relationship Id="rId179" Type="http://schemas.microsoft.com/office/2007/relationships/hdphoto" Target="media/hdphoto27.wdp"/><Relationship Id="rId260" Type="http://schemas.microsoft.com/office/2007/relationships/hdphoto" Target="media/hdphoto66.wdp"/><Relationship Id="rId10" Type="http://schemas.openxmlformats.org/officeDocument/2006/relationships/hyperlink" Target="file:///D:\Dropbox\Editing\OP19610\OP19610%20Thesis%20assembled%202407.docx" TargetMode="External"/><Relationship Id="rId11" Type="http://schemas.openxmlformats.org/officeDocument/2006/relationships/image" Target="media/image2.png"/><Relationship Id="rId12" Type="http://schemas.openxmlformats.org/officeDocument/2006/relationships/image" Target="media/image3.jpeg"/><Relationship Id="rId13" Type="http://schemas.openxmlformats.org/officeDocument/2006/relationships/chart" Target="charts/chart1.xml"/><Relationship Id="rId14" Type="http://schemas.openxmlformats.org/officeDocument/2006/relationships/image" Target="media/image4.jpeg"/><Relationship Id="rId15" Type="http://schemas.openxmlformats.org/officeDocument/2006/relationships/chart" Target="charts/chart2.xml"/><Relationship Id="rId16" Type="http://schemas.openxmlformats.org/officeDocument/2006/relationships/image" Target="media/image5.jpeg"/><Relationship Id="rId17" Type="http://schemas.openxmlformats.org/officeDocument/2006/relationships/chart" Target="charts/chart3.xml"/><Relationship Id="rId18" Type="http://schemas.openxmlformats.org/officeDocument/2006/relationships/chart" Target="charts/chart4.xml"/><Relationship Id="rId19" Type="http://schemas.openxmlformats.org/officeDocument/2006/relationships/chart" Target="charts/chart5.xml"/><Relationship Id="rId261" Type="http://schemas.openxmlformats.org/officeDocument/2006/relationships/image" Target="media/image82.jpeg"/><Relationship Id="rId262" Type="http://schemas.microsoft.com/office/2007/relationships/hdphoto" Target="media/hdphoto67.wdp"/><Relationship Id="rId263" Type="http://schemas.openxmlformats.org/officeDocument/2006/relationships/image" Target="media/image83.png"/><Relationship Id="rId264" Type="http://schemas.openxmlformats.org/officeDocument/2006/relationships/image" Target="media/image84.png"/><Relationship Id="rId110" Type="http://schemas.openxmlformats.org/officeDocument/2006/relationships/chart" Target="charts/chart85.xml"/><Relationship Id="rId111" Type="http://schemas.openxmlformats.org/officeDocument/2006/relationships/chart" Target="charts/chart86.xml"/><Relationship Id="rId112" Type="http://schemas.openxmlformats.org/officeDocument/2006/relationships/chart" Target="charts/chart87.xml"/><Relationship Id="rId113" Type="http://schemas.openxmlformats.org/officeDocument/2006/relationships/chart" Target="charts/chart88.xml"/><Relationship Id="rId114" Type="http://schemas.openxmlformats.org/officeDocument/2006/relationships/chart" Target="charts/chart89.xml"/><Relationship Id="rId115" Type="http://schemas.openxmlformats.org/officeDocument/2006/relationships/chart" Target="charts/chart90.xml"/><Relationship Id="rId116" Type="http://schemas.openxmlformats.org/officeDocument/2006/relationships/chart" Target="charts/chart91.xml"/><Relationship Id="rId117" Type="http://schemas.openxmlformats.org/officeDocument/2006/relationships/chart" Target="charts/chart92.xml"/><Relationship Id="rId118" Type="http://schemas.openxmlformats.org/officeDocument/2006/relationships/chart" Target="charts/chart93.xml"/><Relationship Id="rId119" Type="http://schemas.openxmlformats.org/officeDocument/2006/relationships/chart" Target="charts/chart94.xml"/><Relationship Id="rId200" Type="http://schemas.openxmlformats.org/officeDocument/2006/relationships/image" Target="media/image50.jpeg"/><Relationship Id="rId201" Type="http://schemas.microsoft.com/office/2007/relationships/hdphoto" Target="media/hdphoto38.wdp"/><Relationship Id="rId202" Type="http://schemas.openxmlformats.org/officeDocument/2006/relationships/image" Target="media/image51.jpeg"/><Relationship Id="rId203" Type="http://schemas.microsoft.com/office/2007/relationships/hdphoto" Target="media/hdphoto39.wdp"/><Relationship Id="rId204" Type="http://schemas.openxmlformats.org/officeDocument/2006/relationships/image" Target="media/image52.jpeg"/><Relationship Id="rId205" Type="http://schemas.microsoft.com/office/2007/relationships/hdphoto" Target="media/hdphoto40.wdp"/><Relationship Id="rId206" Type="http://schemas.openxmlformats.org/officeDocument/2006/relationships/image" Target="media/image53.jpeg"/><Relationship Id="rId207" Type="http://schemas.microsoft.com/office/2007/relationships/hdphoto" Target="media/hdphoto41.wdp"/><Relationship Id="rId208" Type="http://schemas.openxmlformats.org/officeDocument/2006/relationships/image" Target="media/image54.jpeg"/><Relationship Id="rId209" Type="http://schemas.microsoft.com/office/2007/relationships/hdphoto" Target="media/hdphoto42.wdp"/><Relationship Id="rId265" Type="http://schemas.openxmlformats.org/officeDocument/2006/relationships/image" Target="media/image85.png"/><Relationship Id="rId266" Type="http://schemas.openxmlformats.org/officeDocument/2006/relationships/header" Target="header1.xml"/><Relationship Id="rId267" Type="http://schemas.openxmlformats.org/officeDocument/2006/relationships/chart" Target="charts/chart101.xml"/><Relationship Id="rId268" Type="http://schemas.openxmlformats.org/officeDocument/2006/relationships/hyperlink" Target="http://www.yppo.gr/0/anaskafes/pdfs/KE_EPKA.pdf" TargetMode="External"/><Relationship Id="rId269" Type="http://schemas.openxmlformats.org/officeDocument/2006/relationships/chart" Target="charts/chart10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80" Type="http://schemas.openxmlformats.org/officeDocument/2006/relationships/chart" Target="charts/chart55.xml"/><Relationship Id="rId81" Type="http://schemas.openxmlformats.org/officeDocument/2006/relationships/chart" Target="charts/chart56.xml"/><Relationship Id="rId82" Type="http://schemas.openxmlformats.org/officeDocument/2006/relationships/chart" Target="charts/chart57.xml"/><Relationship Id="rId83" Type="http://schemas.openxmlformats.org/officeDocument/2006/relationships/chart" Target="charts/chart58.xml"/><Relationship Id="rId84" Type="http://schemas.openxmlformats.org/officeDocument/2006/relationships/chart" Target="charts/chart59.xml"/><Relationship Id="rId85" Type="http://schemas.openxmlformats.org/officeDocument/2006/relationships/chart" Target="charts/chart60.xml"/><Relationship Id="rId86" Type="http://schemas.openxmlformats.org/officeDocument/2006/relationships/chart" Target="charts/chart61.xml"/><Relationship Id="rId87" Type="http://schemas.openxmlformats.org/officeDocument/2006/relationships/chart" Target="charts/chart62.xml"/><Relationship Id="rId88" Type="http://schemas.openxmlformats.org/officeDocument/2006/relationships/chart" Target="charts/chart63.xml"/><Relationship Id="rId89" Type="http://schemas.openxmlformats.org/officeDocument/2006/relationships/chart" Target="charts/chart64.xml"/><Relationship Id="rId180" Type="http://schemas.openxmlformats.org/officeDocument/2006/relationships/image" Target="media/image40.jpeg"/><Relationship Id="rId181" Type="http://schemas.microsoft.com/office/2007/relationships/hdphoto" Target="media/hdphoto28.wdp"/><Relationship Id="rId182" Type="http://schemas.openxmlformats.org/officeDocument/2006/relationships/image" Target="media/image41.jpeg"/><Relationship Id="rId183" Type="http://schemas.microsoft.com/office/2007/relationships/hdphoto" Target="media/hdphoto29.wdp"/><Relationship Id="rId184" Type="http://schemas.openxmlformats.org/officeDocument/2006/relationships/image" Target="media/image42.jpeg"/><Relationship Id="rId185" Type="http://schemas.microsoft.com/office/2007/relationships/hdphoto" Target="media/hdphoto30.wdp"/><Relationship Id="rId186" Type="http://schemas.openxmlformats.org/officeDocument/2006/relationships/image" Target="media/image43.jpeg"/><Relationship Id="rId187" Type="http://schemas.microsoft.com/office/2007/relationships/hdphoto" Target="media/hdphoto31.wdp"/><Relationship Id="rId188" Type="http://schemas.openxmlformats.org/officeDocument/2006/relationships/image" Target="media/image44.jpeg"/><Relationship Id="rId189" Type="http://schemas.microsoft.com/office/2007/relationships/hdphoto" Target="media/hdphoto32.wdp"/><Relationship Id="rId270" Type="http://schemas.openxmlformats.org/officeDocument/2006/relationships/chart" Target="charts/chart103.xml"/><Relationship Id="rId20" Type="http://schemas.openxmlformats.org/officeDocument/2006/relationships/chart" Target="charts/chart6.xml"/><Relationship Id="rId21" Type="http://schemas.openxmlformats.org/officeDocument/2006/relationships/chart" Target="charts/chart7.xml"/><Relationship Id="rId22" Type="http://schemas.openxmlformats.org/officeDocument/2006/relationships/chart" Target="charts/chart8.xml"/><Relationship Id="rId23" Type="http://schemas.openxmlformats.org/officeDocument/2006/relationships/chart" Target="charts/chart9.xml"/><Relationship Id="rId24" Type="http://schemas.openxmlformats.org/officeDocument/2006/relationships/chart" Target="charts/chart10.xml"/><Relationship Id="rId25" Type="http://schemas.openxmlformats.org/officeDocument/2006/relationships/image" Target="media/image6.jpeg"/><Relationship Id="rId26" Type="http://schemas.openxmlformats.org/officeDocument/2006/relationships/chart" Target="charts/chart11.xml"/><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footer" Target="footer3.xml"/><Relationship Id="rId271" Type="http://schemas.openxmlformats.org/officeDocument/2006/relationships/footer" Target="footer4.xml"/><Relationship Id="rId272" Type="http://schemas.openxmlformats.org/officeDocument/2006/relationships/chart" Target="charts/chart104.xml"/><Relationship Id="rId273" Type="http://schemas.openxmlformats.org/officeDocument/2006/relationships/chart" Target="charts/chart105.xml"/><Relationship Id="rId274" Type="http://schemas.openxmlformats.org/officeDocument/2006/relationships/chart" Target="charts/chart106.xml"/><Relationship Id="rId120" Type="http://schemas.openxmlformats.org/officeDocument/2006/relationships/chart" Target="charts/chart95.xml"/><Relationship Id="rId121" Type="http://schemas.openxmlformats.org/officeDocument/2006/relationships/chart" Target="charts/chart96.xml"/><Relationship Id="rId122" Type="http://schemas.openxmlformats.org/officeDocument/2006/relationships/chart" Target="charts/chart97.xml"/><Relationship Id="rId123" Type="http://schemas.openxmlformats.org/officeDocument/2006/relationships/chart" Target="charts/chart98.xml"/><Relationship Id="rId124" Type="http://schemas.openxmlformats.org/officeDocument/2006/relationships/chart" Target="charts/chart99.xml"/><Relationship Id="rId125" Type="http://schemas.openxmlformats.org/officeDocument/2006/relationships/chart" Target="charts/chart100.xml"/><Relationship Id="rId126" Type="http://schemas.openxmlformats.org/officeDocument/2006/relationships/image" Target="media/image13.jpeg"/><Relationship Id="rId127" Type="http://schemas.microsoft.com/office/2007/relationships/hdphoto" Target="media/hdphoto1.wdp"/><Relationship Id="rId128" Type="http://schemas.openxmlformats.org/officeDocument/2006/relationships/image" Target="media/image14.jpeg"/><Relationship Id="rId129" Type="http://schemas.microsoft.com/office/2007/relationships/hdphoto" Target="media/hdphoto2.wdp"/><Relationship Id="rId210" Type="http://schemas.openxmlformats.org/officeDocument/2006/relationships/image" Target="media/image55.jpeg"/><Relationship Id="rId211" Type="http://schemas.microsoft.com/office/2007/relationships/hdphoto" Target="media/hdphoto43.wdp"/><Relationship Id="rId212" Type="http://schemas.openxmlformats.org/officeDocument/2006/relationships/image" Target="media/image56.jpeg"/><Relationship Id="rId213" Type="http://schemas.microsoft.com/office/2007/relationships/hdphoto" Target="media/hdphoto44.wdp"/><Relationship Id="rId214" Type="http://schemas.openxmlformats.org/officeDocument/2006/relationships/image" Target="media/image57.jpeg"/><Relationship Id="rId215" Type="http://schemas.microsoft.com/office/2007/relationships/hdphoto" Target="media/hdphoto45.wdp"/><Relationship Id="rId216" Type="http://schemas.openxmlformats.org/officeDocument/2006/relationships/image" Target="media/image58.jpeg"/><Relationship Id="rId217" Type="http://schemas.microsoft.com/office/2007/relationships/hdphoto" Target="media/hdphoto46.wdp"/><Relationship Id="rId218" Type="http://schemas.openxmlformats.org/officeDocument/2006/relationships/image" Target="media/image59.jpeg"/><Relationship Id="rId219" Type="http://schemas.microsoft.com/office/2007/relationships/hdphoto" Target="media/hdphoto47.wdp"/><Relationship Id="rId275" Type="http://schemas.openxmlformats.org/officeDocument/2006/relationships/chart" Target="charts/chart107.xml"/><Relationship Id="rId276" Type="http://schemas.openxmlformats.org/officeDocument/2006/relationships/chart" Target="charts/chart108.xml"/><Relationship Id="rId277" Type="http://schemas.openxmlformats.org/officeDocument/2006/relationships/chart" Target="charts/chart109.xml"/><Relationship Id="rId278" Type="http://schemas.openxmlformats.org/officeDocument/2006/relationships/chart" Target="charts/chart110.xml"/><Relationship Id="rId279" Type="http://schemas.openxmlformats.org/officeDocument/2006/relationships/chart" Target="charts/chart111.xml"/><Relationship Id="rId300" Type="http://schemas.openxmlformats.org/officeDocument/2006/relationships/theme" Target="theme/theme1.xml"/><Relationship Id="rId90" Type="http://schemas.openxmlformats.org/officeDocument/2006/relationships/chart" Target="charts/chart65.xml"/><Relationship Id="rId91" Type="http://schemas.openxmlformats.org/officeDocument/2006/relationships/chart" Target="charts/chart66.xml"/><Relationship Id="rId92" Type="http://schemas.openxmlformats.org/officeDocument/2006/relationships/chart" Target="charts/chart67.xml"/><Relationship Id="rId93" Type="http://schemas.openxmlformats.org/officeDocument/2006/relationships/chart" Target="charts/chart68.xml"/><Relationship Id="rId94" Type="http://schemas.openxmlformats.org/officeDocument/2006/relationships/chart" Target="charts/chart69.xml"/><Relationship Id="rId95" Type="http://schemas.openxmlformats.org/officeDocument/2006/relationships/chart" Target="charts/chart70.xml"/><Relationship Id="rId96" Type="http://schemas.openxmlformats.org/officeDocument/2006/relationships/chart" Target="charts/chart71.xml"/><Relationship Id="rId97" Type="http://schemas.openxmlformats.org/officeDocument/2006/relationships/chart" Target="charts/chart72.xml"/><Relationship Id="rId98" Type="http://schemas.openxmlformats.org/officeDocument/2006/relationships/chart" Target="charts/chart73.xml"/><Relationship Id="rId99" Type="http://schemas.openxmlformats.org/officeDocument/2006/relationships/chart" Target="charts/chart74.xml"/><Relationship Id="rId190" Type="http://schemas.openxmlformats.org/officeDocument/2006/relationships/image" Target="media/image45.jpeg"/><Relationship Id="rId191" Type="http://schemas.microsoft.com/office/2007/relationships/hdphoto" Target="media/hdphoto33.wdp"/><Relationship Id="rId192" Type="http://schemas.openxmlformats.org/officeDocument/2006/relationships/image" Target="media/image46.jpeg"/><Relationship Id="rId193" Type="http://schemas.microsoft.com/office/2007/relationships/hdphoto" Target="media/hdphoto34.wdp"/><Relationship Id="rId194" Type="http://schemas.openxmlformats.org/officeDocument/2006/relationships/image" Target="media/image47.jpeg"/><Relationship Id="rId195" Type="http://schemas.microsoft.com/office/2007/relationships/hdphoto" Target="media/hdphoto35.wdp"/><Relationship Id="rId196" Type="http://schemas.openxmlformats.org/officeDocument/2006/relationships/image" Target="media/image48.jpeg"/><Relationship Id="rId197" Type="http://schemas.microsoft.com/office/2007/relationships/hdphoto" Target="media/hdphoto36.wdp"/><Relationship Id="rId198" Type="http://schemas.openxmlformats.org/officeDocument/2006/relationships/image" Target="media/image49.jpeg"/><Relationship Id="rId199" Type="http://schemas.microsoft.com/office/2007/relationships/hdphoto" Target="media/hdphoto37.wdp"/><Relationship Id="rId280" Type="http://schemas.openxmlformats.org/officeDocument/2006/relationships/chart" Target="charts/chart112.xml"/><Relationship Id="rId30" Type="http://schemas.openxmlformats.org/officeDocument/2006/relationships/comments" Target="comments.xml"/><Relationship Id="rId31" Type="http://schemas.openxmlformats.org/officeDocument/2006/relationships/chart" Target="charts/chart12.xml"/><Relationship Id="rId32" Type="http://schemas.openxmlformats.org/officeDocument/2006/relationships/chart" Target="charts/chart13.xml"/><Relationship Id="rId33" Type="http://schemas.openxmlformats.org/officeDocument/2006/relationships/chart" Target="charts/chart14.xml"/><Relationship Id="rId34" Type="http://schemas.openxmlformats.org/officeDocument/2006/relationships/chart" Target="charts/chart15.xml"/><Relationship Id="rId35" Type="http://schemas.openxmlformats.org/officeDocument/2006/relationships/chart" Target="charts/chart16.xml"/><Relationship Id="rId36" Type="http://schemas.openxmlformats.org/officeDocument/2006/relationships/image" Target="media/image7.jpeg"/><Relationship Id="rId37" Type="http://schemas.openxmlformats.org/officeDocument/2006/relationships/chart" Target="charts/chart17.xml"/><Relationship Id="rId38" Type="http://schemas.openxmlformats.org/officeDocument/2006/relationships/chart" Target="charts/chart18.xml"/><Relationship Id="rId39" Type="http://schemas.openxmlformats.org/officeDocument/2006/relationships/chart" Target="charts/chart19.xml"/><Relationship Id="rId281" Type="http://schemas.openxmlformats.org/officeDocument/2006/relationships/chart" Target="charts/chart113.xml"/><Relationship Id="rId282" Type="http://schemas.openxmlformats.org/officeDocument/2006/relationships/footer" Target="footer5.xml"/><Relationship Id="rId283" Type="http://schemas.openxmlformats.org/officeDocument/2006/relationships/chart" Target="charts/chart114.xml"/><Relationship Id="rId284" Type="http://schemas.openxmlformats.org/officeDocument/2006/relationships/chart" Target="charts/chart115.xml"/><Relationship Id="rId130" Type="http://schemas.openxmlformats.org/officeDocument/2006/relationships/image" Target="media/image15.jpeg"/><Relationship Id="rId131" Type="http://schemas.microsoft.com/office/2007/relationships/hdphoto" Target="media/hdphoto3.wdp"/><Relationship Id="rId132" Type="http://schemas.openxmlformats.org/officeDocument/2006/relationships/image" Target="media/image16.jpeg"/><Relationship Id="rId133" Type="http://schemas.microsoft.com/office/2007/relationships/hdphoto" Target="media/hdphoto4.wdp"/><Relationship Id="rId220" Type="http://schemas.openxmlformats.org/officeDocument/2006/relationships/image" Target="media/image60.jpeg"/><Relationship Id="rId221" Type="http://schemas.microsoft.com/office/2007/relationships/hdphoto" Target="media/hdphoto48.wdp"/><Relationship Id="rId222" Type="http://schemas.openxmlformats.org/officeDocument/2006/relationships/image" Target="media/image61.jpeg"/><Relationship Id="rId223" Type="http://schemas.microsoft.com/office/2007/relationships/hdphoto" Target="media/hdphoto49.wdp"/><Relationship Id="rId224" Type="http://schemas.openxmlformats.org/officeDocument/2006/relationships/image" Target="media/image62.jpeg"/><Relationship Id="rId225" Type="http://schemas.microsoft.com/office/2007/relationships/hdphoto" Target="media/hdphoto50.wdp"/><Relationship Id="rId226" Type="http://schemas.openxmlformats.org/officeDocument/2006/relationships/image" Target="media/image63.jpeg"/><Relationship Id="rId227" Type="http://schemas.microsoft.com/office/2007/relationships/hdphoto" Target="media/hdphoto51.wdp"/><Relationship Id="rId228" Type="http://schemas.openxmlformats.org/officeDocument/2006/relationships/image" Target="media/image64.png"/><Relationship Id="rId229" Type="http://schemas.openxmlformats.org/officeDocument/2006/relationships/image" Target="media/image65.jpeg"/><Relationship Id="rId134" Type="http://schemas.openxmlformats.org/officeDocument/2006/relationships/image" Target="media/image17.jpeg"/><Relationship Id="rId135" Type="http://schemas.microsoft.com/office/2007/relationships/hdphoto" Target="media/hdphoto5.wdp"/><Relationship Id="rId136" Type="http://schemas.openxmlformats.org/officeDocument/2006/relationships/image" Target="media/image18.jpeg"/><Relationship Id="rId137" Type="http://schemas.microsoft.com/office/2007/relationships/hdphoto" Target="media/hdphoto6.wdp"/><Relationship Id="rId138" Type="http://schemas.openxmlformats.org/officeDocument/2006/relationships/image" Target="media/image19.jpeg"/><Relationship Id="rId139" Type="http://schemas.microsoft.com/office/2007/relationships/hdphoto" Target="media/hdphoto7.wdp"/><Relationship Id="rId285" Type="http://schemas.openxmlformats.org/officeDocument/2006/relationships/chart" Target="charts/chart116.xml"/><Relationship Id="rId286" Type="http://schemas.openxmlformats.org/officeDocument/2006/relationships/chart" Target="charts/chart117.xml"/><Relationship Id="rId287" Type="http://schemas.openxmlformats.org/officeDocument/2006/relationships/footer" Target="footer6.xml"/><Relationship Id="rId288" Type="http://schemas.openxmlformats.org/officeDocument/2006/relationships/chart" Target="charts/chart118.xml"/><Relationship Id="rId289" Type="http://schemas.openxmlformats.org/officeDocument/2006/relationships/chart" Target="charts/chart119.xml"/><Relationship Id="rId290" Type="http://schemas.openxmlformats.org/officeDocument/2006/relationships/chart" Target="charts/chart120.xml"/><Relationship Id="rId291" Type="http://schemas.openxmlformats.org/officeDocument/2006/relationships/chart" Target="charts/chart121.xml"/><Relationship Id="rId292" Type="http://schemas.openxmlformats.org/officeDocument/2006/relationships/chart" Target="charts/chart122.xml"/><Relationship Id="rId293" Type="http://schemas.openxmlformats.org/officeDocument/2006/relationships/image" Target="media/image86.png"/><Relationship Id="rId294" Type="http://schemas.openxmlformats.org/officeDocument/2006/relationships/image" Target="media/image87.jpeg"/><Relationship Id="rId295" Type="http://schemas.openxmlformats.org/officeDocument/2006/relationships/image" Target="media/image88.jpeg"/><Relationship Id="rId296" Type="http://schemas.openxmlformats.org/officeDocument/2006/relationships/footer" Target="footer7.xml"/><Relationship Id="rId40" Type="http://schemas.openxmlformats.org/officeDocument/2006/relationships/chart" Target="charts/chart20.xml"/><Relationship Id="rId41" Type="http://schemas.openxmlformats.org/officeDocument/2006/relationships/chart" Target="charts/chart21.xml"/><Relationship Id="rId42" Type="http://schemas.openxmlformats.org/officeDocument/2006/relationships/chart" Target="charts/chart22.xml"/><Relationship Id="rId43" Type="http://schemas.openxmlformats.org/officeDocument/2006/relationships/chart" Target="charts/chart23.xml"/><Relationship Id="rId44" Type="http://schemas.openxmlformats.org/officeDocument/2006/relationships/image" Target="media/image8.jpeg"/><Relationship Id="rId45" Type="http://schemas.openxmlformats.org/officeDocument/2006/relationships/chart" Target="charts/chart24.xml"/><Relationship Id="rId46" Type="http://schemas.openxmlformats.org/officeDocument/2006/relationships/chart" Target="charts/chart25.xml"/><Relationship Id="rId47" Type="http://schemas.openxmlformats.org/officeDocument/2006/relationships/chart" Target="charts/chart26.xml"/><Relationship Id="rId48" Type="http://schemas.openxmlformats.org/officeDocument/2006/relationships/chart" Target="charts/chart27.xml"/><Relationship Id="rId49" Type="http://schemas.openxmlformats.org/officeDocument/2006/relationships/chart" Target="charts/chart28.xml"/><Relationship Id="rId297" Type="http://schemas.openxmlformats.org/officeDocument/2006/relationships/footer" Target="footer8.xml"/><Relationship Id="rId298" Type="http://schemas.openxmlformats.org/officeDocument/2006/relationships/hyperlink" Target="http://www.latsis-foundation.org/eng/electronic-library/the-museum-cycle/the-archaeological-museum-of-thebes" TargetMode="External"/><Relationship Id="rId299" Type="http://schemas.openxmlformats.org/officeDocument/2006/relationships/fontTable" Target="fontTable.xml"/><Relationship Id="rId140" Type="http://schemas.openxmlformats.org/officeDocument/2006/relationships/image" Target="media/image20.jpeg"/><Relationship Id="rId141" Type="http://schemas.microsoft.com/office/2007/relationships/hdphoto" Target="media/hdphoto8.wdp"/><Relationship Id="rId142" Type="http://schemas.openxmlformats.org/officeDocument/2006/relationships/image" Target="media/image21.jpeg"/><Relationship Id="rId143" Type="http://schemas.microsoft.com/office/2007/relationships/hdphoto" Target="media/hdphoto9.wdp"/><Relationship Id="rId144" Type="http://schemas.openxmlformats.org/officeDocument/2006/relationships/image" Target="media/image22.jpeg"/><Relationship Id="rId145" Type="http://schemas.microsoft.com/office/2007/relationships/hdphoto" Target="media/hdphoto10.wdp"/><Relationship Id="rId146" Type="http://schemas.openxmlformats.org/officeDocument/2006/relationships/image" Target="media/image23.jpeg"/><Relationship Id="rId147" Type="http://schemas.microsoft.com/office/2007/relationships/hdphoto" Target="media/hdphoto11.wdp"/><Relationship Id="rId148" Type="http://schemas.openxmlformats.org/officeDocument/2006/relationships/image" Target="media/image24.jpeg"/><Relationship Id="rId149" Type="http://schemas.microsoft.com/office/2007/relationships/hdphoto" Target="media/hdphoto12.wdp"/><Relationship Id="rId230" Type="http://schemas.microsoft.com/office/2007/relationships/hdphoto" Target="media/hdphoto52.wdp"/><Relationship Id="rId231" Type="http://schemas.openxmlformats.org/officeDocument/2006/relationships/image" Target="media/image66.jpeg"/><Relationship Id="rId232" Type="http://schemas.microsoft.com/office/2007/relationships/hdphoto" Target="media/hdphoto53.wdp"/><Relationship Id="rId233" Type="http://schemas.openxmlformats.org/officeDocument/2006/relationships/image" Target="media/image67.png"/><Relationship Id="rId234" Type="http://schemas.openxmlformats.org/officeDocument/2006/relationships/image" Target="media/image68.jpeg"/><Relationship Id="rId235" Type="http://schemas.microsoft.com/office/2007/relationships/hdphoto" Target="media/hdphoto54.wdp"/><Relationship Id="rId236" Type="http://schemas.openxmlformats.org/officeDocument/2006/relationships/image" Target="media/image69.jpeg"/><Relationship Id="rId237" Type="http://schemas.microsoft.com/office/2007/relationships/hdphoto" Target="media/hdphoto55.wdp"/><Relationship Id="rId238" Type="http://schemas.openxmlformats.org/officeDocument/2006/relationships/image" Target="media/image70.png"/><Relationship Id="rId239" Type="http://schemas.openxmlformats.org/officeDocument/2006/relationships/image" Target="media/image71.jpeg"/><Relationship Id="rId50" Type="http://schemas.openxmlformats.org/officeDocument/2006/relationships/chart" Target="charts/chart29.xml"/><Relationship Id="rId51" Type="http://schemas.openxmlformats.org/officeDocument/2006/relationships/chart" Target="charts/chart30.xml"/><Relationship Id="rId52" Type="http://schemas.openxmlformats.org/officeDocument/2006/relationships/image" Target="media/image9.jpeg"/><Relationship Id="rId53" Type="http://schemas.openxmlformats.org/officeDocument/2006/relationships/chart" Target="charts/chart31.xml"/><Relationship Id="rId54" Type="http://schemas.openxmlformats.org/officeDocument/2006/relationships/chart" Target="charts/chart32.xml"/><Relationship Id="rId55" Type="http://schemas.openxmlformats.org/officeDocument/2006/relationships/chart" Target="charts/chart33.xml"/><Relationship Id="rId56" Type="http://schemas.openxmlformats.org/officeDocument/2006/relationships/chart" Target="charts/chart34.xml"/><Relationship Id="rId57" Type="http://schemas.openxmlformats.org/officeDocument/2006/relationships/chart" Target="charts/chart35.xml"/><Relationship Id="rId58" Type="http://schemas.openxmlformats.org/officeDocument/2006/relationships/chart" Target="charts/chart36.xml"/><Relationship Id="rId59" Type="http://schemas.openxmlformats.org/officeDocument/2006/relationships/chart" Target="charts/chart37.xml"/><Relationship Id="rId150" Type="http://schemas.openxmlformats.org/officeDocument/2006/relationships/image" Target="media/image25.jpeg"/><Relationship Id="rId151" Type="http://schemas.microsoft.com/office/2007/relationships/hdphoto" Target="media/hdphoto13.wdp"/><Relationship Id="rId152" Type="http://schemas.openxmlformats.org/officeDocument/2006/relationships/image" Target="media/image26.jpeg"/><Relationship Id="rId153" Type="http://schemas.microsoft.com/office/2007/relationships/hdphoto" Target="media/hdphoto14.wdp"/><Relationship Id="rId154" Type="http://schemas.openxmlformats.org/officeDocument/2006/relationships/image" Target="media/image27.jpeg"/><Relationship Id="rId155" Type="http://schemas.microsoft.com/office/2007/relationships/hdphoto" Target="media/hdphoto15.wdp"/><Relationship Id="rId156" Type="http://schemas.openxmlformats.org/officeDocument/2006/relationships/image" Target="media/image28.jpeg"/><Relationship Id="rId157" Type="http://schemas.microsoft.com/office/2007/relationships/hdphoto" Target="media/hdphoto16.wdp"/><Relationship Id="rId158" Type="http://schemas.openxmlformats.org/officeDocument/2006/relationships/image" Target="media/image29.jpeg"/><Relationship Id="rId159" Type="http://schemas.microsoft.com/office/2007/relationships/hdphoto" Target="media/hdphoto17.wdp"/><Relationship Id="rId240" Type="http://schemas.microsoft.com/office/2007/relationships/hdphoto" Target="media/hdphoto56.wdp"/><Relationship Id="rId241" Type="http://schemas.openxmlformats.org/officeDocument/2006/relationships/image" Target="media/image72.jpeg"/><Relationship Id="rId242" Type="http://schemas.microsoft.com/office/2007/relationships/hdphoto" Target="media/hdphoto57.wdp"/><Relationship Id="rId243" Type="http://schemas.openxmlformats.org/officeDocument/2006/relationships/image" Target="media/image73.jpeg"/><Relationship Id="rId244" Type="http://schemas.microsoft.com/office/2007/relationships/hdphoto" Target="media/hdphoto58.wdp"/><Relationship Id="rId245" Type="http://schemas.openxmlformats.org/officeDocument/2006/relationships/image" Target="media/image74.jpeg"/><Relationship Id="rId246" Type="http://schemas.microsoft.com/office/2007/relationships/hdphoto" Target="media/hdphoto59.wdp"/><Relationship Id="rId247" Type="http://schemas.openxmlformats.org/officeDocument/2006/relationships/image" Target="media/image75.jpeg"/><Relationship Id="rId248" Type="http://schemas.microsoft.com/office/2007/relationships/hdphoto" Target="media/hdphoto60.wdp"/><Relationship Id="rId249" Type="http://schemas.openxmlformats.org/officeDocument/2006/relationships/image" Target="media/image76.jpeg"/><Relationship Id="rId60" Type="http://schemas.openxmlformats.org/officeDocument/2006/relationships/image" Target="media/image10.jpeg"/><Relationship Id="rId61" Type="http://schemas.openxmlformats.org/officeDocument/2006/relationships/chart" Target="charts/chart38.xml"/><Relationship Id="rId62" Type="http://schemas.openxmlformats.org/officeDocument/2006/relationships/chart" Target="charts/chart39.xml"/><Relationship Id="rId63" Type="http://schemas.openxmlformats.org/officeDocument/2006/relationships/chart" Target="charts/chart40.xml"/><Relationship Id="rId64" Type="http://schemas.openxmlformats.org/officeDocument/2006/relationships/chart" Target="charts/chart41.xml"/><Relationship Id="rId65" Type="http://schemas.openxmlformats.org/officeDocument/2006/relationships/chart" Target="charts/chart42.xml"/><Relationship Id="rId66" Type="http://schemas.openxmlformats.org/officeDocument/2006/relationships/chart" Target="charts/chart43.xml"/><Relationship Id="rId67" Type="http://schemas.openxmlformats.org/officeDocument/2006/relationships/chart" Target="charts/chart44.xml"/><Relationship Id="rId68" Type="http://schemas.openxmlformats.org/officeDocument/2006/relationships/image" Target="media/image11.jpeg"/><Relationship Id="rId69" Type="http://schemas.openxmlformats.org/officeDocument/2006/relationships/image" Target="media/image12.jpeg"/><Relationship Id="rId160" Type="http://schemas.openxmlformats.org/officeDocument/2006/relationships/image" Target="media/image30.jpeg"/><Relationship Id="rId161" Type="http://schemas.microsoft.com/office/2007/relationships/hdphoto" Target="media/hdphoto18.wdp"/><Relationship Id="rId162" Type="http://schemas.openxmlformats.org/officeDocument/2006/relationships/image" Target="media/image31.jpeg"/><Relationship Id="rId163" Type="http://schemas.microsoft.com/office/2007/relationships/hdphoto" Target="media/hdphoto19.wdp"/><Relationship Id="rId164" Type="http://schemas.openxmlformats.org/officeDocument/2006/relationships/image" Target="media/image32.jpeg"/><Relationship Id="rId165" Type="http://schemas.microsoft.com/office/2007/relationships/hdphoto" Target="media/hdphoto20.wdp"/><Relationship Id="rId166" Type="http://schemas.openxmlformats.org/officeDocument/2006/relationships/image" Target="media/image33.jpeg"/><Relationship Id="rId167" Type="http://schemas.microsoft.com/office/2007/relationships/hdphoto" Target="media/hdphoto21.wdp"/><Relationship Id="rId168" Type="http://schemas.openxmlformats.org/officeDocument/2006/relationships/image" Target="media/image34.jpeg"/><Relationship Id="rId169" Type="http://schemas.microsoft.com/office/2007/relationships/hdphoto" Target="media/hdphoto22.wdp"/><Relationship Id="rId250" Type="http://schemas.microsoft.com/office/2007/relationships/hdphoto" Target="media/hdphoto61.wdp"/><Relationship Id="rId251" Type="http://schemas.openxmlformats.org/officeDocument/2006/relationships/image" Target="media/image77.jpeg"/><Relationship Id="rId252" Type="http://schemas.microsoft.com/office/2007/relationships/hdphoto" Target="media/hdphoto62.wdp"/><Relationship Id="rId253" Type="http://schemas.openxmlformats.org/officeDocument/2006/relationships/image" Target="media/image78.jpeg"/><Relationship Id="rId254" Type="http://schemas.microsoft.com/office/2007/relationships/hdphoto" Target="media/hdphoto63.wdp"/><Relationship Id="rId255" Type="http://schemas.openxmlformats.org/officeDocument/2006/relationships/image" Target="media/image79.jpeg"/><Relationship Id="rId256" Type="http://schemas.microsoft.com/office/2007/relationships/hdphoto" Target="media/hdphoto64.wdp"/><Relationship Id="rId257" Type="http://schemas.openxmlformats.org/officeDocument/2006/relationships/image" Target="media/image80.jpeg"/><Relationship Id="rId258" Type="http://schemas.microsoft.com/office/2007/relationships/hdphoto" Target="media/hdphoto65.wdp"/><Relationship Id="rId259" Type="http://schemas.openxmlformats.org/officeDocument/2006/relationships/image" Target="media/image81.jpeg"/><Relationship Id="rId100" Type="http://schemas.openxmlformats.org/officeDocument/2006/relationships/chart" Target="charts/chart75.xml"/><Relationship Id="rId101" Type="http://schemas.openxmlformats.org/officeDocument/2006/relationships/chart" Target="charts/chart76.xml"/><Relationship Id="rId102" Type="http://schemas.openxmlformats.org/officeDocument/2006/relationships/chart" Target="charts/chart77.xml"/><Relationship Id="rId103" Type="http://schemas.openxmlformats.org/officeDocument/2006/relationships/chart" Target="charts/chart78.xml"/><Relationship Id="rId104" Type="http://schemas.openxmlformats.org/officeDocument/2006/relationships/chart" Target="charts/chart79.xml"/><Relationship Id="rId105" Type="http://schemas.openxmlformats.org/officeDocument/2006/relationships/chart" Target="charts/chart80.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angela:Desktop:EXCEL%20CEMETERIES:FW%20BURIAL%20LOCATIONS:FW%20LB%20vs%20NLB%20BURIAL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Macintosh%20HD:Users:angela:Desktop:EXCEL%20CEMETERIES:M%20BURIAL%20LOCATIONS:M%20LB%20GENERAL.xlsx" TargetMode="External"/></Relationships>
</file>

<file path=word/charts/_rels/chart100.xml.rels><?xml version="1.0" encoding="UTF-8" standalone="yes"?>
<Relationships xmlns="http://schemas.openxmlformats.org/package/2006/relationships"><Relationship Id="rId1" Type="http://schemas.openxmlformats.org/officeDocument/2006/relationships/oleObject" Target="Macintosh%20HD:Users:angela:Desktop:percentage%20of%20tomb%20with%20the%20occurrence%20of%20more%20than%203%20material%20types.xlsx" TargetMode="External"/></Relationships>
</file>

<file path=word/charts/_rels/chart101.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FW%20iconography:FW%20decorated%20motives%20graph.xlsx" TargetMode="External"/></Relationships>
</file>

<file path=word/charts/_rels/chart102.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MW%20iconography:MW%20dec%20vs%20undec.xlsx" TargetMode="External"/></Relationships>
</file>

<file path=word/charts/_rels/chart103.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MW%20iconography:MW%20dec%20vs%20undec.xlsx" TargetMode="External"/></Relationships>
</file>

<file path=word/charts/_rels/chart104.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MW%20iconography:MW%20motives%20distributuin%20graph.xlsx" TargetMode="External"/></Relationships>
</file>

<file path=word/charts/_rels/chart105.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M%20iconography:M%20dec%20vs%20undec.xlsx" TargetMode="External"/></Relationships>
</file>

<file path=word/charts/_rels/chart106.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M%20iconography:Mesara%20correct%20graph.xlsx" TargetMode="External"/></Relationships>
</file>

<file path=word/charts/_rels/chart107.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KN%20iconography:KN%20dec%20vs%20undec.xlsx" TargetMode="External"/></Relationships>
</file>

<file path=word/charts/_rels/chart108.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KN%20iconography:Knossos%20graph%20correct.xlsx" TargetMode="External"/></Relationships>
</file>

<file path=word/charts/_rels/chart109.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C%20iconography:Centre%20dec%20vs%20undec.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Macintosh%20HD:Users:angela:Desktop:EXCEL%20CEMETERIES:M%20BURIAL%20LOCATIONS:M%20CEMETERIES.xlsx" TargetMode="External"/></Relationships>
</file>

<file path=word/charts/_rels/chart110.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C%20iconography:Centre%20decorated.xlsx" TargetMode="External"/></Relationships>
</file>

<file path=word/charts/_rels/chart111.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C%20iconography:C%20decorated%20motives%20graph.xlsx" TargetMode="External"/></Relationships>
</file>

<file path=word/charts/_rels/chart112.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ME%20iconography:ME%20dec%20vs%20undec.xlsx" TargetMode="External"/></Relationships>
</file>

<file path=word/charts/_rels/chart113.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ME%20iconography:Mid%20east%20graph%20correct.xlsx" TargetMode="External"/></Relationships>
</file>

<file path=word/charts/_rels/chart114.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ME%20iconography:ME%20decorated.xlsx" TargetMode="External"/></Relationships>
</file>

<file path=word/charts/_rels/chart115.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ME%20iconography:ME%20decorated.xlsx" TargetMode="External"/></Relationships>
</file>

<file path=word/charts/_rels/chart116.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FE%20iconography:FE%20dec%20vs%20undec.xlsx" TargetMode="External"/></Relationships>
</file>

<file path=word/charts/_rels/chart117.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FE%20iconography:FE%20decorated%20xlsx.xlsx" TargetMode="External"/></Relationships>
</file>

<file path=word/charts/_rels/chart118.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FE%20iconography:FE%20decorated%20graph.xlsx" TargetMode="External"/></Relationships>
</file>

<file path=word/charts/_rels/chart119.xml.rels><?xml version="1.0" encoding="UTF-8" standalone="yes"?>
<Relationships xmlns="http://schemas.openxmlformats.org/package/2006/relationships"><Relationship Id="rId1" Type="http://schemas.openxmlformats.org/officeDocument/2006/relationships/oleObject" Target="Macintosh%20HD:Users:angela:Desktop:EXCEL%20LARNAKES:FE:FE%20LRNX%20SECURE.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Macintosh%20HD:Users:angela:Desktop:EXCEL%20CEMETERIES:M%20BURIAL%20LOCATIONS:M%20CEMETERIES.xlsx" TargetMode="External"/></Relationships>
</file>

<file path=word/charts/_rels/chart120.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FE%20iconography:FE%20decorated%20analysis.xlsx" TargetMode="External"/></Relationships>
</file>

<file path=word/charts/_rels/chart121.xml.rels><?xml version="1.0" encoding="UTF-8" standalone="yes"?>
<Relationships xmlns="http://schemas.openxmlformats.org/package/2006/relationships"><Relationship Id="rId1" Type="http://schemas.openxmlformats.org/officeDocument/2006/relationships/oleObject" Target="Macintosh%20HD:Users:angela:Desktop:EXCEL%20LARNAKES:FE:FE%20LRNX%20SECURE.xlsx" TargetMode="External"/></Relationships>
</file>

<file path=word/charts/_rels/chart122.xml.rels><?xml version="1.0" encoding="UTF-8" standalone="yes"?>
<Relationships xmlns="http://schemas.openxmlformats.org/package/2006/relationships"><Relationship Id="rId1" Type="http://schemas.openxmlformats.org/officeDocument/2006/relationships/oleObject" Target="Macintosh%20HD:Users:angela:Desktop:Iconographical%20analysis%20per%20region:iconography%20general%20motives%20diffusion.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Cartella%20di%20lavoro1"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Macintosh%20HD:Users:angela:Desktop:EXCEL%20TOMBS:M%20Tombs%20analysis:M%20INTERNMENT%20METHODS%20DETAIL.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Macintosh%20HD:Users:angela:Desktop:EXCEL%20TOMBS:M%20Tombs%20analysis:M%20CHRONOLOGY%20DISTR+GRAPHS.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Macintosh%20HD:Users:angela:Desktop:EXCEL%20CEMETERIES:KN%20BURIAL%20LOCATIONS:KN%20NLB%20BURIALS%20detail.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Macintosh%20HD:Users:angela:Desktop:EXCEL%20CEMETERIES:KN%20BURIAL%20LOCATIONS:KN%20TOT%20TOMBS%20VS%20TOMBS%20WITH%20LRNX%20KN%20!!.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Macintosh%20HD:Users:angela:Desktop:EXCEL%20CEMETERIES:KN%20BURIAL%20LOCATIONS:KN%20LB%20vs%20NLB%20TOMBS%20.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Macintosh%20HD:Users:angela:Desktop:EXCEL%20CEMETERIES:KN%20BURIAL%20LOCATIONS:KN%20LB%20vs%20NLB%20TOMBS%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angela:Desktop:EXCEL%20CEMETERIES:MW%20BURIAL%20LOCATIONS:MW%20NLB%20detail.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Macintosh%20HD:Users:angela:Desktop:EXCEL%20CEMETERIES:KN%20BURIAL%20LOCATIONS:KN%20tombs%20WL%20typ%20distr%20GRAPH.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Macintosh%20HD:Users:angela:Desktop:Chap%205%20%3e%3e%20NOW%20chap.4:KN%20sk:KN%20sk%20general.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Macintosh%20HD:Users:angela:Desktop:EXCEL%20TOMBS:KN%20Tombs%20analysis:KN%20CHRONOLOGY%20DISTR+GRAPH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Macintosh%20HD:Users:angela:Desktop:EXCEL%20CEMETERIES:C%20BURIAL%20LOCATIONS:C%20LB%20GENERAL.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Macintosh%20HD:Users:angela:Desktop:EXCEL%20CEMETERIES:C%20BURIAL%20LOCATIONS:C%20CEMETERIES.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Cartella%20di%20lavoro2"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Macintosh%20HD:Users:angela:Desktop:EXCEL%20CEMETERIES:C%20BURIAL%20LOCATIONS:C%20CEMETERIES%20LRNX%20VS%20NLRNX%20TOMBS%20IST.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Macintosh%20HD:Users:angela:Desktop:EXCEL%20TOMBS:C%20Tombs%20analysis:C%20tombs%20WL%20typ%20distr.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Macintosh%20HD:Users:angela:Desktop:Chap%205%20%3e%3e%20NOW%20chap.4:C%20sk:C%20sk%20general.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Macintosh%20HD:Users:angela:Desktop:EXCEL%20TOMBS:C%20Tombs%20analysis:C%20CHRONOLOGY%20DISTR+GRAPH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angela:Desktop:EXCEL%20CEMETERIES:MW%20BURIAL%20LOCATIONS:MW%20CEMETERIES.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Macintosh%20HD:Users:angela:Desktop:EXCEL%20CEMETERIES:ME%20BURILA%20LOCATIONS:ME%20LB%20GENERAL.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Macintosh%20HD:Users:angela:Desktop:EXCEL%20CEMETERIES:ME%20BURILA%20LOCATIONS:ME%20CEMETERIES.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Macintosh%20HD:Users:angela:Desktop:EXCEL%20CEMETERIES:ME%20BURILA%20LOCATIONS:ME%20CEMETERIES.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Macintosh%20HD:Users:angela:Desktop:EXCEL%20CEMETERIES:ME%20BURILA%20LOCATIONS:ME%20CEMETERIES%20LRNX%20VS%20NLRNX%20TOMBS%20IST.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Macintosh%20HD:Users:angela:Desktop:EXCEL%20TOMBS:ME%20Tombs%20analysis:ME%20tombs%20WL%20typ%20distr.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Macintosh%20HD:Users:angela:Desktop:Chap%205%20%3e%3e%20NOW%20chap.4:ME%20sk:ME%20sk%20general.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Macintosh%20HD:Users:angela:Desktop:EXCEL%20TOMBS:ME%20Tombs%20analysis:ME%20CHRONOLOGY%20DISTR+GRAPHS.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Macintosh%20HD:Users:angela:Desktop:EXCEL%20CEMETERIES:FE%20BURIAL%20LOCATIONS:FE%20LB%20GENERAL.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Macintosh%20HD:Users:angela:Desktop:EXCEL%20CEMETERIES:FE%20BURIAL%20LOCATIONS:FE%20CEMETERIES.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Cartella%20di%20lavoro7"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angela:Desktop:EXCEL%20CEMETERIES:MW%20BURIAL%20LOCATIONS:MW%20LB%20vs%20NLB%20TOMBS.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Macintosh%20HD:Users:angela:Desktop:EXCEL%20CEMETERIES:FE%20BURIAL%20LOCATIONS:tomb%20typologies.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Macintosh%20HD:Users:angela:Desktop:EXCEL%20TOMBS:FE%20Tombs%20analysis:FE%20tombs%20WL%20typ%20distr.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Macintosh%20HD:Users:angela:Desktop:Chap%205%20%3e%3e%20NOW%20chap.4:FE%20sk:FE%20sk%20general%20to%20check%20(Sarandari).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Macintosh%20HD:Users:angela:Desktop:EXCEL%20TOMBS:FE%20Tombs%20analysis:FE%20CHRONOLOGY%20DISTR+GRAPHS.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Macintosh%20HD:Users:angela:Desktop:INTRA%20REGIONAL%20COMPARISON%20TOMBS%20WITH%20AND%20WITHOUT%20LARNAKES.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Macintosh%20HD:Users:angela:Desktop:EXCEL%20LARNAKES:mean%20of%20space%20rerved%20to%20larnakes%20across%20regions.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Macintosh%20HD:Users:angela:Desktop:Chap%205%20%3e%3e%20NOW%20chap.4:MW%20sk:MW%20skelatal%20remains%20info.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Macintosh%20HD:Users:angela:Desktop:Chap%205%20%3e%3e%20NOW%20chap.4:MW%20sk:MW%20gender%20and%20age.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Macintosh%20HD:Users:angela:Desktop:Chap%205%20%3e%3e%20NOW%20chap.4:MW%20sk:MW%20gender%20and%20age.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Macintosh%20HD:Users:angela:Desktop:Chap%205%20%3e%3e%20NOW%20chap.4:MW%20sk:MW%20gender%20and%20ag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angela:Desktop:EXCEL%20CEMETERIES:MW%20BURIAL%20LOCATIONS:MW%20CEMETERIES.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Macintosh%20HD:Users:angela:Desktop:Chap%205%20%3e%3e%20NOW%20chap.4:MW%20sk:MW%20gender%20and%20age.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Macintosh%20HD:Users:angela:Desktop:Chap%205%20%3e%3e%20NOW%20chap.4:M%20sk:M%20Sk%20remains.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Macintosh%20HD:Users:angela:Desktop:Chap%205%20%3e%3e%20NOW%20chap.4:M%20sk:M%20gender%20and%20age.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Macintosh%20HD:Users:angela:Desktop:Chap%205%20%3e%3e%20NOW%20chap.4:M%20sk:M%20gender%20and%20age.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Macintosh%20HD:Users:angela:Desktop:Chap%205%20%3e%3e%20NOW%20chap.4:M%20sk:M%20gender%20and%20age.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Macintosh%20HD:Users:angela:Desktop:Chap%205%20%3e%3e%20NOW%20chap.4:M%20sk:M%20gender%20and%20age.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Macintosh%20HD:Users:angela:Desktop:Chap%205%20%3e%3e%20NOW%20chap.4:KN%20sk:KN%20skeletal%20remains.xlsx"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Macintosh%20HD:Users:angela:Desktop:Chap%205%20%3e%3e%20NOW%20chap.4:KN%20sk:KN%20gender%20and%20age.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Macintosh%20HD:Users:angela:Desktop:Chap%205%20%3e%3e%20NOW%20chap.4:KN%20sk:KN%20gender%20and%20age.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Macintosh%20HD:Users:angela:Desktop:Chap%205%20%3e%3e%20NOW%20chap.4:KN%20sk:KN%20gender%20and%20ag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angela:Desktop:EXCEL%20CEMETERIES:MW%20BURIAL%20LOCATIONS:MW%20TOT%20TOMBS%20VS%20TOMBS%20WITH%20LRNX%20M.xlsx" TargetMode="External"/></Relationships>
</file>

<file path=word/charts/_rels/chart60.xml.rels><?xml version="1.0" encoding="UTF-8" standalone="yes"?>
<Relationships xmlns="http://schemas.openxmlformats.org/package/2006/relationships"><Relationship Id="rId1" Type="http://schemas.openxmlformats.org/officeDocument/2006/relationships/oleObject" Target="Macintosh%20HD:Users:angela:Desktop:Chap%205%20%3e%3e%20NOW%20chap.4:KN%20sk:KN%20gender%20and%20age.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Macintosh%20HD:Users:angela:Desktop:Chap%205%20%3e%3e%20NOW%20chap.4:C%20sk:C%20skeletal%20remains.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Macintosh%20HD:Users:angela:Desktop:Chap%205%20%3e%3e%20NOW%20chap.4:C%20sk:C%20skeletal%20remains.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Macintosh%20HD:Users:angela:Desktop:Chap%205%20%3e%3e%20NOW%20chap.4:C%20sk:C%20skeletal%20remains.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Macintosh%20HD:Users:angela:Desktop:Chap%205%20%3e%3e%20NOW%20chap.4:C%20sk:C%20gender%20and%20age.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Macintosh%20HD:Users:angela:Desktop:Chap%205%20%3e%3e%20NOW%20chap.4:C%20sk:C%20gender%20and%20age.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Macintosh%20HD:Users:angela:Desktop:Chap%205%20%3e%3e%20NOW%20chap.4:ME%20sk:ME%20sk%20remains.xlsx"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Macintosh%20HD:Users:angela:Desktop:Chap%205%20%3e%3e%20NOW%20chap.4:ME%20sk:ME%20gender%20and%20age.xlsx" TargetMode="External"/></Relationships>
</file>

<file path=word/charts/_rels/chart68.xml.rels><?xml version="1.0" encoding="UTF-8" standalone="yes"?>
<Relationships xmlns="http://schemas.openxmlformats.org/package/2006/relationships"><Relationship Id="rId1" Type="http://schemas.openxmlformats.org/officeDocument/2006/relationships/oleObject" Target="Macintosh%20HD:Users:angela:Desktop:Chap%205%20%3e%3e%20NOW%20chap.4:ME%20sk:ME%20gender%20and%20age.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Macintosh%20HD:Users:angela:Desktop:Chap%205%20%3e%3e%20NOW%20chap.4:ME%20sk:ME%20gender%20and%20age.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angela:Desktop:EXCEL%20TOMBS:MW%20Tombs%20analysis:MW%20tombs%20WL%20typ%20distr.xlsx" TargetMode="External"/></Relationships>
</file>

<file path=word/charts/_rels/chart70.xml.rels><?xml version="1.0" encoding="UTF-8" standalone="yes"?>
<Relationships xmlns="http://schemas.openxmlformats.org/package/2006/relationships"><Relationship Id="rId1" Type="http://schemas.openxmlformats.org/officeDocument/2006/relationships/oleObject" Target="Macintosh%20HD:Users:angela:Desktop:Chap%205%20%3e%3e%20NOW%20chap.4:ME%20sk:ME%20gender%20and%20age.xlsx"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Macintosh%20HD:Users:angela:Desktop:Chap%205%20%3e%3e%20NOW%20chap.4:FE%20sk:FE%20sk%20remains.xlsx"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Macintosh%20HD:Users:angela:Desktop:Chap%205%20%3e%3e%20NOW%20chap.4:FE%20sk:FE%20gender%20and%20age.xlsx"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Macintosh%20HD:Users:angela:Desktop:Chap%205%20%3e%3e%20NOW%20chap.4:FE%20sk:FE%20gender%20and%20age.xlsx" TargetMode="External"/></Relationships>
</file>

<file path=word/charts/_rels/chart74.xml.rels><?xml version="1.0" encoding="UTF-8" standalone="yes"?>
<Relationships xmlns="http://schemas.openxmlformats.org/package/2006/relationships"><Relationship Id="rId1" Type="http://schemas.openxmlformats.org/officeDocument/2006/relationships/oleObject" Target="Macintosh%20HD:Users:angela:Desktop:Chap%205%20%3e%3e%20NOW%20chap.4:FE%20sk:FE%20gender%20and%20age.xlsx"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Macintosh%20HD:Users:angela:Desktop:Chap%205%20%3e%3e%20NOW%20chap.4:FE%20sk:FE%20gender%20and%20age.xlsx"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Macintosh%20HD:Users:angela:Desktop:Chap%205%20%3e%3e%20NOW%20chap.4:MW%20%20grave%20goods:MW%20material%20type%20ist.xlsx" TargetMode="External"/></Relationships>
</file>

<file path=word/charts/_rels/chart77.xml.rels><?xml version="1.0" encoding="UTF-8" standalone="yes"?>
<Relationships xmlns="http://schemas.openxmlformats.org/package/2006/relationships"><Relationship Id="rId1" Type="http://schemas.openxmlformats.org/officeDocument/2006/relationships/oleObject" Target="Macintosh%20HD:Users:angela:Desktop:Chap%205%20%3e%3e%20NOW%20chap.4:MW%20%20grave%20goods:MW%20no%20pottery%20artefacts%20graphs.xlsx" TargetMode="External"/></Relationships>
</file>

<file path=word/charts/_rels/chart78.xml.rels><?xml version="1.0" encoding="UTF-8" standalone="yes"?>
<Relationships xmlns="http://schemas.openxmlformats.org/package/2006/relationships"><Relationship Id="rId1" Type="http://schemas.openxmlformats.org/officeDocument/2006/relationships/oleObject" Target="Macintosh%20HD:Users:angela:Desktop:Chap%205%20%3e%3e%20NOW%20chap.4:MW%20%20grave%20goods:MW%20pottery%20typology%20graph.xlsx" TargetMode="External"/></Relationships>
</file>

<file path=word/charts/_rels/chart79.xml.rels><?xml version="1.0" encoding="UTF-8" standalone="yes"?>
<Relationships xmlns="http://schemas.openxmlformats.org/package/2006/relationships"><Relationship Id="rId1" Type="http://schemas.openxmlformats.org/officeDocument/2006/relationships/oleObject" Target="Macintosh%20HD:Users:angela:Desktop:Chap%205%20%3e%3e%20NOW%20chap.4:MW%20%20grave%20goods:MW%20grave%20goods%20material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angela:Desktop:EXCEL%20TOMBS:MW%20Tombs%20analysis:MW%20INTERNMENT%20METHODS%20DETAIL.xlsx" TargetMode="External"/></Relationships>
</file>

<file path=word/charts/_rels/chart80.xml.rels><?xml version="1.0" encoding="UTF-8" standalone="yes"?>
<Relationships xmlns="http://schemas.openxmlformats.org/package/2006/relationships"><Relationship Id="rId1" Type="http://schemas.openxmlformats.org/officeDocument/2006/relationships/oleObject" Target="Macintosh%20HD:Users:angela:Desktop:Chap%205%20%3e%3e%20NOW%20chap.4:M%20grave%20goods:M%20material%20type%20ist.xlsx" TargetMode="External"/></Relationships>
</file>

<file path=word/charts/_rels/chart81.xml.rels><?xml version="1.0" encoding="UTF-8" standalone="yes"?>
<Relationships xmlns="http://schemas.openxmlformats.org/package/2006/relationships"><Relationship Id="rId1" Type="http://schemas.openxmlformats.org/officeDocument/2006/relationships/oleObject" Target="Macintosh%20HD:Users:angela:Desktop:Chap%205%20%3e%3e%20NOW%20chap.4:M%20grave%20goods:M%20no%20pottery%20artefacts%20graphs.xlsx" TargetMode="External"/></Relationships>
</file>

<file path=word/charts/_rels/chart82.xml.rels><?xml version="1.0" encoding="UTF-8" standalone="yes"?>
<Relationships xmlns="http://schemas.openxmlformats.org/package/2006/relationships"><Relationship Id="rId1" Type="http://schemas.openxmlformats.org/officeDocument/2006/relationships/oleObject" Target="Macintosh%20HD:Users:angela:Desktop:Chap%205%20%3e%3e%20NOW%20chap.4:M%20grave%20goods:M%20pottery%20typology%20graph.xlsx" TargetMode="External"/></Relationships>
</file>

<file path=word/charts/_rels/chart83.xml.rels><?xml version="1.0" encoding="UTF-8" standalone="yes"?>
<Relationships xmlns="http://schemas.openxmlformats.org/package/2006/relationships"><Relationship Id="rId1" Type="http://schemas.openxmlformats.org/officeDocument/2006/relationships/oleObject" Target="Macintosh%20HD:Users:angela:Desktop:Chap%205%20%3e%3e%20NOW%20chap.4:M%20grave%20goods:M%20grave%20goods%20materials.xlsx" TargetMode="External"/></Relationships>
</file>

<file path=word/charts/_rels/chart84.xml.rels><?xml version="1.0" encoding="UTF-8" standalone="yes"?>
<Relationships xmlns="http://schemas.openxmlformats.org/package/2006/relationships"><Relationship Id="rId1" Type="http://schemas.openxmlformats.org/officeDocument/2006/relationships/oleObject" Target="Macintosh%20HD:Users:angela:Desktop:Chap%205%20%3e%3e%20NOW%20chap.4:KN%20grave%20goods:KN%20material%20type%20ist.xlsx" TargetMode="External"/></Relationships>
</file>

<file path=word/charts/_rels/chart85.xml.rels><?xml version="1.0" encoding="UTF-8" standalone="yes"?>
<Relationships xmlns="http://schemas.openxmlformats.org/package/2006/relationships"><Relationship Id="rId1" Type="http://schemas.openxmlformats.org/officeDocument/2006/relationships/oleObject" Target="Macintosh%20HD:Users:angela:Desktop:Chap%205%20%3e%3e%20NOW%20chap.4:KN%20grave%20goods:KN%20no%20pottery%20artefacts%20graph.xlsx" TargetMode="External"/></Relationships>
</file>

<file path=word/charts/_rels/chart86.xml.rels><?xml version="1.0" encoding="UTF-8" standalone="yes"?>
<Relationships xmlns="http://schemas.openxmlformats.org/package/2006/relationships"><Relationship Id="rId1" Type="http://schemas.openxmlformats.org/officeDocument/2006/relationships/oleObject" Target="Macintosh%20HD:Users:angela:Desktop:Chap%205%20%3e%3e%20NOW%20chap.4:KN%20grave%20goods:KN%20pottery%20typologies%20graph.xlsx" TargetMode="External"/></Relationships>
</file>

<file path=word/charts/_rels/chart87.xml.rels><?xml version="1.0" encoding="UTF-8" standalone="yes"?>
<Relationships xmlns="http://schemas.openxmlformats.org/package/2006/relationships"><Relationship Id="rId1" Type="http://schemas.openxmlformats.org/officeDocument/2006/relationships/oleObject" Target="Macintosh%20HD:Users:angela:Desktop:Chap%205:KN%20grave%20goods:KN%20grave%20goods%20materials.xlsx" TargetMode="External"/></Relationships>
</file>

<file path=word/charts/_rels/chart88.xml.rels><?xml version="1.0" encoding="UTF-8" standalone="yes"?>
<Relationships xmlns="http://schemas.openxmlformats.org/package/2006/relationships"><Relationship Id="rId1" Type="http://schemas.openxmlformats.org/officeDocument/2006/relationships/oleObject" Target="Macintosh%20HD:Users:angela:Desktop:Chap%205%20%3e%3e%20NOW%20chap.4:C%20grave%20goods:C%20material%20type%20ist.xlsx" TargetMode="External"/></Relationships>
</file>

<file path=word/charts/_rels/chart89.xml.rels><?xml version="1.0" encoding="UTF-8" standalone="yes"?>
<Relationships xmlns="http://schemas.openxmlformats.org/package/2006/relationships"><Relationship Id="rId1" Type="http://schemas.openxmlformats.org/officeDocument/2006/relationships/oleObject" Target="Macintosh%20HD:Users:angela:Desktop:Chap%205%20%3e%3e%20NOW%20chap.4:C%20grave%20goods:C%20no%20pottery%20artefacts%20graph.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Macintosh%20HD:Users:angela:Desktop:EXCEL%20TOMBS:MW%20Tombs%20analysis:MW%20CHRONOLOGY%20DISTR+GRAPHS.xlsx" TargetMode="External"/></Relationships>
</file>

<file path=word/charts/_rels/chart90.xml.rels><?xml version="1.0" encoding="UTF-8" standalone="yes"?>
<Relationships xmlns="http://schemas.openxmlformats.org/package/2006/relationships"><Relationship Id="rId1" Type="http://schemas.openxmlformats.org/officeDocument/2006/relationships/oleObject" Target="Macintosh%20HD:Users:angela:Desktop:Chap%205%20%3e%3e%20NOW%20chap.4:C%20grave%20goods:C%20pottery%20typology%20graph.xlsx" TargetMode="External"/></Relationships>
</file>

<file path=word/charts/_rels/chart91.xml.rels><?xml version="1.0" encoding="UTF-8" standalone="yes"?>
<Relationships xmlns="http://schemas.openxmlformats.org/package/2006/relationships"><Relationship Id="rId1" Type="http://schemas.openxmlformats.org/officeDocument/2006/relationships/oleObject" Target="Macintosh%20HD:Users:angela:Desktop:Chap%205:C%20grave%20goods:C%20grave%20goods%20materials.xlsx" TargetMode="External"/></Relationships>
</file>

<file path=word/charts/_rels/chart92.xml.rels><?xml version="1.0" encoding="UTF-8" standalone="yes"?>
<Relationships xmlns="http://schemas.openxmlformats.org/package/2006/relationships"><Relationship Id="rId1" Type="http://schemas.openxmlformats.org/officeDocument/2006/relationships/oleObject" Target="Macintosh%20HD:Users:angela:Desktop:Chap%205%20%3e%3e%20NOW%20chap.4:ME%20grave%20goods:ME%20grave%20goods%20material%20graph.xlsx" TargetMode="External"/></Relationships>
</file>

<file path=word/charts/_rels/chart93.xml.rels><?xml version="1.0" encoding="UTF-8" standalone="yes"?>
<Relationships xmlns="http://schemas.openxmlformats.org/package/2006/relationships"><Relationship Id="rId1" Type="http://schemas.openxmlformats.org/officeDocument/2006/relationships/oleObject" Target="Macintosh%20HD:Users:angela:Desktop:Chap%205%20%3e%3e%20NOW%20chap.4:ME%20grave%20goods:ME%20no%20pottery%20graph.xlsx" TargetMode="External"/></Relationships>
</file>

<file path=word/charts/_rels/chart94.xml.rels><?xml version="1.0" encoding="UTF-8" standalone="yes"?>
<Relationships xmlns="http://schemas.openxmlformats.org/package/2006/relationships"><Relationship Id="rId1" Type="http://schemas.openxmlformats.org/officeDocument/2006/relationships/oleObject" Target="Macintosh%20HD:Users:angela:Desktop:Chap%205%20%3e%3e%20NOW%20chap.4:ME%20grave%20goods:ME%20pottery%20typology%20graph.xlsx" TargetMode="External"/></Relationships>
</file>

<file path=word/charts/_rels/chart95.xml.rels><?xml version="1.0" encoding="UTF-8" standalone="yes"?>
<Relationships xmlns="http://schemas.openxmlformats.org/package/2006/relationships"><Relationship Id="rId1" Type="http://schemas.openxmlformats.org/officeDocument/2006/relationships/oleObject" Target="Macintosh%20HD:Users:angela:Desktop:Chap%205:ME%20grave%20goods:ME%20grave%20goods%20materials.xlsx" TargetMode="External"/></Relationships>
</file>

<file path=word/charts/_rels/chart96.xml.rels><?xml version="1.0" encoding="UTF-8" standalone="yes"?>
<Relationships xmlns="http://schemas.openxmlformats.org/package/2006/relationships"><Relationship Id="rId1" Type="http://schemas.openxmlformats.org/officeDocument/2006/relationships/oleObject" Target="Macintosh%20HD:Users:angela:Desktop:Chap%205%20%3e%3e%20NOW%20chap.4:FE%20grave%20goods:FE%20grave%20goods%20materials%20graph.xlsx" TargetMode="External"/></Relationships>
</file>

<file path=word/charts/_rels/chart97.xml.rels><?xml version="1.0" encoding="UTF-8" standalone="yes"?>
<Relationships xmlns="http://schemas.openxmlformats.org/package/2006/relationships"><Relationship Id="rId1" Type="http://schemas.openxmlformats.org/officeDocument/2006/relationships/oleObject" Target="Macintosh%20HD:Users:angela:Desktop:Chap%205%20%3e%3e%20NOW%20chap.4:FE%20grave%20goods:FE%20no%20pottery%20materials%20graph.xlsx" TargetMode="External"/></Relationships>
</file>

<file path=word/charts/_rels/chart98.xml.rels><?xml version="1.0" encoding="UTF-8" standalone="yes"?>
<Relationships xmlns="http://schemas.openxmlformats.org/package/2006/relationships"><Relationship Id="rId1" Type="http://schemas.openxmlformats.org/officeDocument/2006/relationships/oleObject" Target="Macintosh%20HD:Users:angela:Desktop:Chap%205%20%3e%3e%20NOW%20chap.4:FE%20grave%20goods:FE%20pottery%20typology%20graph.xlsx" TargetMode="External"/></Relationships>
</file>

<file path=word/charts/_rels/chart99.xml.rels><?xml version="1.0" encoding="UTF-8" standalone="yes"?>
<Relationships xmlns="http://schemas.openxmlformats.org/package/2006/relationships"><Relationship Id="rId1" Type="http://schemas.openxmlformats.org/officeDocument/2006/relationships/oleObject" Target="Macintosh%20HD:Users:angela:Desktop:Chap%205:FE%20grave%20goods:FE%20grave%20goods%20material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000"/>
            </a:pPr>
            <a:r>
              <a:rPr lang="it-IT" sz="1200">
                <a:latin typeface="Times New Roman" panose="02020603050405020304" pitchFamily="18" charset="0"/>
                <a:cs typeface="Times New Roman" panose="02020603050405020304" pitchFamily="18" charset="0"/>
              </a:rPr>
              <a:t>LM</a:t>
            </a:r>
            <a:r>
              <a:rPr lang="it-IT" sz="1200" baseline="0">
                <a:latin typeface="Times New Roman" panose="02020603050405020304" pitchFamily="18" charset="0"/>
                <a:cs typeface="Times New Roman" panose="02020603050405020304" pitchFamily="18" charset="0"/>
              </a:rPr>
              <a:t> III burial locations F</a:t>
            </a:r>
            <a:r>
              <a:rPr lang="it-IT"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ar-West</a:t>
            </a:r>
            <a:r>
              <a:rPr lang="it-IT" sz="1200" baseline="0">
                <a:latin typeface="Times New Roman" panose="02020603050405020304" pitchFamily="18" charset="0"/>
                <a:cs typeface="Times New Roman" panose="02020603050405020304" pitchFamily="18" charset="0"/>
              </a:rPr>
              <a:t> area</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6F8-49FA-96B7-50AD2966208A}"/>
                </c:ext>
              </c:extLst>
            </c:dLbl>
            <c:spPr>
              <a:noFill/>
              <a:ln>
                <a:noFill/>
              </a:ln>
              <a:effectLst/>
            </c:spPr>
            <c:txPr>
              <a:bodyPr/>
              <a:lstStyle/>
              <a:p>
                <a:pPr>
                  <a:defRPr sz="800"/>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(Foglio1!$A$9;Foglio1!$A$10;Foglio1!$A$11)</c:f>
              <c:strCache>
                <c:ptCount val="3"/>
                <c:pt idx="0">
                  <c:v>secure larnax interment</c:v>
                </c:pt>
                <c:pt idx="1">
                  <c:v>possible larnax interment</c:v>
                </c:pt>
                <c:pt idx="2">
                  <c:v>no larnax interments</c:v>
                </c:pt>
              </c:strCache>
            </c:strRef>
          </c:cat>
          <c:val>
            <c:numRef>
              <c:f>(Foglio1!$B$9;Foglio1!$B$10;Foglio1!$B$11)</c:f>
              <c:numCache>
                <c:formatCode>General</c:formatCode>
                <c:ptCount val="3"/>
                <c:pt idx="0">
                  <c:v>1.0</c:v>
                </c:pt>
                <c:pt idx="1">
                  <c:v>0.0</c:v>
                </c:pt>
                <c:pt idx="2">
                  <c:v>27.0</c:v>
                </c:pt>
              </c:numCache>
            </c:numRef>
          </c:val>
          <c:extLst xmlns:c16r2="http://schemas.microsoft.com/office/drawing/2015/06/chart">
            <c:ext xmlns:c16="http://schemas.microsoft.com/office/drawing/2014/chart" uri="{C3380CC4-5D6E-409C-BE32-E72D297353CC}">
              <c16:uniqueId val="{00000001-16F8-49FA-96B7-50AD2966208A}"/>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sz="800"/>
          </a:pPr>
          <a:endParaRPr lang="it-IT"/>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400"/>
            </a:pPr>
            <a:r>
              <a:rPr lang="it-IT" sz="1200">
                <a:latin typeface="Times New Roman" panose="02020603050405020304" pitchFamily="18" charset="0"/>
                <a:cs typeface="Times New Roman" panose="02020603050405020304" pitchFamily="18" charset="0"/>
              </a:rPr>
              <a:t>LM</a:t>
            </a:r>
            <a:r>
              <a:rPr lang="it-IT" sz="1200" baseline="0">
                <a:latin typeface="Times New Roman" panose="02020603050405020304" pitchFamily="18" charset="0"/>
                <a:cs typeface="Times New Roman" panose="02020603050405020304" pitchFamily="18" charset="0"/>
              </a:rPr>
              <a:t> III burial locations in Mesara area</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txPr>
              <a:bodyPr/>
              <a:lstStyle/>
              <a:p>
                <a:pPr>
                  <a:defRPr sz="900"/>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(Foglio1!$G$26;Foglio1!$G$27;Foglio1!$G$28)</c:f>
              <c:strCache>
                <c:ptCount val="3"/>
                <c:pt idx="0">
                  <c:v>SECURE LARNAX INTERMENT</c:v>
                </c:pt>
                <c:pt idx="1">
                  <c:v>POSSIBLE LARNAX INTERMENT</c:v>
                </c:pt>
                <c:pt idx="2">
                  <c:v>NO LARNAX INTERMENT</c:v>
                </c:pt>
              </c:strCache>
            </c:strRef>
          </c:cat>
          <c:val>
            <c:numRef>
              <c:f>(Foglio1!$H$26;Foglio1!$H$27;Foglio1!$H$28)</c:f>
              <c:numCache>
                <c:formatCode>General</c:formatCode>
                <c:ptCount val="3"/>
                <c:pt idx="0">
                  <c:v>22.0</c:v>
                </c:pt>
                <c:pt idx="1">
                  <c:v>7.0</c:v>
                </c:pt>
                <c:pt idx="2">
                  <c:v>4.0</c:v>
                </c:pt>
              </c:numCache>
            </c:numRef>
          </c:val>
          <c:extLst xmlns:c16r2="http://schemas.microsoft.com/office/drawing/2015/06/chart">
            <c:ext xmlns:c16="http://schemas.microsoft.com/office/drawing/2014/chart" uri="{C3380CC4-5D6E-409C-BE32-E72D297353CC}">
              <c16:uniqueId val="{00000000-6321-45DF-863B-01470E58477C}"/>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sz="900"/>
          </a:pPr>
          <a:endParaRPr lang="it-IT"/>
        </a:p>
      </c:txPr>
    </c:legend>
    <c:plotVisOnly val="1"/>
    <c:dispBlanksAs val="gap"/>
    <c:showDLblsOverMax val="0"/>
  </c:chart>
  <c:externalData r:id="rId1">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Percentage of tombs that contain more than three material types</a:t>
            </a:r>
          </a:p>
        </c:rich>
      </c:tx>
      <c:layout/>
      <c:overlay val="0"/>
    </c:title>
    <c:autoTitleDeleted val="0"/>
    <c:plotArea>
      <c:layout/>
      <c:barChart>
        <c:barDir val="col"/>
        <c:grouping val="clustered"/>
        <c:varyColors val="0"/>
        <c:ser>
          <c:idx val="0"/>
          <c:order val="0"/>
          <c:tx>
            <c:strRef>
              <c:f>'[percentage of tomb with the occurrence of more than 3 material types.xlsx]Foglio1'!$A$2</c:f>
              <c:strCache>
                <c:ptCount val="1"/>
                <c:pt idx="0">
                  <c:v>percentage of tomb with the occurrence of more than 3 material types</c:v>
                </c:pt>
              </c:strCache>
            </c:strRef>
          </c:tx>
          <c:invertIfNegative val="0"/>
          <c:cat>
            <c:strRef>
              <c:f>'[percentage of tomb with the occurrence of more than 3 material types.xlsx]Foglio1'!$B$1:$G$1</c:f>
              <c:strCache>
                <c:ptCount val="6"/>
                <c:pt idx="0">
                  <c:v>MW</c:v>
                </c:pt>
                <c:pt idx="1">
                  <c:v>M</c:v>
                </c:pt>
                <c:pt idx="2">
                  <c:v>KN</c:v>
                </c:pt>
                <c:pt idx="3">
                  <c:v>C</c:v>
                </c:pt>
                <c:pt idx="4">
                  <c:v>ME</c:v>
                </c:pt>
                <c:pt idx="5">
                  <c:v>FE</c:v>
                </c:pt>
              </c:strCache>
            </c:strRef>
          </c:cat>
          <c:val>
            <c:numRef>
              <c:f>'[percentage of tomb with the occurrence of more than 3 material types.xlsx]Foglio1'!$B$2:$G$2</c:f>
              <c:numCache>
                <c:formatCode>0%</c:formatCode>
                <c:ptCount val="6"/>
                <c:pt idx="0">
                  <c:v>0.24</c:v>
                </c:pt>
                <c:pt idx="1">
                  <c:v>0.24</c:v>
                </c:pt>
                <c:pt idx="2">
                  <c:v>0.3</c:v>
                </c:pt>
                <c:pt idx="3">
                  <c:v>0.18</c:v>
                </c:pt>
                <c:pt idx="4">
                  <c:v>0.08</c:v>
                </c:pt>
                <c:pt idx="5">
                  <c:v>0.12</c:v>
                </c:pt>
              </c:numCache>
            </c:numRef>
          </c:val>
          <c:extLst xmlns:c16r2="http://schemas.microsoft.com/office/drawing/2015/06/chart">
            <c:ext xmlns:c16="http://schemas.microsoft.com/office/drawing/2014/chart" uri="{C3380CC4-5D6E-409C-BE32-E72D297353CC}">
              <c16:uniqueId val="{00000000-E057-461B-ACA7-CD1A7442F0BC}"/>
            </c:ext>
          </c:extLst>
        </c:ser>
        <c:dLbls>
          <c:showLegendKey val="0"/>
          <c:showVal val="0"/>
          <c:showCatName val="0"/>
          <c:showSerName val="0"/>
          <c:showPercent val="0"/>
          <c:showBubbleSize val="0"/>
        </c:dLbls>
        <c:gapWidth val="150"/>
        <c:axId val="2117545944"/>
        <c:axId val="-2061940408"/>
      </c:barChart>
      <c:catAx>
        <c:axId val="2117545944"/>
        <c:scaling>
          <c:orientation val="minMax"/>
        </c:scaling>
        <c:delete val="0"/>
        <c:axPos val="b"/>
        <c:numFmt formatCode="General" sourceLinked="0"/>
        <c:majorTickMark val="out"/>
        <c:minorTickMark val="none"/>
        <c:tickLblPos val="nextTo"/>
        <c:crossAx val="-2061940408"/>
        <c:crosses val="autoZero"/>
        <c:auto val="1"/>
        <c:lblAlgn val="ctr"/>
        <c:lblOffset val="100"/>
        <c:noMultiLvlLbl val="0"/>
      </c:catAx>
      <c:valAx>
        <c:axId val="-2061940408"/>
        <c:scaling>
          <c:orientation val="minMax"/>
        </c:scaling>
        <c:delete val="0"/>
        <c:axPos val="l"/>
        <c:majorGridlines/>
        <c:numFmt formatCode="0%" sourceLinked="1"/>
        <c:majorTickMark val="out"/>
        <c:minorTickMark val="none"/>
        <c:tickLblPos val="nextTo"/>
        <c:crossAx val="2117545944"/>
        <c:crosses val="autoZero"/>
        <c:crossBetween val="between"/>
      </c:valAx>
    </c:plotArea>
    <c:plotVisOnly val="1"/>
    <c:dispBlanksAs val="gap"/>
    <c:showDLblsOverMax val="0"/>
  </c:chart>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number of larnakes in which occur</c:v>
                </c:pt>
              </c:strCache>
            </c:strRef>
          </c:tx>
          <c:invertIfNegative val="0"/>
          <c:cat>
            <c:strRef>
              <c:f>Foglio1!$B$1:$BY$1</c:f>
              <c:strCache>
                <c:ptCount val="76"/>
                <c:pt idx="0">
                  <c:v>FM 1 man</c:v>
                </c:pt>
                <c:pt idx="1">
                  <c:v>FM 2 horse</c:v>
                </c:pt>
                <c:pt idx="2">
                  <c:v>FM 3 bull</c:v>
                </c:pt>
                <c:pt idx="3">
                  <c:v>FM 4 bucranium</c:v>
                </c:pt>
                <c:pt idx="4">
                  <c:v>FM 5 stag</c:v>
                </c:pt>
                <c:pt idx="5">
                  <c:v>FM 6 goat</c:v>
                </c:pt>
                <c:pt idx="6">
                  <c:v>FM 7 bird</c:v>
                </c:pt>
                <c:pt idx="7">
                  <c:v>FM 8 various animals</c:v>
                </c:pt>
                <c:pt idx="8">
                  <c:v>FM 9 lily</c:v>
                </c:pt>
                <c:pt idx="9">
                  <c:v>FM 10 crocus</c:v>
                </c:pt>
                <c:pt idx="10">
                  <c:v>FM 11 papyri</c:v>
                </c:pt>
                <c:pt idx="11">
                  <c:v>FM 12 sacral ivy</c:v>
                </c:pt>
                <c:pt idx="12">
                  <c:v>FM 13 ogival canopy</c:v>
                </c:pt>
                <c:pt idx="13">
                  <c:v>FM 14 palm I</c:v>
                </c:pt>
                <c:pt idx="14">
                  <c:v>FM 15 palm II</c:v>
                </c:pt>
                <c:pt idx="15">
                  <c:v>FM 16 grass or reed</c:v>
                </c:pt>
                <c:pt idx="16">
                  <c:v>FM 17 rosette</c:v>
                </c:pt>
                <c:pt idx="17">
                  <c:v>FM 18 myc. flower</c:v>
                </c:pt>
                <c:pt idx="18">
                  <c:v>FM 19 multiple stem and tongue pattern</c:v>
                </c:pt>
                <c:pt idx="19">
                  <c:v>FM 20 fish</c:v>
                </c:pt>
                <c:pt idx="20">
                  <c:v>FM 21 cuttlefish/octopus</c:v>
                </c:pt>
                <c:pt idx="21">
                  <c:v>FM 22 argonaut</c:v>
                </c:pt>
                <c:pt idx="22">
                  <c:v>FM 23 whorl-shell</c:v>
                </c:pt>
                <c:pt idx="23">
                  <c:v>FM 24 linked whorl-shell pattern</c:v>
                </c:pt>
                <c:pt idx="24">
                  <c:v>FM 25 bivalve shell</c:v>
                </c:pt>
                <c:pt idx="25">
                  <c:v>FM 26 starfish</c:v>
                </c:pt>
                <c:pt idx="26">
                  <c:v>FM 27 sea anemone</c:v>
                </c:pt>
                <c:pt idx="27">
                  <c:v>FM 28 rock work</c:v>
                </c:pt>
                <c:pt idx="28">
                  <c:v>FM 29 trefoil rock work</c:v>
                </c:pt>
                <c:pt idx="29">
                  <c:v>FM 30 seaweed</c:v>
                </c:pt>
                <c:pt idx="30">
                  <c:v>FM 31 sponge print</c:v>
                </c:pt>
                <c:pt idx="31">
                  <c:v>FM 32 rock pattern I</c:v>
                </c:pt>
                <c:pt idx="32">
                  <c:v>FM 33 rock pattern II</c:v>
                </c:pt>
                <c:pt idx="33">
                  <c:v>FM 34 rock pattern III</c:v>
                </c:pt>
                <c:pt idx="34">
                  <c:v>FM 35 double axes</c:v>
                </c:pt>
                <c:pt idx="35">
                  <c:v>FM 36 horns of consecration</c:v>
                </c:pt>
                <c:pt idx="36">
                  <c:v>FM 37 shield</c:v>
                </c:pt>
                <c:pt idx="37">
                  <c:v>FM 38 pendant</c:v>
                </c:pt>
                <c:pt idx="38">
                  <c:v>FM 39 chariot</c:v>
                </c:pt>
                <c:pt idx="39">
                  <c:v>FM 40 ship</c:v>
                </c:pt>
                <c:pt idx="40">
                  <c:v>FM 41 circle</c:v>
                </c:pt>
                <c:pt idx="41">
                  <c:v>FM 42 joining semicircles</c:v>
                </c:pt>
                <c:pt idx="42">
                  <c:v>FM 43 isolated semicircles</c:v>
                </c:pt>
                <c:pt idx="43">
                  <c:v>FM 44 concentric arcs</c:v>
                </c:pt>
                <c:pt idx="44">
                  <c:v>FM 45 u-pattern</c:v>
                </c:pt>
                <c:pt idx="45">
                  <c:v>FM 46 running spirals in a row </c:v>
                </c:pt>
                <c:pt idx="46">
                  <c:v>FM 47 double and triple spiral</c:v>
                </c:pt>
                <c:pt idx="47">
                  <c:v>FM 48 quirk</c:v>
                </c:pt>
                <c:pt idx="48">
                  <c:v>FM 49 curved-stemed spiral</c:v>
                </c:pt>
                <c:pt idx="49">
                  <c:v>FM 50 antithetic spiral pattern</c:v>
                </c:pt>
                <c:pt idx="50">
                  <c:v>FM 51 stemmed spirals</c:v>
                </c:pt>
                <c:pt idx="51">
                  <c:v>FM 52 isolated spiral</c:v>
                </c:pt>
                <c:pt idx="52">
                  <c:v>FM 53 wavy line</c:v>
                </c:pt>
                <c:pt idx="53">
                  <c:v>FM 54 cross</c:v>
                </c:pt>
                <c:pt idx="54">
                  <c:v>FM 55 diagonal pattern</c:v>
                </c:pt>
                <c:pt idx="55">
                  <c:v>FM 56 chequers</c:v>
                </c:pt>
                <c:pt idx="56">
                  <c:v>FM 57.2 diaper net</c:v>
                </c:pt>
                <c:pt idx="57">
                  <c:v>FM 58 parallel chevrons</c:v>
                </c:pt>
                <c:pt idx="58">
                  <c:v>FM 59 V pattern</c:v>
                </c:pt>
                <c:pt idx="59">
                  <c:v>FM 60 N pattern</c:v>
                </c:pt>
                <c:pt idx="60">
                  <c:v>FM 61 zig zag</c:v>
                </c:pt>
                <c:pt idx="61">
                  <c:v>FM 61A triangles</c:v>
                </c:pt>
                <c:pt idx="62">
                  <c:v>FM 62 tricurved arch</c:v>
                </c:pt>
                <c:pt idx="63">
                  <c:v>FM 63 hatched loop</c:v>
                </c:pt>
                <c:pt idx="64">
                  <c:v>FM 64 foliate band</c:v>
                </c:pt>
                <c:pt idx="65">
                  <c:v>FM 65 wavy border</c:v>
                </c:pt>
                <c:pt idx="66">
                  <c:v>FM 66 arcade pattern</c:v>
                </c:pt>
                <c:pt idx="67">
                  <c:v>FM 67 curved stripes</c:v>
                </c:pt>
                <c:pt idx="68">
                  <c:v>FM 68 wheel</c:v>
                </c:pt>
                <c:pt idx="69">
                  <c:v>FM 69 adder mark</c:v>
                </c:pt>
                <c:pt idx="70">
                  <c:v>FM 70 scale pattern</c:v>
                </c:pt>
                <c:pt idx="71">
                  <c:v>FM 71 elaborate triangle</c:v>
                </c:pt>
                <c:pt idx="72">
                  <c:v>FM 72 tassel pattern</c:v>
                </c:pt>
                <c:pt idx="73">
                  <c:v>FM 73 lozenge</c:v>
                </c:pt>
                <c:pt idx="74">
                  <c:v>FM 74 triglyph and half-rosette</c:v>
                </c:pt>
                <c:pt idx="75">
                  <c:v>FM 75 pannelled pattern</c:v>
                </c:pt>
              </c:strCache>
            </c:strRef>
          </c:cat>
          <c:val>
            <c:numRef>
              <c:f>Foglio1!$B$2:$BY$2</c:f>
              <c:numCache>
                <c:formatCode>General</c:formatCode>
                <c:ptCount val="76"/>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1.0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0.0</c:v>
                </c:pt>
                <c:pt idx="48">
                  <c:v>0.0</c:v>
                </c:pt>
                <c:pt idx="49">
                  <c:v>0.0</c:v>
                </c:pt>
                <c:pt idx="50">
                  <c:v>0.0</c:v>
                </c:pt>
                <c:pt idx="51">
                  <c:v>0.0</c:v>
                </c:pt>
                <c:pt idx="52">
                  <c:v>1.0</c:v>
                </c:pt>
                <c:pt idx="53">
                  <c:v>0.0</c:v>
                </c:pt>
                <c:pt idx="54">
                  <c:v>0.0</c:v>
                </c:pt>
                <c:pt idx="55">
                  <c:v>0.0</c:v>
                </c:pt>
                <c:pt idx="56">
                  <c:v>0.0</c:v>
                </c:pt>
                <c:pt idx="57">
                  <c:v>0.0</c:v>
                </c:pt>
                <c:pt idx="58">
                  <c:v>0.0</c:v>
                </c:pt>
                <c:pt idx="59">
                  <c:v>0.0</c:v>
                </c:pt>
                <c:pt idx="60">
                  <c:v>0.0</c:v>
                </c:pt>
                <c:pt idx="61">
                  <c:v>0.0</c:v>
                </c:pt>
                <c:pt idx="62">
                  <c:v>0.0</c:v>
                </c:pt>
                <c:pt idx="63">
                  <c:v>0.0</c:v>
                </c:pt>
                <c:pt idx="64">
                  <c:v>0.0</c:v>
                </c:pt>
                <c:pt idx="65">
                  <c:v>0.0</c:v>
                </c:pt>
                <c:pt idx="66">
                  <c:v>0.0</c:v>
                </c:pt>
                <c:pt idx="67">
                  <c:v>0.0</c:v>
                </c:pt>
                <c:pt idx="68">
                  <c:v>0.0</c:v>
                </c:pt>
                <c:pt idx="69">
                  <c:v>0.0</c:v>
                </c:pt>
                <c:pt idx="70">
                  <c:v>0.0</c:v>
                </c:pt>
                <c:pt idx="71">
                  <c:v>0.0</c:v>
                </c:pt>
                <c:pt idx="72">
                  <c:v>0.0</c:v>
                </c:pt>
                <c:pt idx="73">
                  <c:v>0.0</c:v>
                </c:pt>
                <c:pt idx="74">
                  <c:v>0.0</c:v>
                </c:pt>
                <c:pt idx="75">
                  <c:v>0.0</c:v>
                </c:pt>
              </c:numCache>
            </c:numRef>
          </c:val>
          <c:extLst xmlns:c16r2="http://schemas.microsoft.com/office/drawing/2015/06/chart">
            <c:ext xmlns:c16="http://schemas.microsoft.com/office/drawing/2014/chart" uri="{C3380CC4-5D6E-409C-BE32-E72D297353CC}">
              <c16:uniqueId val="{00000000-6684-4A1C-8FBC-988F1D4D3636}"/>
            </c:ext>
          </c:extLst>
        </c:ser>
        <c:dLbls>
          <c:showLegendKey val="0"/>
          <c:showVal val="0"/>
          <c:showCatName val="0"/>
          <c:showSerName val="0"/>
          <c:showPercent val="0"/>
          <c:showBubbleSize val="0"/>
        </c:dLbls>
        <c:gapWidth val="150"/>
        <c:axId val="2120193144"/>
        <c:axId val="-2062875960"/>
      </c:barChart>
      <c:catAx>
        <c:axId val="2120193144"/>
        <c:scaling>
          <c:orientation val="minMax"/>
        </c:scaling>
        <c:delete val="0"/>
        <c:axPos val="l"/>
        <c:numFmt formatCode="General" sourceLinked="0"/>
        <c:majorTickMark val="out"/>
        <c:minorTickMark val="none"/>
        <c:tickLblPos val="nextTo"/>
        <c:txPr>
          <a:bodyPr/>
          <a:lstStyle/>
          <a:p>
            <a:pPr>
              <a:defRPr sz="800"/>
            </a:pPr>
            <a:endParaRPr lang="it-IT"/>
          </a:p>
        </c:txPr>
        <c:crossAx val="-2062875960"/>
        <c:crosses val="autoZero"/>
        <c:auto val="1"/>
        <c:lblAlgn val="ctr"/>
        <c:lblOffset val="100"/>
        <c:noMultiLvlLbl val="0"/>
      </c:catAx>
      <c:valAx>
        <c:axId val="-2062875960"/>
        <c:scaling>
          <c:orientation val="minMax"/>
          <c:max val="25.0"/>
        </c:scaling>
        <c:delete val="0"/>
        <c:axPos val="b"/>
        <c:majorGridlines/>
        <c:numFmt formatCode="General" sourceLinked="1"/>
        <c:majorTickMark val="out"/>
        <c:minorTickMark val="none"/>
        <c:tickLblPos val="nextTo"/>
        <c:txPr>
          <a:bodyPr/>
          <a:lstStyle/>
          <a:p>
            <a:pPr>
              <a:defRPr sz="800"/>
            </a:pPr>
            <a:endParaRPr lang="it-IT"/>
          </a:p>
        </c:txPr>
        <c:crossAx val="212019314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it-IT" sz="1200" b="1" i="0" u="none" strike="noStrike" kern="1200" baseline="0">
                <a:solidFill>
                  <a:sysClr val="windowText" lastClr="000000"/>
                </a:solidFill>
                <a:effectLst/>
                <a:latin typeface="Times New Roman" panose="02020603050405020304" pitchFamily="18" charset="0"/>
                <a:ea typeface="+mn-ea"/>
                <a:cs typeface="Times New Roman" panose="02020603050405020304" pitchFamily="18" charset="0"/>
              </a:rPr>
              <a:t>Mid-West</a:t>
            </a:r>
            <a:r>
              <a:rPr lang="it-IT" sz="1200" b="1" i="0" baseline="0">
                <a:effectLst/>
                <a:latin typeface="Times New Roman" panose="02020603050405020304" pitchFamily="18" charset="0"/>
                <a:cs typeface="Times New Roman" panose="02020603050405020304" pitchFamily="18" charset="0"/>
              </a:rPr>
              <a:t> larnax decoration</a:t>
            </a:r>
            <a:endParaRPr lang="it-IT" sz="12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(Foglio1!$B$1;Foglio1!$C$1;Foglio1!$D$1)</c:f>
              <c:strCache>
                <c:ptCount val="3"/>
                <c:pt idx="0">
                  <c:v>Decorated</c:v>
                </c:pt>
                <c:pt idx="1">
                  <c:v>Undecorated</c:v>
                </c:pt>
                <c:pt idx="2">
                  <c:v>Unknown</c:v>
                </c:pt>
              </c:strCache>
            </c:strRef>
          </c:cat>
          <c:val>
            <c:numRef>
              <c:f>(Foglio1!$B$2;Foglio1!$C$2;Foglio1!$D$2)</c:f>
              <c:numCache>
                <c:formatCode>General</c:formatCode>
                <c:ptCount val="3"/>
                <c:pt idx="0">
                  <c:v>80.0</c:v>
                </c:pt>
                <c:pt idx="1">
                  <c:v>2.0</c:v>
                </c:pt>
                <c:pt idx="2">
                  <c:v>38.0</c:v>
                </c:pt>
              </c:numCache>
            </c:numRef>
          </c:val>
          <c:extLst xmlns:c16r2="http://schemas.microsoft.com/office/drawing/2015/06/chart">
            <c:ext xmlns:c16="http://schemas.microsoft.com/office/drawing/2014/chart" uri="{C3380CC4-5D6E-409C-BE32-E72D297353CC}">
              <c16:uniqueId val="{00000000-FFE6-4410-A5D8-EBFF3A4223D4}"/>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Mid-West</a:t>
            </a:r>
            <a:r>
              <a:rPr lang="it-IT" sz="1200" baseline="0">
                <a:latin typeface="Times New Roman" panose="02020603050405020304" pitchFamily="18" charset="0"/>
                <a:cs typeface="Times New Roman" panose="02020603050405020304" pitchFamily="18" charset="0"/>
              </a:rPr>
              <a:t> larnakes</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txPr>
              <a:bodyPr/>
              <a:lstStyle/>
              <a:p>
                <a:pPr>
                  <a:defRPr sz="800"/>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(Foglio1!$B$11;Foglio1!$C$11;Foglio1!$D$11;Foglio1!$E$11)</c:f>
              <c:strCache>
                <c:ptCount val="4"/>
                <c:pt idx="0">
                  <c:v>Decorated no information</c:v>
                </c:pt>
                <c:pt idx="1">
                  <c:v>Decorated information</c:v>
                </c:pt>
                <c:pt idx="2">
                  <c:v>Undecorated</c:v>
                </c:pt>
                <c:pt idx="3">
                  <c:v>Unknown</c:v>
                </c:pt>
              </c:strCache>
            </c:strRef>
          </c:cat>
          <c:val>
            <c:numRef>
              <c:f>(Foglio1!$B$12;Foglio1!$C$12;Foglio1!$D$12;Foglio1!$E$12)</c:f>
              <c:numCache>
                <c:formatCode>General</c:formatCode>
                <c:ptCount val="4"/>
                <c:pt idx="0">
                  <c:v>41.0</c:v>
                </c:pt>
                <c:pt idx="1">
                  <c:v>39.0</c:v>
                </c:pt>
                <c:pt idx="2">
                  <c:v>2.0</c:v>
                </c:pt>
                <c:pt idx="3">
                  <c:v>38.0</c:v>
                </c:pt>
              </c:numCache>
            </c:numRef>
          </c:val>
          <c:extLst xmlns:c16r2="http://schemas.microsoft.com/office/drawing/2015/06/chart">
            <c:ext xmlns:c16="http://schemas.microsoft.com/office/drawing/2014/chart" uri="{C3380CC4-5D6E-409C-BE32-E72D297353CC}">
              <c16:uniqueId val="{00000000-966D-4A9E-A776-3E0011999CAA}"/>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sz="800"/>
          </a:pPr>
          <a:endParaRPr lang="it-IT"/>
        </a:p>
      </c:txPr>
    </c:legend>
    <c:plotVisOnly val="1"/>
    <c:dispBlanksAs val="gap"/>
    <c:showDLblsOverMax val="0"/>
  </c:chart>
  <c:externalData r:id="rId1">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Number of larnakes in which motif occurs</c:v>
                </c:pt>
              </c:strCache>
            </c:strRef>
          </c:tx>
          <c:invertIfNegative val="0"/>
          <c:cat>
            <c:strRef>
              <c:f>Foglio1!$B$1:$BY$1</c:f>
              <c:strCache>
                <c:ptCount val="76"/>
                <c:pt idx="0">
                  <c:v>FM 1 man</c:v>
                </c:pt>
                <c:pt idx="1">
                  <c:v>FM 2 horse</c:v>
                </c:pt>
                <c:pt idx="2">
                  <c:v>FM 3 bull</c:v>
                </c:pt>
                <c:pt idx="3">
                  <c:v>FM 4 bucranium</c:v>
                </c:pt>
                <c:pt idx="4">
                  <c:v>FM 5 stag</c:v>
                </c:pt>
                <c:pt idx="5">
                  <c:v>FM 6 goat</c:v>
                </c:pt>
                <c:pt idx="6">
                  <c:v>FM 7 bird</c:v>
                </c:pt>
                <c:pt idx="7">
                  <c:v>FM 8 various animals</c:v>
                </c:pt>
                <c:pt idx="8">
                  <c:v>FM 9 lily</c:v>
                </c:pt>
                <c:pt idx="9">
                  <c:v>FM 10 crocus</c:v>
                </c:pt>
                <c:pt idx="10">
                  <c:v>FM 11 papyri</c:v>
                </c:pt>
                <c:pt idx="11">
                  <c:v>FM 12 sacral ivy</c:v>
                </c:pt>
                <c:pt idx="12">
                  <c:v>FM 13 ogival canopy</c:v>
                </c:pt>
                <c:pt idx="13">
                  <c:v>FM 14 palm I</c:v>
                </c:pt>
                <c:pt idx="14">
                  <c:v>FM 15 palm II</c:v>
                </c:pt>
                <c:pt idx="15">
                  <c:v>FM 16 grass or reed</c:v>
                </c:pt>
                <c:pt idx="16">
                  <c:v>FM 17 rosette</c:v>
                </c:pt>
                <c:pt idx="17">
                  <c:v>FM 18 Myc. flower</c:v>
                </c:pt>
                <c:pt idx="18">
                  <c:v>FM 19 multiple stem and tongue pattern</c:v>
                </c:pt>
                <c:pt idx="19">
                  <c:v>FM 20 fish</c:v>
                </c:pt>
                <c:pt idx="20">
                  <c:v>FM 21 cuttlefish/octopus</c:v>
                </c:pt>
                <c:pt idx="21">
                  <c:v>FM 22 argonaut</c:v>
                </c:pt>
                <c:pt idx="22">
                  <c:v>FM 23 whorl-shell</c:v>
                </c:pt>
                <c:pt idx="23">
                  <c:v>FM 24 linked whorl-shell pattern</c:v>
                </c:pt>
                <c:pt idx="24">
                  <c:v>FM 25 bivalve shell</c:v>
                </c:pt>
                <c:pt idx="25">
                  <c:v>FM 26 starfish</c:v>
                </c:pt>
                <c:pt idx="26">
                  <c:v>FM 27 sea anemone</c:v>
                </c:pt>
                <c:pt idx="27">
                  <c:v>FM 28 rock work</c:v>
                </c:pt>
                <c:pt idx="28">
                  <c:v>FM 29 trefoil rock work</c:v>
                </c:pt>
                <c:pt idx="29">
                  <c:v>FM 30 seaweed</c:v>
                </c:pt>
                <c:pt idx="30">
                  <c:v>FM 31 sponge print</c:v>
                </c:pt>
                <c:pt idx="31">
                  <c:v>FM 32 rock pattern I</c:v>
                </c:pt>
                <c:pt idx="32">
                  <c:v>FM 33 rock pattern II</c:v>
                </c:pt>
                <c:pt idx="33">
                  <c:v>FM 34 rock pattern III</c:v>
                </c:pt>
                <c:pt idx="34">
                  <c:v>FM 35 double axes</c:v>
                </c:pt>
                <c:pt idx="35">
                  <c:v>FM 36 horns of consecration</c:v>
                </c:pt>
                <c:pt idx="36">
                  <c:v>FM 37 shield</c:v>
                </c:pt>
                <c:pt idx="37">
                  <c:v>FM 38 pendant</c:v>
                </c:pt>
                <c:pt idx="38">
                  <c:v>FM 39 chariot</c:v>
                </c:pt>
                <c:pt idx="39">
                  <c:v>FM 40 ship</c:v>
                </c:pt>
                <c:pt idx="40">
                  <c:v>FM 41 circle</c:v>
                </c:pt>
                <c:pt idx="41">
                  <c:v>FM 42 joining semicircles</c:v>
                </c:pt>
                <c:pt idx="42">
                  <c:v>FM 43 isolated semicircles</c:v>
                </c:pt>
                <c:pt idx="43">
                  <c:v>FM 44 concentric arcs</c:v>
                </c:pt>
                <c:pt idx="44">
                  <c:v>FM 45 u-pattern</c:v>
                </c:pt>
                <c:pt idx="45">
                  <c:v>FM 46 running spirals in a row </c:v>
                </c:pt>
                <c:pt idx="46">
                  <c:v>FM 47 double and triple spiral</c:v>
                </c:pt>
                <c:pt idx="47">
                  <c:v>FM 48 quirk</c:v>
                </c:pt>
                <c:pt idx="48">
                  <c:v>FM 49 curved-stemed spiral</c:v>
                </c:pt>
                <c:pt idx="49">
                  <c:v>FM 50 antithetic spiral pattern</c:v>
                </c:pt>
                <c:pt idx="50">
                  <c:v>FM 51 stemmed spirals</c:v>
                </c:pt>
                <c:pt idx="51">
                  <c:v>FM 52 isolated spiral</c:v>
                </c:pt>
                <c:pt idx="52">
                  <c:v>FM 53 wavy line</c:v>
                </c:pt>
                <c:pt idx="53">
                  <c:v>FM 54 cross</c:v>
                </c:pt>
                <c:pt idx="54">
                  <c:v>FM 55 diagonal pattern</c:v>
                </c:pt>
                <c:pt idx="55">
                  <c:v>FM 56 chequers</c:v>
                </c:pt>
                <c:pt idx="56">
                  <c:v>FM 57.2 diaper net</c:v>
                </c:pt>
                <c:pt idx="57">
                  <c:v>FM 58 parallel chevrons</c:v>
                </c:pt>
                <c:pt idx="58">
                  <c:v>FM 59 V pattern</c:v>
                </c:pt>
                <c:pt idx="59">
                  <c:v>FM 60 N pattern</c:v>
                </c:pt>
                <c:pt idx="60">
                  <c:v>FM 61 zig zag</c:v>
                </c:pt>
                <c:pt idx="61">
                  <c:v>FM 61A triangles</c:v>
                </c:pt>
                <c:pt idx="62">
                  <c:v>FM 62 tricurved arch</c:v>
                </c:pt>
                <c:pt idx="63">
                  <c:v>FM 63 hatched loop</c:v>
                </c:pt>
                <c:pt idx="64">
                  <c:v>FM 64 foliate band</c:v>
                </c:pt>
                <c:pt idx="65">
                  <c:v>FM 65 wavy border</c:v>
                </c:pt>
                <c:pt idx="66">
                  <c:v>FM 66 arcade pattern</c:v>
                </c:pt>
                <c:pt idx="67">
                  <c:v>FM 67 curved stripes</c:v>
                </c:pt>
                <c:pt idx="68">
                  <c:v>FM 68 wheel</c:v>
                </c:pt>
                <c:pt idx="69">
                  <c:v>FM 69 adder mark</c:v>
                </c:pt>
                <c:pt idx="70">
                  <c:v>FM 70 scale pattern</c:v>
                </c:pt>
                <c:pt idx="71">
                  <c:v>FM 71 elaborate triangle</c:v>
                </c:pt>
                <c:pt idx="72">
                  <c:v>FM 72 tassel pattern</c:v>
                </c:pt>
                <c:pt idx="73">
                  <c:v>FM 73 lozenge</c:v>
                </c:pt>
                <c:pt idx="74">
                  <c:v>FM 74 triglyph and half-rosette</c:v>
                </c:pt>
                <c:pt idx="75">
                  <c:v>FM 75 pannelled pattern</c:v>
                </c:pt>
              </c:strCache>
            </c:strRef>
          </c:cat>
          <c:val>
            <c:numRef>
              <c:f>Foglio1!$B$2:$BY$2</c:f>
              <c:numCache>
                <c:formatCode>General</c:formatCode>
                <c:ptCount val="76"/>
                <c:pt idx="0">
                  <c:v>6.0</c:v>
                </c:pt>
                <c:pt idx="1">
                  <c:v>0.0</c:v>
                </c:pt>
                <c:pt idx="2">
                  <c:v>5.0</c:v>
                </c:pt>
                <c:pt idx="3">
                  <c:v>1.0</c:v>
                </c:pt>
                <c:pt idx="4">
                  <c:v>5.0</c:v>
                </c:pt>
                <c:pt idx="5">
                  <c:v>3.0</c:v>
                </c:pt>
                <c:pt idx="6">
                  <c:v>5.0</c:v>
                </c:pt>
                <c:pt idx="7">
                  <c:v>1.0</c:v>
                </c:pt>
                <c:pt idx="8">
                  <c:v>1.0</c:v>
                </c:pt>
                <c:pt idx="9">
                  <c:v>0.0</c:v>
                </c:pt>
                <c:pt idx="10">
                  <c:v>16.0</c:v>
                </c:pt>
                <c:pt idx="11">
                  <c:v>1.0</c:v>
                </c:pt>
                <c:pt idx="12">
                  <c:v>0.0</c:v>
                </c:pt>
                <c:pt idx="13">
                  <c:v>0.0</c:v>
                </c:pt>
                <c:pt idx="14">
                  <c:v>3.0</c:v>
                </c:pt>
                <c:pt idx="15">
                  <c:v>4.0</c:v>
                </c:pt>
                <c:pt idx="16">
                  <c:v>7.0</c:v>
                </c:pt>
                <c:pt idx="17">
                  <c:v>3.0</c:v>
                </c:pt>
                <c:pt idx="18">
                  <c:v>16.0</c:v>
                </c:pt>
                <c:pt idx="19">
                  <c:v>4.0</c:v>
                </c:pt>
                <c:pt idx="20">
                  <c:v>10.0</c:v>
                </c:pt>
                <c:pt idx="21">
                  <c:v>4.0</c:v>
                </c:pt>
                <c:pt idx="22">
                  <c:v>2.0</c:v>
                </c:pt>
                <c:pt idx="23">
                  <c:v>4.0</c:v>
                </c:pt>
                <c:pt idx="24">
                  <c:v>1.0</c:v>
                </c:pt>
                <c:pt idx="25">
                  <c:v>0.0</c:v>
                </c:pt>
                <c:pt idx="26">
                  <c:v>1.0</c:v>
                </c:pt>
                <c:pt idx="27">
                  <c:v>0.0</c:v>
                </c:pt>
                <c:pt idx="28">
                  <c:v>0.0</c:v>
                </c:pt>
                <c:pt idx="29">
                  <c:v>0.0</c:v>
                </c:pt>
                <c:pt idx="30">
                  <c:v>0.0</c:v>
                </c:pt>
                <c:pt idx="31">
                  <c:v>0.0</c:v>
                </c:pt>
                <c:pt idx="32">
                  <c:v>4.0</c:v>
                </c:pt>
                <c:pt idx="33">
                  <c:v>7.0</c:v>
                </c:pt>
                <c:pt idx="34">
                  <c:v>8.0</c:v>
                </c:pt>
                <c:pt idx="35">
                  <c:v>11.0</c:v>
                </c:pt>
                <c:pt idx="36">
                  <c:v>0.0</c:v>
                </c:pt>
                <c:pt idx="37">
                  <c:v>0.0</c:v>
                </c:pt>
                <c:pt idx="38">
                  <c:v>0.0</c:v>
                </c:pt>
                <c:pt idx="39">
                  <c:v>0.0</c:v>
                </c:pt>
                <c:pt idx="40">
                  <c:v>7.0</c:v>
                </c:pt>
                <c:pt idx="41">
                  <c:v>1.0</c:v>
                </c:pt>
                <c:pt idx="42">
                  <c:v>12.0</c:v>
                </c:pt>
                <c:pt idx="43">
                  <c:v>3.0</c:v>
                </c:pt>
                <c:pt idx="44">
                  <c:v>0.0</c:v>
                </c:pt>
                <c:pt idx="45">
                  <c:v>7.0</c:v>
                </c:pt>
                <c:pt idx="46">
                  <c:v>1.0</c:v>
                </c:pt>
                <c:pt idx="47">
                  <c:v>2.0</c:v>
                </c:pt>
                <c:pt idx="48">
                  <c:v>0.0</c:v>
                </c:pt>
                <c:pt idx="49">
                  <c:v>0.0</c:v>
                </c:pt>
                <c:pt idx="50">
                  <c:v>6.0</c:v>
                </c:pt>
                <c:pt idx="51">
                  <c:v>0.0</c:v>
                </c:pt>
                <c:pt idx="52">
                  <c:v>28.0</c:v>
                </c:pt>
                <c:pt idx="53">
                  <c:v>3.0</c:v>
                </c:pt>
                <c:pt idx="54">
                  <c:v>2.0</c:v>
                </c:pt>
                <c:pt idx="55">
                  <c:v>10.0</c:v>
                </c:pt>
                <c:pt idx="56">
                  <c:v>4.0</c:v>
                </c:pt>
                <c:pt idx="57">
                  <c:v>3.0</c:v>
                </c:pt>
                <c:pt idx="58">
                  <c:v>0.0</c:v>
                </c:pt>
                <c:pt idx="59">
                  <c:v>0.0</c:v>
                </c:pt>
                <c:pt idx="60">
                  <c:v>4.0</c:v>
                </c:pt>
                <c:pt idx="61">
                  <c:v>6.0</c:v>
                </c:pt>
                <c:pt idx="62">
                  <c:v>1.0</c:v>
                </c:pt>
                <c:pt idx="63">
                  <c:v>4.0</c:v>
                </c:pt>
                <c:pt idx="64">
                  <c:v>5.0</c:v>
                </c:pt>
                <c:pt idx="65">
                  <c:v>13.0</c:v>
                </c:pt>
                <c:pt idx="66">
                  <c:v>0.0</c:v>
                </c:pt>
                <c:pt idx="67">
                  <c:v>5.0</c:v>
                </c:pt>
                <c:pt idx="68">
                  <c:v>1.0</c:v>
                </c:pt>
                <c:pt idx="69">
                  <c:v>7.0</c:v>
                </c:pt>
                <c:pt idx="70">
                  <c:v>6.0</c:v>
                </c:pt>
                <c:pt idx="71">
                  <c:v>0.0</c:v>
                </c:pt>
                <c:pt idx="72">
                  <c:v>0.0</c:v>
                </c:pt>
                <c:pt idx="73">
                  <c:v>10.0</c:v>
                </c:pt>
                <c:pt idx="74">
                  <c:v>0.0</c:v>
                </c:pt>
                <c:pt idx="75">
                  <c:v>4.0</c:v>
                </c:pt>
              </c:numCache>
            </c:numRef>
          </c:val>
          <c:extLst xmlns:c16r2="http://schemas.microsoft.com/office/drawing/2015/06/chart">
            <c:ext xmlns:c16="http://schemas.microsoft.com/office/drawing/2014/chart" uri="{C3380CC4-5D6E-409C-BE32-E72D297353CC}">
              <c16:uniqueId val="{00000000-A4E1-430A-A86E-CA1BAE6AB59D}"/>
            </c:ext>
          </c:extLst>
        </c:ser>
        <c:dLbls>
          <c:showLegendKey val="0"/>
          <c:showVal val="0"/>
          <c:showCatName val="0"/>
          <c:showSerName val="0"/>
          <c:showPercent val="0"/>
          <c:showBubbleSize val="0"/>
        </c:dLbls>
        <c:gapWidth val="150"/>
        <c:axId val="1853886904"/>
        <c:axId val="-2068256840"/>
      </c:barChart>
      <c:catAx>
        <c:axId val="1853886904"/>
        <c:scaling>
          <c:orientation val="minMax"/>
        </c:scaling>
        <c:delete val="0"/>
        <c:axPos val="l"/>
        <c:numFmt formatCode="General" sourceLinked="0"/>
        <c:majorTickMark val="out"/>
        <c:minorTickMark val="none"/>
        <c:tickLblPos val="nextTo"/>
        <c:txPr>
          <a:bodyPr/>
          <a:lstStyle/>
          <a:p>
            <a:pPr>
              <a:defRPr sz="800">
                <a:latin typeface="Times New Roman"/>
                <a:cs typeface="Times New Roman"/>
              </a:defRPr>
            </a:pPr>
            <a:endParaRPr lang="it-IT"/>
          </a:p>
        </c:txPr>
        <c:crossAx val="-2068256840"/>
        <c:crosses val="autoZero"/>
        <c:auto val="1"/>
        <c:lblAlgn val="ctr"/>
        <c:lblOffset val="100"/>
        <c:noMultiLvlLbl val="0"/>
      </c:catAx>
      <c:valAx>
        <c:axId val="-2068256840"/>
        <c:scaling>
          <c:orientation val="minMax"/>
          <c:max val="25.0"/>
        </c:scaling>
        <c:delete val="0"/>
        <c:axPos val="b"/>
        <c:majorGridlines/>
        <c:numFmt formatCode="General" sourceLinked="1"/>
        <c:majorTickMark val="out"/>
        <c:minorTickMark val="none"/>
        <c:tickLblPos val="nextTo"/>
        <c:txPr>
          <a:bodyPr/>
          <a:lstStyle/>
          <a:p>
            <a:pPr>
              <a:defRPr sz="800">
                <a:latin typeface="Times New Roman"/>
                <a:cs typeface="Times New Roman"/>
              </a:defRPr>
            </a:pPr>
            <a:endParaRPr lang="it-IT"/>
          </a:p>
        </c:txPr>
        <c:crossAx val="1853886904"/>
        <c:crosses val="autoZero"/>
        <c:crossBetween val="between"/>
      </c:valAx>
    </c:plotArea>
    <c:legend>
      <c:legendPos val="r"/>
      <c:layout/>
      <c:overlay val="0"/>
      <c:txPr>
        <a:bodyPr/>
        <a:lstStyle/>
        <a:p>
          <a:pPr>
            <a:defRPr sz="800">
              <a:latin typeface="Times New Roman"/>
              <a:cs typeface="Times New Roman"/>
            </a:defRPr>
          </a:pPr>
          <a:endParaRPr lang="it-IT"/>
        </a:p>
      </c:txPr>
    </c:legend>
    <c:plotVisOnly val="1"/>
    <c:dispBlanksAs val="gap"/>
    <c:showDLblsOverMax val="0"/>
  </c:chart>
  <c:externalData r:id="rId1">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Mesara</a:t>
            </a:r>
            <a:r>
              <a:rPr lang="it-IT" sz="1200" baseline="0">
                <a:latin typeface="Times New Roman" panose="02020603050405020304" pitchFamily="18" charset="0"/>
                <a:cs typeface="Times New Roman" panose="02020603050405020304" pitchFamily="18" charset="0"/>
              </a:rPr>
              <a:t> larnax decoration</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(Foglio1!$B$1;Foglio1!$C$1;Foglio1!$D$1)</c:f>
              <c:strCache>
                <c:ptCount val="3"/>
                <c:pt idx="0">
                  <c:v>Decorated</c:v>
                </c:pt>
                <c:pt idx="1">
                  <c:v>Undecorated</c:v>
                </c:pt>
                <c:pt idx="2">
                  <c:v>Unknown</c:v>
                </c:pt>
              </c:strCache>
            </c:strRef>
          </c:cat>
          <c:val>
            <c:numRef>
              <c:f>(Foglio1!$B$2;Foglio1!$C$2;Foglio1!$D$2)</c:f>
              <c:numCache>
                <c:formatCode>General</c:formatCode>
                <c:ptCount val="3"/>
                <c:pt idx="0">
                  <c:v>23.0</c:v>
                </c:pt>
                <c:pt idx="1">
                  <c:v>52.0</c:v>
                </c:pt>
                <c:pt idx="2">
                  <c:v>48.0</c:v>
                </c:pt>
              </c:numCache>
            </c:numRef>
          </c:val>
          <c:extLst xmlns:c16r2="http://schemas.microsoft.com/office/drawing/2015/06/chart">
            <c:ext xmlns:c16="http://schemas.microsoft.com/office/drawing/2014/chart" uri="{C3380CC4-5D6E-409C-BE32-E72D297353CC}">
              <c16:uniqueId val="{00000000-556E-409F-80D5-BE4D8B96A56A}"/>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1"/>
    <c:plotArea>
      <c:layout/>
      <c:barChart>
        <c:barDir val="bar"/>
        <c:grouping val="clustered"/>
        <c:varyColors val="0"/>
        <c:ser>
          <c:idx val="0"/>
          <c:order val="0"/>
          <c:tx>
            <c:strRef>
              <c:f>Foglio1!$A$2</c:f>
              <c:strCache>
                <c:ptCount val="1"/>
                <c:pt idx="0">
                  <c:v>Number of larnakes in which motif occurs</c:v>
                </c:pt>
              </c:strCache>
            </c:strRef>
          </c:tx>
          <c:invertIfNegative val="0"/>
          <c:cat>
            <c:strRef>
              <c:f>Foglio1!$B$1:$BY$1</c:f>
              <c:strCache>
                <c:ptCount val="76"/>
                <c:pt idx="0">
                  <c:v>FM 1 man</c:v>
                </c:pt>
                <c:pt idx="1">
                  <c:v>FM 2 horse</c:v>
                </c:pt>
                <c:pt idx="2">
                  <c:v>FM 3 bull</c:v>
                </c:pt>
                <c:pt idx="3">
                  <c:v>FM 4 bucranium</c:v>
                </c:pt>
                <c:pt idx="4">
                  <c:v>FM 5 stag</c:v>
                </c:pt>
                <c:pt idx="5">
                  <c:v>FM 6 goat</c:v>
                </c:pt>
                <c:pt idx="6">
                  <c:v>FM 7 bird</c:v>
                </c:pt>
                <c:pt idx="7">
                  <c:v>FM 8 various animals</c:v>
                </c:pt>
                <c:pt idx="8">
                  <c:v>FM 9 lily</c:v>
                </c:pt>
                <c:pt idx="9">
                  <c:v>FM 10 crocus</c:v>
                </c:pt>
                <c:pt idx="10">
                  <c:v>FM 11 papyri</c:v>
                </c:pt>
                <c:pt idx="11">
                  <c:v>FM 12 sacral ivy</c:v>
                </c:pt>
                <c:pt idx="12">
                  <c:v>FM 13 ogival canopy</c:v>
                </c:pt>
                <c:pt idx="13">
                  <c:v>FM 14 palm I</c:v>
                </c:pt>
                <c:pt idx="14">
                  <c:v>FM 15 palm II</c:v>
                </c:pt>
                <c:pt idx="15">
                  <c:v>FM 16 grass or reed</c:v>
                </c:pt>
                <c:pt idx="16">
                  <c:v>FM 17 rosette</c:v>
                </c:pt>
                <c:pt idx="17">
                  <c:v>FM 18 myc. flower</c:v>
                </c:pt>
                <c:pt idx="18">
                  <c:v>FM 19 multiple stem and tongue pattern</c:v>
                </c:pt>
                <c:pt idx="19">
                  <c:v>FM 20 fish</c:v>
                </c:pt>
                <c:pt idx="20">
                  <c:v>FM 21 cuttlefish/octopus</c:v>
                </c:pt>
                <c:pt idx="21">
                  <c:v>FM 22 argonaut</c:v>
                </c:pt>
                <c:pt idx="22">
                  <c:v>FM 23 whorl-shell</c:v>
                </c:pt>
                <c:pt idx="23">
                  <c:v>FM 24 linked whorl-shell pattern</c:v>
                </c:pt>
                <c:pt idx="24">
                  <c:v>FM 25 bivalve shell</c:v>
                </c:pt>
                <c:pt idx="25">
                  <c:v>FM 26 starfish</c:v>
                </c:pt>
                <c:pt idx="26">
                  <c:v>FM 27 sea anemone</c:v>
                </c:pt>
                <c:pt idx="27">
                  <c:v>FM 28 rock work</c:v>
                </c:pt>
                <c:pt idx="28">
                  <c:v>FM 29 trefoil rock work</c:v>
                </c:pt>
                <c:pt idx="29">
                  <c:v>FM 30 seaweed</c:v>
                </c:pt>
                <c:pt idx="30">
                  <c:v>FM 31 sponge print</c:v>
                </c:pt>
                <c:pt idx="31">
                  <c:v>FM 32 rock pattern I</c:v>
                </c:pt>
                <c:pt idx="32">
                  <c:v>FM 33 rock pattern II</c:v>
                </c:pt>
                <c:pt idx="33">
                  <c:v>FM 34 rock pattern III</c:v>
                </c:pt>
                <c:pt idx="34">
                  <c:v>FM 35 double axes</c:v>
                </c:pt>
                <c:pt idx="35">
                  <c:v>FM 36 horns of consecration</c:v>
                </c:pt>
                <c:pt idx="36">
                  <c:v>FM 37 shield</c:v>
                </c:pt>
                <c:pt idx="37">
                  <c:v>FM 38 pendant</c:v>
                </c:pt>
                <c:pt idx="38">
                  <c:v>FM 39 chariot</c:v>
                </c:pt>
                <c:pt idx="39">
                  <c:v>FM 40 ship</c:v>
                </c:pt>
                <c:pt idx="40">
                  <c:v>FM 41 circle</c:v>
                </c:pt>
                <c:pt idx="41">
                  <c:v>FM 42 joining semicircles</c:v>
                </c:pt>
                <c:pt idx="42">
                  <c:v>FM 43 isolated semicircles</c:v>
                </c:pt>
                <c:pt idx="43">
                  <c:v>FM 44 concentric arcs</c:v>
                </c:pt>
                <c:pt idx="44">
                  <c:v>FM 45 u-pattern</c:v>
                </c:pt>
                <c:pt idx="45">
                  <c:v>FM 46 running spirals in a row </c:v>
                </c:pt>
                <c:pt idx="46">
                  <c:v>FM 47 double and triple spiral</c:v>
                </c:pt>
                <c:pt idx="47">
                  <c:v>FM 48 quirk</c:v>
                </c:pt>
                <c:pt idx="48">
                  <c:v>FM 49 curved-stemed spiral</c:v>
                </c:pt>
                <c:pt idx="49">
                  <c:v>FM 50 antithetic spiral pattern</c:v>
                </c:pt>
                <c:pt idx="50">
                  <c:v>FM 51 stemmed spirals</c:v>
                </c:pt>
                <c:pt idx="51">
                  <c:v>FM 52 isolated spiral</c:v>
                </c:pt>
                <c:pt idx="52">
                  <c:v>FM 53 wavy line</c:v>
                </c:pt>
                <c:pt idx="53">
                  <c:v>FM 54 cross</c:v>
                </c:pt>
                <c:pt idx="54">
                  <c:v>FM 55 diagonal pattern</c:v>
                </c:pt>
                <c:pt idx="55">
                  <c:v>FM 56 chequers</c:v>
                </c:pt>
                <c:pt idx="56">
                  <c:v>FM 57.2 diaper net</c:v>
                </c:pt>
                <c:pt idx="57">
                  <c:v>FM 58 parallel chevrons</c:v>
                </c:pt>
                <c:pt idx="58">
                  <c:v>FM 59 V pattern</c:v>
                </c:pt>
                <c:pt idx="59">
                  <c:v>FM 60 N pattern</c:v>
                </c:pt>
                <c:pt idx="60">
                  <c:v>FM 61 zig zag</c:v>
                </c:pt>
                <c:pt idx="61">
                  <c:v>FM 61A triangles</c:v>
                </c:pt>
                <c:pt idx="62">
                  <c:v>FM 62 tricurved arch</c:v>
                </c:pt>
                <c:pt idx="63">
                  <c:v>FM 63 hatched loop</c:v>
                </c:pt>
                <c:pt idx="64">
                  <c:v>FM 64 foliate band</c:v>
                </c:pt>
                <c:pt idx="65">
                  <c:v>FM 65 wavy border</c:v>
                </c:pt>
                <c:pt idx="66">
                  <c:v>FM 66 arcade pattern</c:v>
                </c:pt>
                <c:pt idx="67">
                  <c:v>FM 67 curved stripes</c:v>
                </c:pt>
                <c:pt idx="68">
                  <c:v>FM 68 wheel</c:v>
                </c:pt>
                <c:pt idx="69">
                  <c:v>FM 69 adder mark</c:v>
                </c:pt>
                <c:pt idx="70">
                  <c:v>FM 70 scale pattern</c:v>
                </c:pt>
                <c:pt idx="71">
                  <c:v>FM 71 elaborate triangle</c:v>
                </c:pt>
                <c:pt idx="72">
                  <c:v>FM 72 tassel pattern</c:v>
                </c:pt>
                <c:pt idx="73">
                  <c:v>FM 73 lozenge</c:v>
                </c:pt>
                <c:pt idx="74">
                  <c:v>FM 74 triglyph and half-rosette</c:v>
                </c:pt>
                <c:pt idx="75">
                  <c:v>FM 75 pannelled pattern</c:v>
                </c:pt>
              </c:strCache>
            </c:strRef>
          </c:cat>
          <c:val>
            <c:numRef>
              <c:f>Foglio1!$B$2:$BY$2</c:f>
              <c:numCache>
                <c:formatCode>General</c:formatCode>
                <c:ptCount val="76"/>
                <c:pt idx="0">
                  <c:v>4.0</c:v>
                </c:pt>
                <c:pt idx="1">
                  <c:v>1.0</c:v>
                </c:pt>
                <c:pt idx="2">
                  <c:v>2.0</c:v>
                </c:pt>
                <c:pt idx="3">
                  <c:v>1.0</c:v>
                </c:pt>
                <c:pt idx="4">
                  <c:v>1.0</c:v>
                </c:pt>
                <c:pt idx="5">
                  <c:v>1.0</c:v>
                </c:pt>
                <c:pt idx="6">
                  <c:v>4.0</c:v>
                </c:pt>
                <c:pt idx="7">
                  <c:v>1.0</c:v>
                </c:pt>
                <c:pt idx="8">
                  <c:v>0.0</c:v>
                </c:pt>
                <c:pt idx="9">
                  <c:v>0.0</c:v>
                </c:pt>
                <c:pt idx="10">
                  <c:v>6.0</c:v>
                </c:pt>
                <c:pt idx="11">
                  <c:v>0.0</c:v>
                </c:pt>
                <c:pt idx="12">
                  <c:v>0.0</c:v>
                </c:pt>
                <c:pt idx="13">
                  <c:v>1.0</c:v>
                </c:pt>
                <c:pt idx="14">
                  <c:v>8.0</c:v>
                </c:pt>
                <c:pt idx="15">
                  <c:v>0.0</c:v>
                </c:pt>
                <c:pt idx="16">
                  <c:v>3.0</c:v>
                </c:pt>
                <c:pt idx="17">
                  <c:v>3.0</c:v>
                </c:pt>
                <c:pt idx="18">
                  <c:v>3.0</c:v>
                </c:pt>
                <c:pt idx="19">
                  <c:v>2.0</c:v>
                </c:pt>
                <c:pt idx="20">
                  <c:v>4.0</c:v>
                </c:pt>
                <c:pt idx="21">
                  <c:v>7.0</c:v>
                </c:pt>
                <c:pt idx="22">
                  <c:v>0.0</c:v>
                </c:pt>
                <c:pt idx="23">
                  <c:v>0.0</c:v>
                </c:pt>
                <c:pt idx="24">
                  <c:v>0.0</c:v>
                </c:pt>
                <c:pt idx="25">
                  <c:v>4.0</c:v>
                </c:pt>
                <c:pt idx="26">
                  <c:v>0.0</c:v>
                </c:pt>
                <c:pt idx="27">
                  <c:v>0.0</c:v>
                </c:pt>
                <c:pt idx="28">
                  <c:v>0.0</c:v>
                </c:pt>
                <c:pt idx="29">
                  <c:v>0.0</c:v>
                </c:pt>
                <c:pt idx="30">
                  <c:v>0.0</c:v>
                </c:pt>
                <c:pt idx="31">
                  <c:v>0.0</c:v>
                </c:pt>
                <c:pt idx="32">
                  <c:v>0.0</c:v>
                </c:pt>
                <c:pt idx="33">
                  <c:v>2.0</c:v>
                </c:pt>
                <c:pt idx="34">
                  <c:v>0.0</c:v>
                </c:pt>
                <c:pt idx="35">
                  <c:v>4.0</c:v>
                </c:pt>
                <c:pt idx="36">
                  <c:v>0.0</c:v>
                </c:pt>
                <c:pt idx="37">
                  <c:v>0.0</c:v>
                </c:pt>
                <c:pt idx="38">
                  <c:v>1.0</c:v>
                </c:pt>
                <c:pt idx="39">
                  <c:v>1.0</c:v>
                </c:pt>
                <c:pt idx="40">
                  <c:v>2.0</c:v>
                </c:pt>
                <c:pt idx="41">
                  <c:v>0.0</c:v>
                </c:pt>
                <c:pt idx="42">
                  <c:v>2.0</c:v>
                </c:pt>
                <c:pt idx="43">
                  <c:v>0.0</c:v>
                </c:pt>
                <c:pt idx="44">
                  <c:v>0.0</c:v>
                </c:pt>
                <c:pt idx="45">
                  <c:v>4.0</c:v>
                </c:pt>
                <c:pt idx="46">
                  <c:v>0.0</c:v>
                </c:pt>
                <c:pt idx="47">
                  <c:v>0.0</c:v>
                </c:pt>
                <c:pt idx="48">
                  <c:v>0.0</c:v>
                </c:pt>
                <c:pt idx="49">
                  <c:v>0.0</c:v>
                </c:pt>
                <c:pt idx="50">
                  <c:v>2.0</c:v>
                </c:pt>
                <c:pt idx="51">
                  <c:v>0.0</c:v>
                </c:pt>
                <c:pt idx="52">
                  <c:v>15.0</c:v>
                </c:pt>
                <c:pt idx="53">
                  <c:v>0.0</c:v>
                </c:pt>
                <c:pt idx="54">
                  <c:v>2.0</c:v>
                </c:pt>
                <c:pt idx="55">
                  <c:v>2.0</c:v>
                </c:pt>
                <c:pt idx="56">
                  <c:v>1.0</c:v>
                </c:pt>
                <c:pt idx="57">
                  <c:v>2.0</c:v>
                </c:pt>
                <c:pt idx="58">
                  <c:v>0.0</c:v>
                </c:pt>
                <c:pt idx="59">
                  <c:v>0.0</c:v>
                </c:pt>
                <c:pt idx="60">
                  <c:v>1.0</c:v>
                </c:pt>
                <c:pt idx="61">
                  <c:v>3.0</c:v>
                </c:pt>
                <c:pt idx="62">
                  <c:v>0.0</c:v>
                </c:pt>
                <c:pt idx="63">
                  <c:v>0.0</c:v>
                </c:pt>
                <c:pt idx="64">
                  <c:v>0.0</c:v>
                </c:pt>
                <c:pt idx="65">
                  <c:v>2.0</c:v>
                </c:pt>
                <c:pt idx="66">
                  <c:v>0.0</c:v>
                </c:pt>
                <c:pt idx="67">
                  <c:v>2.0</c:v>
                </c:pt>
                <c:pt idx="68">
                  <c:v>1.0</c:v>
                </c:pt>
                <c:pt idx="69">
                  <c:v>0.0</c:v>
                </c:pt>
                <c:pt idx="70">
                  <c:v>0.0</c:v>
                </c:pt>
                <c:pt idx="71">
                  <c:v>0.0</c:v>
                </c:pt>
                <c:pt idx="72">
                  <c:v>0.0</c:v>
                </c:pt>
                <c:pt idx="73">
                  <c:v>1.0</c:v>
                </c:pt>
                <c:pt idx="74">
                  <c:v>0.0</c:v>
                </c:pt>
                <c:pt idx="75">
                  <c:v>1.0</c:v>
                </c:pt>
              </c:numCache>
            </c:numRef>
          </c:val>
          <c:extLst xmlns:c16r2="http://schemas.microsoft.com/office/drawing/2015/06/chart">
            <c:ext xmlns:c16="http://schemas.microsoft.com/office/drawing/2014/chart" uri="{C3380CC4-5D6E-409C-BE32-E72D297353CC}">
              <c16:uniqueId val="{00000000-C6CB-4F1F-B96D-733F69EC78BF}"/>
            </c:ext>
          </c:extLst>
        </c:ser>
        <c:ser>
          <c:idx val="1"/>
          <c:order val="1"/>
          <c:tx>
            <c:strRef>
              <c:f>Foglio1!$A$2</c:f>
              <c:strCache>
                <c:ptCount val="1"/>
                <c:pt idx="0">
                  <c:v>Number of larnakes in which motif occurs</c:v>
                </c:pt>
              </c:strCache>
            </c:strRef>
          </c:tx>
          <c:invertIfNegative val="0"/>
          <c:cat>
            <c:strRef>
              <c:f>Foglio1!$B$1:$BY$1</c:f>
              <c:strCache>
                <c:ptCount val="76"/>
                <c:pt idx="0">
                  <c:v>FM 1 man</c:v>
                </c:pt>
                <c:pt idx="1">
                  <c:v>FM 2 horse</c:v>
                </c:pt>
                <c:pt idx="2">
                  <c:v>FM 3 bull</c:v>
                </c:pt>
                <c:pt idx="3">
                  <c:v>FM 4 bucranium</c:v>
                </c:pt>
                <c:pt idx="4">
                  <c:v>FM 5 stag</c:v>
                </c:pt>
                <c:pt idx="5">
                  <c:v>FM 6 goat</c:v>
                </c:pt>
                <c:pt idx="6">
                  <c:v>FM 7 bird</c:v>
                </c:pt>
                <c:pt idx="7">
                  <c:v>FM 8 various animals</c:v>
                </c:pt>
                <c:pt idx="8">
                  <c:v>FM 9 lily</c:v>
                </c:pt>
                <c:pt idx="9">
                  <c:v>FM 10 crocus</c:v>
                </c:pt>
                <c:pt idx="10">
                  <c:v>FM 11 papyri</c:v>
                </c:pt>
                <c:pt idx="11">
                  <c:v>FM 12 sacral ivy</c:v>
                </c:pt>
                <c:pt idx="12">
                  <c:v>FM 13 ogival canopy</c:v>
                </c:pt>
                <c:pt idx="13">
                  <c:v>FM 14 palm I</c:v>
                </c:pt>
                <c:pt idx="14">
                  <c:v>FM 15 palm II</c:v>
                </c:pt>
                <c:pt idx="15">
                  <c:v>FM 16 grass or reed</c:v>
                </c:pt>
                <c:pt idx="16">
                  <c:v>FM 17 rosette</c:v>
                </c:pt>
                <c:pt idx="17">
                  <c:v>FM 18 myc. flower</c:v>
                </c:pt>
                <c:pt idx="18">
                  <c:v>FM 19 multiple stem and tongue pattern</c:v>
                </c:pt>
                <c:pt idx="19">
                  <c:v>FM 20 fish</c:v>
                </c:pt>
                <c:pt idx="20">
                  <c:v>FM 21 cuttlefish/octopus</c:v>
                </c:pt>
                <c:pt idx="21">
                  <c:v>FM 22 argonaut</c:v>
                </c:pt>
                <c:pt idx="22">
                  <c:v>FM 23 whorl-shell</c:v>
                </c:pt>
                <c:pt idx="23">
                  <c:v>FM 24 linked whorl-shell pattern</c:v>
                </c:pt>
                <c:pt idx="24">
                  <c:v>FM 25 bivalve shell</c:v>
                </c:pt>
                <c:pt idx="25">
                  <c:v>FM 26 starfish</c:v>
                </c:pt>
                <c:pt idx="26">
                  <c:v>FM 27 sea anemone</c:v>
                </c:pt>
                <c:pt idx="27">
                  <c:v>FM 28 rock work</c:v>
                </c:pt>
                <c:pt idx="28">
                  <c:v>FM 29 trefoil rock work</c:v>
                </c:pt>
                <c:pt idx="29">
                  <c:v>FM 30 seaweed</c:v>
                </c:pt>
                <c:pt idx="30">
                  <c:v>FM 31 sponge print</c:v>
                </c:pt>
                <c:pt idx="31">
                  <c:v>FM 32 rock pattern I</c:v>
                </c:pt>
                <c:pt idx="32">
                  <c:v>FM 33 rock pattern II</c:v>
                </c:pt>
                <c:pt idx="33">
                  <c:v>FM 34 rock pattern III</c:v>
                </c:pt>
                <c:pt idx="34">
                  <c:v>FM 35 double axes</c:v>
                </c:pt>
                <c:pt idx="35">
                  <c:v>FM 36 horns of consecration</c:v>
                </c:pt>
                <c:pt idx="36">
                  <c:v>FM 37 shield</c:v>
                </c:pt>
                <c:pt idx="37">
                  <c:v>FM 38 pendant</c:v>
                </c:pt>
                <c:pt idx="38">
                  <c:v>FM 39 chariot</c:v>
                </c:pt>
                <c:pt idx="39">
                  <c:v>FM 40 ship</c:v>
                </c:pt>
                <c:pt idx="40">
                  <c:v>FM 41 circle</c:v>
                </c:pt>
                <c:pt idx="41">
                  <c:v>FM 42 joining semicircles</c:v>
                </c:pt>
                <c:pt idx="42">
                  <c:v>FM 43 isolated semicircles</c:v>
                </c:pt>
                <c:pt idx="43">
                  <c:v>FM 44 concentric arcs</c:v>
                </c:pt>
                <c:pt idx="44">
                  <c:v>FM 45 u-pattern</c:v>
                </c:pt>
                <c:pt idx="45">
                  <c:v>FM 46 running spirals in a row </c:v>
                </c:pt>
                <c:pt idx="46">
                  <c:v>FM 47 double and triple spiral</c:v>
                </c:pt>
                <c:pt idx="47">
                  <c:v>FM 48 quirk</c:v>
                </c:pt>
                <c:pt idx="48">
                  <c:v>FM 49 curved-stemed spiral</c:v>
                </c:pt>
                <c:pt idx="49">
                  <c:v>FM 50 antithetic spiral pattern</c:v>
                </c:pt>
                <c:pt idx="50">
                  <c:v>FM 51 stemmed spirals</c:v>
                </c:pt>
                <c:pt idx="51">
                  <c:v>FM 52 isolated spiral</c:v>
                </c:pt>
                <c:pt idx="52">
                  <c:v>FM 53 wavy line</c:v>
                </c:pt>
                <c:pt idx="53">
                  <c:v>FM 54 cross</c:v>
                </c:pt>
                <c:pt idx="54">
                  <c:v>FM 55 diagonal pattern</c:v>
                </c:pt>
                <c:pt idx="55">
                  <c:v>FM 56 chequers</c:v>
                </c:pt>
                <c:pt idx="56">
                  <c:v>FM 57.2 diaper net</c:v>
                </c:pt>
                <c:pt idx="57">
                  <c:v>FM 58 parallel chevrons</c:v>
                </c:pt>
                <c:pt idx="58">
                  <c:v>FM 59 V pattern</c:v>
                </c:pt>
                <c:pt idx="59">
                  <c:v>FM 60 N pattern</c:v>
                </c:pt>
                <c:pt idx="60">
                  <c:v>FM 61 zig zag</c:v>
                </c:pt>
                <c:pt idx="61">
                  <c:v>FM 61A triangles</c:v>
                </c:pt>
                <c:pt idx="62">
                  <c:v>FM 62 tricurved arch</c:v>
                </c:pt>
                <c:pt idx="63">
                  <c:v>FM 63 hatched loop</c:v>
                </c:pt>
                <c:pt idx="64">
                  <c:v>FM 64 foliate band</c:v>
                </c:pt>
                <c:pt idx="65">
                  <c:v>FM 65 wavy border</c:v>
                </c:pt>
                <c:pt idx="66">
                  <c:v>FM 66 arcade pattern</c:v>
                </c:pt>
                <c:pt idx="67">
                  <c:v>FM 67 curved stripes</c:v>
                </c:pt>
                <c:pt idx="68">
                  <c:v>FM 68 wheel</c:v>
                </c:pt>
                <c:pt idx="69">
                  <c:v>FM 69 adder mark</c:v>
                </c:pt>
                <c:pt idx="70">
                  <c:v>FM 70 scale pattern</c:v>
                </c:pt>
                <c:pt idx="71">
                  <c:v>FM 71 elaborate triangle</c:v>
                </c:pt>
                <c:pt idx="72">
                  <c:v>FM 72 tassel pattern</c:v>
                </c:pt>
                <c:pt idx="73">
                  <c:v>FM 73 lozenge</c:v>
                </c:pt>
                <c:pt idx="74">
                  <c:v>FM 74 triglyph and half-rosette</c:v>
                </c:pt>
                <c:pt idx="75">
                  <c:v>FM 75 pannelled pattern</c:v>
                </c:pt>
              </c:strCache>
            </c:strRef>
          </c:cat>
          <c:val>
            <c:numRef>
              <c:f>Foglio1!$B$2</c:f>
              <c:numCache>
                <c:formatCode>General</c:formatCode>
                <c:ptCount val="1"/>
                <c:pt idx="0">
                  <c:v>4.0</c:v>
                </c:pt>
              </c:numCache>
            </c:numRef>
          </c:val>
          <c:extLst xmlns:c16r2="http://schemas.microsoft.com/office/drawing/2015/06/chart">
            <c:ext xmlns:c16="http://schemas.microsoft.com/office/drawing/2014/chart" uri="{C3380CC4-5D6E-409C-BE32-E72D297353CC}">
              <c16:uniqueId val="{00000001-C6CB-4F1F-B96D-733F69EC78BF}"/>
            </c:ext>
          </c:extLst>
        </c:ser>
        <c:dLbls>
          <c:showLegendKey val="0"/>
          <c:showVal val="0"/>
          <c:showCatName val="0"/>
          <c:showSerName val="0"/>
          <c:showPercent val="0"/>
          <c:showBubbleSize val="0"/>
        </c:dLbls>
        <c:gapWidth val="150"/>
        <c:axId val="-2068593576"/>
        <c:axId val="-2068613400"/>
      </c:barChart>
      <c:catAx>
        <c:axId val="-2068593576"/>
        <c:scaling>
          <c:orientation val="minMax"/>
        </c:scaling>
        <c:delete val="0"/>
        <c:axPos val="l"/>
        <c:numFmt formatCode="General" sourceLinked="0"/>
        <c:majorTickMark val="none"/>
        <c:minorTickMark val="none"/>
        <c:tickLblPos val="nextTo"/>
        <c:txPr>
          <a:bodyPr/>
          <a:lstStyle/>
          <a:p>
            <a:pPr>
              <a:defRPr sz="800">
                <a:latin typeface="Times New Roman"/>
                <a:cs typeface="Times New Roman"/>
              </a:defRPr>
            </a:pPr>
            <a:endParaRPr lang="it-IT"/>
          </a:p>
        </c:txPr>
        <c:crossAx val="-2068613400"/>
        <c:crosses val="autoZero"/>
        <c:auto val="1"/>
        <c:lblAlgn val="ctr"/>
        <c:lblOffset val="100"/>
        <c:noMultiLvlLbl val="0"/>
      </c:catAx>
      <c:valAx>
        <c:axId val="-2068613400"/>
        <c:scaling>
          <c:orientation val="minMax"/>
          <c:max val="25.0"/>
        </c:scaling>
        <c:delete val="0"/>
        <c:axPos val="b"/>
        <c:majorGridlines/>
        <c:numFmt formatCode="General" sourceLinked="1"/>
        <c:majorTickMark val="none"/>
        <c:minorTickMark val="none"/>
        <c:tickLblPos val="nextTo"/>
        <c:txPr>
          <a:bodyPr/>
          <a:lstStyle/>
          <a:p>
            <a:pPr>
              <a:defRPr sz="800"/>
            </a:pPr>
            <a:endParaRPr lang="it-IT"/>
          </a:p>
        </c:txPr>
        <c:crossAx val="-2068593576"/>
        <c:crosses val="autoZero"/>
        <c:crossBetween val="between"/>
      </c:valAx>
    </c:plotArea>
    <c:legend>
      <c:legendPos val="r"/>
      <c:legendEntry>
        <c:idx val="0"/>
        <c:delete val="1"/>
      </c:legendEntry>
      <c:layout/>
      <c:overlay val="0"/>
      <c:txPr>
        <a:bodyPr/>
        <a:lstStyle/>
        <a:p>
          <a:pPr>
            <a:defRPr sz="800">
              <a:latin typeface="Times New Roman"/>
              <a:cs typeface="Times New Roman"/>
            </a:defRPr>
          </a:pPr>
          <a:endParaRPr lang="it-IT"/>
        </a:p>
      </c:txPr>
    </c:legend>
    <c:plotVisOnly val="1"/>
    <c:dispBlanksAs val="gap"/>
    <c:showDLblsOverMax val="0"/>
  </c:chart>
  <c:externalData r:id="rId1">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Knossos</a:t>
            </a:r>
            <a:r>
              <a:rPr lang="it-IT" sz="1200" baseline="0">
                <a:latin typeface="Times New Roman" panose="02020603050405020304" pitchFamily="18" charset="0"/>
                <a:cs typeface="Times New Roman" panose="02020603050405020304" pitchFamily="18" charset="0"/>
              </a:rPr>
              <a:t> larnax decoration</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(Foglio1!$B$1;Foglio1!$C$1;Foglio1!$D$1)</c:f>
              <c:strCache>
                <c:ptCount val="3"/>
                <c:pt idx="0">
                  <c:v>Decorated</c:v>
                </c:pt>
                <c:pt idx="1">
                  <c:v>Undecorated</c:v>
                </c:pt>
                <c:pt idx="2">
                  <c:v>Unknown</c:v>
                </c:pt>
              </c:strCache>
            </c:strRef>
          </c:cat>
          <c:val>
            <c:numRef>
              <c:f>(Foglio1!$B$2;Foglio1!$C$2;Foglio1!$D$2)</c:f>
              <c:numCache>
                <c:formatCode>General</c:formatCode>
                <c:ptCount val="3"/>
                <c:pt idx="0">
                  <c:v>21.0</c:v>
                </c:pt>
                <c:pt idx="1">
                  <c:v>46.0</c:v>
                </c:pt>
                <c:pt idx="2">
                  <c:v>45.0</c:v>
                </c:pt>
              </c:numCache>
            </c:numRef>
          </c:val>
          <c:extLst xmlns:c16r2="http://schemas.microsoft.com/office/drawing/2015/06/chart">
            <c:ext xmlns:c16="http://schemas.microsoft.com/office/drawing/2014/chart" uri="{C3380CC4-5D6E-409C-BE32-E72D297353CC}">
              <c16:uniqueId val="{00000000-384F-40FE-924A-2A39A23E72F1}"/>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Number of larnakes in which motif occurs</c:v>
                </c:pt>
              </c:strCache>
            </c:strRef>
          </c:tx>
          <c:invertIfNegative val="0"/>
          <c:cat>
            <c:strRef>
              <c:f>Foglio1!$B$1:$BY$1</c:f>
              <c:strCache>
                <c:ptCount val="76"/>
                <c:pt idx="0">
                  <c:v>FM 1 man</c:v>
                </c:pt>
                <c:pt idx="1">
                  <c:v>FM 2 horse</c:v>
                </c:pt>
                <c:pt idx="2">
                  <c:v>FM 3 bull</c:v>
                </c:pt>
                <c:pt idx="3">
                  <c:v>FM 4 bucranium</c:v>
                </c:pt>
                <c:pt idx="4">
                  <c:v>FM 5 stag</c:v>
                </c:pt>
                <c:pt idx="5">
                  <c:v>FM 6 goat</c:v>
                </c:pt>
                <c:pt idx="6">
                  <c:v>FM 7 bird</c:v>
                </c:pt>
                <c:pt idx="7">
                  <c:v>FM 8 various animals</c:v>
                </c:pt>
                <c:pt idx="8">
                  <c:v>FM 9 lily</c:v>
                </c:pt>
                <c:pt idx="9">
                  <c:v>FM 10 crocus</c:v>
                </c:pt>
                <c:pt idx="10">
                  <c:v>FM 11 papyri</c:v>
                </c:pt>
                <c:pt idx="11">
                  <c:v>FM 12 sacral ivy</c:v>
                </c:pt>
                <c:pt idx="12">
                  <c:v>FM 13 ogival canopy</c:v>
                </c:pt>
                <c:pt idx="13">
                  <c:v>FM 14 palm I</c:v>
                </c:pt>
                <c:pt idx="14">
                  <c:v>FM 15 palm II</c:v>
                </c:pt>
                <c:pt idx="15">
                  <c:v>FM 16 grass or reed</c:v>
                </c:pt>
                <c:pt idx="16">
                  <c:v>FM 17 rosette</c:v>
                </c:pt>
                <c:pt idx="17">
                  <c:v>FM 18 myc. flower</c:v>
                </c:pt>
                <c:pt idx="18">
                  <c:v>FM 19 multiple stem and tongue pattern</c:v>
                </c:pt>
                <c:pt idx="19">
                  <c:v>FM 20 fish</c:v>
                </c:pt>
                <c:pt idx="20">
                  <c:v>FM 21 cuttlefish/octopus</c:v>
                </c:pt>
                <c:pt idx="21">
                  <c:v>FM 22 argonaut</c:v>
                </c:pt>
                <c:pt idx="22">
                  <c:v>FM 23 whorl-shell</c:v>
                </c:pt>
                <c:pt idx="23">
                  <c:v>FM 24 linked whorl-shell pattern</c:v>
                </c:pt>
                <c:pt idx="24">
                  <c:v>FM 25 bivalve shell</c:v>
                </c:pt>
                <c:pt idx="25">
                  <c:v>FM 26 starfish</c:v>
                </c:pt>
                <c:pt idx="26">
                  <c:v>FM 27 sea anemone</c:v>
                </c:pt>
                <c:pt idx="27">
                  <c:v>FM 28 rock work</c:v>
                </c:pt>
                <c:pt idx="28">
                  <c:v>FM 29 trefoil rock work</c:v>
                </c:pt>
                <c:pt idx="29">
                  <c:v>FM 30 seaweed</c:v>
                </c:pt>
                <c:pt idx="30">
                  <c:v>FM 31 sponge print</c:v>
                </c:pt>
                <c:pt idx="31">
                  <c:v>FM 32 rock pattern I</c:v>
                </c:pt>
                <c:pt idx="32">
                  <c:v>FM 33 rock pattern II</c:v>
                </c:pt>
                <c:pt idx="33">
                  <c:v>FM 34 rock pattern III</c:v>
                </c:pt>
                <c:pt idx="34">
                  <c:v>FM 35 double axes</c:v>
                </c:pt>
                <c:pt idx="35">
                  <c:v>FM 36 horns of consecration</c:v>
                </c:pt>
                <c:pt idx="36">
                  <c:v>FM 37 shield</c:v>
                </c:pt>
                <c:pt idx="37">
                  <c:v>FM 38 pendant</c:v>
                </c:pt>
                <c:pt idx="38">
                  <c:v>FM 39 chariot</c:v>
                </c:pt>
                <c:pt idx="39">
                  <c:v>FM 40 ship</c:v>
                </c:pt>
                <c:pt idx="40">
                  <c:v>FM 41 circle</c:v>
                </c:pt>
                <c:pt idx="41">
                  <c:v>FM 42 joining semicircles</c:v>
                </c:pt>
                <c:pt idx="42">
                  <c:v>FM 43 isolated semicircles</c:v>
                </c:pt>
                <c:pt idx="43">
                  <c:v>FM 44 concentric arcs</c:v>
                </c:pt>
                <c:pt idx="44">
                  <c:v>FM 45 u-pattern</c:v>
                </c:pt>
                <c:pt idx="45">
                  <c:v>FM 46 running spirals in a row </c:v>
                </c:pt>
                <c:pt idx="46">
                  <c:v>FM 47 double and triple spiral</c:v>
                </c:pt>
                <c:pt idx="47">
                  <c:v>FM 48 quirk</c:v>
                </c:pt>
                <c:pt idx="48">
                  <c:v>FM 49 curved-stemed spiral</c:v>
                </c:pt>
                <c:pt idx="49">
                  <c:v>FM 50 antithetic spiral pattern</c:v>
                </c:pt>
                <c:pt idx="50">
                  <c:v>FM 51 stemmed spirals</c:v>
                </c:pt>
                <c:pt idx="51">
                  <c:v>FM 52 isolated spiral</c:v>
                </c:pt>
                <c:pt idx="52">
                  <c:v>FM 53 wavy line</c:v>
                </c:pt>
                <c:pt idx="53">
                  <c:v>FM 54 cross</c:v>
                </c:pt>
                <c:pt idx="54">
                  <c:v>FM 55 diagonal pattern</c:v>
                </c:pt>
                <c:pt idx="55">
                  <c:v>FM 56 chequers</c:v>
                </c:pt>
                <c:pt idx="56">
                  <c:v>FM 57.2 diaper net</c:v>
                </c:pt>
                <c:pt idx="57">
                  <c:v>FM 58 parallel chevrons</c:v>
                </c:pt>
                <c:pt idx="58">
                  <c:v>FM 59 V pattern</c:v>
                </c:pt>
                <c:pt idx="59">
                  <c:v>FM 60 N pattern</c:v>
                </c:pt>
                <c:pt idx="60">
                  <c:v>FM 61 zig zag</c:v>
                </c:pt>
                <c:pt idx="61">
                  <c:v>FM 61A triangles</c:v>
                </c:pt>
                <c:pt idx="62">
                  <c:v>FM 62 tricurved arch</c:v>
                </c:pt>
                <c:pt idx="63">
                  <c:v>FM 63 hatched loop</c:v>
                </c:pt>
                <c:pt idx="64">
                  <c:v>FM 64 foliate band</c:v>
                </c:pt>
                <c:pt idx="65">
                  <c:v>FM 65 wavy border</c:v>
                </c:pt>
                <c:pt idx="66">
                  <c:v>FM 66 arcade pattern</c:v>
                </c:pt>
                <c:pt idx="67">
                  <c:v>FM 67 curved stripes</c:v>
                </c:pt>
                <c:pt idx="68">
                  <c:v>FM 68 wheel</c:v>
                </c:pt>
                <c:pt idx="69">
                  <c:v>FM 69 adder mark</c:v>
                </c:pt>
                <c:pt idx="70">
                  <c:v>FM 70 scale pattern</c:v>
                </c:pt>
                <c:pt idx="71">
                  <c:v>FM 71 elaborate triangle</c:v>
                </c:pt>
                <c:pt idx="72">
                  <c:v>FM 72 tassel pattern</c:v>
                </c:pt>
                <c:pt idx="73">
                  <c:v>FM 73 lozenge</c:v>
                </c:pt>
                <c:pt idx="74">
                  <c:v>FM 74 triglyph and half-rosette</c:v>
                </c:pt>
                <c:pt idx="75">
                  <c:v>FM 75 pannelled pattern</c:v>
                </c:pt>
              </c:strCache>
            </c:strRef>
          </c:cat>
          <c:val>
            <c:numRef>
              <c:f>Foglio1!$B$2:$BY$2</c:f>
              <c:numCache>
                <c:formatCode>General</c:formatCode>
                <c:ptCount val="76"/>
                <c:pt idx="0">
                  <c:v>0.0</c:v>
                </c:pt>
                <c:pt idx="1">
                  <c:v>0.0</c:v>
                </c:pt>
                <c:pt idx="2">
                  <c:v>0.0</c:v>
                </c:pt>
                <c:pt idx="3">
                  <c:v>0.0</c:v>
                </c:pt>
                <c:pt idx="4">
                  <c:v>0.0</c:v>
                </c:pt>
                <c:pt idx="5">
                  <c:v>0.0</c:v>
                </c:pt>
                <c:pt idx="6">
                  <c:v>0.0</c:v>
                </c:pt>
                <c:pt idx="7">
                  <c:v>0.0</c:v>
                </c:pt>
                <c:pt idx="8">
                  <c:v>0.0</c:v>
                </c:pt>
                <c:pt idx="9">
                  <c:v>0.0</c:v>
                </c:pt>
                <c:pt idx="10">
                  <c:v>4.0</c:v>
                </c:pt>
                <c:pt idx="11">
                  <c:v>0.0</c:v>
                </c:pt>
                <c:pt idx="12">
                  <c:v>0.0</c:v>
                </c:pt>
                <c:pt idx="13">
                  <c:v>0.0</c:v>
                </c:pt>
                <c:pt idx="14">
                  <c:v>0.0</c:v>
                </c:pt>
                <c:pt idx="15">
                  <c:v>0.0</c:v>
                </c:pt>
                <c:pt idx="16">
                  <c:v>0.0</c:v>
                </c:pt>
                <c:pt idx="17">
                  <c:v>1.0</c:v>
                </c:pt>
                <c:pt idx="18">
                  <c:v>1.0</c:v>
                </c:pt>
                <c:pt idx="19">
                  <c:v>0.0</c:v>
                </c:pt>
                <c:pt idx="20">
                  <c:v>0.0</c:v>
                </c:pt>
                <c:pt idx="21">
                  <c:v>1.0</c:v>
                </c:pt>
                <c:pt idx="22">
                  <c:v>0.0</c:v>
                </c:pt>
                <c:pt idx="23">
                  <c:v>1.0</c:v>
                </c:pt>
                <c:pt idx="24">
                  <c:v>1.0</c:v>
                </c:pt>
                <c:pt idx="25">
                  <c:v>0.0</c:v>
                </c:pt>
                <c:pt idx="26">
                  <c:v>0.0</c:v>
                </c:pt>
                <c:pt idx="27">
                  <c:v>0.0</c:v>
                </c:pt>
                <c:pt idx="28">
                  <c:v>0.0</c:v>
                </c:pt>
                <c:pt idx="29">
                  <c:v>0.0</c:v>
                </c:pt>
                <c:pt idx="30">
                  <c:v>0.0</c:v>
                </c:pt>
                <c:pt idx="31">
                  <c:v>0.0</c:v>
                </c:pt>
                <c:pt idx="32">
                  <c:v>0.0</c:v>
                </c:pt>
                <c:pt idx="33">
                  <c:v>2.0</c:v>
                </c:pt>
                <c:pt idx="34">
                  <c:v>0.0</c:v>
                </c:pt>
                <c:pt idx="35">
                  <c:v>0.0</c:v>
                </c:pt>
                <c:pt idx="36">
                  <c:v>0.0</c:v>
                </c:pt>
                <c:pt idx="37">
                  <c:v>0.0</c:v>
                </c:pt>
                <c:pt idx="38">
                  <c:v>1.0</c:v>
                </c:pt>
                <c:pt idx="39">
                  <c:v>0.0</c:v>
                </c:pt>
                <c:pt idx="40">
                  <c:v>0.0</c:v>
                </c:pt>
                <c:pt idx="41">
                  <c:v>0.0</c:v>
                </c:pt>
                <c:pt idx="42">
                  <c:v>0.0</c:v>
                </c:pt>
                <c:pt idx="43">
                  <c:v>0.0</c:v>
                </c:pt>
                <c:pt idx="44">
                  <c:v>0.0</c:v>
                </c:pt>
                <c:pt idx="45">
                  <c:v>3.0</c:v>
                </c:pt>
                <c:pt idx="46">
                  <c:v>0.0</c:v>
                </c:pt>
                <c:pt idx="47">
                  <c:v>0.0</c:v>
                </c:pt>
                <c:pt idx="48">
                  <c:v>0.0</c:v>
                </c:pt>
                <c:pt idx="49">
                  <c:v>0.0</c:v>
                </c:pt>
                <c:pt idx="50">
                  <c:v>1.0</c:v>
                </c:pt>
                <c:pt idx="51">
                  <c:v>0.0</c:v>
                </c:pt>
                <c:pt idx="52">
                  <c:v>9.0</c:v>
                </c:pt>
                <c:pt idx="53">
                  <c:v>0.0</c:v>
                </c:pt>
                <c:pt idx="54">
                  <c:v>0.0</c:v>
                </c:pt>
                <c:pt idx="55">
                  <c:v>0.0</c:v>
                </c:pt>
                <c:pt idx="56">
                  <c:v>0.0</c:v>
                </c:pt>
                <c:pt idx="57">
                  <c:v>0.0</c:v>
                </c:pt>
                <c:pt idx="58">
                  <c:v>0.0</c:v>
                </c:pt>
                <c:pt idx="59">
                  <c:v>0.0</c:v>
                </c:pt>
                <c:pt idx="60">
                  <c:v>1.0</c:v>
                </c:pt>
                <c:pt idx="61">
                  <c:v>0.0</c:v>
                </c:pt>
                <c:pt idx="62">
                  <c:v>2.0</c:v>
                </c:pt>
                <c:pt idx="63">
                  <c:v>0.0</c:v>
                </c:pt>
                <c:pt idx="64">
                  <c:v>0.0</c:v>
                </c:pt>
                <c:pt idx="65">
                  <c:v>3.0</c:v>
                </c:pt>
                <c:pt idx="66">
                  <c:v>0.0</c:v>
                </c:pt>
                <c:pt idx="67">
                  <c:v>0.0</c:v>
                </c:pt>
                <c:pt idx="68">
                  <c:v>0.0</c:v>
                </c:pt>
                <c:pt idx="69">
                  <c:v>0.0</c:v>
                </c:pt>
                <c:pt idx="70">
                  <c:v>0.0</c:v>
                </c:pt>
                <c:pt idx="71">
                  <c:v>0.0</c:v>
                </c:pt>
                <c:pt idx="72">
                  <c:v>0.0</c:v>
                </c:pt>
                <c:pt idx="73">
                  <c:v>0.0</c:v>
                </c:pt>
                <c:pt idx="74">
                  <c:v>0.0</c:v>
                </c:pt>
                <c:pt idx="75">
                  <c:v>0.0</c:v>
                </c:pt>
              </c:numCache>
            </c:numRef>
          </c:val>
          <c:extLst xmlns:c16r2="http://schemas.microsoft.com/office/drawing/2015/06/chart">
            <c:ext xmlns:c16="http://schemas.microsoft.com/office/drawing/2014/chart" uri="{C3380CC4-5D6E-409C-BE32-E72D297353CC}">
              <c16:uniqueId val="{00000000-5F3C-43B6-A2E9-E74B5412EEA3}"/>
            </c:ext>
          </c:extLst>
        </c:ser>
        <c:dLbls>
          <c:showLegendKey val="0"/>
          <c:showVal val="0"/>
          <c:showCatName val="0"/>
          <c:showSerName val="0"/>
          <c:showPercent val="0"/>
          <c:showBubbleSize val="0"/>
        </c:dLbls>
        <c:gapWidth val="150"/>
        <c:axId val="-2123091320"/>
        <c:axId val="2071023848"/>
      </c:barChart>
      <c:catAx>
        <c:axId val="-2123091320"/>
        <c:scaling>
          <c:orientation val="minMax"/>
        </c:scaling>
        <c:delete val="0"/>
        <c:axPos val="l"/>
        <c:numFmt formatCode="General" sourceLinked="0"/>
        <c:majorTickMark val="out"/>
        <c:minorTickMark val="none"/>
        <c:tickLblPos val="nextTo"/>
        <c:txPr>
          <a:bodyPr/>
          <a:lstStyle/>
          <a:p>
            <a:pPr>
              <a:defRPr sz="800">
                <a:latin typeface="Times New Roman"/>
                <a:cs typeface="Times New Roman"/>
              </a:defRPr>
            </a:pPr>
            <a:endParaRPr lang="it-IT"/>
          </a:p>
        </c:txPr>
        <c:crossAx val="2071023848"/>
        <c:crosses val="autoZero"/>
        <c:auto val="1"/>
        <c:lblAlgn val="ctr"/>
        <c:lblOffset val="100"/>
        <c:noMultiLvlLbl val="0"/>
      </c:catAx>
      <c:valAx>
        <c:axId val="2071023848"/>
        <c:scaling>
          <c:orientation val="minMax"/>
          <c:max val="25.0"/>
        </c:scaling>
        <c:delete val="0"/>
        <c:axPos val="b"/>
        <c:majorGridlines/>
        <c:numFmt formatCode="General" sourceLinked="1"/>
        <c:majorTickMark val="out"/>
        <c:minorTickMark val="none"/>
        <c:tickLblPos val="nextTo"/>
        <c:txPr>
          <a:bodyPr/>
          <a:lstStyle/>
          <a:p>
            <a:pPr>
              <a:defRPr sz="800">
                <a:latin typeface="Times New Roman"/>
                <a:cs typeface="Times New Roman"/>
              </a:defRPr>
            </a:pPr>
            <a:endParaRPr lang="it-IT"/>
          </a:p>
        </c:txPr>
        <c:crossAx val="-2123091320"/>
        <c:crosses val="autoZero"/>
        <c:crossBetween val="between"/>
      </c:valAx>
    </c:plotArea>
    <c:legend>
      <c:legendPos val="r"/>
      <c:layout/>
      <c:overlay val="0"/>
      <c:txPr>
        <a:bodyPr/>
        <a:lstStyle/>
        <a:p>
          <a:pPr>
            <a:defRPr sz="800">
              <a:latin typeface="Times New Roman"/>
              <a:cs typeface="Times New Roman"/>
            </a:defRPr>
          </a:pPr>
          <a:endParaRPr lang="it-IT"/>
        </a:p>
      </c:txPr>
    </c:legend>
    <c:plotVisOnly val="1"/>
    <c:dispBlanksAs val="gap"/>
    <c:showDLblsOverMax val="0"/>
  </c:chart>
  <c:externalData r:id="rId1">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Central</a:t>
            </a:r>
            <a:r>
              <a:rPr lang="it-IT" sz="1200" baseline="0">
                <a:latin typeface="Times New Roman" panose="02020603050405020304" pitchFamily="18" charset="0"/>
                <a:cs typeface="Times New Roman" panose="02020603050405020304" pitchFamily="18" charset="0"/>
              </a:rPr>
              <a:t> area larnax decoration</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Foglio1!$B$1:$D$1</c:f>
              <c:strCache>
                <c:ptCount val="3"/>
                <c:pt idx="0">
                  <c:v>Decorated</c:v>
                </c:pt>
                <c:pt idx="1">
                  <c:v>Undecorated</c:v>
                </c:pt>
                <c:pt idx="2">
                  <c:v>Unknown</c:v>
                </c:pt>
              </c:strCache>
            </c:strRef>
          </c:cat>
          <c:val>
            <c:numRef>
              <c:f>Foglio1!$B$2:$D$2</c:f>
              <c:numCache>
                <c:formatCode>General</c:formatCode>
                <c:ptCount val="3"/>
                <c:pt idx="0">
                  <c:v>86.0</c:v>
                </c:pt>
                <c:pt idx="1">
                  <c:v>57.0</c:v>
                </c:pt>
                <c:pt idx="2">
                  <c:v>90.0</c:v>
                </c:pt>
              </c:numCache>
            </c:numRef>
          </c:val>
          <c:extLst xmlns:c16r2="http://schemas.microsoft.com/office/drawing/2015/06/chart">
            <c:ext xmlns:c16="http://schemas.microsoft.com/office/drawing/2014/chart" uri="{C3380CC4-5D6E-409C-BE32-E72D297353CC}">
              <c16:uniqueId val="{00000000-184C-4CAA-BFCD-0FD1CD995B34}"/>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000"/>
            </a:pPr>
            <a:r>
              <a:rPr lang="it-IT" sz="1000">
                <a:latin typeface="Times New Roman" panose="02020603050405020304" pitchFamily="18" charset="0"/>
                <a:cs typeface="Times New Roman" panose="02020603050405020304" pitchFamily="18" charset="0"/>
              </a:rPr>
              <a:t>Total number of tombs per cemetery with larnakes in Mesara area</a:t>
            </a:r>
          </a:p>
        </c:rich>
      </c:tx>
      <c:layout/>
      <c:overlay val="0"/>
    </c:title>
    <c:autoTitleDeleted val="0"/>
    <c:plotArea>
      <c:layout/>
      <c:barChart>
        <c:barDir val="col"/>
        <c:grouping val="clustered"/>
        <c:varyColors val="0"/>
        <c:ser>
          <c:idx val="0"/>
          <c:order val="0"/>
          <c:tx>
            <c:strRef>
              <c:f>Foglio1!$B$1</c:f>
              <c:strCache>
                <c:ptCount val="1"/>
                <c:pt idx="0">
                  <c:v>tot tomb per cemetery</c:v>
                </c:pt>
              </c:strCache>
            </c:strRef>
          </c:tx>
          <c:invertIfNegative val="0"/>
          <c:cat>
            <c:strRef>
              <c:f>Foglio1!$A$2:$A$17</c:f>
              <c:strCache>
                <c:ptCount val="16"/>
                <c:pt idx="0">
                  <c:v>ALESANDRAKI</c:v>
                </c:pt>
                <c:pt idx="1">
                  <c:v>APODOULOU</c:v>
                </c:pt>
                <c:pt idx="2">
                  <c:v>GOUDIES</c:v>
                </c:pt>
                <c:pt idx="3">
                  <c:v>HAGIA TRIADA</c:v>
                </c:pt>
                <c:pt idx="4">
                  <c:v>KALOCHORAFITIS</c:v>
                </c:pt>
                <c:pt idx="5">
                  <c:v>KAMILARI</c:v>
                </c:pt>
                <c:pt idx="6">
                  <c:v>KLIMA</c:v>
                </c:pt>
                <c:pt idx="7">
                  <c:v>KOUSSES</c:v>
                </c:pt>
                <c:pt idx="8">
                  <c:v>LILIANA</c:v>
                </c:pt>
                <c:pt idx="9">
                  <c:v>MIRES</c:v>
                </c:pt>
                <c:pt idx="10">
                  <c:v>PANAYIA KALYVIANI</c:v>
                </c:pt>
                <c:pt idx="11">
                  <c:v>POMBIA</c:v>
                </c:pt>
                <c:pt idx="12">
                  <c:v>STAVROS GALIAS</c:v>
                </c:pt>
                <c:pt idx="13">
                  <c:v>TYMBAKI</c:v>
                </c:pt>
                <c:pt idx="14">
                  <c:v>VALIS</c:v>
                </c:pt>
                <c:pt idx="15">
                  <c:v>VASILIKIA ANOGEIA</c:v>
                </c:pt>
              </c:strCache>
            </c:strRef>
          </c:cat>
          <c:val>
            <c:numRef>
              <c:f>Foglio1!$B$2:$B$17</c:f>
              <c:numCache>
                <c:formatCode>General</c:formatCode>
                <c:ptCount val="16"/>
                <c:pt idx="0">
                  <c:v>1.0</c:v>
                </c:pt>
                <c:pt idx="1">
                  <c:v>8.0</c:v>
                </c:pt>
                <c:pt idx="2">
                  <c:v>1.0</c:v>
                </c:pt>
                <c:pt idx="3">
                  <c:v>5.0</c:v>
                </c:pt>
                <c:pt idx="4">
                  <c:v>5.0</c:v>
                </c:pt>
                <c:pt idx="5">
                  <c:v>1.0</c:v>
                </c:pt>
                <c:pt idx="6">
                  <c:v>2.0</c:v>
                </c:pt>
                <c:pt idx="7">
                  <c:v>1.0</c:v>
                </c:pt>
                <c:pt idx="8">
                  <c:v>8.0</c:v>
                </c:pt>
                <c:pt idx="9">
                  <c:v>1.0</c:v>
                </c:pt>
                <c:pt idx="10">
                  <c:v>1.0</c:v>
                </c:pt>
                <c:pt idx="11">
                  <c:v>1.0</c:v>
                </c:pt>
                <c:pt idx="12">
                  <c:v>5.0</c:v>
                </c:pt>
                <c:pt idx="13">
                  <c:v>1.0</c:v>
                </c:pt>
                <c:pt idx="14">
                  <c:v>1.0</c:v>
                </c:pt>
                <c:pt idx="15">
                  <c:v>3.0</c:v>
                </c:pt>
              </c:numCache>
            </c:numRef>
          </c:val>
          <c:extLst xmlns:c16r2="http://schemas.microsoft.com/office/drawing/2015/06/chart">
            <c:ext xmlns:c16="http://schemas.microsoft.com/office/drawing/2014/chart" uri="{C3380CC4-5D6E-409C-BE32-E72D297353CC}">
              <c16:uniqueId val="{00000000-C3BD-4983-8BD4-3C2AD53E6FF2}"/>
            </c:ext>
          </c:extLst>
        </c:ser>
        <c:dLbls>
          <c:showLegendKey val="0"/>
          <c:showVal val="0"/>
          <c:showCatName val="0"/>
          <c:showSerName val="0"/>
          <c:showPercent val="0"/>
          <c:showBubbleSize val="0"/>
        </c:dLbls>
        <c:gapWidth val="150"/>
        <c:axId val="-2063123480"/>
        <c:axId val="2071042632"/>
      </c:barChart>
      <c:catAx>
        <c:axId val="-2063123480"/>
        <c:scaling>
          <c:orientation val="minMax"/>
        </c:scaling>
        <c:delete val="0"/>
        <c:axPos val="b"/>
        <c:numFmt formatCode="General" sourceLinked="0"/>
        <c:majorTickMark val="out"/>
        <c:minorTickMark val="none"/>
        <c:tickLblPos val="nextTo"/>
        <c:crossAx val="2071042632"/>
        <c:crosses val="autoZero"/>
        <c:auto val="1"/>
        <c:lblAlgn val="ctr"/>
        <c:lblOffset val="100"/>
        <c:noMultiLvlLbl val="0"/>
      </c:catAx>
      <c:valAx>
        <c:axId val="2071042632"/>
        <c:scaling>
          <c:orientation val="minMax"/>
        </c:scaling>
        <c:delete val="0"/>
        <c:axPos val="l"/>
        <c:majorGridlines/>
        <c:numFmt formatCode="General" sourceLinked="1"/>
        <c:majorTickMark val="out"/>
        <c:minorTickMark val="none"/>
        <c:tickLblPos val="nextTo"/>
        <c:crossAx val="-206312348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Shape</a:t>
            </a:r>
            <a:r>
              <a:rPr lang="it-IT" sz="1200" baseline="0">
                <a:latin typeface="Times New Roman" panose="02020603050405020304" pitchFamily="18" charset="0"/>
                <a:cs typeface="Times New Roman" panose="02020603050405020304" pitchFamily="18" charset="0"/>
              </a:rPr>
              <a:t> distribution of </a:t>
            </a:r>
            <a:r>
              <a:rPr lang="it-IT" sz="1200">
                <a:latin typeface="Times New Roman" panose="02020603050405020304" pitchFamily="18" charset="0"/>
                <a:cs typeface="Times New Roman" panose="02020603050405020304" pitchFamily="18" charset="0"/>
              </a:rPr>
              <a:t>decorated</a:t>
            </a:r>
            <a:r>
              <a:rPr lang="it-IT" sz="1200" baseline="0">
                <a:latin typeface="Times New Roman" panose="02020603050405020304" pitchFamily="18" charset="0"/>
                <a:cs typeface="Times New Roman" panose="02020603050405020304" pitchFamily="18" charset="0"/>
              </a:rPr>
              <a:t> larnakes in the Central area</a:t>
            </a:r>
            <a:endParaRPr lang="it-IT" sz="1200">
              <a:latin typeface="Times New Roman" panose="02020603050405020304" pitchFamily="18" charset="0"/>
              <a:cs typeface="Times New Roman" panose="02020603050405020304" pitchFamily="18" charset="0"/>
            </a:endParaRPr>
          </a:p>
        </c:rich>
      </c:tx>
      <c:layout>
        <c:manualLayout>
          <c:xMode val="edge"/>
          <c:yMode val="edge"/>
          <c:x val="0.102675572586239"/>
          <c:y val="0.0434192672998643"/>
        </c:manualLayout>
      </c:layout>
      <c:overlay val="0"/>
    </c:title>
    <c:autoTitleDeleted val="0"/>
    <c:plotArea>
      <c:layout/>
      <c:pieChart>
        <c:varyColors val="1"/>
        <c:ser>
          <c:idx val="0"/>
          <c:order val="0"/>
          <c:dLbls>
            <c:spPr>
              <a:noFill/>
              <a:ln>
                <a:noFill/>
              </a:ln>
              <a:effectLst/>
            </c:spPr>
            <c:txPr>
              <a:bodyPr/>
              <a:lstStyle/>
              <a:p>
                <a:pPr>
                  <a:defRPr sz="800"/>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(Foglio1!$D$99,Foglio1!$D$100)</c:f>
              <c:strCache>
                <c:ptCount val="2"/>
                <c:pt idx="0">
                  <c:v>bathtub</c:v>
                </c:pt>
                <c:pt idx="1">
                  <c:v>chest-shaped</c:v>
                </c:pt>
              </c:strCache>
            </c:strRef>
          </c:cat>
          <c:val>
            <c:numRef>
              <c:f>(Foglio1!$E$99,Foglio1!$E$100)</c:f>
              <c:numCache>
                <c:formatCode>General</c:formatCode>
                <c:ptCount val="2"/>
                <c:pt idx="0">
                  <c:v>3.0</c:v>
                </c:pt>
                <c:pt idx="1">
                  <c:v>78.0</c:v>
                </c:pt>
              </c:numCache>
            </c:numRef>
          </c:val>
          <c:extLst xmlns:c16r2="http://schemas.microsoft.com/office/drawing/2015/06/chart">
            <c:ext xmlns:c16="http://schemas.microsoft.com/office/drawing/2014/chart" uri="{C3380CC4-5D6E-409C-BE32-E72D297353CC}">
              <c16:uniqueId val="{00000000-0F30-4394-AFD3-A9DA1C30DC1A}"/>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sz="800"/>
          </a:pPr>
          <a:endParaRPr lang="it-IT"/>
        </a:p>
      </c:txPr>
    </c:legend>
    <c:plotVisOnly val="1"/>
    <c:dispBlanksAs val="gap"/>
    <c:showDLblsOverMax val="0"/>
  </c:chart>
  <c:externalData r:id="rId1">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number of larnakes in which motif occurs</c:v>
                </c:pt>
              </c:strCache>
            </c:strRef>
          </c:tx>
          <c:invertIfNegative val="0"/>
          <c:cat>
            <c:strRef>
              <c:f>Foglio1!$B$1:$BY$1</c:f>
              <c:strCache>
                <c:ptCount val="76"/>
                <c:pt idx="0">
                  <c:v>FM 1 man</c:v>
                </c:pt>
                <c:pt idx="1">
                  <c:v>FM 2 horse</c:v>
                </c:pt>
                <c:pt idx="2">
                  <c:v>FM 3 bull</c:v>
                </c:pt>
                <c:pt idx="3">
                  <c:v>FM 4 bucranium</c:v>
                </c:pt>
                <c:pt idx="4">
                  <c:v>FM 5 stag</c:v>
                </c:pt>
                <c:pt idx="5">
                  <c:v>FM 6 goat</c:v>
                </c:pt>
                <c:pt idx="6">
                  <c:v>FM 7 bird</c:v>
                </c:pt>
                <c:pt idx="7">
                  <c:v>FM 8 various animals</c:v>
                </c:pt>
                <c:pt idx="8">
                  <c:v>FM 9 lily</c:v>
                </c:pt>
                <c:pt idx="9">
                  <c:v>FM 10 crocus</c:v>
                </c:pt>
                <c:pt idx="10">
                  <c:v>FM 11 papyri</c:v>
                </c:pt>
                <c:pt idx="11">
                  <c:v>FM 12 sacral ivy</c:v>
                </c:pt>
                <c:pt idx="12">
                  <c:v>FM 13 ogival canopy</c:v>
                </c:pt>
                <c:pt idx="13">
                  <c:v>FM 14 palm I</c:v>
                </c:pt>
                <c:pt idx="14">
                  <c:v>FM 15 palm II</c:v>
                </c:pt>
                <c:pt idx="15">
                  <c:v>FM 16 grass or reed</c:v>
                </c:pt>
                <c:pt idx="16">
                  <c:v>FM 17 rosette</c:v>
                </c:pt>
                <c:pt idx="17">
                  <c:v>FM 18 myc. flower</c:v>
                </c:pt>
                <c:pt idx="18">
                  <c:v>FM 19 multiple stem and tongue pattern</c:v>
                </c:pt>
                <c:pt idx="19">
                  <c:v>FM 20 fish</c:v>
                </c:pt>
                <c:pt idx="20">
                  <c:v>FM 21 cuttlefish/octopus</c:v>
                </c:pt>
                <c:pt idx="21">
                  <c:v>FM 22 argonaut</c:v>
                </c:pt>
                <c:pt idx="22">
                  <c:v>FM 23 whorl-shell</c:v>
                </c:pt>
                <c:pt idx="23">
                  <c:v>FM 24 linked whorl-shell pattern</c:v>
                </c:pt>
                <c:pt idx="24">
                  <c:v>FM 25 bivalve shell</c:v>
                </c:pt>
                <c:pt idx="25">
                  <c:v>FM 26 starfish</c:v>
                </c:pt>
                <c:pt idx="26">
                  <c:v>FM 27 sea anemone</c:v>
                </c:pt>
                <c:pt idx="27">
                  <c:v>FM 28 rock work</c:v>
                </c:pt>
                <c:pt idx="28">
                  <c:v>FM 29 trefoil rock work</c:v>
                </c:pt>
                <c:pt idx="29">
                  <c:v>FM 30 seaweed</c:v>
                </c:pt>
                <c:pt idx="30">
                  <c:v>FM 31 sponge print</c:v>
                </c:pt>
                <c:pt idx="31">
                  <c:v>FM 32 rock pattern I</c:v>
                </c:pt>
                <c:pt idx="32">
                  <c:v>FM 33 rock pattern II</c:v>
                </c:pt>
                <c:pt idx="33">
                  <c:v>FM 34 rock pattern III</c:v>
                </c:pt>
                <c:pt idx="34">
                  <c:v>FM 35 double axes</c:v>
                </c:pt>
                <c:pt idx="35">
                  <c:v>FM 36 horns of consecration</c:v>
                </c:pt>
                <c:pt idx="36">
                  <c:v>FM 37 shield</c:v>
                </c:pt>
                <c:pt idx="37">
                  <c:v>FM 38 pendant</c:v>
                </c:pt>
                <c:pt idx="38">
                  <c:v>FM 39 chariot</c:v>
                </c:pt>
                <c:pt idx="39">
                  <c:v>FM 40 ship</c:v>
                </c:pt>
                <c:pt idx="40">
                  <c:v>FM 41 circle</c:v>
                </c:pt>
                <c:pt idx="41">
                  <c:v>FM 42 joining semicircles</c:v>
                </c:pt>
                <c:pt idx="42">
                  <c:v>FM 43 isolated semicircles</c:v>
                </c:pt>
                <c:pt idx="43">
                  <c:v>FM 44 concentric arcs</c:v>
                </c:pt>
                <c:pt idx="44">
                  <c:v>FM 45 u-pattern</c:v>
                </c:pt>
                <c:pt idx="45">
                  <c:v>FM 46 running spirals in a row </c:v>
                </c:pt>
                <c:pt idx="46">
                  <c:v>FM 47 double and triple spiral</c:v>
                </c:pt>
                <c:pt idx="47">
                  <c:v>FM 48 quirk</c:v>
                </c:pt>
                <c:pt idx="48">
                  <c:v>FM 49 curved-stemed spiral</c:v>
                </c:pt>
                <c:pt idx="49">
                  <c:v>FM 50 antithetic spiral pattern</c:v>
                </c:pt>
                <c:pt idx="50">
                  <c:v>FM 51 stemmed spirals</c:v>
                </c:pt>
                <c:pt idx="51">
                  <c:v>FM 52 isolated spiral</c:v>
                </c:pt>
                <c:pt idx="52">
                  <c:v>FM 53 wavy line</c:v>
                </c:pt>
                <c:pt idx="53">
                  <c:v>FM 54 cross</c:v>
                </c:pt>
                <c:pt idx="54">
                  <c:v>FM 55 diagonal pattern</c:v>
                </c:pt>
                <c:pt idx="55">
                  <c:v>FM 56 chequers</c:v>
                </c:pt>
                <c:pt idx="56">
                  <c:v>FM 57.2 diaper net</c:v>
                </c:pt>
                <c:pt idx="57">
                  <c:v>FM 58 parallel chevrons</c:v>
                </c:pt>
                <c:pt idx="58">
                  <c:v>FM 59 V pattern</c:v>
                </c:pt>
                <c:pt idx="59">
                  <c:v>FM 60 N pattern</c:v>
                </c:pt>
                <c:pt idx="60">
                  <c:v>FM 61 zig zag</c:v>
                </c:pt>
                <c:pt idx="61">
                  <c:v>FM 61A triangles</c:v>
                </c:pt>
                <c:pt idx="62">
                  <c:v>FM 62 tricurved arch</c:v>
                </c:pt>
                <c:pt idx="63">
                  <c:v>FM 63 hatched loop</c:v>
                </c:pt>
                <c:pt idx="64">
                  <c:v>FM 64 foliate band</c:v>
                </c:pt>
                <c:pt idx="65">
                  <c:v>FM 65 wavy border</c:v>
                </c:pt>
                <c:pt idx="66">
                  <c:v>FM 66 arcade pattern</c:v>
                </c:pt>
                <c:pt idx="67">
                  <c:v>FM 67 curved stripes</c:v>
                </c:pt>
                <c:pt idx="68">
                  <c:v>FM 68 wheel</c:v>
                </c:pt>
                <c:pt idx="69">
                  <c:v>FM 69 adder mark</c:v>
                </c:pt>
                <c:pt idx="70">
                  <c:v>FM 70 scale pattern</c:v>
                </c:pt>
                <c:pt idx="71">
                  <c:v>FM 71 elaborate triangle</c:v>
                </c:pt>
                <c:pt idx="72">
                  <c:v>FM 72 tassel pattern</c:v>
                </c:pt>
                <c:pt idx="73">
                  <c:v>FM 73 lozenge</c:v>
                </c:pt>
                <c:pt idx="74">
                  <c:v>FM 74 triglyph and half-rosette</c:v>
                </c:pt>
                <c:pt idx="75">
                  <c:v>FM 75 pannelled pattern</c:v>
                </c:pt>
              </c:strCache>
            </c:strRef>
          </c:cat>
          <c:val>
            <c:numRef>
              <c:f>Foglio1!$B$2:$BY$2</c:f>
              <c:numCache>
                <c:formatCode>General</c:formatCode>
                <c:ptCount val="76"/>
                <c:pt idx="0">
                  <c:v>1.0</c:v>
                </c:pt>
                <c:pt idx="1">
                  <c:v>0.0</c:v>
                </c:pt>
                <c:pt idx="2">
                  <c:v>1.0</c:v>
                </c:pt>
                <c:pt idx="3">
                  <c:v>0.0</c:v>
                </c:pt>
                <c:pt idx="4">
                  <c:v>0.0</c:v>
                </c:pt>
                <c:pt idx="5">
                  <c:v>0.0</c:v>
                </c:pt>
                <c:pt idx="6">
                  <c:v>8.0</c:v>
                </c:pt>
                <c:pt idx="7">
                  <c:v>2.0</c:v>
                </c:pt>
                <c:pt idx="8">
                  <c:v>0.0</c:v>
                </c:pt>
                <c:pt idx="9">
                  <c:v>0.0</c:v>
                </c:pt>
                <c:pt idx="10">
                  <c:v>9.0</c:v>
                </c:pt>
                <c:pt idx="11">
                  <c:v>4.0</c:v>
                </c:pt>
                <c:pt idx="12">
                  <c:v>0.0</c:v>
                </c:pt>
                <c:pt idx="13">
                  <c:v>0.0</c:v>
                </c:pt>
                <c:pt idx="14">
                  <c:v>10.0</c:v>
                </c:pt>
                <c:pt idx="15">
                  <c:v>2.0</c:v>
                </c:pt>
                <c:pt idx="16">
                  <c:v>9.0</c:v>
                </c:pt>
                <c:pt idx="17">
                  <c:v>5.0</c:v>
                </c:pt>
                <c:pt idx="18">
                  <c:v>5.0</c:v>
                </c:pt>
                <c:pt idx="19">
                  <c:v>4.0</c:v>
                </c:pt>
                <c:pt idx="20">
                  <c:v>5.0</c:v>
                </c:pt>
                <c:pt idx="21">
                  <c:v>6.0</c:v>
                </c:pt>
                <c:pt idx="22">
                  <c:v>0.0</c:v>
                </c:pt>
                <c:pt idx="23">
                  <c:v>1.0</c:v>
                </c:pt>
                <c:pt idx="24">
                  <c:v>3.0</c:v>
                </c:pt>
                <c:pt idx="25">
                  <c:v>2.0</c:v>
                </c:pt>
                <c:pt idx="26">
                  <c:v>0.0</c:v>
                </c:pt>
                <c:pt idx="27">
                  <c:v>0.0</c:v>
                </c:pt>
                <c:pt idx="28">
                  <c:v>0.0</c:v>
                </c:pt>
                <c:pt idx="29">
                  <c:v>0.0</c:v>
                </c:pt>
                <c:pt idx="30">
                  <c:v>0.0</c:v>
                </c:pt>
                <c:pt idx="31">
                  <c:v>0.0</c:v>
                </c:pt>
                <c:pt idx="32">
                  <c:v>0.0</c:v>
                </c:pt>
                <c:pt idx="33">
                  <c:v>1.0</c:v>
                </c:pt>
                <c:pt idx="34">
                  <c:v>4.0</c:v>
                </c:pt>
                <c:pt idx="35">
                  <c:v>6.0</c:v>
                </c:pt>
                <c:pt idx="36">
                  <c:v>0.0</c:v>
                </c:pt>
                <c:pt idx="37">
                  <c:v>0.0</c:v>
                </c:pt>
                <c:pt idx="38">
                  <c:v>1.0</c:v>
                </c:pt>
                <c:pt idx="39">
                  <c:v>1.0</c:v>
                </c:pt>
                <c:pt idx="40">
                  <c:v>4.0</c:v>
                </c:pt>
                <c:pt idx="41">
                  <c:v>0.0</c:v>
                </c:pt>
                <c:pt idx="42">
                  <c:v>6.0</c:v>
                </c:pt>
                <c:pt idx="43">
                  <c:v>1.0</c:v>
                </c:pt>
                <c:pt idx="44">
                  <c:v>0.0</c:v>
                </c:pt>
                <c:pt idx="45">
                  <c:v>12.0</c:v>
                </c:pt>
                <c:pt idx="46">
                  <c:v>0.0</c:v>
                </c:pt>
                <c:pt idx="47">
                  <c:v>1.0</c:v>
                </c:pt>
                <c:pt idx="48">
                  <c:v>0.0</c:v>
                </c:pt>
                <c:pt idx="49">
                  <c:v>0.0</c:v>
                </c:pt>
                <c:pt idx="50">
                  <c:v>2.0</c:v>
                </c:pt>
                <c:pt idx="51">
                  <c:v>0.0</c:v>
                </c:pt>
                <c:pt idx="52">
                  <c:v>19.0</c:v>
                </c:pt>
                <c:pt idx="53">
                  <c:v>1.0</c:v>
                </c:pt>
                <c:pt idx="54">
                  <c:v>0.0</c:v>
                </c:pt>
                <c:pt idx="55">
                  <c:v>1.0</c:v>
                </c:pt>
                <c:pt idx="56">
                  <c:v>2.0</c:v>
                </c:pt>
                <c:pt idx="57">
                  <c:v>1.0</c:v>
                </c:pt>
                <c:pt idx="58">
                  <c:v>0.0</c:v>
                </c:pt>
                <c:pt idx="59">
                  <c:v>0.0</c:v>
                </c:pt>
                <c:pt idx="60">
                  <c:v>2.0</c:v>
                </c:pt>
                <c:pt idx="61">
                  <c:v>3.0</c:v>
                </c:pt>
                <c:pt idx="62">
                  <c:v>8.0</c:v>
                </c:pt>
                <c:pt idx="63">
                  <c:v>0.0</c:v>
                </c:pt>
                <c:pt idx="64">
                  <c:v>0.0</c:v>
                </c:pt>
                <c:pt idx="65">
                  <c:v>14.0</c:v>
                </c:pt>
                <c:pt idx="66">
                  <c:v>1.0</c:v>
                </c:pt>
                <c:pt idx="67">
                  <c:v>2.0</c:v>
                </c:pt>
                <c:pt idx="68">
                  <c:v>0.0</c:v>
                </c:pt>
                <c:pt idx="69">
                  <c:v>4.0</c:v>
                </c:pt>
                <c:pt idx="70">
                  <c:v>1.0</c:v>
                </c:pt>
                <c:pt idx="71">
                  <c:v>0.0</c:v>
                </c:pt>
                <c:pt idx="72">
                  <c:v>0.0</c:v>
                </c:pt>
                <c:pt idx="73">
                  <c:v>3.0</c:v>
                </c:pt>
                <c:pt idx="74">
                  <c:v>0.0</c:v>
                </c:pt>
                <c:pt idx="75">
                  <c:v>4.0</c:v>
                </c:pt>
              </c:numCache>
            </c:numRef>
          </c:val>
          <c:extLst xmlns:c16r2="http://schemas.microsoft.com/office/drawing/2015/06/chart">
            <c:ext xmlns:c16="http://schemas.microsoft.com/office/drawing/2014/chart" uri="{C3380CC4-5D6E-409C-BE32-E72D297353CC}">
              <c16:uniqueId val="{00000000-C415-4190-B6CA-525DBDAB8A2F}"/>
            </c:ext>
          </c:extLst>
        </c:ser>
        <c:dLbls>
          <c:showLegendKey val="0"/>
          <c:showVal val="0"/>
          <c:showCatName val="0"/>
          <c:showSerName val="0"/>
          <c:showPercent val="0"/>
          <c:showBubbleSize val="0"/>
        </c:dLbls>
        <c:gapWidth val="150"/>
        <c:axId val="2071028376"/>
        <c:axId val="-2068588648"/>
      </c:barChart>
      <c:catAx>
        <c:axId val="2071028376"/>
        <c:scaling>
          <c:orientation val="minMax"/>
        </c:scaling>
        <c:delete val="0"/>
        <c:axPos val="l"/>
        <c:numFmt formatCode="General" sourceLinked="0"/>
        <c:majorTickMark val="out"/>
        <c:minorTickMark val="none"/>
        <c:tickLblPos val="nextTo"/>
        <c:txPr>
          <a:bodyPr/>
          <a:lstStyle/>
          <a:p>
            <a:pPr>
              <a:defRPr sz="800">
                <a:latin typeface="Times New Roman"/>
                <a:cs typeface="Times New Roman"/>
              </a:defRPr>
            </a:pPr>
            <a:endParaRPr lang="it-IT"/>
          </a:p>
        </c:txPr>
        <c:crossAx val="-2068588648"/>
        <c:crosses val="autoZero"/>
        <c:auto val="1"/>
        <c:lblAlgn val="ctr"/>
        <c:lblOffset val="100"/>
        <c:noMultiLvlLbl val="0"/>
      </c:catAx>
      <c:valAx>
        <c:axId val="-2068588648"/>
        <c:scaling>
          <c:orientation val="minMax"/>
          <c:max val="25.0"/>
        </c:scaling>
        <c:delete val="0"/>
        <c:axPos val="b"/>
        <c:majorGridlines/>
        <c:numFmt formatCode="General" sourceLinked="1"/>
        <c:majorTickMark val="out"/>
        <c:minorTickMark val="none"/>
        <c:tickLblPos val="nextTo"/>
        <c:txPr>
          <a:bodyPr/>
          <a:lstStyle/>
          <a:p>
            <a:pPr>
              <a:defRPr sz="800">
                <a:latin typeface="Times New Roman"/>
                <a:cs typeface="Times New Roman"/>
              </a:defRPr>
            </a:pPr>
            <a:endParaRPr lang="it-IT"/>
          </a:p>
        </c:txPr>
        <c:crossAx val="2071028376"/>
        <c:crosses val="autoZero"/>
        <c:crossBetween val="between"/>
        <c:majorUnit val="5.0"/>
      </c:valAx>
    </c:plotArea>
    <c:legend>
      <c:legendPos val="r"/>
      <c:layout/>
      <c:overlay val="0"/>
      <c:txPr>
        <a:bodyPr/>
        <a:lstStyle/>
        <a:p>
          <a:pPr>
            <a:defRPr sz="800">
              <a:latin typeface="Times New Roman"/>
              <a:cs typeface="Times New Roman"/>
            </a:defRPr>
          </a:pPr>
          <a:endParaRPr lang="it-IT"/>
        </a:p>
      </c:txPr>
    </c:legend>
    <c:plotVisOnly val="1"/>
    <c:dispBlanksAs val="gap"/>
    <c:showDLblsOverMax val="0"/>
  </c:chart>
  <c:externalData r:id="rId1">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a:cs typeface="Times New Roman"/>
              </a:defRPr>
            </a:pPr>
            <a:r>
              <a:rPr lang="it-IT" sz="1200">
                <a:latin typeface="Times New Roman"/>
                <a:cs typeface="Times New Roman"/>
              </a:rPr>
              <a:t>Mid</a:t>
            </a:r>
            <a:r>
              <a:rPr lang="it-IT" sz="1200" baseline="0">
                <a:latin typeface="Times New Roman"/>
                <a:cs typeface="Times New Roman"/>
              </a:rPr>
              <a:t>-east larnax decoration</a:t>
            </a:r>
            <a:endParaRPr lang="it-IT" sz="1200">
              <a:latin typeface="Times New Roman"/>
              <a:cs typeface="Times New Roman"/>
            </a:endParaRPr>
          </a:p>
        </c:rich>
      </c:tx>
      <c:layout/>
      <c:overlay val="0"/>
    </c:title>
    <c:autoTitleDeleted val="0"/>
    <c:plotArea>
      <c:layout/>
      <c:pieChart>
        <c:varyColors val="1"/>
        <c:ser>
          <c:idx val="0"/>
          <c:order val="0"/>
          <c:dLbls>
            <c:spPr>
              <a:noFill/>
              <a:ln>
                <a:noFill/>
              </a:ln>
              <a:effectLst/>
            </c:spPr>
            <c:txPr>
              <a:bodyPr/>
              <a:lstStyle/>
              <a:p>
                <a:pPr>
                  <a:defRPr>
                    <a:latin typeface="Times New Roman"/>
                    <a:cs typeface="Times New Roman"/>
                  </a:defRPr>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(Foglio1!$B$1;Foglio1!$C$1;Foglio1!$D$1)</c:f>
              <c:strCache>
                <c:ptCount val="3"/>
                <c:pt idx="0">
                  <c:v>Decorated</c:v>
                </c:pt>
                <c:pt idx="1">
                  <c:v>Undecorated</c:v>
                </c:pt>
                <c:pt idx="2">
                  <c:v>Unknown</c:v>
                </c:pt>
              </c:strCache>
            </c:strRef>
          </c:cat>
          <c:val>
            <c:numRef>
              <c:f>(Foglio1!$B$2;Foglio1!$C$2;Foglio1!$D$2)</c:f>
              <c:numCache>
                <c:formatCode>General</c:formatCode>
                <c:ptCount val="3"/>
                <c:pt idx="0">
                  <c:v>19.0</c:v>
                </c:pt>
                <c:pt idx="1">
                  <c:v>11.0</c:v>
                </c:pt>
                <c:pt idx="2">
                  <c:v>47.0</c:v>
                </c:pt>
              </c:numCache>
            </c:numRef>
          </c:val>
          <c:extLst xmlns:c16r2="http://schemas.microsoft.com/office/drawing/2015/06/chart">
            <c:ext xmlns:c16="http://schemas.microsoft.com/office/drawing/2014/chart" uri="{C3380CC4-5D6E-409C-BE32-E72D297353CC}">
              <c16:uniqueId val="{00000000-A826-4BB6-8571-B6FC36EB619B}"/>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a:latin typeface="Times New Roman"/>
              <a:cs typeface="Times New Roman"/>
            </a:defRPr>
          </a:pPr>
          <a:endParaRPr lang="it-IT"/>
        </a:p>
      </c:txPr>
    </c:legend>
    <c:plotVisOnly val="1"/>
    <c:dispBlanksAs val="gap"/>
    <c:showDLblsOverMax val="0"/>
  </c:chart>
  <c:externalData r:id="rId1">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Number of larnakes in which motif occurs</c:v>
                </c:pt>
              </c:strCache>
            </c:strRef>
          </c:tx>
          <c:invertIfNegative val="0"/>
          <c:cat>
            <c:strRef>
              <c:f>Foglio1!$B$1:$BY$1</c:f>
              <c:strCache>
                <c:ptCount val="76"/>
                <c:pt idx="0">
                  <c:v>FM 1 man</c:v>
                </c:pt>
                <c:pt idx="1">
                  <c:v>FM 2 horse</c:v>
                </c:pt>
                <c:pt idx="2">
                  <c:v>FM 3 bull</c:v>
                </c:pt>
                <c:pt idx="3">
                  <c:v>FM 4 bucranium</c:v>
                </c:pt>
                <c:pt idx="4">
                  <c:v>FM 5 stag</c:v>
                </c:pt>
                <c:pt idx="5">
                  <c:v>FM 6 goat</c:v>
                </c:pt>
                <c:pt idx="6">
                  <c:v>FM 7 bird</c:v>
                </c:pt>
                <c:pt idx="7">
                  <c:v>FM 8 various animals</c:v>
                </c:pt>
                <c:pt idx="8">
                  <c:v>FM 9 lily</c:v>
                </c:pt>
                <c:pt idx="9">
                  <c:v>FM 10 crocus</c:v>
                </c:pt>
                <c:pt idx="10">
                  <c:v>FM 11 papyri</c:v>
                </c:pt>
                <c:pt idx="11">
                  <c:v>FM 12 sacral ivy</c:v>
                </c:pt>
                <c:pt idx="12">
                  <c:v>FM 13 ogival canopy</c:v>
                </c:pt>
                <c:pt idx="13">
                  <c:v>FM 14 palm I</c:v>
                </c:pt>
                <c:pt idx="14">
                  <c:v>FM 15 palm II</c:v>
                </c:pt>
                <c:pt idx="15">
                  <c:v>FM 16 grass or reed</c:v>
                </c:pt>
                <c:pt idx="16">
                  <c:v>FM 17 rosette</c:v>
                </c:pt>
                <c:pt idx="17">
                  <c:v>FM 18 myc. flower</c:v>
                </c:pt>
                <c:pt idx="18">
                  <c:v>FM 19 multiple stem and tongue pattern</c:v>
                </c:pt>
                <c:pt idx="19">
                  <c:v>FM 20 fish</c:v>
                </c:pt>
                <c:pt idx="20">
                  <c:v>FM 21 cuttlefish/octopus</c:v>
                </c:pt>
                <c:pt idx="21">
                  <c:v>FM 22 argonaut</c:v>
                </c:pt>
                <c:pt idx="22">
                  <c:v>FM 23 whorl-shell</c:v>
                </c:pt>
                <c:pt idx="23">
                  <c:v>FM 24 linked whorl-shell pattern</c:v>
                </c:pt>
                <c:pt idx="24">
                  <c:v>FM 25 bivalve shell</c:v>
                </c:pt>
                <c:pt idx="25">
                  <c:v>FM 26 starfish</c:v>
                </c:pt>
                <c:pt idx="26">
                  <c:v>FM 27 sea anemone</c:v>
                </c:pt>
                <c:pt idx="27">
                  <c:v>FM 28 rock work</c:v>
                </c:pt>
                <c:pt idx="28">
                  <c:v>FM 29 trefoil rock work</c:v>
                </c:pt>
                <c:pt idx="29">
                  <c:v>FM 30 seaweed</c:v>
                </c:pt>
                <c:pt idx="30">
                  <c:v>FM 31 sponge print</c:v>
                </c:pt>
                <c:pt idx="31">
                  <c:v>FM 32 rock pattern I</c:v>
                </c:pt>
                <c:pt idx="32">
                  <c:v>FM 33 rock pattern II</c:v>
                </c:pt>
                <c:pt idx="33">
                  <c:v>FM 34 rock pattern III</c:v>
                </c:pt>
                <c:pt idx="34">
                  <c:v>FM 35 double axes</c:v>
                </c:pt>
                <c:pt idx="35">
                  <c:v>FM 36 horns of consecration</c:v>
                </c:pt>
                <c:pt idx="36">
                  <c:v>FM 37 shield</c:v>
                </c:pt>
                <c:pt idx="37">
                  <c:v>FM 38 pendant</c:v>
                </c:pt>
                <c:pt idx="38">
                  <c:v>FM 39 chariot</c:v>
                </c:pt>
                <c:pt idx="39">
                  <c:v>FM 40 ship</c:v>
                </c:pt>
                <c:pt idx="40">
                  <c:v>FM 41 circle</c:v>
                </c:pt>
                <c:pt idx="41">
                  <c:v>FM 42 joining semicircles</c:v>
                </c:pt>
                <c:pt idx="42">
                  <c:v>FM 43 isolated semicircles</c:v>
                </c:pt>
                <c:pt idx="43">
                  <c:v>FM 44 concentric arcs</c:v>
                </c:pt>
                <c:pt idx="44">
                  <c:v>FM 45 u-pattern</c:v>
                </c:pt>
                <c:pt idx="45">
                  <c:v>FM 46 running spirals in a row </c:v>
                </c:pt>
                <c:pt idx="46">
                  <c:v>FM 47 double and triple spiral</c:v>
                </c:pt>
                <c:pt idx="47">
                  <c:v>FM 48 quirk</c:v>
                </c:pt>
                <c:pt idx="48">
                  <c:v>FM 49 curved-stemed spiral</c:v>
                </c:pt>
                <c:pt idx="49">
                  <c:v>FM 50 antithetic spiral pattern</c:v>
                </c:pt>
                <c:pt idx="50">
                  <c:v>FM 51 stemmed spirals</c:v>
                </c:pt>
                <c:pt idx="51">
                  <c:v>FM 52 isolated spiral</c:v>
                </c:pt>
                <c:pt idx="52">
                  <c:v>FM 53 wavy line</c:v>
                </c:pt>
                <c:pt idx="53">
                  <c:v>FM 54 cross</c:v>
                </c:pt>
                <c:pt idx="54">
                  <c:v>FM 55 diagonal pattern</c:v>
                </c:pt>
                <c:pt idx="55">
                  <c:v>FM 56 chequers</c:v>
                </c:pt>
                <c:pt idx="56">
                  <c:v>FM 57.2 diaper net</c:v>
                </c:pt>
                <c:pt idx="57">
                  <c:v>FM 58 parallel chevrons</c:v>
                </c:pt>
                <c:pt idx="58">
                  <c:v>FM 59 V pattern</c:v>
                </c:pt>
                <c:pt idx="59">
                  <c:v>FM 60 N pattern</c:v>
                </c:pt>
                <c:pt idx="60">
                  <c:v>FM 61 zig zag</c:v>
                </c:pt>
                <c:pt idx="61">
                  <c:v>FM 61A triangles</c:v>
                </c:pt>
                <c:pt idx="62">
                  <c:v>FM 62 tricurved arch</c:v>
                </c:pt>
                <c:pt idx="63">
                  <c:v>FM 63 hatched loop</c:v>
                </c:pt>
                <c:pt idx="64">
                  <c:v>FM 64 foliate band</c:v>
                </c:pt>
                <c:pt idx="65">
                  <c:v>FM 65 wavy border</c:v>
                </c:pt>
                <c:pt idx="66">
                  <c:v>FM 66 arcade pattern</c:v>
                </c:pt>
                <c:pt idx="67">
                  <c:v>FM 67 curved stripes</c:v>
                </c:pt>
                <c:pt idx="68">
                  <c:v>FM 68 wheel</c:v>
                </c:pt>
                <c:pt idx="69">
                  <c:v>FM 69 adder mark</c:v>
                </c:pt>
                <c:pt idx="70">
                  <c:v>FM 70 scale pattern</c:v>
                </c:pt>
                <c:pt idx="71">
                  <c:v>FM 71 elaborate triangle</c:v>
                </c:pt>
                <c:pt idx="72">
                  <c:v>FM 72 tassel pattern</c:v>
                </c:pt>
                <c:pt idx="73">
                  <c:v>FM 73 lozenge</c:v>
                </c:pt>
                <c:pt idx="74">
                  <c:v>FM 74 triglyph and half-rosette</c:v>
                </c:pt>
                <c:pt idx="75">
                  <c:v>FM 75 pannelled pattern</c:v>
                </c:pt>
              </c:strCache>
            </c:strRef>
          </c:cat>
          <c:val>
            <c:numRef>
              <c:f>Foglio1!$B$2:$BY$2</c:f>
              <c:numCache>
                <c:formatCode>General</c:formatCode>
                <c:ptCount val="76"/>
                <c:pt idx="0">
                  <c:v>1.0</c:v>
                </c:pt>
                <c:pt idx="1">
                  <c:v>0.0</c:v>
                </c:pt>
                <c:pt idx="2">
                  <c:v>0.0</c:v>
                </c:pt>
                <c:pt idx="3">
                  <c:v>0.0</c:v>
                </c:pt>
                <c:pt idx="4">
                  <c:v>0.0</c:v>
                </c:pt>
                <c:pt idx="5">
                  <c:v>0.0</c:v>
                </c:pt>
                <c:pt idx="6">
                  <c:v>3.0</c:v>
                </c:pt>
                <c:pt idx="7">
                  <c:v>0.0</c:v>
                </c:pt>
                <c:pt idx="8">
                  <c:v>0.0</c:v>
                </c:pt>
                <c:pt idx="9">
                  <c:v>0.0</c:v>
                </c:pt>
                <c:pt idx="10">
                  <c:v>1.0</c:v>
                </c:pt>
                <c:pt idx="11">
                  <c:v>1.0</c:v>
                </c:pt>
                <c:pt idx="12">
                  <c:v>0.0</c:v>
                </c:pt>
                <c:pt idx="13">
                  <c:v>1.0</c:v>
                </c:pt>
                <c:pt idx="14">
                  <c:v>0.0</c:v>
                </c:pt>
                <c:pt idx="15">
                  <c:v>0.0</c:v>
                </c:pt>
                <c:pt idx="16">
                  <c:v>0.0</c:v>
                </c:pt>
                <c:pt idx="17">
                  <c:v>1.0</c:v>
                </c:pt>
                <c:pt idx="18">
                  <c:v>0.0</c:v>
                </c:pt>
                <c:pt idx="19">
                  <c:v>5.0</c:v>
                </c:pt>
                <c:pt idx="20">
                  <c:v>3.0</c:v>
                </c:pt>
                <c:pt idx="21">
                  <c:v>0.0</c:v>
                </c:pt>
                <c:pt idx="22">
                  <c:v>0.0</c:v>
                </c:pt>
                <c:pt idx="23">
                  <c:v>0.0</c:v>
                </c:pt>
                <c:pt idx="24">
                  <c:v>1.0</c:v>
                </c:pt>
                <c:pt idx="25">
                  <c:v>1.0</c:v>
                </c:pt>
                <c:pt idx="26">
                  <c:v>1.0</c:v>
                </c:pt>
                <c:pt idx="27">
                  <c:v>0.0</c:v>
                </c:pt>
                <c:pt idx="28">
                  <c:v>1.0</c:v>
                </c:pt>
                <c:pt idx="29">
                  <c:v>0.0</c:v>
                </c:pt>
                <c:pt idx="30">
                  <c:v>0.0</c:v>
                </c:pt>
                <c:pt idx="31">
                  <c:v>1.0</c:v>
                </c:pt>
                <c:pt idx="32">
                  <c:v>0.0</c:v>
                </c:pt>
                <c:pt idx="33">
                  <c:v>0.0</c:v>
                </c:pt>
                <c:pt idx="34">
                  <c:v>1.0</c:v>
                </c:pt>
                <c:pt idx="35">
                  <c:v>1.0</c:v>
                </c:pt>
                <c:pt idx="36">
                  <c:v>1.0</c:v>
                </c:pt>
                <c:pt idx="37">
                  <c:v>0.0</c:v>
                </c:pt>
                <c:pt idx="38">
                  <c:v>0.0</c:v>
                </c:pt>
                <c:pt idx="39">
                  <c:v>0.0</c:v>
                </c:pt>
                <c:pt idx="40">
                  <c:v>0.0</c:v>
                </c:pt>
                <c:pt idx="41">
                  <c:v>0.0</c:v>
                </c:pt>
                <c:pt idx="42">
                  <c:v>0.0</c:v>
                </c:pt>
                <c:pt idx="43">
                  <c:v>0.0</c:v>
                </c:pt>
                <c:pt idx="44">
                  <c:v>0.0</c:v>
                </c:pt>
                <c:pt idx="45">
                  <c:v>5.0</c:v>
                </c:pt>
                <c:pt idx="46">
                  <c:v>0.0</c:v>
                </c:pt>
                <c:pt idx="47">
                  <c:v>0.0</c:v>
                </c:pt>
                <c:pt idx="48">
                  <c:v>0.0</c:v>
                </c:pt>
                <c:pt idx="49">
                  <c:v>0.0</c:v>
                </c:pt>
                <c:pt idx="50">
                  <c:v>1.0</c:v>
                </c:pt>
                <c:pt idx="51">
                  <c:v>0.0</c:v>
                </c:pt>
                <c:pt idx="52">
                  <c:v>8.0</c:v>
                </c:pt>
                <c:pt idx="53">
                  <c:v>0.0</c:v>
                </c:pt>
                <c:pt idx="54">
                  <c:v>0.0</c:v>
                </c:pt>
                <c:pt idx="55">
                  <c:v>0.0</c:v>
                </c:pt>
                <c:pt idx="56">
                  <c:v>3.0</c:v>
                </c:pt>
                <c:pt idx="57">
                  <c:v>1.0</c:v>
                </c:pt>
                <c:pt idx="58">
                  <c:v>0.0</c:v>
                </c:pt>
                <c:pt idx="59">
                  <c:v>0.0</c:v>
                </c:pt>
                <c:pt idx="60">
                  <c:v>2.0</c:v>
                </c:pt>
                <c:pt idx="61">
                  <c:v>0.0</c:v>
                </c:pt>
                <c:pt idx="62">
                  <c:v>1.0</c:v>
                </c:pt>
                <c:pt idx="63">
                  <c:v>0.0</c:v>
                </c:pt>
                <c:pt idx="64">
                  <c:v>0.0</c:v>
                </c:pt>
                <c:pt idx="65">
                  <c:v>2.0</c:v>
                </c:pt>
                <c:pt idx="66">
                  <c:v>0.0</c:v>
                </c:pt>
                <c:pt idx="67">
                  <c:v>0.0</c:v>
                </c:pt>
                <c:pt idx="68">
                  <c:v>0.0</c:v>
                </c:pt>
                <c:pt idx="69">
                  <c:v>0.0</c:v>
                </c:pt>
                <c:pt idx="70">
                  <c:v>0.0</c:v>
                </c:pt>
                <c:pt idx="71">
                  <c:v>0.0</c:v>
                </c:pt>
                <c:pt idx="72">
                  <c:v>0.0</c:v>
                </c:pt>
                <c:pt idx="73">
                  <c:v>0.0</c:v>
                </c:pt>
                <c:pt idx="74">
                  <c:v>0.0</c:v>
                </c:pt>
                <c:pt idx="75">
                  <c:v>1.0</c:v>
                </c:pt>
              </c:numCache>
            </c:numRef>
          </c:val>
          <c:extLst xmlns:c16r2="http://schemas.microsoft.com/office/drawing/2015/06/chart">
            <c:ext xmlns:c16="http://schemas.microsoft.com/office/drawing/2014/chart" uri="{C3380CC4-5D6E-409C-BE32-E72D297353CC}">
              <c16:uniqueId val="{00000000-21B4-439A-8988-97C4059903E7}"/>
            </c:ext>
          </c:extLst>
        </c:ser>
        <c:dLbls>
          <c:showLegendKey val="0"/>
          <c:showVal val="0"/>
          <c:showCatName val="0"/>
          <c:showSerName val="0"/>
          <c:showPercent val="0"/>
          <c:showBubbleSize val="0"/>
        </c:dLbls>
        <c:gapWidth val="150"/>
        <c:axId val="2113933512"/>
        <c:axId val="1842987384"/>
      </c:barChart>
      <c:catAx>
        <c:axId val="2113933512"/>
        <c:scaling>
          <c:orientation val="minMax"/>
        </c:scaling>
        <c:delete val="0"/>
        <c:axPos val="l"/>
        <c:numFmt formatCode="General" sourceLinked="0"/>
        <c:majorTickMark val="out"/>
        <c:minorTickMark val="none"/>
        <c:tickLblPos val="nextTo"/>
        <c:txPr>
          <a:bodyPr/>
          <a:lstStyle/>
          <a:p>
            <a:pPr>
              <a:defRPr sz="800">
                <a:latin typeface="Times New Roman"/>
                <a:cs typeface="Times New Roman"/>
              </a:defRPr>
            </a:pPr>
            <a:endParaRPr lang="it-IT"/>
          </a:p>
        </c:txPr>
        <c:crossAx val="1842987384"/>
        <c:crosses val="autoZero"/>
        <c:auto val="1"/>
        <c:lblAlgn val="ctr"/>
        <c:lblOffset val="100"/>
        <c:noMultiLvlLbl val="0"/>
      </c:catAx>
      <c:valAx>
        <c:axId val="1842987384"/>
        <c:scaling>
          <c:orientation val="minMax"/>
          <c:max val="25.0"/>
        </c:scaling>
        <c:delete val="0"/>
        <c:axPos val="b"/>
        <c:majorGridlines/>
        <c:numFmt formatCode="General" sourceLinked="1"/>
        <c:majorTickMark val="out"/>
        <c:minorTickMark val="none"/>
        <c:tickLblPos val="nextTo"/>
        <c:txPr>
          <a:bodyPr/>
          <a:lstStyle/>
          <a:p>
            <a:pPr>
              <a:defRPr sz="800">
                <a:latin typeface="Times New Roman"/>
                <a:cs typeface="Times New Roman"/>
              </a:defRPr>
            </a:pPr>
            <a:endParaRPr lang="it-IT"/>
          </a:p>
        </c:txPr>
        <c:crossAx val="2113933512"/>
        <c:crosses val="autoZero"/>
        <c:crossBetween val="between"/>
      </c:valAx>
    </c:plotArea>
    <c:legend>
      <c:legendPos val="r"/>
      <c:layout/>
      <c:overlay val="0"/>
      <c:txPr>
        <a:bodyPr/>
        <a:lstStyle/>
        <a:p>
          <a:pPr>
            <a:defRPr sz="800">
              <a:latin typeface="Times New Roman"/>
              <a:cs typeface="Times New Roman"/>
            </a:defRPr>
          </a:pPr>
          <a:endParaRPr lang="it-IT"/>
        </a:p>
      </c:txPr>
    </c:legend>
    <c:plotVisOnly val="1"/>
    <c:dispBlanksAs val="gap"/>
    <c:showDLblsOverMax val="0"/>
  </c:chart>
  <c:externalData r:id="rId1">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000">
                <a:latin typeface="Times New Roman" panose="02020603050405020304" pitchFamily="18" charset="0"/>
                <a:cs typeface="Times New Roman" panose="02020603050405020304" pitchFamily="18" charset="0"/>
              </a:defRPr>
            </a:pPr>
            <a:r>
              <a:rPr lang="it-IT" sz="1200" baseline="0">
                <a:latin typeface="Times New Roman" panose="02020603050405020304" pitchFamily="18" charset="0"/>
                <a:cs typeface="Times New Roman" panose="02020603050405020304" pitchFamily="18" charset="0"/>
              </a:rPr>
              <a:t>Distribution of decorated larnakes Mid-east area (type)</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txPr>
              <a:bodyPr/>
              <a:lstStyle/>
              <a:p>
                <a:pPr>
                  <a:defRPr sz="800"/>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(Foglio1!$E$2,Foglio1!$F$2)</c:f>
              <c:strCache>
                <c:ptCount val="2"/>
                <c:pt idx="0">
                  <c:v>CHEST</c:v>
                </c:pt>
                <c:pt idx="1">
                  <c:v>BATH</c:v>
                </c:pt>
              </c:strCache>
            </c:strRef>
          </c:cat>
          <c:val>
            <c:numRef>
              <c:f>(Foglio1!$E$22,Foglio1!$F$22)</c:f>
              <c:numCache>
                <c:formatCode>General</c:formatCode>
                <c:ptCount val="2"/>
                <c:pt idx="0">
                  <c:v>14.0</c:v>
                </c:pt>
                <c:pt idx="1">
                  <c:v>5.0</c:v>
                </c:pt>
              </c:numCache>
            </c:numRef>
          </c:val>
          <c:extLst xmlns:c16r2="http://schemas.microsoft.com/office/drawing/2015/06/chart">
            <c:ext xmlns:c16="http://schemas.microsoft.com/office/drawing/2014/chart" uri="{C3380CC4-5D6E-409C-BE32-E72D297353CC}">
              <c16:uniqueId val="{00000000-3C06-4257-A0E5-5CB9A606C1A3}"/>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777166928578241"/>
          <c:y val="0.533928353935405"/>
          <c:w val="0.140316221156116"/>
          <c:h val="0.165874421735275"/>
        </c:manualLayout>
      </c:layout>
      <c:overlay val="0"/>
      <c:txPr>
        <a:bodyPr/>
        <a:lstStyle/>
        <a:p>
          <a:pPr>
            <a:defRPr sz="800"/>
          </a:pPr>
          <a:endParaRPr lang="it-IT"/>
        </a:p>
      </c:txPr>
    </c:legend>
    <c:plotVisOnly val="1"/>
    <c:dispBlanksAs val="gap"/>
    <c:showDLblsOverMax val="0"/>
  </c:chart>
  <c:externalData r:id="rId1">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000">
                <a:latin typeface="Times New Roman" panose="02020603050405020304" pitchFamily="18" charset="0"/>
                <a:cs typeface="Times New Roman" panose="02020603050405020304" pitchFamily="18" charset="0"/>
              </a:defRPr>
            </a:pPr>
            <a:r>
              <a:rPr lang="it-IT" sz="1200" baseline="0">
                <a:latin typeface="Times New Roman" panose="02020603050405020304" pitchFamily="18" charset="0"/>
                <a:cs typeface="Times New Roman" panose="02020603050405020304" pitchFamily="18" charset="0"/>
              </a:rPr>
              <a:t>Distribution of larnakes, Mid-east area (type)</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txPr>
              <a:bodyPr/>
              <a:lstStyle/>
              <a:p>
                <a:pPr>
                  <a:defRPr sz="800"/>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(Foglio1!$A$32,Foglio1!$A$33)</c:f>
              <c:strCache>
                <c:ptCount val="2"/>
                <c:pt idx="0">
                  <c:v>CHEST</c:v>
                </c:pt>
                <c:pt idx="1">
                  <c:v>BATH</c:v>
                </c:pt>
              </c:strCache>
            </c:strRef>
          </c:cat>
          <c:val>
            <c:numRef>
              <c:f>(Foglio1!$B$32,Foglio1!$B$33)</c:f>
              <c:numCache>
                <c:formatCode>General</c:formatCode>
                <c:ptCount val="2"/>
                <c:pt idx="0">
                  <c:v>61.0</c:v>
                </c:pt>
                <c:pt idx="1">
                  <c:v>11.0</c:v>
                </c:pt>
              </c:numCache>
            </c:numRef>
          </c:val>
          <c:extLst xmlns:c16r2="http://schemas.microsoft.com/office/drawing/2015/06/chart">
            <c:ext xmlns:c16="http://schemas.microsoft.com/office/drawing/2014/chart" uri="{C3380CC4-5D6E-409C-BE32-E72D297353CC}">
              <c16:uniqueId val="{00000000-A722-49D8-B13B-3E4A229ADB8D}"/>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781871150617522"/>
          <c:y val="0.479654269810575"/>
          <c:w val="0.143029557202785"/>
          <c:h val="0.165874421735275"/>
        </c:manualLayout>
      </c:layout>
      <c:overlay val="0"/>
      <c:txPr>
        <a:bodyPr/>
        <a:lstStyle/>
        <a:p>
          <a:pPr>
            <a:defRPr sz="800"/>
          </a:pPr>
          <a:endParaRPr lang="it-IT"/>
        </a:p>
      </c:txPr>
    </c:legend>
    <c:plotVisOnly val="1"/>
    <c:dispBlanksAs val="gap"/>
    <c:showDLblsOverMax val="0"/>
  </c:chart>
  <c:externalData r:id="rId1">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a:cs typeface="Times New Roman"/>
              </a:defRPr>
            </a:pPr>
            <a:r>
              <a:rPr lang="it-IT" sz="1200" b="1" i="0" u="none" strike="noStrike" kern="1200" baseline="0">
                <a:solidFill>
                  <a:sysClr val="windowText" lastClr="000000"/>
                </a:solidFill>
                <a:latin typeface="Times New Roman"/>
                <a:ea typeface="+mn-ea"/>
                <a:cs typeface="Times New Roman"/>
              </a:rPr>
              <a:t>Far-East</a:t>
            </a:r>
            <a:r>
              <a:rPr lang="it-IT" sz="1200" baseline="0">
                <a:latin typeface="Times New Roman"/>
                <a:cs typeface="Times New Roman"/>
              </a:rPr>
              <a:t> larnax decoration</a:t>
            </a:r>
            <a:endParaRPr lang="it-IT" sz="1200">
              <a:latin typeface="Times New Roman"/>
              <a:cs typeface="Times New Roman"/>
            </a:endParaRPr>
          </a:p>
        </c:rich>
      </c:tx>
      <c:layout/>
      <c:overlay val="0"/>
    </c:title>
    <c:autoTitleDeleted val="0"/>
    <c:plotArea>
      <c:layout/>
      <c:pieChart>
        <c:varyColors val="1"/>
        <c:ser>
          <c:idx val="1"/>
          <c:order val="1"/>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(Foglio1!$B$1;Foglio1!$C$1;Foglio1!$D$1)</c:f>
              <c:strCache>
                <c:ptCount val="3"/>
                <c:pt idx="0">
                  <c:v>Decorated</c:v>
                </c:pt>
                <c:pt idx="1">
                  <c:v>Undecorated</c:v>
                </c:pt>
                <c:pt idx="2">
                  <c:v>Unknown</c:v>
                </c:pt>
              </c:strCache>
            </c:strRef>
          </c:cat>
          <c:val>
            <c:numRef>
              <c:f>(Foglio1!$B$2;Foglio1!$C$2;Foglio1!$D$2)</c:f>
              <c:numCache>
                <c:formatCode>General</c:formatCode>
                <c:ptCount val="3"/>
                <c:pt idx="0">
                  <c:v>65.0</c:v>
                </c:pt>
                <c:pt idx="1">
                  <c:v>6.0</c:v>
                </c:pt>
                <c:pt idx="2">
                  <c:v>59.0</c:v>
                </c:pt>
              </c:numCache>
            </c:numRef>
          </c:val>
          <c:extLst xmlns:c16r2="http://schemas.microsoft.com/office/drawing/2015/06/chart">
            <c:ext xmlns:c16="http://schemas.microsoft.com/office/drawing/2014/chart" uri="{C3380CC4-5D6E-409C-BE32-E72D297353CC}">
              <c16:uniqueId val="{00000000-0D94-4FCF-A480-E91A13559FDE}"/>
            </c:ext>
          </c:extLst>
        </c:ser>
        <c:ser>
          <c:idx val="0"/>
          <c:order val="0"/>
          <c:dLbls>
            <c:spPr>
              <a:noFill/>
              <a:ln>
                <a:noFill/>
              </a:ln>
              <a:effectLst/>
            </c:spPr>
            <c:txPr>
              <a:bodyPr/>
              <a:lstStyle/>
              <a:p>
                <a:pPr>
                  <a:defRPr>
                    <a:latin typeface="Times New Roman"/>
                    <a:cs typeface="Times New Roman"/>
                  </a:defRPr>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(Foglio1!$B$1;Foglio1!$C$1;Foglio1!$D$1)</c:f>
              <c:strCache>
                <c:ptCount val="3"/>
                <c:pt idx="0">
                  <c:v>Decorated</c:v>
                </c:pt>
                <c:pt idx="1">
                  <c:v>Undecorated</c:v>
                </c:pt>
                <c:pt idx="2">
                  <c:v>Unknown</c:v>
                </c:pt>
              </c:strCache>
            </c:strRef>
          </c:cat>
          <c:val>
            <c:numRef>
              <c:f>(Foglio1!$B$2;Foglio1!$C$2;Foglio1!$D$2)</c:f>
              <c:numCache>
                <c:formatCode>General</c:formatCode>
                <c:ptCount val="3"/>
                <c:pt idx="0">
                  <c:v>65.0</c:v>
                </c:pt>
                <c:pt idx="1">
                  <c:v>6.0</c:v>
                </c:pt>
                <c:pt idx="2">
                  <c:v>59.0</c:v>
                </c:pt>
              </c:numCache>
            </c:numRef>
          </c:val>
          <c:extLst xmlns:c16r2="http://schemas.microsoft.com/office/drawing/2015/06/chart">
            <c:ext xmlns:c16="http://schemas.microsoft.com/office/drawing/2014/chart" uri="{C3380CC4-5D6E-409C-BE32-E72D297353CC}">
              <c16:uniqueId val="{00000001-0D94-4FCF-A480-E91A13559FDE}"/>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a:latin typeface="Times New Roman"/>
              <a:cs typeface="Times New Roman"/>
            </a:defRPr>
          </a:pPr>
          <a:endParaRPr lang="it-IT"/>
        </a:p>
      </c:txPr>
    </c:legend>
    <c:plotVisOnly val="1"/>
    <c:dispBlanksAs val="gap"/>
    <c:showDLblsOverMax val="0"/>
  </c:chart>
  <c:externalData r:id="rId1">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pPr>
            <a:r>
              <a:rPr lang="it-IT" sz="1200">
                <a:latin typeface="Times New Roman" panose="02020603050405020304" pitchFamily="18" charset="0"/>
                <a:cs typeface="Times New Roman" panose="02020603050405020304" pitchFamily="18" charset="0"/>
              </a:rPr>
              <a:t>Shape</a:t>
            </a:r>
            <a:r>
              <a:rPr lang="it-IT" sz="1200" baseline="0">
                <a:latin typeface="Times New Roman" panose="02020603050405020304" pitchFamily="18" charset="0"/>
                <a:cs typeface="Times New Roman" panose="02020603050405020304" pitchFamily="18" charset="0"/>
              </a:rPr>
              <a:t> distribution of decorated larnakes in the </a:t>
            </a:r>
            <a:r>
              <a:rPr lang="it-IT"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Far-East</a:t>
            </a:r>
            <a:r>
              <a:rPr lang="it-IT" sz="1200" baseline="0">
                <a:latin typeface="Times New Roman" panose="02020603050405020304" pitchFamily="18" charset="0"/>
                <a:cs typeface="Times New Roman" panose="02020603050405020304" pitchFamily="18" charset="0"/>
              </a:rPr>
              <a:t> area</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txPr>
              <a:bodyPr/>
              <a:lstStyle/>
              <a:p>
                <a:pPr>
                  <a:defRPr sz="800"/>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(Foglio1!$A$71,Foglio1!$A$72,Foglio1!$A$73,Foglio1!$A$74)</c:f>
              <c:strCache>
                <c:ptCount val="4"/>
                <c:pt idx="0">
                  <c:v>bath</c:v>
                </c:pt>
                <c:pt idx="1">
                  <c:v>chest </c:v>
                </c:pt>
                <c:pt idx="2">
                  <c:v>lid</c:v>
                </c:pt>
                <c:pt idx="3">
                  <c:v>fragments</c:v>
                </c:pt>
              </c:strCache>
            </c:strRef>
          </c:cat>
          <c:val>
            <c:numRef>
              <c:f>(Foglio1!$B$71,Foglio1!$B$72,Foglio1!$B$73,Foglio1!$B$74)</c:f>
              <c:numCache>
                <c:formatCode>General</c:formatCode>
                <c:ptCount val="4"/>
                <c:pt idx="0">
                  <c:v>33.0</c:v>
                </c:pt>
                <c:pt idx="1">
                  <c:v>28.0</c:v>
                </c:pt>
                <c:pt idx="2">
                  <c:v>2.0</c:v>
                </c:pt>
                <c:pt idx="3">
                  <c:v>2.0</c:v>
                </c:pt>
              </c:numCache>
            </c:numRef>
          </c:val>
          <c:extLst xmlns:c16r2="http://schemas.microsoft.com/office/drawing/2015/06/chart">
            <c:ext xmlns:c16="http://schemas.microsoft.com/office/drawing/2014/chart" uri="{C3380CC4-5D6E-409C-BE32-E72D297353CC}">
              <c16:uniqueId val="{00000000-6589-4023-B375-C9F9D044CFCD}"/>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sz="800"/>
          </a:pPr>
          <a:endParaRPr lang="it-IT"/>
        </a:p>
      </c:txPr>
    </c:legend>
    <c:plotVisOnly val="1"/>
    <c:dispBlanksAs val="gap"/>
    <c:showDLblsOverMax val="0"/>
  </c:chart>
  <c:externalData r:id="rId1">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Number of larnakes in which motif occurs</c:v>
                </c:pt>
              </c:strCache>
            </c:strRef>
          </c:tx>
          <c:invertIfNegative val="0"/>
          <c:cat>
            <c:strRef>
              <c:f>Foglio1!$B$1:$BY$1</c:f>
              <c:strCache>
                <c:ptCount val="76"/>
                <c:pt idx="0">
                  <c:v>FM 1 man</c:v>
                </c:pt>
                <c:pt idx="1">
                  <c:v>FM 2 horse</c:v>
                </c:pt>
                <c:pt idx="2">
                  <c:v>FM 3 bull</c:v>
                </c:pt>
                <c:pt idx="3">
                  <c:v>FM 4 bucranium</c:v>
                </c:pt>
                <c:pt idx="4">
                  <c:v>FM 5 stag</c:v>
                </c:pt>
                <c:pt idx="5">
                  <c:v>FM 6 goat</c:v>
                </c:pt>
                <c:pt idx="6">
                  <c:v>FM 7 bird</c:v>
                </c:pt>
                <c:pt idx="7">
                  <c:v>FM 8 various animals</c:v>
                </c:pt>
                <c:pt idx="8">
                  <c:v>FM 9 lily</c:v>
                </c:pt>
                <c:pt idx="9">
                  <c:v>FM 10 crocus</c:v>
                </c:pt>
                <c:pt idx="10">
                  <c:v>FM 11 papyri</c:v>
                </c:pt>
                <c:pt idx="11">
                  <c:v>FM 12 sacral ivy</c:v>
                </c:pt>
                <c:pt idx="12">
                  <c:v>FM 13 ogival canopy</c:v>
                </c:pt>
                <c:pt idx="13">
                  <c:v>FM 14 palm I</c:v>
                </c:pt>
                <c:pt idx="14">
                  <c:v>FM 15 palm II</c:v>
                </c:pt>
                <c:pt idx="15">
                  <c:v>FM 16 grass or reed</c:v>
                </c:pt>
                <c:pt idx="16">
                  <c:v>FM 17 rosette</c:v>
                </c:pt>
                <c:pt idx="17">
                  <c:v>FM 18 myc. flower</c:v>
                </c:pt>
                <c:pt idx="18">
                  <c:v>FM 19 multiple stem and tongue pattern</c:v>
                </c:pt>
                <c:pt idx="19">
                  <c:v>FM 20 fish</c:v>
                </c:pt>
                <c:pt idx="20">
                  <c:v>FM 21 cuttlefish/octopus</c:v>
                </c:pt>
                <c:pt idx="21">
                  <c:v>FM 22 argonaut</c:v>
                </c:pt>
                <c:pt idx="22">
                  <c:v>FM 23 whorl-shell</c:v>
                </c:pt>
                <c:pt idx="23">
                  <c:v>FM 24 linked whorl-shell pattern</c:v>
                </c:pt>
                <c:pt idx="24">
                  <c:v>FM 25 bivalve shell</c:v>
                </c:pt>
                <c:pt idx="25">
                  <c:v>FM 26 starfish</c:v>
                </c:pt>
                <c:pt idx="26">
                  <c:v>FM 27 sea anemone</c:v>
                </c:pt>
                <c:pt idx="27">
                  <c:v>FM 28 rock work</c:v>
                </c:pt>
                <c:pt idx="28">
                  <c:v>FM 29 trefoil rock work</c:v>
                </c:pt>
                <c:pt idx="29">
                  <c:v>FM 30 seaweed</c:v>
                </c:pt>
                <c:pt idx="30">
                  <c:v>FM 31 sponge print</c:v>
                </c:pt>
                <c:pt idx="31">
                  <c:v>FM 32 rock pattern I</c:v>
                </c:pt>
                <c:pt idx="32">
                  <c:v>FM 33 rock pattern II</c:v>
                </c:pt>
                <c:pt idx="33">
                  <c:v>FM 34 rock pattern III</c:v>
                </c:pt>
                <c:pt idx="34">
                  <c:v>FM 35 double axes</c:v>
                </c:pt>
                <c:pt idx="35">
                  <c:v>FM 36 horns of consecration</c:v>
                </c:pt>
                <c:pt idx="36">
                  <c:v>FM 37 shield</c:v>
                </c:pt>
                <c:pt idx="37">
                  <c:v>FM 38 pendant</c:v>
                </c:pt>
                <c:pt idx="38">
                  <c:v>FM 39 chariot</c:v>
                </c:pt>
                <c:pt idx="39">
                  <c:v>FM 40 ship</c:v>
                </c:pt>
                <c:pt idx="40">
                  <c:v>FM 41 circle</c:v>
                </c:pt>
                <c:pt idx="41">
                  <c:v>FM 42 joining semicircles</c:v>
                </c:pt>
                <c:pt idx="42">
                  <c:v>FM 43 isolated semicircles</c:v>
                </c:pt>
                <c:pt idx="43">
                  <c:v>FM 44 concentric arcs</c:v>
                </c:pt>
                <c:pt idx="44">
                  <c:v>FM 45 u-pattern</c:v>
                </c:pt>
                <c:pt idx="45">
                  <c:v>FM 46 running spirals in a row </c:v>
                </c:pt>
                <c:pt idx="46">
                  <c:v>FM 47 double and triple spiral</c:v>
                </c:pt>
                <c:pt idx="47">
                  <c:v>FM 48 quirk</c:v>
                </c:pt>
                <c:pt idx="48">
                  <c:v>FM 49 curved-stemed spiral</c:v>
                </c:pt>
                <c:pt idx="49">
                  <c:v>FM 50 antithetic spiral pattern</c:v>
                </c:pt>
                <c:pt idx="50">
                  <c:v>FM 51 stemmed spirals</c:v>
                </c:pt>
                <c:pt idx="51">
                  <c:v>FM 52 isolated spiral</c:v>
                </c:pt>
                <c:pt idx="52">
                  <c:v>FM 53 wavy line</c:v>
                </c:pt>
                <c:pt idx="53">
                  <c:v>FM 54 cross</c:v>
                </c:pt>
                <c:pt idx="54">
                  <c:v>FM 55 diagonal pattern</c:v>
                </c:pt>
                <c:pt idx="55">
                  <c:v>FM 56 chequers</c:v>
                </c:pt>
                <c:pt idx="56">
                  <c:v>FM 57.2 diaper net</c:v>
                </c:pt>
                <c:pt idx="57">
                  <c:v>FM 58 parallel chevrons</c:v>
                </c:pt>
                <c:pt idx="58">
                  <c:v>FM 59 V pattern</c:v>
                </c:pt>
                <c:pt idx="59">
                  <c:v>FM 60 N pattern</c:v>
                </c:pt>
                <c:pt idx="60">
                  <c:v>FM 61 zig zag</c:v>
                </c:pt>
                <c:pt idx="61">
                  <c:v>FM 61A triangles</c:v>
                </c:pt>
                <c:pt idx="62">
                  <c:v>FM 62 tricurved arch</c:v>
                </c:pt>
                <c:pt idx="63">
                  <c:v>FM 63 hatched loop</c:v>
                </c:pt>
                <c:pt idx="64">
                  <c:v>FM 64 foliate band</c:v>
                </c:pt>
                <c:pt idx="65">
                  <c:v>FM 65 wavy border</c:v>
                </c:pt>
                <c:pt idx="66">
                  <c:v>FM 66 arcade pattern</c:v>
                </c:pt>
                <c:pt idx="67">
                  <c:v>FM 67 curved stripes</c:v>
                </c:pt>
                <c:pt idx="68">
                  <c:v>FM 68 wheel</c:v>
                </c:pt>
                <c:pt idx="69">
                  <c:v>FM 69 adder mark</c:v>
                </c:pt>
                <c:pt idx="70">
                  <c:v>FM 70 scale pattern</c:v>
                </c:pt>
                <c:pt idx="71">
                  <c:v>FM 71 elaborate triangle</c:v>
                </c:pt>
                <c:pt idx="72">
                  <c:v>FM 72 tassel pattern</c:v>
                </c:pt>
                <c:pt idx="73">
                  <c:v>FM 73 lozenge</c:v>
                </c:pt>
                <c:pt idx="74">
                  <c:v>FM 74 triglyph and half-rosette</c:v>
                </c:pt>
                <c:pt idx="75">
                  <c:v>FM 75 pannelled pattern</c:v>
                </c:pt>
              </c:strCache>
            </c:strRef>
          </c:cat>
          <c:val>
            <c:numRef>
              <c:f>Foglio1!$B$2:$BY$2</c:f>
              <c:numCache>
                <c:formatCode>General</c:formatCode>
                <c:ptCount val="76"/>
                <c:pt idx="0">
                  <c:v>3.0</c:v>
                </c:pt>
                <c:pt idx="1">
                  <c:v>0.0</c:v>
                </c:pt>
                <c:pt idx="2">
                  <c:v>1.0</c:v>
                </c:pt>
                <c:pt idx="3">
                  <c:v>0.0</c:v>
                </c:pt>
                <c:pt idx="4">
                  <c:v>2.0</c:v>
                </c:pt>
                <c:pt idx="5">
                  <c:v>2.0</c:v>
                </c:pt>
                <c:pt idx="6">
                  <c:v>2.0</c:v>
                </c:pt>
                <c:pt idx="7">
                  <c:v>2.0</c:v>
                </c:pt>
                <c:pt idx="8">
                  <c:v>2.0</c:v>
                </c:pt>
                <c:pt idx="9">
                  <c:v>0.0</c:v>
                </c:pt>
                <c:pt idx="10">
                  <c:v>10.0</c:v>
                </c:pt>
                <c:pt idx="11">
                  <c:v>1.0</c:v>
                </c:pt>
                <c:pt idx="12">
                  <c:v>0.0</c:v>
                </c:pt>
                <c:pt idx="13">
                  <c:v>0.0</c:v>
                </c:pt>
                <c:pt idx="14">
                  <c:v>4.0</c:v>
                </c:pt>
                <c:pt idx="15">
                  <c:v>0.0</c:v>
                </c:pt>
                <c:pt idx="16">
                  <c:v>9.0</c:v>
                </c:pt>
                <c:pt idx="17">
                  <c:v>1.0</c:v>
                </c:pt>
                <c:pt idx="18">
                  <c:v>3.0</c:v>
                </c:pt>
                <c:pt idx="19">
                  <c:v>5.0</c:v>
                </c:pt>
                <c:pt idx="20">
                  <c:v>20.0</c:v>
                </c:pt>
                <c:pt idx="21">
                  <c:v>0.0</c:v>
                </c:pt>
                <c:pt idx="22">
                  <c:v>0.0</c:v>
                </c:pt>
                <c:pt idx="23">
                  <c:v>0.0</c:v>
                </c:pt>
                <c:pt idx="24">
                  <c:v>0.0</c:v>
                </c:pt>
                <c:pt idx="25">
                  <c:v>0.0</c:v>
                </c:pt>
                <c:pt idx="26">
                  <c:v>3.0</c:v>
                </c:pt>
                <c:pt idx="27">
                  <c:v>0.0</c:v>
                </c:pt>
                <c:pt idx="28">
                  <c:v>0.0</c:v>
                </c:pt>
                <c:pt idx="29">
                  <c:v>0.0</c:v>
                </c:pt>
                <c:pt idx="30">
                  <c:v>0.0</c:v>
                </c:pt>
                <c:pt idx="31">
                  <c:v>0.0</c:v>
                </c:pt>
                <c:pt idx="32">
                  <c:v>3.0</c:v>
                </c:pt>
                <c:pt idx="33">
                  <c:v>0.0</c:v>
                </c:pt>
                <c:pt idx="34">
                  <c:v>5.0</c:v>
                </c:pt>
                <c:pt idx="35">
                  <c:v>5.0</c:v>
                </c:pt>
                <c:pt idx="36">
                  <c:v>0.0</c:v>
                </c:pt>
                <c:pt idx="37">
                  <c:v>0.0</c:v>
                </c:pt>
                <c:pt idx="38">
                  <c:v>1.0</c:v>
                </c:pt>
                <c:pt idx="39">
                  <c:v>0.0</c:v>
                </c:pt>
                <c:pt idx="40">
                  <c:v>3.0</c:v>
                </c:pt>
                <c:pt idx="41">
                  <c:v>0.0</c:v>
                </c:pt>
                <c:pt idx="42">
                  <c:v>11.0</c:v>
                </c:pt>
                <c:pt idx="43">
                  <c:v>1.0</c:v>
                </c:pt>
                <c:pt idx="44">
                  <c:v>0.0</c:v>
                </c:pt>
                <c:pt idx="45">
                  <c:v>13.0</c:v>
                </c:pt>
                <c:pt idx="46">
                  <c:v>2.0</c:v>
                </c:pt>
                <c:pt idx="47">
                  <c:v>0.0</c:v>
                </c:pt>
                <c:pt idx="48">
                  <c:v>1.0</c:v>
                </c:pt>
                <c:pt idx="49">
                  <c:v>3.0</c:v>
                </c:pt>
                <c:pt idx="50">
                  <c:v>8.0</c:v>
                </c:pt>
                <c:pt idx="51">
                  <c:v>0.0</c:v>
                </c:pt>
                <c:pt idx="52">
                  <c:v>21.0</c:v>
                </c:pt>
                <c:pt idx="53">
                  <c:v>1.0</c:v>
                </c:pt>
                <c:pt idx="54">
                  <c:v>7.0</c:v>
                </c:pt>
                <c:pt idx="55">
                  <c:v>7.0</c:v>
                </c:pt>
                <c:pt idx="56">
                  <c:v>3.0</c:v>
                </c:pt>
                <c:pt idx="57">
                  <c:v>6.0</c:v>
                </c:pt>
                <c:pt idx="58">
                  <c:v>0.0</c:v>
                </c:pt>
                <c:pt idx="59">
                  <c:v>0.0</c:v>
                </c:pt>
                <c:pt idx="60">
                  <c:v>10.0</c:v>
                </c:pt>
                <c:pt idx="61">
                  <c:v>2.0</c:v>
                </c:pt>
                <c:pt idx="62">
                  <c:v>3.0</c:v>
                </c:pt>
                <c:pt idx="63">
                  <c:v>1.0</c:v>
                </c:pt>
                <c:pt idx="64">
                  <c:v>1.0</c:v>
                </c:pt>
                <c:pt idx="65">
                  <c:v>9.0</c:v>
                </c:pt>
                <c:pt idx="66">
                  <c:v>0.0</c:v>
                </c:pt>
                <c:pt idx="67">
                  <c:v>1.0</c:v>
                </c:pt>
                <c:pt idx="68">
                  <c:v>0.0</c:v>
                </c:pt>
                <c:pt idx="69">
                  <c:v>3.0</c:v>
                </c:pt>
                <c:pt idx="70">
                  <c:v>2.0</c:v>
                </c:pt>
                <c:pt idx="71">
                  <c:v>0.0</c:v>
                </c:pt>
                <c:pt idx="72">
                  <c:v>0.0</c:v>
                </c:pt>
                <c:pt idx="73">
                  <c:v>3.0</c:v>
                </c:pt>
                <c:pt idx="74">
                  <c:v>0.0</c:v>
                </c:pt>
                <c:pt idx="75">
                  <c:v>9.0</c:v>
                </c:pt>
              </c:numCache>
            </c:numRef>
          </c:val>
          <c:extLst xmlns:c16r2="http://schemas.microsoft.com/office/drawing/2015/06/chart">
            <c:ext xmlns:c16="http://schemas.microsoft.com/office/drawing/2014/chart" uri="{C3380CC4-5D6E-409C-BE32-E72D297353CC}">
              <c16:uniqueId val="{00000000-0F2F-4A31-BCB2-371C9D499F47}"/>
            </c:ext>
          </c:extLst>
        </c:ser>
        <c:dLbls>
          <c:showLegendKey val="0"/>
          <c:showVal val="0"/>
          <c:showCatName val="0"/>
          <c:showSerName val="0"/>
          <c:showPercent val="0"/>
          <c:showBubbleSize val="0"/>
        </c:dLbls>
        <c:gapWidth val="150"/>
        <c:axId val="2119808776"/>
        <c:axId val="-2060852712"/>
      </c:barChart>
      <c:catAx>
        <c:axId val="2119808776"/>
        <c:scaling>
          <c:orientation val="minMax"/>
        </c:scaling>
        <c:delete val="0"/>
        <c:axPos val="l"/>
        <c:numFmt formatCode="General" sourceLinked="0"/>
        <c:majorTickMark val="out"/>
        <c:minorTickMark val="none"/>
        <c:tickLblPos val="nextTo"/>
        <c:txPr>
          <a:bodyPr/>
          <a:lstStyle/>
          <a:p>
            <a:pPr>
              <a:defRPr sz="800">
                <a:latin typeface="Times New Roman"/>
                <a:cs typeface="Times New Roman"/>
              </a:defRPr>
            </a:pPr>
            <a:endParaRPr lang="it-IT"/>
          </a:p>
        </c:txPr>
        <c:crossAx val="-2060852712"/>
        <c:crosses val="autoZero"/>
        <c:auto val="1"/>
        <c:lblAlgn val="ctr"/>
        <c:lblOffset val="100"/>
        <c:noMultiLvlLbl val="0"/>
      </c:catAx>
      <c:valAx>
        <c:axId val="-2060852712"/>
        <c:scaling>
          <c:orientation val="minMax"/>
        </c:scaling>
        <c:delete val="0"/>
        <c:axPos val="b"/>
        <c:majorGridlines/>
        <c:numFmt formatCode="General" sourceLinked="1"/>
        <c:majorTickMark val="out"/>
        <c:minorTickMark val="none"/>
        <c:tickLblPos val="nextTo"/>
        <c:txPr>
          <a:bodyPr/>
          <a:lstStyle/>
          <a:p>
            <a:pPr>
              <a:defRPr sz="800">
                <a:latin typeface="Times New Roman"/>
                <a:cs typeface="Times New Roman"/>
              </a:defRPr>
            </a:pPr>
            <a:endParaRPr lang="it-IT"/>
          </a:p>
        </c:txPr>
        <c:crossAx val="2119808776"/>
        <c:crosses val="autoZero"/>
        <c:crossBetween val="between"/>
      </c:valAx>
    </c:plotArea>
    <c:legend>
      <c:legendPos val="r"/>
      <c:layout/>
      <c:overlay val="0"/>
      <c:txPr>
        <a:bodyPr/>
        <a:lstStyle/>
        <a:p>
          <a:pPr>
            <a:defRPr sz="800">
              <a:latin typeface="Times New Roman"/>
              <a:cs typeface="Times New Roman"/>
            </a:defRPr>
          </a:pPr>
          <a:endParaRPr lang="it-IT"/>
        </a:p>
      </c:txPr>
    </c:legend>
    <c:plotVisOnly val="1"/>
    <c:dispBlanksAs val="gap"/>
    <c:showDLblsOverMax val="0"/>
  </c:chart>
  <c:externalData r:id="rId1">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(Foglio1!$A$142;Foglio1!$A$143;Foglio1!$A$144)</c:f>
              <c:strCache>
                <c:ptCount val="3"/>
                <c:pt idx="0">
                  <c:v>tombs with bathtub</c:v>
                </c:pt>
                <c:pt idx="1">
                  <c:v>tombs with chest-shaped</c:v>
                </c:pt>
                <c:pt idx="2">
                  <c:v>tombs with both</c:v>
                </c:pt>
              </c:strCache>
            </c:strRef>
          </c:cat>
          <c:val>
            <c:numRef>
              <c:f>(Foglio1!$B$142;Foglio1!$B$143;Foglio1!$B$144)</c:f>
              <c:numCache>
                <c:formatCode>General</c:formatCode>
                <c:ptCount val="3"/>
                <c:pt idx="0">
                  <c:v>39.0</c:v>
                </c:pt>
                <c:pt idx="1">
                  <c:v>26.0</c:v>
                </c:pt>
                <c:pt idx="2">
                  <c:v>9.0</c:v>
                </c:pt>
              </c:numCache>
            </c:numRef>
          </c:val>
          <c:extLst xmlns:c16r2="http://schemas.microsoft.com/office/drawing/2015/06/chart">
            <c:ext xmlns:c16="http://schemas.microsoft.com/office/drawing/2014/chart" uri="{C3380CC4-5D6E-409C-BE32-E72D297353CC}">
              <c16:uniqueId val="{00000000-9FCB-4082-8775-27CD665788A1}"/>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Foglio1!$C$1</c:f>
              <c:strCache>
                <c:ptCount val="1"/>
                <c:pt idx="0">
                  <c:v>tombs with larnakes</c:v>
                </c:pt>
              </c:strCache>
            </c:strRef>
          </c:tx>
          <c:invertIfNegative val="0"/>
          <c:cat>
            <c:strRef>
              <c:f>Foglio1!$A$2:$A$17</c:f>
              <c:strCache>
                <c:ptCount val="16"/>
                <c:pt idx="0">
                  <c:v>ALESANDRAKI</c:v>
                </c:pt>
                <c:pt idx="1">
                  <c:v>APODOULOU</c:v>
                </c:pt>
                <c:pt idx="2">
                  <c:v>GOUDIES</c:v>
                </c:pt>
                <c:pt idx="3">
                  <c:v>AGIA TRIADA</c:v>
                </c:pt>
                <c:pt idx="4">
                  <c:v>KALOCHORAFITIS</c:v>
                </c:pt>
                <c:pt idx="5">
                  <c:v>KAMILARI</c:v>
                </c:pt>
                <c:pt idx="6">
                  <c:v>KLIMA</c:v>
                </c:pt>
                <c:pt idx="7">
                  <c:v>KOUSSES</c:v>
                </c:pt>
                <c:pt idx="8">
                  <c:v>LILIANA</c:v>
                </c:pt>
                <c:pt idx="9">
                  <c:v>MIRES</c:v>
                </c:pt>
                <c:pt idx="10">
                  <c:v>PANAYIA KALYVIANI</c:v>
                </c:pt>
                <c:pt idx="11">
                  <c:v>POMBIA</c:v>
                </c:pt>
                <c:pt idx="12">
                  <c:v>STAVROS GALIAS</c:v>
                </c:pt>
                <c:pt idx="13">
                  <c:v>TYMBAKI</c:v>
                </c:pt>
                <c:pt idx="14">
                  <c:v>VALIS</c:v>
                </c:pt>
                <c:pt idx="15">
                  <c:v>VASILIKIA ANOGEIA</c:v>
                </c:pt>
              </c:strCache>
            </c:strRef>
          </c:cat>
          <c:val>
            <c:numRef>
              <c:f>Foglio1!$C$2:$C$17</c:f>
              <c:numCache>
                <c:formatCode>General</c:formatCode>
                <c:ptCount val="16"/>
                <c:pt idx="0">
                  <c:v>1.0</c:v>
                </c:pt>
                <c:pt idx="1">
                  <c:v>8.0</c:v>
                </c:pt>
                <c:pt idx="2">
                  <c:v>1.0</c:v>
                </c:pt>
                <c:pt idx="3">
                  <c:v>4.0</c:v>
                </c:pt>
                <c:pt idx="4">
                  <c:v>4.0</c:v>
                </c:pt>
                <c:pt idx="5">
                  <c:v>1.0</c:v>
                </c:pt>
                <c:pt idx="6">
                  <c:v>2.0</c:v>
                </c:pt>
                <c:pt idx="7">
                  <c:v>1.0</c:v>
                </c:pt>
                <c:pt idx="8">
                  <c:v>8.0</c:v>
                </c:pt>
                <c:pt idx="9">
                  <c:v>1.0</c:v>
                </c:pt>
                <c:pt idx="10">
                  <c:v>1.0</c:v>
                </c:pt>
                <c:pt idx="11">
                  <c:v>1.0</c:v>
                </c:pt>
                <c:pt idx="12">
                  <c:v>5.0</c:v>
                </c:pt>
                <c:pt idx="13">
                  <c:v>1.0</c:v>
                </c:pt>
                <c:pt idx="14">
                  <c:v>1.0</c:v>
                </c:pt>
                <c:pt idx="15">
                  <c:v>2.0</c:v>
                </c:pt>
              </c:numCache>
            </c:numRef>
          </c:val>
          <c:extLst xmlns:c16r2="http://schemas.microsoft.com/office/drawing/2015/06/chart">
            <c:ext xmlns:c16="http://schemas.microsoft.com/office/drawing/2014/chart" uri="{C3380CC4-5D6E-409C-BE32-E72D297353CC}">
              <c16:uniqueId val="{00000000-DB95-4625-A919-920ED00D3EB2}"/>
            </c:ext>
          </c:extLst>
        </c:ser>
        <c:ser>
          <c:idx val="1"/>
          <c:order val="1"/>
          <c:tx>
            <c:strRef>
              <c:f>Foglio1!$D$1</c:f>
              <c:strCache>
                <c:ptCount val="1"/>
                <c:pt idx="0">
                  <c:v>tombs without larnakes</c:v>
                </c:pt>
              </c:strCache>
            </c:strRef>
          </c:tx>
          <c:invertIfNegative val="0"/>
          <c:cat>
            <c:strRef>
              <c:f>Foglio1!$A$2:$A$17</c:f>
              <c:strCache>
                <c:ptCount val="16"/>
                <c:pt idx="0">
                  <c:v>ALESANDRAKI</c:v>
                </c:pt>
                <c:pt idx="1">
                  <c:v>APODOULOU</c:v>
                </c:pt>
                <c:pt idx="2">
                  <c:v>GOUDIES</c:v>
                </c:pt>
                <c:pt idx="3">
                  <c:v>AGIA TRIADA</c:v>
                </c:pt>
                <c:pt idx="4">
                  <c:v>KALOCHORAFITIS</c:v>
                </c:pt>
                <c:pt idx="5">
                  <c:v>KAMILARI</c:v>
                </c:pt>
                <c:pt idx="6">
                  <c:v>KLIMA</c:v>
                </c:pt>
                <c:pt idx="7">
                  <c:v>KOUSSES</c:v>
                </c:pt>
                <c:pt idx="8">
                  <c:v>LILIANA</c:v>
                </c:pt>
                <c:pt idx="9">
                  <c:v>MIRES</c:v>
                </c:pt>
                <c:pt idx="10">
                  <c:v>PANAYIA KALYVIANI</c:v>
                </c:pt>
                <c:pt idx="11">
                  <c:v>POMBIA</c:v>
                </c:pt>
                <c:pt idx="12">
                  <c:v>STAVROS GALIAS</c:v>
                </c:pt>
                <c:pt idx="13">
                  <c:v>TYMBAKI</c:v>
                </c:pt>
                <c:pt idx="14">
                  <c:v>VALIS</c:v>
                </c:pt>
                <c:pt idx="15">
                  <c:v>VASILIKIA ANOGEIA</c:v>
                </c:pt>
              </c:strCache>
            </c:strRef>
          </c:cat>
          <c:val>
            <c:numRef>
              <c:f>Foglio1!$D$2:$D$17</c:f>
              <c:numCache>
                <c:formatCode>General</c:formatCode>
                <c:ptCount val="16"/>
                <c:pt idx="0">
                  <c:v>0.0</c:v>
                </c:pt>
                <c:pt idx="1">
                  <c:v>0.0</c:v>
                </c:pt>
                <c:pt idx="2">
                  <c:v>0.0</c:v>
                </c:pt>
                <c:pt idx="3">
                  <c:v>1.0</c:v>
                </c:pt>
                <c:pt idx="4">
                  <c:v>1.0</c:v>
                </c:pt>
                <c:pt idx="5">
                  <c:v>0.0</c:v>
                </c:pt>
                <c:pt idx="6">
                  <c:v>0.0</c:v>
                </c:pt>
                <c:pt idx="7">
                  <c:v>0.0</c:v>
                </c:pt>
                <c:pt idx="8">
                  <c:v>0.0</c:v>
                </c:pt>
                <c:pt idx="9">
                  <c:v>0.0</c:v>
                </c:pt>
                <c:pt idx="10">
                  <c:v>0.0</c:v>
                </c:pt>
                <c:pt idx="11">
                  <c:v>0.0</c:v>
                </c:pt>
                <c:pt idx="12">
                  <c:v>0.0</c:v>
                </c:pt>
                <c:pt idx="13">
                  <c:v>0.0</c:v>
                </c:pt>
                <c:pt idx="14">
                  <c:v>0.0</c:v>
                </c:pt>
                <c:pt idx="15">
                  <c:v>1.0</c:v>
                </c:pt>
              </c:numCache>
            </c:numRef>
          </c:val>
          <c:extLst xmlns:c16r2="http://schemas.microsoft.com/office/drawing/2015/06/chart">
            <c:ext xmlns:c16="http://schemas.microsoft.com/office/drawing/2014/chart" uri="{C3380CC4-5D6E-409C-BE32-E72D297353CC}">
              <c16:uniqueId val="{00000001-DB95-4625-A919-920ED00D3EB2}"/>
            </c:ext>
          </c:extLst>
        </c:ser>
        <c:dLbls>
          <c:showLegendKey val="0"/>
          <c:showVal val="0"/>
          <c:showCatName val="0"/>
          <c:showSerName val="0"/>
          <c:showPercent val="0"/>
          <c:showBubbleSize val="0"/>
        </c:dLbls>
        <c:gapWidth val="150"/>
        <c:axId val="-1967857064"/>
        <c:axId val="2115266280"/>
      </c:barChart>
      <c:catAx>
        <c:axId val="-1967857064"/>
        <c:scaling>
          <c:orientation val="minMax"/>
        </c:scaling>
        <c:delete val="0"/>
        <c:axPos val="b"/>
        <c:numFmt formatCode="General" sourceLinked="0"/>
        <c:majorTickMark val="out"/>
        <c:minorTickMark val="none"/>
        <c:tickLblPos val="nextTo"/>
        <c:crossAx val="2115266280"/>
        <c:crosses val="autoZero"/>
        <c:auto val="1"/>
        <c:lblAlgn val="ctr"/>
        <c:lblOffset val="100"/>
        <c:noMultiLvlLbl val="0"/>
      </c:catAx>
      <c:valAx>
        <c:axId val="2115266280"/>
        <c:scaling>
          <c:orientation val="minMax"/>
        </c:scaling>
        <c:delete val="0"/>
        <c:axPos val="l"/>
        <c:majorGridlines/>
        <c:numFmt formatCode="General" sourceLinked="1"/>
        <c:majorTickMark val="out"/>
        <c:minorTickMark val="none"/>
        <c:tickLblPos val="nextTo"/>
        <c:crossAx val="-196785706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r>
              <a:rPr lang="it-IT" sz="1200" b="1" i="0" u="none" strike="noStrike" baseline="0">
                <a:effectLst/>
                <a:latin typeface="Times New Roman" panose="02020603050405020304" pitchFamily="18" charset="0"/>
                <a:cs typeface="Times New Roman" panose="02020603050405020304" pitchFamily="18" charset="0"/>
              </a:rPr>
              <a:t>Distribution of decorated larnakes  in </a:t>
            </a:r>
            <a:r>
              <a:rPr lang="it-IT" sz="1200" b="1" i="0" baseline="0">
                <a:effectLst/>
                <a:latin typeface="Times New Roman" panose="02020603050405020304" pitchFamily="18" charset="0"/>
                <a:cs typeface="Times New Roman" panose="02020603050405020304" pitchFamily="18" charset="0"/>
              </a:rPr>
              <a:t>Far-East area (type)</a:t>
            </a:r>
            <a:endParaRPr lang="it-IT" sz="1200"/>
          </a:p>
        </c:rich>
      </c:tx>
      <c:layout/>
      <c:overlay val="0"/>
    </c:title>
    <c:autoTitleDeleted val="0"/>
    <c:plotArea>
      <c:layout/>
      <c:pieChart>
        <c:varyColors val="1"/>
        <c:ser>
          <c:idx val="0"/>
          <c:order val="0"/>
          <c:dLbls>
            <c:spPr>
              <a:noFill/>
              <a:ln>
                <a:noFill/>
              </a:ln>
              <a:effectLst/>
            </c:spPr>
            <c:txPr>
              <a:bodyPr/>
              <a:lstStyle/>
              <a:p>
                <a:pPr>
                  <a:defRPr sz="800"/>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(Foglio1!$D$59,Foglio1!$D$60)</c:f>
              <c:strCache>
                <c:ptCount val="2"/>
                <c:pt idx="0">
                  <c:v>chest-shaped</c:v>
                </c:pt>
                <c:pt idx="1">
                  <c:v>bathtub</c:v>
                </c:pt>
              </c:strCache>
            </c:strRef>
          </c:cat>
          <c:val>
            <c:numRef>
              <c:f>(Foglio1!$E$59,Foglio1!$E$60)</c:f>
              <c:numCache>
                <c:formatCode>General</c:formatCode>
                <c:ptCount val="2"/>
                <c:pt idx="0">
                  <c:v>23.0</c:v>
                </c:pt>
                <c:pt idx="1">
                  <c:v>27.0</c:v>
                </c:pt>
              </c:numCache>
            </c:numRef>
          </c:val>
          <c:extLst xmlns:c16r2="http://schemas.microsoft.com/office/drawing/2015/06/chart">
            <c:ext xmlns:c16="http://schemas.microsoft.com/office/drawing/2014/chart" uri="{C3380CC4-5D6E-409C-BE32-E72D297353CC}">
              <c16:uniqueId val="{00000000-D048-48D9-9F2F-026884C36A3F}"/>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sz="800"/>
          </a:pPr>
          <a:endParaRPr lang="it-IT"/>
        </a:p>
      </c:txPr>
    </c:legend>
    <c:plotVisOnly val="1"/>
    <c:dispBlanksAs val="gap"/>
    <c:showDLblsOverMax val="0"/>
  </c:chart>
  <c:externalData r:id="rId1">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a:cs typeface="Times New Roman"/>
              </a:defRPr>
            </a:pPr>
            <a:r>
              <a:rPr lang="it-IT" sz="1200" baseline="0">
                <a:latin typeface="Times New Roman"/>
                <a:cs typeface="Times New Roman"/>
              </a:rPr>
              <a:t>Distribution of larnax types in the </a:t>
            </a:r>
            <a:r>
              <a:rPr lang="it-IT" sz="1200" b="1" i="0" u="none" strike="noStrike" kern="1200" baseline="0">
                <a:solidFill>
                  <a:sysClr val="windowText" lastClr="000000"/>
                </a:solidFill>
                <a:latin typeface="Times New Roman"/>
                <a:ea typeface="+mn-ea"/>
                <a:cs typeface="Times New Roman"/>
              </a:rPr>
              <a:t>Far-East</a:t>
            </a:r>
            <a:r>
              <a:rPr lang="it-IT" sz="1200" baseline="0">
                <a:latin typeface="Times New Roman"/>
                <a:cs typeface="Times New Roman"/>
              </a:rPr>
              <a:t> area</a:t>
            </a:r>
            <a:endParaRPr lang="it-IT" sz="1200">
              <a:latin typeface="Times New Roman"/>
              <a:cs typeface="Times New Roman"/>
            </a:endParaRPr>
          </a:p>
        </c:rich>
      </c:tx>
      <c:layout/>
      <c:overlay val="0"/>
    </c:title>
    <c:autoTitleDeleted val="0"/>
    <c:plotArea>
      <c:layout/>
      <c:pieChart>
        <c:varyColors val="1"/>
        <c:ser>
          <c:idx val="0"/>
          <c:order val="0"/>
          <c:dLbls>
            <c:spPr>
              <a:noFill/>
              <a:ln>
                <a:noFill/>
              </a:ln>
              <a:effectLst/>
            </c:spPr>
            <c:txPr>
              <a:bodyPr/>
              <a:lstStyle/>
              <a:p>
                <a:pPr>
                  <a:defRPr sz="800"/>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(Foglio1!$P$147;Foglio1!$P$148)</c:f>
              <c:strCache>
                <c:ptCount val="2"/>
                <c:pt idx="0">
                  <c:v>chest-shaped</c:v>
                </c:pt>
                <c:pt idx="1">
                  <c:v>bathtub</c:v>
                </c:pt>
              </c:strCache>
            </c:strRef>
          </c:cat>
          <c:val>
            <c:numRef>
              <c:f>(Foglio1!$Q$147;Foglio1!$Q$148)</c:f>
              <c:numCache>
                <c:formatCode>General</c:formatCode>
                <c:ptCount val="2"/>
                <c:pt idx="0">
                  <c:v>43.0</c:v>
                </c:pt>
                <c:pt idx="1">
                  <c:v>74.0</c:v>
                </c:pt>
              </c:numCache>
            </c:numRef>
          </c:val>
          <c:extLst xmlns:c16r2="http://schemas.microsoft.com/office/drawing/2015/06/chart">
            <c:ext xmlns:c16="http://schemas.microsoft.com/office/drawing/2014/chart" uri="{C3380CC4-5D6E-409C-BE32-E72D297353CC}">
              <c16:uniqueId val="{00000000-D317-4710-BC00-287AE9B70C3A}"/>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sz="800">
              <a:latin typeface="Times New Roman"/>
              <a:cs typeface="Times New Roman"/>
            </a:defRPr>
          </a:pPr>
          <a:endParaRPr lang="it-IT"/>
        </a:p>
      </c:txPr>
    </c:legend>
    <c:plotVisOnly val="1"/>
    <c:dispBlanksAs val="gap"/>
    <c:showDLblsOverMax val="0"/>
  </c:chart>
  <c:externalData r:id="rId1">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Foglio1!$A$2</c:f>
              <c:strCache>
                <c:ptCount val="1"/>
                <c:pt idx="0">
                  <c:v>Number of motives occurring per region</c:v>
                </c:pt>
              </c:strCache>
            </c:strRef>
          </c:tx>
          <c:invertIfNegative val="0"/>
          <c:cat>
            <c:strRef>
              <c:f>Foglio1!$B$1:$H$1</c:f>
              <c:strCache>
                <c:ptCount val="7"/>
                <c:pt idx="0">
                  <c:v>FW</c:v>
                </c:pt>
                <c:pt idx="1">
                  <c:v>MW</c:v>
                </c:pt>
                <c:pt idx="2">
                  <c:v>M</c:v>
                </c:pt>
                <c:pt idx="3">
                  <c:v>KN</c:v>
                </c:pt>
                <c:pt idx="4">
                  <c:v>C</c:v>
                </c:pt>
                <c:pt idx="5">
                  <c:v>ME</c:v>
                </c:pt>
                <c:pt idx="6">
                  <c:v>FE</c:v>
                </c:pt>
              </c:strCache>
            </c:strRef>
          </c:cat>
          <c:val>
            <c:numRef>
              <c:f>Foglio1!$B$2:$H$2</c:f>
              <c:numCache>
                <c:formatCode>General</c:formatCode>
                <c:ptCount val="7"/>
                <c:pt idx="0">
                  <c:v>2.0</c:v>
                </c:pt>
                <c:pt idx="1">
                  <c:v>55.0</c:v>
                </c:pt>
                <c:pt idx="2">
                  <c:v>38.0</c:v>
                </c:pt>
                <c:pt idx="3">
                  <c:v>14.0</c:v>
                </c:pt>
                <c:pt idx="4">
                  <c:v>42.0</c:v>
                </c:pt>
                <c:pt idx="5">
                  <c:v>24.0</c:v>
                </c:pt>
                <c:pt idx="6">
                  <c:v>44.0</c:v>
                </c:pt>
              </c:numCache>
            </c:numRef>
          </c:val>
          <c:extLst xmlns:c16r2="http://schemas.microsoft.com/office/drawing/2015/06/chart">
            <c:ext xmlns:c16="http://schemas.microsoft.com/office/drawing/2014/chart" uri="{C3380CC4-5D6E-409C-BE32-E72D297353CC}">
              <c16:uniqueId val="{00000000-967E-4246-86EF-534D435D5088}"/>
            </c:ext>
          </c:extLst>
        </c:ser>
        <c:ser>
          <c:idx val="1"/>
          <c:order val="1"/>
          <c:tx>
            <c:strRef>
              <c:f>Foglio1!$A$3</c:f>
              <c:strCache>
                <c:ptCount val="1"/>
                <c:pt idx="0">
                  <c:v>Sample of decorated larnakes</c:v>
                </c:pt>
              </c:strCache>
            </c:strRef>
          </c:tx>
          <c:invertIfNegative val="0"/>
          <c:dLbls>
            <c:spPr>
              <a:noFill/>
              <a:ln>
                <a:noFill/>
              </a:ln>
              <a:effectLst/>
            </c:spPr>
            <c:txPr>
              <a:bodyPr/>
              <a:lstStyle/>
              <a:p>
                <a:pPr>
                  <a:defRPr sz="800">
                    <a:latin typeface="Times New Roman"/>
                    <a:cs typeface="Times New Roman"/>
                  </a:defRPr>
                </a:pPr>
                <a:endParaRPr lang="it-I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Foglio1!$B$1:$H$1</c:f>
              <c:strCache>
                <c:ptCount val="7"/>
                <c:pt idx="0">
                  <c:v>FW</c:v>
                </c:pt>
                <c:pt idx="1">
                  <c:v>MW</c:v>
                </c:pt>
                <c:pt idx="2">
                  <c:v>M</c:v>
                </c:pt>
                <c:pt idx="3">
                  <c:v>KN</c:v>
                </c:pt>
                <c:pt idx="4">
                  <c:v>C</c:v>
                </c:pt>
                <c:pt idx="5">
                  <c:v>ME</c:v>
                </c:pt>
                <c:pt idx="6">
                  <c:v>FE</c:v>
                </c:pt>
              </c:strCache>
            </c:strRef>
          </c:cat>
          <c:val>
            <c:numRef>
              <c:f>Foglio1!$B$3:$H$3</c:f>
              <c:numCache>
                <c:formatCode>General</c:formatCode>
                <c:ptCount val="7"/>
                <c:pt idx="0">
                  <c:v>1.0</c:v>
                </c:pt>
                <c:pt idx="1">
                  <c:v>80.0</c:v>
                </c:pt>
                <c:pt idx="2">
                  <c:v>23.0</c:v>
                </c:pt>
                <c:pt idx="3">
                  <c:v>21.0</c:v>
                </c:pt>
                <c:pt idx="4">
                  <c:v>81.0</c:v>
                </c:pt>
                <c:pt idx="5">
                  <c:v>19.0</c:v>
                </c:pt>
                <c:pt idx="6">
                  <c:v>65.0</c:v>
                </c:pt>
              </c:numCache>
            </c:numRef>
          </c:val>
          <c:extLst xmlns:c16r2="http://schemas.microsoft.com/office/drawing/2015/06/chart">
            <c:ext xmlns:c16="http://schemas.microsoft.com/office/drawing/2014/chart" uri="{C3380CC4-5D6E-409C-BE32-E72D297353CC}">
              <c16:uniqueId val="{00000001-967E-4246-86EF-534D435D5088}"/>
            </c:ext>
          </c:extLst>
        </c:ser>
        <c:dLbls>
          <c:showLegendKey val="0"/>
          <c:showVal val="0"/>
          <c:showCatName val="0"/>
          <c:showSerName val="0"/>
          <c:showPercent val="0"/>
          <c:showBubbleSize val="0"/>
        </c:dLbls>
        <c:gapWidth val="75"/>
        <c:overlap val="40"/>
        <c:axId val="-1991656360"/>
        <c:axId val="-1991653384"/>
      </c:barChart>
      <c:catAx>
        <c:axId val="-1991656360"/>
        <c:scaling>
          <c:orientation val="minMax"/>
        </c:scaling>
        <c:delete val="0"/>
        <c:axPos val="b"/>
        <c:numFmt formatCode="General" sourceLinked="0"/>
        <c:majorTickMark val="none"/>
        <c:minorTickMark val="none"/>
        <c:tickLblPos val="nextTo"/>
        <c:crossAx val="-1991653384"/>
        <c:crosses val="autoZero"/>
        <c:auto val="1"/>
        <c:lblAlgn val="ctr"/>
        <c:lblOffset val="100"/>
        <c:noMultiLvlLbl val="0"/>
      </c:catAx>
      <c:valAx>
        <c:axId val="-1991653384"/>
        <c:scaling>
          <c:orientation val="minMax"/>
        </c:scaling>
        <c:delete val="0"/>
        <c:axPos val="l"/>
        <c:majorGridlines/>
        <c:numFmt formatCode="General" sourceLinked="1"/>
        <c:majorTickMark val="none"/>
        <c:minorTickMark val="none"/>
        <c:tickLblPos val="nextTo"/>
        <c:txPr>
          <a:bodyPr/>
          <a:lstStyle/>
          <a:p>
            <a:pPr>
              <a:defRPr sz="800">
                <a:latin typeface="Times New Roman"/>
                <a:cs typeface="Times New Roman"/>
              </a:defRPr>
            </a:pPr>
            <a:endParaRPr lang="it-IT"/>
          </a:p>
        </c:txPr>
        <c:crossAx val="-1991656360"/>
        <c:crosses val="autoZero"/>
        <c:crossBetween val="between"/>
      </c:valAx>
    </c:plotArea>
    <c:legend>
      <c:legendPos val="r"/>
      <c:layout/>
      <c:overlay val="0"/>
      <c:txPr>
        <a:bodyPr/>
        <a:lstStyle/>
        <a:p>
          <a:pPr>
            <a:defRPr sz="800">
              <a:latin typeface="Times New Roman"/>
              <a:cs typeface="Times New Roman"/>
            </a:defRPr>
          </a:pPr>
          <a:endParaRPr lang="it-IT"/>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000" b="1" i="0">
                <a:latin typeface="Times New Roman"/>
                <a:cs typeface="Times New Roman"/>
              </a:defRPr>
            </a:pPr>
            <a:r>
              <a:rPr lang="it-IT" sz="1200" b="1" i="0">
                <a:latin typeface="Times New Roman"/>
                <a:cs typeface="Times New Roman"/>
              </a:rPr>
              <a:t>Tomb</a:t>
            </a:r>
            <a:r>
              <a:rPr lang="it-IT" sz="1200" b="1" i="0" baseline="0">
                <a:latin typeface="Times New Roman"/>
                <a:cs typeface="Times New Roman"/>
              </a:rPr>
              <a:t> types associated with larnax burials in Mesara</a:t>
            </a:r>
            <a:endParaRPr lang="it-IT" sz="1200" b="1" i="0">
              <a:latin typeface="Times New Roman"/>
              <a:cs typeface="Times New Roman"/>
            </a:endParaRPr>
          </a:p>
        </c:rich>
      </c:tx>
      <c:layout/>
      <c:overlay val="0"/>
    </c:title>
    <c:autoTitleDeleted val="0"/>
    <c:plotArea>
      <c:layout/>
      <c:pieChart>
        <c:varyColors val="1"/>
        <c:ser>
          <c:idx val="0"/>
          <c:order val="0"/>
          <c:dLbls>
            <c:spPr>
              <a:noFill/>
              <a:ln>
                <a:noFill/>
              </a:ln>
              <a:effectLst/>
            </c:spPr>
            <c:txPr>
              <a:bodyPr/>
              <a:lstStyle/>
              <a:p>
                <a:pPr>
                  <a:defRPr sz="800">
                    <a:latin typeface="Times New Roman"/>
                    <a:cs typeface="Times New Roman"/>
                  </a:defRPr>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(Foglio1!$B$1;Foglio1!$C$1;Foglio1!$D$1;Foglio1!$E$1;Foglio1!$F$1;Foglio1!$G$1)</c:f>
              <c:strCache>
                <c:ptCount val="6"/>
                <c:pt idx="0">
                  <c:v>CHAMBER TOMBS</c:v>
                </c:pt>
                <c:pt idx="1">
                  <c:v>REUSED THOLOS</c:v>
                </c:pt>
                <c:pt idx="2">
                  <c:v>PIT</c:v>
                </c:pt>
                <c:pt idx="3">
                  <c:v>LARNAX RECEPTACLE</c:v>
                </c:pt>
                <c:pt idx="4">
                  <c:v>CORBEL VAULTED</c:v>
                </c:pt>
                <c:pt idx="5">
                  <c:v>BUILT TOMB</c:v>
                </c:pt>
              </c:strCache>
            </c:strRef>
          </c:cat>
          <c:val>
            <c:numRef>
              <c:f>(Foglio1!$B$25;Foglio1!$C$25;Foglio1!$D$25;Foglio1!$E$25;Foglio1!$F$25;Foglio1!$G$25)</c:f>
              <c:numCache>
                <c:formatCode>General</c:formatCode>
                <c:ptCount val="6"/>
                <c:pt idx="0">
                  <c:v>22.0</c:v>
                </c:pt>
                <c:pt idx="1">
                  <c:v>3.0</c:v>
                </c:pt>
                <c:pt idx="2">
                  <c:v>5.0</c:v>
                </c:pt>
                <c:pt idx="3">
                  <c:v>1.0</c:v>
                </c:pt>
                <c:pt idx="4">
                  <c:v>8.0</c:v>
                </c:pt>
                <c:pt idx="5">
                  <c:v>2.0</c:v>
                </c:pt>
              </c:numCache>
            </c:numRef>
          </c:val>
          <c:extLst xmlns:c16r2="http://schemas.microsoft.com/office/drawing/2015/06/chart">
            <c:ext xmlns:c16="http://schemas.microsoft.com/office/drawing/2014/chart" uri="{C3380CC4-5D6E-409C-BE32-E72D297353CC}">
              <c16:uniqueId val="{00000000-FE01-472F-B40E-D58F31E79283}"/>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sz="800">
              <a:latin typeface="Times New Roman"/>
              <a:cs typeface="Times New Roman"/>
            </a:defRPr>
          </a:pPr>
          <a:endParaRPr lang="it-IT"/>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dLbls>
            <c:showLegendKey val="0"/>
            <c:showVal val="0"/>
            <c:showCatName val="0"/>
            <c:showSerName val="0"/>
            <c:showPercent val="1"/>
            <c:showBubbleSize val="0"/>
            <c:showLeaderLines val="1"/>
          </c:dLbls>
          <c:cat>
            <c:strRef>
              <c:f>(Foglio1!$A$48;Foglio1!$A$49;Foglio1!$A$50)</c:f>
              <c:strCache>
                <c:ptCount val="3"/>
                <c:pt idx="0">
                  <c:v>No. tombs associated with larnakes and other types of deposition methods</c:v>
                </c:pt>
                <c:pt idx="1">
                  <c:v>No. tombs associated only with larnax </c:v>
                </c:pt>
                <c:pt idx="2">
                  <c:v>No. tombs with no info</c:v>
                </c:pt>
              </c:strCache>
            </c:strRef>
          </c:cat>
          <c:val>
            <c:numRef>
              <c:f>(Foglio1!$B$48;Foglio1!$B$49;Foglio1!$B$50)</c:f>
              <c:numCache>
                <c:formatCode>General</c:formatCode>
                <c:ptCount val="3"/>
                <c:pt idx="0">
                  <c:v>13.0</c:v>
                </c:pt>
                <c:pt idx="1">
                  <c:v>11.0</c:v>
                </c:pt>
                <c:pt idx="2">
                  <c:v>17.0</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it-IT" sz="1200" b="1" i="0" baseline="0">
                <a:effectLst/>
                <a:latin typeface="Times New Roman" panose="02020603050405020304" pitchFamily="18" charset="0"/>
                <a:cs typeface="Times New Roman" panose="02020603050405020304" pitchFamily="18" charset="0"/>
              </a:rPr>
              <a:t>Mesara tombs chronological distribution</a:t>
            </a:r>
            <a:endParaRPr lang="en-GB" sz="1200">
              <a:latin typeface="Times New Roman" panose="02020603050405020304" pitchFamily="18" charset="0"/>
              <a:cs typeface="Times New Roman" panose="02020603050405020304" pitchFamily="18" charset="0"/>
            </a:endParaRPr>
          </a:p>
        </c:rich>
      </c:tx>
      <c:layout/>
      <c:overlay val="0"/>
    </c:title>
    <c:autoTitleDeleted val="0"/>
    <c:plotArea>
      <c:layout/>
      <c:barChart>
        <c:barDir val="col"/>
        <c:grouping val="clustered"/>
        <c:varyColors val="0"/>
        <c:ser>
          <c:idx val="0"/>
          <c:order val="0"/>
          <c:tx>
            <c:strRef>
              <c:f>Foglio1!$F$1</c:f>
              <c:strCache>
                <c:ptCount val="1"/>
                <c:pt idx="0">
                  <c:v>Number of tombs</c:v>
                </c:pt>
              </c:strCache>
            </c:strRef>
          </c:tx>
          <c:invertIfNegative val="0"/>
          <c:cat>
            <c:strRef>
              <c:f>Foglio1!$E$2:$E$6</c:f>
              <c:strCache>
                <c:ptCount val="5"/>
                <c:pt idx="0">
                  <c:v>LM III A, IIIA1, IIIA2</c:v>
                </c:pt>
                <c:pt idx="1">
                  <c:v>LM IIIA2-B</c:v>
                </c:pt>
                <c:pt idx="2">
                  <c:v>LM IIIB, B1, B2</c:v>
                </c:pt>
                <c:pt idx="3">
                  <c:v>LM III A-B</c:v>
                </c:pt>
                <c:pt idx="4">
                  <c:v>LM III C</c:v>
                </c:pt>
              </c:strCache>
            </c:strRef>
          </c:cat>
          <c:val>
            <c:numRef>
              <c:f>Foglio1!$F$2:$F$6</c:f>
              <c:numCache>
                <c:formatCode>General</c:formatCode>
                <c:ptCount val="5"/>
                <c:pt idx="0">
                  <c:v>6.0</c:v>
                </c:pt>
                <c:pt idx="1">
                  <c:v>10.0</c:v>
                </c:pt>
                <c:pt idx="2">
                  <c:v>8.0</c:v>
                </c:pt>
                <c:pt idx="3">
                  <c:v>2.0</c:v>
                </c:pt>
                <c:pt idx="4">
                  <c:v>8.0</c:v>
                </c:pt>
              </c:numCache>
            </c:numRef>
          </c:val>
          <c:extLst xmlns:c16r2="http://schemas.microsoft.com/office/drawing/2015/06/chart">
            <c:ext xmlns:c16="http://schemas.microsoft.com/office/drawing/2014/chart" uri="{C3380CC4-5D6E-409C-BE32-E72D297353CC}">
              <c16:uniqueId val="{00000000-5ED2-4933-96DB-0E15F1B0D824}"/>
            </c:ext>
          </c:extLst>
        </c:ser>
        <c:dLbls>
          <c:showLegendKey val="0"/>
          <c:showVal val="0"/>
          <c:showCatName val="0"/>
          <c:showSerName val="0"/>
          <c:showPercent val="0"/>
          <c:showBubbleSize val="0"/>
        </c:dLbls>
        <c:gapWidth val="150"/>
        <c:axId val="2121239976"/>
        <c:axId val="-2064512984"/>
      </c:barChart>
      <c:catAx>
        <c:axId val="2121239976"/>
        <c:scaling>
          <c:orientation val="minMax"/>
        </c:scaling>
        <c:delete val="0"/>
        <c:axPos val="b"/>
        <c:numFmt formatCode="General" sourceLinked="0"/>
        <c:majorTickMark val="none"/>
        <c:minorTickMark val="none"/>
        <c:tickLblPos val="nextTo"/>
        <c:crossAx val="-2064512984"/>
        <c:crosses val="autoZero"/>
        <c:auto val="1"/>
        <c:lblAlgn val="ctr"/>
        <c:lblOffset val="100"/>
        <c:noMultiLvlLbl val="0"/>
      </c:catAx>
      <c:valAx>
        <c:axId val="-2064512984"/>
        <c:scaling>
          <c:orientation val="minMax"/>
        </c:scaling>
        <c:delete val="0"/>
        <c:axPos val="l"/>
        <c:majorGridlines/>
        <c:numFmt formatCode="General" sourceLinked="1"/>
        <c:majorTickMark val="none"/>
        <c:minorTickMark val="none"/>
        <c:tickLblPos val="nextTo"/>
        <c:crossAx val="212123997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it-IT" sz="1200">
                <a:latin typeface="Times New Roman" panose="02020603050405020304" pitchFamily="18" charset="0"/>
                <a:cs typeface="Times New Roman" panose="02020603050405020304" pitchFamily="18" charset="0"/>
              </a:rPr>
              <a:t>LM</a:t>
            </a:r>
            <a:r>
              <a:rPr lang="it-IT" sz="1200" baseline="0">
                <a:latin typeface="Times New Roman" panose="02020603050405020304" pitchFamily="18" charset="0"/>
                <a:cs typeface="Times New Roman" panose="02020603050405020304" pitchFamily="18" charset="0"/>
              </a:rPr>
              <a:t> III burial locations in Knossos area</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(Foglio1!$A$18;Foglio1!$A$19;Foglio1!$A$20)</c:f>
              <c:strCache>
                <c:ptCount val="3"/>
                <c:pt idx="0">
                  <c:v>secure larnax interment</c:v>
                </c:pt>
                <c:pt idx="1">
                  <c:v>possible larnax interment</c:v>
                </c:pt>
                <c:pt idx="2">
                  <c:v>no larnax interment</c:v>
                </c:pt>
              </c:strCache>
            </c:strRef>
          </c:cat>
          <c:val>
            <c:numRef>
              <c:f>(Foglio1!$B$18;Foglio1!$B$19;Foglio1!$B$20)</c:f>
              <c:numCache>
                <c:formatCode>General</c:formatCode>
                <c:ptCount val="3"/>
                <c:pt idx="0">
                  <c:v>7.0</c:v>
                </c:pt>
                <c:pt idx="1">
                  <c:v>5.0</c:v>
                </c:pt>
                <c:pt idx="2">
                  <c:v>6.0</c:v>
                </c:pt>
              </c:numCache>
            </c:numRef>
          </c:val>
          <c:extLst xmlns:c16r2="http://schemas.microsoft.com/office/drawing/2015/06/chart">
            <c:ext xmlns:c16="http://schemas.microsoft.com/office/drawing/2014/chart" uri="{C3380CC4-5D6E-409C-BE32-E72D297353CC}">
              <c16:uniqueId val="{00000000-ECF3-46F0-8FCF-B97CF1A6F080}"/>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it-IT" sz="1200" b="1" i="0" baseline="0">
                <a:effectLst/>
                <a:latin typeface="Times New Roman" panose="02020603050405020304" pitchFamily="18" charset="0"/>
                <a:cs typeface="Times New Roman" panose="02020603050405020304" pitchFamily="18" charset="0"/>
              </a:rPr>
              <a:t>Total number of tombs per cemetery with larnakes in Knossos area</a:t>
            </a:r>
            <a:endParaRPr lang="it-IT"/>
          </a:p>
        </c:rich>
      </c:tx>
      <c:layout/>
      <c:overlay val="0"/>
    </c:title>
    <c:autoTitleDeleted val="0"/>
    <c:plotArea>
      <c:layout/>
      <c:barChart>
        <c:barDir val="col"/>
        <c:grouping val="clustered"/>
        <c:varyColors val="0"/>
        <c:ser>
          <c:idx val="0"/>
          <c:order val="0"/>
          <c:tx>
            <c:strRef>
              <c:f>Foglio1!$B$1</c:f>
              <c:strCache>
                <c:ptCount val="1"/>
                <c:pt idx="0">
                  <c:v>Number of tombs</c:v>
                </c:pt>
              </c:strCache>
            </c:strRef>
          </c:tx>
          <c:invertIfNegative val="0"/>
          <c:cat>
            <c:strRef>
              <c:f>Foglio1!$A$2:$A$8</c:f>
              <c:strCache>
                <c:ptCount val="7"/>
                <c:pt idx="0">
                  <c:v>KATSAMBAS</c:v>
                </c:pt>
                <c:pt idx="1">
                  <c:v>LOWER GYPSADES</c:v>
                </c:pt>
                <c:pt idx="2">
                  <c:v>MASTAMBAS</c:v>
                </c:pt>
                <c:pt idx="3">
                  <c:v>MAVRO SPELIO</c:v>
                </c:pt>
                <c:pt idx="4">
                  <c:v>SELLOPOULO</c:v>
                </c:pt>
                <c:pt idx="5">
                  <c:v>UPPER GYPSADES</c:v>
                </c:pt>
                <c:pt idx="6">
                  <c:v>ZAFER PAPOURA</c:v>
                </c:pt>
              </c:strCache>
            </c:strRef>
          </c:cat>
          <c:val>
            <c:numRef>
              <c:f>Foglio1!$B$2:$B$8</c:f>
              <c:numCache>
                <c:formatCode>General</c:formatCode>
                <c:ptCount val="7"/>
                <c:pt idx="0">
                  <c:v>9.0</c:v>
                </c:pt>
                <c:pt idx="1">
                  <c:v>3.0</c:v>
                </c:pt>
                <c:pt idx="2">
                  <c:v>1.0</c:v>
                </c:pt>
                <c:pt idx="3">
                  <c:v>22.0</c:v>
                </c:pt>
                <c:pt idx="4">
                  <c:v>6.0</c:v>
                </c:pt>
                <c:pt idx="5">
                  <c:v>23.0</c:v>
                </c:pt>
                <c:pt idx="6">
                  <c:v>100.0</c:v>
                </c:pt>
              </c:numCache>
            </c:numRef>
          </c:val>
          <c:extLst xmlns:c16r2="http://schemas.microsoft.com/office/drawing/2015/06/chart">
            <c:ext xmlns:c16="http://schemas.microsoft.com/office/drawing/2014/chart" uri="{C3380CC4-5D6E-409C-BE32-E72D297353CC}">
              <c16:uniqueId val="{00000000-9F5F-4B80-92AC-DC68BFF2B162}"/>
            </c:ext>
          </c:extLst>
        </c:ser>
        <c:dLbls>
          <c:showLegendKey val="0"/>
          <c:showVal val="0"/>
          <c:showCatName val="0"/>
          <c:showSerName val="0"/>
          <c:showPercent val="0"/>
          <c:showBubbleSize val="0"/>
        </c:dLbls>
        <c:gapWidth val="150"/>
        <c:axId val="-2060994984"/>
        <c:axId val="2119340728"/>
      </c:barChart>
      <c:catAx>
        <c:axId val="-2060994984"/>
        <c:scaling>
          <c:orientation val="minMax"/>
        </c:scaling>
        <c:delete val="0"/>
        <c:axPos val="b"/>
        <c:numFmt formatCode="General" sourceLinked="0"/>
        <c:majorTickMark val="none"/>
        <c:minorTickMark val="none"/>
        <c:tickLblPos val="nextTo"/>
        <c:crossAx val="2119340728"/>
        <c:crosses val="autoZero"/>
        <c:auto val="1"/>
        <c:lblAlgn val="ctr"/>
        <c:lblOffset val="100"/>
        <c:noMultiLvlLbl val="0"/>
      </c:catAx>
      <c:valAx>
        <c:axId val="2119340728"/>
        <c:scaling>
          <c:orientation val="minMax"/>
          <c:max val="100.0"/>
          <c:min val="0.0"/>
        </c:scaling>
        <c:delete val="0"/>
        <c:axPos val="l"/>
        <c:majorGridlines/>
        <c:numFmt formatCode="General" sourceLinked="1"/>
        <c:majorTickMark val="none"/>
        <c:minorTickMark val="none"/>
        <c:tickLblPos val="nextTo"/>
        <c:crossAx val="-206099498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it-IT" sz="1100" b="1" i="0" baseline="0">
                <a:effectLst/>
                <a:latin typeface="Times New Roman" panose="02020603050405020304" pitchFamily="18" charset="0"/>
                <a:cs typeface="Times New Roman" panose="02020603050405020304" pitchFamily="18" charset="0"/>
              </a:rPr>
              <a:t>Larnax burial distribution in Knossos area according to the percentage of tombs showing larnax burials</a:t>
            </a:r>
            <a:endParaRPr lang="it-IT" sz="1100">
              <a:effectLst/>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dLbl>
              <c:idx val="0"/>
              <c:layout/>
              <c:tx>
                <c:rich>
                  <a:bodyPr/>
                  <a:lstStyle/>
                  <a:p>
                    <a:r>
                      <a:rPr lang="en-US"/>
                      <a:t>Tombs with LM III clay</a:t>
                    </a:r>
                    <a:r>
                      <a:rPr lang="en-US" baseline="0"/>
                      <a:t> larnakes</a:t>
                    </a:r>
                    <a:r>
                      <a:rPr lang="en-US"/>
                      <a:t>
32%</a:t>
                    </a:r>
                  </a:p>
                </c:rich>
              </c:tx>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44D-494E-98A5-D2F2EB007A9A}"/>
                </c:ext>
              </c:extLst>
            </c:dLbl>
            <c:dLbl>
              <c:idx val="1"/>
              <c:layout/>
              <c:tx>
                <c:rich>
                  <a:bodyPr/>
                  <a:lstStyle/>
                  <a:p>
                    <a:r>
                      <a:rPr lang="en-US"/>
                      <a:t>Tombs</a:t>
                    </a:r>
                    <a:r>
                      <a:rPr lang="en-US" baseline="0"/>
                      <a:t> without LM III clay larnakes</a:t>
                    </a:r>
                    <a:r>
                      <a:rPr lang="en-US"/>
                      <a:t>
68%</a:t>
                    </a:r>
                  </a:p>
                </c:rich>
              </c:tx>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44D-494E-98A5-D2F2EB007A9A}"/>
                </c:ext>
              </c:extLst>
            </c:dLbl>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(Foglio1!$B$1;Foglio1!$D$1)</c:f>
              <c:strCache>
                <c:ptCount val="2"/>
                <c:pt idx="0">
                  <c:v>TOMBS WITH LM III CLAY LARNAKES</c:v>
                </c:pt>
                <c:pt idx="1">
                  <c:v>TOMBS WITHOUT  LARNAKES</c:v>
                </c:pt>
              </c:strCache>
            </c:strRef>
          </c:cat>
          <c:val>
            <c:numRef>
              <c:f>(Foglio1!$B$9;Foglio1!$D$9)</c:f>
              <c:numCache>
                <c:formatCode>General</c:formatCode>
                <c:ptCount val="2"/>
                <c:pt idx="0">
                  <c:v>53.0</c:v>
                </c:pt>
                <c:pt idx="1">
                  <c:v>111.0</c:v>
                </c:pt>
              </c:numCache>
            </c:numRef>
          </c:val>
          <c:extLst xmlns:c16r2="http://schemas.microsoft.com/office/drawing/2015/06/chart">
            <c:ext xmlns:c16="http://schemas.microsoft.com/office/drawing/2014/chart" uri="{C3380CC4-5D6E-409C-BE32-E72D297353CC}">
              <c16:uniqueId val="{00000002-744D-494E-98A5-D2F2EB007A9A}"/>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Foglio1!$C$1</c:f>
              <c:strCache>
                <c:ptCount val="1"/>
                <c:pt idx="0">
                  <c:v>TOMBS WITH LM III CLAY LARNAKES</c:v>
                </c:pt>
              </c:strCache>
            </c:strRef>
          </c:tx>
          <c:invertIfNegative val="0"/>
          <c:cat>
            <c:strRef>
              <c:f>Foglio1!$A$2:$A$9</c:f>
              <c:strCache>
                <c:ptCount val="7"/>
                <c:pt idx="0">
                  <c:v>ZAFER PAPOURA</c:v>
                </c:pt>
                <c:pt idx="1">
                  <c:v>UPPER GYPSADES</c:v>
                </c:pt>
                <c:pt idx="2">
                  <c:v>MAVRO SPELIO</c:v>
                </c:pt>
                <c:pt idx="3">
                  <c:v>KATSAMBAS</c:v>
                </c:pt>
                <c:pt idx="4">
                  <c:v>SELLOPOULO</c:v>
                </c:pt>
                <c:pt idx="5">
                  <c:v>LOWER GYPSADES</c:v>
                </c:pt>
                <c:pt idx="6">
                  <c:v>MASTAMBAS</c:v>
                </c:pt>
              </c:strCache>
            </c:strRef>
          </c:cat>
          <c:val>
            <c:numRef>
              <c:f>Foglio1!$C$2:$C$9</c:f>
              <c:numCache>
                <c:formatCode>0%</c:formatCode>
                <c:ptCount val="8"/>
                <c:pt idx="0">
                  <c:v>0.23</c:v>
                </c:pt>
                <c:pt idx="1">
                  <c:v>0.57</c:v>
                </c:pt>
                <c:pt idx="2">
                  <c:v>0.55</c:v>
                </c:pt>
                <c:pt idx="3">
                  <c:v>0.22</c:v>
                </c:pt>
                <c:pt idx="4">
                  <c:v>0.17</c:v>
                </c:pt>
                <c:pt idx="5">
                  <c:v>0.33</c:v>
                </c:pt>
                <c:pt idx="6">
                  <c:v>1.0</c:v>
                </c:pt>
              </c:numCache>
            </c:numRef>
          </c:val>
          <c:extLst xmlns:c16r2="http://schemas.microsoft.com/office/drawing/2015/06/chart">
            <c:ext xmlns:c16="http://schemas.microsoft.com/office/drawing/2014/chart" uri="{C3380CC4-5D6E-409C-BE32-E72D297353CC}">
              <c16:uniqueId val="{00000000-AE15-48B2-875B-E169FAB3BB32}"/>
            </c:ext>
          </c:extLst>
        </c:ser>
        <c:ser>
          <c:idx val="1"/>
          <c:order val="1"/>
          <c:tx>
            <c:strRef>
              <c:f>Foglio1!$E$1</c:f>
              <c:strCache>
                <c:ptCount val="1"/>
                <c:pt idx="0">
                  <c:v>TOMBS WITHOUT CLAY LARNAKES</c:v>
                </c:pt>
              </c:strCache>
            </c:strRef>
          </c:tx>
          <c:invertIfNegative val="0"/>
          <c:cat>
            <c:strRef>
              <c:f>Foglio1!$A$2:$A$9</c:f>
              <c:strCache>
                <c:ptCount val="7"/>
                <c:pt idx="0">
                  <c:v>ZAFER PAPOURA</c:v>
                </c:pt>
                <c:pt idx="1">
                  <c:v>UPPER GYPSADES</c:v>
                </c:pt>
                <c:pt idx="2">
                  <c:v>MAVRO SPELIO</c:v>
                </c:pt>
                <c:pt idx="3">
                  <c:v>KATSAMBAS</c:v>
                </c:pt>
                <c:pt idx="4">
                  <c:v>SELLOPOULO</c:v>
                </c:pt>
                <c:pt idx="5">
                  <c:v>LOWER GYPSADES</c:v>
                </c:pt>
                <c:pt idx="6">
                  <c:v>MASTAMBAS</c:v>
                </c:pt>
              </c:strCache>
            </c:strRef>
          </c:cat>
          <c:val>
            <c:numRef>
              <c:f>Foglio1!$E$2:$E$9</c:f>
              <c:numCache>
                <c:formatCode>0%</c:formatCode>
                <c:ptCount val="8"/>
                <c:pt idx="0">
                  <c:v>0.77</c:v>
                </c:pt>
                <c:pt idx="1">
                  <c:v>0.43</c:v>
                </c:pt>
                <c:pt idx="2">
                  <c:v>0.45</c:v>
                </c:pt>
                <c:pt idx="3">
                  <c:v>0.78</c:v>
                </c:pt>
                <c:pt idx="4">
                  <c:v>0.83</c:v>
                </c:pt>
                <c:pt idx="5">
                  <c:v>0.67</c:v>
                </c:pt>
                <c:pt idx="6">
                  <c:v>0.0</c:v>
                </c:pt>
              </c:numCache>
            </c:numRef>
          </c:val>
          <c:extLst xmlns:c16r2="http://schemas.microsoft.com/office/drawing/2015/06/chart">
            <c:ext xmlns:c16="http://schemas.microsoft.com/office/drawing/2014/chart" uri="{C3380CC4-5D6E-409C-BE32-E72D297353CC}">
              <c16:uniqueId val="{00000001-AE15-48B2-875B-E169FAB3BB32}"/>
            </c:ext>
          </c:extLst>
        </c:ser>
        <c:dLbls>
          <c:showLegendKey val="0"/>
          <c:showVal val="0"/>
          <c:showCatName val="0"/>
          <c:showSerName val="0"/>
          <c:showPercent val="0"/>
          <c:showBubbleSize val="0"/>
        </c:dLbls>
        <c:gapWidth val="150"/>
        <c:axId val="-2077735896"/>
        <c:axId val="-2063622552"/>
      </c:barChart>
      <c:catAx>
        <c:axId val="-2077735896"/>
        <c:scaling>
          <c:orientation val="minMax"/>
        </c:scaling>
        <c:delete val="0"/>
        <c:axPos val="b"/>
        <c:numFmt formatCode="General" sourceLinked="0"/>
        <c:majorTickMark val="out"/>
        <c:minorTickMark val="none"/>
        <c:tickLblPos val="nextTo"/>
        <c:crossAx val="-2063622552"/>
        <c:crosses val="autoZero"/>
        <c:auto val="1"/>
        <c:lblAlgn val="ctr"/>
        <c:lblOffset val="100"/>
        <c:noMultiLvlLbl val="0"/>
      </c:catAx>
      <c:valAx>
        <c:axId val="-2063622552"/>
        <c:scaling>
          <c:orientation val="minMax"/>
        </c:scaling>
        <c:delete val="0"/>
        <c:axPos val="l"/>
        <c:majorGridlines/>
        <c:numFmt formatCode="0%" sourceLinked="1"/>
        <c:majorTickMark val="out"/>
        <c:minorTickMark val="none"/>
        <c:tickLblPos val="nextTo"/>
        <c:crossAx val="-207773589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Times New Roman"/>
                <a:ea typeface="+mn-ea"/>
                <a:cs typeface="Times New Roman"/>
              </a:defRPr>
            </a:pPr>
            <a:r>
              <a:rPr lang="it-IT" sz="1200" b="1" i="0" baseline="0">
                <a:effectLst/>
                <a:latin typeface="Times New Roman"/>
                <a:cs typeface="Times New Roman"/>
              </a:rPr>
              <a:t>LM III burial locations </a:t>
            </a:r>
            <a:r>
              <a:rPr lang="it-IT" sz="1200" b="1" i="0" u="none" strike="noStrike" kern="1200" baseline="0">
                <a:solidFill>
                  <a:sysClr val="windowText" lastClr="000000"/>
                </a:solidFill>
                <a:effectLst/>
                <a:latin typeface="Times New Roman"/>
                <a:ea typeface="+mn-ea"/>
                <a:cs typeface="Times New Roman"/>
              </a:rPr>
              <a:t>Mid-West</a:t>
            </a:r>
            <a:r>
              <a:rPr lang="it-IT" sz="1200" b="1" i="0" baseline="0">
                <a:effectLst/>
                <a:latin typeface="Times New Roman"/>
                <a:cs typeface="Times New Roman"/>
              </a:rPr>
              <a:t> area</a:t>
            </a:r>
            <a:endParaRPr lang="it-IT" sz="1200">
              <a:effectLst/>
              <a:latin typeface="Times New Roman"/>
              <a:cs typeface="Times New Roman"/>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Times New Roman"/>
                <a:ea typeface="+mn-ea"/>
                <a:cs typeface="Times New Roman"/>
              </a:defRPr>
            </a:pPr>
            <a:endParaRPr lang="it-IT">
              <a:latin typeface="Times New Roman"/>
              <a:cs typeface="Times New Roman"/>
            </a:endParaRPr>
          </a:p>
        </c:rich>
      </c:tx>
      <c:layout>
        <c:manualLayout>
          <c:xMode val="edge"/>
          <c:yMode val="edge"/>
          <c:x val="0.127469066366704"/>
          <c:y val="0.0475319926873857"/>
        </c:manualLayout>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(Foglio1!$A$24;Foglio1!$A$25;Foglio1!$A$26)</c:f>
              <c:strCache>
                <c:ptCount val="3"/>
                <c:pt idx="0">
                  <c:v>secure larnax interment</c:v>
                </c:pt>
                <c:pt idx="1">
                  <c:v>possible larnax interment</c:v>
                </c:pt>
                <c:pt idx="2">
                  <c:v>no larnax interment</c:v>
                </c:pt>
              </c:strCache>
            </c:strRef>
          </c:cat>
          <c:val>
            <c:numRef>
              <c:f>(Foglio1!$B$24;Foglio1!$B$25;Foglio1!$B$26)</c:f>
              <c:numCache>
                <c:formatCode>General</c:formatCode>
                <c:ptCount val="3"/>
                <c:pt idx="0">
                  <c:v>23.0</c:v>
                </c:pt>
                <c:pt idx="1">
                  <c:v>4.0</c:v>
                </c:pt>
                <c:pt idx="2">
                  <c:v>4.0</c:v>
                </c:pt>
              </c:numCache>
            </c:numRef>
          </c:val>
          <c:extLst xmlns:c16r2="http://schemas.microsoft.com/office/drawing/2015/06/chart">
            <c:ext xmlns:c16="http://schemas.microsoft.com/office/drawing/2014/chart" uri="{C3380CC4-5D6E-409C-BE32-E72D297353CC}">
              <c16:uniqueId val="{00000000-E252-4788-88C8-3A9ECEE05F60}"/>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sz="1200"/>
          </a:pPr>
          <a:endParaRPr lang="it-IT"/>
        </a:p>
      </c:txPr>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000">
                <a:latin typeface="Times New Roman"/>
                <a:cs typeface="Times New Roman"/>
              </a:defRPr>
            </a:pPr>
            <a:r>
              <a:rPr lang="it-IT" sz="1200">
                <a:latin typeface="Times New Roman"/>
                <a:cs typeface="Times New Roman"/>
              </a:rPr>
              <a:t>Tomb types associated with larnax burials, Knossos area</a:t>
            </a: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(Foglio1!$B$14;Foglio1!$C$14;Foglio1!$D$14;Foglio1!$E$14;Foglio1!$F$14)</c:f>
              <c:strCache>
                <c:ptCount val="5"/>
                <c:pt idx="0">
                  <c:v>CHAMBER TOMBS</c:v>
                </c:pt>
                <c:pt idx="1">
                  <c:v>SHAFT GRAVES</c:v>
                </c:pt>
                <c:pt idx="2">
                  <c:v>PIT-CAVES</c:v>
                </c:pt>
                <c:pt idx="3">
                  <c:v>CORBEL VAULTED</c:v>
                </c:pt>
                <c:pt idx="4">
                  <c:v>N/A</c:v>
                </c:pt>
              </c:strCache>
            </c:strRef>
          </c:cat>
          <c:val>
            <c:numRef>
              <c:f>(Foglio1!$B$15;Foglio1!$C$15;Foglio1!$D$15;Foglio1!$E$15;Foglio1!$F$15)</c:f>
              <c:numCache>
                <c:formatCode>General</c:formatCode>
                <c:ptCount val="5"/>
                <c:pt idx="0">
                  <c:v>44.0</c:v>
                </c:pt>
                <c:pt idx="1">
                  <c:v>6.0</c:v>
                </c:pt>
                <c:pt idx="2">
                  <c:v>1.0</c:v>
                </c:pt>
                <c:pt idx="3">
                  <c:v>1.0</c:v>
                </c:pt>
                <c:pt idx="4">
                  <c:v>1.0</c:v>
                </c:pt>
              </c:numCache>
            </c:numRef>
          </c:val>
          <c:extLst xmlns:c16r2="http://schemas.microsoft.com/office/drawing/2015/06/chart">
            <c:ext xmlns:c16="http://schemas.microsoft.com/office/drawing/2014/chart" uri="{C3380CC4-5D6E-409C-BE32-E72D297353CC}">
              <c16:uniqueId val="{00000000-1C81-4097-907C-5640C7E572A6}"/>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a:latin typeface="Times New Roman"/>
              <a:cs typeface="Times New Roman"/>
            </a:defRPr>
          </a:pPr>
          <a:endParaRPr lang="it-IT"/>
        </a:p>
      </c:txPr>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Foglio1!$A$62:$A$64</c:f>
              <c:strCache>
                <c:ptCount val="3"/>
                <c:pt idx="0">
                  <c:v>No .tombs associated with other types of burials</c:v>
                </c:pt>
                <c:pt idx="1">
                  <c:v>No. tombs with only larnax</c:v>
                </c:pt>
                <c:pt idx="2">
                  <c:v>No. tombs no info</c:v>
                </c:pt>
              </c:strCache>
            </c:strRef>
          </c:cat>
          <c:val>
            <c:numRef>
              <c:f>Foglio1!$B$62:$B$64</c:f>
              <c:numCache>
                <c:formatCode>General</c:formatCode>
                <c:ptCount val="3"/>
                <c:pt idx="0">
                  <c:v>14.0</c:v>
                </c:pt>
                <c:pt idx="1">
                  <c:v>20.0</c:v>
                </c:pt>
                <c:pt idx="2">
                  <c:v>19.0</c:v>
                </c:pt>
              </c:numCache>
            </c:numRef>
          </c:val>
          <c:extLst xmlns:c16r2="http://schemas.microsoft.com/office/drawing/2015/06/chart">
            <c:ext xmlns:c16="http://schemas.microsoft.com/office/drawing/2014/chart" uri="{C3380CC4-5D6E-409C-BE32-E72D297353CC}">
              <c16:uniqueId val="{00000000-6815-40FB-8DC2-D1DBDEE5DD54}"/>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mn-lt"/>
                <a:ea typeface="+mn-ea"/>
                <a:cs typeface="+mn-cs"/>
              </a:defRPr>
            </a:pPr>
            <a:r>
              <a:rPr lang="it-IT" sz="1200" b="1" i="0" baseline="0">
                <a:effectLst/>
                <a:latin typeface="Times New Roman" panose="02020603050405020304" pitchFamily="18" charset="0"/>
                <a:cs typeface="Times New Roman" panose="02020603050405020304" pitchFamily="18" charset="0"/>
              </a:rPr>
              <a:t>Knossos tombs chronological distribution</a:t>
            </a:r>
            <a:endParaRPr lang="it-IT" sz="12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mn-lt"/>
                <a:ea typeface="+mn-ea"/>
                <a:cs typeface="+mn-cs"/>
              </a:defRPr>
            </a:pPr>
            <a:endParaRPr lang="it-IT" sz="1400"/>
          </a:p>
        </c:rich>
      </c:tx>
      <c:layout/>
      <c:overlay val="0"/>
    </c:title>
    <c:autoTitleDeleted val="0"/>
    <c:plotArea>
      <c:layout/>
      <c:barChart>
        <c:barDir val="col"/>
        <c:grouping val="clustered"/>
        <c:varyColors val="0"/>
        <c:ser>
          <c:idx val="0"/>
          <c:order val="0"/>
          <c:tx>
            <c:strRef>
              <c:f>Foglio1!$F$1</c:f>
              <c:strCache>
                <c:ptCount val="1"/>
                <c:pt idx="0">
                  <c:v>Number of tombs</c:v>
                </c:pt>
              </c:strCache>
            </c:strRef>
          </c:tx>
          <c:invertIfNegative val="0"/>
          <c:cat>
            <c:strRef>
              <c:f>Foglio1!$E$2:$E$5</c:f>
              <c:strCache>
                <c:ptCount val="4"/>
                <c:pt idx="0">
                  <c:v>LM III A, IIIA1, IIIA2</c:v>
                </c:pt>
                <c:pt idx="1">
                  <c:v>LM IIIA2-B</c:v>
                </c:pt>
                <c:pt idx="2">
                  <c:v>LM IIIB, B1, B2</c:v>
                </c:pt>
                <c:pt idx="3">
                  <c:v>LM III A-B</c:v>
                </c:pt>
              </c:strCache>
            </c:strRef>
          </c:cat>
          <c:val>
            <c:numRef>
              <c:f>Foglio1!$F$2:$F$5</c:f>
              <c:numCache>
                <c:formatCode>General</c:formatCode>
                <c:ptCount val="4"/>
                <c:pt idx="0">
                  <c:v>9.0</c:v>
                </c:pt>
                <c:pt idx="1">
                  <c:v>3.0</c:v>
                </c:pt>
                <c:pt idx="2">
                  <c:v>12.0</c:v>
                </c:pt>
                <c:pt idx="3">
                  <c:v>3.0</c:v>
                </c:pt>
              </c:numCache>
            </c:numRef>
          </c:val>
          <c:extLst xmlns:c16r2="http://schemas.microsoft.com/office/drawing/2015/06/chart">
            <c:ext xmlns:c16="http://schemas.microsoft.com/office/drawing/2014/chart" uri="{C3380CC4-5D6E-409C-BE32-E72D297353CC}">
              <c16:uniqueId val="{00000000-8BD1-4800-8678-3AE09B8B74A0}"/>
            </c:ext>
          </c:extLst>
        </c:ser>
        <c:dLbls>
          <c:showLegendKey val="0"/>
          <c:showVal val="0"/>
          <c:showCatName val="0"/>
          <c:showSerName val="0"/>
          <c:showPercent val="0"/>
          <c:showBubbleSize val="0"/>
        </c:dLbls>
        <c:gapWidth val="150"/>
        <c:axId val="-2075956728"/>
        <c:axId val="-2007639640"/>
      </c:barChart>
      <c:catAx>
        <c:axId val="-2075956728"/>
        <c:scaling>
          <c:orientation val="minMax"/>
        </c:scaling>
        <c:delete val="0"/>
        <c:axPos val="b"/>
        <c:numFmt formatCode="General" sourceLinked="0"/>
        <c:majorTickMark val="out"/>
        <c:minorTickMark val="none"/>
        <c:tickLblPos val="nextTo"/>
        <c:crossAx val="-2007639640"/>
        <c:crosses val="autoZero"/>
        <c:auto val="1"/>
        <c:lblAlgn val="ctr"/>
        <c:lblOffset val="100"/>
        <c:noMultiLvlLbl val="0"/>
      </c:catAx>
      <c:valAx>
        <c:axId val="-2007639640"/>
        <c:scaling>
          <c:orientation val="minMax"/>
        </c:scaling>
        <c:delete val="0"/>
        <c:axPos val="l"/>
        <c:majorGridlines/>
        <c:numFmt formatCode="General" sourceLinked="1"/>
        <c:majorTickMark val="out"/>
        <c:minorTickMark val="none"/>
        <c:tickLblPos val="nextTo"/>
        <c:crossAx val="-207595672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400"/>
            </a:pPr>
            <a:r>
              <a:rPr lang="it-IT" sz="1200">
                <a:latin typeface="Times New Roman" panose="02020603050405020304" pitchFamily="18" charset="0"/>
                <a:cs typeface="Times New Roman" panose="02020603050405020304" pitchFamily="18" charset="0"/>
              </a:rPr>
              <a:t>LM</a:t>
            </a:r>
            <a:r>
              <a:rPr lang="it-IT" sz="1200" baseline="0">
                <a:latin typeface="Times New Roman" panose="02020603050405020304" pitchFamily="18" charset="0"/>
                <a:cs typeface="Times New Roman" panose="02020603050405020304" pitchFamily="18" charset="0"/>
              </a:rPr>
              <a:t> III burial locations in Central area</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(Foglio1!$F$69;Foglio1!$F$70;Foglio1!$F$71)</c:f>
              <c:strCache>
                <c:ptCount val="3"/>
                <c:pt idx="0">
                  <c:v>secure larnax interment</c:v>
                </c:pt>
                <c:pt idx="1">
                  <c:v>possible larnax interment</c:v>
                </c:pt>
                <c:pt idx="2">
                  <c:v>no larnax interment</c:v>
                </c:pt>
              </c:strCache>
            </c:strRef>
          </c:cat>
          <c:val>
            <c:numRef>
              <c:f>(Foglio1!$G$69;Foglio1!$G$70;Foglio1!$G$71)</c:f>
              <c:numCache>
                <c:formatCode>General</c:formatCode>
                <c:ptCount val="3"/>
                <c:pt idx="0">
                  <c:v>59.0</c:v>
                </c:pt>
                <c:pt idx="1">
                  <c:v>22.0</c:v>
                </c:pt>
                <c:pt idx="2">
                  <c:v>5.0</c:v>
                </c:pt>
              </c:numCache>
            </c:numRef>
          </c:val>
          <c:extLst xmlns:c16r2="http://schemas.microsoft.com/office/drawing/2015/06/chart">
            <c:ext xmlns:c16="http://schemas.microsoft.com/office/drawing/2014/chart" uri="{C3380CC4-5D6E-409C-BE32-E72D297353CC}">
              <c16:uniqueId val="{00000000-77C0-49A3-BBDF-BE9F24993BA2}"/>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it-IT" sz="1000" b="1" i="0" baseline="0">
                <a:effectLst/>
              </a:rPr>
              <a:t>Total number of tombs per cemetery with larnakes in Central area</a:t>
            </a:r>
            <a:endParaRPr lang="it-IT" sz="1000">
              <a:effectLst/>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it-IT"/>
          </a:p>
        </c:rich>
      </c:tx>
      <c:layout>
        <c:manualLayout>
          <c:xMode val="edge"/>
          <c:yMode val="edge"/>
          <c:x val="0.108329583802025"/>
          <c:y val="0.0388538125303545"/>
        </c:manualLayout>
      </c:layout>
      <c:overlay val="0"/>
    </c:title>
    <c:autoTitleDeleted val="0"/>
    <c:plotArea>
      <c:layout>
        <c:manualLayout>
          <c:layoutTarget val="inner"/>
          <c:xMode val="edge"/>
          <c:yMode val="edge"/>
          <c:x val="0.0280562364845904"/>
          <c:y val="0.184324565812252"/>
          <c:w val="0.778043752785619"/>
          <c:h val="0.388777821212065"/>
        </c:manualLayout>
      </c:layout>
      <c:barChart>
        <c:barDir val="col"/>
        <c:grouping val="clustered"/>
        <c:varyColors val="0"/>
        <c:ser>
          <c:idx val="0"/>
          <c:order val="0"/>
          <c:tx>
            <c:strRef>
              <c:f>Foglio1!$C$1</c:f>
              <c:strCache>
                <c:ptCount val="1"/>
                <c:pt idx="0">
                  <c:v>Number of tombs</c:v>
                </c:pt>
              </c:strCache>
            </c:strRef>
          </c:tx>
          <c:invertIfNegative val="0"/>
          <c:cat>
            <c:strRef>
              <c:f>Foglio1!$B$2:$B$44</c:f>
              <c:strCache>
                <c:ptCount val="43"/>
                <c:pt idx="0">
                  <c:v>AGIOS MYRON</c:v>
                </c:pt>
                <c:pt idx="1">
                  <c:v>AGIA PELAGIA</c:v>
                </c:pt>
                <c:pt idx="2">
                  <c:v>AGIOS SYLLAS</c:v>
                </c:pt>
                <c:pt idx="3">
                  <c:v>AMNISSOS KARTEROS</c:v>
                </c:pt>
                <c:pt idx="4">
                  <c:v>ANO VATHIA</c:v>
                </c:pt>
                <c:pt idx="5">
                  <c:v>ANOPOLIS</c:v>
                </c:pt>
                <c:pt idx="6">
                  <c:v>ARCHANES ANIPHOROS</c:v>
                </c:pt>
                <c:pt idx="7">
                  <c:v>ARCHANES KATSOPRINIAS</c:v>
                </c:pt>
                <c:pt idx="8">
                  <c:v>ARCHANES MESAMPELA</c:v>
                </c:pt>
                <c:pt idx="9">
                  <c:v>ARCHANES PHOURNI</c:v>
                </c:pt>
                <c:pt idx="10">
                  <c:v>ARKALOCHORI</c:v>
                </c:pt>
                <c:pt idx="11">
                  <c:v>ARTSA</c:v>
                </c:pt>
                <c:pt idx="12">
                  <c:v>ATHANATOI POTAMOS</c:v>
                </c:pt>
                <c:pt idx="13">
                  <c:v>DAMANIA</c:v>
                </c:pt>
                <c:pt idx="14">
                  <c:v>EPISKOPI PEDIADA</c:v>
                </c:pt>
                <c:pt idx="15">
                  <c:v>GAZI</c:v>
                </c:pt>
                <c:pt idx="16">
                  <c:v>GIOPHYRAKIA</c:v>
                </c:pt>
                <c:pt idx="17">
                  <c:v>GOURNES</c:v>
                </c:pt>
                <c:pt idx="18">
                  <c:v>GOUVES SYKIA</c:v>
                </c:pt>
                <c:pt idx="19">
                  <c:v>KARNARI </c:v>
                </c:pt>
                <c:pt idx="20">
                  <c:v>KASANOI</c:v>
                </c:pt>
                <c:pt idx="21">
                  <c:v>KAVROCHORI</c:v>
                </c:pt>
                <c:pt idx="22">
                  <c:v>KYPARISSI VATHIA</c:v>
                </c:pt>
                <c:pt idx="23">
                  <c:v>LIGORTYNO</c:v>
                </c:pt>
                <c:pt idx="24">
                  <c:v>MELESES</c:v>
                </c:pt>
                <c:pt idx="25">
                  <c:v>METOCHI KALOU</c:v>
                </c:pt>
                <c:pt idx="26">
                  <c:v>MONI</c:v>
                </c:pt>
                <c:pt idx="27">
                  <c:v>NIROU CHANI PHRANGOULI</c:v>
                </c:pt>
                <c:pt idx="28">
                  <c:v>NIROU CHANI VATHEIANOS KAMPOS</c:v>
                </c:pt>
                <c:pt idx="29">
                  <c:v>PENTAMODI</c:v>
                </c:pt>
                <c:pt idx="30">
                  <c:v>PHOINIKIA</c:v>
                </c:pt>
                <c:pt idx="31">
                  <c:v>PREVELIANA</c:v>
                </c:pt>
                <c:pt idx="32">
                  <c:v>SIVA</c:v>
                </c:pt>
                <c:pt idx="33">
                  <c:v>SKOTEINO</c:v>
                </c:pt>
                <c:pt idx="34">
                  <c:v>SMARI</c:v>
                </c:pt>
                <c:pt idx="35">
                  <c:v>STAMNOI </c:v>
                </c:pt>
                <c:pt idx="36">
                  <c:v>STAVRAKIA XYLANGOURI</c:v>
                </c:pt>
                <c:pt idx="37">
                  <c:v>TEFELI KALYVORYAKAS</c:v>
                </c:pt>
                <c:pt idx="38">
                  <c:v>THRAPSANO</c:v>
                </c:pt>
                <c:pt idx="39">
                  <c:v>TYLISSOS</c:v>
                </c:pt>
                <c:pt idx="40">
                  <c:v>TZINGOUNAS</c:v>
                </c:pt>
                <c:pt idx="41">
                  <c:v>TZORMPATZANA</c:v>
                </c:pt>
                <c:pt idx="42">
                  <c:v>VORITSI</c:v>
                </c:pt>
              </c:strCache>
            </c:strRef>
          </c:cat>
          <c:val>
            <c:numRef>
              <c:f>Foglio1!$C$2:$C$44</c:f>
              <c:numCache>
                <c:formatCode>General</c:formatCode>
                <c:ptCount val="43"/>
                <c:pt idx="0">
                  <c:v>1.0</c:v>
                </c:pt>
                <c:pt idx="1">
                  <c:v>1.0</c:v>
                </c:pt>
                <c:pt idx="2">
                  <c:v>11.0</c:v>
                </c:pt>
                <c:pt idx="3">
                  <c:v>2.0</c:v>
                </c:pt>
                <c:pt idx="4">
                  <c:v>2.0</c:v>
                </c:pt>
                <c:pt idx="5">
                  <c:v>3.0</c:v>
                </c:pt>
                <c:pt idx="6">
                  <c:v>2.0</c:v>
                </c:pt>
                <c:pt idx="7">
                  <c:v>1.0</c:v>
                </c:pt>
                <c:pt idx="8">
                  <c:v>1.0</c:v>
                </c:pt>
                <c:pt idx="9">
                  <c:v>14.0</c:v>
                </c:pt>
                <c:pt idx="10">
                  <c:v>1.0</c:v>
                </c:pt>
                <c:pt idx="11">
                  <c:v>1.0</c:v>
                </c:pt>
                <c:pt idx="12">
                  <c:v>2.0</c:v>
                </c:pt>
                <c:pt idx="13">
                  <c:v>1.0</c:v>
                </c:pt>
                <c:pt idx="14">
                  <c:v>17.0</c:v>
                </c:pt>
                <c:pt idx="15">
                  <c:v>4.0</c:v>
                </c:pt>
                <c:pt idx="16">
                  <c:v>1.0</c:v>
                </c:pt>
                <c:pt idx="17">
                  <c:v>6.0</c:v>
                </c:pt>
                <c:pt idx="18">
                  <c:v>1.0</c:v>
                </c:pt>
                <c:pt idx="19">
                  <c:v>5.0</c:v>
                </c:pt>
                <c:pt idx="20">
                  <c:v>3.0</c:v>
                </c:pt>
                <c:pt idx="21">
                  <c:v>4.0</c:v>
                </c:pt>
                <c:pt idx="22">
                  <c:v>3.0</c:v>
                </c:pt>
                <c:pt idx="23">
                  <c:v>2.0</c:v>
                </c:pt>
                <c:pt idx="24">
                  <c:v>1.0</c:v>
                </c:pt>
                <c:pt idx="25">
                  <c:v>5.0</c:v>
                </c:pt>
                <c:pt idx="26">
                  <c:v>1.0</c:v>
                </c:pt>
                <c:pt idx="27">
                  <c:v>1.0</c:v>
                </c:pt>
                <c:pt idx="28">
                  <c:v>1.0</c:v>
                </c:pt>
                <c:pt idx="29">
                  <c:v>1.0</c:v>
                </c:pt>
                <c:pt idx="30">
                  <c:v>2.0</c:v>
                </c:pt>
                <c:pt idx="31">
                  <c:v>1.0</c:v>
                </c:pt>
                <c:pt idx="32">
                  <c:v>1.0</c:v>
                </c:pt>
                <c:pt idx="33">
                  <c:v>1.0</c:v>
                </c:pt>
                <c:pt idx="34">
                  <c:v>2.0</c:v>
                </c:pt>
                <c:pt idx="35">
                  <c:v>8.0</c:v>
                </c:pt>
                <c:pt idx="36">
                  <c:v>1.0</c:v>
                </c:pt>
                <c:pt idx="37">
                  <c:v>1.0</c:v>
                </c:pt>
                <c:pt idx="38">
                  <c:v>1.0</c:v>
                </c:pt>
                <c:pt idx="39">
                  <c:v>1.0</c:v>
                </c:pt>
                <c:pt idx="40">
                  <c:v>2.0</c:v>
                </c:pt>
                <c:pt idx="41">
                  <c:v>2.0</c:v>
                </c:pt>
                <c:pt idx="42">
                  <c:v>1.0</c:v>
                </c:pt>
              </c:numCache>
            </c:numRef>
          </c:val>
          <c:extLst xmlns:c16r2="http://schemas.microsoft.com/office/drawing/2015/06/chart">
            <c:ext xmlns:c16="http://schemas.microsoft.com/office/drawing/2014/chart" uri="{C3380CC4-5D6E-409C-BE32-E72D297353CC}">
              <c16:uniqueId val="{00000000-3896-4030-A972-6EBACFB84541}"/>
            </c:ext>
          </c:extLst>
        </c:ser>
        <c:dLbls>
          <c:showLegendKey val="0"/>
          <c:showVal val="0"/>
          <c:showCatName val="0"/>
          <c:showSerName val="0"/>
          <c:showPercent val="0"/>
          <c:showBubbleSize val="0"/>
        </c:dLbls>
        <c:gapWidth val="150"/>
        <c:axId val="-2061435576"/>
        <c:axId val="-2007633720"/>
      </c:barChart>
      <c:catAx>
        <c:axId val="-2061435576"/>
        <c:scaling>
          <c:orientation val="minMax"/>
        </c:scaling>
        <c:delete val="0"/>
        <c:axPos val="b"/>
        <c:numFmt formatCode="General" sourceLinked="0"/>
        <c:majorTickMark val="out"/>
        <c:minorTickMark val="none"/>
        <c:tickLblPos val="nextTo"/>
        <c:txPr>
          <a:bodyPr/>
          <a:lstStyle/>
          <a:p>
            <a:pPr>
              <a:defRPr sz="800"/>
            </a:pPr>
            <a:endParaRPr lang="it-IT"/>
          </a:p>
        </c:txPr>
        <c:crossAx val="-2007633720"/>
        <c:crosses val="autoZero"/>
        <c:auto val="1"/>
        <c:lblAlgn val="ctr"/>
        <c:lblOffset val="100"/>
        <c:noMultiLvlLbl val="0"/>
      </c:catAx>
      <c:valAx>
        <c:axId val="-2007633720"/>
        <c:scaling>
          <c:orientation val="minMax"/>
        </c:scaling>
        <c:delete val="0"/>
        <c:axPos val="l"/>
        <c:majorGridlines/>
        <c:numFmt formatCode="General" sourceLinked="1"/>
        <c:majorTickMark val="out"/>
        <c:minorTickMark val="none"/>
        <c:tickLblPos val="nextTo"/>
        <c:txPr>
          <a:bodyPr/>
          <a:lstStyle/>
          <a:p>
            <a:pPr>
              <a:defRPr sz="800"/>
            </a:pPr>
            <a:endParaRPr lang="it-IT"/>
          </a:p>
        </c:txPr>
        <c:crossAx val="-2061435576"/>
        <c:crosses val="autoZero"/>
        <c:crossBetween val="between"/>
      </c:valAx>
    </c:plotArea>
    <c:legend>
      <c:legendPos val="r"/>
      <c:layout>
        <c:manualLayout>
          <c:xMode val="edge"/>
          <c:yMode val="edge"/>
          <c:x val="0.790293486041518"/>
          <c:y val="0.757637167863977"/>
          <c:w val="0.184932820897388"/>
          <c:h val="0.164261797952547"/>
        </c:manualLayout>
      </c:layout>
      <c:overlay val="0"/>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it-IT" sz="1200" b="1" i="0" baseline="0">
                <a:effectLst/>
                <a:latin typeface="Times New Roman" panose="02020603050405020304" pitchFamily="18" charset="0"/>
                <a:cs typeface="Times New Roman" panose="02020603050405020304" pitchFamily="18" charset="0"/>
              </a:rPr>
              <a:t>Larnax burial distribution in Central area according to the percentage of tombs showing larnax burials</a:t>
            </a:r>
            <a:endParaRPr lang="it-IT"/>
          </a:p>
        </c:rich>
      </c:tx>
      <c:layout>
        <c:manualLayout>
          <c:xMode val="edge"/>
          <c:yMode val="edge"/>
          <c:x val="0.12521019247594"/>
          <c:y val="0.0462962962962963"/>
        </c:manualLayout>
      </c:layout>
      <c:overlay val="0"/>
    </c:title>
    <c:autoTitleDeleted val="0"/>
    <c:plotArea>
      <c:layout/>
      <c:pieChart>
        <c:varyColors val="1"/>
        <c:ser>
          <c:idx val="0"/>
          <c:order val="0"/>
          <c:dLbls>
            <c:spPr>
              <a:noFill/>
              <a:ln>
                <a:noFill/>
              </a:ln>
              <a:effectLst/>
            </c:spPr>
            <c:txPr>
              <a:bodyPr/>
              <a:lstStyle/>
              <a:p>
                <a:pPr>
                  <a:defRPr sz="800"/>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(Foglio1!$B$1;Foglio1!$C$1)</c:f>
              <c:strCache>
                <c:ptCount val="2"/>
                <c:pt idx="0">
                  <c:v> TOMBS WITH LARNAKES</c:v>
                </c:pt>
                <c:pt idx="1">
                  <c:v>TOMBS WITHOUT LARNAKES</c:v>
                </c:pt>
              </c:strCache>
            </c:strRef>
          </c:cat>
          <c:val>
            <c:numRef>
              <c:f>(Foglio1!$B$44;Foglio1!$C$44)</c:f>
              <c:numCache>
                <c:formatCode>General</c:formatCode>
                <c:ptCount val="2"/>
                <c:pt idx="0">
                  <c:v>91.0</c:v>
                </c:pt>
                <c:pt idx="1">
                  <c:v>29.0</c:v>
                </c:pt>
              </c:numCache>
            </c:numRef>
          </c:val>
          <c:extLst xmlns:c16r2="http://schemas.microsoft.com/office/drawing/2015/06/chart">
            <c:ext xmlns:c16="http://schemas.microsoft.com/office/drawing/2014/chart" uri="{C3380CC4-5D6E-409C-BE32-E72D297353CC}">
              <c16:uniqueId val="{00000000-1801-4364-815B-DDE0D0168906}"/>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sz="800"/>
          </a:pPr>
          <a:endParaRPr lang="it-IT"/>
        </a:p>
      </c:txPr>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Foglio1!$B$1</c:f>
              <c:strCache>
                <c:ptCount val="1"/>
                <c:pt idx="0">
                  <c:v> TOMBS WITH LARNAKES</c:v>
                </c:pt>
              </c:strCache>
            </c:strRef>
          </c:tx>
          <c:invertIfNegative val="0"/>
          <c:cat>
            <c:strRef>
              <c:f>Foglio1!$A$2:$A$44</c:f>
              <c:strCache>
                <c:ptCount val="43"/>
                <c:pt idx="0">
                  <c:v>AGIOS MYRON</c:v>
                </c:pt>
                <c:pt idx="1">
                  <c:v>AGIA PELAGIA</c:v>
                </c:pt>
                <c:pt idx="2">
                  <c:v>AGIOS SYLLAS</c:v>
                </c:pt>
                <c:pt idx="3">
                  <c:v>AMNISSOS KARTEROS</c:v>
                </c:pt>
                <c:pt idx="4">
                  <c:v>ANO VATHIA</c:v>
                </c:pt>
                <c:pt idx="5">
                  <c:v>ANOPOLIS</c:v>
                </c:pt>
                <c:pt idx="6">
                  <c:v>ARCHANES ANIPHOROS</c:v>
                </c:pt>
                <c:pt idx="7">
                  <c:v>ARCHANES KATSOPRINIAS</c:v>
                </c:pt>
                <c:pt idx="8">
                  <c:v>ARCHANES MESAMPELA</c:v>
                </c:pt>
                <c:pt idx="9">
                  <c:v>ARCHANES PHOURNI</c:v>
                </c:pt>
                <c:pt idx="10">
                  <c:v>ARKALOCHORI</c:v>
                </c:pt>
                <c:pt idx="11">
                  <c:v>ARTSA</c:v>
                </c:pt>
                <c:pt idx="12">
                  <c:v>ATHANATOI POTAMOS</c:v>
                </c:pt>
                <c:pt idx="13">
                  <c:v>DAMANIA</c:v>
                </c:pt>
                <c:pt idx="14">
                  <c:v>EPISKOPI PEDIADA</c:v>
                </c:pt>
                <c:pt idx="15">
                  <c:v>GAZI</c:v>
                </c:pt>
                <c:pt idx="16">
                  <c:v>GIOPHYRAKIA</c:v>
                </c:pt>
                <c:pt idx="17">
                  <c:v>GOURNES</c:v>
                </c:pt>
                <c:pt idx="18">
                  <c:v>GOUVES SYKIA</c:v>
                </c:pt>
                <c:pt idx="19">
                  <c:v>KARNARI </c:v>
                </c:pt>
                <c:pt idx="20">
                  <c:v>KASANOI</c:v>
                </c:pt>
                <c:pt idx="21">
                  <c:v>KAVROCHORI</c:v>
                </c:pt>
                <c:pt idx="22">
                  <c:v>KYPARISSI VATHIA</c:v>
                </c:pt>
                <c:pt idx="23">
                  <c:v>LIGORTYNO</c:v>
                </c:pt>
                <c:pt idx="24">
                  <c:v>MELESES</c:v>
                </c:pt>
                <c:pt idx="25">
                  <c:v>METOCHI KALOU</c:v>
                </c:pt>
                <c:pt idx="26">
                  <c:v>MONI</c:v>
                </c:pt>
                <c:pt idx="27">
                  <c:v>NIROU CHANI PHRANGOULI</c:v>
                </c:pt>
                <c:pt idx="28">
                  <c:v>NIROU CHANI VATHEIANOS KAMPOS</c:v>
                </c:pt>
                <c:pt idx="29">
                  <c:v>PENTAMODI</c:v>
                </c:pt>
                <c:pt idx="30">
                  <c:v>PHOINIKIA</c:v>
                </c:pt>
                <c:pt idx="31">
                  <c:v>PREVELIANA</c:v>
                </c:pt>
                <c:pt idx="32">
                  <c:v>SIVA</c:v>
                </c:pt>
                <c:pt idx="33">
                  <c:v>SKOTEINO</c:v>
                </c:pt>
                <c:pt idx="34">
                  <c:v>SMARI</c:v>
                </c:pt>
                <c:pt idx="35">
                  <c:v>STAMNOI </c:v>
                </c:pt>
                <c:pt idx="36">
                  <c:v>STAVRAKIA XYLANGOURI</c:v>
                </c:pt>
                <c:pt idx="37">
                  <c:v>TEFELI KALYVORYAKAS</c:v>
                </c:pt>
                <c:pt idx="38">
                  <c:v>THRAPSANO</c:v>
                </c:pt>
                <c:pt idx="39">
                  <c:v>TYLISSOS</c:v>
                </c:pt>
                <c:pt idx="40">
                  <c:v>TZINGOUNAS</c:v>
                </c:pt>
                <c:pt idx="41">
                  <c:v>TZORMPATZANA</c:v>
                </c:pt>
                <c:pt idx="42">
                  <c:v>VORITSI</c:v>
                </c:pt>
              </c:strCache>
            </c:strRef>
          </c:cat>
          <c:val>
            <c:numRef>
              <c:f>Foglio1!$B$2:$B$44</c:f>
              <c:numCache>
                <c:formatCode>General</c:formatCode>
                <c:ptCount val="43"/>
                <c:pt idx="0">
                  <c:v>1.0</c:v>
                </c:pt>
                <c:pt idx="1">
                  <c:v>1.0</c:v>
                </c:pt>
                <c:pt idx="2">
                  <c:v>5.0</c:v>
                </c:pt>
                <c:pt idx="3">
                  <c:v>1.0</c:v>
                </c:pt>
                <c:pt idx="4">
                  <c:v>2.0</c:v>
                </c:pt>
                <c:pt idx="5">
                  <c:v>2.0</c:v>
                </c:pt>
                <c:pt idx="6">
                  <c:v>2.0</c:v>
                </c:pt>
                <c:pt idx="7">
                  <c:v>1.0</c:v>
                </c:pt>
                <c:pt idx="8">
                  <c:v>1.0</c:v>
                </c:pt>
                <c:pt idx="9">
                  <c:v>11.0</c:v>
                </c:pt>
                <c:pt idx="10">
                  <c:v>1.0</c:v>
                </c:pt>
                <c:pt idx="11">
                  <c:v>1.0</c:v>
                </c:pt>
                <c:pt idx="12">
                  <c:v>1.0</c:v>
                </c:pt>
                <c:pt idx="13">
                  <c:v>1.0</c:v>
                </c:pt>
                <c:pt idx="14">
                  <c:v>12.0</c:v>
                </c:pt>
                <c:pt idx="15">
                  <c:v>4.0</c:v>
                </c:pt>
                <c:pt idx="16">
                  <c:v>1.0</c:v>
                </c:pt>
                <c:pt idx="17">
                  <c:v>6.0</c:v>
                </c:pt>
                <c:pt idx="18">
                  <c:v>1.0</c:v>
                </c:pt>
                <c:pt idx="19">
                  <c:v>3.0</c:v>
                </c:pt>
                <c:pt idx="20">
                  <c:v>3.0</c:v>
                </c:pt>
                <c:pt idx="21">
                  <c:v>1.0</c:v>
                </c:pt>
                <c:pt idx="22">
                  <c:v>3.0</c:v>
                </c:pt>
                <c:pt idx="23">
                  <c:v>2.0</c:v>
                </c:pt>
                <c:pt idx="24">
                  <c:v>1.0</c:v>
                </c:pt>
                <c:pt idx="25">
                  <c:v>5.0</c:v>
                </c:pt>
                <c:pt idx="26">
                  <c:v>1.0</c:v>
                </c:pt>
                <c:pt idx="27">
                  <c:v>1.0</c:v>
                </c:pt>
                <c:pt idx="28">
                  <c:v>1.0</c:v>
                </c:pt>
                <c:pt idx="29">
                  <c:v>1.0</c:v>
                </c:pt>
                <c:pt idx="30">
                  <c:v>2.0</c:v>
                </c:pt>
                <c:pt idx="31">
                  <c:v>1.0</c:v>
                </c:pt>
                <c:pt idx="32">
                  <c:v>1.0</c:v>
                </c:pt>
                <c:pt idx="33">
                  <c:v>1.0</c:v>
                </c:pt>
                <c:pt idx="34">
                  <c:v>2.0</c:v>
                </c:pt>
                <c:pt idx="35">
                  <c:v>2.0</c:v>
                </c:pt>
                <c:pt idx="36">
                  <c:v>1.0</c:v>
                </c:pt>
                <c:pt idx="37">
                  <c:v>1.0</c:v>
                </c:pt>
                <c:pt idx="38">
                  <c:v>1.0</c:v>
                </c:pt>
                <c:pt idx="39">
                  <c:v>1.0</c:v>
                </c:pt>
                <c:pt idx="40">
                  <c:v>2.0</c:v>
                </c:pt>
                <c:pt idx="41">
                  <c:v>1.0</c:v>
                </c:pt>
                <c:pt idx="42">
                  <c:v>1.0</c:v>
                </c:pt>
              </c:numCache>
            </c:numRef>
          </c:val>
          <c:extLst xmlns:c16r2="http://schemas.microsoft.com/office/drawing/2015/06/chart">
            <c:ext xmlns:c16="http://schemas.microsoft.com/office/drawing/2014/chart" uri="{C3380CC4-5D6E-409C-BE32-E72D297353CC}">
              <c16:uniqueId val="{00000000-7A56-4E69-92A1-311D939D1168}"/>
            </c:ext>
          </c:extLst>
        </c:ser>
        <c:ser>
          <c:idx val="1"/>
          <c:order val="1"/>
          <c:tx>
            <c:strRef>
              <c:f>Foglio1!$C$1</c:f>
              <c:strCache>
                <c:ptCount val="1"/>
                <c:pt idx="0">
                  <c:v>TOMBS WITHOUT LARNAKES</c:v>
                </c:pt>
              </c:strCache>
            </c:strRef>
          </c:tx>
          <c:invertIfNegative val="0"/>
          <c:cat>
            <c:strRef>
              <c:f>Foglio1!$A$2:$A$44</c:f>
              <c:strCache>
                <c:ptCount val="43"/>
                <c:pt idx="0">
                  <c:v>AGIOS MYRON</c:v>
                </c:pt>
                <c:pt idx="1">
                  <c:v>AGIA PELAGIA</c:v>
                </c:pt>
                <c:pt idx="2">
                  <c:v>AGIOS SYLLAS</c:v>
                </c:pt>
                <c:pt idx="3">
                  <c:v>AMNISSOS KARTEROS</c:v>
                </c:pt>
                <c:pt idx="4">
                  <c:v>ANO VATHIA</c:v>
                </c:pt>
                <c:pt idx="5">
                  <c:v>ANOPOLIS</c:v>
                </c:pt>
                <c:pt idx="6">
                  <c:v>ARCHANES ANIPHOROS</c:v>
                </c:pt>
                <c:pt idx="7">
                  <c:v>ARCHANES KATSOPRINIAS</c:v>
                </c:pt>
                <c:pt idx="8">
                  <c:v>ARCHANES MESAMPELA</c:v>
                </c:pt>
                <c:pt idx="9">
                  <c:v>ARCHANES PHOURNI</c:v>
                </c:pt>
                <c:pt idx="10">
                  <c:v>ARKALOCHORI</c:v>
                </c:pt>
                <c:pt idx="11">
                  <c:v>ARTSA</c:v>
                </c:pt>
                <c:pt idx="12">
                  <c:v>ATHANATOI POTAMOS</c:v>
                </c:pt>
                <c:pt idx="13">
                  <c:v>DAMANIA</c:v>
                </c:pt>
                <c:pt idx="14">
                  <c:v>EPISKOPI PEDIADA</c:v>
                </c:pt>
                <c:pt idx="15">
                  <c:v>GAZI</c:v>
                </c:pt>
                <c:pt idx="16">
                  <c:v>GIOPHYRAKIA</c:v>
                </c:pt>
                <c:pt idx="17">
                  <c:v>GOURNES</c:v>
                </c:pt>
                <c:pt idx="18">
                  <c:v>GOUVES SYKIA</c:v>
                </c:pt>
                <c:pt idx="19">
                  <c:v>KARNARI </c:v>
                </c:pt>
                <c:pt idx="20">
                  <c:v>KASANOI</c:v>
                </c:pt>
                <c:pt idx="21">
                  <c:v>KAVROCHORI</c:v>
                </c:pt>
                <c:pt idx="22">
                  <c:v>KYPARISSI VATHIA</c:v>
                </c:pt>
                <c:pt idx="23">
                  <c:v>LIGORTYNO</c:v>
                </c:pt>
                <c:pt idx="24">
                  <c:v>MELESES</c:v>
                </c:pt>
                <c:pt idx="25">
                  <c:v>METOCHI KALOU</c:v>
                </c:pt>
                <c:pt idx="26">
                  <c:v>MONI</c:v>
                </c:pt>
                <c:pt idx="27">
                  <c:v>NIROU CHANI PHRANGOULI</c:v>
                </c:pt>
                <c:pt idx="28">
                  <c:v>NIROU CHANI VATHEIANOS KAMPOS</c:v>
                </c:pt>
                <c:pt idx="29">
                  <c:v>PENTAMODI</c:v>
                </c:pt>
                <c:pt idx="30">
                  <c:v>PHOINIKIA</c:v>
                </c:pt>
                <c:pt idx="31">
                  <c:v>PREVELIANA</c:v>
                </c:pt>
                <c:pt idx="32">
                  <c:v>SIVA</c:v>
                </c:pt>
                <c:pt idx="33">
                  <c:v>SKOTEINO</c:v>
                </c:pt>
                <c:pt idx="34">
                  <c:v>SMARI</c:v>
                </c:pt>
                <c:pt idx="35">
                  <c:v>STAMNOI </c:v>
                </c:pt>
                <c:pt idx="36">
                  <c:v>STAVRAKIA XYLANGOURI</c:v>
                </c:pt>
                <c:pt idx="37">
                  <c:v>TEFELI KALYVORYAKAS</c:v>
                </c:pt>
                <c:pt idx="38">
                  <c:v>THRAPSANO</c:v>
                </c:pt>
                <c:pt idx="39">
                  <c:v>TYLISSOS</c:v>
                </c:pt>
                <c:pt idx="40">
                  <c:v>TZINGOUNAS</c:v>
                </c:pt>
                <c:pt idx="41">
                  <c:v>TZORMPATZANA</c:v>
                </c:pt>
                <c:pt idx="42">
                  <c:v>VORITSI</c:v>
                </c:pt>
              </c:strCache>
            </c:strRef>
          </c:cat>
          <c:val>
            <c:numRef>
              <c:f>Foglio1!$C$2:$C$44</c:f>
              <c:numCache>
                <c:formatCode>General</c:formatCode>
                <c:ptCount val="43"/>
                <c:pt idx="0">
                  <c:v>0.0</c:v>
                </c:pt>
                <c:pt idx="1">
                  <c:v>0.0</c:v>
                </c:pt>
                <c:pt idx="2">
                  <c:v>6.0</c:v>
                </c:pt>
                <c:pt idx="3">
                  <c:v>1.0</c:v>
                </c:pt>
                <c:pt idx="4">
                  <c:v>0.0</c:v>
                </c:pt>
                <c:pt idx="5">
                  <c:v>1.0</c:v>
                </c:pt>
                <c:pt idx="6">
                  <c:v>0.0</c:v>
                </c:pt>
                <c:pt idx="7">
                  <c:v>0.0</c:v>
                </c:pt>
                <c:pt idx="8">
                  <c:v>0.0</c:v>
                </c:pt>
                <c:pt idx="9">
                  <c:v>3.0</c:v>
                </c:pt>
                <c:pt idx="10">
                  <c:v>0.0</c:v>
                </c:pt>
                <c:pt idx="11">
                  <c:v>0.0</c:v>
                </c:pt>
                <c:pt idx="12">
                  <c:v>1.0</c:v>
                </c:pt>
                <c:pt idx="13">
                  <c:v>0.0</c:v>
                </c:pt>
                <c:pt idx="14">
                  <c:v>5.0</c:v>
                </c:pt>
                <c:pt idx="15">
                  <c:v>0.0</c:v>
                </c:pt>
                <c:pt idx="16">
                  <c:v>0.0</c:v>
                </c:pt>
                <c:pt idx="17">
                  <c:v>0.0</c:v>
                </c:pt>
                <c:pt idx="18">
                  <c:v>0.0</c:v>
                </c:pt>
                <c:pt idx="19">
                  <c:v>2.0</c:v>
                </c:pt>
                <c:pt idx="20">
                  <c:v>0.0</c:v>
                </c:pt>
                <c:pt idx="21">
                  <c:v>3.0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6.0</c:v>
                </c:pt>
                <c:pt idx="36">
                  <c:v>0.0</c:v>
                </c:pt>
                <c:pt idx="37">
                  <c:v>0.0</c:v>
                </c:pt>
                <c:pt idx="38">
                  <c:v>0.0</c:v>
                </c:pt>
                <c:pt idx="39">
                  <c:v>0.0</c:v>
                </c:pt>
                <c:pt idx="40">
                  <c:v>0.0</c:v>
                </c:pt>
                <c:pt idx="41">
                  <c:v>1.0</c:v>
                </c:pt>
                <c:pt idx="42">
                  <c:v>0.0</c:v>
                </c:pt>
              </c:numCache>
            </c:numRef>
          </c:val>
          <c:extLst xmlns:c16r2="http://schemas.microsoft.com/office/drawing/2015/06/chart">
            <c:ext xmlns:c16="http://schemas.microsoft.com/office/drawing/2014/chart" uri="{C3380CC4-5D6E-409C-BE32-E72D297353CC}">
              <c16:uniqueId val="{00000001-7A56-4E69-92A1-311D939D1168}"/>
            </c:ext>
          </c:extLst>
        </c:ser>
        <c:dLbls>
          <c:showLegendKey val="0"/>
          <c:showVal val="0"/>
          <c:showCatName val="0"/>
          <c:showSerName val="0"/>
          <c:showPercent val="0"/>
          <c:showBubbleSize val="0"/>
        </c:dLbls>
        <c:gapWidth val="150"/>
        <c:axId val="-2007972376"/>
        <c:axId val="-2007969464"/>
      </c:barChart>
      <c:catAx>
        <c:axId val="-2007972376"/>
        <c:scaling>
          <c:orientation val="minMax"/>
        </c:scaling>
        <c:delete val="0"/>
        <c:axPos val="b"/>
        <c:numFmt formatCode="General" sourceLinked="0"/>
        <c:majorTickMark val="out"/>
        <c:minorTickMark val="none"/>
        <c:tickLblPos val="nextTo"/>
        <c:txPr>
          <a:bodyPr/>
          <a:lstStyle/>
          <a:p>
            <a:pPr>
              <a:defRPr sz="800"/>
            </a:pPr>
            <a:endParaRPr lang="it-IT"/>
          </a:p>
        </c:txPr>
        <c:crossAx val="-2007969464"/>
        <c:crosses val="autoZero"/>
        <c:auto val="1"/>
        <c:lblAlgn val="ctr"/>
        <c:lblOffset val="100"/>
        <c:noMultiLvlLbl val="0"/>
      </c:catAx>
      <c:valAx>
        <c:axId val="-2007969464"/>
        <c:scaling>
          <c:orientation val="minMax"/>
        </c:scaling>
        <c:delete val="0"/>
        <c:axPos val="l"/>
        <c:majorGridlines/>
        <c:numFmt formatCode="General" sourceLinked="1"/>
        <c:majorTickMark val="out"/>
        <c:minorTickMark val="none"/>
        <c:tickLblPos val="nextTo"/>
        <c:crossAx val="-2007972376"/>
        <c:crosses val="autoZero"/>
        <c:crossBetween val="between"/>
      </c:valAx>
    </c:plotArea>
    <c:legend>
      <c:legendPos val="r"/>
      <c:layout>
        <c:manualLayout>
          <c:xMode val="edge"/>
          <c:yMode val="edge"/>
          <c:x val="0.773595075477444"/>
          <c:y val="0.434639943959101"/>
          <c:w val="0.165631443859573"/>
          <c:h val="0.404458349891892"/>
        </c:manualLayout>
      </c:layout>
      <c:overlay val="0"/>
      <c:txPr>
        <a:bodyPr/>
        <a:lstStyle/>
        <a:p>
          <a:pPr>
            <a:defRPr sz="800"/>
          </a:pPr>
          <a:endParaRPr lang="it-IT"/>
        </a:p>
      </c:txPr>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it-IT" sz="1200" b="1" i="0" baseline="0">
                <a:effectLst/>
                <a:latin typeface="Times New Roman" panose="02020603050405020304" pitchFamily="18" charset="0"/>
                <a:cs typeface="Times New Roman" panose="02020603050405020304" pitchFamily="18" charset="0"/>
              </a:rPr>
              <a:t>Tomb types associated with larnax burials, Central area</a:t>
            </a:r>
            <a:endParaRPr lang="it-IT" sz="12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it-IT" sz="1000"/>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(Foglio1!$C$1;Foglio1!$D$1;Foglio1!$E$1;Foglio1!$F$1;Foglio1!$G$1;Foglio1!$H$1)</c:f>
              <c:strCache>
                <c:ptCount val="6"/>
                <c:pt idx="0">
                  <c:v>CHAMBER TOMBS</c:v>
                </c:pt>
                <c:pt idx="1">
                  <c:v>CORBEL VAULTED</c:v>
                </c:pt>
                <c:pt idx="2">
                  <c:v>SHAFT GRAVE</c:v>
                </c:pt>
                <c:pt idx="3">
                  <c:v>PIT</c:v>
                </c:pt>
                <c:pt idx="4">
                  <c:v>NA</c:v>
                </c:pt>
                <c:pt idx="5">
                  <c:v>BUILT TOMB</c:v>
                </c:pt>
              </c:strCache>
            </c:strRef>
          </c:cat>
          <c:val>
            <c:numRef>
              <c:f>(Foglio1!$C$61;Foglio1!$D$61;Foglio1!$E$61;Foglio1!$F$61;Foglio1!$G$61;Foglio1!$H$61)</c:f>
              <c:numCache>
                <c:formatCode>General</c:formatCode>
                <c:ptCount val="6"/>
                <c:pt idx="0">
                  <c:v>66.0</c:v>
                </c:pt>
                <c:pt idx="1">
                  <c:v>3.0</c:v>
                </c:pt>
                <c:pt idx="2">
                  <c:v>2.0</c:v>
                </c:pt>
                <c:pt idx="3">
                  <c:v>9.0</c:v>
                </c:pt>
                <c:pt idx="4">
                  <c:v>11.0</c:v>
                </c:pt>
                <c:pt idx="5">
                  <c:v>2.0</c:v>
                </c:pt>
              </c:numCache>
            </c:numRef>
          </c:val>
          <c:extLst xmlns:c16r2="http://schemas.microsoft.com/office/drawing/2015/06/chart">
            <c:ext xmlns:c16="http://schemas.microsoft.com/office/drawing/2014/chart" uri="{C3380CC4-5D6E-409C-BE32-E72D297353CC}">
              <c16:uniqueId val="{00000000-C407-4FE0-83DD-15C27659ADE1}"/>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Foglio1!$A$101:$A$103</c:f>
              <c:strCache>
                <c:ptCount val="3"/>
                <c:pt idx="0">
                  <c:v>No. tombs asscociated with other types of burials</c:v>
                </c:pt>
                <c:pt idx="1">
                  <c:v>No. tombs with only larnakes</c:v>
                </c:pt>
                <c:pt idx="2">
                  <c:v>No. tombs no info</c:v>
                </c:pt>
              </c:strCache>
            </c:strRef>
          </c:cat>
          <c:val>
            <c:numRef>
              <c:f>Foglio1!$B$101:$B$103</c:f>
              <c:numCache>
                <c:formatCode>General</c:formatCode>
                <c:ptCount val="3"/>
                <c:pt idx="0">
                  <c:v>23.0</c:v>
                </c:pt>
                <c:pt idx="1">
                  <c:v>31.0</c:v>
                </c:pt>
                <c:pt idx="2">
                  <c:v>40.0</c:v>
                </c:pt>
              </c:numCache>
            </c:numRef>
          </c:val>
          <c:extLst xmlns:c16r2="http://schemas.microsoft.com/office/drawing/2015/06/chart">
            <c:ext xmlns:c16="http://schemas.microsoft.com/office/drawing/2014/chart" uri="{C3380CC4-5D6E-409C-BE32-E72D297353CC}">
              <c16:uniqueId val="{00000000-3004-4DDC-9C9B-6AF47342FD62}"/>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it-IT" sz="1200" b="1" i="0" baseline="0">
                <a:effectLst/>
                <a:latin typeface="Times New Roman" panose="02020603050405020304" pitchFamily="18" charset="0"/>
                <a:cs typeface="Times New Roman" panose="02020603050405020304" pitchFamily="18" charset="0"/>
              </a:rPr>
              <a:t>Centre tombs: chronological distribution</a:t>
            </a:r>
            <a:endParaRPr lang="it-IT"/>
          </a:p>
        </c:rich>
      </c:tx>
      <c:layout/>
      <c:overlay val="0"/>
    </c:title>
    <c:autoTitleDeleted val="0"/>
    <c:plotArea>
      <c:layout/>
      <c:barChart>
        <c:barDir val="col"/>
        <c:grouping val="clustered"/>
        <c:varyColors val="0"/>
        <c:ser>
          <c:idx val="0"/>
          <c:order val="0"/>
          <c:tx>
            <c:strRef>
              <c:f>Foglio1!$D$1</c:f>
              <c:strCache>
                <c:ptCount val="1"/>
                <c:pt idx="0">
                  <c:v>Number of tombs</c:v>
                </c:pt>
              </c:strCache>
            </c:strRef>
          </c:tx>
          <c:invertIfNegative val="0"/>
          <c:cat>
            <c:strRef>
              <c:f>Foglio1!$C$2:$C$6</c:f>
              <c:strCache>
                <c:ptCount val="5"/>
                <c:pt idx="0">
                  <c:v>LM III A, IIIA1, IIIA2</c:v>
                </c:pt>
                <c:pt idx="1">
                  <c:v>LM IIIA2-B</c:v>
                </c:pt>
                <c:pt idx="2">
                  <c:v>LM IIIB, B1, B2</c:v>
                </c:pt>
                <c:pt idx="3">
                  <c:v>LM III A-B</c:v>
                </c:pt>
                <c:pt idx="4">
                  <c:v>LM III C</c:v>
                </c:pt>
              </c:strCache>
            </c:strRef>
          </c:cat>
          <c:val>
            <c:numRef>
              <c:f>Foglio1!$D$2:$D$6</c:f>
              <c:numCache>
                <c:formatCode>General</c:formatCode>
                <c:ptCount val="5"/>
                <c:pt idx="0">
                  <c:v>18.0</c:v>
                </c:pt>
                <c:pt idx="1">
                  <c:v>21.0</c:v>
                </c:pt>
                <c:pt idx="2">
                  <c:v>31.0</c:v>
                </c:pt>
                <c:pt idx="3">
                  <c:v>9.0</c:v>
                </c:pt>
                <c:pt idx="4">
                  <c:v>0.0</c:v>
                </c:pt>
              </c:numCache>
            </c:numRef>
          </c:val>
          <c:extLst xmlns:c16r2="http://schemas.microsoft.com/office/drawing/2015/06/chart">
            <c:ext xmlns:c16="http://schemas.microsoft.com/office/drawing/2014/chart" uri="{C3380CC4-5D6E-409C-BE32-E72D297353CC}">
              <c16:uniqueId val="{00000000-900E-4F7C-B683-560BF23A725E}"/>
            </c:ext>
          </c:extLst>
        </c:ser>
        <c:dLbls>
          <c:showLegendKey val="0"/>
          <c:showVal val="0"/>
          <c:showCatName val="0"/>
          <c:showSerName val="0"/>
          <c:showPercent val="0"/>
          <c:showBubbleSize val="0"/>
        </c:dLbls>
        <c:gapWidth val="150"/>
        <c:axId val="-1965204104"/>
        <c:axId val="-2077530824"/>
      </c:barChart>
      <c:catAx>
        <c:axId val="-1965204104"/>
        <c:scaling>
          <c:orientation val="minMax"/>
        </c:scaling>
        <c:delete val="0"/>
        <c:axPos val="b"/>
        <c:numFmt formatCode="General" sourceLinked="0"/>
        <c:majorTickMark val="none"/>
        <c:minorTickMark val="none"/>
        <c:tickLblPos val="nextTo"/>
        <c:crossAx val="-2077530824"/>
        <c:crosses val="autoZero"/>
        <c:auto val="1"/>
        <c:lblAlgn val="ctr"/>
        <c:lblOffset val="100"/>
        <c:noMultiLvlLbl val="0"/>
      </c:catAx>
      <c:valAx>
        <c:axId val="-2077530824"/>
        <c:scaling>
          <c:orientation val="minMax"/>
        </c:scaling>
        <c:delete val="0"/>
        <c:axPos val="l"/>
        <c:majorGridlines/>
        <c:numFmt formatCode="General" sourceLinked="1"/>
        <c:majorTickMark val="none"/>
        <c:minorTickMark val="none"/>
        <c:tickLblPos val="nextTo"/>
        <c:crossAx val="-196520410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it-IT" sz="1200" b="1" i="0" baseline="0">
                <a:effectLst/>
                <a:latin typeface="Times New Roman" panose="02020603050405020304" pitchFamily="18" charset="0"/>
                <a:cs typeface="Times New Roman" panose="02020603050405020304" pitchFamily="18" charset="0"/>
              </a:rPr>
              <a:t>Total number of tombs per cemetery with larnakes in Mid-West area</a:t>
            </a:r>
            <a:endParaRPr lang="it-IT" sz="12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it-IT"/>
              <a:t> </a:t>
            </a:r>
          </a:p>
        </c:rich>
      </c:tx>
      <c:layout/>
      <c:overlay val="0"/>
    </c:title>
    <c:autoTitleDeleted val="0"/>
    <c:plotArea>
      <c:layout/>
      <c:barChart>
        <c:barDir val="col"/>
        <c:grouping val="clustered"/>
        <c:varyColors val="0"/>
        <c:ser>
          <c:idx val="0"/>
          <c:order val="0"/>
          <c:tx>
            <c:strRef>
              <c:f>Foglio1!$B$1</c:f>
              <c:strCache>
                <c:ptCount val="1"/>
                <c:pt idx="0">
                  <c:v>Number of tombs </c:v>
                </c:pt>
              </c:strCache>
            </c:strRef>
          </c:tx>
          <c:invertIfNegative val="0"/>
          <c:cat>
            <c:strRef>
              <c:f>Foglio1!$A$2:$A$21</c:f>
              <c:strCache>
                <c:ptCount val="20"/>
                <c:pt idx="0">
                  <c:v>ADELE</c:v>
                </c:pt>
                <c:pt idx="1">
                  <c:v>ANGELIANA</c:v>
                </c:pt>
                <c:pt idx="2">
                  <c:v>APOSTOLI</c:v>
                </c:pt>
                <c:pt idx="3">
                  <c:v>ARMENI</c:v>
                </c:pt>
                <c:pt idx="4">
                  <c:v>ARSANI</c:v>
                </c:pt>
                <c:pt idx="5">
                  <c:v>CHOUMERI</c:v>
                </c:pt>
                <c:pt idx="6">
                  <c:v>DRAMIA</c:v>
                </c:pt>
                <c:pt idx="7">
                  <c:v>KALAMAS MYLOPOTAMOS</c:v>
                </c:pt>
                <c:pt idx="8">
                  <c:v>KASTELLOS APOKORONOU</c:v>
                </c:pt>
                <c:pt idx="9">
                  <c:v>MAGNESIA</c:v>
                </c:pt>
                <c:pt idx="10">
                  <c:v>MARGARITES</c:v>
                </c:pt>
                <c:pt idx="11">
                  <c:v>MAROULAS</c:v>
                </c:pt>
                <c:pt idx="12">
                  <c:v>MELIDONI</c:v>
                </c:pt>
                <c:pt idx="13">
                  <c:v>MESI</c:v>
                </c:pt>
                <c:pt idx="14">
                  <c:v>MONI ARSANI</c:v>
                </c:pt>
                <c:pt idx="15">
                  <c:v>PANKALOCHORI</c:v>
                </c:pt>
                <c:pt idx="16">
                  <c:v>PIGI</c:v>
                </c:pt>
                <c:pt idx="17">
                  <c:v>SPHAKAKI</c:v>
                </c:pt>
                <c:pt idx="18">
                  <c:v>STAVROMENOS</c:v>
                </c:pt>
                <c:pt idx="19">
                  <c:v>VOLIONES</c:v>
                </c:pt>
              </c:strCache>
            </c:strRef>
          </c:cat>
          <c:val>
            <c:numRef>
              <c:f>Foglio1!$B$2:$B$21</c:f>
              <c:numCache>
                <c:formatCode>General</c:formatCode>
                <c:ptCount val="20"/>
                <c:pt idx="0">
                  <c:v>1.0</c:v>
                </c:pt>
                <c:pt idx="1">
                  <c:v>2.0</c:v>
                </c:pt>
                <c:pt idx="2">
                  <c:v>1.0</c:v>
                </c:pt>
                <c:pt idx="3">
                  <c:v>232.0</c:v>
                </c:pt>
                <c:pt idx="4">
                  <c:v>2.0</c:v>
                </c:pt>
                <c:pt idx="5">
                  <c:v>2.0</c:v>
                </c:pt>
                <c:pt idx="6">
                  <c:v>1.0</c:v>
                </c:pt>
                <c:pt idx="7">
                  <c:v>1.0</c:v>
                </c:pt>
                <c:pt idx="8">
                  <c:v>1.0</c:v>
                </c:pt>
                <c:pt idx="9">
                  <c:v>2.0</c:v>
                </c:pt>
                <c:pt idx="10">
                  <c:v>1.0</c:v>
                </c:pt>
                <c:pt idx="11">
                  <c:v>15.0</c:v>
                </c:pt>
                <c:pt idx="12">
                  <c:v>1.0</c:v>
                </c:pt>
                <c:pt idx="13">
                  <c:v>6.0</c:v>
                </c:pt>
                <c:pt idx="14">
                  <c:v>3.0</c:v>
                </c:pt>
                <c:pt idx="15">
                  <c:v>2.0</c:v>
                </c:pt>
                <c:pt idx="16">
                  <c:v>5.0</c:v>
                </c:pt>
                <c:pt idx="17">
                  <c:v>1.0</c:v>
                </c:pt>
                <c:pt idx="18">
                  <c:v>1.0</c:v>
                </c:pt>
                <c:pt idx="19">
                  <c:v>2.0</c:v>
                </c:pt>
              </c:numCache>
            </c:numRef>
          </c:val>
          <c:extLst xmlns:c16r2="http://schemas.microsoft.com/office/drawing/2015/06/chart">
            <c:ext xmlns:c16="http://schemas.microsoft.com/office/drawing/2014/chart" uri="{C3380CC4-5D6E-409C-BE32-E72D297353CC}">
              <c16:uniqueId val="{00000000-CEB3-46B0-AEDD-55FA03F1FCEA}"/>
            </c:ext>
          </c:extLst>
        </c:ser>
        <c:dLbls>
          <c:showLegendKey val="0"/>
          <c:showVal val="0"/>
          <c:showCatName val="0"/>
          <c:showSerName val="0"/>
          <c:showPercent val="0"/>
          <c:showBubbleSize val="0"/>
        </c:dLbls>
        <c:gapWidth val="150"/>
        <c:axId val="2118492552"/>
        <c:axId val="-2075991128"/>
      </c:barChart>
      <c:catAx>
        <c:axId val="2118492552"/>
        <c:scaling>
          <c:orientation val="minMax"/>
        </c:scaling>
        <c:delete val="0"/>
        <c:axPos val="b"/>
        <c:numFmt formatCode="General" sourceLinked="0"/>
        <c:majorTickMark val="none"/>
        <c:minorTickMark val="none"/>
        <c:tickLblPos val="nextTo"/>
        <c:txPr>
          <a:bodyPr/>
          <a:lstStyle/>
          <a:p>
            <a:pPr>
              <a:defRPr>
                <a:latin typeface="Times New Roman"/>
                <a:cs typeface="Times New Roman"/>
              </a:defRPr>
            </a:pPr>
            <a:endParaRPr lang="it-IT"/>
          </a:p>
        </c:txPr>
        <c:crossAx val="-2075991128"/>
        <c:crosses val="autoZero"/>
        <c:auto val="1"/>
        <c:lblAlgn val="ctr"/>
        <c:lblOffset val="100"/>
        <c:noMultiLvlLbl val="0"/>
      </c:catAx>
      <c:valAx>
        <c:axId val="-2075991128"/>
        <c:scaling>
          <c:orientation val="minMax"/>
        </c:scaling>
        <c:delete val="0"/>
        <c:axPos val="l"/>
        <c:majorGridlines/>
        <c:numFmt formatCode="General" sourceLinked="1"/>
        <c:majorTickMark val="none"/>
        <c:minorTickMark val="none"/>
        <c:tickLblPos val="nextTo"/>
        <c:txPr>
          <a:bodyPr/>
          <a:lstStyle/>
          <a:p>
            <a:pPr>
              <a:defRPr>
                <a:latin typeface="Times New Roman"/>
                <a:cs typeface="Times New Roman"/>
              </a:defRPr>
            </a:pPr>
            <a:endParaRPr lang="it-IT"/>
          </a:p>
        </c:txPr>
        <c:crossAx val="2118492552"/>
        <c:crosses val="autoZero"/>
        <c:crossBetween val="between"/>
      </c:valAx>
    </c:plotArea>
    <c:legend>
      <c:legendPos val="r"/>
      <c:layout/>
      <c:overlay val="0"/>
      <c:txPr>
        <a:bodyPr/>
        <a:lstStyle/>
        <a:p>
          <a:pPr>
            <a:defRPr>
              <a:latin typeface="Times New Roman"/>
              <a:cs typeface="Times New Roman"/>
            </a:defRPr>
          </a:pPr>
          <a:endParaRPr lang="it-IT"/>
        </a:p>
      </c:txPr>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it-IT" sz="1200">
                <a:latin typeface="Times New Roman" panose="02020603050405020304" pitchFamily="18" charset="0"/>
                <a:cs typeface="Times New Roman" panose="02020603050405020304" pitchFamily="18" charset="0"/>
              </a:rPr>
              <a:t>LM</a:t>
            </a:r>
            <a:r>
              <a:rPr lang="it-IT" sz="1200" baseline="0">
                <a:latin typeface="Times New Roman" panose="02020603050405020304" pitchFamily="18" charset="0"/>
                <a:cs typeface="Times New Roman" panose="02020603050405020304" pitchFamily="18" charset="0"/>
              </a:rPr>
              <a:t> III burial locations in Mid-East area</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(Foglio1!$J$32;Foglio1!$K$32;Foglio1!$L$32)</c:f>
              <c:strCache>
                <c:ptCount val="3"/>
                <c:pt idx="0">
                  <c:v>secure larnax interment</c:v>
                </c:pt>
                <c:pt idx="1">
                  <c:v>possible larnax interment </c:v>
                </c:pt>
                <c:pt idx="2">
                  <c:v>no larnax interment</c:v>
                </c:pt>
              </c:strCache>
            </c:strRef>
          </c:cat>
          <c:val>
            <c:numRef>
              <c:f>(Foglio1!$J$33;Foglio1!$K$33;Foglio1!$L$33)</c:f>
              <c:numCache>
                <c:formatCode>General</c:formatCode>
                <c:ptCount val="3"/>
                <c:pt idx="0">
                  <c:v>17.0</c:v>
                </c:pt>
                <c:pt idx="1">
                  <c:v>9.0</c:v>
                </c:pt>
                <c:pt idx="2">
                  <c:v>10.0</c:v>
                </c:pt>
              </c:numCache>
            </c:numRef>
          </c:val>
          <c:extLst xmlns:c16r2="http://schemas.microsoft.com/office/drawing/2015/06/chart">
            <c:ext xmlns:c16="http://schemas.microsoft.com/office/drawing/2014/chart" uri="{C3380CC4-5D6E-409C-BE32-E72D297353CC}">
              <c16:uniqueId val="{00000000-D0E0-4AA4-87C3-1062C1198068}"/>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it-IT" sz="1200" b="1" i="0" baseline="0">
                <a:effectLst/>
                <a:latin typeface="Times New Roman" panose="02020603050405020304" pitchFamily="18" charset="0"/>
                <a:cs typeface="Times New Roman" panose="02020603050405020304" pitchFamily="18" charset="0"/>
              </a:rPr>
              <a:t>Total number of tombs per cemetery with larnakes in Mid-East area</a:t>
            </a:r>
            <a:endParaRPr lang="it-IT"/>
          </a:p>
        </c:rich>
      </c:tx>
      <c:layout/>
      <c:overlay val="0"/>
    </c:title>
    <c:autoTitleDeleted val="0"/>
    <c:plotArea>
      <c:layout/>
      <c:barChart>
        <c:barDir val="col"/>
        <c:grouping val="clustered"/>
        <c:varyColors val="0"/>
        <c:ser>
          <c:idx val="0"/>
          <c:order val="0"/>
          <c:tx>
            <c:strRef>
              <c:f>Foglio1!$B$1</c:f>
              <c:strCache>
                <c:ptCount val="1"/>
                <c:pt idx="0">
                  <c:v>Number of tombs</c:v>
                </c:pt>
              </c:strCache>
            </c:strRef>
          </c:tx>
          <c:invertIfNegative val="0"/>
          <c:cat>
            <c:strRef>
              <c:f>Foglio1!$A$2:$A$10</c:f>
              <c:strCache>
                <c:ptCount val="9"/>
                <c:pt idx="0">
                  <c:v>ELOUNDA STOUS TRAPHOUS</c:v>
                </c:pt>
                <c:pt idx="1">
                  <c:v>PINAKIANO KARPHI </c:v>
                </c:pt>
                <c:pt idx="2">
                  <c:v>KRITSA </c:v>
                </c:pt>
                <c:pt idx="3">
                  <c:v>MALIA</c:v>
                </c:pt>
                <c:pt idx="4">
                  <c:v>MILATOS</c:v>
                </c:pt>
                <c:pt idx="5">
                  <c:v>PLATI</c:v>
                </c:pt>
                <c:pt idx="6">
                  <c:v>PSARI PHORADA</c:v>
                </c:pt>
                <c:pt idx="7">
                  <c:v>TERTSA PANOKLISSA</c:v>
                </c:pt>
                <c:pt idx="8">
                  <c:v>TZERMIADON TRAPEZA</c:v>
                </c:pt>
              </c:strCache>
            </c:strRef>
          </c:cat>
          <c:val>
            <c:numRef>
              <c:f>Foglio1!$B$2:$B$10</c:f>
              <c:numCache>
                <c:formatCode>General</c:formatCode>
                <c:ptCount val="9"/>
                <c:pt idx="0">
                  <c:v>52.0</c:v>
                </c:pt>
                <c:pt idx="1">
                  <c:v>21.0</c:v>
                </c:pt>
                <c:pt idx="2">
                  <c:v>5.0</c:v>
                </c:pt>
                <c:pt idx="3">
                  <c:v>14.0</c:v>
                </c:pt>
                <c:pt idx="4">
                  <c:v>7.0</c:v>
                </c:pt>
                <c:pt idx="5">
                  <c:v>1.0</c:v>
                </c:pt>
                <c:pt idx="6">
                  <c:v>1.0</c:v>
                </c:pt>
                <c:pt idx="7">
                  <c:v>1.0</c:v>
                </c:pt>
                <c:pt idx="8">
                  <c:v>1.0</c:v>
                </c:pt>
              </c:numCache>
            </c:numRef>
          </c:val>
          <c:extLst xmlns:c16r2="http://schemas.microsoft.com/office/drawing/2015/06/chart">
            <c:ext xmlns:c16="http://schemas.microsoft.com/office/drawing/2014/chart" uri="{C3380CC4-5D6E-409C-BE32-E72D297353CC}">
              <c16:uniqueId val="{00000000-CAC8-402C-B3A8-4F105E8DF3CF}"/>
            </c:ext>
          </c:extLst>
        </c:ser>
        <c:dLbls>
          <c:showLegendKey val="0"/>
          <c:showVal val="0"/>
          <c:showCatName val="0"/>
          <c:showSerName val="0"/>
          <c:showPercent val="0"/>
          <c:showBubbleSize val="0"/>
        </c:dLbls>
        <c:gapWidth val="150"/>
        <c:axId val="-2076840216"/>
        <c:axId val="-2128556232"/>
      </c:barChart>
      <c:catAx>
        <c:axId val="-2076840216"/>
        <c:scaling>
          <c:orientation val="minMax"/>
        </c:scaling>
        <c:delete val="0"/>
        <c:axPos val="b"/>
        <c:numFmt formatCode="General" sourceLinked="0"/>
        <c:majorTickMark val="out"/>
        <c:minorTickMark val="none"/>
        <c:tickLblPos val="nextTo"/>
        <c:crossAx val="-2128556232"/>
        <c:crosses val="autoZero"/>
        <c:auto val="1"/>
        <c:lblAlgn val="ctr"/>
        <c:lblOffset val="100"/>
        <c:noMultiLvlLbl val="0"/>
      </c:catAx>
      <c:valAx>
        <c:axId val="-2128556232"/>
        <c:scaling>
          <c:orientation val="minMax"/>
          <c:max val="60.0"/>
          <c:min val="0.0"/>
        </c:scaling>
        <c:delete val="0"/>
        <c:axPos val="l"/>
        <c:majorGridlines/>
        <c:numFmt formatCode="General" sourceLinked="1"/>
        <c:majorTickMark val="out"/>
        <c:minorTickMark val="none"/>
        <c:tickLblPos val="nextTo"/>
        <c:crossAx val="-207684021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0198632983377078"/>
          <c:y val="0.150462962962963"/>
          <c:w val="0.452777777777778"/>
          <c:h val="0.75462962962963"/>
        </c:manualLayout>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(Foglio1!$C$1;Foglio1!$D$1)</c:f>
              <c:strCache>
                <c:ptCount val="2"/>
                <c:pt idx="0">
                  <c:v> TOMBS WITH LARNAKES</c:v>
                </c:pt>
                <c:pt idx="1">
                  <c:v>TOMBS WITHOUT LARNAKES</c:v>
                </c:pt>
              </c:strCache>
            </c:strRef>
          </c:cat>
          <c:val>
            <c:numRef>
              <c:f>(Foglio1!$C$11;Foglio1!$D$11)</c:f>
              <c:numCache>
                <c:formatCode>General</c:formatCode>
                <c:ptCount val="2"/>
                <c:pt idx="0">
                  <c:v>47.0</c:v>
                </c:pt>
                <c:pt idx="1">
                  <c:v>56.0</c:v>
                </c:pt>
              </c:numCache>
            </c:numRef>
          </c:val>
          <c:extLst xmlns:c16r2="http://schemas.microsoft.com/office/drawing/2015/06/chart">
            <c:ext xmlns:c16="http://schemas.microsoft.com/office/drawing/2014/chart" uri="{C3380CC4-5D6E-409C-BE32-E72D297353CC}">
              <c16:uniqueId val="{00000000-FCF0-4F50-AD80-E69BF124A953}"/>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Foglio1!$B$1</c:f>
              <c:strCache>
                <c:ptCount val="1"/>
                <c:pt idx="0">
                  <c:v> TOMBS WITH LARNAKES</c:v>
                </c:pt>
              </c:strCache>
            </c:strRef>
          </c:tx>
          <c:invertIfNegative val="0"/>
          <c:cat>
            <c:strRef>
              <c:f>Foglio1!$A$2:$A$10</c:f>
              <c:strCache>
                <c:ptCount val="9"/>
                <c:pt idx="0">
                  <c:v>ELOUNDA STOUS TRAPHOUS</c:v>
                </c:pt>
                <c:pt idx="1">
                  <c:v>PINAKIANO KARPHI </c:v>
                </c:pt>
                <c:pt idx="2">
                  <c:v>KRITSA </c:v>
                </c:pt>
                <c:pt idx="3">
                  <c:v>MALIA</c:v>
                </c:pt>
                <c:pt idx="4">
                  <c:v>MILATOS</c:v>
                </c:pt>
                <c:pt idx="5">
                  <c:v>PLATI</c:v>
                </c:pt>
                <c:pt idx="6">
                  <c:v>PSARI PHORADA</c:v>
                </c:pt>
                <c:pt idx="7">
                  <c:v>TERTSA PANOKLISSA</c:v>
                </c:pt>
                <c:pt idx="8">
                  <c:v>TZERMIADON TRAPEZA</c:v>
                </c:pt>
              </c:strCache>
            </c:strRef>
          </c:cat>
          <c:val>
            <c:numRef>
              <c:f>Foglio1!$B$2:$B$10</c:f>
              <c:numCache>
                <c:formatCode>General</c:formatCode>
                <c:ptCount val="9"/>
                <c:pt idx="0">
                  <c:v>22.0</c:v>
                </c:pt>
                <c:pt idx="1">
                  <c:v>2.0</c:v>
                </c:pt>
                <c:pt idx="2">
                  <c:v>2.0</c:v>
                </c:pt>
                <c:pt idx="3">
                  <c:v>10.0</c:v>
                </c:pt>
                <c:pt idx="4">
                  <c:v>7.0</c:v>
                </c:pt>
                <c:pt idx="5">
                  <c:v>1.0</c:v>
                </c:pt>
                <c:pt idx="6">
                  <c:v>1.0</c:v>
                </c:pt>
                <c:pt idx="7">
                  <c:v>1.0</c:v>
                </c:pt>
                <c:pt idx="8">
                  <c:v>1.0</c:v>
                </c:pt>
              </c:numCache>
            </c:numRef>
          </c:val>
          <c:extLst xmlns:c16r2="http://schemas.microsoft.com/office/drawing/2015/06/chart">
            <c:ext xmlns:c16="http://schemas.microsoft.com/office/drawing/2014/chart" uri="{C3380CC4-5D6E-409C-BE32-E72D297353CC}">
              <c16:uniqueId val="{00000000-C94B-44E7-ADE5-AC0BAD499B06}"/>
            </c:ext>
          </c:extLst>
        </c:ser>
        <c:ser>
          <c:idx val="1"/>
          <c:order val="1"/>
          <c:tx>
            <c:strRef>
              <c:f>Foglio1!$C$1</c:f>
              <c:strCache>
                <c:ptCount val="1"/>
                <c:pt idx="0">
                  <c:v>TOMBS WITHOUT LARNAKES</c:v>
                </c:pt>
              </c:strCache>
            </c:strRef>
          </c:tx>
          <c:invertIfNegative val="0"/>
          <c:cat>
            <c:strRef>
              <c:f>Foglio1!$A$2:$A$10</c:f>
              <c:strCache>
                <c:ptCount val="9"/>
                <c:pt idx="0">
                  <c:v>ELOUNDA STOUS TRAPHOUS</c:v>
                </c:pt>
                <c:pt idx="1">
                  <c:v>PINAKIANO KARPHI </c:v>
                </c:pt>
                <c:pt idx="2">
                  <c:v>KRITSA </c:v>
                </c:pt>
                <c:pt idx="3">
                  <c:v>MALIA</c:v>
                </c:pt>
                <c:pt idx="4">
                  <c:v>MILATOS</c:v>
                </c:pt>
                <c:pt idx="5">
                  <c:v>PLATI</c:v>
                </c:pt>
                <c:pt idx="6">
                  <c:v>PSARI PHORADA</c:v>
                </c:pt>
                <c:pt idx="7">
                  <c:v>TERTSA PANOKLISSA</c:v>
                </c:pt>
                <c:pt idx="8">
                  <c:v>TZERMIADON TRAPEZA</c:v>
                </c:pt>
              </c:strCache>
            </c:strRef>
          </c:cat>
          <c:val>
            <c:numRef>
              <c:f>Foglio1!$C$2:$C$10</c:f>
              <c:numCache>
                <c:formatCode>General</c:formatCode>
                <c:ptCount val="9"/>
                <c:pt idx="0">
                  <c:v>30.0</c:v>
                </c:pt>
                <c:pt idx="1">
                  <c:v>19.0</c:v>
                </c:pt>
                <c:pt idx="2">
                  <c:v>3.0</c:v>
                </c:pt>
                <c:pt idx="3">
                  <c:v>4.0</c:v>
                </c:pt>
                <c:pt idx="4">
                  <c:v>0.0</c:v>
                </c:pt>
                <c:pt idx="5">
                  <c:v>0.0</c:v>
                </c:pt>
                <c:pt idx="6">
                  <c:v>0.0</c:v>
                </c:pt>
                <c:pt idx="7">
                  <c:v>0.0</c:v>
                </c:pt>
                <c:pt idx="8">
                  <c:v>0.0</c:v>
                </c:pt>
              </c:numCache>
            </c:numRef>
          </c:val>
          <c:extLst xmlns:c16r2="http://schemas.microsoft.com/office/drawing/2015/06/chart">
            <c:ext xmlns:c16="http://schemas.microsoft.com/office/drawing/2014/chart" uri="{C3380CC4-5D6E-409C-BE32-E72D297353CC}">
              <c16:uniqueId val="{00000001-C94B-44E7-ADE5-AC0BAD499B06}"/>
            </c:ext>
          </c:extLst>
        </c:ser>
        <c:dLbls>
          <c:showLegendKey val="0"/>
          <c:showVal val="0"/>
          <c:showCatName val="0"/>
          <c:showSerName val="0"/>
          <c:showPercent val="0"/>
          <c:showBubbleSize val="0"/>
        </c:dLbls>
        <c:gapWidth val="150"/>
        <c:axId val="-2095355288"/>
        <c:axId val="-1992120616"/>
      </c:barChart>
      <c:catAx>
        <c:axId val="-2095355288"/>
        <c:scaling>
          <c:orientation val="minMax"/>
        </c:scaling>
        <c:delete val="0"/>
        <c:axPos val="b"/>
        <c:numFmt formatCode="General" sourceLinked="0"/>
        <c:majorTickMark val="out"/>
        <c:minorTickMark val="none"/>
        <c:tickLblPos val="nextTo"/>
        <c:crossAx val="-1992120616"/>
        <c:crosses val="autoZero"/>
        <c:auto val="1"/>
        <c:lblAlgn val="ctr"/>
        <c:lblOffset val="100"/>
        <c:noMultiLvlLbl val="0"/>
      </c:catAx>
      <c:valAx>
        <c:axId val="-1992120616"/>
        <c:scaling>
          <c:orientation val="minMax"/>
        </c:scaling>
        <c:delete val="0"/>
        <c:axPos val="l"/>
        <c:majorGridlines/>
        <c:numFmt formatCode="General" sourceLinked="1"/>
        <c:majorTickMark val="out"/>
        <c:minorTickMark val="none"/>
        <c:tickLblPos val="nextTo"/>
        <c:crossAx val="-209535528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it-IT" sz="1200">
                <a:latin typeface="Times New Roman" panose="02020603050405020304" pitchFamily="18" charset="0"/>
                <a:cs typeface="Times New Roman" panose="02020603050405020304" pitchFamily="18" charset="0"/>
              </a:rPr>
              <a:t>Tomb</a:t>
            </a:r>
            <a:r>
              <a:rPr lang="it-IT" sz="1200" baseline="0">
                <a:latin typeface="Times New Roman" panose="02020603050405020304" pitchFamily="18" charset="0"/>
                <a:cs typeface="Times New Roman" panose="02020603050405020304" pitchFamily="18" charset="0"/>
              </a:rPr>
              <a:t> types associated with larnax burials Mid-East</a:t>
            </a:r>
            <a:endParaRPr lang="it-IT" sz="1200">
              <a:latin typeface="Times New Roman" panose="02020603050405020304" pitchFamily="18" charset="0"/>
              <a:cs typeface="Times New Roman" panose="02020603050405020304" pitchFamily="18" charset="0"/>
            </a:endParaRPr>
          </a:p>
        </c:rich>
      </c:tx>
      <c:layout>
        <c:manualLayout>
          <c:xMode val="edge"/>
          <c:yMode val="edge"/>
          <c:x val="0.150290244969379"/>
          <c:y val="0.012987012987013"/>
        </c:manualLayout>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(Foglio1!$C$1;Foglio1!$D$1;Foglio1!$E$1;Foglio1!$F$1;Foglio1!$G$1;Foglio1!$H$1;Foglio1!$I$1)</c:f>
              <c:strCache>
                <c:ptCount val="7"/>
                <c:pt idx="0">
                  <c:v>CHAMBER TOMBS</c:v>
                </c:pt>
                <c:pt idx="1">
                  <c:v>LARNAX RECEPTACLE</c:v>
                </c:pt>
                <c:pt idx="2">
                  <c:v>CORBEL VAULTED</c:v>
                </c:pt>
                <c:pt idx="3">
                  <c:v>CAVE/ROCK SHELTER</c:v>
                </c:pt>
                <c:pt idx="4">
                  <c:v>N/A</c:v>
                </c:pt>
                <c:pt idx="5">
                  <c:v>PIT</c:v>
                </c:pt>
                <c:pt idx="6">
                  <c:v>DISUSED STRUCTURE</c:v>
                </c:pt>
              </c:strCache>
            </c:strRef>
          </c:cat>
          <c:val>
            <c:numRef>
              <c:f>(Foglio1!$C$19;Foglio1!$D$19;Foglio1!$E$19;Foglio1!$F$19;Foglio1!$G$19;Foglio1!$H$19;Foglio1!$I$19)</c:f>
              <c:numCache>
                <c:formatCode>General</c:formatCode>
                <c:ptCount val="7"/>
                <c:pt idx="0">
                  <c:v>16.0</c:v>
                </c:pt>
                <c:pt idx="1">
                  <c:v>2.0</c:v>
                </c:pt>
                <c:pt idx="2">
                  <c:v>3.0</c:v>
                </c:pt>
                <c:pt idx="3">
                  <c:v>22.0</c:v>
                </c:pt>
                <c:pt idx="4">
                  <c:v>1.0</c:v>
                </c:pt>
                <c:pt idx="5">
                  <c:v>1.0</c:v>
                </c:pt>
                <c:pt idx="6">
                  <c:v>1.0</c:v>
                </c:pt>
              </c:numCache>
            </c:numRef>
          </c:val>
          <c:extLst xmlns:c16r2="http://schemas.microsoft.com/office/drawing/2015/06/chart">
            <c:ext xmlns:c16="http://schemas.microsoft.com/office/drawing/2014/chart" uri="{C3380CC4-5D6E-409C-BE32-E72D297353CC}">
              <c16:uniqueId val="{00000000-F9B1-44A5-9674-08055DFBE5C3}"/>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Foglio1!$A$55:$A$57</c:f>
              <c:strCache>
                <c:ptCount val="3"/>
                <c:pt idx="0">
                  <c:v>No. tombs associated with other types of burials</c:v>
                </c:pt>
                <c:pt idx="1">
                  <c:v>No. tombs associated only with larnakes</c:v>
                </c:pt>
                <c:pt idx="2">
                  <c:v>No. tombs no info</c:v>
                </c:pt>
              </c:strCache>
            </c:strRef>
          </c:cat>
          <c:val>
            <c:numRef>
              <c:f>Foglio1!$B$55:$B$57</c:f>
              <c:numCache>
                <c:formatCode>General</c:formatCode>
                <c:ptCount val="3"/>
                <c:pt idx="0">
                  <c:v>4.0</c:v>
                </c:pt>
                <c:pt idx="1">
                  <c:v>27.0</c:v>
                </c:pt>
                <c:pt idx="2">
                  <c:v>14.0</c:v>
                </c:pt>
              </c:numCache>
            </c:numRef>
          </c:val>
          <c:extLst xmlns:c16r2="http://schemas.microsoft.com/office/drawing/2015/06/chart">
            <c:ext xmlns:c16="http://schemas.microsoft.com/office/drawing/2014/chart" uri="{C3380CC4-5D6E-409C-BE32-E72D297353CC}">
              <c16:uniqueId val="{00000000-BD33-4B9D-9388-43E132421FAC}"/>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it-IT" sz="1200" b="1" i="0" baseline="0">
                <a:effectLst/>
                <a:latin typeface="Times New Roman" panose="02020603050405020304" pitchFamily="18" charset="0"/>
                <a:cs typeface="Times New Roman" panose="02020603050405020304" pitchFamily="18" charset="0"/>
              </a:rPr>
              <a:t>Mid-East tombs chronological distribution</a:t>
            </a:r>
            <a:endParaRPr lang="it-IT"/>
          </a:p>
        </c:rich>
      </c:tx>
      <c:layout/>
      <c:overlay val="0"/>
    </c:title>
    <c:autoTitleDeleted val="0"/>
    <c:plotArea>
      <c:layout/>
      <c:barChart>
        <c:barDir val="col"/>
        <c:grouping val="clustered"/>
        <c:varyColors val="0"/>
        <c:ser>
          <c:idx val="0"/>
          <c:order val="0"/>
          <c:tx>
            <c:strRef>
              <c:f>Foglio1!$D$1</c:f>
              <c:strCache>
                <c:ptCount val="1"/>
                <c:pt idx="0">
                  <c:v>Number of tombs</c:v>
                </c:pt>
              </c:strCache>
            </c:strRef>
          </c:tx>
          <c:invertIfNegative val="0"/>
          <c:cat>
            <c:strRef>
              <c:f>Foglio1!$C$2:$C$6</c:f>
              <c:strCache>
                <c:ptCount val="5"/>
                <c:pt idx="0">
                  <c:v>LM III A, IIIA1, IIIA2</c:v>
                </c:pt>
                <c:pt idx="1">
                  <c:v>LM IIIA2-B</c:v>
                </c:pt>
                <c:pt idx="2">
                  <c:v>LM IIIB, B1, B2</c:v>
                </c:pt>
                <c:pt idx="3">
                  <c:v>LM III A-B</c:v>
                </c:pt>
                <c:pt idx="4">
                  <c:v>LM III C</c:v>
                </c:pt>
              </c:strCache>
            </c:strRef>
          </c:cat>
          <c:val>
            <c:numRef>
              <c:f>Foglio1!$D$2:$D$6</c:f>
              <c:numCache>
                <c:formatCode>General</c:formatCode>
                <c:ptCount val="5"/>
                <c:pt idx="0">
                  <c:v>5.0</c:v>
                </c:pt>
                <c:pt idx="1">
                  <c:v>1.0</c:v>
                </c:pt>
                <c:pt idx="2">
                  <c:v>18.0</c:v>
                </c:pt>
                <c:pt idx="3">
                  <c:v>1.0</c:v>
                </c:pt>
                <c:pt idx="4">
                  <c:v>4.0</c:v>
                </c:pt>
              </c:numCache>
            </c:numRef>
          </c:val>
          <c:extLst xmlns:c16r2="http://schemas.microsoft.com/office/drawing/2015/06/chart">
            <c:ext xmlns:c16="http://schemas.microsoft.com/office/drawing/2014/chart" uri="{C3380CC4-5D6E-409C-BE32-E72D297353CC}">
              <c16:uniqueId val="{00000000-D58B-4AE1-8992-59ABD0E33D47}"/>
            </c:ext>
          </c:extLst>
        </c:ser>
        <c:dLbls>
          <c:showLegendKey val="0"/>
          <c:showVal val="0"/>
          <c:showCatName val="0"/>
          <c:showSerName val="0"/>
          <c:showPercent val="0"/>
          <c:showBubbleSize val="0"/>
        </c:dLbls>
        <c:gapWidth val="150"/>
        <c:axId val="1845378360"/>
        <c:axId val="-2066390712"/>
      </c:barChart>
      <c:catAx>
        <c:axId val="1845378360"/>
        <c:scaling>
          <c:orientation val="minMax"/>
        </c:scaling>
        <c:delete val="0"/>
        <c:axPos val="b"/>
        <c:numFmt formatCode="General" sourceLinked="0"/>
        <c:majorTickMark val="none"/>
        <c:minorTickMark val="none"/>
        <c:tickLblPos val="nextTo"/>
        <c:txPr>
          <a:bodyPr/>
          <a:lstStyle/>
          <a:p>
            <a:pPr>
              <a:defRPr sz="800"/>
            </a:pPr>
            <a:endParaRPr lang="it-IT"/>
          </a:p>
        </c:txPr>
        <c:crossAx val="-2066390712"/>
        <c:crosses val="autoZero"/>
        <c:auto val="1"/>
        <c:lblAlgn val="ctr"/>
        <c:lblOffset val="100"/>
        <c:noMultiLvlLbl val="0"/>
      </c:catAx>
      <c:valAx>
        <c:axId val="-2066390712"/>
        <c:scaling>
          <c:orientation val="minMax"/>
        </c:scaling>
        <c:delete val="0"/>
        <c:axPos val="l"/>
        <c:majorGridlines/>
        <c:numFmt formatCode="General" sourceLinked="1"/>
        <c:majorTickMark val="none"/>
        <c:minorTickMark val="none"/>
        <c:tickLblPos val="nextTo"/>
        <c:txPr>
          <a:bodyPr/>
          <a:lstStyle/>
          <a:p>
            <a:pPr>
              <a:defRPr sz="800"/>
            </a:pPr>
            <a:endParaRPr lang="it-IT"/>
          </a:p>
        </c:txPr>
        <c:crossAx val="1845378360"/>
        <c:crosses val="autoZero"/>
        <c:crossBetween val="between"/>
      </c:valAx>
    </c:plotArea>
    <c:legend>
      <c:legendPos val="r"/>
      <c:layout/>
      <c:overlay val="0"/>
      <c:txPr>
        <a:bodyPr/>
        <a:lstStyle/>
        <a:p>
          <a:pPr>
            <a:defRPr sz="800"/>
          </a:pPr>
          <a:endParaRPr lang="it-IT"/>
        </a:p>
      </c:txPr>
    </c:legend>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pPr>
            <a:r>
              <a:rPr lang="it-IT" sz="1200">
                <a:latin typeface="Times New Roman" panose="02020603050405020304" pitchFamily="18" charset="0"/>
                <a:cs typeface="Times New Roman" panose="02020603050405020304" pitchFamily="18" charset="0"/>
              </a:rPr>
              <a:t>LM</a:t>
            </a:r>
            <a:r>
              <a:rPr lang="it-IT" sz="1200" baseline="0">
                <a:latin typeface="Times New Roman" panose="02020603050405020304" pitchFamily="18" charset="0"/>
                <a:cs typeface="Times New Roman" panose="02020603050405020304" pitchFamily="18" charset="0"/>
              </a:rPr>
              <a:t> III burial locations in Far-East area</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(Foglio1!$G$48;Foglio1!$H$48;Foglio1!$I$48)</c:f>
              <c:strCache>
                <c:ptCount val="3"/>
                <c:pt idx="0">
                  <c:v>secure larnax interment</c:v>
                </c:pt>
                <c:pt idx="1">
                  <c:v>possible larnax interment</c:v>
                </c:pt>
                <c:pt idx="2">
                  <c:v>no larnax interment</c:v>
                </c:pt>
              </c:strCache>
            </c:strRef>
          </c:cat>
          <c:val>
            <c:numRef>
              <c:f>(Foglio1!$G$49;Foglio1!$H$49;Foglio1!$I$49)</c:f>
              <c:numCache>
                <c:formatCode>General</c:formatCode>
                <c:ptCount val="3"/>
                <c:pt idx="0">
                  <c:v>39.0</c:v>
                </c:pt>
                <c:pt idx="1">
                  <c:v>15.0</c:v>
                </c:pt>
                <c:pt idx="2">
                  <c:v>15.0</c:v>
                </c:pt>
              </c:numCache>
            </c:numRef>
          </c:val>
          <c:extLst xmlns:c16r2="http://schemas.microsoft.com/office/drawing/2015/06/chart">
            <c:ext xmlns:c16="http://schemas.microsoft.com/office/drawing/2014/chart" uri="{C3380CC4-5D6E-409C-BE32-E72D297353CC}">
              <c16:uniqueId val="{00000000-BD58-493B-8F3E-DC1C6C7DCDC1}"/>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it-IT" sz="1200" b="1" i="0" baseline="0">
                <a:effectLst/>
              </a:rPr>
              <a:t>Total number of tombs per cemetery with larnakes in Far-East area</a:t>
            </a:r>
            <a:endParaRPr lang="it-IT" sz="1200">
              <a:effectLst/>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it-IT" sz="1000"/>
          </a:p>
        </c:rich>
      </c:tx>
      <c:layout/>
      <c:overlay val="0"/>
    </c:title>
    <c:autoTitleDeleted val="0"/>
    <c:plotArea>
      <c:layout/>
      <c:barChart>
        <c:barDir val="col"/>
        <c:grouping val="clustered"/>
        <c:varyColors val="0"/>
        <c:ser>
          <c:idx val="0"/>
          <c:order val="0"/>
          <c:tx>
            <c:strRef>
              <c:f>Foglio1!$B$1</c:f>
              <c:strCache>
                <c:ptCount val="1"/>
                <c:pt idx="0">
                  <c:v>Number of tombs</c:v>
                </c:pt>
              </c:strCache>
            </c:strRef>
          </c:tx>
          <c:invertIfNegative val="0"/>
          <c:cat>
            <c:strRef>
              <c:f>Foglio1!$A$2:$A$25</c:f>
              <c:strCache>
                <c:ptCount val="24"/>
                <c:pt idx="0">
                  <c:v>ACHLADIA</c:v>
                </c:pt>
                <c:pt idx="1">
                  <c:v>ADROMYLOI</c:v>
                </c:pt>
                <c:pt idx="2">
                  <c:v>BERATI PISKOKEPHALO</c:v>
                </c:pt>
                <c:pt idx="3">
                  <c:v>CHALEPA</c:v>
                </c:pt>
                <c:pt idx="4">
                  <c:v>ELLINIKA</c:v>
                </c:pt>
                <c:pt idx="5">
                  <c:v>EPISKOPI IERAPETRA</c:v>
                </c:pt>
                <c:pt idx="6">
                  <c:v>GOURNIA</c:v>
                </c:pt>
                <c:pt idx="7">
                  <c:v>GRA LYGIA</c:v>
                </c:pt>
                <c:pt idx="8">
                  <c:v>KALO CHORIO GOULA</c:v>
                </c:pt>
                <c:pt idx="9">
                  <c:v>KOUTSOULIANOU ZIROU</c:v>
                </c:pt>
                <c:pt idx="10">
                  <c:v>MOCHLOS LIMENARIA</c:v>
                </c:pt>
                <c:pt idx="11">
                  <c:v>MOULIANA SELLADES</c:v>
                </c:pt>
                <c:pt idx="12">
                  <c:v>MYRSINI</c:v>
                </c:pt>
                <c:pt idx="13">
                  <c:v>PACHYAMMOS </c:v>
                </c:pt>
                <c:pt idx="14">
                  <c:v>PALAIKASTRO</c:v>
                </c:pt>
                <c:pt idx="15">
                  <c:v>PETRAS PAPOURES</c:v>
                </c:pt>
                <c:pt idx="16">
                  <c:v>PRAISOS</c:v>
                </c:pt>
                <c:pt idx="17">
                  <c:v>SITIA MODERN VILLAGE</c:v>
                </c:pt>
                <c:pt idx="18">
                  <c:v>SPHAKA</c:v>
                </c:pt>
                <c:pt idx="19">
                  <c:v>SPHAKIA</c:v>
                </c:pt>
                <c:pt idx="20">
                  <c:v>STAVROCHORI</c:v>
                </c:pt>
                <c:pt idx="21">
                  <c:v>VASILIKI AG. THEODOROS</c:v>
                </c:pt>
                <c:pt idx="22">
                  <c:v>XEROKAMARA</c:v>
                </c:pt>
                <c:pt idx="23">
                  <c:v>ZAKRO ELLINIKA</c:v>
                </c:pt>
              </c:strCache>
            </c:strRef>
          </c:cat>
          <c:val>
            <c:numRef>
              <c:f>Foglio1!$B$2:$B$25</c:f>
              <c:numCache>
                <c:formatCode>General</c:formatCode>
                <c:ptCount val="24"/>
                <c:pt idx="0">
                  <c:v>2.0</c:v>
                </c:pt>
                <c:pt idx="1">
                  <c:v>2.0</c:v>
                </c:pt>
                <c:pt idx="2">
                  <c:v>1.0</c:v>
                </c:pt>
                <c:pt idx="3">
                  <c:v>1.0</c:v>
                </c:pt>
                <c:pt idx="4">
                  <c:v>1.0</c:v>
                </c:pt>
                <c:pt idx="5">
                  <c:v>6.0</c:v>
                </c:pt>
                <c:pt idx="6">
                  <c:v>3.0</c:v>
                </c:pt>
                <c:pt idx="7">
                  <c:v>2.0</c:v>
                </c:pt>
                <c:pt idx="8">
                  <c:v>2.0</c:v>
                </c:pt>
                <c:pt idx="9">
                  <c:v>1.0</c:v>
                </c:pt>
                <c:pt idx="10">
                  <c:v>31.0</c:v>
                </c:pt>
                <c:pt idx="11">
                  <c:v>2.0</c:v>
                </c:pt>
                <c:pt idx="12">
                  <c:v>12.0</c:v>
                </c:pt>
                <c:pt idx="13">
                  <c:v>4.0</c:v>
                </c:pt>
                <c:pt idx="14">
                  <c:v>23.0</c:v>
                </c:pt>
                <c:pt idx="15">
                  <c:v>5.0</c:v>
                </c:pt>
                <c:pt idx="16">
                  <c:v>7.0</c:v>
                </c:pt>
                <c:pt idx="17">
                  <c:v>3.0</c:v>
                </c:pt>
                <c:pt idx="18">
                  <c:v>1.0</c:v>
                </c:pt>
                <c:pt idx="19">
                  <c:v>1.0</c:v>
                </c:pt>
                <c:pt idx="20">
                  <c:v>2.0</c:v>
                </c:pt>
                <c:pt idx="21">
                  <c:v>2.0</c:v>
                </c:pt>
                <c:pt idx="22">
                  <c:v>1.0</c:v>
                </c:pt>
                <c:pt idx="23">
                  <c:v>1.0</c:v>
                </c:pt>
              </c:numCache>
            </c:numRef>
          </c:val>
          <c:extLst xmlns:c16r2="http://schemas.microsoft.com/office/drawing/2015/06/chart">
            <c:ext xmlns:c16="http://schemas.microsoft.com/office/drawing/2014/chart" uri="{C3380CC4-5D6E-409C-BE32-E72D297353CC}">
              <c16:uniqueId val="{00000000-ED3C-461A-B84F-B32FEA9D73C3}"/>
            </c:ext>
          </c:extLst>
        </c:ser>
        <c:dLbls>
          <c:showLegendKey val="0"/>
          <c:showVal val="0"/>
          <c:showCatName val="0"/>
          <c:showSerName val="0"/>
          <c:showPercent val="0"/>
          <c:showBubbleSize val="0"/>
        </c:dLbls>
        <c:gapWidth val="150"/>
        <c:axId val="-2077979048"/>
        <c:axId val="-2077526648"/>
      </c:barChart>
      <c:catAx>
        <c:axId val="-2077979048"/>
        <c:scaling>
          <c:orientation val="minMax"/>
        </c:scaling>
        <c:delete val="0"/>
        <c:axPos val="b"/>
        <c:numFmt formatCode="General" sourceLinked="0"/>
        <c:majorTickMark val="out"/>
        <c:minorTickMark val="none"/>
        <c:tickLblPos val="nextTo"/>
        <c:txPr>
          <a:bodyPr/>
          <a:lstStyle/>
          <a:p>
            <a:pPr>
              <a:defRPr sz="800">
                <a:latin typeface="Times New Roman"/>
                <a:cs typeface="Times New Roman"/>
              </a:defRPr>
            </a:pPr>
            <a:endParaRPr lang="it-IT"/>
          </a:p>
        </c:txPr>
        <c:crossAx val="-2077526648"/>
        <c:crosses val="autoZero"/>
        <c:auto val="1"/>
        <c:lblAlgn val="ctr"/>
        <c:lblOffset val="100"/>
        <c:noMultiLvlLbl val="0"/>
      </c:catAx>
      <c:valAx>
        <c:axId val="-2077526648"/>
        <c:scaling>
          <c:orientation val="minMax"/>
        </c:scaling>
        <c:delete val="0"/>
        <c:axPos val="l"/>
        <c:majorGridlines/>
        <c:numFmt formatCode="General" sourceLinked="1"/>
        <c:majorTickMark val="out"/>
        <c:minorTickMark val="none"/>
        <c:tickLblPos val="nextTo"/>
        <c:txPr>
          <a:bodyPr/>
          <a:lstStyle/>
          <a:p>
            <a:pPr>
              <a:defRPr sz="800"/>
            </a:pPr>
            <a:endParaRPr lang="it-IT"/>
          </a:p>
        </c:txPr>
        <c:crossAx val="-2077979048"/>
        <c:crosses val="autoZero"/>
        <c:crossBetween val="between"/>
      </c:valAx>
    </c:plotArea>
    <c:legend>
      <c:legendPos val="r"/>
      <c:layout/>
      <c:overlay val="0"/>
      <c:txPr>
        <a:bodyPr/>
        <a:lstStyle/>
        <a:p>
          <a:pPr>
            <a:defRPr sz="800"/>
          </a:pPr>
          <a:endParaRPr lang="it-IT"/>
        </a:p>
      </c:txPr>
    </c:legend>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it-IT" sz="1200" b="1" i="0" baseline="0">
                <a:effectLst/>
                <a:latin typeface="Times New Roman" panose="02020603050405020304" pitchFamily="18" charset="0"/>
                <a:cs typeface="Times New Roman" panose="02020603050405020304" pitchFamily="18" charset="0"/>
              </a:rPr>
              <a:t>Larnax burial distribution in Far-East area according to the percentage of tombs showing larnax burials</a:t>
            </a:r>
            <a:endParaRPr lang="it-IT"/>
          </a:p>
        </c:rich>
      </c:tx>
      <c:layout/>
      <c:overlay val="0"/>
    </c:title>
    <c:autoTitleDeleted val="0"/>
    <c:plotArea>
      <c:layout/>
      <c:pieChart>
        <c:varyColors val="1"/>
        <c:ser>
          <c:idx val="0"/>
          <c:order val="0"/>
          <c:dLbls>
            <c:spPr>
              <a:noFill/>
              <a:ln>
                <a:noFill/>
              </a:ln>
              <a:effectLst/>
            </c:spPr>
            <c:txPr>
              <a:bodyPr/>
              <a:lstStyle/>
              <a:p>
                <a:pPr>
                  <a:defRPr sz="800"/>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(Foglio1!$B$1;Foglio1!$C$1)</c:f>
              <c:strCache>
                <c:ptCount val="2"/>
                <c:pt idx="0">
                  <c:v> TOMBS WITH LARNAKES</c:v>
                </c:pt>
                <c:pt idx="1">
                  <c:v>TOMBS WITHOUT LARNAKES</c:v>
                </c:pt>
              </c:strCache>
            </c:strRef>
          </c:cat>
          <c:val>
            <c:numRef>
              <c:f>(Foglio1!$B$27;Foglio1!$C$27)</c:f>
              <c:numCache>
                <c:formatCode>General</c:formatCode>
                <c:ptCount val="2"/>
                <c:pt idx="0">
                  <c:v>76.0</c:v>
                </c:pt>
                <c:pt idx="1">
                  <c:v>43.0</c:v>
                </c:pt>
              </c:numCache>
            </c:numRef>
          </c:val>
          <c:extLst xmlns:c16r2="http://schemas.microsoft.com/office/drawing/2015/06/chart">
            <c:ext xmlns:c16="http://schemas.microsoft.com/office/drawing/2014/chart" uri="{C3380CC4-5D6E-409C-BE32-E72D297353CC}">
              <c16:uniqueId val="{00000000-0823-4A46-B6A6-8240734960DE}"/>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sz="800"/>
          </a:pPr>
          <a:endParaRPr lang="it-IT"/>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a:ea typeface="+mn-ea"/>
                <a:cs typeface="Times New Roman"/>
              </a:defRPr>
            </a:pPr>
            <a:r>
              <a:rPr lang="it-IT" sz="1100" b="1" i="0">
                <a:latin typeface="Times New Roman"/>
                <a:cs typeface="Times New Roman"/>
              </a:rPr>
              <a:t>Larnax</a:t>
            </a:r>
            <a:r>
              <a:rPr lang="it-IT" sz="1100" b="1" i="0" baseline="0">
                <a:latin typeface="Times New Roman"/>
                <a:cs typeface="Times New Roman"/>
              </a:rPr>
              <a:t> burial distribution in Mid-West area according to the percentage of tombs showing larnax burials</a:t>
            </a:r>
            <a:endParaRPr lang="it-IT" sz="1100" b="1" i="0">
              <a:latin typeface="Times New Roman"/>
              <a:cs typeface="Times New Roman"/>
            </a:endParaRPr>
          </a:p>
        </c:rich>
      </c:tx>
      <c:layout/>
      <c:overlay val="0"/>
    </c:title>
    <c:autoTitleDeleted val="0"/>
    <c:plotArea>
      <c:layout/>
      <c:pieChart>
        <c:varyColors val="1"/>
        <c:ser>
          <c:idx val="0"/>
          <c:order val="0"/>
          <c:dLbls>
            <c:spPr>
              <a:noFill/>
              <a:ln>
                <a:noFill/>
              </a:ln>
              <a:effectLst/>
            </c:spPr>
            <c:txPr>
              <a:bodyPr/>
              <a:lstStyle/>
              <a:p>
                <a:pPr>
                  <a:defRPr sz="800" b="1" i="0">
                    <a:latin typeface="Times New Roman"/>
                    <a:cs typeface="Times New Roman"/>
                  </a:defRPr>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(Foglio1!$B$1;Foglio1!$D$1)</c:f>
              <c:strCache>
                <c:ptCount val="2"/>
                <c:pt idx="0">
                  <c:v>TOMBS WITH LM III CLAY LARNAKES </c:v>
                </c:pt>
                <c:pt idx="1">
                  <c:v>TOMBS WITHOUT LARNAKES</c:v>
                </c:pt>
              </c:strCache>
            </c:strRef>
          </c:cat>
          <c:val>
            <c:numRef>
              <c:f>(Foglio1!$B$26;Foglio1!$D$26)</c:f>
              <c:numCache>
                <c:formatCode>General</c:formatCode>
                <c:ptCount val="2"/>
                <c:pt idx="0">
                  <c:v>58.0</c:v>
                </c:pt>
                <c:pt idx="1">
                  <c:v>222.0</c:v>
                </c:pt>
              </c:numCache>
            </c:numRef>
          </c:val>
          <c:extLst xmlns:c16r2="http://schemas.microsoft.com/office/drawing/2015/06/chart">
            <c:ext xmlns:c16="http://schemas.microsoft.com/office/drawing/2014/chart" uri="{C3380CC4-5D6E-409C-BE32-E72D297353CC}">
              <c16:uniqueId val="{00000000-A6C2-4265-BE4A-1FCED37A374B}"/>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sz="800" b="1">
              <a:latin typeface="Times New Roman"/>
              <a:cs typeface="Times New Roman"/>
            </a:defRPr>
          </a:pPr>
          <a:endParaRPr lang="it-IT"/>
        </a:p>
      </c:txPr>
    </c:legend>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Foglio1!$B$1</c:f>
              <c:strCache>
                <c:ptCount val="1"/>
                <c:pt idx="0">
                  <c:v> TOMBS WITH LARNAKES</c:v>
                </c:pt>
              </c:strCache>
            </c:strRef>
          </c:tx>
          <c:invertIfNegative val="0"/>
          <c:cat>
            <c:strRef>
              <c:f>Foglio1!$A$2:$A$26</c:f>
              <c:strCache>
                <c:ptCount val="25"/>
                <c:pt idx="0">
                  <c:v>ACHLADIA</c:v>
                </c:pt>
                <c:pt idx="1">
                  <c:v>ADROMYLOI</c:v>
                </c:pt>
                <c:pt idx="2">
                  <c:v>BERATI PISKOKEPHALO</c:v>
                </c:pt>
                <c:pt idx="3">
                  <c:v>CHALEPA</c:v>
                </c:pt>
                <c:pt idx="4">
                  <c:v>ELLINIKA</c:v>
                </c:pt>
                <c:pt idx="5">
                  <c:v>EPISKOPI IERAPETRA</c:v>
                </c:pt>
                <c:pt idx="6">
                  <c:v>GOURNIA</c:v>
                </c:pt>
                <c:pt idx="7">
                  <c:v>GRA LYGIA</c:v>
                </c:pt>
                <c:pt idx="8">
                  <c:v>KALO CHORIO GOULA</c:v>
                </c:pt>
                <c:pt idx="9">
                  <c:v>KAVOUSIS RIDOPOULIA II</c:v>
                </c:pt>
                <c:pt idx="10">
                  <c:v>KOUTSOULIANOU ZIROU</c:v>
                </c:pt>
                <c:pt idx="11">
                  <c:v>MOCHLOS LIMENARIA</c:v>
                </c:pt>
                <c:pt idx="12">
                  <c:v>MOULIANA SELLADES</c:v>
                </c:pt>
                <c:pt idx="13">
                  <c:v>MYRSINI</c:v>
                </c:pt>
                <c:pt idx="14">
                  <c:v>PACHYAMMOS </c:v>
                </c:pt>
                <c:pt idx="15">
                  <c:v>PALAIKASTRO</c:v>
                </c:pt>
                <c:pt idx="16">
                  <c:v>PETRAS PAPOURES</c:v>
                </c:pt>
                <c:pt idx="17">
                  <c:v>PRAISOS</c:v>
                </c:pt>
                <c:pt idx="18">
                  <c:v>SITIA MODERN VILLAGE</c:v>
                </c:pt>
                <c:pt idx="19">
                  <c:v>SPHAKA</c:v>
                </c:pt>
                <c:pt idx="20">
                  <c:v>SPHAKIA</c:v>
                </c:pt>
                <c:pt idx="21">
                  <c:v>STAVROCHORI</c:v>
                </c:pt>
                <c:pt idx="22">
                  <c:v>VASILIKI AG. THEODOROS</c:v>
                </c:pt>
                <c:pt idx="23">
                  <c:v>XEROKAMARA</c:v>
                </c:pt>
                <c:pt idx="24">
                  <c:v>ZAKRO ELLINIKA</c:v>
                </c:pt>
              </c:strCache>
            </c:strRef>
          </c:cat>
          <c:val>
            <c:numRef>
              <c:f>Foglio1!$B$2:$B$26</c:f>
              <c:numCache>
                <c:formatCode>General</c:formatCode>
                <c:ptCount val="25"/>
                <c:pt idx="0">
                  <c:v>2.0</c:v>
                </c:pt>
                <c:pt idx="1">
                  <c:v>1.0</c:v>
                </c:pt>
                <c:pt idx="2">
                  <c:v>1.0</c:v>
                </c:pt>
                <c:pt idx="3">
                  <c:v>1.0</c:v>
                </c:pt>
                <c:pt idx="4">
                  <c:v>1.0</c:v>
                </c:pt>
                <c:pt idx="5">
                  <c:v>4.0</c:v>
                </c:pt>
                <c:pt idx="6">
                  <c:v>3.0</c:v>
                </c:pt>
                <c:pt idx="7">
                  <c:v>2.0</c:v>
                </c:pt>
                <c:pt idx="8">
                  <c:v>1.0</c:v>
                </c:pt>
                <c:pt idx="9">
                  <c:v>1.0</c:v>
                </c:pt>
                <c:pt idx="10">
                  <c:v>1.0</c:v>
                </c:pt>
                <c:pt idx="11">
                  <c:v>9.0</c:v>
                </c:pt>
                <c:pt idx="12">
                  <c:v>1.0</c:v>
                </c:pt>
                <c:pt idx="13">
                  <c:v>6.0</c:v>
                </c:pt>
                <c:pt idx="14">
                  <c:v>4.0</c:v>
                </c:pt>
                <c:pt idx="15">
                  <c:v>23.0</c:v>
                </c:pt>
                <c:pt idx="16">
                  <c:v>1.0</c:v>
                </c:pt>
                <c:pt idx="17">
                  <c:v>3.0</c:v>
                </c:pt>
                <c:pt idx="18">
                  <c:v>3.0</c:v>
                </c:pt>
                <c:pt idx="19">
                  <c:v>1.0</c:v>
                </c:pt>
                <c:pt idx="20">
                  <c:v>1.0</c:v>
                </c:pt>
                <c:pt idx="21">
                  <c:v>2.0</c:v>
                </c:pt>
                <c:pt idx="22">
                  <c:v>2.0</c:v>
                </c:pt>
                <c:pt idx="23">
                  <c:v>1.0</c:v>
                </c:pt>
                <c:pt idx="24">
                  <c:v>1.0</c:v>
                </c:pt>
              </c:numCache>
            </c:numRef>
          </c:val>
          <c:extLst xmlns:c16r2="http://schemas.microsoft.com/office/drawing/2015/06/chart">
            <c:ext xmlns:c16="http://schemas.microsoft.com/office/drawing/2014/chart" uri="{C3380CC4-5D6E-409C-BE32-E72D297353CC}">
              <c16:uniqueId val="{00000000-D58D-4305-84EB-561F84F08C4E}"/>
            </c:ext>
          </c:extLst>
        </c:ser>
        <c:ser>
          <c:idx val="1"/>
          <c:order val="1"/>
          <c:tx>
            <c:strRef>
              <c:f>Foglio1!$C$1</c:f>
              <c:strCache>
                <c:ptCount val="1"/>
                <c:pt idx="0">
                  <c:v>TOMBS WITHOUT LARNAKES</c:v>
                </c:pt>
              </c:strCache>
            </c:strRef>
          </c:tx>
          <c:invertIfNegative val="0"/>
          <c:cat>
            <c:strRef>
              <c:f>Foglio1!$A$2:$A$26</c:f>
              <c:strCache>
                <c:ptCount val="25"/>
                <c:pt idx="0">
                  <c:v>ACHLADIA</c:v>
                </c:pt>
                <c:pt idx="1">
                  <c:v>ADROMYLOI</c:v>
                </c:pt>
                <c:pt idx="2">
                  <c:v>BERATI PISKOKEPHALO</c:v>
                </c:pt>
                <c:pt idx="3">
                  <c:v>CHALEPA</c:v>
                </c:pt>
                <c:pt idx="4">
                  <c:v>ELLINIKA</c:v>
                </c:pt>
                <c:pt idx="5">
                  <c:v>EPISKOPI IERAPETRA</c:v>
                </c:pt>
                <c:pt idx="6">
                  <c:v>GOURNIA</c:v>
                </c:pt>
                <c:pt idx="7">
                  <c:v>GRA LYGIA</c:v>
                </c:pt>
                <c:pt idx="8">
                  <c:v>KALO CHORIO GOULA</c:v>
                </c:pt>
                <c:pt idx="9">
                  <c:v>KAVOUSIS RIDOPOULIA II</c:v>
                </c:pt>
                <c:pt idx="10">
                  <c:v>KOUTSOULIANOU ZIROU</c:v>
                </c:pt>
                <c:pt idx="11">
                  <c:v>MOCHLOS LIMENARIA</c:v>
                </c:pt>
                <c:pt idx="12">
                  <c:v>MOULIANA SELLADES</c:v>
                </c:pt>
                <c:pt idx="13">
                  <c:v>MYRSINI</c:v>
                </c:pt>
                <c:pt idx="14">
                  <c:v>PACHYAMMOS </c:v>
                </c:pt>
                <c:pt idx="15">
                  <c:v>PALAIKASTRO</c:v>
                </c:pt>
                <c:pt idx="16">
                  <c:v>PETRAS PAPOURES</c:v>
                </c:pt>
                <c:pt idx="17">
                  <c:v>PRAISOS</c:v>
                </c:pt>
                <c:pt idx="18">
                  <c:v>SITIA MODERN VILLAGE</c:v>
                </c:pt>
                <c:pt idx="19">
                  <c:v>SPHAKA</c:v>
                </c:pt>
                <c:pt idx="20">
                  <c:v>SPHAKIA</c:v>
                </c:pt>
                <c:pt idx="21">
                  <c:v>STAVROCHORI</c:v>
                </c:pt>
                <c:pt idx="22">
                  <c:v>VASILIKI AG. THEODOROS</c:v>
                </c:pt>
                <c:pt idx="23">
                  <c:v>XEROKAMARA</c:v>
                </c:pt>
                <c:pt idx="24">
                  <c:v>ZAKRO ELLINIKA</c:v>
                </c:pt>
              </c:strCache>
            </c:strRef>
          </c:cat>
          <c:val>
            <c:numRef>
              <c:f>Foglio1!$C$2:$C$26</c:f>
              <c:numCache>
                <c:formatCode>General</c:formatCode>
                <c:ptCount val="25"/>
                <c:pt idx="0">
                  <c:v>0.0</c:v>
                </c:pt>
                <c:pt idx="1">
                  <c:v>1.0</c:v>
                </c:pt>
                <c:pt idx="2">
                  <c:v>0.0</c:v>
                </c:pt>
                <c:pt idx="3">
                  <c:v>0.0</c:v>
                </c:pt>
                <c:pt idx="4">
                  <c:v>0.0</c:v>
                </c:pt>
                <c:pt idx="5">
                  <c:v>2.0</c:v>
                </c:pt>
                <c:pt idx="6">
                  <c:v>0.0</c:v>
                </c:pt>
                <c:pt idx="7">
                  <c:v>0.0</c:v>
                </c:pt>
                <c:pt idx="8">
                  <c:v>1.0</c:v>
                </c:pt>
                <c:pt idx="9">
                  <c:v>2.0</c:v>
                </c:pt>
                <c:pt idx="10">
                  <c:v>0.0</c:v>
                </c:pt>
                <c:pt idx="11">
                  <c:v>22.0</c:v>
                </c:pt>
                <c:pt idx="12">
                  <c:v>1.0</c:v>
                </c:pt>
                <c:pt idx="13">
                  <c:v>6.0</c:v>
                </c:pt>
                <c:pt idx="14">
                  <c:v>0.0</c:v>
                </c:pt>
                <c:pt idx="15">
                  <c:v>0.0</c:v>
                </c:pt>
                <c:pt idx="16">
                  <c:v>4.0</c:v>
                </c:pt>
                <c:pt idx="17">
                  <c:v>4.0</c:v>
                </c:pt>
                <c:pt idx="18">
                  <c:v>0.0</c:v>
                </c:pt>
                <c:pt idx="19">
                  <c:v>0.0</c:v>
                </c:pt>
                <c:pt idx="20">
                  <c:v>0.0</c:v>
                </c:pt>
                <c:pt idx="21">
                  <c:v>0.0</c:v>
                </c:pt>
                <c:pt idx="22">
                  <c:v>0.0</c:v>
                </c:pt>
                <c:pt idx="23">
                  <c:v>0.0</c:v>
                </c:pt>
                <c:pt idx="24">
                  <c:v>0.0</c:v>
                </c:pt>
              </c:numCache>
            </c:numRef>
          </c:val>
          <c:extLst xmlns:c16r2="http://schemas.microsoft.com/office/drawing/2015/06/chart">
            <c:ext xmlns:c16="http://schemas.microsoft.com/office/drawing/2014/chart" uri="{C3380CC4-5D6E-409C-BE32-E72D297353CC}">
              <c16:uniqueId val="{00000001-D58D-4305-84EB-561F84F08C4E}"/>
            </c:ext>
          </c:extLst>
        </c:ser>
        <c:dLbls>
          <c:showLegendKey val="0"/>
          <c:showVal val="0"/>
          <c:showCatName val="0"/>
          <c:showSerName val="0"/>
          <c:showPercent val="0"/>
          <c:showBubbleSize val="0"/>
        </c:dLbls>
        <c:gapWidth val="150"/>
        <c:axId val="-2024205384"/>
        <c:axId val="1842206872"/>
      </c:barChart>
      <c:catAx>
        <c:axId val="-2024205384"/>
        <c:scaling>
          <c:orientation val="minMax"/>
        </c:scaling>
        <c:delete val="0"/>
        <c:axPos val="b"/>
        <c:numFmt formatCode="General" sourceLinked="0"/>
        <c:majorTickMark val="out"/>
        <c:minorTickMark val="none"/>
        <c:tickLblPos val="nextTo"/>
        <c:txPr>
          <a:bodyPr/>
          <a:lstStyle/>
          <a:p>
            <a:pPr>
              <a:defRPr sz="800"/>
            </a:pPr>
            <a:endParaRPr lang="it-IT"/>
          </a:p>
        </c:txPr>
        <c:crossAx val="1842206872"/>
        <c:crosses val="autoZero"/>
        <c:auto val="1"/>
        <c:lblAlgn val="ctr"/>
        <c:lblOffset val="100"/>
        <c:noMultiLvlLbl val="0"/>
      </c:catAx>
      <c:valAx>
        <c:axId val="1842206872"/>
        <c:scaling>
          <c:orientation val="minMax"/>
        </c:scaling>
        <c:delete val="0"/>
        <c:axPos val="l"/>
        <c:majorGridlines/>
        <c:numFmt formatCode="General" sourceLinked="1"/>
        <c:majorTickMark val="out"/>
        <c:minorTickMark val="none"/>
        <c:tickLblPos val="nextTo"/>
        <c:crossAx val="-2024205384"/>
        <c:crosses val="autoZero"/>
        <c:crossBetween val="between"/>
      </c:valAx>
    </c:plotArea>
    <c:legend>
      <c:legendPos val="r"/>
      <c:layout/>
      <c:overlay val="0"/>
      <c:txPr>
        <a:bodyPr/>
        <a:lstStyle/>
        <a:p>
          <a:pPr>
            <a:defRPr sz="800"/>
          </a:pPr>
          <a:endParaRPr lang="it-IT"/>
        </a:p>
      </c:txPr>
    </c:legend>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j-lt"/>
                <a:ea typeface="+mn-ea"/>
                <a:cs typeface="+mn-cs"/>
              </a:defRPr>
            </a:pPr>
            <a:r>
              <a:rPr lang="it-IT" sz="1200" b="1" i="0" baseline="0">
                <a:effectLst/>
                <a:latin typeface="Times New Roman" panose="02020603050405020304" pitchFamily="18" charset="0"/>
                <a:cs typeface="Times New Roman" panose="02020603050405020304" pitchFamily="18" charset="0"/>
              </a:rPr>
              <a:t>Tomb types associated with larnax burials Far-East area</a:t>
            </a:r>
            <a:endParaRPr lang="it-IT"/>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(Foglio1!$B$1;Foglio1!$C$1;Foglio1!$D$1;Foglio1!$E$1;Foglio1!$F$1;Foglio1!$G$1)</c:f>
              <c:strCache>
                <c:ptCount val="6"/>
                <c:pt idx="0">
                  <c:v>CHAMBER TOMBS</c:v>
                </c:pt>
                <c:pt idx="1">
                  <c:v>CORBEL VAULTED</c:v>
                </c:pt>
                <c:pt idx="2">
                  <c:v>CAVE/ROCK SHELTER</c:v>
                </c:pt>
                <c:pt idx="3">
                  <c:v>PIT</c:v>
                </c:pt>
                <c:pt idx="4">
                  <c:v>N/A</c:v>
                </c:pt>
                <c:pt idx="5">
                  <c:v>DISUSED STRUCTURE</c:v>
                </c:pt>
              </c:strCache>
            </c:strRef>
          </c:cat>
          <c:val>
            <c:numRef>
              <c:f>(Foglio1!$B$41;Foglio1!$C$41;Foglio1!$D$41;Foglio1!$E$41;Foglio1!$F$41;Foglio1!$G$41)</c:f>
              <c:numCache>
                <c:formatCode>General</c:formatCode>
                <c:ptCount val="6"/>
                <c:pt idx="0">
                  <c:v>39.0</c:v>
                </c:pt>
                <c:pt idx="1">
                  <c:v>7.0</c:v>
                </c:pt>
                <c:pt idx="2">
                  <c:v>10.0</c:v>
                </c:pt>
                <c:pt idx="3">
                  <c:v>8.0</c:v>
                </c:pt>
                <c:pt idx="4">
                  <c:v>11.0</c:v>
                </c:pt>
                <c:pt idx="5">
                  <c:v>1.0</c:v>
                </c:pt>
              </c:numCache>
            </c:numRef>
          </c:val>
          <c:extLst xmlns:c16r2="http://schemas.microsoft.com/office/drawing/2015/06/chart">
            <c:ext xmlns:c16="http://schemas.microsoft.com/office/drawing/2014/chart" uri="{C3380CC4-5D6E-409C-BE32-E72D297353CC}">
              <c16:uniqueId val="{00000000-0AF8-4D0B-B52B-593ECFF773B2}"/>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txPr>
    <a:bodyPr/>
    <a:lstStyle/>
    <a:p>
      <a:pPr>
        <a:defRPr>
          <a:latin typeface="+mj-lt"/>
        </a:defRPr>
      </a:pPr>
      <a:endParaRPr lang="it-IT"/>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(Foglio1!$A$86;Foglio1!$A$87;Foglio1!$A$88)</c:f>
              <c:strCache>
                <c:ptCount val="3"/>
                <c:pt idx="0">
                  <c:v>No. tombs associated with larnakes and other types of burials </c:v>
                </c:pt>
                <c:pt idx="1">
                  <c:v>No. tombs associated only with larnakes</c:v>
                </c:pt>
                <c:pt idx="2">
                  <c:v>No. tombs no info</c:v>
                </c:pt>
              </c:strCache>
            </c:strRef>
          </c:cat>
          <c:val>
            <c:numRef>
              <c:f>(Foglio1!$B$86;Foglio1!$B$87;Foglio1!$B$88)</c:f>
              <c:numCache>
                <c:formatCode>General</c:formatCode>
                <c:ptCount val="3"/>
                <c:pt idx="0">
                  <c:v>18.0</c:v>
                </c:pt>
                <c:pt idx="1">
                  <c:v>26.0</c:v>
                </c:pt>
                <c:pt idx="2">
                  <c:v>33.0</c:v>
                </c:pt>
              </c:numCache>
            </c:numRef>
          </c:val>
          <c:extLst xmlns:c16r2="http://schemas.microsoft.com/office/drawing/2015/06/chart">
            <c:ext xmlns:c16="http://schemas.microsoft.com/office/drawing/2014/chart" uri="{C3380CC4-5D6E-409C-BE32-E72D297353CC}">
              <c16:uniqueId val="{00000000-03EE-4BAA-8311-2545256F9B48}"/>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it-IT" sz="1200">
                <a:latin typeface="Times New Roman" panose="02020603050405020304" pitchFamily="18" charset="0"/>
                <a:cs typeface="Times New Roman" panose="02020603050405020304" pitchFamily="18" charset="0"/>
              </a:rPr>
              <a:t>Far</a:t>
            </a:r>
            <a:r>
              <a:rPr lang="it-IT" sz="1200" baseline="0">
                <a:latin typeface="Times New Roman" panose="02020603050405020304" pitchFamily="18" charset="0"/>
                <a:cs typeface="Times New Roman" panose="02020603050405020304" pitchFamily="18" charset="0"/>
              </a:rPr>
              <a:t>-East tombs chronological distribution</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barChart>
        <c:barDir val="col"/>
        <c:grouping val="clustered"/>
        <c:varyColors val="0"/>
        <c:ser>
          <c:idx val="0"/>
          <c:order val="0"/>
          <c:tx>
            <c:strRef>
              <c:f>Foglio1!$D$1</c:f>
              <c:strCache>
                <c:ptCount val="1"/>
                <c:pt idx="0">
                  <c:v>Number of tombs</c:v>
                </c:pt>
              </c:strCache>
            </c:strRef>
          </c:tx>
          <c:invertIfNegative val="0"/>
          <c:cat>
            <c:strRef>
              <c:f>Foglio1!$C$2:$C$6</c:f>
              <c:strCache>
                <c:ptCount val="5"/>
                <c:pt idx="0">
                  <c:v>LM III A, IIIA1, IIIA2</c:v>
                </c:pt>
                <c:pt idx="1">
                  <c:v>LM IIIA2-B</c:v>
                </c:pt>
                <c:pt idx="2">
                  <c:v>LM IIIB, B1, B2</c:v>
                </c:pt>
                <c:pt idx="3">
                  <c:v>LM III A-B</c:v>
                </c:pt>
                <c:pt idx="4">
                  <c:v>LM III C</c:v>
                </c:pt>
              </c:strCache>
            </c:strRef>
          </c:cat>
          <c:val>
            <c:numRef>
              <c:f>Foglio1!$D$2:$D$6</c:f>
              <c:numCache>
                <c:formatCode>General</c:formatCode>
                <c:ptCount val="5"/>
                <c:pt idx="0">
                  <c:v>5.0</c:v>
                </c:pt>
                <c:pt idx="1">
                  <c:v>8.0</c:v>
                </c:pt>
                <c:pt idx="2">
                  <c:v>11.0</c:v>
                </c:pt>
                <c:pt idx="3">
                  <c:v>14.0</c:v>
                </c:pt>
                <c:pt idx="4">
                  <c:v>4.0</c:v>
                </c:pt>
              </c:numCache>
            </c:numRef>
          </c:val>
          <c:extLst xmlns:c16r2="http://schemas.microsoft.com/office/drawing/2015/06/chart">
            <c:ext xmlns:c16="http://schemas.microsoft.com/office/drawing/2014/chart" uri="{C3380CC4-5D6E-409C-BE32-E72D297353CC}">
              <c16:uniqueId val="{00000000-F2B5-4BD9-9398-D11FB82D7887}"/>
            </c:ext>
          </c:extLst>
        </c:ser>
        <c:dLbls>
          <c:showLegendKey val="0"/>
          <c:showVal val="0"/>
          <c:showCatName val="0"/>
          <c:showSerName val="0"/>
          <c:showPercent val="0"/>
          <c:showBubbleSize val="0"/>
        </c:dLbls>
        <c:gapWidth val="150"/>
        <c:axId val="-2060735608"/>
        <c:axId val="-2060916696"/>
      </c:barChart>
      <c:catAx>
        <c:axId val="-2060735608"/>
        <c:scaling>
          <c:orientation val="minMax"/>
        </c:scaling>
        <c:delete val="0"/>
        <c:axPos val="b"/>
        <c:numFmt formatCode="General" sourceLinked="0"/>
        <c:majorTickMark val="out"/>
        <c:minorTickMark val="none"/>
        <c:tickLblPos val="nextTo"/>
        <c:txPr>
          <a:bodyPr/>
          <a:lstStyle/>
          <a:p>
            <a:pPr>
              <a:defRPr sz="800"/>
            </a:pPr>
            <a:endParaRPr lang="it-IT"/>
          </a:p>
        </c:txPr>
        <c:crossAx val="-2060916696"/>
        <c:crosses val="autoZero"/>
        <c:auto val="1"/>
        <c:lblAlgn val="ctr"/>
        <c:lblOffset val="100"/>
        <c:noMultiLvlLbl val="0"/>
      </c:catAx>
      <c:valAx>
        <c:axId val="-2060916696"/>
        <c:scaling>
          <c:orientation val="minMax"/>
        </c:scaling>
        <c:delete val="0"/>
        <c:axPos val="l"/>
        <c:majorGridlines/>
        <c:numFmt formatCode="General" sourceLinked="1"/>
        <c:majorTickMark val="out"/>
        <c:minorTickMark val="none"/>
        <c:tickLblPos val="nextTo"/>
        <c:txPr>
          <a:bodyPr/>
          <a:lstStyle/>
          <a:p>
            <a:pPr>
              <a:defRPr sz="800"/>
            </a:pPr>
            <a:endParaRPr lang="it-IT"/>
          </a:p>
        </c:txPr>
        <c:crossAx val="-2060735608"/>
        <c:crosses val="autoZero"/>
        <c:crossBetween val="between"/>
      </c:valAx>
    </c:plotArea>
    <c:legend>
      <c:legendPos val="r"/>
      <c:layout/>
      <c:overlay val="0"/>
      <c:txPr>
        <a:bodyPr/>
        <a:lstStyle/>
        <a:p>
          <a:pPr>
            <a:defRPr sz="800"/>
          </a:pPr>
          <a:endParaRPr lang="it-IT"/>
        </a:p>
      </c:txPr>
    </c:legend>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Foglio1!$B$1</c:f>
              <c:strCache>
                <c:ptCount val="1"/>
                <c:pt idx="0">
                  <c:v>percentage of tombs with larnakes</c:v>
                </c:pt>
              </c:strCache>
            </c:strRef>
          </c:tx>
          <c:invertIfNegative val="0"/>
          <c:cat>
            <c:strRef>
              <c:f>Foglio1!$A$2:$A$8</c:f>
              <c:strCache>
                <c:ptCount val="7"/>
                <c:pt idx="0">
                  <c:v>FW</c:v>
                </c:pt>
                <c:pt idx="1">
                  <c:v>MW</c:v>
                </c:pt>
                <c:pt idx="2">
                  <c:v>M</c:v>
                </c:pt>
                <c:pt idx="3">
                  <c:v>KN</c:v>
                </c:pt>
                <c:pt idx="4">
                  <c:v>C</c:v>
                </c:pt>
                <c:pt idx="5">
                  <c:v>ME</c:v>
                </c:pt>
                <c:pt idx="6">
                  <c:v>FE</c:v>
                </c:pt>
              </c:strCache>
            </c:strRef>
          </c:cat>
          <c:val>
            <c:numRef>
              <c:f>Foglio1!$B$2:$B$8</c:f>
              <c:numCache>
                <c:formatCode>0%</c:formatCode>
                <c:ptCount val="7"/>
                <c:pt idx="0">
                  <c:v>0.01</c:v>
                </c:pt>
                <c:pt idx="1">
                  <c:v>0.21</c:v>
                </c:pt>
                <c:pt idx="2">
                  <c:v>0.68</c:v>
                </c:pt>
                <c:pt idx="3">
                  <c:v>0.32</c:v>
                </c:pt>
                <c:pt idx="4">
                  <c:v>0.76</c:v>
                </c:pt>
                <c:pt idx="5">
                  <c:v>0.46</c:v>
                </c:pt>
                <c:pt idx="6">
                  <c:v>0.64</c:v>
                </c:pt>
              </c:numCache>
            </c:numRef>
          </c:val>
          <c:extLst xmlns:c16r2="http://schemas.microsoft.com/office/drawing/2015/06/chart">
            <c:ext xmlns:c16="http://schemas.microsoft.com/office/drawing/2014/chart" uri="{C3380CC4-5D6E-409C-BE32-E72D297353CC}">
              <c16:uniqueId val="{00000000-C2F6-4DF3-AB12-E9D802FF89E4}"/>
            </c:ext>
          </c:extLst>
        </c:ser>
        <c:ser>
          <c:idx val="1"/>
          <c:order val="1"/>
          <c:tx>
            <c:strRef>
              <c:f>Foglio1!$C$1</c:f>
              <c:strCache>
                <c:ptCount val="1"/>
                <c:pt idx="0">
                  <c:v>percentage of tomb without larnakes</c:v>
                </c:pt>
              </c:strCache>
            </c:strRef>
          </c:tx>
          <c:invertIfNegative val="0"/>
          <c:cat>
            <c:strRef>
              <c:f>Foglio1!$A$2:$A$8</c:f>
              <c:strCache>
                <c:ptCount val="7"/>
                <c:pt idx="0">
                  <c:v>FW</c:v>
                </c:pt>
                <c:pt idx="1">
                  <c:v>MW</c:v>
                </c:pt>
                <c:pt idx="2">
                  <c:v>M</c:v>
                </c:pt>
                <c:pt idx="3">
                  <c:v>KN</c:v>
                </c:pt>
                <c:pt idx="4">
                  <c:v>C</c:v>
                </c:pt>
                <c:pt idx="5">
                  <c:v>ME</c:v>
                </c:pt>
                <c:pt idx="6">
                  <c:v>FE</c:v>
                </c:pt>
              </c:strCache>
            </c:strRef>
          </c:cat>
          <c:val>
            <c:numRef>
              <c:f>Foglio1!$C$2:$C$8</c:f>
              <c:numCache>
                <c:formatCode>0%</c:formatCode>
                <c:ptCount val="7"/>
                <c:pt idx="0">
                  <c:v>0.99</c:v>
                </c:pt>
                <c:pt idx="1">
                  <c:v>0.79</c:v>
                </c:pt>
                <c:pt idx="2">
                  <c:v>0.32</c:v>
                </c:pt>
                <c:pt idx="3">
                  <c:v>0.68</c:v>
                </c:pt>
                <c:pt idx="4">
                  <c:v>0.24</c:v>
                </c:pt>
                <c:pt idx="5">
                  <c:v>0.54</c:v>
                </c:pt>
                <c:pt idx="6">
                  <c:v>0.36</c:v>
                </c:pt>
              </c:numCache>
            </c:numRef>
          </c:val>
          <c:extLst xmlns:c16r2="http://schemas.microsoft.com/office/drawing/2015/06/chart">
            <c:ext xmlns:c16="http://schemas.microsoft.com/office/drawing/2014/chart" uri="{C3380CC4-5D6E-409C-BE32-E72D297353CC}">
              <c16:uniqueId val="{00000001-C2F6-4DF3-AB12-E9D802FF89E4}"/>
            </c:ext>
          </c:extLst>
        </c:ser>
        <c:dLbls>
          <c:showLegendKey val="0"/>
          <c:showVal val="0"/>
          <c:showCatName val="0"/>
          <c:showSerName val="0"/>
          <c:showPercent val="0"/>
          <c:showBubbleSize val="0"/>
        </c:dLbls>
        <c:gapWidth val="150"/>
        <c:axId val="-1995816280"/>
        <c:axId val="2119343736"/>
      </c:barChart>
      <c:catAx>
        <c:axId val="-1995816280"/>
        <c:scaling>
          <c:orientation val="minMax"/>
        </c:scaling>
        <c:delete val="0"/>
        <c:axPos val="b"/>
        <c:numFmt formatCode="General" sourceLinked="0"/>
        <c:majorTickMark val="out"/>
        <c:minorTickMark val="none"/>
        <c:tickLblPos val="nextTo"/>
        <c:crossAx val="2119343736"/>
        <c:crosses val="autoZero"/>
        <c:auto val="1"/>
        <c:lblAlgn val="ctr"/>
        <c:lblOffset val="100"/>
        <c:noMultiLvlLbl val="0"/>
      </c:catAx>
      <c:valAx>
        <c:axId val="2119343736"/>
        <c:scaling>
          <c:orientation val="minMax"/>
          <c:max val="1.0"/>
        </c:scaling>
        <c:delete val="0"/>
        <c:axPos val="l"/>
        <c:majorGridlines/>
        <c:numFmt formatCode="0%" sourceLinked="1"/>
        <c:majorTickMark val="out"/>
        <c:minorTickMark val="none"/>
        <c:tickLblPos val="nextTo"/>
        <c:crossAx val="-199581628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Foglio1!$B$1</c:f>
              <c:strCache>
                <c:ptCount val="1"/>
                <c:pt idx="0">
                  <c:v>mean space in sqm reserved to a larnax </c:v>
                </c:pt>
              </c:strCache>
            </c:strRef>
          </c:tx>
          <c:invertIfNegative val="0"/>
          <c:cat>
            <c:strRef>
              <c:f>Foglio1!$A$2:$A$7</c:f>
              <c:strCache>
                <c:ptCount val="6"/>
                <c:pt idx="0">
                  <c:v>MW</c:v>
                </c:pt>
                <c:pt idx="1">
                  <c:v>M</c:v>
                </c:pt>
                <c:pt idx="2">
                  <c:v>KN</c:v>
                </c:pt>
                <c:pt idx="3">
                  <c:v>C</c:v>
                </c:pt>
                <c:pt idx="4">
                  <c:v>ME</c:v>
                </c:pt>
                <c:pt idx="5">
                  <c:v>FE</c:v>
                </c:pt>
              </c:strCache>
            </c:strRef>
          </c:cat>
          <c:val>
            <c:numRef>
              <c:f>Foglio1!$B$2:$B$7</c:f>
              <c:numCache>
                <c:formatCode>General</c:formatCode>
                <c:ptCount val="6"/>
                <c:pt idx="0">
                  <c:v>4.6</c:v>
                </c:pt>
                <c:pt idx="1">
                  <c:v>2.8</c:v>
                </c:pt>
                <c:pt idx="2">
                  <c:v>2.3</c:v>
                </c:pt>
                <c:pt idx="3">
                  <c:v>2.0</c:v>
                </c:pt>
                <c:pt idx="4">
                  <c:v>1.9</c:v>
                </c:pt>
                <c:pt idx="5">
                  <c:v>2.6</c:v>
                </c:pt>
              </c:numCache>
            </c:numRef>
          </c:val>
          <c:extLst xmlns:c16r2="http://schemas.microsoft.com/office/drawing/2015/06/chart">
            <c:ext xmlns:c16="http://schemas.microsoft.com/office/drawing/2014/chart" uri="{C3380CC4-5D6E-409C-BE32-E72D297353CC}">
              <c16:uniqueId val="{00000000-2E54-4EF9-9306-D84D66F7639F}"/>
            </c:ext>
          </c:extLst>
        </c:ser>
        <c:ser>
          <c:idx val="1"/>
          <c:order val="1"/>
          <c:tx>
            <c:strRef>
              <c:f>Foglio1!$C$1</c:f>
              <c:strCache>
                <c:ptCount val="1"/>
                <c:pt idx="0">
                  <c:v>mean larnakes per tomb </c:v>
                </c:pt>
              </c:strCache>
            </c:strRef>
          </c:tx>
          <c:invertIfNegative val="0"/>
          <c:cat>
            <c:strRef>
              <c:f>Foglio1!$A$2:$A$7</c:f>
              <c:strCache>
                <c:ptCount val="6"/>
                <c:pt idx="0">
                  <c:v>MW</c:v>
                </c:pt>
                <c:pt idx="1">
                  <c:v>M</c:v>
                </c:pt>
                <c:pt idx="2">
                  <c:v>KN</c:v>
                </c:pt>
                <c:pt idx="3">
                  <c:v>C</c:v>
                </c:pt>
                <c:pt idx="4">
                  <c:v>ME</c:v>
                </c:pt>
                <c:pt idx="5">
                  <c:v>FE</c:v>
                </c:pt>
              </c:strCache>
            </c:strRef>
          </c:cat>
          <c:val>
            <c:numRef>
              <c:f>Foglio1!$C$2:$C$7</c:f>
              <c:numCache>
                <c:formatCode>General</c:formatCode>
                <c:ptCount val="6"/>
                <c:pt idx="0">
                  <c:v>1.8</c:v>
                </c:pt>
                <c:pt idx="1">
                  <c:v>2.9</c:v>
                </c:pt>
                <c:pt idx="2">
                  <c:v>2.0</c:v>
                </c:pt>
                <c:pt idx="3">
                  <c:v>2.3</c:v>
                </c:pt>
                <c:pt idx="4">
                  <c:v>1.7</c:v>
                </c:pt>
                <c:pt idx="5">
                  <c:v>1.7</c:v>
                </c:pt>
              </c:numCache>
            </c:numRef>
          </c:val>
          <c:extLst xmlns:c16r2="http://schemas.microsoft.com/office/drawing/2015/06/chart">
            <c:ext xmlns:c16="http://schemas.microsoft.com/office/drawing/2014/chart" uri="{C3380CC4-5D6E-409C-BE32-E72D297353CC}">
              <c16:uniqueId val="{00000001-2E54-4EF9-9306-D84D66F7639F}"/>
            </c:ext>
          </c:extLst>
        </c:ser>
        <c:dLbls>
          <c:showLegendKey val="0"/>
          <c:showVal val="0"/>
          <c:showCatName val="0"/>
          <c:showSerName val="0"/>
          <c:showPercent val="0"/>
          <c:showBubbleSize val="0"/>
        </c:dLbls>
        <c:gapWidth val="150"/>
        <c:axId val="2119840520"/>
        <c:axId val="2119440648"/>
      </c:barChart>
      <c:catAx>
        <c:axId val="2119840520"/>
        <c:scaling>
          <c:orientation val="minMax"/>
        </c:scaling>
        <c:delete val="0"/>
        <c:axPos val="b"/>
        <c:numFmt formatCode="General" sourceLinked="0"/>
        <c:majorTickMark val="out"/>
        <c:minorTickMark val="none"/>
        <c:tickLblPos val="nextTo"/>
        <c:crossAx val="2119440648"/>
        <c:crosses val="autoZero"/>
        <c:auto val="1"/>
        <c:lblAlgn val="ctr"/>
        <c:lblOffset val="100"/>
        <c:noMultiLvlLbl val="0"/>
      </c:catAx>
      <c:valAx>
        <c:axId val="2119440648"/>
        <c:scaling>
          <c:orientation val="minMax"/>
        </c:scaling>
        <c:delete val="0"/>
        <c:axPos val="l"/>
        <c:majorGridlines/>
        <c:numFmt formatCode="General" sourceLinked="1"/>
        <c:majorTickMark val="out"/>
        <c:minorTickMark val="none"/>
        <c:tickLblPos val="nextTo"/>
        <c:txPr>
          <a:bodyPr/>
          <a:lstStyle/>
          <a:p>
            <a:pPr>
              <a:defRPr>
                <a:latin typeface="Times New Roman"/>
                <a:cs typeface="Times New Roman"/>
              </a:defRPr>
            </a:pPr>
            <a:endParaRPr lang="it-IT"/>
          </a:p>
        </c:txPr>
        <c:crossAx val="211984052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it-IT" sz="1200">
                <a:latin typeface="Times New Roman" panose="02020603050405020304" pitchFamily="18" charset="0"/>
                <a:cs typeface="Times New Roman" panose="02020603050405020304" pitchFamily="18" charset="0"/>
              </a:rPr>
              <a:t>Deposition</a:t>
            </a:r>
            <a:r>
              <a:rPr lang="it-IT" sz="1200" baseline="0">
                <a:latin typeface="Times New Roman" panose="02020603050405020304" pitchFamily="18" charset="0"/>
                <a:cs typeface="Times New Roman" panose="02020603050405020304" pitchFamily="18" charset="0"/>
              </a:rPr>
              <a:t> methods Mid-West</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tx>
            <c:strRef>
              <c:f>Foglio1!$C$63</c:f>
              <c:strCache>
                <c:ptCount val="1"/>
                <c:pt idx="0">
                  <c:v>number of burials</c:v>
                </c:pt>
              </c:strCache>
            </c:strRef>
          </c:tx>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Foglio1!$B$64:$B$68</c:f>
              <c:strCache>
                <c:ptCount val="5"/>
                <c:pt idx="0">
                  <c:v>individuals in larnakes</c:v>
                </c:pt>
                <c:pt idx="1">
                  <c:v>individuals in floor burials</c:v>
                </c:pt>
                <c:pt idx="2">
                  <c:v>individuals in pit burials</c:v>
                </c:pt>
                <c:pt idx="3">
                  <c:v>individual in stamnos burial</c:v>
                </c:pt>
                <c:pt idx="4">
                  <c:v>individual in wooden bier</c:v>
                </c:pt>
              </c:strCache>
            </c:strRef>
          </c:cat>
          <c:val>
            <c:numRef>
              <c:f>Foglio1!$C$64:$C$68</c:f>
              <c:numCache>
                <c:formatCode>General</c:formatCode>
                <c:ptCount val="5"/>
                <c:pt idx="0">
                  <c:v>86.0</c:v>
                </c:pt>
                <c:pt idx="1">
                  <c:v>57.0</c:v>
                </c:pt>
                <c:pt idx="2">
                  <c:v>10.0</c:v>
                </c:pt>
                <c:pt idx="3">
                  <c:v>1.0</c:v>
                </c:pt>
                <c:pt idx="4">
                  <c:v>1.0</c:v>
                </c:pt>
              </c:numCache>
            </c:numRef>
          </c:val>
          <c:extLst xmlns:c16r2="http://schemas.microsoft.com/office/drawing/2015/06/chart">
            <c:ext xmlns:c16="http://schemas.microsoft.com/office/drawing/2014/chart" uri="{C3380CC4-5D6E-409C-BE32-E72D297353CC}">
              <c16:uniqueId val="{00000000-9F90-4E8A-8A53-48160FA3F877}"/>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it-IT" sz="1200">
                <a:latin typeface="Times New Roman" panose="02020603050405020304" pitchFamily="18" charset="0"/>
                <a:cs typeface="Times New Roman" panose="02020603050405020304" pitchFamily="18" charset="0"/>
              </a:rPr>
              <a:t>Mid</a:t>
            </a:r>
            <a:r>
              <a:rPr lang="it-IT" sz="1200" baseline="0">
                <a:latin typeface="Times New Roman" panose="02020603050405020304" pitchFamily="18" charset="0"/>
                <a:cs typeface="Times New Roman" panose="02020603050405020304" pitchFamily="18" charset="0"/>
              </a:rPr>
              <a:t>-West gender and age (tombs)</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(Foglio1!$B$18;Foglio1!$B$19)</c:f>
              <c:strCache>
                <c:ptCount val="2"/>
                <c:pt idx="0">
                  <c:v>Tombs information about gender and age</c:v>
                </c:pt>
                <c:pt idx="1">
                  <c:v>Tombs no information gender and age</c:v>
                </c:pt>
              </c:strCache>
            </c:strRef>
          </c:cat>
          <c:val>
            <c:numRef>
              <c:f>(Foglio1!$C$18;Foglio1!$C$19)</c:f>
              <c:numCache>
                <c:formatCode>General</c:formatCode>
                <c:ptCount val="2"/>
                <c:pt idx="0">
                  <c:v>10.0</c:v>
                </c:pt>
                <c:pt idx="1">
                  <c:v>47.0</c:v>
                </c:pt>
              </c:numCache>
            </c:numRef>
          </c:val>
          <c:extLst xmlns:c16r2="http://schemas.microsoft.com/office/drawing/2015/06/chart">
            <c:ext xmlns:c16="http://schemas.microsoft.com/office/drawing/2014/chart" uri="{C3380CC4-5D6E-409C-BE32-E72D297353CC}">
              <c16:uniqueId val="{00000000-77DE-46E0-8EE9-39D10071E513}"/>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it-IT" sz="1200" b="1" i="0" u="none" strike="noStrike" kern="1200" baseline="0">
                <a:solidFill>
                  <a:sysClr val="windowText" lastClr="000000"/>
                </a:solidFill>
                <a:effectLst/>
                <a:latin typeface="Times New Roman" panose="02020603050405020304" pitchFamily="18" charset="0"/>
                <a:ea typeface="+mn-ea"/>
                <a:cs typeface="Times New Roman" panose="02020603050405020304" pitchFamily="18" charset="0"/>
              </a:rPr>
              <a:t>Mid-West</a:t>
            </a:r>
            <a:r>
              <a:rPr lang="it-IT" sz="1200" b="1" i="0" baseline="0">
                <a:effectLst/>
                <a:latin typeface="Times New Roman" panose="02020603050405020304" pitchFamily="18" charset="0"/>
                <a:cs typeface="Times New Roman" panose="02020603050405020304" pitchFamily="18" charset="0"/>
              </a:rPr>
              <a:t> gender and age (skeletal remains)</a:t>
            </a:r>
            <a:endParaRPr lang="it-IT" sz="12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it-IT"/>
          </a:p>
        </c:rich>
      </c:tx>
      <c:layout/>
      <c:overlay val="0"/>
    </c:title>
    <c:autoTitleDeleted val="0"/>
    <c:plotArea>
      <c:layout/>
      <c:pieChart>
        <c:varyColors val="1"/>
        <c:ser>
          <c:idx val="1"/>
          <c:order val="1"/>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(Foglio1!$B$22;Foglio1!$B$23)</c:f>
              <c:strCache>
                <c:ptCount val="2"/>
                <c:pt idx="0">
                  <c:v>Individuals no information gender and age</c:v>
                </c:pt>
                <c:pt idx="1">
                  <c:v>Individuals information gender and age</c:v>
                </c:pt>
              </c:strCache>
            </c:strRef>
          </c:cat>
          <c:val>
            <c:numRef>
              <c:f>(Foglio1!$C$22;Foglio1!$C$23)</c:f>
              <c:numCache>
                <c:formatCode>General</c:formatCode>
                <c:ptCount val="2"/>
                <c:pt idx="0">
                  <c:v>116.0</c:v>
                </c:pt>
                <c:pt idx="1">
                  <c:v>18.0</c:v>
                </c:pt>
              </c:numCache>
            </c:numRef>
          </c:val>
          <c:extLst xmlns:c16r2="http://schemas.microsoft.com/office/drawing/2015/06/chart">
            <c:ext xmlns:c16="http://schemas.microsoft.com/office/drawing/2014/chart" uri="{C3380CC4-5D6E-409C-BE32-E72D297353CC}">
              <c16:uniqueId val="{00000000-0763-4FB7-AEA6-82A3982E5FF3}"/>
            </c:ext>
          </c:extLst>
        </c:ser>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(Foglio1!$B$22;Foglio1!$B$23)</c:f>
              <c:strCache>
                <c:ptCount val="2"/>
                <c:pt idx="0">
                  <c:v>Individuals no information gender and age</c:v>
                </c:pt>
                <c:pt idx="1">
                  <c:v>Individuals information gender and age</c:v>
                </c:pt>
              </c:strCache>
            </c:strRef>
          </c:cat>
          <c:val>
            <c:numRef>
              <c:f>(Foglio1!$C$22;Foglio1!$C$23)</c:f>
              <c:numCache>
                <c:formatCode>General</c:formatCode>
                <c:ptCount val="2"/>
                <c:pt idx="0">
                  <c:v>116.0</c:v>
                </c:pt>
                <c:pt idx="1">
                  <c:v>18.0</c:v>
                </c:pt>
              </c:numCache>
            </c:numRef>
          </c:val>
          <c:extLst xmlns:c16r2="http://schemas.microsoft.com/office/drawing/2015/06/chart">
            <c:ext xmlns:c16="http://schemas.microsoft.com/office/drawing/2014/chart" uri="{C3380CC4-5D6E-409C-BE32-E72D297353CC}">
              <c16:uniqueId val="{00000001-0763-4FB7-AEA6-82A3982E5FF3}"/>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it-IT" sz="1200">
                <a:latin typeface="Times New Roman" panose="02020603050405020304" pitchFamily="18" charset="0"/>
                <a:cs typeface="Times New Roman" panose="02020603050405020304" pitchFamily="18" charset="0"/>
              </a:rPr>
              <a:t>Mid-West</a:t>
            </a:r>
            <a:r>
              <a:rPr lang="it-IT" sz="1200" baseline="0">
                <a:latin typeface="Times New Roman" panose="02020603050405020304" pitchFamily="18" charset="0"/>
                <a:cs typeface="Times New Roman" panose="02020603050405020304" pitchFamily="18" charset="0"/>
              </a:rPr>
              <a:t> gender</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(Foglio1!$B$1;Foglio1!$C$1;Foglio1!$D$1)</c:f>
              <c:strCache>
                <c:ptCount val="3"/>
                <c:pt idx="0">
                  <c:v>NO INFO</c:v>
                </c:pt>
                <c:pt idx="1">
                  <c:v>MALE</c:v>
                </c:pt>
                <c:pt idx="2">
                  <c:v>FEMALE</c:v>
                </c:pt>
              </c:strCache>
            </c:strRef>
          </c:cat>
          <c:val>
            <c:numRef>
              <c:f>(Foglio1!$B$2;Foglio1!$C$2;Foglio1!$D$2)</c:f>
              <c:numCache>
                <c:formatCode>General</c:formatCode>
                <c:ptCount val="3"/>
                <c:pt idx="0">
                  <c:v>126.0</c:v>
                </c:pt>
                <c:pt idx="1">
                  <c:v>5.0</c:v>
                </c:pt>
                <c:pt idx="2">
                  <c:v>3.0</c:v>
                </c:pt>
              </c:numCache>
            </c:numRef>
          </c:val>
          <c:extLst xmlns:c16r2="http://schemas.microsoft.com/office/drawing/2015/06/chart">
            <c:ext xmlns:c16="http://schemas.microsoft.com/office/drawing/2014/chart" uri="{C3380CC4-5D6E-409C-BE32-E72D297353CC}">
              <c16:uniqueId val="{00000000-BC5F-4C88-9F89-196E2E805CD4}"/>
            </c:ext>
          </c:extLst>
        </c:ser>
        <c:dLbls>
          <c:showLegendKey val="0"/>
          <c:showVal val="0"/>
          <c:showCatName val="0"/>
          <c:showSerName val="0"/>
          <c:showPercent val="0"/>
          <c:showBubbleSize val="0"/>
        </c:dLbls>
        <c:gapWidth val="100"/>
        <c:axId val="1801767368"/>
        <c:axId val="-2029687112"/>
      </c:barChart>
      <c:catAx>
        <c:axId val="1801767368"/>
        <c:scaling>
          <c:orientation val="minMax"/>
        </c:scaling>
        <c:delete val="0"/>
        <c:axPos val="b"/>
        <c:numFmt formatCode="General" sourceLinked="0"/>
        <c:majorTickMark val="out"/>
        <c:minorTickMark val="none"/>
        <c:tickLblPos val="nextTo"/>
        <c:crossAx val="-2029687112"/>
        <c:crosses val="autoZero"/>
        <c:auto val="1"/>
        <c:lblAlgn val="ctr"/>
        <c:lblOffset val="100"/>
        <c:noMultiLvlLbl val="0"/>
      </c:catAx>
      <c:valAx>
        <c:axId val="-2029687112"/>
        <c:scaling>
          <c:orientation val="minMax"/>
        </c:scaling>
        <c:delete val="0"/>
        <c:axPos val="l"/>
        <c:majorGridlines/>
        <c:numFmt formatCode="General" sourceLinked="1"/>
        <c:majorTickMark val="out"/>
        <c:minorTickMark val="none"/>
        <c:tickLblPos val="nextTo"/>
        <c:crossAx val="1801767368"/>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Foglio1!$C$1</c:f>
              <c:strCache>
                <c:ptCount val="1"/>
                <c:pt idx="0">
                  <c:v>tombs with larnakes</c:v>
                </c:pt>
              </c:strCache>
            </c:strRef>
          </c:tx>
          <c:invertIfNegative val="0"/>
          <c:cat>
            <c:strRef>
              <c:f>Foglio1!$A$2:$A$21</c:f>
              <c:strCache>
                <c:ptCount val="20"/>
                <c:pt idx="0">
                  <c:v>ADELE</c:v>
                </c:pt>
                <c:pt idx="1">
                  <c:v>ANGELIANA</c:v>
                </c:pt>
                <c:pt idx="2">
                  <c:v>APOSTOLI</c:v>
                </c:pt>
                <c:pt idx="3">
                  <c:v>ARMENI</c:v>
                </c:pt>
                <c:pt idx="4">
                  <c:v>ARSANI</c:v>
                </c:pt>
                <c:pt idx="5">
                  <c:v>CHOUMERI</c:v>
                </c:pt>
                <c:pt idx="6">
                  <c:v>DRAMIA</c:v>
                </c:pt>
                <c:pt idx="7">
                  <c:v>KALAMAS MYLOPOTAMOS</c:v>
                </c:pt>
                <c:pt idx="8">
                  <c:v>KASTELLOS APOKORONOU</c:v>
                </c:pt>
                <c:pt idx="9">
                  <c:v>MAGNESIA</c:v>
                </c:pt>
                <c:pt idx="10">
                  <c:v>MARGARITES</c:v>
                </c:pt>
                <c:pt idx="11">
                  <c:v>MAROULAS</c:v>
                </c:pt>
                <c:pt idx="12">
                  <c:v>MELIDONI</c:v>
                </c:pt>
                <c:pt idx="13">
                  <c:v>MESI</c:v>
                </c:pt>
                <c:pt idx="14">
                  <c:v>MONI ARSANI</c:v>
                </c:pt>
                <c:pt idx="15">
                  <c:v>PANKALOCHORI</c:v>
                </c:pt>
                <c:pt idx="16">
                  <c:v>PIGI</c:v>
                </c:pt>
                <c:pt idx="17">
                  <c:v>SPHAKAKI</c:v>
                </c:pt>
                <c:pt idx="18">
                  <c:v>STAVROMENOS</c:v>
                </c:pt>
                <c:pt idx="19">
                  <c:v>VOLIONES</c:v>
                </c:pt>
              </c:strCache>
            </c:strRef>
          </c:cat>
          <c:val>
            <c:numRef>
              <c:f>Foglio1!$C$2:$C$21</c:f>
              <c:numCache>
                <c:formatCode>General</c:formatCode>
                <c:ptCount val="20"/>
                <c:pt idx="0">
                  <c:v>1.0</c:v>
                </c:pt>
                <c:pt idx="1">
                  <c:v>2.0</c:v>
                </c:pt>
                <c:pt idx="2">
                  <c:v>1.0</c:v>
                </c:pt>
                <c:pt idx="3">
                  <c:v>18.0</c:v>
                </c:pt>
                <c:pt idx="4">
                  <c:v>1.0</c:v>
                </c:pt>
                <c:pt idx="5">
                  <c:v>1.0</c:v>
                </c:pt>
                <c:pt idx="6">
                  <c:v>1.0</c:v>
                </c:pt>
                <c:pt idx="7">
                  <c:v>1.0</c:v>
                </c:pt>
                <c:pt idx="8">
                  <c:v>1.0</c:v>
                </c:pt>
                <c:pt idx="9">
                  <c:v>2.0</c:v>
                </c:pt>
                <c:pt idx="10">
                  <c:v>1.0</c:v>
                </c:pt>
                <c:pt idx="11">
                  <c:v>11.0</c:v>
                </c:pt>
                <c:pt idx="12">
                  <c:v>1.0</c:v>
                </c:pt>
                <c:pt idx="13">
                  <c:v>4.0</c:v>
                </c:pt>
                <c:pt idx="14">
                  <c:v>1.0</c:v>
                </c:pt>
                <c:pt idx="15">
                  <c:v>2.0</c:v>
                </c:pt>
                <c:pt idx="16">
                  <c:v>5.0</c:v>
                </c:pt>
                <c:pt idx="17">
                  <c:v>1.0</c:v>
                </c:pt>
                <c:pt idx="18">
                  <c:v>1.0</c:v>
                </c:pt>
                <c:pt idx="19">
                  <c:v>2.0</c:v>
                </c:pt>
              </c:numCache>
            </c:numRef>
          </c:val>
          <c:extLst xmlns:c16r2="http://schemas.microsoft.com/office/drawing/2015/06/chart">
            <c:ext xmlns:c16="http://schemas.microsoft.com/office/drawing/2014/chart" uri="{C3380CC4-5D6E-409C-BE32-E72D297353CC}">
              <c16:uniqueId val="{00000000-2DC2-4770-B803-EA81252B0DAA}"/>
            </c:ext>
          </c:extLst>
        </c:ser>
        <c:ser>
          <c:idx val="1"/>
          <c:order val="1"/>
          <c:tx>
            <c:strRef>
              <c:f>Foglio1!$D$1</c:f>
              <c:strCache>
                <c:ptCount val="1"/>
                <c:pt idx="0">
                  <c:v>tombs without larnakes/no info</c:v>
                </c:pt>
              </c:strCache>
            </c:strRef>
          </c:tx>
          <c:invertIfNegative val="0"/>
          <c:cat>
            <c:strRef>
              <c:f>Foglio1!$A$2:$A$21</c:f>
              <c:strCache>
                <c:ptCount val="20"/>
                <c:pt idx="0">
                  <c:v>ADELE</c:v>
                </c:pt>
                <c:pt idx="1">
                  <c:v>ANGELIANA</c:v>
                </c:pt>
                <c:pt idx="2">
                  <c:v>APOSTOLI</c:v>
                </c:pt>
                <c:pt idx="3">
                  <c:v>ARMENI</c:v>
                </c:pt>
                <c:pt idx="4">
                  <c:v>ARSANI</c:v>
                </c:pt>
                <c:pt idx="5">
                  <c:v>CHOUMERI</c:v>
                </c:pt>
                <c:pt idx="6">
                  <c:v>DRAMIA</c:v>
                </c:pt>
                <c:pt idx="7">
                  <c:v>KALAMAS MYLOPOTAMOS</c:v>
                </c:pt>
                <c:pt idx="8">
                  <c:v>KASTELLOS APOKORONOU</c:v>
                </c:pt>
                <c:pt idx="9">
                  <c:v>MAGNESIA</c:v>
                </c:pt>
                <c:pt idx="10">
                  <c:v>MARGARITES</c:v>
                </c:pt>
                <c:pt idx="11">
                  <c:v>MAROULAS</c:v>
                </c:pt>
                <c:pt idx="12">
                  <c:v>MELIDONI</c:v>
                </c:pt>
                <c:pt idx="13">
                  <c:v>MESI</c:v>
                </c:pt>
                <c:pt idx="14">
                  <c:v>MONI ARSANI</c:v>
                </c:pt>
                <c:pt idx="15">
                  <c:v>PANKALOCHORI</c:v>
                </c:pt>
                <c:pt idx="16">
                  <c:v>PIGI</c:v>
                </c:pt>
                <c:pt idx="17">
                  <c:v>SPHAKAKI</c:v>
                </c:pt>
                <c:pt idx="18">
                  <c:v>STAVROMENOS</c:v>
                </c:pt>
                <c:pt idx="19">
                  <c:v>VOLIONES</c:v>
                </c:pt>
              </c:strCache>
            </c:strRef>
          </c:cat>
          <c:val>
            <c:numRef>
              <c:f>Foglio1!$D$2:$D$21</c:f>
              <c:numCache>
                <c:formatCode>General</c:formatCode>
                <c:ptCount val="20"/>
                <c:pt idx="3">
                  <c:v>214.0</c:v>
                </c:pt>
                <c:pt idx="4">
                  <c:v>1.0</c:v>
                </c:pt>
                <c:pt idx="5">
                  <c:v>1.0</c:v>
                </c:pt>
                <c:pt idx="11">
                  <c:v>4.0</c:v>
                </c:pt>
                <c:pt idx="13">
                  <c:v>1.0</c:v>
                </c:pt>
                <c:pt idx="14">
                  <c:v>2.0</c:v>
                </c:pt>
              </c:numCache>
            </c:numRef>
          </c:val>
          <c:extLst xmlns:c16r2="http://schemas.microsoft.com/office/drawing/2015/06/chart">
            <c:ext xmlns:c16="http://schemas.microsoft.com/office/drawing/2014/chart" uri="{C3380CC4-5D6E-409C-BE32-E72D297353CC}">
              <c16:uniqueId val="{00000001-2DC2-4770-B803-EA81252B0DAA}"/>
            </c:ext>
          </c:extLst>
        </c:ser>
        <c:dLbls>
          <c:showLegendKey val="0"/>
          <c:showVal val="0"/>
          <c:showCatName val="0"/>
          <c:showSerName val="0"/>
          <c:showPercent val="0"/>
          <c:showBubbleSize val="0"/>
        </c:dLbls>
        <c:gapWidth val="150"/>
        <c:axId val="1860457816"/>
        <c:axId val="-2062066024"/>
      </c:barChart>
      <c:catAx>
        <c:axId val="1860457816"/>
        <c:scaling>
          <c:orientation val="minMax"/>
        </c:scaling>
        <c:delete val="0"/>
        <c:axPos val="b"/>
        <c:numFmt formatCode="General" sourceLinked="0"/>
        <c:majorTickMark val="out"/>
        <c:minorTickMark val="none"/>
        <c:tickLblPos val="nextTo"/>
        <c:crossAx val="-2062066024"/>
        <c:crosses val="autoZero"/>
        <c:auto val="1"/>
        <c:lblAlgn val="ctr"/>
        <c:lblOffset val="100"/>
        <c:noMultiLvlLbl val="0"/>
      </c:catAx>
      <c:valAx>
        <c:axId val="-2062066024"/>
        <c:scaling>
          <c:orientation val="minMax"/>
        </c:scaling>
        <c:delete val="0"/>
        <c:axPos val="l"/>
        <c:majorGridlines/>
        <c:numFmt formatCode="General" sourceLinked="1"/>
        <c:majorTickMark val="out"/>
        <c:minorTickMark val="none"/>
        <c:tickLblPos val="nextTo"/>
        <c:crossAx val="186045781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Mid</a:t>
            </a:r>
            <a:r>
              <a:rPr lang="it-IT" sz="1200" baseline="0">
                <a:latin typeface="Times New Roman" panose="02020603050405020304" pitchFamily="18" charset="0"/>
                <a:cs typeface="Times New Roman" panose="02020603050405020304" pitchFamily="18" charset="0"/>
              </a:rPr>
              <a:t>-West age</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barChart>
        <c:barDir val="col"/>
        <c:grouping val="clustered"/>
        <c:varyColors val="0"/>
        <c:ser>
          <c:idx val="0"/>
          <c:order val="0"/>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Foglio1!$B$7:$F$7</c:f>
              <c:strCache>
                <c:ptCount val="5"/>
                <c:pt idx="0">
                  <c:v>NO INFO</c:v>
                </c:pt>
                <c:pt idx="1">
                  <c:v>YOUNG</c:v>
                </c:pt>
                <c:pt idx="2">
                  <c:v>CHILD</c:v>
                </c:pt>
                <c:pt idx="3">
                  <c:v>BABY/EMBRYO</c:v>
                </c:pt>
                <c:pt idx="4">
                  <c:v>ADULT</c:v>
                </c:pt>
              </c:strCache>
            </c:strRef>
          </c:cat>
          <c:val>
            <c:numRef>
              <c:f>Foglio1!$B$8:$F$8</c:f>
              <c:numCache>
                <c:formatCode>General</c:formatCode>
                <c:ptCount val="5"/>
                <c:pt idx="0">
                  <c:v>119.0</c:v>
                </c:pt>
                <c:pt idx="1">
                  <c:v>1.0</c:v>
                </c:pt>
                <c:pt idx="2">
                  <c:v>3.0</c:v>
                </c:pt>
                <c:pt idx="3">
                  <c:v>3.0</c:v>
                </c:pt>
                <c:pt idx="4">
                  <c:v>8.0</c:v>
                </c:pt>
              </c:numCache>
            </c:numRef>
          </c:val>
          <c:extLst xmlns:c16r2="http://schemas.microsoft.com/office/drawing/2015/06/chart">
            <c:ext xmlns:c16="http://schemas.microsoft.com/office/drawing/2014/chart" uri="{C3380CC4-5D6E-409C-BE32-E72D297353CC}">
              <c16:uniqueId val="{00000000-868B-4B4E-99EB-F81E14DCA407}"/>
            </c:ext>
          </c:extLst>
        </c:ser>
        <c:dLbls>
          <c:showLegendKey val="0"/>
          <c:showVal val="0"/>
          <c:showCatName val="0"/>
          <c:showSerName val="0"/>
          <c:showPercent val="0"/>
          <c:showBubbleSize val="0"/>
        </c:dLbls>
        <c:gapWidth val="75"/>
        <c:overlap val="40"/>
        <c:axId val="-2066315848"/>
        <c:axId val="-2076817656"/>
      </c:barChart>
      <c:catAx>
        <c:axId val="-2066315848"/>
        <c:scaling>
          <c:orientation val="minMax"/>
        </c:scaling>
        <c:delete val="0"/>
        <c:axPos val="b"/>
        <c:numFmt formatCode="General" sourceLinked="0"/>
        <c:majorTickMark val="none"/>
        <c:minorTickMark val="none"/>
        <c:tickLblPos val="nextTo"/>
        <c:crossAx val="-2076817656"/>
        <c:crosses val="autoZero"/>
        <c:auto val="1"/>
        <c:lblAlgn val="ctr"/>
        <c:lblOffset val="100"/>
        <c:noMultiLvlLbl val="0"/>
      </c:catAx>
      <c:valAx>
        <c:axId val="-2076817656"/>
        <c:scaling>
          <c:orientation val="minMax"/>
        </c:scaling>
        <c:delete val="0"/>
        <c:axPos val="l"/>
        <c:majorGridlines/>
        <c:numFmt formatCode="General" sourceLinked="1"/>
        <c:majorTickMark val="none"/>
        <c:minorTickMark val="none"/>
        <c:tickLblPos val="nextTo"/>
        <c:crossAx val="-2066315848"/>
        <c:crosses val="autoZero"/>
        <c:crossBetween val="between"/>
      </c:valAx>
    </c:plotArea>
    <c:plotVisOnly val="1"/>
    <c:dispBlanksAs val="gap"/>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it-IT" sz="1200" b="1" i="0" baseline="0">
                <a:effectLst/>
                <a:latin typeface="Times New Roman" panose="02020603050405020304" pitchFamily="18" charset="0"/>
                <a:cs typeface="Times New Roman" panose="02020603050405020304" pitchFamily="18" charset="0"/>
              </a:rPr>
              <a:t>Deposition methods Mesara</a:t>
            </a:r>
            <a:endParaRPr lang="it-IT" sz="12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(Foglio1!$A$38;Foglio1!$A$39;Foglio1!$A$40;Foglio1!$A$41;Foglio1!$A$42;Foglio1!$A$43;Foglio1!$A$44)</c:f>
              <c:strCache>
                <c:ptCount val="7"/>
                <c:pt idx="0">
                  <c:v>individuals in larnakes</c:v>
                </c:pt>
                <c:pt idx="1">
                  <c:v>individuals in floor burials</c:v>
                </c:pt>
                <c:pt idx="2">
                  <c:v>individuals in pit burials</c:v>
                </c:pt>
                <c:pt idx="3">
                  <c:v>individuals in wooden bier/coffin</c:v>
                </c:pt>
                <c:pt idx="4">
                  <c:v>individuals in stone sarcophagus</c:v>
                </c:pt>
                <c:pt idx="5">
                  <c:v>individual in bench burial</c:v>
                </c:pt>
                <c:pt idx="6">
                  <c:v>individual cremated in pyxis</c:v>
                </c:pt>
              </c:strCache>
            </c:strRef>
          </c:cat>
          <c:val>
            <c:numRef>
              <c:f>(Foglio1!$B$38;Foglio1!$B$39;Foglio1!$B$40;Foglio1!$B$41;Foglio1!$B$42;Foglio1!$B$43;Foglio1!$B$44)</c:f>
              <c:numCache>
                <c:formatCode>General</c:formatCode>
                <c:ptCount val="7"/>
                <c:pt idx="0">
                  <c:v>86.0</c:v>
                </c:pt>
                <c:pt idx="1">
                  <c:v>26.0</c:v>
                </c:pt>
                <c:pt idx="2">
                  <c:v>4.0</c:v>
                </c:pt>
                <c:pt idx="3">
                  <c:v>2.0</c:v>
                </c:pt>
                <c:pt idx="4">
                  <c:v>2.0</c:v>
                </c:pt>
                <c:pt idx="5">
                  <c:v>1.0</c:v>
                </c:pt>
                <c:pt idx="6">
                  <c:v>1.0</c:v>
                </c:pt>
              </c:numCache>
            </c:numRef>
          </c:val>
          <c:extLst xmlns:c16r2="http://schemas.microsoft.com/office/drawing/2015/06/chart">
            <c:ext xmlns:c16="http://schemas.microsoft.com/office/drawing/2014/chart" uri="{C3380CC4-5D6E-409C-BE32-E72D297353CC}">
              <c16:uniqueId val="{00000000-7E0D-4E24-BEE4-6865CAE2E7E2}"/>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Mesara</a:t>
            </a:r>
            <a:r>
              <a:rPr lang="it-IT" sz="1200" baseline="0">
                <a:latin typeface="Times New Roman" panose="02020603050405020304" pitchFamily="18" charset="0"/>
                <a:cs typeface="Times New Roman" panose="02020603050405020304" pitchFamily="18" charset="0"/>
              </a:rPr>
              <a:t> gender and age (tombs)</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(Foglio1!$B$18;Foglio1!$B$19)</c:f>
              <c:strCache>
                <c:ptCount val="2"/>
                <c:pt idx="0">
                  <c:v>Tombs with information about gender and age</c:v>
                </c:pt>
                <c:pt idx="1">
                  <c:v>Tombs no information gender and age</c:v>
                </c:pt>
              </c:strCache>
            </c:strRef>
          </c:cat>
          <c:val>
            <c:numRef>
              <c:f>(Foglio1!$C$18;Foglio1!$C$19)</c:f>
              <c:numCache>
                <c:formatCode>General</c:formatCode>
                <c:ptCount val="2"/>
                <c:pt idx="0">
                  <c:v>4.0</c:v>
                </c:pt>
                <c:pt idx="1">
                  <c:v>37.0</c:v>
                </c:pt>
              </c:numCache>
            </c:numRef>
          </c:val>
          <c:extLst xmlns:c16r2="http://schemas.microsoft.com/office/drawing/2015/06/chart">
            <c:ext xmlns:c16="http://schemas.microsoft.com/office/drawing/2014/chart" uri="{C3380CC4-5D6E-409C-BE32-E72D297353CC}">
              <c16:uniqueId val="{00000000-14FA-40E5-947E-641B48F1FCA9}"/>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Mesara</a:t>
            </a:r>
            <a:r>
              <a:rPr lang="it-IT" sz="1200" baseline="0">
                <a:latin typeface="Times New Roman" panose="02020603050405020304" pitchFamily="18" charset="0"/>
                <a:cs typeface="Times New Roman" panose="02020603050405020304" pitchFamily="18" charset="0"/>
              </a:rPr>
              <a:t> gender and age (skeletal remains)</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(Foglio1!$A$13;Foglio1!$A$14)</c:f>
              <c:strCache>
                <c:ptCount val="2"/>
                <c:pt idx="0">
                  <c:v>No. of individuals no information gender and age</c:v>
                </c:pt>
                <c:pt idx="1">
                  <c:v>No. of individuals with information gender and age</c:v>
                </c:pt>
              </c:strCache>
            </c:strRef>
          </c:cat>
          <c:val>
            <c:numRef>
              <c:f>(Foglio1!$B$13;Foglio1!$B$14)</c:f>
              <c:numCache>
                <c:formatCode>General</c:formatCode>
                <c:ptCount val="2"/>
                <c:pt idx="0">
                  <c:v>86.0</c:v>
                </c:pt>
                <c:pt idx="1">
                  <c:v>24.0</c:v>
                </c:pt>
              </c:numCache>
            </c:numRef>
          </c:val>
          <c:extLst xmlns:c16r2="http://schemas.microsoft.com/office/drawing/2015/06/chart">
            <c:ext xmlns:c16="http://schemas.microsoft.com/office/drawing/2014/chart" uri="{C3380CC4-5D6E-409C-BE32-E72D297353CC}">
              <c16:uniqueId val="{00000000-F6CD-4CA2-9E00-B1DB46794BA1}"/>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Mesara</a:t>
            </a:r>
            <a:r>
              <a:rPr lang="it-IT" sz="1200" baseline="0">
                <a:latin typeface="Times New Roman" panose="02020603050405020304" pitchFamily="18" charset="0"/>
                <a:cs typeface="Times New Roman" panose="02020603050405020304" pitchFamily="18" charset="0"/>
              </a:rPr>
              <a:t> gender</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barChart>
        <c:barDir val="col"/>
        <c:grouping val="clustered"/>
        <c:varyColors val="0"/>
        <c:ser>
          <c:idx val="0"/>
          <c:order val="0"/>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Foglio1!$B$1:$D$1</c:f>
              <c:strCache>
                <c:ptCount val="3"/>
                <c:pt idx="0">
                  <c:v>NO INFO</c:v>
                </c:pt>
                <c:pt idx="1">
                  <c:v>MALE</c:v>
                </c:pt>
                <c:pt idx="2">
                  <c:v>FEMALE</c:v>
                </c:pt>
              </c:strCache>
            </c:strRef>
          </c:cat>
          <c:val>
            <c:numRef>
              <c:f>Foglio1!$B$2:$D$2</c:f>
              <c:numCache>
                <c:formatCode>General</c:formatCode>
                <c:ptCount val="3"/>
                <c:pt idx="0">
                  <c:v>90.0</c:v>
                </c:pt>
                <c:pt idx="1">
                  <c:v>10.0</c:v>
                </c:pt>
                <c:pt idx="2">
                  <c:v>9.0</c:v>
                </c:pt>
              </c:numCache>
            </c:numRef>
          </c:val>
          <c:extLst xmlns:c16r2="http://schemas.microsoft.com/office/drawing/2015/06/chart">
            <c:ext xmlns:c16="http://schemas.microsoft.com/office/drawing/2014/chart" uri="{C3380CC4-5D6E-409C-BE32-E72D297353CC}">
              <c16:uniqueId val="{00000000-8E00-46D2-8881-B266ED1D6B6C}"/>
            </c:ext>
          </c:extLst>
        </c:ser>
        <c:dLbls>
          <c:showLegendKey val="0"/>
          <c:showVal val="0"/>
          <c:showCatName val="0"/>
          <c:showSerName val="0"/>
          <c:showPercent val="0"/>
          <c:showBubbleSize val="0"/>
        </c:dLbls>
        <c:gapWidth val="75"/>
        <c:overlap val="40"/>
        <c:axId val="-1968718072"/>
        <c:axId val="1841518712"/>
      </c:barChart>
      <c:catAx>
        <c:axId val="-1968718072"/>
        <c:scaling>
          <c:orientation val="minMax"/>
        </c:scaling>
        <c:delete val="0"/>
        <c:axPos val="b"/>
        <c:numFmt formatCode="General" sourceLinked="0"/>
        <c:majorTickMark val="none"/>
        <c:minorTickMark val="none"/>
        <c:tickLblPos val="nextTo"/>
        <c:crossAx val="1841518712"/>
        <c:crosses val="autoZero"/>
        <c:auto val="1"/>
        <c:lblAlgn val="ctr"/>
        <c:lblOffset val="100"/>
        <c:noMultiLvlLbl val="0"/>
      </c:catAx>
      <c:valAx>
        <c:axId val="1841518712"/>
        <c:scaling>
          <c:orientation val="minMax"/>
        </c:scaling>
        <c:delete val="0"/>
        <c:axPos val="l"/>
        <c:majorGridlines/>
        <c:numFmt formatCode="General" sourceLinked="1"/>
        <c:majorTickMark val="none"/>
        <c:minorTickMark val="none"/>
        <c:tickLblPos val="nextTo"/>
        <c:crossAx val="-1968718072"/>
        <c:crosses val="autoZero"/>
        <c:crossBetween val="between"/>
      </c:valAx>
    </c:plotArea>
    <c:plotVisOnly val="1"/>
    <c:dispBlanksAs val="gap"/>
    <c:showDLblsOverMax val="0"/>
  </c:chart>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b="1"/>
            </a:pPr>
            <a:r>
              <a:rPr lang="it-IT" sz="1200" b="1"/>
              <a:t>Mesara</a:t>
            </a:r>
            <a:r>
              <a:rPr lang="it-IT" sz="1200" b="1" baseline="0"/>
              <a:t> age</a:t>
            </a:r>
            <a:endParaRPr lang="it-IT" sz="1200" b="1"/>
          </a:p>
        </c:rich>
      </c:tx>
      <c:layout/>
      <c:overlay val="0"/>
    </c:title>
    <c:autoTitleDeleted val="0"/>
    <c:plotArea>
      <c:layout/>
      <c:barChart>
        <c:barDir val="col"/>
        <c:grouping val="clustered"/>
        <c:varyColors val="0"/>
        <c:ser>
          <c:idx val="0"/>
          <c:order val="0"/>
          <c:invertIfNegative val="0"/>
          <c:dLbls>
            <c:dLblPos val="inEnd"/>
            <c:showLegendKey val="0"/>
            <c:showVal val="1"/>
            <c:showCatName val="0"/>
            <c:showSerName val="0"/>
            <c:showPercent val="0"/>
            <c:showBubbleSize val="0"/>
            <c:showLeaderLines val="0"/>
          </c:dLbls>
          <c:cat>
            <c:strRef>
              <c:f>Foglio1!$B$4:$F$4</c:f>
              <c:strCache>
                <c:ptCount val="5"/>
                <c:pt idx="0">
                  <c:v>NO INFO</c:v>
                </c:pt>
                <c:pt idx="1">
                  <c:v>ADULT</c:v>
                </c:pt>
                <c:pt idx="2">
                  <c:v>ADOLESCENT</c:v>
                </c:pt>
                <c:pt idx="3">
                  <c:v>CHILD</c:v>
                </c:pt>
                <c:pt idx="4">
                  <c:v>BABY/EMBRYO</c:v>
                </c:pt>
              </c:strCache>
            </c:strRef>
          </c:cat>
          <c:val>
            <c:numRef>
              <c:f>Foglio1!$B$5:$F$5</c:f>
              <c:numCache>
                <c:formatCode>General</c:formatCode>
                <c:ptCount val="5"/>
                <c:pt idx="0">
                  <c:v>89.0</c:v>
                </c:pt>
                <c:pt idx="1">
                  <c:v>14.0</c:v>
                </c:pt>
                <c:pt idx="2">
                  <c:v>1.0</c:v>
                </c:pt>
                <c:pt idx="3">
                  <c:v>4.0</c:v>
                </c:pt>
                <c:pt idx="4">
                  <c:v>1.0</c:v>
                </c:pt>
              </c:numCache>
            </c:numRef>
          </c:val>
        </c:ser>
        <c:dLbls>
          <c:showLegendKey val="0"/>
          <c:showVal val="1"/>
          <c:showCatName val="0"/>
          <c:showSerName val="0"/>
          <c:showPercent val="0"/>
          <c:showBubbleSize val="0"/>
        </c:dLbls>
        <c:gapWidth val="75"/>
        <c:overlap val="40"/>
        <c:axId val="1842319592"/>
        <c:axId val="-1965747736"/>
      </c:barChart>
      <c:catAx>
        <c:axId val="1842319592"/>
        <c:scaling>
          <c:orientation val="minMax"/>
        </c:scaling>
        <c:delete val="0"/>
        <c:axPos val="b"/>
        <c:majorTickMark val="none"/>
        <c:minorTickMark val="none"/>
        <c:tickLblPos val="nextTo"/>
        <c:crossAx val="-1965747736"/>
        <c:crosses val="autoZero"/>
        <c:auto val="1"/>
        <c:lblAlgn val="ctr"/>
        <c:lblOffset val="100"/>
        <c:noMultiLvlLbl val="0"/>
      </c:catAx>
      <c:valAx>
        <c:axId val="-1965747736"/>
        <c:scaling>
          <c:orientation val="minMax"/>
        </c:scaling>
        <c:delete val="0"/>
        <c:axPos val="l"/>
        <c:majorGridlines/>
        <c:numFmt formatCode="General" sourceLinked="1"/>
        <c:majorTickMark val="none"/>
        <c:minorTickMark val="none"/>
        <c:tickLblPos val="nextTo"/>
        <c:crossAx val="1842319592"/>
        <c:crosses val="autoZero"/>
        <c:crossBetween val="between"/>
      </c:valAx>
    </c:plotArea>
    <c:plotVisOnly val="1"/>
    <c:dispBlanksAs val="gap"/>
    <c:showDLblsOverMax val="0"/>
  </c:chart>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it-IT" sz="1200" b="1" i="0" baseline="0">
                <a:effectLst/>
                <a:latin typeface="Times New Roman" panose="02020603050405020304" pitchFamily="18" charset="0"/>
                <a:cs typeface="Times New Roman" panose="02020603050405020304" pitchFamily="18" charset="0"/>
              </a:rPr>
              <a:t>Deposition methods, Knossos</a:t>
            </a:r>
            <a:endParaRPr lang="it-IT" sz="12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Foglio1!$A$51:$A$55</c:f>
              <c:strCache>
                <c:ptCount val="5"/>
                <c:pt idx="0">
                  <c:v>individuals in larnakes</c:v>
                </c:pt>
                <c:pt idx="1">
                  <c:v>individuals in floor burials</c:v>
                </c:pt>
                <c:pt idx="2">
                  <c:v>individuals in pit burials</c:v>
                </c:pt>
                <c:pt idx="3">
                  <c:v>individual in dromos burial</c:v>
                </c:pt>
                <c:pt idx="4">
                  <c:v>wooden bier/chest burial (?)</c:v>
                </c:pt>
              </c:strCache>
            </c:strRef>
          </c:cat>
          <c:val>
            <c:numRef>
              <c:f>Foglio1!$B$51:$B$55</c:f>
              <c:numCache>
                <c:formatCode>General</c:formatCode>
                <c:ptCount val="5"/>
                <c:pt idx="0">
                  <c:v>70.0</c:v>
                </c:pt>
                <c:pt idx="1">
                  <c:v>11.0</c:v>
                </c:pt>
                <c:pt idx="2">
                  <c:v>6.0</c:v>
                </c:pt>
                <c:pt idx="3">
                  <c:v>1.0</c:v>
                </c:pt>
                <c:pt idx="4">
                  <c:v>1.0</c:v>
                </c:pt>
              </c:numCache>
            </c:numRef>
          </c:val>
          <c:extLst xmlns:c16r2="http://schemas.microsoft.com/office/drawing/2015/06/chart">
            <c:ext xmlns:c16="http://schemas.microsoft.com/office/drawing/2014/chart" uri="{C3380CC4-5D6E-409C-BE32-E72D297353CC}">
              <c16:uniqueId val="{00000000-3ECA-4F87-8A8E-44FEE77D9009}"/>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Knossos</a:t>
            </a:r>
            <a:r>
              <a:rPr lang="it-IT" sz="1200" baseline="0">
                <a:latin typeface="Times New Roman" panose="02020603050405020304" pitchFamily="18" charset="0"/>
                <a:cs typeface="Times New Roman" panose="02020603050405020304" pitchFamily="18" charset="0"/>
              </a:rPr>
              <a:t> gender and age (tombs)</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(Foglio1!$A$29;Foglio1!$A$30)</c:f>
              <c:strCache>
                <c:ptCount val="2"/>
                <c:pt idx="0">
                  <c:v>Tombs with information on gender and age</c:v>
                </c:pt>
                <c:pt idx="1">
                  <c:v>Tombs without information on gender and age</c:v>
                </c:pt>
              </c:strCache>
            </c:strRef>
          </c:cat>
          <c:val>
            <c:numRef>
              <c:f>(Foglio1!$B$29;Foglio1!$B$30)</c:f>
              <c:numCache>
                <c:formatCode>General</c:formatCode>
                <c:ptCount val="2"/>
                <c:pt idx="0">
                  <c:v>5.0</c:v>
                </c:pt>
                <c:pt idx="1">
                  <c:v>48.0</c:v>
                </c:pt>
              </c:numCache>
            </c:numRef>
          </c:val>
          <c:extLst xmlns:c16r2="http://schemas.microsoft.com/office/drawing/2015/06/chart">
            <c:ext xmlns:c16="http://schemas.microsoft.com/office/drawing/2014/chart" uri="{C3380CC4-5D6E-409C-BE32-E72D297353CC}">
              <c16:uniqueId val="{00000000-D3E6-4EE7-A3F4-6A5F38A7F71B}"/>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Knossos</a:t>
            </a:r>
            <a:r>
              <a:rPr lang="it-IT" sz="1200" baseline="0">
                <a:latin typeface="Times New Roman" panose="02020603050405020304" pitchFamily="18" charset="0"/>
                <a:cs typeface="Times New Roman" panose="02020603050405020304" pitchFamily="18" charset="0"/>
              </a:rPr>
              <a:t> gender and age (skeletal remains)</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(Foglio1!$A$24;Foglio1!$A$25)</c:f>
              <c:strCache>
                <c:ptCount val="2"/>
                <c:pt idx="0">
                  <c:v>Individuals with no information on gender and age</c:v>
                </c:pt>
                <c:pt idx="1">
                  <c:v>Individuals with information on gender and age</c:v>
                </c:pt>
              </c:strCache>
            </c:strRef>
          </c:cat>
          <c:val>
            <c:numRef>
              <c:f>(Foglio1!$B$24;Foglio1!$B$25)</c:f>
              <c:numCache>
                <c:formatCode>General</c:formatCode>
                <c:ptCount val="2"/>
                <c:pt idx="0">
                  <c:v>76.0</c:v>
                </c:pt>
                <c:pt idx="1">
                  <c:v>12.0</c:v>
                </c:pt>
              </c:numCache>
            </c:numRef>
          </c:val>
          <c:extLst xmlns:c16r2="http://schemas.microsoft.com/office/drawing/2015/06/chart">
            <c:ext xmlns:c16="http://schemas.microsoft.com/office/drawing/2014/chart" uri="{C3380CC4-5D6E-409C-BE32-E72D297353CC}">
              <c16:uniqueId val="{00000000-9A62-4F87-B11A-505EA7B0B747}"/>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Knossos</a:t>
            </a:r>
            <a:r>
              <a:rPr lang="it-IT" sz="1200" baseline="0">
                <a:latin typeface="Times New Roman" panose="02020603050405020304" pitchFamily="18" charset="0"/>
                <a:cs typeface="Times New Roman" panose="02020603050405020304" pitchFamily="18" charset="0"/>
              </a:rPr>
              <a:t> gender</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(Foglio1!$B$1;Foglio1!$C$1;Foglio1!$D$1)</c:f>
              <c:strCache>
                <c:ptCount val="3"/>
                <c:pt idx="0">
                  <c:v>NO INFO</c:v>
                </c:pt>
                <c:pt idx="1">
                  <c:v>MALE</c:v>
                </c:pt>
                <c:pt idx="2">
                  <c:v>FEMALE</c:v>
                </c:pt>
              </c:strCache>
            </c:strRef>
          </c:cat>
          <c:val>
            <c:numRef>
              <c:f>(Foglio1!$B$2;Foglio1!$C$2;Foglio1!$D$2)</c:f>
              <c:numCache>
                <c:formatCode>General</c:formatCode>
                <c:ptCount val="3"/>
                <c:pt idx="0">
                  <c:v>84.0</c:v>
                </c:pt>
                <c:pt idx="1">
                  <c:v>1.0</c:v>
                </c:pt>
                <c:pt idx="2">
                  <c:v>3.0</c:v>
                </c:pt>
              </c:numCache>
            </c:numRef>
          </c:val>
          <c:extLst xmlns:c16r2="http://schemas.microsoft.com/office/drawing/2015/06/chart">
            <c:ext xmlns:c16="http://schemas.microsoft.com/office/drawing/2014/chart" uri="{C3380CC4-5D6E-409C-BE32-E72D297353CC}">
              <c16:uniqueId val="{00000000-F7C8-446F-BC4E-5158743AD72F}"/>
            </c:ext>
          </c:extLst>
        </c:ser>
        <c:dLbls>
          <c:showLegendKey val="0"/>
          <c:showVal val="0"/>
          <c:showCatName val="0"/>
          <c:showSerName val="0"/>
          <c:showPercent val="0"/>
          <c:showBubbleSize val="0"/>
        </c:dLbls>
        <c:gapWidth val="100"/>
        <c:axId val="-2062872136"/>
        <c:axId val="-2127753208"/>
      </c:barChart>
      <c:catAx>
        <c:axId val="-2062872136"/>
        <c:scaling>
          <c:orientation val="minMax"/>
        </c:scaling>
        <c:delete val="0"/>
        <c:axPos val="b"/>
        <c:numFmt formatCode="General" sourceLinked="0"/>
        <c:majorTickMark val="out"/>
        <c:minorTickMark val="none"/>
        <c:tickLblPos val="nextTo"/>
        <c:crossAx val="-2127753208"/>
        <c:crosses val="autoZero"/>
        <c:auto val="1"/>
        <c:lblAlgn val="ctr"/>
        <c:lblOffset val="100"/>
        <c:noMultiLvlLbl val="0"/>
      </c:catAx>
      <c:valAx>
        <c:axId val="-2127753208"/>
        <c:scaling>
          <c:orientation val="minMax"/>
        </c:scaling>
        <c:delete val="0"/>
        <c:axPos val="l"/>
        <c:majorGridlines/>
        <c:numFmt formatCode="General" sourceLinked="1"/>
        <c:majorTickMark val="out"/>
        <c:minorTickMark val="none"/>
        <c:tickLblPos val="nextTo"/>
        <c:crossAx val="-2062872136"/>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000"/>
            </a:pPr>
            <a:r>
              <a:rPr lang="it-IT" sz="1200">
                <a:latin typeface="Times New Roman" panose="02020603050405020304" pitchFamily="18" charset="0"/>
                <a:cs typeface="Times New Roman" panose="02020603050405020304" pitchFamily="18" charset="0"/>
              </a:rPr>
              <a:t>Armenoi</a:t>
            </a:r>
          </a:p>
        </c:rich>
      </c:tx>
      <c:layout/>
      <c:overlay val="0"/>
    </c:title>
    <c:autoTitleDeleted val="0"/>
    <c:plotArea>
      <c:layout/>
      <c:pieChart>
        <c:varyColors val="1"/>
        <c:ser>
          <c:idx val="0"/>
          <c:order val="0"/>
          <c:dLbls>
            <c:spPr>
              <a:noFill/>
              <a:ln>
                <a:noFill/>
              </a:ln>
              <a:effectLst/>
            </c:spPr>
            <c:txPr>
              <a:bodyPr/>
              <a:lstStyle/>
              <a:p>
                <a:pPr>
                  <a:defRPr sz="800"/>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(Foglio1!$C$1;Foglio1!$D$1)</c:f>
              <c:strCache>
                <c:ptCount val="2"/>
                <c:pt idx="0">
                  <c:v>tombs with larnakes</c:v>
                </c:pt>
                <c:pt idx="1">
                  <c:v>tombs without larnakes</c:v>
                </c:pt>
              </c:strCache>
            </c:strRef>
          </c:cat>
          <c:val>
            <c:numRef>
              <c:f>(Foglio1!$C$5;Foglio1!$D$5)</c:f>
              <c:numCache>
                <c:formatCode>General</c:formatCode>
                <c:ptCount val="2"/>
                <c:pt idx="0">
                  <c:v>18.0</c:v>
                </c:pt>
                <c:pt idx="1">
                  <c:v>214.0</c:v>
                </c:pt>
              </c:numCache>
            </c:numRef>
          </c:val>
          <c:extLst xmlns:c16r2="http://schemas.microsoft.com/office/drawing/2015/06/chart">
            <c:ext xmlns:c16="http://schemas.microsoft.com/office/drawing/2014/chart" uri="{C3380CC4-5D6E-409C-BE32-E72D297353CC}">
              <c16:uniqueId val="{00000000-0368-4CAE-B3D7-C98064714939}"/>
            </c:ext>
          </c:extLst>
        </c:ser>
        <c:dLbls>
          <c:showLegendKey val="0"/>
          <c:showVal val="0"/>
          <c:showCatName val="0"/>
          <c:showSerName val="0"/>
          <c:showPercent val="1"/>
          <c:showBubbleSize val="0"/>
          <c:showLeaderLines val="1"/>
        </c:dLbls>
        <c:firstSliceAng val="0"/>
      </c:pieChart>
    </c:plotArea>
    <c:legend>
      <c:legendPos val="t"/>
      <c:layout/>
      <c:overlay val="0"/>
      <c:txPr>
        <a:bodyPr/>
        <a:lstStyle/>
        <a:p>
          <a:pPr>
            <a:defRPr sz="800"/>
          </a:pPr>
          <a:endParaRPr lang="it-IT"/>
        </a:p>
      </c:txPr>
    </c:legend>
    <c:plotVisOnly val="1"/>
    <c:dispBlanksAs val="gap"/>
    <c:showDLblsOverMax val="0"/>
  </c:chart>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Knossos</a:t>
            </a:r>
            <a:r>
              <a:rPr lang="it-IT" sz="1200" baseline="0">
                <a:latin typeface="Times New Roman" panose="02020603050405020304" pitchFamily="18" charset="0"/>
                <a:cs typeface="Times New Roman" panose="02020603050405020304" pitchFamily="18" charset="0"/>
              </a:rPr>
              <a:t> age</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barChart>
        <c:barDir val="col"/>
        <c:grouping val="clustered"/>
        <c:varyColors val="0"/>
        <c:ser>
          <c:idx val="0"/>
          <c:order val="0"/>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Foglio1!$H$1:$K$1</c:f>
              <c:strCache>
                <c:ptCount val="4"/>
                <c:pt idx="0">
                  <c:v>NO INFO</c:v>
                </c:pt>
                <c:pt idx="1">
                  <c:v>ADULT</c:v>
                </c:pt>
                <c:pt idx="2">
                  <c:v>YOUNG/ADOLESCENT</c:v>
                </c:pt>
                <c:pt idx="3">
                  <c:v>CHILD</c:v>
                </c:pt>
              </c:strCache>
            </c:strRef>
          </c:cat>
          <c:val>
            <c:numRef>
              <c:f>Foglio1!$H$2:$K$2</c:f>
              <c:numCache>
                <c:formatCode>General</c:formatCode>
                <c:ptCount val="4"/>
                <c:pt idx="0">
                  <c:v>78.0</c:v>
                </c:pt>
                <c:pt idx="1">
                  <c:v>4.0</c:v>
                </c:pt>
                <c:pt idx="2">
                  <c:v>4.0</c:v>
                </c:pt>
                <c:pt idx="3">
                  <c:v>2.0</c:v>
                </c:pt>
              </c:numCache>
            </c:numRef>
          </c:val>
          <c:extLst xmlns:c16r2="http://schemas.microsoft.com/office/drawing/2015/06/chart">
            <c:ext xmlns:c16="http://schemas.microsoft.com/office/drawing/2014/chart" uri="{C3380CC4-5D6E-409C-BE32-E72D297353CC}">
              <c16:uniqueId val="{00000000-1812-440E-97EA-DA35995FECFD}"/>
            </c:ext>
          </c:extLst>
        </c:ser>
        <c:dLbls>
          <c:showLegendKey val="0"/>
          <c:showVal val="0"/>
          <c:showCatName val="0"/>
          <c:showSerName val="0"/>
          <c:showPercent val="0"/>
          <c:showBubbleSize val="0"/>
        </c:dLbls>
        <c:gapWidth val="75"/>
        <c:overlap val="40"/>
        <c:axId val="-2078043016"/>
        <c:axId val="2120503880"/>
      </c:barChart>
      <c:catAx>
        <c:axId val="-2078043016"/>
        <c:scaling>
          <c:orientation val="minMax"/>
        </c:scaling>
        <c:delete val="0"/>
        <c:axPos val="b"/>
        <c:numFmt formatCode="General" sourceLinked="0"/>
        <c:majorTickMark val="none"/>
        <c:minorTickMark val="none"/>
        <c:tickLblPos val="nextTo"/>
        <c:crossAx val="2120503880"/>
        <c:crosses val="autoZero"/>
        <c:auto val="1"/>
        <c:lblAlgn val="ctr"/>
        <c:lblOffset val="100"/>
        <c:noMultiLvlLbl val="0"/>
      </c:catAx>
      <c:valAx>
        <c:axId val="2120503880"/>
        <c:scaling>
          <c:orientation val="minMax"/>
        </c:scaling>
        <c:delete val="0"/>
        <c:axPos val="l"/>
        <c:majorGridlines/>
        <c:numFmt formatCode="General" sourceLinked="1"/>
        <c:majorTickMark val="none"/>
        <c:minorTickMark val="none"/>
        <c:tickLblPos val="nextTo"/>
        <c:crossAx val="-2078043016"/>
        <c:crosses val="autoZero"/>
        <c:crossBetween val="between"/>
      </c:valAx>
    </c:plotArea>
    <c:plotVisOnly val="1"/>
    <c:dispBlanksAs val="gap"/>
    <c:showDLblsOverMax val="0"/>
  </c:chart>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it-IT" sz="1200" b="1" i="0" baseline="0">
                <a:effectLst/>
                <a:latin typeface="Times New Roman" panose="02020603050405020304" pitchFamily="18" charset="0"/>
                <a:cs typeface="Times New Roman" panose="02020603050405020304" pitchFamily="18" charset="0"/>
              </a:rPr>
              <a:t>Deposition methods, Central area</a:t>
            </a:r>
            <a:endParaRPr lang="it-IT" sz="12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t-IT" sz="1200">
              <a:latin typeface="Times New Roman" panose="02020603050405020304" pitchFamily="18" charset="0"/>
              <a:cs typeface="Times New Roman" panose="02020603050405020304" pitchFamily="18" charset="0"/>
            </a:endParaRPr>
          </a:p>
        </c:rich>
      </c:tx>
      <c:layout>
        <c:manualLayout>
          <c:xMode val="edge"/>
          <c:yMode val="edge"/>
          <c:x val="0.29483904742572"/>
          <c:y val="0.0453629032258064"/>
        </c:manualLayout>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(Foglio1!$A$45;Foglio1!$A$46;Foglio1!$A$47;Foglio1!$A$48;Foglio1!$A$49;Foglio1!$A$50)</c:f>
              <c:strCache>
                <c:ptCount val="6"/>
                <c:pt idx="0">
                  <c:v>individuals in larnakes</c:v>
                </c:pt>
                <c:pt idx="1">
                  <c:v>individuals in floor burials</c:v>
                </c:pt>
                <c:pt idx="2">
                  <c:v>individuals in pit burials</c:v>
                </c:pt>
                <c:pt idx="3">
                  <c:v>individuals in dromos burials</c:v>
                </c:pt>
                <c:pt idx="4">
                  <c:v>individuals in wooden biers/coffins</c:v>
                </c:pt>
                <c:pt idx="5">
                  <c:v>individuals in MM reused coffins</c:v>
                </c:pt>
              </c:strCache>
            </c:strRef>
          </c:cat>
          <c:val>
            <c:numRef>
              <c:f>(Foglio1!$B$45;Foglio1!$B$46;Foglio1!$B$47;Foglio1!$B$48;Foglio1!$B$49;Foglio1!$B$50)</c:f>
              <c:numCache>
                <c:formatCode>General</c:formatCode>
                <c:ptCount val="6"/>
                <c:pt idx="0">
                  <c:v>100.0</c:v>
                </c:pt>
                <c:pt idx="1">
                  <c:v>28.0</c:v>
                </c:pt>
                <c:pt idx="2">
                  <c:v>10.0</c:v>
                </c:pt>
                <c:pt idx="3">
                  <c:v>1.0</c:v>
                </c:pt>
                <c:pt idx="4">
                  <c:v>7.0</c:v>
                </c:pt>
                <c:pt idx="5">
                  <c:v>3.0</c:v>
                </c:pt>
              </c:numCache>
            </c:numRef>
          </c:val>
          <c:extLst xmlns:c16r2="http://schemas.microsoft.com/office/drawing/2015/06/chart">
            <c:ext xmlns:c16="http://schemas.microsoft.com/office/drawing/2014/chart" uri="{C3380CC4-5D6E-409C-BE32-E72D297353CC}">
              <c16:uniqueId val="{00000000-F381-48B8-8E8B-3FE19FA075BD}"/>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Central</a:t>
            </a:r>
            <a:r>
              <a:rPr lang="it-IT" sz="1200" baseline="0">
                <a:latin typeface="Times New Roman" panose="02020603050405020304" pitchFamily="18" charset="0"/>
                <a:cs typeface="Times New Roman" panose="02020603050405020304" pitchFamily="18" charset="0"/>
              </a:rPr>
              <a:t> area gender and age (tombs)</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(Foglio1!$A$38;Foglio1!$A$39)</c:f>
              <c:strCache>
                <c:ptCount val="2"/>
                <c:pt idx="0">
                  <c:v>Tombs without information on gender and age</c:v>
                </c:pt>
                <c:pt idx="1">
                  <c:v>Tombs with information on gender and age</c:v>
                </c:pt>
              </c:strCache>
            </c:strRef>
          </c:cat>
          <c:val>
            <c:numRef>
              <c:f>(Foglio1!$B$38;Foglio1!$B$39)</c:f>
              <c:numCache>
                <c:formatCode>General</c:formatCode>
                <c:ptCount val="2"/>
                <c:pt idx="0">
                  <c:v>87.0</c:v>
                </c:pt>
                <c:pt idx="1">
                  <c:v>7.0</c:v>
                </c:pt>
              </c:numCache>
            </c:numRef>
          </c:val>
          <c:extLst xmlns:c16r2="http://schemas.microsoft.com/office/drawing/2015/06/chart">
            <c:ext xmlns:c16="http://schemas.microsoft.com/office/drawing/2014/chart" uri="{C3380CC4-5D6E-409C-BE32-E72D297353CC}">
              <c16:uniqueId val="{00000000-6F11-4C13-B5A9-9CE7C9F0FC1A}"/>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it-IT" sz="1200" b="1" i="0" baseline="0">
                <a:effectLst/>
                <a:latin typeface="Times New Roman" panose="02020603050405020304" pitchFamily="18" charset="0"/>
                <a:cs typeface="Times New Roman" panose="02020603050405020304" pitchFamily="18" charset="0"/>
              </a:rPr>
              <a:t>Central area gender and age (skeletal remains)</a:t>
            </a:r>
            <a:endParaRPr lang="it-IT" sz="12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(Foglio1!$A$58;Foglio1!$A$59)</c:f>
              <c:strCache>
                <c:ptCount val="2"/>
                <c:pt idx="0">
                  <c:v>Individuals without information on gender and age</c:v>
                </c:pt>
                <c:pt idx="1">
                  <c:v>Individuals with information on gender and age</c:v>
                </c:pt>
              </c:strCache>
            </c:strRef>
          </c:cat>
          <c:val>
            <c:numRef>
              <c:f>(Foglio1!$B$58;Foglio1!$B$59)</c:f>
              <c:numCache>
                <c:formatCode>General</c:formatCode>
                <c:ptCount val="2"/>
                <c:pt idx="0">
                  <c:v>108.0</c:v>
                </c:pt>
                <c:pt idx="1">
                  <c:v>23.0</c:v>
                </c:pt>
              </c:numCache>
            </c:numRef>
          </c:val>
          <c:extLst xmlns:c16r2="http://schemas.microsoft.com/office/drawing/2015/06/chart">
            <c:ext xmlns:c16="http://schemas.microsoft.com/office/drawing/2014/chart" uri="{C3380CC4-5D6E-409C-BE32-E72D297353CC}">
              <c16:uniqueId val="{00000000-2269-4958-90E5-81683958F03D}"/>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Central</a:t>
            </a:r>
            <a:r>
              <a:rPr lang="it-IT" sz="1200" baseline="0">
                <a:latin typeface="Times New Roman" panose="02020603050405020304" pitchFamily="18" charset="0"/>
                <a:cs typeface="Times New Roman" panose="02020603050405020304" pitchFamily="18" charset="0"/>
              </a:rPr>
              <a:t> area gender</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(Foglio1!$B$1;Foglio1!$C$1;Foglio1!$D$1)</c:f>
              <c:strCache>
                <c:ptCount val="3"/>
                <c:pt idx="0">
                  <c:v>NO INFO</c:v>
                </c:pt>
                <c:pt idx="1">
                  <c:v>MALE</c:v>
                </c:pt>
                <c:pt idx="2">
                  <c:v>FEMALE</c:v>
                </c:pt>
              </c:strCache>
            </c:strRef>
          </c:cat>
          <c:val>
            <c:numRef>
              <c:f>(Foglio1!$B$2;Foglio1!$C$2;Foglio1!$D$2)</c:f>
              <c:numCache>
                <c:formatCode>General</c:formatCode>
                <c:ptCount val="3"/>
                <c:pt idx="0">
                  <c:v>112.0</c:v>
                </c:pt>
                <c:pt idx="1">
                  <c:v>11.0</c:v>
                </c:pt>
                <c:pt idx="2">
                  <c:v>8.0</c:v>
                </c:pt>
              </c:numCache>
            </c:numRef>
          </c:val>
          <c:extLst xmlns:c16r2="http://schemas.microsoft.com/office/drawing/2015/06/chart">
            <c:ext xmlns:c16="http://schemas.microsoft.com/office/drawing/2014/chart" uri="{C3380CC4-5D6E-409C-BE32-E72D297353CC}">
              <c16:uniqueId val="{00000000-E3EA-41D2-8465-6FE6408032FE}"/>
            </c:ext>
          </c:extLst>
        </c:ser>
        <c:dLbls>
          <c:showLegendKey val="0"/>
          <c:showVal val="0"/>
          <c:showCatName val="0"/>
          <c:showSerName val="0"/>
          <c:showPercent val="0"/>
          <c:showBubbleSize val="0"/>
        </c:dLbls>
        <c:gapWidth val="100"/>
        <c:axId val="2119934632"/>
        <c:axId val="2116159048"/>
      </c:barChart>
      <c:catAx>
        <c:axId val="2119934632"/>
        <c:scaling>
          <c:orientation val="minMax"/>
        </c:scaling>
        <c:delete val="0"/>
        <c:axPos val="b"/>
        <c:numFmt formatCode="General" sourceLinked="0"/>
        <c:majorTickMark val="out"/>
        <c:minorTickMark val="none"/>
        <c:tickLblPos val="nextTo"/>
        <c:crossAx val="2116159048"/>
        <c:crosses val="autoZero"/>
        <c:auto val="1"/>
        <c:lblAlgn val="ctr"/>
        <c:lblOffset val="100"/>
        <c:noMultiLvlLbl val="0"/>
      </c:catAx>
      <c:valAx>
        <c:axId val="2116159048"/>
        <c:scaling>
          <c:orientation val="minMax"/>
        </c:scaling>
        <c:delete val="0"/>
        <c:axPos val="l"/>
        <c:majorGridlines/>
        <c:numFmt formatCode="General" sourceLinked="1"/>
        <c:majorTickMark val="out"/>
        <c:minorTickMark val="none"/>
        <c:tickLblPos val="nextTo"/>
        <c:crossAx val="2119934632"/>
        <c:crosses val="autoZero"/>
        <c:crossBetween val="between"/>
      </c:valAx>
    </c:plotArea>
    <c:plotVisOnly val="1"/>
    <c:dispBlanksAs val="gap"/>
    <c:showDLblsOverMax val="0"/>
  </c:chart>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Central</a:t>
            </a:r>
            <a:r>
              <a:rPr lang="it-IT" sz="1200" baseline="0">
                <a:latin typeface="Times New Roman" panose="02020603050405020304" pitchFamily="18" charset="0"/>
                <a:cs typeface="Times New Roman" panose="02020603050405020304" pitchFamily="18" charset="0"/>
              </a:rPr>
              <a:t> area age</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barChart>
        <c:barDir val="col"/>
        <c:grouping val="clustered"/>
        <c:varyColors val="0"/>
        <c:ser>
          <c:idx val="0"/>
          <c:order val="0"/>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Foglio1!$H$1:$L$1</c:f>
              <c:strCache>
                <c:ptCount val="5"/>
                <c:pt idx="0">
                  <c:v>NO INFO</c:v>
                </c:pt>
                <c:pt idx="1">
                  <c:v>ADULT</c:v>
                </c:pt>
                <c:pt idx="2">
                  <c:v>YOUNG/ADOLESCENT</c:v>
                </c:pt>
                <c:pt idx="3">
                  <c:v>CHILD</c:v>
                </c:pt>
                <c:pt idx="4">
                  <c:v>OLD</c:v>
                </c:pt>
              </c:strCache>
            </c:strRef>
          </c:cat>
          <c:val>
            <c:numRef>
              <c:f>Foglio1!$H$2:$L$2</c:f>
              <c:numCache>
                <c:formatCode>General</c:formatCode>
                <c:ptCount val="5"/>
                <c:pt idx="0">
                  <c:v>107.0</c:v>
                </c:pt>
                <c:pt idx="1">
                  <c:v>4.0</c:v>
                </c:pt>
                <c:pt idx="2">
                  <c:v>5.0</c:v>
                </c:pt>
                <c:pt idx="3">
                  <c:v>4.0</c:v>
                </c:pt>
                <c:pt idx="4">
                  <c:v>1.0</c:v>
                </c:pt>
              </c:numCache>
            </c:numRef>
          </c:val>
          <c:extLst xmlns:c16r2="http://schemas.microsoft.com/office/drawing/2015/06/chart">
            <c:ext xmlns:c16="http://schemas.microsoft.com/office/drawing/2014/chart" uri="{C3380CC4-5D6E-409C-BE32-E72D297353CC}">
              <c16:uniqueId val="{00000000-0441-4A6C-8D02-6E0158194BD8}"/>
            </c:ext>
          </c:extLst>
        </c:ser>
        <c:dLbls>
          <c:showLegendKey val="0"/>
          <c:showVal val="0"/>
          <c:showCatName val="0"/>
          <c:showSerName val="0"/>
          <c:showPercent val="0"/>
          <c:showBubbleSize val="0"/>
        </c:dLbls>
        <c:gapWidth val="75"/>
        <c:overlap val="40"/>
        <c:axId val="-2007784312"/>
        <c:axId val="-2007651160"/>
      </c:barChart>
      <c:catAx>
        <c:axId val="-2007784312"/>
        <c:scaling>
          <c:orientation val="minMax"/>
        </c:scaling>
        <c:delete val="0"/>
        <c:axPos val="b"/>
        <c:numFmt formatCode="General" sourceLinked="0"/>
        <c:majorTickMark val="none"/>
        <c:minorTickMark val="none"/>
        <c:tickLblPos val="nextTo"/>
        <c:crossAx val="-2007651160"/>
        <c:crosses val="autoZero"/>
        <c:auto val="1"/>
        <c:lblAlgn val="ctr"/>
        <c:lblOffset val="100"/>
        <c:noMultiLvlLbl val="0"/>
      </c:catAx>
      <c:valAx>
        <c:axId val="-2007651160"/>
        <c:scaling>
          <c:orientation val="minMax"/>
        </c:scaling>
        <c:delete val="0"/>
        <c:axPos val="l"/>
        <c:majorGridlines/>
        <c:numFmt formatCode="General" sourceLinked="1"/>
        <c:majorTickMark val="none"/>
        <c:minorTickMark val="none"/>
        <c:tickLblPos val="nextTo"/>
        <c:crossAx val="-2007784312"/>
        <c:crosses val="autoZero"/>
        <c:crossBetween val="between"/>
      </c:valAx>
    </c:plotArea>
    <c:plotVisOnly val="1"/>
    <c:dispBlanksAs val="gap"/>
    <c:showDLblsOverMax val="0"/>
  </c:chart>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it-IT" sz="1200" b="1" i="0" baseline="0">
                <a:effectLst/>
                <a:latin typeface="Times New Roman" panose="02020603050405020304" pitchFamily="18" charset="0"/>
                <a:cs typeface="Times New Roman" panose="02020603050405020304" pitchFamily="18" charset="0"/>
              </a:rPr>
              <a:t>Deposition methods, Mid-East area</a:t>
            </a:r>
            <a:endParaRPr lang="it-IT" sz="12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(Foglio1!$A$53;Foglio1!$A$54;Foglio1!$A$55;Foglio1!$A$56)</c:f>
              <c:strCache>
                <c:ptCount val="4"/>
                <c:pt idx="0">
                  <c:v>individuals in larnakes</c:v>
                </c:pt>
                <c:pt idx="1">
                  <c:v>individual in floor burial</c:v>
                </c:pt>
                <c:pt idx="2">
                  <c:v>individuals in pithoi</c:v>
                </c:pt>
                <c:pt idx="3">
                  <c:v>cremated burial in pyxis</c:v>
                </c:pt>
              </c:strCache>
            </c:strRef>
          </c:cat>
          <c:val>
            <c:numRef>
              <c:f>(Foglio1!$B$53;Foglio1!$B$54;Foglio1!$B$55;Foglio1!$B$56)</c:f>
              <c:numCache>
                <c:formatCode>General</c:formatCode>
                <c:ptCount val="4"/>
                <c:pt idx="0">
                  <c:v>45.0</c:v>
                </c:pt>
                <c:pt idx="1">
                  <c:v>1.0</c:v>
                </c:pt>
                <c:pt idx="2">
                  <c:v>4.0</c:v>
                </c:pt>
                <c:pt idx="3">
                  <c:v>1.0</c:v>
                </c:pt>
              </c:numCache>
            </c:numRef>
          </c:val>
          <c:extLst xmlns:c16r2="http://schemas.microsoft.com/office/drawing/2015/06/chart">
            <c:ext xmlns:c16="http://schemas.microsoft.com/office/drawing/2014/chart" uri="{C3380CC4-5D6E-409C-BE32-E72D297353CC}">
              <c16:uniqueId val="{00000000-5C48-4205-8BAA-13F2F3FEA6C6}"/>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Mid-East</a:t>
            </a:r>
            <a:r>
              <a:rPr lang="it-IT" sz="1200" baseline="0">
                <a:latin typeface="Times New Roman" panose="02020603050405020304" pitchFamily="18" charset="0"/>
                <a:cs typeface="Times New Roman" panose="02020603050405020304" pitchFamily="18" charset="0"/>
              </a:rPr>
              <a:t> gender and age (tombs)</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Foglio1!$A$28:$A$29</c:f>
              <c:strCache>
                <c:ptCount val="2"/>
                <c:pt idx="0">
                  <c:v>Tombs with information on gender and age</c:v>
                </c:pt>
                <c:pt idx="1">
                  <c:v>Tombs without informationon on gender and age</c:v>
                </c:pt>
              </c:strCache>
            </c:strRef>
          </c:cat>
          <c:val>
            <c:numRef>
              <c:f>Foglio1!$B$28:$B$29</c:f>
              <c:numCache>
                <c:formatCode>General</c:formatCode>
                <c:ptCount val="2"/>
                <c:pt idx="0">
                  <c:v>3.0</c:v>
                </c:pt>
                <c:pt idx="1">
                  <c:v>42.0</c:v>
                </c:pt>
              </c:numCache>
            </c:numRef>
          </c:val>
          <c:extLst xmlns:c16r2="http://schemas.microsoft.com/office/drawing/2015/06/chart">
            <c:ext xmlns:c16="http://schemas.microsoft.com/office/drawing/2014/chart" uri="{C3380CC4-5D6E-409C-BE32-E72D297353CC}">
              <c16:uniqueId val="{00000000-3750-42EB-A4CE-4DBD47FEBE12}"/>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Mid</a:t>
            </a:r>
            <a:r>
              <a:rPr lang="it-IT" sz="1200" baseline="0">
                <a:latin typeface="Times New Roman" panose="02020603050405020304" pitchFamily="18" charset="0"/>
                <a:cs typeface="Times New Roman" panose="02020603050405020304" pitchFamily="18" charset="0"/>
              </a:rPr>
              <a:t>-East gender and age (skeletal remains)</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(Foglio1!$A$22;Foglio1!$A$23)</c:f>
              <c:strCache>
                <c:ptCount val="2"/>
                <c:pt idx="0">
                  <c:v>Individuals without information on gender and age</c:v>
                </c:pt>
                <c:pt idx="1">
                  <c:v>Individuals with information on gender and age</c:v>
                </c:pt>
              </c:strCache>
            </c:strRef>
          </c:cat>
          <c:val>
            <c:numRef>
              <c:f>(Foglio1!$B$22;Foglio1!$B$23)</c:f>
              <c:numCache>
                <c:formatCode>General</c:formatCode>
                <c:ptCount val="2"/>
                <c:pt idx="0">
                  <c:v>44.0</c:v>
                </c:pt>
                <c:pt idx="1">
                  <c:v>6.0</c:v>
                </c:pt>
              </c:numCache>
            </c:numRef>
          </c:val>
          <c:extLst xmlns:c16r2="http://schemas.microsoft.com/office/drawing/2015/06/chart">
            <c:ext xmlns:c16="http://schemas.microsoft.com/office/drawing/2014/chart" uri="{C3380CC4-5D6E-409C-BE32-E72D297353CC}">
              <c16:uniqueId val="{00000000-55A5-4AA8-9BF7-D7A72D89D81C}"/>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Mid-East</a:t>
            </a:r>
            <a:r>
              <a:rPr lang="it-IT" sz="1200" baseline="0">
                <a:latin typeface="Times New Roman" panose="02020603050405020304" pitchFamily="18" charset="0"/>
                <a:cs typeface="Times New Roman" panose="02020603050405020304" pitchFamily="18" charset="0"/>
              </a:rPr>
              <a:t> gender</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barChart>
        <c:barDir val="col"/>
        <c:grouping val="clustered"/>
        <c:varyColors val="0"/>
        <c:ser>
          <c:idx val="0"/>
          <c:order val="0"/>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Foglio1!$B$1:$D$1</c:f>
              <c:strCache>
                <c:ptCount val="3"/>
                <c:pt idx="0">
                  <c:v>NO INFO</c:v>
                </c:pt>
                <c:pt idx="1">
                  <c:v>MALE</c:v>
                </c:pt>
                <c:pt idx="2">
                  <c:v>FEMALE</c:v>
                </c:pt>
              </c:strCache>
            </c:strRef>
          </c:cat>
          <c:val>
            <c:numRef>
              <c:f>Foglio1!$B$2:$D$2</c:f>
              <c:numCache>
                <c:formatCode>General</c:formatCode>
                <c:ptCount val="3"/>
                <c:pt idx="0">
                  <c:v>47.0</c:v>
                </c:pt>
                <c:pt idx="1">
                  <c:v>1.0</c:v>
                </c:pt>
                <c:pt idx="2">
                  <c:v>2.0</c:v>
                </c:pt>
              </c:numCache>
            </c:numRef>
          </c:val>
          <c:extLst xmlns:c16r2="http://schemas.microsoft.com/office/drawing/2015/06/chart">
            <c:ext xmlns:c16="http://schemas.microsoft.com/office/drawing/2014/chart" uri="{C3380CC4-5D6E-409C-BE32-E72D297353CC}">
              <c16:uniqueId val="{00000000-BEE4-4835-AF55-8BC44A10BAE1}"/>
            </c:ext>
          </c:extLst>
        </c:ser>
        <c:dLbls>
          <c:showLegendKey val="0"/>
          <c:showVal val="0"/>
          <c:showCatName val="0"/>
          <c:showSerName val="0"/>
          <c:showPercent val="0"/>
          <c:showBubbleSize val="0"/>
        </c:dLbls>
        <c:gapWidth val="75"/>
        <c:overlap val="40"/>
        <c:axId val="-1994679848"/>
        <c:axId val="-1995766088"/>
      </c:barChart>
      <c:catAx>
        <c:axId val="-1994679848"/>
        <c:scaling>
          <c:orientation val="minMax"/>
        </c:scaling>
        <c:delete val="0"/>
        <c:axPos val="b"/>
        <c:numFmt formatCode="General" sourceLinked="0"/>
        <c:majorTickMark val="none"/>
        <c:minorTickMark val="none"/>
        <c:tickLblPos val="nextTo"/>
        <c:crossAx val="-1995766088"/>
        <c:crosses val="autoZero"/>
        <c:auto val="1"/>
        <c:lblAlgn val="ctr"/>
        <c:lblOffset val="100"/>
        <c:noMultiLvlLbl val="0"/>
      </c:catAx>
      <c:valAx>
        <c:axId val="-1995766088"/>
        <c:scaling>
          <c:orientation val="minMax"/>
        </c:scaling>
        <c:delete val="0"/>
        <c:axPos val="l"/>
        <c:majorGridlines/>
        <c:numFmt formatCode="General" sourceLinked="1"/>
        <c:majorTickMark val="none"/>
        <c:minorTickMark val="none"/>
        <c:tickLblPos val="nextTo"/>
        <c:crossAx val="-1994679848"/>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it-IT" sz="1000" b="1" i="0" baseline="0">
                <a:effectLst/>
              </a:rPr>
              <a:t> </a:t>
            </a:r>
            <a:r>
              <a:rPr lang="it-IT" sz="1200" b="1" i="0" baseline="0">
                <a:effectLst/>
                <a:latin typeface="Times New Roman" panose="02020603050405020304" pitchFamily="18" charset="0"/>
                <a:cs typeface="Times New Roman" panose="02020603050405020304" pitchFamily="18" charset="0"/>
              </a:rPr>
              <a:t>Tomb types associated with larnax burials in the </a:t>
            </a:r>
            <a:r>
              <a:rPr lang="it-IT" sz="1200" b="1" i="0" u="none" strike="noStrike" kern="1200" baseline="0">
                <a:solidFill>
                  <a:sysClr val="windowText" lastClr="000000"/>
                </a:solidFill>
                <a:effectLst/>
                <a:latin typeface="Times New Roman" panose="02020603050405020304" pitchFamily="18" charset="0"/>
                <a:ea typeface="+mn-ea"/>
                <a:cs typeface="Times New Roman" panose="02020603050405020304" pitchFamily="18" charset="0"/>
              </a:rPr>
              <a:t>Mid-West</a:t>
            </a:r>
            <a:endParaRPr lang="it-IT" sz="12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it-IT" sz="1000"/>
          </a:p>
        </c:rich>
      </c:tx>
      <c:layout/>
      <c:overlay val="0"/>
    </c:title>
    <c:autoTitleDeleted val="0"/>
    <c:plotArea>
      <c:layout/>
      <c:pieChart>
        <c:varyColors val="1"/>
        <c:ser>
          <c:idx val="0"/>
          <c:order val="0"/>
          <c:dLbls>
            <c:dLbl>
              <c:idx val="0"/>
              <c:spPr/>
              <c:txPr>
                <a:bodyPr/>
                <a:lstStyle/>
                <a:p>
                  <a:pPr>
                    <a:defRPr sz="800"/>
                  </a:pPr>
                  <a:endParaRPr lang="it-IT"/>
                </a:p>
              </c:txPr>
              <c:showLegendKey val="0"/>
              <c:showVal val="0"/>
              <c:showCatName val="0"/>
              <c:showSerName val="0"/>
              <c:showPercent val="1"/>
              <c:showBubbleSize val="0"/>
            </c:dLbl>
            <c:dLbl>
              <c:idx val="1"/>
              <c:spPr/>
              <c:txPr>
                <a:bodyPr/>
                <a:lstStyle/>
                <a:p>
                  <a:pPr>
                    <a:defRPr sz="800"/>
                  </a:pPr>
                  <a:endParaRPr lang="it-IT"/>
                </a:p>
              </c:txPr>
              <c:showLegendKey val="0"/>
              <c:showVal val="0"/>
              <c:showCatName val="0"/>
              <c:showSerName val="0"/>
              <c:showPercent val="1"/>
              <c:showBubbleSize val="0"/>
            </c:dLbl>
            <c:dLbl>
              <c:idx val="2"/>
              <c:spPr/>
              <c:txPr>
                <a:bodyPr/>
                <a:lstStyle/>
                <a:p>
                  <a:pPr>
                    <a:defRPr sz="800"/>
                  </a:pPr>
                  <a:endParaRPr lang="it-IT"/>
                </a:p>
              </c:txPr>
              <c:showLegendKey val="0"/>
              <c:showVal val="0"/>
              <c:showCatName val="0"/>
              <c:showSerName val="0"/>
              <c:showPercent val="1"/>
              <c:showBubbleSize val="0"/>
            </c:dLbl>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(Foglio1!$C$1;Foglio1!$D$1;Foglio1!$E$1)</c:f>
              <c:strCache>
                <c:ptCount val="3"/>
                <c:pt idx="0">
                  <c:v>CHAMBER TOMBS</c:v>
                </c:pt>
                <c:pt idx="1">
                  <c:v>LARNAX RECEPTACLE</c:v>
                </c:pt>
                <c:pt idx="2">
                  <c:v>CORBEL VAULTED</c:v>
                </c:pt>
              </c:strCache>
            </c:strRef>
          </c:cat>
          <c:val>
            <c:numRef>
              <c:f>(Foglio1!$C$25;Foglio1!$D$25;Foglio1!$E$25)</c:f>
              <c:numCache>
                <c:formatCode>General</c:formatCode>
                <c:ptCount val="3"/>
                <c:pt idx="0">
                  <c:v>53.0</c:v>
                </c:pt>
                <c:pt idx="1">
                  <c:v>2.0</c:v>
                </c:pt>
                <c:pt idx="2">
                  <c:v>1.0</c:v>
                </c:pt>
              </c:numCache>
            </c:numRef>
          </c:val>
          <c:extLst xmlns:c16r2="http://schemas.microsoft.com/office/drawing/2015/06/chart">
            <c:ext xmlns:c16="http://schemas.microsoft.com/office/drawing/2014/chart" uri="{C3380CC4-5D6E-409C-BE32-E72D297353CC}">
              <c16:uniqueId val="{00000003-01CE-478C-821C-18A879C4E9E2}"/>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sz="800"/>
          </a:pPr>
          <a:endParaRPr lang="it-IT"/>
        </a:p>
      </c:txPr>
    </c:legend>
    <c:plotVisOnly val="1"/>
    <c:dispBlanksAs val="gap"/>
    <c:showDLblsOverMax val="0"/>
  </c:chart>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400">
                <a:latin typeface="Times New Roman" panose="02020603050405020304" pitchFamily="18" charset="0"/>
                <a:cs typeface="Times New Roman" panose="02020603050405020304" pitchFamily="18" charset="0"/>
              </a:defRPr>
            </a:pPr>
            <a:r>
              <a:rPr lang="it-IT" sz="1400">
                <a:latin typeface="Times New Roman" panose="02020603050405020304" pitchFamily="18" charset="0"/>
                <a:cs typeface="Times New Roman" panose="02020603050405020304" pitchFamily="18" charset="0"/>
              </a:rPr>
              <a:t>Mid</a:t>
            </a:r>
            <a:r>
              <a:rPr lang="it-IT" sz="1400" baseline="0">
                <a:latin typeface="Times New Roman" panose="02020603050405020304" pitchFamily="18" charset="0"/>
                <a:cs typeface="Times New Roman" panose="02020603050405020304" pitchFamily="18" charset="0"/>
              </a:rPr>
              <a:t>-East age</a:t>
            </a:r>
            <a:endParaRPr lang="it-IT" sz="1400">
              <a:latin typeface="Times New Roman" panose="02020603050405020304" pitchFamily="18" charset="0"/>
              <a:cs typeface="Times New Roman" panose="02020603050405020304" pitchFamily="18" charset="0"/>
            </a:endParaRPr>
          </a:p>
        </c:rich>
      </c:tx>
      <c:layout/>
      <c:overlay val="0"/>
    </c:title>
    <c:autoTitleDeleted val="0"/>
    <c:plotArea>
      <c:layout/>
      <c:barChart>
        <c:barDir val="col"/>
        <c:grouping val="clustered"/>
        <c:varyColors val="0"/>
        <c:ser>
          <c:idx val="0"/>
          <c:order val="0"/>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Foglio1!$H$1:$K$1</c:f>
              <c:strCache>
                <c:ptCount val="4"/>
                <c:pt idx="0">
                  <c:v>NO INFO</c:v>
                </c:pt>
                <c:pt idx="1">
                  <c:v>ADULT</c:v>
                </c:pt>
                <c:pt idx="2">
                  <c:v>YOUNG/ADOLESCENT</c:v>
                </c:pt>
                <c:pt idx="3">
                  <c:v>CHILD</c:v>
                </c:pt>
              </c:strCache>
            </c:strRef>
          </c:cat>
          <c:val>
            <c:numRef>
              <c:f>Foglio1!$H$2:$K$2</c:f>
              <c:numCache>
                <c:formatCode>General</c:formatCode>
                <c:ptCount val="4"/>
                <c:pt idx="0">
                  <c:v>44.0</c:v>
                </c:pt>
                <c:pt idx="1">
                  <c:v>3.0</c:v>
                </c:pt>
                <c:pt idx="2">
                  <c:v>1.0</c:v>
                </c:pt>
                <c:pt idx="3">
                  <c:v>2.0</c:v>
                </c:pt>
              </c:numCache>
            </c:numRef>
          </c:val>
          <c:extLst xmlns:c16r2="http://schemas.microsoft.com/office/drawing/2015/06/chart">
            <c:ext xmlns:c16="http://schemas.microsoft.com/office/drawing/2014/chart" uri="{C3380CC4-5D6E-409C-BE32-E72D297353CC}">
              <c16:uniqueId val="{00000000-86B0-46F8-B624-72CAED1EBFBF}"/>
            </c:ext>
          </c:extLst>
        </c:ser>
        <c:dLbls>
          <c:showLegendKey val="0"/>
          <c:showVal val="0"/>
          <c:showCatName val="0"/>
          <c:showSerName val="0"/>
          <c:showPercent val="0"/>
          <c:showBubbleSize val="0"/>
        </c:dLbls>
        <c:gapWidth val="75"/>
        <c:overlap val="40"/>
        <c:axId val="-1967853528"/>
        <c:axId val="-1967386744"/>
      </c:barChart>
      <c:catAx>
        <c:axId val="-1967853528"/>
        <c:scaling>
          <c:orientation val="minMax"/>
        </c:scaling>
        <c:delete val="0"/>
        <c:axPos val="b"/>
        <c:numFmt formatCode="General" sourceLinked="0"/>
        <c:majorTickMark val="none"/>
        <c:minorTickMark val="none"/>
        <c:tickLblPos val="nextTo"/>
        <c:crossAx val="-1967386744"/>
        <c:crosses val="autoZero"/>
        <c:auto val="1"/>
        <c:lblAlgn val="ctr"/>
        <c:lblOffset val="100"/>
        <c:noMultiLvlLbl val="0"/>
      </c:catAx>
      <c:valAx>
        <c:axId val="-1967386744"/>
        <c:scaling>
          <c:orientation val="minMax"/>
        </c:scaling>
        <c:delete val="0"/>
        <c:axPos val="l"/>
        <c:majorGridlines/>
        <c:numFmt formatCode="General" sourceLinked="1"/>
        <c:majorTickMark val="none"/>
        <c:minorTickMark val="none"/>
        <c:tickLblPos val="nextTo"/>
        <c:crossAx val="-1967853528"/>
        <c:crosses val="autoZero"/>
        <c:crossBetween val="between"/>
      </c:valAx>
    </c:plotArea>
    <c:plotVisOnly val="1"/>
    <c:dispBlanksAs val="gap"/>
    <c:showDLblsOverMax val="0"/>
  </c:chart>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Deposition</a:t>
            </a:r>
            <a:r>
              <a:rPr lang="it-IT" sz="1200" baseline="0">
                <a:latin typeface="Times New Roman" panose="02020603050405020304" pitchFamily="18" charset="0"/>
                <a:cs typeface="Times New Roman" panose="02020603050405020304" pitchFamily="18" charset="0"/>
              </a:rPr>
              <a:t> methods, Far-East area</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Foglio1!$A$59:$A$65</c:f>
              <c:strCache>
                <c:ptCount val="7"/>
                <c:pt idx="0">
                  <c:v>Individuals in larnakes</c:v>
                </c:pt>
                <c:pt idx="1">
                  <c:v>Individuals in floor burials</c:v>
                </c:pt>
                <c:pt idx="2">
                  <c:v>skeletal remains of individuals found in the fill</c:v>
                </c:pt>
                <c:pt idx="3">
                  <c:v>Individuals in pit burials</c:v>
                </c:pt>
                <c:pt idx="4">
                  <c:v>Individuals in pithoi</c:v>
                </c:pt>
                <c:pt idx="5">
                  <c:v>skeletal remains of individual found broken in a vase</c:v>
                </c:pt>
                <c:pt idx="6">
                  <c:v>cremated individuals in pyxis</c:v>
                </c:pt>
              </c:strCache>
            </c:strRef>
          </c:cat>
          <c:val>
            <c:numRef>
              <c:f>Foglio1!$B$59:$B$65</c:f>
              <c:numCache>
                <c:formatCode>General</c:formatCode>
                <c:ptCount val="7"/>
                <c:pt idx="0">
                  <c:v>80.0</c:v>
                </c:pt>
                <c:pt idx="1">
                  <c:v>24.0</c:v>
                </c:pt>
                <c:pt idx="2">
                  <c:v>7.0</c:v>
                </c:pt>
                <c:pt idx="3">
                  <c:v>9.0</c:v>
                </c:pt>
                <c:pt idx="4">
                  <c:v>2.0</c:v>
                </c:pt>
                <c:pt idx="5">
                  <c:v>1.0</c:v>
                </c:pt>
                <c:pt idx="6">
                  <c:v>2.0</c:v>
                </c:pt>
              </c:numCache>
            </c:numRef>
          </c:val>
          <c:extLst xmlns:c16r2="http://schemas.microsoft.com/office/drawing/2015/06/chart">
            <c:ext xmlns:c16="http://schemas.microsoft.com/office/drawing/2014/chart" uri="{C3380CC4-5D6E-409C-BE32-E72D297353CC}">
              <c16:uniqueId val="{00000000-3885-4001-B2D1-2FC7F34A42A1}"/>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Far</a:t>
            </a:r>
            <a:r>
              <a:rPr lang="it-IT" sz="1200" baseline="0">
                <a:latin typeface="Times New Roman" panose="02020603050405020304" pitchFamily="18" charset="0"/>
                <a:cs typeface="Times New Roman" panose="02020603050405020304" pitchFamily="18" charset="0"/>
              </a:rPr>
              <a:t>-East information gender and age (tombs)</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(Foglio1!$A$27;Foglio1!$A$28)</c:f>
              <c:strCache>
                <c:ptCount val="2"/>
                <c:pt idx="0">
                  <c:v>Tombs with information on gender and age</c:v>
                </c:pt>
                <c:pt idx="1">
                  <c:v>Tombs without information on gender and age</c:v>
                </c:pt>
              </c:strCache>
            </c:strRef>
          </c:cat>
          <c:val>
            <c:numRef>
              <c:f>(Foglio1!$B$27;Foglio1!$B$28)</c:f>
              <c:numCache>
                <c:formatCode>General</c:formatCode>
                <c:ptCount val="2"/>
                <c:pt idx="0">
                  <c:v>20.0</c:v>
                </c:pt>
                <c:pt idx="1">
                  <c:v>52.0</c:v>
                </c:pt>
              </c:numCache>
            </c:numRef>
          </c:val>
          <c:extLst xmlns:c16r2="http://schemas.microsoft.com/office/drawing/2015/06/chart">
            <c:ext xmlns:c16="http://schemas.microsoft.com/office/drawing/2014/chart" uri="{C3380CC4-5D6E-409C-BE32-E72D297353CC}">
              <c16:uniqueId val="{00000000-C595-4B83-ABB1-DA98AD2D3F45}"/>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it-IT" sz="1200" b="1" i="0" baseline="0">
                <a:effectLst/>
                <a:latin typeface="Times New Roman" panose="02020603050405020304" pitchFamily="18" charset="0"/>
                <a:cs typeface="Times New Roman" panose="02020603050405020304" pitchFamily="18" charset="0"/>
              </a:rPr>
              <a:t>Far-East information gender and age (skeletal remains)</a:t>
            </a:r>
            <a:endParaRPr lang="it-IT" sz="12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(Foglio1!$A$19;Foglio1!$A$20)</c:f>
              <c:strCache>
                <c:ptCount val="2"/>
                <c:pt idx="0">
                  <c:v>Individuals without information on gender and age</c:v>
                </c:pt>
                <c:pt idx="1">
                  <c:v>Individuals with information on gender and age</c:v>
                </c:pt>
              </c:strCache>
            </c:strRef>
          </c:cat>
          <c:val>
            <c:numRef>
              <c:f>(Foglio1!$B$19;Foglio1!$B$20)</c:f>
              <c:numCache>
                <c:formatCode>General</c:formatCode>
                <c:ptCount val="2"/>
                <c:pt idx="0">
                  <c:v>89.0</c:v>
                </c:pt>
                <c:pt idx="1">
                  <c:v>32.0</c:v>
                </c:pt>
              </c:numCache>
            </c:numRef>
          </c:val>
          <c:extLst xmlns:c16r2="http://schemas.microsoft.com/office/drawing/2015/06/chart">
            <c:ext xmlns:c16="http://schemas.microsoft.com/office/drawing/2014/chart" uri="{C3380CC4-5D6E-409C-BE32-E72D297353CC}">
              <c16:uniqueId val="{00000000-339B-470E-92AA-C50E15889FD8}"/>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Far-East</a:t>
            </a:r>
            <a:r>
              <a:rPr lang="it-IT" sz="1200" baseline="0">
                <a:latin typeface="Times New Roman" panose="02020603050405020304" pitchFamily="18" charset="0"/>
                <a:cs typeface="Times New Roman" panose="02020603050405020304" pitchFamily="18" charset="0"/>
              </a:rPr>
              <a:t> gender</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barChart>
        <c:barDir val="col"/>
        <c:grouping val="clustered"/>
        <c:varyColors val="0"/>
        <c:ser>
          <c:idx val="0"/>
          <c:order val="0"/>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Foglio1!$B$1:$D$1</c:f>
              <c:strCache>
                <c:ptCount val="3"/>
                <c:pt idx="0">
                  <c:v>NO INFO</c:v>
                </c:pt>
                <c:pt idx="1">
                  <c:v>MALE</c:v>
                </c:pt>
                <c:pt idx="2">
                  <c:v>FEMALE</c:v>
                </c:pt>
              </c:strCache>
            </c:strRef>
          </c:cat>
          <c:val>
            <c:numRef>
              <c:f>Foglio1!$B$2:$D$2</c:f>
              <c:numCache>
                <c:formatCode>General</c:formatCode>
                <c:ptCount val="3"/>
                <c:pt idx="0">
                  <c:v>101.0</c:v>
                </c:pt>
                <c:pt idx="1">
                  <c:v>8.0</c:v>
                </c:pt>
                <c:pt idx="2">
                  <c:v>11.0</c:v>
                </c:pt>
              </c:numCache>
            </c:numRef>
          </c:val>
          <c:extLst xmlns:c16r2="http://schemas.microsoft.com/office/drawing/2015/06/chart">
            <c:ext xmlns:c16="http://schemas.microsoft.com/office/drawing/2014/chart" uri="{C3380CC4-5D6E-409C-BE32-E72D297353CC}">
              <c16:uniqueId val="{00000000-6C6B-4D9E-962D-0A021AEF67EC}"/>
            </c:ext>
          </c:extLst>
        </c:ser>
        <c:dLbls>
          <c:showLegendKey val="0"/>
          <c:showVal val="0"/>
          <c:showCatName val="0"/>
          <c:showSerName val="0"/>
          <c:showPercent val="0"/>
          <c:showBubbleSize val="0"/>
        </c:dLbls>
        <c:gapWidth val="75"/>
        <c:overlap val="40"/>
        <c:axId val="-1968464824"/>
        <c:axId val="-1969172344"/>
      </c:barChart>
      <c:catAx>
        <c:axId val="-1968464824"/>
        <c:scaling>
          <c:orientation val="minMax"/>
        </c:scaling>
        <c:delete val="0"/>
        <c:axPos val="b"/>
        <c:numFmt formatCode="General" sourceLinked="0"/>
        <c:majorTickMark val="none"/>
        <c:minorTickMark val="none"/>
        <c:tickLblPos val="nextTo"/>
        <c:crossAx val="-1969172344"/>
        <c:crosses val="autoZero"/>
        <c:auto val="1"/>
        <c:lblAlgn val="ctr"/>
        <c:lblOffset val="100"/>
        <c:noMultiLvlLbl val="0"/>
      </c:catAx>
      <c:valAx>
        <c:axId val="-1969172344"/>
        <c:scaling>
          <c:orientation val="minMax"/>
        </c:scaling>
        <c:delete val="0"/>
        <c:axPos val="l"/>
        <c:majorGridlines/>
        <c:numFmt formatCode="General" sourceLinked="1"/>
        <c:majorTickMark val="none"/>
        <c:minorTickMark val="none"/>
        <c:tickLblPos val="nextTo"/>
        <c:crossAx val="-1968464824"/>
        <c:crosses val="autoZero"/>
        <c:crossBetween val="between"/>
      </c:valAx>
    </c:plotArea>
    <c:plotVisOnly val="1"/>
    <c:dispBlanksAs val="gap"/>
    <c:showDLblsOverMax val="0"/>
  </c:chart>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it-IT" sz="1200">
                <a:latin typeface="Times New Roman" panose="02020603050405020304" pitchFamily="18" charset="0"/>
                <a:cs typeface="Times New Roman" panose="02020603050405020304" pitchFamily="18" charset="0"/>
              </a:rPr>
              <a:t>Far-East</a:t>
            </a:r>
            <a:r>
              <a:rPr lang="it-IT" sz="1200" baseline="0">
                <a:latin typeface="Times New Roman" panose="02020603050405020304" pitchFamily="18" charset="0"/>
                <a:cs typeface="Times New Roman" panose="02020603050405020304" pitchFamily="18" charset="0"/>
              </a:rPr>
              <a:t> age</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barChart>
        <c:barDir val="col"/>
        <c:grouping val="clustered"/>
        <c:varyColors val="0"/>
        <c:ser>
          <c:idx val="0"/>
          <c:order val="0"/>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Foglio1!$B$1:$D$1</c:f>
              <c:strCache>
                <c:ptCount val="3"/>
                <c:pt idx="0">
                  <c:v>NO INFO</c:v>
                </c:pt>
                <c:pt idx="1">
                  <c:v>MALE</c:v>
                </c:pt>
                <c:pt idx="2">
                  <c:v>FEMALE</c:v>
                </c:pt>
              </c:strCache>
            </c:strRef>
          </c:cat>
          <c:val>
            <c:numRef>
              <c:f>Foglio1!$B$2:$D$2</c:f>
              <c:numCache>
                <c:formatCode>General</c:formatCode>
                <c:ptCount val="3"/>
                <c:pt idx="0">
                  <c:v>101.0</c:v>
                </c:pt>
                <c:pt idx="1">
                  <c:v>8.0</c:v>
                </c:pt>
                <c:pt idx="2">
                  <c:v>11.0</c:v>
                </c:pt>
              </c:numCache>
            </c:numRef>
          </c:val>
          <c:extLst xmlns:c16r2="http://schemas.microsoft.com/office/drawing/2015/06/chart">
            <c:ext xmlns:c16="http://schemas.microsoft.com/office/drawing/2014/chart" uri="{C3380CC4-5D6E-409C-BE32-E72D297353CC}">
              <c16:uniqueId val="{00000000-EF79-4E80-BF1F-23AD42B11DE9}"/>
            </c:ext>
          </c:extLst>
        </c:ser>
        <c:dLbls>
          <c:showLegendKey val="0"/>
          <c:showVal val="0"/>
          <c:showCatName val="0"/>
          <c:showSerName val="0"/>
          <c:showPercent val="0"/>
          <c:showBubbleSize val="0"/>
        </c:dLbls>
        <c:gapWidth val="75"/>
        <c:overlap val="40"/>
        <c:axId val="2120188664"/>
        <c:axId val="-2018083608"/>
      </c:barChart>
      <c:catAx>
        <c:axId val="2120188664"/>
        <c:scaling>
          <c:orientation val="minMax"/>
        </c:scaling>
        <c:delete val="0"/>
        <c:axPos val="b"/>
        <c:numFmt formatCode="General" sourceLinked="0"/>
        <c:majorTickMark val="none"/>
        <c:minorTickMark val="none"/>
        <c:tickLblPos val="nextTo"/>
        <c:crossAx val="-2018083608"/>
        <c:crosses val="autoZero"/>
        <c:auto val="1"/>
        <c:lblAlgn val="ctr"/>
        <c:lblOffset val="100"/>
        <c:noMultiLvlLbl val="0"/>
      </c:catAx>
      <c:valAx>
        <c:axId val="-2018083608"/>
        <c:scaling>
          <c:orientation val="minMax"/>
        </c:scaling>
        <c:delete val="0"/>
        <c:axPos val="l"/>
        <c:majorGridlines/>
        <c:numFmt formatCode="General" sourceLinked="1"/>
        <c:majorTickMark val="none"/>
        <c:minorTickMark val="none"/>
        <c:tickLblPos val="nextTo"/>
        <c:crossAx val="2120188664"/>
        <c:crosses val="autoZero"/>
        <c:crossBetween val="between"/>
      </c:valAx>
    </c:plotArea>
    <c:plotVisOnly val="1"/>
    <c:dispBlanksAs val="gap"/>
    <c:showDLblsOverMax val="0"/>
  </c:chart>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Foglio1!$A$2</c:f>
              <c:strCache>
                <c:ptCount val="1"/>
                <c:pt idx="0">
                  <c:v>Total number of tombs Mid-West area</c:v>
                </c:pt>
              </c:strCache>
            </c:strRef>
          </c:tx>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Foglio1!$B$1:$O$1</c:f>
              <c:strCache>
                <c:ptCount val="14"/>
                <c:pt idx="0">
                  <c:v>amber</c:v>
                </c:pt>
                <c:pt idx="1">
                  <c:v>bone </c:v>
                </c:pt>
                <c:pt idx="2">
                  <c:v>bronze</c:v>
                </c:pt>
                <c:pt idx="3">
                  <c:v>ceramic </c:v>
                </c:pt>
                <c:pt idx="4">
                  <c:v>faience</c:v>
                </c:pt>
                <c:pt idx="5">
                  <c:v>glass</c:v>
                </c:pt>
                <c:pt idx="6">
                  <c:v>gold</c:v>
                </c:pt>
                <c:pt idx="7">
                  <c:v>iron</c:v>
                </c:pt>
                <c:pt idx="8">
                  <c:v>ivory</c:v>
                </c:pt>
                <c:pt idx="9">
                  <c:v>shell</c:v>
                </c:pt>
                <c:pt idx="10">
                  <c:v>silver</c:v>
                </c:pt>
                <c:pt idx="11">
                  <c:v>stone </c:v>
                </c:pt>
                <c:pt idx="12">
                  <c:v>wood</c:v>
                </c:pt>
                <c:pt idx="13">
                  <c:v>other</c:v>
                </c:pt>
              </c:strCache>
            </c:strRef>
          </c:cat>
          <c:val>
            <c:numRef>
              <c:f>Foglio1!$B$2:$O$2</c:f>
              <c:numCache>
                <c:formatCode>General</c:formatCode>
                <c:ptCount val="14"/>
                <c:pt idx="0">
                  <c:v>0.0</c:v>
                </c:pt>
                <c:pt idx="1">
                  <c:v>2.0</c:v>
                </c:pt>
                <c:pt idx="2">
                  <c:v>28.0</c:v>
                </c:pt>
                <c:pt idx="3">
                  <c:v>54.0</c:v>
                </c:pt>
                <c:pt idx="4">
                  <c:v>19.0</c:v>
                </c:pt>
                <c:pt idx="5">
                  <c:v>13.0</c:v>
                </c:pt>
                <c:pt idx="6">
                  <c:v>4.0</c:v>
                </c:pt>
                <c:pt idx="7">
                  <c:v>0.0</c:v>
                </c:pt>
                <c:pt idx="8">
                  <c:v>3.0</c:v>
                </c:pt>
                <c:pt idx="9">
                  <c:v>0.0</c:v>
                </c:pt>
                <c:pt idx="10">
                  <c:v>2.0</c:v>
                </c:pt>
                <c:pt idx="11">
                  <c:v>26.0</c:v>
                </c:pt>
                <c:pt idx="12">
                  <c:v>0.0</c:v>
                </c:pt>
                <c:pt idx="13">
                  <c:v>13.0</c:v>
                </c:pt>
              </c:numCache>
            </c:numRef>
          </c:val>
          <c:extLst xmlns:c16r2="http://schemas.microsoft.com/office/drawing/2015/06/chart">
            <c:ext xmlns:c16="http://schemas.microsoft.com/office/drawing/2014/chart" uri="{C3380CC4-5D6E-409C-BE32-E72D297353CC}">
              <c16:uniqueId val="{00000000-B15A-4BC6-B761-168B7A7AEED4}"/>
            </c:ext>
          </c:extLst>
        </c:ser>
        <c:dLbls>
          <c:showLegendKey val="0"/>
          <c:showVal val="0"/>
          <c:showCatName val="0"/>
          <c:showSerName val="0"/>
          <c:showPercent val="0"/>
          <c:showBubbleSize val="0"/>
        </c:dLbls>
        <c:gapWidth val="75"/>
        <c:overlap val="40"/>
        <c:axId val="2116532120"/>
        <c:axId val="2116731000"/>
      </c:barChart>
      <c:catAx>
        <c:axId val="2116532120"/>
        <c:scaling>
          <c:orientation val="minMax"/>
        </c:scaling>
        <c:delete val="0"/>
        <c:axPos val="b"/>
        <c:numFmt formatCode="General" sourceLinked="0"/>
        <c:majorTickMark val="none"/>
        <c:minorTickMark val="none"/>
        <c:tickLblPos val="nextTo"/>
        <c:crossAx val="2116731000"/>
        <c:crosses val="autoZero"/>
        <c:auto val="1"/>
        <c:lblAlgn val="ctr"/>
        <c:lblOffset val="100"/>
        <c:noMultiLvlLbl val="0"/>
      </c:catAx>
      <c:valAx>
        <c:axId val="2116731000"/>
        <c:scaling>
          <c:orientation val="minMax"/>
        </c:scaling>
        <c:delete val="0"/>
        <c:axPos val="l"/>
        <c:majorGridlines/>
        <c:numFmt formatCode="General" sourceLinked="1"/>
        <c:majorTickMark val="none"/>
        <c:minorTickMark val="none"/>
        <c:tickLblPos val="nextTo"/>
        <c:crossAx val="211653212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total number of items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Foglio1!$B$1:$S$1</c:f>
              <c:strCache>
                <c:ptCount val="18"/>
                <c:pt idx="0">
                  <c:v>bracelet</c:v>
                </c:pt>
                <c:pt idx="1">
                  <c:v>necklace</c:v>
                </c:pt>
                <c:pt idx="2">
                  <c:v>ring</c:v>
                </c:pt>
                <c:pt idx="3">
                  <c:v>pin</c:v>
                </c:pt>
                <c:pt idx="4">
                  <c:v>seal</c:v>
                </c:pt>
                <c:pt idx="5">
                  <c:v>mirror</c:v>
                </c:pt>
                <c:pt idx="6">
                  <c:v>razor</c:v>
                </c:pt>
                <c:pt idx="7">
                  <c:v>tweezers</c:v>
                </c:pt>
                <c:pt idx="8">
                  <c:v>comb</c:v>
                </c:pt>
                <c:pt idx="9">
                  <c:v>sword</c:v>
                </c:pt>
                <c:pt idx="10">
                  <c:v>spearhead</c:v>
                </c:pt>
                <c:pt idx="11">
                  <c:v>dagger</c:v>
                </c:pt>
                <c:pt idx="12">
                  <c:v>knife</c:v>
                </c:pt>
                <c:pt idx="13">
                  <c:v>stone vessel</c:v>
                </c:pt>
                <c:pt idx="14">
                  <c:v>metal vessel</c:v>
                </c:pt>
                <c:pt idx="15">
                  <c:v>whorl</c:v>
                </c:pt>
                <c:pt idx="16">
                  <c:v>other</c:v>
                </c:pt>
                <c:pt idx="17">
                  <c:v>bead</c:v>
                </c:pt>
              </c:strCache>
            </c:strRef>
          </c:cat>
          <c:val>
            <c:numRef>
              <c:f>Foglio1!$B$2:$S$2</c:f>
              <c:numCache>
                <c:formatCode>General</c:formatCode>
                <c:ptCount val="18"/>
                <c:pt idx="0">
                  <c:v>7.0</c:v>
                </c:pt>
                <c:pt idx="1">
                  <c:v>4.0</c:v>
                </c:pt>
                <c:pt idx="2">
                  <c:v>30.0</c:v>
                </c:pt>
                <c:pt idx="3">
                  <c:v>2.0</c:v>
                </c:pt>
                <c:pt idx="4">
                  <c:v>31.0</c:v>
                </c:pt>
                <c:pt idx="5">
                  <c:v>1.0</c:v>
                </c:pt>
                <c:pt idx="6">
                  <c:v>1.0</c:v>
                </c:pt>
                <c:pt idx="7">
                  <c:v>1.0</c:v>
                </c:pt>
                <c:pt idx="8">
                  <c:v>1.0</c:v>
                </c:pt>
                <c:pt idx="9">
                  <c:v>2.0</c:v>
                </c:pt>
                <c:pt idx="10">
                  <c:v>1.0</c:v>
                </c:pt>
                <c:pt idx="11">
                  <c:v>9.0</c:v>
                </c:pt>
                <c:pt idx="12">
                  <c:v>15.0</c:v>
                </c:pt>
                <c:pt idx="13">
                  <c:v>8.0</c:v>
                </c:pt>
                <c:pt idx="14">
                  <c:v>1.0</c:v>
                </c:pt>
                <c:pt idx="15">
                  <c:v>39.0</c:v>
                </c:pt>
                <c:pt idx="16">
                  <c:v>26.0</c:v>
                </c:pt>
                <c:pt idx="17">
                  <c:v>176.0</c:v>
                </c:pt>
              </c:numCache>
            </c:numRef>
          </c:val>
          <c:extLst xmlns:c16r2="http://schemas.microsoft.com/office/drawing/2015/06/chart">
            <c:ext xmlns:c16="http://schemas.microsoft.com/office/drawing/2014/chart" uri="{C3380CC4-5D6E-409C-BE32-E72D297353CC}">
              <c16:uniqueId val="{00000000-580C-4B6B-8C30-42E6CA8BB09D}"/>
            </c:ext>
          </c:extLst>
        </c:ser>
        <c:ser>
          <c:idx val="1"/>
          <c:order val="1"/>
          <c:tx>
            <c:strRef>
              <c:f>Foglio1!$A$3</c:f>
              <c:strCache>
                <c:ptCount val="1"/>
                <c:pt idx="0">
                  <c:v>number of tombs in which they occur</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Foglio1!$B$1:$S$1</c:f>
              <c:strCache>
                <c:ptCount val="18"/>
                <c:pt idx="0">
                  <c:v>bracelet</c:v>
                </c:pt>
                <c:pt idx="1">
                  <c:v>necklace</c:v>
                </c:pt>
                <c:pt idx="2">
                  <c:v>ring</c:v>
                </c:pt>
                <c:pt idx="3">
                  <c:v>pin</c:v>
                </c:pt>
                <c:pt idx="4">
                  <c:v>seal</c:v>
                </c:pt>
                <c:pt idx="5">
                  <c:v>mirror</c:v>
                </c:pt>
                <c:pt idx="6">
                  <c:v>razor</c:v>
                </c:pt>
                <c:pt idx="7">
                  <c:v>tweezers</c:v>
                </c:pt>
                <c:pt idx="8">
                  <c:v>comb</c:v>
                </c:pt>
                <c:pt idx="9">
                  <c:v>sword</c:v>
                </c:pt>
                <c:pt idx="10">
                  <c:v>spearhead</c:v>
                </c:pt>
                <c:pt idx="11">
                  <c:v>dagger</c:v>
                </c:pt>
                <c:pt idx="12">
                  <c:v>knife</c:v>
                </c:pt>
                <c:pt idx="13">
                  <c:v>stone vessel</c:v>
                </c:pt>
                <c:pt idx="14">
                  <c:v>metal vessel</c:v>
                </c:pt>
                <c:pt idx="15">
                  <c:v>whorl</c:v>
                </c:pt>
                <c:pt idx="16">
                  <c:v>other</c:v>
                </c:pt>
                <c:pt idx="17">
                  <c:v>bead</c:v>
                </c:pt>
              </c:strCache>
            </c:strRef>
          </c:cat>
          <c:val>
            <c:numRef>
              <c:f>Foglio1!$B$3:$S$3</c:f>
              <c:numCache>
                <c:formatCode>General</c:formatCode>
                <c:ptCount val="18"/>
                <c:pt idx="0">
                  <c:v>5.0</c:v>
                </c:pt>
                <c:pt idx="1">
                  <c:v>1.0</c:v>
                </c:pt>
                <c:pt idx="2">
                  <c:v>11.0</c:v>
                </c:pt>
                <c:pt idx="3">
                  <c:v>2.0</c:v>
                </c:pt>
                <c:pt idx="4">
                  <c:v>15.0</c:v>
                </c:pt>
                <c:pt idx="5">
                  <c:v>1.0</c:v>
                </c:pt>
                <c:pt idx="6">
                  <c:v>1.0</c:v>
                </c:pt>
                <c:pt idx="7">
                  <c:v>1.0</c:v>
                </c:pt>
                <c:pt idx="8">
                  <c:v>1.0</c:v>
                </c:pt>
                <c:pt idx="9">
                  <c:v>2.0</c:v>
                </c:pt>
                <c:pt idx="10">
                  <c:v>1.0</c:v>
                </c:pt>
                <c:pt idx="11">
                  <c:v>5.0</c:v>
                </c:pt>
                <c:pt idx="12">
                  <c:v>10.0</c:v>
                </c:pt>
                <c:pt idx="13">
                  <c:v>8.0</c:v>
                </c:pt>
                <c:pt idx="14">
                  <c:v>1.0</c:v>
                </c:pt>
                <c:pt idx="15">
                  <c:v>10.0</c:v>
                </c:pt>
                <c:pt idx="16">
                  <c:v>9.0</c:v>
                </c:pt>
                <c:pt idx="17">
                  <c:v>20.0</c:v>
                </c:pt>
              </c:numCache>
            </c:numRef>
          </c:val>
          <c:extLst xmlns:c16r2="http://schemas.microsoft.com/office/drawing/2015/06/chart">
            <c:ext xmlns:c16="http://schemas.microsoft.com/office/drawing/2014/chart" uri="{C3380CC4-5D6E-409C-BE32-E72D297353CC}">
              <c16:uniqueId val="{00000001-580C-4B6B-8C30-42E6CA8BB09D}"/>
            </c:ext>
          </c:extLst>
        </c:ser>
        <c:dLbls>
          <c:showLegendKey val="0"/>
          <c:showVal val="1"/>
          <c:showCatName val="0"/>
          <c:showSerName val="0"/>
          <c:showPercent val="0"/>
          <c:showBubbleSize val="0"/>
        </c:dLbls>
        <c:gapWidth val="150"/>
        <c:overlap val="-25"/>
        <c:axId val="-1991269352"/>
        <c:axId val="-1991266376"/>
      </c:barChart>
      <c:catAx>
        <c:axId val="-1991269352"/>
        <c:scaling>
          <c:orientation val="minMax"/>
        </c:scaling>
        <c:delete val="0"/>
        <c:axPos val="l"/>
        <c:numFmt formatCode="General" sourceLinked="0"/>
        <c:majorTickMark val="none"/>
        <c:minorTickMark val="none"/>
        <c:tickLblPos val="nextTo"/>
        <c:crossAx val="-1991266376"/>
        <c:crosses val="autoZero"/>
        <c:auto val="1"/>
        <c:lblAlgn val="ctr"/>
        <c:lblOffset val="100"/>
        <c:noMultiLvlLbl val="0"/>
      </c:catAx>
      <c:valAx>
        <c:axId val="-1991266376"/>
        <c:scaling>
          <c:orientation val="minMax"/>
        </c:scaling>
        <c:delete val="1"/>
        <c:axPos val="b"/>
        <c:numFmt formatCode="General" sourceLinked="1"/>
        <c:majorTickMark val="none"/>
        <c:minorTickMark val="none"/>
        <c:tickLblPos val="nextTo"/>
        <c:crossAx val="-1991269352"/>
        <c:crosses val="autoZero"/>
        <c:crossBetween val="between"/>
      </c:valAx>
    </c:plotArea>
    <c:legend>
      <c:legendPos val="t"/>
      <c:layout/>
      <c:overlay val="0"/>
    </c:legend>
    <c:plotVisOnly val="1"/>
    <c:dispBlanksAs val="gap"/>
    <c:showDLblsOverMax val="0"/>
  </c:chart>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number of items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Foglio1!$B$1:$V$1</c:f>
              <c:strCache>
                <c:ptCount val="21"/>
                <c:pt idx="0">
                  <c:v>rhyton</c:v>
                </c:pt>
                <c:pt idx="1">
                  <c:v>kernos</c:v>
                </c:pt>
                <c:pt idx="2">
                  <c:v>goblet</c:v>
                </c:pt>
                <c:pt idx="3">
                  <c:v>cup</c:v>
                </c:pt>
                <c:pt idx="4">
                  <c:v>conical cup</c:v>
                </c:pt>
                <c:pt idx="5">
                  <c:v>tankard</c:v>
                </c:pt>
                <c:pt idx="6">
                  <c:v>bowl</c:v>
                </c:pt>
                <c:pt idx="7">
                  <c:v>stirrup jar</c:v>
                </c:pt>
                <c:pt idx="8">
                  <c:v>jar</c:v>
                </c:pt>
                <c:pt idx="9">
                  <c:v>alabastron</c:v>
                </c:pt>
                <c:pt idx="10">
                  <c:v>pyxis</c:v>
                </c:pt>
                <c:pt idx="11">
                  <c:v>askos</c:v>
                </c:pt>
                <c:pt idx="12">
                  <c:v>amphora</c:v>
                </c:pt>
                <c:pt idx="13">
                  <c:v>flask</c:v>
                </c:pt>
                <c:pt idx="14">
                  <c:v>jug</c:v>
                </c:pt>
                <c:pt idx="15">
                  <c:v>thelastron</c:v>
                </c:pt>
                <c:pt idx="16">
                  <c:v>krater</c:v>
                </c:pt>
                <c:pt idx="17">
                  <c:v>kalathos</c:v>
                </c:pt>
                <c:pt idx="18">
                  <c:v>brazier</c:v>
                </c:pt>
                <c:pt idx="19">
                  <c:v>incense burner</c:v>
                </c:pt>
                <c:pt idx="20">
                  <c:v>other</c:v>
                </c:pt>
              </c:strCache>
            </c:strRef>
          </c:cat>
          <c:val>
            <c:numRef>
              <c:f>Foglio1!$B$2:$V$2</c:f>
              <c:numCache>
                <c:formatCode>General</c:formatCode>
                <c:ptCount val="21"/>
                <c:pt idx="0">
                  <c:v>3.0</c:v>
                </c:pt>
                <c:pt idx="1">
                  <c:v>1.0</c:v>
                </c:pt>
                <c:pt idx="2">
                  <c:v>49.0</c:v>
                </c:pt>
                <c:pt idx="3">
                  <c:v>54.0</c:v>
                </c:pt>
                <c:pt idx="4">
                  <c:v>27.0</c:v>
                </c:pt>
                <c:pt idx="5">
                  <c:v>1.0</c:v>
                </c:pt>
                <c:pt idx="6">
                  <c:v>10.0</c:v>
                </c:pt>
                <c:pt idx="7">
                  <c:v>137.0</c:v>
                </c:pt>
                <c:pt idx="8">
                  <c:v>3.0</c:v>
                </c:pt>
                <c:pt idx="9">
                  <c:v>48.0</c:v>
                </c:pt>
                <c:pt idx="10">
                  <c:v>8.0</c:v>
                </c:pt>
                <c:pt idx="11">
                  <c:v>2.0</c:v>
                </c:pt>
                <c:pt idx="12">
                  <c:v>11.0</c:v>
                </c:pt>
                <c:pt idx="13">
                  <c:v>3.0</c:v>
                </c:pt>
                <c:pt idx="14">
                  <c:v>31.0</c:v>
                </c:pt>
                <c:pt idx="15">
                  <c:v>5.0</c:v>
                </c:pt>
                <c:pt idx="16">
                  <c:v>6.0</c:v>
                </c:pt>
                <c:pt idx="17">
                  <c:v>6.0</c:v>
                </c:pt>
                <c:pt idx="18">
                  <c:v>1.0</c:v>
                </c:pt>
                <c:pt idx="19">
                  <c:v>28.0</c:v>
                </c:pt>
                <c:pt idx="20">
                  <c:v>4.0</c:v>
                </c:pt>
              </c:numCache>
            </c:numRef>
          </c:val>
          <c:extLst xmlns:c16r2="http://schemas.microsoft.com/office/drawing/2015/06/chart">
            <c:ext xmlns:c16="http://schemas.microsoft.com/office/drawing/2014/chart" uri="{C3380CC4-5D6E-409C-BE32-E72D297353CC}">
              <c16:uniqueId val="{00000000-05D3-47C1-9259-28BD2B983527}"/>
            </c:ext>
          </c:extLst>
        </c:ser>
        <c:ser>
          <c:idx val="1"/>
          <c:order val="1"/>
          <c:tx>
            <c:strRef>
              <c:f>Foglio1!$A$3</c:f>
              <c:strCache>
                <c:ptCount val="1"/>
                <c:pt idx="0">
                  <c:v>number of tombs in which they occur</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Foglio1!$B$1:$V$1</c:f>
              <c:strCache>
                <c:ptCount val="21"/>
                <c:pt idx="0">
                  <c:v>rhyton</c:v>
                </c:pt>
                <c:pt idx="1">
                  <c:v>kernos</c:v>
                </c:pt>
                <c:pt idx="2">
                  <c:v>goblet</c:v>
                </c:pt>
                <c:pt idx="3">
                  <c:v>cup</c:v>
                </c:pt>
                <c:pt idx="4">
                  <c:v>conical cup</c:v>
                </c:pt>
                <c:pt idx="5">
                  <c:v>tankard</c:v>
                </c:pt>
                <c:pt idx="6">
                  <c:v>bowl</c:v>
                </c:pt>
                <c:pt idx="7">
                  <c:v>stirrup jar</c:v>
                </c:pt>
                <c:pt idx="8">
                  <c:v>jar</c:v>
                </c:pt>
                <c:pt idx="9">
                  <c:v>alabastron</c:v>
                </c:pt>
                <c:pt idx="10">
                  <c:v>pyxis</c:v>
                </c:pt>
                <c:pt idx="11">
                  <c:v>askos</c:v>
                </c:pt>
                <c:pt idx="12">
                  <c:v>amphora</c:v>
                </c:pt>
                <c:pt idx="13">
                  <c:v>flask</c:v>
                </c:pt>
                <c:pt idx="14">
                  <c:v>jug</c:v>
                </c:pt>
                <c:pt idx="15">
                  <c:v>thelastron</c:v>
                </c:pt>
                <c:pt idx="16">
                  <c:v>krater</c:v>
                </c:pt>
                <c:pt idx="17">
                  <c:v>kalathos</c:v>
                </c:pt>
                <c:pt idx="18">
                  <c:v>brazier</c:v>
                </c:pt>
                <c:pt idx="19">
                  <c:v>incense burner</c:v>
                </c:pt>
                <c:pt idx="20">
                  <c:v>other</c:v>
                </c:pt>
              </c:strCache>
            </c:strRef>
          </c:cat>
          <c:val>
            <c:numRef>
              <c:f>Foglio1!$B$3:$V$3</c:f>
              <c:numCache>
                <c:formatCode>General</c:formatCode>
                <c:ptCount val="21"/>
                <c:pt idx="0">
                  <c:v>3.0</c:v>
                </c:pt>
                <c:pt idx="1">
                  <c:v>1.0</c:v>
                </c:pt>
                <c:pt idx="2">
                  <c:v>18.0</c:v>
                </c:pt>
                <c:pt idx="3">
                  <c:v>20.0</c:v>
                </c:pt>
                <c:pt idx="4">
                  <c:v>14.0</c:v>
                </c:pt>
                <c:pt idx="5">
                  <c:v>1.0</c:v>
                </c:pt>
                <c:pt idx="6">
                  <c:v>8.0</c:v>
                </c:pt>
                <c:pt idx="7">
                  <c:v>42.0</c:v>
                </c:pt>
                <c:pt idx="8">
                  <c:v>3.0</c:v>
                </c:pt>
                <c:pt idx="9">
                  <c:v>25.0</c:v>
                </c:pt>
                <c:pt idx="10">
                  <c:v>7.0</c:v>
                </c:pt>
                <c:pt idx="11">
                  <c:v>2.0</c:v>
                </c:pt>
                <c:pt idx="12">
                  <c:v>9.0</c:v>
                </c:pt>
                <c:pt idx="13">
                  <c:v>3.0</c:v>
                </c:pt>
                <c:pt idx="14">
                  <c:v>18.0</c:v>
                </c:pt>
                <c:pt idx="15">
                  <c:v>5.0</c:v>
                </c:pt>
                <c:pt idx="16">
                  <c:v>6.0</c:v>
                </c:pt>
                <c:pt idx="17">
                  <c:v>6.0</c:v>
                </c:pt>
                <c:pt idx="18">
                  <c:v>1.0</c:v>
                </c:pt>
                <c:pt idx="19">
                  <c:v>19.0</c:v>
                </c:pt>
                <c:pt idx="20">
                  <c:v>3.0</c:v>
                </c:pt>
              </c:numCache>
            </c:numRef>
          </c:val>
          <c:extLst xmlns:c16r2="http://schemas.microsoft.com/office/drawing/2015/06/chart">
            <c:ext xmlns:c16="http://schemas.microsoft.com/office/drawing/2014/chart" uri="{C3380CC4-5D6E-409C-BE32-E72D297353CC}">
              <c16:uniqueId val="{00000001-05D3-47C1-9259-28BD2B983527}"/>
            </c:ext>
          </c:extLst>
        </c:ser>
        <c:dLbls>
          <c:showLegendKey val="0"/>
          <c:showVal val="1"/>
          <c:showCatName val="0"/>
          <c:showSerName val="0"/>
          <c:showPercent val="0"/>
          <c:showBubbleSize val="0"/>
        </c:dLbls>
        <c:gapWidth val="150"/>
        <c:overlap val="-25"/>
        <c:axId val="-2066591320"/>
        <c:axId val="-2128088136"/>
      </c:barChart>
      <c:catAx>
        <c:axId val="-2066591320"/>
        <c:scaling>
          <c:orientation val="minMax"/>
        </c:scaling>
        <c:delete val="0"/>
        <c:axPos val="l"/>
        <c:numFmt formatCode="General" sourceLinked="0"/>
        <c:majorTickMark val="none"/>
        <c:minorTickMark val="none"/>
        <c:tickLblPos val="nextTo"/>
        <c:crossAx val="-2128088136"/>
        <c:crosses val="autoZero"/>
        <c:auto val="1"/>
        <c:lblAlgn val="ctr"/>
        <c:lblOffset val="100"/>
        <c:noMultiLvlLbl val="0"/>
      </c:catAx>
      <c:valAx>
        <c:axId val="-2128088136"/>
        <c:scaling>
          <c:orientation val="minMax"/>
          <c:max val="140.0"/>
        </c:scaling>
        <c:delete val="1"/>
        <c:axPos val="b"/>
        <c:numFmt formatCode="General" sourceLinked="1"/>
        <c:majorTickMark val="none"/>
        <c:minorTickMark val="none"/>
        <c:tickLblPos val="nextTo"/>
        <c:crossAx val="-2066591320"/>
        <c:crosses val="autoZero"/>
        <c:crossBetween val="between"/>
      </c:valAx>
    </c:plotArea>
    <c:legend>
      <c:legendPos val="t"/>
      <c:layout/>
      <c:overlay val="0"/>
    </c:legend>
    <c:plotVisOnly val="1"/>
    <c:dispBlanksAs val="gap"/>
    <c:showDLblsOverMax val="0"/>
  </c:chart>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it-IT" sz="1200" b="1" i="0" baseline="0">
                <a:effectLst/>
                <a:latin typeface="Times New Roman" panose="02020603050405020304" pitchFamily="18" charset="0"/>
                <a:cs typeface="Times New Roman" panose="02020603050405020304" pitchFamily="18" charset="0"/>
              </a:rPr>
              <a:t>Pottery occurrence in grave goods assemblages in Mid-West area tombs </a:t>
            </a:r>
            <a:endParaRPr lang="it-IT" sz="12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(Foglio1!$A$60;Foglio1!$A$61;Foglio1!$A$62)</c:f>
              <c:strCache>
                <c:ptCount val="3"/>
                <c:pt idx="0">
                  <c:v>only pottery</c:v>
                </c:pt>
                <c:pt idx="1">
                  <c:v>pottery + other materials</c:v>
                </c:pt>
                <c:pt idx="2">
                  <c:v>only other materials</c:v>
                </c:pt>
              </c:strCache>
            </c:strRef>
          </c:cat>
          <c:val>
            <c:numRef>
              <c:f>(Foglio1!$B$60;Foglio1!$B$61;Foglio1!$B$62)</c:f>
              <c:numCache>
                <c:formatCode>General</c:formatCode>
                <c:ptCount val="3"/>
                <c:pt idx="0">
                  <c:v>14.0</c:v>
                </c:pt>
                <c:pt idx="1">
                  <c:v>40.0</c:v>
                </c:pt>
                <c:pt idx="2">
                  <c:v>1.0</c:v>
                </c:pt>
              </c:numCache>
            </c:numRef>
          </c:val>
          <c:extLst xmlns:c16r2="http://schemas.microsoft.com/office/drawing/2015/06/chart">
            <c:ext xmlns:c16="http://schemas.microsoft.com/office/drawing/2014/chart" uri="{C3380CC4-5D6E-409C-BE32-E72D297353CC}">
              <c16:uniqueId val="{00000000-C831-4924-B31D-404814CC04B6}"/>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(Foglio1!$A$75;Foglio1!$A$76;Foglio1!$A$77)</c:f>
              <c:strCache>
                <c:ptCount val="3"/>
                <c:pt idx="0">
                  <c:v>No.of  tombs associated with larnakes and other types of burials</c:v>
                </c:pt>
                <c:pt idx="1">
                  <c:v>No.of tombs associated only with larnax</c:v>
                </c:pt>
                <c:pt idx="2">
                  <c:v>No.of tombs  with no info</c:v>
                </c:pt>
              </c:strCache>
            </c:strRef>
          </c:cat>
          <c:val>
            <c:numRef>
              <c:f>(Foglio1!$B$75;Foglio1!$B$76;Foglio1!$B$77)</c:f>
              <c:numCache>
                <c:formatCode>General</c:formatCode>
                <c:ptCount val="3"/>
                <c:pt idx="0">
                  <c:v>26.0</c:v>
                </c:pt>
                <c:pt idx="1">
                  <c:v>14.0</c:v>
                </c:pt>
                <c:pt idx="2">
                  <c:v>17.0</c:v>
                </c:pt>
              </c:numCache>
            </c:numRef>
          </c:val>
          <c:extLst xmlns:c16r2="http://schemas.microsoft.com/office/drawing/2015/06/chart">
            <c:ext xmlns:c16="http://schemas.microsoft.com/office/drawing/2014/chart" uri="{C3380CC4-5D6E-409C-BE32-E72D297353CC}">
              <c16:uniqueId val="{00000000-859E-4928-AF1E-3C911C9D4A12}"/>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Foglio1!$B$1</c:f>
              <c:strCache>
                <c:ptCount val="1"/>
                <c:pt idx="0">
                  <c:v>Total number of tombs Mesara area</c:v>
                </c:pt>
              </c:strCache>
            </c:strRef>
          </c:tx>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Foglio1!$A$2:$A$9</c:f>
              <c:strCache>
                <c:ptCount val="8"/>
                <c:pt idx="0">
                  <c:v>ceramic </c:v>
                </c:pt>
                <c:pt idx="1">
                  <c:v>bronze</c:v>
                </c:pt>
                <c:pt idx="2">
                  <c:v>stone </c:v>
                </c:pt>
                <c:pt idx="3">
                  <c:v>glass</c:v>
                </c:pt>
                <c:pt idx="4">
                  <c:v>ivory</c:v>
                </c:pt>
                <c:pt idx="5">
                  <c:v>faience</c:v>
                </c:pt>
                <c:pt idx="6">
                  <c:v>shell</c:v>
                </c:pt>
                <c:pt idx="7">
                  <c:v>silver</c:v>
                </c:pt>
              </c:strCache>
            </c:strRef>
          </c:cat>
          <c:val>
            <c:numRef>
              <c:f>Foglio1!$B$2:$B$9</c:f>
              <c:numCache>
                <c:formatCode>General</c:formatCode>
                <c:ptCount val="8"/>
                <c:pt idx="0">
                  <c:v>34.0</c:v>
                </c:pt>
                <c:pt idx="1">
                  <c:v>17.0</c:v>
                </c:pt>
                <c:pt idx="2">
                  <c:v>13.0</c:v>
                </c:pt>
                <c:pt idx="3">
                  <c:v>7.0</c:v>
                </c:pt>
                <c:pt idx="4">
                  <c:v>2.0</c:v>
                </c:pt>
                <c:pt idx="5">
                  <c:v>5.0</c:v>
                </c:pt>
                <c:pt idx="6">
                  <c:v>1.0</c:v>
                </c:pt>
                <c:pt idx="7">
                  <c:v>1.0</c:v>
                </c:pt>
              </c:numCache>
            </c:numRef>
          </c:val>
          <c:extLst xmlns:c16r2="http://schemas.microsoft.com/office/drawing/2015/06/chart">
            <c:ext xmlns:c16="http://schemas.microsoft.com/office/drawing/2014/chart" uri="{C3380CC4-5D6E-409C-BE32-E72D297353CC}">
              <c16:uniqueId val="{00000000-B348-4BDB-8E99-9DBA7790D417}"/>
            </c:ext>
          </c:extLst>
        </c:ser>
        <c:dLbls>
          <c:showLegendKey val="0"/>
          <c:showVal val="0"/>
          <c:showCatName val="0"/>
          <c:showSerName val="0"/>
          <c:showPercent val="0"/>
          <c:showBubbleSize val="0"/>
        </c:dLbls>
        <c:gapWidth val="75"/>
        <c:overlap val="40"/>
        <c:axId val="-1996471192"/>
        <c:axId val="-1968503576"/>
      </c:barChart>
      <c:catAx>
        <c:axId val="-1996471192"/>
        <c:scaling>
          <c:orientation val="minMax"/>
        </c:scaling>
        <c:delete val="0"/>
        <c:axPos val="b"/>
        <c:numFmt formatCode="General" sourceLinked="0"/>
        <c:majorTickMark val="none"/>
        <c:minorTickMark val="none"/>
        <c:tickLblPos val="nextTo"/>
        <c:crossAx val="-1968503576"/>
        <c:crosses val="autoZero"/>
        <c:auto val="1"/>
        <c:lblAlgn val="ctr"/>
        <c:lblOffset val="100"/>
        <c:noMultiLvlLbl val="0"/>
      </c:catAx>
      <c:valAx>
        <c:axId val="-1968503576"/>
        <c:scaling>
          <c:orientation val="minMax"/>
        </c:scaling>
        <c:delete val="0"/>
        <c:axPos val="l"/>
        <c:majorGridlines/>
        <c:numFmt formatCode="General" sourceLinked="1"/>
        <c:majorTickMark val="none"/>
        <c:minorTickMark val="none"/>
        <c:tickLblPos val="nextTo"/>
        <c:crossAx val="-199647119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total number of items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Foglio1!$B$1:$T$1</c:f>
              <c:strCache>
                <c:ptCount val="19"/>
                <c:pt idx="0">
                  <c:v>bracelet</c:v>
                </c:pt>
                <c:pt idx="1">
                  <c:v>necklace</c:v>
                </c:pt>
                <c:pt idx="2">
                  <c:v>ring</c:v>
                </c:pt>
                <c:pt idx="3">
                  <c:v>pin</c:v>
                </c:pt>
                <c:pt idx="4">
                  <c:v>seal</c:v>
                </c:pt>
                <c:pt idx="5">
                  <c:v>mirror</c:v>
                </c:pt>
                <c:pt idx="6">
                  <c:v>razor</c:v>
                </c:pt>
                <c:pt idx="7">
                  <c:v>tweezers</c:v>
                </c:pt>
                <c:pt idx="8">
                  <c:v>comb</c:v>
                </c:pt>
                <c:pt idx="9">
                  <c:v>spearhead</c:v>
                </c:pt>
                <c:pt idx="10">
                  <c:v>arrowhead</c:v>
                </c:pt>
                <c:pt idx="11">
                  <c:v>dagger</c:v>
                </c:pt>
                <c:pt idx="12">
                  <c:v>knife</c:v>
                </c:pt>
                <c:pt idx="13">
                  <c:v>stone vessel</c:v>
                </c:pt>
                <c:pt idx="14">
                  <c:v>metal vessel</c:v>
                </c:pt>
                <c:pt idx="15">
                  <c:v>figurine</c:v>
                </c:pt>
                <c:pt idx="16">
                  <c:v>other</c:v>
                </c:pt>
                <c:pt idx="17">
                  <c:v>beads</c:v>
                </c:pt>
                <c:pt idx="18">
                  <c:v>whorl</c:v>
                </c:pt>
              </c:strCache>
            </c:strRef>
          </c:cat>
          <c:val>
            <c:numRef>
              <c:f>Foglio1!$B$2:$T$2</c:f>
              <c:numCache>
                <c:formatCode>General</c:formatCode>
                <c:ptCount val="19"/>
                <c:pt idx="0">
                  <c:v>2.0</c:v>
                </c:pt>
                <c:pt idx="1">
                  <c:v>5.0</c:v>
                </c:pt>
                <c:pt idx="2">
                  <c:v>17.0</c:v>
                </c:pt>
                <c:pt idx="3">
                  <c:v>5.0</c:v>
                </c:pt>
                <c:pt idx="4">
                  <c:v>11.0</c:v>
                </c:pt>
                <c:pt idx="5">
                  <c:v>2.0</c:v>
                </c:pt>
                <c:pt idx="6">
                  <c:v>9.0</c:v>
                </c:pt>
                <c:pt idx="7">
                  <c:v>1.0</c:v>
                </c:pt>
                <c:pt idx="8">
                  <c:v>2.0</c:v>
                </c:pt>
                <c:pt idx="9">
                  <c:v>4.0</c:v>
                </c:pt>
                <c:pt idx="10">
                  <c:v>1.0</c:v>
                </c:pt>
                <c:pt idx="11">
                  <c:v>3.0</c:v>
                </c:pt>
                <c:pt idx="12">
                  <c:v>2.0</c:v>
                </c:pt>
                <c:pt idx="13">
                  <c:v>6.0</c:v>
                </c:pt>
                <c:pt idx="14">
                  <c:v>2.0</c:v>
                </c:pt>
                <c:pt idx="15">
                  <c:v>2.0</c:v>
                </c:pt>
                <c:pt idx="16">
                  <c:v>11.0</c:v>
                </c:pt>
                <c:pt idx="17">
                  <c:v>322.0</c:v>
                </c:pt>
                <c:pt idx="18">
                  <c:v>67.0</c:v>
                </c:pt>
              </c:numCache>
            </c:numRef>
          </c:val>
          <c:extLst xmlns:c16r2="http://schemas.microsoft.com/office/drawing/2015/06/chart">
            <c:ext xmlns:c16="http://schemas.microsoft.com/office/drawing/2014/chart" uri="{C3380CC4-5D6E-409C-BE32-E72D297353CC}">
              <c16:uniqueId val="{00000000-54BB-4617-B744-C6422CB48128}"/>
            </c:ext>
          </c:extLst>
        </c:ser>
        <c:ser>
          <c:idx val="1"/>
          <c:order val="1"/>
          <c:tx>
            <c:strRef>
              <c:f>Foglio1!$A$3</c:f>
              <c:strCache>
                <c:ptCount val="1"/>
                <c:pt idx="0">
                  <c:v>number of tombs in which they occur</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Foglio1!$B$1:$T$1</c:f>
              <c:strCache>
                <c:ptCount val="19"/>
                <c:pt idx="0">
                  <c:v>bracelet</c:v>
                </c:pt>
                <c:pt idx="1">
                  <c:v>necklace</c:v>
                </c:pt>
                <c:pt idx="2">
                  <c:v>ring</c:v>
                </c:pt>
                <c:pt idx="3">
                  <c:v>pin</c:v>
                </c:pt>
                <c:pt idx="4">
                  <c:v>seal</c:v>
                </c:pt>
                <c:pt idx="5">
                  <c:v>mirror</c:v>
                </c:pt>
                <c:pt idx="6">
                  <c:v>razor</c:v>
                </c:pt>
                <c:pt idx="7">
                  <c:v>tweezers</c:v>
                </c:pt>
                <c:pt idx="8">
                  <c:v>comb</c:v>
                </c:pt>
                <c:pt idx="9">
                  <c:v>spearhead</c:v>
                </c:pt>
                <c:pt idx="10">
                  <c:v>arrowhead</c:v>
                </c:pt>
                <c:pt idx="11">
                  <c:v>dagger</c:v>
                </c:pt>
                <c:pt idx="12">
                  <c:v>knife</c:v>
                </c:pt>
                <c:pt idx="13">
                  <c:v>stone vessel</c:v>
                </c:pt>
                <c:pt idx="14">
                  <c:v>metal vessel</c:v>
                </c:pt>
                <c:pt idx="15">
                  <c:v>figurine</c:v>
                </c:pt>
                <c:pt idx="16">
                  <c:v>other</c:v>
                </c:pt>
                <c:pt idx="17">
                  <c:v>beads</c:v>
                </c:pt>
                <c:pt idx="18">
                  <c:v>whorl</c:v>
                </c:pt>
              </c:strCache>
            </c:strRef>
          </c:cat>
          <c:val>
            <c:numRef>
              <c:f>Foglio1!$B$3:$T$3</c:f>
              <c:numCache>
                <c:formatCode>General</c:formatCode>
                <c:ptCount val="19"/>
                <c:pt idx="0">
                  <c:v>2.0</c:v>
                </c:pt>
                <c:pt idx="1">
                  <c:v>3.0</c:v>
                </c:pt>
                <c:pt idx="2">
                  <c:v>8.0</c:v>
                </c:pt>
                <c:pt idx="3">
                  <c:v>4.0</c:v>
                </c:pt>
                <c:pt idx="4">
                  <c:v>5.0</c:v>
                </c:pt>
                <c:pt idx="5">
                  <c:v>2.0</c:v>
                </c:pt>
                <c:pt idx="6">
                  <c:v>7.0</c:v>
                </c:pt>
                <c:pt idx="7">
                  <c:v>1.0</c:v>
                </c:pt>
                <c:pt idx="8">
                  <c:v>2.0</c:v>
                </c:pt>
                <c:pt idx="9">
                  <c:v>3.0</c:v>
                </c:pt>
                <c:pt idx="10">
                  <c:v>1.0</c:v>
                </c:pt>
                <c:pt idx="11">
                  <c:v>3.0</c:v>
                </c:pt>
                <c:pt idx="12">
                  <c:v>2.0</c:v>
                </c:pt>
                <c:pt idx="13">
                  <c:v>4.0</c:v>
                </c:pt>
                <c:pt idx="14">
                  <c:v>2.0</c:v>
                </c:pt>
                <c:pt idx="15">
                  <c:v>2.0</c:v>
                </c:pt>
                <c:pt idx="16">
                  <c:v>6.0</c:v>
                </c:pt>
                <c:pt idx="17">
                  <c:v>9.0</c:v>
                </c:pt>
                <c:pt idx="18">
                  <c:v>10.0</c:v>
                </c:pt>
              </c:numCache>
            </c:numRef>
          </c:val>
          <c:extLst xmlns:c16r2="http://schemas.microsoft.com/office/drawing/2015/06/chart">
            <c:ext xmlns:c16="http://schemas.microsoft.com/office/drawing/2014/chart" uri="{C3380CC4-5D6E-409C-BE32-E72D297353CC}">
              <c16:uniqueId val="{00000001-54BB-4617-B744-C6422CB48128}"/>
            </c:ext>
          </c:extLst>
        </c:ser>
        <c:dLbls>
          <c:showLegendKey val="0"/>
          <c:showVal val="1"/>
          <c:showCatName val="0"/>
          <c:showSerName val="0"/>
          <c:showPercent val="0"/>
          <c:showBubbleSize val="0"/>
        </c:dLbls>
        <c:gapWidth val="150"/>
        <c:overlap val="-25"/>
        <c:axId val="1845379768"/>
        <c:axId val="-1991264056"/>
      </c:barChart>
      <c:valAx>
        <c:axId val="-1991264056"/>
        <c:scaling>
          <c:orientation val="minMax"/>
        </c:scaling>
        <c:delete val="1"/>
        <c:axPos val="b"/>
        <c:numFmt formatCode="General" sourceLinked="1"/>
        <c:majorTickMark val="none"/>
        <c:minorTickMark val="none"/>
        <c:tickLblPos val="nextTo"/>
        <c:crossAx val="1845379768"/>
        <c:crosses val="autoZero"/>
        <c:crossBetween val="between"/>
      </c:valAx>
      <c:catAx>
        <c:axId val="1845379768"/>
        <c:scaling>
          <c:orientation val="minMax"/>
        </c:scaling>
        <c:delete val="0"/>
        <c:axPos val="l"/>
        <c:numFmt formatCode="General" sourceLinked="0"/>
        <c:majorTickMark val="none"/>
        <c:minorTickMark val="none"/>
        <c:tickLblPos val="nextTo"/>
        <c:crossAx val="-1991264056"/>
        <c:crosses val="autoZero"/>
        <c:auto val="1"/>
        <c:lblAlgn val="ctr"/>
        <c:lblOffset val="100"/>
        <c:noMultiLvlLbl val="0"/>
      </c:catAx>
    </c:plotArea>
    <c:legend>
      <c:legendPos val="t"/>
      <c:layout/>
      <c:overlay val="0"/>
    </c:legend>
    <c:plotVisOnly val="1"/>
    <c:dispBlanksAs val="gap"/>
    <c:showDLblsOverMax val="0"/>
  </c:chart>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Foglio1!$I$7</c:f>
              <c:strCache>
                <c:ptCount val="1"/>
                <c:pt idx="0">
                  <c:v>number of items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Foglio1!$J$6:$W$6</c:f>
              <c:strCache>
                <c:ptCount val="14"/>
                <c:pt idx="0">
                  <c:v>goblet</c:v>
                </c:pt>
                <c:pt idx="1">
                  <c:v>cup</c:v>
                </c:pt>
                <c:pt idx="2">
                  <c:v>conical cup</c:v>
                </c:pt>
                <c:pt idx="3">
                  <c:v>bowl</c:v>
                </c:pt>
                <c:pt idx="4">
                  <c:v>stirrup jar</c:v>
                </c:pt>
                <c:pt idx="5">
                  <c:v>jar</c:v>
                </c:pt>
                <c:pt idx="6">
                  <c:v>alabastron</c:v>
                </c:pt>
                <c:pt idx="7">
                  <c:v>pyxis</c:v>
                </c:pt>
                <c:pt idx="8">
                  <c:v>flask</c:v>
                </c:pt>
                <c:pt idx="9">
                  <c:v>jug</c:v>
                </c:pt>
                <c:pt idx="10">
                  <c:v>krater</c:v>
                </c:pt>
                <c:pt idx="11">
                  <c:v>kalathos</c:v>
                </c:pt>
                <c:pt idx="12">
                  <c:v>incense burner</c:v>
                </c:pt>
                <c:pt idx="13">
                  <c:v>other</c:v>
                </c:pt>
              </c:strCache>
            </c:strRef>
          </c:cat>
          <c:val>
            <c:numRef>
              <c:f>Foglio1!$J$7:$W$7</c:f>
              <c:numCache>
                <c:formatCode>General</c:formatCode>
                <c:ptCount val="14"/>
                <c:pt idx="0">
                  <c:v>16.0</c:v>
                </c:pt>
                <c:pt idx="1">
                  <c:v>24.0</c:v>
                </c:pt>
                <c:pt idx="2">
                  <c:v>13.0</c:v>
                </c:pt>
                <c:pt idx="3">
                  <c:v>7.0</c:v>
                </c:pt>
                <c:pt idx="4">
                  <c:v>158.0</c:v>
                </c:pt>
                <c:pt idx="5">
                  <c:v>2.0</c:v>
                </c:pt>
                <c:pt idx="6">
                  <c:v>12.0</c:v>
                </c:pt>
                <c:pt idx="7">
                  <c:v>4.0</c:v>
                </c:pt>
                <c:pt idx="8">
                  <c:v>2.0</c:v>
                </c:pt>
                <c:pt idx="9">
                  <c:v>56.0</c:v>
                </c:pt>
                <c:pt idx="10">
                  <c:v>4.0</c:v>
                </c:pt>
                <c:pt idx="11">
                  <c:v>1.0</c:v>
                </c:pt>
                <c:pt idx="12">
                  <c:v>13.0</c:v>
                </c:pt>
                <c:pt idx="13">
                  <c:v>6.0</c:v>
                </c:pt>
              </c:numCache>
            </c:numRef>
          </c:val>
          <c:extLst xmlns:c16r2="http://schemas.microsoft.com/office/drawing/2015/06/chart">
            <c:ext xmlns:c16="http://schemas.microsoft.com/office/drawing/2014/chart" uri="{C3380CC4-5D6E-409C-BE32-E72D297353CC}">
              <c16:uniqueId val="{00000000-A83B-4BD4-BE9F-C5E0B3DCBD5A}"/>
            </c:ext>
          </c:extLst>
        </c:ser>
        <c:ser>
          <c:idx val="1"/>
          <c:order val="1"/>
          <c:tx>
            <c:strRef>
              <c:f>Foglio1!$I$8</c:f>
              <c:strCache>
                <c:ptCount val="1"/>
                <c:pt idx="0">
                  <c:v>number of tombs in which they occur</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Foglio1!$J$6:$W$6</c:f>
              <c:strCache>
                <c:ptCount val="14"/>
                <c:pt idx="0">
                  <c:v>goblet</c:v>
                </c:pt>
                <c:pt idx="1">
                  <c:v>cup</c:v>
                </c:pt>
                <c:pt idx="2">
                  <c:v>conical cup</c:v>
                </c:pt>
                <c:pt idx="3">
                  <c:v>bowl</c:v>
                </c:pt>
                <c:pt idx="4">
                  <c:v>stirrup jar</c:v>
                </c:pt>
                <c:pt idx="5">
                  <c:v>jar</c:v>
                </c:pt>
                <c:pt idx="6">
                  <c:v>alabastron</c:v>
                </c:pt>
                <c:pt idx="7">
                  <c:v>pyxis</c:v>
                </c:pt>
                <c:pt idx="8">
                  <c:v>flask</c:v>
                </c:pt>
                <c:pt idx="9">
                  <c:v>jug</c:v>
                </c:pt>
                <c:pt idx="10">
                  <c:v>krater</c:v>
                </c:pt>
                <c:pt idx="11">
                  <c:v>kalathos</c:v>
                </c:pt>
                <c:pt idx="12">
                  <c:v>incense burner</c:v>
                </c:pt>
                <c:pt idx="13">
                  <c:v>other</c:v>
                </c:pt>
              </c:strCache>
            </c:strRef>
          </c:cat>
          <c:val>
            <c:numRef>
              <c:f>Foglio1!$J$8:$W$8</c:f>
              <c:numCache>
                <c:formatCode>General</c:formatCode>
                <c:ptCount val="14"/>
                <c:pt idx="0">
                  <c:v>10.0</c:v>
                </c:pt>
                <c:pt idx="1">
                  <c:v>15.0</c:v>
                </c:pt>
                <c:pt idx="2">
                  <c:v>5.0</c:v>
                </c:pt>
                <c:pt idx="3">
                  <c:v>4.0</c:v>
                </c:pt>
                <c:pt idx="4">
                  <c:v>23.0</c:v>
                </c:pt>
                <c:pt idx="5">
                  <c:v>2.0</c:v>
                </c:pt>
                <c:pt idx="6">
                  <c:v>6.0</c:v>
                </c:pt>
                <c:pt idx="7">
                  <c:v>3.0</c:v>
                </c:pt>
                <c:pt idx="8">
                  <c:v>2.0</c:v>
                </c:pt>
                <c:pt idx="9">
                  <c:v>14.0</c:v>
                </c:pt>
                <c:pt idx="10">
                  <c:v>2.0</c:v>
                </c:pt>
                <c:pt idx="11">
                  <c:v>1.0</c:v>
                </c:pt>
                <c:pt idx="12">
                  <c:v>7.0</c:v>
                </c:pt>
                <c:pt idx="13">
                  <c:v>3.0</c:v>
                </c:pt>
              </c:numCache>
            </c:numRef>
          </c:val>
          <c:extLst xmlns:c16r2="http://schemas.microsoft.com/office/drawing/2015/06/chart">
            <c:ext xmlns:c16="http://schemas.microsoft.com/office/drawing/2014/chart" uri="{C3380CC4-5D6E-409C-BE32-E72D297353CC}">
              <c16:uniqueId val="{00000001-A83B-4BD4-BE9F-C5E0B3DCBD5A}"/>
            </c:ext>
          </c:extLst>
        </c:ser>
        <c:dLbls>
          <c:showLegendKey val="0"/>
          <c:showVal val="1"/>
          <c:showCatName val="0"/>
          <c:showSerName val="0"/>
          <c:showPercent val="0"/>
          <c:showBubbleSize val="0"/>
        </c:dLbls>
        <c:gapWidth val="150"/>
        <c:axId val="1842318936"/>
        <c:axId val="-2090129608"/>
      </c:barChart>
      <c:catAx>
        <c:axId val="1842318936"/>
        <c:scaling>
          <c:orientation val="minMax"/>
        </c:scaling>
        <c:delete val="0"/>
        <c:axPos val="l"/>
        <c:numFmt formatCode="General" sourceLinked="0"/>
        <c:majorTickMark val="none"/>
        <c:minorTickMark val="none"/>
        <c:tickLblPos val="nextTo"/>
        <c:crossAx val="-2090129608"/>
        <c:crosses val="autoZero"/>
        <c:auto val="1"/>
        <c:lblAlgn val="ctr"/>
        <c:lblOffset val="100"/>
        <c:noMultiLvlLbl val="0"/>
      </c:catAx>
      <c:valAx>
        <c:axId val="-2090129608"/>
        <c:scaling>
          <c:orientation val="minMax"/>
        </c:scaling>
        <c:delete val="1"/>
        <c:axPos val="b"/>
        <c:numFmt formatCode="General" sourceLinked="1"/>
        <c:majorTickMark val="out"/>
        <c:minorTickMark val="none"/>
        <c:tickLblPos val="nextTo"/>
        <c:crossAx val="1842318936"/>
        <c:crosses val="autoZero"/>
        <c:crossBetween val="between"/>
      </c:valAx>
    </c:plotArea>
    <c:legend>
      <c:legendPos val="t"/>
      <c:layout/>
      <c:overlay val="0"/>
    </c:legend>
    <c:plotVisOnly val="1"/>
    <c:dispBlanksAs val="gap"/>
    <c:showDLblsOverMax val="0"/>
  </c:chart>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r>
              <a:rPr lang="en-GB" sz="1200" b="1" i="0" u="none" strike="noStrike" baseline="0">
                <a:effectLst/>
              </a:rPr>
              <a:t>Composition o</a:t>
            </a:r>
            <a:r>
              <a:rPr lang="it-IT" sz="1200" b="1" i="0" u="none" strike="noStrike" baseline="0">
                <a:effectLst/>
              </a:rPr>
              <a:t>f </a:t>
            </a:r>
            <a:r>
              <a:rPr lang="en-GB" sz="1200" b="1" i="0" u="none" strike="noStrike" baseline="0">
                <a:effectLst/>
              </a:rPr>
              <a:t>grave goods assemblages according to pottery </a:t>
            </a:r>
            <a:r>
              <a:rPr lang="en-GB" sz="1200" b="1" i="0" u="none" strike="noStrike" baseline="0">
                <a:effectLst/>
                <a:latin typeface="Times New Roman" panose="02020603050405020304" pitchFamily="18" charset="0"/>
                <a:cs typeface="Times New Roman" panose="02020603050405020304" pitchFamily="18" charset="0"/>
              </a:rPr>
              <a:t>occurrence,</a:t>
            </a:r>
            <a:r>
              <a:rPr lang="en-GB" sz="1200" b="1" i="0" u="none" strike="noStrike" baseline="0">
                <a:effectLst/>
              </a:rPr>
              <a:t> Mesara area </a:t>
            </a:r>
            <a:endParaRPr lang="it-IT" sz="1200"/>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(Foglio1!$A$39;Foglio1!$A$40;Foglio1!$A$41)</c:f>
              <c:strCache>
                <c:ptCount val="3"/>
                <c:pt idx="0">
                  <c:v>only pottery</c:v>
                </c:pt>
                <c:pt idx="1">
                  <c:v>pottery + other materials</c:v>
                </c:pt>
                <c:pt idx="2">
                  <c:v>only other materials</c:v>
                </c:pt>
              </c:strCache>
            </c:strRef>
          </c:cat>
          <c:val>
            <c:numRef>
              <c:f>(Foglio1!$B$39;Foglio1!$B$40;Foglio1!$B$41)</c:f>
              <c:numCache>
                <c:formatCode>General</c:formatCode>
                <c:ptCount val="3"/>
                <c:pt idx="0">
                  <c:v>10.0</c:v>
                </c:pt>
                <c:pt idx="1">
                  <c:v>24.0</c:v>
                </c:pt>
                <c:pt idx="2">
                  <c:v>0.0</c:v>
                </c:pt>
              </c:numCache>
            </c:numRef>
          </c:val>
          <c:extLst xmlns:c16r2="http://schemas.microsoft.com/office/drawing/2015/06/chart">
            <c:ext xmlns:c16="http://schemas.microsoft.com/office/drawing/2014/chart" uri="{C3380CC4-5D6E-409C-BE32-E72D297353CC}">
              <c16:uniqueId val="{00000000-0E68-4449-93E7-9C3C2A7A1687}"/>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Foglio1!$A$2</c:f>
              <c:strCache>
                <c:ptCount val="1"/>
                <c:pt idx="0">
                  <c:v>Total number of tombs Knossos area</c:v>
                </c:pt>
              </c:strCache>
            </c:strRef>
          </c:tx>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Foglio1!$B$1:$O$1</c:f>
              <c:strCache>
                <c:ptCount val="14"/>
                <c:pt idx="0">
                  <c:v>amber</c:v>
                </c:pt>
                <c:pt idx="1">
                  <c:v>bone</c:v>
                </c:pt>
                <c:pt idx="2">
                  <c:v>bronze</c:v>
                </c:pt>
                <c:pt idx="3">
                  <c:v>ceramic </c:v>
                </c:pt>
                <c:pt idx="4">
                  <c:v>faience</c:v>
                </c:pt>
                <c:pt idx="5">
                  <c:v>glass</c:v>
                </c:pt>
                <c:pt idx="6">
                  <c:v>gold</c:v>
                </c:pt>
                <c:pt idx="7">
                  <c:v>iron</c:v>
                </c:pt>
                <c:pt idx="8">
                  <c:v>ivory</c:v>
                </c:pt>
                <c:pt idx="9">
                  <c:v>shell</c:v>
                </c:pt>
                <c:pt idx="10">
                  <c:v>silver</c:v>
                </c:pt>
                <c:pt idx="11">
                  <c:v>stone </c:v>
                </c:pt>
                <c:pt idx="12">
                  <c:v>wood</c:v>
                </c:pt>
                <c:pt idx="13">
                  <c:v>other</c:v>
                </c:pt>
              </c:strCache>
            </c:strRef>
          </c:cat>
          <c:val>
            <c:numRef>
              <c:f>Foglio1!$B$2:$O$2</c:f>
              <c:numCache>
                <c:formatCode>General</c:formatCode>
                <c:ptCount val="14"/>
                <c:pt idx="0">
                  <c:v>1.0</c:v>
                </c:pt>
                <c:pt idx="1">
                  <c:v>1.0</c:v>
                </c:pt>
                <c:pt idx="2">
                  <c:v>25.0</c:v>
                </c:pt>
                <c:pt idx="3">
                  <c:v>31.0</c:v>
                </c:pt>
                <c:pt idx="4">
                  <c:v>2.0</c:v>
                </c:pt>
                <c:pt idx="5">
                  <c:v>11.0</c:v>
                </c:pt>
                <c:pt idx="6">
                  <c:v>5.0</c:v>
                </c:pt>
                <c:pt idx="7">
                  <c:v>1.0</c:v>
                </c:pt>
                <c:pt idx="8">
                  <c:v>5.0</c:v>
                </c:pt>
                <c:pt idx="9">
                  <c:v>3.0</c:v>
                </c:pt>
                <c:pt idx="10">
                  <c:v>1.0</c:v>
                </c:pt>
                <c:pt idx="11">
                  <c:v>24.0</c:v>
                </c:pt>
                <c:pt idx="12">
                  <c:v>4.0</c:v>
                </c:pt>
                <c:pt idx="13">
                  <c:v>3.0</c:v>
                </c:pt>
              </c:numCache>
            </c:numRef>
          </c:val>
          <c:extLst xmlns:c16r2="http://schemas.microsoft.com/office/drawing/2015/06/chart">
            <c:ext xmlns:c16="http://schemas.microsoft.com/office/drawing/2014/chart" uri="{C3380CC4-5D6E-409C-BE32-E72D297353CC}">
              <c16:uniqueId val="{00000000-F778-496A-9E3D-C180C6E841CA}"/>
            </c:ext>
          </c:extLst>
        </c:ser>
        <c:dLbls>
          <c:showLegendKey val="0"/>
          <c:showVal val="0"/>
          <c:showCatName val="0"/>
          <c:showSerName val="0"/>
          <c:showPercent val="0"/>
          <c:showBubbleSize val="0"/>
        </c:dLbls>
        <c:gapWidth val="75"/>
        <c:overlap val="40"/>
        <c:axId val="-2061358504"/>
        <c:axId val="-2060940328"/>
      </c:barChart>
      <c:catAx>
        <c:axId val="-2061358504"/>
        <c:scaling>
          <c:orientation val="minMax"/>
        </c:scaling>
        <c:delete val="0"/>
        <c:axPos val="b"/>
        <c:numFmt formatCode="General" sourceLinked="0"/>
        <c:majorTickMark val="none"/>
        <c:minorTickMark val="none"/>
        <c:tickLblPos val="nextTo"/>
        <c:crossAx val="-2060940328"/>
        <c:crosses val="autoZero"/>
        <c:auto val="1"/>
        <c:lblAlgn val="ctr"/>
        <c:lblOffset val="100"/>
        <c:noMultiLvlLbl val="0"/>
      </c:catAx>
      <c:valAx>
        <c:axId val="-2060940328"/>
        <c:scaling>
          <c:orientation val="minMax"/>
        </c:scaling>
        <c:delete val="0"/>
        <c:axPos val="l"/>
        <c:majorGridlines/>
        <c:numFmt formatCode="General" sourceLinked="1"/>
        <c:majorTickMark val="none"/>
        <c:minorTickMark val="none"/>
        <c:tickLblPos val="nextTo"/>
        <c:crossAx val="-206135850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total number of items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Foglio1!$B$1:$R$1</c:f>
              <c:strCache>
                <c:ptCount val="17"/>
                <c:pt idx="0">
                  <c:v>bracelet</c:v>
                </c:pt>
                <c:pt idx="1">
                  <c:v>ring</c:v>
                </c:pt>
                <c:pt idx="2">
                  <c:v>pin</c:v>
                </c:pt>
                <c:pt idx="3">
                  <c:v>seal</c:v>
                </c:pt>
                <c:pt idx="4">
                  <c:v>mirror</c:v>
                </c:pt>
                <c:pt idx="5">
                  <c:v>razor</c:v>
                </c:pt>
                <c:pt idx="6">
                  <c:v>tweezers</c:v>
                </c:pt>
                <c:pt idx="7">
                  <c:v>comb</c:v>
                </c:pt>
                <c:pt idx="8">
                  <c:v>sword</c:v>
                </c:pt>
                <c:pt idx="9">
                  <c:v>spearhead</c:v>
                </c:pt>
                <c:pt idx="10">
                  <c:v>arrowhead</c:v>
                </c:pt>
                <c:pt idx="11">
                  <c:v>knife</c:v>
                </c:pt>
                <c:pt idx="12">
                  <c:v>stone vessel</c:v>
                </c:pt>
                <c:pt idx="13">
                  <c:v>whorl</c:v>
                </c:pt>
                <c:pt idx="14">
                  <c:v>figurine</c:v>
                </c:pt>
                <c:pt idx="15">
                  <c:v>other</c:v>
                </c:pt>
                <c:pt idx="16">
                  <c:v>bead</c:v>
                </c:pt>
              </c:strCache>
            </c:strRef>
          </c:cat>
          <c:val>
            <c:numRef>
              <c:f>Foglio1!$B$2:$R$2</c:f>
              <c:numCache>
                <c:formatCode>General</c:formatCode>
                <c:ptCount val="17"/>
                <c:pt idx="0">
                  <c:v>1.0</c:v>
                </c:pt>
                <c:pt idx="1">
                  <c:v>19.0</c:v>
                </c:pt>
                <c:pt idx="2">
                  <c:v>21.0</c:v>
                </c:pt>
                <c:pt idx="3">
                  <c:v>20.0</c:v>
                </c:pt>
                <c:pt idx="4">
                  <c:v>3.0</c:v>
                </c:pt>
                <c:pt idx="5">
                  <c:v>6.0</c:v>
                </c:pt>
                <c:pt idx="6">
                  <c:v>4.0</c:v>
                </c:pt>
                <c:pt idx="7">
                  <c:v>4.0</c:v>
                </c:pt>
                <c:pt idx="8">
                  <c:v>2.0</c:v>
                </c:pt>
                <c:pt idx="9">
                  <c:v>1.0</c:v>
                </c:pt>
                <c:pt idx="10">
                  <c:v>4.0</c:v>
                </c:pt>
                <c:pt idx="11">
                  <c:v>11.0</c:v>
                </c:pt>
                <c:pt idx="12">
                  <c:v>12.0</c:v>
                </c:pt>
                <c:pt idx="13">
                  <c:v>14.0</c:v>
                </c:pt>
                <c:pt idx="14">
                  <c:v>3.0</c:v>
                </c:pt>
                <c:pt idx="15">
                  <c:v>21.0</c:v>
                </c:pt>
                <c:pt idx="16">
                  <c:v>309.0</c:v>
                </c:pt>
              </c:numCache>
            </c:numRef>
          </c:val>
          <c:extLst xmlns:c16r2="http://schemas.microsoft.com/office/drawing/2015/06/chart">
            <c:ext xmlns:c16="http://schemas.microsoft.com/office/drawing/2014/chart" uri="{C3380CC4-5D6E-409C-BE32-E72D297353CC}">
              <c16:uniqueId val="{00000000-CEDC-487A-9180-1079DB9E5212}"/>
            </c:ext>
          </c:extLst>
        </c:ser>
        <c:ser>
          <c:idx val="1"/>
          <c:order val="1"/>
          <c:tx>
            <c:strRef>
              <c:f>Foglio1!$A$3</c:f>
              <c:strCache>
                <c:ptCount val="1"/>
                <c:pt idx="0">
                  <c:v>number of tombs in which they occur</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Foglio1!$B$1:$R$1</c:f>
              <c:strCache>
                <c:ptCount val="17"/>
                <c:pt idx="0">
                  <c:v>bracelet</c:v>
                </c:pt>
                <c:pt idx="1">
                  <c:v>ring</c:v>
                </c:pt>
                <c:pt idx="2">
                  <c:v>pin</c:v>
                </c:pt>
                <c:pt idx="3">
                  <c:v>seal</c:v>
                </c:pt>
                <c:pt idx="4">
                  <c:v>mirror</c:v>
                </c:pt>
                <c:pt idx="5">
                  <c:v>razor</c:v>
                </c:pt>
                <c:pt idx="6">
                  <c:v>tweezers</c:v>
                </c:pt>
                <c:pt idx="7">
                  <c:v>comb</c:v>
                </c:pt>
                <c:pt idx="8">
                  <c:v>sword</c:v>
                </c:pt>
                <c:pt idx="9">
                  <c:v>spearhead</c:v>
                </c:pt>
                <c:pt idx="10">
                  <c:v>arrowhead</c:v>
                </c:pt>
                <c:pt idx="11">
                  <c:v>knife</c:v>
                </c:pt>
                <c:pt idx="12">
                  <c:v>stone vessel</c:v>
                </c:pt>
                <c:pt idx="13">
                  <c:v>whorl</c:v>
                </c:pt>
                <c:pt idx="14">
                  <c:v>figurine</c:v>
                </c:pt>
                <c:pt idx="15">
                  <c:v>other</c:v>
                </c:pt>
                <c:pt idx="16">
                  <c:v>bead</c:v>
                </c:pt>
              </c:strCache>
            </c:strRef>
          </c:cat>
          <c:val>
            <c:numRef>
              <c:f>Foglio1!$B$3:$R$3</c:f>
              <c:numCache>
                <c:formatCode>General</c:formatCode>
                <c:ptCount val="17"/>
                <c:pt idx="0">
                  <c:v>1.0</c:v>
                </c:pt>
                <c:pt idx="1">
                  <c:v>11.0</c:v>
                </c:pt>
                <c:pt idx="2">
                  <c:v>7.0</c:v>
                </c:pt>
                <c:pt idx="3">
                  <c:v>7.0</c:v>
                </c:pt>
                <c:pt idx="4">
                  <c:v>3.0</c:v>
                </c:pt>
                <c:pt idx="5">
                  <c:v>5.0</c:v>
                </c:pt>
                <c:pt idx="6">
                  <c:v>4.0</c:v>
                </c:pt>
                <c:pt idx="7">
                  <c:v>4.0</c:v>
                </c:pt>
                <c:pt idx="8">
                  <c:v>2.0</c:v>
                </c:pt>
                <c:pt idx="9">
                  <c:v>1.0</c:v>
                </c:pt>
                <c:pt idx="10">
                  <c:v>2.0</c:v>
                </c:pt>
                <c:pt idx="11">
                  <c:v>10.0</c:v>
                </c:pt>
                <c:pt idx="12">
                  <c:v>5.0</c:v>
                </c:pt>
                <c:pt idx="13">
                  <c:v>11.0</c:v>
                </c:pt>
                <c:pt idx="14">
                  <c:v>3.0</c:v>
                </c:pt>
                <c:pt idx="15">
                  <c:v>5.0</c:v>
                </c:pt>
                <c:pt idx="16">
                  <c:v>21.0</c:v>
                </c:pt>
              </c:numCache>
            </c:numRef>
          </c:val>
          <c:extLst xmlns:c16r2="http://schemas.microsoft.com/office/drawing/2015/06/chart">
            <c:ext xmlns:c16="http://schemas.microsoft.com/office/drawing/2014/chart" uri="{C3380CC4-5D6E-409C-BE32-E72D297353CC}">
              <c16:uniqueId val="{00000001-CEDC-487A-9180-1079DB9E5212}"/>
            </c:ext>
          </c:extLst>
        </c:ser>
        <c:dLbls>
          <c:showLegendKey val="0"/>
          <c:showVal val="1"/>
          <c:showCatName val="0"/>
          <c:showSerName val="0"/>
          <c:showPercent val="0"/>
          <c:showBubbleSize val="0"/>
        </c:dLbls>
        <c:gapWidth val="150"/>
        <c:overlap val="-25"/>
        <c:axId val="2119082920"/>
        <c:axId val="2118454552"/>
      </c:barChart>
      <c:catAx>
        <c:axId val="2119082920"/>
        <c:scaling>
          <c:orientation val="minMax"/>
        </c:scaling>
        <c:delete val="0"/>
        <c:axPos val="l"/>
        <c:numFmt formatCode="General" sourceLinked="0"/>
        <c:majorTickMark val="none"/>
        <c:minorTickMark val="none"/>
        <c:tickLblPos val="nextTo"/>
        <c:crossAx val="2118454552"/>
        <c:crosses val="autoZero"/>
        <c:auto val="1"/>
        <c:lblAlgn val="ctr"/>
        <c:lblOffset val="100"/>
        <c:noMultiLvlLbl val="0"/>
      </c:catAx>
      <c:valAx>
        <c:axId val="2118454552"/>
        <c:scaling>
          <c:orientation val="minMax"/>
        </c:scaling>
        <c:delete val="1"/>
        <c:axPos val="b"/>
        <c:numFmt formatCode="General" sourceLinked="1"/>
        <c:majorTickMark val="none"/>
        <c:minorTickMark val="none"/>
        <c:tickLblPos val="nextTo"/>
        <c:crossAx val="2119082920"/>
        <c:crosses val="autoZero"/>
        <c:crossBetween val="between"/>
      </c:valAx>
    </c:plotArea>
    <c:legend>
      <c:legendPos val="t"/>
      <c:layout/>
      <c:overlay val="0"/>
    </c:legend>
    <c:plotVisOnly val="1"/>
    <c:dispBlanksAs val="gap"/>
    <c:showDLblsOverMax val="0"/>
  </c:chart>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number of items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Foglio1!$B$1:$Q$1</c:f>
              <c:strCache>
                <c:ptCount val="16"/>
                <c:pt idx="0">
                  <c:v>goblet</c:v>
                </c:pt>
                <c:pt idx="1">
                  <c:v>cup</c:v>
                </c:pt>
                <c:pt idx="2">
                  <c:v>conical cup</c:v>
                </c:pt>
                <c:pt idx="3">
                  <c:v>bowl</c:v>
                </c:pt>
                <c:pt idx="4">
                  <c:v>stirrup jar</c:v>
                </c:pt>
                <c:pt idx="5">
                  <c:v>jar</c:v>
                </c:pt>
                <c:pt idx="6">
                  <c:v>alabastron</c:v>
                </c:pt>
                <c:pt idx="7">
                  <c:v>pyxis</c:v>
                </c:pt>
                <c:pt idx="8">
                  <c:v>amphora</c:v>
                </c:pt>
                <c:pt idx="9">
                  <c:v>flask</c:v>
                </c:pt>
                <c:pt idx="10">
                  <c:v>jug</c:v>
                </c:pt>
                <c:pt idx="11">
                  <c:v>ladle</c:v>
                </c:pt>
                <c:pt idx="12">
                  <c:v>cauldron</c:v>
                </c:pt>
                <c:pt idx="13">
                  <c:v>brazier</c:v>
                </c:pt>
                <c:pt idx="14">
                  <c:v>incense burner</c:v>
                </c:pt>
                <c:pt idx="15">
                  <c:v>other</c:v>
                </c:pt>
              </c:strCache>
            </c:strRef>
          </c:cat>
          <c:val>
            <c:numRef>
              <c:f>Foglio1!$B$2:$Q$2</c:f>
              <c:numCache>
                <c:formatCode>General</c:formatCode>
                <c:ptCount val="16"/>
                <c:pt idx="0">
                  <c:v>10.0</c:v>
                </c:pt>
                <c:pt idx="1">
                  <c:v>16.0</c:v>
                </c:pt>
                <c:pt idx="2">
                  <c:v>15.0</c:v>
                </c:pt>
                <c:pt idx="3">
                  <c:v>9.0</c:v>
                </c:pt>
                <c:pt idx="4">
                  <c:v>23.0</c:v>
                </c:pt>
                <c:pt idx="5">
                  <c:v>5.0</c:v>
                </c:pt>
                <c:pt idx="6">
                  <c:v>4.0</c:v>
                </c:pt>
                <c:pt idx="7">
                  <c:v>1.0</c:v>
                </c:pt>
                <c:pt idx="8">
                  <c:v>2.0</c:v>
                </c:pt>
                <c:pt idx="9">
                  <c:v>1.0</c:v>
                </c:pt>
                <c:pt idx="10">
                  <c:v>17.0</c:v>
                </c:pt>
                <c:pt idx="11">
                  <c:v>1.0</c:v>
                </c:pt>
                <c:pt idx="12">
                  <c:v>1.0</c:v>
                </c:pt>
                <c:pt idx="13">
                  <c:v>21.0</c:v>
                </c:pt>
                <c:pt idx="14">
                  <c:v>1.0</c:v>
                </c:pt>
                <c:pt idx="15">
                  <c:v>5.0</c:v>
                </c:pt>
              </c:numCache>
            </c:numRef>
          </c:val>
          <c:extLst xmlns:c16r2="http://schemas.microsoft.com/office/drawing/2015/06/chart">
            <c:ext xmlns:c16="http://schemas.microsoft.com/office/drawing/2014/chart" uri="{C3380CC4-5D6E-409C-BE32-E72D297353CC}">
              <c16:uniqueId val="{00000000-B2AA-419A-9AFC-0E40AA65532C}"/>
            </c:ext>
          </c:extLst>
        </c:ser>
        <c:ser>
          <c:idx val="1"/>
          <c:order val="1"/>
          <c:tx>
            <c:strRef>
              <c:f>Foglio1!$A$3</c:f>
              <c:strCache>
                <c:ptCount val="1"/>
                <c:pt idx="0">
                  <c:v>number of tombs in which they occur</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Foglio1!$B$1:$Q$1</c:f>
              <c:strCache>
                <c:ptCount val="16"/>
                <c:pt idx="0">
                  <c:v>goblet</c:v>
                </c:pt>
                <c:pt idx="1">
                  <c:v>cup</c:v>
                </c:pt>
                <c:pt idx="2">
                  <c:v>conical cup</c:v>
                </c:pt>
                <c:pt idx="3">
                  <c:v>bowl</c:v>
                </c:pt>
                <c:pt idx="4">
                  <c:v>stirrup jar</c:v>
                </c:pt>
                <c:pt idx="5">
                  <c:v>jar</c:v>
                </c:pt>
                <c:pt idx="6">
                  <c:v>alabastron</c:v>
                </c:pt>
                <c:pt idx="7">
                  <c:v>pyxis</c:v>
                </c:pt>
                <c:pt idx="8">
                  <c:v>amphora</c:v>
                </c:pt>
                <c:pt idx="9">
                  <c:v>flask</c:v>
                </c:pt>
                <c:pt idx="10">
                  <c:v>jug</c:v>
                </c:pt>
                <c:pt idx="11">
                  <c:v>ladle</c:v>
                </c:pt>
                <c:pt idx="12">
                  <c:v>cauldron</c:v>
                </c:pt>
                <c:pt idx="13">
                  <c:v>brazier</c:v>
                </c:pt>
                <c:pt idx="14">
                  <c:v>incense burner</c:v>
                </c:pt>
                <c:pt idx="15">
                  <c:v>other</c:v>
                </c:pt>
              </c:strCache>
            </c:strRef>
          </c:cat>
          <c:val>
            <c:numRef>
              <c:f>Foglio1!$B$3:$Q$3</c:f>
              <c:numCache>
                <c:formatCode>General</c:formatCode>
                <c:ptCount val="16"/>
                <c:pt idx="0">
                  <c:v>5.0</c:v>
                </c:pt>
                <c:pt idx="1">
                  <c:v>9.0</c:v>
                </c:pt>
                <c:pt idx="2">
                  <c:v>7.0</c:v>
                </c:pt>
                <c:pt idx="3">
                  <c:v>8.0</c:v>
                </c:pt>
                <c:pt idx="4">
                  <c:v>15.0</c:v>
                </c:pt>
                <c:pt idx="5">
                  <c:v>4.0</c:v>
                </c:pt>
                <c:pt idx="6">
                  <c:v>3.0</c:v>
                </c:pt>
                <c:pt idx="7">
                  <c:v>1.0</c:v>
                </c:pt>
                <c:pt idx="8">
                  <c:v>1.0</c:v>
                </c:pt>
                <c:pt idx="9">
                  <c:v>1.0</c:v>
                </c:pt>
                <c:pt idx="10">
                  <c:v>10.0</c:v>
                </c:pt>
                <c:pt idx="11">
                  <c:v>1.0</c:v>
                </c:pt>
                <c:pt idx="12">
                  <c:v>1.0</c:v>
                </c:pt>
                <c:pt idx="13">
                  <c:v>10.0</c:v>
                </c:pt>
                <c:pt idx="14">
                  <c:v>1.0</c:v>
                </c:pt>
                <c:pt idx="15">
                  <c:v>5.0</c:v>
                </c:pt>
              </c:numCache>
            </c:numRef>
          </c:val>
          <c:extLst xmlns:c16r2="http://schemas.microsoft.com/office/drawing/2015/06/chart">
            <c:ext xmlns:c16="http://schemas.microsoft.com/office/drawing/2014/chart" uri="{C3380CC4-5D6E-409C-BE32-E72D297353CC}">
              <c16:uniqueId val="{00000001-B2AA-419A-9AFC-0E40AA65532C}"/>
            </c:ext>
          </c:extLst>
        </c:ser>
        <c:dLbls>
          <c:showLegendKey val="0"/>
          <c:showVal val="1"/>
          <c:showCatName val="0"/>
          <c:showSerName val="0"/>
          <c:showPercent val="0"/>
          <c:showBubbleSize val="0"/>
        </c:dLbls>
        <c:gapWidth val="150"/>
        <c:overlap val="-25"/>
        <c:axId val="-1991819240"/>
        <c:axId val="-1991816264"/>
      </c:barChart>
      <c:catAx>
        <c:axId val="-1991819240"/>
        <c:scaling>
          <c:orientation val="minMax"/>
        </c:scaling>
        <c:delete val="0"/>
        <c:axPos val="l"/>
        <c:numFmt formatCode="General" sourceLinked="0"/>
        <c:majorTickMark val="none"/>
        <c:minorTickMark val="none"/>
        <c:tickLblPos val="nextTo"/>
        <c:crossAx val="-1991816264"/>
        <c:crosses val="autoZero"/>
        <c:auto val="1"/>
        <c:lblAlgn val="ctr"/>
        <c:lblOffset val="100"/>
        <c:noMultiLvlLbl val="0"/>
      </c:catAx>
      <c:valAx>
        <c:axId val="-1991816264"/>
        <c:scaling>
          <c:orientation val="minMax"/>
        </c:scaling>
        <c:delete val="1"/>
        <c:axPos val="b"/>
        <c:numFmt formatCode="General" sourceLinked="1"/>
        <c:majorTickMark val="out"/>
        <c:minorTickMark val="none"/>
        <c:tickLblPos val="nextTo"/>
        <c:crossAx val="-1991819240"/>
        <c:crosses val="autoZero"/>
        <c:crossBetween val="between"/>
      </c:valAx>
    </c:plotArea>
    <c:legend>
      <c:legendPos val="t"/>
      <c:layout/>
      <c:overlay val="0"/>
    </c:legend>
    <c:plotVisOnly val="1"/>
    <c:dispBlanksAs val="gap"/>
    <c:showDLblsOverMax val="0"/>
  </c:chart>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200" b="1" i="0" u="none" strike="noStrike" baseline="0">
                <a:effectLst/>
                <a:latin typeface="Times New Roman" panose="02020603050405020304" pitchFamily="18" charset="0"/>
                <a:cs typeface="Times New Roman" panose="02020603050405020304" pitchFamily="18" charset="0"/>
              </a:rPr>
              <a:t>Composition o</a:t>
            </a:r>
            <a:r>
              <a:rPr lang="it-IT" sz="1200" b="1" i="0" u="none" strike="noStrike" baseline="0">
                <a:effectLst/>
                <a:latin typeface="Times New Roman" panose="02020603050405020304" pitchFamily="18" charset="0"/>
                <a:cs typeface="Times New Roman" panose="02020603050405020304" pitchFamily="18" charset="0"/>
              </a:rPr>
              <a:t>f </a:t>
            </a:r>
            <a:r>
              <a:rPr lang="en-GB" sz="1200" b="1" i="0" u="none" strike="noStrike" baseline="0">
                <a:effectLst/>
                <a:latin typeface="Times New Roman" panose="02020603050405020304" pitchFamily="18" charset="0"/>
                <a:cs typeface="Times New Roman" panose="02020603050405020304" pitchFamily="18" charset="0"/>
              </a:rPr>
              <a:t>grave goods assemblages according to pottery occurrence, Knossos area </a:t>
            </a:r>
            <a:endParaRPr lang="it-IT" sz="12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(Foglio1!$A$59;Foglio1!$A$60;Foglio1!$A$61)</c:f>
              <c:strCache>
                <c:ptCount val="3"/>
                <c:pt idx="0">
                  <c:v>only pottery</c:v>
                </c:pt>
                <c:pt idx="1">
                  <c:v>pottery + other materials</c:v>
                </c:pt>
                <c:pt idx="2">
                  <c:v>only other materials</c:v>
                </c:pt>
              </c:strCache>
            </c:strRef>
          </c:cat>
          <c:val>
            <c:numRef>
              <c:f>(Foglio1!$B$59;Foglio1!$B$60;Foglio1!$B$61)</c:f>
              <c:numCache>
                <c:formatCode>General</c:formatCode>
                <c:ptCount val="3"/>
                <c:pt idx="0">
                  <c:v>9.0</c:v>
                </c:pt>
                <c:pt idx="1">
                  <c:v>23.0</c:v>
                </c:pt>
                <c:pt idx="2">
                  <c:v>11.0</c:v>
                </c:pt>
              </c:numCache>
            </c:numRef>
          </c:val>
          <c:extLst xmlns:c16r2="http://schemas.microsoft.com/office/drawing/2015/06/chart">
            <c:ext xmlns:c16="http://schemas.microsoft.com/office/drawing/2014/chart" uri="{C3380CC4-5D6E-409C-BE32-E72D297353CC}">
              <c16:uniqueId val="{00000000-17B4-4078-8C1F-3D293777D7D2}"/>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Foglio1!$A$2</c:f>
              <c:strCache>
                <c:ptCount val="1"/>
                <c:pt idx="0">
                  <c:v>Total number of tombs Central area</c:v>
                </c:pt>
              </c:strCache>
            </c:strRef>
          </c:tx>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Foglio1!$B$1:$M$1</c:f>
              <c:strCache>
                <c:ptCount val="12"/>
                <c:pt idx="0">
                  <c:v>bronze</c:v>
                </c:pt>
                <c:pt idx="1">
                  <c:v>ceramic </c:v>
                </c:pt>
                <c:pt idx="2">
                  <c:v>faience</c:v>
                </c:pt>
                <c:pt idx="3">
                  <c:v>glass</c:v>
                </c:pt>
                <c:pt idx="4">
                  <c:v>gold</c:v>
                </c:pt>
                <c:pt idx="5">
                  <c:v>iron</c:v>
                </c:pt>
                <c:pt idx="6">
                  <c:v>ivory</c:v>
                </c:pt>
                <c:pt idx="7">
                  <c:v>shell</c:v>
                </c:pt>
                <c:pt idx="8">
                  <c:v>silver</c:v>
                </c:pt>
                <c:pt idx="9">
                  <c:v>stone </c:v>
                </c:pt>
                <c:pt idx="10">
                  <c:v>wood</c:v>
                </c:pt>
                <c:pt idx="11">
                  <c:v>other</c:v>
                </c:pt>
              </c:strCache>
            </c:strRef>
          </c:cat>
          <c:val>
            <c:numRef>
              <c:f>Foglio1!$B$2:$M$2</c:f>
              <c:numCache>
                <c:formatCode>General</c:formatCode>
                <c:ptCount val="12"/>
                <c:pt idx="0">
                  <c:v>33.0</c:v>
                </c:pt>
                <c:pt idx="1">
                  <c:v>67.0</c:v>
                </c:pt>
                <c:pt idx="2">
                  <c:v>2.0</c:v>
                </c:pt>
                <c:pt idx="3">
                  <c:v>21.0</c:v>
                </c:pt>
                <c:pt idx="4">
                  <c:v>7.0</c:v>
                </c:pt>
                <c:pt idx="5">
                  <c:v>3.0</c:v>
                </c:pt>
                <c:pt idx="6">
                  <c:v>9.0</c:v>
                </c:pt>
                <c:pt idx="7">
                  <c:v>7.0</c:v>
                </c:pt>
                <c:pt idx="8">
                  <c:v>3.0</c:v>
                </c:pt>
                <c:pt idx="9">
                  <c:v>36.0</c:v>
                </c:pt>
                <c:pt idx="10">
                  <c:v>1.0</c:v>
                </c:pt>
                <c:pt idx="11">
                  <c:v>5.0</c:v>
                </c:pt>
              </c:numCache>
            </c:numRef>
          </c:val>
          <c:extLst xmlns:c16r2="http://schemas.microsoft.com/office/drawing/2015/06/chart">
            <c:ext xmlns:c16="http://schemas.microsoft.com/office/drawing/2014/chart" uri="{C3380CC4-5D6E-409C-BE32-E72D297353CC}">
              <c16:uniqueId val="{00000000-9454-4A2A-B2B2-3EB7ADABC023}"/>
            </c:ext>
          </c:extLst>
        </c:ser>
        <c:dLbls>
          <c:showLegendKey val="0"/>
          <c:showVal val="1"/>
          <c:showCatName val="0"/>
          <c:showSerName val="0"/>
          <c:showPercent val="0"/>
          <c:showBubbleSize val="0"/>
        </c:dLbls>
        <c:gapWidth val="75"/>
        <c:overlap val="40"/>
        <c:axId val="-1965239608"/>
        <c:axId val="1854231608"/>
      </c:barChart>
      <c:catAx>
        <c:axId val="-1965239608"/>
        <c:scaling>
          <c:orientation val="minMax"/>
        </c:scaling>
        <c:delete val="0"/>
        <c:axPos val="b"/>
        <c:numFmt formatCode="General" sourceLinked="0"/>
        <c:majorTickMark val="none"/>
        <c:minorTickMark val="none"/>
        <c:tickLblPos val="nextTo"/>
        <c:crossAx val="1854231608"/>
        <c:crosses val="autoZero"/>
        <c:auto val="1"/>
        <c:lblAlgn val="ctr"/>
        <c:lblOffset val="100"/>
        <c:noMultiLvlLbl val="0"/>
      </c:catAx>
      <c:valAx>
        <c:axId val="1854231608"/>
        <c:scaling>
          <c:orientation val="minMax"/>
        </c:scaling>
        <c:delete val="0"/>
        <c:axPos val="l"/>
        <c:majorGridlines/>
        <c:numFmt formatCode="General" sourceLinked="1"/>
        <c:majorTickMark val="none"/>
        <c:minorTickMark val="none"/>
        <c:tickLblPos val="nextTo"/>
        <c:crossAx val="-196523960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total number of items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Foglio1!$B$1:$S$1</c:f>
              <c:strCache>
                <c:ptCount val="18"/>
                <c:pt idx="0">
                  <c:v>necklace</c:v>
                </c:pt>
                <c:pt idx="1">
                  <c:v>ring</c:v>
                </c:pt>
                <c:pt idx="2">
                  <c:v>pin</c:v>
                </c:pt>
                <c:pt idx="3">
                  <c:v>seal</c:v>
                </c:pt>
                <c:pt idx="4">
                  <c:v>mirror</c:v>
                </c:pt>
                <c:pt idx="5">
                  <c:v>razor</c:v>
                </c:pt>
                <c:pt idx="6">
                  <c:v>tweezers</c:v>
                </c:pt>
                <c:pt idx="7">
                  <c:v>comb</c:v>
                </c:pt>
                <c:pt idx="8">
                  <c:v>sword</c:v>
                </c:pt>
                <c:pt idx="9">
                  <c:v>spearhead</c:v>
                </c:pt>
                <c:pt idx="10">
                  <c:v>dagger</c:v>
                </c:pt>
                <c:pt idx="11">
                  <c:v>knife</c:v>
                </c:pt>
                <c:pt idx="12">
                  <c:v>stone vessel</c:v>
                </c:pt>
                <c:pt idx="13">
                  <c:v>metal vessel</c:v>
                </c:pt>
                <c:pt idx="14">
                  <c:v>whorl</c:v>
                </c:pt>
                <c:pt idx="15">
                  <c:v>figurine</c:v>
                </c:pt>
                <c:pt idx="16">
                  <c:v>chisel</c:v>
                </c:pt>
                <c:pt idx="17">
                  <c:v>other</c:v>
                </c:pt>
              </c:strCache>
            </c:strRef>
          </c:cat>
          <c:val>
            <c:numRef>
              <c:f>Foglio1!$B$2:$S$2</c:f>
              <c:numCache>
                <c:formatCode>General</c:formatCode>
                <c:ptCount val="18"/>
                <c:pt idx="0">
                  <c:v>1.0</c:v>
                </c:pt>
                <c:pt idx="1">
                  <c:v>23.0</c:v>
                </c:pt>
                <c:pt idx="2">
                  <c:v>7.0</c:v>
                </c:pt>
                <c:pt idx="3">
                  <c:v>27.0</c:v>
                </c:pt>
                <c:pt idx="4">
                  <c:v>6.0</c:v>
                </c:pt>
                <c:pt idx="5">
                  <c:v>7.0</c:v>
                </c:pt>
                <c:pt idx="6">
                  <c:v>1.0</c:v>
                </c:pt>
                <c:pt idx="7">
                  <c:v>3.0</c:v>
                </c:pt>
                <c:pt idx="8">
                  <c:v>1.0</c:v>
                </c:pt>
                <c:pt idx="9">
                  <c:v>2.0</c:v>
                </c:pt>
                <c:pt idx="10">
                  <c:v>2.0</c:v>
                </c:pt>
                <c:pt idx="11">
                  <c:v>20.0</c:v>
                </c:pt>
                <c:pt idx="12">
                  <c:v>33.0</c:v>
                </c:pt>
                <c:pt idx="13">
                  <c:v>33.0</c:v>
                </c:pt>
                <c:pt idx="14">
                  <c:v>4.0</c:v>
                </c:pt>
                <c:pt idx="15">
                  <c:v>3.0</c:v>
                </c:pt>
                <c:pt idx="16">
                  <c:v>5.0</c:v>
                </c:pt>
                <c:pt idx="17">
                  <c:v>29.0</c:v>
                </c:pt>
              </c:numCache>
            </c:numRef>
          </c:val>
          <c:extLst xmlns:c16r2="http://schemas.microsoft.com/office/drawing/2015/06/chart">
            <c:ext xmlns:c16="http://schemas.microsoft.com/office/drawing/2014/chart" uri="{C3380CC4-5D6E-409C-BE32-E72D297353CC}">
              <c16:uniqueId val="{00000000-13F6-434F-9D36-40D92E6EA2C8}"/>
            </c:ext>
          </c:extLst>
        </c:ser>
        <c:ser>
          <c:idx val="1"/>
          <c:order val="1"/>
          <c:tx>
            <c:strRef>
              <c:f>Foglio1!$A$3</c:f>
              <c:strCache>
                <c:ptCount val="1"/>
                <c:pt idx="0">
                  <c:v>number of tombs in which they occur</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Foglio1!$B$1:$S$1</c:f>
              <c:strCache>
                <c:ptCount val="18"/>
                <c:pt idx="0">
                  <c:v>necklace</c:v>
                </c:pt>
                <c:pt idx="1">
                  <c:v>ring</c:v>
                </c:pt>
                <c:pt idx="2">
                  <c:v>pin</c:v>
                </c:pt>
                <c:pt idx="3">
                  <c:v>seal</c:v>
                </c:pt>
                <c:pt idx="4">
                  <c:v>mirror</c:v>
                </c:pt>
                <c:pt idx="5">
                  <c:v>razor</c:v>
                </c:pt>
                <c:pt idx="6">
                  <c:v>tweezers</c:v>
                </c:pt>
                <c:pt idx="7">
                  <c:v>comb</c:v>
                </c:pt>
                <c:pt idx="8">
                  <c:v>sword</c:v>
                </c:pt>
                <c:pt idx="9">
                  <c:v>spearhead</c:v>
                </c:pt>
                <c:pt idx="10">
                  <c:v>dagger</c:v>
                </c:pt>
                <c:pt idx="11">
                  <c:v>knife</c:v>
                </c:pt>
                <c:pt idx="12">
                  <c:v>stone vessel</c:v>
                </c:pt>
                <c:pt idx="13">
                  <c:v>metal vessel</c:v>
                </c:pt>
                <c:pt idx="14">
                  <c:v>whorl</c:v>
                </c:pt>
                <c:pt idx="15">
                  <c:v>figurine</c:v>
                </c:pt>
                <c:pt idx="16">
                  <c:v>chisel</c:v>
                </c:pt>
                <c:pt idx="17">
                  <c:v>other</c:v>
                </c:pt>
              </c:strCache>
            </c:strRef>
          </c:cat>
          <c:val>
            <c:numRef>
              <c:f>Foglio1!$B$3:$S$3</c:f>
              <c:numCache>
                <c:formatCode>General</c:formatCode>
                <c:ptCount val="18"/>
                <c:pt idx="0">
                  <c:v>1.0</c:v>
                </c:pt>
                <c:pt idx="1">
                  <c:v>14.0</c:v>
                </c:pt>
                <c:pt idx="2">
                  <c:v>5.0</c:v>
                </c:pt>
                <c:pt idx="3">
                  <c:v>13.0</c:v>
                </c:pt>
                <c:pt idx="4">
                  <c:v>5.0</c:v>
                </c:pt>
                <c:pt idx="5">
                  <c:v>6.0</c:v>
                </c:pt>
                <c:pt idx="6">
                  <c:v>1.0</c:v>
                </c:pt>
                <c:pt idx="7">
                  <c:v>2.0</c:v>
                </c:pt>
                <c:pt idx="8">
                  <c:v>1.0</c:v>
                </c:pt>
                <c:pt idx="9">
                  <c:v>2.0</c:v>
                </c:pt>
                <c:pt idx="10">
                  <c:v>2.0</c:v>
                </c:pt>
                <c:pt idx="11">
                  <c:v>15.0</c:v>
                </c:pt>
                <c:pt idx="12">
                  <c:v>20.0</c:v>
                </c:pt>
                <c:pt idx="13">
                  <c:v>12.0</c:v>
                </c:pt>
                <c:pt idx="14">
                  <c:v>3.0</c:v>
                </c:pt>
                <c:pt idx="15">
                  <c:v>3.0</c:v>
                </c:pt>
                <c:pt idx="16">
                  <c:v>3.0</c:v>
                </c:pt>
                <c:pt idx="17">
                  <c:v>13.0</c:v>
                </c:pt>
              </c:numCache>
            </c:numRef>
          </c:val>
          <c:extLst xmlns:c16r2="http://schemas.microsoft.com/office/drawing/2015/06/chart">
            <c:ext xmlns:c16="http://schemas.microsoft.com/office/drawing/2014/chart" uri="{C3380CC4-5D6E-409C-BE32-E72D297353CC}">
              <c16:uniqueId val="{00000001-13F6-434F-9D36-40D92E6EA2C8}"/>
            </c:ext>
          </c:extLst>
        </c:ser>
        <c:dLbls>
          <c:showLegendKey val="0"/>
          <c:showVal val="1"/>
          <c:showCatName val="0"/>
          <c:showSerName val="0"/>
          <c:showPercent val="0"/>
          <c:showBubbleSize val="0"/>
        </c:dLbls>
        <c:gapWidth val="150"/>
        <c:overlap val="-25"/>
        <c:axId val="2119090920"/>
        <c:axId val="1860077576"/>
      </c:barChart>
      <c:catAx>
        <c:axId val="2119090920"/>
        <c:scaling>
          <c:orientation val="minMax"/>
        </c:scaling>
        <c:delete val="0"/>
        <c:axPos val="l"/>
        <c:numFmt formatCode="General" sourceLinked="0"/>
        <c:majorTickMark val="none"/>
        <c:minorTickMark val="none"/>
        <c:tickLblPos val="nextTo"/>
        <c:crossAx val="1860077576"/>
        <c:crosses val="autoZero"/>
        <c:auto val="1"/>
        <c:lblAlgn val="ctr"/>
        <c:lblOffset val="100"/>
        <c:noMultiLvlLbl val="0"/>
      </c:catAx>
      <c:valAx>
        <c:axId val="1860077576"/>
        <c:scaling>
          <c:orientation val="minMax"/>
        </c:scaling>
        <c:delete val="1"/>
        <c:axPos val="b"/>
        <c:numFmt formatCode="General" sourceLinked="1"/>
        <c:majorTickMark val="none"/>
        <c:minorTickMark val="none"/>
        <c:tickLblPos val="nextTo"/>
        <c:crossAx val="2119090920"/>
        <c:crosses val="autoZero"/>
        <c:crossBetween val="between"/>
      </c:valAx>
    </c:plotArea>
    <c:legend>
      <c:legendPos val="t"/>
      <c:layou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it-IT" sz="1200">
                <a:latin typeface="Times New Roman" panose="02020603050405020304" pitchFamily="18" charset="0"/>
                <a:cs typeface="Times New Roman" panose="02020603050405020304" pitchFamily="18" charset="0"/>
              </a:rPr>
              <a:t>Mid</a:t>
            </a:r>
            <a:r>
              <a:rPr lang="it-IT" sz="1200" baseline="0">
                <a:latin typeface="Times New Roman" panose="02020603050405020304" pitchFamily="18" charset="0"/>
                <a:cs typeface="Times New Roman" panose="02020603050405020304" pitchFamily="18" charset="0"/>
              </a:rPr>
              <a:t>-West tombs chronological distribution</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barChart>
        <c:barDir val="col"/>
        <c:grouping val="clustered"/>
        <c:varyColors val="0"/>
        <c:ser>
          <c:idx val="0"/>
          <c:order val="0"/>
          <c:tx>
            <c:strRef>
              <c:f>Foglio1!$F$1</c:f>
              <c:strCache>
                <c:ptCount val="1"/>
                <c:pt idx="0">
                  <c:v>Number of tombs</c:v>
                </c:pt>
              </c:strCache>
            </c:strRef>
          </c:tx>
          <c:invertIfNegative val="0"/>
          <c:cat>
            <c:strRef>
              <c:f>Foglio1!$E$2:$E$6</c:f>
              <c:strCache>
                <c:ptCount val="5"/>
                <c:pt idx="0">
                  <c:v>LM III A, IIIA1, IIIA2</c:v>
                </c:pt>
                <c:pt idx="1">
                  <c:v>LM IIIA2-B</c:v>
                </c:pt>
                <c:pt idx="2">
                  <c:v>LM IIIB, B1, B2</c:v>
                </c:pt>
                <c:pt idx="3">
                  <c:v>LM III A-B</c:v>
                </c:pt>
                <c:pt idx="4">
                  <c:v>LM III C</c:v>
                </c:pt>
              </c:strCache>
            </c:strRef>
          </c:cat>
          <c:val>
            <c:numRef>
              <c:f>Foglio1!$F$2:$F$6</c:f>
              <c:numCache>
                <c:formatCode>General</c:formatCode>
                <c:ptCount val="5"/>
                <c:pt idx="0">
                  <c:v>6.0</c:v>
                </c:pt>
                <c:pt idx="1">
                  <c:v>19.0</c:v>
                </c:pt>
                <c:pt idx="2">
                  <c:v>17.0</c:v>
                </c:pt>
                <c:pt idx="3">
                  <c:v>5.0</c:v>
                </c:pt>
                <c:pt idx="4">
                  <c:v>0.0</c:v>
                </c:pt>
              </c:numCache>
            </c:numRef>
          </c:val>
          <c:extLst xmlns:c16r2="http://schemas.microsoft.com/office/drawing/2015/06/chart">
            <c:ext xmlns:c16="http://schemas.microsoft.com/office/drawing/2014/chart" uri="{C3380CC4-5D6E-409C-BE32-E72D297353CC}">
              <c16:uniqueId val="{00000000-E6A6-4C50-A088-75C848053354}"/>
            </c:ext>
          </c:extLst>
        </c:ser>
        <c:dLbls>
          <c:showLegendKey val="0"/>
          <c:showVal val="0"/>
          <c:showCatName val="0"/>
          <c:showSerName val="0"/>
          <c:showPercent val="0"/>
          <c:showBubbleSize val="0"/>
        </c:dLbls>
        <c:gapWidth val="150"/>
        <c:axId val="2070655864"/>
        <c:axId val="-2007812728"/>
      </c:barChart>
      <c:catAx>
        <c:axId val="2070655864"/>
        <c:scaling>
          <c:orientation val="minMax"/>
        </c:scaling>
        <c:delete val="0"/>
        <c:axPos val="b"/>
        <c:numFmt formatCode="General" sourceLinked="0"/>
        <c:majorTickMark val="out"/>
        <c:minorTickMark val="none"/>
        <c:tickLblPos val="nextTo"/>
        <c:crossAx val="-2007812728"/>
        <c:crosses val="autoZero"/>
        <c:auto val="1"/>
        <c:lblAlgn val="ctr"/>
        <c:lblOffset val="100"/>
        <c:noMultiLvlLbl val="0"/>
      </c:catAx>
      <c:valAx>
        <c:axId val="-2007812728"/>
        <c:scaling>
          <c:orientation val="minMax"/>
        </c:scaling>
        <c:delete val="0"/>
        <c:axPos val="l"/>
        <c:majorGridlines/>
        <c:numFmt formatCode="General" sourceLinked="1"/>
        <c:majorTickMark val="out"/>
        <c:minorTickMark val="none"/>
        <c:tickLblPos val="nextTo"/>
        <c:crossAx val="207065586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number of items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Foglio1!$B$1:$Y$1</c:f>
              <c:strCache>
                <c:ptCount val="24"/>
                <c:pt idx="0">
                  <c:v>rhyton</c:v>
                </c:pt>
                <c:pt idx="1">
                  <c:v>kernos</c:v>
                </c:pt>
                <c:pt idx="2">
                  <c:v>ring vase</c:v>
                </c:pt>
                <c:pt idx="3">
                  <c:v>goblet</c:v>
                </c:pt>
                <c:pt idx="4">
                  <c:v>cup</c:v>
                </c:pt>
                <c:pt idx="5">
                  <c:v>conical cup</c:v>
                </c:pt>
                <c:pt idx="6">
                  <c:v>tankard</c:v>
                </c:pt>
                <c:pt idx="7">
                  <c:v>bowl</c:v>
                </c:pt>
                <c:pt idx="8">
                  <c:v>stirrup jar</c:v>
                </c:pt>
                <c:pt idx="9">
                  <c:v>jar</c:v>
                </c:pt>
                <c:pt idx="10">
                  <c:v>alabastron</c:v>
                </c:pt>
                <c:pt idx="11">
                  <c:v>pyxis</c:v>
                </c:pt>
                <c:pt idx="12">
                  <c:v>askos</c:v>
                </c:pt>
                <c:pt idx="13">
                  <c:v>amphora</c:v>
                </c:pt>
                <c:pt idx="14">
                  <c:v>flask</c:v>
                </c:pt>
                <c:pt idx="15">
                  <c:v>jug</c:v>
                </c:pt>
                <c:pt idx="16">
                  <c:v>ladle</c:v>
                </c:pt>
                <c:pt idx="17">
                  <c:v>thelastron</c:v>
                </c:pt>
                <c:pt idx="18">
                  <c:v>cauldron</c:v>
                </c:pt>
                <c:pt idx="19">
                  <c:v>krater</c:v>
                </c:pt>
                <c:pt idx="20">
                  <c:v>kalathos</c:v>
                </c:pt>
                <c:pt idx="21">
                  <c:v>brazier</c:v>
                </c:pt>
                <c:pt idx="22">
                  <c:v>incense burner</c:v>
                </c:pt>
                <c:pt idx="23">
                  <c:v>other</c:v>
                </c:pt>
              </c:strCache>
            </c:strRef>
          </c:cat>
          <c:val>
            <c:numRef>
              <c:f>Foglio1!$B$2:$Y$2</c:f>
              <c:numCache>
                <c:formatCode>General</c:formatCode>
                <c:ptCount val="24"/>
                <c:pt idx="0">
                  <c:v>4.0</c:v>
                </c:pt>
                <c:pt idx="1">
                  <c:v>1.0</c:v>
                </c:pt>
                <c:pt idx="2">
                  <c:v>3.0</c:v>
                </c:pt>
                <c:pt idx="3">
                  <c:v>50.0</c:v>
                </c:pt>
                <c:pt idx="4">
                  <c:v>43.0</c:v>
                </c:pt>
                <c:pt idx="5">
                  <c:v>40.0</c:v>
                </c:pt>
                <c:pt idx="6">
                  <c:v>1.0</c:v>
                </c:pt>
                <c:pt idx="7">
                  <c:v>19.0</c:v>
                </c:pt>
                <c:pt idx="8">
                  <c:v>69.0</c:v>
                </c:pt>
                <c:pt idx="9">
                  <c:v>3.0</c:v>
                </c:pt>
                <c:pt idx="10">
                  <c:v>5.0</c:v>
                </c:pt>
                <c:pt idx="11">
                  <c:v>14.0</c:v>
                </c:pt>
                <c:pt idx="12">
                  <c:v>2.0</c:v>
                </c:pt>
                <c:pt idx="13">
                  <c:v>6.0</c:v>
                </c:pt>
                <c:pt idx="14">
                  <c:v>7.0</c:v>
                </c:pt>
                <c:pt idx="15">
                  <c:v>51.0</c:v>
                </c:pt>
                <c:pt idx="16">
                  <c:v>1.0</c:v>
                </c:pt>
                <c:pt idx="17">
                  <c:v>3.0</c:v>
                </c:pt>
                <c:pt idx="18">
                  <c:v>1.0</c:v>
                </c:pt>
                <c:pt idx="19">
                  <c:v>6.0</c:v>
                </c:pt>
                <c:pt idx="20">
                  <c:v>4.0</c:v>
                </c:pt>
                <c:pt idx="21">
                  <c:v>15.0</c:v>
                </c:pt>
                <c:pt idx="22">
                  <c:v>1.0</c:v>
                </c:pt>
                <c:pt idx="23">
                  <c:v>6.0</c:v>
                </c:pt>
              </c:numCache>
            </c:numRef>
          </c:val>
          <c:extLst xmlns:c16r2="http://schemas.microsoft.com/office/drawing/2015/06/chart">
            <c:ext xmlns:c16="http://schemas.microsoft.com/office/drawing/2014/chart" uri="{C3380CC4-5D6E-409C-BE32-E72D297353CC}">
              <c16:uniqueId val="{00000000-8033-4BC5-A6D4-89359506255A}"/>
            </c:ext>
          </c:extLst>
        </c:ser>
        <c:ser>
          <c:idx val="1"/>
          <c:order val="1"/>
          <c:tx>
            <c:strRef>
              <c:f>Foglio1!$A$3</c:f>
              <c:strCache>
                <c:ptCount val="1"/>
                <c:pt idx="0">
                  <c:v>number of tombs in which they occur</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Foglio1!$B$1:$Y$1</c:f>
              <c:strCache>
                <c:ptCount val="24"/>
                <c:pt idx="0">
                  <c:v>rhyton</c:v>
                </c:pt>
                <c:pt idx="1">
                  <c:v>kernos</c:v>
                </c:pt>
                <c:pt idx="2">
                  <c:v>ring vase</c:v>
                </c:pt>
                <c:pt idx="3">
                  <c:v>goblet</c:v>
                </c:pt>
                <c:pt idx="4">
                  <c:v>cup</c:v>
                </c:pt>
                <c:pt idx="5">
                  <c:v>conical cup</c:v>
                </c:pt>
                <c:pt idx="6">
                  <c:v>tankard</c:v>
                </c:pt>
                <c:pt idx="7">
                  <c:v>bowl</c:v>
                </c:pt>
                <c:pt idx="8">
                  <c:v>stirrup jar</c:v>
                </c:pt>
                <c:pt idx="9">
                  <c:v>jar</c:v>
                </c:pt>
                <c:pt idx="10">
                  <c:v>alabastron</c:v>
                </c:pt>
                <c:pt idx="11">
                  <c:v>pyxis</c:v>
                </c:pt>
                <c:pt idx="12">
                  <c:v>askos</c:v>
                </c:pt>
                <c:pt idx="13">
                  <c:v>amphora</c:v>
                </c:pt>
                <c:pt idx="14">
                  <c:v>flask</c:v>
                </c:pt>
                <c:pt idx="15">
                  <c:v>jug</c:v>
                </c:pt>
                <c:pt idx="16">
                  <c:v>ladle</c:v>
                </c:pt>
                <c:pt idx="17">
                  <c:v>thelastron</c:v>
                </c:pt>
                <c:pt idx="18">
                  <c:v>cauldron</c:v>
                </c:pt>
                <c:pt idx="19">
                  <c:v>krater</c:v>
                </c:pt>
                <c:pt idx="20">
                  <c:v>kalathos</c:v>
                </c:pt>
                <c:pt idx="21">
                  <c:v>brazier</c:v>
                </c:pt>
                <c:pt idx="22">
                  <c:v>incense burner</c:v>
                </c:pt>
                <c:pt idx="23">
                  <c:v>other</c:v>
                </c:pt>
              </c:strCache>
            </c:strRef>
          </c:cat>
          <c:val>
            <c:numRef>
              <c:f>Foglio1!$B$3:$Y$3</c:f>
              <c:numCache>
                <c:formatCode>General</c:formatCode>
                <c:ptCount val="24"/>
                <c:pt idx="0">
                  <c:v>1.0</c:v>
                </c:pt>
                <c:pt idx="1">
                  <c:v>1.0</c:v>
                </c:pt>
                <c:pt idx="2">
                  <c:v>3.0</c:v>
                </c:pt>
                <c:pt idx="3">
                  <c:v>30.0</c:v>
                </c:pt>
                <c:pt idx="4">
                  <c:v>27.0</c:v>
                </c:pt>
                <c:pt idx="5">
                  <c:v>17.0</c:v>
                </c:pt>
                <c:pt idx="6">
                  <c:v>1.0</c:v>
                </c:pt>
                <c:pt idx="7">
                  <c:v>17.0</c:v>
                </c:pt>
                <c:pt idx="8">
                  <c:v>37.0</c:v>
                </c:pt>
                <c:pt idx="9">
                  <c:v>2.0</c:v>
                </c:pt>
                <c:pt idx="10">
                  <c:v>4.0</c:v>
                </c:pt>
                <c:pt idx="11">
                  <c:v>9.0</c:v>
                </c:pt>
                <c:pt idx="12">
                  <c:v>2.0</c:v>
                </c:pt>
                <c:pt idx="13">
                  <c:v>6.0</c:v>
                </c:pt>
                <c:pt idx="14">
                  <c:v>7.0</c:v>
                </c:pt>
                <c:pt idx="15">
                  <c:v>29.0</c:v>
                </c:pt>
                <c:pt idx="16">
                  <c:v>1.0</c:v>
                </c:pt>
                <c:pt idx="17">
                  <c:v>3.0</c:v>
                </c:pt>
                <c:pt idx="18">
                  <c:v>1.0</c:v>
                </c:pt>
                <c:pt idx="19">
                  <c:v>4.0</c:v>
                </c:pt>
                <c:pt idx="20">
                  <c:v>3.0</c:v>
                </c:pt>
                <c:pt idx="21">
                  <c:v>10.0</c:v>
                </c:pt>
                <c:pt idx="22">
                  <c:v>1.0</c:v>
                </c:pt>
                <c:pt idx="23">
                  <c:v>6.0</c:v>
                </c:pt>
              </c:numCache>
            </c:numRef>
          </c:val>
          <c:extLst xmlns:c16r2="http://schemas.microsoft.com/office/drawing/2015/06/chart">
            <c:ext xmlns:c16="http://schemas.microsoft.com/office/drawing/2014/chart" uri="{C3380CC4-5D6E-409C-BE32-E72D297353CC}">
              <c16:uniqueId val="{00000001-8033-4BC5-A6D4-89359506255A}"/>
            </c:ext>
          </c:extLst>
        </c:ser>
        <c:dLbls>
          <c:showLegendKey val="0"/>
          <c:showVal val="1"/>
          <c:showCatName val="0"/>
          <c:showSerName val="0"/>
          <c:showPercent val="0"/>
          <c:showBubbleSize val="0"/>
        </c:dLbls>
        <c:gapWidth val="150"/>
        <c:overlap val="-25"/>
        <c:axId val="2120043592"/>
        <c:axId val="2119974168"/>
      </c:barChart>
      <c:catAx>
        <c:axId val="2120043592"/>
        <c:scaling>
          <c:orientation val="minMax"/>
        </c:scaling>
        <c:delete val="0"/>
        <c:axPos val="l"/>
        <c:numFmt formatCode="General" sourceLinked="0"/>
        <c:majorTickMark val="none"/>
        <c:minorTickMark val="none"/>
        <c:tickLblPos val="nextTo"/>
        <c:crossAx val="2119974168"/>
        <c:crosses val="autoZero"/>
        <c:auto val="1"/>
        <c:lblAlgn val="ctr"/>
        <c:lblOffset val="100"/>
        <c:noMultiLvlLbl val="0"/>
      </c:catAx>
      <c:valAx>
        <c:axId val="2119974168"/>
        <c:scaling>
          <c:orientation val="minMax"/>
        </c:scaling>
        <c:delete val="1"/>
        <c:axPos val="b"/>
        <c:numFmt formatCode="General" sourceLinked="1"/>
        <c:majorTickMark val="out"/>
        <c:minorTickMark val="none"/>
        <c:tickLblPos val="nextTo"/>
        <c:crossAx val="2120043592"/>
        <c:crosses val="autoZero"/>
        <c:crossBetween val="between"/>
      </c:valAx>
    </c:plotArea>
    <c:legend>
      <c:legendPos val="t"/>
      <c:layout/>
      <c:overlay val="0"/>
    </c:legend>
    <c:plotVisOnly val="1"/>
    <c:dispBlanksAs val="gap"/>
    <c:showDLblsOverMax val="0"/>
  </c:chart>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200" b="1">
                <a:effectLst/>
                <a:latin typeface="Times New Roman" panose="02020603050405020304" pitchFamily="18" charset="0"/>
                <a:ea typeface="ＭＳ 明朝"/>
                <a:cs typeface="Times New Roman" panose="02020603050405020304" pitchFamily="18" charset="0"/>
              </a:rPr>
              <a:t>Composition o</a:t>
            </a:r>
            <a:r>
              <a:rPr lang="it-IT" sz="1200" b="1">
                <a:effectLst/>
                <a:latin typeface="Times New Roman" panose="02020603050405020304" pitchFamily="18" charset="0"/>
                <a:ea typeface="ＭＳ 明朝"/>
                <a:cs typeface="Times New Roman" panose="02020603050405020304" pitchFamily="18" charset="0"/>
              </a:rPr>
              <a:t>f </a:t>
            </a:r>
            <a:r>
              <a:rPr lang="en-GB" sz="1200" b="1">
                <a:effectLst/>
                <a:latin typeface="Times New Roman" panose="02020603050405020304" pitchFamily="18" charset="0"/>
                <a:ea typeface="ＭＳ 明朝"/>
                <a:cs typeface="Times New Roman" panose="02020603050405020304" pitchFamily="18" charset="0"/>
              </a:rPr>
              <a:t>grave goods assemblages according to pottery occurrence, Central area </a:t>
            </a:r>
            <a:endParaRPr lang="it-IT" sz="1200" b="1">
              <a:effectLst/>
              <a:latin typeface="Times New Roman" panose="02020603050405020304" pitchFamily="18" charset="0"/>
              <a:ea typeface="ＭＳ 明朝"/>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it-IT" sz="1200" b="1" i="0" u="none" strike="noStrike" baseline="0">
                <a:effectLst/>
                <a:latin typeface="Times New Roman" panose="02020603050405020304" pitchFamily="18" charset="0"/>
                <a:cs typeface="Times New Roman" panose="02020603050405020304" pitchFamily="18" charset="0"/>
              </a:rPr>
              <a:t> </a:t>
            </a:r>
            <a:endParaRPr lang="it-IT" sz="1200">
              <a:latin typeface="Times New Roman" panose="02020603050405020304" pitchFamily="18" charset="0"/>
              <a:cs typeface="Times New Roman" panose="02020603050405020304" pitchFamily="18" charset="0"/>
            </a:endParaRPr>
          </a:p>
        </c:rich>
      </c:tx>
      <c:layout>
        <c:manualLayout>
          <c:xMode val="edge"/>
          <c:yMode val="edge"/>
          <c:x val="0.123284120734908"/>
          <c:y val="0.037037037037037"/>
        </c:manualLayout>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(Foglio1!$A$97;Foglio1!$A$98;Foglio1!$A$99)</c:f>
              <c:strCache>
                <c:ptCount val="3"/>
                <c:pt idx="0">
                  <c:v>only pottery</c:v>
                </c:pt>
                <c:pt idx="1">
                  <c:v>pottery + other materials</c:v>
                </c:pt>
                <c:pt idx="2">
                  <c:v>only other materials</c:v>
                </c:pt>
              </c:strCache>
            </c:strRef>
          </c:cat>
          <c:val>
            <c:numRef>
              <c:f>(Foglio1!$B$97;Foglio1!$B$98;Foglio1!$B$99)</c:f>
              <c:numCache>
                <c:formatCode>General</c:formatCode>
                <c:ptCount val="3"/>
                <c:pt idx="0">
                  <c:v>22.0</c:v>
                </c:pt>
                <c:pt idx="1">
                  <c:v>49.0</c:v>
                </c:pt>
                <c:pt idx="2">
                  <c:v>7.0</c:v>
                </c:pt>
              </c:numCache>
            </c:numRef>
          </c:val>
          <c:extLst xmlns:c16r2="http://schemas.microsoft.com/office/drawing/2015/06/chart">
            <c:ext xmlns:c16="http://schemas.microsoft.com/office/drawing/2014/chart" uri="{C3380CC4-5D6E-409C-BE32-E72D297353CC}">
              <c16:uniqueId val="{00000000-3C0D-4DB8-9E55-4C2277652053}"/>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Foglio1!$A$2</c:f>
              <c:strCache>
                <c:ptCount val="1"/>
                <c:pt idx="0">
                  <c:v>Total number of tombs Mid-East area</c:v>
                </c:pt>
              </c:strCache>
            </c:strRef>
          </c:tx>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Foglio1!$B$1:$J$1</c:f>
              <c:strCache>
                <c:ptCount val="9"/>
                <c:pt idx="0">
                  <c:v>amber</c:v>
                </c:pt>
                <c:pt idx="1">
                  <c:v>bronze</c:v>
                </c:pt>
                <c:pt idx="2">
                  <c:v>ceramic </c:v>
                </c:pt>
                <c:pt idx="3">
                  <c:v>faience</c:v>
                </c:pt>
                <c:pt idx="4">
                  <c:v>glass</c:v>
                </c:pt>
                <c:pt idx="5">
                  <c:v>gold</c:v>
                </c:pt>
                <c:pt idx="6">
                  <c:v>ivory</c:v>
                </c:pt>
                <c:pt idx="7">
                  <c:v>stone </c:v>
                </c:pt>
                <c:pt idx="8">
                  <c:v>other</c:v>
                </c:pt>
              </c:strCache>
            </c:strRef>
          </c:cat>
          <c:val>
            <c:numRef>
              <c:f>Foglio1!$B$2:$J$2</c:f>
              <c:numCache>
                <c:formatCode>General</c:formatCode>
                <c:ptCount val="9"/>
                <c:pt idx="0">
                  <c:v>1.0</c:v>
                </c:pt>
                <c:pt idx="1">
                  <c:v>9.0</c:v>
                </c:pt>
                <c:pt idx="2">
                  <c:v>35.0</c:v>
                </c:pt>
                <c:pt idx="3">
                  <c:v>1.0</c:v>
                </c:pt>
                <c:pt idx="4">
                  <c:v>3.0</c:v>
                </c:pt>
                <c:pt idx="5">
                  <c:v>3.0</c:v>
                </c:pt>
                <c:pt idx="6">
                  <c:v>1.0</c:v>
                </c:pt>
                <c:pt idx="7">
                  <c:v>12.0</c:v>
                </c:pt>
                <c:pt idx="8">
                  <c:v>2.0</c:v>
                </c:pt>
              </c:numCache>
            </c:numRef>
          </c:val>
          <c:extLst xmlns:c16r2="http://schemas.microsoft.com/office/drawing/2015/06/chart">
            <c:ext xmlns:c16="http://schemas.microsoft.com/office/drawing/2014/chart" uri="{C3380CC4-5D6E-409C-BE32-E72D297353CC}">
              <c16:uniqueId val="{00000000-7CFE-4A3D-9410-964ABE6ED245}"/>
            </c:ext>
          </c:extLst>
        </c:ser>
        <c:dLbls>
          <c:showLegendKey val="0"/>
          <c:showVal val="0"/>
          <c:showCatName val="0"/>
          <c:showSerName val="0"/>
          <c:showPercent val="0"/>
          <c:showBubbleSize val="0"/>
        </c:dLbls>
        <c:gapWidth val="75"/>
        <c:overlap val="40"/>
        <c:axId val="2116488200"/>
        <c:axId val="2116157432"/>
      </c:barChart>
      <c:catAx>
        <c:axId val="2116488200"/>
        <c:scaling>
          <c:orientation val="minMax"/>
        </c:scaling>
        <c:delete val="0"/>
        <c:axPos val="b"/>
        <c:numFmt formatCode="General" sourceLinked="0"/>
        <c:majorTickMark val="none"/>
        <c:minorTickMark val="none"/>
        <c:tickLblPos val="nextTo"/>
        <c:crossAx val="2116157432"/>
        <c:crosses val="autoZero"/>
        <c:auto val="1"/>
        <c:lblAlgn val="ctr"/>
        <c:lblOffset val="100"/>
        <c:noMultiLvlLbl val="0"/>
      </c:catAx>
      <c:valAx>
        <c:axId val="2116157432"/>
        <c:scaling>
          <c:orientation val="minMax"/>
        </c:scaling>
        <c:delete val="0"/>
        <c:axPos val="l"/>
        <c:majorGridlines/>
        <c:numFmt formatCode="General" sourceLinked="1"/>
        <c:majorTickMark val="none"/>
        <c:minorTickMark val="none"/>
        <c:tickLblPos val="nextTo"/>
        <c:crossAx val="211648820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total number of items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Foglio1!$B$1:$N$1</c:f>
              <c:strCache>
                <c:ptCount val="13"/>
                <c:pt idx="0">
                  <c:v>ring</c:v>
                </c:pt>
                <c:pt idx="1">
                  <c:v>pin</c:v>
                </c:pt>
                <c:pt idx="2">
                  <c:v>seal</c:v>
                </c:pt>
                <c:pt idx="3">
                  <c:v>mirror</c:v>
                </c:pt>
                <c:pt idx="4">
                  <c:v>razor</c:v>
                </c:pt>
                <c:pt idx="5">
                  <c:v>comb</c:v>
                </c:pt>
                <c:pt idx="6">
                  <c:v>sword</c:v>
                </c:pt>
                <c:pt idx="7">
                  <c:v>knife</c:v>
                </c:pt>
                <c:pt idx="8">
                  <c:v>stone vessel</c:v>
                </c:pt>
                <c:pt idx="9">
                  <c:v>whorl</c:v>
                </c:pt>
                <c:pt idx="10">
                  <c:v>figurine</c:v>
                </c:pt>
                <c:pt idx="11">
                  <c:v>other</c:v>
                </c:pt>
                <c:pt idx="12">
                  <c:v>Bead</c:v>
                </c:pt>
              </c:strCache>
            </c:strRef>
          </c:cat>
          <c:val>
            <c:numRef>
              <c:f>Foglio1!$B$2:$N$2</c:f>
              <c:numCache>
                <c:formatCode>General</c:formatCode>
                <c:ptCount val="13"/>
                <c:pt idx="0">
                  <c:v>4.0</c:v>
                </c:pt>
                <c:pt idx="1">
                  <c:v>3.0</c:v>
                </c:pt>
                <c:pt idx="2">
                  <c:v>7.0</c:v>
                </c:pt>
                <c:pt idx="3">
                  <c:v>2.0</c:v>
                </c:pt>
                <c:pt idx="4">
                  <c:v>2.0</c:v>
                </c:pt>
                <c:pt idx="5">
                  <c:v>5.0</c:v>
                </c:pt>
                <c:pt idx="6">
                  <c:v>1.0</c:v>
                </c:pt>
                <c:pt idx="7">
                  <c:v>5.0</c:v>
                </c:pt>
                <c:pt idx="8">
                  <c:v>12.0</c:v>
                </c:pt>
                <c:pt idx="9">
                  <c:v>5.0</c:v>
                </c:pt>
                <c:pt idx="10">
                  <c:v>3.0</c:v>
                </c:pt>
                <c:pt idx="11">
                  <c:v>6.0</c:v>
                </c:pt>
                <c:pt idx="12">
                  <c:v>107.0</c:v>
                </c:pt>
              </c:numCache>
            </c:numRef>
          </c:val>
          <c:extLst xmlns:c16r2="http://schemas.microsoft.com/office/drawing/2015/06/chart">
            <c:ext xmlns:c16="http://schemas.microsoft.com/office/drawing/2014/chart" uri="{C3380CC4-5D6E-409C-BE32-E72D297353CC}">
              <c16:uniqueId val="{00000000-20A9-4803-8672-E4D20F7D5E1A}"/>
            </c:ext>
          </c:extLst>
        </c:ser>
        <c:ser>
          <c:idx val="1"/>
          <c:order val="1"/>
          <c:tx>
            <c:strRef>
              <c:f>Foglio1!$A$3</c:f>
              <c:strCache>
                <c:ptCount val="1"/>
                <c:pt idx="0">
                  <c:v>number of tombs in which they occur</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Foglio1!$B$1:$N$1</c:f>
              <c:strCache>
                <c:ptCount val="13"/>
                <c:pt idx="0">
                  <c:v>ring</c:v>
                </c:pt>
                <c:pt idx="1">
                  <c:v>pin</c:v>
                </c:pt>
                <c:pt idx="2">
                  <c:v>seal</c:v>
                </c:pt>
                <c:pt idx="3">
                  <c:v>mirror</c:v>
                </c:pt>
                <c:pt idx="4">
                  <c:v>razor</c:v>
                </c:pt>
                <c:pt idx="5">
                  <c:v>comb</c:v>
                </c:pt>
                <c:pt idx="6">
                  <c:v>sword</c:v>
                </c:pt>
                <c:pt idx="7">
                  <c:v>knife</c:v>
                </c:pt>
                <c:pt idx="8">
                  <c:v>stone vessel</c:v>
                </c:pt>
                <c:pt idx="9">
                  <c:v>whorl</c:v>
                </c:pt>
                <c:pt idx="10">
                  <c:v>figurine</c:v>
                </c:pt>
                <c:pt idx="11">
                  <c:v>other</c:v>
                </c:pt>
                <c:pt idx="12">
                  <c:v>Bead</c:v>
                </c:pt>
              </c:strCache>
            </c:strRef>
          </c:cat>
          <c:val>
            <c:numRef>
              <c:f>Foglio1!$B$3:$N$3</c:f>
              <c:numCache>
                <c:formatCode>General</c:formatCode>
                <c:ptCount val="13"/>
                <c:pt idx="0">
                  <c:v>3.0</c:v>
                </c:pt>
                <c:pt idx="1">
                  <c:v>3.0</c:v>
                </c:pt>
                <c:pt idx="2">
                  <c:v>5.0</c:v>
                </c:pt>
                <c:pt idx="3">
                  <c:v>2.0</c:v>
                </c:pt>
                <c:pt idx="4">
                  <c:v>2.0</c:v>
                </c:pt>
                <c:pt idx="5">
                  <c:v>1.0</c:v>
                </c:pt>
                <c:pt idx="6">
                  <c:v>1.0</c:v>
                </c:pt>
                <c:pt idx="7">
                  <c:v>4.0</c:v>
                </c:pt>
                <c:pt idx="8">
                  <c:v>5.0</c:v>
                </c:pt>
                <c:pt idx="9">
                  <c:v>3.0</c:v>
                </c:pt>
                <c:pt idx="10">
                  <c:v>2.0</c:v>
                </c:pt>
                <c:pt idx="11">
                  <c:v>3.0</c:v>
                </c:pt>
                <c:pt idx="12">
                  <c:v>5.0</c:v>
                </c:pt>
              </c:numCache>
            </c:numRef>
          </c:val>
          <c:extLst xmlns:c16r2="http://schemas.microsoft.com/office/drawing/2015/06/chart">
            <c:ext xmlns:c16="http://schemas.microsoft.com/office/drawing/2014/chart" uri="{C3380CC4-5D6E-409C-BE32-E72D297353CC}">
              <c16:uniqueId val="{00000001-20A9-4803-8672-E4D20F7D5E1A}"/>
            </c:ext>
          </c:extLst>
        </c:ser>
        <c:dLbls>
          <c:showLegendKey val="0"/>
          <c:showVal val="1"/>
          <c:showCatName val="0"/>
          <c:showSerName val="0"/>
          <c:showPercent val="0"/>
          <c:showBubbleSize val="0"/>
        </c:dLbls>
        <c:gapWidth val="150"/>
        <c:overlap val="-25"/>
        <c:axId val="-2062974616"/>
        <c:axId val="-2062766104"/>
      </c:barChart>
      <c:catAx>
        <c:axId val="-2062974616"/>
        <c:scaling>
          <c:orientation val="minMax"/>
        </c:scaling>
        <c:delete val="0"/>
        <c:axPos val="l"/>
        <c:numFmt formatCode="General" sourceLinked="0"/>
        <c:majorTickMark val="none"/>
        <c:minorTickMark val="none"/>
        <c:tickLblPos val="nextTo"/>
        <c:crossAx val="-2062766104"/>
        <c:crosses val="autoZero"/>
        <c:auto val="1"/>
        <c:lblAlgn val="ctr"/>
        <c:lblOffset val="100"/>
        <c:noMultiLvlLbl val="0"/>
      </c:catAx>
      <c:valAx>
        <c:axId val="-2062766104"/>
        <c:scaling>
          <c:orientation val="minMax"/>
        </c:scaling>
        <c:delete val="1"/>
        <c:axPos val="b"/>
        <c:numFmt formatCode="General" sourceLinked="1"/>
        <c:majorTickMark val="none"/>
        <c:minorTickMark val="none"/>
        <c:tickLblPos val="nextTo"/>
        <c:crossAx val="-2062974616"/>
        <c:crosses val="autoZero"/>
        <c:crossBetween val="between"/>
      </c:valAx>
    </c:plotArea>
    <c:legend>
      <c:legendPos val="t"/>
      <c:layout/>
      <c:overlay val="0"/>
    </c:legend>
    <c:plotVisOnly val="1"/>
    <c:dispBlanksAs val="gap"/>
    <c:showDLblsOverMax val="0"/>
  </c:chart>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number of items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Foglio1!$B$1:$S$1</c:f>
              <c:strCache>
                <c:ptCount val="18"/>
                <c:pt idx="0">
                  <c:v>rhyton</c:v>
                </c:pt>
                <c:pt idx="1">
                  <c:v>ring vase</c:v>
                </c:pt>
                <c:pt idx="2">
                  <c:v>goblet</c:v>
                </c:pt>
                <c:pt idx="3">
                  <c:v>cup</c:v>
                </c:pt>
                <c:pt idx="4">
                  <c:v>conical cup</c:v>
                </c:pt>
                <c:pt idx="5">
                  <c:v>bowl</c:v>
                </c:pt>
                <c:pt idx="6">
                  <c:v>stirrup jar</c:v>
                </c:pt>
                <c:pt idx="7">
                  <c:v>jar</c:v>
                </c:pt>
                <c:pt idx="8">
                  <c:v>alabastron</c:v>
                </c:pt>
                <c:pt idx="9">
                  <c:v>pyxis</c:v>
                </c:pt>
                <c:pt idx="10">
                  <c:v>amphora</c:v>
                </c:pt>
                <c:pt idx="11">
                  <c:v>jug</c:v>
                </c:pt>
                <c:pt idx="12">
                  <c:v>ladle</c:v>
                </c:pt>
                <c:pt idx="13">
                  <c:v>cauldron</c:v>
                </c:pt>
                <c:pt idx="14">
                  <c:v>krater</c:v>
                </c:pt>
                <c:pt idx="15">
                  <c:v>kalathos</c:v>
                </c:pt>
                <c:pt idx="16">
                  <c:v>incense burner</c:v>
                </c:pt>
                <c:pt idx="17">
                  <c:v>other</c:v>
                </c:pt>
              </c:strCache>
            </c:strRef>
          </c:cat>
          <c:val>
            <c:numRef>
              <c:f>Foglio1!$B$2:$S$2</c:f>
              <c:numCache>
                <c:formatCode>General</c:formatCode>
                <c:ptCount val="18"/>
                <c:pt idx="0">
                  <c:v>1.0</c:v>
                </c:pt>
                <c:pt idx="1">
                  <c:v>4.0</c:v>
                </c:pt>
                <c:pt idx="2">
                  <c:v>22.0</c:v>
                </c:pt>
                <c:pt idx="3">
                  <c:v>32.0</c:v>
                </c:pt>
                <c:pt idx="4">
                  <c:v>40.0</c:v>
                </c:pt>
                <c:pt idx="5">
                  <c:v>8.0</c:v>
                </c:pt>
                <c:pt idx="6">
                  <c:v>41.0</c:v>
                </c:pt>
                <c:pt idx="7">
                  <c:v>3.0</c:v>
                </c:pt>
                <c:pt idx="8">
                  <c:v>7.0</c:v>
                </c:pt>
                <c:pt idx="9">
                  <c:v>5.0</c:v>
                </c:pt>
                <c:pt idx="10">
                  <c:v>2.0</c:v>
                </c:pt>
                <c:pt idx="11">
                  <c:v>25.0</c:v>
                </c:pt>
                <c:pt idx="12">
                  <c:v>1.0</c:v>
                </c:pt>
                <c:pt idx="13">
                  <c:v>1.0</c:v>
                </c:pt>
                <c:pt idx="14">
                  <c:v>4.0</c:v>
                </c:pt>
                <c:pt idx="15">
                  <c:v>3.0</c:v>
                </c:pt>
                <c:pt idx="16">
                  <c:v>1.0</c:v>
                </c:pt>
                <c:pt idx="17">
                  <c:v>6.0</c:v>
                </c:pt>
              </c:numCache>
            </c:numRef>
          </c:val>
          <c:extLst xmlns:c16r2="http://schemas.microsoft.com/office/drawing/2015/06/chart">
            <c:ext xmlns:c16="http://schemas.microsoft.com/office/drawing/2014/chart" uri="{C3380CC4-5D6E-409C-BE32-E72D297353CC}">
              <c16:uniqueId val="{00000000-9D63-4E70-9471-17FEDE19571A}"/>
            </c:ext>
          </c:extLst>
        </c:ser>
        <c:ser>
          <c:idx val="1"/>
          <c:order val="1"/>
          <c:tx>
            <c:strRef>
              <c:f>Foglio1!$A$3</c:f>
              <c:strCache>
                <c:ptCount val="1"/>
                <c:pt idx="0">
                  <c:v>number of tombs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Foglio1!$B$1:$S$1</c:f>
              <c:strCache>
                <c:ptCount val="18"/>
                <c:pt idx="0">
                  <c:v>rhyton</c:v>
                </c:pt>
                <c:pt idx="1">
                  <c:v>ring vase</c:v>
                </c:pt>
                <c:pt idx="2">
                  <c:v>goblet</c:v>
                </c:pt>
                <c:pt idx="3">
                  <c:v>cup</c:v>
                </c:pt>
                <c:pt idx="4">
                  <c:v>conical cup</c:v>
                </c:pt>
                <c:pt idx="5">
                  <c:v>bowl</c:v>
                </c:pt>
                <c:pt idx="6">
                  <c:v>stirrup jar</c:v>
                </c:pt>
                <c:pt idx="7">
                  <c:v>jar</c:v>
                </c:pt>
                <c:pt idx="8">
                  <c:v>alabastron</c:v>
                </c:pt>
                <c:pt idx="9">
                  <c:v>pyxis</c:v>
                </c:pt>
                <c:pt idx="10">
                  <c:v>amphora</c:v>
                </c:pt>
                <c:pt idx="11">
                  <c:v>jug</c:v>
                </c:pt>
                <c:pt idx="12">
                  <c:v>ladle</c:v>
                </c:pt>
                <c:pt idx="13">
                  <c:v>cauldron</c:v>
                </c:pt>
                <c:pt idx="14">
                  <c:v>krater</c:v>
                </c:pt>
                <c:pt idx="15">
                  <c:v>kalathos</c:v>
                </c:pt>
                <c:pt idx="16">
                  <c:v>incense burner</c:v>
                </c:pt>
                <c:pt idx="17">
                  <c:v>other</c:v>
                </c:pt>
              </c:strCache>
            </c:strRef>
          </c:cat>
          <c:val>
            <c:numRef>
              <c:f>Foglio1!$B$3:$S$3</c:f>
              <c:numCache>
                <c:formatCode>General</c:formatCode>
                <c:ptCount val="18"/>
                <c:pt idx="0">
                  <c:v>1.0</c:v>
                </c:pt>
                <c:pt idx="1">
                  <c:v>4.0</c:v>
                </c:pt>
                <c:pt idx="2">
                  <c:v>14.0</c:v>
                </c:pt>
                <c:pt idx="3">
                  <c:v>15.0</c:v>
                </c:pt>
                <c:pt idx="4">
                  <c:v>6.0</c:v>
                </c:pt>
                <c:pt idx="5">
                  <c:v>7.0</c:v>
                </c:pt>
                <c:pt idx="6">
                  <c:v>14.0</c:v>
                </c:pt>
                <c:pt idx="7">
                  <c:v>3.0</c:v>
                </c:pt>
                <c:pt idx="8">
                  <c:v>7.0</c:v>
                </c:pt>
                <c:pt idx="9">
                  <c:v>5.0</c:v>
                </c:pt>
                <c:pt idx="10">
                  <c:v>2.0</c:v>
                </c:pt>
                <c:pt idx="11">
                  <c:v>11.0</c:v>
                </c:pt>
                <c:pt idx="12">
                  <c:v>1.0</c:v>
                </c:pt>
                <c:pt idx="13">
                  <c:v>1.0</c:v>
                </c:pt>
                <c:pt idx="14">
                  <c:v>2.0</c:v>
                </c:pt>
                <c:pt idx="15">
                  <c:v>3.0</c:v>
                </c:pt>
                <c:pt idx="16">
                  <c:v>1.0</c:v>
                </c:pt>
                <c:pt idx="17">
                  <c:v>6.0</c:v>
                </c:pt>
              </c:numCache>
            </c:numRef>
          </c:val>
          <c:extLst xmlns:c16r2="http://schemas.microsoft.com/office/drawing/2015/06/chart">
            <c:ext xmlns:c16="http://schemas.microsoft.com/office/drawing/2014/chart" uri="{C3380CC4-5D6E-409C-BE32-E72D297353CC}">
              <c16:uniqueId val="{00000001-9D63-4E70-9471-17FEDE19571A}"/>
            </c:ext>
          </c:extLst>
        </c:ser>
        <c:dLbls>
          <c:showLegendKey val="0"/>
          <c:showVal val="1"/>
          <c:showCatName val="0"/>
          <c:showSerName val="0"/>
          <c:showPercent val="0"/>
          <c:showBubbleSize val="0"/>
        </c:dLbls>
        <c:gapWidth val="150"/>
        <c:overlap val="-25"/>
        <c:axId val="-2123041592"/>
        <c:axId val="-2123038616"/>
      </c:barChart>
      <c:catAx>
        <c:axId val="-2123041592"/>
        <c:scaling>
          <c:orientation val="minMax"/>
        </c:scaling>
        <c:delete val="0"/>
        <c:axPos val="l"/>
        <c:numFmt formatCode="General" sourceLinked="0"/>
        <c:majorTickMark val="none"/>
        <c:minorTickMark val="none"/>
        <c:tickLblPos val="nextTo"/>
        <c:crossAx val="-2123038616"/>
        <c:crosses val="autoZero"/>
        <c:auto val="1"/>
        <c:lblAlgn val="ctr"/>
        <c:lblOffset val="100"/>
        <c:noMultiLvlLbl val="0"/>
      </c:catAx>
      <c:valAx>
        <c:axId val="-2123038616"/>
        <c:scaling>
          <c:orientation val="minMax"/>
        </c:scaling>
        <c:delete val="1"/>
        <c:axPos val="b"/>
        <c:numFmt formatCode="General" sourceLinked="1"/>
        <c:majorTickMark val="none"/>
        <c:minorTickMark val="none"/>
        <c:tickLblPos val="nextTo"/>
        <c:crossAx val="-2123041592"/>
        <c:crosses val="autoZero"/>
        <c:crossBetween val="between"/>
      </c:valAx>
    </c:plotArea>
    <c:legend>
      <c:legendPos val="t"/>
      <c:layout/>
      <c:overlay val="0"/>
    </c:legend>
    <c:plotVisOnly val="1"/>
    <c:dispBlanksAs val="gap"/>
    <c:showDLblsOverMax val="0"/>
  </c:chart>
  <c:externalData r:id="rId1">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200">
                <a:effectLst/>
                <a:latin typeface="Times New Roman" panose="02020603050405020304" pitchFamily="18" charset="0"/>
                <a:ea typeface="ＭＳ 明朝"/>
                <a:cs typeface="Times New Roman" panose="02020603050405020304" pitchFamily="18" charset="0"/>
              </a:rPr>
              <a:t>Composition o</a:t>
            </a:r>
            <a:r>
              <a:rPr lang="it-IT" sz="1200">
                <a:effectLst/>
                <a:latin typeface="Times New Roman" panose="02020603050405020304" pitchFamily="18" charset="0"/>
                <a:ea typeface="ＭＳ 明朝"/>
                <a:cs typeface="Times New Roman" panose="02020603050405020304" pitchFamily="18" charset="0"/>
              </a:rPr>
              <a:t>f </a:t>
            </a:r>
            <a:r>
              <a:rPr lang="en-GB" sz="1200">
                <a:effectLst/>
                <a:latin typeface="Times New Roman" panose="02020603050405020304" pitchFamily="18" charset="0"/>
                <a:ea typeface="ＭＳ 明朝"/>
                <a:cs typeface="Times New Roman" panose="02020603050405020304" pitchFamily="18" charset="0"/>
              </a:rPr>
              <a:t>grave goods assemblages according to pottery occurrence </a:t>
            </a:r>
            <a:r>
              <a:rPr lang="en-GB" sz="1200" b="1" i="0" u="none" strike="noStrike" baseline="0">
                <a:effectLst/>
                <a:latin typeface="Times New Roman" panose="02020603050405020304" pitchFamily="18" charset="0"/>
                <a:cs typeface="Times New Roman" panose="02020603050405020304" pitchFamily="18" charset="0"/>
              </a:rPr>
              <a:t>Mid-East area </a:t>
            </a:r>
            <a:r>
              <a:rPr lang="en-GB" sz="1200">
                <a:effectLst/>
                <a:latin typeface="Times New Roman" panose="02020603050405020304" pitchFamily="18" charset="0"/>
                <a:ea typeface="ＭＳ 明朝"/>
                <a:cs typeface="Times New Roman" panose="02020603050405020304" pitchFamily="18" charset="0"/>
              </a:rPr>
              <a:t> </a:t>
            </a:r>
            <a:endParaRPr lang="it-IT" sz="1200">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(Foglio1!$A$55;Foglio1!$A$56;Foglio1!$A$57)</c:f>
              <c:strCache>
                <c:ptCount val="3"/>
                <c:pt idx="0">
                  <c:v>only pottery</c:v>
                </c:pt>
                <c:pt idx="1">
                  <c:v>pottery + other materials</c:v>
                </c:pt>
                <c:pt idx="2">
                  <c:v>only other materials</c:v>
                </c:pt>
              </c:strCache>
            </c:strRef>
          </c:cat>
          <c:val>
            <c:numRef>
              <c:f>(Foglio1!$B$55;Foglio1!$B$56;Foglio1!$B$57)</c:f>
              <c:numCache>
                <c:formatCode>General</c:formatCode>
                <c:ptCount val="3"/>
                <c:pt idx="0">
                  <c:v>18.0</c:v>
                </c:pt>
                <c:pt idx="1">
                  <c:v>17.0</c:v>
                </c:pt>
                <c:pt idx="2">
                  <c:v>2.0</c:v>
                </c:pt>
              </c:numCache>
            </c:numRef>
          </c:val>
          <c:extLst xmlns:c16r2="http://schemas.microsoft.com/office/drawing/2015/06/chart">
            <c:ext xmlns:c16="http://schemas.microsoft.com/office/drawing/2014/chart" uri="{C3380CC4-5D6E-409C-BE32-E72D297353CC}">
              <c16:uniqueId val="{00000000-B89A-4D5B-9C63-63A9F278B1E3}"/>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Foglio1!$A$2</c:f>
              <c:strCache>
                <c:ptCount val="1"/>
                <c:pt idx="0">
                  <c:v>Total number of tombs Far-East area</c:v>
                </c:pt>
              </c:strCache>
            </c:strRef>
          </c:tx>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Foglio1!$B$1:$M$1</c:f>
              <c:strCache>
                <c:ptCount val="12"/>
                <c:pt idx="0">
                  <c:v>bone </c:v>
                </c:pt>
                <c:pt idx="1">
                  <c:v>bronze</c:v>
                </c:pt>
                <c:pt idx="2">
                  <c:v>ceramic </c:v>
                </c:pt>
                <c:pt idx="3">
                  <c:v>faience</c:v>
                </c:pt>
                <c:pt idx="4">
                  <c:v>glass</c:v>
                </c:pt>
                <c:pt idx="5">
                  <c:v>gold</c:v>
                </c:pt>
                <c:pt idx="6">
                  <c:v>iron</c:v>
                </c:pt>
                <c:pt idx="7">
                  <c:v>ivory</c:v>
                </c:pt>
                <c:pt idx="8">
                  <c:v>shell</c:v>
                </c:pt>
                <c:pt idx="9">
                  <c:v>stone </c:v>
                </c:pt>
                <c:pt idx="10">
                  <c:v>wood</c:v>
                </c:pt>
                <c:pt idx="11">
                  <c:v>other</c:v>
                </c:pt>
              </c:strCache>
            </c:strRef>
          </c:cat>
          <c:val>
            <c:numRef>
              <c:f>Foglio1!$B$2:$M$2</c:f>
              <c:numCache>
                <c:formatCode>General</c:formatCode>
                <c:ptCount val="12"/>
                <c:pt idx="0">
                  <c:v>2.0</c:v>
                </c:pt>
                <c:pt idx="1">
                  <c:v>31.0</c:v>
                </c:pt>
                <c:pt idx="2">
                  <c:v>62.0</c:v>
                </c:pt>
                <c:pt idx="3">
                  <c:v>3.0</c:v>
                </c:pt>
                <c:pt idx="4">
                  <c:v>6.0</c:v>
                </c:pt>
                <c:pt idx="5">
                  <c:v>9.0</c:v>
                </c:pt>
                <c:pt idx="6">
                  <c:v>1.0</c:v>
                </c:pt>
                <c:pt idx="7">
                  <c:v>5.0</c:v>
                </c:pt>
                <c:pt idx="8">
                  <c:v>7.0</c:v>
                </c:pt>
                <c:pt idx="9">
                  <c:v>15.0</c:v>
                </c:pt>
                <c:pt idx="10">
                  <c:v>2.0</c:v>
                </c:pt>
                <c:pt idx="11">
                  <c:v>5.0</c:v>
                </c:pt>
              </c:numCache>
            </c:numRef>
          </c:val>
          <c:extLst xmlns:c16r2="http://schemas.microsoft.com/office/drawing/2015/06/chart">
            <c:ext xmlns:c16="http://schemas.microsoft.com/office/drawing/2014/chart" uri="{C3380CC4-5D6E-409C-BE32-E72D297353CC}">
              <c16:uniqueId val="{00000000-47DC-47F7-B22F-1656F7A50FE4}"/>
            </c:ext>
          </c:extLst>
        </c:ser>
        <c:dLbls>
          <c:showLegendKey val="0"/>
          <c:showVal val="0"/>
          <c:showCatName val="0"/>
          <c:showSerName val="0"/>
          <c:showPercent val="0"/>
          <c:showBubbleSize val="0"/>
        </c:dLbls>
        <c:gapWidth val="75"/>
        <c:overlap val="40"/>
        <c:axId val="-2095855992"/>
        <c:axId val="-2095276120"/>
      </c:barChart>
      <c:catAx>
        <c:axId val="-2095855992"/>
        <c:scaling>
          <c:orientation val="minMax"/>
        </c:scaling>
        <c:delete val="0"/>
        <c:axPos val="b"/>
        <c:numFmt formatCode="General" sourceLinked="0"/>
        <c:majorTickMark val="none"/>
        <c:minorTickMark val="none"/>
        <c:tickLblPos val="nextTo"/>
        <c:crossAx val="-2095276120"/>
        <c:crosses val="autoZero"/>
        <c:auto val="1"/>
        <c:lblAlgn val="ctr"/>
        <c:lblOffset val="100"/>
        <c:noMultiLvlLbl val="0"/>
      </c:catAx>
      <c:valAx>
        <c:axId val="-2095276120"/>
        <c:scaling>
          <c:orientation val="minMax"/>
        </c:scaling>
        <c:delete val="0"/>
        <c:axPos val="l"/>
        <c:majorGridlines/>
        <c:numFmt formatCode="General" sourceLinked="1"/>
        <c:majorTickMark val="none"/>
        <c:minorTickMark val="none"/>
        <c:tickLblPos val="nextTo"/>
        <c:crossAx val="-209585599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total number of items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Foglio1!$B$1:$U$1</c:f>
              <c:strCache>
                <c:ptCount val="20"/>
                <c:pt idx="0">
                  <c:v>bracelet</c:v>
                </c:pt>
                <c:pt idx="1">
                  <c:v>necklace</c:v>
                </c:pt>
                <c:pt idx="2">
                  <c:v>ring</c:v>
                </c:pt>
                <c:pt idx="3">
                  <c:v>pin</c:v>
                </c:pt>
                <c:pt idx="4">
                  <c:v>seal</c:v>
                </c:pt>
                <c:pt idx="5">
                  <c:v>mirror</c:v>
                </c:pt>
                <c:pt idx="6">
                  <c:v>razor</c:v>
                </c:pt>
                <c:pt idx="7">
                  <c:v>tweezers</c:v>
                </c:pt>
                <c:pt idx="8">
                  <c:v>comb</c:v>
                </c:pt>
                <c:pt idx="9">
                  <c:v>sword</c:v>
                </c:pt>
                <c:pt idx="10">
                  <c:v>spearhead</c:v>
                </c:pt>
                <c:pt idx="11">
                  <c:v>dagger</c:v>
                </c:pt>
                <c:pt idx="12">
                  <c:v>knife</c:v>
                </c:pt>
                <c:pt idx="13">
                  <c:v>stone vessel</c:v>
                </c:pt>
                <c:pt idx="14">
                  <c:v>metal vessel</c:v>
                </c:pt>
                <c:pt idx="15">
                  <c:v>whorl</c:v>
                </c:pt>
                <c:pt idx="16">
                  <c:v>figurine</c:v>
                </c:pt>
                <c:pt idx="17">
                  <c:v>chisel</c:v>
                </c:pt>
                <c:pt idx="18">
                  <c:v>other</c:v>
                </c:pt>
                <c:pt idx="19">
                  <c:v>Bead</c:v>
                </c:pt>
              </c:strCache>
            </c:strRef>
          </c:cat>
          <c:val>
            <c:numRef>
              <c:f>Foglio1!$B$2:$U$2</c:f>
              <c:numCache>
                <c:formatCode>General</c:formatCode>
                <c:ptCount val="20"/>
                <c:pt idx="0">
                  <c:v>1.0</c:v>
                </c:pt>
                <c:pt idx="1">
                  <c:v>1.0</c:v>
                </c:pt>
                <c:pt idx="2">
                  <c:v>11.0</c:v>
                </c:pt>
                <c:pt idx="3">
                  <c:v>6.0</c:v>
                </c:pt>
                <c:pt idx="4">
                  <c:v>11.0</c:v>
                </c:pt>
                <c:pt idx="5">
                  <c:v>8.0</c:v>
                </c:pt>
                <c:pt idx="6">
                  <c:v>3.0</c:v>
                </c:pt>
                <c:pt idx="7">
                  <c:v>1.0</c:v>
                </c:pt>
                <c:pt idx="8">
                  <c:v>1.0</c:v>
                </c:pt>
                <c:pt idx="9">
                  <c:v>4.0</c:v>
                </c:pt>
                <c:pt idx="10">
                  <c:v>5.0</c:v>
                </c:pt>
                <c:pt idx="11">
                  <c:v>7.0</c:v>
                </c:pt>
                <c:pt idx="12">
                  <c:v>11.0</c:v>
                </c:pt>
                <c:pt idx="13">
                  <c:v>6.0</c:v>
                </c:pt>
                <c:pt idx="14">
                  <c:v>3.0</c:v>
                </c:pt>
                <c:pt idx="15">
                  <c:v>1.0</c:v>
                </c:pt>
                <c:pt idx="16">
                  <c:v>1.0</c:v>
                </c:pt>
                <c:pt idx="17">
                  <c:v>3.0</c:v>
                </c:pt>
                <c:pt idx="18">
                  <c:v>30.0</c:v>
                </c:pt>
                <c:pt idx="19">
                  <c:v>95.0</c:v>
                </c:pt>
              </c:numCache>
            </c:numRef>
          </c:val>
          <c:extLst xmlns:c16r2="http://schemas.microsoft.com/office/drawing/2015/06/chart">
            <c:ext xmlns:c16="http://schemas.microsoft.com/office/drawing/2014/chart" uri="{C3380CC4-5D6E-409C-BE32-E72D297353CC}">
              <c16:uniqueId val="{00000000-7A43-42DE-AECA-35EF630AE804}"/>
            </c:ext>
          </c:extLst>
        </c:ser>
        <c:ser>
          <c:idx val="1"/>
          <c:order val="1"/>
          <c:tx>
            <c:strRef>
              <c:f>Foglio1!$A$3</c:f>
              <c:strCache>
                <c:ptCount val="1"/>
                <c:pt idx="0">
                  <c:v>number of tombs in which they occur</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Foglio1!$B$1:$U$1</c:f>
              <c:strCache>
                <c:ptCount val="20"/>
                <c:pt idx="0">
                  <c:v>bracelet</c:v>
                </c:pt>
                <c:pt idx="1">
                  <c:v>necklace</c:v>
                </c:pt>
                <c:pt idx="2">
                  <c:v>ring</c:v>
                </c:pt>
                <c:pt idx="3">
                  <c:v>pin</c:v>
                </c:pt>
                <c:pt idx="4">
                  <c:v>seal</c:v>
                </c:pt>
                <c:pt idx="5">
                  <c:v>mirror</c:v>
                </c:pt>
                <c:pt idx="6">
                  <c:v>razor</c:v>
                </c:pt>
                <c:pt idx="7">
                  <c:v>tweezers</c:v>
                </c:pt>
                <c:pt idx="8">
                  <c:v>comb</c:v>
                </c:pt>
                <c:pt idx="9">
                  <c:v>sword</c:v>
                </c:pt>
                <c:pt idx="10">
                  <c:v>spearhead</c:v>
                </c:pt>
                <c:pt idx="11">
                  <c:v>dagger</c:v>
                </c:pt>
                <c:pt idx="12">
                  <c:v>knife</c:v>
                </c:pt>
                <c:pt idx="13">
                  <c:v>stone vessel</c:v>
                </c:pt>
                <c:pt idx="14">
                  <c:v>metal vessel</c:v>
                </c:pt>
                <c:pt idx="15">
                  <c:v>whorl</c:v>
                </c:pt>
                <c:pt idx="16">
                  <c:v>figurine</c:v>
                </c:pt>
                <c:pt idx="17">
                  <c:v>chisel</c:v>
                </c:pt>
                <c:pt idx="18">
                  <c:v>other</c:v>
                </c:pt>
                <c:pt idx="19">
                  <c:v>Bead</c:v>
                </c:pt>
              </c:strCache>
            </c:strRef>
          </c:cat>
          <c:val>
            <c:numRef>
              <c:f>Foglio1!$B$3:$U$3</c:f>
              <c:numCache>
                <c:formatCode>General</c:formatCode>
                <c:ptCount val="20"/>
                <c:pt idx="0">
                  <c:v>1.0</c:v>
                </c:pt>
                <c:pt idx="1">
                  <c:v>1.0</c:v>
                </c:pt>
                <c:pt idx="2">
                  <c:v>9.0</c:v>
                </c:pt>
                <c:pt idx="3">
                  <c:v>5.0</c:v>
                </c:pt>
                <c:pt idx="4">
                  <c:v>7.0</c:v>
                </c:pt>
                <c:pt idx="5">
                  <c:v>6.0</c:v>
                </c:pt>
                <c:pt idx="6">
                  <c:v>3.0</c:v>
                </c:pt>
                <c:pt idx="7">
                  <c:v>1.0</c:v>
                </c:pt>
                <c:pt idx="8">
                  <c:v>1.0</c:v>
                </c:pt>
                <c:pt idx="9">
                  <c:v>3.0</c:v>
                </c:pt>
                <c:pt idx="10">
                  <c:v>3.0</c:v>
                </c:pt>
                <c:pt idx="11">
                  <c:v>5.0</c:v>
                </c:pt>
                <c:pt idx="12">
                  <c:v>8.0</c:v>
                </c:pt>
                <c:pt idx="13">
                  <c:v>5.0</c:v>
                </c:pt>
                <c:pt idx="14">
                  <c:v>3.0</c:v>
                </c:pt>
                <c:pt idx="15">
                  <c:v>1.0</c:v>
                </c:pt>
                <c:pt idx="16">
                  <c:v>1.0</c:v>
                </c:pt>
                <c:pt idx="17">
                  <c:v>3.0</c:v>
                </c:pt>
                <c:pt idx="18">
                  <c:v>21.0</c:v>
                </c:pt>
                <c:pt idx="19">
                  <c:v>11.0</c:v>
                </c:pt>
              </c:numCache>
            </c:numRef>
          </c:val>
          <c:extLst xmlns:c16r2="http://schemas.microsoft.com/office/drawing/2015/06/chart">
            <c:ext xmlns:c16="http://schemas.microsoft.com/office/drawing/2014/chart" uri="{C3380CC4-5D6E-409C-BE32-E72D297353CC}">
              <c16:uniqueId val="{00000001-7A43-42DE-AECA-35EF630AE804}"/>
            </c:ext>
          </c:extLst>
        </c:ser>
        <c:dLbls>
          <c:showLegendKey val="0"/>
          <c:showVal val="1"/>
          <c:showCatName val="0"/>
          <c:showSerName val="0"/>
          <c:showPercent val="0"/>
          <c:showBubbleSize val="0"/>
        </c:dLbls>
        <c:gapWidth val="150"/>
        <c:overlap val="-25"/>
        <c:axId val="1859162536"/>
        <c:axId val="1854061960"/>
      </c:barChart>
      <c:catAx>
        <c:axId val="1859162536"/>
        <c:scaling>
          <c:orientation val="minMax"/>
        </c:scaling>
        <c:delete val="0"/>
        <c:axPos val="l"/>
        <c:numFmt formatCode="General" sourceLinked="0"/>
        <c:majorTickMark val="none"/>
        <c:minorTickMark val="none"/>
        <c:tickLblPos val="nextTo"/>
        <c:crossAx val="1854061960"/>
        <c:crosses val="autoZero"/>
        <c:auto val="1"/>
        <c:lblAlgn val="ctr"/>
        <c:lblOffset val="100"/>
        <c:noMultiLvlLbl val="0"/>
      </c:catAx>
      <c:valAx>
        <c:axId val="1854061960"/>
        <c:scaling>
          <c:orientation val="minMax"/>
        </c:scaling>
        <c:delete val="1"/>
        <c:axPos val="b"/>
        <c:numFmt formatCode="General" sourceLinked="1"/>
        <c:majorTickMark val="none"/>
        <c:minorTickMark val="none"/>
        <c:tickLblPos val="nextTo"/>
        <c:crossAx val="1859162536"/>
        <c:crosses val="autoZero"/>
        <c:crossBetween val="between"/>
      </c:valAx>
    </c:plotArea>
    <c:legend>
      <c:legendPos val="t"/>
      <c:layout/>
      <c:overlay val="0"/>
    </c:legend>
    <c:plotVisOnly val="1"/>
    <c:dispBlanksAs val="gap"/>
    <c:showDLblsOverMax val="0"/>
  </c:chart>
  <c:externalData r:id="rId1">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Foglio1!$A$2</c:f>
              <c:strCache>
                <c:ptCount val="1"/>
                <c:pt idx="0">
                  <c:v>number of items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Foglio1!$B$1:$U$1</c:f>
              <c:strCache>
                <c:ptCount val="20"/>
                <c:pt idx="0">
                  <c:v>rython</c:v>
                </c:pt>
                <c:pt idx="1">
                  <c:v>kernos</c:v>
                </c:pt>
                <c:pt idx="2">
                  <c:v>ring vase</c:v>
                </c:pt>
                <c:pt idx="3">
                  <c:v>goblet</c:v>
                </c:pt>
                <c:pt idx="4">
                  <c:v>cup</c:v>
                </c:pt>
                <c:pt idx="5">
                  <c:v>conical cup</c:v>
                </c:pt>
                <c:pt idx="6">
                  <c:v>bowl</c:v>
                </c:pt>
                <c:pt idx="7">
                  <c:v>stirrup jar</c:v>
                </c:pt>
                <c:pt idx="8">
                  <c:v>jar</c:v>
                </c:pt>
                <c:pt idx="9">
                  <c:v>alabastron</c:v>
                </c:pt>
                <c:pt idx="10">
                  <c:v>pyxis</c:v>
                </c:pt>
                <c:pt idx="11">
                  <c:v>askos</c:v>
                </c:pt>
                <c:pt idx="12">
                  <c:v>amphora</c:v>
                </c:pt>
                <c:pt idx="13">
                  <c:v>jug</c:v>
                </c:pt>
                <c:pt idx="14">
                  <c:v>ladle</c:v>
                </c:pt>
                <c:pt idx="15">
                  <c:v>thelastron</c:v>
                </c:pt>
                <c:pt idx="16">
                  <c:v>krater</c:v>
                </c:pt>
                <c:pt idx="17">
                  <c:v>kalathos</c:v>
                </c:pt>
                <c:pt idx="18">
                  <c:v>incense burner</c:v>
                </c:pt>
                <c:pt idx="19">
                  <c:v>other</c:v>
                </c:pt>
              </c:strCache>
            </c:strRef>
          </c:cat>
          <c:val>
            <c:numRef>
              <c:f>Foglio1!$B$2:$U$2</c:f>
              <c:numCache>
                <c:formatCode>General</c:formatCode>
                <c:ptCount val="20"/>
                <c:pt idx="0">
                  <c:v>15.0</c:v>
                </c:pt>
                <c:pt idx="1">
                  <c:v>3.0</c:v>
                </c:pt>
                <c:pt idx="2">
                  <c:v>3.0</c:v>
                </c:pt>
                <c:pt idx="3">
                  <c:v>11.0</c:v>
                </c:pt>
                <c:pt idx="4">
                  <c:v>29.0</c:v>
                </c:pt>
                <c:pt idx="5">
                  <c:v>44.0</c:v>
                </c:pt>
                <c:pt idx="6">
                  <c:v>46.0</c:v>
                </c:pt>
                <c:pt idx="7">
                  <c:v>170.0</c:v>
                </c:pt>
                <c:pt idx="8">
                  <c:v>8.0</c:v>
                </c:pt>
                <c:pt idx="9">
                  <c:v>4.0</c:v>
                </c:pt>
                <c:pt idx="10">
                  <c:v>18.0</c:v>
                </c:pt>
                <c:pt idx="11">
                  <c:v>2.0</c:v>
                </c:pt>
                <c:pt idx="12">
                  <c:v>17.0</c:v>
                </c:pt>
                <c:pt idx="13">
                  <c:v>84.0</c:v>
                </c:pt>
                <c:pt idx="14">
                  <c:v>2.0</c:v>
                </c:pt>
                <c:pt idx="15">
                  <c:v>5.0</c:v>
                </c:pt>
                <c:pt idx="16">
                  <c:v>20.0</c:v>
                </c:pt>
                <c:pt idx="17">
                  <c:v>3.0</c:v>
                </c:pt>
                <c:pt idx="18">
                  <c:v>7.0</c:v>
                </c:pt>
                <c:pt idx="19">
                  <c:v>20.0</c:v>
                </c:pt>
              </c:numCache>
            </c:numRef>
          </c:val>
          <c:extLst xmlns:c16r2="http://schemas.microsoft.com/office/drawing/2015/06/chart">
            <c:ext xmlns:c16="http://schemas.microsoft.com/office/drawing/2014/chart" uri="{C3380CC4-5D6E-409C-BE32-E72D297353CC}">
              <c16:uniqueId val="{00000000-F100-4D14-AC53-B65E2E4F9DD0}"/>
            </c:ext>
          </c:extLst>
        </c:ser>
        <c:ser>
          <c:idx val="1"/>
          <c:order val="1"/>
          <c:tx>
            <c:strRef>
              <c:f>Foglio1!$A$3</c:f>
              <c:strCache>
                <c:ptCount val="1"/>
                <c:pt idx="0">
                  <c:v>number of tombs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Foglio1!$B$1:$U$1</c:f>
              <c:strCache>
                <c:ptCount val="20"/>
                <c:pt idx="0">
                  <c:v>rython</c:v>
                </c:pt>
                <c:pt idx="1">
                  <c:v>kernos</c:v>
                </c:pt>
                <c:pt idx="2">
                  <c:v>ring vase</c:v>
                </c:pt>
                <c:pt idx="3">
                  <c:v>goblet</c:v>
                </c:pt>
                <c:pt idx="4">
                  <c:v>cup</c:v>
                </c:pt>
                <c:pt idx="5">
                  <c:v>conical cup</c:v>
                </c:pt>
                <c:pt idx="6">
                  <c:v>bowl</c:v>
                </c:pt>
                <c:pt idx="7">
                  <c:v>stirrup jar</c:v>
                </c:pt>
                <c:pt idx="8">
                  <c:v>jar</c:v>
                </c:pt>
                <c:pt idx="9">
                  <c:v>alabastron</c:v>
                </c:pt>
                <c:pt idx="10">
                  <c:v>pyxis</c:v>
                </c:pt>
                <c:pt idx="11">
                  <c:v>askos</c:v>
                </c:pt>
                <c:pt idx="12">
                  <c:v>amphora</c:v>
                </c:pt>
                <c:pt idx="13">
                  <c:v>jug</c:v>
                </c:pt>
                <c:pt idx="14">
                  <c:v>ladle</c:v>
                </c:pt>
                <c:pt idx="15">
                  <c:v>thelastron</c:v>
                </c:pt>
                <c:pt idx="16">
                  <c:v>krater</c:v>
                </c:pt>
                <c:pt idx="17">
                  <c:v>kalathos</c:v>
                </c:pt>
                <c:pt idx="18">
                  <c:v>incense burner</c:v>
                </c:pt>
                <c:pt idx="19">
                  <c:v>other</c:v>
                </c:pt>
              </c:strCache>
            </c:strRef>
          </c:cat>
          <c:val>
            <c:numRef>
              <c:f>Foglio1!$B$3:$U$3</c:f>
              <c:numCache>
                <c:formatCode>General</c:formatCode>
                <c:ptCount val="20"/>
                <c:pt idx="0">
                  <c:v>4.0</c:v>
                </c:pt>
                <c:pt idx="1">
                  <c:v>3.0</c:v>
                </c:pt>
                <c:pt idx="2">
                  <c:v>2.0</c:v>
                </c:pt>
                <c:pt idx="3">
                  <c:v>6.0</c:v>
                </c:pt>
                <c:pt idx="4">
                  <c:v>17.0</c:v>
                </c:pt>
                <c:pt idx="5">
                  <c:v>10.0</c:v>
                </c:pt>
                <c:pt idx="6">
                  <c:v>19.0</c:v>
                </c:pt>
                <c:pt idx="7">
                  <c:v>39.0</c:v>
                </c:pt>
                <c:pt idx="8">
                  <c:v>6.0</c:v>
                </c:pt>
                <c:pt idx="9">
                  <c:v>4.0</c:v>
                </c:pt>
                <c:pt idx="10">
                  <c:v>13.0</c:v>
                </c:pt>
                <c:pt idx="11">
                  <c:v>2.0</c:v>
                </c:pt>
                <c:pt idx="12">
                  <c:v>11.0</c:v>
                </c:pt>
                <c:pt idx="13">
                  <c:v>32.0</c:v>
                </c:pt>
                <c:pt idx="14">
                  <c:v>2.0</c:v>
                </c:pt>
                <c:pt idx="15">
                  <c:v>4.0</c:v>
                </c:pt>
                <c:pt idx="16">
                  <c:v>12.0</c:v>
                </c:pt>
                <c:pt idx="17">
                  <c:v>3.0</c:v>
                </c:pt>
                <c:pt idx="18">
                  <c:v>6.0</c:v>
                </c:pt>
                <c:pt idx="19">
                  <c:v>19.0</c:v>
                </c:pt>
              </c:numCache>
            </c:numRef>
          </c:val>
          <c:extLst xmlns:c16r2="http://schemas.microsoft.com/office/drawing/2015/06/chart">
            <c:ext xmlns:c16="http://schemas.microsoft.com/office/drawing/2014/chart" uri="{C3380CC4-5D6E-409C-BE32-E72D297353CC}">
              <c16:uniqueId val="{00000001-F100-4D14-AC53-B65E2E4F9DD0}"/>
            </c:ext>
          </c:extLst>
        </c:ser>
        <c:dLbls>
          <c:showLegendKey val="0"/>
          <c:showVal val="1"/>
          <c:showCatName val="0"/>
          <c:showSerName val="0"/>
          <c:showPercent val="0"/>
          <c:showBubbleSize val="0"/>
        </c:dLbls>
        <c:gapWidth val="150"/>
        <c:overlap val="-25"/>
        <c:axId val="-2090142712"/>
        <c:axId val="-2090139736"/>
      </c:barChart>
      <c:catAx>
        <c:axId val="-2090142712"/>
        <c:scaling>
          <c:orientation val="minMax"/>
        </c:scaling>
        <c:delete val="0"/>
        <c:axPos val="l"/>
        <c:numFmt formatCode="General" sourceLinked="0"/>
        <c:majorTickMark val="none"/>
        <c:minorTickMark val="none"/>
        <c:tickLblPos val="nextTo"/>
        <c:crossAx val="-2090139736"/>
        <c:crosses val="autoZero"/>
        <c:auto val="1"/>
        <c:lblAlgn val="ctr"/>
        <c:lblOffset val="100"/>
        <c:noMultiLvlLbl val="0"/>
      </c:catAx>
      <c:valAx>
        <c:axId val="-2090139736"/>
        <c:scaling>
          <c:orientation val="minMax"/>
        </c:scaling>
        <c:delete val="1"/>
        <c:axPos val="b"/>
        <c:numFmt formatCode="General" sourceLinked="1"/>
        <c:majorTickMark val="out"/>
        <c:minorTickMark val="none"/>
        <c:tickLblPos val="nextTo"/>
        <c:crossAx val="-2090142712"/>
        <c:crosses val="autoZero"/>
        <c:crossBetween val="between"/>
      </c:valAx>
    </c:plotArea>
    <c:legend>
      <c:legendPos val="t"/>
      <c:layout/>
      <c:overlay val="0"/>
    </c:legend>
    <c:plotVisOnly val="1"/>
    <c:dispBlanksAs val="gap"/>
    <c:showDLblsOverMax val="0"/>
  </c:chart>
  <c:externalData r:id="rId1">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200" b="1">
                <a:effectLst/>
                <a:latin typeface="Times New Roman" panose="02020603050405020304" pitchFamily="18" charset="0"/>
                <a:cs typeface="Times New Roman" panose="02020603050405020304" pitchFamily="18" charset="0"/>
              </a:rPr>
              <a:t>Composition o</a:t>
            </a:r>
            <a:r>
              <a:rPr lang="it-IT" sz="1200" b="1">
                <a:effectLst/>
                <a:latin typeface="Times New Roman" panose="02020603050405020304" pitchFamily="18" charset="0"/>
                <a:cs typeface="Times New Roman" panose="02020603050405020304" pitchFamily="18" charset="0"/>
              </a:rPr>
              <a:t>f </a:t>
            </a:r>
            <a:r>
              <a:rPr lang="en-GB" sz="1200" b="1">
                <a:effectLst/>
                <a:latin typeface="Times New Roman" panose="02020603050405020304" pitchFamily="18" charset="0"/>
                <a:cs typeface="Times New Roman" panose="02020603050405020304" pitchFamily="18" charset="0"/>
              </a:rPr>
              <a:t>grave goods assemblages according to pottery occurrence, Far-East area </a:t>
            </a:r>
            <a:endParaRPr lang="it-IT">
              <a:latin typeface="Times New Roman" panose="02020603050405020304" pitchFamily="18" charset="0"/>
              <a:cs typeface="Times New Roman" panose="02020603050405020304" pitchFamily="18" charset="0"/>
            </a:endParaRP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(Foglio1!$A$89;Foglio1!$A$90;Foglio1!$A$91)</c:f>
              <c:strCache>
                <c:ptCount val="3"/>
                <c:pt idx="0">
                  <c:v>only pottery</c:v>
                </c:pt>
                <c:pt idx="1">
                  <c:v>pottery + other materials</c:v>
                </c:pt>
                <c:pt idx="2">
                  <c:v>only other materials</c:v>
                </c:pt>
              </c:strCache>
            </c:strRef>
          </c:cat>
          <c:val>
            <c:numRef>
              <c:f>(Foglio1!$B$89;Foglio1!$B$90;Foglio1!$B$91)</c:f>
              <c:numCache>
                <c:formatCode>General</c:formatCode>
                <c:ptCount val="3"/>
                <c:pt idx="0">
                  <c:v>24.0</c:v>
                </c:pt>
                <c:pt idx="1">
                  <c:v>38.0</c:v>
                </c:pt>
                <c:pt idx="2">
                  <c:v>5.0</c:v>
                </c:pt>
              </c:numCache>
            </c:numRef>
          </c:val>
          <c:extLst xmlns:c16r2="http://schemas.microsoft.com/office/drawing/2015/06/chart">
            <c:ext xmlns:c16="http://schemas.microsoft.com/office/drawing/2014/chart" uri="{C3380CC4-5D6E-409C-BE32-E72D297353CC}">
              <c16:uniqueId val="{00000000-9608-425C-A9AF-603158296AE8}"/>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4052D7-A9F4-7648-A946-7D149CBCF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483</Pages>
  <Words>125892</Words>
  <Characters>717586</Characters>
  <Application>Microsoft Macintosh Word</Application>
  <DocSecurity>0</DocSecurity>
  <Lines>5979</Lines>
  <Paragraphs>1683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841795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2018-07-25T07:16:00Z</dcterms:created>
  <dcterms:modified xsi:type="dcterms:W3CDTF">2019-03-27T08:52:00Z</dcterms:modified>
</cp:coreProperties>
</file>